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49B54">
      <w:pPr>
        <w:pStyle w:val="2"/>
        <w:spacing w:line="247" w:lineRule="auto"/>
      </w:pPr>
    </w:p>
    <w:p w14:paraId="26B360D6">
      <w:pPr>
        <w:pStyle w:val="2"/>
        <w:spacing w:line="247" w:lineRule="auto"/>
      </w:pPr>
    </w:p>
    <w:p w14:paraId="240282A1">
      <w:pPr>
        <w:pStyle w:val="2"/>
        <w:spacing w:line="247" w:lineRule="auto"/>
      </w:pPr>
    </w:p>
    <w:p w14:paraId="6A4EE53B">
      <w:pPr>
        <w:spacing w:before="166" w:line="223" w:lineRule="auto"/>
        <w:ind w:left="1366"/>
        <w:outlineLvl w:val="0"/>
        <w:rPr>
          <w:rFonts w:ascii="宋体" w:hAnsi="宋体" w:eastAsia="宋体" w:cs="宋体"/>
          <w:sz w:val="51"/>
          <w:szCs w:val="51"/>
        </w:rPr>
      </w:pPr>
      <w:r>
        <w:rPr>
          <w:rFonts w:ascii="宋体" w:hAnsi="宋体" w:eastAsia="宋体" w:cs="宋体"/>
          <w:b/>
          <w:bCs/>
          <w:sz w:val="51"/>
          <w:szCs w:val="51"/>
        </w:rPr>
        <w:t>四川良牧庄养殖有限公司</w:t>
      </w:r>
    </w:p>
    <w:p w14:paraId="4FB6CB0C">
      <w:pPr>
        <w:spacing w:before="396" w:line="224" w:lineRule="auto"/>
        <w:ind w:left="285"/>
        <w:outlineLvl w:val="0"/>
        <w:rPr>
          <w:rFonts w:ascii="黑体" w:hAnsi="黑体" w:eastAsia="黑体" w:cs="黑体"/>
          <w:sz w:val="51"/>
          <w:szCs w:val="51"/>
        </w:rPr>
      </w:pPr>
      <w:r>
        <w:rPr>
          <w:rFonts w:ascii="黑体" w:hAnsi="黑体" w:eastAsia="黑体" w:cs="黑体"/>
          <w:b/>
          <w:bCs/>
          <w:spacing w:val="4"/>
          <w:sz w:val="51"/>
          <w:szCs w:val="51"/>
        </w:rPr>
        <w:t>喻家沟生猪规模化养殖场建设项目</w:t>
      </w:r>
    </w:p>
    <w:p w14:paraId="7381E0A1">
      <w:pPr>
        <w:spacing w:before="392" w:line="225" w:lineRule="auto"/>
        <w:ind w:left="2361"/>
        <w:outlineLvl w:val="0"/>
        <w:rPr>
          <w:rFonts w:ascii="黑体" w:hAnsi="黑体" w:eastAsia="黑体" w:cs="黑体"/>
          <w:sz w:val="51"/>
          <w:szCs w:val="51"/>
        </w:rPr>
      </w:pPr>
      <w:r>
        <w:rPr>
          <w:rFonts w:ascii="黑体" w:hAnsi="黑体" w:eastAsia="黑体" w:cs="黑体"/>
          <w:b/>
          <w:bCs/>
          <w:spacing w:val="3"/>
          <w:sz w:val="51"/>
          <w:szCs w:val="51"/>
        </w:rPr>
        <w:t>环境影响报告书</w:t>
      </w:r>
    </w:p>
    <w:p w14:paraId="728A4CEF">
      <w:pPr>
        <w:pStyle w:val="2"/>
        <w:spacing w:line="242" w:lineRule="auto"/>
      </w:pPr>
    </w:p>
    <w:p w14:paraId="592FEA2D">
      <w:pPr>
        <w:pStyle w:val="2"/>
        <w:spacing w:line="243" w:lineRule="auto"/>
      </w:pPr>
    </w:p>
    <w:p w14:paraId="60621521">
      <w:pPr>
        <w:pStyle w:val="2"/>
        <w:spacing w:line="243" w:lineRule="auto"/>
      </w:pPr>
    </w:p>
    <w:p w14:paraId="4AC583AD">
      <w:pPr>
        <w:pStyle w:val="2"/>
        <w:spacing w:line="243" w:lineRule="auto"/>
      </w:pPr>
    </w:p>
    <w:p w14:paraId="4804BF04">
      <w:pPr>
        <w:pStyle w:val="2"/>
        <w:spacing w:line="243" w:lineRule="auto"/>
      </w:pPr>
    </w:p>
    <w:p w14:paraId="0914A905">
      <w:pPr>
        <w:pStyle w:val="2"/>
        <w:spacing w:line="243" w:lineRule="auto"/>
      </w:pPr>
    </w:p>
    <w:p w14:paraId="2A964166">
      <w:pPr>
        <w:pStyle w:val="2"/>
        <w:spacing w:line="243" w:lineRule="auto"/>
      </w:pPr>
    </w:p>
    <w:p w14:paraId="750E85DD">
      <w:pPr>
        <w:pStyle w:val="2"/>
        <w:spacing w:line="243" w:lineRule="auto"/>
      </w:pPr>
    </w:p>
    <w:p w14:paraId="20C4BEBE">
      <w:pPr>
        <w:pStyle w:val="2"/>
        <w:spacing w:line="243" w:lineRule="auto"/>
      </w:pPr>
    </w:p>
    <w:p w14:paraId="19529619">
      <w:pPr>
        <w:pStyle w:val="2"/>
        <w:spacing w:line="243" w:lineRule="auto"/>
      </w:pPr>
    </w:p>
    <w:p w14:paraId="1EE84B72">
      <w:pPr>
        <w:pStyle w:val="2"/>
        <w:spacing w:line="243" w:lineRule="auto"/>
      </w:pPr>
    </w:p>
    <w:p w14:paraId="53B60FFD">
      <w:pPr>
        <w:pStyle w:val="2"/>
        <w:spacing w:line="243" w:lineRule="auto"/>
      </w:pPr>
    </w:p>
    <w:p w14:paraId="06925B2E">
      <w:pPr>
        <w:pStyle w:val="2"/>
        <w:spacing w:line="243" w:lineRule="auto"/>
      </w:pPr>
    </w:p>
    <w:p w14:paraId="1290A976">
      <w:pPr>
        <w:pStyle w:val="2"/>
        <w:spacing w:line="243" w:lineRule="auto"/>
      </w:pPr>
    </w:p>
    <w:p w14:paraId="2EA32373">
      <w:pPr>
        <w:pStyle w:val="2"/>
        <w:spacing w:line="243" w:lineRule="auto"/>
      </w:pPr>
    </w:p>
    <w:p w14:paraId="03C5473B">
      <w:pPr>
        <w:pStyle w:val="2"/>
        <w:spacing w:line="243" w:lineRule="auto"/>
      </w:pPr>
    </w:p>
    <w:p w14:paraId="48C0528B">
      <w:pPr>
        <w:pStyle w:val="2"/>
        <w:spacing w:line="243" w:lineRule="auto"/>
      </w:pPr>
    </w:p>
    <w:p w14:paraId="417817E8">
      <w:pPr>
        <w:pStyle w:val="2"/>
        <w:spacing w:line="243" w:lineRule="auto"/>
      </w:pPr>
    </w:p>
    <w:p w14:paraId="552B4C18">
      <w:pPr>
        <w:pStyle w:val="2"/>
        <w:spacing w:line="243" w:lineRule="auto"/>
      </w:pPr>
    </w:p>
    <w:p w14:paraId="5B76F0FD">
      <w:pPr>
        <w:pStyle w:val="2"/>
        <w:spacing w:line="243" w:lineRule="auto"/>
      </w:pPr>
    </w:p>
    <w:p w14:paraId="5E45530B">
      <w:pPr>
        <w:pStyle w:val="2"/>
        <w:spacing w:line="243" w:lineRule="auto"/>
      </w:pPr>
    </w:p>
    <w:p w14:paraId="74C64BA7">
      <w:pPr>
        <w:pStyle w:val="2"/>
        <w:spacing w:line="243" w:lineRule="auto"/>
      </w:pPr>
    </w:p>
    <w:p w14:paraId="6B151310">
      <w:pPr>
        <w:pStyle w:val="2"/>
        <w:spacing w:line="243" w:lineRule="auto"/>
      </w:pPr>
    </w:p>
    <w:p w14:paraId="6C765A3C">
      <w:pPr>
        <w:pStyle w:val="2"/>
        <w:spacing w:line="243" w:lineRule="auto"/>
      </w:pPr>
    </w:p>
    <w:p w14:paraId="5D36877D">
      <w:pPr>
        <w:pStyle w:val="2"/>
        <w:spacing w:line="243" w:lineRule="auto"/>
      </w:pPr>
    </w:p>
    <w:p w14:paraId="40FEF390">
      <w:pPr>
        <w:pStyle w:val="2"/>
        <w:spacing w:line="243" w:lineRule="auto"/>
      </w:pPr>
    </w:p>
    <w:p w14:paraId="17FF38C2">
      <w:pPr>
        <w:pStyle w:val="2"/>
        <w:spacing w:line="243" w:lineRule="auto"/>
      </w:pPr>
    </w:p>
    <w:p w14:paraId="4BC291CE">
      <w:pPr>
        <w:pStyle w:val="2"/>
        <w:spacing w:line="243" w:lineRule="auto"/>
      </w:pPr>
    </w:p>
    <w:p w14:paraId="02F20BFE">
      <w:pPr>
        <w:pStyle w:val="2"/>
        <w:spacing w:line="243" w:lineRule="auto"/>
      </w:pPr>
    </w:p>
    <w:p w14:paraId="46232AAF">
      <w:pPr>
        <w:pStyle w:val="2"/>
        <w:spacing w:line="243" w:lineRule="auto"/>
      </w:pPr>
    </w:p>
    <w:p w14:paraId="325809F4">
      <w:pPr>
        <w:pStyle w:val="2"/>
        <w:spacing w:line="243" w:lineRule="auto"/>
      </w:pPr>
    </w:p>
    <w:p w14:paraId="7649F1D7">
      <w:pPr>
        <w:spacing w:before="104" w:line="221" w:lineRule="auto"/>
        <w:ind w:left="1304"/>
        <w:rPr>
          <w:rFonts w:ascii="黑体" w:hAnsi="黑体" w:eastAsia="黑体" w:cs="黑体"/>
          <w:sz w:val="32"/>
          <w:szCs w:val="32"/>
        </w:rPr>
      </w:pPr>
      <w:r>
        <w:rPr>
          <w:rFonts w:ascii="黑体" w:hAnsi="黑体" w:eastAsia="黑体" w:cs="黑体"/>
          <w:spacing w:val="-1"/>
          <w:sz w:val="32"/>
          <w:szCs w:val="32"/>
        </w:rPr>
        <w:t>建设单位：四川良牧庄养殖有限公司</w:t>
      </w:r>
    </w:p>
    <w:p w14:paraId="6896D60B">
      <w:pPr>
        <w:spacing w:before="239" w:line="221" w:lineRule="auto"/>
        <w:ind w:left="1302"/>
        <w:rPr>
          <w:rFonts w:hint="eastAsia" w:ascii="黑体" w:hAnsi="黑体" w:eastAsia="黑体" w:cs="黑体"/>
          <w:sz w:val="32"/>
          <w:szCs w:val="32"/>
          <w:lang w:eastAsia="zh-CN"/>
        </w:rPr>
      </w:pPr>
      <w:r>
        <w:rPr>
          <w:rFonts w:ascii="黑体" w:hAnsi="黑体" w:eastAsia="黑体" w:cs="黑体"/>
          <w:spacing w:val="-1"/>
          <w:sz w:val="32"/>
          <w:szCs w:val="32"/>
        </w:rPr>
        <w:t>编制单位：</w:t>
      </w:r>
      <w:r>
        <w:rPr>
          <w:rFonts w:hint="eastAsia" w:ascii="黑体" w:hAnsi="黑体" w:eastAsia="黑体" w:cs="黑体"/>
          <w:spacing w:val="-1"/>
          <w:sz w:val="32"/>
          <w:szCs w:val="32"/>
          <w:lang w:eastAsia="zh-CN"/>
        </w:rPr>
        <w:t>海南方能投资顾问有限公司</w:t>
      </w:r>
    </w:p>
    <w:p w14:paraId="08AB6D4D">
      <w:pPr>
        <w:spacing w:before="239" w:line="221" w:lineRule="auto"/>
        <w:ind w:left="1302"/>
        <w:rPr>
          <w:rFonts w:ascii="黑体" w:hAnsi="黑体" w:eastAsia="黑体" w:cs="黑体"/>
          <w:sz w:val="32"/>
          <w:szCs w:val="32"/>
        </w:rPr>
      </w:pPr>
      <w:r>
        <w:rPr>
          <w:rFonts w:ascii="黑体" w:hAnsi="黑体" w:eastAsia="黑体" w:cs="黑体"/>
          <w:spacing w:val="-3"/>
          <w:sz w:val="32"/>
          <w:szCs w:val="32"/>
        </w:rPr>
        <w:t>编制日期：2023</w:t>
      </w:r>
      <w:r>
        <w:rPr>
          <w:rFonts w:ascii="黑体" w:hAnsi="黑体" w:eastAsia="黑体" w:cs="黑体"/>
          <w:spacing w:val="-63"/>
          <w:sz w:val="32"/>
          <w:szCs w:val="32"/>
        </w:rPr>
        <w:t xml:space="preserve"> </w:t>
      </w:r>
      <w:r>
        <w:rPr>
          <w:rFonts w:ascii="黑体" w:hAnsi="黑体" w:eastAsia="黑体" w:cs="黑体"/>
          <w:spacing w:val="-3"/>
          <w:sz w:val="32"/>
          <w:szCs w:val="32"/>
        </w:rPr>
        <w:t>年</w:t>
      </w:r>
      <w:r>
        <w:rPr>
          <w:rFonts w:ascii="黑体" w:hAnsi="黑体" w:eastAsia="黑体" w:cs="黑体"/>
          <w:spacing w:val="-71"/>
          <w:sz w:val="32"/>
          <w:szCs w:val="32"/>
        </w:rPr>
        <w:t xml:space="preserve"> </w:t>
      </w:r>
      <w:r>
        <w:rPr>
          <w:rFonts w:ascii="黑体" w:hAnsi="黑体" w:eastAsia="黑体" w:cs="黑体"/>
          <w:spacing w:val="-3"/>
          <w:sz w:val="32"/>
          <w:szCs w:val="32"/>
        </w:rPr>
        <w:t>8</w:t>
      </w:r>
      <w:r>
        <w:rPr>
          <w:rFonts w:ascii="黑体" w:hAnsi="黑体" w:eastAsia="黑体" w:cs="黑体"/>
          <w:spacing w:val="-60"/>
          <w:sz w:val="32"/>
          <w:szCs w:val="32"/>
        </w:rPr>
        <w:t xml:space="preserve"> </w:t>
      </w:r>
      <w:r>
        <w:rPr>
          <w:rFonts w:ascii="黑体" w:hAnsi="黑体" w:eastAsia="黑体" w:cs="黑体"/>
          <w:spacing w:val="-3"/>
          <w:sz w:val="32"/>
          <w:szCs w:val="32"/>
        </w:rPr>
        <w:t>月</w:t>
      </w:r>
    </w:p>
    <w:p w14:paraId="4CA3D322">
      <w:pPr>
        <w:spacing w:line="221" w:lineRule="auto"/>
        <w:rPr>
          <w:rFonts w:ascii="黑体" w:hAnsi="黑体" w:eastAsia="黑体" w:cs="黑体"/>
          <w:sz w:val="32"/>
          <w:szCs w:val="32"/>
        </w:rPr>
        <w:sectPr>
          <w:pgSz w:w="11905" w:h="16840"/>
          <w:pgMar w:top="1431" w:right="1785" w:bottom="0" w:left="1785" w:header="0" w:footer="0" w:gutter="0"/>
          <w:cols w:space="720" w:num="1"/>
        </w:sectPr>
      </w:pPr>
    </w:p>
    <w:p w14:paraId="3E3E8D4C">
      <w:pPr>
        <w:pStyle w:val="2"/>
        <w:spacing w:line="337" w:lineRule="auto"/>
      </w:pPr>
    </w:p>
    <w:sdt>
      <w:sdtPr>
        <w:rPr>
          <w:rFonts w:ascii="宋体" w:hAnsi="宋体" w:eastAsia="宋体" w:cs="宋体"/>
          <w:sz w:val="44"/>
          <w:szCs w:val="44"/>
        </w:rPr>
        <w:id w:val="147454420"/>
        <w:docPartObj>
          <w:docPartGallery w:val="Table of Contents"/>
          <w:docPartUnique/>
        </w:docPartObj>
      </w:sdtPr>
      <w:sdtEndPr>
        <w:rPr>
          <w:rFonts w:ascii="Calibri" w:hAnsi="Calibri" w:eastAsia="Calibri" w:cs="Calibri"/>
          <w:sz w:val="21"/>
          <w:szCs w:val="21"/>
        </w:rPr>
      </w:sdtEndPr>
      <w:sdtContent>
        <w:p w14:paraId="77F9D5C2">
          <w:pPr>
            <w:spacing w:before="143" w:line="222" w:lineRule="auto"/>
            <w:ind w:left="3643"/>
            <w:rPr>
              <w:rFonts w:ascii="宋体" w:hAnsi="宋体" w:eastAsia="宋体" w:cs="宋体"/>
              <w:sz w:val="44"/>
              <w:szCs w:val="44"/>
            </w:rPr>
          </w:pPr>
          <w:r>
            <w:rPr>
              <w:rFonts w:ascii="宋体" w:hAnsi="宋体" w:eastAsia="宋体" w:cs="宋体"/>
              <w:b/>
              <w:bCs/>
              <w:spacing w:val="-56"/>
              <w:sz w:val="44"/>
              <w:szCs w:val="44"/>
            </w:rPr>
            <w:t>目</w:t>
          </w:r>
          <w:r>
            <w:rPr>
              <w:rFonts w:ascii="宋体" w:hAnsi="宋体" w:eastAsia="宋体" w:cs="宋体"/>
              <w:spacing w:val="199"/>
              <w:sz w:val="44"/>
              <w:szCs w:val="44"/>
            </w:rPr>
            <w:t xml:space="preserve"> </w:t>
          </w:r>
          <w:r>
            <w:rPr>
              <w:rFonts w:ascii="宋体" w:hAnsi="宋体" w:eastAsia="宋体" w:cs="宋体"/>
              <w:b/>
              <w:bCs/>
              <w:spacing w:val="-56"/>
              <w:sz w:val="44"/>
              <w:szCs w:val="44"/>
            </w:rPr>
            <w:t>录</w:t>
          </w:r>
        </w:p>
        <w:p w14:paraId="3B9860D2">
          <w:pPr>
            <w:tabs>
              <w:tab w:val="right" w:leader="dot" w:pos="8580"/>
            </w:tabs>
            <w:spacing w:before="62" w:line="220" w:lineRule="auto"/>
            <w:ind w:left="39"/>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宋体" w:hAnsi="宋体" w:eastAsia="宋体" w:cs="宋体"/>
              <w:b/>
              <w:bCs/>
              <w:spacing w:val="-7"/>
              <w:sz w:val="24"/>
              <w:szCs w:val="24"/>
            </w:rPr>
            <w:t>概述</w:t>
          </w:r>
          <w:r>
            <w:rPr>
              <w:rFonts w:ascii="宋体" w:hAnsi="宋体" w:eastAsia="宋体" w:cs="宋体"/>
              <w:spacing w:val="1"/>
              <w:sz w:val="24"/>
              <w:szCs w:val="24"/>
            </w:rPr>
            <w:t xml:space="preserve">     </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b/>
              <w:bCs/>
              <w:spacing w:val="-16"/>
              <w:sz w:val="24"/>
              <w:szCs w:val="24"/>
            </w:rPr>
            <w:t>1</w:t>
          </w:r>
          <w:r>
            <w:rPr>
              <w:rFonts w:ascii="Times New Roman" w:hAnsi="Times New Roman" w:eastAsia="Times New Roman" w:cs="Times New Roman"/>
              <w:b/>
              <w:bCs/>
              <w:spacing w:val="-16"/>
              <w:sz w:val="24"/>
              <w:szCs w:val="24"/>
            </w:rPr>
            <w:fldChar w:fldCharType="end"/>
          </w:r>
        </w:p>
        <w:p w14:paraId="5C5F894F">
          <w:pPr>
            <w:tabs>
              <w:tab w:val="right" w:leader="dot" w:pos="8319"/>
            </w:tabs>
            <w:spacing w:before="203" w:line="228" w:lineRule="auto"/>
            <w:ind w:left="496"/>
            <w:rPr>
              <w:rFonts w:ascii="Calibri" w:hAnsi="Calibri" w:eastAsia="Calibri" w:cs="Calibri"/>
              <w:sz w:val="21"/>
              <w:szCs w:val="21"/>
            </w:rPr>
          </w:pPr>
          <w:r>
            <w:fldChar w:fldCharType="begin"/>
          </w:r>
          <w:r>
            <w:instrText xml:space="preserve"> HYPERLINK \l "bookmark2" </w:instrText>
          </w:r>
          <w:r>
            <w:fldChar w:fldCharType="separate"/>
          </w:r>
          <w:r>
            <w:rPr>
              <w:rFonts w:ascii="Times New Roman" w:hAnsi="Times New Roman" w:eastAsia="Times New Roman" w:cs="Times New Roman"/>
              <w:spacing w:val="3"/>
              <w:sz w:val="21"/>
              <w:szCs w:val="21"/>
            </w:rPr>
            <w:t>1</w:t>
          </w:r>
          <w:r>
            <w:rPr>
              <w:rFonts w:ascii="宋体" w:hAnsi="宋体" w:eastAsia="宋体" w:cs="宋体"/>
              <w:spacing w:val="3"/>
              <w:sz w:val="21"/>
              <w:szCs w:val="21"/>
            </w:rPr>
            <w:t>、项目由来</w:t>
          </w:r>
          <w:r>
            <w:rPr>
              <w:rFonts w:ascii="宋体" w:hAnsi="宋体" w:eastAsia="宋体" w:cs="宋体"/>
              <w:spacing w:val="-51"/>
              <w:sz w:val="21"/>
              <w:szCs w:val="21"/>
            </w:rPr>
            <w:t xml:space="preserve"> </w:t>
          </w:r>
          <w:r>
            <w:rPr>
              <w:rFonts w:ascii="宋体" w:hAnsi="宋体" w:eastAsia="宋体" w:cs="宋体"/>
              <w:sz w:val="21"/>
              <w:szCs w:val="21"/>
            </w:rPr>
            <w:tab/>
          </w:r>
          <w:r>
            <w:rPr>
              <w:rFonts w:ascii="宋体" w:hAnsi="宋体" w:eastAsia="宋体" w:cs="宋体"/>
              <w:spacing w:val="-38"/>
              <w:sz w:val="21"/>
              <w:szCs w:val="21"/>
            </w:rPr>
            <w:t xml:space="preserve"> </w:t>
          </w:r>
          <w:r>
            <w:rPr>
              <w:rFonts w:ascii="Calibri" w:hAnsi="Calibri" w:eastAsia="Calibri" w:cs="Calibri"/>
              <w:sz w:val="21"/>
              <w:szCs w:val="21"/>
            </w:rPr>
            <w:t>1</w:t>
          </w:r>
          <w:r>
            <w:rPr>
              <w:rFonts w:ascii="Calibri" w:hAnsi="Calibri" w:eastAsia="Calibri" w:cs="Calibri"/>
              <w:sz w:val="21"/>
              <w:szCs w:val="21"/>
            </w:rPr>
            <w:fldChar w:fldCharType="end"/>
          </w:r>
        </w:p>
        <w:p w14:paraId="03D063AE">
          <w:pPr>
            <w:tabs>
              <w:tab w:val="right" w:leader="dot" w:pos="8320"/>
            </w:tabs>
            <w:spacing w:before="299" w:line="228" w:lineRule="auto"/>
            <w:ind w:left="475"/>
            <w:rPr>
              <w:rFonts w:ascii="Calibri" w:hAnsi="Calibri" w:eastAsia="Calibri" w:cs="Calibri"/>
              <w:sz w:val="21"/>
              <w:szCs w:val="21"/>
            </w:rPr>
          </w:pPr>
          <w:r>
            <w:fldChar w:fldCharType="begin"/>
          </w:r>
          <w:r>
            <w:instrText xml:space="preserve"> HYPERLINK \l "bookmark3" </w:instrText>
          </w:r>
          <w:r>
            <w:fldChar w:fldCharType="separate"/>
          </w:r>
          <w:r>
            <w:rPr>
              <w:rFonts w:ascii="Times New Roman" w:hAnsi="Times New Roman" w:eastAsia="Times New Roman" w:cs="Times New Roman"/>
              <w:spacing w:val="8"/>
              <w:sz w:val="21"/>
              <w:szCs w:val="21"/>
            </w:rPr>
            <w:t>2</w:t>
          </w:r>
          <w:r>
            <w:rPr>
              <w:rFonts w:ascii="宋体" w:hAnsi="宋体" w:eastAsia="宋体" w:cs="宋体"/>
              <w:spacing w:val="8"/>
              <w:sz w:val="21"/>
              <w:szCs w:val="21"/>
            </w:rPr>
            <w:t>、建设项目的特点</w:t>
          </w:r>
          <w:r>
            <w:rPr>
              <w:rFonts w:ascii="宋体" w:hAnsi="宋体" w:eastAsia="宋体" w:cs="宋体"/>
              <w:spacing w:val="-52"/>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3</w:t>
          </w:r>
          <w:r>
            <w:rPr>
              <w:rFonts w:ascii="Calibri" w:hAnsi="Calibri" w:eastAsia="Calibri" w:cs="Calibri"/>
              <w:sz w:val="21"/>
              <w:szCs w:val="21"/>
            </w:rPr>
            <w:fldChar w:fldCharType="end"/>
          </w:r>
        </w:p>
        <w:p w14:paraId="723F67AA">
          <w:pPr>
            <w:tabs>
              <w:tab w:val="right" w:leader="dot" w:pos="8320"/>
            </w:tabs>
            <w:spacing w:before="298" w:line="227" w:lineRule="auto"/>
            <w:ind w:left="479"/>
            <w:rPr>
              <w:rFonts w:ascii="Calibri" w:hAnsi="Calibri" w:eastAsia="Calibri" w:cs="Calibri"/>
              <w:sz w:val="21"/>
              <w:szCs w:val="21"/>
            </w:rPr>
          </w:pPr>
          <w:r>
            <w:fldChar w:fldCharType="begin"/>
          </w:r>
          <w:r>
            <w:instrText xml:space="preserve"> HYPERLINK \l "bookmark4" </w:instrText>
          </w:r>
          <w:r>
            <w:fldChar w:fldCharType="separate"/>
          </w:r>
          <w:r>
            <w:rPr>
              <w:rFonts w:ascii="Times New Roman" w:hAnsi="Times New Roman" w:eastAsia="Times New Roman" w:cs="Times New Roman"/>
              <w:spacing w:val="8"/>
              <w:sz w:val="21"/>
              <w:szCs w:val="21"/>
            </w:rPr>
            <w:t>3</w:t>
          </w:r>
          <w:r>
            <w:rPr>
              <w:rFonts w:ascii="宋体" w:hAnsi="宋体" w:eastAsia="宋体" w:cs="宋体"/>
              <w:spacing w:val="8"/>
              <w:sz w:val="21"/>
              <w:szCs w:val="21"/>
            </w:rPr>
            <w:t>、环境影响评价过程</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52"/>
              <w:sz w:val="21"/>
              <w:szCs w:val="21"/>
            </w:rPr>
            <w:t xml:space="preserve"> </w:t>
          </w:r>
          <w:r>
            <w:rPr>
              <w:rFonts w:ascii="Calibri" w:hAnsi="Calibri" w:eastAsia="Calibri" w:cs="Calibri"/>
              <w:sz w:val="21"/>
              <w:szCs w:val="21"/>
            </w:rPr>
            <w:t>4</w:t>
          </w:r>
          <w:r>
            <w:rPr>
              <w:rFonts w:ascii="Calibri" w:hAnsi="Calibri" w:eastAsia="Calibri" w:cs="Calibri"/>
              <w:sz w:val="21"/>
              <w:szCs w:val="21"/>
            </w:rPr>
            <w:fldChar w:fldCharType="end"/>
          </w:r>
        </w:p>
        <w:p w14:paraId="5AD8E67D">
          <w:pPr>
            <w:tabs>
              <w:tab w:val="right" w:leader="dot" w:pos="8320"/>
            </w:tabs>
            <w:spacing w:before="302" w:line="229" w:lineRule="auto"/>
            <w:ind w:left="473"/>
            <w:rPr>
              <w:rFonts w:ascii="Calibri" w:hAnsi="Calibri" w:eastAsia="Calibri" w:cs="Calibri"/>
              <w:sz w:val="21"/>
              <w:szCs w:val="21"/>
            </w:rPr>
          </w:pPr>
          <w:r>
            <w:fldChar w:fldCharType="begin"/>
          </w:r>
          <w:r>
            <w:instrText xml:space="preserve"> HYPERLINK \l "bookmark5" </w:instrText>
          </w:r>
          <w:r>
            <w:fldChar w:fldCharType="separate"/>
          </w:r>
          <w:r>
            <w:rPr>
              <w:rFonts w:ascii="Times New Roman" w:hAnsi="Times New Roman" w:eastAsia="Times New Roman" w:cs="Times New Roman"/>
              <w:spacing w:val="8"/>
              <w:sz w:val="21"/>
              <w:szCs w:val="21"/>
            </w:rPr>
            <w:t>4</w:t>
          </w:r>
          <w:r>
            <w:rPr>
              <w:rFonts w:ascii="宋体" w:hAnsi="宋体" w:eastAsia="宋体" w:cs="宋体"/>
              <w:spacing w:val="8"/>
              <w:sz w:val="21"/>
              <w:szCs w:val="21"/>
            </w:rPr>
            <w:t>、分析判定相关情况</w:t>
          </w:r>
          <w:r>
            <w:rPr>
              <w:rFonts w:ascii="宋体" w:hAnsi="宋体" w:eastAsia="宋体" w:cs="宋体"/>
              <w:spacing w:val="-48"/>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z w:val="21"/>
              <w:szCs w:val="21"/>
            </w:rPr>
            <w:t>5</w:t>
          </w:r>
          <w:r>
            <w:rPr>
              <w:rFonts w:ascii="Calibri" w:hAnsi="Calibri" w:eastAsia="Calibri" w:cs="Calibri"/>
              <w:sz w:val="21"/>
              <w:szCs w:val="21"/>
            </w:rPr>
            <w:fldChar w:fldCharType="end"/>
          </w:r>
        </w:p>
        <w:p w14:paraId="1D35C6C0">
          <w:pPr>
            <w:tabs>
              <w:tab w:val="right" w:leader="dot" w:pos="8322"/>
            </w:tabs>
            <w:spacing w:before="298" w:line="229" w:lineRule="auto"/>
            <w:ind w:left="480"/>
            <w:rPr>
              <w:rFonts w:ascii="Calibri" w:hAnsi="Calibri" w:eastAsia="Calibri" w:cs="Calibri"/>
              <w:sz w:val="21"/>
              <w:szCs w:val="21"/>
            </w:rPr>
          </w:pPr>
          <w:r>
            <w:fldChar w:fldCharType="begin"/>
          </w:r>
          <w:r>
            <w:instrText xml:space="preserve"> HYPERLINK \l "bookmark6" </w:instrText>
          </w:r>
          <w:r>
            <w:fldChar w:fldCharType="separate"/>
          </w:r>
          <w:r>
            <w:rPr>
              <w:rFonts w:ascii="Times New Roman" w:hAnsi="Times New Roman" w:eastAsia="Times New Roman" w:cs="Times New Roman"/>
              <w:spacing w:val="8"/>
              <w:sz w:val="21"/>
              <w:szCs w:val="21"/>
            </w:rPr>
            <w:t>5</w:t>
          </w:r>
          <w:r>
            <w:rPr>
              <w:rFonts w:ascii="宋体" w:hAnsi="宋体" w:eastAsia="宋体" w:cs="宋体"/>
              <w:spacing w:val="8"/>
              <w:sz w:val="21"/>
              <w:szCs w:val="21"/>
            </w:rPr>
            <w:t>、关注的主要环境问题及环境影响</w:t>
          </w:r>
          <w:r>
            <w:rPr>
              <w:rFonts w:ascii="宋体" w:hAnsi="宋体" w:eastAsia="宋体" w:cs="宋体"/>
              <w:spacing w:val="-39"/>
              <w:sz w:val="21"/>
              <w:szCs w:val="21"/>
            </w:rPr>
            <w:t xml:space="preserve"> </w:t>
          </w:r>
          <w:r>
            <w:rPr>
              <w:rFonts w:ascii="宋体" w:hAnsi="宋体" w:eastAsia="宋体" w:cs="宋体"/>
              <w:sz w:val="21"/>
              <w:szCs w:val="21"/>
            </w:rPr>
            <w:tab/>
          </w:r>
          <w:r>
            <w:rPr>
              <w:rFonts w:ascii="宋体" w:hAnsi="宋体" w:eastAsia="宋体" w:cs="宋体"/>
              <w:spacing w:val="-48"/>
              <w:sz w:val="21"/>
              <w:szCs w:val="21"/>
            </w:rPr>
            <w:t xml:space="preserve"> </w:t>
          </w:r>
          <w:r>
            <w:rPr>
              <w:rFonts w:ascii="Calibri" w:hAnsi="Calibri" w:eastAsia="Calibri" w:cs="Calibri"/>
              <w:sz w:val="21"/>
              <w:szCs w:val="21"/>
            </w:rPr>
            <w:t>9</w:t>
          </w:r>
          <w:r>
            <w:rPr>
              <w:rFonts w:ascii="Calibri" w:hAnsi="Calibri" w:eastAsia="Calibri" w:cs="Calibri"/>
              <w:sz w:val="21"/>
              <w:szCs w:val="21"/>
            </w:rPr>
            <w:fldChar w:fldCharType="end"/>
          </w:r>
        </w:p>
        <w:p w14:paraId="2DFB616B">
          <w:pPr>
            <w:tabs>
              <w:tab w:val="right" w:leader="dot" w:pos="8320"/>
            </w:tabs>
            <w:spacing w:before="298" w:line="227" w:lineRule="auto"/>
            <w:ind w:left="479"/>
            <w:rPr>
              <w:rFonts w:ascii="Calibri" w:hAnsi="Calibri" w:eastAsia="Calibri" w:cs="Calibri"/>
              <w:sz w:val="21"/>
              <w:szCs w:val="21"/>
            </w:rPr>
          </w:pPr>
          <w:r>
            <w:fldChar w:fldCharType="begin"/>
          </w:r>
          <w:r>
            <w:instrText xml:space="preserve"> HYPERLINK \l "bookmark7" </w:instrText>
          </w:r>
          <w:r>
            <w:fldChar w:fldCharType="separate"/>
          </w:r>
          <w:r>
            <w:rPr>
              <w:rFonts w:ascii="Times New Roman" w:hAnsi="Times New Roman" w:eastAsia="Times New Roman" w:cs="Times New Roman"/>
              <w:spacing w:val="8"/>
              <w:sz w:val="21"/>
              <w:szCs w:val="21"/>
            </w:rPr>
            <w:t>6</w:t>
          </w:r>
          <w:r>
            <w:rPr>
              <w:rFonts w:ascii="宋体" w:hAnsi="宋体" w:eastAsia="宋体" w:cs="宋体"/>
              <w:spacing w:val="8"/>
              <w:sz w:val="21"/>
              <w:szCs w:val="21"/>
            </w:rPr>
            <w:t>、报告书主要结论</w:t>
          </w:r>
          <w:r>
            <w:rPr>
              <w:rFonts w:ascii="宋体" w:hAnsi="宋体" w:eastAsia="宋体" w:cs="宋体"/>
              <w:spacing w:val="-57"/>
              <w:sz w:val="21"/>
              <w:szCs w:val="21"/>
            </w:rPr>
            <w:t xml:space="preserve"> </w:t>
          </w:r>
          <w:r>
            <w:rPr>
              <w:rFonts w:ascii="宋体" w:hAnsi="宋体" w:eastAsia="宋体" w:cs="宋体"/>
              <w:sz w:val="21"/>
              <w:szCs w:val="21"/>
            </w:rPr>
            <w:tab/>
          </w:r>
          <w:r>
            <w:rPr>
              <w:rFonts w:ascii="宋体" w:hAnsi="宋体" w:eastAsia="宋体" w:cs="宋体"/>
              <w:spacing w:val="-48"/>
              <w:sz w:val="21"/>
              <w:szCs w:val="21"/>
            </w:rPr>
            <w:t xml:space="preserve"> </w:t>
          </w:r>
          <w:r>
            <w:rPr>
              <w:rFonts w:ascii="Calibri" w:hAnsi="Calibri" w:eastAsia="Calibri" w:cs="Calibri"/>
              <w:sz w:val="21"/>
              <w:szCs w:val="21"/>
            </w:rPr>
            <w:t>9</w:t>
          </w:r>
          <w:r>
            <w:rPr>
              <w:rFonts w:ascii="Calibri" w:hAnsi="Calibri" w:eastAsia="Calibri" w:cs="Calibri"/>
              <w:sz w:val="21"/>
              <w:szCs w:val="21"/>
            </w:rPr>
            <w:fldChar w:fldCharType="end"/>
          </w:r>
        </w:p>
        <w:p w14:paraId="5A34CD17">
          <w:pPr>
            <w:tabs>
              <w:tab w:val="right" w:leader="dot" w:pos="8580"/>
            </w:tabs>
            <w:spacing w:before="291" w:line="219" w:lineRule="auto"/>
            <w:ind w:left="39"/>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宋体" w:hAnsi="宋体" w:eastAsia="宋体" w:cs="宋体"/>
              <w:b/>
              <w:bCs/>
              <w:spacing w:val="-7"/>
              <w:sz w:val="24"/>
              <w:szCs w:val="24"/>
            </w:rPr>
            <w:t>第一章</w:t>
          </w:r>
          <w:r>
            <w:rPr>
              <w:rFonts w:ascii="宋体" w:hAnsi="宋体" w:eastAsia="宋体" w:cs="宋体"/>
              <w:spacing w:val="51"/>
              <w:sz w:val="24"/>
              <w:szCs w:val="24"/>
            </w:rPr>
            <w:t xml:space="preserve">  </w:t>
          </w:r>
          <w:r>
            <w:rPr>
              <w:rFonts w:ascii="宋体" w:hAnsi="宋体" w:eastAsia="宋体" w:cs="宋体"/>
              <w:b/>
              <w:bCs/>
              <w:spacing w:val="-7"/>
              <w:sz w:val="24"/>
              <w:szCs w:val="24"/>
            </w:rPr>
            <w:t>总则</w:t>
          </w:r>
          <w:r>
            <w:rPr>
              <w:rFonts w:ascii="宋体" w:hAnsi="宋体" w:eastAsia="宋体" w:cs="宋体"/>
              <w:spacing w:val="-80"/>
              <w:sz w:val="24"/>
              <w:szCs w:val="24"/>
            </w:rPr>
            <w:t xml:space="preserve"> </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b/>
              <w:bCs/>
              <w:spacing w:val="-8"/>
              <w:sz w:val="24"/>
              <w:szCs w:val="24"/>
            </w:rPr>
            <w:t>10</w:t>
          </w:r>
          <w:r>
            <w:rPr>
              <w:rFonts w:ascii="Times New Roman" w:hAnsi="Times New Roman" w:eastAsia="Times New Roman" w:cs="Times New Roman"/>
              <w:b/>
              <w:bCs/>
              <w:spacing w:val="-8"/>
              <w:sz w:val="24"/>
              <w:szCs w:val="24"/>
            </w:rPr>
            <w:fldChar w:fldCharType="end"/>
          </w:r>
        </w:p>
        <w:p w14:paraId="01A31FAC">
          <w:pPr>
            <w:tabs>
              <w:tab w:val="right" w:leader="dot" w:pos="8319"/>
            </w:tabs>
            <w:spacing w:before="204" w:line="227" w:lineRule="auto"/>
            <w:ind w:left="496"/>
            <w:rPr>
              <w:rFonts w:ascii="Calibri" w:hAnsi="Calibri" w:eastAsia="Calibri" w:cs="Calibri"/>
              <w:sz w:val="21"/>
              <w:szCs w:val="21"/>
            </w:rPr>
          </w:pPr>
          <w:r>
            <w:fldChar w:fldCharType="begin"/>
          </w:r>
          <w:r>
            <w:instrText xml:space="preserve"> HYPERLINK \l "bookmark9" </w:instrText>
          </w:r>
          <w:r>
            <w:fldChar w:fldCharType="separate"/>
          </w:r>
          <w:r>
            <w:rPr>
              <w:rFonts w:ascii="Times New Roman" w:hAnsi="Times New Roman" w:eastAsia="Times New Roman" w:cs="Times New Roman"/>
              <w:spacing w:val="2"/>
              <w:sz w:val="21"/>
              <w:szCs w:val="21"/>
            </w:rPr>
            <w:t>1.1</w:t>
          </w:r>
          <w:r>
            <w:rPr>
              <w:rFonts w:ascii="Times New Roman" w:hAnsi="Times New Roman" w:eastAsia="Times New Roman" w:cs="Times New Roman"/>
              <w:spacing w:val="8"/>
              <w:sz w:val="21"/>
              <w:szCs w:val="21"/>
            </w:rPr>
            <w:t xml:space="preserve">  </w:t>
          </w:r>
          <w:r>
            <w:rPr>
              <w:rFonts w:ascii="宋体" w:hAnsi="宋体" w:eastAsia="宋体" w:cs="宋体"/>
              <w:spacing w:val="2"/>
              <w:sz w:val="21"/>
              <w:szCs w:val="21"/>
            </w:rPr>
            <w:t>评价依据</w:t>
          </w:r>
          <w:r>
            <w:rPr>
              <w:rFonts w:ascii="宋体" w:hAnsi="宋体" w:eastAsia="宋体" w:cs="宋体"/>
              <w:spacing w:val="-61"/>
              <w:sz w:val="21"/>
              <w:szCs w:val="21"/>
            </w:rPr>
            <w:t xml:space="preserve"> </w:t>
          </w:r>
          <w:r>
            <w:rPr>
              <w:rFonts w:ascii="宋体" w:hAnsi="宋体" w:eastAsia="宋体" w:cs="宋体"/>
              <w:sz w:val="21"/>
              <w:szCs w:val="21"/>
            </w:rPr>
            <w:tab/>
          </w:r>
          <w:r>
            <w:rPr>
              <w:rFonts w:ascii="宋体" w:hAnsi="宋体" w:eastAsia="宋体" w:cs="宋体"/>
              <w:spacing w:val="-39"/>
              <w:sz w:val="21"/>
              <w:szCs w:val="21"/>
            </w:rPr>
            <w:t xml:space="preserve"> </w:t>
          </w:r>
          <w:r>
            <w:rPr>
              <w:rFonts w:ascii="Calibri" w:hAnsi="Calibri" w:eastAsia="Calibri" w:cs="Calibri"/>
              <w:spacing w:val="-3"/>
              <w:sz w:val="21"/>
              <w:szCs w:val="21"/>
            </w:rPr>
            <w:t>10</w:t>
          </w:r>
          <w:r>
            <w:rPr>
              <w:rFonts w:ascii="Calibri" w:hAnsi="Calibri" w:eastAsia="Calibri" w:cs="Calibri"/>
              <w:spacing w:val="-3"/>
              <w:sz w:val="21"/>
              <w:szCs w:val="21"/>
            </w:rPr>
            <w:fldChar w:fldCharType="end"/>
          </w:r>
        </w:p>
        <w:p w14:paraId="4FCB296F">
          <w:pPr>
            <w:tabs>
              <w:tab w:val="right" w:leader="dot" w:pos="8320"/>
            </w:tabs>
            <w:spacing w:before="301" w:line="227" w:lineRule="auto"/>
            <w:ind w:left="496"/>
            <w:rPr>
              <w:rFonts w:ascii="Calibri" w:hAnsi="Calibri" w:eastAsia="Calibri" w:cs="Calibri"/>
              <w:sz w:val="21"/>
              <w:szCs w:val="21"/>
            </w:rPr>
          </w:pPr>
          <w:r>
            <w:fldChar w:fldCharType="begin"/>
          </w:r>
          <w:r>
            <w:instrText xml:space="preserve"> HYPERLINK \l "bookmark10" </w:instrText>
          </w:r>
          <w:r>
            <w:fldChar w:fldCharType="separate"/>
          </w:r>
          <w:r>
            <w:rPr>
              <w:rFonts w:ascii="Times New Roman" w:hAnsi="Times New Roman" w:eastAsia="Times New Roman" w:cs="Times New Roman"/>
              <w:spacing w:val="5"/>
              <w:sz w:val="21"/>
              <w:szCs w:val="21"/>
            </w:rPr>
            <w:t xml:space="preserve">1.2  </w:t>
          </w:r>
          <w:r>
            <w:rPr>
              <w:rFonts w:ascii="宋体" w:hAnsi="宋体" w:eastAsia="宋体" w:cs="宋体"/>
              <w:spacing w:val="5"/>
              <w:sz w:val="21"/>
              <w:szCs w:val="21"/>
            </w:rPr>
            <w:t>评价因子与评价标准</w:t>
          </w:r>
          <w:r>
            <w:rPr>
              <w:rFonts w:ascii="宋体" w:hAnsi="宋体" w:eastAsia="宋体" w:cs="宋体"/>
              <w:spacing w:val="-47"/>
              <w:sz w:val="21"/>
              <w:szCs w:val="21"/>
            </w:rPr>
            <w:t xml:space="preserve"> </w:t>
          </w:r>
          <w:r>
            <w:rPr>
              <w:rFonts w:ascii="宋体" w:hAnsi="宋体" w:eastAsia="宋体" w:cs="宋体"/>
              <w:sz w:val="21"/>
              <w:szCs w:val="21"/>
            </w:rPr>
            <w:tab/>
          </w:r>
          <w:r>
            <w:rPr>
              <w:rFonts w:ascii="宋体" w:hAnsi="宋体" w:eastAsia="宋体" w:cs="宋体"/>
              <w:spacing w:val="-39"/>
              <w:sz w:val="21"/>
              <w:szCs w:val="21"/>
            </w:rPr>
            <w:t xml:space="preserve"> </w:t>
          </w:r>
          <w:r>
            <w:rPr>
              <w:rFonts w:ascii="Calibri" w:hAnsi="Calibri" w:eastAsia="Calibri" w:cs="Calibri"/>
              <w:spacing w:val="-3"/>
              <w:sz w:val="21"/>
              <w:szCs w:val="21"/>
            </w:rPr>
            <w:t>14</w:t>
          </w:r>
          <w:r>
            <w:rPr>
              <w:rFonts w:ascii="Calibri" w:hAnsi="Calibri" w:eastAsia="Calibri" w:cs="Calibri"/>
              <w:spacing w:val="-3"/>
              <w:sz w:val="21"/>
              <w:szCs w:val="21"/>
            </w:rPr>
            <w:fldChar w:fldCharType="end"/>
          </w:r>
        </w:p>
        <w:p w14:paraId="62FA237F">
          <w:pPr>
            <w:tabs>
              <w:tab w:val="right" w:leader="dot" w:pos="8322"/>
            </w:tabs>
            <w:spacing w:before="299" w:line="227" w:lineRule="auto"/>
            <w:ind w:left="496"/>
            <w:rPr>
              <w:rFonts w:ascii="Calibri" w:hAnsi="Calibri" w:eastAsia="Calibri" w:cs="Calibri"/>
              <w:sz w:val="21"/>
              <w:szCs w:val="21"/>
            </w:rPr>
          </w:pPr>
          <w:r>
            <w:fldChar w:fldCharType="begin"/>
          </w:r>
          <w:r>
            <w:instrText xml:space="preserve"> HYPERLINK \l "bookmark11" </w:instrText>
          </w:r>
          <w:r>
            <w:fldChar w:fldCharType="separate"/>
          </w:r>
          <w:r>
            <w:rPr>
              <w:rFonts w:ascii="Times New Roman" w:hAnsi="Times New Roman" w:eastAsia="Times New Roman" w:cs="Times New Roman"/>
              <w:spacing w:val="6"/>
              <w:sz w:val="21"/>
              <w:szCs w:val="21"/>
            </w:rPr>
            <w:t xml:space="preserve">1.3  </w:t>
          </w:r>
          <w:r>
            <w:rPr>
              <w:rFonts w:ascii="宋体" w:hAnsi="宋体" w:eastAsia="宋体" w:cs="宋体"/>
              <w:spacing w:val="6"/>
              <w:sz w:val="21"/>
              <w:szCs w:val="21"/>
            </w:rPr>
            <w:t>评价工作等级和评价范围</w:t>
          </w:r>
          <w:r>
            <w:rPr>
              <w:rFonts w:ascii="宋体" w:hAnsi="宋体" w:eastAsia="宋体" w:cs="宋体"/>
              <w:spacing w:val="-51"/>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pacing w:val="-1"/>
              <w:sz w:val="21"/>
              <w:szCs w:val="21"/>
            </w:rPr>
            <w:t>20</w:t>
          </w:r>
          <w:r>
            <w:rPr>
              <w:rFonts w:ascii="Calibri" w:hAnsi="Calibri" w:eastAsia="Calibri" w:cs="Calibri"/>
              <w:spacing w:val="-1"/>
              <w:sz w:val="21"/>
              <w:szCs w:val="21"/>
            </w:rPr>
            <w:fldChar w:fldCharType="end"/>
          </w:r>
        </w:p>
        <w:p w14:paraId="6754A835">
          <w:pPr>
            <w:tabs>
              <w:tab w:val="right" w:leader="dot" w:pos="8320"/>
            </w:tabs>
            <w:spacing w:before="301" w:line="227" w:lineRule="auto"/>
            <w:ind w:left="496"/>
            <w:rPr>
              <w:rFonts w:ascii="Calibri" w:hAnsi="Calibri" w:eastAsia="Calibri" w:cs="Calibri"/>
              <w:sz w:val="21"/>
              <w:szCs w:val="21"/>
            </w:rPr>
          </w:pPr>
          <w:r>
            <w:fldChar w:fldCharType="begin"/>
          </w:r>
          <w:r>
            <w:instrText xml:space="preserve"> HYPERLINK \l "bookmark12" </w:instrText>
          </w:r>
          <w:r>
            <w:fldChar w:fldCharType="separate"/>
          </w:r>
          <w:r>
            <w:rPr>
              <w:rFonts w:ascii="Times New Roman" w:hAnsi="Times New Roman" w:eastAsia="Times New Roman" w:cs="Times New Roman"/>
              <w:spacing w:val="5"/>
              <w:sz w:val="21"/>
              <w:szCs w:val="21"/>
            </w:rPr>
            <w:t xml:space="preserve">1.4  </w:t>
          </w:r>
          <w:r>
            <w:rPr>
              <w:rFonts w:ascii="宋体" w:hAnsi="宋体" w:eastAsia="宋体" w:cs="宋体"/>
              <w:spacing w:val="5"/>
              <w:sz w:val="21"/>
              <w:szCs w:val="21"/>
            </w:rPr>
            <w:t>评价内容和评价重点</w:t>
          </w:r>
          <w:r>
            <w:rPr>
              <w:rFonts w:ascii="宋体" w:hAnsi="宋体" w:eastAsia="宋体" w:cs="宋体"/>
              <w:spacing w:val="-47"/>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pacing w:val="-1"/>
              <w:sz w:val="21"/>
              <w:szCs w:val="21"/>
            </w:rPr>
            <w:t>31</w:t>
          </w:r>
          <w:r>
            <w:rPr>
              <w:rFonts w:ascii="Calibri" w:hAnsi="Calibri" w:eastAsia="Calibri" w:cs="Calibri"/>
              <w:spacing w:val="-1"/>
              <w:sz w:val="21"/>
              <w:szCs w:val="21"/>
            </w:rPr>
            <w:fldChar w:fldCharType="end"/>
          </w:r>
        </w:p>
        <w:p w14:paraId="3DB2D834">
          <w:pPr>
            <w:tabs>
              <w:tab w:val="right" w:leader="dot" w:pos="8320"/>
            </w:tabs>
            <w:spacing w:before="302" w:line="229" w:lineRule="auto"/>
            <w:ind w:left="496"/>
            <w:rPr>
              <w:rFonts w:ascii="Calibri" w:hAnsi="Calibri" w:eastAsia="Calibri" w:cs="Calibri"/>
              <w:sz w:val="21"/>
              <w:szCs w:val="21"/>
            </w:rPr>
          </w:pPr>
          <w:r>
            <w:fldChar w:fldCharType="begin"/>
          </w:r>
          <w:r>
            <w:instrText xml:space="preserve"> HYPERLINK \l "bookmark13" </w:instrText>
          </w:r>
          <w:r>
            <w:fldChar w:fldCharType="separate"/>
          </w:r>
          <w:r>
            <w:rPr>
              <w:rFonts w:ascii="Times New Roman" w:hAnsi="Times New Roman" w:eastAsia="Times New Roman" w:cs="Times New Roman"/>
              <w:spacing w:val="4"/>
              <w:sz w:val="21"/>
              <w:szCs w:val="21"/>
            </w:rPr>
            <w:t xml:space="preserve">1.5  </w:t>
          </w:r>
          <w:r>
            <w:rPr>
              <w:rFonts w:ascii="宋体" w:hAnsi="宋体" w:eastAsia="宋体" w:cs="宋体"/>
              <w:spacing w:val="4"/>
              <w:sz w:val="21"/>
              <w:szCs w:val="21"/>
            </w:rPr>
            <w:t>环境保护目标</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pacing w:val="-1"/>
              <w:sz w:val="21"/>
              <w:szCs w:val="21"/>
            </w:rPr>
            <w:t>31</w:t>
          </w:r>
          <w:r>
            <w:rPr>
              <w:rFonts w:ascii="Calibri" w:hAnsi="Calibri" w:eastAsia="Calibri" w:cs="Calibri"/>
              <w:spacing w:val="-1"/>
              <w:sz w:val="21"/>
              <w:szCs w:val="21"/>
            </w:rPr>
            <w:fldChar w:fldCharType="end"/>
          </w:r>
        </w:p>
        <w:p w14:paraId="4E4B20CF">
          <w:pPr>
            <w:tabs>
              <w:tab w:val="right" w:leader="dot" w:pos="8322"/>
            </w:tabs>
            <w:spacing w:before="297" w:line="228" w:lineRule="auto"/>
            <w:ind w:left="496"/>
            <w:rPr>
              <w:rFonts w:ascii="Calibri" w:hAnsi="Calibri" w:eastAsia="Calibri" w:cs="Calibri"/>
              <w:sz w:val="21"/>
              <w:szCs w:val="21"/>
            </w:rPr>
          </w:pPr>
          <w:r>
            <w:fldChar w:fldCharType="begin"/>
          </w:r>
          <w:r>
            <w:instrText xml:space="preserve"> HYPERLINK \l "bookmark14" </w:instrText>
          </w:r>
          <w:r>
            <w:fldChar w:fldCharType="separate"/>
          </w:r>
          <w:r>
            <w:rPr>
              <w:rFonts w:ascii="Times New Roman" w:hAnsi="Times New Roman" w:eastAsia="Times New Roman" w:cs="Times New Roman"/>
              <w:spacing w:val="6"/>
              <w:sz w:val="21"/>
              <w:szCs w:val="21"/>
            </w:rPr>
            <w:t xml:space="preserve">1.6  </w:t>
          </w:r>
          <w:r>
            <w:rPr>
              <w:rFonts w:ascii="宋体" w:hAnsi="宋体" w:eastAsia="宋体" w:cs="宋体"/>
              <w:spacing w:val="6"/>
              <w:sz w:val="21"/>
              <w:szCs w:val="21"/>
            </w:rPr>
            <w:t>相关政策及规划符合性分析</w:t>
          </w:r>
          <w:r>
            <w:rPr>
              <w:rFonts w:ascii="宋体" w:hAnsi="宋体" w:eastAsia="宋体" w:cs="宋体"/>
              <w:spacing w:val="-47"/>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pacing w:val="-1"/>
              <w:sz w:val="21"/>
              <w:szCs w:val="21"/>
            </w:rPr>
            <w:t>34</w:t>
          </w:r>
          <w:r>
            <w:rPr>
              <w:rFonts w:ascii="Calibri" w:hAnsi="Calibri" w:eastAsia="Calibri" w:cs="Calibri"/>
              <w:spacing w:val="-1"/>
              <w:sz w:val="21"/>
              <w:szCs w:val="21"/>
            </w:rPr>
            <w:fldChar w:fldCharType="end"/>
          </w:r>
        </w:p>
        <w:p w14:paraId="18834A9B">
          <w:pPr>
            <w:tabs>
              <w:tab w:val="right" w:leader="dot" w:pos="8580"/>
            </w:tabs>
            <w:spacing w:before="290" w:line="219" w:lineRule="auto"/>
            <w:ind w:left="39"/>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宋体" w:hAnsi="宋体" w:eastAsia="宋体" w:cs="宋体"/>
              <w:b/>
              <w:bCs/>
              <w:spacing w:val="-4"/>
              <w:sz w:val="24"/>
              <w:szCs w:val="24"/>
            </w:rPr>
            <w:t>第二章</w:t>
          </w:r>
          <w:r>
            <w:rPr>
              <w:rFonts w:ascii="宋体" w:hAnsi="宋体" w:eastAsia="宋体" w:cs="宋体"/>
              <w:spacing w:val="52"/>
              <w:sz w:val="24"/>
              <w:szCs w:val="24"/>
            </w:rPr>
            <w:t xml:space="preserve">  </w:t>
          </w:r>
          <w:r>
            <w:rPr>
              <w:rFonts w:ascii="宋体" w:hAnsi="宋体" w:eastAsia="宋体" w:cs="宋体"/>
              <w:b/>
              <w:bCs/>
              <w:spacing w:val="-4"/>
              <w:sz w:val="24"/>
              <w:szCs w:val="24"/>
            </w:rPr>
            <w:t>工程概况与工程分析</w:t>
          </w:r>
          <w:r>
            <w:rPr>
              <w:rFonts w:ascii="宋体" w:hAnsi="宋体" w:eastAsia="宋体" w:cs="宋体"/>
              <w:spacing w:val="-87"/>
              <w:sz w:val="24"/>
              <w:szCs w:val="24"/>
            </w:rPr>
            <w:t xml:space="preserve"> </w:t>
          </w:r>
          <w:r>
            <w:rPr>
              <w:rFonts w:ascii="宋体" w:hAnsi="宋体" w:eastAsia="宋体" w:cs="宋体"/>
              <w:sz w:val="24"/>
              <w:szCs w:val="24"/>
            </w:rPr>
            <w:tab/>
          </w:r>
          <w:r>
            <w:rPr>
              <w:rFonts w:ascii="宋体" w:hAnsi="宋体" w:eastAsia="宋体" w:cs="宋体"/>
              <w:spacing w:val="-81"/>
              <w:sz w:val="24"/>
              <w:szCs w:val="24"/>
            </w:rPr>
            <w:t xml:space="preserve"> </w:t>
          </w:r>
          <w:r>
            <w:rPr>
              <w:rFonts w:ascii="Times New Roman" w:hAnsi="Times New Roman" w:eastAsia="Times New Roman" w:cs="Times New Roman"/>
              <w:b/>
              <w:bCs/>
              <w:spacing w:val="-5"/>
              <w:sz w:val="24"/>
              <w:szCs w:val="24"/>
            </w:rPr>
            <w:t>74</w:t>
          </w:r>
          <w:r>
            <w:rPr>
              <w:rFonts w:ascii="Times New Roman" w:hAnsi="Times New Roman" w:eastAsia="Times New Roman" w:cs="Times New Roman"/>
              <w:b/>
              <w:bCs/>
              <w:spacing w:val="-5"/>
              <w:sz w:val="24"/>
              <w:szCs w:val="24"/>
            </w:rPr>
            <w:fldChar w:fldCharType="end"/>
          </w:r>
        </w:p>
        <w:p w14:paraId="5140982C">
          <w:pPr>
            <w:tabs>
              <w:tab w:val="right" w:leader="dot" w:pos="8319"/>
            </w:tabs>
            <w:spacing w:before="204" w:line="228" w:lineRule="auto"/>
            <w:ind w:left="475"/>
            <w:rPr>
              <w:rFonts w:ascii="Calibri" w:hAnsi="Calibri" w:eastAsia="Calibri" w:cs="Calibri"/>
              <w:sz w:val="21"/>
              <w:szCs w:val="21"/>
            </w:rPr>
          </w:pPr>
          <w:r>
            <w:fldChar w:fldCharType="begin"/>
          </w:r>
          <w:r>
            <w:instrText xml:space="preserve"> HYPERLINK \l "bookmark16" </w:instrText>
          </w:r>
          <w:r>
            <w:fldChar w:fldCharType="separate"/>
          </w:r>
          <w:r>
            <w:rPr>
              <w:rFonts w:ascii="Times New Roman" w:hAnsi="Times New Roman" w:eastAsia="Times New Roman" w:cs="Times New Roman"/>
              <w:spacing w:val="5"/>
              <w:sz w:val="21"/>
              <w:szCs w:val="21"/>
            </w:rPr>
            <w:t>2.1</w:t>
          </w:r>
          <w:r>
            <w:rPr>
              <w:rFonts w:ascii="Times New Roman" w:hAnsi="Times New Roman" w:eastAsia="Times New Roman" w:cs="Times New Roman"/>
              <w:spacing w:val="8"/>
              <w:sz w:val="21"/>
              <w:szCs w:val="21"/>
            </w:rPr>
            <w:t xml:space="preserve">  </w:t>
          </w:r>
          <w:r>
            <w:rPr>
              <w:rFonts w:ascii="宋体" w:hAnsi="宋体" w:eastAsia="宋体" w:cs="宋体"/>
              <w:spacing w:val="5"/>
              <w:sz w:val="21"/>
              <w:szCs w:val="21"/>
            </w:rPr>
            <w:t>工程概况</w:t>
          </w:r>
          <w:r>
            <w:rPr>
              <w:rFonts w:ascii="宋体" w:hAnsi="宋体" w:eastAsia="宋体" w:cs="宋体"/>
              <w:spacing w:val="-61"/>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pacing w:val="-1"/>
              <w:sz w:val="21"/>
              <w:szCs w:val="21"/>
            </w:rPr>
            <w:t>74</w:t>
          </w:r>
          <w:r>
            <w:rPr>
              <w:rFonts w:ascii="Calibri" w:hAnsi="Calibri" w:eastAsia="Calibri" w:cs="Calibri"/>
              <w:spacing w:val="-1"/>
              <w:sz w:val="21"/>
              <w:szCs w:val="21"/>
            </w:rPr>
            <w:fldChar w:fldCharType="end"/>
          </w:r>
        </w:p>
        <w:p w14:paraId="09921C25">
          <w:pPr>
            <w:tabs>
              <w:tab w:val="right" w:leader="dot" w:pos="8319"/>
            </w:tabs>
            <w:spacing w:before="300" w:line="229" w:lineRule="auto"/>
            <w:ind w:left="475"/>
            <w:rPr>
              <w:rFonts w:ascii="Calibri" w:hAnsi="Calibri" w:eastAsia="Calibri" w:cs="Calibri"/>
              <w:sz w:val="21"/>
              <w:szCs w:val="21"/>
            </w:rPr>
          </w:pPr>
          <w:r>
            <w:fldChar w:fldCharType="begin"/>
          </w:r>
          <w:r>
            <w:instrText xml:space="preserve"> HYPERLINK \l "bookmark17" </w:instrText>
          </w:r>
          <w:r>
            <w:fldChar w:fldCharType="separate"/>
          </w:r>
          <w:r>
            <w:rPr>
              <w:rFonts w:ascii="Times New Roman" w:hAnsi="Times New Roman" w:eastAsia="Times New Roman" w:cs="Times New Roman"/>
              <w:spacing w:val="5"/>
              <w:sz w:val="21"/>
              <w:szCs w:val="21"/>
            </w:rPr>
            <w:t>2.2</w:t>
          </w:r>
          <w:r>
            <w:rPr>
              <w:rFonts w:ascii="Times New Roman" w:hAnsi="Times New Roman" w:eastAsia="Times New Roman" w:cs="Times New Roman"/>
              <w:spacing w:val="8"/>
              <w:sz w:val="21"/>
              <w:szCs w:val="21"/>
            </w:rPr>
            <w:t xml:space="preserve">  </w:t>
          </w:r>
          <w:r>
            <w:rPr>
              <w:rFonts w:ascii="宋体" w:hAnsi="宋体" w:eastAsia="宋体" w:cs="宋体"/>
              <w:spacing w:val="5"/>
              <w:sz w:val="21"/>
              <w:szCs w:val="21"/>
            </w:rPr>
            <w:t>工程分析</w:t>
          </w:r>
          <w:r>
            <w:rPr>
              <w:rFonts w:ascii="宋体" w:hAnsi="宋体" w:eastAsia="宋体" w:cs="宋体"/>
              <w:spacing w:val="-61"/>
              <w:sz w:val="21"/>
              <w:szCs w:val="21"/>
            </w:rPr>
            <w:t xml:space="preserve"> </w:t>
          </w:r>
          <w:r>
            <w:rPr>
              <w:rFonts w:ascii="宋体" w:hAnsi="宋体" w:eastAsia="宋体" w:cs="宋体"/>
              <w:sz w:val="21"/>
              <w:szCs w:val="21"/>
            </w:rPr>
            <w:tab/>
          </w:r>
          <w:r>
            <w:rPr>
              <w:rFonts w:ascii="宋体" w:hAnsi="宋体" w:eastAsia="宋体" w:cs="宋体"/>
              <w:spacing w:val="-50"/>
              <w:sz w:val="21"/>
              <w:szCs w:val="21"/>
            </w:rPr>
            <w:t xml:space="preserve"> </w:t>
          </w:r>
          <w:r>
            <w:rPr>
              <w:rFonts w:ascii="Calibri" w:hAnsi="Calibri" w:eastAsia="Calibri" w:cs="Calibri"/>
              <w:sz w:val="21"/>
              <w:szCs w:val="21"/>
            </w:rPr>
            <w:t>88</w:t>
          </w:r>
          <w:r>
            <w:rPr>
              <w:rFonts w:ascii="Calibri" w:hAnsi="Calibri" w:eastAsia="Calibri" w:cs="Calibri"/>
              <w:sz w:val="21"/>
              <w:szCs w:val="21"/>
            </w:rPr>
            <w:fldChar w:fldCharType="end"/>
          </w:r>
        </w:p>
        <w:p w14:paraId="7E4580D3">
          <w:pPr>
            <w:tabs>
              <w:tab w:val="right" w:leader="dot" w:pos="8580"/>
            </w:tabs>
            <w:spacing w:before="288" w:line="218" w:lineRule="auto"/>
            <w:ind w:left="39"/>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宋体" w:hAnsi="宋体" w:eastAsia="宋体" w:cs="宋体"/>
              <w:b/>
              <w:bCs/>
              <w:spacing w:val="-4"/>
              <w:sz w:val="24"/>
              <w:szCs w:val="24"/>
            </w:rPr>
            <w:t>第三章</w:t>
          </w:r>
          <w:r>
            <w:rPr>
              <w:rFonts w:ascii="宋体" w:hAnsi="宋体" w:eastAsia="宋体" w:cs="宋体"/>
              <w:spacing w:val="52"/>
              <w:sz w:val="24"/>
              <w:szCs w:val="24"/>
            </w:rPr>
            <w:t xml:space="preserve">  </w:t>
          </w:r>
          <w:r>
            <w:rPr>
              <w:rFonts w:ascii="宋体" w:hAnsi="宋体" w:eastAsia="宋体" w:cs="宋体"/>
              <w:b/>
              <w:bCs/>
              <w:spacing w:val="-4"/>
              <w:sz w:val="24"/>
              <w:szCs w:val="24"/>
            </w:rPr>
            <w:t>环境现状调查与评价</w:t>
          </w:r>
          <w:r>
            <w:rPr>
              <w:rFonts w:ascii="宋体" w:hAnsi="宋体" w:eastAsia="宋体" w:cs="宋体"/>
              <w:spacing w:val="-87"/>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b/>
              <w:bCs/>
              <w:spacing w:val="-6"/>
              <w:sz w:val="24"/>
              <w:szCs w:val="24"/>
            </w:rPr>
            <w:t>134</w:t>
          </w:r>
          <w:r>
            <w:rPr>
              <w:rFonts w:ascii="Times New Roman" w:hAnsi="Times New Roman" w:eastAsia="Times New Roman" w:cs="Times New Roman"/>
              <w:b/>
              <w:bCs/>
              <w:spacing w:val="-6"/>
              <w:sz w:val="24"/>
              <w:szCs w:val="24"/>
            </w:rPr>
            <w:fldChar w:fldCharType="end"/>
          </w:r>
        </w:p>
        <w:p w14:paraId="7169831E">
          <w:pPr>
            <w:tabs>
              <w:tab w:val="right" w:leader="dot" w:pos="8320"/>
            </w:tabs>
            <w:spacing w:before="205" w:line="228" w:lineRule="auto"/>
            <w:ind w:left="479"/>
            <w:rPr>
              <w:rFonts w:ascii="Calibri" w:hAnsi="Calibri" w:eastAsia="Calibri" w:cs="Calibri"/>
              <w:sz w:val="21"/>
              <w:szCs w:val="21"/>
            </w:rPr>
          </w:pPr>
          <w:r>
            <w:fldChar w:fldCharType="begin"/>
          </w:r>
          <w:r>
            <w:instrText xml:space="preserve"> HYPERLINK \l "bookmark19" </w:instrText>
          </w:r>
          <w:r>
            <w:fldChar w:fldCharType="separate"/>
          </w:r>
          <w:r>
            <w:rPr>
              <w:rFonts w:ascii="Times New Roman" w:hAnsi="Times New Roman" w:eastAsia="Times New Roman" w:cs="Times New Roman"/>
              <w:spacing w:val="1"/>
              <w:sz w:val="21"/>
              <w:szCs w:val="21"/>
            </w:rPr>
            <w:t>3.1</w:t>
          </w:r>
          <w:r>
            <w:rPr>
              <w:rFonts w:ascii="Times New Roman" w:hAnsi="Times New Roman" w:eastAsia="Times New Roman" w:cs="Times New Roman"/>
              <w:spacing w:val="28"/>
              <w:w w:val="101"/>
              <w:sz w:val="21"/>
              <w:szCs w:val="21"/>
            </w:rPr>
            <w:t xml:space="preserve">  </w:t>
          </w:r>
          <w:r>
            <w:rPr>
              <w:rFonts w:ascii="宋体" w:hAnsi="宋体" w:eastAsia="宋体" w:cs="宋体"/>
              <w:spacing w:val="1"/>
              <w:sz w:val="21"/>
              <w:szCs w:val="21"/>
            </w:rPr>
            <w:t>自然环境概况</w:t>
          </w:r>
          <w:r>
            <w:rPr>
              <w:rFonts w:ascii="宋体" w:hAnsi="宋体" w:eastAsia="宋体" w:cs="宋体"/>
              <w:spacing w:val="-59"/>
              <w:sz w:val="21"/>
              <w:szCs w:val="21"/>
            </w:rPr>
            <w:t xml:space="preserve"> </w:t>
          </w:r>
          <w:r>
            <w:rPr>
              <w:rFonts w:ascii="宋体" w:hAnsi="宋体" w:eastAsia="宋体" w:cs="宋体"/>
              <w:sz w:val="21"/>
              <w:szCs w:val="21"/>
            </w:rPr>
            <w:tab/>
          </w:r>
          <w:r>
            <w:rPr>
              <w:rFonts w:ascii="宋体" w:hAnsi="宋体" w:eastAsia="宋体" w:cs="宋体"/>
              <w:spacing w:val="-40"/>
              <w:sz w:val="21"/>
              <w:szCs w:val="21"/>
            </w:rPr>
            <w:t xml:space="preserve"> </w:t>
          </w:r>
          <w:r>
            <w:rPr>
              <w:rFonts w:ascii="Calibri" w:hAnsi="Calibri" w:eastAsia="Calibri" w:cs="Calibri"/>
              <w:spacing w:val="-1"/>
              <w:sz w:val="21"/>
              <w:szCs w:val="21"/>
            </w:rPr>
            <w:t>134</w:t>
          </w:r>
          <w:r>
            <w:rPr>
              <w:rFonts w:ascii="Calibri" w:hAnsi="Calibri" w:eastAsia="Calibri" w:cs="Calibri"/>
              <w:spacing w:val="-1"/>
              <w:sz w:val="21"/>
              <w:szCs w:val="21"/>
            </w:rPr>
            <w:fldChar w:fldCharType="end"/>
          </w:r>
        </w:p>
        <w:p w14:paraId="32A3B258">
          <w:pPr>
            <w:tabs>
              <w:tab w:val="right" w:leader="dot" w:pos="8322"/>
            </w:tabs>
            <w:spacing w:before="300" w:line="229" w:lineRule="auto"/>
            <w:ind w:left="479"/>
            <w:rPr>
              <w:rFonts w:ascii="Calibri" w:hAnsi="Calibri" w:eastAsia="Calibri" w:cs="Calibri"/>
              <w:sz w:val="21"/>
              <w:szCs w:val="21"/>
            </w:rPr>
          </w:pPr>
          <w:r>
            <w:fldChar w:fldCharType="begin"/>
          </w:r>
          <w:r>
            <w:instrText xml:space="preserve"> HYPERLINK \l "bookmark20" </w:instrText>
          </w:r>
          <w:r>
            <w:fldChar w:fldCharType="separate"/>
          </w:r>
          <w:r>
            <w:rPr>
              <w:rFonts w:ascii="Times New Roman" w:hAnsi="Times New Roman" w:eastAsia="Times New Roman" w:cs="Times New Roman"/>
              <w:spacing w:val="6"/>
              <w:sz w:val="21"/>
              <w:szCs w:val="21"/>
            </w:rPr>
            <w:t xml:space="preserve">3.2  </w:t>
          </w:r>
          <w:r>
            <w:rPr>
              <w:rFonts w:ascii="宋体" w:hAnsi="宋体" w:eastAsia="宋体" w:cs="宋体"/>
              <w:spacing w:val="6"/>
              <w:sz w:val="21"/>
              <w:szCs w:val="21"/>
            </w:rPr>
            <w:t>环境保护目标调查</w:t>
          </w:r>
          <w:r>
            <w:rPr>
              <w:rFonts w:ascii="宋体" w:hAnsi="宋体" w:eastAsia="宋体" w:cs="宋体"/>
              <w:spacing w:val="-49"/>
              <w:sz w:val="21"/>
              <w:szCs w:val="21"/>
            </w:rPr>
            <w:t xml:space="preserve"> </w:t>
          </w:r>
          <w:r>
            <w:rPr>
              <w:rFonts w:ascii="宋体" w:hAnsi="宋体" w:eastAsia="宋体" w:cs="宋体"/>
              <w:sz w:val="21"/>
              <w:szCs w:val="21"/>
            </w:rPr>
            <w:tab/>
          </w:r>
          <w:r>
            <w:rPr>
              <w:rFonts w:ascii="宋体" w:hAnsi="宋体" w:eastAsia="宋体" w:cs="宋体"/>
              <w:spacing w:val="-41"/>
              <w:sz w:val="21"/>
              <w:szCs w:val="21"/>
            </w:rPr>
            <w:t xml:space="preserve"> </w:t>
          </w:r>
          <w:r>
            <w:rPr>
              <w:rFonts w:ascii="Calibri" w:hAnsi="Calibri" w:eastAsia="Calibri" w:cs="Calibri"/>
              <w:spacing w:val="-1"/>
              <w:sz w:val="21"/>
              <w:szCs w:val="21"/>
            </w:rPr>
            <w:t>137</w:t>
          </w:r>
          <w:r>
            <w:rPr>
              <w:rFonts w:ascii="Calibri" w:hAnsi="Calibri" w:eastAsia="Calibri" w:cs="Calibri"/>
              <w:spacing w:val="-1"/>
              <w:sz w:val="21"/>
              <w:szCs w:val="21"/>
            </w:rPr>
            <w:fldChar w:fldCharType="end"/>
          </w:r>
        </w:p>
        <w:p w14:paraId="55D8CEAF">
          <w:pPr>
            <w:tabs>
              <w:tab w:val="right" w:leader="dot" w:pos="8322"/>
            </w:tabs>
            <w:spacing w:before="298" w:line="227" w:lineRule="auto"/>
            <w:ind w:left="479"/>
            <w:rPr>
              <w:rFonts w:ascii="Calibri" w:hAnsi="Calibri" w:eastAsia="Calibri" w:cs="Calibri"/>
              <w:sz w:val="21"/>
              <w:szCs w:val="21"/>
            </w:rPr>
          </w:pPr>
          <w:r>
            <w:fldChar w:fldCharType="begin"/>
          </w:r>
          <w:r>
            <w:instrText xml:space="preserve"> HYPERLINK \l "bookmark21" </w:instrText>
          </w:r>
          <w:r>
            <w:fldChar w:fldCharType="separate"/>
          </w:r>
          <w:r>
            <w:rPr>
              <w:rFonts w:ascii="Times New Roman" w:hAnsi="Times New Roman" w:eastAsia="Times New Roman" w:cs="Times New Roman"/>
              <w:spacing w:val="7"/>
              <w:sz w:val="21"/>
              <w:szCs w:val="21"/>
            </w:rPr>
            <w:t xml:space="preserve">3.3  </w:t>
          </w:r>
          <w:r>
            <w:rPr>
              <w:rFonts w:ascii="宋体" w:hAnsi="宋体" w:eastAsia="宋体" w:cs="宋体"/>
              <w:spacing w:val="7"/>
              <w:sz w:val="21"/>
              <w:szCs w:val="21"/>
            </w:rPr>
            <w:t>环境质量现状监测与评价</w:t>
          </w:r>
          <w:r>
            <w:rPr>
              <w:rFonts w:ascii="宋体" w:hAnsi="宋体" w:eastAsia="宋体" w:cs="宋体"/>
              <w:spacing w:val="-51"/>
              <w:sz w:val="21"/>
              <w:szCs w:val="21"/>
            </w:rPr>
            <w:t xml:space="preserve"> </w:t>
          </w:r>
          <w:r>
            <w:rPr>
              <w:rFonts w:ascii="宋体" w:hAnsi="宋体" w:eastAsia="宋体" w:cs="宋体"/>
              <w:sz w:val="21"/>
              <w:szCs w:val="21"/>
            </w:rPr>
            <w:tab/>
          </w:r>
          <w:r>
            <w:rPr>
              <w:rFonts w:ascii="宋体" w:hAnsi="宋体" w:eastAsia="宋体" w:cs="宋体"/>
              <w:spacing w:val="-41"/>
              <w:sz w:val="21"/>
              <w:szCs w:val="21"/>
            </w:rPr>
            <w:t xml:space="preserve"> </w:t>
          </w:r>
          <w:r>
            <w:rPr>
              <w:rFonts w:ascii="Calibri" w:hAnsi="Calibri" w:eastAsia="Calibri" w:cs="Calibri"/>
              <w:spacing w:val="-1"/>
              <w:sz w:val="21"/>
              <w:szCs w:val="21"/>
            </w:rPr>
            <w:t>142</w:t>
          </w:r>
          <w:r>
            <w:rPr>
              <w:rFonts w:ascii="Calibri" w:hAnsi="Calibri" w:eastAsia="Calibri" w:cs="Calibri"/>
              <w:spacing w:val="-1"/>
              <w:sz w:val="21"/>
              <w:szCs w:val="21"/>
            </w:rPr>
            <w:fldChar w:fldCharType="end"/>
          </w:r>
        </w:p>
        <w:p w14:paraId="56DC55C5">
          <w:pPr>
            <w:tabs>
              <w:tab w:val="right" w:leader="dot" w:pos="8322"/>
            </w:tabs>
            <w:spacing w:before="300" w:line="229" w:lineRule="auto"/>
            <w:ind w:left="479"/>
            <w:rPr>
              <w:rFonts w:ascii="Calibri" w:hAnsi="Calibri" w:eastAsia="Calibri" w:cs="Calibri"/>
              <w:sz w:val="21"/>
              <w:szCs w:val="21"/>
            </w:rPr>
          </w:pPr>
          <w:r>
            <w:fldChar w:fldCharType="begin"/>
          </w:r>
          <w:r>
            <w:instrText xml:space="preserve"> HYPERLINK \l "bookmark22" </w:instrText>
          </w:r>
          <w:r>
            <w:fldChar w:fldCharType="separate"/>
          </w:r>
          <w:r>
            <w:rPr>
              <w:rFonts w:ascii="Times New Roman" w:hAnsi="Times New Roman" w:eastAsia="Times New Roman" w:cs="Times New Roman"/>
              <w:spacing w:val="4"/>
              <w:sz w:val="21"/>
              <w:szCs w:val="21"/>
            </w:rPr>
            <w:t>3.4</w:t>
          </w:r>
          <w:r>
            <w:rPr>
              <w:rFonts w:ascii="Times New Roman" w:hAnsi="Times New Roman" w:eastAsia="Times New Roman" w:cs="Times New Roman"/>
              <w:spacing w:val="18"/>
              <w:sz w:val="21"/>
              <w:szCs w:val="21"/>
            </w:rPr>
            <w:t xml:space="preserve">  </w:t>
          </w:r>
          <w:r>
            <w:rPr>
              <w:rFonts w:ascii="宋体" w:hAnsi="宋体" w:eastAsia="宋体" w:cs="宋体"/>
              <w:spacing w:val="4"/>
              <w:sz w:val="21"/>
              <w:szCs w:val="21"/>
            </w:rPr>
            <w:t>区域污染源调查</w:t>
          </w:r>
          <w:r>
            <w:rPr>
              <w:rFonts w:ascii="宋体" w:hAnsi="宋体" w:eastAsia="宋体" w:cs="宋体"/>
              <w:spacing w:val="-58"/>
              <w:sz w:val="21"/>
              <w:szCs w:val="21"/>
            </w:rPr>
            <w:t xml:space="preserve"> </w:t>
          </w:r>
          <w:r>
            <w:rPr>
              <w:rFonts w:ascii="宋体" w:hAnsi="宋体" w:eastAsia="宋体" w:cs="宋体"/>
              <w:sz w:val="21"/>
              <w:szCs w:val="21"/>
            </w:rPr>
            <w:tab/>
          </w:r>
          <w:r>
            <w:rPr>
              <w:rFonts w:ascii="宋体" w:hAnsi="宋体" w:eastAsia="宋体" w:cs="宋体"/>
              <w:spacing w:val="-41"/>
              <w:sz w:val="21"/>
              <w:szCs w:val="21"/>
            </w:rPr>
            <w:t xml:space="preserve"> </w:t>
          </w:r>
          <w:r>
            <w:rPr>
              <w:rFonts w:ascii="Calibri" w:hAnsi="Calibri" w:eastAsia="Calibri" w:cs="Calibri"/>
              <w:spacing w:val="-1"/>
              <w:sz w:val="21"/>
              <w:szCs w:val="21"/>
            </w:rPr>
            <w:t>155</w:t>
          </w:r>
          <w:r>
            <w:rPr>
              <w:rFonts w:ascii="Calibri" w:hAnsi="Calibri" w:eastAsia="Calibri" w:cs="Calibri"/>
              <w:spacing w:val="-1"/>
              <w:sz w:val="21"/>
              <w:szCs w:val="21"/>
            </w:rPr>
            <w:fldChar w:fldCharType="end"/>
          </w:r>
        </w:p>
        <w:p w14:paraId="119ED86B">
          <w:pPr>
            <w:tabs>
              <w:tab w:val="right" w:leader="dot" w:pos="8580"/>
            </w:tabs>
            <w:spacing w:before="289" w:line="218" w:lineRule="auto"/>
            <w:ind w:left="39"/>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宋体" w:hAnsi="宋体" w:eastAsia="宋体" w:cs="宋体"/>
              <w:b/>
              <w:bCs/>
              <w:spacing w:val="-4"/>
              <w:sz w:val="24"/>
              <w:szCs w:val="24"/>
            </w:rPr>
            <w:t>第四章</w:t>
          </w:r>
          <w:r>
            <w:rPr>
              <w:rFonts w:ascii="宋体" w:hAnsi="宋体" w:eastAsia="宋体" w:cs="宋体"/>
              <w:spacing w:val="52"/>
              <w:sz w:val="24"/>
              <w:szCs w:val="24"/>
            </w:rPr>
            <w:t xml:space="preserve">  </w:t>
          </w:r>
          <w:r>
            <w:rPr>
              <w:rFonts w:ascii="宋体" w:hAnsi="宋体" w:eastAsia="宋体" w:cs="宋体"/>
              <w:b/>
              <w:bCs/>
              <w:spacing w:val="-4"/>
              <w:sz w:val="24"/>
              <w:szCs w:val="24"/>
            </w:rPr>
            <w:t>环境影响预测与评价</w:t>
          </w:r>
          <w:r>
            <w:rPr>
              <w:rFonts w:ascii="宋体" w:hAnsi="宋体" w:eastAsia="宋体" w:cs="宋体"/>
              <w:spacing w:val="-87"/>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b/>
              <w:bCs/>
              <w:spacing w:val="-6"/>
              <w:sz w:val="24"/>
              <w:szCs w:val="24"/>
            </w:rPr>
            <w:t>156</w:t>
          </w:r>
          <w:r>
            <w:rPr>
              <w:rFonts w:ascii="Times New Roman" w:hAnsi="Times New Roman" w:eastAsia="Times New Roman" w:cs="Times New Roman"/>
              <w:b/>
              <w:bCs/>
              <w:spacing w:val="-6"/>
              <w:sz w:val="24"/>
              <w:szCs w:val="24"/>
            </w:rPr>
            <w:fldChar w:fldCharType="end"/>
          </w:r>
        </w:p>
        <w:p w14:paraId="026131CC">
          <w:pPr>
            <w:tabs>
              <w:tab w:val="right" w:leader="dot" w:pos="8322"/>
            </w:tabs>
            <w:spacing w:before="205" w:line="227" w:lineRule="auto"/>
            <w:ind w:left="473"/>
            <w:rPr>
              <w:rFonts w:ascii="Calibri" w:hAnsi="Calibri" w:eastAsia="Calibri" w:cs="Calibri"/>
              <w:sz w:val="21"/>
              <w:szCs w:val="21"/>
            </w:rPr>
          </w:pPr>
          <w:r>
            <w:fldChar w:fldCharType="begin"/>
          </w:r>
          <w:r>
            <w:instrText xml:space="preserve"> HYPERLINK \l "bookmark24" </w:instrText>
          </w:r>
          <w:r>
            <w:fldChar w:fldCharType="separate"/>
          </w:r>
          <w:r>
            <w:rPr>
              <w:rFonts w:ascii="Times New Roman" w:hAnsi="Times New Roman" w:eastAsia="Times New Roman" w:cs="Times New Roman"/>
              <w:spacing w:val="7"/>
              <w:sz w:val="21"/>
              <w:szCs w:val="21"/>
            </w:rPr>
            <w:t xml:space="preserve">4.1  </w:t>
          </w:r>
          <w:r>
            <w:rPr>
              <w:rFonts w:ascii="宋体" w:hAnsi="宋体" w:eastAsia="宋体" w:cs="宋体"/>
              <w:spacing w:val="7"/>
              <w:sz w:val="21"/>
              <w:szCs w:val="21"/>
            </w:rPr>
            <w:t>施工期环境影响评价</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41"/>
              <w:sz w:val="21"/>
              <w:szCs w:val="21"/>
            </w:rPr>
            <w:t xml:space="preserve"> </w:t>
          </w:r>
          <w:r>
            <w:rPr>
              <w:rFonts w:ascii="Calibri" w:hAnsi="Calibri" w:eastAsia="Calibri" w:cs="Calibri"/>
              <w:spacing w:val="-1"/>
              <w:sz w:val="21"/>
              <w:szCs w:val="21"/>
            </w:rPr>
            <w:t>156</w:t>
          </w:r>
          <w:r>
            <w:rPr>
              <w:rFonts w:ascii="Calibri" w:hAnsi="Calibri" w:eastAsia="Calibri" w:cs="Calibri"/>
              <w:spacing w:val="-1"/>
              <w:sz w:val="21"/>
              <w:szCs w:val="21"/>
            </w:rPr>
            <w:fldChar w:fldCharType="end"/>
          </w:r>
        </w:p>
      </w:sdtContent>
    </w:sdt>
    <w:p w14:paraId="01022464">
      <w:pPr>
        <w:spacing w:line="227" w:lineRule="auto"/>
        <w:rPr>
          <w:rFonts w:ascii="Calibri" w:hAnsi="Calibri" w:eastAsia="Calibri" w:cs="Calibri"/>
          <w:sz w:val="21"/>
          <w:szCs w:val="21"/>
        </w:rPr>
        <w:sectPr>
          <w:headerReference r:id="rId5" w:type="default"/>
          <w:footerReference r:id="rId6" w:type="default"/>
          <w:pgSz w:w="11905" w:h="16840"/>
          <w:pgMar w:top="1168" w:right="1554" w:bottom="1408" w:left="1770" w:header="828" w:footer="1244" w:gutter="0"/>
          <w:cols w:space="720" w:num="1"/>
        </w:sectPr>
      </w:pPr>
    </w:p>
    <w:p w14:paraId="20B300E7">
      <w:pPr>
        <w:pStyle w:val="2"/>
        <w:spacing w:line="270" w:lineRule="auto"/>
      </w:pPr>
    </w:p>
    <w:sdt>
      <w:sdtPr>
        <w:rPr>
          <w:rFonts w:ascii="Times New Roman" w:hAnsi="Times New Roman" w:eastAsia="Times New Roman" w:cs="Times New Roman"/>
          <w:sz w:val="21"/>
          <w:szCs w:val="21"/>
        </w:rPr>
        <w:id w:val="147475165"/>
        <w:docPartObj>
          <w:docPartGallery w:val="Table of Contents"/>
          <w:docPartUnique/>
        </w:docPartObj>
      </w:sdtPr>
      <w:sdtEndPr>
        <w:rPr>
          <w:rFonts w:ascii="Calibri" w:hAnsi="Calibri" w:eastAsia="Calibri" w:cs="Calibri"/>
          <w:sz w:val="21"/>
          <w:szCs w:val="21"/>
        </w:rPr>
      </w:sdtEndPr>
      <w:sdtContent>
        <w:p w14:paraId="72B8362B">
          <w:pPr>
            <w:tabs>
              <w:tab w:val="right" w:leader="dot" w:pos="8322"/>
            </w:tabs>
            <w:spacing w:before="69" w:line="227" w:lineRule="auto"/>
            <w:ind w:left="473"/>
            <w:rPr>
              <w:rFonts w:ascii="Calibri" w:hAnsi="Calibri" w:eastAsia="Calibri" w:cs="Calibri"/>
              <w:sz w:val="21"/>
              <w:szCs w:val="21"/>
            </w:rPr>
          </w:pPr>
          <w:r>
            <w:fldChar w:fldCharType="begin"/>
          </w:r>
          <w:r>
            <w:instrText xml:space="preserve"> HYPERLINK \l "bookmark25" </w:instrText>
          </w:r>
          <w:r>
            <w:fldChar w:fldCharType="separate"/>
          </w:r>
          <w:r>
            <w:rPr>
              <w:rFonts w:ascii="Times New Roman" w:hAnsi="Times New Roman" w:eastAsia="Times New Roman" w:cs="Times New Roman"/>
              <w:spacing w:val="7"/>
              <w:sz w:val="21"/>
              <w:szCs w:val="21"/>
            </w:rPr>
            <w:t xml:space="preserve">4.2  </w:t>
          </w:r>
          <w:r>
            <w:rPr>
              <w:rFonts w:ascii="宋体" w:hAnsi="宋体" w:eastAsia="宋体" w:cs="宋体"/>
              <w:spacing w:val="7"/>
              <w:sz w:val="21"/>
              <w:szCs w:val="21"/>
            </w:rPr>
            <w:t>运营期环境影响评价</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41"/>
              <w:sz w:val="21"/>
              <w:szCs w:val="21"/>
            </w:rPr>
            <w:t xml:space="preserve"> </w:t>
          </w:r>
          <w:r>
            <w:rPr>
              <w:rFonts w:ascii="Calibri" w:hAnsi="Calibri" w:eastAsia="Calibri" w:cs="Calibri"/>
              <w:spacing w:val="-1"/>
              <w:sz w:val="21"/>
              <w:szCs w:val="21"/>
            </w:rPr>
            <w:t>163</w:t>
          </w:r>
          <w:r>
            <w:rPr>
              <w:rFonts w:ascii="Calibri" w:hAnsi="Calibri" w:eastAsia="Calibri" w:cs="Calibri"/>
              <w:spacing w:val="-1"/>
              <w:sz w:val="21"/>
              <w:szCs w:val="21"/>
            </w:rPr>
            <w:fldChar w:fldCharType="end"/>
          </w:r>
        </w:p>
        <w:p w14:paraId="6A263563">
          <w:pPr>
            <w:tabs>
              <w:tab w:val="right" w:leader="dot" w:pos="8320"/>
            </w:tabs>
            <w:spacing w:before="300" w:line="227" w:lineRule="auto"/>
            <w:ind w:left="473"/>
            <w:rPr>
              <w:rFonts w:ascii="Calibri" w:hAnsi="Calibri" w:eastAsia="Calibri" w:cs="Calibri"/>
              <w:sz w:val="21"/>
              <w:szCs w:val="21"/>
            </w:rPr>
          </w:pPr>
          <w:r>
            <w:fldChar w:fldCharType="begin"/>
          </w:r>
          <w:r>
            <w:instrText xml:space="preserve"> HYPERLINK \l "bookmark26" </w:instrText>
          </w:r>
          <w:r>
            <w:fldChar w:fldCharType="separate"/>
          </w:r>
          <w:r>
            <w:rPr>
              <w:rFonts w:ascii="Times New Roman" w:hAnsi="Times New Roman" w:eastAsia="Times New Roman" w:cs="Times New Roman"/>
              <w:spacing w:val="6"/>
              <w:sz w:val="21"/>
              <w:szCs w:val="21"/>
            </w:rPr>
            <w:t xml:space="preserve">4.3  </w:t>
          </w:r>
          <w:r>
            <w:rPr>
              <w:rFonts w:ascii="宋体" w:hAnsi="宋体" w:eastAsia="宋体" w:cs="宋体"/>
              <w:spacing w:val="6"/>
              <w:sz w:val="21"/>
              <w:szCs w:val="21"/>
            </w:rPr>
            <w:t>环境风险评价</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224</w:t>
          </w:r>
          <w:r>
            <w:rPr>
              <w:rFonts w:ascii="Calibri" w:hAnsi="Calibri" w:eastAsia="Calibri" w:cs="Calibri"/>
              <w:sz w:val="21"/>
              <w:szCs w:val="21"/>
            </w:rPr>
            <w:fldChar w:fldCharType="end"/>
          </w:r>
        </w:p>
        <w:p w14:paraId="7125A2E4">
          <w:pPr>
            <w:tabs>
              <w:tab w:val="right" w:leader="dot" w:pos="8580"/>
            </w:tabs>
            <w:spacing w:before="289" w:line="219" w:lineRule="auto"/>
            <w:ind w:left="39"/>
            <w:rPr>
              <w:rFonts w:ascii="Times New Roman" w:hAnsi="Times New Roman" w:eastAsia="Times New Roman" w:cs="Times New Roman"/>
              <w:sz w:val="24"/>
              <w:szCs w:val="24"/>
            </w:rPr>
          </w:pPr>
          <w:bookmarkStart w:id="0" w:name="bookmark27"/>
          <w:bookmarkEnd w:id="0"/>
          <w:r>
            <w:fldChar w:fldCharType="begin"/>
          </w:r>
          <w:r>
            <w:instrText xml:space="preserve"> HYPERLINK \l "bookmark28" </w:instrText>
          </w:r>
          <w:r>
            <w:fldChar w:fldCharType="separate"/>
          </w:r>
          <w:r>
            <w:rPr>
              <w:rFonts w:ascii="宋体" w:hAnsi="宋体" w:eastAsia="宋体" w:cs="宋体"/>
              <w:b/>
              <w:bCs/>
              <w:spacing w:val="-4"/>
              <w:sz w:val="24"/>
              <w:szCs w:val="24"/>
            </w:rPr>
            <w:t>第五章</w:t>
          </w:r>
          <w:r>
            <w:rPr>
              <w:rFonts w:ascii="宋体" w:hAnsi="宋体" w:eastAsia="宋体" w:cs="宋体"/>
              <w:spacing w:val="48"/>
              <w:sz w:val="24"/>
              <w:szCs w:val="24"/>
            </w:rPr>
            <w:t xml:space="preserve">  </w:t>
          </w:r>
          <w:r>
            <w:rPr>
              <w:rFonts w:ascii="宋体" w:hAnsi="宋体" w:eastAsia="宋体" w:cs="宋体"/>
              <w:b/>
              <w:bCs/>
              <w:spacing w:val="-4"/>
              <w:sz w:val="24"/>
              <w:szCs w:val="24"/>
            </w:rPr>
            <w:t>环境保护措施</w:t>
          </w:r>
          <w:r>
            <w:rPr>
              <w:rFonts w:ascii="宋体" w:hAnsi="宋体" w:eastAsia="宋体" w:cs="宋体"/>
              <w:spacing w:val="-83"/>
              <w:sz w:val="24"/>
              <w:szCs w:val="24"/>
            </w:rPr>
            <w:t xml:space="preserve"> </w:t>
          </w:r>
          <w:r>
            <w:rPr>
              <w:rFonts w:ascii="宋体" w:hAnsi="宋体" w:eastAsia="宋体" w:cs="宋体"/>
              <w:sz w:val="24"/>
              <w:szCs w:val="24"/>
            </w:rPr>
            <w:tab/>
          </w:r>
          <w:r>
            <w:rPr>
              <w:rFonts w:ascii="宋体" w:hAnsi="宋体" w:eastAsia="宋体" w:cs="宋体"/>
              <w:spacing w:val="-85"/>
              <w:sz w:val="24"/>
              <w:szCs w:val="24"/>
            </w:rPr>
            <w:t xml:space="preserve"> </w:t>
          </w:r>
          <w:r>
            <w:rPr>
              <w:rFonts w:ascii="Times New Roman" w:hAnsi="Times New Roman" w:eastAsia="Times New Roman" w:cs="Times New Roman"/>
              <w:b/>
              <w:bCs/>
              <w:spacing w:val="-2"/>
              <w:sz w:val="24"/>
              <w:szCs w:val="24"/>
            </w:rPr>
            <w:t>241</w:t>
          </w:r>
          <w:r>
            <w:rPr>
              <w:rFonts w:ascii="Times New Roman" w:hAnsi="Times New Roman" w:eastAsia="Times New Roman" w:cs="Times New Roman"/>
              <w:b/>
              <w:bCs/>
              <w:spacing w:val="-2"/>
              <w:sz w:val="24"/>
              <w:szCs w:val="24"/>
            </w:rPr>
            <w:fldChar w:fldCharType="end"/>
          </w:r>
        </w:p>
        <w:p w14:paraId="563A039D">
          <w:pPr>
            <w:tabs>
              <w:tab w:val="right" w:leader="dot" w:pos="8322"/>
            </w:tabs>
            <w:spacing w:before="204" w:line="229" w:lineRule="auto"/>
            <w:ind w:left="480"/>
            <w:rPr>
              <w:rFonts w:ascii="Calibri" w:hAnsi="Calibri" w:eastAsia="Calibri" w:cs="Calibri"/>
              <w:sz w:val="21"/>
              <w:szCs w:val="21"/>
            </w:rPr>
          </w:pPr>
          <w:r>
            <w:fldChar w:fldCharType="begin"/>
          </w:r>
          <w:r>
            <w:instrText xml:space="preserve"> HYPERLINK \l "bookmark29" </w:instrText>
          </w:r>
          <w:r>
            <w:fldChar w:fldCharType="separate"/>
          </w:r>
          <w:r>
            <w:rPr>
              <w:rFonts w:ascii="Times New Roman" w:hAnsi="Times New Roman" w:eastAsia="Times New Roman" w:cs="Times New Roman"/>
              <w:spacing w:val="6"/>
              <w:sz w:val="21"/>
              <w:szCs w:val="21"/>
            </w:rPr>
            <w:t xml:space="preserve">5.1  </w:t>
          </w:r>
          <w:r>
            <w:rPr>
              <w:rFonts w:ascii="宋体" w:hAnsi="宋体" w:eastAsia="宋体" w:cs="宋体"/>
              <w:spacing w:val="6"/>
              <w:sz w:val="21"/>
              <w:szCs w:val="21"/>
            </w:rPr>
            <w:t>施工期环境保护措施</w:t>
          </w:r>
          <w:r>
            <w:rPr>
              <w:rFonts w:ascii="宋体" w:hAnsi="宋体" w:eastAsia="宋体" w:cs="宋体"/>
              <w:spacing w:val="-46"/>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241</w:t>
          </w:r>
          <w:r>
            <w:rPr>
              <w:rFonts w:ascii="Calibri" w:hAnsi="Calibri" w:eastAsia="Calibri" w:cs="Calibri"/>
              <w:sz w:val="21"/>
              <w:szCs w:val="21"/>
            </w:rPr>
            <w:fldChar w:fldCharType="end"/>
          </w:r>
        </w:p>
        <w:p w14:paraId="6304B49A">
          <w:pPr>
            <w:tabs>
              <w:tab w:val="right" w:leader="dot" w:pos="8322"/>
            </w:tabs>
            <w:spacing w:before="298" w:line="229" w:lineRule="auto"/>
            <w:ind w:left="480"/>
            <w:rPr>
              <w:rFonts w:ascii="Calibri" w:hAnsi="Calibri" w:eastAsia="Calibri" w:cs="Calibri"/>
              <w:sz w:val="21"/>
              <w:szCs w:val="21"/>
            </w:rPr>
          </w:pPr>
          <w:r>
            <w:fldChar w:fldCharType="begin"/>
          </w:r>
          <w:r>
            <w:instrText xml:space="preserve"> HYPERLINK \l "bookmark30" </w:instrText>
          </w:r>
          <w:r>
            <w:fldChar w:fldCharType="separate"/>
          </w:r>
          <w:r>
            <w:rPr>
              <w:rFonts w:ascii="Times New Roman" w:hAnsi="Times New Roman" w:eastAsia="Times New Roman" w:cs="Times New Roman"/>
              <w:spacing w:val="6"/>
              <w:sz w:val="21"/>
              <w:szCs w:val="21"/>
            </w:rPr>
            <w:t xml:space="preserve">5.2  </w:t>
          </w:r>
          <w:r>
            <w:rPr>
              <w:rFonts w:ascii="宋体" w:hAnsi="宋体" w:eastAsia="宋体" w:cs="宋体"/>
              <w:spacing w:val="6"/>
              <w:sz w:val="21"/>
              <w:szCs w:val="21"/>
            </w:rPr>
            <w:t>运营期环境保护措施</w:t>
          </w:r>
          <w:r>
            <w:rPr>
              <w:rFonts w:ascii="宋体" w:hAnsi="宋体" w:eastAsia="宋体" w:cs="宋体"/>
              <w:spacing w:val="-46"/>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244</w:t>
          </w:r>
          <w:r>
            <w:rPr>
              <w:rFonts w:ascii="Calibri" w:hAnsi="Calibri" w:eastAsia="Calibri" w:cs="Calibri"/>
              <w:sz w:val="21"/>
              <w:szCs w:val="21"/>
            </w:rPr>
            <w:fldChar w:fldCharType="end"/>
          </w:r>
        </w:p>
        <w:p w14:paraId="7CDD30B4">
          <w:pPr>
            <w:tabs>
              <w:tab w:val="right" w:leader="dot" w:pos="8322"/>
            </w:tabs>
            <w:spacing w:before="299" w:line="229" w:lineRule="auto"/>
            <w:ind w:left="480"/>
            <w:rPr>
              <w:rFonts w:ascii="Calibri" w:hAnsi="Calibri" w:eastAsia="Calibri" w:cs="Calibri"/>
              <w:sz w:val="21"/>
              <w:szCs w:val="21"/>
            </w:rPr>
          </w:pPr>
          <w:r>
            <w:fldChar w:fldCharType="begin"/>
          </w:r>
          <w:r>
            <w:instrText xml:space="preserve"> HYPERLINK \l "bookmark31" </w:instrText>
          </w:r>
          <w:r>
            <w:fldChar w:fldCharType="separate"/>
          </w:r>
          <w:r>
            <w:rPr>
              <w:rFonts w:ascii="Times New Roman" w:hAnsi="Times New Roman" w:eastAsia="Times New Roman" w:cs="Times New Roman"/>
              <w:spacing w:val="6"/>
              <w:sz w:val="21"/>
              <w:szCs w:val="21"/>
            </w:rPr>
            <w:t xml:space="preserve">5.3  </w:t>
          </w:r>
          <w:r>
            <w:rPr>
              <w:rFonts w:ascii="宋体" w:hAnsi="宋体" w:eastAsia="宋体" w:cs="宋体"/>
              <w:spacing w:val="6"/>
              <w:sz w:val="21"/>
              <w:szCs w:val="21"/>
            </w:rPr>
            <w:t>污染防治措施一览表</w:t>
          </w:r>
          <w:r>
            <w:rPr>
              <w:rFonts w:ascii="宋体" w:hAnsi="宋体" w:eastAsia="宋体" w:cs="宋体"/>
              <w:spacing w:val="-46"/>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267</w:t>
          </w:r>
          <w:r>
            <w:rPr>
              <w:rFonts w:ascii="Calibri" w:hAnsi="Calibri" w:eastAsia="Calibri" w:cs="Calibri"/>
              <w:sz w:val="21"/>
              <w:szCs w:val="21"/>
            </w:rPr>
            <w:fldChar w:fldCharType="end"/>
          </w:r>
        </w:p>
        <w:p w14:paraId="07B0B471">
          <w:pPr>
            <w:tabs>
              <w:tab w:val="right" w:leader="dot" w:pos="8580"/>
            </w:tabs>
            <w:spacing w:before="287" w:line="219" w:lineRule="auto"/>
            <w:ind w:left="39"/>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宋体" w:hAnsi="宋体" w:eastAsia="宋体" w:cs="宋体"/>
              <w:b/>
              <w:bCs/>
              <w:spacing w:val="-4"/>
              <w:sz w:val="24"/>
              <w:szCs w:val="24"/>
            </w:rPr>
            <w:t>第六章</w:t>
          </w:r>
          <w:r>
            <w:rPr>
              <w:rFonts w:ascii="宋体" w:hAnsi="宋体" w:eastAsia="宋体" w:cs="宋体"/>
              <w:spacing w:val="54"/>
              <w:sz w:val="24"/>
              <w:szCs w:val="24"/>
            </w:rPr>
            <w:t xml:space="preserve">  </w:t>
          </w:r>
          <w:r>
            <w:rPr>
              <w:rFonts w:ascii="宋体" w:hAnsi="宋体" w:eastAsia="宋体" w:cs="宋体"/>
              <w:b/>
              <w:bCs/>
              <w:spacing w:val="-4"/>
              <w:sz w:val="24"/>
              <w:szCs w:val="24"/>
            </w:rPr>
            <w:t>环境影响经济损益分析</w:t>
          </w:r>
          <w:r>
            <w:rPr>
              <w:rFonts w:ascii="宋体" w:hAnsi="宋体" w:eastAsia="宋体" w:cs="宋体"/>
              <w:spacing w:val="-89"/>
              <w:sz w:val="24"/>
              <w:szCs w:val="24"/>
            </w:rPr>
            <w:t xml:space="preserve"> </w:t>
          </w:r>
          <w:r>
            <w:rPr>
              <w:rFonts w:ascii="宋体" w:hAnsi="宋体" w:eastAsia="宋体" w:cs="宋体"/>
              <w:sz w:val="24"/>
              <w:szCs w:val="24"/>
            </w:rPr>
            <w:tab/>
          </w:r>
          <w:r>
            <w:rPr>
              <w:rFonts w:ascii="宋体" w:hAnsi="宋体" w:eastAsia="宋体" w:cs="宋体"/>
              <w:spacing w:val="-85"/>
              <w:sz w:val="24"/>
              <w:szCs w:val="24"/>
            </w:rPr>
            <w:t xml:space="preserve"> </w:t>
          </w:r>
          <w:r>
            <w:rPr>
              <w:rFonts w:ascii="Times New Roman" w:hAnsi="Times New Roman" w:eastAsia="Times New Roman" w:cs="Times New Roman"/>
              <w:b/>
              <w:bCs/>
              <w:spacing w:val="-2"/>
              <w:sz w:val="24"/>
              <w:szCs w:val="24"/>
            </w:rPr>
            <w:t>269</w:t>
          </w:r>
          <w:r>
            <w:rPr>
              <w:rFonts w:ascii="Times New Roman" w:hAnsi="Times New Roman" w:eastAsia="Times New Roman" w:cs="Times New Roman"/>
              <w:b/>
              <w:bCs/>
              <w:spacing w:val="-2"/>
              <w:sz w:val="24"/>
              <w:szCs w:val="24"/>
            </w:rPr>
            <w:fldChar w:fldCharType="end"/>
          </w:r>
        </w:p>
        <w:p w14:paraId="6BC7FBEB">
          <w:pPr>
            <w:tabs>
              <w:tab w:val="right" w:leader="dot" w:pos="8319"/>
            </w:tabs>
            <w:spacing w:before="205" w:line="227" w:lineRule="auto"/>
            <w:ind w:left="479"/>
            <w:rPr>
              <w:rFonts w:ascii="Calibri" w:hAnsi="Calibri" w:eastAsia="Calibri" w:cs="Calibri"/>
              <w:sz w:val="21"/>
              <w:szCs w:val="21"/>
            </w:rPr>
          </w:pPr>
          <w:r>
            <w:fldChar w:fldCharType="begin"/>
          </w:r>
          <w:r>
            <w:instrText xml:space="preserve"> HYPERLINK \l "bookmark33" </w:instrText>
          </w:r>
          <w:r>
            <w:fldChar w:fldCharType="separate"/>
          </w:r>
          <w:r>
            <w:rPr>
              <w:rFonts w:ascii="Times New Roman" w:hAnsi="Times New Roman" w:eastAsia="Times New Roman" w:cs="Times New Roman"/>
              <w:spacing w:val="4"/>
              <w:sz w:val="21"/>
              <w:szCs w:val="21"/>
            </w:rPr>
            <w:t>6.1</w:t>
          </w:r>
          <w:r>
            <w:rPr>
              <w:rFonts w:ascii="Times New Roman" w:hAnsi="Times New Roman" w:eastAsia="Times New Roman" w:cs="Times New Roman"/>
              <w:spacing w:val="9"/>
              <w:sz w:val="21"/>
              <w:szCs w:val="21"/>
            </w:rPr>
            <w:t xml:space="preserve">  </w:t>
          </w:r>
          <w:r>
            <w:rPr>
              <w:rFonts w:ascii="宋体" w:hAnsi="宋体" w:eastAsia="宋体" w:cs="宋体"/>
              <w:spacing w:val="4"/>
              <w:sz w:val="21"/>
              <w:szCs w:val="21"/>
            </w:rPr>
            <w:t>社会效益</w:t>
          </w:r>
          <w:r>
            <w:rPr>
              <w:rFonts w:ascii="宋体" w:hAnsi="宋体" w:eastAsia="宋体" w:cs="宋体"/>
              <w:spacing w:val="-61"/>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z w:val="21"/>
              <w:szCs w:val="21"/>
            </w:rPr>
            <w:t>269</w:t>
          </w:r>
          <w:r>
            <w:rPr>
              <w:rFonts w:ascii="Calibri" w:hAnsi="Calibri" w:eastAsia="Calibri" w:cs="Calibri"/>
              <w:sz w:val="21"/>
              <w:szCs w:val="21"/>
            </w:rPr>
            <w:fldChar w:fldCharType="end"/>
          </w:r>
        </w:p>
        <w:p w14:paraId="6DA94A9B">
          <w:pPr>
            <w:tabs>
              <w:tab w:val="right" w:leader="dot" w:pos="8322"/>
            </w:tabs>
            <w:spacing w:before="301" w:line="229" w:lineRule="auto"/>
            <w:ind w:left="479"/>
            <w:rPr>
              <w:rFonts w:ascii="Calibri" w:hAnsi="Calibri" w:eastAsia="Calibri" w:cs="Calibri"/>
              <w:sz w:val="21"/>
              <w:szCs w:val="21"/>
            </w:rPr>
          </w:pPr>
          <w:r>
            <w:fldChar w:fldCharType="begin"/>
          </w:r>
          <w:r>
            <w:instrText xml:space="preserve"> HYPERLINK \l "bookmark34" </w:instrText>
          </w:r>
          <w:r>
            <w:fldChar w:fldCharType="separate"/>
          </w:r>
          <w:r>
            <w:rPr>
              <w:rFonts w:ascii="Times New Roman" w:hAnsi="Times New Roman" w:eastAsia="Times New Roman" w:cs="Times New Roman"/>
              <w:spacing w:val="7"/>
              <w:sz w:val="21"/>
              <w:szCs w:val="21"/>
            </w:rPr>
            <w:t xml:space="preserve">6.2  </w:t>
          </w:r>
          <w:r>
            <w:rPr>
              <w:rFonts w:ascii="宋体" w:hAnsi="宋体" w:eastAsia="宋体" w:cs="宋体"/>
              <w:spacing w:val="7"/>
              <w:sz w:val="21"/>
              <w:szCs w:val="21"/>
            </w:rPr>
            <w:t>环保投资及运行费用分析</w:t>
          </w:r>
          <w:r>
            <w:rPr>
              <w:rFonts w:ascii="宋体" w:hAnsi="宋体" w:eastAsia="宋体" w:cs="宋体"/>
              <w:spacing w:val="-51"/>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270</w:t>
          </w:r>
          <w:r>
            <w:rPr>
              <w:rFonts w:ascii="Calibri" w:hAnsi="Calibri" w:eastAsia="Calibri" w:cs="Calibri"/>
              <w:sz w:val="21"/>
              <w:szCs w:val="21"/>
            </w:rPr>
            <w:fldChar w:fldCharType="end"/>
          </w:r>
        </w:p>
        <w:p w14:paraId="29E3AF83">
          <w:pPr>
            <w:tabs>
              <w:tab w:val="right" w:leader="dot" w:pos="8320"/>
            </w:tabs>
            <w:spacing w:before="298" w:line="229" w:lineRule="auto"/>
            <w:ind w:left="479"/>
            <w:rPr>
              <w:rFonts w:ascii="Calibri" w:hAnsi="Calibri" w:eastAsia="Calibri" w:cs="Calibri"/>
              <w:sz w:val="21"/>
              <w:szCs w:val="21"/>
            </w:rPr>
          </w:pPr>
          <w:r>
            <w:fldChar w:fldCharType="begin"/>
          </w:r>
          <w:r>
            <w:instrText xml:space="preserve"> HYPERLINK \l "bookmark35" </w:instrText>
          </w:r>
          <w:r>
            <w:fldChar w:fldCharType="separate"/>
          </w:r>
          <w:r>
            <w:rPr>
              <w:rFonts w:ascii="Times New Roman" w:hAnsi="Times New Roman" w:eastAsia="Times New Roman" w:cs="Times New Roman"/>
              <w:spacing w:val="6"/>
              <w:sz w:val="21"/>
              <w:szCs w:val="21"/>
            </w:rPr>
            <w:t xml:space="preserve">6.3  </w:t>
          </w:r>
          <w:r>
            <w:rPr>
              <w:rFonts w:ascii="宋体" w:hAnsi="宋体" w:eastAsia="宋体" w:cs="宋体"/>
              <w:spacing w:val="6"/>
              <w:sz w:val="21"/>
              <w:szCs w:val="21"/>
            </w:rPr>
            <w:t>环境损益分析</w:t>
          </w:r>
          <w:r>
            <w:rPr>
              <w:rFonts w:ascii="宋体" w:hAnsi="宋体" w:eastAsia="宋体" w:cs="宋体"/>
              <w:spacing w:val="-59"/>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270</w:t>
          </w:r>
          <w:r>
            <w:rPr>
              <w:rFonts w:ascii="Calibri" w:hAnsi="Calibri" w:eastAsia="Calibri" w:cs="Calibri"/>
              <w:sz w:val="21"/>
              <w:szCs w:val="21"/>
            </w:rPr>
            <w:fldChar w:fldCharType="end"/>
          </w:r>
        </w:p>
        <w:p w14:paraId="27CD6271">
          <w:pPr>
            <w:tabs>
              <w:tab w:val="right" w:leader="dot" w:pos="8317"/>
            </w:tabs>
            <w:spacing w:before="299" w:line="229" w:lineRule="auto"/>
            <w:ind w:left="479"/>
            <w:rPr>
              <w:rFonts w:ascii="Calibri" w:hAnsi="Calibri" w:eastAsia="Calibri" w:cs="Calibri"/>
              <w:sz w:val="21"/>
              <w:szCs w:val="21"/>
            </w:rPr>
          </w:pPr>
          <w:r>
            <w:fldChar w:fldCharType="begin"/>
          </w:r>
          <w:r>
            <w:instrText xml:space="preserve"> HYPERLINK \l "bookmark36" </w:instrText>
          </w:r>
          <w:r>
            <w:fldChar w:fldCharType="separate"/>
          </w:r>
          <w:r>
            <w:rPr>
              <w:rFonts w:ascii="Times New Roman" w:hAnsi="Times New Roman" w:eastAsia="Times New Roman" w:cs="Times New Roman"/>
              <w:spacing w:val="1"/>
              <w:sz w:val="21"/>
              <w:szCs w:val="21"/>
            </w:rPr>
            <w:t>6.5</w:t>
          </w:r>
          <w:r>
            <w:rPr>
              <w:rFonts w:ascii="Times New Roman" w:hAnsi="Times New Roman" w:eastAsia="Times New Roman" w:cs="Times New Roman"/>
              <w:spacing w:val="11"/>
              <w:sz w:val="21"/>
              <w:szCs w:val="21"/>
            </w:rPr>
            <w:t xml:space="preserve">  </w:t>
          </w:r>
          <w:r>
            <w:rPr>
              <w:rFonts w:ascii="宋体" w:hAnsi="宋体" w:eastAsia="宋体" w:cs="宋体"/>
              <w:spacing w:val="1"/>
              <w:sz w:val="21"/>
              <w:szCs w:val="21"/>
            </w:rPr>
            <w:t>小结</w:t>
          </w:r>
          <w:r>
            <w:rPr>
              <w:rFonts w:ascii="宋体" w:hAnsi="宋体" w:eastAsia="宋体" w:cs="宋体"/>
              <w:spacing w:val="-63"/>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271</w:t>
          </w:r>
          <w:r>
            <w:rPr>
              <w:rFonts w:ascii="Calibri" w:hAnsi="Calibri" w:eastAsia="Calibri" w:cs="Calibri"/>
              <w:sz w:val="21"/>
              <w:szCs w:val="21"/>
            </w:rPr>
            <w:fldChar w:fldCharType="end"/>
          </w:r>
        </w:p>
        <w:p w14:paraId="1CE7B7C1">
          <w:pPr>
            <w:tabs>
              <w:tab w:val="right" w:leader="dot" w:pos="8580"/>
            </w:tabs>
            <w:spacing w:before="287" w:line="219" w:lineRule="auto"/>
            <w:ind w:left="39"/>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宋体" w:hAnsi="宋体" w:eastAsia="宋体" w:cs="宋体"/>
              <w:b/>
              <w:bCs/>
              <w:spacing w:val="-4"/>
              <w:sz w:val="24"/>
              <w:szCs w:val="24"/>
            </w:rPr>
            <w:t>第七章</w:t>
          </w:r>
          <w:r>
            <w:rPr>
              <w:rFonts w:ascii="宋体" w:hAnsi="宋体" w:eastAsia="宋体" w:cs="宋体"/>
              <w:spacing w:val="52"/>
              <w:sz w:val="24"/>
              <w:szCs w:val="24"/>
            </w:rPr>
            <w:t xml:space="preserve">  </w:t>
          </w:r>
          <w:r>
            <w:rPr>
              <w:rFonts w:ascii="宋体" w:hAnsi="宋体" w:eastAsia="宋体" w:cs="宋体"/>
              <w:b/>
              <w:bCs/>
              <w:spacing w:val="-4"/>
              <w:sz w:val="24"/>
              <w:szCs w:val="24"/>
            </w:rPr>
            <w:t>环境管理与监测计划</w:t>
          </w:r>
          <w:r>
            <w:rPr>
              <w:rFonts w:ascii="宋体" w:hAnsi="宋体" w:eastAsia="宋体" w:cs="宋体"/>
              <w:spacing w:val="-87"/>
              <w:sz w:val="24"/>
              <w:szCs w:val="24"/>
            </w:rPr>
            <w:t xml:space="preserve"> </w:t>
          </w:r>
          <w:r>
            <w:rPr>
              <w:rFonts w:ascii="宋体" w:hAnsi="宋体" w:eastAsia="宋体" w:cs="宋体"/>
              <w:sz w:val="24"/>
              <w:szCs w:val="24"/>
            </w:rPr>
            <w:tab/>
          </w:r>
          <w:r>
            <w:rPr>
              <w:rFonts w:ascii="宋体" w:hAnsi="宋体" w:eastAsia="宋体" w:cs="宋体"/>
              <w:spacing w:val="-85"/>
              <w:sz w:val="24"/>
              <w:szCs w:val="24"/>
            </w:rPr>
            <w:t xml:space="preserve"> </w:t>
          </w:r>
          <w:r>
            <w:rPr>
              <w:rFonts w:ascii="Times New Roman" w:hAnsi="Times New Roman" w:eastAsia="Times New Roman" w:cs="Times New Roman"/>
              <w:b/>
              <w:bCs/>
              <w:spacing w:val="-2"/>
              <w:sz w:val="24"/>
              <w:szCs w:val="24"/>
            </w:rPr>
            <w:t>272</w:t>
          </w:r>
          <w:r>
            <w:rPr>
              <w:rFonts w:ascii="Times New Roman" w:hAnsi="Times New Roman" w:eastAsia="Times New Roman" w:cs="Times New Roman"/>
              <w:b/>
              <w:bCs/>
              <w:spacing w:val="-2"/>
              <w:sz w:val="24"/>
              <w:szCs w:val="24"/>
            </w:rPr>
            <w:fldChar w:fldCharType="end"/>
          </w:r>
        </w:p>
        <w:p w14:paraId="145CA672">
          <w:pPr>
            <w:tabs>
              <w:tab w:val="right" w:leader="dot" w:pos="8319"/>
            </w:tabs>
            <w:spacing w:before="205" w:line="228" w:lineRule="auto"/>
            <w:ind w:left="478"/>
            <w:rPr>
              <w:rFonts w:ascii="Calibri" w:hAnsi="Calibri" w:eastAsia="Calibri" w:cs="Calibri"/>
              <w:sz w:val="21"/>
              <w:szCs w:val="21"/>
            </w:rPr>
          </w:pPr>
          <w:r>
            <w:fldChar w:fldCharType="begin"/>
          </w:r>
          <w:r>
            <w:instrText xml:space="preserve"> HYPERLINK \l "bookmark38" </w:instrText>
          </w:r>
          <w:r>
            <w:fldChar w:fldCharType="separate"/>
          </w:r>
          <w:r>
            <w:rPr>
              <w:rFonts w:ascii="Times New Roman" w:hAnsi="Times New Roman" w:eastAsia="Times New Roman" w:cs="Times New Roman"/>
              <w:spacing w:val="4"/>
              <w:sz w:val="21"/>
              <w:szCs w:val="21"/>
            </w:rPr>
            <w:t>7.1</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环境管理</w:t>
          </w:r>
          <w:r>
            <w:rPr>
              <w:rFonts w:ascii="宋体" w:hAnsi="宋体" w:eastAsia="宋体" w:cs="宋体"/>
              <w:spacing w:val="-61"/>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z w:val="21"/>
              <w:szCs w:val="21"/>
            </w:rPr>
            <w:t>272</w:t>
          </w:r>
          <w:r>
            <w:rPr>
              <w:rFonts w:ascii="Calibri" w:hAnsi="Calibri" w:eastAsia="Calibri" w:cs="Calibri"/>
              <w:sz w:val="21"/>
              <w:szCs w:val="21"/>
            </w:rPr>
            <w:fldChar w:fldCharType="end"/>
          </w:r>
        </w:p>
        <w:p w14:paraId="7BA3866F">
          <w:pPr>
            <w:tabs>
              <w:tab w:val="right" w:leader="dot" w:pos="8320"/>
            </w:tabs>
            <w:spacing w:before="300" w:line="228" w:lineRule="auto"/>
            <w:ind w:left="478"/>
            <w:rPr>
              <w:rFonts w:ascii="Calibri" w:hAnsi="Calibri" w:eastAsia="Calibri" w:cs="Calibri"/>
              <w:sz w:val="21"/>
              <w:szCs w:val="21"/>
            </w:rPr>
          </w:pPr>
          <w:r>
            <w:fldChar w:fldCharType="begin"/>
          </w:r>
          <w:r>
            <w:instrText xml:space="preserve"> HYPERLINK \l "bookmark39" </w:instrText>
          </w:r>
          <w:r>
            <w:fldChar w:fldCharType="separate"/>
          </w:r>
          <w:r>
            <w:rPr>
              <w:rFonts w:ascii="Times New Roman" w:hAnsi="Times New Roman" w:eastAsia="Times New Roman" w:cs="Times New Roman"/>
              <w:spacing w:val="6"/>
              <w:sz w:val="21"/>
              <w:szCs w:val="21"/>
            </w:rPr>
            <w:t xml:space="preserve">7.2  </w:t>
          </w:r>
          <w:r>
            <w:rPr>
              <w:rFonts w:ascii="宋体" w:hAnsi="宋体" w:eastAsia="宋体" w:cs="宋体"/>
              <w:spacing w:val="6"/>
              <w:sz w:val="21"/>
              <w:szCs w:val="21"/>
            </w:rPr>
            <w:t>环境管理目的</w:t>
          </w:r>
          <w:r>
            <w:rPr>
              <w:rFonts w:ascii="宋体" w:hAnsi="宋体" w:eastAsia="宋体" w:cs="宋体"/>
              <w:spacing w:val="-58"/>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272</w:t>
          </w:r>
          <w:r>
            <w:rPr>
              <w:rFonts w:ascii="Calibri" w:hAnsi="Calibri" w:eastAsia="Calibri" w:cs="Calibri"/>
              <w:sz w:val="21"/>
              <w:szCs w:val="21"/>
            </w:rPr>
            <w:fldChar w:fldCharType="end"/>
          </w:r>
        </w:p>
        <w:p w14:paraId="184BF06B">
          <w:pPr>
            <w:tabs>
              <w:tab w:val="right" w:leader="dot" w:pos="8322"/>
            </w:tabs>
            <w:spacing w:before="299" w:line="227" w:lineRule="auto"/>
            <w:ind w:left="478"/>
            <w:rPr>
              <w:rFonts w:ascii="Calibri" w:hAnsi="Calibri" w:eastAsia="Calibri" w:cs="Calibri"/>
              <w:sz w:val="21"/>
              <w:szCs w:val="21"/>
            </w:rPr>
          </w:pPr>
          <w:r>
            <w:fldChar w:fldCharType="begin"/>
          </w:r>
          <w:r>
            <w:instrText xml:space="preserve"> HYPERLINK \l "bookmark40" </w:instrText>
          </w:r>
          <w:r>
            <w:fldChar w:fldCharType="separate"/>
          </w:r>
          <w:r>
            <w:rPr>
              <w:rFonts w:ascii="Times New Roman" w:hAnsi="Times New Roman" w:eastAsia="Times New Roman" w:cs="Times New Roman"/>
              <w:spacing w:val="6"/>
              <w:sz w:val="21"/>
              <w:szCs w:val="21"/>
            </w:rPr>
            <w:t xml:space="preserve">7.3  </w:t>
          </w:r>
          <w:r>
            <w:rPr>
              <w:rFonts w:ascii="宋体" w:hAnsi="宋体" w:eastAsia="宋体" w:cs="宋体"/>
              <w:spacing w:val="6"/>
              <w:sz w:val="21"/>
              <w:szCs w:val="21"/>
            </w:rPr>
            <w:t>环境管理基本原则</w:t>
          </w:r>
          <w:r>
            <w:rPr>
              <w:rFonts w:ascii="宋体" w:hAnsi="宋体" w:eastAsia="宋体" w:cs="宋体"/>
              <w:spacing w:val="-48"/>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272</w:t>
          </w:r>
          <w:r>
            <w:rPr>
              <w:rFonts w:ascii="Calibri" w:hAnsi="Calibri" w:eastAsia="Calibri" w:cs="Calibri"/>
              <w:sz w:val="21"/>
              <w:szCs w:val="21"/>
            </w:rPr>
            <w:fldChar w:fldCharType="end"/>
          </w:r>
        </w:p>
        <w:p w14:paraId="40A09CDF">
          <w:pPr>
            <w:tabs>
              <w:tab w:val="right" w:leader="dot" w:pos="8322"/>
            </w:tabs>
            <w:spacing w:before="301" w:line="227" w:lineRule="auto"/>
            <w:ind w:left="478"/>
            <w:rPr>
              <w:rFonts w:ascii="Calibri" w:hAnsi="Calibri" w:eastAsia="Calibri" w:cs="Calibri"/>
              <w:sz w:val="21"/>
              <w:szCs w:val="21"/>
            </w:rPr>
          </w:pPr>
          <w:r>
            <w:fldChar w:fldCharType="begin"/>
          </w:r>
          <w:r>
            <w:instrText xml:space="preserve"> HYPERLINK \l "bookmark41" </w:instrText>
          </w:r>
          <w:r>
            <w:fldChar w:fldCharType="separate"/>
          </w:r>
          <w:r>
            <w:rPr>
              <w:rFonts w:ascii="Times New Roman" w:hAnsi="Times New Roman" w:eastAsia="Times New Roman" w:cs="Times New Roman"/>
              <w:spacing w:val="7"/>
              <w:sz w:val="21"/>
              <w:szCs w:val="21"/>
            </w:rPr>
            <w:t xml:space="preserve">7.4  </w:t>
          </w:r>
          <w:r>
            <w:rPr>
              <w:rFonts w:ascii="宋体" w:hAnsi="宋体" w:eastAsia="宋体" w:cs="宋体"/>
              <w:spacing w:val="7"/>
              <w:sz w:val="21"/>
              <w:szCs w:val="21"/>
            </w:rPr>
            <w:t>设立环境保护管理机构</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272</w:t>
          </w:r>
          <w:r>
            <w:rPr>
              <w:rFonts w:ascii="Calibri" w:hAnsi="Calibri" w:eastAsia="Calibri" w:cs="Calibri"/>
              <w:sz w:val="21"/>
              <w:szCs w:val="21"/>
            </w:rPr>
            <w:fldChar w:fldCharType="end"/>
          </w:r>
        </w:p>
        <w:p w14:paraId="47168664">
          <w:pPr>
            <w:tabs>
              <w:tab w:val="right" w:leader="dot" w:pos="8320"/>
            </w:tabs>
            <w:spacing w:before="300" w:line="228" w:lineRule="auto"/>
            <w:ind w:left="478"/>
            <w:rPr>
              <w:rFonts w:ascii="Calibri" w:hAnsi="Calibri" w:eastAsia="Calibri" w:cs="Calibri"/>
              <w:sz w:val="21"/>
              <w:szCs w:val="21"/>
            </w:rPr>
          </w:pPr>
          <w:r>
            <w:fldChar w:fldCharType="begin"/>
          </w:r>
          <w:r>
            <w:instrText xml:space="preserve"> HYPERLINK \l "bookmark42" </w:instrText>
          </w:r>
          <w:r>
            <w:fldChar w:fldCharType="separate"/>
          </w:r>
          <w:r>
            <w:rPr>
              <w:rFonts w:ascii="Times New Roman" w:hAnsi="Times New Roman" w:eastAsia="Times New Roman" w:cs="Times New Roman"/>
              <w:spacing w:val="6"/>
              <w:sz w:val="21"/>
              <w:szCs w:val="21"/>
            </w:rPr>
            <w:t xml:space="preserve">7.5  </w:t>
          </w:r>
          <w:r>
            <w:rPr>
              <w:rFonts w:ascii="宋体" w:hAnsi="宋体" w:eastAsia="宋体" w:cs="宋体"/>
              <w:spacing w:val="6"/>
              <w:sz w:val="21"/>
              <w:szCs w:val="21"/>
            </w:rPr>
            <w:t>环境管理台账</w:t>
          </w:r>
          <w:r>
            <w:rPr>
              <w:rFonts w:ascii="宋体" w:hAnsi="宋体" w:eastAsia="宋体" w:cs="宋体"/>
              <w:spacing w:val="-58"/>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277</w:t>
          </w:r>
          <w:r>
            <w:rPr>
              <w:rFonts w:ascii="Calibri" w:hAnsi="Calibri" w:eastAsia="Calibri" w:cs="Calibri"/>
              <w:sz w:val="21"/>
              <w:szCs w:val="21"/>
            </w:rPr>
            <w:fldChar w:fldCharType="end"/>
          </w:r>
        </w:p>
        <w:p w14:paraId="79012229">
          <w:pPr>
            <w:tabs>
              <w:tab w:val="right" w:leader="dot" w:pos="8320"/>
            </w:tabs>
            <w:spacing w:before="299" w:line="229" w:lineRule="auto"/>
            <w:ind w:left="478"/>
            <w:rPr>
              <w:rFonts w:ascii="Calibri" w:hAnsi="Calibri" w:eastAsia="Calibri" w:cs="Calibri"/>
              <w:sz w:val="21"/>
              <w:szCs w:val="21"/>
            </w:rPr>
          </w:pPr>
          <w:r>
            <w:fldChar w:fldCharType="begin"/>
          </w:r>
          <w:r>
            <w:instrText xml:space="preserve"> HYPERLINK \l "bookmark43" </w:instrText>
          </w:r>
          <w:r>
            <w:fldChar w:fldCharType="separate"/>
          </w:r>
          <w:r>
            <w:rPr>
              <w:rFonts w:ascii="Times New Roman" w:hAnsi="Times New Roman" w:eastAsia="Times New Roman" w:cs="Times New Roman"/>
              <w:spacing w:val="6"/>
              <w:sz w:val="21"/>
              <w:szCs w:val="21"/>
            </w:rPr>
            <w:t xml:space="preserve">7.6  </w:t>
          </w:r>
          <w:r>
            <w:rPr>
              <w:rFonts w:ascii="宋体" w:hAnsi="宋体" w:eastAsia="宋体" w:cs="宋体"/>
              <w:spacing w:val="6"/>
              <w:sz w:val="21"/>
              <w:szCs w:val="21"/>
            </w:rPr>
            <w:t>环境监测计划</w:t>
          </w:r>
          <w:r>
            <w:rPr>
              <w:rFonts w:ascii="宋体" w:hAnsi="宋体" w:eastAsia="宋体" w:cs="宋体"/>
              <w:spacing w:val="-58"/>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278</w:t>
          </w:r>
          <w:r>
            <w:rPr>
              <w:rFonts w:ascii="Calibri" w:hAnsi="Calibri" w:eastAsia="Calibri" w:cs="Calibri"/>
              <w:sz w:val="21"/>
              <w:szCs w:val="21"/>
            </w:rPr>
            <w:fldChar w:fldCharType="end"/>
          </w:r>
        </w:p>
        <w:p w14:paraId="36F65EF4">
          <w:pPr>
            <w:tabs>
              <w:tab w:val="right" w:leader="dot" w:pos="8322"/>
            </w:tabs>
            <w:spacing w:before="299" w:line="228" w:lineRule="auto"/>
            <w:ind w:left="478"/>
            <w:rPr>
              <w:rFonts w:ascii="Calibri" w:hAnsi="Calibri" w:eastAsia="Calibri" w:cs="Calibri"/>
              <w:sz w:val="21"/>
              <w:szCs w:val="21"/>
            </w:rPr>
          </w:pPr>
          <w:r>
            <w:fldChar w:fldCharType="begin"/>
          </w:r>
          <w:r>
            <w:instrText xml:space="preserve"> HYPERLINK \l "bookmark44" </w:instrText>
          </w:r>
          <w:r>
            <w:fldChar w:fldCharType="separate"/>
          </w:r>
          <w:r>
            <w:rPr>
              <w:rFonts w:ascii="Times New Roman" w:hAnsi="Times New Roman" w:eastAsia="Times New Roman" w:cs="Times New Roman"/>
              <w:spacing w:val="6"/>
              <w:sz w:val="21"/>
              <w:szCs w:val="21"/>
            </w:rPr>
            <w:t xml:space="preserve">7.7  </w:t>
          </w:r>
          <w:r>
            <w:rPr>
              <w:rFonts w:ascii="宋体" w:hAnsi="宋体" w:eastAsia="宋体" w:cs="宋体"/>
              <w:spacing w:val="6"/>
              <w:sz w:val="21"/>
              <w:szCs w:val="21"/>
            </w:rPr>
            <w:t>竣工环境保护验收</w:t>
          </w:r>
          <w:r>
            <w:rPr>
              <w:rFonts w:ascii="宋体" w:hAnsi="宋体" w:eastAsia="宋体" w:cs="宋体"/>
              <w:spacing w:val="-48"/>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279</w:t>
          </w:r>
          <w:r>
            <w:rPr>
              <w:rFonts w:ascii="Calibri" w:hAnsi="Calibri" w:eastAsia="Calibri" w:cs="Calibri"/>
              <w:sz w:val="21"/>
              <w:szCs w:val="21"/>
            </w:rPr>
            <w:fldChar w:fldCharType="end"/>
          </w:r>
        </w:p>
        <w:p w14:paraId="015DF0C2">
          <w:pPr>
            <w:tabs>
              <w:tab w:val="right" w:leader="dot" w:pos="8580"/>
            </w:tabs>
            <w:spacing w:before="290" w:line="218" w:lineRule="auto"/>
            <w:ind w:left="39"/>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宋体" w:hAnsi="宋体" w:eastAsia="宋体" w:cs="宋体"/>
              <w:b/>
              <w:bCs/>
              <w:spacing w:val="-4"/>
              <w:sz w:val="24"/>
              <w:szCs w:val="24"/>
            </w:rPr>
            <w:t>第八章</w:t>
          </w:r>
          <w:r>
            <w:rPr>
              <w:rFonts w:ascii="宋体" w:hAnsi="宋体" w:eastAsia="宋体" w:cs="宋体"/>
              <w:spacing w:val="51"/>
              <w:sz w:val="24"/>
              <w:szCs w:val="24"/>
            </w:rPr>
            <w:t xml:space="preserve">  </w:t>
          </w:r>
          <w:r>
            <w:rPr>
              <w:rFonts w:ascii="宋体" w:hAnsi="宋体" w:eastAsia="宋体" w:cs="宋体"/>
              <w:b/>
              <w:bCs/>
              <w:spacing w:val="-4"/>
              <w:sz w:val="24"/>
              <w:szCs w:val="24"/>
            </w:rPr>
            <w:t>环境影响评价结论</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85"/>
              <w:sz w:val="24"/>
              <w:szCs w:val="24"/>
            </w:rPr>
            <w:t xml:space="preserve"> </w:t>
          </w:r>
          <w:r>
            <w:rPr>
              <w:rFonts w:ascii="Times New Roman" w:hAnsi="Times New Roman" w:eastAsia="Times New Roman" w:cs="Times New Roman"/>
              <w:b/>
              <w:bCs/>
              <w:spacing w:val="-2"/>
              <w:sz w:val="24"/>
              <w:szCs w:val="24"/>
            </w:rPr>
            <w:t>282</w:t>
          </w:r>
          <w:r>
            <w:rPr>
              <w:rFonts w:ascii="Times New Roman" w:hAnsi="Times New Roman" w:eastAsia="Times New Roman" w:cs="Times New Roman"/>
              <w:b/>
              <w:bCs/>
              <w:spacing w:val="-2"/>
              <w:sz w:val="24"/>
              <w:szCs w:val="24"/>
            </w:rPr>
            <w:fldChar w:fldCharType="end"/>
          </w:r>
        </w:p>
        <w:p w14:paraId="23B98920">
          <w:pPr>
            <w:tabs>
              <w:tab w:val="right" w:leader="dot" w:pos="8319"/>
            </w:tabs>
            <w:spacing w:before="205" w:line="228" w:lineRule="auto"/>
            <w:ind w:left="483"/>
            <w:rPr>
              <w:rFonts w:ascii="Calibri" w:hAnsi="Calibri" w:eastAsia="Calibri" w:cs="Calibri"/>
              <w:sz w:val="21"/>
              <w:szCs w:val="21"/>
            </w:rPr>
          </w:pPr>
          <w:r>
            <w:fldChar w:fldCharType="begin"/>
          </w:r>
          <w:r>
            <w:instrText xml:space="preserve"> HYPERLINK \l "bookmark46" </w:instrText>
          </w:r>
          <w:r>
            <w:fldChar w:fldCharType="separate"/>
          </w:r>
          <w:r>
            <w:rPr>
              <w:rFonts w:ascii="Times New Roman" w:hAnsi="Times New Roman" w:eastAsia="Times New Roman" w:cs="Times New Roman"/>
              <w:spacing w:val="3"/>
              <w:sz w:val="21"/>
              <w:szCs w:val="21"/>
            </w:rPr>
            <w:t>8.1</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项目概况</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z w:val="21"/>
              <w:szCs w:val="21"/>
            </w:rPr>
            <w:t>282</w:t>
          </w:r>
          <w:r>
            <w:rPr>
              <w:rFonts w:ascii="Calibri" w:hAnsi="Calibri" w:eastAsia="Calibri" w:cs="Calibri"/>
              <w:sz w:val="21"/>
              <w:szCs w:val="21"/>
            </w:rPr>
            <w:fldChar w:fldCharType="end"/>
          </w:r>
        </w:p>
        <w:p w14:paraId="0AB5904F">
          <w:pPr>
            <w:tabs>
              <w:tab w:val="right" w:leader="dot" w:pos="8320"/>
            </w:tabs>
            <w:spacing w:before="299" w:line="228" w:lineRule="auto"/>
            <w:ind w:left="483"/>
            <w:rPr>
              <w:rFonts w:ascii="Calibri" w:hAnsi="Calibri" w:eastAsia="Calibri" w:cs="Calibri"/>
              <w:sz w:val="21"/>
              <w:szCs w:val="21"/>
            </w:rPr>
          </w:pPr>
          <w:r>
            <w:fldChar w:fldCharType="begin"/>
          </w:r>
          <w:r>
            <w:instrText xml:space="preserve"> HYPERLINK \l "bookmark47" </w:instrText>
          </w:r>
          <w:r>
            <w:fldChar w:fldCharType="separate"/>
          </w:r>
          <w:r>
            <w:rPr>
              <w:rFonts w:ascii="Times New Roman" w:hAnsi="Times New Roman" w:eastAsia="Times New Roman" w:cs="Times New Roman"/>
              <w:spacing w:val="5"/>
              <w:sz w:val="21"/>
              <w:szCs w:val="21"/>
            </w:rPr>
            <w:t xml:space="preserve">8.2  </w:t>
          </w:r>
          <w:r>
            <w:rPr>
              <w:rFonts w:ascii="宋体" w:hAnsi="宋体" w:eastAsia="宋体" w:cs="宋体"/>
              <w:spacing w:val="5"/>
              <w:sz w:val="21"/>
              <w:szCs w:val="21"/>
            </w:rPr>
            <w:t>环境质量现状</w:t>
          </w:r>
          <w:r>
            <w:rPr>
              <w:rFonts w:ascii="宋体" w:hAnsi="宋体" w:eastAsia="宋体" w:cs="宋体"/>
              <w:spacing w:val="-52"/>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282</w:t>
          </w:r>
          <w:r>
            <w:rPr>
              <w:rFonts w:ascii="Calibri" w:hAnsi="Calibri" w:eastAsia="Calibri" w:cs="Calibri"/>
              <w:sz w:val="21"/>
              <w:szCs w:val="21"/>
            </w:rPr>
            <w:fldChar w:fldCharType="end"/>
          </w:r>
        </w:p>
        <w:p w14:paraId="140EB034">
          <w:pPr>
            <w:tabs>
              <w:tab w:val="right" w:leader="dot" w:pos="8322"/>
            </w:tabs>
            <w:spacing w:before="299" w:line="229" w:lineRule="auto"/>
            <w:ind w:left="483"/>
            <w:rPr>
              <w:rFonts w:ascii="Calibri" w:hAnsi="Calibri" w:eastAsia="Calibri" w:cs="Calibri"/>
              <w:sz w:val="21"/>
              <w:szCs w:val="21"/>
            </w:rPr>
          </w:pPr>
          <w:r>
            <w:fldChar w:fldCharType="begin"/>
          </w:r>
          <w:r>
            <w:instrText xml:space="preserve"> HYPERLINK \l "bookmark48" </w:instrText>
          </w:r>
          <w:r>
            <w:fldChar w:fldCharType="separate"/>
          </w:r>
          <w:r>
            <w:rPr>
              <w:rFonts w:ascii="Times New Roman" w:hAnsi="Times New Roman" w:eastAsia="Times New Roman" w:cs="Times New Roman"/>
              <w:spacing w:val="6"/>
              <w:sz w:val="21"/>
              <w:szCs w:val="21"/>
            </w:rPr>
            <w:t xml:space="preserve">8.3  </w:t>
          </w:r>
          <w:r>
            <w:rPr>
              <w:rFonts w:ascii="宋体" w:hAnsi="宋体" w:eastAsia="宋体" w:cs="宋体"/>
              <w:spacing w:val="6"/>
              <w:sz w:val="21"/>
              <w:szCs w:val="21"/>
            </w:rPr>
            <w:t>污染物排放情况</w:t>
          </w:r>
          <w:r>
            <w:rPr>
              <w:rFonts w:ascii="宋体" w:hAnsi="宋体" w:eastAsia="宋体" w:cs="宋体"/>
              <w:spacing w:val="-58"/>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z w:val="21"/>
              <w:szCs w:val="21"/>
            </w:rPr>
            <w:t>283</w:t>
          </w:r>
          <w:r>
            <w:rPr>
              <w:rFonts w:ascii="Calibri" w:hAnsi="Calibri" w:eastAsia="Calibri" w:cs="Calibri"/>
              <w:sz w:val="21"/>
              <w:szCs w:val="21"/>
            </w:rPr>
            <w:fldChar w:fldCharType="end"/>
          </w:r>
        </w:p>
        <w:p w14:paraId="1C49B7E0">
          <w:pPr>
            <w:tabs>
              <w:tab w:val="right" w:leader="dot" w:pos="8320"/>
            </w:tabs>
            <w:spacing w:before="299" w:line="229" w:lineRule="auto"/>
            <w:ind w:left="483"/>
            <w:rPr>
              <w:rFonts w:ascii="Calibri" w:hAnsi="Calibri" w:eastAsia="Calibri" w:cs="Calibri"/>
              <w:sz w:val="21"/>
              <w:szCs w:val="21"/>
            </w:rPr>
          </w:pPr>
          <w:r>
            <w:fldChar w:fldCharType="begin"/>
          </w:r>
          <w:r>
            <w:instrText xml:space="preserve"> HYPERLINK \l "bookmark49" </w:instrText>
          </w:r>
          <w:r>
            <w:fldChar w:fldCharType="separate"/>
          </w:r>
          <w:r>
            <w:rPr>
              <w:rFonts w:ascii="Times New Roman" w:hAnsi="Times New Roman" w:eastAsia="Times New Roman" w:cs="Times New Roman"/>
              <w:spacing w:val="5"/>
              <w:sz w:val="21"/>
              <w:szCs w:val="21"/>
            </w:rPr>
            <w:t xml:space="preserve">8.4  </w:t>
          </w:r>
          <w:r>
            <w:rPr>
              <w:rFonts w:ascii="宋体" w:hAnsi="宋体" w:eastAsia="宋体" w:cs="宋体"/>
              <w:spacing w:val="5"/>
              <w:sz w:val="21"/>
              <w:szCs w:val="21"/>
            </w:rPr>
            <w:t>主要环境影响</w:t>
          </w:r>
          <w:r>
            <w:rPr>
              <w:rFonts w:ascii="宋体" w:hAnsi="宋体" w:eastAsia="宋体" w:cs="宋体"/>
              <w:spacing w:val="-52"/>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283</w:t>
          </w:r>
          <w:r>
            <w:rPr>
              <w:rFonts w:ascii="Calibri" w:hAnsi="Calibri" w:eastAsia="Calibri" w:cs="Calibri"/>
              <w:sz w:val="21"/>
              <w:szCs w:val="21"/>
            </w:rPr>
            <w:fldChar w:fldCharType="end"/>
          </w:r>
        </w:p>
        <w:p w14:paraId="265D46E5">
          <w:pPr>
            <w:tabs>
              <w:tab w:val="right" w:leader="dot" w:pos="8320"/>
            </w:tabs>
            <w:spacing w:before="298" w:line="229" w:lineRule="auto"/>
            <w:ind w:left="483"/>
            <w:rPr>
              <w:rFonts w:ascii="Calibri" w:hAnsi="Calibri" w:eastAsia="Calibri" w:cs="Calibri"/>
              <w:sz w:val="21"/>
              <w:szCs w:val="21"/>
            </w:rPr>
          </w:pPr>
          <w:r>
            <w:fldChar w:fldCharType="begin"/>
          </w:r>
          <w:r>
            <w:instrText xml:space="preserve"> HYPERLINK \l "bookmark50" </w:instrText>
          </w:r>
          <w:r>
            <w:fldChar w:fldCharType="separate"/>
          </w:r>
          <w:r>
            <w:rPr>
              <w:rFonts w:ascii="Times New Roman" w:hAnsi="Times New Roman" w:eastAsia="Times New Roman" w:cs="Times New Roman"/>
              <w:spacing w:val="5"/>
              <w:sz w:val="21"/>
              <w:szCs w:val="21"/>
            </w:rPr>
            <w:t xml:space="preserve">8.5  </w:t>
          </w:r>
          <w:r>
            <w:rPr>
              <w:rFonts w:ascii="宋体" w:hAnsi="宋体" w:eastAsia="宋体" w:cs="宋体"/>
              <w:spacing w:val="5"/>
              <w:sz w:val="21"/>
              <w:szCs w:val="21"/>
            </w:rPr>
            <w:t>环境保护措施</w:t>
          </w:r>
          <w:r>
            <w:rPr>
              <w:rFonts w:ascii="宋体" w:hAnsi="宋体" w:eastAsia="宋体" w:cs="宋体"/>
              <w:spacing w:val="-52"/>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285</w:t>
          </w:r>
          <w:r>
            <w:rPr>
              <w:rFonts w:ascii="Calibri" w:hAnsi="Calibri" w:eastAsia="Calibri" w:cs="Calibri"/>
              <w:sz w:val="21"/>
              <w:szCs w:val="21"/>
            </w:rPr>
            <w:fldChar w:fldCharType="end"/>
          </w:r>
        </w:p>
      </w:sdtContent>
    </w:sdt>
    <w:p w14:paraId="4E0F6925">
      <w:pPr>
        <w:spacing w:line="229" w:lineRule="auto"/>
        <w:rPr>
          <w:rFonts w:ascii="Calibri" w:hAnsi="Calibri" w:eastAsia="Calibri" w:cs="Calibri"/>
          <w:sz w:val="21"/>
          <w:szCs w:val="21"/>
        </w:rPr>
        <w:sectPr>
          <w:footerReference r:id="rId7" w:type="default"/>
          <w:pgSz w:w="11905" w:h="16840"/>
          <w:pgMar w:top="1168" w:right="1554" w:bottom="1408" w:left="1770" w:header="828" w:footer="1244" w:gutter="0"/>
          <w:cols w:space="720" w:num="1"/>
        </w:sectPr>
      </w:pPr>
    </w:p>
    <w:p w14:paraId="2D54C2BD">
      <w:pPr>
        <w:pStyle w:val="2"/>
        <w:spacing w:line="271" w:lineRule="auto"/>
      </w:pPr>
    </w:p>
    <w:sdt>
      <w:sdtPr>
        <w:rPr>
          <w:rFonts w:ascii="Times New Roman" w:hAnsi="Times New Roman" w:eastAsia="Times New Roman" w:cs="Times New Roman"/>
          <w:sz w:val="21"/>
          <w:szCs w:val="21"/>
        </w:rPr>
        <w:id w:val="147482069"/>
        <w:docPartObj>
          <w:docPartGallery w:val="Table of Contents"/>
          <w:docPartUnique/>
        </w:docPartObj>
      </w:sdtPr>
      <w:sdtEndPr>
        <w:rPr>
          <w:rFonts w:ascii="Times New Roman" w:hAnsi="Times New Roman" w:eastAsia="Times New Roman" w:cs="Times New Roman"/>
          <w:sz w:val="24"/>
          <w:szCs w:val="24"/>
        </w:rPr>
      </w:sdtEndPr>
      <w:sdtContent>
        <w:p w14:paraId="42691BA1">
          <w:pPr>
            <w:tabs>
              <w:tab w:val="right" w:leader="dot" w:pos="8322"/>
            </w:tabs>
            <w:spacing w:before="68" w:line="229" w:lineRule="auto"/>
            <w:ind w:left="483"/>
            <w:rPr>
              <w:rFonts w:ascii="Calibri" w:hAnsi="Calibri" w:eastAsia="Calibri" w:cs="Calibri"/>
              <w:sz w:val="21"/>
              <w:szCs w:val="21"/>
            </w:rPr>
          </w:pPr>
          <w:bookmarkStart w:id="1" w:name="bookmark51"/>
          <w:bookmarkEnd w:id="1"/>
          <w:bookmarkStart w:id="2" w:name="bookmark4"/>
          <w:bookmarkEnd w:id="2"/>
          <w:r>
            <w:fldChar w:fldCharType="begin"/>
          </w:r>
          <w:r>
            <w:instrText xml:space="preserve"> HYPERLINK \l "bookmark52" </w:instrText>
          </w:r>
          <w:r>
            <w:fldChar w:fldCharType="separate"/>
          </w:r>
          <w:r>
            <w:rPr>
              <w:rFonts w:ascii="Times New Roman" w:hAnsi="Times New Roman" w:eastAsia="Times New Roman" w:cs="Times New Roman"/>
              <w:spacing w:val="6"/>
              <w:sz w:val="21"/>
              <w:szCs w:val="21"/>
            </w:rPr>
            <w:t xml:space="preserve">8.6  </w:t>
          </w:r>
          <w:r>
            <w:rPr>
              <w:rFonts w:ascii="宋体" w:hAnsi="宋体" w:eastAsia="宋体" w:cs="宋体"/>
              <w:spacing w:val="6"/>
              <w:sz w:val="21"/>
              <w:szCs w:val="21"/>
            </w:rPr>
            <w:t>环境影响经济损益分析</w:t>
          </w:r>
          <w:r>
            <w:rPr>
              <w:rFonts w:ascii="宋体" w:hAnsi="宋体" w:eastAsia="宋体" w:cs="宋体"/>
              <w:spacing w:val="-44"/>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286</w:t>
          </w:r>
          <w:r>
            <w:rPr>
              <w:rFonts w:ascii="Calibri" w:hAnsi="Calibri" w:eastAsia="Calibri" w:cs="Calibri"/>
              <w:sz w:val="21"/>
              <w:szCs w:val="21"/>
            </w:rPr>
            <w:fldChar w:fldCharType="end"/>
          </w:r>
        </w:p>
        <w:p w14:paraId="5756A709">
          <w:pPr>
            <w:tabs>
              <w:tab w:val="right" w:leader="dot" w:pos="8322"/>
            </w:tabs>
            <w:spacing w:before="299" w:line="228" w:lineRule="auto"/>
            <w:ind w:left="483"/>
            <w:rPr>
              <w:rFonts w:ascii="Calibri" w:hAnsi="Calibri" w:eastAsia="Calibri" w:cs="Calibri"/>
              <w:sz w:val="21"/>
              <w:szCs w:val="21"/>
            </w:rPr>
          </w:pPr>
          <w:r>
            <w:fldChar w:fldCharType="begin"/>
          </w:r>
          <w:r>
            <w:instrText xml:space="preserve"> HYPERLINK \l "bookmark53" </w:instrText>
          </w:r>
          <w:r>
            <w:fldChar w:fldCharType="separate"/>
          </w:r>
          <w:r>
            <w:rPr>
              <w:rFonts w:ascii="Times New Roman" w:hAnsi="Times New Roman" w:eastAsia="Times New Roman" w:cs="Times New Roman"/>
              <w:spacing w:val="6"/>
              <w:sz w:val="21"/>
              <w:szCs w:val="21"/>
            </w:rPr>
            <w:t xml:space="preserve">8.7  </w:t>
          </w:r>
          <w:r>
            <w:rPr>
              <w:rFonts w:ascii="宋体" w:hAnsi="宋体" w:eastAsia="宋体" w:cs="宋体"/>
              <w:spacing w:val="6"/>
              <w:sz w:val="21"/>
              <w:szCs w:val="21"/>
            </w:rPr>
            <w:t>环境管理与监测计划</w:t>
          </w:r>
          <w:r>
            <w:rPr>
              <w:rFonts w:ascii="宋体" w:hAnsi="宋体" w:eastAsia="宋体" w:cs="宋体"/>
              <w:spacing w:val="-49"/>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286</w:t>
          </w:r>
          <w:r>
            <w:rPr>
              <w:rFonts w:ascii="Calibri" w:hAnsi="Calibri" w:eastAsia="Calibri" w:cs="Calibri"/>
              <w:sz w:val="21"/>
              <w:szCs w:val="21"/>
            </w:rPr>
            <w:fldChar w:fldCharType="end"/>
          </w:r>
        </w:p>
        <w:p w14:paraId="71898801">
          <w:pPr>
            <w:tabs>
              <w:tab w:val="right" w:leader="dot" w:pos="8319"/>
            </w:tabs>
            <w:spacing w:before="298" w:line="229" w:lineRule="auto"/>
            <w:ind w:left="483"/>
            <w:rPr>
              <w:rFonts w:ascii="Calibri" w:hAnsi="Calibri" w:eastAsia="Calibri" w:cs="Calibri"/>
              <w:sz w:val="21"/>
              <w:szCs w:val="21"/>
            </w:rPr>
          </w:pPr>
          <w:r>
            <w:fldChar w:fldCharType="begin"/>
          </w:r>
          <w:r>
            <w:instrText xml:space="preserve"> HYPERLINK \l "bookmark54" </w:instrText>
          </w:r>
          <w:r>
            <w:fldChar w:fldCharType="separate"/>
          </w:r>
          <w:r>
            <w:rPr>
              <w:rFonts w:ascii="Times New Roman" w:hAnsi="Times New Roman" w:eastAsia="Times New Roman" w:cs="Times New Roman"/>
              <w:spacing w:val="3"/>
              <w:sz w:val="21"/>
              <w:szCs w:val="21"/>
            </w:rPr>
            <w:t>8.8</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总量控制</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z w:val="21"/>
              <w:szCs w:val="21"/>
            </w:rPr>
            <w:t>286</w:t>
          </w:r>
          <w:r>
            <w:rPr>
              <w:rFonts w:ascii="Calibri" w:hAnsi="Calibri" w:eastAsia="Calibri" w:cs="Calibri"/>
              <w:sz w:val="21"/>
              <w:szCs w:val="21"/>
            </w:rPr>
            <w:fldChar w:fldCharType="end"/>
          </w:r>
        </w:p>
        <w:p w14:paraId="362C3115">
          <w:pPr>
            <w:tabs>
              <w:tab w:val="right" w:leader="dot" w:pos="8322"/>
            </w:tabs>
            <w:spacing w:before="299" w:line="227" w:lineRule="auto"/>
            <w:ind w:left="483"/>
            <w:rPr>
              <w:rFonts w:ascii="Calibri" w:hAnsi="Calibri" w:eastAsia="Calibri" w:cs="Calibri"/>
              <w:sz w:val="21"/>
              <w:szCs w:val="21"/>
            </w:rPr>
          </w:pPr>
          <w:r>
            <w:fldChar w:fldCharType="begin"/>
          </w:r>
          <w:r>
            <w:instrText xml:space="preserve"> HYPERLINK \l "bookmark55" </w:instrText>
          </w:r>
          <w:r>
            <w:fldChar w:fldCharType="separate"/>
          </w:r>
          <w:r>
            <w:rPr>
              <w:rFonts w:ascii="Times New Roman" w:hAnsi="Times New Roman" w:eastAsia="Times New Roman" w:cs="Times New Roman"/>
              <w:spacing w:val="6"/>
              <w:sz w:val="21"/>
              <w:szCs w:val="21"/>
            </w:rPr>
            <w:t xml:space="preserve">8.9  </w:t>
          </w:r>
          <w:r>
            <w:rPr>
              <w:rFonts w:ascii="宋体" w:hAnsi="宋体" w:eastAsia="宋体" w:cs="宋体"/>
              <w:spacing w:val="6"/>
              <w:sz w:val="21"/>
              <w:szCs w:val="21"/>
            </w:rPr>
            <w:t>公众意见采纳情况</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286</w:t>
          </w:r>
          <w:r>
            <w:rPr>
              <w:rFonts w:ascii="Calibri" w:hAnsi="Calibri" w:eastAsia="Calibri" w:cs="Calibri"/>
              <w:sz w:val="21"/>
              <w:szCs w:val="21"/>
            </w:rPr>
            <w:fldChar w:fldCharType="end"/>
          </w:r>
        </w:p>
        <w:p w14:paraId="025F585B">
          <w:pPr>
            <w:tabs>
              <w:tab w:val="right" w:leader="dot" w:pos="8322"/>
            </w:tabs>
            <w:spacing w:before="300" w:line="227" w:lineRule="auto"/>
            <w:ind w:left="483"/>
            <w:rPr>
              <w:rFonts w:ascii="Calibri" w:hAnsi="Calibri" w:eastAsia="Calibri" w:cs="Calibri"/>
              <w:sz w:val="21"/>
              <w:szCs w:val="21"/>
            </w:rPr>
          </w:pPr>
          <w:r>
            <w:fldChar w:fldCharType="begin"/>
          </w:r>
          <w:r>
            <w:instrText xml:space="preserve"> HYPERLINK \l "bookmark56" </w:instrText>
          </w:r>
          <w:r>
            <w:fldChar w:fldCharType="separate"/>
          </w:r>
          <w:r>
            <w:rPr>
              <w:rFonts w:ascii="Times New Roman" w:hAnsi="Times New Roman" w:eastAsia="Times New Roman" w:cs="Times New Roman"/>
              <w:spacing w:val="4"/>
              <w:sz w:val="21"/>
              <w:szCs w:val="21"/>
            </w:rPr>
            <w:t>8.10</w:t>
          </w:r>
          <w:r>
            <w:rPr>
              <w:rFonts w:ascii="Times New Roman" w:hAnsi="Times New Roman" w:eastAsia="Times New Roman" w:cs="Times New Roman"/>
              <w:spacing w:val="13"/>
              <w:sz w:val="21"/>
              <w:szCs w:val="21"/>
            </w:rPr>
            <w:t xml:space="preserve">  </w:t>
          </w:r>
          <w:r>
            <w:rPr>
              <w:rFonts w:ascii="宋体" w:hAnsi="宋体" w:eastAsia="宋体" w:cs="宋体"/>
              <w:spacing w:val="4"/>
              <w:sz w:val="21"/>
              <w:szCs w:val="21"/>
            </w:rPr>
            <w:t>总体评价结论</w:t>
          </w:r>
          <w:r>
            <w:rPr>
              <w:rFonts w:ascii="宋体" w:hAnsi="宋体" w:eastAsia="宋体" w:cs="宋体"/>
              <w:spacing w:val="-58"/>
              <w:sz w:val="21"/>
              <w:szCs w:val="21"/>
            </w:rPr>
            <w:t xml:space="preserve"> </w:t>
          </w:r>
          <w:r>
            <w:rPr>
              <w:rFonts w:ascii="宋体" w:hAnsi="宋体" w:eastAsia="宋体" w:cs="宋体"/>
              <w:sz w:val="21"/>
              <w:szCs w:val="21"/>
            </w:rPr>
            <w:tab/>
          </w:r>
          <w:r>
            <w:rPr>
              <w:rFonts w:ascii="宋体" w:hAnsi="宋体" w:eastAsia="宋体" w:cs="宋体"/>
              <w:spacing w:val="-47"/>
              <w:sz w:val="21"/>
              <w:szCs w:val="21"/>
            </w:rPr>
            <w:t xml:space="preserve"> </w:t>
          </w:r>
          <w:r>
            <w:rPr>
              <w:rFonts w:ascii="Calibri" w:hAnsi="Calibri" w:eastAsia="Calibri" w:cs="Calibri"/>
              <w:sz w:val="21"/>
              <w:szCs w:val="21"/>
            </w:rPr>
            <w:t>286</w:t>
          </w:r>
          <w:r>
            <w:rPr>
              <w:rFonts w:ascii="Calibri" w:hAnsi="Calibri" w:eastAsia="Calibri" w:cs="Calibri"/>
              <w:sz w:val="21"/>
              <w:szCs w:val="21"/>
            </w:rPr>
            <w:fldChar w:fldCharType="end"/>
          </w:r>
        </w:p>
        <w:p w14:paraId="2A97C21F">
          <w:pPr>
            <w:tabs>
              <w:tab w:val="right" w:leader="dot" w:pos="8317"/>
            </w:tabs>
            <w:spacing w:before="299" w:line="229" w:lineRule="auto"/>
            <w:ind w:left="483"/>
            <w:rPr>
              <w:rFonts w:ascii="Calibri" w:hAnsi="Calibri" w:eastAsia="Calibri" w:cs="Calibri"/>
              <w:sz w:val="21"/>
              <w:szCs w:val="21"/>
            </w:rPr>
          </w:pPr>
          <w:r>
            <w:fldChar w:fldCharType="begin"/>
          </w:r>
          <w:r>
            <w:instrText xml:space="preserve"> HYPERLINK \l "bookmark57" </w:instrText>
          </w:r>
          <w:r>
            <w:fldChar w:fldCharType="separate"/>
          </w:r>
          <w:r>
            <w:rPr>
              <w:rFonts w:ascii="Times New Roman" w:hAnsi="Times New Roman" w:eastAsia="Times New Roman" w:cs="Times New Roman"/>
              <w:spacing w:val="2"/>
              <w:sz w:val="21"/>
              <w:szCs w:val="21"/>
            </w:rPr>
            <w:t>8.11</w:t>
          </w:r>
          <w:r>
            <w:rPr>
              <w:rFonts w:ascii="Times New Roman" w:hAnsi="Times New Roman" w:eastAsia="Times New Roman" w:cs="Times New Roman"/>
              <w:spacing w:val="7"/>
              <w:sz w:val="21"/>
              <w:szCs w:val="21"/>
            </w:rPr>
            <w:t xml:space="preserve">  </w:t>
          </w:r>
          <w:r>
            <w:rPr>
              <w:rFonts w:ascii="宋体" w:hAnsi="宋体" w:eastAsia="宋体" w:cs="宋体"/>
              <w:spacing w:val="2"/>
              <w:sz w:val="21"/>
              <w:szCs w:val="21"/>
            </w:rPr>
            <w:t>建议</w:t>
          </w:r>
          <w:r>
            <w:rPr>
              <w:rFonts w:ascii="宋体" w:hAnsi="宋体" w:eastAsia="宋体" w:cs="宋体"/>
              <w:spacing w:val="-61"/>
              <w:sz w:val="21"/>
              <w:szCs w:val="21"/>
            </w:rPr>
            <w:t xml:space="preserve"> </w:t>
          </w:r>
          <w:r>
            <w:rPr>
              <w:rFonts w:ascii="宋体" w:hAnsi="宋体" w:eastAsia="宋体" w:cs="宋体"/>
              <w:sz w:val="21"/>
              <w:szCs w:val="21"/>
            </w:rPr>
            <w:tab/>
          </w:r>
          <w:r>
            <w:rPr>
              <w:rFonts w:ascii="宋体" w:hAnsi="宋体" w:eastAsia="宋体" w:cs="宋体"/>
              <w:spacing w:val="-46"/>
              <w:sz w:val="21"/>
              <w:szCs w:val="21"/>
            </w:rPr>
            <w:t xml:space="preserve"> </w:t>
          </w:r>
          <w:r>
            <w:rPr>
              <w:rFonts w:ascii="Calibri" w:hAnsi="Calibri" w:eastAsia="Calibri" w:cs="Calibri"/>
              <w:sz w:val="21"/>
              <w:szCs w:val="21"/>
            </w:rPr>
            <w:t>287</w:t>
          </w:r>
          <w:r>
            <w:rPr>
              <w:rFonts w:ascii="Calibri" w:hAnsi="Calibri" w:eastAsia="Calibri" w:cs="Calibri"/>
              <w:sz w:val="21"/>
              <w:szCs w:val="21"/>
            </w:rPr>
            <w:fldChar w:fldCharType="end"/>
          </w:r>
        </w:p>
        <w:p w14:paraId="02C63E15">
          <w:pPr>
            <w:tabs>
              <w:tab w:val="right" w:leader="dot" w:pos="8580"/>
            </w:tabs>
            <w:spacing w:before="288" w:line="219" w:lineRule="auto"/>
            <w:ind w:left="58"/>
            <w:rPr>
              <w:rFonts w:ascii="Times New Roman" w:hAnsi="Times New Roman" w:eastAsia="Times New Roman" w:cs="Times New Roman"/>
              <w:sz w:val="24"/>
              <w:szCs w:val="24"/>
            </w:rPr>
          </w:pPr>
          <w:r>
            <w:fldChar w:fldCharType="begin"/>
          </w:r>
          <w:r>
            <w:instrText xml:space="preserve"> HYPERLINK \l "bookmark58" </w:instrText>
          </w:r>
          <w:r>
            <w:fldChar w:fldCharType="separate"/>
          </w:r>
          <w:r>
            <w:rPr>
              <w:rFonts w:ascii="宋体" w:hAnsi="宋体" w:eastAsia="宋体" w:cs="宋体"/>
              <w:b/>
              <w:bCs/>
              <w:spacing w:val="-8"/>
              <w:sz w:val="24"/>
              <w:szCs w:val="24"/>
            </w:rPr>
            <w:t>附图、附件</w:t>
          </w:r>
          <w:r>
            <w:rPr>
              <w:rFonts w:ascii="宋体" w:hAnsi="宋体" w:eastAsia="宋体" w:cs="宋体"/>
              <w:spacing w:val="-52"/>
              <w:sz w:val="24"/>
              <w:szCs w:val="24"/>
            </w:rPr>
            <w:t xml:space="preserve"> </w:t>
          </w:r>
          <w:r>
            <w:rPr>
              <w:rFonts w:ascii="宋体" w:hAnsi="宋体" w:eastAsia="宋体" w:cs="宋体"/>
              <w:sz w:val="24"/>
              <w:szCs w:val="24"/>
            </w:rPr>
            <w:tab/>
          </w:r>
          <w:r>
            <w:rPr>
              <w:rFonts w:ascii="宋体" w:hAnsi="宋体" w:eastAsia="宋体" w:cs="宋体"/>
              <w:spacing w:val="-85"/>
              <w:sz w:val="24"/>
              <w:szCs w:val="24"/>
            </w:rPr>
            <w:t xml:space="preserve"> </w:t>
          </w:r>
          <w:r>
            <w:rPr>
              <w:rFonts w:ascii="Times New Roman" w:hAnsi="Times New Roman" w:eastAsia="Times New Roman" w:cs="Times New Roman"/>
              <w:b/>
              <w:bCs/>
              <w:spacing w:val="-2"/>
              <w:sz w:val="24"/>
              <w:szCs w:val="24"/>
            </w:rPr>
            <w:t>288</w:t>
          </w:r>
          <w:r>
            <w:rPr>
              <w:rFonts w:ascii="Times New Roman" w:hAnsi="Times New Roman" w:eastAsia="Times New Roman" w:cs="Times New Roman"/>
              <w:b/>
              <w:bCs/>
              <w:spacing w:val="-2"/>
              <w:sz w:val="24"/>
              <w:szCs w:val="24"/>
            </w:rPr>
            <w:fldChar w:fldCharType="end"/>
          </w:r>
        </w:p>
      </w:sdtContent>
    </w:sdt>
    <w:p w14:paraId="4C117E3E">
      <w:pPr>
        <w:spacing w:line="219" w:lineRule="auto"/>
        <w:rPr>
          <w:rFonts w:ascii="Times New Roman" w:hAnsi="Times New Roman" w:eastAsia="Times New Roman" w:cs="Times New Roman"/>
          <w:sz w:val="24"/>
          <w:szCs w:val="24"/>
        </w:rPr>
        <w:sectPr>
          <w:footerReference r:id="rId8" w:type="default"/>
          <w:pgSz w:w="11905" w:h="16840"/>
          <w:pgMar w:top="1168" w:right="1554" w:bottom="1408" w:left="1770" w:header="828" w:footer="1244" w:gutter="0"/>
          <w:cols w:space="720" w:num="1"/>
        </w:sectPr>
      </w:pPr>
    </w:p>
    <w:p w14:paraId="6C0D0C0F">
      <w:pPr>
        <w:spacing w:before="362" w:line="220" w:lineRule="auto"/>
        <w:ind w:left="3758"/>
        <w:outlineLvl w:val="0"/>
        <w:rPr>
          <w:rFonts w:ascii="宋体" w:hAnsi="宋体" w:eastAsia="宋体" w:cs="宋体"/>
          <w:sz w:val="44"/>
          <w:szCs w:val="44"/>
        </w:rPr>
      </w:pPr>
      <w:bookmarkStart w:id="3" w:name="bookmark59"/>
      <w:bookmarkEnd w:id="3"/>
      <w:bookmarkStart w:id="4" w:name="bookmark1"/>
      <w:bookmarkEnd w:id="4"/>
      <w:r>
        <w:rPr>
          <w:rFonts w:ascii="宋体" w:hAnsi="宋体" w:eastAsia="宋体" w:cs="宋体"/>
          <w:b/>
          <w:bCs/>
          <w:spacing w:val="-9"/>
          <w:sz w:val="44"/>
          <w:szCs w:val="44"/>
        </w:rPr>
        <w:t>概述</w:t>
      </w:r>
    </w:p>
    <w:p w14:paraId="6D2C9590">
      <w:pPr>
        <w:spacing w:before="279" w:line="220" w:lineRule="auto"/>
        <w:ind w:left="51"/>
        <w:outlineLvl w:val="1"/>
        <w:rPr>
          <w:rFonts w:ascii="宋体" w:hAnsi="宋体" w:eastAsia="宋体" w:cs="宋体"/>
          <w:sz w:val="32"/>
          <w:szCs w:val="32"/>
        </w:rPr>
      </w:pPr>
      <w:bookmarkStart w:id="5" w:name="bookmark2"/>
      <w:bookmarkEnd w:id="5"/>
      <w:r>
        <w:rPr>
          <w:rFonts w:ascii="Times New Roman" w:hAnsi="Times New Roman" w:eastAsia="Times New Roman" w:cs="Times New Roman"/>
          <w:b/>
          <w:bCs/>
          <w:spacing w:val="-8"/>
          <w:sz w:val="32"/>
          <w:szCs w:val="32"/>
        </w:rPr>
        <w:t>1</w:t>
      </w:r>
      <w:r>
        <w:rPr>
          <w:rFonts w:ascii="宋体" w:hAnsi="宋体" w:eastAsia="宋体" w:cs="宋体"/>
          <w:b/>
          <w:bCs/>
          <w:spacing w:val="-8"/>
          <w:sz w:val="32"/>
          <w:szCs w:val="32"/>
        </w:rPr>
        <w:t>、项目由来</w:t>
      </w:r>
    </w:p>
    <w:p w14:paraId="70A6D182">
      <w:pPr>
        <w:pStyle w:val="2"/>
        <w:spacing w:line="247" w:lineRule="auto"/>
      </w:pPr>
    </w:p>
    <w:p w14:paraId="26C272DC">
      <w:pPr>
        <w:spacing w:before="78" w:line="360" w:lineRule="auto"/>
        <w:ind w:left="40" w:right="110" w:firstLine="480"/>
        <w:jc w:val="both"/>
        <w:rPr>
          <w:rFonts w:ascii="宋体" w:hAnsi="宋体" w:eastAsia="宋体" w:cs="宋体"/>
          <w:sz w:val="24"/>
          <w:szCs w:val="24"/>
        </w:rPr>
      </w:pPr>
      <w:r>
        <w:rPr>
          <w:rFonts w:ascii="宋体" w:hAnsi="宋体" w:eastAsia="宋体" w:cs="宋体"/>
          <w:spacing w:val="-3"/>
          <w:sz w:val="24"/>
          <w:szCs w:val="24"/>
        </w:rPr>
        <w:t>我国是全球最大的猪肉消费国，猪肉是我国人民肉类消费的</w:t>
      </w:r>
      <w:r>
        <w:rPr>
          <w:rFonts w:ascii="宋体" w:hAnsi="宋体" w:eastAsia="宋体" w:cs="宋体"/>
          <w:spacing w:val="-4"/>
          <w:sz w:val="24"/>
          <w:szCs w:val="24"/>
        </w:rPr>
        <w:t>主要品种。随着</w:t>
      </w:r>
      <w:r>
        <w:rPr>
          <w:rFonts w:ascii="宋体" w:hAnsi="宋体" w:eastAsia="宋体" w:cs="宋体"/>
          <w:spacing w:val="-3"/>
          <w:sz w:val="24"/>
          <w:szCs w:val="24"/>
        </w:rPr>
        <w:t>社会经济发展和人民生活水平的提高，猪肉在我国城乡居民膳食结构中的比重逐</w:t>
      </w:r>
      <w:r>
        <w:rPr>
          <w:rFonts w:ascii="宋体" w:hAnsi="宋体" w:eastAsia="宋体" w:cs="宋体"/>
          <w:spacing w:val="-6"/>
          <w:sz w:val="24"/>
          <w:szCs w:val="24"/>
        </w:rPr>
        <w:t>步提升。对《中国统计年鉴》发布的数据进行测算， 从</w:t>
      </w:r>
      <w:r>
        <w:rPr>
          <w:rFonts w:ascii="Times New Roman" w:hAnsi="Times New Roman" w:eastAsia="Times New Roman" w:cs="Times New Roman"/>
          <w:spacing w:val="-6"/>
          <w:sz w:val="24"/>
          <w:szCs w:val="24"/>
        </w:rPr>
        <w:t>1978</w:t>
      </w:r>
      <w:r>
        <w:rPr>
          <w:rFonts w:ascii="宋体" w:hAnsi="宋体" w:eastAsia="宋体" w:cs="宋体"/>
          <w:spacing w:val="-6"/>
          <w:sz w:val="24"/>
          <w:szCs w:val="24"/>
        </w:rPr>
        <w:t>年至</w:t>
      </w:r>
      <w:r>
        <w:rPr>
          <w:rFonts w:ascii="Times New Roman" w:hAnsi="Times New Roman" w:eastAsia="Times New Roman" w:cs="Times New Roman"/>
          <w:spacing w:val="-6"/>
          <w:sz w:val="24"/>
          <w:szCs w:val="24"/>
        </w:rPr>
        <w:t>2018</w:t>
      </w:r>
      <w:r>
        <w:rPr>
          <w:rFonts w:ascii="宋体" w:hAnsi="宋体" w:eastAsia="宋体" w:cs="宋体"/>
          <w:spacing w:val="-6"/>
          <w:sz w:val="24"/>
          <w:szCs w:val="24"/>
        </w:rPr>
        <w:t>年，我国人</w:t>
      </w:r>
      <w:r>
        <w:rPr>
          <w:rFonts w:ascii="宋体" w:hAnsi="宋体" w:eastAsia="宋体" w:cs="宋体"/>
          <w:spacing w:val="-3"/>
          <w:sz w:val="24"/>
          <w:szCs w:val="24"/>
        </w:rPr>
        <w:t>均猪肉消费量则从约</w:t>
      </w:r>
      <w:r>
        <w:rPr>
          <w:rFonts w:ascii="Times New Roman" w:hAnsi="Times New Roman" w:eastAsia="Times New Roman" w:cs="Times New Roman"/>
          <w:spacing w:val="-3"/>
          <w:sz w:val="24"/>
          <w:szCs w:val="24"/>
        </w:rPr>
        <w:t>8.2kg</w:t>
      </w:r>
      <w:r>
        <w:rPr>
          <w:rFonts w:ascii="宋体" w:hAnsi="宋体" w:eastAsia="宋体" w:cs="宋体"/>
          <w:spacing w:val="-3"/>
          <w:sz w:val="24"/>
          <w:szCs w:val="24"/>
        </w:rPr>
        <w:t>提高到约</w:t>
      </w:r>
      <w:r>
        <w:rPr>
          <w:rFonts w:ascii="Times New Roman" w:hAnsi="Times New Roman" w:eastAsia="Times New Roman" w:cs="Times New Roman"/>
          <w:spacing w:val="-3"/>
          <w:sz w:val="24"/>
          <w:szCs w:val="24"/>
        </w:rPr>
        <w:t>38.9kg</w:t>
      </w:r>
      <w:r>
        <w:rPr>
          <w:rFonts w:ascii="宋体" w:hAnsi="宋体" w:eastAsia="宋体" w:cs="宋体"/>
          <w:spacing w:val="-3"/>
          <w:sz w:val="24"/>
          <w:szCs w:val="24"/>
        </w:rPr>
        <w:t>。从消费量呈现快速增长的趋势可以看出，猪肉消费地位正在不断提升。预计我国居民肉类消费结构中猪肉份额会在较</w:t>
      </w:r>
      <w:r>
        <w:rPr>
          <w:rFonts w:ascii="宋体" w:hAnsi="宋体" w:eastAsia="宋体" w:cs="宋体"/>
          <w:spacing w:val="-2"/>
          <w:sz w:val="24"/>
          <w:szCs w:val="24"/>
        </w:rPr>
        <w:t>长时期内保持在</w:t>
      </w:r>
      <w:r>
        <w:rPr>
          <w:rFonts w:ascii="Times New Roman" w:hAnsi="Times New Roman" w:eastAsia="Times New Roman" w:cs="Times New Roman"/>
          <w:spacing w:val="-2"/>
          <w:sz w:val="24"/>
          <w:szCs w:val="24"/>
        </w:rPr>
        <w:t>50%</w:t>
      </w:r>
      <w:r>
        <w:rPr>
          <w:rFonts w:ascii="宋体" w:hAnsi="宋体" w:eastAsia="宋体" w:cs="宋体"/>
          <w:spacing w:val="-2"/>
          <w:sz w:val="24"/>
          <w:szCs w:val="24"/>
        </w:rPr>
        <w:t>以上，猪肉在今后较长一个时期都将是我国居民主要肉类消</w:t>
      </w:r>
      <w:r>
        <w:rPr>
          <w:rFonts w:ascii="宋体" w:hAnsi="宋体" w:eastAsia="宋体" w:cs="宋体"/>
          <w:spacing w:val="-9"/>
          <w:sz w:val="24"/>
          <w:szCs w:val="24"/>
        </w:rPr>
        <w:t>费品种。</w:t>
      </w:r>
    </w:p>
    <w:p w14:paraId="0974CA5E">
      <w:pPr>
        <w:spacing w:before="3" w:line="359" w:lineRule="auto"/>
        <w:ind w:left="41" w:right="109" w:firstLine="479"/>
        <w:jc w:val="both"/>
        <w:rPr>
          <w:rFonts w:ascii="宋体" w:hAnsi="宋体" w:eastAsia="宋体" w:cs="宋体"/>
          <w:sz w:val="24"/>
          <w:szCs w:val="24"/>
        </w:rPr>
      </w:pPr>
      <w:r>
        <w:rPr>
          <w:rFonts w:ascii="宋体" w:hAnsi="宋体" w:eastAsia="宋体" w:cs="宋体"/>
          <w:spacing w:val="-3"/>
          <w:sz w:val="24"/>
          <w:szCs w:val="24"/>
        </w:rPr>
        <w:t>我国也是全球最大的生猪养殖国，</w:t>
      </w:r>
      <w:r>
        <w:rPr>
          <w:rFonts w:ascii="Times New Roman" w:hAnsi="Times New Roman" w:eastAsia="Times New Roman" w:cs="Times New Roman"/>
          <w:spacing w:val="-3"/>
          <w:sz w:val="24"/>
          <w:szCs w:val="24"/>
        </w:rPr>
        <w:t>2018</w:t>
      </w:r>
      <w:r>
        <w:rPr>
          <w:rFonts w:ascii="宋体" w:hAnsi="宋体" w:eastAsia="宋体" w:cs="宋体"/>
          <w:spacing w:val="-3"/>
          <w:sz w:val="24"/>
          <w:szCs w:val="24"/>
        </w:rPr>
        <w:t>年生猪存栏量占世界生猪存栏总量的</w:t>
      </w:r>
      <w:r>
        <w:rPr>
          <w:rFonts w:ascii="Times New Roman" w:hAnsi="Times New Roman" w:eastAsia="Times New Roman" w:cs="Times New Roman"/>
          <w:spacing w:val="2"/>
          <w:sz w:val="24"/>
          <w:szCs w:val="24"/>
        </w:rPr>
        <w:t>56.03%</w:t>
      </w:r>
      <w:r>
        <w:rPr>
          <w:rFonts w:ascii="宋体" w:hAnsi="宋体" w:eastAsia="宋体" w:cs="宋体"/>
          <w:spacing w:val="2"/>
          <w:sz w:val="24"/>
          <w:szCs w:val="24"/>
        </w:rPr>
        <w:t>，出栏量占比为</w:t>
      </w:r>
      <w:r>
        <w:rPr>
          <w:rFonts w:ascii="Times New Roman" w:hAnsi="Times New Roman" w:eastAsia="Times New Roman" w:cs="Times New Roman"/>
          <w:spacing w:val="2"/>
          <w:sz w:val="24"/>
          <w:szCs w:val="24"/>
        </w:rPr>
        <w:t>54.56%</w:t>
      </w:r>
      <w:r>
        <w:rPr>
          <w:rFonts w:ascii="宋体" w:hAnsi="宋体" w:eastAsia="宋体" w:cs="宋体"/>
          <w:spacing w:val="2"/>
          <w:sz w:val="24"/>
          <w:szCs w:val="24"/>
        </w:rPr>
        <w:t>，均居世界第一位。从产量上看，</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年我国猪</w:t>
      </w:r>
      <w:r>
        <w:rPr>
          <w:rFonts w:ascii="宋体" w:hAnsi="宋体" w:eastAsia="宋体" w:cs="宋体"/>
          <w:spacing w:val="-1"/>
          <w:sz w:val="24"/>
          <w:szCs w:val="24"/>
        </w:rPr>
        <w:t>肉产量为</w:t>
      </w:r>
      <w:r>
        <w:rPr>
          <w:rFonts w:ascii="Times New Roman" w:hAnsi="Times New Roman" w:eastAsia="Times New Roman" w:cs="Times New Roman"/>
          <w:spacing w:val="-1"/>
          <w:sz w:val="24"/>
          <w:szCs w:val="24"/>
        </w:rPr>
        <w:t>5404</w:t>
      </w:r>
      <w:r>
        <w:rPr>
          <w:rFonts w:ascii="宋体" w:hAnsi="宋体" w:eastAsia="宋体" w:cs="宋体"/>
          <w:spacing w:val="-1"/>
          <w:sz w:val="24"/>
          <w:szCs w:val="24"/>
        </w:rPr>
        <w:t>万</w:t>
      </w:r>
      <w:r>
        <w:rPr>
          <w:rFonts w:ascii="Times New Roman" w:hAnsi="Times New Roman" w:eastAsia="Times New Roman" w:cs="Times New Roman"/>
          <w:spacing w:val="-1"/>
          <w:sz w:val="24"/>
          <w:szCs w:val="24"/>
        </w:rPr>
        <w:t>t</w:t>
      </w:r>
      <w:r>
        <w:rPr>
          <w:rFonts w:ascii="宋体" w:hAnsi="宋体" w:eastAsia="宋体" w:cs="宋体"/>
          <w:spacing w:val="-1"/>
          <w:sz w:val="24"/>
          <w:szCs w:val="24"/>
        </w:rPr>
        <w:t>，占世界总产量的</w:t>
      </w:r>
      <w:r>
        <w:rPr>
          <w:rFonts w:ascii="Times New Roman" w:hAnsi="Times New Roman" w:eastAsia="Times New Roman" w:cs="Times New Roman"/>
          <w:spacing w:val="-1"/>
          <w:sz w:val="24"/>
          <w:szCs w:val="24"/>
        </w:rPr>
        <w:t>47.82%</w:t>
      </w:r>
      <w:r>
        <w:rPr>
          <w:rFonts w:ascii="宋体" w:hAnsi="宋体" w:eastAsia="宋体" w:cs="宋体"/>
          <w:spacing w:val="-1"/>
          <w:sz w:val="24"/>
          <w:szCs w:val="24"/>
        </w:rPr>
        <w:t>，已连续多年居世界第一位。</w:t>
      </w:r>
    </w:p>
    <w:p w14:paraId="1461C96E">
      <w:pPr>
        <w:spacing w:line="360" w:lineRule="auto"/>
        <w:ind w:left="32" w:right="110" w:firstLine="485"/>
        <w:jc w:val="both"/>
        <w:rPr>
          <w:rFonts w:ascii="宋体" w:hAnsi="宋体" w:eastAsia="宋体" w:cs="宋体"/>
          <w:sz w:val="24"/>
          <w:szCs w:val="24"/>
        </w:rPr>
      </w:pPr>
      <w:r>
        <w:rPr>
          <w:rFonts w:ascii="宋体" w:hAnsi="宋体" w:eastAsia="宋体" w:cs="宋体"/>
          <w:spacing w:val="-3"/>
          <w:sz w:val="24"/>
          <w:szCs w:val="24"/>
        </w:rPr>
        <w:t>但是我国生猪养殖集中度低，依然以散养为主，国内优质瘦肉型良</w:t>
      </w:r>
      <w:r>
        <w:rPr>
          <w:rFonts w:ascii="宋体" w:hAnsi="宋体" w:eastAsia="宋体" w:cs="宋体"/>
          <w:spacing w:val="-4"/>
          <w:sz w:val="24"/>
          <w:szCs w:val="24"/>
        </w:rPr>
        <w:t>种猪不到</w:t>
      </w:r>
      <w:r>
        <w:rPr>
          <w:rFonts w:ascii="宋体" w:hAnsi="宋体" w:eastAsia="宋体" w:cs="宋体"/>
          <w:spacing w:val="2"/>
          <w:sz w:val="24"/>
          <w:szCs w:val="24"/>
        </w:rPr>
        <w:t>生猪产量的</w:t>
      </w:r>
      <w:r>
        <w:rPr>
          <w:rFonts w:ascii="Times New Roman" w:hAnsi="Times New Roman" w:eastAsia="Times New Roman" w:cs="Times New Roman"/>
          <w:spacing w:val="2"/>
          <w:sz w:val="24"/>
          <w:szCs w:val="24"/>
        </w:rPr>
        <w:t>1/3</w:t>
      </w:r>
      <w:r>
        <w:rPr>
          <w:rFonts w:ascii="宋体" w:hAnsi="宋体" w:eastAsia="宋体" w:cs="宋体"/>
          <w:spacing w:val="2"/>
          <w:sz w:val="24"/>
          <w:szCs w:val="24"/>
        </w:rPr>
        <w:t>；国家迫切需要发展规模化畜禽</w:t>
      </w:r>
      <w:r>
        <w:rPr>
          <w:rFonts w:ascii="宋体" w:hAnsi="宋体" w:eastAsia="宋体" w:cs="宋体"/>
          <w:spacing w:val="1"/>
          <w:sz w:val="24"/>
          <w:szCs w:val="24"/>
        </w:rPr>
        <w:t>养殖，大力发展优质瘦肉型良种</w:t>
      </w:r>
      <w:r>
        <w:rPr>
          <w:rFonts w:ascii="宋体" w:hAnsi="宋体" w:eastAsia="宋体" w:cs="宋体"/>
          <w:spacing w:val="-6"/>
          <w:sz w:val="24"/>
          <w:szCs w:val="24"/>
        </w:rPr>
        <w:t>猪，以满足国内市场需求。此外， 非洲猪瘟疫情发生后，同时受猪周期波</w:t>
      </w:r>
      <w:r>
        <w:rPr>
          <w:rFonts w:ascii="宋体" w:hAnsi="宋体" w:eastAsia="宋体" w:cs="宋体"/>
          <w:spacing w:val="-7"/>
          <w:sz w:val="24"/>
          <w:szCs w:val="24"/>
        </w:rPr>
        <w:t>动调整</w:t>
      </w:r>
      <w:r>
        <w:rPr>
          <w:rFonts w:ascii="宋体" w:hAnsi="宋体" w:eastAsia="宋体" w:cs="宋体"/>
          <w:spacing w:val="-2"/>
          <w:sz w:val="24"/>
          <w:szCs w:val="24"/>
        </w:rPr>
        <w:t>影响，全国生猪产能下降，据农业农村部</w:t>
      </w:r>
      <w:r>
        <w:rPr>
          <w:rFonts w:ascii="Times New Roman" w:hAnsi="Times New Roman" w:eastAsia="Times New Roman" w:cs="Times New Roman"/>
          <w:spacing w:val="-2"/>
          <w:sz w:val="24"/>
          <w:szCs w:val="24"/>
        </w:rPr>
        <w:t>4000</w:t>
      </w:r>
      <w:r>
        <w:rPr>
          <w:rFonts w:ascii="宋体" w:hAnsi="宋体" w:eastAsia="宋体" w:cs="宋体"/>
          <w:spacing w:val="-3"/>
          <w:sz w:val="24"/>
          <w:szCs w:val="24"/>
        </w:rPr>
        <w:t>个监测点信息显示，</w:t>
      </w:r>
      <w:r>
        <w:rPr>
          <w:rFonts w:ascii="Times New Roman" w:hAnsi="Times New Roman" w:eastAsia="Times New Roman" w:cs="Times New Roman"/>
          <w:spacing w:val="-3"/>
          <w:sz w:val="24"/>
          <w:szCs w:val="24"/>
        </w:rPr>
        <w:t>2018</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10</w:t>
      </w:r>
      <w:r>
        <w:rPr>
          <w:rFonts w:ascii="宋体" w:hAnsi="宋体" w:eastAsia="宋体" w:cs="宋体"/>
          <w:spacing w:val="-3"/>
          <w:sz w:val="24"/>
          <w:szCs w:val="24"/>
        </w:rPr>
        <w:t>月份</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12</w:t>
      </w:r>
      <w:r>
        <w:rPr>
          <w:rFonts w:ascii="宋体" w:hAnsi="宋体" w:eastAsia="宋体" w:cs="宋体"/>
          <w:spacing w:val="-3"/>
          <w:sz w:val="24"/>
          <w:szCs w:val="24"/>
        </w:rPr>
        <w:t>月份，能繁母猪和生猪存栏同比持续下降，</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年</w:t>
      </w:r>
      <w:r>
        <w:rPr>
          <w:rFonts w:ascii="Times New Roman" w:hAnsi="Times New Roman" w:eastAsia="Times New Roman" w:cs="Times New Roman"/>
          <w:spacing w:val="-3"/>
          <w:sz w:val="24"/>
          <w:szCs w:val="24"/>
        </w:rPr>
        <w:t>9</w:t>
      </w:r>
      <w:r>
        <w:rPr>
          <w:rFonts w:ascii="宋体" w:hAnsi="宋体" w:eastAsia="宋体" w:cs="宋体"/>
          <w:spacing w:val="-3"/>
          <w:sz w:val="24"/>
          <w:szCs w:val="24"/>
        </w:rPr>
        <w:t>月份能繁母猪存栏</w:t>
      </w:r>
      <w:r>
        <w:rPr>
          <w:rFonts w:ascii="宋体" w:hAnsi="宋体" w:eastAsia="宋体" w:cs="宋体"/>
          <w:spacing w:val="1"/>
          <w:sz w:val="24"/>
          <w:szCs w:val="24"/>
        </w:rPr>
        <w:t>同比下降</w:t>
      </w:r>
      <w:r>
        <w:rPr>
          <w:rFonts w:ascii="Times New Roman" w:hAnsi="Times New Roman" w:eastAsia="Times New Roman" w:cs="Times New Roman"/>
          <w:spacing w:val="1"/>
          <w:sz w:val="24"/>
          <w:szCs w:val="24"/>
        </w:rPr>
        <w:t>38.9%</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月份生猪存栏同比下降</w:t>
      </w:r>
      <w:r>
        <w:rPr>
          <w:rFonts w:ascii="Times New Roman" w:hAnsi="Times New Roman" w:eastAsia="Times New Roman" w:cs="Times New Roman"/>
          <w:spacing w:val="1"/>
          <w:sz w:val="24"/>
          <w:szCs w:val="24"/>
        </w:rPr>
        <w:t>41.4%</w:t>
      </w:r>
      <w:r>
        <w:rPr>
          <w:rFonts w:ascii="宋体" w:hAnsi="宋体" w:eastAsia="宋体" w:cs="宋体"/>
          <w:spacing w:val="1"/>
          <w:sz w:val="24"/>
          <w:szCs w:val="24"/>
        </w:rPr>
        <w:t>，均创有数据以来历史同比最</w:t>
      </w:r>
      <w:r>
        <w:rPr>
          <w:rFonts w:ascii="宋体" w:hAnsi="宋体" w:eastAsia="宋体" w:cs="宋体"/>
          <w:spacing w:val="-7"/>
          <w:sz w:val="24"/>
          <w:szCs w:val="24"/>
        </w:rPr>
        <w:t>大降幅。</w:t>
      </w:r>
    </w:p>
    <w:p w14:paraId="4851C6B5">
      <w:pPr>
        <w:spacing w:before="9" w:line="359" w:lineRule="auto"/>
        <w:ind w:left="37" w:firstLine="480"/>
        <w:jc w:val="both"/>
        <w:rPr>
          <w:rFonts w:ascii="宋体" w:hAnsi="宋体" w:eastAsia="宋体" w:cs="宋体"/>
          <w:sz w:val="24"/>
          <w:szCs w:val="24"/>
        </w:rPr>
      </w:pPr>
      <w:r>
        <w:rPr>
          <w:rFonts w:ascii="宋体" w:hAnsi="宋体" w:eastAsia="宋体" w:cs="宋体"/>
          <w:spacing w:val="-4"/>
          <w:sz w:val="24"/>
          <w:szCs w:val="24"/>
        </w:rPr>
        <w:t>在此情形下，国家及地方政府对畜牧业高度重视，国家相继出台了《关于促</w:t>
      </w:r>
      <w:r>
        <w:rPr>
          <w:rFonts w:ascii="宋体" w:hAnsi="宋体" w:eastAsia="宋体" w:cs="宋体"/>
          <w:spacing w:val="-3"/>
          <w:sz w:val="24"/>
          <w:szCs w:val="24"/>
        </w:rPr>
        <w:t>进畜牧业持续健康发展的意见》、《全国畜牧业发展“十三</w:t>
      </w:r>
      <w:r>
        <w:rPr>
          <w:rFonts w:ascii="宋体" w:hAnsi="宋体" w:eastAsia="宋体" w:cs="宋体"/>
          <w:spacing w:val="-4"/>
          <w:sz w:val="24"/>
          <w:szCs w:val="24"/>
        </w:rPr>
        <w:t>五”规划》、《国务</w:t>
      </w:r>
      <w:r>
        <w:rPr>
          <w:rFonts w:ascii="宋体" w:hAnsi="宋体" w:eastAsia="宋体" w:cs="宋体"/>
          <w:spacing w:val="-3"/>
          <w:sz w:val="24"/>
          <w:szCs w:val="24"/>
        </w:rPr>
        <w:t>院办公厅关于稳定生猪生产促进转型升级的意见》、《加</w:t>
      </w:r>
      <w:r>
        <w:rPr>
          <w:rFonts w:ascii="宋体" w:hAnsi="宋体" w:eastAsia="宋体" w:cs="宋体"/>
          <w:spacing w:val="-4"/>
          <w:sz w:val="24"/>
          <w:szCs w:val="24"/>
        </w:rPr>
        <w:t>快生猪生产恢复三年行</w:t>
      </w:r>
      <w:r>
        <w:rPr>
          <w:rFonts w:ascii="宋体" w:hAnsi="宋体" w:eastAsia="宋体" w:cs="宋体"/>
          <w:spacing w:val="-6"/>
          <w:sz w:val="24"/>
          <w:szCs w:val="24"/>
        </w:rPr>
        <w:t>动方案》等文件和政策， 四川省农业农村厅、四川省发展和改革</w:t>
      </w:r>
      <w:r>
        <w:rPr>
          <w:rFonts w:ascii="宋体" w:hAnsi="宋体" w:eastAsia="宋体" w:cs="宋体"/>
          <w:spacing w:val="-7"/>
          <w:sz w:val="24"/>
          <w:szCs w:val="24"/>
        </w:rPr>
        <w:t>委员会等多部门</w:t>
      </w:r>
      <w:r>
        <w:rPr>
          <w:rFonts w:ascii="宋体" w:hAnsi="宋体" w:eastAsia="宋体" w:cs="宋体"/>
          <w:spacing w:val="11"/>
          <w:sz w:val="24"/>
          <w:szCs w:val="24"/>
        </w:rPr>
        <w:t>联合印发的《关于印发促进生猪生产保障市场供应九条措施的通知》（川农</w:t>
      </w:r>
      <w:r>
        <w:rPr>
          <w:rFonts w:ascii="宋体" w:hAnsi="宋体" w:eastAsia="宋体" w:cs="宋体"/>
          <w:spacing w:val="7"/>
          <w:sz w:val="24"/>
          <w:szCs w:val="24"/>
        </w:rPr>
        <w:t xml:space="preserve"> </w:t>
      </w:r>
      <w:r>
        <w:rPr>
          <w:rFonts w:ascii="Times New Roman" w:hAnsi="Times New Roman" w:eastAsia="Times New Roman" w:cs="Times New Roman"/>
          <w:spacing w:val="2"/>
          <w:sz w:val="24"/>
          <w:szCs w:val="24"/>
        </w:rPr>
        <w:t>[</w:t>
      </w:r>
      <w:r>
        <w:fldChar w:fldCharType="begin"/>
      </w:r>
      <w:r>
        <w:instrText xml:space="preserve"> HYPERLINK \l "bookmark60" </w:instrText>
      </w:r>
      <w:r>
        <w:fldChar w:fldCharType="separate"/>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]99</w:t>
      </w:r>
      <w:r>
        <w:rPr>
          <w:rFonts w:ascii="宋体" w:hAnsi="宋体" w:eastAsia="宋体" w:cs="宋体"/>
          <w:spacing w:val="2"/>
          <w:sz w:val="24"/>
          <w:szCs w:val="24"/>
        </w:rPr>
        <w:t>号）、《四川省农业厅关于印发四川省稳定生猪生产十条措施的通知》</w:t>
      </w:r>
      <w:r>
        <w:rPr>
          <w:rFonts w:ascii="宋体" w:hAnsi="宋体" w:eastAsia="宋体" w:cs="宋体"/>
          <w:spacing w:val="10"/>
          <w:sz w:val="24"/>
          <w:szCs w:val="24"/>
        </w:rPr>
        <w:t xml:space="preserve"> </w:t>
      </w:r>
      <w:r>
        <w:rPr>
          <w:rFonts w:ascii="宋体" w:hAnsi="宋体" w:eastAsia="宋体" w:cs="宋体"/>
          <w:spacing w:val="3"/>
          <w:sz w:val="24"/>
          <w:szCs w:val="24"/>
        </w:rPr>
        <w:t>（川防应指</w:t>
      </w:r>
      <w:r>
        <w:rPr>
          <w:rFonts w:ascii="Times New Roman" w:hAnsi="Times New Roman" w:eastAsia="Times New Roman" w:cs="Times New Roman"/>
          <w:spacing w:val="3"/>
          <w:sz w:val="24"/>
          <w:szCs w:val="24"/>
        </w:rPr>
        <w:t>[</w:t>
      </w:r>
      <w:r>
        <w:fldChar w:fldCharType="begin"/>
      </w:r>
      <w:r>
        <w:instrText xml:space="preserve"> HYPERLINK \l "bookmark61" </w:instrText>
      </w:r>
      <w:r>
        <w:fldChar w:fldCharType="separate"/>
      </w:r>
      <w:r>
        <w:rPr>
          <w:rFonts w:ascii="Times New Roman" w:hAnsi="Times New Roman" w:eastAsia="Times New Roman" w:cs="Times New Roman"/>
          <w:spacing w:val="3"/>
          <w:sz w:val="24"/>
          <w:szCs w:val="24"/>
        </w:rPr>
        <w:t>2021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]3</w:t>
      </w:r>
      <w:r>
        <w:rPr>
          <w:rFonts w:ascii="宋体" w:hAnsi="宋体" w:eastAsia="宋体" w:cs="宋体"/>
          <w:spacing w:val="3"/>
          <w:sz w:val="24"/>
          <w:szCs w:val="24"/>
        </w:rPr>
        <w:t>号）等文件，内江市出</w:t>
      </w:r>
      <w:r>
        <w:rPr>
          <w:rFonts w:ascii="宋体" w:hAnsi="宋体" w:eastAsia="宋体" w:cs="宋体"/>
          <w:spacing w:val="2"/>
          <w:sz w:val="24"/>
          <w:szCs w:val="24"/>
        </w:rPr>
        <w:t>台了《促进生猪生产保障市场供应十</w:t>
      </w:r>
      <w:r>
        <w:rPr>
          <w:rFonts w:ascii="宋体" w:hAnsi="宋体" w:eastAsia="宋体" w:cs="宋体"/>
          <w:spacing w:val="-1"/>
          <w:sz w:val="24"/>
          <w:szCs w:val="24"/>
        </w:rPr>
        <w:t>条措施》，鼓励发展规模化畜禽养殖，全力稳定生猪生产，支持养猪行业发展，</w:t>
      </w:r>
      <w:r>
        <w:rPr>
          <w:rFonts w:ascii="宋体" w:hAnsi="宋体" w:eastAsia="宋体" w:cs="宋体"/>
          <w:spacing w:val="-3"/>
          <w:sz w:val="24"/>
          <w:szCs w:val="24"/>
        </w:rPr>
        <w:t>也为畜禽养殖业的发展提供了新的重要机遇。</w:t>
      </w:r>
    </w:p>
    <w:p w14:paraId="28A5DCBF">
      <w:pPr>
        <w:spacing w:line="359" w:lineRule="auto"/>
        <w:rPr>
          <w:rFonts w:ascii="宋体" w:hAnsi="宋体" w:eastAsia="宋体" w:cs="宋体"/>
          <w:sz w:val="24"/>
          <w:szCs w:val="24"/>
        </w:rPr>
        <w:sectPr>
          <w:headerReference r:id="rId9" w:type="default"/>
          <w:footerReference r:id="rId10" w:type="default"/>
          <w:pgSz w:w="11905" w:h="16840"/>
          <w:pgMar w:top="1168" w:right="1687" w:bottom="1408" w:left="1770" w:header="828" w:footer="1244" w:gutter="0"/>
          <w:cols w:space="720" w:num="1"/>
        </w:sectPr>
      </w:pPr>
    </w:p>
    <w:p w14:paraId="2A804EB4">
      <w:pPr>
        <w:pStyle w:val="2"/>
        <w:spacing w:line="306" w:lineRule="auto"/>
      </w:pPr>
    </w:p>
    <w:p w14:paraId="24480D08">
      <w:pPr>
        <w:spacing w:before="78" w:line="360" w:lineRule="auto"/>
        <w:ind w:left="39" w:right="183" w:firstLine="482"/>
        <w:jc w:val="both"/>
        <w:rPr>
          <w:rFonts w:ascii="宋体" w:hAnsi="宋体" w:eastAsia="宋体" w:cs="宋体"/>
          <w:sz w:val="24"/>
          <w:szCs w:val="24"/>
        </w:rPr>
      </w:pPr>
      <w:r>
        <w:rPr>
          <w:rFonts w:ascii="宋体" w:hAnsi="宋体" w:eastAsia="宋体" w:cs="宋体"/>
          <w:spacing w:val="-3"/>
          <w:sz w:val="24"/>
          <w:szCs w:val="24"/>
        </w:rPr>
        <w:t>为此，四川良牧庄养殖有限公司拟投资</w:t>
      </w:r>
      <w:r>
        <w:rPr>
          <w:rFonts w:ascii="Times New Roman" w:hAnsi="Times New Roman" w:eastAsia="Times New Roman" w:cs="Times New Roman"/>
          <w:spacing w:val="-3"/>
          <w:sz w:val="24"/>
          <w:szCs w:val="24"/>
        </w:rPr>
        <w:t>9900</w:t>
      </w:r>
      <w:r>
        <w:rPr>
          <w:rFonts w:ascii="宋体" w:hAnsi="宋体" w:eastAsia="宋体" w:cs="宋体"/>
          <w:spacing w:val="-3"/>
          <w:sz w:val="24"/>
          <w:szCs w:val="24"/>
        </w:rPr>
        <w:t>万元在内江市东兴区白合镇</w:t>
      </w:r>
      <w:r>
        <w:rPr>
          <w:rFonts w:ascii="宋体" w:hAnsi="宋体" w:eastAsia="宋体" w:cs="宋体"/>
          <w:spacing w:val="-4"/>
          <w:sz w:val="24"/>
          <w:szCs w:val="24"/>
        </w:rPr>
        <w:t>喻家</w:t>
      </w:r>
      <w:r>
        <w:rPr>
          <w:rFonts w:ascii="宋体" w:hAnsi="宋体" w:eastAsia="宋体" w:cs="宋体"/>
          <w:sz w:val="24"/>
          <w:szCs w:val="24"/>
        </w:rPr>
        <w:t>沟村</w:t>
      </w:r>
      <w:r>
        <w:rPr>
          <w:rFonts w:ascii="Times New Roman" w:hAnsi="Times New Roman" w:eastAsia="Times New Roman" w:cs="Times New Roman"/>
          <w:sz w:val="24"/>
          <w:szCs w:val="24"/>
        </w:rPr>
        <w:t>9</w:t>
      </w:r>
      <w:r>
        <w:rPr>
          <w:rFonts w:ascii="宋体" w:hAnsi="宋体" w:eastAsia="宋体" w:cs="宋体"/>
          <w:sz w:val="24"/>
          <w:szCs w:val="24"/>
        </w:rPr>
        <w:t>组、</w:t>
      </w:r>
      <w:r>
        <w:rPr>
          <w:rFonts w:ascii="Times New Roman" w:hAnsi="Times New Roman" w:eastAsia="Times New Roman" w:cs="Times New Roman"/>
          <w:sz w:val="24"/>
          <w:szCs w:val="24"/>
        </w:rPr>
        <w:t>12</w:t>
      </w:r>
      <w:r>
        <w:rPr>
          <w:rFonts w:ascii="宋体" w:hAnsi="宋体" w:eastAsia="宋体" w:cs="宋体"/>
          <w:sz w:val="24"/>
          <w:szCs w:val="24"/>
        </w:rPr>
        <w:t>组建设“喻家沟生猪规模化养殖场建设项目”，项目建成后，年存</w:t>
      </w:r>
      <w:r>
        <w:rPr>
          <w:rFonts w:ascii="宋体" w:hAnsi="宋体" w:eastAsia="宋体" w:cs="宋体"/>
          <w:spacing w:val="-1"/>
          <w:sz w:val="24"/>
          <w:szCs w:val="24"/>
        </w:rPr>
        <w:t>栏保育猪</w:t>
      </w:r>
      <w:r>
        <w:rPr>
          <w:rFonts w:ascii="Times New Roman" w:hAnsi="Times New Roman" w:eastAsia="Times New Roman" w:cs="Times New Roman"/>
          <w:spacing w:val="-1"/>
          <w:sz w:val="24"/>
          <w:szCs w:val="24"/>
        </w:rPr>
        <w:t>1.8</w:t>
      </w:r>
      <w:r>
        <w:rPr>
          <w:rFonts w:ascii="宋体" w:hAnsi="宋体" w:eastAsia="宋体" w:cs="宋体"/>
          <w:spacing w:val="-1"/>
          <w:sz w:val="24"/>
          <w:szCs w:val="24"/>
        </w:rPr>
        <w:t>万头、存栏育肥猪</w:t>
      </w:r>
      <w:r>
        <w:rPr>
          <w:rFonts w:ascii="Times New Roman" w:hAnsi="Times New Roman" w:eastAsia="Times New Roman" w:cs="Times New Roman"/>
          <w:spacing w:val="-1"/>
          <w:sz w:val="24"/>
          <w:szCs w:val="24"/>
        </w:rPr>
        <w:t>4.4</w:t>
      </w:r>
      <w:r>
        <w:rPr>
          <w:rFonts w:ascii="宋体" w:hAnsi="宋体" w:eastAsia="宋体" w:cs="宋体"/>
          <w:spacing w:val="-1"/>
          <w:sz w:val="24"/>
          <w:szCs w:val="24"/>
        </w:rPr>
        <w:t>万头，年出栏商品猪</w:t>
      </w:r>
      <w:r>
        <w:rPr>
          <w:rFonts w:ascii="Times New Roman" w:hAnsi="Times New Roman" w:eastAsia="Times New Roman" w:cs="Times New Roman"/>
          <w:spacing w:val="-1"/>
          <w:sz w:val="24"/>
          <w:szCs w:val="24"/>
        </w:rPr>
        <w:t>13.3</w:t>
      </w:r>
      <w:r>
        <w:rPr>
          <w:rFonts w:ascii="宋体" w:hAnsi="宋体" w:eastAsia="宋体" w:cs="宋体"/>
          <w:spacing w:val="-1"/>
          <w:sz w:val="24"/>
          <w:szCs w:val="24"/>
        </w:rPr>
        <w:t>万头。</w:t>
      </w:r>
    </w:p>
    <w:p w14:paraId="5658545D">
      <w:pPr>
        <w:spacing w:before="1" w:line="218" w:lineRule="auto"/>
        <w:jc w:val="right"/>
        <w:rPr>
          <w:rFonts w:ascii="宋体" w:hAnsi="宋体" w:eastAsia="宋体" w:cs="宋体"/>
          <w:sz w:val="24"/>
          <w:szCs w:val="24"/>
        </w:rPr>
      </w:pPr>
      <w:r>
        <w:rPr>
          <w:rFonts w:ascii="宋体" w:hAnsi="宋体" w:eastAsia="宋体" w:cs="宋体"/>
          <w:b/>
          <w:bCs/>
          <w:spacing w:val="-1"/>
          <w:sz w:val="24"/>
          <w:szCs w:val="24"/>
        </w:rPr>
        <w:t>四川良牧庄养殖有限公司与集团公司—宇和泽农业有限公司架构介绍如下：</w:t>
      </w:r>
    </w:p>
    <w:p w14:paraId="08D11485">
      <w:pPr>
        <w:spacing w:before="183" w:line="360" w:lineRule="auto"/>
        <w:ind w:left="37" w:right="182" w:firstLine="486"/>
        <w:jc w:val="both"/>
        <w:rPr>
          <w:rFonts w:ascii="宋体" w:hAnsi="宋体" w:eastAsia="宋体" w:cs="宋体"/>
          <w:sz w:val="24"/>
          <w:szCs w:val="24"/>
        </w:rPr>
      </w:pPr>
      <w:r>
        <w:rPr>
          <w:rFonts w:ascii="宋体" w:hAnsi="宋体" w:eastAsia="宋体" w:cs="宋体"/>
          <w:sz w:val="24"/>
          <w:szCs w:val="24"/>
        </w:rPr>
        <w:t>宇和泽农业有限公司于</w:t>
      </w:r>
      <w:r>
        <w:rPr>
          <w:rFonts w:ascii="Times New Roman" w:hAnsi="Times New Roman" w:eastAsia="Times New Roman" w:cs="Times New Roman"/>
          <w:sz w:val="24"/>
          <w:szCs w:val="24"/>
        </w:rPr>
        <w:t>2020</w:t>
      </w:r>
      <w:r>
        <w:rPr>
          <w:rFonts w:ascii="宋体" w:hAnsi="宋体" w:eastAsia="宋体" w:cs="宋体"/>
          <w:sz w:val="24"/>
          <w:szCs w:val="24"/>
        </w:rPr>
        <w:t>年</w:t>
      </w:r>
      <w:r>
        <w:rPr>
          <w:rFonts w:ascii="Times New Roman" w:hAnsi="Times New Roman" w:eastAsia="Times New Roman" w:cs="Times New Roman"/>
          <w:sz w:val="24"/>
          <w:szCs w:val="24"/>
        </w:rPr>
        <w:t>9</w:t>
      </w:r>
      <w:r>
        <w:rPr>
          <w:rFonts w:ascii="宋体" w:hAnsi="宋体" w:eastAsia="宋体" w:cs="宋体"/>
          <w:sz w:val="24"/>
          <w:szCs w:val="24"/>
        </w:rPr>
        <w:t>月</w:t>
      </w:r>
      <w:r>
        <w:rPr>
          <w:rFonts w:ascii="Times New Roman" w:hAnsi="Times New Roman" w:eastAsia="Times New Roman" w:cs="Times New Roman"/>
          <w:sz w:val="24"/>
          <w:szCs w:val="24"/>
        </w:rPr>
        <w:t>14</w:t>
      </w:r>
      <w:r>
        <w:rPr>
          <w:rFonts w:ascii="宋体" w:hAnsi="宋体" w:eastAsia="宋体" w:cs="宋体"/>
          <w:sz w:val="24"/>
          <w:szCs w:val="24"/>
        </w:rPr>
        <w:t>日在中国（四川）自由贸易试验区成都</w:t>
      </w:r>
      <w:r>
        <w:rPr>
          <w:rFonts w:ascii="宋体" w:hAnsi="宋体" w:eastAsia="宋体" w:cs="宋体"/>
          <w:spacing w:val="-8"/>
          <w:sz w:val="24"/>
          <w:szCs w:val="24"/>
        </w:rPr>
        <w:t>市天府新区成立，旗下产业分为种植、养殖、加工、超市四个</w:t>
      </w:r>
      <w:r>
        <w:rPr>
          <w:rFonts w:ascii="宋体" w:hAnsi="宋体" w:eastAsia="宋体" w:cs="宋体"/>
          <w:spacing w:val="-9"/>
          <w:sz w:val="24"/>
          <w:szCs w:val="24"/>
        </w:rPr>
        <w:t>板块，</w:t>
      </w:r>
      <w:r>
        <w:rPr>
          <w:rFonts w:ascii="宋体" w:hAnsi="宋体" w:eastAsia="宋体" w:cs="宋体"/>
          <w:spacing w:val="65"/>
          <w:sz w:val="24"/>
          <w:szCs w:val="24"/>
        </w:rPr>
        <w:t xml:space="preserve"> </w:t>
      </w:r>
      <w:r>
        <w:rPr>
          <w:rFonts w:ascii="宋体" w:hAnsi="宋体" w:eastAsia="宋体" w:cs="宋体"/>
          <w:spacing w:val="-9"/>
          <w:sz w:val="24"/>
          <w:szCs w:val="24"/>
        </w:rPr>
        <w:t>即“种—养</w:t>
      </w:r>
      <w:r>
        <w:rPr>
          <w:rFonts w:ascii="宋体" w:hAnsi="宋体" w:eastAsia="宋体" w:cs="宋体"/>
          <w:spacing w:val="-6"/>
          <w:sz w:val="24"/>
          <w:szCs w:val="24"/>
        </w:rPr>
        <w:t>—工—市”产业循环化，在成渝地区（内江、遂宁、南充、资阳等地）</w:t>
      </w:r>
      <w:r>
        <w:rPr>
          <w:rFonts w:ascii="宋体" w:hAnsi="宋体" w:eastAsia="宋体" w:cs="宋体"/>
          <w:spacing w:val="-7"/>
          <w:sz w:val="24"/>
          <w:szCs w:val="24"/>
        </w:rPr>
        <w:t xml:space="preserve"> 规划建设</w:t>
      </w:r>
      <w:r>
        <w:rPr>
          <w:rFonts w:ascii="宋体" w:hAnsi="宋体" w:eastAsia="宋体" w:cs="宋体"/>
          <w:spacing w:val="-3"/>
          <w:sz w:val="24"/>
          <w:szCs w:val="24"/>
        </w:rPr>
        <w:t>生猪养殖—生态种植产业基地。</w:t>
      </w:r>
    </w:p>
    <w:p w14:paraId="45C3A705">
      <w:pPr>
        <w:spacing w:line="360" w:lineRule="auto"/>
        <w:ind w:left="38" w:right="181" w:firstLine="503"/>
        <w:jc w:val="both"/>
        <w:rPr>
          <w:rFonts w:ascii="宋体" w:hAnsi="宋体" w:eastAsia="宋体" w:cs="宋体"/>
          <w:sz w:val="24"/>
          <w:szCs w:val="24"/>
        </w:rPr>
      </w:pPr>
      <w:r>
        <w:rPr>
          <w:rFonts w:ascii="宋体" w:hAnsi="宋体" w:eastAsia="宋体" w:cs="宋体"/>
          <w:spacing w:val="-4"/>
          <w:sz w:val="24"/>
          <w:szCs w:val="24"/>
        </w:rPr>
        <w:t>四川良牧庄养殖有限公司为宇和泽农业有限公司旗下子公司（</w:t>
      </w:r>
      <w:r>
        <w:rPr>
          <w:rFonts w:ascii="宋体" w:hAnsi="宋体" w:eastAsia="宋体" w:cs="宋体"/>
          <w:spacing w:val="-5"/>
          <w:sz w:val="24"/>
          <w:szCs w:val="24"/>
        </w:rPr>
        <w:t>隶属于养殖板</w:t>
      </w:r>
      <w:r>
        <w:rPr>
          <w:rFonts w:ascii="宋体" w:hAnsi="宋体" w:eastAsia="宋体" w:cs="宋体"/>
          <w:spacing w:val="-2"/>
          <w:sz w:val="24"/>
          <w:szCs w:val="24"/>
        </w:rPr>
        <w:t>块</w:t>
      </w:r>
      <w:r>
        <w:rPr>
          <w:rFonts w:ascii="宋体" w:hAnsi="宋体" w:eastAsia="宋体" w:cs="宋体"/>
          <w:spacing w:val="-16"/>
          <w:sz w:val="24"/>
          <w:szCs w:val="24"/>
        </w:rPr>
        <w:t>），</w:t>
      </w:r>
      <w:r>
        <w:rPr>
          <w:rFonts w:ascii="宋体" w:hAnsi="宋体" w:eastAsia="宋体" w:cs="宋体"/>
          <w:spacing w:val="-2"/>
          <w:sz w:val="24"/>
          <w:szCs w:val="24"/>
        </w:rPr>
        <w:t>于</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12</w:t>
      </w:r>
      <w:r>
        <w:rPr>
          <w:rFonts w:ascii="宋体" w:hAnsi="宋体" w:eastAsia="宋体" w:cs="宋体"/>
          <w:spacing w:val="-2"/>
          <w:sz w:val="24"/>
          <w:szCs w:val="24"/>
        </w:rPr>
        <w:t>月</w:t>
      </w:r>
      <w:r>
        <w:rPr>
          <w:rFonts w:ascii="Times New Roman" w:hAnsi="Times New Roman" w:eastAsia="Times New Roman" w:cs="Times New Roman"/>
          <w:spacing w:val="-2"/>
          <w:sz w:val="24"/>
          <w:szCs w:val="24"/>
        </w:rPr>
        <w:t>28</w:t>
      </w:r>
      <w:r>
        <w:rPr>
          <w:rFonts w:ascii="宋体" w:hAnsi="宋体" w:eastAsia="宋体" w:cs="宋体"/>
          <w:spacing w:val="-2"/>
          <w:sz w:val="24"/>
          <w:szCs w:val="24"/>
        </w:rPr>
        <w:t>日在四川省内江市东兴区成立，主营业务为牲畜饲养，全</w:t>
      </w:r>
      <w:r>
        <w:rPr>
          <w:rFonts w:ascii="宋体" w:hAnsi="宋体" w:eastAsia="宋体" w:cs="宋体"/>
          <w:spacing w:val="-3"/>
          <w:sz w:val="24"/>
          <w:szCs w:val="24"/>
        </w:rPr>
        <w:t>权负责“喻家沟生猪规模化养殖场建设项目”的前期建设及运营管理。喻家沟生</w:t>
      </w:r>
      <w:r>
        <w:rPr>
          <w:rFonts w:ascii="宋体" w:hAnsi="宋体" w:eastAsia="宋体" w:cs="宋体"/>
          <w:spacing w:val="4"/>
          <w:sz w:val="24"/>
          <w:szCs w:val="24"/>
        </w:rPr>
        <w:t>猪规模化养殖场是宇和泽农业有限公司旗下清古岩村种猪规模化养殖场的配套</w:t>
      </w:r>
      <w:r>
        <w:rPr>
          <w:rFonts w:ascii="宋体" w:hAnsi="宋体" w:eastAsia="宋体" w:cs="宋体"/>
          <w:spacing w:val="-3"/>
          <w:sz w:val="24"/>
          <w:szCs w:val="24"/>
        </w:rPr>
        <w:t>育肥场之一（另一配套育肥场为余家湾生猪规模化养猪场，位于东兴区田家镇余家湾村</w:t>
      </w:r>
      <w:r>
        <w:rPr>
          <w:rFonts w:ascii="Times New Roman" w:hAnsi="Times New Roman" w:eastAsia="Times New Roman" w:cs="Times New Roman"/>
          <w:spacing w:val="-3"/>
          <w:sz w:val="24"/>
          <w:szCs w:val="24"/>
        </w:rPr>
        <w:t>5</w:t>
      </w:r>
      <w:r>
        <w:rPr>
          <w:rFonts w:ascii="宋体" w:hAnsi="宋体" w:eastAsia="宋体" w:cs="宋体"/>
          <w:spacing w:val="-3"/>
          <w:sz w:val="24"/>
          <w:szCs w:val="24"/>
        </w:rPr>
        <w:t>组</w:t>
      </w:r>
      <w:r>
        <w:rPr>
          <w:rFonts w:ascii="宋体" w:hAnsi="宋体" w:eastAsia="宋体" w:cs="宋体"/>
          <w:spacing w:val="-56"/>
          <w:sz w:val="24"/>
          <w:szCs w:val="24"/>
        </w:rPr>
        <w:t>），</w:t>
      </w:r>
      <w:r>
        <w:rPr>
          <w:rFonts w:ascii="宋体" w:hAnsi="宋体" w:eastAsia="宋体" w:cs="宋体"/>
          <w:spacing w:val="-3"/>
          <w:sz w:val="24"/>
          <w:szCs w:val="24"/>
        </w:rPr>
        <w:t>清古岩村种猪规模化养殖场位于东兴区杨家镇清古岩</w:t>
      </w:r>
      <w:r>
        <w:rPr>
          <w:rFonts w:ascii="宋体" w:hAnsi="宋体" w:eastAsia="宋体" w:cs="宋体"/>
          <w:spacing w:val="-4"/>
          <w:sz w:val="24"/>
          <w:szCs w:val="24"/>
        </w:rPr>
        <w:t>村</w:t>
      </w:r>
      <w:r>
        <w:rPr>
          <w:rFonts w:ascii="Times New Roman" w:hAnsi="Times New Roman" w:eastAsia="Times New Roman" w:cs="Times New Roman"/>
          <w:spacing w:val="-4"/>
          <w:sz w:val="24"/>
          <w:szCs w:val="24"/>
        </w:rPr>
        <w:t>1</w:t>
      </w:r>
      <w:r>
        <w:rPr>
          <w:rFonts w:ascii="宋体" w:hAnsi="宋体" w:eastAsia="宋体" w:cs="宋体"/>
          <w:spacing w:val="-4"/>
          <w:sz w:val="24"/>
          <w:szCs w:val="24"/>
        </w:rPr>
        <w:t>组、</w:t>
      </w:r>
      <w:r>
        <w:rPr>
          <w:rFonts w:ascii="Times New Roman" w:hAnsi="Times New Roman" w:eastAsia="Times New Roman" w:cs="Times New Roman"/>
          <w:spacing w:val="-4"/>
          <w:sz w:val="24"/>
          <w:szCs w:val="24"/>
        </w:rPr>
        <w:t>4</w:t>
      </w:r>
      <w:r>
        <w:rPr>
          <w:rFonts w:ascii="宋体" w:hAnsi="宋体" w:eastAsia="宋体" w:cs="宋体"/>
          <w:spacing w:val="-4"/>
          <w:sz w:val="24"/>
          <w:szCs w:val="24"/>
        </w:rPr>
        <w:t>组，</w:t>
      </w:r>
      <w:r>
        <w:rPr>
          <w:rFonts w:ascii="宋体" w:hAnsi="宋体" w:eastAsia="宋体" w:cs="宋体"/>
          <w:spacing w:val="-1"/>
          <w:sz w:val="24"/>
          <w:szCs w:val="24"/>
        </w:rPr>
        <w:t>年出栏仔猪</w:t>
      </w:r>
      <w:r>
        <w:rPr>
          <w:rFonts w:ascii="Times New Roman" w:hAnsi="Times New Roman" w:eastAsia="Times New Roman" w:cs="Times New Roman"/>
          <w:spacing w:val="-1"/>
          <w:sz w:val="24"/>
          <w:szCs w:val="24"/>
        </w:rPr>
        <w:t>25</w:t>
      </w:r>
      <w:r>
        <w:rPr>
          <w:rFonts w:ascii="宋体" w:hAnsi="宋体" w:eastAsia="宋体" w:cs="宋体"/>
          <w:spacing w:val="-1"/>
          <w:sz w:val="24"/>
          <w:szCs w:val="24"/>
        </w:rPr>
        <w:t>万头，已于</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28</w:t>
      </w:r>
      <w:r>
        <w:rPr>
          <w:rFonts w:ascii="宋体" w:hAnsi="宋体" w:eastAsia="宋体" w:cs="宋体"/>
          <w:spacing w:val="-1"/>
          <w:sz w:val="24"/>
          <w:szCs w:val="24"/>
        </w:rPr>
        <w:t>日取得内江市生态环境局</w:t>
      </w:r>
      <w:r>
        <w:rPr>
          <w:rFonts w:ascii="宋体" w:hAnsi="宋体" w:eastAsia="宋体" w:cs="宋体"/>
          <w:spacing w:val="-2"/>
          <w:sz w:val="24"/>
          <w:szCs w:val="24"/>
        </w:rPr>
        <w:t>环评批复。</w:t>
      </w:r>
    </w:p>
    <w:p w14:paraId="259A132E">
      <w:pPr>
        <w:spacing w:line="361" w:lineRule="auto"/>
        <w:ind w:left="37" w:right="184" w:firstLine="504"/>
        <w:jc w:val="both"/>
        <w:rPr>
          <w:rFonts w:ascii="宋体" w:hAnsi="宋体" w:eastAsia="宋体" w:cs="宋体"/>
          <w:sz w:val="24"/>
          <w:szCs w:val="24"/>
        </w:rPr>
      </w:pPr>
      <w:r>
        <w:rPr>
          <w:rFonts w:ascii="宋体" w:hAnsi="宋体" w:eastAsia="宋体" w:cs="宋体"/>
          <w:spacing w:val="-4"/>
          <w:sz w:val="24"/>
          <w:szCs w:val="24"/>
        </w:rPr>
        <w:t>四川富器溢农业有限公司为宇和泽农业有限公司旗下子公司（</w:t>
      </w:r>
      <w:r>
        <w:rPr>
          <w:rFonts w:ascii="宋体" w:hAnsi="宋体" w:eastAsia="宋体" w:cs="宋体"/>
          <w:spacing w:val="-5"/>
          <w:sz w:val="24"/>
          <w:szCs w:val="24"/>
        </w:rPr>
        <w:t>隶属于种植板</w:t>
      </w:r>
      <w:r>
        <w:rPr>
          <w:rFonts w:ascii="宋体" w:hAnsi="宋体" w:eastAsia="宋体" w:cs="宋体"/>
          <w:spacing w:val="-2"/>
          <w:sz w:val="24"/>
          <w:szCs w:val="24"/>
        </w:rPr>
        <w:t>块</w:t>
      </w:r>
      <w:r>
        <w:rPr>
          <w:rFonts w:ascii="宋体" w:hAnsi="宋体" w:eastAsia="宋体" w:cs="宋体"/>
          <w:spacing w:val="-20"/>
          <w:sz w:val="24"/>
          <w:szCs w:val="24"/>
        </w:rPr>
        <w:t>），</w:t>
      </w:r>
      <w:r>
        <w:rPr>
          <w:rFonts w:ascii="宋体" w:hAnsi="宋体" w:eastAsia="宋体" w:cs="宋体"/>
          <w:spacing w:val="-2"/>
          <w:sz w:val="24"/>
          <w:szCs w:val="24"/>
        </w:rPr>
        <w:t>于</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11</w:t>
      </w:r>
      <w:r>
        <w:rPr>
          <w:rFonts w:ascii="宋体" w:hAnsi="宋体" w:eastAsia="宋体" w:cs="宋体"/>
          <w:spacing w:val="-2"/>
          <w:sz w:val="24"/>
          <w:szCs w:val="24"/>
        </w:rPr>
        <w:t>月</w:t>
      </w:r>
      <w:r>
        <w:rPr>
          <w:rFonts w:ascii="Times New Roman" w:hAnsi="Times New Roman" w:eastAsia="Times New Roman" w:cs="Times New Roman"/>
          <w:spacing w:val="-2"/>
          <w:sz w:val="24"/>
          <w:szCs w:val="24"/>
        </w:rPr>
        <w:t>28</w:t>
      </w:r>
      <w:r>
        <w:rPr>
          <w:rFonts w:ascii="宋体" w:hAnsi="宋体" w:eastAsia="宋体" w:cs="宋体"/>
          <w:spacing w:val="-2"/>
          <w:sz w:val="24"/>
          <w:szCs w:val="24"/>
        </w:rPr>
        <w:t>日在四川省内江市东兴区成立，主营业务为农业种植（柑</w:t>
      </w:r>
      <w:r>
        <w:rPr>
          <w:rFonts w:ascii="宋体" w:hAnsi="宋体" w:eastAsia="宋体" w:cs="宋体"/>
          <w:spacing w:val="-6"/>
          <w:sz w:val="24"/>
          <w:szCs w:val="24"/>
        </w:rPr>
        <w:t>橘、中药材、粮油及大田作物等</w:t>
      </w:r>
      <w:r>
        <w:rPr>
          <w:rFonts w:ascii="宋体" w:hAnsi="宋体" w:eastAsia="宋体" w:cs="宋体"/>
          <w:spacing w:val="-17"/>
          <w:sz w:val="24"/>
          <w:szCs w:val="24"/>
        </w:rPr>
        <w:t>）</w:t>
      </w:r>
      <w:r>
        <w:rPr>
          <w:rFonts w:ascii="宋体" w:hAnsi="宋体" w:eastAsia="宋体" w:cs="宋体"/>
          <w:spacing w:val="20"/>
          <w:sz w:val="24"/>
          <w:szCs w:val="24"/>
        </w:rPr>
        <w:t xml:space="preserve"> </w:t>
      </w:r>
      <w:r>
        <w:rPr>
          <w:rFonts w:ascii="宋体" w:hAnsi="宋体" w:eastAsia="宋体" w:cs="宋体"/>
          <w:spacing w:val="-17"/>
          <w:sz w:val="24"/>
          <w:szCs w:val="24"/>
        </w:rPr>
        <w:t>，</w:t>
      </w:r>
      <w:r>
        <w:rPr>
          <w:rFonts w:ascii="宋体" w:hAnsi="宋体" w:eastAsia="宋体" w:cs="宋体"/>
          <w:spacing w:val="-6"/>
          <w:sz w:val="24"/>
          <w:szCs w:val="24"/>
        </w:rPr>
        <w:t>负责集团公司在</w:t>
      </w:r>
      <w:r>
        <w:rPr>
          <w:rFonts w:ascii="宋体" w:hAnsi="宋体" w:eastAsia="宋体" w:cs="宋体"/>
          <w:spacing w:val="-7"/>
          <w:sz w:val="24"/>
          <w:szCs w:val="24"/>
        </w:rPr>
        <w:t>内江市各养殖场所流转消纳</w:t>
      </w:r>
      <w:r>
        <w:rPr>
          <w:rFonts w:ascii="宋体" w:hAnsi="宋体" w:eastAsia="宋体" w:cs="宋体"/>
          <w:spacing w:val="-3"/>
          <w:sz w:val="24"/>
          <w:szCs w:val="24"/>
        </w:rPr>
        <w:t>土地的农业种植及经营管理。</w:t>
      </w:r>
    </w:p>
    <w:p w14:paraId="6118AFB3">
      <w:pPr>
        <w:spacing w:before="41" w:line="4401" w:lineRule="exact"/>
        <w:ind w:firstLine="48"/>
      </w:pPr>
      <w:r>
        <w:rPr>
          <w:position w:val="-88"/>
        </w:rPr>
        <w:drawing>
          <wp:inline distT="0" distB="0" distL="0" distR="0">
            <wp:extent cx="5194935" cy="27940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28"/>
                    <a:stretch>
                      <a:fillRect/>
                    </a:stretch>
                  </pic:blipFill>
                  <pic:spPr>
                    <a:xfrm>
                      <a:off x="0" y="0"/>
                      <a:ext cx="5195290" cy="2794228"/>
                    </a:xfrm>
                    <a:prstGeom prst="rect">
                      <a:avLst/>
                    </a:prstGeom>
                  </pic:spPr>
                </pic:pic>
              </a:graphicData>
            </a:graphic>
          </wp:inline>
        </w:drawing>
      </w:r>
    </w:p>
    <w:p w14:paraId="183B4523">
      <w:pPr>
        <w:spacing w:before="191" w:line="222" w:lineRule="auto"/>
        <w:ind w:left="2383"/>
        <w:rPr>
          <w:rFonts w:ascii="黑体" w:hAnsi="黑体" w:eastAsia="黑体" w:cs="黑体"/>
          <w:sz w:val="21"/>
          <w:szCs w:val="21"/>
        </w:rPr>
      </w:pPr>
      <w:r>
        <w:rPr>
          <w:rFonts w:ascii="黑体" w:hAnsi="黑体" w:eastAsia="黑体" w:cs="黑体"/>
          <w:spacing w:val="-2"/>
          <w:sz w:val="21"/>
          <w:szCs w:val="21"/>
        </w:rPr>
        <w:t>图</w:t>
      </w:r>
      <w:r>
        <w:rPr>
          <w:rFonts w:ascii="Times New Roman" w:hAnsi="Times New Roman" w:eastAsia="Times New Roman" w:cs="Times New Roman"/>
          <w:spacing w:val="-2"/>
          <w:sz w:val="21"/>
          <w:szCs w:val="21"/>
        </w:rPr>
        <w:t xml:space="preserve">-1  </w:t>
      </w:r>
      <w:r>
        <w:rPr>
          <w:rFonts w:ascii="黑体" w:hAnsi="黑体" w:eastAsia="黑体" w:cs="黑体"/>
          <w:spacing w:val="-2"/>
          <w:sz w:val="21"/>
          <w:szCs w:val="21"/>
        </w:rPr>
        <w:t>建设单位所在集团公司生产架构图</w:t>
      </w:r>
    </w:p>
    <w:p w14:paraId="7E0C50C9">
      <w:pPr>
        <w:spacing w:line="222" w:lineRule="auto"/>
        <w:rPr>
          <w:rFonts w:ascii="黑体" w:hAnsi="黑体" w:eastAsia="黑体" w:cs="黑体"/>
          <w:sz w:val="21"/>
          <w:szCs w:val="21"/>
        </w:rPr>
        <w:sectPr>
          <w:headerReference r:id="rId11" w:type="default"/>
          <w:footerReference r:id="rId12" w:type="default"/>
          <w:pgSz w:w="11905" w:h="16840"/>
          <w:pgMar w:top="1168" w:right="1614" w:bottom="1409" w:left="1770" w:header="828" w:footer="1244" w:gutter="0"/>
          <w:cols w:space="720" w:num="1"/>
        </w:sectPr>
      </w:pPr>
    </w:p>
    <w:p w14:paraId="11E55C2F">
      <w:pPr>
        <w:pStyle w:val="2"/>
        <w:spacing w:line="306" w:lineRule="auto"/>
      </w:pPr>
    </w:p>
    <w:p w14:paraId="057C867C">
      <w:pPr>
        <w:spacing w:before="78" w:line="360" w:lineRule="auto"/>
        <w:ind w:left="35" w:right="84" w:firstLine="485"/>
        <w:jc w:val="both"/>
        <w:rPr>
          <w:rFonts w:ascii="宋体" w:hAnsi="宋体" w:eastAsia="宋体" w:cs="宋体"/>
          <w:sz w:val="24"/>
          <w:szCs w:val="24"/>
        </w:rPr>
      </w:pPr>
      <w:r>
        <w:rPr>
          <w:rFonts w:ascii="宋体" w:hAnsi="宋体" w:eastAsia="宋体" w:cs="宋体"/>
          <w:spacing w:val="-2"/>
          <w:sz w:val="24"/>
          <w:szCs w:val="24"/>
        </w:rPr>
        <w:t>本项目为生猪养殖项目，年出栏育肥猪</w:t>
      </w:r>
      <w:r>
        <w:rPr>
          <w:rFonts w:ascii="Times New Roman" w:hAnsi="Times New Roman" w:eastAsia="Times New Roman" w:cs="Times New Roman"/>
          <w:spacing w:val="-2"/>
          <w:sz w:val="24"/>
          <w:szCs w:val="24"/>
        </w:rPr>
        <w:t>13.3</w:t>
      </w:r>
      <w:r>
        <w:rPr>
          <w:rFonts w:ascii="宋体" w:hAnsi="宋体" w:eastAsia="宋体" w:cs="宋体"/>
          <w:spacing w:val="-2"/>
          <w:sz w:val="24"/>
          <w:szCs w:val="24"/>
        </w:rPr>
        <w:t>万头。根据《中华人民共和国环</w:t>
      </w:r>
      <w:r>
        <w:rPr>
          <w:rFonts w:ascii="宋体" w:hAnsi="宋体" w:eastAsia="宋体" w:cs="宋体"/>
          <w:spacing w:val="1"/>
          <w:sz w:val="24"/>
          <w:szCs w:val="24"/>
        </w:rPr>
        <w:t>境影响评价法》、国务院</w:t>
      </w:r>
      <w:r>
        <w:rPr>
          <w:rFonts w:ascii="Times New Roman" w:hAnsi="Times New Roman" w:eastAsia="Times New Roman" w:cs="Times New Roman"/>
          <w:spacing w:val="1"/>
          <w:sz w:val="24"/>
          <w:szCs w:val="24"/>
        </w:rPr>
        <w:t>682</w:t>
      </w:r>
      <w:r>
        <w:rPr>
          <w:rFonts w:ascii="宋体" w:hAnsi="宋体" w:eastAsia="宋体" w:cs="宋体"/>
          <w:spacing w:val="1"/>
          <w:sz w:val="24"/>
          <w:szCs w:val="24"/>
        </w:rPr>
        <w:t>号令《建设项</w:t>
      </w:r>
      <w:r>
        <w:rPr>
          <w:rFonts w:ascii="宋体" w:hAnsi="宋体" w:eastAsia="宋体" w:cs="宋体"/>
          <w:sz w:val="24"/>
          <w:szCs w:val="24"/>
        </w:rPr>
        <w:t>目环境保护管理条例》，本项目需要</w:t>
      </w:r>
      <w:r>
        <w:rPr>
          <w:rFonts w:ascii="宋体" w:hAnsi="宋体" w:eastAsia="宋体" w:cs="宋体"/>
          <w:spacing w:val="-3"/>
          <w:sz w:val="24"/>
          <w:szCs w:val="24"/>
        </w:rPr>
        <w:t>进行环境影响评价，根据《建设项目环境影响评价分类管</w:t>
      </w:r>
      <w:r>
        <w:rPr>
          <w:rFonts w:ascii="宋体" w:hAnsi="宋体" w:eastAsia="宋体" w:cs="宋体"/>
          <w:spacing w:val="-4"/>
          <w:sz w:val="24"/>
          <w:szCs w:val="24"/>
        </w:rPr>
        <w:t>理名录》（生态环境部</w:t>
      </w:r>
      <w:r>
        <w:rPr>
          <w:rFonts w:ascii="宋体" w:hAnsi="宋体" w:eastAsia="宋体" w:cs="宋体"/>
          <w:spacing w:val="1"/>
          <w:sz w:val="24"/>
          <w:szCs w:val="24"/>
        </w:rPr>
        <w:t>令第</w:t>
      </w:r>
      <w:r>
        <w:rPr>
          <w:rFonts w:ascii="Times New Roman" w:hAnsi="Times New Roman" w:eastAsia="Times New Roman" w:cs="Times New Roman"/>
          <w:spacing w:val="1"/>
          <w:sz w:val="24"/>
          <w:szCs w:val="24"/>
        </w:rPr>
        <w:t>16</w:t>
      </w:r>
      <w:r>
        <w:rPr>
          <w:rFonts w:ascii="宋体" w:hAnsi="宋体" w:eastAsia="宋体" w:cs="宋体"/>
          <w:spacing w:val="1"/>
          <w:sz w:val="24"/>
          <w:szCs w:val="24"/>
        </w:rPr>
        <w:t>号</w:t>
      </w:r>
      <w:r>
        <w:rPr>
          <w:rFonts w:ascii="宋体" w:hAnsi="宋体" w:eastAsia="宋体" w:cs="宋体"/>
          <w:sz w:val="24"/>
          <w:szCs w:val="24"/>
        </w:rPr>
        <w:t>），</w:t>
      </w:r>
      <w:r>
        <w:rPr>
          <w:rFonts w:ascii="宋体" w:hAnsi="宋体" w:eastAsia="宋体" w:cs="宋体"/>
          <w:spacing w:val="1"/>
          <w:sz w:val="24"/>
          <w:szCs w:val="24"/>
        </w:rPr>
        <w:t>本项目属于该目录中“二、畜牧</w:t>
      </w:r>
      <w:r>
        <w:rPr>
          <w:rFonts w:ascii="宋体" w:hAnsi="宋体" w:eastAsia="宋体" w:cs="宋体"/>
          <w:sz w:val="24"/>
          <w:szCs w:val="24"/>
        </w:rPr>
        <w:t>业—</w:t>
      </w:r>
      <w:r>
        <w:rPr>
          <w:rFonts w:ascii="Times New Roman" w:hAnsi="Times New Roman" w:eastAsia="Times New Roman" w:cs="Times New Roman"/>
          <w:sz w:val="24"/>
          <w:szCs w:val="24"/>
        </w:rPr>
        <w:t xml:space="preserve">3  </w:t>
      </w:r>
      <w:r>
        <w:rPr>
          <w:rFonts w:ascii="宋体" w:hAnsi="宋体" w:eastAsia="宋体" w:cs="宋体"/>
          <w:sz w:val="24"/>
          <w:szCs w:val="24"/>
        </w:rPr>
        <w:t>牧畜饲养</w:t>
      </w:r>
      <w:r>
        <w:rPr>
          <w:rFonts w:ascii="Times New Roman" w:hAnsi="Times New Roman" w:eastAsia="Times New Roman" w:cs="Times New Roman"/>
          <w:sz w:val="24"/>
          <w:szCs w:val="24"/>
        </w:rPr>
        <w:t>031</w:t>
      </w:r>
      <w:r>
        <w:rPr>
          <w:rFonts w:ascii="宋体" w:hAnsi="宋体" w:eastAsia="宋体" w:cs="宋体"/>
          <w:sz w:val="24"/>
          <w:szCs w:val="24"/>
        </w:rPr>
        <w:t>—年出栏生猪</w:t>
      </w:r>
      <w:r>
        <w:rPr>
          <w:rFonts w:ascii="Times New Roman" w:hAnsi="Times New Roman" w:eastAsia="Times New Roman" w:cs="Times New Roman"/>
          <w:spacing w:val="-3"/>
          <w:sz w:val="24"/>
          <w:szCs w:val="24"/>
        </w:rPr>
        <w:t>5000</w:t>
      </w:r>
      <w:r>
        <w:rPr>
          <w:rFonts w:ascii="宋体" w:hAnsi="宋体" w:eastAsia="宋体" w:cs="宋体"/>
          <w:spacing w:val="-3"/>
          <w:sz w:val="24"/>
          <w:szCs w:val="24"/>
        </w:rPr>
        <w:t>头（其他畜禽种类折合猪的养殖规模）及以上的规模化畜禽养殖；存栏生猪</w:t>
      </w:r>
      <w:r>
        <w:rPr>
          <w:rFonts w:ascii="Times New Roman" w:hAnsi="Times New Roman" w:eastAsia="Times New Roman" w:cs="Times New Roman"/>
          <w:spacing w:val="-10"/>
          <w:sz w:val="24"/>
          <w:szCs w:val="24"/>
        </w:rPr>
        <w:t>2500</w:t>
      </w:r>
      <w:r>
        <w:rPr>
          <w:rFonts w:ascii="宋体" w:hAnsi="宋体" w:eastAsia="宋体" w:cs="宋体"/>
          <w:spacing w:val="-10"/>
          <w:sz w:val="24"/>
          <w:szCs w:val="24"/>
        </w:rPr>
        <w:t>头（其他畜禽种类折合猪的养殖规模）及以上无出栏量的规模化畜禽养殖</w:t>
      </w:r>
      <w:r>
        <w:rPr>
          <w:rFonts w:ascii="宋体" w:hAnsi="宋体" w:eastAsia="宋体" w:cs="宋体"/>
          <w:spacing w:val="-80"/>
          <w:sz w:val="24"/>
          <w:szCs w:val="24"/>
        </w:rPr>
        <w:t xml:space="preserve"> </w:t>
      </w:r>
      <w:r>
        <w:rPr>
          <w:rFonts w:ascii="宋体" w:hAnsi="宋体" w:eastAsia="宋体" w:cs="宋体"/>
          <w:spacing w:val="-10"/>
          <w:sz w:val="24"/>
          <w:szCs w:val="24"/>
        </w:rPr>
        <w:t>”，</w:t>
      </w:r>
      <w:r>
        <w:rPr>
          <w:rFonts w:ascii="宋体" w:hAnsi="宋体" w:eastAsia="宋体" w:cs="宋体"/>
          <w:spacing w:val="-4"/>
          <w:sz w:val="24"/>
          <w:szCs w:val="24"/>
        </w:rPr>
        <w:t>因此，</w:t>
      </w:r>
      <w:r>
        <w:rPr>
          <w:rFonts w:ascii="宋体" w:hAnsi="宋体" w:eastAsia="宋体" w:cs="宋体"/>
          <w:b/>
          <w:bCs/>
          <w:spacing w:val="-4"/>
          <w:sz w:val="24"/>
          <w:szCs w:val="24"/>
        </w:rPr>
        <w:t>应编制环境影响报告书。</w:t>
      </w:r>
    </w:p>
    <w:p w14:paraId="76D8467A">
      <w:pPr>
        <w:spacing w:before="1" w:line="361" w:lineRule="auto"/>
        <w:ind w:left="59" w:firstLine="459"/>
        <w:jc w:val="both"/>
        <w:rPr>
          <w:rFonts w:ascii="宋体" w:hAnsi="宋体" w:eastAsia="宋体" w:cs="宋体"/>
          <w:sz w:val="24"/>
          <w:szCs w:val="24"/>
        </w:rPr>
      </w:pPr>
      <w:r>
        <w:rPr>
          <w:rFonts w:ascii="宋体" w:hAnsi="宋体" w:eastAsia="宋体" w:cs="宋体"/>
          <w:spacing w:val="-8"/>
          <w:sz w:val="24"/>
          <w:szCs w:val="24"/>
        </w:rPr>
        <w:t>在报告书的编制过程中，得到了内江市生态环境局、内江市东兴生态环境局、</w:t>
      </w:r>
      <w:r>
        <w:rPr>
          <w:rFonts w:ascii="宋体" w:hAnsi="宋体" w:eastAsia="宋体" w:cs="宋体"/>
          <w:spacing w:val="-4"/>
          <w:sz w:val="24"/>
          <w:szCs w:val="24"/>
        </w:rPr>
        <w:t>内江市东兴区农业农村局、内江市东兴区水利局、东兴区白合镇人民政府等单位的大力支持，在此一并致以衷心的感谢！</w:t>
      </w:r>
    </w:p>
    <w:p w14:paraId="607C9C8E">
      <w:pPr>
        <w:spacing w:before="150" w:line="220" w:lineRule="auto"/>
        <w:ind w:left="37"/>
        <w:outlineLvl w:val="1"/>
        <w:rPr>
          <w:rFonts w:ascii="宋体" w:hAnsi="宋体" w:eastAsia="宋体" w:cs="宋体"/>
          <w:sz w:val="32"/>
          <w:szCs w:val="32"/>
        </w:rPr>
      </w:pPr>
      <w:bookmarkStart w:id="6" w:name="bookmark3"/>
      <w:bookmarkEnd w:id="6"/>
      <w:r>
        <w:rPr>
          <w:rFonts w:ascii="Times New Roman" w:hAnsi="Times New Roman" w:eastAsia="Times New Roman" w:cs="Times New Roman"/>
          <w:b/>
          <w:bCs/>
          <w:spacing w:val="-6"/>
          <w:sz w:val="32"/>
          <w:szCs w:val="32"/>
        </w:rPr>
        <w:t>2</w:t>
      </w:r>
      <w:r>
        <w:rPr>
          <w:rFonts w:ascii="宋体" w:hAnsi="宋体" w:eastAsia="宋体" w:cs="宋体"/>
          <w:b/>
          <w:bCs/>
          <w:spacing w:val="-6"/>
          <w:sz w:val="32"/>
          <w:szCs w:val="32"/>
        </w:rPr>
        <w:t>、建设项目的特点</w:t>
      </w:r>
    </w:p>
    <w:p w14:paraId="0C5447C6">
      <w:pPr>
        <w:pStyle w:val="2"/>
        <w:spacing w:line="247" w:lineRule="auto"/>
      </w:pPr>
    </w:p>
    <w:p w14:paraId="77390148">
      <w:pPr>
        <w:spacing w:before="78" w:line="360" w:lineRule="auto"/>
        <w:ind w:left="38" w:right="8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）本项目为生猪养殖项目，仅进行仔猪保育及育肥，不进行种猪的饲养</w:t>
      </w:r>
      <w:r>
        <w:rPr>
          <w:rFonts w:ascii="宋体" w:hAnsi="宋体" w:eastAsia="宋体" w:cs="宋体"/>
          <w:spacing w:val="-2"/>
          <w:sz w:val="24"/>
          <w:szCs w:val="24"/>
        </w:rPr>
        <w:t>及繁育猪苗，不进行饲料生产加工、生猪屠宰等活动。</w:t>
      </w:r>
    </w:p>
    <w:p w14:paraId="6C341A07">
      <w:pPr>
        <w:spacing w:line="360" w:lineRule="auto"/>
        <w:ind w:left="38" w:right="85" w:firstLine="48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）本项目采用“原环保部认可的清粪工艺”（同牧原食品股份</w:t>
      </w:r>
      <w:r>
        <w:rPr>
          <w:rFonts w:ascii="宋体" w:hAnsi="宋体" w:eastAsia="宋体" w:cs="宋体"/>
          <w:spacing w:val="-8"/>
          <w:sz w:val="24"/>
          <w:szCs w:val="24"/>
        </w:rPr>
        <w:t>有限公司清</w:t>
      </w:r>
      <w:r>
        <w:rPr>
          <w:rFonts w:ascii="宋体" w:hAnsi="宋体" w:eastAsia="宋体" w:cs="宋体"/>
          <w:spacing w:val="-2"/>
          <w:sz w:val="24"/>
          <w:szCs w:val="24"/>
        </w:rPr>
        <w:t>粪工艺</w:t>
      </w:r>
      <w:r>
        <w:rPr>
          <w:rFonts w:ascii="宋体" w:hAnsi="宋体" w:eastAsia="宋体" w:cs="宋体"/>
          <w:spacing w:val="-19"/>
          <w:sz w:val="24"/>
          <w:szCs w:val="24"/>
        </w:rPr>
        <w:t>）：</w:t>
      </w:r>
      <w:r>
        <w:rPr>
          <w:rFonts w:ascii="宋体" w:hAnsi="宋体" w:eastAsia="宋体" w:cs="宋体"/>
          <w:spacing w:val="-2"/>
          <w:sz w:val="24"/>
          <w:szCs w:val="24"/>
        </w:rPr>
        <w:t>该清粪工艺不将清水用于圈舍粪尿日常清理，粪尿产生即依靠重力离</w:t>
      </w:r>
      <w:r>
        <w:rPr>
          <w:rFonts w:ascii="宋体" w:hAnsi="宋体" w:eastAsia="宋体" w:cs="宋体"/>
          <w:spacing w:val="-3"/>
          <w:sz w:val="24"/>
          <w:szCs w:val="24"/>
        </w:rPr>
        <w:t>开圈舍进入储存池，大大减少了粪污产生量，并实现粪尿及时清理；粪污离开储存池即进行干湿分离和无害化并全部实现综合利用，没有混合排出。根据原环保部办公厅“关于牧原食品股份有限公司部分养殖场</w:t>
      </w:r>
      <w:r>
        <w:rPr>
          <w:rFonts w:ascii="宋体" w:hAnsi="宋体" w:eastAsia="宋体" w:cs="宋体"/>
          <w:spacing w:val="-4"/>
          <w:sz w:val="24"/>
          <w:szCs w:val="24"/>
        </w:rPr>
        <w:t>清粪工艺问题的复函”（环办</w:t>
      </w:r>
      <w:r>
        <w:rPr>
          <w:rFonts w:ascii="宋体" w:hAnsi="宋体" w:eastAsia="宋体" w:cs="宋体"/>
          <w:spacing w:val="-3"/>
          <w:sz w:val="24"/>
          <w:szCs w:val="24"/>
        </w:rPr>
        <w:t>函</w:t>
      </w:r>
      <w:r>
        <w:rPr>
          <w:rFonts w:ascii="Times New Roman" w:hAnsi="Times New Roman" w:eastAsia="Times New Roman" w:cs="Times New Roman"/>
          <w:spacing w:val="-3"/>
          <w:sz w:val="24"/>
          <w:szCs w:val="24"/>
        </w:rPr>
        <w:t>[</w:t>
      </w:r>
      <w:r>
        <w:fldChar w:fldCharType="begin"/>
      </w:r>
      <w:r>
        <w:instrText xml:space="preserve"> HYPERLINK \l "bookmark62" </w:instrText>
      </w:r>
      <w:r>
        <w:fldChar w:fldCharType="separate"/>
      </w:r>
      <w:r>
        <w:rPr>
          <w:rFonts w:ascii="Times New Roman" w:hAnsi="Times New Roman" w:eastAsia="Times New Roman" w:cs="Times New Roman"/>
          <w:spacing w:val="-3"/>
          <w:sz w:val="24"/>
          <w:szCs w:val="24"/>
        </w:rPr>
        <w:t>2015</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]425</w:t>
      </w:r>
      <w:r>
        <w:rPr>
          <w:rFonts w:ascii="宋体" w:hAnsi="宋体" w:eastAsia="宋体" w:cs="宋体"/>
          <w:spacing w:val="-3"/>
          <w:sz w:val="24"/>
          <w:szCs w:val="24"/>
        </w:rPr>
        <w:t>号</w:t>
      </w:r>
      <w:r>
        <w:rPr>
          <w:rFonts w:ascii="宋体" w:hAnsi="宋体" w:eastAsia="宋体" w:cs="宋体"/>
          <w:spacing w:val="-16"/>
          <w:sz w:val="24"/>
          <w:szCs w:val="24"/>
        </w:rPr>
        <w:t>）：</w:t>
      </w:r>
      <w:r>
        <w:rPr>
          <w:rFonts w:ascii="宋体" w:hAnsi="宋体" w:eastAsia="宋体" w:cs="宋体"/>
          <w:spacing w:val="-3"/>
          <w:sz w:val="24"/>
          <w:szCs w:val="24"/>
        </w:rPr>
        <w:t>该清粪工艺具备干清粪工艺基本特征，符合相关技术规范的要</w:t>
      </w:r>
      <w:r>
        <w:rPr>
          <w:rFonts w:ascii="宋体" w:hAnsi="宋体" w:eastAsia="宋体" w:cs="宋体"/>
          <w:spacing w:val="-11"/>
          <w:sz w:val="24"/>
          <w:szCs w:val="24"/>
        </w:rPr>
        <w:t>求。</w:t>
      </w:r>
    </w:p>
    <w:p w14:paraId="366F3DFF">
      <w:pPr>
        <w:spacing w:before="3" w:line="357" w:lineRule="auto"/>
        <w:ind w:left="39" w:right="83"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）根据生态环境部部长信箱回复：本项目清粪工艺与《关于牧原食品股</w:t>
      </w:r>
      <w:r>
        <w:rPr>
          <w:rFonts w:ascii="宋体" w:hAnsi="宋体" w:eastAsia="宋体" w:cs="宋体"/>
          <w:spacing w:val="-4"/>
          <w:sz w:val="24"/>
          <w:szCs w:val="24"/>
        </w:rPr>
        <w:t>份有限公司部分养殖场清粪工艺问题的复函》（环办函</w:t>
      </w:r>
      <w:r>
        <w:rPr>
          <w:rFonts w:ascii="Times New Roman" w:hAnsi="Times New Roman" w:eastAsia="Times New Roman" w:cs="Times New Roman"/>
          <w:spacing w:val="-4"/>
          <w:sz w:val="24"/>
          <w:szCs w:val="24"/>
        </w:rPr>
        <w:t>[</w:t>
      </w:r>
      <w:r>
        <w:fldChar w:fldCharType="begin"/>
      </w:r>
      <w:r>
        <w:instrText xml:space="preserve"> HYPERLINK \l "bookmark63" </w:instrText>
      </w:r>
      <w:r>
        <w:fldChar w:fldCharType="separate"/>
      </w:r>
      <w:r>
        <w:rPr>
          <w:rFonts w:ascii="Times New Roman" w:hAnsi="Times New Roman" w:eastAsia="Times New Roman" w:cs="Times New Roman"/>
          <w:spacing w:val="-4"/>
          <w:sz w:val="24"/>
          <w:szCs w:val="24"/>
        </w:rPr>
        <w:t>2015</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]425</w:t>
      </w:r>
      <w:r>
        <w:rPr>
          <w:rFonts w:ascii="宋体" w:hAnsi="宋体" w:eastAsia="宋体" w:cs="宋体"/>
          <w:spacing w:val="-4"/>
          <w:sz w:val="24"/>
          <w:szCs w:val="24"/>
        </w:rPr>
        <w:t>号）中的清粪工艺一致，属于干清粪。</w:t>
      </w:r>
    </w:p>
    <w:p w14:paraId="75AE1E93">
      <w:pPr>
        <w:spacing w:before="8" w:line="360" w:lineRule="auto"/>
        <w:ind w:left="38" w:right="8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）本项目猪舍产生的猪粪经固液分离后，在堆粪棚暂存（不发酵</w:t>
      </w:r>
      <w:r>
        <w:rPr>
          <w:rFonts w:ascii="宋体" w:hAnsi="宋体" w:eastAsia="宋体" w:cs="宋体"/>
          <w:spacing w:val="5"/>
          <w:sz w:val="24"/>
          <w:szCs w:val="24"/>
        </w:rPr>
        <w:t>），</w:t>
      </w:r>
      <w:r>
        <w:rPr>
          <w:rFonts w:ascii="宋体" w:hAnsi="宋体" w:eastAsia="宋体" w:cs="宋体"/>
          <w:sz w:val="24"/>
          <w:szCs w:val="24"/>
        </w:rPr>
        <w:t>并</w:t>
      </w:r>
      <w:r>
        <w:rPr>
          <w:rFonts w:ascii="宋体" w:hAnsi="宋体" w:eastAsia="宋体" w:cs="宋体"/>
          <w:spacing w:val="-2"/>
          <w:sz w:val="24"/>
          <w:szCs w:val="24"/>
        </w:rPr>
        <w:t>及时交四川正威实业有限公司进行生产商品有机肥。</w:t>
      </w:r>
    </w:p>
    <w:p w14:paraId="08CAFE1D">
      <w:pPr>
        <w:spacing w:before="2" w:line="340" w:lineRule="auto"/>
        <w:ind w:left="39" w:right="18"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）本项目流转消纳土地</w:t>
      </w:r>
      <w:r>
        <w:rPr>
          <w:rFonts w:ascii="Times New Roman" w:hAnsi="Times New Roman" w:eastAsia="Times New Roman" w:cs="Times New Roman"/>
          <w:sz w:val="24"/>
          <w:szCs w:val="24"/>
        </w:rPr>
        <w:t>2060</w:t>
      </w:r>
      <w:r>
        <w:rPr>
          <w:rFonts w:ascii="宋体" w:hAnsi="宋体" w:eastAsia="宋体" w:cs="宋体"/>
          <w:sz w:val="24"/>
          <w:szCs w:val="24"/>
        </w:rPr>
        <w:t>亩，土地整治后用于旱作农业，全部种植旱</w:t>
      </w:r>
      <w:r>
        <w:rPr>
          <w:rFonts w:ascii="宋体" w:hAnsi="宋体" w:eastAsia="宋体" w:cs="宋体"/>
          <w:spacing w:val="34"/>
          <w:sz w:val="24"/>
          <w:szCs w:val="24"/>
        </w:rPr>
        <w:t>地农作物，养殖废水经污水处理站处</w:t>
      </w:r>
      <w:r>
        <w:rPr>
          <w:rFonts w:ascii="宋体" w:hAnsi="宋体" w:eastAsia="宋体" w:cs="宋体"/>
          <w:spacing w:val="-55"/>
          <w:sz w:val="24"/>
          <w:szCs w:val="24"/>
        </w:rPr>
        <w:t xml:space="preserve"> </w:t>
      </w:r>
      <w:r>
        <w:rPr>
          <w:rFonts w:ascii="宋体" w:hAnsi="宋体" w:eastAsia="宋体" w:cs="宋体"/>
          <w:spacing w:val="34"/>
          <w:sz w:val="24"/>
          <w:szCs w:val="24"/>
        </w:rPr>
        <w:t>理后达到《农田灌溉水质标准》</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5084-2021</w:t>
      </w:r>
      <w:r>
        <w:rPr>
          <w:rFonts w:ascii="宋体" w:hAnsi="宋体" w:eastAsia="宋体" w:cs="宋体"/>
          <w:spacing w:val="1"/>
          <w:sz w:val="24"/>
          <w:szCs w:val="24"/>
        </w:rPr>
        <w:t>）“表</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农田灌溉水质基本控制项目限</w:t>
      </w:r>
      <w:r>
        <w:rPr>
          <w:rFonts w:ascii="宋体" w:hAnsi="宋体" w:eastAsia="宋体" w:cs="宋体"/>
          <w:sz w:val="24"/>
          <w:szCs w:val="24"/>
        </w:rPr>
        <w:t>值”中旱地作物限值后，</w:t>
      </w:r>
      <w:r>
        <w:rPr>
          <w:rFonts w:ascii="宋体" w:hAnsi="宋体" w:eastAsia="宋体" w:cs="宋体"/>
          <w:spacing w:val="-3"/>
          <w:sz w:val="24"/>
          <w:szCs w:val="24"/>
        </w:rPr>
        <w:t>全部用于周边消纳地农灌，不外排。</w:t>
      </w:r>
    </w:p>
    <w:p w14:paraId="1223026A">
      <w:pPr>
        <w:spacing w:line="340" w:lineRule="auto"/>
        <w:rPr>
          <w:rFonts w:ascii="宋体" w:hAnsi="宋体" w:eastAsia="宋体" w:cs="宋体"/>
          <w:sz w:val="24"/>
          <w:szCs w:val="24"/>
        </w:rPr>
        <w:sectPr>
          <w:headerReference r:id="rId13" w:type="default"/>
          <w:footerReference r:id="rId14" w:type="default"/>
          <w:pgSz w:w="11905" w:h="16840"/>
          <w:pgMar w:top="1168" w:right="1712" w:bottom="1409" w:left="1770" w:header="828" w:footer="1244" w:gutter="0"/>
          <w:cols w:space="720" w:num="1"/>
        </w:sectPr>
      </w:pPr>
    </w:p>
    <w:p w14:paraId="532516D9">
      <w:pPr>
        <w:pStyle w:val="2"/>
        <w:spacing w:line="306" w:lineRule="auto"/>
      </w:pPr>
    </w:p>
    <w:p w14:paraId="468BD5F0">
      <w:pPr>
        <w:spacing w:before="78" w:line="360" w:lineRule="auto"/>
        <w:ind w:left="40" w:right="65"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）本项目病死猪拟交内江市环态动物无害化处置有限责任公司进行无害</w:t>
      </w:r>
      <w:r>
        <w:rPr>
          <w:rFonts w:ascii="宋体" w:hAnsi="宋体" w:eastAsia="宋体" w:cs="宋体"/>
          <w:spacing w:val="-3"/>
          <w:sz w:val="24"/>
          <w:szCs w:val="24"/>
        </w:rPr>
        <w:t>化处理，拟在粪污处理区设置</w:t>
      </w:r>
      <w:r>
        <w:rPr>
          <w:rFonts w:ascii="Times New Roman" w:hAnsi="Times New Roman" w:eastAsia="Times New Roman" w:cs="Times New Roman"/>
          <w:spacing w:val="-3"/>
          <w:sz w:val="24"/>
          <w:szCs w:val="24"/>
        </w:rPr>
        <w:t>1</w:t>
      </w:r>
      <w:r>
        <w:rPr>
          <w:rFonts w:ascii="宋体" w:hAnsi="宋体" w:eastAsia="宋体" w:cs="宋体"/>
          <w:spacing w:val="-3"/>
          <w:sz w:val="24"/>
          <w:szCs w:val="24"/>
        </w:rPr>
        <w:t>间无害化处理间，内设</w:t>
      </w:r>
      <w:r>
        <w:rPr>
          <w:rFonts w:ascii="Times New Roman" w:hAnsi="Times New Roman" w:eastAsia="Times New Roman" w:cs="Times New Roman"/>
          <w:spacing w:val="-3"/>
          <w:sz w:val="24"/>
          <w:szCs w:val="24"/>
        </w:rPr>
        <w:t>1</w:t>
      </w:r>
      <w:r>
        <w:rPr>
          <w:rFonts w:ascii="宋体" w:hAnsi="宋体" w:eastAsia="宋体" w:cs="宋体"/>
          <w:spacing w:val="-3"/>
          <w:sz w:val="24"/>
          <w:szCs w:val="24"/>
        </w:rPr>
        <w:t>套无害化降解处理机作应</w:t>
      </w:r>
      <w:r>
        <w:rPr>
          <w:rFonts w:ascii="宋体" w:hAnsi="宋体" w:eastAsia="宋体" w:cs="宋体"/>
          <w:spacing w:val="-2"/>
          <w:sz w:val="24"/>
          <w:szCs w:val="24"/>
        </w:rPr>
        <w:t>急备用，当发生重大疫情为避免运输过程中交叉影响时启动。</w:t>
      </w:r>
    </w:p>
    <w:p w14:paraId="32F656B8">
      <w:pPr>
        <w:spacing w:line="361" w:lineRule="auto"/>
        <w:ind w:left="40" w:right="65"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7</w:t>
      </w:r>
      <w:r>
        <w:rPr>
          <w:rFonts w:ascii="宋体" w:hAnsi="宋体" w:eastAsia="宋体" w:cs="宋体"/>
          <w:sz w:val="24"/>
          <w:szCs w:val="24"/>
        </w:rPr>
        <w:t>）本项目为《内江市农业农村局关于天府集团宇和泽农业公司生猪生产</w:t>
      </w:r>
      <w:r>
        <w:rPr>
          <w:rFonts w:ascii="宋体" w:hAnsi="宋体" w:eastAsia="宋体" w:cs="宋体"/>
          <w:spacing w:val="-5"/>
          <w:sz w:val="24"/>
          <w:szCs w:val="24"/>
        </w:rPr>
        <w:t>发展相关情况的说明》所列项目，</w:t>
      </w:r>
      <w:r>
        <w:rPr>
          <w:rFonts w:ascii="宋体" w:hAnsi="宋体" w:eastAsia="宋体" w:cs="宋体"/>
          <w:spacing w:val="-42"/>
          <w:sz w:val="24"/>
          <w:szCs w:val="24"/>
        </w:rPr>
        <w:t xml:space="preserve"> </w:t>
      </w:r>
      <w:r>
        <w:rPr>
          <w:rFonts w:ascii="宋体" w:hAnsi="宋体" w:eastAsia="宋体" w:cs="宋体"/>
          <w:spacing w:val="-5"/>
          <w:sz w:val="24"/>
          <w:szCs w:val="24"/>
        </w:rPr>
        <w:t>符合内江市生猪产业发展</w:t>
      </w:r>
      <w:r>
        <w:rPr>
          <w:rFonts w:ascii="宋体" w:hAnsi="宋体" w:eastAsia="宋体" w:cs="宋体"/>
          <w:spacing w:val="-6"/>
          <w:sz w:val="24"/>
          <w:szCs w:val="24"/>
        </w:rPr>
        <w:t>要求，项目有助于推</w:t>
      </w:r>
      <w:r>
        <w:rPr>
          <w:rFonts w:ascii="宋体" w:hAnsi="宋体" w:eastAsia="宋体" w:cs="宋体"/>
          <w:spacing w:val="-3"/>
          <w:sz w:val="24"/>
          <w:szCs w:val="24"/>
        </w:rPr>
        <w:t>动落实内江市生猪保供的民生任务。</w:t>
      </w:r>
    </w:p>
    <w:p w14:paraId="5D5D637C">
      <w:pPr>
        <w:spacing w:before="152" w:line="218" w:lineRule="auto"/>
        <w:ind w:left="35"/>
        <w:outlineLvl w:val="1"/>
        <w:rPr>
          <w:rFonts w:ascii="宋体" w:hAnsi="宋体" w:eastAsia="宋体" w:cs="宋体"/>
          <w:sz w:val="32"/>
          <w:szCs w:val="32"/>
        </w:rPr>
      </w:pPr>
      <w:bookmarkStart w:id="7" w:name="bookmark4"/>
      <w:bookmarkEnd w:id="7"/>
      <w:r>
        <w:rPr>
          <w:rFonts w:ascii="Times New Roman" w:hAnsi="Times New Roman" w:eastAsia="Times New Roman" w:cs="Times New Roman"/>
          <w:b/>
          <w:bCs/>
          <w:spacing w:val="-4"/>
          <w:sz w:val="32"/>
          <w:szCs w:val="32"/>
        </w:rPr>
        <w:t>3</w:t>
      </w:r>
      <w:r>
        <w:rPr>
          <w:rFonts w:ascii="宋体" w:hAnsi="宋体" w:eastAsia="宋体" w:cs="宋体"/>
          <w:b/>
          <w:bCs/>
          <w:spacing w:val="-4"/>
          <w:sz w:val="32"/>
          <w:szCs w:val="32"/>
        </w:rPr>
        <w:t>、环境影响评价过程</w:t>
      </w:r>
    </w:p>
    <w:p w14:paraId="2E27D1F1">
      <w:pPr>
        <w:pStyle w:val="2"/>
        <w:spacing w:line="249" w:lineRule="auto"/>
      </w:pPr>
    </w:p>
    <w:p w14:paraId="383163D9">
      <w:pPr>
        <w:spacing w:before="78" w:line="346" w:lineRule="auto"/>
        <w:ind w:left="40" w:firstLine="479"/>
        <w:jc w:val="both"/>
        <w:rPr>
          <w:rFonts w:ascii="宋体" w:hAnsi="宋体" w:eastAsia="宋体" w:cs="宋体"/>
          <w:sz w:val="24"/>
          <w:szCs w:val="24"/>
        </w:rPr>
      </w:pPr>
      <w:r>
        <w:rPr>
          <w:rFonts w:ascii="宋体" w:hAnsi="宋体" w:eastAsia="宋体" w:cs="宋体"/>
          <w:spacing w:val="-8"/>
          <w:sz w:val="24"/>
          <w:szCs w:val="24"/>
        </w:rPr>
        <w:t>本项目环境影响评价工作分为三个阶段，即前期准备、调研和</w:t>
      </w:r>
      <w:r>
        <w:rPr>
          <w:rFonts w:ascii="宋体" w:hAnsi="宋体" w:eastAsia="宋体" w:cs="宋体"/>
          <w:spacing w:val="-9"/>
          <w:sz w:val="24"/>
          <w:szCs w:val="24"/>
        </w:rPr>
        <w:t>工作方案阶段，</w:t>
      </w:r>
      <w:r>
        <w:rPr>
          <w:rFonts w:ascii="宋体" w:hAnsi="宋体" w:eastAsia="宋体" w:cs="宋体"/>
          <w:spacing w:val="-3"/>
          <w:sz w:val="24"/>
          <w:szCs w:val="24"/>
        </w:rPr>
        <w:t>分析论证和预测阶段，环境影响评价文件编制阶段，具体流程见环境影响评价工</w:t>
      </w:r>
      <w:r>
        <w:rPr>
          <w:rFonts w:ascii="宋体" w:hAnsi="宋体" w:eastAsia="宋体" w:cs="宋体"/>
          <w:spacing w:val="-2"/>
          <w:sz w:val="24"/>
          <w:szCs w:val="24"/>
        </w:rPr>
        <w:t>作程序图</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14:paraId="5B7BB79B">
      <w:pPr>
        <w:spacing w:line="7968" w:lineRule="exact"/>
        <w:ind w:firstLine="21"/>
      </w:pPr>
      <w:r>
        <w:rPr>
          <w:position w:val="-159"/>
        </w:rPr>
        <w:drawing>
          <wp:inline distT="0" distB="0" distL="0" distR="0">
            <wp:extent cx="5288915" cy="50596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29"/>
                    <a:stretch>
                      <a:fillRect/>
                    </a:stretch>
                  </pic:blipFill>
                  <pic:spPr>
                    <a:xfrm>
                      <a:off x="0" y="0"/>
                      <a:ext cx="5289041" cy="5059680"/>
                    </a:xfrm>
                    <a:prstGeom prst="rect">
                      <a:avLst/>
                    </a:prstGeom>
                  </pic:spPr>
                </pic:pic>
              </a:graphicData>
            </a:graphic>
          </wp:inline>
        </w:drawing>
      </w:r>
    </w:p>
    <w:p w14:paraId="50763523">
      <w:pPr>
        <w:spacing w:before="211" w:line="222" w:lineRule="auto"/>
        <w:ind w:left="2750"/>
        <w:rPr>
          <w:rFonts w:ascii="黑体" w:hAnsi="黑体" w:eastAsia="黑体" w:cs="黑体"/>
          <w:sz w:val="21"/>
          <w:szCs w:val="21"/>
        </w:rPr>
      </w:pPr>
      <w:r>
        <w:rPr>
          <w:rFonts w:ascii="黑体" w:hAnsi="黑体" w:eastAsia="黑体" w:cs="黑体"/>
          <w:spacing w:val="-2"/>
          <w:sz w:val="21"/>
          <w:szCs w:val="21"/>
        </w:rPr>
        <w:t>图</w:t>
      </w:r>
      <w:r>
        <w:rPr>
          <w:rFonts w:ascii="Times New Roman" w:hAnsi="Times New Roman" w:eastAsia="Times New Roman" w:cs="Times New Roman"/>
          <w:spacing w:val="-2"/>
          <w:sz w:val="21"/>
          <w:szCs w:val="21"/>
        </w:rPr>
        <w:t xml:space="preserve">-2    </w:t>
      </w:r>
      <w:r>
        <w:rPr>
          <w:rFonts w:ascii="黑体" w:hAnsi="黑体" w:eastAsia="黑体" w:cs="黑体"/>
          <w:spacing w:val="-2"/>
          <w:sz w:val="21"/>
          <w:szCs w:val="21"/>
        </w:rPr>
        <w:t>环境影响评价工作程序图</w:t>
      </w:r>
    </w:p>
    <w:p w14:paraId="19909889">
      <w:pPr>
        <w:spacing w:line="222" w:lineRule="auto"/>
        <w:rPr>
          <w:rFonts w:ascii="黑体" w:hAnsi="黑体" w:eastAsia="黑体" w:cs="黑体"/>
          <w:sz w:val="21"/>
          <w:szCs w:val="21"/>
        </w:rPr>
        <w:sectPr>
          <w:headerReference r:id="rId15" w:type="default"/>
          <w:footerReference r:id="rId16" w:type="default"/>
          <w:pgSz w:w="11905" w:h="16840"/>
          <w:pgMar w:top="1168" w:right="1731" w:bottom="1408" w:left="1770" w:header="828" w:footer="1244" w:gutter="0"/>
          <w:cols w:space="720" w:num="1"/>
        </w:sectPr>
      </w:pPr>
    </w:p>
    <w:p w14:paraId="6C9C951C">
      <w:pPr>
        <w:pStyle w:val="2"/>
        <w:spacing w:line="305" w:lineRule="auto"/>
      </w:pPr>
    </w:p>
    <w:p w14:paraId="290CDCF5">
      <w:pPr>
        <w:spacing w:before="78" w:line="220" w:lineRule="auto"/>
        <w:ind w:left="525"/>
        <w:rPr>
          <w:rFonts w:ascii="宋体" w:hAnsi="宋体" w:eastAsia="宋体" w:cs="宋体"/>
          <w:sz w:val="24"/>
          <w:szCs w:val="24"/>
        </w:rPr>
      </w:pPr>
      <w:bookmarkStart w:id="8" w:name="bookmark64"/>
      <w:bookmarkEnd w:id="8"/>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）第一阶段</w:t>
      </w:r>
    </w:p>
    <w:p w14:paraId="25287EE1">
      <w:pPr>
        <w:spacing w:before="182" w:line="360" w:lineRule="auto"/>
        <w:ind w:left="38" w:right="101" w:firstLine="476"/>
        <w:rPr>
          <w:rFonts w:ascii="宋体" w:hAnsi="宋体" w:eastAsia="宋体" w:cs="宋体"/>
          <w:sz w:val="24"/>
          <w:szCs w:val="24"/>
        </w:rPr>
      </w:pPr>
      <w:r>
        <w:rPr>
          <w:rFonts w:ascii="Times New Roman" w:hAnsi="Times New Roman" w:eastAsia="Times New Roman" w:cs="Times New Roman"/>
          <w:spacing w:val="1"/>
          <w:sz w:val="24"/>
          <w:szCs w:val="24"/>
        </w:rPr>
        <w:t>2022</w:t>
      </w:r>
      <w:r>
        <w:rPr>
          <w:rFonts w:ascii="宋体" w:hAnsi="宋体" w:eastAsia="宋体" w:cs="宋体"/>
          <w:spacing w:val="1"/>
          <w:sz w:val="24"/>
          <w:szCs w:val="24"/>
        </w:rPr>
        <w:t>年</w:t>
      </w:r>
      <w:r>
        <w:rPr>
          <w:rFonts w:ascii="Times New Roman" w:hAnsi="Times New Roman" w:eastAsia="Times New Roman" w:cs="Times New Roman"/>
          <w:spacing w:val="1"/>
          <w:sz w:val="24"/>
          <w:szCs w:val="24"/>
        </w:rPr>
        <w:t>7</w:t>
      </w:r>
      <w:r>
        <w:rPr>
          <w:rFonts w:ascii="宋体" w:hAnsi="宋体" w:eastAsia="宋体" w:cs="宋体"/>
          <w:spacing w:val="1"/>
          <w:sz w:val="24"/>
          <w:szCs w:val="24"/>
        </w:rPr>
        <w:t>月，四川良牧庄养殖有限公司委托</w:t>
      </w:r>
      <w:r>
        <w:rPr>
          <w:rFonts w:ascii="宋体" w:hAnsi="宋体" w:eastAsia="宋体" w:cs="宋体"/>
          <w:sz w:val="24"/>
          <w:szCs w:val="24"/>
        </w:rPr>
        <w:t>我公司承担喻家沟生猪规模化养</w:t>
      </w:r>
      <w:r>
        <w:rPr>
          <w:rFonts w:ascii="宋体" w:hAnsi="宋体" w:eastAsia="宋体" w:cs="宋体"/>
          <w:spacing w:val="-3"/>
          <w:sz w:val="24"/>
          <w:szCs w:val="24"/>
        </w:rPr>
        <w:t>殖场建设项目环境影响评价工作，我公司即组织技术人员对项目拟建设地及其所</w:t>
      </w:r>
      <w:r>
        <w:rPr>
          <w:rFonts w:ascii="宋体" w:hAnsi="宋体" w:eastAsia="宋体" w:cs="宋体"/>
          <w:spacing w:val="-7"/>
          <w:sz w:val="24"/>
          <w:szCs w:val="24"/>
        </w:rPr>
        <w:t>在区域进行现场踏勘，调查评价范围内环境保护目标，并收集相关工</w:t>
      </w:r>
      <w:r>
        <w:rPr>
          <w:rFonts w:ascii="宋体" w:hAnsi="宋体" w:eastAsia="宋体" w:cs="宋体"/>
          <w:spacing w:val="-8"/>
          <w:sz w:val="24"/>
          <w:szCs w:val="24"/>
        </w:rPr>
        <w:t>程技术资料。</w:t>
      </w:r>
    </w:p>
    <w:p w14:paraId="61B02975">
      <w:pPr>
        <w:spacing w:line="360" w:lineRule="auto"/>
        <w:ind w:left="43" w:right="241" w:firstLine="479"/>
        <w:rPr>
          <w:rFonts w:ascii="宋体" w:hAnsi="宋体" w:eastAsia="宋体" w:cs="宋体"/>
          <w:sz w:val="24"/>
          <w:szCs w:val="24"/>
        </w:rPr>
      </w:pPr>
      <w:r>
        <w:rPr>
          <w:rFonts w:ascii="宋体" w:hAnsi="宋体" w:eastAsia="宋体" w:cs="宋体"/>
          <w:spacing w:val="-8"/>
          <w:sz w:val="24"/>
          <w:szCs w:val="24"/>
        </w:rPr>
        <w:t>建设单位根据《环境影响评价公众参与办法》（生态环</w:t>
      </w:r>
      <w:r>
        <w:rPr>
          <w:rFonts w:ascii="宋体" w:hAnsi="宋体" w:eastAsia="宋体" w:cs="宋体"/>
          <w:spacing w:val="-9"/>
          <w:sz w:val="24"/>
          <w:szCs w:val="24"/>
        </w:rPr>
        <w:t>境部令第</w:t>
      </w:r>
      <w:r>
        <w:rPr>
          <w:rFonts w:ascii="Times New Roman" w:hAnsi="Times New Roman" w:eastAsia="Times New Roman" w:cs="Times New Roman"/>
          <w:spacing w:val="-9"/>
          <w:sz w:val="24"/>
          <w:szCs w:val="24"/>
        </w:rPr>
        <w:t>4</w:t>
      </w:r>
      <w:r>
        <w:rPr>
          <w:rFonts w:ascii="宋体" w:hAnsi="宋体" w:eastAsia="宋体" w:cs="宋体"/>
          <w:spacing w:val="-9"/>
          <w:sz w:val="24"/>
          <w:szCs w:val="24"/>
        </w:rPr>
        <w:t>号）要求，</w:t>
      </w:r>
      <w:r>
        <w:rPr>
          <w:rFonts w:ascii="宋体" w:hAnsi="宋体" w:eastAsia="宋体" w:cs="宋体"/>
          <w:spacing w:val="-1"/>
          <w:sz w:val="24"/>
          <w:szCs w:val="24"/>
        </w:rPr>
        <w:t>于</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年</w:t>
      </w:r>
      <w:r>
        <w:rPr>
          <w:rFonts w:ascii="Times New Roman" w:hAnsi="Times New Roman" w:eastAsia="Times New Roman" w:cs="Times New Roman"/>
          <w:spacing w:val="-1"/>
          <w:sz w:val="24"/>
          <w:szCs w:val="24"/>
        </w:rPr>
        <w:t>7</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21</w:t>
      </w:r>
      <w:r>
        <w:rPr>
          <w:rFonts w:ascii="宋体" w:hAnsi="宋体" w:eastAsia="宋体" w:cs="宋体"/>
          <w:spacing w:val="-1"/>
          <w:sz w:val="24"/>
          <w:szCs w:val="24"/>
        </w:rPr>
        <w:t>日开始采取网络公开方式进行本项目</w:t>
      </w:r>
      <w:r>
        <w:rPr>
          <w:rFonts w:ascii="宋体" w:hAnsi="宋体" w:eastAsia="宋体" w:cs="宋体"/>
          <w:spacing w:val="-2"/>
          <w:sz w:val="24"/>
          <w:szCs w:val="24"/>
        </w:rPr>
        <w:t>环境影响评价信息公开。</w:t>
      </w:r>
    </w:p>
    <w:p w14:paraId="503CA1D7">
      <w:pPr>
        <w:spacing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）第二阶段</w:t>
      </w:r>
    </w:p>
    <w:p w14:paraId="2C011A08">
      <w:pPr>
        <w:spacing w:before="182" w:line="360" w:lineRule="auto"/>
        <w:ind w:left="39" w:right="186" w:firstLine="481"/>
        <w:rPr>
          <w:rFonts w:ascii="宋体" w:hAnsi="宋体" w:eastAsia="宋体" w:cs="宋体"/>
          <w:sz w:val="24"/>
          <w:szCs w:val="24"/>
        </w:rPr>
      </w:pPr>
      <w:r>
        <w:rPr>
          <w:rFonts w:ascii="宋体" w:hAnsi="宋体" w:eastAsia="宋体" w:cs="宋体"/>
          <w:spacing w:val="-3"/>
          <w:sz w:val="24"/>
          <w:szCs w:val="24"/>
        </w:rPr>
        <w:t>按照评价等级和评价范围要求，结合项目特点以及区域环境</w:t>
      </w:r>
      <w:r>
        <w:rPr>
          <w:rFonts w:ascii="宋体" w:hAnsi="宋体" w:eastAsia="宋体" w:cs="宋体"/>
          <w:spacing w:val="-4"/>
          <w:sz w:val="24"/>
          <w:szCs w:val="24"/>
        </w:rPr>
        <w:t>功能特点，开展</w:t>
      </w:r>
      <w:r>
        <w:rPr>
          <w:rFonts w:ascii="宋体" w:hAnsi="宋体" w:eastAsia="宋体" w:cs="宋体"/>
          <w:spacing w:val="-3"/>
          <w:sz w:val="24"/>
          <w:szCs w:val="24"/>
        </w:rPr>
        <w:t>环境质量现状监测，进行环境质量现状评价。同时进行建设项目工程分析、各环境要素的环境影响预测与评价。</w:t>
      </w:r>
    </w:p>
    <w:p w14:paraId="5EEE271A">
      <w:pPr>
        <w:spacing w:before="1"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）第三阶段</w:t>
      </w:r>
    </w:p>
    <w:p w14:paraId="4D34979E">
      <w:pPr>
        <w:spacing w:before="182" w:line="360" w:lineRule="auto"/>
        <w:ind w:left="37" w:right="119" w:firstLine="480"/>
        <w:rPr>
          <w:rFonts w:ascii="宋体" w:hAnsi="宋体" w:eastAsia="宋体" w:cs="宋体"/>
          <w:sz w:val="24"/>
          <w:szCs w:val="24"/>
        </w:rPr>
      </w:pPr>
      <w:r>
        <w:rPr>
          <w:rFonts w:ascii="宋体" w:hAnsi="宋体" w:eastAsia="宋体" w:cs="宋体"/>
          <w:spacing w:val="-8"/>
          <w:sz w:val="24"/>
          <w:szCs w:val="24"/>
        </w:rPr>
        <w:t>在第二阶段工作内容基础上，提出本项目环境保护措施，进行技术</w:t>
      </w:r>
      <w:r>
        <w:rPr>
          <w:rFonts w:ascii="宋体" w:hAnsi="宋体" w:eastAsia="宋体" w:cs="宋体"/>
          <w:spacing w:val="-9"/>
          <w:sz w:val="24"/>
          <w:szCs w:val="24"/>
        </w:rPr>
        <w:t>经济论证，</w:t>
      </w:r>
      <w:r>
        <w:rPr>
          <w:rFonts w:ascii="宋体" w:hAnsi="宋体" w:eastAsia="宋体" w:cs="宋体"/>
          <w:spacing w:val="-3"/>
          <w:sz w:val="24"/>
          <w:szCs w:val="24"/>
        </w:rPr>
        <w:t>给出污染物排放清单，并得出项目环境影响评价结论，进而编制本项目环境影响</w:t>
      </w:r>
      <w:r>
        <w:rPr>
          <w:rFonts w:ascii="宋体" w:hAnsi="宋体" w:eastAsia="宋体" w:cs="宋体"/>
          <w:spacing w:val="-8"/>
          <w:sz w:val="24"/>
          <w:szCs w:val="24"/>
        </w:rPr>
        <w:t>报告书。</w:t>
      </w:r>
    </w:p>
    <w:p w14:paraId="39B45AAB">
      <w:pPr>
        <w:spacing w:line="360" w:lineRule="auto"/>
        <w:ind w:left="40" w:firstLine="481"/>
        <w:jc w:val="both"/>
        <w:rPr>
          <w:rFonts w:ascii="宋体" w:hAnsi="宋体" w:eastAsia="宋体" w:cs="宋体"/>
          <w:sz w:val="24"/>
          <w:szCs w:val="24"/>
        </w:rPr>
      </w:pPr>
      <w:r>
        <w:rPr>
          <w:rFonts w:ascii="宋体" w:hAnsi="宋体" w:eastAsia="宋体" w:cs="宋体"/>
          <w:spacing w:val="-4"/>
          <w:sz w:val="24"/>
          <w:szCs w:val="24"/>
        </w:rPr>
        <w:t>建设单位在本项目环境影响报告书征求意见稿形成后，根据《环境影响评价</w:t>
      </w:r>
      <w:r>
        <w:rPr>
          <w:rFonts w:ascii="宋体" w:hAnsi="宋体" w:eastAsia="宋体" w:cs="宋体"/>
          <w:spacing w:val="-3"/>
          <w:sz w:val="24"/>
          <w:szCs w:val="24"/>
        </w:rPr>
        <w:t>公众参与办法》（生态环境部令第</w:t>
      </w:r>
      <w:r>
        <w:rPr>
          <w:rFonts w:ascii="Times New Roman" w:hAnsi="Times New Roman" w:eastAsia="Times New Roman" w:cs="Times New Roman"/>
          <w:spacing w:val="-3"/>
          <w:sz w:val="24"/>
          <w:szCs w:val="24"/>
        </w:rPr>
        <w:t>4</w:t>
      </w:r>
      <w:r>
        <w:rPr>
          <w:rFonts w:ascii="宋体" w:hAnsi="宋体" w:eastAsia="宋体" w:cs="宋体"/>
          <w:spacing w:val="-3"/>
          <w:sz w:val="24"/>
          <w:szCs w:val="24"/>
        </w:rPr>
        <w:t>号）要求，于</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年</w:t>
      </w:r>
      <w:r>
        <w:rPr>
          <w:rFonts w:ascii="Times New Roman" w:hAnsi="Times New Roman" w:eastAsia="Times New Roman" w:cs="Times New Roman"/>
          <w:spacing w:val="-3"/>
          <w:sz w:val="24"/>
          <w:szCs w:val="24"/>
        </w:rPr>
        <w:t>7</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17</w:t>
      </w:r>
      <w:r>
        <w:rPr>
          <w:rFonts w:ascii="宋体" w:hAnsi="宋体" w:eastAsia="宋体" w:cs="宋体"/>
          <w:spacing w:val="-3"/>
          <w:sz w:val="24"/>
          <w:szCs w:val="24"/>
        </w:rPr>
        <w:t>日起，采取网络公</w:t>
      </w:r>
      <w:r>
        <w:rPr>
          <w:rFonts w:ascii="宋体" w:hAnsi="宋体" w:eastAsia="宋体" w:cs="宋体"/>
          <w:spacing w:val="-4"/>
          <w:sz w:val="24"/>
          <w:szCs w:val="24"/>
        </w:rPr>
        <w:t>开、报纸公示及现场张贴公告的方式进行本项目</w:t>
      </w:r>
      <w:r>
        <w:rPr>
          <w:rFonts w:ascii="宋体" w:hAnsi="宋体" w:eastAsia="宋体" w:cs="宋体"/>
          <w:spacing w:val="-5"/>
          <w:sz w:val="24"/>
          <w:szCs w:val="24"/>
        </w:rPr>
        <w:t>环境影响报告书征求意见稿公示，</w:t>
      </w:r>
      <w:r>
        <w:rPr>
          <w:rFonts w:ascii="宋体" w:hAnsi="宋体" w:eastAsia="宋体" w:cs="宋体"/>
          <w:spacing w:val="-2"/>
          <w:sz w:val="24"/>
          <w:szCs w:val="24"/>
        </w:rPr>
        <w:t>征求与本项目环境影响有关的意见，公示期间为</w:t>
      </w:r>
      <w:r>
        <w:rPr>
          <w:rFonts w:ascii="Times New Roman" w:hAnsi="Times New Roman" w:eastAsia="Times New Roman" w:cs="Times New Roman"/>
          <w:spacing w:val="-2"/>
          <w:sz w:val="24"/>
          <w:szCs w:val="24"/>
        </w:rPr>
        <w:t>10</w:t>
      </w:r>
      <w:r>
        <w:rPr>
          <w:rFonts w:ascii="宋体" w:hAnsi="宋体" w:eastAsia="宋体" w:cs="宋体"/>
          <w:spacing w:val="-2"/>
          <w:sz w:val="24"/>
          <w:szCs w:val="24"/>
        </w:rPr>
        <w:t>个工作日。</w:t>
      </w:r>
    </w:p>
    <w:p w14:paraId="54627A7E">
      <w:pPr>
        <w:spacing w:before="4" w:line="360" w:lineRule="auto"/>
        <w:ind w:left="40" w:right="196" w:firstLine="478"/>
        <w:jc w:val="both"/>
        <w:rPr>
          <w:rFonts w:ascii="宋体" w:hAnsi="宋体" w:eastAsia="宋体" w:cs="宋体"/>
          <w:sz w:val="24"/>
          <w:szCs w:val="24"/>
        </w:rPr>
      </w:pPr>
      <w:r>
        <w:rPr>
          <w:rFonts w:ascii="宋体" w:hAnsi="宋体" w:eastAsia="宋体" w:cs="宋体"/>
          <w:spacing w:val="-4"/>
          <w:sz w:val="24"/>
          <w:szCs w:val="24"/>
        </w:rPr>
        <w:t>在建设单位进行完公众参与后，编制完成了《喻家沟生猪规模化养殖场建设</w:t>
      </w:r>
      <w:r>
        <w:rPr>
          <w:rFonts w:ascii="宋体" w:hAnsi="宋体" w:eastAsia="宋体" w:cs="宋体"/>
          <w:spacing w:val="-6"/>
          <w:sz w:val="24"/>
          <w:szCs w:val="24"/>
        </w:rPr>
        <w:t>项目环境影响评价公众参与说明》，</w:t>
      </w:r>
      <w:r>
        <w:rPr>
          <w:rFonts w:ascii="宋体" w:hAnsi="宋体" w:eastAsia="宋体" w:cs="宋体"/>
          <w:spacing w:val="-26"/>
          <w:sz w:val="24"/>
          <w:szCs w:val="24"/>
        </w:rPr>
        <w:t xml:space="preserve"> </w:t>
      </w:r>
      <w:r>
        <w:rPr>
          <w:rFonts w:ascii="宋体" w:hAnsi="宋体" w:eastAsia="宋体" w:cs="宋体"/>
          <w:spacing w:val="-6"/>
          <w:sz w:val="24"/>
          <w:szCs w:val="24"/>
        </w:rPr>
        <w:t>并通过网络平台公开了《喻家沟生猪规模化</w:t>
      </w:r>
      <w:r>
        <w:rPr>
          <w:rFonts w:ascii="宋体" w:hAnsi="宋体" w:eastAsia="宋体" w:cs="宋体"/>
          <w:spacing w:val="-3"/>
          <w:sz w:val="24"/>
          <w:szCs w:val="24"/>
        </w:rPr>
        <w:t>养殖场建设项目环境影响报告书》和《喻家沟生猪规模</w:t>
      </w:r>
      <w:r>
        <w:rPr>
          <w:rFonts w:ascii="宋体" w:hAnsi="宋体" w:eastAsia="宋体" w:cs="宋体"/>
          <w:spacing w:val="-4"/>
          <w:sz w:val="24"/>
          <w:szCs w:val="24"/>
        </w:rPr>
        <w:t>化养殖场建设项目环境影响评价公众参与说明》。</w:t>
      </w:r>
    </w:p>
    <w:p w14:paraId="7DE8F775">
      <w:pPr>
        <w:spacing w:before="154" w:line="220" w:lineRule="auto"/>
        <w:ind w:left="38"/>
        <w:outlineLvl w:val="1"/>
        <w:rPr>
          <w:rFonts w:ascii="宋体" w:hAnsi="宋体" w:eastAsia="宋体" w:cs="宋体"/>
          <w:sz w:val="32"/>
          <w:szCs w:val="32"/>
        </w:rPr>
      </w:pPr>
      <w:bookmarkStart w:id="9" w:name="bookmark5"/>
      <w:bookmarkEnd w:id="9"/>
      <w:r>
        <w:rPr>
          <w:rFonts w:ascii="Times New Roman" w:hAnsi="Times New Roman" w:eastAsia="Times New Roman" w:cs="Times New Roman"/>
          <w:b/>
          <w:bCs/>
          <w:spacing w:val="-5"/>
          <w:sz w:val="32"/>
          <w:szCs w:val="32"/>
        </w:rPr>
        <w:t>4</w:t>
      </w:r>
      <w:r>
        <w:rPr>
          <w:rFonts w:ascii="宋体" w:hAnsi="宋体" w:eastAsia="宋体" w:cs="宋体"/>
          <w:b/>
          <w:bCs/>
          <w:spacing w:val="-5"/>
          <w:sz w:val="32"/>
          <w:szCs w:val="32"/>
        </w:rPr>
        <w:t>、分析判定相关情况</w:t>
      </w:r>
    </w:p>
    <w:p w14:paraId="1E6A695F">
      <w:pPr>
        <w:pStyle w:val="2"/>
        <w:spacing w:line="245" w:lineRule="auto"/>
      </w:pPr>
    </w:p>
    <w:p w14:paraId="491B07AB">
      <w:pPr>
        <w:spacing w:before="78"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）产业政策</w:t>
      </w:r>
    </w:p>
    <w:p w14:paraId="3159626A">
      <w:pPr>
        <w:spacing w:before="183" w:line="360" w:lineRule="auto"/>
        <w:ind w:left="40" w:right="65" w:firstLine="479"/>
        <w:rPr>
          <w:rFonts w:ascii="宋体" w:hAnsi="宋体" w:eastAsia="宋体" w:cs="宋体"/>
          <w:sz w:val="24"/>
          <w:szCs w:val="24"/>
        </w:rPr>
      </w:pPr>
      <w:r>
        <w:rPr>
          <w:rFonts w:ascii="宋体" w:hAnsi="宋体" w:eastAsia="宋体" w:cs="宋体"/>
          <w:spacing w:val="-6"/>
          <w:sz w:val="24"/>
          <w:szCs w:val="24"/>
        </w:rPr>
        <w:t>根据《产业结构调整指导目录（</w:t>
      </w:r>
      <w:r>
        <w:rPr>
          <w:rFonts w:ascii="Times New Roman" w:hAnsi="Times New Roman" w:eastAsia="Times New Roman" w:cs="Times New Roman"/>
          <w:spacing w:val="-6"/>
          <w:sz w:val="24"/>
          <w:szCs w:val="24"/>
        </w:rPr>
        <w:t>2019</w:t>
      </w:r>
      <w:r>
        <w:rPr>
          <w:rFonts w:ascii="宋体" w:hAnsi="宋体" w:eastAsia="宋体" w:cs="宋体"/>
          <w:spacing w:val="-6"/>
          <w:sz w:val="24"/>
          <w:szCs w:val="24"/>
        </w:rPr>
        <w:t>年本）》，本项目属于“</w:t>
      </w:r>
      <w:r>
        <w:rPr>
          <w:rFonts w:ascii="宋体" w:hAnsi="宋体" w:eastAsia="宋体" w:cs="宋体"/>
          <w:spacing w:val="-7"/>
          <w:sz w:val="24"/>
          <w:szCs w:val="24"/>
        </w:rPr>
        <w:t>第一类鼓励类”</w:t>
      </w:r>
      <w:r>
        <w:rPr>
          <w:rFonts w:ascii="宋体" w:hAnsi="宋体" w:eastAsia="宋体" w:cs="宋体"/>
          <w:sz w:val="24"/>
          <w:szCs w:val="24"/>
        </w:rPr>
        <w:t>中“</w:t>
      </w:r>
      <w:r>
        <w:rPr>
          <w:rFonts w:ascii="Times New Roman" w:hAnsi="Times New Roman" w:eastAsia="Times New Roman" w:cs="Times New Roman"/>
          <w:sz w:val="24"/>
          <w:szCs w:val="24"/>
        </w:rPr>
        <w:t>4</w:t>
      </w:r>
      <w:r>
        <w:rPr>
          <w:rFonts w:ascii="宋体" w:hAnsi="宋体" w:eastAsia="宋体" w:cs="宋体"/>
          <w:sz w:val="24"/>
          <w:szCs w:val="24"/>
        </w:rPr>
        <w:t>、畜禽标准化规模养殖技术开发与应用”。本项目选用的设施设备不在限</w:t>
      </w:r>
      <w:r>
        <w:rPr>
          <w:rFonts w:ascii="宋体" w:hAnsi="宋体" w:eastAsia="宋体" w:cs="宋体"/>
          <w:spacing w:val="-3"/>
          <w:sz w:val="24"/>
          <w:szCs w:val="24"/>
        </w:rPr>
        <w:t>制类和淘汰类之列，项目属于鼓励类。</w:t>
      </w:r>
    </w:p>
    <w:p w14:paraId="6ED2D7E7">
      <w:pPr>
        <w:spacing w:before="1" w:line="321" w:lineRule="auto"/>
        <w:ind w:left="49" w:right="187" w:firstLine="465"/>
        <w:rPr>
          <w:rFonts w:ascii="宋体" w:hAnsi="宋体" w:eastAsia="宋体" w:cs="宋体"/>
          <w:sz w:val="24"/>
          <w:szCs w:val="24"/>
        </w:rPr>
      </w:pPr>
      <w:r>
        <w:rPr>
          <w:rFonts w:ascii="Times New Roman" w:hAnsi="Times New Roman" w:eastAsia="Times New Roman" w:cs="Times New Roman"/>
          <w:spacing w:val="-11"/>
          <w:sz w:val="24"/>
          <w:szCs w:val="24"/>
        </w:rPr>
        <w:t xml:space="preserve">2022  </w:t>
      </w:r>
      <w:r>
        <w:rPr>
          <w:rFonts w:ascii="宋体" w:hAnsi="宋体" w:eastAsia="宋体" w:cs="宋体"/>
          <w:spacing w:val="-11"/>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月</w:t>
      </w:r>
      <w:r>
        <w:rPr>
          <w:rFonts w:ascii="宋体" w:hAnsi="宋体" w:eastAsia="宋体" w:cs="宋体"/>
          <w:spacing w:val="13"/>
          <w:sz w:val="24"/>
          <w:szCs w:val="24"/>
        </w:rPr>
        <w:t xml:space="preserve"> </w:t>
      </w:r>
      <w:r>
        <w:rPr>
          <w:rFonts w:ascii="Times New Roman" w:hAnsi="Times New Roman" w:eastAsia="Times New Roman" w:cs="Times New Roman"/>
          <w:spacing w:val="-11"/>
          <w:sz w:val="24"/>
          <w:szCs w:val="24"/>
        </w:rPr>
        <w:t xml:space="preserve">5   </w:t>
      </w:r>
      <w:r>
        <w:rPr>
          <w:rFonts w:ascii="宋体" w:hAnsi="宋体" w:eastAsia="宋体" w:cs="宋体"/>
          <w:spacing w:val="-11"/>
          <w:sz w:val="24"/>
          <w:szCs w:val="24"/>
        </w:rPr>
        <w:t>日</w:t>
      </w:r>
      <w:r>
        <w:rPr>
          <w:rFonts w:ascii="宋体" w:hAnsi="宋体" w:eastAsia="宋体" w:cs="宋体"/>
          <w:spacing w:val="30"/>
          <w:sz w:val="24"/>
          <w:szCs w:val="24"/>
        </w:rPr>
        <w:t xml:space="preserve"> </w:t>
      </w:r>
      <w:r>
        <w:rPr>
          <w:rFonts w:ascii="宋体" w:hAnsi="宋体" w:eastAsia="宋体" w:cs="宋体"/>
          <w:spacing w:val="-11"/>
          <w:sz w:val="24"/>
          <w:szCs w:val="24"/>
        </w:rPr>
        <w:t>，</w:t>
      </w:r>
      <w:r>
        <w:rPr>
          <w:rFonts w:ascii="宋体" w:hAnsi="宋体" w:eastAsia="宋体" w:cs="宋体"/>
          <w:spacing w:val="19"/>
          <w:sz w:val="24"/>
          <w:szCs w:val="24"/>
        </w:rPr>
        <w:t xml:space="preserve"> </w:t>
      </w:r>
      <w:r>
        <w:rPr>
          <w:rFonts w:ascii="宋体" w:hAnsi="宋体" w:eastAsia="宋体" w:cs="宋体"/>
          <w:spacing w:val="-11"/>
          <w:sz w:val="24"/>
          <w:szCs w:val="24"/>
        </w:rPr>
        <w:t>东</w:t>
      </w:r>
      <w:r>
        <w:rPr>
          <w:rFonts w:ascii="宋体" w:hAnsi="宋体" w:eastAsia="宋体" w:cs="宋体"/>
          <w:spacing w:val="15"/>
          <w:sz w:val="24"/>
          <w:szCs w:val="24"/>
        </w:rPr>
        <w:t xml:space="preserve"> </w:t>
      </w:r>
      <w:r>
        <w:rPr>
          <w:rFonts w:ascii="宋体" w:hAnsi="宋体" w:eastAsia="宋体" w:cs="宋体"/>
          <w:spacing w:val="-11"/>
          <w:sz w:val="24"/>
          <w:szCs w:val="24"/>
        </w:rPr>
        <w:t>兴</w:t>
      </w:r>
      <w:r>
        <w:rPr>
          <w:rFonts w:ascii="宋体" w:hAnsi="宋体" w:eastAsia="宋体" w:cs="宋体"/>
          <w:spacing w:val="29"/>
          <w:sz w:val="24"/>
          <w:szCs w:val="24"/>
        </w:rPr>
        <w:t xml:space="preserve"> </w:t>
      </w:r>
      <w:r>
        <w:rPr>
          <w:rFonts w:ascii="宋体" w:hAnsi="宋体" w:eastAsia="宋体" w:cs="宋体"/>
          <w:spacing w:val="-11"/>
          <w:sz w:val="24"/>
          <w:szCs w:val="24"/>
        </w:rPr>
        <w:t>区</w:t>
      </w:r>
      <w:r>
        <w:rPr>
          <w:rFonts w:ascii="宋体" w:hAnsi="宋体" w:eastAsia="宋体" w:cs="宋体"/>
          <w:spacing w:val="14"/>
          <w:sz w:val="24"/>
          <w:szCs w:val="24"/>
        </w:rPr>
        <w:t xml:space="preserve"> </w:t>
      </w:r>
      <w:r>
        <w:rPr>
          <w:rFonts w:ascii="宋体" w:hAnsi="宋体" w:eastAsia="宋体" w:cs="宋体"/>
          <w:spacing w:val="-11"/>
          <w:sz w:val="24"/>
          <w:szCs w:val="24"/>
        </w:rPr>
        <w:t>发</w:t>
      </w:r>
      <w:r>
        <w:rPr>
          <w:rFonts w:ascii="宋体" w:hAnsi="宋体" w:eastAsia="宋体" w:cs="宋体"/>
          <w:spacing w:val="12"/>
          <w:sz w:val="24"/>
          <w:szCs w:val="24"/>
        </w:rPr>
        <w:t xml:space="preserve"> </w:t>
      </w:r>
      <w:r>
        <w:rPr>
          <w:rFonts w:ascii="宋体" w:hAnsi="宋体" w:eastAsia="宋体" w:cs="宋体"/>
          <w:spacing w:val="-11"/>
          <w:sz w:val="24"/>
          <w:szCs w:val="24"/>
        </w:rPr>
        <w:t>展</w:t>
      </w:r>
      <w:r>
        <w:rPr>
          <w:rFonts w:ascii="宋体" w:hAnsi="宋体" w:eastAsia="宋体" w:cs="宋体"/>
          <w:spacing w:val="12"/>
          <w:sz w:val="24"/>
          <w:szCs w:val="24"/>
        </w:rPr>
        <w:t xml:space="preserve"> </w:t>
      </w:r>
      <w:r>
        <w:rPr>
          <w:rFonts w:ascii="宋体" w:hAnsi="宋体" w:eastAsia="宋体" w:cs="宋体"/>
          <w:spacing w:val="-12"/>
          <w:sz w:val="24"/>
          <w:szCs w:val="24"/>
        </w:rPr>
        <w:t>和</w:t>
      </w:r>
      <w:r>
        <w:rPr>
          <w:rFonts w:ascii="宋体" w:hAnsi="宋体" w:eastAsia="宋体" w:cs="宋体"/>
          <w:spacing w:val="19"/>
          <w:sz w:val="24"/>
          <w:szCs w:val="24"/>
        </w:rPr>
        <w:t xml:space="preserve"> </w:t>
      </w:r>
      <w:r>
        <w:rPr>
          <w:rFonts w:ascii="宋体" w:hAnsi="宋体" w:eastAsia="宋体" w:cs="宋体"/>
          <w:spacing w:val="-12"/>
          <w:sz w:val="24"/>
          <w:szCs w:val="24"/>
        </w:rPr>
        <w:t>改</w:t>
      </w:r>
      <w:r>
        <w:rPr>
          <w:rFonts w:ascii="宋体" w:hAnsi="宋体" w:eastAsia="宋体" w:cs="宋体"/>
          <w:spacing w:val="11"/>
          <w:sz w:val="24"/>
          <w:szCs w:val="24"/>
        </w:rPr>
        <w:t xml:space="preserve"> </w:t>
      </w:r>
      <w:r>
        <w:rPr>
          <w:rFonts w:ascii="宋体" w:hAnsi="宋体" w:eastAsia="宋体" w:cs="宋体"/>
          <w:spacing w:val="-12"/>
          <w:sz w:val="24"/>
          <w:szCs w:val="24"/>
        </w:rPr>
        <w:t>革</w:t>
      </w:r>
      <w:r>
        <w:rPr>
          <w:rFonts w:ascii="宋体" w:hAnsi="宋体" w:eastAsia="宋体" w:cs="宋体"/>
          <w:spacing w:val="14"/>
          <w:sz w:val="24"/>
          <w:szCs w:val="24"/>
        </w:rPr>
        <w:t xml:space="preserve"> </w:t>
      </w:r>
      <w:r>
        <w:rPr>
          <w:rFonts w:ascii="宋体" w:hAnsi="宋体" w:eastAsia="宋体" w:cs="宋体"/>
          <w:spacing w:val="-12"/>
          <w:sz w:val="24"/>
          <w:szCs w:val="24"/>
        </w:rPr>
        <w:t>局</w:t>
      </w:r>
      <w:r>
        <w:rPr>
          <w:rFonts w:ascii="宋体" w:hAnsi="宋体" w:eastAsia="宋体" w:cs="宋体"/>
          <w:spacing w:val="38"/>
          <w:sz w:val="24"/>
          <w:szCs w:val="24"/>
        </w:rPr>
        <w:t xml:space="preserve"> </w:t>
      </w:r>
      <w:r>
        <w:rPr>
          <w:rFonts w:ascii="宋体" w:hAnsi="宋体" w:eastAsia="宋体" w:cs="宋体"/>
          <w:spacing w:val="-12"/>
          <w:sz w:val="24"/>
          <w:szCs w:val="24"/>
        </w:rPr>
        <w:t>以</w:t>
      </w:r>
      <w:r>
        <w:rPr>
          <w:rFonts w:ascii="宋体" w:hAnsi="宋体" w:eastAsia="宋体" w:cs="宋体"/>
          <w:spacing w:val="1"/>
          <w:sz w:val="24"/>
          <w:szCs w:val="24"/>
        </w:rPr>
        <w:t xml:space="preserve"> </w:t>
      </w:r>
      <w:r>
        <w:rPr>
          <w:rFonts w:ascii="宋体" w:hAnsi="宋体" w:eastAsia="宋体" w:cs="宋体"/>
          <w:spacing w:val="-12"/>
          <w:sz w:val="24"/>
          <w:szCs w:val="24"/>
        </w:rPr>
        <w:t>“</w:t>
      </w:r>
      <w:r>
        <w:rPr>
          <w:rFonts w:ascii="宋体" w:hAnsi="宋体" w:eastAsia="宋体" w:cs="宋体"/>
          <w:spacing w:val="17"/>
          <w:sz w:val="24"/>
          <w:szCs w:val="24"/>
        </w:rPr>
        <w:t xml:space="preserve"> </w:t>
      </w:r>
      <w:r>
        <w:rPr>
          <w:rFonts w:ascii="宋体" w:hAnsi="宋体" w:eastAsia="宋体" w:cs="宋体"/>
          <w:spacing w:val="-12"/>
          <w:sz w:val="24"/>
          <w:szCs w:val="24"/>
        </w:rPr>
        <w:t>川</w:t>
      </w:r>
      <w:r>
        <w:rPr>
          <w:rFonts w:ascii="宋体" w:hAnsi="宋体" w:eastAsia="宋体" w:cs="宋体"/>
          <w:spacing w:val="13"/>
          <w:sz w:val="24"/>
          <w:szCs w:val="24"/>
        </w:rPr>
        <w:t xml:space="preserve"> </w:t>
      </w:r>
      <w:r>
        <w:rPr>
          <w:rFonts w:ascii="宋体" w:hAnsi="宋体" w:eastAsia="宋体" w:cs="宋体"/>
          <w:spacing w:val="-12"/>
          <w:sz w:val="24"/>
          <w:szCs w:val="24"/>
        </w:rPr>
        <w:t>投</w:t>
      </w:r>
      <w:r>
        <w:rPr>
          <w:rFonts w:ascii="宋体" w:hAnsi="宋体" w:eastAsia="宋体" w:cs="宋体"/>
          <w:spacing w:val="21"/>
          <w:sz w:val="24"/>
          <w:szCs w:val="24"/>
        </w:rPr>
        <w:t xml:space="preserve"> </w:t>
      </w:r>
      <w:r>
        <w:rPr>
          <w:rFonts w:ascii="宋体" w:hAnsi="宋体" w:eastAsia="宋体" w:cs="宋体"/>
          <w:spacing w:val="-12"/>
          <w:sz w:val="24"/>
          <w:szCs w:val="24"/>
        </w:rPr>
        <w:t>资</w:t>
      </w:r>
      <w:r>
        <w:rPr>
          <w:rFonts w:ascii="宋体" w:hAnsi="宋体" w:eastAsia="宋体" w:cs="宋体"/>
          <w:spacing w:val="14"/>
          <w:sz w:val="24"/>
          <w:szCs w:val="24"/>
        </w:rPr>
        <w:t xml:space="preserve"> </w:t>
      </w:r>
      <w:r>
        <w:rPr>
          <w:rFonts w:ascii="宋体" w:hAnsi="宋体" w:eastAsia="宋体" w:cs="宋体"/>
          <w:spacing w:val="-12"/>
          <w:sz w:val="24"/>
          <w:szCs w:val="24"/>
        </w:rPr>
        <w:t>备</w:t>
      </w:r>
      <w:r>
        <w:rPr>
          <w:rFonts w:ascii="Times New Roman" w:hAnsi="Times New Roman" w:eastAsia="Times New Roman" w:cs="Times New Roman"/>
          <w:spacing w:val="-3"/>
          <w:sz w:val="24"/>
          <w:szCs w:val="24"/>
        </w:rPr>
        <w:t>[</w:t>
      </w:r>
      <w:r>
        <w:fldChar w:fldCharType="begin"/>
      </w:r>
      <w:r>
        <w:instrText xml:space="preserve"> HYPERLINK \l "bookmark65" </w:instrText>
      </w:r>
      <w:r>
        <w:fldChar w:fldCharType="separate"/>
      </w:r>
      <w:r>
        <w:rPr>
          <w:rFonts w:ascii="Times New Roman" w:hAnsi="Times New Roman" w:eastAsia="Times New Roman" w:cs="Times New Roman"/>
          <w:spacing w:val="-3"/>
          <w:sz w:val="24"/>
          <w:szCs w:val="24"/>
        </w:rPr>
        <w:t>2201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"bookmark66" </w:instrText>
      </w:r>
      <w:r>
        <w:fldChar w:fldCharType="separate"/>
      </w:r>
      <w:r>
        <w:rPr>
          <w:rFonts w:ascii="Times New Roman" w:hAnsi="Times New Roman" w:eastAsia="Times New Roman" w:cs="Times New Roman"/>
          <w:spacing w:val="-3"/>
          <w:sz w:val="24"/>
          <w:szCs w:val="24"/>
        </w:rPr>
        <w:t>511011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"bookmark67" </w:instrText>
      </w:r>
      <w:r>
        <w:fldChar w:fldCharType="separate"/>
      </w:r>
      <w:r>
        <w:rPr>
          <w:rFonts w:ascii="Times New Roman" w:hAnsi="Times New Roman" w:eastAsia="Times New Roman" w:cs="Times New Roman"/>
          <w:spacing w:val="-3"/>
          <w:sz w:val="24"/>
          <w:szCs w:val="24"/>
        </w:rPr>
        <w:t>04</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"bookmark68" </w:instrText>
      </w:r>
      <w:r>
        <w:fldChar w:fldCharType="separate"/>
      </w:r>
      <w:r>
        <w:rPr>
          <w:rFonts w:ascii="Times New Roman" w:hAnsi="Times New Roman" w:eastAsia="Times New Roman" w:cs="Times New Roman"/>
          <w:spacing w:val="-3"/>
          <w:sz w:val="24"/>
          <w:szCs w:val="24"/>
        </w:rPr>
        <w:t>01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"bookmark69" </w:instrText>
      </w:r>
      <w:r>
        <w:fldChar w:fldCharType="separate"/>
      </w:r>
      <w:r>
        <w:rPr>
          <w:rFonts w:ascii="Times New Roman" w:hAnsi="Times New Roman" w:eastAsia="Times New Roman" w:cs="Times New Roman"/>
          <w:spacing w:val="-3"/>
          <w:sz w:val="24"/>
          <w:szCs w:val="24"/>
        </w:rPr>
        <w:t>803498</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]FGQB-0001</w:t>
      </w:r>
      <w:r>
        <w:rPr>
          <w:rFonts w:ascii="宋体" w:hAnsi="宋体" w:eastAsia="宋体" w:cs="宋体"/>
          <w:spacing w:val="-3"/>
          <w:sz w:val="24"/>
          <w:szCs w:val="24"/>
        </w:rPr>
        <w:t>号”文出具了《四川省固定资产投资项目</w:t>
      </w:r>
    </w:p>
    <w:p w14:paraId="3850D94E">
      <w:pPr>
        <w:spacing w:line="321" w:lineRule="auto"/>
        <w:rPr>
          <w:rFonts w:ascii="宋体" w:hAnsi="宋体" w:eastAsia="宋体" w:cs="宋体"/>
          <w:sz w:val="24"/>
          <w:szCs w:val="24"/>
        </w:rPr>
        <w:sectPr>
          <w:headerReference r:id="rId17" w:type="default"/>
          <w:footerReference r:id="rId18" w:type="default"/>
          <w:pgSz w:w="11905" w:h="16840"/>
          <w:pgMar w:top="1168" w:right="1611" w:bottom="1408" w:left="1770" w:header="828" w:footer="1244" w:gutter="0"/>
          <w:cols w:space="720" w:num="1"/>
        </w:sectPr>
      </w:pPr>
    </w:p>
    <w:p w14:paraId="6FE67DB2">
      <w:pPr>
        <w:pStyle w:val="2"/>
        <w:spacing w:line="306" w:lineRule="auto"/>
      </w:pPr>
    </w:p>
    <w:p w14:paraId="465850E1">
      <w:pPr>
        <w:spacing w:before="78" w:line="220" w:lineRule="auto"/>
        <w:ind w:left="42"/>
        <w:rPr>
          <w:rFonts w:ascii="宋体" w:hAnsi="宋体" w:eastAsia="宋体" w:cs="宋体"/>
          <w:sz w:val="24"/>
          <w:szCs w:val="24"/>
        </w:rPr>
      </w:pPr>
      <w:bookmarkStart w:id="10" w:name="bookmark70"/>
      <w:bookmarkEnd w:id="10"/>
      <w:r>
        <w:rPr>
          <w:rFonts w:ascii="宋体" w:hAnsi="宋体" w:eastAsia="宋体" w:cs="宋体"/>
          <w:spacing w:val="-4"/>
          <w:sz w:val="24"/>
          <w:szCs w:val="24"/>
        </w:rPr>
        <w:t>备案表》，同意项目备案。</w:t>
      </w:r>
    </w:p>
    <w:p w14:paraId="375A6D73">
      <w:pPr>
        <w:spacing w:before="181" w:line="219" w:lineRule="auto"/>
        <w:ind w:left="538"/>
        <w:rPr>
          <w:rFonts w:ascii="宋体" w:hAnsi="宋体" w:eastAsia="宋体" w:cs="宋体"/>
          <w:sz w:val="24"/>
          <w:szCs w:val="24"/>
        </w:rPr>
      </w:pPr>
      <w:r>
        <w:rPr>
          <w:rFonts w:ascii="宋体" w:hAnsi="宋体" w:eastAsia="宋体" w:cs="宋体"/>
          <w:spacing w:val="-4"/>
          <w:sz w:val="24"/>
          <w:szCs w:val="24"/>
        </w:rPr>
        <w:t>因此，本项目符合国家现行产业政策要求。</w:t>
      </w:r>
    </w:p>
    <w:p w14:paraId="21C92EB6">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）与相关规范的符合性分析</w:t>
      </w:r>
    </w:p>
    <w:p w14:paraId="67E31A46">
      <w:pPr>
        <w:spacing w:before="186" w:line="359" w:lineRule="auto"/>
        <w:ind w:left="38" w:right="181" w:firstLine="481"/>
        <w:rPr>
          <w:rFonts w:ascii="宋体" w:hAnsi="宋体" w:eastAsia="宋体" w:cs="宋体"/>
          <w:sz w:val="24"/>
          <w:szCs w:val="24"/>
        </w:rPr>
      </w:pPr>
      <w:r>
        <w:rPr>
          <w:rFonts w:ascii="宋体" w:hAnsi="宋体" w:eastAsia="宋体" w:cs="宋体"/>
          <w:spacing w:val="-11"/>
          <w:sz w:val="24"/>
          <w:szCs w:val="24"/>
        </w:rPr>
        <w:t>本项目不在禁养区范围，采取雨污分流，通过优化饲料配方、</w:t>
      </w:r>
      <w:r>
        <w:rPr>
          <w:rFonts w:ascii="宋体" w:hAnsi="宋体" w:eastAsia="宋体" w:cs="宋体"/>
          <w:spacing w:val="-12"/>
          <w:sz w:val="24"/>
          <w:szCs w:val="24"/>
        </w:rPr>
        <w:t>提高管理水平、</w:t>
      </w:r>
      <w:r>
        <w:rPr>
          <w:rFonts w:ascii="宋体" w:hAnsi="宋体" w:eastAsia="宋体" w:cs="宋体"/>
          <w:spacing w:val="-3"/>
          <w:sz w:val="24"/>
          <w:szCs w:val="24"/>
        </w:rPr>
        <w:t>采用“原环保部认可的清粪工艺”（同牧原食品股份有限</w:t>
      </w:r>
      <w:r>
        <w:rPr>
          <w:rFonts w:ascii="宋体" w:hAnsi="宋体" w:eastAsia="宋体" w:cs="宋体"/>
          <w:spacing w:val="-4"/>
          <w:sz w:val="24"/>
          <w:szCs w:val="24"/>
        </w:rPr>
        <w:t>公司清粪工艺，为原环</w:t>
      </w:r>
      <w:r>
        <w:rPr>
          <w:rFonts w:ascii="宋体" w:hAnsi="宋体" w:eastAsia="宋体" w:cs="宋体"/>
          <w:spacing w:val="-3"/>
          <w:sz w:val="24"/>
          <w:szCs w:val="24"/>
        </w:rPr>
        <w:t>保部认可具备干清粪工艺基本特征）、粪便及废水经处理后全部综合利用等措施</w:t>
      </w:r>
      <w:r>
        <w:rPr>
          <w:rFonts w:ascii="宋体" w:hAnsi="宋体" w:eastAsia="宋体" w:cs="宋体"/>
          <w:spacing w:val="-6"/>
          <w:sz w:val="24"/>
          <w:szCs w:val="24"/>
        </w:rPr>
        <w:t>减少环境污染，符合《畜禽规模养殖污染防治条例》（国务院令第</w:t>
      </w:r>
      <w:r>
        <w:rPr>
          <w:rFonts w:ascii="Times New Roman" w:hAnsi="Times New Roman" w:eastAsia="Times New Roman" w:cs="Times New Roman"/>
          <w:spacing w:val="-6"/>
          <w:sz w:val="24"/>
          <w:szCs w:val="24"/>
        </w:rPr>
        <w:t>643</w:t>
      </w:r>
      <w:r>
        <w:rPr>
          <w:rFonts w:ascii="宋体" w:hAnsi="宋体" w:eastAsia="宋体" w:cs="宋体"/>
          <w:spacing w:val="-6"/>
          <w:sz w:val="24"/>
          <w:szCs w:val="24"/>
        </w:rPr>
        <w:t>条）、《畜</w:t>
      </w:r>
      <w:r>
        <w:rPr>
          <w:rFonts w:ascii="宋体" w:hAnsi="宋体" w:eastAsia="宋体" w:cs="宋体"/>
          <w:spacing w:val="2"/>
          <w:sz w:val="24"/>
          <w:szCs w:val="24"/>
        </w:rPr>
        <w:t>禽养殖业污染防治技术政策》（环发</w:t>
      </w:r>
      <w:r>
        <w:rPr>
          <w:rFonts w:ascii="Times New Roman" w:hAnsi="Times New Roman" w:eastAsia="Times New Roman" w:cs="Times New Roman"/>
          <w:spacing w:val="2"/>
          <w:sz w:val="24"/>
          <w:szCs w:val="24"/>
        </w:rPr>
        <w:t>[</w:t>
      </w:r>
      <w:r>
        <w:fldChar w:fldCharType="begin"/>
      </w:r>
      <w:r>
        <w:instrText xml:space="preserve"> HYPERLINK \l "bookmark71" </w:instrText>
      </w:r>
      <w:r>
        <w:fldChar w:fldCharType="separate"/>
      </w:r>
      <w:r>
        <w:rPr>
          <w:rFonts w:ascii="Times New Roman" w:hAnsi="Times New Roman" w:eastAsia="Times New Roman" w:cs="Times New Roman"/>
          <w:spacing w:val="2"/>
          <w:sz w:val="24"/>
          <w:szCs w:val="24"/>
        </w:rPr>
        <w:t>2010</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151</w:t>
      </w:r>
      <w:r>
        <w:rPr>
          <w:rFonts w:ascii="宋体" w:hAnsi="宋体" w:eastAsia="宋体" w:cs="宋体"/>
          <w:spacing w:val="2"/>
          <w:sz w:val="24"/>
          <w:szCs w:val="24"/>
        </w:rPr>
        <w:t>号）、《畜禽</w:t>
      </w:r>
      <w:r>
        <w:rPr>
          <w:rFonts w:ascii="宋体" w:hAnsi="宋体" w:eastAsia="宋体" w:cs="宋体"/>
          <w:spacing w:val="1"/>
          <w:sz w:val="24"/>
          <w:szCs w:val="24"/>
        </w:rPr>
        <w:t>养殖业污染治理工</w:t>
      </w:r>
      <w:r>
        <w:rPr>
          <w:rFonts w:ascii="宋体" w:hAnsi="宋体" w:eastAsia="宋体" w:cs="宋体"/>
          <w:spacing w:val="-4"/>
          <w:sz w:val="24"/>
          <w:szCs w:val="24"/>
        </w:rPr>
        <w:t>程技术规范》（</w:t>
      </w:r>
      <w:r>
        <w:rPr>
          <w:rFonts w:ascii="Times New Roman" w:hAnsi="Times New Roman" w:eastAsia="Times New Roman" w:cs="Times New Roman"/>
          <w:spacing w:val="-4"/>
          <w:sz w:val="24"/>
          <w:szCs w:val="24"/>
        </w:rPr>
        <w:t>HJ497-2009</w:t>
      </w:r>
      <w:r>
        <w:rPr>
          <w:rFonts w:ascii="宋体" w:hAnsi="宋体" w:eastAsia="宋体" w:cs="宋体"/>
          <w:spacing w:val="-4"/>
          <w:sz w:val="24"/>
          <w:szCs w:val="24"/>
        </w:rPr>
        <w:t>）、《规模畜禽养殖场污染防治最佳可行</w:t>
      </w:r>
      <w:r>
        <w:rPr>
          <w:rFonts w:ascii="宋体" w:hAnsi="宋体" w:eastAsia="宋体" w:cs="宋体"/>
          <w:spacing w:val="-5"/>
          <w:sz w:val="24"/>
          <w:szCs w:val="24"/>
        </w:rPr>
        <w:t>技术指南</w:t>
      </w:r>
      <w:r>
        <w:rPr>
          <w:rFonts w:ascii="Times New Roman" w:hAnsi="Times New Roman" w:eastAsia="Times New Roman" w:cs="Times New Roman"/>
          <w:spacing w:val="-5"/>
          <w:sz w:val="24"/>
          <w:szCs w:val="24"/>
        </w:rPr>
        <w:t>(</w:t>
      </w:r>
      <w:r>
        <w:rPr>
          <w:rFonts w:ascii="宋体" w:hAnsi="宋体" w:eastAsia="宋体" w:cs="宋体"/>
          <w:spacing w:val="-5"/>
          <w:sz w:val="24"/>
          <w:szCs w:val="24"/>
        </w:rPr>
        <w:t>试</w:t>
      </w:r>
      <w:r>
        <w:rPr>
          <w:rFonts w:ascii="宋体" w:hAnsi="宋体" w:eastAsia="宋体" w:cs="宋体"/>
          <w:spacing w:val="-4"/>
          <w:sz w:val="24"/>
          <w:szCs w:val="24"/>
        </w:rPr>
        <w:t>行</w:t>
      </w:r>
      <w:r>
        <w:rPr>
          <w:rFonts w:ascii="Times New Roman" w:hAnsi="Times New Roman" w:eastAsia="Times New Roman" w:cs="Times New Roman"/>
          <w:spacing w:val="-4"/>
          <w:sz w:val="24"/>
          <w:szCs w:val="24"/>
        </w:rPr>
        <w:t>)</w:t>
      </w:r>
      <w:r>
        <w:rPr>
          <w:rFonts w:ascii="宋体" w:hAnsi="宋体" w:eastAsia="宋体" w:cs="宋体"/>
          <w:spacing w:val="-4"/>
          <w:sz w:val="24"/>
          <w:szCs w:val="24"/>
        </w:rPr>
        <w:t>》（</w:t>
      </w:r>
      <w:r>
        <w:rPr>
          <w:rFonts w:ascii="Times New Roman" w:hAnsi="Times New Roman" w:eastAsia="Times New Roman" w:cs="Times New Roman"/>
          <w:spacing w:val="-4"/>
          <w:sz w:val="24"/>
          <w:szCs w:val="24"/>
        </w:rPr>
        <w:t>HJ-BAT-10</w:t>
      </w:r>
      <w:r>
        <w:rPr>
          <w:rFonts w:ascii="宋体" w:hAnsi="宋体" w:eastAsia="宋体" w:cs="宋体"/>
          <w:spacing w:val="-4"/>
          <w:sz w:val="24"/>
          <w:szCs w:val="24"/>
        </w:rPr>
        <w:t>）、《畜禽养殖业污染物排放标准》（</w:t>
      </w:r>
      <w:r>
        <w:rPr>
          <w:rFonts w:ascii="Times New Roman" w:hAnsi="Times New Roman" w:eastAsia="Times New Roman" w:cs="Times New Roman"/>
          <w:spacing w:val="-4"/>
          <w:sz w:val="24"/>
          <w:szCs w:val="24"/>
        </w:rPr>
        <w:t>GB18596-2001</w:t>
      </w:r>
      <w:r>
        <w:rPr>
          <w:rFonts w:ascii="宋体" w:hAnsi="宋体" w:eastAsia="宋体" w:cs="宋体"/>
          <w:spacing w:val="-4"/>
          <w:sz w:val="24"/>
          <w:szCs w:val="24"/>
        </w:rPr>
        <w:t>）、《四</w:t>
      </w:r>
      <w:r>
        <w:rPr>
          <w:rFonts w:ascii="宋体" w:hAnsi="宋体" w:eastAsia="宋体" w:cs="宋体"/>
          <w:spacing w:val="-3"/>
          <w:sz w:val="24"/>
          <w:szCs w:val="24"/>
        </w:rPr>
        <w:t>川省畜禽养殖污染防治技术指南（试行）》（四川省农业厅、四川省环境保护厅</w:t>
      </w:r>
      <w:r>
        <w:rPr>
          <w:rFonts w:ascii="宋体" w:hAnsi="宋体" w:eastAsia="宋体" w:cs="宋体"/>
          <w:spacing w:val="-1"/>
          <w:sz w:val="24"/>
          <w:szCs w:val="24"/>
        </w:rPr>
        <w:t>川农业函</w:t>
      </w:r>
      <w:r>
        <w:rPr>
          <w:rFonts w:ascii="Times New Roman" w:hAnsi="Times New Roman" w:eastAsia="Times New Roman" w:cs="Times New Roman"/>
          <w:spacing w:val="-1"/>
          <w:sz w:val="24"/>
          <w:szCs w:val="24"/>
        </w:rPr>
        <w:t>[</w:t>
      </w:r>
      <w:r>
        <w:fldChar w:fldCharType="begin"/>
      </w:r>
      <w:r>
        <w:instrText xml:space="preserve"> HYPERLINK \l "bookmark72" </w:instrText>
      </w:r>
      <w:r>
        <w:fldChar w:fldCharType="separate"/>
      </w:r>
      <w:r>
        <w:rPr>
          <w:rFonts w:ascii="Times New Roman" w:hAnsi="Times New Roman" w:eastAsia="Times New Roman" w:cs="Times New Roman"/>
          <w:spacing w:val="-1"/>
          <w:sz w:val="24"/>
          <w:szCs w:val="24"/>
        </w:rPr>
        <w:t>2017</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]647</w:t>
      </w:r>
      <w:r>
        <w:rPr>
          <w:rFonts w:ascii="宋体" w:hAnsi="宋体" w:eastAsia="宋体" w:cs="宋体"/>
          <w:spacing w:val="-1"/>
          <w:sz w:val="24"/>
          <w:szCs w:val="24"/>
        </w:rPr>
        <w:t>号）等法律法规</w:t>
      </w:r>
      <w:r>
        <w:rPr>
          <w:rFonts w:ascii="宋体" w:hAnsi="宋体" w:eastAsia="宋体" w:cs="宋体"/>
          <w:spacing w:val="-2"/>
          <w:sz w:val="24"/>
          <w:szCs w:val="24"/>
        </w:rPr>
        <w:t>及规范指南中相关要求。</w:t>
      </w:r>
    </w:p>
    <w:p w14:paraId="6A287950">
      <w:pPr>
        <w:spacing w:before="7"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）与“三线一单”符合性分析</w:t>
      </w:r>
    </w:p>
    <w:p w14:paraId="5E1CBB52">
      <w:pPr>
        <w:spacing w:before="176" w:line="360" w:lineRule="auto"/>
        <w:ind w:left="34" w:right="182" w:firstLine="485"/>
        <w:rPr>
          <w:rFonts w:ascii="宋体" w:hAnsi="宋体" w:eastAsia="宋体" w:cs="宋体"/>
          <w:sz w:val="24"/>
          <w:szCs w:val="24"/>
        </w:rPr>
      </w:pPr>
      <w:r>
        <w:rPr>
          <w:rFonts w:ascii="宋体" w:hAnsi="宋体" w:eastAsia="宋体" w:cs="宋体"/>
          <w:sz w:val="24"/>
          <w:szCs w:val="24"/>
        </w:rPr>
        <w:t>本项目选址于内江市东兴区白合镇喻家沟村</w:t>
      </w:r>
      <w:r>
        <w:rPr>
          <w:rFonts w:ascii="Times New Roman" w:hAnsi="Times New Roman" w:eastAsia="Times New Roman" w:cs="Times New Roman"/>
          <w:sz w:val="24"/>
          <w:szCs w:val="24"/>
        </w:rPr>
        <w:t>9</w:t>
      </w:r>
      <w:r>
        <w:rPr>
          <w:rFonts w:ascii="宋体" w:hAnsi="宋体" w:eastAsia="宋体" w:cs="宋体"/>
          <w:sz w:val="24"/>
          <w:szCs w:val="24"/>
        </w:rPr>
        <w:t>组、</w:t>
      </w:r>
      <w:r>
        <w:rPr>
          <w:rFonts w:ascii="Times New Roman" w:hAnsi="Times New Roman" w:eastAsia="Times New Roman" w:cs="Times New Roman"/>
          <w:sz w:val="24"/>
          <w:szCs w:val="24"/>
        </w:rPr>
        <w:t>12</w:t>
      </w:r>
      <w:r>
        <w:rPr>
          <w:rFonts w:ascii="宋体" w:hAnsi="宋体" w:eastAsia="宋体" w:cs="宋体"/>
          <w:sz w:val="24"/>
          <w:szCs w:val="24"/>
        </w:rPr>
        <w:t>组，根据《四川省人民</w:t>
      </w:r>
      <w:r>
        <w:rPr>
          <w:rFonts w:ascii="宋体" w:hAnsi="宋体" w:eastAsia="宋体" w:cs="宋体"/>
          <w:spacing w:val="-1"/>
          <w:sz w:val="24"/>
          <w:szCs w:val="24"/>
        </w:rPr>
        <w:t>政府关于印发四川省生态保护红线方案的通知》（川府发</w:t>
      </w:r>
      <w:r>
        <w:rPr>
          <w:rFonts w:ascii="Times New Roman" w:hAnsi="Times New Roman" w:eastAsia="Times New Roman" w:cs="Times New Roman"/>
          <w:spacing w:val="-1"/>
          <w:sz w:val="24"/>
          <w:szCs w:val="24"/>
        </w:rPr>
        <w:t>[</w:t>
      </w:r>
      <w:r>
        <w:fldChar w:fldCharType="begin"/>
      </w:r>
      <w:r>
        <w:instrText xml:space="preserve"> HYPERLINK \l "bookmark73" </w:instrText>
      </w:r>
      <w:r>
        <w:fldChar w:fldCharType="separate"/>
      </w:r>
      <w:r>
        <w:rPr>
          <w:rFonts w:ascii="Times New Roman" w:hAnsi="Times New Roman" w:eastAsia="Times New Roman" w:cs="Times New Roman"/>
          <w:spacing w:val="-1"/>
          <w:sz w:val="24"/>
          <w:szCs w:val="24"/>
        </w:rPr>
        <w:t>2018</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2"/>
          <w:sz w:val="24"/>
          <w:szCs w:val="24"/>
        </w:rPr>
        <w:t>]24</w:t>
      </w:r>
      <w:r>
        <w:rPr>
          <w:rFonts w:ascii="宋体" w:hAnsi="宋体" w:eastAsia="宋体" w:cs="宋体"/>
          <w:spacing w:val="-2"/>
          <w:sz w:val="24"/>
          <w:szCs w:val="24"/>
        </w:rPr>
        <w:t>号）、《四川</w:t>
      </w:r>
      <w:r>
        <w:rPr>
          <w:rFonts w:ascii="宋体" w:hAnsi="宋体" w:eastAsia="宋体" w:cs="宋体"/>
          <w:spacing w:val="-3"/>
          <w:sz w:val="24"/>
          <w:szCs w:val="24"/>
        </w:rPr>
        <w:t>省人民政府关于落实生态保护红线、环境质量底线、资源利用上线制定生态环境</w:t>
      </w:r>
      <w:r>
        <w:rPr>
          <w:rFonts w:ascii="宋体" w:hAnsi="宋体" w:eastAsia="宋体" w:cs="宋体"/>
          <w:spacing w:val="3"/>
          <w:sz w:val="24"/>
          <w:szCs w:val="24"/>
        </w:rPr>
        <w:t>准入清单实施生态环境分区管控的通知》（川府发</w:t>
      </w:r>
      <w:r>
        <w:rPr>
          <w:rFonts w:ascii="Times New Roman" w:hAnsi="Times New Roman" w:eastAsia="Times New Roman" w:cs="Times New Roman"/>
          <w:spacing w:val="3"/>
          <w:sz w:val="24"/>
          <w:szCs w:val="24"/>
        </w:rPr>
        <w:t>[</w:t>
      </w:r>
      <w:r>
        <w:fldChar w:fldCharType="begin"/>
      </w:r>
      <w:r>
        <w:instrText xml:space="preserve"> HYPERLINK \l "bookmark74" </w:instrText>
      </w:r>
      <w:r>
        <w:fldChar w:fldCharType="separate"/>
      </w:r>
      <w:r>
        <w:rPr>
          <w:rFonts w:ascii="Times New Roman" w:hAnsi="Times New Roman" w:eastAsia="Times New Roman" w:cs="Times New Roman"/>
          <w:spacing w:val="3"/>
          <w:sz w:val="24"/>
          <w:szCs w:val="24"/>
        </w:rPr>
        <w:t>2</w:t>
      </w:r>
      <w:r>
        <w:rPr>
          <w:rFonts w:ascii="Times New Roman" w:hAnsi="Times New Roman" w:eastAsia="Times New Roman" w:cs="Times New Roman"/>
          <w:spacing w:val="2"/>
          <w:sz w:val="24"/>
          <w:szCs w:val="24"/>
        </w:rPr>
        <w:t>020</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]9</w:t>
      </w:r>
      <w:r>
        <w:rPr>
          <w:rFonts w:ascii="宋体" w:hAnsi="宋体" w:eastAsia="宋体" w:cs="宋体"/>
          <w:spacing w:val="2"/>
          <w:sz w:val="24"/>
          <w:szCs w:val="24"/>
        </w:rPr>
        <w:t>号）、《内江市人民</w:t>
      </w:r>
      <w:r>
        <w:rPr>
          <w:rFonts w:ascii="宋体" w:hAnsi="宋体" w:eastAsia="宋体" w:cs="宋体"/>
          <w:spacing w:val="-3"/>
          <w:sz w:val="24"/>
          <w:szCs w:val="24"/>
        </w:rPr>
        <w:t>政府关于落实生态保护红线、环境质量底线、资源利用上线制定生态环境准入清</w:t>
      </w:r>
      <w:r>
        <w:rPr>
          <w:rFonts w:ascii="宋体" w:hAnsi="宋体" w:eastAsia="宋体" w:cs="宋体"/>
          <w:spacing w:val="3"/>
          <w:sz w:val="24"/>
          <w:szCs w:val="24"/>
        </w:rPr>
        <w:t>单实施生态环境分区管控的通知》（内府发</w:t>
      </w:r>
      <w:r>
        <w:rPr>
          <w:rFonts w:ascii="Times New Roman" w:hAnsi="Times New Roman" w:eastAsia="Times New Roman" w:cs="Times New Roman"/>
          <w:spacing w:val="3"/>
          <w:sz w:val="24"/>
          <w:szCs w:val="24"/>
        </w:rPr>
        <w:t>[</w:t>
      </w:r>
      <w:r>
        <w:fldChar w:fldCharType="begin"/>
      </w:r>
      <w:r>
        <w:instrText xml:space="preserve"> HYPERLINK \l "bookmark75" </w:instrText>
      </w:r>
      <w:r>
        <w:fldChar w:fldCharType="separate"/>
      </w:r>
      <w:r>
        <w:rPr>
          <w:rFonts w:ascii="Times New Roman" w:hAnsi="Times New Roman" w:eastAsia="Times New Roman" w:cs="Times New Roman"/>
          <w:spacing w:val="3"/>
          <w:sz w:val="24"/>
          <w:szCs w:val="24"/>
        </w:rPr>
        <w:t>2</w:t>
      </w:r>
      <w:r>
        <w:rPr>
          <w:rFonts w:ascii="Times New Roman" w:hAnsi="Times New Roman" w:eastAsia="Times New Roman" w:cs="Times New Roman"/>
          <w:spacing w:val="2"/>
          <w:sz w:val="24"/>
          <w:szCs w:val="24"/>
        </w:rPr>
        <w:t>021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]7</w:t>
      </w:r>
      <w:r>
        <w:rPr>
          <w:rFonts w:ascii="宋体" w:hAnsi="宋体" w:eastAsia="宋体" w:cs="宋体"/>
          <w:spacing w:val="2"/>
          <w:sz w:val="24"/>
          <w:szCs w:val="24"/>
        </w:rPr>
        <w:t>号</w:t>
      </w:r>
      <w:r>
        <w:rPr>
          <w:rFonts w:ascii="宋体" w:hAnsi="宋体" w:eastAsia="宋体" w:cs="宋体"/>
          <w:spacing w:val="3"/>
          <w:sz w:val="24"/>
          <w:szCs w:val="24"/>
        </w:rPr>
        <w:t>），</w:t>
      </w:r>
      <w:r>
        <w:rPr>
          <w:rFonts w:ascii="宋体" w:hAnsi="宋体" w:eastAsia="宋体" w:cs="宋体"/>
          <w:spacing w:val="2"/>
          <w:sz w:val="24"/>
          <w:szCs w:val="24"/>
        </w:rPr>
        <w:t>本项目选址不涉及生</w:t>
      </w:r>
      <w:r>
        <w:rPr>
          <w:rFonts w:ascii="宋体" w:hAnsi="宋体" w:eastAsia="宋体" w:cs="宋体"/>
          <w:spacing w:val="1"/>
          <w:sz w:val="24"/>
          <w:szCs w:val="24"/>
        </w:rPr>
        <w:t>态保护红线；本项目建设地共涉及到环境管控</w:t>
      </w:r>
      <w:r>
        <w:rPr>
          <w:rFonts w:ascii="宋体" w:hAnsi="宋体" w:eastAsia="宋体" w:cs="宋体"/>
          <w:sz w:val="24"/>
          <w:szCs w:val="24"/>
        </w:rPr>
        <w:t>单元</w:t>
      </w:r>
      <w:r>
        <w:rPr>
          <w:rFonts w:ascii="Times New Roman" w:hAnsi="Times New Roman" w:eastAsia="Times New Roman" w:cs="Times New Roman"/>
          <w:sz w:val="24"/>
          <w:szCs w:val="24"/>
        </w:rPr>
        <w:t>4</w:t>
      </w:r>
      <w:r>
        <w:rPr>
          <w:rFonts w:ascii="宋体" w:hAnsi="宋体" w:eastAsia="宋体" w:cs="宋体"/>
          <w:sz w:val="24"/>
          <w:szCs w:val="24"/>
        </w:rPr>
        <w:t>个（</w:t>
      </w:r>
      <w:r>
        <w:rPr>
          <w:rFonts w:ascii="楷体" w:hAnsi="楷体" w:eastAsia="楷体" w:cs="楷体"/>
          <w:sz w:val="24"/>
          <w:szCs w:val="24"/>
        </w:rPr>
        <w:t>东兴区区要素重点管控</w:t>
      </w:r>
      <w:r>
        <w:rPr>
          <w:rFonts w:ascii="楷体" w:hAnsi="楷体" w:eastAsia="楷体" w:cs="楷体"/>
          <w:spacing w:val="1"/>
          <w:sz w:val="24"/>
          <w:szCs w:val="24"/>
        </w:rPr>
        <w:t>单元、大清流河-李家碥断面汇水控制区-</w:t>
      </w:r>
      <w:r>
        <w:rPr>
          <w:rFonts w:ascii="楷体" w:hAnsi="楷体" w:eastAsia="楷体" w:cs="楷体"/>
          <w:sz w:val="24"/>
          <w:szCs w:val="24"/>
        </w:rPr>
        <w:t>东兴区-控制单元、东兴区大气环境布</w:t>
      </w:r>
      <w:r>
        <w:rPr>
          <w:rFonts w:ascii="楷体" w:hAnsi="楷体" w:eastAsia="楷体" w:cs="楷体"/>
          <w:spacing w:val="-1"/>
          <w:sz w:val="24"/>
          <w:szCs w:val="24"/>
        </w:rPr>
        <w:t>局敏感重点管控区、东兴区土壤优先保护区</w:t>
      </w:r>
      <w:r>
        <w:rPr>
          <w:rFonts w:ascii="宋体" w:hAnsi="宋体" w:eastAsia="宋体" w:cs="宋体"/>
          <w:spacing w:val="-27"/>
          <w:sz w:val="24"/>
          <w:szCs w:val="24"/>
        </w:rPr>
        <w:t>），</w:t>
      </w:r>
      <w:r>
        <w:rPr>
          <w:rFonts w:ascii="宋体" w:hAnsi="宋体" w:eastAsia="宋体" w:cs="宋体"/>
          <w:spacing w:val="-2"/>
          <w:sz w:val="24"/>
          <w:szCs w:val="24"/>
        </w:rPr>
        <w:t>通过畜禽清洁养殖和畜禽粪污无</w:t>
      </w:r>
      <w:r>
        <w:rPr>
          <w:rFonts w:ascii="宋体" w:hAnsi="宋体" w:eastAsia="宋体" w:cs="宋体"/>
          <w:spacing w:val="-6"/>
          <w:sz w:val="24"/>
          <w:szCs w:val="24"/>
        </w:rPr>
        <w:t>害化、资源化利用技术， 提高养殖粪污治理水平和资源利用效率，有助</w:t>
      </w:r>
      <w:r>
        <w:rPr>
          <w:rFonts w:ascii="宋体" w:hAnsi="宋体" w:eastAsia="宋体" w:cs="宋体"/>
          <w:spacing w:val="-7"/>
          <w:sz w:val="24"/>
          <w:szCs w:val="24"/>
        </w:rPr>
        <w:t>于区域农</w:t>
      </w:r>
      <w:r>
        <w:rPr>
          <w:rFonts w:ascii="宋体" w:hAnsi="宋体" w:eastAsia="宋体" w:cs="宋体"/>
          <w:spacing w:val="-5"/>
          <w:sz w:val="24"/>
          <w:szCs w:val="24"/>
        </w:rPr>
        <w:t>业面源污染治理。</w:t>
      </w:r>
    </w:p>
    <w:p w14:paraId="0B2843D5">
      <w:pPr>
        <w:spacing w:before="5" w:line="361" w:lineRule="auto"/>
        <w:ind w:left="42" w:firstLine="477"/>
        <w:jc w:val="both"/>
        <w:rPr>
          <w:rFonts w:ascii="宋体" w:hAnsi="宋体" w:eastAsia="宋体" w:cs="宋体"/>
          <w:sz w:val="24"/>
          <w:szCs w:val="24"/>
        </w:rPr>
      </w:pPr>
      <w:r>
        <w:rPr>
          <w:rFonts w:ascii="宋体" w:hAnsi="宋体" w:eastAsia="宋体" w:cs="宋体"/>
          <w:spacing w:val="-5"/>
          <w:sz w:val="24"/>
          <w:szCs w:val="24"/>
        </w:rPr>
        <w:t>根据内江市生态环境局发布的《</w:t>
      </w:r>
      <w:r>
        <w:rPr>
          <w:rFonts w:ascii="Times New Roman" w:hAnsi="Times New Roman" w:eastAsia="Times New Roman" w:cs="Times New Roman"/>
          <w:spacing w:val="-5"/>
          <w:sz w:val="24"/>
          <w:szCs w:val="24"/>
        </w:rPr>
        <w:t>2022</w:t>
      </w:r>
      <w:r>
        <w:rPr>
          <w:rFonts w:ascii="宋体" w:hAnsi="宋体" w:eastAsia="宋体" w:cs="宋体"/>
          <w:spacing w:val="-5"/>
          <w:sz w:val="24"/>
          <w:szCs w:val="24"/>
        </w:rPr>
        <w:t>年度内</w:t>
      </w:r>
      <w:r>
        <w:rPr>
          <w:rFonts w:ascii="宋体" w:hAnsi="宋体" w:eastAsia="宋体" w:cs="宋体"/>
          <w:spacing w:val="-6"/>
          <w:sz w:val="24"/>
          <w:szCs w:val="24"/>
        </w:rPr>
        <w:t>江市环境质量状况公报》，</w:t>
      </w:r>
      <w:r>
        <w:rPr>
          <w:rFonts w:ascii="宋体" w:hAnsi="宋体" w:eastAsia="宋体" w:cs="宋体"/>
          <w:spacing w:val="-35"/>
          <w:sz w:val="24"/>
          <w:szCs w:val="24"/>
        </w:rPr>
        <w:t xml:space="preserve"> </w:t>
      </w:r>
      <w:r>
        <w:rPr>
          <w:rFonts w:ascii="宋体" w:hAnsi="宋体" w:eastAsia="宋体" w:cs="宋体"/>
          <w:spacing w:val="-6"/>
          <w:sz w:val="24"/>
          <w:szCs w:val="24"/>
        </w:rPr>
        <w:t>东兴</w:t>
      </w:r>
      <w:r>
        <w:rPr>
          <w:rFonts w:ascii="宋体" w:hAnsi="宋体" w:eastAsia="宋体" w:cs="宋体"/>
          <w:sz w:val="24"/>
          <w:szCs w:val="24"/>
        </w:rPr>
        <w:t>区</w:t>
      </w:r>
      <w:r>
        <w:rPr>
          <w:rFonts w:ascii="Times New Roman" w:hAnsi="Times New Roman" w:eastAsia="Times New Roman" w:cs="Times New Roman"/>
          <w:sz w:val="24"/>
          <w:szCs w:val="24"/>
        </w:rPr>
        <w:t>2022</w:t>
      </w:r>
      <w:r>
        <w:rPr>
          <w:rFonts w:ascii="宋体" w:hAnsi="宋体" w:eastAsia="宋体" w:cs="宋体"/>
          <w:sz w:val="24"/>
          <w:szCs w:val="24"/>
        </w:rPr>
        <w:t>年度空气质量为达标区，项目所在区域具有一定大气环境容量。</w:t>
      </w:r>
      <w:r>
        <w:rPr>
          <w:rFonts w:ascii="Times New Roman" w:hAnsi="Times New Roman" w:eastAsia="Times New Roman" w:cs="Times New Roman"/>
          <w:sz w:val="24"/>
          <w:szCs w:val="24"/>
        </w:rPr>
        <w:t>2022</w:t>
      </w:r>
      <w:r>
        <w:rPr>
          <w:rFonts w:ascii="宋体" w:hAnsi="宋体" w:eastAsia="宋体" w:cs="宋体"/>
          <w:sz w:val="24"/>
          <w:szCs w:val="24"/>
        </w:rPr>
        <w:t>年，</w:t>
      </w:r>
      <w:r>
        <w:rPr>
          <w:rFonts w:ascii="宋体" w:hAnsi="宋体" w:eastAsia="宋体" w:cs="宋体"/>
          <w:spacing w:val="-9"/>
          <w:sz w:val="24"/>
          <w:szCs w:val="24"/>
        </w:rPr>
        <w:t>大清流河水质总体优，与上年相比保持不变；</w:t>
      </w:r>
      <w:r>
        <w:rPr>
          <w:rFonts w:ascii="Times New Roman" w:hAnsi="Times New Roman" w:eastAsia="Times New Roman" w:cs="Times New Roman"/>
          <w:spacing w:val="-9"/>
          <w:sz w:val="24"/>
          <w:szCs w:val="24"/>
        </w:rPr>
        <w:t>7</w:t>
      </w:r>
      <w:r>
        <w:rPr>
          <w:rFonts w:ascii="宋体" w:hAnsi="宋体" w:eastAsia="宋体" w:cs="宋体"/>
          <w:spacing w:val="-9"/>
          <w:sz w:val="24"/>
          <w:szCs w:val="24"/>
        </w:rPr>
        <w:t>个断面均</w:t>
      </w:r>
      <w:r>
        <w:rPr>
          <w:rFonts w:ascii="宋体" w:hAnsi="宋体" w:eastAsia="宋体" w:cs="宋体"/>
          <w:spacing w:val="-10"/>
          <w:sz w:val="24"/>
          <w:szCs w:val="24"/>
        </w:rPr>
        <w:t>达到Ⅲ类水质，占比</w:t>
      </w:r>
      <w:r>
        <w:rPr>
          <w:rFonts w:ascii="Times New Roman" w:hAnsi="Times New Roman" w:eastAsia="Times New Roman" w:cs="Times New Roman"/>
          <w:spacing w:val="-10"/>
          <w:sz w:val="24"/>
          <w:szCs w:val="24"/>
        </w:rPr>
        <w:t>100%</w:t>
      </w:r>
      <w:r>
        <w:rPr>
          <w:rFonts w:ascii="宋体" w:hAnsi="宋体" w:eastAsia="宋体" w:cs="宋体"/>
          <w:spacing w:val="-10"/>
          <w:sz w:val="24"/>
          <w:szCs w:val="24"/>
        </w:rPr>
        <w:t>；</w:t>
      </w:r>
      <w:r>
        <w:rPr>
          <w:rFonts w:ascii="宋体" w:hAnsi="宋体" w:eastAsia="宋体" w:cs="宋体"/>
          <w:spacing w:val="-3"/>
          <w:sz w:val="24"/>
          <w:szCs w:val="24"/>
        </w:rPr>
        <w:t>项目产生的废水经污水处理站处理后用于项目周边消纳地灌溉，不外排，不</w:t>
      </w:r>
      <w:r>
        <w:rPr>
          <w:rFonts w:ascii="宋体" w:hAnsi="宋体" w:eastAsia="宋体" w:cs="宋体"/>
          <w:spacing w:val="-4"/>
          <w:sz w:val="24"/>
          <w:szCs w:val="24"/>
        </w:rPr>
        <w:t>改变</w:t>
      </w:r>
      <w:r>
        <w:rPr>
          <w:rFonts w:ascii="宋体" w:hAnsi="宋体" w:eastAsia="宋体" w:cs="宋体"/>
          <w:spacing w:val="-6"/>
          <w:sz w:val="24"/>
          <w:szCs w:val="24"/>
        </w:rPr>
        <w:t>项目所在区域地表水水质。本项目不属于高耗能、高污染及资源性</w:t>
      </w:r>
      <w:r>
        <w:rPr>
          <w:rFonts w:ascii="宋体" w:hAnsi="宋体" w:eastAsia="宋体" w:cs="宋体"/>
          <w:spacing w:val="-7"/>
          <w:sz w:val="24"/>
          <w:szCs w:val="24"/>
        </w:rPr>
        <w:t>项目， 项目建</w:t>
      </w:r>
    </w:p>
    <w:p w14:paraId="7B3D7F3C">
      <w:pPr>
        <w:spacing w:line="361" w:lineRule="auto"/>
        <w:rPr>
          <w:rFonts w:ascii="宋体" w:hAnsi="宋体" w:eastAsia="宋体" w:cs="宋体"/>
          <w:sz w:val="24"/>
          <w:szCs w:val="24"/>
        </w:rPr>
        <w:sectPr>
          <w:headerReference r:id="rId19" w:type="default"/>
          <w:footerReference r:id="rId20" w:type="default"/>
          <w:pgSz w:w="11905" w:h="16840"/>
          <w:pgMar w:top="1168" w:right="1615" w:bottom="1409" w:left="1770" w:header="828" w:footer="1244" w:gutter="0"/>
          <w:cols w:space="720" w:num="1"/>
        </w:sectPr>
      </w:pPr>
    </w:p>
    <w:p w14:paraId="67A164FD">
      <w:pPr>
        <w:pStyle w:val="2"/>
        <w:spacing w:line="306" w:lineRule="auto"/>
      </w:pPr>
    </w:p>
    <w:p w14:paraId="6C30ADC1">
      <w:pPr>
        <w:spacing w:before="78" w:line="219" w:lineRule="auto"/>
        <w:ind w:left="43"/>
        <w:rPr>
          <w:rFonts w:ascii="宋体" w:hAnsi="宋体" w:eastAsia="宋体" w:cs="宋体"/>
          <w:sz w:val="24"/>
          <w:szCs w:val="24"/>
        </w:rPr>
      </w:pPr>
      <w:r>
        <w:rPr>
          <w:rFonts w:ascii="宋体" w:hAnsi="宋体" w:eastAsia="宋体" w:cs="宋体"/>
          <w:spacing w:val="-2"/>
          <w:sz w:val="24"/>
          <w:szCs w:val="24"/>
        </w:rPr>
        <w:t>设不涉及基本农田，本项目符合环境质量底线、资源利用上线要求。</w:t>
      </w:r>
    </w:p>
    <w:p w14:paraId="6326F241">
      <w:pPr>
        <w:spacing w:before="183" w:line="360" w:lineRule="auto"/>
        <w:ind w:left="40" w:right="67" w:firstLine="479"/>
        <w:rPr>
          <w:rFonts w:ascii="宋体" w:hAnsi="宋体" w:eastAsia="宋体" w:cs="宋体"/>
          <w:sz w:val="24"/>
          <w:szCs w:val="24"/>
        </w:rPr>
      </w:pPr>
      <w:r>
        <w:rPr>
          <w:rFonts w:ascii="宋体" w:hAnsi="宋体" w:eastAsia="宋体" w:cs="宋体"/>
          <w:spacing w:val="-11"/>
          <w:sz w:val="24"/>
          <w:szCs w:val="24"/>
        </w:rPr>
        <w:t>根据《四川省国家重点生态功能区产业准入负面清单（第一批</w:t>
      </w:r>
      <w:r>
        <w:rPr>
          <w:rFonts w:ascii="宋体" w:hAnsi="宋体" w:eastAsia="宋体" w:cs="宋体"/>
          <w:spacing w:val="-13"/>
          <w:sz w:val="24"/>
          <w:szCs w:val="24"/>
        </w:rPr>
        <w:t>）（</w:t>
      </w:r>
      <w:r>
        <w:rPr>
          <w:rFonts w:ascii="宋体" w:hAnsi="宋体" w:eastAsia="宋体" w:cs="宋体"/>
          <w:spacing w:val="-11"/>
          <w:sz w:val="24"/>
          <w:szCs w:val="24"/>
        </w:rPr>
        <w:t>试行）》、</w:t>
      </w:r>
      <w:r>
        <w:rPr>
          <w:rFonts w:ascii="宋体" w:hAnsi="宋体" w:eastAsia="宋体" w:cs="宋体"/>
          <w:sz w:val="24"/>
          <w:szCs w:val="24"/>
        </w:rPr>
        <w:t xml:space="preserve"> </w:t>
      </w:r>
      <w:r>
        <w:rPr>
          <w:rFonts w:ascii="宋体" w:hAnsi="宋体" w:eastAsia="宋体" w:cs="宋体"/>
          <w:spacing w:val="-3"/>
          <w:sz w:val="24"/>
          <w:szCs w:val="24"/>
        </w:rPr>
        <w:t>《四川省重点生态功能区产业准入负面清单（</w:t>
      </w:r>
      <w:r>
        <w:rPr>
          <w:rFonts w:ascii="宋体" w:hAnsi="宋体" w:eastAsia="宋体" w:cs="宋体"/>
          <w:spacing w:val="-4"/>
          <w:sz w:val="24"/>
          <w:szCs w:val="24"/>
        </w:rPr>
        <w:t>第二批</w:t>
      </w:r>
      <w:r>
        <w:rPr>
          <w:rFonts w:ascii="宋体" w:hAnsi="宋体" w:eastAsia="宋体" w:cs="宋体"/>
          <w:spacing w:val="-3"/>
          <w:sz w:val="24"/>
          <w:szCs w:val="24"/>
        </w:rPr>
        <w:t>）（</w:t>
      </w:r>
      <w:r>
        <w:rPr>
          <w:rFonts w:ascii="宋体" w:hAnsi="宋体" w:eastAsia="宋体" w:cs="宋体"/>
          <w:spacing w:val="-4"/>
          <w:sz w:val="24"/>
          <w:szCs w:val="24"/>
        </w:rPr>
        <w:t>试行）》、《长江经济</w:t>
      </w:r>
      <w:r>
        <w:rPr>
          <w:rFonts w:ascii="宋体" w:hAnsi="宋体" w:eastAsia="宋体" w:cs="宋体"/>
          <w:spacing w:val="-3"/>
          <w:sz w:val="24"/>
          <w:szCs w:val="24"/>
        </w:rPr>
        <w:t>带发展负面清单指南（试行，</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年版）》、《四川省、重庆市长江经济带发展</w:t>
      </w:r>
      <w:r>
        <w:rPr>
          <w:rFonts w:ascii="宋体" w:hAnsi="宋体" w:eastAsia="宋体" w:cs="宋体"/>
          <w:spacing w:val="-9"/>
          <w:sz w:val="24"/>
          <w:szCs w:val="24"/>
        </w:rPr>
        <w:t>负面清单实施细则（试行，</w:t>
      </w:r>
      <w:r>
        <w:rPr>
          <w:rFonts w:ascii="Times New Roman" w:hAnsi="Times New Roman" w:eastAsia="Times New Roman" w:cs="Times New Roman"/>
          <w:spacing w:val="-9"/>
          <w:sz w:val="24"/>
          <w:szCs w:val="24"/>
        </w:rPr>
        <w:t>2022</w:t>
      </w:r>
      <w:r>
        <w:rPr>
          <w:rFonts w:ascii="宋体" w:hAnsi="宋体" w:eastAsia="宋体" w:cs="宋体"/>
          <w:spacing w:val="-9"/>
          <w:sz w:val="24"/>
          <w:szCs w:val="24"/>
        </w:rPr>
        <w:t>年版）》，本项目所在地不属于重点生态功</w:t>
      </w:r>
      <w:r>
        <w:rPr>
          <w:rFonts w:ascii="宋体" w:hAnsi="宋体" w:eastAsia="宋体" w:cs="宋体"/>
          <w:spacing w:val="-10"/>
          <w:sz w:val="24"/>
          <w:szCs w:val="24"/>
        </w:rPr>
        <w:t>能区、</w:t>
      </w:r>
      <w:r>
        <w:rPr>
          <w:rFonts w:ascii="宋体" w:hAnsi="宋体" w:eastAsia="宋体" w:cs="宋体"/>
          <w:spacing w:val="-3"/>
          <w:sz w:val="24"/>
          <w:szCs w:val="24"/>
        </w:rPr>
        <w:t>不属于上述负面清单中所列项目类型。</w:t>
      </w:r>
    </w:p>
    <w:p w14:paraId="6BEF63A3">
      <w:pPr>
        <w:spacing w:before="1" w:line="218" w:lineRule="auto"/>
        <w:ind w:left="538"/>
        <w:rPr>
          <w:rFonts w:ascii="宋体" w:hAnsi="宋体" w:eastAsia="宋体" w:cs="宋体"/>
          <w:sz w:val="24"/>
          <w:szCs w:val="24"/>
        </w:rPr>
      </w:pPr>
      <w:r>
        <w:rPr>
          <w:rFonts w:ascii="宋体" w:hAnsi="宋体" w:eastAsia="宋体" w:cs="宋体"/>
          <w:spacing w:val="-3"/>
          <w:sz w:val="24"/>
          <w:szCs w:val="24"/>
        </w:rPr>
        <w:t>因此，本项目的建设符合“三线一单”的管控要求。</w:t>
      </w:r>
    </w:p>
    <w:p w14:paraId="5F191D96">
      <w:pPr>
        <w:spacing w:before="183"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）选址合理性分析</w:t>
      </w:r>
    </w:p>
    <w:p w14:paraId="4D06F9AF">
      <w:pPr>
        <w:spacing w:before="181" w:line="360" w:lineRule="auto"/>
        <w:ind w:left="58" w:right="67" w:firstLine="462"/>
        <w:rPr>
          <w:rFonts w:ascii="宋体" w:hAnsi="宋体" w:eastAsia="宋体" w:cs="宋体"/>
          <w:sz w:val="24"/>
          <w:szCs w:val="24"/>
        </w:rPr>
      </w:pPr>
      <w:r>
        <w:rPr>
          <w:rFonts w:ascii="宋体" w:hAnsi="宋体" w:eastAsia="宋体" w:cs="宋体"/>
          <w:sz w:val="24"/>
          <w:szCs w:val="24"/>
        </w:rPr>
        <w:t>本项目租用内江市东兴区白合镇喻家沟村</w:t>
      </w:r>
      <w:r>
        <w:rPr>
          <w:rFonts w:ascii="Times New Roman" w:hAnsi="Times New Roman" w:eastAsia="Times New Roman" w:cs="Times New Roman"/>
          <w:sz w:val="24"/>
          <w:szCs w:val="24"/>
        </w:rPr>
        <w:t>9</w:t>
      </w:r>
      <w:r>
        <w:rPr>
          <w:rFonts w:ascii="宋体" w:hAnsi="宋体" w:eastAsia="宋体" w:cs="宋体"/>
          <w:sz w:val="24"/>
          <w:szCs w:val="24"/>
        </w:rPr>
        <w:t>组、</w:t>
      </w:r>
      <w:r>
        <w:rPr>
          <w:rFonts w:ascii="Times New Roman" w:hAnsi="Times New Roman" w:eastAsia="Times New Roman" w:cs="Times New Roman"/>
          <w:sz w:val="24"/>
          <w:szCs w:val="24"/>
        </w:rPr>
        <w:t>12</w:t>
      </w:r>
      <w:r>
        <w:rPr>
          <w:rFonts w:ascii="宋体" w:hAnsi="宋体" w:eastAsia="宋体" w:cs="宋体"/>
          <w:sz w:val="24"/>
          <w:szCs w:val="24"/>
        </w:rPr>
        <w:t>组土地进行建设，</w:t>
      </w:r>
      <w:r>
        <w:rPr>
          <w:rFonts w:ascii="Times New Roman" w:hAnsi="Times New Roman" w:eastAsia="Times New Roman" w:cs="Times New Roman"/>
          <w:sz w:val="24"/>
          <w:szCs w:val="24"/>
        </w:rPr>
        <w:t>2020</w:t>
      </w:r>
      <w:r>
        <w:rPr>
          <w:rFonts w:ascii="宋体" w:hAnsi="宋体" w:eastAsia="宋体" w:cs="宋体"/>
          <w:sz w:val="24"/>
          <w:szCs w:val="24"/>
        </w:rPr>
        <w:t>年</w:t>
      </w:r>
      <w:r>
        <w:rPr>
          <w:rFonts w:ascii="Times New Roman" w:hAnsi="Times New Roman" w:eastAsia="Times New Roman" w:cs="Times New Roman"/>
          <w:sz w:val="24"/>
          <w:szCs w:val="24"/>
        </w:rPr>
        <w:t>10</w:t>
      </w:r>
      <w:r>
        <w:rPr>
          <w:rFonts w:ascii="宋体" w:hAnsi="宋体" w:eastAsia="宋体" w:cs="宋体"/>
          <w:sz w:val="24"/>
          <w:szCs w:val="24"/>
        </w:rPr>
        <w:t>月</w:t>
      </w:r>
      <w:r>
        <w:rPr>
          <w:rFonts w:ascii="Times New Roman" w:hAnsi="Times New Roman" w:eastAsia="Times New Roman" w:cs="Times New Roman"/>
          <w:sz w:val="24"/>
          <w:szCs w:val="24"/>
        </w:rPr>
        <w:t>1</w:t>
      </w:r>
      <w:r>
        <w:rPr>
          <w:rFonts w:ascii="宋体" w:hAnsi="宋体" w:eastAsia="宋体" w:cs="宋体"/>
          <w:sz w:val="24"/>
          <w:szCs w:val="24"/>
        </w:rPr>
        <w:t>日建设单位与东兴区白合镇喻家沟村村民委员会签订了设施农用地</w:t>
      </w:r>
      <w:r>
        <w:rPr>
          <w:rFonts w:ascii="宋体" w:hAnsi="宋体" w:eastAsia="宋体" w:cs="宋体"/>
          <w:spacing w:val="-1"/>
          <w:sz w:val="24"/>
          <w:szCs w:val="24"/>
        </w:rPr>
        <w:t>承包合</w:t>
      </w:r>
      <w:r>
        <w:rPr>
          <w:rFonts w:ascii="宋体" w:hAnsi="宋体" w:eastAsia="宋体" w:cs="宋体"/>
          <w:spacing w:val="-2"/>
          <w:sz w:val="24"/>
          <w:szCs w:val="24"/>
        </w:rPr>
        <w:t>同，租用设施农用地面积</w:t>
      </w:r>
      <w:r>
        <w:rPr>
          <w:rFonts w:ascii="Times New Roman" w:hAnsi="Times New Roman" w:eastAsia="Times New Roman" w:cs="Times New Roman"/>
          <w:spacing w:val="-2"/>
          <w:sz w:val="24"/>
          <w:szCs w:val="24"/>
        </w:rPr>
        <w:t>8.4872hm</w:t>
      </w:r>
      <w:r>
        <w:rPr>
          <w:rFonts w:ascii="Times New Roman" w:hAnsi="Times New Roman" w:eastAsia="Times New Roman" w:cs="Times New Roman"/>
          <w:spacing w:val="-2"/>
          <w:position w:val="10"/>
          <w:sz w:val="15"/>
          <w:szCs w:val="15"/>
        </w:rPr>
        <w:t>2</w:t>
      </w:r>
      <w:r>
        <w:rPr>
          <w:rFonts w:ascii="宋体" w:hAnsi="宋体" w:eastAsia="宋体" w:cs="宋体"/>
          <w:spacing w:val="-2"/>
          <w:sz w:val="24"/>
          <w:szCs w:val="24"/>
        </w:rPr>
        <w:t>。</w:t>
      </w:r>
    </w:p>
    <w:p w14:paraId="7432AE44">
      <w:pPr>
        <w:spacing w:line="360" w:lineRule="auto"/>
        <w:ind w:left="39" w:right="1" w:firstLine="475"/>
        <w:jc w:val="both"/>
        <w:rPr>
          <w:rFonts w:ascii="宋体" w:hAnsi="宋体" w:eastAsia="宋体" w:cs="宋体"/>
          <w:sz w:val="24"/>
          <w:szCs w:val="24"/>
        </w:rPr>
      </w:pPr>
      <w:r>
        <w:rPr>
          <w:rFonts w:ascii="Times New Roman" w:hAnsi="Times New Roman" w:eastAsia="Times New Roman" w:cs="Times New Roman"/>
          <w:spacing w:val="-3"/>
          <w:sz w:val="24"/>
          <w:szCs w:val="24"/>
        </w:rPr>
        <w:t>2021</w:t>
      </w:r>
      <w:r>
        <w:rPr>
          <w:rFonts w:ascii="宋体" w:hAnsi="宋体" w:eastAsia="宋体" w:cs="宋体"/>
          <w:spacing w:val="-3"/>
          <w:sz w:val="24"/>
          <w:szCs w:val="24"/>
        </w:rPr>
        <w:t>年</w:t>
      </w:r>
      <w:r>
        <w:rPr>
          <w:rFonts w:ascii="Times New Roman" w:hAnsi="Times New Roman" w:eastAsia="Times New Roman" w:cs="Times New Roman"/>
          <w:spacing w:val="-3"/>
          <w:sz w:val="24"/>
          <w:szCs w:val="24"/>
        </w:rPr>
        <w:t>9</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日，内江市东兴区白合镇人民政府经核实，本项目已签订农村土</w:t>
      </w:r>
      <w:r>
        <w:rPr>
          <w:rFonts w:ascii="宋体" w:hAnsi="宋体" w:eastAsia="宋体" w:cs="宋体"/>
          <w:spacing w:val="-1"/>
          <w:sz w:val="24"/>
          <w:szCs w:val="24"/>
        </w:rPr>
        <w:t>地经营权流转合同，符合设施农用地备案要求，同意上报备案；</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Times New Roman" w:hAnsi="Times New Roman" w:eastAsia="Times New Roman" w:cs="Times New Roman"/>
          <w:spacing w:val="-1"/>
          <w:sz w:val="24"/>
          <w:szCs w:val="24"/>
        </w:rPr>
        <w:t>9</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w:t>
      </w:r>
      <w:r>
        <w:rPr>
          <w:rFonts w:ascii="宋体" w:hAnsi="宋体" w:eastAsia="宋体" w:cs="宋体"/>
          <w:spacing w:val="-1"/>
          <w:sz w:val="24"/>
          <w:szCs w:val="24"/>
        </w:rPr>
        <w:t>日，</w:t>
      </w:r>
      <w:r>
        <w:rPr>
          <w:rFonts w:ascii="宋体" w:hAnsi="宋体" w:eastAsia="宋体" w:cs="宋体"/>
          <w:spacing w:val="-2"/>
          <w:sz w:val="24"/>
          <w:szCs w:val="24"/>
        </w:rPr>
        <w:t>内江市东兴区农业农村局同意本项目设施农业用地备案。</w:t>
      </w:r>
    </w:p>
    <w:p w14:paraId="42597F5F">
      <w:pPr>
        <w:spacing w:before="5" w:line="359" w:lineRule="auto"/>
        <w:ind w:left="39" w:firstLine="480"/>
        <w:jc w:val="both"/>
        <w:rPr>
          <w:rFonts w:ascii="宋体" w:hAnsi="宋体" w:eastAsia="宋体" w:cs="宋体"/>
          <w:sz w:val="24"/>
          <w:szCs w:val="24"/>
        </w:rPr>
      </w:pPr>
      <w:r>
        <w:rPr>
          <w:rFonts w:ascii="宋体" w:hAnsi="宋体" w:eastAsia="宋体" w:cs="宋体"/>
          <w:spacing w:val="-1"/>
          <w:sz w:val="24"/>
          <w:szCs w:val="24"/>
        </w:rPr>
        <w:t>本项目用地内部分已清表（建设单位承租地块时即为清表状态</w:t>
      </w:r>
      <w:r>
        <w:rPr>
          <w:rFonts w:ascii="宋体" w:hAnsi="宋体" w:eastAsia="宋体" w:cs="宋体"/>
          <w:spacing w:val="-3"/>
          <w:sz w:val="24"/>
          <w:szCs w:val="24"/>
        </w:rPr>
        <w:t>），</w:t>
      </w:r>
      <w:r>
        <w:rPr>
          <w:rFonts w:ascii="宋体" w:hAnsi="宋体" w:eastAsia="宋体" w:cs="宋体"/>
          <w:spacing w:val="-1"/>
          <w:sz w:val="24"/>
          <w:szCs w:val="24"/>
        </w:rPr>
        <w:t>经核实，</w:t>
      </w:r>
      <w:r>
        <w:rPr>
          <w:rFonts w:ascii="宋体" w:hAnsi="宋体" w:eastAsia="宋体" w:cs="宋体"/>
          <w:spacing w:val="-6"/>
          <w:sz w:val="24"/>
          <w:szCs w:val="24"/>
        </w:rPr>
        <w:t>原土地利用现状类型为耕地（旱地）、林地（灌木林地、其他林</w:t>
      </w:r>
      <w:r>
        <w:rPr>
          <w:rFonts w:ascii="宋体" w:hAnsi="宋体" w:eastAsia="宋体" w:cs="宋体"/>
          <w:spacing w:val="-7"/>
          <w:sz w:val="24"/>
          <w:szCs w:val="24"/>
        </w:rPr>
        <w:t>地） 、水域及水</w:t>
      </w:r>
      <w:r>
        <w:rPr>
          <w:rFonts w:ascii="宋体" w:hAnsi="宋体" w:eastAsia="宋体" w:cs="宋体"/>
          <w:spacing w:val="-2"/>
          <w:sz w:val="24"/>
          <w:szCs w:val="24"/>
        </w:rPr>
        <w:t>利设施用地（坑塘水面</w:t>
      </w:r>
      <w:r>
        <w:rPr>
          <w:rFonts w:ascii="宋体" w:hAnsi="宋体" w:eastAsia="宋体" w:cs="宋体"/>
          <w:spacing w:val="-20"/>
          <w:sz w:val="24"/>
          <w:szCs w:val="24"/>
        </w:rPr>
        <w:t>），</w:t>
      </w:r>
      <w:r>
        <w:rPr>
          <w:rFonts w:ascii="宋体" w:hAnsi="宋体" w:eastAsia="宋体" w:cs="宋体"/>
          <w:spacing w:val="-2"/>
          <w:sz w:val="24"/>
          <w:szCs w:val="24"/>
        </w:rPr>
        <w:t>经内江市东兴区白合镇国土资源所核实，项目不占用基本农田。因此，项目符合土地利用总体规</w:t>
      </w:r>
      <w:r>
        <w:rPr>
          <w:rFonts w:ascii="宋体" w:hAnsi="宋体" w:eastAsia="宋体" w:cs="宋体"/>
          <w:spacing w:val="-3"/>
          <w:sz w:val="24"/>
          <w:szCs w:val="24"/>
        </w:rPr>
        <w:t>划。</w:t>
      </w:r>
    </w:p>
    <w:p w14:paraId="32F88DB3">
      <w:pPr>
        <w:spacing w:before="1" w:line="218" w:lineRule="auto"/>
        <w:ind w:right="2"/>
        <w:jc w:val="right"/>
        <w:rPr>
          <w:rFonts w:ascii="宋体" w:hAnsi="宋体" w:eastAsia="宋体" w:cs="宋体"/>
          <w:sz w:val="24"/>
          <w:szCs w:val="24"/>
        </w:rPr>
      </w:pPr>
      <w:r>
        <w:rPr>
          <w:rFonts w:ascii="宋体" w:hAnsi="宋体" w:eastAsia="宋体" w:cs="宋体"/>
          <w:spacing w:val="-1"/>
          <w:sz w:val="24"/>
          <w:szCs w:val="24"/>
        </w:rPr>
        <w:t>本项目附近地表水体有石核河、五桂溪、大清流河，与本项</w:t>
      </w:r>
      <w:r>
        <w:rPr>
          <w:rFonts w:ascii="宋体" w:hAnsi="宋体" w:eastAsia="宋体" w:cs="宋体"/>
          <w:spacing w:val="-2"/>
          <w:sz w:val="24"/>
          <w:szCs w:val="24"/>
        </w:rPr>
        <w:t>目的关系如下：</w:t>
      </w:r>
    </w:p>
    <w:p w14:paraId="3CD2408B">
      <w:pPr>
        <w:spacing w:before="183" w:line="360" w:lineRule="auto"/>
        <w:ind w:left="40" w:right="66" w:firstLine="478"/>
        <w:rPr>
          <w:rFonts w:ascii="宋体" w:hAnsi="宋体" w:eastAsia="宋体" w:cs="宋体"/>
          <w:sz w:val="24"/>
          <w:szCs w:val="24"/>
        </w:rPr>
      </w:pPr>
      <w:r>
        <w:rPr>
          <w:rFonts w:ascii="宋体" w:hAnsi="宋体" w:eastAsia="宋体" w:cs="宋体"/>
          <w:spacing w:val="-7"/>
          <w:sz w:val="24"/>
          <w:szCs w:val="24"/>
        </w:rPr>
        <w:t>①石核河位于项目南侧，最近直线距离</w:t>
      </w:r>
      <w:r>
        <w:rPr>
          <w:rFonts w:ascii="Times New Roman" w:hAnsi="Times New Roman" w:eastAsia="Times New Roman" w:cs="Times New Roman"/>
          <w:spacing w:val="-7"/>
          <w:sz w:val="24"/>
          <w:szCs w:val="24"/>
        </w:rPr>
        <w:t>228m</w:t>
      </w:r>
      <w:r>
        <w:rPr>
          <w:rFonts w:ascii="宋体" w:hAnsi="宋体" w:eastAsia="宋体" w:cs="宋体"/>
          <w:spacing w:val="-7"/>
          <w:sz w:val="24"/>
          <w:szCs w:val="24"/>
        </w:rPr>
        <w:t>、与拟设堆粪棚最近距离</w:t>
      </w:r>
      <w:r>
        <w:rPr>
          <w:rFonts w:ascii="Times New Roman" w:hAnsi="Times New Roman" w:eastAsia="Times New Roman" w:cs="Times New Roman"/>
          <w:spacing w:val="-7"/>
          <w:sz w:val="24"/>
          <w:szCs w:val="24"/>
        </w:rPr>
        <w:t>40</w:t>
      </w:r>
      <w:r>
        <w:rPr>
          <w:rFonts w:ascii="Times New Roman" w:hAnsi="Times New Roman" w:eastAsia="Times New Roman" w:cs="Times New Roman"/>
          <w:spacing w:val="-8"/>
          <w:sz w:val="24"/>
          <w:szCs w:val="24"/>
        </w:rPr>
        <w:t>4m</w:t>
      </w:r>
      <w:r>
        <w:rPr>
          <w:rFonts w:ascii="Times New Roman" w:hAnsi="Times New Roman" w:eastAsia="Times New Roman" w:cs="Times New Roman"/>
          <w:spacing w:val="-33"/>
          <w:sz w:val="24"/>
          <w:szCs w:val="24"/>
        </w:rPr>
        <w:t xml:space="preserve"> </w:t>
      </w:r>
      <w:r>
        <w:rPr>
          <w:rFonts w:ascii="宋体" w:hAnsi="宋体" w:eastAsia="宋体" w:cs="宋体"/>
          <w:spacing w:val="-8"/>
          <w:sz w:val="24"/>
          <w:szCs w:val="24"/>
        </w:rPr>
        <w:t>，</w:t>
      </w:r>
      <w:r>
        <w:rPr>
          <w:rFonts w:ascii="宋体" w:hAnsi="宋体" w:eastAsia="宋体" w:cs="宋体"/>
          <w:sz w:val="24"/>
          <w:szCs w:val="24"/>
        </w:rPr>
        <w:t>石核河由项目南侧向东南流经约</w:t>
      </w:r>
      <w:r>
        <w:rPr>
          <w:rFonts w:ascii="Times New Roman" w:hAnsi="Times New Roman" w:eastAsia="Times New Roman" w:cs="Times New Roman"/>
          <w:sz w:val="24"/>
          <w:szCs w:val="24"/>
        </w:rPr>
        <w:t>4.5km</w:t>
      </w:r>
      <w:r>
        <w:rPr>
          <w:rFonts w:ascii="宋体" w:hAnsi="宋体" w:eastAsia="宋体" w:cs="宋体"/>
          <w:sz w:val="24"/>
          <w:szCs w:val="24"/>
        </w:rPr>
        <w:t>后汇入大清流河，石核河为灌溉、行洪功</w:t>
      </w:r>
      <w:r>
        <w:rPr>
          <w:rFonts w:ascii="宋体" w:hAnsi="宋体" w:eastAsia="宋体" w:cs="宋体"/>
          <w:spacing w:val="-4"/>
          <w:sz w:val="24"/>
          <w:szCs w:val="24"/>
        </w:rPr>
        <w:t>能，无饮用水水源功能。</w:t>
      </w:r>
    </w:p>
    <w:p w14:paraId="28E0FD56">
      <w:pPr>
        <w:spacing w:line="360" w:lineRule="auto"/>
        <w:ind w:left="39" w:right="66" w:firstLine="478"/>
        <w:rPr>
          <w:rFonts w:ascii="宋体" w:hAnsi="宋体" w:eastAsia="宋体" w:cs="宋体"/>
          <w:sz w:val="24"/>
          <w:szCs w:val="24"/>
        </w:rPr>
      </w:pPr>
      <w:r>
        <w:rPr>
          <w:rFonts w:ascii="宋体" w:hAnsi="宋体" w:eastAsia="宋体" w:cs="宋体"/>
          <w:spacing w:val="-7"/>
          <w:sz w:val="24"/>
          <w:szCs w:val="24"/>
        </w:rPr>
        <w:t>②五桂溪位于项目北侧，最近直线距离</w:t>
      </w:r>
      <w:r>
        <w:rPr>
          <w:rFonts w:ascii="Times New Roman" w:hAnsi="Times New Roman" w:eastAsia="Times New Roman" w:cs="Times New Roman"/>
          <w:spacing w:val="-7"/>
          <w:sz w:val="24"/>
          <w:szCs w:val="24"/>
        </w:rPr>
        <w:t>700m</w:t>
      </w:r>
      <w:r>
        <w:rPr>
          <w:rFonts w:ascii="宋体" w:hAnsi="宋体" w:eastAsia="宋体" w:cs="宋体"/>
          <w:spacing w:val="-7"/>
          <w:sz w:val="24"/>
          <w:szCs w:val="24"/>
        </w:rPr>
        <w:t>、与拟设堆粪棚最近距离</w:t>
      </w:r>
      <w:r>
        <w:rPr>
          <w:rFonts w:ascii="Times New Roman" w:hAnsi="Times New Roman" w:eastAsia="Times New Roman" w:cs="Times New Roman"/>
          <w:spacing w:val="-7"/>
          <w:sz w:val="24"/>
          <w:szCs w:val="24"/>
        </w:rPr>
        <w:t>858</w:t>
      </w:r>
      <w:r>
        <w:rPr>
          <w:rFonts w:ascii="Times New Roman" w:hAnsi="Times New Roman" w:eastAsia="Times New Roman" w:cs="Times New Roman"/>
          <w:spacing w:val="-8"/>
          <w:sz w:val="24"/>
          <w:szCs w:val="24"/>
        </w:rPr>
        <w:t>m</w:t>
      </w:r>
      <w:r>
        <w:rPr>
          <w:rFonts w:ascii="Times New Roman" w:hAnsi="Times New Roman" w:eastAsia="Times New Roman" w:cs="Times New Roman"/>
          <w:spacing w:val="-33"/>
          <w:sz w:val="24"/>
          <w:szCs w:val="24"/>
        </w:rPr>
        <w:t xml:space="preserve"> </w:t>
      </w:r>
      <w:r>
        <w:rPr>
          <w:rFonts w:ascii="宋体" w:hAnsi="宋体" w:eastAsia="宋体" w:cs="宋体"/>
          <w:spacing w:val="-8"/>
          <w:sz w:val="24"/>
          <w:szCs w:val="24"/>
        </w:rPr>
        <w:t>，</w:t>
      </w:r>
      <w:r>
        <w:rPr>
          <w:rFonts w:ascii="宋体" w:hAnsi="宋体" w:eastAsia="宋体" w:cs="宋体"/>
          <w:sz w:val="24"/>
          <w:szCs w:val="24"/>
        </w:rPr>
        <w:t>五桂溪由项目北侧向东流经约</w:t>
      </w:r>
      <w:r>
        <w:rPr>
          <w:rFonts w:ascii="Times New Roman" w:hAnsi="Times New Roman" w:eastAsia="Times New Roman" w:cs="Times New Roman"/>
          <w:sz w:val="24"/>
          <w:szCs w:val="24"/>
        </w:rPr>
        <w:t>1.3km</w:t>
      </w:r>
      <w:r>
        <w:rPr>
          <w:rFonts w:ascii="宋体" w:hAnsi="宋体" w:eastAsia="宋体" w:cs="宋体"/>
          <w:sz w:val="24"/>
          <w:szCs w:val="24"/>
        </w:rPr>
        <w:t>后汇入大清流河，汇入口位于现有白石联合</w:t>
      </w:r>
      <w:r>
        <w:rPr>
          <w:rFonts w:ascii="宋体" w:hAnsi="宋体" w:eastAsia="宋体" w:cs="宋体"/>
          <w:spacing w:val="-1"/>
          <w:sz w:val="24"/>
          <w:szCs w:val="24"/>
        </w:rPr>
        <w:t>集中供水站大清流河取水点上游</w:t>
      </w:r>
      <w:r>
        <w:rPr>
          <w:rFonts w:ascii="Times New Roman" w:hAnsi="Times New Roman" w:eastAsia="Times New Roman" w:cs="Times New Roman"/>
          <w:spacing w:val="-1"/>
          <w:sz w:val="24"/>
          <w:szCs w:val="24"/>
        </w:rPr>
        <w:t>95m</w:t>
      </w:r>
      <w:r>
        <w:rPr>
          <w:rFonts w:ascii="宋体" w:hAnsi="宋体" w:eastAsia="宋体" w:cs="宋体"/>
          <w:spacing w:val="-1"/>
          <w:sz w:val="24"/>
          <w:szCs w:val="24"/>
        </w:rPr>
        <w:t>。</w:t>
      </w:r>
    </w:p>
    <w:p w14:paraId="105B92BD">
      <w:pPr>
        <w:spacing w:before="2" w:line="359" w:lineRule="auto"/>
        <w:ind w:left="39" w:right="66" w:firstLine="479"/>
        <w:jc w:val="both"/>
        <w:rPr>
          <w:rFonts w:ascii="宋体" w:hAnsi="宋体" w:eastAsia="宋体" w:cs="宋体"/>
          <w:sz w:val="24"/>
          <w:szCs w:val="24"/>
        </w:rPr>
      </w:pPr>
      <w:r>
        <w:rPr>
          <w:rFonts w:ascii="宋体" w:hAnsi="宋体" w:eastAsia="宋体" w:cs="宋体"/>
          <w:sz w:val="24"/>
          <w:szCs w:val="24"/>
        </w:rPr>
        <w:t>根据《内江市人民政府关于同意调整划定东兴区小河口镇等</w:t>
      </w:r>
      <w:r>
        <w:rPr>
          <w:rFonts w:ascii="Times New Roman" w:hAnsi="Times New Roman" w:eastAsia="Times New Roman" w:cs="Times New Roman"/>
          <w:sz w:val="24"/>
          <w:szCs w:val="24"/>
        </w:rPr>
        <w:t>9</w:t>
      </w:r>
      <w:r>
        <w:rPr>
          <w:rFonts w:ascii="宋体" w:hAnsi="宋体" w:eastAsia="宋体" w:cs="宋体"/>
          <w:sz w:val="24"/>
          <w:szCs w:val="24"/>
        </w:rPr>
        <w:t>个乡镇集中式</w:t>
      </w:r>
      <w:r>
        <w:rPr>
          <w:rFonts w:ascii="宋体" w:hAnsi="宋体" w:eastAsia="宋体" w:cs="宋体"/>
          <w:spacing w:val="2"/>
          <w:sz w:val="24"/>
          <w:szCs w:val="24"/>
        </w:rPr>
        <w:t>饮用水水源保护区的批复》（内府函</w:t>
      </w:r>
      <w:r>
        <w:rPr>
          <w:rFonts w:ascii="Times New Roman" w:hAnsi="Times New Roman" w:eastAsia="Times New Roman" w:cs="Times New Roman"/>
          <w:spacing w:val="2"/>
          <w:sz w:val="24"/>
          <w:szCs w:val="24"/>
        </w:rPr>
        <w:t>[</w:t>
      </w:r>
      <w:r>
        <w:fldChar w:fldCharType="begin"/>
      </w:r>
      <w:r>
        <w:instrText xml:space="preserve"> HYPERLINK \l "bookmark76" </w:instrText>
      </w:r>
      <w:r>
        <w:fldChar w:fldCharType="separate"/>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121</w:t>
      </w:r>
      <w:r>
        <w:rPr>
          <w:rFonts w:ascii="宋体" w:hAnsi="宋体" w:eastAsia="宋体" w:cs="宋体"/>
          <w:spacing w:val="1"/>
          <w:sz w:val="24"/>
          <w:szCs w:val="24"/>
        </w:rPr>
        <w:t>号</w:t>
      </w:r>
      <w:r>
        <w:rPr>
          <w:rFonts w:ascii="宋体" w:hAnsi="宋体" w:eastAsia="宋体" w:cs="宋体"/>
          <w:spacing w:val="3"/>
          <w:sz w:val="24"/>
          <w:szCs w:val="24"/>
        </w:rPr>
        <w:t>）：</w:t>
      </w:r>
      <w:r>
        <w:rPr>
          <w:rFonts w:ascii="宋体" w:hAnsi="宋体" w:eastAsia="宋体" w:cs="宋体"/>
          <w:spacing w:val="1"/>
          <w:sz w:val="24"/>
          <w:szCs w:val="24"/>
        </w:rPr>
        <w:t>五桂溪汇入大清流河口至</w:t>
      </w:r>
      <w:r>
        <w:rPr>
          <w:rFonts w:ascii="宋体" w:hAnsi="宋体" w:eastAsia="宋体" w:cs="宋体"/>
          <w:spacing w:val="-3"/>
          <w:sz w:val="24"/>
          <w:szCs w:val="24"/>
        </w:rPr>
        <w:t>上游</w:t>
      </w:r>
      <w:r>
        <w:rPr>
          <w:rFonts w:ascii="Times New Roman" w:hAnsi="Times New Roman" w:eastAsia="Times New Roman" w:cs="Times New Roman"/>
          <w:spacing w:val="-3"/>
          <w:sz w:val="24"/>
          <w:szCs w:val="24"/>
        </w:rPr>
        <w:t>500m</w:t>
      </w:r>
      <w:r>
        <w:rPr>
          <w:rFonts w:ascii="宋体" w:hAnsi="宋体" w:eastAsia="宋体" w:cs="宋体"/>
          <w:spacing w:val="-3"/>
          <w:sz w:val="24"/>
          <w:szCs w:val="24"/>
        </w:rPr>
        <w:t>（白合至苏家公路桥）、白合至苏家公路桥至上游</w:t>
      </w:r>
      <w:r>
        <w:rPr>
          <w:rFonts w:ascii="Times New Roman" w:hAnsi="Times New Roman" w:eastAsia="Times New Roman" w:cs="Times New Roman"/>
          <w:spacing w:val="-3"/>
          <w:sz w:val="24"/>
          <w:szCs w:val="24"/>
        </w:rPr>
        <w:t>1000m</w:t>
      </w:r>
      <w:r>
        <w:rPr>
          <w:rFonts w:ascii="宋体" w:hAnsi="宋体" w:eastAsia="宋体" w:cs="宋体"/>
          <w:spacing w:val="-3"/>
          <w:sz w:val="24"/>
          <w:szCs w:val="24"/>
        </w:rPr>
        <w:t>（高板桥）的水域分别划为石子镇太和村饮用水水源保护区的一级保护区、二级保护区的水域</w:t>
      </w:r>
    </w:p>
    <w:p w14:paraId="3D29F915">
      <w:pPr>
        <w:spacing w:line="359" w:lineRule="auto"/>
        <w:rPr>
          <w:rFonts w:ascii="宋体" w:hAnsi="宋体" w:eastAsia="宋体" w:cs="宋体"/>
          <w:sz w:val="24"/>
          <w:szCs w:val="24"/>
        </w:rPr>
        <w:sectPr>
          <w:headerReference r:id="rId21" w:type="default"/>
          <w:footerReference r:id="rId22" w:type="default"/>
          <w:pgSz w:w="11905" w:h="16840"/>
          <w:pgMar w:top="1168" w:right="1730" w:bottom="1408" w:left="1770" w:header="828" w:footer="1244" w:gutter="0"/>
          <w:cols w:space="720" w:num="1"/>
        </w:sectPr>
      </w:pPr>
    </w:p>
    <w:p w14:paraId="621A8C8D">
      <w:pPr>
        <w:pStyle w:val="2"/>
        <w:spacing w:line="306" w:lineRule="auto"/>
      </w:pPr>
    </w:p>
    <w:p w14:paraId="6A0C35D8">
      <w:pPr>
        <w:spacing w:before="78" w:line="360" w:lineRule="auto"/>
        <w:ind w:left="40" w:firstLine="4"/>
        <w:rPr>
          <w:rFonts w:ascii="宋体" w:hAnsi="宋体" w:eastAsia="宋体" w:cs="宋体"/>
          <w:sz w:val="24"/>
          <w:szCs w:val="24"/>
        </w:rPr>
      </w:pPr>
      <w:r>
        <w:rPr>
          <w:rFonts w:ascii="宋体" w:hAnsi="宋体" w:eastAsia="宋体" w:cs="宋体"/>
          <w:spacing w:val="-2"/>
          <w:sz w:val="24"/>
          <w:szCs w:val="24"/>
        </w:rPr>
        <w:t>范围。五桂溪一级保护区陆域为水域边界沿岸纵深</w:t>
      </w:r>
      <w:r>
        <w:rPr>
          <w:rFonts w:ascii="Times New Roman" w:hAnsi="Times New Roman" w:eastAsia="Times New Roman" w:cs="Times New Roman"/>
          <w:spacing w:val="-2"/>
          <w:sz w:val="24"/>
          <w:szCs w:val="24"/>
        </w:rPr>
        <w:t>50m</w:t>
      </w:r>
      <w:r>
        <w:rPr>
          <w:rFonts w:ascii="宋体" w:hAnsi="宋体" w:eastAsia="宋体" w:cs="宋体"/>
          <w:spacing w:val="-2"/>
          <w:sz w:val="24"/>
          <w:szCs w:val="24"/>
        </w:rPr>
        <w:t>但不超过流域分水岭的陆域范围；二级保护区陆域为水域边界沿岸纵深</w:t>
      </w:r>
      <w:r>
        <w:rPr>
          <w:rFonts w:ascii="Times New Roman" w:hAnsi="Times New Roman" w:eastAsia="Times New Roman" w:cs="Times New Roman"/>
          <w:spacing w:val="-2"/>
          <w:sz w:val="24"/>
          <w:szCs w:val="24"/>
        </w:rPr>
        <w:t>1000m</w:t>
      </w:r>
      <w:r>
        <w:rPr>
          <w:rFonts w:ascii="宋体" w:hAnsi="宋体" w:eastAsia="宋体" w:cs="宋体"/>
          <w:spacing w:val="-2"/>
          <w:sz w:val="24"/>
          <w:szCs w:val="24"/>
        </w:rPr>
        <w:t>但不</w:t>
      </w:r>
      <w:r>
        <w:rPr>
          <w:rFonts w:ascii="宋体" w:hAnsi="宋体" w:eastAsia="宋体" w:cs="宋体"/>
          <w:spacing w:val="-3"/>
          <w:sz w:val="24"/>
          <w:szCs w:val="24"/>
        </w:rPr>
        <w:t>超过分水岭的陆域范围。</w:t>
      </w:r>
    </w:p>
    <w:p w14:paraId="41CD7713">
      <w:pPr>
        <w:spacing w:line="360" w:lineRule="auto"/>
        <w:ind w:left="43" w:right="206" w:firstLine="474"/>
        <w:rPr>
          <w:rFonts w:ascii="宋体" w:hAnsi="宋体" w:eastAsia="宋体" w:cs="宋体"/>
          <w:sz w:val="24"/>
          <w:szCs w:val="24"/>
        </w:rPr>
      </w:pPr>
      <w:r>
        <w:rPr>
          <w:rFonts w:ascii="宋体" w:hAnsi="宋体" w:eastAsia="宋体" w:cs="宋体"/>
          <w:spacing w:val="-9"/>
          <w:sz w:val="24"/>
          <w:szCs w:val="24"/>
        </w:rPr>
        <w:t>③大清流河位于项目东侧</w:t>
      </w:r>
      <w:r>
        <w:rPr>
          <w:rFonts w:ascii="Times New Roman" w:hAnsi="Times New Roman" w:eastAsia="Times New Roman" w:cs="Times New Roman"/>
          <w:spacing w:val="-9"/>
          <w:sz w:val="24"/>
          <w:szCs w:val="24"/>
        </w:rPr>
        <w:t>1040m</w:t>
      </w:r>
      <w:r>
        <w:rPr>
          <w:rFonts w:ascii="宋体" w:hAnsi="宋体" w:eastAsia="宋体" w:cs="宋体"/>
          <w:spacing w:val="-9"/>
          <w:sz w:val="24"/>
          <w:szCs w:val="24"/>
        </w:rPr>
        <w:t>，由北向南流，大清流河为饮用水源、灌溉、</w:t>
      </w:r>
      <w:r>
        <w:rPr>
          <w:rFonts w:ascii="宋体" w:hAnsi="宋体" w:eastAsia="宋体" w:cs="宋体"/>
          <w:spacing w:val="35"/>
          <w:sz w:val="24"/>
          <w:szCs w:val="24"/>
        </w:rPr>
        <w:t>行洪功能，现有白石联合集中供水站</w:t>
      </w:r>
      <w:r>
        <w:rPr>
          <w:rFonts w:ascii="宋体" w:hAnsi="宋体" w:eastAsia="宋体" w:cs="宋体"/>
          <w:spacing w:val="-71"/>
          <w:sz w:val="24"/>
          <w:szCs w:val="24"/>
        </w:rPr>
        <w:t xml:space="preserve"> </w:t>
      </w:r>
      <w:r>
        <w:rPr>
          <w:rFonts w:ascii="宋体" w:hAnsi="宋体" w:eastAsia="宋体" w:cs="宋体"/>
          <w:spacing w:val="35"/>
          <w:sz w:val="24"/>
          <w:szCs w:val="24"/>
        </w:rPr>
        <w:t>取水点位于石</w:t>
      </w:r>
      <w:r>
        <w:rPr>
          <w:rFonts w:ascii="宋体" w:hAnsi="宋体" w:eastAsia="宋体" w:cs="宋体"/>
          <w:spacing w:val="34"/>
          <w:sz w:val="24"/>
          <w:szCs w:val="24"/>
        </w:rPr>
        <w:t>子镇太和村双河口</w:t>
      </w:r>
      <w:r>
        <w:rPr>
          <w:rFonts w:ascii="宋体" w:hAnsi="宋体" w:eastAsia="宋体" w:cs="宋体"/>
          <w:spacing w:val="-2"/>
          <w:sz w:val="24"/>
          <w:szCs w:val="24"/>
        </w:rPr>
        <w:t>（</w:t>
      </w:r>
      <w:r>
        <w:rPr>
          <w:rFonts w:ascii="Times New Roman" w:hAnsi="Times New Roman" w:eastAsia="Times New Roman" w:cs="Times New Roman"/>
          <w:spacing w:val="-2"/>
          <w:sz w:val="24"/>
          <w:szCs w:val="24"/>
        </w:rPr>
        <w:t>29°41′1.05″N</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105°21′25.95″E</w:t>
      </w:r>
      <w:r>
        <w:rPr>
          <w:rFonts w:ascii="宋体" w:hAnsi="宋体" w:eastAsia="宋体" w:cs="宋体"/>
          <w:spacing w:val="1"/>
          <w:sz w:val="24"/>
          <w:szCs w:val="24"/>
        </w:rPr>
        <w:t>），</w:t>
      </w:r>
      <w:r>
        <w:rPr>
          <w:rFonts w:ascii="宋体" w:hAnsi="宋体" w:eastAsia="宋体" w:cs="宋体"/>
          <w:spacing w:val="-2"/>
          <w:sz w:val="24"/>
          <w:szCs w:val="24"/>
        </w:rPr>
        <w:t>地处大清流河右岸。</w:t>
      </w:r>
    </w:p>
    <w:p w14:paraId="6798A0D3">
      <w:pPr>
        <w:spacing w:before="9" w:line="359" w:lineRule="auto"/>
        <w:ind w:left="39" w:right="204" w:firstLine="480"/>
        <w:jc w:val="both"/>
        <w:rPr>
          <w:rFonts w:ascii="宋体" w:hAnsi="宋体" w:eastAsia="宋体" w:cs="宋体"/>
          <w:sz w:val="24"/>
          <w:szCs w:val="24"/>
        </w:rPr>
      </w:pPr>
      <w:r>
        <w:rPr>
          <w:rFonts w:ascii="宋体" w:hAnsi="宋体" w:eastAsia="宋体" w:cs="宋体"/>
          <w:sz w:val="24"/>
          <w:szCs w:val="24"/>
        </w:rPr>
        <w:t>根据《内江市人民政府关于同意调整划定东兴区小河口镇等</w:t>
      </w:r>
      <w:r>
        <w:rPr>
          <w:rFonts w:ascii="Times New Roman" w:hAnsi="Times New Roman" w:eastAsia="Times New Roman" w:cs="Times New Roman"/>
          <w:sz w:val="24"/>
          <w:szCs w:val="24"/>
        </w:rPr>
        <w:t>9</w:t>
      </w:r>
      <w:r>
        <w:rPr>
          <w:rFonts w:ascii="宋体" w:hAnsi="宋体" w:eastAsia="宋体" w:cs="宋体"/>
          <w:sz w:val="24"/>
          <w:szCs w:val="24"/>
        </w:rPr>
        <w:t>个乡镇集中式饮用水水源保护区的批复》（内府函</w:t>
      </w:r>
      <w:r>
        <w:rPr>
          <w:rFonts w:ascii="Times New Roman" w:hAnsi="Times New Roman" w:eastAsia="Times New Roman" w:cs="Times New Roman"/>
          <w:sz w:val="24"/>
          <w:szCs w:val="24"/>
        </w:rPr>
        <w:t>[</w:t>
      </w:r>
      <w:r>
        <w:fldChar w:fldCharType="begin"/>
      </w:r>
      <w:r>
        <w:instrText xml:space="preserve"> HYPERLINK \l "bookmark77" </w:instrText>
      </w:r>
      <w:r>
        <w:fldChar w:fldCharType="separate"/>
      </w:r>
      <w:r>
        <w:rPr>
          <w:rFonts w:ascii="Times New Roman" w:hAnsi="Times New Roman" w:eastAsia="Times New Roman" w:cs="Times New Roman"/>
          <w:sz w:val="24"/>
          <w:szCs w:val="24"/>
        </w:rPr>
        <w:t>2019</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121</w:t>
      </w:r>
      <w:r>
        <w:rPr>
          <w:rFonts w:ascii="宋体" w:hAnsi="宋体" w:eastAsia="宋体" w:cs="宋体"/>
          <w:sz w:val="24"/>
          <w:szCs w:val="24"/>
        </w:rPr>
        <w:t>号</w:t>
      </w:r>
      <w:r>
        <w:rPr>
          <w:rFonts w:ascii="宋体" w:hAnsi="宋体" w:eastAsia="宋体" w:cs="宋体"/>
          <w:spacing w:val="1"/>
          <w:sz w:val="24"/>
          <w:szCs w:val="24"/>
        </w:rPr>
        <w:t>）：</w:t>
      </w:r>
      <w:r>
        <w:rPr>
          <w:rFonts w:ascii="宋体" w:hAnsi="宋体" w:eastAsia="宋体" w:cs="宋体"/>
          <w:sz w:val="24"/>
          <w:szCs w:val="24"/>
        </w:rPr>
        <w:t>大清流河取水口下游</w:t>
      </w:r>
      <w:r>
        <w:rPr>
          <w:rFonts w:ascii="Times New Roman" w:hAnsi="Times New Roman" w:eastAsia="Times New Roman" w:cs="Times New Roman"/>
          <w:sz w:val="24"/>
          <w:szCs w:val="24"/>
        </w:rPr>
        <w:t>100m</w:t>
      </w:r>
      <w:r>
        <w:rPr>
          <w:rFonts w:ascii="宋体" w:hAnsi="宋体" w:eastAsia="宋体" w:cs="宋体"/>
          <w:spacing w:val="-1"/>
          <w:sz w:val="24"/>
          <w:szCs w:val="24"/>
        </w:rPr>
        <w:t>至上游</w:t>
      </w:r>
      <w:r>
        <w:rPr>
          <w:rFonts w:ascii="Times New Roman" w:hAnsi="Times New Roman" w:eastAsia="Times New Roman" w:cs="Times New Roman"/>
          <w:spacing w:val="-1"/>
          <w:sz w:val="24"/>
          <w:szCs w:val="24"/>
        </w:rPr>
        <w:t>1020m</w:t>
      </w:r>
      <w:r>
        <w:rPr>
          <w:rFonts w:ascii="宋体" w:hAnsi="宋体" w:eastAsia="宋体" w:cs="宋体"/>
          <w:spacing w:val="-1"/>
          <w:sz w:val="24"/>
          <w:szCs w:val="24"/>
        </w:rPr>
        <w:t>（赶场坝小桥）划为一级保护区水</w:t>
      </w:r>
      <w:r>
        <w:rPr>
          <w:rFonts w:ascii="宋体" w:hAnsi="宋体" w:eastAsia="宋体" w:cs="宋体"/>
          <w:spacing w:val="-2"/>
          <w:sz w:val="24"/>
          <w:szCs w:val="24"/>
        </w:rPr>
        <w:t>域，一级保护区下游边界向下游</w:t>
      </w:r>
      <w:r>
        <w:rPr>
          <w:rFonts w:ascii="宋体" w:hAnsi="宋体" w:eastAsia="宋体" w:cs="宋体"/>
          <w:spacing w:val="-3"/>
          <w:sz w:val="24"/>
          <w:szCs w:val="24"/>
        </w:rPr>
        <w:t>延伸</w:t>
      </w:r>
      <w:r>
        <w:rPr>
          <w:rFonts w:ascii="Times New Roman" w:hAnsi="Times New Roman" w:eastAsia="Times New Roman" w:cs="Times New Roman"/>
          <w:spacing w:val="-3"/>
          <w:sz w:val="24"/>
          <w:szCs w:val="24"/>
        </w:rPr>
        <w:t>200m</w:t>
      </w:r>
      <w:r>
        <w:rPr>
          <w:rFonts w:ascii="宋体" w:hAnsi="宋体" w:eastAsia="宋体" w:cs="宋体"/>
          <w:spacing w:val="-3"/>
          <w:sz w:val="24"/>
          <w:szCs w:val="24"/>
        </w:rPr>
        <w:t>、一级保护区上游边界向上游延伸</w:t>
      </w:r>
      <w:r>
        <w:rPr>
          <w:rFonts w:ascii="Times New Roman" w:hAnsi="Times New Roman" w:eastAsia="Times New Roman" w:cs="Times New Roman"/>
          <w:spacing w:val="-3"/>
          <w:sz w:val="24"/>
          <w:szCs w:val="24"/>
        </w:rPr>
        <w:t>2000m</w:t>
      </w:r>
      <w:r>
        <w:rPr>
          <w:rFonts w:ascii="宋体" w:hAnsi="宋体" w:eastAsia="宋体" w:cs="宋体"/>
          <w:spacing w:val="-3"/>
          <w:sz w:val="24"/>
          <w:szCs w:val="24"/>
        </w:rPr>
        <w:t>的河道水域划为二级保护区的</w:t>
      </w:r>
      <w:r>
        <w:rPr>
          <w:rFonts w:ascii="宋体" w:hAnsi="宋体" w:eastAsia="宋体" w:cs="宋体"/>
          <w:spacing w:val="-1"/>
          <w:sz w:val="24"/>
          <w:szCs w:val="24"/>
        </w:rPr>
        <w:t>水域范围。大清流河一级保护区陆域为水域边界</w:t>
      </w:r>
      <w:r>
        <w:rPr>
          <w:rFonts w:ascii="宋体" w:hAnsi="宋体" w:eastAsia="宋体" w:cs="宋体"/>
          <w:spacing w:val="-2"/>
          <w:sz w:val="24"/>
          <w:szCs w:val="24"/>
        </w:rPr>
        <w:t>沿岸纵深</w:t>
      </w:r>
      <w:r>
        <w:rPr>
          <w:rFonts w:ascii="Times New Roman" w:hAnsi="Times New Roman" w:eastAsia="Times New Roman" w:cs="Times New Roman"/>
          <w:spacing w:val="-2"/>
          <w:sz w:val="24"/>
          <w:szCs w:val="24"/>
        </w:rPr>
        <w:t>50m</w:t>
      </w:r>
      <w:r>
        <w:rPr>
          <w:rFonts w:ascii="宋体" w:hAnsi="宋体" w:eastAsia="宋体" w:cs="宋体"/>
          <w:spacing w:val="-2"/>
          <w:sz w:val="24"/>
          <w:szCs w:val="24"/>
        </w:rPr>
        <w:t>但不超过流域分水</w:t>
      </w:r>
      <w:r>
        <w:rPr>
          <w:rFonts w:ascii="宋体" w:hAnsi="宋体" w:eastAsia="宋体" w:cs="宋体"/>
          <w:spacing w:val="-1"/>
          <w:sz w:val="24"/>
          <w:szCs w:val="24"/>
        </w:rPr>
        <w:t>岭的陆域范围；二级保护区陆域为水域边界沿岸纵深</w:t>
      </w:r>
      <w:r>
        <w:rPr>
          <w:rFonts w:ascii="Times New Roman" w:hAnsi="Times New Roman" w:eastAsia="Times New Roman" w:cs="Times New Roman"/>
          <w:spacing w:val="-2"/>
          <w:sz w:val="24"/>
          <w:szCs w:val="24"/>
        </w:rPr>
        <w:t>1000m</w:t>
      </w:r>
      <w:r>
        <w:rPr>
          <w:rFonts w:ascii="宋体" w:hAnsi="宋体" w:eastAsia="宋体" w:cs="宋体"/>
          <w:spacing w:val="-2"/>
          <w:sz w:val="24"/>
          <w:szCs w:val="24"/>
        </w:rPr>
        <w:t>但不超过流域分水岭</w:t>
      </w:r>
      <w:r>
        <w:rPr>
          <w:rFonts w:ascii="宋体" w:hAnsi="宋体" w:eastAsia="宋体" w:cs="宋体"/>
          <w:spacing w:val="-9"/>
          <w:sz w:val="24"/>
          <w:szCs w:val="24"/>
        </w:rPr>
        <w:t>的范围。</w:t>
      </w:r>
    </w:p>
    <w:p w14:paraId="54664F18">
      <w:pPr>
        <w:spacing w:line="360" w:lineRule="auto"/>
        <w:ind w:left="40" w:right="143" w:firstLine="477"/>
        <w:rPr>
          <w:rFonts w:ascii="宋体" w:hAnsi="宋体" w:eastAsia="宋体" w:cs="宋体"/>
          <w:sz w:val="24"/>
          <w:szCs w:val="24"/>
        </w:rPr>
      </w:pPr>
      <w:r>
        <w:rPr>
          <w:rFonts w:ascii="宋体" w:hAnsi="宋体" w:eastAsia="宋体" w:cs="宋体"/>
          <w:spacing w:val="-3"/>
          <w:sz w:val="24"/>
          <w:szCs w:val="24"/>
        </w:rPr>
        <w:t>④本项目不在石子镇太和村饮用水水源保护区和汇水范围内，根据</w:t>
      </w:r>
      <w:r>
        <w:rPr>
          <w:rFonts w:ascii="宋体" w:hAnsi="宋体" w:eastAsia="宋体" w:cs="宋体"/>
          <w:spacing w:val="-4"/>
          <w:sz w:val="24"/>
          <w:szCs w:val="24"/>
        </w:rPr>
        <w:t>现场踏勘</w:t>
      </w:r>
      <w:r>
        <w:rPr>
          <w:rFonts w:ascii="宋体" w:hAnsi="宋体" w:eastAsia="宋体" w:cs="宋体"/>
          <w:sz w:val="24"/>
          <w:szCs w:val="24"/>
        </w:rPr>
        <w:t>和测量结果，本项目与现有白石联合集中供水站取水点最近直线距离约</w:t>
      </w:r>
      <w:r>
        <w:rPr>
          <w:rFonts w:ascii="Times New Roman" w:hAnsi="Times New Roman" w:eastAsia="Times New Roman" w:cs="Times New Roman"/>
          <w:sz w:val="24"/>
          <w:szCs w:val="24"/>
        </w:rPr>
        <w:t>1054m</w:t>
      </w:r>
      <w:r>
        <w:rPr>
          <w:rFonts w:ascii="宋体" w:hAnsi="宋体" w:eastAsia="宋体" w:cs="宋体"/>
          <w:sz w:val="24"/>
          <w:szCs w:val="24"/>
        </w:rPr>
        <w:t>；本项目与五桂溪一级保护区最近直线距离</w:t>
      </w:r>
      <w:r>
        <w:rPr>
          <w:rFonts w:ascii="Times New Roman" w:hAnsi="Times New Roman" w:eastAsia="Times New Roman" w:cs="Times New Roman"/>
          <w:sz w:val="24"/>
          <w:szCs w:val="24"/>
        </w:rPr>
        <w:t>701.90m</w:t>
      </w:r>
      <w:r>
        <w:rPr>
          <w:rFonts w:ascii="宋体" w:hAnsi="宋体" w:eastAsia="宋体" w:cs="宋体"/>
          <w:sz w:val="24"/>
          <w:szCs w:val="24"/>
        </w:rPr>
        <w:t>、与五桂溪二级保护区最</w:t>
      </w:r>
      <w:r>
        <w:rPr>
          <w:rFonts w:ascii="宋体" w:hAnsi="宋体" w:eastAsia="宋体" w:cs="宋体"/>
          <w:spacing w:val="-1"/>
          <w:sz w:val="24"/>
          <w:szCs w:val="24"/>
        </w:rPr>
        <w:t>近直线距离</w:t>
      </w:r>
      <w:r>
        <w:rPr>
          <w:rFonts w:ascii="Times New Roman" w:hAnsi="Times New Roman" w:eastAsia="Times New Roman" w:cs="Times New Roman"/>
          <w:spacing w:val="-1"/>
          <w:sz w:val="24"/>
          <w:szCs w:val="24"/>
        </w:rPr>
        <w:t>12.28m</w:t>
      </w:r>
      <w:r>
        <w:rPr>
          <w:rFonts w:ascii="宋体" w:hAnsi="宋体" w:eastAsia="宋体" w:cs="宋体"/>
          <w:spacing w:val="-1"/>
          <w:sz w:val="24"/>
          <w:szCs w:val="24"/>
        </w:rPr>
        <w:t>。</w:t>
      </w:r>
    </w:p>
    <w:p w14:paraId="7140B35E">
      <w:pPr>
        <w:spacing w:line="360" w:lineRule="auto"/>
        <w:ind w:left="39" w:right="204" w:firstLine="478"/>
        <w:rPr>
          <w:rFonts w:ascii="宋体" w:hAnsi="宋体" w:eastAsia="宋体" w:cs="宋体"/>
          <w:sz w:val="24"/>
          <w:szCs w:val="24"/>
        </w:rPr>
      </w:pPr>
      <w:r>
        <w:rPr>
          <w:rFonts w:ascii="宋体" w:hAnsi="宋体" w:eastAsia="宋体" w:cs="宋体"/>
          <w:spacing w:val="-5"/>
          <w:sz w:val="24"/>
          <w:szCs w:val="24"/>
        </w:rPr>
        <w:t>⑤根据内江市生态环境局发布的《</w:t>
      </w:r>
      <w:r>
        <w:rPr>
          <w:rFonts w:ascii="Times New Roman" w:hAnsi="Times New Roman" w:eastAsia="Times New Roman" w:cs="Times New Roman"/>
          <w:spacing w:val="-5"/>
          <w:sz w:val="24"/>
          <w:szCs w:val="24"/>
        </w:rPr>
        <w:t>2022</w:t>
      </w:r>
      <w:r>
        <w:rPr>
          <w:rFonts w:ascii="宋体" w:hAnsi="宋体" w:eastAsia="宋体" w:cs="宋体"/>
          <w:spacing w:val="-5"/>
          <w:sz w:val="24"/>
          <w:szCs w:val="24"/>
        </w:rPr>
        <w:t>年度内江市环境质量</w:t>
      </w:r>
      <w:r>
        <w:rPr>
          <w:rFonts w:ascii="宋体" w:hAnsi="宋体" w:eastAsia="宋体" w:cs="宋体"/>
          <w:spacing w:val="-6"/>
          <w:sz w:val="24"/>
          <w:szCs w:val="24"/>
        </w:rPr>
        <w:t>状况公报》，</w:t>
      </w:r>
      <w:r>
        <w:rPr>
          <w:rFonts w:ascii="宋体" w:hAnsi="宋体" w:eastAsia="宋体" w:cs="宋体"/>
          <w:spacing w:val="-41"/>
          <w:sz w:val="24"/>
          <w:szCs w:val="24"/>
        </w:rPr>
        <w:t xml:space="preserve"> </w:t>
      </w:r>
      <w:r>
        <w:rPr>
          <w:rFonts w:ascii="宋体" w:hAnsi="宋体" w:eastAsia="宋体" w:cs="宋体"/>
          <w:spacing w:val="-6"/>
          <w:sz w:val="24"/>
          <w:szCs w:val="24"/>
        </w:rPr>
        <w:t>大</w:t>
      </w:r>
      <w:r>
        <w:rPr>
          <w:rFonts w:ascii="宋体" w:hAnsi="宋体" w:eastAsia="宋体" w:cs="宋体"/>
          <w:sz w:val="24"/>
          <w:szCs w:val="24"/>
        </w:rPr>
        <w:t>清流河</w:t>
      </w:r>
      <w:r>
        <w:rPr>
          <w:rFonts w:ascii="Times New Roman" w:hAnsi="Times New Roman" w:eastAsia="Times New Roman" w:cs="Times New Roman"/>
          <w:sz w:val="24"/>
          <w:szCs w:val="24"/>
        </w:rPr>
        <w:t>7</w:t>
      </w:r>
      <w:r>
        <w:rPr>
          <w:rFonts w:ascii="宋体" w:hAnsi="宋体" w:eastAsia="宋体" w:cs="宋体"/>
          <w:sz w:val="24"/>
          <w:szCs w:val="24"/>
        </w:rPr>
        <w:t>个断面均达到Ⅲ类水质，而根据东兴生态环境局</w:t>
      </w:r>
      <w:r>
        <w:rPr>
          <w:rFonts w:ascii="Times New Roman" w:hAnsi="Times New Roman" w:eastAsia="Times New Roman" w:cs="Times New Roman"/>
          <w:sz w:val="24"/>
          <w:szCs w:val="24"/>
        </w:rPr>
        <w:t>2022</w:t>
      </w:r>
      <w:r>
        <w:rPr>
          <w:rFonts w:ascii="宋体" w:hAnsi="宋体" w:eastAsia="宋体" w:cs="宋体"/>
          <w:sz w:val="24"/>
          <w:szCs w:val="24"/>
        </w:rPr>
        <w:t>年对五桂溪水质监</w:t>
      </w:r>
      <w:r>
        <w:rPr>
          <w:rFonts w:ascii="宋体" w:hAnsi="宋体" w:eastAsia="宋体" w:cs="宋体"/>
          <w:spacing w:val="-1"/>
          <w:sz w:val="24"/>
          <w:szCs w:val="24"/>
        </w:rPr>
        <w:t>测结果表明，五桂溪不能达到</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类水质标准，在个别月份甚至为劣</w:t>
      </w:r>
      <w:r>
        <w:rPr>
          <w:rFonts w:ascii="Times New Roman" w:hAnsi="Times New Roman" w:eastAsia="Times New Roman" w:cs="Times New Roman"/>
          <w:spacing w:val="-1"/>
          <w:sz w:val="24"/>
          <w:szCs w:val="24"/>
        </w:rPr>
        <w:t>Ⅴ</w:t>
      </w:r>
      <w:r>
        <w:rPr>
          <w:rFonts w:ascii="宋体" w:hAnsi="宋体" w:eastAsia="宋体" w:cs="宋体"/>
          <w:spacing w:val="-1"/>
          <w:sz w:val="24"/>
          <w:szCs w:val="24"/>
        </w:rPr>
        <w:t>类水质，严</w:t>
      </w:r>
      <w:r>
        <w:rPr>
          <w:rFonts w:ascii="宋体" w:hAnsi="宋体" w:eastAsia="宋体" w:cs="宋体"/>
          <w:spacing w:val="-3"/>
          <w:sz w:val="24"/>
          <w:szCs w:val="24"/>
        </w:rPr>
        <w:t>重影响了白石联合集中供水站取水点的取水安全。白石联合集中供水站是东兴区城乡供水一体化骨干水厂之一，取水安全对保障白合镇、石子镇等片区的农村饮</w:t>
      </w:r>
      <w:r>
        <w:rPr>
          <w:rFonts w:ascii="宋体" w:hAnsi="宋体" w:eastAsia="宋体" w:cs="宋体"/>
          <w:spacing w:val="-5"/>
          <w:sz w:val="24"/>
          <w:szCs w:val="24"/>
        </w:rPr>
        <w:t>水问题至关重要。</w:t>
      </w:r>
    </w:p>
    <w:p w14:paraId="019B36F9">
      <w:pPr>
        <w:spacing w:line="360" w:lineRule="auto"/>
        <w:ind w:left="44" w:right="203" w:firstLine="470"/>
        <w:jc w:val="both"/>
        <w:rPr>
          <w:rFonts w:ascii="宋体" w:hAnsi="宋体" w:eastAsia="宋体" w:cs="宋体"/>
          <w:sz w:val="24"/>
          <w:szCs w:val="24"/>
        </w:rPr>
      </w:pPr>
      <w:r>
        <w:rPr>
          <w:rFonts w:ascii="Times New Roman" w:hAnsi="Times New Roman" w:eastAsia="Times New Roman" w:cs="Times New Roman"/>
          <w:spacing w:val="1"/>
          <w:sz w:val="24"/>
          <w:szCs w:val="24"/>
        </w:rPr>
        <w:t>2023</w:t>
      </w:r>
      <w:r>
        <w:rPr>
          <w:rFonts w:ascii="宋体" w:hAnsi="宋体" w:eastAsia="宋体" w:cs="宋体"/>
          <w:spacing w:val="1"/>
          <w:sz w:val="24"/>
          <w:szCs w:val="24"/>
        </w:rPr>
        <w:t>年</w:t>
      </w:r>
      <w:r>
        <w:rPr>
          <w:rFonts w:ascii="Times New Roman" w:hAnsi="Times New Roman" w:eastAsia="Times New Roman" w:cs="Times New Roman"/>
          <w:spacing w:val="1"/>
          <w:sz w:val="24"/>
          <w:szCs w:val="24"/>
        </w:rPr>
        <w:t>2</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20</w:t>
      </w:r>
      <w:r>
        <w:rPr>
          <w:rFonts w:ascii="宋体" w:hAnsi="宋体" w:eastAsia="宋体" w:cs="宋体"/>
          <w:spacing w:val="1"/>
          <w:sz w:val="24"/>
          <w:szCs w:val="24"/>
        </w:rPr>
        <w:t>日，内江市东兴区水利局、</w:t>
      </w:r>
      <w:r>
        <w:rPr>
          <w:rFonts w:ascii="宋体" w:hAnsi="宋体" w:eastAsia="宋体" w:cs="宋体"/>
          <w:sz w:val="24"/>
          <w:szCs w:val="24"/>
        </w:rPr>
        <w:t>内江市东兴生态环境局联合向东兴区人民政府请示向上游迁移白石联合集中供水站取水泵房，</w:t>
      </w:r>
      <w:r>
        <w:rPr>
          <w:rFonts w:ascii="Times New Roman" w:hAnsi="Times New Roman" w:eastAsia="Times New Roman" w:cs="Times New Roman"/>
          <w:sz w:val="24"/>
          <w:szCs w:val="24"/>
        </w:rPr>
        <w:t>2023</w:t>
      </w:r>
      <w:r>
        <w:rPr>
          <w:rFonts w:ascii="宋体" w:hAnsi="宋体" w:eastAsia="宋体" w:cs="宋体"/>
          <w:sz w:val="24"/>
          <w:szCs w:val="24"/>
        </w:rPr>
        <w:t>年</w:t>
      </w:r>
      <w:r>
        <w:rPr>
          <w:rFonts w:ascii="Times New Roman" w:hAnsi="Times New Roman" w:eastAsia="Times New Roman" w:cs="Times New Roman"/>
          <w:sz w:val="24"/>
          <w:szCs w:val="24"/>
        </w:rPr>
        <w:t>2</w:t>
      </w:r>
      <w:r>
        <w:rPr>
          <w:rFonts w:ascii="宋体" w:hAnsi="宋体" w:eastAsia="宋体" w:cs="宋体"/>
          <w:sz w:val="24"/>
          <w:szCs w:val="24"/>
        </w:rPr>
        <w:t>月</w:t>
      </w:r>
      <w:r>
        <w:rPr>
          <w:rFonts w:ascii="Times New Roman" w:hAnsi="Times New Roman" w:eastAsia="Times New Roman" w:cs="Times New Roman"/>
          <w:sz w:val="24"/>
          <w:szCs w:val="24"/>
        </w:rPr>
        <w:t>27</w:t>
      </w:r>
      <w:r>
        <w:rPr>
          <w:rFonts w:ascii="宋体" w:hAnsi="宋体" w:eastAsia="宋体" w:cs="宋体"/>
          <w:sz w:val="24"/>
          <w:szCs w:val="24"/>
        </w:rPr>
        <w:t>日取得</w:t>
      </w:r>
      <w:r>
        <w:rPr>
          <w:rFonts w:ascii="宋体" w:hAnsi="宋体" w:eastAsia="宋体" w:cs="宋体"/>
          <w:spacing w:val="-3"/>
          <w:sz w:val="24"/>
          <w:szCs w:val="24"/>
        </w:rPr>
        <w:t>区长同意批示，目前取水泵房迁移工作正在进行泵房选址、设计及取水</w:t>
      </w:r>
      <w:r>
        <w:rPr>
          <w:rFonts w:ascii="宋体" w:hAnsi="宋体" w:eastAsia="宋体" w:cs="宋体"/>
          <w:spacing w:val="-4"/>
          <w:sz w:val="24"/>
          <w:szCs w:val="24"/>
        </w:rPr>
        <w:t>许可手续</w:t>
      </w:r>
      <w:r>
        <w:rPr>
          <w:rFonts w:ascii="宋体" w:hAnsi="宋体" w:eastAsia="宋体" w:cs="宋体"/>
          <w:spacing w:val="-11"/>
          <w:sz w:val="24"/>
          <w:szCs w:val="24"/>
        </w:rPr>
        <w:t>办理。</w:t>
      </w:r>
    </w:p>
    <w:p w14:paraId="61EEA40F">
      <w:pPr>
        <w:spacing w:before="1" w:line="361" w:lineRule="auto"/>
        <w:ind w:left="38" w:right="203" w:firstLine="480"/>
        <w:jc w:val="both"/>
        <w:rPr>
          <w:rFonts w:ascii="宋体" w:hAnsi="宋体" w:eastAsia="宋体" w:cs="宋体"/>
          <w:sz w:val="24"/>
          <w:szCs w:val="24"/>
        </w:rPr>
      </w:pPr>
      <w:r>
        <w:rPr>
          <w:rFonts w:ascii="宋体" w:hAnsi="宋体" w:eastAsia="宋体" w:cs="宋体"/>
          <w:spacing w:val="12"/>
          <w:sz w:val="24"/>
          <w:szCs w:val="24"/>
        </w:rPr>
        <w:t>根据白石联合集中供水站取水泵房设计资料，取水泵房在现址向上迁移</w:t>
      </w:r>
      <w:r>
        <w:rPr>
          <w:rFonts w:ascii="Times New Roman" w:hAnsi="Times New Roman" w:eastAsia="Times New Roman" w:cs="Times New Roman"/>
          <w:sz w:val="24"/>
          <w:szCs w:val="24"/>
        </w:rPr>
        <w:t>742m</w:t>
      </w:r>
      <w:r>
        <w:rPr>
          <w:rFonts w:ascii="宋体" w:hAnsi="宋体" w:eastAsia="宋体" w:cs="宋体"/>
          <w:sz w:val="24"/>
          <w:szCs w:val="24"/>
        </w:rPr>
        <w:t>，泵房选址于大清流河右岸，与下游五桂溪距离约</w:t>
      </w:r>
      <w:r>
        <w:rPr>
          <w:rFonts w:ascii="Times New Roman" w:hAnsi="Times New Roman" w:eastAsia="Times New Roman" w:cs="Times New Roman"/>
          <w:sz w:val="24"/>
          <w:szCs w:val="24"/>
        </w:rPr>
        <w:t>647m</w:t>
      </w:r>
      <w:r>
        <w:rPr>
          <w:rFonts w:ascii="宋体" w:hAnsi="宋体" w:eastAsia="宋体" w:cs="宋体"/>
          <w:sz w:val="24"/>
          <w:szCs w:val="24"/>
        </w:rPr>
        <w:t>。</w:t>
      </w:r>
      <w:r>
        <w:rPr>
          <w:rFonts w:ascii="宋体" w:hAnsi="宋体" w:eastAsia="宋体" w:cs="宋体"/>
          <w:spacing w:val="-1"/>
          <w:sz w:val="24"/>
          <w:szCs w:val="24"/>
        </w:rPr>
        <w:t>按照《饮用水水</w:t>
      </w:r>
      <w:r>
        <w:rPr>
          <w:rFonts w:ascii="宋体" w:hAnsi="宋体" w:eastAsia="宋体" w:cs="宋体"/>
          <w:spacing w:val="-9"/>
          <w:sz w:val="24"/>
          <w:szCs w:val="24"/>
        </w:rPr>
        <w:t>源保护区划分技术规范》（</w:t>
      </w:r>
      <w:r>
        <w:rPr>
          <w:rFonts w:ascii="Times New Roman" w:hAnsi="Times New Roman" w:eastAsia="Times New Roman" w:cs="Times New Roman"/>
          <w:spacing w:val="-9"/>
          <w:sz w:val="24"/>
          <w:szCs w:val="24"/>
        </w:rPr>
        <w:t>HJ338-2018</w:t>
      </w:r>
      <w:r>
        <w:rPr>
          <w:rFonts w:ascii="宋体" w:hAnsi="宋体" w:eastAsia="宋体" w:cs="宋体"/>
          <w:spacing w:val="-9"/>
          <w:sz w:val="24"/>
          <w:szCs w:val="24"/>
        </w:rPr>
        <w:t>）对河流</w:t>
      </w:r>
      <w:r>
        <w:rPr>
          <w:rFonts w:ascii="宋体" w:hAnsi="宋体" w:eastAsia="宋体" w:cs="宋体"/>
          <w:spacing w:val="-10"/>
          <w:sz w:val="24"/>
          <w:szCs w:val="24"/>
        </w:rPr>
        <w:t>型饮用水水源保护区的划分规定：</w:t>
      </w:r>
    </w:p>
    <w:p w14:paraId="368F8ABE">
      <w:pPr>
        <w:spacing w:line="361" w:lineRule="auto"/>
        <w:rPr>
          <w:rFonts w:ascii="宋体" w:hAnsi="宋体" w:eastAsia="宋体" w:cs="宋体"/>
          <w:sz w:val="24"/>
          <w:szCs w:val="24"/>
        </w:rPr>
        <w:sectPr>
          <w:headerReference r:id="rId23" w:type="default"/>
          <w:footerReference r:id="rId24" w:type="default"/>
          <w:pgSz w:w="11905" w:h="16840"/>
          <w:pgMar w:top="1168" w:right="1592" w:bottom="1409" w:left="1770" w:header="828" w:footer="1244" w:gutter="0"/>
          <w:cols w:space="720" w:num="1"/>
        </w:sectPr>
      </w:pPr>
    </w:p>
    <w:p w14:paraId="79FDE468">
      <w:pPr>
        <w:pStyle w:val="2"/>
        <w:spacing w:line="306" w:lineRule="auto"/>
      </w:pPr>
    </w:p>
    <w:p w14:paraId="66F21029">
      <w:pPr>
        <w:spacing w:before="78" w:line="360" w:lineRule="auto"/>
        <w:ind w:left="38" w:firstLine="4"/>
        <w:jc w:val="both"/>
        <w:rPr>
          <w:rFonts w:ascii="宋体" w:hAnsi="宋体" w:eastAsia="宋体" w:cs="宋体"/>
          <w:sz w:val="24"/>
          <w:szCs w:val="24"/>
        </w:rPr>
      </w:pPr>
      <w:r>
        <w:rPr>
          <w:rFonts w:ascii="宋体" w:hAnsi="宋体" w:eastAsia="宋体" w:cs="宋体"/>
          <w:spacing w:val="-3"/>
          <w:sz w:val="24"/>
          <w:szCs w:val="24"/>
        </w:rPr>
        <w:t>一级保护区水域长度为取水口上游不小于</w:t>
      </w:r>
      <w:r>
        <w:rPr>
          <w:rFonts w:ascii="Times New Roman" w:hAnsi="Times New Roman" w:eastAsia="Times New Roman" w:cs="Times New Roman"/>
          <w:spacing w:val="-3"/>
          <w:sz w:val="24"/>
          <w:szCs w:val="24"/>
        </w:rPr>
        <w:t>1000m</w:t>
      </w:r>
      <w:r>
        <w:rPr>
          <w:rFonts w:ascii="宋体" w:hAnsi="宋体" w:eastAsia="宋体" w:cs="宋体"/>
          <w:spacing w:val="-3"/>
          <w:sz w:val="24"/>
          <w:szCs w:val="24"/>
        </w:rPr>
        <w:t>，下游不小于</w:t>
      </w:r>
      <w:r>
        <w:rPr>
          <w:rFonts w:ascii="Times New Roman" w:hAnsi="Times New Roman" w:eastAsia="Times New Roman" w:cs="Times New Roman"/>
          <w:spacing w:val="-3"/>
          <w:sz w:val="24"/>
          <w:szCs w:val="24"/>
        </w:rPr>
        <w:t>100m</w:t>
      </w:r>
      <w:r>
        <w:rPr>
          <w:rFonts w:ascii="宋体" w:hAnsi="宋体" w:eastAsia="宋体" w:cs="宋体"/>
          <w:spacing w:val="-3"/>
          <w:sz w:val="24"/>
          <w:szCs w:val="24"/>
        </w:rPr>
        <w:t>范</w:t>
      </w:r>
      <w:r>
        <w:rPr>
          <w:rFonts w:ascii="宋体" w:hAnsi="宋体" w:eastAsia="宋体" w:cs="宋体"/>
          <w:spacing w:val="-4"/>
          <w:sz w:val="24"/>
          <w:szCs w:val="24"/>
        </w:rPr>
        <w:t>围内的河道</w:t>
      </w:r>
      <w:r>
        <w:rPr>
          <w:rFonts w:ascii="宋体" w:hAnsi="宋体" w:eastAsia="宋体" w:cs="宋体"/>
          <w:sz w:val="24"/>
          <w:szCs w:val="24"/>
        </w:rPr>
        <w:t>水域；二级保护区长度从一级保护区的上游边界向上游（包括汇入的上游支流）延伸不小于</w:t>
      </w:r>
      <w:r>
        <w:rPr>
          <w:rFonts w:ascii="Times New Roman" w:hAnsi="Times New Roman" w:eastAsia="Times New Roman" w:cs="Times New Roman"/>
          <w:sz w:val="24"/>
          <w:szCs w:val="24"/>
        </w:rPr>
        <w:t>2000m</w:t>
      </w:r>
      <w:r>
        <w:rPr>
          <w:rFonts w:ascii="宋体" w:hAnsi="宋体" w:eastAsia="宋体" w:cs="宋体"/>
          <w:sz w:val="24"/>
          <w:szCs w:val="24"/>
        </w:rPr>
        <w:t>，下游侧的外边界距一级保护区边界不</w:t>
      </w:r>
      <w:r>
        <w:rPr>
          <w:rFonts w:ascii="宋体" w:hAnsi="宋体" w:eastAsia="宋体" w:cs="宋体"/>
          <w:spacing w:val="-1"/>
          <w:sz w:val="24"/>
          <w:szCs w:val="24"/>
        </w:rPr>
        <w:t>小于</w:t>
      </w:r>
      <w:r>
        <w:rPr>
          <w:rFonts w:ascii="Times New Roman" w:hAnsi="Times New Roman" w:eastAsia="Times New Roman" w:cs="Times New Roman"/>
          <w:spacing w:val="-1"/>
          <w:sz w:val="24"/>
          <w:szCs w:val="24"/>
        </w:rPr>
        <w:t>200m</w:t>
      </w:r>
      <w:r>
        <w:rPr>
          <w:rFonts w:ascii="宋体" w:hAnsi="宋体" w:eastAsia="宋体" w:cs="宋体"/>
          <w:spacing w:val="-1"/>
          <w:sz w:val="24"/>
          <w:szCs w:val="24"/>
        </w:rPr>
        <w:t>。环评建议，</w:t>
      </w:r>
      <w:r>
        <w:rPr>
          <w:rFonts w:ascii="宋体" w:hAnsi="宋体" w:eastAsia="宋体" w:cs="宋体"/>
          <w:spacing w:val="-3"/>
          <w:sz w:val="24"/>
          <w:szCs w:val="24"/>
        </w:rPr>
        <w:t>在白石联合集中供水站取水泵房向上游迁移实施后，应加快进行饮用水水源保护</w:t>
      </w:r>
      <w:r>
        <w:rPr>
          <w:rFonts w:ascii="宋体" w:hAnsi="宋体" w:eastAsia="宋体" w:cs="宋体"/>
          <w:spacing w:val="-5"/>
          <w:sz w:val="24"/>
          <w:szCs w:val="24"/>
        </w:rPr>
        <w:t>区划定工作，届时五桂溪将不再处于饮用水水源保护区范围内，本项目场界</w:t>
      </w:r>
      <w:r>
        <w:rPr>
          <w:rFonts w:ascii="Times New Roman" w:hAnsi="Times New Roman" w:eastAsia="Times New Roman" w:cs="Times New Roman"/>
          <w:spacing w:val="-5"/>
          <w:sz w:val="24"/>
          <w:szCs w:val="24"/>
        </w:rPr>
        <w:t>500m</w:t>
      </w:r>
      <w:r>
        <w:rPr>
          <w:rFonts w:ascii="宋体" w:hAnsi="宋体" w:eastAsia="宋体" w:cs="宋体"/>
          <w:spacing w:val="-3"/>
          <w:sz w:val="24"/>
          <w:szCs w:val="24"/>
        </w:rPr>
        <w:t>范围内将无饮用水水源保护区。</w:t>
      </w:r>
    </w:p>
    <w:p w14:paraId="13C19589">
      <w:pPr>
        <w:spacing w:before="1" w:line="218" w:lineRule="auto"/>
        <w:ind w:right="18"/>
        <w:jc w:val="right"/>
        <w:rPr>
          <w:rFonts w:ascii="宋体" w:hAnsi="宋体" w:eastAsia="宋体" w:cs="宋体"/>
          <w:sz w:val="24"/>
          <w:szCs w:val="24"/>
        </w:rPr>
      </w:pPr>
      <w:r>
        <w:rPr>
          <w:rFonts w:ascii="宋体" w:hAnsi="宋体" w:eastAsia="宋体" w:cs="宋体"/>
          <w:b/>
          <w:bCs/>
          <w:spacing w:val="-3"/>
          <w:sz w:val="24"/>
          <w:szCs w:val="24"/>
        </w:rPr>
        <w:t>环评要求，本项目需在白石联合集中供水站取水泵房迁移后方能投</w:t>
      </w:r>
      <w:r>
        <w:rPr>
          <w:rFonts w:ascii="宋体" w:hAnsi="宋体" w:eastAsia="宋体" w:cs="宋体"/>
          <w:b/>
          <w:bCs/>
          <w:spacing w:val="-4"/>
          <w:sz w:val="24"/>
          <w:szCs w:val="24"/>
        </w:rPr>
        <w:t>入运行。</w:t>
      </w:r>
    </w:p>
    <w:p w14:paraId="3873718E">
      <w:pPr>
        <w:spacing w:before="181" w:line="361" w:lineRule="auto"/>
        <w:ind w:left="39" w:right="18" w:firstLine="482"/>
        <w:jc w:val="both"/>
        <w:rPr>
          <w:rFonts w:ascii="宋体" w:hAnsi="宋体" w:eastAsia="宋体" w:cs="宋体"/>
          <w:sz w:val="24"/>
          <w:szCs w:val="24"/>
        </w:rPr>
      </w:pPr>
      <w:r>
        <w:rPr>
          <w:rFonts w:ascii="宋体" w:hAnsi="宋体" w:eastAsia="宋体" w:cs="宋体"/>
          <w:spacing w:val="-1"/>
          <w:sz w:val="24"/>
          <w:szCs w:val="24"/>
        </w:rPr>
        <w:t>综上，本项目周边无工业企业分布，主要环境保护目标为项目周围的农户。</w:t>
      </w:r>
      <w:r>
        <w:rPr>
          <w:rFonts w:ascii="宋体" w:hAnsi="宋体" w:eastAsia="宋体" w:cs="宋体"/>
          <w:spacing w:val="-6"/>
          <w:sz w:val="24"/>
          <w:szCs w:val="24"/>
        </w:rPr>
        <w:t>项目区周边无自然保护区、风景名胜区、文物古迹等环境敏感点</w:t>
      </w:r>
      <w:r>
        <w:rPr>
          <w:rFonts w:ascii="宋体" w:hAnsi="宋体" w:eastAsia="宋体" w:cs="宋体"/>
          <w:spacing w:val="-7"/>
          <w:sz w:val="24"/>
          <w:szCs w:val="24"/>
        </w:rPr>
        <w:t>， 不存在制约项</w:t>
      </w:r>
      <w:r>
        <w:rPr>
          <w:rFonts w:ascii="宋体" w:hAnsi="宋体" w:eastAsia="宋体" w:cs="宋体"/>
          <w:spacing w:val="-5"/>
          <w:sz w:val="24"/>
          <w:szCs w:val="24"/>
        </w:rPr>
        <w:t>目建设的环境因素。本项目运营期通过合理有效的环境污染治理措施，</w:t>
      </w:r>
      <w:r>
        <w:rPr>
          <w:rFonts w:ascii="宋体" w:hAnsi="宋体" w:eastAsia="宋体" w:cs="宋体"/>
          <w:spacing w:val="-49"/>
          <w:sz w:val="24"/>
          <w:szCs w:val="24"/>
        </w:rPr>
        <w:t xml:space="preserve"> </w:t>
      </w:r>
      <w:r>
        <w:rPr>
          <w:rFonts w:ascii="宋体" w:hAnsi="宋体" w:eastAsia="宋体" w:cs="宋体"/>
          <w:spacing w:val="-5"/>
          <w:sz w:val="24"/>
          <w:szCs w:val="24"/>
        </w:rPr>
        <w:t>废水不外</w:t>
      </w:r>
      <w:r>
        <w:rPr>
          <w:rFonts w:ascii="宋体" w:hAnsi="宋体" w:eastAsia="宋体" w:cs="宋体"/>
          <w:spacing w:val="-6"/>
          <w:sz w:val="24"/>
          <w:szCs w:val="24"/>
        </w:rPr>
        <w:t>排，废气、噪声可实现达标排放， 各类固废得到有效处置</w:t>
      </w:r>
      <w:r>
        <w:rPr>
          <w:rFonts w:ascii="宋体" w:hAnsi="宋体" w:eastAsia="宋体" w:cs="宋体"/>
          <w:spacing w:val="-7"/>
          <w:sz w:val="24"/>
          <w:szCs w:val="24"/>
        </w:rPr>
        <w:t>，项目的建设对周围环</w:t>
      </w:r>
      <w:r>
        <w:rPr>
          <w:rFonts w:ascii="宋体" w:hAnsi="宋体" w:eastAsia="宋体" w:cs="宋体"/>
          <w:spacing w:val="-3"/>
          <w:sz w:val="24"/>
          <w:szCs w:val="24"/>
        </w:rPr>
        <w:t>境影响较小，本项目与周围外环境相容。</w:t>
      </w:r>
    </w:p>
    <w:p w14:paraId="33E63ED0">
      <w:pPr>
        <w:spacing w:before="152" w:line="220" w:lineRule="auto"/>
        <w:ind w:left="40"/>
        <w:outlineLvl w:val="1"/>
        <w:rPr>
          <w:rFonts w:ascii="宋体" w:hAnsi="宋体" w:eastAsia="宋体" w:cs="宋体"/>
          <w:sz w:val="32"/>
          <w:szCs w:val="32"/>
        </w:rPr>
      </w:pPr>
      <w:bookmarkStart w:id="11" w:name="bookmark6"/>
      <w:bookmarkEnd w:id="11"/>
      <w:r>
        <w:rPr>
          <w:rFonts w:ascii="Times New Roman" w:hAnsi="Times New Roman" w:eastAsia="Times New Roman" w:cs="Times New Roman"/>
          <w:b/>
          <w:bCs/>
          <w:spacing w:val="-5"/>
          <w:sz w:val="32"/>
          <w:szCs w:val="32"/>
        </w:rPr>
        <w:t>5</w:t>
      </w:r>
      <w:r>
        <w:rPr>
          <w:rFonts w:ascii="宋体" w:hAnsi="宋体" w:eastAsia="宋体" w:cs="宋体"/>
          <w:b/>
          <w:bCs/>
          <w:spacing w:val="-5"/>
          <w:sz w:val="32"/>
          <w:szCs w:val="32"/>
        </w:rPr>
        <w:t>、关注的主要环境问题及环境影响</w:t>
      </w:r>
    </w:p>
    <w:p w14:paraId="3F012816">
      <w:pPr>
        <w:pStyle w:val="2"/>
        <w:spacing w:line="245" w:lineRule="auto"/>
      </w:pPr>
    </w:p>
    <w:p w14:paraId="59965BD7">
      <w:pPr>
        <w:spacing w:before="78" w:line="360" w:lineRule="auto"/>
        <w:ind w:left="59" w:right="103" w:firstLine="46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）本项目生猪养殖过程中产生的臭气及其处理情况，以及臭气对外环境</w:t>
      </w:r>
      <w:r>
        <w:rPr>
          <w:rFonts w:ascii="宋体" w:hAnsi="宋体" w:eastAsia="宋体" w:cs="宋体"/>
          <w:spacing w:val="-12"/>
          <w:sz w:val="24"/>
          <w:szCs w:val="24"/>
        </w:rPr>
        <w:t>的影响分析；</w:t>
      </w:r>
    </w:p>
    <w:p w14:paraId="6C15D177">
      <w:pPr>
        <w:spacing w:line="360" w:lineRule="auto"/>
        <w:ind w:left="45" w:right="103"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）本项目猪舍及粪污区等区域会产生较高浓度的污水，对于粪污水的有</w:t>
      </w:r>
      <w:r>
        <w:rPr>
          <w:rFonts w:ascii="宋体" w:hAnsi="宋体" w:eastAsia="宋体" w:cs="宋体"/>
          <w:spacing w:val="-4"/>
          <w:sz w:val="24"/>
          <w:szCs w:val="24"/>
        </w:rPr>
        <w:t>效收集、处理及利用是主要关注的环境问题；</w:t>
      </w:r>
    </w:p>
    <w:p w14:paraId="51D11512">
      <w:pPr>
        <w:spacing w:line="362" w:lineRule="auto"/>
        <w:ind w:left="40" w:right="103"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）本项目运行过程产生的固体废物的种类，以及固体废物的无害化处理</w:t>
      </w:r>
      <w:r>
        <w:rPr>
          <w:rFonts w:ascii="宋体" w:hAnsi="宋体" w:eastAsia="宋体" w:cs="宋体"/>
          <w:spacing w:val="-6"/>
          <w:sz w:val="24"/>
          <w:szCs w:val="24"/>
        </w:rPr>
        <w:t>方案或措施等。</w:t>
      </w:r>
    </w:p>
    <w:p w14:paraId="682CDD3D">
      <w:pPr>
        <w:spacing w:before="152" w:line="218" w:lineRule="auto"/>
        <w:ind w:left="41"/>
        <w:outlineLvl w:val="1"/>
        <w:rPr>
          <w:rFonts w:ascii="宋体" w:hAnsi="宋体" w:eastAsia="宋体" w:cs="宋体"/>
          <w:sz w:val="32"/>
          <w:szCs w:val="32"/>
        </w:rPr>
      </w:pPr>
      <w:bookmarkStart w:id="12" w:name="bookmark7"/>
      <w:bookmarkEnd w:id="12"/>
      <w:r>
        <w:rPr>
          <w:rFonts w:ascii="Times New Roman" w:hAnsi="Times New Roman" w:eastAsia="Times New Roman" w:cs="Times New Roman"/>
          <w:b/>
          <w:bCs/>
          <w:spacing w:val="-5"/>
          <w:sz w:val="32"/>
          <w:szCs w:val="32"/>
        </w:rPr>
        <w:t>6</w:t>
      </w:r>
      <w:r>
        <w:rPr>
          <w:rFonts w:ascii="宋体" w:hAnsi="宋体" w:eastAsia="宋体" w:cs="宋体"/>
          <w:b/>
          <w:bCs/>
          <w:spacing w:val="-5"/>
          <w:sz w:val="32"/>
          <w:szCs w:val="32"/>
        </w:rPr>
        <w:t>、报告书主要结论</w:t>
      </w:r>
    </w:p>
    <w:p w14:paraId="596494EC">
      <w:pPr>
        <w:pStyle w:val="2"/>
        <w:spacing w:line="249" w:lineRule="auto"/>
      </w:pPr>
    </w:p>
    <w:p w14:paraId="4BA5189C">
      <w:pPr>
        <w:spacing w:before="78" w:line="360" w:lineRule="auto"/>
        <w:ind w:left="22" w:right="104" w:firstLine="507"/>
        <w:jc w:val="both"/>
        <w:rPr>
          <w:rFonts w:ascii="宋体" w:hAnsi="宋体" w:eastAsia="宋体" w:cs="宋体"/>
          <w:sz w:val="24"/>
          <w:szCs w:val="24"/>
        </w:rPr>
      </w:pPr>
      <w:r>
        <w:rPr>
          <w:rFonts w:ascii="宋体" w:hAnsi="宋体" w:eastAsia="宋体" w:cs="宋体"/>
          <w:spacing w:val="-4"/>
          <w:sz w:val="24"/>
          <w:szCs w:val="24"/>
        </w:rPr>
        <w:t>喻家沟生猪规模化养殖场建设项目符合国家产业政策，符合规划要求，符合</w:t>
      </w:r>
      <w:r>
        <w:rPr>
          <w:rFonts w:ascii="宋体" w:hAnsi="宋体" w:eastAsia="宋体" w:cs="宋体"/>
          <w:spacing w:val="-9"/>
          <w:sz w:val="24"/>
          <w:szCs w:val="24"/>
        </w:rPr>
        <w:t>“三线一单”管控要求，拟采取的各项环保措施技术经济可行，污染物达</w:t>
      </w:r>
      <w:r>
        <w:rPr>
          <w:rFonts w:ascii="宋体" w:hAnsi="宋体" w:eastAsia="宋体" w:cs="宋体"/>
          <w:spacing w:val="-10"/>
          <w:sz w:val="24"/>
          <w:szCs w:val="24"/>
        </w:rPr>
        <w:t>标排放，</w:t>
      </w:r>
      <w:r>
        <w:rPr>
          <w:rFonts w:ascii="宋体" w:hAnsi="宋体" w:eastAsia="宋体" w:cs="宋体"/>
          <w:spacing w:val="-1"/>
          <w:sz w:val="24"/>
          <w:szCs w:val="24"/>
        </w:rPr>
        <w:t>满足总量控制要求，对评价区域环境质量的影响较小，环境风险水平可接受。</w:t>
      </w:r>
    </w:p>
    <w:p w14:paraId="04997518">
      <w:pPr>
        <w:spacing w:before="2" w:line="361" w:lineRule="auto"/>
        <w:ind w:left="43" w:right="104" w:firstLine="494"/>
        <w:rPr>
          <w:rFonts w:ascii="宋体" w:hAnsi="宋体" w:eastAsia="宋体" w:cs="宋体"/>
          <w:sz w:val="24"/>
          <w:szCs w:val="24"/>
        </w:rPr>
      </w:pPr>
      <w:r>
        <w:rPr>
          <w:rFonts w:ascii="宋体" w:hAnsi="宋体" w:eastAsia="宋体" w:cs="宋体"/>
          <w:spacing w:val="-4"/>
          <w:sz w:val="24"/>
          <w:szCs w:val="24"/>
        </w:rPr>
        <w:t>因此，在全面落实本报告书所提出的各项环境保护措施前提下，本项目的建</w:t>
      </w:r>
      <w:r>
        <w:rPr>
          <w:rFonts w:ascii="宋体" w:hAnsi="宋体" w:eastAsia="宋体" w:cs="宋体"/>
          <w:spacing w:val="-3"/>
          <w:sz w:val="24"/>
          <w:szCs w:val="24"/>
        </w:rPr>
        <w:t>设从生态环境保护角度来讲是可行的。</w:t>
      </w:r>
    </w:p>
    <w:p w14:paraId="4F394401">
      <w:pPr>
        <w:spacing w:line="361" w:lineRule="auto"/>
        <w:rPr>
          <w:rFonts w:ascii="宋体" w:hAnsi="宋体" w:eastAsia="宋体" w:cs="宋体"/>
          <w:sz w:val="24"/>
          <w:szCs w:val="24"/>
        </w:rPr>
        <w:sectPr>
          <w:headerReference r:id="rId25" w:type="default"/>
          <w:footerReference r:id="rId26" w:type="default"/>
          <w:pgSz w:w="11905" w:h="16840"/>
          <w:pgMar w:top="1168" w:right="1693" w:bottom="1409" w:left="1770" w:header="828" w:footer="1244" w:gutter="0"/>
          <w:cols w:space="720" w:num="1"/>
        </w:sectPr>
      </w:pPr>
      <w:bookmarkStart w:id="87" w:name="_GoBack"/>
      <w:bookmarkEnd w:id="87"/>
    </w:p>
    <w:p w14:paraId="6D6B5E5A">
      <w:pPr>
        <w:spacing w:before="362" w:line="219" w:lineRule="auto"/>
        <w:ind w:left="2918"/>
        <w:outlineLvl w:val="0"/>
        <w:rPr>
          <w:rFonts w:ascii="宋体" w:hAnsi="宋体" w:eastAsia="宋体" w:cs="宋体"/>
          <w:sz w:val="44"/>
          <w:szCs w:val="44"/>
        </w:rPr>
      </w:pPr>
      <w:bookmarkStart w:id="13" w:name="bookmark78"/>
      <w:bookmarkEnd w:id="13"/>
      <w:bookmarkStart w:id="14" w:name="bookmark8"/>
      <w:bookmarkEnd w:id="14"/>
      <w:r>
        <w:rPr>
          <w:rFonts w:ascii="宋体" w:hAnsi="宋体" w:eastAsia="宋体" w:cs="宋体"/>
          <w:b/>
          <w:bCs/>
          <w:spacing w:val="-11"/>
          <w:sz w:val="44"/>
          <w:szCs w:val="44"/>
        </w:rPr>
        <w:t>第一章</w:t>
      </w:r>
      <w:r>
        <w:rPr>
          <w:rFonts w:ascii="宋体" w:hAnsi="宋体" w:eastAsia="宋体" w:cs="宋体"/>
          <w:spacing w:val="169"/>
          <w:sz w:val="44"/>
          <w:szCs w:val="44"/>
        </w:rPr>
        <w:t xml:space="preserve"> </w:t>
      </w:r>
      <w:r>
        <w:rPr>
          <w:rFonts w:ascii="宋体" w:hAnsi="宋体" w:eastAsia="宋体" w:cs="宋体"/>
          <w:b/>
          <w:bCs/>
          <w:spacing w:val="-11"/>
          <w:sz w:val="44"/>
          <w:szCs w:val="44"/>
        </w:rPr>
        <w:t>总则</w:t>
      </w:r>
    </w:p>
    <w:p w14:paraId="5A0DD0DF">
      <w:pPr>
        <w:spacing w:before="282" w:line="218" w:lineRule="auto"/>
        <w:ind w:left="51"/>
        <w:outlineLvl w:val="1"/>
        <w:rPr>
          <w:rFonts w:ascii="宋体" w:hAnsi="宋体" w:eastAsia="宋体" w:cs="宋体"/>
          <w:sz w:val="32"/>
          <w:szCs w:val="32"/>
        </w:rPr>
      </w:pPr>
      <w:bookmarkStart w:id="15" w:name="bookmark9"/>
      <w:bookmarkEnd w:id="15"/>
      <w:r>
        <w:rPr>
          <w:rFonts w:ascii="Times New Roman" w:hAnsi="Times New Roman" w:eastAsia="Times New Roman" w:cs="Times New Roman"/>
          <w:b/>
          <w:bCs/>
          <w:spacing w:val="-3"/>
          <w:sz w:val="32"/>
          <w:szCs w:val="32"/>
        </w:rPr>
        <w:t xml:space="preserve">1.1  </w:t>
      </w:r>
      <w:r>
        <w:rPr>
          <w:rFonts w:ascii="宋体" w:hAnsi="宋体" w:eastAsia="宋体" w:cs="宋体"/>
          <w:b/>
          <w:bCs/>
          <w:spacing w:val="-3"/>
          <w:sz w:val="32"/>
          <w:szCs w:val="32"/>
        </w:rPr>
        <w:t>评价依据</w:t>
      </w:r>
    </w:p>
    <w:p w14:paraId="7CEC520E">
      <w:pPr>
        <w:pStyle w:val="2"/>
        <w:spacing w:line="277" w:lineRule="auto"/>
      </w:pPr>
    </w:p>
    <w:p w14:paraId="698F625E">
      <w:pPr>
        <w:spacing w:before="97" w:line="220" w:lineRule="auto"/>
        <w:ind w:left="49"/>
        <w:rPr>
          <w:rFonts w:ascii="宋体" w:hAnsi="宋体" w:eastAsia="宋体" w:cs="宋体"/>
          <w:sz w:val="30"/>
          <w:szCs w:val="30"/>
        </w:rPr>
      </w:pPr>
      <w:r>
        <w:rPr>
          <w:rFonts w:ascii="Times New Roman" w:hAnsi="Times New Roman" w:eastAsia="Times New Roman" w:cs="Times New Roman"/>
          <w:b/>
          <w:bCs/>
          <w:spacing w:val="-7"/>
          <w:sz w:val="30"/>
          <w:szCs w:val="30"/>
        </w:rPr>
        <w:t>1.1.1</w:t>
      </w:r>
      <w:r>
        <w:rPr>
          <w:rFonts w:ascii="Times New Roman" w:hAnsi="Times New Roman" w:eastAsia="Times New Roman" w:cs="Times New Roman"/>
          <w:b/>
          <w:bCs/>
          <w:spacing w:val="24"/>
          <w:sz w:val="30"/>
          <w:szCs w:val="30"/>
        </w:rPr>
        <w:t xml:space="preserve">  </w:t>
      </w:r>
      <w:r>
        <w:rPr>
          <w:rFonts w:ascii="宋体" w:hAnsi="宋体" w:eastAsia="宋体" w:cs="宋体"/>
          <w:b/>
          <w:bCs/>
          <w:spacing w:val="-7"/>
          <w:sz w:val="30"/>
          <w:szCs w:val="30"/>
        </w:rPr>
        <w:t>国家相关法律</w:t>
      </w:r>
    </w:p>
    <w:p w14:paraId="7327F2C2">
      <w:pPr>
        <w:pStyle w:val="2"/>
        <w:spacing w:line="418" w:lineRule="auto"/>
      </w:pPr>
    </w:p>
    <w:p w14:paraId="29FC9D63">
      <w:pPr>
        <w:spacing w:before="78" w:line="220" w:lineRule="auto"/>
        <w:ind w:left="561"/>
        <w:rPr>
          <w:rFonts w:ascii="宋体" w:hAnsi="宋体" w:eastAsia="宋体" w:cs="宋体"/>
          <w:sz w:val="24"/>
          <w:szCs w:val="24"/>
        </w:rPr>
      </w:pPr>
      <w:r>
        <w:rPr>
          <w:rFonts w:ascii="宋体" w:hAnsi="宋体" w:eastAsia="宋体" w:cs="宋体"/>
          <w:spacing w:val="-3"/>
          <w:sz w:val="24"/>
          <w:szCs w:val="24"/>
        </w:rPr>
        <w:t>(1)</w:t>
      </w:r>
      <w:r>
        <w:rPr>
          <w:rFonts w:ascii="宋体" w:hAnsi="宋体" w:eastAsia="宋体" w:cs="宋体"/>
          <w:spacing w:val="-53"/>
          <w:sz w:val="24"/>
          <w:szCs w:val="24"/>
        </w:rPr>
        <w:t xml:space="preserve"> </w:t>
      </w:r>
      <w:r>
        <w:rPr>
          <w:rFonts w:ascii="宋体" w:hAnsi="宋体" w:eastAsia="宋体" w:cs="宋体"/>
          <w:spacing w:val="-3"/>
          <w:sz w:val="24"/>
          <w:szCs w:val="24"/>
        </w:rPr>
        <w:t>《中华人民共和国环境保护法》（</w:t>
      </w:r>
      <w:r>
        <w:rPr>
          <w:rFonts w:ascii="Times New Roman" w:hAnsi="Times New Roman" w:eastAsia="Times New Roman" w:cs="Times New Roman"/>
          <w:spacing w:val="-3"/>
          <w:sz w:val="24"/>
          <w:szCs w:val="24"/>
        </w:rPr>
        <w:t>2015</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日起施行</w:t>
      </w:r>
      <w:r>
        <w:rPr>
          <w:rFonts w:ascii="宋体" w:hAnsi="宋体" w:eastAsia="宋体" w:cs="宋体"/>
          <w:spacing w:val="-5"/>
          <w:sz w:val="24"/>
          <w:szCs w:val="24"/>
        </w:rPr>
        <w:t>）；</w:t>
      </w:r>
    </w:p>
    <w:p w14:paraId="3955CCB8">
      <w:pPr>
        <w:spacing w:before="182" w:line="218" w:lineRule="auto"/>
        <w:ind w:left="561"/>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《中华人民共和国环境影响评价法》（</w:t>
      </w:r>
      <w:r>
        <w:rPr>
          <w:rFonts w:ascii="Times New Roman" w:hAnsi="Times New Roman" w:eastAsia="Times New Roman" w:cs="Times New Roman"/>
          <w:spacing w:val="-3"/>
          <w:sz w:val="24"/>
          <w:szCs w:val="24"/>
        </w:rPr>
        <w:t>2018</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12</w:t>
      </w:r>
      <w:r>
        <w:rPr>
          <w:rFonts w:ascii="宋体" w:hAnsi="宋体" w:eastAsia="宋体" w:cs="宋体"/>
          <w:spacing w:val="-3"/>
          <w:sz w:val="24"/>
          <w:szCs w:val="24"/>
        </w:rPr>
        <w:t>月</w:t>
      </w:r>
      <w:r>
        <w:rPr>
          <w:rFonts w:ascii="Times New Roman" w:hAnsi="Times New Roman" w:eastAsia="Times New Roman" w:cs="Times New Roman"/>
          <w:spacing w:val="-3"/>
          <w:sz w:val="24"/>
          <w:szCs w:val="24"/>
        </w:rPr>
        <w:t>29</w:t>
      </w:r>
      <w:r>
        <w:rPr>
          <w:rFonts w:ascii="宋体" w:hAnsi="宋体" w:eastAsia="宋体" w:cs="宋体"/>
          <w:spacing w:val="-3"/>
          <w:sz w:val="24"/>
          <w:szCs w:val="24"/>
        </w:rPr>
        <w:t>日施行</w:t>
      </w:r>
      <w:r>
        <w:rPr>
          <w:rFonts w:ascii="宋体" w:hAnsi="宋体" w:eastAsia="宋体" w:cs="宋体"/>
          <w:sz w:val="24"/>
          <w:szCs w:val="24"/>
        </w:rPr>
        <w:t>）；</w:t>
      </w:r>
    </w:p>
    <w:p w14:paraId="1ECA8F24">
      <w:pPr>
        <w:spacing w:before="184" w:line="220" w:lineRule="auto"/>
        <w:ind w:left="561"/>
        <w:rPr>
          <w:rFonts w:ascii="宋体" w:hAnsi="宋体" w:eastAsia="宋体" w:cs="宋体"/>
          <w:sz w:val="24"/>
          <w:szCs w:val="24"/>
        </w:rPr>
      </w:pPr>
      <w:r>
        <w:rPr>
          <w:rFonts w:ascii="宋体" w:hAnsi="宋体" w:eastAsia="宋体" w:cs="宋体"/>
          <w:spacing w:val="-3"/>
          <w:sz w:val="24"/>
          <w:szCs w:val="24"/>
        </w:rPr>
        <w:t>(3)</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《中华人民共和国水法》（</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年</w:t>
      </w:r>
      <w:r>
        <w:rPr>
          <w:rFonts w:ascii="Times New Roman" w:hAnsi="Times New Roman" w:eastAsia="Times New Roman" w:cs="Times New Roman"/>
          <w:spacing w:val="-3"/>
          <w:sz w:val="24"/>
          <w:szCs w:val="24"/>
        </w:rPr>
        <w:t>7</w:t>
      </w:r>
      <w:r>
        <w:rPr>
          <w:rFonts w:ascii="宋体" w:hAnsi="宋体" w:eastAsia="宋体" w:cs="宋体"/>
          <w:spacing w:val="-4"/>
          <w:sz w:val="24"/>
          <w:szCs w:val="24"/>
        </w:rPr>
        <w:t>月</w:t>
      </w:r>
      <w:r>
        <w:rPr>
          <w:rFonts w:ascii="Times New Roman" w:hAnsi="Times New Roman" w:eastAsia="Times New Roman" w:cs="Times New Roman"/>
          <w:spacing w:val="-4"/>
          <w:sz w:val="24"/>
          <w:szCs w:val="24"/>
        </w:rPr>
        <w:t>2</w:t>
      </w:r>
      <w:r>
        <w:rPr>
          <w:rFonts w:ascii="宋体" w:hAnsi="宋体" w:eastAsia="宋体" w:cs="宋体"/>
          <w:spacing w:val="-4"/>
          <w:sz w:val="24"/>
          <w:szCs w:val="24"/>
        </w:rPr>
        <w:t>日修改和施行）；</w:t>
      </w:r>
    </w:p>
    <w:p w14:paraId="43740804">
      <w:pPr>
        <w:spacing w:before="182" w:line="220" w:lineRule="auto"/>
        <w:ind w:left="5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53"/>
          <w:sz w:val="24"/>
          <w:szCs w:val="24"/>
        </w:rPr>
        <w:t xml:space="preserve"> </w:t>
      </w:r>
      <w:r>
        <w:rPr>
          <w:rFonts w:ascii="宋体" w:hAnsi="宋体" w:eastAsia="宋体" w:cs="宋体"/>
          <w:spacing w:val="-3"/>
          <w:sz w:val="24"/>
          <w:szCs w:val="24"/>
        </w:rPr>
        <w:t>《中华人民共和国水污染防治法》（</w:t>
      </w:r>
      <w:r>
        <w:rPr>
          <w:rFonts w:ascii="Times New Roman" w:hAnsi="Times New Roman" w:eastAsia="Times New Roman" w:cs="Times New Roman"/>
          <w:spacing w:val="-3"/>
          <w:sz w:val="24"/>
          <w:szCs w:val="24"/>
        </w:rPr>
        <w:t>2018</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日施行</w:t>
      </w:r>
      <w:r>
        <w:rPr>
          <w:rFonts w:ascii="宋体" w:hAnsi="宋体" w:eastAsia="宋体" w:cs="宋体"/>
          <w:spacing w:val="-4"/>
          <w:sz w:val="24"/>
          <w:szCs w:val="24"/>
        </w:rPr>
        <w:t>）；</w:t>
      </w:r>
    </w:p>
    <w:p w14:paraId="3FA512CF">
      <w:pPr>
        <w:spacing w:before="182" w:line="220" w:lineRule="auto"/>
        <w:ind w:left="561"/>
        <w:rPr>
          <w:rFonts w:ascii="宋体" w:hAnsi="宋体" w:eastAsia="宋体" w:cs="宋体"/>
          <w:sz w:val="24"/>
          <w:szCs w:val="24"/>
        </w:rPr>
      </w:pPr>
      <w:r>
        <w:rPr>
          <w:rFonts w:ascii="宋体" w:hAnsi="宋体" w:eastAsia="宋体" w:cs="宋体"/>
          <w:spacing w:val="-3"/>
          <w:sz w:val="24"/>
          <w:szCs w:val="24"/>
        </w:rPr>
        <w:t>(5)</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《中华人民共和国大气污染防治法》（</w:t>
      </w:r>
      <w:r>
        <w:rPr>
          <w:rFonts w:ascii="Times New Roman" w:hAnsi="Times New Roman" w:eastAsia="Times New Roman" w:cs="Times New Roman"/>
          <w:spacing w:val="-3"/>
          <w:sz w:val="24"/>
          <w:szCs w:val="24"/>
        </w:rPr>
        <w:t>2018</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10</w:t>
      </w:r>
      <w:r>
        <w:rPr>
          <w:rFonts w:ascii="宋体" w:hAnsi="宋体" w:eastAsia="宋体" w:cs="宋体"/>
          <w:spacing w:val="-3"/>
          <w:sz w:val="24"/>
          <w:szCs w:val="24"/>
        </w:rPr>
        <w:t>月</w:t>
      </w:r>
      <w:r>
        <w:rPr>
          <w:rFonts w:ascii="Times New Roman" w:hAnsi="Times New Roman" w:eastAsia="Times New Roman" w:cs="Times New Roman"/>
          <w:spacing w:val="-3"/>
          <w:sz w:val="24"/>
          <w:szCs w:val="24"/>
        </w:rPr>
        <w:t>26</w:t>
      </w:r>
      <w:r>
        <w:rPr>
          <w:rFonts w:ascii="宋体" w:hAnsi="宋体" w:eastAsia="宋体" w:cs="宋体"/>
          <w:spacing w:val="-3"/>
          <w:sz w:val="24"/>
          <w:szCs w:val="24"/>
        </w:rPr>
        <w:t>日施行</w:t>
      </w:r>
      <w:r>
        <w:rPr>
          <w:rFonts w:ascii="宋体" w:hAnsi="宋体" w:eastAsia="宋体" w:cs="宋体"/>
          <w:sz w:val="24"/>
          <w:szCs w:val="24"/>
        </w:rPr>
        <w:t>）；</w:t>
      </w:r>
    </w:p>
    <w:p w14:paraId="3699BA8F">
      <w:pPr>
        <w:spacing w:before="182" w:line="220" w:lineRule="auto"/>
        <w:ind w:left="561"/>
        <w:rPr>
          <w:rFonts w:ascii="宋体" w:hAnsi="宋体" w:eastAsia="宋体" w:cs="宋体"/>
          <w:sz w:val="24"/>
          <w:szCs w:val="24"/>
        </w:rPr>
      </w:pPr>
      <w:r>
        <w:rPr>
          <w:rFonts w:ascii="宋体" w:hAnsi="宋体" w:eastAsia="宋体" w:cs="宋体"/>
          <w:spacing w:val="-3"/>
          <w:sz w:val="24"/>
          <w:szCs w:val="24"/>
        </w:rPr>
        <w:t>(6)</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《中华人民共和国噪声污染防治法》（</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w:t>
      </w:r>
      <w:r>
        <w:rPr>
          <w:rFonts w:ascii="Times New Roman" w:hAnsi="Times New Roman" w:eastAsia="Times New Roman" w:cs="Times New Roman"/>
          <w:spacing w:val="-3"/>
          <w:sz w:val="24"/>
          <w:szCs w:val="24"/>
        </w:rPr>
        <w:t>6</w:t>
      </w:r>
      <w:r>
        <w:rPr>
          <w:rFonts w:ascii="宋体" w:hAnsi="宋体" w:eastAsia="宋体" w:cs="宋体"/>
          <w:spacing w:val="-3"/>
          <w:sz w:val="24"/>
          <w:szCs w:val="24"/>
        </w:rPr>
        <w:t>月</w:t>
      </w:r>
      <w:r>
        <w:rPr>
          <w:rFonts w:ascii="Times New Roman" w:hAnsi="Times New Roman" w:eastAsia="Times New Roman" w:cs="Times New Roman"/>
          <w:spacing w:val="-3"/>
          <w:sz w:val="24"/>
          <w:szCs w:val="24"/>
        </w:rPr>
        <w:t>5</w:t>
      </w:r>
      <w:r>
        <w:rPr>
          <w:rFonts w:ascii="宋体" w:hAnsi="宋体" w:eastAsia="宋体" w:cs="宋体"/>
          <w:spacing w:val="-3"/>
          <w:sz w:val="24"/>
          <w:szCs w:val="24"/>
        </w:rPr>
        <w:t>日施行）；</w:t>
      </w:r>
    </w:p>
    <w:p w14:paraId="0CAEBF30">
      <w:pPr>
        <w:spacing w:before="182" w:line="220" w:lineRule="auto"/>
        <w:ind w:left="561"/>
        <w:rPr>
          <w:rFonts w:ascii="宋体" w:hAnsi="宋体" w:eastAsia="宋体" w:cs="宋体"/>
          <w:sz w:val="24"/>
          <w:szCs w:val="24"/>
        </w:rPr>
      </w:pPr>
      <w:r>
        <w:rPr>
          <w:rFonts w:ascii="宋体" w:hAnsi="宋体" w:eastAsia="宋体" w:cs="宋体"/>
          <w:spacing w:val="-8"/>
          <w:sz w:val="24"/>
          <w:szCs w:val="24"/>
        </w:rPr>
        <w:t>(7)</w:t>
      </w:r>
      <w:r>
        <w:rPr>
          <w:rFonts w:ascii="宋体" w:hAnsi="宋体" w:eastAsia="宋体" w:cs="宋体"/>
          <w:spacing w:val="-53"/>
          <w:sz w:val="24"/>
          <w:szCs w:val="24"/>
        </w:rPr>
        <w:t xml:space="preserve"> </w:t>
      </w:r>
      <w:r>
        <w:rPr>
          <w:rFonts w:ascii="宋体" w:hAnsi="宋体" w:eastAsia="宋体" w:cs="宋体"/>
          <w:spacing w:val="-8"/>
          <w:sz w:val="24"/>
          <w:szCs w:val="24"/>
        </w:rPr>
        <w:t>《中华人民共和国固体废物污染环境防治法》（</w:t>
      </w:r>
      <w:r>
        <w:rPr>
          <w:rFonts w:ascii="Times New Roman" w:hAnsi="Times New Roman" w:eastAsia="Times New Roman" w:cs="Times New Roman"/>
          <w:spacing w:val="-8"/>
          <w:sz w:val="24"/>
          <w:szCs w:val="24"/>
        </w:rPr>
        <w:t>2020</w:t>
      </w:r>
      <w:r>
        <w:rPr>
          <w:rFonts w:ascii="宋体" w:hAnsi="宋体" w:eastAsia="宋体" w:cs="宋体"/>
          <w:spacing w:val="-8"/>
          <w:sz w:val="24"/>
          <w:szCs w:val="24"/>
        </w:rPr>
        <w:t>年</w:t>
      </w:r>
      <w:r>
        <w:rPr>
          <w:rFonts w:ascii="Times New Roman" w:hAnsi="Times New Roman" w:eastAsia="Times New Roman" w:cs="Times New Roman"/>
          <w:spacing w:val="-8"/>
          <w:sz w:val="24"/>
          <w:szCs w:val="24"/>
        </w:rPr>
        <w:t>4</w:t>
      </w:r>
      <w:r>
        <w:rPr>
          <w:rFonts w:ascii="宋体" w:hAnsi="宋体" w:eastAsia="宋体" w:cs="宋体"/>
          <w:spacing w:val="-8"/>
          <w:sz w:val="24"/>
          <w:szCs w:val="24"/>
        </w:rPr>
        <w:t>月</w:t>
      </w:r>
      <w:r>
        <w:rPr>
          <w:rFonts w:ascii="Times New Roman" w:hAnsi="Times New Roman" w:eastAsia="Times New Roman" w:cs="Times New Roman"/>
          <w:spacing w:val="-8"/>
          <w:sz w:val="24"/>
          <w:szCs w:val="24"/>
        </w:rPr>
        <w:t>29</w:t>
      </w:r>
      <w:r>
        <w:rPr>
          <w:rFonts w:ascii="宋体" w:hAnsi="宋体" w:eastAsia="宋体" w:cs="宋体"/>
          <w:spacing w:val="-8"/>
          <w:sz w:val="24"/>
          <w:szCs w:val="24"/>
        </w:rPr>
        <w:t>日修订</w:t>
      </w:r>
      <w:r>
        <w:rPr>
          <w:rFonts w:ascii="宋体" w:hAnsi="宋体" w:eastAsia="宋体" w:cs="宋体"/>
          <w:spacing w:val="4"/>
          <w:sz w:val="24"/>
          <w:szCs w:val="24"/>
        </w:rPr>
        <w:t>）；</w:t>
      </w:r>
    </w:p>
    <w:p w14:paraId="32D4B88B">
      <w:pPr>
        <w:spacing w:before="182" w:line="220" w:lineRule="auto"/>
        <w:ind w:left="561"/>
        <w:rPr>
          <w:rFonts w:ascii="宋体" w:hAnsi="宋体" w:eastAsia="宋体" w:cs="宋体"/>
          <w:sz w:val="24"/>
          <w:szCs w:val="24"/>
        </w:rPr>
      </w:pPr>
      <w:r>
        <w:rPr>
          <w:rFonts w:ascii="宋体" w:hAnsi="宋体" w:eastAsia="宋体" w:cs="宋体"/>
          <w:spacing w:val="-3"/>
          <w:sz w:val="24"/>
          <w:szCs w:val="24"/>
        </w:rPr>
        <w:t>(8)</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《中华人民共和国土壤污染防治法》（</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日施行）；</w:t>
      </w:r>
    </w:p>
    <w:p w14:paraId="66E9CF2E">
      <w:pPr>
        <w:spacing w:before="182" w:line="220" w:lineRule="auto"/>
        <w:ind w:left="561"/>
        <w:rPr>
          <w:rFonts w:ascii="宋体" w:hAnsi="宋体" w:eastAsia="宋体" w:cs="宋体"/>
          <w:sz w:val="24"/>
          <w:szCs w:val="24"/>
        </w:rPr>
      </w:pPr>
      <w:r>
        <w:rPr>
          <w:rFonts w:ascii="宋体" w:hAnsi="宋体" w:eastAsia="宋体" w:cs="宋体"/>
          <w:spacing w:val="-3"/>
          <w:sz w:val="24"/>
          <w:szCs w:val="24"/>
        </w:rPr>
        <w:t>(9)</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《中华人民共和国水土保持法》（</w:t>
      </w:r>
      <w:r>
        <w:rPr>
          <w:rFonts w:ascii="Times New Roman" w:hAnsi="Times New Roman" w:eastAsia="Times New Roman" w:cs="Times New Roman"/>
          <w:spacing w:val="-3"/>
          <w:sz w:val="24"/>
          <w:szCs w:val="24"/>
        </w:rPr>
        <w:t>2011</w:t>
      </w:r>
      <w:r>
        <w:rPr>
          <w:rFonts w:ascii="宋体" w:hAnsi="宋体" w:eastAsia="宋体" w:cs="宋体"/>
          <w:spacing w:val="-3"/>
          <w:sz w:val="24"/>
          <w:szCs w:val="24"/>
        </w:rPr>
        <w:t>年</w:t>
      </w:r>
      <w:r>
        <w:rPr>
          <w:rFonts w:ascii="Times New Roman" w:hAnsi="Times New Roman" w:eastAsia="Times New Roman" w:cs="Times New Roman"/>
          <w:spacing w:val="-3"/>
          <w:sz w:val="24"/>
          <w:szCs w:val="24"/>
        </w:rPr>
        <w:t>3</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日施行</w:t>
      </w:r>
      <w:r>
        <w:rPr>
          <w:rFonts w:ascii="宋体" w:hAnsi="宋体" w:eastAsia="宋体" w:cs="宋体"/>
          <w:spacing w:val="-6"/>
          <w:sz w:val="24"/>
          <w:szCs w:val="24"/>
        </w:rPr>
        <w:t>）；</w:t>
      </w:r>
    </w:p>
    <w:p w14:paraId="1C5D18DC">
      <w:pPr>
        <w:spacing w:before="182" w:line="220" w:lineRule="auto"/>
        <w:ind w:left="561"/>
        <w:rPr>
          <w:rFonts w:ascii="宋体" w:hAnsi="宋体" w:eastAsia="宋体" w:cs="宋体"/>
          <w:sz w:val="24"/>
          <w:szCs w:val="24"/>
        </w:rPr>
      </w:pPr>
      <w:r>
        <w:rPr>
          <w:rFonts w:ascii="宋体" w:hAnsi="宋体" w:eastAsia="宋体" w:cs="宋体"/>
          <w:spacing w:val="-3"/>
          <w:sz w:val="24"/>
          <w:szCs w:val="24"/>
        </w:rPr>
        <w:t>(10)</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《中华人民共和国土地管理法》（</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年</w:t>
      </w:r>
      <w:r>
        <w:rPr>
          <w:rFonts w:ascii="Times New Roman" w:hAnsi="Times New Roman" w:eastAsia="Times New Roman" w:cs="Times New Roman"/>
          <w:spacing w:val="-3"/>
          <w:sz w:val="24"/>
          <w:szCs w:val="24"/>
        </w:rPr>
        <w:t>8</w:t>
      </w:r>
      <w:r>
        <w:rPr>
          <w:rFonts w:ascii="宋体" w:hAnsi="宋体" w:eastAsia="宋体" w:cs="宋体"/>
          <w:spacing w:val="-3"/>
          <w:sz w:val="24"/>
          <w:szCs w:val="24"/>
        </w:rPr>
        <w:t>月</w:t>
      </w:r>
      <w:r>
        <w:rPr>
          <w:rFonts w:ascii="Times New Roman" w:hAnsi="Times New Roman" w:eastAsia="Times New Roman" w:cs="Times New Roman"/>
          <w:spacing w:val="-3"/>
          <w:sz w:val="24"/>
          <w:szCs w:val="24"/>
        </w:rPr>
        <w:t>26</w:t>
      </w:r>
      <w:r>
        <w:rPr>
          <w:rFonts w:ascii="宋体" w:hAnsi="宋体" w:eastAsia="宋体" w:cs="宋体"/>
          <w:spacing w:val="-3"/>
          <w:sz w:val="24"/>
          <w:szCs w:val="24"/>
        </w:rPr>
        <w:t>日修正）；</w:t>
      </w:r>
    </w:p>
    <w:p w14:paraId="1ADD9D2E">
      <w:pPr>
        <w:spacing w:before="182" w:line="220" w:lineRule="auto"/>
        <w:ind w:left="561"/>
        <w:rPr>
          <w:rFonts w:ascii="宋体" w:hAnsi="宋体" w:eastAsia="宋体" w:cs="宋体"/>
          <w:sz w:val="24"/>
          <w:szCs w:val="24"/>
        </w:rPr>
      </w:pPr>
      <w:r>
        <w:rPr>
          <w:rFonts w:ascii="宋体" w:hAnsi="宋体" w:eastAsia="宋体" w:cs="宋体"/>
          <w:spacing w:val="-3"/>
          <w:sz w:val="24"/>
          <w:szCs w:val="24"/>
        </w:rPr>
        <w:t>(11)</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《中华人民共和国农业法》（</w:t>
      </w:r>
      <w:r>
        <w:rPr>
          <w:rFonts w:ascii="Times New Roman" w:hAnsi="Times New Roman" w:eastAsia="Times New Roman" w:cs="Times New Roman"/>
          <w:spacing w:val="-3"/>
          <w:sz w:val="24"/>
          <w:szCs w:val="24"/>
        </w:rPr>
        <w:t>2013</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4"/>
          <w:sz w:val="24"/>
          <w:szCs w:val="24"/>
        </w:rPr>
        <w:t>日施行</w:t>
      </w:r>
      <w:r>
        <w:rPr>
          <w:rFonts w:ascii="宋体" w:hAnsi="宋体" w:eastAsia="宋体" w:cs="宋体"/>
          <w:spacing w:val="-6"/>
          <w:sz w:val="24"/>
          <w:szCs w:val="24"/>
        </w:rPr>
        <w:t>）；</w:t>
      </w:r>
    </w:p>
    <w:p w14:paraId="6A493B4C">
      <w:pPr>
        <w:spacing w:before="182" w:line="220" w:lineRule="auto"/>
        <w:ind w:left="561"/>
        <w:rPr>
          <w:rFonts w:ascii="宋体" w:hAnsi="宋体" w:eastAsia="宋体" w:cs="宋体"/>
          <w:sz w:val="24"/>
          <w:szCs w:val="24"/>
        </w:rPr>
      </w:pPr>
      <w:r>
        <w:rPr>
          <w:rFonts w:ascii="宋体" w:hAnsi="宋体" w:eastAsia="宋体" w:cs="宋体"/>
          <w:spacing w:val="-3"/>
          <w:sz w:val="24"/>
          <w:szCs w:val="24"/>
        </w:rPr>
        <w:t>(12)</w:t>
      </w:r>
      <w:r>
        <w:rPr>
          <w:rFonts w:ascii="宋体" w:hAnsi="宋体" w:eastAsia="宋体" w:cs="宋体"/>
          <w:spacing w:val="-52"/>
          <w:sz w:val="24"/>
          <w:szCs w:val="24"/>
        </w:rPr>
        <w:t xml:space="preserve"> </w:t>
      </w:r>
      <w:r>
        <w:rPr>
          <w:rFonts w:ascii="宋体" w:hAnsi="宋体" w:eastAsia="宋体" w:cs="宋体"/>
          <w:spacing w:val="-3"/>
          <w:sz w:val="24"/>
          <w:szCs w:val="24"/>
        </w:rPr>
        <w:t>《中华人民共和国畜牧法》（</w:t>
      </w:r>
      <w:r>
        <w:rPr>
          <w:rFonts w:ascii="Times New Roman" w:hAnsi="Times New Roman" w:eastAsia="Times New Roman" w:cs="Times New Roman"/>
          <w:spacing w:val="-3"/>
          <w:sz w:val="24"/>
          <w:szCs w:val="24"/>
        </w:rPr>
        <w:t>2015</w:t>
      </w:r>
      <w:r>
        <w:rPr>
          <w:rFonts w:ascii="宋体" w:hAnsi="宋体" w:eastAsia="宋体" w:cs="宋体"/>
          <w:spacing w:val="-3"/>
          <w:sz w:val="24"/>
          <w:szCs w:val="24"/>
        </w:rPr>
        <w:t>年</w:t>
      </w:r>
      <w:r>
        <w:rPr>
          <w:rFonts w:ascii="Times New Roman" w:hAnsi="Times New Roman" w:eastAsia="Times New Roman" w:cs="Times New Roman"/>
          <w:spacing w:val="-3"/>
          <w:sz w:val="24"/>
          <w:szCs w:val="24"/>
        </w:rPr>
        <w:t>4</w:t>
      </w:r>
      <w:r>
        <w:rPr>
          <w:rFonts w:ascii="宋体" w:hAnsi="宋体" w:eastAsia="宋体" w:cs="宋体"/>
          <w:spacing w:val="-3"/>
          <w:sz w:val="24"/>
          <w:szCs w:val="24"/>
        </w:rPr>
        <w:t>月</w:t>
      </w:r>
      <w:r>
        <w:rPr>
          <w:rFonts w:ascii="Times New Roman" w:hAnsi="Times New Roman" w:eastAsia="Times New Roman" w:cs="Times New Roman"/>
          <w:spacing w:val="-3"/>
          <w:sz w:val="24"/>
          <w:szCs w:val="24"/>
        </w:rPr>
        <w:t>24</w:t>
      </w:r>
      <w:r>
        <w:rPr>
          <w:rFonts w:ascii="宋体" w:hAnsi="宋体" w:eastAsia="宋体" w:cs="宋体"/>
          <w:spacing w:val="-3"/>
          <w:sz w:val="24"/>
          <w:szCs w:val="24"/>
        </w:rPr>
        <w:t>日修订</w:t>
      </w:r>
      <w:r>
        <w:rPr>
          <w:rFonts w:ascii="宋体" w:hAnsi="宋体" w:eastAsia="宋体" w:cs="宋体"/>
          <w:spacing w:val="-6"/>
          <w:sz w:val="24"/>
          <w:szCs w:val="24"/>
        </w:rPr>
        <w:t>）；</w:t>
      </w:r>
    </w:p>
    <w:p w14:paraId="2B7FB697">
      <w:pPr>
        <w:spacing w:before="182" w:line="220" w:lineRule="auto"/>
        <w:ind w:left="561"/>
        <w:rPr>
          <w:rFonts w:ascii="宋体" w:hAnsi="宋体" w:eastAsia="宋体" w:cs="宋体"/>
          <w:sz w:val="24"/>
          <w:szCs w:val="24"/>
        </w:rPr>
      </w:pPr>
      <w:r>
        <w:rPr>
          <w:rFonts w:ascii="宋体" w:hAnsi="宋体" w:eastAsia="宋体" w:cs="宋体"/>
          <w:spacing w:val="-3"/>
          <w:sz w:val="24"/>
          <w:szCs w:val="24"/>
        </w:rPr>
        <w:t>(13)</w:t>
      </w:r>
      <w:r>
        <w:rPr>
          <w:rFonts w:ascii="宋体" w:hAnsi="宋体" w:eastAsia="宋体" w:cs="宋体"/>
          <w:spacing w:val="-35"/>
          <w:sz w:val="24"/>
          <w:szCs w:val="24"/>
        </w:rPr>
        <w:t xml:space="preserve"> </w:t>
      </w:r>
      <w:r>
        <w:rPr>
          <w:rFonts w:ascii="宋体" w:hAnsi="宋体" w:eastAsia="宋体" w:cs="宋体"/>
          <w:spacing w:val="-3"/>
          <w:sz w:val="24"/>
          <w:szCs w:val="24"/>
        </w:rPr>
        <w:t>《中华人民共和国动物防疫法》（</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22</w:t>
      </w:r>
      <w:r>
        <w:rPr>
          <w:rFonts w:ascii="宋体" w:hAnsi="宋体" w:eastAsia="宋体" w:cs="宋体"/>
          <w:spacing w:val="-3"/>
          <w:sz w:val="24"/>
          <w:szCs w:val="24"/>
        </w:rPr>
        <w:t>日修正）。</w:t>
      </w:r>
    </w:p>
    <w:p w14:paraId="5F9460FA">
      <w:pPr>
        <w:pStyle w:val="2"/>
        <w:spacing w:line="251" w:lineRule="auto"/>
      </w:pPr>
    </w:p>
    <w:p w14:paraId="4E79CD1E">
      <w:pPr>
        <w:spacing w:before="97" w:line="219" w:lineRule="auto"/>
        <w:ind w:left="49"/>
        <w:rPr>
          <w:rFonts w:ascii="宋体" w:hAnsi="宋体" w:eastAsia="宋体" w:cs="宋体"/>
          <w:sz w:val="30"/>
          <w:szCs w:val="30"/>
        </w:rPr>
      </w:pPr>
      <w:r>
        <w:rPr>
          <w:rFonts w:ascii="Times New Roman" w:hAnsi="Times New Roman" w:eastAsia="Times New Roman" w:cs="Times New Roman"/>
          <w:b/>
          <w:bCs/>
          <w:spacing w:val="-5"/>
          <w:sz w:val="30"/>
          <w:szCs w:val="30"/>
        </w:rPr>
        <w:t>1.1.2</w:t>
      </w:r>
      <w:r>
        <w:rPr>
          <w:rFonts w:ascii="Times New Roman" w:hAnsi="Times New Roman" w:eastAsia="Times New Roman" w:cs="Times New Roman"/>
          <w:b/>
          <w:bCs/>
          <w:spacing w:val="21"/>
          <w:sz w:val="30"/>
          <w:szCs w:val="30"/>
        </w:rPr>
        <w:t xml:space="preserve">  </w:t>
      </w:r>
      <w:r>
        <w:rPr>
          <w:rFonts w:ascii="宋体" w:hAnsi="宋体" w:eastAsia="宋体" w:cs="宋体"/>
          <w:b/>
          <w:bCs/>
          <w:spacing w:val="-5"/>
          <w:sz w:val="30"/>
          <w:szCs w:val="30"/>
        </w:rPr>
        <w:t>国务院行政法规及部门规章</w:t>
      </w:r>
    </w:p>
    <w:p w14:paraId="00B36FB8">
      <w:pPr>
        <w:pStyle w:val="2"/>
        <w:spacing w:line="419" w:lineRule="auto"/>
      </w:pPr>
    </w:p>
    <w:p w14:paraId="6C93B6AF">
      <w:pPr>
        <w:spacing w:before="79" w:line="220" w:lineRule="auto"/>
        <w:ind w:left="561"/>
        <w:rPr>
          <w:rFonts w:ascii="宋体" w:hAnsi="宋体" w:eastAsia="宋体" w:cs="宋体"/>
          <w:sz w:val="24"/>
          <w:szCs w:val="24"/>
        </w:rPr>
      </w:pPr>
      <w:r>
        <w:rPr>
          <w:rFonts w:ascii="宋体" w:hAnsi="宋体" w:eastAsia="宋体" w:cs="宋体"/>
          <w:spacing w:val="-3"/>
          <w:sz w:val="24"/>
          <w:szCs w:val="24"/>
        </w:rPr>
        <w:t>(1)</w:t>
      </w:r>
      <w:r>
        <w:rPr>
          <w:rFonts w:ascii="宋体" w:hAnsi="宋体" w:eastAsia="宋体" w:cs="宋体"/>
          <w:spacing w:val="-53"/>
          <w:sz w:val="24"/>
          <w:szCs w:val="24"/>
        </w:rPr>
        <w:t xml:space="preserve"> </w:t>
      </w:r>
      <w:r>
        <w:rPr>
          <w:rFonts w:ascii="宋体" w:hAnsi="宋体" w:eastAsia="宋体" w:cs="宋体"/>
          <w:spacing w:val="-3"/>
          <w:sz w:val="24"/>
          <w:szCs w:val="24"/>
        </w:rPr>
        <w:t>《建设项目环境保护管理条例》（</w:t>
      </w:r>
      <w:r>
        <w:rPr>
          <w:rFonts w:ascii="Times New Roman" w:hAnsi="Times New Roman" w:eastAsia="Times New Roman" w:cs="Times New Roman"/>
          <w:spacing w:val="-3"/>
          <w:sz w:val="24"/>
          <w:szCs w:val="24"/>
        </w:rPr>
        <w:t>2017</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10</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日施行</w:t>
      </w:r>
      <w:r>
        <w:rPr>
          <w:rFonts w:ascii="宋体" w:hAnsi="宋体" w:eastAsia="宋体" w:cs="宋体"/>
          <w:spacing w:val="-4"/>
          <w:sz w:val="24"/>
          <w:szCs w:val="24"/>
        </w:rPr>
        <w:t>）；</w:t>
      </w:r>
    </w:p>
    <w:p w14:paraId="751B8806">
      <w:pPr>
        <w:spacing w:before="182" w:line="220" w:lineRule="auto"/>
        <w:ind w:left="561"/>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52"/>
          <w:sz w:val="24"/>
          <w:szCs w:val="24"/>
        </w:rPr>
        <w:t xml:space="preserve"> </w:t>
      </w:r>
      <w:r>
        <w:rPr>
          <w:rFonts w:ascii="宋体" w:hAnsi="宋体" w:eastAsia="宋体" w:cs="宋体"/>
          <w:spacing w:val="-3"/>
          <w:sz w:val="24"/>
          <w:szCs w:val="24"/>
        </w:rPr>
        <w:t>《畜禽规模养殖污染防治条例》（</w:t>
      </w:r>
      <w:r>
        <w:rPr>
          <w:rFonts w:ascii="Times New Roman" w:hAnsi="Times New Roman" w:eastAsia="Times New Roman" w:cs="Times New Roman"/>
          <w:spacing w:val="-3"/>
          <w:sz w:val="24"/>
          <w:szCs w:val="24"/>
        </w:rPr>
        <w:t>2014</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日施行</w:t>
      </w:r>
      <w:r>
        <w:rPr>
          <w:rFonts w:ascii="宋体" w:hAnsi="宋体" w:eastAsia="宋体" w:cs="宋体"/>
          <w:spacing w:val="-6"/>
          <w:sz w:val="24"/>
          <w:szCs w:val="24"/>
        </w:rPr>
        <w:t>）；</w:t>
      </w:r>
    </w:p>
    <w:p w14:paraId="03750A4B">
      <w:pPr>
        <w:spacing w:before="183" w:line="219" w:lineRule="auto"/>
        <w:ind w:left="561"/>
        <w:rPr>
          <w:rFonts w:ascii="宋体" w:hAnsi="宋体" w:eastAsia="宋体" w:cs="宋体"/>
          <w:sz w:val="24"/>
          <w:szCs w:val="24"/>
        </w:rPr>
      </w:pPr>
      <w:r>
        <w:rPr>
          <w:rFonts w:ascii="宋体" w:hAnsi="宋体" w:eastAsia="宋体" w:cs="宋体"/>
          <w:spacing w:val="-4"/>
          <w:sz w:val="24"/>
          <w:szCs w:val="24"/>
        </w:rPr>
        <w:t>(3)</w:t>
      </w:r>
      <w:r>
        <w:rPr>
          <w:rFonts w:ascii="宋体" w:hAnsi="宋体" w:eastAsia="宋体" w:cs="宋体"/>
          <w:spacing w:val="-53"/>
          <w:sz w:val="24"/>
          <w:szCs w:val="24"/>
        </w:rPr>
        <w:t xml:space="preserve"> </w:t>
      </w:r>
      <w:r>
        <w:rPr>
          <w:rFonts w:ascii="宋体" w:hAnsi="宋体" w:eastAsia="宋体" w:cs="宋体"/>
          <w:spacing w:val="-4"/>
          <w:sz w:val="24"/>
          <w:szCs w:val="24"/>
        </w:rPr>
        <w:t>《基本农田保护条例》（</w:t>
      </w:r>
      <w:r>
        <w:rPr>
          <w:rFonts w:ascii="Times New Roman" w:hAnsi="Times New Roman" w:eastAsia="Times New Roman" w:cs="Times New Roman"/>
          <w:spacing w:val="-4"/>
          <w:sz w:val="24"/>
          <w:szCs w:val="24"/>
        </w:rPr>
        <w:t>2011</w:t>
      </w:r>
      <w:r>
        <w:rPr>
          <w:rFonts w:ascii="宋体" w:hAnsi="宋体" w:eastAsia="宋体" w:cs="宋体"/>
          <w:spacing w:val="-4"/>
          <w:sz w:val="24"/>
          <w:szCs w:val="24"/>
        </w:rPr>
        <w:t>年</w:t>
      </w:r>
      <w:r>
        <w:rPr>
          <w:rFonts w:ascii="Times New Roman" w:hAnsi="Times New Roman" w:eastAsia="Times New Roman" w:cs="Times New Roman"/>
          <w:spacing w:val="-4"/>
          <w:sz w:val="24"/>
          <w:szCs w:val="24"/>
        </w:rPr>
        <w:t>1</w:t>
      </w:r>
      <w:r>
        <w:rPr>
          <w:rFonts w:ascii="宋体" w:hAnsi="宋体" w:eastAsia="宋体" w:cs="宋体"/>
          <w:spacing w:val="-4"/>
          <w:sz w:val="24"/>
          <w:szCs w:val="24"/>
        </w:rPr>
        <w:t>月</w:t>
      </w:r>
      <w:r>
        <w:rPr>
          <w:rFonts w:ascii="Times New Roman" w:hAnsi="Times New Roman" w:eastAsia="Times New Roman" w:cs="Times New Roman"/>
          <w:spacing w:val="-4"/>
          <w:sz w:val="24"/>
          <w:szCs w:val="24"/>
        </w:rPr>
        <w:t>8</w:t>
      </w:r>
      <w:r>
        <w:rPr>
          <w:rFonts w:ascii="宋体" w:hAnsi="宋体" w:eastAsia="宋体" w:cs="宋体"/>
          <w:spacing w:val="-4"/>
          <w:sz w:val="24"/>
          <w:szCs w:val="24"/>
        </w:rPr>
        <w:t>日修订</w:t>
      </w:r>
      <w:r>
        <w:rPr>
          <w:rFonts w:ascii="宋体" w:hAnsi="宋体" w:eastAsia="宋体" w:cs="宋体"/>
          <w:spacing w:val="1"/>
          <w:sz w:val="24"/>
          <w:szCs w:val="24"/>
        </w:rPr>
        <w:t>）；</w:t>
      </w:r>
    </w:p>
    <w:p w14:paraId="5983EAFB">
      <w:pPr>
        <w:spacing w:before="184" w:line="212" w:lineRule="auto"/>
        <w:ind w:left="5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53"/>
          <w:sz w:val="24"/>
          <w:szCs w:val="24"/>
        </w:rPr>
        <w:t xml:space="preserve"> </w:t>
      </w:r>
      <w:r>
        <w:rPr>
          <w:rFonts w:ascii="宋体" w:hAnsi="宋体" w:eastAsia="宋体" w:cs="宋体"/>
          <w:spacing w:val="-3"/>
          <w:sz w:val="24"/>
          <w:szCs w:val="24"/>
        </w:rPr>
        <w:t>《大气污染防治行动计划》（国发</w:t>
      </w:r>
      <w:r>
        <w:rPr>
          <w:rFonts w:ascii="Times New Roman" w:hAnsi="Times New Roman" w:eastAsia="Times New Roman" w:cs="Times New Roman"/>
          <w:spacing w:val="-3"/>
          <w:sz w:val="24"/>
          <w:szCs w:val="24"/>
        </w:rPr>
        <w:t>[</w:t>
      </w:r>
      <w:r>
        <w:fldChar w:fldCharType="begin"/>
      </w:r>
      <w:r>
        <w:instrText xml:space="preserve"> HYPERLINK \l "bookmark79" </w:instrText>
      </w:r>
      <w:r>
        <w:fldChar w:fldCharType="separate"/>
      </w:r>
      <w:r>
        <w:rPr>
          <w:rFonts w:ascii="Times New Roman" w:hAnsi="Times New Roman" w:eastAsia="Times New Roman" w:cs="Times New Roman"/>
          <w:spacing w:val="-3"/>
          <w:sz w:val="24"/>
          <w:szCs w:val="24"/>
        </w:rPr>
        <w:t>2013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]37</w:t>
      </w:r>
      <w:r>
        <w:rPr>
          <w:rFonts w:ascii="宋体" w:hAnsi="宋体" w:eastAsia="宋体" w:cs="宋体"/>
          <w:spacing w:val="-3"/>
          <w:sz w:val="24"/>
          <w:szCs w:val="24"/>
        </w:rPr>
        <w:t>号</w:t>
      </w:r>
      <w:r>
        <w:rPr>
          <w:rFonts w:ascii="宋体" w:hAnsi="宋体" w:eastAsia="宋体" w:cs="宋体"/>
          <w:spacing w:val="-5"/>
          <w:sz w:val="24"/>
          <w:szCs w:val="24"/>
        </w:rPr>
        <w:t>）；</w:t>
      </w:r>
    </w:p>
    <w:p w14:paraId="750CF9BA">
      <w:pPr>
        <w:spacing w:before="192" w:line="212" w:lineRule="auto"/>
        <w:ind w:left="561"/>
        <w:rPr>
          <w:rFonts w:ascii="宋体" w:hAnsi="宋体" w:eastAsia="宋体" w:cs="宋体"/>
          <w:sz w:val="24"/>
          <w:szCs w:val="24"/>
        </w:rPr>
      </w:pPr>
      <w:r>
        <w:rPr>
          <w:rFonts w:ascii="宋体" w:hAnsi="宋体" w:eastAsia="宋体" w:cs="宋体"/>
          <w:spacing w:val="-3"/>
          <w:sz w:val="24"/>
          <w:szCs w:val="24"/>
        </w:rPr>
        <w:t>(5)</w:t>
      </w:r>
      <w:r>
        <w:rPr>
          <w:rFonts w:ascii="宋体" w:hAnsi="宋体" w:eastAsia="宋体" w:cs="宋体"/>
          <w:spacing w:val="-52"/>
          <w:sz w:val="24"/>
          <w:szCs w:val="24"/>
        </w:rPr>
        <w:t xml:space="preserve"> </w:t>
      </w:r>
      <w:r>
        <w:rPr>
          <w:rFonts w:ascii="宋体" w:hAnsi="宋体" w:eastAsia="宋体" w:cs="宋体"/>
          <w:spacing w:val="-3"/>
          <w:sz w:val="24"/>
          <w:szCs w:val="24"/>
        </w:rPr>
        <w:t>《打赢蓝天保卫战三年行动计划》（国发</w:t>
      </w:r>
      <w:r>
        <w:rPr>
          <w:rFonts w:ascii="Times New Roman" w:hAnsi="Times New Roman" w:eastAsia="Times New Roman" w:cs="Times New Roman"/>
          <w:spacing w:val="-3"/>
          <w:sz w:val="24"/>
          <w:szCs w:val="24"/>
        </w:rPr>
        <w:t>[</w:t>
      </w:r>
      <w:r>
        <w:fldChar w:fldCharType="begin"/>
      </w:r>
      <w:r>
        <w:instrText xml:space="preserve"> HYPERLINK \l "bookmark80" </w:instrText>
      </w:r>
      <w:r>
        <w:fldChar w:fldCharType="separate"/>
      </w:r>
      <w:r>
        <w:rPr>
          <w:rFonts w:ascii="Times New Roman" w:hAnsi="Times New Roman" w:eastAsia="Times New Roman" w:cs="Times New Roman"/>
          <w:spacing w:val="-3"/>
          <w:sz w:val="24"/>
          <w:szCs w:val="24"/>
        </w:rPr>
        <w:t>2018</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]22</w:t>
      </w:r>
      <w:r>
        <w:rPr>
          <w:rFonts w:ascii="宋体" w:hAnsi="宋体" w:eastAsia="宋体" w:cs="宋体"/>
          <w:spacing w:val="-3"/>
          <w:sz w:val="24"/>
          <w:szCs w:val="24"/>
        </w:rPr>
        <w:t>号</w:t>
      </w:r>
      <w:r>
        <w:rPr>
          <w:rFonts w:ascii="宋体" w:hAnsi="宋体" w:eastAsia="宋体" w:cs="宋体"/>
          <w:spacing w:val="-1"/>
          <w:sz w:val="24"/>
          <w:szCs w:val="24"/>
        </w:rPr>
        <w:t>）；</w:t>
      </w:r>
    </w:p>
    <w:p w14:paraId="61C14E5C">
      <w:pPr>
        <w:spacing w:before="192" w:line="212" w:lineRule="auto"/>
        <w:ind w:left="561"/>
        <w:rPr>
          <w:rFonts w:ascii="宋体" w:hAnsi="宋体" w:eastAsia="宋体" w:cs="宋体"/>
          <w:sz w:val="24"/>
          <w:szCs w:val="24"/>
        </w:rPr>
      </w:pPr>
      <w:r>
        <w:rPr>
          <w:rFonts w:ascii="宋体" w:hAnsi="宋体" w:eastAsia="宋体" w:cs="宋体"/>
          <w:spacing w:val="-4"/>
          <w:sz w:val="24"/>
          <w:szCs w:val="24"/>
        </w:rPr>
        <w:t>(6)</w:t>
      </w:r>
      <w:r>
        <w:rPr>
          <w:rFonts w:ascii="宋体" w:hAnsi="宋体" w:eastAsia="宋体" w:cs="宋体"/>
          <w:spacing w:val="-53"/>
          <w:sz w:val="24"/>
          <w:szCs w:val="24"/>
        </w:rPr>
        <w:t xml:space="preserve"> </w:t>
      </w:r>
      <w:r>
        <w:rPr>
          <w:rFonts w:ascii="宋体" w:hAnsi="宋体" w:eastAsia="宋体" w:cs="宋体"/>
          <w:spacing w:val="-4"/>
          <w:sz w:val="24"/>
          <w:szCs w:val="24"/>
        </w:rPr>
        <w:t>《水污染防治行动计划》（国发</w:t>
      </w:r>
      <w:r>
        <w:rPr>
          <w:rFonts w:ascii="Times New Roman" w:hAnsi="Times New Roman" w:eastAsia="Times New Roman" w:cs="Times New Roman"/>
          <w:spacing w:val="-4"/>
          <w:sz w:val="24"/>
          <w:szCs w:val="24"/>
        </w:rPr>
        <w:t>[</w:t>
      </w:r>
      <w:r>
        <w:fldChar w:fldCharType="begin"/>
      </w:r>
      <w:r>
        <w:instrText xml:space="preserve"> HYPERLINK \l "bookmark81" </w:instrText>
      </w:r>
      <w:r>
        <w:fldChar w:fldCharType="separate"/>
      </w:r>
      <w:r>
        <w:rPr>
          <w:rFonts w:ascii="Times New Roman" w:hAnsi="Times New Roman" w:eastAsia="Times New Roman" w:cs="Times New Roman"/>
          <w:spacing w:val="-4"/>
          <w:sz w:val="24"/>
          <w:szCs w:val="24"/>
        </w:rPr>
        <w:t>2015</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17</w:t>
      </w:r>
      <w:r>
        <w:rPr>
          <w:rFonts w:ascii="宋体" w:hAnsi="宋体" w:eastAsia="宋体" w:cs="宋体"/>
          <w:spacing w:val="-4"/>
          <w:sz w:val="24"/>
          <w:szCs w:val="24"/>
        </w:rPr>
        <w:t>号</w:t>
      </w:r>
      <w:r>
        <w:rPr>
          <w:rFonts w:ascii="宋体" w:hAnsi="宋体" w:eastAsia="宋体" w:cs="宋体"/>
          <w:spacing w:val="-7"/>
          <w:sz w:val="24"/>
          <w:szCs w:val="24"/>
        </w:rPr>
        <w:t>）；</w:t>
      </w:r>
    </w:p>
    <w:p w14:paraId="2E92B36C">
      <w:pPr>
        <w:spacing w:before="193" w:line="212" w:lineRule="auto"/>
        <w:ind w:left="561"/>
        <w:rPr>
          <w:rFonts w:ascii="宋体" w:hAnsi="宋体" w:eastAsia="宋体" w:cs="宋体"/>
          <w:sz w:val="24"/>
          <w:szCs w:val="24"/>
        </w:rPr>
      </w:pPr>
      <w:r>
        <w:rPr>
          <w:rFonts w:ascii="宋体" w:hAnsi="宋体" w:eastAsia="宋体" w:cs="宋体"/>
          <w:spacing w:val="-3"/>
          <w:sz w:val="24"/>
          <w:szCs w:val="24"/>
        </w:rPr>
        <w:t>(7)</w:t>
      </w:r>
      <w:r>
        <w:rPr>
          <w:rFonts w:ascii="宋体" w:hAnsi="宋体" w:eastAsia="宋体" w:cs="宋体"/>
          <w:spacing w:val="-53"/>
          <w:sz w:val="24"/>
          <w:szCs w:val="24"/>
        </w:rPr>
        <w:t xml:space="preserve"> </w:t>
      </w:r>
      <w:r>
        <w:rPr>
          <w:rFonts w:ascii="宋体" w:hAnsi="宋体" w:eastAsia="宋体" w:cs="宋体"/>
          <w:spacing w:val="-3"/>
          <w:sz w:val="24"/>
          <w:szCs w:val="24"/>
        </w:rPr>
        <w:t>《土壤污染防治行动计划》（国发</w:t>
      </w:r>
      <w:r>
        <w:rPr>
          <w:rFonts w:ascii="Times New Roman" w:hAnsi="Times New Roman" w:eastAsia="Times New Roman" w:cs="Times New Roman"/>
          <w:spacing w:val="-3"/>
          <w:sz w:val="24"/>
          <w:szCs w:val="24"/>
        </w:rPr>
        <w:t>[</w:t>
      </w:r>
      <w:r>
        <w:fldChar w:fldCharType="begin"/>
      </w:r>
      <w:r>
        <w:instrText xml:space="preserve"> HYPERLINK \l "bookmark82" </w:instrText>
      </w:r>
      <w:r>
        <w:fldChar w:fldCharType="separate"/>
      </w:r>
      <w:r>
        <w:rPr>
          <w:rFonts w:ascii="Times New Roman" w:hAnsi="Times New Roman" w:eastAsia="Times New Roman" w:cs="Times New Roman"/>
          <w:spacing w:val="-3"/>
          <w:sz w:val="24"/>
          <w:szCs w:val="24"/>
        </w:rPr>
        <w:t>2016</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]31</w:t>
      </w:r>
      <w:r>
        <w:rPr>
          <w:rFonts w:ascii="宋体" w:hAnsi="宋体" w:eastAsia="宋体" w:cs="宋体"/>
          <w:spacing w:val="-3"/>
          <w:sz w:val="24"/>
          <w:szCs w:val="24"/>
        </w:rPr>
        <w:t>号</w:t>
      </w:r>
      <w:r>
        <w:rPr>
          <w:rFonts w:ascii="宋体" w:hAnsi="宋体" w:eastAsia="宋体" w:cs="宋体"/>
          <w:spacing w:val="-5"/>
          <w:sz w:val="24"/>
          <w:szCs w:val="24"/>
        </w:rPr>
        <w:t>）；</w:t>
      </w:r>
    </w:p>
    <w:p w14:paraId="469C2E1F">
      <w:pPr>
        <w:spacing w:before="191" w:line="220" w:lineRule="auto"/>
        <w:ind w:left="561"/>
        <w:rPr>
          <w:rFonts w:ascii="宋体" w:hAnsi="宋体" w:eastAsia="宋体" w:cs="宋体"/>
          <w:sz w:val="24"/>
          <w:szCs w:val="24"/>
        </w:rPr>
      </w:pPr>
      <w:r>
        <w:rPr>
          <w:rFonts w:ascii="宋体" w:hAnsi="宋体" w:eastAsia="宋体" w:cs="宋体"/>
          <w:spacing w:val="-3"/>
          <w:sz w:val="24"/>
          <w:szCs w:val="24"/>
        </w:rPr>
        <w:t>(8)</w:t>
      </w:r>
      <w:r>
        <w:rPr>
          <w:rFonts w:ascii="宋体" w:hAnsi="宋体" w:eastAsia="宋体" w:cs="宋体"/>
          <w:spacing w:val="-52"/>
          <w:sz w:val="24"/>
          <w:szCs w:val="24"/>
        </w:rPr>
        <w:t xml:space="preserve"> </w:t>
      </w:r>
      <w:r>
        <w:rPr>
          <w:rFonts w:ascii="宋体" w:hAnsi="宋体" w:eastAsia="宋体" w:cs="宋体"/>
          <w:spacing w:val="-3"/>
          <w:sz w:val="24"/>
          <w:szCs w:val="24"/>
        </w:rPr>
        <w:t>《环境保护公众参与办法》（</w:t>
      </w:r>
      <w:r>
        <w:rPr>
          <w:rFonts w:ascii="Times New Roman" w:hAnsi="Times New Roman" w:eastAsia="Times New Roman" w:cs="Times New Roman"/>
          <w:spacing w:val="-3"/>
          <w:sz w:val="24"/>
          <w:szCs w:val="24"/>
        </w:rPr>
        <w:t>2015</w:t>
      </w:r>
      <w:r>
        <w:rPr>
          <w:rFonts w:ascii="宋体" w:hAnsi="宋体" w:eastAsia="宋体" w:cs="宋体"/>
          <w:spacing w:val="-3"/>
          <w:sz w:val="24"/>
          <w:szCs w:val="24"/>
        </w:rPr>
        <w:t>年</w:t>
      </w:r>
      <w:r>
        <w:rPr>
          <w:rFonts w:ascii="Times New Roman" w:hAnsi="Times New Roman" w:eastAsia="Times New Roman" w:cs="Times New Roman"/>
          <w:spacing w:val="-3"/>
          <w:sz w:val="24"/>
          <w:szCs w:val="24"/>
        </w:rPr>
        <w:t>9</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w:t>
      </w:r>
      <w:r>
        <w:rPr>
          <w:rFonts w:ascii="宋体" w:hAnsi="宋体" w:eastAsia="宋体" w:cs="宋体"/>
          <w:spacing w:val="-8"/>
          <w:sz w:val="24"/>
          <w:szCs w:val="24"/>
        </w:rPr>
        <w:t>）；</w:t>
      </w:r>
    </w:p>
    <w:p w14:paraId="73599943">
      <w:pPr>
        <w:spacing w:before="183" w:line="218" w:lineRule="auto"/>
        <w:ind w:left="561"/>
        <w:rPr>
          <w:rFonts w:ascii="宋体" w:hAnsi="宋体" w:eastAsia="宋体" w:cs="宋体"/>
          <w:sz w:val="24"/>
          <w:szCs w:val="24"/>
        </w:rPr>
      </w:pPr>
      <w:r>
        <w:rPr>
          <w:rFonts w:ascii="宋体" w:hAnsi="宋体" w:eastAsia="宋体" w:cs="宋体"/>
          <w:spacing w:val="-3"/>
          <w:sz w:val="24"/>
          <w:szCs w:val="24"/>
        </w:rPr>
        <w:t>(9)</w:t>
      </w:r>
      <w:r>
        <w:rPr>
          <w:rFonts w:ascii="宋体" w:hAnsi="宋体" w:eastAsia="宋体" w:cs="宋体"/>
          <w:spacing w:val="-52"/>
          <w:sz w:val="24"/>
          <w:szCs w:val="24"/>
        </w:rPr>
        <w:t xml:space="preserve"> </w:t>
      </w:r>
      <w:r>
        <w:rPr>
          <w:rFonts w:ascii="宋体" w:hAnsi="宋体" w:eastAsia="宋体" w:cs="宋体"/>
          <w:spacing w:val="-3"/>
          <w:sz w:val="24"/>
          <w:szCs w:val="24"/>
        </w:rPr>
        <w:t>《环境影响评价公众参与办法》（</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w:t>
      </w:r>
      <w:r>
        <w:rPr>
          <w:rFonts w:ascii="宋体" w:hAnsi="宋体" w:eastAsia="宋体" w:cs="宋体"/>
          <w:spacing w:val="-3"/>
          <w:sz w:val="24"/>
          <w:szCs w:val="24"/>
        </w:rPr>
        <w:t>日实施</w:t>
      </w:r>
      <w:r>
        <w:rPr>
          <w:rFonts w:ascii="宋体" w:hAnsi="宋体" w:eastAsia="宋体" w:cs="宋体"/>
          <w:spacing w:val="-6"/>
          <w:sz w:val="24"/>
          <w:szCs w:val="24"/>
        </w:rPr>
        <w:t>）；</w:t>
      </w:r>
    </w:p>
    <w:p w14:paraId="73EAA1A6">
      <w:pPr>
        <w:spacing w:line="218" w:lineRule="auto"/>
        <w:rPr>
          <w:rFonts w:ascii="宋体" w:hAnsi="宋体" w:eastAsia="宋体" w:cs="宋体"/>
          <w:sz w:val="24"/>
          <w:szCs w:val="24"/>
        </w:rPr>
        <w:sectPr>
          <w:headerReference r:id="rId27" w:type="default"/>
          <w:footerReference r:id="rId28" w:type="default"/>
          <w:pgSz w:w="11905" w:h="16840"/>
          <w:pgMar w:top="1168" w:right="1768" w:bottom="1409" w:left="1770" w:header="828" w:footer="1244" w:gutter="0"/>
          <w:cols w:space="720" w:num="1"/>
        </w:sectPr>
      </w:pPr>
    </w:p>
    <w:p w14:paraId="4CFE2D29">
      <w:pPr>
        <w:pStyle w:val="2"/>
        <w:spacing w:line="306" w:lineRule="auto"/>
      </w:pPr>
    </w:p>
    <w:p w14:paraId="3E7C402B">
      <w:pPr>
        <w:spacing w:before="78" w:line="218" w:lineRule="auto"/>
        <w:ind w:right="29"/>
        <w:jc w:val="right"/>
        <w:rPr>
          <w:rFonts w:ascii="宋体" w:hAnsi="宋体" w:eastAsia="宋体" w:cs="宋体"/>
          <w:sz w:val="24"/>
          <w:szCs w:val="24"/>
        </w:rPr>
      </w:pPr>
      <w:r>
        <w:rPr>
          <w:rFonts w:ascii="宋体" w:hAnsi="宋体" w:eastAsia="宋体" w:cs="宋体"/>
          <w:sz w:val="24"/>
          <w:szCs w:val="24"/>
        </w:rPr>
        <w:t>(10)</w:t>
      </w:r>
      <w:r>
        <w:rPr>
          <w:rFonts w:ascii="宋体" w:hAnsi="宋体" w:eastAsia="宋体" w:cs="宋体"/>
          <w:spacing w:val="-53"/>
          <w:sz w:val="24"/>
          <w:szCs w:val="24"/>
        </w:rPr>
        <w:t xml:space="preserve"> </w:t>
      </w:r>
      <w:r>
        <w:rPr>
          <w:rFonts w:ascii="宋体" w:hAnsi="宋体" w:eastAsia="宋体" w:cs="宋体"/>
          <w:sz w:val="24"/>
          <w:szCs w:val="24"/>
        </w:rPr>
        <w:t>《关于发布</w:t>
      </w:r>
      <w:r>
        <w:rPr>
          <w:rFonts w:ascii="Times New Roman" w:hAnsi="Times New Roman" w:eastAsia="Times New Roman" w:cs="Times New Roman"/>
          <w:sz w:val="24"/>
          <w:szCs w:val="24"/>
        </w:rPr>
        <w:t>&lt;</w:t>
      </w:r>
      <w:r>
        <w:rPr>
          <w:rFonts w:ascii="宋体" w:hAnsi="宋体" w:eastAsia="宋体" w:cs="宋体"/>
          <w:sz w:val="24"/>
          <w:szCs w:val="24"/>
        </w:rPr>
        <w:t>环境影响评价公众参与办法</w:t>
      </w:r>
      <w:r>
        <w:rPr>
          <w:rFonts w:ascii="Times New Roman" w:hAnsi="Times New Roman" w:eastAsia="Times New Roman" w:cs="Times New Roman"/>
          <w:sz w:val="24"/>
          <w:szCs w:val="24"/>
        </w:rPr>
        <w:t>&gt;</w:t>
      </w:r>
      <w:r>
        <w:rPr>
          <w:rFonts w:ascii="宋体" w:hAnsi="宋体" w:eastAsia="宋体" w:cs="宋体"/>
          <w:sz w:val="24"/>
          <w:szCs w:val="24"/>
        </w:rPr>
        <w:t>配套文件的公告》</w:t>
      </w:r>
      <w:r>
        <w:rPr>
          <w:rFonts w:ascii="宋体" w:hAnsi="宋体" w:eastAsia="宋体" w:cs="宋体"/>
          <w:spacing w:val="-1"/>
          <w:sz w:val="24"/>
          <w:szCs w:val="24"/>
        </w:rPr>
        <w:t>（生态环</w:t>
      </w:r>
    </w:p>
    <w:p w14:paraId="412EC104">
      <w:pPr>
        <w:spacing w:before="184" w:line="218" w:lineRule="auto"/>
        <w:ind w:left="40"/>
        <w:rPr>
          <w:rFonts w:ascii="宋体" w:hAnsi="宋体" w:eastAsia="宋体" w:cs="宋体"/>
          <w:sz w:val="24"/>
          <w:szCs w:val="24"/>
        </w:rPr>
      </w:pPr>
      <w:r>
        <w:rPr>
          <w:rFonts w:ascii="宋体" w:hAnsi="宋体" w:eastAsia="宋体" w:cs="宋体"/>
          <w:spacing w:val="-1"/>
          <w:sz w:val="24"/>
          <w:szCs w:val="24"/>
        </w:rPr>
        <w:t>境部公告</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年第</w:t>
      </w:r>
      <w:r>
        <w:rPr>
          <w:rFonts w:ascii="Times New Roman" w:hAnsi="Times New Roman" w:eastAsia="Times New Roman" w:cs="Times New Roman"/>
          <w:spacing w:val="-1"/>
          <w:sz w:val="24"/>
          <w:szCs w:val="24"/>
        </w:rPr>
        <w:t>48</w:t>
      </w:r>
      <w:r>
        <w:rPr>
          <w:rFonts w:ascii="宋体" w:hAnsi="宋体" w:eastAsia="宋体" w:cs="宋体"/>
          <w:spacing w:val="-1"/>
          <w:sz w:val="24"/>
          <w:szCs w:val="24"/>
        </w:rPr>
        <w:t>号</w:t>
      </w:r>
      <w:r>
        <w:rPr>
          <w:rFonts w:ascii="宋体" w:hAnsi="宋体" w:eastAsia="宋体" w:cs="宋体"/>
          <w:sz w:val="24"/>
          <w:szCs w:val="24"/>
        </w:rPr>
        <w:t>）；</w:t>
      </w:r>
    </w:p>
    <w:p w14:paraId="4F38AED3">
      <w:pPr>
        <w:spacing w:before="183" w:line="354" w:lineRule="auto"/>
        <w:ind w:left="561" w:right="29"/>
        <w:rPr>
          <w:rFonts w:ascii="宋体" w:hAnsi="宋体" w:eastAsia="宋体" w:cs="宋体"/>
          <w:sz w:val="24"/>
          <w:szCs w:val="24"/>
        </w:rPr>
      </w:pPr>
      <w:r>
        <w:rPr>
          <w:rFonts w:ascii="宋体" w:hAnsi="宋体" w:eastAsia="宋体" w:cs="宋体"/>
          <w:spacing w:val="-1"/>
          <w:sz w:val="24"/>
          <w:szCs w:val="24"/>
        </w:rPr>
        <w:t>(11)</w:t>
      </w:r>
      <w:r>
        <w:rPr>
          <w:rFonts w:ascii="宋体" w:hAnsi="宋体" w:eastAsia="宋体" w:cs="宋体"/>
          <w:spacing w:val="-52"/>
          <w:sz w:val="24"/>
          <w:szCs w:val="24"/>
        </w:rPr>
        <w:t xml:space="preserve"> </w:t>
      </w:r>
      <w:r>
        <w:rPr>
          <w:rFonts w:ascii="宋体" w:hAnsi="宋体" w:eastAsia="宋体" w:cs="宋体"/>
          <w:spacing w:val="-1"/>
          <w:sz w:val="24"/>
          <w:szCs w:val="24"/>
        </w:rPr>
        <w:t>《国务院关于促进畜牧业持续健康</w:t>
      </w:r>
      <w:r>
        <w:rPr>
          <w:rFonts w:ascii="宋体" w:hAnsi="宋体" w:eastAsia="宋体" w:cs="宋体"/>
          <w:spacing w:val="-2"/>
          <w:sz w:val="24"/>
          <w:szCs w:val="24"/>
        </w:rPr>
        <w:t>发展的意见》（国发</w:t>
      </w:r>
      <w:r>
        <w:rPr>
          <w:rFonts w:ascii="Times New Roman" w:hAnsi="Times New Roman" w:eastAsia="Times New Roman" w:cs="Times New Roman"/>
          <w:spacing w:val="-2"/>
          <w:sz w:val="24"/>
          <w:szCs w:val="24"/>
        </w:rPr>
        <w:t>[2007]4</w:t>
      </w:r>
      <w:r>
        <w:rPr>
          <w:rFonts w:ascii="宋体" w:hAnsi="宋体" w:eastAsia="宋体" w:cs="宋体"/>
          <w:spacing w:val="-2"/>
          <w:sz w:val="24"/>
          <w:szCs w:val="24"/>
        </w:rPr>
        <w:t>号</w:t>
      </w:r>
      <w:r>
        <w:rPr>
          <w:rFonts w:ascii="宋体" w:hAnsi="宋体" w:eastAsia="宋体" w:cs="宋体"/>
          <w:spacing w:val="15"/>
          <w:sz w:val="24"/>
          <w:szCs w:val="24"/>
        </w:rPr>
        <w:t>）；</w:t>
      </w:r>
      <w:r>
        <w:rPr>
          <w:rFonts w:ascii="宋体" w:hAnsi="宋体" w:eastAsia="宋体" w:cs="宋体"/>
          <w:sz w:val="24"/>
          <w:szCs w:val="24"/>
        </w:rPr>
        <w:t xml:space="preserve"> </w:t>
      </w:r>
      <w:r>
        <w:rPr>
          <w:rFonts w:ascii="宋体" w:hAnsi="宋体" w:eastAsia="宋体" w:cs="宋体"/>
          <w:spacing w:val="-6"/>
          <w:sz w:val="24"/>
          <w:szCs w:val="24"/>
        </w:rPr>
        <w:t>(12)</w:t>
      </w:r>
      <w:r>
        <w:rPr>
          <w:rFonts w:ascii="宋体" w:hAnsi="宋体" w:eastAsia="宋体" w:cs="宋体"/>
          <w:spacing w:val="-53"/>
          <w:sz w:val="24"/>
          <w:szCs w:val="24"/>
        </w:rPr>
        <w:t xml:space="preserve"> </w:t>
      </w:r>
      <w:r>
        <w:rPr>
          <w:rFonts w:ascii="宋体" w:hAnsi="宋体" w:eastAsia="宋体" w:cs="宋体"/>
          <w:spacing w:val="-6"/>
          <w:sz w:val="24"/>
          <w:szCs w:val="24"/>
        </w:rPr>
        <w:t>《自然资源部农业农村部关于设施农业用地管理有关问题的通</w:t>
      </w:r>
      <w:r>
        <w:rPr>
          <w:rFonts w:ascii="宋体" w:hAnsi="宋体" w:eastAsia="宋体" w:cs="宋体"/>
          <w:spacing w:val="-7"/>
          <w:sz w:val="24"/>
          <w:szCs w:val="24"/>
        </w:rPr>
        <w:t>知》（自</w:t>
      </w:r>
    </w:p>
    <w:p w14:paraId="1033CDA6">
      <w:pPr>
        <w:spacing w:before="16" w:line="212" w:lineRule="auto"/>
        <w:ind w:left="40"/>
        <w:rPr>
          <w:rFonts w:ascii="宋体" w:hAnsi="宋体" w:eastAsia="宋体" w:cs="宋体"/>
          <w:sz w:val="24"/>
          <w:szCs w:val="24"/>
        </w:rPr>
      </w:pPr>
      <w:r>
        <w:rPr>
          <w:rFonts w:ascii="宋体" w:hAnsi="宋体" w:eastAsia="宋体" w:cs="宋体"/>
          <w:spacing w:val="-1"/>
          <w:sz w:val="24"/>
          <w:szCs w:val="24"/>
        </w:rPr>
        <w:t>然资规</w:t>
      </w:r>
      <w:r>
        <w:rPr>
          <w:rFonts w:ascii="Times New Roman" w:hAnsi="Times New Roman" w:eastAsia="Times New Roman" w:cs="Times New Roman"/>
          <w:spacing w:val="-1"/>
          <w:sz w:val="24"/>
          <w:szCs w:val="24"/>
        </w:rPr>
        <w:t>[2019]4</w:t>
      </w:r>
      <w:r>
        <w:rPr>
          <w:rFonts w:ascii="宋体" w:hAnsi="宋体" w:eastAsia="宋体" w:cs="宋体"/>
          <w:spacing w:val="-1"/>
          <w:sz w:val="24"/>
          <w:szCs w:val="24"/>
        </w:rPr>
        <w:t>号</w:t>
      </w:r>
      <w:r>
        <w:rPr>
          <w:rFonts w:ascii="宋体" w:hAnsi="宋体" w:eastAsia="宋体" w:cs="宋体"/>
          <w:sz w:val="24"/>
          <w:szCs w:val="24"/>
        </w:rPr>
        <w:t>）；</w:t>
      </w:r>
    </w:p>
    <w:p w14:paraId="7B445423">
      <w:pPr>
        <w:spacing w:before="192" w:line="219" w:lineRule="auto"/>
        <w:ind w:right="32"/>
        <w:jc w:val="right"/>
        <w:rPr>
          <w:rFonts w:ascii="宋体" w:hAnsi="宋体" w:eastAsia="宋体" w:cs="宋体"/>
          <w:sz w:val="24"/>
          <w:szCs w:val="24"/>
        </w:rPr>
      </w:pPr>
      <w:r>
        <w:rPr>
          <w:rFonts w:ascii="宋体" w:hAnsi="宋体" w:eastAsia="宋体" w:cs="宋体"/>
          <w:spacing w:val="1"/>
          <w:sz w:val="24"/>
          <w:szCs w:val="24"/>
        </w:rPr>
        <w:t>(13)</w:t>
      </w:r>
      <w:r>
        <w:rPr>
          <w:rFonts w:ascii="宋体" w:hAnsi="宋体" w:eastAsia="宋体" w:cs="宋体"/>
          <w:spacing w:val="-53"/>
          <w:sz w:val="24"/>
          <w:szCs w:val="24"/>
        </w:rPr>
        <w:t xml:space="preserve"> </w:t>
      </w:r>
      <w:r>
        <w:rPr>
          <w:rFonts w:ascii="宋体" w:hAnsi="宋体" w:eastAsia="宋体" w:cs="宋体"/>
          <w:spacing w:val="1"/>
          <w:sz w:val="24"/>
          <w:szCs w:val="24"/>
        </w:rPr>
        <w:t>《国务院办公厅关于建立病死畜禽无害化处理</w:t>
      </w:r>
      <w:r>
        <w:rPr>
          <w:rFonts w:ascii="宋体" w:hAnsi="宋体" w:eastAsia="宋体" w:cs="宋体"/>
          <w:sz w:val="24"/>
          <w:szCs w:val="24"/>
        </w:rPr>
        <w:t>机制的意见》（国办发</w:t>
      </w:r>
    </w:p>
    <w:p w14:paraId="4D58B4AB">
      <w:pPr>
        <w:spacing w:before="183" w:line="212" w:lineRule="auto"/>
        <w:ind w:left="49"/>
        <w:rPr>
          <w:rFonts w:ascii="宋体" w:hAnsi="宋体" w:eastAsia="宋体" w:cs="宋体"/>
          <w:sz w:val="24"/>
          <w:szCs w:val="24"/>
        </w:rPr>
      </w:pPr>
      <w:r>
        <w:rPr>
          <w:rFonts w:ascii="Times New Roman" w:hAnsi="Times New Roman" w:eastAsia="Times New Roman" w:cs="Times New Roman"/>
          <w:spacing w:val="-3"/>
          <w:sz w:val="24"/>
          <w:szCs w:val="24"/>
        </w:rPr>
        <w:t>[2014]47</w:t>
      </w:r>
      <w:r>
        <w:rPr>
          <w:rFonts w:ascii="宋体" w:hAnsi="宋体" w:eastAsia="宋体" w:cs="宋体"/>
          <w:spacing w:val="-3"/>
          <w:sz w:val="24"/>
          <w:szCs w:val="24"/>
        </w:rPr>
        <w:t>号</w:t>
      </w:r>
      <w:r>
        <w:rPr>
          <w:rFonts w:ascii="宋体" w:hAnsi="宋体" w:eastAsia="宋体" w:cs="宋体"/>
          <w:spacing w:val="2"/>
          <w:sz w:val="24"/>
          <w:szCs w:val="24"/>
        </w:rPr>
        <w:t>）；</w:t>
      </w:r>
    </w:p>
    <w:p w14:paraId="00983321">
      <w:pPr>
        <w:spacing w:before="192" w:line="220" w:lineRule="auto"/>
        <w:ind w:right="29"/>
        <w:jc w:val="right"/>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53"/>
          <w:sz w:val="24"/>
          <w:szCs w:val="24"/>
        </w:rPr>
        <w:t xml:space="preserve"> </w:t>
      </w:r>
      <w:r>
        <w:rPr>
          <w:rFonts w:ascii="宋体" w:hAnsi="宋体" w:eastAsia="宋体" w:cs="宋体"/>
          <w:spacing w:val="-6"/>
          <w:sz w:val="24"/>
          <w:szCs w:val="24"/>
        </w:rPr>
        <w:t>《国务院办公厅关于加快推进畜禽养殖废弃物资源化利用的意</w:t>
      </w:r>
      <w:r>
        <w:rPr>
          <w:rFonts w:ascii="宋体" w:hAnsi="宋体" w:eastAsia="宋体" w:cs="宋体"/>
          <w:spacing w:val="-7"/>
          <w:sz w:val="24"/>
          <w:szCs w:val="24"/>
        </w:rPr>
        <w:t>见》（国</w:t>
      </w:r>
    </w:p>
    <w:p w14:paraId="5D0273B4">
      <w:pPr>
        <w:spacing w:before="183" w:line="212" w:lineRule="auto"/>
        <w:ind w:left="44"/>
        <w:rPr>
          <w:rFonts w:ascii="宋体" w:hAnsi="宋体" w:eastAsia="宋体" w:cs="宋体"/>
          <w:sz w:val="24"/>
          <w:szCs w:val="24"/>
        </w:rPr>
      </w:pPr>
      <w:r>
        <w:rPr>
          <w:rFonts w:ascii="宋体" w:hAnsi="宋体" w:eastAsia="宋体" w:cs="宋体"/>
          <w:spacing w:val="-2"/>
          <w:sz w:val="24"/>
          <w:szCs w:val="24"/>
        </w:rPr>
        <w:t>办发</w:t>
      </w:r>
      <w:r>
        <w:rPr>
          <w:rFonts w:ascii="Times New Roman" w:hAnsi="Times New Roman" w:eastAsia="Times New Roman" w:cs="Times New Roman"/>
          <w:spacing w:val="-2"/>
          <w:sz w:val="24"/>
          <w:szCs w:val="24"/>
        </w:rPr>
        <w:t>[2017]48</w:t>
      </w:r>
      <w:r>
        <w:rPr>
          <w:rFonts w:ascii="宋体" w:hAnsi="宋体" w:eastAsia="宋体" w:cs="宋体"/>
          <w:spacing w:val="-2"/>
          <w:sz w:val="24"/>
          <w:szCs w:val="24"/>
        </w:rPr>
        <w:t>号</w:t>
      </w:r>
      <w:r>
        <w:rPr>
          <w:rFonts w:ascii="宋体" w:hAnsi="宋体" w:eastAsia="宋体" w:cs="宋体"/>
          <w:spacing w:val="3"/>
          <w:sz w:val="24"/>
          <w:szCs w:val="24"/>
        </w:rPr>
        <w:t>）；</w:t>
      </w:r>
    </w:p>
    <w:p w14:paraId="0252C3DD">
      <w:pPr>
        <w:spacing w:before="192" w:line="212" w:lineRule="auto"/>
        <w:ind w:right="29"/>
        <w:jc w:val="right"/>
        <w:rPr>
          <w:rFonts w:ascii="Times New Roman" w:hAnsi="Times New Roman" w:eastAsia="Times New Roman" w:cs="Times New Roman"/>
          <w:sz w:val="24"/>
          <w:szCs w:val="24"/>
        </w:rPr>
      </w:pPr>
      <w:r>
        <w:rPr>
          <w:rFonts w:ascii="宋体" w:hAnsi="宋体" w:eastAsia="宋体" w:cs="宋体"/>
          <w:spacing w:val="-3"/>
          <w:sz w:val="24"/>
          <w:szCs w:val="24"/>
        </w:rPr>
        <w:t>(15)</w:t>
      </w:r>
      <w:r>
        <w:rPr>
          <w:rFonts w:ascii="宋体" w:hAnsi="宋体" w:eastAsia="宋体" w:cs="宋体"/>
          <w:spacing w:val="-52"/>
          <w:sz w:val="24"/>
          <w:szCs w:val="24"/>
        </w:rPr>
        <w:t xml:space="preserve"> </w:t>
      </w:r>
      <w:r>
        <w:rPr>
          <w:rFonts w:ascii="宋体" w:hAnsi="宋体" w:eastAsia="宋体" w:cs="宋体"/>
          <w:spacing w:val="-3"/>
          <w:sz w:val="24"/>
          <w:szCs w:val="24"/>
        </w:rPr>
        <w:t>《国务院办公厅关于促进畜牧业高质量发</w:t>
      </w:r>
      <w:r>
        <w:rPr>
          <w:rFonts w:ascii="宋体" w:hAnsi="宋体" w:eastAsia="宋体" w:cs="宋体"/>
          <w:spacing w:val="-4"/>
          <w:sz w:val="24"/>
          <w:szCs w:val="24"/>
        </w:rPr>
        <w:t>展的意见》（国办发</w:t>
      </w:r>
      <w:r>
        <w:rPr>
          <w:rFonts w:ascii="Times New Roman" w:hAnsi="Times New Roman" w:eastAsia="Times New Roman" w:cs="Times New Roman"/>
          <w:spacing w:val="-4"/>
          <w:sz w:val="24"/>
          <w:szCs w:val="24"/>
        </w:rPr>
        <w:t>[2020]31</w:t>
      </w:r>
    </w:p>
    <w:p w14:paraId="04B2D513">
      <w:pPr>
        <w:spacing w:before="192" w:line="221" w:lineRule="auto"/>
        <w:ind w:left="45"/>
        <w:rPr>
          <w:rFonts w:ascii="宋体" w:hAnsi="宋体" w:eastAsia="宋体" w:cs="宋体"/>
          <w:sz w:val="24"/>
          <w:szCs w:val="24"/>
        </w:rPr>
      </w:pPr>
      <w:r>
        <w:rPr>
          <w:rFonts w:ascii="宋体" w:hAnsi="宋体" w:eastAsia="宋体" w:cs="宋体"/>
          <w:spacing w:val="-16"/>
          <w:sz w:val="24"/>
          <w:szCs w:val="24"/>
        </w:rPr>
        <w:t>号</w:t>
      </w:r>
      <w:r>
        <w:rPr>
          <w:rFonts w:ascii="宋体" w:hAnsi="宋体" w:eastAsia="宋体" w:cs="宋体"/>
          <w:sz w:val="24"/>
          <w:szCs w:val="24"/>
        </w:rPr>
        <w:t>）；</w:t>
      </w:r>
    </w:p>
    <w:p w14:paraId="1D41B259">
      <w:pPr>
        <w:spacing w:before="181" w:line="219" w:lineRule="auto"/>
        <w:ind w:right="32"/>
        <w:jc w:val="right"/>
        <w:rPr>
          <w:rFonts w:ascii="宋体" w:hAnsi="宋体" w:eastAsia="宋体" w:cs="宋体"/>
          <w:sz w:val="24"/>
          <w:szCs w:val="24"/>
        </w:rPr>
      </w:pPr>
      <w:r>
        <w:rPr>
          <w:rFonts w:ascii="宋体" w:hAnsi="宋体" w:eastAsia="宋体" w:cs="宋体"/>
          <w:spacing w:val="1"/>
          <w:sz w:val="24"/>
          <w:szCs w:val="24"/>
        </w:rPr>
        <w:t>(16)</w:t>
      </w:r>
      <w:r>
        <w:rPr>
          <w:rFonts w:ascii="宋体" w:hAnsi="宋体" w:eastAsia="宋体" w:cs="宋体"/>
          <w:spacing w:val="-53"/>
          <w:sz w:val="24"/>
          <w:szCs w:val="24"/>
        </w:rPr>
        <w:t xml:space="preserve"> </w:t>
      </w:r>
      <w:r>
        <w:rPr>
          <w:rFonts w:ascii="宋体" w:hAnsi="宋体" w:eastAsia="宋体" w:cs="宋体"/>
          <w:spacing w:val="1"/>
          <w:sz w:val="24"/>
          <w:szCs w:val="24"/>
        </w:rPr>
        <w:t>《农业农村部办公厅、生态环境部办公厅关于</w:t>
      </w:r>
      <w:r>
        <w:rPr>
          <w:rFonts w:ascii="宋体" w:hAnsi="宋体" w:eastAsia="宋体" w:cs="宋体"/>
          <w:sz w:val="24"/>
          <w:szCs w:val="24"/>
        </w:rPr>
        <w:t>促进畜禽粪污还田利用</w:t>
      </w:r>
    </w:p>
    <w:p w14:paraId="188DCF9A">
      <w:pPr>
        <w:spacing w:before="184" w:line="212" w:lineRule="auto"/>
        <w:ind w:left="41"/>
        <w:rPr>
          <w:rFonts w:ascii="宋体" w:hAnsi="宋体" w:eastAsia="宋体" w:cs="宋体"/>
          <w:sz w:val="24"/>
          <w:szCs w:val="24"/>
        </w:rPr>
      </w:pPr>
      <w:r>
        <w:rPr>
          <w:rFonts w:ascii="宋体" w:hAnsi="宋体" w:eastAsia="宋体" w:cs="宋体"/>
          <w:spacing w:val="-1"/>
          <w:sz w:val="24"/>
          <w:szCs w:val="24"/>
        </w:rPr>
        <w:t>依法加强养殖污染治理的指导意见》（农办牧</w:t>
      </w:r>
      <w:r>
        <w:rPr>
          <w:rFonts w:ascii="Times New Roman" w:hAnsi="Times New Roman" w:eastAsia="Times New Roman" w:cs="Times New Roman"/>
          <w:spacing w:val="-1"/>
          <w:sz w:val="24"/>
          <w:szCs w:val="24"/>
        </w:rPr>
        <w:t>[2019]84</w:t>
      </w:r>
      <w:r>
        <w:rPr>
          <w:rFonts w:ascii="宋体" w:hAnsi="宋体" w:eastAsia="宋体" w:cs="宋体"/>
          <w:spacing w:val="-1"/>
          <w:sz w:val="24"/>
          <w:szCs w:val="24"/>
        </w:rPr>
        <w:t>号</w:t>
      </w:r>
      <w:r>
        <w:rPr>
          <w:rFonts w:ascii="宋体" w:hAnsi="宋体" w:eastAsia="宋体" w:cs="宋体"/>
          <w:spacing w:val="7"/>
          <w:sz w:val="24"/>
          <w:szCs w:val="24"/>
        </w:rPr>
        <w:t>）；</w:t>
      </w:r>
    </w:p>
    <w:p w14:paraId="09AD5ABF">
      <w:pPr>
        <w:spacing w:before="192" w:line="219" w:lineRule="auto"/>
        <w:ind w:right="32"/>
        <w:jc w:val="right"/>
        <w:rPr>
          <w:rFonts w:ascii="宋体" w:hAnsi="宋体" w:eastAsia="宋体" w:cs="宋体"/>
          <w:sz w:val="24"/>
          <w:szCs w:val="24"/>
        </w:rPr>
      </w:pPr>
      <w:r>
        <w:rPr>
          <w:rFonts w:ascii="宋体" w:hAnsi="宋体" w:eastAsia="宋体" w:cs="宋体"/>
          <w:spacing w:val="1"/>
          <w:sz w:val="24"/>
          <w:szCs w:val="24"/>
        </w:rPr>
        <w:t>(17)</w:t>
      </w:r>
      <w:r>
        <w:rPr>
          <w:rFonts w:ascii="宋体" w:hAnsi="宋体" w:eastAsia="宋体" w:cs="宋体"/>
          <w:spacing w:val="-53"/>
          <w:sz w:val="24"/>
          <w:szCs w:val="24"/>
        </w:rPr>
        <w:t xml:space="preserve"> </w:t>
      </w:r>
      <w:r>
        <w:rPr>
          <w:rFonts w:ascii="宋体" w:hAnsi="宋体" w:eastAsia="宋体" w:cs="宋体"/>
          <w:spacing w:val="1"/>
          <w:sz w:val="24"/>
          <w:szCs w:val="24"/>
        </w:rPr>
        <w:t>《农业农村部办公厅、生态环境部办公厅关于</w:t>
      </w:r>
      <w:r>
        <w:rPr>
          <w:rFonts w:ascii="宋体" w:hAnsi="宋体" w:eastAsia="宋体" w:cs="宋体"/>
          <w:sz w:val="24"/>
          <w:szCs w:val="24"/>
        </w:rPr>
        <w:t>进一步明确畜禽粪污还</w:t>
      </w:r>
    </w:p>
    <w:p w14:paraId="00A493C1">
      <w:pPr>
        <w:spacing w:before="183" w:line="212" w:lineRule="auto"/>
        <w:ind w:left="68"/>
        <w:rPr>
          <w:rFonts w:ascii="宋体" w:hAnsi="宋体" w:eastAsia="宋体" w:cs="宋体"/>
          <w:sz w:val="24"/>
          <w:szCs w:val="24"/>
        </w:rPr>
      </w:pPr>
      <w:r>
        <w:rPr>
          <w:rFonts w:ascii="宋体" w:hAnsi="宋体" w:eastAsia="宋体" w:cs="宋体"/>
          <w:spacing w:val="-1"/>
          <w:sz w:val="24"/>
          <w:szCs w:val="24"/>
        </w:rPr>
        <w:t>田利用要求强化养殖污染监管的通知》（农办</w:t>
      </w:r>
      <w:r>
        <w:rPr>
          <w:rFonts w:ascii="宋体" w:hAnsi="宋体" w:eastAsia="宋体" w:cs="宋体"/>
          <w:spacing w:val="-2"/>
          <w:sz w:val="24"/>
          <w:szCs w:val="24"/>
        </w:rPr>
        <w:t>牧</w:t>
      </w:r>
      <w:r>
        <w:rPr>
          <w:rFonts w:ascii="Times New Roman" w:hAnsi="Times New Roman" w:eastAsia="Times New Roman" w:cs="Times New Roman"/>
          <w:spacing w:val="-2"/>
          <w:sz w:val="24"/>
          <w:szCs w:val="24"/>
        </w:rPr>
        <w:t>[2020]23</w:t>
      </w:r>
      <w:r>
        <w:rPr>
          <w:rFonts w:ascii="宋体" w:hAnsi="宋体" w:eastAsia="宋体" w:cs="宋体"/>
          <w:spacing w:val="-2"/>
          <w:sz w:val="24"/>
          <w:szCs w:val="24"/>
        </w:rPr>
        <w:t>号</w:t>
      </w:r>
      <w:r>
        <w:rPr>
          <w:rFonts w:ascii="宋体" w:hAnsi="宋体" w:eastAsia="宋体" w:cs="宋体"/>
          <w:sz w:val="24"/>
          <w:szCs w:val="24"/>
        </w:rPr>
        <w:t>）；</w:t>
      </w:r>
    </w:p>
    <w:p w14:paraId="1BBCDE8A">
      <w:pPr>
        <w:spacing w:before="192" w:line="220" w:lineRule="auto"/>
        <w:ind w:right="32"/>
        <w:jc w:val="right"/>
        <w:rPr>
          <w:rFonts w:ascii="宋体" w:hAnsi="宋体" w:eastAsia="宋体" w:cs="宋体"/>
          <w:sz w:val="24"/>
          <w:szCs w:val="24"/>
        </w:rPr>
      </w:pPr>
      <w:r>
        <w:rPr>
          <w:rFonts w:ascii="宋体" w:hAnsi="宋体" w:eastAsia="宋体" w:cs="宋体"/>
          <w:spacing w:val="1"/>
          <w:sz w:val="24"/>
          <w:szCs w:val="24"/>
        </w:rPr>
        <w:t>(18)</w:t>
      </w:r>
      <w:r>
        <w:rPr>
          <w:rFonts w:ascii="宋体" w:hAnsi="宋体" w:eastAsia="宋体" w:cs="宋体"/>
          <w:spacing w:val="-53"/>
          <w:sz w:val="24"/>
          <w:szCs w:val="24"/>
        </w:rPr>
        <w:t xml:space="preserve"> </w:t>
      </w:r>
      <w:r>
        <w:rPr>
          <w:rFonts w:ascii="宋体" w:hAnsi="宋体" w:eastAsia="宋体" w:cs="宋体"/>
          <w:spacing w:val="1"/>
          <w:sz w:val="24"/>
          <w:szCs w:val="24"/>
        </w:rPr>
        <w:t>《关于进一步做好当前生猪规模养殖环评管理</w:t>
      </w:r>
      <w:r>
        <w:rPr>
          <w:rFonts w:ascii="宋体" w:hAnsi="宋体" w:eastAsia="宋体" w:cs="宋体"/>
          <w:sz w:val="24"/>
          <w:szCs w:val="24"/>
        </w:rPr>
        <w:t>相关工作的通知》（环</w:t>
      </w:r>
    </w:p>
    <w:p w14:paraId="0EAE839B">
      <w:pPr>
        <w:spacing w:before="183" w:line="212" w:lineRule="auto"/>
        <w:ind w:left="44"/>
        <w:rPr>
          <w:rFonts w:ascii="宋体" w:hAnsi="宋体" w:eastAsia="宋体" w:cs="宋体"/>
          <w:sz w:val="24"/>
          <w:szCs w:val="24"/>
        </w:rPr>
      </w:pPr>
      <w:r>
        <w:rPr>
          <w:rFonts w:ascii="宋体" w:hAnsi="宋体" w:eastAsia="宋体" w:cs="宋体"/>
          <w:spacing w:val="-2"/>
          <w:sz w:val="24"/>
          <w:szCs w:val="24"/>
        </w:rPr>
        <w:t>办环评函</w:t>
      </w:r>
      <w:r>
        <w:rPr>
          <w:rFonts w:ascii="Times New Roman" w:hAnsi="Times New Roman" w:eastAsia="Times New Roman" w:cs="Times New Roman"/>
          <w:spacing w:val="-2"/>
          <w:sz w:val="24"/>
          <w:szCs w:val="24"/>
        </w:rPr>
        <w:t>[2019]872</w:t>
      </w:r>
      <w:r>
        <w:rPr>
          <w:rFonts w:ascii="宋体" w:hAnsi="宋体" w:eastAsia="宋体" w:cs="宋体"/>
          <w:spacing w:val="-2"/>
          <w:sz w:val="24"/>
          <w:szCs w:val="24"/>
        </w:rPr>
        <w:t>号</w:t>
      </w:r>
      <w:r>
        <w:rPr>
          <w:rFonts w:ascii="宋体" w:hAnsi="宋体" w:eastAsia="宋体" w:cs="宋体"/>
          <w:spacing w:val="6"/>
          <w:sz w:val="24"/>
          <w:szCs w:val="24"/>
        </w:rPr>
        <w:t>）；</w:t>
      </w:r>
    </w:p>
    <w:p w14:paraId="1DD9CCD3">
      <w:pPr>
        <w:spacing w:before="192" w:line="218" w:lineRule="auto"/>
        <w:ind w:right="31"/>
        <w:jc w:val="right"/>
        <w:rPr>
          <w:rFonts w:ascii="宋体" w:hAnsi="宋体" w:eastAsia="宋体" w:cs="宋体"/>
          <w:sz w:val="24"/>
          <w:szCs w:val="24"/>
        </w:rPr>
      </w:pPr>
      <w:r>
        <w:rPr>
          <w:rFonts w:ascii="宋体" w:hAnsi="宋体" w:eastAsia="宋体" w:cs="宋体"/>
          <w:spacing w:val="1"/>
          <w:sz w:val="24"/>
          <w:szCs w:val="24"/>
        </w:rPr>
        <w:t>(19)</w:t>
      </w:r>
      <w:r>
        <w:rPr>
          <w:rFonts w:ascii="宋体" w:hAnsi="宋体" w:eastAsia="宋体" w:cs="宋体"/>
          <w:spacing w:val="-53"/>
          <w:sz w:val="24"/>
          <w:szCs w:val="24"/>
        </w:rPr>
        <w:t xml:space="preserve"> </w:t>
      </w:r>
      <w:r>
        <w:rPr>
          <w:rFonts w:ascii="宋体" w:hAnsi="宋体" w:eastAsia="宋体" w:cs="宋体"/>
          <w:spacing w:val="1"/>
          <w:sz w:val="24"/>
          <w:szCs w:val="24"/>
        </w:rPr>
        <w:t>《建设项目环境影响评价分类管理名录（</w:t>
      </w:r>
      <w:r>
        <w:rPr>
          <w:rFonts w:ascii="Times New Roman" w:hAnsi="Times New Roman" w:eastAsia="Times New Roman" w:cs="Times New Roman"/>
          <w:spacing w:val="1"/>
          <w:sz w:val="24"/>
          <w:szCs w:val="24"/>
        </w:rPr>
        <w:t>202</w:t>
      </w:r>
      <w:r>
        <w:rPr>
          <w:rFonts w:ascii="Times New Roman" w:hAnsi="Times New Roman" w:eastAsia="Times New Roman" w:cs="Times New Roman"/>
          <w:sz w:val="24"/>
          <w:szCs w:val="24"/>
        </w:rPr>
        <w:t>1</w:t>
      </w:r>
      <w:r>
        <w:rPr>
          <w:rFonts w:ascii="宋体" w:hAnsi="宋体" w:eastAsia="宋体" w:cs="宋体"/>
          <w:sz w:val="24"/>
          <w:szCs w:val="24"/>
        </w:rPr>
        <w:t>年版）》（生态环境部</w:t>
      </w:r>
    </w:p>
    <w:p w14:paraId="088A6782">
      <w:pPr>
        <w:spacing w:before="184" w:line="219" w:lineRule="auto"/>
        <w:ind w:left="40"/>
        <w:rPr>
          <w:rFonts w:ascii="宋体" w:hAnsi="宋体" w:eastAsia="宋体" w:cs="宋体"/>
          <w:sz w:val="24"/>
          <w:szCs w:val="24"/>
        </w:rPr>
      </w:pPr>
      <w:r>
        <w:rPr>
          <w:rFonts w:ascii="宋体" w:hAnsi="宋体" w:eastAsia="宋体" w:cs="宋体"/>
          <w:spacing w:val="-1"/>
          <w:sz w:val="24"/>
          <w:szCs w:val="24"/>
        </w:rPr>
        <w:t>令第</w:t>
      </w:r>
      <w:r>
        <w:rPr>
          <w:rFonts w:ascii="Times New Roman" w:hAnsi="Times New Roman" w:eastAsia="Times New Roman" w:cs="Times New Roman"/>
          <w:spacing w:val="-1"/>
          <w:sz w:val="24"/>
          <w:szCs w:val="24"/>
        </w:rPr>
        <w:t>16</w:t>
      </w:r>
      <w:r>
        <w:rPr>
          <w:rFonts w:ascii="宋体" w:hAnsi="宋体" w:eastAsia="宋体" w:cs="宋体"/>
          <w:spacing w:val="-1"/>
          <w:sz w:val="24"/>
          <w:szCs w:val="24"/>
        </w:rPr>
        <w:t>号，</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w:t>
      </w:r>
      <w:r>
        <w:rPr>
          <w:rFonts w:ascii="宋体" w:hAnsi="宋体" w:eastAsia="宋体" w:cs="宋体"/>
          <w:spacing w:val="-1"/>
          <w:sz w:val="24"/>
          <w:szCs w:val="24"/>
        </w:rPr>
        <w:t>月</w:t>
      </w:r>
      <w:r>
        <w:rPr>
          <w:rFonts w:ascii="Times New Roman" w:hAnsi="Times New Roman" w:eastAsia="Times New Roman" w:cs="Times New Roman"/>
          <w:spacing w:val="-1"/>
          <w:sz w:val="24"/>
          <w:szCs w:val="24"/>
        </w:rPr>
        <w:t>1</w:t>
      </w:r>
      <w:r>
        <w:rPr>
          <w:rFonts w:ascii="宋体" w:hAnsi="宋体" w:eastAsia="宋体" w:cs="宋体"/>
          <w:spacing w:val="-1"/>
          <w:sz w:val="24"/>
          <w:szCs w:val="24"/>
        </w:rPr>
        <w:t>日起施行</w:t>
      </w:r>
      <w:r>
        <w:rPr>
          <w:rFonts w:ascii="宋体" w:hAnsi="宋体" w:eastAsia="宋体" w:cs="宋体"/>
          <w:spacing w:val="3"/>
          <w:sz w:val="24"/>
          <w:szCs w:val="24"/>
        </w:rPr>
        <w:t>）；</w:t>
      </w:r>
    </w:p>
    <w:p w14:paraId="32B4CBEA">
      <w:pPr>
        <w:spacing w:before="184" w:line="218" w:lineRule="auto"/>
        <w:ind w:right="32"/>
        <w:jc w:val="right"/>
        <w:rPr>
          <w:rFonts w:ascii="宋体" w:hAnsi="宋体" w:eastAsia="宋体" w:cs="宋体"/>
          <w:sz w:val="24"/>
          <w:szCs w:val="24"/>
        </w:rPr>
      </w:pPr>
      <w:r>
        <w:rPr>
          <w:rFonts w:ascii="宋体" w:hAnsi="宋体" w:eastAsia="宋体" w:cs="宋体"/>
          <w:spacing w:val="1"/>
          <w:sz w:val="24"/>
          <w:szCs w:val="24"/>
        </w:rPr>
        <w:t>(20)</w:t>
      </w:r>
      <w:r>
        <w:rPr>
          <w:rFonts w:ascii="宋体" w:hAnsi="宋体" w:eastAsia="宋体" w:cs="宋体"/>
          <w:spacing w:val="-53"/>
          <w:sz w:val="24"/>
          <w:szCs w:val="24"/>
        </w:rPr>
        <w:t xml:space="preserve"> </w:t>
      </w:r>
      <w:r>
        <w:rPr>
          <w:rFonts w:ascii="宋体" w:hAnsi="宋体" w:eastAsia="宋体" w:cs="宋体"/>
          <w:spacing w:val="1"/>
          <w:sz w:val="24"/>
          <w:szCs w:val="24"/>
        </w:rPr>
        <w:t>《关于做好畜禽规模养殖项目环境影响评价管</w:t>
      </w:r>
      <w:r>
        <w:rPr>
          <w:rFonts w:ascii="宋体" w:hAnsi="宋体" w:eastAsia="宋体" w:cs="宋体"/>
          <w:sz w:val="24"/>
          <w:szCs w:val="24"/>
        </w:rPr>
        <w:t>理工作的通知》（环办</w:t>
      </w:r>
    </w:p>
    <w:p w14:paraId="65445D28">
      <w:pPr>
        <w:spacing w:before="185" w:line="212" w:lineRule="auto"/>
        <w:ind w:left="39"/>
        <w:rPr>
          <w:rFonts w:ascii="宋体" w:hAnsi="宋体" w:eastAsia="宋体" w:cs="宋体"/>
          <w:sz w:val="24"/>
          <w:szCs w:val="24"/>
        </w:rPr>
      </w:pPr>
      <w:r>
        <w:rPr>
          <w:rFonts w:ascii="宋体" w:hAnsi="宋体" w:eastAsia="宋体" w:cs="宋体"/>
          <w:spacing w:val="-1"/>
          <w:sz w:val="24"/>
          <w:szCs w:val="24"/>
        </w:rPr>
        <w:t>环评</w:t>
      </w:r>
      <w:r>
        <w:rPr>
          <w:rFonts w:ascii="Times New Roman" w:hAnsi="Times New Roman" w:eastAsia="Times New Roman" w:cs="Times New Roman"/>
          <w:spacing w:val="-1"/>
          <w:sz w:val="24"/>
          <w:szCs w:val="24"/>
        </w:rPr>
        <w:t>[2018]31</w:t>
      </w:r>
      <w:r>
        <w:rPr>
          <w:rFonts w:ascii="宋体" w:hAnsi="宋体" w:eastAsia="宋体" w:cs="宋体"/>
          <w:spacing w:val="-1"/>
          <w:sz w:val="24"/>
          <w:szCs w:val="24"/>
        </w:rPr>
        <w:t>号，</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月</w:t>
      </w:r>
      <w:r>
        <w:rPr>
          <w:rFonts w:ascii="Times New Roman" w:hAnsi="Times New Roman" w:eastAsia="Times New Roman" w:cs="Times New Roman"/>
          <w:spacing w:val="-1"/>
          <w:sz w:val="24"/>
          <w:szCs w:val="24"/>
        </w:rPr>
        <w:t>12</w:t>
      </w:r>
      <w:r>
        <w:rPr>
          <w:rFonts w:ascii="宋体" w:hAnsi="宋体" w:eastAsia="宋体" w:cs="宋体"/>
          <w:spacing w:val="-1"/>
          <w:sz w:val="24"/>
          <w:szCs w:val="24"/>
        </w:rPr>
        <w:t>日</w:t>
      </w:r>
      <w:r>
        <w:rPr>
          <w:rFonts w:ascii="宋体" w:hAnsi="宋体" w:eastAsia="宋体" w:cs="宋体"/>
          <w:spacing w:val="6"/>
          <w:sz w:val="24"/>
          <w:szCs w:val="24"/>
        </w:rPr>
        <w:t>）；</w:t>
      </w:r>
    </w:p>
    <w:p w14:paraId="7FBD9A16">
      <w:pPr>
        <w:spacing w:before="191" w:line="220" w:lineRule="auto"/>
        <w:ind w:left="561"/>
        <w:rPr>
          <w:rFonts w:ascii="宋体" w:hAnsi="宋体" w:eastAsia="宋体" w:cs="宋体"/>
          <w:sz w:val="24"/>
          <w:szCs w:val="24"/>
        </w:rPr>
      </w:pPr>
      <w:r>
        <w:rPr>
          <w:rFonts w:ascii="宋体" w:hAnsi="宋体" w:eastAsia="宋体" w:cs="宋体"/>
          <w:spacing w:val="-2"/>
          <w:sz w:val="24"/>
          <w:szCs w:val="24"/>
        </w:rPr>
        <w:t>(21)</w:t>
      </w:r>
      <w:r>
        <w:rPr>
          <w:rFonts w:ascii="宋体" w:hAnsi="宋体" w:eastAsia="宋体" w:cs="宋体"/>
          <w:spacing w:val="-52"/>
          <w:sz w:val="24"/>
          <w:szCs w:val="24"/>
        </w:rPr>
        <w:t xml:space="preserve"> </w:t>
      </w:r>
      <w:r>
        <w:rPr>
          <w:rFonts w:ascii="宋体" w:hAnsi="宋体" w:eastAsia="宋体" w:cs="宋体"/>
          <w:spacing w:val="-2"/>
          <w:sz w:val="24"/>
          <w:szCs w:val="24"/>
        </w:rPr>
        <w:t>《中华人民共和国土地管理法实施细则》（</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w:t>
      </w:r>
      <w:r>
        <w:rPr>
          <w:rFonts w:ascii="Times New Roman" w:hAnsi="Times New Roman" w:eastAsia="Times New Roman" w:cs="Times New Roman"/>
          <w:spacing w:val="-2"/>
          <w:sz w:val="24"/>
          <w:szCs w:val="24"/>
        </w:rPr>
        <w:t>9</w:t>
      </w:r>
      <w:r>
        <w:rPr>
          <w:rFonts w:ascii="宋体" w:hAnsi="宋体" w:eastAsia="宋体" w:cs="宋体"/>
          <w:spacing w:val="-2"/>
          <w:sz w:val="24"/>
          <w:szCs w:val="24"/>
        </w:rPr>
        <w:t>月</w:t>
      </w:r>
      <w:r>
        <w:rPr>
          <w:rFonts w:ascii="Times New Roman" w:hAnsi="Times New Roman" w:eastAsia="Times New Roman" w:cs="Times New Roman"/>
          <w:spacing w:val="-2"/>
          <w:sz w:val="24"/>
          <w:szCs w:val="24"/>
        </w:rPr>
        <w:t>1</w:t>
      </w:r>
      <w:r>
        <w:rPr>
          <w:rFonts w:ascii="宋体" w:hAnsi="宋体" w:eastAsia="宋体" w:cs="宋体"/>
          <w:spacing w:val="-2"/>
          <w:sz w:val="24"/>
          <w:szCs w:val="24"/>
        </w:rPr>
        <w:t>日施行</w:t>
      </w:r>
      <w:r>
        <w:rPr>
          <w:rFonts w:ascii="宋体" w:hAnsi="宋体" w:eastAsia="宋体" w:cs="宋体"/>
          <w:spacing w:val="7"/>
          <w:sz w:val="24"/>
          <w:szCs w:val="24"/>
        </w:rPr>
        <w:t>）；</w:t>
      </w:r>
    </w:p>
    <w:p w14:paraId="7C1DE374">
      <w:pPr>
        <w:spacing w:before="183" w:line="219" w:lineRule="auto"/>
        <w:ind w:right="32"/>
        <w:jc w:val="right"/>
        <w:rPr>
          <w:rFonts w:ascii="宋体" w:hAnsi="宋体" w:eastAsia="宋体" w:cs="宋体"/>
          <w:sz w:val="24"/>
          <w:szCs w:val="24"/>
        </w:rPr>
      </w:pPr>
      <w:r>
        <w:rPr>
          <w:rFonts w:ascii="宋体" w:hAnsi="宋体" w:eastAsia="宋体" w:cs="宋体"/>
          <w:spacing w:val="1"/>
          <w:sz w:val="24"/>
          <w:szCs w:val="24"/>
        </w:rPr>
        <w:t>(22)</w:t>
      </w:r>
      <w:r>
        <w:rPr>
          <w:rFonts w:ascii="宋体" w:hAnsi="宋体" w:eastAsia="宋体" w:cs="宋体"/>
          <w:spacing w:val="-53"/>
          <w:sz w:val="24"/>
          <w:szCs w:val="24"/>
        </w:rPr>
        <w:t xml:space="preserve"> </w:t>
      </w:r>
      <w:r>
        <w:rPr>
          <w:rFonts w:ascii="宋体" w:hAnsi="宋体" w:eastAsia="宋体" w:cs="宋体"/>
          <w:spacing w:val="1"/>
          <w:sz w:val="24"/>
          <w:szCs w:val="24"/>
        </w:rPr>
        <w:t>《中共中央关于制定国民经济和社会发展第十</w:t>
      </w:r>
      <w:r>
        <w:rPr>
          <w:rFonts w:ascii="宋体" w:hAnsi="宋体" w:eastAsia="宋体" w:cs="宋体"/>
          <w:sz w:val="24"/>
          <w:szCs w:val="24"/>
        </w:rPr>
        <w:t>四个五年规划和二〇三</w:t>
      </w:r>
    </w:p>
    <w:p w14:paraId="29893E79">
      <w:pPr>
        <w:spacing w:before="183" w:line="220" w:lineRule="auto"/>
        <w:ind w:left="43"/>
        <w:rPr>
          <w:rFonts w:ascii="宋体" w:hAnsi="宋体" w:eastAsia="宋体" w:cs="宋体"/>
          <w:sz w:val="24"/>
          <w:szCs w:val="24"/>
        </w:rPr>
      </w:pPr>
      <w:r>
        <w:rPr>
          <w:rFonts w:ascii="宋体" w:hAnsi="宋体" w:eastAsia="宋体" w:cs="宋体"/>
          <w:spacing w:val="-1"/>
          <w:sz w:val="24"/>
          <w:szCs w:val="24"/>
        </w:rPr>
        <w:t>五年远景目标的建议》（</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29</w:t>
      </w:r>
      <w:r>
        <w:rPr>
          <w:rFonts w:ascii="宋体" w:hAnsi="宋体" w:eastAsia="宋体" w:cs="宋体"/>
          <w:spacing w:val="-1"/>
          <w:sz w:val="24"/>
          <w:szCs w:val="24"/>
        </w:rPr>
        <w:t>日</w:t>
      </w:r>
      <w:r>
        <w:rPr>
          <w:rFonts w:ascii="宋体" w:hAnsi="宋体" w:eastAsia="宋体" w:cs="宋体"/>
          <w:spacing w:val="3"/>
          <w:sz w:val="24"/>
          <w:szCs w:val="24"/>
        </w:rPr>
        <w:t>）；</w:t>
      </w:r>
    </w:p>
    <w:p w14:paraId="08E2E108">
      <w:pPr>
        <w:spacing w:before="182" w:line="212" w:lineRule="auto"/>
        <w:ind w:right="30"/>
        <w:jc w:val="right"/>
        <w:rPr>
          <w:rFonts w:ascii="Times New Roman" w:hAnsi="Times New Roman" w:eastAsia="Times New Roman" w:cs="Times New Roman"/>
          <w:sz w:val="24"/>
          <w:szCs w:val="24"/>
        </w:rPr>
      </w:pPr>
      <w:r>
        <w:rPr>
          <w:rFonts w:ascii="宋体" w:hAnsi="宋体" w:eastAsia="宋体" w:cs="宋体"/>
          <w:spacing w:val="-6"/>
          <w:sz w:val="24"/>
          <w:szCs w:val="24"/>
        </w:rPr>
        <w:t>(23)</w:t>
      </w:r>
      <w:r>
        <w:rPr>
          <w:rFonts w:ascii="宋体" w:hAnsi="宋体" w:eastAsia="宋体" w:cs="宋体"/>
          <w:spacing w:val="-53"/>
          <w:sz w:val="24"/>
          <w:szCs w:val="24"/>
        </w:rPr>
        <w:t xml:space="preserve"> </w:t>
      </w:r>
      <w:r>
        <w:rPr>
          <w:rFonts w:ascii="宋体" w:hAnsi="宋体" w:eastAsia="宋体" w:cs="宋体"/>
          <w:spacing w:val="-6"/>
          <w:sz w:val="24"/>
          <w:szCs w:val="24"/>
        </w:rPr>
        <w:t>《农业面源污染治理与监督指导实</w:t>
      </w:r>
      <w:r>
        <w:rPr>
          <w:rFonts w:ascii="宋体" w:hAnsi="宋体" w:eastAsia="宋体" w:cs="宋体"/>
          <w:spacing w:val="-7"/>
          <w:sz w:val="24"/>
          <w:szCs w:val="24"/>
        </w:rPr>
        <w:t>施方案（试行）》（环办土壤</w:t>
      </w:r>
      <w:r>
        <w:rPr>
          <w:rFonts w:ascii="Times New Roman" w:hAnsi="Times New Roman" w:eastAsia="Times New Roman" w:cs="Times New Roman"/>
          <w:spacing w:val="-7"/>
          <w:sz w:val="24"/>
          <w:szCs w:val="24"/>
        </w:rPr>
        <w:t>[2021]8</w:t>
      </w:r>
    </w:p>
    <w:p w14:paraId="64AE5998">
      <w:pPr>
        <w:spacing w:before="193" w:line="221" w:lineRule="auto"/>
        <w:ind w:left="45"/>
        <w:rPr>
          <w:rFonts w:ascii="宋体" w:hAnsi="宋体" w:eastAsia="宋体" w:cs="宋体"/>
          <w:sz w:val="24"/>
          <w:szCs w:val="24"/>
        </w:rPr>
      </w:pPr>
      <w:r>
        <w:rPr>
          <w:rFonts w:ascii="宋体" w:hAnsi="宋体" w:eastAsia="宋体" w:cs="宋体"/>
          <w:spacing w:val="-16"/>
          <w:sz w:val="24"/>
          <w:szCs w:val="24"/>
        </w:rPr>
        <w:t>号</w:t>
      </w:r>
      <w:r>
        <w:rPr>
          <w:rFonts w:ascii="宋体" w:hAnsi="宋体" w:eastAsia="宋体" w:cs="宋体"/>
          <w:sz w:val="24"/>
          <w:szCs w:val="24"/>
        </w:rPr>
        <w:t>）；</w:t>
      </w:r>
    </w:p>
    <w:p w14:paraId="7F670974">
      <w:pPr>
        <w:spacing w:before="180" w:line="219" w:lineRule="auto"/>
        <w:ind w:left="561"/>
        <w:rPr>
          <w:rFonts w:ascii="宋体" w:hAnsi="宋体" w:eastAsia="宋体" w:cs="宋体"/>
          <w:sz w:val="24"/>
          <w:szCs w:val="24"/>
        </w:rPr>
      </w:pPr>
      <w:r>
        <w:rPr>
          <w:rFonts w:ascii="宋体" w:hAnsi="宋体" w:eastAsia="宋体" w:cs="宋体"/>
          <w:spacing w:val="-2"/>
          <w:sz w:val="24"/>
          <w:szCs w:val="24"/>
        </w:rPr>
        <w:t>(24)</w:t>
      </w:r>
      <w:r>
        <w:rPr>
          <w:rFonts w:ascii="宋体" w:hAnsi="宋体" w:eastAsia="宋体" w:cs="宋体"/>
          <w:spacing w:val="-52"/>
          <w:sz w:val="24"/>
          <w:szCs w:val="24"/>
        </w:rPr>
        <w:t xml:space="preserve"> </w:t>
      </w:r>
      <w:r>
        <w:rPr>
          <w:rFonts w:ascii="宋体" w:hAnsi="宋体" w:eastAsia="宋体" w:cs="宋体"/>
          <w:spacing w:val="-2"/>
          <w:sz w:val="24"/>
          <w:szCs w:val="24"/>
        </w:rPr>
        <w:t>《关于促进生猪产业持续健康发展的意见》（</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w:t>
      </w:r>
      <w:r>
        <w:rPr>
          <w:rFonts w:ascii="Times New Roman" w:hAnsi="Times New Roman" w:eastAsia="Times New Roman" w:cs="Times New Roman"/>
          <w:spacing w:val="-2"/>
          <w:sz w:val="24"/>
          <w:szCs w:val="24"/>
        </w:rPr>
        <w:t>8</w:t>
      </w:r>
      <w:r>
        <w:rPr>
          <w:rFonts w:ascii="宋体" w:hAnsi="宋体" w:eastAsia="宋体" w:cs="宋体"/>
          <w:spacing w:val="-2"/>
          <w:sz w:val="24"/>
          <w:szCs w:val="24"/>
        </w:rPr>
        <w:t>月</w:t>
      </w:r>
      <w:r>
        <w:rPr>
          <w:rFonts w:ascii="Times New Roman" w:hAnsi="Times New Roman" w:eastAsia="Times New Roman" w:cs="Times New Roman"/>
          <w:spacing w:val="-2"/>
          <w:sz w:val="24"/>
          <w:szCs w:val="24"/>
        </w:rPr>
        <w:t>5</w:t>
      </w:r>
      <w:r>
        <w:rPr>
          <w:rFonts w:ascii="宋体" w:hAnsi="宋体" w:eastAsia="宋体" w:cs="宋体"/>
          <w:spacing w:val="-2"/>
          <w:sz w:val="24"/>
          <w:szCs w:val="24"/>
        </w:rPr>
        <w:t>日</w:t>
      </w:r>
      <w:r>
        <w:rPr>
          <w:rFonts w:ascii="宋体" w:hAnsi="宋体" w:eastAsia="宋体" w:cs="宋体"/>
          <w:spacing w:val="6"/>
          <w:sz w:val="24"/>
          <w:szCs w:val="24"/>
        </w:rPr>
        <w:t>）；</w:t>
      </w:r>
    </w:p>
    <w:p w14:paraId="3049A7F4">
      <w:pPr>
        <w:spacing w:before="183" w:line="219" w:lineRule="auto"/>
        <w:ind w:left="561"/>
        <w:rPr>
          <w:rFonts w:ascii="宋体" w:hAnsi="宋体" w:eastAsia="宋体" w:cs="宋体"/>
          <w:sz w:val="24"/>
          <w:szCs w:val="24"/>
        </w:rPr>
      </w:pPr>
      <w:r>
        <w:rPr>
          <w:rFonts w:ascii="宋体" w:hAnsi="宋体" w:eastAsia="宋体" w:cs="宋体"/>
          <w:spacing w:val="-2"/>
          <w:sz w:val="24"/>
          <w:szCs w:val="24"/>
        </w:rPr>
        <w:t>(25)</w:t>
      </w:r>
      <w:r>
        <w:rPr>
          <w:rFonts w:ascii="宋体" w:hAnsi="宋体" w:eastAsia="宋体" w:cs="宋体"/>
          <w:spacing w:val="-52"/>
          <w:sz w:val="24"/>
          <w:szCs w:val="24"/>
        </w:rPr>
        <w:t xml:space="preserve"> </w:t>
      </w:r>
      <w:r>
        <w:rPr>
          <w:rFonts w:ascii="宋体" w:hAnsi="宋体" w:eastAsia="宋体" w:cs="宋体"/>
          <w:spacing w:val="-2"/>
          <w:sz w:val="24"/>
          <w:szCs w:val="24"/>
        </w:rPr>
        <w:t>《地下水管理条例》（中华人民共和国国务院令第</w:t>
      </w:r>
      <w:r>
        <w:rPr>
          <w:rFonts w:ascii="Times New Roman" w:hAnsi="Times New Roman" w:eastAsia="Times New Roman" w:cs="Times New Roman"/>
          <w:spacing w:val="-2"/>
          <w:sz w:val="24"/>
          <w:szCs w:val="24"/>
        </w:rPr>
        <w:t>748</w:t>
      </w:r>
      <w:r>
        <w:rPr>
          <w:rFonts w:ascii="宋体" w:hAnsi="宋体" w:eastAsia="宋体" w:cs="宋体"/>
          <w:spacing w:val="-2"/>
          <w:sz w:val="24"/>
          <w:szCs w:val="24"/>
        </w:rPr>
        <w:t>号</w:t>
      </w:r>
      <w:r>
        <w:rPr>
          <w:rFonts w:ascii="宋体" w:hAnsi="宋体" w:eastAsia="宋体" w:cs="宋体"/>
          <w:spacing w:val="3"/>
          <w:sz w:val="24"/>
          <w:szCs w:val="24"/>
        </w:rPr>
        <w:t>）；</w:t>
      </w:r>
    </w:p>
    <w:p w14:paraId="1F85CB91">
      <w:pPr>
        <w:spacing w:before="183" w:line="220" w:lineRule="auto"/>
        <w:ind w:right="28"/>
        <w:jc w:val="right"/>
        <w:rPr>
          <w:rFonts w:ascii="宋体" w:hAnsi="宋体" w:eastAsia="宋体" w:cs="宋体"/>
          <w:sz w:val="24"/>
          <w:szCs w:val="24"/>
        </w:rPr>
      </w:pPr>
      <w:r>
        <w:rPr>
          <w:rFonts w:ascii="宋体" w:hAnsi="宋体" w:eastAsia="宋体" w:cs="宋体"/>
          <w:spacing w:val="-7"/>
          <w:sz w:val="24"/>
          <w:szCs w:val="24"/>
        </w:rPr>
        <w:t>(26)</w:t>
      </w:r>
      <w:r>
        <w:rPr>
          <w:rFonts w:ascii="宋体" w:hAnsi="宋体" w:eastAsia="宋体" w:cs="宋体"/>
          <w:spacing w:val="-52"/>
          <w:sz w:val="24"/>
          <w:szCs w:val="24"/>
        </w:rPr>
        <w:t xml:space="preserve"> </w:t>
      </w:r>
      <w:r>
        <w:rPr>
          <w:rFonts w:ascii="宋体" w:hAnsi="宋体" w:eastAsia="宋体" w:cs="宋体"/>
          <w:spacing w:val="-7"/>
          <w:sz w:val="24"/>
          <w:szCs w:val="24"/>
        </w:rPr>
        <w:t>《关于实施“三线一单</w:t>
      </w:r>
      <w:r>
        <w:rPr>
          <w:rFonts w:ascii="宋体" w:hAnsi="宋体" w:eastAsia="宋体" w:cs="宋体"/>
          <w:spacing w:val="-89"/>
          <w:sz w:val="24"/>
          <w:szCs w:val="24"/>
        </w:rPr>
        <w:t xml:space="preserve"> </w:t>
      </w:r>
      <w:r>
        <w:rPr>
          <w:rFonts w:ascii="宋体" w:hAnsi="宋体" w:eastAsia="宋体" w:cs="宋体"/>
          <w:spacing w:val="-7"/>
          <w:sz w:val="24"/>
          <w:szCs w:val="24"/>
        </w:rPr>
        <w:t>”生态环境分区管控的指导意见（试行）》（环</w:t>
      </w:r>
    </w:p>
    <w:p w14:paraId="0C87EB88">
      <w:pPr>
        <w:spacing w:line="220" w:lineRule="auto"/>
        <w:rPr>
          <w:rFonts w:ascii="宋体" w:hAnsi="宋体" w:eastAsia="宋体" w:cs="宋体"/>
          <w:sz w:val="24"/>
          <w:szCs w:val="24"/>
        </w:rPr>
        <w:sectPr>
          <w:footerReference r:id="rId29" w:type="default"/>
          <w:pgSz w:w="11905" w:h="16840"/>
          <w:pgMar w:top="1168" w:right="1768" w:bottom="1408" w:left="1770" w:header="828" w:footer="1244" w:gutter="0"/>
          <w:cols w:space="720" w:num="1"/>
        </w:sectPr>
      </w:pPr>
    </w:p>
    <w:p w14:paraId="2BF77CEB">
      <w:pPr>
        <w:pStyle w:val="2"/>
        <w:spacing w:line="306" w:lineRule="auto"/>
      </w:pPr>
    </w:p>
    <w:p w14:paraId="1AA9DF05">
      <w:pPr>
        <w:spacing w:before="78" w:line="212" w:lineRule="auto"/>
        <w:ind w:left="39"/>
        <w:rPr>
          <w:rFonts w:ascii="宋体" w:hAnsi="宋体" w:eastAsia="宋体" w:cs="宋体"/>
          <w:sz w:val="24"/>
          <w:szCs w:val="24"/>
        </w:rPr>
      </w:pPr>
      <w:r>
        <w:rPr>
          <w:rFonts w:ascii="宋体" w:hAnsi="宋体" w:eastAsia="宋体" w:cs="宋体"/>
          <w:spacing w:val="-5"/>
          <w:sz w:val="24"/>
          <w:szCs w:val="24"/>
        </w:rPr>
        <w:t>环评</w:t>
      </w:r>
      <w:r>
        <w:rPr>
          <w:rFonts w:ascii="Times New Roman" w:hAnsi="Times New Roman" w:eastAsia="Times New Roman" w:cs="Times New Roman"/>
          <w:spacing w:val="-5"/>
          <w:sz w:val="24"/>
          <w:szCs w:val="24"/>
        </w:rPr>
        <w:t>[</w:t>
      </w:r>
      <w:r>
        <w:fldChar w:fldCharType="begin"/>
      </w:r>
      <w:r>
        <w:instrText xml:space="preserve"> HYPERLINK \l "bookmark83" </w:instrText>
      </w:r>
      <w:r>
        <w:fldChar w:fldCharType="separate"/>
      </w:r>
      <w:r>
        <w:rPr>
          <w:rFonts w:ascii="Times New Roman" w:hAnsi="Times New Roman" w:eastAsia="Times New Roman" w:cs="Times New Roman"/>
          <w:spacing w:val="-5"/>
          <w:sz w:val="24"/>
          <w:szCs w:val="24"/>
        </w:rPr>
        <w:t>2021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108</w:t>
      </w:r>
      <w:r>
        <w:rPr>
          <w:rFonts w:ascii="宋体" w:hAnsi="宋体" w:eastAsia="宋体" w:cs="宋体"/>
          <w:spacing w:val="-5"/>
          <w:sz w:val="24"/>
          <w:szCs w:val="24"/>
        </w:rPr>
        <w:t>号</w:t>
      </w:r>
      <w:r>
        <w:rPr>
          <w:rFonts w:ascii="宋体" w:hAnsi="宋体" w:eastAsia="宋体" w:cs="宋体"/>
          <w:spacing w:val="-9"/>
          <w:sz w:val="24"/>
          <w:szCs w:val="24"/>
        </w:rPr>
        <w:t>）；</w:t>
      </w:r>
    </w:p>
    <w:p w14:paraId="2E59F6D6">
      <w:pPr>
        <w:spacing w:before="192" w:line="360" w:lineRule="auto"/>
        <w:ind w:left="43" w:right="32" w:firstLine="518"/>
        <w:rPr>
          <w:rFonts w:ascii="宋体" w:hAnsi="宋体" w:eastAsia="宋体" w:cs="宋体"/>
          <w:sz w:val="24"/>
          <w:szCs w:val="24"/>
        </w:rPr>
      </w:pPr>
      <w:r>
        <w:rPr>
          <w:rFonts w:ascii="宋体" w:hAnsi="宋体" w:eastAsia="宋体" w:cs="宋体"/>
          <w:spacing w:val="-1"/>
          <w:sz w:val="24"/>
          <w:szCs w:val="24"/>
        </w:rPr>
        <w:t>(27) 《自然资源部农业农村部国家林业和草原局关于严格耕地用途管制有</w:t>
      </w:r>
      <w:r>
        <w:rPr>
          <w:rFonts w:ascii="宋体" w:hAnsi="宋体" w:eastAsia="宋体" w:cs="宋体"/>
          <w:spacing w:val="-3"/>
          <w:sz w:val="24"/>
          <w:szCs w:val="24"/>
        </w:rPr>
        <w:t>关问题的通知》（自然资发</w:t>
      </w:r>
      <w:r>
        <w:rPr>
          <w:rFonts w:ascii="Times New Roman" w:hAnsi="Times New Roman" w:eastAsia="Times New Roman" w:cs="Times New Roman"/>
          <w:spacing w:val="-3"/>
          <w:sz w:val="24"/>
          <w:szCs w:val="24"/>
        </w:rPr>
        <w:t>[</w:t>
      </w:r>
      <w:r>
        <w:fldChar w:fldCharType="begin"/>
      </w:r>
      <w:r>
        <w:instrText xml:space="preserve"> HYPERLINK \l "bookmark84" </w:instrText>
      </w:r>
      <w:r>
        <w:fldChar w:fldCharType="separate"/>
      </w:r>
      <w:r>
        <w:rPr>
          <w:rFonts w:ascii="Times New Roman" w:hAnsi="Times New Roman" w:eastAsia="Times New Roman" w:cs="Times New Roman"/>
          <w:spacing w:val="-3"/>
          <w:sz w:val="24"/>
          <w:szCs w:val="24"/>
        </w:rPr>
        <w:t>2021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166</w:t>
      </w:r>
      <w:r>
        <w:rPr>
          <w:rFonts w:ascii="宋体" w:hAnsi="宋体" w:eastAsia="宋体" w:cs="宋体"/>
          <w:spacing w:val="-3"/>
          <w:sz w:val="24"/>
          <w:szCs w:val="24"/>
        </w:rPr>
        <w:t>号</w:t>
      </w:r>
      <w:r>
        <w:rPr>
          <w:rFonts w:ascii="宋体" w:hAnsi="宋体" w:eastAsia="宋体" w:cs="宋体"/>
          <w:spacing w:val="-7"/>
          <w:sz w:val="24"/>
          <w:szCs w:val="24"/>
        </w:rPr>
        <w:t>）；</w:t>
      </w:r>
    </w:p>
    <w:p w14:paraId="7298313D">
      <w:pPr>
        <w:spacing w:line="362" w:lineRule="auto"/>
        <w:ind w:left="35" w:right="29" w:firstLine="526"/>
        <w:rPr>
          <w:rFonts w:ascii="宋体" w:hAnsi="宋体" w:eastAsia="宋体" w:cs="宋体"/>
          <w:sz w:val="24"/>
          <w:szCs w:val="24"/>
        </w:rPr>
      </w:pPr>
      <w:r>
        <w:rPr>
          <w:rFonts w:ascii="宋体" w:hAnsi="宋体" w:eastAsia="宋体" w:cs="宋体"/>
          <w:spacing w:val="4"/>
          <w:sz w:val="24"/>
          <w:szCs w:val="24"/>
        </w:rPr>
        <w:t>(28)</w:t>
      </w:r>
      <w:r>
        <w:rPr>
          <w:rFonts w:ascii="宋体" w:hAnsi="宋体" w:eastAsia="宋体" w:cs="宋体"/>
          <w:spacing w:val="81"/>
          <w:sz w:val="24"/>
          <w:szCs w:val="24"/>
        </w:rPr>
        <w:t xml:space="preserve"> </w:t>
      </w:r>
      <w:r>
        <w:rPr>
          <w:rFonts w:ascii="宋体" w:hAnsi="宋体" w:eastAsia="宋体" w:cs="宋体"/>
          <w:spacing w:val="4"/>
          <w:sz w:val="24"/>
          <w:szCs w:val="24"/>
        </w:rPr>
        <w:t>《病死畜禽和病害畜禽产品无害化处理管理办法》（农业农村部令</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年第</w:t>
      </w:r>
      <w:r>
        <w:rPr>
          <w:rFonts w:ascii="Times New Roman" w:hAnsi="Times New Roman" w:eastAsia="Times New Roman" w:cs="Times New Roman"/>
          <w:spacing w:val="-3"/>
          <w:sz w:val="24"/>
          <w:szCs w:val="24"/>
        </w:rPr>
        <w:t>3</w:t>
      </w:r>
      <w:r>
        <w:rPr>
          <w:rFonts w:ascii="宋体" w:hAnsi="宋体" w:eastAsia="宋体" w:cs="宋体"/>
          <w:spacing w:val="-3"/>
          <w:sz w:val="24"/>
          <w:szCs w:val="24"/>
        </w:rPr>
        <w:t>号）。</w:t>
      </w:r>
    </w:p>
    <w:p w14:paraId="2EBDF72D">
      <w:pPr>
        <w:spacing w:before="162" w:line="219"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1.1.3  </w:t>
      </w:r>
      <w:r>
        <w:rPr>
          <w:rFonts w:ascii="宋体" w:hAnsi="宋体" w:eastAsia="宋体" w:cs="宋体"/>
          <w:b/>
          <w:bCs/>
          <w:spacing w:val="-3"/>
          <w:sz w:val="30"/>
          <w:szCs w:val="30"/>
        </w:rPr>
        <w:t>地方行政法规及规章</w:t>
      </w:r>
    </w:p>
    <w:p w14:paraId="32E6197B">
      <w:pPr>
        <w:pStyle w:val="2"/>
        <w:spacing w:line="419" w:lineRule="auto"/>
      </w:pPr>
    </w:p>
    <w:p w14:paraId="7A80923A">
      <w:pPr>
        <w:spacing w:before="78" w:line="220" w:lineRule="auto"/>
        <w:ind w:left="561"/>
        <w:rPr>
          <w:rFonts w:ascii="宋体" w:hAnsi="宋体" w:eastAsia="宋体" w:cs="宋体"/>
          <w:sz w:val="24"/>
          <w:szCs w:val="24"/>
        </w:rPr>
      </w:pPr>
      <w:r>
        <w:rPr>
          <w:rFonts w:ascii="宋体" w:hAnsi="宋体" w:eastAsia="宋体" w:cs="宋体"/>
          <w:spacing w:val="-2"/>
          <w:sz w:val="24"/>
          <w:szCs w:val="24"/>
        </w:rPr>
        <w:t>(1)</w:t>
      </w:r>
      <w:r>
        <w:rPr>
          <w:rFonts w:ascii="宋体" w:hAnsi="宋体" w:eastAsia="宋体" w:cs="宋体"/>
          <w:spacing w:val="-53"/>
          <w:sz w:val="24"/>
          <w:szCs w:val="24"/>
        </w:rPr>
        <w:t xml:space="preserve"> </w:t>
      </w:r>
      <w:r>
        <w:rPr>
          <w:rFonts w:ascii="宋体" w:hAnsi="宋体" w:eastAsia="宋体" w:cs="宋体"/>
          <w:spacing w:val="-2"/>
          <w:sz w:val="24"/>
          <w:szCs w:val="24"/>
        </w:rPr>
        <w:t>《四川省环境保护条例》（</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w:t>
      </w:r>
      <w:r>
        <w:rPr>
          <w:rFonts w:ascii="宋体" w:hAnsi="宋体" w:eastAsia="宋体" w:cs="宋体"/>
          <w:spacing w:val="-2"/>
          <w:sz w:val="24"/>
          <w:szCs w:val="24"/>
        </w:rPr>
        <w:t>月</w:t>
      </w:r>
      <w:r>
        <w:rPr>
          <w:rFonts w:ascii="Times New Roman" w:hAnsi="Times New Roman" w:eastAsia="Times New Roman" w:cs="Times New Roman"/>
          <w:spacing w:val="-2"/>
          <w:sz w:val="24"/>
          <w:szCs w:val="24"/>
        </w:rPr>
        <w:t>1</w:t>
      </w:r>
      <w:r>
        <w:rPr>
          <w:rFonts w:ascii="宋体" w:hAnsi="宋体" w:eastAsia="宋体" w:cs="宋体"/>
          <w:spacing w:val="-2"/>
          <w:sz w:val="24"/>
          <w:szCs w:val="24"/>
        </w:rPr>
        <w:t>日施行</w:t>
      </w:r>
      <w:r>
        <w:rPr>
          <w:rFonts w:ascii="宋体" w:hAnsi="宋体" w:eastAsia="宋体" w:cs="宋体"/>
          <w:sz w:val="24"/>
          <w:szCs w:val="24"/>
        </w:rPr>
        <w:t>）；</w:t>
      </w:r>
    </w:p>
    <w:p w14:paraId="4E7507F1">
      <w:pPr>
        <w:spacing w:before="181" w:line="220" w:lineRule="auto"/>
        <w:ind w:left="561"/>
        <w:rPr>
          <w:rFonts w:ascii="宋体" w:hAnsi="宋体" w:eastAsia="宋体" w:cs="宋体"/>
          <w:sz w:val="24"/>
          <w:szCs w:val="24"/>
        </w:rPr>
      </w:pPr>
      <w:r>
        <w:rPr>
          <w:rFonts w:ascii="宋体" w:hAnsi="宋体" w:eastAsia="宋体" w:cs="宋体"/>
          <w:spacing w:val="-2"/>
          <w:sz w:val="24"/>
          <w:szCs w:val="24"/>
        </w:rPr>
        <w:t>(2)</w:t>
      </w:r>
      <w:r>
        <w:rPr>
          <w:rFonts w:ascii="宋体" w:hAnsi="宋体" w:eastAsia="宋体" w:cs="宋体"/>
          <w:spacing w:val="-53"/>
          <w:sz w:val="24"/>
          <w:szCs w:val="24"/>
        </w:rPr>
        <w:t xml:space="preserve"> </w:t>
      </w:r>
      <w:r>
        <w:rPr>
          <w:rFonts w:ascii="宋体" w:hAnsi="宋体" w:eastAsia="宋体" w:cs="宋体"/>
          <w:spacing w:val="-2"/>
          <w:sz w:val="24"/>
          <w:szCs w:val="24"/>
        </w:rPr>
        <w:t>《四川省灰霾污染防治办法》（</w:t>
      </w:r>
      <w:r>
        <w:rPr>
          <w:rFonts w:ascii="Times New Roman" w:hAnsi="Times New Roman" w:eastAsia="Times New Roman" w:cs="Times New Roman"/>
          <w:spacing w:val="-2"/>
          <w:sz w:val="24"/>
          <w:szCs w:val="24"/>
        </w:rPr>
        <w:t>2015</w:t>
      </w:r>
      <w:r>
        <w:rPr>
          <w:rFonts w:ascii="宋体" w:hAnsi="宋体" w:eastAsia="宋体" w:cs="宋体"/>
          <w:spacing w:val="-2"/>
          <w:sz w:val="24"/>
          <w:szCs w:val="24"/>
        </w:rPr>
        <w:t>年</w:t>
      </w:r>
      <w:r>
        <w:rPr>
          <w:rFonts w:ascii="Times New Roman" w:hAnsi="Times New Roman" w:eastAsia="Times New Roman" w:cs="Times New Roman"/>
          <w:spacing w:val="-2"/>
          <w:sz w:val="24"/>
          <w:szCs w:val="24"/>
        </w:rPr>
        <w:t>5</w:t>
      </w:r>
      <w:r>
        <w:rPr>
          <w:rFonts w:ascii="宋体" w:hAnsi="宋体" w:eastAsia="宋体" w:cs="宋体"/>
          <w:spacing w:val="-2"/>
          <w:sz w:val="24"/>
          <w:szCs w:val="24"/>
        </w:rPr>
        <w:t>月</w:t>
      </w:r>
      <w:r>
        <w:rPr>
          <w:rFonts w:ascii="Times New Roman" w:hAnsi="Times New Roman" w:eastAsia="Times New Roman" w:cs="Times New Roman"/>
          <w:spacing w:val="-2"/>
          <w:sz w:val="24"/>
          <w:szCs w:val="24"/>
        </w:rPr>
        <w:t>1</w:t>
      </w:r>
      <w:r>
        <w:rPr>
          <w:rFonts w:ascii="宋体" w:hAnsi="宋体" w:eastAsia="宋体" w:cs="宋体"/>
          <w:spacing w:val="-2"/>
          <w:sz w:val="24"/>
          <w:szCs w:val="24"/>
        </w:rPr>
        <w:t>日</w:t>
      </w:r>
      <w:r>
        <w:rPr>
          <w:rFonts w:ascii="宋体" w:hAnsi="宋体" w:eastAsia="宋体" w:cs="宋体"/>
          <w:sz w:val="24"/>
          <w:szCs w:val="24"/>
        </w:rPr>
        <w:t>）；</w:t>
      </w:r>
    </w:p>
    <w:p w14:paraId="32C4FE3C">
      <w:pPr>
        <w:spacing w:before="182" w:line="220" w:lineRule="auto"/>
        <w:ind w:left="561"/>
        <w:rPr>
          <w:rFonts w:ascii="宋体" w:hAnsi="宋体" w:eastAsia="宋体" w:cs="宋体"/>
          <w:sz w:val="24"/>
          <w:szCs w:val="24"/>
        </w:rPr>
      </w:pPr>
      <w:r>
        <w:rPr>
          <w:rFonts w:ascii="宋体" w:hAnsi="宋体" w:eastAsia="宋体" w:cs="宋体"/>
          <w:spacing w:val="-2"/>
          <w:sz w:val="24"/>
          <w:szCs w:val="24"/>
        </w:rPr>
        <w:t>(3)</w:t>
      </w:r>
      <w:r>
        <w:rPr>
          <w:rFonts w:ascii="宋体" w:hAnsi="宋体" w:eastAsia="宋体" w:cs="宋体"/>
          <w:spacing w:val="-52"/>
          <w:sz w:val="24"/>
          <w:szCs w:val="24"/>
        </w:rPr>
        <w:t xml:space="preserve"> </w:t>
      </w:r>
      <w:r>
        <w:rPr>
          <w:rFonts w:ascii="宋体" w:hAnsi="宋体" w:eastAsia="宋体" w:cs="宋体"/>
          <w:spacing w:val="-2"/>
          <w:sz w:val="24"/>
          <w:szCs w:val="24"/>
        </w:rPr>
        <w:t>《四川省固体废物污染环境防治条例》（</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年</w:t>
      </w:r>
      <w:r>
        <w:rPr>
          <w:rFonts w:ascii="Times New Roman" w:hAnsi="Times New Roman" w:eastAsia="Times New Roman" w:cs="Times New Roman"/>
          <w:spacing w:val="-2"/>
          <w:sz w:val="24"/>
          <w:szCs w:val="24"/>
        </w:rPr>
        <w:t>7</w:t>
      </w:r>
      <w:r>
        <w:rPr>
          <w:rFonts w:ascii="宋体" w:hAnsi="宋体" w:eastAsia="宋体" w:cs="宋体"/>
          <w:spacing w:val="-2"/>
          <w:sz w:val="24"/>
          <w:szCs w:val="24"/>
        </w:rPr>
        <w:t>月</w:t>
      </w:r>
      <w:r>
        <w:rPr>
          <w:rFonts w:ascii="Times New Roman" w:hAnsi="Times New Roman" w:eastAsia="Times New Roman" w:cs="Times New Roman"/>
          <w:spacing w:val="-2"/>
          <w:sz w:val="24"/>
          <w:szCs w:val="24"/>
        </w:rPr>
        <w:t>26</w:t>
      </w:r>
      <w:r>
        <w:rPr>
          <w:rFonts w:ascii="宋体" w:hAnsi="宋体" w:eastAsia="宋体" w:cs="宋体"/>
          <w:spacing w:val="-2"/>
          <w:sz w:val="24"/>
          <w:szCs w:val="24"/>
        </w:rPr>
        <w:t>日修正</w:t>
      </w:r>
      <w:r>
        <w:rPr>
          <w:rFonts w:ascii="宋体" w:hAnsi="宋体" w:eastAsia="宋体" w:cs="宋体"/>
          <w:spacing w:val="6"/>
          <w:sz w:val="24"/>
          <w:szCs w:val="24"/>
        </w:rPr>
        <w:t>）；</w:t>
      </w:r>
    </w:p>
    <w:p w14:paraId="16A80105">
      <w:pPr>
        <w:spacing w:before="182" w:line="212" w:lineRule="auto"/>
        <w:ind w:left="561"/>
        <w:rPr>
          <w:rFonts w:ascii="宋体" w:hAnsi="宋体" w:eastAsia="宋体" w:cs="宋体"/>
          <w:sz w:val="24"/>
          <w:szCs w:val="24"/>
        </w:rPr>
      </w:pPr>
      <w:r>
        <w:rPr>
          <w:rFonts w:ascii="宋体" w:hAnsi="宋体" w:eastAsia="宋体" w:cs="宋体"/>
          <w:spacing w:val="-2"/>
          <w:sz w:val="24"/>
          <w:szCs w:val="24"/>
        </w:rPr>
        <w:t>(4)</w:t>
      </w:r>
      <w:r>
        <w:rPr>
          <w:rFonts w:ascii="宋体" w:hAnsi="宋体" w:eastAsia="宋体" w:cs="宋体"/>
          <w:spacing w:val="-52"/>
          <w:sz w:val="24"/>
          <w:szCs w:val="24"/>
        </w:rPr>
        <w:t xml:space="preserve"> </w:t>
      </w:r>
      <w:r>
        <w:rPr>
          <w:rFonts w:ascii="宋体" w:hAnsi="宋体" w:eastAsia="宋体" w:cs="宋体"/>
          <w:spacing w:val="-2"/>
          <w:sz w:val="24"/>
          <w:szCs w:val="24"/>
        </w:rPr>
        <w:t>《四川省大气污染防治行动计划实施细则》（川办函</w:t>
      </w:r>
      <w:r>
        <w:rPr>
          <w:rFonts w:ascii="Times New Roman" w:hAnsi="Times New Roman" w:eastAsia="Times New Roman" w:cs="Times New Roman"/>
          <w:spacing w:val="-2"/>
          <w:sz w:val="24"/>
          <w:szCs w:val="24"/>
        </w:rPr>
        <w:t>[2016]42</w:t>
      </w:r>
      <w:r>
        <w:rPr>
          <w:rFonts w:ascii="宋体" w:hAnsi="宋体" w:eastAsia="宋体" w:cs="宋体"/>
          <w:spacing w:val="-2"/>
          <w:sz w:val="24"/>
          <w:szCs w:val="24"/>
        </w:rPr>
        <w:t>号</w:t>
      </w:r>
      <w:r>
        <w:rPr>
          <w:rFonts w:ascii="宋体" w:hAnsi="宋体" w:eastAsia="宋体" w:cs="宋体"/>
          <w:spacing w:val="8"/>
          <w:sz w:val="24"/>
          <w:szCs w:val="24"/>
        </w:rPr>
        <w:t>）；</w:t>
      </w:r>
    </w:p>
    <w:p w14:paraId="793816E5">
      <w:pPr>
        <w:spacing w:before="193" w:line="212" w:lineRule="auto"/>
        <w:ind w:left="561"/>
        <w:rPr>
          <w:rFonts w:ascii="宋体" w:hAnsi="宋体" w:eastAsia="宋体" w:cs="宋体"/>
          <w:sz w:val="24"/>
          <w:szCs w:val="24"/>
        </w:rPr>
      </w:pPr>
      <w:r>
        <w:rPr>
          <w:rFonts w:ascii="宋体" w:hAnsi="宋体" w:eastAsia="宋体" w:cs="宋体"/>
          <w:spacing w:val="-2"/>
          <w:sz w:val="24"/>
          <w:szCs w:val="24"/>
        </w:rPr>
        <w:t>(5)</w:t>
      </w:r>
      <w:r>
        <w:rPr>
          <w:rFonts w:ascii="宋体" w:hAnsi="宋体" w:eastAsia="宋体" w:cs="宋体"/>
          <w:spacing w:val="-52"/>
          <w:sz w:val="24"/>
          <w:szCs w:val="24"/>
        </w:rPr>
        <w:t xml:space="preserve"> </w:t>
      </w:r>
      <w:r>
        <w:rPr>
          <w:rFonts w:ascii="宋体" w:hAnsi="宋体" w:eastAsia="宋体" w:cs="宋体"/>
          <w:spacing w:val="-2"/>
          <w:sz w:val="24"/>
          <w:szCs w:val="24"/>
        </w:rPr>
        <w:t>《四川省地面水水域环境功能划类管理规定》（川府发</w:t>
      </w:r>
      <w:r>
        <w:rPr>
          <w:rFonts w:ascii="Times New Roman" w:hAnsi="Times New Roman" w:eastAsia="Times New Roman" w:cs="Times New Roman"/>
          <w:spacing w:val="-2"/>
          <w:sz w:val="24"/>
          <w:szCs w:val="24"/>
        </w:rPr>
        <w:t>[1992]5</w:t>
      </w:r>
      <w:r>
        <w:rPr>
          <w:rFonts w:ascii="宋体" w:hAnsi="宋体" w:eastAsia="宋体" w:cs="宋体"/>
          <w:spacing w:val="-2"/>
          <w:sz w:val="24"/>
          <w:szCs w:val="24"/>
        </w:rPr>
        <w:t>号</w:t>
      </w:r>
      <w:r>
        <w:rPr>
          <w:rFonts w:ascii="宋体" w:hAnsi="宋体" w:eastAsia="宋体" w:cs="宋体"/>
          <w:spacing w:val="8"/>
          <w:sz w:val="24"/>
          <w:szCs w:val="24"/>
        </w:rPr>
        <w:t>）；</w:t>
      </w:r>
    </w:p>
    <w:p w14:paraId="255FC542">
      <w:pPr>
        <w:spacing w:before="192" w:line="212" w:lineRule="auto"/>
        <w:ind w:left="561"/>
        <w:rPr>
          <w:rFonts w:ascii="宋体" w:hAnsi="宋体" w:eastAsia="宋体" w:cs="宋体"/>
          <w:sz w:val="24"/>
          <w:szCs w:val="24"/>
        </w:rPr>
      </w:pPr>
      <w:r>
        <w:rPr>
          <w:rFonts w:ascii="宋体" w:hAnsi="宋体" w:eastAsia="宋体" w:cs="宋体"/>
          <w:spacing w:val="-3"/>
          <w:sz w:val="24"/>
          <w:szCs w:val="24"/>
        </w:rPr>
        <w:t>(6)</w:t>
      </w:r>
      <w:r>
        <w:rPr>
          <w:rFonts w:ascii="宋体" w:hAnsi="宋体" w:eastAsia="宋体" w:cs="宋体"/>
          <w:spacing w:val="-53"/>
          <w:sz w:val="24"/>
          <w:szCs w:val="24"/>
        </w:rPr>
        <w:t xml:space="preserve"> </w:t>
      </w:r>
      <w:r>
        <w:rPr>
          <w:rFonts w:ascii="宋体" w:hAnsi="宋体" w:eastAsia="宋体" w:cs="宋体"/>
          <w:spacing w:val="-3"/>
          <w:sz w:val="24"/>
          <w:szCs w:val="24"/>
        </w:rPr>
        <w:t>《四川省“十四五</w:t>
      </w:r>
      <w:r>
        <w:rPr>
          <w:rFonts w:ascii="宋体" w:hAnsi="宋体" w:eastAsia="宋体" w:cs="宋体"/>
          <w:spacing w:val="-88"/>
          <w:sz w:val="24"/>
          <w:szCs w:val="24"/>
        </w:rPr>
        <w:t xml:space="preserve"> </w:t>
      </w:r>
      <w:r>
        <w:rPr>
          <w:rFonts w:ascii="宋体" w:hAnsi="宋体" w:eastAsia="宋体" w:cs="宋体"/>
          <w:spacing w:val="-3"/>
          <w:sz w:val="24"/>
          <w:szCs w:val="24"/>
        </w:rPr>
        <w:t>”生态环境保护规划》（川府发</w:t>
      </w:r>
      <w:r>
        <w:rPr>
          <w:rFonts w:ascii="Times New Roman" w:hAnsi="Times New Roman" w:eastAsia="Times New Roman" w:cs="Times New Roman"/>
          <w:spacing w:val="-3"/>
          <w:sz w:val="24"/>
          <w:szCs w:val="24"/>
        </w:rPr>
        <w:t>[2022]2</w:t>
      </w:r>
      <w:r>
        <w:rPr>
          <w:rFonts w:ascii="宋体" w:hAnsi="宋体" w:eastAsia="宋体" w:cs="宋体"/>
          <w:spacing w:val="-3"/>
          <w:sz w:val="24"/>
          <w:szCs w:val="24"/>
        </w:rPr>
        <w:t>号</w:t>
      </w:r>
      <w:r>
        <w:rPr>
          <w:rFonts w:ascii="宋体" w:hAnsi="宋体" w:eastAsia="宋体" w:cs="宋体"/>
          <w:spacing w:val="7"/>
          <w:sz w:val="24"/>
          <w:szCs w:val="24"/>
        </w:rPr>
        <w:t>）；</w:t>
      </w:r>
    </w:p>
    <w:p w14:paraId="63EBE164">
      <w:pPr>
        <w:spacing w:before="192" w:line="360" w:lineRule="auto"/>
        <w:ind w:left="49" w:right="28" w:firstLine="511"/>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37"/>
          <w:sz w:val="24"/>
          <w:szCs w:val="24"/>
        </w:rPr>
        <w:t xml:space="preserve"> </w:t>
      </w:r>
      <w:r>
        <w:rPr>
          <w:rFonts w:ascii="宋体" w:hAnsi="宋体" w:eastAsia="宋体" w:cs="宋体"/>
          <w:spacing w:val="4"/>
          <w:sz w:val="24"/>
          <w:szCs w:val="24"/>
        </w:rPr>
        <w:t>《关于印发四川省打赢蓝天保卫战等九个实施方案的通知》（川府发</w:t>
      </w:r>
      <w:r>
        <w:rPr>
          <w:rFonts w:ascii="Times New Roman" w:hAnsi="Times New Roman" w:eastAsia="Times New Roman" w:cs="Times New Roman"/>
          <w:spacing w:val="-3"/>
          <w:sz w:val="24"/>
          <w:szCs w:val="24"/>
        </w:rPr>
        <w:t>[2019]4</w:t>
      </w:r>
      <w:r>
        <w:rPr>
          <w:rFonts w:ascii="宋体" w:hAnsi="宋体" w:eastAsia="宋体" w:cs="宋体"/>
          <w:spacing w:val="-3"/>
          <w:sz w:val="24"/>
          <w:szCs w:val="24"/>
        </w:rPr>
        <w:t>号</w:t>
      </w:r>
      <w:r>
        <w:rPr>
          <w:rFonts w:ascii="宋体" w:hAnsi="宋体" w:eastAsia="宋体" w:cs="宋体"/>
          <w:sz w:val="24"/>
          <w:szCs w:val="24"/>
        </w:rPr>
        <w:t>）；</w:t>
      </w:r>
    </w:p>
    <w:p w14:paraId="64BB4AA6">
      <w:pPr>
        <w:spacing w:line="212" w:lineRule="auto"/>
        <w:ind w:left="561"/>
        <w:rPr>
          <w:rFonts w:ascii="宋体" w:hAnsi="宋体" w:eastAsia="宋体" w:cs="宋体"/>
          <w:sz w:val="24"/>
          <w:szCs w:val="24"/>
        </w:rPr>
      </w:pPr>
      <w:r>
        <w:rPr>
          <w:rFonts w:ascii="宋体" w:hAnsi="宋体" w:eastAsia="宋体" w:cs="宋体"/>
          <w:spacing w:val="-2"/>
          <w:sz w:val="24"/>
          <w:szCs w:val="24"/>
        </w:rPr>
        <w:t>(8)</w:t>
      </w:r>
      <w:r>
        <w:rPr>
          <w:rFonts w:ascii="宋体" w:hAnsi="宋体" w:eastAsia="宋体" w:cs="宋体"/>
          <w:spacing w:val="-52"/>
          <w:sz w:val="24"/>
          <w:szCs w:val="24"/>
        </w:rPr>
        <w:t xml:space="preserve"> </w:t>
      </w:r>
      <w:r>
        <w:rPr>
          <w:rFonts w:ascii="宋体" w:hAnsi="宋体" w:eastAsia="宋体" w:cs="宋体"/>
          <w:spacing w:val="-2"/>
          <w:sz w:val="24"/>
          <w:szCs w:val="24"/>
        </w:rPr>
        <w:t>《水污染防治行动计划四川省工作方案》（川府发</w:t>
      </w:r>
      <w:r>
        <w:rPr>
          <w:rFonts w:ascii="Times New Roman" w:hAnsi="Times New Roman" w:eastAsia="Times New Roman" w:cs="Times New Roman"/>
          <w:spacing w:val="-2"/>
          <w:sz w:val="24"/>
          <w:szCs w:val="24"/>
        </w:rPr>
        <w:t>[2015]59</w:t>
      </w:r>
      <w:r>
        <w:rPr>
          <w:rFonts w:ascii="宋体" w:hAnsi="宋体" w:eastAsia="宋体" w:cs="宋体"/>
          <w:spacing w:val="-2"/>
          <w:sz w:val="24"/>
          <w:szCs w:val="24"/>
        </w:rPr>
        <w:t>号</w:t>
      </w:r>
      <w:r>
        <w:rPr>
          <w:rFonts w:ascii="宋体" w:hAnsi="宋体" w:eastAsia="宋体" w:cs="宋体"/>
          <w:spacing w:val="7"/>
          <w:sz w:val="24"/>
          <w:szCs w:val="24"/>
        </w:rPr>
        <w:t>）；</w:t>
      </w:r>
    </w:p>
    <w:p w14:paraId="30AE0E86">
      <w:pPr>
        <w:spacing w:before="193" w:line="212" w:lineRule="auto"/>
        <w:ind w:left="561"/>
        <w:rPr>
          <w:rFonts w:ascii="宋体" w:hAnsi="宋体" w:eastAsia="宋体" w:cs="宋体"/>
          <w:sz w:val="24"/>
          <w:szCs w:val="24"/>
        </w:rPr>
      </w:pPr>
      <w:r>
        <w:rPr>
          <w:rFonts w:ascii="宋体" w:hAnsi="宋体" w:eastAsia="宋体" w:cs="宋体"/>
          <w:spacing w:val="-2"/>
          <w:sz w:val="24"/>
          <w:szCs w:val="24"/>
        </w:rPr>
        <w:t>(9)</w:t>
      </w:r>
      <w:r>
        <w:rPr>
          <w:rFonts w:ascii="宋体" w:hAnsi="宋体" w:eastAsia="宋体" w:cs="宋体"/>
          <w:spacing w:val="-52"/>
          <w:sz w:val="24"/>
          <w:szCs w:val="24"/>
        </w:rPr>
        <w:t xml:space="preserve"> </w:t>
      </w:r>
      <w:r>
        <w:rPr>
          <w:rFonts w:ascii="宋体" w:hAnsi="宋体" w:eastAsia="宋体" w:cs="宋体"/>
          <w:spacing w:val="-2"/>
          <w:sz w:val="24"/>
          <w:szCs w:val="24"/>
        </w:rPr>
        <w:t>《土壤污染防治行动计划四川省工作方案》（川府发</w:t>
      </w:r>
      <w:r>
        <w:rPr>
          <w:rFonts w:ascii="Times New Roman" w:hAnsi="Times New Roman" w:eastAsia="Times New Roman" w:cs="Times New Roman"/>
          <w:spacing w:val="-2"/>
          <w:sz w:val="24"/>
          <w:szCs w:val="24"/>
        </w:rPr>
        <w:t>[2016]63</w:t>
      </w:r>
      <w:r>
        <w:rPr>
          <w:rFonts w:ascii="宋体" w:hAnsi="宋体" w:eastAsia="宋体" w:cs="宋体"/>
          <w:spacing w:val="-2"/>
          <w:sz w:val="24"/>
          <w:szCs w:val="24"/>
        </w:rPr>
        <w:t>号</w:t>
      </w:r>
      <w:r>
        <w:rPr>
          <w:rFonts w:ascii="宋体" w:hAnsi="宋体" w:eastAsia="宋体" w:cs="宋体"/>
          <w:spacing w:val="8"/>
          <w:sz w:val="24"/>
          <w:szCs w:val="24"/>
        </w:rPr>
        <w:t>）；</w:t>
      </w:r>
    </w:p>
    <w:p w14:paraId="4D9C7B61">
      <w:pPr>
        <w:spacing w:before="192" w:line="212" w:lineRule="auto"/>
        <w:ind w:left="561"/>
        <w:rPr>
          <w:rFonts w:ascii="宋体" w:hAnsi="宋体" w:eastAsia="宋体" w:cs="宋体"/>
          <w:sz w:val="24"/>
          <w:szCs w:val="24"/>
        </w:rPr>
      </w:pPr>
      <w:r>
        <w:rPr>
          <w:rFonts w:ascii="宋体" w:hAnsi="宋体" w:eastAsia="宋体" w:cs="宋体"/>
          <w:spacing w:val="-7"/>
          <w:sz w:val="24"/>
          <w:szCs w:val="24"/>
        </w:rPr>
        <w:t>(10)</w:t>
      </w:r>
      <w:r>
        <w:rPr>
          <w:rFonts w:ascii="宋体" w:hAnsi="宋体" w:eastAsia="宋体" w:cs="宋体"/>
          <w:spacing w:val="-52"/>
          <w:sz w:val="24"/>
          <w:szCs w:val="24"/>
        </w:rPr>
        <w:t xml:space="preserve"> </w:t>
      </w:r>
      <w:r>
        <w:rPr>
          <w:rFonts w:ascii="宋体" w:hAnsi="宋体" w:eastAsia="宋体" w:cs="宋体"/>
          <w:spacing w:val="-7"/>
          <w:sz w:val="24"/>
          <w:szCs w:val="24"/>
        </w:rPr>
        <w:t>《关于印发四川省生态保护红线方案的通知》（川府发</w:t>
      </w:r>
      <w:r>
        <w:rPr>
          <w:rFonts w:ascii="Times New Roman" w:hAnsi="Times New Roman" w:eastAsia="Times New Roman" w:cs="Times New Roman"/>
          <w:spacing w:val="-8"/>
          <w:sz w:val="24"/>
          <w:szCs w:val="24"/>
        </w:rPr>
        <w:t>[2018]24</w:t>
      </w:r>
      <w:r>
        <w:rPr>
          <w:rFonts w:ascii="宋体" w:hAnsi="宋体" w:eastAsia="宋体" w:cs="宋体"/>
          <w:spacing w:val="-8"/>
          <w:sz w:val="24"/>
          <w:szCs w:val="24"/>
        </w:rPr>
        <w:t>号</w:t>
      </w:r>
      <w:r>
        <w:rPr>
          <w:rFonts w:ascii="宋体" w:hAnsi="宋体" w:eastAsia="宋体" w:cs="宋体"/>
          <w:spacing w:val="-4"/>
          <w:sz w:val="24"/>
          <w:szCs w:val="24"/>
        </w:rPr>
        <w:t>）；</w:t>
      </w:r>
    </w:p>
    <w:p w14:paraId="0CCDAF1B">
      <w:pPr>
        <w:spacing w:before="193" w:line="360" w:lineRule="auto"/>
        <w:ind w:left="42" w:right="20" w:firstLine="519"/>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47"/>
          <w:sz w:val="24"/>
          <w:szCs w:val="24"/>
        </w:rPr>
        <w:t xml:space="preserve"> </w:t>
      </w:r>
      <w:r>
        <w:rPr>
          <w:rFonts w:ascii="宋体" w:hAnsi="宋体" w:eastAsia="宋体" w:cs="宋体"/>
          <w:spacing w:val="-6"/>
          <w:sz w:val="24"/>
          <w:szCs w:val="24"/>
        </w:rPr>
        <w:t>《四川省人民政府关于落实生态保护红线、环境质量底线、资源利用上</w:t>
      </w:r>
      <w:r>
        <w:rPr>
          <w:rFonts w:ascii="宋体" w:hAnsi="宋体" w:eastAsia="宋体" w:cs="宋体"/>
          <w:spacing w:val="-7"/>
          <w:sz w:val="24"/>
          <w:szCs w:val="24"/>
        </w:rPr>
        <w:t>线制定生态环境准入清单实施生态环境分区管控的通知</w:t>
      </w:r>
      <w:r>
        <w:rPr>
          <w:rFonts w:ascii="宋体" w:hAnsi="宋体" w:eastAsia="宋体" w:cs="宋体"/>
          <w:spacing w:val="-8"/>
          <w:sz w:val="24"/>
          <w:szCs w:val="24"/>
        </w:rPr>
        <w:t>》（川府发</w:t>
      </w:r>
      <w:r>
        <w:rPr>
          <w:rFonts w:ascii="Times New Roman" w:hAnsi="Times New Roman" w:eastAsia="Times New Roman" w:cs="Times New Roman"/>
          <w:spacing w:val="-8"/>
          <w:sz w:val="24"/>
          <w:szCs w:val="24"/>
        </w:rPr>
        <w:t>[2020]9</w:t>
      </w:r>
      <w:r>
        <w:rPr>
          <w:rFonts w:ascii="宋体" w:hAnsi="宋体" w:eastAsia="宋体" w:cs="宋体"/>
          <w:spacing w:val="-8"/>
          <w:sz w:val="24"/>
          <w:szCs w:val="24"/>
        </w:rPr>
        <w:t>号</w:t>
      </w:r>
      <w:r>
        <w:rPr>
          <w:rFonts w:ascii="宋体" w:hAnsi="宋体" w:eastAsia="宋体" w:cs="宋体"/>
          <w:spacing w:val="-4"/>
          <w:sz w:val="24"/>
          <w:szCs w:val="24"/>
        </w:rPr>
        <w:t>）；</w:t>
      </w:r>
    </w:p>
    <w:p w14:paraId="4F95A9FA">
      <w:pPr>
        <w:spacing w:line="354" w:lineRule="auto"/>
        <w:ind w:left="45" w:right="31" w:firstLine="516"/>
        <w:rPr>
          <w:rFonts w:ascii="宋体" w:hAnsi="宋体" w:eastAsia="宋体" w:cs="宋体"/>
          <w:sz w:val="24"/>
          <w:szCs w:val="24"/>
        </w:rPr>
      </w:pPr>
      <w:r>
        <w:rPr>
          <w:rFonts w:ascii="宋体" w:hAnsi="宋体" w:eastAsia="宋体" w:cs="宋体"/>
          <w:sz w:val="24"/>
          <w:szCs w:val="24"/>
        </w:rPr>
        <w:t>(12)</w:t>
      </w:r>
      <w:r>
        <w:rPr>
          <w:rFonts w:ascii="宋体" w:hAnsi="宋体" w:eastAsia="宋体" w:cs="宋体"/>
          <w:spacing w:val="-53"/>
          <w:sz w:val="24"/>
          <w:szCs w:val="24"/>
        </w:rPr>
        <w:t xml:space="preserve"> </w:t>
      </w:r>
      <w:r>
        <w:rPr>
          <w:rFonts w:ascii="宋体" w:hAnsi="宋体" w:eastAsia="宋体" w:cs="宋体"/>
          <w:sz w:val="24"/>
          <w:szCs w:val="24"/>
        </w:rPr>
        <w:t>《四川省畜禽养殖污染防治技术指南（试行）</w:t>
      </w:r>
      <w:r>
        <w:rPr>
          <w:rFonts w:ascii="宋体" w:hAnsi="宋体" w:eastAsia="宋体" w:cs="宋体"/>
          <w:spacing w:val="-1"/>
          <w:sz w:val="24"/>
          <w:szCs w:val="24"/>
        </w:rPr>
        <w:t>》（川农业函</w:t>
      </w:r>
      <w:r>
        <w:rPr>
          <w:rFonts w:ascii="Times New Roman" w:hAnsi="Times New Roman" w:eastAsia="Times New Roman" w:cs="Times New Roman"/>
          <w:spacing w:val="-1"/>
          <w:sz w:val="24"/>
          <w:szCs w:val="24"/>
        </w:rPr>
        <w:t>[2017]647</w:t>
      </w:r>
      <w:r>
        <w:rPr>
          <w:rFonts w:ascii="宋体" w:hAnsi="宋体" w:eastAsia="宋体" w:cs="宋体"/>
          <w:spacing w:val="-2"/>
          <w:sz w:val="24"/>
          <w:szCs w:val="24"/>
        </w:rPr>
        <w:t>号，</w:t>
      </w:r>
      <w:r>
        <w:rPr>
          <w:rFonts w:ascii="Times New Roman" w:hAnsi="Times New Roman" w:eastAsia="Times New Roman" w:cs="Times New Roman"/>
          <w:spacing w:val="-2"/>
          <w:sz w:val="24"/>
          <w:szCs w:val="24"/>
        </w:rPr>
        <w:t>2017</w:t>
      </w:r>
      <w:r>
        <w:rPr>
          <w:rFonts w:ascii="宋体" w:hAnsi="宋体" w:eastAsia="宋体" w:cs="宋体"/>
          <w:spacing w:val="-2"/>
          <w:sz w:val="24"/>
          <w:szCs w:val="24"/>
        </w:rPr>
        <w:t>年</w:t>
      </w:r>
      <w:r>
        <w:rPr>
          <w:rFonts w:ascii="Times New Roman" w:hAnsi="Times New Roman" w:eastAsia="Times New Roman" w:cs="Times New Roman"/>
          <w:spacing w:val="-2"/>
          <w:sz w:val="24"/>
          <w:szCs w:val="24"/>
        </w:rPr>
        <w:t>7</w:t>
      </w:r>
      <w:r>
        <w:rPr>
          <w:rFonts w:ascii="宋体" w:hAnsi="宋体" w:eastAsia="宋体" w:cs="宋体"/>
          <w:spacing w:val="-2"/>
          <w:sz w:val="24"/>
          <w:szCs w:val="24"/>
        </w:rPr>
        <w:t>月</w:t>
      </w:r>
      <w:r>
        <w:rPr>
          <w:rFonts w:ascii="Times New Roman" w:hAnsi="Times New Roman" w:eastAsia="Times New Roman" w:cs="Times New Roman"/>
          <w:spacing w:val="-2"/>
          <w:sz w:val="24"/>
          <w:szCs w:val="24"/>
        </w:rPr>
        <w:t>27</w:t>
      </w:r>
      <w:r>
        <w:rPr>
          <w:rFonts w:ascii="宋体" w:hAnsi="宋体" w:eastAsia="宋体" w:cs="宋体"/>
          <w:spacing w:val="-2"/>
          <w:sz w:val="24"/>
          <w:szCs w:val="24"/>
        </w:rPr>
        <w:t>日</w:t>
      </w:r>
      <w:r>
        <w:rPr>
          <w:rFonts w:ascii="宋体" w:hAnsi="宋体" w:eastAsia="宋体" w:cs="宋体"/>
          <w:spacing w:val="3"/>
          <w:sz w:val="24"/>
          <w:szCs w:val="24"/>
        </w:rPr>
        <w:t>）；</w:t>
      </w:r>
    </w:p>
    <w:p w14:paraId="0C6500B5">
      <w:pPr>
        <w:spacing w:before="15" w:line="360" w:lineRule="auto"/>
        <w:ind w:left="45" w:right="32" w:firstLine="516"/>
        <w:rPr>
          <w:rFonts w:ascii="宋体" w:hAnsi="宋体" w:eastAsia="宋体" w:cs="宋体"/>
          <w:sz w:val="24"/>
          <w:szCs w:val="24"/>
        </w:rPr>
      </w:pPr>
      <w:r>
        <w:rPr>
          <w:rFonts w:ascii="宋体" w:hAnsi="宋体" w:eastAsia="宋体" w:cs="宋体"/>
          <w:spacing w:val="1"/>
          <w:sz w:val="24"/>
          <w:szCs w:val="24"/>
        </w:rPr>
        <w:t>(13)</w:t>
      </w:r>
      <w:r>
        <w:rPr>
          <w:rFonts w:ascii="宋体" w:hAnsi="宋体" w:eastAsia="宋体" w:cs="宋体"/>
          <w:spacing w:val="-53"/>
          <w:sz w:val="24"/>
          <w:szCs w:val="24"/>
        </w:rPr>
        <w:t xml:space="preserve"> </w:t>
      </w:r>
      <w:r>
        <w:rPr>
          <w:rFonts w:ascii="宋体" w:hAnsi="宋体" w:eastAsia="宋体" w:cs="宋体"/>
          <w:spacing w:val="1"/>
          <w:sz w:val="24"/>
          <w:szCs w:val="24"/>
        </w:rPr>
        <w:t>《四川省环境保护厅、四川省畜牧食品局关于</w:t>
      </w:r>
      <w:r>
        <w:rPr>
          <w:rFonts w:ascii="宋体" w:hAnsi="宋体" w:eastAsia="宋体" w:cs="宋体"/>
          <w:sz w:val="24"/>
          <w:szCs w:val="24"/>
        </w:rPr>
        <w:t>加强畜禽养殖业污染防</w:t>
      </w:r>
      <w:r>
        <w:rPr>
          <w:rFonts w:ascii="宋体" w:hAnsi="宋体" w:eastAsia="宋体" w:cs="宋体"/>
          <w:spacing w:val="-1"/>
          <w:sz w:val="24"/>
          <w:szCs w:val="24"/>
        </w:rPr>
        <w:t>治推进生态畜牧业发展的意见》（川环发</w:t>
      </w:r>
      <w:r>
        <w:rPr>
          <w:rFonts w:ascii="Times New Roman" w:hAnsi="Times New Roman" w:eastAsia="Times New Roman" w:cs="Times New Roman"/>
          <w:spacing w:val="-1"/>
          <w:sz w:val="24"/>
          <w:szCs w:val="24"/>
        </w:rPr>
        <w:t>[2012]14</w:t>
      </w:r>
      <w:r>
        <w:rPr>
          <w:rFonts w:ascii="宋体" w:hAnsi="宋体" w:eastAsia="宋体" w:cs="宋体"/>
          <w:spacing w:val="-1"/>
          <w:sz w:val="24"/>
          <w:szCs w:val="24"/>
        </w:rPr>
        <w:t>号</w:t>
      </w:r>
      <w:r>
        <w:rPr>
          <w:rFonts w:ascii="宋体" w:hAnsi="宋体" w:eastAsia="宋体" w:cs="宋体"/>
          <w:spacing w:val="5"/>
          <w:sz w:val="24"/>
          <w:szCs w:val="24"/>
        </w:rPr>
        <w:t>）；</w:t>
      </w:r>
    </w:p>
    <w:p w14:paraId="68AD55E1">
      <w:pPr>
        <w:spacing w:line="360" w:lineRule="auto"/>
        <w:ind w:left="39" w:right="32" w:firstLine="522"/>
        <w:rPr>
          <w:rFonts w:ascii="宋体" w:hAnsi="宋体" w:eastAsia="宋体" w:cs="宋体"/>
          <w:sz w:val="24"/>
          <w:szCs w:val="24"/>
        </w:rPr>
      </w:pPr>
      <w:r>
        <w:rPr>
          <w:rFonts w:ascii="宋体" w:hAnsi="宋体" w:eastAsia="宋体" w:cs="宋体"/>
          <w:spacing w:val="1"/>
          <w:sz w:val="24"/>
          <w:szCs w:val="24"/>
        </w:rPr>
        <w:t>(14)</w:t>
      </w:r>
      <w:r>
        <w:rPr>
          <w:rFonts w:ascii="宋体" w:hAnsi="宋体" w:eastAsia="宋体" w:cs="宋体"/>
          <w:spacing w:val="-53"/>
          <w:sz w:val="24"/>
          <w:szCs w:val="24"/>
        </w:rPr>
        <w:t xml:space="preserve"> </w:t>
      </w:r>
      <w:r>
        <w:rPr>
          <w:rFonts w:ascii="宋体" w:hAnsi="宋体" w:eastAsia="宋体" w:cs="宋体"/>
          <w:spacing w:val="1"/>
          <w:sz w:val="24"/>
          <w:szCs w:val="24"/>
        </w:rPr>
        <w:t>《关于开展规模化畜禽养殖粪污综合利用试点</w:t>
      </w:r>
      <w:r>
        <w:rPr>
          <w:rFonts w:ascii="宋体" w:hAnsi="宋体" w:eastAsia="宋体" w:cs="宋体"/>
          <w:sz w:val="24"/>
          <w:szCs w:val="24"/>
        </w:rPr>
        <w:t>示范工作的通知》（川</w:t>
      </w:r>
      <w:r>
        <w:rPr>
          <w:rFonts w:ascii="宋体" w:hAnsi="宋体" w:eastAsia="宋体" w:cs="宋体"/>
          <w:spacing w:val="-1"/>
          <w:sz w:val="24"/>
          <w:szCs w:val="24"/>
        </w:rPr>
        <w:t>环发</w:t>
      </w:r>
      <w:r>
        <w:rPr>
          <w:rFonts w:ascii="Times New Roman" w:hAnsi="Times New Roman" w:eastAsia="Times New Roman" w:cs="Times New Roman"/>
          <w:spacing w:val="-1"/>
          <w:sz w:val="24"/>
          <w:szCs w:val="24"/>
        </w:rPr>
        <w:t>[2012]16</w:t>
      </w:r>
      <w:r>
        <w:rPr>
          <w:rFonts w:ascii="宋体" w:hAnsi="宋体" w:eastAsia="宋体" w:cs="宋体"/>
          <w:spacing w:val="-1"/>
          <w:sz w:val="24"/>
          <w:szCs w:val="24"/>
        </w:rPr>
        <w:t>号</w:t>
      </w:r>
      <w:r>
        <w:rPr>
          <w:rFonts w:ascii="宋体" w:hAnsi="宋体" w:eastAsia="宋体" w:cs="宋体"/>
          <w:sz w:val="24"/>
          <w:szCs w:val="24"/>
        </w:rPr>
        <w:t>）；</w:t>
      </w:r>
    </w:p>
    <w:p w14:paraId="04DA43E5">
      <w:pPr>
        <w:spacing w:line="360" w:lineRule="auto"/>
        <w:ind w:left="41" w:right="32" w:firstLine="520"/>
        <w:rPr>
          <w:rFonts w:ascii="宋体" w:hAnsi="宋体" w:eastAsia="宋体" w:cs="宋体"/>
          <w:sz w:val="24"/>
          <w:szCs w:val="24"/>
        </w:rPr>
      </w:pPr>
      <w:r>
        <w:rPr>
          <w:rFonts w:ascii="宋体" w:hAnsi="宋体" w:eastAsia="宋体" w:cs="宋体"/>
          <w:spacing w:val="1"/>
          <w:sz w:val="24"/>
          <w:szCs w:val="24"/>
        </w:rPr>
        <w:t>(15)</w:t>
      </w:r>
      <w:r>
        <w:rPr>
          <w:rFonts w:ascii="宋体" w:hAnsi="宋体" w:eastAsia="宋体" w:cs="宋体"/>
          <w:spacing w:val="-53"/>
          <w:sz w:val="24"/>
          <w:szCs w:val="24"/>
        </w:rPr>
        <w:t xml:space="preserve"> </w:t>
      </w:r>
      <w:r>
        <w:rPr>
          <w:rFonts w:ascii="宋体" w:hAnsi="宋体" w:eastAsia="宋体" w:cs="宋体"/>
          <w:spacing w:val="1"/>
          <w:sz w:val="24"/>
          <w:szCs w:val="24"/>
        </w:rPr>
        <w:t>《四川省环境保护厅、四川省农业厅关于贯彻</w:t>
      </w:r>
      <w:r>
        <w:rPr>
          <w:rFonts w:ascii="宋体" w:hAnsi="宋体" w:eastAsia="宋体" w:cs="宋体"/>
          <w:sz w:val="24"/>
          <w:szCs w:val="24"/>
        </w:rPr>
        <w:t>落实环境保护法加强畜</w:t>
      </w:r>
      <w:r>
        <w:rPr>
          <w:rFonts w:ascii="宋体" w:hAnsi="宋体" w:eastAsia="宋体" w:cs="宋体"/>
          <w:spacing w:val="-1"/>
          <w:sz w:val="24"/>
          <w:szCs w:val="24"/>
        </w:rPr>
        <w:t>禽养殖污染防治工作的意见》（川环发</w:t>
      </w:r>
      <w:r>
        <w:rPr>
          <w:rFonts w:ascii="Times New Roman" w:hAnsi="Times New Roman" w:eastAsia="Times New Roman" w:cs="Times New Roman"/>
          <w:spacing w:val="-1"/>
          <w:sz w:val="24"/>
          <w:szCs w:val="24"/>
        </w:rPr>
        <w:t>[2015]28</w:t>
      </w:r>
      <w:r>
        <w:rPr>
          <w:rFonts w:ascii="宋体" w:hAnsi="宋体" w:eastAsia="宋体" w:cs="宋体"/>
          <w:spacing w:val="-1"/>
          <w:sz w:val="24"/>
          <w:szCs w:val="24"/>
        </w:rPr>
        <w:t>号</w:t>
      </w:r>
      <w:r>
        <w:rPr>
          <w:rFonts w:ascii="宋体" w:hAnsi="宋体" w:eastAsia="宋体" w:cs="宋体"/>
          <w:spacing w:val="6"/>
          <w:sz w:val="24"/>
          <w:szCs w:val="24"/>
        </w:rPr>
        <w:t>）；</w:t>
      </w:r>
    </w:p>
    <w:p w14:paraId="394D1382">
      <w:pPr>
        <w:spacing w:before="1" w:line="219" w:lineRule="auto"/>
        <w:ind w:right="29"/>
        <w:jc w:val="right"/>
        <w:rPr>
          <w:rFonts w:ascii="宋体" w:hAnsi="宋体" w:eastAsia="宋体" w:cs="宋体"/>
          <w:sz w:val="24"/>
          <w:szCs w:val="24"/>
        </w:rPr>
      </w:pPr>
      <w:r>
        <w:rPr>
          <w:rFonts w:ascii="宋体" w:hAnsi="宋体" w:eastAsia="宋体" w:cs="宋体"/>
          <w:spacing w:val="7"/>
          <w:sz w:val="24"/>
          <w:szCs w:val="24"/>
        </w:rPr>
        <w:t>(16)</w:t>
      </w:r>
      <w:r>
        <w:rPr>
          <w:rFonts w:ascii="宋体" w:hAnsi="宋体" w:eastAsia="宋体" w:cs="宋体"/>
          <w:spacing w:val="-40"/>
          <w:sz w:val="24"/>
          <w:szCs w:val="24"/>
        </w:rPr>
        <w:t xml:space="preserve"> </w:t>
      </w:r>
      <w:r>
        <w:rPr>
          <w:rFonts w:ascii="宋体" w:hAnsi="宋体" w:eastAsia="宋体" w:cs="宋体"/>
          <w:spacing w:val="7"/>
          <w:sz w:val="24"/>
          <w:szCs w:val="24"/>
        </w:rPr>
        <w:t>《关于加快推进畜禽养殖废弃物资源化利用的实施意见》</w:t>
      </w:r>
      <w:r>
        <w:rPr>
          <w:rFonts w:ascii="宋体" w:hAnsi="宋体" w:eastAsia="宋体" w:cs="宋体"/>
          <w:spacing w:val="-98"/>
          <w:sz w:val="24"/>
          <w:szCs w:val="24"/>
        </w:rPr>
        <w:t xml:space="preserve"> </w:t>
      </w:r>
      <w:r>
        <w:rPr>
          <w:rFonts w:ascii="宋体" w:hAnsi="宋体" w:eastAsia="宋体" w:cs="宋体"/>
          <w:spacing w:val="7"/>
          <w:sz w:val="24"/>
          <w:szCs w:val="24"/>
        </w:rPr>
        <w:t>（川办发</w:t>
      </w:r>
    </w:p>
    <w:p w14:paraId="46C1258B">
      <w:pPr>
        <w:spacing w:line="219" w:lineRule="auto"/>
        <w:rPr>
          <w:rFonts w:ascii="宋体" w:hAnsi="宋体" w:eastAsia="宋体" w:cs="宋体"/>
          <w:sz w:val="24"/>
          <w:szCs w:val="24"/>
        </w:rPr>
        <w:sectPr>
          <w:footerReference r:id="rId30" w:type="default"/>
          <w:pgSz w:w="11905" w:h="16840"/>
          <w:pgMar w:top="1168" w:right="1768" w:bottom="1409" w:left="1770" w:header="828" w:footer="1244" w:gutter="0"/>
          <w:cols w:space="720" w:num="1"/>
        </w:sectPr>
      </w:pPr>
    </w:p>
    <w:p w14:paraId="1475B868">
      <w:pPr>
        <w:pStyle w:val="2"/>
        <w:spacing w:line="306" w:lineRule="auto"/>
      </w:pPr>
    </w:p>
    <w:p w14:paraId="26447088">
      <w:pPr>
        <w:spacing w:before="78" w:line="212" w:lineRule="auto"/>
        <w:ind w:left="49"/>
        <w:rPr>
          <w:rFonts w:ascii="宋体" w:hAnsi="宋体" w:eastAsia="宋体" w:cs="宋体"/>
          <w:sz w:val="24"/>
          <w:szCs w:val="24"/>
        </w:rPr>
      </w:pPr>
      <w:r>
        <w:rPr>
          <w:rFonts w:ascii="Times New Roman" w:hAnsi="Times New Roman" w:eastAsia="Times New Roman" w:cs="Times New Roman"/>
          <w:spacing w:val="-5"/>
          <w:sz w:val="24"/>
          <w:szCs w:val="24"/>
        </w:rPr>
        <w:t>[</w:t>
      </w:r>
      <w:r>
        <w:fldChar w:fldCharType="begin"/>
      </w:r>
      <w:r>
        <w:instrText xml:space="preserve"> HYPERLINK \l "bookmark85" </w:instrText>
      </w:r>
      <w:r>
        <w:fldChar w:fldCharType="separate"/>
      </w:r>
      <w:r>
        <w:rPr>
          <w:rFonts w:ascii="Times New Roman" w:hAnsi="Times New Roman" w:eastAsia="Times New Roman" w:cs="Times New Roman"/>
          <w:spacing w:val="-5"/>
          <w:sz w:val="24"/>
          <w:szCs w:val="24"/>
        </w:rPr>
        <w:t>2017</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]99</w:t>
      </w:r>
      <w:r>
        <w:rPr>
          <w:rFonts w:ascii="宋体" w:hAnsi="宋体" w:eastAsia="宋体" w:cs="宋体"/>
          <w:spacing w:val="-5"/>
          <w:sz w:val="24"/>
          <w:szCs w:val="24"/>
        </w:rPr>
        <w:t>号</w:t>
      </w:r>
      <w:r>
        <w:rPr>
          <w:rFonts w:ascii="宋体" w:hAnsi="宋体" w:eastAsia="宋体" w:cs="宋体"/>
          <w:spacing w:val="-7"/>
          <w:sz w:val="24"/>
          <w:szCs w:val="24"/>
        </w:rPr>
        <w:t>）；</w:t>
      </w:r>
    </w:p>
    <w:p w14:paraId="78E47243">
      <w:pPr>
        <w:spacing w:before="192" w:line="360" w:lineRule="auto"/>
        <w:ind w:left="44" w:right="32" w:firstLine="517"/>
        <w:rPr>
          <w:rFonts w:ascii="宋体" w:hAnsi="宋体" w:eastAsia="宋体" w:cs="宋体"/>
          <w:sz w:val="24"/>
          <w:szCs w:val="24"/>
        </w:rPr>
      </w:pPr>
      <w:r>
        <w:rPr>
          <w:rFonts w:ascii="宋体" w:hAnsi="宋体" w:eastAsia="宋体" w:cs="宋体"/>
          <w:sz w:val="24"/>
          <w:szCs w:val="24"/>
        </w:rPr>
        <w:t>(17)</w:t>
      </w:r>
      <w:r>
        <w:rPr>
          <w:rFonts w:ascii="宋体" w:hAnsi="宋体" w:eastAsia="宋体" w:cs="宋体"/>
          <w:spacing w:val="-26"/>
          <w:sz w:val="24"/>
          <w:szCs w:val="24"/>
        </w:rPr>
        <w:t xml:space="preserve"> </w:t>
      </w:r>
      <w:r>
        <w:rPr>
          <w:rFonts w:ascii="宋体" w:hAnsi="宋体" w:eastAsia="宋体" w:cs="宋体"/>
          <w:sz w:val="24"/>
          <w:szCs w:val="24"/>
        </w:rPr>
        <w:t>《四川省生态环境厅办公室关于进一步做好生猪规模养殖项目</w:t>
      </w:r>
      <w:r>
        <w:rPr>
          <w:rFonts w:ascii="宋体" w:hAnsi="宋体" w:eastAsia="宋体" w:cs="宋体"/>
          <w:spacing w:val="-1"/>
          <w:sz w:val="24"/>
          <w:szCs w:val="24"/>
        </w:rPr>
        <w:t>环评告</w:t>
      </w:r>
      <w:r>
        <w:rPr>
          <w:rFonts w:ascii="宋体" w:hAnsi="宋体" w:eastAsia="宋体" w:cs="宋体"/>
          <w:spacing w:val="-2"/>
          <w:sz w:val="24"/>
          <w:szCs w:val="24"/>
        </w:rPr>
        <w:t>知承诺制试点工作的通知》（川环办函</w:t>
      </w:r>
      <w:r>
        <w:rPr>
          <w:rFonts w:ascii="Times New Roman" w:hAnsi="Times New Roman" w:eastAsia="Times New Roman" w:cs="Times New Roman"/>
          <w:spacing w:val="-2"/>
          <w:sz w:val="24"/>
          <w:szCs w:val="24"/>
        </w:rPr>
        <w:t>[</w:t>
      </w:r>
      <w:r>
        <w:fldChar w:fldCharType="begin"/>
      </w:r>
      <w:r>
        <w:instrText xml:space="preserve"> HYPERLINK \l "bookmark86" </w:instrText>
      </w:r>
      <w:r>
        <w:fldChar w:fldCharType="separate"/>
      </w:r>
      <w:r>
        <w:rPr>
          <w:rFonts w:ascii="Times New Roman" w:hAnsi="Times New Roman" w:eastAsia="Times New Roman" w:cs="Times New Roman"/>
          <w:spacing w:val="-2"/>
          <w:sz w:val="24"/>
          <w:szCs w:val="24"/>
        </w:rPr>
        <w:t>2020</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]46</w:t>
      </w:r>
      <w:r>
        <w:rPr>
          <w:rFonts w:ascii="宋体" w:hAnsi="宋体" w:eastAsia="宋体" w:cs="宋体"/>
          <w:spacing w:val="-2"/>
          <w:sz w:val="24"/>
          <w:szCs w:val="24"/>
        </w:rPr>
        <w:t>号</w:t>
      </w:r>
      <w:r>
        <w:rPr>
          <w:rFonts w:ascii="宋体" w:hAnsi="宋体" w:eastAsia="宋体" w:cs="宋体"/>
          <w:spacing w:val="-1"/>
          <w:sz w:val="24"/>
          <w:szCs w:val="24"/>
        </w:rPr>
        <w:t>）；</w:t>
      </w:r>
    </w:p>
    <w:p w14:paraId="6A06DBA0">
      <w:pPr>
        <w:spacing w:before="2" w:line="359" w:lineRule="auto"/>
        <w:ind w:left="45" w:right="41" w:firstLine="515"/>
        <w:rPr>
          <w:rFonts w:ascii="宋体" w:hAnsi="宋体" w:eastAsia="宋体" w:cs="宋体"/>
          <w:sz w:val="24"/>
          <w:szCs w:val="24"/>
        </w:rPr>
      </w:pPr>
      <w:r>
        <w:rPr>
          <w:rFonts w:ascii="宋体" w:hAnsi="宋体" w:eastAsia="宋体" w:cs="宋体"/>
          <w:spacing w:val="-1"/>
          <w:sz w:val="24"/>
          <w:szCs w:val="24"/>
        </w:rPr>
        <w:t>(18) 《四川省农业农村厅关于印发四川省稳定生猪生产十条措施的</w:t>
      </w:r>
      <w:r>
        <w:rPr>
          <w:rFonts w:ascii="宋体" w:hAnsi="宋体" w:eastAsia="宋体" w:cs="宋体"/>
          <w:spacing w:val="-2"/>
          <w:sz w:val="24"/>
          <w:szCs w:val="24"/>
        </w:rPr>
        <w:t>通知》</w:t>
      </w:r>
      <w:r>
        <w:rPr>
          <w:rFonts w:ascii="宋体" w:hAnsi="宋体" w:eastAsia="宋体" w:cs="宋体"/>
          <w:sz w:val="24"/>
          <w:szCs w:val="24"/>
        </w:rPr>
        <w:t xml:space="preserve"> </w:t>
      </w:r>
      <w:r>
        <w:rPr>
          <w:rFonts w:ascii="宋体" w:hAnsi="宋体" w:eastAsia="宋体" w:cs="宋体"/>
          <w:spacing w:val="-3"/>
          <w:sz w:val="24"/>
          <w:szCs w:val="24"/>
        </w:rPr>
        <w:t>（川防应指</w:t>
      </w:r>
      <w:r>
        <w:rPr>
          <w:rFonts w:ascii="Times New Roman" w:hAnsi="Times New Roman" w:eastAsia="Times New Roman" w:cs="Times New Roman"/>
          <w:spacing w:val="-3"/>
          <w:sz w:val="24"/>
          <w:szCs w:val="24"/>
        </w:rPr>
        <w:t>[</w:t>
      </w:r>
      <w:r>
        <w:fldChar w:fldCharType="begin"/>
      </w:r>
      <w:r>
        <w:instrText xml:space="preserve"> HYPERLINK \l "bookmark87" </w:instrText>
      </w:r>
      <w:r>
        <w:fldChar w:fldCharType="separate"/>
      </w:r>
      <w:r>
        <w:rPr>
          <w:rFonts w:ascii="Times New Roman" w:hAnsi="Times New Roman" w:eastAsia="Times New Roman" w:cs="Times New Roman"/>
          <w:spacing w:val="-3"/>
          <w:sz w:val="24"/>
          <w:szCs w:val="24"/>
        </w:rPr>
        <w:t>2021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]3</w:t>
      </w:r>
      <w:r>
        <w:rPr>
          <w:rFonts w:ascii="宋体" w:hAnsi="宋体" w:eastAsia="宋体" w:cs="宋体"/>
          <w:spacing w:val="-3"/>
          <w:sz w:val="24"/>
          <w:szCs w:val="24"/>
        </w:rPr>
        <w:t>号</w:t>
      </w:r>
      <w:r>
        <w:rPr>
          <w:rFonts w:ascii="宋体" w:hAnsi="宋体" w:eastAsia="宋体" w:cs="宋体"/>
          <w:spacing w:val="-8"/>
          <w:sz w:val="24"/>
          <w:szCs w:val="24"/>
        </w:rPr>
        <w:t>）；</w:t>
      </w:r>
    </w:p>
    <w:p w14:paraId="582F43B6">
      <w:pPr>
        <w:spacing w:before="2" w:line="358" w:lineRule="auto"/>
        <w:ind w:left="40" w:right="23" w:firstLine="505"/>
        <w:rPr>
          <w:rFonts w:ascii="宋体" w:hAnsi="宋体" w:eastAsia="宋体" w:cs="宋体"/>
          <w:sz w:val="24"/>
          <w:szCs w:val="24"/>
        </w:rPr>
      </w:pPr>
      <w:r>
        <w:rPr>
          <w:rFonts w:ascii="宋体" w:hAnsi="宋体" w:eastAsia="宋体" w:cs="宋体"/>
          <w:spacing w:val="-18"/>
          <w:sz w:val="24"/>
          <w:szCs w:val="24"/>
        </w:rPr>
        <w:t>(19)</w:t>
      </w:r>
      <w:r>
        <w:rPr>
          <w:rFonts w:ascii="宋体" w:hAnsi="宋体" w:eastAsia="宋体" w:cs="宋体"/>
          <w:spacing w:val="-54"/>
          <w:sz w:val="24"/>
          <w:szCs w:val="24"/>
        </w:rPr>
        <w:t xml:space="preserve"> </w:t>
      </w:r>
      <w:r>
        <w:rPr>
          <w:rFonts w:ascii="宋体" w:hAnsi="宋体" w:eastAsia="宋体" w:cs="宋体"/>
          <w:spacing w:val="-18"/>
          <w:sz w:val="24"/>
          <w:szCs w:val="24"/>
        </w:rPr>
        <w:t>《关于印发</w:t>
      </w:r>
      <w:r>
        <w:rPr>
          <w:rFonts w:ascii="Times New Roman" w:hAnsi="Times New Roman" w:eastAsia="Times New Roman" w:cs="Times New Roman"/>
          <w:spacing w:val="-18"/>
          <w:sz w:val="24"/>
          <w:szCs w:val="24"/>
        </w:rPr>
        <w:t>&lt;</w:t>
      </w:r>
      <w:r>
        <w:rPr>
          <w:rFonts w:ascii="宋体" w:hAnsi="宋体" w:eastAsia="宋体" w:cs="宋体"/>
          <w:spacing w:val="-18"/>
          <w:sz w:val="24"/>
          <w:szCs w:val="24"/>
        </w:rPr>
        <w:t>产业园区规划环评“</w:t>
      </w:r>
      <w:r>
        <w:rPr>
          <w:rFonts w:ascii="宋体" w:hAnsi="宋体" w:eastAsia="宋体" w:cs="宋体"/>
          <w:spacing w:val="-19"/>
          <w:sz w:val="24"/>
          <w:szCs w:val="24"/>
        </w:rPr>
        <w:t>三线一单”符合性分析技术要点（试行）</w:t>
      </w:r>
      <w:r>
        <w:rPr>
          <w:rFonts w:ascii="Times New Roman" w:hAnsi="Times New Roman" w:eastAsia="Times New Roman" w:cs="Times New Roman"/>
          <w:spacing w:val="-19"/>
          <w:sz w:val="24"/>
          <w:szCs w:val="24"/>
        </w:rPr>
        <w:t>&gt;</w:t>
      </w:r>
      <w:r>
        <w:rPr>
          <w:rFonts w:ascii="宋体" w:hAnsi="宋体" w:eastAsia="宋体" w:cs="宋体"/>
          <w:spacing w:val="-20"/>
          <w:sz w:val="24"/>
          <w:szCs w:val="24"/>
        </w:rPr>
        <w:t>和</w:t>
      </w:r>
      <w:r>
        <w:rPr>
          <w:rFonts w:ascii="Times New Roman" w:hAnsi="Times New Roman" w:eastAsia="Times New Roman" w:cs="Times New Roman"/>
          <w:spacing w:val="-20"/>
          <w:sz w:val="24"/>
          <w:szCs w:val="24"/>
        </w:rPr>
        <w:t>&lt;</w:t>
      </w:r>
      <w:r>
        <w:rPr>
          <w:rFonts w:ascii="宋体" w:hAnsi="宋体" w:eastAsia="宋体" w:cs="宋体"/>
          <w:spacing w:val="-20"/>
          <w:sz w:val="24"/>
          <w:szCs w:val="24"/>
        </w:rPr>
        <w:t>项目环评“三线一单”符合性分析技术要点（试行）</w:t>
      </w:r>
      <w:r>
        <w:rPr>
          <w:rFonts w:ascii="Times New Roman" w:hAnsi="Times New Roman" w:eastAsia="Times New Roman" w:cs="Times New Roman"/>
          <w:spacing w:val="-20"/>
          <w:sz w:val="24"/>
          <w:szCs w:val="24"/>
        </w:rPr>
        <w:t>&gt;</w:t>
      </w:r>
      <w:r>
        <w:rPr>
          <w:rFonts w:ascii="宋体" w:hAnsi="宋体" w:eastAsia="宋体" w:cs="宋体"/>
          <w:spacing w:val="-20"/>
          <w:sz w:val="24"/>
          <w:szCs w:val="24"/>
        </w:rPr>
        <w:t>的通知》（川环办</w:t>
      </w:r>
      <w:r>
        <w:rPr>
          <w:rFonts w:ascii="宋体" w:hAnsi="宋体" w:eastAsia="宋体" w:cs="宋体"/>
          <w:spacing w:val="-21"/>
          <w:sz w:val="24"/>
          <w:szCs w:val="24"/>
        </w:rPr>
        <w:t>函</w:t>
      </w:r>
      <w:r>
        <w:rPr>
          <w:rFonts w:ascii="Times New Roman" w:hAnsi="Times New Roman" w:eastAsia="Times New Roman" w:cs="Times New Roman"/>
          <w:spacing w:val="-21"/>
          <w:sz w:val="24"/>
          <w:szCs w:val="24"/>
        </w:rPr>
        <w:t>[</w:t>
      </w:r>
      <w:r>
        <w:fldChar w:fldCharType="begin"/>
      </w:r>
      <w:r>
        <w:instrText xml:space="preserve"> HYPERLINK \l "bookmark88" </w:instrText>
      </w:r>
      <w:r>
        <w:fldChar w:fldCharType="separate"/>
      </w:r>
      <w:r>
        <w:rPr>
          <w:rFonts w:ascii="Times New Roman" w:hAnsi="Times New Roman" w:eastAsia="Times New Roman" w:cs="Times New Roman"/>
          <w:spacing w:val="-21"/>
          <w:sz w:val="24"/>
          <w:szCs w:val="24"/>
        </w:rPr>
        <w:t>2021</w:t>
      </w:r>
      <w:r>
        <w:rPr>
          <w:rFonts w:ascii="Times New Roman" w:hAnsi="Times New Roman" w:eastAsia="Times New Roman" w:cs="Times New Roman"/>
          <w:spacing w:val="-21"/>
          <w:sz w:val="24"/>
          <w:szCs w:val="24"/>
        </w:rPr>
        <w:fldChar w:fldCharType="end"/>
      </w:r>
      <w:r>
        <w:rPr>
          <w:rFonts w:ascii="Times New Roman" w:hAnsi="Times New Roman" w:eastAsia="Times New Roman" w:cs="Times New Roman"/>
          <w:spacing w:val="-21"/>
          <w:sz w:val="24"/>
          <w:szCs w:val="24"/>
        </w:rPr>
        <w:t>]469</w:t>
      </w:r>
      <w:r>
        <w:rPr>
          <w:rFonts w:ascii="宋体" w:hAnsi="宋体" w:eastAsia="宋体" w:cs="宋体"/>
          <w:spacing w:val="-28"/>
          <w:sz w:val="24"/>
          <w:szCs w:val="24"/>
        </w:rPr>
        <w:t>号</w:t>
      </w:r>
      <w:r>
        <w:rPr>
          <w:rFonts w:ascii="宋体" w:hAnsi="宋体" w:eastAsia="宋体" w:cs="宋体"/>
          <w:spacing w:val="-14"/>
          <w:sz w:val="24"/>
          <w:szCs w:val="24"/>
        </w:rPr>
        <w:t>）；</w:t>
      </w:r>
    </w:p>
    <w:p w14:paraId="4416539A">
      <w:pPr>
        <w:spacing w:before="5" w:line="360" w:lineRule="auto"/>
        <w:ind w:left="45" w:right="28" w:firstLine="516"/>
        <w:rPr>
          <w:rFonts w:ascii="宋体" w:hAnsi="宋体" w:eastAsia="宋体" w:cs="宋体"/>
          <w:sz w:val="24"/>
          <w:szCs w:val="24"/>
        </w:rPr>
      </w:pPr>
      <w:r>
        <w:rPr>
          <w:rFonts w:ascii="宋体" w:hAnsi="宋体" w:eastAsia="宋体" w:cs="宋体"/>
          <w:sz w:val="24"/>
          <w:szCs w:val="24"/>
        </w:rPr>
        <w:t>(20) 《内江市“十四五”生态环境保护规划（</w:t>
      </w:r>
      <w:r>
        <w:rPr>
          <w:rFonts w:ascii="Times New Roman" w:hAnsi="Times New Roman" w:eastAsia="Times New Roman" w:cs="Times New Roman"/>
          <w:sz w:val="24"/>
          <w:szCs w:val="24"/>
        </w:rPr>
        <w:t>2021-2025</w:t>
      </w:r>
      <w:r>
        <w:rPr>
          <w:rFonts w:ascii="宋体" w:hAnsi="宋体" w:eastAsia="宋体" w:cs="宋体"/>
          <w:sz w:val="24"/>
          <w:szCs w:val="24"/>
        </w:rPr>
        <w:t>年）》（</w:t>
      </w:r>
      <w:r>
        <w:rPr>
          <w:rFonts w:ascii="Times New Roman" w:hAnsi="Times New Roman" w:eastAsia="Times New Roman" w:cs="Times New Roman"/>
          <w:sz w:val="24"/>
          <w:szCs w:val="24"/>
        </w:rPr>
        <w:t>2022</w:t>
      </w:r>
      <w:r>
        <w:rPr>
          <w:rFonts w:ascii="宋体" w:hAnsi="宋体" w:eastAsia="宋体" w:cs="宋体"/>
          <w:sz w:val="24"/>
          <w:szCs w:val="24"/>
        </w:rPr>
        <w:t>年</w:t>
      </w:r>
      <w:r>
        <w:rPr>
          <w:rFonts w:ascii="Times New Roman" w:hAnsi="Times New Roman" w:eastAsia="Times New Roman" w:cs="Times New Roman"/>
          <w:sz w:val="24"/>
          <w:szCs w:val="24"/>
        </w:rPr>
        <w:t>4</w:t>
      </w:r>
      <w:r>
        <w:rPr>
          <w:rFonts w:ascii="宋体" w:hAnsi="宋体" w:eastAsia="宋体" w:cs="宋体"/>
          <w:spacing w:val="-12"/>
          <w:sz w:val="24"/>
          <w:szCs w:val="24"/>
        </w:rPr>
        <w:t>月</w:t>
      </w:r>
      <w:r>
        <w:rPr>
          <w:rFonts w:ascii="Times New Roman" w:hAnsi="Times New Roman" w:eastAsia="Times New Roman" w:cs="Times New Roman"/>
          <w:spacing w:val="-12"/>
          <w:sz w:val="24"/>
          <w:szCs w:val="24"/>
        </w:rPr>
        <w:t>8</w:t>
      </w:r>
      <w:r>
        <w:rPr>
          <w:rFonts w:ascii="宋体" w:hAnsi="宋体" w:eastAsia="宋体" w:cs="宋体"/>
          <w:spacing w:val="-12"/>
          <w:sz w:val="24"/>
          <w:szCs w:val="24"/>
        </w:rPr>
        <w:t>日</w:t>
      </w:r>
      <w:r>
        <w:rPr>
          <w:rFonts w:ascii="宋体" w:hAnsi="宋体" w:eastAsia="宋体" w:cs="宋体"/>
          <w:spacing w:val="-9"/>
          <w:sz w:val="24"/>
          <w:szCs w:val="24"/>
        </w:rPr>
        <w:t>）；</w:t>
      </w:r>
    </w:p>
    <w:p w14:paraId="44910248">
      <w:pPr>
        <w:spacing w:line="219" w:lineRule="auto"/>
        <w:ind w:left="561"/>
        <w:rPr>
          <w:rFonts w:ascii="宋体" w:hAnsi="宋体" w:eastAsia="宋体" w:cs="宋体"/>
          <w:sz w:val="24"/>
          <w:szCs w:val="24"/>
        </w:rPr>
      </w:pPr>
      <w:r>
        <w:rPr>
          <w:rFonts w:ascii="宋体" w:hAnsi="宋体" w:eastAsia="宋体" w:cs="宋体"/>
          <w:spacing w:val="-7"/>
          <w:sz w:val="24"/>
          <w:szCs w:val="24"/>
        </w:rPr>
        <w:t>(21)</w:t>
      </w:r>
      <w:r>
        <w:rPr>
          <w:rFonts w:ascii="宋体" w:hAnsi="宋体" w:eastAsia="宋体" w:cs="宋体"/>
          <w:spacing w:val="-53"/>
          <w:sz w:val="24"/>
          <w:szCs w:val="24"/>
        </w:rPr>
        <w:t xml:space="preserve"> </w:t>
      </w:r>
      <w:r>
        <w:rPr>
          <w:rFonts w:ascii="宋体" w:hAnsi="宋体" w:eastAsia="宋体" w:cs="宋体"/>
          <w:spacing w:val="-7"/>
          <w:sz w:val="24"/>
          <w:szCs w:val="24"/>
        </w:rPr>
        <w:t>《内江市东兴区畜禽养殖禁养区划定调整方案》（</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8"/>
          <w:sz w:val="24"/>
          <w:szCs w:val="24"/>
        </w:rPr>
        <w:t>019</w:t>
      </w:r>
      <w:r>
        <w:rPr>
          <w:rFonts w:ascii="宋体" w:hAnsi="宋体" w:eastAsia="宋体" w:cs="宋体"/>
          <w:spacing w:val="-8"/>
          <w:sz w:val="24"/>
          <w:szCs w:val="24"/>
        </w:rPr>
        <w:t>年</w:t>
      </w:r>
      <w:r>
        <w:rPr>
          <w:rFonts w:ascii="Times New Roman" w:hAnsi="Times New Roman" w:eastAsia="Times New Roman" w:cs="Times New Roman"/>
          <w:spacing w:val="-8"/>
          <w:sz w:val="24"/>
          <w:szCs w:val="24"/>
        </w:rPr>
        <w:t>12</w:t>
      </w:r>
      <w:r>
        <w:rPr>
          <w:rFonts w:ascii="宋体" w:hAnsi="宋体" w:eastAsia="宋体" w:cs="宋体"/>
          <w:spacing w:val="-8"/>
          <w:sz w:val="24"/>
          <w:szCs w:val="24"/>
        </w:rPr>
        <w:t>月</w:t>
      </w:r>
      <w:r>
        <w:rPr>
          <w:rFonts w:ascii="Times New Roman" w:hAnsi="Times New Roman" w:eastAsia="Times New Roman" w:cs="Times New Roman"/>
          <w:spacing w:val="-8"/>
          <w:sz w:val="24"/>
          <w:szCs w:val="24"/>
        </w:rPr>
        <w:t>31</w:t>
      </w:r>
      <w:r>
        <w:rPr>
          <w:rFonts w:ascii="宋体" w:hAnsi="宋体" w:eastAsia="宋体" w:cs="宋体"/>
          <w:spacing w:val="-8"/>
          <w:sz w:val="24"/>
          <w:szCs w:val="24"/>
        </w:rPr>
        <w:t>日</w:t>
      </w:r>
      <w:r>
        <w:rPr>
          <w:rFonts w:ascii="宋体" w:hAnsi="宋体" w:eastAsia="宋体" w:cs="宋体"/>
          <w:spacing w:val="-3"/>
          <w:sz w:val="24"/>
          <w:szCs w:val="24"/>
        </w:rPr>
        <w:t>）；</w:t>
      </w:r>
    </w:p>
    <w:p w14:paraId="686953CB">
      <w:pPr>
        <w:spacing w:before="182" w:line="361" w:lineRule="auto"/>
        <w:ind w:left="42" w:right="23" w:firstLine="503"/>
        <w:rPr>
          <w:rFonts w:ascii="宋体" w:hAnsi="宋体" w:eastAsia="宋体" w:cs="宋体"/>
          <w:sz w:val="24"/>
          <w:szCs w:val="24"/>
        </w:rPr>
      </w:pPr>
      <w:r>
        <w:rPr>
          <w:rFonts w:ascii="宋体" w:hAnsi="宋体" w:eastAsia="宋体" w:cs="宋体"/>
          <w:spacing w:val="-5"/>
          <w:sz w:val="24"/>
          <w:szCs w:val="24"/>
        </w:rPr>
        <w:t>(22)</w:t>
      </w:r>
      <w:r>
        <w:rPr>
          <w:rFonts w:ascii="宋体" w:hAnsi="宋体" w:eastAsia="宋体" w:cs="宋体"/>
          <w:spacing w:val="-54"/>
          <w:sz w:val="24"/>
          <w:szCs w:val="24"/>
        </w:rPr>
        <w:t xml:space="preserve"> </w:t>
      </w:r>
      <w:r>
        <w:rPr>
          <w:rFonts w:ascii="宋体" w:hAnsi="宋体" w:eastAsia="宋体" w:cs="宋体"/>
          <w:spacing w:val="-5"/>
          <w:sz w:val="24"/>
          <w:szCs w:val="24"/>
        </w:rPr>
        <w:t>《内江市人民政府关于落实生态保护</w:t>
      </w:r>
      <w:r>
        <w:rPr>
          <w:rFonts w:ascii="宋体" w:hAnsi="宋体" w:eastAsia="宋体" w:cs="宋体"/>
          <w:spacing w:val="-6"/>
          <w:sz w:val="24"/>
          <w:szCs w:val="24"/>
        </w:rPr>
        <w:t>红线、环境质量底线、资源利用上</w:t>
      </w:r>
      <w:r>
        <w:rPr>
          <w:rFonts w:ascii="宋体" w:hAnsi="宋体" w:eastAsia="宋体" w:cs="宋体"/>
          <w:spacing w:val="-8"/>
          <w:sz w:val="24"/>
          <w:szCs w:val="24"/>
        </w:rPr>
        <w:t>线制定生态环境准入清单实施生态环境分区管控的通知》（内府发</w:t>
      </w:r>
      <w:r>
        <w:rPr>
          <w:rFonts w:ascii="Times New Roman" w:hAnsi="Times New Roman" w:eastAsia="Times New Roman" w:cs="Times New Roman"/>
          <w:spacing w:val="-8"/>
          <w:sz w:val="24"/>
          <w:szCs w:val="24"/>
        </w:rPr>
        <w:t>[</w:t>
      </w:r>
      <w:r>
        <w:fldChar w:fldCharType="begin"/>
      </w:r>
      <w:r>
        <w:instrText xml:space="preserve"> HYPERLINK \l "bookmark89" </w:instrText>
      </w:r>
      <w:r>
        <w:fldChar w:fldCharType="separate"/>
      </w:r>
      <w:r>
        <w:rPr>
          <w:rFonts w:ascii="Times New Roman" w:hAnsi="Times New Roman" w:eastAsia="Times New Roman" w:cs="Times New Roman"/>
          <w:spacing w:val="-8"/>
          <w:sz w:val="24"/>
          <w:szCs w:val="24"/>
        </w:rPr>
        <w:t>2021</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]7</w:t>
      </w:r>
      <w:r>
        <w:rPr>
          <w:rFonts w:ascii="宋体" w:hAnsi="宋体" w:eastAsia="宋体" w:cs="宋体"/>
          <w:spacing w:val="-8"/>
          <w:sz w:val="24"/>
          <w:szCs w:val="24"/>
        </w:rPr>
        <w:t>号）。</w:t>
      </w:r>
    </w:p>
    <w:p w14:paraId="7B89E6DE">
      <w:pPr>
        <w:spacing w:before="166" w:line="220"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1.1.4  </w:t>
      </w:r>
      <w:r>
        <w:rPr>
          <w:rFonts w:ascii="宋体" w:hAnsi="宋体" w:eastAsia="宋体" w:cs="宋体"/>
          <w:b/>
          <w:bCs/>
          <w:spacing w:val="-3"/>
          <w:sz w:val="30"/>
          <w:szCs w:val="30"/>
        </w:rPr>
        <w:t>技术导则和规范</w:t>
      </w:r>
    </w:p>
    <w:p w14:paraId="531FDA75">
      <w:pPr>
        <w:pStyle w:val="2"/>
        <w:spacing w:line="419" w:lineRule="auto"/>
      </w:pPr>
    </w:p>
    <w:p w14:paraId="54E3FF4F">
      <w:pPr>
        <w:spacing w:before="78" w:line="218" w:lineRule="auto"/>
        <w:ind w:left="561"/>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《环境影响评价技术导则</w:t>
      </w:r>
      <w:r>
        <w:rPr>
          <w:rFonts w:ascii="宋体" w:hAnsi="宋体" w:eastAsia="宋体" w:cs="宋体"/>
          <w:spacing w:val="37"/>
          <w:sz w:val="24"/>
          <w:szCs w:val="24"/>
        </w:rPr>
        <w:t xml:space="preserve"> </w:t>
      </w:r>
      <w:r>
        <w:rPr>
          <w:rFonts w:ascii="宋体" w:hAnsi="宋体" w:eastAsia="宋体" w:cs="宋体"/>
          <w:spacing w:val="-4"/>
          <w:sz w:val="24"/>
          <w:szCs w:val="24"/>
        </w:rPr>
        <w:t>总纲》（</w:t>
      </w:r>
      <w:r>
        <w:rPr>
          <w:rFonts w:ascii="Times New Roman" w:hAnsi="Times New Roman" w:eastAsia="Times New Roman" w:cs="Times New Roman"/>
          <w:spacing w:val="-4"/>
          <w:sz w:val="24"/>
          <w:szCs w:val="24"/>
        </w:rPr>
        <w:t>HJ 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1-20</w:t>
      </w:r>
      <w:r>
        <w:rPr>
          <w:rFonts w:ascii="Times New Roman" w:hAnsi="Times New Roman" w:eastAsia="Times New Roman" w:cs="Times New Roman"/>
          <w:spacing w:val="-5"/>
          <w:sz w:val="24"/>
          <w:szCs w:val="24"/>
        </w:rPr>
        <w:t>16</w:t>
      </w:r>
      <w:r>
        <w:rPr>
          <w:rFonts w:ascii="宋体" w:hAnsi="宋体" w:eastAsia="宋体" w:cs="宋体"/>
          <w:spacing w:val="-15"/>
          <w:sz w:val="24"/>
          <w:szCs w:val="24"/>
        </w:rPr>
        <w:t>）；</w:t>
      </w:r>
    </w:p>
    <w:p w14:paraId="291C2DE8">
      <w:pPr>
        <w:spacing w:before="184" w:line="218" w:lineRule="auto"/>
        <w:ind w:left="561"/>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52"/>
          <w:sz w:val="24"/>
          <w:szCs w:val="24"/>
        </w:rPr>
        <w:t xml:space="preserve"> </w:t>
      </w:r>
      <w:r>
        <w:rPr>
          <w:rFonts w:ascii="宋体" w:hAnsi="宋体" w:eastAsia="宋体" w:cs="宋体"/>
          <w:spacing w:val="-3"/>
          <w:sz w:val="24"/>
          <w:szCs w:val="24"/>
        </w:rPr>
        <w:t>《环境影响评价技术导则</w:t>
      </w:r>
      <w:r>
        <w:rPr>
          <w:rFonts w:ascii="宋体" w:hAnsi="宋体" w:eastAsia="宋体" w:cs="宋体"/>
          <w:spacing w:val="34"/>
          <w:sz w:val="24"/>
          <w:szCs w:val="24"/>
        </w:rPr>
        <w:t xml:space="preserve"> </w:t>
      </w:r>
      <w:r>
        <w:rPr>
          <w:rFonts w:ascii="宋体" w:hAnsi="宋体" w:eastAsia="宋体" w:cs="宋体"/>
          <w:spacing w:val="-3"/>
          <w:sz w:val="24"/>
          <w:szCs w:val="24"/>
        </w:rPr>
        <w:t>大气环境》（</w:t>
      </w:r>
      <w:r>
        <w:rPr>
          <w:rFonts w:ascii="Times New Roman" w:hAnsi="Times New Roman" w:eastAsia="Times New Roman" w:cs="Times New Roman"/>
          <w:spacing w:val="-3"/>
          <w:sz w:val="24"/>
          <w:szCs w:val="24"/>
        </w:rPr>
        <w:t>HJ2.2-2018</w:t>
      </w:r>
      <w:r>
        <w:rPr>
          <w:rFonts w:ascii="宋体" w:hAnsi="宋体" w:eastAsia="宋体" w:cs="宋体"/>
          <w:spacing w:val="-13"/>
          <w:sz w:val="24"/>
          <w:szCs w:val="24"/>
        </w:rPr>
        <w:t>）；</w:t>
      </w:r>
    </w:p>
    <w:p w14:paraId="115016DC">
      <w:pPr>
        <w:spacing w:before="184" w:line="218" w:lineRule="auto"/>
        <w:ind w:left="561"/>
        <w:rPr>
          <w:rFonts w:ascii="宋体" w:hAnsi="宋体" w:eastAsia="宋体" w:cs="宋体"/>
          <w:sz w:val="24"/>
          <w:szCs w:val="24"/>
        </w:rPr>
      </w:pPr>
      <w:r>
        <w:rPr>
          <w:rFonts w:ascii="宋体" w:hAnsi="宋体" w:eastAsia="宋体" w:cs="宋体"/>
          <w:spacing w:val="-3"/>
          <w:sz w:val="24"/>
          <w:szCs w:val="24"/>
        </w:rPr>
        <w:t>(3)</w:t>
      </w:r>
      <w:r>
        <w:rPr>
          <w:rFonts w:ascii="宋体" w:hAnsi="宋体" w:eastAsia="宋体" w:cs="宋体"/>
          <w:spacing w:val="-52"/>
          <w:sz w:val="24"/>
          <w:szCs w:val="24"/>
        </w:rPr>
        <w:t xml:space="preserve"> </w:t>
      </w:r>
      <w:r>
        <w:rPr>
          <w:rFonts w:ascii="宋体" w:hAnsi="宋体" w:eastAsia="宋体" w:cs="宋体"/>
          <w:spacing w:val="-3"/>
          <w:sz w:val="24"/>
          <w:szCs w:val="24"/>
        </w:rPr>
        <w:t>《环境影响评价技术导则</w:t>
      </w:r>
      <w:r>
        <w:rPr>
          <w:rFonts w:ascii="宋体" w:hAnsi="宋体" w:eastAsia="宋体" w:cs="宋体"/>
          <w:spacing w:val="31"/>
          <w:sz w:val="24"/>
          <w:szCs w:val="24"/>
        </w:rPr>
        <w:t xml:space="preserve"> </w:t>
      </w:r>
      <w:r>
        <w:rPr>
          <w:rFonts w:ascii="宋体" w:hAnsi="宋体" w:eastAsia="宋体" w:cs="宋体"/>
          <w:spacing w:val="-3"/>
          <w:sz w:val="24"/>
          <w:szCs w:val="24"/>
        </w:rPr>
        <w:t>地表水环境》（</w:t>
      </w:r>
      <w:r>
        <w:rPr>
          <w:rFonts w:ascii="Times New Roman" w:hAnsi="Times New Roman" w:eastAsia="Times New Roman" w:cs="Times New Roman"/>
          <w:spacing w:val="-3"/>
          <w:sz w:val="24"/>
          <w:szCs w:val="24"/>
        </w:rPr>
        <w:t>HJ/T2.3-2018</w:t>
      </w:r>
      <w:r>
        <w:rPr>
          <w:rFonts w:ascii="宋体" w:hAnsi="宋体" w:eastAsia="宋体" w:cs="宋体"/>
          <w:spacing w:val="-7"/>
          <w:sz w:val="24"/>
          <w:szCs w:val="24"/>
        </w:rPr>
        <w:t>）；</w:t>
      </w:r>
    </w:p>
    <w:p w14:paraId="1E32BD16">
      <w:pPr>
        <w:spacing w:before="185" w:line="218" w:lineRule="auto"/>
        <w:ind w:left="561"/>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53"/>
          <w:sz w:val="24"/>
          <w:szCs w:val="24"/>
        </w:rPr>
        <w:t xml:space="preserve"> </w:t>
      </w:r>
      <w:r>
        <w:rPr>
          <w:rFonts w:ascii="宋体" w:hAnsi="宋体" w:eastAsia="宋体" w:cs="宋体"/>
          <w:spacing w:val="-3"/>
          <w:sz w:val="24"/>
          <w:szCs w:val="24"/>
        </w:rPr>
        <w:t>《环境影响评价技术导则</w:t>
      </w:r>
      <w:r>
        <w:rPr>
          <w:rFonts w:ascii="宋体" w:hAnsi="宋体" w:eastAsia="宋体" w:cs="宋体"/>
          <w:spacing w:val="36"/>
          <w:sz w:val="24"/>
          <w:szCs w:val="24"/>
        </w:rPr>
        <w:t xml:space="preserve"> </w:t>
      </w:r>
      <w:r>
        <w:rPr>
          <w:rFonts w:ascii="宋体" w:hAnsi="宋体" w:eastAsia="宋体" w:cs="宋体"/>
          <w:spacing w:val="-3"/>
          <w:sz w:val="24"/>
          <w:szCs w:val="24"/>
        </w:rPr>
        <w:t>声环境》（</w:t>
      </w:r>
      <w:r>
        <w:rPr>
          <w:rFonts w:ascii="Times New Roman" w:hAnsi="Times New Roman" w:eastAsia="Times New Roman" w:cs="Times New Roman"/>
          <w:spacing w:val="-3"/>
          <w:sz w:val="24"/>
          <w:szCs w:val="24"/>
        </w:rPr>
        <w:t>HJ2.4-20</w:t>
      </w:r>
      <w:r>
        <w:rPr>
          <w:rFonts w:ascii="Times New Roman" w:hAnsi="Times New Roman" w:eastAsia="Times New Roman" w:cs="Times New Roman"/>
          <w:spacing w:val="-4"/>
          <w:sz w:val="24"/>
          <w:szCs w:val="24"/>
        </w:rPr>
        <w:t>21</w:t>
      </w:r>
      <w:r>
        <w:rPr>
          <w:rFonts w:ascii="宋体" w:hAnsi="宋体" w:eastAsia="宋体" w:cs="宋体"/>
          <w:spacing w:val="-14"/>
          <w:sz w:val="24"/>
          <w:szCs w:val="24"/>
        </w:rPr>
        <w:t>）；</w:t>
      </w:r>
    </w:p>
    <w:p w14:paraId="40A7BD3C">
      <w:pPr>
        <w:spacing w:before="184" w:line="218" w:lineRule="auto"/>
        <w:ind w:left="561"/>
        <w:rPr>
          <w:rFonts w:ascii="宋体" w:hAnsi="宋体" w:eastAsia="宋体" w:cs="宋体"/>
          <w:sz w:val="24"/>
          <w:szCs w:val="24"/>
        </w:rPr>
      </w:pPr>
      <w:r>
        <w:rPr>
          <w:rFonts w:ascii="宋体" w:hAnsi="宋体" w:eastAsia="宋体" w:cs="宋体"/>
          <w:spacing w:val="-3"/>
          <w:sz w:val="24"/>
          <w:szCs w:val="24"/>
        </w:rPr>
        <w:t>(5)</w:t>
      </w:r>
      <w:r>
        <w:rPr>
          <w:rFonts w:ascii="宋体" w:hAnsi="宋体" w:eastAsia="宋体" w:cs="宋体"/>
          <w:spacing w:val="-52"/>
          <w:sz w:val="24"/>
          <w:szCs w:val="24"/>
        </w:rPr>
        <w:t xml:space="preserve"> </w:t>
      </w:r>
      <w:r>
        <w:rPr>
          <w:rFonts w:ascii="宋体" w:hAnsi="宋体" w:eastAsia="宋体" w:cs="宋体"/>
          <w:spacing w:val="-3"/>
          <w:sz w:val="24"/>
          <w:szCs w:val="24"/>
        </w:rPr>
        <w:t>《环境影响评价技术导则</w:t>
      </w:r>
      <w:r>
        <w:rPr>
          <w:rFonts w:ascii="宋体" w:hAnsi="宋体" w:eastAsia="宋体" w:cs="宋体"/>
          <w:spacing w:val="33"/>
          <w:sz w:val="24"/>
          <w:szCs w:val="24"/>
        </w:rPr>
        <w:t xml:space="preserve"> </w:t>
      </w:r>
      <w:r>
        <w:rPr>
          <w:rFonts w:ascii="宋体" w:hAnsi="宋体" w:eastAsia="宋体" w:cs="宋体"/>
          <w:spacing w:val="-3"/>
          <w:sz w:val="24"/>
          <w:szCs w:val="24"/>
        </w:rPr>
        <w:t>生态影响》（</w:t>
      </w:r>
      <w:r>
        <w:rPr>
          <w:rFonts w:ascii="Times New Roman" w:hAnsi="Times New Roman" w:eastAsia="Times New Roman" w:cs="Times New Roman"/>
          <w:spacing w:val="-3"/>
          <w:sz w:val="24"/>
          <w:szCs w:val="24"/>
        </w:rPr>
        <w:t>HJ19-2022</w:t>
      </w:r>
      <w:r>
        <w:rPr>
          <w:rFonts w:ascii="宋体" w:hAnsi="宋体" w:eastAsia="宋体" w:cs="宋体"/>
          <w:spacing w:val="-14"/>
          <w:sz w:val="24"/>
          <w:szCs w:val="24"/>
        </w:rPr>
        <w:t>）；</w:t>
      </w:r>
    </w:p>
    <w:p w14:paraId="50152B95">
      <w:pPr>
        <w:spacing w:before="185" w:line="218" w:lineRule="auto"/>
        <w:ind w:left="561"/>
        <w:rPr>
          <w:rFonts w:ascii="宋体" w:hAnsi="宋体" w:eastAsia="宋体" w:cs="宋体"/>
          <w:sz w:val="24"/>
          <w:szCs w:val="24"/>
        </w:rPr>
      </w:pPr>
      <w:r>
        <w:rPr>
          <w:rFonts w:ascii="宋体" w:hAnsi="宋体" w:eastAsia="宋体" w:cs="宋体"/>
          <w:spacing w:val="-3"/>
          <w:sz w:val="24"/>
          <w:szCs w:val="24"/>
        </w:rPr>
        <w:t>(6)</w:t>
      </w:r>
      <w:r>
        <w:rPr>
          <w:rFonts w:ascii="宋体" w:hAnsi="宋体" w:eastAsia="宋体" w:cs="宋体"/>
          <w:spacing w:val="-52"/>
          <w:sz w:val="24"/>
          <w:szCs w:val="24"/>
        </w:rPr>
        <w:t xml:space="preserve"> </w:t>
      </w:r>
      <w:r>
        <w:rPr>
          <w:rFonts w:ascii="宋体" w:hAnsi="宋体" w:eastAsia="宋体" w:cs="宋体"/>
          <w:spacing w:val="-3"/>
          <w:sz w:val="24"/>
          <w:szCs w:val="24"/>
        </w:rPr>
        <w:t>《环境影响评价技术导则</w:t>
      </w:r>
      <w:r>
        <w:rPr>
          <w:rFonts w:ascii="宋体" w:hAnsi="宋体" w:eastAsia="宋体" w:cs="宋体"/>
          <w:spacing w:val="31"/>
          <w:sz w:val="24"/>
          <w:szCs w:val="24"/>
        </w:rPr>
        <w:t xml:space="preserve"> </w:t>
      </w:r>
      <w:r>
        <w:rPr>
          <w:rFonts w:ascii="宋体" w:hAnsi="宋体" w:eastAsia="宋体" w:cs="宋体"/>
          <w:spacing w:val="-3"/>
          <w:sz w:val="24"/>
          <w:szCs w:val="24"/>
        </w:rPr>
        <w:t>地下水环境》（</w:t>
      </w:r>
      <w:r>
        <w:rPr>
          <w:rFonts w:ascii="Times New Roman" w:hAnsi="Times New Roman" w:eastAsia="Times New Roman" w:cs="Times New Roman"/>
          <w:spacing w:val="-3"/>
          <w:sz w:val="24"/>
          <w:szCs w:val="24"/>
        </w:rPr>
        <w:t>HJ610-2016</w:t>
      </w:r>
      <w:r>
        <w:rPr>
          <w:rFonts w:ascii="宋体" w:hAnsi="宋体" w:eastAsia="宋体" w:cs="宋体"/>
          <w:spacing w:val="-10"/>
          <w:sz w:val="24"/>
          <w:szCs w:val="24"/>
        </w:rPr>
        <w:t>）；</w:t>
      </w:r>
    </w:p>
    <w:p w14:paraId="485D1142">
      <w:pPr>
        <w:spacing w:before="185" w:line="218" w:lineRule="auto"/>
        <w:ind w:left="561"/>
        <w:rPr>
          <w:rFonts w:ascii="宋体" w:hAnsi="宋体" w:eastAsia="宋体" w:cs="宋体"/>
          <w:sz w:val="24"/>
          <w:szCs w:val="24"/>
        </w:rPr>
      </w:pPr>
      <w:r>
        <w:rPr>
          <w:rFonts w:ascii="宋体" w:hAnsi="宋体" w:eastAsia="宋体" w:cs="宋体"/>
          <w:spacing w:val="-3"/>
          <w:sz w:val="24"/>
          <w:szCs w:val="24"/>
        </w:rPr>
        <w:t>(7)</w:t>
      </w:r>
      <w:r>
        <w:rPr>
          <w:rFonts w:ascii="宋体" w:hAnsi="宋体" w:eastAsia="宋体" w:cs="宋体"/>
          <w:spacing w:val="-52"/>
          <w:sz w:val="24"/>
          <w:szCs w:val="24"/>
        </w:rPr>
        <w:t xml:space="preserve"> </w:t>
      </w:r>
      <w:r>
        <w:rPr>
          <w:rFonts w:ascii="宋体" w:hAnsi="宋体" w:eastAsia="宋体" w:cs="宋体"/>
          <w:spacing w:val="-3"/>
          <w:sz w:val="24"/>
          <w:szCs w:val="24"/>
        </w:rPr>
        <w:t>《环境影响评价技术导则</w:t>
      </w:r>
      <w:r>
        <w:rPr>
          <w:rFonts w:ascii="宋体" w:hAnsi="宋体" w:eastAsia="宋体" w:cs="宋体"/>
          <w:spacing w:val="32"/>
          <w:sz w:val="24"/>
          <w:szCs w:val="24"/>
        </w:rPr>
        <w:t xml:space="preserve"> </w:t>
      </w:r>
      <w:r>
        <w:rPr>
          <w:rFonts w:ascii="宋体" w:hAnsi="宋体" w:eastAsia="宋体" w:cs="宋体"/>
          <w:spacing w:val="-3"/>
          <w:sz w:val="24"/>
          <w:szCs w:val="24"/>
        </w:rPr>
        <w:t>土壤环境（试行）》（</w:t>
      </w:r>
      <w:r>
        <w:rPr>
          <w:rFonts w:ascii="Times New Roman" w:hAnsi="Times New Roman" w:eastAsia="Times New Roman" w:cs="Times New Roman"/>
          <w:spacing w:val="-3"/>
          <w:sz w:val="24"/>
          <w:szCs w:val="24"/>
        </w:rPr>
        <w:t>HJ964-2018</w:t>
      </w:r>
      <w:r>
        <w:rPr>
          <w:rFonts w:ascii="宋体" w:hAnsi="宋体" w:eastAsia="宋体" w:cs="宋体"/>
          <w:spacing w:val="-6"/>
          <w:sz w:val="24"/>
          <w:szCs w:val="24"/>
        </w:rPr>
        <w:t>）；</w:t>
      </w:r>
    </w:p>
    <w:p w14:paraId="599ECCC7">
      <w:pPr>
        <w:spacing w:before="184" w:line="218" w:lineRule="auto"/>
        <w:ind w:left="561"/>
        <w:rPr>
          <w:rFonts w:ascii="宋体" w:hAnsi="宋体" w:eastAsia="宋体" w:cs="宋体"/>
          <w:sz w:val="24"/>
          <w:szCs w:val="24"/>
        </w:rPr>
      </w:pPr>
      <w:r>
        <w:rPr>
          <w:rFonts w:ascii="宋体" w:hAnsi="宋体" w:eastAsia="宋体" w:cs="宋体"/>
          <w:spacing w:val="-2"/>
          <w:sz w:val="24"/>
          <w:szCs w:val="24"/>
        </w:rPr>
        <w:t>(8)</w:t>
      </w:r>
      <w:r>
        <w:rPr>
          <w:rFonts w:ascii="宋体" w:hAnsi="宋体" w:eastAsia="宋体" w:cs="宋体"/>
          <w:spacing w:val="-51"/>
          <w:sz w:val="24"/>
          <w:szCs w:val="24"/>
        </w:rPr>
        <w:t xml:space="preserve"> </w:t>
      </w:r>
      <w:r>
        <w:rPr>
          <w:rFonts w:ascii="宋体" w:hAnsi="宋体" w:eastAsia="宋体" w:cs="宋体"/>
          <w:spacing w:val="-2"/>
          <w:sz w:val="24"/>
          <w:szCs w:val="24"/>
        </w:rPr>
        <w:t>《建设项目环境风险评价技术导则》（</w:t>
      </w:r>
      <w:r>
        <w:rPr>
          <w:rFonts w:ascii="Times New Roman" w:hAnsi="Times New Roman" w:eastAsia="Times New Roman" w:cs="Times New Roman"/>
          <w:spacing w:val="-2"/>
          <w:sz w:val="24"/>
          <w:szCs w:val="24"/>
        </w:rPr>
        <w:t>HJ/T169-2018</w:t>
      </w:r>
      <w:r>
        <w:rPr>
          <w:rFonts w:ascii="宋体" w:hAnsi="宋体" w:eastAsia="宋体" w:cs="宋体"/>
          <w:spacing w:val="-9"/>
          <w:sz w:val="24"/>
          <w:szCs w:val="24"/>
        </w:rPr>
        <w:t>）；</w:t>
      </w:r>
    </w:p>
    <w:p w14:paraId="2BDCE080">
      <w:pPr>
        <w:spacing w:before="184" w:line="220" w:lineRule="auto"/>
        <w:ind w:left="561"/>
        <w:rPr>
          <w:rFonts w:ascii="宋体" w:hAnsi="宋体" w:eastAsia="宋体" w:cs="宋体"/>
          <w:sz w:val="24"/>
          <w:szCs w:val="24"/>
        </w:rPr>
      </w:pPr>
      <w:r>
        <w:rPr>
          <w:rFonts w:ascii="宋体" w:hAnsi="宋体" w:eastAsia="宋体" w:cs="宋体"/>
          <w:spacing w:val="-2"/>
          <w:sz w:val="24"/>
          <w:szCs w:val="24"/>
        </w:rPr>
        <w:t>(9)</w:t>
      </w:r>
      <w:r>
        <w:rPr>
          <w:rFonts w:ascii="宋体" w:hAnsi="宋体" w:eastAsia="宋体" w:cs="宋体"/>
          <w:spacing w:val="-52"/>
          <w:sz w:val="24"/>
          <w:szCs w:val="24"/>
        </w:rPr>
        <w:t xml:space="preserve"> </w:t>
      </w:r>
      <w:r>
        <w:rPr>
          <w:rFonts w:ascii="宋体" w:hAnsi="宋体" w:eastAsia="宋体" w:cs="宋体"/>
          <w:spacing w:val="-2"/>
          <w:sz w:val="24"/>
          <w:szCs w:val="24"/>
        </w:rPr>
        <w:t>《固体废物处理处置工程技术导则》（</w:t>
      </w:r>
      <w:r>
        <w:rPr>
          <w:rFonts w:ascii="Times New Roman" w:hAnsi="Times New Roman" w:eastAsia="Times New Roman" w:cs="Times New Roman"/>
          <w:spacing w:val="-2"/>
          <w:sz w:val="24"/>
          <w:szCs w:val="24"/>
        </w:rPr>
        <w:t>HJ2035-2013</w:t>
      </w:r>
      <w:r>
        <w:rPr>
          <w:rFonts w:ascii="宋体" w:hAnsi="宋体" w:eastAsia="宋体" w:cs="宋体"/>
          <w:spacing w:val="-10"/>
          <w:sz w:val="24"/>
          <w:szCs w:val="24"/>
        </w:rPr>
        <w:t>）；</w:t>
      </w:r>
    </w:p>
    <w:p w14:paraId="2796A225">
      <w:pPr>
        <w:spacing w:before="182" w:line="220" w:lineRule="auto"/>
        <w:ind w:left="561"/>
        <w:rPr>
          <w:rFonts w:ascii="宋体" w:hAnsi="宋体" w:eastAsia="宋体" w:cs="宋体"/>
          <w:sz w:val="24"/>
          <w:szCs w:val="24"/>
        </w:rPr>
      </w:pPr>
      <w:r>
        <w:rPr>
          <w:rFonts w:ascii="宋体" w:hAnsi="宋体" w:eastAsia="宋体" w:cs="宋体"/>
          <w:spacing w:val="-2"/>
          <w:sz w:val="24"/>
          <w:szCs w:val="24"/>
        </w:rPr>
        <w:t>(10)</w:t>
      </w:r>
      <w:r>
        <w:rPr>
          <w:rFonts w:ascii="宋体" w:hAnsi="宋体" w:eastAsia="宋体" w:cs="宋体"/>
          <w:spacing w:val="-52"/>
          <w:sz w:val="24"/>
          <w:szCs w:val="24"/>
        </w:rPr>
        <w:t xml:space="preserve"> </w:t>
      </w:r>
      <w:r>
        <w:rPr>
          <w:rFonts w:ascii="宋体" w:hAnsi="宋体" w:eastAsia="宋体" w:cs="宋体"/>
          <w:spacing w:val="-2"/>
          <w:sz w:val="24"/>
          <w:szCs w:val="24"/>
        </w:rPr>
        <w:t>《固体废物再生利用污染防治技术导则》（</w:t>
      </w:r>
      <w:r>
        <w:rPr>
          <w:rFonts w:ascii="Times New Roman" w:hAnsi="Times New Roman" w:eastAsia="Times New Roman" w:cs="Times New Roman"/>
          <w:spacing w:val="-2"/>
          <w:sz w:val="24"/>
          <w:szCs w:val="24"/>
        </w:rPr>
        <w:t>HJ1091-2020</w:t>
      </w:r>
      <w:r>
        <w:rPr>
          <w:rFonts w:ascii="宋体" w:hAnsi="宋体" w:eastAsia="宋体" w:cs="宋体"/>
          <w:spacing w:val="-7"/>
          <w:sz w:val="24"/>
          <w:szCs w:val="24"/>
        </w:rPr>
        <w:t>）；</w:t>
      </w:r>
    </w:p>
    <w:p w14:paraId="2E67642F">
      <w:pPr>
        <w:spacing w:before="182" w:line="220" w:lineRule="auto"/>
        <w:ind w:left="561"/>
        <w:rPr>
          <w:rFonts w:ascii="宋体" w:hAnsi="宋体" w:eastAsia="宋体" w:cs="宋体"/>
          <w:sz w:val="24"/>
          <w:szCs w:val="24"/>
        </w:rPr>
      </w:pPr>
      <w:r>
        <w:rPr>
          <w:rFonts w:ascii="宋体" w:hAnsi="宋体" w:eastAsia="宋体" w:cs="宋体"/>
          <w:spacing w:val="-2"/>
          <w:sz w:val="24"/>
          <w:szCs w:val="24"/>
        </w:rPr>
        <w:t>(11)</w:t>
      </w:r>
      <w:r>
        <w:rPr>
          <w:rFonts w:ascii="宋体" w:hAnsi="宋体" w:eastAsia="宋体" w:cs="宋体"/>
          <w:spacing w:val="-52"/>
          <w:sz w:val="24"/>
          <w:szCs w:val="24"/>
        </w:rPr>
        <w:t xml:space="preserve"> </w:t>
      </w:r>
      <w:r>
        <w:rPr>
          <w:rFonts w:ascii="宋体" w:hAnsi="宋体" w:eastAsia="宋体" w:cs="宋体"/>
          <w:spacing w:val="-2"/>
          <w:sz w:val="24"/>
          <w:szCs w:val="24"/>
        </w:rPr>
        <w:t>《畜禽养殖业污染防治技术规范》（</w:t>
      </w:r>
      <w:r>
        <w:rPr>
          <w:rFonts w:ascii="Times New Roman" w:hAnsi="Times New Roman" w:eastAsia="Times New Roman" w:cs="Times New Roman"/>
          <w:spacing w:val="-2"/>
          <w:sz w:val="24"/>
          <w:szCs w:val="24"/>
        </w:rPr>
        <w:t>HJ/T81-2001</w:t>
      </w:r>
      <w:r>
        <w:rPr>
          <w:rFonts w:ascii="宋体" w:hAnsi="宋体" w:eastAsia="宋体" w:cs="宋体"/>
          <w:spacing w:val="-10"/>
          <w:sz w:val="24"/>
          <w:szCs w:val="24"/>
        </w:rPr>
        <w:t>）；</w:t>
      </w:r>
    </w:p>
    <w:p w14:paraId="6094FD47">
      <w:pPr>
        <w:spacing w:before="182" w:line="220" w:lineRule="auto"/>
        <w:ind w:left="561"/>
        <w:rPr>
          <w:rFonts w:ascii="宋体" w:hAnsi="宋体" w:eastAsia="宋体" w:cs="宋体"/>
          <w:sz w:val="24"/>
          <w:szCs w:val="24"/>
        </w:rPr>
      </w:pPr>
      <w:r>
        <w:rPr>
          <w:rFonts w:ascii="宋体" w:hAnsi="宋体" w:eastAsia="宋体" w:cs="宋体"/>
          <w:spacing w:val="-2"/>
          <w:sz w:val="24"/>
          <w:szCs w:val="24"/>
        </w:rPr>
        <w:t>(12)</w:t>
      </w:r>
      <w:r>
        <w:rPr>
          <w:rFonts w:ascii="宋体" w:hAnsi="宋体" w:eastAsia="宋体" w:cs="宋体"/>
          <w:spacing w:val="-52"/>
          <w:sz w:val="24"/>
          <w:szCs w:val="24"/>
        </w:rPr>
        <w:t xml:space="preserve"> </w:t>
      </w:r>
      <w:r>
        <w:rPr>
          <w:rFonts w:ascii="宋体" w:hAnsi="宋体" w:eastAsia="宋体" w:cs="宋体"/>
          <w:spacing w:val="-2"/>
          <w:sz w:val="24"/>
          <w:szCs w:val="24"/>
        </w:rPr>
        <w:t>《畜禽养殖业污染治理工程技术规范》（</w:t>
      </w:r>
      <w:r>
        <w:rPr>
          <w:rFonts w:ascii="Times New Roman" w:hAnsi="Times New Roman" w:eastAsia="Times New Roman" w:cs="Times New Roman"/>
          <w:spacing w:val="-2"/>
          <w:sz w:val="24"/>
          <w:szCs w:val="24"/>
        </w:rPr>
        <w:t>HJ497-2009</w:t>
      </w:r>
      <w:r>
        <w:rPr>
          <w:rFonts w:ascii="宋体" w:hAnsi="宋体" w:eastAsia="宋体" w:cs="宋体"/>
          <w:spacing w:val="-9"/>
          <w:sz w:val="24"/>
          <w:szCs w:val="24"/>
        </w:rPr>
        <w:t>）；</w:t>
      </w:r>
    </w:p>
    <w:p w14:paraId="5BE899DE">
      <w:pPr>
        <w:spacing w:before="182" w:line="220" w:lineRule="auto"/>
        <w:ind w:left="561"/>
        <w:rPr>
          <w:rFonts w:ascii="宋体" w:hAnsi="宋体" w:eastAsia="宋体" w:cs="宋体"/>
          <w:sz w:val="24"/>
          <w:szCs w:val="24"/>
        </w:rPr>
      </w:pPr>
      <w:r>
        <w:rPr>
          <w:rFonts w:ascii="宋体" w:hAnsi="宋体" w:eastAsia="宋体" w:cs="宋体"/>
          <w:spacing w:val="-2"/>
          <w:sz w:val="24"/>
          <w:szCs w:val="24"/>
        </w:rPr>
        <w:t>(13)</w:t>
      </w:r>
      <w:r>
        <w:rPr>
          <w:rFonts w:ascii="宋体" w:hAnsi="宋体" w:eastAsia="宋体" w:cs="宋体"/>
          <w:spacing w:val="-53"/>
          <w:sz w:val="24"/>
          <w:szCs w:val="24"/>
        </w:rPr>
        <w:t xml:space="preserve"> </w:t>
      </w:r>
      <w:r>
        <w:rPr>
          <w:rFonts w:ascii="宋体" w:hAnsi="宋体" w:eastAsia="宋体" w:cs="宋体"/>
          <w:spacing w:val="-2"/>
          <w:sz w:val="24"/>
          <w:szCs w:val="24"/>
        </w:rPr>
        <w:t>《畜禽粪便无害化处理技术规范》（</w:t>
      </w:r>
      <w:r>
        <w:rPr>
          <w:rFonts w:ascii="Times New Roman" w:hAnsi="Times New Roman" w:eastAsia="Times New Roman" w:cs="Times New Roman"/>
          <w:spacing w:val="-2"/>
          <w:sz w:val="24"/>
          <w:szCs w:val="24"/>
        </w:rPr>
        <w:t>GB/T36195-2018</w:t>
      </w:r>
      <w:r>
        <w:rPr>
          <w:rFonts w:ascii="宋体" w:hAnsi="宋体" w:eastAsia="宋体" w:cs="宋体"/>
          <w:spacing w:val="-6"/>
          <w:sz w:val="24"/>
          <w:szCs w:val="24"/>
        </w:rPr>
        <w:t>）；</w:t>
      </w:r>
    </w:p>
    <w:p w14:paraId="5662E832">
      <w:pPr>
        <w:spacing w:before="182" w:line="220" w:lineRule="auto"/>
        <w:ind w:left="561"/>
        <w:rPr>
          <w:rFonts w:ascii="宋体" w:hAnsi="宋体" w:eastAsia="宋体" w:cs="宋体"/>
          <w:sz w:val="24"/>
          <w:szCs w:val="24"/>
        </w:rPr>
      </w:pPr>
      <w:r>
        <w:rPr>
          <w:rFonts w:ascii="宋体" w:hAnsi="宋体" w:eastAsia="宋体" w:cs="宋体"/>
          <w:spacing w:val="-2"/>
          <w:sz w:val="24"/>
          <w:szCs w:val="24"/>
        </w:rPr>
        <w:t>(14)</w:t>
      </w:r>
      <w:r>
        <w:rPr>
          <w:rFonts w:ascii="宋体" w:hAnsi="宋体" w:eastAsia="宋体" w:cs="宋体"/>
          <w:spacing w:val="-52"/>
          <w:sz w:val="24"/>
          <w:szCs w:val="24"/>
        </w:rPr>
        <w:t xml:space="preserve"> </w:t>
      </w:r>
      <w:r>
        <w:rPr>
          <w:rFonts w:ascii="宋体" w:hAnsi="宋体" w:eastAsia="宋体" w:cs="宋体"/>
          <w:spacing w:val="-2"/>
          <w:sz w:val="24"/>
          <w:szCs w:val="24"/>
        </w:rPr>
        <w:t>《畜禽粪便贮存设施设计要求》（</w:t>
      </w:r>
      <w:r>
        <w:rPr>
          <w:rFonts w:ascii="Times New Roman" w:hAnsi="Times New Roman" w:eastAsia="Times New Roman" w:cs="Times New Roman"/>
          <w:spacing w:val="-2"/>
          <w:sz w:val="24"/>
          <w:szCs w:val="24"/>
        </w:rPr>
        <w:t>GB/T27622-2011</w:t>
      </w:r>
      <w:r>
        <w:rPr>
          <w:rFonts w:ascii="宋体" w:hAnsi="宋体" w:eastAsia="宋体" w:cs="宋体"/>
          <w:spacing w:val="-8"/>
          <w:sz w:val="24"/>
          <w:szCs w:val="24"/>
        </w:rPr>
        <w:t>）；</w:t>
      </w:r>
    </w:p>
    <w:p w14:paraId="42732450">
      <w:pPr>
        <w:spacing w:line="220" w:lineRule="auto"/>
        <w:rPr>
          <w:rFonts w:ascii="宋体" w:hAnsi="宋体" w:eastAsia="宋体" w:cs="宋体"/>
          <w:sz w:val="24"/>
          <w:szCs w:val="24"/>
        </w:rPr>
        <w:sectPr>
          <w:footerReference r:id="rId31" w:type="default"/>
          <w:pgSz w:w="11905" w:h="16840"/>
          <w:pgMar w:top="1168" w:right="1768" w:bottom="1409" w:left="1770" w:header="828" w:footer="1244" w:gutter="0"/>
          <w:cols w:space="720" w:num="1"/>
        </w:sectPr>
      </w:pPr>
    </w:p>
    <w:p w14:paraId="13220A15">
      <w:pPr>
        <w:pStyle w:val="2"/>
        <w:spacing w:line="305" w:lineRule="auto"/>
      </w:pPr>
    </w:p>
    <w:p w14:paraId="6F37F2A0">
      <w:pPr>
        <w:spacing w:before="78" w:line="220" w:lineRule="auto"/>
        <w:ind w:left="561"/>
        <w:rPr>
          <w:rFonts w:ascii="宋体" w:hAnsi="宋体" w:eastAsia="宋体" w:cs="宋体"/>
          <w:sz w:val="24"/>
          <w:szCs w:val="24"/>
        </w:rPr>
      </w:pPr>
      <w:r>
        <w:rPr>
          <w:rFonts w:ascii="宋体" w:hAnsi="宋体" w:eastAsia="宋体" w:cs="宋体"/>
          <w:spacing w:val="-2"/>
          <w:sz w:val="24"/>
          <w:szCs w:val="24"/>
        </w:rPr>
        <w:t>(15)</w:t>
      </w:r>
      <w:r>
        <w:rPr>
          <w:rFonts w:ascii="宋体" w:hAnsi="宋体" w:eastAsia="宋体" w:cs="宋体"/>
          <w:spacing w:val="-53"/>
          <w:sz w:val="24"/>
          <w:szCs w:val="24"/>
        </w:rPr>
        <w:t xml:space="preserve"> </w:t>
      </w:r>
      <w:r>
        <w:rPr>
          <w:rFonts w:ascii="宋体" w:hAnsi="宋体" w:eastAsia="宋体" w:cs="宋体"/>
          <w:spacing w:val="-2"/>
          <w:sz w:val="24"/>
          <w:szCs w:val="24"/>
        </w:rPr>
        <w:t>《畜禽养殖污水贮存设施设计要求》（</w:t>
      </w:r>
      <w:r>
        <w:rPr>
          <w:rFonts w:ascii="Times New Roman" w:hAnsi="Times New Roman" w:eastAsia="Times New Roman" w:cs="Times New Roman"/>
          <w:spacing w:val="-2"/>
          <w:sz w:val="24"/>
          <w:szCs w:val="24"/>
        </w:rPr>
        <w:t>GB/T26624-2011</w:t>
      </w:r>
      <w:r>
        <w:rPr>
          <w:rFonts w:ascii="宋体" w:hAnsi="宋体" w:eastAsia="宋体" w:cs="宋体"/>
          <w:spacing w:val="-5"/>
          <w:sz w:val="24"/>
          <w:szCs w:val="24"/>
        </w:rPr>
        <w:t>）；</w:t>
      </w:r>
    </w:p>
    <w:p w14:paraId="54668682">
      <w:pPr>
        <w:spacing w:before="182" w:line="220" w:lineRule="auto"/>
        <w:ind w:left="561"/>
        <w:rPr>
          <w:rFonts w:ascii="宋体" w:hAnsi="宋体" w:eastAsia="宋体" w:cs="宋体"/>
          <w:sz w:val="24"/>
          <w:szCs w:val="24"/>
        </w:rPr>
      </w:pPr>
      <w:r>
        <w:rPr>
          <w:rFonts w:ascii="宋体" w:hAnsi="宋体" w:eastAsia="宋体" w:cs="宋体"/>
          <w:spacing w:val="-2"/>
          <w:sz w:val="24"/>
          <w:szCs w:val="24"/>
        </w:rPr>
        <w:t>(16)</w:t>
      </w:r>
      <w:r>
        <w:rPr>
          <w:rFonts w:ascii="宋体" w:hAnsi="宋体" w:eastAsia="宋体" w:cs="宋体"/>
          <w:spacing w:val="-52"/>
          <w:sz w:val="24"/>
          <w:szCs w:val="24"/>
        </w:rPr>
        <w:t xml:space="preserve"> </w:t>
      </w:r>
      <w:r>
        <w:rPr>
          <w:rFonts w:ascii="宋体" w:hAnsi="宋体" w:eastAsia="宋体" w:cs="宋体"/>
          <w:spacing w:val="-2"/>
          <w:sz w:val="24"/>
          <w:szCs w:val="24"/>
        </w:rPr>
        <w:t>《畜禽粪便还田技术规范》（</w:t>
      </w:r>
      <w:r>
        <w:rPr>
          <w:rFonts w:ascii="Times New Roman" w:hAnsi="Times New Roman" w:eastAsia="Times New Roman" w:cs="Times New Roman"/>
          <w:spacing w:val="-2"/>
          <w:sz w:val="24"/>
          <w:szCs w:val="24"/>
        </w:rPr>
        <w:t>GB/T25246-2010</w:t>
      </w:r>
      <w:r>
        <w:rPr>
          <w:rFonts w:ascii="宋体" w:hAnsi="宋体" w:eastAsia="宋体" w:cs="宋体"/>
          <w:spacing w:val="-10"/>
          <w:sz w:val="24"/>
          <w:szCs w:val="24"/>
        </w:rPr>
        <w:t>）；</w:t>
      </w:r>
    </w:p>
    <w:p w14:paraId="57590EA6">
      <w:pPr>
        <w:spacing w:before="182" w:line="212" w:lineRule="auto"/>
        <w:ind w:left="561"/>
        <w:rPr>
          <w:rFonts w:ascii="宋体" w:hAnsi="宋体" w:eastAsia="宋体" w:cs="宋体"/>
          <w:sz w:val="24"/>
          <w:szCs w:val="24"/>
        </w:rPr>
      </w:pPr>
      <w:r>
        <w:rPr>
          <w:rFonts w:ascii="宋体" w:hAnsi="宋体" w:eastAsia="宋体" w:cs="宋体"/>
          <w:spacing w:val="-2"/>
          <w:sz w:val="24"/>
          <w:szCs w:val="24"/>
        </w:rPr>
        <w:t>(17)</w:t>
      </w:r>
      <w:r>
        <w:rPr>
          <w:rFonts w:ascii="宋体" w:hAnsi="宋体" w:eastAsia="宋体" w:cs="宋体"/>
          <w:spacing w:val="-52"/>
          <w:sz w:val="24"/>
          <w:szCs w:val="24"/>
        </w:rPr>
        <w:t xml:space="preserve"> </w:t>
      </w:r>
      <w:r>
        <w:rPr>
          <w:rFonts w:ascii="宋体" w:hAnsi="宋体" w:eastAsia="宋体" w:cs="宋体"/>
          <w:spacing w:val="-2"/>
          <w:sz w:val="24"/>
          <w:szCs w:val="24"/>
        </w:rPr>
        <w:t>《病死及病害动物无害化处理技术规范》（农医发</w:t>
      </w:r>
      <w:r>
        <w:rPr>
          <w:rFonts w:ascii="Times New Roman" w:hAnsi="Times New Roman" w:eastAsia="Times New Roman" w:cs="Times New Roman"/>
          <w:spacing w:val="-2"/>
          <w:sz w:val="24"/>
          <w:szCs w:val="24"/>
        </w:rPr>
        <w:t>[</w:t>
      </w:r>
      <w:r>
        <w:fldChar w:fldCharType="begin"/>
      </w:r>
      <w:r>
        <w:instrText xml:space="preserve"> HYPERLINK \l "bookmark90" </w:instrText>
      </w:r>
      <w:r>
        <w:fldChar w:fldCharType="separate"/>
      </w:r>
      <w:r>
        <w:rPr>
          <w:rFonts w:ascii="Times New Roman" w:hAnsi="Times New Roman" w:eastAsia="Times New Roman" w:cs="Times New Roman"/>
          <w:spacing w:val="-2"/>
          <w:sz w:val="24"/>
          <w:szCs w:val="24"/>
        </w:rPr>
        <w:t>2017</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]2</w:t>
      </w:r>
      <w:r>
        <w:rPr>
          <w:rFonts w:ascii="Times New Roman" w:hAnsi="Times New Roman" w:eastAsia="Times New Roman" w:cs="Times New Roman"/>
          <w:spacing w:val="-3"/>
          <w:sz w:val="24"/>
          <w:szCs w:val="24"/>
        </w:rPr>
        <w:t>5</w:t>
      </w:r>
      <w:r>
        <w:rPr>
          <w:rFonts w:ascii="宋体" w:hAnsi="宋体" w:eastAsia="宋体" w:cs="宋体"/>
          <w:spacing w:val="-3"/>
          <w:sz w:val="24"/>
          <w:szCs w:val="24"/>
        </w:rPr>
        <w:t>号</w:t>
      </w:r>
      <w:r>
        <w:rPr>
          <w:rFonts w:ascii="宋体" w:hAnsi="宋体" w:eastAsia="宋体" w:cs="宋体"/>
          <w:spacing w:val="-10"/>
          <w:sz w:val="24"/>
          <w:szCs w:val="24"/>
        </w:rPr>
        <w:t>）；</w:t>
      </w:r>
    </w:p>
    <w:p w14:paraId="09C54D62">
      <w:pPr>
        <w:spacing w:before="191" w:line="220" w:lineRule="auto"/>
        <w:ind w:left="561"/>
        <w:rPr>
          <w:rFonts w:ascii="宋体" w:hAnsi="宋体" w:eastAsia="宋体" w:cs="宋体"/>
          <w:sz w:val="24"/>
          <w:szCs w:val="24"/>
        </w:rPr>
      </w:pPr>
      <w:r>
        <w:rPr>
          <w:rFonts w:ascii="宋体" w:hAnsi="宋体" w:eastAsia="宋体" w:cs="宋体"/>
          <w:spacing w:val="-2"/>
          <w:sz w:val="24"/>
          <w:szCs w:val="24"/>
        </w:rPr>
        <w:t>(18)</w:t>
      </w:r>
      <w:r>
        <w:rPr>
          <w:rFonts w:ascii="宋体" w:hAnsi="宋体" w:eastAsia="宋体" w:cs="宋体"/>
          <w:spacing w:val="-51"/>
          <w:sz w:val="24"/>
          <w:szCs w:val="24"/>
        </w:rPr>
        <w:t xml:space="preserve"> </w:t>
      </w:r>
      <w:r>
        <w:rPr>
          <w:rFonts w:ascii="宋体" w:hAnsi="宋体" w:eastAsia="宋体" w:cs="宋体"/>
          <w:spacing w:val="-2"/>
          <w:sz w:val="24"/>
          <w:szCs w:val="24"/>
        </w:rPr>
        <w:t>《畜禽粪污土地承载力测算技术指南》（</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3"/>
          <w:sz w:val="24"/>
          <w:szCs w:val="24"/>
        </w:rPr>
        <w:t>18</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w:t>
      </w:r>
      <w:r>
        <w:rPr>
          <w:rFonts w:ascii="宋体" w:hAnsi="宋体" w:eastAsia="宋体" w:cs="宋体"/>
          <w:spacing w:val="-10"/>
          <w:sz w:val="24"/>
          <w:szCs w:val="24"/>
        </w:rPr>
        <w:t>）；</w:t>
      </w:r>
    </w:p>
    <w:p w14:paraId="1442CC39">
      <w:pPr>
        <w:spacing w:before="182" w:line="220" w:lineRule="auto"/>
        <w:ind w:left="561"/>
        <w:rPr>
          <w:rFonts w:ascii="宋体" w:hAnsi="宋体" w:eastAsia="宋体" w:cs="宋体"/>
          <w:sz w:val="24"/>
          <w:szCs w:val="24"/>
        </w:rPr>
      </w:pPr>
      <w:r>
        <w:rPr>
          <w:rFonts w:ascii="宋体" w:hAnsi="宋体" w:eastAsia="宋体" w:cs="宋体"/>
          <w:spacing w:val="-1"/>
          <w:sz w:val="24"/>
          <w:szCs w:val="24"/>
        </w:rPr>
        <w:t>(19)</w:t>
      </w:r>
      <w:r>
        <w:rPr>
          <w:rFonts w:ascii="宋体" w:hAnsi="宋体" w:eastAsia="宋体" w:cs="宋体"/>
          <w:spacing w:val="-53"/>
          <w:sz w:val="24"/>
          <w:szCs w:val="24"/>
        </w:rPr>
        <w:t xml:space="preserve"> </w:t>
      </w:r>
      <w:r>
        <w:rPr>
          <w:rFonts w:ascii="宋体" w:hAnsi="宋体" w:eastAsia="宋体" w:cs="宋体"/>
          <w:spacing w:val="-1"/>
          <w:sz w:val="24"/>
          <w:szCs w:val="24"/>
        </w:rPr>
        <w:t>《规模化畜禽养殖场沼气工程设计</w:t>
      </w:r>
      <w:r>
        <w:rPr>
          <w:rFonts w:ascii="宋体" w:hAnsi="宋体" w:eastAsia="宋体" w:cs="宋体"/>
          <w:spacing w:val="-2"/>
          <w:sz w:val="24"/>
          <w:szCs w:val="24"/>
        </w:rPr>
        <w:t>规范》（</w:t>
      </w:r>
      <w:r>
        <w:rPr>
          <w:rFonts w:ascii="Times New Roman" w:hAnsi="Times New Roman" w:eastAsia="Times New Roman" w:cs="Times New Roman"/>
          <w:spacing w:val="-2"/>
          <w:sz w:val="24"/>
          <w:szCs w:val="24"/>
        </w:rPr>
        <w:t>NY/T1222-2006</w:t>
      </w:r>
      <w:r>
        <w:rPr>
          <w:rFonts w:ascii="宋体" w:hAnsi="宋体" w:eastAsia="宋体" w:cs="宋体"/>
          <w:spacing w:val="-14"/>
          <w:sz w:val="24"/>
          <w:szCs w:val="24"/>
        </w:rPr>
        <w:t>）；</w:t>
      </w:r>
    </w:p>
    <w:p w14:paraId="6197F2C7">
      <w:pPr>
        <w:spacing w:before="182" w:line="212" w:lineRule="auto"/>
        <w:ind w:left="561"/>
        <w:rPr>
          <w:rFonts w:ascii="宋体" w:hAnsi="宋体" w:eastAsia="宋体" w:cs="宋体"/>
          <w:sz w:val="24"/>
          <w:szCs w:val="24"/>
        </w:rPr>
      </w:pPr>
      <w:r>
        <w:rPr>
          <w:rFonts w:ascii="宋体" w:hAnsi="宋体" w:eastAsia="宋体" w:cs="宋体"/>
          <w:spacing w:val="-3"/>
          <w:sz w:val="24"/>
          <w:szCs w:val="24"/>
        </w:rPr>
        <w:t>(20)</w:t>
      </w:r>
      <w:r>
        <w:rPr>
          <w:rFonts w:ascii="宋体" w:hAnsi="宋体" w:eastAsia="宋体" w:cs="宋体"/>
          <w:spacing w:val="-53"/>
          <w:sz w:val="24"/>
          <w:szCs w:val="24"/>
        </w:rPr>
        <w:t xml:space="preserve"> </w:t>
      </w:r>
      <w:r>
        <w:rPr>
          <w:rFonts w:ascii="宋体" w:hAnsi="宋体" w:eastAsia="宋体" w:cs="宋体"/>
          <w:spacing w:val="-3"/>
          <w:sz w:val="24"/>
          <w:szCs w:val="24"/>
        </w:rPr>
        <w:t>《四川省用水定额》（川府函</w:t>
      </w:r>
      <w:r>
        <w:rPr>
          <w:rFonts w:ascii="Times New Roman" w:hAnsi="Times New Roman" w:eastAsia="Times New Roman" w:cs="Times New Roman"/>
          <w:spacing w:val="-3"/>
          <w:sz w:val="24"/>
          <w:szCs w:val="24"/>
        </w:rPr>
        <w:t>[</w:t>
      </w:r>
      <w:r>
        <w:fldChar w:fldCharType="begin"/>
      </w:r>
      <w:r>
        <w:instrText xml:space="preserve"> HYPERLINK \l "bookmark91" </w:instrText>
      </w:r>
      <w:r>
        <w:fldChar w:fldCharType="separate"/>
      </w:r>
      <w:r>
        <w:rPr>
          <w:rFonts w:ascii="Times New Roman" w:hAnsi="Times New Roman" w:eastAsia="Times New Roman" w:cs="Times New Roman"/>
          <w:spacing w:val="-3"/>
          <w:sz w:val="24"/>
          <w:szCs w:val="24"/>
        </w:rPr>
        <w:t>2021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]8</w:t>
      </w:r>
      <w:r>
        <w:rPr>
          <w:rFonts w:ascii="宋体" w:hAnsi="宋体" w:eastAsia="宋体" w:cs="宋体"/>
          <w:spacing w:val="-3"/>
          <w:sz w:val="24"/>
          <w:szCs w:val="24"/>
        </w:rPr>
        <w:t>号</w:t>
      </w:r>
      <w:r>
        <w:rPr>
          <w:rFonts w:ascii="宋体" w:hAnsi="宋体" w:eastAsia="宋体" w:cs="宋体"/>
          <w:spacing w:val="-8"/>
          <w:sz w:val="24"/>
          <w:szCs w:val="24"/>
        </w:rPr>
        <w:t>）；</w:t>
      </w:r>
    </w:p>
    <w:p w14:paraId="09AB2AEF">
      <w:pPr>
        <w:spacing w:before="192" w:line="220" w:lineRule="auto"/>
        <w:ind w:left="561"/>
        <w:rPr>
          <w:rFonts w:ascii="宋体" w:hAnsi="宋体" w:eastAsia="宋体" w:cs="宋体"/>
          <w:sz w:val="24"/>
          <w:szCs w:val="24"/>
        </w:rPr>
      </w:pPr>
      <w:r>
        <w:rPr>
          <w:rFonts w:ascii="宋体" w:hAnsi="宋体" w:eastAsia="宋体" w:cs="宋体"/>
          <w:spacing w:val="-7"/>
          <w:sz w:val="24"/>
          <w:szCs w:val="24"/>
        </w:rPr>
        <w:t>(21)</w:t>
      </w:r>
      <w:r>
        <w:rPr>
          <w:rFonts w:ascii="宋体" w:hAnsi="宋体" w:eastAsia="宋体" w:cs="宋体"/>
          <w:spacing w:val="-53"/>
          <w:sz w:val="24"/>
          <w:szCs w:val="24"/>
        </w:rPr>
        <w:t xml:space="preserve"> </w:t>
      </w:r>
      <w:r>
        <w:rPr>
          <w:rFonts w:ascii="宋体" w:hAnsi="宋体" w:eastAsia="宋体" w:cs="宋体"/>
          <w:spacing w:val="-7"/>
          <w:sz w:val="24"/>
          <w:szCs w:val="24"/>
        </w:rPr>
        <w:t>《排污许可证申请与核发技术规范 畜禽养殖行业》（</w:t>
      </w:r>
      <w:r>
        <w:rPr>
          <w:rFonts w:ascii="Times New Roman" w:hAnsi="Times New Roman" w:eastAsia="Times New Roman" w:cs="Times New Roman"/>
          <w:spacing w:val="-7"/>
          <w:sz w:val="24"/>
          <w:szCs w:val="24"/>
        </w:rPr>
        <w:t>HJ1029-20</w:t>
      </w:r>
      <w:r>
        <w:rPr>
          <w:rFonts w:ascii="Times New Roman" w:hAnsi="Times New Roman" w:eastAsia="Times New Roman" w:cs="Times New Roman"/>
          <w:spacing w:val="-8"/>
          <w:sz w:val="24"/>
          <w:szCs w:val="24"/>
        </w:rPr>
        <w:t>19</w:t>
      </w:r>
      <w:r>
        <w:rPr>
          <w:rFonts w:ascii="宋体" w:hAnsi="宋体" w:eastAsia="宋体" w:cs="宋体"/>
          <w:spacing w:val="-15"/>
          <w:sz w:val="24"/>
          <w:szCs w:val="24"/>
        </w:rPr>
        <w:t>）；</w:t>
      </w:r>
    </w:p>
    <w:p w14:paraId="1CE02819">
      <w:pPr>
        <w:spacing w:before="183" w:line="212" w:lineRule="auto"/>
        <w:ind w:left="561"/>
        <w:rPr>
          <w:rFonts w:ascii="宋体" w:hAnsi="宋体" w:eastAsia="宋体" w:cs="宋体"/>
          <w:sz w:val="24"/>
          <w:szCs w:val="24"/>
        </w:rPr>
      </w:pPr>
      <w:r>
        <w:rPr>
          <w:rFonts w:ascii="宋体" w:hAnsi="宋体" w:eastAsia="宋体" w:cs="宋体"/>
          <w:spacing w:val="-10"/>
          <w:sz w:val="24"/>
          <w:szCs w:val="24"/>
        </w:rPr>
        <w:t>(22)</w:t>
      </w:r>
      <w:r>
        <w:rPr>
          <w:rFonts w:ascii="宋体" w:hAnsi="宋体" w:eastAsia="宋体" w:cs="宋体"/>
          <w:spacing w:val="-53"/>
          <w:sz w:val="24"/>
          <w:szCs w:val="24"/>
        </w:rPr>
        <w:t xml:space="preserve"> </w:t>
      </w:r>
      <w:r>
        <w:rPr>
          <w:rFonts w:ascii="宋体" w:hAnsi="宋体" w:eastAsia="宋体" w:cs="宋体"/>
          <w:spacing w:val="-10"/>
          <w:sz w:val="24"/>
          <w:szCs w:val="24"/>
        </w:rPr>
        <w:t>《规模畜禽养殖场污染防治最佳可行技术指南</w:t>
      </w:r>
      <w:r>
        <w:rPr>
          <w:rFonts w:ascii="Times New Roman" w:hAnsi="Times New Roman" w:eastAsia="Times New Roman" w:cs="Times New Roman"/>
          <w:spacing w:val="-10"/>
          <w:sz w:val="24"/>
          <w:szCs w:val="24"/>
        </w:rPr>
        <w:t>(</w:t>
      </w:r>
      <w:r>
        <w:rPr>
          <w:rFonts w:ascii="宋体" w:hAnsi="宋体" w:eastAsia="宋体" w:cs="宋体"/>
          <w:spacing w:val="-10"/>
          <w:sz w:val="24"/>
          <w:szCs w:val="24"/>
        </w:rPr>
        <w:t>试行</w:t>
      </w:r>
      <w:r>
        <w:rPr>
          <w:rFonts w:ascii="Times New Roman" w:hAnsi="Times New Roman" w:eastAsia="Times New Roman" w:cs="Times New Roman"/>
          <w:spacing w:val="-10"/>
          <w:sz w:val="24"/>
          <w:szCs w:val="24"/>
        </w:rPr>
        <w:t>)</w:t>
      </w:r>
      <w:r>
        <w:rPr>
          <w:rFonts w:ascii="宋体" w:hAnsi="宋体" w:eastAsia="宋体" w:cs="宋体"/>
          <w:spacing w:val="-10"/>
          <w:sz w:val="24"/>
          <w:szCs w:val="24"/>
        </w:rPr>
        <w:t>》（</w:t>
      </w:r>
      <w:r>
        <w:rPr>
          <w:rFonts w:ascii="Times New Roman" w:hAnsi="Times New Roman" w:eastAsia="Times New Roman" w:cs="Times New Roman"/>
          <w:spacing w:val="-10"/>
          <w:sz w:val="24"/>
          <w:szCs w:val="24"/>
        </w:rPr>
        <w:t>HJ-BAT-10</w:t>
      </w:r>
      <w:r>
        <w:rPr>
          <w:rFonts w:ascii="宋体" w:hAnsi="宋体" w:eastAsia="宋体" w:cs="宋体"/>
          <w:spacing w:val="-15"/>
          <w:sz w:val="24"/>
          <w:szCs w:val="24"/>
        </w:rPr>
        <w:t>）；</w:t>
      </w:r>
    </w:p>
    <w:p w14:paraId="699A9445">
      <w:pPr>
        <w:spacing w:before="192" w:line="218" w:lineRule="auto"/>
        <w:ind w:left="561"/>
        <w:rPr>
          <w:rFonts w:ascii="宋体" w:hAnsi="宋体" w:eastAsia="宋体" w:cs="宋体"/>
          <w:sz w:val="24"/>
          <w:szCs w:val="24"/>
        </w:rPr>
      </w:pPr>
      <w:r>
        <w:rPr>
          <w:rFonts w:ascii="宋体" w:hAnsi="宋体" w:eastAsia="宋体" w:cs="宋体"/>
          <w:spacing w:val="-2"/>
          <w:sz w:val="24"/>
          <w:szCs w:val="24"/>
        </w:rPr>
        <w:t>(23)</w:t>
      </w:r>
      <w:r>
        <w:rPr>
          <w:rFonts w:ascii="宋体" w:hAnsi="宋体" w:eastAsia="宋体" w:cs="宋体"/>
          <w:spacing w:val="-53"/>
          <w:sz w:val="24"/>
          <w:szCs w:val="24"/>
        </w:rPr>
        <w:t xml:space="preserve"> </w:t>
      </w:r>
      <w:r>
        <w:rPr>
          <w:rFonts w:ascii="宋体" w:hAnsi="宋体" w:eastAsia="宋体" w:cs="宋体"/>
          <w:spacing w:val="-2"/>
          <w:sz w:val="24"/>
          <w:szCs w:val="24"/>
        </w:rPr>
        <w:t>《畜禽养殖产地环境评价规范》（</w:t>
      </w:r>
      <w:r>
        <w:rPr>
          <w:rFonts w:ascii="Times New Roman" w:hAnsi="Times New Roman" w:eastAsia="Times New Roman" w:cs="Times New Roman"/>
          <w:spacing w:val="-2"/>
          <w:sz w:val="24"/>
          <w:szCs w:val="24"/>
        </w:rPr>
        <w:t>HJ56</w:t>
      </w:r>
      <w:r>
        <w:rPr>
          <w:rFonts w:ascii="Times New Roman" w:hAnsi="Times New Roman" w:eastAsia="Times New Roman" w:cs="Times New Roman"/>
          <w:spacing w:val="-3"/>
          <w:sz w:val="24"/>
          <w:szCs w:val="24"/>
        </w:rPr>
        <w:t>8-2010</w:t>
      </w:r>
      <w:r>
        <w:rPr>
          <w:rFonts w:ascii="宋体" w:hAnsi="宋体" w:eastAsia="宋体" w:cs="宋体"/>
          <w:spacing w:val="-3"/>
          <w:sz w:val="24"/>
          <w:szCs w:val="24"/>
        </w:rPr>
        <w:t>）。</w:t>
      </w:r>
    </w:p>
    <w:p w14:paraId="4142C2C0">
      <w:pPr>
        <w:pStyle w:val="2"/>
        <w:spacing w:line="252" w:lineRule="auto"/>
      </w:pPr>
    </w:p>
    <w:p w14:paraId="047099B3">
      <w:pPr>
        <w:spacing w:before="98" w:line="220"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1.1.5  </w:t>
      </w:r>
      <w:r>
        <w:rPr>
          <w:rFonts w:ascii="宋体" w:hAnsi="宋体" w:eastAsia="宋体" w:cs="宋体"/>
          <w:b/>
          <w:bCs/>
          <w:spacing w:val="-3"/>
          <w:sz w:val="30"/>
          <w:szCs w:val="30"/>
        </w:rPr>
        <w:t>相关技术文件</w:t>
      </w:r>
    </w:p>
    <w:p w14:paraId="2B4C1D14">
      <w:pPr>
        <w:pStyle w:val="2"/>
        <w:spacing w:line="259" w:lineRule="auto"/>
      </w:pPr>
    </w:p>
    <w:p w14:paraId="6DCED799">
      <w:pPr>
        <w:spacing w:before="79" w:line="360" w:lineRule="auto"/>
        <w:ind w:left="42" w:right="47" w:firstLine="519"/>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29"/>
          <w:sz w:val="24"/>
          <w:szCs w:val="24"/>
        </w:rPr>
        <w:t xml:space="preserve"> </w:t>
      </w:r>
      <w:r>
        <w:rPr>
          <w:rFonts w:ascii="宋体" w:hAnsi="宋体" w:eastAsia="宋体" w:cs="宋体"/>
          <w:spacing w:val="-4"/>
          <w:sz w:val="24"/>
          <w:szCs w:val="24"/>
        </w:rPr>
        <w:t>东兴区发展和改革局出具《四川省固定资产投资项目备案表》（川投资</w:t>
      </w:r>
      <w:r>
        <w:rPr>
          <w:rFonts w:ascii="宋体" w:hAnsi="宋体" w:eastAsia="宋体" w:cs="宋体"/>
          <w:spacing w:val="-1"/>
          <w:sz w:val="24"/>
          <w:szCs w:val="24"/>
        </w:rPr>
        <w:t>备</w:t>
      </w:r>
      <w:r>
        <w:rPr>
          <w:rFonts w:ascii="Times New Roman" w:hAnsi="Times New Roman" w:eastAsia="Times New Roman" w:cs="Times New Roman"/>
          <w:spacing w:val="-1"/>
          <w:sz w:val="24"/>
          <w:szCs w:val="24"/>
        </w:rPr>
        <w:t>[</w:t>
      </w:r>
      <w:r>
        <w:fldChar w:fldCharType="begin"/>
      </w:r>
      <w:r>
        <w:instrText xml:space="preserve"> HYPERLINK \l "bookmark92" </w:instrText>
      </w:r>
      <w:r>
        <w:fldChar w:fldCharType="separate"/>
      </w:r>
      <w:r>
        <w:rPr>
          <w:rFonts w:ascii="Times New Roman" w:hAnsi="Times New Roman" w:eastAsia="Times New Roman" w:cs="Times New Roman"/>
          <w:spacing w:val="-1"/>
          <w:sz w:val="24"/>
          <w:szCs w:val="24"/>
        </w:rPr>
        <w:t>2201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fldChar w:fldCharType="begin"/>
      </w:r>
      <w:r>
        <w:instrText xml:space="preserve"> HYPERLINK \l "bookmark93" </w:instrText>
      </w:r>
      <w:r>
        <w:fldChar w:fldCharType="separate"/>
      </w:r>
      <w:r>
        <w:rPr>
          <w:rFonts w:ascii="Times New Roman" w:hAnsi="Times New Roman" w:eastAsia="Times New Roman" w:cs="Times New Roman"/>
          <w:spacing w:val="-1"/>
          <w:sz w:val="24"/>
          <w:szCs w:val="24"/>
        </w:rPr>
        <w:t>511011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fldChar w:fldCharType="begin"/>
      </w:r>
      <w:r>
        <w:instrText xml:space="preserve"> HYPERLINK \l "bookmark94" </w:instrText>
      </w:r>
      <w:r>
        <w:fldChar w:fldCharType="separate"/>
      </w:r>
      <w:r>
        <w:rPr>
          <w:rFonts w:ascii="Times New Roman" w:hAnsi="Times New Roman" w:eastAsia="Times New Roman" w:cs="Times New Roman"/>
          <w:spacing w:val="-1"/>
          <w:sz w:val="24"/>
          <w:szCs w:val="24"/>
        </w:rPr>
        <w:t>04</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fldChar w:fldCharType="begin"/>
      </w:r>
      <w:r>
        <w:instrText xml:space="preserve"> HYPERLINK \l "bookmark95" </w:instrText>
      </w:r>
      <w:r>
        <w:fldChar w:fldCharType="separate"/>
      </w:r>
      <w:r>
        <w:rPr>
          <w:rFonts w:ascii="Times New Roman" w:hAnsi="Times New Roman" w:eastAsia="Times New Roman" w:cs="Times New Roman"/>
          <w:spacing w:val="-1"/>
          <w:sz w:val="24"/>
          <w:szCs w:val="24"/>
        </w:rPr>
        <w:t>01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fldChar w:fldCharType="begin"/>
      </w:r>
      <w:r>
        <w:instrText xml:space="preserve"> HYPERLINK \l "bookmark96" </w:instrText>
      </w:r>
      <w:r>
        <w:fldChar w:fldCharType="separate"/>
      </w:r>
      <w:r>
        <w:rPr>
          <w:rFonts w:ascii="Times New Roman" w:hAnsi="Times New Roman" w:eastAsia="Times New Roman" w:cs="Times New Roman"/>
          <w:spacing w:val="-1"/>
          <w:sz w:val="24"/>
          <w:szCs w:val="24"/>
        </w:rPr>
        <w:t>803498</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]FGQB-0001</w:t>
      </w:r>
      <w:r>
        <w:rPr>
          <w:rFonts w:ascii="宋体" w:hAnsi="宋体" w:eastAsia="宋体" w:cs="宋体"/>
          <w:spacing w:val="-1"/>
          <w:sz w:val="24"/>
          <w:szCs w:val="24"/>
        </w:rPr>
        <w:t>号</w:t>
      </w:r>
      <w:r>
        <w:rPr>
          <w:rFonts w:ascii="宋体" w:hAnsi="宋体" w:eastAsia="宋体" w:cs="宋体"/>
          <w:spacing w:val="-8"/>
          <w:sz w:val="24"/>
          <w:szCs w:val="24"/>
        </w:rPr>
        <w:t>）；</w:t>
      </w:r>
    </w:p>
    <w:p w14:paraId="33B83A6E">
      <w:pPr>
        <w:spacing w:line="218" w:lineRule="auto"/>
        <w:ind w:left="561"/>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44"/>
          <w:sz w:val="24"/>
          <w:szCs w:val="24"/>
        </w:rPr>
        <w:t xml:space="preserve"> </w:t>
      </w:r>
      <w:r>
        <w:rPr>
          <w:rFonts w:ascii="宋体" w:hAnsi="宋体" w:eastAsia="宋体" w:cs="宋体"/>
          <w:spacing w:val="-8"/>
          <w:sz w:val="24"/>
          <w:szCs w:val="24"/>
        </w:rPr>
        <w:t>环境质量现状监测报告；</w:t>
      </w:r>
    </w:p>
    <w:p w14:paraId="510538B3">
      <w:pPr>
        <w:spacing w:before="184" w:line="219" w:lineRule="auto"/>
        <w:ind w:left="561"/>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38"/>
          <w:sz w:val="24"/>
          <w:szCs w:val="24"/>
        </w:rPr>
        <w:t xml:space="preserve"> </w:t>
      </w:r>
      <w:r>
        <w:rPr>
          <w:rFonts w:ascii="宋体" w:hAnsi="宋体" w:eastAsia="宋体" w:cs="宋体"/>
          <w:spacing w:val="-6"/>
          <w:sz w:val="24"/>
          <w:szCs w:val="24"/>
        </w:rPr>
        <w:t>双方签订的技术咨询合同书及委托书；</w:t>
      </w:r>
    </w:p>
    <w:p w14:paraId="5AC9E4CD">
      <w:pPr>
        <w:spacing w:before="184" w:line="219" w:lineRule="auto"/>
        <w:ind w:left="561"/>
        <w:rPr>
          <w:rFonts w:ascii="宋体" w:hAnsi="宋体" w:eastAsia="宋体" w:cs="宋体"/>
          <w:sz w:val="24"/>
          <w:szCs w:val="24"/>
        </w:rPr>
      </w:pPr>
      <w:r>
        <w:rPr>
          <w:rFonts w:ascii="宋体" w:hAnsi="宋体" w:eastAsia="宋体" w:cs="宋体"/>
          <w:spacing w:val="-5"/>
          <w:sz w:val="24"/>
          <w:szCs w:val="24"/>
        </w:rPr>
        <w:t>(4)</w:t>
      </w:r>
      <w:r>
        <w:rPr>
          <w:rFonts w:ascii="宋体" w:hAnsi="宋体" w:eastAsia="宋体" w:cs="宋体"/>
          <w:spacing w:val="-33"/>
          <w:sz w:val="24"/>
          <w:szCs w:val="24"/>
        </w:rPr>
        <w:t xml:space="preserve"> </w:t>
      </w:r>
      <w:r>
        <w:rPr>
          <w:rFonts w:ascii="宋体" w:hAnsi="宋体" w:eastAsia="宋体" w:cs="宋体"/>
          <w:spacing w:val="-5"/>
          <w:sz w:val="24"/>
          <w:szCs w:val="24"/>
        </w:rPr>
        <w:t>建设单位提供的其他相关工程技术资料。</w:t>
      </w:r>
    </w:p>
    <w:p w14:paraId="266142D0">
      <w:pPr>
        <w:spacing w:before="340" w:line="218" w:lineRule="auto"/>
        <w:ind w:left="51"/>
        <w:rPr>
          <w:rFonts w:ascii="宋体" w:hAnsi="宋体" w:eastAsia="宋体" w:cs="宋体"/>
          <w:sz w:val="32"/>
          <w:szCs w:val="32"/>
        </w:rPr>
      </w:pPr>
      <w:r>
        <w:rPr>
          <w:rFonts w:ascii="Times New Roman" w:hAnsi="Times New Roman" w:eastAsia="Times New Roman" w:cs="Times New Roman"/>
          <w:b/>
          <w:bCs/>
          <w:spacing w:val="-3"/>
          <w:sz w:val="32"/>
          <w:szCs w:val="32"/>
        </w:rPr>
        <w:t xml:space="preserve">1.2  </w:t>
      </w:r>
      <w:r>
        <w:rPr>
          <w:rFonts w:ascii="宋体" w:hAnsi="宋体" w:eastAsia="宋体" w:cs="宋体"/>
          <w:b/>
          <w:bCs/>
          <w:spacing w:val="-3"/>
          <w:sz w:val="32"/>
          <w:szCs w:val="32"/>
        </w:rPr>
        <w:t>评价因子与评价标准</w:t>
      </w:r>
    </w:p>
    <w:p w14:paraId="337FD0AA">
      <w:pPr>
        <w:pStyle w:val="2"/>
        <w:spacing w:line="278" w:lineRule="auto"/>
      </w:pPr>
    </w:p>
    <w:p w14:paraId="3FB486F9">
      <w:pPr>
        <w:spacing w:before="98" w:line="218"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1.2.1  </w:t>
      </w:r>
      <w:r>
        <w:rPr>
          <w:rFonts w:ascii="宋体" w:hAnsi="宋体" w:eastAsia="宋体" w:cs="宋体"/>
          <w:b/>
          <w:bCs/>
          <w:spacing w:val="-3"/>
          <w:sz w:val="30"/>
          <w:szCs w:val="30"/>
        </w:rPr>
        <w:t>评价因子</w:t>
      </w:r>
    </w:p>
    <w:p w14:paraId="3D773CDB">
      <w:pPr>
        <w:pStyle w:val="2"/>
        <w:spacing w:line="262" w:lineRule="auto"/>
      </w:pPr>
    </w:p>
    <w:p w14:paraId="2DDBE954">
      <w:pPr>
        <w:spacing w:before="78" w:line="218" w:lineRule="auto"/>
        <w:ind w:left="479"/>
        <w:rPr>
          <w:rFonts w:ascii="宋体" w:hAnsi="宋体" w:eastAsia="宋体" w:cs="宋体"/>
          <w:sz w:val="24"/>
          <w:szCs w:val="24"/>
        </w:rPr>
      </w:pPr>
      <w:r>
        <w:rPr>
          <w:rFonts w:ascii="宋体" w:hAnsi="宋体" w:eastAsia="宋体" w:cs="宋体"/>
          <w:spacing w:val="-2"/>
          <w:sz w:val="24"/>
          <w:szCs w:val="24"/>
        </w:rPr>
        <w:t>根据本项目特点，确定环境影响评价要素及评价因子见下表。</w:t>
      </w:r>
    </w:p>
    <w:p w14:paraId="7497F1FF">
      <w:pPr>
        <w:spacing w:before="144" w:line="222" w:lineRule="auto"/>
        <w:ind w:left="266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1.2-1  </w:t>
      </w:r>
      <w:r>
        <w:rPr>
          <w:rFonts w:ascii="黑体" w:hAnsi="黑体" w:eastAsia="黑体" w:cs="黑体"/>
          <w:spacing w:val="-1"/>
          <w:sz w:val="21"/>
          <w:szCs w:val="21"/>
        </w:rPr>
        <w:t>环境影响评价因子一览表</w:t>
      </w:r>
    </w:p>
    <w:p w14:paraId="1B3A2E53">
      <w:pPr>
        <w:spacing w:line="32"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2"/>
        <w:gridCol w:w="1274"/>
        <w:gridCol w:w="5479"/>
      </w:tblGrid>
      <w:tr w14:paraId="6FA10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5" w:type="dxa"/>
            <w:vAlign w:val="top"/>
          </w:tcPr>
          <w:p w14:paraId="6CAF2B45">
            <w:pPr>
              <w:spacing w:before="68" w:line="221" w:lineRule="auto"/>
              <w:ind w:right="1"/>
              <w:jc w:val="right"/>
              <w:rPr>
                <w:rFonts w:ascii="宋体" w:hAnsi="宋体" w:eastAsia="宋体" w:cs="宋体"/>
                <w:sz w:val="21"/>
                <w:szCs w:val="21"/>
              </w:rPr>
            </w:pPr>
            <w:r>
              <w:rPr>
                <w:rFonts w:ascii="宋体" w:hAnsi="宋体" w:eastAsia="宋体" w:cs="宋体"/>
                <w:spacing w:val="-2"/>
                <w:sz w:val="21"/>
                <w:szCs w:val="21"/>
              </w:rPr>
              <w:t>序号</w:t>
            </w:r>
          </w:p>
        </w:tc>
        <w:tc>
          <w:tcPr>
            <w:tcW w:w="2406" w:type="dxa"/>
            <w:gridSpan w:val="2"/>
            <w:vAlign w:val="top"/>
          </w:tcPr>
          <w:p w14:paraId="6C2ED423">
            <w:pPr>
              <w:spacing w:before="68" w:line="220" w:lineRule="auto"/>
              <w:ind w:left="787"/>
              <w:rPr>
                <w:rFonts w:ascii="宋体" w:hAnsi="宋体" w:eastAsia="宋体" w:cs="宋体"/>
                <w:sz w:val="21"/>
                <w:szCs w:val="21"/>
              </w:rPr>
            </w:pPr>
            <w:r>
              <w:rPr>
                <w:rFonts w:ascii="宋体" w:hAnsi="宋体" w:eastAsia="宋体" w:cs="宋体"/>
                <w:spacing w:val="-2"/>
                <w:sz w:val="21"/>
                <w:szCs w:val="21"/>
              </w:rPr>
              <w:t>环境要素</w:t>
            </w:r>
          </w:p>
        </w:tc>
        <w:tc>
          <w:tcPr>
            <w:tcW w:w="5479" w:type="dxa"/>
            <w:vAlign w:val="top"/>
          </w:tcPr>
          <w:p w14:paraId="78C50590">
            <w:pPr>
              <w:spacing w:before="69" w:line="218" w:lineRule="auto"/>
              <w:ind w:left="2322"/>
              <w:rPr>
                <w:rFonts w:ascii="宋体" w:hAnsi="宋体" w:eastAsia="宋体" w:cs="宋体"/>
                <w:sz w:val="21"/>
                <w:szCs w:val="21"/>
              </w:rPr>
            </w:pPr>
            <w:r>
              <w:rPr>
                <w:rFonts w:ascii="宋体" w:hAnsi="宋体" w:eastAsia="宋体" w:cs="宋体"/>
                <w:spacing w:val="-2"/>
                <w:sz w:val="21"/>
                <w:szCs w:val="21"/>
              </w:rPr>
              <w:t>评价因子</w:t>
            </w:r>
          </w:p>
        </w:tc>
      </w:tr>
      <w:tr w14:paraId="73523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dxa"/>
            <w:vMerge w:val="restart"/>
            <w:tcBorders>
              <w:bottom w:val="nil"/>
            </w:tcBorders>
            <w:vAlign w:val="top"/>
          </w:tcPr>
          <w:p w14:paraId="1A3A8B7B">
            <w:pPr>
              <w:pStyle w:val="6"/>
              <w:spacing w:before="276" w:line="188" w:lineRule="auto"/>
              <w:ind w:left="187"/>
            </w:pPr>
            <w:r>
              <w:t>1</w:t>
            </w:r>
          </w:p>
        </w:tc>
        <w:tc>
          <w:tcPr>
            <w:tcW w:w="1132" w:type="dxa"/>
            <w:vMerge w:val="restart"/>
            <w:tcBorders>
              <w:bottom w:val="nil"/>
            </w:tcBorders>
            <w:vAlign w:val="top"/>
          </w:tcPr>
          <w:p w14:paraId="6D674F61">
            <w:pPr>
              <w:spacing w:before="239" w:line="220" w:lineRule="auto"/>
              <w:ind w:left="150"/>
              <w:rPr>
                <w:rFonts w:ascii="宋体" w:hAnsi="宋体" w:eastAsia="宋体" w:cs="宋体"/>
                <w:sz w:val="21"/>
                <w:szCs w:val="21"/>
              </w:rPr>
            </w:pPr>
            <w:r>
              <w:rPr>
                <w:rFonts w:ascii="宋体" w:hAnsi="宋体" w:eastAsia="宋体" w:cs="宋体"/>
                <w:spacing w:val="-2"/>
                <w:sz w:val="21"/>
                <w:szCs w:val="21"/>
              </w:rPr>
              <w:t>环境空气</w:t>
            </w:r>
          </w:p>
        </w:tc>
        <w:tc>
          <w:tcPr>
            <w:tcW w:w="1274" w:type="dxa"/>
            <w:vAlign w:val="top"/>
          </w:tcPr>
          <w:p w14:paraId="300A9B4D">
            <w:pPr>
              <w:spacing w:before="65" w:line="218" w:lineRule="auto"/>
              <w:ind w:left="12"/>
              <w:rPr>
                <w:rFonts w:ascii="宋体" w:hAnsi="宋体" w:eastAsia="宋体" w:cs="宋体"/>
                <w:sz w:val="21"/>
                <w:szCs w:val="21"/>
              </w:rPr>
            </w:pPr>
            <w:r>
              <w:rPr>
                <w:rFonts w:ascii="宋体" w:hAnsi="宋体" w:eastAsia="宋体" w:cs="宋体"/>
                <w:spacing w:val="-2"/>
                <w:sz w:val="21"/>
                <w:szCs w:val="21"/>
              </w:rPr>
              <w:t>现状评价因子</w:t>
            </w:r>
          </w:p>
        </w:tc>
        <w:tc>
          <w:tcPr>
            <w:tcW w:w="5479" w:type="dxa"/>
            <w:vAlign w:val="top"/>
          </w:tcPr>
          <w:p w14:paraId="59D04D22">
            <w:pPr>
              <w:pStyle w:val="6"/>
              <w:spacing w:before="65" w:line="221" w:lineRule="auto"/>
              <w:ind w:left="5"/>
              <w:rPr>
                <w:rFonts w:ascii="宋体" w:hAnsi="宋体" w:eastAsia="宋体" w:cs="宋体"/>
              </w:rPr>
            </w:pPr>
            <w:r>
              <w:rPr>
                <w:spacing w:val="-5"/>
              </w:rPr>
              <w:t>PM</w:t>
            </w:r>
            <w:r>
              <w:rPr>
                <w:spacing w:val="-5"/>
                <w:position w:val="-2"/>
                <w:sz w:val="14"/>
                <w:szCs w:val="14"/>
              </w:rPr>
              <w:t>10</w:t>
            </w:r>
            <w:r>
              <w:rPr>
                <w:spacing w:val="-6"/>
                <w:position w:val="-2"/>
                <w:sz w:val="14"/>
                <w:szCs w:val="14"/>
              </w:rPr>
              <w:t xml:space="preserve"> </w:t>
            </w:r>
            <w:r>
              <w:rPr>
                <w:rFonts w:ascii="宋体" w:hAnsi="宋体" w:eastAsia="宋体" w:cs="宋体"/>
                <w:spacing w:val="-5"/>
              </w:rPr>
              <w:t>、</w:t>
            </w:r>
            <w:r>
              <w:rPr>
                <w:spacing w:val="-5"/>
              </w:rPr>
              <w:t>PM</w:t>
            </w:r>
            <w:r>
              <w:rPr>
                <w:spacing w:val="-5"/>
                <w:position w:val="-2"/>
                <w:sz w:val="14"/>
                <w:szCs w:val="14"/>
              </w:rPr>
              <w:t>2.5</w:t>
            </w:r>
            <w:r>
              <w:rPr>
                <w:spacing w:val="-13"/>
                <w:position w:val="-2"/>
                <w:sz w:val="14"/>
                <w:szCs w:val="14"/>
              </w:rPr>
              <w:t xml:space="preserve"> </w:t>
            </w:r>
            <w:r>
              <w:rPr>
                <w:rFonts w:ascii="宋体" w:hAnsi="宋体" w:eastAsia="宋体" w:cs="宋体"/>
                <w:spacing w:val="-5"/>
              </w:rPr>
              <w:t>、</w:t>
            </w:r>
            <w:r>
              <w:rPr>
                <w:spacing w:val="-5"/>
              </w:rPr>
              <w:t>SO</w:t>
            </w:r>
            <w:r>
              <w:rPr>
                <w:spacing w:val="-5"/>
                <w:position w:val="-2"/>
                <w:sz w:val="14"/>
                <w:szCs w:val="14"/>
              </w:rPr>
              <w:t>2</w:t>
            </w:r>
            <w:r>
              <w:rPr>
                <w:spacing w:val="-11"/>
                <w:position w:val="-2"/>
                <w:sz w:val="14"/>
                <w:szCs w:val="14"/>
              </w:rPr>
              <w:t xml:space="preserve"> </w:t>
            </w:r>
            <w:r>
              <w:rPr>
                <w:rFonts w:ascii="宋体" w:hAnsi="宋体" w:eastAsia="宋体" w:cs="宋体"/>
                <w:spacing w:val="-5"/>
              </w:rPr>
              <w:t>、</w:t>
            </w:r>
            <w:r>
              <w:rPr>
                <w:spacing w:val="-5"/>
              </w:rPr>
              <w:t>NO</w:t>
            </w:r>
            <w:r>
              <w:rPr>
                <w:spacing w:val="-5"/>
                <w:position w:val="-2"/>
                <w:sz w:val="14"/>
                <w:szCs w:val="14"/>
              </w:rPr>
              <w:t>2</w:t>
            </w:r>
            <w:r>
              <w:rPr>
                <w:spacing w:val="-12"/>
                <w:position w:val="-2"/>
                <w:sz w:val="14"/>
                <w:szCs w:val="14"/>
              </w:rPr>
              <w:t xml:space="preserve"> </w:t>
            </w:r>
            <w:r>
              <w:rPr>
                <w:rFonts w:ascii="宋体" w:hAnsi="宋体" w:eastAsia="宋体" w:cs="宋体"/>
                <w:spacing w:val="-5"/>
              </w:rPr>
              <w:t>、</w:t>
            </w:r>
            <w:r>
              <w:rPr>
                <w:spacing w:val="-5"/>
              </w:rPr>
              <w:t>CO</w:t>
            </w:r>
            <w:r>
              <w:rPr>
                <w:spacing w:val="-30"/>
              </w:rPr>
              <w:t xml:space="preserve"> </w:t>
            </w:r>
            <w:r>
              <w:rPr>
                <w:rFonts w:ascii="宋体" w:hAnsi="宋体" w:eastAsia="宋体" w:cs="宋体"/>
                <w:spacing w:val="-5"/>
              </w:rPr>
              <w:t>、</w:t>
            </w:r>
            <w:r>
              <w:rPr>
                <w:spacing w:val="-5"/>
              </w:rPr>
              <w:t>O</w:t>
            </w:r>
            <w:r>
              <w:rPr>
                <w:spacing w:val="-5"/>
                <w:position w:val="-2"/>
                <w:sz w:val="14"/>
                <w:szCs w:val="14"/>
              </w:rPr>
              <w:t>3</w:t>
            </w:r>
            <w:r>
              <w:rPr>
                <w:spacing w:val="-9"/>
                <w:position w:val="-2"/>
                <w:sz w:val="14"/>
                <w:szCs w:val="14"/>
              </w:rPr>
              <w:t xml:space="preserve"> </w:t>
            </w:r>
            <w:r>
              <w:rPr>
                <w:rFonts w:ascii="宋体" w:hAnsi="宋体" w:eastAsia="宋体" w:cs="宋体"/>
                <w:spacing w:val="-5"/>
              </w:rPr>
              <w:t>，</w:t>
            </w:r>
            <w:r>
              <w:rPr>
                <w:spacing w:val="-5"/>
              </w:rPr>
              <w:t>H</w:t>
            </w:r>
            <w:r>
              <w:rPr>
                <w:spacing w:val="-5"/>
                <w:position w:val="-2"/>
                <w:sz w:val="14"/>
                <w:szCs w:val="14"/>
              </w:rPr>
              <w:t>2</w:t>
            </w:r>
            <w:r>
              <w:rPr>
                <w:spacing w:val="-5"/>
              </w:rPr>
              <w:t>S</w:t>
            </w:r>
            <w:r>
              <w:rPr>
                <w:spacing w:val="-30"/>
              </w:rPr>
              <w:t xml:space="preserve"> </w:t>
            </w:r>
            <w:r>
              <w:rPr>
                <w:rFonts w:ascii="宋体" w:hAnsi="宋体" w:eastAsia="宋体" w:cs="宋体"/>
                <w:spacing w:val="-5"/>
              </w:rPr>
              <w:t>、</w:t>
            </w:r>
            <w:r>
              <w:rPr>
                <w:spacing w:val="-5"/>
              </w:rPr>
              <w:t>NH</w:t>
            </w:r>
            <w:r>
              <w:rPr>
                <w:spacing w:val="-5"/>
                <w:position w:val="-2"/>
                <w:sz w:val="14"/>
                <w:szCs w:val="14"/>
              </w:rPr>
              <w:t>3</w:t>
            </w:r>
            <w:r>
              <w:rPr>
                <w:rFonts w:ascii="宋体" w:hAnsi="宋体" w:eastAsia="宋体" w:cs="宋体"/>
                <w:spacing w:val="-5"/>
              </w:rPr>
              <w:t>、臭气浓度</w:t>
            </w:r>
          </w:p>
        </w:tc>
      </w:tr>
      <w:tr w14:paraId="78CCD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dxa"/>
            <w:vMerge w:val="continue"/>
            <w:tcBorders>
              <w:top w:val="nil"/>
            </w:tcBorders>
            <w:vAlign w:val="top"/>
          </w:tcPr>
          <w:p w14:paraId="67881252">
            <w:pPr>
              <w:rPr>
                <w:rFonts w:ascii="Arial"/>
                <w:sz w:val="21"/>
              </w:rPr>
            </w:pPr>
          </w:p>
        </w:tc>
        <w:tc>
          <w:tcPr>
            <w:tcW w:w="1132" w:type="dxa"/>
            <w:vMerge w:val="continue"/>
            <w:tcBorders>
              <w:top w:val="nil"/>
            </w:tcBorders>
            <w:vAlign w:val="top"/>
          </w:tcPr>
          <w:p w14:paraId="74160661">
            <w:pPr>
              <w:rPr>
                <w:rFonts w:ascii="Arial"/>
                <w:sz w:val="21"/>
              </w:rPr>
            </w:pPr>
          </w:p>
        </w:tc>
        <w:tc>
          <w:tcPr>
            <w:tcW w:w="1274" w:type="dxa"/>
            <w:vAlign w:val="top"/>
          </w:tcPr>
          <w:p w14:paraId="4C173204">
            <w:pPr>
              <w:spacing w:before="65" w:line="220" w:lineRule="auto"/>
              <w:ind w:left="10"/>
              <w:rPr>
                <w:rFonts w:ascii="宋体" w:hAnsi="宋体" w:eastAsia="宋体" w:cs="宋体"/>
                <w:sz w:val="21"/>
                <w:szCs w:val="21"/>
              </w:rPr>
            </w:pPr>
            <w:r>
              <w:rPr>
                <w:rFonts w:ascii="宋体" w:hAnsi="宋体" w:eastAsia="宋体" w:cs="宋体"/>
                <w:spacing w:val="-2"/>
                <w:sz w:val="21"/>
                <w:szCs w:val="21"/>
              </w:rPr>
              <w:t>影响预测因子</w:t>
            </w:r>
          </w:p>
        </w:tc>
        <w:tc>
          <w:tcPr>
            <w:tcW w:w="5479" w:type="dxa"/>
            <w:vAlign w:val="top"/>
          </w:tcPr>
          <w:p w14:paraId="22961CF4">
            <w:pPr>
              <w:pStyle w:val="6"/>
              <w:spacing w:before="101" w:line="189" w:lineRule="auto"/>
              <w:ind w:left="5"/>
              <w:rPr>
                <w:sz w:val="14"/>
                <w:szCs w:val="14"/>
              </w:rPr>
            </w:pPr>
            <w:r>
              <w:rPr>
                <w:spacing w:val="-4"/>
              </w:rPr>
              <w:t>H</w:t>
            </w:r>
            <w:r>
              <w:rPr>
                <w:spacing w:val="-4"/>
                <w:position w:val="-2"/>
                <w:sz w:val="14"/>
                <w:szCs w:val="14"/>
              </w:rPr>
              <w:t>2</w:t>
            </w:r>
            <w:r>
              <w:rPr>
                <w:spacing w:val="-4"/>
              </w:rPr>
              <w:t>S</w:t>
            </w:r>
            <w:r>
              <w:rPr>
                <w:spacing w:val="-30"/>
              </w:rPr>
              <w:t xml:space="preserve"> </w:t>
            </w:r>
            <w:r>
              <w:rPr>
                <w:rFonts w:ascii="宋体" w:hAnsi="宋体" w:eastAsia="宋体" w:cs="宋体"/>
                <w:spacing w:val="-4"/>
              </w:rPr>
              <w:t>、</w:t>
            </w:r>
            <w:r>
              <w:rPr>
                <w:spacing w:val="-4"/>
              </w:rPr>
              <w:t>NH</w:t>
            </w:r>
            <w:r>
              <w:rPr>
                <w:spacing w:val="-4"/>
                <w:position w:val="-2"/>
                <w:sz w:val="14"/>
                <w:szCs w:val="14"/>
              </w:rPr>
              <w:t>3</w:t>
            </w:r>
          </w:p>
        </w:tc>
      </w:tr>
      <w:tr w14:paraId="04430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dxa"/>
            <w:vMerge w:val="restart"/>
            <w:tcBorders>
              <w:bottom w:val="nil"/>
            </w:tcBorders>
            <w:vAlign w:val="top"/>
          </w:tcPr>
          <w:p w14:paraId="5A25280A">
            <w:pPr>
              <w:pStyle w:val="6"/>
              <w:spacing w:before="277" w:line="188" w:lineRule="auto"/>
              <w:ind w:left="167"/>
            </w:pPr>
            <w:r>
              <w:t>2</w:t>
            </w:r>
          </w:p>
        </w:tc>
        <w:tc>
          <w:tcPr>
            <w:tcW w:w="1132" w:type="dxa"/>
            <w:vMerge w:val="restart"/>
            <w:tcBorders>
              <w:bottom w:val="nil"/>
            </w:tcBorders>
            <w:vAlign w:val="top"/>
          </w:tcPr>
          <w:p w14:paraId="3C4B52E8">
            <w:pPr>
              <w:spacing w:before="240" w:line="220" w:lineRule="auto"/>
              <w:ind w:left="44"/>
              <w:rPr>
                <w:rFonts w:ascii="宋体" w:hAnsi="宋体" w:eastAsia="宋体" w:cs="宋体"/>
                <w:sz w:val="21"/>
                <w:szCs w:val="21"/>
              </w:rPr>
            </w:pPr>
            <w:r>
              <w:rPr>
                <w:rFonts w:ascii="宋体" w:hAnsi="宋体" w:eastAsia="宋体" w:cs="宋体"/>
                <w:spacing w:val="-2"/>
                <w:sz w:val="21"/>
                <w:szCs w:val="21"/>
              </w:rPr>
              <w:t>地表水环境</w:t>
            </w:r>
          </w:p>
        </w:tc>
        <w:tc>
          <w:tcPr>
            <w:tcW w:w="1274" w:type="dxa"/>
            <w:vAlign w:val="top"/>
          </w:tcPr>
          <w:p w14:paraId="1D2E9CF9">
            <w:pPr>
              <w:spacing w:before="66" w:line="218" w:lineRule="auto"/>
              <w:ind w:left="12"/>
              <w:rPr>
                <w:rFonts w:ascii="宋体" w:hAnsi="宋体" w:eastAsia="宋体" w:cs="宋体"/>
                <w:sz w:val="21"/>
                <w:szCs w:val="21"/>
              </w:rPr>
            </w:pPr>
            <w:r>
              <w:rPr>
                <w:rFonts w:ascii="宋体" w:hAnsi="宋体" w:eastAsia="宋体" w:cs="宋体"/>
                <w:spacing w:val="-2"/>
                <w:sz w:val="21"/>
                <w:szCs w:val="21"/>
              </w:rPr>
              <w:t>现状评价因子</w:t>
            </w:r>
          </w:p>
        </w:tc>
        <w:tc>
          <w:tcPr>
            <w:tcW w:w="5479" w:type="dxa"/>
            <w:vAlign w:val="top"/>
          </w:tcPr>
          <w:p w14:paraId="21A477F8">
            <w:pPr>
              <w:pStyle w:val="6"/>
              <w:spacing w:before="66" w:line="212" w:lineRule="auto"/>
              <w:ind w:left="1"/>
            </w:pPr>
            <w:r>
              <w:rPr>
                <w:spacing w:val="-2"/>
              </w:rPr>
              <w:t>pH</w:t>
            </w:r>
            <w:r>
              <w:rPr>
                <w:spacing w:val="-18"/>
              </w:rPr>
              <w:t xml:space="preserve"> </w:t>
            </w:r>
            <w:r>
              <w:rPr>
                <w:rFonts w:ascii="宋体" w:hAnsi="宋体" w:eastAsia="宋体" w:cs="宋体"/>
                <w:spacing w:val="-2"/>
              </w:rPr>
              <w:t>、</w:t>
            </w:r>
            <w:r>
              <w:rPr>
                <w:spacing w:val="-2"/>
              </w:rPr>
              <w:t>COD</w:t>
            </w:r>
            <w:r>
              <w:rPr>
                <w:spacing w:val="-30"/>
              </w:rPr>
              <w:t xml:space="preserve"> </w:t>
            </w:r>
            <w:r>
              <w:rPr>
                <w:rFonts w:ascii="宋体" w:hAnsi="宋体" w:eastAsia="宋体" w:cs="宋体"/>
                <w:spacing w:val="-2"/>
              </w:rPr>
              <w:t>、</w:t>
            </w:r>
            <w:r>
              <w:rPr>
                <w:spacing w:val="-2"/>
              </w:rPr>
              <w:t>BOD</w:t>
            </w:r>
            <w:r>
              <w:rPr>
                <w:spacing w:val="-2"/>
                <w:position w:val="-2"/>
                <w:sz w:val="14"/>
                <w:szCs w:val="14"/>
              </w:rPr>
              <w:t>5</w:t>
            </w:r>
            <w:r>
              <w:rPr>
                <w:rFonts w:ascii="宋体" w:hAnsi="宋体" w:eastAsia="宋体" w:cs="宋体"/>
                <w:spacing w:val="-2"/>
              </w:rPr>
              <w:t>、氨氮、</w:t>
            </w:r>
            <w:r>
              <w:rPr>
                <w:spacing w:val="-2"/>
              </w:rPr>
              <w:t>TP</w:t>
            </w:r>
            <w:r>
              <w:rPr>
                <w:rFonts w:ascii="宋体" w:hAnsi="宋体" w:eastAsia="宋体" w:cs="宋体"/>
                <w:spacing w:val="-2"/>
              </w:rPr>
              <w:t>、粪大肠菌群、</w:t>
            </w:r>
            <w:r>
              <w:rPr>
                <w:spacing w:val="-2"/>
              </w:rPr>
              <w:t>SS</w:t>
            </w:r>
          </w:p>
        </w:tc>
      </w:tr>
      <w:tr w14:paraId="45545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dxa"/>
            <w:vMerge w:val="continue"/>
            <w:tcBorders>
              <w:top w:val="nil"/>
            </w:tcBorders>
            <w:vAlign w:val="top"/>
          </w:tcPr>
          <w:p w14:paraId="48E5391D">
            <w:pPr>
              <w:rPr>
                <w:rFonts w:ascii="Arial"/>
                <w:sz w:val="21"/>
              </w:rPr>
            </w:pPr>
          </w:p>
        </w:tc>
        <w:tc>
          <w:tcPr>
            <w:tcW w:w="1132" w:type="dxa"/>
            <w:vMerge w:val="continue"/>
            <w:tcBorders>
              <w:top w:val="nil"/>
            </w:tcBorders>
            <w:vAlign w:val="top"/>
          </w:tcPr>
          <w:p w14:paraId="703220DB">
            <w:pPr>
              <w:rPr>
                <w:rFonts w:ascii="Arial"/>
                <w:sz w:val="21"/>
              </w:rPr>
            </w:pPr>
          </w:p>
        </w:tc>
        <w:tc>
          <w:tcPr>
            <w:tcW w:w="1274" w:type="dxa"/>
            <w:vAlign w:val="top"/>
          </w:tcPr>
          <w:p w14:paraId="3A92D928">
            <w:pPr>
              <w:spacing w:before="66" w:line="220" w:lineRule="auto"/>
              <w:ind w:left="10"/>
              <w:rPr>
                <w:rFonts w:ascii="宋体" w:hAnsi="宋体" w:eastAsia="宋体" w:cs="宋体"/>
                <w:sz w:val="21"/>
                <w:szCs w:val="21"/>
              </w:rPr>
            </w:pPr>
            <w:r>
              <w:rPr>
                <w:rFonts w:ascii="宋体" w:hAnsi="宋体" w:eastAsia="宋体" w:cs="宋体"/>
                <w:spacing w:val="-2"/>
                <w:sz w:val="21"/>
                <w:szCs w:val="21"/>
              </w:rPr>
              <w:t>影响预测因子</w:t>
            </w:r>
          </w:p>
        </w:tc>
        <w:tc>
          <w:tcPr>
            <w:tcW w:w="5479" w:type="dxa"/>
            <w:vAlign w:val="top"/>
          </w:tcPr>
          <w:p w14:paraId="581787F9">
            <w:pPr>
              <w:spacing w:before="66" w:line="220" w:lineRule="auto"/>
              <w:ind w:left="11"/>
              <w:rPr>
                <w:rFonts w:ascii="宋体" w:hAnsi="宋体" w:eastAsia="宋体" w:cs="宋体"/>
                <w:sz w:val="21"/>
                <w:szCs w:val="21"/>
              </w:rPr>
            </w:pPr>
            <w:r>
              <w:rPr>
                <w:rFonts w:ascii="宋体" w:hAnsi="宋体" w:eastAsia="宋体" w:cs="宋体"/>
                <w:sz w:val="21"/>
                <w:szCs w:val="21"/>
              </w:rPr>
              <w:t>无</w:t>
            </w:r>
          </w:p>
        </w:tc>
      </w:tr>
      <w:tr w14:paraId="7A974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35" w:type="dxa"/>
            <w:vMerge w:val="restart"/>
            <w:tcBorders>
              <w:bottom w:val="nil"/>
            </w:tcBorders>
            <w:vAlign w:val="top"/>
          </w:tcPr>
          <w:p w14:paraId="7C1DE4A4">
            <w:pPr>
              <w:spacing w:line="333" w:lineRule="auto"/>
              <w:rPr>
                <w:rFonts w:ascii="Arial"/>
                <w:sz w:val="21"/>
              </w:rPr>
            </w:pPr>
          </w:p>
          <w:p w14:paraId="1A87DA80">
            <w:pPr>
              <w:spacing w:line="334" w:lineRule="auto"/>
              <w:rPr>
                <w:rFonts w:ascii="Arial"/>
                <w:sz w:val="21"/>
              </w:rPr>
            </w:pPr>
          </w:p>
          <w:p w14:paraId="09790E44">
            <w:pPr>
              <w:pStyle w:val="6"/>
              <w:spacing w:before="60" w:line="188" w:lineRule="auto"/>
              <w:ind w:left="171"/>
            </w:pPr>
            <w:r>
              <w:t>3</w:t>
            </w:r>
          </w:p>
        </w:tc>
        <w:tc>
          <w:tcPr>
            <w:tcW w:w="1132" w:type="dxa"/>
            <w:vMerge w:val="restart"/>
            <w:tcBorders>
              <w:bottom w:val="nil"/>
            </w:tcBorders>
            <w:vAlign w:val="top"/>
          </w:tcPr>
          <w:p w14:paraId="54715EB7">
            <w:pPr>
              <w:spacing w:line="311" w:lineRule="auto"/>
              <w:rPr>
                <w:rFonts w:ascii="Arial"/>
                <w:sz w:val="21"/>
              </w:rPr>
            </w:pPr>
          </w:p>
          <w:p w14:paraId="299242B2">
            <w:pPr>
              <w:spacing w:line="311" w:lineRule="auto"/>
              <w:rPr>
                <w:rFonts w:ascii="Arial"/>
                <w:sz w:val="21"/>
              </w:rPr>
            </w:pPr>
          </w:p>
          <w:p w14:paraId="2EDE7D3C">
            <w:pPr>
              <w:spacing w:before="69" w:line="220" w:lineRule="auto"/>
              <w:ind w:left="44"/>
              <w:rPr>
                <w:rFonts w:ascii="宋体" w:hAnsi="宋体" w:eastAsia="宋体" w:cs="宋体"/>
                <w:sz w:val="21"/>
                <w:szCs w:val="21"/>
              </w:rPr>
            </w:pPr>
            <w:r>
              <w:rPr>
                <w:rFonts w:ascii="宋体" w:hAnsi="宋体" w:eastAsia="宋体" w:cs="宋体"/>
                <w:spacing w:val="-2"/>
                <w:sz w:val="21"/>
                <w:szCs w:val="21"/>
              </w:rPr>
              <w:t>地下水环境</w:t>
            </w:r>
          </w:p>
        </w:tc>
        <w:tc>
          <w:tcPr>
            <w:tcW w:w="1274" w:type="dxa"/>
            <w:vAlign w:val="top"/>
          </w:tcPr>
          <w:p w14:paraId="10E549B1">
            <w:pPr>
              <w:spacing w:line="450" w:lineRule="auto"/>
              <w:rPr>
                <w:rFonts w:ascii="Arial"/>
                <w:sz w:val="21"/>
              </w:rPr>
            </w:pPr>
          </w:p>
          <w:p w14:paraId="248737C5">
            <w:pPr>
              <w:spacing w:before="68" w:line="218" w:lineRule="auto"/>
              <w:ind w:left="12"/>
              <w:rPr>
                <w:rFonts w:ascii="宋体" w:hAnsi="宋体" w:eastAsia="宋体" w:cs="宋体"/>
                <w:sz w:val="21"/>
                <w:szCs w:val="21"/>
              </w:rPr>
            </w:pPr>
            <w:r>
              <w:rPr>
                <w:rFonts w:ascii="宋体" w:hAnsi="宋体" w:eastAsia="宋体" w:cs="宋体"/>
                <w:spacing w:val="-2"/>
                <w:sz w:val="21"/>
                <w:szCs w:val="21"/>
              </w:rPr>
              <w:t>现状评价因子</w:t>
            </w:r>
          </w:p>
        </w:tc>
        <w:tc>
          <w:tcPr>
            <w:tcW w:w="5479" w:type="dxa"/>
            <w:vAlign w:val="top"/>
          </w:tcPr>
          <w:p w14:paraId="4EE6E901">
            <w:pPr>
              <w:pStyle w:val="6"/>
              <w:spacing w:before="36" w:line="263" w:lineRule="auto"/>
              <w:ind w:left="7" w:right="3" w:hanging="2"/>
              <w:jc w:val="both"/>
              <w:rPr>
                <w:rFonts w:ascii="宋体" w:hAnsi="宋体" w:eastAsia="宋体" w:cs="宋体"/>
              </w:rPr>
            </w:pPr>
            <w:r>
              <w:rPr>
                <w:spacing w:val="-3"/>
              </w:rPr>
              <w:t>K</w:t>
            </w:r>
            <w:r>
              <w:rPr>
                <w:spacing w:val="-3"/>
                <w:position w:val="9"/>
                <w:sz w:val="14"/>
                <w:szCs w:val="14"/>
              </w:rPr>
              <w:t>+</w:t>
            </w:r>
            <w:r>
              <w:rPr>
                <w:spacing w:val="-3"/>
              </w:rPr>
              <w:t>+Na</w:t>
            </w:r>
            <w:r>
              <w:rPr>
                <w:spacing w:val="-3"/>
                <w:position w:val="9"/>
                <w:sz w:val="14"/>
                <w:szCs w:val="14"/>
              </w:rPr>
              <w:t xml:space="preserve">+ </w:t>
            </w:r>
            <w:r>
              <w:rPr>
                <w:rFonts w:ascii="宋体" w:hAnsi="宋体" w:eastAsia="宋体" w:cs="宋体"/>
                <w:spacing w:val="-3"/>
              </w:rPr>
              <w:t>、</w:t>
            </w:r>
            <w:r>
              <w:rPr>
                <w:spacing w:val="-3"/>
              </w:rPr>
              <w:t>Ca</w:t>
            </w:r>
            <w:r>
              <w:rPr>
                <w:spacing w:val="-3"/>
                <w:position w:val="9"/>
                <w:sz w:val="14"/>
                <w:szCs w:val="14"/>
              </w:rPr>
              <w:t xml:space="preserve">2+ </w:t>
            </w:r>
            <w:r>
              <w:rPr>
                <w:rFonts w:ascii="宋体" w:hAnsi="宋体" w:eastAsia="宋体" w:cs="宋体"/>
                <w:spacing w:val="-3"/>
              </w:rPr>
              <w:t>、</w:t>
            </w:r>
            <w:r>
              <w:rPr>
                <w:spacing w:val="-3"/>
              </w:rPr>
              <w:t>Mg</w:t>
            </w:r>
            <w:r>
              <w:rPr>
                <w:spacing w:val="-3"/>
                <w:position w:val="9"/>
                <w:sz w:val="14"/>
                <w:szCs w:val="14"/>
              </w:rPr>
              <w:t>2+</w:t>
            </w:r>
            <w:r>
              <w:rPr>
                <w:spacing w:val="-7"/>
                <w:position w:val="9"/>
                <w:sz w:val="14"/>
                <w:szCs w:val="14"/>
              </w:rPr>
              <w:t xml:space="preserve"> </w:t>
            </w:r>
            <w:r>
              <w:rPr>
                <w:rFonts w:ascii="宋体" w:hAnsi="宋体" w:eastAsia="宋体" w:cs="宋体"/>
                <w:spacing w:val="-3"/>
              </w:rPr>
              <w:t>、</w:t>
            </w:r>
            <w:r>
              <w:rPr>
                <w:spacing w:val="-3"/>
              </w:rPr>
              <w:t>CO</w:t>
            </w:r>
            <w:r>
              <w:rPr>
                <w:spacing w:val="-3"/>
                <w:position w:val="-3"/>
                <w:sz w:val="14"/>
                <w:szCs w:val="14"/>
              </w:rPr>
              <w:t>3</w:t>
            </w:r>
            <w:r>
              <w:rPr>
                <w:spacing w:val="-3"/>
                <w:position w:val="9"/>
                <w:sz w:val="14"/>
                <w:szCs w:val="14"/>
              </w:rPr>
              <w:t xml:space="preserve">2- </w:t>
            </w:r>
            <w:r>
              <w:rPr>
                <w:rFonts w:ascii="宋体" w:hAnsi="宋体" w:eastAsia="宋体" w:cs="宋体"/>
                <w:spacing w:val="-3"/>
              </w:rPr>
              <w:t>、</w:t>
            </w:r>
            <w:r>
              <w:rPr>
                <w:spacing w:val="-3"/>
              </w:rPr>
              <w:t>HCO</w:t>
            </w:r>
            <w:r>
              <w:rPr>
                <w:spacing w:val="-3"/>
                <w:position w:val="-3"/>
                <w:sz w:val="14"/>
                <w:szCs w:val="14"/>
              </w:rPr>
              <w:t>3</w:t>
            </w:r>
            <w:r>
              <w:rPr>
                <w:spacing w:val="-3"/>
                <w:position w:val="9"/>
                <w:sz w:val="14"/>
                <w:szCs w:val="14"/>
              </w:rPr>
              <w:t>-</w:t>
            </w:r>
            <w:r>
              <w:rPr>
                <w:spacing w:val="-7"/>
                <w:position w:val="9"/>
                <w:sz w:val="14"/>
                <w:szCs w:val="14"/>
              </w:rPr>
              <w:t xml:space="preserve"> </w:t>
            </w:r>
            <w:r>
              <w:rPr>
                <w:rFonts w:ascii="宋体" w:hAnsi="宋体" w:eastAsia="宋体" w:cs="宋体"/>
                <w:spacing w:val="-3"/>
              </w:rPr>
              <w:t>、</w:t>
            </w:r>
            <w:r>
              <w:rPr>
                <w:spacing w:val="-4"/>
              </w:rPr>
              <w:t>Cl</w:t>
            </w:r>
            <w:r>
              <w:rPr>
                <w:spacing w:val="-4"/>
                <w:position w:val="9"/>
                <w:sz w:val="14"/>
                <w:szCs w:val="14"/>
              </w:rPr>
              <w:t xml:space="preserve">- </w:t>
            </w:r>
            <w:r>
              <w:rPr>
                <w:rFonts w:ascii="宋体" w:hAnsi="宋体" w:eastAsia="宋体" w:cs="宋体"/>
                <w:spacing w:val="-4"/>
              </w:rPr>
              <w:t>、</w:t>
            </w:r>
            <w:r>
              <w:rPr>
                <w:spacing w:val="-4"/>
              </w:rPr>
              <w:t>SO</w:t>
            </w:r>
            <w:r>
              <w:rPr>
                <w:spacing w:val="-4"/>
                <w:position w:val="-3"/>
                <w:sz w:val="14"/>
                <w:szCs w:val="14"/>
              </w:rPr>
              <w:t>4</w:t>
            </w:r>
            <w:r>
              <w:rPr>
                <w:spacing w:val="-4"/>
                <w:position w:val="9"/>
                <w:sz w:val="14"/>
                <w:szCs w:val="14"/>
              </w:rPr>
              <w:t xml:space="preserve">2- </w:t>
            </w:r>
            <w:r>
              <w:rPr>
                <w:rFonts w:ascii="宋体" w:hAnsi="宋体" w:eastAsia="宋体" w:cs="宋体"/>
                <w:spacing w:val="-4"/>
              </w:rPr>
              <w:t>，</w:t>
            </w:r>
            <w:r>
              <w:rPr>
                <w:spacing w:val="-4"/>
              </w:rPr>
              <w:t>pH</w:t>
            </w:r>
            <w:r>
              <w:rPr>
                <w:rFonts w:ascii="宋体" w:hAnsi="宋体" w:eastAsia="宋体" w:cs="宋体"/>
                <w:spacing w:val="-4"/>
              </w:rPr>
              <w:t>、氨</w:t>
            </w:r>
            <w:r>
              <w:rPr>
                <w:rFonts w:ascii="宋体" w:hAnsi="宋体" w:eastAsia="宋体" w:cs="宋体"/>
                <w:spacing w:val="-10"/>
              </w:rPr>
              <w:t>氮、硝酸盐、亚硝酸盐、挥发性酚类、氰化物、砷、汞、铬</w:t>
            </w:r>
            <w:r>
              <w:rPr>
                <w:spacing w:val="-10"/>
              </w:rPr>
              <w:t>(</w:t>
            </w:r>
            <w:r>
              <w:rPr>
                <w:rFonts w:ascii="宋体" w:hAnsi="宋体" w:eastAsia="宋体" w:cs="宋体"/>
                <w:spacing w:val="-10"/>
              </w:rPr>
              <w:t>六</w:t>
            </w:r>
            <w:r>
              <w:rPr>
                <w:rFonts w:ascii="宋体" w:hAnsi="宋体" w:eastAsia="宋体" w:cs="宋体"/>
                <w:spacing w:val="-3"/>
              </w:rPr>
              <w:t>价</w:t>
            </w:r>
            <w:r>
              <w:rPr>
                <w:spacing w:val="-3"/>
              </w:rPr>
              <w:t>)</w:t>
            </w:r>
            <w:r>
              <w:rPr>
                <w:rFonts w:ascii="宋体" w:hAnsi="宋体" w:eastAsia="宋体" w:cs="宋体"/>
                <w:spacing w:val="-3"/>
              </w:rPr>
              <w:t>、总硬度、铅、氟、镉、铁、锰、溶解性总固体、高锰酸</w:t>
            </w:r>
            <w:r>
              <w:rPr>
                <w:rFonts w:ascii="宋体" w:hAnsi="宋体" w:eastAsia="宋体" w:cs="宋体"/>
                <w:spacing w:val="-2"/>
              </w:rPr>
              <w:t>盐指数、硫酸盐、氯化物、总大肠菌群、细菌总数；水位。</w:t>
            </w:r>
          </w:p>
        </w:tc>
      </w:tr>
      <w:tr w14:paraId="1AFC8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dxa"/>
            <w:vMerge w:val="continue"/>
            <w:tcBorders>
              <w:top w:val="nil"/>
            </w:tcBorders>
            <w:vAlign w:val="top"/>
          </w:tcPr>
          <w:p w14:paraId="58ED62DC">
            <w:pPr>
              <w:rPr>
                <w:rFonts w:ascii="Arial"/>
                <w:sz w:val="21"/>
              </w:rPr>
            </w:pPr>
          </w:p>
        </w:tc>
        <w:tc>
          <w:tcPr>
            <w:tcW w:w="1132" w:type="dxa"/>
            <w:vMerge w:val="continue"/>
            <w:tcBorders>
              <w:top w:val="nil"/>
            </w:tcBorders>
            <w:vAlign w:val="top"/>
          </w:tcPr>
          <w:p w14:paraId="2A2C174A">
            <w:pPr>
              <w:rPr>
                <w:rFonts w:ascii="Arial"/>
                <w:sz w:val="21"/>
              </w:rPr>
            </w:pPr>
          </w:p>
        </w:tc>
        <w:tc>
          <w:tcPr>
            <w:tcW w:w="1274" w:type="dxa"/>
            <w:vAlign w:val="top"/>
          </w:tcPr>
          <w:p w14:paraId="221C407A">
            <w:pPr>
              <w:spacing w:before="68" w:line="220" w:lineRule="auto"/>
              <w:ind w:left="10"/>
              <w:rPr>
                <w:rFonts w:ascii="宋体" w:hAnsi="宋体" w:eastAsia="宋体" w:cs="宋体"/>
                <w:sz w:val="21"/>
                <w:szCs w:val="21"/>
              </w:rPr>
            </w:pPr>
            <w:r>
              <w:rPr>
                <w:rFonts w:ascii="宋体" w:hAnsi="宋体" w:eastAsia="宋体" w:cs="宋体"/>
                <w:spacing w:val="-2"/>
                <w:sz w:val="21"/>
                <w:szCs w:val="21"/>
              </w:rPr>
              <w:t>影响预测因子</w:t>
            </w:r>
          </w:p>
        </w:tc>
        <w:tc>
          <w:tcPr>
            <w:tcW w:w="5479" w:type="dxa"/>
            <w:vAlign w:val="top"/>
          </w:tcPr>
          <w:p w14:paraId="7729CA31">
            <w:pPr>
              <w:pStyle w:val="6"/>
              <w:spacing w:before="68" w:line="219" w:lineRule="auto"/>
              <w:ind w:left="9"/>
              <w:rPr>
                <w:rFonts w:ascii="宋体" w:hAnsi="宋体" w:eastAsia="宋体" w:cs="宋体"/>
              </w:rPr>
            </w:pPr>
            <w:r>
              <w:rPr>
                <w:spacing w:val="-3"/>
              </w:rPr>
              <w:t>COD</w:t>
            </w:r>
            <w:r>
              <w:rPr>
                <w:rFonts w:ascii="宋体" w:hAnsi="宋体" w:eastAsia="宋体" w:cs="宋体"/>
                <w:spacing w:val="-3"/>
              </w:rPr>
              <w:t>、氨氮</w:t>
            </w:r>
          </w:p>
        </w:tc>
      </w:tr>
      <w:tr w14:paraId="4D079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dxa"/>
            <w:vMerge w:val="restart"/>
            <w:tcBorders>
              <w:bottom w:val="nil"/>
            </w:tcBorders>
            <w:vAlign w:val="top"/>
          </w:tcPr>
          <w:p w14:paraId="72C229B5">
            <w:pPr>
              <w:pStyle w:val="6"/>
              <w:spacing w:before="280" w:line="188" w:lineRule="auto"/>
              <w:ind w:left="166"/>
            </w:pPr>
            <w:r>
              <w:t>4</w:t>
            </w:r>
          </w:p>
        </w:tc>
        <w:tc>
          <w:tcPr>
            <w:tcW w:w="1132" w:type="dxa"/>
            <w:vMerge w:val="restart"/>
            <w:tcBorders>
              <w:bottom w:val="nil"/>
            </w:tcBorders>
            <w:vAlign w:val="top"/>
          </w:tcPr>
          <w:p w14:paraId="6B4108C1">
            <w:pPr>
              <w:spacing w:before="244" w:line="220" w:lineRule="auto"/>
              <w:ind w:left="258"/>
              <w:rPr>
                <w:rFonts w:ascii="宋体" w:hAnsi="宋体" w:eastAsia="宋体" w:cs="宋体"/>
                <w:sz w:val="21"/>
                <w:szCs w:val="21"/>
              </w:rPr>
            </w:pPr>
            <w:r>
              <w:rPr>
                <w:rFonts w:ascii="宋体" w:hAnsi="宋体" w:eastAsia="宋体" w:cs="宋体"/>
                <w:spacing w:val="-3"/>
                <w:sz w:val="21"/>
                <w:szCs w:val="21"/>
              </w:rPr>
              <w:t>声环境</w:t>
            </w:r>
          </w:p>
        </w:tc>
        <w:tc>
          <w:tcPr>
            <w:tcW w:w="1274" w:type="dxa"/>
            <w:vAlign w:val="top"/>
          </w:tcPr>
          <w:p w14:paraId="567FE4DF">
            <w:pPr>
              <w:spacing w:before="68" w:line="218" w:lineRule="auto"/>
              <w:ind w:left="12"/>
              <w:rPr>
                <w:rFonts w:ascii="宋体" w:hAnsi="宋体" w:eastAsia="宋体" w:cs="宋体"/>
                <w:sz w:val="21"/>
                <w:szCs w:val="21"/>
              </w:rPr>
            </w:pPr>
            <w:r>
              <w:rPr>
                <w:rFonts w:ascii="宋体" w:hAnsi="宋体" w:eastAsia="宋体" w:cs="宋体"/>
                <w:spacing w:val="-2"/>
                <w:sz w:val="21"/>
                <w:szCs w:val="21"/>
              </w:rPr>
              <w:t>现状评价因子</w:t>
            </w:r>
          </w:p>
        </w:tc>
        <w:tc>
          <w:tcPr>
            <w:tcW w:w="5479" w:type="dxa"/>
            <w:vAlign w:val="top"/>
          </w:tcPr>
          <w:p w14:paraId="3859BDA6">
            <w:pPr>
              <w:pStyle w:val="6"/>
              <w:spacing w:before="68" w:line="220" w:lineRule="auto"/>
              <w:ind w:left="11"/>
              <w:rPr>
                <w:rFonts w:ascii="宋体" w:hAnsi="宋体" w:eastAsia="宋体" w:cs="宋体"/>
              </w:rPr>
            </w:pPr>
            <w:r>
              <w:rPr>
                <w:rFonts w:ascii="宋体" w:hAnsi="宋体" w:eastAsia="宋体" w:cs="宋体"/>
                <w:spacing w:val="-1"/>
              </w:rPr>
              <w:t>等效连续</w:t>
            </w:r>
            <w:r>
              <w:rPr>
                <w:rFonts w:ascii="宋体" w:hAnsi="宋体" w:eastAsia="宋体" w:cs="宋体"/>
                <w:spacing w:val="-50"/>
              </w:rPr>
              <w:t xml:space="preserve"> </w:t>
            </w:r>
            <w:r>
              <w:rPr>
                <w:spacing w:val="-1"/>
              </w:rPr>
              <w:t xml:space="preserve">A </w:t>
            </w:r>
            <w:r>
              <w:rPr>
                <w:rFonts w:ascii="宋体" w:hAnsi="宋体" w:eastAsia="宋体" w:cs="宋体"/>
                <w:spacing w:val="-1"/>
              </w:rPr>
              <w:t>声级</w:t>
            </w:r>
          </w:p>
        </w:tc>
      </w:tr>
      <w:tr w14:paraId="519AA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5" w:type="dxa"/>
            <w:vMerge w:val="continue"/>
            <w:tcBorders>
              <w:top w:val="nil"/>
            </w:tcBorders>
            <w:vAlign w:val="top"/>
          </w:tcPr>
          <w:p w14:paraId="2A71C5DF">
            <w:pPr>
              <w:rPr>
                <w:rFonts w:ascii="Arial"/>
                <w:sz w:val="21"/>
              </w:rPr>
            </w:pPr>
          </w:p>
        </w:tc>
        <w:tc>
          <w:tcPr>
            <w:tcW w:w="1132" w:type="dxa"/>
            <w:vMerge w:val="continue"/>
            <w:tcBorders>
              <w:top w:val="nil"/>
            </w:tcBorders>
            <w:vAlign w:val="top"/>
          </w:tcPr>
          <w:p w14:paraId="48BE7E9D">
            <w:pPr>
              <w:rPr>
                <w:rFonts w:ascii="Arial"/>
                <w:sz w:val="21"/>
              </w:rPr>
            </w:pPr>
          </w:p>
        </w:tc>
        <w:tc>
          <w:tcPr>
            <w:tcW w:w="1274" w:type="dxa"/>
            <w:vAlign w:val="top"/>
          </w:tcPr>
          <w:p w14:paraId="034C546B">
            <w:pPr>
              <w:spacing w:before="69" w:line="220" w:lineRule="auto"/>
              <w:ind w:left="10"/>
              <w:rPr>
                <w:rFonts w:ascii="宋体" w:hAnsi="宋体" w:eastAsia="宋体" w:cs="宋体"/>
                <w:sz w:val="21"/>
                <w:szCs w:val="21"/>
              </w:rPr>
            </w:pPr>
            <w:r>
              <w:rPr>
                <w:rFonts w:ascii="宋体" w:hAnsi="宋体" w:eastAsia="宋体" w:cs="宋体"/>
                <w:spacing w:val="-2"/>
                <w:sz w:val="21"/>
                <w:szCs w:val="21"/>
              </w:rPr>
              <w:t>影响预测因子</w:t>
            </w:r>
          </w:p>
        </w:tc>
        <w:tc>
          <w:tcPr>
            <w:tcW w:w="5479" w:type="dxa"/>
            <w:vAlign w:val="top"/>
          </w:tcPr>
          <w:p w14:paraId="38E54041">
            <w:pPr>
              <w:pStyle w:val="6"/>
              <w:spacing w:before="68" w:line="220" w:lineRule="auto"/>
              <w:ind w:left="11"/>
              <w:rPr>
                <w:rFonts w:ascii="宋体" w:hAnsi="宋体" w:eastAsia="宋体" w:cs="宋体"/>
              </w:rPr>
            </w:pPr>
            <w:r>
              <w:rPr>
                <w:rFonts w:ascii="宋体" w:hAnsi="宋体" w:eastAsia="宋体" w:cs="宋体"/>
                <w:spacing w:val="-1"/>
              </w:rPr>
              <w:t>等效连续</w:t>
            </w:r>
            <w:r>
              <w:rPr>
                <w:rFonts w:ascii="宋体" w:hAnsi="宋体" w:eastAsia="宋体" w:cs="宋体"/>
                <w:spacing w:val="-50"/>
              </w:rPr>
              <w:t xml:space="preserve"> </w:t>
            </w:r>
            <w:r>
              <w:rPr>
                <w:spacing w:val="-1"/>
              </w:rPr>
              <w:t xml:space="preserve">A </w:t>
            </w:r>
            <w:r>
              <w:rPr>
                <w:rFonts w:ascii="宋体" w:hAnsi="宋体" w:eastAsia="宋体" w:cs="宋体"/>
                <w:spacing w:val="-1"/>
              </w:rPr>
              <w:t>声级</w:t>
            </w:r>
          </w:p>
        </w:tc>
      </w:tr>
    </w:tbl>
    <w:p w14:paraId="1F7AAF7E">
      <w:pPr>
        <w:pStyle w:val="2"/>
        <w:spacing w:line="63" w:lineRule="exact"/>
        <w:rPr>
          <w:sz w:val="5"/>
        </w:rPr>
      </w:pPr>
    </w:p>
    <w:p w14:paraId="1F82E338">
      <w:pPr>
        <w:spacing w:line="63" w:lineRule="exact"/>
        <w:rPr>
          <w:sz w:val="5"/>
          <w:szCs w:val="5"/>
        </w:rPr>
        <w:sectPr>
          <w:footerReference r:id="rId32" w:type="default"/>
          <w:pgSz w:w="11905" w:h="16840"/>
          <w:pgMar w:top="1168" w:right="1768" w:bottom="1408" w:left="1770" w:header="828" w:footer="1244" w:gutter="0"/>
          <w:cols w:space="720" w:num="1"/>
        </w:sectPr>
      </w:pPr>
    </w:p>
    <w:p w14:paraId="7FE6317E">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32"/>
        <w:gridCol w:w="1274"/>
        <w:gridCol w:w="5479"/>
      </w:tblGrid>
      <w:tr w14:paraId="62C1B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5" w:type="dxa"/>
            <w:vAlign w:val="top"/>
          </w:tcPr>
          <w:p w14:paraId="3536A948">
            <w:pPr>
              <w:spacing w:before="68" w:line="221" w:lineRule="auto"/>
              <w:ind w:right="1"/>
              <w:jc w:val="right"/>
              <w:rPr>
                <w:rFonts w:ascii="宋体" w:hAnsi="宋体" w:eastAsia="宋体" w:cs="宋体"/>
                <w:sz w:val="21"/>
                <w:szCs w:val="21"/>
              </w:rPr>
            </w:pPr>
            <w:r>
              <w:rPr>
                <w:rFonts w:ascii="宋体" w:hAnsi="宋体" w:eastAsia="宋体" w:cs="宋体"/>
                <w:spacing w:val="-2"/>
                <w:sz w:val="21"/>
                <w:szCs w:val="21"/>
              </w:rPr>
              <w:t>序号</w:t>
            </w:r>
          </w:p>
        </w:tc>
        <w:tc>
          <w:tcPr>
            <w:tcW w:w="2406" w:type="dxa"/>
            <w:gridSpan w:val="2"/>
            <w:vAlign w:val="top"/>
          </w:tcPr>
          <w:p w14:paraId="2CB9AD24">
            <w:pPr>
              <w:spacing w:before="68" w:line="220" w:lineRule="auto"/>
              <w:ind w:left="787"/>
              <w:rPr>
                <w:rFonts w:ascii="宋体" w:hAnsi="宋体" w:eastAsia="宋体" w:cs="宋体"/>
                <w:sz w:val="21"/>
                <w:szCs w:val="21"/>
              </w:rPr>
            </w:pPr>
            <w:r>
              <w:rPr>
                <w:rFonts w:ascii="宋体" w:hAnsi="宋体" w:eastAsia="宋体" w:cs="宋体"/>
                <w:spacing w:val="-2"/>
                <w:sz w:val="21"/>
                <w:szCs w:val="21"/>
              </w:rPr>
              <w:t>环境要素</w:t>
            </w:r>
          </w:p>
        </w:tc>
        <w:tc>
          <w:tcPr>
            <w:tcW w:w="5479" w:type="dxa"/>
            <w:vAlign w:val="top"/>
          </w:tcPr>
          <w:p w14:paraId="241AC6F3">
            <w:pPr>
              <w:spacing w:before="69" w:line="218" w:lineRule="auto"/>
              <w:ind w:left="2322"/>
              <w:rPr>
                <w:rFonts w:ascii="宋体" w:hAnsi="宋体" w:eastAsia="宋体" w:cs="宋体"/>
                <w:sz w:val="21"/>
                <w:szCs w:val="21"/>
              </w:rPr>
            </w:pPr>
            <w:r>
              <w:rPr>
                <w:rFonts w:ascii="宋体" w:hAnsi="宋体" w:eastAsia="宋体" w:cs="宋体"/>
                <w:spacing w:val="-2"/>
                <w:sz w:val="21"/>
                <w:szCs w:val="21"/>
              </w:rPr>
              <w:t>评价因子</w:t>
            </w:r>
          </w:p>
        </w:tc>
      </w:tr>
      <w:tr w14:paraId="26261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35" w:type="dxa"/>
            <w:vMerge w:val="restart"/>
            <w:tcBorders>
              <w:bottom w:val="nil"/>
            </w:tcBorders>
            <w:vAlign w:val="top"/>
          </w:tcPr>
          <w:p w14:paraId="788A699D">
            <w:pPr>
              <w:pStyle w:val="6"/>
              <w:spacing w:before="278" w:line="185" w:lineRule="auto"/>
              <w:ind w:left="173"/>
            </w:pPr>
            <w:r>
              <w:t>5</w:t>
            </w:r>
          </w:p>
        </w:tc>
        <w:tc>
          <w:tcPr>
            <w:tcW w:w="1132" w:type="dxa"/>
            <w:vMerge w:val="restart"/>
            <w:tcBorders>
              <w:bottom w:val="nil"/>
            </w:tcBorders>
            <w:vAlign w:val="top"/>
          </w:tcPr>
          <w:p w14:paraId="61D0735B">
            <w:pPr>
              <w:spacing w:before="239" w:line="220" w:lineRule="auto"/>
              <w:ind w:left="151"/>
              <w:rPr>
                <w:rFonts w:ascii="宋体" w:hAnsi="宋体" w:eastAsia="宋体" w:cs="宋体"/>
                <w:sz w:val="21"/>
                <w:szCs w:val="21"/>
              </w:rPr>
            </w:pPr>
            <w:r>
              <w:rPr>
                <w:rFonts w:ascii="宋体" w:hAnsi="宋体" w:eastAsia="宋体" w:cs="宋体"/>
                <w:spacing w:val="-2"/>
                <w:sz w:val="21"/>
                <w:szCs w:val="21"/>
              </w:rPr>
              <w:t>土壤环境</w:t>
            </w:r>
          </w:p>
        </w:tc>
        <w:tc>
          <w:tcPr>
            <w:tcW w:w="1274" w:type="dxa"/>
            <w:vAlign w:val="top"/>
          </w:tcPr>
          <w:p w14:paraId="7B382BE1">
            <w:pPr>
              <w:spacing w:before="65" w:line="218" w:lineRule="auto"/>
              <w:ind w:left="12"/>
              <w:rPr>
                <w:rFonts w:ascii="宋体" w:hAnsi="宋体" w:eastAsia="宋体" w:cs="宋体"/>
                <w:sz w:val="21"/>
                <w:szCs w:val="21"/>
              </w:rPr>
            </w:pPr>
            <w:r>
              <w:rPr>
                <w:rFonts w:ascii="宋体" w:hAnsi="宋体" w:eastAsia="宋体" w:cs="宋体"/>
                <w:spacing w:val="-2"/>
                <w:sz w:val="21"/>
                <w:szCs w:val="21"/>
              </w:rPr>
              <w:t>现状评价因子</w:t>
            </w:r>
          </w:p>
        </w:tc>
        <w:tc>
          <w:tcPr>
            <w:tcW w:w="5479" w:type="dxa"/>
            <w:vAlign w:val="top"/>
          </w:tcPr>
          <w:p w14:paraId="580D1152">
            <w:pPr>
              <w:pStyle w:val="6"/>
              <w:spacing w:before="65" w:line="212" w:lineRule="auto"/>
              <w:ind w:left="1"/>
              <w:rPr>
                <w:rFonts w:ascii="宋体" w:hAnsi="宋体" w:eastAsia="宋体" w:cs="宋体"/>
              </w:rPr>
            </w:pPr>
            <w:r>
              <w:rPr>
                <w:spacing w:val="-2"/>
              </w:rPr>
              <w:t>pH</w:t>
            </w:r>
            <w:r>
              <w:rPr>
                <w:rFonts w:ascii="宋体" w:hAnsi="宋体" w:eastAsia="宋体" w:cs="宋体"/>
                <w:spacing w:val="-2"/>
              </w:rPr>
              <w:t>、镉、汞、砷、铅、铬、铜、镍、锌。</w:t>
            </w:r>
          </w:p>
        </w:tc>
      </w:tr>
      <w:tr w14:paraId="76DC4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dxa"/>
            <w:vMerge w:val="continue"/>
            <w:tcBorders>
              <w:top w:val="nil"/>
            </w:tcBorders>
            <w:vAlign w:val="top"/>
          </w:tcPr>
          <w:p w14:paraId="67F1320E">
            <w:pPr>
              <w:rPr>
                <w:rFonts w:ascii="Arial"/>
                <w:sz w:val="21"/>
              </w:rPr>
            </w:pPr>
          </w:p>
        </w:tc>
        <w:tc>
          <w:tcPr>
            <w:tcW w:w="1132" w:type="dxa"/>
            <w:vMerge w:val="continue"/>
            <w:tcBorders>
              <w:top w:val="nil"/>
            </w:tcBorders>
            <w:vAlign w:val="top"/>
          </w:tcPr>
          <w:p w14:paraId="1DB8D8F2">
            <w:pPr>
              <w:rPr>
                <w:rFonts w:ascii="Arial"/>
                <w:sz w:val="21"/>
              </w:rPr>
            </w:pPr>
          </w:p>
        </w:tc>
        <w:tc>
          <w:tcPr>
            <w:tcW w:w="1274" w:type="dxa"/>
            <w:vAlign w:val="top"/>
          </w:tcPr>
          <w:p w14:paraId="4487B9DB">
            <w:pPr>
              <w:spacing w:before="66" w:line="220" w:lineRule="auto"/>
              <w:ind w:left="10"/>
              <w:rPr>
                <w:rFonts w:ascii="宋体" w:hAnsi="宋体" w:eastAsia="宋体" w:cs="宋体"/>
                <w:sz w:val="21"/>
                <w:szCs w:val="21"/>
              </w:rPr>
            </w:pPr>
            <w:r>
              <w:rPr>
                <w:rFonts w:ascii="宋体" w:hAnsi="宋体" w:eastAsia="宋体" w:cs="宋体"/>
                <w:spacing w:val="-2"/>
                <w:sz w:val="21"/>
                <w:szCs w:val="21"/>
              </w:rPr>
              <w:t>影响预测因子</w:t>
            </w:r>
          </w:p>
        </w:tc>
        <w:tc>
          <w:tcPr>
            <w:tcW w:w="5479" w:type="dxa"/>
            <w:vAlign w:val="top"/>
          </w:tcPr>
          <w:p w14:paraId="0B7E2764">
            <w:pPr>
              <w:spacing w:before="66" w:line="220" w:lineRule="auto"/>
              <w:ind w:left="11"/>
              <w:rPr>
                <w:rFonts w:ascii="宋体" w:hAnsi="宋体" w:eastAsia="宋体" w:cs="宋体"/>
                <w:sz w:val="21"/>
                <w:szCs w:val="21"/>
              </w:rPr>
            </w:pPr>
            <w:r>
              <w:rPr>
                <w:rFonts w:ascii="宋体" w:hAnsi="宋体" w:eastAsia="宋体" w:cs="宋体"/>
                <w:sz w:val="21"/>
                <w:szCs w:val="21"/>
              </w:rPr>
              <w:t>无</w:t>
            </w:r>
          </w:p>
        </w:tc>
      </w:tr>
      <w:tr w14:paraId="1F476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dxa"/>
            <w:vMerge w:val="restart"/>
            <w:tcBorders>
              <w:bottom w:val="nil"/>
            </w:tcBorders>
            <w:vAlign w:val="top"/>
          </w:tcPr>
          <w:p w14:paraId="5556BD26">
            <w:pPr>
              <w:pStyle w:val="6"/>
              <w:spacing w:before="279" w:line="188" w:lineRule="auto"/>
              <w:ind w:left="172"/>
            </w:pPr>
            <w:r>
              <w:t>6</w:t>
            </w:r>
          </w:p>
        </w:tc>
        <w:tc>
          <w:tcPr>
            <w:tcW w:w="1132" w:type="dxa"/>
            <w:vMerge w:val="restart"/>
            <w:tcBorders>
              <w:bottom w:val="nil"/>
            </w:tcBorders>
            <w:vAlign w:val="top"/>
          </w:tcPr>
          <w:p w14:paraId="278A9137">
            <w:pPr>
              <w:spacing w:before="243" w:line="220" w:lineRule="auto"/>
              <w:ind w:left="151"/>
              <w:rPr>
                <w:rFonts w:ascii="宋体" w:hAnsi="宋体" w:eastAsia="宋体" w:cs="宋体"/>
                <w:sz w:val="21"/>
                <w:szCs w:val="21"/>
              </w:rPr>
            </w:pPr>
            <w:r>
              <w:rPr>
                <w:rFonts w:ascii="宋体" w:hAnsi="宋体" w:eastAsia="宋体" w:cs="宋体"/>
                <w:spacing w:val="-2"/>
                <w:sz w:val="21"/>
                <w:szCs w:val="21"/>
              </w:rPr>
              <w:t>生态环境</w:t>
            </w:r>
          </w:p>
        </w:tc>
        <w:tc>
          <w:tcPr>
            <w:tcW w:w="1274" w:type="dxa"/>
            <w:vAlign w:val="top"/>
          </w:tcPr>
          <w:p w14:paraId="607AE920">
            <w:pPr>
              <w:spacing w:before="68" w:line="218" w:lineRule="auto"/>
              <w:ind w:left="12"/>
              <w:rPr>
                <w:rFonts w:ascii="宋体" w:hAnsi="宋体" w:eastAsia="宋体" w:cs="宋体"/>
                <w:sz w:val="21"/>
                <w:szCs w:val="21"/>
              </w:rPr>
            </w:pPr>
            <w:r>
              <w:rPr>
                <w:rFonts w:ascii="宋体" w:hAnsi="宋体" w:eastAsia="宋体" w:cs="宋体"/>
                <w:spacing w:val="-2"/>
                <w:sz w:val="21"/>
                <w:szCs w:val="21"/>
              </w:rPr>
              <w:t>现状评价因子</w:t>
            </w:r>
          </w:p>
        </w:tc>
        <w:tc>
          <w:tcPr>
            <w:tcW w:w="5479" w:type="dxa"/>
            <w:vAlign w:val="top"/>
          </w:tcPr>
          <w:p w14:paraId="5664833F">
            <w:pPr>
              <w:spacing w:before="67" w:line="220" w:lineRule="auto"/>
              <w:ind w:left="10"/>
              <w:rPr>
                <w:rFonts w:ascii="宋体" w:hAnsi="宋体" w:eastAsia="宋体" w:cs="宋体"/>
                <w:sz w:val="21"/>
                <w:szCs w:val="21"/>
              </w:rPr>
            </w:pPr>
            <w:r>
              <w:rPr>
                <w:rFonts w:ascii="宋体" w:hAnsi="宋体" w:eastAsia="宋体" w:cs="宋体"/>
                <w:spacing w:val="-1"/>
                <w:sz w:val="21"/>
                <w:szCs w:val="21"/>
              </w:rPr>
              <w:t>土地利用现状等生态调查</w:t>
            </w:r>
          </w:p>
        </w:tc>
      </w:tr>
      <w:tr w14:paraId="1F55F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5" w:type="dxa"/>
            <w:vMerge w:val="continue"/>
            <w:tcBorders>
              <w:top w:val="nil"/>
            </w:tcBorders>
            <w:vAlign w:val="top"/>
          </w:tcPr>
          <w:p w14:paraId="6CC6CEB2">
            <w:pPr>
              <w:rPr>
                <w:rFonts w:ascii="Arial"/>
                <w:sz w:val="21"/>
              </w:rPr>
            </w:pPr>
          </w:p>
        </w:tc>
        <w:tc>
          <w:tcPr>
            <w:tcW w:w="1132" w:type="dxa"/>
            <w:vMerge w:val="continue"/>
            <w:tcBorders>
              <w:top w:val="nil"/>
            </w:tcBorders>
            <w:vAlign w:val="top"/>
          </w:tcPr>
          <w:p w14:paraId="52ED1197">
            <w:pPr>
              <w:rPr>
                <w:rFonts w:ascii="Arial"/>
                <w:sz w:val="21"/>
              </w:rPr>
            </w:pPr>
          </w:p>
        </w:tc>
        <w:tc>
          <w:tcPr>
            <w:tcW w:w="1274" w:type="dxa"/>
            <w:vAlign w:val="top"/>
          </w:tcPr>
          <w:p w14:paraId="36A61DE9">
            <w:pPr>
              <w:spacing w:before="68" w:line="220" w:lineRule="auto"/>
              <w:ind w:left="10"/>
              <w:rPr>
                <w:rFonts w:ascii="宋体" w:hAnsi="宋体" w:eastAsia="宋体" w:cs="宋体"/>
                <w:sz w:val="21"/>
                <w:szCs w:val="21"/>
              </w:rPr>
            </w:pPr>
            <w:r>
              <w:rPr>
                <w:rFonts w:ascii="宋体" w:hAnsi="宋体" w:eastAsia="宋体" w:cs="宋体"/>
                <w:spacing w:val="-2"/>
                <w:sz w:val="21"/>
                <w:szCs w:val="21"/>
              </w:rPr>
              <w:t>影响预测因子</w:t>
            </w:r>
          </w:p>
        </w:tc>
        <w:tc>
          <w:tcPr>
            <w:tcW w:w="5479" w:type="dxa"/>
            <w:vAlign w:val="top"/>
          </w:tcPr>
          <w:p w14:paraId="68180701">
            <w:pPr>
              <w:spacing w:before="67" w:line="220" w:lineRule="auto"/>
              <w:ind w:left="10"/>
              <w:rPr>
                <w:rFonts w:ascii="宋体" w:hAnsi="宋体" w:eastAsia="宋体" w:cs="宋体"/>
                <w:sz w:val="21"/>
                <w:szCs w:val="21"/>
              </w:rPr>
            </w:pPr>
            <w:r>
              <w:rPr>
                <w:rFonts w:ascii="宋体" w:hAnsi="宋体" w:eastAsia="宋体" w:cs="宋体"/>
                <w:spacing w:val="-4"/>
                <w:sz w:val="21"/>
                <w:szCs w:val="21"/>
              </w:rPr>
              <w:t>植被破坏、水土流失。</w:t>
            </w:r>
          </w:p>
        </w:tc>
      </w:tr>
    </w:tbl>
    <w:p w14:paraId="4CE4B282">
      <w:pPr>
        <w:spacing w:before="282" w:line="218"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1.2.2  </w:t>
      </w:r>
      <w:r>
        <w:rPr>
          <w:rFonts w:ascii="宋体" w:hAnsi="宋体" w:eastAsia="宋体" w:cs="宋体"/>
          <w:b/>
          <w:bCs/>
          <w:spacing w:val="-3"/>
          <w:sz w:val="30"/>
          <w:szCs w:val="30"/>
        </w:rPr>
        <w:t>评价标准</w:t>
      </w:r>
    </w:p>
    <w:p w14:paraId="6F9BFC52">
      <w:pPr>
        <w:pStyle w:val="2"/>
        <w:spacing w:line="308" w:lineRule="auto"/>
      </w:pPr>
    </w:p>
    <w:p w14:paraId="713C3438">
      <w:pPr>
        <w:spacing w:before="88" w:line="227" w:lineRule="auto"/>
        <w:ind w:left="48"/>
        <w:rPr>
          <w:rFonts w:ascii="宋体" w:hAnsi="宋体" w:eastAsia="宋体" w:cs="宋体"/>
          <w:sz w:val="27"/>
          <w:szCs w:val="27"/>
        </w:rPr>
      </w:pPr>
      <w:r>
        <w:rPr>
          <w:rFonts w:ascii="Times New Roman" w:hAnsi="Times New Roman" w:eastAsia="Times New Roman" w:cs="Times New Roman"/>
          <w:b/>
          <w:bCs/>
          <w:spacing w:val="4"/>
          <w:sz w:val="27"/>
          <w:szCs w:val="27"/>
        </w:rPr>
        <w:t xml:space="preserve">1.2.2.1  </w:t>
      </w:r>
      <w:r>
        <w:rPr>
          <w:rFonts w:ascii="宋体" w:hAnsi="宋体" w:eastAsia="宋体" w:cs="宋体"/>
          <w:b/>
          <w:bCs/>
          <w:spacing w:val="4"/>
          <w:sz w:val="27"/>
          <w:szCs w:val="27"/>
        </w:rPr>
        <w:t>环境质量标准</w:t>
      </w:r>
    </w:p>
    <w:p w14:paraId="3B333BAC">
      <w:pPr>
        <w:spacing w:before="234" w:line="220" w:lineRule="auto"/>
        <w:ind w:left="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）地表水环境</w:t>
      </w:r>
    </w:p>
    <w:p w14:paraId="085AB33D">
      <w:pPr>
        <w:spacing w:before="184" w:line="361" w:lineRule="auto"/>
        <w:ind w:left="37" w:right="30" w:firstLine="482"/>
        <w:rPr>
          <w:rFonts w:ascii="宋体" w:hAnsi="宋体" w:eastAsia="宋体" w:cs="宋体"/>
          <w:sz w:val="24"/>
          <w:szCs w:val="24"/>
        </w:rPr>
      </w:pPr>
      <w:r>
        <w:rPr>
          <w:rFonts w:ascii="宋体" w:hAnsi="宋体" w:eastAsia="宋体" w:cs="宋体"/>
          <w:spacing w:val="-3"/>
          <w:sz w:val="24"/>
          <w:szCs w:val="24"/>
        </w:rPr>
        <w:t>本项目东北侧</w:t>
      </w:r>
      <w:r>
        <w:rPr>
          <w:rFonts w:ascii="Times New Roman" w:hAnsi="Times New Roman" w:eastAsia="Times New Roman" w:cs="Times New Roman"/>
          <w:spacing w:val="-3"/>
          <w:sz w:val="24"/>
          <w:szCs w:val="24"/>
        </w:rPr>
        <w:t>1040m</w:t>
      </w:r>
      <w:r>
        <w:rPr>
          <w:rFonts w:ascii="宋体" w:hAnsi="宋体" w:eastAsia="宋体" w:cs="宋体"/>
          <w:spacing w:val="-3"/>
          <w:sz w:val="24"/>
          <w:szCs w:val="24"/>
        </w:rPr>
        <w:t>为大清流河，北侧</w:t>
      </w:r>
      <w:r>
        <w:rPr>
          <w:rFonts w:ascii="Times New Roman" w:hAnsi="Times New Roman" w:eastAsia="Times New Roman" w:cs="Times New Roman"/>
          <w:spacing w:val="-3"/>
          <w:sz w:val="24"/>
          <w:szCs w:val="24"/>
        </w:rPr>
        <w:t>700m</w:t>
      </w:r>
      <w:r>
        <w:rPr>
          <w:rFonts w:ascii="宋体" w:hAnsi="宋体" w:eastAsia="宋体" w:cs="宋体"/>
          <w:spacing w:val="-3"/>
          <w:sz w:val="24"/>
          <w:szCs w:val="24"/>
        </w:rPr>
        <w:t>处为大清流河</w:t>
      </w:r>
      <w:r>
        <w:rPr>
          <w:rFonts w:ascii="宋体" w:hAnsi="宋体" w:eastAsia="宋体" w:cs="宋体"/>
          <w:spacing w:val="-4"/>
          <w:sz w:val="24"/>
          <w:szCs w:val="24"/>
        </w:rPr>
        <w:t>支流—五桂溪，南</w:t>
      </w:r>
      <w:r>
        <w:rPr>
          <w:rFonts w:ascii="宋体" w:hAnsi="宋体" w:eastAsia="宋体" w:cs="宋体"/>
          <w:spacing w:val="2"/>
          <w:sz w:val="24"/>
          <w:szCs w:val="24"/>
        </w:rPr>
        <w:t>侧</w:t>
      </w:r>
      <w:r>
        <w:rPr>
          <w:rFonts w:ascii="Times New Roman" w:hAnsi="Times New Roman" w:eastAsia="Times New Roman" w:cs="Times New Roman"/>
          <w:spacing w:val="2"/>
          <w:sz w:val="24"/>
          <w:szCs w:val="24"/>
        </w:rPr>
        <w:t>228m</w:t>
      </w:r>
      <w:r>
        <w:rPr>
          <w:rFonts w:ascii="宋体" w:hAnsi="宋体" w:eastAsia="宋体" w:cs="宋体"/>
          <w:spacing w:val="2"/>
          <w:sz w:val="24"/>
          <w:szCs w:val="24"/>
        </w:rPr>
        <w:t>处为大清流河支流—石核河，大清流河、五桂溪、石核河执行《</w:t>
      </w:r>
      <w:r>
        <w:rPr>
          <w:rFonts w:ascii="宋体" w:hAnsi="宋体" w:eastAsia="宋体" w:cs="宋体"/>
          <w:spacing w:val="1"/>
          <w:sz w:val="24"/>
          <w:szCs w:val="24"/>
        </w:rPr>
        <w:t>地表水</w:t>
      </w:r>
      <w:r>
        <w:rPr>
          <w:rFonts w:ascii="宋体" w:hAnsi="宋体" w:eastAsia="宋体" w:cs="宋体"/>
          <w:spacing w:val="-2"/>
          <w:sz w:val="24"/>
          <w:szCs w:val="24"/>
        </w:rPr>
        <w:t>环境质量标准》（</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）Ⅲ类标准。</w:t>
      </w:r>
    </w:p>
    <w:p w14:paraId="6A2D5E64">
      <w:pPr>
        <w:spacing w:before="8" w:line="212" w:lineRule="auto"/>
        <w:ind w:left="2225"/>
        <w:rPr>
          <w:rFonts w:ascii="Times New Roman" w:hAnsi="Times New Roman" w:eastAsia="Times New Roman" w:cs="Times New Roman"/>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1.2-2  </w:t>
      </w:r>
      <w:r>
        <w:rPr>
          <w:rFonts w:ascii="黑体" w:hAnsi="黑体" w:eastAsia="黑体" w:cs="黑体"/>
          <w:spacing w:val="-1"/>
          <w:sz w:val="21"/>
          <w:szCs w:val="21"/>
        </w:rPr>
        <w:t>地表水环境质量标准  单位：</w:t>
      </w:r>
      <w:r>
        <w:rPr>
          <w:rFonts w:ascii="Times New Roman" w:hAnsi="Times New Roman" w:eastAsia="Times New Roman" w:cs="Times New Roman"/>
          <w:spacing w:val="-1"/>
          <w:sz w:val="21"/>
          <w:szCs w:val="21"/>
        </w:rPr>
        <w:t>mg/L</w:t>
      </w:r>
    </w:p>
    <w:p w14:paraId="67310242">
      <w:pPr>
        <w:spacing w:line="9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2631"/>
        <w:gridCol w:w="2539"/>
        <w:gridCol w:w="2012"/>
      </w:tblGrid>
      <w:tr w14:paraId="26231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38" w:type="dxa"/>
            <w:vAlign w:val="top"/>
          </w:tcPr>
          <w:p w14:paraId="26BDB25A">
            <w:pPr>
              <w:spacing w:before="68" w:line="221" w:lineRule="auto"/>
              <w:ind w:left="363"/>
              <w:rPr>
                <w:rFonts w:ascii="宋体" w:hAnsi="宋体" w:eastAsia="宋体" w:cs="宋体"/>
                <w:sz w:val="21"/>
                <w:szCs w:val="21"/>
              </w:rPr>
            </w:pPr>
            <w:r>
              <w:rPr>
                <w:rFonts w:ascii="宋体" w:hAnsi="宋体" w:eastAsia="宋体" w:cs="宋体"/>
                <w:spacing w:val="-2"/>
                <w:sz w:val="21"/>
                <w:szCs w:val="21"/>
              </w:rPr>
              <w:t>序号</w:t>
            </w:r>
          </w:p>
        </w:tc>
        <w:tc>
          <w:tcPr>
            <w:tcW w:w="2631" w:type="dxa"/>
            <w:vAlign w:val="top"/>
          </w:tcPr>
          <w:p w14:paraId="49D2323B">
            <w:pPr>
              <w:spacing w:before="69" w:line="220" w:lineRule="auto"/>
              <w:ind w:left="1113"/>
              <w:rPr>
                <w:rFonts w:ascii="宋体" w:hAnsi="宋体" w:eastAsia="宋体" w:cs="宋体"/>
                <w:sz w:val="21"/>
                <w:szCs w:val="21"/>
              </w:rPr>
            </w:pPr>
            <w:r>
              <w:rPr>
                <w:rFonts w:ascii="宋体" w:hAnsi="宋体" w:eastAsia="宋体" w:cs="宋体"/>
                <w:spacing w:val="-3"/>
                <w:sz w:val="21"/>
                <w:szCs w:val="21"/>
              </w:rPr>
              <w:t>项目</w:t>
            </w:r>
          </w:p>
        </w:tc>
        <w:tc>
          <w:tcPr>
            <w:tcW w:w="2539" w:type="dxa"/>
            <w:vAlign w:val="top"/>
          </w:tcPr>
          <w:p w14:paraId="2F8D82C2">
            <w:pPr>
              <w:spacing w:before="68" w:line="220" w:lineRule="auto"/>
              <w:ind w:left="854"/>
              <w:rPr>
                <w:rFonts w:ascii="宋体" w:hAnsi="宋体" w:eastAsia="宋体" w:cs="宋体"/>
                <w:sz w:val="21"/>
                <w:szCs w:val="21"/>
              </w:rPr>
            </w:pPr>
            <w:r>
              <w:rPr>
                <w:rFonts w:ascii="宋体" w:hAnsi="宋体" w:eastAsia="宋体" w:cs="宋体"/>
                <w:spacing w:val="-2"/>
                <w:sz w:val="21"/>
                <w:szCs w:val="21"/>
              </w:rPr>
              <w:t>Ⅲ类标准</w:t>
            </w:r>
          </w:p>
        </w:tc>
        <w:tc>
          <w:tcPr>
            <w:tcW w:w="2012" w:type="dxa"/>
            <w:vAlign w:val="top"/>
          </w:tcPr>
          <w:p w14:paraId="6CC0534A">
            <w:pPr>
              <w:spacing w:before="68" w:line="220" w:lineRule="auto"/>
              <w:ind w:left="592"/>
              <w:rPr>
                <w:rFonts w:ascii="宋体" w:hAnsi="宋体" w:eastAsia="宋体" w:cs="宋体"/>
                <w:sz w:val="21"/>
                <w:szCs w:val="21"/>
              </w:rPr>
            </w:pPr>
            <w:r>
              <w:rPr>
                <w:rFonts w:ascii="宋体" w:hAnsi="宋体" w:eastAsia="宋体" w:cs="宋体"/>
                <w:spacing w:val="-2"/>
                <w:sz w:val="21"/>
                <w:szCs w:val="21"/>
              </w:rPr>
              <w:t>标准来源</w:t>
            </w:r>
          </w:p>
        </w:tc>
      </w:tr>
      <w:tr w14:paraId="33A81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8" w:type="dxa"/>
            <w:vAlign w:val="top"/>
          </w:tcPr>
          <w:p w14:paraId="7C9DDEA7">
            <w:pPr>
              <w:pStyle w:val="6"/>
              <w:spacing w:before="101" w:line="188" w:lineRule="auto"/>
              <w:ind w:left="539"/>
            </w:pPr>
            <w:r>
              <w:t>1</w:t>
            </w:r>
          </w:p>
        </w:tc>
        <w:tc>
          <w:tcPr>
            <w:tcW w:w="2631" w:type="dxa"/>
            <w:vAlign w:val="top"/>
          </w:tcPr>
          <w:p w14:paraId="277A068E">
            <w:pPr>
              <w:pStyle w:val="6"/>
              <w:spacing w:before="65" w:line="212" w:lineRule="auto"/>
              <w:ind w:left="657"/>
              <w:rPr>
                <w:rFonts w:ascii="宋体" w:hAnsi="宋体" w:eastAsia="宋体" w:cs="宋体"/>
              </w:rPr>
            </w:pPr>
            <w:r>
              <w:rPr>
                <w:spacing w:val="-2"/>
              </w:rPr>
              <w:t>pH</w:t>
            </w:r>
            <w:r>
              <w:rPr>
                <w:rFonts w:ascii="宋体" w:hAnsi="宋体" w:eastAsia="宋体" w:cs="宋体"/>
                <w:spacing w:val="-2"/>
              </w:rPr>
              <w:t>（无量纲）</w:t>
            </w:r>
          </w:p>
        </w:tc>
        <w:tc>
          <w:tcPr>
            <w:tcW w:w="2539" w:type="dxa"/>
            <w:vAlign w:val="top"/>
          </w:tcPr>
          <w:p w14:paraId="539AC6D0">
            <w:pPr>
              <w:pStyle w:val="6"/>
              <w:spacing w:before="101" w:line="188" w:lineRule="auto"/>
              <w:ind w:left="1114"/>
            </w:pPr>
            <w:r>
              <w:rPr>
                <w:spacing w:val="-3"/>
              </w:rPr>
              <w:t>6~9</w:t>
            </w:r>
          </w:p>
        </w:tc>
        <w:tc>
          <w:tcPr>
            <w:tcW w:w="2012" w:type="dxa"/>
            <w:vMerge w:val="restart"/>
            <w:tcBorders>
              <w:bottom w:val="nil"/>
            </w:tcBorders>
            <w:vAlign w:val="top"/>
          </w:tcPr>
          <w:p w14:paraId="45740126">
            <w:pPr>
              <w:spacing w:line="303" w:lineRule="auto"/>
              <w:rPr>
                <w:rFonts w:ascii="Arial"/>
                <w:sz w:val="21"/>
              </w:rPr>
            </w:pPr>
          </w:p>
          <w:p w14:paraId="7814E19E">
            <w:pPr>
              <w:spacing w:line="303" w:lineRule="auto"/>
              <w:rPr>
                <w:rFonts w:ascii="Arial"/>
                <w:sz w:val="21"/>
              </w:rPr>
            </w:pPr>
          </w:p>
          <w:p w14:paraId="5DEAE70E">
            <w:pPr>
              <w:spacing w:line="304" w:lineRule="auto"/>
              <w:rPr>
                <w:rFonts w:ascii="Arial"/>
                <w:sz w:val="21"/>
              </w:rPr>
            </w:pPr>
          </w:p>
          <w:p w14:paraId="4196348A">
            <w:pPr>
              <w:pStyle w:val="6"/>
              <w:spacing w:before="60" w:line="188" w:lineRule="auto"/>
              <w:ind w:left="409"/>
            </w:pPr>
            <w:r>
              <w:rPr>
                <w:spacing w:val="-1"/>
              </w:rPr>
              <w:t>GB3838-2002</w:t>
            </w:r>
          </w:p>
        </w:tc>
      </w:tr>
      <w:tr w14:paraId="48BDB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8" w:type="dxa"/>
            <w:vAlign w:val="top"/>
          </w:tcPr>
          <w:p w14:paraId="223A77F8">
            <w:pPr>
              <w:pStyle w:val="6"/>
              <w:spacing w:before="102" w:line="188" w:lineRule="auto"/>
              <w:ind w:left="519"/>
            </w:pPr>
            <w:r>
              <w:t>2</w:t>
            </w:r>
          </w:p>
        </w:tc>
        <w:tc>
          <w:tcPr>
            <w:tcW w:w="2631" w:type="dxa"/>
            <w:vAlign w:val="top"/>
          </w:tcPr>
          <w:p w14:paraId="366EC458">
            <w:pPr>
              <w:spacing w:before="65" w:line="219" w:lineRule="auto"/>
              <w:ind w:left="795"/>
              <w:rPr>
                <w:rFonts w:ascii="宋体" w:hAnsi="宋体" w:eastAsia="宋体" w:cs="宋体"/>
                <w:sz w:val="21"/>
                <w:szCs w:val="21"/>
              </w:rPr>
            </w:pPr>
            <w:r>
              <w:rPr>
                <w:rFonts w:ascii="宋体" w:hAnsi="宋体" w:eastAsia="宋体" w:cs="宋体"/>
                <w:spacing w:val="-2"/>
                <w:sz w:val="21"/>
                <w:szCs w:val="21"/>
              </w:rPr>
              <w:t>化学需氧量</w:t>
            </w:r>
          </w:p>
        </w:tc>
        <w:tc>
          <w:tcPr>
            <w:tcW w:w="2539" w:type="dxa"/>
            <w:vAlign w:val="top"/>
          </w:tcPr>
          <w:p w14:paraId="199EB749">
            <w:pPr>
              <w:pStyle w:val="6"/>
              <w:spacing w:before="102" w:line="188" w:lineRule="auto"/>
              <w:ind w:left="1106"/>
            </w:pPr>
            <w:r>
              <w:rPr>
                <w:spacing w:val="-1"/>
              </w:rPr>
              <w:t>≤20</w:t>
            </w:r>
          </w:p>
        </w:tc>
        <w:tc>
          <w:tcPr>
            <w:tcW w:w="2012" w:type="dxa"/>
            <w:vMerge w:val="continue"/>
            <w:tcBorders>
              <w:top w:val="nil"/>
              <w:bottom w:val="nil"/>
            </w:tcBorders>
            <w:vAlign w:val="top"/>
          </w:tcPr>
          <w:p w14:paraId="01C53962">
            <w:pPr>
              <w:rPr>
                <w:rFonts w:ascii="Arial"/>
                <w:sz w:val="21"/>
              </w:rPr>
            </w:pPr>
          </w:p>
        </w:tc>
      </w:tr>
      <w:tr w14:paraId="65B76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398DE837">
            <w:pPr>
              <w:pStyle w:val="6"/>
              <w:spacing w:before="102" w:line="188" w:lineRule="auto"/>
              <w:ind w:left="523"/>
            </w:pPr>
            <w:r>
              <w:t>3</w:t>
            </w:r>
          </w:p>
        </w:tc>
        <w:tc>
          <w:tcPr>
            <w:tcW w:w="2631" w:type="dxa"/>
            <w:vAlign w:val="top"/>
          </w:tcPr>
          <w:p w14:paraId="456966B1">
            <w:pPr>
              <w:spacing w:before="65" w:line="219" w:lineRule="auto"/>
              <w:ind w:left="588"/>
              <w:rPr>
                <w:rFonts w:ascii="宋体" w:hAnsi="宋体" w:eastAsia="宋体" w:cs="宋体"/>
                <w:sz w:val="21"/>
                <w:szCs w:val="21"/>
              </w:rPr>
            </w:pPr>
            <w:r>
              <w:rPr>
                <w:rFonts w:ascii="宋体" w:hAnsi="宋体" w:eastAsia="宋体" w:cs="宋体"/>
                <w:spacing w:val="-2"/>
                <w:sz w:val="21"/>
                <w:szCs w:val="21"/>
              </w:rPr>
              <w:t>五日生化需氧量</w:t>
            </w:r>
          </w:p>
        </w:tc>
        <w:tc>
          <w:tcPr>
            <w:tcW w:w="2539" w:type="dxa"/>
            <w:vAlign w:val="top"/>
          </w:tcPr>
          <w:p w14:paraId="60472667">
            <w:pPr>
              <w:pStyle w:val="6"/>
              <w:spacing w:before="102" w:line="188" w:lineRule="auto"/>
              <w:ind w:left="1159"/>
            </w:pPr>
            <w:r>
              <w:rPr>
                <w:spacing w:val="-2"/>
              </w:rPr>
              <w:t>≤4</w:t>
            </w:r>
          </w:p>
        </w:tc>
        <w:tc>
          <w:tcPr>
            <w:tcW w:w="2012" w:type="dxa"/>
            <w:vMerge w:val="continue"/>
            <w:tcBorders>
              <w:top w:val="nil"/>
              <w:bottom w:val="nil"/>
            </w:tcBorders>
            <w:vAlign w:val="top"/>
          </w:tcPr>
          <w:p w14:paraId="3E8CB761">
            <w:pPr>
              <w:rPr>
                <w:rFonts w:ascii="Arial"/>
                <w:sz w:val="21"/>
              </w:rPr>
            </w:pPr>
          </w:p>
        </w:tc>
      </w:tr>
      <w:tr w14:paraId="3F975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8" w:type="dxa"/>
            <w:vAlign w:val="top"/>
          </w:tcPr>
          <w:p w14:paraId="17E85A92">
            <w:pPr>
              <w:pStyle w:val="6"/>
              <w:spacing w:before="103" w:line="188" w:lineRule="auto"/>
              <w:ind w:left="517"/>
            </w:pPr>
            <w:r>
              <w:t>4</w:t>
            </w:r>
          </w:p>
        </w:tc>
        <w:tc>
          <w:tcPr>
            <w:tcW w:w="2631" w:type="dxa"/>
            <w:vAlign w:val="top"/>
          </w:tcPr>
          <w:p w14:paraId="0811F19A">
            <w:pPr>
              <w:spacing w:before="66" w:line="219" w:lineRule="auto"/>
              <w:ind w:left="1110"/>
              <w:rPr>
                <w:rFonts w:ascii="宋体" w:hAnsi="宋体" w:eastAsia="宋体" w:cs="宋体"/>
                <w:sz w:val="21"/>
                <w:szCs w:val="21"/>
              </w:rPr>
            </w:pPr>
            <w:r>
              <w:rPr>
                <w:rFonts w:ascii="宋体" w:hAnsi="宋体" w:eastAsia="宋体" w:cs="宋体"/>
                <w:spacing w:val="-3"/>
                <w:sz w:val="21"/>
                <w:szCs w:val="21"/>
              </w:rPr>
              <w:t>氨氮</w:t>
            </w:r>
          </w:p>
        </w:tc>
        <w:tc>
          <w:tcPr>
            <w:tcW w:w="2539" w:type="dxa"/>
            <w:vAlign w:val="top"/>
          </w:tcPr>
          <w:p w14:paraId="00E02AF5">
            <w:pPr>
              <w:pStyle w:val="6"/>
              <w:spacing w:before="103" w:line="188" w:lineRule="auto"/>
              <w:ind w:left="1080"/>
            </w:pPr>
            <w:r>
              <w:rPr>
                <w:spacing w:val="-1"/>
              </w:rPr>
              <w:t>≤1.0</w:t>
            </w:r>
          </w:p>
        </w:tc>
        <w:tc>
          <w:tcPr>
            <w:tcW w:w="2012" w:type="dxa"/>
            <w:vMerge w:val="continue"/>
            <w:tcBorders>
              <w:top w:val="nil"/>
              <w:bottom w:val="nil"/>
            </w:tcBorders>
            <w:vAlign w:val="top"/>
          </w:tcPr>
          <w:p w14:paraId="1F890A6B">
            <w:pPr>
              <w:rPr>
                <w:rFonts w:ascii="Arial"/>
                <w:sz w:val="21"/>
              </w:rPr>
            </w:pPr>
          </w:p>
        </w:tc>
      </w:tr>
      <w:tr w14:paraId="0AD25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8" w:type="dxa"/>
            <w:vAlign w:val="top"/>
          </w:tcPr>
          <w:p w14:paraId="18BFF05D">
            <w:pPr>
              <w:pStyle w:val="6"/>
              <w:spacing w:before="107" w:line="185" w:lineRule="auto"/>
              <w:ind w:left="524"/>
            </w:pPr>
            <w:r>
              <w:t>5</w:t>
            </w:r>
          </w:p>
        </w:tc>
        <w:tc>
          <w:tcPr>
            <w:tcW w:w="2631" w:type="dxa"/>
            <w:vAlign w:val="top"/>
          </w:tcPr>
          <w:p w14:paraId="228E848E">
            <w:pPr>
              <w:pStyle w:val="6"/>
              <w:spacing w:before="67" w:line="220" w:lineRule="auto"/>
              <w:ind w:left="584"/>
              <w:rPr>
                <w:rFonts w:ascii="宋体" w:hAnsi="宋体" w:eastAsia="宋体" w:cs="宋体"/>
              </w:rPr>
            </w:pPr>
            <w:r>
              <w:rPr>
                <w:rFonts w:ascii="宋体" w:hAnsi="宋体" w:eastAsia="宋体" w:cs="宋体"/>
                <w:spacing w:val="-3"/>
              </w:rPr>
              <w:t>总磷（以</w:t>
            </w:r>
            <w:r>
              <w:rPr>
                <w:rFonts w:ascii="宋体" w:hAnsi="宋体" w:eastAsia="宋体" w:cs="宋体"/>
                <w:spacing w:val="-46"/>
              </w:rPr>
              <w:t xml:space="preserve"> </w:t>
            </w:r>
            <w:r>
              <w:rPr>
                <w:spacing w:val="-3"/>
              </w:rPr>
              <w:t xml:space="preserve">P </w:t>
            </w:r>
            <w:r>
              <w:rPr>
                <w:rFonts w:ascii="宋体" w:hAnsi="宋体" w:eastAsia="宋体" w:cs="宋体"/>
                <w:spacing w:val="-3"/>
              </w:rPr>
              <w:t>计）</w:t>
            </w:r>
          </w:p>
        </w:tc>
        <w:tc>
          <w:tcPr>
            <w:tcW w:w="2539" w:type="dxa"/>
            <w:vAlign w:val="top"/>
          </w:tcPr>
          <w:p w14:paraId="77220D74">
            <w:pPr>
              <w:pStyle w:val="6"/>
              <w:spacing w:before="67" w:line="220" w:lineRule="auto"/>
              <w:ind w:left="345"/>
              <w:rPr>
                <w:rFonts w:ascii="宋体" w:hAnsi="宋体" w:eastAsia="宋体" w:cs="宋体"/>
              </w:rPr>
            </w:pPr>
            <w:r>
              <w:rPr>
                <w:spacing w:val="-1"/>
              </w:rPr>
              <w:t>≤0.2</w:t>
            </w:r>
            <w:r>
              <w:rPr>
                <w:rFonts w:ascii="宋体" w:hAnsi="宋体" w:eastAsia="宋体" w:cs="宋体"/>
                <w:spacing w:val="-1"/>
              </w:rPr>
              <w:t>（湖、库</w:t>
            </w:r>
            <w:r>
              <w:rPr>
                <w:rFonts w:ascii="宋体" w:hAnsi="宋体" w:eastAsia="宋体" w:cs="宋体"/>
                <w:spacing w:val="-43"/>
              </w:rPr>
              <w:t xml:space="preserve"> </w:t>
            </w:r>
            <w:r>
              <w:rPr>
                <w:spacing w:val="-1"/>
              </w:rPr>
              <w:t>0.05</w:t>
            </w:r>
            <w:r>
              <w:rPr>
                <w:rFonts w:ascii="宋体" w:hAnsi="宋体" w:eastAsia="宋体" w:cs="宋体"/>
                <w:spacing w:val="-1"/>
              </w:rPr>
              <w:t>）</w:t>
            </w:r>
          </w:p>
        </w:tc>
        <w:tc>
          <w:tcPr>
            <w:tcW w:w="2012" w:type="dxa"/>
            <w:vMerge w:val="continue"/>
            <w:tcBorders>
              <w:top w:val="nil"/>
              <w:bottom w:val="nil"/>
            </w:tcBorders>
            <w:vAlign w:val="top"/>
          </w:tcPr>
          <w:p w14:paraId="56D80B3F">
            <w:pPr>
              <w:rPr>
                <w:rFonts w:ascii="Arial"/>
                <w:sz w:val="21"/>
              </w:rPr>
            </w:pPr>
          </w:p>
        </w:tc>
      </w:tr>
      <w:tr w14:paraId="7944F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38" w:type="dxa"/>
            <w:vAlign w:val="top"/>
          </w:tcPr>
          <w:p w14:paraId="01012A84">
            <w:pPr>
              <w:pStyle w:val="6"/>
              <w:spacing w:before="104" w:line="188" w:lineRule="auto"/>
              <w:ind w:left="523"/>
            </w:pPr>
            <w:r>
              <w:t>6</w:t>
            </w:r>
          </w:p>
        </w:tc>
        <w:tc>
          <w:tcPr>
            <w:tcW w:w="2631" w:type="dxa"/>
            <w:vAlign w:val="top"/>
          </w:tcPr>
          <w:p w14:paraId="16BB5B0C">
            <w:pPr>
              <w:pStyle w:val="6"/>
              <w:spacing w:before="67" w:line="220" w:lineRule="auto"/>
              <w:ind w:left="388"/>
              <w:rPr>
                <w:rFonts w:ascii="宋体" w:hAnsi="宋体" w:eastAsia="宋体" w:cs="宋体"/>
              </w:rPr>
            </w:pPr>
            <w:r>
              <w:rPr>
                <w:rFonts w:ascii="宋体" w:hAnsi="宋体" w:eastAsia="宋体" w:cs="宋体"/>
                <w:spacing w:val="-1"/>
              </w:rPr>
              <w:t>粪大肠菌群（个</w:t>
            </w:r>
            <w:r>
              <w:rPr>
                <w:spacing w:val="-1"/>
              </w:rPr>
              <w:t>/L</w:t>
            </w:r>
            <w:r>
              <w:rPr>
                <w:rFonts w:ascii="宋体" w:hAnsi="宋体" w:eastAsia="宋体" w:cs="宋体"/>
                <w:spacing w:val="-1"/>
              </w:rPr>
              <w:t>）</w:t>
            </w:r>
          </w:p>
        </w:tc>
        <w:tc>
          <w:tcPr>
            <w:tcW w:w="2539" w:type="dxa"/>
            <w:vAlign w:val="top"/>
          </w:tcPr>
          <w:p w14:paraId="679D9CCC">
            <w:pPr>
              <w:pStyle w:val="6"/>
              <w:spacing w:before="104" w:line="188" w:lineRule="auto"/>
              <w:ind w:left="949"/>
            </w:pPr>
            <w:r>
              <w:rPr>
                <w:spacing w:val="-1"/>
              </w:rPr>
              <w:t>≤10000</w:t>
            </w:r>
          </w:p>
        </w:tc>
        <w:tc>
          <w:tcPr>
            <w:tcW w:w="2012" w:type="dxa"/>
            <w:vMerge w:val="continue"/>
            <w:tcBorders>
              <w:top w:val="nil"/>
            </w:tcBorders>
            <w:vAlign w:val="top"/>
          </w:tcPr>
          <w:p w14:paraId="45D99A43">
            <w:pPr>
              <w:rPr>
                <w:rFonts w:ascii="Arial"/>
                <w:sz w:val="21"/>
              </w:rPr>
            </w:pPr>
          </w:p>
        </w:tc>
      </w:tr>
    </w:tbl>
    <w:p w14:paraId="558B966B">
      <w:pPr>
        <w:spacing w:before="234"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）环境空气</w:t>
      </w:r>
    </w:p>
    <w:p w14:paraId="6E700077">
      <w:pPr>
        <w:spacing w:before="183" w:line="361" w:lineRule="auto"/>
        <w:ind w:left="39" w:right="30" w:firstLine="482"/>
        <w:rPr>
          <w:rFonts w:ascii="宋体" w:hAnsi="宋体" w:eastAsia="宋体" w:cs="宋体"/>
          <w:sz w:val="24"/>
          <w:szCs w:val="24"/>
        </w:rPr>
      </w:pPr>
      <w:r>
        <w:rPr>
          <w:rFonts w:ascii="宋体" w:hAnsi="宋体" w:eastAsia="宋体" w:cs="宋体"/>
          <w:spacing w:val="37"/>
          <w:sz w:val="24"/>
          <w:szCs w:val="24"/>
        </w:rPr>
        <w:t>大气常规因子环境空气质量现状评价</w:t>
      </w:r>
      <w:r>
        <w:rPr>
          <w:rFonts w:ascii="宋体" w:hAnsi="宋体" w:eastAsia="宋体" w:cs="宋体"/>
          <w:spacing w:val="-68"/>
          <w:sz w:val="24"/>
          <w:szCs w:val="24"/>
        </w:rPr>
        <w:t xml:space="preserve"> </w:t>
      </w:r>
      <w:r>
        <w:rPr>
          <w:rFonts w:ascii="宋体" w:hAnsi="宋体" w:eastAsia="宋体" w:cs="宋体"/>
          <w:spacing w:val="37"/>
          <w:sz w:val="24"/>
          <w:szCs w:val="24"/>
        </w:rPr>
        <w:t>执行《环境空气质量</w:t>
      </w:r>
      <w:r>
        <w:rPr>
          <w:rFonts w:ascii="宋体" w:hAnsi="宋体" w:eastAsia="宋体" w:cs="宋体"/>
          <w:spacing w:val="36"/>
          <w:sz w:val="24"/>
          <w:szCs w:val="24"/>
        </w:rPr>
        <w:t>标准》</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GB3095-2012</w:t>
      </w:r>
      <w:r>
        <w:rPr>
          <w:rFonts w:ascii="宋体" w:hAnsi="宋体" w:eastAsia="宋体" w:cs="宋体"/>
          <w:spacing w:val="-1"/>
          <w:sz w:val="24"/>
          <w:szCs w:val="24"/>
        </w:rPr>
        <w:t>）二级标准评价；</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执行《环境影响评价技术导则 大气环境》（</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）附录</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其他污染物空气质量</w:t>
      </w:r>
      <w:r>
        <w:rPr>
          <w:rFonts w:ascii="宋体" w:hAnsi="宋体" w:eastAsia="宋体" w:cs="宋体"/>
          <w:spacing w:val="-2"/>
          <w:sz w:val="24"/>
          <w:szCs w:val="24"/>
        </w:rPr>
        <w:t>浓度参考限值。</w:t>
      </w:r>
    </w:p>
    <w:p w14:paraId="5B79CF8D">
      <w:pPr>
        <w:spacing w:before="8" w:line="222"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1.2-3  </w:t>
      </w:r>
      <w:r>
        <w:rPr>
          <w:rFonts w:ascii="黑体" w:hAnsi="黑体" w:eastAsia="黑体" w:cs="黑体"/>
          <w:spacing w:val="-1"/>
          <w:sz w:val="21"/>
          <w:szCs w:val="21"/>
        </w:rPr>
        <w:t>环境空气质量标准</w:t>
      </w:r>
    </w:p>
    <w:p w14:paraId="2188A5F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1415"/>
        <w:gridCol w:w="2265"/>
        <w:gridCol w:w="1558"/>
        <w:gridCol w:w="706"/>
        <w:gridCol w:w="1517"/>
      </w:tblGrid>
      <w:tr w14:paraId="4A226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59" w:type="dxa"/>
            <w:vAlign w:val="top"/>
          </w:tcPr>
          <w:p w14:paraId="35D414B3">
            <w:pPr>
              <w:spacing w:before="68" w:line="221" w:lineRule="auto"/>
              <w:ind w:left="224"/>
              <w:rPr>
                <w:rFonts w:ascii="宋体" w:hAnsi="宋体" w:eastAsia="宋体" w:cs="宋体"/>
                <w:sz w:val="21"/>
                <w:szCs w:val="21"/>
              </w:rPr>
            </w:pPr>
            <w:r>
              <w:rPr>
                <w:rFonts w:ascii="宋体" w:hAnsi="宋体" w:eastAsia="宋体" w:cs="宋体"/>
                <w:spacing w:val="-2"/>
                <w:sz w:val="21"/>
                <w:szCs w:val="21"/>
              </w:rPr>
              <w:t>序号</w:t>
            </w:r>
          </w:p>
        </w:tc>
        <w:tc>
          <w:tcPr>
            <w:tcW w:w="1415" w:type="dxa"/>
            <w:vAlign w:val="top"/>
          </w:tcPr>
          <w:p w14:paraId="51E2528E">
            <w:pPr>
              <w:spacing w:before="69" w:line="218" w:lineRule="auto"/>
              <w:ind w:left="291"/>
              <w:rPr>
                <w:rFonts w:ascii="宋体" w:hAnsi="宋体" w:eastAsia="宋体" w:cs="宋体"/>
                <w:sz w:val="21"/>
                <w:szCs w:val="21"/>
              </w:rPr>
            </w:pPr>
            <w:r>
              <w:rPr>
                <w:rFonts w:ascii="宋体" w:hAnsi="宋体" w:eastAsia="宋体" w:cs="宋体"/>
                <w:spacing w:val="-2"/>
                <w:sz w:val="21"/>
                <w:szCs w:val="21"/>
              </w:rPr>
              <w:t>评价因子</w:t>
            </w:r>
          </w:p>
        </w:tc>
        <w:tc>
          <w:tcPr>
            <w:tcW w:w="2265" w:type="dxa"/>
            <w:vAlign w:val="top"/>
          </w:tcPr>
          <w:p w14:paraId="659904A1">
            <w:pPr>
              <w:spacing w:before="69" w:line="220" w:lineRule="auto"/>
              <w:ind w:left="717"/>
              <w:rPr>
                <w:rFonts w:ascii="宋体" w:hAnsi="宋体" w:eastAsia="宋体" w:cs="宋体"/>
                <w:sz w:val="21"/>
                <w:szCs w:val="21"/>
              </w:rPr>
            </w:pPr>
            <w:r>
              <w:rPr>
                <w:rFonts w:ascii="宋体" w:hAnsi="宋体" w:eastAsia="宋体" w:cs="宋体"/>
                <w:spacing w:val="-2"/>
                <w:sz w:val="21"/>
                <w:szCs w:val="21"/>
              </w:rPr>
              <w:t>平均时段</w:t>
            </w:r>
          </w:p>
        </w:tc>
        <w:tc>
          <w:tcPr>
            <w:tcW w:w="1558" w:type="dxa"/>
            <w:vAlign w:val="top"/>
          </w:tcPr>
          <w:p w14:paraId="1B08E8A5">
            <w:pPr>
              <w:spacing w:before="68" w:line="220" w:lineRule="auto"/>
              <w:ind w:left="471"/>
              <w:rPr>
                <w:rFonts w:ascii="宋体" w:hAnsi="宋体" w:eastAsia="宋体" w:cs="宋体"/>
                <w:sz w:val="21"/>
                <w:szCs w:val="21"/>
              </w:rPr>
            </w:pPr>
            <w:r>
              <w:rPr>
                <w:rFonts w:ascii="宋体" w:hAnsi="宋体" w:eastAsia="宋体" w:cs="宋体"/>
                <w:spacing w:val="-3"/>
                <w:sz w:val="21"/>
                <w:szCs w:val="21"/>
              </w:rPr>
              <w:t>标准值</w:t>
            </w:r>
          </w:p>
        </w:tc>
        <w:tc>
          <w:tcPr>
            <w:tcW w:w="706" w:type="dxa"/>
            <w:vAlign w:val="top"/>
          </w:tcPr>
          <w:p w14:paraId="5186FD69">
            <w:pPr>
              <w:spacing w:before="69" w:line="220" w:lineRule="auto"/>
              <w:ind w:left="151"/>
              <w:rPr>
                <w:rFonts w:ascii="宋体" w:hAnsi="宋体" w:eastAsia="宋体" w:cs="宋体"/>
                <w:sz w:val="21"/>
                <w:szCs w:val="21"/>
              </w:rPr>
            </w:pPr>
            <w:r>
              <w:rPr>
                <w:rFonts w:ascii="宋体" w:hAnsi="宋体" w:eastAsia="宋体" w:cs="宋体"/>
                <w:spacing w:val="-3"/>
                <w:sz w:val="21"/>
                <w:szCs w:val="21"/>
              </w:rPr>
              <w:t>单位</w:t>
            </w:r>
          </w:p>
        </w:tc>
        <w:tc>
          <w:tcPr>
            <w:tcW w:w="1517" w:type="dxa"/>
            <w:vAlign w:val="top"/>
          </w:tcPr>
          <w:p w14:paraId="71EA6EE1">
            <w:pPr>
              <w:spacing w:before="68" w:line="220" w:lineRule="auto"/>
              <w:ind w:left="344"/>
              <w:rPr>
                <w:rFonts w:ascii="宋体" w:hAnsi="宋体" w:eastAsia="宋体" w:cs="宋体"/>
                <w:sz w:val="21"/>
                <w:szCs w:val="21"/>
              </w:rPr>
            </w:pPr>
            <w:r>
              <w:rPr>
                <w:rFonts w:ascii="宋体" w:hAnsi="宋体" w:eastAsia="宋体" w:cs="宋体"/>
                <w:spacing w:val="-2"/>
                <w:sz w:val="21"/>
                <w:szCs w:val="21"/>
              </w:rPr>
              <w:t>标准来源</w:t>
            </w:r>
          </w:p>
        </w:tc>
      </w:tr>
      <w:tr w14:paraId="3A7E5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restart"/>
            <w:tcBorders>
              <w:bottom w:val="nil"/>
            </w:tcBorders>
            <w:vAlign w:val="top"/>
          </w:tcPr>
          <w:p w14:paraId="5C1F18F8">
            <w:pPr>
              <w:spacing w:line="389" w:lineRule="auto"/>
              <w:rPr>
                <w:rFonts w:ascii="Arial"/>
                <w:sz w:val="21"/>
              </w:rPr>
            </w:pPr>
          </w:p>
          <w:p w14:paraId="728729CA">
            <w:pPr>
              <w:pStyle w:val="6"/>
              <w:spacing w:before="60" w:line="188" w:lineRule="auto"/>
              <w:ind w:left="398"/>
            </w:pPr>
            <w:r>
              <w:t>1</w:t>
            </w:r>
          </w:p>
        </w:tc>
        <w:tc>
          <w:tcPr>
            <w:tcW w:w="1415" w:type="dxa"/>
            <w:vMerge w:val="restart"/>
            <w:tcBorders>
              <w:bottom w:val="nil"/>
            </w:tcBorders>
            <w:vAlign w:val="top"/>
          </w:tcPr>
          <w:p w14:paraId="68DAD3AD">
            <w:pPr>
              <w:spacing w:line="389" w:lineRule="auto"/>
              <w:rPr>
                <w:rFonts w:ascii="Arial"/>
                <w:sz w:val="21"/>
              </w:rPr>
            </w:pPr>
          </w:p>
          <w:p w14:paraId="17779347">
            <w:pPr>
              <w:pStyle w:val="6"/>
              <w:spacing w:before="60" w:line="198" w:lineRule="auto"/>
              <w:ind w:left="548"/>
              <w:rPr>
                <w:sz w:val="14"/>
                <w:szCs w:val="14"/>
              </w:rPr>
            </w:pPr>
            <w:r>
              <w:rPr>
                <w:spacing w:val="-5"/>
              </w:rPr>
              <w:t>SO</w:t>
            </w:r>
            <w:r>
              <w:rPr>
                <w:spacing w:val="-5"/>
                <w:position w:val="-2"/>
                <w:sz w:val="14"/>
                <w:szCs w:val="14"/>
              </w:rPr>
              <w:t>2</w:t>
            </w:r>
          </w:p>
        </w:tc>
        <w:tc>
          <w:tcPr>
            <w:tcW w:w="2265" w:type="dxa"/>
            <w:vAlign w:val="top"/>
          </w:tcPr>
          <w:p w14:paraId="2156AA58">
            <w:pPr>
              <w:spacing w:before="64" w:line="220" w:lineRule="auto"/>
              <w:ind w:left="823"/>
              <w:rPr>
                <w:rFonts w:ascii="宋体" w:hAnsi="宋体" w:eastAsia="宋体" w:cs="宋体"/>
                <w:sz w:val="21"/>
                <w:szCs w:val="21"/>
              </w:rPr>
            </w:pPr>
            <w:r>
              <w:rPr>
                <w:rFonts w:ascii="宋体" w:hAnsi="宋体" w:eastAsia="宋体" w:cs="宋体"/>
                <w:spacing w:val="-3"/>
                <w:sz w:val="21"/>
                <w:szCs w:val="21"/>
              </w:rPr>
              <w:t>年平均</w:t>
            </w:r>
          </w:p>
        </w:tc>
        <w:tc>
          <w:tcPr>
            <w:tcW w:w="1558" w:type="dxa"/>
            <w:vAlign w:val="top"/>
          </w:tcPr>
          <w:p w14:paraId="7DFEA68F">
            <w:pPr>
              <w:pStyle w:val="6"/>
              <w:spacing w:before="101" w:line="188" w:lineRule="auto"/>
              <w:ind w:left="681"/>
            </w:pPr>
            <w:r>
              <w:rPr>
                <w:spacing w:val="-5"/>
              </w:rPr>
              <w:t>60</w:t>
            </w:r>
          </w:p>
        </w:tc>
        <w:tc>
          <w:tcPr>
            <w:tcW w:w="706" w:type="dxa"/>
            <w:vMerge w:val="restart"/>
            <w:tcBorders>
              <w:bottom w:val="nil"/>
            </w:tcBorders>
            <w:vAlign w:val="top"/>
          </w:tcPr>
          <w:p w14:paraId="1CF99EA6">
            <w:pPr>
              <w:spacing w:line="286" w:lineRule="auto"/>
              <w:rPr>
                <w:rFonts w:ascii="Arial"/>
                <w:sz w:val="21"/>
              </w:rPr>
            </w:pPr>
          </w:p>
          <w:p w14:paraId="76601DBB">
            <w:pPr>
              <w:spacing w:line="286" w:lineRule="auto"/>
              <w:rPr>
                <w:rFonts w:ascii="Arial"/>
                <w:sz w:val="21"/>
              </w:rPr>
            </w:pPr>
          </w:p>
          <w:p w14:paraId="0C0711CF">
            <w:pPr>
              <w:spacing w:line="286" w:lineRule="auto"/>
              <w:rPr>
                <w:rFonts w:ascii="Arial"/>
                <w:sz w:val="21"/>
              </w:rPr>
            </w:pPr>
          </w:p>
          <w:p w14:paraId="3C97DF4A">
            <w:pPr>
              <w:pStyle w:val="6"/>
              <w:spacing w:before="61" w:line="215" w:lineRule="auto"/>
              <w:ind w:left="109"/>
              <w:rPr>
                <w:sz w:val="14"/>
                <w:szCs w:val="14"/>
              </w:rPr>
            </w:pPr>
            <w:r>
              <w:rPr>
                <w:spacing w:val="-3"/>
              </w:rPr>
              <w:t>μg/m</w:t>
            </w:r>
            <w:r>
              <w:rPr>
                <w:spacing w:val="-3"/>
                <w:position w:val="9"/>
                <w:sz w:val="14"/>
                <w:szCs w:val="14"/>
              </w:rPr>
              <w:t>3</w:t>
            </w:r>
          </w:p>
        </w:tc>
        <w:tc>
          <w:tcPr>
            <w:tcW w:w="1517" w:type="dxa"/>
            <w:vMerge w:val="restart"/>
            <w:tcBorders>
              <w:bottom w:val="nil"/>
            </w:tcBorders>
            <w:vAlign w:val="top"/>
          </w:tcPr>
          <w:p w14:paraId="311EC2A7">
            <w:pPr>
              <w:spacing w:line="251" w:lineRule="auto"/>
              <w:rPr>
                <w:rFonts w:ascii="Arial"/>
                <w:sz w:val="21"/>
              </w:rPr>
            </w:pPr>
          </w:p>
          <w:p w14:paraId="5647AEDF">
            <w:pPr>
              <w:spacing w:line="251" w:lineRule="auto"/>
              <w:rPr>
                <w:rFonts w:ascii="Arial"/>
                <w:sz w:val="21"/>
              </w:rPr>
            </w:pPr>
          </w:p>
          <w:p w14:paraId="0DD26E8A">
            <w:pPr>
              <w:spacing w:line="252" w:lineRule="auto"/>
              <w:rPr>
                <w:rFonts w:ascii="Arial"/>
                <w:sz w:val="21"/>
              </w:rPr>
            </w:pPr>
          </w:p>
          <w:p w14:paraId="4BB89A0A">
            <w:pPr>
              <w:spacing w:line="252" w:lineRule="auto"/>
              <w:rPr>
                <w:rFonts w:ascii="Arial"/>
                <w:sz w:val="21"/>
              </w:rPr>
            </w:pPr>
          </w:p>
          <w:p w14:paraId="04C476B6">
            <w:pPr>
              <w:spacing w:line="252" w:lineRule="auto"/>
              <w:rPr>
                <w:rFonts w:ascii="Arial"/>
                <w:sz w:val="21"/>
              </w:rPr>
            </w:pPr>
          </w:p>
          <w:p w14:paraId="74BBAE5C">
            <w:pPr>
              <w:pStyle w:val="6"/>
              <w:spacing w:before="61" w:line="188" w:lineRule="auto"/>
              <w:ind w:left="161"/>
            </w:pPr>
            <w:r>
              <w:rPr>
                <w:spacing w:val="-1"/>
              </w:rPr>
              <w:t>GB3095-2012</w:t>
            </w:r>
          </w:p>
        </w:tc>
      </w:tr>
      <w:tr w14:paraId="1F45A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continue"/>
            <w:tcBorders>
              <w:top w:val="nil"/>
              <w:bottom w:val="nil"/>
            </w:tcBorders>
            <w:vAlign w:val="top"/>
          </w:tcPr>
          <w:p w14:paraId="63C44FE2">
            <w:pPr>
              <w:rPr>
                <w:rFonts w:ascii="Arial"/>
                <w:sz w:val="21"/>
              </w:rPr>
            </w:pPr>
          </w:p>
        </w:tc>
        <w:tc>
          <w:tcPr>
            <w:tcW w:w="1415" w:type="dxa"/>
            <w:vMerge w:val="continue"/>
            <w:tcBorders>
              <w:top w:val="nil"/>
              <w:bottom w:val="nil"/>
            </w:tcBorders>
            <w:vAlign w:val="top"/>
          </w:tcPr>
          <w:p w14:paraId="5EE0E961">
            <w:pPr>
              <w:rPr>
                <w:rFonts w:ascii="Arial"/>
                <w:sz w:val="21"/>
              </w:rPr>
            </w:pPr>
          </w:p>
        </w:tc>
        <w:tc>
          <w:tcPr>
            <w:tcW w:w="2265" w:type="dxa"/>
            <w:vAlign w:val="top"/>
          </w:tcPr>
          <w:p w14:paraId="552F0421">
            <w:pPr>
              <w:pStyle w:val="6"/>
              <w:spacing w:before="65" w:line="220" w:lineRule="auto"/>
              <w:ind w:left="582"/>
              <w:rPr>
                <w:rFonts w:ascii="宋体" w:hAnsi="宋体" w:eastAsia="宋体" w:cs="宋体"/>
              </w:rPr>
            </w:pPr>
            <w:r>
              <w:rPr>
                <w:spacing w:val="-3"/>
              </w:rPr>
              <w:t>24</w:t>
            </w:r>
            <w:r>
              <w:rPr>
                <w:spacing w:val="17"/>
                <w:w w:val="101"/>
              </w:rPr>
              <w:t xml:space="preserve"> </w:t>
            </w:r>
            <w:r>
              <w:rPr>
                <w:rFonts w:ascii="宋体" w:hAnsi="宋体" w:eastAsia="宋体" w:cs="宋体"/>
                <w:spacing w:val="-3"/>
              </w:rPr>
              <w:t>小时平均</w:t>
            </w:r>
          </w:p>
        </w:tc>
        <w:tc>
          <w:tcPr>
            <w:tcW w:w="1558" w:type="dxa"/>
            <w:vAlign w:val="top"/>
          </w:tcPr>
          <w:p w14:paraId="62631F67">
            <w:pPr>
              <w:pStyle w:val="6"/>
              <w:spacing w:before="102" w:line="188" w:lineRule="auto"/>
              <w:ind w:left="644"/>
            </w:pPr>
            <w:r>
              <w:rPr>
                <w:spacing w:val="-9"/>
              </w:rPr>
              <w:t>150</w:t>
            </w:r>
          </w:p>
        </w:tc>
        <w:tc>
          <w:tcPr>
            <w:tcW w:w="706" w:type="dxa"/>
            <w:vMerge w:val="continue"/>
            <w:tcBorders>
              <w:top w:val="nil"/>
              <w:bottom w:val="nil"/>
            </w:tcBorders>
            <w:vAlign w:val="top"/>
          </w:tcPr>
          <w:p w14:paraId="1B28605C">
            <w:pPr>
              <w:rPr>
                <w:rFonts w:ascii="Arial"/>
                <w:sz w:val="21"/>
              </w:rPr>
            </w:pPr>
          </w:p>
        </w:tc>
        <w:tc>
          <w:tcPr>
            <w:tcW w:w="1517" w:type="dxa"/>
            <w:vMerge w:val="continue"/>
            <w:tcBorders>
              <w:top w:val="nil"/>
              <w:bottom w:val="nil"/>
            </w:tcBorders>
            <w:vAlign w:val="top"/>
          </w:tcPr>
          <w:p w14:paraId="69F2E912">
            <w:pPr>
              <w:rPr>
                <w:rFonts w:ascii="Arial"/>
                <w:sz w:val="21"/>
              </w:rPr>
            </w:pPr>
          </w:p>
        </w:tc>
      </w:tr>
      <w:tr w14:paraId="5C4EF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59" w:type="dxa"/>
            <w:vMerge w:val="continue"/>
            <w:tcBorders>
              <w:top w:val="nil"/>
            </w:tcBorders>
            <w:vAlign w:val="top"/>
          </w:tcPr>
          <w:p w14:paraId="2290938C">
            <w:pPr>
              <w:rPr>
                <w:rFonts w:ascii="Arial"/>
                <w:sz w:val="21"/>
              </w:rPr>
            </w:pPr>
          </w:p>
        </w:tc>
        <w:tc>
          <w:tcPr>
            <w:tcW w:w="1415" w:type="dxa"/>
            <w:vMerge w:val="continue"/>
            <w:tcBorders>
              <w:top w:val="nil"/>
            </w:tcBorders>
            <w:vAlign w:val="top"/>
          </w:tcPr>
          <w:p w14:paraId="28326A12">
            <w:pPr>
              <w:rPr>
                <w:rFonts w:ascii="Arial"/>
                <w:sz w:val="21"/>
              </w:rPr>
            </w:pPr>
          </w:p>
        </w:tc>
        <w:tc>
          <w:tcPr>
            <w:tcW w:w="2265" w:type="dxa"/>
            <w:vAlign w:val="top"/>
          </w:tcPr>
          <w:p w14:paraId="343408D0">
            <w:pPr>
              <w:pStyle w:val="6"/>
              <w:spacing w:before="66" w:line="220" w:lineRule="auto"/>
              <w:ind w:left="655"/>
              <w:rPr>
                <w:rFonts w:ascii="宋体" w:hAnsi="宋体" w:eastAsia="宋体" w:cs="宋体"/>
              </w:rPr>
            </w:pPr>
            <w:r>
              <w:rPr>
                <w:spacing w:val="-7"/>
              </w:rPr>
              <w:t>1</w:t>
            </w:r>
            <w:r>
              <w:rPr>
                <w:spacing w:val="14"/>
                <w:w w:val="101"/>
              </w:rPr>
              <w:t xml:space="preserve"> </w:t>
            </w:r>
            <w:r>
              <w:rPr>
                <w:rFonts w:ascii="宋体" w:hAnsi="宋体" w:eastAsia="宋体" w:cs="宋体"/>
                <w:spacing w:val="-7"/>
              </w:rPr>
              <w:t>小时平均</w:t>
            </w:r>
          </w:p>
        </w:tc>
        <w:tc>
          <w:tcPr>
            <w:tcW w:w="1558" w:type="dxa"/>
            <w:vAlign w:val="top"/>
          </w:tcPr>
          <w:p w14:paraId="09F55715">
            <w:pPr>
              <w:pStyle w:val="6"/>
              <w:spacing w:before="102" w:line="188" w:lineRule="auto"/>
              <w:ind w:left="629"/>
            </w:pPr>
            <w:r>
              <w:rPr>
                <w:spacing w:val="-4"/>
              </w:rPr>
              <w:t>500</w:t>
            </w:r>
          </w:p>
        </w:tc>
        <w:tc>
          <w:tcPr>
            <w:tcW w:w="706" w:type="dxa"/>
            <w:vMerge w:val="continue"/>
            <w:tcBorders>
              <w:top w:val="nil"/>
              <w:bottom w:val="nil"/>
            </w:tcBorders>
            <w:vAlign w:val="top"/>
          </w:tcPr>
          <w:p w14:paraId="5C0899BB">
            <w:pPr>
              <w:rPr>
                <w:rFonts w:ascii="Arial"/>
                <w:sz w:val="21"/>
              </w:rPr>
            </w:pPr>
          </w:p>
        </w:tc>
        <w:tc>
          <w:tcPr>
            <w:tcW w:w="1517" w:type="dxa"/>
            <w:vMerge w:val="continue"/>
            <w:tcBorders>
              <w:top w:val="nil"/>
              <w:bottom w:val="nil"/>
            </w:tcBorders>
            <w:vAlign w:val="top"/>
          </w:tcPr>
          <w:p w14:paraId="6CC848C3">
            <w:pPr>
              <w:rPr>
                <w:rFonts w:ascii="Arial"/>
                <w:sz w:val="21"/>
              </w:rPr>
            </w:pPr>
          </w:p>
        </w:tc>
      </w:tr>
      <w:tr w14:paraId="5F35A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restart"/>
            <w:tcBorders>
              <w:bottom w:val="nil"/>
            </w:tcBorders>
            <w:vAlign w:val="top"/>
          </w:tcPr>
          <w:p w14:paraId="4F6AB46C">
            <w:pPr>
              <w:spacing w:line="391" w:lineRule="auto"/>
              <w:rPr>
                <w:rFonts w:ascii="Arial"/>
                <w:sz w:val="21"/>
              </w:rPr>
            </w:pPr>
          </w:p>
          <w:p w14:paraId="030491EF">
            <w:pPr>
              <w:pStyle w:val="6"/>
              <w:spacing w:before="60" w:line="188" w:lineRule="auto"/>
              <w:ind w:left="378"/>
            </w:pPr>
            <w:r>
              <w:t>2</w:t>
            </w:r>
          </w:p>
        </w:tc>
        <w:tc>
          <w:tcPr>
            <w:tcW w:w="1415" w:type="dxa"/>
            <w:vMerge w:val="restart"/>
            <w:tcBorders>
              <w:bottom w:val="nil"/>
            </w:tcBorders>
            <w:vAlign w:val="top"/>
          </w:tcPr>
          <w:p w14:paraId="6538EDFE">
            <w:pPr>
              <w:spacing w:line="391" w:lineRule="auto"/>
              <w:rPr>
                <w:rFonts w:ascii="Arial"/>
                <w:sz w:val="21"/>
              </w:rPr>
            </w:pPr>
          </w:p>
          <w:p w14:paraId="3AE95B6D">
            <w:pPr>
              <w:pStyle w:val="6"/>
              <w:spacing w:before="60" w:line="198" w:lineRule="auto"/>
              <w:ind w:left="514"/>
              <w:rPr>
                <w:sz w:val="14"/>
                <w:szCs w:val="14"/>
              </w:rPr>
            </w:pPr>
            <w:r>
              <w:t>NO</w:t>
            </w:r>
            <w:r>
              <w:rPr>
                <w:spacing w:val="1"/>
                <w:position w:val="-2"/>
                <w:sz w:val="14"/>
                <w:szCs w:val="14"/>
              </w:rPr>
              <w:t>2</w:t>
            </w:r>
          </w:p>
        </w:tc>
        <w:tc>
          <w:tcPr>
            <w:tcW w:w="2265" w:type="dxa"/>
            <w:vAlign w:val="top"/>
          </w:tcPr>
          <w:p w14:paraId="0B757C40">
            <w:pPr>
              <w:spacing w:before="66" w:line="220" w:lineRule="auto"/>
              <w:ind w:left="823"/>
              <w:rPr>
                <w:rFonts w:ascii="宋体" w:hAnsi="宋体" w:eastAsia="宋体" w:cs="宋体"/>
                <w:sz w:val="21"/>
                <w:szCs w:val="21"/>
              </w:rPr>
            </w:pPr>
            <w:r>
              <w:rPr>
                <w:rFonts w:ascii="宋体" w:hAnsi="宋体" w:eastAsia="宋体" w:cs="宋体"/>
                <w:spacing w:val="-3"/>
                <w:sz w:val="21"/>
                <w:szCs w:val="21"/>
              </w:rPr>
              <w:t>年平均</w:t>
            </w:r>
          </w:p>
        </w:tc>
        <w:tc>
          <w:tcPr>
            <w:tcW w:w="1558" w:type="dxa"/>
            <w:vAlign w:val="top"/>
          </w:tcPr>
          <w:p w14:paraId="4A4F741F">
            <w:pPr>
              <w:pStyle w:val="6"/>
              <w:spacing w:before="103" w:line="188" w:lineRule="auto"/>
              <w:ind w:left="675"/>
            </w:pPr>
            <w:r>
              <w:rPr>
                <w:spacing w:val="-2"/>
              </w:rPr>
              <w:t>40</w:t>
            </w:r>
          </w:p>
        </w:tc>
        <w:tc>
          <w:tcPr>
            <w:tcW w:w="706" w:type="dxa"/>
            <w:vMerge w:val="continue"/>
            <w:tcBorders>
              <w:top w:val="nil"/>
              <w:bottom w:val="nil"/>
            </w:tcBorders>
            <w:vAlign w:val="top"/>
          </w:tcPr>
          <w:p w14:paraId="4627850A">
            <w:pPr>
              <w:rPr>
                <w:rFonts w:ascii="Arial"/>
                <w:sz w:val="21"/>
              </w:rPr>
            </w:pPr>
          </w:p>
        </w:tc>
        <w:tc>
          <w:tcPr>
            <w:tcW w:w="1517" w:type="dxa"/>
            <w:vMerge w:val="continue"/>
            <w:tcBorders>
              <w:top w:val="nil"/>
              <w:bottom w:val="nil"/>
            </w:tcBorders>
            <w:vAlign w:val="top"/>
          </w:tcPr>
          <w:p w14:paraId="0F8EFC9C">
            <w:pPr>
              <w:rPr>
                <w:rFonts w:ascii="Arial"/>
                <w:sz w:val="21"/>
              </w:rPr>
            </w:pPr>
          </w:p>
        </w:tc>
      </w:tr>
      <w:tr w14:paraId="79248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continue"/>
            <w:tcBorders>
              <w:top w:val="nil"/>
              <w:bottom w:val="nil"/>
            </w:tcBorders>
            <w:vAlign w:val="top"/>
          </w:tcPr>
          <w:p w14:paraId="6C022C04">
            <w:pPr>
              <w:rPr>
                <w:rFonts w:ascii="Arial"/>
                <w:sz w:val="21"/>
              </w:rPr>
            </w:pPr>
          </w:p>
        </w:tc>
        <w:tc>
          <w:tcPr>
            <w:tcW w:w="1415" w:type="dxa"/>
            <w:vMerge w:val="continue"/>
            <w:tcBorders>
              <w:top w:val="nil"/>
              <w:bottom w:val="nil"/>
            </w:tcBorders>
            <w:vAlign w:val="top"/>
          </w:tcPr>
          <w:p w14:paraId="1F4D1550">
            <w:pPr>
              <w:rPr>
                <w:rFonts w:ascii="Arial"/>
                <w:sz w:val="21"/>
              </w:rPr>
            </w:pPr>
          </w:p>
        </w:tc>
        <w:tc>
          <w:tcPr>
            <w:tcW w:w="2265" w:type="dxa"/>
            <w:vAlign w:val="top"/>
          </w:tcPr>
          <w:p w14:paraId="6029F4C0">
            <w:pPr>
              <w:pStyle w:val="6"/>
              <w:spacing w:before="67" w:line="220" w:lineRule="auto"/>
              <w:ind w:left="582"/>
              <w:rPr>
                <w:rFonts w:ascii="宋体" w:hAnsi="宋体" w:eastAsia="宋体" w:cs="宋体"/>
              </w:rPr>
            </w:pPr>
            <w:r>
              <w:rPr>
                <w:spacing w:val="-3"/>
              </w:rPr>
              <w:t>24</w:t>
            </w:r>
            <w:r>
              <w:rPr>
                <w:spacing w:val="17"/>
                <w:w w:val="101"/>
              </w:rPr>
              <w:t xml:space="preserve"> </w:t>
            </w:r>
            <w:r>
              <w:rPr>
                <w:rFonts w:ascii="宋体" w:hAnsi="宋体" w:eastAsia="宋体" w:cs="宋体"/>
                <w:spacing w:val="-3"/>
              </w:rPr>
              <w:t>小时平均</w:t>
            </w:r>
          </w:p>
        </w:tc>
        <w:tc>
          <w:tcPr>
            <w:tcW w:w="1558" w:type="dxa"/>
            <w:vAlign w:val="top"/>
          </w:tcPr>
          <w:p w14:paraId="7B7B838E">
            <w:pPr>
              <w:pStyle w:val="6"/>
              <w:spacing w:before="104" w:line="188" w:lineRule="auto"/>
              <w:ind w:left="685"/>
            </w:pPr>
            <w:r>
              <w:rPr>
                <w:spacing w:val="-7"/>
              </w:rPr>
              <w:t>80</w:t>
            </w:r>
          </w:p>
        </w:tc>
        <w:tc>
          <w:tcPr>
            <w:tcW w:w="706" w:type="dxa"/>
            <w:vMerge w:val="continue"/>
            <w:tcBorders>
              <w:top w:val="nil"/>
              <w:bottom w:val="nil"/>
            </w:tcBorders>
            <w:vAlign w:val="top"/>
          </w:tcPr>
          <w:p w14:paraId="65A08A01">
            <w:pPr>
              <w:rPr>
                <w:rFonts w:ascii="Arial"/>
                <w:sz w:val="21"/>
              </w:rPr>
            </w:pPr>
          </w:p>
        </w:tc>
        <w:tc>
          <w:tcPr>
            <w:tcW w:w="1517" w:type="dxa"/>
            <w:vMerge w:val="continue"/>
            <w:tcBorders>
              <w:top w:val="nil"/>
              <w:bottom w:val="nil"/>
            </w:tcBorders>
            <w:vAlign w:val="top"/>
          </w:tcPr>
          <w:p w14:paraId="083DC902">
            <w:pPr>
              <w:rPr>
                <w:rFonts w:ascii="Arial"/>
                <w:sz w:val="21"/>
              </w:rPr>
            </w:pPr>
          </w:p>
        </w:tc>
      </w:tr>
      <w:tr w14:paraId="6484E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9" w:type="dxa"/>
            <w:vMerge w:val="continue"/>
            <w:tcBorders>
              <w:top w:val="nil"/>
            </w:tcBorders>
            <w:vAlign w:val="top"/>
          </w:tcPr>
          <w:p w14:paraId="34AE3D84">
            <w:pPr>
              <w:rPr>
                <w:rFonts w:ascii="Arial"/>
                <w:sz w:val="21"/>
              </w:rPr>
            </w:pPr>
          </w:p>
        </w:tc>
        <w:tc>
          <w:tcPr>
            <w:tcW w:w="1415" w:type="dxa"/>
            <w:vMerge w:val="continue"/>
            <w:tcBorders>
              <w:top w:val="nil"/>
            </w:tcBorders>
            <w:vAlign w:val="top"/>
          </w:tcPr>
          <w:p w14:paraId="09B1DE91">
            <w:pPr>
              <w:rPr>
                <w:rFonts w:ascii="Arial"/>
                <w:sz w:val="21"/>
              </w:rPr>
            </w:pPr>
          </w:p>
        </w:tc>
        <w:tc>
          <w:tcPr>
            <w:tcW w:w="2265" w:type="dxa"/>
            <w:vAlign w:val="top"/>
          </w:tcPr>
          <w:p w14:paraId="1A80FCA1">
            <w:pPr>
              <w:pStyle w:val="6"/>
              <w:spacing w:before="68" w:line="220" w:lineRule="auto"/>
              <w:ind w:left="655"/>
              <w:rPr>
                <w:rFonts w:ascii="宋体" w:hAnsi="宋体" w:eastAsia="宋体" w:cs="宋体"/>
              </w:rPr>
            </w:pPr>
            <w:r>
              <w:rPr>
                <w:spacing w:val="-7"/>
              </w:rPr>
              <w:t>1</w:t>
            </w:r>
            <w:r>
              <w:rPr>
                <w:spacing w:val="14"/>
                <w:w w:val="101"/>
              </w:rPr>
              <w:t xml:space="preserve"> </w:t>
            </w:r>
            <w:r>
              <w:rPr>
                <w:rFonts w:ascii="宋体" w:hAnsi="宋体" w:eastAsia="宋体" w:cs="宋体"/>
                <w:spacing w:val="-7"/>
              </w:rPr>
              <w:t>小时平均</w:t>
            </w:r>
          </w:p>
        </w:tc>
        <w:tc>
          <w:tcPr>
            <w:tcW w:w="1558" w:type="dxa"/>
            <w:vAlign w:val="top"/>
          </w:tcPr>
          <w:p w14:paraId="0BC5F5EC">
            <w:pPr>
              <w:pStyle w:val="6"/>
              <w:spacing w:before="104" w:line="188" w:lineRule="auto"/>
              <w:ind w:left="624"/>
            </w:pPr>
            <w:r>
              <w:rPr>
                <w:spacing w:val="-2"/>
              </w:rPr>
              <w:t>200</w:t>
            </w:r>
          </w:p>
        </w:tc>
        <w:tc>
          <w:tcPr>
            <w:tcW w:w="706" w:type="dxa"/>
            <w:vMerge w:val="continue"/>
            <w:tcBorders>
              <w:top w:val="nil"/>
            </w:tcBorders>
            <w:vAlign w:val="top"/>
          </w:tcPr>
          <w:p w14:paraId="1B496397">
            <w:pPr>
              <w:rPr>
                <w:rFonts w:ascii="Arial"/>
                <w:sz w:val="21"/>
              </w:rPr>
            </w:pPr>
          </w:p>
        </w:tc>
        <w:tc>
          <w:tcPr>
            <w:tcW w:w="1517" w:type="dxa"/>
            <w:vMerge w:val="continue"/>
            <w:tcBorders>
              <w:top w:val="nil"/>
              <w:bottom w:val="nil"/>
            </w:tcBorders>
            <w:vAlign w:val="top"/>
          </w:tcPr>
          <w:p w14:paraId="53E46DD1">
            <w:pPr>
              <w:rPr>
                <w:rFonts w:ascii="Arial"/>
                <w:sz w:val="21"/>
              </w:rPr>
            </w:pPr>
          </w:p>
        </w:tc>
      </w:tr>
      <w:tr w14:paraId="249B9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restart"/>
            <w:tcBorders>
              <w:bottom w:val="nil"/>
            </w:tcBorders>
            <w:vAlign w:val="top"/>
          </w:tcPr>
          <w:p w14:paraId="178CE58D">
            <w:pPr>
              <w:pStyle w:val="6"/>
              <w:spacing w:before="279" w:line="188" w:lineRule="auto"/>
              <w:ind w:left="382"/>
            </w:pPr>
            <w:r>
              <w:t>3</w:t>
            </w:r>
          </w:p>
        </w:tc>
        <w:tc>
          <w:tcPr>
            <w:tcW w:w="1415" w:type="dxa"/>
            <w:vMerge w:val="restart"/>
            <w:tcBorders>
              <w:bottom w:val="nil"/>
            </w:tcBorders>
            <w:vAlign w:val="top"/>
          </w:tcPr>
          <w:p w14:paraId="6CF9AB22">
            <w:pPr>
              <w:pStyle w:val="6"/>
              <w:spacing w:before="279" w:line="188" w:lineRule="auto"/>
              <w:ind w:left="565"/>
            </w:pPr>
            <w:r>
              <w:rPr>
                <w:spacing w:val="-2"/>
              </w:rPr>
              <w:t>CO</w:t>
            </w:r>
          </w:p>
        </w:tc>
        <w:tc>
          <w:tcPr>
            <w:tcW w:w="2265" w:type="dxa"/>
            <w:vAlign w:val="top"/>
          </w:tcPr>
          <w:p w14:paraId="4424E833">
            <w:pPr>
              <w:pStyle w:val="6"/>
              <w:spacing w:before="68" w:line="220" w:lineRule="auto"/>
              <w:ind w:left="582"/>
              <w:rPr>
                <w:rFonts w:ascii="宋体" w:hAnsi="宋体" w:eastAsia="宋体" w:cs="宋体"/>
              </w:rPr>
            </w:pPr>
            <w:r>
              <w:rPr>
                <w:spacing w:val="-3"/>
              </w:rPr>
              <w:t>24</w:t>
            </w:r>
            <w:r>
              <w:rPr>
                <w:spacing w:val="17"/>
                <w:w w:val="101"/>
              </w:rPr>
              <w:t xml:space="preserve"> </w:t>
            </w:r>
            <w:r>
              <w:rPr>
                <w:rFonts w:ascii="宋体" w:hAnsi="宋体" w:eastAsia="宋体" w:cs="宋体"/>
                <w:spacing w:val="-3"/>
              </w:rPr>
              <w:t>小时平均</w:t>
            </w:r>
          </w:p>
        </w:tc>
        <w:tc>
          <w:tcPr>
            <w:tcW w:w="1558" w:type="dxa"/>
            <w:vAlign w:val="top"/>
          </w:tcPr>
          <w:p w14:paraId="5A2DC9B5">
            <w:pPr>
              <w:pStyle w:val="6"/>
              <w:spacing w:before="104" w:line="188" w:lineRule="auto"/>
              <w:ind w:left="728"/>
            </w:pPr>
            <w:r>
              <w:t>4</w:t>
            </w:r>
          </w:p>
        </w:tc>
        <w:tc>
          <w:tcPr>
            <w:tcW w:w="706" w:type="dxa"/>
            <w:vMerge w:val="restart"/>
            <w:tcBorders>
              <w:bottom w:val="nil"/>
            </w:tcBorders>
            <w:vAlign w:val="top"/>
          </w:tcPr>
          <w:p w14:paraId="6D0CDC32">
            <w:pPr>
              <w:pStyle w:val="6"/>
              <w:spacing w:before="228" w:line="215" w:lineRule="auto"/>
              <w:ind w:left="73"/>
              <w:rPr>
                <w:sz w:val="14"/>
                <w:szCs w:val="14"/>
              </w:rPr>
            </w:pPr>
            <w:r>
              <w:rPr>
                <w:spacing w:val="-1"/>
              </w:rPr>
              <w:t>mg/m</w:t>
            </w:r>
            <w:r>
              <w:rPr>
                <w:spacing w:val="-1"/>
                <w:position w:val="9"/>
                <w:sz w:val="14"/>
                <w:szCs w:val="14"/>
              </w:rPr>
              <w:t>3</w:t>
            </w:r>
          </w:p>
        </w:tc>
        <w:tc>
          <w:tcPr>
            <w:tcW w:w="1517" w:type="dxa"/>
            <w:vMerge w:val="continue"/>
            <w:tcBorders>
              <w:top w:val="nil"/>
              <w:bottom w:val="nil"/>
            </w:tcBorders>
            <w:vAlign w:val="top"/>
          </w:tcPr>
          <w:p w14:paraId="4CDB0E58">
            <w:pPr>
              <w:rPr>
                <w:rFonts w:ascii="Arial"/>
                <w:sz w:val="21"/>
              </w:rPr>
            </w:pPr>
          </w:p>
        </w:tc>
      </w:tr>
      <w:tr w14:paraId="61549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9" w:type="dxa"/>
            <w:vMerge w:val="continue"/>
            <w:tcBorders>
              <w:top w:val="nil"/>
            </w:tcBorders>
            <w:vAlign w:val="top"/>
          </w:tcPr>
          <w:p w14:paraId="4AFA22F4">
            <w:pPr>
              <w:rPr>
                <w:rFonts w:ascii="Arial"/>
                <w:sz w:val="21"/>
              </w:rPr>
            </w:pPr>
          </w:p>
        </w:tc>
        <w:tc>
          <w:tcPr>
            <w:tcW w:w="1415" w:type="dxa"/>
            <w:vMerge w:val="continue"/>
            <w:tcBorders>
              <w:top w:val="nil"/>
            </w:tcBorders>
            <w:vAlign w:val="top"/>
          </w:tcPr>
          <w:p w14:paraId="684DC939">
            <w:pPr>
              <w:rPr>
                <w:rFonts w:ascii="Arial"/>
                <w:sz w:val="21"/>
              </w:rPr>
            </w:pPr>
          </w:p>
        </w:tc>
        <w:tc>
          <w:tcPr>
            <w:tcW w:w="2265" w:type="dxa"/>
            <w:vAlign w:val="top"/>
          </w:tcPr>
          <w:p w14:paraId="502A8A77">
            <w:pPr>
              <w:pStyle w:val="6"/>
              <w:spacing w:before="68" w:line="220" w:lineRule="auto"/>
              <w:ind w:left="655"/>
              <w:rPr>
                <w:rFonts w:ascii="宋体" w:hAnsi="宋体" w:eastAsia="宋体" w:cs="宋体"/>
              </w:rPr>
            </w:pPr>
            <w:r>
              <w:rPr>
                <w:spacing w:val="-7"/>
              </w:rPr>
              <w:t>1</w:t>
            </w:r>
            <w:r>
              <w:rPr>
                <w:spacing w:val="14"/>
                <w:w w:val="101"/>
              </w:rPr>
              <w:t xml:space="preserve"> </w:t>
            </w:r>
            <w:r>
              <w:rPr>
                <w:rFonts w:ascii="宋体" w:hAnsi="宋体" w:eastAsia="宋体" w:cs="宋体"/>
                <w:spacing w:val="-7"/>
              </w:rPr>
              <w:t>小时平均</w:t>
            </w:r>
          </w:p>
        </w:tc>
        <w:tc>
          <w:tcPr>
            <w:tcW w:w="1558" w:type="dxa"/>
            <w:vAlign w:val="top"/>
          </w:tcPr>
          <w:p w14:paraId="47488EA2">
            <w:pPr>
              <w:pStyle w:val="6"/>
              <w:spacing w:before="105" w:line="188" w:lineRule="auto"/>
              <w:ind w:left="696"/>
            </w:pPr>
            <w:r>
              <w:rPr>
                <w:spacing w:val="-12"/>
              </w:rPr>
              <w:t>10</w:t>
            </w:r>
          </w:p>
        </w:tc>
        <w:tc>
          <w:tcPr>
            <w:tcW w:w="706" w:type="dxa"/>
            <w:vMerge w:val="continue"/>
            <w:tcBorders>
              <w:top w:val="nil"/>
            </w:tcBorders>
            <w:vAlign w:val="top"/>
          </w:tcPr>
          <w:p w14:paraId="0B6B08F0">
            <w:pPr>
              <w:rPr>
                <w:rFonts w:ascii="Arial"/>
                <w:sz w:val="21"/>
              </w:rPr>
            </w:pPr>
          </w:p>
        </w:tc>
        <w:tc>
          <w:tcPr>
            <w:tcW w:w="1517" w:type="dxa"/>
            <w:vMerge w:val="continue"/>
            <w:tcBorders>
              <w:top w:val="nil"/>
            </w:tcBorders>
            <w:vAlign w:val="top"/>
          </w:tcPr>
          <w:p w14:paraId="356EB4A8">
            <w:pPr>
              <w:rPr>
                <w:rFonts w:ascii="Arial"/>
                <w:sz w:val="21"/>
              </w:rPr>
            </w:pPr>
          </w:p>
        </w:tc>
      </w:tr>
    </w:tbl>
    <w:p w14:paraId="2D7C3C62">
      <w:pPr>
        <w:pStyle w:val="2"/>
      </w:pPr>
    </w:p>
    <w:p w14:paraId="74F7818F">
      <w:pPr>
        <w:sectPr>
          <w:footerReference r:id="rId33" w:type="default"/>
          <w:pgSz w:w="11905" w:h="16840"/>
          <w:pgMar w:top="1168" w:right="1768" w:bottom="1408" w:left="1770" w:header="828" w:footer="1244" w:gutter="0"/>
          <w:cols w:space="720" w:num="1"/>
        </w:sectPr>
      </w:pPr>
    </w:p>
    <w:p w14:paraId="259828A1">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1415"/>
        <w:gridCol w:w="2265"/>
        <w:gridCol w:w="1558"/>
        <w:gridCol w:w="706"/>
        <w:gridCol w:w="1517"/>
      </w:tblGrid>
      <w:tr w14:paraId="48151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9" w:type="dxa"/>
            <w:vAlign w:val="top"/>
          </w:tcPr>
          <w:p w14:paraId="6302F9F3">
            <w:pPr>
              <w:spacing w:before="68" w:line="221" w:lineRule="auto"/>
              <w:ind w:left="224"/>
              <w:rPr>
                <w:rFonts w:ascii="宋体" w:hAnsi="宋体" w:eastAsia="宋体" w:cs="宋体"/>
                <w:sz w:val="21"/>
                <w:szCs w:val="21"/>
              </w:rPr>
            </w:pPr>
            <w:bookmarkStart w:id="16" w:name="bookmark97"/>
            <w:bookmarkEnd w:id="16"/>
            <w:r>
              <w:rPr>
                <w:rFonts w:ascii="宋体" w:hAnsi="宋体" w:eastAsia="宋体" w:cs="宋体"/>
                <w:spacing w:val="-2"/>
                <w:sz w:val="21"/>
                <w:szCs w:val="21"/>
              </w:rPr>
              <w:t>序号</w:t>
            </w:r>
          </w:p>
        </w:tc>
        <w:tc>
          <w:tcPr>
            <w:tcW w:w="1415" w:type="dxa"/>
            <w:vAlign w:val="top"/>
          </w:tcPr>
          <w:p w14:paraId="5099CD6E">
            <w:pPr>
              <w:spacing w:before="69" w:line="218" w:lineRule="auto"/>
              <w:ind w:left="291"/>
              <w:rPr>
                <w:rFonts w:ascii="宋体" w:hAnsi="宋体" w:eastAsia="宋体" w:cs="宋体"/>
                <w:sz w:val="21"/>
                <w:szCs w:val="21"/>
              </w:rPr>
            </w:pPr>
            <w:r>
              <w:rPr>
                <w:rFonts w:ascii="宋体" w:hAnsi="宋体" w:eastAsia="宋体" w:cs="宋体"/>
                <w:spacing w:val="-2"/>
                <w:sz w:val="21"/>
                <w:szCs w:val="21"/>
              </w:rPr>
              <w:t>评价因子</w:t>
            </w:r>
          </w:p>
        </w:tc>
        <w:tc>
          <w:tcPr>
            <w:tcW w:w="2265" w:type="dxa"/>
            <w:vAlign w:val="top"/>
          </w:tcPr>
          <w:p w14:paraId="058F28EB">
            <w:pPr>
              <w:spacing w:before="69" w:line="220" w:lineRule="auto"/>
              <w:ind w:left="717"/>
              <w:rPr>
                <w:rFonts w:ascii="宋体" w:hAnsi="宋体" w:eastAsia="宋体" w:cs="宋体"/>
                <w:sz w:val="21"/>
                <w:szCs w:val="21"/>
              </w:rPr>
            </w:pPr>
            <w:r>
              <w:rPr>
                <w:rFonts w:ascii="宋体" w:hAnsi="宋体" w:eastAsia="宋体" w:cs="宋体"/>
                <w:spacing w:val="-2"/>
                <w:sz w:val="21"/>
                <w:szCs w:val="21"/>
              </w:rPr>
              <w:t>平均时段</w:t>
            </w:r>
          </w:p>
        </w:tc>
        <w:tc>
          <w:tcPr>
            <w:tcW w:w="1558" w:type="dxa"/>
            <w:vAlign w:val="top"/>
          </w:tcPr>
          <w:p w14:paraId="6191BDAB">
            <w:pPr>
              <w:spacing w:before="68" w:line="220" w:lineRule="auto"/>
              <w:ind w:left="471"/>
              <w:rPr>
                <w:rFonts w:ascii="宋体" w:hAnsi="宋体" w:eastAsia="宋体" w:cs="宋体"/>
                <w:sz w:val="21"/>
                <w:szCs w:val="21"/>
              </w:rPr>
            </w:pPr>
            <w:r>
              <w:rPr>
                <w:rFonts w:ascii="宋体" w:hAnsi="宋体" w:eastAsia="宋体" w:cs="宋体"/>
                <w:spacing w:val="-3"/>
                <w:sz w:val="21"/>
                <w:szCs w:val="21"/>
              </w:rPr>
              <w:t>标准值</w:t>
            </w:r>
          </w:p>
        </w:tc>
        <w:tc>
          <w:tcPr>
            <w:tcW w:w="706" w:type="dxa"/>
            <w:vAlign w:val="top"/>
          </w:tcPr>
          <w:p w14:paraId="369BCA35">
            <w:pPr>
              <w:spacing w:before="69" w:line="220" w:lineRule="auto"/>
              <w:ind w:left="151"/>
              <w:rPr>
                <w:rFonts w:ascii="宋体" w:hAnsi="宋体" w:eastAsia="宋体" w:cs="宋体"/>
                <w:sz w:val="21"/>
                <w:szCs w:val="21"/>
              </w:rPr>
            </w:pPr>
            <w:r>
              <w:rPr>
                <w:rFonts w:ascii="宋体" w:hAnsi="宋体" w:eastAsia="宋体" w:cs="宋体"/>
                <w:spacing w:val="-3"/>
                <w:sz w:val="21"/>
                <w:szCs w:val="21"/>
              </w:rPr>
              <w:t>单位</w:t>
            </w:r>
          </w:p>
        </w:tc>
        <w:tc>
          <w:tcPr>
            <w:tcW w:w="1517" w:type="dxa"/>
            <w:vAlign w:val="top"/>
          </w:tcPr>
          <w:p w14:paraId="1BDC036D">
            <w:pPr>
              <w:spacing w:before="68" w:line="220" w:lineRule="auto"/>
              <w:ind w:left="344"/>
              <w:rPr>
                <w:rFonts w:ascii="宋体" w:hAnsi="宋体" w:eastAsia="宋体" w:cs="宋体"/>
                <w:sz w:val="21"/>
                <w:szCs w:val="21"/>
              </w:rPr>
            </w:pPr>
            <w:r>
              <w:rPr>
                <w:rFonts w:ascii="宋体" w:hAnsi="宋体" w:eastAsia="宋体" w:cs="宋体"/>
                <w:spacing w:val="-2"/>
                <w:sz w:val="21"/>
                <w:szCs w:val="21"/>
              </w:rPr>
              <w:t>标准来源</w:t>
            </w:r>
          </w:p>
        </w:tc>
      </w:tr>
      <w:tr w14:paraId="19B52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9" w:type="dxa"/>
            <w:vMerge w:val="restart"/>
            <w:tcBorders>
              <w:bottom w:val="nil"/>
            </w:tcBorders>
            <w:vAlign w:val="top"/>
          </w:tcPr>
          <w:p w14:paraId="14A370B7">
            <w:pPr>
              <w:pStyle w:val="6"/>
              <w:spacing w:before="276" w:line="188" w:lineRule="auto"/>
              <w:ind w:left="377"/>
            </w:pPr>
            <w:r>
              <w:t>4</w:t>
            </w:r>
          </w:p>
        </w:tc>
        <w:tc>
          <w:tcPr>
            <w:tcW w:w="1415" w:type="dxa"/>
            <w:vMerge w:val="restart"/>
            <w:tcBorders>
              <w:bottom w:val="nil"/>
            </w:tcBorders>
            <w:vAlign w:val="top"/>
          </w:tcPr>
          <w:p w14:paraId="4E980A18">
            <w:pPr>
              <w:pStyle w:val="6"/>
              <w:spacing w:before="275" w:line="198" w:lineRule="auto"/>
              <w:ind w:left="600"/>
              <w:rPr>
                <w:sz w:val="14"/>
                <w:szCs w:val="14"/>
              </w:rPr>
            </w:pPr>
            <w:r>
              <w:rPr>
                <w:spacing w:val="-4"/>
              </w:rPr>
              <w:t>O</w:t>
            </w:r>
            <w:r>
              <w:rPr>
                <w:spacing w:val="-4"/>
                <w:position w:val="-2"/>
                <w:sz w:val="14"/>
                <w:szCs w:val="14"/>
              </w:rPr>
              <w:t>3</w:t>
            </w:r>
          </w:p>
        </w:tc>
        <w:tc>
          <w:tcPr>
            <w:tcW w:w="2265" w:type="dxa"/>
            <w:vAlign w:val="top"/>
          </w:tcPr>
          <w:p w14:paraId="0E5BAA9A">
            <w:pPr>
              <w:pStyle w:val="6"/>
              <w:spacing w:before="64" w:line="220" w:lineRule="auto"/>
              <w:ind w:left="334"/>
              <w:rPr>
                <w:rFonts w:ascii="宋体" w:hAnsi="宋体" w:eastAsia="宋体" w:cs="宋体"/>
              </w:rPr>
            </w:pPr>
            <w:r>
              <w:rPr>
                <w:rFonts w:ascii="宋体" w:hAnsi="宋体" w:eastAsia="宋体" w:cs="宋体"/>
                <w:spacing w:val="-9"/>
              </w:rPr>
              <w:t>日最大</w:t>
            </w:r>
            <w:r>
              <w:rPr>
                <w:rFonts w:ascii="宋体" w:hAnsi="宋体" w:eastAsia="宋体" w:cs="宋体"/>
                <w:spacing w:val="-40"/>
              </w:rPr>
              <w:t xml:space="preserve"> </w:t>
            </w:r>
            <w:r>
              <w:rPr>
                <w:spacing w:val="-9"/>
              </w:rPr>
              <w:t>8</w:t>
            </w:r>
            <w:r>
              <w:rPr>
                <w:spacing w:val="14"/>
                <w:w w:val="101"/>
              </w:rPr>
              <w:t xml:space="preserve"> </w:t>
            </w:r>
            <w:r>
              <w:rPr>
                <w:rFonts w:ascii="宋体" w:hAnsi="宋体" w:eastAsia="宋体" w:cs="宋体"/>
                <w:spacing w:val="-9"/>
              </w:rPr>
              <w:t>小时平均</w:t>
            </w:r>
          </w:p>
        </w:tc>
        <w:tc>
          <w:tcPr>
            <w:tcW w:w="1558" w:type="dxa"/>
            <w:vAlign w:val="top"/>
          </w:tcPr>
          <w:p w14:paraId="7FA77DBC">
            <w:pPr>
              <w:pStyle w:val="6"/>
              <w:spacing w:before="101" w:line="188" w:lineRule="auto"/>
              <w:ind w:left="644"/>
            </w:pPr>
            <w:r>
              <w:rPr>
                <w:spacing w:val="-9"/>
              </w:rPr>
              <w:t>160</w:t>
            </w:r>
          </w:p>
        </w:tc>
        <w:tc>
          <w:tcPr>
            <w:tcW w:w="706" w:type="dxa"/>
            <w:vMerge w:val="restart"/>
            <w:tcBorders>
              <w:bottom w:val="nil"/>
            </w:tcBorders>
            <w:vAlign w:val="top"/>
          </w:tcPr>
          <w:p w14:paraId="44E8033B">
            <w:pPr>
              <w:spacing w:line="241" w:lineRule="auto"/>
              <w:rPr>
                <w:rFonts w:ascii="Arial"/>
                <w:sz w:val="21"/>
              </w:rPr>
            </w:pPr>
          </w:p>
          <w:p w14:paraId="6312F647">
            <w:pPr>
              <w:spacing w:line="241" w:lineRule="auto"/>
              <w:rPr>
                <w:rFonts w:ascii="Arial"/>
                <w:sz w:val="21"/>
              </w:rPr>
            </w:pPr>
          </w:p>
          <w:p w14:paraId="4A54F219">
            <w:pPr>
              <w:spacing w:line="241" w:lineRule="auto"/>
              <w:rPr>
                <w:rFonts w:ascii="Arial"/>
                <w:sz w:val="21"/>
              </w:rPr>
            </w:pPr>
          </w:p>
          <w:p w14:paraId="61DD523E">
            <w:pPr>
              <w:spacing w:line="241" w:lineRule="auto"/>
              <w:rPr>
                <w:rFonts w:ascii="Arial"/>
                <w:sz w:val="21"/>
              </w:rPr>
            </w:pPr>
          </w:p>
          <w:p w14:paraId="21E177C2">
            <w:pPr>
              <w:spacing w:line="242" w:lineRule="auto"/>
              <w:rPr>
                <w:rFonts w:ascii="Arial"/>
                <w:sz w:val="21"/>
              </w:rPr>
            </w:pPr>
          </w:p>
          <w:p w14:paraId="74C1F1EA">
            <w:pPr>
              <w:pStyle w:val="6"/>
              <w:spacing w:before="60" w:line="215" w:lineRule="auto"/>
              <w:ind w:left="109"/>
              <w:rPr>
                <w:sz w:val="14"/>
                <w:szCs w:val="14"/>
              </w:rPr>
            </w:pPr>
            <w:r>
              <w:rPr>
                <w:spacing w:val="-3"/>
              </w:rPr>
              <w:t>μg/m</w:t>
            </w:r>
            <w:r>
              <w:rPr>
                <w:spacing w:val="-3"/>
                <w:position w:val="9"/>
                <w:sz w:val="14"/>
                <w:szCs w:val="14"/>
              </w:rPr>
              <w:t>3</w:t>
            </w:r>
          </w:p>
        </w:tc>
        <w:tc>
          <w:tcPr>
            <w:tcW w:w="1517" w:type="dxa"/>
            <w:vMerge w:val="restart"/>
            <w:tcBorders>
              <w:bottom w:val="nil"/>
            </w:tcBorders>
            <w:vAlign w:val="top"/>
          </w:tcPr>
          <w:p w14:paraId="08922113">
            <w:pPr>
              <w:rPr>
                <w:rFonts w:ascii="Arial"/>
                <w:sz w:val="21"/>
              </w:rPr>
            </w:pPr>
          </w:p>
        </w:tc>
      </w:tr>
      <w:tr w14:paraId="2E33A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continue"/>
            <w:tcBorders>
              <w:top w:val="nil"/>
            </w:tcBorders>
            <w:vAlign w:val="top"/>
          </w:tcPr>
          <w:p w14:paraId="3B345A56">
            <w:pPr>
              <w:rPr>
                <w:rFonts w:ascii="Arial"/>
                <w:sz w:val="21"/>
              </w:rPr>
            </w:pPr>
          </w:p>
        </w:tc>
        <w:tc>
          <w:tcPr>
            <w:tcW w:w="1415" w:type="dxa"/>
            <w:vMerge w:val="continue"/>
            <w:tcBorders>
              <w:top w:val="nil"/>
            </w:tcBorders>
            <w:vAlign w:val="top"/>
          </w:tcPr>
          <w:p w14:paraId="4A617EA7">
            <w:pPr>
              <w:rPr>
                <w:rFonts w:ascii="Arial"/>
                <w:sz w:val="21"/>
              </w:rPr>
            </w:pPr>
          </w:p>
        </w:tc>
        <w:tc>
          <w:tcPr>
            <w:tcW w:w="2265" w:type="dxa"/>
            <w:vAlign w:val="top"/>
          </w:tcPr>
          <w:p w14:paraId="72C44A86">
            <w:pPr>
              <w:pStyle w:val="6"/>
              <w:spacing w:before="65" w:line="220" w:lineRule="auto"/>
              <w:ind w:left="655"/>
              <w:rPr>
                <w:rFonts w:ascii="宋体" w:hAnsi="宋体" w:eastAsia="宋体" w:cs="宋体"/>
              </w:rPr>
            </w:pPr>
            <w:r>
              <w:rPr>
                <w:spacing w:val="-7"/>
              </w:rPr>
              <w:t>1</w:t>
            </w:r>
            <w:r>
              <w:rPr>
                <w:spacing w:val="14"/>
                <w:w w:val="101"/>
              </w:rPr>
              <w:t xml:space="preserve"> </w:t>
            </w:r>
            <w:r>
              <w:rPr>
                <w:rFonts w:ascii="宋体" w:hAnsi="宋体" w:eastAsia="宋体" w:cs="宋体"/>
                <w:spacing w:val="-7"/>
              </w:rPr>
              <w:t>小时平均</w:t>
            </w:r>
          </w:p>
        </w:tc>
        <w:tc>
          <w:tcPr>
            <w:tcW w:w="1558" w:type="dxa"/>
            <w:vAlign w:val="top"/>
          </w:tcPr>
          <w:p w14:paraId="4F706D33">
            <w:pPr>
              <w:pStyle w:val="6"/>
              <w:spacing w:before="102" w:line="188" w:lineRule="auto"/>
              <w:ind w:left="624"/>
            </w:pPr>
            <w:r>
              <w:rPr>
                <w:spacing w:val="-2"/>
              </w:rPr>
              <w:t>200</w:t>
            </w:r>
          </w:p>
        </w:tc>
        <w:tc>
          <w:tcPr>
            <w:tcW w:w="706" w:type="dxa"/>
            <w:vMerge w:val="continue"/>
            <w:tcBorders>
              <w:top w:val="nil"/>
              <w:bottom w:val="nil"/>
            </w:tcBorders>
            <w:vAlign w:val="top"/>
          </w:tcPr>
          <w:p w14:paraId="754B022A">
            <w:pPr>
              <w:rPr>
                <w:rFonts w:ascii="Arial"/>
                <w:sz w:val="21"/>
              </w:rPr>
            </w:pPr>
          </w:p>
        </w:tc>
        <w:tc>
          <w:tcPr>
            <w:tcW w:w="1517" w:type="dxa"/>
            <w:vMerge w:val="continue"/>
            <w:tcBorders>
              <w:top w:val="nil"/>
              <w:bottom w:val="nil"/>
            </w:tcBorders>
            <w:vAlign w:val="top"/>
          </w:tcPr>
          <w:p w14:paraId="6BDB28BE">
            <w:pPr>
              <w:rPr>
                <w:rFonts w:ascii="Arial"/>
                <w:sz w:val="21"/>
              </w:rPr>
            </w:pPr>
          </w:p>
        </w:tc>
      </w:tr>
      <w:tr w14:paraId="6FCB5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restart"/>
            <w:tcBorders>
              <w:bottom w:val="nil"/>
            </w:tcBorders>
            <w:vAlign w:val="top"/>
          </w:tcPr>
          <w:p w14:paraId="32C9FA6E">
            <w:pPr>
              <w:pStyle w:val="6"/>
              <w:spacing w:before="280" w:line="185" w:lineRule="auto"/>
              <w:ind w:left="384"/>
            </w:pPr>
            <w:r>
              <w:t>5</w:t>
            </w:r>
          </w:p>
        </w:tc>
        <w:tc>
          <w:tcPr>
            <w:tcW w:w="1415" w:type="dxa"/>
            <w:vMerge w:val="restart"/>
            <w:tcBorders>
              <w:bottom w:val="nil"/>
            </w:tcBorders>
            <w:vAlign w:val="top"/>
          </w:tcPr>
          <w:p w14:paraId="4A4EA856">
            <w:pPr>
              <w:pStyle w:val="6"/>
              <w:spacing w:before="280" w:line="195" w:lineRule="auto"/>
              <w:ind w:left="486"/>
              <w:rPr>
                <w:sz w:val="14"/>
                <w:szCs w:val="14"/>
              </w:rPr>
            </w:pPr>
            <w:r>
              <w:t>PM</w:t>
            </w:r>
            <w:r>
              <w:rPr>
                <w:spacing w:val="2"/>
                <w:position w:val="-2"/>
                <w:sz w:val="14"/>
                <w:szCs w:val="14"/>
              </w:rPr>
              <w:t>10</w:t>
            </w:r>
          </w:p>
        </w:tc>
        <w:tc>
          <w:tcPr>
            <w:tcW w:w="2265" w:type="dxa"/>
            <w:vAlign w:val="top"/>
          </w:tcPr>
          <w:p w14:paraId="43BE81DF">
            <w:pPr>
              <w:spacing w:before="65" w:line="220" w:lineRule="auto"/>
              <w:ind w:left="823"/>
              <w:rPr>
                <w:rFonts w:ascii="宋体" w:hAnsi="宋体" w:eastAsia="宋体" w:cs="宋体"/>
                <w:sz w:val="21"/>
                <w:szCs w:val="21"/>
              </w:rPr>
            </w:pPr>
            <w:r>
              <w:rPr>
                <w:rFonts w:ascii="宋体" w:hAnsi="宋体" w:eastAsia="宋体" w:cs="宋体"/>
                <w:spacing w:val="-3"/>
                <w:sz w:val="21"/>
                <w:szCs w:val="21"/>
              </w:rPr>
              <w:t>年平均</w:t>
            </w:r>
          </w:p>
        </w:tc>
        <w:tc>
          <w:tcPr>
            <w:tcW w:w="1558" w:type="dxa"/>
            <w:vAlign w:val="top"/>
          </w:tcPr>
          <w:p w14:paraId="3968B4FA">
            <w:pPr>
              <w:pStyle w:val="6"/>
              <w:spacing w:before="102" w:line="188" w:lineRule="auto"/>
              <w:ind w:left="680"/>
            </w:pPr>
            <w:r>
              <w:rPr>
                <w:spacing w:val="-4"/>
              </w:rPr>
              <w:t>70</w:t>
            </w:r>
          </w:p>
        </w:tc>
        <w:tc>
          <w:tcPr>
            <w:tcW w:w="706" w:type="dxa"/>
            <w:vMerge w:val="continue"/>
            <w:tcBorders>
              <w:top w:val="nil"/>
              <w:bottom w:val="nil"/>
            </w:tcBorders>
            <w:vAlign w:val="top"/>
          </w:tcPr>
          <w:p w14:paraId="0418C6D1">
            <w:pPr>
              <w:rPr>
                <w:rFonts w:ascii="Arial"/>
                <w:sz w:val="21"/>
              </w:rPr>
            </w:pPr>
          </w:p>
        </w:tc>
        <w:tc>
          <w:tcPr>
            <w:tcW w:w="1517" w:type="dxa"/>
            <w:vMerge w:val="continue"/>
            <w:tcBorders>
              <w:top w:val="nil"/>
              <w:bottom w:val="nil"/>
            </w:tcBorders>
            <w:vAlign w:val="top"/>
          </w:tcPr>
          <w:p w14:paraId="1E3DDD7E">
            <w:pPr>
              <w:rPr>
                <w:rFonts w:ascii="Arial"/>
                <w:sz w:val="21"/>
              </w:rPr>
            </w:pPr>
          </w:p>
        </w:tc>
      </w:tr>
      <w:tr w14:paraId="4E273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9" w:type="dxa"/>
            <w:vMerge w:val="continue"/>
            <w:tcBorders>
              <w:top w:val="nil"/>
            </w:tcBorders>
            <w:vAlign w:val="top"/>
          </w:tcPr>
          <w:p w14:paraId="2B0D39D8">
            <w:pPr>
              <w:rPr>
                <w:rFonts w:ascii="Arial"/>
                <w:sz w:val="21"/>
              </w:rPr>
            </w:pPr>
          </w:p>
        </w:tc>
        <w:tc>
          <w:tcPr>
            <w:tcW w:w="1415" w:type="dxa"/>
            <w:vMerge w:val="continue"/>
            <w:tcBorders>
              <w:top w:val="nil"/>
            </w:tcBorders>
            <w:vAlign w:val="top"/>
          </w:tcPr>
          <w:p w14:paraId="0B39731F">
            <w:pPr>
              <w:rPr>
                <w:rFonts w:ascii="Arial"/>
                <w:sz w:val="21"/>
              </w:rPr>
            </w:pPr>
          </w:p>
        </w:tc>
        <w:tc>
          <w:tcPr>
            <w:tcW w:w="2265" w:type="dxa"/>
            <w:vAlign w:val="top"/>
          </w:tcPr>
          <w:p w14:paraId="758CBDFE">
            <w:pPr>
              <w:pStyle w:val="6"/>
              <w:spacing w:before="66" w:line="220" w:lineRule="auto"/>
              <w:ind w:left="582"/>
              <w:rPr>
                <w:rFonts w:ascii="宋体" w:hAnsi="宋体" w:eastAsia="宋体" w:cs="宋体"/>
              </w:rPr>
            </w:pPr>
            <w:r>
              <w:rPr>
                <w:spacing w:val="-3"/>
              </w:rPr>
              <w:t>24</w:t>
            </w:r>
            <w:r>
              <w:rPr>
                <w:spacing w:val="17"/>
                <w:w w:val="101"/>
              </w:rPr>
              <w:t xml:space="preserve"> </w:t>
            </w:r>
            <w:r>
              <w:rPr>
                <w:rFonts w:ascii="宋体" w:hAnsi="宋体" w:eastAsia="宋体" w:cs="宋体"/>
                <w:spacing w:val="-3"/>
              </w:rPr>
              <w:t>小时平均</w:t>
            </w:r>
          </w:p>
        </w:tc>
        <w:tc>
          <w:tcPr>
            <w:tcW w:w="1558" w:type="dxa"/>
            <w:vAlign w:val="top"/>
          </w:tcPr>
          <w:p w14:paraId="33841C99">
            <w:pPr>
              <w:pStyle w:val="6"/>
              <w:spacing w:before="102" w:line="188" w:lineRule="auto"/>
              <w:ind w:left="644"/>
            </w:pPr>
            <w:r>
              <w:rPr>
                <w:spacing w:val="-9"/>
              </w:rPr>
              <w:t>150</w:t>
            </w:r>
          </w:p>
        </w:tc>
        <w:tc>
          <w:tcPr>
            <w:tcW w:w="706" w:type="dxa"/>
            <w:vMerge w:val="continue"/>
            <w:tcBorders>
              <w:top w:val="nil"/>
              <w:bottom w:val="nil"/>
            </w:tcBorders>
            <w:vAlign w:val="top"/>
          </w:tcPr>
          <w:p w14:paraId="6DC7C57E">
            <w:pPr>
              <w:rPr>
                <w:rFonts w:ascii="Arial"/>
                <w:sz w:val="21"/>
              </w:rPr>
            </w:pPr>
          </w:p>
        </w:tc>
        <w:tc>
          <w:tcPr>
            <w:tcW w:w="1517" w:type="dxa"/>
            <w:vMerge w:val="continue"/>
            <w:tcBorders>
              <w:top w:val="nil"/>
              <w:bottom w:val="nil"/>
            </w:tcBorders>
            <w:vAlign w:val="top"/>
          </w:tcPr>
          <w:p w14:paraId="7C726F00">
            <w:pPr>
              <w:rPr>
                <w:rFonts w:ascii="Arial"/>
                <w:sz w:val="21"/>
              </w:rPr>
            </w:pPr>
          </w:p>
        </w:tc>
      </w:tr>
      <w:tr w14:paraId="4FE46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restart"/>
            <w:tcBorders>
              <w:bottom w:val="nil"/>
            </w:tcBorders>
            <w:vAlign w:val="top"/>
          </w:tcPr>
          <w:p w14:paraId="0C868213">
            <w:pPr>
              <w:pStyle w:val="6"/>
              <w:spacing w:before="278" w:line="188" w:lineRule="auto"/>
              <w:ind w:left="383"/>
            </w:pPr>
            <w:r>
              <w:t>6</w:t>
            </w:r>
          </w:p>
        </w:tc>
        <w:tc>
          <w:tcPr>
            <w:tcW w:w="1415" w:type="dxa"/>
            <w:vMerge w:val="restart"/>
            <w:tcBorders>
              <w:bottom w:val="nil"/>
            </w:tcBorders>
            <w:vAlign w:val="top"/>
          </w:tcPr>
          <w:p w14:paraId="5D4C6677">
            <w:pPr>
              <w:pStyle w:val="6"/>
              <w:spacing w:before="281" w:line="195" w:lineRule="auto"/>
              <w:ind w:left="468"/>
              <w:rPr>
                <w:sz w:val="14"/>
                <w:szCs w:val="14"/>
              </w:rPr>
            </w:pPr>
            <w:r>
              <w:rPr>
                <w:spacing w:val="-1"/>
                <w:position w:val="1"/>
              </w:rPr>
              <w:t>PM</w:t>
            </w:r>
            <w:r>
              <w:rPr>
                <w:spacing w:val="-1"/>
                <w:position w:val="-1"/>
                <w:sz w:val="14"/>
                <w:szCs w:val="14"/>
              </w:rPr>
              <w:t>2.5</w:t>
            </w:r>
          </w:p>
        </w:tc>
        <w:tc>
          <w:tcPr>
            <w:tcW w:w="2265" w:type="dxa"/>
            <w:vAlign w:val="top"/>
          </w:tcPr>
          <w:p w14:paraId="7C44E2A8">
            <w:pPr>
              <w:spacing w:before="66" w:line="220" w:lineRule="auto"/>
              <w:ind w:left="823"/>
              <w:rPr>
                <w:rFonts w:ascii="宋体" w:hAnsi="宋体" w:eastAsia="宋体" w:cs="宋体"/>
                <w:sz w:val="21"/>
                <w:szCs w:val="21"/>
              </w:rPr>
            </w:pPr>
            <w:r>
              <w:rPr>
                <w:rFonts w:ascii="宋体" w:hAnsi="宋体" w:eastAsia="宋体" w:cs="宋体"/>
                <w:spacing w:val="-3"/>
                <w:sz w:val="21"/>
                <w:szCs w:val="21"/>
              </w:rPr>
              <w:t>年平均</w:t>
            </w:r>
          </w:p>
        </w:tc>
        <w:tc>
          <w:tcPr>
            <w:tcW w:w="1558" w:type="dxa"/>
            <w:vAlign w:val="top"/>
          </w:tcPr>
          <w:p w14:paraId="46A93F56">
            <w:pPr>
              <w:pStyle w:val="6"/>
              <w:spacing w:before="103" w:line="188" w:lineRule="auto"/>
              <w:ind w:left="681"/>
            </w:pPr>
            <w:r>
              <w:rPr>
                <w:spacing w:val="-5"/>
              </w:rPr>
              <w:t>35</w:t>
            </w:r>
          </w:p>
        </w:tc>
        <w:tc>
          <w:tcPr>
            <w:tcW w:w="706" w:type="dxa"/>
            <w:vMerge w:val="continue"/>
            <w:tcBorders>
              <w:top w:val="nil"/>
              <w:bottom w:val="nil"/>
            </w:tcBorders>
            <w:vAlign w:val="top"/>
          </w:tcPr>
          <w:p w14:paraId="7B108A93">
            <w:pPr>
              <w:rPr>
                <w:rFonts w:ascii="Arial"/>
                <w:sz w:val="21"/>
              </w:rPr>
            </w:pPr>
          </w:p>
        </w:tc>
        <w:tc>
          <w:tcPr>
            <w:tcW w:w="1517" w:type="dxa"/>
            <w:vMerge w:val="continue"/>
            <w:tcBorders>
              <w:top w:val="nil"/>
              <w:bottom w:val="nil"/>
            </w:tcBorders>
            <w:vAlign w:val="top"/>
          </w:tcPr>
          <w:p w14:paraId="0EC8A2C7">
            <w:pPr>
              <w:rPr>
                <w:rFonts w:ascii="Arial"/>
                <w:sz w:val="21"/>
              </w:rPr>
            </w:pPr>
          </w:p>
        </w:tc>
      </w:tr>
      <w:tr w14:paraId="3B771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9" w:type="dxa"/>
            <w:vMerge w:val="continue"/>
            <w:tcBorders>
              <w:top w:val="nil"/>
            </w:tcBorders>
            <w:vAlign w:val="top"/>
          </w:tcPr>
          <w:p w14:paraId="674A19D2">
            <w:pPr>
              <w:rPr>
                <w:rFonts w:ascii="Arial"/>
                <w:sz w:val="21"/>
              </w:rPr>
            </w:pPr>
          </w:p>
        </w:tc>
        <w:tc>
          <w:tcPr>
            <w:tcW w:w="1415" w:type="dxa"/>
            <w:vMerge w:val="continue"/>
            <w:tcBorders>
              <w:top w:val="nil"/>
            </w:tcBorders>
            <w:vAlign w:val="top"/>
          </w:tcPr>
          <w:p w14:paraId="2EC4AB6D">
            <w:pPr>
              <w:rPr>
                <w:rFonts w:ascii="Arial"/>
                <w:sz w:val="21"/>
              </w:rPr>
            </w:pPr>
          </w:p>
        </w:tc>
        <w:tc>
          <w:tcPr>
            <w:tcW w:w="2265" w:type="dxa"/>
            <w:vAlign w:val="top"/>
          </w:tcPr>
          <w:p w14:paraId="277F1228">
            <w:pPr>
              <w:pStyle w:val="6"/>
              <w:spacing w:before="67" w:line="220" w:lineRule="auto"/>
              <w:ind w:left="582"/>
              <w:rPr>
                <w:rFonts w:ascii="宋体" w:hAnsi="宋体" w:eastAsia="宋体" w:cs="宋体"/>
              </w:rPr>
            </w:pPr>
            <w:r>
              <w:rPr>
                <w:spacing w:val="-3"/>
              </w:rPr>
              <w:t>24</w:t>
            </w:r>
            <w:r>
              <w:rPr>
                <w:spacing w:val="17"/>
                <w:w w:val="101"/>
              </w:rPr>
              <w:t xml:space="preserve"> </w:t>
            </w:r>
            <w:r>
              <w:rPr>
                <w:rFonts w:ascii="宋体" w:hAnsi="宋体" w:eastAsia="宋体" w:cs="宋体"/>
                <w:spacing w:val="-3"/>
              </w:rPr>
              <w:t>小时平均</w:t>
            </w:r>
          </w:p>
        </w:tc>
        <w:tc>
          <w:tcPr>
            <w:tcW w:w="1558" w:type="dxa"/>
            <w:vAlign w:val="top"/>
          </w:tcPr>
          <w:p w14:paraId="54EA6F02">
            <w:pPr>
              <w:pStyle w:val="6"/>
              <w:spacing w:before="106" w:line="185" w:lineRule="auto"/>
              <w:ind w:left="680"/>
            </w:pPr>
            <w:r>
              <w:rPr>
                <w:spacing w:val="-4"/>
              </w:rPr>
              <w:t>75</w:t>
            </w:r>
          </w:p>
        </w:tc>
        <w:tc>
          <w:tcPr>
            <w:tcW w:w="706" w:type="dxa"/>
            <w:vMerge w:val="continue"/>
            <w:tcBorders>
              <w:top w:val="nil"/>
              <w:bottom w:val="nil"/>
            </w:tcBorders>
            <w:vAlign w:val="top"/>
          </w:tcPr>
          <w:p w14:paraId="44512C73">
            <w:pPr>
              <w:rPr>
                <w:rFonts w:ascii="Arial"/>
                <w:sz w:val="21"/>
              </w:rPr>
            </w:pPr>
          </w:p>
        </w:tc>
        <w:tc>
          <w:tcPr>
            <w:tcW w:w="1517" w:type="dxa"/>
            <w:vMerge w:val="continue"/>
            <w:tcBorders>
              <w:top w:val="nil"/>
            </w:tcBorders>
            <w:vAlign w:val="top"/>
          </w:tcPr>
          <w:p w14:paraId="60CC284A">
            <w:pPr>
              <w:rPr>
                <w:rFonts w:ascii="Arial"/>
                <w:sz w:val="21"/>
              </w:rPr>
            </w:pPr>
          </w:p>
        </w:tc>
      </w:tr>
      <w:tr w14:paraId="0B5BD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59" w:type="dxa"/>
            <w:vAlign w:val="top"/>
          </w:tcPr>
          <w:p w14:paraId="3D21E553">
            <w:pPr>
              <w:pStyle w:val="6"/>
              <w:spacing w:before="106" w:line="185" w:lineRule="auto"/>
              <w:ind w:left="381"/>
            </w:pPr>
            <w:r>
              <w:t>7</w:t>
            </w:r>
          </w:p>
        </w:tc>
        <w:tc>
          <w:tcPr>
            <w:tcW w:w="1415" w:type="dxa"/>
            <w:vAlign w:val="top"/>
          </w:tcPr>
          <w:p w14:paraId="227CB30B">
            <w:pPr>
              <w:pStyle w:val="6"/>
              <w:spacing w:before="106" w:line="195" w:lineRule="auto"/>
              <w:ind w:left="514"/>
              <w:rPr>
                <w:sz w:val="14"/>
                <w:szCs w:val="14"/>
              </w:rPr>
            </w:pPr>
            <w:r>
              <w:t>NH</w:t>
            </w:r>
            <w:r>
              <w:rPr>
                <w:spacing w:val="1"/>
                <w:position w:val="-2"/>
                <w:sz w:val="14"/>
                <w:szCs w:val="14"/>
              </w:rPr>
              <w:t>3</w:t>
            </w:r>
          </w:p>
        </w:tc>
        <w:tc>
          <w:tcPr>
            <w:tcW w:w="2265" w:type="dxa"/>
            <w:vAlign w:val="top"/>
          </w:tcPr>
          <w:p w14:paraId="2051356D">
            <w:pPr>
              <w:pStyle w:val="6"/>
              <w:spacing w:before="67" w:line="220" w:lineRule="auto"/>
              <w:ind w:left="655"/>
              <w:rPr>
                <w:rFonts w:ascii="宋体" w:hAnsi="宋体" w:eastAsia="宋体" w:cs="宋体"/>
              </w:rPr>
            </w:pPr>
            <w:r>
              <w:rPr>
                <w:spacing w:val="-7"/>
              </w:rPr>
              <w:t>1</w:t>
            </w:r>
            <w:r>
              <w:rPr>
                <w:spacing w:val="14"/>
                <w:w w:val="101"/>
              </w:rPr>
              <w:t xml:space="preserve"> </w:t>
            </w:r>
            <w:r>
              <w:rPr>
                <w:rFonts w:ascii="宋体" w:hAnsi="宋体" w:eastAsia="宋体" w:cs="宋体"/>
                <w:spacing w:val="-7"/>
              </w:rPr>
              <w:t>小时平均</w:t>
            </w:r>
          </w:p>
        </w:tc>
        <w:tc>
          <w:tcPr>
            <w:tcW w:w="1558" w:type="dxa"/>
            <w:vAlign w:val="top"/>
          </w:tcPr>
          <w:p w14:paraId="73BDD2BA">
            <w:pPr>
              <w:pStyle w:val="6"/>
              <w:spacing w:before="103" w:line="188" w:lineRule="auto"/>
              <w:ind w:left="624"/>
            </w:pPr>
            <w:r>
              <w:rPr>
                <w:spacing w:val="-2"/>
              </w:rPr>
              <w:t>200</w:t>
            </w:r>
          </w:p>
        </w:tc>
        <w:tc>
          <w:tcPr>
            <w:tcW w:w="706" w:type="dxa"/>
            <w:vMerge w:val="continue"/>
            <w:tcBorders>
              <w:top w:val="nil"/>
              <w:bottom w:val="nil"/>
            </w:tcBorders>
            <w:vAlign w:val="top"/>
          </w:tcPr>
          <w:p w14:paraId="1A38A24E">
            <w:pPr>
              <w:rPr>
                <w:rFonts w:ascii="Arial"/>
                <w:sz w:val="21"/>
              </w:rPr>
            </w:pPr>
          </w:p>
        </w:tc>
        <w:tc>
          <w:tcPr>
            <w:tcW w:w="1517" w:type="dxa"/>
            <w:vMerge w:val="restart"/>
            <w:tcBorders>
              <w:bottom w:val="nil"/>
            </w:tcBorders>
            <w:vAlign w:val="top"/>
          </w:tcPr>
          <w:p w14:paraId="60B65013">
            <w:pPr>
              <w:pStyle w:val="6"/>
              <w:spacing w:before="123" w:line="263" w:lineRule="auto"/>
              <w:ind w:left="467" w:right="264" w:hanging="202"/>
            </w:pPr>
            <w:r>
              <w:rPr>
                <w:spacing w:val="-1"/>
              </w:rPr>
              <w:t>HJ2.2-2018</w:t>
            </w:r>
            <w:r>
              <w:rPr>
                <w:rFonts w:ascii="宋体" w:hAnsi="宋体" w:eastAsia="宋体" w:cs="宋体"/>
                <w:spacing w:val="-9"/>
              </w:rPr>
              <w:t>附录</w:t>
            </w:r>
            <w:r>
              <w:rPr>
                <w:rFonts w:ascii="宋体" w:hAnsi="宋体" w:eastAsia="宋体" w:cs="宋体"/>
                <w:spacing w:val="-48"/>
              </w:rPr>
              <w:t xml:space="preserve"> </w:t>
            </w:r>
            <w:r>
              <w:rPr>
                <w:spacing w:val="-9"/>
              </w:rPr>
              <w:t>D</w:t>
            </w:r>
          </w:p>
        </w:tc>
      </w:tr>
      <w:tr w14:paraId="5E809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9" w:type="dxa"/>
            <w:vAlign w:val="top"/>
          </w:tcPr>
          <w:p w14:paraId="5EA3A049">
            <w:pPr>
              <w:pStyle w:val="6"/>
              <w:spacing w:before="105" w:line="188" w:lineRule="auto"/>
              <w:ind w:left="387"/>
            </w:pPr>
            <w:r>
              <w:t>8</w:t>
            </w:r>
          </w:p>
        </w:tc>
        <w:tc>
          <w:tcPr>
            <w:tcW w:w="1415" w:type="dxa"/>
            <w:vAlign w:val="top"/>
          </w:tcPr>
          <w:p w14:paraId="0D9593A3">
            <w:pPr>
              <w:pStyle w:val="6"/>
              <w:spacing w:before="105" w:line="198" w:lineRule="auto"/>
              <w:ind w:left="538"/>
            </w:pPr>
            <w:r>
              <w:rPr>
                <w:spacing w:val="-2"/>
              </w:rPr>
              <w:t>H</w:t>
            </w:r>
            <w:r>
              <w:rPr>
                <w:spacing w:val="-2"/>
                <w:position w:val="-2"/>
                <w:sz w:val="14"/>
                <w:szCs w:val="14"/>
              </w:rPr>
              <w:t>2</w:t>
            </w:r>
            <w:r>
              <w:rPr>
                <w:spacing w:val="-2"/>
              </w:rPr>
              <w:t>S</w:t>
            </w:r>
          </w:p>
        </w:tc>
        <w:tc>
          <w:tcPr>
            <w:tcW w:w="2265" w:type="dxa"/>
            <w:vAlign w:val="top"/>
          </w:tcPr>
          <w:p w14:paraId="28FF73E9">
            <w:pPr>
              <w:pStyle w:val="6"/>
              <w:spacing w:before="68" w:line="220" w:lineRule="auto"/>
              <w:ind w:left="655"/>
              <w:rPr>
                <w:rFonts w:ascii="宋体" w:hAnsi="宋体" w:eastAsia="宋体" w:cs="宋体"/>
              </w:rPr>
            </w:pPr>
            <w:r>
              <w:rPr>
                <w:spacing w:val="-7"/>
              </w:rPr>
              <w:t>1</w:t>
            </w:r>
            <w:r>
              <w:rPr>
                <w:spacing w:val="14"/>
                <w:w w:val="101"/>
              </w:rPr>
              <w:t xml:space="preserve"> </w:t>
            </w:r>
            <w:r>
              <w:rPr>
                <w:rFonts w:ascii="宋体" w:hAnsi="宋体" w:eastAsia="宋体" w:cs="宋体"/>
                <w:spacing w:val="-7"/>
              </w:rPr>
              <w:t>小时平均</w:t>
            </w:r>
          </w:p>
        </w:tc>
        <w:tc>
          <w:tcPr>
            <w:tcW w:w="1558" w:type="dxa"/>
            <w:vAlign w:val="top"/>
          </w:tcPr>
          <w:p w14:paraId="486DE361">
            <w:pPr>
              <w:pStyle w:val="6"/>
              <w:spacing w:before="105" w:line="188" w:lineRule="auto"/>
              <w:ind w:left="696"/>
            </w:pPr>
            <w:r>
              <w:rPr>
                <w:spacing w:val="-12"/>
              </w:rPr>
              <w:t>10</w:t>
            </w:r>
          </w:p>
        </w:tc>
        <w:tc>
          <w:tcPr>
            <w:tcW w:w="706" w:type="dxa"/>
            <w:vMerge w:val="continue"/>
            <w:tcBorders>
              <w:top w:val="nil"/>
            </w:tcBorders>
            <w:vAlign w:val="top"/>
          </w:tcPr>
          <w:p w14:paraId="2EE17F2F">
            <w:pPr>
              <w:rPr>
                <w:rFonts w:ascii="Arial"/>
                <w:sz w:val="21"/>
              </w:rPr>
            </w:pPr>
          </w:p>
        </w:tc>
        <w:tc>
          <w:tcPr>
            <w:tcW w:w="1517" w:type="dxa"/>
            <w:vMerge w:val="continue"/>
            <w:tcBorders>
              <w:top w:val="nil"/>
            </w:tcBorders>
            <w:vAlign w:val="top"/>
          </w:tcPr>
          <w:p w14:paraId="20A46217">
            <w:pPr>
              <w:rPr>
                <w:rFonts w:ascii="Arial"/>
                <w:sz w:val="21"/>
              </w:rPr>
            </w:pPr>
          </w:p>
        </w:tc>
      </w:tr>
    </w:tbl>
    <w:p w14:paraId="28068C2C">
      <w:pPr>
        <w:spacing w:before="233"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）地下水环境</w:t>
      </w:r>
    </w:p>
    <w:p w14:paraId="6F44C6DE">
      <w:pPr>
        <w:spacing w:before="182" w:line="220" w:lineRule="auto"/>
        <w:ind w:left="519"/>
        <w:rPr>
          <w:rFonts w:ascii="宋体" w:hAnsi="宋体" w:eastAsia="宋体" w:cs="宋体"/>
          <w:sz w:val="24"/>
          <w:szCs w:val="24"/>
        </w:rPr>
      </w:pPr>
      <w:r>
        <w:rPr>
          <w:rFonts w:ascii="宋体" w:hAnsi="宋体" w:eastAsia="宋体" w:cs="宋体"/>
          <w:spacing w:val="-1"/>
          <w:sz w:val="24"/>
          <w:szCs w:val="24"/>
        </w:rPr>
        <w:t>地下水水质执行《地下水质量标准》（</w:t>
      </w:r>
      <w:r>
        <w:rPr>
          <w:rFonts w:ascii="Times New Roman" w:hAnsi="Times New Roman" w:eastAsia="Times New Roman" w:cs="Times New Roman"/>
          <w:spacing w:val="-1"/>
          <w:sz w:val="24"/>
          <w:szCs w:val="24"/>
        </w:rPr>
        <w:t>GB/T14848-2017</w:t>
      </w:r>
      <w:r>
        <w:rPr>
          <w:rFonts w:ascii="宋体" w:hAnsi="宋体" w:eastAsia="宋体" w:cs="宋体"/>
          <w:spacing w:val="-1"/>
          <w:sz w:val="24"/>
          <w:szCs w:val="24"/>
        </w:rPr>
        <w:t>）中的Ⅲ类标准。</w:t>
      </w:r>
    </w:p>
    <w:p w14:paraId="3EFF7022">
      <w:pPr>
        <w:spacing w:before="196" w:line="212" w:lineRule="auto"/>
        <w:ind w:left="2435"/>
        <w:rPr>
          <w:rFonts w:ascii="Times New Roman" w:hAnsi="Times New Roman" w:eastAsia="Times New Roman" w:cs="Times New Roman"/>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1.2-4  </w:t>
      </w:r>
      <w:r>
        <w:rPr>
          <w:rFonts w:ascii="黑体" w:hAnsi="黑体" w:eastAsia="黑体" w:cs="黑体"/>
          <w:spacing w:val="-1"/>
          <w:sz w:val="21"/>
          <w:szCs w:val="21"/>
        </w:rPr>
        <w:t>地下水质量标准  单位：</w:t>
      </w:r>
      <w:r>
        <w:rPr>
          <w:rFonts w:ascii="Times New Roman" w:hAnsi="Times New Roman" w:eastAsia="Times New Roman" w:cs="Times New Roman"/>
          <w:spacing w:val="-1"/>
          <w:sz w:val="21"/>
          <w:szCs w:val="21"/>
        </w:rPr>
        <w:t>mg/L</w:t>
      </w:r>
    </w:p>
    <w:p w14:paraId="68982C55">
      <w:pPr>
        <w:spacing w:line="9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3679"/>
        <w:gridCol w:w="1840"/>
        <w:gridCol w:w="1799"/>
      </w:tblGrid>
      <w:tr w14:paraId="3AAC0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02" w:type="dxa"/>
            <w:vAlign w:val="top"/>
          </w:tcPr>
          <w:p w14:paraId="57F580B1">
            <w:pPr>
              <w:spacing w:before="55" w:line="221" w:lineRule="auto"/>
              <w:ind w:left="295"/>
              <w:rPr>
                <w:rFonts w:ascii="宋体" w:hAnsi="宋体" w:eastAsia="宋体" w:cs="宋体"/>
                <w:sz w:val="21"/>
                <w:szCs w:val="21"/>
              </w:rPr>
            </w:pPr>
            <w:r>
              <w:rPr>
                <w:rFonts w:ascii="宋体" w:hAnsi="宋体" w:eastAsia="宋体" w:cs="宋体"/>
                <w:spacing w:val="-2"/>
                <w:sz w:val="21"/>
                <w:szCs w:val="21"/>
              </w:rPr>
              <w:t>序号</w:t>
            </w:r>
          </w:p>
        </w:tc>
        <w:tc>
          <w:tcPr>
            <w:tcW w:w="3679" w:type="dxa"/>
            <w:vAlign w:val="top"/>
          </w:tcPr>
          <w:p w14:paraId="51F0BE85">
            <w:pPr>
              <w:spacing w:before="56" w:line="220" w:lineRule="auto"/>
              <w:ind w:left="1638"/>
              <w:rPr>
                <w:rFonts w:ascii="宋体" w:hAnsi="宋体" w:eastAsia="宋体" w:cs="宋体"/>
                <w:sz w:val="21"/>
                <w:szCs w:val="21"/>
              </w:rPr>
            </w:pPr>
            <w:r>
              <w:rPr>
                <w:rFonts w:ascii="宋体" w:hAnsi="宋体" w:eastAsia="宋体" w:cs="宋体"/>
                <w:spacing w:val="-3"/>
                <w:sz w:val="21"/>
                <w:szCs w:val="21"/>
              </w:rPr>
              <w:t>项目</w:t>
            </w:r>
          </w:p>
        </w:tc>
        <w:tc>
          <w:tcPr>
            <w:tcW w:w="1840" w:type="dxa"/>
            <w:vAlign w:val="top"/>
          </w:tcPr>
          <w:p w14:paraId="4B68110E">
            <w:pPr>
              <w:spacing w:before="55" w:line="220" w:lineRule="auto"/>
              <w:ind w:left="506"/>
              <w:rPr>
                <w:rFonts w:ascii="宋体" w:hAnsi="宋体" w:eastAsia="宋体" w:cs="宋体"/>
                <w:sz w:val="21"/>
                <w:szCs w:val="21"/>
              </w:rPr>
            </w:pPr>
            <w:r>
              <w:rPr>
                <w:rFonts w:ascii="宋体" w:hAnsi="宋体" w:eastAsia="宋体" w:cs="宋体"/>
                <w:spacing w:val="-2"/>
                <w:sz w:val="21"/>
                <w:szCs w:val="21"/>
              </w:rPr>
              <w:t>Ⅲ类标准</w:t>
            </w:r>
          </w:p>
        </w:tc>
        <w:tc>
          <w:tcPr>
            <w:tcW w:w="1799" w:type="dxa"/>
            <w:vAlign w:val="top"/>
          </w:tcPr>
          <w:p w14:paraId="67028AA0">
            <w:pPr>
              <w:spacing w:before="55" w:line="220" w:lineRule="auto"/>
              <w:ind w:left="486"/>
              <w:rPr>
                <w:rFonts w:ascii="宋体" w:hAnsi="宋体" w:eastAsia="宋体" w:cs="宋体"/>
                <w:sz w:val="21"/>
                <w:szCs w:val="21"/>
              </w:rPr>
            </w:pPr>
            <w:r>
              <w:rPr>
                <w:rFonts w:ascii="宋体" w:hAnsi="宋体" w:eastAsia="宋体" w:cs="宋体"/>
                <w:spacing w:val="-2"/>
                <w:sz w:val="21"/>
                <w:szCs w:val="21"/>
              </w:rPr>
              <w:t>标准来源</w:t>
            </w:r>
          </w:p>
        </w:tc>
      </w:tr>
      <w:tr w14:paraId="70BD1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096B7DAC">
            <w:pPr>
              <w:pStyle w:val="6"/>
              <w:spacing w:before="87" w:line="188" w:lineRule="auto"/>
              <w:ind w:left="470"/>
            </w:pPr>
            <w:r>
              <w:t>1</w:t>
            </w:r>
          </w:p>
        </w:tc>
        <w:tc>
          <w:tcPr>
            <w:tcW w:w="3679" w:type="dxa"/>
            <w:vAlign w:val="top"/>
          </w:tcPr>
          <w:p w14:paraId="64639776">
            <w:pPr>
              <w:pStyle w:val="6"/>
              <w:spacing w:before="50" w:line="212" w:lineRule="auto"/>
              <w:ind w:left="1182"/>
              <w:rPr>
                <w:rFonts w:ascii="宋体" w:hAnsi="宋体" w:eastAsia="宋体" w:cs="宋体"/>
              </w:rPr>
            </w:pPr>
            <w:r>
              <w:rPr>
                <w:spacing w:val="-2"/>
              </w:rPr>
              <w:t>pH</w:t>
            </w:r>
            <w:r>
              <w:rPr>
                <w:rFonts w:ascii="宋体" w:hAnsi="宋体" w:eastAsia="宋体" w:cs="宋体"/>
                <w:spacing w:val="-2"/>
              </w:rPr>
              <w:t>（无量纲）</w:t>
            </w:r>
          </w:p>
        </w:tc>
        <w:tc>
          <w:tcPr>
            <w:tcW w:w="1840" w:type="dxa"/>
            <w:vAlign w:val="top"/>
          </w:tcPr>
          <w:p w14:paraId="183D3BF8">
            <w:pPr>
              <w:pStyle w:val="6"/>
              <w:spacing w:before="86" w:line="188" w:lineRule="auto"/>
              <w:ind w:left="630"/>
            </w:pPr>
            <w:r>
              <w:rPr>
                <w:spacing w:val="-2"/>
              </w:rPr>
              <w:t>6.5-8.5</w:t>
            </w:r>
          </w:p>
        </w:tc>
        <w:tc>
          <w:tcPr>
            <w:tcW w:w="1799" w:type="dxa"/>
            <w:vMerge w:val="restart"/>
            <w:tcBorders>
              <w:bottom w:val="nil"/>
            </w:tcBorders>
            <w:vAlign w:val="top"/>
          </w:tcPr>
          <w:p w14:paraId="50AE251B">
            <w:pPr>
              <w:spacing w:line="246" w:lineRule="auto"/>
              <w:rPr>
                <w:rFonts w:ascii="Arial"/>
                <w:sz w:val="21"/>
              </w:rPr>
            </w:pPr>
          </w:p>
          <w:p w14:paraId="26496D20">
            <w:pPr>
              <w:spacing w:line="246" w:lineRule="auto"/>
              <w:rPr>
                <w:rFonts w:ascii="Arial"/>
                <w:sz w:val="21"/>
              </w:rPr>
            </w:pPr>
          </w:p>
          <w:p w14:paraId="3673DE64">
            <w:pPr>
              <w:spacing w:line="246" w:lineRule="auto"/>
              <w:rPr>
                <w:rFonts w:ascii="Arial"/>
                <w:sz w:val="21"/>
              </w:rPr>
            </w:pPr>
          </w:p>
          <w:p w14:paraId="36C87019">
            <w:pPr>
              <w:spacing w:line="247" w:lineRule="auto"/>
              <w:rPr>
                <w:rFonts w:ascii="Arial"/>
                <w:sz w:val="21"/>
              </w:rPr>
            </w:pPr>
          </w:p>
          <w:p w14:paraId="0A8CB3D9">
            <w:pPr>
              <w:spacing w:line="247" w:lineRule="auto"/>
              <w:rPr>
                <w:rFonts w:ascii="Arial"/>
                <w:sz w:val="21"/>
              </w:rPr>
            </w:pPr>
          </w:p>
          <w:p w14:paraId="44FEC58E">
            <w:pPr>
              <w:spacing w:line="247" w:lineRule="auto"/>
              <w:rPr>
                <w:rFonts w:ascii="Arial"/>
                <w:sz w:val="21"/>
              </w:rPr>
            </w:pPr>
          </w:p>
          <w:p w14:paraId="70317FCC">
            <w:pPr>
              <w:spacing w:line="247" w:lineRule="auto"/>
              <w:rPr>
                <w:rFonts w:ascii="Arial"/>
                <w:sz w:val="21"/>
              </w:rPr>
            </w:pPr>
          </w:p>
          <w:p w14:paraId="42D59108">
            <w:pPr>
              <w:spacing w:line="247" w:lineRule="auto"/>
              <w:rPr>
                <w:rFonts w:ascii="Arial"/>
                <w:sz w:val="21"/>
              </w:rPr>
            </w:pPr>
          </w:p>
          <w:p w14:paraId="266491D9">
            <w:pPr>
              <w:spacing w:line="247" w:lineRule="auto"/>
              <w:rPr>
                <w:rFonts w:ascii="Arial"/>
                <w:sz w:val="21"/>
              </w:rPr>
            </w:pPr>
          </w:p>
          <w:p w14:paraId="449E08EA">
            <w:pPr>
              <w:spacing w:line="247" w:lineRule="auto"/>
              <w:rPr>
                <w:rFonts w:ascii="Arial"/>
                <w:sz w:val="21"/>
              </w:rPr>
            </w:pPr>
          </w:p>
          <w:p w14:paraId="3019DA4A">
            <w:pPr>
              <w:spacing w:line="247" w:lineRule="auto"/>
              <w:rPr>
                <w:rFonts w:ascii="Arial"/>
                <w:sz w:val="21"/>
              </w:rPr>
            </w:pPr>
          </w:p>
          <w:p w14:paraId="3425B9A5">
            <w:pPr>
              <w:spacing w:line="247" w:lineRule="auto"/>
              <w:rPr>
                <w:rFonts w:ascii="Arial"/>
                <w:sz w:val="21"/>
              </w:rPr>
            </w:pPr>
          </w:p>
          <w:p w14:paraId="2EE6B033">
            <w:pPr>
              <w:spacing w:line="247" w:lineRule="auto"/>
              <w:rPr>
                <w:rFonts w:ascii="Arial"/>
                <w:sz w:val="21"/>
              </w:rPr>
            </w:pPr>
          </w:p>
          <w:p w14:paraId="69CD10BD">
            <w:pPr>
              <w:spacing w:line="247" w:lineRule="auto"/>
              <w:rPr>
                <w:rFonts w:ascii="Arial"/>
                <w:sz w:val="21"/>
              </w:rPr>
            </w:pPr>
          </w:p>
          <w:p w14:paraId="6716A7F4">
            <w:pPr>
              <w:spacing w:line="247" w:lineRule="auto"/>
              <w:rPr>
                <w:rFonts w:ascii="Arial"/>
                <w:sz w:val="21"/>
              </w:rPr>
            </w:pPr>
          </w:p>
          <w:p w14:paraId="134EF5DC">
            <w:pPr>
              <w:pStyle w:val="6"/>
              <w:spacing w:before="61" w:line="192" w:lineRule="auto"/>
              <w:ind w:left="158"/>
            </w:pPr>
            <w:r>
              <w:rPr>
                <w:spacing w:val="-1"/>
              </w:rPr>
              <w:t>GB/T14848-2017</w:t>
            </w:r>
          </w:p>
        </w:tc>
      </w:tr>
      <w:tr w14:paraId="12B6B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35122A2A">
            <w:pPr>
              <w:pStyle w:val="6"/>
              <w:spacing w:before="87" w:line="188" w:lineRule="auto"/>
              <w:ind w:left="450"/>
            </w:pPr>
            <w:r>
              <w:t>2</w:t>
            </w:r>
          </w:p>
        </w:tc>
        <w:tc>
          <w:tcPr>
            <w:tcW w:w="3679" w:type="dxa"/>
            <w:vAlign w:val="top"/>
          </w:tcPr>
          <w:p w14:paraId="4B2FACD7">
            <w:pPr>
              <w:pStyle w:val="6"/>
              <w:spacing w:before="50" w:line="221" w:lineRule="auto"/>
              <w:ind w:left="774"/>
              <w:rPr>
                <w:rFonts w:ascii="宋体" w:hAnsi="宋体" w:eastAsia="宋体" w:cs="宋体"/>
              </w:rPr>
            </w:pPr>
            <w:r>
              <w:rPr>
                <w:rFonts w:ascii="宋体" w:hAnsi="宋体" w:eastAsia="宋体" w:cs="宋体"/>
                <w:spacing w:val="-3"/>
              </w:rPr>
              <w:t>总硬度（以</w:t>
            </w:r>
            <w:r>
              <w:rPr>
                <w:rFonts w:ascii="宋体" w:hAnsi="宋体" w:eastAsia="宋体" w:cs="宋体"/>
                <w:spacing w:val="-42"/>
              </w:rPr>
              <w:t xml:space="preserve"> </w:t>
            </w:r>
            <w:r>
              <w:rPr>
                <w:spacing w:val="-3"/>
              </w:rPr>
              <w:t>CaCO</w:t>
            </w:r>
            <w:r>
              <w:rPr>
                <w:spacing w:val="-3"/>
                <w:position w:val="-2"/>
                <w:sz w:val="14"/>
                <w:szCs w:val="14"/>
              </w:rPr>
              <w:t>3</w:t>
            </w:r>
            <w:r>
              <w:rPr>
                <w:spacing w:val="9"/>
                <w:position w:val="-2"/>
                <w:sz w:val="14"/>
                <w:szCs w:val="14"/>
              </w:rPr>
              <w:t xml:space="preserve"> </w:t>
            </w:r>
            <w:r>
              <w:rPr>
                <w:rFonts w:ascii="宋体" w:hAnsi="宋体" w:eastAsia="宋体" w:cs="宋体"/>
                <w:spacing w:val="-3"/>
              </w:rPr>
              <w:t>计）</w:t>
            </w:r>
          </w:p>
        </w:tc>
        <w:tc>
          <w:tcPr>
            <w:tcW w:w="1840" w:type="dxa"/>
            <w:vAlign w:val="top"/>
          </w:tcPr>
          <w:p w14:paraId="474E6081">
            <w:pPr>
              <w:pStyle w:val="6"/>
              <w:spacing w:before="87" w:line="188" w:lineRule="auto"/>
              <w:ind w:left="765"/>
            </w:pPr>
            <w:r>
              <w:rPr>
                <w:spacing w:val="-2"/>
              </w:rPr>
              <w:t>450</w:t>
            </w:r>
          </w:p>
        </w:tc>
        <w:tc>
          <w:tcPr>
            <w:tcW w:w="1799" w:type="dxa"/>
            <w:vMerge w:val="continue"/>
            <w:tcBorders>
              <w:top w:val="nil"/>
              <w:bottom w:val="nil"/>
            </w:tcBorders>
            <w:vAlign w:val="top"/>
          </w:tcPr>
          <w:p w14:paraId="0E652E74">
            <w:pPr>
              <w:rPr>
                <w:rFonts w:ascii="Arial"/>
                <w:sz w:val="21"/>
              </w:rPr>
            </w:pPr>
          </w:p>
        </w:tc>
      </w:tr>
      <w:tr w14:paraId="1BB2F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02" w:type="dxa"/>
            <w:vAlign w:val="top"/>
          </w:tcPr>
          <w:p w14:paraId="119DF046">
            <w:pPr>
              <w:pStyle w:val="6"/>
              <w:spacing w:before="89" w:line="188" w:lineRule="auto"/>
              <w:ind w:left="454"/>
            </w:pPr>
            <w:r>
              <w:t>3</w:t>
            </w:r>
          </w:p>
        </w:tc>
        <w:tc>
          <w:tcPr>
            <w:tcW w:w="3679" w:type="dxa"/>
            <w:vAlign w:val="top"/>
          </w:tcPr>
          <w:p w14:paraId="59365BAC">
            <w:pPr>
              <w:spacing w:before="53" w:line="220" w:lineRule="auto"/>
              <w:ind w:left="1217"/>
              <w:rPr>
                <w:rFonts w:ascii="宋体" w:hAnsi="宋体" w:eastAsia="宋体" w:cs="宋体"/>
                <w:sz w:val="21"/>
                <w:szCs w:val="21"/>
              </w:rPr>
            </w:pPr>
            <w:r>
              <w:rPr>
                <w:rFonts w:ascii="宋体" w:hAnsi="宋体" w:eastAsia="宋体" w:cs="宋体"/>
                <w:spacing w:val="-2"/>
                <w:sz w:val="21"/>
                <w:szCs w:val="21"/>
              </w:rPr>
              <w:t>溶解性总固体</w:t>
            </w:r>
          </w:p>
        </w:tc>
        <w:tc>
          <w:tcPr>
            <w:tcW w:w="1840" w:type="dxa"/>
            <w:vAlign w:val="top"/>
          </w:tcPr>
          <w:p w14:paraId="68CC024C">
            <w:pPr>
              <w:pStyle w:val="6"/>
              <w:spacing w:before="89" w:line="188" w:lineRule="auto"/>
              <w:ind w:left="733"/>
            </w:pPr>
            <w:r>
              <w:rPr>
                <w:spacing w:val="-6"/>
              </w:rPr>
              <w:t>1000</w:t>
            </w:r>
          </w:p>
        </w:tc>
        <w:tc>
          <w:tcPr>
            <w:tcW w:w="1799" w:type="dxa"/>
            <w:vMerge w:val="continue"/>
            <w:tcBorders>
              <w:top w:val="nil"/>
              <w:bottom w:val="nil"/>
            </w:tcBorders>
            <w:vAlign w:val="top"/>
          </w:tcPr>
          <w:p w14:paraId="0C167164">
            <w:pPr>
              <w:rPr>
                <w:rFonts w:ascii="Arial"/>
                <w:sz w:val="21"/>
              </w:rPr>
            </w:pPr>
          </w:p>
        </w:tc>
      </w:tr>
      <w:tr w14:paraId="6832D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7ECF71D1">
            <w:pPr>
              <w:pStyle w:val="6"/>
              <w:spacing w:before="88" w:line="188" w:lineRule="auto"/>
              <w:ind w:left="449"/>
            </w:pPr>
            <w:r>
              <w:t>4</w:t>
            </w:r>
          </w:p>
        </w:tc>
        <w:tc>
          <w:tcPr>
            <w:tcW w:w="3679" w:type="dxa"/>
            <w:vAlign w:val="top"/>
          </w:tcPr>
          <w:p w14:paraId="50CCA945">
            <w:pPr>
              <w:spacing w:before="51" w:line="221" w:lineRule="auto"/>
              <w:ind w:left="1528"/>
              <w:rPr>
                <w:rFonts w:ascii="宋体" w:hAnsi="宋体" w:eastAsia="宋体" w:cs="宋体"/>
                <w:sz w:val="21"/>
                <w:szCs w:val="21"/>
              </w:rPr>
            </w:pPr>
            <w:r>
              <w:rPr>
                <w:rFonts w:ascii="宋体" w:hAnsi="宋体" w:eastAsia="宋体" w:cs="宋体"/>
                <w:spacing w:val="-2"/>
                <w:sz w:val="21"/>
                <w:szCs w:val="21"/>
              </w:rPr>
              <w:t>硫酸盐</w:t>
            </w:r>
          </w:p>
        </w:tc>
        <w:tc>
          <w:tcPr>
            <w:tcW w:w="1840" w:type="dxa"/>
            <w:vAlign w:val="top"/>
          </w:tcPr>
          <w:p w14:paraId="36A20B71">
            <w:pPr>
              <w:pStyle w:val="6"/>
              <w:spacing w:before="87" w:line="188" w:lineRule="auto"/>
              <w:ind w:left="766"/>
            </w:pPr>
            <w:r>
              <w:rPr>
                <w:spacing w:val="-2"/>
              </w:rPr>
              <w:t>250</w:t>
            </w:r>
          </w:p>
        </w:tc>
        <w:tc>
          <w:tcPr>
            <w:tcW w:w="1799" w:type="dxa"/>
            <w:vMerge w:val="continue"/>
            <w:tcBorders>
              <w:top w:val="nil"/>
              <w:bottom w:val="nil"/>
            </w:tcBorders>
            <w:vAlign w:val="top"/>
          </w:tcPr>
          <w:p w14:paraId="06177803">
            <w:pPr>
              <w:rPr>
                <w:rFonts w:ascii="Arial"/>
                <w:sz w:val="21"/>
              </w:rPr>
            </w:pPr>
          </w:p>
        </w:tc>
      </w:tr>
      <w:tr w14:paraId="19550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45668C7B">
            <w:pPr>
              <w:pStyle w:val="6"/>
              <w:spacing w:before="91" w:line="185" w:lineRule="auto"/>
              <w:ind w:left="456"/>
            </w:pPr>
            <w:r>
              <w:t>5</w:t>
            </w:r>
          </w:p>
        </w:tc>
        <w:tc>
          <w:tcPr>
            <w:tcW w:w="3679" w:type="dxa"/>
            <w:vAlign w:val="top"/>
          </w:tcPr>
          <w:p w14:paraId="468C25BA">
            <w:pPr>
              <w:spacing w:before="51" w:line="221" w:lineRule="auto"/>
              <w:ind w:left="1532"/>
              <w:rPr>
                <w:rFonts w:ascii="宋体" w:hAnsi="宋体" w:eastAsia="宋体" w:cs="宋体"/>
                <w:sz w:val="21"/>
                <w:szCs w:val="21"/>
              </w:rPr>
            </w:pPr>
            <w:r>
              <w:rPr>
                <w:rFonts w:ascii="宋体" w:hAnsi="宋体" w:eastAsia="宋体" w:cs="宋体"/>
                <w:spacing w:val="-3"/>
                <w:sz w:val="21"/>
                <w:szCs w:val="21"/>
              </w:rPr>
              <w:t>氯化物</w:t>
            </w:r>
          </w:p>
        </w:tc>
        <w:tc>
          <w:tcPr>
            <w:tcW w:w="1840" w:type="dxa"/>
            <w:vAlign w:val="top"/>
          </w:tcPr>
          <w:p w14:paraId="523423D3">
            <w:pPr>
              <w:pStyle w:val="6"/>
              <w:spacing w:before="88" w:line="188" w:lineRule="auto"/>
              <w:ind w:left="766"/>
            </w:pPr>
            <w:r>
              <w:rPr>
                <w:spacing w:val="-2"/>
              </w:rPr>
              <w:t>250</w:t>
            </w:r>
          </w:p>
        </w:tc>
        <w:tc>
          <w:tcPr>
            <w:tcW w:w="1799" w:type="dxa"/>
            <w:vMerge w:val="continue"/>
            <w:tcBorders>
              <w:top w:val="nil"/>
              <w:bottom w:val="nil"/>
            </w:tcBorders>
            <w:vAlign w:val="top"/>
          </w:tcPr>
          <w:p w14:paraId="3DD9C573">
            <w:pPr>
              <w:rPr>
                <w:rFonts w:ascii="Arial"/>
                <w:sz w:val="21"/>
              </w:rPr>
            </w:pPr>
          </w:p>
        </w:tc>
      </w:tr>
      <w:tr w14:paraId="1D5C5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02" w:type="dxa"/>
            <w:vAlign w:val="top"/>
          </w:tcPr>
          <w:p w14:paraId="22E0C16E">
            <w:pPr>
              <w:pStyle w:val="6"/>
              <w:spacing w:before="90" w:line="188" w:lineRule="auto"/>
              <w:ind w:left="455"/>
            </w:pPr>
            <w:r>
              <w:t>6</w:t>
            </w:r>
          </w:p>
        </w:tc>
        <w:tc>
          <w:tcPr>
            <w:tcW w:w="3679" w:type="dxa"/>
            <w:vAlign w:val="top"/>
          </w:tcPr>
          <w:p w14:paraId="1A665078">
            <w:pPr>
              <w:pStyle w:val="6"/>
              <w:spacing w:before="53" w:line="219" w:lineRule="auto"/>
              <w:ind w:left="409"/>
              <w:rPr>
                <w:rFonts w:ascii="宋体" w:hAnsi="宋体" w:eastAsia="宋体" w:cs="宋体"/>
              </w:rPr>
            </w:pPr>
            <w:r>
              <w:rPr>
                <w:rFonts w:ascii="宋体" w:hAnsi="宋体" w:eastAsia="宋体" w:cs="宋体"/>
                <w:spacing w:val="-3"/>
              </w:rPr>
              <w:t>耗氧量（</w:t>
            </w:r>
            <w:r>
              <w:rPr>
                <w:spacing w:val="-3"/>
              </w:rPr>
              <w:t>COD</w:t>
            </w:r>
            <w:r>
              <w:rPr>
                <w:spacing w:val="-3"/>
                <w:position w:val="-2"/>
                <w:sz w:val="14"/>
                <w:szCs w:val="14"/>
              </w:rPr>
              <w:t>Mn</w:t>
            </w:r>
            <w:r>
              <w:rPr>
                <w:spacing w:val="19"/>
                <w:w w:val="101"/>
                <w:position w:val="-2"/>
                <w:sz w:val="14"/>
                <w:szCs w:val="14"/>
              </w:rPr>
              <w:t xml:space="preserve"> </w:t>
            </w:r>
            <w:r>
              <w:rPr>
                <w:rFonts w:ascii="宋体" w:hAnsi="宋体" w:eastAsia="宋体" w:cs="宋体"/>
                <w:spacing w:val="-3"/>
              </w:rPr>
              <w:t>法，以</w:t>
            </w:r>
            <w:r>
              <w:rPr>
                <w:rFonts w:ascii="宋体" w:hAnsi="宋体" w:eastAsia="宋体" w:cs="宋体"/>
                <w:spacing w:val="-45"/>
              </w:rPr>
              <w:t xml:space="preserve"> </w:t>
            </w:r>
            <w:r>
              <w:rPr>
                <w:spacing w:val="-3"/>
              </w:rPr>
              <w:t>O</w:t>
            </w:r>
            <w:r>
              <w:rPr>
                <w:spacing w:val="-3"/>
                <w:position w:val="-2"/>
                <w:sz w:val="14"/>
                <w:szCs w:val="14"/>
              </w:rPr>
              <w:t>2</w:t>
            </w:r>
            <w:r>
              <w:rPr>
                <w:spacing w:val="9"/>
                <w:position w:val="-2"/>
                <w:sz w:val="14"/>
                <w:szCs w:val="14"/>
              </w:rPr>
              <w:t xml:space="preserve"> </w:t>
            </w:r>
            <w:r>
              <w:rPr>
                <w:rFonts w:ascii="宋体" w:hAnsi="宋体" w:eastAsia="宋体" w:cs="宋体"/>
                <w:spacing w:val="-3"/>
              </w:rPr>
              <w:t>计）</w:t>
            </w:r>
          </w:p>
        </w:tc>
        <w:tc>
          <w:tcPr>
            <w:tcW w:w="1840" w:type="dxa"/>
            <w:vAlign w:val="top"/>
          </w:tcPr>
          <w:p w14:paraId="618A6704">
            <w:pPr>
              <w:pStyle w:val="6"/>
              <w:spacing w:before="90" w:line="188" w:lineRule="auto"/>
              <w:ind w:left="795"/>
            </w:pPr>
            <w:r>
              <w:rPr>
                <w:spacing w:val="-3"/>
              </w:rPr>
              <w:t>3.0</w:t>
            </w:r>
          </w:p>
        </w:tc>
        <w:tc>
          <w:tcPr>
            <w:tcW w:w="1799" w:type="dxa"/>
            <w:vMerge w:val="continue"/>
            <w:tcBorders>
              <w:top w:val="nil"/>
              <w:bottom w:val="nil"/>
            </w:tcBorders>
            <w:vAlign w:val="top"/>
          </w:tcPr>
          <w:p w14:paraId="06DD15D9">
            <w:pPr>
              <w:rPr>
                <w:rFonts w:ascii="Arial"/>
                <w:sz w:val="21"/>
              </w:rPr>
            </w:pPr>
          </w:p>
        </w:tc>
      </w:tr>
      <w:tr w14:paraId="3ECF3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1EFBC785">
            <w:pPr>
              <w:pStyle w:val="6"/>
              <w:spacing w:before="91" w:line="185" w:lineRule="auto"/>
              <w:ind w:left="453"/>
            </w:pPr>
            <w:r>
              <w:t>7</w:t>
            </w:r>
          </w:p>
        </w:tc>
        <w:tc>
          <w:tcPr>
            <w:tcW w:w="3679" w:type="dxa"/>
            <w:vAlign w:val="top"/>
          </w:tcPr>
          <w:p w14:paraId="134648A5">
            <w:pPr>
              <w:pStyle w:val="6"/>
              <w:spacing w:before="52" w:line="219" w:lineRule="auto"/>
              <w:ind w:left="1086"/>
              <w:rPr>
                <w:rFonts w:ascii="宋体" w:hAnsi="宋体" w:eastAsia="宋体" w:cs="宋体"/>
              </w:rPr>
            </w:pPr>
            <w:r>
              <w:rPr>
                <w:rFonts w:ascii="宋体" w:hAnsi="宋体" w:eastAsia="宋体" w:cs="宋体"/>
                <w:spacing w:val="-2"/>
              </w:rPr>
              <w:t>氨氮（以</w:t>
            </w:r>
            <w:r>
              <w:rPr>
                <w:rFonts w:ascii="宋体" w:hAnsi="宋体" w:eastAsia="宋体" w:cs="宋体"/>
                <w:spacing w:val="-49"/>
              </w:rPr>
              <w:t xml:space="preserve"> </w:t>
            </w:r>
            <w:r>
              <w:rPr>
                <w:spacing w:val="-2"/>
              </w:rPr>
              <w:t xml:space="preserve">N </w:t>
            </w:r>
            <w:r>
              <w:rPr>
                <w:rFonts w:ascii="宋体" w:hAnsi="宋体" w:eastAsia="宋体" w:cs="宋体"/>
                <w:spacing w:val="-2"/>
              </w:rPr>
              <w:t>计）</w:t>
            </w:r>
          </w:p>
        </w:tc>
        <w:tc>
          <w:tcPr>
            <w:tcW w:w="1840" w:type="dxa"/>
            <w:vAlign w:val="top"/>
          </w:tcPr>
          <w:p w14:paraId="7DD92D53">
            <w:pPr>
              <w:pStyle w:val="6"/>
              <w:spacing w:before="88" w:line="188" w:lineRule="auto"/>
              <w:ind w:left="794"/>
            </w:pPr>
            <w:r>
              <w:rPr>
                <w:spacing w:val="-3"/>
              </w:rPr>
              <w:t>0.5</w:t>
            </w:r>
          </w:p>
        </w:tc>
        <w:tc>
          <w:tcPr>
            <w:tcW w:w="1799" w:type="dxa"/>
            <w:vMerge w:val="continue"/>
            <w:tcBorders>
              <w:top w:val="nil"/>
              <w:bottom w:val="nil"/>
            </w:tcBorders>
            <w:vAlign w:val="top"/>
          </w:tcPr>
          <w:p w14:paraId="36A8AF97">
            <w:pPr>
              <w:rPr>
                <w:rFonts w:ascii="Arial"/>
                <w:sz w:val="21"/>
              </w:rPr>
            </w:pPr>
          </w:p>
        </w:tc>
      </w:tr>
      <w:tr w14:paraId="513A8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5DB2AAD5">
            <w:pPr>
              <w:pStyle w:val="6"/>
              <w:spacing w:before="89" w:line="188" w:lineRule="auto"/>
              <w:ind w:left="459"/>
            </w:pPr>
            <w:r>
              <w:t>8</w:t>
            </w:r>
          </w:p>
        </w:tc>
        <w:tc>
          <w:tcPr>
            <w:tcW w:w="3679" w:type="dxa"/>
            <w:vAlign w:val="top"/>
          </w:tcPr>
          <w:p w14:paraId="00A40000">
            <w:pPr>
              <w:spacing w:before="52" w:line="221" w:lineRule="auto"/>
              <w:ind w:left="1426"/>
              <w:rPr>
                <w:rFonts w:ascii="宋体" w:hAnsi="宋体" w:eastAsia="宋体" w:cs="宋体"/>
                <w:sz w:val="21"/>
                <w:szCs w:val="21"/>
              </w:rPr>
            </w:pPr>
            <w:r>
              <w:rPr>
                <w:rFonts w:ascii="宋体" w:hAnsi="宋体" w:eastAsia="宋体" w:cs="宋体"/>
                <w:spacing w:val="-2"/>
                <w:sz w:val="21"/>
                <w:szCs w:val="21"/>
              </w:rPr>
              <w:t>亚硝酸盐</w:t>
            </w:r>
          </w:p>
        </w:tc>
        <w:tc>
          <w:tcPr>
            <w:tcW w:w="1840" w:type="dxa"/>
            <w:vAlign w:val="top"/>
          </w:tcPr>
          <w:p w14:paraId="1D171DDB">
            <w:pPr>
              <w:pStyle w:val="6"/>
              <w:spacing w:before="89" w:line="188" w:lineRule="auto"/>
              <w:ind w:left="811"/>
            </w:pPr>
            <w:r>
              <w:rPr>
                <w:spacing w:val="-8"/>
              </w:rPr>
              <w:t>1.0</w:t>
            </w:r>
          </w:p>
        </w:tc>
        <w:tc>
          <w:tcPr>
            <w:tcW w:w="1799" w:type="dxa"/>
            <w:vMerge w:val="continue"/>
            <w:tcBorders>
              <w:top w:val="nil"/>
              <w:bottom w:val="nil"/>
            </w:tcBorders>
            <w:vAlign w:val="top"/>
          </w:tcPr>
          <w:p w14:paraId="723FEBBD">
            <w:pPr>
              <w:rPr>
                <w:rFonts w:ascii="Arial"/>
                <w:sz w:val="21"/>
              </w:rPr>
            </w:pPr>
          </w:p>
        </w:tc>
      </w:tr>
      <w:tr w14:paraId="25FEE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02" w:type="dxa"/>
            <w:vAlign w:val="top"/>
          </w:tcPr>
          <w:p w14:paraId="65CD8B40">
            <w:pPr>
              <w:pStyle w:val="6"/>
              <w:spacing w:before="91" w:line="188" w:lineRule="auto"/>
              <w:ind w:left="454"/>
            </w:pPr>
            <w:r>
              <w:t>9</w:t>
            </w:r>
          </w:p>
        </w:tc>
        <w:tc>
          <w:tcPr>
            <w:tcW w:w="3679" w:type="dxa"/>
            <w:vAlign w:val="top"/>
          </w:tcPr>
          <w:p w14:paraId="2A3D8650">
            <w:pPr>
              <w:spacing w:before="54" w:line="221" w:lineRule="auto"/>
              <w:ind w:left="1531"/>
              <w:rPr>
                <w:rFonts w:ascii="宋体" w:hAnsi="宋体" w:eastAsia="宋体" w:cs="宋体"/>
                <w:sz w:val="21"/>
                <w:szCs w:val="21"/>
              </w:rPr>
            </w:pPr>
            <w:r>
              <w:rPr>
                <w:rFonts w:ascii="宋体" w:hAnsi="宋体" w:eastAsia="宋体" w:cs="宋体"/>
                <w:spacing w:val="-3"/>
                <w:sz w:val="21"/>
                <w:szCs w:val="21"/>
              </w:rPr>
              <w:t>硝酸盐</w:t>
            </w:r>
          </w:p>
        </w:tc>
        <w:tc>
          <w:tcPr>
            <w:tcW w:w="1840" w:type="dxa"/>
            <w:vAlign w:val="top"/>
          </w:tcPr>
          <w:p w14:paraId="6477C0A7">
            <w:pPr>
              <w:pStyle w:val="6"/>
              <w:spacing w:before="91" w:line="188" w:lineRule="auto"/>
              <w:ind w:left="739"/>
            </w:pPr>
            <w:r>
              <w:rPr>
                <w:spacing w:val="-1"/>
              </w:rPr>
              <w:t>20.0</w:t>
            </w:r>
          </w:p>
        </w:tc>
        <w:tc>
          <w:tcPr>
            <w:tcW w:w="1799" w:type="dxa"/>
            <w:vMerge w:val="continue"/>
            <w:tcBorders>
              <w:top w:val="nil"/>
              <w:bottom w:val="nil"/>
            </w:tcBorders>
            <w:vAlign w:val="top"/>
          </w:tcPr>
          <w:p w14:paraId="1E4AFAAE">
            <w:pPr>
              <w:rPr>
                <w:rFonts w:ascii="Arial"/>
                <w:sz w:val="21"/>
              </w:rPr>
            </w:pPr>
          </w:p>
        </w:tc>
      </w:tr>
      <w:tr w14:paraId="766A3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1C5CA7F1">
            <w:pPr>
              <w:pStyle w:val="6"/>
              <w:spacing w:before="89" w:line="188" w:lineRule="auto"/>
              <w:ind w:left="417"/>
            </w:pPr>
            <w:r>
              <w:rPr>
                <w:spacing w:val="-6"/>
              </w:rPr>
              <w:t>10</w:t>
            </w:r>
          </w:p>
        </w:tc>
        <w:tc>
          <w:tcPr>
            <w:tcW w:w="3679" w:type="dxa"/>
            <w:vAlign w:val="top"/>
          </w:tcPr>
          <w:p w14:paraId="4D3B4D36">
            <w:pPr>
              <w:spacing w:before="53" w:line="221" w:lineRule="auto"/>
              <w:ind w:left="1738"/>
              <w:rPr>
                <w:rFonts w:ascii="宋体" w:hAnsi="宋体" w:eastAsia="宋体" w:cs="宋体"/>
                <w:sz w:val="21"/>
                <w:szCs w:val="21"/>
              </w:rPr>
            </w:pPr>
            <w:r>
              <w:rPr>
                <w:rFonts w:ascii="宋体" w:hAnsi="宋体" w:eastAsia="宋体" w:cs="宋体"/>
                <w:sz w:val="21"/>
                <w:szCs w:val="21"/>
              </w:rPr>
              <w:t>钠</w:t>
            </w:r>
          </w:p>
        </w:tc>
        <w:tc>
          <w:tcPr>
            <w:tcW w:w="1840" w:type="dxa"/>
            <w:vAlign w:val="top"/>
          </w:tcPr>
          <w:p w14:paraId="7AFC623F">
            <w:pPr>
              <w:pStyle w:val="6"/>
              <w:spacing w:before="89" w:line="188" w:lineRule="auto"/>
              <w:ind w:left="766"/>
            </w:pPr>
            <w:r>
              <w:rPr>
                <w:spacing w:val="-2"/>
              </w:rPr>
              <w:t>200</w:t>
            </w:r>
          </w:p>
        </w:tc>
        <w:tc>
          <w:tcPr>
            <w:tcW w:w="1799" w:type="dxa"/>
            <w:vMerge w:val="continue"/>
            <w:tcBorders>
              <w:top w:val="nil"/>
              <w:bottom w:val="nil"/>
            </w:tcBorders>
            <w:vAlign w:val="top"/>
          </w:tcPr>
          <w:p w14:paraId="528083B8">
            <w:pPr>
              <w:rPr>
                <w:rFonts w:ascii="Arial"/>
                <w:sz w:val="21"/>
              </w:rPr>
            </w:pPr>
          </w:p>
        </w:tc>
      </w:tr>
      <w:tr w14:paraId="4113D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7A37E70B">
            <w:pPr>
              <w:pStyle w:val="6"/>
              <w:spacing w:before="90" w:line="188" w:lineRule="auto"/>
              <w:ind w:left="421"/>
            </w:pPr>
            <w:r>
              <w:rPr>
                <w:spacing w:val="-9"/>
              </w:rPr>
              <w:t>11</w:t>
            </w:r>
          </w:p>
        </w:tc>
        <w:tc>
          <w:tcPr>
            <w:tcW w:w="3679" w:type="dxa"/>
            <w:vAlign w:val="top"/>
          </w:tcPr>
          <w:p w14:paraId="22973EBF">
            <w:pPr>
              <w:spacing w:before="53" w:line="220" w:lineRule="auto"/>
              <w:ind w:left="1530"/>
              <w:rPr>
                <w:rFonts w:ascii="宋体" w:hAnsi="宋体" w:eastAsia="宋体" w:cs="宋体"/>
                <w:sz w:val="21"/>
                <w:szCs w:val="21"/>
              </w:rPr>
            </w:pPr>
            <w:r>
              <w:rPr>
                <w:rFonts w:ascii="宋体" w:hAnsi="宋体" w:eastAsia="宋体" w:cs="宋体"/>
                <w:spacing w:val="-3"/>
                <w:sz w:val="21"/>
                <w:szCs w:val="21"/>
              </w:rPr>
              <w:t>氟化物</w:t>
            </w:r>
          </w:p>
        </w:tc>
        <w:tc>
          <w:tcPr>
            <w:tcW w:w="1840" w:type="dxa"/>
            <w:vAlign w:val="top"/>
          </w:tcPr>
          <w:p w14:paraId="3EFB56A2">
            <w:pPr>
              <w:pStyle w:val="6"/>
              <w:spacing w:before="90" w:line="188" w:lineRule="auto"/>
              <w:ind w:left="890"/>
            </w:pPr>
            <w:r>
              <w:t>1</w:t>
            </w:r>
          </w:p>
        </w:tc>
        <w:tc>
          <w:tcPr>
            <w:tcW w:w="1799" w:type="dxa"/>
            <w:vMerge w:val="continue"/>
            <w:tcBorders>
              <w:top w:val="nil"/>
              <w:bottom w:val="nil"/>
            </w:tcBorders>
            <w:vAlign w:val="top"/>
          </w:tcPr>
          <w:p w14:paraId="7DE9D175">
            <w:pPr>
              <w:rPr>
                <w:rFonts w:ascii="Arial"/>
                <w:sz w:val="21"/>
              </w:rPr>
            </w:pPr>
          </w:p>
        </w:tc>
      </w:tr>
      <w:tr w14:paraId="5E255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02" w:type="dxa"/>
            <w:vAlign w:val="top"/>
          </w:tcPr>
          <w:p w14:paraId="492E2BB2">
            <w:pPr>
              <w:pStyle w:val="6"/>
              <w:spacing w:before="92" w:line="188" w:lineRule="auto"/>
              <w:ind w:left="417"/>
            </w:pPr>
            <w:r>
              <w:rPr>
                <w:spacing w:val="-6"/>
              </w:rPr>
              <w:t>12</w:t>
            </w:r>
          </w:p>
        </w:tc>
        <w:tc>
          <w:tcPr>
            <w:tcW w:w="3679" w:type="dxa"/>
            <w:vAlign w:val="top"/>
          </w:tcPr>
          <w:p w14:paraId="714B83C5">
            <w:pPr>
              <w:spacing w:before="55" w:line="221" w:lineRule="auto"/>
              <w:ind w:left="1739"/>
              <w:rPr>
                <w:rFonts w:ascii="宋体" w:hAnsi="宋体" w:eastAsia="宋体" w:cs="宋体"/>
                <w:sz w:val="21"/>
                <w:szCs w:val="21"/>
              </w:rPr>
            </w:pPr>
            <w:r>
              <w:rPr>
                <w:rFonts w:ascii="宋体" w:hAnsi="宋体" w:eastAsia="宋体" w:cs="宋体"/>
                <w:sz w:val="21"/>
                <w:szCs w:val="21"/>
              </w:rPr>
              <w:t>铜</w:t>
            </w:r>
          </w:p>
        </w:tc>
        <w:tc>
          <w:tcPr>
            <w:tcW w:w="1840" w:type="dxa"/>
            <w:vAlign w:val="top"/>
          </w:tcPr>
          <w:p w14:paraId="08DD2BB4">
            <w:pPr>
              <w:pStyle w:val="6"/>
              <w:spacing w:before="92" w:line="188" w:lineRule="auto"/>
              <w:ind w:left="890"/>
            </w:pPr>
            <w:r>
              <w:t>1</w:t>
            </w:r>
          </w:p>
        </w:tc>
        <w:tc>
          <w:tcPr>
            <w:tcW w:w="1799" w:type="dxa"/>
            <w:vMerge w:val="continue"/>
            <w:tcBorders>
              <w:top w:val="nil"/>
              <w:bottom w:val="nil"/>
            </w:tcBorders>
            <w:vAlign w:val="top"/>
          </w:tcPr>
          <w:p w14:paraId="6AD42D61">
            <w:pPr>
              <w:rPr>
                <w:rFonts w:ascii="Arial"/>
                <w:sz w:val="21"/>
              </w:rPr>
            </w:pPr>
          </w:p>
        </w:tc>
      </w:tr>
      <w:tr w14:paraId="6B40D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2" w:type="dxa"/>
            <w:vAlign w:val="top"/>
          </w:tcPr>
          <w:p w14:paraId="14911B6A">
            <w:pPr>
              <w:pStyle w:val="6"/>
              <w:spacing w:before="90" w:line="188" w:lineRule="auto"/>
              <w:ind w:left="417"/>
            </w:pPr>
            <w:r>
              <w:rPr>
                <w:spacing w:val="-6"/>
              </w:rPr>
              <w:t>13</w:t>
            </w:r>
          </w:p>
        </w:tc>
        <w:tc>
          <w:tcPr>
            <w:tcW w:w="3679" w:type="dxa"/>
            <w:vAlign w:val="top"/>
          </w:tcPr>
          <w:p w14:paraId="2B86A504">
            <w:pPr>
              <w:spacing w:before="54" w:line="220" w:lineRule="auto"/>
              <w:ind w:left="1738"/>
              <w:rPr>
                <w:rFonts w:ascii="宋体" w:hAnsi="宋体" w:eastAsia="宋体" w:cs="宋体"/>
                <w:sz w:val="21"/>
                <w:szCs w:val="21"/>
              </w:rPr>
            </w:pPr>
            <w:r>
              <w:rPr>
                <w:rFonts w:ascii="宋体" w:hAnsi="宋体" w:eastAsia="宋体" w:cs="宋体"/>
                <w:sz w:val="21"/>
                <w:szCs w:val="21"/>
              </w:rPr>
              <w:t>锌</w:t>
            </w:r>
          </w:p>
        </w:tc>
        <w:tc>
          <w:tcPr>
            <w:tcW w:w="1840" w:type="dxa"/>
            <w:vAlign w:val="top"/>
          </w:tcPr>
          <w:p w14:paraId="622E38DA">
            <w:pPr>
              <w:pStyle w:val="6"/>
              <w:spacing w:before="91" w:line="188" w:lineRule="auto"/>
              <w:ind w:left="890"/>
            </w:pPr>
            <w:r>
              <w:t>1</w:t>
            </w:r>
          </w:p>
        </w:tc>
        <w:tc>
          <w:tcPr>
            <w:tcW w:w="1799" w:type="dxa"/>
            <w:vMerge w:val="continue"/>
            <w:tcBorders>
              <w:top w:val="nil"/>
              <w:bottom w:val="nil"/>
            </w:tcBorders>
            <w:vAlign w:val="top"/>
          </w:tcPr>
          <w:p w14:paraId="2C2836E8">
            <w:pPr>
              <w:rPr>
                <w:rFonts w:ascii="Arial"/>
                <w:sz w:val="21"/>
              </w:rPr>
            </w:pPr>
          </w:p>
        </w:tc>
      </w:tr>
      <w:tr w14:paraId="1A63D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59FC2FC1">
            <w:pPr>
              <w:pStyle w:val="6"/>
              <w:spacing w:before="90" w:line="188" w:lineRule="auto"/>
              <w:ind w:left="417"/>
            </w:pPr>
            <w:r>
              <w:rPr>
                <w:spacing w:val="-6"/>
              </w:rPr>
              <w:t>14</w:t>
            </w:r>
          </w:p>
        </w:tc>
        <w:tc>
          <w:tcPr>
            <w:tcW w:w="3679" w:type="dxa"/>
            <w:vAlign w:val="top"/>
          </w:tcPr>
          <w:p w14:paraId="53B345DE">
            <w:pPr>
              <w:spacing w:before="54" w:line="220" w:lineRule="auto"/>
              <w:ind w:left="1528"/>
              <w:rPr>
                <w:rFonts w:ascii="宋体" w:hAnsi="宋体" w:eastAsia="宋体" w:cs="宋体"/>
                <w:sz w:val="21"/>
                <w:szCs w:val="21"/>
              </w:rPr>
            </w:pPr>
            <w:r>
              <w:rPr>
                <w:rFonts w:ascii="宋体" w:hAnsi="宋体" w:eastAsia="宋体" w:cs="宋体"/>
                <w:spacing w:val="-2"/>
                <w:sz w:val="21"/>
                <w:szCs w:val="21"/>
              </w:rPr>
              <w:t>挥发酚</w:t>
            </w:r>
          </w:p>
        </w:tc>
        <w:tc>
          <w:tcPr>
            <w:tcW w:w="1840" w:type="dxa"/>
            <w:vAlign w:val="top"/>
          </w:tcPr>
          <w:p w14:paraId="40F4FEFC">
            <w:pPr>
              <w:pStyle w:val="6"/>
              <w:spacing w:before="90" w:line="188" w:lineRule="auto"/>
              <w:ind w:left="690"/>
            </w:pPr>
            <w:r>
              <w:rPr>
                <w:spacing w:val="-2"/>
              </w:rPr>
              <w:t>0.002</w:t>
            </w:r>
          </w:p>
        </w:tc>
        <w:tc>
          <w:tcPr>
            <w:tcW w:w="1799" w:type="dxa"/>
            <w:vMerge w:val="continue"/>
            <w:tcBorders>
              <w:top w:val="nil"/>
              <w:bottom w:val="nil"/>
            </w:tcBorders>
            <w:vAlign w:val="top"/>
          </w:tcPr>
          <w:p w14:paraId="555B0329">
            <w:pPr>
              <w:rPr>
                <w:rFonts w:ascii="Arial"/>
                <w:sz w:val="21"/>
              </w:rPr>
            </w:pPr>
          </w:p>
        </w:tc>
      </w:tr>
      <w:tr w14:paraId="41C8F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02" w:type="dxa"/>
            <w:vAlign w:val="top"/>
          </w:tcPr>
          <w:p w14:paraId="1904A248">
            <w:pPr>
              <w:pStyle w:val="6"/>
              <w:spacing w:before="92" w:line="188" w:lineRule="auto"/>
              <w:ind w:left="417"/>
            </w:pPr>
            <w:r>
              <w:rPr>
                <w:spacing w:val="-6"/>
              </w:rPr>
              <w:t>15</w:t>
            </w:r>
          </w:p>
        </w:tc>
        <w:tc>
          <w:tcPr>
            <w:tcW w:w="3679" w:type="dxa"/>
            <w:vAlign w:val="top"/>
          </w:tcPr>
          <w:p w14:paraId="70B15C97">
            <w:pPr>
              <w:spacing w:before="55" w:line="220" w:lineRule="auto"/>
              <w:ind w:left="1528"/>
              <w:rPr>
                <w:rFonts w:ascii="宋体" w:hAnsi="宋体" w:eastAsia="宋体" w:cs="宋体"/>
                <w:sz w:val="21"/>
                <w:szCs w:val="21"/>
              </w:rPr>
            </w:pPr>
            <w:r>
              <w:rPr>
                <w:rFonts w:ascii="宋体" w:hAnsi="宋体" w:eastAsia="宋体" w:cs="宋体"/>
                <w:spacing w:val="-2"/>
                <w:sz w:val="21"/>
                <w:szCs w:val="21"/>
              </w:rPr>
              <w:t>氰化物</w:t>
            </w:r>
          </w:p>
        </w:tc>
        <w:tc>
          <w:tcPr>
            <w:tcW w:w="1840" w:type="dxa"/>
            <w:vAlign w:val="top"/>
          </w:tcPr>
          <w:p w14:paraId="191BC90A">
            <w:pPr>
              <w:pStyle w:val="6"/>
              <w:spacing w:before="92" w:line="188" w:lineRule="auto"/>
              <w:ind w:left="743"/>
            </w:pPr>
            <w:r>
              <w:rPr>
                <w:spacing w:val="-2"/>
              </w:rPr>
              <w:t>0.05</w:t>
            </w:r>
          </w:p>
        </w:tc>
        <w:tc>
          <w:tcPr>
            <w:tcW w:w="1799" w:type="dxa"/>
            <w:vMerge w:val="continue"/>
            <w:tcBorders>
              <w:top w:val="nil"/>
              <w:bottom w:val="nil"/>
            </w:tcBorders>
            <w:vAlign w:val="top"/>
          </w:tcPr>
          <w:p w14:paraId="48F71931">
            <w:pPr>
              <w:rPr>
                <w:rFonts w:ascii="Arial"/>
                <w:sz w:val="21"/>
              </w:rPr>
            </w:pPr>
          </w:p>
        </w:tc>
      </w:tr>
      <w:tr w14:paraId="000C4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2" w:type="dxa"/>
            <w:vAlign w:val="top"/>
          </w:tcPr>
          <w:p w14:paraId="365DF9CF">
            <w:pPr>
              <w:pStyle w:val="6"/>
              <w:spacing w:before="90" w:line="188" w:lineRule="auto"/>
              <w:ind w:left="417"/>
            </w:pPr>
            <w:r>
              <w:rPr>
                <w:spacing w:val="-6"/>
              </w:rPr>
              <w:t>16</w:t>
            </w:r>
          </w:p>
        </w:tc>
        <w:tc>
          <w:tcPr>
            <w:tcW w:w="3679" w:type="dxa"/>
            <w:vAlign w:val="top"/>
          </w:tcPr>
          <w:p w14:paraId="45AED2B9">
            <w:pPr>
              <w:spacing w:before="54" w:line="218" w:lineRule="auto"/>
              <w:ind w:left="1531"/>
              <w:rPr>
                <w:rFonts w:ascii="宋体" w:hAnsi="宋体" w:eastAsia="宋体" w:cs="宋体"/>
                <w:sz w:val="21"/>
                <w:szCs w:val="21"/>
              </w:rPr>
            </w:pPr>
            <w:r>
              <w:rPr>
                <w:rFonts w:ascii="宋体" w:hAnsi="宋体" w:eastAsia="宋体" w:cs="宋体"/>
                <w:spacing w:val="-3"/>
                <w:sz w:val="21"/>
                <w:szCs w:val="21"/>
              </w:rPr>
              <w:t>六价铬</w:t>
            </w:r>
          </w:p>
        </w:tc>
        <w:tc>
          <w:tcPr>
            <w:tcW w:w="1840" w:type="dxa"/>
            <w:vAlign w:val="top"/>
          </w:tcPr>
          <w:p w14:paraId="1DB4CC79">
            <w:pPr>
              <w:pStyle w:val="6"/>
              <w:spacing w:before="90" w:line="188" w:lineRule="auto"/>
              <w:ind w:left="743"/>
            </w:pPr>
            <w:r>
              <w:rPr>
                <w:spacing w:val="-2"/>
              </w:rPr>
              <w:t>0.05</w:t>
            </w:r>
          </w:p>
        </w:tc>
        <w:tc>
          <w:tcPr>
            <w:tcW w:w="1799" w:type="dxa"/>
            <w:vMerge w:val="continue"/>
            <w:tcBorders>
              <w:top w:val="nil"/>
              <w:bottom w:val="nil"/>
            </w:tcBorders>
            <w:vAlign w:val="top"/>
          </w:tcPr>
          <w:p w14:paraId="644949FC">
            <w:pPr>
              <w:rPr>
                <w:rFonts w:ascii="Arial"/>
                <w:sz w:val="21"/>
              </w:rPr>
            </w:pPr>
          </w:p>
        </w:tc>
      </w:tr>
      <w:tr w14:paraId="3168B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277F4803">
            <w:pPr>
              <w:pStyle w:val="6"/>
              <w:spacing w:before="90" w:line="188" w:lineRule="auto"/>
              <w:ind w:left="417"/>
            </w:pPr>
            <w:r>
              <w:rPr>
                <w:spacing w:val="-6"/>
              </w:rPr>
              <w:t>17</w:t>
            </w:r>
          </w:p>
        </w:tc>
        <w:tc>
          <w:tcPr>
            <w:tcW w:w="3679" w:type="dxa"/>
            <w:vAlign w:val="top"/>
          </w:tcPr>
          <w:p w14:paraId="4BBC5BFA">
            <w:pPr>
              <w:spacing w:before="53" w:line="222" w:lineRule="auto"/>
              <w:ind w:left="1739"/>
              <w:rPr>
                <w:rFonts w:ascii="宋体" w:hAnsi="宋体" w:eastAsia="宋体" w:cs="宋体"/>
                <w:sz w:val="21"/>
                <w:szCs w:val="21"/>
              </w:rPr>
            </w:pPr>
            <w:r>
              <w:rPr>
                <w:rFonts w:ascii="宋体" w:hAnsi="宋体" w:eastAsia="宋体" w:cs="宋体"/>
                <w:sz w:val="21"/>
                <w:szCs w:val="21"/>
              </w:rPr>
              <w:t>铅</w:t>
            </w:r>
          </w:p>
        </w:tc>
        <w:tc>
          <w:tcPr>
            <w:tcW w:w="1840" w:type="dxa"/>
            <w:vAlign w:val="top"/>
          </w:tcPr>
          <w:p w14:paraId="29F9297C">
            <w:pPr>
              <w:pStyle w:val="6"/>
              <w:spacing w:before="90" w:line="188" w:lineRule="auto"/>
              <w:ind w:left="743"/>
            </w:pPr>
            <w:r>
              <w:rPr>
                <w:spacing w:val="-2"/>
              </w:rPr>
              <w:t>0.01</w:t>
            </w:r>
          </w:p>
        </w:tc>
        <w:tc>
          <w:tcPr>
            <w:tcW w:w="1799" w:type="dxa"/>
            <w:vMerge w:val="continue"/>
            <w:tcBorders>
              <w:top w:val="nil"/>
              <w:bottom w:val="nil"/>
            </w:tcBorders>
            <w:vAlign w:val="top"/>
          </w:tcPr>
          <w:p w14:paraId="4B04FD94">
            <w:pPr>
              <w:rPr>
                <w:rFonts w:ascii="Arial"/>
                <w:sz w:val="21"/>
              </w:rPr>
            </w:pPr>
          </w:p>
        </w:tc>
      </w:tr>
      <w:tr w14:paraId="710CF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02" w:type="dxa"/>
            <w:vAlign w:val="top"/>
          </w:tcPr>
          <w:p w14:paraId="3DCB5E8B">
            <w:pPr>
              <w:pStyle w:val="6"/>
              <w:spacing w:before="92" w:line="188" w:lineRule="auto"/>
              <w:ind w:left="417"/>
            </w:pPr>
            <w:r>
              <w:rPr>
                <w:spacing w:val="-6"/>
              </w:rPr>
              <w:t>18</w:t>
            </w:r>
          </w:p>
        </w:tc>
        <w:tc>
          <w:tcPr>
            <w:tcW w:w="3679" w:type="dxa"/>
            <w:vAlign w:val="top"/>
          </w:tcPr>
          <w:p w14:paraId="28F7FE5E">
            <w:pPr>
              <w:spacing w:before="55" w:line="222" w:lineRule="auto"/>
              <w:ind w:left="1737"/>
              <w:rPr>
                <w:rFonts w:ascii="宋体" w:hAnsi="宋体" w:eastAsia="宋体" w:cs="宋体"/>
                <w:sz w:val="21"/>
                <w:szCs w:val="21"/>
              </w:rPr>
            </w:pPr>
            <w:r>
              <w:rPr>
                <w:rFonts w:ascii="宋体" w:hAnsi="宋体" w:eastAsia="宋体" w:cs="宋体"/>
                <w:sz w:val="21"/>
                <w:szCs w:val="21"/>
              </w:rPr>
              <w:t>镉</w:t>
            </w:r>
          </w:p>
        </w:tc>
        <w:tc>
          <w:tcPr>
            <w:tcW w:w="1840" w:type="dxa"/>
            <w:vAlign w:val="top"/>
          </w:tcPr>
          <w:p w14:paraId="2B9F7048">
            <w:pPr>
              <w:pStyle w:val="6"/>
              <w:spacing w:before="92" w:line="188" w:lineRule="auto"/>
              <w:ind w:left="690"/>
            </w:pPr>
            <w:r>
              <w:rPr>
                <w:spacing w:val="-2"/>
              </w:rPr>
              <w:t>0.005</w:t>
            </w:r>
          </w:p>
        </w:tc>
        <w:tc>
          <w:tcPr>
            <w:tcW w:w="1799" w:type="dxa"/>
            <w:vMerge w:val="continue"/>
            <w:tcBorders>
              <w:top w:val="nil"/>
              <w:bottom w:val="nil"/>
            </w:tcBorders>
            <w:vAlign w:val="top"/>
          </w:tcPr>
          <w:p w14:paraId="7C9A10D2">
            <w:pPr>
              <w:rPr>
                <w:rFonts w:ascii="Arial"/>
                <w:sz w:val="21"/>
              </w:rPr>
            </w:pPr>
          </w:p>
        </w:tc>
      </w:tr>
      <w:tr w14:paraId="5A359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7AA0867A">
            <w:pPr>
              <w:pStyle w:val="6"/>
              <w:spacing w:before="90" w:line="188" w:lineRule="auto"/>
              <w:ind w:left="417"/>
            </w:pPr>
            <w:r>
              <w:rPr>
                <w:spacing w:val="-6"/>
              </w:rPr>
              <w:t>19</w:t>
            </w:r>
          </w:p>
        </w:tc>
        <w:tc>
          <w:tcPr>
            <w:tcW w:w="3679" w:type="dxa"/>
            <w:vAlign w:val="top"/>
          </w:tcPr>
          <w:p w14:paraId="363AD68A">
            <w:pPr>
              <w:spacing w:before="54" w:line="221" w:lineRule="auto"/>
              <w:ind w:left="1738"/>
              <w:rPr>
                <w:rFonts w:ascii="宋体" w:hAnsi="宋体" w:eastAsia="宋体" w:cs="宋体"/>
                <w:sz w:val="21"/>
                <w:szCs w:val="21"/>
              </w:rPr>
            </w:pPr>
            <w:r>
              <w:rPr>
                <w:rFonts w:ascii="宋体" w:hAnsi="宋体" w:eastAsia="宋体" w:cs="宋体"/>
                <w:sz w:val="21"/>
                <w:szCs w:val="21"/>
              </w:rPr>
              <w:t>铁</w:t>
            </w:r>
          </w:p>
        </w:tc>
        <w:tc>
          <w:tcPr>
            <w:tcW w:w="1840" w:type="dxa"/>
            <w:vAlign w:val="top"/>
          </w:tcPr>
          <w:p w14:paraId="28110C6C">
            <w:pPr>
              <w:pStyle w:val="6"/>
              <w:spacing w:before="90" w:line="188" w:lineRule="auto"/>
              <w:ind w:left="794"/>
            </w:pPr>
            <w:r>
              <w:rPr>
                <w:spacing w:val="-3"/>
              </w:rPr>
              <w:t>0.3</w:t>
            </w:r>
          </w:p>
        </w:tc>
        <w:tc>
          <w:tcPr>
            <w:tcW w:w="1799" w:type="dxa"/>
            <w:vMerge w:val="continue"/>
            <w:tcBorders>
              <w:top w:val="nil"/>
              <w:bottom w:val="nil"/>
            </w:tcBorders>
            <w:vAlign w:val="top"/>
          </w:tcPr>
          <w:p w14:paraId="60B3584F">
            <w:pPr>
              <w:rPr>
                <w:rFonts w:ascii="Arial"/>
                <w:sz w:val="21"/>
              </w:rPr>
            </w:pPr>
          </w:p>
        </w:tc>
      </w:tr>
      <w:tr w14:paraId="19AA0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2" w:type="dxa"/>
            <w:vAlign w:val="top"/>
          </w:tcPr>
          <w:p w14:paraId="7F0816E8">
            <w:pPr>
              <w:pStyle w:val="6"/>
              <w:spacing w:before="91" w:line="188" w:lineRule="auto"/>
              <w:ind w:left="397"/>
            </w:pPr>
            <w:r>
              <w:rPr>
                <w:spacing w:val="-1"/>
              </w:rPr>
              <w:t>20</w:t>
            </w:r>
          </w:p>
        </w:tc>
        <w:tc>
          <w:tcPr>
            <w:tcW w:w="3679" w:type="dxa"/>
            <w:vAlign w:val="top"/>
          </w:tcPr>
          <w:p w14:paraId="3B65B5D5">
            <w:pPr>
              <w:spacing w:before="54" w:line="222" w:lineRule="auto"/>
              <w:ind w:left="1739"/>
              <w:rPr>
                <w:rFonts w:ascii="宋体" w:hAnsi="宋体" w:eastAsia="宋体" w:cs="宋体"/>
                <w:sz w:val="21"/>
                <w:szCs w:val="21"/>
              </w:rPr>
            </w:pPr>
            <w:r>
              <w:rPr>
                <w:rFonts w:ascii="宋体" w:hAnsi="宋体" w:eastAsia="宋体" w:cs="宋体"/>
                <w:sz w:val="21"/>
                <w:szCs w:val="21"/>
              </w:rPr>
              <w:t>锰</w:t>
            </w:r>
          </w:p>
        </w:tc>
        <w:tc>
          <w:tcPr>
            <w:tcW w:w="1840" w:type="dxa"/>
            <w:vAlign w:val="top"/>
          </w:tcPr>
          <w:p w14:paraId="3318904E">
            <w:pPr>
              <w:pStyle w:val="6"/>
              <w:spacing w:before="91" w:line="188" w:lineRule="auto"/>
              <w:ind w:left="794"/>
            </w:pPr>
            <w:r>
              <w:rPr>
                <w:spacing w:val="-3"/>
              </w:rPr>
              <w:t>0.1</w:t>
            </w:r>
          </w:p>
        </w:tc>
        <w:tc>
          <w:tcPr>
            <w:tcW w:w="1799" w:type="dxa"/>
            <w:vMerge w:val="continue"/>
            <w:tcBorders>
              <w:top w:val="nil"/>
              <w:bottom w:val="nil"/>
            </w:tcBorders>
            <w:vAlign w:val="top"/>
          </w:tcPr>
          <w:p w14:paraId="2726D16C">
            <w:pPr>
              <w:rPr>
                <w:rFonts w:ascii="Arial"/>
                <w:sz w:val="21"/>
              </w:rPr>
            </w:pPr>
          </w:p>
        </w:tc>
      </w:tr>
      <w:tr w14:paraId="29033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02" w:type="dxa"/>
            <w:vAlign w:val="top"/>
          </w:tcPr>
          <w:p w14:paraId="58A095EB">
            <w:pPr>
              <w:pStyle w:val="6"/>
              <w:spacing w:before="92" w:line="188" w:lineRule="auto"/>
              <w:ind w:left="397"/>
            </w:pPr>
            <w:r>
              <w:rPr>
                <w:spacing w:val="-1"/>
              </w:rPr>
              <w:t>21</w:t>
            </w:r>
          </w:p>
        </w:tc>
        <w:tc>
          <w:tcPr>
            <w:tcW w:w="3679" w:type="dxa"/>
            <w:vAlign w:val="top"/>
          </w:tcPr>
          <w:p w14:paraId="17085C75">
            <w:pPr>
              <w:spacing w:before="56" w:line="220" w:lineRule="auto"/>
              <w:ind w:left="1740"/>
              <w:rPr>
                <w:rFonts w:ascii="宋体" w:hAnsi="宋体" w:eastAsia="宋体" w:cs="宋体"/>
                <w:sz w:val="21"/>
                <w:szCs w:val="21"/>
              </w:rPr>
            </w:pPr>
            <w:r>
              <w:rPr>
                <w:rFonts w:ascii="宋体" w:hAnsi="宋体" w:eastAsia="宋体" w:cs="宋体"/>
                <w:sz w:val="21"/>
                <w:szCs w:val="21"/>
              </w:rPr>
              <w:t>汞</w:t>
            </w:r>
          </w:p>
        </w:tc>
        <w:tc>
          <w:tcPr>
            <w:tcW w:w="1840" w:type="dxa"/>
            <w:vAlign w:val="top"/>
          </w:tcPr>
          <w:p w14:paraId="52F3B170">
            <w:pPr>
              <w:pStyle w:val="6"/>
              <w:spacing w:before="92" w:line="188" w:lineRule="auto"/>
              <w:ind w:left="690"/>
            </w:pPr>
            <w:r>
              <w:rPr>
                <w:spacing w:val="-2"/>
              </w:rPr>
              <w:t>0.001</w:t>
            </w:r>
          </w:p>
        </w:tc>
        <w:tc>
          <w:tcPr>
            <w:tcW w:w="1799" w:type="dxa"/>
            <w:vMerge w:val="continue"/>
            <w:tcBorders>
              <w:top w:val="nil"/>
              <w:bottom w:val="nil"/>
            </w:tcBorders>
            <w:vAlign w:val="top"/>
          </w:tcPr>
          <w:p w14:paraId="0AF0CAD8">
            <w:pPr>
              <w:rPr>
                <w:rFonts w:ascii="Arial"/>
                <w:sz w:val="21"/>
              </w:rPr>
            </w:pPr>
          </w:p>
        </w:tc>
      </w:tr>
      <w:tr w14:paraId="2D925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2" w:type="dxa"/>
            <w:vAlign w:val="top"/>
          </w:tcPr>
          <w:p w14:paraId="2602A76F">
            <w:pPr>
              <w:pStyle w:val="6"/>
              <w:spacing w:before="91" w:line="188" w:lineRule="auto"/>
              <w:ind w:left="397"/>
            </w:pPr>
            <w:r>
              <w:rPr>
                <w:spacing w:val="-1"/>
              </w:rPr>
              <w:t>22</w:t>
            </w:r>
          </w:p>
        </w:tc>
        <w:tc>
          <w:tcPr>
            <w:tcW w:w="3679" w:type="dxa"/>
            <w:vAlign w:val="top"/>
          </w:tcPr>
          <w:p w14:paraId="409BF302">
            <w:pPr>
              <w:spacing w:before="54" w:line="220" w:lineRule="auto"/>
              <w:ind w:left="1738"/>
              <w:rPr>
                <w:rFonts w:ascii="宋体" w:hAnsi="宋体" w:eastAsia="宋体" w:cs="宋体"/>
                <w:sz w:val="21"/>
                <w:szCs w:val="21"/>
              </w:rPr>
            </w:pPr>
            <w:r>
              <w:rPr>
                <w:rFonts w:ascii="宋体" w:hAnsi="宋体" w:eastAsia="宋体" w:cs="宋体"/>
                <w:sz w:val="21"/>
                <w:szCs w:val="21"/>
              </w:rPr>
              <w:t>砷</w:t>
            </w:r>
          </w:p>
        </w:tc>
        <w:tc>
          <w:tcPr>
            <w:tcW w:w="1840" w:type="dxa"/>
            <w:vAlign w:val="top"/>
          </w:tcPr>
          <w:p w14:paraId="620BA704">
            <w:pPr>
              <w:pStyle w:val="6"/>
              <w:spacing w:before="90" w:line="188" w:lineRule="auto"/>
              <w:ind w:left="743"/>
            </w:pPr>
            <w:r>
              <w:rPr>
                <w:spacing w:val="-2"/>
              </w:rPr>
              <w:t>0.01</w:t>
            </w:r>
          </w:p>
        </w:tc>
        <w:tc>
          <w:tcPr>
            <w:tcW w:w="1799" w:type="dxa"/>
            <w:vMerge w:val="continue"/>
            <w:tcBorders>
              <w:top w:val="nil"/>
              <w:bottom w:val="nil"/>
            </w:tcBorders>
            <w:vAlign w:val="top"/>
          </w:tcPr>
          <w:p w14:paraId="69131EB2">
            <w:pPr>
              <w:rPr>
                <w:rFonts w:ascii="Arial"/>
                <w:sz w:val="21"/>
              </w:rPr>
            </w:pPr>
          </w:p>
        </w:tc>
      </w:tr>
      <w:tr w14:paraId="5DDDA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2" w:type="dxa"/>
            <w:vAlign w:val="top"/>
          </w:tcPr>
          <w:p w14:paraId="4880E9B4">
            <w:pPr>
              <w:pStyle w:val="6"/>
              <w:spacing w:before="91" w:line="188" w:lineRule="auto"/>
              <w:ind w:left="397"/>
            </w:pPr>
            <w:r>
              <w:rPr>
                <w:spacing w:val="-1"/>
              </w:rPr>
              <w:t>23</w:t>
            </w:r>
          </w:p>
        </w:tc>
        <w:tc>
          <w:tcPr>
            <w:tcW w:w="3679" w:type="dxa"/>
            <w:vAlign w:val="top"/>
          </w:tcPr>
          <w:p w14:paraId="3AE4553C">
            <w:pPr>
              <w:pStyle w:val="6"/>
              <w:spacing w:before="54" w:line="220" w:lineRule="auto"/>
              <w:ind w:left="578"/>
              <w:rPr>
                <w:rFonts w:ascii="宋体" w:hAnsi="宋体" w:eastAsia="宋体" w:cs="宋体"/>
              </w:rPr>
            </w:pPr>
            <w:r>
              <w:rPr>
                <w:rFonts w:ascii="宋体" w:hAnsi="宋体" w:eastAsia="宋体" w:cs="宋体"/>
                <w:spacing w:val="-1"/>
              </w:rPr>
              <w:t>总大肠菌群（</w:t>
            </w:r>
            <w:r>
              <w:rPr>
                <w:spacing w:val="-1"/>
              </w:rPr>
              <w:t>CFU/100mL</w:t>
            </w:r>
            <w:r>
              <w:rPr>
                <w:rFonts w:ascii="宋体" w:hAnsi="宋体" w:eastAsia="宋体" w:cs="宋体"/>
                <w:spacing w:val="-1"/>
              </w:rPr>
              <w:t>）</w:t>
            </w:r>
          </w:p>
        </w:tc>
        <w:tc>
          <w:tcPr>
            <w:tcW w:w="1840" w:type="dxa"/>
            <w:vAlign w:val="top"/>
          </w:tcPr>
          <w:p w14:paraId="096DC819">
            <w:pPr>
              <w:pStyle w:val="6"/>
              <w:spacing w:before="91" w:line="188" w:lineRule="auto"/>
              <w:ind w:left="875"/>
            </w:pPr>
            <w:r>
              <w:t>3</w:t>
            </w:r>
          </w:p>
        </w:tc>
        <w:tc>
          <w:tcPr>
            <w:tcW w:w="1799" w:type="dxa"/>
            <w:vMerge w:val="continue"/>
            <w:tcBorders>
              <w:top w:val="nil"/>
              <w:bottom w:val="nil"/>
            </w:tcBorders>
            <w:vAlign w:val="top"/>
          </w:tcPr>
          <w:p w14:paraId="45FFC364">
            <w:pPr>
              <w:rPr>
                <w:rFonts w:ascii="Arial"/>
                <w:sz w:val="21"/>
              </w:rPr>
            </w:pPr>
          </w:p>
        </w:tc>
      </w:tr>
      <w:tr w14:paraId="109EA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02" w:type="dxa"/>
            <w:vAlign w:val="top"/>
          </w:tcPr>
          <w:p w14:paraId="5E0AF632">
            <w:pPr>
              <w:pStyle w:val="6"/>
              <w:spacing w:before="92" w:line="188" w:lineRule="auto"/>
              <w:ind w:left="397"/>
            </w:pPr>
            <w:r>
              <w:rPr>
                <w:spacing w:val="-1"/>
              </w:rPr>
              <w:t>24</w:t>
            </w:r>
          </w:p>
        </w:tc>
        <w:tc>
          <w:tcPr>
            <w:tcW w:w="3679" w:type="dxa"/>
            <w:vAlign w:val="top"/>
          </w:tcPr>
          <w:p w14:paraId="6B288A66">
            <w:pPr>
              <w:pStyle w:val="6"/>
              <w:spacing w:before="55" w:line="220" w:lineRule="auto"/>
              <w:ind w:left="840"/>
              <w:rPr>
                <w:rFonts w:ascii="宋体" w:hAnsi="宋体" w:eastAsia="宋体" w:cs="宋体"/>
              </w:rPr>
            </w:pPr>
            <w:r>
              <w:rPr>
                <w:rFonts w:ascii="宋体" w:hAnsi="宋体" w:eastAsia="宋体" w:cs="宋体"/>
                <w:spacing w:val="-2"/>
              </w:rPr>
              <w:t>菌落总数（</w:t>
            </w:r>
            <w:r>
              <w:rPr>
                <w:spacing w:val="-2"/>
              </w:rPr>
              <w:t>CFU/mL</w:t>
            </w:r>
            <w:r>
              <w:rPr>
                <w:rFonts w:ascii="宋体" w:hAnsi="宋体" w:eastAsia="宋体" w:cs="宋体"/>
                <w:spacing w:val="-2"/>
              </w:rPr>
              <w:t>）</w:t>
            </w:r>
          </w:p>
        </w:tc>
        <w:tc>
          <w:tcPr>
            <w:tcW w:w="1840" w:type="dxa"/>
            <w:vAlign w:val="top"/>
          </w:tcPr>
          <w:p w14:paraId="3D96AC15">
            <w:pPr>
              <w:pStyle w:val="6"/>
              <w:spacing w:before="92" w:line="188" w:lineRule="auto"/>
              <w:ind w:left="786"/>
            </w:pPr>
            <w:r>
              <w:rPr>
                <w:spacing w:val="-9"/>
              </w:rPr>
              <w:t>100</w:t>
            </w:r>
          </w:p>
        </w:tc>
        <w:tc>
          <w:tcPr>
            <w:tcW w:w="1799" w:type="dxa"/>
            <w:vMerge w:val="continue"/>
            <w:tcBorders>
              <w:top w:val="nil"/>
            </w:tcBorders>
            <w:vAlign w:val="top"/>
          </w:tcPr>
          <w:p w14:paraId="56501017">
            <w:pPr>
              <w:rPr>
                <w:rFonts w:ascii="Arial"/>
                <w:sz w:val="21"/>
              </w:rPr>
            </w:pPr>
          </w:p>
        </w:tc>
      </w:tr>
    </w:tbl>
    <w:p w14:paraId="32DF9493">
      <w:pPr>
        <w:spacing w:before="234"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）声环境</w:t>
      </w:r>
    </w:p>
    <w:p w14:paraId="76A55EBF">
      <w:pPr>
        <w:spacing w:before="182" w:line="219" w:lineRule="auto"/>
        <w:ind w:left="520"/>
        <w:rPr>
          <w:rFonts w:ascii="宋体" w:hAnsi="宋体" w:eastAsia="宋体" w:cs="宋体"/>
          <w:sz w:val="24"/>
          <w:szCs w:val="24"/>
        </w:rPr>
      </w:pPr>
      <w:r>
        <w:rPr>
          <w:rFonts w:ascii="宋体" w:hAnsi="宋体" w:eastAsia="宋体" w:cs="宋体"/>
          <w:spacing w:val="-1"/>
          <w:sz w:val="24"/>
          <w:szCs w:val="24"/>
        </w:rPr>
        <w:t>本项目声环境执行《声环境质量标准》（</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）中</w:t>
      </w:r>
      <w:r>
        <w:rPr>
          <w:rFonts w:ascii="Times New Roman" w:hAnsi="Times New Roman" w:eastAsia="Times New Roman" w:cs="Times New Roman"/>
          <w:spacing w:val="-1"/>
          <w:sz w:val="24"/>
          <w:szCs w:val="24"/>
        </w:rPr>
        <w:t>2</w:t>
      </w:r>
      <w:r>
        <w:rPr>
          <w:rFonts w:ascii="宋体" w:hAnsi="宋体" w:eastAsia="宋体" w:cs="宋体"/>
          <w:spacing w:val="-1"/>
          <w:sz w:val="24"/>
          <w:szCs w:val="24"/>
        </w:rPr>
        <w:t>类标准。</w:t>
      </w:r>
    </w:p>
    <w:p w14:paraId="6C85C040">
      <w:pPr>
        <w:spacing w:line="219" w:lineRule="auto"/>
        <w:rPr>
          <w:rFonts w:ascii="宋体" w:hAnsi="宋体" w:eastAsia="宋体" w:cs="宋体"/>
          <w:sz w:val="24"/>
          <w:szCs w:val="24"/>
        </w:rPr>
        <w:sectPr>
          <w:footerReference r:id="rId34" w:type="default"/>
          <w:pgSz w:w="11905" w:h="16840"/>
          <w:pgMar w:top="1168" w:right="1768" w:bottom="1409" w:left="1770" w:header="828" w:footer="1244" w:gutter="0"/>
          <w:cols w:space="720" w:num="1"/>
        </w:sectPr>
      </w:pPr>
    </w:p>
    <w:p w14:paraId="13832AE2">
      <w:pPr>
        <w:pStyle w:val="2"/>
        <w:spacing w:line="329" w:lineRule="auto"/>
      </w:pPr>
    </w:p>
    <w:p w14:paraId="5861F694">
      <w:pPr>
        <w:spacing w:before="69" w:line="212" w:lineRule="auto"/>
        <w:ind w:left="2395"/>
        <w:rPr>
          <w:rFonts w:ascii="Times New Roman" w:hAnsi="Times New Roman" w:eastAsia="Times New Roman" w:cs="Times New Roman"/>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1.2-5  </w:t>
      </w:r>
      <w:r>
        <w:rPr>
          <w:rFonts w:ascii="黑体" w:hAnsi="黑体" w:eastAsia="黑体" w:cs="黑体"/>
          <w:spacing w:val="-1"/>
          <w:sz w:val="21"/>
          <w:szCs w:val="21"/>
        </w:rPr>
        <w:t>声环境质量标准  单位：</w:t>
      </w:r>
      <w:r>
        <w:rPr>
          <w:rFonts w:ascii="Times New Roman" w:hAnsi="Times New Roman" w:eastAsia="Times New Roman" w:cs="Times New Roman"/>
          <w:spacing w:val="-1"/>
          <w:sz w:val="21"/>
          <w:szCs w:val="21"/>
        </w:rPr>
        <w:t>dB(A)</w:t>
      </w:r>
    </w:p>
    <w:p w14:paraId="65307A04">
      <w:pPr>
        <w:spacing w:line="9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74"/>
        <w:gridCol w:w="2770"/>
        <w:gridCol w:w="2776"/>
      </w:tblGrid>
      <w:tr w14:paraId="10BEB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774" w:type="dxa"/>
            <w:vMerge w:val="restart"/>
            <w:tcBorders>
              <w:bottom w:val="nil"/>
            </w:tcBorders>
            <w:vAlign w:val="top"/>
          </w:tcPr>
          <w:p w14:paraId="32842B20">
            <w:pPr>
              <w:spacing w:before="243" w:line="220" w:lineRule="auto"/>
              <w:ind w:left="556"/>
              <w:rPr>
                <w:rFonts w:ascii="宋体" w:hAnsi="宋体" w:eastAsia="宋体" w:cs="宋体"/>
                <w:sz w:val="21"/>
                <w:szCs w:val="21"/>
              </w:rPr>
            </w:pPr>
            <w:r>
              <w:rPr>
                <w:rFonts w:ascii="宋体" w:hAnsi="宋体" w:eastAsia="宋体" w:cs="宋体"/>
                <w:spacing w:val="-2"/>
                <w:sz w:val="21"/>
                <w:szCs w:val="21"/>
              </w:rPr>
              <w:t>声环境功能区类别</w:t>
            </w:r>
          </w:p>
        </w:tc>
        <w:tc>
          <w:tcPr>
            <w:tcW w:w="5546" w:type="dxa"/>
            <w:gridSpan w:val="2"/>
            <w:vAlign w:val="top"/>
          </w:tcPr>
          <w:p w14:paraId="0D5BDF50">
            <w:pPr>
              <w:spacing w:before="68" w:line="221" w:lineRule="auto"/>
              <w:ind w:left="2576"/>
              <w:rPr>
                <w:rFonts w:ascii="宋体" w:hAnsi="宋体" w:eastAsia="宋体" w:cs="宋体"/>
                <w:sz w:val="21"/>
                <w:szCs w:val="21"/>
              </w:rPr>
            </w:pPr>
            <w:r>
              <w:rPr>
                <w:rFonts w:ascii="宋体" w:hAnsi="宋体" w:eastAsia="宋体" w:cs="宋体"/>
                <w:spacing w:val="-5"/>
                <w:sz w:val="21"/>
                <w:szCs w:val="21"/>
              </w:rPr>
              <w:t>时段</w:t>
            </w:r>
          </w:p>
        </w:tc>
      </w:tr>
      <w:tr w14:paraId="08E6C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774" w:type="dxa"/>
            <w:vMerge w:val="continue"/>
            <w:tcBorders>
              <w:top w:val="nil"/>
            </w:tcBorders>
            <w:vAlign w:val="top"/>
          </w:tcPr>
          <w:p w14:paraId="48CE3769">
            <w:pPr>
              <w:rPr>
                <w:rFonts w:ascii="Arial"/>
                <w:sz w:val="21"/>
              </w:rPr>
            </w:pPr>
          </w:p>
        </w:tc>
        <w:tc>
          <w:tcPr>
            <w:tcW w:w="2770" w:type="dxa"/>
            <w:vAlign w:val="top"/>
          </w:tcPr>
          <w:p w14:paraId="2E429651">
            <w:pPr>
              <w:spacing w:before="66" w:line="222" w:lineRule="auto"/>
              <w:ind w:left="1179"/>
              <w:rPr>
                <w:rFonts w:ascii="宋体" w:hAnsi="宋体" w:eastAsia="宋体" w:cs="宋体"/>
                <w:sz w:val="21"/>
                <w:szCs w:val="21"/>
              </w:rPr>
            </w:pPr>
            <w:r>
              <w:rPr>
                <w:rFonts w:ascii="宋体" w:hAnsi="宋体" w:eastAsia="宋体" w:cs="宋体"/>
                <w:spacing w:val="-2"/>
                <w:sz w:val="21"/>
                <w:szCs w:val="21"/>
              </w:rPr>
              <w:t>昼间</w:t>
            </w:r>
          </w:p>
        </w:tc>
        <w:tc>
          <w:tcPr>
            <w:tcW w:w="2776" w:type="dxa"/>
            <w:vAlign w:val="top"/>
          </w:tcPr>
          <w:p w14:paraId="5C8A13CC">
            <w:pPr>
              <w:spacing w:before="65" w:line="220" w:lineRule="auto"/>
              <w:ind w:left="1186"/>
              <w:rPr>
                <w:rFonts w:ascii="宋体" w:hAnsi="宋体" w:eastAsia="宋体" w:cs="宋体"/>
                <w:sz w:val="21"/>
                <w:szCs w:val="21"/>
              </w:rPr>
            </w:pPr>
            <w:r>
              <w:rPr>
                <w:rFonts w:ascii="宋体" w:hAnsi="宋体" w:eastAsia="宋体" w:cs="宋体"/>
                <w:spacing w:val="-3"/>
                <w:sz w:val="21"/>
                <w:szCs w:val="21"/>
              </w:rPr>
              <w:t>夜间</w:t>
            </w:r>
          </w:p>
        </w:tc>
      </w:tr>
      <w:tr w14:paraId="5F5DD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774" w:type="dxa"/>
            <w:vAlign w:val="top"/>
          </w:tcPr>
          <w:p w14:paraId="06939DE9">
            <w:pPr>
              <w:pStyle w:val="6"/>
              <w:spacing w:before="67" w:line="220" w:lineRule="auto"/>
              <w:ind w:left="1205"/>
              <w:rPr>
                <w:rFonts w:ascii="宋体" w:hAnsi="宋体" w:eastAsia="宋体" w:cs="宋体"/>
              </w:rPr>
            </w:pPr>
            <w:r>
              <w:rPr>
                <w:spacing w:val="-3"/>
              </w:rPr>
              <w:t>2</w:t>
            </w:r>
            <w:r>
              <w:rPr>
                <w:spacing w:val="9"/>
              </w:rPr>
              <w:t xml:space="preserve"> </w:t>
            </w:r>
            <w:r>
              <w:rPr>
                <w:rFonts w:ascii="宋体" w:hAnsi="宋体" w:eastAsia="宋体" w:cs="宋体"/>
                <w:spacing w:val="-3"/>
              </w:rPr>
              <w:t>类</w:t>
            </w:r>
          </w:p>
        </w:tc>
        <w:tc>
          <w:tcPr>
            <w:tcW w:w="2770" w:type="dxa"/>
            <w:vAlign w:val="top"/>
          </w:tcPr>
          <w:p w14:paraId="16E28C07">
            <w:pPr>
              <w:pStyle w:val="6"/>
              <w:spacing w:before="104" w:line="188" w:lineRule="auto"/>
              <w:ind w:left="1286"/>
            </w:pPr>
            <w:r>
              <w:rPr>
                <w:spacing w:val="-5"/>
              </w:rPr>
              <w:t>60</w:t>
            </w:r>
          </w:p>
        </w:tc>
        <w:tc>
          <w:tcPr>
            <w:tcW w:w="2776" w:type="dxa"/>
            <w:vAlign w:val="top"/>
          </w:tcPr>
          <w:p w14:paraId="4E342256">
            <w:pPr>
              <w:pStyle w:val="6"/>
              <w:spacing w:before="104" w:line="188" w:lineRule="auto"/>
              <w:ind w:left="1289"/>
            </w:pPr>
            <w:r>
              <w:rPr>
                <w:spacing w:val="-5"/>
              </w:rPr>
              <w:t>50</w:t>
            </w:r>
          </w:p>
        </w:tc>
      </w:tr>
    </w:tbl>
    <w:p w14:paraId="5BE796CF">
      <w:pPr>
        <w:spacing w:before="234"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）土壤环境</w:t>
      </w:r>
    </w:p>
    <w:p w14:paraId="164B2E63">
      <w:pPr>
        <w:spacing w:before="183" w:line="359" w:lineRule="auto"/>
        <w:ind w:left="40" w:right="45" w:firstLine="480"/>
        <w:rPr>
          <w:rFonts w:ascii="宋体" w:hAnsi="宋体" w:eastAsia="宋体" w:cs="宋体"/>
          <w:sz w:val="24"/>
          <w:szCs w:val="24"/>
        </w:rPr>
      </w:pPr>
      <w:r>
        <w:rPr>
          <w:rFonts w:ascii="宋体" w:hAnsi="宋体" w:eastAsia="宋体" w:cs="宋体"/>
          <w:spacing w:val="-4"/>
          <w:sz w:val="24"/>
          <w:szCs w:val="24"/>
        </w:rPr>
        <w:t>本项目属于养殖项目，根据自然资源部办公厅印发《关于保障生猪养殖用地</w:t>
      </w:r>
      <w:r>
        <w:rPr>
          <w:rFonts w:ascii="宋体" w:hAnsi="宋体" w:eastAsia="宋体" w:cs="宋体"/>
          <w:spacing w:val="1"/>
          <w:sz w:val="24"/>
          <w:szCs w:val="24"/>
        </w:rPr>
        <w:t>有关问题的通知》（自然资电发</w:t>
      </w:r>
      <w:r>
        <w:rPr>
          <w:rFonts w:ascii="Times New Roman" w:hAnsi="Times New Roman" w:eastAsia="Times New Roman" w:cs="Times New Roman"/>
          <w:spacing w:val="1"/>
          <w:sz w:val="24"/>
          <w:szCs w:val="24"/>
        </w:rPr>
        <w:t>[</w:t>
      </w:r>
      <w:r>
        <w:fldChar w:fldCharType="begin"/>
      </w:r>
      <w:r>
        <w:instrText xml:space="preserve"> HYPERLINK \l "bookmark98" </w:instrText>
      </w:r>
      <w:r>
        <w:fldChar w:fldCharType="separate"/>
      </w:r>
      <w:r>
        <w:rPr>
          <w:rFonts w:ascii="Times New Roman" w:hAnsi="Times New Roman" w:eastAsia="Times New Roman" w:cs="Times New Roman"/>
          <w:spacing w:val="1"/>
          <w:sz w:val="24"/>
          <w:szCs w:val="24"/>
        </w:rPr>
        <w:t>2019</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]39</w:t>
      </w:r>
      <w:r>
        <w:rPr>
          <w:rFonts w:ascii="宋体" w:hAnsi="宋体" w:eastAsia="宋体" w:cs="宋体"/>
          <w:spacing w:val="1"/>
          <w:sz w:val="24"/>
          <w:szCs w:val="24"/>
        </w:rPr>
        <w:t>号</w:t>
      </w:r>
      <w:r>
        <w:rPr>
          <w:rFonts w:ascii="宋体" w:hAnsi="宋体" w:eastAsia="宋体" w:cs="宋体"/>
          <w:spacing w:val="2"/>
          <w:sz w:val="24"/>
          <w:szCs w:val="24"/>
        </w:rPr>
        <w:t>），</w:t>
      </w:r>
      <w:r>
        <w:rPr>
          <w:rFonts w:ascii="宋体" w:hAnsi="宋体" w:eastAsia="宋体" w:cs="宋体"/>
          <w:spacing w:val="1"/>
          <w:sz w:val="24"/>
          <w:szCs w:val="24"/>
        </w:rPr>
        <w:t>生猪养殖用地作为设施农用地，</w:t>
      </w:r>
      <w:r>
        <w:rPr>
          <w:rFonts w:ascii="宋体" w:hAnsi="宋体" w:eastAsia="宋体" w:cs="宋体"/>
          <w:sz w:val="24"/>
          <w:szCs w:val="24"/>
        </w:rPr>
        <w:t>按农用地管理。养殖场及消纳区土壤环境质量评价执行《土壤环境质量 农用地</w:t>
      </w:r>
      <w:r>
        <w:rPr>
          <w:rFonts w:ascii="宋体" w:hAnsi="宋体" w:eastAsia="宋体" w:cs="宋体"/>
          <w:spacing w:val="-1"/>
          <w:sz w:val="24"/>
          <w:szCs w:val="24"/>
        </w:rPr>
        <w:t>土壤污染风险管控标准（试行）》（</w:t>
      </w:r>
      <w:r>
        <w:rPr>
          <w:rFonts w:ascii="Times New Roman" w:hAnsi="Times New Roman" w:eastAsia="Times New Roman" w:cs="Times New Roman"/>
          <w:spacing w:val="-1"/>
          <w:sz w:val="24"/>
          <w:szCs w:val="24"/>
        </w:rPr>
        <w:t>GB15618-2018</w:t>
      </w:r>
      <w:r>
        <w:rPr>
          <w:rFonts w:ascii="宋体" w:hAnsi="宋体" w:eastAsia="宋体" w:cs="宋体"/>
          <w:spacing w:val="-1"/>
          <w:sz w:val="24"/>
          <w:szCs w:val="24"/>
        </w:rPr>
        <w:t>）中表</w:t>
      </w:r>
      <w:r>
        <w:rPr>
          <w:rFonts w:ascii="Times New Roman" w:hAnsi="Times New Roman" w:eastAsia="Times New Roman" w:cs="Times New Roman"/>
          <w:spacing w:val="-1"/>
          <w:sz w:val="24"/>
          <w:szCs w:val="24"/>
        </w:rPr>
        <w:t>1</w:t>
      </w:r>
      <w:r>
        <w:rPr>
          <w:rFonts w:ascii="宋体" w:hAnsi="宋体" w:eastAsia="宋体" w:cs="宋体"/>
          <w:spacing w:val="-1"/>
          <w:sz w:val="24"/>
          <w:szCs w:val="24"/>
        </w:rPr>
        <w:t>的相关标</w:t>
      </w:r>
      <w:r>
        <w:rPr>
          <w:rFonts w:ascii="宋体" w:hAnsi="宋体" w:eastAsia="宋体" w:cs="宋体"/>
          <w:spacing w:val="-2"/>
          <w:sz w:val="24"/>
          <w:szCs w:val="24"/>
        </w:rPr>
        <w:t>准。</w:t>
      </w:r>
    </w:p>
    <w:p w14:paraId="70B40D20">
      <w:pPr>
        <w:spacing w:before="17" w:line="212" w:lineRule="auto"/>
        <w:ind w:left="1764"/>
        <w:rPr>
          <w:rFonts w:ascii="Times New Roman" w:hAnsi="Times New Roman" w:eastAsia="Times New Roman" w:cs="Times New Roman"/>
          <w:sz w:val="21"/>
          <w:szCs w:val="21"/>
        </w:rPr>
      </w:pPr>
      <w:r>
        <w:rPr>
          <w:rFonts w:ascii="黑体" w:hAnsi="黑体" w:eastAsia="黑体" w:cs="黑体"/>
          <w:sz w:val="21"/>
          <w:szCs w:val="21"/>
        </w:rPr>
        <w:t>表</w:t>
      </w:r>
      <w:r>
        <w:rPr>
          <w:rFonts w:ascii="Times New Roman" w:hAnsi="Times New Roman" w:eastAsia="Times New Roman" w:cs="Times New Roman"/>
          <w:sz w:val="21"/>
          <w:szCs w:val="21"/>
        </w:rPr>
        <w:t xml:space="preserve">1.2-6  </w:t>
      </w:r>
      <w:r>
        <w:rPr>
          <w:rFonts w:ascii="黑体" w:hAnsi="黑体" w:eastAsia="黑体" w:cs="黑体"/>
          <w:sz w:val="21"/>
          <w:szCs w:val="21"/>
        </w:rPr>
        <w:t>农用地土壤污染风险管控</w:t>
      </w:r>
      <w:r>
        <w:rPr>
          <w:rFonts w:ascii="黑体" w:hAnsi="黑体" w:eastAsia="黑体" w:cs="黑体"/>
          <w:spacing w:val="-1"/>
          <w:sz w:val="21"/>
          <w:szCs w:val="21"/>
        </w:rPr>
        <w:t>标准  单位：</w:t>
      </w:r>
      <w:r>
        <w:rPr>
          <w:rFonts w:ascii="Times New Roman" w:hAnsi="Times New Roman" w:eastAsia="Times New Roman" w:cs="Times New Roman"/>
          <w:spacing w:val="-1"/>
          <w:sz w:val="21"/>
          <w:szCs w:val="21"/>
        </w:rPr>
        <w:t>mg/kg</w:t>
      </w:r>
    </w:p>
    <w:p w14:paraId="3677035B">
      <w:pPr>
        <w:spacing w:line="9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9"/>
        <w:gridCol w:w="1068"/>
        <w:gridCol w:w="1274"/>
        <w:gridCol w:w="1334"/>
        <w:gridCol w:w="1334"/>
        <w:gridCol w:w="1332"/>
        <w:gridCol w:w="1339"/>
      </w:tblGrid>
      <w:tr w14:paraId="26219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39" w:type="dxa"/>
            <w:vMerge w:val="restart"/>
            <w:tcBorders>
              <w:bottom w:val="nil"/>
            </w:tcBorders>
            <w:vAlign w:val="top"/>
          </w:tcPr>
          <w:p w14:paraId="46DDEA4D">
            <w:pPr>
              <w:spacing w:before="244" w:line="221" w:lineRule="auto"/>
              <w:ind w:left="113"/>
              <w:rPr>
                <w:rFonts w:ascii="宋体" w:hAnsi="宋体" w:eastAsia="宋体" w:cs="宋体"/>
                <w:sz w:val="21"/>
                <w:szCs w:val="21"/>
              </w:rPr>
            </w:pPr>
            <w:r>
              <w:rPr>
                <w:rFonts w:ascii="宋体" w:hAnsi="宋体" w:eastAsia="宋体" w:cs="宋体"/>
                <w:spacing w:val="-2"/>
                <w:sz w:val="21"/>
                <w:szCs w:val="21"/>
              </w:rPr>
              <w:t>序号</w:t>
            </w:r>
          </w:p>
        </w:tc>
        <w:tc>
          <w:tcPr>
            <w:tcW w:w="2342" w:type="dxa"/>
            <w:gridSpan w:val="2"/>
            <w:vMerge w:val="restart"/>
            <w:tcBorders>
              <w:bottom w:val="nil"/>
            </w:tcBorders>
            <w:vAlign w:val="top"/>
          </w:tcPr>
          <w:p w14:paraId="12748294">
            <w:pPr>
              <w:spacing w:before="219" w:line="242" w:lineRule="auto"/>
              <w:ind w:left="541"/>
              <w:rPr>
                <w:rFonts w:ascii="宋体" w:hAnsi="宋体" w:eastAsia="宋体" w:cs="宋体"/>
                <w:sz w:val="11"/>
                <w:szCs w:val="11"/>
              </w:rPr>
            </w:pPr>
            <w:r>
              <w:rPr>
                <w:rFonts w:ascii="宋体" w:hAnsi="宋体" w:eastAsia="宋体" w:cs="宋体"/>
                <w:spacing w:val="-2"/>
                <w:position w:val="-1"/>
                <w:sz w:val="21"/>
                <w:szCs w:val="21"/>
              </w:rPr>
              <w:t>污染物项目</w:t>
            </w:r>
            <w:r>
              <w:rPr>
                <w:rFonts w:ascii="宋体" w:hAnsi="宋体" w:eastAsia="宋体" w:cs="宋体"/>
                <w:spacing w:val="-2"/>
                <w:position w:val="9"/>
                <w:sz w:val="11"/>
                <w:szCs w:val="11"/>
              </w:rPr>
              <w:t>①②</w:t>
            </w:r>
          </w:p>
        </w:tc>
        <w:tc>
          <w:tcPr>
            <w:tcW w:w="5339" w:type="dxa"/>
            <w:gridSpan w:val="4"/>
            <w:vAlign w:val="top"/>
          </w:tcPr>
          <w:p w14:paraId="41988A7C">
            <w:pPr>
              <w:spacing w:before="68" w:line="220" w:lineRule="auto"/>
              <w:ind w:left="2149"/>
              <w:rPr>
                <w:rFonts w:ascii="宋体" w:hAnsi="宋体" w:eastAsia="宋体" w:cs="宋体"/>
                <w:sz w:val="21"/>
                <w:szCs w:val="21"/>
              </w:rPr>
            </w:pPr>
            <w:r>
              <w:rPr>
                <w:rFonts w:ascii="宋体" w:hAnsi="宋体" w:eastAsia="宋体" w:cs="宋体"/>
                <w:spacing w:val="-2"/>
                <w:sz w:val="21"/>
                <w:szCs w:val="21"/>
              </w:rPr>
              <w:t>风险筛选值</w:t>
            </w:r>
          </w:p>
        </w:tc>
      </w:tr>
      <w:tr w14:paraId="70CA6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continue"/>
            <w:tcBorders>
              <w:top w:val="nil"/>
            </w:tcBorders>
            <w:vAlign w:val="top"/>
          </w:tcPr>
          <w:p w14:paraId="01F9B1A8">
            <w:pPr>
              <w:rPr>
                <w:rFonts w:ascii="Arial"/>
                <w:sz w:val="21"/>
              </w:rPr>
            </w:pPr>
          </w:p>
        </w:tc>
        <w:tc>
          <w:tcPr>
            <w:tcW w:w="2342" w:type="dxa"/>
            <w:gridSpan w:val="2"/>
            <w:vMerge w:val="continue"/>
            <w:tcBorders>
              <w:top w:val="nil"/>
            </w:tcBorders>
            <w:vAlign w:val="top"/>
          </w:tcPr>
          <w:p w14:paraId="65A78630">
            <w:pPr>
              <w:rPr>
                <w:rFonts w:ascii="Arial"/>
                <w:sz w:val="21"/>
              </w:rPr>
            </w:pPr>
          </w:p>
        </w:tc>
        <w:tc>
          <w:tcPr>
            <w:tcW w:w="1334" w:type="dxa"/>
            <w:vAlign w:val="top"/>
          </w:tcPr>
          <w:p w14:paraId="183E4C54">
            <w:pPr>
              <w:pStyle w:val="6"/>
              <w:spacing w:before="103" w:line="185" w:lineRule="auto"/>
              <w:ind w:left="345"/>
            </w:pPr>
            <w:r>
              <w:t>pH≤5.5</w:t>
            </w:r>
          </w:p>
        </w:tc>
        <w:tc>
          <w:tcPr>
            <w:tcW w:w="1334" w:type="dxa"/>
            <w:vAlign w:val="top"/>
          </w:tcPr>
          <w:p w14:paraId="3FAD47CC">
            <w:pPr>
              <w:pStyle w:val="6"/>
              <w:spacing w:before="100" w:line="188" w:lineRule="auto"/>
              <w:ind w:left="166"/>
            </w:pPr>
            <w:r>
              <w:rPr>
                <w:spacing w:val="-1"/>
              </w:rPr>
              <w:t>5.5&lt;pH≤6.5</w:t>
            </w:r>
          </w:p>
        </w:tc>
        <w:tc>
          <w:tcPr>
            <w:tcW w:w="1332" w:type="dxa"/>
            <w:vAlign w:val="top"/>
          </w:tcPr>
          <w:p w14:paraId="53F98B84">
            <w:pPr>
              <w:pStyle w:val="6"/>
              <w:spacing w:before="100" w:line="188" w:lineRule="auto"/>
              <w:ind w:left="165"/>
            </w:pPr>
            <w:r>
              <w:rPr>
                <w:spacing w:val="-1"/>
              </w:rPr>
              <w:t>6.5&lt;pH≤7.5</w:t>
            </w:r>
          </w:p>
        </w:tc>
        <w:tc>
          <w:tcPr>
            <w:tcW w:w="1339" w:type="dxa"/>
            <w:vAlign w:val="top"/>
          </w:tcPr>
          <w:p w14:paraId="0BC47CBF">
            <w:pPr>
              <w:pStyle w:val="6"/>
              <w:spacing w:before="103" w:line="185" w:lineRule="auto"/>
              <w:ind w:left="348"/>
            </w:pPr>
            <w:r>
              <w:t>pH&gt;7.5</w:t>
            </w:r>
          </w:p>
        </w:tc>
      </w:tr>
      <w:tr w14:paraId="104B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9" w:type="dxa"/>
            <w:vMerge w:val="restart"/>
            <w:tcBorders>
              <w:bottom w:val="nil"/>
            </w:tcBorders>
            <w:vAlign w:val="top"/>
          </w:tcPr>
          <w:p w14:paraId="5B3CB98F">
            <w:pPr>
              <w:pStyle w:val="6"/>
              <w:spacing w:before="275" w:line="188" w:lineRule="auto"/>
              <w:ind w:left="289"/>
            </w:pPr>
            <w:r>
              <w:t>1</w:t>
            </w:r>
          </w:p>
        </w:tc>
        <w:tc>
          <w:tcPr>
            <w:tcW w:w="1068" w:type="dxa"/>
            <w:vMerge w:val="restart"/>
            <w:tcBorders>
              <w:bottom w:val="nil"/>
            </w:tcBorders>
            <w:vAlign w:val="top"/>
          </w:tcPr>
          <w:p w14:paraId="104E1C0C">
            <w:pPr>
              <w:spacing w:before="239" w:line="222" w:lineRule="auto"/>
              <w:ind w:left="430"/>
              <w:rPr>
                <w:rFonts w:ascii="宋体" w:hAnsi="宋体" w:eastAsia="宋体" w:cs="宋体"/>
                <w:sz w:val="21"/>
                <w:szCs w:val="21"/>
              </w:rPr>
            </w:pPr>
            <w:r>
              <w:rPr>
                <w:rFonts w:ascii="宋体" w:hAnsi="宋体" w:eastAsia="宋体" w:cs="宋体"/>
                <w:sz w:val="21"/>
                <w:szCs w:val="21"/>
              </w:rPr>
              <w:t>镉</w:t>
            </w:r>
          </w:p>
        </w:tc>
        <w:tc>
          <w:tcPr>
            <w:tcW w:w="1274" w:type="dxa"/>
            <w:vAlign w:val="top"/>
          </w:tcPr>
          <w:p w14:paraId="60752892">
            <w:pPr>
              <w:spacing w:before="64" w:line="220" w:lineRule="auto"/>
              <w:ind w:left="434"/>
              <w:rPr>
                <w:rFonts w:ascii="宋体" w:hAnsi="宋体" w:eastAsia="宋体" w:cs="宋体"/>
                <w:sz w:val="21"/>
                <w:szCs w:val="21"/>
              </w:rPr>
            </w:pPr>
            <w:r>
              <w:rPr>
                <w:rFonts w:ascii="宋体" w:hAnsi="宋体" w:eastAsia="宋体" w:cs="宋体"/>
                <w:spacing w:val="-3"/>
                <w:sz w:val="21"/>
                <w:szCs w:val="21"/>
              </w:rPr>
              <w:t>水田</w:t>
            </w:r>
          </w:p>
        </w:tc>
        <w:tc>
          <w:tcPr>
            <w:tcW w:w="1334" w:type="dxa"/>
            <w:vAlign w:val="top"/>
          </w:tcPr>
          <w:p w14:paraId="61B78E37">
            <w:pPr>
              <w:pStyle w:val="6"/>
              <w:spacing w:before="101" w:line="188" w:lineRule="auto"/>
              <w:ind w:left="539"/>
            </w:pPr>
            <w:r>
              <w:rPr>
                <w:spacing w:val="-3"/>
              </w:rPr>
              <w:t>0.3</w:t>
            </w:r>
          </w:p>
        </w:tc>
        <w:tc>
          <w:tcPr>
            <w:tcW w:w="1334" w:type="dxa"/>
            <w:vAlign w:val="top"/>
          </w:tcPr>
          <w:p w14:paraId="4F0B0044">
            <w:pPr>
              <w:pStyle w:val="6"/>
              <w:spacing w:before="101" w:line="188" w:lineRule="auto"/>
              <w:ind w:left="540"/>
            </w:pPr>
            <w:r>
              <w:rPr>
                <w:spacing w:val="-3"/>
              </w:rPr>
              <w:t>0.4</w:t>
            </w:r>
          </w:p>
        </w:tc>
        <w:tc>
          <w:tcPr>
            <w:tcW w:w="1332" w:type="dxa"/>
            <w:vAlign w:val="top"/>
          </w:tcPr>
          <w:p w14:paraId="48A8EF57">
            <w:pPr>
              <w:pStyle w:val="6"/>
              <w:spacing w:before="101" w:line="188" w:lineRule="auto"/>
              <w:ind w:left="540"/>
            </w:pPr>
            <w:r>
              <w:rPr>
                <w:spacing w:val="-3"/>
              </w:rPr>
              <w:t>0.6</w:t>
            </w:r>
          </w:p>
        </w:tc>
        <w:tc>
          <w:tcPr>
            <w:tcW w:w="1339" w:type="dxa"/>
            <w:vAlign w:val="top"/>
          </w:tcPr>
          <w:p w14:paraId="5D45FFCF">
            <w:pPr>
              <w:pStyle w:val="6"/>
              <w:spacing w:before="101" w:line="188" w:lineRule="auto"/>
              <w:ind w:left="543"/>
            </w:pPr>
            <w:r>
              <w:rPr>
                <w:spacing w:val="-3"/>
              </w:rPr>
              <w:t>0.8</w:t>
            </w:r>
          </w:p>
        </w:tc>
      </w:tr>
      <w:tr w14:paraId="7AD64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continue"/>
            <w:tcBorders>
              <w:top w:val="nil"/>
            </w:tcBorders>
            <w:vAlign w:val="top"/>
          </w:tcPr>
          <w:p w14:paraId="4BA00C92">
            <w:pPr>
              <w:rPr>
                <w:rFonts w:ascii="Arial"/>
                <w:sz w:val="21"/>
              </w:rPr>
            </w:pPr>
          </w:p>
        </w:tc>
        <w:tc>
          <w:tcPr>
            <w:tcW w:w="1068" w:type="dxa"/>
            <w:vMerge w:val="continue"/>
            <w:tcBorders>
              <w:top w:val="nil"/>
            </w:tcBorders>
            <w:vAlign w:val="top"/>
          </w:tcPr>
          <w:p w14:paraId="779E150A">
            <w:pPr>
              <w:rPr>
                <w:rFonts w:ascii="Arial"/>
                <w:sz w:val="21"/>
              </w:rPr>
            </w:pPr>
          </w:p>
        </w:tc>
        <w:tc>
          <w:tcPr>
            <w:tcW w:w="1274" w:type="dxa"/>
            <w:vAlign w:val="top"/>
          </w:tcPr>
          <w:p w14:paraId="00847AC9">
            <w:pPr>
              <w:spacing w:before="65" w:line="220" w:lineRule="auto"/>
              <w:ind w:left="433"/>
              <w:rPr>
                <w:rFonts w:ascii="宋体" w:hAnsi="宋体" w:eastAsia="宋体" w:cs="宋体"/>
                <w:sz w:val="21"/>
                <w:szCs w:val="21"/>
              </w:rPr>
            </w:pPr>
            <w:r>
              <w:rPr>
                <w:rFonts w:ascii="宋体" w:hAnsi="宋体" w:eastAsia="宋体" w:cs="宋体"/>
                <w:spacing w:val="-3"/>
                <w:sz w:val="21"/>
                <w:szCs w:val="21"/>
              </w:rPr>
              <w:t>其他</w:t>
            </w:r>
          </w:p>
        </w:tc>
        <w:tc>
          <w:tcPr>
            <w:tcW w:w="1334" w:type="dxa"/>
            <w:vAlign w:val="top"/>
          </w:tcPr>
          <w:p w14:paraId="07A6E9E6">
            <w:pPr>
              <w:pStyle w:val="6"/>
              <w:spacing w:before="101" w:line="188" w:lineRule="auto"/>
              <w:ind w:left="539"/>
            </w:pPr>
            <w:r>
              <w:rPr>
                <w:spacing w:val="-3"/>
              </w:rPr>
              <w:t>0.3</w:t>
            </w:r>
          </w:p>
        </w:tc>
        <w:tc>
          <w:tcPr>
            <w:tcW w:w="1334" w:type="dxa"/>
            <w:vAlign w:val="top"/>
          </w:tcPr>
          <w:p w14:paraId="11F9BF23">
            <w:pPr>
              <w:pStyle w:val="6"/>
              <w:spacing w:before="101" w:line="188" w:lineRule="auto"/>
              <w:ind w:left="540"/>
            </w:pPr>
            <w:r>
              <w:rPr>
                <w:spacing w:val="-3"/>
              </w:rPr>
              <w:t>0.3</w:t>
            </w:r>
          </w:p>
        </w:tc>
        <w:tc>
          <w:tcPr>
            <w:tcW w:w="1332" w:type="dxa"/>
            <w:vAlign w:val="top"/>
          </w:tcPr>
          <w:p w14:paraId="301ECBD0">
            <w:pPr>
              <w:pStyle w:val="6"/>
              <w:spacing w:before="101" w:line="188" w:lineRule="auto"/>
              <w:ind w:left="540"/>
            </w:pPr>
            <w:r>
              <w:rPr>
                <w:spacing w:val="-3"/>
              </w:rPr>
              <w:t>0.3</w:t>
            </w:r>
          </w:p>
        </w:tc>
        <w:tc>
          <w:tcPr>
            <w:tcW w:w="1339" w:type="dxa"/>
            <w:vAlign w:val="top"/>
          </w:tcPr>
          <w:p w14:paraId="0CD0C457">
            <w:pPr>
              <w:pStyle w:val="6"/>
              <w:spacing w:before="101" w:line="188" w:lineRule="auto"/>
              <w:ind w:left="543"/>
            </w:pPr>
            <w:r>
              <w:rPr>
                <w:spacing w:val="-3"/>
              </w:rPr>
              <w:t>0.6</w:t>
            </w:r>
          </w:p>
        </w:tc>
      </w:tr>
      <w:tr w14:paraId="3EB40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restart"/>
            <w:tcBorders>
              <w:bottom w:val="nil"/>
            </w:tcBorders>
            <w:vAlign w:val="top"/>
          </w:tcPr>
          <w:p w14:paraId="0785E1CE">
            <w:pPr>
              <w:pStyle w:val="6"/>
              <w:spacing w:before="277" w:line="188" w:lineRule="auto"/>
              <w:ind w:left="269"/>
            </w:pPr>
            <w:r>
              <w:t>2</w:t>
            </w:r>
          </w:p>
        </w:tc>
        <w:tc>
          <w:tcPr>
            <w:tcW w:w="1068" w:type="dxa"/>
            <w:vMerge w:val="restart"/>
            <w:tcBorders>
              <w:bottom w:val="nil"/>
            </w:tcBorders>
            <w:vAlign w:val="top"/>
          </w:tcPr>
          <w:p w14:paraId="30F0D186">
            <w:pPr>
              <w:spacing w:before="240" w:line="220" w:lineRule="auto"/>
              <w:ind w:left="433"/>
              <w:rPr>
                <w:rFonts w:ascii="宋体" w:hAnsi="宋体" w:eastAsia="宋体" w:cs="宋体"/>
                <w:sz w:val="21"/>
                <w:szCs w:val="21"/>
              </w:rPr>
            </w:pPr>
            <w:r>
              <w:rPr>
                <w:rFonts w:ascii="宋体" w:hAnsi="宋体" w:eastAsia="宋体" w:cs="宋体"/>
                <w:sz w:val="21"/>
                <w:szCs w:val="21"/>
              </w:rPr>
              <w:t>汞</w:t>
            </w:r>
          </w:p>
        </w:tc>
        <w:tc>
          <w:tcPr>
            <w:tcW w:w="1274" w:type="dxa"/>
            <w:vAlign w:val="top"/>
          </w:tcPr>
          <w:p w14:paraId="53D51A66">
            <w:pPr>
              <w:spacing w:before="64" w:line="220" w:lineRule="auto"/>
              <w:ind w:left="434"/>
              <w:rPr>
                <w:rFonts w:ascii="宋体" w:hAnsi="宋体" w:eastAsia="宋体" w:cs="宋体"/>
                <w:sz w:val="21"/>
                <w:szCs w:val="21"/>
              </w:rPr>
            </w:pPr>
            <w:r>
              <w:rPr>
                <w:rFonts w:ascii="宋体" w:hAnsi="宋体" w:eastAsia="宋体" w:cs="宋体"/>
                <w:spacing w:val="-3"/>
                <w:sz w:val="21"/>
                <w:szCs w:val="21"/>
              </w:rPr>
              <w:t>水田</w:t>
            </w:r>
          </w:p>
        </w:tc>
        <w:tc>
          <w:tcPr>
            <w:tcW w:w="1334" w:type="dxa"/>
            <w:vAlign w:val="top"/>
          </w:tcPr>
          <w:p w14:paraId="0C5BCDCA">
            <w:pPr>
              <w:pStyle w:val="6"/>
              <w:spacing w:before="101" w:line="188" w:lineRule="auto"/>
              <w:ind w:left="539"/>
            </w:pPr>
            <w:r>
              <w:rPr>
                <w:spacing w:val="-3"/>
              </w:rPr>
              <w:t>0.5</w:t>
            </w:r>
          </w:p>
        </w:tc>
        <w:tc>
          <w:tcPr>
            <w:tcW w:w="1334" w:type="dxa"/>
            <w:vAlign w:val="top"/>
          </w:tcPr>
          <w:p w14:paraId="2052DDD8">
            <w:pPr>
              <w:pStyle w:val="6"/>
              <w:spacing w:before="101" w:line="188" w:lineRule="auto"/>
              <w:ind w:left="540"/>
            </w:pPr>
            <w:r>
              <w:rPr>
                <w:spacing w:val="-3"/>
              </w:rPr>
              <w:t>0.5</w:t>
            </w:r>
          </w:p>
        </w:tc>
        <w:tc>
          <w:tcPr>
            <w:tcW w:w="1332" w:type="dxa"/>
            <w:vAlign w:val="top"/>
          </w:tcPr>
          <w:p w14:paraId="595613BA">
            <w:pPr>
              <w:pStyle w:val="6"/>
              <w:spacing w:before="101" w:line="188" w:lineRule="auto"/>
              <w:ind w:left="540"/>
            </w:pPr>
            <w:r>
              <w:rPr>
                <w:spacing w:val="-3"/>
              </w:rPr>
              <w:t>0.6</w:t>
            </w:r>
          </w:p>
        </w:tc>
        <w:tc>
          <w:tcPr>
            <w:tcW w:w="1339" w:type="dxa"/>
            <w:vAlign w:val="top"/>
          </w:tcPr>
          <w:p w14:paraId="1C78903B">
            <w:pPr>
              <w:pStyle w:val="6"/>
              <w:spacing w:before="101" w:line="188" w:lineRule="auto"/>
              <w:ind w:left="560"/>
            </w:pPr>
            <w:r>
              <w:rPr>
                <w:spacing w:val="-9"/>
              </w:rPr>
              <w:t>1.0</w:t>
            </w:r>
          </w:p>
        </w:tc>
      </w:tr>
      <w:tr w14:paraId="745B4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9" w:type="dxa"/>
            <w:vMerge w:val="continue"/>
            <w:tcBorders>
              <w:top w:val="nil"/>
            </w:tcBorders>
            <w:vAlign w:val="top"/>
          </w:tcPr>
          <w:p w14:paraId="5F94F4F6">
            <w:pPr>
              <w:rPr>
                <w:rFonts w:ascii="Arial"/>
                <w:sz w:val="21"/>
              </w:rPr>
            </w:pPr>
          </w:p>
        </w:tc>
        <w:tc>
          <w:tcPr>
            <w:tcW w:w="1068" w:type="dxa"/>
            <w:vMerge w:val="continue"/>
            <w:tcBorders>
              <w:top w:val="nil"/>
            </w:tcBorders>
            <w:vAlign w:val="top"/>
          </w:tcPr>
          <w:p w14:paraId="61A5BAA0">
            <w:pPr>
              <w:rPr>
                <w:rFonts w:ascii="Arial"/>
                <w:sz w:val="21"/>
              </w:rPr>
            </w:pPr>
          </w:p>
        </w:tc>
        <w:tc>
          <w:tcPr>
            <w:tcW w:w="1274" w:type="dxa"/>
            <w:vAlign w:val="top"/>
          </w:tcPr>
          <w:p w14:paraId="2F9B6CF5">
            <w:pPr>
              <w:spacing w:before="66" w:line="220" w:lineRule="auto"/>
              <w:ind w:left="433"/>
              <w:rPr>
                <w:rFonts w:ascii="宋体" w:hAnsi="宋体" w:eastAsia="宋体" w:cs="宋体"/>
                <w:sz w:val="21"/>
                <w:szCs w:val="21"/>
              </w:rPr>
            </w:pPr>
            <w:r>
              <w:rPr>
                <w:rFonts w:ascii="宋体" w:hAnsi="宋体" w:eastAsia="宋体" w:cs="宋体"/>
                <w:spacing w:val="-3"/>
                <w:sz w:val="21"/>
                <w:szCs w:val="21"/>
              </w:rPr>
              <w:t>其他</w:t>
            </w:r>
          </w:p>
        </w:tc>
        <w:tc>
          <w:tcPr>
            <w:tcW w:w="1334" w:type="dxa"/>
            <w:vAlign w:val="top"/>
          </w:tcPr>
          <w:p w14:paraId="0FD4536C">
            <w:pPr>
              <w:pStyle w:val="6"/>
              <w:spacing w:before="102" w:line="188" w:lineRule="auto"/>
              <w:ind w:left="556"/>
            </w:pPr>
            <w:r>
              <w:rPr>
                <w:spacing w:val="-9"/>
              </w:rPr>
              <w:t>1.3</w:t>
            </w:r>
          </w:p>
        </w:tc>
        <w:tc>
          <w:tcPr>
            <w:tcW w:w="1334" w:type="dxa"/>
            <w:vAlign w:val="top"/>
          </w:tcPr>
          <w:p w14:paraId="430D2C47">
            <w:pPr>
              <w:pStyle w:val="6"/>
              <w:spacing w:before="102" w:line="188" w:lineRule="auto"/>
              <w:ind w:left="557"/>
            </w:pPr>
            <w:r>
              <w:rPr>
                <w:spacing w:val="-9"/>
              </w:rPr>
              <w:t>1.8</w:t>
            </w:r>
          </w:p>
        </w:tc>
        <w:tc>
          <w:tcPr>
            <w:tcW w:w="1332" w:type="dxa"/>
            <w:vAlign w:val="top"/>
          </w:tcPr>
          <w:p w14:paraId="21007221">
            <w:pPr>
              <w:pStyle w:val="6"/>
              <w:spacing w:before="102" w:line="188" w:lineRule="auto"/>
              <w:ind w:left="537"/>
            </w:pPr>
            <w:r>
              <w:rPr>
                <w:spacing w:val="-2"/>
              </w:rPr>
              <w:t>2.4</w:t>
            </w:r>
          </w:p>
        </w:tc>
        <w:tc>
          <w:tcPr>
            <w:tcW w:w="1339" w:type="dxa"/>
            <w:vAlign w:val="top"/>
          </w:tcPr>
          <w:p w14:paraId="518ECEB0">
            <w:pPr>
              <w:pStyle w:val="6"/>
              <w:spacing w:before="102" w:line="188" w:lineRule="auto"/>
              <w:ind w:left="544"/>
            </w:pPr>
            <w:r>
              <w:rPr>
                <w:spacing w:val="-3"/>
              </w:rPr>
              <w:t>3.4</w:t>
            </w:r>
          </w:p>
        </w:tc>
      </w:tr>
      <w:tr w14:paraId="5A1DD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restart"/>
            <w:tcBorders>
              <w:bottom w:val="nil"/>
            </w:tcBorders>
            <w:vAlign w:val="top"/>
          </w:tcPr>
          <w:p w14:paraId="6183D241">
            <w:pPr>
              <w:pStyle w:val="6"/>
              <w:spacing w:before="277" w:line="188" w:lineRule="auto"/>
              <w:ind w:left="273"/>
            </w:pPr>
            <w:r>
              <w:t>3</w:t>
            </w:r>
          </w:p>
        </w:tc>
        <w:tc>
          <w:tcPr>
            <w:tcW w:w="1068" w:type="dxa"/>
            <w:vMerge w:val="restart"/>
            <w:tcBorders>
              <w:bottom w:val="nil"/>
            </w:tcBorders>
            <w:vAlign w:val="top"/>
          </w:tcPr>
          <w:p w14:paraId="3477D14E">
            <w:pPr>
              <w:spacing w:before="241" w:line="220" w:lineRule="auto"/>
              <w:ind w:left="431"/>
              <w:rPr>
                <w:rFonts w:ascii="宋体" w:hAnsi="宋体" w:eastAsia="宋体" w:cs="宋体"/>
                <w:sz w:val="21"/>
                <w:szCs w:val="21"/>
              </w:rPr>
            </w:pPr>
            <w:r>
              <w:rPr>
                <w:rFonts w:ascii="宋体" w:hAnsi="宋体" w:eastAsia="宋体" w:cs="宋体"/>
                <w:sz w:val="21"/>
                <w:szCs w:val="21"/>
              </w:rPr>
              <w:t>砷</w:t>
            </w:r>
          </w:p>
        </w:tc>
        <w:tc>
          <w:tcPr>
            <w:tcW w:w="1274" w:type="dxa"/>
            <w:vAlign w:val="top"/>
          </w:tcPr>
          <w:p w14:paraId="521488FA">
            <w:pPr>
              <w:spacing w:before="65" w:line="220" w:lineRule="auto"/>
              <w:ind w:left="434"/>
              <w:rPr>
                <w:rFonts w:ascii="宋体" w:hAnsi="宋体" w:eastAsia="宋体" w:cs="宋体"/>
                <w:sz w:val="21"/>
                <w:szCs w:val="21"/>
              </w:rPr>
            </w:pPr>
            <w:r>
              <w:rPr>
                <w:rFonts w:ascii="宋体" w:hAnsi="宋体" w:eastAsia="宋体" w:cs="宋体"/>
                <w:spacing w:val="-3"/>
                <w:sz w:val="21"/>
                <w:szCs w:val="21"/>
              </w:rPr>
              <w:t>水田</w:t>
            </w:r>
          </w:p>
        </w:tc>
        <w:tc>
          <w:tcPr>
            <w:tcW w:w="1334" w:type="dxa"/>
            <w:vAlign w:val="top"/>
          </w:tcPr>
          <w:p w14:paraId="08DC65C7">
            <w:pPr>
              <w:pStyle w:val="6"/>
              <w:spacing w:before="102" w:line="188" w:lineRule="auto"/>
              <w:ind w:left="567"/>
            </w:pPr>
            <w:r>
              <w:rPr>
                <w:spacing w:val="-5"/>
              </w:rPr>
              <w:t>30</w:t>
            </w:r>
          </w:p>
        </w:tc>
        <w:tc>
          <w:tcPr>
            <w:tcW w:w="1334" w:type="dxa"/>
            <w:vAlign w:val="top"/>
          </w:tcPr>
          <w:p w14:paraId="647C3EC3">
            <w:pPr>
              <w:pStyle w:val="6"/>
              <w:spacing w:before="102" w:line="188" w:lineRule="auto"/>
              <w:ind w:left="567"/>
            </w:pPr>
            <w:r>
              <w:rPr>
                <w:spacing w:val="-5"/>
              </w:rPr>
              <w:t>30</w:t>
            </w:r>
          </w:p>
        </w:tc>
        <w:tc>
          <w:tcPr>
            <w:tcW w:w="1332" w:type="dxa"/>
            <w:vAlign w:val="top"/>
          </w:tcPr>
          <w:p w14:paraId="4E81776B">
            <w:pPr>
              <w:pStyle w:val="6"/>
              <w:spacing w:before="102" w:line="188" w:lineRule="auto"/>
              <w:ind w:left="564"/>
            </w:pPr>
            <w:r>
              <w:rPr>
                <w:spacing w:val="-2"/>
              </w:rPr>
              <w:t>25</w:t>
            </w:r>
          </w:p>
        </w:tc>
        <w:tc>
          <w:tcPr>
            <w:tcW w:w="1339" w:type="dxa"/>
            <w:vAlign w:val="top"/>
          </w:tcPr>
          <w:p w14:paraId="0F85E17F">
            <w:pPr>
              <w:pStyle w:val="6"/>
              <w:spacing w:before="102" w:line="188" w:lineRule="auto"/>
              <w:ind w:left="566"/>
            </w:pPr>
            <w:r>
              <w:rPr>
                <w:spacing w:val="-2"/>
              </w:rPr>
              <w:t>20</w:t>
            </w:r>
          </w:p>
        </w:tc>
      </w:tr>
      <w:tr w14:paraId="23905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continue"/>
            <w:tcBorders>
              <w:top w:val="nil"/>
            </w:tcBorders>
            <w:vAlign w:val="top"/>
          </w:tcPr>
          <w:p w14:paraId="2FA91541">
            <w:pPr>
              <w:rPr>
                <w:rFonts w:ascii="Arial"/>
                <w:sz w:val="21"/>
              </w:rPr>
            </w:pPr>
          </w:p>
        </w:tc>
        <w:tc>
          <w:tcPr>
            <w:tcW w:w="1068" w:type="dxa"/>
            <w:vMerge w:val="continue"/>
            <w:tcBorders>
              <w:top w:val="nil"/>
            </w:tcBorders>
            <w:vAlign w:val="top"/>
          </w:tcPr>
          <w:p w14:paraId="03355494">
            <w:pPr>
              <w:rPr>
                <w:rFonts w:ascii="Arial"/>
                <w:sz w:val="21"/>
              </w:rPr>
            </w:pPr>
          </w:p>
        </w:tc>
        <w:tc>
          <w:tcPr>
            <w:tcW w:w="1274" w:type="dxa"/>
            <w:vAlign w:val="top"/>
          </w:tcPr>
          <w:p w14:paraId="13B93224">
            <w:pPr>
              <w:spacing w:before="66" w:line="220" w:lineRule="auto"/>
              <w:ind w:left="433"/>
              <w:rPr>
                <w:rFonts w:ascii="宋体" w:hAnsi="宋体" w:eastAsia="宋体" w:cs="宋体"/>
                <w:sz w:val="21"/>
                <w:szCs w:val="21"/>
              </w:rPr>
            </w:pPr>
            <w:r>
              <w:rPr>
                <w:rFonts w:ascii="宋体" w:hAnsi="宋体" w:eastAsia="宋体" w:cs="宋体"/>
                <w:spacing w:val="-3"/>
                <w:sz w:val="21"/>
                <w:szCs w:val="21"/>
              </w:rPr>
              <w:t>其他</w:t>
            </w:r>
          </w:p>
        </w:tc>
        <w:tc>
          <w:tcPr>
            <w:tcW w:w="1334" w:type="dxa"/>
            <w:vAlign w:val="top"/>
          </w:tcPr>
          <w:p w14:paraId="333679C3">
            <w:pPr>
              <w:pStyle w:val="6"/>
              <w:spacing w:before="102" w:line="188" w:lineRule="auto"/>
              <w:ind w:left="562"/>
            </w:pPr>
            <w:r>
              <w:rPr>
                <w:spacing w:val="-2"/>
              </w:rPr>
              <w:t>40</w:t>
            </w:r>
          </w:p>
        </w:tc>
        <w:tc>
          <w:tcPr>
            <w:tcW w:w="1334" w:type="dxa"/>
            <w:vAlign w:val="top"/>
          </w:tcPr>
          <w:p w14:paraId="50C2D3D9">
            <w:pPr>
              <w:pStyle w:val="6"/>
              <w:spacing w:before="102" w:line="188" w:lineRule="auto"/>
              <w:ind w:left="562"/>
            </w:pPr>
            <w:r>
              <w:rPr>
                <w:spacing w:val="-2"/>
              </w:rPr>
              <w:t>40</w:t>
            </w:r>
          </w:p>
        </w:tc>
        <w:tc>
          <w:tcPr>
            <w:tcW w:w="1332" w:type="dxa"/>
            <w:vAlign w:val="top"/>
          </w:tcPr>
          <w:p w14:paraId="4EDB334C">
            <w:pPr>
              <w:pStyle w:val="6"/>
              <w:spacing w:before="102" w:line="188" w:lineRule="auto"/>
              <w:ind w:left="568"/>
            </w:pPr>
            <w:r>
              <w:rPr>
                <w:spacing w:val="-5"/>
              </w:rPr>
              <w:t>30</w:t>
            </w:r>
          </w:p>
        </w:tc>
        <w:tc>
          <w:tcPr>
            <w:tcW w:w="1339" w:type="dxa"/>
            <w:vAlign w:val="top"/>
          </w:tcPr>
          <w:p w14:paraId="4FBDACF7">
            <w:pPr>
              <w:pStyle w:val="6"/>
              <w:spacing w:before="102" w:line="188" w:lineRule="auto"/>
              <w:ind w:left="566"/>
            </w:pPr>
            <w:r>
              <w:rPr>
                <w:spacing w:val="-2"/>
              </w:rPr>
              <w:t>25</w:t>
            </w:r>
          </w:p>
        </w:tc>
      </w:tr>
      <w:tr w14:paraId="75B82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9" w:type="dxa"/>
            <w:vMerge w:val="restart"/>
            <w:tcBorders>
              <w:bottom w:val="nil"/>
            </w:tcBorders>
            <w:vAlign w:val="top"/>
          </w:tcPr>
          <w:p w14:paraId="718D666E">
            <w:pPr>
              <w:pStyle w:val="6"/>
              <w:spacing w:before="277" w:line="188" w:lineRule="auto"/>
              <w:ind w:left="268"/>
            </w:pPr>
            <w:r>
              <w:t>4</w:t>
            </w:r>
          </w:p>
        </w:tc>
        <w:tc>
          <w:tcPr>
            <w:tcW w:w="1068" w:type="dxa"/>
            <w:vMerge w:val="restart"/>
            <w:tcBorders>
              <w:bottom w:val="nil"/>
            </w:tcBorders>
            <w:vAlign w:val="top"/>
          </w:tcPr>
          <w:p w14:paraId="62763972">
            <w:pPr>
              <w:spacing w:before="240" w:line="224" w:lineRule="auto"/>
              <w:ind w:left="432"/>
              <w:rPr>
                <w:rFonts w:ascii="宋体" w:hAnsi="宋体" w:eastAsia="宋体" w:cs="宋体"/>
                <w:sz w:val="21"/>
                <w:szCs w:val="21"/>
              </w:rPr>
            </w:pPr>
            <w:r>
              <w:rPr>
                <w:rFonts w:ascii="宋体" w:hAnsi="宋体" w:eastAsia="宋体" w:cs="宋体"/>
                <w:sz w:val="21"/>
                <w:szCs w:val="21"/>
              </w:rPr>
              <w:t>铅</w:t>
            </w:r>
          </w:p>
        </w:tc>
        <w:tc>
          <w:tcPr>
            <w:tcW w:w="1274" w:type="dxa"/>
            <w:vAlign w:val="top"/>
          </w:tcPr>
          <w:p w14:paraId="5A352295">
            <w:pPr>
              <w:spacing w:before="66" w:line="220" w:lineRule="auto"/>
              <w:ind w:left="434"/>
              <w:rPr>
                <w:rFonts w:ascii="宋体" w:hAnsi="宋体" w:eastAsia="宋体" w:cs="宋体"/>
                <w:sz w:val="21"/>
                <w:szCs w:val="21"/>
              </w:rPr>
            </w:pPr>
            <w:r>
              <w:rPr>
                <w:rFonts w:ascii="宋体" w:hAnsi="宋体" w:eastAsia="宋体" w:cs="宋体"/>
                <w:spacing w:val="-3"/>
                <w:sz w:val="21"/>
                <w:szCs w:val="21"/>
              </w:rPr>
              <w:t>水田</w:t>
            </w:r>
          </w:p>
        </w:tc>
        <w:tc>
          <w:tcPr>
            <w:tcW w:w="1334" w:type="dxa"/>
            <w:vAlign w:val="top"/>
          </w:tcPr>
          <w:p w14:paraId="6059F5BD">
            <w:pPr>
              <w:pStyle w:val="6"/>
              <w:spacing w:before="103" w:line="188" w:lineRule="auto"/>
              <w:ind w:left="571"/>
            </w:pPr>
            <w:r>
              <w:rPr>
                <w:spacing w:val="-7"/>
              </w:rPr>
              <w:t>80</w:t>
            </w:r>
          </w:p>
        </w:tc>
        <w:tc>
          <w:tcPr>
            <w:tcW w:w="1334" w:type="dxa"/>
            <w:vAlign w:val="top"/>
          </w:tcPr>
          <w:p w14:paraId="43825AD2">
            <w:pPr>
              <w:pStyle w:val="6"/>
              <w:spacing w:before="103" w:line="188" w:lineRule="auto"/>
              <w:ind w:left="530"/>
            </w:pPr>
            <w:r>
              <w:rPr>
                <w:spacing w:val="-9"/>
              </w:rPr>
              <w:t>100</w:t>
            </w:r>
          </w:p>
        </w:tc>
        <w:tc>
          <w:tcPr>
            <w:tcW w:w="1332" w:type="dxa"/>
            <w:vAlign w:val="top"/>
          </w:tcPr>
          <w:p w14:paraId="29FDF1FB">
            <w:pPr>
              <w:pStyle w:val="6"/>
              <w:spacing w:before="103" w:line="188" w:lineRule="auto"/>
              <w:ind w:left="531"/>
            </w:pPr>
            <w:r>
              <w:rPr>
                <w:spacing w:val="-9"/>
              </w:rPr>
              <w:t>140</w:t>
            </w:r>
          </w:p>
        </w:tc>
        <w:tc>
          <w:tcPr>
            <w:tcW w:w="1339" w:type="dxa"/>
            <w:vAlign w:val="top"/>
          </w:tcPr>
          <w:p w14:paraId="3048F29F">
            <w:pPr>
              <w:pStyle w:val="6"/>
              <w:spacing w:before="103" w:line="188" w:lineRule="auto"/>
              <w:ind w:left="514"/>
            </w:pPr>
            <w:r>
              <w:rPr>
                <w:spacing w:val="-2"/>
              </w:rPr>
              <w:t>240</w:t>
            </w:r>
          </w:p>
        </w:tc>
      </w:tr>
      <w:tr w14:paraId="789D6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continue"/>
            <w:tcBorders>
              <w:top w:val="nil"/>
            </w:tcBorders>
            <w:vAlign w:val="top"/>
          </w:tcPr>
          <w:p w14:paraId="43B79816">
            <w:pPr>
              <w:rPr>
                <w:rFonts w:ascii="Arial"/>
                <w:sz w:val="21"/>
              </w:rPr>
            </w:pPr>
          </w:p>
        </w:tc>
        <w:tc>
          <w:tcPr>
            <w:tcW w:w="1068" w:type="dxa"/>
            <w:vMerge w:val="continue"/>
            <w:tcBorders>
              <w:top w:val="nil"/>
            </w:tcBorders>
            <w:vAlign w:val="top"/>
          </w:tcPr>
          <w:p w14:paraId="4A440E11">
            <w:pPr>
              <w:rPr>
                <w:rFonts w:ascii="Arial"/>
                <w:sz w:val="21"/>
              </w:rPr>
            </w:pPr>
          </w:p>
        </w:tc>
        <w:tc>
          <w:tcPr>
            <w:tcW w:w="1274" w:type="dxa"/>
            <w:vAlign w:val="top"/>
          </w:tcPr>
          <w:p w14:paraId="1E4A8011">
            <w:pPr>
              <w:spacing w:before="67" w:line="220" w:lineRule="auto"/>
              <w:ind w:left="433"/>
              <w:rPr>
                <w:rFonts w:ascii="宋体" w:hAnsi="宋体" w:eastAsia="宋体" w:cs="宋体"/>
                <w:sz w:val="21"/>
                <w:szCs w:val="21"/>
              </w:rPr>
            </w:pPr>
            <w:r>
              <w:rPr>
                <w:rFonts w:ascii="宋体" w:hAnsi="宋体" w:eastAsia="宋体" w:cs="宋体"/>
                <w:spacing w:val="-3"/>
                <w:sz w:val="21"/>
                <w:szCs w:val="21"/>
              </w:rPr>
              <w:t>其他</w:t>
            </w:r>
          </w:p>
        </w:tc>
        <w:tc>
          <w:tcPr>
            <w:tcW w:w="1334" w:type="dxa"/>
            <w:vAlign w:val="top"/>
          </w:tcPr>
          <w:p w14:paraId="19E797C7">
            <w:pPr>
              <w:pStyle w:val="6"/>
              <w:spacing w:before="103" w:line="188" w:lineRule="auto"/>
              <w:ind w:left="566"/>
            </w:pPr>
            <w:r>
              <w:rPr>
                <w:spacing w:val="-4"/>
              </w:rPr>
              <w:t>70</w:t>
            </w:r>
          </w:p>
        </w:tc>
        <w:tc>
          <w:tcPr>
            <w:tcW w:w="1334" w:type="dxa"/>
            <w:vAlign w:val="top"/>
          </w:tcPr>
          <w:p w14:paraId="35CE712B">
            <w:pPr>
              <w:pStyle w:val="6"/>
              <w:spacing w:before="103" w:line="188" w:lineRule="auto"/>
              <w:ind w:left="567"/>
            </w:pPr>
            <w:r>
              <w:rPr>
                <w:spacing w:val="-4"/>
              </w:rPr>
              <w:t>90</w:t>
            </w:r>
          </w:p>
        </w:tc>
        <w:tc>
          <w:tcPr>
            <w:tcW w:w="1332" w:type="dxa"/>
            <w:vAlign w:val="top"/>
          </w:tcPr>
          <w:p w14:paraId="3AA3D37A">
            <w:pPr>
              <w:pStyle w:val="6"/>
              <w:spacing w:before="103" w:line="188" w:lineRule="auto"/>
              <w:ind w:left="531"/>
            </w:pPr>
            <w:r>
              <w:rPr>
                <w:spacing w:val="-9"/>
              </w:rPr>
              <w:t>120</w:t>
            </w:r>
          </w:p>
        </w:tc>
        <w:tc>
          <w:tcPr>
            <w:tcW w:w="1339" w:type="dxa"/>
            <w:vAlign w:val="top"/>
          </w:tcPr>
          <w:p w14:paraId="487DE239">
            <w:pPr>
              <w:pStyle w:val="6"/>
              <w:spacing w:before="103" w:line="188" w:lineRule="auto"/>
              <w:ind w:left="534"/>
            </w:pPr>
            <w:r>
              <w:rPr>
                <w:spacing w:val="-9"/>
              </w:rPr>
              <w:t>170</w:t>
            </w:r>
          </w:p>
        </w:tc>
      </w:tr>
      <w:tr w14:paraId="0357E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restart"/>
            <w:tcBorders>
              <w:bottom w:val="nil"/>
            </w:tcBorders>
            <w:vAlign w:val="top"/>
          </w:tcPr>
          <w:p w14:paraId="63D6B908">
            <w:pPr>
              <w:pStyle w:val="6"/>
              <w:spacing w:before="282" w:line="185" w:lineRule="auto"/>
              <w:ind w:left="275"/>
            </w:pPr>
            <w:r>
              <w:t>5</w:t>
            </w:r>
          </w:p>
        </w:tc>
        <w:tc>
          <w:tcPr>
            <w:tcW w:w="1068" w:type="dxa"/>
            <w:vMerge w:val="restart"/>
            <w:tcBorders>
              <w:bottom w:val="nil"/>
            </w:tcBorders>
            <w:vAlign w:val="top"/>
          </w:tcPr>
          <w:p w14:paraId="55251E34">
            <w:pPr>
              <w:spacing w:before="242" w:line="222" w:lineRule="auto"/>
              <w:ind w:left="431"/>
              <w:rPr>
                <w:rFonts w:ascii="宋体" w:hAnsi="宋体" w:eastAsia="宋体" w:cs="宋体"/>
                <w:sz w:val="21"/>
                <w:szCs w:val="21"/>
              </w:rPr>
            </w:pPr>
            <w:r>
              <w:rPr>
                <w:rFonts w:ascii="宋体" w:hAnsi="宋体" w:eastAsia="宋体" w:cs="宋体"/>
                <w:sz w:val="21"/>
                <w:szCs w:val="21"/>
              </w:rPr>
              <w:t>铬</w:t>
            </w:r>
          </w:p>
        </w:tc>
        <w:tc>
          <w:tcPr>
            <w:tcW w:w="1274" w:type="dxa"/>
            <w:vAlign w:val="top"/>
          </w:tcPr>
          <w:p w14:paraId="12A4C71E">
            <w:pPr>
              <w:spacing w:before="66" w:line="220" w:lineRule="auto"/>
              <w:ind w:left="434"/>
              <w:rPr>
                <w:rFonts w:ascii="宋体" w:hAnsi="宋体" w:eastAsia="宋体" w:cs="宋体"/>
                <w:sz w:val="21"/>
                <w:szCs w:val="21"/>
              </w:rPr>
            </w:pPr>
            <w:r>
              <w:rPr>
                <w:rFonts w:ascii="宋体" w:hAnsi="宋体" w:eastAsia="宋体" w:cs="宋体"/>
                <w:spacing w:val="-3"/>
                <w:sz w:val="21"/>
                <w:szCs w:val="21"/>
              </w:rPr>
              <w:t>水田</w:t>
            </w:r>
          </w:p>
        </w:tc>
        <w:tc>
          <w:tcPr>
            <w:tcW w:w="1334" w:type="dxa"/>
            <w:vAlign w:val="top"/>
          </w:tcPr>
          <w:p w14:paraId="1C17D288">
            <w:pPr>
              <w:pStyle w:val="6"/>
              <w:spacing w:before="103" w:line="188" w:lineRule="auto"/>
              <w:ind w:left="510"/>
            </w:pPr>
            <w:r>
              <w:rPr>
                <w:spacing w:val="-2"/>
              </w:rPr>
              <w:t>250</w:t>
            </w:r>
          </w:p>
        </w:tc>
        <w:tc>
          <w:tcPr>
            <w:tcW w:w="1334" w:type="dxa"/>
            <w:vAlign w:val="top"/>
          </w:tcPr>
          <w:p w14:paraId="79480A63">
            <w:pPr>
              <w:pStyle w:val="6"/>
              <w:spacing w:before="103" w:line="188" w:lineRule="auto"/>
              <w:ind w:left="510"/>
            </w:pPr>
            <w:r>
              <w:rPr>
                <w:spacing w:val="-2"/>
              </w:rPr>
              <w:t>250</w:t>
            </w:r>
          </w:p>
        </w:tc>
        <w:tc>
          <w:tcPr>
            <w:tcW w:w="1332" w:type="dxa"/>
            <w:vAlign w:val="top"/>
          </w:tcPr>
          <w:p w14:paraId="0446073A">
            <w:pPr>
              <w:pStyle w:val="6"/>
              <w:spacing w:before="103" w:line="188" w:lineRule="auto"/>
              <w:ind w:left="515"/>
            </w:pPr>
            <w:r>
              <w:rPr>
                <w:spacing w:val="-3"/>
              </w:rPr>
              <w:t>300</w:t>
            </w:r>
          </w:p>
        </w:tc>
        <w:tc>
          <w:tcPr>
            <w:tcW w:w="1339" w:type="dxa"/>
            <w:vAlign w:val="top"/>
          </w:tcPr>
          <w:p w14:paraId="7A0BFD32">
            <w:pPr>
              <w:pStyle w:val="6"/>
              <w:spacing w:before="103" w:line="188" w:lineRule="auto"/>
              <w:ind w:left="518"/>
            </w:pPr>
            <w:r>
              <w:rPr>
                <w:spacing w:val="-3"/>
              </w:rPr>
              <w:t>350</w:t>
            </w:r>
          </w:p>
        </w:tc>
      </w:tr>
      <w:tr w14:paraId="1BA4C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9" w:type="dxa"/>
            <w:vMerge w:val="continue"/>
            <w:tcBorders>
              <w:top w:val="nil"/>
            </w:tcBorders>
            <w:vAlign w:val="top"/>
          </w:tcPr>
          <w:p w14:paraId="5F80A645">
            <w:pPr>
              <w:rPr>
                <w:rFonts w:ascii="Arial"/>
                <w:sz w:val="21"/>
              </w:rPr>
            </w:pPr>
          </w:p>
        </w:tc>
        <w:tc>
          <w:tcPr>
            <w:tcW w:w="1068" w:type="dxa"/>
            <w:vMerge w:val="continue"/>
            <w:tcBorders>
              <w:top w:val="nil"/>
            </w:tcBorders>
            <w:vAlign w:val="top"/>
          </w:tcPr>
          <w:p w14:paraId="320C84CA">
            <w:pPr>
              <w:rPr>
                <w:rFonts w:ascii="Arial"/>
                <w:sz w:val="21"/>
              </w:rPr>
            </w:pPr>
          </w:p>
        </w:tc>
        <w:tc>
          <w:tcPr>
            <w:tcW w:w="1274" w:type="dxa"/>
            <w:vAlign w:val="top"/>
          </w:tcPr>
          <w:p w14:paraId="5556D8FB">
            <w:pPr>
              <w:spacing w:before="68" w:line="220" w:lineRule="auto"/>
              <w:ind w:left="433"/>
              <w:rPr>
                <w:rFonts w:ascii="宋体" w:hAnsi="宋体" w:eastAsia="宋体" w:cs="宋体"/>
                <w:sz w:val="21"/>
                <w:szCs w:val="21"/>
              </w:rPr>
            </w:pPr>
            <w:r>
              <w:rPr>
                <w:rFonts w:ascii="宋体" w:hAnsi="宋体" w:eastAsia="宋体" w:cs="宋体"/>
                <w:spacing w:val="-3"/>
                <w:sz w:val="21"/>
                <w:szCs w:val="21"/>
              </w:rPr>
              <w:t>其他</w:t>
            </w:r>
          </w:p>
        </w:tc>
        <w:tc>
          <w:tcPr>
            <w:tcW w:w="1334" w:type="dxa"/>
            <w:vAlign w:val="top"/>
          </w:tcPr>
          <w:p w14:paraId="033E3EBB">
            <w:pPr>
              <w:pStyle w:val="6"/>
              <w:spacing w:before="104" w:line="188" w:lineRule="auto"/>
              <w:ind w:left="530"/>
            </w:pPr>
            <w:r>
              <w:rPr>
                <w:spacing w:val="-9"/>
              </w:rPr>
              <w:t>150</w:t>
            </w:r>
          </w:p>
        </w:tc>
        <w:tc>
          <w:tcPr>
            <w:tcW w:w="1334" w:type="dxa"/>
            <w:vAlign w:val="top"/>
          </w:tcPr>
          <w:p w14:paraId="10C890CD">
            <w:pPr>
              <w:pStyle w:val="6"/>
              <w:spacing w:before="104" w:line="188" w:lineRule="auto"/>
              <w:ind w:left="530"/>
            </w:pPr>
            <w:r>
              <w:rPr>
                <w:spacing w:val="-9"/>
              </w:rPr>
              <w:t>150</w:t>
            </w:r>
          </w:p>
        </w:tc>
        <w:tc>
          <w:tcPr>
            <w:tcW w:w="1332" w:type="dxa"/>
            <w:vAlign w:val="top"/>
          </w:tcPr>
          <w:p w14:paraId="2FB6CB9A">
            <w:pPr>
              <w:pStyle w:val="6"/>
              <w:spacing w:before="104" w:line="188" w:lineRule="auto"/>
              <w:ind w:left="511"/>
            </w:pPr>
            <w:r>
              <w:rPr>
                <w:spacing w:val="-2"/>
              </w:rPr>
              <w:t>200</w:t>
            </w:r>
          </w:p>
        </w:tc>
        <w:tc>
          <w:tcPr>
            <w:tcW w:w="1339" w:type="dxa"/>
            <w:vAlign w:val="top"/>
          </w:tcPr>
          <w:p w14:paraId="475536B3">
            <w:pPr>
              <w:pStyle w:val="6"/>
              <w:spacing w:before="104" w:line="188" w:lineRule="auto"/>
              <w:ind w:left="514"/>
            </w:pPr>
            <w:r>
              <w:rPr>
                <w:spacing w:val="-2"/>
              </w:rPr>
              <w:t>250</w:t>
            </w:r>
          </w:p>
        </w:tc>
      </w:tr>
      <w:tr w14:paraId="74486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restart"/>
            <w:tcBorders>
              <w:bottom w:val="nil"/>
            </w:tcBorders>
            <w:vAlign w:val="top"/>
          </w:tcPr>
          <w:p w14:paraId="732CF5EB">
            <w:pPr>
              <w:pStyle w:val="6"/>
              <w:spacing w:before="279" w:line="188" w:lineRule="auto"/>
              <w:ind w:left="274"/>
            </w:pPr>
            <w:r>
              <w:t>6</w:t>
            </w:r>
          </w:p>
        </w:tc>
        <w:tc>
          <w:tcPr>
            <w:tcW w:w="1068" w:type="dxa"/>
            <w:vMerge w:val="restart"/>
            <w:tcBorders>
              <w:bottom w:val="nil"/>
            </w:tcBorders>
            <w:vAlign w:val="top"/>
          </w:tcPr>
          <w:p w14:paraId="52262742">
            <w:pPr>
              <w:spacing w:before="243" w:line="221" w:lineRule="auto"/>
              <w:ind w:left="432"/>
              <w:rPr>
                <w:rFonts w:ascii="宋体" w:hAnsi="宋体" w:eastAsia="宋体" w:cs="宋体"/>
                <w:sz w:val="21"/>
                <w:szCs w:val="21"/>
              </w:rPr>
            </w:pPr>
            <w:r>
              <w:rPr>
                <w:rFonts w:ascii="宋体" w:hAnsi="宋体" w:eastAsia="宋体" w:cs="宋体"/>
                <w:sz w:val="21"/>
                <w:szCs w:val="21"/>
              </w:rPr>
              <w:t>铜</w:t>
            </w:r>
          </w:p>
        </w:tc>
        <w:tc>
          <w:tcPr>
            <w:tcW w:w="1274" w:type="dxa"/>
            <w:vAlign w:val="top"/>
          </w:tcPr>
          <w:p w14:paraId="5E278BCF">
            <w:pPr>
              <w:spacing w:before="68" w:line="220" w:lineRule="auto"/>
              <w:ind w:left="436"/>
              <w:rPr>
                <w:rFonts w:ascii="宋体" w:hAnsi="宋体" w:eastAsia="宋体" w:cs="宋体"/>
                <w:sz w:val="21"/>
                <w:szCs w:val="21"/>
              </w:rPr>
            </w:pPr>
            <w:r>
              <w:rPr>
                <w:rFonts w:ascii="宋体" w:hAnsi="宋体" w:eastAsia="宋体" w:cs="宋体"/>
                <w:spacing w:val="-4"/>
                <w:sz w:val="21"/>
                <w:szCs w:val="21"/>
              </w:rPr>
              <w:t>果园</w:t>
            </w:r>
          </w:p>
        </w:tc>
        <w:tc>
          <w:tcPr>
            <w:tcW w:w="1334" w:type="dxa"/>
            <w:vAlign w:val="top"/>
          </w:tcPr>
          <w:p w14:paraId="0BA8BCD1">
            <w:pPr>
              <w:pStyle w:val="6"/>
              <w:spacing w:before="104" w:line="188" w:lineRule="auto"/>
              <w:ind w:left="530"/>
            </w:pPr>
            <w:r>
              <w:rPr>
                <w:spacing w:val="-9"/>
              </w:rPr>
              <w:t>150</w:t>
            </w:r>
          </w:p>
        </w:tc>
        <w:tc>
          <w:tcPr>
            <w:tcW w:w="1334" w:type="dxa"/>
            <w:vAlign w:val="top"/>
          </w:tcPr>
          <w:p w14:paraId="232097AA">
            <w:pPr>
              <w:pStyle w:val="6"/>
              <w:spacing w:before="104" w:line="188" w:lineRule="auto"/>
              <w:ind w:left="530"/>
            </w:pPr>
            <w:r>
              <w:rPr>
                <w:spacing w:val="-9"/>
              </w:rPr>
              <w:t>150</w:t>
            </w:r>
          </w:p>
        </w:tc>
        <w:tc>
          <w:tcPr>
            <w:tcW w:w="1332" w:type="dxa"/>
            <w:vAlign w:val="top"/>
          </w:tcPr>
          <w:p w14:paraId="5A974A52">
            <w:pPr>
              <w:pStyle w:val="6"/>
              <w:spacing w:before="104" w:line="188" w:lineRule="auto"/>
              <w:ind w:left="511"/>
            </w:pPr>
            <w:r>
              <w:rPr>
                <w:spacing w:val="-2"/>
              </w:rPr>
              <w:t>200</w:t>
            </w:r>
          </w:p>
        </w:tc>
        <w:tc>
          <w:tcPr>
            <w:tcW w:w="1339" w:type="dxa"/>
            <w:vAlign w:val="top"/>
          </w:tcPr>
          <w:p w14:paraId="6483AEF9">
            <w:pPr>
              <w:pStyle w:val="6"/>
              <w:spacing w:before="104" w:line="188" w:lineRule="auto"/>
              <w:ind w:left="514"/>
            </w:pPr>
            <w:r>
              <w:rPr>
                <w:spacing w:val="-2"/>
              </w:rPr>
              <w:t>200</w:t>
            </w:r>
          </w:p>
        </w:tc>
      </w:tr>
      <w:tr w14:paraId="42B28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Merge w:val="continue"/>
            <w:tcBorders>
              <w:top w:val="nil"/>
            </w:tcBorders>
            <w:vAlign w:val="top"/>
          </w:tcPr>
          <w:p w14:paraId="34B0009D">
            <w:pPr>
              <w:rPr>
                <w:rFonts w:ascii="Arial"/>
                <w:sz w:val="21"/>
              </w:rPr>
            </w:pPr>
          </w:p>
        </w:tc>
        <w:tc>
          <w:tcPr>
            <w:tcW w:w="1068" w:type="dxa"/>
            <w:vMerge w:val="continue"/>
            <w:tcBorders>
              <w:top w:val="nil"/>
            </w:tcBorders>
            <w:vAlign w:val="top"/>
          </w:tcPr>
          <w:p w14:paraId="79C83A91">
            <w:pPr>
              <w:rPr>
                <w:rFonts w:ascii="Arial"/>
                <w:sz w:val="21"/>
              </w:rPr>
            </w:pPr>
          </w:p>
        </w:tc>
        <w:tc>
          <w:tcPr>
            <w:tcW w:w="1274" w:type="dxa"/>
            <w:vAlign w:val="top"/>
          </w:tcPr>
          <w:p w14:paraId="7BB4420E">
            <w:pPr>
              <w:spacing w:before="68" w:line="220" w:lineRule="auto"/>
              <w:ind w:left="433"/>
              <w:rPr>
                <w:rFonts w:ascii="宋体" w:hAnsi="宋体" w:eastAsia="宋体" w:cs="宋体"/>
                <w:sz w:val="21"/>
                <w:szCs w:val="21"/>
              </w:rPr>
            </w:pPr>
            <w:r>
              <w:rPr>
                <w:rFonts w:ascii="宋体" w:hAnsi="宋体" w:eastAsia="宋体" w:cs="宋体"/>
                <w:spacing w:val="-3"/>
                <w:sz w:val="21"/>
                <w:szCs w:val="21"/>
              </w:rPr>
              <w:t>其他</w:t>
            </w:r>
          </w:p>
        </w:tc>
        <w:tc>
          <w:tcPr>
            <w:tcW w:w="1334" w:type="dxa"/>
            <w:vAlign w:val="top"/>
          </w:tcPr>
          <w:p w14:paraId="08F1540A">
            <w:pPr>
              <w:pStyle w:val="6"/>
              <w:spacing w:before="104" w:line="188" w:lineRule="auto"/>
              <w:ind w:left="568"/>
            </w:pPr>
            <w:r>
              <w:rPr>
                <w:spacing w:val="-5"/>
              </w:rPr>
              <w:t>50</w:t>
            </w:r>
          </w:p>
        </w:tc>
        <w:tc>
          <w:tcPr>
            <w:tcW w:w="1334" w:type="dxa"/>
            <w:vAlign w:val="top"/>
          </w:tcPr>
          <w:p w14:paraId="7CB6D31F">
            <w:pPr>
              <w:pStyle w:val="6"/>
              <w:spacing w:before="104" w:line="188" w:lineRule="auto"/>
              <w:ind w:left="569"/>
            </w:pPr>
            <w:r>
              <w:rPr>
                <w:spacing w:val="-5"/>
              </w:rPr>
              <w:t>50</w:t>
            </w:r>
          </w:p>
        </w:tc>
        <w:tc>
          <w:tcPr>
            <w:tcW w:w="1332" w:type="dxa"/>
            <w:vAlign w:val="top"/>
          </w:tcPr>
          <w:p w14:paraId="43D780A0">
            <w:pPr>
              <w:pStyle w:val="6"/>
              <w:spacing w:before="104" w:line="188" w:lineRule="auto"/>
              <w:ind w:left="531"/>
            </w:pPr>
            <w:r>
              <w:rPr>
                <w:spacing w:val="-9"/>
              </w:rPr>
              <w:t>100</w:t>
            </w:r>
          </w:p>
        </w:tc>
        <w:tc>
          <w:tcPr>
            <w:tcW w:w="1339" w:type="dxa"/>
            <w:vAlign w:val="top"/>
          </w:tcPr>
          <w:p w14:paraId="60D3A2BE">
            <w:pPr>
              <w:pStyle w:val="6"/>
              <w:spacing w:before="104" w:line="188" w:lineRule="auto"/>
              <w:ind w:left="534"/>
            </w:pPr>
            <w:r>
              <w:rPr>
                <w:spacing w:val="-9"/>
              </w:rPr>
              <w:t>100</w:t>
            </w:r>
          </w:p>
        </w:tc>
      </w:tr>
      <w:tr w14:paraId="462FC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9" w:type="dxa"/>
            <w:vAlign w:val="top"/>
          </w:tcPr>
          <w:p w14:paraId="1B33F633">
            <w:pPr>
              <w:pStyle w:val="6"/>
              <w:spacing w:before="108" w:line="185" w:lineRule="auto"/>
              <w:ind w:left="272"/>
            </w:pPr>
            <w:r>
              <w:t>7</w:t>
            </w:r>
          </w:p>
        </w:tc>
        <w:tc>
          <w:tcPr>
            <w:tcW w:w="2342" w:type="dxa"/>
            <w:gridSpan w:val="2"/>
            <w:vAlign w:val="top"/>
          </w:tcPr>
          <w:p w14:paraId="0D873B35">
            <w:pPr>
              <w:spacing w:before="69" w:line="220" w:lineRule="auto"/>
              <w:ind w:left="1069"/>
              <w:rPr>
                <w:rFonts w:ascii="宋体" w:hAnsi="宋体" w:eastAsia="宋体" w:cs="宋体"/>
                <w:sz w:val="21"/>
                <w:szCs w:val="21"/>
              </w:rPr>
            </w:pPr>
            <w:r>
              <w:rPr>
                <w:rFonts w:ascii="宋体" w:hAnsi="宋体" w:eastAsia="宋体" w:cs="宋体"/>
                <w:sz w:val="21"/>
                <w:szCs w:val="21"/>
              </w:rPr>
              <w:t>镍</w:t>
            </w:r>
          </w:p>
        </w:tc>
        <w:tc>
          <w:tcPr>
            <w:tcW w:w="1334" w:type="dxa"/>
            <w:vAlign w:val="top"/>
          </w:tcPr>
          <w:p w14:paraId="2337B8BF">
            <w:pPr>
              <w:pStyle w:val="6"/>
              <w:spacing w:before="105" w:line="188" w:lineRule="auto"/>
              <w:ind w:left="567"/>
            </w:pPr>
            <w:r>
              <w:rPr>
                <w:spacing w:val="-5"/>
              </w:rPr>
              <w:t>60</w:t>
            </w:r>
          </w:p>
        </w:tc>
        <w:tc>
          <w:tcPr>
            <w:tcW w:w="1334" w:type="dxa"/>
            <w:vAlign w:val="top"/>
          </w:tcPr>
          <w:p w14:paraId="10951B62">
            <w:pPr>
              <w:pStyle w:val="6"/>
              <w:spacing w:before="105" w:line="188" w:lineRule="auto"/>
              <w:ind w:left="566"/>
            </w:pPr>
            <w:r>
              <w:rPr>
                <w:spacing w:val="-4"/>
              </w:rPr>
              <w:t>70</w:t>
            </w:r>
          </w:p>
        </w:tc>
        <w:tc>
          <w:tcPr>
            <w:tcW w:w="1332" w:type="dxa"/>
            <w:vAlign w:val="top"/>
          </w:tcPr>
          <w:p w14:paraId="1BEE0954">
            <w:pPr>
              <w:pStyle w:val="6"/>
              <w:spacing w:before="105" w:line="188" w:lineRule="auto"/>
              <w:ind w:left="531"/>
            </w:pPr>
            <w:r>
              <w:rPr>
                <w:spacing w:val="-9"/>
              </w:rPr>
              <w:t>100</w:t>
            </w:r>
          </w:p>
        </w:tc>
        <w:tc>
          <w:tcPr>
            <w:tcW w:w="1339" w:type="dxa"/>
            <w:vAlign w:val="top"/>
          </w:tcPr>
          <w:p w14:paraId="334D1339">
            <w:pPr>
              <w:pStyle w:val="6"/>
              <w:spacing w:before="105" w:line="188" w:lineRule="auto"/>
              <w:ind w:left="534"/>
            </w:pPr>
            <w:r>
              <w:rPr>
                <w:spacing w:val="-9"/>
              </w:rPr>
              <w:t>190</w:t>
            </w:r>
          </w:p>
        </w:tc>
      </w:tr>
      <w:tr w14:paraId="4C6BF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9" w:type="dxa"/>
            <w:vAlign w:val="top"/>
          </w:tcPr>
          <w:p w14:paraId="35E74447">
            <w:pPr>
              <w:pStyle w:val="6"/>
              <w:spacing w:before="105" w:line="188" w:lineRule="auto"/>
              <w:ind w:left="277"/>
            </w:pPr>
            <w:r>
              <w:t>8</w:t>
            </w:r>
          </w:p>
        </w:tc>
        <w:tc>
          <w:tcPr>
            <w:tcW w:w="2342" w:type="dxa"/>
            <w:gridSpan w:val="2"/>
            <w:vAlign w:val="top"/>
          </w:tcPr>
          <w:p w14:paraId="14C295A8">
            <w:pPr>
              <w:spacing w:before="69" w:line="220" w:lineRule="auto"/>
              <w:ind w:left="1069"/>
              <w:rPr>
                <w:rFonts w:ascii="宋体" w:hAnsi="宋体" w:eastAsia="宋体" w:cs="宋体"/>
                <w:sz w:val="21"/>
                <w:szCs w:val="21"/>
              </w:rPr>
            </w:pPr>
            <w:r>
              <w:rPr>
                <w:rFonts w:ascii="宋体" w:hAnsi="宋体" w:eastAsia="宋体" w:cs="宋体"/>
                <w:sz w:val="21"/>
                <w:szCs w:val="21"/>
              </w:rPr>
              <w:t>锌</w:t>
            </w:r>
          </w:p>
        </w:tc>
        <w:tc>
          <w:tcPr>
            <w:tcW w:w="1334" w:type="dxa"/>
            <w:vAlign w:val="top"/>
          </w:tcPr>
          <w:p w14:paraId="6EA391C7">
            <w:pPr>
              <w:pStyle w:val="6"/>
              <w:spacing w:before="105" w:line="188" w:lineRule="auto"/>
              <w:ind w:left="510"/>
            </w:pPr>
            <w:r>
              <w:rPr>
                <w:spacing w:val="-2"/>
              </w:rPr>
              <w:t>200</w:t>
            </w:r>
          </w:p>
        </w:tc>
        <w:tc>
          <w:tcPr>
            <w:tcW w:w="1334" w:type="dxa"/>
            <w:vAlign w:val="top"/>
          </w:tcPr>
          <w:p w14:paraId="07739997">
            <w:pPr>
              <w:pStyle w:val="6"/>
              <w:spacing w:before="105" w:line="188" w:lineRule="auto"/>
              <w:ind w:left="510"/>
            </w:pPr>
            <w:r>
              <w:rPr>
                <w:spacing w:val="-2"/>
              </w:rPr>
              <w:t>200</w:t>
            </w:r>
          </w:p>
        </w:tc>
        <w:tc>
          <w:tcPr>
            <w:tcW w:w="1332" w:type="dxa"/>
            <w:vAlign w:val="top"/>
          </w:tcPr>
          <w:p w14:paraId="47CEEFC5">
            <w:pPr>
              <w:pStyle w:val="6"/>
              <w:spacing w:before="105" w:line="188" w:lineRule="auto"/>
              <w:ind w:left="511"/>
            </w:pPr>
            <w:r>
              <w:rPr>
                <w:spacing w:val="-2"/>
              </w:rPr>
              <w:t>250</w:t>
            </w:r>
          </w:p>
        </w:tc>
        <w:tc>
          <w:tcPr>
            <w:tcW w:w="1339" w:type="dxa"/>
            <w:vAlign w:val="top"/>
          </w:tcPr>
          <w:p w14:paraId="3A58B316">
            <w:pPr>
              <w:pStyle w:val="6"/>
              <w:spacing w:before="105" w:line="188" w:lineRule="auto"/>
              <w:ind w:left="518"/>
            </w:pPr>
            <w:r>
              <w:rPr>
                <w:spacing w:val="-3"/>
              </w:rPr>
              <w:t>300</w:t>
            </w:r>
          </w:p>
        </w:tc>
      </w:tr>
      <w:tr w14:paraId="5F3D0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320" w:type="dxa"/>
            <w:gridSpan w:val="7"/>
            <w:vAlign w:val="top"/>
          </w:tcPr>
          <w:p w14:paraId="5FE55932">
            <w:pPr>
              <w:spacing w:before="85" w:line="217" w:lineRule="auto"/>
              <w:ind w:left="11"/>
              <w:rPr>
                <w:rFonts w:ascii="宋体" w:hAnsi="宋体" w:eastAsia="宋体" w:cs="宋体"/>
                <w:sz w:val="18"/>
                <w:szCs w:val="18"/>
              </w:rPr>
            </w:pPr>
            <w:r>
              <w:rPr>
                <w:rFonts w:ascii="宋体" w:hAnsi="宋体" w:eastAsia="宋体" w:cs="宋体"/>
                <w:spacing w:val="-1"/>
                <w:sz w:val="18"/>
                <w:szCs w:val="18"/>
              </w:rPr>
              <w:t>注：①重金属和类金属砷均按元素总量计。②对于水旱轮作地，采用其中最严格的风险筛选值。</w:t>
            </w:r>
          </w:p>
        </w:tc>
      </w:tr>
    </w:tbl>
    <w:p w14:paraId="62722FDA">
      <w:pPr>
        <w:spacing w:before="291" w:line="227" w:lineRule="auto"/>
        <w:ind w:left="48"/>
        <w:rPr>
          <w:rFonts w:ascii="宋体" w:hAnsi="宋体" w:eastAsia="宋体" w:cs="宋体"/>
          <w:sz w:val="27"/>
          <w:szCs w:val="27"/>
        </w:rPr>
      </w:pPr>
      <w:r>
        <w:rPr>
          <w:rFonts w:ascii="Times New Roman" w:hAnsi="Times New Roman" w:eastAsia="Times New Roman" w:cs="Times New Roman"/>
          <w:b/>
          <w:bCs/>
          <w:spacing w:val="4"/>
          <w:sz w:val="27"/>
          <w:szCs w:val="27"/>
        </w:rPr>
        <w:t xml:space="preserve">1.2.2.2  </w:t>
      </w:r>
      <w:r>
        <w:rPr>
          <w:rFonts w:ascii="宋体" w:hAnsi="宋体" w:eastAsia="宋体" w:cs="宋体"/>
          <w:b/>
          <w:bCs/>
          <w:spacing w:val="4"/>
          <w:sz w:val="27"/>
          <w:szCs w:val="27"/>
        </w:rPr>
        <w:t>污染物排放标准</w:t>
      </w:r>
    </w:p>
    <w:p w14:paraId="018CC8CF">
      <w:pPr>
        <w:spacing w:before="235"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）废水排放标准</w:t>
      </w:r>
    </w:p>
    <w:p w14:paraId="0833F616">
      <w:pPr>
        <w:spacing w:before="183" w:line="360" w:lineRule="auto"/>
        <w:ind w:left="45" w:firstLine="474"/>
        <w:rPr>
          <w:rFonts w:ascii="宋体" w:hAnsi="宋体" w:eastAsia="宋体" w:cs="宋体"/>
          <w:sz w:val="24"/>
          <w:szCs w:val="24"/>
        </w:rPr>
      </w:pPr>
      <w:r>
        <w:rPr>
          <w:rFonts w:ascii="宋体" w:hAnsi="宋体" w:eastAsia="宋体" w:cs="宋体"/>
          <w:sz w:val="24"/>
          <w:szCs w:val="24"/>
        </w:rPr>
        <w:t>本项目建成运行后废水允许排放量参照执行《畜禽养殖业污染物排放标准》</w:t>
      </w:r>
      <w:r>
        <w:rPr>
          <w:rFonts w:ascii="宋体" w:hAnsi="宋体" w:eastAsia="宋体" w:cs="宋体"/>
          <w:spacing w:val="7"/>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GB18596-2001</w:t>
      </w:r>
      <w:r>
        <w:rPr>
          <w:rFonts w:ascii="宋体" w:hAnsi="宋体" w:eastAsia="宋体" w:cs="宋体"/>
          <w:sz w:val="24"/>
          <w:szCs w:val="24"/>
        </w:rPr>
        <w:t>）中干清粪工艺</w:t>
      </w:r>
      <w:r>
        <w:rPr>
          <w:rFonts w:ascii="宋体" w:hAnsi="宋体" w:eastAsia="宋体" w:cs="宋体"/>
          <w:spacing w:val="-1"/>
          <w:sz w:val="24"/>
          <w:szCs w:val="24"/>
        </w:rPr>
        <w:t>最高允许排水量，见表</w:t>
      </w:r>
      <w:r>
        <w:rPr>
          <w:rFonts w:ascii="Times New Roman" w:hAnsi="Times New Roman" w:eastAsia="Times New Roman" w:cs="Times New Roman"/>
          <w:spacing w:val="-1"/>
          <w:sz w:val="24"/>
          <w:szCs w:val="24"/>
        </w:rPr>
        <w:t>1.2-7</w:t>
      </w:r>
      <w:r>
        <w:rPr>
          <w:rFonts w:ascii="宋体" w:hAnsi="宋体" w:eastAsia="宋体" w:cs="宋体"/>
          <w:spacing w:val="-1"/>
          <w:sz w:val="24"/>
          <w:szCs w:val="24"/>
        </w:rPr>
        <w:t>。</w:t>
      </w:r>
    </w:p>
    <w:p w14:paraId="4501D136">
      <w:pPr>
        <w:spacing w:line="334" w:lineRule="auto"/>
        <w:ind w:left="39" w:right="9" w:firstLine="480"/>
        <w:jc w:val="both"/>
        <w:rPr>
          <w:rFonts w:ascii="宋体" w:hAnsi="宋体" w:eastAsia="宋体" w:cs="宋体"/>
          <w:sz w:val="24"/>
          <w:szCs w:val="24"/>
        </w:rPr>
      </w:pPr>
      <w:r>
        <w:rPr>
          <w:rFonts w:ascii="宋体" w:hAnsi="宋体" w:eastAsia="宋体" w:cs="宋体"/>
          <w:spacing w:val="-3"/>
          <w:sz w:val="24"/>
          <w:szCs w:val="24"/>
        </w:rPr>
        <w:t>本项目运营期产生的污水主要为猪尿及其他废水，废水经配套</w:t>
      </w:r>
      <w:r>
        <w:rPr>
          <w:rFonts w:ascii="宋体" w:hAnsi="宋体" w:eastAsia="宋体" w:cs="宋体"/>
          <w:spacing w:val="-4"/>
          <w:sz w:val="24"/>
          <w:szCs w:val="24"/>
        </w:rPr>
        <w:t>污水处理站处</w:t>
      </w:r>
      <w:r>
        <w:rPr>
          <w:rFonts w:ascii="宋体" w:hAnsi="宋体" w:eastAsia="宋体" w:cs="宋体"/>
          <w:spacing w:val="-1"/>
          <w:sz w:val="24"/>
          <w:szCs w:val="24"/>
        </w:rPr>
        <w:t>理后全部作为消纳地灌溉用水，不外排。本项目消纳土地整治后用于旱作农</w:t>
      </w:r>
      <w:r>
        <w:rPr>
          <w:rFonts w:ascii="宋体" w:hAnsi="宋体" w:eastAsia="宋体" w:cs="宋体"/>
          <w:spacing w:val="-2"/>
          <w:sz w:val="24"/>
          <w:szCs w:val="24"/>
        </w:rPr>
        <w:t>业，</w:t>
      </w:r>
      <w:r>
        <w:rPr>
          <w:rFonts w:ascii="宋体" w:hAnsi="宋体" w:eastAsia="宋体" w:cs="宋体"/>
          <w:spacing w:val="-10"/>
          <w:sz w:val="24"/>
          <w:szCs w:val="24"/>
        </w:rPr>
        <w:t>全部种植旱地农作物，污水处理站出水执行《农田灌溉水质标准》（</w:t>
      </w:r>
      <w:r>
        <w:rPr>
          <w:rFonts w:ascii="Times New Roman" w:hAnsi="Times New Roman" w:eastAsia="Times New Roman" w:cs="Times New Roman"/>
          <w:spacing w:val="-10"/>
          <w:sz w:val="24"/>
          <w:szCs w:val="24"/>
        </w:rPr>
        <w:t>GB5084-2021</w:t>
      </w:r>
      <w:r>
        <w:rPr>
          <w:rFonts w:ascii="宋体" w:hAnsi="宋体" w:eastAsia="宋体" w:cs="宋体"/>
          <w:spacing w:val="-10"/>
          <w:sz w:val="24"/>
          <w:szCs w:val="24"/>
        </w:rPr>
        <w:t>）</w:t>
      </w:r>
    </w:p>
    <w:p w14:paraId="524B0035">
      <w:pPr>
        <w:spacing w:line="334" w:lineRule="auto"/>
        <w:rPr>
          <w:rFonts w:ascii="宋体" w:hAnsi="宋体" w:eastAsia="宋体" w:cs="宋体"/>
          <w:sz w:val="24"/>
          <w:szCs w:val="24"/>
        </w:rPr>
        <w:sectPr>
          <w:headerReference r:id="rId35" w:type="default"/>
          <w:footerReference r:id="rId36" w:type="default"/>
          <w:pgSz w:w="11905" w:h="16840"/>
          <w:pgMar w:top="1168" w:right="1685" w:bottom="1408" w:left="1770" w:header="828" w:footer="1244" w:gutter="0"/>
          <w:cols w:space="720" w:num="1"/>
        </w:sectPr>
      </w:pPr>
    </w:p>
    <w:p w14:paraId="43A0805E">
      <w:pPr>
        <w:pStyle w:val="2"/>
        <w:spacing w:line="305" w:lineRule="auto"/>
      </w:pPr>
    </w:p>
    <w:p w14:paraId="7E225D7A">
      <w:pPr>
        <w:spacing w:before="78" w:line="220" w:lineRule="auto"/>
        <w:ind w:left="38"/>
        <w:rPr>
          <w:rFonts w:ascii="宋体" w:hAnsi="宋体" w:eastAsia="宋体" w:cs="宋体"/>
          <w:sz w:val="24"/>
          <w:szCs w:val="24"/>
        </w:rPr>
      </w:pPr>
      <w:r>
        <w:rPr>
          <w:rFonts w:ascii="宋体" w:hAnsi="宋体" w:eastAsia="宋体" w:cs="宋体"/>
          <w:spacing w:val="-5"/>
          <w:sz w:val="24"/>
          <w:szCs w:val="24"/>
        </w:rPr>
        <w:t>表</w:t>
      </w:r>
      <w:r>
        <w:rPr>
          <w:rFonts w:ascii="Times New Roman" w:hAnsi="Times New Roman" w:eastAsia="Times New Roman" w:cs="Times New Roman"/>
          <w:spacing w:val="-5"/>
          <w:sz w:val="24"/>
          <w:szCs w:val="24"/>
        </w:rPr>
        <w:t>1</w:t>
      </w:r>
      <w:r>
        <w:rPr>
          <w:rFonts w:ascii="宋体" w:hAnsi="宋体" w:eastAsia="宋体" w:cs="宋体"/>
          <w:spacing w:val="-5"/>
          <w:sz w:val="24"/>
          <w:szCs w:val="24"/>
        </w:rPr>
        <w:t>旱地作物限值。</w:t>
      </w:r>
    </w:p>
    <w:p w14:paraId="6E9CDAD7">
      <w:pPr>
        <w:spacing w:before="196" w:line="221" w:lineRule="auto"/>
        <w:ind w:left="171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1.2-7  </w:t>
      </w:r>
      <w:r>
        <w:rPr>
          <w:rFonts w:ascii="黑体" w:hAnsi="黑体" w:eastAsia="黑体" w:cs="黑体"/>
          <w:spacing w:val="-1"/>
          <w:sz w:val="21"/>
          <w:szCs w:val="21"/>
        </w:rPr>
        <w:t>集约化畜禽养殖业干清粪工艺最高允许排水量</w:t>
      </w:r>
    </w:p>
    <w:p w14:paraId="74240849">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2"/>
        <w:gridCol w:w="2078"/>
        <w:gridCol w:w="2077"/>
        <w:gridCol w:w="2083"/>
      </w:tblGrid>
      <w:tr w14:paraId="2AD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082" w:type="dxa"/>
            <w:vAlign w:val="top"/>
          </w:tcPr>
          <w:p w14:paraId="70D1D99D">
            <w:pPr>
              <w:spacing w:before="54" w:line="220" w:lineRule="auto"/>
              <w:ind w:left="837"/>
              <w:rPr>
                <w:rFonts w:ascii="宋体" w:hAnsi="宋体" w:eastAsia="宋体" w:cs="宋体"/>
                <w:sz w:val="21"/>
                <w:szCs w:val="21"/>
              </w:rPr>
            </w:pPr>
            <w:r>
              <w:rPr>
                <w:rFonts w:ascii="宋体" w:hAnsi="宋体" w:eastAsia="宋体" w:cs="宋体"/>
                <w:spacing w:val="-3"/>
                <w:sz w:val="21"/>
                <w:szCs w:val="21"/>
              </w:rPr>
              <w:t>种类</w:t>
            </w:r>
          </w:p>
        </w:tc>
        <w:tc>
          <w:tcPr>
            <w:tcW w:w="6238" w:type="dxa"/>
            <w:gridSpan w:val="3"/>
            <w:vAlign w:val="top"/>
          </w:tcPr>
          <w:p w14:paraId="483D498F">
            <w:pPr>
              <w:pStyle w:val="6"/>
              <w:spacing w:before="39" w:line="225" w:lineRule="auto"/>
              <w:ind w:left="2293"/>
              <w:rPr>
                <w:rFonts w:ascii="宋体" w:hAnsi="宋体" w:eastAsia="宋体" w:cs="宋体"/>
              </w:rPr>
            </w:pPr>
            <w:r>
              <w:rPr>
                <w:rFonts w:ascii="宋体" w:hAnsi="宋体" w:eastAsia="宋体" w:cs="宋体"/>
                <w:spacing w:val="-9"/>
              </w:rPr>
              <w:t>猪（</w:t>
            </w:r>
            <w:r>
              <w:rPr>
                <w:spacing w:val="-9"/>
              </w:rPr>
              <w:t>m</w:t>
            </w:r>
            <w:r>
              <w:rPr>
                <w:spacing w:val="-9"/>
                <w:position w:val="9"/>
                <w:sz w:val="14"/>
                <w:szCs w:val="14"/>
              </w:rPr>
              <w:t>3</w:t>
            </w:r>
            <w:r>
              <w:rPr>
                <w:spacing w:val="-9"/>
              </w:rPr>
              <w:t>/</w:t>
            </w:r>
            <w:r>
              <w:rPr>
                <w:rFonts w:ascii="宋体" w:hAnsi="宋体" w:eastAsia="宋体" w:cs="宋体"/>
                <w:spacing w:val="-9"/>
              </w:rPr>
              <w:t>百头</w:t>
            </w:r>
            <w:r>
              <w:rPr>
                <w:rFonts w:ascii="宋体" w:hAnsi="宋体" w:eastAsia="宋体" w:cs="宋体"/>
                <w:spacing w:val="-24"/>
              </w:rPr>
              <w:t xml:space="preserve"> </w:t>
            </w:r>
            <w:r>
              <w:rPr>
                <w:rFonts w:ascii="宋体" w:hAnsi="宋体" w:eastAsia="宋体" w:cs="宋体"/>
                <w:spacing w:val="-9"/>
              </w:rPr>
              <w:t>·</w:t>
            </w:r>
            <w:r>
              <w:rPr>
                <w:spacing w:val="-9"/>
              </w:rPr>
              <w:t>d</w:t>
            </w:r>
            <w:r>
              <w:rPr>
                <w:rFonts w:ascii="宋体" w:hAnsi="宋体" w:eastAsia="宋体" w:cs="宋体"/>
                <w:spacing w:val="-9"/>
              </w:rPr>
              <w:t>）</w:t>
            </w:r>
          </w:p>
        </w:tc>
      </w:tr>
      <w:tr w14:paraId="31198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82" w:type="dxa"/>
            <w:vAlign w:val="top"/>
          </w:tcPr>
          <w:p w14:paraId="5D27F357">
            <w:pPr>
              <w:spacing w:before="51" w:line="220" w:lineRule="auto"/>
              <w:ind w:left="838"/>
              <w:rPr>
                <w:rFonts w:ascii="宋体" w:hAnsi="宋体" w:eastAsia="宋体" w:cs="宋体"/>
                <w:sz w:val="21"/>
                <w:szCs w:val="21"/>
              </w:rPr>
            </w:pPr>
            <w:r>
              <w:rPr>
                <w:rFonts w:ascii="宋体" w:hAnsi="宋体" w:eastAsia="宋体" w:cs="宋体"/>
                <w:spacing w:val="-3"/>
                <w:sz w:val="21"/>
                <w:szCs w:val="21"/>
              </w:rPr>
              <w:t>季节</w:t>
            </w:r>
          </w:p>
        </w:tc>
        <w:tc>
          <w:tcPr>
            <w:tcW w:w="2078" w:type="dxa"/>
            <w:vAlign w:val="top"/>
          </w:tcPr>
          <w:p w14:paraId="713EF843">
            <w:pPr>
              <w:spacing w:before="51" w:line="220" w:lineRule="auto"/>
              <w:ind w:left="838"/>
              <w:rPr>
                <w:rFonts w:ascii="宋体" w:hAnsi="宋体" w:eastAsia="宋体" w:cs="宋体"/>
                <w:sz w:val="21"/>
                <w:szCs w:val="21"/>
              </w:rPr>
            </w:pPr>
            <w:r>
              <w:rPr>
                <w:rFonts w:ascii="宋体" w:hAnsi="宋体" w:eastAsia="宋体" w:cs="宋体"/>
                <w:spacing w:val="-4"/>
                <w:sz w:val="21"/>
                <w:szCs w:val="21"/>
              </w:rPr>
              <w:t>冬季</w:t>
            </w:r>
          </w:p>
        </w:tc>
        <w:tc>
          <w:tcPr>
            <w:tcW w:w="2077" w:type="dxa"/>
            <w:vAlign w:val="top"/>
          </w:tcPr>
          <w:p w14:paraId="084FCD4E">
            <w:pPr>
              <w:spacing w:before="51" w:line="220" w:lineRule="auto"/>
              <w:ind w:left="835"/>
              <w:rPr>
                <w:rFonts w:ascii="宋体" w:hAnsi="宋体" w:eastAsia="宋体" w:cs="宋体"/>
                <w:sz w:val="21"/>
                <w:szCs w:val="21"/>
              </w:rPr>
            </w:pPr>
            <w:r>
              <w:rPr>
                <w:rFonts w:ascii="宋体" w:hAnsi="宋体" w:eastAsia="宋体" w:cs="宋体"/>
                <w:spacing w:val="-3"/>
                <w:sz w:val="21"/>
                <w:szCs w:val="21"/>
              </w:rPr>
              <w:t>夏季</w:t>
            </w:r>
          </w:p>
        </w:tc>
        <w:tc>
          <w:tcPr>
            <w:tcW w:w="2083" w:type="dxa"/>
            <w:vAlign w:val="top"/>
          </w:tcPr>
          <w:p w14:paraId="070271D3">
            <w:pPr>
              <w:pStyle w:val="6"/>
              <w:spacing w:before="34" w:line="228" w:lineRule="auto"/>
              <w:ind w:left="696"/>
              <w:rPr>
                <w:sz w:val="14"/>
                <w:szCs w:val="14"/>
              </w:rPr>
            </w:pPr>
            <w:r>
              <w:rPr>
                <w:rFonts w:ascii="宋体" w:hAnsi="宋体" w:eastAsia="宋体" w:cs="宋体"/>
                <w:spacing w:val="-2"/>
              </w:rPr>
              <w:t>春秋季</w:t>
            </w:r>
            <w:r>
              <w:rPr>
                <w:spacing w:val="-2"/>
                <w:position w:val="9"/>
                <w:sz w:val="14"/>
                <w:szCs w:val="14"/>
              </w:rPr>
              <w:t>*</w:t>
            </w:r>
          </w:p>
        </w:tc>
      </w:tr>
      <w:tr w14:paraId="4703C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082" w:type="dxa"/>
            <w:vAlign w:val="top"/>
          </w:tcPr>
          <w:p w14:paraId="11ADB0FC">
            <w:pPr>
              <w:spacing w:before="52" w:line="220" w:lineRule="auto"/>
              <w:ind w:left="732"/>
              <w:rPr>
                <w:rFonts w:ascii="宋体" w:hAnsi="宋体" w:eastAsia="宋体" w:cs="宋体"/>
                <w:sz w:val="21"/>
                <w:szCs w:val="21"/>
              </w:rPr>
            </w:pPr>
            <w:r>
              <w:rPr>
                <w:rFonts w:ascii="宋体" w:hAnsi="宋体" w:eastAsia="宋体" w:cs="宋体"/>
                <w:spacing w:val="-3"/>
                <w:sz w:val="21"/>
                <w:szCs w:val="21"/>
              </w:rPr>
              <w:t>标准值</w:t>
            </w:r>
          </w:p>
        </w:tc>
        <w:tc>
          <w:tcPr>
            <w:tcW w:w="2078" w:type="dxa"/>
            <w:vAlign w:val="top"/>
          </w:tcPr>
          <w:p w14:paraId="23C004FD">
            <w:pPr>
              <w:pStyle w:val="6"/>
              <w:spacing w:before="89" w:line="188" w:lineRule="auto"/>
              <w:ind w:left="927"/>
            </w:pPr>
            <w:r>
              <w:rPr>
                <w:spacing w:val="-9"/>
              </w:rPr>
              <w:t>1.2</w:t>
            </w:r>
          </w:p>
        </w:tc>
        <w:tc>
          <w:tcPr>
            <w:tcW w:w="2077" w:type="dxa"/>
            <w:vAlign w:val="top"/>
          </w:tcPr>
          <w:p w14:paraId="00964B47">
            <w:pPr>
              <w:pStyle w:val="6"/>
              <w:spacing w:before="89" w:line="188" w:lineRule="auto"/>
              <w:ind w:left="929"/>
            </w:pPr>
            <w:r>
              <w:rPr>
                <w:spacing w:val="-9"/>
              </w:rPr>
              <w:t>1.8</w:t>
            </w:r>
          </w:p>
        </w:tc>
        <w:tc>
          <w:tcPr>
            <w:tcW w:w="2083" w:type="dxa"/>
            <w:vAlign w:val="top"/>
          </w:tcPr>
          <w:p w14:paraId="24EC1292">
            <w:pPr>
              <w:pStyle w:val="6"/>
              <w:spacing w:before="89" w:line="188" w:lineRule="auto"/>
              <w:ind w:left="932"/>
            </w:pPr>
            <w:r>
              <w:rPr>
                <w:spacing w:val="-9"/>
              </w:rPr>
              <w:t>1.5</w:t>
            </w:r>
          </w:p>
        </w:tc>
      </w:tr>
    </w:tbl>
    <w:p w14:paraId="53B8F905">
      <w:pPr>
        <w:spacing w:before="65" w:line="220" w:lineRule="auto"/>
        <w:ind w:left="37"/>
        <w:rPr>
          <w:rFonts w:ascii="宋体" w:hAnsi="宋体" w:eastAsia="宋体" w:cs="宋体"/>
          <w:sz w:val="18"/>
          <w:szCs w:val="18"/>
        </w:rPr>
      </w:pPr>
      <w:r>
        <w:rPr>
          <w:rFonts w:ascii="宋体" w:hAnsi="宋体" w:eastAsia="宋体" w:cs="宋体"/>
          <w:spacing w:val="-2"/>
          <w:sz w:val="18"/>
          <w:szCs w:val="18"/>
        </w:rPr>
        <w:t>注：废水最高允许排放量的单位中，百头指存栏数。</w:t>
      </w:r>
    </w:p>
    <w:p w14:paraId="19DFCC9A">
      <w:pPr>
        <w:spacing w:before="97" w:line="220" w:lineRule="auto"/>
        <w:ind w:left="42"/>
        <w:rPr>
          <w:rFonts w:ascii="宋体" w:hAnsi="宋体" w:eastAsia="宋体" w:cs="宋体"/>
          <w:sz w:val="18"/>
          <w:szCs w:val="18"/>
        </w:rPr>
      </w:pPr>
      <w:r>
        <w:rPr>
          <w:rFonts w:ascii="Times New Roman" w:hAnsi="Times New Roman" w:eastAsia="Times New Roman" w:cs="Times New Roman"/>
          <w:spacing w:val="-2"/>
          <w:sz w:val="18"/>
          <w:szCs w:val="18"/>
        </w:rPr>
        <w:t>*</w:t>
      </w:r>
      <w:r>
        <w:rPr>
          <w:rFonts w:ascii="宋体" w:hAnsi="宋体" w:eastAsia="宋体" w:cs="宋体"/>
          <w:spacing w:val="-2"/>
          <w:sz w:val="18"/>
          <w:szCs w:val="18"/>
        </w:rPr>
        <w:t>春秋季废水最高允许排放量按冬季、夏季的平均值计算。</w:t>
      </w:r>
    </w:p>
    <w:p w14:paraId="34A3FF1A">
      <w:pPr>
        <w:spacing w:before="160" w:line="221"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1.2-8  </w:t>
      </w:r>
      <w:r>
        <w:rPr>
          <w:rFonts w:ascii="黑体" w:hAnsi="黑体" w:eastAsia="黑体" w:cs="黑体"/>
          <w:spacing w:val="-1"/>
          <w:sz w:val="21"/>
          <w:szCs w:val="21"/>
        </w:rPr>
        <w:t>农田灌溉水质标准</w:t>
      </w:r>
    </w:p>
    <w:p w14:paraId="721C6B34">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2690"/>
        <w:gridCol w:w="1133"/>
        <w:gridCol w:w="1675"/>
        <w:gridCol w:w="1681"/>
      </w:tblGrid>
      <w:tr w14:paraId="24602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41" w:type="dxa"/>
            <w:vAlign w:val="top"/>
          </w:tcPr>
          <w:p w14:paraId="4A4D4C78">
            <w:pPr>
              <w:spacing w:before="68" w:line="221" w:lineRule="auto"/>
              <w:ind w:left="364"/>
              <w:rPr>
                <w:rFonts w:ascii="宋体" w:hAnsi="宋体" w:eastAsia="宋体" w:cs="宋体"/>
                <w:sz w:val="21"/>
                <w:szCs w:val="21"/>
              </w:rPr>
            </w:pPr>
            <w:r>
              <w:rPr>
                <w:rFonts w:ascii="宋体" w:hAnsi="宋体" w:eastAsia="宋体" w:cs="宋体"/>
                <w:spacing w:val="-2"/>
                <w:sz w:val="21"/>
                <w:szCs w:val="21"/>
              </w:rPr>
              <w:t>序号</w:t>
            </w:r>
          </w:p>
        </w:tc>
        <w:tc>
          <w:tcPr>
            <w:tcW w:w="2690" w:type="dxa"/>
            <w:vAlign w:val="top"/>
          </w:tcPr>
          <w:p w14:paraId="451FC095">
            <w:pPr>
              <w:spacing w:before="68" w:line="220" w:lineRule="auto"/>
              <w:ind w:left="933"/>
              <w:rPr>
                <w:rFonts w:ascii="宋体" w:hAnsi="宋体" w:eastAsia="宋体" w:cs="宋体"/>
                <w:sz w:val="21"/>
                <w:szCs w:val="21"/>
              </w:rPr>
            </w:pPr>
            <w:r>
              <w:rPr>
                <w:rFonts w:ascii="宋体" w:hAnsi="宋体" w:eastAsia="宋体" w:cs="宋体"/>
                <w:spacing w:val="-3"/>
                <w:sz w:val="21"/>
                <w:szCs w:val="21"/>
              </w:rPr>
              <w:t>项目类别</w:t>
            </w:r>
          </w:p>
        </w:tc>
        <w:tc>
          <w:tcPr>
            <w:tcW w:w="1133" w:type="dxa"/>
            <w:vAlign w:val="top"/>
          </w:tcPr>
          <w:p w14:paraId="10CDB673">
            <w:pPr>
              <w:spacing w:before="69" w:line="220" w:lineRule="auto"/>
              <w:ind w:left="363"/>
              <w:rPr>
                <w:rFonts w:ascii="宋体" w:hAnsi="宋体" w:eastAsia="宋体" w:cs="宋体"/>
                <w:sz w:val="21"/>
                <w:szCs w:val="21"/>
              </w:rPr>
            </w:pPr>
            <w:r>
              <w:rPr>
                <w:rFonts w:ascii="宋体" w:hAnsi="宋体" w:eastAsia="宋体" w:cs="宋体"/>
                <w:spacing w:val="-3"/>
                <w:sz w:val="21"/>
                <w:szCs w:val="21"/>
              </w:rPr>
              <w:t>单位</w:t>
            </w:r>
          </w:p>
        </w:tc>
        <w:tc>
          <w:tcPr>
            <w:tcW w:w="1675" w:type="dxa"/>
            <w:vAlign w:val="top"/>
          </w:tcPr>
          <w:p w14:paraId="3E916BC6">
            <w:pPr>
              <w:spacing w:before="68" w:line="220" w:lineRule="auto"/>
              <w:ind w:left="426"/>
              <w:rPr>
                <w:rFonts w:ascii="宋体" w:hAnsi="宋体" w:eastAsia="宋体" w:cs="宋体"/>
                <w:sz w:val="21"/>
                <w:szCs w:val="21"/>
              </w:rPr>
            </w:pPr>
            <w:r>
              <w:rPr>
                <w:rFonts w:ascii="宋体" w:hAnsi="宋体" w:eastAsia="宋体" w:cs="宋体"/>
                <w:spacing w:val="-3"/>
                <w:sz w:val="21"/>
                <w:szCs w:val="21"/>
              </w:rPr>
              <w:t>水田作物</w:t>
            </w:r>
          </w:p>
        </w:tc>
        <w:tc>
          <w:tcPr>
            <w:tcW w:w="1681" w:type="dxa"/>
            <w:vAlign w:val="top"/>
          </w:tcPr>
          <w:p w14:paraId="521673E0">
            <w:pPr>
              <w:spacing w:before="69" w:line="220" w:lineRule="auto"/>
              <w:ind w:left="426"/>
              <w:rPr>
                <w:rFonts w:ascii="宋体" w:hAnsi="宋体" w:eastAsia="宋体" w:cs="宋体"/>
                <w:sz w:val="21"/>
                <w:szCs w:val="21"/>
              </w:rPr>
            </w:pPr>
            <w:r>
              <w:rPr>
                <w:rFonts w:ascii="宋体" w:hAnsi="宋体" w:eastAsia="宋体" w:cs="宋体"/>
                <w:b/>
                <w:bCs/>
                <w:spacing w:val="-4"/>
                <w:sz w:val="21"/>
                <w:szCs w:val="21"/>
              </w:rPr>
              <w:t>旱地作物</w:t>
            </w:r>
          </w:p>
        </w:tc>
      </w:tr>
      <w:tr w14:paraId="1AF5E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0A059E39">
            <w:pPr>
              <w:pStyle w:val="6"/>
              <w:spacing w:before="101" w:line="188" w:lineRule="auto"/>
              <w:ind w:left="540"/>
            </w:pPr>
            <w:r>
              <w:t>1</w:t>
            </w:r>
          </w:p>
        </w:tc>
        <w:tc>
          <w:tcPr>
            <w:tcW w:w="2690" w:type="dxa"/>
            <w:vAlign w:val="top"/>
          </w:tcPr>
          <w:p w14:paraId="1D14FAED">
            <w:pPr>
              <w:pStyle w:val="6"/>
              <w:spacing w:before="64" w:line="212" w:lineRule="auto"/>
              <w:ind w:left="1080"/>
              <w:rPr>
                <w:rFonts w:ascii="宋体" w:hAnsi="宋体" w:eastAsia="宋体" w:cs="宋体"/>
              </w:rPr>
            </w:pPr>
            <w:r>
              <w:t>pH</w:t>
            </w:r>
            <w:r>
              <w:rPr>
                <w:spacing w:val="8"/>
              </w:rPr>
              <w:t xml:space="preserve"> </w:t>
            </w:r>
            <w:r>
              <w:rPr>
                <w:rFonts w:ascii="宋体" w:hAnsi="宋体" w:eastAsia="宋体" w:cs="宋体"/>
              </w:rPr>
              <w:t>值</w:t>
            </w:r>
          </w:p>
        </w:tc>
        <w:tc>
          <w:tcPr>
            <w:tcW w:w="1133" w:type="dxa"/>
            <w:vAlign w:val="top"/>
          </w:tcPr>
          <w:p w14:paraId="29174164">
            <w:pPr>
              <w:pStyle w:val="6"/>
              <w:spacing w:before="96" w:line="192" w:lineRule="auto"/>
              <w:ind w:left="534"/>
            </w:pPr>
            <w:r>
              <w:t>/</w:t>
            </w:r>
          </w:p>
        </w:tc>
        <w:tc>
          <w:tcPr>
            <w:tcW w:w="3356" w:type="dxa"/>
            <w:gridSpan w:val="2"/>
            <w:vAlign w:val="top"/>
          </w:tcPr>
          <w:p w14:paraId="4AF04BE7">
            <w:pPr>
              <w:pStyle w:val="6"/>
              <w:spacing w:before="103" w:line="188" w:lineRule="auto"/>
              <w:ind w:left="1364"/>
            </w:pPr>
            <w:r>
              <w:rPr>
                <w:b/>
                <w:bCs/>
                <w:spacing w:val="-1"/>
              </w:rPr>
              <w:t>5.5~8.5</w:t>
            </w:r>
          </w:p>
        </w:tc>
      </w:tr>
      <w:tr w14:paraId="75353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1" w:type="dxa"/>
            <w:vAlign w:val="top"/>
          </w:tcPr>
          <w:p w14:paraId="4C16C833">
            <w:pPr>
              <w:pStyle w:val="6"/>
              <w:spacing w:before="101" w:line="188" w:lineRule="auto"/>
              <w:ind w:left="520"/>
            </w:pPr>
            <w:r>
              <w:t>2</w:t>
            </w:r>
          </w:p>
        </w:tc>
        <w:tc>
          <w:tcPr>
            <w:tcW w:w="2690" w:type="dxa"/>
            <w:vAlign w:val="top"/>
          </w:tcPr>
          <w:p w14:paraId="0C341D41">
            <w:pPr>
              <w:spacing w:before="64" w:line="220" w:lineRule="auto"/>
              <w:ind w:left="1142"/>
              <w:rPr>
                <w:rFonts w:ascii="宋体" w:hAnsi="宋体" w:eastAsia="宋体" w:cs="宋体"/>
                <w:sz w:val="21"/>
                <w:szCs w:val="21"/>
              </w:rPr>
            </w:pPr>
            <w:r>
              <w:rPr>
                <w:rFonts w:ascii="宋体" w:hAnsi="宋体" w:eastAsia="宋体" w:cs="宋体"/>
                <w:spacing w:val="-3"/>
                <w:sz w:val="21"/>
                <w:szCs w:val="21"/>
              </w:rPr>
              <w:t>水温</w:t>
            </w:r>
          </w:p>
        </w:tc>
        <w:tc>
          <w:tcPr>
            <w:tcW w:w="1133" w:type="dxa"/>
            <w:vAlign w:val="top"/>
          </w:tcPr>
          <w:p w14:paraId="143DDC8E">
            <w:pPr>
              <w:pStyle w:val="6"/>
              <w:spacing w:before="101" w:line="188" w:lineRule="auto"/>
              <w:ind w:left="466"/>
            </w:pPr>
            <w:r>
              <w:t>℃</w:t>
            </w:r>
          </w:p>
        </w:tc>
        <w:tc>
          <w:tcPr>
            <w:tcW w:w="3356" w:type="dxa"/>
            <w:gridSpan w:val="2"/>
            <w:vAlign w:val="top"/>
          </w:tcPr>
          <w:p w14:paraId="0C0A7D7C">
            <w:pPr>
              <w:pStyle w:val="6"/>
              <w:spacing w:before="103" w:line="188" w:lineRule="auto"/>
              <w:ind w:left="1573"/>
            </w:pPr>
            <w:r>
              <w:rPr>
                <w:b/>
                <w:bCs/>
                <w:spacing w:val="-1"/>
              </w:rPr>
              <w:t>35</w:t>
            </w:r>
          </w:p>
        </w:tc>
      </w:tr>
      <w:tr w14:paraId="327A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3F30CB12">
            <w:pPr>
              <w:pStyle w:val="6"/>
              <w:spacing w:before="101" w:line="188" w:lineRule="auto"/>
              <w:ind w:left="524"/>
            </w:pPr>
            <w:r>
              <w:t>3</w:t>
            </w:r>
          </w:p>
        </w:tc>
        <w:tc>
          <w:tcPr>
            <w:tcW w:w="2690" w:type="dxa"/>
            <w:vAlign w:val="top"/>
          </w:tcPr>
          <w:p w14:paraId="36B4C5F9">
            <w:pPr>
              <w:spacing w:before="64" w:line="221" w:lineRule="auto"/>
              <w:ind w:left="1036"/>
              <w:rPr>
                <w:rFonts w:ascii="宋体" w:hAnsi="宋体" w:eastAsia="宋体" w:cs="宋体"/>
                <w:sz w:val="21"/>
                <w:szCs w:val="21"/>
              </w:rPr>
            </w:pPr>
            <w:r>
              <w:rPr>
                <w:rFonts w:ascii="宋体" w:hAnsi="宋体" w:eastAsia="宋体" w:cs="宋体"/>
                <w:spacing w:val="-3"/>
                <w:sz w:val="21"/>
                <w:szCs w:val="21"/>
              </w:rPr>
              <w:t>悬浮物</w:t>
            </w:r>
          </w:p>
        </w:tc>
        <w:tc>
          <w:tcPr>
            <w:tcW w:w="1133" w:type="dxa"/>
            <w:vAlign w:val="top"/>
          </w:tcPr>
          <w:p w14:paraId="4E6759FB">
            <w:pPr>
              <w:pStyle w:val="6"/>
              <w:spacing w:before="97" w:line="192" w:lineRule="auto"/>
              <w:ind w:left="338"/>
            </w:pPr>
            <w:r>
              <w:rPr>
                <w:spacing w:val="-1"/>
              </w:rPr>
              <w:t>mg/L</w:t>
            </w:r>
          </w:p>
        </w:tc>
        <w:tc>
          <w:tcPr>
            <w:tcW w:w="1675" w:type="dxa"/>
            <w:vAlign w:val="top"/>
          </w:tcPr>
          <w:p w14:paraId="6750310D">
            <w:pPr>
              <w:pStyle w:val="6"/>
              <w:spacing w:before="101" w:line="188" w:lineRule="auto"/>
              <w:ind w:left="744"/>
            </w:pPr>
            <w:r>
              <w:rPr>
                <w:spacing w:val="-4"/>
              </w:rPr>
              <w:t>80</w:t>
            </w:r>
          </w:p>
        </w:tc>
        <w:tc>
          <w:tcPr>
            <w:tcW w:w="1681" w:type="dxa"/>
            <w:vAlign w:val="top"/>
          </w:tcPr>
          <w:p w14:paraId="29390D88">
            <w:pPr>
              <w:pStyle w:val="6"/>
              <w:spacing w:before="103" w:line="188" w:lineRule="auto"/>
              <w:ind w:left="693"/>
            </w:pPr>
            <w:r>
              <w:rPr>
                <w:b/>
                <w:bCs/>
                <w:spacing w:val="-5"/>
              </w:rPr>
              <w:t>100</w:t>
            </w:r>
          </w:p>
        </w:tc>
      </w:tr>
      <w:tr w14:paraId="2B31C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4A7F2D9D">
            <w:pPr>
              <w:pStyle w:val="6"/>
              <w:spacing w:before="102" w:line="188" w:lineRule="auto"/>
              <w:ind w:left="519"/>
            </w:pPr>
            <w:r>
              <w:t>4</w:t>
            </w:r>
          </w:p>
        </w:tc>
        <w:tc>
          <w:tcPr>
            <w:tcW w:w="2690" w:type="dxa"/>
            <w:vAlign w:val="top"/>
          </w:tcPr>
          <w:p w14:paraId="0E1DF42E">
            <w:pPr>
              <w:pStyle w:val="6"/>
              <w:spacing w:before="101" w:line="198" w:lineRule="auto"/>
              <w:ind w:left="1088"/>
              <w:rPr>
                <w:sz w:val="14"/>
                <w:szCs w:val="14"/>
              </w:rPr>
            </w:pPr>
            <w:r>
              <w:rPr>
                <w:spacing w:val="-2"/>
              </w:rPr>
              <w:t>BOD</w:t>
            </w:r>
            <w:r>
              <w:rPr>
                <w:spacing w:val="-2"/>
                <w:position w:val="-2"/>
                <w:sz w:val="14"/>
                <w:szCs w:val="14"/>
              </w:rPr>
              <w:t>5</w:t>
            </w:r>
          </w:p>
        </w:tc>
        <w:tc>
          <w:tcPr>
            <w:tcW w:w="1133" w:type="dxa"/>
            <w:vAlign w:val="top"/>
          </w:tcPr>
          <w:p w14:paraId="2A7A97AF">
            <w:pPr>
              <w:pStyle w:val="6"/>
              <w:spacing w:before="97" w:line="192" w:lineRule="auto"/>
              <w:ind w:left="338"/>
            </w:pPr>
            <w:r>
              <w:rPr>
                <w:spacing w:val="-1"/>
              </w:rPr>
              <w:t>mg/L</w:t>
            </w:r>
          </w:p>
        </w:tc>
        <w:tc>
          <w:tcPr>
            <w:tcW w:w="1675" w:type="dxa"/>
            <w:vAlign w:val="top"/>
          </w:tcPr>
          <w:p w14:paraId="646DB754">
            <w:pPr>
              <w:pStyle w:val="6"/>
              <w:spacing w:before="101" w:line="188" w:lineRule="auto"/>
              <w:ind w:left="740"/>
            </w:pPr>
            <w:r>
              <w:rPr>
                <w:spacing w:val="-3"/>
              </w:rPr>
              <w:t>60</w:t>
            </w:r>
          </w:p>
        </w:tc>
        <w:tc>
          <w:tcPr>
            <w:tcW w:w="1681" w:type="dxa"/>
            <w:vAlign w:val="top"/>
          </w:tcPr>
          <w:p w14:paraId="735D1968">
            <w:pPr>
              <w:pStyle w:val="6"/>
              <w:spacing w:before="104" w:line="188" w:lineRule="auto"/>
              <w:ind w:left="693"/>
            </w:pPr>
            <w:r>
              <w:rPr>
                <w:b/>
                <w:bCs/>
                <w:spacing w:val="-5"/>
              </w:rPr>
              <w:t>100</w:t>
            </w:r>
          </w:p>
        </w:tc>
      </w:tr>
      <w:tr w14:paraId="078C0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1" w:type="dxa"/>
            <w:vAlign w:val="top"/>
          </w:tcPr>
          <w:p w14:paraId="27E23D7A">
            <w:pPr>
              <w:pStyle w:val="6"/>
              <w:spacing w:before="105" w:line="185" w:lineRule="auto"/>
              <w:ind w:left="525"/>
            </w:pPr>
            <w:r>
              <w:t>5</w:t>
            </w:r>
          </w:p>
        </w:tc>
        <w:tc>
          <w:tcPr>
            <w:tcW w:w="2690" w:type="dxa"/>
            <w:vAlign w:val="top"/>
          </w:tcPr>
          <w:p w14:paraId="3F4E1E78">
            <w:pPr>
              <w:pStyle w:val="6"/>
              <w:spacing w:before="102" w:line="188" w:lineRule="auto"/>
              <w:ind w:left="1045"/>
            </w:pPr>
            <w:r>
              <w:rPr>
                <w:spacing w:val="-2"/>
              </w:rPr>
              <w:t>CODcr</w:t>
            </w:r>
          </w:p>
        </w:tc>
        <w:tc>
          <w:tcPr>
            <w:tcW w:w="1133" w:type="dxa"/>
            <w:vAlign w:val="top"/>
          </w:tcPr>
          <w:p w14:paraId="583A6790">
            <w:pPr>
              <w:pStyle w:val="6"/>
              <w:spacing w:before="98" w:line="192" w:lineRule="auto"/>
              <w:ind w:left="336"/>
            </w:pPr>
            <w:r>
              <w:rPr>
                <w:spacing w:val="-1"/>
              </w:rPr>
              <w:t>mg/L</w:t>
            </w:r>
          </w:p>
        </w:tc>
        <w:tc>
          <w:tcPr>
            <w:tcW w:w="1675" w:type="dxa"/>
            <w:vAlign w:val="top"/>
          </w:tcPr>
          <w:p w14:paraId="5B0E9115">
            <w:pPr>
              <w:pStyle w:val="6"/>
              <w:spacing w:before="102" w:line="188" w:lineRule="auto"/>
              <w:ind w:left="701"/>
            </w:pPr>
            <w:r>
              <w:rPr>
                <w:spacing w:val="-9"/>
              </w:rPr>
              <w:t>150</w:t>
            </w:r>
          </w:p>
        </w:tc>
        <w:tc>
          <w:tcPr>
            <w:tcW w:w="1681" w:type="dxa"/>
            <w:vAlign w:val="top"/>
          </w:tcPr>
          <w:p w14:paraId="351E97B3">
            <w:pPr>
              <w:pStyle w:val="6"/>
              <w:spacing w:before="104" w:line="188" w:lineRule="auto"/>
              <w:ind w:left="684"/>
            </w:pPr>
            <w:r>
              <w:rPr>
                <w:b/>
                <w:bCs/>
                <w:spacing w:val="-2"/>
              </w:rPr>
              <w:t>200</w:t>
            </w:r>
          </w:p>
        </w:tc>
      </w:tr>
      <w:tr w14:paraId="7288E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3561AE5E">
            <w:pPr>
              <w:pStyle w:val="6"/>
              <w:spacing w:before="102" w:line="188" w:lineRule="auto"/>
              <w:ind w:left="524"/>
            </w:pPr>
            <w:r>
              <w:t>6</w:t>
            </w:r>
          </w:p>
        </w:tc>
        <w:tc>
          <w:tcPr>
            <w:tcW w:w="2690" w:type="dxa"/>
            <w:vAlign w:val="top"/>
          </w:tcPr>
          <w:p w14:paraId="0738DC99">
            <w:pPr>
              <w:spacing w:before="65" w:line="219" w:lineRule="auto"/>
              <w:ind w:left="526"/>
              <w:rPr>
                <w:rFonts w:ascii="宋体" w:hAnsi="宋体" w:eastAsia="宋体" w:cs="宋体"/>
                <w:sz w:val="21"/>
                <w:szCs w:val="21"/>
              </w:rPr>
            </w:pPr>
            <w:r>
              <w:rPr>
                <w:rFonts w:ascii="宋体" w:hAnsi="宋体" w:eastAsia="宋体" w:cs="宋体"/>
                <w:spacing w:val="-3"/>
                <w:sz w:val="21"/>
                <w:szCs w:val="21"/>
              </w:rPr>
              <w:t>阴离子表面活性剂</w:t>
            </w:r>
          </w:p>
        </w:tc>
        <w:tc>
          <w:tcPr>
            <w:tcW w:w="1133" w:type="dxa"/>
            <w:vAlign w:val="top"/>
          </w:tcPr>
          <w:p w14:paraId="1B73063E">
            <w:pPr>
              <w:pStyle w:val="6"/>
              <w:spacing w:before="98" w:line="192" w:lineRule="auto"/>
              <w:ind w:left="338"/>
            </w:pPr>
            <w:r>
              <w:rPr>
                <w:spacing w:val="-1"/>
              </w:rPr>
              <w:t>mg/L</w:t>
            </w:r>
          </w:p>
        </w:tc>
        <w:tc>
          <w:tcPr>
            <w:tcW w:w="1675" w:type="dxa"/>
            <w:vAlign w:val="top"/>
          </w:tcPr>
          <w:p w14:paraId="75302BC2">
            <w:pPr>
              <w:pStyle w:val="6"/>
              <w:spacing w:before="105" w:line="185" w:lineRule="auto"/>
              <w:ind w:left="794"/>
            </w:pPr>
            <w:r>
              <w:t>5</w:t>
            </w:r>
          </w:p>
        </w:tc>
        <w:tc>
          <w:tcPr>
            <w:tcW w:w="1681" w:type="dxa"/>
            <w:vAlign w:val="top"/>
          </w:tcPr>
          <w:p w14:paraId="7D78549B">
            <w:pPr>
              <w:pStyle w:val="6"/>
              <w:spacing w:before="104" w:line="188" w:lineRule="auto"/>
              <w:ind w:left="792"/>
            </w:pPr>
            <w:r>
              <w:rPr>
                <w:b/>
                <w:bCs/>
              </w:rPr>
              <w:t>8</w:t>
            </w:r>
          </w:p>
        </w:tc>
      </w:tr>
      <w:tr w14:paraId="3D715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3FDB1B07">
            <w:pPr>
              <w:pStyle w:val="6"/>
              <w:spacing w:before="105" w:line="185" w:lineRule="auto"/>
              <w:ind w:left="523"/>
            </w:pPr>
            <w:r>
              <w:t>7</w:t>
            </w:r>
          </w:p>
        </w:tc>
        <w:tc>
          <w:tcPr>
            <w:tcW w:w="2690" w:type="dxa"/>
            <w:vAlign w:val="top"/>
          </w:tcPr>
          <w:p w14:paraId="27857FC0">
            <w:pPr>
              <w:pStyle w:val="6"/>
              <w:spacing w:before="66" w:line="213" w:lineRule="auto"/>
              <w:ind w:left="468"/>
              <w:rPr>
                <w:rFonts w:ascii="宋体" w:hAnsi="宋体" w:eastAsia="宋体" w:cs="宋体"/>
              </w:rPr>
            </w:pPr>
            <w:r>
              <w:rPr>
                <w:rFonts w:ascii="宋体" w:hAnsi="宋体" w:eastAsia="宋体" w:cs="宋体"/>
                <w:spacing w:val="-3"/>
              </w:rPr>
              <w:t>氯化物（以</w:t>
            </w:r>
            <w:r>
              <w:rPr>
                <w:rFonts w:ascii="宋体" w:hAnsi="宋体" w:eastAsia="宋体" w:cs="宋体"/>
                <w:spacing w:val="-37"/>
              </w:rPr>
              <w:t xml:space="preserve"> </w:t>
            </w:r>
            <w:r>
              <w:rPr>
                <w:spacing w:val="-3"/>
              </w:rPr>
              <w:t>Cl</w:t>
            </w:r>
            <w:r>
              <w:rPr>
                <w:spacing w:val="-3"/>
                <w:position w:val="9"/>
                <w:sz w:val="14"/>
                <w:szCs w:val="14"/>
              </w:rPr>
              <w:t>-</w:t>
            </w:r>
            <w:r>
              <w:rPr>
                <w:rFonts w:ascii="宋体" w:hAnsi="宋体" w:eastAsia="宋体" w:cs="宋体"/>
                <w:spacing w:val="-3"/>
              </w:rPr>
              <w:t>计）</w:t>
            </w:r>
          </w:p>
        </w:tc>
        <w:tc>
          <w:tcPr>
            <w:tcW w:w="1133" w:type="dxa"/>
            <w:vAlign w:val="top"/>
          </w:tcPr>
          <w:p w14:paraId="72B7AF92">
            <w:pPr>
              <w:pStyle w:val="6"/>
              <w:spacing w:before="98" w:line="192" w:lineRule="auto"/>
              <w:ind w:left="338"/>
            </w:pPr>
            <w:r>
              <w:rPr>
                <w:spacing w:val="-1"/>
              </w:rPr>
              <w:t>mg/L</w:t>
            </w:r>
          </w:p>
        </w:tc>
        <w:tc>
          <w:tcPr>
            <w:tcW w:w="3356" w:type="dxa"/>
            <w:gridSpan w:val="2"/>
            <w:vAlign w:val="top"/>
          </w:tcPr>
          <w:p w14:paraId="6940E9FB">
            <w:pPr>
              <w:pStyle w:val="6"/>
              <w:spacing w:before="105" w:line="188" w:lineRule="auto"/>
              <w:ind w:left="1520"/>
            </w:pPr>
            <w:r>
              <w:rPr>
                <w:b/>
                <w:bCs/>
                <w:spacing w:val="-2"/>
              </w:rPr>
              <w:t>350</w:t>
            </w:r>
          </w:p>
        </w:tc>
      </w:tr>
      <w:tr w14:paraId="71BDE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1" w:type="dxa"/>
            <w:vAlign w:val="top"/>
          </w:tcPr>
          <w:p w14:paraId="010D1F6B">
            <w:pPr>
              <w:pStyle w:val="6"/>
              <w:spacing w:before="103" w:line="188" w:lineRule="auto"/>
              <w:ind w:left="528"/>
            </w:pPr>
            <w:r>
              <w:t>8</w:t>
            </w:r>
          </w:p>
        </w:tc>
        <w:tc>
          <w:tcPr>
            <w:tcW w:w="2690" w:type="dxa"/>
            <w:vAlign w:val="top"/>
          </w:tcPr>
          <w:p w14:paraId="3885BB71">
            <w:pPr>
              <w:pStyle w:val="6"/>
              <w:spacing w:before="51" w:line="227" w:lineRule="auto"/>
              <w:ind w:left="470"/>
              <w:rPr>
                <w:rFonts w:ascii="宋体" w:hAnsi="宋体" w:eastAsia="宋体" w:cs="宋体"/>
              </w:rPr>
            </w:pPr>
            <w:r>
              <w:rPr>
                <w:rFonts w:ascii="宋体" w:hAnsi="宋体" w:eastAsia="宋体" w:cs="宋体"/>
                <w:spacing w:val="-3"/>
              </w:rPr>
              <w:t>硫化物（以</w:t>
            </w:r>
            <w:r>
              <w:rPr>
                <w:rFonts w:ascii="宋体" w:hAnsi="宋体" w:eastAsia="宋体" w:cs="宋体"/>
                <w:spacing w:val="-37"/>
              </w:rPr>
              <w:t xml:space="preserve"> </w:t>
            </w:r>
            <w:r>
              <w:rPr>
                <w:spacing w:val="-3"/>
              </w:rPr>
              <w:t>S</w:t>
            </w:r>
            <w:r>
              <w:rPr>
                <w:spacing w:val="-3"/>
                <w:position w:val="9"/>
                <w:sz w:val="14"/>
                <w:szCs w:val="14"/>
              </w:rPr>
              <w:t>2-</w:t>
            </w:r>
            <w:r>
              <w:rPr>
                <w:rFonts w:ascii="宋体" w:hAnsi="宋体" w:eastAsia="宋体" w:cs="宋体"/>
                <w:spacing w:val="-3"/>
              </w:rPr>
              <w:t>计）</w:t>
            </w:r>
          </w:p>
        </w:tc>
        <w:tc>
          <w:tcPr>
            <w:tcW w:w="1133" w:type="dxa"/>
            <w:vAlign w:val="top"/>
          </w:tcPr>
          <w:p w14:paraId="24182D6E">
            <w:pPr>
              <w:pStyle w:val="6"/>
              <w:spacing w:before="99" w:line="192" w:lineRule="auto"/>
              <w:ind w:left="338"/>
            </w:pPr>
            <w:r>
              <w:rPr>
                <w:spacing w:val="-1"/>
              </w:rPr>
              <w:t>mg/L</w:t>
            </w:r>
          </w:p>
        </w:tc>
        <w:tc>
          <w:tcPr>
            <w:tcW w:w="3356" w:type="dxa"/>
            <w:gridSpan w:val="2"/>
            <w:vAlign w:val="top"/>
          </w:tcPr>
          <w:p w14:paraId="59E8E86E">
            <w:pPr>
              <w:pStyle w:val="6"/>
              <w:spacing w:before="105" w:line="188" w:lineRule="auto"/>
              <w:ind w:left="1636"/>
            </w:pPr>
            <w:r>
              <w:rPr>
                <w:b/>
                <w:bCs/>
              </w:rPr>
              <w:t>1</w:t>
            </w:r>
          </w:p>
        </w:tc>
      </w:tr>
      <w:tr w14:paraId="1E62D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467EB92D">
            <w:pPr>
              <w:pStyle w:val="6"/>
              <w:spacing w:before="103" w:line="188" w:lineRule="auto"/>
              <w:ind w:left="524"/>
            </w:pPr>
            <w:r>
              <w:t>9</w:t>
            </w:r>
          </w:p>
        </w:tc>
        <w:tc>
          <w:tcPr>
            <w:tcW w:w="2690" w:type="dxa"/>
            <w:vAlign w:val="top"/>
          </w:tcPr>
          <w:p w14:paraId="2B3A5CA8">
            <w:pPr>
              <w:spacing w:before="67" w:line="225" w:lineRule="auto"/>
              <w:ind w:left="1034"/>
              <w:rPr>
                <w:rFonts w:ascii="宋体" w:hAnsi="宋体" w:eastAsia="宋体" w:cs="宋体"/>
                <w:sz w:val="21"/>
                <w:szCs w:val="21"/>
              </w:rPr>
            </w:pPr>
            <w:r>
              <w:rPr>
                <w:rFonts w:ascii="宋体" w:hAnsi="宋体" w:eastAsia="宋体" w:cs="宋体"/>
                <w:spacing w:val="-2"/>
                <w:sz w:val="21"/>
                <w:szCs w:val="21"/>
              </w:rPr>
              <w:t>全盐量</w:t>
            </w:r>
          </w:p>
        </w:tc>
        <w:tc>
          <w:tcPr>
            <w:tcW w:w="1133" w:type="dxa"/>
            <w:vAlign w:val="top"/>
          </w:tcPr>
          <w:p w14:paraId="43EDC0BD">
            <w:pPr>
              <w:pStyle w:val="6"/>
              <w:spacing w:before="99" w:line="192" w:lineRule="auto"/>
              <w:ind w:left="338"/>
            </w:pPr>
            <w:r>
              <w:rPr>
                <w:spacing w:val="-1"/>
              </w:rPr>
              <w:t>mg/L</w:t>
            </w:r>
          </w:p>
        </w:tc>
        <w:tc>
          <w:tcPr>
            <w:tcW w:w="3356" w:type="dxa"/>
            <w:gridSpan w:val="2"/>
            <w:vAlign w:val="top"/>
          </w:tcPr>
          <w:p w14:paraId="3CDF51DA">
            <w:pPr>
              <w:pStyle w:val="6"/>
              <w:spacing w:before="67" w:line="220" w:lineRule="auto"/>
              <w:ind w:left="635"/>
              <w:rPr>
                <w:rFonts w:ascii="宋体" w:hAnsi="宋体" w:eastAsia="宋体" w:cs="宋体"/>
              </w:rPr>
            </w:pPr>
            <w:r>
              <w:rPr>
                <w:b/>
                <w:bCs/>
                <w:spacing w:val="-3"/>
              </w:rPr>
              <w:t>1000</w:t>
            </w:r>
            <w:r>
              <w:rPr>
                <w:rFonts w:ascii="宋体" w:hAnsi="宋体" w:eastAsia="宋体" w:cs="宋体"/>
                <w:b/>
                <w:bCs/>
                <w:spacing w:val="-3"/>
              </w:rPr>
              <w:t>（非盐碱土地区）</w:t>
            </w:r>
          </w:p>
        </w:tc>
      </w:tr>
      <w:tr w14:paraId="744FE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392CF38C">
            <w:pPr>
              <w:pStyle w:val="6"/>
              <w:spacing w:before="103" w:line="188" w:lineRule="auto"/>
              <w:ind w:left="487"/>
            </w:pPr>
            <w:r>
              <w:rPr>
                <w:spacing w:val="-6"/>
              </w:rPr>
              <w:t>10</w:t>
            </w:r>
          </w:p>
        </w:tc>
        <w:tc>
          <w:tcPr>
            <w:tcW w:w="2690" w:type="dxa"/>
            <w:vAlign w:val="top"/>
          </w:tcPr>
          <w:p w14:paraId="078F9C74">
            <w:pPr>
              <w:spacing w:before="67" w:line="224" w:lineRule="auto"/>
              <w:ind w:left="1145"/>
              <w:rPr>
                <w:rFonts w:ascii="宋体" w:hAnsi="宋体" w:eastAsia="宋体" w:cs="宋体"/>
                <w:sz w:val="21"/>
                <w:szCs w:val="21"/>
              </w:rPr>
            </w:pPr>
            <w:r>
              <w:rPr>
                <w:rFonts w:ascii="宋体" w:hAnsi="宋体" w:eastAsia="宋体" w:cs="宋体"/>
                <w:spacing w:val="-4"/>
                <w:sz w:val="21"/>
                <w:szCs w:val="21"/>
              </w:rPr>
              <w:t>总铅</w:t>
            </w:r>
          </w:p>
        </w:tc>
        <w:tc>
          <w:tcPr>
            <w:tcW w:w="1133" w:type="dxa"/>
            <w:vAlign w:val="top"/>
          </w:tcPr>
          <w:p w14:paraId="53310244">
            <w:pPr>
              <w:pStyle w:val="6"/>
              <w:spacing w:before="99" w:line="192" w:lineRule="auto"/>
              <w:ind w:left="338"/>
            </w:pPr>
            <w:r>
              <w:rPr>
                <w:spacing w:val="-1"/>
              </w:rPr>
              <w:t>mg/L</w:t>
            </w:r>
          </w:p>
        </w:tc>
        <w:tc>
          <w:tcPr>
            <w:tcW w:w="3356" w:type="dxa"/>
            <w:gridSpan w:val="2"/>
            <w:vAlign w:val="top"/>
          </w:tcPr>
          <w:p w14:paraId="27DF1A14">
            <w:pPr>
              <w:pStyle w:val="6"/>
              <w:spacing w:before="106" w:line="188" w:lineRule="auto"/>
              <w:ind w:left="1550"/>
            </w:pPr>
            <w:r>
              <w:rPr>
                <w:b/>
                <w:bCs/>
                <w:spacing w:val="-2"/>
              </w:rPr>
              <w:t>0.2</w:t>
            </w:r>
          </w:p>
        </w:tc>
      </w:tr>
      <w:tr w14:paraId="1B326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1" w:type="dxa"/>
            <w:vAlign w:val="top"/>
          </w:tcPr>
          <w:p w14:paraId="299AD354">
            <w:pPr>
              <w:pStyle w:val="6"/>
              <w:spacing w:before="104" w:line="188" w:lineRule="auto"/>
              <w:ind w:left="491"/>
            </w:pPr>
            <w:r>
              <w:rPr>
                <w:spacing w:val="-9"/>
              </w:rPr>
              <w:t>11</w:t>
            </w:r>
          </w:p>
        </w:tc>
        <w:tc>
          <w:tcPr>
            <w:tcW w:w="2690" w:type="dxa"/>
            <w:vAlign w:val="top"/>
          </w:tcPr>
          <w:p w14:paraId="3EB69D4F">
            <w:pPr>
              <w:spacing w:before="68" w:line="222" w:lineRule="auto"/>
              <w:ind w:left="1145"/>
              <w:rPr>
                <w:rFonts w:ascii="宋体" w:hAnsi="宋体" w:eastAsia="宋体" w:cs="宋体"/>
                <w:sz w:val="21"/>
                <w:szCs w:val="21"/>
              </w:rPr>
            </w:pPr>
            <w:r>
              <w:rPr>
                <w:rFonts w:ascii="宋体" w:hAnsi="宋体" w:eastAsia="宋体" w:cs="宋体"/>
                <w:spacing w:val="-4"/>
                <w:sz w:val="21"/>
                <w:szCs w:val="21"/>
              </w:rPr>
              <w:t>总镉</w:t>
            </w:r>
          </w:p>
        </w:tc>
        <w:tc>
          <w:tcPr>
            <w:tcW w:w="1133" w:type="dxa"/>
            <w:vAlign w:val="top"/>
          </w:tcPr>
          <w:p w14:paraId="65A08E78">
            <w:pPr>
              <w:pStyle w:val="6"/>
              <w:spacing w:before="100" w:line="192" w:lineRule="auto"/>
              <w:ind w:left="338"/>
            </w:pPr>
            <w:r>
              <w:rPr>
                <w:spacing w:val="-1"/>
              </w:rPr>
              <w:t>mg/L</w:t>
            </w:r>
          </w:p>
        </w:tc>
        <w:tc>
          <w:tcPr>
            <w:tcW w:w="3356" w:type="dxa"/>
            <w:gridSpan w:val="2"/>
            <w:vAlign w:val="top"/>
          </w:tcPr>
          <w:p w14:paraId="7853DE53">
            <w:pPr>
              <w:pStyle w:val="6"/>
              <w:spacing w:before="106" w:line="188" w:lineRule="auto"/>
              <w:ind w:left="1498"/>
            </w:pPr>
            <w:r>
              <w:rPr>
                <w:b/>
                <w:bCs/>
                <w:spacing w:val="-2"/>
              </w:rPr>
              <w:t>0.01</w:t>
            </w:r>
          </w:p>
        </w:tc>
      </w:tr>
      <w:tr w14:paraId="0AC6C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37A5C6DA">
            <w:pPr>
              <w:pStyle w:val="6"/>
              <w:spacing w:before="104" w:line="188" w:lineRule="auto"/>
              <w:ind w:left="487"/>
            </w:pPr>
            <w:r>
              <w:rPr>
                <w:spacing w:val="-6"/>
              </w:rPr>
              <w:t>12</w:t>
            </w:r>
          </w:p>
        </w:tc>
        <w:tc>
          <w:tcPr>
            <w:tcW w:w="2690" w:type="dxa"/>
            <w:vAlign w:val="top"/>
          </w:tcPr>
          <w:p w14:paraId="17D26CBF">
            <w:pPr>
              <w:spacing w:before="68" w:line="218" w:lineRule="auto"/>
              <w:ind w:left="823"/>
              <w:rPr>
                <w:rFonts w:ascii="宋体" w:hAnsi="宋体" w:eastAsia="宋体" w:cs="宋体"/>
                <w:sz w:val="21"/>
                <w:szCs w:val="21"/>
              </w:rPr>
            </w:pPr>
            <w:r>
              <w:rPr>
                <w:rFonts w:ascii="宋体" w:hAnsi="宋体" w:eastAsia="宋体" w:cs="宋体"/>
                <w:spacing w:val="-4"/>
                <w:sz w:val="21"/>
                <w:szCs w:val="21"/>
              </w:rPr>
              <w:t>铬（六价）</w:t>
            </w:r>
          </w:p>
        </w:tc>
        <w:tc>
          <w:tcPr>
            <w:tcW w:w="1133" w:type="dxa"/>
            <w:vAlign w:val="top"/>
          </w:tcPr>
          <w:p w14:paraId="58A92F51">
            <w:pPr>
              <w:pStyle w:val="6"/>
              <w:spacing w:before="100" w:line="192" w:lineRule="auto"/>
              <w:ind w:left="338"/>
            </w:pPr>
            <w:r>
              <w:rPr>
                <w:spacing w:val="-1"/>
              </w:rPr>
              <w:t>mg/L</w:t>
            </w:r>
          </w:p>
        </w:tc>
        <w:tc>
          <w:tcPr>
            <w:tcW w:w="3356" w:type="dxa"/>
            <w:gridSpan w:val="2"/>
            <w:vAlign w:val="top"/>
          </w:tcPr>
          <w:p w14:paraId="72915233">
            <w:pPr>
              <w:pStyle w:val="6"/>
              <w:spacing w:before="106" w:line="188" w:lineRule="auto"/>
              <w:ind w:left="1550"/>
            </w:pPr>
            <w:r>
              <w:rPr>
                <w:b/>
                <w:bCs/>
                <w:spacing w:val="-2"/>
              </w:rPr>
              <w:t>0.1</w:t>
            </w:r>
          </w:p>
        </w:tc>
      </w:tr>
      <w:tr w14:paraId="44D2F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40436CAF">
            <w:pPr>
              <w:pStyle w:val="6"/>
              <w:spacing w:before="104" w:line="188" w:lineRule="auto"/>
              <w:ind w:left="487"/>
            </w:pPr>
            <w:r>
              <w:rPr>
                <w:spacing w:val="-6"/>
              </w:rPr>
              <w:t>13</w:t>
            </w:r>
          </w:p>
        </w:tc>
        <w:tc>
          <w:tcPr>
            <w:tcW w:w="2690" w:type="dxa"/>
            <w:vAlign w:val="top"/>
          </w:tcPr>
          <w:p w14:paraId="15593A90">
            <w:pPr>
              <w:spacing w:before="68" w:line="220" w:lineRule="auto"/>
              <w:ind w:left="1145"/>
              <w:rPr>
                <w:rFonts w:ascii="宋体" w:hAnsi="宋体" w:eastAsia="宋体" w:cs="宋体"/>
                <w:sz w:val="21"/>
                <w:szCs w:val="21"/>
              </w:rPr>
            </w:pPr>
            <w:r>
              <w:rPr>
                <w:rFonts w:ascii="宋体" w:hAnsi="宋体" w:eastAsia="宋体" w:cs="宋体"/>
                <w:spacing w:val="-4"/>
                <w:sz w:val="21"/>
                <w:szCs w:val="21"/>
              </w:rPr>
              <w:t>总汞</w:t>
            </w:r>
          </w:p>
        </w:tc>
        <w:tc>
          <w:tcPr>
            <w:tcW w:w="1133" w:type="dxa"/>
            <w:vAlign w:val="top"/>
          </w:tcPr>
          <w:p w14:paraId="6A09A0AE">
            <w:pPr>
              <w:pStyle w:val="6"/>
              <w:spacing w:before="100" w:line="192" w:lineRule="auto"/>
              <w:ind w:left="338"/>
            </w:pPr>
            <w:r>
              <w:rPr>
                <w:spacing w:val="-1"/>
              </w:rPr>
              <w:t>mg/L</w:t>
            </w:r>
          </w:p>
        </w:tc>
        <w:tc>
          <w:tcPr>
            <w:tcW w:w="3356" w:type="dxa"/>
            <w:gridSpan w:val="2"/>
            <w:vAlign w:val="top"/>
          </w:tcPr>
          <w:p w14:paraId="269EBF4A">
            <w:pPr>
              <w:pStyle w:val="6"/>
              <w:spacing w:before="107" w:line="188" w:lineRule="auto"/>
              <w:ind w:left="1445"/>
            </w:pPr>
            <w:r>
              <w:rPr>
                <w:b/>
                <w:bCs/>
                <w:spacing w:val="-2"/>
              </w:rPr>
              <w:t>0.001</w:t>
            </w:r>
          </w:p>
        </w:tc>
      </w:tr>
      <w:tr w14:paraId="6FA4A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1" w:type="dxa"/>
            <w:vAlign w:val="top"/>
          </w:tcPr>
          <w:p w14:paraId="3B136080">
            <w:pPr>
              <w:pStyle w:val="6"/>
              <w:spacing w:before="105" w:line="188" w:lineRule="auto"/>
              <w:ind w:left="487"/>
            </w:pPr>
            <w:r>
              <w:rPr>
                <w:spacing w:val="-6"/>
              </w:rPr>
              <w:t>14</w:t>
            </w:r>
          </w:p>
        </w:tc>
        <w:tc>
          <w:tcPr>
            <w:tcW w:w="2690" w:type="dxa"/>
            <w:vAlign w:val="top"/>
          </w:tcPr>
          <w:p w14:paraId="67547907">
            <w:pPr>
              <w:spacing w:before="69" w:line="220" w:lineRule="auto"/>
              <w:ind w:left="1145"/>
              <w:rPr>
                <w:rFonts w:ascii="宋体" w:hAnsi="宋体" w:eastAsia="宋体" w:cs="宋体"/>
                <w:sz w:val="21"/>
                <w:szCs w:val="21"/>
              </w:rPr>
            </w:pPr>
            <w:r>
              <w:rPr>
                <w:rFonts w:ascii="宋体" w:hAnsi="宋体" w:eastAsia="宋体" w:cs="宋体"/>
                <w:spacing w:val="-4"/>
                <w:sz w:val="21"/>
                <w:szCs w:val="21"/>
              </w:rPr>
              <w:t>总砷</w:t>
            </w:r>
          </w:p>
        </w:tc>
        <w:tc>
          <w:tcPr>
            <w:tcW w:w="1133" w:type="dxa"/>
            <w:vAlign w:val="top"/>
          </w:tcPr>
          <w:p w14:paraId="26339491">
            <w:pPr>
              <w:pStyle w:val="6"/>
              <w:spacing w:before="101" w:line="192" w:lineRule="auto"/>
              <w:ind w:left="338"/>
            </w:pPr>
            <w:r>
              <w:rPr>
                <w:spacing w:val="-1"/>
              </w:rPr>
              <w:t>mg/L</w:t>
            </w:r>
          </w:p>
        </w:tc>
        <w:tc>
          <w:tcPr>
            <w:tcW w:w="1675" w:type="dxa"/>
            <w:vAlign w:val="top"/>
          </w:tcPr>
          <w:p w14:paraId="68448EE6">
            <w:pPr>
              <w:pStyle w:val="6"/>
              <w:spacing w:before="105" w:line="188" w:lineRule="auto"/>
              <w:ind w:left="659"/>
            </w:pPr>
            <w:r>
              <w:rPr>
                <w:spacing w:val="-2"/>
              </w:rPr>
              <w:t>0.05</w:t>
            </w:r>
          </w:p>
        </w:tc>
        <w:tc>
          <w:tcPr>
            <w:tcW w:w="1681" w:type="dxa"/>
            <w:vAlign w:val="top"/>
          </w:tcPr>
          <w:p w14:paraId="4D146680">
            <w:pPr>
              <w:pStyle w:val="6"/>
              <w:spacing w:before="107" w:line="188" w:lineRule="auto"/>
              <w:ind w:left="713"/>
            </w:pPr>
            <w:r>
              <w:rPr>
                <w:b/>
                <w:bCs/>
                <w:spacing w:val="-2"/>
              </w:rPr>
              <w:t>0.1</w:t>
            </w:r>
          </w:p>
        </w:tc>
      </w:tr>
      <w:tr w14:paraId="35141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1" w:type="dxa"/>
            <w:vAlign w:val="top"/>
          </w:tcPr>
          <w:p w14:paraId="03D27D5C">
            <w:pPr>
              <w:pStyle w:val="6"/>
              <w:spacing w:before="105" w:line="188" w:lineRule="auto"/>
              <w:ind w:left="487"/>
            </w:pPr>
            <w:r>
              <w:rPr>
                <w:spacing w:val="-6"/>
              </w:rPr>
              <w:t>15</w:t>
            </w:r>
          </w:p>
        </w:tc>
        <w:tc>
          <w:tcPr>
            <w:tcW w:w="2690" w:type="dxa"/>
            <w:vAlign w:val="top"/>
          </w:tcPr>
          <w:p w14:paraId="433F5A78">
            <w:pPr>
              <w:spacing w:before="68" w:line="220" w:lineRule="auto"/>
              <w:ind w:left="721"/>
              <w:rPr>
                <w:rFonts w:ascii="宋体" w:hAnsi="宋体" w:eastAsia="宋体" w:cs="宋体"/>
                <w:sz w:val="21"/>
                <w:szCs w:val="21"/>
              </w:rPr>
            </w:pPr>
            <w:r>
              <w:rPr>
                <w:rFonts w:ascii="宋体" w:hAnsi="宋体" w:eastAsia="宋体" w:cs="宋体"/>
                <w:spacing w:val="-2"/>
                <w:sz w:val="21"/>
                <w:szCs w:val="21"/>
              </w:rPr>
              <w:t>粪大肠菌群数</w:t>
            </w:r>
          </w:p>
        </w:tc>
        <w:tc>
          <w:tcPr>
            <w:tcW w:w="1133" w:type="dxa"/>
            <w:vAlign w:val="top"/>
          </w:tcPr>
          <w:p w14:paraId="3A22F074">
            <w:pPr>
              <w:pStyle w:val="6"/>
              <w:spacing w:before="101" w:line="192" w:lineRule="auto"/>
              <w:ind w:left="246"/>
            </w:pPr>
            <w:r>
              <w:rPr>
                <w:spacing w:val="-1"/>
              </w:rPr>
              <w:t>MPN/L</w:t>
            </w:r>
          </w:p>
        </w:tc>
        <w:tc>
          <w:tcPr>
            <w:tcW w:w="1675" w:type="dxa"/>
            <w:vAlign w:val="top"/>
          </w:tcPr>
          <w:p w14:paraId="1FDEC3D7">
            <w:pPr>
              <w:pStyle w:val="6"/>
              <w:spacing w:before="105" w:line="188" w:lineRule="auto"/>
              <w:ind w:left="576"/>
            </w:pPr>
            <w:r>
              <w:rPr>
                <w:spacing w:val="-1"/>
              </w:rPr>
              <w:t>40000</w:t>
            </w:r>
          </w:p>
        </w:tc>
        <w:tc>
          <w:tcPr>
            <w:tcW w:w="1681" w:type="dxa"/>
            <w:vAlign w:val="top"/>
          </w:tcPr>
          <w:p w14:paraId="5D76EF13">
            <w:pPr>
              <w:pStyle w:val="6"/>
              <w:spacing w:before="107" w:line="188" w:lineRule="auto"/>
              <w:ind w:left="580"/>
            </w:pPr>
            <w:r>
              <w:rPr>
                <w:b/>
                <w:bCs/>
                <w:spacing w:val="-1"/>
              </w:rPr>
              <w:t>40000</w:t>
            </w:r>
          </w:p>
        </w:tc>
      </w:tr>
      <w:tr w14:paraId="628DC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41" w:type="dxa"/>
            <w:vAlign w:val="top"/>
          </w:tcPr>
          <w:p w14:paraId="676B48E5">
            <w:pPr>
              <w:pStyle w:val="6"/>
              <w:spacing w:before="105" w:line="188" w:lineRule="auto"/>
              <w:ind w:left="487"/>
            </w:pPr>
            <w:r>
              <w:rPr>
                <w:spacing w:val="-6"/>
              </w:rPr>
              <w:t>16</w:t>
            </w:r>
          </w:p>
        </w:tc>
        <w:tc>
          <w:tcPr>
            <w:tcW w:w="2690" w:type="dxa"/>
            <w:vAlign w:val="top"/>
          </w:tcPr>
          <w:p w14:paraId="669EB4C5">
            <w:pPr>
              <w:spacing w:before="68" w:line="220" w:lineRule="auto"/>
              <w:ind w:left="929"/>
              <w:rPr>
                <w:rFonts w:ascii="宋体" w:hAnsi="宋体" w:eastAsia="宋体" w:cs="宋体"/>
                <w:sz w:val="21"/>
                <w:szCs w:val="21"/>
              </w:rPr>
            </w:pPr>
            <w:r>
              <w:rPr>
                <w:rFonts w:ascii="宋体" w:hAnsi="宋体" w:eastAsia="宋体" w:cs="宋体"/>
                <w:spacing w:val="-2"/>
                <w:sz w:val="21"/>
                <w:szCs w:val="21"/>
              </w:rPr>
              <w:t>蛔虫卵数</w:t>
            </w:r>
          </w:p>
        </w:tc>
        <w:tc>
          <w:tcPr>
            <w:tcW w:w="1133" w:type="dxa"/>
            <w:vAlign w:val="top"/>
          </w:tcPr>
          <w:p w14:paraId="5A99042A">
            <w:pPr>
              <w:pStyle w:val="6"/>
              <w:spacing w:before="68" w:line="220" w:lineRule="auto"/>
              <w:ind w:left="268"/>
            </w:pPr>
            <w:r>
              <w:rPr>
                <w:rFonts w:ascii="宋体" w:hAnsi="宋体" w:eastAsia="宋体" w:cs="宋体"/>
                <w:spacing w:val="-2"/>
              </w:rPr>
              <w:t>个</w:t>
            </w:r>
            <w:r>
              <w:rPr>
                <w:spacing w:val="-2"/>
              </w:rPr>
              <w:t>/10L</w:t>
            </w:r>
          </w:p>
        </w:tc>
        <w:tc>
          <w:tcPr>
            <w:tcW w:w="3356" w:type="dxa"/>
            <w:gridSpan w:val="2"/>
            <w:vAlign w:val="top"/>
          </w:tcPr>
          <w:p w14:paraId="2A47EDEC">
            <w:pPr>
              <w:pStyle w:val="6"/>
              <w:spacing w:before="108" w:line="188" w:lineRule="auto"/>
              <w:ind w:left="1574"/>
            </w:pPr>
            <w:r>
              <w:rPr>
                <w:b/>
                <w:bCs/>
                <w:spacing w:val="-2"/>
              </w:rPr>
              <w:t>20</w:t>
            </w:r>
          </w:p>
        </w:tc>
      </w:tr>
    </w:tbl>
    <w:p w14:paraId="32B2F267">
      <w:pPr>
        <w:spacing w:before="234"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）废气排放标准</w:t>
      </w:r>
    </w:p>
    <w:p w14:paraId="1D9A0DB5">
      <w:pPr>
        <w:spacing w:before="182" w:line="217" w:lineRule="auto"/>
        <w:ind w:left="518"/>
        <w:rPr>
          <w:rFonts w:ascii="宋体" w:hAnsi="宋体" w:eastAsia="宋体" w:cs="宋体"/>
          <w:sz w:val="24"/>
          <w:szCs w:val="24"/>
        </w:rPr>
      </w:pPr>
      <w:r>
        <w:rPr>
          <w:rFonts w:ascii="宋体" w:hAnsi="宋体" w:eastAsia="宋体" w:cs="宋体"/>
          <w:spacing w:val="-2"/>
          <w:sz w:val="24"/>
          <w:szCs w:val="24"/>
        </w:rPr>
        <w:t>①施工期</w:t>
      </w:r>
    </w:p>
    <w:p w14:paraId="2B735274">
      <w:pPr>
        <w:spacing w:before="184" w:line="362" w:lineRule="auto"/>
        <w:ind w:left="45" w:firstLine="474"/>
        <w:rPr>
          <w:rFonts w:ascii="宋体" w:hAnsi="宋体" w:eastAsia="宋体" w:cs="宋体"/>
          <w:sz w:val="24"/>
          <w:szCs w:val="24"/>
        </w:rPr>
      </w:pPr>
      <w:r>
        <w:rPr>
          <w:rFonts w:ascii="宋体" w:hAnsi="宋体" w:eastAsia="宋体" w:cs="宋体"/>
          <w:spacing w:val="47"/>
          <w:sz w:val="24"/>
          <w:szCs w:val="24"/>
        </w:rPr>
        <w:t>本项目施工期扬尘排放执行《四川省</w:t>
      </w:r>
      <w:r>
        <w:rPr>
          <w:rFonts w:ascii="宋体" w:hAnsi="宋体" w:eastAsia="宋体" w:cs="宋体"/>
          <w:spacing w:val="-59"/>
          <w:sz w:val="24"/>
          <w:szCs w:val="24"/>
        </w:rPr>
        <w:t xml:space="preserve"> </w:t>
      </w:r>
      <w:r>
        <w:rPr>
          <w:rFonts w:ascii="宋体" w:hAnsi="宋体" w:eastAsia="宋体" w:cs="宋体"/>
          <w:spacing w:val="47"/>
          <w:sz w:val="24"/>
          <w:szCs w:val="24"/>
        </w:rPr>
        <w:t>施工场地扬尘排</w:t>
      </w:r>
      <w:r>
        <w:rPr>
          <w:rFonts w:ascii="宋体" w:hAnsi="宋体" w:eastAsia="宋体" w:cs="宋体"/>
          <w:spacing w:val="46"/>
          <w:sz w:val="24"/>
          <w:szCs w:val="24"/>
        </w:rPr>
        <w:t>放标准》</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DB51/2682-2020</w:t>
      </w:r>
      <w:r>
        <w:rPr>
          <w:rFonts w:ascii="宋体" w:hAnsi="宋体" w:eastAsia="宋体" w:cs="宋体"/>
          <w:spacing w:val="-50"/>
          <w:w w:val="79"/>
          <w:sz w:val="24"/>
          <w:szCs w:val="24"/>
        </w:rPr>
        <w:t>），</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2"/>
          <w:sz w:val="15"/>
          <w:szCs w:val="15"/>
        </w:rPr>
        <w:t>2</w:t>
      </w:r>
      <w:r>
        <w:rPr>
          <w:rFonts w:ascii="宋体" w:hAnsi="宋体" w:eastAsia="宋体" w:cs="宋体"/>
          <w:spacing w:val="-13"/>
          <w:sz w:val="24"/>
          <w:szCs w:val="24"/>
        </w:rPr>
        <w:t>、</w:t>
      </w:r>
      <w:r>
        <w:rPr>
          <w:rFonts w:ascii="Times New Roman" w:hAnsi="Times New Roman" w:eastAsia="Times New Roman" w:cs="Times New Roman"/>
          <w:spacing w:val="-13"/>
          <w:sz w:val="24"/>
          <w:szCs w:val="24"/>
        </w:rPr>
        <w:t>NOx</w:t>
      </w:r>
      <w:r>
        <w:rPr>
          <w:rFonts w:ascii="宋体" w:hAnsi="宋体" w:eastAsia="宋体" w:cs="宋体"/>
          <w:spacing w:val="-13"/>
          <w:sz w:val="24"/>
          <w:szCs w:val="24"/>
        </w:rPr>
        <w:t>执行《大气污染物综合排放标准》（</w:t>
      </w:r>
      <w:r>
        <w:rPr>
          <w:rFonts w:ascii="Times New Roman" w:hAnsi="Times New Roman" w:eastAsia="Times New Roman" w:cs="Times New Roman"/>
          <w:spacing w:val="-13"/>
          <w:sz w:val="24"/>
          <w:szCs w:val="24"/>
        </w:rPr>
        <w:t>GB1629</w:t>
      </w:r>
      <w:r>
        <w:rPr>
          <w:rFonts w:ascii="Times New Roman" w:hAnsi="Times New Roman" w:eastAsia="Times New Roman" w:cs="Times New Roman"/>
          <w:spacing w:val="-14"/>
          <w:sz w:val="24"/>
          <w:szCs w:val="24"/>
        </w:rPr>
        <w:t>7-1996</w:t>
      </w:r>
      <w:r>
        <w:rPr>
          <w:rFonts w:ascii="宋体" w:hAnsi="宋体" w:eastAsia="宋体" w:cs="宋体"/>
          <w:spacing w:val="-14"/>
          <w:sz w:val="24"/>
          <w:szCs w:val="24"/>
        </w:rPr>
        <w:t>）</w:t>
      </w:r>
      <w:r>
        <w:rPr>
          <w:rFonts w:ascii="宋体" w:hAnsi="宋体" w:eastAsia="宋体" w:cs="宋体"/>
          <w:spacing w:val="-6"/>
          <w:sz w:val="24"/>
          <w:szCs w:val="24"/>
        </w:rPr>
        <w:t>中无组织排放标准。</w:t>
      </w:r>
    </w:p>
    <w:p w14:paraId="12355230">
      <w:pPr>
        <w:spacing w:before="8" w:line="222" w:lineRule="auto"/>
        <w:ind w:left="245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1.2-9  </w:t>
      </w:r>
      <w:r>
        <w:rPr>
          <w:rFonts w:ascii="黑体" w:hAnsi="黑体" w:eastAsia="黑体" w:cs="黑体"/>
          <w:spacing w:val="-1"/>
          <w:sz w:val="21"/>
          <w:szCs w:val="21"/>
        </w:rPr>
        <w:t>四川省施工场地扬尘排放限值</w:t>
      </w:r>
    </w:p>
    <w:p w14:paraId="71029804">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842"/>
        <w:gridCol w:w="1837"/>
        <w:gridCol w:w="1840"/>
        <w:gridCol w:w="1374"/>
      </w:tblGrid>
      <w:tr w14:paraId="02A8C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427" w:type="dxa"/>
            <w:vAlign w:val="top"/>
          </w:tcPr>
          <w:p w14:paraId="3CBE4F55">
            <w:pPr>
              <w:spacing w:before="210" w:line="220" w:lineRule="auto"/>
              <w:ind w:left="405"/>
              <w:rPr>
                <w:rFonts w:ascii="宋体" w:hAnsi="宋体" w:eastAsia="宋体" w:cs="宋体"/>
                <w:sz w:val="21"/>
                <w:szCs w:val="21"/>
              </w:rPr>
            </w:pPr>
            <w:r>
              <w:rPr>
                <w:rFonts w:ascii="宋体" w:hAnsi="宋体" w:eastAsia="宋体" w:cs="宋体"/>
                <w:spacing w:val="-3"/>
                <w:sz w:val="21"/>
                <w:szCs w:val="21"/>
              </w:rPr>
              <w:t>污染物</w:t>
            </w:r>
          </w:p>
        </w:tc>
        <w:tc>
          <w:tcPr>
            <w:tcW w:w="1842" w:type="dxa"/>
            <w:vAlign w:val="top"/>
          </w:tcPr>
          <w:p w14:paraId="54D809DE">
            <w:pPr>
              <w:spacing w:before="210" w:line="220" w:lineRule="auto"/>
              <w:ind w:left="730"/>
              <w:rPr>
                <w:rFonts w:ascii="宋体" w:hAnsi="宋体" w:eastAsia="宋体" w:cs="宋体"/>
                <w:sz w:val="21"/>
                <w:szCs w:val="21"/>
              </w:rPr>
            </w:pPr>
            <w:r>
              <w:rPr>
                <w:rFonts w:ascii="宋体" w:hAnsi="宋体" w:eastAsia="宋体" w:cs="宋体"/>
                <w:spacing w:val="-6"/>
                <w:sz w:val="21"/>
                <w:szCs w:val="21"/>
              </w:rPr>
              <w:t>区域</w:t>
            </w:r>
          </w:p>
        </w:tc>
        <w:tc>
          <w:tcPr>
            <w:tcW w:w="1837" w:type="dxa"/>
            <w:vAlign w:val="top"/>
          </w:tcPr>
          <w:p w14:paraId="23177465">
            <w:pPr>
              <w:spacing w:before="210" w:line="221" w:lineRule="auto"/>
              <w:ind w:left="503"/>
              <w:rPr>
                <w:rFonts w:ascii="宋体" w:hAnsi="宋体" w:eastAsia="宋体" w:cs="宋体"/>
                <w:sz w:val="21"/>
                <w:szCs w:val="21"/>
              </w:rPr>
            </w:pPr>
            <w:r>
              <w:rPr>
                <w:rFonts w:ascii="宋体" w:hAnsi="宋体" w:eastAsia="宋体" w:cs="宋体"/>
                <w:spacing w:val="-2"/>
                <w:sz w:val="21"/>
                <w:szCs w:val="21"/>
              </w:rPr>
              <w:t>施工阶段</w:t>
            </w:r>
          </w:p>
        </w:tc>
        <w:tc>
          <w:tcPr>
            <w:tcW w:w="1840" w:type="dxa"/>
            <w:vAlign w:val="top"/>
          </w:tcPr>
          <w:p w14:paraId="09270125">
            <w:pPr>
              <w:spacing w:before="54" w:line="220" w:lineRule="auto"/>
              <w:ind w:left="192"/>
              <w:rPr>
                <w:rFonts w:ascii="宋体" w:hAnsi="宋体" w:eastAsia="宋体" w:cs="宋体"/>
                <w:sz w:val="21"/>
                <w:szCs w:val="21"/>
              </w:rPr>
            </w:pPr>
            <w:r>
              <w:rPr>
                <w:rFonts w:ascii="宋体" w:hAnsi="宋体" w:eastAsia="宋体" w:cs="宋体"/>
                <w:spacing w:val="-2"/>
                <w:sz w:val="21"/>
                <w:szCs w:val="21"/>
              </w:rPr>
              <w:t>监测点排放限值</w:t>
            </w:r>
          </w:p>
          <w:p w14:paraId="0F16CB7E">
            <w:pPr>
              <w:pStyle w:val="6"/>
              <w:spacing w:before="46" w:line="144" w:lineRule="auto"/>
              <w:ind w:left="673" w:right="658" w:firstLine="438"/>
            </w:pPr>
            <w:r>
              <w:rPr>
                <w:spacing w:val="-6"/>
                <w:sz w:val="14"/>
                <w:szCs w:val="14"/>
              </w:rPr>
              <w:t>3</w:t>
            </w:r>
            <w:r>
              <w:rPr>
                <w:sz w:val="14"/>
                <w:szCs w:val="14"/>
              </w:rPr>
              <w:t xml:space="preserve"> </w:t>
            </w:r>
            <w:r>
              <w:rPr>
                <w:spacing w:val="-2"/>
              </w:rPr>
              <w:t>µg/m</w:t>
            </w:r>
          </w:p>
        </w:tc>
        <w:tc>
          <w:tcPr>
            <w:tcW w:w="1374" w:type="dxa"/>
            <w:vAlign w:val="top"/>
          </w:tcPr>
          <w:p w14:paraId="42568BCC">
            <w:pPr>
              <w:spacing w:before="210" w:line="221" w:lineRule="auto"/>
              <w:ind w:left="272"/>
              <w:rPr>
                <w:rFonts w:ascii="宋体" w:hAnsi="宋体" w:eastAsia="宋体" w:cs="宋体"/>
                <w:sz w:val="21"/>
                <w:szCs w:val="21"/>
              </w:rPr>
            </w:pPr>
            <w:r>
              <w:rPr>
                <w:rFonts w:ascii="宋体" w:hAnsi="宋体" w:eastAsia="宋体" w:cs="宋体"/>
                <w:spacing w:val="-2"/>
                <w:sz w:val="21"/>
                <w:szCs w:val="21"/>
              </w:rPr>
              <w:t>监测时间</w:t>
            </w:r>
          </w:p>
        </w:tc>
      </w:tr>
      <w:tr w14:paraId="2FB03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7" w:type="dxa"/>
            <w:vMerge w:val="restart"/>
            <w:tcBorders>
              <w:bottom w:val="nil"/>
            </w:tcBorders>
            <w:vAlign w:val="top"/>
          </w:tcPr>
          <w:p w14:paraId="3254B297">
            <w:pPr>
              <w:spacing w:before="227" w:line="220" w:lineRule="auto"/>
              <w:ind w:left="94"/>
              <w:rPr>
                <w:rFonts w:ascii="宋体" w:hAnsi="宋体" w:eastAsia="宋体" w:cs="宋体"/>
                <w:sz w:val="21"/>
                <w:szCs w:val="21"/>
              </w:rPr>
            </w:pPr>
            <w:r>
              <w:rPr>
                <w:rFonts w:ascii="宋体" w:hAnsi="宋体" w:eastAsia="宋体" w:cs="宋体"/>
                <w:spacing w:val="-2"/>
                <w:sz w:val="21"/>
                <w:szCs w:val="21"/>
              </w:rPr>
              <w:t>总悬浮颗粒物</w:t>
            </w:r>
          </w:p>
          <w:p w14:paraId="190EDE3C">
            <w:pPr>
              <w:pStyle w:val="6"/>
              <w:spacing w:before="61" w:line="232" w:lineRule="auto"/>
              <w:ind w:left="332"/>
              <w:rPr>
                <w:rFonts w:ascii="宋体" w:hAnsi="宋体" w:eastAsia="宋体" w:cs="宋体"/>
              </w:rPr>
            </w:pPr>
            <w:r>
              <w:rPr>
                <w:rFonts w:ascii="宋体" w:hAnsi="宋体" w:eastAsia="宋体" w:cs="宋体"/>
                <w:spacing w:val="-3"/>
              </w:rPr>
              <w:t>（</w:t>
            </w:r>
            <w:r>
              <w:rPr>
                <w:spacing w:val="-3"/>
              </w:rPr>
              <w:t>TSP</w:t>
            </w:r>
            <w:r>
              <w:rPr>
                <w:rFonts w:ascii="宋体" w:hAnsi="宋体" w:eastAsia="宋体" w:cs="宋体"/>
                <w:spacing w:val="-3"/>
              </w:rPr>
              <w:t>）</w:t>
            </w:r>
          </w:p>
        </w:tc>
        <w:tc>
          <w:tcPr>
            <w:tcW w:w="1842" w:type="dxa"/>
            <w:vMerge w:val="restart"/>
            <w:tcBorders>
              <w:bottom w:val="nil"/>
            </w:tcBorders>
            <w:vAlign w:val="top"/>
          </w:tcPr>
          <w:p w14:paraId="3636A55F">
            <w:pPr>
              <w:spacing w:line="312" w:lineRule="auto"/>
              <w:rPr>
                <w:rFonts w:ascii="Arial"/>
                <w:sz w:val="21"/>
              </w:rPr>
            </w:pPr>
          </w:p>
          <w:p w14:paraId="35D95254">
            <w:pPr>
              <w:spacing w:before="68" w:line="220" w:lineRule="auto"/>
              <w:ind w:left="635"/>
              <w:rPr>
                <w:rFonts w:ascii="宋体" w:hAnsi="宋体" w:eastAsia="宋体" w:cs="宋体"/>
                <w:sz w:val="21"/>
                <w:szCs w:val="21"/>
              </w:rPr>
            </w:pPr>
            <w:r>
              <w:rPr>
                <w:rFonts w:ascii="宋体" w:hAnsi="宋体" w:eastAsia="宋体" w:cs="宋体"/>
                <w:spacing w:val="-8"/>
                <w:sz w:val="21"/>
                <w:szCs w:val="21"/>
              </w:rPr>
              <w:t>内江市</w:t>
            </w:r>
          </w:p>
        </w:tc>
        <w:tc>
          <w:tcPr>
            <w:tcW w:w="1837" w:type="dxa"/>
            <w:vAlign w:val="top"/>
          </w:tcPr>
          <w:p w14:paraId="3BC614F9">
            <w:pPr>
              <w:pStyle w:val="6"/>
              <w:spacing w:before="53" w:line="248" w:lineRule="auto"/>
              <w:ind w:left="294" w:right="16" w:hanging="269"/>
              <w:rPr>
                <w:rFonts w:ascii="宋体" w:hAnsi="宋体" w:eastAsia="宋体" w:cs="宋体"/>
              </w:rPr>
            </w:pPr>
            <w:r>
              <w:rPr>
                <w:rFonts w:ascii="宋体" w:hAnsi="宋体" w:eastAsia="宋体" w:cs="宋体"/>
                <w:spacing w:val="-1"/>
              </w:rPr>
              <w:t>拆除工程</w:t>
            </w:r>
            <w:r>
              <w:rPr>
                <w:spacing w:val="-1"/>
              </w:rPr>
              <w:t>/</w:t>
            </w:r>
            <w:r>
              <w:rPr>
                <w:rFonts w:ascii="宋体" w:hAnsi="宋体" w:eastAsia="宋体" w:cs="宋体"/>
                <w:spacing w:val="-1"/>
              </w:rPr>
              <w:t>土方开挖</w:t>
            </w:r>
            <w:r>
              <w:rPr>
                <w:spacing w:val="-1"/>
              </w:rPr>
              <w:t>/</w:t>
            </w:r>
            <w:r>
              <w:rPr>
                <w:rFonts w:ascii="宋体" w:hAnsi="宋体" w:eastAsia="宋体" w:cs="宋体"/>
                <w:spacing w:val="-2"/>
              </w:rPr>
              <w:t>土方回填阶段</w:t>
            </w:r>
          </w:p>
        </w:tc>
        <w:tc>
          <w:tcPr>
            <w:tcW w:w="1840" w:type="dxa"/>
            <w:vAlign w:val="top"/>
          </w:tcPr>
          <w:p w14:paraId="6B69BBE5">
            <w:pPr>
              <w:pStyle w:val="6"/>
              <w:spacing w:before="245" w:line="188" w:lineRule="auto"/>
              <w:ind w:left="770"/>
            </w:pPr>
            <w:r>
              <w:rPr>
                <w:spacing w:val="-4"/>
              </w:rPr>
              <w:t>600</w:t>
            </w:r>
          </w:p>
        </w:tc>
        <w:tc>
          <w:tcPr>
            <w:tcW w:w="1374" w:type="dxa"/>
            <w:vMerge w:val="restart"/>
            <w:tcBorders>
              <w:bottom w:val="nil"/>
            </w:tcBorders>
            <w:vAlign w:val="top"/>
          </w:tcPr>
          <w:p w14:paraId="49A6235D">
            <w:pPr>
              <w:pStyle w:val="6"/>
              <w:spacing w:before="226" w:line="277" w:lineRule="auto"/>
              <w:ind w:left="367" w:right="55" w:hanging="271"/>
              <w:rPr>
                <w:rFonts w:ascii="宋体" w:hAnsi="宋体" w:eastAsia="宋体" w:cs="宋体"/>
              </w:rPr>
            </w:pPr>
            <w:r>
              <w:rPr>
                <w:rFonts w:ascii="宋体" w:hAnsi="宋体" w:eastAsia="宋体" w:cs="宋体"/>
                <w:spacing w:val="-8"/>
              </w:rPr>
              <w:t>自监测起持续</w:t>
            </w:r>
            <w:r>
              <w:rPr>
                <w:spacing w:val="-8"/>
              </w:rPr>
              <w:t>15</w:t>
            </w:r>
            <w:r>
              <w:rPr>
                <w:spacing w:val="13"/>
              </w:rPr>
              <w:t xml:space="preserve"> </w:t>
            </w:r>
            <w:r>
              <w:rPr>
                <w:rFonts w:ascii="宋体" w:hAnsi="宋体" w:eastAsia="宋体" w:cs="宋体"/>
                <w:spacing w:val="-8"/>
              </w:rPr>
              <w:t>分钟</w:t>
            </w:r>
          </w:p>
        </w:tc>
      </w:tr>
      <w:tr w14:paraId="40C2E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7" w:type="dxa"/>
            <w:vMerge w:val="continue"/>
            <w:tcBorders>
              <w:top w:val="nil"/>
            </w:tcBorders>
            <w:vAlign w:val="top"/>
          </w:tcPr>
          <w:p w14:paraId="1E8CBEC0">
            <w:pPr>
              <w:rPr>
                <w:rFonts w:ascii="Arial"/>
                <w:sz w:val="21"/>
              </w:rPr>
            </w:pPr>
          </w:p>
        </w:tc>
        <w:tc>
          <w:tcPr>
            <w:tcW w:w="1842" w:type="dxa"/>
            <w:vMerge w:val="continue"/>
            <w:tcBorders>
              <w:top w:val="nil"/>
            </w:tcBorders>
            <w:vAlign w:val="top"/>
          </w:tcPr>
          <w:p w14:paraId="7618582F">
            <w:pPr>
              <w:rPr>
                <w:rFonts w:ascii="Arial"/>
                <w:sz w:val="21"/>
              </w:rPr>
            </w:pPr>
          </w:p>
        </w:tc>
        <w:tc>
          <w:tcPr>
            <w:tcW w:w="1837" w:type="dxa"/>
            <w:vAlign w:val="top"/>
          </w:tcPr>
          <w:p w14:paraId="0ED39FF3">
            <w:pPr>
              <w:spacing w:before="68" w:line="220" w:lineRule="auto"/>
              <w:ind w:left="295"/>
              <w:rPr>
                <w:rFonts w:ascii="宋体" w:hAnsi="宋体" w:eastAsia="宋体" w:cs="宋体"/>
                <w:sz w:val="21"/>
                <w:szCs w:val="21"/>
              </w:rPr>
            </w:pPr>
            <w:r>
              <w:rPr>
                <w:rFonts w:ascii="宋体" w:hAnsi="宋体" w:eastAsia="宋体" w:cs="宋体"/>
                <w:spacing w:val="-2"/>
                <w:sz w:val="21"/>
                <w:szCs w:val="21"/>
              </w:rPr>
              <w:t>其他工程阶段</w:t>
            </w:r>
          </w:p>
        </w:tc>
        <w:tc>
          <w:tcPr>
            <w:tcW w:w="1840" w:type="dxa"/>
            <w:vAlign w:val="top"/>
          </w:tcPr>
          <w:p w14:paraId="5D301C41">
            <w:pPr>
              <w:pStyle w:val="6"/>
              <w:spacing w:before="104" w:line="188" w:lineRule="auto"/>
              <w:ind w:left="766"/>
            </w:pPr>
            <w:r>
              <w:rPr>
                <w:spacing w:val="-2"/>
              </w:rPr>
              <w:t>250</w:t>
            </w:r>
          </w:p>
        </w:tc>
        <w:tc>
          <w:tcPr>
            <w:tcW w:w="1374" w:type="dxa"/>
            <w:vMerge w:val="continue"/>
            <w:tcBorders>
              <w:top w:val="nil"/>
            </w:tcBorders>
            <w:vAlign w:val="top"/>
          </w:tcPr>
          <w:p w14:paraId="3729443C">
            <w:pPr>
              <w:rPr>
                <w:rFonts w:ascii="Arial"/>
                <w:sz w:val="21"/>
              </w:rPr>
            </w:pPr>
          </w:p>
        </w:tc>
      </w:tr>
    </w:tbl>
    <w:p w14:paraId="0A4C3835">
      <w:pPr>
        <w:pStyle w:val="2"/>
      </w:pPr>
    </w:p>
    <w:p w14:paraId="63AABB5E">
      <w:pPr>
        <w:sectPr>
          <w:headerReference r:id="rId37" w:type="default"/>
          <w:footerReference r:id="rId38" w:type="default"/>
          <w:pgSz w:w="11905" w:h="16840"/>
          <w:pgMar w:top="1168" w:right="1695" w:bottom="1409" w:left="1770" w:header="828" w:footer="1244" w:gutter="0"/>
          <w:cols w:space="720" w:num="1"/>
        </w:sectPr>
      </w:pPr>
    </w:p>
    <w:p w14:paraId="0B2E6F2F">
      <w:pPr>
        <w:pStyle w:val="2"/>
        <w:spacing w:line="314" w:lineRule="auto"/>
      </w:pPr>
    </w:p>
    <w:p w14:paraId="6CEE14F8">
      <w:pPr>
        <w:spacing w:before="68" w:line="218" w:lineRule="auto"/>
        <w:ind w:left="1911"/>
        <w:rPr>
          <w:rFonts w:ascii="Times New Roman" w:hAnsi="Times New Roman" w:eastAsia="Times New Roman" w:cs="Times New Roman"/>
          <w:sz w:val="14"/>
          <w:szCs w:val="14"/>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1.2-10  </w:t>
      </w:r>
      <w:r>
        <w:rPr>
          <w:rFonts w:ascii="黑体" w:hAnsi="黑体" w:eastAsia="黑体" w:cs="黑体"/>
          <w:spacing w:val="-1"/>
          <w:sz w:val="21"/>
          <w:szCs w:val="21"/>
        </w:rPr>
        <w:t>大气污染物综合排放标准  单位：</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4"/>
          <w:szCs w:val="14"/>
        </w:rPr>
        <w:t>3</w:t>
      </w:r>
    </w:p>
    <w:p w14:paraId="6361E88F">
      <w:pPr>
        <w:spacing w:line="9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3113"/>
        <w:gridCol w:w="1840"/>
        <w:gridCol w:w="1940"/>
      </w:tblGrid>
      <w:tr w14:paraId="38221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7" w:type="dxa"/>
            <w:vMerge w:val="restart"/>
            <w:tcBorders>
              <w:bottom w:val="nil"/>
            </w:tcBorders>
            <w:vAlign w:val="top"/>
          </w:tcPr>
          <w:p w14:paraId="06F65B84">
            <w:pPr>
              <w:spacing w:before="244" w:line="220" w:lineRule="auto"/>
              <w:ind w:left="405"/>
              <w:rPr>
                <w:rFonts w:ascii="宋体" w:hAnsi="宋体" w:eastAsia="宋体" w:cs="宋体"/>
                <w:sz w:val="21"/>
                <w:szCs w:val="21"/>
              </w:rPr>
            </w:pPr>
            <w:r>
              <w:rPr>
                <w:rFonts w:ascii="宋体" w:hAnsi="宋体" w:eastAsia="宋体" w:cs="宋体"/>
                <w:spacing w:val="-3"/>
                <w:sz w:val="21"/>
                <w:szCs w:val="21"/>
              </w:rPr>
              <w:t>污染物</w:t>
            </w:r>
          </w:p>
        </w:tc>
        <w:tc>
          <w:tcPr>
            <w:tcW w:w="4953" w:type="dxa"/>
            <w:gridSpan w:val="2"/>
            <w:vAlign w:val="top"/>
          </w:tcPr>
          <w:p w14:paraId="233849BE">
            <w:pPr>
              <w:spacing w:before="68" w:line="220" w:lineRule="auto"/>
              <w:ind w:left="1328"/>
              <w:rPr>
                <w:rFonts w:ascii="宋体" w:hAnsi="宋体" w:eastAsia="宋体" w:cs="宋体"/>
                <w:sz w:val="21"/>
                <w:szCs w:val="21"/>
              </w:rPr>
            </w:pPr>
            <w:r>
              <w:rPr>
                <w:rFonts w:ascii="宋体" w:hAnsi="宋体" w:eastAsia="宋体" w:cs="宋体"/>
                <w:spacing w:val="-1"/>
                <w:sz w:val="21"/>
                <w:szCs w:val="21"/>
              </w:rPr>
              <w:t>无组织排放监控浓度限值</w:t>
            </w:r>
          </w:p>
        </w:tc>
        <w:tc>
          <w:tcPr>
            <w:tcW w:w="1940" w:type="dxa"/>
            <w:vMerge w:val="restart"/>
            <w:tcBorders>
              <w:bottom w:val="nil"/>
            </w:tcBorders>
            <w:vAlign w:val="top"/>
          </w:tcPr>
          <w:p w14:paraId="5694E0FD">
            <w:pPr>
              <w:spacing w:before="243" w:line="220" w:lineRule="auto"/>
              <w:ind w:left="556"/>
              <w:rPr>
                <w:rFonts w:ascii="宋体" w:hAnsi="宋体" w:eastAsia="宋体" w:cs="宋体"/>
                <w:sz w:val="21"/>
                <w:szCs w:val="21"/>
              </w:rPr>
            </w:pPr>
            <w:r>
              <w:rPr>
                <w:rFonts w:ascii="宋体" w:hAnsi="宋体" w:eastAsia="宋体" w:cs="宋体"/>
                <w:spacing w:val="-2"/>
                <w:sz w:val="21"/>
                <w:szCs w:val="21"/>
              </w:rPr>
              <w:t>标准来源</w:t>
            </w:r>
          </w:p>
        </w:tc>
      </w:tr>
      <w:tr w14:paraId="11525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27" w:type="dxa"/>
            <w:vMerge w:val="continue"/>
            <w:tcBorders>
              <w:top w:val="nil"/>
            </w:tcBorders>
            <w:vAlign w:val="top"/>
          </w:tcPr>
          <w:p w14:paraId="093EAFCD">
            <w:pPr>
              <w:rPr>
                <w:rFonts w:ascii="Arial"/>
                <w:sz w:val="21"/>
              </w:rPr>
            </w:pPr>
          </w:p>
        </w:tc>
        <w:tc>
          <w:tcPr>
            <w:tcW w:w="3113" w:type="dxa"/>
            <w:vAlign w:val="top"/>
          </w:tcPr>
          <w:p w14:paraId="78A5F10D">
            <w:pPr>
              <w:spacing w:before="65" w:line="220" w:lineRule="auto"/>
              <w:ind w:left="1247"/>
              <w:rPr>
                <w:rFonts w:ascii="宋体" w:hAnsi="宋体" w:eastAsia="宋体" w:cs="宋体"/>
                <w:sz w:val="21"/>
                <w:szCs w:val="21"/>
              </w:rPr>
            </w:pPr>
            <w:r>
              <w:rPr>
                <w:rFonts w:ascii="宋体" w:hAnsi="宋体" w:eastAsia="宋体" w:cs="宋体"/>
                <w:spacing w:val="-3"/>
                <w:sz w:val="21"/>
                <w:szCs w:val="21"/>
              </w:rPr>
              <w:t>监控点</w:t>
            </w:r>
          </w:p>
        </w:tc>
        <w:tc>
          <w:tcPr>
            <w:tcW w:w="1840" w:type="dxa"/>
            <w:vAlign w:val="top"/>
          </w:tcPr>
          <w:p w14:paraId="6C32C1EE">
            <w:pPr>
              <w:spacing w:before="65" w:line="220" w:lineRule="auto"/>
              <w:ind w:left="716"/>
              <w:rPr>
                <w:rFonts w:ascii="宋体" w:hAnsi="宋体" w:eastAsia="宋体" w:cs="宋体"/>
                <w:sz w:val="21"/>
                <w:szCs w:val="21"/>
              </w:rPr>
            </w:pPr>
            <w:r>
              <w:rPr>
                <w:rFonts w:ascii="宋体" w:hAnsi="宋体" w:eastAsia="宋体" w:cs="宋体"/>
                <w:spacing w:val="-3"/>
                <w:sz w:val="21"/>
                <w:szCs w:val="21"/>
              </w:rPr>
              <w:t>浓度</w:t>
            </w:r>
          </w:p>
        </w:tc>
        <w:tc>
          <w:tcPr>
            <w:tcW w:w="1940" w:type="dxa"/>
            <w:vMerge w:val="continue"/>
            <w:tcBorders>
              <w:top w:val="nil"/>
            </w:tcBorders>
            <w:vAlign w:val="top"/>
          </w:tcPr>
          <w:p w14:paraId="18260054">
            <w:pPr>
              <w:rPr>
                <w:rFonts w:ascii="Arial"/>
                <w:sz w:val="21"/>
              </w:rPr>
            </w:pPr>
          </w:p>
        </w:tc>
      </w:tr>
      <w:tr w14:paraId="022DD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27" w:type="dxa"/>
            <w:vAlign w:val="top"/>
          </w:tcPr>
          <w:p w14:paraId="1ABC5958">
            <w:pPr>
              <w:pStyle w:val="6"/>
              <w:spacing w:before="103" w:line="198" w:lineRule="auto"/>
              <w:ind w:left="554"/>
              <w:rPr>
                <w:sz w:val="14"/>
                <w:szCs w:val="14"/>
              </w:rPr>
            </w:pPr>
            <w:r>
              <w:rPr>
                <w:spacing w:val="-5"/>
              </w:rPr>
              <w:t>SO</w:t>
            </w:r>
            <w:r>
              <w:rPr>
                <w:spacing w:val="-5"/>
                <w:position w:val="-2"/>
                <w:sz w:val="14"/>
                <w:szCs w:val="14"/>
              </w:rPr>
              <w:t>2</w:t>
            </w:r>
          </w:p>
        </w:tc>
        <w:tc>
          <w:tcPr>
            <w:tcW w:w="3113" w:type="dxa"/>
            <w:vMerge w:val="restart"/>
            <w:tcBorders>
              <w:bottom w:val="nil"/>
            </w:tcBorders>
            <w:vAlign w:val="top"/>
          </w:tcPr>
          <w:p w14:paraId="35B9AB52">
            <w:pPr>
              <w:spacing w:before="241" w:line="220" w:lineRule="auto"/>
              <w:ind w:left="722"/>
              <w:rPr>
                <w:rFonts w:ascii="宋体" w:hAnsi="宋体" w:eastAsia="宋体" w:cs="宋体"/>
                <w:sz w:val="21"/>
                <w:szCs w:val="21"/>
              </w:rPr>
            </w:pPr>
            <w:r>
              <w:rPr>
                <w:rFonts w:ascii="宋体" w:hAnsi="宋体" w:eastAsia="宋体" w:cs="宋体"/>
                <w:spacing w:val="-1"/>
                <w:sz w:val="21"/>
                <w:szCs w:val="21"/>
              </w:rPr>
              <w:t>周界外浓度最高点</w:t>
            </w:r>
          </w:p>
        </w:tc>
        <w:tc>
          <w:tcPr>
            <w:tcW w:w="1840" w:type="dxa"/>
            <w:vAlign w:val="top"/>
          </w:tcPr>
          <w:p w14:paraId="7385B27A">
            <w:pPr>
              <w:pStyle w:val="6"/>
              <w:spacing w:before="103" w:line="188" w:lineRule="auto"/>
              <w:ind w:left="742"/>
            </w:pPr>
            <w:r>
              <w:rPr>
                <w:spacing w:val="-2"/>
              </w:rPr>
              <w:t>0.40</w:t>
            </w:r>
          </w:p>
        </w:tc>
        <w:tc>
          <w:tcPr>
            <w:tcW w:w="1940" w:type="dxa"/>
            <w:vMerge w:val="restart"/>
            <w:tcBorders>
              <w:bottom w:val="nil"/>
            </w:tcBorders>
            <w:vAlign w:val="top"/>
          </w:tcPr>
          <w:p w14:paraId="7D58E72F">
            <w:pPr>
              <w:pStyle w:val="6"/>
              <w:spacing w:before="278" w:line="188" w:lineRule="auto"/>
              <w:ind w:left="321"/>
            </w:pPr>
            <w:r>
              <w:rPr>
                <w:spacing w:val="-1"/>
              </w:rPr>
              <w:t>GB16297-1996</w:t>
            </w:r>
          </w:p>
        </w:tc>
      </w:tr>
      <w:tr w14:paraId="11A47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7" w:type="dxa"/>
            <w:vAlign w:val="top"/>
          </w:tcPr>
          <w:p w14:paraId="031D7589">
            <w:pPr>
              <w:pStyle w:val="6"/>
              <w:spacing w:before="104" w:line="188" w:lineRule="auto"/>
              <w:ind w:left="503"/>
            </w:pPr>
            <w:r>
              <w:t>NOx</w:t>
            </w:r>
          </w:p>
        </w:tc>
        <w:tc>
          <w:tcPr>
            <w:tcW w:w="3113" w:type="dxa"/>
            <w:vMerge w:val="continue"/>
            <w:tcBorders>
              <w:top w:val="nil"/>
            </w:tcBorders>
            <w:vAlign w:val="top"/>
          </w:tcPr>
          <w:p w14:paraId="5CA4B1DC">
            <w:pPr>
              <w:rPr>
                <w:rFonts w:ascii="Arial"/>
                <w:sz w:val="21"/>
              </w:rPr>
            </w:pPr>
          </w:p>
        </w:tc>
        <w:tc>
          <w:tcPr>
            <w:tcW w:w="1840" w:type="dxa"/>
            <w:vAlign w:val="top"/>
          </w:tcPr>
          <w:p w14:paraId="491047FD">
            <w:pPr>
              <w:pStyle w:val="6"/>
              <w:spacing w:before="104" w:line="188" w:lineRule="auto"/>
              <w:ind w:left="742"/>
            </w:pPr>
            <w:r>
              <w:rPr>
                <w:spacing w:val="-2"/>
              </w:rPr>
              <w:t>0.12</w:t>
            </w:r>
          </w:p>
        </w:tc>
        <w:tc>
          <w:tcPr>
            <w:tcW w:w="1940" w:type="dxa"/>
            <w:vMerge w:val="continue"/>
            <w:tcBorders>
              <w:top w:val="nil"/>
            </w:tcBorders>
            <w:vAlign w:val="top"/>
          </w:tcPr>
          <w:p w14:paraId="1CEEB4C1">
            <w:pPr>
              <w:rPr>
                <w:rFonts w:ascii="Arial"/>
                <w:sz w:val="21"/>
              </w:rPr>
            </w:pPr>
          </w:p>
        </w:tc>
      </w:tr>
    </w:tbl>
    <w:p w14:paraId="48E338FF">
      <w:pPr>
        <w:spacing w:before="234" w:line="217" w:lineRule="auto"/>
        <w:ind w:left="517"/>
        <w:rPr>
          <w:rFonts w:ascii="宋体" w:hAnsi="宋体" w:eastAsia="宋体" w:cs="宋体"/>
          <w:sz w:val="24"/>
          <w:szCs w:val="24"/>
        </w:rPr>
      </w:pPr>
      <w:r>
        <w:rPr>
          <w:rFonts w:ascii="宋体" w:hAnsi="宋体" w:eastAsia="宋体" w:cs="宋体"/>
          <w:spacing w:val="-2"/>
          <w:sz w:val="24"/>
          <w:szCs w:val="24"/>
        </w:rPr>
        <w:t>②运营期</w:t>
      </w:r>
    </w:p>
    <w:p w14:paraId="3F14EE74">
      <w:pPr>
        <w:spacing w:before="183" w:line="362" w:lineRule="auto"/>
        <w:ind w:left="45" w:right="38" w:firstLine="473"/>
        <w:rPr>
          <w:rFonts w:ascii="宋体" w:hAnsi="宋体" w:eastAsia="宋体" w:cs="宋体"/>
          <w:sz w:val="24"/>
          <w:szCs w:val="24"/>
        </w:rPr>
      </w:pPr>
      <w:r>
        <w:rPr>
          <w:rFonts w:ascii="宋体" w:hAnsi="宋体" w:eastAsia="宋体" w:cs="宋体"/>
          <w:spacing w:val="-1"/>
          <w:sz w:val="24"/>
          <w:szCs w:val="24"/>
        </w:rPr>
        <w:t>运营期</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排放标准执行《恶臭污染物排放标准</w:t>
      </w:r>
      <w:r>
        <w:rPr>
          <w:rFonts w:ascii="宋体" w:hAnsi="宋体" w:eastAsia="宋体" w:cs="宋体"/>
          <w:spacing w:val="-2"/>
          <w:sz w:val="24"/>
          <w:szCs w:val="24"/>
        </w:rPr>
        <w:t>》（</w:t>
      </w:r>
      <w:r>
        <w:rPr>
          <w:rFonts w:ascii="Times New Roman" w:hAnsi="Times New Roman" w:eastAsia="Times New Roman" w:cs="Times New Roman"/>
          <w:spacing w:val="-2"/>
          <w:sz w:val="24"/>
          <w:szCs w:val="24"/>
        </w:rPr>
        <w:t>GB14554-93</w:t>
      </w:r>
      <w:r>
        <w:rPr>
          <w:rFonts w:ascii="宋体" w:hAnsi="宋体" w:eastAsia="宋体" w:cs="宋体"/>
          <w:spacing w:val="-2"/>
          <w:sz w:val="24"/>
          <w:szCs w:val="24"/>
        </w:rPr>
        <w:t>）表</w:t>
      </w:r>
      <w:r>
        <w:rPr>
          <w:rFonts w:ascii="Times New Roman" w:hAnsi="Times New Roman" w:eastAsia="Times New Roman" w:cs="Times New Roman"/>
          <w:spacing w:val="15"/>
          <w:sz w:val="24"/>
          <w:szCs w:val="24"/>
        </w:rPr>
        <w:t>1</w:t>
      </w:r>
      <w:r>
        <w:rPr>
          <w:rFonts w:ascii="宋体" w:hAnsi="宋体" w:eastAsia="宋体" w:cs="宋体"/>
          <w:spacing w:val="15"/>
          <w:sz w:val="24"/>
          <w:szCs w:val="24"/>
        </w:rPr>
        <w:t>中二级新扩改建标准限值，臭气浓度执行</w:t>
      </w:r>
      <w:r>
        <w:rPr>
          <w:rFonts w:ascii="宋体" w:hAnsi="宋体" w:eastAsia="宋体" w:cs="宋体"/>
          <w:spacing w:val="14"/>
          <w:sz w:val="24"/>
          <w:szCs w:val="24"/>
        </w:rPr>
        <w:t>《畜禽养殖业污染物排放标准》</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GB18596-2001</w:t>
      </w:r>
      <w:r>
        <w:rPr>
          <w:rFonts w:ascii="宋体" w:hAnsi="宋体" w:eastAsia="宋体" w:cs="宋体"/>
          <w:spacing w:val="-2"/>
          <w:sz w:val="24"/>
          <w:szCs w:val="24"/>
        </w:rPr>
        <w:t>）中表</w:t>
      </w:r>
      <w:r>
        <w:rPr>
          <w:rFonts w:ascii="Times New Roman" w:hAnsi="Times New Roman" w:eastAsia="Times New Roman" w:cs="Times New Roman"/>
          <w:spacing w:val="-2"/>
          <w:sz w:val="24"/>
          <w:szCs w:val="24"/>
        </w:rPr>
        <w:t>7</w:t>
      </w:r>
      <w:r>
        <w:rPr>
          <w:rFonts w:ascii="宋体" w:hAnsi="宋体" w:eastAsia="宋体" w:cs="宋体"/>
          <w:spacing w:val="-2"/>
          <w:sz w:val="24"/>
          <w:szCs w:val="24"/>
        </w:rPr>
        <w:t>标准。</w:t>
      </w:r>
    </w:p>
    <w:p w14:paraId="57311EFC">
      <w:pPr>
        <w:spacing w:before="7" w:line="222" w:lineRule="auto"/>
        <w:ind w:left="292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1.2-11  </w:t>
      </w:r>
      <w:r>
        <w:rPr>
          <w:rFonts w:ascii="黑体" w:hAnsi="黑体" w:eastAsia="黑体" w:cs="黑体"/>
          <w:spacing w:val="-1"/>
          <w:sz w:val="21"/>
          <w:szCs w:val="21"/>
        </w:rPr>
        <w:t>臭气排放标准限值</w:t>
      </w:r>
    </w:p>
    <w:p w14:paraId="21C509D0">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699"/>
        <w:gridCol w:w="1698"/>
        <w:gridCol w:w="1558"/>
        <w:gridCol w:w="1940"/>
      </w:tblGrid>
      <w:tr w14:paraId="356B1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425" w:type="dxa"/>
            <w:vAlign w:val="top"/>
          </w:tcPr>
          <w:p w14:paraId="47D9C77D">
            <w:pPr>
              <w:spacing w:before="210" w:line="220" w:lineRule="auto"/>
              <w:ind w:left="404"/>
              <w:rPr>
                <w:rFonts w:ascii="宋体" w:hAnsi="宋体" w:eastAsia="宋体" w:cs="宋体"/>
                <w:sz w:val="21"/>
                <w:szCs w:val="21"/>
              </w:rPr>
            </w:pPr>
            <w:r>
              <w:rPr>
                <w:rFonts w:ascii="宋体" w:hAnsi="宋体" w:eastAsia="宋体" w:cs="宋体"/>
                <w:spacing w:val="-3"/>
                <w:sz w:val="21"/>
                <w:szCs w:val="21"/>
              </w:rPr>
              <w:t>污染物</w:t>
            </w:r>
          </w:p>
        </w:tc>
        <w:tc>
          <w:tcPr>
            <w:tcW w:w="1699" w:type="dxa"/>
            <w:vAlign w:val="top"/>
          </w:tcPr>
          <w:p w14:paraId="6B2D2C39">
            <w:pPr>
              <w:pStyle w:val="6"/>
              <w:spacing w:before="54" w:line="245" w:lineRule="auto"/>
              <w:ind w:left="367" w:right="218" w:hanging="142"/>
              <w:rPr>
                <w:rFonts w:ascii="宋体" w:hAnsi="宋体" w:eastAsia="宋体" w:cs="宋体"/>
              </w:rPr>
            </w:pPr>
            <w:r>
              <w:rPr>
                <w:rFonts w:ascii="宋体" w:hAnsi="宋体" w:eastAsia="宋体" w:cs="宋体"/>
                <w:spacing w:val="-2"/>
              </w:rPr>
              <w:t>厂界排放浓度</w:t>
            </w:r>
            <w:r>
              <w:rPr>
                <w:rFonts w:ascii="宋体" w:hAnsi="宋体" w:eastAsia="宋体" w:cs="宋体"/>
                <w:spacing w:val="-3"/>
              </w:rPr>
              <w:t>（</w:t>
            </w:r>
            <w:r>
              <w:rPr>
                <w:spacing w:val="-3"/>
              </w:rPr>
              <w:t>mg/m</w:t>
            </w:r>
            <w:r>
              <w:rPr>
                <w:spacing w:val="-3"/>
                <w:position w:val="1"/>
                <w:sz w:val="14"/>
                <w:szCs w:val="14"/>
              </w:rPr>
              <w:t>3</w:t>
            </w:r>
            <w:r>
              <w:rPr>
                <w:rFonts w:ascii="宋体" w:hAnsi="宋体" w:eastAsia="宋体" w:cs="宋体"/>
                <w:spacing w:val="-3"/>
                <w:position w:val="1"/>
              </w:rPr>
              <w:t>）</w:t>
            </w:r>
          </w:p>
        </w:tc>
        <w:tc>
          <w:tcPr>
            <w:tcW w:w="1698" w:type="dxa"/>
            <w:vAlign w:val="top"/>
          </w:tcPr>
          <w:p w14:paraId="413BF028">
            <w:pPr>
              <w:pStyle w:val="6"/>
              <w:spacing w:before="55" w:line="249" w:lineRule="auto"/>
              <w:ind w:left="462" w:right="426" w:hanging="28"/>
              <w:rPr>
                <w:rFonts w:ascii="宋体" w:hAnsi="宋体" w:eastAsia="宋体" w:cs="宋体"/>
              </w:rPr>
            </w:pPr>
            <w:r>
              <w:rPr>
                <w:rFonts w:ascii="宋体" w:hAnsi="宋体" w:eastAsia="宋体" w:cs="宋体"/>
                <w:spacing w:val="-3"/>
              </w:rPr>
              <w:t>排放速率（</w:t>
            </w:r>
            <w:r>
              <w:rPr>
                <w:spacing w:val="-3"/>
              </w:rPr>
              <w:t>kg/h</w:t>
            </w:r>
            <w:r>
              <w:rPr>
                <w:rFonts w:ascii="宋体" w:hAnsi="宋体" w:eastAsia="宋体" w:cs="宋体"/>
                <w:spacing w:val="-3"/>
              </w:rPr>
              <w:t>）</w:t>
            </w:r>
          </w:p>
        </w:tc>
        <w:tc>
          <w:tcPr>
            <w:tcW w:w="1558" w:type="dxa"/>
            <w:vAlign w:val="top"/>
          </w:tcPr>
          <w:p w14:paraId="3EA430BF">
            <w:pPr>
              <w:spacing w:before="54" w:line="220" w:lineRule="auto"/>
              <w:ind w:left="260"/>
              <w:rPr>
                <w:rFonts w:ascii="宋体" w:hAnsi="宋体" w:eastAsia="宋体" w:cs="宋体"/>
                <w:sz w:val="21"/>
                <w:szCs w:val="21"/>
              </w:rPr>
            </w:pPr>
            <w:r>
              <w:rPr>
                <w:rFonts w:ascii="宋体" w:hAnsi="宋体" w:eastAsia="宋体" w:cs="宋体"/>
                <w:spacing w:val="-2"/>
                <w:sz w:val="21"/>
                <w:szCs w:val="21"/>
              </w:rPr>
              <w:t>排气筒高度</w:t>
            </w:r>
          </w:p>
          <w:p w14:paraId="65C21E6A">
            <w:pPr>
              <w:pStyle w:val="6"/>
              <w:spacing w:before="61" w:line="225" w:lineRule="auto"/>
              <w:ind w:left="500"/>
              <w:rPr>
                <w:rFonts w:ascii="宋体" w:hAnsi="宋体" w:eastAsia="宋体" w:cs="宋体"/>
              </w:rPr>
            </w:pPr>
            <w:r>
              <w:rPr>
                <w:rFonts w:ascii="宋体" w:hAnsi="宋体" w:eastAsia="宋体" w:cs="宋体"/>
                <w:spacing w:val="-5"/>
              </w:rPr>
              <w:t>（</w:t>
            </w:r>
            <w:r>
              <w:rPr>
                <w:spacing w:val="-5"/>
              </w:rPr>
              <w:t>m</w:t>
            </w:r>
            <w:r>
              <w:rPr>
                <w:rFonts w:ascii="宋体" w:hAnsi="宋体" w:eastAsia="宋体" w:cs="宋体"/>
                <w:spacing w:val="-5"/>
              </w:rPr>
              <w:t>）</w:t>
            </w:r>
          </w:p>
        </w:tc>
        <w:tc>
          <w:tcPr>
            <w:tcW w:w="1940" w:type="dxa"/>
            <w:vAlign w:val="top"/>
          </w:tcPr>
          <w:p w14:paraId="69C5DBC9">
            <w:pPr>
              <w:spacing w:before="210" w:line="220" w:lineRule="auto"/>
              <w:ind w:left="556"/>
              <w:rPr>
                <w:rFonts w:ascii="宋体" w:hAnsi="宋体" w:eastAsia="宋体" w:cs="宋体"/>
                <w:sz w:val="21"/>
                <w:szCs w:val="21"/>
              </w:rPr>
            </w:pPr>
            <w:r>
              <w:rPr>
                <w:rFonts w:ascii="宋体" w:hAnsi="宋体" w:eastAsia="宋体" w:cs="宋体"/>
                <w:spacing w:val="-2"/>
                <w:sz w:val="21"/>
                <w:szCs w:val="21"/>
              </w:rPr>
              <w:t>标准来源</w:t>
            </w:r>
          </w:p>
        </w:tc>
      </w:tr>
      <w:tr w14:paraId="4E12D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25" w:type="dxa"/>
            <w:vAlign w:val="top"/>
          </w:tcPr>
          <w:p w14:paraId="12969773">
            <w:pPr>
              <w:pStyle w:val="6"/>
              <w:spacing w:before="105" w:line="195" w:lineRule="auto"/>
              <w:ind w:left="520"/>
              <w:rPr>
                <w:sz w:val="14"/>
                <w:szCs w:val="14"/>
              </w:rPr>
            </w:pPr>
            <w:r>
              <w:t>NH</w:t>
            </w:r>
            <w:r>
              <w:rPr>
                <w:spacing w:val="1"/>
                <w:position w:val="-2"/>
                <w:sz w:val="14"/>
                <w:szCs w:val="14"/>
              </w:rPr>
              <w:t>3</w:t>
            </w:r>
          </w:p>
        </w:tc>
        <w:tc>
          <w:tcPr>
            <w:tcW w:w="1699" w:type="dxa"/>
            <w:vAlign w:val="top"/>
          </w:tcPr>
          <w:p w14:paraId="7E8DD282">
            <w:pPr>
              <w:pStyle w:val="6"/>
              <w:spacing w:before="102" w:line="188" w:lineRule="auto"/>
              <w:ind w:left="737"/>
            </w:pPr>
            <w:r>
              <w:rPr>
                <w:spacing w:val="-9"/>
              </w:rPr>
              <w:t>1.5</w:t>
            </w:r>
          </w:p>
        </w:tc>
        <w:tc>
          <w:tcPr>
            <w:tcW w:w="1698" w:type="dxa"/>
            <w:vAlign w:val="top"/>
          </w:tcPr>
          <w:p w14:paraId="16157876">
            <w:pPr>
              <w:pStyle w:val="6"/>
              <w:spacing w:before="102" w:line="188" w:lineRule="auto"/>
              <w:ind w:left="717"/>
            </w:pPr>
            <w:r>
              <w:rPr>
                <w:spacing w:val="-1"/>
              </w:rPr>
              <w:t>4.9</w:t>
            </w:r>
          </w:p>
        </w:tc>
        <w:tc>
          <w:tcPr>
            <w:tcW w:w="1558" w:type="dxa"/>
            <w:vMerge w:val="restart"/>
            <w:tcBorders>
              <w:bottom w:val="nil"/>
            </w:tcBorders>
            <w:vAlign w:val="top"/>
          </w:tcPr>
          <w:p w14:paraId="23F10D42">
            <w:pPr>
              <w:pStyle w:val="6"/>
              <w:spacing w:before="277" w:line="188" w:lineRule="auto"/>
              <w:ind w:left="697"/>
            </w:pPr>
            <w:r>
              <w:rPr>
                <w:spacing w:val="-6"/>
              </w:rPr>
              <w:t>15</w:t>
            </w:r>
          </w:p>
        </w:tc>
        <w:tc>
          <w:tcPr>
            <w:tcW w:w="1940" w:type="dxa"/>
            <w:vMerge w:val="restart"/>
            <w:tcBorders>
              <w:bottom w:val="nil"/>
            </w:tcBorders>
            <w:vAlign w:val="top"/>
          </w:tcPr>
          <w:p w14:paraId="4912EA74">
            <w:pPr>
              <w:pStyle w:val="6"/>
              <w:spacing w:before="277" w:line="188" w:lineRule="auto"/>
              <w:ind w:left="426"/>
            </w:pPr>
            <w:r>
              <w:rPr>
                <w:spacing w:val="-1"/>
              </w:rPr>
              <w:t>GB14554-93</w:t>
            </w:r>
          </w:p>
        </w:tc>
      </w:tr>
      <w:tr w14:paraId="12DA0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25" w:type="dxa"/>
            <w:vAlign w:val="top"/>
          </w:tcPr>
          <w:p w14:paraId="003232B6">
            <w:pPr>
              <w:pStyle w:val="6"/>
              <w:spacing w:before="103" w:line="198" w:lineRule="auto"/>
              <w:ind w:left="544"/>
            </w:pPr>
            <w:r>
              <w:rPr>
                <w:spacing w:val="-2"/>
              </w:rPr>
              <w:t>H</w:t>
            </w:r>
            <w:r>
              <w:rPr>
                <w:spacing w:val="-2"/>
                <w:position w:val="-2"/>
                <w:sz w:val="14"/>
                <w:szCs w:val="14"/>
              </w:rPr>
              <w:t>2</w:t>
            </w:r>
            <w:r>
              <w:rPr>
                <w:spacing w:val="-2"/>
              </w:rPr>
              <w:t>S</w:t>
            </w:r>
          </w:p>
        </w:tc>
        <w:tc>
          <w:tcPr>
            <w:tcW w:w="1699" w:type="dxa"/>
            <w:vAlign w:val="top"/>
          </w:tcPr>
          <w:p w14:paraId="37764B9E">
            <w:pPr>
              <w:pStyle w:val="6"/>
              <w:spacing w:before="103" w:line="188" w:lineRule="auto"/>
              <w:ind w:left="668"/>
            </w:pPr>
            <w:r>
              <w:rPr>
                <w:spacing w:val="-2"/>
              </w:rPr>
              <w:t>0.06</w:t>
            </w:r>
          </w:p>
        </w:tc>
        <w:tc>
          <w:tcPr>
            <w:tcW w:w="1698" w:type="dxa"/>
            <w:vAlign w:val="top"/>
          </w:tcPr>
          <w:p w14:paraId="166FC611">
            <w:pPr>
              <w:pStyle w:val="6"/>
              <w:spacing w:before="103" w:line="188" w:lineRule="auto"/>
              <w:ind w:left="670"/>
            </w:pPr>
            <w:r>
              <w:rPr>
                <w:spacing w:val="-2"/>
              </w:rPr>
              <w:t>0.33</w:t>
            </w:r>
          </w:p>
        </w:tc>
        <w:tc>
          <w:tcPr>
            <w:tcW w:w="1558" w:type="dxa"/>
            <w:vMerge w:val="continue"/>
            <w:tcBorders>
              <w:top w:val="nil"/>
            </w:tcBorders>
            <w:vAlign w:val="top"/>
          </w:tcPr>
          <w:p w14:paraId="6ED47327">
            <w:pPr>
              <w:rPr>
                <w:rFonts w:ascii="Arial"/>
                <w:sz w:val="21"/>
              </w:rPr>
            </w:pPr>
          </w:p>
        </w:tc>
        <w:tc>
          <w:tcPr>
            <w:tcW w:w="1940" w:type="dxa"/>
            <w:vMerge w:val="continue"/>
            <w:tcBorders>
              <w:top w:val="nil"/>
            </w:tcBorders>
            <w:vAlign w:val="top"/>
          </w:tcPr>
          <w:p w14:paraId="42CC9A87">
            <w:pPr>
              <w:rPr>
                <w:rFonts w:ascii="Arial"/>
                <w:sz w:val="21"/>
              </w:rPr>
            </w:pPr>
          </w:p>
        </w:tc>
      </w:tr>
      <w:tr w14:paraId="0D207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5" w:type="dxa"/>
            <w:vAlign w:val="top"/>
          </w:tcPr>
          <w:p w14:paraId="1639F285">
            <w:pPr>
              <w:spacing w:before="67" w:line="220" w:lineRule="auto"/>
              <w:ind w:left="298"/>
              <w:rPr>
                <w:rFonts w:ascii="宋体" w:hAnsi="宋体" w:eastAsia="宋体" w:cs="宋体"/>
                <w:sz w:val="21"/>
                <w:szCs w:val="21"/>
              </w:rPr>
            </w:pPr>
            <w:r>
              <w:rPr>
                <w:rFonts w:ascii="宋体" w:hAnsi="宋体" w:eastAsia="宋体" w:cs="宋体"/>
                <w:spacing w:val="-2"/>
                <w:sz w:val="21"/>
                <w:szCs w:val="21"/>
              </w:rPr>
              <w:t>臭气浓度</w:t>
            </w:r>
          </w:p>
        </w:tc>
        <w:tc>
          <w:tcPr>
            <w:tcW w:w="4955" w:type="dxa"/>
            <w:gridSpan w:val="3"/>
            <w:vAlign w:val="top"/>
          </w:tcPr>
          <w:p w14:paraId="6D07EDEF">
            <w:pPr>
              <w:pStyle w:val="6"/>
              <w:spacing w:before="68" w:line="220" w:lineRule="auto"/>
              <w:ind w:left="1851"/>
              <w:rPr>
                <w:rFonts w:ascii="宋体" w:hAnsi="宋体" w:eastAsia="宋体" w:cs="宋体"/>
              </w:rPr>
            </w:pPr>
            <w:r>
              <w:rPr>
                <w:spacing w:val="-3"/>
              </w:rPr>
              <w:t>70</w:t>
            </w:r>
            <w:r>
              <w:rPr>
                <w:rFonts w:ascii="宋体" w:hAnsi="宋体" w:eastAsia="宋体" w:cs="宋体"/>
                <w:spacing w:val="-3"/>
              </w:rPr>
              <w:t>（无量纲）</w:t>
            </w:r>
          </w:p>
        </w:tc>
        <w:tc>
          <w:tcPr>
            <w:tcW w:w="1940" w:type="dxa"/>
            <w:vAlign w:val="top"/>
          </w:tcPr>
          <w:p w14:paraId="58674077">
            <w:pPr>
              <w:pStyle w:val="6"/>
              <w:spacing w:before="104" w:line="188" w:lineRule="auto"/>
              <w:ind w:left="321"/>
            </w:pPr>
            <w:r>
              <w:rPr>
                <w:spacing w:val="-1"/>
              </w:rPr>
              <w:t>GB18596-2001</w:t>
            </w:r>
          </w:p>
        </w:tc>
      </w:tr>
    </w:tbl>
    <w:p w14:paraId="4652CACC">
      <w:pPr>
        <w:spacing w:before="236" w:line="358" w:lineRule="auto"/>
        <w:ind w:left="40" w:right="29" w:firstLine="479"/>
        <w:jc w:val="both"/>
        <w:rPr>
          <w:rFonts w:ascii="宋体" w:hAnsi="宋体" w:eastAsia="宋体" w:cs="宋体"/>
          <w:sz w:val="24"/>
          <w:szCs w:val="24"/>
        </w:rPr>
      </w:pPr>
      <w:r>
        <w:rPr>
          <w:rFonts w:ascii="宋体" w:hAnsi="宋体" w:eastAsia="宋体" w:cs="宋体"/>
          <w:spacing w:val="4"/>
          <w:sz w:val="24"/>
          <w:szCs w:val="24"/>
        </w:rPr>
        <w:t>根据原国家环境保护总局《关于柴油发电机排气执行标准的复函》（环函</w:t>
      </w:r>
      <w:r>
        <w:rPr>
          <w:rFonts w:ascii="Times New Roman" w:hAnsi="Times New Roman" w:eastAsia="Times New Roman" w:cs="Times New Roman"/>
          <w:spacing w:val="-5"/>
          <w:sz w:val="24"/>
          <w:szCs w:val="24"/>
        </w:rPr>
        <w:t>[</w:t>
      </w:r>
      <w:r>
        <w:fldChar w:fldCharType="begin"/>
      </w:r>
      <w:r>
        <w:instrText xml:space="preserve"> HYPERLINK \l "bookmark99" </w:instrText>
      </w:r>
      <w:r>
        <w:fldChar w:fldCharType="separate"/>
      </w:r>
      <w:r>
        <w:rPr>
          <w:rFonts w:ascii="Times New Roman" w:hAnsi="Times New Roman" w:eastAsia="Times New Roman" w:cs="Times New Roman"/>
          <w:spacing w:val="-5"/>
          <w:sz w:val="24"/>
          <w:szCs w:val="24"/>
        </w:rPr>
        <w:t>2005</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]350</w:t>
      </w:r>
      <w:r>
        <w:rPr>
          <w:rFonts w:ascii="宋体" w:hAnsi="宋体" w:eastAsia="宋体" w:cs="宋体"/>
          <w:spacing w:val="-5"/>
          <w:sz w:val="24"/>
          <w:szCs w:val="24"/>
        </w:rPr>
        <w:t>号</w:t>
      </w:r>
      <w:r>
        <w:rPr>
          <w:rFonts w:ascii="宋体" w:hAnsi="宋体" w:eastAsia="宋体" w:cs="宋体"/>
          <w:spacing w:val="-31"/>
          <w:sz w:val="24"/>
          <w:szCs w:val="24"/>
        </w:rPr>
        <w:t>），</w:t>
      </w:r>
      <w:r>
        <w:rPr>
          <w:rFonts w:ascii="宋体" w:hAnsi="宋体" w:eastAsia="宋体" w:cs="宋体"/>
          <w:spacing w:val="-5"/>
          <w:sz w:val="24"/>
          <w:szCs w:val="24"/>
        </w:rPr>
        <w:t>柴油发电机排放的</w:t>
      </w:r>
      <w:r>
        <w:rPr>
          <w:rFonts w:ascii="Times New Roman" w:hAnsi="Times New Roman" w:eastAsia="Times New Roman" w:cs="Times New Roman"/>
          <w:spacing w:val="-5"/>
          <w:sz w:val="24"/>
          <w:szCs w:val="24"/>
        </w:rPr>
        <w:t>SO</w:t>
      </w:r>
      <w:r>
        <w:rPr>
          <w:rFonts w:ascii="Times New Roman" w:hAnsi="Times New Roman" w:eastAsia="Times New Roman" w:cs="Times New Roman"/>
          <w:spacing w:val="-5"/>
          <w:position w:val="-2"/>
          <w:sz w:val="15"/>
          <w:szCs w:val="15"/>
        </w:rPr>
        <w:t>2</w:t>
      </w:r>
      <w:r>
        <w:rPr>
          <w:rFonts w:ascii="宋体" w:hAnsi="宋体" w:eastAsia="宋体" w:cs="宋体"/>
          <w:spacing w:val="-5"/>
          <w:sz w:val="24"/>
          <w:szCs w:val="24"/>
        </w:rPr>
        <w:t>、</w:t>
      </w:r>
      <w:r>
        <w:rPr>
          <w:rFonts w:ascii="Times New Roman" w:hAnsi="Times New Roman" w:eastAsia="Times New Roman" w:cs="Times New Roman"/>
          <w:spacing w:val="-5"/>
          <w:sz w:val="24"/>
          <w:szCs w:val="24"/>
        </w:rPr>
        <w:t>N</w:t>
      </w:r>
      <w:r>
        <w:rPr>
          <w:rFonts w:ascii="Times New Roman" w:hAnsi="Times New Roman" w:eastAsia="Times New Roman" w:cs="Times New Roman"/>
          <w:spacing w:val="-6"/>
          <w:sz w:val="24"/>
          <w:szCs w:val="24"/>
        </w:rPr>
        <w:t>Ox</w:t>
      </w:r>
      <w:r>
        <w:rPr>
          <w:rFonts w:ascii="宋体" w:hAnsi="宋体" w:eastAsia="宋体" w:cs="宋体"/>
          <w:spacing w:val="-6"/>
          <w:sz w:val="24"/>
          <w:szCs w:val="24"/>
        </w:rPr>
        <w:t>、烟气（颗粒物）排放标准执行《大</w:t>
      </w:r>
      <w:r>
        <w:rPr>
          <w:rFonts w:ascii="宋体" w:hAnsi="宋体" w:eastAsia="宋体" w:cs="宋体"/>
          <w:spacing w:val="-1"/>
          <w:sz w:val="24"/>
          <w:szCs w:val="24"/>
        </w:rPr>
        <w:t>气污染物综合排放标准》（</w:t>
      </w:r>
      <w:r>
        <w:rPr>
          <w:rFonts w:ascii="Times New Roman" w:hAnsi="Times New Roman" w:eastAsia="Times New Roman" w:cs="Times New Roman"/>
          <w:spacing w:val="-1"/>
          <w:sz w:val="24"/>
          <w:szCs w:val="24"/>
        </w:rPr>
        <w:t>GB16297-1</w:t>
      </w:r>
      <w:r>
        <w:rPr>
          <w:rFonts w:ascii="Times New Roman" w:hAnsi="Times New Roman" w:eastAsia="Times New Roman" w:cs="Times New Roman"/>
          <w:spacing w:val="-2"/>
          <w:sz w:val="24"/>
          <w:szCs w:val="24"/>
        </w:rPr>
        <w:t>996</w:t>
      </w:r>
      <w:r>
        <w:rPr>
          <w:rFonts w:ascii="宋体" w:hAnsi="宋体" w:eastAsia="宋体" w:cs="宋体"/>
          <w:spacing w:val="-2"/>
          <w:sz w:val="24"/>
          <w:szCs w:val="24"/>
        </w:rPr>
        <w:t>）中相应标准。</w:t>
      </w:r>
    </w:p>
    <w:p w14:paraId="0FB4D63E">
      <w:pPr>
        <w:spacing w:before="20" w:line="222" w:lineRule="auto"/>
        <w:ind w:left="261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1.2-12  </w:t>
      </w:r>
      <w:r>
        <w:rPr>
          <w:rFonts w:ascii="黑体" w:hAnsi="黑体" w:eastAsia="黑体" w:cs="黑体"/>
          <w:spacing w:val="-1"/>
          <w:sz w:val="21"/>
          <w:szCs w:val="21"/>
        </w:rPr>
        <w:t>大气污染物综合排放标准</w:t>
      </w:r>
    </w:p>
    <w:p w14:paraId="35837F9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1840"/>
        <w:gridCol w:w="1698"/>
        <w:gridCol w:w="1558"/>
        <w:gridCol w:w="1940"/>
      </w:tblGrid>
      <w:tr w14:paraId="4B93E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84" w:type="dxa"/>
            <w:vMerge w:val="restart"/>
            <w:tcBorders>
              <w:bottom w:val="nil"/>
            </w:tcBorders>
            <w:vAlign w:val="top"/>
          </w:tcPr>
          <w:p w14:paraId="480E893A">
            <w:pPr>
              <w:spacing w:before="243" w:line="220" w:lineRule="auto"/>
              <w:ind w:left="333"/>
              <w:rPr>
                <w:rFonts w:ascii="宋体" w:hAnsi="宋体" w:eastAsia="宋体" w:cs="宋体"/>
                <w:sz w:val="21"/>
                <w:szCs w:val="21"/>
              </w:rPr>
            </w:pPr>
            <w:r>
              <w:rPr>
                <w:rFonts w:ascii="宋体" w:hAnsi="宋体" w:eastAsia="宋体" w:cs="宋体"/>
                <w:spacing w:val="-3"/>
                <w:sz w:val="21"/>
                <w:szCs w:val="21"/>
              </w:rPr>
              <w:t>污染物</w:t>
            </w:r>
          </w:p>
        </w:tc>
        <w:tc>
          <w:tcPr>
            <w:tcW w:w="1840" w:type="dxa"/>
            <w:vMerge w:val="restart"/>
            <w:tcBorders>
              <w:bottom w:val="nil"/>
            </w:tcBorders>
            <w:vAlign w:val="top"/>
          </w:tcPr>
          <w:p w14:paraId="25826F4C">
            <w:pPr>
              <w:spacing w:before="86" w:line="220" w:lineRule="auto"/>
              <w:ind w:left="87"/>
              <w:rPr>
                <w:rFonts w:ascii="宋体" w:hAnsi="宋体" w:eastAsia="宋体" w:cs="宋体"/>
                <w:sz w:val="21"/>
                <w:szCs w:val="21"/>
              </w:rPr>
            </w:pPr>
            <w:r>
              <w:rPr>
                <w:rFonts w:ascii="宋体" w:hAnsi="宋体" w:eastAsia="宋体" w:cs="宋体"/>
                <w:spacing w:val="-2"/>
                <w:sz w:val="21"/>
                <w:szCs w:val="21"/>
              </w:rPr>
              <w:t>最高允许排放浓度</w:t>
            </w:r>
          </w:p>
          <w:p w14:paraId="0029CAEA">
            <w:pPr>
              <w:pStyle w:val="6"/>
              <w:spacing w:before="46" w:line="217" w:lineRule="auto"/>
              <w:ind w:left="439"/>
              <w:rPr>
                <w:rFonts w:ascii="宋体" w:hAnsi="宋体" w:eastAsia="宋体" w:cs="宋体"/>
              </w:rPr>
            </w:pPr>
            <w:r>
              <w:rPr>
                <w:rFonts w:ascii="宋体" w:hAnsi="宋体" w:eastAsia="宋体" w:cs="宋体"/>
                <w:spacing w:val="-3"/>
              </w:rPr>
              <w:t>（</w:t>
            </w:r>
            <w:r>
              <w:rPr>
                <w:spacing w:val="-3"/>
              </w:rPr>
              <w:t>mg/m</w:t>
            </w:r>
            <w:r>
              <w:rPr>
                <w:spacing w:val="-3"/>
                <w:position w:val="1"/>
                <w:sz w:val="14"/>
                <w:szCs w:val="14"/>
              </w:rPr>
              <w:t>3</w:t>
            </w:r>
            <w:r>
              <w:rPr>
                <w:rFonts w:ascii="宋体" w:hAnsi="宋体" w:eastAsia="宋体" w:cs="宋体"/>
                <w:spacing w:val="-3"/>
                <w:position w:val="1"/>
              </w:rPr>
              <w:t>）</w:t>
            </w:r>
          </w:p>
        </w:tc>
        <w:tc>
          <w:tcPr>
            <w:tcW w:w="3256" w:type="dxa"/>
            <w:gridSpan w:val="2"/>
            <w:vAlign w:val="top"/>
          </w:tcPr>
          <w:p w14:paraId="3D809D0E">
            <w:pPr>
              <w:pStyle w:val="6"/>
              <w:spacing w:before="69" w:line="212" w:lineRule="auto"/>
              <w:ind w:left="400"/>
              <w:rPr>
                <w:rFonts w:ascii="宋体" w:hAnsi="宋体" w:eastAsia="宋体" w:cs="宋体"/>
              </w:rPr>
            </w:pPr>
            <w:r>
              <w:rPr>
                <w:rFonts w:ascii="宋体" w:hAnsi="宋体" w:eastAsia="宋体" w:cs="宋体"/>
                <w:spacing w:val="-1"/>
              </w:rPr>
              <w:t>最高允许排放速率（</w:t>
            </w:r>
            <w:r>
              <w:rPr>
                <w:spacing w:val="-1"/>
              </w:rPr>
              <w:t>kg/h</w:t>
            </w:r>
            <w:r>
              <w:rPr>
                <w:rFonts w:ascii="宋体" w:hAnsi="宋体" w:eastAsia="宋体" w:cs="宋体"/>
                <w:spacing w:val="-1"/>
              </w:rPr>
              <w:t>）</w:t>
            </w:r>
          </w:p>
        </w:tc>
        <w:tc>
          <w:tcPr>
            <w:tcW w:w="1940" w:type="dxa"/>
            <w:vMerge w:val="restart"/>
            <w:tcBorders>
              <w:bottom w:val="nil"/>
            </w:tcBorders>
            <w:vAlign w:val="top"/>
          </w:tcPr>
          <w:p w14:paraId="25BE9C63">
            <w:pPr>
              <w:spacing w:before="242" w:line="220" w:lineRule="auto"/>
              <w:ind w:left="556"/>
              <w:rPr>
                <w:rFonts w:ascii="宋体" w:hAnsi="宋体" w:eastAsia="宋体" w:cs="宋体"/>
                <w:sz w:val="21"/>
                <w:szCs w:val="21"/>
              </w:rPr>
            </w:pPr>
            <w:r>
              <w:rPr>
                <w:rFonts w:ascii="宋体" w:hAnsi="宋体" w:eastAsia="宋体" w:cs="宋体"/>
                <w:spacing w:val="-2"/>
                <w:sz w:val="21"/>
                <w:szCs w:val="21"/>
              </w:rPr>
              <w:t>标准来源</w:t>
            </w:r>
          </w:p>
        </w:tc>
      </w:tr>
      <w:tr w14:paraId="436A0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84" w:type="dxa"/>
            <w:vMerge w:val="continue"/>
            <w:tcBorders>
              <w:top w:val="nil"/>
            </w:tcBorders>
            <w:vAlign w:val="top"/>
          </w:tcPr>
          <w:p w14:paraId="544FD208">
            <w:pPr>
              <w:rPr>
                <w:rFonts w:ascii="Arial"/>
                <w:sz w:val="21"/>
              </w:rPr>
            </w:pPr>
          </w:p>
        </w:tc>
        <w:tc>
          <w:tcPr>
            <w:tcW w:w="1840" w:type="dxa"/>
            <w:vMerge w:val="continue"/>
            <w:tcBorders>
              <w:top w:val="nil"/>
            </w:tcBorders>
            <w:vAlign w:val="top"/>
          </w:tcPr>
          <w:p w14:paraId="035326E8">
            <w:pPr>
              <w:rPr>
                <w:rFonts w:ascii="Arial"/>
                <w:sz w:val="21"/>
              </w:rPr>
            </w:pPr>
          </w:p>
        </w:tc>
        <w:tc>
          <w:tcPr>
            <w:tcW w:w="1698" w:type="dxa"/>
            <w:vAlign w:val="top"/>
          </w:tcPr>
          <w:p w14:paraId="6F6F77B3">
            <w:pPr>
              <w:pStyle w:val="6"/>
              <w:spacing w:before="64" w:line="220" w:lineRule="auto"/>
              <w:ind w:left="37"/>
              <w:rPr>
                <w:rFonts w:ascii="宋体" w:hAnsi="宋体" w:eastAsia="宋体" w:cs="宋体"/>
              </w:rPr>
            </w:pPr>
            <w:r>
              <w:rPr>
                <w:rFonts w:ascii="宋体" w:hAnsi="宋体" w:eastAsia="宋体" w:cs="宋体"/>
                <w:spacing w:val="-1"/>
              </w:rPr>
              <w:t>排气筒高度（</w:t>
            </w:r>
            <w:r>
              <w:rPr>
                <w:spacing w:val="-1"/>
              </w:rPr>
              <w:t>m</w:t>
            </w:r>
            <w:r>
              <w:rPr>
                <w:rFonts w:ascii="宋体" w:hAnsi="宋体" w:eastAsia="宋体" w:cs="宋体"/>
                <w:spacing w:val="-1"/>
              </w:rPr>
              <w:t>）</w:t>
            </w:r>
          </w:p>
        </w:tc>
        <w:tc>
          <w:tcPr>
            <w:tcW w:w="1558" w:type="dxa"/>
            <w:vAlign w:val="top"/>
          </w:tcPr>
          <w:p w14:paraId="0D443612">
            <w:pPr>
              <w:spacing w:before="64" w:line="222" w:lineRule="auto"/>
              <w:ind w:left="579"/>
              <w:rPr>
                <w:rFonts w:ascii="宋体" w:hAnsi="宋体" w:eastAsia="宋体" w:cs="宋体"/>
                <w:sz w:val="21"/>
                <w:szCs w:val="21"/>
              </w:rPr>
            </w:pPr>
            <w:r>
              <w:rPr>
                <w:rFonts w:ascii="宋体" w:hAnsi="宋体" w:eastAsia="宋体" w:cs="宋体"/>
                <w:spacing w:val="-3"/>
                <w:sz w:val="21"/>
                <w:szCs w:val="21"/>
              </w:rPr>
              <w:t>二级</w:t>
            </w:r>
          </w:p>
        </w:tc>
        <w:tc>
          <w:tcPr>
            <w:tcW w:w="1940" w:type="dxa"/>
            <w:vMerge w:val="continue"/>
            <w:tcBorders>
              <w:top w:val="nil"/>
            </w:tcBorders>
            <w:vAlign w:val="top"/>
          </w:tcPr>
          <w:p w14:paraId="0812EDFD">
            <w:pPr>
              <w:rPr>
                <w:rFonts w:ascii="Arial"/>
                <w:sz w:val="21"/>
              </w:rPr>
            </w:pPr>
          </w:p>
        </w:tc>
      </w:tr>
      <w:tr w14:paraId="7AB13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84" w:type="dxa"/>
            <w:vAlign w:val="top"/>
          </w:tcPr>
          <w:p w14:paraId="5B838845">
            <w:pPr>
              <w:pStyle w:val="6"/>
              <w:spacing w:before="103" w:line="198" w:lineRule="auto"/>
              <w:ind w:left="483"/>
              <w:rPr>
                <w:sz w:val="14"/>
                <w:szCs w:val="14"/>
              </w:rPr>
            </w:pPr>
            <w:r>
              <w:rPr>
                <w:spacing w:val="-5"/>
              </w:rPr>
              <w:t>SO</w:t>
            </w:r>
            <w:r>
              <w:rPr>
                <w:spacing w:val="-5"/>
                <w:position w:val="-2"/>
                <w:sz w:val="14"/>
                <w:szCs w:val="14"/>
              </w:rPr>
              <w:t>2</w:t>
            </w:r>
          </w:p>
        </w:tc>
        <w:tc>
          <w:tcPr>
            <w:tcW w:w="1840" w:type="dxa"/>
            <w:vAlign w:val="top"/>
          </w:tcPr>
          <w:p w14:paraId="6FB92073">
            <w:pPr>
              <w:pStyle w:val="6"/>
              <w:spacing w:before="103" w:line="188" w:lineRule="auto"/>
              <w:ind w:left="769"/>
            </w:pPr>
            <w:r>
              <w:rPr>
                <w:spacing w:val="-4"/>
              </w:rPr>
              <w:t>550</w:t>
            </w:r>
          </w:p>
        </w:tc>
        <w:tc>
          <w:tcPr>
            <w:tcW w:w="1698" w:type="dxa"/>
            <w:vAlign w:val="top"/>
          </w:tcPr>
          <w:p w14:paraId="4817AC7B">
            <w:pPr>
              <w:pStyle w:val="6"/>
              <w:spacing w:before="103" w:line="188" w:lineRule="auto"/>
              <w:ind w:left="765"/>
            </w:pPr>
            <w:r>
              <w:rPr>
                <w:spacing w:val="-12"/>
              </w:rPr>
              <w:t>15</w:t>
            </w:r>
          </w:p>
        </w:tc>
        <w:tc>
          <w:tcPr>
            <w:tcW w:w="1558" w:type="dxa"/>
            <w:vAlign w:val="top"/>
          </w:tcPr>
          <w:p w14:paraId="77FFE18F">
            <w:pPr>
              <w:pStyle w:val="6"/>
              <w:spacing w:before="103" w:line="188" w:lineRule="auto"/>
              <w:ind w:left="650"/>
            </w:pPr>
            <w:r>
              <w:rPr>
                <w:spacing w:val="-2"/>
              </w:rPr>
              <w:t>2.6</w:t>
            </w:r>
          </w:p>
        </w:tc>
        <w:tc>
          <w:tcPr>
            <w:tcW w:w="1940" w:type="dxa"/>
            <w:vMerge w:val="restart"/>
            <w:tcBorders>
              <w:bottom w:val="nil"/>
            </w:tcBorders>
            <w:vAlign w:val="top"/>
          </w:tcPr>
          <w:p w14:paraId="2B1E7CFF">
            <w:pPr>
              <w:spacing w:line="390" w:lineRule="auto"/>
              <w:rPr>
                <w:rFonts w:ascii="Arial"/>
                <w:sz w:val="21"/>
              </w:rPr>
            </w:pPr>
          </w:p>
          <w:p w14:paraId="23BC7FA3">
            <w:pPr>
              <w:pStyle w:val="6"/>
              <w:spacing w:before="61" w:line="188" w:lineRule="auto"/>
              <w:ind w:left="321"/>
            </w:pPr>
            <w:r>
              <w:rPr>
                <w:spacing w:val="-1"/>
              </w:rPr>
              <w:t>GB16297-1996</w:t>
            </w:r>
          </w:p>
        </w:tc>
      </w:tr>
      <w:tr w14:paraId="0F947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284" w:type="dxa"/>
            <w:vAlign w:val="top"/>
          </w:tcPr>
          <w:p w14:paraId="6CAD7D76">
            <w:pPr>
              <w:pStyle w:val="6"/>
              <w:spacing w:before="103" w:line="188" w:lineRule="auto"/>
              <w:ind w:left="432"/>
            </w:pPr>
            <w:r>
              <w:t>NOx</w:t>
            </w:r>
          </w:p>
        </w:tc>
        <w:tc>
          <w:tcPr>
            <w:tcW w:w="1840" w:type="dxa"/>
            <w:vAlign w:val="top"/>
          </w:tcPr>
          <w:p w14:paraId="50693570">
            <w:pPr>
              <w:pStyle w:val="6"/>
              <w:spacing w:before="103" w:line="188" w:lineRule="auto"/>
              <w:ind w:left="763"/>
            </w:pPr>
            <w:r>
              <w:rPr>
                <w:spacing w:val="-2"/>
              </w:rPr>
              <w:t>240</w:t>
            </w:r>
          </w:p>
        </w:tc>
        <w:tc>
          <w:tcPr>
            <w:tcW w:w="1698" w:type="dxa"/>
            <w:vAlign w:val="top"/>
          </w:tcPr>
          <w:p w14:paraId="7575AB44">
            <w:pPr>
              <w:pStyle w:val="6"/>
              <w:spacing w:before="103" w:line="188" w:lineRule="auto"/>
              <w:ind w:left="765"/>
            </w:pPr>
            <w:r>
              <w:rPr>
                <w:spacing w:val="-12"/>
              </w:rPr>
              <w:t>15</w:t>
            </w:r>
          </w:p>
        </w:tc>
        <w:tc>
          <w:tcPr>
            <w:tcW w:w="1558" w:type="dxa"/>
            <w:vAlign w:val="top"/>
          </w:tcPr>
          <w:p w14:paraId="074A2B5B">
            <w:pPr>
              <w:pStyle w:val="6"/>
              <w:spacing w:before="103" w:line="188" w:lineRule="auto"/>
              <w:ind w:left="602"/>
            </w:pPr>
            <w:r>
              <w:rPr>
                <w:spacing w:val="-2"/>
              </w:rPr>
              <w:t>0.77</w:t>
            </w:r>
          </w:p>
        </w:tc>
        <w:tc>
          <w:tcPr>
            <w:tcW w:w="1940" w:type="dxa"/>
            <w:vMerge w:val="continue"/>
            <w:tcBorders>
              <w:top w:val="nil"/>
              <w:bottom w:val="nil"/>
            </w:tcBorders>
            <w:vAlign w:val="top"/>
          </w:tcPr>
          <w:p w14:paraId="2B0022E9">
            <w:pPr>
              <w:rPr>
                <w:rFonts w:ascii="Arial"/>
                <w:sz w:val="21"/>
              </w:rPr>
            </w:pPr>
          </w:p>
        </w:tc>
      </w:tr>
      <w:tr w14:paraId="42EBF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84" w:type="dxa"/>
            <w:vAlign w:val="top"/>
          </w:tcPr>
          <w:p w14:paraId="5A748811">
            <w:pPr>
              <w:spacing w:before="68" w:line="220" w:lineRule="auto"/>
              <w:ind w:left="331"/>
              <w:rPr>
                <w:rFonts w:ascii="宋体" w:hAnsi="宋体" w:eastAsia="宋体" w:cs="宋体"/>
                <w:sz w:val="21"/>
                <w:szCs w:val="21"/>
              </w:rPr>
            </w:pPr>
            <w:r>
              <w:rPr>
                <w:rFonts w:ascii="宋体" w:hAnsi="宋体" w:eastAsia="宋体" w:cs="宋体"/>
                <w:spacing w:val="-2"/>
                <w:sz w:val="21"/>
                <w:szCs w:val="21"/>
              </w:rPr>
              <w:t>颗粒物</w:t>
            </w:r>
          </w:p>
        </w:tc>
        <w:tc>
          <w:tcPr>
            <w:tcW w:w="1840" w:type="dxa"/>
            <w:vAlign w:val="top"/>
          </w:tcPr>
          <w:p w14:paraId="222C8E9C">
            <w:pPr>
              <w:pStyle w:val="6"/>
              <w:spacing w:before="104" w:line="188" w:lineRule="auto"/>
              <w:ind w:left="783"/>
            </w:pPr>
            <w:r>
              <w:rPr>
                <w:spacing w:val="-9"/>
              </w:rPr>
              <w:t>120</w:t>
            </w:r>
          </w:p>
        </w:tc>
        <w:tc>
          <w:tcPr>
            <w:tcW w:w="1698" w:type="dxa"/>
            <w:vAlign w:val="top"/>
          </w:tcPr>
          <w:p w14:paraId="1C1508A5">
            <w:pPr>
              <w:pStyle w:val="6"/>
              <w:spacing w:before="104" w:line="188" w:lineRule="auto"/>
              <w:ind w:left="765"/>
            </w:pPr>
            <w:r>
              <w:rPr>
                <w:spacing w:val="-12"/>
              </w:rPr>
              <w:t>15</w:t>
            </w:r>
          </w:p>
        </w:tc>
        <w:tc>
          <w:tcPr>
            <w:tcW w:w="1558" w:type="dxa"/>
            <w:vAlign w:val="top"/>
          </w:tcPr>
          <w:p w14:paraId="39943F7E">
            <w:pPr>
              <w:pStyle w:val="6"/>
              <w:spacing w:before="104" w:line="188" w:lineRule="auto"/>
              <w:ind w:left="655"/>
            </w:pPr>
            <w:r>
              <w:rPr>
                <w:spacing w:val="-3"/>
              </w:rPr>
              <w:t>3.5</w:t>
            </w:r>
          </w:p>
        </w:tc>
        <w:tc>
          <w:tcPr>
            <w:tcW w:w="1940" w:type="dxa"/>
            <w:vMerge w:val="continue"/>
            <w:tcBorders>
              <w:top w:val="nil"/>
            </w:tcBorders>
            <w:vAlign w:val="top"/>
          </w:tcPr>
          <w:p w14:paraId="52DC81F0">
            <w:pPr>
              <w:rPr>
                <w:rFonts w:ascii="Arial"/>
                <w:sz w:val="21"/>
              </w:rPr>
            </w:pPr>
          </w:p>
        </w:tc>
      </w:tr>
    </w:tbl>
    <w:p w14:paraId="08C346D6">
      <w:pPr>
        <w:spacing w:before="234"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）噪声排放标准</w:t>
      </w:r>
    </w:p>
    <w:p w14:paraId="0A5BC1B1">
      <w:pPr>
        <w:spacing w:before="180" w:line="362" w:lineRule="auto"/>
        <w:ind w:left="39" w:right="31" w:firstLine="479"/>
        <w:rPr>
          <w:rFonts w:ascii="宋体" w:hAnsi="宋体" w:eastAsia="宋体" w:cs="宋体"/>
          <w:sz w:val="24"/>
          <w:szCs w:val="24"/>
        </w:rPr>
      </w:pPr>
      <w:r>
        <w:rPr>
          <w:rFonts w:ascii="宋体" w:hAnsi="宋体" w:eastAsia="宋体" w:cs="宋体"/>
          <w:spacing w:val="-8"/>
          <w:sz w:val="24"/>
          <w:szCs w:val="24"/>
        </w:rPr>
        <w:t>施工期场界噪声执行《建筑施工场界环境噪声排放标准》（</w:t>
      </w:r>
      <w:r>
        <w:rPr>
          <w:rFonts w:ascii="Times New Roman" w:hAnsi="Times New Roman" w:eastAsia="Times New Roman" w:cs="Times New Roman"/>
          <w:spacing w:val="-8"/>
          <w:sz w:val="24"/>
          <w:szCs w:val="24"/>
        </w:rPr>
        <w:t>GB12523-2011</w:t>
      </w:r>
      <w:r>
        <w:rPr>
          <w:rFonts w:ascii="宋体" w:hAnsi="宋体" w:eastAsia="宋体" w:cs="宋体"/>
          <w:spacing w:val="-60"/>
          <w:w w:val="93"/>
          <w:sz w:val="24"/>
          <w:szCs w:val="24"/>
        </w:rPr>
        <w:t>）；</w:t>
      </w:r>
      <w:r>
        <w:rPr>
          <w:rFonts w:ascii="宋体" w:hAnsi="宋体" w:eastAsia="宋体" w:cs="宋体"/>
          <w:spacing w:val="-1"/>
          <w:sz w:val="24"/>
          <w:szCs w:val="24"/>
        </w:rPr>
        <w:t>运营期噪声执行《工业企业厂界环境噪声排放标准》（</w:t>
      </w:r>
      <w:r>
        <w:rPr>
          <w:rFonts w:ascii="Times New Roman" w:hAnsi="Times New Roman" w:eastAsia="Times New Roman" w:cs="Times New Roman"/>
          <w:spacing w:val="-1"/>
          <w:sz w:val="24"/>
          <w:szCs w:val="24"/>
        </w:rPr>
        <w:t>GB12348-2008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类声环</w:t>
      </w:r>
      <w:r>
        <w:rPr>
          <w:rFonts w:ascii="宋体" w:hAnsi="宋体" w:eastAsia="宋体" w:cs="宋体"/>
          <w:spacing w:val="-5"/>
          <w:sz w:val="24"/>
          <w:szCs w:val="24"/>
        </w:rPr>
        <w:t>境功能区排放标准。</w:t>
      </w:r>
    </w:p>
    <w:p w14:paraId="0D3CB269">
      <w:pPr>
        <w:spacing w:before="8" w:line="212" w:lineRule="auto"/>
        <w:ind w:left="2448"/>
        <w:rPr>
          <w:rFonts w:ascii="Times New Roman" w:hAnsi="Times New Roman" w:eastAsia="Times New Roman" w:cs="Times New Roman"/>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1.2-13  </w:t>
      </w:r>
      <w:r>
        <w:rPr>
          <w:rFonts w:ascii="黑体" w:hAnsi="黑体" w:eastAsia="黑体" w:cs="黑体"/>
          <w:spacing w:val="-1"/>
          <w:sz w:val="21"/>
          <w:szCs w:val="21"/>
        </w:rPr>
        <w:t>噪声排放标准  单位：</w:t>
      </w:r>
      <w:r>
        <w:rPr>
          <w:rFonts w:ascii="Times New Roman" w:hAnsi="Times New Roman" w:eastAsia="Times New Roman" w:cs="Times New Roman"/>
          <w:spacing w:val="-1"/>
          <w:sz w:val="21"/>
          <w:szCs w:val="21"/>
        </w:rPr>
        <w:t>dB(A)</w:t>
      </w:r>
    </w:p>
    <w:p w14:paraId="055E718A">
      <w:pPr>
        <w:spacing w:line="9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1039"/>
        <w:gridCol w:w="1041"/>
        <w:gridCol w:w="5196"/>
      </w:tblGrid>
      <w:tr w14:paraId="26776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44" w:type="dxa"/>
            <w:vAlign w:val="top"/>
          </w:tcPr>
          <w:p w14:paraId="510961EC">
            <w:pPr>
              <w:spacing w:before="68" w:line="220" w:lineRule="auto"/>
              <w:ind w:left="317"/>
              <w:rPr>
                <w:rFonts w:ascii="宋体" w:hAnsi="宋体" w:eastAsia="宋体" w:cs="宋体"/>
                <w:sz w:val="21"/>
                <w:szCs w:val="21"/>
              </w:rPr>
            </w:pPr>
            <w:r>
              <w:rPr>
                <w:rFonts w:ascii="宋体" w:hAnsi="宋体" w:eastAsia="宋体" w:cs="宋体"/>
                <w:spacing w:val="-3"/>
                <w:sz w:val="21"/>
                <w:szCs w:val="21"/>
              </w:rPr>
              <w:t>类别</w:t>
            </w:r>
          </w:p>
        </w:tc>
        <w:tc>
          <w:tcPr>
            <w:tcW w:w="1039" w:type="dxa"/>
            <w:vAlign w:val="top"/>
          </w:tcPr>
          <w:p w14:paraId="72CA9E8A">
            <w:pPr>
              <w:spacing w:before="69" w:line="222" w:lineRule="auto"/>
              <w:ind w:left="313"/>
              <w:rPr>
                <w:rFonts w:ascii="宋体" w:hAnsi="宋体" w:eastAsia="宋体" w:cs="宋体"/>
                <w:sz w:val="21"/>
                <w:szCs w:val="21"/>
              </w:rPr>
            </w:pPr>
            <w:r>
              <w:rPr>
                <w:rFonts w:ascii="宋体" w:hAnsi="宋体" w:eastAsia="宋体" w:cs="宋体"/>
                <w:spacing w:val="-2"/>
                <w:sz w:val="21"/>
                <w:szCs w:val="21"/>
              </w:rPr>
              <w:t>昼间</w:t>
            </w:r>
          </w:p>
        </w:tc>
        <w:tc>
          <w:tcPr>
            <w:tcW w:w="1041" w:type="dxa"/>
            <w:vAlign w:val="top"/>
          </w:tcPr>
          <w:p w14:paraId="55ADBC34">
            <w:pPr>
              <w:spacing w:before="68" w:line="220" w:lineRule="auto"/>
              <w:ind w:left="317"/>
              <w:rPr>
                <w:rFonts w:ascii="宋体" w:hAnsi="宋体" w:eastAsia="宋体" w:cs="宋体"/>
                <w:sz w:val="21"/>
                <w:szCs w:val="21"/>
              </w:rPr>
            </w:pPr>
            <w:r>
              <w:rPr>
                <w:rFonts w:ascii="宋体" w:hAnsi="宋体" w:eastAsia="宋体" w:cs="宋体"/>
                <w:spacing w:val="-3"/>
                <w:sz w:val="21"/>
                <w:szCs w:val="21"/>
              </w:rPr>
              <w:t>夜间</w:t>
            </w:r>
          </w:p>
        </w:tc>
        <w:tc>
          <w:tcPr>
            <w:tcW w:w="5196" w:type="dxa"/>
            <w:vAlign w:val="top"/>
          </w:tcPr>
          <w:p w14:paraId="5B7D94E0">
            <w:pPr>
              <w:spacing w:before="68" w:line="220" w:lineRule="auto"/>
              <w:ind w:left="2182"/>
              <w:rPr>
                <w:rFonts w:ascii="宋体" w:hAnsi="宋体" w:eastAsia="宋体" w:cs="宋体"/>
                <w:sz w:val="21"/>
                <w:szCs w:val="21"/>
              </w:rPr>
            </w:pPr>
            <w:r>
              <w:rPr>
                <w:rFonts w:ascii="宋体" w:hAnsi="宋体" w:eastAsia="宋体" w:cs="宋体"/>
                <w:spacing w:val="-2"/>
                <w:sz w:val="21"/>
                <w:szCs w:val="21"/>
              </w:rPr>
              <w:t>标准来源</w:t>
            </w:r>
          </w:p>
        </w:tc>
      </w:tr>
      <w:tr w14:paraId="333BB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44" w:type="dxa"/>
            <w:vAlign w:val="top"/>
          </w:tcPr>
          <w:p w14:paraId="3E32A09E">
            <w:pPr>
              <w:pStyle w:val="6"/>
              <w:spacing w:before="98" w:line="192" w:lineRule="auto"/>
              <w:ind w:left="489"/>
            </w:pPr>
            <w:r>
              <w:t>/</w:t>
            </w:r>
          </w:p>
        </w:tc>
        <w:tc>
          <w:tcPr>
            <w:tcW w:w="1039" w:type="dxa"/>
            <w:vAlign w:val="top"/>
          </w:tcPr>
          <w:p w14:paraId="452B62A5">
            <w:pPr>
              <w:pStyle w:val="6"/>
              <w:spacing w:before="102" w:line="188" w:lineRule="auto"/>
              <w:ind w:left="418"/>
            </w:pPr>
            <w:r>
              <w:rPr>
                <w:spacing w:val="-2"/>
              </w:rPr>
              <w:t>70</w:t>
            </w:r>
          </w:p>
        </w:tc>
        <w:tc>
          <w:tcPr>
            <w:tcW w:w="1041" w:type="dxa"/>
            <w:vAlign w:val="top"/>
          </w:tcPr>
          <w:p w14:paraId="3F0AE9EC">
            <w:pPr>
              <w:pStyle w:val="6"/>
              <w:spacing w:before="105" w:line="185" w:lineRule="auto"/>
              <w:ind w:left="421"/>
            </w:pPr>
            <w:r>
              <w:rPr>
                <w:spacing w:val="-5"/>
              </w:rPr>
              <w:t>55</w:t>
            </w:r>
          </w:p>
        </w:tc>
        <w:tc>
          <w:tcPr>
            <w:tcW w:w="5196" w:type="dxa"/>
            <w:vAlign w:val="top"/>
          </w:tcPr>
          <w:p w14:paraId="16DE6D70">
            <w:pPr>
              <w:pStyle w:val="6"/>
              <w:spacing w:before="66" w:line="220" w:lineRule="auto"/>
              <w:ind w:left="116"/>
              <w:rPr>
                <w:rFonts w:ascii="宋体" w:hAnsi="宋体" w:eastAsia="宋体" w:cs="宋体"/>
              </w:rPr>
            </w:pPr>
            <w:r>
              <w:rPr>
                <w:rFonts w:ascii="宋体" w:hAnsi="宋体" w:eastAsia="宋体" w:cs="宋体"/>
                <w:spacing w:val="-4"/>
              </w:rPr>
              <w:t>《建筑施工场界环境噪声排放标准》（</w:t>
            </w:r>
            <w:r>
              <w:rPr>
                <w:spacing w:val="-4"/>
              </w:rPr>
              <w:t>GB12523-2</w:t>
            </w:r>
            <w:r>
              <w:rPr>
                <w:spacing w:val="-5"/>
              </w:rPr>
              <w:t>011</w:t>
            </w:r>
            <w:r>
              <w:rPr>
                <w:rFonts w:ascii="宋体" w:hAnsi="宋体" w:eastAsia="宋体" w:cs="宋体"/>
                <w:spacing w:val="-5"/>
              </w:rPr>
              <w:t>）</w:t>
            </w:r>
          </w:p>
        </w:tc>
      </w:tr>
      <w:tr w14:paraId="662E6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44" w:type="dxa"/>
            <w:vAlign w:val="top"/>
          </w:tcPr>
          <w:p w14:paraId="0FB0B4EE">
            <w:pPr>
              <w:pStyle w:val="6"/>
              <w:spacing w:before="67" w:line="220" w:lineRule="auto"/>
              <w:ind w:left="340"/>
              <w:rPr>
                <w:rFonts w:ascii="宋体" w:hAnsi="宋体" w:eastAsia="宋体" w:cs="宋体"/>
              </w:rPr>
            </w:pPr>
            <w:r>
              <w:rPr>
                <w:spacing w:val="-3"/>
              </w:rPr>
              <w:t>2</w:t>
            </w:r>
            <w:r>
              <w:rPr>
                <w:spacing w:val="9"/>
              </w:rPr>
              <w:t xml:space="preserve"> </w:t>
            </w:r>
            <w:r>
              <w:rPr>
                <w:rFonts w:ascii="宋体" w:hAnsi="宋体" w:eastAsia="宋体" w:cs="宋体"/>
                <w:spacing w:val="-3"/>
              </w:rPr>
              <w:t>类</w:t>
            </w:r>
          </w:p>
        </w:tc>
        <w:tc>
          <w:tcPr>
            <w:tcW w:w="1039" w:type="dxa"/>
            <w:vAlign w:val="top"/>
          </w:tcPr>
          <w:p w14:paraId="71FEAD10">
            <w:pPr>
              <w:pStyle w:val="6"/>
              <w:spacing w:before="104" w:line="188" w:lineRule="auto"/>
              <w:ind w:left="419"/>
            </w:pPr>
            <w:r>
              <w:rPr>
                <w:spacing w:val="-5"/>
              </w:rPr>
              <w:t>60</w:t>
            </w:r>
          </w:p>
        </w:tc>
        <w:tc>
          <w:tcPr>
            <w:tcW w:w="1041" w:type="dxa"/>
            <w:vAlign w:val="top"/>
          </w:tcPr>
          <w:p w14:paraId="77592D01">
            <w:pPr>
              <w:pStyle w:val="6"/>
              <w:spacing w:before="104" w:line="188" w:lineRule="auto"/>
              <w:ind w:left="421"/>
            </w:pPr>
            <w:r>
              <w:rPr>
                <w:spacing w:val="-5"/>
              </w:rPr>
              <w:t>50</w:t>
            </w:r>
          </w:p>
        </w:tc>
        <w:tc>
          <w:tcPr>
            <w:tcW w:w="5196" w:type="dxa"/>
            <w:vAlign w:val="top"/>
          </w:tcPr>
          <w:p w14:paraId="5A064868">
            <w:pPr>
              <w:pStyle w:val="6"/>
              <w:spacing w:before="68" w:line="220" w:lineRule="auto"/>
              <w:ind w:left="112"/>
              <w:rPr>
                <w:rFonts w:ascii="宋体" w:hAnsi="宋体" w:eastAsia="宋体" w:cs="宋体"/>
              </w:rPr>
            </w:pPr>
            <w:r>
              <w:rPr>
                <w:rFonts w:ascii="宋体" w:hAnsi="宋体" w:eastAsia="宋体" w:cs="宋体"/>
                <w:spacing w:val="-4"/>
              </w:rPr>
              <w:t>《工业企业厂界环境噪声排放标准》（</w:t>
            </w:r>
            <w:r>
              <w:rPr>
                <w:spacing w:val="-4"/>
              </w:rPr>
              <w:t>GB12348-2008</w:t>
            </w:r>
            <w:r>
              <w:rPr>
                <w:rFonts w:ascii="宋体" w:hAnsi="宋体" w:eastAsia="宋体" w:cs="宋体"/>
                <w:spacing w:val="-4"/>
              </w:rPr>
              <w:t>）</w:t>
            </w:r>
          </w:p>
        </w:tc>
      </w:tr>
    </w:tbl>
    <w:p w14:paraId="3F30BF28">
      <w:pPr>
        <w:spacing w:before="234"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）固体废物</w:t>
      </w:r>
    </w:p>
    <w:p w14:paraId="2B0901AC">
      <w:pPr>
        <w:spacing w:line="220" w:lineRule="auto"/>
        <w:rPr>
          <w:rFonts w:ascii="宋体" w:hAnsi="宋体" w:eastAsia="宋体" w:cs="宋体"/>
          <w:sz w:val="24"/>
          <w:szCs w:val="24"/>
        </w:rPr>
        <w:sectPr>
          <w:headerReference r:id="rId39" w:type="default"/>
          <w:footerReference r:id="rId40" w:type="default"/>
          <w:pgSz w:w="11905" w:h="16840"/>
          <w:pgMar w:top="1168" w:right="1768" w:bottom="1409" w:left="1770" w:header="828" w:footer="1244" w:gutter="0"/>
          <w:cols w:space="720" w:num="1"/>
        </w:sectPr>
      </w:pPr>
    </w:p>
    <w:p w14:paraId="3313F59F">
      <w:pPr>
        <w:pStyle w:val="2"/>
        <w:spacing w:line="308" w:lineRule="auto"/>
      </w:pPr>
    </w:p>
    <w:p w14:paraId="58B0D3EF">
      <w:pPr>
        <w:spacing w:before="78" w:line="359" w:lineRule="auto"/>
        <w:ind w:left="40" w:firstLine="479"/>
        <w:jc w:val="both"/>
        <w:rPr>
          <w:rFonts w:ascii="宋体" w:hAnsi="宋体" w:eastAsia="宋体" w:cs="宋体"/>
          <w:sz w:val="24"/>
          <w:szCs w:val="24"/>
        </w:rPr>
      </w:pPr>
      <w:r>
        <w:rPr>
          <w:rFonts w:ascii="宋体" w:hAnsi="宋体" w:eastAsia="宋体" w:cs="宋体"/>
          <w:sz w:val="24"/>
          <w:szCs w:val="24"/>
        </w:rPr>
        <w:t>本项目运营期产生的猪粪、沼渣等废渣执行《畜禽养殖业污染物排放标准》</w:t>
      </w:r>
      <w:r>
        <w:rPr>
          <w:rFonts w:ascii="宋体" w:hAnsi="宋体" w:eastAsia="宋体" w:cs="宋体"/>
          <w:spacing w:val="7"/>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GB18596-2001</w:t>
      </w:r>
      <w:r>
        <w:rPr>
          <w:rFonts w:ascii="宋体" w:hAnsi="宋体" w:eastAsia="宋体" w:cs="宋体"/>
          <w:spacing w:val="-7"/>
          <w:sz w:val="24"/>
          <w:szCs w:val="24"/>
        </w:rPr>
        <w:t>）表</w:t>
      </w:r>
      <w:r>
        <w:rPr>
          <w:rFonts w:ascii="Times New Roman" w:hAnsi="Times New Roman" w:eastAsia="Times New Roman" w:cs="Times New Roman"/>
          <w:spacing w:val="-7"/>
          <w:sz w:val="24"/>
          <w:szCs w:val="24"/>
        </w:rPr>
        <w:t>6</w:t>
      </w:r>
      <w:r>
        <w:rPr>
          <w:rFonts w:ascii="宋体" w:hAnsi="宋体" w:eastAsia="宋体" w:cs="宋体"/>
          <w:spacing w:val="-7"/>
          <w:sz w:val="24"/>
          <w:szCs w:val="24"/>
        </w:rPr>
        <w:t>中的畜禽养殖业废渣无害化环境标准，病死猪处置执行</w:t>
      </w:r>
      <w:r>
        <w:rPr>
          <w:rFonts w:ascii="宋体" w:hAnsi="宋体" w:eastAsia="宋体" w:cs="宋体"/>
          <w:spacing w:val="-8"/>
          <w:sz w:val="24"/>
          <w:szCs w:val="24"/>
        </w:rPr>
        <w:t>《病</w:t>
      </w:r>
      <w:r>
        <w:rPr>
          <w:rFonts w:ascii="宋体" w:hAnsi="宋体" w:eastAsia="宋体" w:cs="宋体"/>
          <w:spacing w:val="-1"/>
          <w:sz w:val="24"/>
          <w:szCs w:val="24"/>
        </w:rPr>
        <w:t>死及病害动物无害化处理技术规范》（农医发</w:t>
      </w:r>
      <w:r>
        <w:rPr>
          <w:rFonts w:ascii="Times New Roman" w:hAnsi="Times New Roman" w:eastAsia="Times New Roman" w:cs="Times New Roman"/>
          <w:spacing w:val="-1"/>
          <w:sz w:val="24"/>
          <w:szCs w:val="24"/>
        </w:rPr>
        <w:t>[</w:t>
      </w:r>
      <w:r>
        <w:fldChar w:fldCharType="begin"/>
      </w:r>
      <w:r>
        <w:instrText xml:space="preserve"> HYPERLINK \l "bookmark100" </w:instrText>
      </w:r>
      <w:r>
        <w:fldChar w:fldCharType="separate"/>
      </w:r>
      <w:r>
        <w:rPr>
          <w:rFonts w:ascii="Times New Roman" w:hAnsi="Times New Roman" w:eastAsia="Times New Roman" w:cs="Times New Roman"/>
          <w:spacing w:val="-1"/>
          <w:sz w:val="24"/>
          <w:szCs w:val="24"/>
        </w:rPr>
        <w:t>2017</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]25</w:t>
      </w:r>
      <w:r>
        <w:rPr>
          <w:rFonts w:ascii="宋体" w:hAnsi="宋体" w:eastAsia="宋体" w:cs="宋体"/>
          <w:spacing w:val="-1"/>
          <w:sz w:val="24"/>
          <w:szCs w:val="24"/>
        </w:rPr>
        <w:t>号）。危险废物执行《危险废物贮存污染控制标准》（</w:t>
      </w:r>
      <w:r>
        <w:rPr>
          <w:rFonts w:ascii="Times New Roman" w:hAnsi="Times New Roman" w:eastAsia="Times New Roman" w:cs="Times New Roman"/>
          <w:spacing w:val="-1"/>
          <w:sz w:val="24"/>
          <w:szCs w:val="24"/>
        </w:rPr>
        <w:t>GB18597-</w:t>
      </w:r>
      <w:r>
        <w:rPr>
          <w:rFonts w:ascii="Times New Roman" w:hAnsi="Times New Roman" w:eastAsia="Times New Roman" w:cs="Times New Roman"/>
          <w:spacing w:val="-2"/>
          <w:sz w:val="24"/>
          <w:szCs w:val="24"/>
        </w:rPr>
        <w:t>2023</w:t>
      </w:r>
      <w:r>
        <w:rPr>
          <w:rFonts w:ascii="宋体" w:hAnsi="宋体" w:eastAsia="宋体" w:cs="宋体"/>
          <w:spacing w:val="-2"/>
          <w:sz w:val="24"/>
          <w:szCs w:val="24"/>
        </w:rPr>
        <w:t>）要求。</w:t>
      </w:r>
    </w:p>
    <w:p w14:paraId="3E1BC773">
      <w:pPr>
        <w:spacing w:before="16" w:line="221" w:lineRule="auto"/>
        <w:ind w:left="229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1.2-14  </w:t>
      </w:r>
      <w:r>
        <w:rPr>
          <w:rFonts w:ascii="黑体" w:hAnsi="黑体" w:eastAsia="黑体" w:cs="黑体"/>
          <w:spacing w:val="-1"/>
          <w:sz w:val="21"/>
          <w:szCs w:val="21"/>
        </w:rPr>
        <w:t>畜禽养殖业废渣无害化环境标准</w:t>
      </w:r>
    </w:p>
    <w:p w14:paraId="52286239">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6"/>
        <w:gridCol w:w="2622"/>
        <w:gridCol w:w="3072"/>
      </w:tblGrid>
      <w:tr w14:paraId="4BF84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626" w:type="dxa"/>
            <w:vAlign w:val="top"/>
          </w:tcPr>
          <w:p w14:paraId="62204202">
            <w:pPr>
              <w:spacing w:before="69" w:line="220" w:lineRule="auto"/>
              <w:ind w:left="897"/>
              <w:rPr>
                <w:rFonts w:ascii="宋体" w:hAnsi="宋体" w:eastAsia="宋体" w:cs="宋体"/>
                <w:sz w:val="21"/>
                <w:szCs w:val="21"/>
              </w:rPr>
            </w:pPr>
            <w:r>
              <w:rPr>
                <w:rFonts w:ascii="宋体" w:hAnsi="宋体" w:eastAsia="宋体" w:cs="宋体"/>
                <w:spacing w:val="-2"/>
                <w:sz w:val="21"/>
                <w:szCs w:val="21"/>
              </w:rPr>
              <w:t>控制项目</w:t>
            </w:r>
          </w:p>
        </w:tc>
        <w:tc>
          <w:tcPr>
            <w:tcW w:w="2622" w:type="dxa"/>
            <w:vAlign w:val="top"/>
          </w:tcPr>
          <w:p w14:paraId="0133B609">
            <w:pPr>
              <w:spacing w:before="69" w:line="220" w:lineRule="auto"/>
              <w:ind w:left="1108"/>
              <w:rPr>
                <w:rFonts w:ascii="宋体" w:hAnsi="宋体" w:eastAsia="宋体" w:cs="宋体"/>
                <w:sz w:val="21"/>
                <w:szCs w:val="21"/>
              </w:rPr>
            </w:pPr>
            <w:r>
              <w:rPr>
                <w:rFonts w:ascii="宋体" w:hAnsi="宋体" w:eastAsia="宋体" w:cs="宋体"/>
                <w:spacing w:val="-3"/>
                <w:sz w:val="21"/>
                <w:szCs w:val="21"/>
              </w:rPr>
              <w:t>指标</w:t>
            </w:r>
          </w:p>
        </w:tc>
        <w:tc>
          <w:tcPr>
            <w:tcW w:w="3072" w:type="dxa"/>
            <w:vAlign w:val="top"/>
          </w:tcPr>
          <w:p w14:paraId="61779992">
            <w:pPr>
              <w:spacing w:before="68" w:line="220" w:lineRule="auto"/>
              <w:ind w:left="1122"/>
              <w:rPr>
                <w:rFonts w:ascii="宋体" w:hAnsi="宋体" w:eastAsia="宋体" w:cs="宋体"/>
                <w:sz w:val="21"/>
                <w:szCs w:val="21"/>
              </w:rPr>
            </w:pPr>
            <w:r>
              <w:rPr>
                <w:rFonts w:ascii="宋体" w:hAnsi="宋体" w:eastAsia="宋体" w:cs="宋体"/>
                <w:spacing w:val="-2"/>
                <w:sz w:val="21"/>
                <w:szCs w:val="21"/>
              </w:rPr>
              <w:t>标准来源</w:t>
            </w:r>
          </w:p>
        </w:tc>
      </w:tr>
      <w:tr w14:paraId="4AA3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626" w:type="dxa"/>
            <w:vAlign w:val="top"/>
          </w:tcPr>
          <w:p w14:paraId="05554AB5">
            <w:pPr>
              <w:spacing w:before="66" w:line="220" w:lineRule="auto"/>
              <w:ind w:left="1003"/>
              <w:rPr>
                <w:rFonts w:ascii="宋体" w:hAnsi="宋体" w:eastAsia="宋体" w:cs="宋体"/>
                <w:sz w:val="21"/>
                <w:szCs w:val="21"/>
              </w:rPr>
            </w:pPr>
            <w:r>
              <w:rPr>
                <w:rFonts w:ascii="宋体" w:hAnsi="宋体" w:eastAsia="宋体" w:cs="宋体"/>
                <w:spacing w:val="-2"/>
                <w:sz w:val="21"/>
                <w:szCs w:val="21"/>
              </w:rPr>
              <w:t>蛔虫卵</w:t>
            </w:r>
          </w:p>
        </w:tc>
        <w:tc>
          <w:tcPr>
            <w:tcW w:w="2622" w:type="dxa"/>
            <w:vAlign w:val="top"/>
          </w:tcPr>
          <w:p w14:paraId="60E9E5FA">
            <w:pPr>
              <w:pStyle w:val="6"/>
              <w:spacing w:before="65" w:line="220" w:lineRule="auto"/>
              <w:ind w:left="704"/>
            </w:pPr>
            <w:r>
              <w:rPr>
                <w:rFonts w:ascii="宋体" w:hAnsi="宋体" w:eastAsia="宋体" w:cs="宋体"/>
                <w:spacing w:val="-2"/>
              </w:rPr>
              <w:t>死亡率≥</w:t>
            </w:r>
            <w:r>
              <w:rPr>
                <w:spacing w:val="-2"/>
              </w:rPr>
              <w:t>95%</w:t>
            </w:r>
          </w:p>
        </w:tc>
        <w:tc>
          <w:tcPr>
            <w:tcW w:w="3072" w:type="dxa"/>
            <w:vMerge w:val="restart"/>
            <w:tcBorders>
              <w:bottom w:val="nil"/>
            </w:tcBorders>
            <w:vAlign w:val="top"/>
          </w:tcPr>
          <w:p w14:paraId="10DEDB45">
            <w:pPr>
              <w:spacing w:before="83" w:line="220" w:lineRule="auto"/>
              <w:ind w:left="72"/>
              <w:rPr>
                <w:rFonts w:ascii="宋体" w:hAnsi="宋体" w:eastAsia="宋体" w:cs="宋体"/>
                <w:sz w:val="21"/>
                <w:szCs w:val="21"/>
              </w:rPr>
            </w:pPr>
            <w:r>
              <w:rPr>
                <w:rFonts w:ascii="宋体" w:hAnsi="宋体" w:eastAsia="宋体" w:cs="宋体"/>
                <w:spacing w:val="-2"/>
                <w:sz w:val="21"/>
                <w:szCs w:val="21"/>
              </w:rPr>
              <w:t>《畜禽养殖业污染物排放标准》</w:t>
            </w:r>
          </w:p>
          <w:p w14:paraId="04D57C7C">
            <w:pPr>
              <w:pStyle w:val="6"/>
              <w:spacing w:before="62" w:line="232" w:lineRule="auto"/>
              <w:ind w:left="684"/>
              <w:rPr>
                <w:rFonts w:ascii="宋体" w:hAnsi="宋体" w:eastAsia="宋体" w:cs="宋体"/>
              </w:rPr>
            </w:pPr>
            <w:r>
              <w:rPr>
                <w:rFonts w:ascii="宋体" w:hAnsi="宋体" w:eastAsia="宋体" w:cs="宋体"/>
                <w:spacing w:val="-2"/>
              </w:rPr>
              <w:t>（</w:t>
            </w:r>
            <w:r>
              <w:rPr>
                <w:spacing w:val="-2"/>
              </w:rPr>
              <w:t>GB18596-2001</w:t>
            </w:r>
            <w:r>
              <w:rPr>
                <w:rFonts w:ascii="宋体" w:hAnsi="宋体" w:eastAsia="宋体" w:cs="宋体"/>
                <w:spacing w:val="-2"/>
              </w:rPr>
              <w:t>）</w:t>
            </w:r>
          </w:p>
        </w:tc>
      </w:tr>
      <w:tr w14:paraId="33E6B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626" w:type="dxa"/>
            <w:vAlign w:val="top"/>
          </w:tcPr>
          <w:p w14:paraId="6C30B62D">
            <w:pPr>
              <w:spacing w:before="67" w:line="220" w:lineRule="auto"/>
              <w:ind w:left="690"/>
              <w:rPr>
                <w:rFonts w:ascii="宋体" w:hAnsi="宋体" w:eastAsia="宋体" w:cs="宋体"/>
                <w:sz w:val="21"/>
                <w:szCs w:val="21"/>
              </w:rPr>
            </w:pPr>
            <w:r>
              <w:rPr>
                <w:rFonts w:ascii="宋体" w:hAnsi="宋体" w:eastAsia="宋体" w:cs="宋体"/>
                <w:spacing w:val="-2"/>
                <w:sz w:val="21"/>
                <w:szCs w:val="21"/>
              </w:rPr>
              <w:t>粪大肠菌群数</w:t>
            </w:r>
          </w:p>
        </w:tc>
        <w:tc>
          <w:tcPr>
            <w:tcW w:w="2622" w:type="dxa"/>
            <w:vAlign w:val="top"/>
          </w:tcPr>
          <w:p w14:paraId="4ADDBD03">
            <w:pPr>
              <w:pStyle w:val="6"/>
              <w:spacing w:before="54" w:line="216" w:lineRule="auto"/>
              <w:ind w:left="828"/>
            </w:pPr>
            <w:r>
              <w:rPr>
                <w:rFonts w:ascii="宋体" w:hAnsi="宋体" w:eastAsia="宋体" w:cs="宋体"/>
                <w:spacing w:val="-4"/>
              </w:rPr>
              <w:t>≤</w:t>
            </w:r>
            <w:r>
              <w:rPr>
                <w:spacing w:val="-4"/>
              </w:rPr>
              <w:t>10</w:t>
            </w:r>
            <w:r>
              <w:rPr>
                <w:spacing w:val="-4"/>
                <w:position w:val="9"/>
                <w:sz w:val="14"/>
                <w:szCs w:val="14"/>
              </w:rPr>
              <w:t>5</w:t>
            </w:r>
            <w:r>
              <w:rPr>
                <w:spacing w:val="8"/>
                <w:w w:val="102"/>
                <w:position w:val="9"/>
                <w:sz w:val="14"/>
                <w:szCs w:val="14"/>
              </w:rPr>
              <w:t xml:space="preserve"> </w:t>
            </w:r>
            <w:r>
              <w:rPr>
                <w:rFonts w:ascii="宋体" w:hAnsi="宋体" w:eastAsia="宋体" w:cs="宋体"/>
                <w:spacing w:val="-4"/>
              </w:rPr>
              <w:t>个</w:t>
            </w:r>
            <w:r>
              <w:rPr>
                <w:spacing w:val="-4"/>
              </w:rPr>
              <w:t>/kg</w:t>
            </w:r>
          </w:p>
        </w:tc>
        <w:tc>
          <w:tcPr>
            <w:tcW w:w="3072" w:type="dxa"/>
            <w:vMerge w:val="continue"/>
            <w:tcBorders>
              <w:top w:val="nil"/>
            </w:tcBorders>
            <w:vAlign w:val="top"/>
          </w:tcPr>
          <w:p w14:paraId="79ADD9CE">
            <w:pPr>
              <w:rPr>
                <w:rFonts w:ascii="Arial"/>
                <w:sz w:val="21"/>
              </w:rPr>
            </w:pPr>
          </w:p>
        </w:tc>
      </w:tr>
    </w:tbl>
    <w:p w14:paraId="4C92186F">
      <w:pPr>
        <w:spacing w:before="271" w:line="218" w:lineRule="auto"/>
        <w:ind w:left="51"/>
        <w:outlineLvl w:val="1"/>
        <w:rPr>
          <w:rFonts w:ascii="宋体" w:hAnsi="宋体" w:eastAsia="宋体" w:cs="宋体"/>
          <w:sz w:val="32"/>
          <w:szCs w:val="32"/>
        </w:rPr>
      </w:pPr>
      <w:bookmarkStart w:id="17" w:name="bookmark11"/>
      <w:bookmarkEnd w:id="17"/>
      <w:r>
        <w:rPr>
          <w:rFonts w:ascii="Times New Roman" w:hAnsi="Times New Roman" w:eastAsia="Times New Roman" w:cs="Times New Roman"/>
          <w:b/>
          <w:bCs/>
          <w:spacing w:val="-3"/>
          <w:sz w:val="32"/>
          <w:szCs w:val="32"/>
        </w:rPr>
        <w:t xml:space="preserve">1.3  </w:t>
      </w:r>
      <w:r>
        <w:rPr>
          <w:rFonts w:ascii="宋体" w:hAnsi="宋体" w:eastAsia="宋体" w:cs="宋体"/>
          <w:b/>
          <w:bCs/>
          <w:spacing w:val="-3"/>
          <w:sz w:val="32"/>
          <w:szCs w:val="32"/>
        </w:rPr>
        <w:t>评价工作等级和评价范围</w:t>
      </w:r>
    </w:p>
    <w:p w14:paraId="420E5A6A">
      <w:pPr>
        <w:pStyle w:val="2"/>
        <w:spacing w:line="278" w:lineRule="auto"/>
      </w:pPr>
    </w:p>
    <w:p w14:paraId="0EB2FD2F">
      <w:pPr>
        <w:spacing w:before="97" w:line="218"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1.3.1  </w:t>
      </w:r>
      <w:r>
        <w:rPr>
          <w:rFonts w:ascii="宋体" w:hAnsi="宋体" w:eastAsia="宋体" w:cs="宋体"/>
          <w:b/>
          <w:bCs/>
          <w:spacing w:val="-3"/>
          <w:sz w:val="30"/>
          <w:szCs w:val="30"/>
        </w:rPr>
        <w:t>评价工作等级</w:t>
      </w:r>
    </w:p>
    <w:p w14:paraId="0579DA2C">
      <w:pPr>
        <w:pStyle w:val="2"/>
        <w:spacing w:line="308" w:lineRule="auto"/>
      </w:pPr>
    </w:p>
    <w:p w14:paraId="6AC90A41">
      <w:pPr>
        <w:spacing w:before="89" w:line="227" w:lineRule="auto"/>
        <w:ind w:left="48"/>
        <w:rPr>
          <w:rFonts w:ascii="宋体" w:hAnsi="宋体" w:eastAsia="宋体" w:cs="宋体"/>
          <w:sz w:val="27"/>
          <w:szCs w:val="27"/>
        </w:rPr>
      </w:pPr>
      <w:r>
        <w:rPr>
          <w:rFonts w:ascii="Times New Roman" w:hAnsi="Times New Roman" w:eastAsia="Times New Roman" w:cs="Times New Roman"/>
          <w:b/>
          <w:bCs/>
          <w:spacing w:val="3"/>
          <w:sz w:val="27"/>
          <w:szCs w:val="27"/>
        </w:rPr>
        <w:t xml:space="preserve">1.3.1.1 </w:t>
      </w:r>
      <w:r>
        <w:rPr>
          <w:rFonts w:ascii="宋体" w:hAnsi="宋体" w:eastAsia="宋体" w:cs="宋体"/>
          <w:b/>
          <w:bCs/>
          <w:spacing w:val="3"/>
          <w:sz w:val="27"/>
          <w:szCs w:val="27"/>
        </w:rPr>
        <w:t>大气环境</w:t>
      </w:r>
    </w:p>
    <w:p w14:paraId="5DDAB4FD">
      <w:pPr>
        <w:spacing w:before="235" w:line="220" w:lineRule="auto"/>
        <w:ind w:left="528"/>
        <w:rPr>
          <w:rFonts w:ascii="宋体" w:hAnsi="宋体" w:eastAsia="宋体" w:cs="宋体"/>
          <w:sz w:val="24"/>
          <w:szCs w:val="24"/>
        </w:rPr>
      </w:pPr>
      <w:r>
        <w:rPr>
          <w:rFonts w:ascii="宋体" w:hAnsi="宋体" w:eastAsia="宋体" w:cs="宋体"/>
          <w:b/>
          <w:bCs/>
          <w:spacing w:val="1"/>
          <w:sz w:val="24"/>
          <w:szCs w:val="24"/>
        </w:rPr>
        <w:t>（</w:t>
      </w:r>
      <w:r>
        <w:rPr>
          <w:rFonts w:ascii="Times New Roman" w:hAnsi="Times New Roman" w:eastAsia="Times New Roman" w:cs="Times New Roman"/>
          <w:b/>
          <w:bCs/>
          <w:spacing w:val="1"/>
          <w:sz w:val="24"/>
          <w:szCs w:val="24"/>
        </w:rPr>
        <w:t>1</w:t>
      </w:r>
      <w:r>
        <w:rPr>
          <w:rFonts w:ascii="宋体" w:hAnsi="宋体" w:eastAsia="宋体" w:cs="宋体"/>
          <w:b/>
          <w:bCs/>
          <w:spacing w:val="1"/>
          <w:sz w:val="24"/>
          <w:szCs w:val="24"/>
        </w:rPr>
        <w:t>）</w:t>
      </w:r>
      <w:r>
        <w:rPr>
          <w:rFonts w:ascii="Times New Roman" w:hAnsi="Times New Roman" w:eastAsia="Times New Roman" w:cs="Times New Roman"/>
          <w:b/>
          <w:bCs/>
          <w:sz w:val="24"/>
          <w:szCs w:val="24"/>
        </w:rPr>
        <w:t>P</w:t>
      </w:r>
      <w:r>
        <w:rPr>
          <w:rFonts w:ascii="Times New Roman" w:hAnsi="Times New Roman" w:eastAsia="Times New Roman" w:cs="Times New Roman"/>
          <w:b/>
          <w:bCs/>
          <w:position w:val="-2"/>
          <w:sz w:val="15"/>
          <w:szCs w:val="15"/>
        </w:rPr>
        <w:t>max</w:t>
      </w:r>
      <w:r>
        <w:rPr>
          <w:rFonts w:ascii="宋体" w:hAnsi="宋体" w:eastAsia="宋体" w:cs="宋体"/>
          <w:b/>
          <w:bCs/>
          <w:spacing w:val="1"/>
          <w:sz w:val="24"/>
          <w:szCs w:val="24"/>
        </w:rPr>
        <w:t>及</w:t>
      </w:r>
      <w:r>
        <w:rPr>
          <w:rFonts w:ascii="Times New Roman" w:hAnsi="Times New Roman" w:eastAsia="Times New Roman" w:cs="Times New Roman"/>
          <w:b/>
          <w:bCs/>
          <w:spacing w:val="1"/>
          <w:sz w:val="24"/>
          <w:szCs w:val="24"/>
        </w:rPr>
        <w:t>D</w:t>
      </w:r>
      <w:r>
        <w:rPr>
          <w:rFonts w:ascii="Times New Roman" w:hAnsi="Times New Roman" w:eastAsia="Times New Roman" w:cs="Times New Roman"/>
          <w:b/>
          <w:bCs/>
          <w:spacing w:val="1"/>
          <w:position w:val="-2"/>
          <w:sz w:val="15"/>
          <w:szCs w:val="15"/>
        </w:rPr>
        <w:t>10%</w:t>
      </w:r>
      <w:r>
        <w:rPr>
          <w:rFonts w:ascii="宋体" w:hAnsi="宋体" w:eastAsia="宋体" w:cs="宋体"/>
          <w:b/>
          <w:bCs/>
          <w:spacing w:val="1"/>
          <w:sz w:val="24"/>
          <w:szCs w:val="24"/>
        </w:rPr>
        <w:t>确定</w:t>
      </w:r>
    </w:p>
    <w:p w14:paraId="4FD30826">
      <w:pPr>
        <w:spacing w:before="182" w:line="350" w:lineRule="auto"/>
        <w:ind w:left="39" w:right="112" w:firstLine="480"/>
        <w:jc w:val="both"/>
        <w:rPr>
          <w:rFonts w:ascii="宋体" w:hAnsi="宋体" w:eastAsia="宋体" w:cs="宋体"/>
          <w:sz w:val="24"/>
          <w:szCs w:val="24"/>
        </w:rPr>
      </w:pPr>
      <w:r>
        <w:rPr>
          <w:rFonts w:ascii="宋体" w:hAnsi="宋体" w:eastAsia="宋体" w:cs="宋体"/>
          <w:spacing w:val="2"/>
          <w:sz w:val="24"/>
          <w:szCs w:val="24"/>
        </w:rPr>
        <w:t>根据《环境影响评价技术导则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）评价等级判定规</w:t>
      </w:r>
      <w:r>
        <w:rPr>
          <w:rFonts w:ascii="宋体" w:hAnsi="宋体" w:eastAsia="宋体" w:cs="宋体"/>
          <w:spacing w:val="-3"/>
          <w:sz w:val="24"/>
          <w:szCs w:val="24"/>
        </w:rPr>
        <w:t>定，根据项目污染源初步调查结果，分别计算项目排放主要污染物的最大地面空</w:t>
      </w:r>
      <w:r>
        <w:rPr>
          <w:rFonts w:ascii="宋体" w:hAnsi="宋体" w:eastAsia="宋体" w:cs="宋体"/>
          <w:spacing w:val="1"/>
          <w:sz w:val="24"/>
          <w:szCs w:val="24"/>
        </w:rPr>
        <w:t>气质量浓度占标率</w:t>
      </w:r>
      <w:r>
        <w:rPr>
          <w:rFonts w:ascii="Times New Roman" w:hAnsi="Times New Roman" w:eastAsia="Times New Roman" w:cs="Times New Roman"/>
          <w:sz w:val="24"/>
          <w:szCs w:val="24"/>
        </w:rPr>
        <w:t>Pi</w:t>
      </w:r>
      <w:r>
        <w:rPr>
          <w:rFonts w:ascii="宋体" w:hAnsi="宋体" w:eastAsia="宋体" w:cs="宋体"/>
          <w:spacing w:val="1"/>
          <w:sz w:val="24"/>
          <w:szCs w:val="24"/>
        </w:rPr>
        <w:t>（第</w:t>
      </w:r>
      <w:r>
        <w:rPr>
          <w:rFonts w:ascii="Times New Roman" w:hAnsi="Times New Roman" w:eastAsia="Times New Roman" w:cs="Times New Roman"/>
          <w:spacing w:val="1"/>
          <w:sz w:val="24"/>
          <w:szCs w:val="24"/>
        </w:rPr>
        <w:t>i</w:t>
      </w:r>
      <w:r>
        <w:rPr>
          <w:rFonts w:ascii="宋体" w:hAnsi="宋体" w:eastAsia="宋体" w:cs="宋体"/>
          <w:spacing w:val="1"/>
          <w:sz w:val="24"/>
          <w:szCs w:val="24"/>
        </w:rPr>
        <w:t>个污染物，简称“最大浓度占标率”</w:t>
      </w:r>
      <w:r>
        <w:rPr>
          <w:rFonts w:ascii="宋体" w:hAnsi="宋体" w:eastAsia="宋体" w:cs="宋体"/>
          <w:spacing w:val="4"/>
          <w:sz w:val="24"/>
          <w:szCs w:val="24"/>
        </w:rPr>
        <w:t>），</w:t>
      </w:r>
      <w:r>
        <w:rPr>
          <w:rFonts w:ascii="宋体" w:hAnsi="宋体" w:eastAsia="宋体" w:cs="宋体"/>
          <w:spacing w:val="1"/>
          <w:sz w:val="24"/>
          <w:szCs w:val="24"/>
        </w:rPr>
        <w:t>及第</w:t>
      </w:r>
      <w:r>
        <w:rPr>
          <w:rFonts w:ascii="Times New Roman" w:hAnsi="Times New Roman" w:eastAsia="Times New Roman" w:cs="Times New Roman"/>
          <w:spacing w:val="1"/>
          <w:sz w:val="24"/>
          <w:szCs w:val="24"/>
        </w:rPr>
        <w:t>i</w:t>
      </w:r>
      <w:r>
        <w:rPr>
          <w:rFonts w:ascii="宋体" w:hAnsi="宋体" w:eastAsia="宋体" w:cs="宋体"/>
          <w:spacing w:val="1"/>
          <w:sz w:val="24"/>
          <w:szCs w:val="24"/>
        </w:rPr>
        <w:t>个污染</w:t>
      </w:r>
      <w:r>
        <w:rPr>
          <w:rFonts w:ascii="宋体" w:hAnsi="宋体" w:eastAsia="宋体" w:cs="宋体"/>
          <w:sz w:val="24"/>
          <w:szCs w:val="24"/>
        </w:rPr>
        <w:t>物的地面空气质量浓度达到标准值的</w:t>
      </w:r>
      <w:r>
        <w:rPr>
          <w:rFonts w:ascii="Times New Roman" w:hAnsi="Times New Roman" w:eastAsia="Times New Roman" w:cs="Times New Roman"/>
          <w:sz w:val="24"/>
          <w:szCs w:val="24"/>
        </w:rPr>
        <w:t>10%</w:t>
      </w:r>
      <w:r>
        <w:rPr>
          <w:rFonts w:ascii="宋体" w:hAnsi="宋体" w:eastAsia="宋体" w:cs="宋体"/>
          <w:sz w:val="24"/>
          <w:szCs w:val="24"/>
        </w:rPr>
        <w:t>时所对应的最远距离</w:t>
      </w:r>
      <w:r>
        <w:rPr>
          <w:rFonts w:ascii="Times New Roman" w:hAnsi="Times New Roman" w:eastAsia="Times New Roman" w:cs="Times New Roman"/>
          <w:sz w:val="24"/>
          <w:szCs w:val="24"/>
        </w:rPr>
        <w:t>D</w:t>
      </w:r>
      <w:r>
        <w:rPr>
          <w:rFonts w:ascii="Times New Roman" w:hAnsi="Times New Roman" w:eastAsia="Times New Roman" w:cs="Times New Roman"/>
          <w:position w:val="-2"/>
          <w:sz w:val="15"/>
          <w:szCs w:val="15"/>
        </w:rPr>
        <w:t>10%</w:t>
      </w:r>
      <w:r>
        <w:rPr>
          <w:rFonts w:ascii="宋体" w:hAnsi="宋体" w:eastAsia="宋体" w:cs="宋体"/>
          <w:sz w:val="24"/>
          <w:szCs w:val="24"/>
        </w:rPr>
        <w:t>。其中</w:t>
      </w:r>
      <w:r>
        <w:rPr>
          <w:rFonts w:ascii="Times New Roman" w:hAnsi="Times New Roman" w:eastAsia="Times New Roman" w:cs="Times New Roman"/>
          <w:sz w:val="24"/>
          <w:szCs w:val="24"/>
        </w:rPr>
        <w:t>Pi</w:t>
      </w:r>
      <w:r>
        <w:rPr>
          <w:rFonts w:ascii="宋体" w:hAnsi="宋体" w:eastAsia="宋体" w:cs="宋体"/>
          <w:sz w:val="24"/>
          <w:szCs w:val="24"/>
        </w:rPr>
        <w:t>定义</w:t>
      </w:r>
      <w:r>
        <w:rPr>
          <w:rFonts w:ascii="宋体" w:hAnsi="宋体" w:eastAsia="宋体" w:cs="宋体"/>
          <w:spacing w:val="-13"/>
          <w:sz w:val="24"/>
          <w:szCs w:val="24"/>
        </w:rPr>
        <w:t>见公式：</w:t>
      </w:r>
    </w:p>
    <w:p w14:paraId="083C4DFA">
      <w:pPr>
        <w:spacing w:line="557" w:lineRule="exact"/>
        <w:ind w:left="3336"/>
      </w:pPr>
      <w:r>
        <w:rPr>
          <w:position w:val="-11"/>
        </w:rPr>
        <w:drawing>
          <wp:inline distT="0" distB="0" distL="0" distR="0">
            <wp:extent cx="1078865" cy="3530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30"/>
                    <a:stretch>
                      <a:fillRect/>
                    </a:stretch>
                  </pic:blipFill>
                  <pic:spPr>
                    <a:xfrm>
                      <a:off x="0" y="0"/>
                      <a:ext cx="1079372" cy="353519"/>
                    </a:xfrm>
                    <a:prstGeom prst="rect">
                      <a:avLst/>
                    </a:prstGeom>
                  </pic:spPr>
                </pic:pic>
              </a:graphicData>
            </a:graphic>
          </wp:inline>
        </w:drawing>
      </w:r>
    </w:p>
    <w:p w14:paraId="68EE0FAE">
      <w:pPr>
        <w:pStyle w:val="2"/>
        <w:spacing w:line="252" w:lineRule="auto"/>
      </w:pPr>
    </w:p>
    <w:p w14:paraId="2B1C2667">
      <w:pPr>
        <w:spacing w:before="78" w:line="220" w:lineRule="auto"/>
        <w:ind w:left="524"/>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position w:val="-2"/>
          <w:sz w:val="15"/>
          <w:szCs w:val="15"/>
        </w:rPr>
        <w:t>i</w:t>
      </w:r>
      <w:r>
        <w:rPr>
          <w:rFonts w:ascii="Times New Roman" w:hAnsi="Times New Roman" w:eastAsia="Times New Roman" w:cs="Times New Roman"/>
          <w:spacing w:val="-1"/>
          <w:sz w:val="24"/>
          <w:szCs w:val="24"/>
        </w:rPr>
        <w:t>—</w:t>
      </w:r>
      <w:r>
        <w:rPr>
          <w:rFonts w:ascii="宋体" w:hAnsi="宋体" w:eastAsia="宋体" w:cs="宋体"/>
          <w:spacing w:val="-1"/>
          <w:sz w:val="24"/>
          <w:szCs w:val="24"/>
        </w:rPr>
        <w:t>第</w:t>
      </w:r>
      <w:r>
        <w:rPr>
          <w:rFonts w:ascii="Times New Roman" w:hAnsi="Times New Roman" w:eastAsia="Times New Roman" w:cs="Times New Roman"/>
          <w:spacing w:val="-1"/>
          <w:sz w:val="24"/>
          <w:szCs w:val="24"/>
        </w:rPr>
        <w:t>i</w:t>
      </w:r>
      <w:r>
        <w:rPr>
          <w:rFonts w:ascii="宋体" w:hAnsi="宋体" w:eastAsia="宋体" w:cs="宋体"/>
          <w:spacing w:val="-1"/>
          <w:sz w:val="24"/>
          <w:szCs w:val="24"/>
        </w:rPr>
        <w:t>个污染物的最大地面空气质量浓度占标率，</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0E527456">
      <w:pPr>
        <w:spacing w:before="169" w:line="223" w:lineRule="auto"/>
        <w:jc w:val="right"/>
        <w:rPr>
          <w:rFonts w:ascii="宋体" w:hAnsi="宋体" w:eastAsia="宋体" w:cs="宋体"/>
          <w:sz w:val="24"/>
          <w:szCs w:val="24"/>
        </w:rPr>
      </w:pPr>
      <w:r>
        <w:rPr>
          <w:rFonts w:ascii="Times New Roman" w:hAnsi="Times New Roman" w:eastAsia="Times New Roman" w:cs="Times New Roman"/>
          <w:spacing w:val="-4"/>
          <w:sz w:val="24"/>
          <w:szCs w:val="24"/>
        </w:rPr>
        <w:t>C</w:t>
      </w:r>
      <w:r>
        <w:rPr>
          <w:rFonts w:ascii="Times New Roman" w:hAnsi="Times New Roman" w:eastAsia="Times New Roman" w:cs="Times New Roman"/>
          <w:spacing w:val="-4"/>
          <w:position w:val="-3"/>
          <w:sz w:val="15"/>
          <w:szCs w:val="15"/>
        </w:rPr>
        <w:t>i</w:t>
      </w:r>
      <w:r>
        <w:rPr>
          <w:rFonts w:ascii="Times New Roman" w:hAnsi="Times New Roman" w:eastAsia="Times New Roman" w:cs="Times New Roman"/>
          <w:spacing w:val="-4"/>
          <w:sz w:val="24"/>
          <w:szCs w:val="24"/>
        </w:rPr>
        <w:t>—</w:t>
      </w:r>
      <w:r>
        <w:rPr>
          <w:rFonts w:ascii="宋体" w:hAnsi="宋体" w:eastAsia="宋体" w:cs="宋体"/>
          <w:spacing w:val="-4"/>
          <w:sz w:val="24"/>
          <w:szCs w:val="24"/>
        </w:rPr>
        <w:t>采用估算模型计算出的第</w:t>
      </w:r>
      <w:r>
        <w:rPr>
          <w:rFonts w:ascii="Times New Roman" w:hAnsi="Times New Roman" w:eastAsia="Times New Roman" w:cs="Times New Roman"/>
          <w:spacing w:val="-4"/>
          <w:sz w:val="24"/>
          <w:szCs w:val="24"/>
        </w:rPr>
        <w:t>i</w:t>
      </w:r>
      <w:r>
        <w:rPr>
          <w:rFonts w:ascii="宋体" w:hAnsi="宋体" w:eastAsia="宋体" w:cs="宋体"/>
          <w:spacing w:val="-4"/>
          <w:sz w:val="24"/>
          <w:szCs w:val="24"/>
        </w:rPr>
        <w:t>个污染物的最大</w:t>
      </w:r>
      <w:r>
        <w:rPr>
          <w:rFonts w:ascii="Times New Roman" w:hAnsi="Times New Roman" w:eastAsia="Times New Roman" w:cs="Times New Roman"/>
          <w:spacing w:val="-4"/>
          <w:sz w:val="24"/>
          <w:szCs w:val="24"/>
        </w:rPr>
        <w:t>1h</w:t>
      </w:r>
      <w:r>
        <w:rPr>
          <w:rFonts w:ascii="宋体" w:hAnsi="宋体" w:eastAsia="宋体" w:cs="宋体"/>
          <w:spacing w:val="-4"/>
          <w:sz w:val="24"/>
          <w:szCs w:val="24"/>
        </w:rPr>
        <w:t>地面空气质量浓度，</w:t>
      </w:r>
      <w:r>
        <w:rPr>
          <w:rFonts w:ascii="Times New Roman" w:hAnsi="Times New Roman" w:eastAsia="Times New Roman" w:cs="Times New Roman"/>
          <w:spacing w:val="-4"/>
          <w:sz w:val="24"/>
          <w:szCs w:val="24"/>
        </w:rPr>
        <w:t>ug/m</w:t>
      </w:r>
      <w:r>
        <w:rPr>
          <w:rFonts w:ascii="Times New Roman" w:hAnsi="Times New Roman" w:eastAsia="Times New Roman" w:cs="Times New Roman"/>
          <w:spacing w:val="-5"/>
          <w:position w:val="10"/>
          <w:sz w:val="15"/>
          <w:szCs w:val="15"/>
        </w:rPr>
        <w:t>3</w:t>
      </w:r>
      <w:r>
        <w:rPr>
          <w:rFonts w:ascii="宋体" w:hAnsi="宋体" w:eastAsia="宋体" w:cs="宋体"/>
          <w:spacing w:val="-5"/>
          <w:sz w:val="24"/>
          <w:szCs w:val="24"/>
        </w:rPr>
        <w:t>；</w:t>
      </w:r>
    </w:p>
    <w:p w14:paraId="24996DDF">
      <w:pPr>
        <w:spacing w:before="178" w:line="361" w:lineRule="auto"/>
        <w:ind w:left="40" w:right="112" w:firstLine="478"/>
        <w:jc w:val="both"/>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position w:val="-2"/>
          <w:sz w:val="15"/>
          <w:szCs w:val="15"/>
        </w:rPr>
        <w:t>oi</w:t>
      </w:r>
      <w:r>
        <w:rPr>
          <w:rFonts w:ascii="Times New Roman" w:hAnsi="Times New Roman" w:eastAsia="Times New Roman" w:cs="Times New Roman"/>
          <w:sz w:val="24"/>
          <w:szCs w:val="24"/>
        </w:rPr>
        <w:t>—</w:t>
      </w:r>
      <w:r>
        <w:rPr>
          <w:rFonts w:ascii="宋体" w:hAnsi="宋体" w:eastAsia="宋体" w:cs="宋体"/>
          <w:sz w:val="24"/>
          <w:szCs w:val="24"/>
        </w:rPr>
        <w:t>第</w:t>
      </w:r>
      <w:r>
        <w:rPr>
          <w:rFonts w:ascii="Times New Roman" w:hAnsi="Times New Roman" w:eastAsia="Times New Roman" w:cs="Times New Roman"/>
          <w:sz w:val="24"/>
          <w:szCs w:val="24"/>
        </w:rPr>
        <w:t>i</w:t>
      </w:r>
      <w:r>
        <w:rPr>
          <w:rFonts w:ascii="宋体" w:hAnsi="宋体" w:eastAsia="宋体" w:cs="宋体"/>
          <w:sz w:val="24"/>
          <w:szCs w:val="24"/>
        </w:rPr>
        <w:t>个污染物的环境空气质量浓度标准，</w:t>
      </w:r>
      <w:r>
        <w:rPr>
          <w:rFonts w:ascii="Times New Roman" w:hAnsi="Times New Roman" w:eastAsia="Times New Roman" w:cs="Times New Roman"/>
          <w:sz w:val="24"/>
          <w:szCs w:val="24"/>
        </w:rPr>
        <w:t>ug/m</w:t>
      </w:r>
      <w:r>
        <w:rPr>
          <w:rFonts w:ascii="Times New Roman" w:hAnsi="Times New Roman" w:eastAsia="Times New Roman" w:cs="Times New Roman"/>
          <w:position w:val="11"/>
          <w:sz w:val="15"/>
          <w:szCs w:val="15"/>
        </w:rPr>
        <w:t xml:space="preserve">3 </w:t>
      </w:r>
      <w:r>
        <w:rPr>
          <w:rFonts w:ascii="宋体" w:hAnsi="宋体" w:eastAsia="宋体" w:cs="宋体"/>
          <w:sz w:val="24"/>
          <w:szCs w:val="24"/>
        </w:rPr>
        <w:t>。</w:t>
      </w:r>
      <w:r>
        <w:rPr>
          <w:rFonts w:ascii="Times New Roman" w:hAnsi="Times New Roman" w:eastAsia="Times New Roman" w:cs="Times New Roman"/>
          <w:sz w:val="24"/>
          <w:szCs w:val="24"/>
        </w:rPr>
        <w:t>C</w:t>
      </w:r>
      <w:r>
        <w:rPr>
          <w:rFonts w:ascii="Times New Roman" w:hAnsi="Times New Roman" w:eastAsia="Times New Roman" w:cs="Times New Roman"/>
          <w:position w:val="-2"/>
          <w:sz w:val="15"/>
          <w:szCs w:val="15"/>
        </w:rPr>
        <w:t>oi</w:t>
      </w:r>
      <w:r>
        <w:rPr>
          <w:rFonts w:ascii="Times New Roman" w:hAnsi="Times New Roman" w:eastAsia="Times New Roman" w:cs="Times New Roman"/>
          <w:spacing w:val="-21"/>
          <w:position w:val="-2"/>
          <w:sz w:val="15"/>
          <w:szCs w:val="15"/>
        </w:rPr>
        <w:t xml:space="preserve"> </w:t>
      </w:r>
      <w:r>
        <w:rPr>
          <w:rFonts w:ascii="宋体" w:hAnsi="宋体" w:eastAsia="宋体" w:cs="宋体"/>
          <w:sz w:val="24"/>
          <w:szCs w:val="24"/>
        </w:rPr>
        <w:t>一般选用</w:t>
      </w:r>
      <w:r>
        <w:rPr>
          <w:rFonts w:ascii="Times New Roman" w:hAnsi="Times New Roman" w:eastAsia="Times New Roman" w:cs="Times New Roman"/>
          <w:sz w:val="24"/>
          <w:szCs w:val="24"/>
        </w:rPr>
        <w:t>GB3095</w:t>
      </w:r>
      <w:r>
        <w:rPr>
          <w:rFonts w:ascii="宋体" w:hAnsi="宋体" w:eastAsia="宋体" w:cs="宋体"/>
          <w:sz w:val="24"/>
          <w:szCs w:val="24"/>
        </w:rPr>
        <w:t>中</w:t>
      </w:r>
      <w:r>
        <w:rPr>
          <w:rFonts w:ascii="Times New Roman" w:hAnsi="Times New Roman" w:eastAsia="Times New Roman" w:cs="Times New Roman"/>
          <w:spacing w:val="-3"/>
          <w:sz w:val="24"/>
          <w:szCs w:val="24"/>
        </w:rPr>
        <w:t>1h</w:t>
      </w:r>
      <w:r>
        <w:rPr>
          <w:rFonts w:ascii="宋体" w:hAnsi="宋体" w:eastAsia="宋体" w:cs="宋体"/>
          <w:spacing w:val="-3"/>
          <w:sz w:val="24"/>
          <w:szCs w:val="24"/>
        </w:rPr>
        <w:t>平均质量浓度的二级浓度限值，如项目位于一类环境空气功能区，应选择相应</w:t>
      </w:r>
      <w:r>
        <w:rPr>
          <w:rFonts w:ascii="宋体" w:hAnsi="宋体" w:eastAsia="宋体" w:cs="宋体"/>
          <w:spacing w:val="2"/>
          <w:sz w:val="24"/>
          <w:szCs w:val="24"/>
        </w:rPr>
        <w:t>的一级浓度限值；对该标准中未包含的污染物，使用“</w:t>
      </w:r>
      <w:r>
        <w:rPr>
          <w:rFonts w:ascii="Times New Roman" w:hAnsi="Times New Roman" w:eastAsia="Times New Roman" w:cs="Times New Roman"/>
          <w:spacing w:val="2"/>
          <w:sz w:val="24"/>
          <w:szCs w:val="24"/>
        </w:rPr>
        <w:t>5.2</w:t>
      </w:r>
      <w:r>
        <w:rPr>
          <w:rFonts w:ascii="宋体" w:hAnsi="宋体" w:eastAsia="宋体" w:cs="宋体"/>
          <w:spacing w:val="2"/>
          <w:sz w:val="24"/>
          <w:szCs w:val="24"/>
        </w:rPr>
        <w:t>”确定的各评价因子</w:t>
      </w:r>
      <w:r>
        <w:rPr>
          <w:rFonts w:ascii="Times New Roman" w:hAnsi="Times New Roman" w:eastAsia="Times New Roman" w:cs="Times New Roman"/>
          <w:spacing w:val="-3"/>
          <w:sz w:val="24"/>
          <w:szCs w:val="24"/>
        </w:rPr>
        <w:t>1h</w:t>
      </w:r>
      <w:r>
        <w:rPr>
          <w:rFonts w:ascii="宋体" w:hAnsi="宋体" w:eastAsia="宋体" w:cs="宋体"/>
          <w:spacing w:val="-3"/>
          <w:sz w:val="24"/>
          <w:szCs w:val="24"/>
        </w:rPr>
        <w:t>平均质量浓度限值。对仅有</w:t>
      </w:r>
      <w:r>
        <w:rPr>
          <w:rFonts w:ascii="Times New Roman" w:hAnsi="Times New Roman" w:eastAsia="Times New Roman" w:cs="Times New Roman"/>
          <w:spacing w:val="-3"/>
          <w:sz w:val="24"/>
          <w:szCs w:val="24"/>
        </w:rPr>
        <w:t>8h</w:t>
      </w:r>
      <w:r>
        <w:rPr>
          <w:rFonts w:ascii="宋体" w:hAnsi="宋体" w:eastAsia="宋体" w:cs="宋体"/>
          <w:spacing w:val="-3"/>
          <w:sz w:val="24"/>
          <w:szCs w:val="24"/>
        </w:rPr>
        <w:t>平均质量浓度限值、日平均质量浓度限值或年平</w:t>
      </w:r>
      <w:r>
        <w:rPr>
          <w:rFonts w:ascii="宋体" w:hAnsi="宋体" w:eastAsia="宋体" w:cs="宋体"/>
          <w:spacing w:val="-1"/>
          <w:sz w:val="24"/>
          <w:szCs w:val="24"/>
        </w:rPr>
        <w:t>均质量浓度限值的，可分别按</w:t>
      </w:r>
      <w:r>
        <w:rPr>
          <w:rFonts w:ascii="Times New Roman" w:hAnsi="Times New Roman" w:eastAsia="Times New Roman" w:cs="Times New Roman"/>
          <w:spacing w:val="-1"/>
          <w:sz w:val="24"/>
          <w:szCs w:val="24"/>
        </w:rPr>
        <w:t>2</w:t>
      </w:r>
      <w:r>
        <w:rPr>
          <w:rFonts w:ascii="宋体" w:hAnsi="宋体" w:eastAsia="宋体" w:cs="宋体"/>
          <w:spacing w:val="-1"/>
          <w:sz w:val="24"/>
          <w:szCs w:val="24"/>
        </w:rPr>
        <w:t>倍、</w:t>
      </w:r>
      <w:r>
        <w:rPr>
          <w:rFonts w:ascii="Times New Roman" w:hAnsi="Times New Roman" w:eastAsia="Times New Roman" w:cs="Times New Roman"/>
          <w:spacing w:val="-1"/>
          <w:sz w:val="24"/>
          <w:szCs w:val="24"/>
        </w:rPr>
        <w:t>3</w:t>
      </w:r>
      <w:r>
        <w:rPr>
          <w:rFonts w:ascii="宋体" w:hAnsi="宋体" w:eastAsia="宋体" w:cs="宋体"/>
          <w:spacing w:val="-1"/>
          <w:sz w:val="24"/>
          <w:szCs w:val="24"/>
        </w:rPr>
        <w:t>倍、</w:t>
      </w:r>
      <w:r>
        <w:rPr>
          <w:rFonts w:ascii="Times New Roman" w:hAnsi="Times New Roman" w:eastAsia="Times New Roman" w:cs="Times New Roman"/>
          <w:spacing w:val="-1"/>
          <w:sz w:val="24"/>
          <w:szCs w:val="24"/>
        </w:rPr>
        <w:t>6</w:t>
      </w:r>
      <w:r>
        <w:rPr>
          <w:rFonts w:ascii="宋体" w:hAnsi="宋体" w:eastAsia="宋体" w:cs="宋体"/>
          <w:spacing w:val="-1"/>
          <w:sz w:val="24"/>
          <w:szCs w:val="24"/>
        </w:rPr>
        <w:t>倍折算为</w:t>
      </w:r>
      <w:r>
        <w:rPr>
          <w:rFonts w:ascii="Times New Roman" w:hAnsi="Times New Roman" w:eastAsia="Times New Roman" w:cs="Times New Roman"/>
          <w:spacing w:val="-1"/>
          <w:sz w:val="24"/>
          <w:szCs w:val="24"/>
        </w:rPr>
        <w:t>1h</w:t>
      </w:r>
      <w:r>
        <w:rPr>
          <w:rFonts w:ascii="宋体" w:hAnsi="宋体" w:eastAsia="宋体" w:cs="宋体"/>
          <w:spacing w:val="-1"/>
          <w:sz w:val="24"/>
          <w:szCs w:val="24"/>
        </w:rPr>
        <w:t>平</w:t>
      </w:r>
      <w:r>
        <w:rPr>
          <w:rFonts w:ascii="宋体" w:hAnsi="宋体" w:eastAsia="宋体" w:cs="宋体"/>
          <w:spacing w:val="-2"/>
          <w:sz w:val="24"/>
          <w:szCs w:val="24"/>
        </w:rPr>
        <w:t>均质量浓度限值。</w:t>
      </w:r>
    </w:p>
    <w:p w14:paraId="15301867">
      <w:pPr>
        <w:spacing w:before="2" w:line="359" w:lineRule="auto"/>
        <w:ind w:left="40" w:right="112" w:firstLine="481"/>
        <w:rPr>
          <w:rFonts w:ascii="宋体" w:hAnsi="宋体" w:eastAsia="宋体" w:cs="宋体"/>
          <w:sz w:val="24"/>
          <w:szCs w:val="24"/>
        </w:rPr>
      </w:pPr>
      <w:r>
        <w:rPr>
          <w:rFonts w:ascii="宋体" w:hAnsi="宋体" w:eastAsia="宋体" w:cs="宋体"/>
          <w:spacing w:val="-4"/>
          <w:sz w:val="24"/>
          <w:szCs w:val="24"/>
        </w:rPr>
        <w:t>大气环境评价等级按表</w:t>
      </w:r>
      <w:r>
        <w:rPr>
          <w:rFonts w:ascii="Times New Roman" w:hAnsi="Times New Roman" w:eastAsia="Times New Roman" w:cs="Times New Roman"/>
          <w:spacing w:val="-4"/>
          <w:sz w:val="24"/>
          <w:szCs w:val="24"/>
        </w:rPr>
        <w:t>1.3-1</w:t>
      </w:r>
      <w:r>
        <w:rPr>
          <w:rFonts w:ascii="宋体" w:hAnsi="宋体" w:eastAsia="宋体" w:cs="宋体"/>
          <w:spacing w:val="-4"/>
          <w:sz w:val="24"/>
          <w:szCs w:val="24"/>
        </w:rPr>
        <w:t>的分级判据进行划分，最大地面空气质量浓度占</w:t>
      </w:r>
      <w:r>
        <w:rPr>
          <w:rFonts w:ascii="宋体" w:hAnsi="宋体" w:eastAsia="宋体" w:cs="宋体"/>
          <w:sz w:val="24"/>
          <w:szCs w:val="24"/>
        </w:rPr>
        <w:t>标率</w:t>
      </w:r>
      <w:r>
        <w:rPr>
          <w:rFonts w:ascii="Times New Roman" w:hAnsi="Times New Roman" w:eastAsia="Times New Roman" w:cs="Times New Roman"/>
          <w:sz w:val="24"/>
          <w:szCs w:val="24"/>
        </w:rPr>
        <w:t>Pi</w:t>
      </w:r>
      <w:r>
        <w:rPr>
          <w:rFonts w:ascii="宋体" w:hAnsi="宋体" w:eastAsia="宋体" w:cs="宋体"/>
          <w:sz w:val="24"/>
          <w:szCs w:val="24"/>
        </w:rPr>
        <w:t>按公式计算，如污染物数</w:t>
      </w:r>
      <w:r>
        <w:rPr>
          <w:rFonts w:ascii="Times New Roman" w:hAnsi="Times New Roman" w:eastAsia="Times New Roman" w:cs="Times New Roman"/>
          <w:sz w:val="24"/>
          <w:szCs w:val="24"/>
        </w:rPr>
        <w:t>i</w:t>
      </w:r>
      <w:r>
        <w:rPr>
          <w:rFonts w:ascii="宋体" w:hAnsi="宋体" w:eastAsia="宋体" w:cs="宋体"/>
          <w:sz w:val="24"/>
          <w:szCs w:val="24"/>
        </w:rPr>
        <w:t>大于</w:t>
      </w:r>
      <w:r>
        <w:rPr>
          <w:rFonts w:ascii="Times New Roman" w:hAnsi="Times New Roman" w:eastAsia="Times New Roman" w:cs="Times New Roman"/>
          <w:sz w:val="24"/>
          <w:szCs w:val="24"/>
        </w:rPr>
        <w:t>1</w:t>
      </w:r>
      <w:r>
        <w:rPr>
          <w:rFonts w:ascii="宋体" w:hAnsi="宋体" w:eastAsia="宋体" w:cs="宋体"/>
          <w:sz w:val="24"/>
          <w:szCs w:val="24"/>
        </w:rPr>
        <w:t>，取</w:t>
      </w:r>
      <w:r>
        <w:rPr>
          <w:rFonts w:ascii="Times New Roman" w:hAnsi="Times New Roman" w:eastAsia="Times New Roman" w:cs="Times New Roman"/>
          <w:sz w:val="24"/>
          <w:szCs w:val="24"/>
        </w:rPr>
        <w:t>P</w:t>
      </w:r>
      <w:r>
        <w:rPr>
          <w:rFonts w:ascii="宋体" w:hAnsi="宋体" w:eastAsia="宋体" w:cs="宋体"/>
          <w:sz w:val="24"/>
          <w:szCs w:val="24"/>
        </w:rPr>
        <w:t>值中最大者</w:t>
      </w:r>
      <w:r>
        <w:rPr>
          <w:rFonts w:ascii="Times New Roman" w:hAnsi="Times New Roman" w:eastAsia="Times New Roman" w:cs="Times New Roman"/>
          <w:sz w:val="24"/>
          <w:szCs w:val="24"/>
        </w:rPr>
        <w:t>P</w:t>
      </w:r>
      <w:r>
        <w:rPr>
          <w:rFonts w:ascii="Times New Roman" w:hAnsi="Times New Roman" w:eastAsia="Times New Roman" w:cs="Times New Roman"/>
          <w:position w:val="-2"/>
          <w:sz w:val="15"/>
          <w:szCs w:val="15"/>
        </w:rPr>
        <w:t>max</w:t>
      </w:r>
      <w:r>
        <w:rPr>
          <w:rFonts w:ascii="宋体" w:hAnsi="宋体" w:eastAsia="宋体" w:cs="宋体"/>
          <w:sz w:val="24"/>
          <w:szCs w:val="24"/>
        </w:rPr>
        <w:t>。</w:t>
      </w:r>
    </w:p>
    <w:p w14:paraId="1BD85F0C">
      <w:pPr>
        <w:spacing w:line="218"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）评价因子及标准</w:t>
      </w:r>
    </w:p>
    <w:p w14:paraId="407A5A79">
      <w:pPr>
        <w:spacing w:line="218" w:lineRule="auto"/>
        <w:rPr>
          <w:rFonts w:ascii="宋体" w:hAnsi="宋体" w:eastAsia="宋体" w:cs="宋体"/>
          <w:sz w:val="24"/>
          <w:szCs w:val="24"/>
        </w:rPr>
        <w:sectPr>
          <w:headerReference r:id="rId41" w:type="default"/>
          <w:footerReference r:id="rId42" w:type="default"/>
          <w:pgSz w:w="11905" w:h="16840"/>
          <w:pgMar w:top="1168" w:right="1685" w:bottom="1409" w:left="1770" w:header="828" w:footer="1244" w:gutter="0"/>
          <w:cols w:space="720" w:num="1"/>
        </w:sectPr>
      </w:pPr>
    </w:p>
    <w:p w14:paraId="31CB3C0F">
      <w:pPr>
        <w:pStyle w:val="2"/>
        <w:spacing w:line="329" w:lineRule="auto"/>
      </w:pPr>
    </w:p>
    <w:p w14:paraId="60AB8A2E">
      <w:pPr>
        <w:spacing w:before="68" w:line="221" w:lineRule="auto"/>
        <w:ind w:left="266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1.3-1  </w:t>
      </w:r>
      <w:r>
        <w:rPr>
          <w:rFonts w:ascii="黑体" w:hAnsi="黑体" w:eastAsia="黑体" w:cs="黑体"/>
          <w:spacing w:val="-1"/>
          <w:sz w:val="21"/>
          <w:szCs w:val="21"/>
        </w:rPr>
        <w:t>大气环境评价等级判别表</w:t>
      </w:r>
    </w:p>
    <w:p w14:paraId="588AFBF2">
      <w:pPr>
        <w:spacing w:line="88" w:lineRule="exact"/>
      </w:pPr>
    </w:p>
    <w:tbl>
      <w:tblPr>
        <w:tblStyle w:val="5"/>
        <w:tblW w:w="8312" w:type="dxa"/>
        <w:tblInd w:w="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8"/>
        <w:gridCol w:w="4444"/>
      </w:tblGrid>
      <w:tr w14:paraId="6B495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868" w:type="dxa"/>
            <w:tcBorders>
              <w:top w:val="single" w:color="000000" w:sz="2" w:space="0"/>
              <w:left w:val="single" w:color="000000" w:sz="2" w:space="0"/>
            </w:tcBorders>
            <w:vAlign w:val="top"/>
          </w:tcPr>
          <w:p w14:paraId="1F6FF450">
            <w:pPr>
              <w:spacing w:before="64" w:line="218" w:lineRule="auto"/>
              <w:ind w:left="1305"/>
              <w:rPr>
                <w:rFonts w:ascii="宋体" w:hAnsi="宋体" w:eastAsia="宋体" w:cs="宋体"/>
                <w:sz w:val="21"/>
                <w:szCs w:val="21"/>
              </w:rPr>
            </w:pPr>
            <w:r>
              <w:rPr>
                <w:rFonts w:ascii="宋体" w:hAnsi="宋体" w:eastAsia="宋体" w:cs="宋体"/>
                <w:spacing w:val="-2"/>
                <w:sz w:val="21"/>
                <w:szCs w:val="21"/>
              </w:rPr>
              <w:t>评价工作等级</w:t>
            </w:r>
          </w:p>
        </w:tc>
        <w:tc>
          <w:tcPr>
            <w:tcW w:w="4444" w:type="dxa"/>
            <w:tcBorders>
              <w:top w:val="single" w:color="000000" w:sz="2" w:space="0"/>
              <w:right w:val="single" w:color="000000" w:sz="2" w:space="0"/>
            </w:tcBorders>
            <w:vAlign w:val="top"/>
          </w:tcPr>
          <w:p w14:paraId="67108F85">
            <w:pPr>
              <w:spacing w:before="64" w:line="218" w:lineRule="auto"/>
              <w:ind w:left="1386"/>
              <w:rPr>
                <w:rFonts w:ascii="宋体" w:hAnsi="宋体" w:eastAsia="宋体" w:cs="宋体"/>
                <w:sz w:val="21"/>
                <w:szCs w:val="21"/>
              </w:rPr>
            </w:pPr>
            <w:r>
              <w:rPr>
                <w:rFonts w:ascii="宋体" w:hAnsi="宋体" w:eastAsia="宋体" w:cs="宋体"/>
                <w:spacing w:val="-1"/>
                <w:sz w:val="21"/>
                <w:szCs w:val="21"/>
              </w:rPr>
              <w:t>评价工作分级判据</w:t>
            </w:r>
          </w:p>
        </w:tc>
      </w:tr>
      <w:tr w14:paraId="26DCF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868" w:type="dxa"/>
            <w:tcBorders>
              <w:left w:val="single" w:color="000000" w:sz="2" w:space="0"/>
            </w:tcBorders>
            <w:vAlign w:val="top"/>
          </w:tcPr>
          <w:p w14:paraId="7DA87CC0">
            <w:pPr>
              <w:spacing w:before="64" w:line="222" w:lineRule="auto"/>
              <w:ind w:left="1729"/>
              <w:rPr>
                <w:rFonts w:ascii="宋体" w:hAnsi="宋体" w:eastAsia="宋体" w:cs="宋体"/>
                <w:sz w:val="21"/>
                <w:szCs w:val="21"/>
              </w:rPr>
            </w:pPr>
            <w:r>
              <w:rPr>
                <w:rFonts w:ascii="宋体" w:hAnsi="宋体" w:eastAsia="宋体" w:cs="宋体"/>
                <w:spacing w:val="-6"/>
                <w:sz w:val="21"/>
                <w:szCs w:val="21"/>
              </w:rPr>
              <w:t>一级</w:t>
            </w:r>
          </w:p>
        </w:tc>
        <w:tc>
          <w:tcPr>
            <w:tcW w:w="4444" w:type="dxa"/>
            <w:tcBorders>
              <w:right w:val="single" w:color="000000" w:sz="2" w:space="0"/>
            </w:tcBorders>
            <w:vAlign w:val="top"/>
          </w:tcPr>
          <w:p w14:paraId="7ADFCA24">
            <w:pPr>
              <w:pStyle w:val="6"/>
              <w:spacing w:before="64" w:line="221" w:lineRule="auto"/>
              <w:ind w:left="1746"/>
            </w:pPr>
            <w:r>
              <w:rPr>
                <w:spacing w:val="-5"/>
              </w:rPr>
              <w:t>P</w:t>
            </w:r>
            <w:r>
              <w:rPr>
                <w:spacing w:val="-5"/>
                <w:position w:val="-2"/>
                <w:sz w:val="14"/>
                <w:szCs w:val="14"/>
              </w:rPr>
              <w:t xml:space="preserve">max </w:t>
            </w:r>
            <w:r>
              <w:rPr>
                <w:rFonts w:ascii="宋体" w:hAnsi="宋体" w:eastAsia="宋体" w:cs="宋体"/>
                <w:spacing w:val="-5"/>
              </w:rPr>
              <w:t>≥</w:t>
            </w:r>
            <w:r>
              <w:rPr>
                <w:spacing w:val="-5"/>
              </w:rPr>
              <w:t>10%</w:t>
            </w:r>
          </w:p>
        </w:tc>
      </w:tr>
      <w:tr w14:paraId="1C474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868" w:type="dxa"/>
            <w:tcBorders>
              <w:left w:val="single" w:color="000000" w:sz="2" w:space="0"/>
            </w:tcBorders>
            <w:vAlign w:val="top"/>
          </w:tcPr>
          <w:p w14:paraId="0FFADC07">
            <w:pPr>
              <w:spacing w:before="64" w:line="222" w:lineRule="auto"/>
              <w:ind w:left="1729"/>
              <w:rPr>
                <w:rFonts w:ascii="宋体" w:hAnsi="宋体" w:eastAsia="宋体" w:cs="宋体"/>
                <w:sz w:val="21"/>
                <w:szCs w:val="21"/>
              </w:rPr>
            </w:pPr>
            <w:r>
              <w:rPr>
                <w:rFonts w:ascii="宋体" w:hAnsi="宋体" w:eastAsia="宋体" w:cs="宋体"/>
                <w:spacing w:val="-3"/>
                <w:sz w:val="21"/>
                <w:szCs w:val="21"/>
              </w:rPr>
              <w:t>二级</w:t>
            </w:r>
          </w:p>
        </w:tc>
        <w:tc>
          <w:tcPr>
            <w:tcW w:w="4444" w:type="dxa"/>
            <w:tcBorders>
              <w:right w:val="single" w:color="000000" w:sz="2" w:space="0"/>
            </w:tcBorders>
            <w:vAlign w:val="top"/>
          </w:tcPr>
          <w:p w14:paraId="1B397474">
            <w:pPr>
              <w:pStyle w:val="6"/>
              <w:spacing w:before="64" w:line="221" w:lineRule="auto"/>
              <w:ind w:left="1522"/>
            </w:pPr>
            <w:r>
              <w:rPr>
                <w:spacing w:val="-5"/>
              </w:rPr>
              <w:t>1%</w:t>
            </w:r>
            <w:r>
              <w:rPr>
                <w:rFonts w:ascii="宋体" w:hAnsi="宋体" w:eastAsia="宋体" w:cs="宋体"/>
                <w:spacing w:val="-5"/>
              </w:rPr>
              <w:t>≤</w:t>
            </w:r>
            <w:r>
              <w:rPr>
                <w:spacing w:val="-5"/>
              </w:rPr>
              <w:t>P</w:t>
            </w:r>
            <w:r>
              <w:rPr>
                <w:spacing w:val="-5"/>
                <w:position w:val="-2"/>
                <w:sz w:val="14"/>
                <w:szCs w:val="14"/>
              </w:rPr>
              <w:t xml:space="preserve">max </w:t>
            </w:r>
            <w:r>
              <w:rPr>
                <w:rFonts w:ascii="宋体" w:hAnsi="宋体" w:eastAsia="宋体" w:cs="宋体"/>
                <w:spacing w:val="-5"/>
              </w:rPr>
              <w:t>≤</w:t>
            </w:r>
            <w:r>
              <w:rPr>
                <w:spacing w:val="-5"/>
              </w:rPr>
              <w:t>10%</w:t>
            </w:r>
          </w:p>
        </w:tc>
      </w:tr>
      <w:tr w14:paraId="77231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3868" w:type="dxa"/>
            <w:tcBorders>
              <w:left w:val="single" w:color="000000" w:sz="2" w:space="0"/>
              <w:bottom w:val="single" w:color="000000" w:sz="2" w:space="0"/>
            </w:tcBorders>
            <w:vAlign w:val="top"/>
          </w:tcPr>
          <w:p w14:paraId="20735CE2">
            <w:pPr>
              <w:spacing w:before="65" w:line="222" w:lineRule="auto"/>
              <w:ind w:left="1726"/>
              <w:rPr>
                <w:rFonts w:ascii="宋体" w:hAnsi="宋体" w:eastAsia="宋体" w:cs="宋体"/>
                <w:sz w:val="21"/>
                <w:szCs w:val="21"/>
              </w:rPr>
            </w:pPr>
            <w:r>
              <w:rPr>
                <w:rFonts w:ascii="宋体" w:hAnsi="宋体" w:eastAsia="宋体" w:cs="宋体"/>
                <w:spacing w:val="-3"/>
                <w:sz w:val="21"/>
                <w:szCs w:val="21"/>
              </w:rPr>
              <w:t>三级</w:t>
            </w:r>
          </w:p>
        </w:tc>
        <w:tc>
          <w:tcPr>
            <w:tcW w:w="4444" w:type="dxa"/>
            <w:tcBorders>
              <w:bottom w:val="single" w:color="000000" w:sz="2" w:space="0"/>
              <w:right w:val="single" w:color="000000" w:sz="2" w:space="0"/>
            </w:tcBorders>
            <w:vAlign w:val="top"/>
          </w:tcPr>
          <w:p w14:paraId="6D5BF47D">
            <w:pPr>
              <w:pStyle w:val="6"/>
              <w:spacing w:before="65" w:line="221" w:lineRule="auto"/>
              <w:ind w:left="1799"/>
            </w:pPr>
            <w:r>
              <w:rPr>
                <w:spacing w:val="-1"/>
              </w:rPr>
              <w:t>P</w:t>
            </w:r>
            <w:r>
              <w:rPr>
                <w:spacing w:val="-1"/>
                <w:position w:val="-2"/>
                <w:sz w:val="14"/>
                <w:szCs w:val="14"/>
              </w:rPr>
              <w:t>max</w:t>
            </w:r>
            <w:r>
              <w:rPr>
                <w:rFonts w:ascii="宋体" w:hAnsi="宋体" w:eastAsia="宋体" w:cs="宋体"/>
                <w:spacing w:val="-1"/>
              </w:rPr>
              <w:t>＜</w:t>
            </w:r>
            <w:r>
              <w:rPr>
                <w:spacing w:val="-1"/>
              </w:rPr>
              <w:t>1%</w:t>
            </w:r>
          </w:p>
        </w:tc>
      </w:tr>
    </w:tbl>
    <w:p w14:paraId="6992AE1A">
      <w:pPr>
        <w:spacing w:before="235" w:line="361" w:lineRule="auto"/>
        <w:ind w:left="40" w:right="41" w:firstLine="479"/>
        <w:rPr>
          <w:rFonts w:ascii="宋体" w:hAnsi="宋体" w:eastAsia="宋体" w:cs="宋体"/>
          <w:sz w:val="24"/>
          <w:szCs w:val="24"/>
        </w:rPr>
      </w:pPr>
      <w:r>
        <w:rPr>
          <w:rFonts w:ascii="宋体" w:hAnsi="宋体" w:eastAsia="宋体" w:cs="宋体"/>
          <w:sz w:val="24"/>
          <w:szCs w:val="24"/>
        </w:rPr>
        <w:t>根据工程分析，本项目运营期大气污染物主要为猪舍产生的</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3</w:t>
      </w:r>
      <w:r>
        <w:rPr>
          <w:rFonts w:ascii="Times New Roman" w:hAnsi="Times New Roman" w:eastAsia="Times New Roman" w:cs="Times New Roman"/>
          <w:spacing w:val="-8"/>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，评</w:t>
      </w:r>
      <w:r>
        <w:rPr>
          <w:rFonts w:ascii="宋体" w:hAnsi="宋体" w:eastAsia="宋体" w:cs="宋体"/>
          <w:spacing w:val="-7"/>
          <w:sz w:val="24"/>
          <w:szCs w:val="24"/>
        </w:rPr>
        <w:t>价因子和标准如下：</w:t>
      </w:r>
    </w:p>
    <w:p w14:paraId="23AA59A8">
      <w:pPr>
        <w:spacing w:before="9" w:line="222" w:lineRule="auto"/>
        <w:ind w:left="287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1.3-2  </w:t>
      </w:r>
      <w:r>
        <w:rPr>
          <w:rFonts w:ascii="黑体" w:hAnsi="黑体" w:eastAsia="黑体" w:cs="黑体"/>
          <w:spacing w:val="-1"/>
          <w:sz w:val="21"/>
          <w:szCs w:val="21"/>
        </w:rPr>
        <w:t>项目评价因子和标准</w:t>
      </w:r>
    </w:p>
    <w:p w14:paraId="433856AF">
      <w:pPr>
        <w:spacing w:line="88" w:lineRule="exact"/>
      </w:pPr>
    </w:p>
    <w:tbl>
      <w:tblPr>
        <w:tblStyle w:val="5"/>
        <w:tblW w:w="8317"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1057"/>
        <w:gridCol w:w="1775"/>
        <w:gridCol w:w="4059"/>
      </w:tblGrid>
      <w:tr w14:paraId="60A14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26" w:type="dxa"/>
            <w:vAlign w:val="top"/>
          </w:tcPr>
          <w:p w14:paraId="206D1712">
            <w:pPr>
              <w:spacing w:before="69" w:line="218" w:lineRule="auto"/>
              <w:ind w:left="297"/>
              <w:rPr>
                <w:rFonts w:ascii="宋体" w:hAnsi="宋体" w:eastAsia="宋体" w:cs="宋体"/>
                <w:sz w:val="21"/>
                <w:szCs w:val="21"/>
              </w:rPr>
            </w:pPr>
            <w:r>
              <w:rPr>
                <w:rFonts w:ascii="宋体" w:hAnsi="宋体" w:eastAsia="宋体" w:cs="宋体"/>
                <w:spacing w:val="-2"/>
                <w:sz w:val="21"/>
                <w:szCs w:val="21"/>
              </w:rPr>
              <w:t>评价因子</w:t>
            </w:r>
          </w:p>
        </w:tc>
        <w:tc>
          <w:tcPr>
            <w:tcW w:w="1057" w:type="dxa"/>
            <w:vAlign w:val="top"/>
          </w:tcPr>
          <w:p w14:paraId="6A0DE98D">
            <w:pPr>
              <w:spacing w:before="69" w:line="220" w:lineRule="auto"/>
              <w:ind w:left="106"/>
              <w:rPr>
                <w:rFonts w:ascii="宋体" w:hAnsi="宋体" w:eastAsia="宋体" w:cs="宋体"/>
                <w:sz w:val="21"/>
                <w:szCs w:val="21"/>
              </w:rPr>
            </w:pPr>
            <w:r>
              <w:rPr>
                <w:rFonts w:ascii="宋体" w:hAnsi="宋体" w:eastAsia="宋体" w:cs="宋体"/>
                <w:spacing w:val="-2"/>
                <w:sz w:val="21"/>
                <w:szCs w:val="21"/>
              </w:rPr>
              <w:t>平均时段</w:t>
            </w:r>
          </w:p>
        </w:tc>
        <w:tc>
          <w:tcPr>
            <w:tcW w:w="1775" w:type="dxa"/>
            <w:vAlign w:val="top"/>
          </w:tcPr>
          <w:p w14:paraId="22444E6A">
            <w:pPr>
              <w:pStyle w:val="6"/>
              <w:spacing w:before="53" w:line="217" w:lineRule="auto"/>
              <w:ind w:left="83"/>
              <w:rPr>
                <w:rFonts w:ascii="宋体" w:hAnsi="宋体" w:eastAsia="宋体" w:cs="宋体"/>
              </w:rPr>
            </w:pPr>
            <w:r>
              <w:rPr>
                <w:rFonts w:ascii="宋体" w:hAnsi="宋体" w:eastAsia="宋体" w:cs="宋体"/>
                <w:spacing w:val="-2"/>
              </w:rPr>
              <w:t>标准值</w:t>
            </w:r>
            <w:r>
              <w:rPr>
                <w:spacing w:val="-2"/>
              </w:rPr>
              <w:t>/</w:t>
            </w:r>
            <w:r>
              <w:rPr>
                <w:rFonts w:ascii="宋体" w:hAnsi="宋体" w:eastAsia="宋体" w:cs="宋体"/>
                <w:spacing w:val="-2"/>
              </w:rPr>
              <w:t>（</w:t>
            </w:r>
            <w:r>
              <w:rPr>
                <w:spacing w:val="-2"/>
              </w:rPr>
              <w:t>ug/m</w:t>
            </w:r>
            <w:r>
              <w:rPr>
                <w:spacing w:val="-2"/>
                <w:position w:val="1"/>
                <w:sz w:val="14"/>
                <w:szCs w:val="14"/>
              </w:rPr>
              <w:t>3</w:t>
            </w:r>
            <w:r>
              <w:rPr>
                <w:rFonts w:ascii="宋体" w:hAnsi="宋体" w:eastAsia="宋体" w:cs="宋体"/>
                <w:spacing w:val="-2"/>
                <w:position w:val="1"/>
              </w:rPr>
              <w:t>）</w:t>
            </w:r>
          </w:p>
        </w:tc>
        <w:tc>
          <w:tcPr>
            <w:tcW w:w="4059" w:type="dxa"/>
            <w:vAlign w:val="top"/>
          </w:tcPr>
          <w:p w14:paraId="0477B1BF">
            <w:pPr>
              <w:spacing w:before="68" w:line="220" w:lineRule="auto"/>
              <w:ind w:left="1609"/>
              <w:rPr>
                <w:rFonts w:ascii="宋体" w:hAnsi="宋体" w:eastAsia="宋体" w:cs="宋体"/>
                <w:sz w:val="21"/>
                <w:szCs w:val="21"/>
              </w:rPr>
            </w:pPr>
            <w:r>
              <w:rPr>
                <w:rFonts w:ascii="宋体" w:hAnsi="宋体" w:eastAsia="宋体" w:cs="宋体"/>
                <w:spacing w:val="-2"/>
                <w:sz w:val="21"/>
                <w:szCs w:val="21"/>
              </w:rPr>
              <w:t>标准来源</w:t>
            </w:r>
          </w:p>
        </w:tc>
      </w:tr>
      <w:tr w14:paraId="0F1A6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26" w:type="dxa"/>
            <w:vAlign w:val="top"/>
          </w:tcPr>
          <w:p w14:paraId="6D3C7D57">
            <w:pPr>
              <w:pStyle w:val="6"/>
              <w:spacing w:before="102" w:line="198" w:lineRule="auto"/>
              <w:ind w:left="544"/>
            </w:pPr>
            <w:r>
              <w:rPr>
                <w:spacing w:val="-2"/>
              </w:rPr>
              <w:t>H</w:t>
            </w:r>
            <w:r>
              <w:rPr>
                <w:spacing w:val="-2"/>
                <w:position w:val="-2"/>
                <w:sz w:val="14"/>
                <w:szCs w:val="14"/>
              </w:rPr>
              <w:t>2</w:t>
            </w:r>
            <w:r>
              <w:rPr>
                <w:spacing w:val="-2"/>
              </w:rPr>
              <w:t>S</w:t>
            </w:r>
          </w:p>
        </w:tc>
        <w:tc>
          <w:tcPr>
            <w:tcW w:w="1057" w:type="dxa"/>
            <w:vAlign w:val="top"/>
          </w:tcPr>
          <w:p w14:paraId="6531AC12">
            <w:pPr>
              <w:pStyle w:val="6"/>
              <w:spacing w:before="99" w:line="192" w:lineRule="auto"/>
              <w:ind w:left="439"/>
            </w:pPr>
            <w:r>
              <w:rPr>
                <w:spacing w:val="-7"/>
              </w:rPr>
              <w:t>1h</w:t>
            </w:r>
          </w:p>
        </w:tc>
        <w:tc>
          <w:tcPr>
            <w:tcW w:w="1775" w:type="dxa"/>
            <w:vAlign w:val="top"/>
          </w:tcPr>
          <w:p w14:paraId="6692C75E">
            <w:pPr>
              <w:pStyle w:val="6"/>
              <w:spacing w:before="102" w:line="188" w:lineRule="auto"/>
              <w:ind w:left="797"/>
            </w:pPr>
            <w:r>
              <w:rPr>
                <w:spacing w:val="-12"/>
              </w:rPr>
              <w:t>10</w:t>
            </w:r>
          </w:p>
        </w:tc>
        <w:tc>
          <w:tcPr>
            <w:tcW w:w="4059" w:type="dxa"/>
            <w:vMerge w:val="restart"/>
            <w:tcBorders>
              <w:bottom w:val="nil"/>
            </w:tcBorders>
            <w:vAlign w:val="top"/>
          </w:tcPr>
          <w:p w14:paraId="73EC47BC">
            <w:pPr>
              <w:pStyle w:val="6"/>
              <w:spacing w:before="85" w:line="264" w:lineRule="auto"/>
              <w:ind w:left="1045" w:right="309" w:hanging="748"/>
            </w:pPr>
            <w:r>
              <w:rPr>
                <w:rFonts w:ascii="宋体" w:hAnsi="宋体" w:eastAsia="宋体" w:cs="宋体"/>
                <w:spacing w:val="-4"/>
              </w:rPr>
              <w:t>《环境影响评价技术导则</w:t>
            </w:r>
            <w:r>
              <w:rPr>
                <w:rFonts w:ascii="宋体" w:hAnsi="宋体" w:eastAsia="宋体" w:cs="宋体"/>
                <w:spacing w:val="45"/>
              </w:rPr>
              <w:t xml:space="preserve"> </w:t>
            </w:r>
            <w:r>
              <w:rPr>
                <w:rFonts w:ascii="宋体" w:hAnsi="宋体" w:eastAsia="宋体" w:cs="宋体"/>
                <w:spacing w:val="-4"/>
              </w:rPr>
              <w:t>大气环境》</w:t>
            </w:r>
            <w:r>
              <w:rPr>
                <w:rFonts w:ascii="宋体" w:hAnsi="宋体" w:eastAsia="宋体" w:cs="宋体"/>
              </w:rPr>
              <w:t xml:space="preserve"> </w:t>
            </w:r>
            <w:r>
              <w:rPr>
                <w:rFonts w:ascii="宋体" w:hAnsi="宋体" w:eastAsia="宋体" w:cs="宋体"/>
                <w:spacing w:val="-1"/>
              </w:rPr>
              <w:t>（</w:t>
            </w:r>
            <w:r>
              <w:rPr>
                <w:spacing w:val="-1"/>
              </w:rPr>
              <w:t>HJ2.2-2018</w:t>
            </w:r>
            <w:r>
              <w:rPr>
                <w:rFonts w:ascii="宋体" w:hAnsi="宋体" w:eastAsia="宋体" w:cs="宋体"/>
                <w:spacing w:val="-1"/>
              </w:rPr>
              <w:t>）附录</w:t>
            </w:r>
            <w:r>
              <w:rPr>
                <w:spacing w:val="-1"/>
              </w:rPr>
              <w:t>D</w:t>
            </w:r>
          </w:p>
        </w:tc>
      </w:tr>
      <w:tr w14:paraId="724B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26" w:type="dxa"/>
            <w:vAlign w:val="top"/>
          </w:tcPr>
          <w:p w14:paraId="1D89BC0A">
            <w:pPr>
              <w:pStyle w:val="6"/>
              <w:spacing w:before="107" w:line="195" w:lineRule="auto"/>
              <w:ind w:left="521"/>
              <w:rPr>
                <w:sz w:val="14"/>
                <w:szCs w:val="14"/>
              </w:rPr>
            </w:pPr>
            <w:r>
              <w:t>NH</w:t>
            </w:r>
            <w:r>
              <w:rPr>
                <w:spacing w:val="1"/>
                <w:position w:val="-2"/>
                <w:sz w:val="14"/>
                <w:szCs w:val="14"/>
              </w:rPr>
              <w:t>3</w:t>
            </w:r>
          </w:p>
        </w:tc>
        <w:tc>
          <w:tcPr>
            <w:tcW w:w="1057" w:type="dxa"/>
            <w:vAlign w:val="top"/>
          </w:tcPr>
          <w:p w14:paraId="63A32520">
            <w:pPr>
              <w:pStyle w:val="6"/>
              <w:spacing w:before="100" w:line="192" w:lineRule="auto"/>
              <w:ind w:left="439"/>
            </w:pPr>
            <w:r>
              <w:rPr>
                <w:spacing w:val="-12"/>
              </w:rPr>
              <w:t>1h</w:t>
            </w:r>
          </w:p>
        </w:tc>
        <w:tc>
          <w:tcPr>
            <w:tcW w:w="1775" w:type="dxa"/>
            <w:vAlign w:val="top"/>
          </w:tcPr>
          <w:p w14:paraId="70EDC49A">
            <w:pPr>
              <w:pStyle w:val="6"/>
              <w:spacing w:before="104" w:line="188" w:lineRule="auto"/>
              <w:ind w:left="726"/>
            </w:pPr>
            <w:r>
              <w:rPr>
                <w:spacing w:val="-2"/>
              </w:rPr>
              <w:t>200</w:t>
            </w:r>
          </w:p>
        </w:tc>
        <w:tc>
          <w:tcPr>
            <w:tcW w:w="4059" w:type="dxa"/>
            <w:vMerge w:val="continue"/>
            <w:tcBorders>
              <w:top w:val="nil"/>
            </w:tcBorders>
            <w:vAlign w:val="top"/>
          </w:tcPr>
          <w:p w14:paraId="676D15E3">
            <w:pPr>
              <w:rPr>
                <w:rFonts w:ascii="Arial"/>
                <w:sz w:val="21"/>
              </w:rPr>
            </w:pPr>
          </w:p>
        </w:tc>
      </w:tr>
    </w:tbl>
    <w:p w14:paraId="75021BD6">
      <w:pPr>
        <w:spacing w:before="234"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）环境参数</w:t>
      </w:r>
    </w:p>
    <w:p w14:paraId="10667F7E">
      <w:pPr>
        <w:spacing w:before="181" w:line="362" w:lineRule="auto"/>
        <w:ind w:left="38" w:right="40" w:firstLine="480"/>
        <w:rPr>
          <w:rFonts w:ascii="宋体" w:hAnsi="宋体" w:eastAsia="宋体" w:cs="宋体"/>
          <w:sz w:val="24"/>
          <w:szCs w:val="24"/>
        </w:rPr>
      </w:pPr>
      <w:r>
        <w:rPr>
          <w:rFonts w:ascii="宋体" w:hAnsi="宋体" w:eastAsia="宋体" w:cs="宋体"/>
          <w:spacing w:val="2"/>
          <w:sz w:val="24"/>
          <w:szCs w:val="24"/>
        </w:rPr>
        <w:t>采用《环境影响评价技术导则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）推荐模式的估算</w:t>
      </w:r>
      <w:r>
        <w:rPr>
          <w:rFonts w:ascii="宋体" w:hAnsi="宋体" w:eastAsia="宋体" w:cs="宋体"/>
          <w:spacing w:val="-2"/>
          <w:sz w:val="24"/>
          <w:szCs w:val="24"/>
        </w:rPr>
        <w:t>模式</w:t>
      </w:r>
      <w:r>
        <w:rPr>
          <w:rFonts w:ascii="Times New Roman" w:hAnsi="Times New Roman" w:eastAsia="Times New Roman" w:cs="Times New Roman"/>
          <w:spacing w:val="-2"/>
          <w:sz w:val="24"/>
          <w:szCs w:val="24"/>
        </w:rPr>
        <w:t>AERSCREEN</w:t>
      </w:r>
      <w:r>
        <w:rPr>
          <w:rFonts w:ascii="宋体" w:hAnsi="宋体" w:eastAsia="宋体" w:cs="宋体"/>
          <w:spacing w:val="-2"/>
          <w:sz w:val="24"/>
          <w:szCs w:val="24"/>
        </w:rPr>
        <w:t>进行影响预测，本次预测选用参数见下表。</w:t>
      </w:r>
    </w:p>
    <w:p w14:paraId="56D859AA">
      <w:pPr>
        <w:spacing w:before="9" w:line="222" w:lineRule="auto"/>
        <w:ind w:left="308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1.3-3  </w:t>
      </w:r>
      <w:r>
        <w:rPr>
          <w:rFonts w:ascii="黑体" w:hAnsi="黑体" w:eastAsia="黑体" w:cs="黑体"/>
          <w:spacing w:val="-1"/>
          <w:sz w:val="21"/>
          <w:szCs w:val="21"/>
        </w:rPr>
        <w:t>估算模型参数表</w:t>
      </w:r>
    </w:p>
    <w:p w14:paraId="78764D06">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6"/>
        <w:gridCol w:w="2768"/>
        <w:gridCol w:w="3318"/>
      </w:tblGrid>
      <w:tr w14:paraId="4694D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994" w:type="dxa"/>
            <w:gridSpan w:val="2"/>
            <w:vAlign w:val="top"/>
          </w:tcPr>
          <w:p w14:paraId="09B36263">
            <w:pPr>
              <w:spacing w:before="50" w:line="220" w:lineRule="auto"/>
              <w:ind w:left="2293"/>
              <w:rPr>
                <w:rFonts w:ascii="宋体" w:hAnsi="宋体" w:eastAsia="宋体" w:cs="宋体"/>
                <w:sz w:val="21"/>
                <w:szCs w:val="21"/>
              </w:rPr>
            </w:pPr>
            <w:r>
              <w:rPr>
                <w:rFonts w:ascii="宋体" w:hAnsi="宋体" w:eastAsia="宋体" w:cs="宋体"/>
                <w:spacing w:val="-3"/>
                <w:sz w:val="21"/>
                <w:szCs w:val="21"/>
              </w:rPr>
              <w:t>参数</w:t>
            </w:r>
          </w:p>
        </w:tc>
        <w:tc>
          <w:tcPr>
            <w:tcW w:w="3318" w:type="dxa"/>
            <w:vAlign w:val="top"/>
          </w:tcPr>
          <w:p w14:paraId="04A96CD1">
            <w:pPr>
              <w:spacing w:before="50" w:line="220" w:lineRule="auto"/>
              <w:ind w:left="1456"/>
              <w:rPr>
                <w:rFonts w:ascii="宋体" w:hAnsi="宋体" w:eastAsia="宋体" w:cs="宋体"/>
                <w:sz w:val="21"/>
                <w:szCs w:val="21"/>
              </w:rPr>
            </w:pPr>
            <w:r>
              <w:rPr>
                <w:rFonts w:ascii="宋体" w:hAnsi="宋体" w:eastAsia="宋体" w:cs="宋体"/>
                <w:spacing w:val="-3"/>
                <w:sz w:val="21"/>
                <w:szCs w:val="21"/>
              </w:rPr>
              <w:t>取值</w:t>
            </w:r>
          </w:p>
        </w:tc>
      </w:tr>
      <w:tr w14:paraId="0185E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226" w:type="dxa"/>
            <w:vMerge w:val="restart"/>
            <w:tcBorders>
              <w:bottom w:val="nil"/>
            </w:tcBorders>
            <w:vAlign w:val="top"/>
          </w:tcPr>
          <w:p w14:paraId="03019E74">
            <w:pPr>
              <w:pStyle w:val="6"/>
              <w:spacing w:before="205" w:line="219" w:lineRule="auto"/>
              <w:ind w:left="457"/>
              <w:rPr>
                <w:rFonts w:ascii="宋体" w:hAnsi="宋体" w:eastAsia="宋体" w:cs="宋体"/>
              </w:rPr>
            </w:pPr>
            <w:r>
              <w:rPr>
                <w:rFonts w:ascii="宋体" w:hAnsi="宋体" w:eastAsia="宋体" w:cs="宋体"/>
                <w:spacing w:val="-2"/>
              </w:rPr>
              <w:t>城市</w:t>
            </w:r>
            <w:r>
              <w:rPr>
                <w:spacing w:val="-2"/>
              </w:rPr>
              <w:t>/</w:t>
            </w:r>
            <w:r>
              <w:rPr>
                <w:rFonts w:ascii="宋体" w:hAnsi="宋体" w:eastAsia="宋体" w:cs="宋体"/>
                <w:spacing w:val="-2"/>
              </w:rPr>
              <w:t>农村选项</w:t>
            </w:r>
          </w:p>
        </w:tc>
        <w:tc>
          <w:tcPr>
            <w:tcW w:w="2768" w:type="dxa"/>
            <w:vAlign w:val="top"/>
          </w:tcPr>
          <w:p w14:paraId="6B7F87F1">
            <w:pPr>
              <w:pStyle w:val="6"/>
              <w:spacing w:before="47" w:line="219" w:lineRule="auto"/>
              <w:ind w:left="939"/>
              <w:rPr>
                <w:rFonts w:ascii="宋体" w:hAnsi="宋体" w:eastAsia="宋体" w:cs="宋体"/>
              </w:rPr>
            </w:pPr>
            <w:r>
              <w:rPr>
                <w:rFonts w:ascii="宋体" w:hAnsi="宋体" w:eastAsia="宋体" w:cs="宋体"/>
                <w:spacing w:val="-2"/>
              </w:rPr>
              <w:t>城市</w:t>
            </w:r>
            <w:r>
              <w:rPr>
                <w:spacing w:val="-2"/>
              </w:rPr>
              <w:t>/</w:t>
            </w:r>
            <w:r>
              <w:rPr>
                <w:rFonts w:ascii="宋体" w:hAnsi="宋体" w:eastAsia="宋体" w:cs="宋体"/>
                <w:spacing w:val="-2"/>
              </w:rPr>
              <w:t>农村</w:t>
            </w:r>
          </w:p>
        </w:tc>
        <w:tc>
          <w:tcPr>
            <w:tcW w:w="3318" w:type="dxa"/>
            <w:vAlign w:val="top"/>
          </w:tcPr>
          <w:p w14:paraId="33E4EA6E">
            <w:pPr>
              <w:spacing w:before="47" w:line="219" w:lineRule="auto"/>
              <w:ind w:left="1454"/>
              <w:rPr>
                <w:rFonts w:ascii="宋体" w:hAnsi="宋体" w:eastAsia="宋体" w:cs="宋体"/>
                <w:sz w:val="21"/>
                <w:szCs w:val="21"/>
              </w:rPr>
            </w:pPr>
            <w:r>
              <w:rPr>
                <w:rFonts w:ascii="宋体" w:hAnsi="宋体" w:eastAsia="宋体" w:cs="宋体"/>
                <w:spacing w:val="-3"/>
                <w:sz w:val="21"/>
                <w:szCs w:val="21"/>
              </w:rPr>
              <w:t>农村</w:t>
            </w:r>
          </w:p>
        </w:tc>
      </w:tr>
      <w:tr w14:paraId="08EB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226" w:type="dxa"/>
            <w:vMerge w:val="continue"/>
            <w:tcBorders>
              <w:top w:val="nil"/>
            </w:tcBorders>
            <w:vAlign w:val="top"/>
          </w:tcPr>
          <w:p w14:paraId="1A1EAA29">
            <w:pPr>
              <w:rPr>
                <w:rFonts w:ascii="Arial"/>
                <w:sz w:val="21"/>
              </w:rPr>
            </w:pPr>
          </w:p>
        </w:tc>
        <w:tc>
          <w:tcPr>
            <w:tcW w:w="2768" w:type="dxa"/>
            <w:vAlign w:val="top"/>
          </w:tcPr>
          <w:p w14:paraId="3ECD90EE">
            <w:pPr>
              <w:pStyle w:val="6"/>
              <w:spacing w:before="48" w:line="212" w:lineRule="auto"/>
              <w:ind w:left="481"/>
            </w:pPr>
            <w:r>
              <w:rPr>
                <w:rFonts w:ascii="宋体" w:hAnsi="宋体" w:eastAsia="宋体" w:cs="宋体"/>
                <w:spacing w:val="-2"/>
              </w:rPr>
              <w:t>人口数</w:t>
            </w:r>
            <w:r>
              <w:rPr>
                <w:spacing w:val="-2"/>
              </w:rPr>
              <w:t>(</w:t>
            </w:r>
            <w:r>
              <w:rPr>
                <w:rFonts w:ascii="宋体" w:hAnsi="宋体" w:eastAsia="宋体" w:cs="宋体"/>
                <w:spacing w:val="-2"/>
              </w:rPr>
              <w:t>城市人口数</w:t>
            </w:r>
            <w:r>
              <w:rPr>
                <w:spacing w:val="-2"/>
              </w:rPr>
              <w:t>)</w:t>
            </w:r>
          </w:p>
        </w:tc>
        <w:tc>
          <w:tcPr>
            <w:tcW w:w="3318" w:type="dxa"/>
            <w:vAlign w:val="top"/>
          </w:tcPr>
          <w:p w14:paraId="5E49FE80">
            <w:pPr>
              <w:pStyle w:val="6"/>
              <w:spacing w:before="81" w:line="192" w:lineRule="auto"/>
              <w:ind w:left="1628"/>
            </w:pPr>
            <w:r>
              <w:t>/</w:t>
            </w:r>
          </w:p>
        </w:tc>
      </w:tr>
      <w:tr w14:paraId="793AE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994" w:type="dxa"/>
            <w:gridSpan w:val="2"/>
            <w:vAlign w:val="top"/>
          </w:tcPr>
          <w:p w14:paraId="7760A5D6">
            <w:pPr>
              <w:spacing w:before="48" w:line="220" w:lineRule="auto"/>
              <w:ind w:left="1874"/>
              <w:rPr>
                <w:rFonts w:ascii="宋体" w:hAnsi="宋体" w:eastAsia="宋体" w:cs="宋体"/>
                <w:sz w:val="21"/>
                <w:szCs w:val="21"/>
              </w:rPr>
            </w:pPr>
            <w:r>
              <w:rPr>
                <w:rFonts w:ascii="宋体" w:hAnsi="宋体" w:eastAsia="宋体" w:cs="宋体"/>
                <w:spacing w:val="-2"/>
                <w:sz w:val="21"/>
                <w:szCs w:val="21"/>
              </w:rPr>
              <w:t>最高环境温度</w:t>
            </w:r>
          </w:p>
        </w:tc>
        <w:tc>
          <w:tcPr>
            <w:tcW w:w="3318" w:type="dxa"/>
            <w:vAlign w:val="top"/>
          </w:tcPr>
          <w:p w14:paraId="274A6D27">
            <w:pPr>
              <w:pStyle w:val="6"/>
              <w:spacing w:before="85" w:line="188" w:lineRule="auto"/>
              <w:ind w:left="1475"/>
            </w:pPr>
            <w:r>
              <w:rPr>
                <w:spacing w:val="-1"/>
              </w:rPr>
              <w:t>40.4</w:t>
            </w:r>
          </w:p>
        </w:tc>
      </w:tr>
      <w:tr w14:paraId="67AC4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994" w:type="dxa"/>
            <w:gridSpan w:val="2"/>
            <w:vAlign w:val="top"/>
          </w:tcPr>
          <w:p w14:paraId="577A3567">
            <w:pPr>
              <w:spacing w:before="49" w:line="220" w:lineRule="auto"/>
              <w:ind w:left="1874"/>
              <w:rPr>
                <w:rFonts w:ascii="宋体" w:hAnsi="宋体" w:eastAsia="宋体" w:cs="宋体"/>
                <w:sz w:val="21"/>
                <w:szCs w:val="21"/>
              </w:rPr>
            </w:pPr>
            <w:r>
              <w:rPr>
                <w:rFonts w:ascii="宋体" w:hAnsi="宋体" w:eastAsia="宋体" w:cs="宋体"/>
                <w:spacing w:val="-2"/>
                <w:sz w:val="21"/>
                <w:szCs w:val="21"/>
              </w:rPr>
              <w:t>最低环境温度</w:t>
            </w:r>
          </w:p>
        </w:tc>
        <w:tc>
          <w:tcPr>
            <w:tcW w:w="3318" w:type="dxa"/>
            <w:vAlign w:val="top"/>
          </w:tcPr>
          <w:p w14:paraId="427ECE53">
            <w:pPr>
              <w:pStyle w:val="6"/>
              <w:spacing w:before="86" w:line="188" w:lineRule="auto"/>
              <w:ind w:left="1499"/>
            </w:pPr>
            <w:r>
              <w:rPr>
                <w:spacing w:val="-3"/>
              </w:rPr>
              <w:t>-2.8</w:t>
            </w:r>
          </w:p>
        </w:tc>
      </w:tr>
      <w:tr w14:paraId="753B9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994" w:type="dxa"/>
            <w:gridSpan w:val="2"/>
            <w:vAlign w:val="top"/>
          </w:tcPr>
          <w:p w14:paraId="7675968B">
            <w:pPr>
              <w:spacing w:before="50" w:line="220" w:lineRule="auto"/>
              <w:ind w:left="1872"/>
              <w:rPr>
                <w:rFonts w:ascii="宋体" w:hAnsi="宋体" w:eastAsia="宋体" w:cs="宋体"/>
                <w:sz w:val="21"/>
                <w:szCs w:val="21"/>
              </w:rPr>
            </w:pPr>
            <w:r>
              <w:rPr>
                <w:rFonts w:ascii="宋体" w:hAnsi="宋体" w:eastAsia="宋体" w:cs="宋体"/>
                <w:spacing w:val="-2"/>
                <w:sz w:val="21"/>
                <w:szCs w:val="21"/>
              </w:rPr>
              <w:t>土地利用类型</w:t>
            </w:r>
          </w:p>
        </w:tc>
        <w:tc>
          <w:tcPr>
            <w:tcW w:w="3318" w:type="dxa"/>
            <w:vAlign w:val="top"/>
          </w:tcPr>
          <w:p w14:paraId="6BAAD188">
            <w:pPr>
              <w:spacing w:before="50" w:line="220" w:lineRule="auto"/>
              <w:ind w:left="1454"/>
              <w:rPr>
                <w:rFonts w:ascii="宋体" w:hAnsi="宋体" w:eastAsia="宋体" w:cs="宋体"/>
                <w:sz w:val="21"/>
                <w:szCs w:val="21"/>
              </w:rPr>
            </w:pPr>
            <w:r>
              <w:rPr>
                <w:rFonts w:ascii="宋体" w:hAnsi="宋体" w:eastAsia="宋体" w:cs="宋体"/>
                <w:spacing w:val="-3"/>
                <w:sz w:val="21"/>
                <w:szCs w:val="21"/>
              </w:rPr>
              <w:t>农田</w:t>
            </w:r>
          </w:p>
        </w:tc>
      </w:tr>
      <w:tr w14:paraId="3580C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4994" w:type="dxa"/>
            <w:gridSpan w:val="2"/>
            <w:vAlign w:val="top"/>
          </w:tcPr>
          <w:p w14:paraId="6A7A99B3">
            <w:pPr>
              <w:spacing w:before="52" w:line="220" w:lineRule="auto"/>
              <w:ind w:left="1887"/>
              <w:rPr>
                <w:rFonts w:ascii="宋体" w:hAnsi="宋体" w:eastAsia="宋体" w:cs="宋体"/>
                <w:sz w:val="21"/>
                <w:szCs w:val="21"/>
              </w:rPr>
            </w:pPr>
            <w:r>
              <w:rPr>
                <w:rFonts w:ascii="宋体" w:hAnsi="宋体" w:eastAsia="宋体" w:cs="宋体"/>
                <w:spacing w:val="-4"/>
                <w:sz w:val="21"/>
                <w:szCs w:val="21"/>
              </w:rPr>
              <w:t>区域湿度条件</w:t>
            </w:r>
          </w:p>
        </w:tc>
        <w:tc>
          <w:tcPr>
            <w:tcW w:w="3318" w:type="dxa"/>
            <w:vAlign w:val="top"/>
          </w:tcPr>
          <w:p w14:paraId="4AF4D7A7">
            <w:pPr>
              <w:spacing w:before="52" w:line="220" w:lineRule="auto"/>
              <w:ind w:left="1453"/>
              <w:rPr>
                <w:rFonts w:ascii="宋体" w:hAnsi="宋体" w:eastAsia="宋体" w:cs="宋体"/>
                <w:sz w:val="21"/>
                <w:szCs w:val="21"/>
              </w:rPr>
            </w:pPr>
            <w:r>
              <w:rPr>
                <w:rFonts w:ascii="宋体" w:hAnsi="宋体" w:eastAsia="宋体" w:cs="宋体"/>
                <w:spacing w:val="-2"/>
                <w:sz w:val="21"/>
                <w:szCs w:val="21"/>
              </w:rPr>
              <w:t>潮湿</w:t>
            </w:r>
          </w:p>
        </w:tc>
      </w:tr>
      <w:tr w14:paraId="7EC2C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226" w:type="dxa"/>
            <w:vMerge w:val="restart"/>
            <w:tcBorders>
              <w:bottom w:val="nil"/>
            </w:tcBorders>
            <w:vAlign w:val="top"/>
          </w:tcPr>
          <w:p w14:paraId="20A41BE4">
            <w:pPr>
              <w:spacing w:before="209" w:line="219" w:lineRule="auto"/>
              <w:ind w:left="490"/>
              <w:rPr>
                <w:rFonts w:ascii="宋体" w:hAnsi="宋体" w:eastAsia="宋体" w:cs="宋体"/>
                <w:sz w:val="21"/>
                <w:szCs w:val="21"/>
              </w:rPr>
            </w:pPr>
            <w:r>
              <w:rPr>
                <w:rFonts w:ascii="宋体" w:hAnsi="宋体" w:eastAsia="宋体" w:cs="宋体"/>
                <w:spacing w:val="-2"/>
                <w:sz w:val="21"/>
                <w:szCs w:val="21"/>
              </w:rPr>
              <w:t>是否考虑地形</w:t>
            </w:r>
          </w:p>
        </w:tc>
        <w:tc>
          <w:tcPr>
            <w:tcW w:w="2768" w:type="dxa"/>
            <w:vAlign w:val="top"/>
          </w:tcPr>
          <w:p w14:paraId="295BB29A">
            <w:pPr>
              <w:spacing w:before="51" w:line="219" w:lineRule="auto"/>
              <w:ind w:left="969"/>
              <w:rPr>
                <w:rFonts w:ascii="宋体" w:hAnsi="宋体" w:eastAsia="宋体" w:cs="宋体"/>
                <w:sz w:val="21"/>
                <w:szCs w:val="21"/>
              </w:rPr>
            </w:pPr>
            <w:r>
              <w:rPr>
                <w:rFonts w:ascii="宋体" w:hAnsi="宋体" w:eastAsia="宋体" w:cs="宋体"/>
                <w:spacing w:val="-2"/>
                <w:sz w:val="21"/>
                <w:szCs w:val="21"/>
              </w:rPr>
              <w:t>考虑地形</w:t>
            </w:r>
          </w:p>
        </w:tc>
        <w:tc>
          <w:tcPr>
            <w:tcW w:w="3318" w:type="dxa"/>
            <w:vAlign w:val="top"/>
          </w:tcPr>
          <w:p w14:paraId="6DC944B8">
            <w:pPr>
              <w:spacing w:before="51" w:line="220" w:lineRule="auto"/>
              <w:ind w:left="1563"/>
              <w:rPr>
                <w:rFonts w:ascii="宋体" w:hAnsi="宋体" w:eastAsia="宋体" w:cs="宋体"/>
                <w:sz w:val="21"/>
                <w:szCs w:val="21"/>
              </w:rPr>
            </w:pPr>
            <w:r>
              <w:rPr>
                <w:rFonts w:ascii="宋体" w:hAnsi="宋体" w:eastAsia="宋体" w:cs="宋体"/>
                <w:sz w:val="21"/>
                <w:szCs w:val="21"/>
              </w:rPr>
              <w:t>是</w:t>
            </w:r>
          </w:p>
        </w:tc>
      </w:tr>
      <w:tr w14:paraId="1F045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226" w:type="dxa"/>
            <w:vMerge w:val="continue"/>
            <w:tcBorders>
              <w:top w:val="nil"/>
            </w:tcBorders>
            <w:vAlign w:val="top"/>
          </w:tcPr>
          <w:p w14:paraId="703EDEB1">
            <w:pPr>
              <w:rPr>
                <w:rFonts w:ascii="Arial"/>
                <w:sz w:val="21"/>
              </w:rPr>
            </w:pPr>
          </w:p>
        </w:tc>
        <w:tc>
          <w:tcPr>
            <w:tcW w:w="2768" w:type="dxa"/>
            <w:vAlign w:val="top"/>
          </w:tcPr>
          <w:p w14:paraId="40761B7E">
            <w:pPr>
              <w:pStyle w:val="6"/>
              <w:spacing w:before="51" w:line="212" w:lineRule="auto"/>
              <w:ind w:left="502"/>
            </w:pPr>
            <w:r>
              <w:rPr>
                <w:rFonts w:ascii="宋体" w:hAnsi="宋体" w:eastAsia="宋体" w:cs="宋体"/>
                <w:spacing w:val="-1"/>
              </w:rPr>
              <w:t>地形数据分辨率</w:t>
            </w:r>
            <w:r>
              <w:rPr>
                <w:spacing w:val="-1"/>
              </w:rPr>
              <w:t>(m)</w:t>
            </w:r>
          </w:p>
        </w:tc>
        <w:tc>
          <w:tcPr>
            <w:tcW w:w="3318" w:type="dxa"/>
            <w:vAlign w:val="top"/>
          </w:tcPr>
          <w:p w14:paraId="6DB0C06F">
            <w:pPr>
              <w:pStyle w:val="6"/>
              <w:spacing w:before="88" w:line="188" w:lineRule="auto"/>
              <w:ind w:left="1560"/>
            </w:pPr>
            <w:r>
              <w:rPr>
                <w:spacing w:val="-2"/>
              </w:rPr>
              <w:t>90</w:t>
            </w:r>
          </w:p>
        </w:tc>
      </w:tr>
      <w:tr w14:paraId="147A9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226" w:type="dxa"/>
            <w:vMerge w:val="restart"/>
            <w:tcBorders>
              <w:bottom w:val="nil"/>
            </w:tcBorders>
            <w:vAlign w:val="top"/>
          </w:tcPr>
          <w:p w14:paraId="28136CAA">
            <w:pPr>
              <w:spacing w:line="298" w:lineRule="auto"/>
              <w:rPr>
                <w:rFonts w:ascii="Arial"/>
                <w:sz w:val="21"/>
              </w:rPr>
            </w:pPr>
          </w:p>
          <w:p w14:paraId="5884AE35">
            <w:pPr>
              <w:spacing w:before="69" w:line="219" w:lineRule="auto"/>
              <w:ind w:left="280"/>
              <w:rPr>
                <w:rFonts w:ascii="宋体" w:hAnsi="宋体" w:eastAsia="宋体" w:cs="宋体"/>
                <w:sz w:val="21"/>
                <w:szCs w:val="21"/>
              </w:rPr>
            </w:pPr>
            <w:r>
              <w:rPr>
                <w:rFonts w:ascii="宋体" w:hAnsi="宋体" w:eastAsia="宋体" w:cs="宋体"/>
                <w:spacing w:val="-2"/>
                <w:sz w:val="21"/>
                <w:szCs w:val="21"/>
              </w:rPr>
              <w:t>是否考虑岸线熏烟</w:t>
            </w:r>
          </w:p>
        </w:tc>
        <w:tc>
          <w:tcPr>
            <w:tcW w:w="2768" w:type="dxa"/>
            <w:vAlign w:val="top"/>
          </w:tcPr>
          <w:p w14:paraId="41CFE45B">
            <w:pPr>
              <w:spacing w:before="51" w:line="219" w:lineRule="auto"/>
              <w:ind w:left="759"/>
              <w:rPr>
                <w:rFonts w:ascii="宋体" w:hAnsi="宋体" w:eastAsia="宋体" w:cs="宋体"/>
                <w:sz w:val="21"/>
                <w:szCs w:val="21"/>
              </w:rPr>
            </w:pPr>
            <w:r>
              <w:rPr>
                <w:rFonts w:ascii="宋体" w:hAnsi="宋体" w:eastAsia="宋体" w:cs="宋体"/>
                <w:spacing w:val="-2"/>
                <w:sz w:val="21"/>
                <w:szCs w:val="21"/>
              </w:rPr>
              <w:t>考虑岸线熏烟</w:t>
            </w:r>
          </w:p>
        </w:tc>
        <w:tc>
          <w:tcPr>
            <w:tcW w:w="3318" w:type="dxa"/>
            <w:vAlign w:val="top"/>
          </w:tcPr>
          <w:p w14:paraId="16C95F19">
            <w:pPr>
              <w:spacing w:before="51" w:line="219" w:lineRule="auto"/>
              <w:ind w:left="1566"/>
              <w:rPr>
                <w:rFonts w:ascii="宋体" w:hAnsi="宋体" w:eastAsia="宋体" w:cs="宋体"/>
                <w:sz w:val="21"/>
                <w:szCs w:val="21"/>
              </w:rPr>
            </w:pPr>
            <w:r>
              <w:rPr>
                <w:rFonts w:ascii="宋体" w:hAnsi="宋体" w:eastAsia="宋体" w:cs="宋体"/>
                <w:sz w:val="21"/>
                <w:szCs w:val="21"/>
              </w:rPr>
              <w:t>否</w:t>
            </w:r>
          </w:p>
        </w:tc>
      </w:tr>
      <w:tr w14:paraId="1C403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226" w:type="dxa"/>
            <w:vMerge w:val="continue"/>
            <w:tcBorders>
              <w:top w:val="nil"/>
              <w:bottom w:val="nil"/>
            </w:tcBorders>
            <w:vAlign w:val="top"/>
          </w:tcPr>
          <w:p w14:paraId="2BE2E1BA">
            <w:pPr>
              <w:rPr>
                <w:rFonts w:ascii="Arial"/>
                <w:sz w:val="21"/>
              </w:rPr>
            </w:pPr>
          </w:p>
        </w:tc>
        <w:tc>
          <w:tcPr>
            <w:tcW w:w="2768" w:type="dxa"/>
            <w:vAlign w:val="top"/>
          </w:tcPr>
          <w:p w14:paraId="06D379B0">
            <w:pPr>
              <w:pStyle w:val="6"/>
              <w:spacing w:before="52" w:line="219" w:lineRule="auto"/>
              <w:ind w:left="857"/>
            </w:pPr>
            <w:r>
              <w:rPr>
                <w:rFonts w:ascii="宋体" w:hAnsi="宋体" w:eastAsia="宋体" w:cs="宋体"/>
                <w:spacing w:val="-2"/>
              </w:rPr>
              <w:t>岸线距离</w:t>
            </w:r>
            <w:r>
              <w:rPr>
                <w:spacing w:val="-2"/>
              </w:rPr>
              <w:t>/m</w:t>
            </w:r>
          </w:p>
        </w:tc>
        <w:tc>
          <w:tcPr>
            <w:tcW w:w="3318" w:type="dxa"/>
            <w:vAlign w:val="top"/>
          </w:tcPr>
          <w:p w14:paraId="66C9C174">
            <w:pPr>
              <w:pStyle w:val="6"/>
              <w:spacing w:before="85" w:line="192" w:lineRule="auto"/>
              <w:ind w:left="1627"/>
            </w:pPr>
            <w:r>
              <w:t>/</w:t>
            </w:r>
          </w:p>
        </w:tc>
      </w:tr>
      <w:tr w14:paraId="75ED3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226" w:type="dxa"/>
            <w:vMerge w:val="continue"/>
            <w:tcBorders>
              <w:top w:val="nil"/>
            </w:tcBorders>
            <w:vAlign w:val="top"/>
          </w:tcPr>
          <w:p w14:paraId="67FEDE3D">
            <w:pPr>
              <w:rPr>
                <w:rFonts w:ascii="Arial"/>
                <w:sz w:val="21"/>
              </w:rPr>
            </w:pPr>
          </w:p>
        </w:tc>
        <w:tc>
          <w:tcPr>
            <w:tcW w:w="2768" w:type="dxa"/>
            <w:vAlign w:val="top"/>
          </w:tcPr>
          <w:p w14:paraId="4A77684F">
            <w:pPr>
              <w:pStyle w:val="6"/>
              <w:spacing w:before="53" w:line="220" w:lineRule="auto"/>
              <w:ind w:left="897"/>
            </w:pPr>
            <w:r>
              <w:rPr>
                <w:rFonts w:ascii="宋体" w:hAnsi="宋体" w:eastAsia="宋体" w:cs="宋体"/>
                <w:spacing w:val="-2"/>
              </w:rPr>
              <w:t>岸线方向</w:t>
            </w:r>
            <w:r>
              <w:rPr>
                <w:spacing w:val="-2"/>
              </w:rPr>
              <w:t>/°</w:t>
            </w:r>
          </w:p>
        </w:tc>
        <w:tc>
          <w:tcPr>
            <w:tcW w:w="3318" w:type="dxa"/>
            <w:vAlign w:val="top"/>
          </w:tcPr>
          <w:p w14:paraId="3C40812D">
            <w:pPr>
              <w:pStyle w:val="6"/>
              <w:spacing w:before="85" w:line="192" w:lineRule="auto"/>
              <w:ind w:left="1627"/>
            </w:pPr>
            <w:r>
              <w:t>/</w:t>
            </w:r>
          </w:p>
        </w:tc>
      </w:tr>
    </w:tbl>
    <w:p w14:paraId="3ACCD240">
      <w:pPr>
        <w:spacing w:before="235" w:line="218"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）评价等级判定</w:t>
      </w:r>
    </w:p>
    <w:p w14:paraId="0D83A182">
      <w:pPr>
        <w:spacing w:before="184" w:line="360" w:lineRule="auto"/>
        <w:ind w:left="44" w:right="31" w:firstLine="476"/>
        <w:jc w:val="both"/>
        <w:rPr>
          <w:rFonts w:ascii="宋体" w:hAnsi="宋体" w:eastAsia="宋体" w:cs="宋体"/>
          <w:sz w:val="24"/>
          <w:szCs w:val="24"/>
        </w:rPr>
      </w:pPr>
      <w:r>
        <w:rPr>
          <w:rFonts w:ascii="宋体" w:hAnsi="宋体" w:eastAsia="宋体" w:cs="宋体"/>
          <w:spacing w:val="2"/>
          <w:sz w:val="24"/>
          <w:szCs w:val="24"/>
        </w:rPr>
        <w:t>本次评价采用《环境影响评价技术导则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）推荐模</w:t>
      </w:r>
      <w:r>
        <w:rPr>
          <w:rFonts w:ascii="宋体" w:hAnsi="宋体" w:eastAsia="宋体" w:cs="宋体"/>
          <w:spacing w:val="-1"/>
          <w:sz w:val="24"/>
          <w:szCs w:val="24"/>
        </w:rPr>
        <w:t>式</w:t>
      </w:r>
      <w:r>
        <w:rPr>
          <w:rFonts w:ascii="Times New Roman" w:hAnsi="Times New Roman" w:eastAsia="Times New Roman" w:cs="Times New Roman"/>
          <w:spacing w:val="-1"/>
          <w:sz w:val="24"/>
          <w:szCs w:val="24"/>
        </w:rPr>
        <w:t>ARESCREEN</w:t>
      </w:r>
      <w:r>
        <w:rPr>
          <w:rFonts w:ascii="宋体" w:hAnsi="宋体" w:eastAsia="宋体" w:cs="宋体"/>
          <w:spacing w:val="-1"/>
          <w:sz w:val="24"/>
          <w:szCs w:val="24"/>
        </w:rPr>
        <w:t>进行估算，所用软件为环安科技“环安大气</w:t>
      </w:r>
      <w:r>
        <w:rPr>
          <w:rFonts w:ascii="Times New Roman" w:hAnsi="Times New Roman" w:eastAsia="Times New Roman" w:cs="Times New Roman"/>
          <w:spacing w:val="-1"/>
          <w:sz w:val="24"/>
          <w:szCs w:val="24"/>
        </w:rPr>
        <w:t>ARESCREEN</w:t>
      </w:r>
      <w:r>
        <w:rPr>
          <w:rFonts w:ascii="宋体" w:hAnsi="宋体" w:eastAsia="宋体" w:cs="宋体"/>
          <w:spacing w:val="-1"/>
          <w:sz w:val="24"/>
          <w:szCs w:val="24"/>
        </w:rPr>
        <w:t>计算系</w:t>
      </w:r>
      <w:r>
        <w:rPr>
          <w:rFonts w:ascii="宋体" w:hAnsi="宋体" w:eastAsia="宋体" w:cs="宋体"/>
          <w:spacing w:val="-4"/>
          <w:sz w:val="24"/>
          <w:szCs w:val="24"/>
        </w:rPr>
        <w:t>统”，具体估算结果见下表。</w:t>
      </w:r>
    </w:p>
    <w:p w14:paraId="53C82E75">
      <w:pPr>
        <w:spacing w:before="3" w:line="356" w:lineRule="auto"/>
        <w:ind w:left="38" w:right="31" w:firstLine="481"/>
        <w:jc w:val="both"/>
        <w:rPr>
          <w:rFonts w:ascii="宋体" w:hAnsi="宋体" w:eastAsia="宋体" w:cs="宋体"/>
          <w:sz w:val="24"/>
          <w:szCs w:val="24"/>
        </w:rPr>
      </w:pPr>
      <w:r>
        <w:rPr>
          <w:rFonts w:ascii="宋体" w:hAnsi="宋体" w:eastAsia="宋体" w:cs="宋体"/>
          <w:spacing w:val="2"/>
          <w:sz w:val="24"/>
          <w:szCs w:val="24"/>
        </w:rPr>
        <w:t>本项目</w:t>
      </w:r>
      <w:r>
        <w:rPr>
          <w:rFonts w:ascii="Times New Roman" w:hAnsi="Times New Roman" w:eastAsia="Times New Roman" w:cs="Times New Roman"/>
          <w:sz w:val="24"/>
          <w:szCs w:val="24"/>
        </w:rPr>
        <w:t>P</w:t>
      </w:r>
      <w:r>
        <w:rPr>
          <w:rFonts w:ascii="Times New Roman" w:hAnsi="Times New Roman" w:eastAsia="Times New Roman" w:cs="Times New Roman"/>
          <w:position w:val="-2"/>
          <w:sz w:val="15"/>
          <w:szCs w:val="15"/>
        </w:rPr>
        <w:t>max</w:t>
      </w:r>
      <w:r>
        <w:rPr>
          <w:rFonts w:ascii="Times New Roman" w:hAnsi="Times New Roman" w:eastAsia="Times New Roman" w:cs="Times New Roman"/>
          <w:spacing w:val="-17"/>
          <w:position w:val="-2"/>
          <w:sz w:val="15"/>
          <w:szCs w:val="15"/>
        </w:rPr>
        <w:t xml:space="preserve"> </w:t>
      </w:r>
      <w:r>
        <w:rPr>
          <w:rFonts w:ascii="宋体" w:hAnsi="宋体" w:eastAsia="宋体" w:cs="宋体"/>
          <w:spacing w:val="2"/>
          <w:sz w:val="24"/>
          <w:szCs w:val="24"/>
        </w:rPr>
        <w:t>最大值出现为育肥楼体源排放的</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2"/>
          <w:sz w:val="15"/>
          <w:szCs w:val="15"/>
        </w:rPr>
        <w:t xml:space="preserve">3 </w:t>
      </w:r>
      <w:r>
        <w:rPr>
          <w:rFonts w:ascii="宋体" w:hAnsi="宋体" w:eastAsia="宋体" w:cs="宋体"/>
          <w:spacing w:val="2"/>
          <w:sz w:val="24"/>
          <w:szCs w:val="24"/>
        </w:rPr>
        <w:t>，</w:t>
      </w:r>
      <w:r>
        <w:rPr>
          <w:rFonts w:ascii="Times New Roman" w:hAnsi="Times New Roman" w:eastAsia="Times New Roman" w:cs="Times New Roman"/>
          <w:sz w:val="24"/>
          <w:szCs w:val="24"/>
        </w:rPr>
        <w:t>P</w:t>
      </w:r>
      <w:r>
        <w:rPr>
          <w:rFonts w:ascii="Times New Roman" w:hAnsi="Times New Roman" w:eastAsia="Times New Roman" w:cs="Times New Roman"/>
          <w:position w:val="-2"/>
          <w:sz w:val="15"/>
          <w:szCs w:val="15"/>
        </w:rPr>
        <w:t>max</w:t>
      </w:r>
      <w:r>
        <w:rPr>
          <w:rFonts w:ascii="宋体" w:hAnsi="宋体" w:eastAsia="宋体" w:cs="宋体"/>
          <w:spacing w:val="2"/>
          <w:sz w:val="24"/>
          <w:szCs w:val="24"/>
        </w:rPr>
        <w:t>值为</w:t>
      </w:r>
      <w:r>
        <w:rPr>
          <w:rFonts w:ascii="Times New Roman" w:hAnsi="Times New Roman" w:eastAsia="Times New Roman" w:cs="Times New Roman"/>
          <w:spacing w:val="2"/>
          <w:sz w:val="24"/>
          <w:szCs w:val="24"/>
        </w:rPr>
        <w:t>9.361%</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C</w:t>
      </w:r>
      <w:r>
        <w:rPr>
          <w:rFonts w:ascii="Times New Roman" w:hAnsi="Times New Roman" w:eastAsia="Times New Roman" w:cs="Times New Roman"/>
          <w:position w:val="-2"/>
          <w:sz w:val="15"/>
          <w:szCs w:val="15"/>
        </w:rPr>
        <w:t>max</w:t>
      </w:r>
      <w:r>
        <w:rPr>
          <w:rFonts w:ascii="Times New Roman" w:hAnsi="Times New Roman" w:eastAsia="Times New Roman" w:cs="Times New Roman"/>
          <w:spacing w:val="-19"/>
          <w:position w:val="-2"/>
          <w:sz w:val="15"/>
          <w:szCs w:val="15"/>
        </w:rPr>
        <w:t xml:space="preserve"> </w:t>
      </w:r>
      <w:r>
        <w:rPr>
          <w:rFonts w:ascii="宋体" w:hAnsi="宋体" w:eastAsia="宋体" w:cs="宋体"/>
          <w:spacing w:val="2"/>
          <w:sz w:val="24"/>
          <w:szCs w:val="24"/>
        </w:rPr>
        <w:t>为</w:t>
      </w:r>
      <w:r>
        <w:rPr>
          <w:rFonts w:ascii="Times New Roman" w:hAnsi="Times New Roman" w:eastAsia="Times New Roman" w:cs="Times New Roman"/>
          <w:spacing w:val="-1"/>
          <w:sz w:val="24"/>
          <w:szCs w:val="24"/>
        </w:rPr>
        <w:t>18.722μg/m³</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。根据《环境影响评价技术导则</w:t>
      </w:r>
      <w:r>
        <w:rPr>
          <w:rFonts w:ascii="宋体" w:hAnsi="宋体" w:eastAsia="宋体" w:cs="宋体"/>
          <w:spacing w:val="38"/>
          <w:sz w:val="24"/>
          <w:szCs w:val="24"/>
        </w:rPr>
        <w:t xml:space="preserve"> </w:t>
      </w:r>
      <w:r>
        <w:rPr>
          <w:rFonts w:ascii="宋体" w:hAnsi="宋体" w:eastAsia="宋体" w:cs="宋体"/>
          <w:spacing w:val="-1"/>
          <w:sz w:val="24"/>
          <w:szCs w:val="24"/>
        </w:rPr>
        <w:t>大气环境》（</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）分级判</w:t>
      </w:r>
      <w:r>
        <w:rPr>
          <w:rFonts w:ascii="宋体" w:hAnsi="宋体" w:eastAsia="宋体" w:cs="宋体"/>
          <w:spacing w:val="-2"/>
          <w:sz w:val="24"/>
          <w:szCs w:val="24"/>
        </w:rPr>
        <w:t>据，确定本项目大气环境影响评价工作等级为二级。</w:t>
      </w:r>
    </w:p>
    <w:p w14:paraId="65EF22C5">
      <w:pPr>
        <w:spacing w:line="356" w:lineRule="auto"/>
        <w:rPr>
          <w:rFonts w:ascii="宋体" w:hAnsi="宋体" w:eastAsia="宋体" w:cs="宋体"/>
          <w:sz w:val="24"/>
          <w:szCs w:val="24"/>
        </w:rPr>
        <w:sectPr>
          <w:headerReference r:id="rId43" w:type="default"/>
          <w:footerReference r:id="rId44" w:type="default"/>
          <w:pgSz w:w="11905" w:h="16840"/>
          <w:pgMar w:top="1168" w:right="1768" w:bottom="1409" w:left="1770" w:header="828" w:footer="1244" w:gutter="0"/>
          <w:cols w:space="720" w:num="1"/>
        </w:sectPr>
      </w:pPr>
    </w:p>
    <w:p w14:paraId="12E4511A">
      <w:pPr>
        <w:pStyle w:val="2"/>
        <w:spacing w:line="329" w:lineRule="auto"/>
      </w:pPr>
    </w:p>
    <w:p w14:paraId="4FDF55C6">
      <w:pPr>
        <w:spacing w:before="68" w:line="222" w:lineRule="auto"/>
        <w:ind w:left="287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1.3-4  </w:t>
      </w:r>
      <w:r>
        <w:rPr>
          <w:rFonts w:ascii="黑体" w:hAnsi="黑体" w:eastAsia="黑体" w:cs="黑体"/>
          <w:spacing w:val="-1"/>
          <w:sz w:val="21"/>
          <w:szCs w:val="21"/>
        </w:rPr>
        <w:t>估算模型计算结果表</w:t>
      </w:r>
    </w:p>
    <w:p w14:paraId="34F7A02D">
      <w:pPr>
        <w:spacing w:line="87" w:lineRule="exact"/>
      </w:pPr>
    </w:p>
    <w:tbl>
      <w:tblPr>
        <w:tblStyle w:val="5"/>
        <w:tblW w:w="830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4"/>
        <w:gridCol w:w="1168"/>
        <w:gridCol w:w="1697"/>
        <w:gridCol w:w="1559"/>
        <w:gridCol w:w="1419"/>
        <w:gridCol w:w="1075"/>
      </w:tblGrid>
      <w:tr w14:paraId="43920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4" w:type="dxa"/>
            <w:vAlign w:val="top"/>
          </w:tcPr>
          <w:p w14:paraId="06C0C78F">
            <w:pPr>
              <w:spacing w:before="59" w:line="220" w:lineRule="auto"/>
              <w:ind w:left="172"/>
              <w:rPr>
                <w:rFonts w:ascii="宋体" w:hAnsi="宋体" w:eastAsia="宋体" w:cs="宋体"/>
                <w:sz w:val="21"/>
                <w:szCs w:val="21"/>
              </w:rPr>
            </w:pPr>
            <w:r>
              <w:rPr>
                <w:rFonts w:ascii="宋体" w:hAnsi="宋体" w:eastAsia="宋体" w:cs="宋体"/>
                <w:spacing w:val="-2"/>
                <w:sz w:val="21"/>
                <w:szCs w:val="21"/>
              </w:rPr>
              <w:t>污染源名称</w:t>
            </w:r>
          </w:p>
        </w:tc>
        <w:tc>
          <w:tcPr>
            <w:tcW w:w="1168" w:type="dxa"/>
            <w:vAlign w:val="top"/>
          </w:tcPr>
          <w:p w14:paraId="0F8B32E8">
            <w:pPr>
              <w:spacing w:before="59" w:line="218" w:lineRule="auto"/>
              <w:ind w:left="167"/>
              <w:rPr>
                <w:rFonts w:ascii="宋体" w:hAnsi="宋体" w:eastAsia="宋体" w:cs="宋体"/>
                <w:sz w:val="21"/>
                <w:szCs w:val="21"/>
              </w:rPr>
            </w:pPr>
            <w:r>
              <w:rPr>
                <w:rFonts w:ascii="宋体" w:hAnsi="宋体" w:eastAsia="宋体" w:cs="宋体"/>
                <w:spacing w:val="-2"/>
                <w:sz w:val="21"/>
                <w:szCs w:val="21"/>
              </w:rPr>
              <w:t>评价因子</w:t>
            </w:r>
          </w:p>
        </w:tc>
        <w:tc>
          <w:tcPr>
            <w:tcW w:w="1697" w:type="dxa"/>
            <w:vAlign w:val="top"/>
          </w:tcPr>
          <w:p w14:paraId="5FA9C3B6">
            <w:pPr>
              <w:pStyle w:val="6"/>
              <w:spacing w:before="59" w:line="212" w:lineRule="auto"/>
              <w:ind w:left="111"/>
            </w:pPr>
            <w:r>
              <w:rPr>
                <w:rFonts w:ascii="宋体" w:hAnsi="宋体" w:eastAsia="宋体" w:cs="宋体"/>
                <w:spacing w:val="-1"/>
              </w:rPr>
              <w:t>评价标准</w:t>
            </w:r>
            <w:r>
              <w:rPr>
                <w:spacing w:val="-1"/>
              </w:rPr>
              <w:t>(μg/m³)</w:t>
            </w:r>
          </w:p>
        </w:tc>
        <w:tc>
          <w:tcPr>
            <w:tcW w:w="1559" w:type="dxa"/>
            <w:vAlign w:val="top"/>
          </w:tcPr>
          <w:p w14:paraId="07936E69">
            <w:pPr>
              <w:pStyle w:val="6"/>
              <w:spacing w:before="91" w:line="192" w:lineRule="auto"/>
              <w:ind w:left="214"/>
            </w:pPr>
            <w:r>
              <w:rPr>
                <w:spacing w:val="-1"/>
              </w:rPr>
              <w:t>Cmax(μg/m³)</w:t>
            </w:r>
          </w:p>
        </w:tc>
        <w:tc>
          <w:tcPr>
            <w:tcW w:w="1419" w:type="dxa"/>
            <w:vAlign w:val="top"/>
          </w:tcPr>
          <w:p w14:paraId="27F42544">
            <w:pPr>
              <w:pStyle w:val="6"/>
              <w:spacing w:before="91" w:line="192" w:lineRule="auto"/>
              <w:ind w:left="316"/>
            </w:pPr>
            <w:r>
              <w:rPr>
                <w:spacing w:val="-1"/>
              </w:rPr>
              <w:t>Pmax(%)</w:t>
            </w:r>
          </w:p>
        </w:tc>
        <w:tc>
          <w:tcPr>
            <w:tcW w:w="1075" w:type="dxa"/>
            <w:vAlign w:val="top"/>
          </w:tcPr>
          <w:p w14:paraId="69570DAF">
            <w:pPr>
              <w:pStyle w:val="6"/>
              <w:spacing w:before="91" w:line="192" w:lineRule="auto"/>
              <w:ind w:left="123"/>
            </w:pPr>
            <w:r>
              <w:rPr>
                <w:spacing w:val="-1"/>
              </w:rPr>
              <w:t>D10%(m)</w:t>
            </w:r>
          </w:p>
        </w:tc>
      </w:tr>
      <w:tr w14:paraId="38FEF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4" w:type="dxa"/>
            <w:vMerge w:val="restart"/>
            <w:tcBorders>
              <w:bottom w:val="nil"/>
            </w:tcBorders>
            <w:vAlign w:val="top"/>
          </w:tcPr>
          <w:p w14:paraId="2D623245">
            <w:pPr>
              <w:spacing w:before="229" w:line="219" w:lineRule="auto"/>
              <w:ind w:left="179"/>
              <w:rPr>
                <w:rFonts w:ascii="宋体" w:hAnsi="宋体" w:eastAsia="宋体" w:cs="宋体"/>
                <w:sz w:val="21"/>
                <w:szCs w:val="21"/>
              </w:rPr>
            </w:pPr>
            <w:r>
              <w:rPr>
                <w:rFonts w:ascii="宋体" w:hAnsi="宋体" w:eastAsia="宋体" w:cs="宋体"/>
                <w:spacing w:val="-3"/>
                <w:sz w:val="21"/>
                <w:szCs w:val="21"/>
              </w:rPr>
              <w:t>育肥楼体源</w:t>
            </w:r>
          </w:p>
        </w:tc>
        <w:tc>
          <w:tcPr>
            <w:tcW w:w="1168" w:type="dxa"/>
            <w:vAlign w:val="top"/>
          </w:tcPr>
          <w:p w14:paraId="42575D61">
            <w:pPr>
              <w:pStyle w:val="6"/>
              <w:spacing w:before="95" w:line="188" w:lineRule="auto"/>
              <w:ind w:left="373"/>
            </w:pPr>
            <w:r>
              <w:t>NH</w:t>
            </w:r>
            <w:r>
              <w:rPr>
                <w:spacing w:val="3"/>
              </w:rPr>
              <w:t>3</w:t>
            </w:r>
          </w:p>
        </w:tc>
        <w:tc>
          <w:tcPr>
            <w:tcW w:w="1697" w:type="dxa"/>
            <w:vAlign w:val="top"/>
          </w:tcPr>
          <w:p w14:paraId="1329F417">
            <w:pPr>
              <w:pStyle w:val="6"/>
              <w:spacing w:before="95" w:line="188" w:lineRule="auto"/>
              <w:ind w:left="615"/>
            </w:pPr>
            <w:r>
              <w:rPr>
                <w:spacing w:val="-1"/>
              </w:rPr>
              <w:t>200.0</w:t>
            </w:r>
          </w:p>
        </w:tc>
        <w:tc>
          <w:tcPr>
            <w:tcW w:w="1559" w:type="dxa"/>
            <w:vAlign w:val="top"/>
          </w:tcPr>
          <w:p w14:paraId="6B2ED797">
            <w:pPr>
              <w:pStyle w:val="6"/>
              <w:spacing w:before="95" w:line="188" w:lineRule="auto"/>
              <w:ind w:left="462"/>
            </w:pPr>
            <w:r>
              <w:rPr>
                <w:spacing w:val="-4"/>
              </w:rPr>
              <w:t>18.7220</w:t>
            </w:r>
          </w:p>
        </w:tc>
        <w:tc>
          <w:tcPr>
            <w:tcW w:w="1419" w:type="dxa"/>
            <w:shd w:val="clear" w:color="auto" w:fill="92D050"/>
            <w:vAlign w:val="top"/>
          </w:tcPr>
          <w:p w14:paraId="18D2D61C">
            <w:pPr>
              <w:pStyle w:val="6"/>
              <w:spacing w:before="97" w:line="188" w:lineRule="auto"/>
              <w:ind w:left="426"/>
            </w:pPr>
            <w:r>
              <w:rPr>
                <w:b/>
                <w:bCs/>
                <w:spacing w:val="-2"/>
              </w:rPr>
              <w:t>9.3610</w:t>
            </w:r>
          </w:p>
        </w:tc>
        <w:tc>
          <w:tcPr>
            <w:tcW w:w="1075" w:type="dxa"/>
            <w:vAlign w:val="top"/>
          </w:tcPr>
          <w:p w14:paraId="70F9E396">
            <w:pPr>
              <w:pStyle w:val="6"/>
              <w:spacing w:before="91" w:line="192" w:lineRule="auto"/>
              <w:ind w:left="508"/>
            </w:pPr>
            <w:r>
              <w:t>/</w:t>
            </w:r>
          </w:p>
        </w:tc>
      </w:tr>
      <w:tr w14:paraId="05E6F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continue"/>
            <w:tcBorders>
              <w:top w:val="nil"/>
            </w:tcBorders>
            <w:vAlign w:val="top"/>
          </w:tcPr>
          <w:p w14:paraId="457BE856">
            <w:pPr>
              <w:rPr>
                <w:rFonts w:ascii="Arial"/>
                <w:sz w:val="21"/>
              </w:rPr>
            </w:pPr>
          </w:p>
        </w:tc>
        <w:tc>
          <w:tcPr>
            <w:tcW w:w="1168" w:type="dxa"/>
            <w:vAlign w:val="top"/>
          </w:tcPr>
          <w:p w14:paraId="78873F61">
            <w:pPr>
              <w:pStyle w:val="6"/>
              <w:spacing w:before="95" w:line="188" w:lineRule="auto"/>
              <w:ind w:left="397"/>
            </w:pPr>
            <w:r>
              <w:rPr>
                <w:spacing w:val="-2"/>
              </w:rPr>
              <w:t>H2S</w:t>
            </w:r>
          </w:p>
        </w:tc>
        <w:tc>
          <w:tcPr>
            <w:tcW w:w="1697" w:type="dxa"/>
            <w:vAlign w:val="top"/>
          </w:tcPr>
          <w:p w14:paraId="2790DAA9">
            <w:pPr>
              <w:pStyle w:val="6"/>
              <w:spacing w:before="95" w:line="188" w:lineRule="auto"/>
              <w:ind w:left="686"/>
            </w:pPr>
            <w:r>
              <w:rPr>
                <w:spacing w:val="-6"/>
              </w:rPr>
              <w:t>10.0</w:t>
            </w:r>
          </w:p>
        </w:tc>
        <w:tc>
          <w:tcPr>
            <w:tcW w:w="1559" w:type="dxa"/>
            <w:vAlign w:val="top"/>
          </w:tcPr>
          <w:p w14:paraId="5F18A274">
            <w:pPr>
              <w:pStyle w:val="6"/>
              <w:spacing w:before="95" w:line="188" w:lineRule="auto"/>
              <w:ind w:left="496"/>
            </w:pPr>
            <w:r>
              <w:rPr>
                <w:spacing w:val="-2"/>
              </w:rPr>
              <w:t>0.7410</w:t>
            </w:r>
          </w:p>
        </w:tc>
        <w:tc>
          <w:tcPr>
            <w:tcW w:w="1419" w:type="dxa"/>
            <w:shd w:val="clear" w:color="auto" w:fill="92D050"/>
            <w:vAlign w:val="top"/>
          </w:tcPr>
          <w:p w14:paraId="6EA1F5C4">
            <w:pPr>
              <w:pStyle w:val="6"/>
              <w:spacing w:before="97" w:line="188" w:lineRule="auto"/>
              <w:ind w:left="426"/>
            </w:pPr>
            <w:r>
              <w:rPr>
                <w:b/>
                <w:bCs/>
                <w:spacing w:val="-2"/>
              </w:rPr>
              <w:t>7.4098</w:t>
            </w:r>
          </w:p>
        </w:tc>
        <w:tc>
          <w:tcPr>
            <w:tcW w:w="1075" w:type="dxa"/>
            <w:vAlign w:val="top"/>
          </w:tcPr>
          <w:p w14:paraId="48CFCC70">
            <w:pPr>
              <w:pStyle w:val="6"/>
              <w:spacing w:before="91" w:line="192" w:lineRule="auto"/>
              <w:ind w:left="508"/>
            </w:pPr>
            <w:r>
              <w:t>/</w:t>
            </w:r>
          </w:p>
        </w:tc>
      </w:tr>
      <w:tr w14:paraId="7AF9C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restart"/>
            <w:tcBorders>
              <w:bottom w:val="nil"/>
            </w:tcBorders>
            <w:vAlign w:val="top"/>
          </w:tcPr>
          <w:p w14:paraId="6287E13B">
            <w:pPr>
              <w:spacing w:before="229" w:line="220" w:lineRule="auto"/>
              <w:ind w:left="172"/>
              <w:rPr>
                <w:rFonts w:ascii="宋体" w:hAnsi="宋体" w:eastAsia="宋体" w:cs="宋体"/>
                <w:sz w:val="21"/>
                <w:szCs w:val="21"/>
              </w:rPr>
            </w:pPr>
            <w:r>
              <w:rPr>
                <w:rFonts w:ascii="宋体" w:hAnsi="宋体" w:eastAsia="宋体" w:cs="宋体"/>
                <w:spacing w:val="-2"/>
                <w:sz w:val="21"/>
                <w:szCs w:val="21"/>
              </w:rPr>
              <w:t>转猪舍面源</w:t>
            </w:r>
          </w:p>
        </w:tc>
        <w:tc>
          <w:tcPr>
            <w:tcW w:w="1168" w:type="dxa"/>
            <w:vAlign w:val="top"/>
          </w:tcPr>
          <w:p w14:paraId="2F4B1BC6">
            <w:pPr>
              <w:pStyle w:val="6"/>
              <w:spacing w:before="96" w:line="188" w:lineRule="auto"/>
              <w:ind w:left="373"/>
            </w:pPr>
            <w:r>
              <w:t>NH</w:t>
            </w:r>
            <w:r>
              <w:rPr>
                <w:spacing w:val="3"/>
              </w:rPr>
              <w:t>3</w:t>
            </w:r>
          </w:p>
        </w:tc>
        <w:tc>
          <w:tcPr>
            <w:tcW w:w="1697" w:type="dxa"/>
            <w:vAlign w:val="top"/>
          </w:tcPr>
          <w:p w14:paraId="3840B9CF">
            <w:pPr>
              <w:pStyle w:val="6"/>
              <w:spacing w:before="96" w:line="188" w:lineRule="auto"/>
              <w:ind w:left="615"/>
            </w:pPr>
            <w:r>
              <w:rPr>
                <w:spacing w:val="-1"/>
              </w:rPr>
              <w:t>200.0</w:t>
            </w:r>
          </w:p>
        </w:tc>
        <w:tc>
          <w:tcPr>
            <w:tcW w:w="1559" w:type="dxa"/>
            <w:vAlign w:val="top"/>
          </w:tcPr>
          <w:p w14:paraId="6CF5450B">
            <w:pPr>
              <w:pStyle w:val="6"/>
              <w:spacing w:before="96" w:line="188" w:lineRule="auto"/>
              <w:ind w:left="462"/>
            </w:pPr>
            <w:r>
              <w:rPr>
                <w:spacing w:val="-4"/>
              </w:rPr>
              <w:t>13.6600</w:t>
            </w:r>
          </w:p>
        </w:tc>
        <w:tc>
          <w:tcPr>
            <w:tcW w:w="1419" w:type="dxa"/>
            <w:vAlign w:val="top"/>
          </w:tcPr>
          <w:p w14:paraId="2CE22B33">
            <w:pPr>
              <w:pStyle w:val="6"/>
              <w:spacing w:before="96" w:line="188" w:lineRule="auto"/>
              <w:ind w:left="429"/>
            </w:pPr>
            <w:r>
              <w:rPr>
                <w:spacing w:val="-2"/>
              </w:rPr>
              <w:t>6.8300</w:t>
            </w:r>
          </w:p>
        </w:tc>
        <w:tc>
          <w:tcPr>
            <w:tcW w:w="1075" w:type="dxa"/>
            <w:vAlign w:val="top"/>
          </w:tcPr>
          <w:p w14:paraId="2FEF1380">
            <w:pPr>
              <w:pStyle w:val="6"/>
              <w:spacing w:before="92" w:line="192" w:lineRule="auto"/>
              <w:ind w:left="508"/>
            </w:pPr>
            <w:r>
              <w:t>/</w:t>
            </w:r>
          </w:p>
        </w:tc>
      </w:tr>
      <w:tr w14:paraId="30C56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384" w:type="dxa"/>
            <w:vMerge w:val="continue"/>
            <w:tcBorders>
              <w:top w:val="nil"/>
            </w:tcBorders>
            <w:vAlign w:val="top"/>
          </w:tcPr>
          <w:p w14:paraId="053BFDA8">
            <w:pPr>
              <w:rPr>
                <w:rFonts w:ascii="Arial"/>
                <w:sz w:val="21"/>
              </w:rPr>
            </w:pPr>
          </w:p>
        </w:tc>
        <w:tc>
          <w:tcPr>
            <w:tcW w:w="1168" w:type="dxa"/>
            <w:vAlign w:val="top"/>
          </w:tcPr>
          <w:p w14:paraId="029EA7F1">
            <w:pPr>
              <w:pStyle w:val="6"/>
              <w:spacing w:before="97" w:line="188" w:lineRule="auto"/>
              <w:ind w:left="397"/>
            </w:pPr>
            <w:r>
              <w:rPr>
                <w:spacing w:val="-2"/>
              </w:rPr>
              <w:t>H2S</w:t>
            </w:r>
          </w:p>
        </w:tc>
        <w:tc>
          <w:tcPr>
            <w:tcW w:w="1697" w:type="dxa"/>
            <w:vAlign w:val="top"/>
          </w:tcPr>
          <w:p w14:paraId="4CF0E213">
            <w:pPr>
              <w:pStyle w:val="6"/>
              <w:spacing w:before="97" w:line="188" w:lineRule="auto"/>
              <w:ind w:left="687"/>
            </w:pPr>
            <w:r>
              <w:rPr>
                <w:spacing w:val="-6"/>
              </w:rPr>
              <w:t>10.0</w:t>
            </w:r>
          </w:p>
        </w:tc>
        <w:tc>
          <w:tcPr>
            <w:tcW w:w="1559" w:type="dxa"/>
            <w:vAlign w:val="top"/>
          </w:tcPr>
          <w:p w14:paraId="771666B0">
            <w:pPr>
              <w:pStyle w:val="6"/>
              <w:spacing w:before="97" w:line="188" w:lineRule="auto"/>
              <w:ind w:left="497"/>
            </w:pPr>
            <w:r>
              <w:rPr>
                <w:spacing w:val="-2"/>
              </w:rPr>
              <w:t>0.5464</w:t>
            </w:r>
          </w:p>
        </w:tc>
        <w:tc>
          <w:tcPr>
            <w:tcW w:w="1419" w:type="dxa"/>
            <w:vAlign w:val="top"/>
          </w:tcPr>
          <w:p w14:paraId="346DB2A3">
            <w:pPr>
              <w:pStyle w:val="6"/>
              <w:spacing w:before="97" w:line="188" w:lineRule="auto"/>
              <w:ind w:left="430"/>
            </w:pPr>
            <w:r>
              <w:rPr>
                <w:spacing w:val="-2"/>
              </w:rPr>
              <w:t>5.4640</w:t>
            </w:r>
          </w:p>
        </w:tc>
        <w:tc>
          <w:tcPr>
            <w:tcW w:w="1075" w:type="dxa"/>
            <w:vAlign w:val="top"/>
          </w:tcPr>
          <w:p w14:paraId="1E46870E">
            <w:pPr>
              <w:pStyle w:val="6"/>
              <w:spacing w:before="93" w:line="192" w:lineRule="auto"/>
              <w:ind w:left="509"/>
            </w:pPr>
            <w:r>
              <w:t>/</w:t>
            </w:r>
          </w:p>
        </w:tc>
      </w:tr>
      <w:tr w14:paraId="19830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restart"/>
            <w:tcBorders>
              <w:bottom w:val="nil"/>
            </w:tcBorders>
            <w:vAlign w:val="top"/>
          </w:tcPr>
          <w:p w14:paraId="0224BB0E">
            <w:pPr>
              <w:spacing w:before="229" w:line="220" w:lineRule="auto"/>
              <w:ind w:left="172"/>
              <w:rPr>
                <w:rFonts w:ascii="宋体" w:hAnsi="宋体" w:eastAsia="宋体" w:cs="宋体"/>
                <w:sz w:val="21"/>
                <w:szCs w:val="21"/>
              </w:rPr>
            </w:pPr>
            <w:r>
              <w:rPr>
                <w:rFonts w:ascii="宋体" w:hAnsi="宋体" w:eastAsia="宋体" w:cs="宋体"/>
                <w:spacing w:val="-2"/>
                <w:sz w:val="21"/>
                <w:szCs w:val="21"/>
              </w:rPr>
              <w:t>堆粪棚面源</w:t>
            </w:r>
          </w:p>
        </w:tc>
        <w:tc>
          <w:tcPr>
            <w:tcW w:w="1168" w:type="dxa"/>
            <w:vAlign w:val="top"/>
          </w:tcPr>
          <w:p w14:paraId="6962CDCF">
            <w:pPr>
              <w:pStyle w:val="6"/>
              <w:spacing w:before="96" w:line="188" w:lineRule="auto"/>
              <w:ind w:left="373"/>
            </w:pPr>
            <w:r>
              <w:t>NH</w:t>
            </w:r>
            <w:r>
              <w:rPr>
                <w:spacing w:val="1"/>
              </w:rPr>
              <w:t>3</w:t>
            </w:r>
          </w:p>
        </w:tc>
        <w:tc>
          <w:tcPr>
            <w:tcW w:w="1697" w:type="dxa"/>
            <w:vAlign w:val="top"/>
          </w:tcPr>
          <w:p w14:paraId="69EDEC25">
            <w:pPr>
              <w:pStyle w:val="6"/>
              <w:spacing w:before="96" w:line="188" w:lineRule="auto"/>
              <w:ind w:left="614"/>
            </w:pPr>
            <w:r>
              <w:rPr>
                <w:spacing w:val="-1"/>
              </w:rPr>
              <w:t>200.0</w:t>
            </w:r>
          </w:p>
        </w:tc>
        <w:tc>
          <w:tcPr>
            <w:tcW w:w="1559" w:type="dxa"/>
            <w:vAlign w:val="top"/>
          </w:tcPr>
          <w:p w14:paraId="007E8A71">
            <w:pPr>
              <w:pStyle w:val="6"/>
              <w:spacing w:before="96" w:line="188" w:lineRule="auto"/>
              <w:ind w:left="498"/>
            </w:pPr>
            <w:r>
              <w:rPr>
                <w:spacing w:val="-2"/>
              </w:rPr>
              <w:t>6.8866</w:t>
            </w:r>
          </w:p>
        </w:tc>
        <w:tc>
          <w:tcPr>
            <w:tcW w:w="1419" w:type="dxa"/>
            <w:vAlign w:val="top"/>
          </w:tcPr>
          <w:p w14:paraId="134057CA">
            <w:pPr>
              <w:pStyle w:val="6"/>
              <w:spacing w:before="96" w:line="188" w:lineRule="auto"/>
              <w:ind w:left="428"/>
            </w:pPr>
            <w:r>
              <w:rPr>
                <w:spacing w:val="-2"/>
              </w:rPr>
              <w:t>3.4433</w:t>
            </w:r>
          </w:p>
        </w:tc>
        <w:tc>
          <w:tcPr>
            <w:tcW w:w="1075" w:type="dxa"/>
            <w:vAlign w:val="top"/>
          </w:tcPr>
          <w:p w14:paraId="63091515">
            <w:pPr>
              <w:pStyle w:val="6"/>
              <w:spacing w:before="92" w:line="192" w:lineRule="auto"/>
              <w:ind w:left="508"/>
            </w:pPr>
            <w:r>
              <w:t>/</w:t>
            </w:r>
          </w:p>
        </w:tc>
      </w:tr>
      <w:tr w14:paraId="4F564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continue"/>
            <w:tcBorders>
              <w:top w:val="nil"/>
            </w:tcBorders>
            <w:vAlign w:val="top"/>
          </w:tcPr>
          <w:p w14:paraId="62E1BA19">
            <w:pPr>
              <w:rPr>
                <w:rFonts w:ascii="Arial"/>
                <w:sz w:val="21"/>
              </w:rPr>
            </w:pPr>
          </w:p>
        </w:tc>
        <w:tc>
          <w:tcPr>
            <w:tcW w:w="1168" w:type="dxa"/>
            <w:vAlign w:val="top"/>
          </w:tcPr>
          <w:p w14:paraId="24030519">
            <w:pPr>
              <w:pStyle w:val="6"/>
              <w:spacing w:before="97" w:line="188" w:lineRule="auto"/>
              <w:ind w:left="397"/>
            </w:pPr>
            <w:r>
              <w:rPr>
                <w:spacing w:val="-2"/>
              </w:rPr>
              <w:t>H2S</w:t>
            </w:r>
          </w:p>
        </w:tc>
        <w:tc>
          <w:tcPr>
            <w:tcW w:w="1697" w:type="dxa"/>
            <w:vAlign w:val="top"/>
          </w:tcPr>
          <w:p w14:paraId="56B274FE">
            <w:pPr>
              <w:pStyle w:val="6"/>
              <w:spacing w:before="97" w:line="188" w:lineRule="auto"/>
              <w:ind w:left="687"/>
            </w:pPr>
            <w:r>
              <w:rPr>
                <w:spacing w:val="-6"/>
              </w:rPr>
              <w:t>10.0</w:t>
            </w:r>
          </w:p>
        </w:tc>
        <w:tc>
          <w:tcPr>
            <w:tcW w:w="1559" w:type="dxa"/>
            <w:vAlign w:val="top"/>
          </w:tcPr>
          <w:p w14:paraId="02F9FF96">
            <w:pPr>
              <w:pStyle w:val="6"/>
              <w:spacing w:before="97" w:line="188" w:lineRule="auto"/>
              <w:ind w:left="497"/>
            </w:pPr>
            <w:r>
              <w:rPr>
                <w:spacing w:val="-2"/>
              </w:rPr>
              <w:t>0.6261</w:t>
            </w:r>
          </w:p>
        </w:tc>
        <w:tc>
          <w:tcPr>
            <w:tcW w:w="1419" w:type="dxa"/>
            <w:vAlign w:val="top"/>
          </w:tcPr>
          <w:p w14:paraId="18427591">
            <w:pPr>
              <w:pStyle w:val="6"/>
              <w:spacing w:before="97" w:line="188" w:lineRule="auto"/>
              <w:ind w:left="429"/>
            </w:pPr>
            <w:r>
              <w:rPr>
                <w:spacing w:val="-2"/>
              </w:rPr>
              <w:t>6.2605</w:t>
            </w:r>
          </w:p>
        </w:tc>
        <w:tc>
          <w:tcPr>
            <w:tcW w:w="1075" w:type="dxa"/>
            <w:vAlign w:val="top"/>
          </w:tcPr>
          <w:p w14:paraId="23897357">
            <w:pPr>
              <w:pStyle w:val="6"/>
              <w:spacing w:before="93" w:line="192" w:lineRule="auto"/>
              <w:ind w:left="509"/>
            </w:pPr>
            <w:r>
              <w:t>/</w:t>
            </w:r>
          </w:p>
        </w:tc>
      </w:tr>
      <w:tr w14:paraId="46E5D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384" w:type="dxa"/>
            <w:vMerge w:val="restart"/>
            <w:tcBorders>
              <w:bottom w:val="nil"/>
            </w:tcBorders>
            <w:vAlign w:val="top"/>
          </w:tcPr>
          <w:p w14:paraId="78A9B2EC">
            <w:pPr>
              <w:spacing w:before="231" w:line="220" w:lineRule="auto"/>
              <w:ind w:left="67"/>
              <w:rPr>
                <w:rFonts w:ascii="宋体" w:hAnsi="宋体" w:eastAsia="宋体" w:cs="宋体"/>
                <w:sz w:val="21"/>
                <w:szCs w:val="21"/>
              </w:rPr>
            </w:pPr>
            <w:r>
              <w:rPr>
                <w:rFonts w:ascii="宋体" w:hAnsi="宋体" w:eastAsia="宋体" w:cs="宋体"/>
                <w:spacing w:val="-2"/>
                <w:sz w:val="21"/>
                <w:szCs w:val="21"/>
              </w:rPr>
              <w:t>堆粪棚排气筒</w:t>
            </w:r>
          </w:p>
        </w:tc>
        <w:tc>
          <w:tcPr>
            <w:tcW w:w="1168" w:type="dxa"/>
            <w:vAlign w:val="top"/>
          </w:tcPr>
          <w:p w14:paraId="092275E0">
            <w:pPr>
              <w:pStyle w:val="6"/>
              <w:spacing w:before="98" w:line="188" w:lineRule="auto"/>
              <w:ind w:left="373"/>
            </w:pPr>
            <w:r>
              <w:t>NH</w:t>
            </w:r>
            <w:r>
              <w:rPr>
                <w:spacing w:val="1"/>
              </w:rPr>
              <w:t>3</w:t>
            </w:r>
          </w:p>
        </w:tc>
        <w:tc>
          <w:tcPr>
            <w:tcW w:w="1697" w:type="dxa"/>
            <w:vAlign w:val="top"/>
          </w:tcPr>
          <w:p w14:paraId="440DC49B">
            <w:pPr>
              <w:pStyle w:val="6"/>
              <w:spacing w:before="98" w:line="188" w:lineRule="auto"/>
              <w:ind w:left="614"/>
            </w:pPr>
            <w:r>
              <w:rPr>
                <w:spacing w:val="-1"/>
              </w:rPr>
              <w:t>200.0</w:t>
            </w:r>
          </w:p>
        </w:tc>
        <w:tc>
          <w:tcPr>
            <w:tcW w:w="1559" w:type="dxa"/>
            <w:vAlign w:val="top"/>
          </w:tcPr>
          <w:p w14:paraId="493C0FFC">
            <w:pPr>
              <w:pStyle w:val="6"/>
              <w:spacing w:before="98" w:line="188" w:lineRule="auto"/>
              <w:ind w:left="497"/>
            </w:pPr>
            <w:r>
              <w:rPr>
                <w:spacing w:val="-2"/>
              </w:rPr>
              <w:t>0.5871</w:t>
            </w:r>
          </w:p>
        </w:tc>
        <w:tc>
          <w:tcPr>
            <w:tcW w:w="1419" w:type="dxa"/>
            <w:vAlign w:val="top"/>
          </w:tcPr>
          <w:p w14:paraId="214172CF">
            <w:pPr>
              <w:pStyle w:val="6"/>
              <w:spacing w:before="98" w:line="188" w:lineRule="auto"/>
              <w:ind w:left="427"/>
            </w:pPr>
            <w:r>
              <w:rPr>
                <w:spacing w:val="-2"/>
              </w:rPr>
              <w:t>0.2935</w:t>
            </w:r>
          </w:p>
        </w:tc>
        <w:tc>
          <w:tcPr>
            <w:tcW w:w="1075" w:type="dxa"/>
            <w:vAlign w:val="top"/>
          </w:tcPr>
          <w:p w14:paraId="424B4805">
            <w:pPr>
              <w:pStyle w:val="6"/>
              <w:spacing w:before="94" w:line="192" w:lineRule="auto"/>
              <w:ind w:left="508"/>
            </w:pPr>
            <w:r>
              <w:t>/</w:t>
            </w:r>
          </w:p>
        </w:tc>
      </w:tr>
      <w:tr w14:paraId="7DF49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continue"/>
            <w:tcBorders>
              <w:top w:val="nil"/>
            </w:tcBorders>
            <w:vAlign w:val="top"/>
          </w:tcPr>
          <w:p w14:paraId="495220C0">
            <w:pPr>
              <w:rPr>
                <w:rFonts w:ascii="Arial"/>
                <w:sz w:val="21"/>
              </w:rPr>
            </w:pPr>
          </w:p>
        </w:tc>
        <w:tc>
          <w:tcPr>
            <w:tcW w:w="1168" w:type="dxa"/>
            <w:vAlign w:val="top"/>
          </w:tcPr>
          <w:p w14:paraId="54B715AD">
            <w:pPr>
              <w:pStyle w:val="6"/>
              <w:spacing w:before="97" w:line="188" w:lineRule="auto"/>
              <w:ind w:left="397"/>
            </w:pPr>
            <w:r>
              <w:rPr>
                <w:spacing w:val="-2"/>
              </w:rPr>
              <w:t>H2S</w:t>
            </w:r>
          </w:p>
        </w:tc>
        <w:tc>
          <w:tcPr>
            <w:tcW w:w="1697" w:type="dxa"/>
            <w:vAlign w:val="top"/>
          </w:tcPr>
          <w:p w14:paraId="13BA8179">
            <w:pPr>
              <w:pStyle w:val="6"/>
              <w:spacing w:before="97" w:line="188" w:lineRule="auto"/>
              <w:ind w:left="687"/>
            </w:pPr>
            <w:r>
              <w:rPr>
                <w:spacing w:val="-6"/>
              </w:rPr>
              <w:t>10.0</w:t>
            </w:r>
          </w:p>
        </w:tc>
        <w:tc>
          <w:tcPr>
            <w:tcW w:w="1559" w:type="dxa"/>
            <w:vAlign w:val="top"/>
          </w:tcPr>
          <w:p w14:paraId="6DFB5B7F">
            <w:pPr>
              <w:pStyle w:val="6"/>
              <w:spacing w:before="97" w:line="188" w:lineRule="auto"/>
              <w:ind w:left="497"/>
            </w:pPr>
            <w:r>
              <w:rPr>
                <w:spacing w:val="-2"/>
              </w:rPr>
              <w:t>0.0559</w:t>
            </w:r>
          </w:p>
        </w:tc>
        <w:tc>
          <w:tcPr>
            <w:tcW w:w="1419" w:type="dxa"/>
            <w:vAlign w:val="top"/>
          </w:tcPr>
          <w:p w14:paraId="02026831">
            <w:pPr>
              <w:pStyle w:val="6"/>
              <w:spacing w:before="97" w:line="188" w:lineRule="auto"/>
              <w:ind w:left="427"/>
            </w:pPr>
            <w:r>
              <w:rPr>
                <w:spacing w:val="-2"/>
              </w:rPr>
              <w:t>0.5591</w:t>
            </w:r>
          </w:p>
        </w:tc>
        <w:tc>
          <w:tcPr>
            <w:tcW w:w="1075" w:type="dxa"/>
            <w:vAlign w:val="top"/>
          </w:tcPr>
          <w:p w14:paraId="24B6E466">
            <w:pPr>
              <w:pStyle w:val="6"/>
              <w:spacing w:before="93" w:line="192" w:lineRule="auto"/>
              <w:ind w:left="509"/>
            </w:pPr>
            <w:r>
              <w:t>/</w:t>
            </w:r>
          </w:p>
        </w:tc>
      </w:tr>
      <w:tr w14:paraId="3A516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restart"/>
            <w:tcBorders>
              <w:bottom w:val="nil"/>
            </w:tcBorders>
            <w:vAlign w:val="top"/>
          </w:tcPr>
          <w:p w14:paraId="315F559F">
            <w:pPr>
              <w:spacing w:before="231" w:line="220" w:lineRule="auto"/>
              <w:ind w:left="172"/>
              <w:rPr>
                <w:rFonts w:ascii="宋体" w:hAnsi="宋体" w:eastAsia="宋体" w:cs="宋体"/>
                <w:sz w:val="21"/>
                <w:szCs w:val="21"/>
              </w:rPr>
            </w:pPr>
            <w:r>
              <w:rPr>
                <w:rFonts w:ascii="宋体" w:hAnsi="宋体" w:eastAsia="宋体" w:cs="宋体"/>
                <w:spacing w:val="-2"/>
                <w:sz w:val="21"/>
                <w:szCs w:val="21"/>
              </w:rPr>
              <w:t>污水站面源</w:t>
            </w:r>
          </w:p>
        </w:tc>
        <w:tc>
          <w:tcPr>
            <w:tcW w:w="1168" w:type="dxa"/>
            <w:vAlign w:val="top"/>
          </w:tcPr>
          <w:p w14:paraId="1F2290F1">
            <w:pPr>
              <w:pStyle w:val="6"/>
              <w:spacing w:before="98" w:line="188" w:lineRule="auto"/>
              <w:ind w:left="373"/>
            </w:pPr>
            <w:r>
              <w:t>NH</w:t>
            </w:r>
            <w:r>
              <w:rPr>
                <w:spacing w:val="1"/>
              </w:rPr>
              <w:t>3</w:t>
            </w:r>
          </w:p>
        </w:tc>
        <w:tc>
          <w:tcPr>
            <w:tcW w:w="1697" w:type="dxa"/>
            <w:vAlign w:val="top"/>
          </w:tcPr>
          <w:p w14:paraId="5939BD9A">
            <w:pPr>
              <w:pStyle w:val="6"/>
              <w:spacing w:before="98" w:line="188" w:lineRule="auto"/>
              <w:ind w:left="614"/>
            </w:pPr>
            <w:r>
              <w:rPr>
                <w:spacing w:val="-1"/>
              </w:rPr>
              <w:t>200.0</w:t>
            </w:r>
          </w:p>
        </w:tc>
        <w:tc>
          <w:tcPr>
            <w:tcW w:w="1559" w:type="dxa"/>
            <w:vAlign w:val="top"/>
          </w:tcPr>
          <w:p w14:paraId="1E9AD201">
            <w:pPr>
              <w:pStyle w:val="6"/>
              <w:spacing w:before="98" w:line="188" w:lineRule="auto"/>
              <w:ind w:left="498"/>
            </w:pPr>
            <w:r>
              <w:rPr>
                <w:spacing w:val="-2"/>
              </w:rPr>
              <w:t>3.8863</w:t>
            </w:r>
          </w:p>
        </w:tc>
        <w:tc>
          <w:tcPr>
            <w:tcW w:w="1419" w:type="dxa"/>
            <w:vAlign w:val="top"/>
          </w:tcPr>
          <w:p w14:paraId="7EB56D3F">
            <w:pPr>
              <w:pStyle w:val="6"/>
              <w:spacing w:before="98" w:line="188" w:lineRule="auto"/>
              <w:ind w:left="444"/>
            </w:pPr>
            <w:r>
              <w:rPr>
                <w:spacing w:val="-4"/>
              </w:rPr>
              <w:t>1.9432</w:t>
            </w:r>
          </w:p>
        </w:tc>
        <w:tc>
          <w:tcPr>
            <w:tcW w:w="1075" w:type="dxa"/>
            <w:vAlign w:val="top"/>
          </w:tcPr>
          <w:p w14:paraId="63A8775C">
            <w:pPr>
              <w:pStyle w:val="6"/>
              <w:spacing w:before="94" w:line="192" w:lineRule="auto"/>
              <w:ind w:left="508"/>
            </w:pPr>
            <w:r>
              <w:t>/</w:t>
            </w:r>
          </w:p>
        </w:tc>
      </w:tr>
      <w:tr w14:paraId="6846E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384" w:type="dxa"/>
            <w:vMerge w:val="continue"/>
            <w:tcBorders>
              <w:top w:val="nil"/>
            </w:tcBorders>
            <w:vAlign w:val="top"/>
          </w:tcPr>
          <w:p w14:paraId="2086392C">
            <w:pPr>
              <w:rPr>
                <w:rFonts w:ascii="Arial"/>
                <w:sz w:val="21"/>
              </w:rPr>
            </w:pPr>
          </w:p>
        </w:tc>
        <w:tc>
          <w:tcPr>
            <w:tcW w:w="1168" w:type="dxa"/>
            <w:vAlign w:val="top"/>
          </w:tcPr>
          <w:p w14:paraId="4D95DCC0">
            <w:pPr>
              <w:pStyle w:val="6"/>
              <w:spacing w:before="99" w:line="188" w:lineRule="auto"/>
              <w:ind w:left="397"/>
            </w:pPr>
            <w:r>
              <w:rPr>
                <w:spacing w:val="-2"/>
              </w:rPr>
              <w:t>H2S</w:t>
            </w:r>
          </w:p>
        </w:tc>
        <w:tc>
          <w:tcPr>
            <w:tcW w:w="1697" w:type="dxa"/>
            <w:vAlign w:val="top"/>
          </w:tcPr>
          <w:p w14:paraId="7CD53B6A">
            <w:pPr>
              <w:pStyle w:val="6"/>
              <w:spacing w:before="99" w:line="188" w:lineRule="auto"/>
              <w:ind w:left="687"/>
            </w:pPr>
            <w:r>
              <w:rPr>
                <w:spacing w:val="-6"/>
              </w:rPr>
              <w:t>10.0</w:t>
            </w:r>
          </w:p>
        </w:tc>
        <w:tc>
          <w:tcPr>
            <w:tcW w:w="1559" w:type="dxa"/>
            <w:vAlign w:val="top"/>
          </w:tcPr>
          <w:p w14:paraId="11478039">
            <w:pPr>
              <w:pStyle w:val="6"/>
              <w:spacing w:before="99" w:line="188" w:lineRule="auto"/>
              <w:ind w:left="497"/>
            </w:pPr>
            <w:r>
              <w:rPr>
                <w:spacing w:val="-2"/>
              </w:rPr>
              <w:t>0.1690</w:t>
            </w:r>
          </w:p>
        </w:tc>
        <w:tc>
          <w:tcPr>
            <w:tcW w:w="1419" w:type="dxa"/>
            <w:vAlign w:val="top"/>
          </w:tcPr>
          <w:p w14:paraId="573FD76F">
            <w:pPr>
              <w:pStyle w:val="6"/>
              <w:spacing w:before="99" w:line="188" w:lineRule="auto"/>
              <w:ind w:left="444"/>
            </w:pPr>
            <w:r>
              <w:rPr>
                <w:spacing w:val="-4"/>
              </w:rPr>
              <w:t>1.6897</w:t>
            </w:r>
          </w:p>
        </w:tc>
        <w:tc>
          <w:tcPr>
            <w:tcW w:w="1075" w:type="dxa"/>
            <w:vAlign w:val="top"/>
          </w:tcPr>
          <w:p w14:paraId="0AA2B040">
            <w:pPr>
              <w:pStyle w:val="6"/>
              <w:spacing w:before="95" w:line="192" w:lineRule="auto"/>
              <w:ind w:left="509"/>
            </w:pPr>
            <w:r>
              <w:t>/</w:t>
            </w:r>
          </w:p>
        </w:tc>
      </w:tr>
      <w:tr w14:paraId="09B69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restart"/>
            <w:tcBorders>
              <w:bottom w:val="nil"/>
            </w:tcBorders>
            <w:vAlign w:val="top"/>
          </w:tcPr>
          <w:p w14:paraId="3A7CF5A7">
            <w:pPr>
              <w:spacing w:before="231" w:line="220" w:lineRule="auto"/>
              <w:ind w:left="172"/>
              <w:rPr>
                <w:rFonts w:ascii="宋体" w:hAnsi="宋体" w:eastAsia="宋体" w:cs="宋体"/>
                <w:sz w:val="21"/>
                <w:szCs w:val="21"/>
              </w:rPr>
            </w:pPr>
            <w:r>
              <w:rPr>
                <w:rFonts w:ascii="宋体" w:hAnsi="宋体" w:eastAsia="宋体" w:cs="宋体"/>
                <w:spacing w:val="-2"/>
                <w:sz w:val="21"/>
                <w:szCs w:val="21"/>
              </w:rPr>
              <w:t>保育楼体源</w:t>
            </w:r>
          </w:p>
        </w:tc>
        <w:tc>
          <w:tcPr>
            <w:tcW w:w="1168" w:type="dxa"/>
            <w:vAlign w:val="top"/>
          </w:tcPr>
          <w:p w14:paraId="584767B1">
            <w:pPr>
              <w:pStyle w:val="6"/>
              <w:spacing w:before="98" w:line="188" w:lineRule="auto"/>
              <w:ind w:left="373"/>
            </w:pPr>
            <w:r>
              <w:t>NH</w:t>
            </w:r>
            <w:r>
              <w:rPr>
                <w:spacing w:val="1"/>
              </w:rPr>
              <w:t>3</w:t>
            </w:r>
          </w:p>
        </w:tc>
        <w:tc>
          <w:tcPr>
            <w:tcW w:w="1697" w:type="dxa"/>
            <w:vAlign w:val="top"/>
          </w:tcPr>
          <w:p w14:paraId="05A19DE2">
            <w:pPr>
              <w:pStyle w:val="6"/>
              <w:spacing w:before="98" w:line="188" w:lineRule="auto"/>
              <w:ind w:left="614"/>
            </w:pPr>
            <w:r>
              <w:rPr>
                <w:spacing w:val="-1"/>
              </w:rPr>
              <w:t>200.0</w:t>
            </w:r>
          </w:p>
        </w:tc>
        <w:tc>
          <w:tcPr>
            <w:tcW w:w="1559" w:type="dxa"/>
            <w:vAlign w:val="top"/>
          </w:tcPr>
          <w:p w14:paraId="1DB2C346">
            <w:pPr>
              <w:pStyle w:val="6"/>
              <w:spacing w:before="98" w:line="188" w:lineRule="auto"/>
              <w:ind w:left="498"/>
            </w:pPr>
            <w:r>
              <w:rPr>
                <w:spacing w:val="-2"/>
              </w:rPr>
              <w:t>6.4450</w:t>
            </w:r>
          </w:p>
        </w:tc>
        <w:tc>
          <w:tcPr>
            <w:tcW w:w="1419" w:type="dxa"/>
            <w:vAlign w:val="top"/>
          </w:tcPr>
          <w:p w14:paraId="0ED2C81F">
            <w:pPr>
              <w:pStyle w:val="6"/>
              <w:spacing w:before="98" w:line="188" w:lineRule="auto"/>
              <w:ind w:left="428"/>
            </w:pPr>
            <w:r>
              <w:rPr>
                <w:spacing w:val="-2"/>
              </w:rPr>
              <w:t>3.2225</w:t>
            </w:r>
          </w:p>
        </w:tc>
        <w:tc>
          <w:tcPr>
            <w:tcW w:w="1075" w:type="dxa"/>
            <w:vAlign w:val="top"/>
          </w:tcPr>
          <w:p w14:paraId="29101059">
            <w:pPr>
              <w:pStyle w:val="6"/>
              <w:spacing w:before="94" w:line="192" w:lineRule="auto"/>
              <w:ind w:left="508"/>
            </w:pPr>
            <w:r>
              <w:t>/</w:t>
            </w:r>
          </w:p>
        </w:tc>
      </w:tr>
      <w:tr w14:paraId="2B534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continue"/>
            <w:tcBorders>
              <w:top w:val="nil"/>
            </w:tcBorders>
            <w:vAlign w:val="top"/>
          </w:tcPr>
          <w:p w14:paraId="281879DB">
            <w:pPr>
              <w:rPr>
                <w:rFonts w:ascii="Arial"/>
                <w:sz w:val="21"/>
              </w:rPr>
            </w:pPr>
          </w:p>
        </w:tc>
        <w:tc>
          <w:tcPr>
            <w:tcW w:w="1168" w:type="dxa"/>
            <w:vAlign w:val="top"/>
          </w:tcPr>
          <w:p w14:paraId="1751079B">
            <w:pPr>
              <w:pStyle w:val="6"/>
              <w:spacing w:before="99" w:line="188" w:lineRule="auto"/>
              <w:ind w:left="397"/>
            </w:pPr>
            <w:r>
              <w:rPr>
                <w:spacing w:val="-2"/>
              </w:rPr>
              <w:t>H2S</w:t>
            </w:r>
          </w:p>
        </w:tc>
        <w:tc>
          <w:tcPr>
            <w:tcW w:w="1697" w:type="dxa"/>
            <w:vAlign w:val="top"/>
          </w:tcPr>
          <w:p w14:paraId="306FDF75">
            <w:pPr>
              <w:pStyle w:val="6"/>
              <w:spacing w:before="99" w:line="188" w:lineRule="auto"/>
              <w:ind w:left="687"/>
            </w:pPr>
            <w:r>
              <w:rPr>
                <w:spacing w:val="-6"/>
              </w:rPr>
              <w:t>10.0</w:t>
            </w:r>
          </w:p>
        </w:tc>
        <w:tc>
          <w:tcPr>
            <w:tcW w:w="1559" w:type="dxa"/>
            <w:vAlign w:val="top"/>
          </w:tcPr>
          <w:p w14:paraId="42CEA08E">
            <w:pPr>
              <w:pStyle w:val="6"/>
              <w:spacing w:before="99" w:line="188" w:lineRule="auto"/>
              <w:ind w:left="497"/>
            </w:pPr>
            <w:r>
              <w:rPr>
                <w:spacing w:val="-2"/>
              </w:rPr>
              <w:t>0.2578</w:t>
            </w:r>
          </w:p>
        </w:tc>
        <w:tc>
          <w:tcPr>
            <w:tcW w:w="1419" w:type="dxa"/>
            <w:vAlign w:val="top"/>
          </w:tcPr>
          <w:p w14:paraId="6E0F01DF">
            <w:pPr>
              <w:pStyle w:val="6"/>
              <w:spacing w:before="99" w:line="188" w:lineRule="auto"/>
              <w:ind w:left="424"/>
            </w:pPr>
            <w:r>
              <w:rPr>
                <w:spacing w:val="-1"/>
              </w:rPr>
              <w:t>2.5780</w:t>
            </w:r>
          </w:p>
        </w:tc>
        <w:tc>
          <w:tcPr>
            <w:tcW w:w="1075" w:type="dxa"/>
            <w:vAlign w:val="top"/>
          </w:tcPr>
          <w:p w14:paraId="64BEF8AB">
            <w:pPr>
              <w:pStyle w:val="6"/>
              <w:spacing w:before="95" w:line="192" w:lineRule="auto"/>
              <w:ind w:left="509"/>
            </w:pPr>
            <w:r>
              <w:t>/</w:t>
            </w:r>
          </w:p>
        </w:tc>
      </w:tr>
      <w:tr w14:paraId="55FFF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384" w:type="dxa"/>
            <w:vMerge w:val="restart"/>
            <w:tcBorders>
              <w:bottom w:val="nil"/>
            </w:tcBorders>
            <w:vAlign w:val="top"/>
          </w:tcPr>
          <w:p w14:paraId="44C7EDF0">
            <w:pPr>
              <w:spacing w:before="233" w:line="220" w:lineRule="auto"/>
              <w:ind w:left="68"/>
              <w:rPr>
                <w:rFonts w:ascii="宋体" w:hAnsi="宋体" w:eastAsia="宋体" w:cs="宋体"/>
                <w:sz w:val="21"/>
                <w:szCs w:val="21"/>
              </w:rPr>
            </w:pPr>
            <w:r>
              <w:rPr>
                <w:rFonts w:ascii="宋体" w:hAnsi="宋体" w:eastAsia="宋体" w:cs="宋体"/>
                <w:spacing w:val="-2"/>
                <w:sz w:val="21"/>
                <w:szCs w:val="21"/>
              </w:rPr>
              <w:t>污水站排气筒</w:t>
            </w:r>
          </w:p>
        </w:tc>
        <w:tc>
          <w:tcPr>
            <w:tcW w:w="1168" w:type="dxa"/>
            <w:vAlign w:val="top"/>
          </w:tcPr>
          <w:p w14:paraId="1AF58A9D">
            <w:pPr>
              <w:pStyle w:val="6"/>
              <w:spacing w:before="100" w:line="188" w:lineRule="auto"/>
              <w:ind w:left="373"/>
            </w:pPr>
            <w:r>
              <w:t>NH</w:t>
            </w:r>
            <w:r>
              <w:rPr>
                <w:spacing w:val="1"/>
              </w:rPr>
              <w:t>3</w:t>
            </w:r>
          </w:p>
        </w:tc>
        <w:tc>
          <w:tcPr>
            <w:tcW w:w="1697" w:type="dxa"/>
            <w:vAlign w:val="top"/>
          </w:tcPr>
          <w:p w14:paraId="748B52CA">
            <w:pPr>
              <w:pStyle w:val="6"/>
              <w:spacing w:before="100" w:line="188" w:lineRule="auto"/>
              <w:ind w:left="614"/>
            </w:pPr>
            <w:r>
              <w:rPr>
                <w:spacing w:val="-1"/>
              </w:rPr>
              <w:t>200.0</w:t>
            </w:r>
          </w:p>
        </w:tc>
        <w:tc>
          <w:tcPr>
            <w:tcW w:w="1559" w:type="dxa"/>
            <w:vAlign w:val="top"/>
          </w:tcPr>
          <w:p w14:paraId="102C6E92">
            <w:pPr>
              <w:pStyle w:val="6"/>
              <w:spacing w:before="100" w:line="188" w:lineRule="auto"/>
              <w:ind w:left="497"/>
            </w:pPr>
            <w:r>
              <w:rPr>
                <w:spacing w:val="-2"/>
              </w:rPr>
              <w:t>7.9461</w:t>
            </w:r>
          </w:p>
        </w:tc>
        <w:tc>
          <w:tcPr>
            <w:tcW w:w="1419" w:type="dxa"/>
            <w:vAlign w:val="top"/>
          </w:tcPr>
          <w:p w14:paraId="5B443D7F">
            <w:pPr>
              <w:pStyle w:val="6"/>
              <w:spacing w:before="100" w:line="188" w:lineRule="auto"/>
              <w:ind w:left="428"/>
            </w:pPr>
            <w:r>
              <w:rPr>
                <w:spacing w:val="-2"/>
              </w:rPr>
              <w:t>3.9731</w:t>
            </w:r>
          </w:p>
        </w:tc>
        <w:tc>
          <w:tcPr>
            <w:tcW w:w="1075" w:type="dxa"/>
            <w:vAlign w:val="top"/>
          </w:tcPr>
          <w:p w14:paraId="41282D90">
            <w:pPr>
              <w:pStyle w:val="6"/>
              <w:spacing w:before="96" w:line="192" w:lineRule="auto"/>
              <w:ind w:left="508"/>
            </w:pPr>
            <w:r>
              <w:t>/</w:t>
            </w:r>
          </w:p>
        </w:tc>
      </w:tr>
      <w:tr w14:paraId="62E44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384" w:type="dxa"/>
            <w:vMerge w:val="continue"/>
            <w:tcBorders>
              <w:top w:val="nil"/>
            </w:tcBorders>
            <w:vAlign w:val="top"/>
          </w:tcPr>
          <w:p w14:paraId="527E19F3">
            <w:pPr>
              <w:rPr>
                <w:rFonts w:ascii="Arial"/>
                <w:sz w:val="21"/>
              </w:rPr>
            </w:pPr>
          </w:p>
        </w:tc>
        <w:tc>
          <w:tcPr>
            <w:tcW w:w="1168" w:type="dxa"/>
            <w:vAlign w:val="top"/>
          </w:tcPr>
          <w:p w14:paraId="6B79FC31">
            <w:pPr>
              <w:pStyle w:val="6"/>
              <w:spacing w:before="99" w:line="188" w:lineRule="auto"/>
              <w:ind w:left="397"/>
            </w:pPr>
            <w:r>
              <w:rPr>
                <w:spacing w:val="-2"/>
              </w:rPr>
              <w:t>H2S</w:t>
            </w:r>
          </w:p>
        </w:tc>
        <w:tc>
          <w:tcPr>
            <w:tcW w:w="1697" w:type="dxa"/>
            <w:vAlign w:val="top"/>
          </w:tcPr>
          <w:p w14:paraId="7F7EAEA2">
            <w:pPr>
              <w:pStyle w:val="6"/>
              <w:spacing w:before="99" w:line="188" w:lineRule="auto"/>
              <w:ind w:left="687"/>
            </w:pPr>
            <w:r>
              <w:rPr>
                <w:spacing w:val="-6"/>
              </w:rPr>
              <w:t>10.0</w:t>
            </w:r>
          </w:p>
        </w:tc>
        <w:tc>
          <w:tcPr>
            <w:tcW w:w="1559" w:type="dxa"/>
            <w:vAlign w:val="top"/>
          </w:tcPr>
          <w:p w14:paraId="5693455E">
            <w:pPr>
              <w:pStyle w:val="6"/>
              <w:spacing w:before="99" w:line="188" w:lineRule="auto"/>
              <w:ind w:left="497"/>
            </w:pPr>
            <w:r>
              <w:rPr>
                <w:spacing w:val="-2"/>
              </w:rPr>
              <w:t>0.2709</w:t>
            </w:r>
          </w:p>
        </w:tc>
        <w:tc>
          <w:tcPr>
            <w:tcW w:w="1419" w:type="dxa"/>
            <w:vAlign w:val="top"/>
          </w:tcPr>
          <w:p w14:paraId="34A0B3BD">
            <w:pPr>
              <w:pStyle w:val="6"/>
              <w:spacing w:before="99" w:line="188" w:lineRule="auto"/>
              <w:ind w:left="424"/>
            </w:pPr>
            <w:r>
              <w:rPr>
                <w:spacing w:val="-1"/>
              </w:rPr>
              <w:t>2.7089</w:t>
            </w:r>
          </w:p>
        </w:tc>
        <w:tc>
          <w:tcPr>
            <w:tcW w:w="1075" w:type="dxa"/>
            <w:vAlign w:val="top"/>
          </w:tcPr>
          <w:p w14:paraId="30B03F6B">
            <w:pPr>
              <w:pStyle w:val="6"/>
              <w:spacing w:before="95" w:line="192" w:lineRule="auto"/>
              <w:ind w:left="509"/>
            </w:pPr>
            <w:r>
              <w:t>/</w:t>
            </w:r>
          </w:p>
        </w:tc>
      </w:tr>
    </w:tbl>
    <w:p w14:paraId="2ECB850C">
      <w:pPr>
        <w:spacing w:before="144" w:line="6575" w:lineRule="exact"/>
        <w:ind w:firstLine="21"/>
      </w:pPr>
      <w:r>
        <w:rPr>
          <w:position w:val="-131"/>
        </w:rPr>
        <w:drawing>
          <wp:inline distT="0" distB="0" distL="0" distR="0">
            <wp:extent cx="5283200" cy="41751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31"/>
                    <a:stretch>
                      <a:fillRect/>
                    </a:stretch>
                  </pic:blipFill>
                  <pic:spPr>
                    <a:xfrm>
                      <a:off x="0" y="0"/>
                      <a:ext cx="5283707" cy="4175759"/>
                    </a:xfrm>
                    <a:prstGeom prst="rect">
                      <a:avLst/>
                    </a:prstGeom>
                  </pic:spPr>
                </pic:pic>
              </a:graphicData>
            </a:graphic>
          </wp:inline>
        </w:drawing>
      </w:r>
    </w:p>
    <w:p w14:paraId="6C364037">
      <w:pPr>
        <w:spacing w:before="272" w:line="220" w:lineRule="auto"/>
        <w:ind w:left="2566"/>
        <w:rPr>
          <w:rFonts w:ascii="黑体" w:hAnsi="黑体" w:eastAsia="黑体" w:cs="黑体"/>
          <w:sz w:val="21"/>
          <w:szCs w:val="21"/>
        </w:rPr>
      </w:pPr>
      <w:r>
        <w:rPr>
          <w:rFonts w:ascii="黑体" w:hAnsi="黑体" w:eastAsia="黑体" w:cs="黑体"/>
          <w:spacing w:val="-2"/>
          <w:sz w:val="21"/>
          <w:szCs w:val="21"/>
        </w:rPr>
        <w:t>图</w:t>
      </w:r>
      <w:r>
        <w:rPr>
          <w:rFonts w:ascii="Times New Roman" w:hAnsi="Times New Roman" w:eastAsia="Times New Roman" w:cs="Times New Roman"/>
          <w:spacing w:val="-2"/>
          <w:sz w:val="21"/>
          <w:szCs w:val="21"/>
        </w:rPr>
        <w:t xml:space="preserve">1.3-1  </w:t>
      </w:r>
      <w:r>
        <w:rPr>
          <w:rFonts w:ascii="黑体" w:hAnsi="黑体" w:eastAsia="黑体" w:cs="黑体"/>
          <w:spacing w:val="-2"/>
          <w:sz w:val="21"/>
          <w:szCs w:val="21"/>
        </w:rPr>
        <w:t>估算模型软件计算结果截屏</w:t>
      </w:r>
    </w:p>
    <w:p w14:paraId="6131080B">
      <w:pPr>
        <w:spacing w:line="220" w:lineRule="auto"/>
        <w:rPr>
          <w:rFonts w:ascii="黑体" w:hAnsi="黑体" w:eastAsia="黑体" w:cs="黑体"/>
          <w:sz w:val="21"/>
          <w:szCs w:val="21"/>
        </w:rPr>
        <w:sectPr>
          <w:headerReference r:id="rId45" w:type="default"/>
          <w:footerReference r:id="rId46" w:type="default"/>
          <w:pgSz w:w="11905" w:h="16840"/>
          <w:pgMar w:top="1168" w:right="1768" w:bottom="1409" w:left="1770" w:header="828" w:footer="1244" w:gutter="0"/>
          <w:cols w:space="720" w:num="1"/>
        </w:sectPr>
      </w:pPr>
    </w:p>
    <w:p w14:paraId="7D7474EC">
      <w:pPr>
        <w:pStyle w:val="2"/>
        <w:spacing w:line="353" w:lineRule="auto"/>
      </w:pPr>
    </w:p>
    <w:p w14:paraId="120FEDA4">
      <w:pPr>
        <w:spacing w:before="88" w:line="226" w:lineRule="auto"/>
        <w:ind w:left="48"/>
        <w:rPr>
          <w:rFonts w:ascii="宋体" w:hAnsi="宋体" w:eastAsia="宋体" w:cs="宋体"/>
          <w:sz w:val="27"/>
          <w:szCs w:val="27"/>
        </w:rPr>
      </w:pPr>
      <w:r>
        <w:rPr>
          <w:rFonts w:ascii="Times New Roman" w:hAnsi="Times New Roman" w:eastAsia="Times New Roman" w:cs="Times New Roman"/>
          <w:b/>
          <w:bCs/>
          <w:spacing w:val="3"/>
          <w:sz w:val="27"/>
          <w:szCs w:val="27"/>
        </w:rPr>
        <w:t xml:space="preserve">1.3.1.2 </w:t>
      </w:r>
      <w:r>
        <w:rPr>
          <w:rFonts w:ascii="宋体" w:hAnsi="宋体" w:eastAsia="宋体" w:cs="宋体"/>
          <w:b/>
          <w:bCs/>
          <w:spacing w:val="3"/>
          <w:sz w:val="27"/>
          <w:szCs w:val="27"/>
        </w:rPr>
        <w:t>地表水环境</w:t>
      </w:r>
    </w:p>
    <w:p w14:paraId="431B549D">
      <w:pPr>
        <w:spacing w:before="236" w:line="360" w:lineRule="auto"/>
        <w:ind w:left="38" w:right="30" w:firstLine="480"/>
        <w:jc w:val="both"/>
        <w:rPr>
          <w:rFonts w:ascii="宋体" w:hAnsi="宋体" w:eastAsia="宋体" w:cs="宋体"/>
          <w:sz w:val="24"/>
          <w:szCs w:val="24"/>
        </w:rPr>
      </w:pPr>
      <w:r>
        <w:rPr>
          <w:rFonts w:ascii="宋体" w:hAnsi="宋体" w:eastAsia="宋体" w:cs="宋体"/>
          <w:spacing w:val="2"/>
          <w:sz w:val="24"/>
          <w:szCs w:val="24"/>
        </w:rPr>
        <w:t>根据《环境影响评价技术导则 地表水环境》（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2.3-2018</w:t>
      </w:r>
      <w:r>
        <w:rPr>
          <w:rFonts w:ascii="宋体" w:hAnsi="宋体" w:eastAsia="宋体" w:cs="宋体"/>
          <w:spacing w:val="2"/>
          <w:sz w:val="24"/>
          <w:szCs w:val="24"/>
        </w:rPr>
        <w:t>）中对评价等级</w:t>
      </w:r>
      <w:r>
        <w:rPr>
          <w:rFonts w:ascii="宋体" w:hAnsi="宋体" w:eastAsia="宋体" w:cs="宋体"/>
          <w:spacing w:val="-3"/>
          <w:sz w:val="24"/>
          <w:szCs w:val="24"/>
        </w:rPr>
        <w:t>划分的方法，建设项目地表水环境影响评价等级按照影响类型、排放方式、排放</w:t>
      </w:r>
      <w:r>
        <w:rPr>
          <w:rFonts w:ascii="宋体" w:hAnsi="宋体" w:eastAsia="宋体" w:cs="宋体"/>
          <w:spacing w:val="-1"/>
          <w:sz w:val="24"/>
          <w:szCs w:val="24"/>
        </w:rPr>
        <w:t>量或影响情况、受纳水体环境质量现状、水</w:t>
      </w:r>
      <w:r>
        <w:rPr>
          <w:rFonts w:ascii="宋体" w:hAnsi="宋体" w:eastAsia="宋体" w:cs="宋体"/>
          <w:spacing w:val="-2"/>
          <w:sz w:val="24"/>
          <w:szCs w:val="24"/>
        </w:rPr>
        <w:t>环境保护目标等综合确定。</w:t>
      </w:r>
    </w:p>
    <w:p w14:paraId="77A8CC2E">
      <w:pPr>
        <w:spacing w:line="218" w:lineRule="auto"/>
        <w:ind w:left="520"/>
        <w:rPr>
          <w:rFonts w:ascii="宋体" w:hAnsi="宋体" w:eastAsia="宋体" w:cs="宋体"/>
          <w:sz w:val="24"/>
          <w:szCs w:val="24"/>
        </w:rPr>
      </w:pPr>
      <w:r>
        <w:rPr>
          <w:rFonts w:ascii="宋体" w:hAnsi="宋体" w:eastAsia="宋体" w:cs="宋体"/>
          <w:spacing w:val="-2"/>
          <w:sz w:val="24"/>
          <w:szCs w:val="24"/>
        </w:rPr>
        <w:t>本项目属于水污染影响型建设项目，评价等级判定见下表。</w:t>
      </w:r>
    </w:p>
    <w:p w14:paraId="2F9D4FBB">
      <w:pPr>
        <w:spacing w:before="198" w:line="221" w:lineRule="auto"/>
        <w:ind w:left="213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1.3-5  </w:t>
      </w:r>
      <w:r>
        <w:rPr>
          <w:rFonts w:ascii="黑体" w:hAnsi="黑体" w:eastAsia="黑体" w:cs="黑体"/>
          <w:spacing w:val="-1"/>
          <w:sz w:val="21"/>
          <w:szCs w:val="21"/>
        </w:rPr>
        <w:t>水污染影响型建设项目评价等级判定</w:t>
      </w:r>
    </w:p>
    <w:p w14:paraId="713B507B">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1558"/>
        <w:gridCol w:w="5196"/>
      </w:tblGrid>
      <w:tr w14:paraId="66808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66" w:type="dxa"/>
            <w:vMerge w:val="restart"/>
            <w:tcBorders>
              <w:bottom w:val="nil"/>
            </w:tcBorders>
            <w:vAlign w:val="top"/>
          </w:tcPr>
          <w:p w14:paraId="11063BE3">
            <w:pPr>
              <w:spacing w:before="244" w:line="218" w:lineRule="auto"/>
              <w:ind w:left="368"/>
              <w:rPr>
                <w:rFonts w:ascii="宋体" w:hAnsi="宋体" w:eastAsia="宋体" w:cs="宋体"/>
                <w:sz w:val="21"/>
                <w:szCs w:val="21"/>
              </w:rPr>
            </w:pPr>
            <w:r>
              <w:rPr>
                <w:rFonts w:ascii="宋体" w:hAnsi="宋体" w:eastAsia="宋体" w:cs="宋体"/>
                <w:spacing w:val="-2"/>
                <w:sz w:val="21"/>
                <w:szCs w:val="21"/>
              </w:rPr>
              <w:t>评价等级</w:t>
            </w:r>
          </w:p>
        </w:tc>
        <w:tc>
          <w:tcPr>
            <w:tcW w:w="6754" w:type="dxa"/>
            <w:gridSpan w:val="2"/>
            <w:vAlign w:val="top"/>
          </w:tcPr>
          <w:p w14:paraId="0081AFD2">
            <w:pPr>
              <w:spacing w:before="68" w:line="219" w:lineRule="auto"/>
              <w:ind w:left="2959"/>
              <w:rPr>
                <w:rFonts w:ascii="宋体" w:hAnsi="宋体" w:eastAsia="宋体" w:cs="宋体"/>
                <w:sz w:val="21"/>
                <w:szCs w:val="21"/>
              </w:rPr>
            </w:pPr>
            <w:r>
              <w:rPr>
                <w:rFonts w:ascii="宋体" w:hAnsi="宋体" w:eastAsia="宋体" w:cs="宋体"/>
                <w:spacing w:val="-2"/>
                <w:sz w:val="21"/>
                <w:szCs w:val="21"/>
              </w:rPr>
              <w:t>判断依据</w:t>
            </w:r>
          </w:p>
        </w:tc>
      </w:tr>
      <w:tr w14:paraId="2333F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66" w:type="dxa"/>
            <w:vMerge w:val="continue"/>
            <w:tcBorders>
              <w:top w:val="nil"/>
            </w:tcBorders>
            <w:vAlign w:val="top"/>
          </w:tcPr>
          <w:p w14:paraId="108E2408">
            <w:pPr>
              <w:rPr>
                <w:rFonts w:ascii="Arial"/>
                <w:sz w:val="21"/>
              </w:rPr>
            </w:pPr>
          </w:p>
        </w:tc>
        <w:tc>
          <w:tcPr>
            <w:tcW w:w="1558" w:type="dxa"/>
            <w:vAlign w:val="top"/>
          </w:tcPr>
          <w:p w14:paraId="6E90E612">
            <w:pPr>
              <w:spacing w:before="64" w:line="221" w:lineRule="auto"/>
              <w:ind w:left="363"/>
              <w:rPr>
                <w:rFonts w:ascii="宋体" w:hAnsi="宋体" w:eastAsia="宋体" w:cs="宋体"/>
                <w:sz w:val="21"/>
                <w:szCs w:val="21"/>
              </w:rPr>
            </w:pPr>
            <w:r>
              <w:rPr>
                <w:rFonts w:ascii="宋体" w:hAnsi="宋体" w:eastAsia="宋体" w:cs="宋体"/>
                <w:spacing w:val="-2"/>
                <w:sz w:val="21"/>
                <w:szCs w:val="21"/>
              </w:rPr>
              <w:t>排放方式</w:t>
            </w:r>
          </w:p>
        </w:tc>
        <w:tc>
          <w:tcPr>
            <w:tcW w:w="5196" w:type="dxa"/>
            <w:vAlign w:val="top"/>
          </w:tcPr>
          <w:p w14:paraId="23164C3C">
            <w:pPr>
              <w:pStyle w:val="6"/>
              <w:spacing w:before="54" w:line="213" w:lineRule="auto"/>
              <w:ind w:left="70"/>
              <w:rPr>
                <w:rFonts w:ascii="宋体" w:hAnsi="宋体" w:eastAsia="宋体" w:cs="宋体"/>
              </w:rPr>
            </w:pPr>
            <w:r>
              <w:rPr>
                <w:rFonts w:ascii="宋体" w:hAnsi="宋体" w:eastAsia="宋体" w:cs="宋体"/>
                <w:spacing w:val="-1"/>
              </w:rPr>
              <w:t>废水排放量</w:t>
            </w:r>
            <w:r>
              <w:rPr>
                <w:spacing w:val="-1"/>
              </w:rPr>
              <w:t>Q/</w:t>
            </w:r>
            <w:r>
              <w:rPr>
                <w:rFonts w:ascii="宋体" w:hAnsi="宋体" w:eastAsia="宋体" w:cs="宋体"/>
                <w:spacing w:val="-1"/>
              </w:rPr>
              <w:t>（</w:t>
            </w:r>
            <w:r>
              <w:rPr>
                <w:spacing w:val="-1"/>
              </w:rPr>
              <w:t>m</w:t>
            </w:r>
            <w:r>
              <w:rPr>
                <w:spacing w:val="-1"/>
                <w:position w:val="9"/>
                <w:sz w:val="14"/>
                <w:szCs w:val="14"/>
              </w:rPr>
              <w:t>3</w:t>
            </w:r>
            <w:r>
              <w:rPr>
                <w:spacing w:val="-1"/>
              </w:rPr>
              <w:t>/d</w:t>
            </w:r>
            <w:r>
              <w:rPr>
                <w:rFonts w:ascii="宋体" w:hAnsi="宋体" w:eastAsia="宋体" w:cs="宋体"/>
                <w:spacing w:val="5"/>
              </w:rPr>
              <w:t>）；</w:t>
            </w:r>
            <w:r>
              <w:rPr>
                <w:rFonts w:ascii="宋体" w:hAnsi="宋体" w:eastAsia="宋体" w:cs="宋体"/>
                <w:spacing w:val="-1"/>
              </w:rPr>
              <w:t>水污染物当量数</w:t>
            </w:r>
            <w:r>
              <w:rPr>
                <w:spacing w:val="-1"/>
              </w:rPr>
              <w:t>W/</w:t>
            </w:r>
            <w:r>
              <w:rPr>
                <w:rFonts w:ascii="宋体" w:hAnsi="宋体" w:eastAsia="宋体" w:cs="宋体"/>
                <w:spacing w:val="-1"/>
              </w:rPr>
              <w:t>（</w:t>
            </w:r>
            <w:r>
              <w:rPr>
                <w:rFonts w:ascii="宋体" w:hAnsi="宋体" w:eastAsia="宋体" w:cs="宋体"/>
                <w:spacing w:val="-2"/>
              </w:rPr>
              <w:t>无量纲）</w:t>
            </w:r>
          </w:p>
        </w:tc>
      </w:tr>
      <w:tr w14:paraId="1822B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66" w:type="dxa"/>
            <w:vAlign w:val="top"/>
          </w:tcPr>
          <w:p w14:paraId="75DF46C9">
            <w:pPr>
              <w:spacing w:before="64" w:line="222" w:lineRule="auto"/>
              <w:ind w:left="582"/>
              <w:rPr>
                <w:rFonts w:ascii="宋体" w:hAnsi="宋体" w:eastAsia="宋体" w:cs="宋体"/>
                <w:sz w:val="21"/>
                <w:szCs w:val="21"/>
              </w:rPr>
            </w:pPr>
            <w:r>
              <w:rPr>
                <w:rFonts w:ascii="宋体" w:hAnsi="宋体" w:eastAsia="宋体" w:cs="宋体"/>
                <w:spacing w:val="-6"/>
                <w:sz w:val="21"/>
                <w:szCs w:val="21"/>
              </w:rPr>
              <w:t>一级</w:t>
            </w:r>
          </w:p>
        </w:tc>
        <w:tc>
          <w:tcPr>
            <w:tcW w:w="1558" w:type="dxa"/>
            <w:vAlign w:val="top"/>
          </w:tcPr>
          <w:p w14:paraId="60D0BA88">
            <w:pPr>
              <w:spacing w:before="64" w:line="221" w:lineRule="auto"/>
              <w:ind w:left="364"/>
              <w:rPr>
                <w:rFonts w:ascii="宋体" w:hAnsi="宋体" w:eastAsia="宋体" w:cs="宋体"/>
                <w:sz w:val="21"/>
                <w:szCs w:val="21"/>
              </w:rPr>
            </w:pPr>
            <w:r>
              <w:rPr>
                <w:rFonts w:ascii="宋体" w:hAnsi="宋体" w:eastAsia="宋体" w:cs="宋体"/>
                <w:spacing w:val="-2"/>
                <w:sz w:val="21"/>
                <w:szCs w:val="21"/>
              </w:rPr>
              <w:t>直接排放</w:t>
            </w:r>
          </w:p>
        </w:tc>
        <w:tc>
          <w:tcPr>
            <w:tcW w:w="5196" w:type="dxa"/>
            <w:vAlign w:val="top"/>
          </w:tcPr>
          <w:p w14:paraId="0B33074A">
            <w:pPr>
              <w:pStyle w:val="6"/>
              <w:spacing w:before="64" w:line="212" w:lineRule="auto"/>
              <w:ind w:left="1507"/>
            </w:pPr>
            <w:r>
              <w:rPr>
                <w:spacing w:val="-1"/>
              </w:rPr>
              <w:t>Q</w:t>
            </w:r>
            <w:r>
              <w:rPr>
                <w:rFonts w:ascii="宋体" w:hAnsi="宋体" w:eastAsia="宋体" w:cs="宋体"/>
                <w:spacing w:val="-1"/>
              </w:rPr>
              <w:t>≥</w:t>
            </w:r>
            <w:r>
              <w:rPr>
                <w:spacing w:val="-1"/>
              </w:rPr>
              <w:t xml:space="preserve">20000 </w:t>
            </w:r>
            <w:r>
              <w:rPr>
                <w:rFonts w:ascii="宋体" w:hAnsi="宋体" w:eastAsia="宋体" w:cs="宋体"/>
                <w:spacing w:val="-1"/>
              </w:rPr>
              <w:t>或</w:t>
            </w:r>
            <w:r>
              <w:rPr>
                <w:spacing w:val="-1"/>
              </w:rPr>
              <w:t>W</w:t>
            </w:r>
            <w:r>
              <w:rPr>
                <w:rFonts w:ascii="宋体" w:hAnsi="宋体" w:eastAsia="宋体" w:cs="宋体"/>
                <w:spacing w:val="-1"/>
              </w:rPr>
              <w:t>≥</w:t>
            </w:r>
            <w:r>
              <w:rPr>
                <w:spacing w:val="-1"/>
              </w:rPr>
              <w:t>600000</w:t>
            </w:r>
          </w:p>
        </w:tc>
      </w:tr>
      <w:tr w14:paraId="0F73B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66" w:type="dxa"/>
            <w:vAlign w:val="top"/>
          </w:tcPr>
          <w:p w14:paraId="79FC2352">
            <w:pPr>
              <w:spacing w:before="64" w:line="222" w:lineRule="auto"/>
              <w:ind w:left="582"/>
              <w:rPr>
                <w:rFonts w:ascii="宋体" w:hAnsi="宋体" w:eastAsia="宋体" w:cs="宋体"/>
                <w:sz w:val="21"/>
                <w:szCs w:val="21"/>
              </w:rPr>
            </w:pPr>
            <w:r>
              <w:rPr>
                <w:rFonts w:ascii="宋体" w:hAnsi="宋体" w:eastAsia="宋体" w:cs="宋体"/>
                <w:spacing w:val="-3"/>
                <w:sz w:val="21"/>
                <w:szCs w:val="21"/>
              </w:rPr>
              <w:t>二级</w:t>
            </w:r>
          </w:p>
        </w:tc>
        <w:tc>
          <w:tcPr>
            <w:tcW w:w="1558" w:type="dxa"/>
            <w:vAlign w:val="top"/>
          </w:tcPr>
          <w:p w14:paraId="4F0F2800">
            <w:pPr>
              <w:spacing w:before="64" w:line="221" w:lineRule="auto"/>
              <w:ind w:left="364"/>
              <w:rPr>
                <w:rFonts w:ascii="宋体" w:hAnsi="宋体" w:eastAsia="宋体" w:cs="宋体"/>
                <w:sz w:val="21"/>
                <w:szCs w:val="21"/>
              </w:rPr>
            </w:pPr>
            <w:r>
              <w:rPr>
                <w:rFonts w:ascii="宋体" w:hAnsi="宋体" w:eastAsia="宋体" w:cs="宋体"/>
                <w:spacing w:val="-2"/>
                <w:sz w:val="21"/>
                <w:szCs w:val="21"/>
              </w:rPr>
              <w:t>直接排放</w:t>
            </w:r>
          </w:p>
        </w:tc>
        <w:tc>
          <w:tcPr>
            <w:tcW w:w="5196" w:type="dxa"/>
            <w:vAlign w:val="top"/>
          </w:tcPr>
          <w:p w14:paraId="1715C0A2">
            <w:pPr>
              <w:spacing w:before="65" w:line="220" w:lineRule="auto"/>
              <w:ind w:left="2392"/>
              <w:rPr>
                <w:rFonts w:ascii="宋体" w:hAnsi="宋体" w:eastAsia="宋体" w:cs="宋体"/>
                <w:sz w:val="21"/>
                <w:szCs w:val="21"/>
              </w:rPr>
            </w:pPr>
            <w:r>
              <w:rPr>
                <w:rFonts w:ascii="宋体" w:hAnsi="宋体" w:eastAsia="宋体" w:cs="宋体"/>
                <w:spacing w:val="-3"/>
                <w:sz w:val="21"/>
                <w:szCs w:val="21"/>
              </w:rPr>
              <w:t>其他</w:t>
            </w:r>
          </w:p>
        </w:tc>
      </w:tr>
      <w:tr w14:paraId="0F60D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66" w:type="dxa"/>
            <w:vAlign w:val="top"/>
          </w:tcPr>
          <w:p w14:paraId="20C2335A">
            <w:pPr>
              <w:pStyle w:val="6"/>
              <w:spacing w:before="65" w:line="222" w:lineRule="auto"/>
              <w:ind w:left="503"/>
            </w:pPr>
            <w:r>
              <w:rPr>
                <w:rFonts w:ascii="宋体" w:hAnsi="宋体" w:eastAsia="宋体" w:cs="宋体"/>
                <w:spacing w:val="-3"/>
              </w:rPr>
              <w:t>三级</w:t>
            </w:r>
            <w:r>
              <w:rPr>
                <w:spacing w:val="-3"/>
              </w:rPr>
              <w:t>A</w:t>
            </w:r>
          </w:p>
        </w:tc>
        <w:tc>
          <w:tcPr>
            <w:tcW w:w="1558" w:type="dxa"/>
            <w:vAlign w:val="top"/>
          </w:tcPr>
          <w:p w14:paraId="2DE1CCDD">
            <w:pPr>
              <w:spacing w:before="65" w:line="221" w:lineRule="auto"/>
              <w:ind w:left="364"/>
              <w:rPr>
                <w:rFonts w:ascii="宋体" w:hAnsi="宋体" w:eastAsia="宋体" w:cs="宋体"/>
                <w:sz w:val="21"/>
                <w:szCs w:val="21"/>
              </w:rPr>
            </w:pPr>
            <w:r>
              <w:rPr>
                <w:rFonts w:ascii="宋体" w:hAnsi="宋体" w:eastAsia="宋体" w:cs="宋体"/>
                <w:spacing w:val="-2"/>
                <w:sz w:val="21"/>
                <w:szCs w:val="21"/>
              </w:rPr>
              <w:t>直接排放</w:t>
            </w:r>
          </w:p>
        </w:tc>
        <w:tc>
          <w:tcPr>
            <w:tcW w:w="5196" w:type="dxa"/>
            <w:vAlign w:val="top"/>
          </w:tcPr>
          <w:p w14:paraId="5350AE1B">
            <w:pPr>
              <w:pStyle w:val="6"/>
              <w:spacing w:before="65" w:line="212" w:lineRule="auto"/>
              <w:ind w:left="1717"/>
            </w:pPr>
            <w:r>
              <w:rPr>
                <w:spacing w:val="-1"/>
              </w:rPr>
              <w:t>Q</w:t>
            </w:r>
            <w:r>
              <w:rPr>
                <w:rFonts w:ascii="宋体" w:hAnsi="宋体" w:eastAsia="宋体" w:cs="宋体"/>
                <w:spacing w:val="-1"/>
              </w:rPr>
              <w:t>＜</w:t>
            </w:r>
            <w:r>
              <w:rPr>
                <w:spacing w:val="-1"/>
              </w:rPr>
              <w:t xml:space="preserve">200 </w:t>
            </w:r>
            <w:r>
              <w:rPr>
                <w:rFonts w:ascii="宋体" w:hAnsi="宋体" w:eastAsia="宋体" w:cs="宋体"/>
                <w:spacing w:val="-1"/>
              </w:rPr>
              <w:t>且</w:t>
            </w:r>
            <w:r>
              <w:rPr>
                <w:spacing w:val="-1"/>
              </w:rPr>
              <w:t>W</w:t>
            </w:r>
            <w:r>
              <w:rPr>
                <w:rFonts w:ascii="宋体" w:hAnsi="宋体" w:eastAsia="宋体" w:cs="宋体"/>
                <w:spacing w:val="-1"/>
              </w:rPr>
              <w:t>＜</w:t>
            </w:r>
            <w:r>
              <w:rPr>
                <w:spacing w:val="-1"/>
              </w:rPr>
              <w:t>6000</w:t>
            </w:r>
          </w:p>
        </w:tc>
      </w:tr>
      <w:tr w14:paraId="7E022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66" w:type="dxa"/>
            <w:shd w:val="clear" w:color="auto" w:fill="92D050"/>
            <w:vAlign w:val="top"/>
          </w:tcPr>
          <w:p w14:paraId="6DC17B37">
            <w:pPr>
              <w:pStyle w:val="6"/>
              <w:spacing w:before="65" w:line="222" w:lineRule="auto"/>
              <w:ind w:left="508"/>
            </w:pPr>
            <w:r>
              <w:rPr>
                <w:rFonts w:ascii="宋体" w:hAnsi="宋体" w:eastAsia="宋体" w:cs="宋体"/>
                <w:b/>
                <w:bCs/>
                <w:spacing w:val="-4"/>
              </w:rPr>
              <w:t>三级</w:t>
            </w:r>
            <w:r>
              <w:rPr>
                <w:b/>
                <w:bCs/>
                <w:spacing w:val="-4"/>
              </w:rPr>
              <w:t>B</w:t>
            </w:r>
          </w:p>
        </w:tc>
        <w:tc>
          <w:tcPr>
            <w:tcW w:w="1558" w:type="dxa"/>
            <w:vAlign w:val="top"/>
          </w:tcPr>
          <w:p w14:paraId="59155606">
            <w:pPr>
              <w:spacing w:before="65" w:line="221" w:lineRule="auto"/>
              <w:ind w:left="379"/>
              <w:rPr>
                <w:rFonts w:ascii="宋体" w:hAnsi="宋体" w:eastAsia="宋体" w:cs="宋体"/>
                <w:sz w:val="21"/>
                <w:szCs w:val="21"/>
              </w:rPr>
            </w:pPr>
            <w:r>
              <w:rPr>
                <w:rFonts w:ascii="宋体" w:hAnsi="宋体" w:eastAsia="宋体" w:cs="宋体"/>
                <w:spacing w:val="-5"/>
                <w:sz w:val="21"/>
                <w:szCs w:val="21"/>
              </w:rPr>
              <w:t>间接排放</w:t>
            </w:r>
          </w:p>
        </w:tc>
        <w:tc>
          <w:tcPr>
            <w:tcW w:w="5196" w:type="dxa"/>
            <w:vAlign w:val="top"/>
          </w:tcPr>
          <w:p w14:paraId="36115D44">
            <w:pPr>
              <w:spacing w:before="164" w:line="142" w:lineRule="exact"/>
              <w:ind w:left="2495"/>
              <w:rPr>
                <w:rFonts w:ascii="宋体" w:hAnsi="宋体" w:eastAsia="宋体" w:cs="宋体"/>
                <w:sz w:val="21"/>
                <w:szCs w:val="21"/>
              </w:rPr>
            </w:pPr>
            <w:r>
              <w:rPr>
                <w:rFonts w:ascii="宋体" w:hAnsi="宋体" w:eastAsia="宋体" w:cs="宋体"/>
                <w:position w:val="-3"/>
                <w:sz w:val="21"/>
                <w:szCs w:val="21"/>
              </w:rPr>
              <w:t>—</w:t>
            </w:r>
          </w:p>
        </w:tc>
      </w:tr>
      <w:tr w14:paraId="2B6E8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7" w:hRule="atLeast"/>
        </w:trPr>
        <w:tc>
          <w:tcPr>
            <w:tcW w:w="8320" w:type="dxa"/>
            <w:gridSpan w:val="3"/>
            <w:vAlign w:val="top"/>
          </w:tcPr>
          <w:p w14:paraId="0A052C25">
            <w:pPr>
              <w:pStyle w:val="6"/>
              <w:spacing w:before="67" w:line="320" w:lineRule="auto"/>
              <w:ind w:left="11" w:right="5"/>
              <w:rPr>
                <w:rFonts w:ascii="宋体" w:hAnsi="宋体" w:eastAsia="宋体" w:cs="宋体"/>
                <w:sz w:val="18"/>
                <w:szCs w:val="18"/>
              </w:rPr>
            </w:pPr>
            <w:r>
              <w:rPr>
                <w:rFonts w:ascii="宋体" w:hAnsi="宋体" w:eastAsia="宋体" w:cs="宋体"/>
                <w:sz w:val="18"/>
                <w:szCs w:val="18"/>
              </w:rPr>
              <w:t>注</w:t>
            </w:r>
            <w:r>
              <w:rPr>
                <w:sz w:val="18"/>
                <w:szCs w:val="18"/>
              </w:rPr>
              <w:t>1</w:t>
            </w:r>
            <w:r>
              <w:rPr>
                <w:rFonts w:ascii="宋体" w:hAnsi="宋体" w:eastAsia="宋体" w:cs="宋体"/>
                <w:sz w:val="18"/>
                <w:szCs w:val="18"/>
              </w:rPr>
              <w:t>：水污染物当量数等于该污染物的年排放量除</w:t>
            </w:r>
            <w:r>
              <w:rPr>
                <w:rFonts w:ascii="宋体" w:hAnsi="宋体" w:eastAsia="宋体" w:cs="宋体"/>
                <w:spacing w:val="-1"/>
                <w:sz w:val="18"/>
                <w:szCs w:val="18"/>
              </w:rPr>
              <w:t>以该污染物的污染当量值（见附录</w:t>
            </w:r>
            <w:r>
              <w:rPr>
                <w:spacing w:val="-1"/>
                <w:sz w:val="18"/>
                <w:szCs w:val="18"/>
              </w:rPr>
              <w:t>A</w:t>
            </w:r>
            <w:r>
              <w:rPr>
                <w:rFonts w:ascii="宋体" w:hAnsi="宋体" w:eastAsia="宋体" w:cs="宋体"/>
                <w:sz w:val="18"/>
                <w:szCs w:val="18"/>
              </w:rPr>
              <w:t>），</w:t>
            </w:r>
            <w:r>
              <w:rPr>
                <w:rFonts w:ascii="宋体" w:hAnsi="宋体" w:eastAsia="宋体" w:cs="宋体"/>
                <w:spacing w:val="-1"/>
                <w:sz w:val="18"/>
                <w:szCs w:val="18"/>
              </w:rPr>
              <w:t>计算排放污染物</w:t>
            </w:r>
            <w:r>
              <w:rPr>
                <w:rFonts w:ascii="宋体" w:hAnsi="宋体" w:eastAsia="宋体" w:cs="宋体"/>
                <w:sz w:val="18"/>
                <w:szCs w:val="18"/>
              </w:rPr>
              <w:t>的污染物当量数，应区分第一类水污染物和其他类水污染物，统计第一类污染物当量数总和，然后与其他</w:t>
            </w:r>
            <w:r>
              <w:rPr>
                <w:rFonts w:ascii="宋体" w:hAnsi="宋体" w:eastAsia="宋体" w:cs="宋体"/>
                <w:spacing w:val="-1"/>
                <w:sz w:val="18"/>
                <w:szCs w:val="18"/>
              </w:rPr>
              <w:t>类污染物按照污染物当量数从大到小排序，取最大当量数作为建设项目评价等级确定的依据。</w:t>
            </w:r>
          </w:p>
          <w:p w14:paraId="3DB8A7D7">
            <w:pPr>
              <w:pStyle w:val="6"/>
              <w:spacing w:before="2" w:line="319" w:lineRule="auto"/>
              <w:ind w:left="11" w:right="5"/>
              <w:rPr>
                <w:rFonts w:ascii="宋体" w:hAnsi="宋体" w:eastAsia="宋体" w:cs="宋体"/>
                <w:sz w:val="18"/>
                <w:szCs w:val="18"/>
              </w:rPr>
            </w:pPr>
            <w:r>
              <w:rPr>
                <w:rFonts w:ascii="宋体" w:hAnsi="宋体" w:eastAsia="宋体" w:cs="宋体"/>
                <w:spacing w:val="-1"/>
                <w:sz w:val="18"/>
                <w:szCs w:val="18"/>
              </w:rPr>
              <w:t>注</w:t>
            </w:r>
            <w:r>
              <w:rPr>
                <w:spacing w:val="-1"/>
                <w:sz w:val="18"/>
                <w:szCs w:val="18"/>
              </w:rPr>
              <w:t>2</w:t>
            </w:r>
            <w:r>
              <w:rPr>
                <w:rFonts w:ascii="宋体" w:hAnsi="宋体" w:eastAsia="宋体" w:cs="宋体"/>
                <w:spacing w:val="-1"/>
                <w:sz w:val="18"/>
                <w:szCs w:val="18"/>
              </w:rPr>
              <w:t>：废水排放量按行业排放标准中规定的废水</w:t>
            </w:r>
            <w:r>
              <w:rPr>
                <w:rFonts w:ascii="宋体" w:hAnsi="宋体" w:eastAsia="宋体" w:cs="宋体"/>
                <w:spacing w:val="-2"/>
                <w:sz w:val="18"/>
                <w:szCs w:val="18"/>
              </w:rPr>
              <w:t>种类统计，没有相关行业排放标准要求的通过工程分析合理</w:t>
            </w:r>
            <w:r>
              <w:rPr>
                <w:rFonts w:ascii="宋体" w:hAnsi="宋体" w:eastAsia="宋体" w:cs="宋体"/>
                <w:sz w:val="18"/>
                <w:szCs w:val="18"/>
              </w:rPr>
              <w:t>确定，应统计含热量大的冷却水的排放量，可不统计间接冷却水、循环水以及其他含污染物极少的清净下</w:t>
            </w:r>
            <w:r>
              <w:rPr>
                <w:rFonts w:ascii="宋体" w:hAnsi="宋体" w:eastAsia="宋体" w:cs="宋体"/>
                <w:spacing w:val="-5"/>
                <w:sz w:val="18"/>
                <w:szCs w:val="18"/>
              </w:rPr>
              <w:t>水的排放量。</w:t>
            </w:r>
          </w:p>
          <w:p w14:paraId="6D99A624">
            <w:pPr>
              <w:pStyle w:val="6"/>
              <w:spacing w:before="1" w:line="319" w:lineRule="auto"/>
              <w:ind w:left="12" w:right="13" w:hanging="1"/>
              <w:rPr>
                <w:rFonts w:ascii="宋体" w:hAnsi="宋体" w:eastAsia="宋体" w:cs="宋体"/>
                <w:sz w:val="18"/>
                <w:szCs w:val="18"/>
              </w:rPr>
            </w:pPr>
            <w:r>
              <w:rPr>
                <w:rFonts w:ascii="宋体" w:hAnsi="宋体" w:eastAsia="宋体" w:cs="宋体"/>
                <w:spacing w:val="-3"/>
                <w:sz w:val="18"/>
                <w:szCs w:val="18"/>
              </w:rPr>
              <w:t>注</w:t>
            </w:r>
            <w:r>
              <w:rPr>
                <w:spacing w:val="-3"/>
                <w:sz w:val="18"/>
                <w:szCs w:val="18"/>
              </w:rPr>
              <w:t>3</w:t>
            </w:r>
            <w:r>
              <w:rPr>
                <w:rFonts w:ascii="宋体" w:hAnsi="宋体" w:eastAsia="宋体" w:cs="宋体"/>
                <w:spacing w:val="-3"/>
                <w:sz w:val="18"/>
                <w:szCs w:val="18"/>
              </w:rPr>
              <w:t>：厂区存在堆积物（露天堆放的原料、燃</w:t>
            </w:r>
            <w:r>
              <w:rPr>
                <w:rFonts w:ascii="宋体" w:hAnsi="宋体" w:eastAsia="宋体" w:cs="宋体"/>
                <w:spacing w:val="-4"/>
                <w:sz w:val="18"/>
                <w:szCs w:val="18"/>
              </w:rPr>
              <w:t>料、废渣等以及垃圾堆放场） 、降尘污染的，应将初期雨污水</w:t>
            </w:r>
            <w:r>
              <w:rPr>
                <w:rFonts w:ascii="宋体" w:hAnsi="宋体" w:eastAsia="宋体" w:cs="宋体"/>
                <w:spacing w:val="-2"/>
                <w:sz w:val="18"/>
                <w:szCs w:val="18"/>
              </w:rPr>
              <w:t>纳入废水排放量，相应的主要污染物纳入水污染当量计算。</w:t>
            </w:r>
          </w:p>
          <w:p w14:paraId="63F7D4B9">
            <w:pPr>
              <w:pStyle w:val="6"/>
              <w:spacing w:before="2" w:line="319" w:lineRule="auto"/>
              <w:ind w:left="25" w:right="5" w:hanging="14"/>
              <w:rPr>
                <w:rFonts w:ascii="宋体" w:hAnsi="宋体" w:eastAsia="宋体" w:cs="宋体"/>
                <w:sz w:val="18"/>
                <w:szCs w:val="18"/>
              </w:rPr>
            </w:pPr>
            <w:r>
              <w:rPr>
                <w:rFonts w:ascii="宋体" w:hAnsi="宋体" w:eastAsia="宋体" w:cs="宋体"/>
                <w:spacing w:val="-1"/>
                <w:sz w:val="18"/>
                <w:szCs w:val="18"/>
              </w:rPr>
              <w:t>注</w:t>
            </w:r>
            <w:r>
              <w:rPr>
                <w:spacing w:val="-1"/>
                <w:sz w:val="18"/>
                <w:szCs w:val="18"/>
              </w:rPr>
              <w:t>4</w:t>
            </w:r>
            <w:r>
              <w:rPr>
                <w:rFonts w:ascii="宋体" w:hAnsi="宋体" w:eastAsia="宋体" w:cs="宋体"/>
                <w:spacing w:val="-1"/>
                <w:sz w:val="18"/>
                <w:szCs w:val="18"/>
              </w:rPr>
              <w:t>：建设项目直接排放第一类污染物的，其评</w:t>
            </w:r>
            <w:r>
              <w:rPr>
                <w:rFonts w:ascii="宋体" w:hAnsi="宋体" w:eastAsia="宋体" w:cs="宋体"/>
                <w:spacing w:val="-2"/>
                <w:sz w:val="18"/>
                <w:szCs w:val="18"/>
              </w:rPr>
              <w:t>价等级为一级；建设项目直接排放的污染物为受纳水体超标</w:t>
            </w:r>
            <w:r>
              <w:rPr>
                <w:rFonts w:ascii="宋体" w:hAnsi="宋体" w:eastAsia="宋体" w:cs="宋体"/>
                <w:spacing w:val="-4"/>
                <w:sz w:val="18"/>
                <w:szCs w:val="18"/>
              </w:rPr>
              <w:t>因子的，评价等级不低于二级。</w:t>
            </w:r>
          </w:p>
          <w:p w14:paraId="20632FEB">
            <w:pPr>
              <w:pStyle w:val="6"/>
              <w:spacing w:before="2" w:line="319" w:lineRule="auto"/>
              <w:ind w:left="11" w:right="18"/>
              <w:rPr>
                <w:rFonts w:ascii="宋体" w:hAnsi="宋体" w:eastAsia="宋体" w:cs="宋体"/>
                <w:sz w:val="18"/>
                <w:szCs w:val="18"/>
              </w:rPr>
            </w:pPr>
            <w:r>
              <w:rPr>
                <w:rFonts w:ascii="宋体" w:hAnsi="宋体" w:eastAsia="宋体" w:cs="宋体"/>
                <w:spacing w:val="-2"/>
                <w:sz w:val="18"/>
                <w:szCs w:val="18"/>
              </w:rPr>
              <w:t>注</w:t>
            </w:r>
            <w:r>
              <w:rPr>
                <w:spacing w:val="-2"/>
                <w:sz w:val="18"/>
                <w:szCs w:val="18"/>
              </w:rPr>
              <w:t>5</w:t>
            </w:r>
            <w:r>
              <w:rPr>
                <w:rFonts w:ascii="宋体" w:hAnsi="宋体" w:eastAsia="宋体" w:cs="宋体"/>
                <w:spacing w:val="-2"/>
                <w:sz w:val="18"/>
                <w:szCs w:val="18"/>
              </w:rPr>
              <w:t>：直接排放受纳水体影响范围涉及饮用水水源保护区、饮用水取水口、重点保护与珍稀水生生物的栖息</w:t>
            </w:r>
            <w:r>
              <w:rPr>
                <w:rFonts w:ascii="宋体" w:hAnsi="宋体" w:eastAsia="宋体" w:cs="宋体"/>
                <w:spacing w:val="-1"/>
                <w:sz w:val="18"/>
                <w:szCs w:val="18"/>
              </w:rPr>
              <w:t>地、重要水生生物的自然产卵场等保护目标时，评价等级不低于</w:t>
            </w:r>
            <w:r>
              <w:rPr>
                <w:rFonts w:ascii="宋体" w:hAnsi="宋体" w:eastAsia="宋体" w:cs="宋体"/>
                <w:spacing w:val="-2"/>
                <w:sz w:val="18"/>
                <w:szCs w:val="18"/>
              </w:rPr>
              <w:t>二级。</w:t>
            </w:r>
          </w:p>
          <w:p w14:paraId="500EF5AE">
            <w:pPr>
              <w:pStyle w:val="6"/>
              <w:spacing w:before="2" w:line="315" w:lineRule="auto"/>
              <w:ind w:left="12" w:right="13" w:hanging="1"/>
              <w:rPr>
                <w:rFonts w:ascii="宋体" w:hAnsi="宋体" w:eastAsia="宋体" w:cs="宋体"/>
                <w:sz w:val="18"/>
                <w:szCs w:val="18"/>
              </w:rPr>
            </w:pPr>
            <w:r>
              <w:rPr>
                <w:rFonts w:ascii="宋体" w:hAnsi="宋体" w:eastAsia="宋体" w:cs="宋体"/>
                <w:spacing w:val="-3"/>
                <w:sz w:val="18"/>
                <w:szCs w:val="18"/>
              </w:rPr>
              <w:t>注</w:t>
            </w:r>
            <w:r>
              <w:rPr>
                <w:spacing w:val="-3"/>
                <w:sz w:val="18"/>
                <w:szCs w:val="18"/>
              </w:rPr>
              <w:t>6</w:t>
            </w:r>
            <w:r>
              <w:rPr>
                <w:rFonts w:ascii="宋体" w:hAnsi="宋体" w:eastAsia="宋体" w:cs="宋体"/>
                <w:spacing w:val="-3"/>
                <w:sz w:val="18"/>
                <w:szCs w:val="18"/>
              </w:rPr>
              <w:t>：建设项目向河流、湖库排放温排水引起</w:t>
            </w:r>
            <w:r>
              <w:rPr>
                <w:rFonts w:ascii="宋体" w:hAnsi="宋体" w:eastAsia="宋体" w:cs="宋体"/>
                <w:spacing w:val="-4"/>
                <w:sz w:val="18"/>
                <w:szCs w:val="18"/>
              </w:rPr>
              <w:t>受纳水体水温变化超过水环境质量标准要求， 且评价范围有水</w:t>
            </w:r>
            <w:r>
              <w:rPr>
                <w:rFonts w:ascii="宋体" w:hAnsi="宋体" w:eastAsia="宋体" w:cs="宋体"/>
                <w:spacing w:val="-2"/>
                <w:sz w:val="18"/>
                <w:szCs w:val="18"/>
              </w:rPr>
              <w:t>温敏感目标时，评价等级为一级。</w:t>
            </w:r>
          </w:p>
          <w:p w14:paraId="6C250F8C">
            <w:pPr>
              <w:pStyle w:val="6"/>
              <w:spacing w:before="1" w:line="323" w:lineRule="auto"/>
              <w:ind w:left="10" w:right="44"/>
              <w:rPr>
                <w:rFonts w:ascii="宋体" w:hAnsi="宋体" w:eastAsia="宋体" w:cs="宋体"/>
                <w:sz w:val="18"/>
                <w:szCs w:val="18"/>
              </w:rPr>
            </w:pPr>
            <w:r>
              <w:rPr>
                <w:rFonts w:ascii="宋体" w:hAnsi="宋体" w:eastAsia="宋体" w:cs="宋体"/>
                <w:sz w:val="18"/>
                <w:szCs w:val="18"/>
              </w:rPr>
              <w:t>注</w:t>
            </w:r>
            <w:r>
              <w:rPr>
                <w:sz w:val="18"/>
                <w:szCs w:val="18"/>
              </w:rPr>
              <w:t>7</w:t>
            </w:r>
            <w:r>
              <w:rPr>
                <w:rFonts w:ascii="宋体" w:hAnsi="宋体" w:eastAsia="宋体" w:cs="宋体"/>
                <w:sz w:val="18"/>
                <w:szCs w:val="18"/>
              </w:rPr>
              <w:t>：建设项目利用海水作为调节温度介质，排水量</w:t>
            </w:r>
            <w:r>
              <w:rPr>
                <w:sz w:val="18"/>
                <w:szCs w:val="18"/>
              </w:rPr>
              <w:t>≥500</w:t>
            </w:r>
            <w:r>
              <w:rPr>
                <w:rFonts w:ascii="宋体" w:hAnsi="宋体" w:eastAsia="宋体" w:cs="宋体"/>
                <w:sz w:val="18"/>
                <w:szCs w:val="18"/>
              </w:rPr>
              <w:t>万</w:t>
            </w:r>
            <w:r>
              <w:rPr>
                <w:sz w:val="18"/>
                <w:szCs w:val="18"/>
              </w:rPr>
              <w:t>m</w:t>
            </w:r>
            <w:r>
              <w:rPr>
                <w:position w:val="7"/>
                <w:sz w:val="12"/>
                <w:szCs w:val="12"/>
              </w:rPr>
              <w:t>3</w:t>
            </w:r>
            <w:r>
              <w:rPr>
                <w:sz w:val="18"/>
                <w:szCs w:val="18"/>
              </w:rPr>
              <w:t>/d</w:t>
            </w:r>
            <w:r>
              <w:rPr>
                <w:rFonts w:ascii="宋体" w:hAnsi="宋体" w:eastAsia="宋体" w:cs="宋体"/>
                <w:sz w:val="18"/>
                <w:szCs w:val="18"/>
              </w:rPr>
              <w:t>，评价等级为一级；排水量＜</w:t>
            </w:r>
            <w:r>
              <w:rPr>
                <w:sz w:val="18"/>
                <w:szCs w:val="18"/>
              </w:rPr>
              <w:t>500</w:t>
            </w:r>
            <w:r>
              <w:rPr>
                <w:rFonts w:ascii="宋体" w:hAnsi="宋体" w:eastAsia="宋体" w:cs="宋体"/>
                <w:sz w:val="18"/>
                <w:szCs w:val="18"/>
              </w:rPr>
              <w:t>万</w:t>
            </w:r>
            <w:r>
              <w:rPr>
                <w:sz w:val="18"/>
                <w:szCs w:val="18"/>
              </w:rPr>
              <w:t>m</w:t>
            </w:r>
            <w:r>
              <w:rPr>
                <w:position w:val="7"/>
                <w:sz w:val="12"/>
                <w:szCs w:val="12"/>
              </w:rPr>
              <w:t>3</w:t>
            </w:r>
            <w:r>
              <w:rPr>
                <w:sz w:val="18"/>
                <w:szCs w:val="18"/>
              </w:rPr>
              <w:t>/d</w:t>
            </w:r>
            <w:r>
              <w:rPr>
                <w:rFonts w:ascii="宋体" w:hAnsi="宋体" w:eastAsia="宋体" w:cs="宋体"/>
                <w:sz w:val="18"/>
                <w:szCs w:val="18"/>
              </w:rPr>
              <w:t>，</w:t>
            </w:r>
            <w:r>
              <w:rPr>
                <w:rFonts w:ascii="宋体" w:hAnsi="宋体" w:eastAsia="宋体" w:cs="宋体"/>
                <w:spacing w:val="-4"/>
                <w:sz w:val="18"/>
                <w:szCs w:val="18"/>
              </w:rPr>
              <w:t>评价等级为二级。</w:t>
            </w:r>
          </w:p>
          <w:p w14:paraId="50D381DC">
            <w:pPr>
              <w:pStyle w:val="6"/>
              <w:spacing w:before="1" w:line="218" w:lineRule="auto"/>
              <w:ind w:left="11"/>
              <w:rPr>
                <w:rFonts w:ascii="宋体" w:hAnsi="宋体" w:eastAsia="宋体" w:cs="宋体"/>
                <w:sz w:val="18"/>
                <w:szCs w:val="18"/>
              </w:rPr>
            </w:pPr>
            <w:r>
              <w:rPr>
                <w:rFonts w:ascii="宋体" w:hAnsi="宋体" w:eastAsia="宋体" w:cs="宋体"/>
                <w:sz w:val="18"/>
                <w:szCs w:val="18"/>
              </w:rPr>
              <w:t>注</w:t>
            </w:r>
            <w:r>
              <w:rPr>
                <w:sz w:val="18"/>
                <w:szCs w:val="18"/>
              </w:rPr>
              <w:t>8</w:t>
            </w:r>
            <w:r>
              <w:rPr>
                <w:rFonts w:ascii="宋体" w:hAnsi="宋体" w:eastAsia="宋体" w:cs="宋体"/>
                <w:sz w:val="18"/>
                <w:szCs w:val="18"/>
              </w:rPr>
              <w:t>：仅涉及清净下水排放的，如其排放水质满足受纳水体水环境质量标准要求的，</w:t>
            </w:r>
            <w:r>
              <w:rPr>
                <w:rFonts w:ascii="宋体" w:hAnsi="宋体" w:eastAsia="宋体" w:cs="宋体"/>
                <w:spacing w:val="-1"/>
                <w:sz w:val="18"/>
                <w:szCs w:val="18"/>
              </w:rPr>
              <w:t>评价等级为三级</w:t>
            </w:r>
            <w:r>
              <w:rPr>
                <w:spacing w:val="-1"/>
                <w:sz w:val="18"/>
                <w:szCs w:val="18"/>
              </w:rPr>
              <w:t>A</w:t>
            </w:r>
            <w:r>
              <w:rPr>
                <w:rFonts w:ascii="宋体" w:hAnsi="宋体" w:eastAsia="宋体" w:cs="宋体"/>
                <w:spacing w:val="-1"/>
                <w:sz w:val="18"/>
                <w:szCs w:val="18"/>
              </w:rPr>
              <w:t>。</w:t>
            </w:r>
          </w:p>
          <w:p w14:paraId="13DFC2F4">
            <w:pPr>
              <w:pStyle w:val="6"/>
              <w:spacing w:before="99" w:line="318" w:lineRule="auto"/>
              <w:ind w:left="11" w:right="12"/>
              <w:rPr>
                <w:rFonts w:ascii="宋体" w:hAnsi="宋体" w:eastAsia="宋体" w:cs="宋体"/>
                <w:sz w:val="18"/>
                <w:szCs w:val="18"/>
              </w:rPr>
            </w:pPr>
            <w:r>
              <w:rPr>
                <w:rFonts w:ascii="宋体" w:hAnsi="宋体" w:eastAsia="宋体" w:cs="宋体"/>
                <w:spacing w:val="-2"/>
                <w:sz w:val="18"/>
                <w:szCs w:val="18"/>
              </w:rPr>
              <w:t>注</w:t>
            </w:r>
            <w:r>
              <w:rPr>
                <w:spacing w:val="-2"/>
                <w:sz w:val="18"/>
                <w:szCs w:val="18"/>
              </w:rPr>
              <w:t>9</w:t>
            </w:r>
            <w:r>
              <w:rPr>
                <w:rFonts w:ascii="宋体" w:hAnsi="宋体" w:eastAsia="宋体" w:cs="宋体"/>
                <w:spacing w:val="-2"/>
                <w:sz w:val="18"/>
                <w:szCs w:val="18"/>
              </w:rPr>
              <w:t>：依托现有排放口，且对外环境未新增排放污染物的直接排放建设项目，评价等级参照间接排放，定为三级</w:t>
            </w:r>
            <w:r>
              <w:rPr>
                <w:spacing w:val="-2"/>
                <w:sz w:val="18"/>
                <w:szCs w:val="18"/>
              </w:rPr>
              <w:t>B</w:t>
            </w:r>
            <w:r>
              <w:rPr>
                <w:rFonts w:ascii="宋体" w:hAnsi="宋体" w:eastAsia="宋体" w:cs="宋体"/>
                <w:spacing w:val="-2"/>
                <w:sz w:val="18"/>
                <w:szCs w:val="18"/>
              </w:rPr>
              <w:t>。</w:t>
            </w:r>
          </w:p>
          <w:p w14:paraId="2E03A204">
            <w:pPr>
              <w:pStyle w:val="6"/>
              <w:spacing w:line="218" w:lineRule="auto"/>
              <w:ind w:left="11"/>
              <w:rPr>
                <w:rFonts w:ascii="宋体" w:hAnsi="宋体" w:eastAsia="宋体" w:cs="宋体"/>
                <w:sz w:val="18"/>
                <w:szCs w:val="18"/>
              </w:rPr>
            </w:pPr>
            <w:r>
              <w:rPr>
                <w:rFonts w:ascii="宋体" w:hAnsi="宋体" w:eastAsia="宋体" w:cs="宋体"/>
                <w:b/>
                <w:bCs/>
                <w:spacing w:val="-2"/>
                <w:sz w:val="18"/>
                <w:szCs w:val="18"/>
              </w:rPr>
              <w:t>注</w:t>
            </w:r>
            <w:r>
              <w:rPr>
                <w:rFonts w:ascii="宋体" w:hAnsi="宋体" w:eastAsia="宋体" w:cs="宋体"/>
                <w:spacing w:val="-19"/>
                <w:sz w:val="18"/>
                <w:szCs w:val="18"/>
              </w:rPr>
              <w:t xml:space="preserve"> </w:t>
            </w:r>
            <w:r>
              <w:rPr>
                <w:b/>
                <w:bCs/>
                <w:spacing w:val="-2"/>
                <w:sz w:val="18"/>
                <w:szCs w:val="18"/>
              </w:rPr>
              <w:t>10</w:t>
            </w:r>
            <w:r>
              <w:rPr>
                <w:rFonts w:ascii="宋体" w:hAnsi="宋体" w:eastAsia="宋体" w:cs="宋体"/>
                <w:b/>
                <w:bCs/>
                <w:spacing w:val="-2"/>
                <w:sz w:val="18"/>
                <w:szCs w:val="18"/>
              </w:rPr>
              <w:t>：建设项目生产工艺中有废水产生，但作为回水利用，不排放到外环境的，按三级</w:t>
            </w:r>
            <w:r>
              <w:rPr>
                <w:b/>
                <w:bCs/>
                <w:spacing w:val="-2"/>
                <w:sz w:val="18"/>
                <w:szCs w:val="18"/>
              </w:rPr>
              <w:t>B</w:t>
            </w:r>
            <w:r>
              <w:rPr>
                <w:rFonts w:ascii="宋体" w:hAnsi="宋体" w:eastAsia="宋体" w:cs="宋体"/>
                <w:b/>
                <w:bCs/>
                <w:spacing w:val="-2"/>
                <w:sz w:val="18"/>
                <w:szCs w:val="18"/>
              </w:rPr>
              <w:t>评价。</w:t>
            </w:r>
          </w:p>
        </w:tc>
      </w:tr>
    </w:tbl>
    <w:p w14:paraId="2D29D529">
      <w:pPr>
        <w:spacing w:before="234" w:line="360" w:lineRule="auto"/>
        <w:ind w:left="40" w:right="29" w:firstLine="480"/>
        <w:jc w:val="both"/>
        <w:rPr>
          <w:rFonts w:ascii="宋体" w:hAnsi="宋体" w:eastAsia="宋体" w:cs="宋体"/>
          <w:sz w:val="24"/>
          <w:szCs w:val="24"/>
        </w:rPr>
      </w:pPr>
      <w:r>
        <w:rPr>
          <w:rFonts w:ascii="宋体" w:hAnsi="宋体" w:eastAsia="宋体" w:cs="宋体"/>
          <w:spacing w:val="-5"/>
          <w:sz w:val="24"/>
          <w:szCs w:val="24"/>
        </w:rPr>
        <w:t>本项目运营期产生的废水为养殖废水、生活污水，</w:t>
      </w:r>
      <w:r>
        <w:rPr>
          <w:rFonts w:ascii="宋体" w:hAnsi="宋体" w:eastAsia="宋体" w:cs="宋体"/>
          <w:spacing w:val="-50"/>
          <w:sz w:val="24"/>
          <w:szCs w:val="24"/>
        </w:rPr>
        <w:t xml:space="preserve"> </w:t>
      </w:r>
      <w:r>
        <w:rPr>
          <w:rFonts w:ascii="宋体" w:hAnsi="宋体" w:eastAsia="宋体" w:cs="宋体"/>
          <w:spacing w:val="-5"/>
          <w:sz w:val="24"/>
          <w:szCs w:val="24"/>
        </w:rPr>
        <w:t>废</w:t>
      </w:r>
      <w:r>
        <w:rPr>
          <w:rFonts w:ascii="宋体" w:hAnsi="宋体" w:eastAsia="宋体" w:cs="宋体"/>
          <w:spacing w:val="-6"/>
          <w:sz w:val="24"/>
          <w:szCs w:val="24"/>
        </w:rPr>
        <w:t>水经污水处理站处理达</w:t>
      </w:r>
      <w:r>
        <w:rPr>
          <w:rFonts w:ascii="宋体" w:hAnsi="宋体" w:eastAsia="宋体" w:cs="宋体"/>
          <w:spacing w:val="-4"/>
          <w:sz w:val="24"/>
          <w:szCs w:val="24"/>
        </w:rPr>
        <w:t>《农田灌溉水质标准》（</w:t>
      </w:r>
      <w:r>
        <w:rPr>
          <w:rFonts w:ascii="Times New Roman" w:hAnsi="Times New Roman" w:eastAsia="Times New Roman" w:cs="Times New Roman"/>
          <w:spacing w:val="-4"/>
          <w:sz w:val="24"/>
          <w:szCs w:val="24"/>
        </w:rPr>
        <w:t>GB5084-2021</w:t>
      </w:r>
      <w:r>
        <w:rPr>
          <w:rFonts w:ascii="宋体" w:hAnsi="宋体" w:eastAsia="宋体" w:cs="宋体"/>
          <w:spacing w:val="-4"/>
          <w:sz w:val="24"/>
          <w:szCs w:val="24"/>
        </w:rPr>
        <w:t>）表</w:t>
      </w:r>
      <w:r>
        <w:rPr>
          <w:rFonts w:ascii="Times New Roman" w:hAnsi="Times New Roman" w:eastAsia="Times New Roman" w:cs="Times New Roman"/>
          <w:spacing w:val="-4"/>
          <w:sz w:val="24"/>
          <w:szCs w:val="24"/>
        </w:rPr>
        <w:t>1</w:t>
      </w:r>
      <w:r>
        <w:rPr>
          <w:rFonts w:ascii="宋体" w:hAnsi="宋体" w:eastAsia="宋体" w:cs="宋体"/>
          <w:spacing w:val="-4"/>
          <w:sz w:val="24"/>
          <w:szCs w:val="24"/>
        </w:rPr>
        <w:t>旱地作物限值后作为农田灌溉用水，</w:t>
      </w:r>
      <w:r>
        <w:rPr>
          <w:rFonts w:ascii="宋体" w:hAnsi="宋体" w:eastAsia="宋体" w:cs="宋体"/>
          <w:spacing w:val="-3"/>
          <w:sz w:val="24"/>
          <w:szCs w:val="24"/>
        </w:rPr>
        <w:t>完全用于消纳土地灌溉，不外排。</w:t>
      </w:r>
    </w:p>
    <w:p w14:paraId="46D84C70">
      <w:pPr>
        <w:spacing w:line="361" w:lineRule="auto"/>
        <w:ind w:left="42" w:right="44" w:firstLine="477"/>
        <w:rPr>
          <w:rFonts w:ascii="宋体" w:hAnsi="宋体" w:eastAsia="宋体" w:cs="宋体"/>
          <w:sz w:val="24"/>
          <w:szCs w:val="24"/>
        </w:rPr>
      </w:pPr>
      <w:r>
        <w:rPr>
          <w:rFonts w:ascii="宋体" w:hAnsi="宋体" w:eastAsia="宋体" w:cs="宋体"/>
          <w:spacing w:val="2"/>
          <w:sz w:val="24"/>
          <w:szCs w:val="24"/>
        </w:rPr>
        <w:t>根据《环境影响评价技术导则 地表水环境》（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2.3-2018</w:t>
      </w:r>
      <w:r>
        <w:rPr>
          <w:rFonts w:ascii="宋体" w:hAnsi="宋体" w:eastAsia="宋体" w:cs="宋体"/>
          <w:spacing w:val="2"/>
          <w:sz w:val="24"/>
          <w:szCs w:val="24"/>
        </w:rPr>
        <w:t>）水污染影响型</w:t>
      </w:r>
      <w:r>
        <w:rPr>
          <w:rFonts w:ascii="宋体" w:hAnsi="宋体" w:eastAsia="宋体" w:cs="宋体"/>
          <w:spacing w:val="-1"/>
          <w:sz w:val="24"/>
          <w:szCs w:val="24"/>
        </w:rPr>
        <w:t>建设项目评价等级判定依据，本项目地表水环境评价等级为三级</w:t>
      </w:r>
      <w:r>
        <w:rPr>
          <w:rFonts w:ascii="Times New Roman" w:hAnsi="Times New Roman" w:eastAsia="Times New Roman" w:cs="Times New Roman"/>
          <w:spacing w:val="-1"/>
          <w:sz w:val="24"/>
          <w:szCs w:val="24"/>
        </w:rPr>
        <w:t>B</w:t>
      </w:r>
      <w:r>
        <w:rPr>
          <w:rFonts w:ascii="宋体" w:hAnsi="宋体" w:eastAsia="宋体" w:cs="宋体"/>
          <w:spacing w:val="-1"/>
          <w:sz w:val="24"/>
          <w:szCs w:val="24"/>
        </w:rPr>
        <w:t>。</w:t>
      </w:r>
    </w:p>
    <w:p w14:paraId="15DFCF1A">
      <w:pPr>
        <w:spacing w:line="361" w:lineRule="auto"/>
        <w:rPr>
          <w:rFonts w:ascii="宋体" w:hAnsi="宋体" w:eastAsia="宋体" w:cs="宋体"/>
          <w:sz w:val="24"/>
          <w:szCs w:val="24"/>
        </w:rPr>
        <w:sectPr>
          <w:headerReference r:id="rId47" w:type="default"/>
          <w:footerReference r:id="rId48" w:type="default"/>
          <w:pgSz w:w="11905" w:h="16840"/>
          <w:pgMar w:top="1168" w:right="1768" w:bottom="1409" w:left="1770" w:header="828" w:footer="1244" w:gutter="0"/>
          <w:cols w:space="720" w:num="1"/>
        </w:sectPr>
      </w:pPr>
    </w:p>
    <w:p w14:paraId="44D06367">
      <w:pPr>
        <w:pStyle w:val="2"/>
        <w:spacing w:line="353" w:lineRule="auto"/>
      </w:pPr>
    </w:p>
    <w:p w14:paraId="71DE35B7">
      <w:pPr>
        <w:spacing w:before="88" w:line="226" w:lineRule="auto"/>
        <w:ind w:left="48"/>
        <w:rPr>
          <w:rFonts w:ascii="宋体" w:hAnsi="宋体" w:eastAsia="宋体" w:cs="宋体"/>
          <w:sz w:val="27"/>
          <w:szCs w:val="27"/>
        </w:rPr>
      </w:pPr>
      <w:r>
        <w:rPr>
          <w:rFonts w:ascii="Times New Roman" w:hAnsi="Times New Roman" w:eastAsia="Times New Roman" w:cs="Times New Roman"/>
          <w:b/>
          <w:bCs/>
          <w:spacing w:val="3"/>
          <w:sz w:val="27"/>
          <w:szCs w:val="27"/>
        </w:rPr>
        <w:t xml:space="preserve">1.3.1.3 </w:t>
      </w:r>
      <w:r>
        <w:rPr>
          <w:rFonts w:ascii="宋体" w:hAnsi="宋体" w:eastAsia="宋体" w:cs="宋体"/>
          <w:b/>
          <w:bCs/>
          <w:spacing w:val="3"/>
          <w:sz w:val="27"/>
          <w:szCs w:val="27"/>
        </w:rPr>
        <w:t>地下水环境</w:t>
      </w:r>
    </w:p>
    <w:p w14:paraId="49D5A07F">
      <w:pPr>
        <w:spacing w:before="236" w:line="360" w:lineRule="auto"/>
        <w:ind w:left="39" w:right="28" w:firstLine="479"/>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宋体" w:hAnsi="宋体" w:eastAsia="宋体" w:cs="宋体"/>
          <w:sz w:val="24"/>
          <w:szCs w:val="24"/>
        </w:rPr>
        <w:t>》（</w:t>
      </w:r>
      <w:r>
        <w:rPr>
          <w:rFonts w:ascii="Times New Roman" w:hAnsi="Times New Roman" w:eastAsia="Times New Roman" w:cs="Times New Roman"/>
          <w:sz w:val="24"/>
          <w:szCs w:val="24"/>
        </w:rPr>
        <w:t>HJ610-2016</w:t>
      </w:r>
      <w:r>
        <w:rPr>
          <w:rFonts w:ascii="宋体" w:hAnsi="宋体" w:eastAsia="宋体" w:cs="宋体"/>
          <w:spacing w:val="-1"/>
          <w:sz w:val="24"/>
          <w:szCs w:val="24"/>
        </w:rPr>
        <w:t>），</w:t>
      </w:r>
      <w:r>
        <w:rPr>
          <w:rFonts w:ascii="宋体" w:hAnsi="宋体" w:eastAsia="宋体" w:cs="宋体"/>
          <w:sz w:val="24"/>
          <w:szCs w:val="24"/>
        </w:rPr>
        <w:t>地下水环境</w:t>
      </w:r>
      <w:r>
        <w:rPr>
          <w:rFonts w:ascii="宋体" w:hAnsi="宋体" w:eastAsia="宋体" w:cs="宋体"/>
          <w:spacing w:val="4"/>
          <w:sz w:val="24"/>
          <w:szCs w:val="24"/>
        </w:rPr>
        <w:t>影响评价工作等级划分应依据建设项目行业分类和地下水环境敏感程度分级进</w:t>
      </w:r>
      <w:r>
        <w:rPr>
          <w:rFonts w:ascii="宋体" w:hAnsi="宋体" w:eastAsia="宋体" w:cs="宋体"/>
          <w:spacing w:val="-9"/>
          <w:sz w:val="24"/>
          <w:szCs w:val="24"/>
        </w:rPr>
        <w:t>行判定。</w:t>
      </w:r>
    </w:p>
    <w:p w14:paraId="49E69706">
      <w:pPr>
        <w:spacing w:before="5" w:line="359" w:lineRule="auto"/>
        <w:ind w:left="40" w:right="39" w:firstLine="480"/>
        <w:rPr>
          <w:rFonts w:ascii="宋体" w:hAnsi="宋体" w:eastAsia="宋体" w:cs="宋体"/>
          <w:sz w:val="24"/>
          <w:szCs w:val="24"/>
        </w:rPr>
      </w:pPr>
      <w:r>
        <w:rPr>
          <w:rFonts w:ascii="宋体" w:hAnsi="宋体" w:eastAsia="宋体" w:cs="宋体"/>
          <w:spacing w:val="-2"/>
          <w:sz w:val="24"/>
          <w:szCs w:val="24"/>
        </w:rPr>
        <w:t>本项目为生猪养殖建设项目，年出栏育肥猪</w:t>
      </w:r>
      <w:r>
        <w:rPr>
          <w:rFonts w:ascii="Times New Roman" w:hAnsi="Times New Roman" w:eastAsia="Times New Roman" w:cs="Times New Roman"/>
          <w:spacing w:val="-2"/>
          <w:sz w:val="24"/>
          <w:szCs w:val="24"/>
        </w:rPr>
        <w:t>13.3</w:t>
      </w:r>
      <w:r>
        <w:rPr>
          <w:rFonts w:ascii="宋体" w:hAnsi="宋体" w:eastAsia="宋体" w:cs="宋体"/>
          <w:spacing w:val="-2"/>
          <w:sz w:val="24"/>
          <w:szCs w:val="24"/>
        </w:rPr>
        <w:t>万头，根据《环境影响评价</w:t>
      </w:r>
      <w:r>
        <w:rPr>
          <w:rFonts w:ascii="宋体" w:hAnsi="宋体" w:eastAsia="宋体" w:cs="宋体"/>
          <w:spacing w:val="-5"/>
          <w:sz w:val="24"/>
          <w:szCs w:val="24"/>
        </w:rPr>
        <w:t>技术导则 地下水环境》（</w:t>
      </w:r>
      <w:r>
        <w:rPr>
          <w:rFonts w:ascii="Times New Roman" w:hAnsi="Times New Roman" w:eastAsia="Times New Roman" w:cs="Times New Roman"/>
          <w:spacing w:val="-5"/>
          <w:sz w:val="24"/>
          <w:szCs w:val="24"/>
        </w:rPr>
        <w:t>HJ610-2016</w:t>
      </w:r>
      <w:r>
        <w:rPr>
          <w:rFonts w:ascii="宋体" w:hAnsi="宋体" w:eastAsia="宋体" w:cs="宋体"/>
          <w:spacing w:val="-5"/>
          <w:sz w:val="24"/>
          <w:szCs w:val="24"/>
        </w:rPr>
        <w:t>）附录</w:t>
      </w:r>
      <w:r>
        <w:rPr>
          <w:rFonts w:ascii="Times New Roman" w:hAnsi="Times New Roman" w:eastAsia="Times New Roman" w:cs="Times New Roman"/>
          <w:spacing w:val="-5"/>
          <w:sz w:val="24"/>
          <w:szCs w:val="24"/>
        </w:rPr>
        <w:t>A</w:t>
      </w:r>
      <w:r>
        <w:rPr>
          <w:rFonts w:ascii="宋体" w:hAnsi="宋体" w:eastAsia="宋体" w:cs="宋体"/>
          <w:spacing w:val="-5"/>
          <w:sz w:val="24"/>
          <w:szCs w:val="24"/>
        </w:rPr>
        <w:t>，本项目行业分类为“</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农、林、</w:t>
      </w:r>
      <w:r>
        <w:rPr>
          <w:rFonts w:ascii="宋体" w:hAnsi="宋体" w:eastAsia="宋体" w:cs="宋体"/>
          <w:spacing w:val="-3"/>
          <w:sz w:val="24"/>
          <w:szCs w:val="24"/>
        </w:rPr>
        <w:t>牧、渔、海洋—</w:t>
      </w:r>
      <w:r>
        <w:rPr>
          <w:rFonts w:ascii="Times New Roman" w:hAnsi="Times New Roman" w:eastAsia="Times New Roman" w:cs="Times New Roman"/>
          <w:spacing w:val="-3"/>
          <w:sz w:val="24"/>
          <w:szCs w:val="24"/>
        </w:rPr>
        <w:t>14</w:t>
      </w:r>
      <w:r>
        <w:rPr>
          <w:rFonts w:ascii="宋体" w:hAnsi="宋体" w:eastAsia="宋体" w:cs="宋体"/>
          <w:spacing w:val="-3"/>
          <w:sz w:val="24"/>
          <w:szCs w:val="24"/>
        </w:rPr>
        <w:t>、畜禽养殖场、养殖小区”，确定地下水环境</w:t>
      </w:r>
      <w:r>
        <w:rPr>
          <w:rFonts w:ascii="宋体" w:hAnsi="宋体" w:eastAsia="宋体" w:cs="宋体"/>
          <w:spacing w:val="-4"/>
          <w:sz w:val="24"/>
          <w:szCs w:val="24"/>
        </w:rPr>
        <w:t>影响评价项目类</w:t>
      </w:r>
      <w:r>
        <w:rPr>
          <w:rFonts w:ascii="宋体" w:hAnsi="宋体" w:eastAsia="宋体" w:cs="宋体"/>
          <w:spacing w:val="-8"/>
          <w:sz w:val="24"/>
          <w:szCs w:val="24"/>
        </w:rPr>
        <w:t>别为Ⅲ类。</w:t>
      </w:r>
    </w:p>
    <w:p w14:paraId="0EA533D9">
      <w:pPr>
        <w:spacing w:before="1" w:line="361" w:lineRule="auto"/>
        <w:ind w:left="44" w:right="29" w:firstLine="478"/>
        <w:rPr>
          <w:rFonts w:ascii="宋体" w:hAnsi="宋体" w:eastAsia="宋体" w:cs="宋体"/>
          <w:sz w:val="24"/>
          <w:szCs w:val="24"/>
        </w:rPr>
      </w:pPr>
      <w:r>
        <w:rPr>
          <w:rFonts w:ascii="宋体" w:hAnsi="宋体" w:eastAsia="宋体" w:cs="宋体"/>
          <w:spacing w:val="-7"/>
          <w:sz w:val="24"/>
          <w:szCs w:val="24"/>
        </w:rPr>
        <w:t>建设项目的地下水环境敏感程度可分为敏感、较敏感、不敏感三级， 分级原</w:t>
      </w:r>
      <w:r>
        <w:rPr>
          <w:rFonts w:ascii="宋体" w:hAnsi="宋体" w:eastAsia="宋体" w:cs="宋体"/>
          <w:spacing w:val="-3"/>
          <w:sz w:val="24"/>
          <w:szCs w:val="24"/>
        </w:rPr>
        <w:t>则及本项目地下水环境敏感程度判定见下表。</w:t>
      </w:r>
    </w:p>
    <w:p w14:paraId="4A241E35">
      <w:pPr>
        <w:spacing w:before="9" w:line="221" w:lineRule="auto"/>
        <w:ind w:left="203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1.3-6  </w:t>
      </w:r>
      <w:r>
        <w:rPr>
          <w:rFonts w:ascii="黑体" w:hAnsi="黑体" w:eastAsia="黑体" w:cs="黑体"/>
          <w:spacing w:val="-1"/>
          <w:sz w:val="21"/>
          <w:szCs w:val="21"/>
        </w:rPr>
        <w:t>建设项目的地下水环境敏感程度分级表</w:t>
      </w:r>
    </w:p>
    <w:p w14:paraId="3259B634">
      <w:pPr>
        <w:spacing w:line="88" w:lineRule="exact"/>
      </w:pPr>
    </w:p>
    <w:tbl>
      <w:tblPr>
        <w:tblStyle w:val="5"/>
        <w:tblW w:w="8312" w:type="dxa"/>
        <w:tblInd w:w="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5403"/>
        <w:gridCol w:w="1904"/>
      </w:tblGrid>
      <w:tr w14:paraId="2643C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05" w:type="dxa"/>
            <w:tcBorders>
              <w:top w:val="single" w:color="000000" w:sz="2" w:space="0"/>
              <w:left w:val="single" w:color="000000" w:sz="2" w:space="0"/>
            </w:tcBorders>
            <w:vAlign w:val="top"/>
          </w:tcPr>
          <w:p w14:paraId="744F97F5">
            <w:pPr>
              <w:spacing w:before="63" w:line="220" w:lineRule="auto"/>
              <w:ind w:left="84"/>
              <w:rPr>
                <w:rFonts w:ascii="宋体" w:hAnsi="宋体" w:eastAsia="宋体" w:cs="宋体"/>
                <w:sz w:val="21"/>
                <w:szCs w:val="21"/>
              </w:rPr>
            </w:pPr>
            <w:r>
              <w:rPr>
                <w:rFonts w:ascii="宋体" w:hAnsi="宋体" w:eastAsia="宋体" w:cs="宋体"/>
                <w:spacing w:val="-2"/>
                <w:sz w:val="21"/>
                <w:szCs w:val="21"/>
              </w:rPr>
              <w:t>敏感程度</w:t>
            </w:r>
          </w:p>
        </w:tc>
        <w:tc>
          <w:tcPr>
            <w:tcW w:w="5403" w:type="dxa"/>
            <w:tcBorders>
              <w:top w:val="single" w:color="000000" w:sz="2" w:space="0"/>
            </w:tcBorders>
            <w:vAlign w:val="top"/>
          </w:tcPr>
          <w:p w14:paraId="3708F9EF">
            <w:pPr>
              <w:spacing w:before="63" w:line="220" w:lineRule="auto"/>
              <w:ind w:left="1759"/>
              <w:rPr>
                <w:rFonts w:ascii="宋体" w:hAnsi="宋体" w:eastAsia="宋体" w:cs="宋体"/>
                <w:sz w:val="21"/>
                <w:szCs w:val="21"/>
              </w:rPr>
            </w:pPr>
            <w:r>
              <w:rPr>
                <w:rFonts w:ascii="宋体" w:hAnsi="宋体" w:eastAsia="宋体" w:cs="宋体"/>
                <w:spacing w:val="-1"/>
                <w:sz w:val="21"/>
                <w:szCs w:val="21"/>
              </w:rPr>
              <w:t>地下水环境敏感特征</w:t>
            </w:r>
          </w:p>
        </w:tc>
        <w:tc>
          <w:tcPr>
            <w:tcW w:w="1904" w:type="dxa"/>
            <w:tcBorders>
              <w:top w:val="single" w:color="000000" w:sz="2" w:space="0"/>
              <w:right w:val="single" w:color="000000" w:sz="2" w:space="0"/>
            </w:tcBorders>
            <w:vAlign w:val="top"/>
          </w:tcPr>
          <w:p w14:paraId="62BD5A51">
            <w:pPr>
              <w:spacing w:before="63" w:line="219" w:lineRule="auto"/>
              <w:ind w:left="643"/>
              <w:rPr>
                <w:rFonts w:ascii="宋体" w:hAnsi="宋体" w:eastAsia="宋体" w:cs="宋体"/>
                <w:sz w:val="21"/>
                <w:szCs w:val="21"/>
              </w:rPr>
            </w:pPr>
            <w:r>
              <w:rPr>
                <w:rFonts w:ascii="宋体" w:hAnsi="宋体" w:eastAsia="宋体" w:cs="宋体"/>
                <w:spacing w:val="-3"/>
                <w:sz w:val="21"/>
                <w:szCs w:val="21"/>
              </w:rPr>
              <w:t>本项目</w:t>
            </w:r>
          </w:p>
        </w:tc>
      </w:tr>
      <w:tr w14:paraId="2BFDC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1005" w:type="dxa"/>
            <w:tcBorders>
              <w:left w:val="single" w:color="000000" w:sz="2" w:space="0"/>
            </w:tcBorders>
            <w:vAlign w:val="top"/>
          </w:tcPr>
          <w:p w14:paraId="3A21CCF6">
            <w:pPr>
              <w:spacing w:line="445" w:lineRule="auto"/>
              <w:rPr>
                <w:rFonts w:ascii="Arial"/>
                <w:sz w:val="21"/>
              </w:rPr>
            </w:pPr>
          </w:p>
          <w:p w14:paraId="5E7DA003">
            <w:pPr>
              <w:spacing w:before="68" w:line="220" w:lineRule="auto"/>
              <w:ind w:left="294"/>
              <w:rPr>
                <w:rFonts w:ascii="宋体" w:hAnsi="宋体" w:eastAsia="宋体" w:cs="宋体"/>
                <w:sz w:val="21"/>
                <w:szCs w:val="21"/>
              </w:rPr>
            </w:pPr>
            <w:r>
              <w:rPr>
                <w:rFonts w:ascii="宋体" w:hAnsi="宋体" w:eastAsia="宋体" w:cs="宋体"/>
                <w:spacing w:val="-3"/>
                <w:sz w:val="21"/>
                <w:szCs w:val="21"/>
              </w:rPr>
              <w:t>敏感</w:t>
            </w:r>
          </w:p>
        </w:tc>
        <w:tc>
          <w:tcPr>
            <w:tcW w:w="5403" w:type="dxa"/>
            <w:vAlign w:val="top"/>
          </w:tcPr>
          <w:p w14:paraId="1E02D724">
            <w:pPr>
              <w:spacing w:before="49" w:line="262" w:lineRule="auto"/>
              <w:ind w:left="7"/>
              <w:jc w:val="both"/>
              <w:rPr>
                <w:rFonts w:ascii="宋体" w:hAnsi="宋体" w:eastAsia="宋体" w:cs="宋体"/>
                <w:sz w:val="21"/>
                <w:szCs w:val="21"/>
              </w:rPr>
            </w:pPr>
            <w:r>
              <w:rPr>
                <w:rFonts w:ascii="宋体" w:hAnsi="宋体" w:eastAsia="宋体" w:cs="宋体"/>
                <w:spacing w:val="-3"/>
                <w:sz w:val="21"/>
                <w:szCs w:val="21"/>
              </w:rPr>
              <w:t>集中式饮用水水源（包括已建成的在用、备用、应急水源，</w:t>
            </w:r>
            <w:r>
              <w:rPr>
                <w:rFonts w:ascii="宋体" w:hAnsi="宋体" w:eastAsia="宋体" w:cs="宋体"/>
                <w:spacing w:val="-4"/>
                <w:sz w:val="21"/>
                <w:szCs w:val="21"/>
              </w:rPr>
              <w:t>在建和规划的饮用水水源）准保护区；除集中式饮用水水源</w:t>
            </w:r>
            <w:r>
              <w:rPr>
                <w:rFonts w:ascii="宋体" w:hAnsi="宋体" w:eastAsia="宋体" w:cs="宋体"/>
                <w:spacing w:val="4"/>
                <w:sz w:val="21"/>
                <w:szCs w:val="21"/>
              </w:rPr>
              <w:t>以外的国家或地方政府设定的与地下水环境相关的其它保</w:t>
            </w:r>
            <w:r>
              <w:rPr>
                <w:rFonts w:ascii="宋体" w:hAnsi="宋体" w:eastAsia="宋体" w:cs="宋体"/>
                <w:spacing w:val="-2"/>
                <w:sz w:val="21"/>
                <w:szCs w:val="21"/>
              </w:rPr>
              <w:t>护区，如热水、矿泉水、温泉等特殊地下水</w:t>
            </w:r>
            <w:r>
              <w:rPr>
                <w:rFonts w:ascii="宋体" w:hAnsi="宋体" w:eastAsia="宋体" w:cs="宋体"/>
                <w:spacing w:val="-3"/>
                <w:sz w:val="21"/>
                <w:szCs w:val="21"/>
              </w:rPr>
              <w:t>资源保护区。</w:t>
            </w:r>
          </w:p>
        </w:tc>
        <w:tc>
          <w:tcPr>
            <w:tcW w:w="1904" w:type="dxa"/>
            <w:vMerge w:val="restart"/>
            <w:tcBorders>
              <w:bottom w:val="nil"/>
              <w:right w:val="single" w:color="000000" w:sz="2" w:space="0"/>
            </w:tcBorders>
            <w:vAlign w:val="top"/>
          </w:tcPr>
          <w:p w14:paraId="1C5E5E25">
            <w:pPr>
              <w:spacing w:before="52" w:line="274" w:lineRule="auto"/>
              <w:ind w:left="10" w:right="3"/>
              <w:jc w:val="both"/>
              <w:rPr>
                <w:rFonts w:ascii="宋体" w:hAnsi="宋体" w:eastAsia="宋体" w:cs="宋体"/>
                <w:sz w:val="21"/>
                <w:szCs w:val="21"/>
              </w:rPr>
            </w:pPr>
            <w:r>
              <w:rPr>
                <w:rFonts w:ascii="宋体" w:hAnsi="宋体" w:eastAsia="宋体" w:cs="宋体"/>
                <w:spacing w:val="-1"/>
                <w:sz w:val="21"/>
                <w:szCs w:val="21"/>
              </w:rPr>
              <w:t>评价范围内周边居民饮用水水源为地下水</w:t>
            </w:r>
            <w:r>
              <w:rPr>
                <w:rFonts w:ascii="宋体" w:hAnsi="宋体" w:eastAsia="宋体" w:cs="宋体"/>
                <w:spacing w:val="-2"/>
                <w:sz w:val="21"/>
                <w:szCs w:val="21"/>
              </w:rPr>
              <w:t>（自打井），属分散</w:t>
            </w:r>
            <w:r>
              <w:rPr>
                <w:rFonts w:ascii="宋体" w:hAnsi="宋体" w:eastAsia="宋体" w:cs="宋体"/>
                <w:spacing w:val="-1"/>
                <w:sz w:val="21"/>
                <w:szCs w:val="21"/>
              </w:rPr>
              <w:t>式地下水饮用水源，本项目不在集中式饮用水水源准保护区及其补给径流区，评价范围内无国家和地方政府设定的与地下水环境相关的特殊地下</w:t>
            </w:r>
            <w:r>
              <w:rPr>
                <w:rFonts w:ascii="宋体" w:hAnsi="宋体" w:eastAsia="宋体" w:cs="宋体"/>
                <w:spacing w:val="-5"/>
                <w:sz w:val="21"/>
                <w:szCs w:val="21"/>
              </w:rPr>
              <w:t>水资源保护区。</w:t>
            </w:r>
          </w:p>
          <w:p w14:paraId="39991F4D">
            <w:pPr>
              <w:spacing w:line="219" w:lineRule="auto"/>
              <w:jc w:val="right"/>
              <w:rPr>
                <w:rFonts w:ascii="宋体" w:hAnsi="宋体" w:eastAsia="宋体" w:cs="宋体"/>
                <w:sz w:val="21"/>
                <w:szCs w:val="21"/>
              </w:rPr>
            </w:pPr>
            <w:r>
              <w:rPr>
                <w:rFonts w:ascii="宋体" w:hAnsi="宋体" w:eastAsia="宋体" w:cs="宋体"/>
                <w:spacing w:val="-2"/>
                <w:sz w:val="21"/>
                <w:szCs w:val="21"/>
              </w:rPr>
              <w:t>敏感程度为</w:t>
            </w:r>
            <w:r>
              <w:rPr>
                <w:rFonts w:ascii="宋体" w:hAnsi="宋体" w:eastAsia="宋体" w:cs="宋体"/>
                <w:b/>
                <w:bCs/>
                <w:spacing w:val="-2"/>
                <w:sz w:val="21"/>
                <w:szCs w:val="21"/>
              </w:rPr>
              <w:t>较敏感</w:t>
            </w:r>
            <w:r>
              <w:rPr>
                <w:rFonts w:ascii="宋体" w:hAnsi="宋体" w:eastAsia="宋体" w:cs="宋体"/>
                <w:spacing w:val="-2"/>
                <w:sz w:val="21"/>
                <w:szCs w:val="21"/>
              </w:rPr>
              <w:t>。</w:t>
            </w:r>
          </w:p>
        </w:tc>
      </w:tr>
      <w:tr w14:paraId="744FE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1005" w:type="dxa"/>
            <w:tcBorders>
              <w:left w:val="single" w:color="000000" w:sz="2" w:space="0"/>
            </w:tcBorders>
            <w:vAlign w:val="top"/>
          </w:tcPr>
          <w:p w14:paraId="61D4984C">
            <w:pPr>
              <w:spacing w:line="251" w:lineRule="auto"/>
              <w:rPr>
                <w:rFonts w:ascii="Arial"/>
                <w:sz w:val="21"/>
              </w:rPr>
            </w:pPr>
          </w:p>
          <w:p w14:paraId="321930C8">
            <w:pPr>
              <w:spacing w:line="252" w:lineRule="auto"/>
              <w:rPr>
                <w:rFonts w:ascii="Arial"/>
                <w:sz w:val="21"/>
              </w:rPr>
            </w:pPr>
          </w:p>
          <w:p w14:paraId="034F7ED6">
            <w:pPr>
              <w:spacing w:line="252" w:lineRule="auto"/>
              <w:rPr>
                <w:rFonts w:ascii="Arial"/>
                <w:sz w:val="21"/>
              </w:rPr>
            </w:pPr>
          </w:p>
          <w:p w14:paraId="4830AEFF">
            <w:pPr>
              <w:spacing w:before="69" w:line="220" w:lineRule="auto"/>
              <w:ind w:left="189"/>
              <w:rPr>
                <w:rFonts w:ascii="宋体" w:hAnsi="宋体" w:eastAsia="宋体" w:cs="宋体"/>
                <w:sz w:val="21"/>
                <w:szCs w:val="21"/>
              </w:rPr>
            </w:pPr>
            <w:r>
              <w:rPr>
                <w:rFonts w:ascii="宋体" w:hAnsi="宋体" w:eastAsia="宋体" w:cs="宋体"/>
                <w:spacing w:val="-2"/>
                <w:sz w:val="21"/>
                <w:szCs w:val="21"/>
              </w:rPr>
              <w:t>较敏感</w:t>
            </w:r>
          </w:p>
        </w:tc>
        <w:tc>
          <w:tcPr>
            <w:tcW w:w="5403" w:type="dxa"/>
            <w:vAlign w:val="top"/>
          </w:tcPr>
          <w:p w14:paraId="28D5481B">
            <w:pPr>
              <w:pStyle w:val="6"/>
              <w:spacing w:before="46" w:line="265" w:lineRule="auto"/>
              <w:ind w:left="7"/>
              <w:jc w:val="both"/>
              <w:rPr>
                <w:rFonts w:ascii="宋体" w:hAnsi="宋体" w:eastAsia="宋体" w:cs="宋体"/>
              </w:rPr>
            </w:pPr>
            <w:r>
              <w:rPr>
                <w:rFonts w:ascii="宋体" w:hAnsi="宋体" w:eastAsia="宋体" w:cs="宋体"/>
                <w:spacing w:val="-3"/>
              </w:rPr>
              <w:t>集中式饮用水水源（包括已建成的在用、备用、应急水源，</w:t>
            </w:r>
            <w:r>
              <w:rPr>
                <w:rFonts w:ascii="宋体" w:hAnsi="宋体" w:eastAsia="宋体" w:cs="宋体"/>
                <w:spacing w:val="-5"/>
              </w:rPr>
              <w:t>在建和规划的饮用水水源）准保护区以外的补给径流区；未划定准保护区的集中式饮用水水源，其保护区以外的补给径</w:t>
            </w:r>
            <w:r>
              <w:rPr>
                <w:rFonts w:ascii="宋体" w:hAnsi="宋体" w:eastAsia="宋体" w:cs="宋体"/>
                <w:spacing w:val="-4"/>
              </w:rPr>
              <w:t>流区；</w:t>
            </w:r>
            <w:r>
              <w:rPr>
                <w:rFonts w:ascii="宋体" w:hAnsi="宋体" w:eastAsia="宋体" w:cs="宋体"/>
                <w:b/>
                <w:bCs/>
                <w:spacing w:val="-4"/>
              </w:rPr>
              <w:t>分散式饮用水水源地</w:t>
            </w:r>
            <w:r>
              <w:rPr>
                <w:rFonts w:ascii="宋体" w:hAnsi="宋体" w:eastAsia="宋体" w:cs="宋体"/>
                <w:spacing w:val="-4"/>
              </w:rPr>
              <w:t>；特殊地下水资源（如矿泉水、</w:t>
            </w:r>
            <w:r>
              <w:rPr>
                <w:rFonts w:ascii="宋体" w:hAnsi="宋体" w:eastAsia="宋体" w:cs="宋体"/>
                <w:spacing w:val="-5"/>
              </w:rPr>
              <w:t>温泉等）保护区以外的分布区等其他未列入上述敏感分级的</w:t>
            </w:r>
            <w:r>
              <w:rPr>
                <w:rFonts w:ascii="宋体" w:hAnsi="宋体" w:eastAsia="宋体" w:cs="宋体"/>
                <w:spacing w:val="-3"/>
              </w:rPr>
              <w:t>环境敏感区</w:t>
            </w:r>
            <w:r>
              <w:rPr>
                <w:spacing w:val="-3"/>
                <w:position w:val="9"/>
                <w:sz w:val="14"/>
                <w:szCs w:val="14"/>
              </w:rPr>
              <w:t>a</w:t>
            </w:r>
            <w:r>
              <w:rPr>
                <w:rFonts w:ascii="宋体" w:hAnsi="宋体" w:eastAsia="宋体" w:cs="宋体"/>
                <w:spacing w:val="-3"/>
              </w:rPr>
              <w:t>。</w:t>
            </w:r>
          </w:p>
        </w:tc>
        <w:tc>
          <w:tcPr>
            <w:tcW w:w="1904" w:type="dxa"/>
            <w:vMerge w:val="continue"/>
            <w:tcBorders>
              <w:top w:val="nil"/>
              <w:bottom w:val="nil"/>
              <w:right w:val="single" w:color="000000" w:sz="2" w:space="0"/>
            </w:tcBorders>
            <w:vAlign w:val="top"/>
          </w:tcPr>
          <w:p w14:paraId="6A78EF73">
            <w:pPr>
              <w:rPr>
                <w:rFonts w:ascii="Arial"/>
                <w:sz w:val="21"/>
              </w:rPr>
            </w:pPr>
          </w:p>
        </w:tc>
      </w:tr>
      <w:tr w14:paraId="23AF9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05" w:type="dxa"/>
            <w:tcBorders>
              <w:left w:val="single" w:color="000000" w:sz="2" w:space="0"/>
            </w:tcBorders>
            <w:vAlign w:val="top"/>
          </w:tcPr>
          <w:p w14:paraId="164762B1">
            <w:pPr>
              <w:spacing w:before="192" w:line="220" w:lineRule="auto"/>
              <w:ind w:left="192"/>
              <w:rPr>
                <w:rFonts w:ascii="宋体" w:hAnsi="宋体" w:eastAsia="宋体" w:cs="宋体"/>
                <w:sz w:val="21"/>
                <w:szCs w:val="21"/>
              </w:rPr>
            </w:pPr>
            <w:r>
              <w:rPr>
                <w:rFonts w:ascii="宋体" w:hAnsi="宋体" w:eastAsia="宋体" w:cs="宋体"/>
                <w:spacing w:val="-3"/>
                <w:sz w:val="21"/>
                <w:szCs w:val="21"/>
              </w:rPr>
              <w:t>不敏感</w:t>
            </w:r>
          </w:p>
        </w:tc>
        <w:tc>
          <w:tcPr>
            <w:tcW w:w="5403" w:type="dxa"/>
            <w:vAlign w:val="top"/>
          </w:tcPr>
          <w:p w14:paraId="2ED63E53">
            <w:pPr>
              <w:spacing w:before="193" w:line="220" w:lineRule="auto"/>
              <w:ind w:left="10"/>
              <w:rPr>
                <w:rFonts w:ascii="宋体" w:hAnsi="宋体" w:eastAsia="宋体" w:cs="宋体"/>
                <w:sz w:val="21"/>
                <w:szCs w:val="21"/>
              </w:rPr>
            </w:pPr>
            <w:r>
              <w:rPr>
                <w:rFonts w:ascii="宋体" w:hAnsi="宋体" w:eastAsia="宋体" w:cs="宋体"/>
                <w:spacing w:val="-4"/>
                <w:sz w:val="21"/>
                <w:szCs w:val="21"/>
              </w:rPr>
              <w:t>上述地区之外的其它地区。</w:t>
            </w:r>
          </w:p>
        </w:tc>
        <w:tc>
          <w:tcPr>
            <w:tcW w:w="1904" w:type="dxa"/>
            <w:vMerge w:val="continue"/>
            <w:tcBorders>
              <w:top w:val="nil"/>
              <w:right w:val="single" w:color="000000" w:sz="2" w:space="0"/>
            </w:tcBorders>
            <w:vAlign w:val="top"/>
          </w:tcPr>
          <w:p w14:paraId="1E0EB5C1">
            <w:pPr>
              <w:rPr>
                <w:rFonts w:ascii="Arial"/>
                <w:sz w:val="21"/>
              </w:rPr>
            </w:pPr>
          </w:p>
        </w:tc>
      </w:tr>
      <w:tr w14:paraId="038A0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8312" w:type="dxa"/>
            <w:gridSpan w:val="3"/>
            <w:tcBorders>
              <w:left w:val="single" w:color="000000" w:sz="2" w:space="0"/>
              <w:bottom w:val="single" w:color="000000" w:sz="2" w:space="0"/>
              <w:right w:val="single" w:color="000000" w:sz="2" w:space="0"/>
            </w:tcBorders>
            <w:vAlign w:val="top"/>
          </w:tcPr>
          <w:p w14:paraId="73152074">
            <w:pPr>
              <w:pStyle w:val="6"/>
              <w:spacing w:before="78" w:line="189" w:lineRule="auto"/>
              <w:ind w:left="6"/>
              <w:rPr>
                <w:rFonts w:ascii="宋体" w:hAnsi="宋体" w:eastAsia="宋体" w:cs="宋体"/>
                <w:sz w:val="18"/>
                <w:szCs w:val="18"/>
              </w:rPr>
            </w:pPr>
            <w:r>
              <w:rPr>
                <w:rFonts w:ascii="宋体" w:hAnsi="宋体" w:eastAsia="宋体" w:cs="宋体"/>
                <w:spacing w:val="-1"/>
                <w:sz w:val="18"/>
                <w:szCs w:val="18"/>
              </w:rPr>
              <w:t>注：</w:t>
            </w:r>
            <w:r>
              <w:rPr>
                <w:spacing w:val="-1"/>
                <w:position w:val="9"/>
                <w:sz w:val="14"/>
                <w:szCs w:val="14"/>
              </w:rPr>
              <w:t>a</w:t>
            </w:r>
            <w:r>
              <w:rPr>
                <w:rFonts w:ascii="宋体" w:hAnsi="宋体" w:eastAsia="宋体" w:cs="宋体"/>
                <w:spacing w:val="-1"/>
                <w:sz w:val="18"/>
                <w:szCs w:val="18"/>
              </w:rPr>
              <w:t>环境敏感区是指《建设项目环境影响评价分类管理名录》中所界定的涉及地下水的环境敏感区。</w:t>
            </w:r>
          </w:p>
        </w:tc>
      </w:tr>
    </w:tbl>
    <w:p w14:paraId="15D49893">
      <w:pPr>
        <w:spacing w:before="248" w:line="221" w:lineRule="auto"/>
        <w:ind w:left="255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1.3-7  </w:t>
      </w:r>
      <w:r>
        <w:rPr>
          <w:rFonts w:ascii="黑体" w:hAnsi="黑体" w:eastAsia="黑体" w:cs="黑体"/>
          <w:spacing w:val="-1"/>
          <w:sz w:val="21"/>
          <w:szCs w:val="21"/>
        </w:rPr>
        <w:t>地下水评价工作等级分级表</w:t>
      </w:r>
    </w:p>
    <w:p w14:paraId="541439A1">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2"/>
        <w:gridCol w:w="2078"/>
        <w:gridCol w:w="2077"/>
        <w:gridCol w:w="2083"/>
      </w:tblGrid>
      <w:tr w14:paraId="2AF40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082" w:type="dxa"/>
            <w:tcBorders>
              <w:tl2br w:val="single" w:color="000000" w:sz="2" w:space="0"/>
            </w:tcBorders>
            <w:vAlign w:val="top"/>
          </w:tcPr>
          <w:p w14:paraId="3A02D84A">
            <w:pPr>
              <w:spacing w:before="55" w:line="249" w:lineRule="auto"/>
              <w:ind w:left="12" w:right="3" w:firstLine="1232"/>
              <w:rPr>
                <w:rFonts w:ascii="宋体" w:hAnsi="宋体" w:eastAsia="宋体" w:cs="宋体"/>
                <w:sz w:val="21"/>
                <w:szCs w:val="21"/>
              </w:rPr>
            </w:pPr>
            <w:r>
              <w:rPr>
                <w:rFonts w:ascii="宋体" w:hAnsi="宋体" w:eastAsia="宋体" w:cs="宋体"/>
                <w:spacing w:val="-3"/>
                <w:sz w:val="21"/>
                <w:szCs w:val="21"/>
              </w:rPr>
              <w:t>项目类别</w:t>
            </w:r>
            <w:r>
              <w:rPr>
                <w:rFonts w:ascii="宋体" w:hAnsi="宋体" w:eastAsia="宋体" w:cs="宋体"/>
                <w:spacing w:val="-2"/>
                <w:sz w:val="21"/>
                <w:szCs w:val="21"/>
              </w:rPr>
              <w:t>环境敏感程度</w:t>
            </w:r>
          </w:p>
        </w:tc>
        <w:tc>
          <w:tcPr>
            <w:tcW w:w="2078" w:type="dxa"/>
            <w:vAlign w:val="top"/>
          </w:tcPr>
          <w:p w14:paraId="5ACE7E35">
            <w:pPr>
              <w:spacing w:before="210" w:line="220" w:lineRule="auto"/>
              <w:ind w:left="901"/>
              <w:rPr>
                <w:rFonts w:ascii="宋体" w:hAnsi="宋体" w:eastAsia="宋体" w:cs="宋体"/>
                <w:sz w:val="21"/>
                <w:szCs w:val="21"/>
              </w:rPr>
            </w:pPr>
            <w:r>
              <w:rPr>
                <w:rFonts w:ascii="宋体" w:hAnsi="宋体" w:eastAsia="宋体" w:cs="宋体"/>
                <w:spacing w:val="-20"/>
                <w:sz w:val="21"/>
                <w:szCs w:val="21"/>
              </w:rPr>
              <w:t>Ⅰ类</w:t>
            </w:r>
          </w:p>
        </w:tc>
        <w:tc>
          <w:tcPr>
            <w:tcW w:w="2077" w:type="dxa"/>
            <w:vAlign w:val="top"/>
          </w:tcPr>
          <w:p w14:paraId="3E87E7A2">
            <w:pPr>
              <w:spacing w:before="210" w:line="220" w:lineRule="auto"/>
              <w:ind w:left="871"/>
              <w:rPr>
                <w:rFonts w:ascii="宋体" w:hAnsi="宋体" w:eastAsia="宋体" w:cs="宋体"/>
                <w:sz w:val="21"/>
                <w:szCs w:val="21"/>
              </w:rPr>
            </w:pPr>
            <w:r>
              <w:rPr>
                <w:rFonts w:ascii="宋体" w:hAnsi="宋体" w:eastAsia="宋体" w:cs="宋体"/>
                <w:spacing w:val="-12"/>
                <w:sz w:val="21"/>
                <w:szCs w:val="21"/>
              </w:rPr>
              <w:t>Ⅱ类</w:t>
            </w:r>
          </w:p>
        </w:tc>
        <w:tc>
          <w:tcPr>
            <w:tcW w:w="2083" w:type="dxa"/>
            <w:vAlign w:val="top"/>
          </w:tcPr>
          <w:p w14:paraId="4393AD5C">
            <w:pPr>
              <w:spacing w:before="210" w:line="220" w:lineRule="auto"/>
              <w:ind w:left="835"/>
              <w:rPr>
                <w:rFonts w:ascii="宋体" w:hAnsi="宋体" w:eastAsia="宋体" w:cs="宋体"/>
                <w:sz w:val="21"/>
                <w:szCs w:val="21"/>
              </w:rPr>
            </w:pPr>
            <w:r>
              <w:rPr>
                <w:rFonts w:ascii="宋体" w:hAnsi="宋体" w:eastAsia="宋体" w:cs="宋体"/>
                <w:b/>
                <w:bCs/>
                <w:spacing w:val="-4"/>
                <w:sz w:val="21"/>
                <w:szCs w:val="21"/>
              </w:rPr>
              <w:t>Ⅲ类</w:t>
            </w:r>
          </w:p>
        </w:tc>
      </w:tr>
      <w:tr w14:paraId="002B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2" w:type="dxa"/>
            <w:vAlign w:val="top"/>
          </w:tcPr>
          <w:p w14:paraId="2A326C9C">
            <w:pPr>
              <w:spacing w:before="65" w:line="220" w:lineRule="auto"/>
              <w:ind w:left="838"/>
              <w:rPr>
                <w:rFonts w:ascii="宋体" w:hAnsi="宋体" w:eastAsia="宋体" w:cs="宋体"/>
                <w:sz w:val="21"/>
                <w:szCs w:val="21"/>
              </w:rPr>
            </w:pPr>
            <w:r>
              <w:rPr>
                <w:rFonts w:ascii="宋体" w:hAnsi="宋体" w:eastAsia="宋体" w:cs="宋体"/>
                <w:spacing w:val="-3"/>
                <w:sz w:val="21"/>
                <w:szCs w:val="21"/>
              </w:rPr>
              <w:t>敏感</w:t>
            </w:r>
          </w:p>
        </w:tc>
        <w:tc>
          <w:tcPr>
            <w:tcW w:w="2078" w:type="dxa"/>
            <w:vAlign w:val="top"/>
          </w:tcPr>
          <w:p w14:paraId="7264CB8D">
            <w:pPr>
              <w:spacing w:before="144" w:line="163" w:lineRule="exact"/>
              <w:ind w:left="941"/>
              <w:rPr>
                <w:rFonts w:ascii="宋体" w:hAnsi="宋体" w:eastAsia="宋体" w:cs="宋体"/>
                <w:sz w:val="21"/>
                <w:szCs w:val="21"/>
              </w:rPr>
            </w:pPr>
            <w:r>
              <w:rPr>
                <w:rFonts w:ascii="宋体" w:hAnsi="宋体" w:eastAsia="宋体" w:cs="宋体"/>
                <w:position w:val="-4"/>
                <w:sz w:val="21"/>
                <w:szCs w:val="21"/>
              </w:rPr>
              <w:t>一</w:t>
            </w:r>
          </w:p>
        </w:tc>
        <w:tc>
          <w:tcPr>
            <w:tcW w:w="2077" w:type="dxa"/>
            <w:vAlign w:val="top"/>
          </w:tcPr>
          <w:p w14:paraId="0EB8A397">
            <w:pPr>
              <w:spacing w:before="144" w:line="163" w:lineRule="exact"/>
              <w:ind w:left="942"/>
              <w:rPr>
                <w:rFonts w:ascii="宋体" w:hAnsi="宋体" w:eastAsia="宋体" w:cs="宋体"/>
                <w:sz w:val="21"/>
                <w:szCs w:val="21"/>
              </w:rPr>
            </w:pPr>
            <w:r>
              <w:rPr>
                <w:rFonts w:ascii="宋体" w:hAnsi="宋体" w:eastAsia="宋体" w:cs="宋体"/>
                <w:position w:val="-4"/>
                <w:sz w:val="21"/>
                <w:szCs w:val="21"/>
              </w:rPr>
              <w:t>一</w:t>
            </w:r>
          </w:p>
        </w:tc>
        <w:tc>
          <w:tcPr>
            <w:tcW w:w="2083" w:type="dxa"/>
            <w:vAlign w:val="top"/>
          </w:tcPr>
          <w:p w14:paraId="67F752CF">
            <w:pPr>
              <w:spacing w:before="104" w:line="178" w:lineRule="auto"/>
              <w:ind w:left="945"/>
              <w:rPr>
                <w:rFonts w:ascii="宋体" w:hAnsi="宋体" w:eastAsia="宋体" w:cs="宋体"/>
                <w:sz w:val="21"/>
                <w:szCs w:val="21"/>
              </w:rPr>
            </w:pPr>
            <w:r>
              <w:rPr>
                <w:rFonts w:ascii="宋体" w:hAnsi="宋体" w:eastAsia="宋体" w:cs="宋体"/>
                <w:sz w:val="21"/>
                <w:szCs w:val="21"/>
              </w:rPr>
              <w:t>二</w:t>
            </w:r>
          </w:p>
        </w:tc>
      </w:tr>
      <w:tr w14:paraId="3635D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2" w:type="dxa"/>
            <w:vAlign w:val="top"/>
          </w:tcPr>
          <w:p w14:paraId="7D17C778">
            <w:pPr>
              <w:spacing w:before="66" w:line="220" w:lineRule="auto"/>
              <w:ind w:left="730"/>
              <w:rPr>
                <w:rFonts w:ascii="宋体" w:hAnsi="宋体" w:eastAsia="宋体" w:cs="宋体"/>
                <w:sz w:val="21"/>
                <w:szCs w:val="21"/>
              </w:rPr>
            </w:pPr>
            <w:r>
              <w:rPr>
                <w:rFonts w:ascii="宋体" w:hAnsi="宋体" w:eastAsia="宋体" w:cs="宋体"/>
                <w:b/>
                <w:bCs/>
                <w:spacing w:val="-4"/>
                <w:sz w:val="21"/>
                <w:szCs w:val="21"/>
              </w:rPr>
              <w:t>较敏感</w:t>
            </w:r>
          </w:p>
        </w:tc>
        <w:tc>
          <w:tcPr>
            <w:tcW w:w="2078" w:type="dxa"/>
            <w:vAlign w:val="top"/>
          </w:tcPr>
          <w:p w14:paraId="54919226">
            <w:pPr>
              <w:spacing w:before="145" w:line="163" w:lineRule="exact"/>
              <w:ind w:left="941"/>
              <w:rPr>
                <w:rFonts w:ascii="宋体" w:hAnsi="宋体" w:eastAsia="宋体" w:cs="宋体"/>
                <w:sz w:val="21"/>
                <w:szCs w:val="21"/>
              </w:rPr>
            </w:pPr>
            <w:r>
              <w:rPr>
                <w:rFonts w:ascii="宋体" w:hAnsi="宋体" w:eastAsia="宋体" w:cs="宋体"/>
                <w:position w:val="-4"/>
                <w:sz w:val="21"/>
                <w:szCs w:val="21"/>
              </w:rPr>
              <w:t>一</w:t>
            </w:r>
          </w:p>
        </w:tc>
        <w:tc>
          <w:tcPr>
            <w:tcW w:w="2077" w:type="dxa"/>
            <w:vAlign w:val="top"/>
          </w:tcPr>
          <w:p w14:paraId="0D927E4D">
            <w:pPr>
              <w:spacing w:before="106" w:line="178" w:lineRule="auto"/>
              <w:ind w:left="942"/>
              <w:rPr>
                <w:rFonts w:ascii="宋体" w:hAnsi="宋体" w:eastAsia="宋体" w:cs="宋体"/>
                <w:sz w:val="21"/>
                <w:szCs w:val="21"/>
              </w:rPr>
            </w:pPr>
            <w:r>
              <w:rPr>
                <w:rFonts w:ascii="宋体" w:hAnsi="宋体" w:eastAsia="宋体" w:cs="宋体"/>
                <w:sz w:val="21"/>
                <w:szCs w:val="21"/>
              </w:rPr>
              <w:t>二</w:t>
            </w:r>
          </w:p>
        </w:tc>
        <w:tc>
          <w:tcPr>
            <w:tcW w:w="2083" w:type="dxa"/>
            <w:shd w:val="clear" w:color="auto" w:fill="92D050"/>
            <w:vAlign w:val="top"/>
          </w:tcPr>
          <w:p w14:paraId="3847A656">
            <w:pPr>
              <w:spacing w:before="66" w:line="235" w:lineRule="auto"/>
              <w:ind w:left="942"/>
              <w:rPr>
                <w:rFonts w:ascii="宋体" w:hAnsi="宋体" w:eastAsia="宋体" w:cs="宋体"/>
                <w:sz w:val="21"/>
                <w:szCs w:val="21"/>
              </w:rPr>
            </w:pPr>
            <w:r>
              <w:rPr>
                <w:rFonts w:ascii="宋体" w:hAnsi="宋体" w:eastAsia="宋体" w:cs="宋体"/>
                <w:b/>
                <w:bCs/>
                <w:spacing w:val="-3"/>
                <w:sz w:val="21"/>
                <w:szCs w:val="21"/>
              </w:rPr>
              <w:t>三</w:t>
            </w:r>
          </w:p>
        </w:tc>
      </w:tr>
      <w:tr w14:paraId="32D98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2" w:type="dxa"/>
            <w:vAlign w:val="top"/>
          </w:tcPr>
          <w:p w14:paraId="38DA0E45">
            <w:pPr>
              <w:spacing w:before="67" w:line="220" w:lineRule="auto"/>
              <w:ind w:left="734"/>
              <w:rPr>
                <w:rFonts w:ascii="宋体" w:hAnsi="宋体" w:eastAsia="宋体" w:cs="宋体"/>
                <w:sz w:val="21"/>
                <w:szCs w:val="21"/>
              </w:rPr>
            </w:pPr>
            <w:r>
              <w:rPr>
                <w:rFonts w:ascii="宋体" w:hAnsi="宋体" w:eastAsia="宋体" w:cs="宋体"/>
                <w:spacing w:val="-3"/>
                <w:sz w:val="21"/>
                <w:szCs w:val="21"/>
              </w:rPr>
              <w:t>不敏感</w:t>
            </w:r>
          </w:p>
        </w:tc>
        <w:tc>
          <w:tcPr>
            <w:tcW w:w="2078" w:type="dxa"/>
            <w:vAlign w:val="top"/>
          </w:tcPr>
          <w:p w14:paraId="4A35F8B5">
            <w:pPr>
              <w:spacing w:before="107" w:line="178" w:lineRule="auto"/>
              <w:ind w:left="941"/>
              <w:rPr>
                <w:rFonts w:ascii="宋体" w:hAnsi="宋体" w:eastAsia="宋体" w:cs="宋体"/>
                <w:sz w:val="21"/>
                <w:szCs w:val="21"/>
              </w:rPr>
            </w:pPr>
            <w:r>
              <w:rPr>
                <w:rFonts w:ascii="宋体" w:hAnsi="宋体" w:eastAsia="宋体" w:cs="宋体"/>
                <w:sz w:val="21"/>
                <w:szCs w:val="21"/>
              </w:rPr>
              <w:t>二</w:t>
            </w:r>
          </w:p>
        </w:tc>
        <w:tc>
          <w:tcPr>
            <w:tcW w:w="2077" w:type="dxa"/>
            <w:vAlign w:val="top"/>
          </w:tcPr>
          <w:p w14:paraId="0564855F">
            <w:pPr>
              <w:spacing w:before="68" w:line="237" w:lineRule="auto"/>
              <w:ind w:left="939"/>
              <w:rPr>
                <w:rFonts w:ascii="宋体" w:hAnsi="宋体" w:eastAsia="宋体" w:cs="宋体"/>
                <w:sz w:val="21"/>
                <w:szCs w:val="21"/>
              </w:rPr>
            </w:pPr>
            <w:r>
              <w:rPr>
                <w:rFonts w:ascii="宋体" w:hAnsi="宋体" w:eastAsia="宋体" w:cs="宋体"/>
                <w:sz w:val="21"/>
                <w:szCs w:val="21"/>
              </w:rPr>
              <w:t>三</w:t>
            </w:r>
          </w:p>
        </w:tc>
        <w:tc>
          <w:tcPr>
            <w:tcW w:w="2083" w:type="dxa"/>
            <w:vAlign w:val="top"/>
          </w:tcPr>
          <w:p w14:paraId="24335AF4">
            <w:pPr>
              <w:spacing w:before="68" w:line="237" w:lineRule="auto"/>
              <w:ind w:left="942"/>
              <w:rPr>
                <w:rFonts w:ascii="宋体" w:hAnsi="宋体" w:eastAsia="宋体" w:cs="宋体"/>
                <w:sz w:val="21"/>
                <w:szCs w:val="21"/>
              </w:rPr>
            </w:pPr>
            <w:r>
              <w:rPr>
                <w:rFonts w:ascii="宋体" w:hAnsi="宋体" w:eastAsia="宋体" w:cs="宋体"/>
                <w:b/>
                <w:bCs/>
                <w:spacing w:val="-3"/>
                <w:sz w:val="21"/>
                <w:szCs w:val="21"/>
              </w:rPr>
              <w:t>三</w:t>
            </w:r>
          </w:p>
        </w:tc>
      </w:tr>
    </w:tbl>
    <w:p w14:paraId="3F4BA2D7">
      <w:pPr>
        <w:spacing w:before="233" w:line="363" w:lineRule="auto"/>
        <w:ind w:left="42" w:right="29" w:firstLine="477"/>
        <w:rPr>
          <w:rFonts w:ascii="宋体" w:hAnsi="宋体" w:eastAsia="宋体" w:cs="宋体"/>
          <w:sz w:val="24"/>
          <w:szCs w:val="24"/>
        </w:rPr>
      </w:pPr>
      <w:r>
        <w:rPr>
          <w:rFonts w:ascii="宋体" w:hAnsi="宋体" w:eastAsia="宋体" w:cs="宋体"/>
          <w:spacing w:val="-3"/>
          <w:sz w:val="24"/>
          <w:szCs w:val="24"/>
        </w:rPr>
        <w:t>根据地下水环境评价工作等级分级表，确定本项目地下水环境评</w:t>
      </w:r>
      <w:r>
        <w:rPr>
          <w:rFonts w:ascii="宋体" w:hAnsi="宋体" w:eastAsia="宋体" w:cs="宋体"/>
          <w:spacing w:val="-4"/>
          <w:sz w:val="24"/>
          <w:szCs w:val="24"/>
        </w:rPr>
        <w:t>价工作等级</w:t>
      </w:r>
      <w:r>
        <w:rPr>
          <w:rFonts w:ascii="宋体" w:hAnsi="宋体" w:eastAsia="宋体" w:cs="宋体"/>
          <w:spacing w:val="-9"/>
          <w:sz w:val="24"/>
          <w:szCs w:val="24"/>
        </w:rPr>
        <w:t>为三级。</w:t>
      </w:r>
    </w:p>
    <w:p w14:paraId="34F80FD8">
      <w:pPr>
        <w:spacing w:line="363" w:lineRule="auto"/>
        <w:rPr>
          <w:rFonts w:ascii="宋体" w:hAnsi="宋体" w:eastAsia="宋体" w:cs="宋体"/>
          <w:sz w:val="24"/>
          <w:szCs w:val="24"/>
        </w:rPr>
        <w:sectPr>
          <w:footerReference r:id="rId49" w:type="default"/>
          <w:pgSz w:w="11905" w:h="16840"/>
          <w:pgMar w:top="1168" w:right="1768" w:bottom="1409" w:left="1770" w:header="828" w:footer="1244" w:gutter="0"/>
          <w:cols w:space="720" w:num="1"/>
        </w:sectPr>
      </w:pPr>
    </w:p>
    <w:p w14:paraId="7A36A52E">
      <w:pPr>
        <w:pStyle w:val="2"/>
        <w:spacing w:line="353" w:lineRule="auto"/>
      </w:pPr>
    </w:p>
    <w:p w14:paraId="4B53EDB7">
      <w:pPr>
        <w:spacing w:before="87" w:line="227" w:lineRule="auto"/>
        <w:ind w:left="48"/>
        <w:rPr>
          <w:rFonts w:ascii="宋体" w:hAnsi="宋体" w:eastAsia="宋体" w:cs="宋体"/>
          <w:sz w:val="27"/>
          <w:szCs w:val="27"/>
        </w:rPr>
      </w:pPr>
      <w:r>
        <w:rPr>
          <w:rFonts w:ascii="Times New Roman" w:hAnsi="Times New Roman" w:eastAsia="Times New Roman" w:cs="Times New Roman"/>
          <w:b/>
          <w:bCs/>
          <w:spacing w:val="3"/>
          <w:sz w:val="27"/>
          <w:szCs w:val="27"/>
        </w:rPr>
        <w:t xml:space="preserve">1.3.1.4 </w:t>
      </w:r>
      <w:r>
        <w:rPr>
          <w:rFonts w:ascii="宋体" w:hAnsi="宋体" w:eastAsia="宋体" w:cs="宋体"/>
          <w:b/>
          <w:bCs/>
          <w:spacing w:val="3"/>
          <w:sz w:val="27"/>
          <w:szCs w:val="27"/>
        </w:rPr>
        <w:t>土壤环境</w:t>
      </w:r>
    </w:p>
    <w:p w14:paraId="6FE0EC83">
      <w:pPr>
        <w:spacing w:before="234" w:line="358" w:lineRule="auto"/>
        <w:ind w:left="39" w:right="82" w:firstLine="480"/>
        <w:jc w:val="both"/>
        <w:rPr>
          <w:rFonts w:ascii="宋体" w:hAnsi="宋体" w:eastAsia="宋体" w:cs="宋体"/>
          <w:sz w:val="24"/>
          <w:szCs w:val="24"/>
        </w:rPr>
      </w:pPr>
      <w:r>
        <w:rPr>
          <w:rFonts w:ascii="宋体" w:hAnsi="宋体" w:eastAsia="宋体" w:cs="宋体"/>
          <w:spacing w:val="-1"/>
          <w:sz w:val="24"/>
          <w:szCs w:val="24"/>
        </w:rPr>
        <w:t>本项目为生猪养殖建设项目，年出栏育肥猪</w:t>
      </w:r>
      <w:r>
        <w:rPr>
          <w:rFonts w:ascii="Times New Roman" w:hAnsi="Times New Roman" w:eastAsia="Times New Roman" w:cs="Times New Roman"/>
          <w:spacing w:val="-1"/>
          <w:sz w:val="24"/>
          <w:szCs w:val="24"/>
        </w:rPr>
        <w:t>13.3</w:t>
      </w:r>
      <w:r>
        <w:rPr>
          <w:rFonts w:ascii="宋体" w:hAnsi="宋体" w:eastAsia="宋体" w:cs="宋体"/>
          <w:spacing w:val="-1"/>
          <w:sz w:val="24"/>
          <w:szCs w:val="24"/>
        </w:rPr>
        <w:t>万头，</w:t>
      </w:r>
      <w:r>
        <w:rPr>
          <w:rFonts w:ascii="宋体" w:hAnsi="宋体" w:eastAsia="宋体" w:cs="宋体"/>
          <w:spacing w:val="-2"/>
          <w:sz w:val="24"/>
          <w:szCs w:val="24"/>
        </w:rPr>
        <w:t>属污染影响型，根据</w:t>
      </w:r>
      <w:r>
        <w:rPr>
          <w:rFonts w:ascii="宋体" w:hAnsi="宋体" w:eastAsia="宋体" w:cs="宋体"/>
          <w:spacing w:val="-1"/>
          <w:sz w:val="24"/>
          <w:szCs w:val="24"/>
        </w:rPr>
        <w:t>《环境影响评价技术导则</w:t>
      </w:r>
      <w:r>
        <w:rPr>
          <w:rFonts w:ascii="宋体" w:hAnsi="宋体" w:eastAsia="宋体" w:cs="宋体"/>
          <w:spacing w:val="47"/>
          <w:sz w:val="24"/>
          <w:szCs w:val="24"/>
        </w:rPr>
        <w:t xml:space="preserve"> </w:t>
      </w:r>
      <w:r>
        <w:rPr>
          <w:rFonts w:ascii="宋体" w:hAnsi="宋体" w:eastAsia="宋体" w:cs="宋体"/>
          <w:spacing w:val="-1"/>
          <w:sz w:val="24"/>
          <w:szCs w:val="24"/>
        </w:rPr>
        <w:t>土壤环境（试行）》（</w:t>
      </w:r>
      <w:r>
        <w:rPr>
          <w:rFonts w:ascii="Times New Roman" w:hAnsi="Times New Roman" w:eastAsia="Times New Roman" w:cs="Times New Roman"/>
          <w:spacing w:val="-1"/>
          <w:sz w:val="24"/>
          <w:szCs w:val="24"/>
        </w:rPr>
        <w:t>HJ964-2018</w:t>
      </w:r>
      <w:r>
        <w:rPr>
          <w:rFonts w:ascii="宋体" w:hAnsi="宋体" w:eastAsia="宋体" w:cs="宋体"/>
          <w:spacing w:val="-1"/>
          <w:sz w:val="24"/>
          <w:szCs w:val="24"/>
        </w:rPr>
        <w:t>）表</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土壤环境</w:t>
      </w:r>
      <w:r>
        <w:rPr>
          <w:rFonts w:ascii="宋体" w:hAnsi="宋体" w:eastAsia="宋体" w:cs="宋体"/>
          <w:spacing w:val="-4"/>
          <w:sz w:val="24"/>
          <w:szCs w:val="24"/>
        </w:rPr>
        <w:t>影响评价项目类别，本项目属于其中“农林牧渔业—年出栏生猪</w:t>
      </w:r>
      <w:r>
        <w:rPr>
          <w:rFonts w:ascii="Times New Roman" w:hAnsi="Times New Roman" w:eastAsia="Times New Roman" w:cs="Times New Roman"/>
          <w:spacing w:val="-4"/>
          <w:sz w:val="24"/>
          <w:szCs w:val="24"/>
        </w:rPr>
        <w:t>10</w:t>
      </w:r>
      <w:r>
        <w:rPr>
          <w:rFonts w:ascii="宋体" w:hAnsi="宋体" w:eastAsia="宋体" w:cs="宋体"/>
          <w:spacing w:val="-4"/>
          <w:sz w:val="24"/>
          <w:szCs w:val="24"/>
        </w:rPr>
        <w:t>万头（其他畜</w:t>
      </w:r>
      <w:r>
        <w:rPr>
          <w:rFonts w:ascii="宋体" w:hAnsi="宋体" w:eastAsia="宋体" w:cs="宋体"/>
          <w:spacing w:val="-3"/>
          <w:sz w:val="24"/>
          <w:szCs w:val="24"/>
        </w:rPr>
        <w:t>禽种类折合猪的养殖规模）及以上的畜禽养殖场或养殖小区”，因此，本项目为</w:t>
      </w:r>
      <w:r>
        <w:rPr>
          <w:rFonts w:ascii="宋体" w:hAnsi="宋体" w:eastAsia="宋体" w:cs="宋体"/>
          <w:spacing w:val="-8"/>
          <w:sz w:val="24"/>
          <w:szCs w:val="24"/>
        </w:rPr>
        <w:t>Ⅱ类项目。</w:t>
      </w:r>
    </w:p>
    <w:p w14:paraId="6C7EBF2D">
      <w:pPr>
        <w:spacing w:before="2" w:line="363" w:lineRule="auto"/>
        <w:ind w:left="85" w:firstLine="435"/>
        <w:rPr>
          <w:rFonts w:ascii="宋体" w:hAnsi="宋体" w:eastAsia="宋体" w:cs="宋体"/>
          <w:sz w:val="24"/>
          <w:szCs w:val="24"/>
        </w:rPr>
      </w:pPr>
      <w:r>
        <w:rPr>
          <w:rFonts w:ascii="宋体" w:hAnsi="宋体" w:eastAsia="宋体" w:cs="宋体"/>
          <w:spacing w:val="-2"/>
          <w:sz w:val="24"/>
          <w:szCs w:val="24"/>
        </w:rPr>
        <w:t>本项目占地面积</w:t>
      </w:r>
      <w:r>
        <w:rPr>
          <w:rFonts w:ascii="Times New Roman" w:hAnsi="Times New Roman" w:eastAsia="Times New Roman" w:cs="Times New Roman"/>
          <w:spacing w:val="-2"/>
          <w:sz w:val="24"/>
          <w:szCs w:val="24"/>
        </w:rPr>
        <w:t>8.4872hm</w:t>
      </w:r>
      <w:r>
        <w:rPr>
          <w:rFonts w:ascii="Times New Roman" w:hAnsi="Times New Roman" w:eastAsia="Times New Roman" w:cs="Times New Roman"/>
          <w:spacing w:val="-2"/>
          <w:position w:val="10"/>
          <w:sz w:val="15"/>
          <w:szCs w:val="15"/>
        </w:rPr>
        <w:t>2</w:t>
      </w:r>
      <w:r>
        <w:rPr>
          <w:rFonts w:ascii="宋体" w:hAnsi="宋体" w:eastAsia="宋体" w:cs="宋体"/>
          <w:spacing w:val="-2"/>
          <w:sz w:val="24"/>
          <w:szCs w:val="24"/>
        </w:rPr>
        <w:t>，介于</w:t>
      </w:r>
      <w:r>
        <w:rPr>
          <w:rFonts w:ascii="Times New Roman" w:hAnsi="Times New Roman" w:eastAsia="Times New Roman" w:cs="Times New Roman"/>
          <w:spacing w:val="-2"/>
          <w:sz w:val="24"/>
          <w:szCs w:val="24"/>
        </w:rPr>
        <w:t>5~50</w:t>
      </w:r>
      <w:r>
        <w:rPr>
          <w:rFonts w:ascii="Times New Roman" w:hAnsi="Times New Roman" w:eastAsia="Times New Roman" w:cs="Times New Roman"/>
          <w:spacing w:val="-3"/>
          <w:sz w:val="24"/>
          <w:szCs w:val="24"/>
        </w:rPr>
        <w:t>hm</w:t>
      </w:r>
      <w:r>
        <w:rPr>
          <w:rFonts w:ascii="Times New Roman" w:hAnsi="Times New Roman" w:eastAsia="Times New Roman" w:cs="Times New Roman"/>
          <w:spacing w:val="-3"/>
          <w:position w:val="10"/>
          <w:sz w:val="15"/>
          <w:szCs w:val="15"/>
        </w:rPr>
        <w:t>2</w:t>
      </w:r>
      <w:r>
        <w:rPr>
          <w:rFonts w:ascii="宋体" w:hAnsi="宋体" w:eastAsia="宋体" w:cs="宋体"/>
          <w:spacing w:val="-3"/>
          <w:sz w:val="24"/>
          <w:szCs w:val="24"/>
        </w:rPr>
        <w:t>之间，占地规模属于中型。建设项</w:t>
      </w:r>
      <w:r>
        <w:rPr>
          <w:rFonts w:ascii="宋体" w:hAnsi="宋体" w:eastAsia="宋体" w:cs="宋体"/>
          <w:spacing w:val="-2"/>
          <w:sz w:val="24"/>
          <w:szCs w:val="24"/>
        </w:rPr>
        <w:t>目所在地周边的土壤环境敏感程度分为敏感、较敏感、不敏感，判别依据如下。</w:t>
      </w:r>
    </w:p>
    <w:p w14:paraId="7B18631B">
      <w:pPr>
        <w:spacing w:before="17" w:line="221" w:lineRule="auto"/>
        <w:ind w:left="213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1.3-8  </w:t>
      </w:r>
      <w:r>
        <w:rPr>
          <w:rFonts w:ascii="黑体" w:hAnsi="黑体" w:eastAsia="黑体" w:cs="黑体"/>
          <w:spacing w:val="-1"/>
          <w:sz w:val="21"/>
          <w:szCs w:val="21"/>
        </w:rPr>
        <w:t>建设项目的土壤环境敏感程度分级表</w:t>
      </w:r>
    </w:p>
    <w:p w14:paraId="3B6B152B">
      <w:pPr>
        <w:spacing w:line="88" w:lineRule="exact"/>
      </w:pPr>
    </w:p>
    <w:tbl>
      <w:tblPr>
        <w:tblStyle w:val="5"/>
        <w:tblW w:w="8319"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0"/>
        <w:gridCol w:w="5578"/>
        <w:gridCol w:w="1741"/>
      </w:tblGrid>
      <w:tr w14:paraId="2F4C8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0" w:type="dxa"/>
            <w:tcBorders>
              <w:top w:val="single" w:color="000000" w:sz="2" w:space="0"/>
              <w:left w:val="single" w:color="000000" w:sz="2" w:space="0"/>
            </w:tcBorders>
            <w:vAlign w:val="top"/>
          </w:tcPr>
          <w:p w14:paraId="3B3F8D4A">
            <w:pPr>
              <w:spacing w:before="63" w:line="220" w:lineRule="auto"/>
              <w:ind w:left="82"/>
              <w:rPr>
                <w:rFonts w:ascii="宋体" w:hAnsi="宋体" w:eastAsia="宋体" w:cs="宋体"/>
                <w:sz w:val="21"/>
                <w:szCs w:val="21"/>
              </w:rPr>
            </w:pPr>
            <w:r>
              <w:rPr>
                <w:rFonts w:ascii="宋体" w:hAnsi="宋体" w:eastAsia="宋体" w:cs="宋体"/>
                <w:spacing w:val="-2"/>
                <w:sz w:val="21"/>
                <w:szCs w:val="21"/>
              </w:rPr>
              <w:t>敏感程度</w:t>
            </w:r>
          </w:p>
        </w:tc>
        <w:tc>
          <w:tcPr>
            <w:tcW w:w="5578" w:type="dxa"/>
            <w:tcBorders>
              <w:top w:val="single" w:color="000000" w:sz="2" w:space="0"/>
            </w:tcBorders>
            <w:vAlign w:val="top"/>
          </w:tcPr>
          <w:p w14:paraId="15B07B20">
            <w:pPr>
              <w:spacing w:before="63" w:line="220" w:lineRule="auto"/>
              <w:ind w:left="1848"/>
              <w:rPr>
                <w:rFonts w:ascii="宋体" w:hAnsi="宋体" w:eastAsia="宋体" w:cs="宋体"/>
                <w:sz w:val="21"/>
                <w:szCs w:val="21"/>
              </w:rPr>
            </w:pPr>
            <w:r>
              <w:rPr>
                <w:rFonts w:ascii="宋体" w:hAnsi="宋体" w:eastAsia="宋体" w:cs="宋体"/>
                <w:spacing w:val="-1"/>
                <w:sz w:val="21"/>
                <w:szCs w:val="21"/>
              </w:rPr>
              <w:t>地下水环境敏感特征</w:t>
            </w:r>
          </w:p>
        </w:tc>
        <w:tc>
          <w:tcPr>
            <w:tcW w:w="1741" w:type="dxa"/>
            <w:tcBorders>
              <w:top w:val="single" w:color="000000" w:sz="2" w:space="0"/>
            </w:tcBorders>
            <w:vAlign w:val="top"/>
          </w:tcPr>
          <w:p w14:paraId="55A973F2">
            <w:pPr>
              <w:spacing w:before="63" w:line="219" w:lineRule="auto"/>
              <w:ind w:left="349"/>
              <w:rPr>
                <w:rFonts w:ascii="宋体" w:hAnsi="宋体" w:eastAsia="宋体" w:cs="宋体"/>
                <w:sz w:val="21"/>
                <w:szCs w:val="21"/>
              </w:rPr>
            </w:pPr>
            <w:r>
              <w:rPr>
                <w:rFonts w:ascii="宋体" w:hAnsi="宋体" w:eastAsia="宋体" w:cs="宋体"/>
                <w:spacing w:val="-2"/>
                <w:sz w:val="21"/>
                <w:szCs w:val="21"/>
              </w:rPr>
              <w:t>本项目特征</w:t>
            </w:r>
          </w:p>
        </w:tc>
      </w:tr>
      <w:tr w14:paraId="54F0C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00" w:type="dxa"/>
            <w:tcBorders>
              <w:left w:val="single" w:color="000000" w:sz="2" w:space="0"/>
            </w:tcBorders>
            <w:vAlign w:val="top"/>
          </w:tcPr>
          <w:p w14:paraId="4A05155B">
            <w:pPr>
              <w:spacing w:before="205" w:line="220" w:lineRule="auto"/>
              <w:ind w:left="292"/>
              <w:rPr>
                <w:rFonts w:ascii="宋体" w:hAnsi="宋体" w:eastAsia="宋体" w:cs="宋体"/>
                <w:sz w:val="21"/>
                <w:szCs w:val="21"/>
              </w:rPr>
            </w:pPr>
            <w:r>
              <w:rPr>
                <w:rFonts w:ascii="宋体" w:hAnsi="宋体" w:eastAsia="宋体" w:cs="宋体"/>
                <w:spacing w:val="-3"/>
                <w:sz w:val="21"/>
                <w:szCs w:val="21"/>
              </w:rPr>
              <w:t>敏感</w:t>
            </w:r>
          </w:p>
        </w:tc>
        <w:tc>
          <w:tcPr>
            <w:tcW w:w="5578" w:type="dxa"/>
            <w:vAlign w:val="top"/>
          </w:tcPr>
          <w:p w14:paraId="29EF1862">
            <w:pPr>
              <w:spacing w:before="49" w:line="249" w:lineRule="auto"/>
              <w:ind w:left="24" w:hanging="13"/>
              <w:rPr>
                <w:rFonts w:ascii="宋体" w:hAnsi="宋体" w:eastAsia="宋体" w:cs="宋体"/>
                <w:sz w:val="21"/>
                <w:szCs w:val="21"/>
              </w:rPr>
            </w:pPr>
            <w:r>
              <w:rPr>
                <w:rFonts w:ascii="宋体" w:hAnsi="宋体" w:eastAsia="宋体" w:cs="宋体"/>
                <w:spacing w:val="-5"/>
                <w:sz w:val="21"/>
                <w:szCs w:val="21"/>
              </w:rPr>
              <w:t>建设项目周边存在</w:t>
            </w:r>
            <w:r>
              <w:rPr>
                <w:rFonts w:ascii="宋体" w:hAnsi="宋体" w:eastAsia="宋体" w:cs="宋体"/>
                <w:b/>
                <w:bCs/>
                <w:spacing w:val="-5"/>
                <w:sz w:val="21"/>
                <w:szCs w:val="21"/>
              </w:rPr>
              <w:t>耕地</w:t>
            </w:r>
            <w:r>
              <w:rPr>
                <w:rFonts w:ascii="宋体" w:hAnsi="宋体" w:eastAsia="宋体" w:cs="宋体"/>
                <w:spacing w:val="-5"/>
                <w:sz w:val="21"/>
                <w:szCs w:val="21"/>
              </w:rPr>
              <w:t>、园地、牧草地、</w:t>
            </w:r>
            <w:r>
              <w:rPr>
                <w:rFonts w:ascii="宋体" w:hAnsi="宋体" w:eastAsia="宋体" w:cs="宋体"/>
                <w:b/>
                <w:bCs/>
                <w:spacing w:val="-5"/>
                <w:sz w:val="21"/>
                <w:szCs w:val="21"/>
              </w:rPr>
              <w:t>饮用水水源地</w:t>
            </w:r>
            <w:r>
              <w:rPr>
                <w:rFonts w:ascii="宋体" w:hAnsi="宋体" w:eastAsia="宋体" w:cs="宋体"/>
                <w:spacing w:val="-5"/>
                <w:sz w:val="21"/>
                <w:szCs w:val="21"/>
              </w:rPr>
              <w:t>或居民</w:t>
            </w:r>
            <w:r>
              <w:rPr>
                <w:rFonts w:ascii="宋体" w:hAnsi="宋体" w:eastAsia="宋体" w:cs="宋体"/>
                <w:spacing w:val="-6"/>
                <w:sz w:val="21"/>
                <w:szCs w:val="21"/>
              </w:rPr>
              <w:t>区、学校、医院、疗养院、养老院等土壤环境敏感目标的。</w:t>
            </w:r>
          </w:p>
        </w:tc>
        <w:tc>
          <w:tcPr>
            <w:tcW w:w="1741" w:type="dxa"/>
            <w:vMerge w:val="restart"/>
            <w:tcBorders>
              <w:bottom w:val="nil"/>
            </w:tcBorders>
            <w:vAlign w:val="top"/>
          </w:tcPr>
          <w:p w14:paraId="7D8A3B87">
            <w:pPr>
              <w:spacing w:before="51" w:line="274" w:lineRule="auto"/>
              <w:ind w:left="14" w:right="4" w:firstLine="3"/>
              <w:jc w:val="both"/>
              <w:rPr>
                <w:rFonts w:ascii="宋体" w:hAnsi="宋体" w:eastAsia="宋体" w:cs="宋体"/>
                <w:sz w:val="21"/>
                <w:szCs w:val="21"/>
              </w:rPr>
            </w:pPr>
            <w:r>
              <w:rPr>
                <w:rFonts w:ascii="宋体" w:hAnsi="宋体" w:eastAsia="宋体" w:cs="宋体"/>
                <w:spacing w:val="27"/>
                <w:sz w:val="21"/>
                <w:szCs w:val="21"/>
              </w:rPr>
              <w:t>项目周边</w:t>
            </w:r>
            <w:r>
              <w:rPr>
                <w:rFonts w:ascii="宋体" w:hAnsi="宋体" w:eastAsia="宋体" w:cs="宋体"/>
                <w:spacing w:val="-56"/>
                <w:sz w:val="21"/>
                <w:szCs w:val="21"/>
              </w:rPr>
              <w:t xml:space="preserve"> </w:t>
            </w:r>
            <w:r>
              <w:rPr>
                <w:rFonts w:ascii="宋体" w:hAnsi="宋体" w:eastAsia="宋体" w:cs="宋体"/>
                <w:spacing w:val="27"/>
                <w:sz w:val="21"/>
                <w:szCs w:val="21"/>
              </w:rPr>
              <w:t>存在耕</w:t>
            </w:r>
            <w:r>
              <w:rPr>
                <w:rFonts w:ascii="宋体" w:hAnsi="宋体" w:eastAsia="宋体" w:cs="宋体"/>
                <w:spacing w:val="4"/>
                <w:sz w:val="21"/>
                <w:szCs w:val="21"/>
              </w:rPr>
              <w:t>地、饮用水水源地等土壤环境敏感目</w:t>
            </w:r>
            <w:r>
              <w:rPr>
                <w:rFonts w:ascii="宋体" w:hAnsi="宋体" w:eastAsia="宋体" w:cs="宋体"/>
                <w:spacing w:val="-10"/>
                <w:sz w:val="21"/>
                <w:szCs w:val="21"/>
              </w:rPr>
              <w:t>标。</w:t>
            </w:r>
          </w:p>
          <w:p w14:paraId="3E9C9404">
            <w:pPr>
              <w:spacing w:line="219" w:lineRule="auto"/>
              <w:ind w:left="34"/>
              <w:rPr>
                <w:rFonts w:ascii="宋体" w:hAnsi="宋体" w:eastAsia="宋体" w:cs="宋体"/>
                <w:sz w:val="21"/>
                <w:szCs w:val="21"/>
              </w:rPr>
            </w:pPr>
            <w:r>
              <w:rPr>
                <w:rFonts w:ascii="宋体" w:hAnsi="宋体" w:eastAsia="宋体" w:cs="宋体"/>
                <w:spacing w:val="-2"/>
                <w:sz w:val="21"/>
                <w:szCs w:val="21"/>
              </w:rPr>
              <w:t>敏感程度为</w:t>
            </w:r>
            <w:r>
              <w:rPr>
                <w:rFonts w:ascii="宋体" w:hAnsi="宋体" w:eastAsia="宋体" w:cs="宋体"/>
                <w:b/>
                <w:bCs/>
                <w:spacing w:val="-2"/>
                <w:sz w:val="21"/>
                <w:szCs w:val="21"/>
              </w:rPr>
              <w:t>敏感</w:t>
            </w:r>
            <w:r>
              <w:rPr>
                <w:rFonts w:ascii="宋体" w:hAnsi="宋体" w:eastAsia="宋体" w:cs="宋体"/>
                <w:spacing w:val="-2"/>
                <w:sz w:val="21"/>
                <w:szCs w:val="21"/>
              </w:rPr>
              <w:t>。</w:t>
            </w:r>
          </w:p>
        </w:tc>
      </w:tr>
      <w:tr w14:paraId="11B84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00" w:type="dxa"/>
            <w:tcBorders>
              <w:left w:val="single" w:color="000000" w:sz="2" w:space="0"/>
            </w:tcBorders>
            <w:vAlign w:val="top"/>
          </w:tcPr>
          <w:p w14:paraId="1AC6FF44">
            <w:pPr>
              <w:spacing w:before="66" w:line="220" w:lineRule="auto"/>
              <w:ind w:left="186"/>
              <w:rPr>
                <w:rFonts w:ascii="宋体" w:hAnsi="宋体" w:eastAsia="宋体" w:cs="宋体"/>
                <w:sz w:val="21"/>
                <w:szCs w:val="21"/>
              </w:rPr>
            </w:pPr>
            <w:r>
              <w:rPr>
                <w:rFonts w:ascii="宋体" w:hAnsi="宋体" w:eastAsia="宋体" w:cs="宋体"/>
                <w:spacing w:val="-2"/>
                <w:sz w:val="21"/>
                <w:szCs w:val="21"/>
              </w:rPr>
              <w:t>较敏感</w:t>
            </w:r>
          </w:p>
        </w:tc>
        <w:tc>
          <w:tcPr>
            <w:tcW w:w="5578" w:type="dxa"/>
            <w:vAlign w:val="top"/>
          </w:tcPr>
          <w:p w14:paraId="002AD74F">
            <w:pPr>
              <w:spacing w:before="66" w:line="220" w:lineRule="auto"/>
              <w:ind w:left="11"/>
              <w:rPr>
                <w:rFonts w:ascii="宋体" w:hAnsi="宋体" w:eastAsia="宋体" w:cs="宋体"/>
                <w:sz w:val="21"/>
                <w:szCs w:val="21"/>
              </w:rPr>
            </w:pPr>
            <w:r>
              <w:rPr>
                <w:rFonts w:ascii="宋体" w:hAnsi="宋体" w:eastAsia="宋体" w:cs="宋体"/>
                <w:spacing w:val="-2"/>
                <w:sz w:val="21"/>
                <w:szCs w:val="21"/>
              </w:rPr>
              <w:t>建设项目周边存在其他土壤环境敏感目标的。</w:t>
            </w:r>
          </w:p>
        </w:tc>
        <w:tc>
          <w:tcPr>
            <w:tcW w:w="1741" w:type="dxa"/>
            <w:vMerge w:val="continue"/>
            <w:tcBorders>
              <w:top w:val="nil"/>
              <w:bottom w:val="nil"/>
            </w:tcBorders>
            <w:vAlign w:val="top"/>
          </w:tcPr>
          <w:p w14:paraId="77BDB13D">
            <w:pPr>
              <w:rPr>
                <w:rFonts w:ascii="Arial"/>
                <w:sz w:val="21"/>
              </w:rPr>
            </w:pPr>
          </w:p>
        </w:tc>
      </w:tr>
      <w:tr w14:paraId="18202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000" w:type="dxa"/>
            <w:tcBorders>
              <w:left w:val="single" w:color="000000" w:sz="2" w:space="0"/>
              <w:bottom w:val="single" w:color="000000" w:sz="2" w:space="0"/>
            </w:tcBorders>
            <w:vAlign w:val="top"/>
          </w:tcPr>
          <w:p w14:paraId="438A0702">
            <w:pPr>
              <w:spacing w:before="181" w:line="220" w:lineRule="auto"/>
              <w:ind w:left="190"/>
              <w:rPr>
                <w:rFonts w:ascii="宋体" w:hAnsi="宋体" w:eastAsia="宋体" w:cs="宋体"/>
                <w:sz w:val="21"/>
                <w:szCs w:val="21"/>
              </w:rPr>
            </w:pPr>
            <w:r>
              <w:rPr>
                <w:rFonts w:ascii="宋体" w:hAnsi="宋体" w:eastAsia="宋体" w:cs="宋体"/>
                <w:spacing w:val="-3"/>
                <w:sz w:val="21"/>
                <w:szCs w:val="21"/>
              </w:rPr>
              <w:t>不敏感</w:t>
            </w:r>
          </w:p>
        </w:tc>
        <w:tc>
          <w:tcPr>
            <w:tcW w:w="5578" w:type="dxa"/>
            <w:tcBorders>
              <w:bottom w:val="single" w:color="000000" w:sz="2" w:space="0"/>
            </w:tcBorders>
            <w:vAlign w:val="top"/>
          </w:tcPr>
          <w:p w14:paraId="242879A0">
            <w:pPr>
              <w:spacing w:before="182" w:line="220" w:lineRule="auto"/>
              <w:ind w:left="9"/>
              <w:rPr>
                <w:rFonts w:ascii="宋体" w:hAnsi="宋体" w:eastAsia="宋体" w:cs="宋体"/>
                <w:sz w:val="21"/>
                <w:szCs w:val="21"/>
              </w:rPr>
            </w:pPr>
            <w:r>
              <w:rPr>
                <w:rFonts w:ascii="宋体" w:hAnsi="宋体" w:eastAsia="宋体" w:cs="宋体"/>
                <w:spacing w:val="-7"/>
                <w:sz w:val="21"/>
                <w:szCs w:val="21"/>
              </w:rPr>
              <w:t>其他情况。</w:t>
            </w:r>
          </w:p>
        </w:tc>
        <w:tc>
          <w:tcPr>
            <w:tcW w:w="1741" w:type="dxa"/>
            <w:vMerge w:val="continue"/>
            <w:tcBorders>
              <w:top w:val="nil"/>
            </w:tcBorders>
            <w:vAlign w:val="top"/>
          </w:tcPr>
          <w:p w14:paraId="1F2A7FE3">
            <w:pPr>
              <w:rPr>
                <w:rFonts w:ascii="Arial"/>
                <w:sz w:val="21"/>
              </w:rPr>
            </w:pPr>
          </w:p>
        </w:tc>
      </w:tr>
    </w:tbl>
    <w:p w14:paraId="7B4D468A">
      <w:pPr>
        <w:spacing w:before="234" w:line="361" w:lineRule="auto"/>
        <w:ind w:left="41" w:right="83" w:firstLine="478"/>
        <w:jc w:val="both"/>
        <w:rPr>
          <w:rFonts w:ascii="宋体" w:hAnsi="宋体" w:eastAsia="宋体" w:cs="宋体"/>
          <w:sz w:val="24"/>
          <w:szCs w:val="24"/>
        </w:rPr>
      </w:pPr>
      <w:r>
        <w:rPr>
          <w:rFonts w:ascii="宋体" w:hAnsi="宋体" w:eastAsia="宋体" w:cs="宋体"/>
          <w:sz w:val="24"/>
          <w:szCs w:val="24"/>
        </w:rPr>
        <w:t>根据《环境影响评价技术导则 土壤环境（试行）》（</w:t>
      </w:r>
      <w:r>
        <w:rPr>
          <w:rFonts w:ascii="Times New Roman" w:hAnsi="Times New Roman" w:eastAsia="Times New Roman" w:cs="Times New Roman"/>
          <w:sz w:val="24"/>
          <w:szCs w:val="24"/>
        </w:rPr>
        <w:t>HJ964-2018</w:t>
      </w:r>
      <w:r>
        <w:rPr>
          <w:rFonts w:ascii="宋体" w:hAnsi="宋体" w:eastAsia="宋体" w:cs="宋体"/>
          <w:sz w:val="24"/>
          <w:szCs w:val="24"/>
        </w:rPr>
        <w:t>）关于划</w:t>
      </w:r>
      <w:r>
        <w:rPr>
          <w:rFonts w:ascii="宋体" w:hAnsi="宋体" w:eastAsia="宋体" w:cs="宋体"/>
          <w:spacing w:val="-3"/>
          <w:sz w:val="24"/>
          <w:szCs w:val="24"/>
        </w:rPr>
        <w:t>分土壤环境影响评价工作等级规定，以及本项目实际情况，本项目土壤评价工作</w:t>
      </w:r>
      <w:r>
        <w:rPr>
          <w:rFonts w:ascii="宋体" w:hAnsi="宋体" w:eastAsia="宋体" w:cs="宋体"/>
          <w:spacing w:val="-2"/>
          <w:sz w:val="24"/>
          <w:szCs w:val="24"/>
        </w:rPr>
        <w:t>等级划分见下表，确定本项目土壤环境评价工作等级为二级。</w:t>
      </w:r>
    </w:p>
    <w:p w14:paraId="32A61B78">
      <w:pPr>
        <w:spacing w:before="10" w:line="221" w:lineRule="auto"/>
        <w:ind w:left="203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1.3-9  </w:t>
      </w:r>
      <w:r>
        <w:rPr>
          <w:rFonts w:ascii="黑体" w:hAnsi="黑体" w:eastAsia="黑体" w:cs="黑体"/>
          <w:spacing w:val="-1"/>
          <w:sz w:val="21"/>
          <w:szCs w:val="21"/>
        </w:rPr>
        <w:t>项目土壤环境影响评价工作等级分级表</w:t>
      </w:r>
    </w:p>
    <w:p w14:paraId="75A0AB4D">
      <w:pPr>
        <w:spacing w:line="89"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690"/>
        <w:gridCol w:w="690"/>
        <w:gridCol w:w="697"/>
        <w:gridCol w:w="687"/>
        <w:gridCol w:w="692"/>
        <w:gridCol w:w="694"/>
        <w:gridCol w:w="687"/>
        <w:gridCol w:w="692"/>
        <w:gridCol w:w="687"/>
      </w:tblGrid>
      <w:tr w14:paraId="472E7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096" w:type="dxa"/>
            <w:vMerge w:val="restart"/>
            <w:tcBorders>
              <w:bottom w:val="nil"/>
              <w:tl2br w:val="single" w:color="000000" w:sz="2" w:space="0"/>
            </w:tcBorders>
            <w:vAlign w:val="top"/>
          </w:tcPr>
          <w:p w14:paraId="7AA3A8B0">
            <w:pPr>
              <w:spacing w:before="81" w:line="261" w:lineRule="auto"/>
              <w:ind w:left="8" w:right="1" w:firstLine="1282"/>
              <w:rPr>
                <w:rFonts w:ascii="宋体" w:hAnsi="宋体" w:eastAsia="宋体" w:cs="宋体"/>
                <w:sz w:val="21"/>
                <w:szCs w:val="21"/>
              </w:rPr>
            </w:pPr>
            <w:r>
              <w:rPr>
                <w:rFonts w:ascii="宋体" w:hAnsi="宋体" w:eastAsia="宋体" w:cs="宋体"/>
                <w:spacing w:val="-11"/>
                <w:sz w:val="21"/>
                <w:szCs w:val="21"/>
              </w:rPr>
              <w:t>占地规模</w:t>
            </w:r>
            <w:r>
              <w:rPr>
                <w:rFonts w:ascii="宋体" w:hAnsi="宋体" w:eastAsia="宋体" w:cs="宋体"/>
                <w:spacing w:val="-2"/>
                <w:sz w:val="21"/>
                <w:szCs w:val="21"/>
              </w:rPr>
              <w:t>敏感程度</w:t>
            </w:r>
          </w:p>
        </w:tc>
        <w:tc>
          <w:tcPr>
            <w:tcW w:w="2077" w:type="dxa"/>
            <w:gridSpan w:val="3"/>
            <w:vAlign w:val="top"/>
          </w:tcPr>
          <w:p w14:paraId="62348DD0">
            <w:pPr>
              <w:spacing w:before="63" w:line="220" w:lineRule="auto"/>
              <w:ind w:left="890"/>
              <w:rPr>
                <w:rFonts w:ascii="宋体" w:hAnsi="宋体" w:eastAsia="宋体" w:cs="宋体"/>
                <w:sz w:val="21"/>
                <w:szCs w:val="21"/>
              </w:rPr>
            </w:pPr>
            <w:r>
              <w:rPr>
                <w:rFonts w:ascii="宋体" w:hAnsi="宋体" w:eastAsia="宋体" w:cs="宋体"/>
                <w:spacing w:val="-20"/>
                <w:sz w:val="21"/>
                <w:szCs w:val="21"/>
              </w:rPr>
              <w:t>Ⅰ类</w:t>
            </w:r>
          </w:p>
        </w:tc>
        <w:tc>
          <w:tcPr>
            <w:tcW w:w="2073" w:type="dxa"/>
            <w:gridSpan w:val="3"/>
            <w:vAlign w:val="top"/>
          </w:tcPr>
          <w:p w14:paraId="436768B1">
            <w:pPr>
              <w:spacing w:before="63" w:line="220" w:lineRule="auto"/>
              <w:ind w:left="865"/>
              <w:rPr>
                <w:rFonts w:ascii="宋体" w:hAnsi="宋体" w:eastAsia="宋体" w:cs="宋体"/>
                <w:sz w:val="21"/>
                <w:szCs w:val="21"/>
              </w:rPr>
            </w:pPr>
            <w:r>
              <w:rPr>
                <w:rFonts w:ascii="宋体" w:hAnsi="宋体" w:eastAsia="宋体" w:cs="宋体"/>
                <w:b/>
                <w:bCs/>
                <w:spacing w:val="-13"/>
                <w:sz w:val="21"/>
                <w:szCs w:val="21"/>
              </w:rPr>
              <w:t>Ⅱ类</w:t>
            </w:r>
          </w:p>
        </w:tc>
        <w:tc>
          <w:tcPr>
            <w:tcW w:w="2066" w:type="dxa"/>
            <w:gridSpan w:val="3"/>
            <w:vAlign w:val="top"/>
          </w:tcPr>
          <w:p w14:paraId="19E823EB">
            <w:pPr>
              <w:spacing w:before="63" w:line="220" w:lineRule="auto"/>
              <w:ind w:left="817"/>
              <w:rPr>
                <w:rFonts w:ascii="宋体" w:hAnsi="宋体" w:eastAsia="宋体" w:cs="宋体"/>
                <w:sz w:val="21"/>
                <w:szCs w:val="21"/>
              </w:rPr>
            </w:pPr>
            <w:r>
              <w:rPr>
                <w:rFonts w:ascii="宋体" w:hAnsi="宋体" w:eastAsia="宋体" w:cs="宋体"/>
                <w:spacing w:val="-2"/>
                <w:sz w:val="21"/>
                <w:szCs w:val="21"/>
              </w:rPr>
              <w:t>Ⅲ类</w:t>
            </w:r>
          </w:p>
        </w:tc>
      </w:tr>
      <w:tr w14:paraId="1F0B3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96" w:type="dxa"/>
            <w:vMerge w:val="continue"/>
            <w:tcBorders>
              <w:top w:val="nil"/>
              <w:tl2br w:val="single" w:color="000000" w:sz="2" w:space="0"/>
            </w:tcBorders>
            <w:vAlign w:val="top"/>
          </w:tcPr>
          <w:p w14:paraId="5FE76427">
            <w:pPr>
              <w:rPr>
                <w:rFonts w:ascii="Arial"/>
                <w:sz w:val="21"/>
              </w:rPr>
            </w:pPr>
          </w:p>
        </w:tc>
        <w:tc>
          <w:tcPr>
            <w:tcW w:w="690" w:type="dxa"/>
            <w:vAlign w:val="top"/>
          </w:tcPr>
          <w:p w14:paraId="28B9C409">
            <w:pPr>
              <w:spacing w:before="63" w:line="220" w:lineRule="auto"/>
              <w:ind w:left="244"/>
              <w:rPr>
                <w:rFonts w:ascii="宋体" w:hAnsi="宋体" w:eastAsia="宋体" w:cs="宋体"/>
                <w:sz w:val="21"/>
                <w:szCs w:val="21"/>
              </w:rPr>
            </w:pPr>
            <w:r>
              <w:rPr>
                <w:rFonts w:ascii="宋体" w:hAnsi="宋体" w:eastAsia="宋体" w:cs="宋体"/>
                <w:sz w:val="21"/>
                <w:szCs w:val="21"/>
              </w:rPr>
              <w:t>大</w:t>
            </w:r>
          </w:p>
        </w:tc>
        <w:tc>
          <w:tcPr>
            <w:tcW w:w="690" w:type="dxa"/>
            <w:vAlign w:val="top"/>
          </w:tcPr>
          <w:p w14:paraId="4F0C919B">
            <w:pPr>
              <w:spacing w:before="63" w:line="220" w:lineRule="auto"/>
              <w:ind w:left="262"/>
              <w:rPr>
                <w:rFonts w:ascii="宋体" w:hAnsi="宋体" w:eastAsia="宋体" w:cs="宋体"/>
                <w:sz w:val="21"/>
                <w:szCs w:val="21"/>
              </w:rPr>
            </w:pPr>
            <w:r>
              <w:rPr>
                <w:rFonts w:ascii="宋体" w:hAnsi="宋体" w:eastAsia="宋体" w:cs="宋体"/>
                <w:sz w:val="21"/>
                <w:szCs w:val="21"/>
              </w:rPr>
              <w:t>中</w:t>
            </w:r>
          </w:p>
        </w:tc>
        <w:tc>
          <w:tcPr>
            <w:tcW w:w="697" w:type="dxa"/>
            <w:vAlign w:val="top"/>
          </w:tcPr>
          <w:p w14:paraId="5F1B5897">
            <w:pPr>
              <w:spacing w:before="62" w:line="222" w:lineRule="auto"/>
              <w:ind w:left="251"/>
              <w:rPr>
                <w:rFonts w:ascii="宋体" w:hAnsi="宋体" w:eastAsia="宋体" w:cs="宋体"/>
                <w:sz w:val="21"/>
                <w:szCs w:val="21"/>
              </w:rPr>
            </w:pPr>
            <w:r>
              <w:rPr>
                <w:rFonts w:ascii="宋体" w:hAnsi="宋体" w:eastAsia="宋体" w:cs="宋体"/>
                <w:sz w:val="21"/>
                <w:szCs w:val="21"/>
              </w:rPr>
              <w:t>小</w:t>
            </w:r>
          </w:p>
        </w:tc>
        <w:tc>
          <w:tcPr>
            <w:tcW w:w="687" w:type="dxa"/>
            <w:vAlign w:val="top"/>
          </w:tcPr>
          <w:p w14:paraId="31C92AAD">
            <w:pPr>
              <w:spacing w:before="63" w:line="220" w:lineRule="auto"/>
              <w:ind w:left="242"/>
              <w:rPr>
                <w:rFonts w:ascii="宋体" w:hAnsi="宋体" w:eastAsia="宋体" w:cs="宋体"/>
                <w:sz w:val="21"/>
                <w:szCs w:val="21"/>
              </w:rPr>
            </w:pPr>
            <w:r>
              <w:rPr>
                <w:rFonts w:ascii="宋体" w:hAnsi="宋体" w:eastAsia="宋体" w:cs="宋体"/>
                <w:sz w:val="21"/>
                <w:szCs w:val="21"/>
              </w:rPr>
              <w:t>大</w:t>
            </w:r>
          </w:p>
        </w:tc>
        <w:tc>
          <w:tcPr>
            <w:tcW w:w="692" w:type="dxa"/>
            <w:vAlign w:val="top"/>
          </w:tcPr>
          <w:p w14:paraId="0F19E35C">
            <w:pPr>
              <w:spacing w:before="63" w:line="220" w:lineRule="auto"/>
              <w:ind w:left="262"/>
              <w:rPr>
                <w:rFonts w:ascii="宋体" w:hAnsi="宋体" w:eastAsia="宋体" w:cs="宋体"/>
                <w:sz w:val="21"/>
                <w:szCs w:val="21"/>
              </w:rPr>
            </w:pPr>
            <w:r>
              <w:rPr>
                <w:rFonts w:ascii="宋体" w:hAnsi="宋体" w:eastAsia="宋体" w:cs="宋体"/>
                <w:b/>
                <w:bCs/>
                <w:spacing w:val="-3"/>
                <w:sz w:val="21"/>
                <w:szCs w:val="21"/>
              </w:rPr>
              <w:t>中</w:t>
            </w:r>
          </w:p>
        </w:tc>
        <w:tc>
          <w:tcPr>
            <w:tcW w:w="694" w:type="dxa"/>
            <w:vAlign w:val="top"/>
          </w:tcPr>
          <w:p w14:paraId="1BAEF015">
            <w:pPr>
              <w:spacing w:before="62" w:line="222" w:lineRule="auto"/>
              <w:ind w:left="251"/>
              <w:rPr>
                <w:rFonts w:ascii="宋体" w:hAnsi="宋体" w:eastAsia="宋体" w:cs="宋体"/>
                <w:sz w:val="21"/>
                <w:szCs w:val="21"/>
              </w:rPr>
            </w:pPr>
            <w:r>
              <w:rPr>
                <w:rFonts w:ascii="宋体" w:hAnsi="宋体" w:eastAsia="宋体" w:cs="宋体"/>
                <w:sz w:val="21"/>
                <w:szCs w:val="21"/>
              </w:rPr>
              <w:t>小</w:t>
            </w:r>
          </w:p>
        </w:tc>
        <w:tc>
          <w:tcPr>
            <w:tcW w:w="687" w:type="dxa"/>
            <w:vAlign w:val="top"/>
          </w:tcPr>
          <w:p w14:paraId="333CD2AA">
            <w:pPr>
              <w:spacing w:before="63" w:line="220" w:lineRule="auto"/>
              <w:ind w:left="244"/>
              <w:rPr>
                <w:rFonts w:ascii="宋体" w:hAnsi="宋体" w:eastAsia="宋体" w:cs="宋体"/>
                <w:sz w:val="21"/>
                <w:szCs w:val="21"/>
              </w:rPr>
            </w:pPr>
            <w:r>
              <w:rPr>
                <w:rFonts w:ascii="宋体" w:hAnsi="宋体" w:eastAsia="宋体" w:cs="宋体"/>
                <w:sz w:val="21"/>
                <w:szCs w:val="21"/>
              </w:rPr>
              <w:t>大</w:t>
            </w:r>
          </w:p>
        </w:tc>
        <w:tc>
          <w:tcPr>
            <w:tcW w:w="692" w:type="dxa"/>
            <w:vAlign w:val="top"/>
          </w:tcPr>
          <w:p w14:paraId="390D6BC1">
            <w:pPr>
              <w:spacing w:before="63" w:line="220" w:lineRule="auto"/>
              <w:ind w:left="265"/>
              <w:rPr>
                <w:rFonts w:ascii="宋体" w:hAnsi="宋体" w:eastAsia="宋体" w:cs="宋体"/>
                <w:sz w:val="21"/>
                <w:szCs w:val="21"/>
              </w:rPr>
            </w:pPr>
            <w:r>
              <w:rPr>
                <w:rFonts w:ascii="宋体" w:hAnsi="宋体" w:eastAsia="宋体" w:cs="宋体"/>
                <w:sz w:val="21"/>
                <w:szCs w:val="21"/>
              </w:rPr>
              <w:t>中</w:t>
            </w:r>
          </w:p>
        </w:tc>
        <w:tc>
          <w:tcPr>
            <w:tcW w:w="687" w:type="dxa"/>
            <w:vAlign w:val="top"/>
          </w:tcPr>
          <w:p w14:paraId="4FFDD643">
            <w:pPr>
              <w:spacing w:before="62" w:line="222" w:lineRule="auto"/>
              <w:ind w:left="248"/>
              <w:rPr>
                <w:rFonts w:ascii="宋体" w:hAnsi="宋体" w:eastAsia="宋体" w:cs="宋体"/>
                <w:sz w:val="21"/>
                <w:szCs w:val="21"/>
              </w:rPr>
            </w:pPr>
            <w:r>
              <w:rPr>
                <w:rFonts w:ascii="宋体" w:hAnsi="宋体" w:eastAsia="宋体" w:cs="宋体"/>
                <w:sz w:val="21"/>
                <w:szCs w:val="21"/>
              </w:rPr>
              <w:t>小</w:t>
            </w:r>
          </w:p>
        </w:tc>
      </w:tr>
      <w:tr w14:paraId="08E81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96" w:type="dxa"/>
            <w:vAlign w:val="top"/>
          </w:tcPr>
          <w:p w14:paraId="1A11F385">
            <w:pPr>
              <w:spacing w:before="63" w:line="220" w:lineRule="auto"/>
              <w:ind w:left="842"/>
              <w:rPr>
                <w:rFonts w:ascii="宋体" w:hAnsi="宋体" w:eastAsia="宋体" w:cs="宋体"/>
                <w:sz w:val="21"/>
                <w:szCs w:val="21"/>
              </w:rPr>
            </w:pPr>
            <w:r>
              <w:rPr>
                <w:rFonts w:ascii="宋体" w:hAnsi="宋体" w:eastAsia="宋体" w:cs="宋体"/>
                <w:b/>
                <w:bCs/>
                <w:spacing w:val="-5"/>
                <w:sz w:val="21"/>
                <w:szCs w:val="21"/>
              </w:rPr>
              <w:t>敏感</w:t>
            </w:r>
          </w:p>
        </w:tc>
        <w:tc>
          <w:tcPr>
            <w:tcW w:w="690" w:type="dxa"/>
            <w:vAlign w:val="top"/>
          </w:tcPr>
          <w:p w14:paraId="52CEBD05">
            <w:pPr>
              <w:spacing w:before="63" w:line="222" w:lineRule="auto"/>
              <w:ind w:left="141"/>
              <w:rPr>
                <w:rFonts w:ascii="宋体" w:hAnsi="宋体" w:eastAsia="宋体" w:cs="宋体"/>
                <w:sz w:val="21"/>
                <w:szCs w:val="21"/>
              </w:rPr>
            </w:pPr>
            <w:r>
              <w:rPr>
                <w:rFonts w:ascii="宋体" w:hAnsi="宋体" w:eastAsia="宋体" w:cs="宋体"/>
                <w:spacing w:val="-6"/>
                <w:sz w:val="21"/>
                <w:szCs w:val="21"/>
              </w:rPr>
              <w:t>一级</w:t>
            </w:r>
          </w:p>
        </w:tc>
        <w:tc>
          <w:tcPr>
            <w:tcW w:w="690" w:type="dxa"/>
            <w:vAlign w:val="top"/>
          </w:tcPr>
          <w:p w14:paraId="5B53C4CA">
            <w:pPr>
              <w:spacing w:before="63" w:line="222" w:lineRule="auto"/>
              <w:ind w:left="140"/>
              <w:rPr>
                <w:rFonts w:ascii="宋体" w:hAnsi="宋体" w:eastAsia="宋体" w:cs="宋体"/>
                <w:sz w:val="21"/>
                <w:szCs w:val="21"/>
              </w:rPr>
            </w:pPr>
            <w:r>
              <w:rPr>
                <w:rFonts w:ascii="宋体" w:hAnsi="宋体" w:eastAsia="宋体" w:cs="宋体"/>
                <w:spacing w:val="-6"/>
                <w:sz w:val="21"/>
                <w:szCs w:val="21"/>
              </w:rPr>
              <w:t>一级</w:t>
            </w:r>
          </w:p>
        </w:tc>
        <w:tc>
          <w:tcPr>
            <w:tcW w:w="697" w:type="dxa"/>
            <w:vAlign w:val="top"/>
          </w:tcPr>
          <w:p w14:paraId="7B32AEC4">
            <w:pPr>
              <w:spacing w:before="63" w:line="222" w:lineRule="auto"/>
              <w:ind w:left="143"/>
              <w:rPr>
                <w:rFonts w:ascii="宋体" w:hAnsi="宋体" w:eastAsia="宋体" w:cs="宋体"/>
                <w:sz w:val="21"/>
                <w:szCs w:val="21"/>
              </w:rPr>
            </w:pPr>
            <w:r>
              <w:rPr>
                <w:rFonts w:ascii="宋体" w:hAnsi="宋体" w:eastAsia="宋体" w:cs="宋体"/>
                <w:spacing w:val="-6"/>
                <w:sz w:val="21"/>
                <w:szCs w:val="21"/>
              </w:rPr>
              <w:t>一级</w:t>
            </w:r>
          </w:p>
        </w:tc>
        <w:tc>
          <w:tcPr>
            <w:tcW w:w="687" w:type="dxa"/>
            <w:vAlign w:val="top"/>
          </w:tcPr>
          <w:p w14:paraId="7E4622BA">
            <w:pPr>
              <w:spacing w:before="63" w:line="222" w:lineRule="auto"/>
              <w:ind w:left="139"/>
              <w:rPr>
                <w:rFonts w:ascii="宋体" w:hAnsi="宋体" w:eastAsia="宋体" w:cs="宋体"/>
                <w:sz w:val="21"/>
                <w:szCs w:val="21"/>
              </w:rPr>
            </w:pPr>
            <w:r>
              <w:rPr>
                <w:rFonts w:ascii="宋体" w:hAnsi="宋体" w:eastAsia="宋体" w:cs="宋体"/>
                <w:spacing w:val="-3"/>
                <w:sz w:val="21"/>
                <w:szCs w:val="21"/>
              </w:rPr>
              <w:t>二级</w:t>
            </w:r>
          </w:p>
        </w:tc>
        <w:tc>
          <w:tcPr>
            <w:tcW w:w="692" w:type="dxa"/>
            <w:shd w:val="clear" w:color="auto" w:fill="92D050"/>
            <w:vAlign w:val="top"/>
          </w:tcPr>
          <w:p w14:paraId="55E1F977">
            <w:pPr>
              <w:spacing w:before="63" w:line="222" w:lineRule="auto"/>
              <w:ind w:left="142"/>
              <w:rPr>
                <w:rFonts w:ascii="宋体" w:hAnsi="宋体" w:eastAsia="宋体" w:cs="宋体"/>
                <w:sz w:val="21"/>
                <w:szCs w:val="21"/>
              </w:rPr>
            </w:pPr>
            <w:r>
              <w:rPr>
                <w:rFonts w:ascii="宋体" w:hAnsi="宋体" w:eastAsia="宋体" w:cs="宋体"/>
                <w:b/>
                <w:bCs/>
                <w:spacing w:val="-5"/>
                <w:sz w:val="21"/>
                <w:szCs w:val="21"/>
              </w:rPr>
              <w:t>二级</w:t>
            </w:r>
          </w:p>
        </w:tc>
        <w:tc>
          <w:tcPr>
            <w:tcW w:w="694" w:type="dxa"/>
            <w:vAlign w:val="top"/>
          </w:tcPr>
          <w:p w14:paraId="22E08BFA">
            <w:pPr>
              <w:spacing w:before="63" w:line="222" w:lineRule="auto"/>
              <w:ind w:left="143"/>
              <w:rPr>
                <w:rFonts w:ascii="宋体" w:hAnsi="宋体" w:eastAsia="宋体" w:cs="宋体"/>
                <w:sz w:val="21"/>
                <w:szCs w:val="21"/>
              </w:rPr>
            </w:pPr>
            <w:r>
              <w:rPr>
                <w:rFonts w:ascii="宋体" w:hAnsi="宋体" w:eastAsia="宋体" w:cs="宋体"/>
                <w:spacing w:val="-3"/>
                <w:sz w:val="21"/>
                <w:szCs w:val="21"/>
              </w:rPr>
              <w:t>二级</w:t>
            </w:r>
          </w:p>
        </w:tc>
        <w:tc>
          <w:tcPr>
            <w:tcW w:w="687" w:type="dxa"/>
            <w:vAlign w:val="top"/>
          </w:tcPr>
          <w:p w14:paraId="172C8E27">
            <w:pPr>
              <w:spacing w:before="63" w:line="222" w:lineRule="auto"/>
              <w:ind w:left="137"/>
              <w:rPr>
                <w:rFonts w:ascii="宋体" w:hAnsi="宋体" w:eastAsia="宋体" w:cs="宋体"/>
                <w:sz w:val="21"/>
                <w:szCs w:val="21"/>
              </w:rPr>
            </w:pPr>
            <w:r>
              <w:rPr>
                <w:rFonts w:ascii="宋体" w:hAnsi="宋体" w:eastAsia="宋体" w:cs="宋体"/>
                <w:spacing w:val="-3"/>
                <w:sz w:val="21"/>
                <w:szCs w:val="21"/>
              </w:rPr>
              <w:t>三级</w:t>
            </w:r>
          </w:p>
        </w:tc>
        <w:tc>
          <w:tcPr>
            <w:tcW w:w="692" w:type="dxa"/>
            <w:vAlign w:val="top"/>
          </w:tcPr>
          <w:p w14:paraId="5AC04025">
            <w:pPr>
              <w:spacing w:before="63" w:line="222" w:lineRule="auto"/>
              <w:ind w:left="140"/>
              <w:rPr>
                <w:rFonts w:ascii="宋体" w:hAnsi="宋体" w:eastAsia="宋体" w:cs="宋体"/>
                <w:sz w:val="21"/>
                <w:szCs w:val="21"/>
              </w:rPr>
            </w:pPr>
            <w:r>
              <w:rPr>
                <w:rFonts w:ascii="宋体" w:hAnsi="宋体" w:eastAsia="宋体" w:cs="宋体"/>
                <w:spacing w:val="-3"/>
                <w:sz w:val="21"/>
                <w:szCs w:val="21"/>
              </w:rPr>
              <w:t>三级</w:t>
            </w:r>
          </w:p>
        </w:tc>
        <w:tc>
          <w:tcPr>
            <w:tcW w:w="687" w:type="dxa"/>
            <w:vAlign w:val="top"/>
          </w:tcPr>
          <w:p w14:paraId="73380F81">
            <w:pPr>
              <w:spacing w:before="63" w:line="222" w:lineRule="auto"/>
              <w:ind w:left="137"/>
              <w:rPr>
                <w:rFonts w:ascii="宋体" w:hAnsi="宋体" w:eastAsia="宋体" w:cs="宋体"/>
                <w:sz w:val="21"/>
                <w:szCs w:val="21"/>
              </w:rPr>
            </w:pPr>
            <w:r>
              <w:rPr>
                <w:rFonts w:ascii="宋体" w:hAnsi="宋体" w:eastAsia="宋体" w:cs="宋体"/>
                <w:spacing w:val="-3"/>
                <w:sz w:val="21"/>
                <w:szCs w:val="21"/>
              </w:rPr>
              <w:t>三级</w:t>
            </w:r>
          </w:p>
        </w:tc>
      </w:tr>
      <w:tr w14:paraId="3A550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096" w:type="dxa"/>
            <w:vAlign w:val="top"/>
          </w:tcPr>
          <w:p w14:paraId="0353A2DD">
            <w:pPr>
              <w:spacing w:before="64" w:line="220" w:lineRule="auto"/>
              <w:ind w:left="737"/>
              <w:rPr>
                <w:rFonts w:ascii="宋体" w:hAnsi="宋体" w:eastAsia="宋体" w:cs="宋体"/>
                <w:sz w:val="21"/>
                <w:szCs w:val="21"/>
              </w:rPr>
            </w:pPr>
            <w:r>
              <w:rPr>
                <w:rFonts w:ascii="宋体" w:hAnsi="宋体" w:eastAsia="宋体" w:cs="宋体"/>
                <w:spacing w:val="-2"/>
                <w:sz w:val="21"/>
                <w:szCs w:val="21"/>
              </w:rPr>
              <w:t>较敏感</w:t>
            </w:r>
          </w:p>
        </w:tc>
        <w:tc>
          <w:tcPr>
            <w:tcW w:w="690" w:type="dxa"/>
            <w:vAlign w:val="top"/>
          </w:tcPr>
          <w:p w14:paraId="28858161">
            <w:pPr>
              <w:spacing w:before="64" w:line="222" w:lineRule="auto"/>
              <w:ind w:left="141"/>
              <w:rPr>
                <w:rFonts w:ascii="宋体" w:hAnsi="宋体" w:eastAsia="宋体" w:cs="宋体"/>
                <w:sz w:val="21"/>
                <w:szCs w:val="21"/>
              </w:rPr>
            </w:pPr>
            <w:r>
              <w:rPr>
                <w:rFonts w:ascii="宋体" w:hAnsi="宋体" w:eastAsia="宋体" w:cs="宋体"/>
                <w:spacing w:val="-6"/>
                <w:sz w:val="21"/>
                <w:szCs w:val="21"/>
              </w:rPr>
              <w:t>一级</w:t>
            </w:r>
          </w:p>
        </w:tc>
        <w:tc>
          <w:tcPr>
            <w:tcW w:w="690" w:type="dxa"/>
            <w:vAlign w:val="top"/>
          </w:tcPr>
          <w:p w14:paraId="1740AE46">
            <w:pPr>
              <w:spacing w:before="64" w:line="222" w:lineRule="auto"/>
              <w:ind w:left="140"/>
              <w:rPr>
                <w:rFonts w:ascii="宋体" w:hAnsi="宋体" w:eastAsia="宋体" w:cs="宋体"/>
                <w:sz w:val="21"/>
                <w:szCs w:val="21"/>
              </w:rPr>
            </w:pPr>
            <w:r>
              <w:rPr>
                <w:rFonts w:ascii="宋体" w:hAnsi="宋体" w:eastAsia="宋体" w:cs="宋体"/>
                <w:spacing w:val="-6"/>
                <w:sz w:val="21"/>
                <w:szCs w:val="21"/>
              </w:rPr>
              <w:t>一级</w:t>
            </w:r>
          </w:p>
        </w:tc>
        <w:tc>
          <w:tcPr>
            <w:tcW w:w="697" w:type="dxa"/>
            <w:vAlign w:val="top"/>
          </w:tcPr>
          <w:p w14:paraId="624B5525">
            <w:pPr>
              <w:spacing w:before="64" w:line="222" w:lineRule="auto"/>
              <w:ind w:left="143"/>
              <w:rPr>
                <w:rFonts w:ascii="宋体" w:hAnsi="宋体" w:eastAsia="宋体" w:cs="宋体"/>
                <w:sz w:val="21"/>
                <w:szCs w:val="21"/>
              </w:rPr>
            </w:pPr>
            <w:r>
              <w:rPr>
                <w:rFonts w:ascii="宋体" w:hAnsi="宋体" w:eastAsia="宋体" w:cs="宋体"/>
                <w:spacing w:val="-3"/>
                <w:sz w:val="21"/>
                <w:szCs w:val="21"/>
              </w:rPr>
              <w:t>二级</w:t>
            </w:r>
          </w:p>
        </w:tc>
        <w:tc>
          <w:tcPr>
            <w:tcW w:w="687" w:type="dxa"/>
            <w:vAlign w:val="top"/>
          </w:tcPr>
          <w:p w14:paraId="039A6B88">
            <w:pPr>
              <w:spacing w:before="64" w:line="222" w:lineRule="auto"/>
              <w:ind w:left="139"/>
              <w:rPr>
                <w:rFonts w:ascii="宋体" w:hAnsi="宋体" w:eastAsia="宋体" w:cs="宋体"/>
                <w:sz w:val="21"/>
                <w:szCs w:val="21"/>
              </w:rPr>
            </w:pPr>
            <w:r>
              <w:rPr>
                <w:rFonts w:ascii="宋体" w:hAnsi="宋体" w:eastAsia="宋体" w:cs="宋体"/>
                <w:spacing w:val="-3"/>
                <w:sz w:val="21"/>
                <w:szCs w:val="21"/>
              </w:rPr>
              <w:t>二级</w:t>
            </w:r>
          </w:p>
        </w:tc>
        <w:tc>
          <w:tcPr>
            <w:tcW w:w="692" w:type="dxa"/>
            <w:vAlign w:val="top"/>
          </w:tcPr>
          <w:p w14:paraId="2A27DC2F">
            <w:pPr>
              <w:spacing w:before="64" w:line="222" w:lineRule="auto"/>
              <w:ind w:left="142"/>
              <w:rPr>
                <w:rFonts w:ascii="宋体" w:hAnsi="宋体" w:eastAsia="宋体" w:cs="宋体"/>
                <w:sz w:val="21"/>
                <w:szCs w:val="21"/>
              </w:rPr>
            </w:pPr>
            <w:r>
              <w:rPr>
                <w:rFonts w:ascii="宋体" w:hAnsi="宋体" w:eastAsia="宋体" w:cs="宋体"/>
                <w:spacing w:val="-3"/>
                <w:sz w:val="21"/>
                <w:szCs w:val="21"/>
              </w:rPr>
              <w:t>二级</w:t>
            </w:r>
          </w:p>
        </w:tc>
        <w:tc>
          <w:tcPr>
            <w:tcW w:w="694" w:type="dxa"/>
            <w:vAlign w:val="top"/>
          </w:tcPr>
          <w:p w14:paraId="3BA7535D">
            <w:pPr>
              <w:spacing w:before="64" w:line="222" w:lineRule="auto"/>
              <w:ind w:left="140"/>
              <w:rPr>
                <w:rFonts w:ascii="宋体" w:hAnsi="宋体" w:eastAsia="宋体" w:cs="宋体"/>
                <w:sz w:val="21"/>
                <w:szCs w:val="21"/>
              </w:rPr>
            </w:pPr>
            <w:r>
              <w:rPr>
                <w:rFonts w:ascii="宋体" w:hAnsi="宋体" w:eastAsia="宋体" w:cs="宋体"/>
                <w:spacing w:val="-3"/>
                <w:sz w:val="21"/>
                <w:szCs w:val="21"/>
              </w:rPr>
              <w:t>三级</w:t>
            </w:r>
          </w:p>
        </w:tc>
        <w:tc>
          <w:tcPr>
            <w:tcW w:w="687" w:type="dxa"/>
            <w:vAlign w:val="top"/>
          </w:tcPr>
          <w:p w14:paraId="6AC3E5F9">
            <w:pPr>
              <w:spacing w:before="64" w:line="222" w:lineRule="auto"/>
              <w:ind w:left="137"/>
              <w:rPr>
                <w:rFonts w:ascii="宋体" w:hAnsi="宋体" w:eastAsia="宋体" w:cs="宋体"/>
                <w:sz w:val="21"/>
                <w:szCs w:val="21"/>
              </w:rPr>
            </w:pPr>
            <w:r>
              <w:rPr>
                <w:rFonts w:ascii="宋体" w:hAnsi="宋体" w:eastAsia="宋体" w:cs="宋体"/>
                <w:spacing w:val="-3"/>
                <w:sz w:val="21"/>
                <w:szCs w:val="21"/>
              </w:rPr>
              <w:t>三级</w:t>
            </w:r>
          </w:p>
        </w:tc>
        <w:tc>
          <w:tcPr>
            <w:tcW w:w="692" w:type="dxa"/>
            <w:vAlign w:val="top"/>
          </w:tcPr>
          <w:p w14:paraId="4D56CC0C">
            <w:pPr>
              <w:spacing w:before="64" w:line="222" w:lineRule="auto"/>
              <w:ind w:left="140"/>
              <w:rPr>
                <w:rFonts w:ascii="宋体" w:hAnsi="宋体" w:eastAsia="宋体" w:cs="宋体"/>
                <w:sz w:val="21"/>
                <w:szCs w:val="21"/>
              </w:rPr>
            </w:pPr>
            <w:r>
              <w:rPr>
                <w:rFonts w:ascii="宋体" w:hAnsi="宋体" w:eastAsia="宋体" w:cs="宋体"/>
                <w:spacing w:val="-3"/>
                <w:sz w:val="21"/>
                <w:szCs w:val="21"/>
              </w:rPr>
              <w:t>三级</w:t>
            </w:r>
          </w:p>
        </w:tc>
        <w:tc>
          <w:tcPr>
            <w:tcW w:w="687" w:type="dxa"/>
            <w:vAlign w:val="top"/>
          </w:tcPr>
          <w:p w14:paraId="00F74B3B">
            <w:pPr>
              <w:spacing w:before="163" w:line="143" w:lineRule="exact"/>
              <w:ind w:left="241"/>
              <w:rPr>
                <w:rFonts w:ascii="宋体" w:hAnsi="宋体" w:eastAsia="宋体" w:cs="宋体"/>
                <w:sz w:val="21"/>
                <w:szCs w:val="21"/>
              </w:rPr>
            </w:pPr>
            <w:r>
              <w:rPr>
                <w:rFonts w:ascii="宋体" w:hAnsi="宋体" w:eastAsia="宋体" w:cs="宋体"/>
                <w:position w:val="-3"/>
                <w:sz w:val="21"/>
                <w:szCs w:val="21"/>
              </w:rPr>
              <w:t>—</w:t>
            </w:r>
          </w:p>
        </w:tc>
      </w:tr>
      <w:tr w14:paraId="1D81E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96" w:type="dxa"/>
            <w:vAlign w:val="top"/>
          </w:tcPr>
          <w:p w14:paraId="7A3EBBC2">
            <w:pPr>
              <w:spacing w:before="64" w:line="220" w:lineRule="auto"/>
              <w:ind w:left="740"/>
              <w:rPr>
                <w:rFonts w:ascii="宋体" w:hAnsi="宋体" w:eastAsia="宋体" w:cs="宋体"/>
                <w:sz w:val="21"/>
                <w:szCs w:val="21"/>
              </w:rPr>
            </w:pPr>
            <w:r>
              <w:rPr>
                <w:rFonts w:ascii="宋体" w:hAnsi="宋体" w:eastAsia="宋体" w:cs="宋体"/>
                <w:spacing w:val="-3"/>
                <w:sz w:val="21"/>
                <w:szCs w:val="21"/>
              </w:rPr>
              <w:t>不敏感</w:t>
            </w:r>
          </w:p>
        </w:tc>
        <w:tc>
          <w:tcPr>
            <w:tcW w:w="690" w:type="dxa"/>
            <w:vAlign w:val="top"/>
          </w:tcPr>
          <w:p w14:paraId="01970732">
            <w:pPr>
              <w:spacing w:before="64" w:line="222" w:lineRule="auto"/>
              <w:ind w:left="141"/>
              <w:rPr>
                <w:rFonts w:ascii="宋体" w:hAnsi="宋体" w:eastAsia="宋体" w:cs="宋体"/>
                <w:sz w:val="21"/>
                <w:szCs w:val="21"/>
              </w:rPr>
            </w:pPr>
            <w:r>
              <w:rPr>
                <w:rFonts w:ascii="宋体" w:hAnsi="宋体" w:eastAsia="宋体" w:cs="宋体"/>
                <w:spacing w:val="-6"/>
                <w:sz w:val="21"/>
                <w:szCs w:val="21"/>
              </w:rPr>
              <w:t>一级</w:t>
            </w:r>
          </w:p>
        </w:tc>
        <w:tc>
          <w:tcPr>
            <w:tcW w:w="690" w:type="dxa"/>
            <w:vAlign w:val="top"/>
          </w:tcPr>
          <w:p w14:paraId="028936E4">
            <w:pPr>
              <w:spacing w:before="64" w:line="222" w:lineRule="auto"/>
              <w:ind w:left="140"/>
              <w:rPr>
                <w:rFonts w:ascii="宋体" w:hAnsi="宋体" w:eastAsia="宋体" w:cs="宋体"/>
                <w:sz w:val="21"/>
                <w:szCs w:val="21"/>
              </w:rPr>
            </w:pPr>
            <w:r>
              <w:rPr>
                <w:rFonts w:ascii="宋体" w:hAnsi="宋体" w:eastAsia="宋体" w:cs="宋体"/>
                <w:spacing w:val="-3"/>
                <w:sz w:val="21"/>
                <w:szCs w:val="21"/>
              </w:rPr>
              <w:t>二级</w:t>
            </w:r>
          </w:p>
        </w:tc>
        <w:tc>
          <w:tcPr>
            <w:tcW w:w="697" w:type="dxa"/>
            <w:vAlign w:val="top"/>
          </w:tcPr>
          <w:p w14:paraId="5C0078A5">
            <w:pPr>
              <w:spacing w:before="64" w:line="222" w:lineRule="auto"/>
              <w:ind w:left="143"/>
              <w:rPr>
                <w:rFonts w:ascii="宋体" w:hAnsi="宋体" w:eastAsia="宋体" w:cs="宋体"/>
                <w:sz w:val="21"/>
                <w:szCs w:val="21"/>
              </w:rPr>
            </w:pPr>
            <w:r>
              <w:rPr>
                <w:rFonts w:ascii="宋体" w:hAnsi="宋体" w:eastAsia="宋体" w:cs="宋体"/>
                <w:spacing w:val="-3"/>
                <w:sz w:val="21"/>
                <w:szCs w:val="21"/>
              </w:rPr>
              <w:t>二级</w:t>
            </w:r>
          </w:p>
        </w:tc>
        <w:tc>
          <w:tcPr>
            <w:tcW w:w="687" w:type="dxa"/>
            <w:vAlign w:val="top"/>
          </w:tcPr>
          <w:p w14:paraId="6C20EAC6">
            <w:pPr>
              <w:spacing w:before="64" w:line="222" w:lineRule="auto"/>
              <w:ind w:left="139"/>
              <w:rPr>
                <w:rFonts w:ascii="宋体" w:hAnsi="宋体" w:eastAsia="宋体" w:cs="宋体"/>
                <w:sz w:val="21"/>
                <w:szCs w:val="21"/>
              </w:rPr>
            </w:pPr>
            <w:r>
              <w:rPr>
                <w:rFonts w:ascii="宋体" w:hAnsi="宋体" w:eastAsia="宋体" w:cs="宋体"/>
                <w:spacing w:val="-3"/>
                <w:sz w:val="21"/>
                <w:szCs w:val="21"/>
              </w:rPr>
              <w:t>二级</w:t>
            </w:r>
          </w:p>
        </w:tc>
        <w:tc>
          <w:tcPr>
            <w:tcW w:w="692" w:type="dxa"/>
            <w:vAlign w:val="top"/>
          </w:tcPr>
          <w:p w14:paraId="0EC847F0">
            <w:pPr>
              <w:spacing w:before="64" w:line="222" w:lineRule="auto"/>
              <w:ind w:left="138"/>
              <w:rPr>
                <w:rFonts w:ascii="宋体" w:hAnsi="宋体" w:eastAsia="宋体" w:cs="宋体"/>
                <w:sz w:val="21"/>
                <w:szCs w:val="21"/>
              </w:rPr>
            </w:pPr>
            <w:r>
              <w:rPr>
                <w:rFonts w:ascii="宋体" w:hAnsi="宋体" w:eastAsia="宋体" w:cs="宋体"/>
                <w:spacing w:val="-3"/>
                <w:sz w:val="21"/>
                <w:szCs w:val="21"/>
              </w:rPr>
              <w:t>三级</w:t>
            </w:r>
          </w:p>
        </w:tc>
        <w:tc>
          <w:tcPr>
            <w:tcW w:w="694" w:type="dxa"/>
            <w:vAlign w:val="top"/>
          </w:tcPr>
          <w:p w14:paraId="28B538CF">
            <w:pPr>
              <w:spacing w:before="64" w:line="222" w:lineRule="auto"/>
              <w:ind w:left="140"/>
              <w:rPr>
                <w:rFonts w:ascii="宋体" w:hAnsi="宋体" w:eastAsia="宋体" w:cs="宋体"/>
                <w:sz w:val="21"/>
                <w:szCs w:val="21"/>
              </w:rPr>
            </w:pPr>
            <w:r>
              <w:rPr>
                <w:rFonts w:ascii="宋体" w:hAnsi="宋体" w:eastAsia="宋体" w:cs="宋体"/>
                <w:spacing w:val="-3"/>
                <w:sz w:val="21"/>
                <w:szCs w:val="21"/>
              </w:rPr>
              <w:t>三级</w:t>
            </w:r>
          </w:p>
        </w:tc>
        <w:tc>
          <w:tcPr>
            <w:tcW w:w="687" w:type="dxa"/>
            <w:vAlign w:val="top"/>
          </w:tcPr>
          <w:p w14:paraId="6BCCC29B">
            <w:pPr>
              <w:spacing w:before="64" w:line="222" w:lineRule="auto"/>
              <w:ind w:left="137"/>
              <w:rPr>
                <w:rFonts w:ascii="宋体" w:hAnsi="宋体" w:eastAsia="宋体" w:cs="宋体"/>
                <w:sz w:val="21"/>
                <w:szCs w:val="21"/>
              </w:rPr>
            </w:pPr>
            <w:r>
              <w:rPr>
                <w:rFonts w:ascii="宋体" w:hAnsi="宋体" w:eastAsia="宋体" w:cs="宋体"/>
                <w:spacing w:val="-3"/>
                <w:sz w:val="21"/>
                <w:szCs w:val="21"/>
              </w:rPr>
              <w:t>三级</w:t>
            </w:r>
          </w:p>
        </w:tc>
        <w:tc>
          <w:tcPr>
            <w:tcW w:w="692" w:type="dxa"/>
            <w:vAlign w:val="top"/>
          </w:tcPr>
          <w:p w14:paraId="7BFABDAD">
            <w:pPr>
              <w:spacing w:before="164" w:line="142" w:lineRule="exact"/>
              <w:ind w:left="244"/>
              <w:rPr>
                <w:rFonts w:ascii="宋体" w:hAnsi="宋体" w:eastAsia="宋体" w:cs="宋体"/>
                <w:sz w:val="21"/>
                <w:szCs w:val="21"/>
              </w:rPr>
            </w:pPr>
            <w:r>
              <w:rPr>
                <w:rFonts w:ascii="宋体" w:hAnsi="宋体" w:eastAsia="宋体" w:cs="宋体"/>
                <w:position w:val="-3"/>
                <w:sz w:val="21"/>
                <w:szCs w:val="21"/>
              </w:rPr>
              <w:t>—</w:t>
            </w:r>
          </w:p>
        </w:tc>
        <w:tc>
          <w:tcPr>
            <w:tcW w:w="687" w:type="dxa"/>
            <w:vAlign w:val="top"/>
          </w:tcPr>
          <w:p w14:paraId="6AC8819C">
            <w:pPr>
              <w:spacing w:before="164" w:line="142" w:lineRule="exact"/>
              <w:ind w:left="241"/>
              <w:rPr>
                <w:rFonts w:ascii="宋体" w:hAnsi="宋体" w:eastAsia="宋体" w:cs="宋体"/>
                <w:sz w:val="21"/>
                <w:szCs w:val="21"/>
              </w:rPr>
            </w:pPr>
            <w:r>
              <w:rPr>
                <w:rFonts w:ascii="宋体" w:hAnsi="宋体" w:eastAsia="宋体" w:cs="宋体"/>
                <w:position w:val="-3"/>
                <w:sz w:val="21"/>
                <w:szCs w:val="21"/>
              </w:rPr>
              <w:t>—</w:t>
            </w:r>
          </w:p>
        </w:tc>
      </w:tr>
      <w:tr w14:paraId="4846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8312" w:type="dxa"/>
            <w:gridSpan w:val="10"/>
            <w:vAlign w:val="top"/>
          </w:tcPr>
          <w:p w14:paraId="361D5681">
            <w:pPr>
              <w:pStyle w:val="6"/>
              <w:spacing w:before="67" w:line="218" w:lineRule="auto"/>
              <w:ind w:left="6"/>
              <w:rPr>
                <w:rFonts w:ascii="宋体" w:hAnsi="宋体" w:eastAsia="宋体" w:cs="宋体"/>
                <w:sz w:val="18"/>
                <w:szCs w:val="18"/>
              </w:rPr>
            </w:pPr>
            <w:r>
              <w:rPr>
                <w:rFonts w:ascii="宋体" w:hAnsi="宋体" w:eastAsia="宋体" w:cs="宋体"/>
                <w:spacing w:val="-2"/>
                <w:sz w:val="18"/>
                <w:szCs w:val="18"/>
              </w:rPr>
              <w:t>注：“</w:t>
            </w:r>
            <w:r>
              <w:rPr>
                <w:spacing w:val="-2"/>
                <w:sz w:val="18"/>
                <w:szCs w:val="18"/>
              </w:rPr>
              <w:t>—</w:t>
            </w:r>
            <w:r>
              <w:rPr>
                <w:rFonts w:ascii="宋体" w:hAnsi="宋体" w:eastAsia="宋体" w:cs="宋体"/>
                <w:spacing w:val="-2"/>
                <w:sz w:val="18"/>
                <w:szCs w:val="18"/>
              </w:rPr>
              <w:t>”表示可不开展土壤环境影响评价工作。</w:t>
            </w:r>
          </w:p>
        </w:tc>
      </w:tr>
    </w:tbl>
    <w:p w14:paraId="41E11B4A">
      <w:pPr>
        <w:spacing w:before="291" w:line="227" w:lineRule="auto"/>
        <w:ind w:left="48"/>
        <w:rPr>
          <w:rFonts w:ascii="宋体" w:hAnsi="宋体" w:eastAsia="宋体" w:cs="宋体"/>
          <w:sz w:val="27"/>
          <w:szCs w:val="27"/>
        </w:rPr>
      </w:pPr>
      <w:r>
        <w:rPr>
          <w:rFonts w:ascii="Times New Roman" w:hAnsi="Times New Roman" w:eastAsia="Times New Roman" w:cs="Times New Roman"/>
          <w:b/>
          <w:bCs/>
          <w:spacing w:val="1"/>
          <w:sz w:val="27"/>
          <w:szCs w:val="27"/>
        </w:rPr>
        <w:t>1.3.1.5</w:t>
      </w:r>
      <w:r>
        <w:rPr>
          <w:rFonts w:ascii="Times New Roman" w:hAnsi="Times New Roman" w:eastAsia="Times New Roman" w:cs="Times New Roman"/>
          <w:b/>
          <w:bCs/>
          <w:spacing w:val="23"/>
          <w:sz w:val="27"/>
          <w:szCs w:val="27"/>
        </w:rPr>
        <w:t xml:space="preserve"> </w:t>
      </w:r>
      <w:r>
        <w:rPr>
          <w:rFonts w:ascii="宋体" w:hAnsi="宋体" w:eastAsia="宋体" w:cs="宋体"/>
          <w:b/>
          <w:bCs/>
          <w:spacing w:val="1"/>
          <w:sz w:val="27"/>
          <w:szCs w:val="27"/>
        </w:rPr>
        <w:t>声环境</w:t>
      </w:r>
    </w:p>
    <w:p w14:paraId="30CCE326">
      <w:pPr>
        <w:spacing w:before="233" w:line="361" w:lineRule="auto"/>
        <w:ind w:left="41" w:right="18" w:firstLine="479"/>
        <w:jc w:val="both"/>
        <w:rPr>
          <w:rFonts w:ascii="宋体" w:hAnsi="宋体" w:eastAsia="宋体" w:cs="宋体"/>
          <w:sz w:val="24"/>
          <w:szCs w:val="24"/>
        </w:rPr>
      </w:pPr>
      <w:r>
        <w:rPr>
          <w:rFonts w:ascii="宋体" w:hAnsi="宋体" w:eastAsia="宋体" w:cs="宋体"/>
          <w:spacing w:val="2"/>
          <w:sz w:val="24"/>
          <w:szCs w:val="24"/>
        </w:rPr>
        <w:t>本项目所在地属一般乡村区，根据《声环境质量标准》（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3096-2008</w:t>
      </w:r>
      <w:r>
        <w:rPr>
          <w:rFonts w:ascii="宋体" w:hAnsi="宋体" w:eastAsia="宋体" w:cs="宋体"/>
          <w:spacing w:val="-21"/>
          <w:sz w:val="24"/>
          <w:szCs w:val="24"/>
        </w:rPr>
        <w:t>），</w:t>
      </w:r>
      <w:r>
        <w:rPr>
          <w:rFonts w:ascii="宋体" w:hAnsi="宋体" w:eastAsia="宋体" w:cs="宋体"/>
          <w:sz w:val="24"/>
          <w:szCs w:val="24"/>
        </w:rPr>
        <w:t>项目所在地属于声环境</w:t>
      </w:r>
      <w:r>
        <w:rPr>
          <w:rFonts w:ascii="Times New Roman" w:hAnsi="Times New Roman" w:eastAsia="Times New Roman" w:cs="Times New Roman"/>
          <w:sz w:val="24"/>
          <w:szCs w:val="24"/>
        </w:rPr>
        <w:t>2</w:t>
      </w:r>
      <w:r>
        <w:rPr>
          <w:rFonts w:ascii="宋体" w:hAnsi="宋体" w:eastAsia="宋体" w:cs="宋体"/>
          <w:sz w:val="24"/>
          <w:szCs w:val="24"/>
        </w:rPr>
        <w:t>类功能区，周围外环境简单，项目建设前后声环境保护</w:t>
      </w:r>
      <w:r>
        <w:rPr>
          <w:rFonts w:ascii="宋体" w:hAnsi="宋体" w:eastAsia="宋体" w:cs="宋体"/>
          <w:spacing w:val="-3"/>
          <w:sz w:val="24"/>
          <w:szCs w:val="24"/>
        </w:rPr>
        <w:t>目标噪声级增量较小，且受噪声影响人口数量变化不</w:t>
      </w:r>
      <w:r>
        <w:rPr>
          <w:rFonts w:ascii="宋体" w:hAnsi="宋体" w:eastAsia="宋体" w:cs="宋体"/>
          <w:spacing w:val="-4"/>
          <w:sz w:val="24"/>
          <w:szCs w:val="24"/>
        </w:rPr>
        <w:t>大。根据《环境影响评价技</w:t>
      </w:r>
      <w:r>
        <w:rPr>
          <w:rFonts w:ascii="宋体" w:hAnsi="宋体" w:eastAsia="宋体" w:cs="宋体"/>
          <w:spacing w:val="-1"/>
          <w:sz w:val="24"/>
          <w:szCs w:val="24"/>
        </w:rPr>
        <w:t>术导则 声环境》（</w:t>
      </w:r>
      <w:r>
        <w:rPr>
          <w:rFonts w:ascii="Times New Roman" w:hAnsi="Times New Roman" w:eastAsia="Times New Roman" w:cs="Times New Roman"/>
          <w:spacing w:val="-1"/>
          <w:sz w:val="24"/>
          <w:szCs w:val="24"/>
        </w:rPr>
        <w:t>HJ2.4-2021</w:t>
      </w:r>
      <w:r>
        <w:rPr>
          <w:rFonts w:ascii="宋体" w:hAnsi="宋体" w:eastAsia="宋体" w:cs="宋体"/>
          <w:spacing w:val="-2"/>
          <w:sz w:val="24"/>
          <w:szCs w:val="24"/>
        </w:rPr>
        <w:t>），</w:t>
      </w:r>
      <w:r>
        <w:rPr>
          <w:rFonts w:ascii="宋体" w:hAnsi="宋体" w:eastAsia="宋体" w:cs="宋体"/>
          <w:spacing w:val="-1"/>
          <w:sz w:val="24"/>
          <w:szCs w:val="24"/>
        </w:rPr>
        <w:t>本项目声环境影响评价工作等级定</w:t>
      </w:r>
      <w:r>
        <w:rPr>
          <w:rFonts w:ascii="宋体" w:hAnsi="宋体" w:eastAsia="宋体" w:cs="宋体"/>
          <w:spacing w:val="-2"/>
          <w:sz w:val="24"/>
          <w:szCs w:val="24"/>
        </w:rPr>
        <w:t>为二级。</w:t>
      </w:r>
    </w:p>
    <w:p w14:paraId="61D15208">
      <w:pPr>
        <w:spacing w:line="361" w:lineRule="auto"/>
        <w:rPr>
          <w:rFonts w:ascii="宋体" w:hAnsi="宋体" w:eastAsia="宋体" w:cs="宋体"/>
          <w:sz w:val="24"/>
          <w:szCs w:val="24"/>
        </w:rPr>
        <w:sectPr>
          <w:headerReference r:id="rId50" w:type="default"/>
          <w:footerReference r:id="rId51" w:type="default"/>
          <w:pgSz w:w="11905" w:h="16840"/>
          <w:pgMar w:top="1168" w:right="1714" w:bottom="1409" w:left="1770" w:header="828" w:footer="1244" w:gutter="0"/>
          <w:cols w:space="720" w:num="1"/>
        </w:sectPr>
      </w:pPr>
    </w:p>
    <w:p w14:paraId="36DCCC34">
      <w:pPr>
        <w:pStyle w:val="2"/>
        <w:spacing w:line="353" w:lineRule="auto"/>
      </w:pPr>
    </w:p>
    <w:p w14:paraId="3F06F021">
      <w:pPr>
        <w:spacing w:before="87" w:line="227" w:lineRule="auto"/>
        <w:ind w:left="48"/>
        <w:rPr>
          <w:rFonts w:ascii="宋体" w:hAnsi="宋体" w:eastAsia="宋体" w:cs="宋体"/>
          <w:sz w:val="27"/>
          <w:szCs w:val="27"/>
        </w:rPr>
      </w:pPr>
      <w:r>
        <w:rPr>
          <w:rFonts w:ascii="Times New Roman" w:hAnsi="Times New Roman" w:eastAsia="Times New Roman" w:cs="Times New Roman"/>
          <w:b/>
          <w:bCs/>
          <w:spacing w:val="3"/>
          <w:sz w:val="27"/>
          <w:szCs w:val="27"/>
        </w:rPr>
        <w:t xml:space="preserve">1.3.1.6 </w:t>
      </w:r>
      <w:r>
        <w:rPr>
          <w:rFonts w:ascii="宋体" w:hAnsi="宋体" w:eastAsia="宋体" w:cs="宋体"/>
          <w:b/>
          <w:bCs/>
          <w:spacing w:val="3"/>
          <w:sz w:val="27"/>
          <w:szCs w:val="27"/>
        </w:rPr>
        <w:t>生态环境</w:t>
      </w:r>
    </w:p>
    <w:p w14:paraId="05BA34A4">
      <w:pPr>
        <w:tabs>
          <w:tab w:val="left" w:pos="8559"/>
        </w:tabs>
        <w:spacing w:before="218" w:line="363" w:lineRule="auto"/>
        <w:ind w:left="41" w:firstLine="479"/>
        <w:jc w:val="both"/>
        <w:rPr>
          <w:rFonts w:ascii="宋体" w:hAnsi="宋体" w:eastAsia="宋体" w:cs="宋体"/>
          <w:sz w:val="24"/>
          <w:szCs w:val="24"/>
        </w:rPr>
      </w:pPr>
      <w:r>
        <w:rPr>
          <w:rFonts w:ascii="宋体" w:hAnsi="宋体" w:eastAsia="宋体" w:cs="宋体"/>
          <w:spacing w:val="-2"/>
          <w:sz w:val="24"/>
          <w:szCs w:val="24"/>
        </w:rPr>
        <w:t>本项目为新建生猪养殖场，占地面积</w:t>
      </w:r>
      <w:r>
        <w:rPr>
          <w:rFonts w:ascii="Times New Roman" w:hAnsi="Times New Roman" w:eastAsia="Times New Roman" w:cs="Times New Roman"/>
          <w:spacing w:val="-2"/>
          <w:sz w:val="24"/>
          <w:szCs w:val="24"/>
        </w:rPr>
        <w:t>8.4872hm</w:t>
      </w:r>
      <w:r>
        <w:rPr>
          <w:rFonts w:ascii="Times New Roman" w:hAnsi="Times New Roman" w:eastAsia="Times New Roman" w:cs="Times New Roman"/>
          <w:spacing w:val="-2"/>
          <w:position w:val="10"/>
          <w:sz w:val="15"/>
          <w:szCs w:val="15"/>
        </w:rPr>
        <w:t>2</w:t>
      </w:r>
      <w:r>
        <w:rPr>
          <w:rFonts w:ascii="宋体" w:hAnsi="宋体" w:eastAsia="宋体" w:cs="宋体"/>
          <w:spacing w:val="-2"/>
          <w:sz w:val="24"/>
          <w:szCs w:val="24"/>
        </w:rPr>
        <w:t>，小于</w:t>
      </w:r>
      <w:r>
        <w:rPr>
          <w:rFonts w:ascii="Times New Roman" w:hAnsi="Times New Roman" w:eastAsia="Times New Roman" w:cs="Times New Roman"/>
          <w:spacing w:val="-2"/>
          <w:sz w:val="24"/>
          <w:szCs w:val="24"/>
        </w:rPr>
        <w:t>20k</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10"/>
          <w:sz w:val="15"/>
          <w:szCs w:val="15"/>
        </w:rPr>
        <w:t>2</w:t>
      </w:r>
      <w:r>
        <w:rPr>
          <w:rFonts w:ascii="宋体" w:hAnsi="宋体" w:eastAsia="宋体" w:cs="宋体"/>
          <w:spacing w:val="-3"/>
          <w:sz w:val="24"/>
          <w:szCs w:val="24"/>
        </w:rPr>
        <w:t>。本项目不涉及</w:t>
      </w:r>
      <w:r>
        <w:rPr>
          <w:rFonts w:ascii="宋体" w:hAnsi="宋体" w:eastAsia="宋体" w:cs="宋体"/>
          <w:spacing w:val="-6"/>
          <w:sz w:val="24"/>
          <w:szCs w:val="24"/>
        </w:rPr>
        <w:t xml:space="preserve">国家公园、自然保护区、世界自然遗产、重要生境， </w:t>
      </w:r>
      <w:r>
        <w:rPr>
          <w:rFonts w:ascii="宋体" w:hAnsi="宋体" w:eastAsia="宋体" w:cs="宋体"/>
          <w:spacing w:val="-7"/>
          <w:sz w:val="24"/>
          <w:szCs w:val="24"/>
        </w:rPr>
        <w:t>不涉及自然公园、生态保护</w:t>
      </w:r>
      <w:r>
        <w:rPr>
          <w:rFonts w:ascii="宋体" w:hAnsi="宋体" w:eastAsia="宋体" w:cs="宋体"/>
          <w:spacing w:val="-3"/>
          <w:sz w:val="24"/>
          <w:szCs w:val="24"/>
        </w:rPr>
        <w:t>红线，本项目不属于水文要素影响型项目，本项目土壤影响范围内无天然林</w:t>
      </w:r>
      <w:r>
        <w:rPr>
          <w:rFonts w:ascii="宋体" w:hAnsi="宋体" w:eastAsia="宋体" w:cs="宋体"/>
          <w:spacing w:val="-4"/>
          <w:sz w:val="24"/>
          <w:szCs w:val="24"/>
        </w:rPr>
        <w:t>、公</w:t>
      </w:r>
      <w:r>
        <w:rPr>
          <w:rFonts w:ascii="宋体" w:hAnsi="宋体" w:eastAsia="宋体" w:cs="宋体"/>
          <w:sz w:val="24"/>
          <w:szCs w:val="24"/>
        </w:rPr>
        <w:t xml:space="preserve"> </w:t>
      </w:r>
      <w:r>
        <w:rPr>
          <w:rFonts w:ascii="宋体" w:hAnsi="宋体" w:eastAsia="宋体" w:cs="宋体"/>
          <w:spacing w:val="-15"/>
          <w:sz w:val="24"/>
          <w:szCs w:val="24"/>
        </w:rPr>
        <w:t>益林、湿地等生态保护目标。根据《环境影响评价技术导则</w:t>
      </w:r>
      <w:r>
        <w:rPr>
          <w:rFonts w:ascii="宋体" w:hAnsi="宋体" w:eastAsia="宋体" w:cs="宋体"/>
          <w:spacing w:val="41"/>
          <w:sz w:val="24"/>
          <w:szCs w:val="24"/>
        </w:rPr>
        <w:t xml:space="preserve"> </w:t>
      </w:r>
      <w:r>
        <w:rPr>
          <w:rFonts w:ascii="宋体" w:hAnsi="宋体" w:eastAsia="宋体" w:cs="宋体"/>
          <w:spacing w:val="-15"/>
          <w:sz w:val="24"/>
          <w:szCs w:val="24"/>
        </w:rPr>
        <w:t>生态影响》（</w:t>
      </w:r>
      <w:r>
        <w:rPr>
          <w:rFonts w:ascii="Times New Roman" w:hAnsi="Times New Roman" w:eastAsia="Times New Roman" w:cs="Times New Roman"/>
          <w:spacing w:val="-15"/>
          <w:sz w:val="24"/>
          <w:szCs w:val="24"/>
        </w:rPr>
        <w:t>HJ19-2022</w:t>
      </w:r>
      <w:r>
        <w:rPr>
          <w:rFonts w:ascii="宋体" w:hAnsi="宋体" w:eastAsia="宋体" w:cs="宋体"/>
          <w:spacing w:val="-15"/>
          <w:sz w:val="24"/>
          <w:szCs w:val="24"/>
        </w:rPr>
        <w:t>）</w:t>
      </w:r>
      <w:r>
        <w:rPr>
          <w:rFonts w:ascii="宋体" w:hAnsi="宋体" w:eastAsia="宋体" w:cs="宋体"/>
          <w:spacing w:val="-2"/>
          <w:sz w:val="24"/>
          <w:szCs w:val="24"/>
        </w:rPr>
        <w:t>中评价等级判定，本项目生态影响评价等级为三级。</w:t>
      </w:r>
    </w:p>
    <w:p w14:paraId="0C6F3515">
      <w:pPr>
        <w:spacing w:before="173" w:line="227" w:lineRule="auto"/>
        <w:ind w:left="48"/>
        <w:rPr>
          <w:rFonts w:ascii="宋体" w:hAnsi="宋体" w:eastAsia="宋体" w:cs="宋体"/>
          <w:sz w:val="27"/>
          <w:szCs w:val="27"/>
        </w:rPr>
      </w:pPr>
      <w:r>
        <w:rPr>
          <w:rFonts w:ascii="Times New Roman" w:hAnsi="Times New Roman" w:eastAsia="Times New Roman" w:cs="Times New Roman"/>
          <w:b/>
          <w:bCs/>
          <w:spacing w:val="3"/>
          <w:sz w:val="27"/>
          <w:szCs w:val="27"/>
        </w:rPr>
        <w:t xml:space="preserve">1.3.1.7 </w:t>
      </w:r>
      <w:r>
        <w:rPr>
          <w:rFonts w:ascii="宋体" w:hAnsi="宋体" w:eastAsia="宋体" w:cs="宋体"/>
          <w:b/>
          <w:bCs/>
          <w:spacing w:val="3"/>
          <w:sz w:val="27"/>
          <w:szCs w:val="27"/>
        </w:rPr>
        <w:t>环境风险</w:t>
      </w:r>
    </w:p>
    <w:p w14:paraId="1C5A5400">
      <w:pPr>
        <w:spacing w:before="234"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）环境风险潜势划分</w:t>
      </w:r>
    </w:p>
    <w:p w14:paraId="28AC5448">
      <w:pPr>
        <w:spacing w:before="183" w:line="361" w:lineRule="auto"/>
        <w:ind w:left="39" w:right="224" w:firstLine="480"/>
        <w:jc w:val="both"/>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pacing w:val="-2"/>
          <w:sz w:val="24"/>
          <w:szCs w:val="24"/>
        </w:rPr>
        <w:t>HJ169-2018</w:t>
      </w:r>
      <w:r>
        <w:rPr>
          <w:rFonts w:ascii="宋体" w:hAnsi="宋体" w:eastAsia="宋体" w:cs="宋体"/>
          <w:spacing w:val="-10"/>
          <w:sz w:val="24"/>
          <w:szCs w:val="24"/>
        </w:rPr>
        <w:t>），</w:t>
      </w:r>
      <w:r>
        <w:rPr>
          <w:rFonts w:ascii="宋体" w:hAnsi="宋体" w:eastAsia="宋体" w:cs="宋体"/>
          <w:spacing w:val="-2"/>
          <w:sz w:val="24"/>
          <w:szCs w:val="24"/>
        </w:rPr>
        <w:t>建设项目环境风</w:t>
      </w:r>
      <w:r>
        <w:rPr>
          <w:rFonts w:ascii="宋体" w:hAnsi="宋体" w:eastAsia="宋体" w:cs="宋体"/>
          <w:spacing w:val="1"/>
          <w:sz w:val="24"/>
          <w:szCs w:val="24"/>
        </w:rPr>
        <w:t>险潜势划分为Ⅰ、Ⅱ、Ⅲ、Ⅳ、Ⅳ</w:t>
      </w:r>
      <w:r>
        <w:rPr>
          <w:rFonts w:ascii="Times New Roman" w:hAnsi="Times New Roman" w:eastAsia="Times New Roman" w:cs="Times New Roman"/>
          <w:spacing w:val="1"/>
          <w:position w:val="10"/>
          <w:sz w:val="15"/>
          <w:szCs w:val="15"/>
        </w:rPr>
        <w:t>+</w:t>
      </w:r>
      <w:r>
        <w:rPr>
          <w:rFonts w:ascii="宋体" w:hAnsi="宋体" w:eastAsia="宋体" w:cs="宋体"/>
          <w:spacing w:val="1"/>
          <w:sz w:val="24"/>
          <w:szCs w:val="24"/>
        </w:rPr>
        <w:t>级，根据建设项目涉及的物质和工艺系统的</w:t>
      </w:r>
      <w:r>
        <w:rPr>
          <w:rFonts w:ascii="宋体" w:hAnsi="宋体" w:eastAsia="宋体" w:cs="宋体"/>
          <w:spacing w:val="-3"/>
          <w:sz w:val="24"/>
          <w:szCs w:val="24"/>
        </w:rPr>
        <w:t>危险性以及所在地的环境敏感程度，结合事故下的环境影响途径，按照下表确定</w:t>
      </w:r>
      <w:r>
        <w:rPr>
          <w:rFonts w:ascii="宋体" w:hAnsi="宋体" w:eastAsia="宋体" w:cs="宋体"/>
          <w:spacing w:val="-6"/>
          <w:sz w:val="24"/>
          <w:szCs w:val="24"/>
        </w:rPr>
        <w:t>环境风险潜势。</w:t>
      </w:r>
    </w:p>
    <w:p w14:paraId="4A812979">
      <w:pPr>
        <w:spacing w:before="8" w:line="222" w:lineRule="auto"/>
        <w:ind w:left="2479"/>
        <w:rPr>
          <w:rFonts w:ascii="黑体" w:hAnsi="黑体" w:eastAsia="黑体" w:cs="黑体"/>
          <w:sz w:val="21"/>
          <w:szCs w:val="21"/>
        </w:rPr>
      </w:pPr>
      <w:r>
        <w:rPr>
          <w:rFonts w:ascii="黑体" w:hAnsi="黑体" w:eastAsia="黑体" w:cs="黑体"/>
          <w:spacing w:val="-2"/>
          <w:sz w:val="21"/>
          <w:szCs w:val="21"/>
        </w:rPr>
        <w:t>表</w:t>
      </w:r>
      <w:r>
        <w:rPr>
          <w:rFonts w:ascii="黑体" w:hAnsi="黑体" w:eastAsia="黑体" w:cs="黑体"/>
          <w:spacing w:val="-23"/>
          <w:sz w:val="21"/>
          <w:szCs w:val="21"/>
        </w:rPr>
        <w:t xml:space="preserve"> </w:t>
      </w:r>
      <w:r>
        <w:rPr>
          <w:rFonts w:ascii="Times New Roman" w:hAnsi="Times New Roman" w:eastAsia="Times New Roman" w:cs="Times New Roman"/>
          <w:spacing w:val="-2"/>
          <w:sz w:val="21"/>
          <w:szCs w:val="21"/>
        </w:rPr>
        <w:t xml:space="preserve">1.3-10  </w:t>
      </w:r>
      <w:r>
        <w:rPr>
          <w:rFonts w:ascii="黑体" w:hAnsi="黑体" w:eastAsia="黑体" w:cs="黑体"/>
          <w:spacing w:val="-2"/>
          <w:sz w:val="21"/>
          <w:szCs w:val="21"/>
        </w:rPr>
        <w:t>建设项目环境风险潜势划分</w:t>
      </w:r>
    </w:p>
    <w:p w14:paraId="10182971">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1336"/>
        <w:gridCol w:w="1662"/>
        <w:gridCol w:w="1661"/>
        <w:gridCol w:w="1669"/>
      </w:tblGrid>
      <w:tr w14:paraId="3823D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2" w:type="dxa"/>
            <w:vMerge w:val="restart"/>
            <w:tcBorders>
              <w:bottom w:val="nil"/>
            </w:tcBorders>
            <w:vAlign w:val="top"/>
          </w:tcPr>
          <w:p w14:paraId="03F068E9">
            <w:pPr>
              <w:pStyle w:val="6"/>
              <w:spacing w:before="244" w:line="212" w:lineRule="auto"/>
              <w:ind w:left="237"/>
            </w:pPr>
            <w:r>
              <w:rPr>
                <w:rFonts w:ascii="宋体" w:hAnsi="宋体" w:eastAsia="宋体" w:cs="宋体"/>
                <w:spacing w:val="-1"/>
              </w:rPr>
              <w:t>环境敏感程度</w:t>
            </w:r>
            <w:r>
              <w:rPr>
                <w:spacing w:val="-1"/>
              </w:rPr>
              <w:t>(E)</w:t>
            </w:r>
          </w:p>
        </w:tc>
        <w:tc>
          <w:tcPr>
            <w:tcW w:w="6328" w:type="dxa"/>
            <w:gridSpan w:val="4"/>
            <w:vAlign w:val="top"/>
          </w:tcPr>
          <w:p w14:paraId="3999DEFE">
            <w:pPr>
              <w:pStyle w:val="6"/>
              <w:spacing w:before="69" w:line="212" w:lineRule="auto"/>
              <w:ind w:left="1775"/>
            </w:pPr>
            <w:r>
              <w:rPr>
                <w:rFonts w:ascii="宋体" w:hAnsi="宋体" w:eastAsia="宋体" w:cs="宋体"/>
                <w:spacing w:val="-1"/>
              </w:rPr>
              <w:t>危险物质及工艺系统危险性</w:t>
            </w:r>
            <w:r>
              <w:rPr>
                <w:spacing w:val="-1"/>
              </w:rPr>
              <w:t>(P)</w:t>
            </w:r>
          </w:p>
        </w:tc>
      </w:tr>
      <w:tr w14:paraId="4C9AB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2" w:type="dxa"/>
            <w:vMerge w:val="continue"/>
            <w:tcBorders>
              <w:top w:val="nil"/>
            </w:tcBorders>
            <w:vAlign w:val="top"/>
          </w:tcPr>
          <w:p w14:paraId="1966955A">
            <w:pPr>
              <w:rPr>
                <w:rFonts w:ascii="Arial"/>
                <w:sz w:val="21"/>
              </w:rPr>
            </w:pPr>
          </w:p>
        </w:tc>
        <w:tc>
          <w:tcPr>
            <w:tcW w:w="1336" w:type="dxa"/>
            <w:vAlign w:val="top"/>
          </w:tcPr>
          <w:p w14:paraId="3A5A002D">
            <w:pPr>
              <w:pStyle w:val="6"/>
              <w:spacing w:before="65" w:line="212" w:lineRule="auto"/>
              <w:ind w:left="68"/>
            </w:pPr>
            <w:r>
              <w:rPr>
                <w:rFonts w:ascii="宋体" w:hAnsi="宋体" w:eastAsia="宋体" w:cs="宋体"/>
                <w:spacing w:val="-2"/>
              </w:rPr>
              <w:t>极高危害</w:t>
            </w:r>
            <w:r>
              <w:rPr>
                <w:spacing w:val="-2"/>
              </w:rPr>
              <w:t>(P1)</w:t>
            </w:r>
          </w:p>
        </w:tc>
        <w:tc>
          <w:tcPr>
            <w:tcW w:w="1662" w:type="dxa"/>
            <w:vAlign w:val="top"/>
          </w:tcPr>
          <w:p w14:paraId="0BB4C805">
            <w:pPr>
              <w:pStyle w:val="6"/>
              <w:spacing w:before="65" w:line="212" w:lineRule="auto"/>
              <w:ind w:left="236"/>
            </w:pPr>
            <w:r>
              <w:rPr>
                <w:rFonts w:ascii="宋体" w:hAnsi="宋体" w:eastAsia="宋体" w:cs="宋体"/>
                <w:spacing w:val="-2"/>
              </w:rPr>
              <w:t>高度危害</w:t>
            </w:r>
            <w:r>
              <w:rPr>
                <w:spacing w:val="-2"/>
              </w:rPr>
              <w:t>(P2)</w:t>
            </w:r>
          </w:p>
        </w:tc>
        <w:tc>
          <w:tcPr>
            <w:tcW w:w="1661" w:type="dxa"/>
            <w:vAlign w:val="top"/>
          </w:tcPr>
          <w:p w14:paraId="7FD6D1FD">
            <w:pPr>
              <w:pStyle w:val="6"/>
              <w:spacing w:before="65" w:line="212" w:lineRule="auto"/>
              <w:ind w:left="250"/>
            </w:pPr>
            <w:r>
              <w:rPr>
                <w:rFonts w:ascii="宋体" w:hAnsi="宋体" w:eastAsia="宋体" w:cs="宋体"/>
                <w:spacing w:val="-4"/>
              </w:rPr>
              <w:t>中度危害</w:t>
            </w:r>
            <w:r>
              <w:rPr>
                <w:spacing w:val="-4"/>
              </w:rPr>
              <w:t>(P3)</w:t>
            </w:r>
          </w:p>
        </w:tc>
        <w:tc>
          <w:tcPr>
            <w:tcW w:w="1669" w:type="dxa"/>
            <w:vAlign w:val="top"/>
          </w:tcPr>
          <w:p w14:paraId="66C5DC8A">
            <w:pPr>
              <w:pStyle w:val="6"/>
              <w:spacing w:before="65" w:line="212" w:lineRule="auto"/>
              <w:ind w:left="235"/>
            </w:pPr>
            <w:r>
              <w:rPr>
                <w:rFonts w:ascii="宋体" w:hAnsi="宋体" w:eastAsia="宋体" w:cs="宋体"/>
                <w:spacing w:val="-2"/>
              </w:rPr>
              <w:t>轻度危害</w:t>
            </w:r>
            <w:r>
              <w:rPr>
                <w:spacing w:val="-2"/>
              </w:rPr>
              <w:t>(P4)</w:t>
            </w:r>
          </w:p>
        </w:tc>
      </w:tr>
      <w:tr w14:paraId="7BC5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Align w:val="top"/>
          </w:tcPr>
          <w:p w14:paraId="5D8F8308">
            <w:pPr>
              <w:pStyle w:val="6"/>
              <w:spacing w:before="66" w:line="212" w:lineRule="auto"/>
              <w:ind w:left="184"/>
            </w:pPr>
            <w:r>
              <w:rPr>
                <w:rFonts w:ascii="宋体" w:hAnsi="宋体" w:eastAsia="宋体" w:cs="宋体"/>
                <w:spacing w:val="-1"/>
              </w:rPr>
              <w:t>环境高度敏感</w:t>
            </w:r>
            <w:r>
              <w:rPr>
                <w:spacing w:val="-1"/>
              </w:rPr>
              <w:t>(E1)</w:t>
            </w:r>
          </w:p>
        </w:tc>
        <w:tc>
          <w:tcPr>
            <w:tcW w:w="1336" w:type="dxa"/>
            <w:vAlign w:val="top"/>
          </w:tcPr>
          <w:p w14:paraId="15160C55">
            <w:pPr>
              <w:pStyle w:val="6"/>
              <w:spacing w:before="106" w:line="185" w:lineRule="auto"/>
              <w:ind w:left="493"/>
            </w:pPr>
            <w:r>
              <w:rPr>
                <w:spacing w:val="-2"/>
              </w:rPr>
              <w:t>Ⅳ+</w:t>
            </w:r>
          </w:p>
        </w:tc>
        <w:tc>
          <w:tcPr>
            <w:tcW w:w="1662" w:type="dxa"/>
            <w:vAlign w:val="top"/>
          </w:tcPr>
          <w:p w14:paraId="630D5E22">
            <w:pPr>
              <w:pStyle w:val="6"/>
              <w:spacing w:before="106" w:line="185" w:lineRule="auto"/>
              <w:ind w:left="717"/>
            </w:pPr>
            <w:r>
              <w:t>Ⅳ</w:t>
            </w:r>
          </w:p>
        </w:tc>
        <w:tc>
          <w:tcPr>
            <w:tcW w:w="1661" w:type="dxa"/>
            <w:vAlign w:val="top"/>
          </w:tcPr>
          <w:p w14:paraId="2419C27C">
            <w:pPr>
              <w:pStyle w:val="6"/>
              <w:spacing w:before="106" w:line="185" w:lineRule="auto"/>
              <w:ind w:left="727"/>
            </w:pPr>
            <w:r>
              <w:t>Ⅲ</w:t>
            </w:r>
          </w:p>
        </w:tc>
        <w:tc>
          <w:tcPr>
            <w:tcW w:w="1669" w:type="dxa"/>
            <w:vAlign w:val="top"/>
          </w:tcPr>
          <w:p w14:paraId="35792F51">
            <w:pPr>
              <w:pStyle w:val="6"/>
              <w:spacing w:before="106" w:line="185" w:lineRule="auto"/>
              <w:ind w:left="730"/>
            </w:pPr>
            <w:r>
              <w:t>Ⅲ</w:t>
            </w:r>
          </w:p>
        </w:tc>
      </w:tr>
      <w:tr w14:paraId="039AD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Align w:val="top"/>
          </w:tcPr>
          <w:p w14:paraId="6A1ABF86">
            <w:pPr>
              <w:pStyle w:val="6"/>
              <w:spacing w:before="67" w:line="212" w:lineRule="auto"/>
              <w:ind w:left="184"/>
            </w:pPr>
            <w:r>
              <w:rPr>
                <w:rFonts w:ascii="宋体" w:hAnsi="宋体" w:eastAsia="宋体" w:cs="宋体"/>
                <w:spacing w:val="-1"/>
              </w:rPr>
              <w:t>环境中度敏感</w:t>
            </w:r>
            <w:r>
              <w:rPr>
                <w:spacing w:val="-1"/>
              </w:rPr>
              <w:t>(E2)</w:t>
            </w:r>
          </w:p>
        </w:tc>
        <w:tc>
          <w:tcPr>
            <w:tcW w:w="1336" w:type="dxa"/>
            <w:vAlign w:val="top"/>
          </w:tcPr>
          <w:p w14:paraId="09EB1277">
            <w:pPr>
              <w:pStyle w:val="6"/>
              <w:spacing w:before="106" w:line="185" w:lineRule="auto"/>
              <w:ind w:left="553"/>
            </w:pPr>
            <w:r>
              <w:t>Ⅳ</w:t>
            </w:r>
          </w:p>
        </w:tc>
        <w:tc>
          <w:tcPr>
            <w:tcW w:w="1662" w:type="dxa"/>
            <w:vAlign w:val="top"/>
          </w:tcPr>
          <w:p w14:paraId="5C373725">
            <w:pPr>
              <w:pStyle w:val="6"/>
              <w:spacing w:before="106" w:line="185" w:lineRule="auto"/>
              <w:ind w:left="727"/>
            </w:pPr>
            <w:r>
              <w:t>Ⅲ</w:t>
            </w:r>
          </w:p>
        </w:tc>
        <w:tc>
          <w:tcPr>
            <w:tcW w:w="1661" w:type="dxa"/>
            <w:vAlign w:val="top"/>
          </w:tcPr>
          <w:p w14:paraId="103FCFD0">
            <w:pPr>
              <w:pStyle w:val="6"/>
              <w:spacing w:before="106" w:line="185" w:lineRule="auto"/>
              <w:ind w:left="727"/>
            </w:pPr>
            <w:r>
              <w:t>Ⅲ</w:t>
            </w:r>
          </w:p>
        </w:tc>
        <w:tc>
          <w:tcPr>
            <w:tcW w:w="1669" w:type="dxa"/>
            <w:vAlign w:val="top"/>
          </w:tcPr>
          <w:p w14:paraId="0F57F2CC">
            <w:pPr>
              <w:pStyle w:val="6"/>
              <w:spacing w:before="106" w:line="185" w:lineRule="auto"/>
              <w:ind w:left="761"/>
            </w:pPr>
            <w:r>
              <w:rPr>
                <w:spacing w:val="-2"/>
              </w:rPr>
              <w:t>II</w:t>
            </w:r>
          </w:p>
        </w:tc>
      </w:tr>
      <w:tr w14:paraId="5252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2" w:type="dxa"/>
            <w:vAlign w:val="top"/>
          </w:tcPr>
          <w:p w14:paraId="3C754B15">
            <w:pPr>
              <w:pStyle w:val="6"/>
              <w:spacing w:before="67" w:line="212" w:lineRule="auto"/>
              <w:ind w:left="184"/>
            </w:pPr>
            <w:r>
              <w:rPr>
                <w:rFonts w:ascii="宋体" w:hAnsi="宋体" w:eastAsia="宋体" w:cs="宋体"/>
                <w:spacing w:val="-1"/>
              </w:rPr>
              <w:t>环境低度敏感</w:t>
            </w:r>
            <w:r>
              <w:rPr>
                <w:spacing w:val="-1"/>
              </w:rPr>
              <w:t>(E3)</w:t>
            </w:r>
          </w:p>
        </w:tc>
        <w:tc>
          <w:tcPr>
            <w:tcW w:w="1336" w:type="dxa"/>
            <w:vAlign w:val="top"/>
          </w:tcPr>
          <w:p w14:paraId="690DF1A5">
            <w:pPr>
              <w:pStyle w:val="6"/>
              <w:spacing w:before="107" w:line="185" w:lineRule="auto"/>
              <w:ind w:left="562"/>
            </w:pPr>
            <w:r>
              <w:t>Ⅲ</w:t>
            </w:r>
          </w:p>
        </w:tc>
        <w:tc>
          <w:tcPr>
            <w:tcW w:w="1662" w:type="dxa"/>
            <w:vAlign w:val="top"/>
          </w:tcPr>
          <w:p w14:paraId="64A20F8D">
            <w:pPr>
              <w:pStyle w:val="6"/>
              <w:spacing w:before="107" w:line="185" w:lineRule="auto"/>
              <w:ind w:left="726"/>
            </w:pPr>
            <w:r>
              <w:t>Ⅲ</w:t>
            </w:r>
          </w:p>
        </w:tc>
        <w:tc>
          <w:tcPr>
            <w:tcW w:w="1661" w:type="dxa"/>
            <w:vAlign w:val="top"/>
          </w:tcPr>
          <w:p w14:paraId="2B681CC8">
            <w:pPr>
              <w:pStyle w:val="6"/>
              <w:spacing w:before="107" w:line="185" w:lineRule="auto"/>
              <w:ind w:left="760"/>
            </w:pPr>
            <w:r>
              <w:t>Ⅱ</w:t>
            </w:r>
          </w:p>
        </w:tc>
        <w:tc>
          <w:tcPr>
            <w:tcW w:w="1669" w:type="dxa"/>
            <w:vAlign w:val="top"/>
          </w:tcPr>
          <w:p w14:paraId="4E04E36A">
            <w:pPr>
              <w:pStyle w:val="6"/>
              <w:spacing w:before="107" w:line="185" w:lineRule="auto"/>
              <w:ind w:left="796"/>
            </w:pPr>
            <w:r>
              <w:t>Ⅰ</w:t>
            </w:r>
          </w:p>
        </w:tc>
      </w:tr>
      <w:tr w14:paraId="1089D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320" w:type="dxa"/>
            <w:gridSpan w:val="5"/>
            <w:vAlign w:val="top"/>
          </w:tcPr>
          <w:p w14:paraId="63CE9ACE">
            <w:pPr>
              <w:pStyle w:val="6"/>
              <w:spacing w:before="84" w:line="220" w:lineRule="auto"/>
              <w:ind w:left="11"/>
              <w:rPr>
                <w:rFonts w:ascii="宋体" w:hAnsi="宋体" w:eastAsia="宋体" w:cs="宋体"/>
                <w:sz w:val="18"/>
                <w:szCs w:val="18"/>
              </w:rPr>
            </w:pPr>
            <w:r>
              <w:rPr>
                <w:rFonts w:ascii="宋体" w:hAnsi="宋体" w:eastAsia="宋体" w:cs="宋体"/>
                <w:spacing w:val="-1"/>
                <w:sz w:val="18"/>
                <w:szCs w:val="18"/>
              </w:rPr>
              <w:t>注：</w:t>
            </w:r>
            <w:r>
              <w:rPr>
                <w:spacing w:val="-1"/>
                <w:sz w:val="18"/>
                <w:szCs w:val="18"/>
              </w:rPr>
              <w:t>Ⅳ+</w:t>
            </w:r>
            <w:r>
              <w:rPr>
                <w:rFonts w:ascii="宋体" w:hAnsi="宋体" w:eastAsia="宋体" w:cs="宋体"/>
                <w:spacing w:val="-1"/>
                <w:sz w:val="18"/>
                <w:szCs w:val="18"/>
              </w:rPr>
              <w:t>为极高环境风险</w:t>
            </w:r>
          </w:p>
        </w:tc>
      </w:tr>
    </w:tbl>
    <w:p w14:paraId="7F8B4C30">
      <w:pPr>
        <w:spacing w:before="234" w:line="212" w:lineRule="auto"/>
        <w:ind w:left="528"/>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）危险物质数量与临界量比值（</w:t>
      </w:r>
      <w:r>
        <w:rPr>
          <w:rFonts w:ascii="Times New Roman" w:hAnsi="Times New Roman" w:eastAsia="Times New Roman" w:cs="Times New Roman"/>
          <w:b/>
          <w:bCs/>
          <w:spacing w:val="-3"/>
          <w:sz w:val="24"/>
          <w:szCs w:val="24"/>
        </w:rPr>
        <w:t>Q</w:t>
      </w:r>
      <w:r>
        <w:rPr>
          <w:rFonts w:ascii="宋体" w:hAnsi="宋体" w:eastAsia="宋体" w:cs="宋体"/>
          <w:b/>
          <w:bCs/>
          <w:spacing w:val="-3"/>
          <w:sz w:val="24"/>
          <w:szCs w:val="24"/>
        </w:rPr>
        <w:t>）</w:t>
      </w:r>
    </w:p>
    <w:p w14:paraId="78633F32">
      <w:pPr>
        <w:spacing w:before="193" w:line="360" w:lineRule="auto"/>
        <w:ind w:left="39" w:right="224" w:firstLine="482"/>
        <w:jc w:val="both"/>
        <w:rPr>
          <w:rFonts w:ascii="宋体" w:hAnsi="宋体" w:eastAsia="宋体" w:cs="宋体"/>
          <w:sz w:val="24"/>
          <w:szCs w:val="24"/>
        </w:rPr>
      </w:pPr>
      <w:r>
        <w:rPr>
          <w:rFonts w:ascii="宋体" w:hAnsi="宋体" w:eastAsia="宋体" w:cs="宋体"/>
          <w:spacing w:val="-7"/>
          <w:sz w:val="24"/>
          <w:szCs w:val="24"/>
        </w:rPr>
        <w:t>分析建设项目生产、使用、储存过程中涉及的有毒有害、易燃易爆物质， 按</w:t>
      </w:r>
      <w:r>
        <w:rPr>
          <w:rFonts w:ascii="宋体" w:hAnsi="宋体" w:eastAsia="宋体" w:cs="宋体"/>
          <w:sz w:val="24"/>
          <w:szCs w:val="24"/>
        </w:rPr>
        <w:t>照《建设项目环境风险评价技术导则》（</w:t>
      </w:r>
      <w:r>
        <w:rPr>
          <w:rFonts w:ascii="Times New Roman" w:hAnsi="Times New Roman" w:eastAsia="Times New Roman" w:cs="Times New Roman"/>
          <w:sz w:val="24"/>
          <w:szCs w:val="24"/>
        </w:rPr>
        <w:t>HJ169-2018</w:t>
      </w:r>
      <w:r>
        <w:rPr>
          <w:rFonts w:ascii="宋体" w:hAnsi="宋体" w:eastAsia="宋体" w:cs="宋体"/>
          <w:sz w:val="24"/>
          <w:szCs w:val="24"/>
        </w:rPr>
        <w:t>）附</w:t>
      </w:r>
      <w:r>
        <w:rPr>
          <w:rFonts w:ascii="宋体" w:hAnsi="宋体" w:eastAsia="宋体" w:cs="宋体"/>
          <w:spacing w:val="-1"/>
          <w:sz w:val="24"/>
          <w:szCs w:val="24"/>
        </w:rPr>
        <w:t xml:space="preserve">录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确定危险物质的</w:t>
      </w:r>
      <w:r>
        <w:rPr>
          <w:rFonts w:ascii="宋体" w:hAnsi="宋体" w:eastAsia="宋体" w:cs="宋体"/>
          <w:spacing w:val="-4"/>
          <w:sz w:val="24"/>
          <w:szCs w:val="24"/>
        </w:rPr>
        <w:t>临界量，计算所涉及的每种危险物质在厂界内的最大存在</w:t>
      </w:r>
      <w:r>
        <w:rPr>
          <w:rFonts w:ascii="宋体" w:hAnsi="宋体" w:eastAsia="宋体" w:cs="宋体"/>
          <w:spacing w:val="-5"/>
          <w:sz w:val="24"/>
          <w:szCs w:val="24"/>
        </w:rPr>
        <w:t>总量与其在《建设项目</w:t>
      </w:r>
      <w:r>
        <w:rPr>
          <w:rFonts w:ascii="宋体" w:hAnsi="宋体" w:eastAsia="宋体" w:cs="宋体"/>
          <w:spacing w:val="1"/>
          <w:sz w:val="24"/>
          <w:szCs w:val="24"/>
        </w:rPr>
        <w:t>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169-2018</w:t>
      </w:r>
      <w:r>
        <w:rPr>
          <w:rFonts w:ascii="宋体" w:hAnsi="宋体" w:eastAsia="宋体" w:cs="宋体"/>
          <w:spacing w:val="1"/>
          <w:sz w:val="24"/>
          <w:szCs w:val="24"/>
        </w:rPr>
        <w:t>）附录</w:t>
      </w:r>
      <w:r>
        <w:rPr>
          <w:rFonts w:ascii="Times New Roman" w:hAnsi="Times New Roman" w:eastAsia="Times New Roman" w:cs="Times New Roman"/>
          <w:spacing w:val="1"/>
          <w:sz w:val="24"/>
          <w:szCs w:val="24"/>
        </w:rPr>
        <w:t>B</w:t>
      </w:r>
      <w:r>
        <w:rPr>
          <w:rFonts w:ascii="宋体" w:hAnsi="宋体" w:eastAsia="宋体" w:cs="宋体"/>
          <w:spacing w:val="1"/>
          <w:sz w:val="24"/>
          <w:szCs w:val="24"/>
        </w:rPr>
        <w:t>对应临界量的比值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。在不同厂</w:t>
      </w:r>
      <w:r>
        <w:rPr>
          <w:rFonts w:ascii="宋体" w:hAnsi="宋体" w:eastAsia="宋体" w:cs="宋体"/>
          <w:spacing w:val="-6"/>
          <w:sz w:val="24"/>
          <w:szCs w:val="24"/>
        </w:rPr>
        <w:t>区的同一种物质，按其在厂界内的最大存在总量计算。对于长</w:t>
      </w:r>
      <w:r>
        <w:rPr>
          <w:rFonts w:ascii="宋体" w:hAnsi="宋体" w:eastAsia="宋体" w:cs="宋体"/>
          <w:spacing w:val="-7"/>
          <w:sz w:val="24"/>
          <w:szCs w:val="24"/>
        </w:rPr>
        <w:t>输管线项目， 按照</w:t>
      </w:r>
      <w:r>
        <w:rPr>
          <w:rFonts w:ascii="宋体" w:hAnsi="宋体" w:eastAsia="宋体" w:cs="宋体"/>
          <w:spacing w:val="-2"/>
          <w:sz w:val="24"/>
          <w:szCs w:val="24"/>
        </w:rPr>
        <w:t>两个截断阀室之间管段危险物质最大存在总量计算。</w:t>
      </w:r>
    </w:p>
    <w:p w14:paraId="2EBE8044">
      <w:pPr>
        <w:spacing w:line="212" w:lineRule="auto"/>
        <w:ind w:left="534"/>
        <w:rPr>
          <w:rFonts w:ascii="宋体" w:hAnsi="宋体" w:eastAsia="宋体" w:cs="宋体"/>
          <w:sz w:val="24"/>
          <w:szCs w:val="24"/>
        </w:rPr>
      </w:pPr>
      <w:r>
        <w:rPr>
          <w:rFonts w:ascii="宋体" w:hAnsi="宋体" w:eastAsia="宋体" w:cs="宋体"/>
          <w:spacing w:val="-1"/>
          <w:sz w:val="24"/>
          <w:szCs w:val="24"/>
        </w:rPr>
        <w:t>当只涉及一种危险物质时，计算该物质的总量与其临界量比值，即为</w:t>
      </w:r>
      <w:r>
        <w:rPr>
          <w:rFonts w:ascii="Times New Roman" w:hAnsi="Times New Roman" w:eastAsia="Times New Roman" w:cs="Times New Roman"/>
          <w:spacing w:val="-1"/>
          <w:sz w:val="24"/>
          <w:szCs w:val="24"/>
        </w:rPr>
        <w:t>Q</w:t>
      </w:r>
      <w:r>
        <w:rPr>
          <w:rFonts w:ascii="宋体" w:hAnsi="宋体" w:eastAsia="宋体" w:cs="宋体"/>
          <w:spacing w:val="-1"/>
          <w:sz w:val="24"/>
          <w:szCs w:val="24"/>
        </w:rPr>
        <w:t>；</w:t>
      </w:r>
    </w:p>
    <w:p w14:paraId="27C5B20E">
      <w:pPr>
        <w:spacing w:before="192" w:line="212" w:lineRule="auto"/>
        <w:ind w:left="534"/>
        <w:rPr>
          <w:rFonts w:ascii="宋体" w:hAnsi="宋体" w:eastAsia="宋体" w:cs="宋体"/>
          <w:sz w:val="24"/>
          <w:szCs w:val="24"/>
        </w:rPr>
      </w:pPr>
      <w:r>
        <w:rPr>
          <w:rFonts w:ascii="宋体" w:hAnsi="宋体" w:eastAsia="宋体" w:cs="宋体"/>
          <w:spacing w:val="-1"/>
          <w:sz w:val="24"/>
          <w:szCs w:val="24"/>
        </w:rPr>
        <w:t>当存在多种危险物质时，则按下式计算物质总量与其临界量比值（</w:t>
      </w:r>
      <w:r>
        <w:rPr>
          <w:rFonts w:ascii="Times New Roman" w:hAnsi="Times New Roman" w:eastAsia="Times New Roman" w:cs="Times New Roman"/>
          <w:spacing w:val="-1"/>
          <w:sz w:val="24"/>
          <w:szCs w:val="24"/>
        </w:rPr>
        <w:t>Q</w:t>
      </w:r>
      <w:r>
        <w:rPr>
          <w:rFonts w:ascii="宋体" w:hAnsi="宋体" w:eastAsia="宋体" w:cs="宋体"/>
          <w:spacing w:val="-12"/>
          <w:sz w:val="24"/>
          <w:szCs w:val="24"/>
        </w:rPr>
        <w:t>）：</w:t>
      </w:r>
    </w:p>
    <w:p w14:paraId="74B142F8">
      <w:pPr>
        <w:spacing w:before="216" w:line="657" w:lineRule="exact"/>
        <w:ind w:firstLine="3141"/>
      </w:pPr>
      <w:r>
        <w:rPr>
          <w:position w:val="-13"/>
        </w:rPr>
        <w:drawing>
          <wp:inline distT="0" distB="0" distL="0" distR="0">
            <wp:extent cx="1320800" cy="41656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32"/>
                    <a:stretch>
                      <a:fillRect/>
                    </a:stretch>
                  </pic:blipFill>
                  <pic:spPr>
                    <a:xfrm>
                      <a:off x="0" y="0"/>
                      <a:ext cx="1321307" cy="416813"/>
                    </a:xfrm>
                    <a:prstGeom prst="rect">
                      <a:avLst/>
                    </a:prstGeom>
                  </pic:spPr>
                </pic:pic>
              </a:graphicData>
            </a:graphic>
          </wp:inline>
        </w:drawing>
      </w:r>
    </w:p>
    <w:p w14:paraId="4A068E97">
      <w:pPr>
        <w:spacing w:line="657" w:lineRule="exact"/>
        <w:sectPr>
          <w:headerReference r:id="rId52" w:type="default"/>
          <w:footerReference r:id="rId53" w:type="default"/>
          <w:pgSz w:w="11905" w:h="16840"/>
          <w:pgMar w:top="1168" w:right="1573" w:bottom="1409" w:left="1770" w:header="828" w:footer="1244" w:gutter="0"/>
          <w:cols w:space="720" w:num="1"/>
        </w:sectPr>
      </w:pPr>
    </w:p>
    <w:p w14:paraId="21DC8AC4">
      <w:pPr>
        <w:pStyle w:val="2"/>
        <w:spacing w:line="306" w:lineRule="auto"/>
      </w:pPr>
    </w:p>
    <w:p w14:paraId="603266F4">
      <w:pPr>
        <w:spacing w:before="78" w:line="212" w:lineRule="auto"/>
        <w:ind w:left="524"/>
        <w:rPr>
          <w:rFonts w:ascii="宋体" w:hAnsi="宋体" w:eastAsia="宋体" w:cs="宋体"/>
          <w:sz w:val="24"/>
          <w:szCs w:val="24"/>
        </w:rPr>
      </w:pPr>
      <w:bookmarkStart w:id="18" w:name="bookmark101"/>
      <w:bookmarkEnd w:id="18"/>
      <w:r>
        <w:rPr>
          <w:rFonts w:ascii="宋体" w:hAnsi="宋体" w:eastAsia="宋体" w:cs="宋体"/>
          <w:spacing w:val="-2"/>
          <w:sz w:val="24"/>
          <w:szCs w:val="24"/>
        </w:rPr>
        <w:t>式中：</w:t>
      </w:r>
      <w:r>
        <w:rPr>
          <w:rFonts w:ascii="Times New Roman" w:hAnsi="Times New Roman" w:eastAsia="Times New Roman" w:cs="Times New Roman"/>
          <w:spacing w:val="-2"/>
          <w:sz w:val="24"/>
          <w:szCs w:val="24"/>
        </w:rPr>
        <w:t>q1</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q2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u w:val="dotted" w:color="auto"/>
        </w:rPr>
        <w:t xml:space="preserve">       </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2"/>
          <w:sz w:val="24"/>
          <w:szCs w:val="24"/>
        </w:rPr>
        <w:t>qn—</w:t>
      </w:r>
      <w:r>
        <w:rPr>
          <w:rFonts w:ascii="宋体" w:hAnsi="宋体" w:eastAsia="宋体" w:cs="宋体"/>
          <w:spacing w:val="-2"/>
          <w:sz w:val="24"/>
          <w:szCs w:val="24"/>
        </w:rPr>
        <w:t>每种危险物质的最大存在量，</w:t>
      </w:r>
      <w:r>
        <w:rPr>
          <w:rFonts w:ascii="Times New Roman" w:hAnsi="Times New Roman" w:eastAsia="Times New Roman" w:cs="Times New Roman"/>
          <w:spacing w:val="-2"/>
          <w:sz w:val="24"/>
          <w:szCs w:val="24"/>
        </w:rPr>
        <w:t>t</w:t>
      </w:r>
      <w:r>
        <w:rPr>
          <w:rFonts w:ascii="宋体" w:hAnsi="宋体" w:eastAsia="宋体" w:cs="宋体"/>
          <w:spacing w:val="-2"/>
          <w:sz w:val="24"/>
          <w:szCs w:val="24"/>
        </w:rPr>
        <w:t>；</w:t>
      </w:r>
    </w:p>
    <w:p w14:paraId="1FD1E88A">
      <w:pPr>
        <w:spacing w:before="192" w:line="212" w:lineRule="auto"/>
        <w:ind w:left="1238"/>
        <w:rPr>
          <w:rFonts w:ascii="宋体" w:hAnsi="宋体" w:eastAsia="宋体" w:cs="宋体"/>
          <w:sz w:val="24"/>
          <w:szCs w:val="24"/>
        </w:rPr>
      </w:pPr>
      <w:r>
        <w:rPr>
          <w:rFonts w:ascii="Times New Roman" w:hAnsi="Times New Roman" w:eastAsia="Times New Roman" w:cs="Times New Roman"/>
          <w:spacing w:val="-3"/>
          <w:sz w:val="24"/>
          <w:szCs w:val="24"/>
        </w:rPr>
        <w:t>Q1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Q2</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1"/>
          <w:sz w:val="24"/>
          <w:szCs w:val="24"/>
          <w:u w:val="dotted" w:color="auto"/>
        </w:rPr>
        <w:t xml:space="preserve">   </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3"/>
          <w:sz w:val="24"/>
          <w:szCs w:val="24"/>
        </w:rPr>
        <w:t>Qn—</w:t>
      </w:r>
      <w:r>
        <w:rPr>
          <w:rFonts w:ascii="宋体" w:hAnsi="宋体" w:eastAsia="宋体" w:cs="宋体"/>
          <w:spacing w:val="-3"/>
          <w:sz w:val="24"/>
          <w:szCs w:val="24"/>
        </w:rPr>
        <w:t>每种危险物质的临界量，</w:t>
      </w:r>
      <w:r>
        <w:rPr>
          <w:rFonts w:ascii="Times New Roman" w:hAnsi="Times New Roman" w:eastAsia="Times New Roman" w:cs="Times New Roman"/>
          <w:spacing w:val="-3"/>
          <w:sz w:val="24"/>
          <w:szCs w:val="24"/>
        </w:rPr>
        <w:t>t</w:t>
      </w:r>
      <w:r>
        <w:rPr>
          <w:rFonts w:ascii="宋体" w:hAnsi="宋体" w:eastAsia="宋体" w:cs="宋体"/>
          <w:spacing w:val="-3"/>
          <w:sz w:val="24"/>
          <w:szCs w:val="24"/>
        </w:rPr>
        <w:t>。</w:t>
      </w:r>
    </w:p>
    <w:p w14:paraId="119D6B6F">
      <w:pPr>
        <w:spacing w:before="192" w:line="212" w:lineRule="auto"/>
        <w:ind w:left="534"/>
        <w:rPr>
          <w:rFonts w:ascii="宋体" w:hAnsi="宋体" w:eastAsia="宋体" w:cs="宋体"/>
          <w:sz w:val="24"/>
          <w:szCs w:val="24"/>
        </w:rPr>
      </w:pPr>
      <w:r>
        <w:rPr>
          <w:rFonts w:ascii="宋体" w:hAnsi="宋体" w:eastAsia="宋体" w:cs="宋体"/>
          <w:spacing w:val="-4"/>
          <w:sz w:val="24"/>
          <w:szCs w:val="24"/>
        </w:rPr>
        <w:t>当</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Q</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时，该项目环境风险潜势为</w:t>
      </w:r>
      <w:r>
        <w:rPr>
          <w:rFonts w:ascii="Times New Roman" w:hAnsi="Times New Roman" w:eastAsia="Times New Roman" w:cs="Times New Roman"/>
          <w:spacing w:val="-4"/>
          <w:sz w:val="24"/>
          <w:szCs w:val="24"/>
        </w:rPr>
        <w:t>Ⅰ</w:t>
      </w:r>
      <w:r>
        <w:rPr>
          <w:rFonts w:ascii="宋体" w:hAnsi="宋体" w:eastAsia="宋体" w:cs="宋体"/>
          <w:spacing w:val="-4"/>
          <w:sz w:val="24"/>
          <w:szCs w:val="24"/>
        </w:rPr>
        <w:t>。</w:t>
      </w:r>
    </w:p>
    <w:p w14:paraId="755D0214">
      <w:pPr>
        <w:spacing w:before="192" w:line="212" w:lineRule="auto"/>
        <w:ind w:left="534"/>
        <w:rPr>
          <w:rFonts w:ascii="宋体" w:hAnsi="宋体" w:eastAsia="宋体" w:cs="宋体"/>
          <w:sz w:val="24"/>
          <w:szCs w:val="24"/>
        </w:rPr>
      </w:pPr>
      <w:r>
        <w:rPr>
          <w:rFonts w:ascii="宋体" w:hAnsi="宋体" w:eastAsia="宋体" w:cs="宋体"/>
          <w:spacing w:val="-1"/>
          <w:sz w:val="24"/>
          <w:szCs w:val="24"/>
        </w:rPr>
        <w:t>当</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Q</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时，将</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Q </w:t>
      </w:r>
      <w:r>
        <w:rPr>
          <w:rFonts w:ascii="宋体" w:hAnsi="宋体" w:eastAsia="宋体" w:cs="宋体"/>
          <w:spacing w:val="-1"/>
          <w:sz w:val="24"/>
          <w:szCs w:val="24"/>
        </w:rPr>
        <w:t>值划分为：</w:t>
      </w:r>
      <w:r>
        <w:rPr>
          <w:rFonts w:ascii="Times New Roman" w:hAnsi="Times New Roman" w:eastAsia="Times New Roman" w:cs="Times New Roman"/>
          <w:spacing w:val="-1"/>
          <w:sz w:val="24"/>
          <w:szCs w:val="24"/>
        </w:rPr>
        <w:t>(1)1</w:t>
      </w:r>
      <w:r>
        <w:rPr>
          <w:rFonts w:ascii="宋体" w:hAnsi="宋体" w:eastAsia="宋体" w:cs="宋体"/>
          <w:spacing w:val="-1"/>
          <w:sz w:val="24"/>
          <w:szCs w:val="24"/>
        </w:rPr>
        <w:t>≤</w:t>
      </w:r>
      <w:r>
        <w:rPr>
          <w:rFonts w:ascii="Times New Roman" w:hAnsi="Times New Roman" w:eastAsia="Times New Roman" w:cs="Times New Roman"/>
          <w:spacing w:val="-1"/>
          <w:sz w:val="24"/>
          <w:szCs w:val="24"/>
        </w:rPr>
        <w:t>Q</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r>
        <w:rPr>
          <w:rFonts w:ascii="Times New Roman" w:hAnsi="Times New Roman" w:eastAsia="Times New Roman" w:cs="Times New Roman"/>
          <w:spacing w:val="-2"/>
          <w:sz w:val="24"/>
          <w:szCs w:val="24"/>
        </w:rPr>
        <w:t>Q</w:t>
      </w:r>
      <w:r>
        <w:rPr>
          <w:rFonts w:ascii="宋体" w:hAnsi="宋体" w:eastAsia="宋体" w:cs="宋体"/>
          <w:spacing w:val="-2"/>
          <w:sz w:val="24"/>
          <w:szCs w:val="24"/>
        </w:rPr>
        <w:t>＜</w:t>
      </w:r>
      <w:r>
        <w:rPr>
          <w:rFonts w:ascii="Times New Roman" w:hAnsi="Times New Roman" w:eastAsia="Times New Roman" w:cs="Times New Roman"/>
          <w:spacing w:val="-2"/>
          <w:sz w:val="24"/>
          <w:szCs w:val="24"/>
        </w:rPr>
        <w:t>100</w:t>
      </w:r>
      <w:r>
        <w:rPr>
          <w:rFonts w:ascii="宋体" w:hAnsi="宋体" w:eastAsia="宋体" w:cs="宋体"/>
          <w:spacing w:val="-2"/>
          <w:sz w:val="24"/>
          <w:szCs w:val="24"/>
        </w:rPr>
        <w:t>；</w:t>
      </w:r>
      <w:r>
        <w:rPr>
          <w:rFonts w:ascii="Times New Roman" w:hAnsi="Times New Roman" w:eastAsia="Times New Roman" w:cs="Times New Roman"/>
          <w:spacing w:val="-2"/>
          <w:sz w:val="24"/>
          <w:szCs w:val="24"/>
        </w:rPr>
        <w:t>(3)Q</w:t>
      </w:r>
      <w:r>
        <w:rPr>
          <w:rFonts w:ascii="宋体" w:hAnsi="宋体" w:eastAsia="宋体" w:cs="宋体"/>
          <w:spacing w:val="-2"/>
          <w:sz w:val="24"/>
          <w:szCs w:val="24"/>
        </w:rPr>
        <w:t>≥</w:t>
      </w:r>
      <w:r>
        <w:rPr>
          <w:rFonts w:ascii="Times New Roman" w:hAnsi="Times New Roman" w:eastAsia="Times New Roman" w:cs="Times New Roman"/>
          <w:spacing w:val="-2"/>
          <w:sz w:val="24"/>
          <w:szCs w:val="24"/>
        </w:rPr>
        <w:t>100</w:t>
      </w:r>
      <w:r>
        <w:rPr>
          <w:rFonts w:ascii="宋体" w:hAnsi="宋体" w:eastAsia="宋体" w:cs="宋体"/>
          <w:spacing w:val="-2"/>
          <w:sz w:val="24"/>
          <w:szCs w:val="24"/>
        </w:rPr>
        <w:t>。</w:t>
      </w:r>
    </w:p>
    <w:p w14:paraId="3159AB16">
      <w:pPr>
        <w:spacing w:before="192" w:line="361" w:lineRule="auto"/>
        <w:ind w:left="45" w:right="29" w:firstLine="473"/>
        <w:rPr>
          <w:rFonts w:ascii="宋体" w:hAnsi="宋体" w:eastAsia="宋体" w:cs="宋体"/>
          <w:sz w:val="24"/>
          <w:szCs w:val="24"/>
        </w:rPr>
      </w:pPr>
      <w:r>
        <w:rPr>
          <w:rFonts w:ascii="宋体" w:hAnsi="宋体" w:eastAsia="宋体" w:cs="宋体"/>
          <w:spacing w:val="-5"/>
          <w:sz w:val="24"/>
          <w:szCs w:val="24"/>
        </w:rPr>
        <w:t>根据《建设项目环境风险评价技术导则》（</w:t>
      </w:r>
      <w:r>
        <w:rPr>
          <w:rFonts w:ascii="Times New Roman" w:hAnsi="Times New Roman" w:eastAsia="Times New Roman" w:cs="Times New Roman"/>
          <w:spacing w:val="-5"/>
          <w:sz w:val="24"/>
          <w:szCs w:val="24"/>
        </w:rPr>
        <w:t>HJ169-2018</w:t>
      </w:r>
      <w:r>
        <w:rPr>
          <w:rFonts w:ascii="宋体" w:hAnsi="宋体" w:eastAsia="宋体" w:cs="宋体"/>
          <w:spacing w:val="-5"/>
          <w:sz w:val="24"/>
          <w:szCs w:val="24"/>
        </w:rPr>
        <w:t xml:space="preserve">）附录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、附录</w:t>
      </w:r>
      <w:r>
        <w:rPr>
          <w:rFonts w:ascii="Times New Roman" w:hAnsi="Times New Roman" w:eastAsia="Times New Roman" w:cs="Times New Roman"/>
          <w:spacing w:val="-5"/>
          <w:sz w:val="24"/>
          <w:szCs w:val="24"/>
        </w:rPr>
        <w:t>B.2</w:t>
      </w:r>
      <w:r>
        <w:rPr>
          <w:rFonts w:ascii="Times New Roman" w:hAnsi="Times New Roman" w:eastAsia="Times New Roman" w:cs="Times New Roman"/>
          <w:sz w:val="24"/>
          <w:szCs w:val="24"/>
        </w:rPr>
        <w:t xml:space="preserve"> </w:t>
      </w:r>
      <w:r>
        <w:rPr>
          <w:rFonts w:ascii="宋体" w:hAnsi="宋体" w:eastAsia="宋体" w:cs="宋体"/>
          <w:sz w:val="24"/>
          <w:szCs w:val="24"/>
        </w:rPr>
        <w:t>（化学品分类和标签规范》（</w:t>
      </w:r>
      <w:r>
        <w:rPr>
          <w:rFonts w:ascii="Times New Roman" w:hAnsi="Times New Roman" w:eastAsia="Times New Roman" w:cs="Times New Roman"/>
          <w:sz w:val="24"/>
          <w:szCs w:val="24"/>
        </w:rPr>
        <w:t>GB30000.18-2013</w:t>
      </w:r>
      <w:r>
        <w:rPr>
          <w:rFonts w:ascii="宋体" w:hAnsi="宋体" w:eastAsia="宋体" w:cs="宋体"/>
          <w:sz w:val="24"/>
          <w:szCs w:val="24"/>
        </w:rPr>
        <w:t>）和《化学品分类和标签规范》</w:t>
      </w:r>
      <w:r>
        <w:rPr>
          <w:rFonts w:ascii="宋体" w:hAnsi="宋体" w:eastAsia="宋体" w:cs="宋体"/>
          <w:spacing w:val="6"/>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GB30000.28-2013</w:t>
      </w:r>
      <w:r>
        <w:rPr>
          <w:rFonts w:ascii="宋体" w:hAnsi="宋体" w:eastAsia="宋体" w:cs="宋体"/>
          <w:spacing w:val="1"/>
          <w:sz w:val="24"/>
          <w:szCs w:val="24"/>
        </w:rPr>
        <w:t>），</w:t>
      </w:r>
      <w:r>
        <w:rPr>
          <w:rFonts w:ascii="宋体" w:hAnsi="宋体" w:eastAsia="宋体" w:cs="宋体"/>
          <w:spacing w:val="-2"/>
          <w:sz w:val="24"/>
          <w:szCs w:val="24"/>
        </w:rPr>
        <w:t>本项目风险识别如下。</w:t>
      </w:r>
    </w:p>
    <w:p w14:paraId="4BEFD123">
      <w:pPr>
        <w:spacing w:before="9" w:line="212" w:lineRule="auto"/>
        <w:ind w:left="2771"/>
        <w:rPr>
          <w:rFonts w:ascii="黑体" w:hAnsi="黑体" w:eastAsia="黑体" w:cs="黑体"/>
          <w:sz w:val="21"/>
          <w:szCs w:val="21"/>
        </w:rPr>
      </w:pPr>
      <w:r>
        <w:rPr>
          <w:rFonts w:ascii="黑体" w:hAnsi="黑体" w:eastAsia="黑体" w:cs="黑体"/>
          <w:spacing w:val="-3"/>
          <w:sz w:val="21"/>
          <w:szCs w:val="21"/>
        </w:rPr>
        <w:t>表</w:t>
      </w:r>
      <w:r>
        <w:rPr>
          <w:rFonts w:ascii="黑体" w:hAnsi="黑体" w:eastAsia="黑体" w:cs="黑体"/>
          <w:spacing w:val="-16"/>
          <w:sz w:val="21"/>
          <w:szCs w:val="21"/>
        </w:rPr>
        <w:t xml:space="preserve"> </w:t>
      </w:r>
      <w:r>
        <w:rPr>
          <w:rFonts w:ascii="Times New Roman" w:hAnsi="Times New Roman" w:eastAsia="Times New Roman" w:cs="Times New Roman"/>
          <w:spacing w:val="-3"/>
          <w:sz w:val="21"/>
          <w:szCs w:val="21"/>
        </w:rPr>
        <w:t xml:space="preserve">1.3-11  </w:t>
      </w:r>
      <w:r>
        <w:rPr>
          <w:rFonts w:ascii="黑体" w:hAnsi="黑体" w:eastAsia="黑体" w:cs="黑体"/>
          <w:spacing w:val="-3"/>
          <w:sz w:val="21"/>
          <w:szCs w:val="21"/>
        </w:rPr>
        <w:t>建设项目</w:t>
      </w:r>
      <w:r>
        <w:rPr>
          <w:rFonts w:ascii="黑体" w:hAnsi="黑体" w:eastAsia="黑体" w:cs="黑体"/>
          <w:spacing w:val="-43"/>
          <w:sz w:val="21"/>
          <w:szCs w:val="21"/>
        </w:rPr>
        <w:t xml:space="preserve"> </w:t>
      </w:r>
      <w:r>
        <w:rPr>
          <w:rFonts w:ascii="Times New Roman" w:hAnsi="Times New Roman" w:eastAsia="Times New Roman" w:cs="Times New Roman"/>
          <w:spacing w:val="-3"/>
          <w:sz w:val="21"/>
          <w:szCs w:val="21"/>
        </w:rPr>
        <w:t xml:space="preserve">Q </w:t>
      </w:r>
      <w:r>
        <w:rPr>
          <w:rFonts w:ascii="黑体" w:hAnsi="黑体" w:eastAsia="黑体" w:cs="黑体"/>
          <w:spacing w:val="-3"/>
          <w:sz w:val="21"/>
          <w:szCs w:val="21"/>
        </w:rPr>
        <w:t>值确定表</w:t>
      </w:r>
    </w:p>
    <w:p w14:paraId="0431D275">
      <w:pPr>
        <w:spacing w:line="9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699"/>
        <w:gridCol w:w="1133"/>
        <w:gridCol w:w="1685"/>
        <w:gridCol w:w="1286"/>
        <w:gridCol w:w="1799"/>
      </w:tblGrid>
      <w:tr w14:paraId="7A582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8" w:type="dxa"/>
            <w:vAlign w:val="top"/>
          </w:tcPr>
          <w:p w14:paraId="3480E1AC">
            <w:pPr>
              <w:spacing w:before="68" w:line="221" w:lineRule="auto"/>
              <w:ind w:left="164"/>
              <w:rPr>
                <w:rFonts w:ascii="宋体" w:hAnsi="宋体" w:eastAsia="宋体" w:cs="宋体"/>
                <w:sz w:val="21"/>
                <w:szCs w:val="21"/>
              </w:rPr>
            </w:pPr>
            <w:r>
              <w:rPr>
                <w:rFonts w:ascii="宋体" w:hAnsi="宋体" w:eastAsia="宋体" w:cs="宋体"/>
                <w:spacing w:val="-5"/>
                <w:sz w:val="21"/>
                <w:szCs w:val="21"/>
              </w:rPr>
              <w:t>序号</w:t>
            </w:r>
          </w:p>
        </w:tc>
        <w:tc>
          <w:tcPr>
            <w:tcW w:w="1699" w:type="dxa"/>
            <w:vAlign w:val="top"/>
          </w:tcPr>
          <w:p w14:paraId="74314A32">
            <w:pPr>
              <w:spacing w:before="69" w:line="220" w:lineRule="auto"/>
              <w:ind w:left="251"/>
              <w:rPr>
                <w:rFonts w:ascii="宋体" w:hAnsi="宋体" w:eastAsia="宋体" w:cs="宋体"/>
                <w:sz w:val="21"/>
                <w:szCs w:val="21"/>
              </w:rPr>
            </w:pPr>
            <w:r>
              <w:rPr>
                <w:rFonts w:ascii="宋体" w:hAnsi="宋体" w:eastAsia="宋体" w:cs="宋体"/>
                <w:spacing w:val="-9"/>
                <w:sz w:val="21"/>
                <w:szCs w:val="21"/>
              </w:rPr>
              <w:t>危险物质名称</w:t>
            </w:r>
          </w:p>
        </w:tc>
        <w:tc>
          <w:tcPr>
            <w:tcW w:w="1133" w:type="dxa"/>
            <w:vAlign w:val="top"/>
          </w:tcPr>
          <w:p w14:paraId="6F6B79F0">
            <w:pPr>
              <w:pStyle w:val="6"/>
              <w:spacing w:before="68" w:line="221" w:lineRule="auto"/>
              <w:ind w:left="244"/>
              <w:rPr>
                <w:rFonts w:ascii="宋体" w:hAnsi="宋体" w:eastAsia="宋体" w:cs="宋体"/>
              </w:rPr>
            </w:pPr>
            <w:r>
              <w:rPr>
                <w:spacing w:val="-5"/>
              </w:rPr>
              <w:t>CAS</w:t>
            </w:r>
            <w:r>
              <w:rPr>
                <w:spacing w:val="7"/>
              </w:rPr>
              <w:t xml:space="preserve"> </w:t>
            </w:r>
            <w:r>
              <w:rPr>
                <w:rFonts w:ascii="宋体" w:hAnsi="宋体" w:eastAsia="宋体" w:cs="宋体"/>
                <w:spacing w:val="-5"/>
              </w:rPr>
              <w:t>号</w:t>
            </w:r>
          </w:p>
        </w:tc>
        <w:tc>
          <w:tcPr>
            <w:tcW w:w="1685" w:type="dxa"/>
            <w:vAlign w:val="top"/>
          </w:tcPr>
          <w:p w14:paraId="2959173F">
            <w:pPr>
              <w:pStyle w:val="6"/>
              <w:spacing w:before="69" w:line="212" w:lineRule="auto"/>
              <w:ind w:left="168"/>
            </w:pPr>
            <w:r>
              <w:rPr>
                <w:rFonts w:ascii="宋体" w:hAnsi="宋体" w:eastAsia="宋体" w:cs="宋体"/>
                <w:spacing w:val="-8"/>
              </w:rPr>
              <w:t>最大储存量</w:t>
            </w:r>
            <w:r>
              <w:rPr>
                <w:rFonts w:ascii="宋体" w:hAnsi="宋体" w:eastAsia="宋体" w:cs="宋体"/>
                <w:spacing w:val="-55"/>
              </w:rPr>
              <w:t xml:space="preserve"> </w:t>
            </w:r>
            <w:r>
              <w:rPr>
                <w:spacing w:val="-8"/>
              </w:rPr>
              <w:t>qn/t</w:t>
            </w:r>
          </w:p>
        </w:tc>
        <w:tc>
          <w:tcPr>
            <w:tcW w:w="1286" w:type="dxa"/>
            <w:vAlign w:val="top"/>
          </w:tcPr>
          <w:p w14:paraId="4978C092">
            <w:pPr>
              <w:pStyle w:val="6"/>
              <w:spacing w:before="69" w:line="212" w:lineRule="auto"/>
              <w:ind w:left="154"/>
            </w:pPr>
            <w:r>
              <w:rPr>
                <w:rFonts w:ascii="宋体" w:hAnsi="宋体" w:eastAsia="宋体" w:cs="宋体"/>
                <w:spacing w:val="-9"/>
              </w:rPr>
              <w:t>临界量</w:t>
            </w:r>
            <w:r>
              <w:rPr>
                <w:rFonts w:ascii="宋体" w:hAnsi="宋体" w:eastAsia="宋体" w:cs="宋体"/>
                <w:spacing w:val="-53"/>
              </w:rPr>
              <w:t xml:space="preserve"> </w:t>
            </w:r>
            <w:r>
              <w:rPr>
                <w:spacing w:val="-9"/>
              </w:rPr>
              <w:t>Qn/t</w:t>
            </w:r>
          </w:p>
        </w:tc>
        <w:tc>
          <w:tcPr>
            <w:tcW w:w="1799" w:type="dxa"/>
            <w:vAlign w:val="top"/>
          </w:tcPr>
          <w:p w14:paraId="0A993E05">
            <w:pPr>
              <w:pStyle w:val="6"/>
              <w:spacing w:before="69" w:line="212" w:lineRule="auto"/>
              <w:ind w:left="39"/>
              <w:rPr>
                <w:rFonts w:ascii="宋体" w:hAnsi="宋体" w:eastAsia="宋体" w:cs="宋体"/>
              </w:rPr>
            </w:pPr>
            <w:r>
              <w:rPr>
                <w:rFonts w:ascii="宋体" w:hAnsi="宋体" w:eastAsia="宋体" w:cs="宋体"/>
                <w:spacing w:val="-2"/>
              </w:rPr>
              <w:t>该种危险物质</w:t>
            </w:r>
            <w:r>
              <w:rPr>
                <w:rFonts w:ascii="宋体" w:hAnsi="宋体" w:eastAsia="宋体" w:cs="宋体"/>
                <w:spacing w:val="-39"/>
              </w:rPr>
              <w:t xml:space="preserve"> </w:t>
            </w:r>
            <w:r>
              <w:rPr>
                <w:spacing w:val="-2"/>
              </w:rPr>
              <w:t xml:space="preserve">Q </w:t>
            </w:r>
            <w:r>
              <w:rPr>
                <w:rFonts w:ascii="宋体" w:hAnsi="宋体" w:eastAsia="宋体" w:cs="宋体"/>
                <w:spacing w:val="-2"/>
              </w:rPr>
              <w:t>值</w:t>
            </w:r>
          </w:p>
        </w:tc>
      </w:tr>
      <w:tr w14:paraId="3E607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8" w:type="dxa"/>
            <w:vAlign w:val="top"/>
          </w:tcPr>
          <w:p w14:paraId="54508D37">
            <w:pPr>
              <w:pStyle w:val="6"/>
              <w:spacing w:before="102" w:line="188" w:lineRule="auto"/>
              <w:ind w:left="331"/>
            </w:pPr>
            <w:r>
              <w:t>1</w:t>
            </w:r>
          </w:p>
        </w:tc>
        <w:tc>
          <w:tcPr>
            <w:tcW w:w="1699" w:type="dxa"/>
            <w:vAlign w:val="top"/>
          </w:tcPr>
          <w:p w14:paraId="5F0039B3">
            <w:pPr>
              <w:spacing w:before="65" w:line="220" w:lineRule="auto"/>
              <w:ind w:left="649"/>
              <w:rPr>
                <w:rFonts w:ascii="宋体" w:hAnsi="宋体" w:eastAsia="宋体" w:cs="宋体"/>
                <w:sz w:val="21"/>
                <w:szCs w:val="21"/>
              </w:rPr>
            </w:pPr>
            <w:r>
              <w:rPr>
                <w:rFonts w:ascii="宋体" w:hAnsi="宋体" w:eastAsia="宋体" w:cs="宋体"/>
                <w:spacing w:val="-5"/>
                <w:sz w:val="21"/>
                <w:szCs w:val="21"/>
              </w:rPr>
              <w:t>柴油</w:t>
            </w:r>
          </w:p>
        </w:tc>
        <w:tc>
          <w:tcPr>
            <w:tcW w:w="1133" w:type="dxa"/>
            <w:vAlign w:val="top"/>
          </w:tcPr>
          <w:p w14:paraId="5E139E0E">
            <w:pPr>
              <w:pStyle w:val="6"/>
              <w:spacing w:before="97" w:line="192" w:lineRule="auto"/>
              <w:ind w:left="532"/>
            </w:pPr>
            <w:r>
              <w:t>/</w:t>
            </w:r>
          </w:p>
        </w:tc>
        <w:tc>
          <w:tcPr>
            <w:tcW w:w="1685" w:type="dxa"/>
            <w:vAlign w:val="top"/>
          </w:tcPr>
          <w:p w14:paraId="126DB3D1">
            <w:pPr>
              <w:pStyle w:val="6"/>
              <w:spacing w:before="101" w:line="188" w:lineRule="auto"/>
              <w:ind w:left="569"/>
            </w:pPr>
            <w:r>
              <w:rPr>
                <w:spacing w:val="-5"/>
              </w:rPr>
              <w:t>0.5070</w:t>
            </w:r>
          </w:p>
        </w:tc>
        <w:tc>
          <w:tcPr>
            <w:tcW w:w="1286" w:type="dxa"/>
            <w:vAlign w:val="top"/>
          </w:tcPr>
          <w:p w14:paraId="2EDC32B5">
            <w:pPr>
              <w:pStyle w:val="6"/>
              <w:spacing w:before="101" w:line="188" w:lineRule="auto"/>
              <w:ind w:left="440"/>
            </w:pPr>
            <w:r>
              <w:rPr>
                <w:spacing w:val="-4"/>
              </w:rPr>
              <w:t>2500</w:t>
            </w:r>
          </w:p>
        </w:tc>
        <w:tc>
          <w:tcPr>
            <w:tcW w:w="1799" w:type="dxa"/>
            <w:vAlign w:val="top"/>
          </w:tcPr>
          <w:p w14:paraId="0DE4847C">
            <w:pPr>
              <w:pStyle w:val="6"/>
              <w:spacing w:before="101" w:line="188" w:lineRule="auto"/>
              <w:ind w:left="453"/>
            </w:pPr>
            <w:r>
              <w:rPr>
                <w:spacing w:val="-1"/>
              </w:rPr>
              <w:t>0.0002028</w:t>
            </w:r>
          </w:p>
        </w:tc>
      </w:tr>
      <w:tr w14:paraId="4E3EB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8" w:type="dxa"/>
            <w:vAlign w:val="top"/>
          </w:tcPr>
          <w:p w14:paraId="53631E90">
            <w:pPr>
              <w:pStyle w:val="6"/>
              <w:spacing w:before="103" w:line="188" w:lineRule="auto"/>
              <w:ind w:left="311"/>
            </w:pPr>
            <w:r>
              <w:t>2</w:t>
            </w:r>
          </w:p>
        </w:tc>
        <w:tc>
          <w:tcPr>
            <w:tcW w:w="1699" w:type="dxa"/>
            <w:vAlign w:val="top"/>
          </w:tcPr>
          <w:p w14:paraId="5AE1DD3A">
            <w:pPr>
              <w:spacing w:before="66" w:line="220" w:lineRule="auto"/>
              <w:ind w:left="454"/>
              <w:rPr>
                <w:rFonts w:ascii="宋体" w:hAnsi="宋体" w:eastAsia="宋体" w:cs="宋体"/>
                <w:sz w:val="21"/>
                <w:szCs w:val="21"/>
              </w:rPr>
            </w:pPr>
            <w:r>
              <w:rPr>
                <w:rFonts w:ascii="宋体" w:hAnsi="宋体" w:eastAsia="宋体" w:cs="宋体"/>
                <w:spacing w:val="-8"/>
                <w:sz w:val="21"/>
                <w:szCs w:val="21"/>
              </w:rPr>
              <w:t>次氯酸钠</w:t>
            </w:r>
          </w:p>
        </w:tc>
        <w:tc>
          <w:tcPr>
            <w:tcW w:w="1133" w:type="dxa"/>
            <w:vAlign w:val="top"/>
          </w:tcPr>
          <w:p w14:paraId="474762F8">
            <w:pPr>
              <w:pStyle w:val="6"/>
              <w:spacing w:before="103" w:line="188" w:lineRule="auto"/>
              <w:ind w:left="151"/>
            </w:pPr>
            <w:r>
              <w:rPr>
                <w:spacing w:val="-5"/>
              </w:rPr>
              <w:t>7681-52-9</w:t>
            </w:r>
          </w:p>
        </w:tc>
        <w:tc>
          <w:tcPr>
            <w:tcW w:w="1685" w:type="dxa"/>
            <w:vAlign w:val="top"/>
          </w:tcPr>
          <w:p w14:paraId="0488F70B">
            <w:pPr>
              <w:pStyle w:val="6"/>
              <w:spacing w:before="103" w:line="188" w:lineRule="auto"/>
              <w:ind w:left="719"/>
            </w:pPr>
            <w:r>
              <w:rPr>
                <w:spacing w:val="-4"/>
              </w:rPr>
              <w:t>0.9</w:t>
            </w:r>
          </w:p>
        </w:tc>
        <w:tc>
          <w:tcPr>
            <w:tcW w:w="1286" w:type="dxa"/>
            <w:vAlign w:val="top"/>
          </w:tcPr>
          <w:p w14:paraId="103806ED">
            <w:pPr>
              <w:pStyle w:val="6"/>
              <w:spacing w:before="106" w:line="185" w:lineRule="auto"/>
              <w:ind w:left="596"/>
            </w:pPr>
            <w:r>
              <w:t>5</w:t>
            </w:r>
          </w:p>
        </w:tc>
        <w:tc>
          <w:tcPr>
            <w:tcW w:w="1799" w:type="dxa"/>
            <w:vAlign w:val="top"/>
          </w:tcPr>
          <w:p w14:paraId="69820BBC">
            <w:pPr>
              <w:pStyle w:val="6"/>
              <w:spacing w:before="103" w:line="188" w:lineRule="auto"/>
              <w:ind w:left="716"/>
            </w:pPr>
            <w:r>
              <w:rPr>
                <w:spacing w:val="-2"/>
              </w:rPr>
              <w:t>0.18</w:t>
            </w:r>
          </w:p>
        </w:tc>
      </w:tr>
      <w:tr w14:paraId="1E99E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8" w:type="dxa"/>
            <w:vAlign w:val="top"/>
          </w:tcPr>
          <w:p w14:paraId="398CC9B8">
            <w:pPr>
              <w:pStyle w:val="6"/>
              <w:spacing w:before="104" w:line="188" w:lineRule="auto"/>
              <w:ind w:left="315"/>
            </w:pPr>
            <w:r>
              <w:t>3</w:t>
            </w:r>
          </w:p>
        </w:tc>
        <w:tc>
          <w:tcPr>
            <w:tcW w:w="1699" w:type="dxa"/>
            <w:vAlign w:val="top"/>
          </w:tcPr>
          <w:p w14:paraId="3F45F4E8">
            <w:pPr>
              <w:spacing w:before="68" w:line="220" w:lineRule="auto"/>
              <w:ind w:left="53"/>
              <w:rPr>
                <w:rFonts w:ascii="宋体" w:hAnsi="宋体" w:eastAsia="宋体" w:cs="宋体"/>
                <w:sz w:val="21"/>
                <w:szCs w:val="21"/>
              </w:rPr>
            </w:pPr>
            <w:r>
              <w:rPr>
                <w:rFonts w:ascii="宋体" w:hAnsi="宋体" w:eastAsia="宋体" w:cs="宋体"/>
                <w:spacing w:val="-10"/>
                <w:sz w:val="21"/>
                <w:szCs w:val="21"/>
              </w:rPr>
              <w:t>沼气（主要甲烷）</w:t>
            </w:r>
          </w:p>
        </w:tc>
        <w:tc>
          <w:tcPr>
            <w:tcW w:w="1133" w:type="dxa"/>
            <w:vAlign w:val="top"/>
          </w:tcPr>
          <w:p w14:paraId="5EE335F7">
            <w:pPr>
              <w:pStyle w:val="6"/>
              <w:spacing w:before="100" w:line="192" w:lineRule="auto"/>
              <w:ind w:left="532"/>
            </w:pPr>
            <w:r>
              <w:t>/</w:t>
            </w:r>
          </w:p>
        </w:tc>
        <w:tc>
          <w:tcPr>
            <w:tcW w:w="1685" w:type="dxa"/>
            <w:vAlign w:val="top"/>
          </w:tcPr>
          <w:p w14:paraId="11D4C163">
            <w:pPr>
              <w:pStyle w:val="6"/>
              <w:spacing w:before="104" w:line="188" w:lineRule="auto"/>
              <w:ind w:left="669"/>
            </w:pPr>
            <w:r>
              <w:rPr>
                <w:spacing w:val="-5"/>
              </w:rPr>
              <w:t>0.34</w:t>
            </w:r>
          </w:p>
        </w:tc>
        <w:tc>
          <w:tcPr>
            <w:tcW w:w="1286" w:type="dxa"/>
            <w:vAlign w:val="top"/>
          </w:tcPr>
          <w:p w14:paraId="44737159">
            <w:pPr>
              <w:pStyle w:val="6"/>
              <w:spacing w:before="104" w:line="188" w:lineRule="auto"/>
              <w:ind w:left="560"/>
            </w:pPr>
            <w:r>
              <w:rPr>
                <w:spacing w:val="-13"/>
              </w:rPr>
              <w:t>10</w:t>
            </w:r>
          </w:p>
        </w:tc>
        <w:tc>
          <w:tcPr>
            <w:tcW w:w="1799" w:type="dxa"/>
            <w:vAlign w:val="top"/>
          </w:tcPr>
          <w:p w14:paraId="7681E1F4">
            <w:pPr>
              <w:pStyle w:val="6"/>
              <w:spacing w:before="104" w:line="188" w:lineRule="auto"/>
              <w:ind w:left="663"/>
            </w:pPr>
            <w:r>
              <w:rPr>
                <w:spacing w:val="-2"/>
              </w:rPr>
              <w:t>0.034</w:t>
            </w:r>
          </w:p>
        </w:tc>
      </w:tr>
    </w:tbl>
    <w:p w14:paraId="05B1A03D">
      <w:pPr>
        <w:spacing w:before="236" w:line="356" w:lineRule="auto"/>
        <w:ind w:left="38" w:right="30" w:firstLine="480"/>
        <w:jc w:val="both"/>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）附录</w:t>
      </w:r>
      <w:r>
        <w:rPr>
          <w:rFonts w:ascii="Times New Roman" w:hAnsi="Times New Roman" w:eastAsia="Times New Roman" w:cs="Times New Roman"/>
          <w:spacing w:val="-1"/>
          <w:sz w:val="24"/>
          <w:szCs w:val="24"/>
        </w:rPr>
        <w:t>B</w:t>
      </w:r>
      <w:r>
        <w:rPr>
          <w:rFonts w:ascii="宋体" w:hAnsi="宋体" w:eastAsia="宋体" w:cs="宋体"/>
          <w:spacing w:val="-1"/>
          <w:sz w:val="24"/>
          <w:szCs w:val="24"/>
        </w:rPr>
        <w:t>，本项目涉</w:t>
      </w:r>
      <w:r>
        <w:rPr>
          <w:rFonts w:ascii="宋体" w:hAnsi="宋体" w:eastAsia="宋体" w:cs="宋体"/>
          <w:spacing w:val="-8"/>
          <w:sz w:val="24"/>
          <w:szCs w:val="24"/>
        </w:rPr>
        <w:t>及的危险物质主要为柴油、次氯酸钠、沼气，柴</w:t>
      </w:r>
      <w:r>
        <w:rPr>
          <w:rFonts w:ascii="宋体" w:hAnsi="宋体" w:eastAsia="宋体" w:cs="宋体"/>
          <w:spacing w:val="-9"/>
          <w:sz w:val="24"/>
          <w:szCs w:val="24"/>
        </w:rPr>
        <w:t>油最大储量为</w:t>
      </w:r>
      <w:r>
        <w:rPr>
          <w:rFonts w:ascii="Times New Roman" w:hAnsi="Times New Roman" w:eastAsia="Times New Roman" w:cs="Times New Roman"/>
          <w:spacing w:val="-9"/>
          <w:sz w:val="24"/>
          <w:szCs w:val="24"/>
        </w:rPr>
        <w:t>600L</w:t>
      </w:r>
      <w:r>
        <w:rPr>
          <w:rFonts w:ascii="宋体" w:hAnsi="宋体" w:eastAsia="宋体" w:cs="宋体"/>
          <w:spacing w:val="-9"/>
          <w:sz w:val="24"/>
          <w:szCs w:val="24"/>
        </w:rPr>
        <w:t>(</w:t>
      </w:r>
      <w:r>
        <w:rPr>
          <w:rFonts w:ascii="Times New Roman" w:hAnsi="Times New Roman" w:eastAsia="Times New Roman" w:cs="Times New Roman"/>
          <w:spacing w:val="-9"/>
          <w:sz w:val="24"/>
          <w:szCs w:val="24"/>
        </w:rPr>
        <w:t>ρ=845kg/m</w:t>
      </w:r>
      <w:r>
        <w:rPr>
          <w:rFonts w:ascii="Times New Roman" w:hAnsi="Times New Roman" w:eastAsia="Times New Roman" w:cs="Times New Roman"/>
          <w:spacing w:val="-9"/>
          <w:position w:val="1"/>
          <w:sz w:val="15"/>
          <w:szCs w:val="15"/>
        </w:rPr>
        <w:t>3</w:t>
      </w:r>
      <w:r>
        <w:rPr>
          <w:rFonts w:ascii="宋体" w:hAnsi="宋体" w:eastAsia="宋体" w:cs="宋体"/>
          <w:spacing w:val="-59"/>
          <w:position w:val="1"/>
          <w:sz w:val="24"/>
          <w:szCs w:val="24"/>
        </w:rPr>
        <w:t>）</w:t>
      </w:r>
      <w:r>
        <w:rPr>
          <w:rFonts w:ascii="宋体" w:hAnsi="宋体" w:eastAsia="宋体" w:cs="宋体"/>
          <w:spacing w:val="-59"/>
          <w:sz w:val="24"/>
          <w:szCs w:val="24"/>
        </w:rPr>
        <w:t>，</w:t>
      </w:r>
      <w:r>
        <w:rPr>
          <w:rFonts w:ascii="宋体" w:hAnsi="宋体" w:eastAsia="宋体" w:cs="宋体"/>
          <w:sz w:val="24"/>
          <w:szCs w:val="24"/>
        </w:rPr>
        <w:t>柴油临界量为</w:t>
      </w:r>
      <w:r>
        <w:rPr>
          <w:rFonts w:ascii="Times New Roman" w:hAnsi="Times New Roman" w:eastAsia="Times New Roman" w:cs="Times New Roman"/>
          <w:sz w:val="24"/>
          <w:szCs w:val="24"/>
        </w:rPr>
        <w:t>2500t</w:t>
      </w:r>
      <w:r>
        <w:rPr>
          <w:rFonts w:ascii="宋体" w:hAnsi="宋体" w:eastAsia="宋体" w:cs="宋体"/>
          <w:sz w:val="24"/>
          <w:szCs w:val="24"/>
        </w:rPr>
        <w:t>；沼气（甲烷计）储存量</w:t>
      </w:r>
      <w:r>
        <w:rPr>
          <w:rFonts w:ascii="Times New Roman" w:hAnsi="Times New Roman" w:eastAsia="Times New Roman" w:cs="Times New Roman"/>
          <w:sz w:val="24"/>
          <w:szCs w:val="24"/>
        </w:rPr>
        <w:t>0.3</w:t>
      </w:r>
      <w:r>
        <w:rPr>
          <w:rFonts w:ascii="Times New Roman" w:hAnsi="Times New Roman" w:eastAsia="Times New Roman" w:cs="Times New Roman"/>
          <w:spacing w:val="-1"/>
          <w:sz w:val="24"/>
          <w:szCs w:val="24"/>
        </w:rPr>
        <w:t>4t</w:t>
      </w:r>
      <w:r>
        <w:rPr>
          <w:rFonts w:ascii="宋体" w:hAnsi="宋体" w:eastAsia="宋体" w:cs="宋体"/>
          <w:spacing w:val="-1"/>
          <w:sz w:val="24"/>
          <w:szCs w:val="24"/>
        </w:rPr>
        <w:t>，甲烷临界量为</w:t>
      </w:r>
      <w:r>
        <w:rPr>
          <w:rFonts w:ascii="Times New Roman" w:hAnsi="Times New Roman" w:eastAsia="Times New Roman" w:cs="Times New Roman"/>
          <w:spacing w:val="-1"/>
          <w:sz w:val="24"/>
          <w:szCs w:val="24"/>
        </w:rPr>
        <w:t>10t</w:t>
      </w:r>
      <w:r>
        <w:rPr>
          <w:rFonts w:ascii="宋体" w:hAnsi="宋体" w:eastAsia="宋体" w:cs="宋体"/>
          <w:spacing w:val="-1"/>
          <w:sz w:val="24"/>
          <w:szCs w:val="24"/>
        </w:rPr>
        <w:t>；次氯酸钠最大储量</w:t>
      </w:r>
      <w:r>
        <w:rPr>
          <w:rFonts w:ascii="Times New Roman" w:hAnsi="Times New Roman" w:eastAsia="Times New Roman" w:cs="Times New Roman"/>
          <w:spacing w:val="-1"/>
          <w:sz w:val="24"/>
          <w:szCs w:val="24"/>
        </w:rPr>
        <w:t>0.9t</w:t>
      </w:r>
      <w:r>
        <w:rPr>
          <w:rFonts w:ascii="宋体" w:hAnsi="宋体" w:eastAsia="宋体" w:cs="宋体"/>
          <w:spacing w:val="-1"/>
          <w:sz w:val="24"/>
          <w:szCs w:val="24"/>
        </w:rPr>
        <w:t>，次氯酸钠临界量为</w:t>
      </w:r>
      <w:r>
        <w:rPr>
          <w:rFonts w:ascii="Times New Roman" w:hAnsi="Times New Roman" w:eastAsia="Times New Roman" w:cs="Times New Roman"/>
          <w:spacing w:val="-1"/>
          <w:sz w:val="24"/>
          <w:szCs w:val="24"/>
        </w:rPr>
        <w:t>5t</w:t>
      </w:r>
      <w:r>
        <w:rPr>
          <w:rFonts w:ascii="宋体" w:hAnsi="宋体" w:eastAsia="宋体" w:cs="宋体"/>
          <w:spacing w:val="-1"/>
          <w:sz w:val="24"/>
          <w:szCs w:val="24"/>
        </w:rPr>
        <w:t>，则</w:t>
      </w:r>
      <w:r>
        <w:rPr>
          <w:rFonts w:ascii="Times New Roman" w:hAnsi="Times New Roman" w:eastAsia="Times New Roman" w:cs="Times New Roman"/>
          <w:spacing w:val="-1"/>
          <w:sz w:val="24"/>
          <w:szCs w:val="24"/>
        </w:rPr>
        <w:t>Q=0.0002028+0.</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
          <w:sz w:val="24"/>
          <w:szCs w:val="24"/>
        </w:rPr>
        <w:t>18+0.034=0.2142028</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Q</w:t>
      </w:r>
      <w:r>
        <w:rPr>
          <w:rFonts w:ascii="宋体" w:hAnsi="宋体" w:eastAsia="宋体" w:cs="宋体"/>
          <w:spacing w:val="-4"/>
          <w:sz w:val="24"/>
          <w:szCs w:val="24"/>
        </w:rPr>
        <w:t>值＜</w:t>
      </w:r>
      <w:r>
        <w:rPr>
          <w:rFonts w:ascii="Times New Roman" w:hAnsi="Times New Roman" w:eastAsia="Times New Roman" w:cs="Times New Roman"/>
          <w:spacing w:val="-4"/>
          <w:sz w:val="24"/>
          <w:szCs w:val="24"/>
        </w:rPr>
        <w:t>1</w:t>
      </w:r>
      <w:r>
        <w:rPr>
          <w:rFonts w:ascii="宋体" w:hAnsi="宋体" w:eastAsia="宋体" w:cs="宋体"/>
          <w:spacing w:val="-4"/>
          <w:sz w:val="24"/>
          <w:szCs w:val="24"/>
        </w:rPr>
        <w:t>，风险潜势为Ⅰ。</w:t>
      </w:r>
    </w:p>
    <w:p w14:paraId="72222D88">
      <w:pPr>
        <w:spacing w:before="14" w:line="218"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3</w:t>
      </w:r>
      <w:r>
        <w:rPr>
          <w:rFonts w:ascii="宋体" w:hAnsi="宋体" w:eastAsia="宋体" w:cs="宋体"/>
          <w:b/>
          <w:bCs/>
          <w:spacing w:val="-6"/>
          <w:sz w:val="24"/>
          <w:szCs w:val="24"/>
        </w:rPr>
        <w:t>）评价等级</w:t>
      </w:r>
    </w:p>
    <w:p w14:paraId="6303350F">
      <w:pPr>
        <w:spacing w:before="183" w:line="361" w:lineRule="auto"/>
        <w:ind w:left="38" w:right="29" w:firstLine="481"/>
        <w:jc w:val="both"/>
        <w:rPr>
          <w:rFonts w:ascii="宋体" w:hAnsi="宋体" w:eastAsia="宋体" w:cs="宋体"/>
          <w:sz w:val="24"/>
          <w:szCs w:val="24"/>
        </w:rPr>
      </w:pPr>
      <w:r>
        <w:rPr>
          <w:rFonts w:ascii="宋体" w:hAnsi="宋体" w:eastAsia="宋体" w:cs="宋体"/>
          <w:spacing w:val="-3"/>
          <w:sz w:val="24"/>
          <w:szCs w:val="24"/>
        </w:rPr>
        <w:t>本项目危险物质在事故情形下的环境影响途径主要为大气和地</w:t>
      </w:r>
      <w:r>
        <w:rPr>
          <w:rFonts w:ascii="宋体" w:hAnsi="宋体" w:eastAsia="宋体" w:cs="宋体"/>
          <w:spacing w:val="-4"/>
          <w:sz w:val="24"/>
          <w:szCs w:val="24"/>
        </w:rPr>
        <w:t>表水，风险潜</w:t>
      </w:r>
      <w:r>
        <w:rPr>
          <w:rFonts w:ascii="宋体" w:hAnsi="宋体" w:eastAsia="宋体" w:cs="宋体"/>
          <w:spacing w:val="-2"/>
          <w:sz w:val="24"/>
          <w:szCs w:val="24"/>
        </w:rPr>
        <w:t>势为Ⅰ。《建设项目环境风险评价技术导则》（</w:t>
      </w:r>
      <w:r>
        <w:rPr>
          <w:rFonts w:ascii="Times New Roman" w:hAnsi="Times New Roman" w:eastAsia="Times New Roman" w:cs="Times New Roman"/>
          <w:spacing w:val="-2"/>
          <w:sz w:val="24"/>
          <w:szCs w:val="24"/>
        </w:rPr>
        <w:t>HJ169-201</w:t>
      </w:r>
      <w:r>
        <w:rPr>
          <w:rFonts w:ascii="Times New Roman" w:hAnsi="Times New Roman" w:eastAsia="Times New Roman" w:cs="Times New Roman"/>
          <w:spacing w:val="-3"/>
          <w:sz w:val="24"/>
          <w:szCs w:val="24"/>
        </w:rPr>
        <w:t>8</w:t>
      </w:r>
      <w:r>
        <w:rPr>
          <w:rFonts w:ascii="宋体" w:hAnsi="宋体" w:eastAsia="宋体" w:cs="宋体"/>
          <w:spacing w:val="-3"/>
          <w:sz w:val="24"/>
          <w:szCs w:val="24"/>
        </w:rPr>
        <w:t>）评价工作等级划分规定：根据项目的物质危险性和功能单元重大危险源判定结果，以及环境敏感程度等因素确定项目风险评价工作级别。</w:t>
      </w:r>
    </w:p>
    <w:p w14:paraId="364CBA9E">
      <w:pPr>
        <w:spacing w:before="10" w:line="221" w:lineRule="auto"/>
        <w:ind w:left="240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1.3-12  </w:t>
      </w:r>
      <w:r>
        <w:rPr>
          <w:rFonts w:ascii="黑体" w:hAnsi="黑体" w:eastAsia="黑体" w:cs="黑体"/>
          <w:spacing w:val="-1"/>
          <w:sz w:val="21"/>
          <w:szCs w:val="21"/>
        </w:rPr>
        <w:t>环境风险评价工作等级划分表</w:t>
      </w:r>
    </w:p>
    <w:p w14:paraId="00EA08F4">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7"/>
        <w:gridCol w:w="1723"/>
        <w:gridCol w:w="1623"/>
        <w:gridCol w:w="1621"/>
        <w:gridCol w:w="1626"/>
      </w:tblGrid>
      <w:tr w14:paraId="33FEE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27" w:type="dxa"/>
            <w:vAlign w:val="top"/>
          </w:tcPr>
          <w:p w14:paraId="4A4E1093">
            <w:pPr>
              <w:spacing w:before="68" w:line="220" w:lineRule="auto"/>
              <w:ind w:left="238"/>
              <w:rPr>
                <w:rFonts w:ascii="宋体" w:hAnsi="宋体" w:eastAsia="宋体" w:cs="宋体"/>
                <w:sz w:val="21"/>
                <w:szCs w:val="21"/>
              </w:rPr>
            </w:pPr>
            <w:r>
              <w:rPr>
                <w:rFonts w:ascii="宋体" w:hAnsi="宋体" w:eastAsia="宋体" w:cs="宋体"/>
                <w:spacing w:val="-2"/>
                <w:sz w:val="21"/>
                <w:szCs w:val="21"/>
              </w:rPr>
              <w:t>环境风险潜势</w:t>
            </w:r>
          </w:p>
        </w:tc>
        <w:tc>
          <w:tcPr>
            <w:tcW w:w="1723" w:type="dxa"/>
            <w:vAlign w:val="top"/>
          </w:tcPr>
          <w:p w14:paraId="65E4810E">
            <w:pPr>
              <w:pStyle w:val="6"/>
              <w:spacing w:before="64" w:line="208" w:lineRule="auto"/>
              <w:ind w:left="493"/>
              <w:rPr>
                <w:sz w:val="14"/>
                <w:szCs w:val="14"/>
              </w:rPr>
            </w:pPr>
            <w:r>
              <w:rPr>
                <w:spacing w:val="-7"/>
                <w:position w:val="-1"/>
              </w:rPr>
              <w:t>Ⅳ</w:t>
            </w:r>
            <w:r>
              <w:rPr>
                <w:spacing w:val="-30"/>
                <w:position w:val="-1"/>
              </w:rPr>
              <w:t xml:space="preserve"> </w:t>
            </w:r>
            <w:r>
              <w:rPr>
                <w:rFonts w:ascii="宋体" w:hAnsi="宋体" w:eastAsia="宋体" w:cs="宋体"/>
                <w:spacing w:val="-7"/>
                <w:position w:val="-1"/>
              </w:rPr>
              <w:t>、</w:t>
            </w:r>
            <w:r>
              <w:rPr>
                <w:spacing w:val="-7"/>
                <w:position w:val="-1"/>
              </w:rPr>
              <w:t>Ⅳ</w:t>
            </w:r>
            <w:r>
              <w:rPr>
                <w:spacing w:val="-7"/>
                <w:position w:val="8"/>
                <w:sz w:val="14"/>
                <w:szCs w:val="14"/>
              </w:rPr>
              <w:t>+</w:t>
            </w:r>
          </w:p>
        </w:tc>
        <w:tc>
          <w:tcPr>
            <w:tcW w:w="1623" w:type="dxa"/>
            <w:vAlign w:val="top"/>
          </w:tcPr>
          <w:p w14:paraId="2EB0DFAA">
            <w:pPr>
              <w:pStyle w:val="6"/>
              <w:spacing w:before="108" w:line="185" w:lineRule="auto"/>
              <w:ind w:left="708"/>
            </w:pPr>
            <w:r>
              <w:t>Ⅲ</w:t>
            </w:r>
          </w:p>
        </w:tc>
        <w:tc>
          <w:tcPr>
            <w:tcW w:w="1621" w:type="dxa"/>
            <w:vAlign w:val="top"/>
          </w:tcPr>
          <w:p w14:paraId="6387539B">
            <w:pPr>
              <w:pStyle w:val="6"/>
              <w:spacing w:before="108" w:line="185" w:lineRule="auto"/>
              <w:ind w:left="741"/>
            </w:pPr>
            <w:r>
              <w:t>Ⅱ</w:t>
            </w:r>
          </w:p>
        </w:tc>
        <w:tc>
          <w:tcPr>
            <w:tcW w:w="1626" w:type="dxa"/>
            <w:vAlign w:val="top"/>
          </w:tcPr>
          <w:p w14:paraId="47FAD267">
            <w:pPr>
              <w:pStyle w:val="6"/>
              <w:spacing w:before="108" w:line="185" w:lineRule="auto"/>
              <w:ind w:left="774"/>
            </w:pPr>
            <w:r>
              <w:t>Ⅰ</w:t>
            </w:r>
          </w:p>
        </w:tc>
      </w:tr>
      <w:tr w14:paraId="0562F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27" w:type="dxa"/>
            <w:vAlign w:val="top"/>
          </w:tcPr>
          <w:p w14:paraId="57854744">
            <w:pPr>
              <w:spacing w:before="66" w:line="218" w:lineRule="auto"/>
              <w:ind w:left="237"/>
              <w:rPr>
                <w:rFonts w:ascii="宋体" w:hAnsi="宋体" w:eastAsia="宋体" w:cs="宋体"/>
                <w:sz w:val="21"/>
                <w:szCs w:val="21"/>
              </w:rPr>
            </w:pPr>
            <w:r>
              <w:rPr>
                <w:rFonts w:ascii="宋体" w:hAnsi="宋体" w:eastAsia="宋体" w:cs="宋体"/>
                <w:spacing w:val="-2"/>
                <w:sz w:val="21"/>
                <w:szCs w:val="21"/>
              </w:rPr>
              <w:t>评价工作等级</w:t>
            </w:r>
          </w:p>
        </w:tc>
        <w:tc>
          <w:tcPr>
            <w:tcW w:w="1723" w:type="dxa"/>
            <w:vAlign w:val="top"/>
          </w:tcPr>
          <w:p w14:paraId="7B37C498">
            <w:pPr>
              <w:spacing w:before="145" w:line="162" w:lineRule="exact"/>
              <w:ind w:left="759"/>
              <w:rPr>
                <w:rFonts w:ascii="宋体" w:hAnsi="宋体" w:eastAsia="宋体" w:cs="宋体"/>
                <w:sz w:val="21"/>
                <w:szCs w:val="21"/>
              </w:rPr>
            </w:pPr>
            <w:r>
              <w:rPr>
                <w:rFonts w:ascii="宋体" w:hAnsi="宋体" w:eastAsia="宋体" w:cs="宋体"/>
                <w:position w:val="-4"/>
                <w:sz w:val="21"/>
                <w:szCs w:val="21"/>
              </w:rPr>
              <w:t>一</w:t>
            </w:r>
          </w:p>
        </w:tc>
        <w:tc>
          <w:tcPr>
            <w:tcW w:w="1623" w:type="dxa"/>
            <w:vAlign w:val="top"/>
          </w:tcPr>
          <w:p w14:paraId="551B6377">
            <w:pPr>
              <w:spacing w:before="105" w:line="178" w:lineRule="auto"/>
              <w:ind w:left="709"/>
              <w:rPr>
                <w:rFonts w:ascii="宋体" w:hAnsi="宋体" w:eastAsia="宋体" w:cs="宋体"/>
                <w:sz w:val="21"/>
                <w:szCs w:val="21"/>
              </w:rPr>
            </w:pPr>
            <w:r>
              <w:rPr>
                <w:rFonts w:ascii="宋体" w:hAnsi="宋体" w:eastAsia="宋体" w:cs="宋体"/>
                <w:sz w:val="21"/>
                <w:szCs w:val="21"/>
              </w:rPr>
              <w:t>二</w:t>
            </w:r>
          </w:p>
        </w:tc>
        <w:tc>
          <w:tcPr>
            <w:tcW w:w="1621" w:type="dxa"/>
            <w:vAlign w:val="top"/>
          </w:tcPr>
          <w:p w14:paraId="7A40CC13">
            <w:pPr>
              <w:spacing w:before="66" w:line="234" w:lineRule="auto"/>
              <w:ind w:left="706"/>
              <w:rPr>
                <w:rFonts w:ascii="宋体" w:hAnsi="宋体" w:eastAsia="宋体" w:cs="宋体"/>
                <w:sz w:val="21"/>
                <w:szCs w:val="21"/>
              </w:rPr>
            </w:pPr>
            <w:r>
              <w:rPr>
                <w:rFonts w:ascii="宋体" w:hAnsi="宋体" w:eastAsia="宋体" w:cs="宋体"/>
                <w:sz w:val="21"/>
                <w:szCs w:val="21"/>
              </w:rPr>
              <w:t>三</w:t>
            </w:r>
          </w:p>
        </w:tc>
        <w:tc>
          <w:tcPr>
            <w:tcW w:w="1626" w:type="dxa"/>
            <w:shd w:val="clear" w:color="auto" w:fill="92D050"/>
            <w:vAlign w:val="top"/>
          </w:tcPr>
          <w:p w14:paraId="03147336">
            <w:pPr>
              <w:pStyle w:val="6"/>
              <w:spacing w:before="66" w:line="211" w:lineRule="auto"/>
              <w:ind w:left="360"/>
              <w:rPr>
                <w:sz w:val="14"/>
                <w:szCs w:val="14"/>
              </w:rPr>
            </w:pPr>
            <w:r>
              <w:rPr>
                <w:rFonts w:ascii="宋体" w:hAnsi="宋体" w:eastAsia="宋体" w:cs="宋体"/>
                <w:b/>
                <w:bCs/>
                <w:spacing w:val="-4"/>
              </w:rPr>
              <w:t>简单分析</w:t>
            </w:r>
            <w:r>
              <w:rPr>
                <w:b/>
                <w:bCs/>
                <w:spacing w:val="-4"/>
                <w:position w:val="9"/>
                <w:sz w:val="14"/>
                <w:szCs w:val="14"/>
              </w:rPr>
              <w:t>a</w:t>
            </w:r>
          </w:p>
        </w:tc>
      </w:tr>
      <w:tr w14:paraId="5D509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20" w:type="dxa"/>
            <w:gridSpan w:val="5"/>
            <w:vAlign w:val="top"/>
          </w:tcPr>
          <w:p w14:paraId="4142BE40">
            <w:pPr>
              <w:pStyle w:val="6"/>
              <w:spacing w:before="71" w:line="277" w:lineRule="auto"/>
              <w:ind w:left="11" w:right="5" w:hanging="3"/>
              <w:rPr>
                <w:rFonts w:ascii="宋体" w:hAnsi="宋体" w:eastAsia="宋体" w:cs="宋体"/>
                <w:sz w:val="18"/>
                <w:szCs w:val="18"/>
              </w:rPr>
            </w:pPr>
            <w:r>
              <w:rPr>
                <w:spacing w:val="-1"/>
                <w:position w:val="8"/>
                <w:sz w:val="12"/>
                <w:szCs w:val="12"/>
              </w:rPr>
              <w:t>a</w:t>
            </w:r>
            <w:r>
              <w:rPr>
                <w:spacing w:val="9"/>
                <w:w w:val="102"/>
                <w:position w:val="8"/>
                <w:sz w:val="12"/>
                <w:szCs w:val="12"/>
              </w:rPr>
              <w:t xml:space="preserve"> </w:t>
            </w:r>
            <w:r>
              <w:rPr>
                <w:rFonts w:ascii="宋体" w:hAnsi="宋体" w:eastAsia="宋体" w:cs="宋体"/>
                <w:spacing w:val="-1"/>
                <w:sz w:val="18"/>
                <w:szCs w:val="18"/>
              </w:rPr>
              <w:t>是相对于详细评价工作内容而言，在描述危险</w:t>
            </w:r>
            <w:r>
              <w:rPr>
                <w:rFonts w:ascii="宋体" w:hAnsi="宋体" w:eastAsia="宋体" w:cs="宋体"/>
                <w:spacing w:val="-2"/>
                <w:sz w:val="18"/>
                <w:szCs w:val="18"/>
              </w:rPr>
              <w:t>物质、环境影响途径、环境危害后果、风险防范措施等方面</w:t>
            </w:r>
            <w:r>
              <w:rPr>
                <w:rFonts w:ascii="宋体" w:hAnsi="宋体" w:eastAsia="宋体" w:cs="宋体"/>
                <w:spacing w:val="-4"/>
                <w:sz w:val="18"/>
                <w:szCs w:val="18"/>
              </w:rPr>
              <w:t>给出定性的说明。</w:t>
            </w:r>
          </w:p>
        </w:tc>
      </w:tr>
    </w:tbl>
    <w:p w14:paraId="395221E9">
      <w:pPr>
        <w:spacing w:before="234" w:line="218" w:lineRule="auto"/>
        <w:ind w:left="519"/>
        <w:rPr>
          <w:rFonts w:ascii="宋体" w:hAnsi="宋体" w:eastAsia="宋体" w:cs="宋体"/>
          <w:sz w:val="24"/>
          <w:szCs w:val="24"/>
        </w:rPr>
      </w:pPr>
      <w:r>
        <w:rPr>
          <w:rFonts w:ascii="宋体" w:hAnsi="宋体" w:eastAsia="宋体" w:cs="宋体"/>
          <w:spacing w:val="-2"/>
          <w:sz w:val="24"/>
          <w:szCs w:val="24"/>
        </w:rPr>
        <w:t>根据评价工作等级划分方法，本项目环境风险评价等级为简单分析。</w:t>
      </w:r>
    </w:p>
    <w:p w14:paraId="0C49D444">
      <w:pPr>
        <w:pStyle w:val="2"/>
        <w:spacing w:line="253" w:lineRule="auto"/>
      </w:pPr>
    </w:p>
    <w:p w14:paraId="00084375">
      <w:pPr>
        <w:spacing w:before="99" w:line="218"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1.3.2  </w:t>
      </w:r>
      <w:r>
        <w:rPr>
          <w:rFonts w:ascii="宋体" w:hAnsi="宋体" w:eastAsia="宋体" w:cs="宋体"/>
          <w:b/>
          <w:bCs/>
          <w:spacing w:val="-3"/>
          <w:sz w:val="30"/>
          <w:szCs w:val="30"/>
        </w:rPr>
        <w:t>评价范围</w:t>
      </w:r>
    </w:p>
    <w:p w14:paraId="1BEBDFDE">
      <w:pPr>
        <w:pStyle w:val="2"/>
        <w:spacing w:line="262" w:lineRule="auto"/>
      </w:pPr>
    </w:p>
    <w:p w14:paraId="15C283C2">
      <w:pPr>
        <w:spacing w:before="78"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）大气环境</w:t>
      </w:r>
    </w:p>
    <w:p w14:paraId="706FC9D0">
      <w:pPr>
        <w:spacing w:line="220" w:lineRule="auto"/>
        <w:rPr>
          <w:rFonts w:ascii="宋体" w:hAnsi="宋体" w:eastAsia="宋体" w:cs="宋体"/>
          <w:sz w:val="24"/>
          <w:szCs w:val="24"/>
        </w:rPr>
        <w:sectPr>
          <w:headerReference r:id="rId54" w:type="default"/>
          <w:footerReference r:id="rId55" w:type="default"/>
          <w:pgSz w:w="11905" w:h="16840"/>
          <w:pgMar w:top="1168" w:right="1768" w:bottom="1409" w:left="1770" w:header="828" w:footer="1244" w:gutter="0"/>
          <w:cols w:space="720" w:num="1"/>
        </w:sectPr>
      </w:pPr>
    </w:p>
    <w:p w14:paraId="187FD398">
      <w:pPr>
        <w:pStyle w:val="2"/>
        <w:spacing w:line="304" w:lineRule="auto"/>
      </w:pPr>
    </w:p>
    <w:p w14:paraId="2BCD3953">
      <w:pPr>
        <w:spacing w:before="78" w:line="348" w:lineRule="auto"/>
        <w:ind w:left="40" w:right="30" w:firstLine="479"/>
        <w:jc w:val="both"/>
        <w:rPr>
          <w:rFonts w:ascii="宋体" w:hAnsi="宋体" w:eastAsia="宋体" w:cs="宋体"/>
          <w:sz w:val="24"/>
          <w:szCs w:val="24"/>
        </w:rPr>
      </w:pPr>
      <w:r>
        <w:rPr>
          <w:rFonts w:ascii="宋体" w:hAnsi="宋体" w:eastAsia="宋体" w:cs="宋体"/>
          <w:spacing w:val="2"/>
          <w:sz w:val="24"/>
          <w:szCs w:val="24"/>
        </w:rPr>
        <w:t>根据《环境影响评价技术导则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3"/>
          <w:sz w:val="24"/>
          <w:szCs w:val="24"/>
        </w:rPr>
        <w:t>）：</w:t>
      </w:r>
      <w:r>
        <w:rPr>
          <w:rFonts w:ascii="宋体" w:hAnsi="宋体" w:eastAsia="宋体" w:cs="宋体"/>
          <w:spacing w:val="2"/>
          <w:sz w:val="24"/>
          <w:szCs w:val="24"/>
        </w:rPr>
        <w:t>“二级评价项</w:t>
      </w:r>
      <w:r>
        <w:rPr>
          <w:rFonts w:ascii="宋体" w:hAnsi="宋体" w:eastAsia="宋体" w:cs="宋体"/>
          <w:spacing w:val="-1"/>
          <w:sz w:val="24"/>
          <w:szCs w:val="24"/>
        </w:rPr>
        <w:t>目大气环境影响评价范围边长取</w:t>
      </w:r>
      <w:r>
        <w:rPr>
          <w:rFonts w:ascii="Times New Roman" w:hAnsi="Times New Roman" w:eastAsia="Times New Roman" w:cs="Times New Roman"/>
          <w:spacing w:val="-1"/>
          <w:sz w:val="24"/>
          <w:szCs w:val="24"/>
        </w:rPr>
        <w:t>5km</w:t>
      </w:r>
      <w:r>
        <w:rPr>
          <w:rFonts w:ascii="宋体" w:hAnsi="宋体" w:eastAsia="宋体" w:cs="宋体"/>
          <w:spacing w:val="-1"/>
          <w:sz w:val="24"/>
          <w:szCs w:val="24"/>
        </w:rPr>
        <w:t>”，故</w:t>
      </w:r>
      <w:r>
        <w:rPr>
          <w:rFonts w:ascii="宋体" w:hAnsi="宋体" w:eastAsia="宋体" w:cs="宋体"/>
          <w:spacing w:val="-2"/>
          <w:sz w:val="24"/>
          <w:szCs w:val="24"/>
        </w:rPr>
        <w:t>确定本项目大气环境影响评价范围以本项目为中心区域，边长取</w:t>
      </w:r>
      <w:r>
        <w:rPr>
          <w:rFonts w:ascii="Times New Roman" w:hAnsi="Times New Roman" w:eastAsia="Times New Roman" w:cs="Times New Roman"/>
          <w:spacing w:val="-2"/>
          <w:sz w:val="24"/>
          <w:szCs w:val="24"/>
        </w:rPr>
        <w:t>5km</w:t>
      </w:r>
      <w:r>
        <w:rPr>
          <w:rFonts w:ascii="宋体" w:hAnsi="宋体" w:eastAsia="宋体" w:cs="宋体"/>
          <w:spacing w:val="-2"/>
          <w:sz w:val="24"/>
          <w:szCs w:val="24"/>
        </w:rPr>
        <w:t>区域。</w:t>
      </w:r>
    </w:p>
    <w:p w14:paraId="787AEBDC">
      <w:pPr>
        <w:spacing w:line="5515" w:lineRule="exact"/>
        <w:ind w:firstLine="213"/>
      </w:pPr>
      <w:r>
        <w:rPr>
          <w:position w:val="-110"/>
        </w:rPr>
        <w:drawing>
          <wp:inline distT="0" distB="0" distL="0" distR="0">
            <wp:extent cx="5051425" cy="35020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33"/>
                    <a:stretch>
                      <a:fillRect/>
                    </a:stretch>
                  </pic:blipFill>
                  <pic:spPr>
                    <a:xfrm>
                      <a:off x="0" y="0"/>
                      <a:ext cx="5052059" cy="3502151"/>
                    </a:xfrm>
                    <a:prstGeom prst="rect">
                      <a:avLst/>
                    </a:prstGeom>
                  </pic:spPr>
                </pic:pic>
              </a:graphicData>
            </a:graphic>
          </wp:inline>
        </w:drawing>
      </w:r>
    </w:p>
    <w:p w14:paraId="7E707750">
      <w:pPr>
        <w:spacing w:before="162" w:line="222" w:lineRule="auto"/>
        <w:ind w:left="2750"/>
        <w:rPr>
          <w:rFonts w:ascii="黑体" w:hAnsi="黑体" w:eastAsia="黑体" w:cs="黑体"/>
          <w:sz w:val="21"/>
          <w:szCs w:val="21"/>
        </w:rPr>
      </w:pPr>
      <w:r>
        <w:rPr>
          <w:rFonts w:ascii="黑体" w:hAnsi="黑体" w:eastAsia="黑体" w:cs="黑体"/>
          <w:spacing w:val="-3"/>
          <w:sz w:val="21"/>
          <w:szCs w:val="21"/>
        </w:rPr>
        <w:t>图</w:t>
      </w:r>
      <w:r>
        <w:rPr>
          <w:rFonts w:ascii="黑体" w:hAnsi="黑体" w:eastAsia="黑体" w:cs="黑体"/>
          <w:spacing w:val="-19"/>
          <w:sz w:val="21"/>
          <w:szCs w:val="21"/>
        </w:rPr>
        <w:t xml:space="preserve"> </w:t>
      </w:r>
      <w:r>
        <w:rPr>
          <w:rFonts w:ascii="Times New Roman" w:hAnsi="Times New Roman" w:eastAsia="Times New Roman" w:cs="Times New Roman"/>
          <w:spacing w:val="-3"/>
          <w:sz w:val="21"/>
          <w:szCs w:val="21"/>
        </w:rPr>
        <w:t xml:space="preserve">1.3-2  </w:t>
      </w:r>
      <w:r>
        <w:rPr>
          <w:rFonts w:ascii="黑体" w:hAnsi="黑体" w:eastAsia="黑体" w:cs="黑体"/>
          <w:spacing w:val="-3"/>
          <w:sz w:val="21"/>
          <w:szCs w:val="21"/>
        </w:rPr>
        <w:t>本项目大气评价范围图</w:t>
      </w:r>
    </w:p>
    <w:p w14:paraId="14E38C79">
      <w:pPr>
        <w:spacing w:before="201"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）地表水环境</w:t>
      </w:r>
    </w:p>
    <w:p w14:paraId="5A6B3803">
      <w:pPr>
        <w:spacing w:before="182" w:line="360" w:lineRule="auto"/>
        <w:ind w:left="39" w:right="30" w:firstLine="480"/>
        <w:jc w:val="both"/>
        <w:rPr>
          <w:rFonts w:ascii="宋体" w:hAnsi="宋体" w:eastAsia="宋体" w:cs="宋体"/>
          <w:sz w:val="24"/>
          <w:szCs w:val="24"/>
        </w:rPr>
      </w:pPr>
      <w:r>
        <w:rPr>
          <w:rFonts w:ascii="宋体" w:hAnsi="宋体" w:eastAsia="宋体" w:cs="宋体"/>
          <w:spacing w:val="-3"/>
          <w:sz w:val="24"/>
          <w:szCs w:val="24"/>
        </w:rPr>
        <w:t>本项目的养殖废水和生活污水经依托污水处理站处理达标后农</w:t>
      </w:r>
      <w:r>
        <w:rPr>
          <w:rFonts w:ascii="宋体" w:hAnsi="宋体" w:eastAsia="宋体" w:cs="宋体"/>
          <w:spacing w:val="-4"/>
          <w:sz w:val="24"/>
          <w:szCs w:val="24"/>
        </w:rPr>
        <w:t>灌利用，不外</w:t>
      </w:r>
      <w:r>
        <w:rPr>
          <w:rFonts w:ascii="宋体" w:hAnsi="宋体" w:eastAsia="宋体" w:cs="宋体"/>
          <w:spacing w:val="-3"/>
          <w:sz w:val="24"/>
          <w:szCs w:val="24"/>
        </w:rPr>
        <w:t>排。根据《环境影响评价技术导则</w:t>
      </w:r>
      <w:r>
        <w:rPr>
          <w:rFonts w:ascii="宋体" w:hAnsi="宋体" w:eastAsia="宋体" w:cs="宋体"/>
          <w:spacing w:val="48"/>
          <w:sz w:val="24"/>
          <w:szCs w:val="24"/>
        </w:rPr>
        <w:t xml:space="preserve"> </w:t>
      </w:r>
      <w:r>
        <w:rPr>
          <w:rFonts w:ascii="宋体" w:hAnsi="宋体" w:eastAsia="宋体" w:cs="宋体"/>
          <w:spacing w:val="-3"/>
          <w:sz w:val="24"/>
          <w:szCs w:val="24"/>
        </w:rPr>
        <w:t>地表水环境》（</w:t>
      </w:r>
      <w:r>
        <w:rPr>
          <w:rFonts w:ascii="Times New Roman" w:hAnsi="Times New Roman" w:eastAsia="Times New Roman" w:cs="Times New Roman"/>
          <w:spacing w:val="-3"/>
          <w:sz w:val="24"/>
          <w:szCs w:val="24"/>
        </w:rPr>
        <w:t>HJ2.3-2018</w:t>
      </w:r>
      <w:r>
        <w:rPr>
          <w:rFonts w:ascii="宋体" w:hAnsi="宋体" w:eastAsia="宋体" w:cs="宋体"/>
          <w:spacing w:val="-3"/>
          <w:sz w:val="24"/>
          <w:szCs w:val="24"/>
        </w:rPr>
        <w:t>）规定，三级</w:t>
      </w:r>
      <w:r>
        <w:rPr>
          <w:rFonts w:ascii="Times New Roman" w:hAnsi="Times New Roman" w:eastAsia="Times New Roman" w:cs="Times New Roman"/>
          <w:spacing w:val="-3"/>
          <w:sz w:val="24"/>
          <w:szCs w:val="24"/>
        </w:rPr>
        <w:t>B</w:t>
      </w:r>
      <w:r>
        <w:rPr>
          <w:rFonts w:ascii="宋体" w:hAnsi="宋体" w:eastAsia="宋体" w:cs="宋体"/>
          <w:spacing w:val="-3"/>
          <w:sz w:val="24"/>
          <w:szCs w:val="24"/>
        </w:rPr>
        <w:t>评价项目涉及地表水环境风险的，应覆盖环境风险影响范围所及的水环境保护目标</w:t>
      </w:r>
      <w:r>
        <w:rPr>
          <w:rFonts w:ascii="宋体" w:hAnsi="宋体" w:eastAsia="宋体" w:cs="宋体"/>
          <w:spacing w:val="-5"/>
          <w:sz w:val="24"/>
          <w:szCs w:val="24"/>
        </w:rPr>
        <w:t>水域。因此，</w:t>
      </w:r>
      <w:r>
        <w:rPr>
          <w:rFonts w:ascii="宋体" w:hAnsi="宋体" w:eastAsia="宋体" w:cs="宋体"/>
          <w:spacing w:val="-48"/>
          <w:sz w:val="24"/>
          <w:szCs w:val="24"/>
        </w:rPr>
        <w:t xml:space="preserve"> </w:t>
      </w:r>
      <w:r>
        <w:rPr>
          <w:rFonts w:ascii="宋体" w:hAnsi="宋体" w:eastAsia="宋体" w:cs="宋体"/>
          <w:spacing w:val="-5"/>
          <w:sz w:val="24"/>
          <w:szCs w:val="24"/>
        </w:rPr>
        <w:t>本项目地表水评价范围为石核河项目附近上游</w:t>
      </w:r>
      <w:r>
        <w:rPr>
          <w:rFonts w:ascii="Times New Roman" w:hAnsi="Times New Roman" w:eastAsia="Times New Roman" w:cs="Times New Roman"/>
          <w:spacing w:val="-5"/>
          <w:sz w:val="24"/>
          <w:szCs w:val="24"/>
        </w:rPr>
        <w:t>500m</w:t>
      </w:r>
      <w:r>
        <w:rPr>
          <w:rFonts w:ascii="宋体" w:hAnsi="宋体" w:eastAsia="宋体" w:cs="宋体"/>
          <w:spacing w:val="-5"/>
          <w:sz w:val="24"/>
          <w:szCs w:val="24"/>
        </w:rPr>
        <w:t>至下游</w:t>
      </w:r>
      <w:r>
        <w:rPr>
          <w:rFonts w:ascii="Times New Roman" w:hAnsi="Times New Roman" w:eastAsia="Times New Roman" w:cs="Times New Roman"/>
          <w:spacing w:val="-5"/>
          <w:sz w:val="24"/>
          <w:szCs w:val="24"/>
        </w:rPr>
        <w:t>2km</w:t>
      </w:r>
      <w:r>
        <w:rPr>
          <w:rFonts w:ascii="宋体" w:hAnsi="宋体" w:eastAsia="宋体" w:cs="宋体"/>
          <w:spacing w:val="-5"/>
          <w:sz w:val="24"/>
          <w:szCs w:val="24"/>
        </w:rPr>
        <w:t>的范</w:t>
      </w:r>
      <w:r>
        <w:rPr>
          <w:rFonts w:ascii="宋体" w:hAnsi="宋体" w:eastAsia="宋体" w:cs="宋体"/>
          <w:spacing w:val="-12"/>
          <w:sz w:val="24"/>
          <w:szCs w:val="24"/>
        </w:rPr>
        <w:t>围。</w:t>
      </w:r>
    </w:p>
    <w:p w14:paraId="1987910F">
      <w:pPr>
        <w:spacing w:before="1"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）地下水环境</w:t>
      </w:r>
    </w:p>
    <w:p w14:paraId="68CC9877">
      <w:pPr>
        <w:spacing w:before="182" w:line="360" w:lineRule="auto"/>
        <w:ind w:left="85" w:right="45" w:firstLine="434"/>
        <w:rPr>
          <w:rFonts w:ascii="宋体" w:hAnsi="宋体" w:eastAsia="宋体" w:cs="宋体"/>
          <w:sz w:val="24"/>
          <w:szCs w:val="24"/>
        </w:rPr>
      </w:pPr>
      <w:r>
        <w:rPr>
          <w:rFonts w:ascii="宋体" w:hAnsi="宋体" w:eastAsia="宋体" w:cs="宋体"/>
          <w:sz w:val="24"/>
          <w:szCs w:val="24"/>
        </w:rPr>
        <w:t>根据《环境影响评价技术导则 地下水环境》（</w:t>
      </w:r>
      <w:r>
        <w:rPr>
          <w:rFonts w:ascii="Times New Roman" w:hAnsi="Times New Roman" w:eastAsia="Times New Roman" w:cs="Times New Roman"/>
          <w:sz w:val="24"/>
          <w:szCs w:val="24"/>
        </w:rPr>
        <w:t>HJ610-2016</w:t>
      </w:r>
      <w:r>
        <w:rPr>
          <w:rFonts w:ascii="宋体" w:hAnsi="宋体" w:eastAsia="宋体" w:cs="宋体"/>
          <w:sz w:val="24"/>
          <w:szCs w:val="24"/>
        </w:rPr>
        <w:t>）规定，建设项</w:t>
      </w:r>
      <w:r>
        <w:rPr>
          <w:rFonts w:ascii="宋体" w:hAnsi="宋体" w:eastAsia="宋体" w:cs="宋体"/>
          <w:spacing w:val="-3"/>
          <w:sz w:val="24"/>
          <w:szCs w:val="24"/>
        </w:rPr>
        <w:t>目地下水环境影响现状调查评价范围可采用公式法、查表法和自定义法确定。</w:t>
      </w:r>
    </w:p>
    <w:p w14:paraId="3CE7ED7A">
      <w:pPr>
        <w:spacing w:before="1" w:line="361" w:lineRule="auto"/>
        <w:ind w:left="40" w:right="30" w:firstLine="494"/>
        <w:rPr>
          <w:rFonts w:ascii="宋体" w:hAnsi="宋体" w:eastAsia="宋体" w:cs="宋体"/>
          <w:sz w:val="24"/>
          <w:szCs w:val="24"/>
        </w:rPr>
      </w:pPr>
      <w:r>
        <w:rPr>
          <w:rFonts w:ascii="宋体" w:hAnsi="宋体" w:eastAsia="宋体" w:cs="宋体"/>
          <w:spacing w:val="-4"/>
          <w:sz w:val="24"/>
          <w:szCs w:val="24"/>
        </w:rPr>
        <w:t>当建设项目所在地水文地质条件相对简单，且所掌握的资料能够满足公式计</w:t>
      </w:r>
      <w:r>
        <w:rPr>
          <w:rFonts w:ascii="宋体" w:hAnsi="宋体" w:eastAsia="宋体" w:cs="宋体"/>
          <w:spacing w:val="-3"/>
          <w:sz w:val="24"/>
          <w:szCs w:val="24"/>
        </w:rPr>
        <w:t>算法的要求时，应采用公式计算法确定；当不满足公式计算法的要求时，可采用</w:t>
      </w:r>
      <w:r>
        <w:rPr>
          <w:rFonts w:ascii="宋体" w:hAnsi="宋体" w:eastAsia="宋体" w:cs="宋体"/>
          <w:spacing w:val="-5"/>
          <w:sz w:val="24"/>
          <w:szCs w:val="24"/>
        </w:rPr>
        <w:t>查表法确定。当计算或查表范围超出所处水文地质单元边界时，</w:t>
      </w:r>
      <w:r>
        <w:rPr>
          <w:rFonts w:ascii="宋体" w:hAnsi="宋体" w:eastAsia="宋体" w:cs="宋体"/>
          <w:spacing w:val="-50"/>
          <w:sz w:val="24"/>
          <w:szCs w:val="24"/>
        </w:rPr>
        <w:t xml:space="preserve"> </w:t>
      </w:r>
      <w:r>
        <w:rPr>
          <w:rFonts w:ascii="宋体" w:hAnsi="宋体" w:eastAsia="宋体" w:cs="宋体"/>
          <w:spacing w:val="-5"/>
          <w:sz w:val="24"/>
          <w:szCs w:val="24"/>
        </w:rPr>
        <w:t>应以所处水文地质单元边界为宜。</w:t>
      </w:r>
    </w:p>
    <w:p w14:paraId="1C915944">
      <w:pPr>
        <w:spacing w:line="361" w:lineRule="auto"/>
        <w:rPr>
          <w:rFonts w:ascii="宋体" w:hAnsi="宋体" w:eastAsia="宋体" w:cs="宋体"/>
          <w:sz w:val="24"/>
          <w:szCs w:val="24"/>
        </w:rPr>
        <w:sectPr>
          <w:headerReference r:id="rId56" w:type="default"/>
          <w:footerReference r:id="rId57" w:type="default"/>
          <w:pgSz w:w="11905" w:h="16840"/>
          <w:pgMar w:top="1168" w:right="1768" w:bottom="1409" w:left="1770" w:header="828" w:footer="1244" w:gutter="0"/>
          <w:cols w:space="720" w:num="1"/>
        </w:sectPr>
      </w:pPr>
    </w:p>
    <w:p w14:paraId="480F72BE">
      <w:pPr>
        <w:pStyle w:val="2"/>
        <w:spacing w:line="306" w:lineRule="auto"/>
      </w:pPr>
    </w:p>
    <w:p w14:paraId="7A1258BF">
      <w:pPr>
        <w:spacing w:before="78" w:line="217" w:lineRule="auto"/>
        <w:ind w:left="518"/>
        <w:rPr>
          <w:rFonts w:ascii="宋体" w:hAnsi="宋体" w:eastAsia="宋体" w:cs="宋体"/>
          <w:sz w:val="24"/>
          <w:szCs w:val="24"/>
        </w:rPr>
      </w:pPr>
      <w:r>
        <w:rPr>
          <w:rFonts w:ascii="宋体" w:hAnsi="宋体" w:eastAsia="宋体" w:cs="宋体"/>
          <w:spacing w:val="-2"/>
          <w:sz w:val="24"/>
          <w:szCs w:val="24"/>
        </w:rPr>
        <w:t>①公式计算法</w:t>
      </w:r>
    </w:p>
    <w:p w14:paraId="7E28DCDE">
      <w:pPr>
        <w:spacing w:before="221" w:line="192" w:lineRule="auto"/>
        <w:ind w:left="343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L=α×K×I×T/ne</w:t>
      </w:r>
    </w:p>
    <w:p w14:paraId="27E9EE76">
      <w:pPr>
        <w:spacing w:before="211" w:line="220" w:lineRule="auto"/>
        <w:ind w:left="524"/>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L—</w:t>
      </w:r>
      <w:r>
        <w:rPr>
          <w:rFonts w:ascii="宋体" w:hAnsi="宋体" w:eastAsia="宋体" w:cs="宋体"/>
          <w:spacing w:val="-1"/>
          <w:sz w:val="24"/>
          <w:szCs w:val="24"/>
        </w:rPr>
        <w:t>下游迁移距离，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5AB02C30">
      <w:pPr>
        <w:spacing w:before="181" w:line="220" w:lineRule="auto"/>
        <w:ind w:left="520"/>
        <w:rPr>
          <w:rFonts w:ascii="宋体" w:hAnsi="宋体" w:eastAsia="宋体" w:cs="宋体"/>
          <w:sz w:val="24"/>
          <w:szCs w:val="24"/>
        </w:rPr>
      </w:pPr>
      <w:r>
        <w:rPr>
          <w:rFonts w:ascii="Times New Roman" w:hAnsi="Times New Roman" w:eastAsia="Times New Roman" w:cs="Times New Roman"/>
          <w:spacing w:val="-3"/>
          <w:sz w:val="24"/>
          <w:szCs w:val="24"/>
        </w:rPr>
        <w:t>α—</w:t>
      </w:r>
      <w:r>
        <w:rPr>
          <w:rFonts w:ascii="宋体" w:hAnsi="宋体" w:eastAsia="宋体" w:cs="宋体"/>
          <w:spacing w:val="-3"/>
          <w:sz w:val="24"/>
          <w:szCs w:val="24"/>
        </w:rPr>
        <w:t>变化系数，</w:t>
      </w:r>
      <w:r>
        <w:rPr>
          <w:rFonts w:ascii="Times New Roman" w:hAnsi="Times New Roman" w:eastAsia="Times New Roman" w:cs="Times New Roman"/>
          <w:spacing w:val="-3"/>
          <w:sz w:val="24"/>
          <w:szCs w:val="24"/>
        </w:rPr>
        <w:t>α≥1</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，一般取</w:t>
      </w:r>
      <w:r>
        <w:rPr>
          <w:rFonts w:ascii="Times New Roman" w:hAnsi="Times New Roman" w:eastAsia="Times New Roman" w:cs="Times New Roman"/>
          <w:spacing w:val="-3"/>
          <w:sz w:val="24"/>
          <w:szCs w:val="24"/>
        </w:rPr>
        <w:t>2</w:t>
      </w:r>
      <w:r>
        <w:rPr>
          <w:rFonts w:ascii="宋体" w:hAnsi="宋体" w:eastAsia="宋体" w:cs="宋体"/>
          <w:spacing w:val="-3"/>
          <w:sz w:val="24"/>
          <w:szCs w:val="24"/>
        </w:rPr>
        <w:t>；</w:t>
      </w:r>
    </w:p>
    <w:p w14:paraId="606E2F7F">
      <w:pPr>
        <w:spacing w:before="182" w:line="360" w:lineRule="auto"/>
        <w:ind w:left="38" w:right="76" w:firstLine="475"/>
        <w:jc w:val="both"/>
        <w:rPr>
          <w:rFonts w:ascii="宋体" w:hAnsi="宋体" w:eastAsia="宋体" w:cs="宋体"/>
          <w:sz w:val="24"/>
          <w:szCs w:val="24"/>
        </w:rPr>
      </w:pPr>
      <w:r>
        <w:rPr>
          <w:rFonts w:ascii="Times New Roman" w:hAnsi="Times New Roman" w:eastAsia="Times New Roman" w:cs="Times New Roman"/>
          <w:spacing w:val="2"/>
          <w:sz w:val="24"/>
          <w:szCs w:val="24"/>
        </w:rPr>
        <w:t>K—</w:t>
      </w:r>
      <w:r>
        <w:rPr>
          <w:rFonts w:ascii="宋体" w:hAnsi="宋体" w:eastAsia="宋体" w:cs="宋体"/>
          <w:spacing w:val="2"/>
          <w:sz w:val="24"/>
          <w:szCs w:val="24"/>
        </w:rPr>
        <w:t>渗透系数，</w:t>
      </w:r>
      <w:r>
        <w:rPr>
          <w:rFonts w:ascii="Times New Roman" w:hAnsi="Times New Roman" w:eastAsia="Times New Roman" w:cs="Times New Roman"/>
          <w:spacing w:val="2"/>
          <w:sz w:val="24"/>
          <w:szCs w:val="24"/>
        </w:rPr>
        <w:t>m/d</w:t>
      </w:r>
      <w:r>
        <w:rPr>
          <w:rFonts w:ascii="宋体" w:hAnsi="宋体" w:eastAsia="宋体" w:cs="宋体"/>
          <w:spacing w:val="2"/>
          <w:sz w:val="24"/>
          <w:szCs w:val="24"/>
        </w:rPr>
        <w:t>，根据本项目岩土工程勘察报告，项</w:t>
      </w:r>
      <w:r>
        <w:rPr>
          <w:rFonts w:ascii="宋体" w:hAnsi="宋体" w:eastAsia="宋体" w:cs="宋体"/>
          <w:spacing w:val="1"/>
          <w:sz w:val="24"/>
          <w:szCs w:val="24"/>
        </w:rPr>
        <w:t>目场地基岩主要是</w:t>
      </w:r>
      <w:r>
        <w:rPr>
          <w:rFonts w:ascii="宋体" w:hAnsi="宋体" w:eastAsia="宋体" w:cs="宋体"/>
          <w:spacing w:val="21"/>
          <w:sz w:val="24"/>
          <w:szCs w:val="24"/>
        </w:rPr>
        <w:t>泥质粉砂岩和粉砂质泥岩，根据《环境影响评价技术导则</w:t>
      </w:r>
      <w:r>
        <w:rPr>
          <w:rFonts w:ascii="宋体" w:hAnsi="宋体" w:eastAsia="宋体" w:cs="宋体"/>
          <w:spacing w:val="75"/>
          <w:sz w:val="24"/>
          <w:szCs w:val="24"/>
        </w:rPr>
        <w:t xml:space="preserve"> </w:t>
      </w:r>
      <w:r>
        <w:rPr>
          <w:rFonts w:ascii="宋体" w:hAnsi="宋体" w:eastAsia="宋体" w:cs="宋体"/>
          <w:spacing w:val="21"/>
          <w:sz w:val="24"/>
          <w:szCs w:val="24"/>
        </w:rPr>
        <w:t>地下水环境》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2"/>
          <w:sz w:val="24"/>
          <w:szCs w:val="24"/>
        </w:rPr>
        <w:t>）附录</w:t>
      </w:r>
      <w:r>
        <w:rPr>
          <w:rFonts w:ascii="Times New Roman" w:hAnsi="Times New Roman" w:eastAsia="Times New Roman" w:cs="Times New Roman"/>
          <w:spacing w:val="2"/>
          <w:sz w:val="24"/>
          <w:szCs w:val="24"/>
        </w:rPr>
        <w:t>B</w:t>
      </w:r>
      <w:r>
        <w:rPr>
          <w:rFonts w:ascii="宋体" w:hAnsi="宋体" w:eastAsia="宋体" w:cs="宋体"/>
          <w:spacing w:val="2"/>
          <w:sz w:val="24"/>
          <w:szCs w:val="24"/>
        </w:rPr>
        <w:t>，粉土质砂渗透系数为</w:t>
      </w:r>
      <w:r>
        <w:rPr>
          <w:rFonts w:ascii="Times New Roman" w:hAnsi="Times New Roman" w:eastAsia="Times New Roman" w:cs="Times New Roman"/>
          <w:spacing w:val="2"/>
          <w:sz w:val="24"/>
          <w:szCs w:val="24"/>
        </w:rPr>
        <w:t>0.5~1.0m/d</w:t>
      </w:r>
      <w:r>
        <w:rPr>
          <w:rFonts w:ascii="宋体" w:hAnsi="宋体" w:eastAsia="宋体" w:cs="宋体"/>
          <w:spacing w:val="2"/>
          <w:sz w:val="24"/>
          <w:szCs w:val="24"/>
        </w:rPr>
        <w:t>，</w:t>
      </w:r>
      <w:r>
        <w:rPr>
          <w:rFonts w:ascii="宋体" w:hAnsi="宋体" w:eastAsia="宋体" w:cs="宋体"/>
          <w:spacing w:val="1"/>
          <w:sz w:val="24"/>
          <w:szCs w:val="24"/>
        </w:rPr>
        <w:t>结合本项目岩土工程</w:t>
      </w:r>
      <w:r>
        <w:rPr>
          <w:rFonts w:ascii="宋体" w:hAnsi="宋体" w:eastAsia="宋体" w:cs="宋体"/>
          <w:spacing w:val="-1"/>
          <w:sz w:val="24"/>
          <w:szCs w:val="24"/>
        </w:rPr>
        <w:t>勘察结果，综合确定渗透系数取值</w:t>
      </w:r>
      <w:r>
        <w:rPr>
          <w:rFonts w:ascii="Times New Roman" w:hAnsi="Times New Roman" w:eastAsia="Times New Roman" w:cs="Times New Roman"/>
          <w:spacing w:val="-1"/>
          <w:sz w:val="24"/>
          <w:szCs w:val="24"/>
        </w:rPr>
        <w:t>0.65m/d</w:t>
      </w:r>
      <w:r>
        <w:rPr>
          <w:rFonts w:ascii="宋体" w:hAnsi="宋体" w:eastAsia="宋体" w:cs="宋体"/>
          <w:spacing w:val="-1"/>
          <w:sz w:val="24"/>
          <w:szCs w:val="24"/>
        </w:rPr>
        <w:t>。</w:t>
      </w:r>
    </w:p>
    <w:p w14:paraId="4B28B9F1">
      <w:pPr>
        <w:spacing w:before="1" w:line="219" w:lineRule="auto"/>
        <w:ind w:left="516"/>
        <w:rPr>
          <w:rFonts w:ascii="宋体" w:hAnsi="宋体" w:eastAsia="宋体" w:cs="宋体"/>
          <w:sz w:val="24"/>
          <w:szCs w:val="24"/>
        </w:rPr>
      </w:pPr>
      <w:r>
        <w:rPr>
          <w:rFonts w:ascii="Times New Roman" w:hAnsi="Times New Roman" w:eastAsia="Times New Roman" w:cs="Times New Roman"/>
          <w:sz w:val="24"/>
          <w:szCs w:val="24"/>
        </w:rPr>
        <w:t>I—</w:t>
      </w:r>
      <w:r>
        <w:rPr>
          <w:rFonts w:ascii="宋体" w:hAnsi="宋体" w:eastAsia="宋体" w:cs="宋体"/>
          <w:sz w:val="24"/>
          <w:szCs w:val="24"/>
        </w:rPr>
        <w:t>水力坡度，无量纲，项目所在地水力坡</w:t>
      </w:r>
      <w:r>
        <w:rPr>
          <w:rFonts w:ascii="宋体" w:hAnsi="宋体" w:eastAsia="宋体" w:cs="宋体"/>
          <w:spacing w:val="-1"/>
          <w:sz w:val="24"/>
          <w:szCs w:val="24"/>
        </w:rPr>
        <w:t>度</w:t>
      </w:r>
      <w:r>
        <w:rPr>
          <w:rFonts w:ascii="Times New Roman" w:hAnsi="Times New Roman" w:eastAsia="Times New Roman" w:cs="Times New Roman"/>
          <w:spacing w:val="-1"/>
          <w:sz w:val="24"/>
          <w:szCs w:val="24"/>
        </w:rPr>
        <w:t>0.015</w:t>
      </w:r>
      <w:r>
        <w:rPr>
          <w:rFonts w:ascii="宋体" w:hAnsi="宋体" w:eastAsia="宋体" w:cs="宋体"/>
          <w:spacing w:val="-1"/>
          <w:sz w:val="24"/>
          <w:szCs w:val="24"/>
        </w:rPr>
        <w:t>；</w:t>
      </w:r>
    </w:p>
    <w:p w14:paraId="0EBD179F">
      <w:pPr>
        <w:spacing w:before="182" w:line="220" w:lineRule="auto"/>
        <w:ind w:left="517"/>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质点迁移天数，取值</w:t>
      </w:r>
      <w:r>
        <w:rPr>
          <w:rFonts w:ascii="Times New Roman" w:hAnsi="Times New Roman" w:eastAsia="Times New Roman" w:cs="Times New Roman"/>
          <w:spacing w:val="-1"/>
          <w:sz w:val="24"/>
          <w:szCs w:val="24"/>
        </w:rPr>
        <w:t>5000d</w:t>
      </w:r>
      <w:r>
        <w:rPr>
          <w:rFonts w:ascii="宋体" w:hAnsi="宋体" w:eastAsia="宋体" w:cs="宋体"/>
          <w:spacing w:val="-1"/>
          <w:sz w:val="24"/>
          <w:szCs w:val="24"/>
        </w:rPr>
        <w:t>；</w:t>
      </w:r>
    </w:p>
    <w:p w14:paraId="4A8DD14C">
      <w:pPr>
        <w:spacing w:before="182" w:line="360" w:lineRule="auto"/>
        <w:ind w:left="42" w:right="68" w:firstLine="469"/>
        <w:jc w:val="both"/>
        <w:rPr>
          <w:rFonts w:ascii="宋体" w:hAnsi="宋体" w:eastAsia="宋体" w:cs="宋体"/>
          <w:sz w:val="24"/>
          <w:szCs w:val="24"/>
        </w:rPr>
      </w:pPr>
      <w:r>
        <w:rPr>
          <w:rFonts w:ascii="Times New Roman" w:hAnsi="Times New Roman" w:eastAsia="Times New Roman" w:cs="Times New Roman"/>
          <w:spacing w:val="-6"/>
          <w:sz w:val="24"/>
          <w:szCs w:val="24"/>
        </w:rPr>
        <w:t>ne—</w:t>
      </w:r>
      <w:r>
        <w:rPr>
          <w:rFonts w:ascii="宋体" w:hAnsi="宋体" w:eastAsia="宋体" w:cs="宋体"/>
          <w:spacing w:val="-6"/>
          <w:sz w:val="24"/>
          <w:szCs w:val="24"/>
        </w:rPr>
        <w:t xml:space="preserve">有效孔隙度，无量纲。评价区内含水层岩性主要为泥质砂岩， </w:t>
      </w:r>
      <w:r>
        <w:rPr>
          <w:rFonts w:ascii="宋体" w:hAnsi="宋体" w:eastAsia="宋体" w:cs="宋体"/>
          <w:spacing w:val="-7"/>
          <w:sz w:val="24"/>
          <w:szCs w:val="24"/>
        </w:rPr>
        <w:t>结合《地</w:t>
      </w:r>
      <w:r>
        <w:rPr>
          <w:rFonts w:ascii="宋体" w:hAnsi="宋体" w:eastAsia="宋体" w:cs="宋体"/>
          <w:spacing w:val="-1"/>
          <w:sz w:val="24"/>
          <w:szCs w:val="24"/>
        </w:rPr>
        <w:t>下水污染模拟预测评估工作指南》中附录</w:t>
      </w:r>
      <w:r>
        <w:rPr>
          <w:rFonts w:ascii="Times New Roman" w:hAnsi="Times New Roman" w:eastAsia="Times New Roman" w:cs="Times New Roman"/>
          <w:spacing w:val="-1"/>
          <w:sz w:val="24"/>
          <w:szCs w:val="24"/>
        </w:rPr>
        <w:t>C</w:t>
      </w:r>
      <w:r>
        <w:rPr>
          <w:rFonts w:ascii="宋体" w:hAnsi="宋体" w:eastAsia="宋体" w:cs="宋体"/>
          <w:spacing w:val="-1"/>
          <w:sz w:val="24"/>
          <w:szCs w:val="24"/>
        </w:rPr>
        <w:t>以及本项目岩土工程勘察结果，本次</w:t>
      </w:r>
      <w:r>
        <w:rPr>
          <w:rFonts w:ascii="宋体" w:hAnsi="宋体" w:eastAsia="宋体" w:cs="宋体"/>
          <w:spacing w:val="-3"/>
          <w:sz w:val="24"/>
          <w:szCs w:val="24"/>
        </w:rPr>
        <w:t>取</w:t>
      </w:r>
      <w:r>
        <w:rPr>
          <w:rFonts w:ascii="Times New Roman" w:hAnsi="Times New Roman" w:eastAsia="Times New Roman" w:cs="Times New Roman"/>
          <w:spacing w:val="-3"/>
          <w:sz w:val="24"/>
          <w:szCs w:val="24"/>
        </w:rPr>
        <w:t>0.10</w:t>
      </w:r>
      <w:r>
        <w:rPr>
          <w:rFonts w:ascii="宋体" w:hAnsi="宋体" w:eastAsia="宋体" w:cs="宋体"/>
          <w:spacing w:val="-3"/>
          <w:sz w:val="24"/>
          <w:szCs w:val="24"/>
        </w:rPr>
        <w:t>。</w:t>
      </w:r>
    </w:p>
    <w:p w14:paraId="5D90ECF8">
      <w:pPr>
        <w:spacing w:line="360" w:lineRule="auto"/>
        <w:ind w:left="40" w:right="77" w:firstLine="479"/>
        <w:jc w:val="both"/>
        <w:rPr>
          <w:rFonts w:ascii="宋体" w:hAnsi="宋体" w:eastAsia="宋体" w:cs="宋体"/>
          <w:sz w:val="24"/>
          <w:szCs w:val="24"/>
        </w:rPr>
      </w:pPr>
      <w:r>
        <w:rPr>
          <w:rFonts w:ascii="宋体" w:hAnsi="宋体" w:eastAsia="宋体" w:cs="宋体"/>
          <w:spacing w:val="2"/>
          <w:sz w:val="24"/>
          <w:szCs w:val="24"/>
        </w:rPr>
        <w:t>计算得到污染物下游迁移距离</w:t>
      </w:r>
      <w:r>
        <w:rPr>
          <w:rFonts w:ascii="Times New Roman" w:hAnsi="Times New Roman" w:eastAsia="Times New Roman" w:cs="Times New Roman"/>
          <w:spacing w:val="2"/>
          <w:sz w:val="24"/>
          <w:szCs w:val="24"/>
        </w:rPr>
        <w:t>L=2×0.</w:t>
      </w:r>
      <w:r>
        <w:rPr>
          <w:rFonts w:ascii="Times New Roman" w:hAnsi="Times New Roman" w:eastAsia="Times New Roman" w:cs="Times New Roman"/>
          <w:spacing w:val="1"/>
          <w:sz w:val="24"/>
          <w:szCs w:val="24"/>
        </w:rPr>
        <w:t>65×0.015×5000/0.10=975m</w:t>
      </w:r>
      <w:r>
        <w:rPr>
          <w:rFonts w:ascii="宋体" w:hAnsi="宋体" w:eastAsia="宋体" w:cs="宋体"/>
          <w:spacing w:val="1"/>
          <w:sz w:val="24"/>
          <w:szCs w:val="24"/>
        </w:rPr>
        <w:t>，根据《环</w:t>
      </w:r>
      <w:r>
        <w:rPr>
          <w:rFonts w:ascii="宋体" w:hAnsi="宋体" w:eastAsia="宋体" w:cs="宋体"/>
          <w:sz w:val="24"/>
          <w:szCs w:val="24"/>
        </w:rPr>
        <w:t>境影响评价技术导则 地下水环境》（</w:t>
      </w:r>
      <w:r>
        <w:rPr>
          <w:rFonts w:ascii="Times New Roman" w:hAnsi="Times New Roman" w:eastAsia="Times New Roman" w:cs="Times New Roman"/>
          <w:sz w:val="24"/>
          <w:szCs w:val="24"/>
        </w:rPr>
        <w:t>HJ610-2016</w:t>
      </w:r>
      <w:r>
        <w:rPr>
          <w:rFonts w:ascii="宋体" w:hAnsi="宋体" w:eastAsia="宋体" w:cs="宋体"/>
          <w:sz w:val="24"/>
          <w:szCs w:val="24"/>
        </w:rPr>
        <w:t>）评价范围的确定要求，评价范围为项目下游</w:t>
      </w:r>
      <w:r>
        <w:rPr>
          <w:rFonts w:ascii="Times New Roman" w:hAnsi="Times New Roman" w:eastAsia="Times New Roman" w:cs="Times New Roman"/>
          <w:sz w:val="24"/>
          <w:szCs w:val="24"/>
        </w:rPr>
        <w:t>975m</w:t>
      </w:r>
      <w:r>
        <w:rPr>
          <w:rFonts w:ascii="宋体" w:hAnsi="宋体" w:eastAsia="宋体" w:cs="宋体"/>
          <w:sz w:val="24"/>
          <w:szCs w:val="24"/>
        </w:rPr>
        <w:t>、两侧各</w:t>
      </w:r>
      <w:r>
        <w:rPr>
          <w:rFonts w:ascii="Times New Roman" w:hAnsi="Times New Roman" w:eastAsia="Times New Roman" w:cs="Times New Roman"/>
          <w:sz w:val="24"/>
          <w:szCs w:val="24"/>
        </w:rPr>
        <w:t>487.5m</w:t>
      </w:r>
      <w:r>
        <w:rPr>
          <w:rFonts w:ascii="宋体" w:hAnsi="宋体" w:eastAsia="宋体" w:cs="宋体"/>
          <w:sz w:val="24"/>
          <w:szCs w:val="24"/>
        </w:rPr>
        <w:t>组成的范围，约为</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.95km</w:t>
      </w:r>
      <w:r>
        <w:rPr>
          <w:rFonts w:ascii="Times New Roman" w:hAnsi="Times New Roman" w:eastAsia="Times New Roman" w:cs="Times New Roman"/>
          <w:spacing w:val="-1"/>
          <w:position w:val="10"/>
          <w:sz w:val="15"/>
          <w:szCs w:val="15"/>
        </w:rPr>
        <w:t>2</w:t>
      </w:r>
      <w:r>
        <w:rPr>
          <w:rFonts w:ascii="宋体" w:hAnsi="宋体" w:eastAsia="宋体" w:cs="宋体"/>
          <w:spacing w:val="-1"/>
          <w:sz w:val="24"/>
          <w:szCs w:val="24"/>
        </w:rPr>
        <w:t>。</w:t>
      </w:r>
    </w:p>
    <w:p w14:paraId="18A7D632">
      <w:pPr>
        <w:spacing w:before="1" w:line="217" w:lineRule="auto"/>
        <w:ind w:left="517"/>
        <w:rPr>
          <w:rFonts w:ascii="宋体" w:hAnsi="宋体" w:eastAsia="宋体" w:cs="宋体"/>
          <w:sz w:val="24"/>
          <w:szCs w:val="24"/>
        </w:rPr>
      </w:pPr>
      <w:r>
        <w:rPr>
          <w:rFonts w:ascii="宋体" w:hAnsi="宋体" w:eastAsia="宋体" w:cs="宋体"/>
          <w:spacing w:val="-2"/>
          <w:sz w:val="24"/>
          <w:szCs w:val="24"/>
        </w:rPr>
        <w:t>②查表法</w:t>
      </w:r>
    </w:p>
    <w:p w14:paraId="0536D0FD">
      <w:pPr>
        <w:spacing w:before="185" w:line="358" w:lineRule="auto"/>
        <w:ind w:left="85" w:right="67" w:firstLine="434"/>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610-2016</w:t>
      </w:r>
      <w:r>
        <w:rPr>
          <w:rFonts w:ascii="宋体" w:hAnsi="宋体" w:eastAsia="宋体" w:cs="宋体"/>
          <w:sz w:val="24"/>
          <w:szCs w:val="24"/>
        </w:rPr>
        <w:t>）“表</w:t>
      </w:r>
      <w:r>
        <w:rPr>
          <w:rFonts w:ascii="Times New Roman" w:hAnsi="Times New Roman" w:eastAsia="Times New Roman" w:cs="Times New Roman"/>
          <w:sz w:val="24"/>
          <w:szCs w:val="24"/>
        </w:rPr>
        <w:t xml:space="preserve">3  </w:t>
      </w:r>
      <w:r>
        <w:rPr>
          <w:rFonts w:ascii="宋体" w:hAnsi="宋体" w:eastAsia="宋体" w:cs="宋体"/>
          <w:sz w:val="24"/>
          <w:szCs w:val="24"/>
        </w:rPr>
        <w:t>建设项</w:t>
      </w:r>
      <w:r>
        <w:rPr>
          <w:rFonts w:ascii="宋体" w:hAnsi="宋体" w:eastAsia="宋体" w:cs="宋体"/>
          <w:spacing w:val="-2"/>
          <w:sz w:val="24"/>
          <w:szCs w:val="24"/>
        </w:rPr>
        <w:t>目地下水环境现状调查评价范围参照表”，三级调查评价面积≤</w:t>
      </w:r>
      <w:r>
        <w:rPr>
          <w:rFonts w:ascii="Times New Roman" w:hAnsi="Times New Roman" w:eastAsia="Times New Roman" w:cs="Times New Roman"/>
          <w:spacing w:val="-2"/>
          <w:sz w:val="24"/>
          <w:szCs w:val="24"/>
        </w:rPr>
        <w:t>6km</w:t>
      </w:r>
      <w:r>
        <w:rPr>
          <w:rFonts w:ascii="Times New Roman" w:hAnsi="Times New Roman" w:eastAsia="Times New Roman" w:cs="Times New Roman"/>
          <w:spacing w:val="-2"/>
          <w:position w:val="10"/>
          <w:sz w:val="15"/>
          <w:szCs w:val="15"/>
        </w:rPr>
        <w:t>2</w:t>
      </w:r>
      <w:r>
        <w:rPr>
          <w:rFonts w:ascii="宋体" w:hAnsi="宋体" w:eastAsia="宋体" w:cs="宋体"/>
          <w:spacing w:val="-2"/>
          <w:sz w:val="24"/>
          <w:szCs w:val="24"/>
        </w:rPr>
        <w:t>。</w:t>
      </w:r>
    </w:p>
    <w:p w14:paraId="496CE137">
      <w:pPr>
        <w:spacing w:before="6" w:line="217" w:lineRule="auto"/>
        <w:ind w:left="517"/>
        <w:rPr>
          <w:rFonts w:ascii="宋体" w:hAnsi="宋体" w:eastAsia="宋体" w:cs="宋体"/>
          <w:sz w:val="24"/>
          <w:szCs w:val="24"/>
        </w:rPr>
      </w:pPr>
      <w:r>
        <w:rPr>
          <w:rFonts w:ascii="宋体" w:hAnsi="宋体" w:eastAsia="宋体" w:cs="宋体"/>
          <w:spacing w:val="-2"/>
          <w:sz w:val="24"/>
          <w:szCs w:val="24"/>
        </w:rPr>
        <w:t>③自定义法</w:t>
      </w:r>
    </w:p>
    <w:p w14:paraId="2B5C19CB">
      <w:pPr>
        <w:spacing w:before="185" w:line="360" w:lineRule="auto"/>
        <w:ind w:left="45" w:firstLine="475"/>
        <w:rPr>
          <w:rFonts w:ascii="宋体" w:hAnsi="宋体" w:eastAsia="宋体" w:cs="宋体"/>
          <w:sz w:val="24"/>
          <w:szCs w:val="24"/>
        </w:rPr>
      </w:pPr>
      <w:r>
        <w:rPr>
          <w:rFonts w:ascii="宋体" w:hAnsi="宋体" w:eastAsia="宋体" w:cs="宋体"/>
          <w:spacing w:val="-7"/>
          <w:sz w:val="24"/>
          <w:szCs w:val="24"/>
        </w:rPr>
        <w:t>本项目周围有地表水及山脊阻隔，其中，南侧有石核河、北侧有五桂溪， 东</w:t>
      </w:r>
      <w:r>
        <w:rPr>
          <w:rFonts w:ascii="宋体" w:hAnsi="宋体" w:eastAsia="宋体" w:cs="宋体"/>
          <w:spacing w:val="-1"/>
          <w:sz w:val="24"/>
          <w:szCs w:val="24"/>
        </w:rPr>
        <w:t>西侧有山脊阻隔，结合项目地水文地质条件，以石核河、五桂</w:t>
      </w:r>
      <w:r>
        <w:rPr>
          <w:rFonts w:ascii="宋体" w:hAnsi="宋体" w:eastAsia="宋体" w:cs="宋体"/>
          <w:spacing w:val="-2"/>
          <w:sz w:val="24"/>
          <w:szCs w:val="24"/>
        </w:rPr>
        <w:t>溪为定水头边界，</w:t>
      </w:r>
      <w:r>
        <w:rPr>
          <w:rFonts w:ascii="宋体" w:hAnsi="宋体" w:eastAsia="宋体" w:cs="宋体"/>
          <w:sz w:val="24"/>
          <w:szCs w:val="24"/>
        </w:rPr>
        <w:t>以山脊（分水岭）作为零通量边界，划定地下水</w:t>
      </w:r>
      <w:r>
        <w:rPr>
          <w:rFonts w:ascii="宋体" w:hAnsi="宋体" w:eastAsia="宋体" w:cs="宋体"/>
          <w:spacing w:val="-1"/>
          <w:sz w:val="24"/>
          <w:szCs w:val="24"/>
        </w:rPr>
        <w:t>评价范围约</w:t>
      </w:r>
      <w:r>
        <w:rPr>
          <w:rFonts w:ascii="Times New Roman" w:hAnsi="Times New Roman" w:eastAsia="Times New Roman" w:cs="Times New Roman"/>
          <w:spacing w:val="-1"/>
          <w:sz w:val="24"/>
          <w:szCs w:val="24"/>
        </w:rPr>
        <w:t>4.75km</w:t>
      </w:r>
      <w:r>
        <w:rPr>
          <w:rFonts w:ascii="Times New Roman" w:hAnsi="Times New Roman" w:eastAsia="Times New Roman" w:cs="Times New Roman"/>
          <w:spacing w:val="-1"/>
          <w:position w:val="10"/>
          <w:sz w:val="15"/>
          <w:szCs w:val="15"/>
        </w:rPr>
        <w:t>2</w:t>
      </w:r>
      <w:r>
        <w:rPr>
          <w:rFonts w:ascii="宋体" w:hAnsi="宋体" w:eastAsia="宋体" w:cs="宋体"/>
          <w:spacing w:val="-1"/>
          <w:sz w:val="24"/>
          <w:szCs w:val="24"/>
        </w:rPr>
        <w:t>。</w:t>
      </w:r>
    </w:p>
    <w:p w14:paraId="379E4621">
      <w:pPr>
        <w:spacing w:line="360" w:lineRule="auto"/>
        <w:ind w:left="46" w:right="67" w:firstLine="478"/>
        <w:jc w:val="both"/>
        <w:rPr>
          <w:rFonts w:ascii="宋体" w:hAnsi="宋体" w:eastAsia="宋体" w:cs="宋体"/>
          <w:sz w:val="24"/>
          <w:szCs w:val="24"/>
        </w:rPr>
      </w:pPr>
      <w:r>
        <w:rPr>
          <w:rFonts w:ascii="宋体" w:hAnsi="宋体" w:eastAsia="宋体" w:cs="宋体"/>
          <w:spacing w:val="1"/>
          <w:sz w:val="24"/>
          <w:szCs w:val="24"/>
        </w:rPr>
        <w:t>结合项目现场踏勘情况，本项目与南侧石核河距离为</w:t>
      </w:r>
      <w:r>
        <w:rPr>
          <w:rFonts w:ascii="Times New Roman" w:hAnsi="Times New Roman" w:eastAsia="Times New Roman" w:cs="Times New Roman"/>
          <w:spacing w:val="1"/>
          <w:sz w:val="24"/>
          <w:szCs w:val="24"/>
        </w:rPr>
        <w:t>228m</w:t>
      </w:r>
      <w:r>
        <w:rPr>
          <w:rFonts w:ascii="宋体" w:hAnsi="宋体" w:eastAsia="宋体" w:cs="宋体"/>
          <w:spacing w:val="1"/>
          <w:sz w:val="24"/>
          <w:szCs w:val="24"/>
        </w:rPr>
        <w:t>，计算的评价范</w:t>
      </w:r>
      <w:r>
        <w:rPr>
          <w:rFonts w:ascii="宋体" w:hAnsi="宋体" w:eastAsia="宋体" w:cs="宋体"/>
          <w:spacing w:val="-3"/>
          <w:sz w:val="24"/>
          <w:szCs w:val="24"/>
        </w:rPr>
        <w:t>围以及查表法的评价范围已经超出项目水文地质单元边界，综合</w:t>
      </w:r>
      <w:r>
        <w:rPr>
          <w:rFonts w:ascii="宋体" w:hAnsi="宋体" w:eastAsia="宋体" w:cs="宋体"/>
          <w:spacing w:val="-4"/>
          <w:sz w:val="24"/>
          <w:szCs w:val="24"/>
        </w:rPr>
        <w:t>考虑，本项目地</w:t>
      </w:r>
      <w:r>
        <w:rPr>
          <w:rFonts w:ascii="宋体" w:hAnsi="宋体" w:eastAsia="宋体" w:cs="宋体"/>
          <w:spacing w:val="-1"/>
          <w:sz w:val="24"/>
          <w:szCs w:val="24"/>
        </w:rPr>
        <w:t>下水评价范围以自定义法确定，即</w:t>
      </w:r>
      <w:r>
        <w:rPr>
          <w:rFonts w:ascii="Times New Roman" w:hAnsi="Times New Roman" w:eastAsia="Times New Roman" w:cs="Times New Roman"/>
          <w:spacing w:val="-1"/>
          <w:sz w:val="24"/>
          <w:szCs w:val="24"/>
        </w:rPr>
        <w:t>4.75km</w:t>
      </w:r>
      <w:r>
        <w:rPr>
          <w:rFonts w:ascii="Times New Roman" w:hAnsi="Times New Roman" w:eastAsia="Times New Roman" w:cs="Times New Roman"/>
          <w:spacing w:val="-1"/>
          <w:position w:val="10"/>
          <w:sz w:val="15"/>
          <w:szCs w:val="15"/>
        </w:rPr>
        <w:t>2</w:t>
      </w:r>
      <w:r>
        <w:rPr>
          <w:rFonts w:ascii="宋体" w:hAnsi="宋体" w:eastAsia="宋体" w:cs="宋体"/>
          <w:spacing w:val="-1"/>
          <w:sz w:val="24"/>
          <w:szCs w:val="24"/>
        </w:rPr>
        <w:t>。</w:t>
      </w:r>
    </w:p>
    <w:p w14:paraId="520754F5">
      <w:pPr>
        <w:spacing w:before="1"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）土壤环境</w:t>
      </w:r>
    </w:p>
    <w:p w14:paraId="300E2802">
      <w:pPr>
        <w:spacing w:before="182" w:line="361" w:lineRule="auto"/>
        <w:ind w:left="41" w:right="67" w:firstLine="478"/>
        <w:rPr>
          <w:rFonts w:ascii="宋体" w:hAnsi="宋体" w:eastAsia="宋体" w:cs="宋体"/>
          <w:sz w:val="24"/>
          <w:szCs w:val="24"/>
        </w:rPr>
      </w:pPr>
      <w:r>
        <w:rPr>
          <w:rFonts w:ascii="宋体" w:hAnsi="宋体" w:eastAsia="宋体" w:cs="宋体"/>
          <w:sz w:val="24"/>
          <w:szCs w:val="24"/>
        </w:rPr>
        <w:t>根据《环境影响评价技术导则 土壤环境（试行）》（</w:t>
      </w:r>
      <w:r>
        <w:rPr>
          <w:rFonts w:ascii="Times New Roman" w:hAnsi="Times New Roman" w:eastAsia="Times New Roman" w:cs="Times New Roman"/>
          <w:sz w:val="24"/>
          <w:szCs w:val="24"/>
        </w:rPr>
        <w:t>HJ964-2018</w:t>
      </w:r>
      <w:r>
        <w:rPr>
          <w:rFonts w:ascii="宋体" w:hAnsi="宋体" w:eastAsia="宋体" w:cs="宋体"/>
          <w:sz w:val="24"/>
          <w:szCs w:val="24"/>
        </w:rPr>
        <w:t>）中关于</w:t>
      </w:r>
      <w:r>
        <w:rPr>
          <w:rFonts w:ascii="宋体" w:hAnsi="宋体" w:eastAsia="宋体" w:cs="宋体"/>
          <w:spacing w:val="-3"/>
          <w:sz w:val="24"/>
          <w:szCs w:val="24"/>
        </w:rPr>
        <w:t>现状调查评价范围的规定，确定本项目土壤环境评价范围为项目占地范围内及范</w:t>
      </w:r>
    </w:p>
    <w:p w14:paraId="3E302AC9">
      <w:pPr>
        <w:spacing w:line="361" w:lineRule="auto"/>
        <w:rPr>
          <w:rFonts w:ascii="宋体" w:hAnsi="宋体" w:eastAsia="宋体" w:cs="宋体"/>
          <w:sz w:val="24"/>
          <w:szCs w:val="24"/>
        </w:rPr>
        <w:sectPr>
          <w:headerReference r:id="rId58" w:type="default"/>
          <w:footerReference r:id="rId59" w:type="default"/>
          <w:pgSz w:w="11905" w:h="16840"/>
          <w:pgMar w:top="1168" w:right="1730" w:bottom="1409" w:left="1770" w:header="828" w:footer="1244" w:gutter="0"/>
          <w:cols w:space="720" w:num="1"/>
        </w:sectPr>
      </w:pPr>
    </w:p>
    <w:p w14:paraId="7D2641B0">
      <w:pPr>
        <w:pStyle w:val="2"/>
        <w:spacing w:line="305" w:lineRule="auto"/>
      </w:pPr>
    </w:p>
    <w:p w14:paraId="333498CC">
      <w:pPr>
        <w:spacing w:before="78" w:line="220" w:lineRule="auto"/>
        <w:ind w:left="60"/>
        <w:rPr>
          <w:rFonts w:ascii="宋体" w:hAnsi="宋体" w:eastAsia="宋体" w:cs="宋体"/>
          <w:sz w:val="24"/>
          <w:szCs w:val="24"/>
        </w:rPr>
      </w:pPr>
      <w:r>
        <w:rPr>
          <w:rFonts w:ascii="宋体" w:hAnsi="宋体" w:eastAsia="宋体" w:cs="宋体"/>
          <w:spacing w:val="-6"/>
          <w:sz w:val="24"/>
          <w:szCs w:val="24"/>
        </w:rPr>
        <w:t>围外</w:t>
      </w:r>
      <w:r>
        <w:rPr>
          <w:rFonts w:ascii="Times New Roman" w:hAnsi="Times New Roman" w:eastAsia="Times New Roman" w:cs="Times New Roman"/>
          <w:spacing w:val="-6"/>
          <w:sz w:val="24"/>
          <w:szCs w:val="24"/>
        </w:rPr>
        <w:t>50m</w:t>
      </w:r>
      <w:r>
        <w:rPr>
          <w:rFonts w:ascii="宋体" w:hAnsi="宋体" w:eastAsia="宋体" w:cs="宋体"/>
          <w:spacing w:val="-6"/>
          <w:sz w:val="24"/>
          <w:szCs w:val="24"/>
        </w:rPr>
        <w:t>以内的区域。</w:t>
      </w:r>
    </w:p>
    <w:p w14:paraId="39947283">
      <w:pPr>
        <w:spacing w:before="200" w:line="5040" w:lineRule="exact"/>
        <w:ind w:firstLine="21"/>
      </w:pPr>
      <w:r>
        <w:rPr>
          <w:position w:val="-100"/>
        </w:rPr>
        <w:drawing>
          <wp:inline distT="0" distB="0" distL="0" distR="0">
            <wp:extent cx="5283200" cy="32004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34"/>
                    <a:stretch>
                      <a:fillRect/>
                    </a:stretch>
                  </pic:blipFill>
                  <pic:spPr>
                    <a:xfrm>
                      <a:off x="0" y="0"/>
                      <a:ext cx="5283707" cy="3200400"/>
                    </a:xfrm>
                    <a:prstGeom prst="rect">
                      <a:avLst/>
                    </a:prstGeom>
                  </pic:spPr>
                </pic:pic>
              </a:graphicData>
            </a:graphic>
          </wp:inline>
        </w:drawing>
      </w:r>
    </w:p>
    <w:p w14:paraId="3DB7B99F">
      <w:pPr>
        <w:spacing w:before="259" w:line="222" w:lineRule="auto"/>
        <w:ind w:left="2646"/>
        <w:rPr>
          <w:rFonts w:ascii="黑体" w:hAnsi="黑体" w:eastAsia="黑体" w:cs="黑体"/>
          <w:sz w:val="21"/>
          <w:szCs w:val="21"/>
        </w:rPr>
      </w:pPr>
      <w:r>
        <w:rPr>
          <w:rFonts w:ascii="黑体" w:hAnsi="黑体" w:eastAsia="黑体" w:cs="黑体"/>
          <w:spacing w:val="-3"/>
          <w:sz w:val="21"/>
          <w:szCs w:val="21"/>
        </w:rPr>
        <w:t>图</w:t>
      </w:r>
      <w:r>
        <w:rPr>
          <w:rFonts w:ascii="黑体" w:hAnsi="黑体" w:eastAsia="黑体" w:cs="黑体"/>
          <w:spacing w:val="-17"/>
          <w:sz w:val="21"/>
          <w:szCs w:val="21"/>
        </w:rPr>
        <w:t xml:space="preserve"> </w:t>
      </w:r>
      <w:r>
        <w:rPr>
          <w:rFonts w:ascii="Times New Roman" w:hAnsi="Times New Roman" w:eastAsia="Times New Roman" w:cs="Times New Roman"/>
          <w:spacing w:val="-3"/>
          <w:sz w:val="21"/>
          <w:szCs w:val="21"/>
        </w:rPr>
        <w:t xml:space="preserve">1.3-3  </w:t>
      </w:r>
      <w:r>
        <w:rPr>
          <w:rFonts w:ascii="黑体" w:hAnsi="黑体" w:eastAsia="黑体" w:cs="黑体"/>
          <w:spacing w:val="-3"/>
          <w:sz w:val="21"/>
          <w:szCs w:val="21"/>
        </w:rPr>
        <w:t>本项目地下水评价范围图</w:t>
      </w:r>
    </w:p>
    <w:p w14:paraId="18240499">
      <w:pPr>
        <w:spacing w:before="202" w:line="220" w:lineRule="auto"/>
        <w:ind w:left="528"/>
        <w:rPr>
          <w:rFonts w:ascii="宋体" w:hAnsi="宋体" w:eastAsia="宋体" w:cs="宋体"/>
          <w:sz w:val="24"/>
          <w:szCs w:val="24"/>
        </w:rPr>
      </w:pPr>
      <w:bookmarkStart w:id="19" w:name="bookmark102"/>
      <w:bookmarkEnd w:id="19"/>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5</w:t>
      </w:r>
      <w:r>
        <w:rPr>
          <w:rFonts w:ascii="宋体" w:hAnsi="宋体" w:eastAsia="宋体" w:cs="宋体"/>
          <w:b/>
          <w:bCs/>
          <w:spacing w:val="-6"/>
          <w:sz w:val="24"/>
          <w:szCs w:val="24"/>
        </w:rPr>
        <w:t>）声环境</w:t>
      </w:r>
    </w:p>
    <w:p w14:paraId="261A736A">
      <w:pPr>
        <w:spacing w:before="181" w:line="360" w:lineRule="auto"/>
        <w:ind w:left="40" w:right="39" w:firstLine="479"/>
        <w:rPr>
          <w:rFonts w:ascii="宋体" w:hAnsi="宋体" w:eastAsia="宋体" w:cs="宋体"/>
          <w:sz w:val="24"/>
          <w:szCs w:val="24"/>
        </w:rPr>
      </w:pPr>
      <w:r>
        <w:rPr>
          <w:rFonts w:ascii="宋体" w:hAnsi="宋体" w:eastAsia="宋体" w:cs="宋体"/>
          <w:spacing w:val="2"/>
          <w:sz w:val="24"/>
          <w:szCs w:val="24"/>
        </w:rPr>
        <w:t>根据《环境影响评价技术导则 声环境》（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2.4-2009</w:t>
      </w:r>
      <w:r>
        <w:rPr>
          <w:rFonts w:ascii="宋体" w:hAnsi="宋体" w:eastAsia="宋体" w:cs="宋体"/>
          <w:spacing w:val="5"/>
          <w:sz w:val="24"/>
          <w:szCs w:val="24"/>
        </w:rPr>
        <w:t>），</w:t>
      </w:r>
      <w:r>
        <w:rPr>
          <w:rFonts w:ascii="宋体" w:hAnsi="宋体" w:eastAsia="宋体" w:cs="宋体"/>
          <w:spacing w:val="2"/>
          <w:sz w:val="24"/>
          <w:szCs w:val="24"/>
        </w:rPr>
        <w:t>本项目声环境评</w:t>
      </w:r>
      <w:r>
        <w:rPr>
          <w:rFonts w:ascii="宋体" w:hAnsi="宋体" w:eastAsia="宋体" w:cs="宋体"/>
          <w:spacing w:val="-3"/>
          <w:sz w:val="24"/>
          <w:szCs w:val="24"/>
        </w:rPr>
        <w:t>价范围为项目场界外</w:t>
      </w:r>
      <w:r>
        <w:rPr>
          <w:rFonts w:ascii="Times New Roman" w:hAnsi="Times New Roman" w:eastAsia="Times New Roman" w:cs="Times New Roman"/>
          <w:spacing w:val="-3"/>
          <w:sz w:val="24"/>
          <w:szCs w:val="24"/>
        </w:rPr>
        <w:t>200m</w:t>
      </w:r>
      <w:r>
        <w:rPr>
          <w:rFonts w:ascii="宋体" w:hAnsi="宋体" w:eastAsia="宋体" w:cs="宋体"/>
          <w:spacing w:val="-3"/>
          <w:sz w:val="24"/>
          <w:szCs w:val="24"/>
        </w:rPr>
        <w:t>范围内。</w:t>
      </w:r>
    </w:p>
    <w:p w14:paraId="47F9422A">
      <w:pPr>
        <w:spacing w:before="1"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6</w:t>
      </w:r>
      <w:r>
        <w:rPr>
          <w:rFonts w:ascii="宋体" w:hAnsi="宋体" w:eastAsia="宋体" w:cs="宋体"/>
          <w:b/>
          <w:bCs/>
          <w:spacing w:val="-5"/>
          <w:sz w:val="24"/>
          <w:szCs w:val="24"/>
        </w:rPr>
        <w:t>）生态环境</w:t>
      </w:r>
    </w:p>
    <w:p w14:paraId="6881360B">
      <w:pPr>
        <w:spacing w:before="181" w:line="218" w:lineRule="auto"/>
        <w:ind w:left="520"/>
        <w:rPr>
          <w:rFonts w:ascii="宋体" w:hAnsi="宋体" w:eastAsia="宋体" w:cs="宋体"/>
          <w:sz w:val="24"/>
          <w:szCs w:val="24"/>
        </w:rPr>
      </w:pPr>
      <w:r>
        <w:rPr>
          <w:rFonts w:ascii="宋体" w:hAnsi="宋体" w:eastAsia="宋体" w:cs="宋体"/>
          <w:spacing w:val="-3"/>
          <w:sz w:val="24"/>
          <w:szCs w:val="24"/>
        </w:rPr>
        <w:t>本项目生态影响评价范围为项目占地范围。</w:t>
      </w:r>
    </w:p>
    <w:p w14:paraId="00249D6E">
      <w:pPr>
        <w:spacing w:before="185" w:line="218" w:lineRule="auto"/>
        <w:ind w:left="520"/>
        <w:rPr>
          <w:rFonts w:ascii="宋体" w:hAnsi="宋体" w:eastAsia="宋体" w:cs="宋体"/>
          <w:sz w:val="24"/>
          <w:szCs w:val="24"/>
        </w:rPr>
      </w:pPr>
      <w:r>
        <w:rPr>
          <w:rFonts w:ascii="宋体" w:hAnsi="宋体" w:eastAsia="宋体" w:cs="宋体"/>
          <w:spacing w:val="-2"/>
          <w:sz w:val="24"/>
          <w:szCs w:val="24"/>
        </w:rPr>
        <w:t>本项目各环境要素环境影响评价工作等级及评价范围详见下表。</w:t>
      </w:r>
    </w:p>
    <w:p w14:paraId="0A6B1185">
      <w:pPr>
        <w:spacing w:before="198" w:line="221" w:lineRule="auto"/>
        <w:ind w:left="219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1.3-13  </w:t>
      </w:r>
      <w:r>
        <w:rPr>
          <w:rFonts w:ascii="黑体" w:hAnsi="黑体" w:eastAsia="黑体" w:cs="黑体"/>
          <w:spacing w:val="-1"/>
          <w:sz w:val="21"/>
          <w:szCs w:val="21"/>
        </w:rPr>
        <w:t>本项目评价工作等级及评价范围表</w:t>
      </w:r>
    </w:p>
    <w:p w14:paraId="61F60C88">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7"/>
        <w:gridCol w:w="1701"/>
        <w:gridCol w:w="4772"/>
      </w:tblGrid>
      <w:tr w14:paraId="75540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47" w:type="dxa"/>
            <w:vAlign w:val="top"/>
          </w:tcPr>
          <w:p w14:paraId="70E438DD">
            <w:pPr>
              <w:spacing w:before="68" w:line="220" w:lineRule="auto"/>
              <w:ind w:left="508"/>
              <w:rPr>
                <w:rFonts w:ascii="宋体" w:hAnsi="宋体" w:eastAsia="宋体" w:cs="宋体"/>
                <w:sz w:val="21"/>
                <w:szCs w:val="21"/>
              </w:rPr>
            </w:pPr>
            <w:r>
              <w:rPr>
                <w:rFonts w:ascii="宋体" w:hAnsi="宋体" w:eastAsia="宋体" w:cs="宋体"/>
                <w:spacing w:val="-2"/>
                <w:sz w:val="21"/>
                <w:szCs w:val="21"/>
              </w:rPr>
              <w:t>环境要素</w:t>
            </w:r>
          </w:p>
        </w:tc>
        <w:tc>
          <w:tcPr>
            <w:tcW w:w="1701" w:type="dxa"/>
            <w:vAlign w:val="top"/>
          </w:tcPr>
          <w:p w14:paraId="77CB62DE">
            <w:pPr>
              <w:spacing w:before="69" w:line="218" w:lineRule="auto"/>
              <w:ind w:left="434"/>
              <w:rPr>
                <w:rFonts w:ascii="宋体" w:hAnsi="宋体" w:eastAsia="宋体" w:cs="宋体"/>
                <w:sz w:val="21"/>
                <w:szCs w:val="21"/>
              </w:rPr>
            </w:pPr>
            <w:r>
              <w:rPr>
                <w:rFonts w:ascii="宋体" w:hAnsi="宋体" w:eastAsia="宋体" w:cs="宋体"/>
                <w:spacing w:val="-2"/>
                <w:sz w:val="21"/>
                <w:szCs w:val="21"/>
              </w:rPr>
              <w:t>评价等级</w:t>
            </w:r>
          </w:p>
        </w:tc>
        <w:tc>
          <w:tcPr>
            <w:tcW w:w="4772" w:type="dxa"/>
            <w:vAlign w:val="top"/>
          </w:tcPr>
          <w:p w14:paraId="7C7F4BE4">
            <w:pPr>
              <w:spacing w:before="69" w:line="218" w:lineRule="auto"/>
              <w:ind w:left="1969"/>
              <w:rPr>
                <w:rFonts w:ascii="宋体" w:hAnsi="宋体" w:eastAsia="宋体" w:cs="宋体"/>
                <w:sz w:val="21"/>
                <w:szCs w:val="21"/>
              </w:rPr>
            </w:pPr>
            <w:r>
              <w:rPr>
                <w:rFonts w:ascii="宋体" w:hAnsi="宋体" w:eastAsia="宋体" w:cs="宋体"/>
                <w:spacing w:val="-2"/>
                <w:sz w:val="21"/>
                <w:szCs w:val="21"/>
              </w:rPr>
              <w:t>评价范围</w:t>
            </w:r>
          </w:p>
        </w:tc>
      </w:tr>
      <w:tr w14:paraId="19237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7" w:type="dxa"/>
            <w:vAlign w:val="top"/>
          </w:tcPr>
          <w:p w14:paraId="23933742">
            <w:pPr>
              <w:spacing w:before="65" w:line="220" w:lineRule="auto"/>
              <w:ind w:left="510"/>
              <w:rPr>
                <w:rFonts w:ascii="宋体" w:hAnsi="宋体" w:eastAsia="宋体" w:cs="宋体"/>
                <w:sz w:val="21"/>
                <w:szCs w:val="21"/>
              </w:rPr>
            </w:pPr>
            <w:r>
              <w:rPr>
                <w:rFonts w:ascii="宋体" w:hAnsi="宋体" w:eastAsia="宋体" w:cs="宋体"/>
                <w:spacing w:val="-3"/>
                <w:sz w:val="21"/>
                <w:szCs w:val="21"/>
              </w:rPr>
              <w:t>大气环境</w:t>
            </w:r>
          </w:p>
        </w:tc>
        <w:tc>
          <w:tcPr>
            <w:tcW w:w="1701" w:type="dxa"/>
            <w:vAlign w:val="top"/>
          </w:tcPr>
          <w:p w14:paraId="4AD1E43A">
            <w:pPr>
              <w:spacing w:before="65" w:line="222" w:lineRule="auto"/>
              <w:ind w:left="648"/>
              <w:rPr>
                <w:rFonts w:ascii="宋体" w:hAnsi="宋体" w:eastAsia="宋体" w:cs="宋体"/>
                <w:sz w:val="21"/>
                <w:szCs w:val="21"/>
              </w:rPr>
            </w:pPr>
            <w:r>
              <w:rPr>
                <w:rFonts w:ascii="宋体" w:hAnsi="宋体" w:eastAsia="宋体" w:cs="宋体"/>
                <w:spacing w:val="-6"/>
                <w:sz w:val="21"/>
                <w:szCs w:val="21"/>
              </w:rPr>
              <w:t>一级</w:t>
            </w:r>
          </w:p>
        </w:tc>
        <w:tc>
          <w:tcPr>
            <w:tcW w:w="4772" w:type="dxa"/>
            <w:vAlign w:val="top"/>
          </w:tcPr>
          <w:p w14:paraId="59253386">
            <w:pPr>
              <w:pStyle w:val="6"/>
              <w:spacing w:before="65" w:line="220" w:lineRule="auto"/>
              <w:ind w:left="9"/>
              <w:rPr>
                <w:rFonts w:ascii="宋体" w:hAnsi="宋体" w:eastAsia="宋体" w:cs="宋体"/>
              </w:rPr>
            </w:pPr>
            <w:r>
              <w:rPr>
                <w:rFonts w:ascii="宋体" w:hAnsi="宋体" w:eastAsia="宋体" w:cs="宋体"/>
                <w:spacing w:val="-3"/>
              </w:rPr>
              <w:t>场址为中心边长</w:t>
            </w:r>
            <w:r>
              <w:rPr>
                <w:rFonts w:ascii="宋体" w:hAnsi="宋体" w:eastAsia="宋体" w:cs="宋体"/>
                <w:spacing w:val="-39"/>
              </w:rPr>
              <w:t xml:space="preserve"> </w:t>
            </w:r>
            <w:r>
              <w:rPr>
                <w:spacing w:val="-3"/>
              </w:rPr>
              <w:t>5km</w:t>
            </w:r>
            <w:r>
              <w:rPr>
                <w:spacing w:val="23"/>
              </w:rPr>
              <w:t xml:space="preserve"> </w:t>
            </w:r>
            <w:r>
              <w:rPr>
                <w:rFonts w:ascii="宋体" w:hAnsi="宋体" w:eastAsia="宋体" w:cs="宋体"/>
                <w:spacing w:val="-3"/>
              </w:rPr>
              <w:t>的矩形区域</w:t>
            </w:r>
          </w:p>
        </w:tc>
      </w:tr>
      <w:tr w14:paraId="38D7C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7" w:type="dxa"/>
            <w:vAlign w:val="top"/>
          </w:tcPr>
          <w:p w14:paraId="642E9E5B">
            <w:pPr>
              <w:spacing w:before="65" w:line="220" w:lineRule="auto"/>
              <w:ind w:left="403"/>
              <w:rPr>
                <w:rFonts w:ascii="宋体" w:hAnsi="宋体" w:eastAsia="宋体" w:cs="宋体"/>
                <w:sz w:val="21"/>
                <w:szCs w:val="21"/>
              </w:rPr>
            </w:pPr>
            <w:r>
              <w:rPr>
                <w:rFonts w:ascii="宋体" w:hAnsi="宋体" w:eastAsia="宋体" w:cs="宋体"/>
                <w:spacing w:val="-2"/>
                <w:sz w:val="21"/>
                <w:szCs w:val="21"/>
              </w:rPr>
              <w:t>地表水环境</w:t>
            </w:r>
          </w:p>
        </w:tc>
        <w:tc>
          <w:tcPr>
            <w:tcW w:w="1701" w:type="dxa"/>
            <w:vAlign w:val="top"/>
          </w:tcPr>
          <w:p w14:paraId="08637017">
            <w:pPr>
              <w:pStyle w:val="6"/>
              <w:spacing w:before="65" w:line="222" w:lineRule="auto"/>
              <w:ind w:left="548"/>
            </w:pPr>
            <w:r>
              <w:rPr>
                <w:rFonts w:ascii="宋体" w:hAnsi="宋体" w:eastAsia="宋体" w:cs="宋体"/>
                <w:spacing w:val="-3"/>
              </w:rPr>
              <w:t>三级</w:t>
            </w:r>
            <w:r>
              <w:rPr>
                <w:rFonts w:ascii="宋体" w:hAnsi="宋体" w:eastAsia="宋体" w:cs="宋体"/>
                <w:spacing w:val="-49"/>
              </w:rPr>
              <w:t xml:space="preserve"> </w:t>
            </w:r>
            <w:r>
              <w:rPr>
                <w:spacing w:val="-3"/>
              </w:rPr>
              <w:t>B</w:t>
            </w:r>
          </w:p>
        </w:tc>
        <w:tc>
          <w:tcPr>
            <w:tcW w:w="4772" w:type="dxa"/>
            <w:vAlign w:val="top"/>
          </w:tcPr>
          <w:p w14:paraId="53E46D95">
            <w:pPr>
              <w:pStyle w:val="6"/>
              <w:spacing w:before="65" w:line="219" w:lineRule="auto"/>
              <w:ind w:left="11"/>
              <w:rPr>
                <w:rFonts w:ascii="宋体" w:hAnsi="宋体" w:eastAsia="宋体" w:cs="宋体"/>
              </w:rPr>
            </w:pPr>
            <w:r>
              <w:rPr>
                <w:rFonts w:ascii="宋体" w:hAnsi="宋体" w:eastAsia="宋体" w:cs="宋体"/>
                <w:spacing w:val="-1"/>
              </w:rPr>
              <w:t>石核河对应本项目处上游</w:t>
            </w:r>
            <w:r>
              <w:rPr>
                <w:rFonts w:ascii="宋体" w:hAnsi="宋体" w:eastAsia="宋体" w:cs="宋体"/>
                <w:spacing w:val="-37"/>
              </w:rPr>
              <w:t xml:space="preserve"> </w:t>
            </w:r>
            <w:r>
              <w:rPr>
                <w:spacing w:val="-1"/>
              </w:rPr>
              <w:t xml:space="preserve">500m </w:t>
            </w:r>
            <w:r>
              <w:rPr>
                <w:rFonts w:ascii="宋体" w:hAnsi="宋体" w:eastAsia="宋体" w:cs="宋体"/>
                <w:spacing w:val="-1"/>
              </w:rPr>
              <w:t>至下游</w:t>
            </w:r>
            <w:r>
              <w:rPr>
                <w:rFonts w:ascii="宋体" w:hAnsi="宋体" w:eastAsia="宋体" w:cs="宋体"/>
                <w:spacing w:val="-48"/>
              </w:rPr>
              <w:t xml:space="preserve"> </w:t>
            </w:r>
            <w:r>
              <w:rPr>
                <w:spacing w:val="-1"/>
              </w:rPr>
              <w:t xml:space="preserve">2km </w:t>
            </w:r>
            <w:r>
              <w:rPr>
                <w:rFonts w:ascii="宋体" w:hAnsi="宋体" w:eastAsia="宋体" w:cs="宋体"/>
                <w:spacing w:val="-1"/>
              </w:rPr>
              <w:t>范围</w:t>
            </w:r>
          </w:p>
        </w:tc>
      </w:tr>
      <w:tr w14:paraId="4AB92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847" w:type="dxa"/>
            <w:vAlign w:val="top"/>
          </w:tcPr>
          <w:p w14:paraId="7E76DDFD">
            <w:pPr>
              <w:spacing w:before="207" w:line="220" w:lineRule="auto"/>
              <w:ind w:left="403"/>
              <w:rPr>
                <w:rFonts w:ascii="宋体" w:hAnsi="宋体" w:eastAsia="宋体" w:cs="宋体"/>
                <w:sz w:val="21"/>
                <w:szCs w:val="21"/>
              </w:rPr>
            </w:pPr>
            <w:r>
              <w:rPr>
                <w:rFonts w:ascii="宋体" w:hAnsi="宋体" w:eastAsia="宋体" w:cs="宋体"/>
                <w:spacing w:val="-2"/>
                <w:sz w:val="21"/>
                <w:szCs w:val="21"/>
              </w:rPr>
              <w:t>地下水环境</w:t>
            </w:r>
          </w:p>
        </w:tc>
        <w:tc>
          <w:tcPr>
            <w:tcW w:w="1701" w:type="dxa"/>
            <w:vAlign w:val="top"/>
          </w:tcPr>
          <w:p w14:paraId="6579DCC4">
            <w:pPr>
              <w:spacing w:before="207" w:line="222" w:lineRule="auto"/>
              <w:ind w:left="644"/>
              <w:rPr>
                <w:rFonts w:ascii="宋体" w:hAnsi="宋体" w:eastAsia="宋体" w:cs="宋体"/>
                <w:sz w:val="21"/>
                <w:szCs w:val="21"/>
              </w:rPr>
            </w:pPr>
            <w:r>
              <w:rPr>
                <w:rFonts w:ascii="宋体" w:hAnsi="宋体" w:eastAsia="宋体" w:cs="宋体"/>
                <w:spacing w:val="-3"/>
                <w:sz w:val="21"/>
                <w:szCs w:val="21"/>
              </w:rPr>
              <w:t>三级</w:t>
            </w:r>
          </w:p>
        </w:tc>
        <w:tc>
          <w:tcPr>
            <w:tcW w:w="4772" w:type="dxa"/>
            <w:vAlign w:val="top"/>
          </w:tcPr>
          <w:p w14:paraId="6090CE56">
            <w:pPr>
              <w:pStyle w:val="6"/>
              <w:spacing w:before="50" w:line="245" w:lineRule="auto"/>
              <w:ind w:left="11" w:firstLine="22"/>
              <w:rPr>
                <w:sz w:val="14"/>
                <w:szCs w:val="14"/>
              </w:rPr>
            </w:pPr>
            <w:r>
              <w:rPr>
                <w:rFonts w:ascii="宋体" w:hAnsi="宋体" w:eastAsia="宋体" w:cs="宋体"/>
                <w:spacing w:val="-5"/>
              </w:rPr>
              <w:t>以石核河、五桂溪为定水头边界，以山脊（分水岭）</w:t>
            </w:r>
            <w:r>
              <w:rPr>
                <w:rFonts w:ascii="宋体" w:hAnsi="宋体" w:eastAsia="宋体" w:cs="宋体"/>
                <w:spacing w:val="-3"/>
              </w:rPr>
              <w:t>作为零通量边界，评价范围约</w:t>
            </w:r>
            <w:r>
              <w:rPr>
                <w:rFonts w:ascii="宋体" w:hAnsi="宋体" w:eastAsia="宋体" w:cs="宋体"/>
                <w:spacing w:val="-40"/>
              </w:rPr>
              <w:t xml:space="preserve"> </w:t>
            </w:r>
            <w:r>
              <w:rPr>
                <w:spacing w:val="-3"/>
              </w:rPr>
              <w:t>4.75km</w:t>
            </w:r>
            <w:r>
              <w:rPr>
                <w:spacing w:val="-3"/>
                <w:position w:val="9"/>
                <w:sz w:val="14"/>
                <w:szCs w:val="14"/>
              </w:rPr>
              <w:t>2</w:t>
            </w:r>
          </w:p>
        </w:tc>
      </w:tr>
      <w:tr w14:paraId="48C35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7" w:type="dxa"/>
            <w:vAlign w:val="top"/>
          </w:tcPr>
          <w:p w14:paraId="0C9F7D48">
            <w:pPr>
              <w:spacing w:before="67" w:line="220" w:lineRule="auto"/>
              <w:ind w:left="509"/>
              <w:rPr>
                <w:rFonts w:ascii="宋体" w:hAnsi="宋体" w:eastAsia="宋体" w:cs="宋体"/>
                <w:sz w:val="21"/>
                <w:szCs w:val="21"/>
              </w:rPr>
            </w:pPr>
            <w:r>
              <w:rPr>
                <w:rFonts w:ascii="宋体" w:hAnsi="宋体" w:eastAsia="宋体" w:cs="宋体"/>
                <w:spacing w:val="-2"/>
                <w:sz w:val="21"/>
                <w:szCs w:val="21"/>
              </w:rPr>
              <w:t>土壤环境</w:t>
            </w:r>
          </w:p>
        </w:tc>
        <w:tc>
          <w:tcPr>
            <w:tcW w:w="1701" w:type="dxa"/>
            <w:vAlign w:val="top"/>
          </w:tcPr>
          <w:p w14:paraId="1D3CA81D">
            <w:pPr>
              <w:spacing w:before="67" w:line="222" w:lineRule="auto"/>
              <w:ind w:left="648"/>
              <w:rPr>
                <w:rFonts w:ascii="宋体" w:hAnsi="宋体" w:eastAsia="宋体" w:cs="宋体"/>
                <w:sz w:val="21"/>
                <w:szCs w:val="21"/>
              </w:rPr>
            </w:pPr>
            <w:r>
              <w:rPr>
                <w:rFonts w:ascii="宋体" w:hAnsi="宋体" w:eastAsia="宋体" w:cs="宋体"/>
                <w:spacing w:val="-3"/>
                <w:sz w:val="21"/>
                <w:szCs w:val="21"/>
              </w:rPr>
              <w:t>二级</w:t>
            </w:r>
          </w:p>
        </w:tc>
        <w:tc>
          <w:tcPr>
            <w:tcW w:w="4772" w:type="dxa"/>
            <w:vAlign w:val="top"/>
          </w:tcPr>
          <w:p w14:paraId="66FBF3AD">
            <w:pPr>
              <w:pStyle w:val="6"/>
              <w:spacing w:before="67" w:line="220" w:lineRule="auto"/>
              <w:ind w:left="45"/>
              <w:rPr>
                <w:rFonts w:ascii="宋体" w:hAnsi="宋体" w:eastAsia="宋体" w:cs="宋体"/>
              </w:rPr>
            </w:pPr>
            <w:r>
              <w:rPr>
                <w:rFonts w:ascii="宋体" w:hAnsi="宋体" w:eastAsia="宋体" w:cs="宋体"/>
                <w:spacing w:val="-5"/>
              </w:rPr>
              <w:t>占地范围内及范围外</w:t>
            </w:r>
            <w:r>
              <w:rPr>
                <w:rFonts w:ascii="宋体" w:hAnsi="宋体" w:eastAsia="宋体" w:cs="宋体"/>
                <w:spacing w:val="-40"/>
              </w:rPr>
              <w:t xml:space="preserve"> </w:t>
            </w:r>
            <w:r>
              <w:rPr>
                <w:spacing w:val="-5"/>
              </w:rPr>
              <w:t>50m</w:t>
            </w:r>
            <w:r>
              <w:rPr>
                <w:spacing w:val="31"/>
              </w:rPr>
              <w:t xml:space="preserve"> </w:t>
            </w:r>
            <w:r>
              <w:rPr>
                <w:rFonts w:ascii="宋体" w:hAnsi="宋体" w:eastAsia="宋体" w:cs="宋体"/>
                <w:spacing w:val="-5"/>
              </w:rPr>
              <w:t>以内区域</w:t>
            </w:r>
          </w:p>
        </w:tc>
      </w:tr>
      <w:tr w14:paraId="6210C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47" w:type="dxa"/>
            <w:vAlign w:val="top"/>
          </w:tcPr>
          <w:p w14:paraId="5281FCCB">
            <w:pPr>
              <w:spacing w:before="68" w:line="220" w:lineRule="auto"/>
              <w:ind w:left="618"/>
              <w:rPr>
                <w:rFonts w:ascii="宋体" w:hAnsi="宋体" w:eastAsia="宋体" w:cs="宋体"/>
                <w:sz w:val="21"/>
                <w:szCs w:val="21"/>
              </w:rPr>
            </w:pPr>
            <w:r>
              <w:rPr>
                <w:rFonts w:ascii="宋体" w:hAnsi="宋体" w:eastAsia="宋体" w:cs="宋体"/>
                <w:spacing w:val="-3"/>
                <w:sz w:val="21"/>
                <w:szCs w:val="21"/>
              </w:rPr>
              <w:t>声环境</w:t>
            </w:r>
          </w:p>
        </w:tc>
        <w:tc>
          <w:tcPr>
            <w:tcW w:w="1701" w:type="dxa"/>
            <w:vAlign w:val="top"/>
          </w:tcPr>
          <w:p w14:paraId="16E2990B">
            <w:pPr>
              <w:spacing w:before="67" w:line="222" w:lineRule="auto"/>
              <w:ind w:left="648"/>
              <w:rPr>
                <w:rFonts w:ascii="宋体" w:hAnsi="宋体" w:eastAsia="宋体" w:cs="宋体"/>
                <w:sz w:val="21"/>
                <w:szCs w:val="21"/>
              </w:rPr>
            </w:pPr>
            <w:r>
              <w:rPr>
                <w:rFonts w:ascii="宋体" w:hAnsi="宋体" w:eastAsia="宋体" w:cs="宋体"/>
                <w:spacing w:val="-3"/>
                <w:sz w:val="21"/>
                <w:szCs w:val="21"/>
              </w:rPr>
              <w:t>二级</w:t>
            </w:r>
          </w:p>
        </w:tc>
        <w:tc>
          <w:tcPr>
            <w:tcW w:w="4772" w:type="dxa"/>
            <w:vAlign w:val="top"/>
          </w:tcPr>
          <w:p w14:paraId="48A56B36">
            <w:pPr>
              <w:pStyle w:val="6"/>
              <w:spacing w:before="67" w:line="220" w:lineRule="auto"/>
              <w:ind w:left="9"/>
              <w:rPr>
                <w:rFonts w:ascii="宋体" w:hAnsi="宋体" w:eastAsia="宋体" w:cs="宋体"/>
              </w:rPr>
            </w:pPr>
            <w:r>
              <w:rPr>
                <w:rFonts w:ascii="宋体" w:hAnsi="宋体" w:eastAsia="宋体" w:cs="宋体"/>
                <w:spacing w:val="-4"/>
              </w:rPr>
              <w:t>场界外</w:t>
            </w:r>
            <w:r>
              <w:rPr>
                <w:rFonts w:ascii="宋体" w:hAnsi="宋体" w:eastAsia="宋体" w:cs="宋体"/>
                <w:spacing w:val="-43"/>
              </w:rPr>
              <w:t xml:space="preserve"> </w:t>
            </w:r>
            <w:r>
              <w:rPr>
                <w:spacing w:val="-4"/>
              </w:rPr>
              <w:t>200m</w:t>
            </w:r>
            <w:r>
              <w:rPr>
                <w:spacing w:val="33"/>
              </w:rPr>
              <w:t xml:space="preserve"> </w:t>
            </w:r>
            <w:r>
              <w:rPr>
                <w:rFonts w:ascii="宋体" w:hAnsi="宋体" w:eastAsia="宋体" w:cs="宋体"/>
                <w:spacing w:val="-4"/>
              </w:rPr>
              <w:t>内范围</w:t>
            </w:r>
          </w:p>
        </w:tc>
      </w:tr>
      <w:tr w14:paraId="278E2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7" w:type="dxa"/>
            <w:vAlign w:val="top"/>
          </w:tcPr>
          <w:p w14:paraId="6C15B1D6">
            <w:pPr>
              <w:spacing w:before="68" w:line="220" w:lineRule="auto"/>
              <w:ind w:left="510"/>
              <w:rPr>
                <w:rFonts w:ascii="宋体" w:hAnsi="宋体" w:eastAsia="宋体" w:cs="宋体"/>
                <w:sz w:val="21"/>
                <w:szCs w:val="21"/>
              </w:rPr>
            </w:pPr>
            <w:r>
              <w:rPr>
                <w:rFonts w:ascii="宋体" w:hAnsi="宋体" w:eastAsia="宋体" w:cs="宋体"/>
                <w:spacing w:val="-2"/>
                <w:sz w:val="21"/>
                <w:szCs w:val="21"/>
              </w:rPr>
              <w:t>生态环境</w:t>
            </w:r>
          </w:p>
        </w:tc>
        <w:tc>
          <w:tcPr>
            <w:tcW w:w="1701" w:type="dxa"/>
            <w:vAlign w:val="top"/>
          </w:tcPr>
          <w:p w14:paraId="55CDC7E7">
            <w:pPr>
              <w:spacing w:before="68" w:line="222" w:lineRule="auto"/>
              <w:ind w:left="644"/>
              <w:rPr>
                <w:rFonts w:ascii="宋体" w:hAnsi="宋体" w:eastAsia="宋体" w:cs="宋体"/>
                <w:sz w:val="21"/>
                <w:szCs w:val="21"/>
              </w:rPr>
            </w:pPr>
            <w:r>
              <w:rPr>
                <w:rFonts w:ascii="宋体" w:hAnsi="宋体" w:eastAsia="宋体" w:cs="宋体"/>
                <w:spacing w:val="-3"/>
                <w:sz w:val="21"/>
                <w:szCs w:val="21"/>
              </w:rPr>
              <w:t>三级</w:t>
            </w:r>
          </w:p>
        </w:tc>
        <w:tc>
          <w:tcPr>
            <w:tcW w:w="4772" w:type="dxa"/>
            <w:vAlign w:val="top"/>
          </w:tcPr>
          <w:p w14:paraId="056E1905">
            <w:pPr>
              <w:spacing w:before="68" w:line="220" w:lineRule="auto"/>
              <w:ind w:left="45"/>
              <w:rPr>
                <w:rFonts w:ascii="宋体" w:hAnsi="宋体" w:eastAsia="宋体" w:cs="宋体"/>
                <w:sz w:val="21"/>
                <w:szCs w:val="21"/>
              </w:rPr>
            </w:pPr>
            <w:r>
              <w:rPr>
                <w:rFonts w:ascii="宋体" w:hAnsi="宋体" w:eastAsia="宋体" w:cs="宋体"/>
                <w:spacing w:val="-9"/>
                <w:sz w:val="21"/>
                <w:szCs w:val="21"/>
              </w:rPr>
              <w:t>占地范围</w:t>
            </w:r>
          </w:p>
        </w:tc>
      </w:tr>
      <w:tr w14:paraId="49648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47" w:type="dxa"/>
            <w:vAlign w:val="top"/>
          </w:tcPr>
          <w:p w14:paraId="7BFCCFA5">
            <w:pPr>
              <w:spacing w:before="68" w:line="220" w:lineRule="auto"/>
              <w:ind w:left="508"/>
              <w:rPr>
                <w:rFonts w:ascii="宋体" w:hAnsi="宋体" w:eastAsia="宋体" w:cs="宋体"/>
                <w:sz w:val="21"/>
                <w:szCs w:val="21"/>
              </w:rPr>
            </w:pPr>
            <w:r>
              <w:rPr>
                <w:rFonts w:ascii="宋体" w:hAnsi="宋体" w:eastAsia="宋体" w:cs="宋体"/>
                <w:spacing w:val="-2"/>
                <w:sz w:val="21"/>
                <w:szCs w:val="21"/>
              </w:rPr>
              <w:t>环境风险</w:t>
            </w:r>
          </w:p>
        </w:tc>
        <w:tc>
          <w:tcPr>
            <w:tcW w:w="1701" w:type="dxa"/>
            <w:vAlign w:val="top"/>
          </w:tcPr>
          <w:p w14:paraId="78A73DD2">
            <w:pPr>
              <w:spacing w:before="68" w:line="219" w:lineRule="auto"/>
              <w:ind w:left="439"/>
              <w:rPr>
                <w:rFonts w:ascii="宋体" w:hAnsi="宋体" w:eastAsia="宋体" w:cs="宋体"/>
                <w:sz w:val="21"/>
                <w:szCs w:val="21"/>
              </w:rPr>
            </w:pPr>
            <w:r>
              <w:rPr>
                <w:rFonts w:ascii="宋体" w:hAnsi="宋体" w:eastAsia="宋体" w:cs="宋体"/>
                <w:spacing w:val="-3"/>
                <w:sz w:val="21"/>
                <w:szCs w:val="21"/>
              </w:rPr>
              <w:t>简单分析</w:t>
            </w:r>
          </w:p>
        </w:tc>
        <w:tc>
          <w:tcPr>
            <w:tcW w:w="4772" w:type="dxa"/>
            <w:vAlign w:val="top"/>
          </w:tcPr>
          <w:p w14:paraId="16545957">
            <w:pPr>
              <w:pStyle w:val="6"/>
              <w:spacing w:before="101" w:line="192" w:lineRule="auto"/>
              <w:ind w:left="2"/>
            </w:pPr>
            <w:r>
              <w:t>/</w:t>
            </w:r>
          </w:p>
        </w:tc>
      </w:tr>
    </w:tbl>
    <w:p w14:paraId="4D8D6784">
      <w:pPr>
        <w:pStyle w:val="2"/>
      </w:pPr>
    </w:p>
    <w:p w14:paraId="4F2084BD">
      <w:pPr>
        <w:sectPr>
          <w:headerReference r:id="rId60" w:type="default"/>
          <w:footerReference r:id="rId61" w:type="default"/>
          <w:pgSz w:w="11905" w:h="16840"/>
          <w:pgMar w:top="1168" w:right="1768" w:bottom="1409" w:left="1770" w:header="828" w:footer="1244" w:gutter="0"/>
          <w:cols w:space="720" w:num="1"/>
        </w:sectPr>
      </w:pPr>
    </w:p>
    <w:p w14:paraId="415CD85C">
      <w:pPr>
        <w:pStyle w:val="2"/>
        <w:spacing w:line="317" w:lineRule="auto"/>
      </w:pPr>
    </w:p>
    <w:p w14:paraId="7428FBFC">
      <w:pPr>
        <w:spacing w:before="104" w:line="218" w:lineRule="auto"/>
        <w:ind w:left="51"/>
        <w:outlineLvl w:val="1"/>
        <w:rPr>
          <w:rFonts w:ascii="宋体" w:hAnsi="宋体" w:eastAsia="宋体" w:cs="宋体"/>
          <w:sz w:val="32"/>
          <w:szCs w:val="32"/>
        </w:rPr>
      </w:pPr>
      <w:bookmarkStart w:id="20" w:name="bookmark12"/>
      <w:bookmarkEnd w:id="20"/>
      <w:r>
        <w:rPr>
          <w:rFonts w:ascii="Times New Roman" w:hAnsi="Times New Roman" w:eastAsia="Times New Roman" w:cs="Times New Roman"/>
          <w:b/>
          <w:bCs/>
          <w:spacing w:val="-3"/>
          <w:sz w:val="32"/>
          <w:szCs w:val="32"/>
        </w:rPr>
        <w:t xml:space="preserve">1.4  </w:t>
      </w:r>
      <w:r>
        <w:rPr>
          <w:rFonts w:ascii="宋体" w:hAnsi="宋体" w:eastAsia="宋体" w:cs="宋体"/>
          <w:b/>
          <w:bCs/>
          <w:spacing w:val="-3"/>
          <w:sz w:val="32"/>
          <w:szCs w:val="32"/>
        </w:rPr>
        <w:t>评价内容和评价重点</w:t>
      </w:r>
    </w:p>
    <w:p w14:paraId="2D0BFD29">
      <w:pPr>
        <w:pStyle w:val="2"/>
        <w:spacing w:line="278" w:lineRule="auto"/>
      </w:pPr>
    </w:p>
    <w:p w14:paraId="4955EA34">
      <w:pPr>
        <w:spacing w:before="97" w:line="218"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1.4.1  </w:t>
      </w:r>
      <w:r>
        <w:rPr>
          <w:rFonts w:ascii="宋体" w:hAnsi="宋体" w:eastAsia="宋体" w:cs="宋体"/>
          <w:b/>
          <w:bCs/>
          <w:spacing w:val="-3"/>
          <w:sz w:val="30"/>
          <w:szCs w:val="30"/>
        </w:rPr>
        <w:t>评价内容</w:t>
      </w:r>
    </w:p>
    <w:p w14:paraId="0B9E6ACA">
      <w:pPr>
        <w:pStyle w:val="2"/>
        <w:spacing w:line="263" w:lineRule="auto"/>
      </w:pPr>
    </w:p>
    <w:p w14:paraId="55651B0C">
      <w:pPr>
        <w:spacing w:before="78" w:line="361" w:lineRule="auto"/>
        <w:ind w:left="39" w:right="66" w:firstLine="480"/>
        <w:rPr>
          <w:rFonts w:ascii="宋体" w:hAnsi="宋体" w:eastAsia="宋体" w:cs="宋体"/>
          <w:sz w:val="24"/>
          <w:szCs w:val="24"/>
        </w:rPr>
      </w:pPr>
      <w:r>
        <w:rPr>
          <w:rFonts w:ascii="宋体" w:hAnsi="宋体" w:eastAsia="宋体" w:cs="宋体"/>
          <w:spacing w:val="-3"/>
          <w:sz w:val="24"/>
          <w:szCs w:val="24"/>
        </w:rPr>
        <w:t>根据本项目污染物排放特征和周围环境特点，评价内容包括建设</w:t>
      </w:r>
      <w:r>
        <w:rPr>
          <w:rFonts w:ascii="宋体" w:hAnsi="宋体" w:eastAsia="宋体" w:cs="宋体"/>
          <w:spacing w:val="-4"/>
          <w:sz w:val="24"/>
          <w:szCs w:val="24"/>
        </w:rPr>
        <w:t>项目工程分</w:t>
      </w:r>
      <w:r>
        <w:rPr>
          <w:rFonts w:ascii="宋体" w:hAnsi="宋体" w:eastAsia="宋体" w:cs="宋体"/>
          <w:spacing w:val="-11"/>
          <w:sz w:val="24"/>
          <w:szCs w:val="24"/>
        </w:rPr>
        <w:t>析、环境现状调查与评价、环境影响预测与评价、环境保护措施及其可行性论证、</w:t>
      </w:r>
      <w:r>
        <w:rPr>
          <w:rFonts w:ascii="宋体" w:hAnsi="宋体" w:eastAsia="宋体" w:cs="宋体"/>
          <w:spacing w:val="-2"/>
          <w:sz w:val="24"/>
          <w:szCs w:val="24"/>
        </w:rPr>
        <w:t>环境影响经济损益分析、环境管理与监测计</w:t>
      </w:r>
      <w:r>
        <w:rPr>
          <w:rFonts w:ascii="宋体" w:hAnsi="宋体" w:eastAsia="宋体" w:cs="宋体"/>
          <w:spacing w:val="-3"/>
          <w:sz w:val="24"/>
          <w:szCs w:val="24"/>
        </w:rPr>
        <w:t>划。</w:t>
      </w:r>
    </w:p>
    <w:p w14:paraId="24EDB5D6">
      <w:pPr>
        <w:spacing w:before="162" w:line="218"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1.4.2  </w:t>
      </w:r>
      <w:r>
        <w:rPr>
          <w:rFonts w:ascii="宋体" w:hAnsi="宋体" w:eastAsia="宋体" w:cs="宋体"/>
          <w:b/>
          <w:bCs/>
          <w:spacing w:val="-3"/>
          <w:sz w:val="30"/>
          <w:szCs w:val="30"/>
        </w:rPr>
        <w:t>评价重点</w:t>
      </w:r>
    </w:p>
    <w:p w14:paraId="7A457F55">
      <w:pPr>
        <w:pStyle w:val="2"/>
        <w:spacing w:line="261" w:lineRule="auto"/>
      </w:pPr>
    </w:p>
    <w:p w14:paraId="30202FF9">
      <w:pPr>
        <w:spacing w:before="79" w:line="360" w:lineRule="auto"/>
        <w:ind w:left="42" w:right="66" w:firstLine="477"/>
        <w:rPr>
          <w:rFonts w:ascii="宋体" w:hAnsi="宋体" w:eastAsia="宋体" w:cs="宋体"/>
          <w:sz w:val="24"/>
          <w:szCs w:val="24"/>
        </w:rPr>
      </w:pPr>
      <w:r>
        <w:rPr>
          <w:rFonts w:ascii="宋体" w:hAnsi="宋体" w:eastAsia="宋体" w:cs="宋体"/>
          <w:spacing w:val="-5"/>
          <w:sz w:val="24"/>
          <w:szCs w:val="24"/>
        </w:rPr>
        <w:t>针对本项目对环境的影响特点、影响区域的环境特征</w:t>
      </w:r>
      <w:r>
        <w:rPr>
          <w:rFonts w:ascii="宋体" w:hAnsi="宋体" w:eastAsia="宋体" w:cs="宋体"/>
          <w:spacing w:val="-6"/>
          <w:sz w:val="24"/>
          <w:szCs w:val="24"/>
        </w:rPr>
        <w:t>，</w:t>
      </w:r>
      <w:r>
        <w:rPr>
          <w:rFonts w:ascii="宋体" w:hAnsi="宋体" w:eastAsia="宋体" w:cs="宋体"/>
          <w:spacing w:val="-49"/>
          <w:sz w:val="24"/>
          <w:szCs w:val="24"/>
        </w:rPr>
        <w:t xml:space="preserve"> </w:t>
      </w:r>
      <w:r>
        <w:rPr>
          <w:rFonts w:ascii="宋体" w:hAnsi="宋体" w:eastAsia="宋体" w:cs="宋体"/>
          <w:spacing w:val="-6"/>
          <w:sz w:val="24"/>
          <w:szCs w:val="24"/>
        </w:rPr>
        <w:t>确定本评价工作重点</w:t>
      </w:r>
      <w:r>
        <w:rPr>
          <w:rFonts w:ascii="宋体" w:hAnsi="宋体" w:eastAsia="宋体" w:cs="宋体"/>
          <w:spacing w:val="-17"/>
          <w:sz w:val="24"/>
          <w:szCs w:val="24"/>
        </w:rPr>
        <w:t>为：</w:t>
      </w:r>
    </w:p>
    <w:p w14:paraId="13C8B6ED">
      <w:pPr>
        <w:spacing w:before="2" w:line="359" w:lineRule="auto"/>
        <w:ind w:left="85" w:right="66" w:firstLine="433"/>
        <w:rPr>
          <w:rFonts w:ascii="宋体" w:hAnsi="宋体" w:eastAsia="宋体" w:cs="宋体"/>
          <w:sz w:val="24"/>
          <w:szCs w:val="24"/>
        </w:rPr>
      </w:pPr>
      <w:r>
        <w:rPr>
          <w:rFonts w:ascii="宋体" w:hAnsi="宋体" w:eastAsia="宋体" w:cs="宋体"/>
          <w:spacing w:val="-3"/>
          <w:sz w:val="24"/>
          <w:szCs w:val="24"/>
        </w:rPr>
        <w:t>①工程分析：根据项目运营阶段的养殖工艺及公用工程消耗的情况</w:t>
      </w:r>
      <w:r>
        <w:rPr>
          <w:rFonts w:ascii="宋体" w:hAnsi="宋体" w:eastAsia="宋体" w:cs="宋体"/>
          <w:spacing w:val="-4"/>
          <w:sz w:val="24"/>
          <w:szCs w:val="24"/>
        </w:rPr>
        <w:t>，分析项</w:t>
      </w:r>
      <w:r>
        <w:rPr>
          <w:rFonts w:ascii="宋体" w:hAnsi="宋体" w:eastAsia="宋体" w:cs="宋体"/>
          <w:spacing w:val="-6"/>
          <w:sz w:val="24"/>
          <w:szCs w:val="24"/>
        </w:rPr>
        <w:t>目污染物排放源强和排放特征。</w:t>
      </w:r>
    </w:p>
    <w:p w14:paraId="433C479C">
      <w:pPr>
        <w:spacing w:before="3" w:line="359" w:lineRule="auto"/>
        <w:ind w:left="38" w:right="66" w:firstLine="479"/>
        <w:rPr>
          <w:rFonts w:ascii="宋体" w:hAnsi="宋体" w:eastAsia="宋体" w:cs="宋体"/>
          <w:sz w:val="24"/>
          <w:szCs w:val="24"/>
        </w:rPr>
      </w:pPr>
      <w:r>
        <w:rPr>
          <w:rFonts w:ascii="宋体" w:hAnsi="宋体" w:eastAsia="宋体" w:cs="宋体"/>
          <w:spacing w:val="-3"/>
          <w:sz w:val="24"/>
          <w:szCs w:val="24"/>
        </w:rPr>
        <w:t>②环境影响预测分析：对项目排放的污染物（特别是恶臭气体）对</w:t>
      </w:r>
      <w:r>
        <w:rPr>
          <w:rFonts w:ascii="宋体" w:hAnsi="宋体" w:eastAsia="宋体" w:cs="宋体"/>
          <w:spacing w:val="-4"/>
          <w:sz w:val="24"/>
          <w:szCs w:val="24"/>
        </w:rPr>
        <w:t>环境可能</w:t>
      </w:r>
      <w:r>
        <w:rPr>
          <w:rFonts w:ascii="宋体" w:hAnsi="宋体" w:eastAsia="宋体" w:cs="宋体"/>
          <w:spacing w:val="-2"/>
          <w:sz w:val="24"/>
          <w:szCs w:val="24"/>
        </w:rPr>
        <w:t>造成的影响进行预测分析，明确项目排污对环境的影响范围和程度。</w:t>
      </w:r>
    </w:p>
    <w:p w14:paraId="5579D414">
      <w:pPr>
        <w:spacing w:before="1" w:line="362" w:lineRule="auto"/>
        <w:ind w:left="39" w:right="66" w:firstLine="478"/>
        <w:rPr>
          <w:rFonts w:ascii="宋体" w:hAnsi="宋体" w:eastAsia="宋体" w:cs="宋体"/>
          <w:sz w:val="24"/>
          <w:szCs w:val="24"/>
        </w:rPr>
      </w:pPr>
      <w:r>
        <w:rPr>
          <w:rFonts w:ascii="宋体" w:hAnsi="宋体" w:eastAsia="宋体" w:cs="宋体"/>
          <w:spacing w:val="-3"/>
          <w:sz w:val="24"/>
          <w:szCs w:val="24"/>
        </w:rPr>
        <w:t>③污染防治措施论证：对本项目所采用的各种废气、废水及固体废</w:t>
      </w:r>
      <w:r>
        <w:rPr>
          <w:rFonts w:ascii="宋体" w:hAnsi="宋体" w:eastAsia="宋体" w:cs="宋体"/>
          <w:spacing w:val="-4"/>
          <w:sz w:val="24"/>
          <w:szCs w:val="24"/>
        </w:rPr>
        <w:t>物等污染</w:t>
      </w:r>
      <w:r>
        <w:rPr>
          <w:rFonts w:ascii="宋体" w:hAnsi="宋体" w:eastAsia="宋体" w:cs="宋体"/>
          <w:spacing w:val="-2"/>
          <w:sz w:val="24"/>
          <w:szCs w:val="24"/>
        </w:rPr>
        <w:t>物处理处置方案进行分析，论证各污染物处理达标的可行性。</w:t>
      </w:r>
    </w:p>
    <w:p w14:paraId="73965436">
      <w:pPr>
        <w:spacing w:before="151" w:line="220" w:lineRule="auto"/>
        <w:ind w:left="51"/>
        <w:outlineLvl w:val="1"/>
        <w:rPr>
          <w:rFonts w:ascii="宋体" w:hAnsi="宋体" w:eastAsia="宋体" w:cs="宋体"/>
          <w:sz w:val="32"/>
          <w:szCs w:val="32"/>
        </w:rPr>
      </w:pPr>
      <w:bookmarkStart w:id="21" w:name="bookmark13"/>
      <w:bookmarkEnd w:id="21"/>
      <w:r>
        <w:rPr>
          <w:rFonts w:ascii="Times New Roman" w:hAnsi="Times New Roman" w:eastAsia="Times New Roman" w:cs="Times New Roman"/>
          <w:b/>
          <w:bCs/>
          <w:spacing w:val="-3"/>
          <w:sz w:val="32"/>
          <w:szCs w:val="32"/>
        </w:rPr>
        <w:t xml:space="preserve">1.5  </w:t>
      </w:r>
      <w:r>
        <w:rPr>
          <w:rFonts w:ascii="宋体" w:hAnsi="宋体" w:eastAsia="宋体" w:cs="宋体"/>
          <w:b/>
          <w:bCs/>
          <w:spacing w:val="-3"/>
          <w:sz w:val="32"/>
          <w:szCs w:val="32"/>
        </w:rPr>
        <w:t>环境保护目标</w:t>
      </w:r>
    </w:p>
    <w:p w14:paraId="2A56BB0A">
      <w:pPr>
        <w:pStyle w:val="2"/>
        <w:spacing w:line="274" w:lineRule="auto"/>
      </w:pPr>
    </w:p>
    <w:p w14:paraId="48DFB643">
      <w:pPr>
        <w:spacing w:before="98" w:line="220" w:lineRule="auto"/>
        <w:ind w:left="49"/>
        <w:rPr>
          <w:rFonts w:ascii="宋体" w:hAnsi="宋体" w:eastAsia="宋体" w:cs="宋体"/>
          <w:sz w:val="30"/>
          <w:szCs w:val="30"/>
        </w:rPr>
      </w:pPr>
      <w:r>
        <w:rPr>
          <w:rFonts w:ascii="Times New Roman" w:hAnsi="Times New Roman" w:eastAsia="Times New Roman" w:cs="Times New Roman"/>
          <w:b/>
          <w:bCs/>
          <w:spacing w:val="-5"/>
          <w:sz w:val="30"/>
          <w:szCs w:val="30"/>
        </w:rPr>
        <w:t>1.5.1</w:t>
      </w:r>
      <w:r>
        <w:rPr>
          <w:rFonts w:ascii="Times New Roman" w:hAnsi="Times New Roman" w:eastAsia="Times New Roman" w:cs="Times New Roman"/>
          <w:b/>
          <w:bCs/>
          <w:spacing w:val="10"/>
          <w:sz w:val="30"/>
          <w:szCs w:val="30"/>
        </w:rPr>
        <w:t xml:space="preserve">  </w:t>
      </w:r>
      <w:r>
        <w:rPr>
          <w:rFonts w:ascii="宋体" w:hAnsi="宋体" w:eastAsia="宋体" w:cs="宋体"/>
          <w:b/>
          <w:bCs/>
          <w:spacing w:val="-5"/>
          <w:sz w:val="30"/>
          <w:szCs w:val="30"/>
        </w:rPr>
        <w:t>外环境关系</w:t>
      </w:r>
    </w:p>
    <w:p w14:paraId="494D350D">
      <w:pPr>
        <w:pStyle w:val="2"/>
        <w:spacing w:line="258" w:lineRule="auto"/>
      </w:pPr>
    </w:p>
    <w:p w14:paraId="52CAD7DD">
      <w:pPr>
        <w:spacing w:before="78" w:line="360" w:lineRule="auto"/>
        <w:ind w:left="38" w:right="66" w:firstLine="480"/>
        <w:rPr>
          <w:rFonts w:ascii="宋体" w:hAnsi="宋体" w:eastAsia="宋体" w:cs="宋体"/>
          <w:sz w:val="24"/>
          <w:szCs w:val="24"/>
        </w:rPr>
      </w:pPr>
      <w:r>
        <w:rPr>
          <w:rFonts w:ascii="宋体" w:hAnsi="宋体" w:eastAsia="宋体" w:cs="宋体"/>
          <w:spacing w:val="-11"/>
          <w:sz w:val="24"/>
          <w:szCs w:val="24"/>
        </w:rPr>
        <w:t>根据现场踏勘，本项目养殖场选址地属于农村地区，周边主要为</w:t>
      </w:r>
      <w:r>
        <w:rPr>
          <w:rFonts w:ascii="宋体" w:hAnsi="宋体" w:eastAsia="宋体" w:cs="宋体"/>
          <w:spacing w:val="-12"/>
          <w:sz w:val="24"/>
          <w:szCs w:val="24"/>
        </w:rPr>
        <w:t>耕地、林地、</w:t>
      </w:r>
      <w:r>
        <w:rPr>
          <w:rFonts w:ascii="宋体" w:hAnsi="宋体" w:eastAsia="宋体" w:cs="宋体"/>
          <w:spacing w:val="-6"/>
          <w:sz w:val="24"/>
          <w:szCs w:val="24"/>
        </w:rPr>
        <w:t>水塘等，项目占地范围不涉及基本农田。项目周围分布少量散居农</w:t>
      </w:r>
      <w:r>
        <w:rPr>
          <w:rFonts w:ascii="宋体" w:hAnsi="宋体" w:eastAsia="宋体" w:cs="宋体"/>
          <w:spacing w:val="-7"/>
          <w:sz w:val="24"/>
          <w:szCs w:val="24"/>
        </w:rPr>
        <w:t>户， 主要集中</w:t>
      </w:r>
      <w:r>
        <w:rPr>
          <w:rFonts w:ascii="宋体" w:hAnsi="宋体" w:eastAsia="宋体" w:cs="宋体"/>
          <w:spacing w:val="-3"/>
          <w:sz w:val="24"/>
          <w:szCs w:val="24"/>
        </w:rPr>
        <w:t>在养殖场的东南、东北及西南侧。</w:t>
      </w:r>
    </w:p>
    <w:p w14:paraId="400CF06D">
      <w:pPr>
        <w:spacing w:before="6" w:line="359" w:lineRule="auto"/>
        <w:ind w:left="39" w:right="2" w:firstLine="480"/>
        <w:jc w:val="both"/>
        <w:rPr>
          <w:rFonts w:ascii="宋体" w:hAnsi="宋体" w:eastAsia="宋体" w:cs="宋体"/>
          <w:sz w:val="24"/>
          <w:szCs w:val="24"/>
        </w:rPr>
      </w:pPr>
      <w:r>
        <w:rPr>
          <w:rFonts w:ascii="宋体" w:hAnsi="宋体" w:eastAsia="宋体" w:cs="宋体"/>
          <w:spacing w:val="-3"/>
          <w:sz w:val="24"/>
          <w:szCs w:val="24"/>
        </w:rPr>
        <w:t>本项目东北侧</w:t>
      </w:r>
      <w:r>
        <w:rPr>
          <w:rFonts w:ascii="Times New Roman" w:hAnsi="Times New Roman" w:eastAsia="Times New Roman" w:cs="Times New Roman"/>
          <w:spacing w:val="-3"/>
          <w:sz w:val="24"/>
          <w:szCs w:val="24"/>
        </w:rPr>
        <w:t>1040m</w:t>
      </w:r>
      <w:r>
        <w:rPr>
          <w:rFonts w:ascii="宋体" w:hAnsi="宋体" w:eastAsia="宋体" w:cs="宋体"/>
          <w:spacing w:val="-3"/>
          <w:sz w:val="24"/>
          <w:szCs w:val="24"/>
        </w:rPr>
        <w:t>为大清流河，总体由北向南流；项目北侧</w:t>
      </w:r>
      <w:r>
        <w:rPr>
          <w:rFonts w:ascii="Times New Roman" w:hAnsi="Times New Roman" w:eastAsia="Times New Roman" w:cs="Times New Roman"/>
          <w:spacing w:val="-4"/>
          <w:sz w:val="24"/>
          <w:szCs w:val="24"/>
        </w:rPr>
        <w:t>700m</w:t>
      </w:r>
      <w:r>
        <w:rPr>
          <w:rFonts w:ascii="宋体" w:hAnsi="宋体" w:eastAsia="宋体" w:cs="宋体"/>
          <w:spacing w:val="-4"/>
          <w:sz w:val="24"/>
          <w:szCs w:val="24"/>
        </w:rPr>
        <w:t>处为大清</w:t>
      </w:r>
      <w:r>
        <w:rPr>
          <w:rFonts w:ascii="宋体" w:hAnsi="宋体" w:eastAsia="宋体" w:cs="宋体"/>
          <w:spacing w:val="-8"/>
          <w:sz w:val="24"/>
          <w:szCs w:val="24"/>
        </w:rPr>
        <w:t>流河支流—五桂溪，总体为西北—东南流向，在原苏家镇诸古寺村汇入大清流河；</w:t>
      </w:r>
      <w:r>
        <w:rPr>
          <w:rFonts w:ascii="宋体" w:hAnsi="宋体" w:eastAsia="宋体" w:cs="宋体"/>
          <w:spacing w:val="2"/>
          <w:sz w:val="24"/>
          <w:szCs w:val="24"/>
        </w:rPr>
        <w:t>项目南侧</w:t>
      </w:r>
      <w:r>
        <w:rPr>
          <w:rFonts w:ascii="Times New Roman" w:hAnsi="Times New Roman" w:eastAsia="Times New Roman" w:cs="Times New Roman"/>
          <w:spacing w:val="2"/>
          <w:sz w:val="24"/>
          <w:szCs w:val="24"/>
        </w:rPr>
        <w:t>228m</w:t>
      </w:r>
      <w:r>
        <w:rPr>
          <w:rFonts w:ascii="宋体" w:hAnsi="宋体" w:eastAsia="宋体" w:cs="宋体"/>
          <w:spacing w:val="2"/>
          <w:sz w:val="24"/>
          <w:szCs w:val="24"/>
        </w:rPr>
        <w:t>处为大清流河支流—石核河，总体由西向东流，石核河</w:t>
      </w:r>
      <w:r>
        <w:rPr>
          <w:rFonts w:ascii="宋体" w:hAnsi="宋体" w:eastAsia="宋体" w:cs="宋体"/>
          <w:spacing w:val="1"/>
          <w:sz w:val="24"/>
          <w:szCs w:val="24"/>
        </w:rPr>
        <w:t>在石子镇</w:t>
      </w:r>
      <w:r>
        <w:rPr>
          <w:rFonts w:ascii="宋体" w:hAnsi="宋体" w:eastAsia="宋体" w:cs="宋体"/>
          <w:spacing w:val="-4"/>
          <w:sz w:val="24"/>
          <w:szCs w:val="24"/>
        </w:rPr>
        <w:t>镇区南侧汇入大清流河。</w:t>
      </w:r>
    </w:p>
    <w:p w14:paraId="198533FD">
      <w:pPr>
        <w:spacing w:line="361" w:lineRule="auto"/>
        <w:ind w:left="41" w:firstLine="470"/>
        <w:jc w:val="both"/>
        <w:rPr>
          <w:rFonts w:ascii="宋体" w:hAnsi="宋体" w:eastAsia="宋体" w:cs="宋体"/>
          <w:sz w:val="24"/>
          <w:szCs w:val="24"/>
        </w:rPr>
      </w:pPr>
      <w:r>
        <w:rPr>
          <w:rFonts w:ascii="宋体" w:hAnsi="宋体" w:eastAsia="宋体" w:cs="宋体"/>
          <w:spacing w:val="-1"/>
          <w:sz w:val="24"/>
          <w:szCs w:val="24"/>
        </w:rPr>
        <w:t>本项目流转白合镇喻家沟村</w:t>
      </w:r>
      <w:r>
        <w:rPr>
          <w:rFonts w:ascii="Times New Roman" w:hAnsi="Times New Roman" w:eastAsia="Times New Roman" w:cs="Times New Roman"/>
          <w:spacing w:val="-1"/>
          <w:sz w:val="24"/>
          <w:szCs w:val="24"/>
        </w:rPr>
        <w:t>2060</w:t>
      </w:r>
      <w:r>
        <w:rPr>
          <w:rFonts w:ascii="宋体" w:hAnsi="宋体" w:eastAsia="宋体" w:cs="宋体"/>
          <w:spacing w:val="-1"/>
          <w:sz w:val="24"/>
          <w:szCs w:val="24"/>
        </w:rPr>
        <w:t>亩土地作为消纳地，位于项目的西</w:t>
      </w:r>
      <w:r>
        <w:rPr>
          <w:rFonts w:ascii="Times New Roman" w:hAnsi="Times New Roman" w:eastAsia="Times New Roman" w:cs="Times New Roman"/>
          <w:spacing w:val="-1"/>
          <w:sz w:val="24"/>
          <w:szCs w:val="24"/>
        </w:rPr>
        <w:t>—</w:t>
      </w:r>
      <w:r>
        <w:rPr>
          <w:rFonts w:ascii="宋体" w:hAnsi="宋体" w:eastAsia="宋体" w:cs="宋体"/>
          <w:spacing w:val="-1"/>
          <w:sz w:val="24"/>
          <w:szCs w:val="24"/>
        </w:rPr>
        <w:t>北侧，</w:t>
      </w:r>
      <w:r>
        <w:rPr>
          <w:rFonts w:ascii="宋体" w:hAnsi="宋体" w:eastAsia="宋体" w:cs="宋体"/>
          <w:spacing w:val="-3"/>
          <w:sz w:val="24"/>
          <w:szCs w:val="24"/>
        </w:rPr>
        <w:t>用地类型包括耕地、荒土地，全部整治后种植旱作作物，消纳地不涉及林地。消</w:t>
      </w:r>
      <w:r>
        <w:rPr>
          <w:rFonts w:ascii="宋体" w:hAnsi="宋体" w:eastAsia="宋体" w:cs="宋体"/>
          <w:spacing w:val="-5"/>
          <w:sz w:val="24"/>
          <w:szCs w:val="24"/>
        </w:rPr>
        <w:t>纳地外环境以耕地、林地为主，兼有少量建设用地（农户</w:t>
      </w:r>
      <w:r>
        <w:rPr>
          <w:rFonts w:ascii="宋体" w:hAnsi="宋体" w:eastAsia="宋体" w:cs="宋体"/>
          <w:spacing w:val="-7"/>
          <w:sz w:val="24"/>
          <w:szCs w:val="24"/>
        </w:rPr>
        <w:t>），</w:t>
      </w:r>
      <w:r>
        <w:rPr>
          <w:rFonts w:ascii="宋体" w:hAnsi="宋体" w:eastAsia="宋体" w:cs="宋体"/>
          <w:spacing w:val="-5"/>
          <w:sz w:val="24"/>
          <w:szCs w:val="24"/>
        </w:rPr>
        <w:t>为农村生态环境。</w:t>
      </w:r>
    </w:p>
    <w:p w14:paraId="45A47450">
      <w:pPr>
        <w:spacing w:line="361" w:lineRule="auto"/>
        <w:rPr>
          <w:rFonts w:ascii="宋体" w:hAnsi="宋体" w:eastAsia="宋体" w:cs="宋体"/>
          <w:sz w:val="24"/>
          <w:szCs w:val="24"/>
        </w:rPr>
        <w:sectPr>
          <w:headerReference r:id="rId62" w:type="default"/>
          <w:footerReference r:id="rId63" w:type="default"/>
          <w:pgSz w:w="11905" w:h="16840"/>
          <w:pgMar w:top="1168" w:right="1731" w:bottom="1409" w:left="1770" w:header="828" w:footer="1244" w:gutter="0"/>
          <w:cols w:space="720" w:num="1"/>
        </w:sectPr>
      </w:pPr>
    </w:p>
    <w:p w14:paraId="659F3154">
      <w:pPr>
        <w:pStyle w:val="2"/>
        <w:spacing w:line="319" w:lineRule="auto"/>
      </w:pPr>
    </w:p>
    <w:p w14:paraId="0F5D786A">
      <w:pPr>
        <w:pStyle w:val="2"/>
        <w:spacing w:line="320" w:lineRule="auto"/>
      </w:pPr>
    </w:p>
    <w:p w14:paraId="0E49CABB">
      <w:pPr>
        <w:spacing w:line="7805" w:lineRule="exact"/>
        <w:ind w:firstLine="101"/>
      </w:pPr>
      <w:r>
        <w:rPr>
          <w:position w:val="-156"/>
        </w:rPr>
        <w:drawing>
          <wp:inline distT="0" distB="0" distL="0" distR="0">
            <wp:extent cx="8729345" cy="495554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35"/>
                    <a:stretch>
                      <a:fillRect/>
                    </a:stretch>
                  </pic:blipFill>
                  <pic:spPr>
                    <a:xfrm>
                      <a:off x="0" y="0"/>
                      <a:ext cx="8729471" cy="4956048"/>
                    </a:xfrm>
                    <a:prstGeom prst="rect">
                      <a:avLst/>
                    </a:prstGeom>
                  </pic:spPr>
                </pic:pic>
              </a:graphicData>
            </a:graphic>
          </wp:inline>
        </w:drawing>
      </w:r>
    </w:p>
    <w:p w14:paraId="3203F580">
      <w:pPr>
        <w:spacing w:before="120" w:line="222" w:lineRule="auto"/>
        <w:ind w:left="5738"/>
        <w:rPr>
          <w:rFonts w:ascii="黑体" w:hAnsi="黑体" w:eastAsia="黑体" w:cs="黑体"/>
          <w:sz w:val="21"/>
          <w:szCs w:val="21"/>
        </w:rPr>
      </w:pPr>
      <w:r>
        <w:rPr>
          <w:rFonts w:ascii="黑体" w:hAnsi="黑体" w:eastAsia="黑体" w:cs="黑体"/>
          <w:spacing w:val="-3"/>
          <w:sz w:val="21"/>
          <w:szCs w:val="21"/>
        </w:rPr>
        <w:t>图</w:t>
      </w:r>
      <w:r>
        <w:rPr>
          <w:rFonts w:ascii="黑体" w:hAnsi="黑体" w:eastAsia="黑体" w:cs="黑体"/>
          <w:spacing w:val="-25"/>
          <w:sz w:val="21"/>
          <w:szCs w:val="21"/>
        </w:rPr>
        <w:t xml:space="preserve"> </w:t>
      </w:r>
      <w:r>
        <w:rPr>
          <w:rFonts w:ascii="Times New Roman" w:hAnsi="Times New Roman" w:eastAsia="Times New Roman" w:cs="Times New Roman"/>
          <w:spacing w:val="-3"/>
          <w:sz w:val="21"/>
          <w:szCs w:val="21"/>
        </w:rPr>
        <w:t xml:space="preserve">1.5-1  </w:t>
      </w:r>
      <w:r>
        <w:rPr>
          <w:rFonts w:ascii="黑体" w:hAnsi="黑体" w:eastAsia="黑体" w:cs="黑体"/>
          <w:spacing w:val="-3"/>
          <w:sz w:val="21"/>
          <w:szCs w:val="21"/>
        </w:rPr>
        <w:t>本项目区域卫星图</w:t>
      </w:r>
    </w:p>
    <w:p w14:paraId="0314F034">
      <w:pPr>
        <w:spacing w:line="222" w:lineRule="auto"/>
        <w:rPr>
          <w:rFonts w:ascii="黑体" w:hAnsi="黑体" w:eastAsia="黑体" w:cs="黑体"/>
          <w:sz w:val="21"/>
          <w:szCs w:val="21"/>
        </w:rPr>
        <w:sectPr>
          <w:headerReference r:id="rId64" w:type="default"/>
          <w:footerReference r:id="rId65" w:type="default"/>
          <w:pgSz w:w="16840" w:h="11905"/>
          <w:pgMar w:top="1168" w:right="1411" w:bottom="1406" w:left="1409" w:header="828" w:footer="1241" w:gutter="0"/>
          <w:cols w:space="720" w:num="1"/>
        </w:sectPr>
      </w:pPr>
    </w:p>
    <w:p w14:paraId="5BADF147">
      <w:pPr>
        <w:pStyle w:val="2"/>
        <w:spacing w:line="454" w:lineRule="auto"/>
      </w:pPr>
    </w:p>
    <w:p w14:paraId="419349F3">
      <w:pPr>
        <w:spacing w:before="97" w:line="220"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1.5.2  </w:t>
      </w:r>
      <w:r>
        <w:rPr>
          <w:rFonts w:ascii="宋体" w:hAnsi="宋体" w:eastAsia="宋体" w:cs="宋体"/>
          <w:b/>
          <w:bCs/>
          <w:spacing w:val="-3"/>
          <w:sz w:val="30"/>
          <w:szCs w:val="30"/>
        </w:rPr>
        <w:t>环境保护目标</w:t>
      </w:r>
    </w:p>
    <w:p w14:paraId="0C94CF2A">
      <w:pPr>
        <w:pStyle w:val="2"/>
        <w:spacing w:line="281" w:lineRule="auto"/>
      </w:pPr>
    </w:p>
    <w:p w14:paraId="617F4E55">
      <w:pPr>
        <w:spacing w:before="68" w:line="222" w:lineRule="auto"/>
        <w:ind w:left="213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1.5-1  </w:t>
      </w:r>
      <w:r>
        <w:rPr>
          <w:rFonts w:ascii="黑体" w:hAnsi="黑体" w:eastAsia="黑体" w:cs="黑体"/>
          <w:spacing w:val="-1"/>
          <w:sz w:val="21"/>
          <w:szCs w:val="21"/>
        </w:rPr>
        <w:t>本项目评价区内环境保护目标一览表</w:t>
      </w:r>
    </w:p>
    <w:p w14:paraId="711A0665">
      <w:pPr>
        <w:spacing w:line="87" w:lineRule="exact"/>
      </w:pPr>
    </w:p>
    <w:tbl>
      <w:tblPr>
        <w:tblStyle w:val="5"/>
        <w:tblW w:w="83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
        <w:gridCol w:w="421"/>
        <w:gridCol w:w="707"/>
        <w:gridCol w:w="991"/>
        <w:gridCol w:w="848"/>
        <w:gridCol w:w="567"/>
        <w:gridCol w:w="849"/>
        <w:gridCol w:w="1132"/>
        <w:gridCol w:w="707"/>
        <w:gridCol w:w="955"/>
        <w:gridCol w:w="721"/>
      </w:tblGrid>
      <w:tr w14:paraId="0DFBE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52" w:type="dxa"/>
            <w:vMerge w:val="restart"/>
            <w:tcBorders>
              <w:bottom w:val="nil"/>
            </w:tcBorders>
            <w:vAlign w:val="top"/>
          </w:tcPr>
          <w:p w14:paraId="046CAB65">
            <w:pPr>
              <w:spacing w:before="88" w:line="220" w:lineRule="auto"/>
              <w:ind w:left="22"/>
              <w:rPr>
                <w:rFonts w:ascii="宋体" w:hAnsi="宋体" w:eastAsia="宋体" w:cs="宋体"/>
                <w:sz w:val="21"/>
                <w:szCs w:val="21"/>
              </w:rPr>
            </w:pPr>
            <w:r>
              <w:rPr>
                <w:rFonts w:ascii="宋体" w:hAnsi="宋体" w:eastAsia="宋体" w:cs="宋体"/>
                <w:spacing w:val="-3"/>
                <w:sz w:val="21"/>
                <w:szCs w:val="21"/>
              </w:rPr>
              <w:t>环境</w:t>
            </w:r>
          </w:p>
          <w:p w14:paraId="6C82E918">
            <w:pPr>
              <w:spacing w:before="60" w:line="220" w:lineRule="auto"/>
              <w:ind w:left="23"/>
              <w:rPr>
                <w:rFonts w:ascii="宋体" w:hAnsi="宋体" w:eastAsia="宋体" w:cs="宋体"/>
                <w:sz w:val="21"/>
                <w:szCs w:val="21"/>
              </w:rPr>
            </w:pPr>
            <w:r>
              <w:rPr>
                <w:rFonts w:ascii="宋体" w:hAnsi="宋体" w:eastAsia="宋体" w:cs="宋体"/>
                <w:spacing w:val="-3"/>
                <w:sz w:val="21"/>
                <w:szCs w:val="21"/>
              </w:rPr>
              <w:t>要素</w:t>
            </w:r>
          </w:p>
        </w:tc>
        <w:tc>
          <w:tcPr>
            <w:tcW w:w="1128" w:type="dxa"/>
            <w:gridSpan w:val="2"/>
            <w:vMerge w:val="restart"/>
            <w:tcBorders>
              <w:bottom w:val="nil"/>
            </w:tcBorders>
            <w:vAlign w:val="top"/>
          </w:tcPr>
          <w:p w14:paraId="75BA75C3">
            <w:pPr>
              <w:spacing w:before="243" w:line="222" w:lineRule="auto"/>
              <w:ind w:left="355"/>
              <w:rPr>
                <w:rFonts w:ascii="宋体" w:hAnsi="宋体" w:eastAsia="宋体" w:cs="宋体"/>
                <w:sz w:val="21"/>
                <w:szCs w:val="21"/>
              </w:rPr>
            </w:pPr>
            <w:r>
              <w:rPr>
                <w:rFonts w:ascii="宋体" w:hAnsi="宋体" w:eastAsia="宋体" w:cs="宋体"/>
                <w:spacing w:val="-3"/>
                <w:sz w:val="21"/>
                <w:szCs w:val="21"/>
              </w:rPr>
              <w:t>名称</w:t>
            </w:r>
          </w:p>
        </w:tc>
        <w:tc>
          <w:tcPr>
            <w:tcW w:w="1839" w:type="dxa"/>
            <w:gridSpan w:val="2"/>
            <w:vAlign w:val="top"/>
          </w:tcPr>
          <w:p w14:paraId="1B9B6F0E">
            <w:pPr>
              <w:spacing w:before="69" w:line="220" w:lineRule="auto"/>
              <w:ind w:left="710"/>
              <w:rPr>
                <w:rFonts w:ascii="宋体" w:hAnsi="宋体" w:eastAsia="宋体" w:cs="宋体"/>
                <w:sz w:val="21"/>
                <w:szCs w:val="21"/>
              </w:rPr>
            </w:pPr>
            <w:r>
              <w:rPr>
                <w:rFonts w:ascii="宋体" w:hAnsi="宋体" w:eastAsia="宋体" w:cs="宋体"/>
                <w:spacing w:val="-3"/>
                <w:sz w:val="21"/>
                <w:szCs w:val="21"/>
              </w:rPr>
              <w:t>坐标</w:t>
            </w:r>
          </w:p>
        </w:tc>
        <w:tc>
          <w:tcPr>
            <w:tcW w:w="567" w:type="dxa"/>
            <w:vMerge w:val="restart"/>
            <w:tcBorders>
              <w:bottom w:val="nil"/>
            </w:tcBorders>
            <w:vAlign w:val="top"/>
          </w:tcPr>
          <w:p w14:paraId="5AB97151">
            <w:pPr>
              <w:spacing w:before="88" w:line="220" w:lineRule="auto"/>
              <w:ind w:left="74"/>
              <w:rPr>
                <w:rFonts w:ascii="宋体" w:hAnsi="宋体" w:eastAsia="宋体" w:cs="宋体"/>
                <w:sz w:val="21"/>
                <w:szCs w:val="21"/>
              </w:rPr>
            </w:pPr>
            <w:r>
              <w:rPr>
                <w:rFonts w:ascii="宋体" w:hAnsi="宋体" w:eastAsia="宋体" w:cs="宋体"/>
                <w:spacing w:val="-3"/>
                <w:sz w:val="21"/>
                <w:szCs w:val="21"/>
              </w:rPr>
              <w:t>保护</w:t>
            </w:r>
          </w:p>
          <w:p w14:paraId="21E427C4">
            <w:pPr>
              <w:spacing w:before="60" w:line="220" w:lineRule="auto"/>
              <w:ind w:left="72"/>
              <w:rPr>
                <w:rFonts w:ascii="宋体" w:hAnsi="宋体" w:eastAsia="宋体" w:cs="宋体"/>
                <w:sz w:val="21"/>
                <w:szCs w:val="21"/>
              </w:rPr>
            </w:pPr>
            <w:r>
              <w:rPr>
                <w:rFonts w:ascii="宋体" w:hAnsi="宋体" w:eastAsia="宋体" w:cs="宋体"/>
                <w:spacing w:val="-2"/>
                <w:sz w:val="21"/>
                <w:szCs w:val="21"/>
              </w:rPr>
              <w:t>对象</w:t>
            </w:r>
          </w:p>
        </w:tc>
        <w:tc>
          <w:tcPr>
            <w:tcW w:w="849" w:type="dxa"/>
            <w:vMerge w:val="restart"/>
            <w:tcBorders>
              <w:bottom w:val="nil"/>
            </w:tcBorders>
            <w:vAlign w:val="top"/>
          </w:tcPr>
          <w:p w14:paraId="6CB0FFA3">
            <w:pPr>
              <w:spacing w:before="88" w:line="220" w:lineRule="auto"/>
              <w:ind w:left="215"/>
              <w:rPr>
                <w:rFonts w:ascii="宋体" w:hAnsi="宋体" w:eastAsia="宋体" w:cs="宋体"/>
                <w:sz w:val="21"/>
                <w:szCs w:val="21"/>
              </w:rPr>
            </w:pPr>
            <w:r>
              <w:rPr>
                <w:rFonts w:ascii="宋体" w:hAnsi="宋体" w:eastAsia="宋体" w:cs="宋体"/>
                <w:spacing w:val="-3"/>
                <w:sz w:val="21"/>
                <w:szCs w:val="21"/>
              </w:rPr>
              <w:t>保护</w:t>
            </w:r>
          </w:p>
          <w:p w14:paraId="496E4CB3">
            <w:pPr>
              <w:spacing w:before="60" w:line="220" w:lineRule="auto"/>
              <w:ind w:left="240"/>
              <w:rPr>
                <w:rFonts w:ascii="宋体" w:hAnsi="宋体" w:eastAsia="宋体" w:cs="宋体"/>
                <w:sz w:val="21"/>
                <w:szCs w:val="21"/>
              </w:rPr>
            </w:pPr>
            <w:r>
              <w:rPr>
                <w:rFonts w:ascii="宋体" w:hAnsi="宋体" w:eastAsia="宋体" w:cs="宋体"/>
                <w:spacing w:val="-9"/>
                <w:sz w:val="21"/>
                <w:szCs w:val="21"/>
              </w:rPr>
              <w:t>内容</w:t>
            </w:r>
          </w:p>
        </w:tc>
        <w:tc>
          <w:tcPr>
            <w:tcW w:w="1132" w:type="dxa"/>
            <w:vMerge w:val="restart"/>
            <w:tcBorders>
              <w:bottom w:val="nil"/>
            </w:tcBorders>
            <w:vAlign w:val="top"/>
          </w:tcPr>
          <w:p w14:paraId="7319A0F5">
            <w:pPr>
              <w:spacing w:before="244" w:line="220" w:lineRule="auto"/>
              <w:ind w:left="42"/>
              <w:rPr>
                <w:rFonts w:ascii="宋体" w:hAnsi="宋体" w:eastAsia="宋体" w:cs="宋体"/>
                <w:sz w:val="21"/>
                <w:szCs w:val="21"/>
              </w:rPr>
            </w:pPr>
            <w:r>
              <w:rPr>
                <w:rFonts w:ascii="宋体" w:hAnsi="宋体" w:eastAsia="宋体" w:cs="宋体"/>
                <w:spacing w:val="-2"/>
                <w:sz w:val="21"/>
                <w:szCs w:val="21"/>
              </w:rPr>
              <w:t>环境功能区</w:t>
            </w:r>
          </w:p>
        </w:tc>
        <w:tc>
          <w:tcPr>
            <w:tcW w:w="707" w:type="dxa"/>
            <w:vMerge w:val="restart"/>
            <w:tcBorders>
              <w:bottom w:val="nil"/>
            </w:tcBorders>
            <w:vAlign w:val="top"/>
          </w:tcPr>
          <w:p w14:paraId="4609F785">
            <w:pPr>
              <w:spacing w:before="88" w:line="220" w:lineRule="auto"/>
              <w:ind w:left="41"/>
              <w:rPr>
                <w:rFonts w:ascii="宋体" w:hAnsi="宋体" w:eastAsia="宋体" w:cs="宋体"/>
                <w:sz w:val="21"/>
                <w:szCs w:val="21"/>
              </w:rPr>
            </w:pPr>
            <w:r>
              <w:rPr>
                <w:rFonts w:ascii="宋体" w:hAnsi="宋体" w:eastAsia="宋体" w:cs="宋体"/>
                <w:spacing w:val="-2"/>
                <w:sz w:val="21"/>
                <w:szCs w:val="21"/>
              </w:rPr>
              <w:t>相对场</w:t>
            </w:r>
          </w:p>
          <w:p w14:paraId="67159B44">
            <w:pPr>
              <w:spacing w:before="61" w:line="221" w:lineRule="auto"/>
              <w:ind w:left="41"/>
              <w:rPr>
                <w:rFonts w:ascii="宋体" w:hAnsi="宋体" w:eastAsia="宋体" w:cs="宋体"/>
                <w:sz w:val="21"/>
                <w:szCs w:val="21"/>
              </w:rPr>
            </w:pPr>
            <w:r>
              <w:rPr>
                <w:rFonts w:ascii="宋体" w:hAnsi="宋体" w:eastAsia="宋体" w:cs="宋体"/>
                <w:spacing w:val="-3"/>
                <w:sz w:val="21"/>
                <w:szCs w:val="21"/>
              </w:rPr>
              <w:t>址方位</w:t>
            </w:r>
          </w:p>
        </w:tc>
        <w:tc>
          <w:tcPr>
            <w:tcW w:w="955" w:type="dxa"/>
            <w:vMerge w:val="restart"/>
            <w:tcBorders>
              <w:bottom w:val="nil"/>
            </w:tcBorders>
            <w:vAlign w:val="top"/>
          </w:tcPr>
          <w:p w14:paraId="3F0670C5">
            <w:pPr>
              <w:pStyle w:val="6"/>
              <w:spacing w:before="244" w:line="220" w:lineRule="auto"/>
              <w:ind w:left="158"/>
            </w:pPr>
            <w:r>
              <w:rPr>
                <w:rFonts w:ascii="宋体" w:hAnsi="宋体" w:eastAsia="宋体" w:cs="宋体"/>
                <w:spacing w:val="-2"/>
              </w:rPr>
              <w:t>距离</w:t>
            </w:r>
            <w:r>
              <w:rPr>
                <w:spacing w:val="-2"/>
              </w:rPr>
              <w:t>/m</w:t>
            </w:r>
          </w:p>
        </w:tc>
        <w:tc>
          <w:tcPr>
            <w:tcW w:w="721" w:type="dxa"/>
            <w:vMerge w:val="restart"/>
            <w:tcBorders>
              <w:bottom w:val="nil"/>
            </w:tcBorders>
            <w:vAlign w:val="top"/>
          </w:tcPr>
          <w:p w14:paraId="053F798C">
            <w:pPr>
              <w:pStyle w:val="6"/>
              <w:spacing w:before="243" w:line="220" w:lineRule="auto"/>
              <w:ind w:left="51"/>
            </w:pPr>
            <w:r>
              <w:rPr>
                <w:rFonts w:ascii="宋体" w:hAnsi="宋体" w:eastAsia="宋体" w:cs="宋体"/>
                <w:spacing w:val="-4"/>
              </w:rPr>
              <w:t>高程</w:t>
            </w:r>
            <w:r>
              <w:rPr>
                <w:spacing w:val="-4"/>
              </w:rPr>
              <w:t>/m</w:t>
            </w:r>
          </w:p>
        </w:tc>
      </w:tr>
      <w:tr w14:paraId="7228A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52" w:type="dxa"/>
            <w:vMerge w:val="continue"/>
            <w:tcBorders>
              <w:top w:val="nil"/>
            </w:tcBorders>
            <w:vAlign w:val="top"/>
          </w:tcPr>
          <w:p w14:paraId="3AFF9551">
            <w:pPr>
              <w:rPr>
                <w:rFonts w:ascii="Arial"/>
                <w:sz w:val="21"/>
              </w:rPr>
            </w:pPr>
          </w:p>
        </w:tc>
        <w:tc>
          <w:tcPr>
            <w:tcW w:w="1128" w:type="dxa"/>
            <w:gridSpan w:val="2"/>
            <w:vMerge w:val="continue"/>
            <w:tcBorders>
              <w:top w:val="nil"/>
            </w:tcBorders>
            <w:vAlign w:val="top"/>
          </w:tcPr>
          <w:p w14:paraId="74E3B8BA">
            <w:pPr>
              <w:rPr>
                <w:rFonts w:ascii="Arial"/>
                <w:sz w:val="21"/>
              </w:rPr>
            </w:pPr>
          </w:p>
        </w:tc>
        <w:tc>
          <w:tcPr>
            <w:tcW w:w="991" w:type="dxa"/>
            <w:vAlign w:val="top"/>
          </w:tcPr>
          <w:p w14:paraId="5D9A7DA2">
            <w:pPr>
              <w:spacing w:before="63" w:line="220" w:lineRule="auto"/>
              <w:ind w:left="292"/>
              <w:rPr>
                <w:rFonts w:ascii="宋体" w:hAnsi="宋体" w:eastAsia="宋体" w:cs="宋体"/>
                <w:sz w:val="21"/>
                <w:szCs w:val="21"/>
              </w:rPr>
            </w:pPr>
            <w:r>
              <w:rPr>
                <w:rFonts w:ascii="宋体" w:hAnsi="宋体" w:eastAsia="宋体" w:cs="宋体"/>
                <w:spacing w:val="-4"/>
                <w:sz w:val="21"/>
                <w:szCs w:val="21"/>
              </w:rPr>
              <w:t>东经</w:t>
            </w:r>
          </w:p>
        </w:tc>
        <w:tc>
          <w:tcPr>
            <w:tcW w:w="848" w:type="dxa"/>
            <w:vAlign w:val="top"/>
          </w:tcPr>
          <w:p w14:paraId="51BF78A2">
            <w:pPr>
              <w:spacing w:before="64" w:line="220" w:lineRule="auto"/>
              <w:ind w:left="217"/>
              <w:rPr>
                <w:rFonts w:ascii="宋体" w:hAnsi="宋体" w:eastAsia="宋体" w:cs="宋体"/>
                <w:sz w:val="21"/>
                <w:szCs w:val="21"/>
              </w:rPr>
            </w:pPr>
            <w:r>
              <w:rPr>
                <w:rFonts w:ascii="宋体" w:hAnsi="宋体" w:eastAsia="宋体" w:cs="宋体"/>
                <w:spacing w:val="-3"/>
                <w:sz w:val="21"/>
                <w:szCs w:val="21"/>
              </w:rPr>
              <w:t>北纬</w:t>
            </w:r>
          </w:p>
        </w:tc>
        <w:tc>
          <w:tcPr>
            <w:tcW w:w="567" w:type="dxa"/>
            <w:vMerge w:val="continue"/>
            <w:tcBorders>
              <w:top w:val="nil"/>
            </w:tcBorders>
            <w:vAlign w:val="top"/>
          </w:tcPr>
          <w:p w14:paraId="07BC2BB6">
            <w:pPr>
              <w:rPr>
                <w:rFonts w:ascii="Arial"/>
                <w:sz w:val="21"/>
              </w:rPr>
            </w:pPr>
          </w:p>
        </w:tc>
        <w:tc>
          <w:tcPr>
            <w:tcW w:w="849" w:type="dxa"/>
            <w:vMerge w:val="continue"/>
            <w:tcBorders>
              <w:top w:val="nil"/>
            </w:tcBorders>
            <w:vAlign w:val="top"/>
          </w:tcPr>
          <w:p w14:paraId="44580CFD">
            <w:pPr>
              <w:rPr>
                <w:rFonts w:ascii="Arial"/>
                <w:sz w:val="21"/>
              </w:rPr>
            </w:pPr>
          </w:p>
        </w:tc>
        <w:tc>
          <w:tcPr>
            <w:tcW w:w="1132" w:type="dxa"/>
            <w:vMerge w:val="continue"/>
            <w:tcBorders>
              <w:top w:val="nil"/>
            </w:tcBorders>
            <w:vAlign w:val="top"/>
          </w:tcPr>
          <w:p w14:paraId="14FEBCA2">
            <w:pPr>
              <w:rPr>
                <w:rFonts w:ascii="Arial"/>
                <w:sz w:val="21"/>
              </w:rPr>
            </w:pPr>
          </w:p>
        </w:tc>
        <w:tc>
          <w:tcPr>
            <w:tcW w:w="707" w:type="dxa"/>
            <w:vMerge w:val="continue"/>
            <w:tcBorders>
              <w:top w:val="nil"/>
            </w:tcBorders>
            <w:vAlign w:val="top"/>
          </w:tcPr>
          <w:p w14:paraId="518D8C93">
            <w:pPr>
              <w:rPr>
                <w:rFonts w:ascii="Arial"/>
                <w:sz w:val="21"/>
              </w:rPr>
            </w:pPr>
          </w:p>
        </w:tc>
        <w:tc>
          <w:tcPr>
            <w:tcW w:w="955" w:type="dxa"/>
            <w:vMerge w:val="continue"/>
            <w:tcBorders>
              <w:top w:val="nil"/>
            </w:tcBorders>
            <w:vAlign w:val="top"/>
          </w:tcPr>
          <w:p w14:paraId="2E6D3724">
            <w:pPr>
              <w:rPr>
                <w:rFonts w:ascii="Arial"/>
                <w:sz w:val="21"/>
              </w:rPr>
            </w:pPr>
          </w:p>
        </w:tc>
        <w:tc>
          <w:tcPr>
            <w:tcW w:w="721" w:type="dxa"/>
            <w:vMerge w:val="continue"/>
            <w:tcBorders>
              <w:top w:val="nil"/>
            </w:tcBorders>
            <w:vAlign w:val="top"/>
          </w:tcPr>
          <w:p w14:paraId="670F69F1">
            <w:pPr>
              <w:rPr>
                <w:rFonts w:ascii="Arial"/>
                <w:sz w:val="21"/>
              </w:rPr>
            </w:pPr>
          </w:p>
        </w:tc>
      </w:tr>
      <w:tr w14:paraId="1B559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2" w:type="dxa"/>
            <w:vMerge w:val="restart"/>
            <w:tcBorders>
              <w:bottom w:val="nil"/>
            </w:tcBorders>
            <w:vAlign w:val="top"/>
          </w:tcPr>
          <w:p w14:paraId="36A1B7F6">
            <w:pPr>
              <w:spacing w:line="283" w:lineRule="auto"/>
              <w:rPr>
                <w:rFonts w:ascii="Arial"/>
                <w:sz w:val="21"/>
              </w:rPr>
            </w:pPr>
          </w:p>
          <w:p w14:paraId="7FE78519">
            <w:pPr>
              <w:spacing w:line="283" w:lineRule="auto"/>
              <w:rPr>
                <w:rFonts w:ascii="Arial"/>
                <w:sz w:val="21"/>
              </w:rPr>
            </w:pPr>
          </w:p>
          <w:p w14:paraId="160D4739">
            <w:pPr>
              <w:spacing w:line="284" w:lineRule="auto"/>
              <w:rPr>
                <w:rFonts w:ascii="Arial"/>
                <w:sz w:val="21"/>
              </w:rPr>
            </w:pPr>
          </w:p>
          <w:p w14:paraId="0B38CEA6">
            <w:pPr>
              <w:spacing w:line="284" w:lineRule="auto"/>
              <w:rPr>
                <w:rFonts w:ascii="Arial"/>
                <w:sz w:val="21"/>
              </w:rPr>
            </w:pPr>
          </w:p>
          <w:p w14:paraId="6338DE76">
            <w:pPr>
              <w:spacing w:before="68" w:line="277" w:lineRule="auto"/>
              <w:ind w:left="28" w:right="12" w:hanging="6"/>
              <w:rPr>
                <w:rFonts w:ascii="宋体" w:hAnsi="宋体" w:eastAsia="宋体" w:cs="宋体"/>
                <w:sz w:val="21"/>
                <w:szCs w:val="21"/>
              </w:rPr>
            </w:pPr>
            <w:r>
              <w:rPr>
                <w:rFonts w:ascii="宋体" w:hAnsi="宋体" w:eastAsia="宋体" w:cs="宋体"/>
                <w:spacing w:val="-5"/>
                <w:sz w:val="21"/>
                <w:szCs w:val="21"/>
              </w:rPr>
              <w:t>环境</w:t>
            </w:r>
            <w:r>
              <w:rPr>
                <w:rFonts w:ascii="宋体" w:hAnsi="宋体" w:eastAsia="宋体" w:cs="宋体"/>
                <w:spacing w:val="-8"/>
                <w:sz w:val="21"/>
                <w:szCs w:val="21"/>
              </w:rPr>
              <w:t>空气</w:t>
            </w:r>
          </w:p>
        </w:tc>
        <w:tc>
          <w:tcPr>
            <w:tcW w:w="1128" w:type="dxa"/>
            <w:gridSpan w:val="2"/>
            <w:vAlign w:val="top"/>
          </w:tcPr>
          <w:p w14:paraId="566EC122">
            <w:pPr>
              <w:pStyle w:val="6"/>
              <w:spacing w:before="73" w:line="219" w:lineRule="auto"/>
              <w:ind w:left="83"/>
              <w:rPr>
                <w:rFonts w:ascii="宋体" w:hAnsi="宋体" w:eastAsia="宋体" w:cs="宋体"/>
              </w:rPr>
            </w:pPr>
            <w:r>
              <w:rPr>
                <w:spacing w:val="-11"/>
              </w:rPr>
              <w:t>1#</w:t>
            </w:r>
            <w:r>
              <w:rPr>
                <w:rFonts w:ascii="宋体" w:hAnsi="宋体" w:eastAsia="宋体" w:cs="宋体"/>
                <w:spacing w:val="-11"/>
              </w:rPr>
              <w:t>喻家沟村</w:t>
            </w:r>
          </w:p>
        </w:tc>
        <w:tc>
          <w:tcPr>
            <w:tcW w:w="991" w:type="dxa"/>
            <w:vAlign w:val="top"/>
          </w:tcPr>
          <w:p w14:paraId="5955BB1E">
            <w:pPr>
              <w:pStyle w:val="6"/>
              <w:spacing w:before="110" w:line="188" w:lineRule="auto"/>
              <w:ind w:left="42"/>
            </w:pPr>
            <w:r>
              <w:rPr>
                <w:spacing w:val="-8"/>
              </w:rPr>
              <w:t>105.326193</w:t>
            </w:r>
          </w:p>
        </w:tc>
        <w:tc>
          <w:tcPr>
            <w:tcW w:w="848" w:type="dxa"/>
            <w:vAlign w:val="top"/>
          </w:tcPr>
          <w:p w14:paraId="77FDDB58">
            <w:pPr>
              <w:pStyle w:val="6"/>
              <w:spacing w:before="110" w:line="188" w:lineRule="auto"/>
              <w:jc w:val="right"/>
            </w:pPr>
            <w:r>
              <w:rPr>
                <w:spacing w:val="-6"/>
              </w:rPr>
              <w:t>29.686227</w:t>
            </w:r>
          </w:p>
        </w:tc>
        <w:tc>
          <w:tcPr>
            <w:tcW w:w="567" w:type="dxa"/>
            <w:vAlign w:val="top"/>
          </w:tcPr>
          <w:p w14:paraId="5BF5EDD1">
            <w:pPr>
              <w:spacing w:before="74"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38128288">
            <w:pPr>
              <w:pStyle w:val="6"/>
              <w:spacing w:before="75" w:line="220" w:lineRule="auto"/>
              <w:jc w:val="right"/>
              <w:rPr>
                <w:rFonts w:ascii="宋体" w:hAnsi="宋体" w:eastAsia="宋体" w:cs="宋体"/>
              </w:rPr>
            </w:pPr>
            <w:r>
              <w:rPr>
                <w:rFonts w:ascii="宋体" w:hAnsi="宋体" w:eastAsia="宋体" w:cs="宋体"/>
                <w:spacing w:val="-7"/>
              </w:rPr>
              <w:t>约</w:t>
            </w:r>
            <w:r>
              <w:rPr>
                <w:rFonts w:ascii="宋体" w:hAnsi="宋体" w:eastAsia="宋体" w:cs="宋体"/>
                <w:spacing w:val="-41"/>
              </w:rPr>
              <w:t xml:space="preserve"> </w:t>
            </w:r>
            <w:r>
              <w:rPr>
                <w:spacing w:val="-7"/>
              </w:rPr>
              <w:t>370</w:t>
            </w:r>
            <w:r>
              <w:rPr>
                <w:spacing w:val="10"/>
              </w:rPr>
              <w:t xml:space="preserve"> </w:t>
            </w:r>
            <w:r>
              <w:rPr>
                <w:rFonts w:ascii="宋体" w:hAnsi="宋体" w:eastAsia="宋体" w:cs="宋体"/>
                <w:spacing w:val="-7"/>
              </w:rPr>
              <w:t>户</w:t>
            </w:r>
          </w:p>
        </w:tc>
        <w:tc>
          <w:tcPr>
            <w:tcW w:w="1132" w:type="dxa"/>
            <w:vMerge w:val="restart"/>
            <w:tcBorders>
              <w:bottom w:val="nil"/>
            </w:tcBorders>
            <w:vAlign w:val="top"/>
          </w:tcPr>
          <w:p w14:paraId="25E256C6">
            <w:pPr>
              <w:spacing w:line="334" w:lineRule="auto"/>
              <w:rPr>
                <w:rFonts w:ascii="Arial"/>
                <w:sz w:val="21"/>
              </w:rPr>
            </w:pPr>
          </w:p>
          <w:p w14:paraId="6CA3DE2F">
            <w:pPr>
              <w:spacing w:line="335" w:lineRule="auto"/>
              <w:rPr>
                <w:rFonts w:ascii="Arial"/>
                <w:sz w:val="21"/>
              </w:rPr>
            </w:pPr>
          </w:p>
          <w:p w14:paraId="74698F57">
            <w:pPr>
              <w:spacing w:before="68" w:line="220" w:lineRule="auto"/>
              <w:ind w:left="43"/>
              <w:rPr>
                <w:rFonts w:ascii="宋体" w:hAnsi="宋体" w:eastAsia="宋体" w:cs="宋体"/>
                <w:sz w:val="21"/>
                <w:szCs w:val="21"/>
              </w:rPr>
            </w:pPr>
            <w:r>
              <w:rPr>
                <w:rFonts w:ascii="宋体" w:hAnsi="宋体" w:eastAsia="宋体" w:cs="宋体"/>
                <w:spacing w:val="-4"/>
                <w:sz w:val="21"/>
                <w:szCs w:val="21"/>
              </w:rPr>
              <w:t>《环境空气</w:t>
            </w:r>
          </w:p>
          <w:p w14:paraId="3D248E44">
            <w:pPr>
              <w:spacing w:before="61" w:line="220" w:lineRule="auto"/>
              <w:jc w:val="right"/>
              <w:rPr>
                <w:rFonts w:ascii="宋体" w:hAnsi="宋体" w:eastAsia="宋体" w:cs="宋体"/>
                <w:sz w:val="21"/>
                <w:szCs w:val="21"/>
              </w:rPr>
            </w:pPr>
            <w:r>
              <w:rPr>
                <w:rFonts w:ascii="宋体" w:hAnsi="宋体" w:eastAsia="宋体" w:cs="宋体"/>
                <w:spacing w:val="-4"/>
                <w:sz w:val="21"/>
                <w:szCs w:val="21"/>
              </w:rPr>
              <w:t>质量标准》</w:t>
            </w:r>
          </w:p>
          <w:p w14:paraId="64396456">
            <w:pPr>
              <w:pStyle w:val="6"/>
              <w:spacing w:before="60" w:line="233" w:lineRule="auto"/>
              <w:ind w:left="78"/>
            </w:pPr>
            <w:r>
              <w:rPr>
                <w:rFonts w:ascii="宋体" w:hAnsi="宋体" w:eastAsia="宋体" w:cs="宋体"/>
                <w:spacing w:val="-1"/>
              </w:rPr>
              <w:t>（</w:t>
            </w:r>
            <w:r>
              <w:rPr>
                <w:spacing w:val="-1"/>
              </w:rPr>
              <w:t>GB3095-</w:t>
            </w:r>
          </w:p>
          <w:p w14:paraId="1B65448E">
            <w:pPr>
              <w:pStyle w:val="6"/>
              <w:spacing w:before="48" w:line="220" w:lineRule="auto"/>
              <w:ind w:left="144"/>
              <w:rPr>
                <w:rFonts w:ascii="宋体" w:hAnsi="宋体" w:eastAsia="宋体" w:cs="宋体"/>
              </w:rPr>
            </w:pPr>
            <w:r>
              <w:rPr>
                <w:spacing w:val="-3"/>
              </w:rPr>
              <w:t>2012</w:t>
            </w:r>
            <w:r>
              <w:rPr>
                <w:rFonts w:ascii="宋体" w:hAnsi="宋体" w:eastAsia="宋体" w:cs="宋体"/>
                <w:spacing w:val="-3"/>
              </w:rPr>
              <w:t>）中</w:t>
            </w:r>
          </w:p>
          <w:p w14:paraId="141D5BE8">
            <w:pPr>
              <w:spacing w:before="60" w:line="220" w:lineRule="auto"/>
              <w:ind w:left="255"/>
              <w:rPr>
                <w:rFonts w:ascii="宋体" w:hAnsi="宋体" w:eastAsia="宋体" w:cs="宋体"/>
                <w:sz w:val="21"/>
                <w:szCs w:val="21"/>
              </w:rPr>
            </w:pPr>
            <w:r>
              <w:rPr>
                <w:rFonts w:ascii="宋体" w:hAnsi="宋体" w:eastAsia="宋体" w:cs="宋体"/>
                <w:spacing w:val="-3"/>
                <w:sz w:val="21"/>
                <w:szCs w:val="21"/>
              </w:rPr>
              <w:t>二类区</w:t>
            </w:r>
          </w:p>
        </w:tc>
        <w:tc>
          <w:tcPr>
            <w:tcW w:w="707" w:type="dxa"/>
            <w:vAlign w:val="top"/>
          </w:tcPr>
          <w:p w14:paraId="398B44E8">
            <w:pPr>
              <w:pStyle w:val="6"/>
              <w:spacing w:before="113" w:line="185" w:lineRule="auto"/>
              <w:ind w:left="176"/>
            </w:pPr>
            <w:r>
              <w:rPr>
                <w:spacing w:val="-1"/>
              </w:rPr>
              <w:t>NW</w:t>
            </w:r>
          </w:p>
        </w:tc>
        <w:tc>
          <w:tcPr>
            <w:tcW w:w="955" w:type="dxa"/>
            <w:vAlign w:val="top"/>
          </w:tcPr>
          <w:p w14:paraId="2461AF7E">
            <w:pPr>
              <w:pStyle w:val="6"/>
              <w:spacing w:before="110" w:line="188" w:lineRule="auto"/>
              <w:ind w:left="130"/>
            </w:pPr>
            <w:r>
              <w:rPr>
                <w:spacing w:val="-6"/>
              </w:rPr>
              <w:t>38~2500</w:t>
            </w:r>
          </w:p>
        </w:tc>
        <w:tc>
          <w:tcPr>
            <w:tcW w:w="721" w:type="dxa"/>
            <w:vAlign w:val="top"/>
          </w:tcPr>
          <w:p w14:paraId="2181B237">
            <w:pPr>
              <w:pStyle w:val="6"/>
              <w:spacing w:before="110" w:line="188" w:lineRule="auto"/>
              <w:jc w:val="right"/>
            </w:pPr>
            <w:r>
              <w:rPr>
                <w:spacing w:val="-7"/>
              </w:rPr>
              <w:t>343~361</w:t>
            </w:r>
          </w:p>
        </w:tc>
      </w:tr>
      <w:tr w14:paraId="45343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bottom w:val="nil"/>
            </w:tcBorders>
            <w:vAlign w:val="top"/>
          </w:tcPr>
          <w:p w14:paraId="72833A8F">
            <w:pPr>
              <w:rPr>
                <w:rFonts w:ascii="Arial"/>
                <w:sz w:val="21"/>
              </w:rPr>
            </w:pPr>
          </w:p>
        </w:tc>
        <w:tc>
          <w:tcPr>
            <w:tcW w:w="1128" w:type="dxa"/>
            <w:gridSpan w:val="2"/>
            <w:vAlign w:val="top"/>
          </w:tcPr>
          <w:p w14:paraId="3A61FD4E">
            <w:pPr>
              <w:pStyle w:val="6"/>
              <w:spacing w:before="72" w:line="219" w:lineRule="auto"/>
              <w:ind w:left="63"/>
              <w:rPr>
                <w:rFonts w:ascii="宋体" w:hAnsi="宋体" w:eastAsia="宋体" w:cs="宋体"/>
              </w:rPr>
            </w:pPr>
            <w:r>
              <w:rPr>
                <w:spacing w:val="-7"/>
              </w:rPr>
              <w:t>2#</w:t>
            </w:r>
            <w:r>
              <w:rPr>
                <w:rFonts w:ascii="宋体" w:hAnsi="宋体" w:eastAsia="宋体" w:cs="宋体"/>
                <w:spacing w:val="-7"/>
              </w:rPr>
              <w:t>观音溪村</w:t>
            </w:r>
          </w:p>
        </w:tc>
        <w:tc>
          <w:tcPr>
            <w:tcW w:w="991" w:type="dxa"/>
            <w:vAlign w:val="top"/>
          </w:tcPr>
          <w:p w14:paraId="71061BC1">
            <w:pPr>
              <w:pStyle w:val="6"/>
              <w:spacing w:before="109" w:line="188" w:lineRule="auto"/>
              <w:ind w:left="42"/>
            </w:pPr>
            <w:r>
              <w:rPr>
                <w:spacing w:val="-8"/>
              </w:rPr>
              <w:t>105.343907</w:t>
            </w:r>
          </w:p>
        </w:tc>
        <w:tc>
          <w:tcPr>
            <w:tcW w:w="848" w:type="dxa"/>
            <w:vAlign w:val="top"/>
          </w:tcPr>
          <w:p w14:paraId="6C30A379">
            <w:pPr>
              <w:pStyle w:val="6"/>
              <w:spacing w:before="109" w:line="188" w:lineRule="auto"/>
              <w:jc w:val="right"/>
            </w:pPr>
            <w:r>
              <w:rPr>
                <w:spacing w:val="-6"/>
              </w:rPr>
              <w:t>29.685948</w:t>
            </w:r>
          </w:p>
        </w:tc>
        <w:tc>
          <w:tcPr>
            <w:tcW w:w="567" w:type="dxa"/>
            <w:vAlign w:val="top"/>
          </w:tcPr>
          <w:p w14:paraId="4EA9CB7A">
            <w:pPr>
              <w:spacing w:before="72"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00A122AF">
            <w:pPr>
              <w:pStyle w:val="6"/>
              <w:spacing w:before="74" w:line="220" w:lineRule="auto"/>
              <w:jc w:val="right"/>
              <w:rPr>
                <w:rFonts w:ascii="宋体" w:hAnsi="宋体" w:eastAsia="宋体" w:cs="宋体"/>
              </w:rPr>
            </w:pPr>
            <w:r>
              <w:rPr>
                <w:rFonts w:ascii="宋体" w:hAnsi="宋体" w:eastAsia="宋体" w:cs="宋体"/>
                <w:spacing w:val="-10"/>
              </w:rPr>
              <w:t>约</w:t>
            </w:r>
            <w:r>
              <w:rPr>
                <w:rFonts w:ascii="宋体" w:hAnsi="宋体" w:eastAsia="宋体" w:cs="宋体"/>
                <w:spacing w:val="-26"/>
              </w:rPr>
              <w:t xml:space="preserve"> </w:t>
            </w:r>
            <w:r>
              <w:rPr>
                <w:spacing w:val="-10"/>
              </w:rPr>
              <w:t>195</w:t>
            </w:r>
            <w:r>
              <w:rPr>
                <w:spacing w:val="10"/>
              </w:rPr>
              <w:t xml:space="preserve"> </w:t>
            </w:r>
            <w:r>
              <w:rPr>
                <w:rFonts w:ascii="宋体" w:hAnsi="宋体" w:eastAsia="宋体" w:cs="宋体"/>
                <w:spacing w:val="-10"/>
              </w:rPr>
              <w:t>户</w:t>
            </w:r>
          </w:p>
        </w:tc>
        <w:tc>
          <w:tcPr>
            <w:tcW w:w="1132" w:type="dxa"/>
            <w:vMerge w:val="continue"/>
            <w:tcBorders>
              <w:top w:val="nil"/>
              <w:bottom w:val="nil"/>
            </w:tcBorders>
            <w:vAlign w:val="top"/>
          </w:tcPr>
          <w:p w14:paraId="5CF6A889">
            <w:pPr>
              <w:rPr>
                <w:rFonts w:ascii="Arial"/>
                <w:sz w:val="21"/>
              </w:rPr>
            </w:pPr>
          </w:p>
        </w:tc>
        <w:tc>
          <w:tcPr>
            <w:tcW w:w="707" w:type="dxa"/>
            <w:vAlign w:val="top"/>
          </w:tcPr>
          <w:p w14:paraId="2FB1E9EB">
            <w:pPr>
              <w:pStyle w:val="6"/>
              <w:spacing w:before="112" w:line="185" w:lineRule="auto"/>
              <w:ind w:left="272"/>
            </w:pPr>
            <w:r>
              <w:rPr>
                <w:spacing w:val="2"/>
              </w:rPr>
              <w:t>N</w:t>
            </w:r>
          </w:p>
        </w:tc>
        <w:tc>
          <w:tcPr>
            <w:tcW w:w="955" w:type="dxa"/>
            <w:vAlign w:val="top"/>
          </w:tcPr>
          <w:p w14:paraId="4F5D489D">
            <w:pPr>
              <w:pStyle w:val="6"/>
              <w:spacing w:before="109" w:line="188" w:lineRule="auto"/>
              <w:ind w:left="126"/>
            </w:pPr>
            <w:r>
              <w:rPr>
                <w:spacing w:val="-5"/>
              </w:rPr>
              <w:t>218~700</w:t>
            </w:r>
          </w:p>
        </w:tc>
        <w:tc>
          <w:tcPr>
            <w:tcW w:w="721" w:type="dxa"/>
            <w:vAlign w:val="top"/>
          </w:tcPr>
          <w:p w14:paraId="65C6DD21">
            <w:pPr>
              <w:pStyle w:val="6"/>
              <w:spacing w:before="109" w:line="188" w:lineRule="auto"/>
              <w:jc w:val="right"/>
            </w:pPr>
            <w:r>
              <w:rPr>
                <w:spacing w:val="-7"/>
              </w:rPr>
              <w:t>338~356</w:t>
            </w:r>
          </w:p>
        </w:tc>
      </w:tr>
      <w:tr w14:paraId="62F40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bottom w:val="nil"/>
            </w:tcBorders>
            <w:vAlign w:val="top"/>
          </w:tcPr>
          <w:p w14:paraId="49AADF0B">
            <w:pPr>
              <w:rPr>
                <w:rFonts w:ascii="Arial"/>
                <w:sz w:val="21"/>
              </w:rPr>
            </w:pPr>
          </w:p>
        </w:tc>
        <w:tc>
          <w:tcPr>
            <w:tcW w:w="1128" w:type="dxa"/>
            <w:gridSpan w:val="2"/>
            <w:vAlign w:val="top"/>
          </w:tcPr>
          <w:p w14:paraId="30B5DFD2">
            <w:pPr>
              <w:pStyle w:val="6"/>
              <w:spacing w:before="73" w:line="219" w:lineRule="auto"/>
              <w:ind w:left="67"/>
              <w:rPr>
                <w:rFonts w:ascii="宋体" w:hAnsi="宋体" w:eastAsia="宋体" w:cs="宋体"/>
              </w:rPr>
            </w:pPr>
            <w:r>
              <w:rPr>
                <w:spacing w:val="-8"/>
              </w:rPr>
              <w:t>3#</w:t>
            </w:r>
            <w:r>
              <w:rPr>
                <w:rFonts w:ascii="宋体" w:hAnsi="宋体" w:eastAsia="宋体" w:cs="宋体"/>
                <w:spacing w:val="-8"/>
              </w:rPr>
              <w:t>诸古寺村</w:t>
            </w:r>
          </w:p>
        </w:tc>
        <w:tc>
          <w:tcPr>
            <w:tcW w:w="991" w:type="dxa"/>
            <w:vAlign w:val="top"/>
          </w:tcPr>
          <w:p w14:paraId="0F341480">
            <w:pPr>
              <w:pStyle w:val="6"/>
              <w:spacing w:before="109" w:line="188" w:lineRule="auto"/>
              <w:ind w:left="42"/>
            </w:pPr>
            <w:r>
              <w:rPr>
                <w:spacing w:val="-8"/>
              </w:rPr>
              <w:t>105.346342</w:t>
            </w:r>
          </w:p>
        </w:tc>
        <w:tc>
          <w:tcPr>
            <w:tcW w:w="848" w:type="dxa"/>
            <w:vAlign w:val="top"/>
          </w:tcPr>
          <w:p w14:paraId="525869F8">
            <w:pPr>
              <w:pStyle w:val="6"/>
              <w:spacing w:before="109" w:line="188" w:lineRule="auto"/>
              <w:jc w:val="right"/>
            </w:pPr>
            <w:r>
              <w:rPr>
                <w:spacing w:val="-6"/>
              </w:rPr>
              <w:t>29.694809</w:t>
            </w:r>
          </w:p>
        </w:tc>
        <w:tc>
          <w:tcPr>
            <w:tcW w:w="567" w:type="dxa"/>
            <w:vAlign w:val="top"/>
          </w:tcPr>
          <w:p w14:paraId="38F5905D">
            <w:pPr>
              <w:spacing w:before="74"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10745570">
            <w:pPr>
              <w:pStyle w:val="6"/>
              <w:spacing w:before="74" w:line="220" w:lineRule="auto"/>
              <w:jc w:val="right"/>
              <w:rPr>
                <w:rFonts w:ascii="宋体" w:hAnsi="宋体" w:eastAsia="宋体" w:cs="宋体"/>
              </w:rPr>
            </w:pPr>
            <w:r>
              <w:rPr>
                <w:rFonts w:ascii="宋体" w:hAnsi="宋体" w:eastAsia="宋体" w:cs="宋体"/>
                <w:spacing w:val="-7"/>
              </w:rPr>
              <w:t>约</w:t>
            </w:r>
            <w:r>
              <w:rPr>
                <w:rFonts w:ascii="宋体" w:hAnsi="宋体" w:eastAsia="宋体" w:cs="宋体"/>
                <w:spacing w:val="-41"/>
              </w:rPr>
              <w:t xml:space="preserve"> </w:t>
            </w:r>
            <w:r>
              <w:rPr>
                <w:spacing w:val="-7"/>
              </w:rPr>
              <w:t>305</w:t>
            </w:r>
            <w:r>
              <w:rPr>
                <w:spacing w:val="10"/>
              </w:rPr>
              <w:t xml:space="preserve"> </w:t>
            </w:r>
            <w:r>
              <w:rPr>
                <w:rFonts w:ascii="宋体" w:hAnsi="宋体" w:eastAsia="宋体" w:cs="宋体"/>
                <w:spacing w:val="-7"/>
              </w:rPr>
              <w:t>户</w:t>
            </w:r>
          </w:p>
        </w:tc>
        <w:tc>
          <w:tcPr>
            <w:tcW w:w="1132" w:type="dxa"/>
            <w:vMerge w:val="continue"/>
            <w:tcBorders>
              <w:top w:val="nil"/>
              <w:bottom w:val="nil"/>
            </w:tcBorders>
            <w:vAlign w:val="top"/>
          </w:tcPr>
          <w:p w14:paraId="779EE2F6">
            <w:pPr>
              <w:rPr>
                <w:rFonts w:ascii="Arial"/>
                <w:sz w:val="21"/>
              </w:rPr>
            </w:pPr>
          </w:p>
        </w:tc>
        <w:tc>
          <w:tcPr>
            <w:tcW w:w="707" w:type="dxa"/>
            <w:vAlign w:val="top"/>
          </w:tcPr>
          <w:p w14:paraId="11AD3A84">
            <w:pPr>
              <w:pStyle w:val="6"/>
              <w:spacing w:before="112" w:line="185" w:lineRule="auto"/>
              <w:ind w:left="272"/>
            </w:pPr>
            <w:r>
              <w:rPr>
                <w:spacing w:val="2"/>
              </w:rPr>
              <w:t>N</w:t>
            </w:r>
          </w:p>
        </w:tc>
        <w:tc>
          <w:tcPr>
            <w:tcW w:w="955" w:type="dxa"/>
            <w:vAlign w:val="top"/>
          </w:tcPr>
          <w:p w14:paraId="2BB5ED6D">
            <w:pPr>
              <w:pStyle w:val="6"/>
              <w:spacing w:before="109" w:line="188" w:lineRule="auto"/>
              <w:ind w:left="85"/>
            </w:pPr>
            <w:r>
              <w:rPr>
                <w:spacing w:val="-7"/>
              </w:rPr>
              <w:t>815~2400</w:t>
            </w:r>
          </w:p>
        </w:tc>
        <w:tc>
          <w:tcPr>
            <w:tcW w:w="721" w:type="dxa"/>
            <w:vAlign w:val="top"/>
          </w:tcPr>
          <w:p w14:paraId="631C7F26">
            <w:pPr>
              <w:pStyle w:val="6"/>
              <w:spacing w:before="109" w:line="188" w:lineRule="auto"/>
              <w:jc w:val="right"/>
            </w:pPr>
            <w:r>
              <w:rPr>
                <w:spacing w:val="-7"/>
              </w:rPr>
              <w:t>337~341</w:t>
            </w:r>
          </w:p>
        </w:tc>
      </w:tr>
      <w:tr w14:paraId="5CC15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2" w:type="dxa"/>
            <w:vMerge w:val="continue"/>
            <w:tcBorders>
              <w:top w:val="nil"/>
              <w:bottom w:val="nil"/>
            </w:tcBorders>
            <w:vAlign w:val="top"/>
          </w:tcPr>
          <w:p w14:paraId="04B219DC">
            <w:pPr>
              <w:rPr>
                <w:rFonts w:ascii="Arial"/>
                <w:sz w:val="21"/>
              </w:rPr>
            </w:pPr>
          </w:p>
        </w:tc>
        <w:tc>
          <w:tcPr>
            <w:tcW w:w="1128" w:type="dxa"/>
            <w:gridSpan w:val="2"/>
            <w:vAlign w:val="top"/>
          </w:tcPr>
          <w:p w14:paraId="62BC59D9">
            <w:pPr>
              <w:pStyle w:val="6"/>
              <w:spacing w:before="74" w:line="219" w:lineRule="auto"/>
              <w:ind w:left="161"/>
              <w:rPr>
                <w:rFonts w:ascii="宋体" w:hAnsi="宋体" w:eastAsia="宋体" w:cs="宋体"/>
              </w:rPr>
            </w:pPr>
            <w:r>
              <w:rPr>
                <w:spacing w:val="-6"/>
              </w:rPr>
              <w:t>4#</w:t>
            </w:r>
            <w:r>
              <w:rPr>
                <w:rFonts w:ascii="宋体" w:hAnsi="宋体" w:eastAsia="宋体" w:cs="宋体"/>
                <w:spacing w:val="-6"/>
              </w:rPr>
              <w:t>临江村</w:t>
            </w:r>
          </w:p>
        </w:tc>
        <w:tc>
          <w:tcPr>
            <w:tcW w:w="991" w:type="dxa"/>
            <w:vAlign w:val="top"/>
          </w:tcPr>
          <w:p w14:paraId="4942AB67">
            <w:pPr>
              <w:pStyle w:val="6"/>
              <w:spacing w:before="111" w:line="188" w:lineRule="auto"/>
              <w:ind w:left="42"/>
            </w:pPr>
            <w:r>
              <w:rPr>
                <w:spacing w:val="-8"/>
              </w:rPr>
              <w:t>105.360676</w:t>
            </w:r>
          </w:p>
        </w:tc>
        <w:tc>
          <w:tcPr>
            <w:tcW w:w="848" w:type="dxa"/>
            <w:vAlign w:val="top"/>
          </w:tcPr>
          <w:p w14:paraId="3AA8C72C">
            <w:pPr>
              <w:pStyle w:val="6"/>
              <w:spacing w:before="111" w:line="188" w:lineRule="auto"/>
              <w:jc w:val="right"/>
            </w:pPr>
            <w:r>
              <w:rPr>
                <w:spacing w:val="-6"/>
              </w:rPr>
              <w:t>29.692471</w:t>
            </w:r>
          </w:p>
        </w:tc>
        <w:tc>
          <w:tcPr>
            <w:tcW w:w="567" w:type="dxa"/>
            <w:vAlign w:val="top"/>
          </w:tcPr>
          <w:p w14:paraId="2B8FEE7D">
            <w:pPr>
              <w:spacing w:before="74"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2D824132">
            <w:pPr>
              <w:pStyle w:val="6"/>
              <w:spacing w:before="76" w:line="220" w:lineRule="auto"/>
              <w:jc w:val="right"/>
              <w:rPr>
                <w:rFonts w:ascii="宋体" w:hAnsi="宋体" w:eastAsia="宋体" w:cs="宋体"/>
              </w:rPr>
            </w:pPr>
            <w:r>
              <w:rPr>
                <w:rFonts w:ascii="宋体" w:hAnsi="宋体" w:eastAsia="宋体" w:cs="宋体"/>
                <w:spacing w:val="-6"/>
              </w:rPr>
              <w:t>约</w:t>
            </w:r>
            <w:r>
              <w:rPr>
                <w:rFonts w:ascii="宋体" w:hAnsi="宋体" w:eastAsia="宋体" w:cs="宋体"/>
                <w:spacing w:val="-46"/>
              </w:rPr>
              <w:t xml:space="preserve"> </w:t>
            </w:r>
            <w:r>
              <w:rPr>
                <w:spacing w:val="-6"/>
              </w:rPr>
              <w:t>290</w:t>
            </w:r>
            <w:r>
              <w:rPr>
                <w:spacing w:val="10"/>
              </w:rPr>
              <w:t xml:space="preserve"> </w:t>
            </w:r>
            <w:r>
              <w:rPr>
                <w:rFonts w:ascii="宋体" w:hAnsi="宋体" w:eastAsia="宋体" w:cs="宋体"/>
                <w:spacing w:val="-6"/>
              </w:rPr>
              <w:t>户</w:t>
            </w:r>
          </w:p>
        </w:tc>
        <w:tc>
          <w:tcPr>
            <w:tcW w:w="1132" w:type="dxa"/>
            <w:vMerge w:val="continue"/>
            <w:tcBorders>
              <w:top w:val="nil"/>
              <w:bottom w:val="nil"/>
            </w:tcBorders>
            <w:vAlign w:val="top"/>
          </w:tcPr>
          <w:p w14:paraId="212DC9D7">
            <w:pPr>
              <w:rPr>
                <w:rFonts w:ascii="Arial"/>
                <w:sz w:val="21"/>
              </w:rPr>
            </w:pPr>
          </w:p>
        </w:tc>
        <w:tc>
          <w:tcPr>
            <w:tcW w:w="707" w:type="dxa"/>
            <w:vAlign w:val="top"/>
          </w:tcPr>
          <w:p w14:paraId="04C0551B">
            <w:pPr>
              <w:pStyle w:val="6"/>
              <w:spacing w:before="114" w:line="185" w:lineRule="auto"/>
              <w:ind w:left="211"/>
            </w:pPr>
            <w:r>
              <w:rPr>
                <w:spacing w:val="-1"/>
              </w:rPr>
              <w:t>NE</w:t>
            </w:r>
          </w:p>
        </w:tc>
        <w:tc>
          <w:tcPr>
            <w:tcW w:w="955" w:type="dxa"/>
            <w:vAlign w:val="top"/>
          </w:tcPr>
          <w:p w14:paraId="24E632F7">
            <w:pPr>
              <w:pStyle w:val="6"/>
              <w:spacing w:before="111" w:line="188" w:lineRule="auto"/>
              <w:ind w:left="48"/>
            </w:pPr>
            <w:r>
              <w:rPr>
                <w:spacing w:val="-8"/>
              </w:rPr>
              <w:t>1508~2500</w:t>
            </w:r>
          </w:p>
        </w:tc>
        <w:tc>
          <w:tcPr>
            <w:tcW w:w="721" w:type="dxa"/>
            <w:vAlign w:val="top"/>
          </w:tcPr>
          <w:p w14:paraId="4A8CF423">
            <w:pPr>
              <w:pStyle w:val="6"/>
              <w:spacing w:before="111" w:line="188" w:lineRule="auto"/>
              <w:jc w:val="right"/>
            </w:pPr>
            <w:r>
              <w:rPr>
                <w:spacing w:val="-7"/>
              </w:rPr>
              <w:t>336~362</w:t>
            </w:r>
          </w:p>
        </w:tc>
      </w:tr>
      <w:tr w14:paraId="6A87F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bottom w:val="nil"/>
            </w:tcBorders>
            <w:vAlign w:val="top"/>
          </w:tcPr>
          <w:p w14:paraId="60772CD0">
            <w:pPr>
              <w:rPr>
                <w:rFonts w:ascii="Arial"/>
                <w:sz w:val="21"/>
              </w:rPr>
            </w:pPr>
          </w:p>
        </w:tc>
        <w:tc>
          <w:tcPr>
            <w:tcW w:w="1128" w:type="dxa"/>
            <w:gridSpan w:val="2"/>
            <w:vAlign w:val="top"/>
          </w:tcPr>
          <w:p w14:paraId="7CEC7BEE">
            <w:pPr>
              <w:pStyle w:val="6"/>
              <w:spacing w:before="73" w:line="219" w:lineRule="auto"/>
              <w:ind w:left="168"/>
              <w:rPr>
                <w:rFonts w:ascii="宋体" w:hAnsi="宋体" w:eastAsia="宋体" w:cs="宋体"/>
              </w:rPr>
            </w:pPr>
            <w:r>
              <w:rPr>
                <w:spacing w:val="-8"/>
              </w:rPr>
              <w:t>5#</w:t>
            </w:r>
            <w:r>
              <w:rPr>
                <w:rFonts w:ascii="宋体" w:hAnsi="宋体" w:eastAsia="宋体" w:cs="宋体"/>
                <w:spacing w:val="-8"/>
              </w:rPr>
              <w:t>谷嘴村</w:t>
            </w:r>
          </w:p>
        </w:tc>
        <w:tc>
          <w:tcPr>
            <w:tcW w:w="991" w:type="dxa"/>
            <w:vAlign w:val="top"/>
          </w:tcPr>
          <w:p w14:paraId="7DFA846F">
            <w:pPr>
              <w:pStyle w:val="6"/>
              <w:spacing w:before="110" w:line="188" w:lineRule="auto"/>
              <w:ind w:left="42"/>
            </w:pPr>
            <w:r>
              <w:rPr>
                <w:spacing w:val="-8"/>
              </w:rPr>
              <w:t>105.367167</w:t>
            </w:r>
          </w:p>
        </w:tc>
        <w:tc>
          <w:tcPr>
            <w:tcW w:w="848" w:type="dxa"/>
            <w:vAlign w:val="top"/>
          </w:tcPr>
          <w:p w14:paraId="7A5C8D3C">
            <w:pPr>
              <w:pStyle w:val="6"/>
              <w:spacing w:before="110" w:line="188" w:lineRule="auto"/>
              <w:jc w:val="right"/>
            </w:pPr>
            <w:r>
              <w:rPr>
                <w:spacing w:val="-6"/>
              </w:rPr>
              <w:t>29.683437</w:t>
            </w:r>
          </w:p>
        </w:tc>
        <w:tc>
          <w:tcPr>
            <w:tcW w:w="567" w:type="dxa"/>
            <w:vAlign w:val="top"/>
          </w:tcPr>
          <w:p w14:paraId="28CC4DDA">
            <w:pPr>
              <w:spacing w:before="74"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267A5C79">
            <w:pPr>
              <w:pStyle w:val="6"/>
              <w:spacing w:before="75" w:line="220" w:lineRule="auto"/>
              <w:jc w:val="right"/>
              <w:rPr>
                <w:rFonts w:ascii="宋体" w:hAnsi="宋体" w:eastAsia="宋体" w:cs="宋体"/>
              </w:rPr>
            </w:pPr>
            <w:r>
              <w:rPr>
                <w:rFonts w:ascii="宋体" w:hAnsi="宋体" w:eastAsia="宋体" w:cs="宋体"/>
                <w:spacing w:val="-7"/>
              </w:rPr>
              <w:t>约</w:t>
            </w:r>
            <w:r>
              <w:rPr>
                <w:rFonts w:ascii="宋体" w:hAnsi="宋体" w:eastAsia="宋体" w:cs="宋体"/>
                <w:spacing w:val="-41"/>
              </w:rPr>
              <w:t xml:space="preserve"> </w:t>
            </w:r>
            <w:r>
              <w:rPr>
                <w:spacing w:val="-7"/>
              </w:rPr>
              <w:t>350</w:t>
            </w:r>
            <w:r>
              <w:rPr>
                <w:spacing w:val="10"/>
              </w:rPr>
              <w:t xml:space="preserve"> </w:t>
            </w:r>
            <w:r>
              <w:rPr>
                <w:rFonts w:ascii="宋体" w:hAnsi="宋体" w:eastAsia="宋体" w:cs="宋体"/>
                <w:spacing w:val="-7"/>
              </w:rPr>
              <w:t>户</w:t>
            </w:r>
          </w:p>
        </w:tc>
        <w:tc>
          <w:tcPr>
            <w:tcW w:w="1132" w:type="dxa"/>
            <w:vMerge w:val="continue"/>
            <w:tcBorders>
              <w:top w:val="nil"/>
              <w:bottom w:val="nil"/>
            </w:tcBorders>
            <w:vAlign w:val="top"/>
          </w:tcPr>
          <w:p w14:paraId="21D70F1D">
            <w:pPr>
              <w:rPr>
                <w:rFonts w:ascii="Arial"/>
                <w:sz w:val="21"/>
              </w:rPr>
            </w:pPr>
          </w:p>
        </w:tc>
        <w:tc>
          <w:tcPr>
            <w:tcW w:w="707" w:type="dxa"/>
            <w:vAlign w:val="top"/>
          </w:tcPr>
          <w:p w14:paraId="5D8F74AB">
            <w:pPr>
              <w:pStyle w:val="6"/>
              <w:spacing w:before="113" w:line="185" w:lineRule="auto"/>
              <w:ind w:left="211"/>
            </w:pPr>
            <w:r>
              <w:rPr>
                <w:spacing w:val="-1"/>
              </w:rPr>
              <w:t>NE</w:t>
            </w:r>
          </w:p>
        </w:tc>
        <w:tc>
          <w:tcPr>
            <w:tcW w:w="955" w:type="dxa"/>
            <w:vAlign w:val="top"/>
          </w:tcPr>
          <w:p w14:paraId="4415BD8F">
            <w:pPr>
              <w:pStyle w:val="6"/>
              <w:spacing w:before="110" w:line="188" w:lineRule="auto"/>
              <w:ind w:left="48"/>
            </w:pPr>
            <w:r>
              <w:rPr>
                <w:spacing w:val="-8"/>
              </w:rPr>
              <w:t>1405~2460</w:t>
            </w:r>
          </w:p>
        </w:tc>
        <w:tc>
          <w:tcPr>
            <w:tcW w:w="721" w:type="dxa"/>
            <w:vAlign w:val="top"/>
          </w:tcPr>
          <w:p w14:paraId="2C6B6832">
            <w:pPr>
              <w:pStyle w:val="6"/>
              <w:spacing w:before="110" w:line="188" w:lineRule="auto"/>
              <w:jc w:val="right"/>
            </w:pPr>
            <w:r>
              <w:rPr>
                <w:spacing w:val="-7"/>
              </w:rPr>
              <w:t>337~363</w:t>
            </w:r>
          </w:p>
        </w:tc>
      </w:tr>
      <w:tr w14:paraId="49E8F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bottom w:val="nil"/>
            </w:tcBorders>
            <w:vAlign w:val="top"/>
          </w:tcPr>
          <w:p w14:paraId="71DA2D2E">
            <w:pPr>
              <w:rPr>
                <w:rFonts w:ascii="Arial"/>
                <w:sz w:val="21"/>
              </w:rPr>
            </w:pPr>
          </w:p>
        </w:tc>
        <w:tc>
          <w:tcPr>
            <w:tcW w:w="1128" w:type="dxa"/>
            <w:gridSpan w:val="2"/>
            <w:vAlign w:val="top"/>
          </w:tcPr>
          <w:p w14:paraId="55D2F4DE">
            <w:pPr>
              <w:pStyle w:val="6"/>
              <w:spacing w:before="75" w:line="219" w:lineRule="auto"/>
              <w:ind w:left="167"/>
              <w:rPr>
                <w:rFonts w:ascii="宋体" w:hAnsi="宋体" w:eastAsia="宋体" w:cs="宋体"/>
              </w:rPr>
            </w:pPr>
            <w:r>
              <w:rPr>
                <w:spacing w:val="-7"/>
              </w:rPr>
              <w:t>6#</w:t>
            </w:r>
            <w:r>
              <w:rPr>
                <w:rFonts w:ascii="宋体" w:hAnsi="宋体" w:eastAsia="宋体" w:cs="宋体"/>
                <w:spacing w:val="-7"/>
              </w:rPr>
              <w:t>太和村</w:t>
            </w:r>
          </w:p>
        </w:tc>
        <w:tc>
          <w:tcPr>
            <w:tcW w:w="991" w:type="dxa"/>
            <w:vAlign w:val="top"/>
          </w:tcPr>
          <w:p w14:paraId="2BE0E112">
            <w:pPr>
              <w:pStyle w:val="6"/>
              <w:spacing w:before="110" w:line="188" w:lineRule="auto"/>
              <w:ind w:left="42"/>
            </w:pPr>
            <w:r>
              <w:rPr>
                <w:spacing w:val="-8"/>
              </w:rPr>
              <w:t>105.372703</w:t>
            </w:r>
          </w:p>
        </w:tc>
        <w:tc>
          <w:tcPr>
            <w:tcW w:w="848" w:type="dxa"/>
            <w:vAlign w:val="top"/>
          </w:tcPr>
          <w:p w14:paraId="2DBE1A9B">
            <w:pPr>
              <w:pStyle w:val="6"/>
              <w:spacing w:before="110" w:line="188" w:lineRule="auto"/>
              <w:jc w:val="right"/>
            </w:pPr>
            <w:r>
              <w:rPr>
                <w:spacing w:val="-6"/>
              </w:rPr>
              <w:t>29.666378</w:t>
            </w:r>
          </w:p>
        </w:tc>
        <w:tc>
          <w:tcPr>
            <w:tcW w:w="567" w:type="dxa"/>
            <w:vAlign w:val="top"/>
          </w:tcPr>
          <w:p w14:paraId="2BAB108F">
            <w:pPr>
              <w:spacing w:before="75"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5909C889">
            <w:pPr>
              <w:pStyle w:val="6"/>
              <w:spacing w:before="75" w:line="220" w:lineRule="auto"/>
              <w:jc w:val="right"/>
              <w:rPr>
                <w:rFonts w:ascii="宋体" w:hAnsi="宋体" w:eastAsia="宋体" w:cs="宋体"/>
              </w:rPr>
            </w:pPr>
            <w:r>
              <w:rPr>
                <w:rFonts w:ascii="宋体" w:hAnsi="宋体" w:eastAsia="宋体" w:cs="宋体"/>
                <w:spacing w:val="-6"/>
              </w:rPr>
              <w:t>约</w:t>
            </w:r>
            <w:r>
              <w:rPr>
                <w:rFonts w:ascii="宋体" w:hAnsi="宋体" w:eastAsia="宋体" w:cs="宋体"/>
                <w:spacing w:val="-46"/>
              </w:rPr>
              <w:t xml:space="preserve"> </w:t>
            </w:r>
            <w:r>
              <w:rPr>
                <w:spacing w:val="-6"/>
              </w:rPr>
              <w:t>280</w:t>
            </w:r>
            <w:r>
              <w:rPr>
                <w:spacing w:val="10"/>
              </w:rPr>
              <w:t xml:space="preserve"> </w:t>
            </w:r>
            <w:r>
              <w:rPr>
                <w:rFonts w:ascii="宋体" w:hAnsi="宋体" w:eastAsia="宋体" w:cs="宋体"/>
                <w:spacing w:val="-6"/>
              </w:rPr>
              <w:t>户</w:t>
            </w:r>
          </w:p>
        </w:tc>
        <w:tc>
          <w:tcPr>
            <w:tcW w:w="1132" w:type="dxa"/>
            <w:vMerge w:val="continue"/>
            <w:tcBorders>
              <w:top w:val="nil"/>
              <w:bottom w:val="nil"/>
            </w:tcBorders>
            <w:vAlign w:val="top"/>
          </w:tcPr>
          <w:p w14:paraId="6EFCD167">
            <w:pPr>
              <w:rPr>
                <w:rFonts w:ascii="Arial"/>
                <w:sz w:val="21"/>
              </w:rPr>
            </w:pPr>
          </w:p>
        </w:tc>
        <w:tc>
          <w:tcPr>
            <w:tcW w:w="707" w:type="dxa"/>
            <w:vAlign w:val="top"/>
          </w:tcPr>
          <w:p w14:paraId="32A24558">
            <w:pPr>
              <w:pStyle w:val="6"/>
              <w:spacing w:before="110" w:line="188" w:lineRule="auto"/>
              <w:ind w:left="245"/>
            </w:pPr>
            <w:r>
              <w:rPr>
                <w:spacing w:val="-5"/>
              </w:rPr>
              <w:t>SE</w:t>
            </w:r>
          </w:p>
        </w:tc>
        <w:tc>
          <w:tcPr>
            <w:tcW w:w="955" w:type="dxa"/>
            <w:vAlign w:val="top"/>
          </w:tcPr>
          <w:p w14:paraId="0414D5FB">
            <w:pPr>
              <w:pStyle w:val="6"/>
              <w:spacing w:before="110" w:line="188" w:lineRule="auto"/>
              <w:ind w:left="74"/>
            </w:pPr>
            <w:r>
              <w:rPr>
                <w:spacing w:val="-5"/>
              </w:rPr>
              <w:t>450~2500</w:t>
            </w:r>
          </w:p>
        </w:tc>
        <w:tc>
          <w:tcPr>
            <w:tcW w:w="721" w:type="dxa"/>
            <w:vAlign w:val="top"/>
          </w:tcPr>
          <w:p w14:paraId="0D46ED05">
            <w:pPr>
              <w:pStyle w:val="6"/>
              <w:spacing w:before="110" w:line="188" w:lineRule="auto"/>
              <w:jc w:val="right"/>
            </w:pPr>
            <w:r>
              <w:rPr>
                <w:spacing w:val="-7"/>
              </w:rPr>
              <w:t>336~349</w:t>
            </w:r>
          </w:p>
        </w:tc>
      </w:tr>
      <w:tr w14:paraId="63F8F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2" w:type="dxa"/>
            <w:vMerge w:val="continue"/>
            <w:tcBorders>
              <w:top w:val="nil"/>
              <w:bottom w:val="nil"/>
            </w:tcBorders>
            <w:vAlign w:val="top"/>
          </w:tcPr>
          <w:p w14:paraId="30E17667">
            <w:pPr>
              <w:rPr>
                <w:rFonts w:ascii="Arial"/>
                <w:sz w:val="21"/>
              </w:rPr>
            </w:pPr>
          </w:p>
        </w:tc>
        <w:tc>
          <w:tcPr>
            <w:tcW w:w="1128" w:type="dxa"/>
            <w:gridSpan w:val="2"/>
            <w:vAlign w:val="top"/>
          </w:tcPr>
          <w:p w14:paraId="18A5C2F7">
            <w:pPr>
              <w:pStyle w:val="6"/>
              <w:spacing w:before="75" w:line="219" w:lineRule="auto"/>
              <w:ind w:left="166"/>
              <w:rPr>
                <w:rFonts w:ascii="宋体" w:hAnsi="宋体" w:eastAsia="宋体" w:cs="宋体"/>
              </w:rPr>
            </w:pPr>
            <w:r>
              <w:rPr>
                <w:spacing w:val="-7"/>
              </w:rPr>
              <w:t>7#</w:t>
            </w:r>
            <w:r>
              <w:rPr>
                <w:rFonts w:ascii="宋体" w:hAnsi="宋体" w:eastAsia="宋体" w:cs="宋体"/>
                <w:spacing w:val="-7"/>
              </w:rPr>
              <w:t>核桃村</w:t>
            </w:r>
          </w:p>
        </w:tc>
        <w:tc>
          <w:tcPr>
            <w:tcW w:w="991" w:type="dxa"/>
            <w:vAlign w:val="top"/>
          </w:tcPr>
          <w:p w14:paraId="6BE6AC0E">
            <w:pPr>
              <w:pStyle w:val="6"/>
              <w:spacing w:before="112" w:line="188" w:lineRule="auto"/>
              <w:ind w:left="42"/>
            </w:pPr>
            <w:r>
              <w:rPr>
                <w:spacing w:val="-8"/>
              </w:rPr>
              <w:t>105.353702</w:t>
            </w:r>
          </w:p>
        </w:tc>
        <w:tc>
          <w:tcPr>
            <w:tcW w:w="848" w:type="dxa"/>
            <w:vAlign w:val="top"/>
          </w:tcPr>
          <w:p w14:paraId="247B8716">
            <w:pPr>
              <w:pStyle w:val="6"/>
              <w:spacing w:before="112" w:line="188" w:lineRule="auto"/>
              <w:jc w:val="right"/>
            </w:pPr>
            <w:r>
              <w:rPr>
                <w:spacing w:val="-6"/>
              </w:rPr>
              <w:t>29.660397</w:t>
            </w:r>
          </w:p>
        </w:tc>
        <w:tc>
          <w:tcPr>
            <w:tcW w:w="567" w:type="dxa"/>
            <w:vAlign w:val="top"/>
          </w:tcPr>
          <w:p w14:paraId="1378E9C5">
            <w:pPr>
              <w:spacing w:before="76"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41750EAE">
            <w:pPr>
              <w:pStyle w:val="6"/>
              <w:spacing w:before="77" w:line="220" w:lineRule="auto"/>
              <w:jc w:val="right"/>
              <w:rPr>
                <w:rFonts w:ascii="宋体" w:hAnsi="宋体" w:eastAsia="宋体" w:cs="宋体"/>
              </w:rPr>
            </w:pPr>
            <w:r>
              <w:rPr>
                <w:rFonts w:ascii="宋体" w:hAnsi="宋体" w:eastAsia="宋体" w:cs="宋体"/>
                <w:spacing w:val="-10"/>
              </w:rPr>
              <w:t>约</w:t>
            </w:r>
            <w:r>
              <w:rPr>
                <w:rFonts w:ascii="宋体" w:hAnsi="宋体" w:eastAsia="宋体" w:cs="宋体"/>
                <w:spacing w:val="-26"/>
              </w:rPr>
              <w:t xml:space="preserve"> </w:t>
            </w:r>
            <w:r>
              <w:rPr>
                <w:spacing w:val="-10"/>
              </w:rPr>
              <w:t>106</w:t>
            </w:r>
            <w:r>
              <w:rPr>
                <w:spacing w:val="10"/>
              </w:rPr>
              <w:t xml:space="preserve"> </w:t>
            </w:r>
            <w:r>
              <w:rPr>
                <w:rFonts w:ascii="宋体" w:hAnsi="宋体" w:eastAsia="宋体" w:cs="宋体"/>
                <w:spacing w:val="-10"/>
              </w:rPr>
              <w:t>户</w:t>
            </w:r>
          </w:p>
        </w:tc>
        <w:tc>
          <w:tcPr>
            <w:tcW w:w="1132" w:type="dxa"/>
            <w:vMerge w:val="continue"/>
            <w:tcBorders>
              <w:top w:val="nil"/>
              <w:bottom w:val="nil"/>
            </w:tcBorders>
            <w:vAlign w:val="top"/>
          </w:tcPr>
          <w:p w14:paraId="3D533288">
            <w:pPr>
              <w:rPr>
                <w:rFonts w:ascii="Arial"/>
                <w:sz w:val="21"/>
              </w:rPr>
            </w:pPr>
          </w:p>
        </w:tc>
        <w:tc>
          <w:tcPr>
            <w:tcW w:w="707" w:type="dxa"/>
            <w:vAlign w:val="top"/>
          </w:tcPr>
          <w:p w14:paraId="0BBC7AD1">
            <w:pPr>
              <w:pStyle w:val="6"/>
              <w:spacing w:before="112" w:line="188" w:lineRule="auto"/>
              <w:ind w:left="245"/>
            </w:pPr>
            <w:r>
              <w:rPr>
                <w:spacing w:val="-5"/>
              </w:rPr>
              <w:t>SE</w:t>
            </w:r>
          </w:p>
        </w:tc>
        <w:tc>
          <w:tcPr>
            <w:tcW w:w="955" w:type="dxa"/>
            <w:vAlign w:val="top"/>
          </w:tcPr>
          <w:p w14:paraId="3D17718B">
            <w:pPr>
              <w:pStyle w:val="6"/>
              <w:spacing w:before="112" w:line="188" w:lineRule="auto"/>
              <w:ind w:left="48"/>
            </w:pPr>
            <w:r>
              <w:rPr>
                <w:spacing w:val="-8"/>
              </w:rPr>
              <w:t>1617~2120</w:t>
            </w:r>
          </w:p>
        </w:tc>
        <w:tc>
          <w:tcPr>
            <w:tcW w:w="721" w:type="dxa"/>
            <w:vAlign w:val="top"/>
          </w:tcPr>
          <w:p w14:paraId="506DDA6C">
            <w:pPr>
              <w:pStyle w:val="6"/>
              <w:spacing w:before="112" w:line="188" w:lineRule="auto"/>
              <w:jc w:val="right"/>
            </w:pPr>
            <w:r>
              <w:rPr>
                <w:spacing w:val="-7"/>
              </w:rPr>
              <w:t>345~361</w:t>
            </w:r>
          </w:p>
        </w:tc>
      </w:tr>
      <w:tr w14:paraId="0C61E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tcBorders>
            <w:vAlign w:val="top"/>
          </w:tcPr>
          <w:p w14:paraId="2E863F0E">
            <w:pPr>
              <w:rPr>
                <w:rFonts w:ascii="Arial"/>
                <w:sz w:val="21"/>
              </w:rPr>
            </w:pPr>
          </w:p>
        </w:tc>
        <w:tc>
          <w:tcPr>
            <w:tcW w:w="1128" w:type="dxa"/>
            <w:gridSpan w:val="2"/>
            <w:vAlign w:val="top"/>
          </w:tcPr>
          <w:p w14:paraId="4B0B9C97">
            <w:pPr>
              <w:pStyle w:val="6"/>
              <w:spacing w:before="74" w:line="219" w:lineRule="auto"/>
              <w:ind w:left="71"/>
              <w:rPr>
                <w:rFonts w:ascii="宋体" w:hAnsi="宋体" w:eastAsia="宋体" w:cs="宋体"/>
              </w:rPr>
            </w:pPr>
            <w:r>
              <w:rPr>
                <w:spacing w:val="-9"/>
              </w:rPr>
              <w:t>8#</w:t>
            </w:r>
            <w:r>
              <w:rPr>
                <w:rFonts w:ascii="宋体" w:hAnsi="宋体" w:eastAsia="宋体" w:cs="宋体"/>
                <w:spacing w:val="-9"/>
              </w:rPr>
              <w:t>石板田村</w:t>
            </w:r>
          </w:p>
        </w:tc>
        <w:tc>
          <w:tcPr>
            <w:tcW w:w="991" w:type="dxa"/>
            <w:vAlign w:val="top"/>
          </w:tcPr>
          <w:p w14:paraId="682C9239">
            <w:pPr>
              <w:pStyle w:val="6"/>
              <w:spacing w:before="110" w:line="188" w:lineRule="auto"/>
              <w:ind w:left="42"/>
            </w:pPr>
            <w:r>
              <w:rPr>
                <w:spacing w:val="-8"/>
              </w:rPr>
              <w:t>105.325989</w:t>
            </w:r>
          </w:p>
        </w:tc>
        <w:tc>
          <w:tcPr>
            <w:tcW w:w="848" w:type="dxa"/>
            <w:vAlign w:val="top"/>
          </w:tcPr>
          <w:p w14:paraId="51560136">
            <w:pPr>
              <w:pStyle w:val="6"/>
              <w:spacing w:before="110" w:line="188" w:lineRule="auto"/>
              <w:jc w:val="right"/>
            </w:pPr>
            <w:r>
              <w:rPr>
                <w:spacing w:val="-6"/>
              </w:rPr>
              <w:t>29.671888</w:t>
            </w:r>
          </w:p>
        </w:tc>
        <w:tc>
          <w:tcPr>
            <w:tcW w:w="567" w:type="dxa"/>
            <w:vAlign w:val="top"/>
          </w:tcPr>
          <w:p w14:paraId="0120AC01">
            <w:pPr>
              <w:spacing w:before="74"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52CDCF08">
            <w:pPr>
              <w:pStyle w:val="6"/>
              <w:spacing w:before="75" w:line="220" w:lineRule="auto"/>
              <w:jc w:val="right"/>
              <w:rPr>
                <w:rFonts w:ascii="宋体" w:hAnsi="宋体" w:eastAsia="宋体" w:cs="宋体"/>
              </w:rPr>
            </w:pPr>
            <w:r>
              <w:rPr>
                <w:rFonts w:ascii="宋体" w:hAnsi="宋体" w:eastAsia="宋体" w:cs="宋体"/>
                <w:spacing w:val="-6"/>
              </w:rPr>
              <w:t>约</w:t>
            </w:r>
            <w:r>
              <w:rPr>
                <w:rFonts w:ascii="宋体" w:hAnsi="宋体" w:eastAsia="宋体" w:cs="宋体"/>
                <w:spacing w:val="-46"/>
              </w:rPr>
              <w:t xml:space="preserve"> </w:t>
            </w:r>
            <w:r>
              <w:rPr>
                <w:spacing w:val="-6"/>
              </w:rPr>
              <w:t>405</w:t>
            </w:r>
            <w:r>
              <w:rPr>
                <w:spacing w:val="10"/>
              </w:rPr>
              <w:t xml:space="preserve"> </w:t>
            </w:r>
            <w:r>
              <w:rPr>
                <w:rFonts w:ascii="宋体" w:hAnsi="宋体" w:eastAsia="宋体" w:cs="宋体"/>
                <w:spacing w:val="-6"/>
              </w:rPr>
              <w:t>户</w:t>
            </w:r>
          </w:p>
        </w:tc>
        <w:tc>
          <w:tcPr>
            <w:tcW w:w="1132" w:type="dxa"/>
            <w:vMerge w:val="continue"/>
            <w:tcBorders>
              <w:top w:val="nil"/>
            </w:tcBorders>
            <w:vAlign w:val="top"/>
          </w:tcPr>
          <w:p w14:paraId="62858793">
            <w:pPr>
              <w:rPr>
                <w:rFonts w:ascii="Arial"/>
                <w:sz w:val="21"/>
              </w:rPr>
            </w:pPr>
          </w:p>
        </w:tc>
        <w:tc>
          <w:tcPr>
            <w:tcW w:w="707" w:type="dxa"/>
            <w:vAlign w:val="top"/>
          </w:tcPr>
          <w:p w14:paraId="686BD484">
            <w:pPr>
              <w:pStyle w:val="6"/>
              <w:spacing w:before="110" w:line="188" w:lineRule="auto"/>
              <w:ind w:left="210"/>
            </w:pPr>
            <w:r>
              <w:rPr>
                <w:spacing w:val="-4"/>
              </w:rPr>
              <w:t>SW</w:t>
            </w:r>
          </w:p>
        </w:tc>
        <w:tc>
          <w:tcPr>
            <w:tcW w:w="955" w:type="dxa"/>
            <w:vAlign w:val="top"/>
          </w:tcPr>
          <w:p w14:paraId="3A144D55">
            <w:pPr>
              <w:pStyle w:val="6"/>
              <w:spacing w:before="110" w:line="188" w:lineRule="auto"/>
              <w:ind w:left="79"/>
            </w:pPr>
            <w:r>
              <w:rPr>
                <w:spacing w:val="-6"/>
              </w:rPr>
              <w:t>737~2500</w:t>
            </w:r>
          </w:p>
        </w:tc>
        <w:tc>
          <w:tcPr>
            <w:tcW w:w="721" w:type="dxa"/>
            <w:vAlign w:val="top"/>
          </w:tcPr>
          <w:p w14:paraId="586207AB">
            <w:pPr>
              <w:pStyle w:val="6"/>
              <w:spacing w:before="110" w:line="188" w:lineRule="auto"/>
              <w:jc w:val="right"/>
            </w:pPr>
            <w:r>
              <w:rPr>
                <w:spacing w:val="-7"/>
              </w:rPr>
              <w:t>347~364</w:t>
            </w:r>
          </w:p>
        </w:tc>
      </w:tr>
      <w:tr w14:paraId="21829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restart"/>
            <w:tcBorders>
              <w:bottom w:val="nil"/>
            </w:tcBorders>
            <w:textDirection w:val="tbRlV"/>
            <w:vAlign w:val="top"/>
          </w:tcPr>
          <w:p w14:paraId="343DB937">
            <w:pPr>
              <w:spacing w:before="117" w:line="209" w:lineRule="auto"/>
              <w:ind w:left="860"/>
              <w:rPr>
                <w:rFonts w:ascii="宋体" w:hAnsi="宋体" w:eastAsia="宋体" w:cs="宋体"/>
                <w:sz w:val="21"/>
                <w:szCs w:val="21"/>
              </w:rPr>
            </w:pPr>
            <w:r>
              <w:rPr>
                <w:rFonts w:ascii="宋体" w:hAnsi="宋体" w:eastAsia="宋体" w:cs="宋体"/>
                <w:spacing w:val="-2"/>
                <w:sz w:val="21"/>
                <w:szCs w:val="21"/>
              </w:rPr>
              <w:t>声 环 境</w:t>
            </w:r>
          </w:p>
        </w:tc>
        <w:tc>
          <w:tcPr>
            <w:tcW w:w="421" w:type="dxa"/>
            <w:vMerge w:val="restart"/>
            <w:tcBorders>
              <w:bottom w:val="nil"/>
            </w:tcBorders>
            <w:textDirection w:val="tbRlV"/>
            <w:vAlign w:val="top"/>
          </w:tcPr>
          <w:p w14:paraId="64F4E42C">
            <w:pPr>
              <w:spacing w:before="109" w:line="207" w:lineRule="auto"/>
              <w:ind w:left="704"/>
              <w:rPr>
                <w:rFonts w:ascii="宋体" w:hAnsi="宋体" w:eastAsia="宋体" w:cs="宋体"/>
                <w:sz w:val="21"/>
                <w:szCs w:val="21"/>
              </w:rPr>
            </w:pPr>
            <w:r>
              <w:rPr>
                <w:rFonts w:ascii="宋体" w:hAnsi="宋体" w:eastAsia="宋体" w:cs="宋体"/>
                <w:spacing w:val="-2"/>
                <w:sz w:val="21"/>
                <w:szCs w:val="21"/>
              </w:rPr>
              <w:t>喻 家 沟 村</w:t>
            </w:r>
          </w:p>
        </w:tc>
        <w:tc>
          <w:tcPr>
            <w:tcW w:w="707" w:type="dxa"/>
            <w:vAlign w:val="top"/>
          </w:tcPr>
          <w:p w14:paraId="160E5CDC">
            <w:pPr>
              <w:spacing w:before="75" w:line="220" w:lineRule="auto"/>
              <w:ind w:left="49"/>
              <w:rPr>
                <w:rFonts w:ascii="宋体" w:hAnsi="宋体" w:eastAsia="宋体" w:cs="宋体"/>
                <w:sz w:val="21"/>
                <w:szCs w:val="21"/>
              </w:rPr>
            </w:pPr>
            <w:r>
              <w:rPr>
                <w:rFonts w:ascii="宋体" w:hAnsi="宋体" w:eastAsia="宋体" w:cs="宋体"/>
                <w:spacing w:val="-4"/>
                <w:sz w:val="21"/>
                <w:szCs w:val="21"/>
              </w:rPr>
              <w:t>东北侧</w:t>
            </w:r>
          </w:p>
        </w:tc>
        <w:tc>
          <w:tcPr>
            <w:tcW w:w="991" w:type="dxa"/>
            <w:vAlign w:val="top"/>
          </w:tcPr>
          <w:p w14:paraId="24E3DB99">
            <w:pPr>
              <w:pStyle w:val="6"/>
              <w:spacing w:before="112" w:line="188" w:lineRule="auto"/>
              <w:ind w:left="42"/>
            </w:pPr>
            <w:r>
              <w:rPr>
                <w:spacing w:val="-8"/>
              </w:rPr>
              <w:t>105.347592</w:t>
            </w:r>
          </w:p>
        </w:tc>
        <w:tc>
          <w:tcPr>
            <w:tcW w:w="848" w:type="dxa"/>
            <w:vAlign w:val="top"/>
          </w:tcPr>
          <w:p w14:paraId="1CAEC532">
            <w:pPr>
              <w:pStyle w:val="6"/>
              <w:spacing w:before="112" w:line="188" w:lineRule="auto"/>
              <w:jc w:val="right"/>
            </w:pPr>
            <w:r>
              <w:rPr>
                <w:spacing w:val="-6"/>
              </w:rPr>
              <w:t>29.679659</w:t>
            </w:r>
          </w:p>
        </w:tc>
        <w:tc>
          <w:tcPr>
            <w:tcW w:w="567" w:type="dxa"/>
            <w:vAlign w:val="top"/>
          </w:tcPr>
          <w:p w14:paraId="53CBFABD">
            <w:pPr>
              <w:spacing w:before="76"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5AC974E2">
            <w:pPr>
              <w:pStyle w:val="6"/>
              <w:spacing w:before="76" w:line="220" w:lineRule="auto"/>
              <w:ind w:left="236"/>
              <w:rPr>
                <w:rFonts w:ascii="宋体" w:hAnsi="宋体" w:eastAsia="宋体" w:cs="宋体"/>
              </w:rPr>
            </w:pPr>
            <w:r>
              <w:rPr>
                <w:spacing w:val="-2"/>
              </w:rPr>
              <w:t>4</w:t>
            </w:r>
            <w:r>
              <w:rPr>
                <w:spacing w:val="9"/>
              </w:rPr>
              <w:t xml:space="preserve"> </w:t>
            </w:r>
            <w:r>
              <w:rPr>
                <w:rFonts w:ascii="宋体" w:hAnsi="宋体" w:eastAsia="宋体" w:cs="宋体"/>
                <w:spacing w:val="-2"/>
              </w:rPr>
              <w:t>户</w:t>
            </w:r>
          </w:p>
        </w:tc>
        <w:tc>
          <w:tcPr>
            <w:tcW w:w="1132" w:type="dxa"/>
            <w:vMerge w:val="restart"/>
            <w:tcBorders>
              <w:bottom w:val="nil"/>
            </w:tcBorders>
            <w:vAlign w:val="top"/>
          </w:tcPr>
          <w:p w14:paraId="122465D7">
            <w:pPr>
              <w:spacing w:line="317" w:lineRule="auto"/>
              <w:rPr>
                <w:rFonts w:ascii="Arial"/>
                <w:sz w:val="21"/>
              </w:rPr>
            </w:pPr>
          </w:p>
          <w:p w14:paraId="1D557CA2">
            <w:pPr>
              <w:spacing w:line="317" w:lineRule="auto"/>
              <w:rPr>
                <w:rFonts w:ascii="Arial"/>
                <w:sz w:val="21"/>
              </w:rPr>
            </w:pPr>
          </w:p>
          <w:p w14:paraId="41C95787">
            <w:pPr>
              <w:pStyle w:val="6"/>
              <w:spacing w:before="68" w:line="275" w:lineRule="auto"/>
              <w:ind w:left="77" w:right="66" w:hanging="34"/>
              <w:jc w:val="both"/>
              <w:rPr>
                <w:rFonts w:ascii="宋体" w:hAnsi="宋体" w:eastAsia="宋体" w:cs="宋体"/>
              </w:rPr>
            </w:pPr>
            <w:r>
              <w:rPr>
                <w:rFonts w:ascii="宋体" w:hAnsi="宋体" w:eastAsia="宋体" w:cs="宋体"/>
                <w:spacing w:val="-7"/>
              </w:rPr>
              <w:t>《声环境质</w:t>
            </w:r>
            <w:r>
              <w:rPr>
                <w:rFonts w:ascii="宋体" w:hAnsi="宋体" w:eastAsia="宋体" w:cs="宋体"/>
                <w:spacing w:val="26"/>
              </w:rPr>
              <w:t>量标准》</w:t>
            </w:r>
            <w:r>
              <w:rPr>
                <w:rFonts w:ascii="宋体" w:hAnsi="宋体" w:eastAsia="宋体" w:cs="宋体"/>
                <w:spacing w:val="1"/>
              </w:rPr>
              <w:t xml:space="preserve"> </w:t>
            </w:r>
            <w:r>
              <w:rPr>
                <w:rFonts w:ascii="宋体" w:hAnsi="宋体" w:eastAsia="宋体" w:cs="宋体"/>
                <w:spacing w:val="-2"/>
              </w:rPr>
              <w:t>（</w:t>
            </w:r>
            <w:r>
              <w:rPr>
                <w:spacing w:val="-2"/>
              </w:rPr>
              <w:t>GB3096-</w:t>
            </w:r>
            <w:r>
              <w:rPr>
                <w:spacing w:val="2"/>
              </w:rPr>
              <w:t xml:space="preserve"> </w:t>
            </w:r>
            <w:r>
              <w:rPr>
                <w:spacing w:val="1"/>
              </w:rPr>
              <w:t>2008</w:t>
            </w:r>
            <w:r>
              <w:rPr>
                <w:rFonts w:ascii="宋体" w:hAnsi="宋体" w:eastAsia="宋体" w:cs="宋体"/>
                <w:spacing w:val="1"/>
              </w:rPr>
              <w:t>）</w:t>
            </w:r>
            <w:r>
              <w:rPr>
                <w:spacing w:val="1"/>
              </w:rPr>
              <w:t>2</w:t>
            </w:r>
            <w:r>
              <w:rPr>
                <w:rFonts w:ascii="宋体" w:hAnsi="宋体" w:eastAsia="宋体" w:cs="宋体"/>
                <w:spacing w:val="1"/>
              </w:rPr>
              <w:t>类</w:t>
            </w:r>
          </w:p>
        </w:tc>
        <w:tc>
          <w:tcPr>
            <w:tcW w:w="707" w:type="dxa"/>
            <w:vAlign w:val="top"/>
          </w:tcPr>
          <w:p w14:paraId="639E4CD8">
            <w:pPr>
              <w:pStyle w:val="6"/>
              <w:spacing w:before="115" w:line="185" w:lineRule="auto"/>
              <w:ind w:left="205"/>
            </w:pPr>
            <w:r>
              <w:rPr>
                <w:spacing w:val="1"/>
              </w:rPr>
              <w:t>NE</w:t>
            </w:r>
          </w:p>
        </w:tc>
        <w:tc>
          <w:tcPr>
            <w:tcW w:w="955" w:type="dxa"/>
            <w:vAlign w:val="top"/>
          </w:tcPr>
          <w:p w14:paraId="34F53E5A">
            <w:pPr>
              <w:pStyle w:val="6"/>
              <w:spacing w:before="112" w:line="188" w:lineRule="auto"/>
              <w:ind w:left="162"/>
            </w:pPr>
            <w:r>
              <w:rPr>
                <w:spacing w:val="-2"/>
              </w:rPr>
              <w:t>38~109</w:t>
            </w:r>
          </w:p>
        </w:tc>
        <w:tc>
          <w:tcPr>
            <w:tcW w:w="721" w:type="dxa"/>
            <w:vAlign w:val="top"/>
          </w:tcPr>
          <w:p w14:paraId="02F1B681">
            <w:pPr>
              <w:pStyle w:val="6"/>
              <w:spacing w:before="111" w:line="188" w:lineRule="auto"/>
              <w:jc w:val="right"/>
            </w:pPr>
            <w:r>
              <w:rPr>
                <w:spacing w:val="-7"/>
              </w:rPr>
              <w:t>347~356</w:t>
            </w:r>
          </w:p>
        </w:tc>
      </w:tr>
      <w:tr w14:paraId="1C63E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2" w:type="dxa"/>
            <w:vMerge w:val="continue"/>
            <w:tcBorders>
              <w:top w:val="nil"/>
              <w:bottom w:val="nil"/>
            </w:tcBorders>
            <w:textDirection w:val="tbRlV"/>
            <w:vAlign w:val="top"/>
          </w:tcPr>
          <w:p w14:paraId="579C7418">
            <w:pPr>
              <w:rPr>
                <w:rFonts w:ascii="Arial"/>
                <w:sz w:val="21"/>
              </w:rPr>
            </w:pPr>
          </w:p>
        </w:tc>
        <w:tc>
          <w:tcPr>
            <w:tcW w:w="421" w:type="dxa"/>
            <w:vMerge w:val="continue"/>
            <w:tcBorders>
              <w:top w:val="nil"/>
              <w:bottom w:val="nil"/>
            </w:tcBorders>
            <w:textDirection w:val="tbRlV"/>
            <w:vAlign w:val="top"/>
          </w:tcPr>
          <w:p w14:paraId="2B274E0C">
            <w:pPr>
              <w:rPr>
                <w:rFonts w:ascii="Arial"/>
                <w:sz w:val="21"/>
              </w:rPr>
            </w:pPr>
          </w:p>
        </w:tc>
        <w:tc>
          <w:tcPr>
            <w:tcW w:w="707" w:type="dxa"/>
            <w:vAlign w:val="top"/>
          </w:tcPr>
          <w:p w14:paraId="30CBBAB5">
            <w:pPr>
              <w:spacing w:before="75" w:line="220" w:lineRule="auto"/>
              <w:ind w:left="155"/>
              <w:rPr>
                <w:rFonts w:ascii="宋体" w:hAnsi="宋体" w:eastAsia="宋体" w:cs="宋体"/>
                <w:sz w:val="21"/>
                <w:szCs w:val="21"/>
              </w:rPr>
            </w:pPr>
            <w:r>
              <w:rPr>
                <w:rFonts w:ascii="宋体" w:hAnsi="宋体" w:eastAsia="宋体" w:cs="宋体"/>
                <w:spacing w:val="-4"/>
                <w:sz w:val="21"/>
                <w:szCs w:val="21"/>
              </w:rPr>
              <w:t>东侧</w:t>
            </w:r>
          </w:p>
        </w:tc>
        <w:tc>
          <w:tcPr>
            <w:tcW w:w="991" w:type="dxa"/>
            <w:vAlign w:val="top"/>
          </w:tcPr>
          <w:p w14:paraId="27AE6911">
            <w:pPr>
              <w:pStyle w:val="6"/>
              <w:spacing w:before="112" w:line="188" w:lineRule="auto"/>
              <w:ind w:left="42"/>
            </w:pPr>
            <w:r>
              <w:rPr>
                <w:spacing w:val="-8"/>
              </w:rPr>
              <w:t>105.348582</w:t>
            </w:r>
          </w:p>
        </w:tc>
        <w:tc>
          <w:tcPr>
            <w:tcW w:w="848" w:type="dxa"/>
            <w:vAlign w:val="top"/>
          </w:tcPr>
          <w:p w14:paraId="6D4C20A5">
            <w:pPr>
              <w:pStyle w:val="6"/>
              <w:spacing w:before="112" w:line="188" w:lineRule="auto"/>
              <w:jc w:val="right"/>
            </w:pPr>
            <w:r>
              <w:rPr>
                <w:spacing w:val="-6"/>
              </w:rPr>
              <w:t>29.677482</w:t>
            </w:r>
          </w:p>
        </w:tc>
        <w:tc>
          <w:tcPr>
            <w:tcW w:w="567" w:type="dxa"/>
            <w:vAlign w:val="top"/>
          </w:tcPr>
          <w:p w14:paraId="4ED6240D">
            <w:pPr>
              <w:spacing w:before="76"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5078CD7F">
            <w:pPr>
              <w:pStyle w:val="6"/>
              <w:spacing w:before="76" w:line="220" w:lineRule="auto"/>
              <w:ind w:left="236"/>
              <w:rPr>
                <w:rFonts w:ascii="宋体" w:hAnsi="宋体" w:eastAsia="宋体" w:cs="宋体"/>
              </w:rPr>
            </w:pPr>
            <w:r>
              <w:rPr>
                <w:spacing w:val="-2"/>
              </w:rPr>
              <w:t>4</w:t>
            </w:r>
            <w:r>
              <w:rPr>
                <w:spacing w:val="9"/>
              </w:rPr>
              <w:t xml:space="preserve"> </w:t>
            </w:r>
            <w:r>
              <w:rPr>
                <w:rFonts w:ascii="宋体" w:hAnsi="宋体" w:eastAsia="宋体" w:cs="宋体"/>
                <w:spacing w:val="-2"/>
              </w:rPr>
              <w:t>户</w:t>
            </w:r>
          </w:p>
        </w:tc>
        <w:tc>
          <w:tcPr>
            <w:tcW w:w="1132" w:type="dxa"/>
            <w:vMerge w:val="continue"/>
            <w:tcBorders>
              <w:top w:val="nil"/>
              <w:bottom w:val="nil"/>
            </w:tcBorders>
            <w:vAlign w:val="top"/>
          </w:tcPr>
          <w:p w14:paraId="48475694">
            <w:pPr>
              <w:rPr>
                <w:rFonts w:ascii="Arial"/>
                <w:sz w:val="21"/>
              </w:rPr>
            </w:pPr>
          </w:p>
        </w:tc>
        <w:tc>
          <w:tcPr>
            <w:tcW w:w="707" w:type="dxa"/>
            <w:vAlign w:val="top"/>
          </w:tcPr>
          <w:p w14:paraId="365CAD65">
            <w:pPr>
              <w:pStyle w:val="6"/>
              <w:spacing w:before="116" w:line="185" w:lineRule="auto"/>
              <w:ind w:left="287"/>
            </w:pPr>
            <w:r>
              <w:t>E</w:t>
            </w:r>
          </w:p>
        </w:tc>
        <w:tc>
          <w:tcPr>
            <w:tcW w:w="955" w:type="dxa"/>
            <w:vAlign w:val="top"/>
          </w:tcPr>
          <w:p w14:paraId="3BFCA5A9">
            <w:pPr>
              <w:pStyle w:val="6"/>
              <w:spacing w:before="112" w:line="188" w:lineRule="auto"/>
              <w:ind w:left="157"/>
            </w:pPr>
            <w:r>
              <w:rPr>
                <w:spacing w:val="-1"/>
              </w:rPr>
              <w:t>45~105</w:t>
            </w:r>
          </w:p>
        </w:tc>
        <w:tc>
          <w:tcPr>
            <w:tcW w:w="721" w:type="dxa"/>
            <w:vAlign w:val="top"/>
          </w:tcPr>
          <w:p w14:paraId="55EB0493">
            <w:pPr>
              <w:pStyle w:val="6"/>
              <w:spacing w:before="112" w:line="188" w:lineRule="auto"/>
              <w:jc w:val="right"/>
            </w:pPr>
            <w:r>
              <w:rPr>
                <w:spacing w:val="-7"/>
              </w:rPr>
              <w:t>351~355</w:t>
            </w:r>
          </w:p>
        </w:tc>
      </w:tr>
      <w:tr w14:paraId="5FE23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bottom w:val="nil"/>
            </w:tcBorders>
            <w:textDirection w:val="tbRlV"/>
            <w:vAlign w:val="top"/>
          </w:tcPr>
          <w:p w14:paraId="1E3EDFCD">
            <w:pPr>
              <w:rPr>
                <w:rFonts w:ascii="Arial"/>
                <w:sz w:val="21"/>
              </w:rPr>
            </w:pPr>
          </w:p>
        </w:tc>
        <w:tc>
          <w:tcPr>
            <w:tcW w:w="421" w:type="dxa"/>
            <w:vMerge w:val="continue"/>
            <w:tcBorders>
              <w:top w:val="nil"/>
              <w:bottom w:val="nil"/>
            </w:tcBorders>
            <w:textDirection w:val="tbRlV"/>
            <w:vAlign w:val="top"/>
          </w:tcPr>
          <w:p w14:paraId="55FA74E8">
            <w:pPr>
              <w:rPr>
                <w:rFonts w:ascii="Arial"/>
                <w:sz w:val="21"/>
              </w:rPr>
            </w:pPr>
          </w:p>
        </w:tc>
        <w:tc>
          <w:tcPr>
            <w:tcW w:w="707" w:type="dxa"/>
            <w:vAlign w:val="top"/>
          </w:tcPr>
          <w:p w14:paraId="65E194CF">
            <w:pPr>
              <w:spacing w:before="74" w:line="220" w:lineRule="auto"/>
              <w:ind w:left="49"/>
              <w:rPr>
                <w:rFonts w:ascii="宋体" w:hAnsi="宋体" w:eastAsia="宋体" w:cs="宋体"/>
                <w:sz w:val="21"/>
                <w:szCs w:val="21"/>
              </w:rPr>
            </w:pPr>
            <w:r>
              <w:rPr>
                <w:rFonts w:ascii="宋体" w:hAnsi="宋体" w:eastAsia="宋体" w:cs="宋体"/>
                <w:spacing w:val="-4"/>
                <w:sz w:val="21"/>
                <w:szCs w:val="21"/>
              </w:rPr>
              <w:t>东南侧</w:t>
            </w:r>
          </w:p>
        </w:tc>
        <w:tc>
          <w:tcPr>
            <w:tcW w:w="991" w:type="dxa"/>
            <w:vAlign w:val="top"/>
          </w:tcPr>
          <w:p w14:paraId="7F4A63EF">
            <w:pPr>
              <w:pStyle w:val="6"/>
              <w:spacing w:before="111" w:line="188" w:lineRule="auto"/>
              <w:ind w:left="42"/>
            </w:pPr>
            <w:r>
              <w:rPr>
                <w:spacing w:val="-8"/>
              </w:rPr>
              <w:t>105.349134</w:t>
            </w:r>
          </w:p>
        </w:tc>
        <w:tc>
          <w:tcPr>
            <w:tcW w:w="848" w:type="dxa"/>
            <w:vAlign w:val="top"/>
          </w:tcPr>
          <w:p w14:paraId="5CE5CE36">
            <w:pPr>
              <w:pStyle w:val="6"/>
              <w:spacing w:before="111" w:line="188" w:lineRule="auto"/>
              <w:jc w:val="right"/>
            </w:pPr>
            <w:r>
              <w:rPr>
                <w:spacing w:val="-6"/>
              </w:rPr>
              <w:t>29.675880</w:t>
            </w:r>
          </w:p>
        </w:tc>
        <w:tc>
          <w:tcPr>
            <w:tcW w:w="567" w:type="dxa"/>
            <w:vAlign w:val="top"/>
          </w:tcPr>
          <w:p w14:paraId="029BC3EB">
            <w:pPr>
              <w:spacing w:before="75"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1CC74423">
            <w:pPr>
              <w:pStyle w:val="6"/>
              <w:spacing w:before="75" w:line="220" w:lineRule="auto"/>
              <w:ind w:left="204"/>
              <w:rPr>
                <w:rFonts w:ascii="宋体" w:hAnsi="宋体" w:eastAsia="宋体" w:cs="宋体"/>
              </w:rPr>
            </w:pPr>
            <w:r>
              <w:rPr>
                <w:spacing w:val="-8"/>
              </w:rPr>
              <w:t>10</w:t>
            </w:r>
            <w:r>
              <w:rPr>
                <w:spacing w:val="9"/>
              </w:rPr>
              <w:t xml:space="preserve"> </w:t>
            </w:r>
            <w:r>
              <w:rPr>
                <w:rFonts w:ascii="宋体" w:hAnsi="宋体" w:eastAsia="宋体" w:cs="宋体"/>
                <w:spacing w:val="-8"/>
              </w:rPr>
              <w:t>户</w:t>
            </w:r>
          </w:p>
        </w:tc>
        <w:tc>
          <w:tcPr>
            <w:tcW w:w="1132" w:type="dxa"/>
            <w:vMerge w:val="continue"/>
            <w:tcBorders>
              <w:top w:val="nil"/>
              <w:bottom w:val="nil"/>
            </w:tcBorders>
            <w:vAlign w:val="top"/>
          </w:tcPr>
          <w:p w14:paraId="19249C39">
            <w:pPr>
              <w:rPr>
                <w:rFonts w:ascii="Arial"/>
                <w:sz w:val="21"/>
              </w:rPr>
            </w:pPr>
          </w:p>
        </w:tc>
        <w:tc>
          <w:tcPr>
            <w:tcW w:w="707" w:type="dxa"/>
            <w:vAlign w:val="top"/>
          </w:tcPr>
          <w:p w14:paraId="1AE8A2A3">
            <w:pPr>
              <w:pStyle w:val="6"/>
              <w:spacing w:before="111" w:line="188" w:lineRule="auto"/>
              <w:ind w:left="239"/>
            </w:pPr>
            <w:r>
              <w:rPr>
                <w:spacing w:val="-7"/>
              </w:rPr>
              <w:t>SE</w:t>
            </w:r>
          </w:p>
        </w:tc>
        <w:tc>
          <w:tcPr>
            <w:tcW w:w="955" w:type="dxa"/>
            <w:vAlign w:val="top"/>
          </w:tcPr>
          <w:p w14:paraId="70B5C1F5">
            <w:pPr>
              <w:pStyle w:val="6"/>
              <w:spacing w:before="111" w:line="188" w:lineRule="auto"/>
              <w:ind w:left="125"/>
            </w:pPr>
            <w:r>
              <w:rPr>
                <w:spacing w:val="-4"/>
              </w:rPr>
              <w:t>126~182</w:t>
            </w:r>
          </w:p>
        </w:tc>
        <w:tc>
          <w:tcPr>
            <w:tcW w:w="721" w:type="dxa"/>
            <w:vAlign w:val="top"/>
          </w:tcPr>
          <w:p w14:paraId="38E525EB">
            <w:pPr>
              <w:pStyle w:val="6"/>
              <w:spacing w:before="111" w:line="188" w:lineRule="auto"/>
              <w:jc w:val="right"/>
            </w:pPr>
            <w:r>
              <w:rPr>
                <w:spacing w:val="-7"/>
              </w:rPr>
              <w:t>343~348</w:t>
            </w:r>
          </w:p>
        </w:tc>
      </w:tr>
      <w:tr w14:paraId="71CD5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bottom w:val="nil"/>
            </w:tcBorders>
            <w:textDirection w:val="tbRlV"/>
            <w:vAlign w:val="top"/>
          </w:tcPr>
          <w:p w14:paraId="0675635C">
            <w:pPr>
              <w:rPr>
                <w:rFonts w:ascii="Arial"/>
                <w:sz w:val="21"/>
              </w:rPr>
            </w:pPr>
          </w:p>
        </w:tc>
        <w:tc>
          <w:tcPr>
            <w:tcW w:w="421" w:type="dxa"/>
            <w:vMerge w:val="continue"/>
            <w:tcBorders>
              <w:top w:val="nil"/>
              <w:bottom w:val="nil"/>
            </w:tcBorders>
            <w:textDirection w:val="tbRlV"/>
            <w:vAlign w:val="top"/>
          </w:tcPr>
          <w:p w14:paraId="57368CFA">
            <w:pPr>
              <w:rPr>
                <w:rFonts w:ascii="Arial"/>
                <w:sz w:val="21"/>
              </w:rPr>
            </w:pPr>
          </w:p>
        </w:tc>
        <w:tc>
          <w:tcPr>
            <w:tcW w:w="707" w:type="dxa"/>
            <w:vAlign w:val="top"/>
          </w:tcPr>
          <w:p w14:paraId="6E10108E">
            <w:pPr>
              <w:spacing w:before="75" w:line="220" w:lineRule="auto"/>
              <w:ind w:left="150"/>
              <w:rPr>
                <w:rFonts w:ascii="宋体" w:hAnsi="宋体" w:eastAsia="宋体" w:cs="宋体"/>
                <w:sz w:val="21"/>
                <w:szCs w:val="21"/>
              </w:rPr>
            </w:pPr>
            <w:r>
              <w:rPr>
                <w:rFonts w:ascii="宋体" w:hAnsi="宋体" w:eastAsia="宋体" w:cs="宋体"/>
                <w:spacing w:val="-3"/>
                <w:sz w:val="21"/>
                <w:szCs w:val="21"/>
              </w:rPr>
              <w:t>南侧</w:t>
            </w:r>
          </w:p>
        </w:tc>
        <w:tc>
          <w:tcPr>
            <w:tcW w:w="991" w:type="dxa"/>
            <w:vAlign w:val="top"/>
          </w:tcPr>
          <w:p w14:paraId="66DF5EF8">
            <w:pPr>
              <w:pStyle w:val="6"/>
              <w:spacing w:before="112" w:line="188" w:lineRule="auto"/>
              <w:ind w:left="42"/>
            </w:pPr>
            <w:r>
              <w:rPr>
                <w:spacing w:val="-8"/>
              </w:rPr>
              <w:t>105.344481</w:t>
            </w:r>
          </w:p>
        </w:tc>
        <w:tc>
          <w:tcPr>
            <w:tcW w:w="848" w:type="dxa"/>
            <w:vAlign w:val="top"/>
          </w:tcPr>
          <w:p w14:paraId="23226B7B">
            <w:pPr>
              <w:pStyle w:val="6"/>
              <w:spacing w:before="112" w:line="188" w:lineRule="auto"/>
              <w:jc w:val="right"/>
            </w:pPr>
            <w:r>
              <w:rPr>
                <w:spacing w:val="-6"/>
              </w:rPr>
              <w:t>29.675471</w:t>
            </w:r>
          </w:p>
        </w:tc>
        <w:tc>
          <w:tcPr>
            <w:tcW w:w="567" w:type="dxa"/>
            <w:vAlign w:val="top"/>
          </w:tcPr>
          <w:p w14:paraId="1C314C16">
            <w:pPr>
              <w:spacing w:before="76"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754A4FFC">
            <w:pPr>
              <w:pStyle w:val="6"/>
              <w:spacing w:before="76" w:line="220" w:lineRule="auto"/>
              <w:ind w:left="236"/>
              <w:rPr>
                <w:rFonts w:ascii="宋体" w:hAnsi="宋体" w:eastAsia="宋体" w:cs="宋体"/>
              </w:rPr>
            </w:pPr>
            <w:r>
              <w:rPr>
                <w:spacing w:val="-2"/>
              </w:rPr>
              <w:t>4</w:t>
            </w:r>
            <w:r>
              <w:rPr>
                <w:spacing w:val="9"/>
              </w:rPr>
              <w:t xml:space="preserve"> </w:t>
            </w:r>
            <w:r>
              <w:rPr>
                <w:rFonts w:ascii="宋体" w:hAnsi="宋体" w:eastAsia="宋体" w:cs="宋体"/>
                <w:spacing w:val="-2"/>
              </w:rPr>
              <w:t>户</w:t>
            </w:r>
          </w:p>
        </w:tc>
        <w:tc>
          <w:tcPr>
            <w:tcW w:w="1132" w:type="dxa"/>
            <w:vMerge w:val="continue"/>
            <w:tcBorders>
              <w:top w:val="nil"/>
              <w:bottom w:val="nil"/>
            </w:tcBorders>
            <w:vAlign w:val="top"/>
          </w:tcPr>
          <w:p w14:paraId="502DF8F1">
            <w:pPr>
              <w:rPr>
                <w:rFonts w:ascii="Arial"/>
                <w:sz w:val="21"/>
              </w:rPr>
            </w:pPr>
          </w:p>
        </w:tc>
        <w:tc>
          <w:tcPr>
            <w:tcW w:w="707" w:type="dxa"/>
            <w:vAlign w:val="top"/>
          </w:tcPr>
          <w:p w14:paraId="6CAF05F7">
            <w:pPr>
              <w:pStyle w:val="6"/>
              <w:spacing w:before="112" w:line="188" w:lineRule="auto"/>
              <w:ind w:left="302"/>
            </w:pPr>
            <w:r>
              <w:t>S</w:t>
            </w:r>
          </w:p>
        </w:tc>
        <w:tc>
          <w:tcPr>
            <w:tcW w:w="955" w:type="dxa"/>
            <w:vAlign w:val="top"/>
          </w:tcPr>
          <w:p w14:paraId="4BC076A5">
            <w:pPr>
              <w:pStyle w:val="6"/>
              <w:spacing w:before="112" w:line="188" w:lineRule="auto"/>
              <w:ind w:left="125"/>
            </w:pPr>
            <w:r>
              <w:rPr>
                <w:spacing w:val="-4"/>
              </w:rPr>
              <w:t>163~193</w:t>
            </w:r>
          </w:p>
        </w:tc>
        <w:tc>
          <w:tcPr>
            <w:tcW w:w="721" w:type="dxa"/>
            <w:vAlign w:val="top"/>
          </w:tcPr>
          <w:p w14:paraId="3BA4F321">
            <w:pPr>
              <w:pStyle w:val="6"/>
              <w:spacing w:before="111" w:line="188" w:lineRule="auto"/>
              <w:jc w:val="right"/>
            </w:pPr>
            <w:r>
              <w:rPr>
                <w:spacing w:val="-7"/>
              </w:rPr>
              <w:t>344~356</w:t>
            </w:r>
          </w:p>
        </w:tc>
      </w:tr>
      <w:tr w14:paraId="52EE5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2" w:type="dxa"/>
            <w:vMerge w:val="continue"/>
            <w:tcBorders>
              <w:top w:val="nil"/>
              <w:bottom w:val="nil"/>
            </w:tcBorders>
            <w:textDirection w:val="tbRlV"/>
            <w:vAlign w:val="top"/>
          </w:tcPr>
          <w:p w14:paraId="3DCC3A89">
            <w:pPr>
              <w:rPr>
                <w:rFonts w:ascii="Arial"/>
                <w:sz w:val="21"/>
              </w:rPr>
            </w:pPr>
          </w:p>
        </w:tc>
        <w:tc>
          <w:tcPr>
            <w:tcW w:w="421" w:type="dxa"/>
            <w:vMerge w:val="continue"/>
            <w:tcBorders>
              <w:top w:val="nil"/>
              <w:bottom w:val="nil"/>
            </w:tcBorders>
            <w:textDirection w:val="tbRlV"/>
            <w:vAlign w:val="top"/>
          </w:tcPr>
          <w:p w14:paraId="52834D70">
            <w:pPr>
              <w:rPr>
                <w:rFonts w:ascii="Arial"/>
                <w:sz w:val="21"/>
              </w:rPr>
            </w:pPr>
          </w:p>
        </w:tc>
        <w:tc>
          <w:tcPr>
            <w:tcW w:w="707" w:type="dxa"/>
            <w:vAlign w:val="top"/>
          </w:tcPr>
          <w:p w14:paraId="6D4D95FA">
            <w:pPr>
              <w:spacing w:before="76" w:line="220" w:lineRule="auto"/>
              <w:ind w:left="47"/>
              <w:rPr>
                <w:rFonts w:ascii="宋体" w:hAnsi="宋体" w:eastAsia="宋体" w:cs="宋体"/>
                <w:sz w:val="21"/>
                <w:szCs w:val="21"/>
              </w:rPr>
            </w:pPr>
            <w:r>
              <w:rPr>
                <w:rFonts w:ascii="宋体" w:hAnsi="宋体" w:eastAsia="宋体" w:cs="宋体"/>
                <w:spacing w:val="-3"/>
                <w:sz w:val="21"/>
                <w:szCs w:val="21"/>
              </w:rPr>
              <w:t>西南侧</w:t>
            </w:r>
          </w:p>
        </w:tc>
        <w:tc>
          <w:tcPr>
            <w:tcW w:w="991" w:type="dxa"/>
            <w:vAlign w:val="top"/>
          </w:tcPr>
          <w:p w14:paraId="3219DB00">
            <w:pPr>
              <w:pStyle w:val="6"/>
              <w:spacing w:before="113" w:line="188" w:lineRule="auto"/>
              <w:ind w:left="42"/>
            </w:pPr>
            <w:r>
              <w:rPr>
                <w:spacing w:val="-8"/>
              </w:rPr>
              <w:t>105.343377</w:t>
            </w:r>
          </w:p>
        </w:tc>
        <w:tc>
          <w:tcPr>
            <w:tcW w:w="848" w:type="dxa"/>
            <w:vAlign w:val="top"/>
          </w:tcPr>
          <w:p w14:paraId="292E9216">
            <w:pPr>
              <w:pStyle w:val="6"/>
              <w:spacing w:before="113" w:line="188" w:lineRule="auto"/>
              <w:jc w:val="right"/>
            </w:pPr>
            <w:r>
              <w:rPr>
                <w:spacing w:val="-6"/>
              </w:rPr>
              <w:t>29.677743</w:t>
            </w:r>
          </w:p>
        </w:tc>
        <w:tc>
          <w:tcPr>
            <w:tcW w:w="567" w:type="dxa"/>
            <w:vAlign w:val="top"/>
          </w:tcPr>
          <w:p w14:paraId="0B6E2AB6">
            <w:pPr>
              <w:spacing w:before="77"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073A1CD9">
            <w:pPr>
              <w:pStyle w:val="6"/>
              <w:spacing w:before="77" w:line="220" w:lineRule="auto"/>
              <w:ind w:left="204"/>
              <w:rPr>
                <w:rFonts w:ascii="宋体" w:hAnsi="宋体" w:eastAsia="宋体" w:cs="宋体"/>
              </w:rPr>
            </w:pPr>
            <w:r>
              <w:rPr>
                <w:spacing w:val="-8"/>
              </w:rPr>
              <w:t>13</w:t>
            </w:r>
            <w:r>
              <w:rPr>
                <w:spacing w:val="9"/>
              </w:rPr>
              <w:t xml:space="preserve"> </w:t>
            </w:r>
            <w:r>
              <w:rPr>
                <w:rFonts w:ascii="宋体" w:hAnsi="宋体" w:eastAsia="宋体" w:cs="宋体"/>
                <w:spacing w:val="-8"/>
              </w:rPr>
              <w:t>户</w:t>
            </w:r>
          </w:p>
        </w:tc>
        <w:tc>
          <w:tcPr>
            <w:tcW w:w="1132" w:type="dxa"/>
            <w:vMerge w:val="continue"/>
            <w:tcBorders>
              <w:top w:val="nil"/>
              <w:bottom w:val="nil"/>
            </w:tcBorders>
            <w:vAlign w:val="top"/>
          </w:tcPr>
          <w:p w14:paraId="7BF2024A">
            <w:pPr>
              <w:rPr>
                <w:rFonts w:ascii="Arial"/>
                <w:sz w:val="21"/>
              </w:rPr>
            </w:pPr>
          </w:p>
        </w:tc>
        <w:tc>
          <w:tcPr>
            <w:tcW w:w="707" w:type="dxa"/>
            <w:vAlign w:val="top"/>
          </w:tcPr>
          <w:p w14:paraId="395E207A">
            <w:pPr>
              <w:pStyle w:val="6"/>
              <w:spacing w:before="113" w:line="188" w:lineRule="auto"/>
              <w:ind w:left="204"/>
            </w:pPr>
            <w:r>
              <w:rPr>
                <w:spacing w:val="-7"/>
              </w:rPr>
              <w:t>SW</w:t>
            </w:r>
          </w:p>
        </w:tc>
        <w:tc>
          <w:tcPr>
            <w:tcW w:w="955" w:type="dxa"/>
            <w:vAlign w:val="top"/>
          </w:tcPr>
          <w:p w14:paraId="17D64F16">
            <w:pPr>
              <w:pStyle w:val="6"/>
              <w:spacing w:before="113" w:line="188" w:lineRule="auto"/>
              <w:ind w:left="167"/>
            </w:pPr>
            <w:r>
              <w:rPr>
                <w:spacing w:val="-3"/>
              </w:rPr>
              <w:t>86~183</w:t>
            </w:r>
          </w:p>
        </w:tc>
        <w:tc>
          <w:tcPr>
            <w:tcW w:w="721" w:type="dxa"/>
            <w:vAlign w:val="top"/>
          </w:tcPr>
          <w:p w14:paraId="6CA78C9A">
            <w:pPr>
              <w:pStyle w:val="6"/>
              <w:spacing w:before="113" w:line="188" w:lineRule="auto"/>
              <w:jc w:val="right"/>
            </w:pPr>
            <w:r>
              <w:rPr>
                <w:spacing w:val="-7"/>
              </w:rPr>
              <w:t>350~354</w:t>
            </w:r>
          </w:p>
        </w:tc>
      </w:tr>
      <w:tr w14:paraId="49912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52" w:type="dxa"/>
            <w:vMerge w:val="continue"/>
            <w:tcBorders>
              <w:top w:val="nil"/>
              <w:bottom w:val="nil"/>
            </w:tcBorders>
            <w:textDirection w:val="tbRlV"/>
            <w:vAlign w:val="top"/>
          </w:tcPr>
          <w:p w14:paraId="49D92A25">
            <w:pPr>
              <w:rPr>
                <w:rFonts w:ascii="Arial"/>
                <w:sz w:val="21"/>
              </w:rPr>
            </w:pPr>
          </w:p>
        </w:tc>
        <w:tc>
          <w:tcPr>
            <w:tcW w:w="421" w:type="dxa"/>
            <w:vMerge w:val="continue"/>
            <w:tcBorders>
              <w:top w:val="nil"/>
              <w:bottom w:val="nil"/>
            </w:tcBorders>
            <w:textDirection w:val="tbRlV"/>
            <w:vAlign w:val="top"/>
          </w:tcPr>
          <w:p w14:paraId="23502425">
            <w:pPr>
              <w:rPr>
                <w:rFonts w:ascii="Arial"/>
                <w:sz w:val="21"/>
              </w:rPr>
            </w:pPr>
          </w:p>
        </w:tc>
        <w:tc>
          <w:tcPr>
            <w:tcW w:w="707" w:type="dxa"/>
            <w:vAlign w:val="top"/>
          </w:tcPr>
          <w:p w14:paraId="2BE2E76F">
            <w:pPr>
              <w:spacing w:before="74" w:line="220" w:lineRule="auto"/>
              <w:ind w:left="152"/>
              <w:rPr>
                <w:rFonts w:ascii="宋体" w:hAnsi="宋体" w:eastAsia="宋体" w:cs="宋体"/>
                <w:sz w:val="21"/>
                <w:szCs w:val="21"/>
              </w:rPr>
            </w:pPr>
            <w:r>
              <w:rPr>
                <w:rFonts w:ascii="宋体" w:hAnsi="宋体" w:eastAsia="宋体" w:cs="宋体"/>
                <w:spacing w:val="-4"/>
                <w:sz w:val="21"/>
                <w:szCs w:val="21"/>
              </w:rPr>
              <w:t>西侧</w:t>
            </w:r>
          </w:p>
        </w:tc>
        <w:tc>
          <w:tcPr>
            <w:tcW w:w="991" w:type="dxa"/>
            <w:vAlign w:val="top"/>
          </w:tcPr>
          <w:p w14:paraId="3C064AFD">
            <w:pPr>
              <w:pStyle w:val="6"/>
              <w:spacing w:before="111" w:line="188" w:lineRule="auto"/>
              <w:ind w:left="42"/>
            </w:pPr>
            <w:r>
              <w:rPr>
                <w:spacing w:val="-8"/>
              </w:rPr>
              <w:t>105.343043</w:t>
            </w:r>
          </w:p>
        </w:tc>
        <w:tc>
          <w:tcPr>
            <w:tcW w:w="848" w:type="dxa"/>
            <w:vAlign w:val="top"/>
          </w:tcPr>
          <w:p w14:paraId="59D11B9E">
            <w:pPr>
              <w:pStyle w:val="6"/>
              <w:spacing w:before="111" w:line="188" w:lineRule="auto"/>
              <w:jc w:val="right"/>
            </w:pPr>
            <w:r>
              <w:rPr>
                <w:spacing w:val="-6"/>
              </w:rPr>
              <w:t>29.679144</w:t>
            </w:r>
          </w:p>
        </w:tc>
        <w:tc>
          <w:tcPr>
            <w:tcW w:w="567" w:type="dxa"/>
            <w:vAlign w:val="top"/>
          </w:tcPr>
          <w:p w14:paraId="2B2092B9">
            <w:pPr>
              <w:spacing w:before="75"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5238E7DE">
            <w:pPr>
              <w:pStyle w:val="6"/>
              <w:spacing w:before="75" w:line="220" w:lineRule="auto"/>
              <w:ind w:left="237"/>
              <w:rPr>
                <w:rFonts w:ascii="宋体" w:hAnsi="宋体" w:eastAsia="宋体" w:cs="宋体"/>
              </w:rPr>
            </w:pPr>
            <w:r>
              <w:rPr>
                <w:spacing w:val="-3"/>
              </w:rPr>
              <w:t>2</w:t>
            </w:r>
            <w:r>
              <w:rPr>
                <w:spacing w:val="10"/>
              </w:rPr>
              <w:t xml:space="preserve"> </w:t>
            </w:r>
            <w:r>
              <w:rPr>
                <w:rFonts w:ascii="宋体" w:hAnsi="宋体" w:eastAsia="宋体" w:cs="宋体"/>
                <w:spacing w:val="-3"/>
              </w:rPr>
              <w:t>户</w:t>
            </w:r>
          </w:p>
        </w:tc>
        <w:tc>
          <w:tcPr>
            <w:tcW w:w="1132" w:type="dxa"/>
            <w:vMerge w:val="continue"/>
            <w:tcBorders>
              <w:top w:val="nil"/>
              <w:bottom w:val="nil"/>
            </w:tcBorders>
            <w:vAlign w:val="top"/>
          </w:tcPr>
          <w:p w14:paraId="34C1ED3A">
            <w:pPr>
              <w:rPr>
                <w:rFonts w:ascii="Arial"/>
                <w:sz w:val="21"/>
              </w:rPr>
            </w:pPr>
          </w:p>
        </w:tc>
        <w:tc>
          <w:tcPr>
            <w:tcW w:w="707" w:type="dxa"/>
            <w:vAlign w:val="top"/>
          </w:tcPr>
          <w:p w14:paraId="4DCD90B1">
            <w:pPr>
              <w:pStyle w:val="6"/>
              <w:spacing w:before="114" w:line="185" w:lineRule="auto"/>
              <w:ind w:left="251"/>
            </w:pPr>
            <w:r>
              <w:t>W</w:t>
            </w:r>
          </w:p>
        </w:tc>
        <w:tc>
          <w:tcPr>
            <w:tcW w:w="955" w:type="dxa"/>
            <w:vAlign w:val="top"/>
          </w:tcPr>
          <w:p w14:paraId="2D7C0B57">
            <w:pPr>
              <w:pStyle w:val="6"/>
              <w:spacing w:before="111" w:line="188" w:lineRule="auto"/>
              <w:ind w:left="125"/>
            </w:pPr>
            <w:r>
              <w:rPr>
                <w:spacing w:val="-4"/>
              </w:rPr>
              <w:t>143~147</w:t>
            </w:r>
          </w:p>
        </w:tc>
        <w:tc>
          <w:tcPr>
            <w:tcW w:w="721" w:type="dxa"/>
            <w:vAlign w:val="top"/>
          </w:tcPr>
          <w:p w14:paraId="5EB6E73D">
            <w:pPr>
              <w:pStyle w:val="6"/>
              <w:spacing w:before="111" w:line="188" w:lineRule="auto"/>
              <w:jc w:val="right"/>
            </w:pPr>
            <w:r>
              <w:rPr>
                <w:spacing w:val="-7"/>
              </w:rPr>
              <w:t>360~361</w:t>
            </w:r>
          </w:p>
        </w:tc>
      </w:tr>
      <w:tr w14:paraId="3F90D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2" w:type="dxa"/>
            <w:vMerge w:val="continue"/>
            <w:tcBorders>
              <w:top w:val="nil"/>
            </w:tcBorders>
            <w:textDirection w:val="tbRlV"/>
            <w:vAlign w:val="top"/>
          </w:tcPr>
          <w:p w14:paraId="77AA328C">
            <w:pPr>
              <w:rPr>
                <w:rFonts w:ascii="Arial"/>
                <w:sz w:val="21"/>
              </w:rPr>
            </w:pPr>
          </w:p>
        </w:tc>
        <w:tc>
          <w:tcPr>
            <w:tcW w:w="421" w:type="dxa"/>
            <w:vMerge w:val="continue"/>
            <w:tcBorders>
              <w:top w:val="nil"/>
            </w:tcBorders>
            <w:textDirection w:val="tbRlV"/>
            <w:vAlign w:val="top"/>
          </w:tcPr>
          <w:p w14:paraId="1BC39305">
            <w:pPr>
              <w:rPr>
                <w:rFonts w:ascii="Arial"/>
                <w:sz w:val="21"/>
              </w:rPr>
            </w:pPr>
          </w:p>
        </w:tc>
        <w:tc>
          <w:tcPr>
            <w:tcW w:w="707" w:type="dxa"/>
            <w:vAlign w:val="top"/>
          </w:tcPr>
          <w:p w14:paraId="22FD17EE">
            <w:pPr>
              <w:spacing w:before="66" w:line="220" w:lineRule="auto"/>
              <w:ind w:left="47"/>
              <w:rPr>
                <w:rFonts w:ascii="宋体" w:hAnsi="宋体" w:eastAsia="宋体" w:cs="宋体"/>
                <w:sz w:val="21"/>
                <w:szCs w:val="21"/>
              </w:rPr>
            </w:pPr>
            <w:r>
              <w:rPr>
                <w:rFonts w:ascii="宋体" w:hAnsi="宋体" w:eastAsia="宋体" w:cs="宋体"/>
                <w:spacing w:val="-3"/>
                <w:sz w:val="21"/>
                <w:szCs w:val="21"/>
              </w:rPr>
              <w:t>西北侧</w:t>
            </w:r>
          </w:p>
        </w:tc>
        <w:tc>
          <w:tcPr>
            <w:tcW w:w="991" w:type="dxa"/>
            <w:vAlign w:val="top"/>
          </w:tcPr>
          <w:p w14:paraId="01677151">
            <w:pPr>
              <w:pStyle w:val="6"/>
              <w:spacing w:before="103" w:line="188" w:lineRule="auto"/>
              <w:ind w:left="42"/>
            </w:pPr>
            <w:r>
              <w:rPr>
                <w:spacing w:val="-8"/>
              </w:rPr>
              <w:t>105.344365</w:t>
            </w:r>
          </w:p>
        </w:tc>
        <w:tc>
          <w:tcPr>
            <w:tcW w:w="848" w:type="dxa"/>
            <w:vAlign w:val="top"/>
          </w:tcPr>
          <w:p w14:paraId="67BD713B">
            <w:pPr>
              <w:pStyle w:val="6"/>
              <w:spacing w:before="103" w:line="188" w:lineRule="auto"/>
              <w:jc w:val="right"/>
            </w:pPr>
            <w:r>
              <w:rPr>
                <w:spacing w:val="-6"/>
              </w:rPr>
              <w:t>29.680971</w:t>
            </w:r>
          </w:p>
        </w:tc>
        <w:tc>
          <w:tcPr>
            <w:tcW w:w="567" w:type="dxa"/>
            <w:vAlign w:val="top"/>
          </w:tcPr>
          <w:p w14:paraId="5FE30134">
            <w:pPr>
              <w:spacing w:before="67" w:line="220" w:lineRule="auto"/>
              <w:ind w:left="75"/>
              <w:rPr>
                <w:rFonts w:ascii="宋体" w:hAnsi="宋体" w:eastAsia="宋体" w:cs="宋体"/>
                <w:sz w:val="21"/>
                <w:szCs w:val="21"/>
              </w:rPr>
            </w:pPr>
            <w:r>
              <w:rPr>
                <w:rFonts w:ascii="宋体" w:hAnsi="宋体" w:eastAsia="宋体" w:cs="宋体"/>
                <w:spacing w:val="-3"/>
                <w:sz w:val="21"/>
                <w:szCs w:val="21"/>
              </w:rPr>
              <w:t>居民</w:t>
            </w:r>
          </w:p>
        </w:tc>
        <w:tc>
          <w:tcPr>
            <w:tcW w:w="849" w:type="dxa"/>
            <w:vAlign w:val="top"/>
          </w:tcPr>
          <w:p w14:paraId="3DB11CD4">
            <w:pPr>
              <w:pStyle w:val="6"/>
              <w:spacing w:before="67" w:line="220" w:lineRule="auto"/>
              <w:ind w:left="257"/>
              <w:rPr>
                <w:rFonts w:ascii="宋体" w:hAnsi="宋体" w:eastAsia="宋体" w:cs="宋体"/>
              </w:rPr>
            </w:pPr>
            <w:r>
              <w:rPr>
                <w:spacing w:val="-13"/>
              </w:rPr>
              <w:t>1</w:t>
            </w:r>
            <w:r>
              <w:rPr>
                <w:spacing w:val="10"/>
              </w:rPr>
              <w:t xml:space="preserve"> </w:t>
            </w:r>
            <w:r>
              <w:rPr>
                <w:rFonts w:ascii="宋体" w:hAnsi="宋体" w:eastAsia="宋体" w:cs="宋体"/>
                <w:spacing w:val="-13"/>
              </w:rPr>
              <w:t>户</w:t>
            </w:r>
          </w:p>
        </w:tc>
        <w:tc>
          <w:tcPr>
            <w:tcW w:w="1132" w:type="dxa"/>
            <w:vMerge w:val="continue"/>
            <w:tcBorders>
              <w:top w:val="nil"/>
            </w:tcBorders>
            <w:vAlign w:val="top"/>
          </w:tcPr>
          <w:p w14:paraId="21BB9046">
            <w:pPr>
              <w:rPr>
                <w:rFonts w:ascii="Arial"/>
                <w:sz w:val="21"/>
              </w:rPr>
            </w:pPr>
          </w:p>
        </w:tc>
        <w:tc>
          <w:tcPr>
            <w:tcW w:w="707" w:type="dxa"/>
            <w:vAlign w:val="top"/>
          </w:tcPr>
          <w:p w14:paraId="640F290A">
            <w:pPr>
              <w:pStyle w:val="6"/>
              <w:spacing w:before="106" w:line="185" w:lineRule="auto"/>
              <w:ind w:left="170"/>
            </w:pPr>
            <w:r>
              <w:rPr>
                <w:spacing w:val="1"/>
              </w:rPr>
              <w:t>NW</w:t>
            </w:r>
          </w:p>
        </w:tc>
        <w:tc>
          <w:tcPr>
            <w:tcW w:w="955" w:type="dxa"/>
            <w:vAlign w:val="top"/>
          </w:tcPr>
          <w:p w14:paraId="74A034E1">
            <w:pPr>
              <w:pStyle w:val="6"/>
              <w:spacing w:before="103" w:line="188" w:lineRule="auto"/>
              <w:ind w:left="340"/>
            </w:pPr>
            <w:r>
              <w:rPr>
                <w:spacing w:val="-9"/>
              </w:rPr>
              <w:t>188</w:t>
            </w:r>
          </w:p>
        </w:tc>
        <w:tc>
          <w:tcPr>
            <w:tcW w:w="721" w:type="dxa"/>
            <w:vAlign w:val="top"/>
          </w:tcPr>
          <w:p w14:paraId="5EB01C7C">
            <w:pPr>
              <w:pStyle w:val="6"/>
              <w:spacing w:before="103" w:line="188" w:lineRule="auto"/>
              <w:ind w:left="209"/>
            </w:pPr>
            <w:r>
              <w:rPr>
                <w:spacing w:val="-3"/>
              </w:rPr>
              <w:t>356</w:t>
            </w:r>
          </w:p>
        </w:tc>
      </w:tr>
      <w:tr w14:paraId="625E0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52" w:type="dxa"/>
            <w:vMerge w:val="restart"/>
            <w:tcBorders>
              <w:bottom w:val="nil"/>
            </w:tcBorders>
            <w:textDirection w:val="tbRlV"/>
            <w:vAlign w:val="top"/>
          </w:tcPr>
          <w:p w14:paraId="71DD98FF">
            <w:pPr>
              <w:spacing w:before="117" w:line="209" w:lineRule="auto"/>
              <w:ind w:left="130"/>
              <w:rPr>
                <w:rFonts w:ascii="宋体" w:hAnsi="宋体" w:eastAsia="宋体" w:cs="宋体"/>
                <w:sz w:val="21"/>
                <w:szCs w:val="21"/>
              </w:rPr>
            </w:pPr>
            <w:r>
              <w:rPr>
                <w:rFonts w:ascii="宋体" w:hAnsi="宋体" w:eastAsia="宋体" w:cs="宋体"/>
                <w:spacing w:val="-2"/>
                <w:sz w:val="21"/>
                <w:szCs w:val="21"/>
              </w:rPr>
              <w:t>地 表 水</w:t>
            </w:r>
          </w:p>
        </w:tc>
        <w:tc>
          <w:tcPr>
            <w:tcW w:w="1128" w:type="dxa"/>
            <w:gridSpan w:val="2"/>
            <w:vAlign w:val="top"/>
          </w:tcPr>
          <w:p w14:paraId="2F2F31EE">
            <w:pPr>
              <w:spacing w:before="67" w:line="220" w:lineRule="auto"/>
              <w:ind w:left="250"/>
              <w:rPr>
                <w:rFonts w:ascii="宋体" w:hAnsi="宋体" w:eastAsia="宋体" w:cs="宋体"/>
                <w:sz w:val="21"/>
                <w:szCs w:val="21"/>
              </w:rPr>
            </w:pPr>
            <w:r>
              <w:rPr>
                <w:rFonts w:ascii="宋体" w:hAnsi="宋体" w:eastAsia="宋体" w:cs="宋体"/>
                <w:spacing w:val="-3"/>
                <w:sz w:val="21"/>
                <w:szCs w:val="21"/>
              </w:rPr>
              <w:t>五桂溪</w:t>
            </w:r>
          </w:p>
        </w:tc>
        <w:tc>
          <w:tcPr>
            <w:tcW w:w="3255" w:type="dxa"/>
            <w:gridSpan w:val="4"/>
            <w:vAlign w:val="top"/>
          </w:tcPr>
          <w:p w14:paraId="21C5CD23">
            <w:pPr>
              <w:spacing w:before="67" w:line="220" w:lineRule="auto"/>
              <w:ind w:left="10"/>
              <w:rPr>
                <w:rFonts w:ascii="宋体" w:hAnsi="宋体" w:eastAsia="宋体" w:cs="宋体"/>
                <w:sz w:val="21"/>
                <w:szCs w:val="21"/>
              </w:rPr>
            </w:pPr>
            <w:r>
              <w:rPr>
                <w:rFonts w:ascii="宋体" w:hAnsi="宋体" w:eastAsia="宋体" w:cs="宋体"/>
                <w:spacing w:val="-3"/>
                <w:sz w:val="21"/>
                <w:szCs w:val="21"/>
              </w:rPr>
              <w:t>小型河流，水功能为行洪、灌溉。</w:t>
            </w:r>
          </w:p>
        </w:tc>
        <w:tc>
          <w:tcPr>
            <w:tcW w:w="1132" w:type="dxa"/>
            <w:vMerge w:val="restart"/>
            <w:tcBorders>
              <w:bottom w:val="nil"/>
            </w:tcBorders>
            <w:vAlign w:val="top"/>
          </w:tcPr>
          <w:p w14:paraId="6F793B24">
            <w:pPr>
              <w:pStyle w:val="6"/>
              <w:spacing w:before="31" w:line="231" w:lineRule="auto"/>
              <w:ind w:left="43" w:hanging="32"/>
              <w:rPr>
                <w:rFonts w:ascii="宋体" w:hAnsi="宋体" w:eastAsia="宋体" w:cs="宋体"/>
              </w:rPr>
            </w:pPr>
            <w:r>
              <w:rPr>
                <w:rFonts w:ascii="宋体" w:hAnsi="宋体" w:eastAsia="宋体" w:cs="宋体"/>
                <w:spacing w:val="-22"/>
                <w:w w:val="98"/>
              </w:rPr>
              <w:t>《地表水环</w:t>
            </w:r>
            <w:r>
              <w:rPr>
                <w:rFonts w:ascii="宋体" w:hAnsi="宋体" w:eastAsia="宋体" w:cs="宋体"/>
                <w:spacing w:val="-10"/>
                <w:w w:val="98"/>
              </w:rPr>
              <w:t>境</w:t>
            </w:r>
            <w:r>
              <w:rPr>
                <w:rFonts w:ascii="宋体" w:hAnsi="宋体" w:eastAsia="宋体" w:cs="宋体"/>
                <w:spacing w:val="-4"/>
              </w:rPr>
              <w:t>质量标准》</w:t>
            </w:r>
            <w:r>
              <w:rPr>
                <w:rFonts w:ascii="宋体" w:hAnsi="宋体" w:eastAsia="宋体" w:cs="宋体"/>
              </w:rPr>
              <w:t xml:space="preserve"> </w:t>
            </w:r>
            <w:r>
              <w:rPr>
                <w:rFonts w:ascii="宋体" w:hAnsi="宋体" w:eastAsia="宋体" w:cs="宋体"/>
                <w:spacing w:val="1"/>
              </w:rPr>
              <w:t>（</w:t>
            </w:r>
            <w:r>
              <w:t>GB</w:t>
            </w:r>
            <w:r>
              <w:rPr>
                <w:spacing w:val="1"/>
              </w:rPr>
              <w:t>3838-</w:t>
            </w:r>
            <w:r>
              <w:t xml:space="preserve"> </w:t>
            </w:r>
            <w:r>
              <w:rPr>
                <w:spacing w:val="-3"/>
              </w:rPr>
              <w:t>2002</w:t>
            </w:r>
            <w:r>
              <w:rPr>
                <w:rFonts w:ascii="宋体" w:hAnsi="宋体" w:eastAsia="宋体" w:cs="宋体"/>
                <w:spacing w:val="-3"/>
              </w:rPr>
              <w:t>）</w:t>
            </w:r>
            <w:r>
              <w:rPr>
                <w:spacing w:val="-3"/>
              </w:rPr>
              <w:t>Ⅲ</w:t>
            </w:r>
            <w:r>
              <w:rPr>
                <w:rFonts w:ascii="宋体" w:hAnsi="宋体" w:eastAsia="宋体" w:cs="宋体"/>
                <w:spacing w:val="-3"/>
              </w:rPr>
              <w:t>类</w:t>
            </w:r>
          </w:p>
        </w:tc>
        <w:tc>
          <w:tcPr>
            <w:tcW w:w="707" w:type="dxa"/>
            <w:vAlign w:val="top"/>
          </w:tcPr>
          <w:p w14:paraId="2E9BE84A">
            <w:pPr>
              <w:pStyle w:val="6"/>
              <w:spacing w:before="107" w:line="185" w:lineRule="auto"/>
              <w:ind w:left="270"/>
            </w:pPr>
            <w:r>
              <w:rPr>
                <w:spacing w:val="2"/>
              </w:rPr>
              <w:t>N</w:t>
            </w:r>
          </w:p>
        </w:tc>
        <w:tc>
          <w:tcPr>
            <w:tcW w:w="955" w:type="dxa"/>
            <w:vAlign w:val="top"/>
          </w:tcPr>
          <w:p w14:paraId="3D6E75AA">
            <w:pPr>
              <w:pStyle w:val="6"/>
              <w:spacing w:before="104" w:line="188" w:lineRule="auto"/>
              <w:ind w:left="323"/>
            </w:pPr>
            <w:r>
              <w:rPr>
                <w:spacing w:val="-3"/>
              </w:rPr>
              <w:t>736</w:t>
            </w:r>
          </w:p>
        </w:tc>
        <w:tc>
          <w:tcPr>
            <w:tcW w:w="721" w:type="dxa"/>
            <w:vAlign w:val="top"/>
          </w:tcPr>
          <w:p w14:paraId="48777DE6">
            <w:pPr>
              <w:pStyle w:val="6"/>
              <w:spacing w:before="104" w:line="188" w:lineRule="auto"/>
              <w:ind w:left="204"/>
            </w:pPr>
            <w:r>
              <w:rPr>
                <w:spacing w:val="-3"/>
              </w:rPr>
              <w:t>330</w:t>
            </w:r>
          </w:p>
        </w:tc>
      </w:tr>
      <w:tr w14:paraId="53568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2" w:type="dxa"/>
            <w:vMerge w:val="continue"/>
            <w:tcBorders>
              <w:top w:val="nil"/>
              <w:bottom w:val="nil"/>
            </w:tcBorders>
            <w:textDirection w:val="tbRlV"/>
            <w:vAlign w:val="top"/>
          </w:tcPr>
          <w:p w14:paraId="673D4CD3">
            <w:pPr>
              <w:rPr>
                <w:rFonts w:ascii="Arial"/>
                <w:sz w:val="21"/>
              </w:rPr>
            </w:pPr>
          </w:p>
        </w:tc>
        <w:tc>
          <w:tcPr>
            <w:tcW w:w="1128" w:type="dxa"/>
            <w:gridSpan w:val="2"/>
            <w:vAlign w:val="top"/>
          </w:tcPr>
          <w:p w14:paraId="72431176">
            <w:pPr>
              <w:spacing w:before="68" w:line="220" w:lineRule="auto"/>
              <w:ind w:left="248"/>
              <w:rPr>
                <w:rFonts w:ascii="宋体" w:hAnsi="宋体" w:eastAsia="宋体" w:cs="宋体"/>
                <w:sz w:val="21"/>
                <w:szCs w:val="21"/>
              </w:rPr>
            </w:pPr>
            <w:r>
              <w:rPr>
                <w:rFonts w:ascii="宋体" w:hAnsi="宋体" w:eastAsia="宋体" w:cs="宋体"/>
                <w:spacing w:val="-3"/>
                <w:sz w:val="21"/>
                <w:szCs w:val="21"/>
              </w:rPr>
              <w:t>石核河</w:t>
            </w:r>
          </w:p>
        </w:tc>
        <w:tc>
          <w:tcPr>
            <w:tcW w:w="3255" w:type="dxa"/>
            <w:gridSpan w:val="4"/>
            <w:vAlign w:val="top"/>
          </w:tcPr>
          <w:p w14:paraId="26A411C3">
            <w:pPr>
              <w:spacing w:before="67" w:line="220" w:lineRule="auto"/>
              <w:ind w:left="10"/>
              <w:rPr>
                <w:rFonts w:ascii="宋体" w:hAnsi="宋体" w:eastAsia="宋体" w:cs="宋体"/>
                <w:sz w:val="21"/>
                <w:szCs w:val="21"/>
              </w:rPr>
            </w:pPr>
            <w:r>
              <w:rPr>
                <w:rFonts w:ascii="宋体" w:hAnsi="宋体" w:eastAsia="宋体" w:cs="宋体"/>
                <w:spacing w:val="-3"/>
                <w:sz w:val="21"/>
                <w:szCs w:val="21"/>
              </w:rPr>
              <w:t>小型河流，水功能为行洪、灌溉。</w:t>
            </w:r>
          </w:p>
        </w:tc>
        <w:tc>
          <w:tcPr>
            <w:tcW w:w="1132" w:type="dxa"/>
            <w:vMerge w:val="continue"/>
            <w:tcBorders>
              <w:top w:val="nil"/>
              <w:bottom w:val="nil"/>
            </w:tcBorders>
            <w:vAlign w:val="top"/>
          </w:tcPr>
          <w:p w14:paraId="0B7FB653">
            <w:pPr>
              <w:rPr>
                <w:rFonts w:ascii="Arial"/>
                <w:sz w:val="21"/>
              </w:rPr>
            </w:pPr>
          </w:p>
        </w:tc>
        <w:tc>
          <w:tcPr>
            <w:tcW w:w="707" w:type="dxa"/>
            <w:vAlign w:val="top"/>
          </w:tcPr>
          <w:p w14:paraId="761DE4BA">
            <w:pPr>
              <w:pStyle w:val="6"/>
              <w:spacing w:before="104" w:line="188" w:lineRule="auto"/>
              <w:ind w:left="302"/>
            </w:pPr>
            <w:r>
              <w:t>S</w:t>
            </w:r>
          </w:p>
        </w:tc>
        <w:tc>
          <w:tcPr>
            <w:tcW w:w="955" w:type="dxa"/>
            <w:vAlign w:val="top"/>
          </w:tcPr>
          <w:p w14:paraId="18967EAF">
            <w:pPr>
              <w:pStyle w:val="6"/>
              <w:spacing w:before="104" w:line="188" w:lineRule="auto"/>
              <w:ind w:left="320"/>
            </w:pPr>
            <w:r>
              <w:rPr>
                <w:spacing w:val="-2"/>
              </w:rPr>
              <w:t>228</w:t>
            </w:r>
          </w:p>
        </w:tc>
        <w:tc>
          <w:tcPr>
            <w:tcW w:w="721" w:type="dxa"/>
            <w:vAlign w:val="top"/>
          </w:tcPr>
          <w:p w14:paraId="0115503B">
            <w:pPr>
              <w:pStyle w:val="6"/>
              <w:spacing w:before="104" w:line="188" w:lineRule="auto"/>
              <w:ind w:left="204"/>
            </w:pPr>
            <w:r>
              <w:rPr>
                <w:spacing w:val="-3"/>
              </w:rPr>
              <w:t>337</w:t>
            </w:r>
          </w:p>
        </w:tc>
      </w:tr>
      <w:tr w14:paraId="46C37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2" w:type="dxa"/>
            <w:vMerge w:val="continue"/>
            <w:tcBorders>
              <w:top w:val="nil"/>
            </w:tcBorders>
            <w:textDirection w:val="tbRlV"/>
            <w:vAlign w:val="top"/>
          </w:tcPr>
          <w:p w14:paraId="36A2A3A7">
            <w:pPr>
              <w:rPr>
                <w:rFonts w:ascii="Arial"/>
                <w:sz w:val="21"/>
              </w:rPr>
            </w:pPr>
          </w:p>
        </w:tc>
        <w:tc>
          <w:tcPr>
            <w:tcW w:w="1128" w:type="dxa"/>
            <w:gridSpan w:val="2"/>
            <w:vAlign w:val="top"/>
          </w:tcPr>
          <w:p w14:paraId="2B4B662B">
            <w:pPr>
              <w:spacing w:before="92" w:line="220" w:lineRule="auto"/>
              <w:ind w:left="145"/>
              <w:rPr>
                <w:rFonts w:ascii="宋体" w:hAnsi="宋体" w:eastAsia="宋体" w:cs="宋体"/>
                <w:sz w:val="21"/>
                <w:szCs w:val="21"/>
              </w:rPr>
            </w:pPr>
            <w:r>
              <w:rPr>
                <w:rFonts w:ascii="宋体" w:hAnsi="宋体" w:eastAsia="宋体" w:cs="宋体"/>
                <w:spacing w:val="-3"/>
                <w:sz w:val="21"/>
                <w:szCs w:val="21"/>
              </w:rPr>
              <w:t>大清流河</w:t>
            </w:r>
          </w:p>
        </w:tc>
        <w:tc>
          <w:tcPr>
            <w:tcW w:w="3255" w:type="dxa"/>
            <w:gridSpan w:val="4"/>
            <w:vAlign w:val="top"/>
          </w:tcPr>
          <w:p w14:paraId="511E9368">
            <w:pPr>
              <w:spacing w:before="91" w:line="220" w:lineRule="auto"/>
              <w:jc w:val="right"/>
              <w:rPr>
                <w:rFonts w:ascii="宋体" w:hAnsi="宋体" w:eastAsia="宋体" w:cs="宋体"/>
                <w:sz w:val="21"/>
                <w:szCs w:val="21"/>
              </w:rPr>
            </w:pPr>
            <w:r>
              <w:rPr>
                <w:rFonts w:ascii="宋体" w:hAnsi="宋体" w:eastAsia="宋体" w:cs="宋体"/>
                <w:spacing w:val="-23"/>
                <w:sz w:val="21"/>
                <w:szCs w:val="21"/>
              </w:rPr>
              <w:t>中型河流，水功能为饮用、农业用水。</w:t>
            </w:r>
          </w:p>
        </w:tc>
        <w:tc>
          <w:tcPr>
            <w:tcW w:w="1132" w:type="dxa"/>
            <w:vMerge w:val="continue"/>
            <w:tcBorders>
              <w:top w:val="nil"/>
            </w:tcBorders>
            <w:vAlign w:val="top"/>
          </w:tcPr>
          <w:p w14:paraId="0DBC6543">
            <w:pPr>
              <w:rPr>
                <w:rFonts w:ascii="Arial"/>
                <w:sz w:val="21"/>
              </w:rPr>
            </w:pPr>
          </w:p>
        </w:tc>
        <w:tc>
          <w:tcPr>
            <w:tcW w:w="707" w:type="dxa"/>
            <w:vAlign w:val="top"/>
          </w:tcPr>
          <w:p w14:paraId="3101A03D">
            <w:pPr>
              <w:pStyle w:val="6"/>
              <w:spacing w:before="131" w:line="185" w:lineRule="auto"/>
              <w:ind w:left="205"/>
            </w:pPr>
            <w:r>
              <w:rPr>
                <w:spacing w:val="1"/>
              </w:rPr>
              <w:t>NE</w:t>
            </w:r>
          </w:p>
        </w:tc>
        <w:tc>
          <w:tcPr>
            <w:tcW w:w="955" w:type="dxa"/>
            <w:vAlign w:val="top"/>
          </w:tcPr>
          <w:p w14:paraId="46F5EB18">
            <w:pPr>
              <w:pStyle w:val="6"/>
              <w:spacing w:before="128" w:line="188" w:lineRule="auto"/>
              <w:ind w:left="286"/>
            </w:pPr>
            <w:r>
              <w:rPr>
                <w:spacing w:val="-6"/>
              </w:rPr>
              <w:t>1040</w:t>
            </w:r>
          </w:p>
        </w:tc>
        <w:tc>
          <w:tcPr>
            <w:tcW w:w="721" w:type="dxa"/>
            <w:vAlign w:val="top"/>
          </w:tcPr>
          <w:p w14:paraId="318C71CB">
            <w:pPr>
              <w:pStyle w:val="6"/>
              <w:spacing w:before="128" w:line="188" w:lineRule="auto"/>
              <w:ind w:left="204"/>
            </w:pPr>
            <w:r>
              <w:rPr>
                <w:spacing w:val="-3"/>
              </w:rPr>
              <w:t>328</w:t>
            </w:r>
          </w:p>
        </w:tc>
      </w:tr>
      <w:tr w14:paraId="3EA03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52" w:type="dxa"/>
            <w:textDirection w:val="tbRlV"/>
            <w:vAlign w:val="top"/>
          </w:tcPr>
          <w:p w14:paraId="5762E37D">
            <w:pPr>
              <w:spacing w:before="118" w:line="208" w:lineRule="auto"/>
              <w:ind w:left="54"/>
              <w:rPr>
                <w:rFonts w:ascii="宋体" w:hAnsi="宋体" w:eastAsia="宋体" w:cs="宋体"/>
                <w:sz w:val="21"/>
                <w:szCs w:val="21"/>
              </w:rPr>
            </w:pPr>
            <w:r>
              <w:rPr>
                <w:rFonts w:ascii="宋体" w:hAnsi="宋体" w:eastAsia="宋体" w:cs="宋体"/>
                <w:spacing w:val="-2"/>
                <w:sz w:val="21"/>
                <w:szCs w:val="21"/>
              </w:rPr>
              <w:t>地 下 水</w:t>
            </w:r>
          </w:p>
        </w:tc>
        <w:tc>
          <w:tcPr>
            <w:tcW w:w="4383" w:type="dxa"/>
            <w:gridSpan w:val="6"/>
            <w:vAlign w:val="top"/>
          </w:tcPr>
          <w:p w14:paraId="3FB02B13">
            <w:pPr>
              <w:pStyle w:val="6"/>
              <w:spacing w:before="52" w:line="257" w:lineRule="auto"/>
              <w:ind w:left="2" w:right="6"/>
              <w:jc w:val="both"/>
              <w:rPr>
                <w:rFonts w:ascii="宋体" w:hAnsi="宋体" w:eastAsia="宋体" w:cs="宋体"/>
              </w:rPr>
            </w:pPr>
            <w:r>
              <w:rPr>
                <w:rFonts w:ascii="宋体" w:hAnsi="宋体" w:eastAsia="宋体" w:cs="宋体"/>
                <w:spacing w:val="-2"/>
              </w:rPr>
              <w:t>评价范围内农户用水来自于村民家用水井，属分</w:t>
            </w:r>
            <w:r>
              <w:rPr>
                <w:rFonts w:ascii="宋体" w:hAnsi="宋体" w:eastAsia="宋体" w:cs="宋体"/>
                <w:spacing w:val="3"/>
              </w:rPr>
              <w:t>散式饮用水源。项目拟设</w:t>
            </w:r>
            <w:r>
              <w:rPr>
                <w:spacing w:val="3"/>
              </w:rPr>
              <w:t>1</w:t>
            </w:r>
            <w:r>
              <w:rPr>
                <w:rFonts w:ascii="宋体" w:hAnsi="宋体" w:eastAsia="宋体" w:cs="宋体"/>
                <w:spacing w:val="3"/>
              </w:rPr>
              <w:t>口地下水井，供养殖</w:t>
            </w:r>
            <w:r>
              <w:rPr>
                <w:rFonts w:ascii="宋体" w:hAnsi="宋体" w:eastAsia="宋体" w:cs="宋体"/>
                <w:spacing w:val="-4"/>
              </w:rPr>
              <w:t>场生产、生活用水。</w:t>
            </w:r>
          </w:p>
        </w:tc>
        <w:tc>
          <w:tcPr>
            <w:tcW w:w="1839" w:type="dxa"/>
            <w:gridSpan w:val="2"/>
            <w:vAlign w:val="top"/>
          </w:tcPr>
          <w:p w14:paraId="7748F554">
            <w:pPr>
              <w:spacing w:before="53" w:line="220" w:lineRule="auto"/>
              <w:jc w:val="right"/>
              <w:rPr>
                <w:rFonts w:ascii="宋体" w:hAnsi="宋体" w:eastAsia="宋体" w:cs="宋体"/>
                <w:sz w:val="21"/>
                <w:szCs w:val="21"/>
              </w:rPr>
            </w:pPr>
            <w:r>
              <w:rPr>
                <w:rFonts w:ascii="宋体" w:hAnsi="宋体" w:eastAsia="宋体" w:cs="宋体"/>
                <w:spacing w:val="-10"/>
                <w:sz w:val="21"/>
                <w:szCs w:val="21"/>
              </w:rPr>
              <w:t>《地下水质量标准》</w:t>
            </w:r>
          </w:p>
          <w:p w14:paraId="2F951603">
            <w:pPr>
              <w:pStyle w:val="6"/>
              <w:spacing w:before="62" w:line="232" w:lineRule="auto"/>
              <w:jc w:val="right"/>
              <w:rPr>
                <w:rFonts w:ascii="宋体" w:hAnsi="宋体" w:eastAsia="宋体" w:cs="宋体"/>
              </w:rPr>
            </w:pPr>
            <w:r>
              <w:rPr>
                <w:rFonts w:ascii="宋体" w:hAnsi="宋体" w:eastAsia="宋体" w:cs="宋体"/>
                <w:spacing w:val="-6"/>
              </w:rPr>
              <w:t>（</w:t>
            </w:r>
            <w:r>
              <w:rPr>
                <w:spacing w:val="-6"/>
              </w:rPr>
              <w:t>GB/T14848-2017</w:t>
            </w:r>
            <w:r>
              <w:rPr>
                <w:rFonts w:ascii="宋体" w:hAnsi="宋体" w:eastAsia="宋体" w:cs="宋体"/>
                <w:spacing w:val="-6"/>
              </w:rPr>
              <w:t>）</w:t>
            </w:r>
          </w:p>
          <w:p w14:paraId="766F2C24">
            <w:pPr>
              <w:pStyle w:val="6"/>
              <w:spacing w:before="47" w:line="220" w:lineRule="auto"/>
              <w:ind w:left="292"/>
              <w:rPr>
                <w:rFonts w:ascii="宋体" w:hAnsi="宋体" w:eastAsia="宋体" w:cs="宋体"/>
              </w:rPr>
            </w:pPr>
            <w:r>
              <w:rPr>
                <w:spacing w:val="-1"/>
              </w:rPr>
              <w:t>Ⅲ</w:t>
            </w:r>
            <w:r>
              <w:rPr>
                <w:rFonts w:ascii="宋体" w:hAnsi="宋体" w:eastAsia="宋体" w:cs="宋体"/>
                <w:spacing w:val="-1"/>
              </w:rPr>
              <w:t>类水域标准</w:t>
            </w:r>
          </w:p>
        </w:tc>
        <w:tc>
          <w:tcPr>
            <w:tcW w:w="1676" w:type="dxa"/>
            <w:gridSpan w:val="2"/>
            <w:vAlign w:val="top"/>
          </w:tcPr>
          <w:p w14:paraId="582F6647">
            <w:pPr>
              <w:spacing w:line="336" w:lineRule="auto"/>
              <w:rPr>
                <w:rFonts w:ascii="Arial"/>
                <w:sz w:val="21"/>
              </w:rPr>
            </w:pPr>
          </w:p>
          <w:p w14:paraId="48D4594B">
            <w:pPr>
              <w:pStyle w:val="6"/>
              <w:spacing w:before="60" w:line="192" w:lineRule="auto"/>
              <w:ind w:left="802"/>
            </w:pPr>
            <w:r>
              <w:t>/</w:t>
            </w:r>
          </w:p>
        </w:tc>
      </w:tr>
      <w:tr w14:paraId="6A0E9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452" w:type="dxa"/>
            <w:vAlign w:val="top"/>
          </w:tcPr>
          <w:p w14:paraId="47224DE6">
            <w:pPr>
              <w:spacing w:before="256" w:line="216" w:lineRule="auto"/>
              <w:ind w:left="126" w:right="118"/>
              <w:rPr>
                <w:rFonts w:ascii="宋体" w:hAnsi="宋体" w:eastAsia="宋体" w:cs="宋体"/>
                <w:sz w:val="21"/>
                <w:szCs w:val="21"/>
              </w:rPr>
            </w:pPr>
            <w:r>
              <w:rPr>
                <w:rFonts w:ascii="宋体" w:hAnsi="宋体" w:eastAsia="宋体" w:cs="宋体"/>
                <w:spacing w:val="-10"/>
                <w:sz w:val="21"/>
                <w:szCs w:val="21"/>
              </w:rPr>
              <w:t>土</w:t>
            </w:r>
            <w:r>
              <w:rPr>
                <w:rFonts w:ascii="宋体" w:hAnsi="宋体" w:eastAsia="宋体" w:cs="宋体"/>
                <w:spacing w:val="-9"/>
                <w:sz w:val="21"/>
                <w:szCs w:val="21"/>
              </w:rPr>
              <w:t>壤</w:t>
            </w:r>
          </w:p>
        </w:tc>
        <w:tc>
          <w:tcPr>
            <w:tcW w:w="4383" w:type="dxa"/>
            <w:gridSpan w:val="6"/>
            <w:vAlign w:val="top"/>
          </w:tcPr>
          <w:p w14:paraId="458229CD">
            <w:pPr>
              <w:pStyle w:val="6"/>
              <w:spacing w:before="222" w:line="277" w:lineRule="auto"/>
              <w:ind w:left="3" w:right="5"/>
              <w:rPr>
                <w:rFonts w:ascii="宋体" w:hAnsi="宋体" w:eastAsia="宋体" w:cs="宋体"/>
              </w:rPr>
            </w:pPr>
            <w:r>
              <w:rPr>
                <w:rFonts w:ascii="宋体" w:hAnsi="宋体" w:eastAsia="宋体" w:cs="宋体"/>
              </w:rPr>
              <w:t>本项目占地范围内及周围</w:t>
            </w:r>
            <w:r>
              <w:t>50m</w:t>
            </w:r>
            <w:r>
              <w:rPr>
                <w:rFonts w:ascii="宋体" w:hAnsi="宋体" w:eastAsia="宋体" w:cs="宋体"/>
              </w:rPr>
              <w:t>范围、消纳地土壤</w:t>
            </w:r>
            <w:r>
              <w:rPr>
                <w:rFonts w:ascii="宋体" w:hAnsi="宋体" w:eastAsia="宋体" w:cs="宋体"/>
                <w:spacing w:val="-9"/>
              </w:rPr>
              <w:t>环境。</w:t>
            </w:r>
          </w:p>
        </w:tc>
        <w:tc>
          <w:tcPr>
            <w:tcW w:w="1839" w:type="dxa"/>
            <w:gridSpan w:val="2"/>
            <w:vAlign w:val="top"/>
          </w:tcPr>
          <w:p w14:paraId="3335C260">
            <w:pPr>
              <w:spacing w:before="16" w:line="211" w:lineRule="auto"/>
              <w:ind w:left="84"/>
              <w:rPr>
                <w:rFonts w:ascii="宋体" w:hAnsi="宋体" w:eastAsia="宋体" w:cs="宋体"/>
                <w:sz w:val="21"/>
                <w:szCs w:val="21"/>
              </w:rPr>
            </w:pPr>
            <w:r>
              <w:rPr>
                <w:rFonts w:ascii="宋体" w:hAnsi="宋体" w:eastAsia="宋体" w:cs="宋体"/>
                <w:spacing w:val="-11"/>
                <w:sz w:val="21"/>
                <w:szCs w:val="21"/>
              </w:rPr>
              <w:t>《土壤环境质量 农</w:t>
            </w:r>
          </w:p>
          <w:p w14:paraId="44AC5EAF">
            <w:pPr>
              <w:spacing w:before="1" w:line="210" w:lineRule="auto"/>
              <w:ind w:left="32"/>
              <w:rPr>
                <w:rFonts w:ascii="宋体" w:hAnsi="宋体" w:eastAsia="宋体" w:cs="宋体"/>
                <w:sz w:val="21"/>
                <w:szCs w:val="21"/>
              </w:rPr>
            </w:pPr>
            <w:r>
              <w:rPr>
                <w:rFonts w:ascii="宋体" w:hAnsi="宋体" w:eastAsia="宋体" w:cs="宋体"/>
                <w:spacing w:val="-11"/>
                <w:sz w:val="21"/>
                <w:szCs w:val="21"/>
              </w:rPr>
              <w:t>用地土壤污染风险管</w:t>
            </w:r>
          </w:p>
          <w:p w14:paraId="7229BA41">
            <w:pPr>
              <w:spacing w:before="1" w:line="210" w:lineRule="auto"/>
              <w:ind w:left="574"/>
              <w:rPr>
                <w:rFonts w:ascii="宋体" w:hAnsi="宋体" w:eastAsia="宋体" w:cs="宋体"/>
                <w:sz w:val="21"/>
                <w:szCs w:val="21"/>
              </w:rPr>
            </w:pPr>
            <w:r>
              <w:rPr>
                <w:rFonts w:ascii="宋体" w:hAnsi="宋体" w:eastAsia="宋体" w:cs="宋体"/>
                <w:spacing w:val="-10"/>
                <w:sz w:val="21"/>
                <w:szCs w:val="21"/>
              </w:rPr>
              <w:t>控标准》</w:t>
            </w:r>
          </w:p>
          <w:p w14:paraId="5AAA69A5">
            <w:pPr>
              <w:pStyle w:val="6"/>
              <w:spacing w:line="196" w:lineRule="auto"/>
              <w:ind w:left="113"/>
              <w:rPr>
                <w:rFonts w:ascii="宋体" w:hAnsi="宋体" w:eastAsia="宋体" w:cs="宋体"/>
              </w:rPr>
            </w:pPr>
            <w:r>
              <w:rPr>
                <w:rFonts w:ascii="宋体" w:hAnsi="宋体" w:eastAsia="宋体" w:cs="宋体"/>
                <w:spacing w:val="-7"/>
              </w:rPr>
              <w:t>（</w:t>
            </w:r>
            <w:r>
              <w:rPr>
                <w:spacing w:val="-7"/>
              </w:rPr>
              <w:t>GB15618-2018</w:t>
            </w:r>
            <w:r>
              <w:rPr>
                <w:rFonts w:ascii="宋体" w:hAnsi="宋体" w:eastAsia="宋体" w:cs="宋体"/>
                <w:spacing w:val="-7"/>
              </w:rPr>
              <w:t>）</w:t>
            </w:r>
          </w:p>
        </w:tc>
        <w:tc>
          <w:tcPr>
            <w:tcW w:w="1676" w:type="dxa"/>
            <w:gridSpan w:val="2"/>
            <w:vAlign w:val="top"/>
          </w:tcPr>
          <w:p w14:paraId="37094C3C">
            <w:pPr>
              <w:spacing w:line="346" w:lineRule="auto"/>
              <w:rPr>
                <w:rFonts w:ascii="Arial"/>
                <w:sz w:val="21"/>
              </w:rPr>
            </w:pPr>
          </w:p>
          <w:p w14:paraId="528B9B7F">
            <w:pPr>
              <w:pStyle w:val="6"/>
              <w:spacing w:before="60" w:line="192" w:lineRule="auto"/>
              <w:ind w:left="802"/>
            </w:pPr>
            <w:r>
              <w:t>/</w:t>
            </w:r>
          </w:p>
        </w:tc>
      </w:tr>
    </w:tbl>
    <w:p w14:paraId="15EAB61F">
      <w:pPr>
        <w:spacing w:before="234" w:line="219" w:lineRule="auto"/>
        <w:ind w:left="520"/>
        <w:rPr>
          <w:rFonts w:ascii="宋体" w:hAnsi="宋体" w:eastAsia="宋体" w:cs="宋体"/>
          <w:sz w:val="24"/>
          <w:szCs w:val="24"/>
        </w:rPr>
      </w:pPr>
      <w:r>
        <w:rPr>
          <w:rFonts w:ascii="宋体" w:hAnsi="宋体" w:eastAsia="宋体" w:cs="宋体"/>
          <w:spacing w:val="-2"/>
          <w:sz w:val="24"/>
          <w:szCs w:val="24"/>
        </w:rPr>
        <w:t>本项目与周围环境保护目标的地形地貌及空间关系见下图。</w:t>
      </w:r>
    </w:p>
    <w:p w14:paraId="743B1259">
      <w:pPr>
        <w:spacing w:line="219" w:lineRule="auto"/>
        <w:rPr>
          <w:rFonts w:ascii="宋体" w:hAnsi="宋体" w:eastAsia="宋体" w:cs="宋体"/>
          <w:sz w:val="24"/>
          <w:szCs w:val="24"/>
        </w:rPr>
        <w:sectPr>
          <w:headerReference r:id="rId66" w:type="default"/>
          <w:footerReference r:id="rId67" w:type="default"/>
          <w:pgSz w:w="11905" w:h="16840"/>
          <w:pgMar w:top="1168" w:right="1768" w:bottom="1409" w:left="1770" w:header="828" w:footer="1244" w:gutter="0"/>
          <w:cols w:space="720" w:num="1"/>
        </w:sectPr>
      </w:pPr>
    </w:p>
    <w:p w14:paraId="61AF8313">
      <w:pPr>
        <w:pStyle w:val="2"/>
        <w:spacing w:line="317" w:lineRule="auto"/>
      </w:pPr>
    </w:p>
    <w:p w14:paraId="50005360">
      <w:pPr>
        <w:spacing w:line="5208" w:lineRule="exact"/>
        <w:ind w:firstLine="37"/>
      </w:pPr>
      <w:r>
        <w:rPr>
          <w:position w:val="-104"/>
        </w:rPr>
        <w:drawing>
          <wp:inline distT="0" distB="0" distL="0" distR="0">
            <wp:extent cx="5263515" cy="330644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36"/>
                    <a:stretch>
                      <a:fillRect/>
                    </a:stretch>
                  </pic:blipFill>
                  <pic:spPr>
                    <a:xfrm>
                      <a:off x="0" y="0"/>
                      <a:ext cx="5263895" cy="3307079"/>
                    </a:xfrm>
                    <a:prstGeom prst="rect">
                      <a:avLst/>
                    </a:prstGeom>
                  </pic:spPr>
                </pic:pic>
              </a:graphicData>
            </a:graphic>
          </wp:inline>
        </w:drawing>
      </w:r>
    </w:p>
    <w:p w14:paraId="64CE6A67">
      <w:pPr>
        <w:spacing w:before="175" w:line="222" w:lineRule="auto"/>
        <w:ind w:left="2252"/>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1.5-2  </w:t>
      </w:r>
      <w:r>
        <w:rPr>
          <w:rFonts w:ascii="黑体" w:hAnsi="黑体" w:eastAsia="黑体" w:cs="黑体"/>
          <w:spacing w:val="-1"/>
          <w:sz w:val="21"/>
          <w:szCs w:val="21"/>
        </w:rPr>
        <w:t>本项目与周边环境保护目标关系图</w:t>
      </w:r>
    </w:p>
    <w:p w14:paraId="7FB4C7ED">
      <w:pPr>
        <w:pStyle w:val="2"/>
        <w:spacing w:line="252" w:lineRule="auto"/>
      </w:pPr>
    </w:p>
    <w:p w14:paraId="4DE614BC">
      <w:pPr>
        <w:spacing w:before="104" w:line="220" w:lineRule="auto"/>
        <w:ind w:left="51"/>
        <w:outlineLvl w:val="1"/>
        <w:rPr>
          <w:rFonts w:ascii="宋体" w:hAnsi="宋体" w:eastAsia="宋体" w:cs="宋体"/>
          <w:sz w:val="32"/>
          <w:szCs w:val="32"/>
        </w:rPr>
      </w:pPr>
      <w:bookmarkStart w:id="22" w:name="bookmark14"/>
      <w:bookmarkEnd w:id="22"/>
      <w:r>
        <w:rPr>
          <w:rFonts w:ascii="Times New Roman" w:hAnsi="Times New Roman" w:eastAsia="Times New Roman" w:cs="Times New Roman"/>
          <w:b/>
          <w:bCs/>
          <w:spacing w:val="-3"/>
          <w:sz w:val="32"/>
          <w:szCs w:val="32"/>
        </w:rPr>
        <w:t xml:space="preserve">1.6  </w:t>
      </w:r>
      <w:r>
        <w:rPr>
          <w:rFonts w:ascii="宋体" w:hAnsi="宋体" w:eastAsia="宋体" w:cs="宋体"/>
          <w:b/>
          <w:bCs/>
          <w:spacing w:val="-3"/>
          <w:sz w:val="32"/>
          <w:szCs w:val="32"/>
        </w:rPr>
        <w:t>相关政策及规划符合性分析</w:t>
      </w:r>
    </w:p>
    <w:p w14:paraId="3EDD802F">
      <w:pPr>
        <w:pStyle w:val="2"/>
        <w:spacing w:line="274" w:lineRule="auto"/>
      </w:pPr>
    </w:p>
    <w:p w14:paraId="0E98C52C">
      <w:pPr>
        <w:spacing w:before="98" w:line="220"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1.6.1  </w:t>
      </w:r>
      <w:r>
        <w:rPr>
          <w:rFonts w:ascii="宋体" w:hAnsi="宋体" w:eastAsia="宋体" w:cs="宋体"/>
          <w:b/>
          <w:bCs/>
          <w:spacing w:val="-3"/>
          <w:sz w:val="30"/>
          <w:szCs w:val="30"/>
        </w:rPr>
        <w:t>与产业政策符合性分析</w:t>
      </w:r>
    </w:p>
    <w:p w14:paraId="6E518274">
      <w:pPr>
        <w:pStyle w:val="2"/>
        <w:spacing w:line="259" w:lineRule="auto"/>
      </w:pPr>
    </w:p>
    <w:p w14:paraId="6A74E362">
      <w:pPr>
        <w:spacing w:before="79" w:line="360" w:lineRule="auto"/>
        <w:ind w:left="40" w:firstLine="479"/>
        <w:jc w:val="both"/>
        <w:rPr>
          <w:rFonts w:ascii="宋体" w:hAnsi="宋体" w:eastAsia="宋体" w:cs="宋体"/>
          <w:sz w:val="24"/>
          <w:szCs w:val="24"/>
        </w:rPr>
      </w:pPr>
      <w:r>
        <w:rPr>
          <w:rFonts w:ascii="宋体" w:hAnsi="宋体" w:eastAsia="宋体" w:cs="宋体"/>
          <w:spacing w:val="-6"/>
          <w:sz w:val="24"/>
          <w:szCs w:val="24"/>
        </w:rPr>
        <w:t>根据《产业结构调整指导目录（</w:t>
      </w:r>
      <w:r>
        <w:rPr>
          <w:rFonts w:ascii="Times New Roman" w:hAnsi="Times New Roman" w:eastAsia="Times New Roman" w:cs="Times New Roman"/>
          <w:spacing w:val="-6"/>
          <w:sz w:val="24"/>
          <w:szCs w:val="24"/>
        </w:rPr>
        <w:t>2019</w:t>
      </w:r>
      <w:r>
        <w:rPr>
          <w:rFonts w:ascii="宋体" w:hAnsi="宋体" w:eastAsia="宋体" w:cs="宋体"/>
          <w:spacing w:val="-6"/>
          <w:sz w:val="24"/>
          <w:szCs w:val="24"/>
        </w:rPr>
        <w:t>年本）》，本项目属于“</w:t>
      </w:r>
      <w:r>
        <w:rPr>
          <w:rFonts w:ascii="宋体" w:hAnsi="宋体" w:eastAsia="宋体" w:cs="宋体"/>
          <w:spacing w:val="-7"/>
          <w:sz w:val="24"/>
          <w:szCs w:val="24"/>
        </w:rPr>
        <w:t>第一类鼓励类”</w:t>
      </w:r>
      <w:r>
        <w:rPr>
          <w:rFonts w:ascii="宋体" w:hAnsi="宋体" w:eastAsia="宋体" w:cs="宋体"/>
          <w:sz w:val="24"/>
          <w:szCs w:val="24"/>
        </w:rPr>
        <w:t>中“</w:t>
      </w:r>
      <w:r>
        <w:rPr>
          <w:rFonts w:ascii="Times New Roman" w:hAnsi="Times New Roman" w:eastAsia="Times New Roman" w:cs="Times New Roman"/>
          <w:sz w:val="24"/>
          <w:szCs w:val="24"/>
        </w:rPr>
        <w:t>4</w:t>
      </w:r>
      <w:r>
        <w:rPr>
          <w:rFonts w:ascii="宋体" w:hAnsi="宋体" w:eastAsia="宋体" w:cs="宋体"/>
          <w:sz w:val="24"/>
          <w:szCs w:val="24"/>
        </w:rPr>
        <w:t>、畜禽标准化规模养殖技术开发与应用”。本项目选用的设施设备不在限</w:t>
      </w:r>
      <w:r>
        <w:rPr>
          <w:rFonts w:ascii="宋体" w:hAnsi="宋体" w:eastAsia="宋体" w:cs="宋体"/>
          <w:spacing w:val="-3"/>
          <w:sz w:val="24"/>
          <w:szCs w:val="24"/>
        </w:rPr>
        <w:t>制类和淘汰类之列，项目属于鼓励类。</w:t>
      </w:r>
    </w:p>
    <w:p w14:paraId="1A7762D3">
      <w:pPr>
        <w:spacing w:before="1" w:line="358" w:lineRule="auto"/>
        <w:ind w:left="42" w:right="122" w:firstLine="472"/>
        <w:jc w:val="both"/>
        <w:rPr>
          <w:rFonts w:ascii="宋体" w:hAnsi="宋体" w:eastAsia="宋体" w:cs="宋体"/>
          <w:sz w:val="24"/>
          <w:szCs w:val="24"/>
        </w:rPr>
      </w:pPr>
      <w:r>
        <w:rPr>
          <w:rFonts w:ascii="Times New Roman" w:hAnsi="Times New Roman" w:eastAsia="Times New Roman" w:cs="Times New Roman"/>
          <w:spacing w:val="-11"/>
          <w:sz w:val="24"/>
          <w:szCs w:val="24"/>
        </w:rPr>
        <w:t xml:space="preserve">2022  </w:t>
      </w:r>
      <w:r>
        <w:rPr>
          <w:rFonts w:ascii="宋体" w:hAnsi="宋体" w:eastAsia="宋体" w:cs="宋体"/>
          <w:spacing w:val="-11"/>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月</w:t>
      </w:r>
      <w:r>
        <w:rPr>
          <w:rFonts w:ascii="宋体" w:hAnsi="宋体" w:eastAsia="宋体" w:cs="宋体"/>
          <w:spacing w:val="13"/>
          <w:sz w:val="24"/>
          <w:szCs w:val="24"/>
        </w:rPr>
        <w:t xml:space="preserve"> </w:t>
      </w:r>
      <w:r>
        <w:rPr>
          <w:rFonts w:ascii="Times New Roman" w:hAnsi="Times New Roman" w:eastAsia="Times New Roman" w:cs="Times New Roman"/>
          <w:spacing w:val="-11"/>
          <w:sz w:val="24"/>
          <w:szCs w:val="24"/>
        </w:rPr>
        <w:t xml:space="preserve">5   </w:t>
      </w:r>
      <w:r>
        <w:rPr>
          <w:rFonts w:ascii="宋体" w:hAnsi="宋体" w:eastAsia="宋体" w:cs="宋体"/>
          <w:spacing w:val="-11"/>
          <w:sz w:val="24"/>
          <w:szCs w:val="24"/>
        </w:rPr>
        <w:t>日</w:t>
      </w:r>
      <w:r>
        <w:rPr>
          <w:rFonts w:ascii="宋体" w:hAnsi="宋体" w:eastAsia="宋体" w:cs="宋体"/>
          <w:spacing w:val="31"/>
          <w:sz w:val="24"/>
          <w:szCs w:val="24"/>
        </w:rPr>
        <w:t xml:space="preserve"> </w:t>
      </w:r>
      <w:r>
        <w:rPr>
          <w:rFonts w:ascii="宋体" w:hAnsi="宋体" w:eastAsia="宋体" w:cs="宋体"/>
          <w:spacing w:val="-11"/>
          <w:sz w:val="24"/>
          <w:szCs w:val="24"/>
        </w:rPr>
        <w:t>，</w:t>
      </w:r>
      <w:r>
        <w:rPr>
          <w:rFonts w:ascii="宋体" w:hAnsi="宋体" w:eastAsia="宋体" w:cs="宋体"/>
          <w:spacing w:val="19"/>
          <w:sz w:val="24"/>
          <w:szCs w:val="24"/>
        </w:rPr>
        <w:t xml:space="preserve"> </w:t>
      </w:r>
      <w:r>
        <w:rPr>
          <w:rFonts w:ascii="宋体" w:hAnsi="宋体" w:eastAsia="宋体" w:cs="宋体"/>
          <w:spacing w:val="-11"/>
          <w:sz w:val="24"/>
          <w:szCs w:val="24"/>
        </w:rPr>
        <w:t>东</w:t>
      </w:r>
      <w:r>
        <w:rPr>
          <w:rFonts w:ascii="宋体" w:hAnsi="宋体" w:eastAsia="宋体" w:cs="宋体"/>
          <w:spacing w:val="15"/>
          <w:sz w:val="24"/>
          <w:szCs w:val="24"/>
        </w:rPr>
        <w:t xml:space="preserve"> </w:t>
      </w:r>
      <w:r>
        <w:rPr>
          <w:rFonts w:ascii="宋体" w:hAnsi="宋体" w:eastAsia="宋体" w:cs="宋体"/>
          <w:spacing w:val="-11"/>
          <w:sz w:val="24"/>
          <w:szCs w:val="24"/>
        </w:rPr>
        <w:t>兴</w:t>
      </w:r>
      <w:r>
        <w:rPr>
          <w:rFonts w:ascii="宋体" w:hAnsi="宋体" w:eastAsia="宋体" w:cs="宋体"/>
          <w:spacing w:val="28"/>
          <w:sz w:val="24"/>
          <w:szCs w:val="24"/>
        </w:rPr>
        <w:t xml:space="preserve"> </w:t>
      </w:r>
      <w:r>
        <w:rPr>
          <w:rFonts w:ascii="宋体" w:hAnsi="宋体" w:eastAsia="宋体" w:cs="宋体"/>
          <w:spacing w:val="-11"/>
          <w:sz w:val="24"/>
          <w:szCs w:val="24"/>
        </w:rPr>
        <w:t>区</w:t>
      </w:r>
      <w:r>
        <w:rPr>
          <w:rFonts w:ascii="宋体" w:hAnsi="宋体" w:eastAsia="宋体" w:cs="宋体"/>
          <w:spacing w:val="15"/>
          <w:sz w:val="24"/>
          <w:szCs w:val="24"/>
        </w:rPr>
        <w:t xml:space="preserve"> </w:t>
      </w:r>
      <w:r>
        <w:rPr>
          <w:rFonts w:ascii="宋体" w:hAnsi="宋体" w:eastAsia="宋体" w:cs="宋体"/>
          <w:spacing w:val="-12"/>
          <w:sz w:val="24"/>
          <w:szCs w:val="24"/>
        </w:rPr>
        <w:t>发</w:t>
      </w:r>
      <w:r>
        <w:rPr>
          <w:rFonts w:ascii="宋体" w:hAnsi="宋体" w:eastAsia="宋体" w:cs="宋体"/>
          <w:spacing w:val="12"/>
          <w:sz w:val="24"/>
          <w:szCs w:val="24"/>
        </w:rPr>
        <w:t xml:space="preserve"> </w:t>
      </w:r>
      <w:r>
        <w:rPr>
          <w:rFonts w:ascii="宋体" w:hAnsi="宋体" w:eastAsia="宋体" w:cs="宋体"/>
          <w:spacing w:val="-12"/>
          <w:sz w:val="24"/>
          <w:szCs w:val="24"/>
        </w:rPr>
        <w:t>展</w:t>
      </w:r>
      <w:r>
        <w:rPr>
          <w:rFonts w:ascii="宋体" w:hAnsi="宋体" w:eastAsia="宋体" w:cs="宋体"/>
          <w:spacing w:val="12"/>
          <w:sz w:val="24"/>
          <w:szCs w:val="24"/>
        </w:rPr>
        <w:t xml:space="preserve"> </w:t>
      </w:r>
      <w:r>
        <w:rPr>
          <w:rFonts w:ascii="宋体" w:hAnsi="宋体" w:eastAsia="宋体" w:cs="宋体"/>
          <w:spacing w:val="-12"/>
          <w:sz w:val="24"/>
          <w:szCs w:val="24"/>
        </w:rPr>
        <w:t>和</w:t>
      </w:r>
      <w:r>
        <w:rPr>
          <w:rFonts w:ascii="宋体" w:hAnsi="宋体" w:eastAsia="宋体" w:cs="宋体"/>
          <w:spacing w:val="19"/>
          <w:sz w:val="24"/>
          <w:szCs w:val="24"/>
        </w:rPr>
        <w:t xml:space="preserve"> </w:t>
      </w:r>
      <w:r>
        <w:rPr>
          <w:rFonts w:ascii="宋体" w:hAnsi="宋体" w:eastAsia="宋体" w:cs="宋体"/>
          <w:spacing w:val="-12"/>
          <w:sz w:val="24"/>
          <w:szCs w:val="24"/>
        </w:rPr>
        <w:t>改</w:t>
      </w:r>
      <w:r>
        <w:rPr>
          <w:rFonts w:ascii="宋体" w:hAnsi="宋体" w:eastAsia="宋体" w:cs="宋体"/>
          <w:spacing w:val="12"/>
          <w:sz w:val="24"/>
          <w:szCs w:val="24"/>
        </w:rPr>
        <w:t xml:space="preserve"> </w:t>
      </w:r>
      <w:r>
        <w:rPr>
          <w:rFonts w:ascii="宋体" w:hAnsi="宋体" w:eastAsia="宋体" w:cs="宋体"/>
          <w:spacing w:val="-12"/>
          <w:sz w:val="24"/>
          <w:szCs w:val="24"/>
        </w:rPr>
        <w:t>革</w:t>
      </w:r>
      <w:r>
        <w:rPr>
          <w:rFonts w:ascii="宋体" w:hAnsi="宋体" w:eastAsia="宋体" w:cs="宋体"/>
          <w:spacing w:val="13"/>
          <w:sz w:val="24"/>
          <w:szCs w:val="24"/>
        </w:rPr>
        <w:t xml:space="preserve"> </w:t>
      </w:r>
      <w:r>
        <w:rPr>
          <w:rFonts w:ascii="宋体" w:hAnsi="宋体" w:eastAsia="宋体" w:cs="宋体"/>
          <w:spacing w:val="-12"/>
          <w:sz w:val="24"/>
          <w:szCs w:val="24"/>
        </w:rPr>
        <w:t>局</w:t>
      </w:r>
      <w:r>
        <w:rPr>
          <w:rFonts w:ascii="宋体" w:hAnsi="宋体" w:eastAsia="宋体" w:cs="宋体"/>
          <w:spacing w:val="38"/>
          <w:sz w:val="24"/>
          <w:szCs w:val="24"/>
        </w:rPr>
        <w:t xml:space="preserve"> </w:t>
      </w:r>
      <w:r>
        <w:rPr>
          <w:rFonts w:ascii="宋体" w:hAnsi="宋体" w:eastAsia="宋体" w:cs="宋体"/>
          <w:spacing w:val="-12"/>
          <w:sz w:val="24"/>
          <w:szCs w:val="24"/>
        </w:rPr>
        <w:t>以</w:t>
      </w:r>
      <w:r>
        <w:rPr>
          <w:rFonts w:ascii="宋体" w:hAnsi="宋体" w:eastAsia="宋体" w:cs="宋体"/>
          <w:spacing w:val="1"/>
          <w:sz w:val="24"/>
          <w:szCs w:val="24"/>
        </w:rPr>
        <w:t xml:space="preserve"> </w:t>
      </w:r>
      <w:r>
        <w:rPr>
          <w:rFonts w:ascii="宋体" w:hAnsi="宋体" w:eastAsia="宋体" w:cs="宋体"/>
          <w:spacing w:val="-12"/>
          <w:sz w:val="24"/>
          <w:szCs w:val="24"/>
        </w:rPr>
        <w:t>“</w:t>
      </w:r>
      <w:r>
        <w:rPr>
          <w:rFonts w:ascii="宋体" w:hAnsi="宋体" w:eastAsia="宋体" w:cs="宋体"/>
          <w:spacing w:val="17"/>
          <w:sz w:val="24"/>
          <w:szCs w:val="24"/>
        </w:rPr>
        <w:t xml:space="preserve"> </w:t>
      </w:r>
      <w:r>
        <w:rPr>
          <w:rFonts w:ascii="宋体" w:hAnsi="宋体" w:eastAsia="宋体" w:cs="宋体"/>
          <w:spacing w:val="-12"/>
          <w:sz w:val="24"/>
          <w:szCs w:val="24"/>
        </w:rPr>
        <w:t>川</w:t>
      </w:r>
      <w:r>
        <w:rPr>
          <w:rFonts w:ascii="宋体" w:hAnsi="宋体" w:eastAsia="宋体" w:cs="宋体"/>
          <w:spacing w:val="14"/>
          <w:sz w:val="24"/>
          <w:szCs w:val="24"/>
        </w:rPr>
        <w:t xml:space="preserve"> </w:t>
      </w:r>
      <w:r>
        <w:rPr>
          <w:rFonts w:ascii="宋体" w:hAnsi="宋体" w:eastAsia="宋体" w:cs="宋体"/>
          <w:spacing w:val="-12"/>
          <w:sz w:val="24"/>
          <w:szCs w:val="24"/>
        </w:rPr>
        <w:t>投</w:t>
      </w:r>
      <w:r>
        <w:rPr>
          <w:rFonts w:ascii="宋体" w:hAnsi="宋体" w:eastAsia="宋体" w:cs="宋体"/>
          <w:spacing w:val="21"/>
          <w:sz w:val="24"/>
          <w:szCs w:val="24"/>
        </w:rPr>
        <w:t xml:space="preserve"> </w:t>
      </w:r>
      <w:r>
        <w:rPr>
          <w:rFonts w:ascii="宋体" w:hAnsi="宋体" w:eastAsia="宋体" w:cs="宋体"/>
          <w:spacing w:val="-12"/>
          <w:sz w:val="24"/>
          <w:szCs w:val="24"/>
        </w:rPr>
        <w:t>资</w:t>
      </w:r>
      <w:r>
        <w:rPr>
          <w:rFonts w:ascii="宋体" w:hAnsi="宋体" w:eastAsia="宋体" w:cs="宋体"/>
          <w:spacing w:val="13"/>
          <w:sz w:val="24"/>
          <w:szCs w:val="24"/>
        </w:rPr>
        <w:t xml:space="preserve"> </w:t>
      </w:r>
      <w:r>
        <w:rPr>
          <w:rFonts w:ascii="宋体" w:hAnsi="宋体" w:eastAsia="宋体" w:cs="宋体"/>
          <w:spacing w:val="-12"/>
          <w:sz w:val="24"/>
          <w:szCs w:val="24"/>
        </w:rPr>
        <w:t>备</w:t>
      </w:r>
      <w:r>
        <w:rPr>
          <w:rFonts w:ascii="Times New Roman" w:hAnsi="Times New Roman" w:eastAsia="Times New Roman" w:cs="Times New Roman"/>
          <w:spacing w:val="-3"/>
          <w:sz w:val="24"/>
          <w:szCs w:val="24"/>
        </w:rPr>
        <w:t>[</w:t>
      </w:r>
      <w:r>
        <w:fldChar w:fldCharType="begin"/>
      </w:r>
      <w:r>
        <w:instrText xml:space="preserve"> HYPERLINK \l "bookmark103" </w:instrText>
      </w:r>
      <w:r>
        <w:fldChar w:fldCharType="separate"/>
      </w:r>
      <w:r>
        <w:rPr>
          <w:rFonts w:ascii="Times New Roman" w:hAnsi="Times New Roman" w:eastAsia="Times New Roman" w:cs="Times New Roman"/>
          <w:spacing w:val="-3"/>
          <w:sz w:val="24"/>
          <w:szCs w:val="24"/>
        </w:rPr>
        <w:t>2201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"bookmark104" </w:instrText>
      </w:r>
      <w:r>
        <w:fldChar w:fldCharType="separate"/>
      </w:r>
      <w:r>
        <w:rPr>
          <w:rFonts w:ascii="Times New Roman" w:hAnsi="Times New Roman" w:eastAsia="Times New Roman" w:cs="Times New Roman"/>
          <w:spacing w:val="-3"/>
          <w:sz w:val="24"/>
          <w:szCs w:val="24"/>
        </w:rPr>
        <w:t>511011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"bookmark105" </w:instrText>
      </w:r>
      <w:r>
        <w:fldChar w:fldCharType="separate"/>
      </w:r>
      <w:r>
        <w:rPr>
          <w:rFonts w:ascii="Times New Roman" w:hAnsi="Times New Roman" w:eastAsia="Times New Roman" w:cs="Times New Roman"/>
          <w:spacing w:val="-3"/>
          <w:sz w:val="24"/>
          <w:szCs w:val="24"/>
        </w:rPr>
        <w:t>04</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"bookmark106" </w:instrText>
      </w:r>
      <w:r>
        <w:fldChar w:fldCharType="separate"/>
      </w:r>
      <w:r>
        <w:rPr>
          <w:rFonts w:ascii="Times New Roman" w:hAnsi="Times New Roman" w:eastAsia="Times New Roman" w:cs="Times New Roman"/>
          <w:spacing w:val="-3"/>
          <w:sz w:val="24"/>
          <w:szCs w:val="24"/>
        </w:rPr>
        <w:t>01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fldChar w:fldCharType="begin"/>
      </w:r>
      <w:r>
        <w:instrText xml:space="preserve"> HYPERLINK \l "bookmark107" </w:instrText>
      </w:r>
      <w:r>
        <w:fldChar w:fldCharType="separate"/>
      </w:r>
      <w:r>
        <w:rPr>
          <w:rFonts w:ascii="Times New Roman" w:hAnsi="Times New Roman" w:eastAsia="Times New Roman" w:cs="Times New Roman"/>
          <w:spacing w:val="-3"/>
          <w:sz w:val="24"/>
          <w:szCs w:val="24"/>
        </w:rPr>
        <w:t>803498</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]FGQB-0001</w:t>
      </w:r>
      <w:r>
        <w:rPr>
          <w:rFonts w:ascii="宋体" w:hAnsi="宋体" w:eastAsia="宋体" w:cs="宋体"/>
          <w:spacing w:val="-3"/>
          <w:sz w:val="24"/>
          <w:szCs w:val="24"/>
        </w:rPr>
        <w:t>号”文出具了《四川省固定资产投资项目</w:t>
      </w:r>
      <w:r>
        <w:rPr>
          <w:rFonts w:ascii="宋体" w:hAnsi="宋体" w:eastAsia="宋体" w:cs="宋体"/>
          <w:spacing w:val="-4"/>
          <w:sz w:val="24"/>
          <w:szCs w:val="24"/>
        </w:rPr>
        <w:t>备案表》，同意项目备案。</w:t>
      </w:r>
    </w:p>
    <w:p w14:paraId="3660E416">
      <w:pPr>
        <w:spacing w:before="6" w:line="219" w:lineRule="auto"/>
        <w:ind w:left="538"/>
        <w:rPr>
          <w:rFonts w:ascii="宋体" w:hAnsi="宋体" w:eastAsia="宋体" w:cs="宋体"/>
          <w:sz w:val="24"/>
          <w:szCs w:val="24"/>
        </w:rPr>
      </w:pPr>
      <w:r>
        <w:rPr>
          <w:rFonts w:ascii="宋体" w:hAnsi="宋体" w:eastAsia="宋体" w:cs="宋体"/>
          <w:spacing w:val="-4"/>
          <w:sz w:val="24"/>
          <w:szCs w:val="24"/>
        </w:rPr>
        <w:t>因此，本项目符合国家现行产业政策要求。</w:t>
      </w:r>
    </w:p>
    <w:p w14:paraId="74B65AB9">
      <w:pPr>
        <w:pStyle w:val="2"/>
        <w:spacing w:line="251" w:lineRule="auto"/>
      </w:pPr>
    </w:p>
    <w:p w14:paraId="23F082A8">
      <w:pPr>
        <w:spacing w:before="98" w:line="220"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1.6.2  </w:t>
      </w:r>
      <w:r>
        <w:rPr>
          <w:rFonts w:ascii="宋体" w:hAnsi="宋体" w:eastAsia="宋体" w:cs="宋体"/>
          <w:b/>
          <w:bCs/>
          <w:spacing w:val="-3"/>
          <w:sz w:val="30"/>
          <w:szCs w:val="30"/>
        </w:rPr>
        <w:t>与相关规划、功能区划符合性分析</w:t>
      </w:r>
    </w:p>
    <w:p w14:paraId="278401F8">
      <w:pPr>
        <w:pStyle w:val="2"/>
        <w:spacing w:line="306" w:lineRule="auto"/>
      </w:pPr>
    </w:p>
    <w:p w14:paraId="6A5FFA71">
      <w:pPr>
        <w:spacing w:before="89" w:line="226" w:lineRule="auto"/>
        <w:ind w:left="48"/>
        <w:rPr>
          <w:rFonts w:ascii="宋体" w:hAnsi="宋体" w:eastAsia="宋体" w:cs="宋体"/>
          <w:sz w:val="27"/>
          <w:szCs w:val="27"/>
        </w:rPr>
      </w:pPr>
      <w:r>
        <w:rPr>
          <w:rFonts w:ascii="Times New Roman" w:hAnsi="Times New Roman" w:eastAsia="Times New Roman" w:cs="Times New Roman"/>
          <w:b/>
          <w:bCs/>
          <w:spacing w:val="4"/>
          <w:sz w:val="27"/>
          <w:szCs w:val="27"/>
        </w:rPr>
        <w:t>1.6.2.1</w:t>
      </w:r>
      <w:r>
        <w:rPr>
          <w:rFonts w:ascii="Times New Roman" w:hAnsi="Times New Roman" w:eastAsia="Times New Roman" w:cs="Times New Roman"/>
          <w:b/>
          <w:bCs/>
          <w:spacing w:val="27"/>
          <w:sz w:val="27"/>
          <w:szCs w:val="27"/>
        </w:rPr>
        <w:t xml:space="preserve"> </w:t>
      </w:r>
      <w:r>
        <w:rPr>
          <w:rFonts w:ascii="宋体" w:hAnsi="宋体" w:eastAsia="宋体" w:cs="宋体"/>
          <w:b/>
          <w:bCs/>
          <w:spacing w:val="4"/>
          <w:sz w:val="27"/>
          <w:szCs w:val="27"/>
        </w:rPr>
        <w:t>与养殖发展规划的符合性</w:t>
      </w:r>
    </w:p>
    <w:p w14:paraId="64076D72">
      <w:pPr>
        <w:spacing w:before="235" w:line="355" w:lineRule="auto"/>
        <w:ind w:left="40" w:right="2" w:firstLine="479"/>
        <w:rPr>
          <w:rFonts w:ascii="宋体" w:hAnsi="宋体" w:eastAsia="宋体" w:cs="宋体"/>
          <w:sz w:val="24"/>
          <w:szCs w:val="24"/>
        </w:rPr>
      </w:pPr>
      <w:r>
        <w:rPr>
          <w:rFonts w:ascii="宋体" w:hAnsi="宋体" w:eastAsia="宋体" w:cs="宋体"/>
          <w:spacing w:val="2"/>
          <w:sz w:val="24"/>
          <w:szCs w:val="24"/>
        </w:rPr>
        <w:t>根据《国务院关于促进畜牧业持续健康发展的意见》（</w:t>
      </w:r>
      <w:r>
        <w:rPr>
          <w:rFonts w:ascii="宋体" w:hAnsi="宋体" w:eastAsia="宋体" w:cs="宋体"/>
          <w:spacing w:val="1"/>
          <w:sz w:val="24"/>
          <w:szCs w:val="24"/>
        </w:rPr>
        <w:t>国发</w:t>
      </w:r>
      <w:r>
        <w:rPr>
          <w:rFonts w:ascii="Times New Roman" w:hAnsi="Times New Roman" w:eastAsia="Times New Roman" w:cs="Times New Roman"/>
          <w:spacing w:val="1"/>
          <w:sz w:val="24"/>
          <w:szCs w:val="24"/>
        </w:rPr>
        <w:t>[</w:t>
      </w:r>
      <w:r>
        <w:fldChar w:fldCharType="begin"/>
      </w:r>
      <w:r>
        <w:instrText xml:space="preserve"> HYPERLINK \l "bookmark108" </w:instrText>
      </w:r>
      <w:r>
        <w:fldChar w:fldCharType="separate"/>
      </w:r>
      <w:r>
        <w:rPr>
          <w:rFonts w:ascii="Times New Roman" w:hAnsi="Times New Roman" w:eastAsia="Times New Roman" w:cs="Times New Roman"/>
          <w:spacing w:val="1"/>
          <w:sz w:val="24"/>
          <w:szCs w:val="24"/>
        </w:rPr>
        <w:t>2007</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]4</w:t>
      </w:r>
      <w:r>
        <w:rPr>
          <w:rFonts w:ascii="宋体" w:hAnsi="宋体" w:eastAsia="宋体" w:cs="宋体"/>
          <w:spacing w:val="1"/>
          <w:sz w:val="24"/>
          <w:szCs w:val="24"/>
        </w:rPr>
        <w:t>号）、</w:t>
      </w:r>
      <w:r>
        <w:rPr>
          <w:rFonts w:ascii="宋体" w:hAnsi="宋体" w:eastAsia="宋体" w:cs="宋体"/>
          <w:sz w:val="24"/>
          <w:szCs w:val="24"/>
        </w:rPr>
        <w:t xml:space="preserve"> </w:t>
      </w:r>
      <w:r>
        <w:rPr>
          <w:rFonts w:ascii="宋体" w:hAnsi="宋体" w:eastAsia="宋体" w:cs="宋体"/>
          <w:spacing w:val="-2"/>
          <w:sz w:val="24"/>
          <w:szCs w:val="24"/>
        </w:rPr>
        <w:t>《国务院关于促进乡村产业振兴的指导意见》（国发</w:t>
      </w:r>
      <w:r>
        <w:rPr>
          <w:rFonts w:ascii="Times New Roman" w:hAnsi="Times New Roman" w:eastAsia="Times New Roman" w:cs="Times New Roman"/>
          <w:spacing w:val="-2"/>
          <w:sz w:val="24"/>
          <w:szCs w:val="24"/>
        </w:rPr>
        <w:t>[</w:t>
      </w:r>
      <w:r>
        <w:fldChar w:fldCharType="begin"/>
      </w:r>
      <w:r>
        <w:instrText xml:space="preserve"> HYPERLINK \l "bookmark109" </w:instrText>
      </w:r>
      <w:r>
        <w:fldChar w:fldCharType="separate"/>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2"/>
          <w:sz w:val="24"/>
          <w:szCs w:val="24"/>
        </w:rPr>
        <w:t>12</w:t>
      </w:r>
      <w:r>
        <w:rPr>
          <w:rFonts w:ascii="宋体" w:hAnsi="宋体" w:eastAsia="宋体" w:cs="宋体"/>
          <w:spacing w:val="-2"/>
          <w:sz w:val="24"/>
          <w:szCs w:val="24"/>
        </w:rPr>
        <w:t>号）、《国务院办</w:t>
      </w:r>
      <w:r>
        <w:rPr>
          <w:rFonts w:ascii="宋体" w:hAnsi="宋体" w:eastAsia="宋体" w:cs="宋体"/>
          <w:spacing w:val="-4"/>
          <w:sz w:val="24"/>
          <w:szCs w:val="24"/>
        </w:rPr>
        <w:t>公厅关于稳定生猪生产促进转型升级的意见》（国发</w:t>
      </w:r>
      <w:r>
        <w:rPr>
          <w:rFonts w:ascii="Times New Roman" w:hAnsi="Times New Roman" w:eastAsia="Times New Roman" w:cs="Times New Roman"/>
          <w:spacing w:val="-4"/>
          <w:sz w:val="24"/>
          <w:szCs w:val="24"/>
        </w:rPr>
        <w:t>[</w:t>
      </w:r>
      <w:r>
        <w:fldChar w:fldCharType="begin"/>
      </w:r>
      <w:r>
        <w:instrText xml:space="preserve"> HYPERLINK \l "bookmark110" </w:instrText>
      </w:r>
      <w:r>
        <w:fldChar w:fldCharType="separate"/>
      </w:r>
      <w:r>
        <w:rPr>
          <w:rFonts w:ascii="Times New Roman" w:hAnsi="Times New Roman" w:eastAsia="Times New Roman" w:cs="Times New Roman"/>
          <w:spacing w:val="-4"/>
          <w:sz w:val="24"/>
          <w:szCs w:val="24"/>
        </w:rPr>
        <w:t>2019</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]44</w:t>
      </w:r>
      <w:r>
        <w:rPr>
          <w:rFonts w:ascii="宋体" w:hAnsi="宋体" w:eastAsia="宋体" w:cs="宋体"/>
          <w:spacing w:val="-4"/>
          <w:sz w:val="24"/>
          <w:szCs w:val="24"/>
        </w:rPr>
        <w:t>号）、《“十四五”</w:t>
      </w:r>
    </w:p>
    <w:p w14:paraId="508E35D6">
      <w:pPr>
        <w:spacing w:line="355" w:lineRule="auto"/>
        <w:rPr>
          <w:rFonts w:ascii="宋体" w:hAnsi="宋体" w:eastAsia="宋体" w:cs="宋体"/>
          <w:sz w:val="24"/>
          <w:szCs w:val="24"/>
        </w:rPr>
        <w:sectPr>
          <w:headerReference r:id="rId68" w:type="default"/>
          <w:footerReference r:id="rId69" w:type="default"/>
          <w:pgSz w:w="11905" w:h="16840"/>
          <w:pgMar w:top="1168" w:right="1676" w:bottom="1409" w:left="1770" w:header="828" w:footer="1244" w:gutter="0"/>
          <w:cols w:space="720" w:num="1"/>
        </w:sectPr>
      </w:pPr>
    </w:p>
    <w:p w14:paraId="643F1821">
      <w:pPr>
        <w:pStyle w:val="2"/>
        <w:spacing w:line="304" w:lineRule="auto"/>
      </w:pPr>
    </w:p>
    <w:p w14:paraId="0DC23FF7">
      <w:pPr>
        <w:spacing w:before="78" w:line="357" w:lineRule="auto"/>
        <w:ind w:left="38"/>
        <w:rPr>
          <w:rFonts w:ascii="宋体" w:hAnsi="宋体" w:eastAsia="宋体" w:cs="宋体"/>
          <w:sz w:val="24"/>
          <w:szCs w:val="24"/>
        </w:rPr>
      </w:pPr>
      <w:r>
        <w:rPr>
          <w:rFonts w:ascii="宋体" w:hAnsi="宋体" w:eastAsia="宋体" w:cs="宋体"/>
          <w:spacing w:val="-1"/>
          <w:sz w:val="24"/>
          <w:szCs w:val="24"/>
        </w:rPr>
        <w:t>全国畜牧兽医行业发展规划》（农牧发</w:t>
      </w:r>
      <w:r>
        <w:rPr>
          <w:rFonts w:ascii="Times New Roman" w:hAnsi="Times New Roman" w:eastAsia="Times New Roman" w:cs="Times New Roman"/>
          <w:spacing w:val="-1"/>
          <w:sz w:val="24"/>
          <w:szCs w:val="24"/>
        </w:rPr>
        <w:t>[</w:t>
      </w:r>
      <w:r>
        <w:fldChar w:fldCharType="begin"/>
      </w:r>
      <w:r>
        <w:instrText xml:space="preserve"> HYPERLINK \l "bookmark111" </w:instrText>
      </w:r>
      <w:r>
        <w:fldChar w:fldCharType="separate"/>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]37</w:t>
      </w:r>
      <w:r>
        <w:rPr>
          <w:rFonts w:ascii="宋体" w:hAnsi="宋体" w:eastAsia="宋体" w:cs="宋体"/>
          <w:spacing w:val="-1"/>
          <w:sz w:val="24"/>
          <w:szCs w:val="24"/>
        </w:rPr>
        <w:t>号）、《四川省“十四五”生猪</w:t>
      </w:r>
      <w:r>
        <w:rPr>
          <w:rFonts w:ascii="宋体" w:hAnsi="宋体" w:eastAsia="宋体" w:cs="宋体"/>
          <w:spacing w:val="-7"/>
          <w:sz w:val="24"/>
          <w:szCs w:val="24"/>
        </w:rPr>
        <w:t>产业发展推进方案》、《四川省畜禽养殖污染防治规划》（川环发</w:t>
      </w:r>
      <w:r>
        <w:rPr>
          <w:rFonts w:ascii="Times New Roman" w:hAnsi="Times New Roman" w:eastAsia="Times New Roman" w:cs="Times New Roman"/>
          <w:spacing w:val="-7"/>
          <w:sz w:val="24"/>
          <w:szCs w:val="24"/>
        </w:rPr>
        <w:t>[</w:t>
      </w:r>
      <w:r>
        <w:fldChar w:fldCharType="begin"/>
      </w:r>
      <w:r>
        <w:instrText xml:space="preserve"> HYPERLINK \l "bookmark112" </w:instrText>
      </w:r>
      <w:r>
        <w:fldChar w:fldCharType="separate"/>
      </w:r>
      <w:r>
        <w:rPr>
          <w:rFonts w:ascii="Times New Roman" w:hAnsi="Times New Roman" w:eastAsia="Times New Roman" w:cs="Times New Roman"/>
          <w:spacing w:val="-7"/>
          <w:sz w:val="24"/>
          <w:szCs w:val="24"/>
        </w:rPr>
        <w:t>2022</w:t>
      </w:r>
      <w:r>
        <w:rPr>
          <w:rFonts w:ascii="Times New Roman" w:hAnsi="Times New Roman" w:eastAsia="Times New Roman" w:cs="Times New Roman"/>
          <w:spacing w:val="-7"/>
          <w:sz w:val="24"/>
          <w:szCs w:val="24"/>
        </w:rPr>
        <w:fldChar w:fldCharType="end"/>
      </w:r>
      <w:r>
        <w:rPr>
          <w:rFonts w:ascii="Times New Roman" w:hAnsi="Times New Roman" w:eastAsia="Times New Roman" w:cs="Times New Roman"/>
          <w:spacing w:val="-7"/>
          <w:sz w:val="24"/>
          <w:szCs w:val="24"/>
        </w:rPr>
        <w: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7"/>
          <w:sz w:val="24"/>
          <w:szCs w:val="24"/>
        </w:rPr>
        <w:t>18</w:t>
      </w:r>
      <w:r>
        <w:rPr>
          <w:rFonts w:ascii="宋体" w:hAnsi="宋体" w:eastAsia="宋体" w:cs="宋体"/>
          <w:spacing w:val="-7"/>
          <w:sz w:val="24"/>
          <w:szCs w:val="24"/>
        </w:rPr>
        <w:t>号）、</w:t>
      </w:r>
      <w:r>
        <w:rPr>
          <w:rFonts w:ascii="宋体" w:hAnsi="宋体" w:eastAsia="宋体" w:cs="宋体"/>
          <w:sz w:val="24"/>
          <w:szCs w:val="24"/>
        </w:rPr>
        <w:t xml:space="preserve"> </w:t>
      </w:r>
      <w:r>
        <w:rPr>
          <w:rFonts w:ascii="宋体" w:hAnsi="宋体" w:eastAsia="宋体" w:cs="宋体"/>
          <w:spacing w:val="-1"/>
          <w:sz w:val="24"/>
          <w:szCs w:val="24"/>
        </w:rPr>
        <w:t>《内江市“十四五”畜禽养殖污染防治规划》（内市环联</w:t>
      </w:r>
      <w:r>
        <w:rPr>
          <w:rFonts w:ascii="Times New Roman" w:hAnsi="Times New Roman" w:eastAsia="Times New Roman" w:cs="Times New Roman"/>
          <w:spacing w:val="-1"/>
          <w:sz w:val="24"/>
          <w:szCs w:val="24"/>
        </w:rPr>
        <w:t>[</w:t>
      </w:r>
      <w:r>
        <w:fldChar w:fldCharType="begin"/>
      </w:r>
      <w:r>
        <w:instrText xml:space="preserve"> HYPERLINK \l "bookmark113" </w:instrText>
      </w:r>
      <w:r>
        <w:fldChar w:fldCharType="separate"/>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
          <w:sz w:val="24"/>
          <w:szCs w:val="24"/>
        </w:rPr>
        <w:t>23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13</w:t>
      </w:r>
      <w:r>
        <w:rPr>
          <w:rFonts w:ascii="宋体" w:hAnsi="宋体" w:eastAsia="宋体" w:cs="宋体"/>
          <w:spacing w:val="-2"/>
          <w:sz w:val="24"/>
          <w:szCs w:val="24"/>
        </w:rPr>
        <w:t>号）等相关规</w:t>
      </w:r>
      <w:r>
        <w:rPr>
          <w:rFonts w:ascii="宋体" w:hAnsi="宋体" w:eastAsia="宋体" w:cs="宋体"/>
          <w:spacing w:val="-1"/>
          <w:sz w:val="24"/>
          <w:szCs w:val="24"/>
        </w:rPr>
        <w:t>划文件分析，本项目属规模化生猪养殖项目，符合国家及地方有关的规划要求。</w:t>
      </w:r>
    </w:p>
    <w:p w14:paraId="239D5722">
      <w:pPr>
        <w:spacing w:before="31" w:line="221" w:lineRule="auto"/>
        <w:ind w:left="161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1.6-1  </w:t>
      </w:r>
      <w:r>
        <w:rPr>
          <w:rFonts w:ascii="黑体" w:hAnsi="黑体" w:eastAsia="黑体" w:cs="黑体"/>
          <w:spacing w:val="-1"/>
          <w:sz w:val="21"/>
          <w:szCs w:val="21"/>
        </w:rPr>
        <w:t>本项目与国家及地方相关养殖发展规划的符合性</w:t>
      </w:r>
    </w:p>
    <w:p w14:paraId="2339302D">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3822"/>
        <w:gridCol w:w="2111"/>
        <w:gridCol w:w="821"/>
      </w:tblGrid>
      <w:tr w14:paraId="1CBDB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66" w:type="dxa"/>
            <w:vAlign w:val="top"/>
          </w:tcPr>
          <w:p w14:paraId="0E6DDA47">
            <w:pPr>
              <w:spacing w:before="68" w:line="222" w:lineRule="auto"/>
              <w:ind w:left="370"/>
              <w:rPr>
                <w:rFonts w:ascii="宋体" w:hAnsi="宋体" w:eastAsia="宋体" w:cs="宋体"/>
                <w:sz w:val="21"/>
                <w:szCs w:val="21"/>
              </w:rPr>
            </w:pPr>
            <w:r>
              <w:rPr>
                <w:rFonts w:ascii="宋体" w:hAnsi="宋体" w:eastAsia="宋体" w:cs="宋体"/>
                <w:spacing w:val="-2"/>
                <w:sz w:val="21"/>
                <w:szCs w:val="21"/>
              </w:rPr>
              <w:t>规划名称</w:t>
            </w:r>
          </w:p>
        </w:tc>
        <w:tc>
          <w:tcPr>
            <w:tcW w:w="3822" w:type="dxa"/>
            <w:vAlign w:val="top"/>
          </w:tcPr>
          <w:p w14:paraId="32881C22">
            <w:pPr>
              <w:spacing w:before="68" w:line="220" w:lineRule="auto"/>
              <w:ind w:left="1496"/>
              <w:rPr>
                <w:rFonts w:ascii="宋体" w:hAnsi="宋体" w:eastAsia="宋体" w:cs="宋体"/>
                <w:sz w:val="21"/>
                <w:szCs w:val="21"/>
              </w:rPr>
            </w:pPr>
            <w:r>
              <w:rPr>
                <w:rFonts w:ascii="宋体" w:hAnsi="宋体" w:eastAsia="宋体" w:cs="宋体"/>
                <w:spacing w:val="-2"/>
                <w:sz w:val="21"/>
                <w:szCs w:val="21"/>
              </w:rPr>
              <w:t>规划内容</w:t>
            </w:r>
          </w:p>
        </w:tc>
        <w:tc>
          <w:tcPr>
            <w:tcW w:w="2111" w:type="dxa"/>
            <w:vAlign w:val="top"/>
          </w:tcPr>
          <w:p w14:paraId="1EB700D5">
            <w:pPr>
              <w:spacing w:before="68" w:line="219" w:lineRule="auto"/>
              <w:ind w:left="538"/>
              <w:rPr>
                <w:rFonts w:ascii="宋体" w:hAnsi="宋体" w:eastAsia="宋体" w:cs="宋体"/>
                <w:sz w:val="21"/>
                <w:szCs w:val="21"/>
              </w:rPr>
            </w:pPr>
            <w:r>
              <w:rPr>
                <w:rFonts w:ascii="宋体" w:hAnsi="宋体" w:eastAsia="宋体" w:cs="宋体"/>
                <w:spacing w:val="-2"/>
                <w:sz w:val="21"/>
                <w:szCs w:val="21"/>
              </w:rPr>
              <w:t>本项目情况</w:t>
            </w:r>
          </w:p>
        </w:tc>
        <w:tc>
          <w:tcPr>
            <w:tcW w:w="821" w:type="dxa"/>
            <w:vAlign w:val="top"/>
          </w:tcPr>
          <w:p w14:paraId="7EBCFE45">
            <w:pPr>
              <w:spacing w:before="68" w:line="220" w:lineRule="auto"/>
              <w:ind w:left="103"/>
              <w:rPr>
                <w:rFonts w:ascii="宋体" w:hAnsi="宋体" w:eastAsia="宋体" w:cs="宋体"/>
                <w:sz w:val="21"/>
                <w:szCs w:val="21"/>
              </w:rPr>
            </w:pPr>
            <w:r>
              <w:rPr>
                <w:rFonts w:ascii="宋体" w:hAnsi="宋体" w:eastAsia="宋体" w:cs="宋体"/>
                <w:spacing w:val="-3"/>
                <w:sz w:val="21"/>
                <w:szCs w:val="21"/>
              </w:rPr>
              <w:t>符合性</w:t>
            </w:r>
          </w:p>
        </w:tc>
      </w:tr>
      <w:tr w14:paraId="3D3A7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1566" w:type="dxa"/>
            <w:vAlign w:val="top"/>
          </w:tcPr>
          <w:p w14:paraId="738AE619">
            <w:pPr>
              <w:spacing w:line="266" w:lineRule="auto"/>
              <w:rPr>
                <w:rFonts w:ascii="Arial"/>
                <w:sz w:val="21"/>
              </w:rPr>
            </w:pPr>
          </w:p>
          <w:p w14:paraId="370E1CE0">
            <w:pPr>
              <w:spacing w:line="267" w:lineRule="auto"/>
              <w:rPr>
                <w:rFonts w:ascii="Arial"/>
                <w:sz w:val="21"/>
              </w:rPr>
            </w:pPr>
          </w:p>
          <w:p w14:paraId="774454F0">
            <w:pPr>
              <w:spacing w:line="267" w:lineRule="auto"/>
              <w:rPr>
                <w:rFonts w:ascii="Arial"/>
                <w:sz w:val="21"/>
              </w:rPr>
            </w:pPr>
          </w:p>
          <w:p w14:paraId="7251AF0D">
            <w:pPr>
              <w:spacing w:line="267" w:lineRule="auto"/>
              <w:rPr>
                <w:rFonts w:ascii="Arial"/>
                <w:sz w:val="21"/>
              </w:rPr>
            </w:pPr>
          </w:p>
          <w:p w14:paraId="0AEA5082">
            <w:pPr>
              <w:pStyle w:val="6"/>
              <w:spacing w:before="68" w:line="212" w:lineRule="auto"/>
              <w:ind w:left="135"/>
              <w:rPr>
                <w:rFonts w:ascii="宋体" w:hAnsi="宋体" w:eastAsia="宋体" w:cs="宋体"/>
              </w:rPr>
            </w:pPr>
            <w:r>
              <w:rPr>
                <w:rFonts w:ascii="宋体" w:hAnsi="宋体" w:eastAsia="宋体" w:cs="宋体"/>
                <w:spacing w:val="-3"/>
              </w:rPr>
              <w:t>国发</w:t>
            </w:r>
            <w:r>
              <w:rPr>
                <w:spacing w:val="-3"/>
              </w:rPr>
              <w:t>[</w:t>
            </w:r>
            <w:r>
              <w:fldChar w:fldCharType="begin"/>
            </w:r>
            <w:r>
              <w:instrText xml:space="preserve"> HYPERLINK \l "bookmark114" </w:instrText>
            </w:r>
            <w:r>
              <w:fldChar w:fldCharType="separate"/>
            </w:r>
            <w:r>
              <w:rPr>
                <w:spacing w:val="-3"/>
              </w:rPr>
              <w:t>2007</w:t>
            </w:r>
            <w:r>
              <w:rPr>
                <w:spacing w:val="-3"/>
              </w:rPr>
              <w:fldChar w:fldCharType="end"/>
            </w:r>
            <w:r>
              <w:rPr>
                <w:spacing w:val="-3"/>
              </w:rPr>
              <w:t>]4</w:t>
            </w:r>
            <w:r>
              <w:rPr>
                <w:spacing w:val="13"/>
                <w:w w:val="101"/>
              </w:rPr>
              <w:t xml:space="preserve"> </w:t>
            </w:r>
            <w:r>
              <w:rPr>
                <w:rFonts w:ascii="宋体" w:hAnsi="宋体" w:eastAsia="宋体" w:cs="宋体"/>
                <w:spacing w:val="-3"/>
              </w:rPr>
              <w:t>号</w:t>
            </w:r>
          </w:p>
        </w:tc>
        <w:tc>
          <w:tcPr>
            <w:tcW w:w="3822" w:type="dxa"/>
            <w:vAlign w:val="top"/>
          </w:tcPr>
          <w:p w14:paraId="229BC782">
            <w:pPr>
              <w:spacing w:before="50" w:line="268" w:lineRule="auto"/>
              <w:ind w:left="8" w:firstLine="1"/>
              <w:jc w:val="both"/>
              <w:rPr>
                <w:rFonts w:ascii="宋体" w:hAnsi="宋体" w:eastAsia="宋体" w:cs="宋体"/>
                <w:sz w:val="21"/>
                <w:szCs w:val="21"/>
              </w:rPr>
            </w:pPr>
            <w:r>
              <w:rPr>
                <w:rFonts w:ascii="宋体" w:hAnsi="宋体" w:eastAsia="宋体" w:cs="宋体"/>
                <w:spacing w:val="-10"/>
                <w:sz w:val="21"/>
                <w:szCs w:val="21"/>
              </w:rPr>
              <w:t>规模化、标准化、产业化程度进一步提高，</w:t>
            </w:r>
            <w:r>
              <w:rPr>
                <w:rFonts w:ascii="宋体" w:hAnsi="宋体" w:eastAsia="宋体" w:cs="宋体"/>
                <w:spacing w:val="-3"/>
                <w:sz w:val="21"/>
                <w:szCs w:val="21"/>
              </w:rPr>
              <w:t>畜牧业生产初步实现向技术集约型、资源</w:t>
            </w:r>
            <w:r>
              <w:rPr>
                <w:rFonts w:ascii="宋体" w:hAnsi="宋体" w:eastAsia="宋体" w:cs="宋体"/>
                <w:spacing w:val="-2"/>
                <w:sz w:val="21"/>
                <w:szCs w:val="21"/>
              </w:rPr>
              <w:t>高效利用型、环境友好型转变…大力发展奶业，加快发展特种养殖业…发展规模养殖和畜禽养殖小区，抓好畜禽良种、饲料供给、动物防疫、养殖环境等基础工作，按照市场需求，加快建立一批标准化、规</w:t>
            </w:r>
            <w:r>
              <w:rPr>
                <w:rFonts w:ascii="宋体" w:hAnsi="宋体" w:eastAsia="宋体" w:cs="宋体"/>
                <w:spacing w:val="-5"/>
                <w:sz w:val="21"/>
                <w:szCs w:val="21"/>
              </w:rPr>
              <w:t>模化生产示范基地。全面推行草畜平衡。</w:t>
            </w:r>
          </w:p>
        </w:tc>
        <w:tc>
          <w:tcPr>
            <w:tcW w:w="2111" w:type="dxa"/>
            <w:vAlign w:val="top"/>
          </w:tcPr>
          <w:p w14:paraId="50D0A829">
            <w:pPr>
              <w:spacing w:line="304" w:lineRule="auto"/>
              <w:rPr>
                <w:rFonts w:ascii="Arial"/>
                <w:sz w:val="21"/>
              </w:rPr>
            </w:pPr>
          </w:p>
          <w:p w14:paraId="6749BE32">
            <w:pPr>
              <w:spacing w:line="304" w:lineRule="auto"/>
              <w:rPr>
                <w:rFonts w:ascii="Arial"/>
                <w:sz w:val="21"/>
              </w:rPr>
            </w:pPr>
          </w:p>
          <w:p w14:paraId="3F87F73C">
            <w:pPr>
              <w:spacing w:line="304" w:lineRule="auto"/>
              <w:rPr>
                <w:rFonts w:ascii="Arial"/>
                <w:sz w:val="21"/>
              </w:rPr>
            </w:pPr>
          </w:p>
          <w:p w14:paraId="1A43FB6A">
            <w:pPr>
              <w:spacing w:before="69" w:line="276" w:lineRule="auto"/>
              <w:ind w:left="10" w:right="1" w:firstLine="1"/>
              <w:rPr>
                <w:rFonts w:ascii="宋体" w:hAnsi="宋体" w:eastAsia="宋体" w:cs="宋体"/>
                <w:sz w:val="21"/>
                <w:szCs w:val="21"/>
              </w:rPr>
            </w:pPr>
            <w:r>
              <w:rPr>
                <w:rFonts w:ascii="宋体" w:hAnsi="宋体" w:eastAsia="宋体" w:cs="宋体"/>
                <w:spacing w:val="-1"/>
                <w:sz w:val="21"/>
                <w:szCs w:val="21"/>
              </w:rPr>
              <w:t>本项目属于高效低耗规</w:t>
            </w:r>
            <w:r>
              <w:rPr>
                <w:rFonts w:ascii="宋体" w:hAnsi="宋体" w:eastAsia="宋体" w:cs="宋体"/>
                <w:spacing w:val="-5"/>
                <w:sz w:val="21"/>
                <w:szCs w:val="21"/>
              </w:rPr>
              <w:t>模化生猪养殖场。</w:t>
            </w:r>
          </w:p>
        </w:tc>
        <w:tc>
          <w:tcPr>
            <w:tcW w:w="821" w:type="dxa"/>
            <w:vAlign w:val="top"/>
          </w:tcPr>
          <w:p w14:paraId="46E6EA25">
            <w:pPr>
              <w:spacing w:line="266" w:lineRule="auto"/>
              <w:rPr>
                <w:rFonts w:ascii="Arial"/>
                <w:sz w:val="21"/>
              </w:rPr>
            </w:pPr>
          </w:p>
          <w:p w14:paraId="0B5E560E">
            <w:pPr>
              <w:spacing w:line="266" w:lineRule="auto"/>
              <w:rPr>
                <w:rFonts w:ascii="Arial"/>
                <w:sz w:val="21"/>
              </w:rPr>
            </w:pPr>
          </w:p>
          <w:p w14:paraId="73409720">
            <w:pPr>
              <w:spacing w:line="267" w:lineRule="auto"/>
              <w:rPr>
                <w:rFonts w:ascii="Arial"/>
                <w:sz w:val="21"/>
              </w:rPr>
            </w:pPr>
          </w:p>
          <w:p w14:paraId="02E1DA8E">
            <w:pPr>
              <w:spacing w:line="267" w:lineRule="auto"/>
              <w:rPr>
                <w:rFonts w:ascii="Arial"/>
                <w:sz w:val="21"/>
              </w:rPr>
            </w:pPr>
          </w:p>
          <w:p w14:paraId="559E92AE">
            <w:pPr>
              <w:spacing w:before="68" w:line="220" w:lineRule="auto"/>
              <w:ind w:left="207"/>
              <w:rPr>
                <w:rFonts w:ascii="宋体" w:hAnsi="宋体" w:eastAsia="宋体" w:cs="宋体"/>
                <w:sz w:val="21"/>
                <w:szCs w:val="21"/>
              </w:rPr>
            </w:pPr>
            <w:r>
              <w:rPr>
                <w:rFonts w:ascii="宋体" w:hAnsi="宋体" w:eastAsia="宋体" w:cs="宋体"/>
                <w:spacing w:val="-3"/>
                <w:sz w:val="21"/>
                <w:szCs w:val="21"/>
              </w:rPr>
              <w:t>符合</w:t>
            </w:r>
          </w:p>
        </w:tc>
      </w:tr>
      <w:tr w14:paraId="4BE47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566" w:type="dxa"/>
            <w:vAlign w:val="top"/>
          </w:tcPr>
          <w:p w14:paraId="5B207C51">
            <w:pPr>
              <w:spacing w:line="304" w:lineRule="auto"/>
              <w:rPr>
                <w:rFonts w:ascii="Arial"/>
                <w:sz w:val="21"/>
              </w:rPr>
            </w:pPr>
          </w:p>
          <w:p w14:paraId="2F0FD936">
            <w:pPr>
              <w:spacing w:line="304" w:lineRule="auto"/>
              <w:rPr>
                <w:rFonts w:ascii="Arial"/>
                <w:sz w:val="21"/>
              </w:rPr>
            </w:pPr>
          </w:p>
          <w:p w14:paraId="32B16CFC">
            <w:pPr>
              <w:spacing w:line="305" w:lineRule="auto"/>
              <w:rPr>
                <w:rFonts w:ascii="Arial"/>
                <w:sz w:val="21"/>
              </w:rPr>
            </w:pPr>
          </w:p>
          <w:p w14:paraId="75FEDF30">
            <w:pPr>
              <w:pStyle w:val="6"/>
              <w:spacing w:before="69" w:line="212" w:lineRule="auto"/>
              <w:ind w:left="83"/>
              <w:rPr>
                <w:rFonts w:ascii="宋体" w:hAnsi="宋体" w:eastAsia="宋体" w:cs="宋体"/>
              </w:rPr>
            </w:pPr>
            <w:r>
              <w:rPr>
                <w:rFonts w:ascii="宋体" w:hAnsi="宋体" w:eastAsia="宋体" w:cs="宋体"/>
                <w:spacing w:val="-5"/>
              </w:rPr>
              <w:t>国发</w:t>
            </w:r>
            <w:r>
              <w:rPr>
                <w:spacing w:val="-5"/>
              </w:rPr>
              <w:t>[</w:t>
            </w:r>
            <w:r>
              <w:fldChar w:fldCharType="begin"/>
            </w:r>
            <w:r>
              <w:instrText xml:space="preserve"> HYPERLINK \l "bookmark115" </w:instrText>
            </w:r>
            <w:r>
              <w:fldChar w:fldCharType="separate"/>
            </w:r>
            <w:r>
              <w:rPr>
                <w:spacing w:val="-5"/>
              </w:rPr>
              <w:t>2019</w:t>
            </w:r>
            <w:r>
              <w:rPr>
                <w:spacing w:val="-5"/>
              </w:rPr>
              <w:fldChar w:fldCharType="end"/>
            </w:r>
            <w:r>
              <w:rPr>
                <w:spacing w:val="-5"/>
              </w:rPr>
              <w:t>]</w:t>
            </w:r>
            <w:r>
              <w:rPr>
                <w:spacing w:val="-27"/>
              </w:rPr>
              <w:t xml:space="preserve"> </w:t>
            </w:r>
            <w:r>
              <w:rPr>
                <w:spacing w:val="-5"/>
              </w:rPr>
              <w:t>12</w:t>
            </w:r>
            <w:r>
              <w:rPr>
                <w:spacing w:val="13"/>
                <w:w w:val="101"/>
              </w:rPr>
              <w:t xml:space="preserve"> </w:t>
            </w:r>
            <w:r>
              <w:rPr>
                <w:rFonts w:ascii="宋体" w:hAnsi="宋体" w:eastAsia="宋体" w:cs="宋体"/>
                <w:spacing w:val="-5"/>
              </w:rPr>
              <w:t>号</w:t>
            </w:r>
          </w:p>
        </w:tc>
        <w:tc>
          <w:tcPr>
            <w:tcW w:w="3822" w:type="dxa"/>
            <w:vAlign w:val="top"/>
          </w:tcPr>
          <w:p w14:paraId="159445C9">
            <w:pPr>
              <w:spacing w:before="51" w:line="219" w:lineRule="auto"/>
              <w:ind w:left="12"/>
              <w:rPr>
                <w:rFonts w:ascii="宋体" w:hAnsi="宋体" w:eastAsia="宋体" w:cs="宋体"/>
                <w:sz w:val="21"/>
                <w:szCs w:val="21"/>
              </w:rPr>
            </w:pPr>
            <w:r>
              <w:rPr>
                <w:rFonts w:ascii="宋体" w:hAnsi="宋体" w:eastAsia="宋体" w:cs="宋体"/>
                <w:spacing w:val="-1"/>
                <w:sz w:val="21"/>
                <w:szCs w:val="21"/>
              </w:rPr>
              <w:t>二、突出优势特色，培育壮大乡村产业</w:t>
            </w:r>
          </w:p>
          <w:p w14:paraId="173DEAC7">
            <w:pPr>
              <w:spacing w:before="62" w:line="220" w:lineRule="auto"/>
              <w:ind w:left="14"/>
              <w:rPr>
                <w:rFonts w:ascii="宋体" w:hAnsi="宋体" w:eastAsia="宋体" w:cs="宋体"/>
                <w:sz w:val="21"/>
                <w:szCs w:val="21"/>
              </w:rPr>
            </w:pPr>
            <w:r>
              <w:rPr>
                <w:rFonts w:ascii="宋体" w:hAnsi="宋体" w:eastAsia="宋体" w:cs="宋体"/>
                <w:spacing w:val="-4"/>
                <w:sz w:val="21"/>
                <w:szCs w:val="21"/>
              </w:rPr>
              <w:t>（四）做强现代种养业。</w:t>
            </w:r>
          </w:p>
          <w:p w14:paraId="4409EF37">
            <w:pPr>
              <w:spacing w:before="63" w:line="264" w:lineRule="auto"/>
              <w:ind w:left="9"/>
              <w:jc w:val="both"/>
              <w:rPr>
                <w:rFonts w:ascii="宋体" w:hAnsi="宋体" w:eastAsia="宋体" w:cs="宋体"/>
                <w:sz w:val="21"/>
                <w:szCs w:val="21"/>
              </w:rPr>
            </w:pPr>
            <w:r>
              <w:rPr>
                <w:rFonts w:ascii="宋体" w:hAnsi="宋体" w:eastAsia="宋体" w:cs="宋体"/>
                <w:spacing w:val="-10"/>
                <w:sz w:val="21"/>
                <w:szCs w:val="21"/>
              </w:rPr>
              <w:t>创新产业组织方式，推动种养业向规模化、</w:t>
            </w:r>
            <w:r>
              <w:rPr>
                <w:rFonts w:ascii="宋体" w:hAnsi="宋体" w:eastAsia="宋体" w:cs="宋体"/>
                <w:spacing w:val="-4"/>
                <w:sz w:val="21"/>
                <w:szCs w:val="21"/>
              </w:rPr>
              <w:t>标准化、品牌化和绿色化方向发展，延伸</w:t>
            </w:r>
            <w:r>
              <w:rPr>
                <w:rFonts w:ascii="宋体" w:hAnsi="宋体" w:eastAsia="宋体" w:cs="宋体"/>
                <w:spacing w:val="-3"/>
                <w:sz w:val="21"/>
                <w:szCs w:val="21"/>
              </w:rPr>
              <w:t>拓展产业链，增加绿色优质产品供给，不断提高质量效益和竞争力。…加强生猪等</w:t>
            </w:r>
            <w:r>
              <w:rPr>
                <w:rFonts w:ascii="宋体" w:hAnsi="宋体" w:eastAsia="宋体" w:cs="宋体"/>
                <w:spacing w:val="-13"/>
                <w:sz w:val="21"/>
                <w:szCs w:val="21"/>
              </w:rPr>
              <w:t>畜禽产能建设，提升动物疫病防控能力，…</w:t>
            </w:r>
          </w:p>
        </w:tc>
        <w:tc>
          <w:tcPr>
            <w:tcW w:w="2111" w:type="dxa"/>
            <w:vAlign w:val="top"/>
          </w:tcPr>
          <w:p w14:paraId="53E3C179">
            <w:pPr>
              <w:spacing w:line="253" w:lineRule="auto"/>
              <w:rPr>
                <w:rFonts w:ascii="Arial"/>
                <w:sz w:val="21"/>
              </w:rPr>
            </w:pPr>
          </w:p>
          <w:p w14:paraId="506C7FFB">
            <w:pPr>
              <w:spacing w:line="253" w:lineRule="auto"/>
              <w:rPr>
                <w:rFonts w:ascii="Arial"/>
                <w:sz w:val="21"/>
              </w:rPr>
            </w:pPr>
          </w:p>
          <w:p w14:paraId="368C6855">
            <w:pPr>
              <w:spacing w:line="253" w:lineRule="auto"/>
              <w:rPr>
                <w:rFonts w:ascii="Arial"/>
                <w:sz w:val="21"/>
              </w:rPr>
            </w:pPr>
          </w:p>
          <w:p w14:paraId="53195FA5">
            <w:pPr>
              <w:spacing w:before="68" w:line="276" w:lineRule="auto"/>
              <w:ind w:left="10" w:right="1" w:firstLine="1"/>
              <w:rPr>
                <w:rFonts w:ascii="宋体" w:hAnsi="宋体" w:eastAsia="宋体" w:cs="宋体"/>
                <w:sz w:val="21"/>
                <w:szCs w:val="21"/>
              </w:rPr>
            </w:pPr>
            <w:r>
              <w:rPr>
                <w:rFonts w:ascii="宋体" w:hAnsi="宋体" w:eastAsia="宋体" w:cs="宋体"/>
                <w:spacing w:val="-1"/>
                <w:sz w:val="21"/>
                <w:szCs w:val="21"/>
              </w:rPr>
              <w:t>本项目属于高效低耗规</w:t>
            </w:r>
            <w:r>
              <w:rPr>
                <w:rFonts w:ascii="宋体" w:hAnsi="宋体" w:eastAsia="宋体" w:cs="宋体"/>
                <w:spacing w:val="-5"/>
                <w:sz w:val="21"/>
                <w:szCs w:val="21"/>
              </w:rPr>
              <w:t>模化生猪养殖场。</w:t>
            </w:r>
          </w:p>
        </w:tc>
        <w:tc>
          <w:tcPr>
            <w:tcW w:w="821" w:type="dxa"/>
            <w:vAlign w:val="top"/>
          </w:tcPr>
          <w:p w14:paraId="067A0303">
            <w:pPr>
              <w:spacing w:line="304" w:lineRule="auto"/>
              <w:rPr>
                <w:rFonts w:ascii="Arial"/>
                <w:sz w:val="21"/>
              </w:rPr>
            </w:pPr>
          </w:p>
          <w:p w14:paraId="11A4C31B">
            <w:pPr>
              <w:spacing w:line="304" w:lineRule="auto"/>
              <w:rPr>
                <w:rFonts w:ascii="Arial"/>
                <w:sz w:val="21"/>
              </w:rPr>
            </w:pPr>
          </w:p>
          <w:p w14:paraId="52A1D9F2">
            <w:pPr>
              <w:spacing w:line="305" w:lineRule="auto"/>
              <w:rPr>
                <w:rFonts w:ascii="Arial"/>
                <w:sz w:val="21"/>
              </w:rPr>
            </w:pPr>
          </w:p>
          <w:p w14:paraId="305C2541">
            <w:pPr>
              <w:spacing w:before="68" w:line="220" w:lineRule="auto"/>
              <w:ind w:left="207"/>
              <w:rPr>
                <w:rFonts w:ascii="宋体" w:hAnsi="宋体" w:eastAsia="宋体" w:cs="宋体"/>
                <w:sz w:val="21"/>
                <w:szCs w:val="21"/>
              </w:rPr>
            </w:pPr>
            <w:r>
              <w:rPr>
                <w:rFonts w:ascii="宋体" w:hAnsi="宋体" w:eastAsia="宋体" w:cs="宋体"/>
                <w:spacing w:val="-3"/>
                <w:sz w:val="21"/>
                <w:szCs w:val="21"/>
              </w:rPr>
              <w:t>符合</w:t>
            </w:r>
          </w:p>
        </w:tc>
      </w:tr>
      <w:tr w14:paraId="04F41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1566" w:type="dxa"/>
            <w:vAlign w:val="top"/>
          </w:tcPr>
          <w:p w14:paraId="162A21AC">
            <w:pPr>
              <w:spacing w:line="253" w:lineRule="auto"/>
              <w:rPr>
                <w:rFonts w:ascii="Arial"/>
                <w:sz w:val="21"/>
              </w:rPr>
            </w:pPr>
          </w:p>
          <w:p w14:paraId="2DC5D881">
            <w:pPr>
              <w:spacing w:line="253" w:lineRule="auto"/>
              <w:rPr>
                <w:rFonts w:ascii="Arial"/>
                <w:sz w:val="21"/>
              </w:rPr>
            </w:pPr>
          </w:p>
          <w:p w14:paraId="7A9783E5">
            <w:pPr>
              <w:spacing w:line="254" w:lineRule="auto"/>
              <w:rPr>
                <w:rFonts w:ascii="Arial"/>
                <w:sz w:val="21"/>
              </w:rPr>
            </w:pPr>
          </w:p>
          <w:p w14:paraId="0BD6767B">
            <w:pPr>
              <w:pStyle w:val="6"/>
              <w:spacing w:before="68" w:line="212" w:lineRule="auto"/>
              <w:ind w:left="83"/>
              <w:rPr>
                <w:rFonts w:ascii="宋体" w:hAnsi="宋体" w:eastAsia="宋体" w:cs="宋体"/>
              </w:rPr>
            </w:pPr>
            <w:r>
              <w:rPr>
                <w:rFonts w:ascii="宋体" w:hAnsi="宋体" w:eastAsia="宋体" w:cs="宋体"/>
                <w:spacing w:val="-3"/>
              </w:rPr>
              <w:t>国发</w:t>
            </w:r>
            <w:r>
              <w:rPr>
                <w:spacing w:val="-3"/>
              </w:rPr>
              <w:t>[</w:t>
            </w:r>
            <w:r>
              <w:fldChar w:fldCharType="begin"/>
            </w:r>
            <w:r>
              <w:instrText xml:space="preserve"> HYPERLINK \l "bookmark116" </w:instrText>
            </w:r>
            <w:r>
              <w:fldChar w:fldCharType="separate"/>
            </w:r>
            <w:r>
              <w:rPr>
                <w:spacing w:val="-3"/>
              </w:rPr>
              <w:t>2019</w:t>
            </w:r>
            <w:r>
              <w:rPr>
                <w:spacing w:val="-3"/>
              </w:rPr>
              <w:fldChar w:fldCharType="end"/>
            </w:r>
            <w:r>
              <w:rPr>
                <w:spacing w:val="-3"/>
              </w:rPr>
              <w:t>]44</w:t>
            </w:r>
            <w:r>
              <w:rPr>
                <w:spacing w:val="17"/>
              </w:rPr>
              <w:t xml:space="preserve"> </w:t>
            </w:r>
            <w:r>
              <w:rPr>
                <w:rFonts w:ascii="宋体" w:hAnsi="宋体" w:eastAsia="宋体" w:cs="宋体"/>
                <w:spacing w:val="-3"/>
              </w:rPr>
              <w:t>号</w:t>
            </w:r>
          </w:p>
        </w:tc>
        <w:tc>
          <w:tcPr>
            <w:tcW w:w="3822" w:type="dxa"/>
            <w:vAlign w:val="top"/>
          </w:tcPr>
          <w:p w14:paraId="3400C6DB">
            <w:pPr>
              <w:spacing w:before="52" w:line="220" w:lineRule="auto"/>
              <w:ind w:left="9"/>
              <w:rPr>
                <w:rFonts w:ascii="宋体" w:hAnsi="宋体" w:eastAsia="宋体" w:cs="宋体"/>
                <w:sz w:val="21"/>
                <w:szCs w:val="21"/>
              </w:rPr>
            </w:pPr>
            <w:r>
              <w:rPr>
                <w:rFonts w:ascii="宋体" w:hAnsi="宋体" w:eastAsia="宋体" w:cs="宋体"/>
                <w:spacing w:val="-1"/>
                <w:sz w:val="21"/>
                <w:szCs w:val="21"/>
              </w:rPr>
              <w:t>三、加快构建现代养殖体系</w:t>
            </w:r>
          </w:p>
          <w:p w14:paraId="3CC51113">
            <w:pPr>
              <w:spacing w:before="61" w:line="220" w:lineRule="auto"/>
              <w:ind w:left="14"/>
              <w:rPr>
                <w:rFonts w:ascii="宋体" w:hAnsi="宋体" w:eastAsia="宋体" w:cs="宋体"/>
                <w:sz w:val="21"/>
                <w:szCs w:val="21"/>
              </w:rPr>
            </w:pPr>
            <w:r>
              <w:rPr>
                <w:rFonts w:ascii="宋体" w:hAnsi="宋体" w:eastAsia="宋体" w:cs="宋体"/>
                <w:spacing w:val="-3"/>
                <w:sz w:val="21"/>
                <w:szCs w:val="21"/>
              </w:rPr>
              <w:t>（十）大力发展标准化规模养殖。</w:t>
            </w:r>
          </w:p>
          <w:p w14:paraId="0EA5A713">
            <w:pPr>
              <w:spacing w:before="64" w:line="261" w:lineRule="auto"/>
              <w:ind w:left="8" w:right="2" w:firstLine="2"/>
              <w:rPr>
                <w:rFonts w:ascii="宋体" w:hAnsi="宋体" w:eastAsia="宋体" w:cs="宋体"/>
                <w:sz w:val="21"/>
                <w:szCs w:val="21"/>
              </w:rPr>
            </w:pPr>
            <w:r>
              <w:rPr>
                <w:rFonts w:ascii="宋体" w:hAnsi="宋体" w:eastAsia="宋体" w:cs="宋体"/>
                <w:sz w:val="21"/>
                <w:szCs w:val="21"/>
              </w:rPr>
              <w:t>按照“放管服”改革要求，对新建、改扩</w:t>
            </w:r>
            <w:r>
              <w:rPr>
                <w:rFonts w:ascii="宋体" w:hAnsi="宋体" w:eastAsia="宋体" w:cs="宋体"/>
                <w:spacing w:val="-1"/>
                <w:sz w:val="21"/>
                <w:szCs w:val="21"/>
              </w:rPr>
              <w:t>建的养猪场（户）简化程序、加快审批。</w:t>
            </w:r>
            <w:r>
              <w:rPr>
                <w:rFonts w:ascii="宋体" w:hAnsi="宋体" w:eastAsia="宋体" w:cs="宋体"/>
                <w:spacing w:val="1"/>
                <w:sz w:val="21"/>
                <w:szCs w:val="21"/>
              </w:rPr>
              <w:t>有条件的地方要积极支持新建、改扩建规</w:t>
            </w:r>
            <w:r>
              <w:rPr>
                <w:rFonts w:ascii="宋体" w:hAnsi="宋体" w:eastAsia="宋体" w:cs="宋体"/>
                <w:spacing w:val="-3"/>
                <w:sz w:val="21"/>
                <w:szCs w:val="21"/>
              </w:rPr>
              <w:t>模养猪场（户）的基础设施建设。</w:t>
            </w:r>
          </w:p>
        </w:tc>
        <w:tc>
          <w:tcPr>
            <w:tcW w:w="2111" w:type="dxa"/>
            <w:vAlign w:val="top"/>
          </w:tcPr>
          <w:p w14:paraId="54C34A03">
            <w:pPr>
              <w:spacing w:line="303" w:lineRule="auto"/>
              <w:rPr>
                <w:rFonts w:ascii="Arial"/>
                <w:sz w:val="21"/>
              </w:rPr>
            </w:pPr>
          </w:p>
          <w:p w14:paraId="585E12A3">
            <w:pPr>
              <w:spacing w:line="303" w:lineRule="auto"/>
              <w:rPr>
                <w:rFonts w:ascii="Arial"/>
                <w:sz w:val="21"/>
              </w:rPr>
            </w:pPr>
          </w:p>
          <w:p w14:paraId="2075FA98">
            <w:pPr>
              <w:spacing w:before="68" w:line="276" w:lineRule="auto"/>
              <w:ind w:left="10" w:right="1" w:firstLine="1"/>
              <w:rPr>
                <w:rFonts w:ascii="宋体" w:hAnsi="宋体" w:eastAsia="宋体" w:cs="宋体"/>
                <w:sz w:val="21"/>
                <w:szCs w:val="21"/>
              </w:rPr>
            </w:pPr>
            <w:r>
              <w:rPr>
                <w:rFonts w:ascii="宋体" w:hAnsi="宋体" w:eastAsia="宋体" w:cs="宋体"/>
                <w:spacing w:val="-1"/>
                <w:sz w:val="21"/>
                <w:szCs w:val="21"/>
              </w:rPr>
              <w:t>本项目属于新建规标准</w:t>
            </w:r>
            <w:r>
              <w:rPr>
                <w:rFonts w:ascii="宋体" w:hAnsi="宋体" w:eastAsia="宋体" w:cs="宋体"/>
                <w:spacing w:val="-5"/>
                <w:sz w:val="21"/>
                <w:szCs w:val="21"/>
              </w:rPr>
              <w:t>模化生猪养殖场。</w:t>
            </w:r>
          </w:p>
        </w:tc>
        <w:tc>
          <w:tcPr>
            <w:tcW w:w="821" w:type="dxa"/>
            <w:vAlign w:val="top"/>
          </w:tcPr>
          <w:p w14:paraId="6CC9698A">
            <w:pPr>
              <w:spacing w:line="253" w:lineRule="auto"/>
              <w:rPr>
                <w:rFonts w:ascii="Arial"/>
                <w:sz w:val="21"/>
              </w:rPr>
            </w:pPr>
          </w:p>
          <w:p w14:paraId="5D9795D2">
            <w:pPr>
              <w:spacing w:line="253" w:lineRule="auto"/>
              <w:rPr>
                <w:rFonts w:ascii="Arial"/>
                <w:sz w:val="21"/>
              </w:rPr>
            </w:pPr>
          </w:p>
          <w:p w14:paraId="2FC5B906">
            <w:pPr>
              <w:spacing w:line="253" w:lineRule="auto"/>
              <w:rPr>
                <w:rFonts w:ascii="Arial"/>
                <w:sz w:val="21"/>
              </w:rPr>
            </w:pPr>
          </w:p>
          <w:p w14:paraId="033A3979">
            <w:pPr>
              <w:spacing w:before="69" w:line="220" w:lineRule="auto"/>
              <w:ind w:left="207"/>
              <w:rPr>
                <w:rFonts w:ascii="宋体" w:hAnsi="宋体" w:eastAsia="宋体" w:cs="宋体"/>
                <w:sz w:val="21"/>
                <w:szCs w:val="21"/>
              </w:rPr>
            </w:pPr>
            <w:r>
              <w:rPr>
                <w:rFonts w:ascii="宋体" w:hAnsi="宋体" w:eastAsia="宋体" w:cs="宋体"/>
                <w:spacing w:val="-3"/>
                <w:sz w:val="21"/>
                <w:szCs w:val="21"/>
              </w:rPr>
              <w:t>符合</w:t>
            </w:r>
          </w:p>
        </w:tc>
      </w:tr>
      <w:tr w14:paraId="7BD58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1566" w:type="dxa"/>
            <w:vAlign w:val="top"/>
          </w:tcPr>
          <w:p w14:paraId="612AA359">
            <w:pPr>
              <w:spacing w:line="276" w:lineRule="auto"/>
              <w:rPr>
                <w:rFonts w:ascii="Arial"/>
                <w:sz w:val="21"/>
              </w:rPr>
            </w:pPr>
          </w:p>
          <w:p w14:paraId="334A69C0">
            <w:pPr>
              <w:spacing w:line="276" w:lineRule="auto"/>
              <w:rPr>
                <w:rFonts w:ascii="Arial"/>
                <w:sz w:val="21"/>
              </w:rPr>
            </w:pPr>
          </w:p>
          <w:p w14:paraId="5CA87320">
            <w:pPr>
              <w:spacing w:line="276" w:lineRule="auto"/>
              <w:rPr>
                <w:rFonts w:ascii="Arial"/>
                <w:sz w:val="21"/>
              </w:rPr>
            </w:pPr>
          </w:p>
          <w:p w14:paraId="1D090AEE">
            <w:pPr>
              <w:spacing w:line="276" w:lineRule="auto"/>
              <w:rPr>
                <w:rFonts w:ascii="Arial"/>
                <w:sz w:val="21"/>
              </w:rPr>
            </w:pPr>
          </w:p>
          <w:p w14:paraId="5BC134A2">
            <w:pPr>
              <w:spacing w:line="277" w:lineRule="auto"/>
              <w:rPr>
                <w:rFonts w:ascii="Arial"/>
                <w:sz w:val="21"/>
              </w:rPr>
            </w:pPr>
          </w:p>
          <w:p w14:paraId="155404CD">
            <w:pPr>
              <w:pStyle w:val="6"/>
              <w:spacing w:before="68" w:line="271" w:lineRule="auto"/>
              <w:ind w:left="688" w:right="79" w:hanging="600"/>
              <w:rPr>
                <w:rFonts w:ascii="宋体" w:hAnsi="宋体" w:eastAsia="宋体" w:cs="宋体"/>
              </w:rPr>
            </w:pPr>
            <w:r>
              <w:rPr>
                <w:rFonts w:ascii="宋体" w:hAnsi="宋体" w:eastAsia="宋体" w:cs="宋体"/>
                <w:spacing w:val="-1"/>
              </w:rPr>
              <w:t>农牧发</w:t>
            </w:r>
            <w:r>
              <w:rPr>
                <w:spacing w:val="-1"/>
              </w:rPr>
              <w:t>[</w:t>
            </w:r>
            <w:r>
              <w:fldChar w:fldCharType="begin"/>
            </w:r>
            <w:r>
              <w:instrText xml:space="preserve"> HYPERLINK \l "bookmark117" </w:instrText>
            </w:r>
            <w:r>
              <w:fldChar w:fldCharType="separate"/>
            </w:r>
            <w:r>
              <w:rPr>
                <w:spacing w:val="-1"/>
              </w:rPr>
              <w:t>2021</w:t>
            </w:r>
            <w:r>
              <w:rPr>
                <w:spacing w:val="-1"/>
              </w:rPr>
              <w:fldChar w:fldCharType="end"/>
            </w:r>
            <w:r>
              <w:rPr>
                <w:spacing w:val="-1"/>
              </w:rPr>
              <w:t>]37</w:t>
            </w:r>
            <w:r>
              <w:rPr>
                <w:rFonts w:ascii="宋体" w:hAnsi="宋体" w:eastAsia="宋体" w:cs="宋体"/>
              </w:rPr>
              <w:t>号</w:t>
            </w:r>
          </w:p>
        </w:tc>
        <w:tc>
          <w:tcPr>
            <w:tcW w:w="3822" w:type="dxa"/>
            <w:vAlign w:val="top"/>
          </w:tcPr>
          <w:p w14:paraId="37553FC0">
            <w:pPr>
              <w:spacing w:before="52" w:line="220" w:lineRule="auto"/>
              <w:ind w:left="14"/>
              <w:rPr>
                <w:rFonts w:ascii="宋体" w:hAnsi="宋体" w:eastAsia="宋体" w:cs="宋体"/>
                <w:sz w:val="21"/>
                <w:szCs w:val="21"/>
              </w:rPr>
            </w:pPr>
            <w:r>
              <w:rPr>
                <w:rFonts w:ascii="宋体" w:hAnsi="宋体" w:eastAsia="宋体" w:cs="宋体"/>
                <w:spacing w:val="-2"/>
                <w:sz w:val="21"/>
                <w:szCs w:val="21"/>
              </w:rPr>
              <w:t>（一）提升畜禽养殖集约化水平</w:t>
            </w:r>
          </w:p>
          <w:p w14:paraId="2D6C6033">
            <w:pPr>
              <w:spacing w:before="63" w:line="274" w:lineRule="auto"/>
              <w:ind w:left="7" w:right="2"/>
              <w:rPr>
                <w:rFonts w:ascii="宋体" w:hAnsi="宋体" w:eastAsia="宋体" w:cs="宋体"/>
                <w:sz w:val="21"/>
                <w:szCs w:val="21"/>
              </w:rPr>
            </w:pPr>
            <w:r>
              <w:rPr>
                <w:rFonts w:ascii="宋体" w:hAnsi="宋体" w:eastAsia="宋体" w:cs="宋体"/>
                <w:spacing w:val="1"/>
                <w:sz w:val="21"/>
                <w:szCs w:val="21"/>
              </w:rPr>
              <w:t>将提升畜禽养殖集约化水平作为推动畜牧业转型升级的根本途径，坚持增量与提质相结合，加快转变生产方式，切实提高畜禽养殖劳动生产率、科技进步贡献率和资</w:t>
            </w:r>
            <w:r>
              <w:rPr>
                <w:rFonts w:ascii="宋体" w:hAnsi="宋体" w:eastAsia="宋体" w:cs="宋体"/>
                <w:spacing w:val="-7"/>
                <w:sz w:val="21"/>
                <w:szCs w:val="21"/>
              </w:rPr>
              <w:t>源利用率。</w:t>
            </w:r>
          </w:p>
          <w:p w14:paraId="24623015">
            <w:pPr>
              <w:spacing w:line="219" w:lineRule="auto"/>
              <w:ind w:left="14"/>
              <w:rPr>
                <w:rFonts w:ascii="宋体" w:hAnsi="宋体" w:eastAsia="宋体" w:cs="宋体"/>
                <w:sz w:val="21"/>
                <w:szCs w:val="21"/>
              </w:rPr>
            </w:pPr>
            <w:r>
              <w:rPr>
                <w:rFonts w:ascii="宋体" w:hAnsi="宋体" w:eastAsia="宋体" w:cs="宋体"/>
                <w:spacing w:val="-3"/>
                <w:sz w:val="21"/>
                <w:szCs w:val="21"/>
              </w:rPr>
              <w:t>（七）推进畜禽养殖废弃物资源化利用</w:t>
            </w:r>
          </w:p>
          <w:p w14:paraId="1E8C69E4">
            <w:pPr>
              <w:spacing w:before="62" w:line="261" w:lineRule="auto"/>
              <w:ind w:left="9"/>
              <w:rPr>
                <w:rFonts w:ascii="宋体" w:hAnsi="宋体" w:eastAsia="宋体" w:cs="宋体"/>
                <w:sz w:val="21"/>
                <w:szCs w:val="21"/>
              </w:rPr>
            </w:pPr>
            <w:r>
              <w:rPr>
                <w:rFonts w:ascii="宋体" w:hAnsi="宋体" w:eastAsia="宋体" w:cs="宋体"/>
                <w:spacing w:val="-2"/>
                <w:sz w:val="21"/>
                <w:szCs w:val="21"/>
              </w:rPr>
              <w:t>加快推进畜禽粪污资源化利用和病死畜禽</w:t>
            </w:r>
            <w:r>
              <w:rPr>
                <w:rFonts w:ascii="宋体" w:hAnsi="宋体" w:eastAsia="宋体" w:cs="宋体"/>
                <w:spacing w:val="-10"/>
                <w:sz w:val="21"/>
                <w:szCs w:val="21"/>
              </w:rPr>
              <w:t>无害化处理，着力构建种养结合发展机制，</w:t>
            </w:r>
            <w:r>
              <w:rPr>
                <w:rFonts w:ascii="宋体" w:hAnsi="宋体" w:eastAsia="宋体" w:cs="宋体"/>
                <w:spacing w:val="-2"/>
                <w:sz w:val="21"/>
                <w:szCs w:val="21"/>
              </w:rPr>
              <w:t>促进畜禽粪肥还田利用，提高畜牧业绿色</w:t>
            </w:r>
            <w:r>
              <w:rPr>
                <w:rFonts w:ascii="宋体" w:hAnsi="宋体" w:eastAsia="宋体" w:cs="宋体"/>
                <w:spacing w:val="-9"/>
                <w:sz w:val="21"/>
                <w:szCs w:val="21"/>
              </w:rPr>
              <w:t>发展水平。</w:t>
            </w:r>
          </w:p>
        </w:tc>
        <w:tc>
          <w:tcPr>
            <w:tcW w:w="2111" w:type="dxa"/>
            <w:vAlign w:val="top"/>
          </w:tcPr>
          <w:p w14:paraId="77CD9D31">
            <w:pPr>
              <w:spacing w:line="293" w:lineRule="auto"/>
              <w:rPr>
                <w:rFonts w:ascii="Arial"/>
                <w:sz w:val="21"/>
              </w:rPr>
            </w:pPr>
          </w:p>
          <w:p w14:paraId="06E05B21">
            <w:pPr>
              <w:spacing w:before="69" w:line="275" w:lineRule="auto"/>
              <w:ind w:left="10" w:right="1" w:firstLine="1"/>
              <w:jc w:val="both"/>
              <w:rPr>
                <w:rFonts w:ascii="宋体" w:hAnsi="宋体" w:eastAsia="宋体" w:cs="宋体"/>
                <w:sz w:val="21"/>
                <w:szCs w:val="21"/>
              </w:rPr>
            </w:pPr>
            <w:r>
              <w:rPr>
                <w:rFonts w:ascii="宋体" w:hAnsi="宋体" w:eastAsia="宋体" w:cs="宋体"/>
                <w:spacing w:val="-1"/>
                <w:sz w:val="21"/>
                <w:szCs w:val="21"/>
              </w:rPr>
              <w:t>本项目为新建规模化生猪养殖场，废水经污水处理站处理后用于周边</w:t>
            </w:r>
            <w:r>
              <w:rPr>
                <w:rFonts w:ascii="宋体" w:hAnsi="宋体" w:eastAsia="宋体" w:cs="宋体"/>
                <w:spacing w:val="-3"/>
                <w:sz w:val="21"/>
                <w:szCs w:val="21"/>
              </w:rPr>
              <w:t>消纳地农灌；猪粪、沼</w:t>
            </w:r>
            <w:r>
              <w:rPr>
                <w:rFonts w:ascii="宋体" w:hAnsi="宋体" w:eastAsia="宋体" w:cs="宋体"/>
                <w:spacing w:val="-1"/>
                <w:sz w:val="21"/>
                <w:szCs w:val="21"/>
              </w:rPr>
              <w:t>渣经脱水后于堆粪棚暂存，送四川正威实业有限公司生产有机肥；养殖废弃物得到资源化利</w:t>
            </w:r>
            <w:r>
              <w:rPr>
                <w:rFonts w:ascii="宋体" w:hAnsi="宋体" w:eastAsia="宋体" w:cs="宋体"/>
                <w:spacing w:val="-10"/>
                <w:sz w:val="21"/>
                <w:szCs w:val="21"/>
              </w:rPr>
              <w:t>用。</w:t>
            </w:r>
          </w:p>
        </w:tc>
        <w:tc>
          <w:tcPr>
            <w:tcW w:w="821" w:type="dxa"/>
            <w:vAlign w:val="top"/>
          </w:tcPr>
          <w:p w14:paraId="42832C40">
            <w:pPr>
              <w:spacing w:line="255" w:lineRule="auto"/>
              <w:rPr>
                <w:rFonts w:ascii="Arial"/>
                <w:sz w:val="21"/>
              </w:rPr>
            </w:pPr>
          </w:p>
          <w:p w14:paraId="02565F3A">
            <w:pPr>
              <w:spacing w:line="255" w:lineRule="auto"/>
              <w:rPr>
                <w:rFonts w:ascii="Arial"/>
                <w:sz w:val="21"/>
              </w:rPr>
            </w:pPr>
          </w:p>
          <w:p w14:paraId="2E5D3A7C">
            <w:pPr>
              <w:spacing w:line="256" w:lineRule="auto"/>
              <w:rPr>
                <w:rFonts w:ascii="Arial"/>
                <w:sz w:val="21"/>
              </w:rPr>
            </w:pPr>
          </w:p>
          <w:p w14:paraId="13C446D2">
            <w:pPr>
              <w:spacing w:line="256" w:lineRule="auto"/>
              <w:rPr>
                <w:rFonts w:ascii="Arial"/>
                <w:sz w:val="21"/>
              </w:rPr>
            </w:pPr>
          </w:p>
          <w:p w14:paraId="57784266">
            <w:pPr>
              <w:spacing w:line="256" w:lineRule="auto"/>
              <w:rPr>
                <w:rFonts w:ascii="Arial"/>
                <w:sz w:val="21"/>
              </w:rPr>
            </w:pPr>
          </w:p>
          <w:p w14:paraId="42BC63D0">
            <w:pPr>
              <w:spacing w:line="256" w:lineRule="auto"/>
              <w:rPr>
                <w:rFonts w:ascii="Arial"/>
                <w:sz w:val="21"/>
              </w:rPr>
            </w:pPr>
          </w:p>
          <w:p w14:paraId="49BEA990">
            <w:pPr>
              <w:spacing w:before="68" w:line="220" w:lineRule="auto"/>
              <w:ind w:left="207"/>
              <w:rPr>
                <w:rFonts w:ascii="宋体" w:hAnsi="宋体" w:eastAsia="宋体" w:cs="宋体"/>
                <w:sz w:val="21"/>
                <w:szCs w:val="21"/>
              </w:rPr>
            </w:pPr>
            <w:r>
              <w:rPr>
                <w:rFonts w:ascii="宋体" w:hAnsi="宋体" w:eastAsia="宋体" w:cs="宋体"/>
                <w:spacing w:val="-3"/>
                <w:sz w:val="21"/>
                <w:szCs w:val="21"/>
              </w:rPr>
              <w:t>符合</w:t>
            </w:r>
          </w:p>
        </w:tc>
      </w:tr>
      <w:tr w14:paraId="23D26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566" w:type="dxa"/>
            <w:vAlign w:val="top"/>
          </w:tcPr>
          <w:p w14:paraId="7FC74980">
            <w:pPr>
              <w:spacing w:before="54" w:line="220" w:lineRule="auto"/>
              <w:ind w:left="32"/>
              <w:rPr>
                <w:rFonts w:ascii="宋体" w:hAnsi="宋体" w:eastAsia="宋体" w:cs="宋体"/>
                <w:sz w:val="21"/>
                <w:szCs w:val="21"/>
              </w:rPr>
            </w:pPr>
            <w:r>
              <w:rPr>
                <w:rFonts w:ascii="宋体" w:hAnsi="宋体" w:eastAsia="宋体" w:cs="宋体"/>
                <w:spacing w:val="-7"/>
                <w:sz w:val="21"/>
                <w:szCs w:val="21"/>
              </w:rPr>
              <w:t>四川省“十四五</w:t>
            </w:r>
          </w:p>
          <w:p w14:paraId="592102D7">
            <w:pPr>
              <w:spacing w:before="61" w:line="220" w:lineRule="auto"/>
              <w:ind w:left="55"/>
              <w:rPr>
                <w:rFonts w:ascii="宋体" w:hAnsi="宋体" w:eastAsia="宋体" w:cs="宋体"/>
                <w:sz w:val="21"/>
                <w:szCs w:val="21"/>
              </w:rPr>
            </w:pPr>
            <w:r>
              <w:rPr>
                <w:rFonts w:ascii="宋体" w:hAnsi="宋体" w:eastAsia="宋体" w:cs="宋体"/>
                <w:spacing w:val="-2"/>
                <w:sz w:val="21"/>
                <w:szCs w:val="21"/>
              </w:rPr>
              <w:t>生猪产业发展推</w:t>
            </w:r>
          </w:p>
          <w:p w14:paraId="23BD4902">
            <w:pPr>
              <w:spacing w:before="62" w:line="220" w:lineRule="auto"/>
              <w:ind w:left="471"/>
              <w:rPr>
                <w:rFonts w:ascii="宋体" w:hAnsi="宋体" w:eastAsia="宋体" w:cs="宋体"/>
                <w:sz w:val="21"/>
                <w:szCs w:val="21"/>
              </w:rPr>
            </w:pPr>
            <w:r>
              <w:rPr>
                <w:rFonts w:ascii="宋体" w:hAnsi="宋体" w:eastAsia="宋体" w:cs="宋体"/>
                <w:spacing w:val="-2"/>
                <w:sz w:val="21"/>
                <w:szCs w:val="21"/>
              </w:rPr>
              <w:t>进方案</w:t>
            </w:r>
          </w:p>
        </w:tc>
        <w:tc>
          <w:tcPr>
            <w:tcW w:w="3822" w:type="dxa"/>
            <w:vAlign w:val="top"/>
          </w:tcPr>
          <w:p w14:paraId="770AA780">
            <w:pPr>
              <w:spacing w:before="54" w:line="219" w:lineRule="auto"/>
              <w:rPr>
                <w:rFonts w:ascii="宋体" w:hAnsi="宋体" w:eastAsia="宋体" w:cs="宋体"/>
                <w:sz w:val="21"/>
                <w:szCs w:val="21"/>
              </w:rPr>
            </w:pPr>
            <w:r>
              <w:rPr>
                <w:rFonts w:ascii="宋体" w:hAnsi="宋体" w:eastAsia="宋体" w:cs="宋体"/>
                <w:spacing w:val="-16"/>
                <w:sz w:val="21"/>
                <w:szCs w:val="21"/>
              </w:rPr>
              <w:t>”（一）统筹布局生猪养殖规模</w:t>
            </w:r>
          </w:p>
          <w:p w14:paraId="0DAD40DE">
            <w:pPr>
              <w:pStyle w:val="6"/>
              <w:spacing w:before="63" w:line="250" w:lineRule="auto"/>
              <w:ind w:left="13" w:hanging="5"/>
              <w:rPr>
                <w:rFonts w:ascii="宋体" w:hAnsi="宋体" w:eastAsia="宋体" w:cs="宋体"/>
              </w:rPr>
            </w:pPr>
            <w:r>
              <w:rPr>
                <w:rFonts w:ascii="宋体" w:hAnsi="宋体" w:eastAsia="宋体" w:cs="宋体"/>
                <w:spacing w:val="6"/>
              </w:rPr>
              <w:t xml:space="preserve">在全省五大经济区布局年出栏生猪 </w:t>
            </w:r>
            <w:r>
              <w:rPr>
                <w:spacing w:val="6"/>
              </w:rPr>
              <w:t>6000</w:t>
            </w:r>
            <w:r>
              <w:rPr>
                <w:rFonts w:ascii="宋体" w:hAnsi="宋体" w:eastAsia="宋体" w:cs="宋体"/>
                <w:spacing w:val="-6"/>
              </w:rPr>
              <w:t>万头左右，其中：成都平原经济区</w:t>
            </w:r>
            <w:r>
              <w:rPr>
                <w:rFonts w:ascii="宋体" w:hAnsi="宋体" w:eastAsia="宋体" w:cs="宋体"/>
                <w:spacing w:val="-33"/>
              </w:rPr>
              <w:t xml:space="preserve"> </w:t>
            </w:r>
            <w:r>
              <w:rPr>
                <w:spacing w:val="-6"/>
              </w:rPr>
              <w:t>2165</w:t>
            </w:r>
            <w:r>
              <w:rPr>
                <w:spacing w:val="13"/>
                <w:w w:val="101"/>
              </w:rPr>
              <w:t xml:space="preserve"> </w:t>
            </w:r>
            <w:r>
              <w:rPr>
                <w:rFonts w:ascii="宋体" w:hAnsi="宋体" w:eastAsia="宋体" w:cs="宋体"/>
                <w:spacing w:val="-6"/>
              </w:rPr>
              <w:t>万</w:t>
            </w:r>
          </w:p>
        </w:tc>
        <w:tc>
          <w:tcPr>
            <w:tcW w:w="2111" w:type="dxa"/>
            <w:vAlign w:val="top"/>
          </w:tcPr>
          <w:p w14:paraId="4A142042">
            <w:pPr>
              <w:spacing w:before="55" w:line="258" w:lineRule="auto"/>
              <w:ind w:left="12" w:right="2"/>
              <w:jc w:val="both"/>
              <w:rPr>
                <w:rFonts w:ascii="宋体" w:hAnsi="宋体" w:eastAsia="宋体" w:cs="宋体"/>
                <w:sz w:val="21"/>
                <w:szCs w:val="21"/>
              </w:rPr>
            </w:pPr>
            <w:r>
              <w:rPr>
                <w:rFonts w:ascii="宋体" w:hAnsi="宋体" w:eastAsia="宋体" w:cs="宋体"/>
                <w:spacing w:val="-1"/>
                <w:sz w:val="21"/>
                <w:szCs w:val="21"/>
              </w:rPr>
              <w:t>本项目位于内江市东兴区白合镇喻家沟村，内</w:t>
            </w:r>
            <w:r>
              <w:rPr>
                <w:rFonts w:ascii="宋体" w:hAnsi="宋体" w:eastAsia="宋体" w:cs="宋体"/>
                <w:spacing w:val="-6"/>
                <w:sz w:val="21"/>
                <w:szCs w:val="21"/>
              </w:rPr>
              <w:t>江市属于川南经济区，</w:t>
            </w:r>
          </w:p>
        </w:tc>
        <w:tc>
          <w:tcPr>
            <w:tcW w:w="821" w:type="dxa"/>
            <w:vAlign w:val="top"/>
          </w:tcPr>
          <w:p w14:paraId="31499771">
            <w:pPr>
              <w:spacing w:line="295" w:lineRule="auto"/>
              <w:rPr>
                <w:rFonts w:ascii="Arial"/>
                <w:sz w:val="21"/>
              </w:rPr>
            </w:pPr>
          </w:p>
          <w:p w14:paraId="4D880130">
            <w:pPr>
              <w:spacing w:before="69" w:line="220" w:lineRule="auto"/>
              <w:ind w:left="207"/>
              <w:rPr>
                <w:rFonts w:ascii="宋体" w:hAnsi="宋体" w:eastAsia="宋体" w:cs="宋体"/>
                <w:sz w:val="21"/>
                <w:szCs w:val="21"/>
              </w:rPr>
            </w:pPr>
            <w:r>
              <w:rPr>
                <w:rFonts w:ascii="宋体" w:hAnsi="宋体" w:eastAsia="宋体" w:cs="宋体"/>
                <w:spacing w:val="-3"/>
                <w:sz w:val="21"/>
                <w:szCs w:val="21"/>
              </w:rPr>
              <w:t>符合</w:t>
            </w:r>
          </w:p>
        </w:tc>
      </w:tr>
    </w:tbl>
    <w:p w14:paraId="13C4D2D6">
      <w:pPr>
        <w:pStyle w:val="2"/>
      </w:pPr>
    </w:p>
    <w:p w14:paraId="00B41452">
      <w:pPr>
        <w:sectPr>
          <w:headerReference r:id="rId70" w:type="default"/>
          <w:footerReference r:id="rId71" w:type="default"/>
          <w:pgSz w:w="11905" w:h="16840"/>
          <w:pgMar w:top="1168" w:right="1714" w:bottom="1409" w:left="1770" w:header="828" w:footer="1244" w:gutter="0"/>
          <w:cols w:space="720" w:num="1"/>
        </w:sectPr>
      </w:pPr>
    </w:p>
    <w:p w14:paraId="3324042D">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3822"/>
        <w:gridCol w:w="2111"/>
        <w:gridCol w:w="821"/>
      </w:tblGrid>
      <w:tr w14:paraId="0C66A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0" w:hRule="atLeast"/>
        </w:trPr>
        <w:tc>
          <w:tcPr>
            <w:tcW w:w="1566" w:type="dxa"/>
            <w:vAlign w:val="top"/>
          </w:tcPr>
          <w:p w14:paraId="4F40EB14">
            <w:pPr>
              <w:spacing w:before="68" w:line="222" w:lineRule="auto"/>
              <w:ind w:left="370"/>
              <w:rPr>
                <w:rFonts w:ascii="宋体" w:hAnsi="宋体" w:eastAsia="宋体" w:cs="宋体"/>
                <w:sz w:val="21"/>
                <w:szCs w:val="21"/>
              </w:rPr>
            </w:pPr>
            <w:r>
              <w:rPr>
                <w:rFonts w:ascii="宋体" w:hAnsi="宋体" w:eastAsia="宋体" w:cs="宋体"/>
                <w:spacing w:val="-2"/>
                <w:sz w:val="21"/>
                <w:szCs w:val="21"/>
              </w:rPr>
              <w:t>规划名称</w:t>
            </w:r>
          </w:p>
        </w:tc>
        <w:tc>
          <w:tcPr>
            <w:tcW w:w="3822" w:type="dxa"/>
            <w:vAlign w:val="top"/>
          </w:tcPr>
          <w:p w14:paraId="5C8AF0D7">
            <w:pPr>
              <w:spacing w:before="68" w:line="220" w:lineRule="auto"/>
              <w:ind w:left="1496"/>
              <w:rPr>
                <w:rFonts w:ascii="宋体" w:hAnsi="宋体" w:eastAsia="宋体" w:cs="宋体"/>
                <w:sz w:val="21"/>
                <w:szCs w:val="21"/>
              </w:rPr>
            </w:pPr>
            <w:r>
              <w:rPr>
                <w:rFonts w:ascii="宋体" w:hAnsi="宋体" w:eastAsia="宋体" w:cs="宋体"/>
                <w:spacing w:val="-2"/>
                <w:sz w:val="21"/>
                <w:szCs w:val="21"/>
              </w:rPr>
              <w:t>规划内容</w:t>
            </w:r>
          </w:p>
        </w:tc>
        <w:tc>
          <w:tcPr>
            <w:tcW w:w="2111" w:type="dxa"/>
            <w:vAlign w:val="top"/>
          </w:tcPr>
          <w:p w14:paraId="23D0E356">
            <w:pPr>
              <w:spacing w:before="68" w:line="219" w:lineRule="auto"/>
              <w:ind w:left="538"/>
              <w:rPr>
                <w:rFonts w:ascii="宋体" w:hAnsi="宋体" w:eastAsia="宋体" w:cs="宋体"/>
                <w:sz w:val="21"/>
                <w:szCs w:val="21"/>
              </w:rPr>
            </w:pPr>
            <w:r>
              <w:rPr>
                <w:rFonts w:ascii="宋体" w:hAnsi="宋体" w:eastAsia="宋体" w:cs="宋体"/>
                <w:spacing w:val="-2"/>
                <w:sz w:val="21"/>
                <w:szCs w:val="21"/>
              </w:rPr>
              <w:t>本项目情况</w:t>
            </w:r>
          </w:p>
        </w:tc>
        <w:tc>
          <w:tcPr>
            <w:tcW w:w="821" w:type="dxa"/>
            <w:vAlign w:val="top"/>
          </w:tcPr>
          <w:p w14:paraId="57AA27DE">
            <w:pPr>
              <w:spacing w:before="68" w:line="220" w:lineRule="auto"/>
              <w:ind w:left="103"/>
              <w:rPr>
                <w:rFonts w:ascii="宋体" w:hAnsi="宋体" w:eastAsia="宋体" w:cs="宋体"/>
                <w:sz w:val="21"/>
                <w:szCs w:val="21"/>
              </w:rPr>
            </w:pPr>
            <w:r>
              <w:rPr>
                <w:rFonts w:ascii="宋体" w:hAnsi="宋体" w:eastAsia="宋体" w:cs="宋体"/>
                <w:spacing w:val="-3"/>
                <w:sz w:val="21"/>
                <w:szCs w:val="21"/>
              </w:rPr>
              <w:t>符合性</w:t>
            </w:r>
          </w:p>
        </w:tc>
      </w:tr>
      <w:tr w14:paraId="38276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566" w:type="dxa"/>
            <w:vAlign w:val="top"/>
          </w:tcPr>
          <w:p w14:paraId="300C5D97">
            <w:pPr>
              <w:rPr>
                <w:rFonts w:ascii="Arial"/>
                <w:sz w:val="21"/>
              </w:rPr>
            </w:pPr>
          </w:p>
        </w:tc>
        <w:tc>
          <w:tcPr>
            <w:tcW w:w="3822" w:type="dxa"/>
            <w:vAlign w:val="top"/>
          </w:tcPr>
          <w:p w14:paraId="5D54E64A">
            <w:pPr>
              <w:pStyle w:val="6"/>
              <w:spacing w:before="50" w:line="274" w:lineRule="auto"/>
              <w:ind w:left="13" w:right="1" w:hanging="1"/>
              <w:rPr>
                <w:rFonts w:ascii="宋体" w:hAnsi="宋体" w:eastAsia="宋体" w:cs="宋体"/>
              </w:rPr>
            </w:pPr>
            <w:r>
              <w:rPr>
                <w:rFonts w:ascii="宋体" w:hAnsi="宋体" w:eastAsia="宋体" w:cs="宋体"/>
                <w:spacing w:val="-3"/>
              </w:rPr>
              <w:t xml:space="preserve">头、川南经济区 </w:t>
            </w:r>
            <w:r>
              <w:rPr>
                <w:spacing w:val="-3"/>
              </w:rPr>
              <w:t>1280</w:t>
            </w:r>
            <w:r>
              <w:rPr>
                <w:spacing w:val="35"/>
              </w:rPr>
              <w:t xml:space="preserve"> </w:t>
            </w:r>
            <w:r>
              <w:rPr>
                <w:rFonts w:ascii="宋体" w:hAnsi="宋体" w:eastAsia="宋体" w:cs="宋体"/>
                <w:spacing w:val="-3"/>
              </w:rPr>
              <w:t>万头（内江市：</w:t>
            </w:r>
            <w:r>
              <w:rPr>
                <w:spacing w:val="-3"/>
              </w:rPr>
              <w:t>240</w:t>
            </w:r>
            <w:r>
              <w:rPr>
                <w:rFonts w:ascii="宋体" w:hAnsi="宋体" w:eastAsia="宋体" w:cs="宋体"/>
                <w:spacing w:val="2"/>
              </w:rPr>
              <w:t>万头）…</w:t>
            </w:r>
          </w:p>
          <w:p w14:paraId="15C00A9C">
            <w:pPr>
              <w:spacing w:line="219" w:lineRule="auto"/>
              <w:ind w:left="14"/>
              <w:rPr>
                <w:rFonts w:ascii="宋体" w:hAnsi="宋体" w:eastAsia="宋体" w:cs="宋体"/>
                <w:sz w:val="21"/>
                <w:szCs w:val="21"/>
              </w:rPr>
            </w:pPr>
            <w:r>
              <w:rPr>
                <w:rFonts w:ascii="宋体" w:hAnsi="宋体" w:eastAsia="宋体" w:cs="宋体"/>
                <w:spacing w:val="-2"/>
                <w:sz w:val="21"/>
                <w:szCs w:val="21"/>
              </w:rPr>
              <w:t>（二）优质商品猪战略保障基地县</w:t>
            </w:r>
          </w:p>
          <w:p w14:paraId="5DC5542C">
            <w:pPr>
              <w:pStyle w:val="6"/>
              <w:spacing w:before="62" w:line="262" w:lineRule="auto"/>
              <w:ind w:left="5" w:firstLine="6"/>
              <w:rPr>
                <w:rFonts w:ascii="宋体" w:hAnsi="宋体" w:eastAsia="宋体" w:cs="宋体"/>
              </w:rPr>
            </w:pPr>
            <w:r>
              <w:rPr>
                <w:rFonts w:ascii="宋体" w:hAnsi="宋体" w:eastAsia="宋体" w:cs="宋体"/>
                <w:spacing w:val="-4"/>
              </w:rPr>
              <w:t xml:space="preserve">建设 </w:t>
            </w:r>
            <w:r>
              <w:rPr>
                <w:spacing w:val="-4"/>
              </w:rPr>
              <w:t>100</w:t>
            </w:r>
            <w:r>
              <w:rPr>
                <w:spacing w:val="30"/>
              </w:rPr>
              <w:t xml:space="preserve"> </w:t>
            </w:r>
            <w:r>
              <w:rPr>
                <w:rFonts w:ascii="宋体" w:hAnsi="宋体" w:eastAsia="宋体" w:cs="宋体"/>
                <w:spacing w:val="-4"/>
              </w:rPr>
              <w:t>个优质商品猪战略保障基地县，</w:t>
            </w:r>
            <w:r>
              <w:rPr>
                <w:rFonts w:ascii="宋体" w:hAnsi="宋体" w:eastAsia="宋体" w:cs="宋体"/>
                <w:spacing w:val="-2"/>
              </w:rPr>
              <w:t xml:space="preserve">其中成都平原经济区 </w:t>
            </w:r>
            <w:r>
              <w:rPr>
                <w:spacing w:val="-2"/>
              </w:rPr>
              <w:t xml:space="preserve">36  </w:t>
            </w:r>
            <w:r>
              <w:rPr>
                <w:rFonts w:ascii="宋体" w:hAnsi="宋体" w:eastAsia="宋体" w:cs="宋体"/>
                <w:spacing w:val="-2"/>
              </w:rPr>
              <w:t>个，川南经济区</w:t>
            </w:r>
            <w:r>
              <w:rPr>
                <w:spacing w:val="-11"/>
              </w:rPr>
              <w:t xml:space="preserve">23 </w:t>
            </w:r>
            <w:r>
              <w:rPr>
                <w:rFonts w:ascii="宋体" w:hAnsi="宋体" w:eastAsia="宋体" w:cs="宋体"/>
                <w:spacing w:val="-11"/>
              </w:rPr>
              <w:t>个（内江市：市中区、东兴区、威远县、</w:t>
            </w:r>
            <w:r>
              <w:rPr>
                <w:rFonts w:ascii="宋体" w:hAnsi="宋体" w:eastAsia="宋体" w:cs="宋体"/>
                <w:spacing w:val="-2"/>
              </w:rPr>
              <w:t>资中县、隆昌市）…</w:t>
            </w:r>
          </w:p>
        </w:tc>
        <w:tc>
          <w:tcPr>
            <w:tcW w:w="2111" w:type="dxa"/>
            <w:vAlign w:val="top"/>
          </w:tcPr>
          <w:p w14:paraId="7C019D09">
            <w:pPr>
              <w:spacing w:before="51" w:line="275" w:lineRule="auto"/>
              <w:ind w:left="13" w:right="2" w:firstLine="5"/>
              <w:jc w:val="both"/>
              <w:rPr>
                <w:rFonts w:ascii="宋体" w:hAnsi="宋体" w:eastAsia="宋体" w:cs="宋体"/>
                <w:sz w:val="21"/>
                <w:szCs w:val="21"/>
              </w:rPr>
            </w:pPr>
            <w:r>
              <w:rPr>
                <w:rFonts w:ascii="宋体" w:hAnsi="宋体" w:eastAsia="宋体" w:cs="宋体"/>
                <w:spacing w:val="-2"/>
                <w:sz w:val="21"/>
                <w:szCs w:val="21"/>
              </w:rPr>
              <w:t>东兴区属于优质商品猪</w:t>
            </w:r>
            <w:r>
              <w:rPr>
                <w:rFonts w:ascii="宋体" w:hAnsi="宋体" w:eastAsia="宋体" w:cs="宋体"/>
                <w:spacing w:val="-1"/>
                <w:sz w:val="21"/>
                <w:szCs w:val="21"/>
              </w:rPr>
              <w:t>战略保障基地县，本项目建设有助于推进全省</w:t>
            </w:r>
            <w:r>
              <w:rPr>
                <w:rFonts w:ascii="宋体" w:hAnsi="宋体" w:eastAsia="宋体" w:cs="宋体"/>
                <w:spacing w:val="-4"/>
                <w:sz w:val="21"/>
                <w:szCs w:val="21"/>
              </w:rPr>
              <w:t>生猪养殖规模实施。</w:t>
            </w:r>
          </w:p>
        </w:tc>
        <w:tc>
          <w:tcPr>
            <w:tcW w:w="821" w:type="dxa"/>
            <w:vAlign w:val="top"/>
          </w:tcPr>
          <w:p w14:paraId="681A1CDD">
            <w:pPr>
              <w:rPr>
                <w:rFonts w:ascii="Arial"/>
                <w:sz w:val="21"/>
              </w:rPr>
            </w:pPr>
          </w:p>
        </w:tc>
      </w:tr>
      <w:tr w14:paraId="452FE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8" w:hRule="atLeast"/>
        </w:trPr>
        <w:tc>
          <w:tcPr>
            <w:tcW w:w="1566" w:type="dxa"/>
            <w:vAlign w:val="top"/>
          </w:tcPr>
          <w:p w14:paraId="1453246B">
            <w:pPr>
              <w:spacing w:line="247" w:lineRule="auto"/>
              <w:rPr>
                <w:rFonts w:ascii="Arial"/>
                <w:sz w:val="21"/>
              </w:rPr>
            </w:pPr>
          </w:p>
          <w:p w14:paraId="5B5AA13F">
            <w:pPr>
              <w:spacing w:line="247" w:lineRule="auto"/>
              <w:rPr>
                <w:rFonts w:ascii="Arial"/>
                <w:sz w:val="21"/>
              </w:rPr>
            </w:pPr>
          </w:p>
          <w:p w14:paraId="2F963FFF">
            <w:pPr>
              <w:spacing w:line="247" w:lineRule="auto"/>
              <w:rPr>
                <w:rFonts w:ascii="Arial"/>
                <w:sz w:val="21"/>
              </w:rPr>
            </w:pPr>
          </w:p>
          <w:p w14:paraId="6B97578D">
            <w:pPr>
              <w:spacing w:line="247" w:lineRule="auto"/>
              <w:rPr>
                <w:rFonts w:ascii="Arial"/>
                <w:sz w:val="21"/>
              </w:rPr>
            </w:pPr>
          </w:p>
          <w:p w14:paraId="6AD3F032">
            <w:pPr>
              <w:spacing w:line="247" w:lineRule="auto"/>
              <w:rPr>
                <w:rFonts w:ascii="Arial"/>
                <w:sz w:val="21"/>
              </w:rPr>
            </w:pPr>
          </w:p>
          <w:p w14:paraId="06D6AFE9">
            <w:pPr>
              <w:spacing w:line="247" w:lineRule="auto"/>
              <w:rPr>
                <w:rFonts w:ascii="Arial"/>
                <w:sz w:val="21"/>
              </w:rPr>
            </w:pPr>
          </w:p>
          <w:p w14:paraId="0FCF99DF">
            <w:pPr>
              <w:spacing w:line="247" w:lineRule="auto"/>
              <w:rPr>
                <w:rFonts w:ascii="Arial"/>
                <w:sz w:val="21"/>
              </w:rPr>
            </w:pPr>
          </w:p>
          <w:p w14:paraId="0EA78933">
            <w:pPr>
              <w:spacing w:line="247" w:lineRule="auto"/>
              <w:rPr>
                <w:rFonts w:ascii="Arial"/>
                <w:sz w:val="21"/>
              </w:rPr>
            </w:pPr>
          </w:p>
          <w:p w14:paraId="0EFC149A">
            <w:pPr>
              <w:spacing w:line="247" w:lineRule="auto"/>
              <w:rPr>
                <w:rFonts w:ascii="Arial"/>
                <w:sz w:val="21"/>
              </w:rPr>
            </w:pPr>
          </w:p>
          <w:p w14:paraId="4A58A283">
            <w:pPr>
              <w:spacing w:line="247" w:lineRule="auto"/>
              <w:rPr>
                <w:rFonts w:ascii="Arial"/>
                <w:sz w:val="21"/>
              </w:rPr>
            </w:pPr>
          </w:p>
          <w:p w14:paraId="55AA8CFD">
            <w:pPr>
              <w:spacing w:line="247" w:lineRule="auto"/>
              <w:rPr>
                <w:rFonts w:ascii="Arial"/>
                <w:sz w:val="21"/>
              </w:rPr>
            </w:pPr>
          </w:p>
          <w:p w14:paraId="14D1C0DA">
            <w:pPr>
              <w:spacing w:line="247" w:lineRule="auto"/>
              <w:rPr>
                <w:rFonts w:ascii="Arial"/>
                <w:sz w:val="21"/>
              </w:rPr>
            </w:pPr>
          </w:p>
          <w:p w14:paraId="0B3BB525">
            <w:pPr>
              <w:spacing w:line="247" w:lineRule="auto"/>
              <w:rPr>
                <w:rFonts w:ascii="Arial"/>
                <w:sz w:val="21"/>
              </w:rPr>
            </w:pPr>
          </w:p>
          <w:p w14:paraId="56FBD9FC">
            <w:pPr>
              <w:spacing w:line="247" w:lineRule="auto"/>
              <w:rPr>
                <w:rFonts w:ascii="Arial"/>
                <w:sz w:val="21"/>
              </w:rPr>
            </w:pPr>
          </w:p>
          <w:p w14:paraId="4A3F1B4E">
            <w:pPr>
              <w:spacing w:line="247" w:lineRule="auto"/>
              <w:rPr>
                <w:rFonts w:ascii="Arial"/>
                <w:sz w:val="21"/>
              </w:rPr>
            </w:pPr>
          </w:p>
          <w:p w14:paraId="7CA7588D">
            <w:pPr>
              <w:spacing w:line="247" w:lineRule="auto"/>
              <w:rPr>
                <w:rFonts w:ascii="Arial"/>
                <w:sz w:val="21"/>
              </w:rPr>
            </w:pPr>
          </w:p>
          <w:p w14:paraId="4418778F">
            <w:pPr>
              <w:spacing w:line="247" w:lineRule="auto"/>
              <w:rPr>
                <w:rFonts w:ascii="Arial"/>
                <w:sz w:val="21"/>
              </w:rPr>
            </w:pPr>
          </w:p>
          <w:p w14:paraId="26E5FCD3">
            <w:pPr>
              <w:spacing w:line="248" w:lineRule="auto"/>
              <w:rPr>
                <w:rFonts w:ascii="Arial"/>
                <w:sz w:val="21"/>
              </w:rPr>
            </w:pPr>
          </w:p>
          <w:p w14:paraId="22F29185">
            <w:pPr>
              <w:spacing w:line="248" w:lineRule="auto"/>
              <w:rPr>
                <w:rFonts w:ascii="Arial"/>
                <w:sz w:val="21"/>
              </w:rPr>
            </w:pPr>
          </w:p>
          <w:p w14:paraId="13269558">
            <w:pPr>
              <w:spacing w:line="248" w:lineRule="auto"/>
              <w:rPr>
                <w:rFonts w:ascii="Arial"/>
                <w:sz w:val="21"/>
              </w:rPr>
            </w:pPr>
          </w:p>
          <w:p w14:paraId="0203D57C">
            <w:pPr>
              <w:spacing w:before="68" w:line="220" w:lineRule="auto"/>
              <w:ind w:left="73"/>
              <w:rPr>
                <w:rFonts w:ascii="宋体" w:hAnsi="宋体" w:eastAsia="宋体" w:cs="宋体"/>
                <w:sz w:val="21"/>
                <w:szCs w:val="21"/>
              </w:rPr>
            </w:pPr>
            <w:r>
              <w:rPr>
                <w:rFonts w:ascii="宋体" w:hAnsi="宋体" w:eastAsia="宋体" w:cs="宋体"/>
                <w:spacing w:val="-4"/>
                <w:sz w:val="21"/>
                <w:szCs w:val="21"/>
              </w:rPr>
              <w:t>四川省畜禽养殖</w:t>
            </w:r>
          </w:p>
          <w:p w14:paraId="58745D6D">
            <w:pPr>
              <w:spacing w:before="62" w:line="220" w:lineRule="auto"/>
              <w:ind w:left="160"/>
              <w:rPr>
                <w:rFonts w:ascii="宋体" w:hAnsi="宋体" w:eastAsia="宋体" w:cs="宋体"/>
                <w:sz w:val="21"/>
                <w:szCs w:val="21"/>
              </w:rPr>
            </w:pPr>
            <w:r>
              <w:rPr>
                <w:rFonts w:ascii="宋体" w:hAnsi="宋体" w:eastAsia="宋体" w:cs="宋体"/>
                <w:spacing w:val="-2"/>
                <w:sz w:val="21"/>
                <w:szCs w:val="21"/>
              </w:rPr>
              <w:t>污染防治规划</w:t>
            </w:r>
          </w:p>
          <w:p w14:paraId="383679DE">
            <w:pPr>
              <w:spacing w:before="60" w:line="220" w:lineRule="auto"/>
              <w:ind w:left="374"/>
              <w:rPr>
                <w:rFonts w:ascii="宋体" w:hAnsi="宋体" w:eastAsia="宋体" w:cs="宋体"/>
                <w:sz w:val="21"/>
                <w:szCs w:val="21"/>
              </w:rPr>
            </w:pPr>
            <w:r>
              <w:rPr>
                <w:rFonts w:ascii="宋体" w:hAnsi="宋体" w:eastAsia="宋体" w:cs="宋体"/>
                <w:spacing w:val="-5"/>
                <w:sz w:val="21"/>
                <w:szCs w:val="21"/>
              </w:rPr>
              <w:t>（川环发</w:t>
            </w:r>
          </w:p>
          <w:p w14:paraId="169C158E">
            <w:pPr>
              <w:pStyle w:val="6"/>
              <w:spacing w:before="62" w:line="212" w:lineRule="auto"/>
              <w:ind w:left="176"/>
              <w:rPr>
                <w:rFonts w:ascii="宋体" w:hAnsi="宋体" w:eastAsia="宋体" w:cs="宋体"/>
              </w:rPr>
            </w:pPr>
            <w:r>
              <w:rPr>
                <w:spacing w:val="-6"/>
              </w:rPr>
              <w:t>[</w:t>
            </w:r>
            <w:r>
              <w:fldChar w:fldCharType="begin"/>
            </w:r>
            <w:r>
              <w:instrText xml:space="preserve"> HYPERLINK \l "bookmark118" </w:instrText>
            </w:r>
            <w:r>
              <w:fldChar w:fldCharType="separate"/>
            </w:r>
            <w:r>
              <w:rPr>
                <w:spacing w:val="-6"/>
              </w:rPr>
              <w:t>2022</w:t>
            </w:r>
            <w:r>
              <w:rPr>
                <w:spacing w:val="-6"/>
              </w:rPr>
              <w:fldChar w:fldCharType="end"/>
            </w:r>
            <w:r>
              <w:rPr>
                <w:spacing w:val="-6"/>
              </w:rPr>
              <w:t>]</w:t>
            </w:r>
            <w:r>
              <w:rPr>
                <w:spacing w:val="-25"/>
              </w:rPr>
              <w:t xml:space="preserve"> </w:t>
            </w:r>
            <w:r>
              <w:rPr>
                <w:spacing w:val="-6"/>
              </w:rPr>
              <w:t>18</w:t>
            </w:r>
            <w:r>
              <w:rPr>
                <w:spacing w:val="14"/>
              </w:rPr>
              <w:t xml:space="preserve"> </w:t>
            </w:r>
            <w:r>
              <w:rPr>
                <w:rFonts w:ascii="宋体" w:hAnsi="宋体" w:eastAsia="宋体" w:cs="宋体"/>
                <w:spacing w:val="-6"/>
              </w:rPr>
              <w:t>号）</w:t>
            </w:r>
          </w:p>
        </w:tc>
        <w:tc>
          <w:tcPr>
            <w:tcW w:w="3822" w:type="dxa"/>
            <w:vAlign w:val="top"/>
          </w:tcPr>
          <w:p w14:paraId="7A0500B0">
            <w:pPr>
              <w:spacing w:before="50" w:line="219" w:lineRule="auto"/>
              <w:ind w:left="14"/>
              <w:rPr>
                <w:rFonts w:ascii="宋体" w:hAnsi="宋体" w:eastAsia="宋体" w:cs="宋体"/>
                <w:sz w:val="21"/>
                <w:szCs w:val="21"/>
              </w:rPr>
            </w:pPr>
            <w:r>
              <w:rPr>
                <w:rFonts w:ascii="宋体" w:hAnsi="宋体" w:eastAsia="宋体" w:cs="宋体"/>
                <w:spacing w:val="-2"/>
                <w:sz w:val="21"/>
                <w:szCs w:val="21"/>
              </w:rPr>
              <w:t>（一）分区分类，优化畜禽养殖布局结构</w:t>
            </w:r>
          </w:p>
          <w:p w14:paraId="1F975185">
            <w:pPr>
              <w:pStyle w:val="6"/>
              <w:spacing w:before="65" w:line="274" w:lineRule="auto"/>
              <w:ind w:left="9" w:firstLine="210"/>
              <w:rPr>
                <w:rFonts w:ascii="宋体" w:hAnsi="宋体" w:eastAsia="宋体" w:cs="宋体"/>
              </w:rPr>
            </w:pPr>
            <w:r>
              <w:rPr>
                <w:rFonts w:ascii="宋体" w:hAnsi="宋体" w:eastAsia="宋体" w:cs="宋体"/>
              </w:rPr>
              <w:t>重点防治类：</w:t>
            </w:r>
            <w:r>
              <w:rPr>
                <w:rFonts w:ascii="宋体" w:hAnsi="宋体" w:eastAsia="宋体" w:cs="宋体"/>
                <w:spacing w:val="-80"/>
              </w:rPr>
              <w:t xml:space="preserve"> </w:t>
            </w:r>
            <w:r>
              <w:rPr>
                <w:rFonts w:ascii="宋体" w:hAnsi="宋体" w:eastAsia="宋体" w:cs="宋体"/>
              </w:rPr>
              <w:t>…杜绝未经处置的粪污借</w:t>
            </w:r>
            <w:r>
              <w:rPr>
                <w:rFonts w:ascii="宋体" w:hAnsi="宋体" w:eastAsia="宋体" w:cs="宋体"/>
                <w:spacing w:val="-1"/>
              </w:rPr>
              <w:t>粪肥名义漫灌入田现象，推广覆土施肥、</w:t>
            </w:r>
            <w:r>
              <w:rPr>
                <w:rFonts w:ascii="宋体" w:hAnsi="宋体" w:eastAsia="宋体" w:cs="宋体"/>
                <w:spacing w:val="-2"/>
              </w:rPr>
              <w:t>沟施及注射式深施等精细化施肥。其他</w:t>
            </w:r>
            <w:r>
              <w:rPr>
                <w:rFonts w:ascii="宋体" w:hAnsi="宋体" w:eastAsia="宋体" w:cs="宋体"/>
                <w:spacing w:val="-41"/>
              </w:rPr>
              <w:t xml:space="preserve"> </w:t>
            </w:r>
            <w:r>
              <w:rPr>
                <w:spacing w:val="-2"/>
              </w:rPr>
              <w:t>49</w:t>
            </w:r>
            <w:r>
              <w:rPr>
                <w:rFonts w:ascii="宋体" w:hAnsi="宋体" w:eastAsia="宋体" w:cs="宋体"/>
                <w:spacing w:val="1"/>
              </w:rPr>
              <w:t>个重点防治类县新建规模养殖场鼓励采用减量化、无害化处理与资源化利用相结合的粪污处理工艺…</w:t>
            </w:r>
          </w:p>
          <w:p w14:paraId="225759BA">
            <w:pPr>
              <w:spacing w:before="3" w:line="274" w:lineRule="auto"/>
              <w:ind w:left="9" w:firstLine="5"/>
              <w:jc w:val="right"/>
              <w:rPr>
                <w:rFonts w:ascii="宋体" w:hAnsi="宋体" w:eastAsia="宋体" w:cs="宋体"/>
                <w:sz w:val="21"/>
                <w:szCs w:val="21"/>
              </w:rPr>
            </w:pPr>
            <w:r>
              <w:rPr>
                <w:rFonts w:ascii="宋体" w:hAnsi="宋体" w:eastAsia="宋体" w:cs="宋体"/>
                <w:spacing w:val="-7"/>
                <w:sz w:val="21"/>
                <w:szCs w:val="21"/>
              </w:rPr>
              <w:t>（二）种养结合，加强废弃物资源化利用</w:t>
            </w:r>
            <w:r>
              <w:rPr>
                <w:rFonts w:ascii="宋体" w:hAnsi="宋体" w:eastAsia="宋体" w:cs="宋体"/>
                <w:spacing w:val="9"/>
                <w:sz w:val="21"/>
                <w:szCs w:val="21"/>
              </w:rPr>
              <w:t>合理确定种养结合发展路径。提高种养</w:t>
            </w:r>
            <w:r>
              <w:rPr>
                <w:rFonts w:ascii="宋体" w:hAnsi="宋体" w:eastAsia="宋体" w:cs="宋体"/>
                <w:spacing w:val="-10"/>
                <w:sz w:val="21"/>
                <w:szCs w:val="21"/>
              </w:rPr>
              <w:t>匹配度，因地制宜科学选择工艺。以水稻、</w:t>
            </w:r>
            <w:r>
              <w:rPr>
                <w:rFonts w:ascii="宋体" w:hAnsi="宋体" w:eastAsia="宋体" w:cs="宋体"/>
                <w:spacing w:val="-3"/>
                <w:sz w:val="21"/>
                <w:szCs w:val="21"/>
              </w:rPr>
              <w:t>玉米、油菜、薯类、蔬菜、水果为重点推行粪肥就地就近还田利用；在消纳耕地不足的区域，优先推广机械干清粪工艺，固体粪污以堆沤肥处理为主，液体粪污重点推广沼气发酵、异位发酵床、贮存发酵等技术，在非环境敏感区积极引导沼液、沼渣还田利用。…圈养养殖推广节水型清粪</w:t>
            </w:r>
          </w:p>
          <w:p w14:paraId="07179749">
            <w:pPr>
              <w:spacing w:line="274" w:lineRule="auto"/>
              <w:ind w:left="10" w:right="2" w:firstLine="1"/>
              <w:jc w:val="both"/>
              <w:rPr>
                <w:rFonts w:ascii="宋体" w:hAnsi="宋体" w:eastAsia="宋体" w:cs="宋体"/>
                <w:sz w:val="21"/>
                <w:szCs w:val="21"/>
              </w:rPr>
            </w:pPr>
            <w:r>
              <w:rPr>
                <w:rFonts w:ascii="宋体" w:hAnsi="宋体" w:eastAsia="宋体" w:cs="宋体"/>
                <w:spacing w:val="1"/>
                <w:sz w:val="21"/>
                <w:szCs w:val="21"/>
              </w:rPr>
              <w:t>工艺，鼓励推行固体粪污膜堆肥、反应器堆肥，液体粪污密闭覆盖、酸化处理等臭</w:t>
            </w:r>
            <w:r>
              <w:rPr>
                <w:rFonts w:ascii="宋体" w:hAnsi="宋体" w:eastAsia="宋体" w:cs="宋体"/>
                <w:spacing w:val="-6"/>
                <w:sz w:val="21"/>
                <w:szCs w:val="21"/>
              </w:rPr>
              <w:t>气减排措施。</w:t>
            </w:r>
          </w:p>
          <w:p w14:paraId="77C2E45F">
            <w:pPr>
              <w:spacing w:before="2" w:line="274" w:lineRule="auto"/>
              <w:ind w:left="8" w:firstLine="210"/>
              <w:jc w:val="both"/>
              <w:rPr>
                <w:rFonts w:ascii="宋体" w:hAnsi="宋体" w:eastAsia="宋体" w:cs="宋体"/>
                <w:sz w:val="21"/>
                <w:szCs w:val="21"/>
              </w:rPr>
            </w:pPr>
            <w:r>
              <w:rPr>
                <w:rFonts w:ascii="宋体" w:hAnsi="宋体" w:eastAsia="宋体" w:cs="宋体"/>
                <w:spacing w:val="-2"/>
                <w:sz w:val="21"/>
                <w:szCs w:val="21"/>
              </w:rPr>
              <w:t>拓宽粪污资源化利用渠道。推广“生态养殖业+沼气工程+高效种植业”，…推进粪肥收运和田间施用社会化服务建设，加</w:t>
            </w:r>
            <w:r>
              <w:rPr>
                <w:rFonts w:ascii="宋体" w:hAnsi="宋体" w:eastAsia="宋体" w:cs="宋体"/>
                <w:spacing w:val="-10"/>
                <w:sz w:val="21"/>
                <w:szCs w:val="21"/>
              </w:rPr>
              <w:t>快建设田间粪污储存、粪肥施用设施设备，</w:t>
            </w:r>
            <w:r>
              <w:rPr>
                <w:rFonts w:ascii="宋体" w:hAnsi="宋体" w:eastAsia="宋体" w:cs="宋体"/>
                <w:spacing w:val="-2"/>
                <w:sz w:val="21"/>
                <w:szCs w:val="21"/>
              </w:rPr>
              <w:t>配套灌溉管带和沼渣、沼液及粪污专用运输车辆，逐步改进粪肥施用方式，鼓励覆</w:t>
            </w:r>
            <w:r>
              <w:rPr>
                <w:rFonts w:ascii="宋体" w:hAnsi="宋体" w:eastAsia="宋体" w:cs="宋体"/>
                <w:spacing w:val="-10"/>
                <w:sz w:val="21"/>
                <w:szCs w:val="21"/>
              </w:rPr>
              <w:t>土施肥、沟施及机械式深施等精细化施肥，</w:t>
            </w:r>
            <w:r>
              <w:rPr>
                <w:rFonts w:ascii="宋体" w:hAnsi="宋体" w:eastAsia="宋体" w:cs="宋体"/>
                <w:spacing w:val="-2"/>
                <w:sz w:val="21"/>
                <w:szCs w:val="21"/>
              </w:rPr>
              <w:t>积极推广全量机械化施用，降低粪肥施用</w:t>
            </w:r>
            <w:r>
              <w:rPr>
                <w:rFonts w:ascii="宋体" w:hAnsi="宋体" w:eastAsia="宋体" w:cs="宋体"/>
                <w:spacing w:val="-9"/>
                <w:sz w:val="21"/>
                <w:szCs w:val="21"/>
              </w:rPr>
              <w:t>劳动强度。</w:t>
            </w:r>
          </w:p>
          <w:p w14:paraId="1C1E14E2">
            <w:pPr>
              <w:spacing w:before="4" w:line="267" w:lineRule="auto"/>
              <w:ind w:left="8" w:firstLine="6"/>
              <w:jc w:val="right"/>
              <w:rPr>
                <w:rFonts w:ascii="宋体" w:hAnsi="宋体" w:eastAsia="宋体" w:cs="宋体"/>
                <w:sz w:val="21"/>
                <w:szCs w:val="21"/>
              </w:rPr>
            </w:pPr>
            <w:r>
              <w:rPr>
                <w:rFonts w:ascii="宋体" w:hAnsi="宋体" w:eastAsia="宋体" w:cs="宋体"/>
                <w:spacing w:val="-6"/>
                <w:sz w:val="21"/>
                <w:szCs w:val="21"/>
              </w:rPr>
              <w:t>（三）精准治污，提高养殖污染治理能力</w:t>
            </w:r>
            <w:r>
              <w:rPr>
                <w:rFonts w:ascii="宋体" w:hAnsi="宋体" w:eastAsia="宋体" w:cs="宋体"/>
                <w:spacing w:val="-5"/>
                <w:sz w:val="21"/>
                <w:szCs w:val="21"/>
              </w:rPr>
              <w:t>源头管控， 着力减少污染物产生和排放。</w:t>
            </w:r>
            <w:r>
              <w:rPr>
                <w:rFonts w:ascii="宋体" w:hAnsi="宋体" w:eastAsia="宋体" w:cs="宋体"/>
                <w:spacing w:val="-3"/>
                <w:sz w:val="21"/>
                <w:szCs w:val="21"/>
              </w:rPr>
              <w:t>严格执行《饲料添加剂安全使用规范》，科学、规范、精准使用饲料添加剂，依法</w:t>
            </w:r>
            <w:r>
              <w:rPr>
                <w:rFonts w:ascii="宋体" w:hAnsi="宋体" w:eastAsia="宋体" w:cs="宋体"/>
                <w:spacing w:val="9"/>
                <w:sz w:val="21"/>
                <w:szCs w:val="21"/>
              </w:rPr>
              <w:t>加强饲料中超剂量使用铜、锌等问题监</w:t>
            </w:r>
            <w:r>
              <w:rPr>
                <w:rFonts w:ascii="宋体" w:hAnsi="宋体" w:eastAsia="宋体" w:cs="宋体"/>
                <w:spacing w:val="-3"/>
                <w:sz w:val="21"/>
                <w:szCs w:val="21"/>
              </w:rPr>
              <w:t>控；…积极推广低蛋白日粮技术，大力实施饲料精准配方和精准配制工艺，提高饲</w:t>
            </w:r>
          </w:p>
        </w:tc>
        <w:tc>
          <w:tcPr>
            <w:tcW w:w="2111" w:type="dxa"/>
            <w:vAlign w:val="top"/>
          </w:tcPr>
          <w:p w14:paraId="6533E2CA">
            <w:pPr>
              <w:pStyle w:val="6"/>
              <w:spacing w:before="53" w:line="274" w:lineRule="auto"/>
              <w:ind w:left="10"/>
              <w:rPr>
                <w:rFonts w:ascii="宋体" w:hAnsi="宋体" w:eastAsia="宋体" w:cs="宋体"/>
              </w:rPr>
            </w:pPr>
            <w:r>
              <w:rPr>
                <w:rFonts w:ascii="宋体" w:hAnsi="宋体" w:eastAsia="宋体" w:cs="宋体"/>
                <w:spacing w:val="-1"/>
              </w:rPr>
              <w:t>①本项目位于内江市东</w:t>
            </w:r>
            <w:r>
              <w:rPr>
                <w:rFonts w:ascii="宋体" w:hAnsi="宋体" w:eastAsia="宋体" w:cs="宋体"/>
                <w:spacing w:val="-10"/>
              </w:rPr>
              <w:t>兴区，属于其他</w:t>
            </w:r>
            <w:r>
              <w:rPr>
                <w:rFonts w:ascii="宋体" w:hAnsi="宋体" w:eastAsia="宋体" w:cs="宋体"/>
                <w:spacing w:val="-45"/>
              </w:rPr>
              <w:t xml:space="preserve"> </w:t>
            </w:r>
            <w:r>
              <w:rPr>
                <w:spacing w:val="-10"/>
              </w:rPr>
              <w:t xml:space="preserve">49 </w:t>
            </w:r>
            <w:r>
              <w:rPr>
                <w:rFonts w:ascii="宋体" w:hAnsi="宋体" w:eastAsia="宋体" w:cs="宋体"/>
                <w:spacing w:val="-10"/>
              </w:rPr>
              <w:t>个重</w:t>
            </w:r>
            <w:r>
              <w:rPr>
                <w:rFonts w:ascii="宋体" w:hAnsi="宋体" w:eastAsia="宋体" w:cs="宋体"/>
                <w:spacing w:val="-2"/>
              </w:rPr>
              <w:t>点防治类县，本项目采</w:t>
            </w:r>
            <w:r>
              <w:rPr>
                <w:rFonts w:ascii="宋体" w:hAnsi="宋体" w:eastAsia="宋体" w:cs="宋体"/>
                <w:spacing w:val="-1"/>
              </w:rPr>
              <w:t>用减量化、无害化处理与资源化利用相结合的粪污处理工艺，废水经处理达标后作为消纳地农灌用水，猪粪沼渣经脱水后送四川正威实业</w:t>
            </w:r>
            <w:r>
              <w:rPr>
                <w:rFonts w:ascii="宋体" w:hAnsi="宋体" w:eastAsia="宋体" w:cs="宋体"/>
                <w:spacing w:val="-4"/>
              </w:rPr>
              <w:t>有限公司生产有机肥。</w:t>
            </w:r>
          </w:p>
          <w:p w14:paraId="5126E10E">
            <w:pPr>
              <w:pStyle w:val="6"/>
              <w:spacing w:before="6" w:line="274" w:lineRule="auto"/>
              <w:ind w:left="7" w:firstLine="2"/>
              <w:rPr>
                <w:rFonts w:ascii="宋体" w:hAnsi="宋体" w:eastAsia="宋体" w:cs="宋体"/>
              </w:rPr>
            </w:pPr>
            <w:r>
              <w:rPr>
                <w:rFonts w:ascii="宋体" w:hAnsi="宋体" w:eastAsia="宋体" w:cs="宋体"/>
                <w:spacing w:val="-1"/>
              </w:rPr>
              <w:t>②本项目采用“原环保</w:t>
            </w:r>
            <w:r>
              <w:rPr>
                <w:rFonts w:ascii="宋体" w:hAnsi="宋体" w:eastAsia="宋体" w:cs="宋体"/>
                <w:spacing w:val="-22"/>
              </w:rPr>
              <w:t>部认可的清粪工艺”（同</w:t>
            </w:r>
            <w:r>
              <w:rPr>
                <w:rFonts w:ascii="宋体" w:hAnsi="宋体" w:eastAsia="宋体" w:cs="宋体"/>
                <w:spacing w:val="-1"/>
              </w:rPr>
              <w:t>牧原清粪工艺，为环保部认可具备干清粪工艺</w:t>
            </w:r>
            <w:r>
              <w:rPr>
                <w:rFonts w:ascii="宋体" w:hAnsi="宋体" w:eastAsia="宋体" w:cs="宋体"/>
                <w:spacing w:val="-9"/>
              </w:rPr>
              <w:t>基本特征</w:t>
            </w:r>
            <w:r>
              <w:rPr>
                <w:rFonts w:ascii="宋体" w:hAnsi="宋体" w:eastAsia="宋体" w:cs="宋体"/>
                <w:spacing w:val="-51"/>
                <w:w w:val="92"/>
              </w:rPr>
              <w:t>），</w:t>
            </w:r>
            <w:r>
              <w:rPr>
                <w:rFonts w:ascii="宋体" w:hAnsi="宋体" w:eastAsia="宋体" w:cs="宋体"/>
                <w:spacing w:val="-9"/>
              </w:rPr>
              <w:t>液体粪污采</w:t>
            </w:r>
            <w:r>
              <w:rPr>
                <w:rFonts w:ascii="宋体" w:hAnsi="宋体" w:eastAsia="宋体" w:cs="宋体"/>
                <w:spacing w:val="5"/>
              </w:rPr>
              <w:t>用“粪污收集池</w:t>
            </w:r>
            <w:r>
              <w:rPr>
                <w:spacing w:val="5"/>
              </w:rPr>
              <w:t>+</w:t>
            </w:r>
            <w:r>
              <w:rPr>
                <w:spacing w:val="-15"/>
              </w:rPr>
              <w:t xml:space="preserve"> </w:t>
            </w:r>
            <w:r>
              <w:rPr>
                <w:rFonts w:ascii="宋体" w:hAnsi="宋体" w:eastAsia="宋体" w:cs="宋体"/>
                <w:spacing w:val="5"/>
              </w:rPr>
              <w:t>固液</w:t>
            </w:r>
            <w:r>
              <w:rPr>
                <w:rFonts w:ascii="宋体" w:hAnsi="宋体" w:eastAsia="宋体" w:cs="宋体"/>
                <w:spacing w:val="-9"/>
              </w:rPr>
              <w:t>分</w:t>
            </w:r>
            <w:r>
              <w:rPr>
                <w:rFonts w:ascii="宋体" w:hAnsi="宋体" w:eastAsia="宋体" w:cs="宋体"/>
                <w:spacing w:val="-14"/>
              </w:rPr>
              <w:t xml:space="preserve"> </w:t>
            </w:r>
            <w:r>
              <w:rPr>
                <w:rFonts w:ascii="宋体" w:hAnsi="宋体" w:eastAsia="宋体" w:cs="宋体"/>
                <w:spacing w:val="-9"/>
              </w:rPr>
              <w:t>离</w:t>
            </w:r>
            <w:r>
              <w:rPr>
                <w:rFonts w:ascii="宋体" w:hAnsi="宋体" w:eastAsia="宋体" w:cs="宋体"/>
                <w:spacing w:val="-28"/>
              </w:rPr>
              <w:t xml:space="preserve"> </w:t>
            </w:r>
            <w:r>
              <w:rPr>
                <w:spacing w:val="-9"/>
              </w:rPr>
              <w:t>+</w:t>
            </w:r>
            <w:r>
              <w:rPr>
                <w:spacing w:val="32"/>
              </w:rPr>
              <w:t xml:space="preserve"> </w:t>
            </w:r>
            <w:r>
              <w:rPr>
                <w:rFonts w:ascii="宋体" w:hAnsi="宋体" w:eastAsia="宋体" w:cs="宋体"/>
                <w:spacing w:val="-9"/>
              </w:rPr>
              <w:t>水</w:t>
            </w:r>
            <w:r>
              <w:rPr>
                <w:rFonts w:ascii="宋体" w:hAnsi="宋体" w:eastAsia="宋体" w:cs="宋体"/>
                <w:spacing w:val="-25"/>
              </w:rPr>
              <w:t xml:space="preserve"> </w:t>
            </w:r>
            <w:r>
              <w:rPr>
                <w:rFonts w:ascii="宋体" w:hAnsi="宋体" w:eastAsia="宋体" w:cs="宋体"/>
                <w:spacing w:val="-9"/>
              </w:rPr>
              <w:t>解</w:t>
            </w:r>
            <w:r>
              <w:rPr>
                <w:rFonts w:ascii="宋体" w:hAnsi="宋体" w:eastAsia="宋体" w:cs="宋体"/>
                <w:spacing w:val="-23"/>
              </w:rPr>
              <w:t xml:space="preserve"> </w:t>
            </w:r>
            <w:r>
              <w:rPr>
                <w:rFonts w:ascii="宋体" w:hAnsi="宋体" w:eastAsia="宋体" w:cs="宋体"/>
                <w:spacing w:val="-9"/>
              </w:rPr>
              <w:t>酸</w:t>
            </w:r>
            <w:r>
              <w:rPr>
                <w:rFonts w:ascii="宋体" w:hAnsi="宋体" w:eastAsia="宋体" w:cs="宋体"/>
                <w:spacing w:val="-22"/>
              </w:rPr>
              <w:t xml:space="preserve"> </w:t>
            </w:r>
            <w:r>
              <w:rPr>
                <w:rFonts w:ascii="宋体" w:hAnsi="宋体" w:eastAsia="宋体" w:cs="宋体"/>
                <w:spacing w:val="-9"/>
              </w:rPr>
              <w:t>化</w:t>
            </w:r>
            <w:r>
              <w:rPr>
                <w:rFonts w:ascii="宋体" w:hAnsi="宋体" w:eastAsia="宋体" w:cs="宋体"/>
                <w:spacing w:val="-24"/>
              </w:rPr>
              <w:t xml:space="preserve"> </w:t>
            </w:r>
            <w:r>
              <w:rPr>
                <w:rFonts w:ascii="宋体" w:hAnsi="宋体" w:eastAsia="宋体" w:cs="宋体"/>
                <w:spacing w:val="-9"/>
              </w:rPr>
              <w:t>池</w:t>
            </w:r>
            <w:r>
              <w:rPr>
                <w:spacing w:val="9"/>
              </w:rPr>
              <w:t>+</w:t>
            </w:r>
            <w:r>
              <w:t>CSTR</w:t>
            </w:r>
            <w:r>
              <w:rPr>
                <w:rFonts w:ascii="宋体" w:hAnsi="宋体" w:eastAsia="宋体" w:cs="宋体"/>
                <w:spacing w:val="9"/>
              </w:rPr>
              <w:t>厌氧反应器</w:t>
            </w:r>
            <w:r>
              <w:rPr>
                <w:spacing w:val="9"/>
              </w:rPr>
              <w:t>+</w:t>
            </w:r>
            <w:r>
              <w:rPr>
                <w:rFonts w:ascii="宋体" w:hAnsi="宋体" w:eastAsia="宋体" w:cs="宋体"/>
                <w:spacing w:val="9"/>
              </w:rPr>
              <w:t>微</w:t>
            </w:r>
            <w:r>
              <w:rPr>
                <w:rFonts w:ascii="宋体" w:hAnsi="宋体" w:eastAsia="宋体" w:cs="宋体"/>
                <w:spacing w:val="6"/>
              </w:rPr>
              <w:t>生物曝氧塘</w:t>
            </w:r>
            <w:r>
              <w:rPr>
                <w:spacing w:val="6"/>
              </w:rPr>
              <w:t>+</w:t>
            </w:r>
            <w:r>
              <w:rPr>
                <w:spacing w:val="-25"/>
              </w:rPr>
              <w:t xml:space="preserve"> </w:t>
            </w:r>
            <w:r>
              <w:rPr>
                <w:rFonts w:ascii="宋体" w:hAnsi="宋体" w:eastAsia="宋体" w:cs="宋体"/>
                <w:spacing w:val="6"/>
              </w:rPr>
              <w:t>前置物化</w:t>
            </w:r>
            <w:r>
              <w:rPr>
                <w:rFonts w:ascii="宋体" w:hAnsi="宋体" w:eastAsia="宋体" w:cs="宋体"/>
                <w:spacing w:val="11"/>
              </w:rPr>
              <w:t>系统</w:t>
            </w:r>
            <w:r>
              <w:rPr>
                <w:spacing w:val="11"/>
              </w:rPr>
              <w:t>+</w:t>
            </w:r>
            <w:r>
              <w:rPr>
                <w:spacing w:val="-17"/>
              </w:rPr>
              <w:t xml:space="preserve"> </w:t>
            </w:r>
            <w:r>
              <w:rPr>
                <w:rFonts w:ascii="宋体" w:hAnsi="宋体" w:eastAsia="宋体" w:cs="宋体"/>
                <w:spacing w:val="11"/>
              </w:rPr>
              <w:t>一级缺氧池</w:t>
            </w:r>
            <w:r>
              <w:rPr>
                <w:spacing w:val="11"/>
              </w:rPr>
              <w:t>+</w:t>
            </w:r>
            <w:r>
              <w:rPr>
                <w:spacing w:val="-20"/>
              </w:rPr>
              <w:t xml:space="preserve"> </w:t>
            </w:r>
            <w:r>
              <w:rPr>
                <w:rFonts w:ascii="宋体" w:hAnsi="宋体" w:eastAsia="宋体" w:cs="宋体"/>
                <w:spacing w:val="11"/>
              </w:rPr>
              <w:t>一</w:t>
            </w:r>
            <w:r>
              <w:rPr>
                <w:rFonts w:ascii="宋体" w:hAnsi="宋体" w:eastAsia="宋体" w:cs="宋体"/>
                <w:spacing w:val="6"/>
              </w:rPr>
              <w:t>级好氧池</w:t>
            </w:r>
            <w:r>
              <w:rPr>
                <w:spacing w:val="6"/>
              </w:rPr>
              <w:t>+</w:t>
            </w:r>
            <w:r>
              <w:rPr>
                <w:spacing w:val="-24"/>
              </w:rPr>
              <w:t xml:space="preserve"> </w:t>
            </w:r>
            <w:r>
              <w:rPr>
                <w:rFonts w:ascii="宋体" w:hAnsi="宋体" w:eastAsia="宋体" w:cs="宋体"/>
                <w:spacing w:val="6"/>
              </w:rPr>
              <w:t>一级沉淀池</w:t>
            </w:r>
            <w:r>
              <w:rPr>
                <w:spacing w:val="11"/>
              </w:rPr>
              <w:t>+</w:t>
            </w:r>
            <w:r>
              <w:rPr>
                <w:spacing w:val="-17"/>
              </w:rPr>
              <w:t xml:space="preserve"> </w:t>
            </w:r>
            <w:r>
              <w:rPr>
                <w:rFonts w:ascii="宋体" w:hAnsi="宋体" w:eastAsia="宋体" w:cs="宋体"/>
                <w:spacing w:val="11"/>
              </w:rPr>
              <w:t>二级缺氧池</w:t>
            </w:r>
            <w:r>
              <w:rPr>
                <w:spacing w:val="11"/>
              </w:rPr>
              <w:t>+</w:t>
            </w:r>
            <w:r>
              <w:rPr>
                <w:spacing w:val="-20"/>
              </w:rPr>
              <w:t xml:space="preserve"> </w:t>
            </w:r>
            <w:r>
              <w:rPr>
                <w:rFonts w:ascii="宋体" w:hAnsi="宋体" w:eastAsia="宋体" w:cs="宋体"/>
                <w:spacing w:val="11"/>
              </w:rPr>
              <w:t>二级好氧池</w:t>
            </w:r>
            <w:r>
              <w:rPr>
                <w:spacing w:val="11"/>
              </w:rPr>
              <w:t>+</w:t>
            </w:r>
            <w:r>
              <w:rPr>
                <w:spacing w:val="-16"/>
              </w:rPr>
              <w:t xml:space="preserve"> </w:t>
            </w:r>
            <w:r>
              <w:rPr>
                <w:rFonts w:ascii="宋体" w:hAnsi="宋体" w:eastAsia="宋体" w:cs="宋体"/>
                <w:spacing w:val="11"/>
              </w:rPr>
              <w:t>二级沉淀池</w:t>
            </w:r>
            <w:r>
              <w:rPr>
                <w:spacing w:val="11"/>
              </w:rPr>
              <w:t>+</w:t>
            </w:r>
            <w:r>
              <w:rPr>
                <w:spacing w:val="-21"/>
              </w:rPr>
              <w:t xml:space="preserve"> </w:t>
            </w:r>
            <w:r>
              <w:rPr>
                <w:rFonts w:ascii="宋体" w:hAnsi="宋体" w:eastAsia="宋体" w:cs="宋体"/>
                <w:spacing w:val="11"/>
              </w:rPr>
              <w:t>混</w:t>
            </w:r>
            <w:r>
              <w:rPr>
                <w:rFonts w:ascii="宋体" w:hAnsi="宋体" w:eastAsia="宋体" w:cs="宋体"/>
                <w:spacing w:val="6"/>
              </w:rPr>
              <w:t>凝沉淀池</w:t>
            </w:r>
            <w:r>
              <w:rPr>
                <w:spacing w:val="6"/>
              </w:rPr>
              <w:t>+</w:t>
            </w:r>
            <w:r>
              <w:rPr>
                <w:spacing w:val="-24"/>
              </w:rPr>
              <w:t xml:space="preserve"> </w:t>
            </w:r>
            <w:r>
              <w:rPr>
                <w:rFonts w:ascii="宋体" w:hAnsi="宋体" w:eastAsia="宋体" w:cs="宋体"/>
                <w:spacing w:val="6"/>
              </w:rPr>
              <w:t>消毒池”处</w:t>
            </w:r>
            <w:r>
              <w:rPr>
                <w:rFonts w:ascii="宋体" w:hAnsi="宋体" w:eastAsia="宋体" w:cs="宋体"/>
                <w:spacing w:val="-1"/>
              </w:rPr>
              <w:t>理工艺，固废粪污交有机肥厂生产有机肥。本项目配套消纳地种植天冬、大豆、玉米、油菜等作物，废水经处理达</w:t>
            </w:r>
            <w:r>
              <w:rPr>
                <w:rFonts w:ascii="宋体" w:hAnsi="宋体" w:eastAsia="宋体" w:cs="宋体"/>
                <w:spacing w:val="-4"/>
              </w:rPr>
              <w:t>标后用于消纳地农灌。</w:t>
            </w:r>
          </w:p>
          <w:p w14:paraId="4A82F930">
            <w:pPr>
              <w:spacing w:before="2" w:line="266" w:lineRule="auto"/>
              <w:ind w:left="10" w:right="1"/>
              <w:rPr>
                <w:rFonts w:ascii="宋体" w:hAnsi="宋体" w:eastAsia="宋体" w:cs="宋体"/>
                <w:sz w:val="21"/>
                <w:szCs w:val="21"/>
              </w:rPr>
            </w:pPr>
            <w:r>
              <w:rPr>
                <w:rFonts w:ascii="宋体" w:hAnsi="宋体" w:eastAsia="宋体" w:cs="宋体"/>
                <w:spacing w:val="-1"/>
                <w:sz w:val="21"/>
                <w:szCs w:val="21"/>
              </w:rPr>
              <w:t>③本项目严格执行《饲</w:t>
            </w:r>
            <w:r>
              <w:rPr>
                <w:rFonts w:ascii="宋体" w:hAnsi="宋体" w:eastAsia="宋体" w:cs="宋体"/>
                <w:spacing w:val="22"/>
                <w:sz w:val="21"/>
                <w:szCs w:val="21"/>
              </w:rPr>
              <w:t>料添加剂安全使用规</w:t>
            </w:r>
            <w:r>
              <w:rPr>
                <w:rFonts w:ascii="宋体" w:hAnsi="宋体" w:eastAsia="宋体" w:cs="宋体"/>
                <w:spacing w:val="-1"/>
                <w:sz w:val="21"/>
                <w:szCs w:val="21"/>
              </w:rPr>
              <w:t>范》，采用低蛋白日粮技术，实施饲料精准配方和精准配制工艺，降</w:t>
            </w:r>
            <w:r>
              <w:rPr>
                <w:rFonts w:ascii="宋体" w:hAnsi="宋体" w:eastAsia="宋体" w:cs="宋体"/>
                <w:spacing w:val="22"/>
                <w:sz w:val="21"/>
                <w:szCs w:val="21"/>
              </w:rPr>
              <w:t>低畜禽养殖氮磷排泄</w:t>
            </w:r>
          </w:p>
        </w:tc>
        <w:tc>
          <w:tcPr>
            <w:tcW w:w="821" w:type="dxa"/>
            <w:vAlign w:val="top"/>
          </w:tcPr>
          <w:p w14:paraId="65084480">
            <w:pPr>
              <w:spacing w:line="245" w:lineRule="auto"/>
              <w:rPr>
                <w:rFonts w:ascii="Arial"/>
                <w:sz w:val="21"/>
              </w:rPr>
            </w:pPr>
          </w:p>
          <w:p w14:paraId="112C0314">
            <w:pPr>
              <w:spacing w:line="245" w:lineRule="auto"/>
              <w:rPr>
                <w:rFonts w:ascii="Arial"/>
                <w:sz w:val="21"/>
              </w:rPr>
            </w:pPr>
          </w:p>
          <w:p w14:paraId="3F0771FB">
            <w:pPr>
              <w:spacing w:line="245" w:lineRule="auto"/>
              <w:rPr>
                <w:rFonts w:ascii="Arial"/>
                <w:sz w:val="21"/>
              </w:rPr>
            </w:pPr>
          </w:p>
          <w:p w14:paraId="5DE10ACE">
            <w:pPr>
              <w:spacing w:line="245" w:lineRule="auto"/>
              <w:rPr>
                <w:rFonts w:ascii="Arial"/>
                <w:sz w:val="21"/>
              </w:rPr>
            </w:pPr>
          </w:p>
          <w:p w14:paraId="5DA56490">
            <w:pPr>
              <w:spacing w:line="246" w:lineRule="auto"/>
              <w:rPr>
                <w:rFonts w:ascii="Arial"/>
                <w:sz w:val="21"/>
              </w:rPr>
            </w:pPr>
          </w:p>
          <w:p w14:paraId="0FB52FE2">
            <w:pPr>
              <w:spacing w:line="246" w:lineRule="auto"/>
              <w:rPr>
                <w:rFonts w:ascii="Arial"/>
                <w:sz w:val="21"/>
              </w:rPr>
            </w:pPr>
          </w:p>
          <w:p w14:paraId="213FF3F1">
            <w:pPr>
              <w:spacing w:line="246" w:lineRule="auto"/>
              <w:rPr>
                <w:rFonts w:ascii="Arial"/>
                <w:sz w:val="21"/>
              </w:rPr>
            </w:pPr>
          </w:p>
          <w:p w14:paraId="38E2BC71">
            <w:pPr>
              <w:spacing w:line="246" w:lineRule="auto"/>
              <w:rPr>
                <w:rFonts w:ascii="Arial"/>
                <w:sz w:val="21"/>
              </w:rPr>
            </w:pPr>
          </w:p>
          <w:p w14:paraId="60B69426">
            <w:pPr>
              <w:spacing w:line="246" w:lineRule="auto"/>
              <w:rPr>
                <w:rFonts w:ascii="Arial"/>
                <w:sz w:val="21"/>
              </w:rPr>
            </w:pPr>
          </w:p>
          <w:p w14:paraId="22FD30A7">
            <w:pPr>
              <w:spacing w:line="246" w:lineRule="auto"/>
              <w:rPr>
                <w:rFonts w:ascii="Arial"/>
                <w:sz w:val="21"/>
              </w:rPr>
            </w:pPr>
          </w:p>
          <w:p w14:paraId="15C964F8">
            <w:pPr>
              <w:spacing w:line="246" w:lineRule="auto"/>
              <w:rPr>
                <w:rFonts w:ascii="Arial"/>
                <w:sz w:val="21"/>
              </w:rPr>
            </w:pPr>
          </w:p>
          <w:p w14:paraId="6B56F92D">
            <w:pPr>
              <w:spacing w:line="246" w:lineRule="auto"/>
              <w:rPr>
                <w:rFonts w:ascii="Arial"/>
                <w:sz w:val="21"/>
              </w:rPr>
            </w:pPr>
          </w:p>
          <w:p w14:paraId="1EFC9C5C">
            <w:pPr>
              <w:spacing w:line="246" w:lineRule="auto"/>
              <w:rPr>
                <w:rFonts w:ascii="Arial"/>
                <w:sz w:val="21"/>
              </w:rPr>
            </w:pPr>
          </w:p>
          <w:p w14:paraId="71CF78C6">
            <w:pPr>
              <w:spacing w:line="246" w:lineRule="auto"/>
              <w:rPr>
                <w:rFonts w:ascii="Arial"/>
                <w:sz w:val="21"/>
              </w:rPr>
            </w:pPr>
          </w:p>
          <w:p w14:paraId="11A1DDD4">
            <w:pPr>
              <w:spacing w:line="246" w:lineRule="auto"/>
              <w:rPr>
                <w:rFonts w:ascii="Arial"/>
                <w:sz w:val="21"/>
              </w:rPr>
            </w:pPr>
          </w:p>
          <w:p w14:paraId="4E5505FD">
            <w:pPr>
              <w:spacing w:line="246" w:lineRule="auto"/>
              <w:rPr>
                <w:rFonts w:ascii="Arial"/>
                <w:sz w:val="21"/>
              </w:rPr>
            </w:pPr>
          </w:p>
          <w:p w14:paraId="781C41B5">
            <w:pPr>
              <w:spacing w:line="246" w:lineRule="auto"/>
              <w:rPr>
                <w:rFonts w:ascii="Arial"/>
                <w:sz w:val="21"/>
              </w:rPr>
            </w:pPr>
          </w:p>
          <w:p w14:paraId="6A943146">
            <w:pPr>
              <w:spacing w:line="246" w:lineRule="auto"/>
              <w:rPr>
                <w:rFonts w:ascii="Arial"/>
                <w:sz w:val="21"/>
              </w:rPr>
            </w:pPr>
          </w:p>
          <w:p w14:paraId="76899FBA">
            <w:pPr>
              <w:spacing w:line="246" w:lineRule="auto"/>
              <w:rPr>
                <w:rFonts w:ascii="Arial"/>
                <w:sz w:val="21"/>
              </w:rPr>
            </w:pPr>
          </w:p>
          <w:p w14:paraId="5E77C9E1">
            <w:pPr>
              <w:spacing w:line="246" w:lineRule="auto"/>
              <w:rPr>
                <w:rFonts w:ascii="Arial"/>
                <w:sz w:val="21"/>
              </w:rPr>
            </w:pPr>
          </w:p>
          <w:p w14:paraId="7CE7907B">
            <w:pPr>
              <w:spacing w:line="246" w:lineRule="auto"/>
              <w:rPr>
                <w:rFonts w:ascii="Arial"/>
                <w:sz w:val="21"/>
              </w:rPr>
            </w:pPr>
          </w:p>
          <w:p w14:paraId="0D400B40">
            <w:pPr>
              <w:spacing w:line="246" w:lineRule="auto"/>
              <w:rPr>
                <w:rFonts w:ascii="Arial"/>
                <w:sz w:val="21"/>
              </w:rPr>
            </w:pPr>
          </w:p>
          <w:p w14:paraId="03D389BE">
            <w:pPr>
              <w:spacing w:before="68" w:line="220" w:lineRule="auto"/>
              <w:ind w:left="207"/>
              <w:rPr>
                <w:rFonts w:ascii="宋体" w:hAnsi="宋体" w:eastAsia="宋体" w:cs="宋体"/>
                <w:sz w:val="21"/>
                <w:szCs w:val="21"/>
              </w:rPr>
            </w:pPr>
            <w:r>
              <w:rPr>
                <w:rFonts w:ascii="宋体" w:hAnsi="宋体" w:eastAsia="宋体" w:cs="宋体"/>
                <w:spacing w:val="-3"/>
                <w:sz w:val="21"/>
                <w:szCs w:val="21"/>
              </w:rPr>
              <w:t>符合</w:t>
            </w:r>
          </w:p>
        </w:tc>
      </w:tr>
    </w:tbl>
    <w:p w14:paraId="414E4104">
      <w:pPr>
        <w:pStyle w:val="2"/>
        <w:spacing w:line="183" w:lineRule="exact"/>
        <w:rPr>
          <w:sz w:val="15"/>
        </w:rPr>
      </w:pPr>
    </w:p>
    <w:p w14:paraId="73FCBD8C">
      <w:pPr>
        <w:spacing w:line="183" w:lineRule="exact"/>
        <w:rPr>
          <w:sz w:val="15"/>
          <w:szCs w:val="15"/>
        </w:rPr>
        <w:sectPr>
          <w:headerReference r:id="rId72" w:type="default"/>
          <w:footerReference r:id="rId73" w:type="default"/>
          <w:pgSz w:w="11905" w:h="16840"/>
          <w:pgMar w:top="1168" w:right="1768" w:bottom="1409" w:left="1770" w:header="828" w:footer="1244" w:gutter="0"/>
          <w:cols w:space="720" w:num="1"/>
        </w:sectPr>
      </w:pPr>
    </w:p>
    <w:p w14:paraId="27BE34D1">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3822"/>
        <w:gridCol w:w="2111"/>
        <w:gridCol w:w="821"/>
      </w:tblGrid>
      <w:tr w14:paraId="26F4A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66" w:type="dxa"/>
            <w:vAlign w:val="top"/>
          </w:tcPr>
          <w:p w14:paraId="3D36B80A">
            <w:pPr>
              <w:spacing w:before="68" w:line="222" w:lineRule="auto"/>
              <w:ind w:left="370"/>
              <w:rPr>
                <w:rFonts w:ascii="宋体" w:hAnsi="宋体" w:eastAsia="宋体" w:cs="宋体"/>
                <w:sz w:val="21"/>
                <w:szCs w:val="21"/>
              </w:rPr>
            </w:pPr>
            <w:r>
              <w:rPr>
                <w:rFonts w:ascii="宋体" w:hAnsi="宋体" w:eastAsia="宋体" w:cs="宋体"/>
                <w:spacing w:val="-2"/>
                <w:sz w:val="21"/>
                <w:szCs w:val="21"/>
              </w:rPr>
              <w:t>规划名称</w:t>
            </w:r>
          </w:p>
        </w:tc>
        <w:tc>
          <w:tcPr>
            <w:tcW w:w="3822" w:type="dxa"/>
            <w:vAlign w:val="top"/>
          </w:tcPr>
          <w:p w14:paraId="5BED7284">
            <w:pPr>
              <w:spacing w:before="68" w:line="220" w:lineRule="auto"/>
              <w:ind w:left="1496"/>
              <w:rPr>
                <w:rFonts w:ascii="宋体" w:hAnsi="宋体" w:eastAsia="宋体" w:cs="宋体"/>
                <w:sz w:val="21"/>
                <w:szCs w:val="21"/>
              </w:rPr>
            </w:pPr>
            <w:r>
              <w:rPr>
                <w:rFonts w:ascii="宋体" w:hAnsi="宋体" w:eastAsia="宋体" w:cs="宋体"/>
                <w:spacing w:val="-2"/>
                <w:sz w:val="21"/>
                <w:szCs w:val="21"/>
              </w:rPr>
              <w:t>规划内容</w:t>
            </w:r>
          </w:p>
        </w:tc>
        <w:tc>
          <w:tcPr>
            <w:tcW w:w="2111" w:type="dxa"/>
            <w:vAlign w:val="top"/>
          </w:tcPr>
          <w:p w14:paraId="3440939E">
            <w:pPr>
              <w:spacing w:before="68" w:line="219" w:lineRule="auto"/>
              <w:ind w:left="538"/>
              <w:rPr>
                <w:rFonts w:ascii="宋体" w:hAnsi="宋体" w:eastAsia="宋体" w:cs="宋体"/>
                <w:sz w:val="21"/>
                <w:szCs w:val="21"/>
              </w:rPr>
            </w:pPr>
            <w:r>
              <w:rPr>
                <w:rFonts w:ascii="宋体" w:hAnsi="宋体" w:eastAsia="宋体" w:cs="宋体"/>
                <w:spacing w:val="-2"/>
                <w:sz w:val="21"/>
                <w:szCs w:val="21"/>
              </w:rPr>
              <w:t>本项目情况</w:t>
            </w:r>
          </w:p>
        </w:tc>
        <w:tc>
          <w:tcPr>
            <w:tcW w:w="821" w:type="dxa"/>
            <w:vAlign w:val="top"/>
          </w:tcPr>
          <w:p w14:paraId="5F9C1179">
            <w:pPr>
              <w:spacing w:before="68" w:line="220" w:lineRule="auto"/>
              <w:ind w:left="103"/>
              <w:rPr>
                <w:rFonts w:ascii="宋体" w:hAnsi="宋体" w:eastAsia="宋体" w:cs="宋体"/>
                <w:sz w:val="21"/>
                <w:szCs w:val="21"/>
              </w:rPr>
            </w:pPr>
            <w:r>
              <w:rPr>
                <w:rFonts w:ascii="宋体" w:hAnsi="宋体" w:eastAsia="宋体" w:cs="宋体"/>
                <w:spacing w:val="-3"/>
                <w:sz w:val="21"/>
                <w:szCs w:val="21"/>
              </w:rPr>
              <w:t>符合性</w:t>
            </w:r>
          </w:p>
        </w:tc>
      </w:tr>
      <w:tr w14:paraId="6B183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7" w:hRule="atLeast"/>
        </w:trPr>
        <w:tc>
          <w:tcPr>
            <w:tcW w:w="1566" w:type="dxa"/>
            <w:vAlign w:val="top"/>
          </w:tcPr>
          <w:p w14:paraId="4C3E6FC4">
            <w:pPr>
              <w:rPr>
                <w:rFonts w:ascii="Arial"/>
                <w:sz w:val="21"/>
              </w:rPr>
            </w:pPr>
          </w:p>
        </w:tc>
        <w:tc>
          <w:tcPr>
            <w:tcW w:w="3822" w:type="dxa"/>
            <w:vAlign w:val="top"/>
          </w:tcPr>
          <w:p w14:paraId="607A9DDC">
            <w:pPr>
              <w:spacing w:before="51" w:line="274" w:lineRule="auto"/>
              <w:ind w:left="8"/>
              <w:jc w:val="both"/>
              <w:rPr>
                <w:rFonts w:ascii="宋体" w:hAnsi="宋体" w:eastAsia="宋体" w:cs="宋体"/>
                <w:sz w:val="21"/>
                <w:szCs w:val="21"/>
              </w:rPr>
            </w:pPr>
            <w:r>
              <w:rPr>
                <w:rFonts w:ascii="宋体" w:hAnsi="宋体" w:eastAsia="宋体" w:cs="宋体"/>
                <w:spacing w:val="-3"/>
                <w:sz w:val="21"/>
                <w:szCs w:val="21"/>
              </w:rPr>
              <w:t>料转化率，降低畜禽养殖氮磷排泄量。推广使用节水工艺、技术和设备，推进节水控水设施设备升级改造，优化清粪方式，</w:t>
            </w:r>
            <w:r>
              <w:rPr>
                <w:rFonts w:ascii="宋体" w:hAnsi="宋体" w:eastAsia="宋体" w:cs="宋体"/>
                <w:spacing w:val="-10"/>
                <w:sz w:val="21"/>
                <w:szCs w:val="21"/>
              </w:rPr>
              <w:t>推广节水粪污处理技术，鼓励采用干清粪、</w:t>
            </w:r>
            <w:r>
              <w:rPr>
                <w:rFonts w:ascii="宋体" w:hAnsi="宋体" w:eastAsia="宋体" w:cs="宋体"/>
                <w:spacing w:val="-3"/>
                <w:sz w:val="21"/>
                <w:szCs w:val="21"/>
              </w:rPr>
              <w:t>地面垫料等清粪工艺，切实从源头减少粪</w:t>
            </w:r>
            <w:r>
              <w:rPr>
                <w:rFonts w:ascii="宋体" w:hAnsi="宋体" w:eastAsia="宋体" w:cs="宋体"/>
                <w:spacing w:val="-9"/>
                <w:sz w:val="21"/>
                <w:szCs w:val="21"/>
              </w:rPr>
              <w:t>污产生总量。</w:t>
            </w:r>
          </w:p>
          <w:p w14:paraId="1DA7955B">
            <w:pPr>
              <w:spacing w:before="1" w:line="274" w:lineRule="auto"/>
              <w:ind w:left="9" w:right="1" w:firstLine="210"/>
              <w:jc w:val="both"/>
              <w:rPr>
                <w:rFonts w:ascii="宋体" w:hAnsi="宋体" w:eastAsia="宋体" w:cs="宋体"/>
                <w:sz w:val="21"/>
                <w:szCs w:val="21"/>
              </w:rPr>
            </w:pPr>
            <w:r>
              <w:rPr>
                <w:rFonts w:ascii="宋体" w:hAnsi="宋体" w:eastAsia="宋体" w:cs="宋体"/>
                <w:spacing w:val="1"/>
                <w:sz w:val="21"/>
                <w:szCs w:val="21"/>
              </w:rPr>
              <w:t>过程控制，强化畜禽养殖污染治理设施配套。做好综合防控，降低养殖场臭气排放量，加强臭气的统一收集处理。规模化畜禽养殖场（区）要严格按照畜禽养殖污染防治有关要求，配套建设畜禽污染治理</w:t>
            </w:r>
            <w:r>
              <w:rPr>
                <w:rFonts w:ascii="宋体" w:hAnsi="宋体" w:eastAsia="宋体" w:cs="宋体"/>
                <w:spacing w:val="-5"/>
                <w:sz w:val="21"/>
                <w:szCs w:val="21"/>
              </w:rPr>
              <w:t>和综合利用设施。</w:t>
            </w:r>
          </w:p>
          <w:p w14:paraId="51CF1C15">
            <w:pPr>
              <w:spacing w:before="1" w:line="274" w:lineRule="auto"/>
              <w:ind w:left="9" w:right="1" w:firstLine="210"/>
              <w:jc w:val="both"/>
              <w:rPr>
                <w:rFonts w:ascii="宋体" w:hAnsi="宋体" w:eastAsia="宋体" w:cs="宋体"/>
                <w:sz w:val="21"/>
                <w:szCs w:val="21"/>
              </w:rPr>
            </w:pPr>
            <w:r>
              <w:rPr>
                <w:rFonts w:ascii="宋体" w:hAnsi="宋体" w:eastAsia="宋体" w:cs="宋体"/>
                <w:spacing w:val="1"/>
                <w:sz w:val="21"/>
                <w:szCs w:val="21"/>
              </w:rPr>
              <w:t>末端处置，提高畜禽养殖废弃物资源化</w:t>
            </w:r>
            <w:r>
              <w:rPr>
                <w:rFonts w:ascii="宋体" w:hAnsi="宋体" w:eastAsia="宋体" w:cs="宋体"/>
                <w:sz w:val="21"/>
                <w:szCs w:val="21"/>
              </w:rPr>
              <w:t>利用水平。推广粪污干稀分离技术，对固</w:t>
            </w:r>
            <w:r>
              <w:rPr>
                <w:rFonts w:ascii="宋体" w:hAnsi="宋体" w:eastAsia="宋体" w:cs="宋体"/>
                <w:spacing w:val="1"/>
                <w:sz w:val="21"/>
                <w:szCs w:val="21"/>
              </w:rPr>
              <w:t>体粪污采用自然堆肥、条垛式供氧堆肥等好氧或厌氧技术，对液体粪污采用厌氧发</w:t>
            </w:r>
            <w:r>
              <w:rPr>
                <w:rFonts w:ascii="宋体" w:hAnsi="宋体" w:eastAsia="宋体" w:cs="宋体"/>
                <w:spacing w:val="-3"/>
                <w:sz w:val="21"/>
                <w:szCs w:val="21"/>
              </w:rPr>
              <w:t>酵等技术进行无害化处理。</w:t>
            </w:r>
          </w:p>
          <w:p w14:paraId="26844F61">
            <w:pPr>
              <w:spacing w:before="2" w:line="274" w:lineRule="auto"/>
              <w:ind w:left="9" w:firstLine="207"/>
              <w:jc w:val="both"/>
              <w:rPr>
                <w:rFonts w:ascii="宋体" w:hAnsi="宋体" w:eastAsia="宋体" w:cs="宋体"/>
                <w:sz w:val="21"/>
                <w:szCs w:val="21"/>
              </w:rPr>
            </w:pPr>
            <w:r>
              <w:rPr>
                <w:rFonts w:ascii="宋体" w:hAnsi="宋体" w:eastAsia="宋体" w:cs="宋体"/>
                <w:spacing w:val="-13"/>
                <w:sz w:val="21"/>
                <w:szCs w:val="21"/>
              </w:rPr>
              <w:t>按照“统筹规划、属地负责，</w:t>
            </w:r>
            <w:r>
              <w:rPr>
                <w:rFonts w:ascii="宋体" w:hAnsi="宋体" w:eastAsia="宋体" w:cs="宋体"/>
                <w:spacing w:val="-52"/>
                <w:sz w:val="21"/>
                <w:szCs w:val="21"/>
              </w:rPr>
              <w:t xml:space="preserve"> </w:t>
            </w:r>
            <w:r>
              <w:rPr>
                <w:rFonts w:ascii="宋体" w:hAnsi="宋体" w:eastAsia="宋体" w:cs="宋体"/>
                <w:spacing w:val="-13"/>
                <w:sz w:val="21"/>
                <w:szCs w:val="21"/>
              </w:rPr>
              <w:t>政府监管、</w:t>
            </w:r>
            <w:r>
              <w:rPr>
                <w:rFonts w:ascii="宋体" w:hAnsi="宋体" w:eastAsia="宋体" w:cs="宋体"/>
                <w:spacing w:val="-11"/>
                <w:sz w:val="21"/>
                <w:szCs w:val="21"/>
              </w:rPr>
              <w:t>市场运作，财政补助、保险联动”的原则，</w:t>
            </w:r>
            <w:r>
              <w:rPr>
                <w:rFonts w:ascii="宋体" w:hAnsi="宋体" w:eastAsia="宋体" w:cs="宋体"/>
                <w:spacing w:val="-3"/>
                <w:sz w:val="21"/>
                <w:szCs w:val="21"/>
              </w:rPr>
              <w:t>加快病死畜禽集中无害化处理场及收集点建设，处理设施应采用化制、发酵等资源化利用技术，鼓励完善病死畜禽收集、转运体系，病死畜禽基本实现集中无害化处</w:t>
            </w:r>
            <w:r>
              <w:rPr>
                <w:rFonts w:ascii="宋体" w:hAnsi="宋体" w:eastAsia="宋体" w:cs="宋体"/>
                <w:spacing w:val="-8"/>
                <w:sz w:val="21"/>
                <w:szCs w:val="21"/>
              </w:rPr>
              <w:t>理、资源化利用。</w:t>
            </w:r>
          </w:p>
          <w:p w14:paraId="272461A8">
            <w:pPr>
              <w:spacing w:before="1" w:line="219" w:lineRule="auto"/>
              <w:ind w:left="14"/>
              <w:rPr>
                <w:rFonts w:ascii="宋体" w:hAnsi="宋体" w:eastAsia="宋体" w:cs="宋体"/>
                <w:sz w:val="21"/>
                <w:szCs w:val="21"/>
              </w:rPr>
            </w:pPr>
            <w:r>
              <w:rPr>
                <w:rFonts w:ascii="宋体" w:hAnsi="宋体" w:eastAsia="宋体" w:cs="宋体"/>
                <w:spacing w:val="-2"/>
                <w:sz w:val="21"/>
                <w:szCs w:val="21"/>
              </w:rPr>
              <w:t>（四）强化管控，提高污染防治监管水平</w:t>
            </w:r>
          </w:p>
          <w:p w14:paraId="4F447CEA">
            <w:pPr>
              <w:spacing w:before="60" w:line="268" w:lineRule="auto"/>
              <w:ind w:left="9" w:right="1" w:firstLine="210"/>
              <w:jc w:val="both"/>
              <w:rPr>
                <w:rFonts w:ascii="宋体" w:hAnsi="宋体" w:eastAsia="宋体" w:cs="宋体"/>
                <w:sz w:val="21"/>
                <w:szCs w:val="21"/>
              </w:rPr>
            </w:pPr>
            <w:r>
              <w:rPr>
                <w:rFonts w:ascii="宋体" w:hAnsi="宋体" w:eastAsia="宋体" w:cs="宋体"/>
                <w:spacing w:val="1"/>
                <w:sz w:val="21"/>
                <w:szCs w:val="21"/>
              </w:rPr>
              <w:t>严格畜禽养殖项目环境准入。依法落实环境影响评价。严格落实畜禽养殖禁养区管理规定，依法规范畜禽禁养区划定和管理，禁止在饮用水水源保护区、风景名胜</w:t>
            </w:r>
            <w:r>
              <w:rPr>
                <w:rFonts w:ascii="宋体" w:hAnsi="宋体" w:eastAsia="宋体" w:cs="宋体"/>
                <w:sz w:val="21"/>
                <w:szCs w:val="21"/>
              </w:rPr>
              <w:t>区、自然保护区的核心区和缓冲区、城镇</w:t>
            </w:r>
            <w:r>
              <w:rPr>
                <w:rFonts w:ascii="宋体" w:hAnsi="宋体" w:eastAsia="宋体" w:cs="宋体"/>
                <w:spacing w:val="1"/>
                <w:sz w:val="21"/>
                <w:szCs w:val="21"/>
              </w:rPr>
              <w:t>居民区、文化教育科学研究区等人口集中区域和法律、法规规定的其他禁止养殖区</w:t>
            </w:r>
            <w:r>
              <w:rPr>
                <w:rFonts w:ascii="宋体" w:hAnsi="宋体" w:eastAsia="宋体" w:cs="宋体"/>
                <w:spacing w:val="-3"/>
                <w:sz w:val="21"/>
                <w:szCs w:val="21"/>
              </w:rPr>
              <w:t>域等范围内建设畜禽养殖场、养殖小区。</w:t>
            </w:r>
          </w:p>
        </w:tc>
        <w:tc>
          <w:tcPr>
            <w:tcW w:w="2111" w:type="dxa"/>
            <w:vAlign w:val="top"/>
          </w:tcPr>
          <w:p w14:paraId="11156AD9">
            <w:pPr>
              <w:spacing w:before="50" w:line="274" w:lineRule="auto"/>
              <w:ind w:left="14" w:right="1" w:hanging="3"/>
              <w:rPr>
                <w:rFonts w:ascii="宋体" w:hAnsi="宋体" w:eastAsia="宋体" w:cs="宋体"/>
                <w:sz w:val="21"/>
                <w:szCs w:val="21"/>
              </w:rPr>
            </w:pPr>
            <w:r>
              <w:rPr>
                <w:rFonts w:ascii="宋体" w:hAnsi="宋体" w:eastAsia="宋体" w:cs="宋体"/>
                <w:spacing w:val="-1"/>
                <w:sz w:val="21"/>
                <w:szCs w:val="21"/>
              </w:rPr>
              <w:t>量，项目采用节水饲喂</w:t>
            </w:r>
            <w:r>
              <w:rPr>
                <w:rFonts w:ascii="宋体" w:hAnsi="宋体" w:eastAsia="宋体" w:cs="宋体"/>
                <w:spacing w:val="-10"/>
                <w:sz w:val="21"/>
                <w:szCs w:val="21"/>
              </w:rPr>
              <w:t>设备。</w:t>
            </w:r>
          </w:p>
          <w:p w14:paraId="3C521480">
            <w:pPr>
              <w:spacing w:before="2" w:line="274" w:lineRule="auto"/>
              <w:ind w:left="11" w:right="1"/>
              <w:rPr>
                <w:rFonts w:ascii="宋体" w:hAnsi="宋体" w:eastAsia="宋体" w:cs="宋体"/>
                <w:sz w:val="21"/>
                <w:szCs w:val="21"/>
              </w:rPr>
            </w:pPr>
            <w:r>
              <w:rPr>
                <w:rFonts w:ascii="宋体" w:hAnsi="宋体" w:eastAsia="宋体" w:cs="宋体"/>
                <w:spacing w:val="-1"/>
                <w:sz w:val="21"/>
                <w:szCs w:val="21"/>
              </w:rPr>
              <w:t>本项目配套建设污染治理设施，包括污水处理站及堆粪棚等，猪舍臭气采取机械通风、喷洒</w:t>
            </w:r>
            <w:r>
              <w:rPr>
                <w:rFonts w:ascii="宋体" w:hAnsi="宋体" w:eastAsia="宋体" w:cs="宋体"/>
                <w:spacing w:val="-2"/>
                <w:sz w:val="21"/>
                <w:szCs w:val="21"/>
              </w:rPr>
              <w:t>生物除臭剂，粪污处理</w:t>
            </w:r>
            <w:r>
              <w:rPr>
                <w:rFonts w:ascii="宋体" w:hAnsi="宋体" w:eastAsia="宋体" w:cs="宋体"/>
                <w:spacing w:val="-1"/>
                <w:sz w:val="21"/>
                <w:szCs w:val="21"/>
              </w:rPr>
              <w:t>产生的臭气经收集后采用生物喷淋处理后达标</w:t>
            </w:r>
            <w:r>
              <w:rPr>
                <w:rFonts w:ascii="宋体" w:hAnsi="宋体" w:eastAsia="宋体" w:cs="宋体"/>
                <w:spacing w:val="-9"/>
                <w:sz w:val="21"/>
                <w:szCs w:val="21"/>
              </w:rPr>
              <w:t>排放。</w:t>
            </w:r>
          </w:p>
          <w:p w14:paraId="6FF56EED">
            <w:pPr>
              <w:spacing w:before="1" w:line="274" w:lineRule="auto"/>
              <w:ind w:left="11"/>
              <w:rPr>
                <w:rFonts w:ascii="宋体" w:hAnsi="宋体" w:eastAsia="宋体" w:cs="宋体"/>
                <w:sz w:val="21"/>
                <w:szCs w:val="21"/>
              </w:rPr>
            </w:pPr>
            <w:r>
              <w:rPr>
                <w:rFonts w:ascii="宋体" w:hAnsi="宋体" w:eastAsia="宋体" w:cs="宋体"/>
                <w:spacing w:val="-8"/>
                <w:sz w:val="21"/>
                <w:szCs w:val="21"/>
              </w:rPr>
              <w:t>本项目病死猪交内江市环态动物无害化处置有</w:t>
            </w:r>
            <w:r>
              <w:rPr>
                <w:rFonts w:ascii="宋体" w:hAnsi="宋体" w:eastAsia="宋体" w:cs="宋体"/>
                <w:spacing w:val="-9"/>
                <w:sz w:val="21"/>
                <w:szCs w:val="21"/>
              </w:rPr>
              <w:t>限责任公司（内江市无</w:t>
            </w:r>
            <w:r>
              <w:rPr>
                <w:rFonts w:ascii="宋体" w:hAnsi="宋体" w:eastAsia="宋体" w:cs="宋体"/>
                <w:spacing w:val="-8"/>
                <w:sz w:val="21"/>
                <w:szCs w:val="21"/>
              </w:rPr>
              <w:t>害化处理中心）进行无害化处理，实现集中无</w:t>
            </w:r>
            <w:r>
              <w:rPr>
                <w:rFonts w:ascii="宋体" w:hAnsi="宋体" w:eastAsia="宋体" w:cs="宋体"/>
                <w:spacing w:val="-20"/>
                <w:sz w:val="21"/>
                <w:szCs w:val="21"/>
              </w:rPr>
              <w:t>害化处理、资源化利用。</w:t>
            </w:r>
          </w:p>
          <w:p w14:paraId="03BAFD91">
            <w:pPr>
              <w:spacing w:before="1" w:line="275" w:lineRule="auto"/>
              <w:ind w:left="14" w:right="1" w:hanging="5"/>
              <w:jc w:val="both"/>
              <w:rPr>
                <w:rFonts w:ascii="宋体" w:hAnsi="宋体" w:eastAsia="宋体" w:cs="宋体"/>
                <w:sz w:val="21"/>
                <w:szCs w:val="21"/>
              </w:rPr>
            </w:pPr>
            <w:r>
              <w:rPr>
                <w:rFonts w:ascii="宋体" w:hAnsi="宋体" w:eastAsia="宋体" w:cs="宋体"/>
                <w:spacing w:val="-1"/>
                <w:sz w:val="21"/>
                <w:szCs w:val="21"/>
              </w:rPr>
              <w:t>④本项目执行了环境影</w:t>
            </w:r>
            <w:r>
              <w:rPr>
                <w:rFonts w:ascii="宋体" w:hAnsi="宋体" w:eastAsia="宋体" w:cs="宋体"/>
                <w:spacing w:val="-3"/>
                <w:sz w:val="21"/>
                <w:szCs w:val="21"/>
              </w:rPr>
              <w:t>响评价制度，拟建地点</w:t>
            </w:r>
            <w:r>
              <w:rPr>
                <w:rFonts w:ascii="宋体" w:hAnsi="宋体" w:eastAsia="宋体" w:cs="宋体"/>
                <w:spacing w:val="-2"/>
                <w:sz w:val="21"/>
                <w:szCs w:val="21"/>
              </w:rPr>
              <w:t>不属于内江市东兴区划</w:t>
            </w:r>
            <w:r>
              <w:rPr>
                <w:rFonts w:ascii="宋体" w:hAnsi="宋体" w:eastAsia="宋体" w:cs="宋体"/>
                <w:spacing w:val="-5"/>
                <w:sz w:val="21"/>
                <w:szCs w:val="21"/>
              </w:rPr>
              <w:t>定的禁养区范围。</w:t>
            </w:r>
          </w:p>
        </w:tc>
        <w:tc>
          <w:tcPr>
            <w:tcW w:w="821" w:type="dxa"/>
            <w:vAlign w:val="top"/>
          </w:tcPr>
          <w:p w14:paraId="6FE2E10D">
            <w:pPr>
              <w:rPr>
                <w:rFonts w:ascii="Arial"/>
                <w:sz w:val="21"/>
              </w:rPr>
            </w:pPr>
          </w:p>
        </w:tc>
      </w:tr>
      <w:tr w14:paraId="03B1D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1566" w:type="dxa"/>
            <w:vAlign w:val="top"/>
          </w:tcPr>
          <w:p w14:paraId="4D8721FE">
            <w:pPr>
              <w:spacing w:line="253" w:lineRule="auto"/>
              <w:rPr>
                <w:rFonts w:ascii="Arial"/>
                <w:sz w:val="21"/>
              </w:rPr>
            </w:pPr>
          </w:p>
          <w:p w14:paraId="45594C6B">
            <w:pPr>
              <w:spacing w:line="253" w:lineRule="auto"/>
              <w:rPr>
                <w:rFonts w:ascii="Arial"/>
                <w:sz w:val="21"/>
              </w:rPr>
            </w:pPr>
          </w:p>
          <w:p w14:paraId="63CCBB8C">
            <w:pPr>
              <w:spacing w:line="254" w:lineRule="auto"/>
              <w:rPr>
                <w:rFonts w:ascii="Arial"/>
                <w:sz w:val="21"/>
              </w:rPr>
            </w:pPr>
          </w:p>
          <w:p w14:paraId="641A2747">
            <w:pPr>
              <w:spacing w:before="68" w:line="220" w:lineRule="auto"/>
              <w:ind w:left="54"/>
              <w:rPr>
                <w:rFonts w:ascii="宋体" w:hAnsi="宋体" w:eastAsia="宋体" w:cs="宋体"/>
                <w:sz w:val="21"/>
                <w:szCs w:val="21"/>
              </w:rPr>
            </w:pPr>
            <w:r>
              <w:rPr>
                <w:rFonts w:ascii="宋体" w:hAnsi="宋体" w:eastAsia="宋体" w:cs="宋体"/>
                <w:spacing w:val="-4"/>
                <w:sz w:val="21"/>
                <w:szCs w:val="21"/>
              </w:rPr>
              <w:t>《内江市“十四</w:t>
            </w:r>
          </w:p>
          <w:p w14:paraId="7ABA0A0D">
            <w:pPr>
              <w:spacing w:before="61" w:line="220" w:lineRule="auto"/>
              <w:ind w:left="56"/>
              <w:rPr>
                <w:rFonts w:ascii="宋体" w:hAnsi="宋体" w:eastAsia="宋体" w:cs="宋体"/>
                <w:sz w:val="21"/>
                <w:szCs w:val="21"/>
              </w:rPr>
            </w:pPr>
            <w:r>
              <w:rPr>
                <w:rFonts w:ascii="宋体" w:hAnsi="宋体" w:eastAsia="宋体" w:cs="宋体"/>
                <w:spacing w:val="-2"/>
                <w:sz w:val="21"/>
                <w:szCs w:val="21"/>
              </w:rPr>
              <w:t>五”畜禽养殖污</w:t>
            </w:r>
          </w:p>
          <w:p w14:paraId="6962F74C">
            <w:pPr>
              <w:spacing w:before="61" w:line="220" w:lineRule="auto"/>
              <w:jc w:val="right"/>
              <w:rPr>
                <w:rFonts w:ascii="宋体" w:hAnsi="宋体" w:eastAsia="宋体" w:cs="宋体"/>
                <w:sz w:val="21"/>
                <w:szCs w:val="21"/>
              </w:rPr>
            </w:pPr>
            <w:r>
              <w:rPr>
                <w:rFonts w:ascii="宋体" w:hAnsi="宋体" w:eastAsia="宋体" w:cs="宋体"/>
                <w:spacing w:val="-21"/>
                <w:sz w:val="21"/>
                <w:szCs w:val="21"/>
              </w:rPr>
              <w:t>染防治规划》（内</w:t>
            </w:r>
          </w:p>
          <w:p w14:paraId="22A1E3F1">
            <w:pPr>
              <w:pStyle w:val="6"/>
              <w:spacing w:before="62" w:line="212" w:lineRule="auto"/>
              <w:ind w:left="94"/>
            </w:pPr>
            <w:r>
              <w:rPr>
                <w:rFonts w:ascii="宋体" w:hAnsi="宋体" w:eastAsia="宋体" w:cs="宋体"/>
                <w:spacing w:val="-3"/>
              </w:rPr>
              <w:t>市环联</w:t>
            </w:r>
            <w:r>
              <w:rPr>
                <w:spacing w:val="-3"/>
              </w:rPr>
              <w:t>[</w:t>
            </w:r>
            <w:r>
              <w:fldChar w:fldCharType="begin"/>
            </w:r>
            <w:r>
              <w:instrText xml:space="preserve"> HYPERLINK \l "bookmark119" </w:instrText>
            </w:r>
            <w:r>
              <w:fldChar w:fldCharType="separate"/>
            </w:r>
            <w:r>
              <w:rPr>
                <w:spacing w:val="-3"/>
              </w:rPr>
              <w:t>2023</w:t>
            </w:r>
            <w:r>
              <w:rPr>
                <w:spacing w:val="-3"/>
              </w:rPr>
              <w:fldChar w:fldCharType="end"/>
            </w:r>
            <w:r>
              <w:rPr>
                <w:spacing w:val="-3"/>
              </w:rPr>
              <w:t>]</w:t>
            </w:r>
            <w:r>
              <w:rPr>
                <w:spacing w:val="-21"/>
              </w:rPr>
              <w:t xml:space="preserve"> </w:t>
            </w:r>
            <w:r>
              <w:rPr>
                <w:spacing w:val="-3"/>
              </w:rPr>
              <w:t>13</w:t>
            </w:r>
          </w:p>
          <w:p w14:paraId="1F639FBE">
            <w:pPr>
              <w:spacing w:before="70" w:line="221" w:lineRule="auto"/>
              <w:ind w:left="584"/>
              <w:rPr>
                <w:rFonts w:ascii="宋体" w:hAnsi="宋体" w:eastAsia="宋体" w:cs="宋体"/>
                <w:sz w:val="21"/>
                <w:szCs w:val="21"/>
              </w:rPr>
            </w:pPr>
            <w:r>
              <w:rPr>
                <w:rFonts w:ascii="宋体" w:hAnsi="宋体" w:eastAsia="宋体" w:cs="宋体"/>
                <w:spacing w:val="-7"/>
                <w:sz w:val="21"/>
                <w:szCs w:val="21"/>
              </w:rPr>
              <w:t>号）</w:t>
            </w:r>
          </w:p>
        </w:tc>
        <w:tc>
          <w:tcPr>
            <w:tcW w:w="3822" w:type="dxa"/>
            <w:vAlign w:val="top"/>
          </w:tcPr>
          <w:p w14:paraId="08ECC4EF">
            <w:pPr>
              <w:spacing w:before="53" w:line="219" w:lineRule="auto"/>
              <w:ind w:left="14"/>
              <w:rPr>
                <w:rFonts w:ascii="宋体" w:hAnsi="宋体" w:eastAsia="宋体" w:cs="宋体"/>
                <w:sz w:val="21"/>
                <w:szCs w:val="21"/>
              </w:rPr>
            </w:pPr>
            <w:r>
              <w:rPr>
                <w:rFonts w:ascii="宋体" w:hAnsi="宋体" w:eastAsia="宋体" w:cs="宋体"/>
                <w:spacing w:val="-2"/>
                <w:sz w:val="21"/>
                <w:szCs w:val="21"/>
              </w:rPr>
              <w:t>（一）分区分类，优化畜禽养殖布局结构</w:t>
            </w:r>
          </w:p>
          <w:p w14:paraId="697CE291">
            <w:pPr>
              <w:pStyle w:val="6"/>
              <w:spacing w:before="62" w:line="220" w:lineRule="auto"/>
              <w:ind w:left="235"/>
              <w:rPr>
                <w:rFonts w:ascii="宋体" w:hAnsi="宋体" w:eastAsia="宋体" w:cs="宋体"/>
              </w:rPr>
            </w:pPr>
            <w:r>
              <w:rPr>
                <w:spacing w:val="-3"/>
              </w:rPr>
              <w:t>1.</w:t>
            </w:r>
            <w:r>
              <w:rPr>
                <w:rFonts w:ascii="宋体" w:hAnsi="宋体" w:eastAsia="宋体" w:cs="宋体"/>
                <w:spacing w:val="-3"/>
              </w:rPr>
              <w:t>加强畜禽养殖分区管控</w:t>
            </w:r>
          </w:p>
          <w:p w14:paraId="7DD992E5">
            <w:pPr>
              <w:pStyle w:val="6"/>
              <w:spacing w:before="63" w:line="274" w:lineRule="auto"/>
              <w:ind w:left="10" w:right="2" w:firstLine="210"/>
              <w:rPr>
                <w:rFonts w:ascii="宋体" w:hAnsi="宋体" w:eastAsia="宋体" w:cs="宋体"/>
              </w:rPr>
            </w:pPr>
            <w:r>
              <w:rPr>
                <w:rFonts w:ascii="宋体" w:hAnsi="宋体" w:eastAsia="宋体" w:cs="宋体"/>
                <w:spacing w:val="10"/>
              </w:rPr>
              <w:t>重点防治区</w:t>
            </w:r>
            <w:r>
              <w:rPr>
                <w:spacing w:val="10"/>
              </w:rPr>
              <w:t>:</w:t>
            </w:r>
            <w:r>
              <w:rPr>
                <w:rFonts w:ascii="宋体" w:hAnsi="宋体" w:eastAsia="宋体" w:cs="宋体"/>
                <w:spacing w:val="10"/>
              </w:rPr>
              <w:t>严格管控类污排放和综合</w:t>
            </w:r>
            <w:r>
              <w:rPr>
                <w:rFonts w:ascii="宋体" w:hAnsi="宋体" w:eastAsia="宋体" w:cs="宋体"/>
                <w:spacing w:val="1"/>
              </w:rPr>
              <w:t>利用，杜绝未经处置的类污借粪肥名义漫灌入田现象，推广覆土施肥、沟施及注射</w:t>
            </w:r>
            <w:r>
              <w:rPr>
                <w:rFonts w:ascii="宋体" w:hAnsi="宋体" w:eastAsia="宋体" w:cs="宋体"/>
                <w:spacing w:val="-4"/>
              </w:rPr>
              <w:t>式深施等精细化施肥。</w:t>
            </w:r>
          </w:p>
          <w:p w14:paraId="657470B9">
            <w:pPr>
              <w:pStyle w:val="6"/>
              <w:spacing w:line="218" w:lineRule="auto"/>
              <w:ind w:left="215"/>
              <w:rPr>
                <w:rFonts w:ascii="宋体" w:hAnsi="宋体" w:eastAsia="宋体" w:cs="宋体"/>
              </w:rPr>
            </w:pPr>
            <w:r>
              <w:rPr>
                <w:spacing w:val="-1"/>
              </w:rPr>
              <w:t>2.</w:t>
            </w:r>
            <w:r>
              <w:rPr>
                <w:rFonts w:ascii="宋体" w:hAnsi="宋体" w:eastAsia="宋体" w:cs="宋体"/>
                <w:spacing w:val="-1"/>
              </w:rPr>
              <w:t>推动建立产能调控机制</w:t>
            </w:r>
          </w:p>
          <w:p w14:paraId="48A86119">
            <w:pPr>
              <w:pStyle w:val="6"/>
              <w:spacing w:before="64" w:line="258" w:lineRule="auto"/>
              <w:ind w:left="8" w:right="1" w:firstLine="211"/>
              <w:rPr>
                <w:rFonts w:ascii="宋体" w:hAnsi="宋体" w:eastAsia="宋体" w:cs="宋体"/>
              </w:rPr>
            </w:pPr>
            <w:r>
              <w:rPr>
                <w:rFonts w:ascii="宋体" w:hAnsi="宋体" w:eastAsia="宋体" w:cs="宋体"/>
                <w:spacing w:val="1"/>
              </w:rPr>
              <w:t>逐步建立以稳定能繁母猪存栏量为目标的生猪产能调控机制，分区县确定规模猪</w:t>
            </w:r>
            <w:r>
              <w:rPr>
                <w:rFonts w:ascii="宋体" w:hAnsi="宋体" w:eastAsia="宋体" w:cs="宋体"/>
                <w:spacing w:val="-5"/>
              </w:rPr>
              <w:t xml:space="preserve">场 </w:t>
            </w:r>
            <w:r>
              <w:rPr>
                <w:spacing w:val="-5"/>
              </w:rPr>
              <w:t>(</w:t>
            </w:r>
            <w:r>
              <w:rPr>
                <w:rFonts w:ascii="宋体" w:hAnsi="宋体" w:eastAsia="宋体" w:cs="宋体"/>
                <w:spacing w:val="-5"/>
              </w:rPr>
              <w:t>户</w:t>
            </w:r>
            <w:r>
              <w:rPr>
                <w:spacing w:val="-5"/>
              </w:rPr>
              <w:t>)</w:t>
            </w:r>
            <w:r>
              <w:rPr>
                <w:spacing w:val="8"/>
              </w:rPr>
              <w:t xml:space="preserve">  </w:t>
            </w:r>
            <w:r>
              <w:rPr>
                <w:rFonts w:ascii="宋体" w:hAnsi="宋体" w:eastAsia="宋体" w:cs="宋体"/>
                <w:spacing w:val="-5"/>
              </w:rPr>
              <w:t>保有量。</w:t>
            </w:r>
          </w:p>
        </w:tc>
        <w:tc>
          <w:tcPr>
            <w:tcW w:w="2111" w:type="dxa"/>
            <w:vAlign w:val="top"/>
          </w:tcPr>
          <w:p w14:paraId="322244A4">
            <w:pPr>
              <w:spacing w:before="53" w:line="232" w:lineRule="auto"/>
              <w:ind w:left="17"/>
              <w:rPr>
                <w:rFonts w:ascii="宋体" w:hAnsi="宋体" w:eastAsia="宋体" w:cs="宋体"/>
                <w:sz w:val="21"/>
                <w:szCs w:val="21"/>
              </w:rPr>
            </w:pPr>
            <w:r>
              <w:rPr>
                <w:rFonts w:ascii="宋体" w:hAnsi="宋体" w:eastAsia="宋体" w:cs="宋体"/>
                <w:spacing w:val="-7"/>
                <w:sz w:val="21"/>
                <w:szCs w:val="21"/>
              </w:rPr>
              <w:t>（一</w:t>
            </w:r>
            <w:r>
              <w:rPr>
                <w:rFonts w:ascii="宋体" w:hAnsi="宋体" w:eastAsia="宋体" w:cs="宋体"/>
                <w:spacing w:val="-40"/>
                <w:sz w:val="21"/>
                <w:szCs w:val="21"/>
              </w:rPr>
              <w:t>）：</w:t>
            </w:r>
          </w:p>
          <w:p w14:paraId="4B25CCD0">
            <w:pPr>
              <w:spacing w:before="50" w:line="274" w:lineRule="auto"/>
              <w:ind w:left="12" w:right="1" w:hanging="2"/>
              <w:rPr>
                <w:rFonts w:ascii="宋体" w:hAnsi="宋体" w:eastAsia="宋体" w:cs="宋体"/>
                <w:sz w:val="21"/>
                <w:szCs w:val="21"/>
              </w:rPr>
            </w:pPr>
            <w:r>
              <w:rPr>
                <w:rFonts w:ascii="宋体" w:hAnsi="宋体" w:eastAsia="宋体" w:cs="宋体"/>
                <w:spacing w:val="-1"/>
                <w:sz w:val="21"/>
                <w:szCs w:val="21"/>
              </w:rPr>
              <w:t>①本项目位于东兴区，属重点防治区，项目废水经处理达标后作为消纳地农灌用水，采取喷灌或滴灌方式，不采用</w:t>
            </w:r>
            <w:r>
              <w:rPr>
                <w:rFonts w:ascii="宋体" w:hAnsi="宋体" w:eastAsia="宋体" w:cs="宋体"/>
                <w:spacing w:val="-7"/>
                <w:sz w:val="21"/>
                <w:szCs w:val="21"/>
              </w:rPr>
              <w:t>漫灌方式。</w:t>
            </w:r>
          </w:p>
          <w:p w14:paraId="11751A12">
            <w:pPr>
              <w:spacing w:before="1" w:line="258" w:lineRule="auto"/>
              <w:ind w:left="9" w:right="1"/>
              <w:rPr>
                <w:rFonts w:ascii="宋体" w:hAnsi="宋体" w:eastAsia="宋体" w:cs="宋体"/>
                <w:sz w:val="21"/>
                <w:szCs w:val="21"/>
              </w:rPr>
            </w:pPr>
            <w:r>
              <w:rPr>
                <w:rFonts w:ascii="宋体" w:hAnsi="宋体" w:eastAsia="宋体" w:cs="宋体"/>
                <w:spacing w:val="-1"/>
                <w:sz w:val="21"/>
                <w:szCs w:val="21"/>
              </w:rPr>
              <w:t>②根据内江市农业农村局的说明，建设单位所在集团公司在内江市发</w:t>
            </w:r>
          </w:p>
        </w:tc>
        <w:tc>
          <w:tcPr>
            <w:tcW w:w="821" w:type="dxa"/>
            <w:vAlign w:val="top"/>
          </w:tcPr>
          <w:p w14:paraId="0A6FCE6C">
            <w:pPr>
              <w:spacing w:line="276" w:lineRule="auto"/>
              <w:rPr>
                <w:rFonts w:ascii="Arial"/>
                <w:sz w:val="21"/>
              </w:rPr>
            </w:pPr>
          </w:p>
          <w:p w14:paraId="6972B296">
            <w:pPr>
              <w:spacing w:line="276" w:lineRule="auto"/>
              <w:rPr>
                <w:rFonts w:ascii="Arial"/>
                <w:sz w:val="21"/>
              </w:rPr>
            </w:pPr>
          </w:p>
          <w:p w14:paraId="599503D9">
            <w:pPr>
              <w:spacing w:line="276" w:lineRule="auto"/>
              <w:rPr>
                <w:rFonts w:ascii="Arial"/>
                <w:sz w:val="21"/>
              </w:rPr>
            </w:pPr>
          </w:p>
          <w:p w14:paraId="5A6A9938">
            <w:pPr>
              <w:spacing w:line="276" w:lineRule="auto"/>
              <w:rPr>
                <w:rFonts w:ascii="Arial"/>
                <w:sz w:val="21"/>
              </w:rPr>
            </w:pPr>
          </w:p>
          <w:p w14:paraId="7DA0F65F">
            <w:pPr>
              <w:spacing w:line="276" w:lineRule="auto"/>
              <w:rPr>
                <w:rFonts w:ascii="Arial"/>
                <w:sz w:val="21"/>
              </w:rPr>
            </w:pPr>
          </w:p>
          <w:p w14:paraId="09A4ED55">
            <w:pPr>
              <w:spacing w:before="68" w:line="220" w:lineRule="auto"/>
              <w:ind w:left="207"/>
              <w:rPr>
                <w:rFonts w:ascii="宋体" w:hAnsi="宋体" w:eastAsia="宋体" w:cs="宋体"/>
                <w:sz w:val="21"/>
                <w:szCs w:val="21"/>
              </w:rPr>
            </w:pPr>
            <w:r>
              <w:rPr>
                <w:rFonts w:ascii="宋体" w:hAnsi="宋体" w:eastAsia="宋体" w:cs="宋体"/>
                <w:spacing w:val="-3"/>
                <w:sz w:val="21"/>
                <w:szCs w:val="21"/>
              </w:rPr>
              <w:t>符合</w:t>
            </w:r>
          </w:p>
        </w:tc>
      </w:tr>
    </w:tbl>
    <w:p w14:paraId="75CF6A9E">
      <w:pPr>
        <w:pStyle w:val="2"/>
        <w:spacing w:line="183" w:lineRule="exact"/>
        <w:rPr>
          <w:sz w:val="15"/>
        </w:rPr>
      </w:pPr>
    </w:p>
    <w:p w14:paraId="55316B1A">
      <w:pPr>
        <w:spacing w:line="183" w:lineRule="exact"/>
        <w:rPr>
          <w:sz w:val="15"/>
          <w:szCs w:val="15"/>
        </w:rPr>
        <w:sectPr>
          <w:footerReference r:id="rId74" w:type="default"/>
          <w:pgSz w:w="11905" w:h="16840"/>
          <w:pgMar w:top="1168" w:right="1768" w:bottom="1409" w:left="1770" w:header="828" w:footer="1244" w:gutter="0"/>
          <w:cols w:space="720" w:num="1"/>
        </w:sectPr>
      </w:pPr>
    </w:p>
    <w:p w14:paraId="0629E2EF">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3822"/>
        <w:gridCol w:w="2111"/>
        <w:gridCol w:w="821"/>
      </w:tblGrid>
      <w:tr w14:paraId="41F10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66" w:type="dxa"/>
            <w:vAlign w:val="top"/>
          </w:tcPr>
          <w:p w14:paraId="2CFCC3A0">
            <w:pPr>
              <w:spacing w:before="68" w:line="222" w:lineRule="auto"/>
              <w:ind w:left="370"/>
              <w:rPr>
                <w:rFonts w:ascii="宋体" w:hAnsi="宋体" w:eastAsia="宋体" w:cs="宋体"/>
                <w:sz w:val="21"/>
                <w:szCs w:val="21"/>
              </w:rPr>
            </w:pPr>
            <w:r>
              <w:rPr>
                <w:rFonts w:ascii="宋体" w:hAnsi="宋体" w:eastAsia="宋体" w:cs="宋体"/>
                <w:spacing w:val="-2"/>
                <w:sz w:val="21"/>
                <w:szCs w:val="21"/>
              </w:rPr>
              <w:t>规划名称</w:t>
            </w:r>
          </w:p>
        </w:tc>
        <w:tc>
          <w:tcPr>
            <w:tcW w:w="3822" w:type="dxa"/>
            <w:vAlign w:val="top"/>
          </w:tcPr>
          <w:p w14:paraId="71B6DEAE">
            <w:pPr>
              <w:spacing w:before="68" w:line="220" w:lineRule="auto"/>
              <w:ind w:left="1496"/>
              <w:rPr>
                <w:rFonts w:ascii="宋体" w:hAnsi="宋体" w:eastAsia="宋体" w:cs="宋体"/>
                <w:sz w:val="21"/>
                <w:szCs w:val="21"/>
              </w:rPr>
            </w:pPr>
            <w:r>
              <w:rPr>
                <w:rFonts w:ascii="宋体" w:hAnsi="宋体" w:eastAsia="宋体" w:cs="宋体"/>
                <w:spacing w:val="-2"/>
                <w:sz w:val="21"/>
                <w:szCs w:val="21"/>
              </w:rPr>
              <w:t>规划内容</w:t>
            </w:r>
          </w:p>
        </w:tc>
        <w:tc>
          <w:tcPr>
            <w:tcW w:w="2111" w:type="dxa"/>
            <w:vAlign w:val="top"/>
          </w:tcPr>
          <w:p w14:paraId="69622E7D">
            <w:pPr>
              <w:spacing w:before="68" w:line="219" w:lineRule="auto"/>
              <w:ind w:left="538"/>
              <w:rPr>
                <w:rFonts w:ascii="宋体" w:hAnsi="宋体" w:eastAsia="宋体" w:cs="宋体"/>
                <w:sz w:val="21"/>
                <w:szCs w:val="21"/>
              </w:rPr>
            </w:pPr>
            <w:r>
              <w:rPr>
                <w:rFonts w:ascii="宋体" w:hAnsi="宋体" w:eastAsia="宋体" w:cs="宋体"/>
                <w:spacing w:val="-2"/>
                <w:sz w:val="21"/>
                <w:szCs w:val="21"/>
              </w:rPr>
              <w:t>本项目情况</w:t>
            </w:r>
          </w:p>
        </w:tc>
        <w:tc>
          <w:tcPr>
            <w:tcW w:w="821" w:type="dxa"/>
            <w:vAlign w:val="top"/>
          </w:tcPr>
          <w:p w14:paraId="6CDCEC2E">
            <w:pPr>
              <w:spacing w:before="68" w:line="220" w:lineRule="auto"/>
              <w:ind w:left="103"/>
              <w:rPr>
                <w:rFonts w:ascii="宋体" w:hAnsi="宋体" w:eastAsia="宋体" w:cs="宋体"/>
                <w:sz w:val="21"/>
                <w:szCs w:val="21"/>
              </w:rPr>
            </w:pPr>
            <w:r>
              <w:rPr>
                <w:rFonts w:ascii="宋体" w:hAnsi="宋体" w:eastAsia="宋体" w:cs="宋体"/>
                <w:spacing w:val="-3"/>
                <w:sz w:val="21"/>
                <w:szCs w:val="21"/>
              </w:rPr>
              <w:t>符合性</w:t>
            </w:r>
          </w:p>
        </w:tc>
      </w:tr>
      <w:tr w14:paraId="19B1F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0" w:hRule="atLeast"/>
        </w:trPr>
        <w:tc>
          <w:tcPr>
            <w:tcW w:w="1566" w:type="dxa"/>
            <w:vAlign w:val="top"/>
          </w:tcPr>
          <w:p w14:paraId="26D797FE">
            <w:pPr>
              <w:rPr>
                <w:rFonts w:ascii="Arial"/>
                <w:sz w:val="21"/>
              </w:rPr>
            </w:pPr>
          </w:p>
        </w:tc>
        <w:tc>
          <w:tcPr>
            <w:tcW w:w="3822" w:type="dxa"/>
            <w:vAlign w:val="top"/>
          </w:tcPr>
          <w:p w14:paraId="52031B6D">
            <w:pPr>
              <w:pStyle w:val="6"/>
              <w:spacing w:before="49" w:line="220" w:lineRule="auto"/>
              <w:ind w:left="219"/>
              <w:rPr>
                <w:rFonts w:ascii="宋体" w:hAnsi="宋体" w:eastAsia="宋体" w:cs="宋体"/>
              </w:rPr>
            </w:pPr>
            <w:r>
              <w:rPr>
                <w:spacing w:val="-1"/>
              </w:rPr>
              <w:t>3.</w:t>
            </w:r>
            <w:r>
              <w:rPr>
                <w:rFonts w:ascii="宋体" w:hAnsi="宋体" w:eastAsia="宋体" w:cs="宋体"/>
                <w:spacing w:val="-1"/>
              </w:rPr>
              <w:t>推进畜禽养殖集约化发展</w:t>
            </w:r>
          </w:p>
          <w:p w14:paraId="6A1927DE">
            <w:pPr>
              <w:spacing w:before="63" w:line="274" w:lineRule="auto"/>
              <w:ind w:left="8" w:right="2" w:firstLine="211"/>
              <w:rPr>
                <w:rFonts w:ascii="宋体" w:hAnsi="宋体" w:eastAsia="宋体" w:cs="宋体"/>
                <w:sz w:val="21"/>
                <w:szCs w:val="21"/>
              </w:rPr>
            </w:pPr>
            <w:r>
              <w:rPr>
                <w:rFonts w:ascii="宋体" w:hAnsi="宋体" w:eastAsia="宋体" w:cs="宋体"/>
                <w:spacing w:val="1"/>
                <w:sz w:val="21"/>
                <w:szCs w:val="21"/>
              </w:rPr>
              <w:t>培育和引进畜禽养殖产业化龙头企业，</w:t>
            </w:r>
            <w:r>
              <w:rPr>
                <w:rFonts w:ascii="宋体" w:hAnsi="宋体" w:eastAsia="宋体" w:cs="宋体"/>
                <w:spacing w:val="-1"/>
                <w:sz w:val="21"/>
                <w:szCs w:val="21"/>
              </w:rPr>
              <w:t>支持龙头企业构建集养殖、屠宰、加工、</w:t>
            </w:r>
            <w:r>
              <w:rPr>
                <w:rFonts w:ascii="宋体" w:hAnsi="宋体" w:eastAsia="宋体" w:cs="宋体"/>
                <w:spacing w:val="1"/>
                <w:sz w:val="21"/>
                <w:szCs w:val="21"/>
              </w:rPr>
              <w:t>配送于一体的全产业链生产经营，提升生产性能、养殖规模化、设施化和集约化水</w:t>
            </w:r>
            <w:r>
              <w:rPr>
                <w:rFonts w:ascii="宋体" w:hAnsi="宋体" w:eastAsia="宋体" w:cs="宋体"/>
                <w:spacing w:val="-10"/>
                <w:sz w:val="21"/>
                <w:szCs w:val="21"/>
              </w:rPr>
              <w:t>平。</w:t>
            </w:r>
          </w:p>
          <w:p w14:paraId="2CDE622A">
            <w:pPr>
              <w:pStyle w:val="6"/>
              <w:spacing w:line="219" w:lineRule="auto"/>
              <w:ind w:left="214"/>
              <w:rPr>
                <w:rFonts w:ascii="宋体" w:hAnsi="宋体" w:eastAsia="宋体" w:cs="宋体"/>
              </w:rPr>
            </w:pPr>
            <w:r>
              <w:rPr>
                <w:spacing w:val="-1"/>
              </w:rPr>
              <w:t>4.</w:t>
            </w:r>
            <w:r>
              <w:rPr>
                <w:rFonts w:ascii="宋体" w:hAnsi="宋体" w:eastAsia="宋体" w:cs="宋体"/>
                <w:spacing w:val="-1"/>
              </w:rPr>
              <w:t>严格畜禽养殖场环境准入</w:t>
            </w:r>
          </w:p>
          <w:p w14:paraId="70A05880">
            <w:pPr>
              <w:spacing w:before="68" w:line="274" w:lineRule="auto"/>
              <w:ind w:left="8" w:firstLine="207"/>
              <w:rPr>
                <w:rFonts w:ascii="宋体" w:hAnsi="宋体" w:eastAsia="宋体" w:cs="宋体"/>
                <w:sz w:val="21"/>
                <w:szCs w:val="21"/>
              </w:rPr>
            </w:pPr>
            <w:r>
              <w:rPr>
                <w:rFonts w:ascii="宋体" w:hAnsi="宋体" w:eastAsia="宋体" w:cs="宋体"/>
                <w:spacing w:val="-3"/>
                <w:sz w:val="21"/>
                <w:szCs w:val="21"/>
              </w:rPr>
              <w:t>新建或改扩建畜禽规模养殖场，应根据</w:t>
            </w:r>
            <w:r>
              <w:rPr>
                <w:rFonts w:ascii="宋体" w:hAnsi="宋体" w:eastAsia="宋体" w:cs="宋体"/>
                <w:spacing w:val="-10"/>
                <w:sz w:val="21"/>
                <w:szCs w:val="21"/>
              </w:rPr>
              <w:t>《建设项目环境影响评价分类管理名录》，</w:t>
            </w:r>
            <w:r>
              <w:rPr>
                <w:rFonts w:ascii="宋体" w:hAnsi="宋体" w:eastAsia="宋体" w:cs="宋体"/>
                <w:spacing w:val="-3"/>
                <w:sz w:val="21"/>
                <w:szCs w:val="21"/>
              </w:rPr>
              <w:t>开展环境影响评价。环境影响评价文件要以无害化和环境安全为目标，促进废弃物资源化利用，要根据区域内环境敏感问题和环境质量改善要求，重点论证项目的环</w:t>
            </w:r>
            <w:r>
              <w:rPr>
                <w:rFonts w:ascii="宋体" w:hAnsi="宋体" w:eastAsia="宋体" w:cs="宋体"/>
                <w:spacing w:val="-4"/>
                <w:sz w:val="21"/>
                <w:szCs w:val="21"/>
              </w:rPr>
              <w:t>境影响和污染防治措施的可操作性、有效</w:t>
            </w:r>
            <w:r>
              <w:rPr>
                <w:rFonts w:ascii="宋体" w:hAnsi="宋体" w:eastAsia="宋体" w:cs="宋体"/>
                <w:spacing w:val="-3"/>
                <w:sz w:val="21"/>
                <w:szCs w:val="21"/>
              </w:rPr>
              <w:t>性，明确应采取的环保措施，严格控制污染物排放，减缓不利影响。要突出畜禽养</w:t>
            </w:r>
            <w:r>
              <w:rPr>
                <w:rFonts w:ascii="宋体" w:hAnsi="宋体" w:eastAsia="宋体" w:cs="宋体"/>
                <w:spacing w:val="-10"/>
                <w:sz w:val="21"/>
                <w:szCs w:val="21"/>
              </w:rPr>
              <w:t>殖废弃物综合利用，配备必要的粪污收集、</w:t>
            </w:r>
            <w:r>
              <w:rPr>
                <w:rFonts w:ascii="宋体" w:hAnsi="宋体" w:eastAsia="宋体" w:cs="宋体"/>
                <w:spacing w:val="-3"/>
                <w:sz w:val="21"/>
                <w:szCs w:val="21"/>
              </w:rPr>
              <w:t>贮存、处理、利用设施，配套与养殖规模</w:t>
            </w:r>
            <w:r>
              <w:rPr>
                <w:rFonts w:ascii="宋体" w:hAnsi="宋体" w:eastAsia="宋体" w:cs="宋体"/>
                <w:spacing w:val="-4"/>
                <w:sz w:val="21"/>
                <w:szCs w:val="21"/>
              </w:rPr>
              <w:t>和处理工艺相适应的粪污消纳用地，并重</w:t>
            </w:r>
            <w:r>
              <w:rPr>
                <w:rFonts w:ascii="宋体" w:hAnsi="宋体" w:eastAsia="宋体" w:cs="宋体"/>
                <w:spacing w:val="-3"/>
                <w:sz w:val="21"/>
                <w:szCs w:val="21"/>
              </w:rPr>
              <w:t>点论证项目选址对水、大气、土壤环境产生的影响，综合考虑养殖特点、环境承载力和周边需肥情况，切实提高污染治理水平。畜禽养殖污染防治设施要落实“三同</w:t>
            </w:r>
            <w:r>
              <w:rPr>
                <w:rFonts w:ascii="宋体" w:hAnsi="宋体" w:eastAsia="宋体" w:cs="宋体"/>
                <w:spacing w:val="-10"/>
                <w:sz w:val="21"/>
                <w:szCs w:val="21"/>
              </w:rPr>
              <w:t>时”制度，落实综合利用和污染治理措施，</w:t>
            </w:r>
            <w:r>
              <w:rPr>
                <w:rFonts w:ascii="宋体" w:hAnsi="宋体" w:eastAsia="宋体" w:cs="宋体"/>
                <w:spacing w:val="-3"/>
                <w:sz w:val="21"/>
                <w:szCs w:val="21"/>
              </w:rPr>
              <w:t>加强建设项目工程监理，严格项目验收，</w:t>
            </w:r>
            <w:r>
              <w:rPr>
                <w:rFonts w:ascii="宋体" w:hAnsi="宋体" w:eastAsia="宋体" w:cs="宋体"/>
                <w:spacing w:val="-5"/>
                <w:sz w:val="21"/>
                <w:szCs w:val="21"/>
              </w:rPr>
              <w:t>确保综合利用和污染防治效果</w:t>
            </w:r>
          </w:p>
          <w:p w14:paraId="5E915048">
            <w:pPr>
              <w:spacing w:before="1" w:line="218" w:lineRule="auto"/>
              <w:ind w:left="14"/>
              <w:rPr>
                <w:rFonts w:ascii="宋体" w:hAnsi="宋体" w:eastAsia="宋体" w:cs="宋体"/>
                <w:sz w:val="21"/>
                <w:szCs w:val="21"/>
              </w:rPr>
            </w:pPr>
            <w:r>
              <w:rPr>
                <w:rFonts w:ascii="宋体" w:hAnsi="宋体" w:eastAsia="宋体" w:cs="宋体"/>
                <w:spacing w:val="-2"/>
                <w:sz w:val="21"/>
                <w:szCs w:val="21"/>
              </w:rPr>
              <w:t>（二）精准治污，提高养殖污染治理能力</w:t>
            </w:r>
          </w:p>
          <w:p w14:paraId="56AAE969">
            <w:pPr>
              <w:pStyle w:val="6"/>
              <w:spacing w:before="62" w:line="220" w:lineRule="auto"/>
              <w:ind w:left="235"/>
              <w:rPr>
                <w:rFonts w:ascii="宋体" w:hAnsi="宋体" w:eastAsia="宋体" w:cs="宋体"/>
              </w:rPr>
            </w:pPr>
            <w:r>
              <w:rPr>
                <w:spacing w:val="-3"/>
              </w:rPr>
              <w:t>1.</w:t>
            </w:r>
            <w:r>
              <w:rPr>
                <w:rFonts w:ascii="宋体" w:hAnsi="宋体" w:eastAsia="宋体" w:cs="宋体"/>
                <w:spacing w:val="-3"/>
              </w:rPr>
              <w:t>鼓励源头减量改造</w:t>
            </w:r>
          </w:p>
          <w:p w14:paraId="2665C5E0">
            <w:pPr>
              <w:spacing w:before="65" w:line="274" w:lineRule="auto"/>
              <w:ind w:left="8" w:firstLine="206"/>
              <w:rPr>
                <w:rFonts w:ascii="宋体" w:hAnsi="宋体" w:eastAsia="宋体" w:cs="宋体"/>
                <w:sz w:val="21"/>
                <w:szCs w:val="21"/>
              </w:rPr>
            </w:pPr>
            <w:r>
              <w:rPr>
                <w:rFonts w:ascii="宋体" w:hAnsi="宋体" w:eastAsia="宋体" w:cs="宋体"/>
                <w:spacing w:val="1"/>
                <w:sz w:val="21"/>
                <w:szCs w:val="21"/>
              </w:rPr>
              <w:t>严格执行《饲料添加剂安全使用规范》</w:t>
            </w:r>
            <w:r>
              <w:rPr>
                <w:rFonts w:ascii="宋体" w:hAnsi="宋体" w:eastAsia="宋体" w:cs="宋体"/>
                <w:spacing w:val="14"/>
                <w:sz w:val="21"/>
                <w:szCs w:val="21"/>
              </w:rPr>
              <w:t xml:space="preserve"> </w:t>
            </w:r>
            <w:r>
              <w:rPr>
                <w:rFonts w:ascii="宋体" w:hAnsi="宋体" w:eastAsia="宋体" w:cs="宋体"/>
                <w:spacing w:val="-10"/>
                <w:sz w:val="21"/>
                <w:szCs w:val="21"/>
              </w:rPr>
              <w:t>《饲料卫生标准》等国家和地方有关规定。</w:t>
            </w:r>
            <w:r>
              <w:rPr>
                <w:rFonts w:ascii="宋体" w:hAnsi="宋体" w:eastAsia="宋体" w:cs="宋体"/>
                <w:spacing w:val="-4"/>
                <w:sz w:val="21"/>
                <w:szCs w:val="21"/>
              </w:rPr>
              <w:t>推广使用节水式饮水器和节水养殖模式，优化清粪方式，做好类污贮存设施升级改造和雨污分流，鼓励饮污分流溅洒水回用和养殖污水净化水回用，切实从源头提高畜禽养殖的清洁化水平，减少粪污产生总</w:t>
            </w:r>
            <w:r>
              <w:rPr>
                <w:rFonts w:ascii="宋体" w:hAnsi="宋体" w:eastAsia="宋体" w:cs="宋体"/>
                <w:spacing w:val="-12"/>
                <w:sz w:val="21"/>
                <w:szCs w:val="21"/>
              </w:rPr>
              <w:t>量。</w:t>
            </w:r>
          </w:p>
          <w:p w14:paraId="34310874">
            <w:pPr>
              <w:pStyle w:val="6"/>
              <w:spacing w:line="220" w:lineRule="auto"/>
              <w:ind w:left="215"/>
              <w:rPr>
                <w:rFonts w:ascii="宋体" w:hAnsi="宋体" w:eastAsia="宋体" w:cs="宋体"/>
              </w:rPr>
            </w:pPr>
            <w:r>
              <w:rPr>
                <w:spacing w:val="-1"/>
              </w:rPr>
              <w:t>2.</w:t>
            </w:r>
            <w:r>
              <w:rPr>
                <w:rFonts w:ascii="宋体" w:hAnsi="宋体" w:eastAsia="宋体" w:cs="宋体"/>
                <w:spacing w:val="-1"/>
              </w:rPr>
              <w:t>强化过程控制治理</w:t>
            </w:r>
          </w:p>
          <w:p w14:paraId="24BC3F9C">
            <w:pPr>
              <w:spacing w:before="63" w:line="266" w:lineRule="auto"/>
              <w:ind w:left="9" w:right="2" w:firstLine="211"/>
              <w:rPr>
                <w:rFonts w:ascii="宋体" w:hAnsi="宋体" w:eastAsia="宋体" w:cs="宋体"/>
                <w:sz w:val="21"/>
                <w:szCs w:val="21"/>
              </w:rPr>
            </w:pPr>
            <w:r>
              <w:rPr>
                <w:rFonts w:ascii="宋体" w:hAnsi="宋体" w:eastAsia="宋体" w:cs="宋体"/>
                <w:sz w:val="21"/>
                <w:szCs w:val="21"/>
              </w:rPr>
              <w:t>按照《畜禽规模养殖污染防治条例》要</w:t>
            </w:r>
            <w:r>
              <w:rPr>
                <w:rFonts w:ascii="宋体" w:hAnsi="宋体" w:eastAsia="宋体" w:cs="宋体"/>
                <w:spacing w:val="1"/>
                <w:sz w:val="21"/>
                <w:szCs w:val="21"/>
              </w:rPr>
              <w:t>求，畜禽规模养殖场要严格按照畜禽养殖污染防治和总量减排要求，配备与设计生产能力、粪污处理利用方式相适应的粪污收集、暂存或处理设施设备，并确保正常</w:t>
            </w:r>
            <w:r>
              <w:rPr>
                <w:rFonts w:ascii="宋体" w:hAnsi="宋体" w:eastAsia="宋体" w:cs="宋体"/>
                <w:spacing w:val="-9"/>
                <w:sz w:val="21"/>
                <w:szCs w:val="21"/>
              </w:rPr>
              <w:t>运行。</w:t>
            </w:r>
          </w:p>
        </w:tc>
        <w:tc>
          <w:tcPr>
            <w:tcW w:w="2111" w:type="dxa"/>
            <w:vAlign w:val="top"/>
          </w:tcPr>
          <w:p w14:paraId="7CED321A">
            <w:pPr>
              <w:pStyle w:val="6"/>
              <w:spacing w:before="50" w:line="274" w:lineRule="auto"/>
              <w:ind w:left="11" w:right="1" w:firstLine="1"/>
              <w:jc w:val="both"/>
              <w:rPr>
                <w:rFonts w:ascii="宋体" w:hAnsi="宋体" w:eastAsia="宋体" w:cs="宋体"/>
              </w:rPr>
            </w:pPr>
            <w:r>
              <w:rPr>
                <w:rFonts w:ascii="宋体" w:hAnsi="宋体" w:eastAsia="宋体" w:cs="宋体"/>
                <w:spacing w:val="-1"/>
              </w:rPr>
              <w:t>展目标规模为年出栏生</w:t>
            </w:r>
            <w:r>
              <w:rPr>
                <w:rFonts w:ascii="宋体" w:hAnsi="宋体" w:eastAsia="宋体" w:cs="宋体"/>
                <w:spacing w:val="-6"/>
              </w:rPr>
              <w:t>猪</w:t>
            </w:r>
            <w:r>
              <w:rPr>
                <w:rFonts w:ascii="宋体" w:hAnsi="宋体" w:eastAsia="宋体" w:cs="宋体"/>
                <w:spacing w:val="-22"/>
              </w:rPr>
              <w:t xml:space="preserve"> </w:t>
            </w:r>
            <w:r>
              <w:rPr>
                <w:spacing w:val="-6"/>
              </w:rPr>
              <w:t>120</w:t>
            </w:r>
            <w:r>
              <w:rPr>
                <w:spacing w:val="16"/>
              </w:rPr>
              <w:t xml:space="preserve"> </w:t>
            </w:r>
            <w:r>
              <w:rPr>
                <w:rFonts w:ascii="宋体" w:hAnsi="宋体" w:eastAsia="宋体" w:cs="宋体"/>
                <w:spacing w:val="-6"/>
              </w:rPr>
              <w:t>万头，符合我市</w:t>
            </w:r>
            <w:r>
              <w:rPr>
                <w:rFonts w:ascii="宋体" w:hAnsi="宋体" w:eastAsia="宋体" w:cs="宋体"/>
                <w:spacing w:val="-4"/>
              </w:rPr>
              <w:t>生猪产业发展要求。</w:t>
            </w:r>
          </w:p>
          <w:p w14:paraId="07F81473">
            <w:pPr>
              <w:spacing w:before="1" w:line="274" w:lineRule="auto"/>
              <w:ind w:left="11" w:right="1" w:hanging="2"/>
              <w:rPr>
                <w:rFonts w:ascii="宋体" w:hAnsi="宋体" w:eastAsia="宋体" w:cs="宋体"/>
                <w:sz w:val="21"/>
                <w:szCs w:val="21"/>
              </w:rPr>
            </w:pPr>
            <w:r>
              <w:rPr>
                <w:rFonts w:ascii="宋体" w:hAnsi="宋体" w:eastAsia="宋体" w:cs="宋体"/>
                <w:spacing w:val="-1"/>
                <w:sz w:val="21"/>
                <w:szCs w:val="21"/>
              </w:rPr>
              <w:t>③建设单位所在集团公司为我市规模化生猪养殖重点招商项目，有助于推进畜禽养殖集约化</w:t>
            </w:r>
            <w:r>
              <w:rPr>
                <w:rFonts w:ascii="宋体" w:hAnsi="宋体" w:eastAsia="宋体" w:cs="宋体"/>
                <w:spacing w:val="-7"/>
                <w:sz w:val="21"/>
                <w:szCs w:val="21"/>
              </w:rPr>
              <w:t>发展目标。</w:t>
            </w:r>
          </w:p>
          <w:p w14:paraId="6C929DE5">
            <w:pPr>
              <w:spacing w:before="1" w:line="274" w:lineRule="auto"/>
              <w:ind w:left="9" w:right="1"/>
              <w:rPr>
                <w:rFonts w:ascii="宋体" w:hAnsi="宋体" w:eastAsia="宋体" w:cs="宋体"/>
                <w:sz w:val="21"/>
                <w:szCs w:val="21"/>
              </w:rPr>
            </w:pPr>
            <w:r>
              <w:rPr>
                <w:rFonts w:ascii="宋体" w:hAnsi="宋体" w:eastAsia="宋体" w:cs="宋体"/>
                <w:spacing w:val="-1"/>
                <w:sz w:val="21"/>
                <w:szCs w:val="21"/>
              </w:rPr>
              <w:t>④本项目执行了环境影</w:t>
            </w:r>
            <w:r>
              <w:rPr>
                <w:rFonts w:ascii="宋体" w:hAnsi="宋体" w:eastAsia="宋体" w:cs="宋体"/>
                <w:spacing w:val="-3"/>
                <w:sz w:val="21"/>
                <w:szCs w:val="21"/>
              </w:rPr>
              <w:t>响评价制度，环评按照</w:t>
            </w:r>
            <w:r>
              <w:rPr>
                <w:rFonts w:ascii="宋体" w:hAnsi="宋体" w:eastAsia="宋体" w:cs="宋体"/>
                <w:spacing w:val="22"/>
                <w:sz w:val="21"/>
                <w:szCs w:val="21"/>
              </w:rPr>
              <w:t>环境影响评价技术导</w:t>
            </w:r>
            <w:r>
              <w:rPr>
                <w:rFonts w:ascii="宋体" w:hAnsi="宋体" w:eastAsia="宋体" w:cs="宋体"/>
                <w:spacing w:val="-1"/>
                <w:sz w:val="21"/>
                <w:szCs w:val="21"/>
              </w:rPr>
              <w:t>则、法律法规、规范及本规划等具体要求进行</w:t>
            </w:r>
            <w:r>
              <w:rPr>
                <w:rFonts w:ascii="宋体" w:hAnsi="宋体" w:eastAsia="宋体" w:cs="宋体"/>
                <w:spacing w:val="-9"/>
                <w:sz w:val="21"/>
                <w:szCs w:val="21"/>
              </w:rPr>
              <w:t>评价。</w:t>
            </w:r>
          </w:p>
          <w:p w14:paraId="6454D094">
            <w:pPr>
              <w:spacing w:before="1" w:line="231" w:lineRule="auto"/>
              <w:ind w:left="17"/>
              <w:rPr>
                <w:rFonts w:ascii="宋体" w:hAnsi="宋体" w:eastAsia="宋体" w:cs="宋体"/>
                <w:sz w:val="21"/>
                <w:szCs w:val="21"/>
              </w:rPr>
            </w:pPr>
            <w:r>
              <w:rPr>
                <w:rFonts w:ascii="宋体" w:hAnsi="宋体" w:eastAsia="宋体" w:cs="宋体"/>
                <w:spacing w:val="-31"/>
                <w:sz w:val="21"/>
                <w:szCs w:val="21"/>
              </w:rPr>
              <w:t>（二</w:t>
            </w:r>
            <w:r>
              <w:rPr>
                <w:rFonts w:ascii="宋体" w:hAnsi="宋体" w:eastAsia="宋体" w:cs="宋体"/>
                <w:spacing w:val="-16"/>
                <w:sz w:val="21"/>
                <w:szCs w:val="21"/>
              </w:rPr>
              <w:t>）：</w:t>
            </w:r>
          </w:p>
          <w:p w14:paraId="50809C12">
            <w:pPr>
              <w:spacing w:before="51" w:line="274" w:lineRule="auto"/>
              <w:ind w:left="10"/>
              <w:rPr>
                <w:rFonts w:ascii="宋体" w:hAnsi="宋体" w:eastAsia="宋体" w:cs="宋体"/>
                <w:sz w:val="21"/>
                <w:szCs w:val="21"/>
              </w:rPr>
            </w:pPr>
            <w:r>
              <w:rPr>
                <w:rFonts w:ascii="宋体" w:hAnsi="宋体" w:eastAsia="宋体" w:cs="宋体"/>
                <w:spacing w:val="-7"/>
                <w:sz w:val="21"/>
                <w:szCs w:val="21"/>
              </w:rPr>
              <w:t>①本项目严格执行《饲</w:t>
            </w:r>
            <w:r>
              <w:rPr>
                <w:rFonts w:ascii="宋体" w:hAnsi="宋体" w:eastAsia="宋体" w:cs="宋体"/>
                <w:spacing w:val="16"/>
                <w:sz w:val="21"/>
                <w:szCs w:val="21"/>
              </w:rPr>
              <w:t>料添加剂安全使用规</w:t>
            </w:r>
            <w:r>
              <w:rPr>
                <w:rFonts w:ascii="宋体" w:hAnsi="宋体" w:eastAsia="宋体" w:cs="宋体"/>
                <w:spacing w:val="-27"/>
                <w:w w:val="96"/>
                <w:sz w:val="21"/>
                <w:szCs w:val="21"/>
              </w:rPr>
              <w:t>范》、《饲料卫生标准》，</w:t>
            </w:r>
            <w:r>
              <w:rPr>
                <w:rFonts w:ascii="宋体" w:hAnsi="宋体" w:eastAsia="宋体" w:cs="宋体"/>
                <w:spacing w:val="-4"/>
                <w:sz w:val="21"/>
                <w:szCs w:val="21"/>
              </w:rPr>
              <w:t>采用低蛋白日粮技术，</w:t>
            </w:r>
            <w:r>
              <w:rPr>
                <w:rFonts w:ascii="宋体" w:hAnsi="宋体" w:eastAsia="宋体" w:cs="宋体"/>
                <w:spacing w:val="-7"/>
                <w:sz w:val="21"/>
                <w:szCs w:val="21"/>
              </w:rPr>
              <w:t>实施饲料精准配方和精</w:t>
            </w:r>
            <w:r>
              <w:rPr>
                <w:rFonts w:ascii="宋体" w:hAnsi="宋体" w:eastAsia="宋体" w:cs="宋体"/>
                <w:spacing w:val="-8"/>
                <w:sz w:val="21"/>
                <w:szCs w:val="21"/>
              </w:rPr>
              <w:t>准配制工艺，降低畜禽</w:t>
            </w:r>
            <w:r>
              <w:rPr>
                <w:rFonts w:ascii="宋体" w:hAnsi="宋体" w:eastAsia="宋体" w:cs="宋体"/>
                <w:spacing w:val="-7"/>
                <w:sz w:val="21"/>
                <w:szCs w:val="21"/>
              </w:rPr>
              <w:t>养殖氮磷排泄量，项目</w:t>
            </w:r>
            <w:r>
              <w:rPr>
                <w:rFonts w:ascii="宋体" w:hAnsi="宋体" w:eastAsia="宋体" w:cs="宋体"/>
                <w:spacing w:val="-9"/>
                <w:sz w:val="21"/>
                <w:szCs w:val="21"/>
              </w:rPr>
              <w:t>采用节水饲喂设备。</w:t>
            </w:r>
          </w:p>
          <w:p w14:paraId="284D0E62">
            <w:pPr>
              <w:spacing w:before="2" w:line="274" w:lineRule="auto"/>
              <w:ind w:left="9" w:right="1"/>
              <w:rPr>
                <w:rFonts w:ascii="宋体" w:hAnsi="宋体" w:eastAsia="宋体" w:cs="宋体"/>
                <w:sz w:val="21"/>
                <w:szCs w:val="21"/>
              </w:rPr>
            </w:pPr>
            <w:r>
              <w:rPr>
                <w:rFonts w:ascii="宋体" w:hAnsi="宋体" w:eastAsia="宋体" w:cs="宋体"/>
                <w:spacing w:val="-1"/>
                <w:sz w:val="21"/>
                <w:szCs w:val="21"/>
              </w:rPr>
              <w:t>②本项目配套建设污染治理设施，包括污水处理站及堆粪棚等，猪舍臭气采取机械通风、喷洒生物除臭剂，粪污处理产生的臭气经收集后采用生物喷淋处理后达</w:t>
            </w:r>
            <w:r>
              <w:rPr>
                <w:rFonts w:ascii="宋体" w:hAnsi="宋体" w:eastAsia="宋体" w:cs="宋体"/>
                <w:spacing w:val="-8"/>
                <w:sz w:val="21"/>
                <w:szCs w:val="21"/>
              </w:rPr>
              <w:t>标排放。</w:t>
            </w:r>
          </w:p>
          <w:p w14:paraId="353FF560">
            <w:pPr>
              <w:pStyle w:val="6"/>
              <w:spacing w:before="3" w:line="274" w:lineRule="auto"/>
              <w:ind w:left="7" w:firstLine="2"/>
              <w:rPr>
                <w:rFonts w:ascii="宋体" w:hAnsi="宋体" w:eastAsia="宋体" w:cs="宋体"/>
              </w:rPr>
            </w:pPr>
            <w:r>
              <w:rPr>
                <w:rFonts w:ascii="宋体" w:hAnsi="宋体" w:eastAsia="宋体" w:cs="宋体"/>
                <w:spacing w:val="-1"/>
              </w:rPr>
              <w:t>③本项目猪舍采取水帘</w:t>
            </w:r>
            <w:r>
              <w:rPr>
                <w:spacing w:val="9"/>
              </w:rPr>
              <w:t>+</w:t>
            </w:r>
            <w:r>
              <w:rPr>
                <w:rFonts w:ascii="宋体" w:hAnsi="宋体" w:eastAsia="宋体" w:cs="宋体"/>
                <w:spacing w:val="9"/>
              </w:rPr>
              <w:t>通风机，可有效提高</w:t>
            </w:r>
            <w:r>
              <w:rPr>
                <w:rFonts w:ascii="宋体" w:hAnsi="宋体" w:eastAsia="宋体" w:cs="宋体"/>
                <w:spacing w:val="-1"/>
              </w:rPr>
              <w:t>猪舍内空气流动性。猪</w:t>
            </w:r>
            <w:r>
              <w:rPr>
                <w:rFonts w:ascii="宋体" w:hAnsi="宋体" w:eastAsia="宋体" w:cs="宋体"/>
                <w:spacing w:val="-4"/>
              </w:rPr>
              <w:t>舍臭气采取机械通风、</w:t>
            </w:r>
            <w:r>
              <w:rPr>
                <w:rFonts w:ascii="宋体" w:hAnsi="宋体" w:eastAsia="宋体" w:cs="宋体"/>
                <w:spacing w:val="-1"/>
              </w:rPr>
              <w:t>喷洒生物除臭剂，粪污处理产生的臭气经收集后采用生物喷淋处理后达标排放，厂界臭气能</w:t>
            </w:r>
            <w:r>
              <w:rPr>
                <w:rFonts w:ascii="宋体" w:hAnsi="宋体" w:eastAsia="宋体" w:cs="宋体"/>
                <w:spacing w:val="-4"/>
              </w:rPr>
              <w:t>够满足限制要求。</w:t>
            </w:r>
          </w:p>
          <w:p w14:paraId="05E09808">
            <w:pPr>
              <w:spacing w:before="1" w:line="231" w:lineRule="auto"/>
              <w:ind w:left="17"/>
              <w:rPr>
                <w:rFonts w:ascii="宋体" w:hAnsi="宋体" w:eastAsia="宋体" w:cs="宋体"/>
                <w:sz w:val="21"/>
                <w:szCs w:val="21"/>
              </w:rPr>
            </w:pPr>
            <w:r>
              <w:rPr>
                <w:rFonts w:ascii="宋体" w:hAnsi="宋体" w:eastAsia="宋体" w:cs="宋体"/>
                <w:spacing w:val="-7"/>
                <w:sz w:val="21"/>
                <w:szCs w:val="21"/>
              </w:rPr>
              <w:t>（三）</w:t>
            </w:r>
          </w:p>
          <w:p w14:paraId="45024734">
            <w:pPr>
              <w:spacing w:before="48" w:line="250" w:lineRule="auto"/>
              <w:ind w:left="12" w:right="1" w:hanging="2"/>
              <w:rPr>
                <w:rFonts w:ascii="宋体" w:hAnsi="宋体" w:eastAsia="宋体" w:cs="宋体"/>
                <w:sz w:val="21"/>
                <w:szCs w:val="21"/>
              </w:rPr>
            </w:pPr>
            <w:r>
              <w:rPr>
                <w:rFonts w:ascii="宋体" w:hAnsi="宋体" w:eastAsia="宋体" w:cs="宋体"/>
                <w:spacing w:val="-4"/>
                <w:sz w:val="21"/>
                <w:szCs w:val="21"/>
              </w:rPr>
              <w:t>①本项目采用减量化、</w:t>
            </w:r>
            <w:r>
              <w:rPr>
                <w:rFonts w:ascii="宋体" w:hAnsi="宋体" w:eastAsia="宋体" w:cs="宋体"/>
                <w:spacing w:val="-1"/>
                <w:sz w:val="21"/>
                <w:szCs w:val="21"/>
              </w:rPr>
              <w:t>无害化处理与资源化利</w:t>
            </w:r>
          </w:p>
        </w:tc>
        <w:tc>
          <w:tcPr>
            <w:tcW w:w="821" w:type="dxa"/>
            <w:vAlign w:val="top"/>
          </w:tcPr>
          <w:p w14:paraId="20A59245">
            <w:pPr>
              <w:rPr>
                <w:rFonts w:ascii="Arial"/>
                <w:sz w:val="21"/>
              </w:rPr>
            </w:pPr>
          </w:p>
        </w:tc>
      </w:tr>
    </w:tbl>
    <w:p w14:paraId="2604C549">
      <w:pPr>
        <w:pStyle w:val="2"/>
        <w:spacing w:line="194" w:lineRule="exact"/>
        <w:rPr>
          <w:sz w:val="16"/>
        </w:rPr>
      </w:pPr>
    </w:p>
    <w:p w14:paraId="380B7A3F">
      <w:pPr>
        <w:spacing w:line="194" w:lineRule="exact"/>
        <w:rPr>
          <w:sz w:val="16"/>
          <w:szCs w:val="16"/>
        </w:rPr>
        <w:sectPr>
          <w:footerReference r:id="rId75" w:type="default"/>
          <w:pgSz w:w="11905" w:h="16840"/>
          <w:pgMar w:top="1168" w:right="1768" w:bottom="1409" w:left="1770" w:header="828" w:footer="1244" w:gutter="0"/>
          <w:cols w:space="720" w:num="1"/>
        </w:sectPr>
      </w:pPr>
    </w:p>
    <w:p w14:paraId="5500ADB2">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3822"/>
        <w:gridCol w:w="2111"/>
        <w:gridCol w:w="821"/>
      </w:tblGrid>
      <w:tr w14:paraId="7749A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66" w:type="dxa"/>
            <w:vAlign w:val="top"/>
          </w:tcPr>
          <w:p w14:paraId="05440A27">
            <w:pPr>
              <w:spacing w:before="68" w:line="222" w:lineRule="auto"/>
              <w:ind w:left="370"/>
              <w:rPr>
                <w:rFonts w:ascii="宋体" w:hAnsi="宋体" w:eastAsia="宋体" w:cs="宋体"/>
                <w:sz w:val="21"/>
                <w:szCs w:val="21"/>
              </w:rPr>
            </w:pPr>
            <w:r>
              <w:rPr>
                <w:rFonts w:ascii="宋体" w:hAnsi="宋体" w:eastAsia="宋体" w:cs="宋体"/>
                <w:spacing w:val="-2"/>
                <w:sz w:val="21"/>
                <w:szCs w:val="21"/>
              </w:rPr>
              <w:t>规划名称</w:t>
            </w:r>
          </w:p>
        </w:tc>
        <w:tc>
          <w:tcPr>
            <w:tcW w:w="3822" w:type="dxa"/>
            <w:vAlign w:val="top"/>
          </w:tcPr>
          <w:p w14:paraId="71793170">
            <w:pPr>
              <w:spacing w:before="68" w:line="220" w:lineRule="auto"/>
              <w:ind w:left="1496"/>
              <w:rPr>
                <w:rFonts w:ascii="宋体" w:hAnsi="宋体" w:eastAsia="宋体" w:cs="宋体"/>
                <w:sz w:val="21"/>
                <w:szCs w:val="21"/>
              </w:rPr>
            </w:pPr>
            <w:r>
              <w:rPr>
                <w:rFonts w:ascii="宋体" w:hAnsi="宋体" w:eastAsia="宋体" w:cs="宋体"/>
                <w:spacing w:val="-2"/>
                <w:sz w:val="21"/>
                <w:szCs w:val="21"/>
              </w:rPr>
              <w:t>规划内容</w:t>
            </w:r>
          </w:p>
        </w:tc>
        <w:tc>
          <w:tcPr>
            <w:tcW w:w="2111" w:type="dxa"/>
            <w:vAlign w:val="top"/>
          </w:tcPr>
          <w:p w14:paraId="340F62FD">
            <w:pPr>
              <w:spacing w:before="68" w:line="219" w:lineRule="auto"/>
              <w:ind w:left="538"/>
              <w:rPr>
                <w:rFonts w:ascii="宋体" w:hAnsi="宋体" w:eastAsia="宋体" w:cs="宋体"/>
                <w:sz w:val="21"/>
                <w:szCs w:val="21"/>
              </w:rPr>
            </w:pPr>
            <w:r>
              <w:rPr>
                <w:rFonts w:ascii="宋体" w:hAnsi="宋体" w:eastAsia="宋体" w:cs="宋体"/>
                <w:spacing w:val="-2"/>
                <w:sz w:val="21"/>
                <w:szCs w:val="21"/>
              </w:rPr>
              <w:t>本项目情况</w:t>
            </w:r>
          </w:p>
        </w:tc>
        <w:tc>
          <w:tcPr>
            <w:tcW w:w="821" w:type="dxa"/>
            <w:vAlign w:val="top"/>
          </w:tcPr>
          <w:p w14:paraId="421A1301">
            <w:pPr>
              <w:spacing w:before="68" w:line="220" w:lineRule="auto"/>
              <w:ind w:left="103"/>
              <w:rPr>
                <w:rFonts w:ascii="宋体" w:hAnsi="宋体" w:eastAsia="宋体" w:cs="宋体"/>
                <w:sz w:val="21"/>
                <w:szCs w:val="21"/>
              </w:rPr>
            </w:pPr>
            <w:r>
              <w:rPr>
                <w:rFonts w:ascii="宋体" w:hAnsi="宋体" w:eastAsia="宋体" w:cs="宋体"/>
                <w:spacing w:val="-3"/>
                <w:sz w:val="21"/>
                <w:szCs w:val="21"/>
              </w:rPr>
              <w:t>符合性</w:t>
            </w:r>
          </w:p>
        </w:tc>
      </w:tr>
      <w:tr w14:paraId="36C34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4" w:hRule="atLeast"/>
        </w:trPr>
        <w:tc>
          <w:tcPr>
            <w:tcW w:w="1566" w:type="dxa"/>
            <w:vAlign w:val="top"/>
          </w:tcPr>
          <w:p w14:paraId="46BCC509">
            <w:pPr>
              <w:rPr>
                <w:rFonts w:ascii="Arial"/>
                <w:sz w:val="21"/>
              </w:rPr>
            </w:pPr>
          </w:p>
        </w:tc>
        <w:tc>
          <w:tcPr>
            <w:tcW w:w="3822" w:type="dxa"/>
            <w:vAlign w:val="top"/>
          </w:tcPr>
          <w:p w14:paraId="014EC8F4">
            <w:pPr>
              <w:pStyle w:val="6"/>
              <w:spacing w:before="49" w:line="220" w:lineRule="auto"/>
              <w:ind w:left="214"/>
              <w:rPr>
                <w:rFonts w:ascii="宋体" w:hAnsi="宋体" w:eastAsia="宋体" w:cs="宋体"/>
              </w:rPr>
            </w:pPr>
            <w:r>
              <w:rPr>
                <w:spacing w:val="-1"/>
              </w:rPr>
              <w:t>4.</w:t>
            </w:r>
            <w:r>
              <w:rPr>
                <w:rFonts w:ascii="宋体" w:hAnsi="宋体" w:eastAsia="宋体" w:cs="宋体"/>
                <w:spacing w:val="-1"/>
              </w:rPr>
              <w:t>加强畜禽养殖废气综合治理</w:t>
            </w:r>
          </w:p>
          <w:p w14:paraId="6701DC1E">
            <w:pPr>
              <w:spacing w:before="63" w:line="274" w:lineRule="auto"/>
              <w:ind w:left="9" w:firstLine="206"/>
              <w:rPr>
                <w:rFonts w:ascii="宋体" w:hAnsi="宋体" w:eastAsia="宋体" w:cs="宋体"/>
                <w:sz w:val="21"/>
                <w:szCs w:val="21"/>
              </w:rPr>
            </w:pPr>
            <w:r>
              <w:rPr>
                <w:rFonts w:ascii="宋体" w:hAnsi="宋体" w:eastAsia="宋体" w:cs="宋体"/>
                <w:spacing w:val="-3"/>
                <w:sz w:val="21"/>
                <w:szCs w:val="21"/>
              </w:rPr>
              <w:t>合理优化规模化养殖场圈舍主要臭气源区域布置，提高场内空气流动性，及时清理粪便及垫料。综合利用物理、化学和生物除臭技术，确保厂界臭气达到《四川省</w:t>
            </w:r>
            <w:r>
              <w:rPr>
                <w:rFonts w:ascii="宋体" w:hAnsi="宋体" w:eastAsia="宋体" w:cs="宋体"/>
                <w:spacing w:val="-10"/>
                <w:sz w:val="21"/>
                <w:szCs w:val="21"/>
              </w:rPr>
              <w:t>畜禽养殖污染物排放标准》规定限制要求。</w:t>
            </w:r>
          </w:p>
          <w:p w14:paraId="1FEBED43">
            <w:pPr>
              <w:spacing w:line="219" w:lineRule="auto"/>
              <w:ind w:left="14"/>
              <w:rPr>
                <w:rFonts w:ascii="宋体" w:hAnsi="宋体" w:eastAsia="宋体" w:cs="宋体"/>
                <w:sz w:val="21"/>
                <w:szCs w:val="21"/>
              </w:rPr>
            </w:pPr>
            <w:r>
              <w:rPr>
                <w:rFonts w:ascii="宋体" w:hAnsi="宋体" w:eastAsia="宋体" w:cs="宋体"/>
                <w:sz w:val="21"/>
                <w:szCs w:val="21"/>
              </w:rPr>
              <w:t>（三）种养结合，加强废弃物资源化利用</w:t>
            </w:r>
          </w:p>
          <w:p w14:paraId="2490E538">
            <w:pPr>
              <w:pStyle w:val="6"/>
              <w:spacing w:before="62" w:line="219" w:lineRule="auto"/>
              <w:ind w:left="235"/>
              <w:rPr>
                <w:rFonts w:ascii="宋体" w:hAnsi="宋体" w:eastAsia="宋体" w:cs="宋体"/>
              </w:rPr>
            </w:pPr>
            <w:r>
              <w:rPr>
                <w:spacing w:val="-2"/>
              </w:rPr>
              <w:t>1.</w:t>
            </w:r>
            <w:r>
              <w:rPr>
                <w:rFonts w:ascii="宋体" w:hAnsi="宋体" w:eastAsia="宋体" w:cs="宋体"/>
                <w:spacing w:val="-2"/>
              </w:rPr>
              <w:t>选择科学合理资源化利用模式</w:t>
            </w:r>
          </w:p>
          <w:p w14:paraId="6867D93B">
            <w:pPr>
              <w:spacing w:before="65" w:line="274" w:lineRule="auto"/>
              <w:ind w:left="9" w:firstLine="230"/>
              <w:rPr>
                <w:rFonts w:ascii="宋体" w:hAnsi="宋体" w:eastAsia="宋体" w:cs="宋体"/>
                <w:sz w:val="21"/>
                <w:szCs w:val="21"/>
              </w:rPr>
            </w:pPr>
            <w:r>
              <w:rPr>
                <w:rFonts w:ascii="宋体" w:hAnsi="宋体" w:eastAsia="宋体" w:cs="宋体"/>
                <w:spacing w:val="-3"/>
                <w:sz w:val="21"/>
                <w:szCs w:val="21"/>
              </w:rPr>
              <w:t>以规模化养殖场为重点以保证养殖场饲</w:t>
            </w:r>
            <w:r>
              <w:rPr>
                <w:rFonts w:ascii="宋体" w:hAnsi="宋体" w:eastAsia="宋体" w:cs="宋体"/>
                <w:spacing w:val="-2"/>
                <w:sz w:val="21"/>
                <w:szCs w:val="21"/>
              </w:rPr>
              <w:t>草料需求和满足畜禽养殖废弃物自我消纳</w:t>
            </w:r>
            <w:r>
              <w:rPr>
                <w:rFonts w:ascii="宋体" w:hAnsi="宋体" w:eastAsia="宋体" w:cs="宋体"/>
                <w:spacing w:val="-10"/>
                <w:sz w:val="21"/>
                <w:szCs w:val="21"/>
              </w:rPr>
              <w:t>为目标，实施畜禽粪污处理设施提升改造，</w:t>
            </w:r>
            <w:r>
              <w:rPr>
                <w:rFonts w:ascii="宋体" w:hAnsi="宋体" w:eastAsia="宋体" w:cs="宋体"/>
                <w:spacing w:val="-3"/>
                <w:sz w:val="21"/>
                <w:szCs w:val="21"/>
              </w:rPr>
              <w:t>推行畜禽粪污堆积发酵、好氧发酵，通过</w:t>
            </w:r>
            <w:r>
              <w:rPr>
                <w:rFonts w:ascii="宋体" w:hAnsi="宋体" w:eastAsia="宋体" w:cs="宋体"/>
                <w:spacing w:val="-2"/>
                <w:sz w:val="21"/>
                <w:szCs w:val="21"/>
              </w:rPr>
              <w:t>土地流转、租赁、合同订单等形式配套消</w:t>
            </w:r>
            <w:r>
              <w:rPr>
                <w:rFonts w:ascii="宋体" w:hAnsi="宋体" w:eastAsia="宋体" w:cs="宋体"/>
                <w:spacing w:val="-5"/>
                <w:sz w:val="21"/>
                <w:szCs w:val="21"/>
              </w:rPr>
              <w:t>纳土地，实现种养结合的主体小循环。</w:t>
            </w:r>
          </w:p>
          <w:p w14:paraId="1FFF4D5F">
            <w:pPr>
              <w:pStyle w:val="6"/>
              <w:spacing w:line="219" w:lineRule="auto"/>
              <w:ind w:left="215"/>
              <w:rPr>
                <w:rFonts w:ascii="宋体" w:hAnsi="宋体" w:eastAsia="宋体" w:cs="宋体"/>
              </w:rPr>
            </w:pPr>
            <w:r>
              <w:rPr>
                <w:spacing w:val="-1"/>
              </w:rPr>
              <w:t>2.</w:t>
            </w:r>
            <w:r>
              <w:rPr>
                <w:rFonts w:ascii="宋体" w:hAnsi="宋体" w:eastAsia="宋体" w:cs="宋体"/>
                <w:spacing w:val="-1"/>
              </w:rPr>
              <w:t>强化粪污分类利用</w:t>
            </w:r>
          </w:p>
          <w:p w14:paraId="0EF2A9D5">
            <w:pPr>
              <w:spacing w:before="64" w:line="274" w:lineRule="auto"/>
              <w:ind w:left="9" w:firstLine="208"/>
              <w:rPr>
                <w:rFonts w:ascii="宋体" w:hAnsi="宋体" w:eastAsia="宋体" w:cs="宋体"/>
                <w:sz w:val="21"/>
                <w:szCs w:val="21"/>
              </w:rPr>
            </w:pPr>
            <w:r>
              <w:rPr>
                <w:rFonts w:ascii="宋体" w:hAnsi="宋体" w:eastAsia="宋体" w:cs="宋体"/>
                <w:spacing w:val="-2"/>
                <w:sz w:val="21"/>
                <w:szCs w:val="21"/>
              </w:rPr>
              <w:t>粪肥施用量应与农作物类型、规模相适应，避免超负荷消纳影响土壤及地下水环境质量。引导大型畜禽规模养殖场采取生</w:t>
            </w:r>
            <w:r>
              <w:rPr>
                <w:rFonts w:ascii="宋体" w:hAnsi="宋体" w:eastAsia="宋体" w:cs="宋体"/>
                <w:spacing w:val="-10"/>
                <w:sz w:val="21"/>
                <w:szCs w:val="21"/>
              </w:rPr>
              <w:t>产有机肥等方式，实现粪肥异地消纳利用，</w:t>
            </w:r>
            <w:r>
              <w:rPr>
                <w:rFonts w:ascii="宋体" w:hAnsi="宋体" w:eastAsia="宋体" w:cs="宋体"/>
                <w:spacing w:val="-7"/>
                <w:sz w:val="21"/>
                <w:szCs w:val="21"/>
              </w:rPr>
              <w:t>确保不超环境容量。</w:t>
            </w:r>
          </w:p>
          <w:p w14:paraId="401AD600">
            <w:pPr>
              <w:spacing w:before="1" w:line="219" w:lineRule="auto"/>
              <w:ind w:left="14"/>
              <w:rPr>
                <w:rFonts w:ascii="宋体" w:hAnsi="宋体" w:eastAsia="宋体" w:cs="宋体"/>
                <w:sz w:val="21"/>
                <w:szCs w:val="21"/>
              </w:rPr>
            </w:pPr>
            <w:r>
              <w:rPr>
                <w:rFonts w:ascii="宋体" w:hAnsi="宋体" w:eastAsia="宋体" w:cs="宋体"/>
                <w:spacing w:val="-2"/>
                <w:sz w:val="21"/>
                <w:szCs w:val="21"/>
              </w:rPr>
              <w:t>（四）强化管控，提高污染防治监管水平</w:t>
            </w:r>
          </w:p>
          <w:p w14:paraId="240787E3">
            <w:pPr>
              <w:pStyle w:val="6"/>
              <w:spacing w:before="61" w:line="220" w:lineRule="auto"/>
              <w:ind w:left="235"/>
              <w:rPr>
                <w:rFonts w:ascii="宋体" w:hAnsi="宋体" w:eastAsia="宋体" w:cs="宋体"/>
              </w:rPr>
            </w:pPr>
            <w:r>
              <w:rPr>
                <w:spacing w:val="-3"/>
              </w:rPr>
              <w:t>1.</w:t>
            </w:r>
            <w:r>
              <w:rPr>
                <w:rFonts w:ascii="宋体" w:hAnsi="宋体" w:eastAsia="宋体" w:cs="宋体"/>
                <w:spacing w:val="-3"/>
              </w:rPr>
              <w:t>严格畜禽养殖项目管控</w:t>
            </w:r>
          </w:p>
          <w:p w14:paraId="7A0BA931">
            <w:pPr>
              <w:spacing w:before="66" w:line="274" w:lineRule="auto"/>
              <w:ind w:firstLine="221"/>
              <w:rPr>
                <w:rFonts w:ascii="宋体" w:hAnsi="宋体" w:eastAsia="宋体" w:cs="宋体"/>
                <w:sz w:val="21"/>
                <w:szCs w:val="21"/>
              </w:rPr>
            </w:pPr>
            <w:r>
              <w:rPr>
                <w:rFonts w:ascii="宋体" w:hAnsi="宋体" w:eastAsia="宋体" w:cs="宋体"/>
                <w:spacing w:val="-4"/>
                <w:sz w:val="21"/>
                <w:szCs w:val="21"/>
              </w:rPr>
              <w:t>禁止在饮用水源保护区、风景名胜区、</w:t>
            </w:r>
            <w:r>
              <w:rPr>
                <w:rFonts w:ascii="宋体" w:hAnsi="宋体" w:eastAsia="宋体" w:cs="宋体"/>
                <w:spacing w:val="-2"/>
                <w:sz w:val="21"/>
                <w:szCs w:val="21"/>
              </w:rPr>
              <w:t>自然保护区的核心区和缓冲区、城镇居民区、文化教育科学研究区等人口集中区域和法律、法规规定的其他禁止养殖区域等范围内建设畜禽养殖场、养殖小区，强化</w:t>
            </w:r>
            <w:r>
              <w:rPr>
                <w:rFonts w:ascii="宋体" w:hAnsi="宋体" w:eastAsia="宋体" w:cs="宋体"/>
                <w:spacing w:val="-10"/>
                <w:sz w:val="21"/>
                <w:szCs w:val="21"/>
              </w:rPr>
              <w:t>“三线一单”对畜禽养殖产业布局的约束，</w:t>
            </w:r>
            <w:r>
              <w:rPr>
                <w:rFonts w:ascii="宋体" w:hAnsi="宋体" w:eastAsia="宋体" w:cs="宋体"/>
                <w:spacing w:val="-2"/>
                <w:sz w:val="21"/>
                <w:szCs w:val="21"/>
              </w:rPr>
              <w:t>禁止在生态红线管控区域内新增畜禽养殖</w:t>
            </w:r>
            <w:r>
              <w:rPr>
                <w:rFonts w:ascii="宋体" w:hAnsi="宋体" w:eastAsia="宋体" w:cs="宋体"/>
                <w:spacing w:val="-1"/>
                <w:sz w:val="21"/>
                <w:szCs w:val="21"/>
              </w:rPr>
              <w:t>场。严控涉水排放项目及畜禽养殖规模，</w:t>
            </w:r>
            <w:r>
              <w:rPr>
                <w:rFonts w:ascii="宋体" w:hAnsi="宋体" w:eastAsia="宋体" w:cs="宋体"/>
                <w:spacing w:val="11"/>
                <w:sz w:val="21"/>
                <w:szCs w:val="21"/>
              </w:rPr>
              <w:t>积极推广畜禽清洁养殖和畜禽粪污无害</w:t>
            </w:r>
            <w:r>
              <w:rPr>
                <w:rFonts w:ascii="宋体" w:hAnsi="宋体" w:eastAsia="宋体" w:cs="宋体"/>
                <w:spacing w:val="-5"/>
                <w:sz w:val="21"/>
                <w:szCs w:val="21"/>
              </w:rPr>
              <w:t>化、资源化利用技术。</w:t>
            </w:r>
          </w:p>
          <w:p w14:paraId="0CE63D78">
            <w:pPr>
              <w:pStyle w:val="6"/>
              <w:spacing w:line="219" w:lineRule="auto"/>
              <w:ind w:left="215"/>
              <w:rPr>
                <w:rFonts w:ascii="宋体" w:hAnsi="宋体" w:eastAsia="宋体" w:cs="宋体"/>
              </w:rPr>
            </w:pPr>
            <w:r>
              <w:rPr>
                <w:spacing w:val="-1"/>
              </w:rPr>
              <w:t>2.</w:t>
            </w:r>
            <w:r>
              <w:rPr>
                <w:rFonts w:ascii="宋体" w:hAnsi="宋体" w:eastAsia="宋体" w:cs="宋体"/>
                <w:spacing w:val="-1"/>
              </w:rPr>
              <w:t>强化畜禽养殖污染排放监管</w:t>
            </w:r>
          </w:p>
          <w:p w14:paraId="70A2D78B">
            <w:pPr>
              <w:spacing w:before="64" w:line="274" w:lineRule="auto"/>
              <w:ind w:left="10" w:right="1" w:firstLine="210"/>
              <w:rPr>
                <w:rFonts w:ascii="宋体" w:hAnsi="宋体" w:eastAsia="宋体" w:cs="宋体"/>
                <w:sz w:val="21"/>
                <w:szCs w:val="21"/>
              </w:rPr>
            </w:pPr>
            <w:r>
              <w:rPr>
                <w:rFonts w:ascii="宋体" w:hAnsi="宋体" w:eastAsia="宋体" w:cs="宋体"/>
                <w:spacing w:val="1"/>
                <w:sz w:val="21"/>
                <w:szCs w:val="21"/>
              </w:rPr>
              <w:t>严格落实排污许可制度，监督指导规模养殖场依法持证排污、按证排污或进行排</w:t>
            </w:r>
            <w:r>
              <w:rPr>
                <w:rFonts w:ascii="宋体" w:hAnsi="宋体" w:eastAsia="宋体" w:cs="宋体"/>
                <w:spacing w:val="-3"/>
                <w:sz w:val="21"/>
                <w:szCs w:val="21"/>
              </w:rPr>
              <w:t>污登记，遵守排污许可证管理规定。</w:t>
            </w:r>
          </w:p>
          <w:p w14:paraId="39A4A550">
            <w:pPr>
              <w:pStyle w:val="6"/>
              <w:spacing w:line="219" w:lineRule="auto"/>
              <w:ind w:left="219"/>
              <w:rPr>
                <w:rFonts w:ascii="宋体" w:hAnsi="宋体" w:eastAsia="宋体" w:cs="宋体"/>
              </w:rPr>
            </w:pPr>
            <w:r>
              <w:rPr>
                <w:spacing w:val="-1"/>
              </w:rPr>
              <w:t>3.</w:t>
            </w:r>
            <w:r>
              <w:rPr>
                <w:rFonts w:ascii="宋体" w:hAnsi="宋体" w:eastAsia="宋体" w:cs="宋体"/>
                <w:spacing w:val="-1"/>
              </w:rPr>
              <w:t>强化畜禽类污资源化利用过程监管</w:t>
            </w:r>
          </w:p>
          <w:p w14:paraId="2F4208E8">
            <w:pPr>
              <w:pStyle w:val="6"/>
              <w:spacing w:before="62" w:line="258" w:lineRule="auto"/>
              <w:ind w:right="2" w:firstLine="223"/>
              <w:rPr>
                <w:rFonts w:ascii="宋体" w:hAnsi="宋体" w:eastAsia="宋体" w:cs="宋体"/>
              </w:rPr>
            </w:pPr>
            <w:r>
              <w:rPr>
                <w:rFonts w:ascii="宋体" w:hAnsi="宋体" w:eastAsia="宋体" w:cs="宋体"/>
                <w:spacing w:val="4"/>
              </w:rPr>
              <w:t xml:space="preserve">对畜禽类污还田利用的养殖场 </w:t>
            </w:r>
            <w:r>
              <w:rPr>
                <w:spacing w:val="4"/>
              </w:rPr>
              <w:t>(</w:t>
            </w:r>
            <w:r>
              <w:rPr>
                <w:rFonts w:ascii="宋体" w:hAnsi="宋体" w:eastAsia="宋体" w:cs="宋体"/>
                <w:spacing w:val="4"/>
              </w:rPr>
              <w:t>户</w:t>
            </w:r>
            <w:r>
              <w:rPr>
                <w:spacing w:val="4"/>
              </w:rPr>
              <w:t>)</w:t>
            </w:r>
            <w:r>
              <w:rPr>
                <w:spacing w:val="9"/>
              </w:rPr>
              <w:t xml:space="preserve">  </w:t>
            </w:r>
            <w:r>
              <w:rPr>
                <w:rFonts w:ascii="宋体" w:hAnsi="宋体" w:eastAsia="宋体" w:cs="宋体"/>
                <w:spacing w:val="4"/>
              </w:rPr>
              <w:t>和</w:t>
            </w:r>
            <w:r>
              <w:rPr>
                <w:rFonts w:ascii="宋体" w:hAnsi="宋体" w:eastAsia="宋体" w:cs="宋体"/>
                <w:spacing w:val="1"/>
              </w:rPr>
              <w:t>相应配套的消纳土地实行台账管理，避免</w:t>
            </w:r>
            <w:r>
              <w:rPr>
                <w:rFonts w:ascii="宋体" w:hAnsi="宋体" w:eastAsia="宋体" w:cs="宋体"/>
                <w:spacing w:val="-4"/>
              </w:rPr>
              <w:t>“一田多用</w:t>
            </w:r>
            <w:r>
              <w:rPr>
                <w:rFonts w:ascii="宋体" w:hAnsi="宋体" w:eastAsia="宋体" w:cs="宋体"/>
                <w:spacing w:val="-74"/>
              </w:rPr>
              <w:t xml:space="preserve"> </w:t>
            </w:r>
            <w:r>
              <w:rPr>
                <w:rFonts w:ascii="宋体" w:hAnsi="宋体" w:eastAsia="宋体" w:cs="宋体"/>
                <w:spacing w:val="-4"/>
              </w:rPr>
              <w:t>”。</w:t>
            </w:r>
          </w:p>
        </w:tc>
        <w:tc>
          <w:tcPr>
            <w:tcW w:w="2111" w:type="dxa"/>
            <w:vAlign w:val="top"/>
          </w:tcPr>
          <w:p w14:paraId="64621AB5">
            <w:pPr>
              <w:pStyle w:val="6"/>
              <w:spacing w:before="51" w:line="274" w:lineRule="auto"/>
              <w:ind w:left="12"/>
              <w:jc w:val="both"/>
              <w:rPr>
                <w:rFonts w:ascii="宋体" w:hAnsi="宋体" w:eastAsia="宋体" w:cs="宋体"/>
              </w:rPr>
            </w:pPr>
            <w:r>
              <w:rPr>
                <w:rFonts w:ascii="宋体" w:hAnsi="宋体" w:eastAsia="宋体" w:cs="宋体"/>
                <w:spacing w:val="-1"/>
              </w:rPr>
              <w:t xml:space="preserve">用相结合的粪污处理工艺，废水经处理达标后作为消纳地农灌用水，建设单位与喻家沟村通过土地流转 </w:t>
            </w:r>
            <w:r>
              <w:rPr>
                <w:spacing w:val="-1"/>
              </w:rPr>
              <w:t xml:space="preserve">2060  </w:t>
            </w:r>
            <w:r>
              <w:rPr>
                <w:rFonts w:ascii="宋体" w:hAnsi="宋体" w:eastAsia="宋体" w:cs="宋体"/>
                <w:spacing w:val="-1"/>
              </w:rPr>
              <w:t>亩用</w:t>
            </w:r>
            <w:r>
              <w:rPr>
                <w:rFonts w:ascii="宋体" w:hAnsi="宋体" w:eastAsia="宋体" w:cs="宋体"/>
                <w:spacing w:val="-5"/>
              </w:rPr>
              <w:t>作本项目消纳地。</w:t>
            </w:r>
          </w:p>
          <w:p w14:paraId="2C051064">
            <w:pPr>
              <w:spacing w:before="1" w:line="274" w:lineRule="auto"/>
              <w:ind w:left="9" w:right="1"/>
              <w:jc w:val="both"/>
              <w:rPr>
                <w:rFonts w:ascii="宋体" w:hAnsi="宋体" w:eastAsia="宋体" w:cs="宋体"/>
                <w:sz w:val="21"/>
                <w:szCs w:val="21"/>
              </w:rPr>
            </w:pPr>
            <w:r>
              <w:rPr>
                <w:rFonts w:ascii="宋体" w:hAnsi="宋体" w:eastAsia="宋体" w:cs="宋体"/>
                <w:spacing w:val="-1"/>
                <w:sz w:val="21"/>
                <w:szCs w:val="21"/>
              </w:rPr>
              <w:t>②本项目废水经处理达标后作为消纳地农灌用水，猪粪沼渣经脱水后送四川正威实业有限公</w:t>
            </w:r>
            <w:r>
              <w:rPr>
                <w:rFonts w:ascii="宋体" w:hAnsi="宋体" w:eastAsia="宋体" w:cs="宋体"/>
                <w:spacing w:val="-5"/>
                <w:sz w:val="21"/>
                <w:szCs w:val="21"/>
              </w:rPr>
              <w:t>司生产有机肥。</w:t>
            </w:r>
          </w:p>
          <w:p w14:paraId="4D79E840">
            <w:pPr>
              <w:spacing w:line="222" w:lineRule="auto"/>
              <w:ind w:left="17"/>
              <w:rPr>
                <w:rFonts w:ascii="宋体" w:hAnsi="宋体" w:eastAsia="宋体" w:cs="宋体"/>
                <w:sz w:val="21"/>
                <w:szCs w:val="21"/>
              </w:rPr>
            </w:pPr>
            <w:r>
              <w:rPr>
                <w:rFonts w:ascii="宋体" w:hAnsi="宋体" w:eastAsia="宋体" w:cs="宋体"/>
                <w:spacing w:val="-7"/>
                <w:sz w:val="21"/>
                <w:szCs w:val="21"/>
              </w:rPr>
              <w:t>（四）</w:t>
            </w:r>
          </w:p>
          <w:p w14:paraId="62BAD5CF">
            <w:pPr>
              <w:spacing w:before="59" w:line="274" w:lineRule="auto"/>
              <w:ind w:left="18" w:right="1" w:hanging="8"/>
              <w:rPr>
                <w:rFonts w:ascii="宋体" w:hAnsi="宋体" w:eastAsia="宋体" w:cs="宋体"/>
                <w:sz w:val="21"/>
                <w:szCs w:val="21"/>
              </w:rPr>
            </w:pPr>
            <w:r>
              <w:rPr>
                <w:rFonts w:ascii="宋体" w:hAnsi="宋体" w:eastAsia="宋体" w:cs="宋体"/>
                <w:spacing w:val="-1"/>
                <w:sz w:val="21"/>
                <w:szCs w:val="21"/>
              </w:rPr>
              <w:t>①本项目不属于内江市</w:t>
            </w:r>
            <w:r>
              <w:rPr>
                <w:rFonts w:ascii="宋体" w:hAnsi="宋体" w:eastAsia="宋体" w:cs="宋体"/>
                <w:spacing w:val="-2"/>
                <w:sz w:val="21"/>
                <w:szCs w:val="21"/>
              </w:rPr>
              <w:t>东兴区划定的禁养区范</w:t>
            </w:r>
            <w:r>
              <w:rPr>
                <w:rFonts w:ascii="宋体" w:hAnsi="宋体" w:eastAsia="宋体" w:cs="宋体"/>
                <w:spacing w:val="-12"/>
                <w:sz w:val="21"/>
                <w:szCs w:val="21"/>
              </w:rPr>
              <w:t>围。</w:t>
            </w:r>
          </w:p>
          <w:p w14:paraId="7D74094B">
            <w:pPr>
              <w:spacing w:before="1" w:line="274" w:lineRule="auto"/>
              <w:ind w:left="9" w:right="1"/>
              <w:rPr>
                <w:rFonts w:ascii="宋体" w:hAnsi="宋体" w:eastAsia="宋体" w:cs="宋体"/>
                <w:sz w:val="21"/>
                <w:szCs w:val="21"/>
              </w:rPr>
            </w:pPr>
            <w:r>
              <w:rPr>
                <w:rFonts w:ascii="宋体" w:hAnsi="宋体" w:eastAsia="宋体" w:cs="宋体"/>
                <w:spacing w:val="-1"/>
                <w:sz w:val="21"/>
                <w:szCs w:val="21"/>
              </w:rPr>
              <w:t>②本项目建成投运后需</w:t>
            </w:r>
            <w:r>
              <w:rPr>
                <w:rFonts w:ascii="宋体" w:hAnsi="宋体" w:eastAsia="宋体" w:cs="宋体"/>
                <w:spacing w:val="22"/>
                <w:sz w:val="21"/>
                <w:szCs w:val="21"/>
              </w:rPr>
              <w:t>严格落实排污许可制</w:t>
            </w:r>
            <w:r>
              <w:rPr>
                <w:rFonts w:ascii="宋体" w:hAnsi="宋体" w:eastAsia="宋体" w:cs="宋体"/>
                <w:spacing w:val="-10"/>
                <w:sz w:val="21"/>
                <w:szCs w:val="21"/>
              </w:rPr>
              <w:t>度。</w:t>
            </w:r>
          </w:p>
          <w:p w14:paraId="67C052B6">
            <w:pPr>
              <w:spacing w:before="3" w:line="275" w:lineRule="auto"/>
              <w:ind w:left="9" w:right="1"/>
              <w:rPr>
                <w:rFonts w:ascii="宋体" w:hAnsi="宋体" w:eastAsia="宋体" w:cs="宋体"/>
                <w:sz w:val="21"/>
                <w:szCs w:val="21"/>
              </w:rPr>
            </w:pPr>
            <w:r>
              <w:rPr>
                <w:rFonts w:ascii="宋体" w:hAnsi="宋体" w:eastAsia="宋体" w:cs="宋体"/>
                <w:spacing w:val="-1"/>
                <w:sz w:val="21"/>
                <w:szCs w:val="21"/>
              </w:rPr>
              <w:t>③本项目建成投运后需对养猪场和配套的消纳土地实行台账管理，避</w:t>
            </w:r>
            <w:r>
              <w:rPr>
                <w:rFonts w:ascii="宋体" w:hAnsi="宋体" w:eastAsia="宋体" w:cs="宋体"/>
                <w:spacing w:val="-5"/>
                <w:sz w:val="21"/>
                <w:szCs w:val="21"/>
              </w:rPr>
              <w:t>免“一田多用</w:t>
            </w:r>
            <w:r>
              <w:rPr>
                <w:rFonts w:ascii="宋体" w:hAnsi="宋体" w:eastAsia="宋体" w:cs="宋体"/>
                <w:spacing w:val="-74"/>
                <w:sz w:val="21"/>
                <w:szCs w:val="21"/>
              </w:rPr>
              <w:t xml:space="preserve"> </w:t>
            </w:r>
            <w:r>
              <w:rPr>
                <w:rFonts w:ascii="宋体" w:hAnsi="宋体" w:eastAsia="宋体" w:cs="宋体"/>
                <w:spacing w:val="-5"/>
                <w:sz w:val="21"/>
                <w:szCs w:val="21"/>
              </w:rPr>
              <w:t>”。</w:t>
            </w:r>
          </w:p>
        </w:tc>
        <w:tc>
          <w:tcPr>
            <w:tcW w:w="821" w:type="dxa"/>
            <w:vAlign w:val="top"/>
          </w:tcPr>
          <w:p w14:paraId="588FA455">
            <w:pPr>
              <w:rPr>
                <w:rFonts w:ascii="Arial"/>
                <w:sz w:val="21"/>
              </w:rPr>
            </w:pPr>
          </w:p>
        </w:tc>
      </w:tr>
    </w:tbl>
    <w:p w14:paraId="57C6D81A">
      <w:pPr>
        <w:pStyle w:val="2"/>
      </w:pPr>
    </w:p>
    <w:p w14:paraId="118DFC8C">
      <w:pPr>
        <w:sectPr>
          <w:footerReference r:id="rId76" w:type="default"/>
          <w:pgSz w:w="11905" w:h="16840"/>
          <w:pgMar w:top="1168" w:right="1768" w:bottom="1409" w:left="1770" w:header="828" w:footer="1244" w:gutter="0"/>
          <w:cols w:space="720" w:num="1"/>
        </w:sectPr>
      </w:pPr>
    </w:p>
    <w:p w14:paraId="5FF789BD">
      <w:pPr>
        <w:pStyle w:val="2"/>
        <w:spacing w:line="353" w:lineRule="auto"/>
      </w:pPr>
    </w:p>
    <w:p w14:paraId="6F6560DB">
      <w:pPr>
        <w:spacing w:before="88" w:line="226" w:lineRule="auto"/>
        <w:ind w:left="48"/>
        <w:rPr>
          <w:rFonts w:ascii="宋体" w:hAnsi="宋体" w:eastAsia="宋体" w:cs="宋体"/>
          <w:sz w:val="27"/>
          <w:szCs w:val="27"/>
        </w:rPr>
      </w:pPr>
      <w:r>
        <w:rPr>
          <w:rFonts w:ascii="Times New Roman" w:hAnsi="Times New Roman" w:eastAsia="Times New Roman" w:cs="Times New Roman"/>
          <w:b/>
          <w:bCs/>
          <w:spacing w:val="5"/>
          <w:sz w:val="27"/>
          <w:szCs w:val="27"/>
        </w:rPr>
        <w:t>1.6.2.2</w:t>
      </w:r>
      <w:r>
        <w:rPr>
          <w:rFonts w:ascii="Times New Roman" w:hAnsi="Times New Roman" w:eastAsia="Times New Roman" w:cs="Times New Roman"/>
          <w:b/>
          <w:bCs/>
          <w:spacing w:val="20"/>
          <w:sz w:val="27"/>
          <w:szCs w:val="27"/>
        </w:rPr>
        <w:t xml:space="preserve"> </w:t>
      </w:r>
      <w:r>
        <w:rPr>
          <w:rFonts w:ascii="宋体" w:hAnsi="宋体" w:eastAsia="宋体" w:cs="宋体"/>
          <w:b/>
          <w:bCs/>
          <w:spacing w:val="5"/>
          <w:sz w:val="27"/>
          <w:szCs w:val="27"/>
        </w:rPr>
        <w:t>与水污染防治规划的符合性分析</w:t>
      </w:r>
    </w:p>
    <w:p w14:paraId="4F772F74">
      <w:pPr>
        <w:spacing w:before="240" w:line="359" w:lineRule="auto"/>
        <w:ind w:left="38" w:firstLine="480"/>
        <w:jc w:val="both"/>
        <w:rPr>
          <w:rFonts w:ascii="宋体" w:hAnsi="宋体" w:eastAsia="宋体" w:cs="宋体"/>
          <w:sz w:val="24"/>
          <w:szCs w:val="24"/>
        </w:rPr>
      </w:pPr>
      <w:r>
        <w:rPr>
          <w:rFonts w:ascii="宋体" w:hAnsi="宋体" w:eastAsia="宋体" w:cs="宋体"/>
          <w:spacing w:val="1"/>
          <w:sz w:val="24"/>
          <w:szCs w:val="24"/>
        </w:rPr>
        <w:t>根据《国务院关于印发水污染防治行动计划的通知》（国发</w:t>
      </w:r>
      <w:r>
        <w:rPr>
          <w:rFonts w:ascii="Times New Roman" w:hAnsi="Times New Roman" w:eastAsia="Times New Roman" w:cs="Times New Roman"/>
          <w:spacing w:val="1"/>
          <w:sz w:val="24"/>
          <w:szCs w:val="24"/>
        </w:rPr>
        <w:t>[</w:t>
      </w:r>
      <w:r>
        <w:fldChar w:fldCharType="begin"/>
      </w:r>
      <w:r>
        <w:instrText xml:space="preserve"> HYPERLINK \l "bookmark120" </w:instrText>
      </w:r>
      <w:r>
        <w:fldChar w:fldCharType="separate"/>
      </w:r>
      <w:r>
        <w:rPr>
          <w:rFonts w:ascii="Times New Roman" w:hAnsi="Times New Roman" w:eastAsia="Times New Roman" w:cs="Times New Roman"/>
          <w:spacing w:val="1"/>
          <w:sz w:val="24"/>
          <w:szCs w:val="24"/>
        </w:rPr>
        <w:t>2015</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17</w:t>
      </w:r>
      <w:r>
        <w:rPr>
          <w:rFonts w:ascii="宋体" w:hAnsi="宋体" w:eastAsia="宋体" w:cs="宋体"/>
          <w:sz w:val="24"/>
          <w:szCs w:val="24"/>
        </w:rPr>
        <w:t xml:space="preserve">号）、 </w:t>
      </w:r>
      <w:r>
        <w:rPr>
          <w:rFonts w:ascii="宋体" w:hAnsi="宋体" w:eastAsia="宋体" w:cs="宋体"/>
          <w:spacing w:val="-5"/>
          <w:sz w:val="24"/>
          <w:szCs w:val="24"/>
        </w:rPr>
        <w:t>《四川省人民政府</w:t>
      </w:r>
      <w:r>
        <w:rPr>
          <w:rFonts w:ascii="Times New Roman" w:hAnsi="Times New Roman" w:eastAsia="Times New Roman" w:cs="Times New Roman"/>
          <w:spacing w:val="-5"/>
          <w:sz w:val="24"/>
          <w:szCs w:val="24"/>
        </w:rPr>
        <w:t>&lt;</w:t>
      </w:r>
      <w:r>
        <w:rPr>
          <w:rFonts w:ascii="宋体" w:hAnsi="宋体" w:eastAsia="宋体" w:cs="宋体"/>
          <w:spacing w:val="-5"/>
          <w:sz w:val="24"/>
          <w:szCs w:val="24"/>
        </w:rPr>
        <w:t>关于印发水污染防治行动计划四川省工作方案的通知</w:t>
      </w:r>
      <w:r>
        <w:rPr>
          <w:rFonts w:ascii="Times New Roman" w:hAnsi="Times New Roman" w:eastAsia="Times New Roman" w:cs="Times New Roman"/>
          <w:spacing w:val="-5"/>
          <w:sz w:val="24"/>
          <w:szCs w:val="24"/>
        </w:rPr>
        <w:t>&gt;</w:t>
      </w:r>
      <w:r>
        <w:rPr>
          <w:rFonts w:ascii="宋体" w:hAnsi="宋体" w:eastAsia="宋体" w:cs="宋体"/>
          <w:spacing w:val="-5"/>
          <w:sz w:val="24"/>
          <w:szCs w:val="24"/>
        </w:rPr>
        <w:t>》（川</w:t>
      </w:r>
      <w:r>
        <w:rPr>
          <w:rFonts w:ascii="宋体" w:hAnsi="宋体" w:eastAsia="宋体" w:cs="宋体"/>
          <w:spacing w:val="-1"/>
          <w:sz w:val="24"/>
          <w:szCs w:val="24"/>
        </w:rPr>
        <w:t>府发</w:t>
      </w:r>
      <w:r>
        <w:rPr>
          <w:rFonts w:ascii="Times New Roman" w:hAnsi="Times New Roman" w:eastAsia="Times New Roman" w:cs="Times New Roman"/>
          <w:spacing w:val="-1"/>
          <w:sz w:val="24"/>
          <w:szCs w:val="24"/>
        </w:rPr>
        <w:t>[</w:t>
      </w:r>
      <w:r>
        <w:fldChar w:fldCharType="begin"/>
      </w:r>
      <w:r>
        <w:instrText xml:space="preserve"> HYPERLINK \l "bookmark121" </w:instrText>
      </w:r>
      <w:r>
        <w:fldChar w:fldCharType="separate"/>
      </w:r>
      <w:r>
        <w:rPr>
          <w:rFonts w:ascii="Times New Roman" w:hAnsi="Times New Roman" w:eastAsia="Times New Roman" w:cs="Times New Roman"/>
          <w:spacing w:val="-1"/>
          <w:sz w:val="24"/>
          <w:szCs w:val="24"/>
        </w:rPr>
        <w:t>2015</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]59</w:t>
      </w:r>
      <w:r>
        <w:rPr>
          <w:rFonts w:ascii="宋体" w:hAnsi="宋体" w:eastAsia="宋体" w:cs="宋体"/>
          <w:spacing w:val="-1"/>
          <w:sz w:val="24"/>
          <w:szCs w:val="24"/>
        </w:rPr>
        <w:t>号）、《四川省人民政府关于印发四川省打赢蓝天保卫战等九个实</w:t>
      </w:r>
      <w:r>
        <w:rPr>
          <w:rFonts w:ascii="宋体" w:hAnsi="宋体" w:eastAsia="宋体" w:cs="宋体"/>
          <w:spacing w:val="-9"/>
          <w:sz w:val="24"/>
          <w:szCs w:val="24"/>
        </w:rPr>
        <w:t>施方案的通知》（川府发</w:t>
      </w:r>
      <w:r>
        <w:rPr>
          <w:rFonts w:ascii="Times New Roman" w:hAnsi="Times New Roman" w:eastAsia="Times New Roman" w:cs="Times New Roman"/>
          <w:spacing w:val="-9"/>
          <w:sz w:val="24"/>
          <w:szCs w:val="24"/>
        </w:rPr>
        <w:t>[</w:t>
      </w:r>
      <w:r>
        <w:fldChar w:fldCharType="begin"/>
      </w:r>
      <w:r>
        <w:instrText xml:space="preserve"> HYPERLINK \l "bookmark122" </w:instrText>
      </w:r>
      <w:r>
        <w:fldChar w:fldCharType="separate"/>
      </w:r>
      <w:r>
        <w:rPr>
          <w:rFonts w:ascii="Times New Roman" w:hAnsi="Times New Roman" w:eastAsia="Times New Roman" w:cs="Times New Roman"/>
          <w:spacing w:val="-9"/>
          <w:sz w:val="24"/>
          <w:szCs w:val="24"/>
        </w:rPr>
        <w:t>2019</w:t>
      </w:r>
      <w:r>
        <w:rPr>
          <w:rFonts w:ascii="Times New Roman" w:hAnsi="Times New Roman" w:eastAsia="Times New Roman" w:cs="Times New Roman"/>
          <w:spacing w:val="-9"/>
          <w:sz w:val="24"/>
          <w:szCs w:val="24"/>
        </w:rPr>
        <w:fldChar w:fldCharType="end"/>
      </w:r>
      <w:r>
        <w:rPr>
          <w:rFonts w:ascii="Times New Roman" w:hAnsi="Times New Roman" w:eastAsia="Times New Roman" w:cs="Times New Roman"/>
          <w:spacing w:val="-9"/>
          <w:sz w:val="24"/>
          <w:szCs w:val="24"/>
        </w:rPr>
        <w:t>]4</w:t>
      </w:r>
      <w:r>
        <w:rPr>
          <w:rFonts w:ascii="宋体" w:hAnsi="宋体" w:eastAsia="宋体" w:cs="宋体"/>
          <w:spacing w:val="-9"/>
          <w:sz w:val="24"/>
          <w:szCs w:val="24"/>
        </w:rPr>
        <w:t>号）、《四川省沱江流域水环境保护条</w:t>
      </w:r>
      <w:r>
        <w:rPr>
          <w:rFonts w:ascii="宋体" w:hAnsi="宋体" w:eastAsia="宋体" w:cs="宋体"/>
          <w:spacing w:val="-10"/>
          <w:sz w:val="24"/>
          <w:szCs w:val="24"/>
        </w:rPr>
        <w:t>例》（</w:t>
      </w:r>
      <w:r>
        <w:rPr>
          <w:rFonts w:ascii="Times New Roman" w:hAnsi="Times New Roman" w:eastAsia="Times New Roman" w:cs="Times New Roman"/>
          <w:spacing w:val="-10"/>
          <w:sz w:val="24"/>
          <w:szCs w:val="24"/>
        </w:rPr>
        <w:t>2019</w:t>
      </w:r>
      <w:r>
        <w:rPr>
          <w:rFonts w:ascii="宋体" w:hAnsi="宋体" w:eastAsia="宋体" w:cs="宋体"/>
          <w:spacing w:val="-7"/>
          <w:sz w:val="24"/>
          <w:szCs w:val="24"/>
        </w:rPr>
        <w:t>年</w:t>
      </w:r>
      <w:r>
        <w:rPr>
          <w:rFonts w:ascii="Times New Roman" w:hAnsi="Times New Roman" w:eastAsia="Times New Roman" w:cs="Times New Roman"/>
          <w:spacing w:val="-7"/>
          <w:sz w:val="24"/>
          <w:szCs w:val="24"/>
        </w:rPr>
        <w:t>5</w:t>
      </w:r>
      <w:r>
        <w:rPr>
          <w:rFonts w:ascii="宋体" w:hAnsi="宋体" w:eastAsia="宋体" w:cs="宋体"/>
          <w:spacing w:val="-7"/>
          <w:sz w:val="24"/>
          <w:szCs w:val="24"/>
        </w:rPr>
        <w:t>月</w:t>
      </w:r>
      <w:r>
        <w:rPr>
          <w:rFonts w:ascii="Times New Roman" w:hAnsi="Times New Roman" w:eastAsia="Times New Roman" w:cs="Times New Roman"/>
          <w:spacing w:val="-7"/>
          <w:sz w:val="24"/>
          <w:szCs w:val="24"/>
        </w:rPr>
        <w:t>23</w:t>
      </w:r>
      <w:r>
        <w:rPr>
          <w:rFonts w:ascii="宋体" w:hAnsi="宋体" w:eastAsia="宋体" w:cs="宋体"/>
          <w:spacing w:val="-7"/>
          <w:sz w:val="24"/>
          <w:szCs w:val="24"/>
        </w:rPr>
        <w:t>日四川省第十三届人民代表大会常务委员会第十一次会议通过）以及《内</w:t>
      </w:r>
      <w:r>
        <w:rPr>
          <w:rFonts w:ascii="宋体" w:hAnsi="宋体" w:eastAsia="宋体" w:cs="宋体"/>
          <w:spacing w:val="4"/>
          <w:sz w:val="24"/>
          <w:szCs w:val="24"/>
        </w:rPr>
        <w:t>江市人民政府关于印发水污染防治行动计划内江市实施方案的通知》（内府发</w:t>
      </w:r>
      <w:r>
        <w:rPr>
          <w:rFonts w:ascii="宋体" w:hAnsi="宋体" w:eastAsia="宋体" w:cs="宋体"/>
          <w:spacing w:val="2"/>
          <w:sz w:val="24"/>
          <w:szCs w:val="24"/>
        </w:rPr>
        <w:t xml:space="preserve"> </w:t>
      </w:r>
      <w:r>
        <w:rPr>
          <w:rFonts w:ascii="Times New Roman" w:hAnsi="Times New Roman" w:eastAsia="Times New Roman" w:cs="Times New Roman"/>
          <w:spacing w:val="-1"/>
          <w:sz w:val="24"/>
          <w:szCs w:val="24"/>
        </w:rPr>
        <w:t>[</w:t>
      </w:r>
      <w:r>
        <w:fldChar w:fldCharType="begin"/>
      </w:r>
      <w:r>
        <w:instrText xml:space="preserve"> HYPERLINK \l "bookmark123" </w:instrText>
      </w:r>
      <w:r>
        <w:fldChar w:fldCharType="separate"/>
      </w:r>
      <w:r>
        <w:rPr>
          <w:rFonts w:ascii="Times New Roman" w:hAnsi="Times New Roman" w:eastAsia="Times New Roman" w:cs="Times New Roman"/>
          <w:spacing w:val="-1"/>
          <w:sz w:val="24"/>
          <w:szCs w:val="24"/>
        </w:rPr>
        <w:t>2016</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w:t>
      </w:r>
      <w:r>
        <w:rPr>
          <w:rFonts w:ascii="宋体" w:hAnsi="宋体" w:eastAsia="宋体" w:cs="宋体"/>
          <w:spacing w:val="-1"/>
          <w:sz w:val="24"/>
          <w:szCs w:val="24"/>
        </w:rPr>
        <w:t>号）等相关规划分析，本项目属规模化生</w:t>
      </w:r>
      <w:r>
        <w:rPr>
          <w:rFonts w:ascii="宋体" w:hAnsi="宋体" w:eastAsia="宋体" w:cs="宋体"/>
          <w:spacing w:val="-2"/>
          <w:sz w:val="24"/>
          <w:szCs w:val="24"/>
        </w:rPr>
        <w:t>猪养殖场建设项目，符合国家</w:t>
      </w:r>
      <w:r>
        <w:rPr>
          <w:rFonts w:ascii="宋体" w:hAnsi="宋体" w:eastAsia="宋体" w:cs="宋体"/>
          <w:spacing w:val="-3"/>
          <w:sz w:val="24"/>
          <w:szCs w:val="24"/>
        </w:rPr>
        <w:t>及地方有关水污染防治的规范文件。</w:t>
      </w:r>
    </w:p>
    <w:p w14:paraId="3696DC2C">
      <w:pPr>
        <w:spacing w:before="20" w:line="221" w:lineRule="auto"/>
        <w:ind w:left="192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1.6-2  </w:t>
      </w:r>
      <w:r>
        <w:rPr>
          <w:rFonts w:ascii="黑体" w:hAnsi="黑体" w:eastAsia="黑体" w:cs="黑体"/>
          <w:spacing w:val="-1"/>
          <w:sz w:val="21"/>
          <w:szCs w:val="21"/>
        </w:rPr>
        <w:t>与相关水污染防治规划符合性分析一览表</w:t>
      </w:r>
    </w:p>
    <w:p w14:paraId="03FBED5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3962"/>
        <w:gridCol w:w="1814"/>
        <w:gridCol w:w="836"/>
      </w:tblGrid>
      <w:tr w14:paraId="0FDE7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08" w:type="dxa"/>
            <w:vAlign w:val="top"/>
          </w:tcPr>
          <w:p w14:paraId="15CFD117">
            <w:pPr>
              <w:spacing w:before="68" w:line="222" w:lineRule="auto"/>
              <w:ind w:left="440"/>
              <w:rPr>
                <w:rFonts w:ascii="宋体" w:hAnsi="宋体" w:eastAsia="宋体" w:cs="宋体"/>
                <w:sz w:val="21"/>
                <w:szCs w:val="21"/>
              </w:rPr>
            </w:pPr>
            <w:r>
              <w:rPr>
                <w:rFonts w:ascii="宋体" w:hAnsi="宋体" w:eastAsia="宋体" w:cs="宋体"/>
                <w:spacing w:val="-2"/>
                <w:sz w:val="21"/>
                <w:szCs w:val="21"/>
              </w:rPr>
              <w:t>规划名称</w:t>
            </w:r>
          </w:p>
        </w:tc>
        <w:tc>
          <w:tcPr>
            <w:tcW w:w="3962" w:type="dxa"/>
            <w:vAlign w:val="top"/>
          </w:tcPr>
          <w:p w14:paraId="2402ABCD">
            <w:pPr>
              <w:spacing w:before="68" w:line="220" w:lineRule="auto"/>
              <w:ind w:left="1567"/>
              <w:rPr>
                <w:rFonts w:ascii="宋体" w:hAnsi="宋体" w:eastAsia="宋体" w:cs="宋体"/>
                <w:sz w:val="21"/>
                <w:szCs w:val="21"/>
              </w:rPr>
            </w:pPr>
            <w:r>
              <w:rPr>
                <w:rFonts w:ascii="宋体" w:hAnsi="宋体" w:eastAsia="宋体" w:cs="宋体"/>
                <w:spacing w:val="-2"/>
                <w:sz w:val="21"/>
                <w:szCs w:val="21"/>
              </w:rPr>
              <w:t>规划内容</w:t>
            </w:r>
          </w:p>
        </w:tc>
        <w:tc>
          <w:tcPr>
            <w:tcW w:w="1814" w:type="dxa"/>
            <w:vAlign w:val="top"/>
          </w:tcPr>
          <w:p w14:paraId="41AB4F12">
            <w:pPr>
              <w:spacing w:before="68" w:line="219" w:lineRule="auto"/>
              <w:ind w:left="389"/>
              <w:rPr>
                <w:rFonts w:ascii="宋体" w:hAnsi="宋体" w:eastAsia="宋体" w:cs="宋体"/>
                <w:sz w:val="21"/>
                <w:szCs w:val="21"/>
              </w:rPr>
            </w:pPr>
            <w:r>
              <w:rPr>
                <w:rFonts w:ascii="宋体" w:hAnsi="宋体" w:eastAsia="宋体" w:cs="宋体"/>
                <w:spacing w:val="-2"/>
                <w:sz w:val="21"/>
                <w:szCs w:val="21"/>
              </w:rPr>
              <w:t>本项目情况</w:t>
            </w:r>
          </w:p>
        </w:tc>
        <w:tc>
          <w:tcPr>
            <w:tcW w:w="836" w:type="dxa"/>
            <w:vAlign w:val="top"/>
          </w:tcPr>
          <w:p w14:paraId="560C6C23">
            <w:pPr>
              <w:spacing w:before="68" w:line="220" w:lineRule="auto"/>
              <w:ind w:left="110"/>
              <w:rPr>
                <w:rFonts w:ascii="宋体" w:hAnsi="宋体" w:eastAsia="宋体" w:cs="宋体"/>
                <w:sz w:val="21"/>
                <w:szCs w:val="21"/>
              </w:rPr>
            </w:pPr>
            <w:r>
              <w:rPr>
                <w:rFonts w:ascii="宋体" w:hAnsi="宋体" w:eastAsia="宋体" w:cs="宋体"/>
                <w:spacing w:val="-3"/>
                <w:sz w:val="21"/>
                <w:szCs w:val="21"/>
              </w:rPr>
              <w:t>符合性</w:t>
            </w:r>
          </w:p>
        </w:tc>
      </w:tr>
      <w:tr w14:paraId="11DD1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708" w:type="dxa"/>
            <w:vAlign w:val="top"/>
          </w:tcPr>
          <w:p w14:paraId="32B26ADA">
            <w:pPr>
              <w:spacing w:line="301" w:lineRule="auto"/>
              <w:rPr>
                <w:rFonts w:ascii="Arial"/>
                <w:sz w:val="21"/>
              </w:rPr>
            </w:pPr>
          </w:p>
          <w:p w14:paraId="239B0AA6">
            <w:pPr>
              <w:spacing w:line="301" w:lineRule="auto"/>
              <w:rPr>
                <w:rFonts w:ascii="Arial"/>
                <w:sz w:val="21"/>
              </w:rPr>
            </w:pPr>
          </w:p>
          <w:p w14:paraId="623ACB23">
            <w:pPr>
              <w:pStyle w:val="6"/>
              <w:spacing w:before="68" w:line="212" w:lineRule="auto"/>
              <w:ind w:left="154"/>
              <w:rPr>
                <w:rFonts w:ascii="宋体" w:hAnsi="宋体" w:eastAsia="宋体" w:cs="宋体"/>
              </w:rPr>
            </w:pPr>
            <w:r>
              <w:rPr>
                <w:rFonts w:ascii="宋体" w:hAnsi="宋体" w:eastAsia="宋体" w:cs="宋体"/>
                <w:spacing w:val="-5"/>
              </w:rPr>
              <w:t>国发</w:t>
            </w:r>
            <w:r>
              <w:rPr>
                <w:spacing w:val="-5"/>
              </w:rPr>
              <w:t>[</w:t>
            </w:r>
            <w:r>
              <w:fldChar w:fldCharType="begin"/>
            </w:r>
            <w:r>
              <w:instrText xml:space="preserve"> HYPERLINK \l "bookmark124" </w:instrText>
            </w:r>
            <w:r>
              <w:fldChar w:fldCharType="separate"/>
            </w:r>
            <w:r>
              <w:rPr>
                <w:spacing w:val="-5"/>
              </w:rPr>
              <w:t>2015</w:t>
            </w:r>
            <w:r>
              <w:rPr>
                <w:spacing w:val="-5"/>
              </w:rPr>
              <w:fldChar w:fldCharType="end"/>
            </w:r>
            <w:r>
              <w:rPr>
                <w:spacing w:val="-5"/>
              </w:rPr>
              <w:t>]</w:t>
            </w:r>
            <w:r>
              <w:rPr>
                <w:spacing w:val="-27"/>
              </w:rPr>
              <w:t xml:space="preserve"> </w:t>
            </w:r>
            <w:r>
              <w:rPr>
                <w:spacing w:val="-5"/>
              </w:rPr>
              <w:t>17</w:t>
            </w:r>
            <w:r>
              <w:rPr>
                <w:spacing w:val="13"/>
                <w:w w:val="101"/>
              </w:rPr>
              <w:t xml:space="preserve"> </w:t>
            </w:r>
            <w:r>
              <w:rPr>
                <w:rFonts w:ascii="宋体" w:hAnsi="宋体" w:eastAsia="宋体" w:cs="宋体"/>
                <w:spacing w:val="-5"/>
              </w:rPr>
              <w:t>号</w:t>
            </w:r>
          </w:p>
        </w:tc>
        <w:tc>
          <w:tcPr>
            <w:tcW w:w="3962" w:type="dxa"/>
            <w:vAlign w:val="top"/>
          </w:tcPr>
          <w:p w14:paraId="7B26BE89">
            <w:pPr>
              <w:pStyle w:val="6"/>
              <w:spacing w:before="52" w:line="264" w:lineRule="auto"/>
              <w:ind w:left="9" w:firstLine="4"/>
              <w:jc w:val="both"/>
              <w:rPr>
                <w:rFonts w:ascii="宋体" w:hAnsi="宋体" w:eastAsia="宋体" w:cs="宋体"/>
              </w:rPr>
            </w:pPr>
            <w:r>
              <w:rPr>
                <w:rFonts w:ascii="宋体" w:hAnsi="宋体" w:eastAsia="宋体" w:cs="宋体"/>
                <w:spacing w:val="-3"/>
              </w:rPr>
              <w:t>（三）推进农业农村污染防治。防治畜禽养</w:t>
            </w:r>
            <w:r>
              <w:rPr>
                <w:rFonts w:ascii="宋体" w:hAnsi="宋体" w:eastAsia="宋体" w:cs="宋体"/>
                <w:spacing w:val="-5"/>
              </w:rPr>
              <w:t>殖污染。科学划定畜禽养殖禁养区…自</w:t>
            </w:r>
            <w:r>
              <w:rPr>
                <w:rFonts w:ascii="宋体" w:hAnsi="宋体" w:eastAsia="宋体" w:cs="宋体"/>
                <w:spacing w:val="-45"/>
              </w:rPr>
              <w:t xml:space="preserve"> </w:t>
            </w:r>
            <w:r>
              <w:rPr>
                <w:spacing w:val="-5"/>
              </w:rPr>
              <w:t>2016</w:t>
            </w:r>
            <w:r>
              <w:rPr>
                <w:rFonts w:ascii="宋体" w:hAnsi="宋体" w:eastAsia="宋体" w:cs="宋体"/>
                <w:spacing w:val="-3"/>
              </w:rPr>
              <w:t>年起，新建、改建、扩建规模化畜禽养殖场（小区）要实施雨污分流、粪便污水资源化</w:t>
            </w:r>
            <w:r>
              <w:rPr>
                <w:rFonts w:ascii="宋体" w:hAnsi="宋体" w:eastAsia="宋体" w:cs="宋体"/>
                <w:spacing w:val="-9"/>
              </w:rPr>
              <w:t>利用。</w:t>
            </w:r>
          </w:p>
        </w:tc>
        <w:tc>
          <w:tcPr>
            <w:tcW w:w="1814" w:type="dxa"/>
            <w:vMerge w:val="restart"/>
            <w:tcBorders>
              <w:bottom w:val="nil"/>
            </w:tcBorders>
            <w:vAlign w:val="top"/>
          </w:tcPr>
          <w:p w14:paraId="6C773EB7">
            <w:pPr>
              <w:spacing w:line="307" w:lineRule="auto"/>
              <w:rPr>
                <w:rFonts w:ascii="Arial"/>
                <w:sz w:val="21"/>
              </w:rPr>
            </w:pPr>
          </w:p>
          <w:p w14:paraId="5677E679">
            <w:pPr>
              <w:spacing w:line="307" w:lineRule="auto"/>
              <w:rPr>
                <w:rFonts w:ascii="Arial"/>
                <w:sz w:val="21"/>
              </w:rPr>
            </w:pPr>
          </w:p>
          <w:p w14:paraId="3B7FF623">
            <w:pPr>
              <w:spacing w:before="68" w:line="274" w:lineRule="auto"/>
              <w:ind w:left="10" w:firstLine="1"/>
              <w:jc w:val="both"/>
              <w:rPr>
                <w:rFonts w:ascii="宋体" w:hAnsi="宋体" w:eastAsia="宋体" w:cs="宋体"/>
                <w:sz w:val="21"/>
                <w:szCs w:val="21"/>
              </w:rPr>
            </w:pPr>
            <w:r>
              <w:rPr>
                <w:rFonts w:ascii="宋体" w:hAnsi="宋体" w:eastAsia="宋体" w:cs="宋体"/>
                <w:spacing w:val="9"/>
                <w:sz w:val="21"/>
                <w:szCs w:val="21"/>
              </w:rPr>
              <w:t>本项目为规模化生</w:t>
            </w:r>
            <w:r>
              <w:rPr>
                <w:rFonts w:ascii="宋体" w:hAnsi="宋体" w:eastAsia="宋体" w:cs="宋体"/>
                <w:spacing w:val="-11"/>
                <w:sz w:val="21"/>
                <w:szCs w:val="21"/>
              </w:rPr>
              <w:t>猪养殖场建设项目，</w:t>
            </w:r>
            <w:r>
              <w:rPr>
                <w:rFonts w:ascii="宋体" w:hAnsi="宋体" w:eastAsia="宋体" w:cs="宋体"/>
                <w:spacing w:val="10"/>
                <w:sz w:val="21"/>
                <w:szCs w:val="21"/>
              </w:rPr>
              <w:t>选址位于内江市东兴区白合镇喻家沟</w:t>
            </w:r>
            <w:r>
              <w:rPr>
                <w:rFonts w:ascii="宋体" w:hAnsi="宋体" w:eastAsia="宋体" w:cs="宋体"/>
                <w:spacing w:val="-15"/>
                <w:sz w:val="21"/>
                <w:szCs w:val="21"/>
              </w:rPr>
              <w:t>村，不属于内江市畜禽禁养区，不属于长</w:t>
            </w:r>
            <w:r>
              <w:rPr>
                <w:rFonts w:ascii="宋体" w:hAnsi="宋体" w:eastAsia="宋体" w:cs="宋体"/>
                <w:spacing w:val="10"/>
                <w:sz w:val="21"/>
                <w:szCs w:val="21"/>
              </w:rPr>
              <w:t>江干流及其主要支</w:t>
            </w:r>
            <w:r>
              <w:rPr>
                <w:rFonts w:ascii="宋体" w:hAnsi="宋体" w:eastAsia="宋体" w:cs="宋体"/>
                <w:spacing w:val="-14"/>
                <w:sz w:val="21"/>
                <w:szCs w:val="21"/>
              </w:rPr>
              <w:t>流，项目实行雨污分</w:t>
            </w:r>
          </w:p>
          <w:p w14:paraId="35E9832E">
            <w:pPr>
              <w:spacing w:before="7" w:line="274" w:lineRule="auto"/>
              <w:ind w:left="10" w:firstLine="1"/>
              <w:jc w:val="both"/>
              <w:rPr>
                <w:rFonts w:ascii="宋体" w:hAnsi="宋体" w:eastAsia="宋体" w:cs="宋体"/>
                <w:sz w:val="21"/>
                <w:szCs w:val="21"/>
              </w:rPr>
            </w:pPr>
            <w:r>
              <w:rPr>
                <w:rFonts w:ascii="宋体" w:hAnsi="宋体" w:eastAsia="宋体" w:cs="宋体"/>
                <w:spacing w:val="-17"/>
                <w:sz w:val="21"/>
                <w:szCs w:val="21"/>
              </w:rPr>
              <w:t>流，雨水经雨水收集</w:t>
            </w:r>
            <w:r>
              <w:rPr>
                <w:rFonts w:ascii="宋体" w:hAnsi="宋体" w:eastAsia="宋体" w:cs="宋体"/>
                <w:spacing w:val="-11"/>
                <w:sz w:val="21"/>
                <w:szCs w:val="21"/>
              </w:rPr>
              <w:t>地沟排出项目区外，</w:t>
            </w:r>
            <w:r>
              <w:rPr>
                <w:rFonts w:ascii="宋体" w:hAnsi="宋体" w:eastAsia="宋体" w:cs="宋体"/>
                <w:spacing w:val="8"/>
                <w:sz w:val="21"/>
                <w:szCs w:val="21"/>
              </w:rPr>
              <w:t>废水经污水处理系统处理达标后用于</w:t>
            </w:r>
            <w:r>
              <w:rPr>
                <w:rFonts w:ascii="宋体" w:hAnsi="宋体" w:eastAsia="宋体" w:cs="宋体"/>
                <w:spacing w:val="-17"/>
                <w:sz w:val="21"/>
                <w:szCs w:val="21"/>
              </w:rPr>
              <w:t>周边消纳地农灌，猪</w:t>
            </w:r>
            <w:r>
              <w:rPr>
                <w:rFonts w:ascii="宋体" w:hAnsi="宋体" w:eastAsia="宋体" w:cs="宋体"/>
                <w:spacing w:val="8"/>
                <w:sz w:val="21"/>
                <w:szCs w:val="21"/>
              </w:rPr>
              <w:t>粪交有机肥厂生产</w:t>
            </w:r>
            <w:r>
              <w:rPr>
                <w:rFonts w:ascii="宋体" w:hAnsi="宋体" w:eastAsia="宋体" w:cs="宋体"/>
                <w:spacing w:val="-17"/>
                <w:sz w:val="21"/>
                <w:szCs w:val="21"/>
              </w:rPr>
              <w:t>有机肥；病死猪交内</w:t>
            </w:r>
            <w:r>
              <w:rPr>
                <w:rFonts w:ascii="宋体" w:hAnsi="宋体" w:eastAsia="宋体" w:cs="宋体"/>
                <w:spacing w:val="8"/>
                <w:sz w:val="21"/>
                <w:szCs w:val="21"/>
              </w:rPr>
              <w:t>江市环态动物无害化处置有限责任公</w:t>
            </w:r>
            <w:r>
              <w:rPr>
                <w:rFonts w:ascii="宋体" w:hAnsi="宋体" w:eastAsia="宋体" w:cs="宋体"/>
                <w:spacing w:val="-11"/>
                <w:sz w:val="21"/>
                <w:szCs w:val="21"/>
              </w:rPr>
              <w:t>司进行无害化处理。</w:t>
            </w:r>
            <w:r>
              <w:rPr>
                <w:rFonts w:ascii="宋体" w:hAnsi="宋体" w:eastAsia="宋体" w:cs="宋体"/>
                <w:spacing w:val="-17"/>
                <w:sz w:val="21"/>
                <w:szCs w:val="21"/>
              </w:rPr>
              <w:t>经分析，项目废水综</w:t>
            </w:r>
            <w:r>
              <w:rPr>
                <w:rFonts w:ascii="宋体" w:hAnsi="宋体" w:eastAsia="宋体" w:cs="宋体"/>
                <w:spacing w:val="8"/>
                <w:sz w:val="21"/>
                <w:szCs w:val="21"/>
              </w:rPr>
              <w:t>合利用的耕地范围可消纳本项目废水</w:t>
            </w:r>
            <w:r>
              <w:rPr>
                <w:rFonts w:ascii="宋体" w:hAnsi="宋体" w:eastAsia="宋体" w:cs="宋体"/>
                <w:spacing w:val="-17"/>
                <w:sz w:val="21"/>
                <w:szCs w:val="21"/>
              </w:rPr>
              <w:t>（详见“环境影响预</w:t>
            </w:r>
            <w:r>
              <w:rPr>
                <w:rFonts w:ascii="宋体" w:hAnsi="宋体" w:eastAsia="宋体" w:cs="宋体"/>
                <w:spacing w:val="-11"/>
                <w:sz w:val="21"/>
                <w:szCs w:val="21"/>
              </w:rPr>
              <w:t>测与评价”章节）。</w:t>
            </w:r>
          </w:p>
        </w:tc>
        <w:tc>
          <w:tcPr>
            <w:tcW w:w="836" w:type="dxa"/>
            <w:vAlign w:val="top"/>
          </w:tcPr>
          <w:p w14:paraId="62585609">
            <w:pPr>
              <w:spacing w:line="300" w:lineRule="auto"/>
              <w:rPr>
                <w:rFonts w:ascii="Arial"/>
                <w:sz w:val="21"/>
              </w:rPr>
            </w:pPr>
          </w:p>
          <w:p w14:paraId="1A1A33F9">
            <w:pPr>
              <w:spacing w:line="301" w:lineRule="auto"/>
              <w:rPr>
                <w:rFonts w:ascii="Arial"/>
                <w:sz w:val="21"/>
              </w:rPr>
            </w:pPr>
          </w:p>
          <w:p w14:paraId="731F400E">
            <w:pPr>
              <w:spacing w:before="68" w:line="220" w:lineRule="auto"/>
              <w:ind w:left="215"/>
              <w:rPr>
                <w:rFonts w:ascii="宋体" w:hAnsi="宋体" w:eastAsia="宋体" w:cs="宋体"/>
                <w:sz w:val="21"/>
                <w:szCs w:val="21"/>
              </w:rPr>
            </w:pPr>
            <w:r>
              <w:rPr>
                <w:rFonts w:ascii="宋体" w:hAnsi="宋体" w:eastAsia="宋体" w:cs="宋体"/>
                <w:spacing w:val="-3"/>
                <w:sz w:val="21"/>
                <w:szCs w:val="21"/>
              </w:rPr>
              <w:t>符合</w:t>
            </w:r>
          </w:p>
        </w:tc>
      </w:tr>
      <w:tr w14:paraId="6073E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8" w:hRule="atLeast"/>
        </w:trPr>
        <w:tc>
          <w:tcPr>
            <w:tcW w:w="1708" w:type="dxa"/>
            <w:vAlign w:val="top"/>
          </w:tcPr>
          <w:p w14:paraId="2C7811D2">
            <w:pPr>
              <w:spacing w:line="241" w:lineRule="auto"/>
              <w:rPr>
                <w:rFonts w:ascii="Arial"/>
                <w:sz w:val="21"/>
              </w:rPr>
            </w:pPr>
          </w:p>
          <w:p w14:paraId="344B842D">
            <w:pPr>
              <w:spacing w:line="241" w:lineRule="auto"/>
              <w:rPr>
                <w:rFonts w:ascii="Arial"/>
                <w:sz w:val="21"/>
              </w:rPr>
            </w:pPr>
          </w:p>
          <w:p w14:paraId="79D1EB60">
            <w:pPr>
              <w:spacing w:line="241" w:lineRule="auto"/>
              <w:rPr>
                <w:rFonts w:ascii="Arial"/>
                <w:sz w:val="21"/>
              </w:rPr>
            </w:pPr>
          </w:p>
          <w:p w14:paraId="320B2082">
            <w:pPr>
              <w:spacing w:line="241" w:lineRule="auto"/>
              <w:rPr>
                <w:rFonts w:ascii="Arial"/>
                <w:sz w:val="21"/>
              </w:rPr>
            </w:pPr>
          </w:p>
          <w:p w14:paraId="63763B94">
            <w:pPr>
              <w:spacing w:line="241" w:lineRule="auto"/>
              <w:rPr>
                <w:rFonts w:ascii="Arial"/>
                <w:sz w:val="21"/>
              </w:rPr>
            </w:pPr>
          </w:p>
          <w:p w14:paraId="7866ACED">
            <w:pPr>
              <w:spacing w:line="241" w:lineRule="auto"/>
              <w:rPr>
                <w:rFonts w:ascii="Arial"/>
                <w:sz w:val="21"/>
              </w:rPr>
            </w:pPr>
          </w:p>
          <w:p w14:paraId="4AE3C049">
            <w:pPr>
              <w:spacing w:line="242" w:lineRule="auto"/>
              <w:rPr>
                <w:rFonts w:ascii="Arial"/>
                <w:sz w:val="21"/>
              </w:rPr>
            </w:pPr>
          </w:p>
          <w:p w14:paraId="1880D5C1">
            <w:pPr>
              <w:pStyle w:val="6"/>
              <w:spacing w:before="69" w:line="271" w:lineRule="auto"/>
              <w:ind w:left="758" w:right="150" w:hanging="594"/>
              <w:rPr>
                <w:rFonts w:ascii="宋体" w:hAnsi="宋体" w:eastAsia="宋体" w:cs="宋体"/>
              </w:rPr>
            </w:pPr>
            <w:r>
              <w:rPr>
                <w:rFonts w:ascii="宋体" w:hAnsi="宋体" w:eastAsia="宋体" w:cs="宋体"/>
                <w:spacing w:val="-2"/>
              </w:rPr>
              <w:t>川府发</w:t>
            </w:r>
            <w:r>
              <w:rPr>
                <w:spacing w:val="-2"/>
              </w:rPr>
              <w:t>[</w:t>
            </w:r>
            <w:r>
              <w:fldChar w:fldCharType="begin"/>
            </w:r>
            <w:r>
              <w:instrText xml:space="preserve"> HYPERLINK \l "bookmark125" </w:instrText>
            </w:r>
            <w:r>
              <w:fldChar w:fldCharType="separate"/>
            </w:r>
            <w:r>
              <w:rPr>
                <w:spacing w:val="-2"/>
              </w:rPr>
              <w:t>2015</w:t>
            </w:r>
            <w:r>
              <w:rPr>
                <w:spacing w:val="-2"/>
              </w:rPr>
              <w:fldChar w:fldCharType="end"/>
            </w:r>
            <w:r>
              <w:rPr>
                <w:spacing w:val="-2"/>
              </w:rPr>
              <w:t>]59</w:t>
            </w:r>
            <w:r>
              <w:rPr>
                <w:rFonts w:ascii="宋体" w:hAnsi="宋体" w:eastAsia="宋体" w:cs="宋体"/>
              </w:rPr>
              <w:t>号</w:t>
            </w:r>
          </w:p>
        </w:tc>
        <w:tc>
          <w:tcPr>
            <w:tcW w:w="3962" w:type="dxa"/>
            <w:vAlign w:val="top"/>
          </w:tcPr>
          <w:p w14:paraId="10AEF3D4">
            <w:pPr>
              <w:spacing w:before="51" w:line="274" w:lineRule="auto"/>
              <w:ind w:left="9" w:firstLine="12"/>
              <w:jc w:val="both"/>
              <w:rPr>
                <w:rFonts w:ascii="宋体" w:hAnsi="宋体" w:eastAsia="宋体" w:cs="宋体"/>
                <w:sz w:val="21"/>
                <w:szCs w:val="21"/>
              </w:rPr>
            </w:pPr>
            <w:r>
              <w:rPr>
                <w:rFonts w:ascii="宋体" w:hAnsi="宋体" w:eastAsia="宋体" w:cs="宋体"/>
                <w:spacing w:val="-4"/>
                <w:sz w:val="21"/>
                <w:szCs w:val="21"/>
              </w:rPr>
              <w:t>防治畜禽养殖污染。规范畜禽养殖管理。环</w:t>
            </w:r>
            <w:r>
              <w:rPr>
                <w:rFonts w:ascii="宋体" w:hAnsi="宋体" w:eastAsia="宋体" w:cs="宋体"/>
                <w:spacing w:val="9"/>
                <w:sz w:val="21"/>
                <w:szCs w:val="21"/>
              </w:rPr>
              <w:t>境保护部门会同农业部门组织指导各地科</w:t>
            </w:r>
            <w:r>
              <w:rPr>
                <w:rFonts w:ascii="宋体" w:hAnsi="宋体" w:eastAsia="宋体" w:cs="宋体"/>
                <w:spacing w:val="-3"/>
                <w:sz w:val="21"/>
                <w:szCs w:val="21"/>
              </w:rPr>
              <w:t>学划定畜禽养殖禁养区、限养区。</w:t>
            </w:r>
          </w:p>
          <w:p w14:paraId="20E29E05">
            <w:pPr>
              <w:pStyle w:val="6"/>
              <w:spacing w:before="1" w:line="269" w:lineRule="auto"/>
              <w:ind w:left="5" w:firstLine="3"/>
              <w:jc w:val="both"/>
              <w:rPr>
                <w:rFonts w:ascii="宋体" w:hAnsi="宋体" w:eastAsia="宋体" w:cs="宋体"/>
              </w:rPr>
            </w:pPr>
            <w:r>
              <w:rPr>
                <w:rFonts w:ascii="宋体" w:hAnsi="宋体" w:eastAsia="宋体" w:cs="宋体"/>
                <w:spacing w:val="-6"/>
              </w:rPr>
              <w:t>加强规模化养殖场（小区）污染治理。农业</w:t>
            </w:r>
            <w:r>
              <w:rPr>
                <w:rFonts w:ascii="宋体" w:hAnsi="宋体" w:eastAsia="宋体" w:cs="宋体"/>
                <w:spacing w:val="6"/>
              </w:rPr>
              <w:t>部门会同环境保护部门组织排查并列出需</w:t>
            </w:r>
            <w:r>
              <w:rPr>
                <w:rFonts w:ascii="宋体" w:hAnsi="宋体" w:eastAsia="宋体" w:cs="宋体"/>
                <w:spacing w:val="-13"/>
              </w:rPr>
              <w:t>治理（完善）的规模化养殖场（小区）名单，</w:t>
            </w:r>
            <w:r>
              <w:rPr>
                <w:rFonts w:ascii="宋体" w:hAnsi="宋体" w:eastAsia="宋体" w:cs="宋体"/>
                <w:spacing w:val="6"/>
              </w:rPr>
              <w:t>纳入农业部门、环境保护部门专项工作方</w:t>
            </w:r>
            <w:r>
              <w:rPr>
                <w:rFonts w:ascii="宋体" w:hAnsi="宋体" w:eastAsia="宋体" w:cs="宋体"/>
                <w:spacing w:val="-6"/>
              </w:rPr>
              <w:t>案。督促现有规模化养殖场（小区）根据污染防治需要，配套建设粪便贮存、处理、利用设施。因地制宜建设大中型沼气工程。自</w:t>
            </w:r>
            <w:r>
              <w:rPr>
                <w:spacing w:val="-7"/>
              </w:rPr>
              <w:t xml:space="preserve">2016 </w:t>
            </w:r>
            <w:r>
              <w:rPr>
                <w:rFonts w:ascii="宋体" w:hAnsi="宋体" w:eastAsia="宋体" w:cs="宋体"/>
                <w:spacing w:val="-7"/>
              </w:rPr>
              <w:t>年起，新建、改建、扩建规模化畜禽养</w:t>
            </w:r>
            <w:r>
              <w:rPr>
                <w:rFonts w:ascii="宋体" w:hAnsi="宋体" w:eastAsia="宋体" w:cs="宋体"/>
                <w:spacing w:val="-6"/>
              </w:rPr>
              <w:t>殖场（小区）要实施雨污分流、粪便污水资</w:t>
            </w:r>
            <w:r>
              <w:rPr>
                <w:rFonts w:ascii="宋体" w:hAnsi="宋体" w:eastAsia="宋体" w:cs="宋体"/>
                <w:spacing w:val="-8"/>
              </w:rPr>
              <w:t>源化利用。</w:t>
            </w:r>
          </w:p>
        </w:tc>
        <w:tc>
          <w:tcPr>
            <w:tcW w:w="1814" w:type="dxa"/>
            <w:vMerge w:val="continue"/>
            <w:tcBorders>
              <w:top w:val="nil"/>
              <w:bottom w:val="nil"/>
            </w:tcBorders>
            <w:vAlign w:val="top"/>
          </w:tcPr>
          <w:p w14:paraId="2D4CACDB">
            <w:pPr>
              <w:rPr>
                <w:rFonts w:ascii="Arial"/>
                <w:sz w:val="21"/>
              </w:rPr>
            </w:pPr>
          </w:p>
        </w:tc>
        <w:tc>
          <w:tcPr>
            <w:tcW w:w="836" w:type="dxa"/>
            <w:vAlign w:val="top"/>
          </w:tcPr>
          <w:p w14:paraId="4121823D">
            <w:pPr>
              <w:spacing w:line="263" w:lineRule="auto"/>
              <w:rPr>
                <w:rFonts w:ascii="Arial"/>
                <w:sz w:val="21"/>
              </w:rPr>
            </w:pPr>
          </w:p>
          <w:p w14:paraId="699EF4EA">
            <w:pPr>
              <w:spacing w:line="263" w:lineRule="auto"/>
              <w:rPr>
                <w:rFonts w:ascii="Arial"/>
                <w:sz w:val="21"/>
              </w:rPr>
            </w:pPr>
          </w:p>
          <w:p w14:paraId="4F847BE3">
            <w:pPr>
              <w:spacing w:line="263" w:lineRule="auto"/>
              <w:rPr>
                <w:rFonts w:ascii="Arial"/>
                <w:sz w:val="21"/>
              </w:rPr>
            </w:pPr>
          </w:p>
          <w:p w14:paraId="5369DC85">
            <w:pPr>
              <w:spacing w:line="263" w:lineRule="auto"/>
              <w:rPr>
                <w:rFonts w:ascii="Arial"/>
                <w:sz w:val="21"/>
              </w:rPr>
            </w:pPr>
          </w:p>
          <w:p w14:paraId="1B4B268C">
            <w:pPr>
              <w:spacing w:line="263" w:lineRule="auto"/>
              <w:rPr>
                <w:rFonts w:ascii="Arial"/>
                <w:sz w:val="21"/>
              </w:rPr>
            </w:pPr>
          </w:p>
          <w:p w14:paraId="3CD826A5">
            <w:pPr>
              <w:spacing w:line="263" w:lineRule="auto"/>
              <w:rPr>
                <w:rFonts w:ascii="Arial"/>
                <w:sz w:val="21"/>
              </w:rPr>
            </w:pPr>
          </w:p>
          <w:p w14:paraId="6C84A144">
            <w:pPr>
              <w:spacing w:line="264" w:lineRule="auto"/>
              <w:rPr>
                <w:rFonts w:ascii="Arial"/>
                <w:sz w:val="21"/>
              </w:rPr>
            </w:pPr>
          </w:p>
          <w:p w14:paraId="78BD2D41">
            <w:pPr>
              <w:spacing w:before="68" w:line="220" w:lineRule="auto"/>
              <w:ind w:left="215"/>
              <w:rPr>
                <w:rFonts w:ascii="宋体" w:hAnsi="宋体" w:eastAsia="宋体" w:cs="宋体"/>
                <w:sz w:val="21"/>
                <w:szCs w:val="21"/>
              </w:rPr>
            </w:pPr>
            <w:r>
              <w:rPr>
                <w:rFonts w:ascii="宋体" w:hAnsi="宋体" w:eastAsia="宋体" w:cs="宋体"/>
                <w:spacing w:val="-3"/>
                <w:sz w:val="21"/>
                <w:szCs w:val="21"/>
              </w:rPr>
              <w:t>符合</w:t>
            </w:r>
          </w:p>
        </w:tc>
      </w:tr>
      <w:tr w14:paraId="30D27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7" w:hRule="atLeast"/>
        </w:trPr>
        <w:tc>
          <w:tcPr>
            <w:tcW w:w="1708" w:type="dxa"/>
            <w:vAlign w:val="top"/>
          </w:tcPr>
          <w:p w14:paraId="60AE026C">
            <w:pPr>
              <w:spacing w:line="245" w:lineRule="auto"/>
              <w:rPr>
                <w:rFonts w:ascii="Arial"/>
                <w:sz w:val="21"/>
              </w:rPr>
            </w:pPr>
          </w:p>
          <w:p w14:paraId="0880DBED">
            <w:pPr>
              <w:spacing w:line="245" w:lineRule="auto"/>
              <w:rPr>
                <w:rFonts w:ascii="Arial"/>
                <w:sz w:val="21"/>
              </w:rPr>
            </w:pPr>
          </w:p>
          <w:p w14:paraId="4892CF9E">
            <w:pPr>
              <w:spacing w:line="245" w:lineRule="auto"/>
              <w:rPr>
                <w:rFonts w:ascii="Arial"/>
                <w:sz w:val="21"/>
              </w:rPr>
            </w:pPr>
          </w:p>
          <w:p w14:paraId="28B5290C">
            <w:pPr>
              <w:spacing w:line="245" w:lineRule="auto"/>
              <w:rPr>
                <w:rFonts w:ascii="Arial"/>
                <w:sz w:val="21"/>
              </w:rPr>
            </w:pPr>
          </w:p>
          <w:p w14:paraId="27135A15">
            <w:pPr>
              <w:spacing w:line="246" w:lineRule="auto"/>
              <w:rPr>
                <w:rFonts w:ascii="Arial"/>
                <w:sz w:val="21"/>
              </w:rPr>
            </w:pPr>
          </w:p>
          <w:p w14:paraId="104F95CA">
            <w:pPr>
              <w:pStyle w:val="6"/>
              <w:spacing w:before="68" w:line="212" w:lineRule="auto"/>
              <w:ind w:left="86"/>
              <w:rPr>
                <w:rFonts w:ascii="宋体" w:hAnsi="宋体" w:eastAsia="宋体" w:cs="宋体"/>
              </w:rPr>
            </w:pPr>
            <w:r>
              <w:rPr>
                <w:rFonts w:ascii="宋体" w:hAnsi="宋体" w:eastAsia="宋体" w:cs="宋体"/>
                <w:spacing w:val="-2"/>
              </w:rPr>
              <w:t>川府发</w:t>
            </w:r>
            <w:r>
              <w:rPr>
                <w:spacing w:val="-2"/>
              </w:rPr>
              <w:t>[</w:t>
            </w:r>
            <w:r>
              <w:fldChar w:fldCharType="begin"/>
            </w:r>
            <w:r>
              <w:instrText xml:space="preserve"> HYPERLINK \l "bookmark126" </w:instrText>
            </w:r>
            <w:r>
              <w:fldChar w:fldCharType="separate"/>
            </w:r>
            <w:r>
              <w:rPr>
                <w:spacing w:val="-2"/>
              </w:rPr>
              <w:t>2019</w:t>
            </w:r>
            <w:r>
              <w:rPr>
                <w:spacing w:val="-2"/>
              </w:rPr>
              <w:fldChar w:fldCharType="end"/>
            </w:r>
            <w:r>
              <w:rPr>
                <w:spacing w:val="-2"/>
              </w:rPr>
              <w:t>]4</w:t>
            </w:r>
            <w:r>
              <w:rPr>
                <w:spacing w:val="21"/>
                <w:w w:val="101"/>
              </w:rPr>
              <w:t xml:space="preserve"> </w:t>
            </w:r>
            <w:r>
              <w:rPr>
                <w:rFonts w:ascii="宋体" w:hAnsi="宋体" w:eastAsia="宋体" w:cs="宋体"/>
                <w:spacing w:val="-2"/>
              </w:rPr>
              <w:t>号</w:t>
            </w:r>
          </w:p>
        </w:tc>
        <w:tc>
          <w:tcPr>
            <w:tcW w:w="3962" w:type="dxa"/>
            <w:vAlign w:val="top"/>
          </w:tcPr>
          <w:p w14:paraId="38ECD575">
            <w:pPr>
              <w:spacing w:before="53" w:line="220" w:lineRule="auto"/>
              <w:ind w:left="9"/>
              <w:rPr>
                <w:rFonts w:ascii="宋体" w:hAnsi="宋体" w:eastAsia="宋体" w:cs="宋体"/>
                <w:sz w:val="21"/>
                <w:szCs w:val="21"/>
              </w:rPr>
            </w:pPr>
            <w:r>
              <w:rPr>
                <w:rFonts w:ascii="宋体" w:hAnsi="宋体" w:eastAsia="宋体" w:cs="宋体"/>
                <w:spacing w:val="-4"/>
                <w:sz w:val="21"/>
                <w:szCs w:val="21"/>
              </w:rPr>
              <w:t>《四川省打赢碧水保卫战实施方案》：</w:t>
            </w:r>
          </w:p>
          <w:p w14:paraId="4B8DB549">
            <w:pPr>
              <w:spacing w:before="64" w:line="274" w:lineRule="auto"/>
              <w:ind w:left="7" w:firstLine="1"/>
              <w:rPr>
                <w:rFonts w:ascii="宋体" w:hAnsi="宋体" w:eastAsia="宋体" w:cs="宋体"/>
                <w:sz w:val="21"/>
                <w:szCs w:val="21"/>
              </w:rPr>
            </w:pPr>
            <w:r>
              <w:rPr>
                <w:rFonts w:ascii="宋体" w:hAnsi="宋体" w:eastAsia="宋体" w:cs="宋体"/>
                <w:spacing w:val="-3"/>
                <w:sz w:val="21"/>
                <w:szCs w:val="21"/>
              </w:rPr>
              <w:t>整治畜禽养殖污染。全面推进畜禽标准化养</w:t>
            </w:r>
            <w:r>
              <w:rPr>
                <w:rFonts w:ascii="宋体" w:hAnsi="宋体" w:eastAsia="宋体" w:cs="宋体"/>
                <w:spacing w:val="-11"/>
                <w:sz w:val="21"/>
                <w:szCs w:val="21"/>
              </w:rPr>
              <w:t>殖。规范禁养区划定，</w:t>
            </w:r>
            <w:r>
              <w:rPr>
                <w:rFonts w:ascii="宋体" w:hAnsi="宋体" w:eastAsia="宋体" w:cs="宋体"/>
                <w:spacing w:val="59"/>
                <w:sz w:val="21"/>
                <w:szCs w:val="21"/>
              </w:rPr>
              <w:t xml:space="preserve"> </w:t>
            </w:r>
            <w:r>
              <w:rPr>
                <w:rFonts w:ascii="宋体" w:hAnsi="宋体" w:eastAsia="宋体" w:cs="宋体"/>
                <w:spacing w:val="-11"/>
                <w:sz w:val="21"/>
                <w:szCs w:val="21"/>
              </w:rPr>
              <w:t>坚持种养结合，养殖</w:t>
            </w:r>
            <w:r>
              <w:rPr>
                <w:rFonts w:ascii="宋体" w:hAnsi="宋体" w:eastAsia="宋体" w:cs="宋体"/>
                <w:spacing w:val="9"/>
                <w:sz w:val="21"/>
                <w:szCs w:val="21"/>
              </w:rPr>
              <w:t>场的养殖规模要与周边可供消纳的土地量</w:t>
            </w:r>
            <w:r>
              <w:rPr>
                <w:rFonts w:ascii="宋体" w:hAnsi="宋体" w:eastAsia="宋体" w:cs="宋体"/>
                <w:spacing w:val="-3"/>
                <w:sz w:val="21"/>
                <w:szCs w:val="21"/>
              </w:rPr>
              <w:t>相匹配，并具备完善的雨污分流、粪便污水资源化利用设施。强化畜禽养殖散户管理，</w:t>
            </w:r>
            <w:r>
              <w:rPr>
                <w:rFonts w:ascii="宋体" w:hAnsi="宋体" w:eastAsia="宋体" w:cs="宋体"/>
                <w:spacing w:val="-4"/>
                <w:sz w:val="21"/>
                <w:szCs w:val="21"/>
              </w:rPr>
              <w:t>禁止畜禽粪污直排。</w:t>
            </w:r>
          </w:p>
          <w:p w14:paraId="7DDA6C65">
            <w:pPr>
              <w:spacing w:before="2" w:line="249" w:lineRule="auto"/>
              <w:ind w:left="9" w:right="8"/>
              <w:rPr>
                <w:rFonts w:ascii="宋体" w:hAnsi="宋体" w:eastAsia="宋体" w:cs="宋体"/>
                <w:sz w:val="21"/>
                <w:szCs w:val="21"/>
              </w:rPr>
            </w:pPr>
            <w:r>
              <w:rPr>
                <w:rFonts w:ascii="宋体" w:hAnsi="宋体" w:eastAsia="宋体" w:cs="宋体"/>
                <w:spacing w:val="8"/>
                <w:sz w:val="21"/>
                <w:szCs w:val="21"/>
              </w:rPr>
              <w:t>《四川省打好长江保护修复攻坚战实施方</w:t>
            </w:r>
            <w:r>
              <w:rPr>
                <w:rFonts w:ascii="宋体" w:hAnsi="宋体" w:eastAsia="宋体" w:cs="宋体"/>
                <w:spacing w:val="-13"/>
                <w:sz w:val="21"/>
                <w:szCs w:val="21"/>
              </w:rPr>
              <w:t>案》：</w:t>
            </w:r>
          </w:p>
        </w:tc>
        <w:tc>
          <w:tcPr>
            <w:tcW w:w="1814" w:type="dxa"/>
            <w:vMerge w:val="continue"/>
            <w:tcBorders>
              <w:top w:val="nil"/>
            </w:tcBorders>
            <w:vAlign w:val="top"/>
          </w:tcPr>
          <w:p w14:paraId="5C0BD67B">
            <w:pPr>
              <w:rPr>
                <w:rFonts w:ascii="Arial"/>
                <w:sz w:val="21"/>
              </w:rPr>
            </w:pPr>
          </w:p>
        </w:tc>
        <w:tc>
          <w:tcPr>
            <w:tcW w:w="836" w:type="dxa"/>
            <w:vAlign w:val="top"/>
          </w:tcPr>
          <w:p w14:paraId="4D564211">
            <w:pPr>
              <w:spacing w:line="245" w:lineRule="auto"/>
              <w:rPr>
                <w:rFonts w:ascii="Arial"/>
                <w:sz w:val="21"/>
              </w:rPr>
            </w:pPr>
          </w:p>
          <w:p w14:paraId="6F90BE8C">
            <w:pPr>
              <w:spacing w:line="245" w:lineRule="auto"/>
              <w:rPr>
                <w:rFonts w:ascii="Arial"/>
                <w:sz w:val="21"/>
              </w:rPr>
            </w:pPr>
          </w:p>
          <w:p w14:paraId="6B687059">
            <w:pPr>
              <w:spacing w:line="245" w:lineRule="auto"/>
              <w:rPr>
                <w:rFonts w:ascii="Arial"/>
                <w:sz w:val="21"/>
              </w:rPr>
            </w:pPr>
          </w:p>
          <w:p w14:paraId="147DC323">
            <w:pPr>
              <w:spacing w:line="245" w:lineRule="auto"/>
              <w:rPr>
                <w:rFonts w:ascii="Arial"/>
                <w:sz w:val="21"/>
              </w:rPr>
            </w:pPr>
          </w:p>
          <w:p w14:paraId="271D9CE7">
            <w:pPr>
              <w:spacing w:line="246" w:lineRule="auto"/>
              <w:rPr>
                <w:rFonts w:ascii="Arial"/>
                <w:sz w:val="21"/>
              </w:rPr>
            </w:pPr>
          </w:p>
          <w:p w14:paraId="15DAF3D7">
            <w:pPr>
              <w:spacing w:before="68" w:line="220" w:lineRule="auto"/>
              <w:ind w:left="215"/>
              <w:rPr>
                <w:rFonts w:ascii="宋体" w:hAnsi="宋体" w:eastAsia="宋体" w:cs="宋体"/>
                <w:sz w:val="21"/>
                <w:szCs w:val="21"/>
              </w:rPr>
            </w:pPr>
            <w:r>
              <w:rPr>
                <w:rFonts w:ascii="宋体" w:hAnsi="宋体" w:eastAsia="宋体" w:cs="宋体"/>
                <w:spacing w:val="-3"/>
                <w:sz w:val="21"/>
                <w:szCs w:val="21"/>
              </w:rPr>
              <w:t>符合</w:t>
            </w:r>
          </w:p>
        </w:tc>
      </w:tr>
    </w:tbl>
    <w:p w14:paraId="262EAD0B">
      <w:pPr>
        <w:pStyle w:val="2"/>
      </w:pPr>
    </w:p>
    <w:p w14:paraId="337254FC">
      <w:pPr>
        <w:sectPr>
          <w:headerReference r:id="rId77" w:type="default"/>
          <w:footerReference r:id="rId78" w:type="default"/>
          <w:pgSz w:w="11905" w:h="16840"/>
          <w:pgMar w:top="1168" w:right="1714" w:bottom="1409" w:left="1770" w:header="828" w:footer="1244" w:gutter="0"/>
          <w:cols w:space="720" w:num="1"/>
        </w:sectPr>
      </w:pPr>
    </w:p>
    <w:p w14:paraId="4048748F">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3962"/>
        <w:gridCol w:w="1814"/>
        <w:gridCol w:w="836"/>
      </w:tblGrid>
      <w:tr w14:paraId="011C7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08" w:type="dxa"/>
            <w:vAlign w:val="top"/>
          </w:tcPr>
          <w:p w14:paraId="73E76F88">
            <w:pPr>
              <w:spacing w:before="68" w:line="222" w:lineRule="auto"/>
              <w:ind w:left="440"/>
              <w:rPr>
                <w:rFonts w:ascii="宋体" w:hAnsi="宋体" w:eastAsia="宋体" w:cs="宋体"/>
                <w:sz w:val="21"/>
                <w:szCs w:val="21"/>
              </w:rPr>
            </w:pPr>
            <w:r>
              <w:rPr>
                <w:rFonts w:ascii="宋体" w:hAnsi="宋体" w:eastAsia="宋体" w:cs="宋体"/>
                <w:spacing w:val="-2"/>
                <w:sz w:val="21"/>
                <w:szCs w:val="21"/>
              </w:rPr>
              <w:t>规划名称</w:t>
            </w:r>
          </w:p>
        </w:tc>
        <w:tc>
          <w:tcPr>
            <w:tcW w:w="3962" w:type="dxa"/>
            <w:vAlign w:val="top"/>
          </w:tcPr>
          <w:p w14:paraId="2E328DE1">
            <w:pPr>
              <w:spacing w:before="68" w:line="220" w:lineRule="auto"/>
              <w:ind w:left="1567"/>
              <w:rPr>
                <w:rFonts w:ascii="宋体" w:hAnsi="宋体" w:eastAsia="宋体" w:cs="宋体"/>
                <w:sz w:val="21"/>
                <w:szCs w:val="21"/>
              </w:rPr>
            </w:pPr>
            <w:r>
              <w:rPr>
                <w:rFonts w:ascii="宋体" w:hAnsi="宋体" w:eastAsia="宋体" w:cs="宋体"/>
                <w:spacing w:val="-2"/>
                <w:sz w:val="21"/>
                <w:szCs w:val="21"/>
              </w:rPr>
              <w:t>规划内容</w:t>
            </w:r>
          </w:p>
        </w:tc>
        <w:tc>
          <w:tcPr>
            <w:tcW w:w="1814" w:type="dxa"/>
            <w:vAlign w:val="top"/>
          </w:tcPr>
          <w:p w14:paraId="15ED9F7C">
            <w:pPr>
              <w:spacing w:before="68" w:line="219" w:lineRule="auto"/>
              <w:ind w:left="389"/>
              <w:rPr>
                <w:rFonts w:ascii="宋体" w:hAnsi="宋体" w:eastAsia="宋体" w:cs="宋体"/>
                <w:sz w:val="21"/>
                <w:szCs w:val="21"/>
              </w:rPr>
            </w:pPr>
            <w:r>
              <w:rPr>
                <w:rFonts w:ascii="宋体" w:hAnsi="宋体" w:eastAsia="宋体" w:cs="宋体"/>
                <w:spacing w:val="-2"/>
                <w:sz w:val="21"/>
                <w:szCs w:val="21"/>
              </w:rPr>
              <w:t>本项目情况</w:t>
            </w:r>
          </w:p>
        </w:tc>
        <w:tc>
          <w:tcPr>
            <w:tcW w:w="836" w:type="dxa"/>
            <w:vAlign w:val="top"/>
          </w:tcPr>
          <w:p w14:paraId="62C7B53B">
            <w:pPr>
              <w:spacing w:before="68" w:line="220" w:lineRule="auto"/>
              <w:ind w:left="110"/>
              <w:rPr>
                <w:rFonts w:ascii="宋体" w:hAnsi="宋体" w:eastAsia="宋体" w:cs="宋体"/>
                <w:sz w:val="21"/>
                <w:szCs w:val="21"/>
              </w:rPr>
            </w:pPr>
            <w:r>
              <w:rPr>
                <w:rFonts w:ascii="宋体" w:hAnsi="宋体" w:eastAsia="宋体" w:cs="宋体"/>
                <w:spacing w:val="-3"/>
                <w:sz w:val="21"/>
                <w:szCs w:val="21"/>
              </w:rPr>
              <w:t>符合性</w:t>
            </w:r>
          </w:p>
        </w:tc>
      </w:tr>
      <w:tr w14:paraId="0B1B1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708" w:type="dxa"/>
            <w:vAlign w:val="top"/>
          </w:tcPr>
          <w:p w14:paraId="7C6A6F8E">
            <w:pPr>
              <w:rPr>
                <w:rFonts w:ascii="Arial"/>
                <w:sz w:val="21"/>
              </w:rPr>
            </w:pPr>
          </w:p>
        </w:tc>
        <w:tc>
          <w:tcPr>
            <w:tcW w:w="3962" w:type="dxa"/>
            <w:vAlign w:val="top"/>
          </w:tcPr>
          <w:p w14:paraId="74376064">
            <w:pPr>
              <w:pStyle w:val="6"/>
              <w:spacing w:before="51" w:line="268" w:lineRule="auto"/>
              <w:ind w:left="5" w:firstLine="16"/>
              <w:jc w:val="both"/>
              <w:rPr>
                <w:rFonts w:ascii="宋体" w:hAnsi="宋体" w:eastAsia="宋体" w:cs="宋体"/>
              </w:rPr>
            </w:pPr>
            <w:r>
              <w:rPr>
                <w:rFonts w:ascii="宋体" w:hAnsi="宋体" w:eastAsia="宋体" w:cs="宋体"/>
                <w:spacing w:val="-7"/>
              </w:rPr>
              <w:t>…统筹推进种植业、畜禽水产养殖业和农村</w:t>
            </w:r>
            <w:r>
              <w:rPr>
                <w:rFonts w:ascii="宋体" w:hAnsi="宋体" w:eastAsia="宋体" w:cs="宋体"/>
                <w:spacing w:val="-6"/>
              </w:rPr>
              <w:t xml:space="preserve">生活污染防治。切实强化农业畜禽、水产养殖污染物排放控制力度，到 </w:t>
            </w:r>
            <w:r>
              <w:rPr>
                <w:spacing w:val="-6"/>
              </w:rPr>
              <w:t>2020</w:t>
            </w:r>
            <w:r>
              <w:rPr>
                <w:spacing w:val="55"/>
                <w:w w:val="101"/>
              </w:rPr>
              <w:t xml:space="preserve"> </w:t>
            </w:r>
            <w:r>
              <w:rPr>
                <w:rFonts w:ascii="宋体" w:hAnsi="宋体" w:eastAsia="宋体" w:cs="宋体"/>
                <w:spacing w:val="-6"/>
              </w:rPr>
              <w:t>年，畜禽</w:t>
            </w:r>
            <w:r>
              <w:rPr>
                <w:rFonts w:ascii="宋体" w:hAnsi="宋体" w:eastAsia="宋体" w:cs="宋体"/>
                <w:spacing w:val="-7"/>
              </w:rPr>
              <w:t>粪污综合利用率达到</w:t>
            </w:r>
            <w:r>
              <w:rPr>
                <w:rFonts w:ascii="宋体" w:hAnsi="宋体" w:eastAsia="宋体" w:cs="宋体"/>
                <w:spacing w:val="-43"/>
              </w:rPr>
              <w:t xml:space="preserve"> </w:t>
            </w:r>
            <w:r>
              <w:rPr>
                <w:spacing w:val="-7"/>
              </w:rPr>
              <w:t>75%</w:t>
            </w:r>
            <w:r>
              <w:rPr>
                <w:rFonts w:ascii="宋体" w:hAnsi="宋体" w:eastAsia="宋体" w:cs="宋体"/>
                <w:spacing w:val="-7"/>
              </w:rPr>
              <w:t>以上，规模养殖场</w:t>
            </w:r>
            <w:r>
              <w:rPr>
                <w:rFonts w:ascii="宋体" w:hAnsi="宋体" w:eastAsia="宋体" w:cs="宋体"/>
                <w:spacing w:val="-9"/>
              </w:rPr>
              <w:t xml:space="preserve">粪污处理设施装备配套率达到 </w:t>
            </w:r>
            <w:r>
              <w:rPr>
                <w:spacing w:val="-9"/>
              </w:rPr>
              <w:t>95%</w:t>
            </w:r>
            <w:r>
              <w:rPr>
                <w:rFonts w:ascii="宋体" w:hAnsi="宋体" w:eastAsia="宋体" w:cs="宋体"/>
                <w:spacing w:val="-9"/>
              </w:rPr>
              <w:t>以上，其</w:t>
            </w:r>
            <w:r>
              <w:rPr>
                <w:rFonts w:ascii="宋体" w:hAnsi="宋体" w:eastAsia="宋体" w:cs="宋体"/>
                <w:spacing w:val="14"/>
              </w:rPr>
              <w:t xml:space="preserve">中大型规模养殖场 </w:t>
            </w:r>
            <w:r>
              <w:rPr>
                <w:spacing w:val="14"/>
              </w:rPr>
              <w:t>2019</w:t>
            </w:r>
            <w:r>
              <w:rPr>
                <w:spacing w:val="21"/>
              </w:rPr>
              <w:t xml:space="preserve">  </w:t>
            </w:r>
            <w:r>
              <w:rPr>
                <w:rFonts w:ascii="宋体" w:hAnsi="宋体" w:eastAsia="宋体" w:cs="宋体"/>
                <w:spacing w:val="14"/>
              </w:rPr>
              <w:t>年年底前达到</w:t>
            </w:r>
            <w:r>
              <w:rPr>
                <w:spacing w:val="-9"/>
              </w:rPr>
              <w:t>100%</w:t>
            </w:r>
            <w:r>
              <w:rPr>
                <w:rFonts w:ascii="宋体" w:hAnsi="宋体" w:eastAsia="宋体" w:cs="宋体"/>
                <w:spacing w:val="-9"/>
              </w:rPr>
              <w:t>；长江干流和重要支流岸线延伸至陆域</w:t>
            </w:r>
            <w:r>
              <w:rPr>
                <w:spacing w:val="-9"/>
              </w:rPr>
              <w:t xml:space="preserve">200 </w:t>
            </w:r>
            <w:r>
              <w:rPr>
                <w:rFonts w:ascii="宋体" w:hAnsi="宋体" w:eastAsia="宋体" w:cs="宋体"/>
                <w:spacing w:val="-9"/>
              </w:rPr>
              <w:t>米范围内基本消除畜禽养殖场（小区）。</w:t>
            </w:r>
          </w:p>
        </w:tc>
        <w:tc>
          <w:tcPr>
            <w:tcW w:w="1814" w:type="dxa"/>
            <w:vMerge w:val="restart"/>
            <w:tcBorders>
              <w:bottom w:val="nil"/>
            </w:tcBorders>
            <w:vAlign w:val="top"/>
          </w:tcPr>
          <w:p w14:paraId="0BEE44FC">
            <w:pPr>
              <w:rPr>
                <w:rFonts w:ascii="Arial"/>
                <w:sz w:val="21"/>
              </w:rPr>
            </w:pPr>
          </w:p>
        </w:tc>
        <w:tc>
          <w:tcPr>
            <w:tcW w:w="836" w:type="dxa"/>
            <w:vAlign w:val="top"/>
          </w:tcPr>
          <w:p w14:paraId="47BCC78E">
            <w:pPr>
              <w:rPr>
                <w:rFonts w:ascii="Arial"/>
                <w:sz w:val="21"/>
              </w:rPr>
            </w:pPr>
          </w:p>
        </w:tc>
      </w:tr>
      <w:tr w14:paraId="5028D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0" w:hRule="atLeast"/>
        </w:trPr>
        <w:tc>
          <w:tcPr>
            <w:tcW w:w="1708" w:type="dxa"/>
            <w:vAlign w:val="top"/>
          </w:tcPr>
          <w:p w14:paraId="7D1302D9">
            <w:pPr>
              <w:spacing w:line="261" w:lineRule="auto"/>
              <w:rPr>
                <w:rFonts w:ascii="Arial"/>
                <w:sz w:val="21"/>
              </w:rPr>
            </w:pPr>
          </w:p>
          <w:p w14:paraId="33F87D72">
            <w:pPr>
              <w:spacing w:line="262" w:lineRule="auto"/>
              <w:rPr>
                <w:rFonts w:ascii="Arial"/>
                <w:sz w:val="21"/>
              </w:rPr>
            </w:pPr>
          </w:p>
          <w:p w14:paraId="3DE5CA2F">
            <w:pPr>
              <w:spacing w:line="262" w:lineRule="auto"/>
              <w:rPr>
                <w:rFonts w:ascii="Arial"/>
                <w:sz w:val="21"/>
              </w:rPr>
            </w:pPr>
          </w:p>
          <w:p w14:paraId="62571B0F">
            <w:pPr>
              <w:spacing w:line="262" w:lineRule="auto"/>
              <w:rPr>
                <w:rFonts w:ascii="Arial"/>
                <w:sz w:val="21"/>
              </w:rPr>
            </w:pPr>
          </w:p>
          <w:p w14:paraId="41B2F065">
            <w:pPr>
              <w:spacing w:line="262" w:lineRule="auto"/>
              <w:rPr>
                <w:rFonts w:ascii="Arial"/>
                <w:sz w:val="21"/>
              </w:rPr>
            </w:pPr>
          </w:p>
          <w:p w14:paraId="7B363016">
            <w:pPr>
              <w:spacing w:line="262" w:lineRule="auto"/>
              <w:rPr>
                <w:rFonts w:ascii="Arial"/>
                <w:sz w:val="21"/>
              </w:rPr>
            </w:pPr>
          </w:p>
          <w:p w14:paraId="4B970907">
            <w:pPr>
              <w:spacing w:line="262" w:lineRule="auto"/>
              <w:rPr>
                <w:rFonts w:ascii="Arial"/>
                <w:sz w:val="21"/>
              </w:rPr>
            </w:pPr>
          </w:p>
          <w:p w14:paraId="32CC2A77">
            <w:pPr>
              <w:spacing w:line="262" w:lineRule="auto"/>
              <w:rPr>
                <w:rFonts w:ascii="Arial"/>
                <w:sz w:val="21"/>
              </w:rPr>
            </w:pPr>
          </w:p>
          <w:p w14:paraId="43DE27FB">
            <w:pPr>
              <w:spacing w:line="262" w:lineRule="auto"/>
              <w:rPr>
                <w:rFonts w:ascii="Arial"/>
                <w:sz w:val="21"/>
              </w:rPr>
            </w:pPr>
          </w:p>
          <w:p w14:paraId="4F3A3DA5">
            <w:pPr>
              <w:spacing w:line="262" w:lineRule="auto"/>
              <w:rPr>
                <w:rFonts w:ascii="Arial"/>
                <w:sz w:val="21"/>
              </w:rPr>
            </w:pPr>
          </w:p>
          <w:p w14:paraId="25F628D5">
            <w:pPr>
              <w:spacing w:before="68" w:line="276" w:lineRule="auto"/>
              <w:ind w:left="229" w:right="11" w:hanging="190"/>
              <w:rPr>
                <w:rFonts w:ascii="宋体" w:hAnsi="宋体" w:eastAsia="宋体" w:cs="宋体"/>
                <w:sz w:val="21"/>
                <w:szCs w:val="21"/>
              </w:rPr>
            </w:pPr>
            <w:r>
              <w:rPr>
                <w:rFonts w:ascii="宋体" w:hAnsi="宋体" w:eastAsia="宋体" w:cs="宋体"/>
                <w:spacing w:val="-4"/>
                <w:sz w:val="21"/>
                <w:szCs w:val="21"/>
              </w:rPr>
              <w:t>四川省沱江流域水</w:t>
            </w:r>
            <w:r>
              <w:rPr>
                <w:rFonts w:ascii="宋体" w:hAnsi="宋体" w:eastAsia="宋体" w:cs="宋体"/>
                <w:spacing w:val="-2"/>
                <w:sz w:val="21"/>
                <w:szCs w:val="21"/>
              </w:rPr>
              <w:t>环境保护条例</w:t>
            </w:r>
          </w:p>
        </w:tc>
        <w:tc>
          <w:tcPr>
            <w:tcW w:w="3962" w:type="dxa"/>
            <w:vAlign w:val="top"/>
          </w:tcPr>
          <w:p w14:paraId="15E19114">
            <w:pPr>
              <w:spacing w:before="51" w:line="274" w:lineRule="auto"/>
              <w:ind w:left="8" w:right="1"/>
              <w:jc w:val="both"/>
              <w:rPr>
                <w:rFonts w:ascii="宋体" w:hAnsi="宋体" w:eastAsia="宋体" w:cs="宋体"/>
                <w:sz w:val="21"/>
                <w:szCs w:val="21"/>
              </w:rPr>
            </w:pPr>
            <w:r>
              <w:rPr>
                <w:rFonts w:ascii="宋体" w:hAnsi="宋体" w:eastAsia="宋体" w:cs="宋体"/>
                <w:spacing w:val="3"/>
                <w:sz w:val="21"/>
                <w:szCs w:val="21"/>
              </w:rPr>
              <w:t>第三十九条 市、县级人民政府应当组织生</w:t>
            </w:r>
            <w:r>
              <w:rPr>
                <w:rFonts w:ascii="宋体" w:hAnsi="宋体" w:eastAsia="宋体" w:cs="宋体"/>
                <w:spacing w:val="-3"/>
                <w:sz w:val="21"/>
                <w:szCs w:val="21"/>
              </w:rPr>
              <w:t>态环境、农业农村等主管部门划定畜禽养殖</w:t>
            </w:r>
            <w:r>
              <w:rPr>
                <w:rFonts w:ascii="宋体" w:hAnsi="宋体" w:eastAsia="宋体" w:cs="宋体"/>
                <w:spacing w:val="-8"/>
                <w:sz w:val="21"/>
                <w:szCs w:val="21"/>
              </w:rPr>
              <w:t>禁养区。</w:t>
            </w:r>
          </w:p>
          <w:p w14:paraId="4B541B37">
            <w:pPr>
              <w:spacing w:before="2" w:line="274" w:lineRule="auto"/>
              <w:ind w:left="7"/>
              <w:jc w:val="both"/>
              <w:rPr>
                <w:rFonts w:ascii="宋体" w:hAnsi="宋体" w:eastAsia="宋体" w:cs="宋体"/>
                <w:sz w:val="21"/>
                <w:szCs w:val="21"/>
              </w:rPr>
            </w:pPr>
            <w:r>
              <w:rPr>
                <w:rFonts w:ascii="宋体" w:hAnsi="宋体" w:eastAsia="宋体" w:cs="宋体"/>
                <w:spacing w:val="-3"/>
                <w:sz w:val="21"/>
                <w:szCs w:val="21"/>
              </w:rPr>
              <w:t>禁养区内不得从事规模化畜禽养殖业；分散养殖畜禽的，应当采取措施防止环境污染。畜禽养殖场（小区）应当对畜禽养殖废弃物产前从源头上控减产生的数量，产中采取过程管理，实现达标或减量化排放，产后进行</w:t>
            </w:r>
            <w:r>
              <w:rPr>
                <w:rFonts w:ascii="宋体" w:hAnsi="宋体" w:eastAsia="宋体" w:cs="宋体"/>
                <w:spacing w:val="-8"/>
                <w:sz w:val="21"/>
                <w:szCs w:val="21"/>
              </w:rPr>
              <w:t>无害化处理、资源化综合利用， 确保污水达</w:t>
            </w:r>
            <w:r>
              <w:rPr>
                <w:rFonts w:ascii="宋体" w:hAnsi="宋体" w:eastAsia="宋体" w:cs="宋体"/>
                <w:spacing w:val="-4"/>
                <w:sz w:val="21"/>
                <w:szCs w:val="21"/>
              </w:rPr>
              <w:t>标排放并鼓励实现零排放。</w:t>
            </w:r>
          </w:p>
          <w:p w14:paraId="2B6B4E5E">
            <w:pPr>
              <w:spacing w:before="1" w:line="274" w:lineRule="auto"/>
              <w:ind w:left="7" w:firstLine="14"/>
              <w:jc w:val="both"/>
              <w:rPr>
                <w:rFonts w:ascii="宋体" w:hAnsi="宋体" w:eastAsia="宋体" w:cs="宋体"/>
                <w:sz w:val="21"/>
                <w:szCs w:val="21"/>
              </w:rPr>
            </w:pPr>
            <w:r>
              <w:rPr>
                <w:rFonts w:ascii="宋体" w:hAnsi="宋体" w:eastAsia="宋体" w:cs="宋体"/>
                <w:spacing w:val="-3"/>
                <w:sz w:val="21"/>
                <w:szCs w:val="21"/>
              </w:rPr>
              <w:t>畜禽养殖场（小区）和动物隔离场所，动物屠宰加工场所，以及动物和动物产品无害化处理场所，应当配备相应的清洗消毒设施设备及污水、污物、病死动物、染疫动物产品</w:t>
            </w:r>
            <w:r>
              <w:rPr>
                <w:rFonts w:ascii="宋体" w:hAnsi="宋体" w:eastAsia="宋体" w:cs="宋体"/>
                <w:spacing w:val="9"/>
                <w:sz w:val="21"/>
                <w:szCs w:val="21"/>
              </w:rPr>
              <w:t>的无害化处理设施设备或者委托专业处理</w:t>
            </w:r>
            <w:r>
              <w:rPr>
                <w:rFonts w:ascii="宋体" w:hAnsi="宋体" w:eastAsia="宋体" w:cs="宋体"/>
                <w:spacing w:val="-5"/>
                <w:sz w:val="21"/>
                <w:szCs w:val="21"/>
              </w:rPr>
              <w:t>机构进行处理。</w:t>
            </w:r>
          </w:p>
          <w:p w14:paraId="64C12AF8">
            <w:pPr>
              <w:spacing w:line="257" w:lineRule="auto"/>
              <w:ind w:left="12" w:right="1" w:firstLine="9"/>
              <w:jc w:val="both"/>
              <w:rPr>
                <w:rFonts w:ascii="宋体" w:hAnsi="宋体" w:eastAsia="宋体" w:cs="宋体"/>
                <w:sz w:val="21"/>
                <w:szCs w:val="21"/>
              </w:rPr>
            </w:pPr>
            <w:r>
              <w:rPr>
                <w:rFonts w:ascii="宋体" w:hAnsi="宋体" w:eastAsia="宋体" w:cs="宋体"/>
                <w:spacing w:val="-3"/>
                <w:sz w:val="21"/>
                <w:szCs w:val="21"/>
              </w:rPr>
              <w:t>畜禽散养密集区所在地县、乡级人民政府应当组织对畜禽粪便污水进行分户收集、集中</w:t>
            </w:r>
            <w:r>
              <w:rPr>
                <w:rFonts w:ascii="宋体" w:hAnsi="宋体" w:eastAsia="宋体" w:cs="宋体"/>
                <w:spacing w:val="-7"/>
                <w:sz w:val="21"/>
                <w:szCs w:val="21"/>
              </w:rPr>
              <w:t>处理利用。</w:t>
            </w:r>
          </w:p>
        </w:tc>
        <w:tc>
          <w:tcPr>
            <w:tcW w:w="1814" w:type="dxa"/>
            <w:vMerge w:val="continue"/>
            <w:tcBorders>
              <w:top w:val="nil"/>
              <w:bottom w:val="nil"/>
            </w:tcBorders>
            <w:vAlign w:val="top"/>
          </w:tcPr>
          <w:p w14:paraId="19F009D3">
            <w:pPr>
              <w:rPr>
                <w:rFonts w:ascii="Arial"/>
                <w:sz w:val="21"/>
              </w:rPr>
            </w:pPr>
          </w:p>
        </w:tc>
        <w:tc>
          <w:tcPr>
            <w:tcW w:w="836" w:type="dxa"/>
            <w:vAlign w:val="top"/>
          </w:tcPr>
          <w:p w14:paraId="0D9F04D9">
            <w:pPr>
              <w:spacing w:line="252" w:lineRule="auto"/>
              <w:rPr>
                <w:rFonts w:ascii="Arial"/>
                <w:sz w:val="21"/>
              </w:rPr>
            </w:pPr>
          </w:p>
          <w:p w14:paraId="1C4D7B82">
            <w:pPr>
              <w:spacing w:line="252" w:lineRule="auto"/>
              <w:rPr>
                <w:rFonts w:ascii="Arial"/>
                <w:sz w:val="21"/>
              </w:rPr>
            </w:pPr>
          </w:p>
          <w:p w14:paraId="4508DD0E">
            <w:pPr>
              <w:spacing w:line="252" w:lineRule="auto"/>
              <w:rPr>
                <w:rFonts w:ascii="Arial"/>
                <w:sz w:val="21"/>
              </w:rPr>
            </w:pPr>
          </w:p>
          <w:p w14:paraId="67CDD937">
            <w:pPr>
              <w:spacing w:line="252" w:lineRule="auto"/>
              <w:rPr>
                <w:rFonts w:ascii="Arial"/>
                <w:sz w:val="21"/>
              </w:rPr>
            </w:pPr>
          </w:p>
          <w:p w14:paraId="3FB936F6">
            <w:pPr>
              <w:spacing w:line="252" w:lineRule="auto"/>
              <w:rPr>
                <w:rFonts w:ascii="Arial"/>
                <w:sz w:val="21"/>
              </w:rPr>
            </w:pPr>
          </w:p>
          <w:p w14:paraId="0F36091A">
            <w:pPr>
              <w:spacing w:line="252" w:lineRule="auto"/>
              <w:rPr>
                <w:rFonts w:ascii="Arial"/>
                <w:sz w:val="21"/>
              </w:rPr>
            </w:pPr>
          </w:p>
          <w:p w14:paraId="719D5A21">
            <w:pPr>
              <w:spacing w:line="252" w:lineRule="auto"/>
              <w:rPr>
                <w:rFonts w:ascii="Arial"/>
                <w:sz w:val="21"/>
              </w:rPr>
            </w:pPr>
          </w:p>
          <w:p w14:paraId="0253E9E6">
            <w:pPr>
              <w:spacing w:line="252" w:lineRule="auto"/>
              <w:rPr>
                <w:rFonts w:ascii="Arial"/>
                <w:sz w:val="21"/>
              </w:rPr>
            </w:pPr>
          </w:p>
          <w:p w14:paraId="440A6A5D">
            <w:pPr>
              <w:spacing w:line="252" w:lineRule="auto"/>
              <w:rPr>
                <w:rFonts w:ascii="Arial"/>
                <w:sz w:val="21"/>
              </w:rPr>
            </w:pPr>
          </w:p>
          <w:p w14:paraId="07E41E66">
            <w:pPr>
              <w:spacing w:line="252" w:lineRule="auto"/>
              <w:rPr>
                <w:rFonts w:ascii="Arial"/>
                <w:sz w:val="21"/>
              </w:rPr>
            </w:pPr>
          </w:p>
          <w:p w14:paraId="2EB7A2AA">
            <w:pPr>
              <w:spacing w:line="252" w:lineRule="auto"/>
              <w:rPr>
                <w:rFonts w:ascii="Arial"/>
                <w:sz w:val="21"/>
              </w:rPr>
            </w:pPr>
          </w:p>
          <w:p w14:paraId="469B765E">
            <w:pPr>
              <w:spacing w:before="68" w:line="220" w:lineRule="auto"/>
              <w:ind w:left="215"/>
              <w:rPr>
                <w:rFonts w:ascii="宋体" w:hAnsi="宋体" w:eastAsia="宋体" w:cs="宋体"/>
                <w:sz w:val="21"/>
                <w:szCs w:val="21"/>
              </w:rPr>
            </w:pPr>
            <w:r>
              <w:rPr>
                <w:rFonts w:ascii="宋体" w:hAnsi="宋体" w:eastAsia="宋体" w:cs="宋体"/>
                <w:spacing w:val="-3"/>
                <w:sz w:val="21"/>
                <w:szCs w:val="21"/>
              </w:rPr>
              <w:t>符合</w:t>
            </w:r>
          </w:p>
        </w:tc>
      </w:tr>
      <w:tr w14:paraId="15F85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9" w:hRule="atLeast"/>
        </w:trPr>
        <w:tc>
          <w:tcPr>
            <w:tcW w:w="1708" w:type="dxa"/>
            <w:vAlign w:val="top"/>
          </w:tcPr>
          <w:p w14:paraId="26F9E5E5">
            <w:pPr>
              <w:spacing w:line="269" w:lineRule="auto"/>
              <w:rPr>
                <w:rFonts w:ascii="Arial"/>
                <w:sz w:val="21"/>
              </w:rPr>
            </w:pPr>
          </w:p>
          <w:p w14:paraId="4093C577">
            <w:pPr>
              <w:spacing w:line="269" w:lineRule="auto"/>
              <w:rPr>
                <w:rFonts w:ascii="Arial"/>
                <w:sz w:val="21"/>
              </w:rPr>
            </w:pPr>
          </w:p>
          <w:p w14:paraId="40614F99">
            <w:pPr>
              <w:spacing w:line="269" w:lineRule="auto"/>
              <w:rPr>
                <w:rFonts w:ascii="Arial"/>
                <w:sz w:val="21"/>
              </w:rPr>
            </w:pPr>
          </w:p>
          <w:p w14:paraId="3D89EF41">
            <w:pPr>
              <w:spacing w:line="269" w:lineRule="auto"/>
              <w:rPr>
                <w:rFonts w:ascii="Arial"/>
                <w:sz w:val="21"/>
              </w:rPr>
            </w:pPr>
          </w:p>
          <w:p w14:paraId="0294D2CE">
            <w:pPr>
              <w:spacing w:line="270" w:lineRule="auto"/>
              <w:rPr>
                <w:rFonts w:ascii="Arial"/>
                <w:sz w:val="21"/>
              </w:rPr>
            </w:pPr>
          </w:p>
          <w:p w14:paraId="7C9DB900">
            <w:pPr>
              <w:spacing w:line="270" w:lineRule="auto"/>
              <w:rPr>
                <w:rFonts w:ascii="Arial"/>
                <w:sz w:val="21"/>
              </w:rPr>
            </w:pPr>
          </w:p>
          <w:p w14:paraId="4014B6B5">
            <w:pPr>
              <w:spacing w:line="270" w:lineRule="auto"/>
              <w:rPr>
                <w:rFonts w:ascii="Arial"/>
                <w:sz w:val="21"/>
              </w:rPr>
            </w:pPr>
          </w:p>
          <w:p w14:paraId="23BEA5FC">
            <w:pPr>
              <w:spacing w:line="270" w:lineRule="auto"/>
              <w:rPr>
                <w:rFonts w:ascii="Arial"/>
                <w:sz w:val="21"/>
              </w:rPr>
            </w:pPr>
          </w:p>
          <w:p w14:paraId="5AABF995">
            <w:pPr>
              <w:pStyle w:val="6"/>
              <w:spacing w:before="69" w:line="212" w:lineRule="auto"/>
              <w:ind w:right="5"/>
              <w:jc w:val="right"/>
              <w:rPr>
                <w:rFonts w:ascii="宋体" w:hAnsi="宋体" w:eastAsia="宋体" w:cs="宋体"/>
              </w:rPr>
            </w:pPr>
            <w:r>
              <w:rPr>
                <w:rFonts w:ascii="宋体" w:hAnsi="宋体" w:eastAsia="宋体" w:cs="宋体"/>
                <w:spacing w:val="-5"/>
              </w:rPr>
              <w:t>内府发</w:t>
            </w:r>
            <w:r>
              <w:rPr>
                <w:spacing w:val="-5"/>
              </w:rPr>
              <w:t>[</w:t>
            </w:r>
            <w:r>
              <w:fldChar w:fldCharType="begin"/>
            </w:r>
            <w:r>
              <w:instrText xml:space="preserve"> HYPERLINK \l "bookmark127" </w:instrText>
            </w:r>
            <w:r>
              <w:fldChar w:fldCharType="separate"/>
            </w:r>
            <w:r>
              <w:rPr>
                <w:spacing w:val="-5"/>
              </w:rPr>
              <w:t>2016</w:t>
            </w:r>
            <w:r>
              <w:rPr>
                <w:spacing w:val="-5"/>
              </w:rPr>
              <w:fldChar w:fldCharType="end"/>
            </w:r>
            <w:r>
              <w:rPr>
                <w:spacing w:val="-5"/>
              </w:rPr>
              <w:t>]</w:t>
            </w:r>
            <w:r>
              <w:rPr>
                <w:spacing w:val="-26"/>
              </w:rPr>
              <w:t xml:space="preserve"> </w:t>
            </w:r>
            <w:r>
              <w:rPr>
                <w:spacing w:val="-5"/>
              </w:rPr>
              <w:t>11</w:t>
            </w:r>
            <w:r>
              <w:rPr>
                <w:spacing w:val="14"/>
              </w:rPr>
              <w:t xml:space="preserve"> </w:t>
            </w:r>
            <w:r>
              <w:rPr>
                <w:rFonts w:ascii="宋体" w:hAnsi="宋体" w:eastAsia="宋体" w:cs="宋体"/>
                <w:spacing w:val="-5"/>
              </w:rPr>
              <w:t>号</w:t>
            </w:r>
          </w:p>
        </w:tc>
        <w:tc>
          <w:tcPr>
            <w:tcW w:w="3962" w:type="dxa"/>
            <w:vAlign w:val="top"/>
          </w:tcPr>
          <w:p w14:paraId="5458E903">
            <w:pPr>
              <w:spacing w:before="54" w:line="219" w:lineRule="auto"/>
              <w:ind w:left="14"/>
              <w:rPr>
                <w:rFonts w:ascii="宋体" w:hAnsi="宋体" w:eastAsia="宋体" w:cs="宋体"/>
                <w:sz w:val="21"/>
                <w:szCs w:val="21"/>
              </w:rPr>
            </w:pPr>
            <w:r>
              <w:rPr>
                <w:rFonts w:ascii="宋体" w:hAnsi="宋体" w:eastAsia="宋体" w:cs="宋体"/>
                <w:spacing w:val="-3"/>
                <w:sz w:val="21"/>
                <w:szCs w:val="21"/>
              </w:rPr>
              <w:t>（三）推进农业农村污染防治</w:t>
            </w:r>
          </w:p>
          <w:p w14:paraId="7DCF4260">
            <w:pPr>
              <w:pStyle w:val="6"/>
              <w:spacing w:before="60" w:line="271" w:lineRule="auto"/>
              <w:ind w:left="7"/>
              <w:rPr>
                <w:rFonts w:ascii="宋体" w:hAnsi="宋体" w:eastAsia="宋体" w:cs="宋体"/>
              </w:rPr>
            </w:pPr>
            <w:r>
              <w:rPr>
                <w:spacing w:val="2"/>
              </w:rPr>
              <w:t>7</w:t>
            </w:r>
            <w:r>
              <w:rPr>
                <w:rFonts w:ascii="宋体" w:hAnsi="宋体" w:eastAsia="宋体" w:cs="宋体"/>
                <w:spacing w:val="2"/>
              </w:rPr>
              <w:t>、防治畜禽养殖污染。农业部门会同环保</w:t>
            </w:r>
            <w:r>
              <w:rPr>
                <w:rFonts w:ascii="宋体" w:hAnsi="宋体" w:eastAsia="宋体" w:cs="宋体"/>
                <w:spacing w:val="-4"/>
              </w:rPr>
              <w:t>部门组织指导各县（区）划定畜禽养殖禁养</w:t>
            </w:r>
            <w:r>
              <w:rPr>
                <w:rFonts w:ascii="宋体" w:hAnsi="宋体" w:eastAsia="宋体" w:cs="宋体"/>
                <w:spacing w:val="-3"/>
              </w:rPr>
              <w:t xml:space="preserve">区、限养区。自 </w:t>
            </w:r>
            <w:r>
              <w:rPr>
                <w:spacing w:val="-3"/>
              </w:rPr>
              <w:t>2016</w:t>
            </w:r>
            <w:r>
              <w:rPr>
                <w:spacing w:val="62"/>
              </w:rPr>
              <w:t xml:space="preserve"> </w:t>
            </w:r>
            <w:r>
              <w:rPr>
                <w:rFonts w:ascii="宋体" w:hAnsi="宋体" w:eastAsia="宋体" w:cs="宋体"/>
                <w:spacing w:val="-3"/>
              </w:rPr>
              <w:t>年起，新建、改建、</w:t>
            </w:r>
            <w:r>
              <w:rPr>
                <w:rFonts w:ascii="宋体" w:hAnsi="宋体" w:eastAsia="宋体" w:cs="宋体"/>
                <w:spacing w:val="-4"/>
              </w:rPr>
              <w:t>扩建规模化畜禽养殖场（小区）应实施雨污</w:t>
            </w:r>
            <w:r>
              <w:rPr>
                <w:rFonts w:ascii="宋体" w:hAnsi="宋体" w:eastAsia="宋体" w:cs="宋体"/>
                <w:spacing w:val="-8"/>
              </w:rPr>
              <w:t>分流、粪便污水资源化利用。</w:t>
            </w:r>
            <w:r>
              <w:rPr>
                <w:rFonts w:ascii="宋体" w:hAnsi="宋体" w:eastAsia="宋体" w:cs="宋体"/>
                <w:spacing w:val="-62"/>
              </w:rPr>
              <w:t xml:space="preserve"> </w:t>
            </w:r>
            <w:r>
              <w:rPr>
                <w:spacing w:val="-8"/>
              </w:rPr>
              <w:t xml:space="preserve">2016 </w:t>
            </w:r>
            <w:r>
              <w:rPr>
                <w:rFonts w:ascii="宋体" w:hAnsi="宋体" w:eastAsia="宋体" w:cs="宋体"/>
                <w:spacing w:val="-8"/>
              </w:rPr>
              <w:t>年</w:t>
            </w:r>
            <w:r>
              <w:rPr>
                <w:rFonts w:ascii="宋体" w:hAnsi="宋体" w:eastAsia="宋体" w:cs="宋体"/>
                <w:spacing w:val="-45"/>
              </w:rPr>
              <w:t xml:space="preserve"> </w:t>
            </w:r>
            <w:r>
              <w:rPr>
                <w:spacing w:val="-9"/>
              </w:rPr>
              <w:t>6</w:t>
            </w:r>
            <w:r>
              <w:rPr>
                <w:spacing w:val="14"/>
              </w:rPr>
              <w:t xml:space="preserve"> </w:t>
            </w:r>
            <w:r>
              <w:rPr>
                <w:rFonts w:ascii="宋体" w:hAnsi="宋体" w:eastAsia="宋体" w:cs="宋体"/>
                <w:spacing w:val="-9"/>
              </w:rPr>
              <w:t>月底</w:t>
            </w:r>
            <w:r>
              <w:rPr>
                <w:rFonts w:ascii="宋体" w:hAnsi="宋体" w:eastAsia="宋体" w:cs="宋体"/>
                <w:spacing w:val="-4"/>
              </w:rPr>
              <w:t>前，列出禁养区内的畜禽养殖场（小区）和列出需要治理的规模化养殖场清单；排查并</w:t>
            </w:r>
            <w:r>
              <w:rPr>
                <w:rFonts w:ascii="宋体" w:hAnsi="宋体" w:eastAsia="宋体" w:cs="宋体"/>
                <w:spacing w:val="8"/>
              </w:rPr>
              <w:t>列出散养密集且对水体水质造成污染的区</w:t>
            </w:r>
            <w:r>
              <w:rPr>
                <w:rFonts w:ascii="宋体" w:hAnsi="宋体" w:eastAsia="宋体" w:cs="宋体"/>
                <w:spacing w:val="-4"/>
              </w:rPr>
              <w:t>域名单，加快推进农村散养密集区沼气池建</w:t>
            </w:r>
            <w:r>
              <w:rPr>
                <w:rFonts w:ascii="宋体" w:hAnsi="宋体" w:eastAsia="宋体" w:cs="宋体"/>
                <w:spacing w:val="-3"/>
              </w:rPr>
              <w:t xml:space="preserve">设。…督促各县（区）在 </w:t>
            </w:r>
            <w:r>
              <w:rPr>
                <w:spacing w:val="-3"/>
              </w:rPr>
              <w:t>2017</w:t>
            </w:r>
            <w:r>
              <w:rPr>
                <w:spacing w:val="52"/>
                <w:w w:val="101"/>
              </w:rPr>
              <w:t xml:space="preserve"> </w:t>
            </w:r>
            <w:r>
              <w:rPr>
                <w:rFonts w:ascii="宋体" w:hAnsi="宋体" w:eastAsia="宋体" w:cs="宋体"/>
                <w:spacing w:val="-3"/>
              </w:rPr>
              <w:t>年底前依法关闭或搬迁禁养区内的畜禽养殖场（小区）</w:t>
            </w:r>
            <w:r>
              <w:rPr>
                <w:rFonts w:ascii="宋体" w:hAnsi="宋体" w:eastAsia="宋体" w:cs="宋体"/>
                <w:spacing w:val="-4"/>
              </w:rPr>
              <w:t>和养殖专业户，督促规模化养殖企业建设粪</w:t>
            </w:r>
            <w:r>
              <w:rPr>
                <w:rFonts w:ascii="宋体" w:hAnsi="宋体" w:eastAsia="宋体" w:cs="宋体"/>
                <w:spacing w:val="-9"/>
              </w:rPr>
              <w:t>便贮存、处理、利用设施， 完善规模化养殖</w:t>
            </w:r>
            <w:r>
              <w:rPr>
                <w:rFonts w:ascii="宋体" w:hAnsi="宋体" w:eastAsia="宋体" w:cs="宋体"/>
                <w:spacing w:val="-5"/>
              </w:rPr>
              <w:t>场（小区）监管。</w:t>
            </w:r>
          </w:p>
        </w:tc>
        <w:tc>
          <w:tcPr>
            <w:tcW w:w="1814" w:type="dxa"/>
            <w:vMerge w:val="continue"/>
            <w:tcBorders>
              <w:top w:val="nil"/>
            </w:tcBorders>
            <w:vAlign w:val="top"/>
          </w:tcPr>
          <w:p w14:paraId="107234A9">
            <w:pPr>
              <w:rPr>
                <w:rFonts w:ascii="Arial"/>
                <w:sz w:val="21"/>
              </w:rPr>
            </w:pPr>
          </w:p>
        </w:tc>
        <w:tc>
          <w:tcPr>
            <w:tcW w:w="836" w:type="dxa"/>
            <w:vAlign w:val="top"/>
          </w:tcPr>
          <w:p w14:paraId="23D30BD3">
            <w:pPr>
              <w:spacing w:line="269" w:lineRule="auto"/>
              <w:rPr>
                <w:rFonts w:ascii="Arial"/>
                <w:sz w:val="21"/>
              </w:rPr>
            </w:pPr>
          </w:p>
          <w:p w14:paraId="20AEE9BC">
            <w:pPr>
              <w:spacing w:line="269" w:lineRule="auto"/>
              <w:rPr>
                <w:rFonts w:ascii="Arial"/>
                <w:sz w:val="21"/>
              </w:rPr>
            </w:pPr>
          </w:p>
          <w:p w14:paraId="5DEC9432">
            <w:pPr>
              <w:spacing w:line="269" w:lineRule="auto"/>
              <w:rPr>
                <w:rFonts w:ascii="Arial"/>
                <w:sz w:val="21"/>
              </w:rPr>
            </w:pPr>
          </w:p>
          <w:p w14:paraId="05295EE5">
            <w:pPr>
              <w:spacing w:line="269" w:lineRule="auto"/>
              <w:rPr>
                <w:rFonts w:ascii="Arial"/>
                <w:sz w:val="21"/>
              </w:rPr>
            </w:pPr>
          </w:p>
          <w:p w14:paraId="65FB9844">
            <w:pPr>
              <w:spacing w:line="270" w:lineRule="auto"/>
              <w:rPr>
                <w:rFonts w:ascii="Arial"/>
                <w:sz w:val="21"/>
              </w:rPr>
            </w:pPr>
          </w:p>
          <w:p w14:paraId="02F43A53">
            <w:pPr>
              <w:spacing w:line="270" w:lineRule="auto"/>
              <w:rPr>
                <w:rFonts w:ascii="Arial"/>
                <w:sz w:val="21"/>
              </w:rPr>
            </w:pPr>
          </w:p>
          <w:p w14:paraId="327290F7">
            <w:pPr>
              <w:spacing w:line="270" w:lineRule="auto"/>
              <w:rPr>
                <w:rFonts w:ascii="Arial"/>
                <w:sz w:val="21"/>
              </w:rPr>
            </w:pPr>
          </w:p>
          <w:p w14:paraId="05117AE9">
            <w:pPr>
              <w:spacing w:line="270" w:lineRule="auto"/>
              <w:rPr>
                <w:rFonts w:ascii="Arial"/>
                <w:sz w:val="21"/>
              </w:rPr>
            </w:pPr>
          </w:p>
          <w:p w14:paraId="651195D5">
            <w:pPr>
              <w:spacing w:before="68" w:line="220" w:lineRule="auto"/>
              <w:ind w:left="215"/>
              <w:rPr>
                <w:rFonts w:ascii="宋体" w:hAnsi="宋体" w:eastAsia="宋体" w:cs="宋体"/>
                <w:sz w:val="21"/>
                <w:szCs w:val="21"/>
              </w:rPr>
            </w:pPr>
            <w:r>
              <w:rPr>
                <w:rFonts w:ascii="宋体" w:hAnsi="宋体" w:eastAsia="宋体" w:cs="宋体"/>
                <w:spacing w:val="-3"/>
                <w:sz w:val="21"/>
                <w:szCs w:val="21"/>
              </w:rPr>
              <w:t>符合</w:t>
            </w:r>
          </w:p>
        </w:tc>
      </w:tr>
    </w:tbl>
    <w:p w14:paraId="474279B7">
      <w:pPr>
        <w:pStyle w:val="2"/>
      </w:pPr>
    </w:p>
    <w:p w14:paraId="5756FCD7">
      <w:pPr>
        <w:sectPr>
          <w:headerReference r:id="rId79" w:type="default"/>
          <w:footerReference r:id="rId80" w:type="default"/>
          <w:pgSz w:w="11905" w:h="16840"/>
          <w:pgMar w:top="1168" w:right="1768" w:bottom="1408" w:left="1770" w:header="828" w:footer="1244" w:gutter="0"/>
          <w:cols w:space="720" w:num="1"/>
        </w:sectPr>
      </w:pPr>
    </w:p>
    <w:p w14:paraId="65224861">
      <w:pPr>
        <w:pStyle w:val="2"/>
        <w:spacing w:line="353" w:lineRule="auto"/>
      </w:pPr>
    </w:p>
    <w:p w14:paraId="5E3344E2">
      <w:pPr>
        <w:spacing w:before="88" w:line="226" w:lineRule="auto"/>
        <w:ind w:left="48"/>
        <w:rPr>
          <w:rFonts w:ascii="宋体" w:hAnsi="宋体" w:eastAsia="宋体" w:cs="宋体"/>
          <w:sz w:val="27"/>
          <w:szCs w:val="27"/>
        </w:rPr>
      </w:pPr>
      <w:r>
        <w:rPr>
          <w:rFonts w:ascii="Times New Roman" w:hAnsi="Times New Roman" w:eastAsia="Times New Roman" w:cs="Times New Roman"/>
          <w:b/>
          <w:bCs/>
          <w:spacing w:val="5"/>
          <w:sz w:val="27"/>
          <w:szCs w:val="27"/>
        </w:rPr>
        <w:t>1.6.2.3</w:t>
      </w:r>
      <w:r>
        <w:rPr>
          <w:rFonts w:ascii="Times New Roman" w:hAnsi="Times New Roman" w:eastAsia="Times New Roman" w:cs="Times New Roman"/>
          <w:b/>
          <w:bCs/>
          <w:spacing w:val="22"/>
          <w:sz w:val="27"/>
          <w:szCs w:val="27"/>
        </w:rPr>
        <w:t xml:space="preserve"> </w:t>
      </w:r>
      <w:r>
        <w:rPr>
          <w:rFonts w:ascii="宋体" w:hAnsi="宋体" w:eastAsia="宋体" w:cs="宋体"/>
          <w:b/>
          <w:bCs/>
          <w:spacing w:val="5"/>
          <w:sz w:val="27"/>
          <w:szCs w:val="27"/>
        </w:rPr>
        <w:t>与大气污染防治规划的符合性分析</w:t>
      </w:r>
    </w:p>
    <w:p w14:paraId="2A4FF88E">
      <w:pPr>
        <w:spacing w:before="235" w:line="360" w:lineRule="auto"/>
        <w:ind w:left="39" w:right="17" w:firstLine="480"/>
        <w:jc w:val="both"/>
        <w:rPr>
          <w:rFonts w:ascii="宋体" w:hAnsi="宋体" w:eastAsia="宋体" w:cs="宋体"/>
          <w:sz w:val="24"/>
          <w:szCs w:val="24"/>
        </w:rPr>
      </w:pPr>
      <w:r>
        <w:rPr>
          <w:rFonts w:ascii="宋体" w:hAnsi="宋体" w:eastAsia="宋体" w:cs="宋体"/>
          <w:spacing w:val="-4"/>
          <w:sz w:val="24"/>
          <w:szCs w:val="24"/>
        </w:rPr>
        <w:t>根据《四川省人民政府关于印发四川省打赢蓝天保卫战等九个实施方案的通</w:t>
      </w:r>
      <w:r>
        <w:rPr>
          <w:rFonts w:ascii="宋体" w:hAnsi="宋体" w:eastAsia="宋体" w:cs="宋体"/>
          <w:spacing w:val="3"/>
          <w:sz w:val="24"/>
          <w:szCs w:val="24"/>
        </w:rPr>
        <w:t>知》（川府发</w:t>
      </w:r>
      <w:r>
        <w:rPr>
          <w:rFonts w:ascii="Times New Roman" w:hAnsi="Times New Roman" w:eastAsia="Times New Roman" w:cs="Times New Roman"/>
          <w:spacing w:val="3"/>
          <w:sz w:val="24"/>
          <w:szCs w:val="24"/>
        </w:rPr>
        <w:t>[</w:t>
      </w:r>
      <w:r>
        <w:fldChar w:fldCharType="begin"/>
      </w:r>
      <w:r>
        <w:instrText xml:space="preserve"> HYPERLINK \l "bookmark128" </w:instrText>
      </w:r>
      <w:r>
        <w:fldChar w:fldCharType="separate"/>
      </w:r>
      <w:r>
        <w:rPr>
          <w:rFonts w:ascii="Times New Roman" w:hAnsi="Times New Roman" w:eastAsia="Times New Roman" w:cs="Times New Roman"/>
          <w:spacing w:val="3"/>
          <w:sz w:val="24"/>
          <w:szCs w:val="24"/>
        </w:rPr>
        <w:t>2019</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]4</w:t>
      </w:r>
      <w:r>
        <w:rPr>
          <w:rFonts w:ascii="宋体" w:hAnsi="宋体" w:eastAsia="宋体" w:cs="宋体"/>
          <w:spacing w:val="3"/>
          <w:sz w:val="24"/>
          <w:szCs w:val="24"/>
        </w:rPr>
        <w:t>号）中《四川省</w:t>
      </w:r>
      <w:r>
        <w:rPr>
          <w:rFonts w:ascii="宋体" w:hAnsi="宋体" w:eastAsia="宋体" w:cs="宋体"/>
          <w:spacing w:val="2"/>
          <w:sz w:val="24"/>
          <w:szCs w:val="24"/>
        </w:rPr>
        <w:t>打赢蓝天保卫战实施方案》提到：“调整</w:t>
      </w:r>
      <w:r>
        <w:rPr>
          <w:rFonts w:ascii="宋体" w:hAnsi="宋体" w:eastAsia="宋体" w:cs="宋体"/>
          <w:spacing w:val="-6"/>
          <w:sz w:val="24"/>
          <w:szCs w:val="24"/>
        </w:rPr>
        <w:t>农业结构，发展生态农业。……加强养殖业氨排放治理。推广</w:t>
      </w:r>
      <w:r>
        <w:rPr>
          <w:rFonts w:ascii="宋体" w:hAnsi="宋体" w:eastAsia="宋体" w:cs="宋体"/>
          <w:spacing w:val="-7"/>
          <w:sz w:val="24"/>
          <w:szCs w:val="24"/>
        </w:rPr>
        <w:t>低蛋白饲料， 改进</w:t>
      </w:r>
      <w:r>
        <w:rPr>
          <w:rFonts w:ascii="宋体" w:hAnsi="宋体" w:eastAsia="宋体" w:cs="宋体"/>
          <w:spacing w:val="-8"/>
          <w:sz w:val="24"/>
          <w:szCs w:val="24"/>
        </w:rPr>
        <w:t>养殖场通风环境，强化畜禽粪污资源化利用。鼓励农村地区实施规模化畜禽养殖，</w:t>
      </w:r>
      <w:r>
        <w:rPr>
          <w:rFonts w:ascii="宋体" w:hAnsi="宋体" w:eastAsia="宋体" w:cs="宋体"/>
          <w:spacing w:val="4"/>
          <w:sz w:val="24"/>
          <w:szCs w:val="24"/>
        </w:rPr>
        <w:t>推广种养结合的生态农业循环模式，降低大气氨排放。”</w:t>
      </w:r>
    </w:p>
    <w:p w14:paraId="0B7584C1">
      <w:pPr>
        <w:spacing w:line="360" w:lineRule="auto"/>
        <w:ind w:left="39" w:firstLine="480"/>
        <w:jc w:val="both"/>
        <w:rPr>
          <w:rFonts w:ascii="宋体" w:hAnsi="宋体" w:eastAsia="宋体" w:cs="宋体"/>
          <w:sz w:val="24"/>
          <w:szCs w:val="24"/>
        </w:rPr>
      </w:pPr>
      <w:r>
        <w:rPr>
          <w:rFonts w:ascii="宋体" w:hAnsi="宋体" w:eastAsia="宋体" w:cs="宋体"/>
          <w:spacing w:val="-3"/>
          <w:sz w:val="24"/>
          <w:szCs w:val="24"/>
        </w:rPr>
        <w:t>本项目为规模化生猪养殖场建设项目，养殖饲料为成品颗粒饲</w:t>
      </w:r>
      <w:r>
        <w:rPr>
          <w:rFonts w:ascii="宋体" w:hAnsi="宋体" w:eastAsia="宋体" w:cs="宋体"/>
          <w:spacing w:val="-4"/>
          <w:sz w:val="24"/>
          <w:szCs w:val="24"/>
        </w:rPr>
        <w:t>料，主要成分</w:t>
      </w:r>
      <w:r>
        <w:rPr>
          <w:rFonts w:ascii="宋体" w:hAnsi="宋体" w:eastAsia="宋体" w:cs="宋体"/>
          <w:spacing w:val="-3"/>
          <w:sz w:val="24"/>
          <w:szCs w:val="24"/>
        </w:rPr>
        <w:t>为大豆、豆粕、玉米、鱼粉、氨基酸、杂粕、乳清粉、油脂、肉骨粉、谷物、饲</w:t>
      </w:r>
      <w:r>
        <w:rPr>
          <w:rFonts w:ascii="宋体" w:hAnsi="宋体" w:eastAsia="宋体" w:cs="宋体"/>
          <w:spacing w:val="-6"/>
          <w:sz w:val="24"/>
          <w:szCs w:val="24"/>
        </w:rPr>
        <w:t>料添加剂等，属低蛋白饲料。本项目猪舍设置有机械通风装置，</w:t>
      </w:r>
      <w:r>
        <w:rPr>
          <w:rFonts w:ascii="宋体" w:hAnsi="宋体" w:eastAsia="宋体" w:cs="宋体"/>
          <w:spacing w:val="-7"/>
          <w:sz w:val="24"/>
          <w:szCs w:val="24"/>
        </w:rPr>
        <w:t xml:space="preserve"> 养殖过程产生的</w:t>
      </w:r>
      <w:r>
        <w:rPr>
          <w:rFonts w:ascii="宋体" w:hAnsi="宋体" w:eastAsia="宋体" w:cs="宋体"/>
          <w:spacing w:val="-1"/>
          <w:sz w:val="24"/>
          <w:szCs w:val="24"/>
        </w:rPr>
        <w:t>粪便经固液分离后于堆粪棚暂存，交有机肥厂生产有机肥，可实现资源化利用。</w:t>
      </w:r>
    </w:p>
    <w:p w14:paraId="200931AE">
      <w:pPr>
        <w:spacing w:line="219" w:lineRule="auto"/>
        <w:ind w:left="538"/>
        <w:rPr>
          <w:rFonts w:ascii="宋体" w:hAnsi="宋体" w:eastAsia="宋体" w:cs="宋体"/>
          <w:sz w:val="24"/>
          <w:szCs w:val="24"/>
        </w:rPr>
      </w:pPr>
      <w:r>
        <w:rPr>
          <w:rFonts w:ascii="宋体" w:hAnsi="宋体" w:eastAsia="宋体" w:cs="宋体"/>
          <w:spacing w:val="-2"/>
          <w:sz w:val="24"/>
          <w:szCs w:val="24"/>
        </w:rPr>
        <w:t>因此，项目符合《四川省打赢蓝天保卫战实施方案》中的大气防治要求。</w:t>
      </w:r>
    </w:p>
    <w:p w14:paraId="4F538A5E">
      <w:pPr>
        <w:spacing w:before="240" w:line="226" w:lineRule="auto"/>
        <w:ind w:left="48"/>
        <w:rPr>
          <w:rFonts w:ascii="宋体" w:hAnsi="宋体" w:eastAsia="宋体" w:cs="宋体"/>
          <w:sz w:val="27"/>
          <w:szCs w:val="27"/>
        </w:rPr>
      </w:pPr>
      <w:r>
        <w:rPr>
          <w:rFonts w:ascii="Times New Roman" w:hAnsi="Times New Roman" w:eastAsia="Times New Roman" w:cs="Times New Roman"/>
          <w:b/>
          <w:bCs/>
          <w:spacing w:val="5"/>
          <w:sz w:val="27"/>
          <w:szCs w:val="27"/>
        </w:rPr>
        <w:t>1.6.2.4</w:t>
      </w:r>
      <w:r>
        <w:rPr>
          <w:rFonts w:ascii="Times New Roman" w:hAnsi="Times New Roman" w:eastAsia="Times New Roman" w:cs="Times New Roman"/>
          <w:b/>
          <w:bCs/>
          <w:spacing w:val="22"/>
          <w:sz w:val="27"/>
          <w:szCs w:val="27"/>
        </w:rPr>
        <w:t xml:space="preserve"> </w:t>
      </w:r>
      <w:r>
        <w:rPr>
          <w:rFonts w:ascii="宋体" w:hAnsi="宋体" w:eastAsia="宋体" w:cs="宋体"/>
          <w:b/>
          <w:bCs/>
          <w:spacing w:val="5"/>
          <w:sz w:val="27"/>
          <w:szCs w:val="27"/>
        </w:rPr>
        <w:t>与土壤污染防治规划的符合性分析</w:t>
      </w:r>
    </w:p>
    <w:p w14:paraId="6E6F4920">
      <w:pPr>
        <w:spacing w:before="236" w:line="362" w:lineRule="auto"/>
        <w:ind w:left="43" w:right="104" w:firstLine="477"/>
        <w:rPr>
          <w:rFonts w:ascii="宋体" w:hAnsi="宋体" w:eastAsia="宋体" w:cs="宋体"/>
          <w:sz w:val="24"/>
          <w:szCs w:val="24"/>
        </w:rPr>
      </w:pPr>
      <w:r>
        <w:rPr>
          <w:rFonts w:ascii="宋体" w:hAnsi="宋体" w:eastAsia="宋体" w:cs="宋体"/>
          <w:spacing w:val="-4"/>
          <w:sz w:val="24"/>
          <w:szCs w:val="24"/>
        </w:rPr>
        <w:t>本项目与《土壤污染防治行动计划》（简称“土十条”）和《土壤污染防治行动计划四川省工作方案》符合性分析见下表：</w:t>
      </w:r>
    </w:p>
    <w:p w14:paraId="00473BDB">
      <w:pPr>
        <w:spacing w:before="8" w:line="221" w:lineRule="auto"/>
        <w:ind w:left="182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1.6-3  </w:t>
      </w:r>
      <w:r>
        <w:rPr>
          <w:rFonts w:ascii="黑体" w:hAnsi="黑体" w:eastAsia="黑体" w:cs="黑体"/>
          <w:spacing w:val="-1"/>
          <w:sz w:val="21"/>
          <w:szCs w:val="21"/>
        </w:rPr>
        <w:t>与相关土壤污染防治规划符合性分析一览表</w:t>
      </w:r>
    </w:p>
    <w:p w14:paraId="00287929">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3962"/>
        <w:gridCol w:w="1814"/>
        <w:gridCol w:w="836"/>
      </w:tblGrid>
      <w:tr w14:paraId="41B2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08" w:type="dxa"/>
            <w:vAlign w:val="top"/>
          </w:tcPr>
          <w:p w14:paraId="58134A11">
            <w:pPr>
              <w:spacing w:before="68" w:line="222" w:lineRule="auto"/>
              <w:ind w:left="440"/>
              <w:rPr>
                <w:rFonts w:ascii="宋体" w:hAnsi="宋体" w:eastAsia="宋体" w:cs="宋体"/>
                <w:sz w:val="21"/>
                <w:szCs w:val="21"/>
              </w:rPr>
            </w:pPr>
            <w:r>
              <w:rPr>
                <w:rFonts w:ascii="宋体" w:hAnsi="宋体" w:eastAsia="宋体" w:cs="宋体"/>
                <w:spacing w:val="-2"/>
                <w:sz w:val="21"/>
                <w:szCs w:val="21"/>
              </w:rPr>
              <w:t>规划名称</w:t>
            </w:r>
          </w:p>
        </w:tc>
        <w:tc>
          <w:tcPr>
            <w:tcW w:w="3962" w:type="dxa"/>
            <w:vAlign w:val="top"/>
          </w:tcPr>
          <w:p w14:paraId="49BABA5F">
            <w:pPr>
              <w:spacing w:before="68" w:line="220" w:lineRule="auto"/>
              <w:ind w:left="1567"/>
              <w:rPr>
                <w:rFonts w:ascii="宋体" w:hAnsi="宋体" w:eastAsia="宋体" w:cs="宋体"/>
                <w:sz w:val="21"/>
                <w:szCs w:val="21"/>
              </w:rPr>
            </w:pPr>
            <w:r>
              <w:rPr>
                <w:rFonts w:ascii="宋体" w:hAnsi="宋体" w:eastAsia="宋体" w:cs="宋体"/>
                <w:spacing w:val="-2"/>
                <w:sz w:val="21"/>
                <w:szCs w:val="21"/>
              </w:rPr>
              <w:t>规划内容</w:t>
            </w:r>
          </w:p>
        </w:tc>
        <w:tc>
          <w:tcPr>
            <w:tcW w:w="1814" w:type="dxa"/>
            <w:vAlign w:val="top"/>
          </w:tcPr>
          <w:p w14:paraId="5CF2D00D">
            <w:pPr>
              <w:spacing w:before="68" w:line="219" w:lineRule="auto"/>
              <w:ind w:left="389"/>
              <w:rPr>
                <w:rFonts w:ascii="宋体" w:hAnsi="宋体" w:eastAsia="宋体" w:cs="宋体"/>
                <w:sz w:val="21"/>
                <w:szCs w:val="21"/>
              </w:rPr>
            </w:pPr>
            <w:r>
              <w:rPr>
                <w:rFonts w:ascii="宋体" w:hAnsi="宋体" w:eastAsia="宋体" w:cs="宋体"/>
                <w:spacing w:val="-2"/>
                <w:sz w:val="21"/>
                <w:szCs w:val="21"/>
              </w:rPr>
              <w:t>本项目情况</w:t>
            </w:r>
          </w:p>
        </w:tc>
        <w:tc>
          <w:tcPr>
            <w:tcW w:w="836" w:type="dxa"/>
            <w:vAlign w:val="top"/>
          </w:tcPr>
          <w:p w14:paraId="368A9B14">
            <w:pPr>
              <w:spacing w:before="68" w:line="220" w:lineRule="auto"/>
              <w:ind w:left="110"/>
              <w:rPr>
                <w:rFonts w:ascii="宋体" w:hAnsi="宋体" w:eastAsia="宋体" w:cs="宋体"/>
                <w:sz w:val="21"/>
                <w:szCs w:val="21"/>
              </w:rPr>
            </w:pPr>
            <w:r>
              <w:rPr>
                <w:rFonts w:ascii="宋体" w:hAnsi="宋体" w:eastAsia="宋体" w:cs="宋体"/>
                <w:spacing w:val="-3"/>
                <w:sz w:val="21"/>
                <w:szCs w:val="21"/>
              </w:rPr>
              <w:t>符合性</w:t>
            </w:r>
          </w:p>
        </w:tc>
      </w:tr>
      <w:tr w14:paraId="1AE9A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708" w:type="dxa"/>
            <w:vAlign w:val="top"/>
          </w:tcPr>
          <w:p w14:paraId="56DCDB10">
            <w:pPr>
              <w:spacing w:line="446" w:lineRule="auto"/>
              <w:rPr>
                <w:rFonts w:ascii="Arial"/>
                <w:sz w:val="21"/>
              </w:rPr>
            </w:pPr>
          </w:p>
          <w:p w14:paraId="39AD0F36">
            <w:pPr>
              <w:spacing w:before="68" w:line="277" w:lineRule="auto"/>
              <w:ind w:left="440" w:right="21" w:hanging="420"/>
              <w:rPr>
                <w:rFonts w:ascii="宋体" w:hAnsi="宋体" w:eastAsia="宋体" w:cs="宋体"/>
                <w:sz w:val="21"/>
                <w:szCs w:val="21"/>
              </w:rPr>
            </w:pPr>
            <w:r>
              <w:rPr>
                <w:rFonts w:ascii="宋体" w:hAnsi="宋体" w:eastAsia="宋体" w:cs="宋体"/>
                <w:spacing w:val="-3"/>
                <w:sz w:val="21"/>
                <w:szCs w:val="21"/>
              </w:rPr>
              <w:t>《土壤污染防治行</w:t>
            </w:r>
            <w:r>
              <w:rPr>
                <w:rFonts w:ascii="宋体" w:hAnsi="宋体" w:eastAsia="宋体" w:cs="宋体"/>
                <w:spacing w:val="-4"/>
                <w:sz w:val="21"/>
                <w:szCs w:val="21"/>
              </w:rPr>
              <w:t>动计划》</w:t>
            </w:r>
          </w:p>
        </w:tc>
        <w:tc>
          <w:tcPr>
            <w:tcW w:w="3962" w:type="dxa"/>
            <w:vAlign w:val="top"/>
          </w:tcPr>
          <w:p w14:paraId="2E0B9241">
            <w:pPr>
              <w:spacing w:before="51" w:line="264" w:lineRule="auto"/>
              <w:ind w:left="7" w:right="1" w:firstLine="6"/>
              <w:jc w:val="both"/>
              <w:rPr>
                <w:rFonts w:ascii="宋体" w:hAnsi="宋体" w:eastAsia="宋体" w:cs="宋体"/>
                <w:sz w:val="21"/>
                <w:szCs w:val="21"/>
              </w:rPr>
            </w:pPr>
            <w:r>
              <w:rPr>
                <w:rFonts w:ascii="宋体" w:hAnsi="宋体" w:eastAsia="宋体" w:cs="宋体"/>
                <w:spacing w:val="-3"/>
                <w:sz w:val="21"/>
                <w:szCs w:val="21"/>
              </w:rPr>
              <w:t>强化畜禽养殖污染防治。严格规范兽药、饲料添加剂的生产和使用，防止过量使用，促</w:t>
            </w:r>
            <w:r>
              <w:rPr>
                <w:rFonts w:ascii="宋体" w:hAnsi="宋体" w:eastAsia="宋体" w:cs="宋体"/>
                <w:spacing w:val="-8"/>
                <w:sz w:val="21"/>
                <w:szCs w:val="21"/>
              </w:rPr>
              <w:t>进源头减量。加强畜禽粪便综合利用， 在部</w:t>
            </w:r>
            <w:r>
              <w:rPr>
                <w:rFonts w:ascii="宋体" w:hAnsi="宋体" w:eastAsia="宋体" w:cs="宋体"/>
                <w:spacing w:val="-3"/>
                <w:sz w:val="21"/>
                <w:szCs w:val="21"/>
              </w:rPr>
              <w:t>分生猪大县开展种养业有机结合、循环发展</w:t>
            </w:r>
            <w:r>
              <w:rPr>
                <w:rFonts w:ascii="宋体" w:hAnsi="宋体" w:eastAsia="宋体" w:cs="宋体"/>
                <w:spacing w:val="-9"/>
                <w:sz w:val="21"/>
                <w:szCs w:val="21"/>
              </w:rPr>
              <w:t>试点。</w:t>
            </w:r>
          </w:p>
        </w:tc>
        <w:tc>
          <w:tcPr>
            <w:tcW w:w="1814" w:type="dxa"/>
            <w:vMerge w:val="restart"/>
            <w:tcBorders>
              <w:bottom w:val="nil"/>
            </w:tcBorders>
            <w:vAlign w:val="top"/>
          </w:tcPr>
          <w:p w14:paraId="759AFB35">
            <w:pPr>
              <w:spacing w:line="245" w:lineRule="auto"/>
              <w:rPr>
                <w:rFonts w:ascii="Arial"/>
                <w:sz w:val="21"/>
              </w:rPr>
            </w:pPr>
          </w:p>
          <w:p w14:paraId="6592D989">
            <w:pPr>
              <w:spacing w:line="245" w:lineRule="auto"/>
              <w:rPr>
                <w:rFonts w:ascii="Arial"/>
                <w:sz w:val="21"/>
              </w:rPr>
            </w:pPr>
          </w:p>
          <w:p w14:paraId="0C5CD3E0">
            <w:pPr>
              <w:spacing w:line="246" w:lineRule="auto"/>
              <w:rPr>
                <w:rFonts w:ascii="Arial"/>
                <w:sz w:val="21"/>
              </w:rPr>
            </w:pPr>
          </w:p>
          <w:p w14:paraId="2A82DED8">
            <w:pPr>
              <w:spacing w:line="246" w:lineRule="auto"/>
              <w:rPr>
                <w:rFonts w:ascii="Arial"/>
                <w:sz w:val="21"/>
              </w:rPr>
            </w:pPr>
          </w:p>
          <w:p w14:paraId="28A5DCA2">
            <w:pPr>
              <w:spacing w:line="246" w:lineRule="auto"/>
              <w:rPr>
                <w:rFonts w:ascii="Arial"/>
                <w:sz w:val="21"/>
              </w:rPr>
            </w:pPr>
          </w:p>
          <w:p w14:paraId="4931331E">
            <w:pPr>
              <w:pStyle w:val="6"/>
              <w:spacing w:before="68" w:line="274" w:lineRule="auto"/>
              <w:ind w:left="11" w:firstLine="16"/>
              <w:rPr>
                <w:rFonts w:ascii="宋体" w:hAnsi="宋体" w:eastAsia="宋体" w:cs="宋体"/>
              </w:rPr>
            </w:pPr>
            <w:r>
              <w:rPr>
                <w:spacing w:val="-2"/>
              </w:rPr>
              <w:t>1</w:t>
            </w:r>
            <w:r>
              <w:rPr>
                <w:rFonts w:ascii="宋体" w:hAnsi="宋体" w:eastAsia="宋体" w:cs="宋体"/>
                <w:spacing w:val="-2"/>
              </w:rPr>
              <w:t>、本项目运营过程</w:t>
            </w:r>
            <w:r>
              <w:rPr>
                <w:rFonts w:ascii="宋体" w:hAnsi="宋体" w:eastAsia="宋体" w:cs="宋体"/>
                <w:spacing w:val="-11"/>
              </w:rPr>
              <w:t>中严格规范兽药、饲料添加剂的使用，防</w:t>
            </w:r>
            <w:r>
              <w:rPr>
                <w:rFonts w:ascii="宋体" w:hAnsi="宋体" w:eastAsia="宋体" w:cs="宋体"/>
                <w:spacing w:val="-6"/>
              </w:rPr>
              <w:t>止过度使用。</w:t>
            </w:r>
          </w:p>
          <w:p w14:paraId="5CABCB8D">
            <w:pPr>
              <w:pStyle w:val="6"/>
              <w:spacing w:line="275" w:lineRule="auto"/>
              <w:ind w:left="10" w:hanging="3"/>
              <w:rPr>
                <w:rFonts w:ascii="宋体" w:hAnsi="宋体" w:eastAsia="宋体" w:cs="宋体"/>
              </w:rPr>
            </w:pPr>
            <w:r>
              <w:t>2</w:t>
            </w:r>
            <w:r>
              <w:rPr>
                <w:rFonts w:ascii="宋体" w:hAnsi="宋体" w:eastAsia="宋体" w:cs="宋体"/>
              </w:rPr>
              <w:t>、本项目配套废弃</w:t>
            </w:r>
            <w:r>
              <w:rPr>
                <w:rFonts w:ascii="宋体" w:hAnsi="宋体" w:eastAsia="宋体" w:cs="宋体"/>
                <w:spacing w:val="14"/>
              </w:rPr>
              <w:t>物处理设施比例为</w:t>
            </w:r>
            <w:r>
              <w:rPr>
                <w:spacing w:val="-2"/>
              </w:rPr>
              <w:t>100%</w:t>
            </w:r>
            <w:r>
              <w:rPr>
                <w:rFonts w:ascii="宋体" w:hAnsi="宋体" w:eastAsia="宋体" w:cs="宋体"/>
                <w:spacing w:val="-2"/>
              </w:rPr>
              <w:t>。</w:t>
            </w:r>
          </w:p>
        </w:tc>
        <w:tc>
          <w:tcPr>
            <w:tcW w:w="836" w:type="dxa"/>
            <w:vAlign w:val="top"/>
          </w:tcPr>
          <w:p w14:paraId="617D69FF">
            <w:pPr>
              <w:spacing w:line="300" w:lineRule="auto"/>
              <w:rPr>
                <w:rFonts w:ascii="Arial"/>
                <w:sz w:val="21"/>
              </w:rPr>
            </w:pPr>
          </w:p>
          <w:p w14:paraId="2090EBC6">
            <w:pPr>
              <w:spacing w:line="301" w:lineRule="auto"/>
              <w:rPr>
                <w:rFonts w:ascii="Arial"/>
                <w:sz w:val="21"/>
              </w:rPr>
            </w:pPr>
          </w:p>
          <w:p w14:paraId="57602EAB">
            <w:pPr>
              <w:spacing w:before="68" w:line="220" w:lineRule="auto"/>
              <w:ind w:left="215"/>
              <w:rPr>
                <w:rFonts w:ascii="宋体" w:hAnsi="宋体" w:eastAsia="宋体" w:cs="宋体"/>
                <w:sz w:val="21"/>
                <w:szCs w:val="21"/>
              </w:rPr>
            </w:pPr>
            <w:r>
              <w:rPr>
                <w:rFonts w:ascii="宋体" w:hAnsi="宋体" w:eastAsia="宋体" w:cs="宋体"/>
                <w:spacing w:val="-3"/>
                <w:sz w:val="21"/>
                <w:szCs w:val="21"/>
              </w:rPr>
              <w:t>符合</w:t>
            </w:r>
          </w:p>
        </w:tc>
      </w:tr>
      <w:tr w14:paraId="61D22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7" w:hRule="atLeast"/>
        </w:trPr>
        <w:tc>
          <w:tcPr>
            <w:tcW w:w="1708" w:type="dxa"/>
            <w:vAlign w:val="top"/>
          </w:tcPr>
          <w:p w14:paraId="05740B4F">
            <w:pPr>
              <w:spacing w:line="267" w:lineRule="auto"/>
              <w:rPr>
                <w:rFonts w:ascii="Arial"/>
                <w:sz w:val="21"/>
              </w:rPr>
            </w:pPr>
          </w:p>
          <w:p w14:paraId="6F0E2A61">
            <w:pPr>
              <w:spacing w:line="267" w:lineRule="auto"/>
              <w:rPr>
                <w:rFonts w:ascii="Arial"/>
                <w:sz w:val="21"/>
              </w:rPr>
            </w:pPr>
          </w:p>
          <w:p w14:paraId="1D67E19B">
            <w:pPr>
              <w:spacing w:line="267" w:lineRule="auto"/>
              <w:rPr>
                <w:rFonts w:ascii="Arial"/>
                <w:sz w:val="21"/>
              </w:rPr>
            </w:pPr>
          </w:p>
          <w:p w14:paraId="767732C0">
            <w:pPr>
              <w:spacing w:line="268" w:lineRule="auto"/>
              <w:rPr>
                <w:rFonts w:ascii="Arial"/>
                <w:sz w:val="21"/>
              </w:rPr>
            </w:pPr>
          </w:p>
          <w:p w14:paraId="799B68F6">
            <w:pPr>
              <w:spacing w:before="68" w:line="220" w:lineRule="auto"/>
              <w:ind w:left="20"/>
              <w:rPr>
                <w:rFonts w:ascii="宋体" w:hAnsi="宋体" w:eastAsia="宋体" w:cs="宋体"/>
                <w:sz w:val="21"/>
                <w:szCs w:val="21"/>
              </w:rPr>
            </w:pPr>
            <w:r>
              <w:rPr>
                <w:rFonts w:ascii="宋体" w:hAnsi="宋体" w:eastAsia="宋体" w:cs="宋体"/>
                <w:spacing w:val="-3"/>
                <w:sz w:val="21"/>
                <w:szCs w:val="21"/>
              </w:rPr>
              <w:t>《土壤污染防治行</w:t>
            </w:r>
          </w:p>
          <w:p w14:paraId="2BF1B54D">
            <w:pPr>
              <w:spacing w:before="60" w:line="220" w:lineRule="auto"/>
              <w:ind w:left="20"/>
              <w:rPr>
                <w:rFonts w:ascii="宋体" w:hAnsi="宋体" w:eastAsia="宋体" w:cs="宋体"/>
                <w:sz w:val="21"/>
                <w:szCs w:val="21"/>
              </w:rPr>
            </w:pPr>
            <w:r>
              <w:rPr>
                <w:rFonts w:ascii="宋体" w:hAnsi="宋体" w:eastAsia="宋体" w:cs="宋体"/>
                <w:spacing w:val="-1"/>
                <w:sz w:val="21"/>
                <w:szCs w:val="21"/>
              </w:rPr>
              <w:t>动计划四川省工作</w:t>
            </w:r>
          </w:p>
          <w:p w14:paraId="0A31417A">
            <w:pPr>
              <w:spacing w:before="62" w:line="220" w:lineRule="auto"/>
              <w:ind w:left="545"/>
              <w:rPr>
                <w:rFonts w:ascii="宋体" w:hAnsi="宋体" w:eastAsia="宋体" w:cs="宋体"/>
                <w:sz w:val="21"/>
                <w:szCs w:val="21"/>
              </w:rPr>
            </w:pPr>
            <w:r>
              <w:rPr>
                <w:rFonts w:ascii="宋体" w:hAnsi="宋体" w:eastAsia="宋体" w:cs="宋体"/>
                <w:spacing w:val="-4"/>
                <w:sz w:val="21"/>
                <w:szCs w:val="21"/>
              </w:rPr>
              <w:t>方案》</w:t>
            </w:r>
          </w:p>
        </w:tc>
        <w:tc>
          <w:tcPr>
            <w:tcW w:w="3962" w:type="dxa"/>
            <w:vAlign w:val="top"/>
          </w:tcPr>
          <w:p w14:paraId="1A01556A">
            <w:pPr>
              <w:pStyle w:val="6"/>
              <w:spacing w:before="57" w:line="269" w:lineRule="auto"/>
              <w:ind w:left="7" w:firstLine="5"/>
              <w:jc w:val="both"/>
              <w:rPr>
                <w:rFonts w:ascii="宋体" w:hAnsi="宋体" w:eastAsia="宋体" w:cs="宋体"/>
              </w:rPr>
            </w:pPr>
            <w:r>
              <w:rPr>
                <w:rFonts w:ascii="宋体" w:hAnsi="宋体" w:eastAsia="宋体" w:cs="宋体"/>
                <w:spacing w:val="-3"/>
              </w:rPr>
              <w:t>强化畜禽养殖污染防治。严格规范兽药、饲料添加剂的生产和使用，建立兽药、饲料添加剂的销售管控体系，防止过量使用，促进</w:t>
            </w:r>
            <w:r>
              <w:rPr>
                <w:rFonts w:ascii="宋体" w:hAnsi="宋体" w:eastAsia="宋体" w:cs="宋体"/>
                <w:spacing w:val="-8"/>
              </w:rPr>
              <w:t>源头减量。加强畜禽粪便综合利用， 在部分</w:t>
            </w:r>
            <w:r>
              <w:rPr>
                <w:rFonts w:ascii="宋体" w:hAnsi="宋体" w:eastAsia="宋体" w:cs="宋体"/>
                <w:spacing w:val="-3"/>
              </w:rPr>
              <w:t>生猪大县开展种养业有机结合、循环发展试</w:t>
            </w:r>
            <w:r>
              <w:rPr>
                <w:rFonts w:ascii="宋体" w:hAnsi="宋体" w:eastAsia="宋体" w:cs="宋体"/>
                <w:spacing w:val="1"/>
              </w:rPr>
              <w:t>点，采用政府和社会资本合作（</w:t>
            </w:r>
            <w:r>
              <w:t>PPP</w:t>
            </w:r>
            <w:r>
              <w:rPr>
                <w:rFonts w:ascii="宋体" w:hAnsi="宋体" w:eastAsia="宋体" w:cs="宋体"/>
                <w:spacing w:val="1"/>
              </w:rPr>
              <w:t>）模式</w:t>
            </w:r>
            <w:r>
              <w:rPr>
                <w:rFonts w:ascii="宋体" w:hAnsi="宋体" w:eastAsia="宋体" w:cs="宋体"/>
                <w:spacing w:val="9"/>
              </w:rPr>
              <w:t>推进畜禽粪便综合利用，逐步扩大实施范</w:t>
            </w:r>
            <w:r>
              <w:rPr>
                <w:rFonts w:ascii="宋体" w:hAnsi="宋体" w:eastAsia="宋体" w:cs="宋体"/>
                <w:spacing w:val="-8"/>
              </w:rPr>
              <w:t>围。开展畜牧业绿色示范县（市、区） 创建</w:t>
            </w:r>
            <w:r>
              <w:rPr>
                <w:rFonts w:ascii="宋体" w:hAnsi="宋体" w:eastAsia="宋体" w:cs="宋体"/>
                <w:spacing w:val="-3"/>
              </w:rPr>
              <w:t>活动，鼓励支持规模化养殖场、养殖小区畜禽粪便处理利用设施建设。</w:t>
            </w:r>
          </w:p>
        </w:tc>
        <w:tc>
          <w:tcPr>
            <w:tcW w:w="1814" w:type="dxa"/>
            <w:vMerge w:val="continue"/>
            <w:tcBorders>
              <w:top w:val="nil"/>
            </w:tcBorders>
            <w:vAlign w:val="top"/>
          </w:tcPr>
          <w:p w14:paraId="74E86B7D">
            <w:pPr>
              <w:rPr>
                <w:rFonts w:ascii="Arial"/>
                <w:sz w:val="21"/>
              </w:rPr>
            </w:pPr>
          </w:p>
        </w:tc>
        <w:tc>
          <w:tcPr>
            <w:tcW w:w="836" w:type="dxa"/>
            <w:vAlign w:val="top"/>
          </w:tcPr>
          <w:p w14:paraId="6AC328CC">
            <w:pPr>
              <w:spacing w:line="275" w:lineRule="auto"/>
              <w:rPr>
                <w:rFonts w:ascii="Arial"/>
                <w:sz w:val="21"/>
              </w:rPr>
            </w:pPr>
          </w:p>
          <w:p w14:paraId="7DF6EBF8">
            <w:pPr>
              <w:spacing w:line="275" w:lineRule="auto"/>
              <w:rPr>
                <w:rFonts w:ascii="Arial"/>
                <w:sz w:val="21"/>
              </w:rPr>
            </w:pPr>
          </w:p>
          <w:p w14:paraId="49412495">
            <w:pPr>
              <w:spacing w:line="276" w:lineRule="auto"/>
              <w:rPr>
                <w:rFonts w:ascii="Arial"/>
                <w:sz w:val="21"/>
              </w:rPr>
            </w:pPr>
          </w:p>
          <w:p w14:paraId="24F367C5">
            <w:pPr>
              <w:spacing w:line="276" w:lineRule="auto"/>
              <w:rPr>
                <w:rFonts w:ascii="Arial"/>
                <w:sz w:val="21"/>
              </w:rPr>
            </w:pPr>
          </w:p>
          <w:p w14:paraId="129A8282">
            <w:pPr>
              <w:spacing w:line="276" w:lineRule="auto"/>
              <w:rPr>
                <w:rFonts w:ascii="Arial"/>
                <w:sz w:val="21"/>
              </w:rPr>
            </w:pPr>
          </w:p>
          <w:p w14:paraId="192750E1">
            <w:pPr>
              <w:spacing w:before="68" w:line="220" w:lineRule="auto"/>
              <w:ind w:left="215"/>
              <w:rPr>
                <w:rFonts w:ascii="宋体" w:hAnsi="宋体" w:eastAsia="宋体" w:cs="宋体"/>
                <w:sz w:val="21"/>
                <w:szCs w:val="21"/>
              </w:rPr>
            </w:pPr>
            <w:r>
              <w:rPr>
                <w:rFonts w:ascii="宋体" w:hAnsi="宋体" w:eastAsia="宋体" w:cs="宋体"/>
                <w:spacing w:val="-3"/>
                <w:sz w:val="21"/>
                <w:szCs w:val="21"/>
              </w:rPr>
              <w:t>符合</w:t>
            </w:r>
          </w:p>
        </w:tc>
      </w:tr>
    </w:tbl>
    <w:p w14:paraId="13F241D1">
      <w:pPr>
        <w:spacing w:before="234" w:line="362" w:lineRule="auto"/>
        <w:ind w:left="45" w:right="98" w:firstLine="474"/>
        <w:rPr>
          <w:rFonts w:ascii="宋体" w:hAnsi="宋体" w:eastAsia="宋体" w:cs="宋体"/>
          <w:sz w:val="24"/>
          <w:szCs w:val="24"/>
        </w:rPr>
      </w:pPr>
      <w:r>
        <w:rPr>
          <w:rFonts w:ascii="宋体" w:hAnsi="宋体" w:eastAsia="宋体" w:cs="宋体"/>
          <w:spacing w:val="-4"/>
          <w:sz w:val="24"/>
          <w:szCs w:val="24"/>
        </w:rPr>
        <w:t>通过上表分析可知，本项目符合《土壤污染防治行动计划》和《土壤污染防</w:t>
      </w:r>
      <w:r>
        <w:rPr>
          <w:rFonts w:ascii="宋体" w:hAnsi="宋体" w:eastAsia="宋体" w:cs="宋体"/>
          <w:spacing w:val="-3"/>
          <w:sz w:val="24"/>
          <w:szCs w:val="24"/>
        </w:rPr>
        <w:t>治行动计划四川省工作方案》的要求。</w:t>
      </w:r>
    </w:p>
    <w:p w14:paraId="5D2D4E0B">
      <w:pPr>
        <w:spacing w:line="362" w:lineRule="auto"/>
        <w:rPr>
          <w:rFonts w:ascii="宋体" w:hAnsi="宋体" w:eastAsia="宋体" w:cs="宋体"/>
          <w:sz w:val="24"/>
          <w:szCs w:val="24"/>
        </w:rPr>
        <w:sectPr>
          <w:headerReference r:id="rId81" w:type="default"/>
          <w:footerReference r:id="rId82" w:type="default"/>
          <w:pgSz w:w="11905" w:h="16840"/>
          <w:pgMar w:top="1168" w:right="1714" w:bottom="1409" w:left="1770" w:header="828" w:footer="1244" w:gutter="0"/>
          <w:cols w:space="720" w:num="1"/>
        </w:sectPr>
      </w:pPr>
    </w:p>
    <w:p w14:paraId="4254CAE0">
      <w:pPr>
        <w:pStyle w:val="2"/>
        <w:spacing w:line="353" w:lineRule="auto"/>
      </w:pPr>
    </w:p>
    <w:p w14:paraId="15AC0ABE">
      <w:pPr>
        <w:spacing w:before="88" w:line="226" w:lineRule="auto"/>
        <w:ind w:left="48"/>
        <w:rPr>
          <w:rFonts w:ascii="宋体" w:hAnsi="宋体" w:eastAsia="宋体" w:cs="宋体"/>
          <w:sz w:val="27"/>
          <w:szCs w:val="27"/>
        </w:rPr>
      </w:pPr>
      <w:r>
        <w:rPr>
          <w:rFonts w:ascii="Times New Roman" w:hAnsi="Times New Roman" w:eastAsia="Times New Roman" w:cs="Times New Roman"/>
          <w:b/>
          <w:bCs/>
          <w:spacing w:val="3"/>
          <w:sz w:val="27"/>
          <w:szCs w:val="27"/>
        </w:rPr>
        <w:t>1.6.2.5</w:t>
      </w:r>
      <w:r>
        <w:rPr>
          <w:rFonts w:ascii="Times New Roman" w:hAnsi="Times New Roman" w:eastAsia="Times New Roman" w:cs="Times New Roman"/>
          <w:b/>
          <w:bCs/>
          <w:spacing w:val="21"/>
          <w:sz w:val="27"/>
          <w:szCs w:val="27"/>
        </w:rPr>
        <w:t xml:space="preserve"> </w:t>
      </w:r>
      <w:r>
        <w:rPr>
          <w:rFonts w:ascii="宋体" w:hAnsi="宋体" w:eastAsia="宋体" w:cs="宋体"/>
          <w:b/>
          <w:bCs/>
          <w:spacing w:val="3"/>
          <w:sz w:val="27"/>
          <w:szCs w:val="27"/>
        </w:rPr>
        <w:t>与《内江市东兴区畜禽养殖禁</w:t>
      </w:r>
      <w:r>
        <w:rPr>
          <w:rFonts w:ascii="宋体" w:hAnsi="宋体" w:eastAsia="宋体" w:cs="宋体"/>
          <w:b/>
          <w:bCs/>
          <w:spacing w:val="2"/>
          <w:sz w:val="27"/>
          <w:szCs w:val="27"/>
        </w:rPr>
        <w:t>养区划定调整方案》符合性分析</w:t>
      </w:r>
    </w:p>
    <w:p w14:paraId="4C4E6F22">
      <w:pPr>
        <w:spacing w:before="236" w:line="360" w:lineRule="auto"/>
        <w:ind w:left="57" w:right="88" w:firstLine="462"/>
        <w:rPr>
          <w:rFonts w:ascii="宋体" w:hAnsi="宋体" w:eastAsia="宋体" w:cs="宋体"/>
          <w:sz w:val="24"/>
          <w:szCs w:val="24"/>
        </w:rPr>
      </w:pPr>
      <w:r>
        <w:rPr>
          <w:rFonts w:ascii="宋体" w:hAnsi="宋体" w:eastAsia="宋体" w:cs="宋体"/>
          <w:sz w:val="24"/>
          <w:szCs w:val="24"/>
        </w:rPr>
        <w:t>根据《内江市东兴区人民政府办公室关于印发</w:t>
      </w:r>
      <w:r>
        <w:rPr>
          <w:rFonts w:ascii="Times New Roman" w:hAnsi="Times New Roman" w:eastAsia="Times New Roman" w:cs="Times New Roman"/>
          <w:sz w:val="24"/>
          <w:szCs w:val="24"/>
        </w:rPr>
        <w:t>&lt;</w:t>
      </w:r>
      <w:r>
        <w:rPr>
          <w:rFonts w:ascii="宋体" w:hAnsi="宋体" w:eastAsia="宋体" w:cs="宋体"/>
          <w:sz w:val="24"/>
          <w:szCs w:val="24"/>
        </w:rPr>
        <w:t>内江市东兴区畜禽养殖</w:t>
      </w:r>
      <w:r>
        <w:rPr>
          <w:rFonts w:ascii="宋体" w:hAnsi="宋体" w:eastAsia="宋体" w:cs="宋体"/>
          <w:spacing w:val="-1"/>
          <w:sz w:val="24"/>
          <w:szCs w:val="24"/>
        </w:rPr>
        <w:t>禁养</w:t>
      </w:r>
      <w:r>
        <w:rPr>
          <w:rFonts w:ascii="宋体" w:hAnsi="宋体" w:eastAsia="宋体" w:cs="宋体"/>
          <w:spacing w:val="-3"/>
          <w:sz w:val="24"/>
          <w:szCs w:val="24"/>
        </w:rPr>
        <w:t>区划定调整方案</w:t>
      </w:r>
      <w:r>
        <w:rPr>
          <w:rFonts w:ascii="Times New Roman" w:hAnsi="Times New Roman" w:eastAsia="Times New Roman" w:cs="Times New Roman"/>
          <w:spacing w:val="-3"/>
          <w:sz w:val="24"/>
          <w:szCs w:val="24"/>
        </w:rPr>
        <w:t>&gt;</w:t>
      </w:r>
      <w:r>
        <w:rPr>
          <w:rFonts w:ascii="宋体" w:hAnsi="宋体" w:eastAsia="宋体" w:cs="宋体"/>
          <w:spacing w:val="-3"/>
          <w:sz w:val="24"/>
          <w:szCs w:val="24"/>
        </w:rPr>
        <w:t>的通知》，内江市东兴区畜禽养殖禁养区划定范围如下：</w:t>
      </w:r>
    </w:p>
    <w:p w14:paraId="62ADBE76">
      <w:pPr>
        <w:spacing w:before="1" w:line="351" w:lineRule="auto"/>
        <w:ind w:left="39" w:right="85" w:firstLine="486"/>
        <w:rPr>
          <w:rFonts w:ascii="宋体" w:hAnsi="宋体" w:eastAsia="宋体" w:cs="宋体"/>
          <w:sz w:val="24"/>
          <w:szCs w:val="24"/>
        </w:rPr>
      </w:pPr>
      <w:r>
        <w:rPr>
          <w:rFonts w:ascii="宋体" w:hAnsi="宋体" w:eastAsia="宋体" w:cs="宋体"/>
          <w:spacing w:val="-3"/>
          <w:sz w:val="24"/>
          <w:szCs w:val="24"/>
        </w:rPr>
        <w:t>（一）饮用水水源保护区。东兴区</w:t>
      </w:r>
      <w:r>
        <w:rPr>
          <w:rFonts w:ascii="Times New Roman" w:hAnsi="Times New Roman" w:eastAsia="Times New Roman" w:cs="Times New Roman"/>
          <w:spacing w:val="-3"/>
          <w:sz w:val="24"/>
          <w:szCs w:val="24"/>
        </w:rPr>
        <w:t>11</w:t>
      </w:r>
      <w:r>
        <w:rPr>
          <w:rFonts w:ascii="宋体" w:hAnsi="宋体" w:eastAsia="宋体" w:cs="宋体"/>
          <w:spacing w:val="-3"/>
          <w:sz w:val="24"/>
          <w:szCs w:val="24"/>
        </w:rPr>
        <w:t>个饮用水水源保护</w:t>
      </w:r>
      <w:r>
        <w:rPr>
          <w:rFonts w:ascii="宋体" w:hAnsi="宋体" w:eastAsia="宋体" w:cs="宋体"/>
          <w:spacing w:val="-4"/>
          <w:sz w:val="24"/>
          <w:szCs w:val="24"/>
        </w:rPr>
        <w:t>区的一级饮用水水源</w:t>
      </w:r>
      <w:r>
        <w:rPr>
          <w:rFonts w:ascii="宋体" w:hAnsi="宋体" w:eastAsia="宋体" w:cs="宋体"/>
          <w:spacing w:val="-3"/>
          <w:sz w:val="24"/>
          <w:szCs w:val="24"/>
        </w:rPr>
        <w:t>保护区水域及陆域范围禁止建设养殖场，二级饮用水水源保护区禁止建设有污染</w:t>
      </w:r>
      <w:r>
        <w:rPr>
          <w:rFonts w:ascii="宋体" w:hAnsi="宋体" w:eastAsia="宋体" w:cs="宋体"/>
          <w:spacing w:val="-12"/>
          <w:sz w:val="24"/>
          <w:szCs w:val="24"/>
        </w:rPr>
        <w:t>物排放的养殖场</w:t>
      </w:r>
      <w:r>
        <w:rPr>
          <w:rFonts w:ascii="Times New Roman" w:hAnsi="Times New Roman" w:eastAsia="Times New Roman" w:cs="Times New Roman"/>
          <w:spacing w:val="-12"/>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i/>
          <w:iCs/>
          <w:spacing w:val="-12"/>
          <w:sz w:val="25"/>
          <w:szCs w:val="25"/>
        </w:rPr>
        <w:t>注：畜禽粪便、养殖废水、沼渣、</w:t>
      </w:r>
      <w:r>
        <w:rPr>
          <w:rFonts w:ascii="宋体" w:hAnsi="宋体" w:eastAsia="宋体" w:cs="宋体"/>
          <w:spacing w:val="-12"/>
          <w:sz w:val="25"/>
          <w:szCs w:val="25"/>
        </w:rPr>
        <w:t xml:space="preserve"> </w:t>
      </w:r>
      <w:r>
        <w:rPr>
          <w:rFonts w:ascii="宋体" w:hAnsi="宋体" w:eastAsia="宋体" w:cs="宋体"/>
          <w:i/>
          <w:iCs/>
          <w:spacing w:val="-12"/>
          <w:sz w:val="25"/>
          <w:szCs w:val="25"/>
        </w:rPr>
        <w:t>沼液</w:t>
      </w:r>
      <w:r>
        <w:rPr>
          <w:rFonts w:ascii="宋体" w:hAnsi="宋体" w:eastAsia="宋体" w:cs="宋体"/>
          <w:i/>
          <w:iCs/>
          <w:spacing w:val="-13"/>
          <w:sz w:val="25"/>
          <w:szCs w:val="25"/>
        </w:rPr>
        <w:t>等经过无害化处理用作</w:t>
      </w:r>
      <w:r>
        <w:rPr>
          <w:rFonts w:ascii="宋体" w:hAnsi="宋体" w:eastAsia="宋体" w:cs="宋体"/>
          <w:i/>
          <w:iCs/>
          <w:spacing w:val="-17"/>
          <w:sz w:val="25"/>
          <w:szCs w:val="25"/>
        </w:rPr>
        <w:t>肥料还田，</w:t>
      </w:r>
      <w:r>
        <w:rPr>
          <w:rFonts w:ascii="宋体" w:hAnsi="宋体" w:eastAsia="宋体" w:cs="宋体"/>
          <w:spacing w:val="-46"/>
          <w:sz w:val="25"/>
          <w:szCs w:val="25"/>
        </w:rPr>
        <w:t xml:space="preserve"> </w:t>
      </w:r>
      <w:r>
        <w:rPr>
          <w:rFonts w:ascii="宋体" w:hAnsi="宋体" w:eastAsia="宋体" w:cs="宋体"/>
          <w:i/>
          <w:iCs/>
          <w:spacing w:val="-17"/>
          <w:sz w:val="25"/>
          <w:szCs w:val="25"/>
        </w:rPr>
        <w:t>符合法律法规要求及国家和地方相关标准不造成环境污染的，</w:t>
      </w:r>
      <w:r>
        <w:rPr>
          <w:rFonts w:ascii="宋体" w:hAnsi="宋体" w:eastAsia="宋体" w:cs="宋体"/>
          <w:spacing w:val="-63"/>
          <w:sz w:val="25"/>
          <w:szCs w:val="25"/>
        </w:rPr>
        <w:t xml:space="preserve"> </w:t>
      </w:r>
      <w:r>
        <w:rPr>
          <w:rFonts w:ascii="宋体" w:hAnsi="宋体" w:eastAsia="宋体" w:cs="宋体"/>
          <w:i/>
          <w:iCs/>
          <w:spacing w:val="-17"/>
          <w:sz w:val="25"/>
          <w:szCs w:val="25"/>
        </w:rPr>
        <w:t>不属于</w:t>
      </w:r>
      <w:r>
        <w:rPr>
          <w:rFonts w:ascii="宋体" w:hAnsi="宋体" w:eastAsia="宋体" w:cs="宋体"/>
          <w:i/>
          <w:iCs/>
          <w:spacing w:val="-9"/>
          <w:sz w:val="25"/>
          <w:szCs w:val="25"/>
        </w:rPr>
        <w:t>排放污染物</w:t>
      </w:r>
      <w:r>
        <w:rPr>
          <w:rFonts w:ascii="Times New Roman" w:hAnsi="Times New Roman" w:eastAsia="Times New Roman" w:cs="Times New Roman"/>
          <w:spacing w:val="-9"/>
          <w:sz w:val="24"/>
          <w:szCs w:val="24"/>
        </w:rPr>
        <w:t>)</w:t>
      </w:r>
      <w:r>
        <w:rPr>
          <w:rFonts w:ascii="宋体" w:hAnsi="宋体" w:eastAsia="宋体" w:cs="宋体"/>
          <w:spacing w:val="-9"/>
          <w:sz w:val="24"/>
          <w:szCs w:val="24"/>
        </w:rPr>
        <w:t>。</w:t>
      </w:r>
    </w:p>
    <w:p w14:paraId="532817D8">
      <w:pPr>
        <w:spacing w:before="2" w:line="359" w:lineRule="auto"/>
        <w:ind w:left="38" w:right="95" w:firstLine="487"/>
        <w:rPr>
          <w:rFonts w:ascii="宋体" w:hAnsi="宋体" w:eastAsia="宋体" w:cs="宋体"/>
          <w:sz w:val="24"/>
          <w:szCs w:val="24"/>
        </w:rPr>
      </w:pPr>
      <w:r>
        <w:rPr>
          <w:rFonts w:ascii="宋体" w:hAnsi="宋体" w:eastAsia="宋体" w:cs="宋体"/>
          <w:spacing w:val="-7"/>
          <w:sz w:val="24"/>
          <w:szCs w:val="24"/>
        </w:rPr>
        <w:t>（二）自然保护区。长坝山自然保护区， 其中核心区和缓冲区禁止建设</w:t>
      </w:r>
      <w:r>
        <w:rPr>
          <w:rFonts w:ascii="宋体" w:hAnsi="宋体" w:eastAsia="宋体" w:cs="宋体"/>
          <w:spacing w:val="-8"/>
          <w:sz w:val="24"/>
          <w:szCs w:val="24"/>
        </w:rPr>
        <w:t>养殖</w:t>
      </w:r>
      <w:r>
        <w:rPr>
          <w:rFonts w:ascii="宋体" w:hAnsi="宋体" w:eastAsia="宋体" w:cs="宋体"/>
          <w:spacing w:val="-11"/>
          <w:sz w:val="24"/>
          <w:szCs w:val="24"/>
        </w:rPr>
        <w:t>场。</w:t>
      </w:r>
    </w:p>
    <w:p w14:paraId="60B79B03">
      <w:pPr>
        <w:spacing w:before="9" w:line="359" w:lineRule="auto"/>
        <w:ind w:left="38" w:right="84" w:firstLine="487"/>
        <w:rPr>
          <w:rFonts w:ascii="宋体" w:hAnsi="宋体" w:eastAsia="宋体" w:cs="宋体"/>
          <w:sz w:val="24"/>
          <w:szCs w:val="24"/>
        </w:rPr>
      </w:pPr>
      <w:r>
        <w:rPr>
          <w:rFonts w:ascii="宋体" w:hAnsi="宋体" w:eastAsia="宋体" w:cs="宋体"/>
          <w:spacing w:val="-4"/>
          <w:sz w:val="24"/>
          <w:szCs w:val="24"/>
        </w:rPr>
        <w:t>（三）城镇居民区和文化教育科学研究区等人口集中区域。东兴区辖镇（街</w:t>
      </w:r>
      <w:r>
        <w:rPr>
          <w:rFonts w:ascii="宋体" w:hAnsi="宋体" w:eastAsia="宋体" w:cs="宋体"/>
          <w:sz w:val="24"/>
          <w:szCs w:val="24"/>
        </w:rPr>
        <w:t>道）</w:t>
      </w:r>
      <w:r>
        <w:rPr>
          <w:rFonts w:ascii="Times New Roman" w:hAnsi="Times New Roman" w:eastAsia="Times New Roman" w:cs="Times New Roman"/>
          <w:sz w:val="24"/>
          <w:szCs w:val="24"/>
        </w:rPr>
        <w:t>19</w:t>
      </w:r>
      <w:r>
        <w:rPr>
          <w:rFonts w:ascii="宋体" w:hAnsi="宋体" w:eastAsia="宋体" w:cs="宋体"/>
          <w:sz w:val="24"/>
          <w:szCs w:val="24"/>
        </w:rPr>
        <w:t>个，其中：镇</w:t>
      </w:r>
      <w:r>
        <w:rPr>
          <w:rFonts w:ascii="Times New Roman" w:hAnsi="Times New Roman" w:eastAsia="Times New Roman" w:cs="Times New Roman"/>
          <w:sz w:val="24"/>
          <w:szCs w:val="24"/>
        </w:rPr>
        <w:t>14</w:t>
      </w:r>
      <w:r>
        <w:rPr>
          <w:rFonts w:ascii="宋体" w:hAnsi="宋体" w:eastAsia="宋体" w:cs="宋体"/>
          <w:sz w:val="24"/>
          <w:szCs w:val="24"/>
        </w:rPr>
        <w:t>个，街道</w:t>
      </w:r>
      <w:r>
        <w:rPr>
          <w:rFonts w:ascii="Times New Roman" w:hAnsi="Times New Roman" w:eastAsia="Times New Roman" w:cs="Times New Roman"/>
          <w:sz w:val="24"/>
          <w:szCs w:val="24"/>
        </w:rPr>
        <w:t>5</w:t>
      </w:r>
      <w:r>
        <w:rPr>
          <w:rFonts w:ascii="宋体" w:hAnsi="宋体" w:eastAsia="宋体" w:cs="宋体"/>
          <w:sz w:val="24"/>
          <w:szCs w:val="24"/>
        </w:rPr>
        <w:t>个。东兴街道、西林街道、新江街道、胜利街</w:t>
      </w:r>
      <w:r>
        <w:rPr>
          <w:rFonts w:ascii="宋体" w:hAnsi="宋体" w:eastAsia="宋体" w:cs="宋体"/>
          <w:spacing w:val="-12"/>
          <w:sz w:val="24"/>
          <w:szCs w:val="24"/>
        </w:rPr>
        <w:t>道、高桥街道，</w:t>
      </w:r>
      <w:r>
        <w:rPr>
          <w:rFonts w:ascii="宋体" w:hAnsi="宋体" w:eastAsia="宋体" w:cs="宋体"/>
          <w:spacing w:val="68"/>
          <w:sz w:val="24"/>
          <w:szCs w:val="24"/>
        </w:rPr>
        <w:t xml:space="preserve"> </w:t>
      </w:r>
      <w:r>
        <w:rPr>
          <w:rFonts w:ascii="宋体" w:hAnsi="宋体" w:eastAsia="宋体" w:cs="宋体"/>
          <w:spacing w:val="-12"/>
          <w:sz w:val="24"/>
          <w:szCs w:val="24"/>
        </w:rPr>
        <w:t>椑木镇（包含原小河口镇、中山镇、椑南镇） 、田家镇（包含原</w:t>
      </w:r>
      <w:r>
        <w:rPr>
          <w:rFonts w:ascii="宋体" w:hAnsi="宋体" w:eastAsia="宋体" w:cs="宋体"/>
          <w:spacing w:val="-16"/>
          <w:sz w:val="24"/>
          <w:szCs w:val="24"/>
        </w:rPr>
        <w:t>太安乡、柳桥镇、同福镇）、高梁镇（包含原大治乡）、双桥镇（包含原新店乡）、</w:t>
      </w:r>
      <w:r>
        <w:rPr>
          <w:rFonts w:ascii="宋体" w:hAnsi="宋体" w:eastAsia="宋体" w:cs="宋体"/>
          <w:spacing w:val="-11"/>
          <w:sz w:val="24"/>
          <w:szCs w:val="24"/>
        </w:rPr>
        <w:t>白合镇（包含原苏家乡）、双才镇（包含原三烈镇）、杨家镇、顺河镇、石子镇、</w:t>
      </w:r>
      <w:r>
        <w:rPr>
          <w:rFonts w:ascii="宋体" w:hAnsi="宋体" w:eastAsia="宋体" w:cs="宋体"/>
          <w:spacing w:val="-3"/>
          <w:sz w:val="24"/>
          <w:szCs w:val="24"/>
        </w:rPr>
        <w:t>永兴镇、郭北镇、平坦镇、富溪镇、永福镇等城镇（街道）建成区、镇政府所在</w:t>
      </w:r>
      <w:r>
        <w:rPr>
          <w:rFonts w:ascii="宋体" w:hAnsi="宋体" w:eastAsia="宋体" w:cs="宋体"/>
          <w:spacing w:val="-5"/>
          <w:sz w:val="24"/>
          <w:szCs w:val="24"/>
        </w:rPr>
        <w:t>地禁止建设养殖场。</w:t>
      </w:r>
    </w:p>
    <w:p w14:paraId="18B9778D">
      <w:pPr>
        <w:spacing w:line="219" w:lineRule="auto"/>
        <w:ind w:left="525"/>
        <w:rPr>
          <w:rFonts w:ascii="宋体" w:hAnsi="宋体" w:eastAsia="宋体" w:cs="宋体"/>
          <w:sz w:val="24"/>
          <w:szCs w:val="24"/>
        </w:rPr>
      </w:pPr>
      <w:r>
        <w:rPr>
          <w:rFonts w:ascii="宋体" w:hAnsi="宋体" w:eastAsia="宋体" w:cs="宋体"/>
          <w:spacing w:val="-2"/>
          <w:sz w:val="24"/>
          <w:szCs w:val="24"/>
        </w:rPr>
        <w:t>（四）其他区域。法律法规规定的其他禁止建设养殖场的区域。</w:t>
      </w:r>
    </w:p>
    <w:p w14:paraId="7E93CF93">
      <w:pPr>
        <w:spacing w:before="182" w:line="360" w:lineRule="auto"/>
        <w:ind w:left="43" w:right="85" w:firstLine="477"/>
        <w:jc w:val="both"/>
        <w:rPr>
          <w:rFonts w:ascii="宋体" w:hAnsi="宋体" w:eastAsia="宋体" w:cs="宋体"/>
          <w:sz w:val="24"/>
          <w:szCs w:val="24"/>
        </w:rPr>
      </w:pPr>
      <w:r>
        <w:rPr>
          <w:rFonts w:ascii="宋体" w:hAnsi="宋体" w:eastAsia="宋体" w:cs="宋体"/>
          <w:spacing w:val="-3"/>
          <w:sz w:val="24"/>
          <w:szCs w:val="24"/>
        </w:rPr>
        <w:t>本项目位于内江市东兴区白合镇喻家沟，本项目不在饮用水水</w:t>
      </w:r>
      <w:r>
        <w:rPr>
          <w:rFonts w:ascii="宋体" w:hAnsi="宋体" w:eastAsia="宋体" w:cs="宋体"/>
          <w:spacing w:val="-4"/>
          <w:sz w:val="24"/>
          <w:szCs w:val="24"/>
        </w:rPr>
        <w:t>源保护区，项</w:t>
      </w:r>
      <w:r>
        <w:rPr>
          <w:rFonts w:ascii="宋体" w:hAnsi="宋体" w:eastAsia="宋体" w:cs="宋体"/>
          <w:spacing w:val="-3"/>
          <w:sz w:val="24"/>
          <w:szCs w:val="24"/>
        </w:rPr>
        <w:t>目不在自然保护区，不在城镇居民区和文化教育科学研究区等人口集中区</w:t>
      </w:r>
      <w:r>
        <w:rPr>
          <w:rFonts w:ascii="宋体" w:hAnsi="宋体" w:eastAsia="宋体" w:cs="宋体"/>
          <w:spacing w:val="-4"/>
          <w:sz w:val="24"/>
          <w:szCs w:val="24"/>
        </w:rPr>
        <w:t>域，也</w:t>
      </w:r>
      <w:r>
        <w:rPr>
          <w:rFonts w:ascii="宋体" w:hAnsi="宋体" w:eastAsia="宋体" w:cs="宋体"/>
          <w:spacing w:val="-1"/>
          <w:sz w:val="24"/>
          <w:szCs w:val="24"/>
        </w:rPr>
        <w:t>不在法律法规规定的其他禁止建设养殖场的区域（见图</w:t>
      </w:r>
      <w:r>
        <w:rPr>
          <w:rFonts w:ascii="Times New Roman" w:hAnsi="Times New Roman" w:eastAsia="Times New Roman" w:cs="Times New Roman"/>
          <w:spacing w:val="-1"/>
          <w:sz w:val="24"/>
          <w:szCs w:val="24"/>
        </w:rPr>
        <w:t>1.6-1</w:t>
      </w:r>
      <w:r>
        <w:rPr>
          <w:rFonts w:ascii="宋体" w:hAnsi="宋体" w:eastAsia="宋体" w:cs="宋体"/>
          <w:spacing w:val="-1"/>
          <w:sz w:val="24"/>
          <w:szCs w:val="24"/>
        </w:rPr>
        <w:t>）。</w:t>
      </w:r>
    </w:p>
    <w:p w14:paraId="5F4291E8">
      <w:pPr>
        <w:spacing w:before="1" w:line="218" w:lineRule="auto"/>
        <w:ind w:left="538"/>
        <w:rPr>
          <w:rFonts w:ascii="宋体" w:hAnsi="宋体" w:eastAsia="宋体" w:cs="宋体"/>
          <w:sz w:val="24"/>
          <w:szCs w:val="24"/>
        </w:rPr>
      </w:pPr>
      <w:r>
        <w:rPr>
          <w:rFonts w:ascii="宋体" w:hAnsi="宋体" w:eastAsia="宋体" w:cs="宋体"/>
          <w:spacing w:val="-2"/>
          <w:sz w:val="24"/>
          <w:szCs w:val="24"/>
        </w:rPr>
        <w:t>因此，本项目选址处不属于东兴区畜禽养殖禁养区</w:t>
      </w:r>
      <w:r>
        <w:rPr>
          <w:rFonts w:ascii="宋体" w:hAnsi="宋体" w:eastAsia="宋体" w:cs="宋体"/>
          <w:spacing w:val="-3"/>
          <w:sz w:val="24"/>
          <w:szCs w:val="24"/>
        </w:rPr>
        <w:t>，为适养区。</w:t>
      </w:r>
    </w:p>
    <w:p w14:paraId="183BDBB4">
      <w:pPr>
        <w:spacing w:before="241"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 xml:space="preserve">1.6.2.6 </w:t>
      </w:r>
      <w:r>
        <w:rPr>
          <w:rFonts w:ascii="宋体" w:hAnsi="宋体" w:eastAsia="宋体" w:cs="宋体"/>
          <w:b/>
          <w:bCs/>
          <w:spacing w:val="6"/>
          <w:sz w:val="27"/>
          <w:szCs w:val="27"/>
        </w:rPr>
        <w:t>项目与四川省主体功能区规划的符合性分析</w:t>
      </w:r>
    </w:p>
    <w:p w14:paraId="34BFC122">
      <w:pPr>
        <w:spacing w:before="235" w:line="361" w:lineRule="auto"/>
        <w:ind w:left="38" w:firstLine="480"/>
        <w:rPr>
          <w:rFonts w:ascii="宋体" w:hAnsi="宋体" w:eastAsia="宋体" w:cs="宋体"/>
          <w:sz w:val="24"/>
          <w:szCs w:val="24"/>
        </w:rPr>
      </w:pPr>
      <w:r>
        <w:rPr>
          <w:rFonts w:ascii="宋体" w:hAnsi="宋体" w:eastAsia="宋体" w:cs="宋体"/>
          <w:spacing w:val="-7"/>
          <w:sz w:val="24"/>
          <w:szCs w:val="24"/>
        </w:rPr>
        <w:t>根据《四川省主体功能区划》， 内江市东兴区属于川南地区，“该区域是省</w:t>
      </w:r>
      <w:r>
        <w:rPr>
          <w:rFonts w:ascii="宋体" w:hAnsi="宋体" w:eastAsia="宋体" w:cs="宋体"/>
          <w:spacing w:val="-1"/>
          <w:sz w:val="24"/>
          <w:szCs w:val="24"/>
        </w:rPr>
        <w:t>级层面的重点开发区域，地处四川盆地南缘、长江上游中部，川渝滇黔结合部。</w:t>
      </w:r>
      <w:r>
        <w:rPr>
          <w:rFonts w:ascii="宋体" w:hAnsi="宋体" w:eastAsia="宋体" w:cs="宋体"/>
          <w:spacing w:val="-3"/>
          <w:sz w:val="24"/>
          <w:szCs w:val="24"/>
        </w:rPr>
        <w:t>大中城市密集，人口密度大，社会发育程度高，城市群初步形成；煤、硫磷、盐</w:t>
      </w:r>
      <w:r>
        <w:rPr>
          <w:rFonts w:ascii="宋体" w:hAnsi="宋体" w:eastAsia="宋体" w:cs="宋体"/>
          <w:spacing w:val="-9"/>
          <w:sz w:val="24"/>
          <w:szCs w:val="24"/>
        </w:rPr>
        <w:t>卤、水能等自然资源丰富，工业基础雄厚，产业竞争力较强，</w:t>
      </w:r>
      <w:r>
        <w:rPr>
          <w:rFonts w:ascii="宋体" w:hAnsi="宋体" w:eastAsia="宋体" w:cs="宋体"/>
          <w:spacing w:val="-10"/>
          <w:sz w:val="24"/>
          <w:szCs w:val="24"/>
        </w:rPr>
        <w:t>是西部发展基础好、</w:t>
      </w:r>
      <w:r>
        <w:rPr>
          <w:rFonts w:ascii="宋体" w:hAnsi="宋体" w:eastAsia="宋体" w:cs="宋体"/>
          <w:spacing w:val="4"/>
          <w:sz w:val="24"/>
          <w:szCs w:val="24"/>
        </w:rPr>
        <w:t>潜力大的区域，具备发展成为西部特大城市密集区的条件。”</w:t>
      </w:r>
    </w:p>
    <w:p w14:paraId="2D8777DD">
      <w:pPr>
        <w:spacing w:line="361" w:lineRule="auto"/>
        <w:rPr>
          <w:rFonts w:ascii="宋体" w:hAnsi="宋体" w:eastAsia="宋体" w:cs="宋体"/>
          <w:sz w:val="24"/>
          <w:szCs w:val="24"/>
        </w:rPr>
        <w:sectPr>
          <w:headerReference r:id="rId83" w:type="default"/>
          <w:footerReference r:id="rId84" w:type="default"/>
          <w:pgSz w:w="11905" w:h="16840"/>
          <w:pgMar w:top="1168" w:right="1712" w:bottom="1409" w:left="1770" w:header="828" w:footer="1244" w:gutter="0"/>
          <w:cols w:space="720" w:num="1"/>
        </w:sectPr>
      </w:pPr>
    </w:p>
    <w:p w14:paraId="6C68E925">
      <w:pPr>
        <w:pStyle w:val="2"/>
        <w:spacing w:line="403" w:lineRule="auto"/>
      </w:pPr>
    </w:p>
    <w:p w14:paraId="5C5CA337">
      <w:pPr>
        <w:spacing w:line="7220" w:lineRule="exact"/>
        <w:ind w:firstLine="36"/>
      </w:pPr>
      <w:r>
        <w:rPr>
          <w:position w:val="-144"/>
        </w:rPr>
        <w:drawing>
          <wp:inline distT="0" distB="0" distL="0" distR="0">
            <wp:extent cx="5187950" cy="458406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37"/>
                    <a:stretch>
                      <a:fillRect/>
                    </a:stretch>
                  </pic:blipFill>
                  <pic:spPr>
                    <a:xfrm>
                      <a:off x="0" y="0"/>
                      <a:ext cx="5188457" cy="4584191"/>
                    </a:xfrm>
                    <a:prstGeom prst="rect">
                      <a:avLst/>
                    </a:prstGeom>
                  </pic:spPr>
                </pic:pic>
              </a:graphicData>
            </a:graphic>
          </wp:inline>
        </w:drawing>
      </w:r>
    </w:p>
    <w:p w14:paraId="2549198D">
      <w:pPr>
        <w:spacing w:before="262" w:line="221" w:lineRule="auto"/>
        <w:ind w:left="2462"/>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1.6-1  </w:t>
      </w:r>
      <w:r>
        <w:rPr>
          <w:rFonts w:ascii="黑体" w:hAnsi="黑体" w:eastAsia="黑体" w:cs="黑体"/>
          <w:spacing w:val="-1"/>
          <w:sz w:val="21"/>
          <w:szCs w:val="21"/>
        </w:rPr>
        <w:t>东兴区畜禽养殖禁养区划定图</w:t>
      </w:r>
    </w:p>
    <w:p w14:paraId="63C70680">
      <w:pPr>
        <w:spacing w:before="203" w:line="360" w:lineRule="auto"/>
        <w:ind w:left="39" w:right="203" w:firstLine="583"/>
        <w:jc w:val="both"/>
        <w:rPr>
          <w:rFonts w:ascii="宋体" w:hAnsi="宋体" w:eastAsia="宋体" w:cs="宋体"/>
          <w:sz w:val="24"/>
          <w:szCs w:val="24"/>
        </w:rPr>
      </w:pPr>
      <w:r>
        <w:rPr>
          <w:rFonts w:ascii="宋体" w:hAnsi="宋体" w:eastAsia="宋体" w:cs="宋体"/>
          <w:spacing w:val="1"/>
          <w:sz w:val="24"/>
          <w:szCs w:val="24"/>
        </w:rPr>
        <w:t>“该区域主体功能定位：成渝经济区重要的经济带，国家重要的资源深加</w:t>
      </w:r>
      <w:r>
        <w:rPr>
          <w:rFonts w:ascii="宋体" w:hAnsi="宋体" w:eastAsia="宋体" w:cs="宋体"/>
          <w:spacing w:val="-3"/>
          <w:sz w:val="24"/>
          <w:szCs w:val="24"/>
        </w:rPr>
        <w:t>工和现代制造业基地，成渝经济区重要的特大城市集群，川滇黔渝结合部综合交</w:t>
      </w:r>
      <w:r>
        <w:rPr>
          <w:rFonts w:ascii="宋体" w:hAnsi="宋体" w:eastAsia="宋体" w:cs="宋体"/>
          <w:spacing w:val="3"/>
          <w:sz w:val="24"/>
          <w:szCs w:val="24"/>
        </w:rPr>
        <w:t>通枢纽，四川沿江和南向对外开放门户，长江上游生态屏障建设示范区。”</w:t>
      </w:r>
    </w:p>
    <w:p w14:paraId="0014B09A">
      <w:pPr>
        <w:spacing w:line="360" w:lineRule="auto"/>
        <w:ind w:left="39" w:firstLine="480"/>
        <w:rPr>
          <w:rFonts w:ascii="宋体" w:hAnsi="宋体" w:eastAsia="宋体" w:cs="宋体"/>
          <w:sz w:val="24"/>
          <w:szCs w:val="24"/>
        </w:rPr>
      </w:pPr>
      <w:r>
        <w:rPr>
          <w:rFonts w:ascii="宋体" w:hAnsi="宋体" w:eastAsia="宋体" w:cs="宋体"/>
          <w:spacing w:val="-1"/>
          <w:sz w:val="24"/>
          <w:szCs w:val="24"/>
        </w:rPr>
        <w:t>重点区域是指具有一定经济基础、资源环境承载能力较强、发展潜力较大、</w:t>
      </w:r>
      <w:r>
        <w:rPr>
          <w:rFonts w:ascii="宋体" w:hAnsi="宋体" w:eastAsia="宋体" w:cs="宋体"/>
          <w:spacing w:val="-4"/>
          <w:sz w:val="24"/>
          <w:szCs w:val="24"/>
        </w:rPr>
        <w:t>集聚人口和经济的条件较好，从而应该重点进行工业化城镇化开发的城市化地区。</w:t>
      </w:r>
    </w:p>
    <w:p w14:paraId="4ED21149">
      <w:pPr>
        <w:spacing w:before="6" w:line="359" w:lineRule="auto"/>
        <w:ind w:left="40" w:right="204" w:firstLine="479"/>
        <w:rPr>
          <w:rFonts w:ascii="宋体" w:hAnsi="宋体" w:eastAsia="宋体" w:cs="宋体"/>
          <w:sz w:val="24"/>
          <w:szCs w:val="24"/>
        </w:rPr>
      </w:pPr>
      <w:r>
        <w:rPr>
          <w:rFonts w:ascii="宋体" w:hAnsi="宋体" w:eastAsia="宋体" w:cs="宋体"/>
          <w:spacing w:val="-3"/>
          <w:sz w:val="24"/>
          <w:szCs w:val="24"/>
        </w:rPr>
        <w:t>本项目位于内江市东兴区白合镇，属于功能区划中的省级层</w:t>
      </w:r>
      <w:r>
        <w:rPr>
          <w:rFonts w:ascii="宋体" w:hAnsi="宋体" w:eastAsia="宋体" w:cs="宋体"/>
          <w:spacing w:val="-4"/>
          <w:sz w:val="24"/>
          <w:szCs w:val="24"/>
        </w:rPr>
        <w:t>面的重点开发区</w:t>
      </w:r>
      <w:r>
        <w:rPr>
          <w:rFonts w:ascii="宋体" w:hAnsi="宋体" w:eastAsia="宋体" w:cs="宋体"/>
          <w:sz w:val="24"/>
          <w:szCs w:val="24"/>
        </w:rPr>
        <w:t>域。在东兴区行政区域内，分布有</w:t>
      </w:r>
      <w:r>
        <w:rPr>
          <w:rFonts w:ascii="Times New Roman" w:hAnsi="Times New Roman" w:eastAsia="Times New Roman" w:cs="Times New Roman"/>
          <w:sz w:val="24"/>
          <w:szCs w:val="24"/>
        </w:rPr>
        <w:t>1</w:t>
      </w:r>
      <w:r>
        <w:rPr>
          <w:rFonts w:ascii="宋体" w:hAnsi="宋体" w:eastAsia="宋体" w:cs="宋体"/>
          <w:sz w:val="24"/>
          <w:szCs w:val="24"/>
        </w:rPr>
        <w:t>处省级层面禁止开发区域—四川省长江森林</w:t>
      </w:r>
      <w:r>
        <w:rPr>
          <w:rFonts w:ascii="宋体" w:hAnsi="宋体" w:eastAsia="宋体" w:cs="宋体"/>
          <w:spacing w:val="-1"/>
          <w:sz w:val="24"/>
          <w:szCs w:val="24"/>
        </w:rPr>
        <w:t>公园，位于东兴区郭北镇，占地面积</w:t>
      </w:r>
      <w:r>
        <w:rPr>
          <w:rFonts w:ascii="Times New Roman" w:hAnsi="Times New Roman" w:eastAsia="Times New Roman" w:cs="Times New Roman"/>
          <w:spacing w:val="-1"/>
          <w:sz w:val="24"/>
          <w:szCs w:val="24"/>
        </w:rPr>
        <w:t>3km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position w:val="10"/>
          <w:sz w:val="15"/>
          <w:szCs w:val="15"/>
        </w:rPr>
        <w:t xml:space="preserve"> </w:t>
      </w:r>
      <w:r>
        <w:rPr>
          <w:rFonts w:ascii="宋体" w:hAnsi="宋体" w:eastAsia="宋体" w:cs="宋体"/>
          <w:spacing w:val="-1"/>
          <w:sz w:val="24"/>
          <w:szCs w:val="24"/>
        </w:rPr>
        <w:t>，与本项目直线距离约</w:t>
      </w:r>
      <w:r>
        <w:rPr>
          <w:rFonts w:ascii="Times New Roman" w:hAnsi="Times New Roman" w:eastAsia="Times New Roman" w:cs="Times New Roman"/>
          <w:spacing w:val="-1"/>
          <w:sz w:val="24"/>
          <w:szCs w:val="24"/>
        </w:rPr>
        <w:t>10km</w:t>
      </w:r>
      <w:r>
        <w:rPr>
          <w:rFonts w:ascii="宋体" w:hAnsi="宋体" w:eastAsia="宋体" w:cs="宋体"/>
          <w:spacing w:val="-1"/>
          <w:sz w:val="24"/>
          <w:szCs w:val="24"/>
        </w:rPr>
        <w:t>，本项目</w:t>
      </w:r>
      <w:r>
        <w:rPr>
          <w:rFonts w:ascii="宋体" w:hAnsi="宋体" w:eastAsia="宋体" w:cs="宋体"/>
          <w:spacing w:val="-6"/>
          <w:sz w:val="24"/>
          <w:szCs w:val="24"/>
        </w:rPr>
        <w:t>不在省级层面禁止开发区域内。因此， 本项目是符合《</w:t>
      </w:r>
      <w:r>
        <w:rPr>
          <w:rFonts w:ascii="宋体" w:hAnsi="宋体" w:eastAsia="宋体" w:cs="宋体"/>
          <w:spacing w:val="-7"/>
          <w:sz w:val="24"/>
          <w:szCs w:val="24"/>
        </w:rPr>
        <w:t>四川省主体功能区划》相</w:t>
      </w:r>
      <w:r>
        <w:rPr>
          <w:rFonts w:ascii="宋体" w:hAnsi="宋体" w:eastAsia="宋体" w:cs="宋体"/>
          <w:spacing w:val="-8"/>
          <w:sz w:val="24"/>
          <w:szCs w:val="24"/>
        </w:rPr>
        <w:t>关要求的。</w:t>
      </w:r>
    </w:p>
    <w:p w14:paraId="634810B1">
      <w:pPr>
        <w:spacing w:line="359" w:lineRule="auto"/>
        <w:rPr>
          <w:rFonts w:ascii="宋体" w:hAnsi="宋体" w:eastAsia="宋体" w:cs="宋体"/>
          <w:sz w:val="24"/>
          <w:szCs w:val="24"/>
        </w:rPr>
        <w:sectPr>
          <w:headerReference r:id="rId85" w:type="default"/>
          <w:footerReference r:id="rId86" w:type="default"/>
          <w:pgSz w:w="11905" w:h="16840"/>
          <w:pgMar w:top="1168" w:right="1592" w:bottom="1408" w:left="1770" w:header="828" w:footer="1244" w:gutter="0"/>
          <w:cols w:space="720" w:num="1"/>
        </w:sectPr>
      </w:pPr>
    </w:p>
    <w:p w14:paraId="08F87343">
      <w:pPr>
        <w:pStyle w:val="2"/>
        <w:spacing w:line="372" w:lineRule="auto"/>
      </w:pPr>
    </w:p>
    <w:p w14:paraId="6B3CDAF6">
      <w:pPr>
        <w:spacing w:line="6338" w:lineRule="exact"/>
        <w:ind w:firstLine="21"/>
      </w:pPr>
      <w:r>
        <w:rPr>
          <w:position w:val="-126"/>
        </w:rPr>
        <w:pict>
          <v:group id="_x0000_s1026" o:spid="_x0000_s1026" o:spt="203" style="height:316.9pt;width:416.5pt;" coordsize="8330,6337">
            <o:lock v:ext="edit"/>
            <v:shape id="_x0000_s1027" o:spid="_x0000_s1027" o:spt="75" type="#_x0000_t75" style="position:absolute;left:0;top:0;height:6337;width:8330;" filled="f" stroked="f" coordsize="21600,21600">
              <v:path/>
              <v:fill on="f" focussize="0,0"/>
              <v:stroke on="f"/>
              <v:imagedata r:id="rId538" o:title=""/>
              <o:lock v:ext="edit" aspectratio="t"/>
            </v:shape>
            <v:shape id="_x0000_s1028" o:spid="_x0000_s1028" o:spt="202" type="#_x0000_t202" style="position:absolute;left:5956;top:2808;height:260;width:908;" filled="f" stroked="f" coordsize="21600,21600">
              <v:path/>
              <v:fill on="f" focussize="0,0"/>
              <v:stroke on="f"/>
              <v:imagedata o:title=""/>
              <o:lock v:ext="edit" aspectratio="f"/>
              <v:textbox inset="0mm,0mm,0mm,0mm">
                <w:txbxContent>
                  <w:p w14:paraId="6613E3F3">
                    <w:pPr>
                      <w:spacing w:before="19" w:line="229" w:lineRule="auto"/>
                      <w:ind w:left="20"/>
                      <w:rPr>
                        <w:rFonts w:ascii="宋体" w:hAnsi="宋体" w:eastAsia="宋体" w:cs="宋体"/>
                        <w:sz w:val="21"/>
                        <w:szCs w:val="21"/>
                      </w:rPr>
                    </w:pPr>
                    <w:r>
                      <w:rPr>
                        <w:rFonts w:ascii="宋体" w:hAnsi="宋体" w:eastAsia="宋体" w:cs="宋体"/>
                        <w:spacing w:val="6"/>
                        <w:sz w:val="21"/>
                        <w:szCs w:val="21"/>
                      </w:rPr>
                      <w:t>建设项目</w:t>
                    </w:r>
                  </w:p>
                </w:txbxContent>
              </v:textbox>
            </v:shape>
            <w10:wrap type="none"/>
            <w10:anchorlock/>
          </v:group>
        </w:pict>
      </w:r>
    </w:p>
    <w:p w14:paraId="3104E29E">
      <w:pPr>
        <w:spacing w:before="239" w:line="222" w:lineRule="auto"/>
        <w:ind w:left="2725"/>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1.6-2    </w:t>
      </w:r>
      <w:r>
        <w:rPr>
          <w:rFonts w:ascii="黑体" w:hAnsi="黑体" w:eastAsia="黑体" w:cs="黑体"/>
          <w:spacing w:val="-1"/>
          <w:sz w:val="21"/>
          <w:szCs w:val="21"/>
        </w:rPr>
        <w:t>四川省主体功能区划图</w:t>
      </w:r>
    </w:p>
    <w:p w14:paraId="616EFC41">
      <w:pPr>
        <w:spacing w:before="258"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 xml:space="preserve">1.6.2.7 </w:t>
      </w:r>
      <w:r>
        <w:rPr>
          <w:rFonts w:ascii="宋体" w:hAnsi="宋体" w:eastAsia="宋体" w:cs="宋体"/>
          <w:b/>
          <w:bCs/>
          <w:spacing w:val="6"/>
          <w:sz w:val="27"/>
          <w:szCs w:val="27"/>
        </w:rPr>
        <w:t>项目与四川省生态功能区区划的符合性分析</w:t>
      </w:r>
    </w:p>
    <w:p w14:paraId="0376303B">
      <w:pPr>
        <w:spacing w:before="235" w:line="361" w:lineRule="auto"/>
        <w:ind w:left="38" w:right="30" w:firstLine="480"/>
        <w:rPr>
          <w:rFonts w:ascii="宋体" w:hAnsi="宋体" w:eastAsia="宋体" w:cs="宋体"/>
          <w:sz w:val="24"/>
          <w:szCs w:val="24"/>
        </w:rPr>
      </w:pPr>
      <w:r>
        <w:rPr>
          <w:rFonts w:ascii="宋体" w:hAnsi="宋体" w:eastAsia="宋体" w:cs="宋体"/>
          <w:spacing w:val="-8"/>
          <w:sz w:val="24"/>
          <w:szCs w:val="24"/>
        </w:rPr>
        <w:t>根据《四川省生态功能区区划》，该区划将全省生态功能区划分为</w:t>
      </w:r>
      <w:r>
        <w:rPr>
          <w:rFonts w:ascii="Times New Roman" w:hAnsi="Times New Roman" w:eastAsia="Times New Roman" w:cs="Times New Roman"/>
          <w:spacing w:val="-8"/>
          <w:sz w:val="24"/>
          <w:szCs w:val="24"/>
        </w:rPr>
        <w:t>3</w:t>
      </w:r>
      <w:r>
        <w:rPr>
          <w:rFonts w:ascii="宋体" w:hAnsi="宋体" w:eastAsia="宋体" w:cs="宋体"/>
          <w:spacing w:val="-8"/>
          <w:sz w:val="24"/>
          <w:szCs w:val="24"/>
        </w:rPr>
        <w:t>个等级。</w:t>
      </w:r>
      <w:r>
        <w:rPr>
          <w:rFonts w:ascii="宋体" w:hAnsi="宋体" w:eastAsia="宋体" w:cs="宋体"/>
          <w:sz w:val="24"/>
          <w:szCs w:val="24"/>
        </w:rPr>
        <w:t>先从宏观上按照自然气候、地理特点划分一级区，即自然生态区，共</w:t>
      </w:r>
      <w:r>
        <w:rPr>
          <w:rFonts w:ascii="Times New Roman" w:hAnsi="Times New Roman" w:eastAsia="Times New Roman" w:cs="Times New Roman"/>
          <w:sz w:val="24"/>
          <w:szCs w:val="24"/>
        </w:rPr>
        <w:t>4</w:t>
      </w:r>
      <w:r>
        <w:rPr>
          <w:rFonts w:ascii="宋体" w:hAnsi="宋体" w:eastAsia="宋体" w:cs="宋体"/>
          <w:sz w:val="24"/>
          <w:szCs w:val="24"/>
        </w:rPr>
        <w:t>个；再根</w:t>
      </w:r>
      <w:r>
        <w:rPr>
          <w:rFonts w:ascii="宋体" w:hAnsi="宋体" w:eastAsia="宋体" w:cs="宋体"/>
          <w:spacing w:val="-3"/>
          <w:sz w:val="24"/>
          <w:szCs w:val="24"/>
        </w:rPr>
        <w:t>据生态系统类型与生态系统服务功能类型划分二级区，即生态亚区，共</w:t>
      </w:r>
      <w:r>
        <w:rPr>
          <w:rFonts w:ascii="Times New Roman" w:hAnsi="Times New Roman" w:eastAsia="Times New Roman" w:cs="Times New Roman"/>
          <w:spacing w:val="-3"/>
          <w:sz w:val="24"/>
          <w:szCs w:val="24"/>
        </w:rPr>
        <w:t>13</w:t>
      </w:r>
      <w:r>
        <w:rPr>
          <w:rFonts w:ascii="宋体" w:hAnsi="宋体" w:eastAsia="宋体" w:cs="宋体"/>
          <w:spacing w:val="-3"/>
          <w:sz w:val="24"/>
          <w:szCs w:val="24"/>
        </w:rPr>
        <w:t>个；最</w:t>
      </w:r>
      <w:r>
        <w:rPr>
          <w:rFonts w:ascii="宋体" w:hAnsi="宋体" w:eastAsia="宋体" w:cs="宋体"/>
          <w:spacing w:val="-6"/>
          <w:sz w:val="24"/>
          <w:szCs w:val="24"/>
        </w:rPr>
        <w:t>后根据生态服务功能重要性、生态环境敏感性与生态环境问题划分三级区，</w:t>
      </w:r>
      <w:r>
        <w:rPr>
          <w:rFonts w:ascii="宋体" w:hAnsi="宋体" w:eastAsia="宋体" w:cs="宋体"/>
          <w:spacing w:val="-14"/>
          <w:sz w:val="24"/>
          <w:szCs w:val="24"/>
        </w:rPr>
        <w:t xml:space="preserve"> </w:t>
      </w:r>
      <w:r>
        <w:rPr>
          <w:rFonts w:ascii="宋体" w:hAnsi="宋体" w:eastAsia="宋体" w:cs="宋体"/>
          <w:spacing w:val="-6"/>
          <w:sz w:val="24"/>
          <w:szCs w:val="24"/>
        </w:rPr>
        <w:t>即生</w:t>
      </w:r>
      <w:r>
        <w:rPr>
          <w:rFonts w:ascii="宋体" w:hAnsi="宋体" w:eastAsia="宋体" w:cs="宋体"/>
          <w:spacing w:val="-3"/>
          <w:sz w:val="24"/>
          <w:szCs w:val="24"/>
        </w:rPr>
        <w:t>态功能区，共</w:t>
      </w:r>
      <w:r>
        <w:rPr>
          <w:rFonts w:ascii="Times New Roman" w:hAnsi="Times New Roman" w:eastAsia="Times New Roman" w:cs="Times New Roman"/>
          <w:spacing w:val="-3"/>
          <w:sz w:val="24"/>
          <w:szCs w:val="24"/>
        </w:rPr>
        <w:t>36</w:t>
      </w:r>
      <w:r>
        <w:rPr>
          <w:rFonts w:ascii="宋体" w:hAnsi="宋体" w:eastAsia="宋体" w:cs="宋体"/>
          <w:spacing w:val="-3"/>
          <w:sz w:val="24"/>
          <w:szCs w:val="24"/>
        </w:rPr>
        <w:t>个。</w:t>
      </w:r>
    </w:p>
    <w:p w14:paraId="0A267E44">
      <w:pPr>
        <w:spacing w:before="8" w:line="221" w:lineRule="auto"/>
        <w:ind w:left="203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1.6-4  </w:t>
      </w:r>
      <w:r>
        <w:rPr>
          <w:rFonts w:ascii="黑体" w:hAnsi="黑体" w:eastAsia="黑体" w:cs="黑体"/>
          <w:spacing w:val="-1"/>
          <w:sz w:val="21"/>
          <w:szCs w:val="21"/>
        </w:rPr>
        <w:t>四川省生态功能区划三级区特征一览表</w:t>
      </w:r>
    </w:p>
    <w:p w14:paraId="36F5AE81">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566"/>
        <w:gridCol w:w="849"/>
        <w:gridCol w:w="1275"/>
        <w:gridCol w:w="706"/>
        <w:gridCol w:w="995"/>
        <w:gridCol w:w="849"/>
        <w:gridCol w:w="709"/>
        <w:gridCol w:w="1794"/>
      </w:tblGrid>
      <w:tr w14:paraId="12D53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77" w:type="dxa"/>
            <w:vAlign w:val="top"/>
          </w:tcPr>
          <w:p w14:paraId="132D6454">
            <w:pPr>
              <w:spacing w:before="171" w:line="244" w:lineRule="auto"/>
              <w:ind w:left="203" w:right="76" w:hanging="118"/>
              <w:rPr>
                <w:rFonts w:ascii="宋体" w:hAnsi="宋体" w:eastAsia="宋体" w:cs="宋体"/>
                <w:sz w:val="21"/>
                <w:szCs w:val="21"/>
              </w:rPr>
            </w:pPr>
            <w:r>
              <w:rPr>
                <w:rFonts w:ascii="宋体" w:hAnsi="宋体" w:eastAsia="宋体" w:cs="宋体"/>
                <w:spacing w:val="-5"/>
                <w:sz w:val="21"/>
                <w:szCs w:val="21"/>
              </w:rPr>
              <w:t>生态</w:t>
            </w:r>
            <w:r>
              <w:rPr>
                <w:rFonts w:ascii="宋体" w:hAnsi="宋体" w:eastAsia="宋体" w:cs="宋体"/>
                <w:sz w:val="21"/>
                <w:szCs w:val="21"/>
              </w:rPr>
              <w:t>区</w:t>
            </w:r>
          </w:p>
        </w:tc>
        <w:tc>
          <w:tcPr>
            <w:tcW w:w="566" w:type="dxa"/>
            <w:vAlign w:val="top"/>
          </w:tcPr>
          <w:p w14:paraId="78BAED0D">
            <w:pPr>
              <w:spacing w:before="171" w:line="244" w:lineRule="auto"/>
              <w:ind w:left="78" w:right="72"/>
              <w:rPr>
                <w:rFonts w:ascii="宋体" w:hAnsi="宋体" w:eastAsia="宋体" w:cs="宋体"/>
                <w:sz w:val="21"/>
                <w:szCs w:val="21"/>
              </w:rPr>
            </w:pPr>
            <w:r>
              <w:rPr>
                <w:rFonts w:ascii="宋体" w:hAnsi="宋体" w:eastAsia="宋体" w:cs="宋体"/>
                <w:spacing w:val="-5"/>
                <w:sz w:val="21"/>
                <w:szCs w:val="21"/>
              </w:rPr>
              <w:t>生态亚区</w:t>
            </w:r>
          </w:p>
        </w:tc>
        <w:tc>
          <w:tcPr>
            <w:tcW w:w="849" w:type="dxa"/>
            <w:vAlign w:val="top"/>
          </w:tcPr>
          <w:p w14:paraId="198EAD7A">
            <w:pPr>
              <w:spacing w:before="171" w:line="242" w:lineRule="auto"/>
              <w:ind w:left="116" w:right="109" w:firstLine="103"/>
              <w:rPr>
                <w:rFonts w:ascii="宋体" w:hAnsi="宋体" w:eastAsia="宋体" w:cs="宋体"/>
                <w:sz w:val="21"/>
                <w:szCs w:val="21"/>
              </w:rPr>
            </w:pPr>
            <w:r>
              <w:rPr>
                <w:rFonts w:ascii="宋体" w:hAnsi="宋体" w:eastAsia="宋体" w:cs="宋体"/>
                <w:spacing w:val="-5"/>
                <w:sz w:val="21"/>
                <w:szCs w:val="21"/>
              </w:rPr>
              <w:t>生态</w:t>
            </w:r>
            <w:r>
              <w:rPr>
                <w:rFonts w:ascii="宋体" w:hAnsi="宋体" w:eastAsia="宋体" w:cs="宋体"/>
                <w:spacing w:val="-4"/>
                <w:sz w:val="21"/>
                <w:szCs w:val="21"/>
              </w:rPr>
              <w:t>功能区</w:t>
            </w:r>
          </w:p>
        </w:tc>
        <w:tc>
          <w:tcPr>
            <w:tcW w:w="1275" w:type="dxa"/>
            <w:vAlign w:val="top"/>
          </w:tcPr>
          <w:p w14:paraId="56F21F69">
            <w:pPr>
              <w:spacing w:before="170" w:line="242" w:lineRule="auto"/>
              <w:ind w:left="535" w:right="6" w:hanging="524"/>
              <w:rPr>
                <w:rFonts w:ascii="宋体" w:hAnsi="宋体" w:eastAsia="宋体" w:cs="宋体"/>
                <w:sz w:val="21"/>
                <w:szCs w:val="21"/>
              </w:rPr>
            </w:pPr>
            <w:r>
              <w:rPr>
                <w:rFonts w:ascii="宋体" w:hAnsi="宋体" w:eastAsia="宋体" w:cs="宋体"/>
                <w:spacing w:val="-2"/>
                <w:sz w:val="21"/>
                <w:szCs w:val="21"/>
              </w:rPr>
              <w:t>所在区域与面</w:t>
            </w:r>
            <w:r>
              <w:rPr>
                <w:rFonts w:ascii="宋体" w:hAnsi="宋体" w:eastAsia="宋体" w:cs="宋体"/>
                <w:sz w:val="21"/>
                <w:szCs w:val="21"/>
              </w:rPr>
              <w:t>积</w:t>
            </w:r>
          </w:p>
        </w:tc>
        <w:tc>
          <w:tcPr>
            <w:tcW w:w="706" w:type="dxa"/>
            <w:vAlign w:val="top"/>
          </w:tcPr>
          <w:p w14:paraId="18394235">
            <w:pPr>
              <w:spacing w:before="171" w:line="242" w:lineRule="auto"/>
              <w:ind w:left="43" w:right="35" w:firstLine="4"/>
              <w:rPr>
                <w:rFonts w:ascii="宋体" w:hAnsi="宋体" w:eastAsia="宋体" w:cs="宋体"/>
                <w:sz w:val="21"/>
                <w:szCs w:val="21"/>
              </w:rPr>
            </w:pPr>
            <w:r>
              <w:rPr>
                <w:rFonts w:ascii="宋体" w:hAnsi="宋体" w:eastAsia="宋体" w:cs="宋体"/>
                <w:spacing w:val="-5"/>
                <w:sz w:val="21"/>
                <w:szCs w:val="21"/>
              </w:rPr>
              <w:t>典型生</w:t>
            </w:r>
            <w:r>
              <w:rPr>
                <w:rFonts w:ascii="宋体" w:hAnsi="宋体" w:eastAsia="宋体" w:cs="宋体"/>
                <w:spacing w:val="-3"/>
                <w:sz w:val="21"/>
                <w:szCs w:val="21"/>
              </w:rPr>
              <w:t>态系统</w:t>
            </w:r>
          </w:p>
        </w:tc>
        <w:tc>
          <w:tcPr>
            <w:tcW w:w="995" w:type="dxa"/>
            <w:vAlign w:val="top"/>
          </w:tcPr>
          <w:p w14:paraId="08393A02">
            <w:pPr>
              <w:spacing w:before="170" w:line="243" w:lineRule="auto"/>
              <w:ind w:left="317" w:right="74" w:hanging="232"/>
              <w:rPr>
                <w:rFonts w:ascii="宋体" w:hAnsi="宋体" w:eastAsia="宋体" w:cs="宋体"/>
                <w:sz w:val="21"/>
                <w:szCs w:val="21"/>
              </w:rPr>
            </w:pPr>
            <w:r>
              <w:rPr>
                <w:rFonts w:ascii="宋体" w:hAnsi="宋体" w:eastAsia="宋体" w:cs="宋体"/>
                <w:spacing w:val="-3"/>
                <w:sz w:val="21"/>
                <w:szCs w:val="21"/>
              </w:rPr>
              <w:t>主要生态</w:t>
            </w:r>
            <w:r>
              <w:rPr>
                <w:rFonts w:ascii="宋体" w:hAnsi="宋体" w:eastAsia="宋体" w:cs="宋体"/>
                <w:spacing w:val="-8"/>
                <w:sz w:val="21"/>
                <w:szCs w:val="21"/>
              </w:rPr>
              <w:t>问题</w:t>
            </w:r>
          </w:p>
        </w:tc>
        <w:tc>
          <w:tcPr>
            <w:tcW w:w="849" w:type="dxa"/>
            <w:vAlign w:val="top"/>
          </w:tcPr>
          <w:p w14:paraId="4CABC74E">
            <w:pPr>
              <w:spacing w:before="169" w:line="242" w:lineRule="auto"/>
              <w:ind w:left="116" w:hanging="103"/>
              <w:rPr>
                <w:rFonts w:ascii="宋体" w:hAnsi="宋体" w:eastAsia="宋体" w:cs="宋体"/>
                <w:sz w:val="21"/>
                <w:szCs w:val="21"/>
              </w:rPr>
            </w:pPr>
            <w:r>
              <w:rPr>
                <w:rFonts w:ascii="宋体" w:hAnsi="宋体" w:eastAsia="宋体" w:cs="宋体"/>
                <w:spacing w:val="-3"/>
                <w:sz w:val="21"/>
                <w:szCs w:val="21"/>
              </w:rPr>
              <w:t>生态环境敏感性</w:t>
            </w:r>
          </w:p>
        </w:tc>
        <w:tc>
          <w:tcPr>
            <w:tcW w:w="709" w:type="dxa"/>
            <w:vAlign w:val="top"/>
          </w:tcPr>
          <w:p w14:paraId="69EE0CF8">
            <w:pPr>
              <w:spacing w:before="34" w:line="221" w:lineRule="auto"/>
              <w:ind w:left="48"/>
              <w:rPr>
                <w:rFonts w:ascii="宋体" w:hAnsi="宋体" w:eastAsia="宋体" w:cs="宋体"/>
                <w:sz w:val="21"/>
                <w:szCs w:val="21"/>
              </w:rPr>
            </w:pPr>
            <w:r>
              <w:rPr>
                <w:rFonts w:ascii="宋体" w:hAnsi="宋体" w:eastAsia="宋体" w:cs="宋体"/>
                <w:spacing w:val="-3"/>
                <w:sz w:val="21"/>
                <w:szCs w:val="21"/>
              </w:rPr>
              <w:t>生态服</w:t>
            </w:r>
          </w:p>
          <w:p w14:paraId="00188B5F">
            <w:pPr>
              <w:spacing w:before="20" w:line="220" w:lineRule="auto"/>
              <w:ind w:left="48"/>
              <w:rPr>
                <w:rFonts w:ascii="宋体" w:hAnsi="宋体" w:eastAsia="宋体" w:cs="宋体"/>
                <w:sz w:val="21"/>
                <w:szCs w:val="21"/>
              </w:rPr>
            </w:pPr>
            <w:r>
              <w:rPr>
                <w:rFonts w:ascii="宋体" w:hAnsi="宋体" w:eastAsia="宋体" w:cs="宋体"/>
                <w:spacing w:val="-3"/>
                <w:sz w:val="21"/>
                <w:szCs w:val="21"/>
              </w:rPr>
              <w:t>务功能</w:t>
            </w:r>
          </w:p>
          <w:p w14:paraId="734C0584">
            <w:pPr>
              <w:spacing w:before="22" w:line="208" w:lineRule="auto"/>
              <w:ind w:left="47"/>
              <w:rPr>
                <w:rFonts w:ascii="宋体" w:hAnsi="宋体" w:eastAsia="宋体" w:cs="宋体"/>
                <w:sz w:val="21"/>
                <w:szCs w:val="21"/>
              </w:rPr>
            </w:pPr>
            <w:r>
              <w:rPr>
                <w:rFonts w:ascii="宋体" w:hAnsi="宋体" w:eastAsia="宋体" w:cs="宋体"/>
                <w:spacing w:val="-3"/>
                <w:sz w:val="21"/>
                <w:szCs w:val="21"/>
              </w:rPr>
              <w:t>重要性</w:t>
            </w:r>
          </w:p>
        </w:tc>
        <w:tc>
          <w:tcPr>
            <w:tcW w:w="1794" w:type="dxa"/>
            <w:vAlign w:val="top"/>
          </w:tcPr>
          <w:p w14:paraId="2C9C8683">
            <w:pPr>
              <w:spacing w:before="171" w:line="220" w:lineRule="auto"/>
              <w:ind w:left="63"/>
              <w:rPr>
                <w:rFonts w:ascii="宋体" w:hAnsi="宋体" w:eastAsia="宋体" w:cs="宋体"/>
                <w:sz w:val="21"/>
                <w:szCs w:val="21"/>
              </w:rPr>
            </w:pPr>
            <w:r>
              <w:rPr>
                <w:rFonts w:ascii="宋体" w:hAnsi="宋体" w:eastAsia="宋体" w:cs="宋体"/>
                <w:spacing w:val="-2"/>
                <w:sz w:val="21"/>
                <w:szCs w:val="21"/>
              </w:rPr>
              <w:t>生态建设与发展方</w:t>
            </w:r>
          </w:p>
          <w:p w14:paraId="64F908D8">
            <w:pPr>
              <w:spacing w:before="21" w:line="221" w:lineRule="auto"/>
              <w:ind w:left="818"/>
              <w:rPr>
                <w:rFonts w:ascii="宋体" w:hAnsi="宋体" w:eastAsia="宋体" w:cs="宋体"/>
                <w:sz w:val="21"/>
                <w:szCs w:val="21"/>
              </w:rPr>
            </w:pPr>
            <w:r>
              <w:rPr>
                <w:rFonts w:ascii="宋体" w:hAnsi="宋体" w:eastAsia="宋体" w:cs="宋体"/>
                <w:sz w:val="21"/>
                <w:szCs w:val="21"/>
              </w:rPr>
              <w:t>向</w:t>
            </w:r>
          </w:p>
        </w:tc>
      </w:tr>
      <w:tr w14:paraId="4C295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577" w:type="dxa"/>
            <w:vAlign w:val="top"/>
          </w:tcPr>
          <w:p w14:paraId="604D0FFA">
            <w:pPr>
              <w:spacing w:before="303" w:line="222" w:lineRule="auto"/>
              <w:ind w:left="151"/>
              <w:rPr>
                <w:rFonts w:ascii="宋体" w:hAnsi="宋体" w:eastAsia="宋体" w:cs="宋体"/>
                <w:sz w:val="21"/>
                <w:szCs w:val="21"/>
              </w:rPr>
            </w:pPr>
            <w:r>
              <w:rPr>
                <w:rFonts w:ascii="宋体" w:hAnsi="宋体" w:eastAsia="宋体" w:cs="宋体"/>
                <w:spacing w:val="-20"/>
                <w:sz w:val="21"/>
                <w:szCs w:val="21"/>
              </w:rPr>
              <w:t>Ⅰ四</w:t>
            </w:r>
          </w:p>
          <w:p w14:paraId="17EC5065">
            <w:pPr>
              <w:spacing w:before="18" w:line="220" w:lineRule="auto"/>
              <w:ind w:left="89"/>
              <w:rPr>
                <w:rFonts w:ascii="宋体" w:hAnsi="宋体" w:eastAsia="宋体" w:cs="宋体"/>
                <w:sz w:val="21"/>
                <w:szCs w:val="21"/>
              </w:rPr>
            </w:pPr>
            <w:r>
              <w:rPr>
                <w:rFonts w:ascii="宋体" w:hAnsi="宋体" w:eastAsia="宋体" w:cs="宋体"/>
                <w:spacing w:val="-4"/>
                <w:sz w:val="21"/>
                <w:szCs w:val="21"/>
              </w:rPr>
              <w:t>川盆</w:t>
            </w:r>
          </w:p>
          <w:p w14:paraId="420743CB">
            <w:pPr>
              <w:spacing w:before="22" w:line="229" w:lineRule="auto"/>
              <w:ind w:left="83"/>
              <w:rPr>
                <w:rFonts w:ascii="宋体" w:hAnsi="宋体" w:eastAsia="宋体" w:cs="宋体"/>
                <w:sz w:val="21"/>
                <w:szCs w:val="21"/>
              </w:rPr>
            </w:pPr>
            <w:r>
              <w:rPr>
                <w:rFonts w:ascii="宋体" w:hAnsi="宋体" w:eastAsia="宋体" w:cs="宋体"/>
                <w:spacing w:val="-3"/>
                <w:sz w:val="21"/>
                <w:szCs w:val="21"/>
              </w:rPr>
              <w:t>地亚</w:t>
            </w:r>
          </w:p>
          <w:p w14:paraId="22111A32">
            <w:pPr>
              <w:spacing w:before="11" w:line="220" w:lineRule="auto"/>
              <w:ind w:left="87"/>
              <w:rPr>
                <w:rFonts w:ascii="宋体" w:hAnsi="宋体" w:eastAsia="宋体" w:cs="宋体"/>
                <w:sz w:val="21"/>
                <w:szCs w:val="21"/>
              </w:rPr>
            </w:pPr>
            <w:r>
              <w:rPr>
                <w:rFonts w:ascii="宋体" w:hAnsi="宋体" w:eastAsia="宋体" w:cs="宋体"/>
                <w:spacing w:val="-4"/>
                <w:sz w:val="21"/>
                <w:szCs w:val="21"/>
              </w:rPr>
              <w:t>热带</w:t>
            </w:r>
          </w:p>
          <w:p w14:paraId="68301D70">
            <w:pPr>
              <w:spacing w:before="22" w:line="220" w:lineRule="auto"/>
              <w:ind w:left="83"/>
              <w:rPr>
                <w:rFonts w:ascii="宋体" w:hAnsi="宋体" w:eastAsia="宋体" w:cs="宋体"/>
                <w:sz w:val="21"/>
                <w:szCs w:val="21"/>
              </w:rPr>
            </w:pPr>
            <w:r>
              <w:rPr>
                <w:rFonts w:ascii="宋体" w:hAnsi="宋体" w:eastAsia="宋体" w:cs="宋体"/>
                <w:spacing w:val="-3"/>
                <w:sz w:val="21"/>
                <w:szCs w:val="21"/>
              </w:rPr>
              <w:t>农林</w:t>
            </w:r>
          </w:p>
          <w:p w14:paraId="66DDD29F">
            <w:pPr>
              <w:spacing w:before="23" w:line="244" w:lineRule="auto"/>
              <w:ind w:left="203" w:right="76" w:hanging="118"/>
              <w:rPr>
                <w:rFonts w:ascii="宋体" w:hAnsi="宋体" w:eastAsia="宋体" w:cs="宋体"/>
                <w:sz w:val="21"/>
                <w:szCs w:val="21"/>
              </w:rPr>
            </w:pPr>
            <w:r>
              <w:rPr>
                <w:rFonts w:ascii="宋体" w:hAnsi="宋体" w:eastAsia="宋体" w:cs="宋体"/>
                <w:spacing w:val="-5"/>
                <w:sz w:val="21"/>
                <w:szCs w:val="21"/>
              </w:rPr>
              <w:t>生态</w:t>
            </w:r>
            <w:r>
              <w:rPr>
                <w:rFonts w:ascii="宋体" w:hAnsi="宋体" w:eastAsia="宋体" w:cs="宋体"/>
                <w:sz w:val="21"/>
                <w:szCs w:val="21"/>
              </w:rPr>
              <w:t>区</w:t>
            </w:r>
          </w:p>
        </w:tc>
        <w:tc>
          <w:tcPr>
            <w:tcW w:w="566" w:type="dxa"/>
            <w:vAlign w:val="top"/>
          </w:tcPr>
          <w:p w14:paraId="1C827D01">
            <w:pPr>
              <w:pStyle w:val="6"/>
              <w:spacing w:before="304" w:line="239" w:lineRule="auto"/>
              <w:ind w:left="96" w:right="3" w:hanging="20"/>
              <w:rPr>
                <w:rFonts w:ascii="宋体" w:hAnsi="宋体" w:eastAsia="宋体" w:cs="宋体"/>
              </w:rPr>
            </w:pPr>
            <w:r>
              <w:rPr>
                <w:rFonts w:ascii="宋体" w:hAnsi="宋体" w:eastAsia="宋体" w:cs="宋体"/>
                <w:spacing w:val="-38"/>
              </w:rPr>
              <w:t>Ⅰ</w:t>
            </w:r>
            <w:r>
              <w:rPr>
                <w:spacing w:val="-37"/>
              </w:rPr>
              <w:t>2</w:t>
            </w:r>
            <w:r>
              <w:rPr>
                <w:spacing w:val="-10"/>
              </w:rPr>
              <w:t xml:space="preserve"> </w:t>
            </w:r>
            <w:r>
              <w:rPr>
                <w:rFonts w:ascii="宋体" w:hAnsi="宋体" w:eastAsia="宋体" w:cs="宋体"/>
                <w:spacing w:val="-12"/>
              </w:rPr>
              <w:t>盆</w:t>
            </w:r>
            <w:r>
              <w:rPr>
                <w:rFonts w:ascii="宋体" w:hAnsi="宋体" w:eastAsia="宋体" w:cs="宋体"/>
                <w:spacing w:val="-8"/>
              </w:rPr>
              <w:t>中丘</w:t>
            </w:r>
          </w:p>
          <w:p w14:paraId="29D84165">
            <w:pPr>
              <w:spacing w:line="220" w:lineRule="auto"/>
              <w:ind w:left="89"/>
              <w:rPr>
                <w:rFonts w:ascii="宋体" w:hAnsi="宋体" w:eastAsia="宋体" w:cs="宋体"/>
                <w:sz w:val="21"/>
                <w:szCs w:val="21"/>
              </w:rPr>
            </w:pPr>
            <w:r>
              <w:rPr>
                <w:rFonts w:ascii="宋体" w:hAnsi="宋体" w:eastAsia="宋体" w:cs="宋体"/>
                <w:spacing w:val="-6"/>
                <w:sz w:val="21"/>
                <w:szCs w:val="21"/>
              </w:rPr>
              <w:t>陵农</w:t>
            </w:r>
          </w:p>
          <w:p w14:paraId="12C96534">
            <w:pPr>
              <w:spacing w:before="21" w:line="220" w:lineRule="auto"/>
              <w:ind w:left="77"/>
              <w:rPr>
                <w:rFonts w:ascii="宋体" w:hAnsi="宋体" w:eastAsia="宋体" w:cs="宋体"/>
                <w:sz w:val="21"/>
                <w:szCs w:val="21"/>
              </w:rPr>
            </w:pPr>
            <w:r>
              <w:rPr>
                <w:rFonts w:ascii="宋体" w:hAnsi="宋体" w:eastAsia="宋体" w:cs="宋体"/>
                <w:spacing w:val="-3"/>
                <w:sz w:val="21"/>
                <w:szCs w:val="21"/>
              </w:rPr>
              <w:t>林复</w:t>
            </w:r>
          </w:p>
          <w:p w14:paraId="30592AB2">
            <w:pPr>
              <w:spacing w:before="22" w:line="223" w:lineRule="auto"/>
              <w:ind w:left="77"/>
              <w:rPr>
                <w:rFonts w:ascii="宋体" w:hAnsi="宋体" w:eastAsia="宋体" w:cs="宋体"/>
                <w:sz w:val="21"/>
                <w:szCs w:val="21"/>
              </w:rPr>
            </w:pPr>
            <w:r>
              <w:rPr>
                <w:rFonts w:ascii="宋体" w:hAnsi="宋体" w:eastAsia="宋体" w:cs="宋体"/>
                <w:spacing w:val="-3"/>
                <w:sz w:val="21"/>
                <w:szCs w:val="21"/>
              </w:rPr>
              <w:t>合生</w:t>
            </w:r>
          </w:p>
          <w:p w14:paraId="3C9BD352">
            <w:pPr>
              <w:spacing w:before="18" w:line="244" w:lineRule="auto"/>
              <w:ind w:left="195" w:right="72" w:hanging="119"/>
              <w:rPr>
                <w:rFonts w:ascii="宋体" w:hAnsi="宋体" w:eastAsia="宋体" w:cs="宋体"/>
                <w:sz w:val="21"/>
                <w:szCs w:val="21"/>
              </w:rPr>
            </w:pPr>
            <w:r>
              <w:rPr>
                <w:rFonts w:ascii="宋体" w:hAnsi="宋体" w:eastAsia="宋体" w:cs="宋体"/>
                <w:spacing w:val="-5"/>
                <w:sz w:val="21"/>
                <w:szCs w:val="21"/>
              </w:rPr>
              <w:t>态亚</w:t>
            </w:r>
            <w:r>
              <w:rPr>
                <w:rFonts w:ascii="宋体" w:hAnsi="宋体" w:eastAsia="宋体" w:cs="宋体"/>
                <w:sz w:val="21"/>
                <w:szCs w:val="21"/>
              </w:rPr>
              <w:t>区</w:t>
            </w:r>
          </w:p>
        </w:tc>
        <w:tc>
          <w:tcPr>
            <w:tcW w:w="849" w:type="dxa"/>
            <w:vAlign w:val="top"/>
          </w:tcPr>
          <w:p w14:paraId="708808FA">
            <w:pPr>
              <w:spacing w:line="372" w:lineRule="auto"/>
              <w:rPr>
                <w:rFonts w:ascii="Arial"/>
                <w:sz w:val="21"/>
              </w:rPr>
            </w:pPr>
          </w:p>
          <w:p w14:paraId="0FA0A96A">
            <w:pPr>
              <w:pStyle w:val="6"/>
              <w:spacing w:before="68"/>
              <w:ind w:left="7" w:right="3" w:firstLine="112"/>
              <w:jc w:val="both"/>
              <w:rPr>
                <w:rFonts w:ascii="宋体" w:hAnsi="宋体" w:eastAsia="宋体" w:cs="宋体"/>
              </w:rPr>
            </w:pPr>
            <w:r>
              <w:rPr>
                <w:rFonts w:ascii="宋体" w:hAnsi="宋体" w:eastAsia="宋体" w:cs="宋体"/>
                <w:spacing w:val="-18"/>
              </w:rPr>
              <w:t>Ⅰ</w:t>
            </w:r>
            <w:r>
              <w:rPr>
                <w:spacing w:val="-18"/>
              </w:rPr>
              <w:t>2-5</w:t>
            </w:r>
            <w:r>
              <w:rPr>
                <w:spacing w:val="13"/>
                <w:w w:val="101"/>
              </w:rPr>
              <w:t xml:space="preserve"> </w:t>
            </w:r>
            <w:r>
              <w:rPr>
                <w:rFonts w:ascii="宋体" w:hAnsi="宋体" w:eastAsia="宋体" w:cs="宋体"/>
                <w:spacing w:val="-18"/>
              </w:rPr>
              <w:t>沱</w:t>
            </w:r>
            <w:r>
              <w:rPr>
                <w:rFonts w:ascii="宋体" w:hAnsi="宋体" w:eastAsia="宋体" w:cs="宋体"/>
                <w:spacing w:val="-2"/>
              </w:rPr>
              <w:t>江中下游</w:t>
            </w:r>
            <w:r>
              <w:rPr>
                <w:rFonts w:ascii="宋体" w:hAnsi="宋体" w:eastAsia="宋体" w:cs="宋体"/>
                <w:spacing w:val="15"/>
              </w:rPr>
              <w:t>城镇</w:t>
            </w:r>
            <w:r>
              <w:rPr>
                <w:spacing w:val="15"/>
              </w:rPr>
              <w:t>-</w:t>
            </w:r>
            <w:r>
              <w:rPr>
                <w:rFonts w:ascii="宋体" w:hAnsi="宋体" w:eastAsia="宋体" w:cs="宋体"/>
                <w:spacing w:val="15"/>
              </w:rPr>
              <w:t>农</w:t>
            </w:r>
            <w:r>
              <w:rPr>
                <w:rFonts w:ascii="宋体" w:hAnsi="宋体" w:eastAsia="宋体" w:cs="宋体"/>
                <w:spacing w:val="-2"/>
              </w:rPr>
              <w:t>业及水污染控制生态功能区</w:t>
            </w:r>
          </w:p>
        </w:tc>
        <w:tc>
          <w:tcPr>
            <w:tcW w:w="1275" w:type="dxa"/>
            <w:vAlign w:val="top"/>
          </w:tcPr>
          <w:p w14:paraId="19C534D2">
            <w:pPr>
              <w:spacing w:before="32" w:line="239" w:lineRule="auto"/>
              <w:ind w:left="12" w:right="6" w:hanging="2"/>
              <w:jc w:val="both"/>
              <w:rPr>
                <w:rFonts w:ascii="宋体" w:hAnsi="宋体" w:eastAsia="宋体" w:cs="宋体"/>
                <w:sz w:val="21"/>
                <w:szCs w:val="21"/>
              </w:rPr>
            </w:pPr>
            <w:r>
              <w:rPr>
                <w:rFonts w:ascii="宋体" w:hAnsi="宋体" w:eastAsia="宋体" w:cs="宋体"/>
                <w:spacing w:val="-2"/>
                <w:sz w:val="21"/>
                <w:szCs w:val="21"/>
              </w:rPr>
              <w:t>在四川盆地中部偏西南，跨</w:t>
            </w:r>
            <w:r>
              <w:rPr>
                <w:rFonts w:ascii="宋体" w:hAnsi="宋体" w:eastAsia="宋体" w:cs="宋体"/>
                <w:spacing w:val="-6"/>
                <w:sz w:val="21"/>
                <w:szCs w:val="21"/>
              </w:rPr>
              <w:t>成都、德阳、</w:t>
            </w:r>
          </w:p>
          <w:p w14:paraId="50B7FE72">
            <w:pPr>
              <w:spacing w:line="220" w:lineRule="auto"/>
              <w:ind w:left="20"/>
              <w:rPr>
                <w:rFonts w:ascii="宋体" w:hAnsi="宋体" w:eastAsia="宋体" w:cs="宋体"/>
                <w:sz w:val="21"/>
                <w:szCs w:val="21"/>
              </w:rPr>
            </w:pPr>
            <w:r>
              <w:rPr>
                <w:rFonts w:ascii="宋体" w:hAnsi="宋体" w:eastAsia="宋体" w:cs="宋体"/>
                <w:spacing w:val="-7"/>
                <w:sz w:val="21"/>
                <w:szCs w:val="21"/>
              </w:rPr>
              <w:t>资阳、眉山、</w:t>
            </w:r>
          </w:p>
          <w:p w14:paraId="330B3E9F">
            <w:pPr>
              <w:pStyle w:val="6"/>
              <w:spacing w:before="20" w:line="232" w:lineRule="auto"/>
              <w:ind w:left="14" w:right="6" w:firstLine="22"/>
              <w:rPr>
                <w:rFonts w:ascii="宋体" w:hAnsi="宋体" w:eastAsia="宋体" w:cs="宋体"/>
              </w:rPr>
            </w:pPr>
            <w:r>
              <w:rPr>
                <w:rFonts w:ascii="宋体" w:hAnsi="宋体" w:eastAsia="宋体" w:cs="宋体"/>
                <w:spacing w:val="-6"/>
              </w:rPr>
              <w:t>内江、自贡、</w:t>
            </w:r>
            <w:r>
              <w:rPr>
                <w:rFonts w:ascii="宋体" w:hAnsi="宋体" w:eastAsia="宋体" w:cs="宋体"/>
                <w:spacing w:val="-2"/>
              </w:rPr>
              <w:t>泸州、宜宾市</w:t>
            </w:r>
            <w:r>
              <w:rPr>
                <w:rFonts w:ascii="宋体" w:hAnsi="宋体" w:eastAsia="宋体" w:cs="宋体"/>
                <w:spacing w:val="5"/>
              </w:rPr>
              <w:t>的</w:t>
            </w:r>
            <w:r>
              <w:rPr>
                <w:rFonts w:ascii="宋体" w:hAnsi="宋体" w:eastAsia="宋体" w:cs="宋体"/>
                <w:spacing w:val="-47"/>
              </w:rPr>
              <w:t xml:space="preserve"> </w:t>
            </w:r>
            <w:r>
              <w:rPr>
                <w:spacing w:val="5"/>
              </w:rPr>
              <w:t xml:space="preserve">22 </w:t>
            </w:r>
            <w:r>
              <w:rPr>
                <w:rFonts w:ascii="宋体" w:hAnsi="宋体" w:eastAsia="宋体" w:cs="宋体"/>
                <w:spacing w:val="5"/>
              </w:rPr>
              <w:t>个县级</w:t>
            </w:r>
            <w:r>
              <w:rPr>
                <w:rFonts w:ascii="宋体" w:hAnsi="宋体" w:eastAsia="宋体" w:cs="宋体"/>
                <w:spacing w:val="-2"/>
              </w:rPr>
              <w:t>行政区，面积</w:t>
            </w:r>
            <w:r>
              <w:rPr>
                <w:spacing w:val="-2"/>
              </w:rPr>
              <w:t>1.85</w:t>
            </w:r>
            <w:r>
              <w:rPr>
                <w:spacing w:val="17"/>
                <w:w w:val="101"/>
              </w:rPr>
              <w:t xml:space="preserve"> </w:t>
            </w:r>
            <w:r>
              <w:rPr>
                <w:rFonts w:ascii="宋体" w:hAnsi="宋体" w:eastAsia="宋体" w:cs="宋体"/>
                <w:spacing w:val="-2"/>
              </w:rPr>
              <w:t>万</w:t>
            </w:r>
            <w:r>
              <w:rPr>
                <w:rFonts w:ascii="宋体" w:hAnsi="宋体" w:eastAsia="宋体" w:cs="宋体"/>
                <w:spacing w:val="-52"/>
              </w:rPr>
              <w:t xml:space="preserve"> </w:t>
            </w:r>
            <w:r>
              <w:rPr>
                <w:spacing w:val="-2"/>
              </w:rPr>
              <w:t>km</w:t>
            </w:r>
            <w:r>
              <w:rPr>
                <w:spacing w:val="-2"/>
                <w:position w:val="9"/>
                <w:sz w:val="14"/>
                <w:szCs w:val="14"/>
              </w:rPr>
              <w:t>2</w:t>
            </w:r>
            <w:r>
              <w:rPr>
                <w:rFonts w:ascii="宋体" w:hAnsi="宋体" w:eastAsia="宋体" w:cs="宋体"/>
                <w:spacing w:val="-2"/>
              </w:rPr>
              <w:t>。</w:t>
            </w:r>
          </w:p>
        </w:tc>
        <w:tc>
          <w:tcPr>
            <w:tcW w:w="706" w:type="dxa"/>
            <w:vAlign w:val="top"/>
          </w:tcPr>
          <w:p w14:paraId="39D640AA">
            <w:pPr>
              <w:spacing w:line="319" w:lineRule="auto"/>
              <w:rPr>
                <w:rFonts w:ascii="Arial"/>
                <w:sz w:val="21"/>
              </w:rPr>
            </w:pPr>
          </w:p>
          <w:p w14:paraId="59081C2D">
            <w:pPr>
              <w:spacing w:line="320" w:lineRule="auto"/>
              <w:rPr>
                <w:rFonts w:ascii="Arial"/>
                <w:sz w:val="21"/>
              </w:rPr>
            </w:pPr>
          </w:p>
          <w:p w14:paraId="288F76ED">
            <w:pPr>
              <w:spacing w:before="69" w:line="241" w:lineRule="auto"/>
              <w:ind w:left="43" w:right="35"/>
              <w:rPr>
                <w:rFonts w:ascii="宋体" w:hAnsi="宋体" w:eastAsia="宋体" w:cs="宋体"/>
                <w:sz w:val="21"/>
                <w:szCs w:val="21"/>
              </w:rPr>
            </w:pPr>
            <w:r>
              <w:rPr>
                <w:rFonts w:ascii="宋体" w:hAnsi="宋体" w:eastAsia="宋体" w:cs="宋体"/>
                <w:spacing w:val="-3"/>
                <w:sz w:val="21"/>
                <w:szCs w:val="21"/>
              </w:rPr>
              <w:t>农田、城市和水生生态系统</w:t>
            </w:r>
          </w:p>
        </w:tc>
        <w:tc>
          <w:tcPr>
            <w:tcW w:w="995" w:type="dxa"/>
            <w:vAlign w:val="top"/>
          </w:tcPr>
          <w:p w14:paraId="3235F349">
            <w:pPr>
              <w:spacing w:before="32" w:line="239" w:lineRule="auto"/>
              <w:ind w:left="12" w:right="1" w:firstLine="71"/>
              <w:rPr>
                <w:rFonts w:ascii="宋体" w:hAnsi="宋体" w:eastAsia="宋体" w:cs="宋体"/>
                <w:sz w:val="21"/>
                <w:szCs w:val="21"/>
              </w:rPr>
            </w:pPr>
            <w:r>
              <w:rPr>
                <w:rFonts w:ascii="宋体" w:hAnsi="宋体" w:eastAsia="宋体" w:cs="宋体"/>
                <w:spacing w:val="-3"/>
                <w:sz w:val="21"/>
                <w:szCs w:val="21"/>
              </w:rPr>
              <w:t>森林覆盖</w:t>
            </w:r>
            <w:r>
              <w:rPr>
                <w:rFonts w:ascii="宋体" w:hAnsi="宋体" w:eastAsia="宋体" w:cs="宋体"/>
                <w:spacing w:val="-15"/>
                <w:sz w:val="21"/>
                <w:szCs w:val="21"/>
              </w:rPr>
              <w:t>率低，人口</w:t>
            </w:r>
          </w:p>
          <w:p w14:paraId="7974F1D7">
            <w:pPr>
              <w:spacing w:before="1" w:line="239" w:lineRule="auto"/>
              <w:ind w:left="11"/>
              <w:jc w:val="both"/>
              <w:rPr>
                <w:rFonts w:ascii="宋体" w:hAnsi="宋体" w:eastAsia="宋体" w:cs="宋体"/>
                <w:sz w:val="21"/>
                <w:szCs w:val="21"/>
              </w:rPr>
            </w:pPr>
            <w:r>
              <w:rPr>
                <w:rFonts w:ascii="宋体" w:hAnsi="宋体" w:eastAsia="宋体" w:cs="宋体"/>
                <w:spacing w:val="-15"/>
                <w:sz w:val="21"/>
                <w:szCs w:val="21"/>
              </w:rPr>
              <w:t>密度较大，</w:t>
            </w:r>
            <w:r>
              <w:rPr>
                <w:rFonts w:ascii="宋体" w:hAnsi="宋体" w:eastAsia="宋体" w:cs="宋体"/>
                <w:spacing w:val="12"/>
                <w:sz w:val="21"/>
                <w:szCs w:val="21"/>
              </w:rPr>
              <w:t>耕地垦殖</w:t>
            </w:r>
            <w:r>
              <w:rPr>
                <w:rFonts w:ascii="宋体" w:hAnsi="宋体" w:eastAsia="宋体" w:cs="宋体"/>
                <w:spacing w:val="-17"/>
                <w:sz w:val="21"/>
                <w:szCs w:val="21"/>
              </w:rPr>
              <w:t>过度，农村</w:t>
            </w:r>
          </w:p>
          <w:p w14:paraId="29B4FBF0">
            <w:pPr>
              <w:spacing w:before="1" w:line="239" w:lineRule="auto"/>
              <w:ind w:left="81" w:hanging="70"/>
              <w:rPr>
                <w:rFonts w:ascii="宋体" w:hAnsi="宋体" w:eastAsia="宋体" w:cs="宋体"/>
                <w:sz w:val="21"/>
                <w:szCs w:val="21"/>
              </w:rPr>
            </w:pPr>
            <w:r>
              <w:rPr>
                <w:rFonts w:ascii="宋体" w:hAnsi="宋体" w:eastAsia="宋体" w:cs="宋体"/>
                <w:spacing w:val="-15"/>
                <w:sz w:val="21"/>
                <w:szCs w:val="21"/>
              </w:rPr>
              <w:t>面源污染、</w:t>
            </w:r>
            <w:r>
              <w:rPr>
                <w:rFonts w:ascii="宋体" w:hAnsi="宋体" w:eastAsia="宋体" w:cs="宋体"/>
                <w:spacing w:val="-7"/>
                <w:sz w:val="21"/>
                <w:szCs w:val="21"/>
              </w:rPr>
              <w:t>地表径流</w:t>
            </w:r>
          </w:p>
          <w:p w14:paraId="2445AC5E">
            <w:pPr>
              <w:spacing w:before="1" w:line="223" w:lineRule="auto"/>
              <w:ind w:left="188" w:right="74" w:hanging="102"/>
              <w:rPr>
                <w:rFonts w:ascii="宋体" w:hAnsi="宋体" w:eastAsia="宋体" w:cs="宋体"/>
                <w:sz w:val="21"/>
                <w:szCs w:val="21"/>
              </w:rPr>
            </w:pPr>
            <w:r>
              <w:rPr>
                <w:rFonts w:ascii="宋体" w:hAnsi="宋体" w:eastAsia="宋体" w:cs="宋体"/>
                <w:spacing w:val="-3"/>
                <w:sz w:val="21"/>
                <w:szCs w:val="21"/>
              </w:rPr>
              <w:t>水质污染</w:t>
            </w:r>
            <w:r>
              <w:rPr>
                <w:rFonts w:ascii="宋体" w:hAnsi="宋体" w:eastAsia="宋体" w:cs="宋体"/>
                <w:spacing w:val="-9"/>
                <w:sz w:val="21"/>
                <w:szCs w:val="21"/>
              </w:rPr>
              <w:t>严重。</w:t>
            </w:r>
          </w:p>
        </w:tc>
        <w:tc>
          <w:tcPr>
            <w:tcW w:w="849" w:type="dxa"/>
            <w:vAlign w:val="top"/>
          </w:tcPr>
          <w:p w14:paraId="616CD48C">
            <w:pPr>
              <w:spacing w:before="304" w:line="239" w:lineRule="auto"/>
              <w:ind w:left="12"/>
              <w:jc w:val="right"/>
              <w:rPr>
                <w:rFonts w:ascii="宋体" w:hAnsi="宋体" w:eastAsia="宋体" w:cs="宋体"/>
                <w:sz w:val="21"/>
                <w:szCs w:val="21"/>
              </w:rPr>
            </w:pPr>
            <w:r>
              <w:rPr>
                <w:rFonts w:ascii="宋体" w:hAnsi="宋体" w:eastAsia="宋体" w:cs="宋体"/>
                <w:spacing w:val="-3"/>
                <w:sz w:val="21"/>
                <w:szCs w:val="21"/>
              </w:rPr>
              <w:t>土壤侵蚀</w:t>
            </w:r>
            <w:r>
              <w:rPr>
                <w:rFonts w:ascii="宋体" w:hAnsi="宋体" w:eastAsia="宋体" w:cs="宋体"/>
                <w:spacing w:val="31"/>
                <w:sz w:val="21"/>
                <w:szCs w:val="21"/>
              </w:rPr>
              <w:t>中度敏</w:t>
            </w:r>
            <w:r>
              <w:rPr>
                <w:rFonts w:ascii="宋体" w:hAnsi="宋体" w:eastAsia="宋体" w:cs="宋体"/>
                <w:spacing w:val="-3"/>
                <w:sz w:val="21"/>
                <w:szCs w:val="21"/>
              </w:rPr>
              <w:t>感，水环</w:t>
            </w:r>
          </w:p>
          <w:p w14:paraId="3749BFCC">
            <w:pPr>
              <w:spacing w:line="220" w:lineRule="auto"/>
              <w:jc w:val="right"/>
              <w:rPr>
                <w:rFonts w:ascii="宋体" w:hAnsi="宋体" w:eastAsia="宋体" w:cs="宋体"/>
                <w:sz w:val="21"/>
                <w:szCs w:val="21"/>
              </w:rPr>
            </w:pPr>
            <w:r>
              <w:rPr>
                <w:rFonts w:ascii="宋体" w:hAnsi="宋体" w:eastAsia="宋体" w:cs="宋体"/>
                <w:spacing w:val="-3"/>
                <w:sz w:val="21"/>
                <w:szCs w:val="21"/>
              </w:rPr>
              <w:t>境污染极</w:t>
            </w:r>
          </w:p>
          <w:p w14:paraId="268E4D2A">
            <w:pPr>
              <w:spacing w:before="21" w:line="220" w:lineRule="auto"/>
              <w:jc w:val="right"/>
              <w:rPr>
                <w:rFonts w:ascii="宋体" w:hAnsi="宋体" w:eastAsia="宋体" w:cs="宋体"/>
                <w:sz w:val="21"/>
                <w:szCs w:val="21"/>
              </w:rPr>
            </w:pPr>
            <w:r>
              <w:rPr>
                <w:rFonts w:ascii="宋体" w:hAnsi="宋体" w:eastAsia="宋体" w:cs="宋体"/>
                <w:spacing w:val="-3"/>
                <w:sz w:val="21"/>
                <w:szCs w:val="21"/>
              </w:rPr>
              <w:t>敏感，酸</w:t>
            </w:r>
          </w:p>
          <w:p w14:paraId="37B2AA12">
            <w:pPr>
              <w:spacing w:before="21" w:line="244" w:lineRule="auto"/>
              <w:ind w:left="221" w:hanging="202"/>
              <w:rPr>
                <w:rFonts w:ascii="宋体" w:hAnsi="宋体" w:eastAsia="宋体" w:cs="宋体"/>
                <w:sz w:val="21"/>
                <w:szCs w:val="21"/>
              </w:rPr>
            </w:pPr>
            <w:r>
              <w:rPr>
                <w:rFonts w:ascii="宋体" w:hAnsi="宋体" w:eastAsia="宋体" w:cs="宋体"/>
                <w:spacing w:val="-5"/>
                <w:sz w:val="21"/>
                <w:szCs w:val="21"/>
              </w:rPr>
              <w:t>雨轻度敏</w:t>
            </w:r>
            <w:r>
              <w:rPr>
                <w:rFonts w:ascii="宋体" w:hAnsi="宋体" w:eastAsia="宋体" w:cs="宋体"/>
                <w:spacing w:val="-10"/>
                <w:sz w:val="21"/>
                <w:szCs w:val="21"/>
              </w:rPr>
              <w:t>感。</w:t>
            </w:r>
          </w:p>
        </w:tc>
        <w:tc>
          <w:tcPr>
            <w:tcW w:w="709" w:type="dxa"/>
            <w:vAlign w:val="top"/>
          </w:tcPr>
          <w:p w14:paraId="1CEBCA5B">
            <w:pPr>
              <w:spacing w:line="371" w:lineRule="auto"/>
              <w:rPr>
                <w:rFonts w:ascii="Arial"/>
                <w:sz w:val="21"/>
              </w:rPr>
            </w:pPr>
          </w:p>
          <w:p w14:paraId="51A307A1">
            <w:pPr>
              <w:spacing w:before="68"/>
              <w:ind w:left="46" w:right="35"/>
              <w:jc w:val="both"/>
              <w:rPr>
                <w:rFonts w:ascii="宋体" w:hAnsi="宋体" w:eastAsia="宋体" w:cs="宋体"/>
                <w:sz w:val="21"/>
                <w:szCs w:val="21"/>
              </w:rPr>
            </w:pPr>
            <w:r>
              <w:rPr>
                <w:rFonts w:ascii="宋体" w:hAnsi="宋体" w:eastAsia="宋体" w:cs="宋体"/>
                <w:spacing w:val="-3"/>
                <w:sz w:val="21"/>
                <w:szCs w:val="21"/>
              </w:rPr>
              <w:t>城镇与农业发展，水环境污</w:t>
            </w:r>
            <w:r>
              <w:rPr>
                <w:rFonts w:ascii="宋体" w:hAnsi="宋体" w:eastAsia="宋体" w:cs="宋体"/>
                <w:spacing w:val="48"/>
                <w:sz w:val="21"/>
                <w:szCs w:val="21"/>
              </w:rPr>
              <w:t>染控</w:t>
            </w:r>
            <w:r>
              <w:rPr>
                <w:rFonts w:ascii="宋体" w:hAnsi="宋体" w:eastAsia="宋体" w:cs="宋体"/>
                <w:spacing w:val="33"/>
                <w:sz w:val="21"/>
                <w:szCs w:val="21"/>
              </w:rPr>
              <w:t>制。</w:t>
            </w:r>
          </w:p>
        </w:tc>
        <w:tc>
          <w:tcPr>
            <w:tcW w:w="1794" w:type="dxa"/>
            <w:vAlign w:val="top"/>
          </w:tcPr>
          <w:p w14:paraId="606A9C07">
            <w:pPr>
              <w:spacing w:before="30" w:line="220" w:lineRule="auto"/>
              <w:ind w:left="81"/>
              <w:rPr>
                <w:rFonts w:ascii="宋体" w:hAnsi="宋体" w:eastAsia="宋体" w:cs="宋体"/>
                <w:sz w:val="21"/>
                <w:szCs w:val="21"/>
              </w:rPr>
            </w:pPr>
            <w:r>
              <w:rPr>
                <w:rFonts w:ascii="宋体" w:hAnsi="宋体" w:eastAsia="宋体" w:cs="宋体"/>
                <w:spacing w:val="-5"/>
                <w:sz w:val="21"/>
                <w:szCs w:val="21"/>
              </w:rPr>
              <w:t>发挥中心城市辐射</w:t>
            </w:r>
          </w:p>
          <w:p w14:paraId="0A392A97">
            <w:pPr>
              <w:spacing w:before="22" w:line="220" w:lineRule="auto"/>
              <w:jc w:val="right"/>
              <w:rPr>
                <w:rFonts w:ascii="宋体" w:hAnsi="宋体" w:eastAsia="宋体" w:cs="宋体"/>
                <w:sz w:val="21"/>
                <w:szCs w:val="21"/>
              </w:rPr>
            </w:pPr>
            <w:r>
              <w:rPr>
                <w:rFonts w:ascii="宋体" w:hAnsi="宋体" w:eastAsia="宋体" w:cs="宋体"/>
                <w:spacing w:val="-14"/>
                <w:sz w:val="21"/>
                <w:szCs w:val="21"/>
              </w:rPr>
              <w:t>作用，发展</w:t>
            </w:r>
            <w:r>
              <w:rPr>
                <w:rFonts w:ascii="宋体" w:hAnsi="宋体" w:eastAsia="宋体" w:cs="宋体"/>
                <w:spacing w:val="-13"/>
                <w:sz w:val="21"/>
                <w:szCs w:val="21"/>
              </w:rPr>
              <w:t>生态农</w:t>
            </w:r>
            <w:r>
              <w:rPr>
                <w:rFonts w:ascii="宋体" w:hAnsi="宋体" w:eastAsia="宋体" w:cs="宋体"/>
                <w:spacing w:val="-8"/>
                <w:sz w:val="21"/>
                <w:szCs w:val="21"/>
              </w:rPr>
              <w:t>业</w:t>
            </w:r>
          </w:p>
          <w:p w14:paraId="4F51F6CC">
            <w:pPr>
              <w:spacing w:before="21" w:line="220" w:lineRule="auto"/>
              <w:ind w:right="1"/>
              <w:jc w:val="right"/>
              <w:rPr>
                <w:rFonts w:ascii="宋体" w:hAnsi="宋体" w:eastAsia="宋体" w:cs="宋体"/>
                <w:sz w:val="21"/>
                <w:szCs w:val="21"/>
              </w:rPr>
            </w:pPr>
            <w:r>
              <w:rPr>
                <w:rFonts w:ascii="宋体" w:hAnsi="宋体" w:eastAsia="宋体" w:cs="宋体"/>
                <w:spacing w:val="-14"/>
                <w:sz w:val="21"/>
                <w:szCs w:val="21"/>
              </w:rPr>
              <w:t>经</w:t>
            </w:r>
            <w:r>
              <w:rPr>
                <w:rFonts w:ascii="宋体" w:hAnsi="宋体" w:eastAsia="宋体" w:cs="宋体"/>
                <w:spacing w:val="-13"/>
                <w:sz w:val="21"/>
                <w:szCs w:val="21"/>
              </w:rPr>
              <w:t>济；发展农业、</w:t>
            </w:r>
            <w:r>
              <w:rPr>
                <w:rFonts w:ascii="宋体" w:hAnsi="宋体" w:eastAsia="宋体" w:cs="宋体"/>
                <w:spacing w:val="-12"/>
                <w:sz w:val="21"/>
                <w:szCs w:val="21"/>
              </w:rPr>
              <w:t>养</w:t>
            </w:r>
          </w:p>
          <w:p w14:paraId="0EB04BB2">
            <w:pPr>
              <w:spacing w:before="22" w:line="220" w:lineRule="auto"/>
              <w:jc w:val="right"/>
              <w:rPr>
                <w:rFonts w:ascii="宋体" w:hAnsi="宋体" w:eastAsia="宋体" w:cs="宋体"/>
                <w:sz w:val="21"/>
                <w:szCs w:val="21"/>
              </w:rPr>
            </w:pPr>
            <w:r>
              <w:rPr>
                <w:rFonts w:ascii="宋体" w:hAnsi="宋体" w:eastAsia="宋体" w:cs="宋体"/>
                <w:spacing w:val="-13"/>
                <w:sz w:val="21"/>
                <w:szCs w:val="21"/>
              </w:rPr>
              <w:t>殖业，以及以农副产</w:t>
            </w:r>
          </w:p>
          <w:p w14:paraId="1C52D57B">
            <w:pPr>
              <w:spacing w:before="22" w:line="220" w:lineRule="auto"/>
              <w:ind w:left="95"/>
              <w:rPr>
                <w:rFonts w:ascii="宋体" w:hAnsi="宋体" w:eastAsia="宋体" w:cs="宋体"/>
                <w:sz w:val="21"/>
                <w:szCs w:val="21"/>
              </w:rPr>
            </w:pPr>
            <w:r>
              <w:rPr>
                <w:rFonts w:ascii="宋体" w:hAnsi="宋体" w:eastAsia="宋体" w:cs="宋体"/>
                <w:spacing w:val="-7"/>
                <w:sz w:val="21"/>
                <w:szCs w:val="21"/>
              </w:rPr>
              <w:t>品为主要原料的工</w:t>
            </w:r>
          </w:p>
          <w:p w14:paraId="543B9D37">
            <w:pPr>
              <w:spacing w:before="21" w:line="220" w:lineRule="auto"/>
              <w:jc w:val="right"/>
              <w:rPr>
                <w:rFonts w:ascii="宋体" w:hAnsi="宋体" w:eastAsia="宋体" w:cs="宋体"/>
                <w:sz w:val="21"/>
                <w:szCs w:val="21"/>
              </w:rPr>
            </w:pPr>
            <w:r>
              <w:rPr>
                <w:rFonts w:ascii="宋体" w:hAnsi="宋体" w:eastAsia="宋体" w:cs="宋体"/>
                <w:spacing w:val="-14"/>
                <w:sz w:val="21"/>
                <w:szCs w:val="21"/>
              </w:rPr>
              <w:t>业</w:t>
            </w:r>
            <w:r>
              <w:rPr>
                <w:rFonts w:ascii="宋体" w:hAnsi="宋体" w:eastAsia="宋体" w:cs="宋体"/>
                <w:spacing w:val="-13"/>
                <w:sz w:val="21"/>
                <w:szCs w:val="21"/>
              </w:rPr>
              <w:t>，适度发展轻纺</w:t>
            </w:r>
            <w:r>
              <w:rPr>
                <w:rFonts w:ascii="宋体" w:hAnsi="宋体" w:eastAsia="宋体" w:cs="宋体"/>
                <w:spacing w:val="-12"/>
                <w:sz w:val="21"/>
                <w:szCs w:val="21"/>
              </w:rPr>
              <w:t>工</w:t>
            </w:r>
          </w:p>
          <w:p w14:paraId="72F1BFC5">
            <w:pPr>
              <w:spacing w:before="23" w:line="219" w:lineRule="auto"/>
              <w:jc w:val="right"/>
              <w:rPr>
                <w:rFonts w:ascii="宋体" w:hAnsi="宋体" w:eastAsia="宋体" w:cs="宋体"/>
                <w:sz w:val="21"/>
                <w:szCs w:val="21"/>
              </w:rPr>
            </w:pPr>
            <w:r>
              <w:rPr>
                <w:rFonts w:ascii="宋体" w:hAnsi="宋体" w:eastAsia="宋体" w:cs="宋体"/>
                <w:spacing w:val="-14"/>
                <w:sz w:val="21"/>
                <w:szCs w:val="21"/>
              </w:rPr>
              <w:t>业和化</w:t>
            </w:r>
            <w:r>
              <w:rPr>
                <w:rFonts w:ascii="宋体" w:hAnsi="宋体" w:eastAsia="宋体" w:cs="宋体"/>
                <w:spacing w:val="-13"/>
                <w:sz w:val="21"/>
                <w:szCs w:val="21"/>
              </w:rPr>
              <w:t>工，防治农</w:t>
            </w:r>
            <w:r>
              <w:rPr>
                <w:rFonts w:ascii="宋体" w:hAnsi="宋体" w:eastAsia="宋体" w:cs="宋体"/>
                <w:spacing w:val="-10"/>
                <w:sz w:val="21"/>
                <w:szCs w:val="21"/>
              </w:rPr>
              <w:t>村</w:t>
            </w:r>
          </w:p>
          <w:p w14:paraId="7D9E24E1">
            <w:pPr>
              <w:spacing w:before="23" w:line="220" w:lineRule="auto"/>
              <w:ind w:left="79"/>
              <w:rPr>
                <w:rFonts w:ascii="宋体" w:hAnsi="宋体" w:eastAsia="宋体" w:cs="宋体"/>
                <w:sz w:val="21"/>
                <w:szCs w:val="21"/>
              </w:rPr>
            </w:pPr>
            <w:r>
              <w:rPr>
                <w:rFonts w:ascii="宋体" w:hAnsi="宋体" w:eastAsia="宋体" w:cs="宋体"/>
                <w:spacing w:val="-5"/>
                <w:sz w:val="21"/>
                <w:szCs w:val="21"/>
              </w:rPr>
              <w:t>面源污染和地表径</w:t>
            </w:r>
          </w:p>
          <w:p w14:paraId="0D9E6315">
            <w:pPr>
              <w:spacing w:before="23" w:line="208" w:lineRule="auto"/>
              <w:ind w:left="284"/>
              <w:rPr>
                <w:rFonts w:ascii="宋体" w:hAnsi="宋体" w:eastAsia="宋体" w:cs="宋体"/>
                <w:sz w:val="21"/>
                <w:szCs w:val="21"/>
              </w:rPr>
            </w:pPr>
            <w:r>
              <w:rPr>
                <w:rFonts w:ascii="宋体" w:hAnsi="宋体" w:eastAsia="宋体" w:cs="宋体"/>
                <w:spacing w:val="-7"/>
                <w:sz w:val="21"/>
                <w:szCs w:val="21"/>
              </w:rPr>
              <w:t>流水质污染。</w:t>
            </w:r>
          </w:p>
        </w:tc>
      </w:tr>
    </w:tbl>
    <w:p w14:paraId="08E4C279">
      <w:pPr>
        <w:pStyle w:val="2"/>
        <w:spacing w:line="232" w:lineRule="exact"/>
        <w:rPr>
          <w:sz w:val="20"/>
        </w:rPr>
      </w:pPr>
    </w:p>
    <w:p w14:paraId="3E9C81E2">
      <w:pPr>
        <w:spacing w:line="232" w:lineRule="exact"/>
        <w:rPr>
          <w:sz w:val="20"/>
          <w:szCs w:val="20"/>
        </w:rPr>
        <w:sectPr>
          <w:headerReference r:id="rId87" w:type="default"/>
          <w:footerReference r:id="rId88" w:type="default"/>
          <w:pgSz w:w="11905" w:h="16840"/>
          <w:pgMar w:top="1168" w:right="1768" w:bottom="1408" w:left="1770" w:header="828" w:footer="1244" w:gutter="0"/>
          <w:cols w:space="720" w:num="1"/>
        </w:sectPr>
      </w:pPr>
    </w:p>
    <w:p w14:paraId="70C7BFEF">
      <w:pPr>
        <w:pStyle w:val="2"/>
        <w:spacing w:line="341" w:lineRule="auto"/>
      </w:pPr>
    </w:p>
    <w:p w14:paraId="7ED0D735">
      <w:pPr>
        <w:spacing w:line="5769" w:lineRule="exact"/>
        <w:ind w:firstLine="21"/>
      </w:pPr>
      <w:r>
        <w:rPr>
          <w:position w:val="-115"/>
        </w:rPr>
        <w:pict>
          <v:group id="_x0000_s1029" o:spid="_x0000_s1029" o:spt="203" style="height:288.45pt;width:416.5pt;" coordsize="8330,5769">
            <o:lock v:ext="edit"/>
            <v:shape id="_x0000_s1030" o:spid="_x0000_s1030" o:spt="75" type="#_x0000_t75" style="position:absolute;left:0;top:0;height:5769;width:8330;" filled="f" stroked="f" coordsize="21600,21600">
              <v:path/>
              <v:fill on="f" focussize="0,0"/>
              <v:stroke on="f"/>
              <v:imagedata r:id="rId539" o:title=""/>
              <o:lock v:ext="edit" aspectratio="t"/>
            </v:shape>
            <v:shape id="_x0000_s1031" o:spid="_x0000_s1031" o:spt="202" type="#_x0000_t202" style="position:absolute;left:4743;top:2329;height:260;width:908;" filled="f" stroked="f" coordsize="21600,21600">
              <v:path/>
              <v:fill on="f" focussize="0,0"/>
              <v:stroke on="f"/>
              <v:imagedata o:title=""/>
              <o:lock v:ext="edit" aspectratio="f"/>
              <v:textbox inset="0mm,0mm,0mm,0mm">
                <w:txbxContent>
                  <w:p w14:paraId="2ACB04C1">
                    <w:pPr>
                      <w:spacing w:before="19" w:line="229" w:lineRule="auto"/>
                      <w:ind w:left="20"/>
                      <w:rPr>
                        <w:rFonts w:ascii="宋体" w:hAnsi="宋体" w:eastAsia="宋体" w:cs="宋体"/>
                        <w:sz w:val="21"/>
                        <w:szCs w:val="21"/>
                      </w:rPr>
                    </w:pPr>
                    <w:r>
                      <w:rPr>
                        <w:rFonts w:ascii="宋体" w:hAnsi="宋体" w:eastAsia="宋体" w:cs="宋体"/>
                        <w:spacing w:val="6"/>
                        <w:sz w:val="21"/>
                        <w:szCs w:val="21"/>
                      </w:rPr>
                      <w:t>建设项目</w:t>
                    </w:r>
                  </w:p>
                </w:txbxContent>
              </v:textbox>
            </v:shape>
            <w10:wrap type="none"/>
            <w10:anchorlock/>
          </v:group>
        </w:pict>
      </w:r>
    </w:p>
    <w:p w14:paraId="26511DF5">
      <w:pPr>
        <w:spacing w:before="215" w:line="222" w:lineRule="auto"/>
        <w:ind w:left="2725"/>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1.6-3    </w:t>
      </w:r>
      <w:r>
        <w:rPr>
          <w:rFonts w:ascii="黑体" w:hAnsi="黑体" w:eastAsia="黑体" w:cs="黑体"/>
          <w:spacing w:val="-1"/>
          <w:sz w:val="21"/>
          <w:szCs w:val="21"/>
        </w:rPr>
        <w:t>四川省生态功能区划图</w:t>
      </w:r>
    </w:p>
    <w:p w14:paraId="684981E9">
      <w:pPr>
        <w:spacing w:before="201" w:line="361" w:lineRule="auto"/>
        <w:ind w:left="38" w:right="28" w:firstLine="480"/>
        <w:jc w:val="both"/>
        <w:rPr>
          <w:rFonts w:ascii="宋体" w:hAnsi="宋体" w:eastAsia="宋体" w:cs="宋体"/>
          <w:sz w:val="24"/>
          <w:szCs w:val="24"/>
        </w:rPr>
      </w:pPr>
      <w:r>
        <w:rPr>
          <w:rFonts w:ascii="宋体" w:hAnsi="宋体" w:eastAsia="宋体" w:cs="宋体"/>
          <w:spacing w:val="-1"/>
          <w:sz w:val="24"/>
          <w:szCs w:val="24"/>
        </w:rPr>
        <w:t>根据《四川省生态功能划分图》对照分析可知，本项目所在区域属“</w:t>
      </w:r>
      <w:r>
        <w:rPr>
          <w:rFonts w:ascii="宋体" w:hAnsi="宋体" w:eastAsia="宋体" w:cs="宋体"/>
          <w:spacing w:val="-2"/>
          <w:sz w:val="24"/>
          <w:szCs w:val="24"/>
        </w:rPr>
        <w:t>Ⅰ</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2-5</w:t>
      </w:r>
      <w:r>
        <w:rPr>
          <w:rFonts w:ascii="宋体" w:hAnsi="宋体" w:eastAsia="宋体" w:cs="宋体"/>
          <w:spacing w:val="1"/>
          <w:sz w:val="24"/>
          <w:szCs w:val="24"/>
        </w:rPr>
        <w:t>沱江中下游城镇</w:t>
      </w:r>
      <w:r>
        <w:rPr>
          <w:rFonts w:ascii="Times New Roman" w:hAnsi="Times New Roman" w:eastAsia="Times New Roman" w:cs="Times New Roman"/>
          <w:spacing w:val="1"/>
          <w:sz w:val="24"/>
          <w:szCs w:val="24"/>
        </w:rPr>
        <w:t>-</w:t>
      </w:r>
      <w:r>
        <w:rPr>
          <w:rFonts w:ascii="宋体" w:hAnsi="宋体" w:eastAsia="宋体" w:cs="宋体"/>
          <w:spacing w:val="1"/>
          <w:sz w:val="24"/>
          <w:szCs w:val="24"/>
        </w:rPr>
        <w:t>农业及水污染控制生态功能区”，由表</w:t>
      </w:r>
      <w:r>
        <w:rPr>
          <w:rFonts w:ascii="Times New Roman" w:hAnsi="Times New Roman" w:eastAsia="Times New Roman" w:cs="Times New Roman"/>
          <w:spacing w:val="1"/>
          <w:sz w:val="24"/>
          <w:szCs w:val="24"/>
        </w:rPr>
        <w:t>1.6-4</w:t>
      </w:r>
      <w:r>
        <w:rPr>
          <w:rFonts w:ascii="宋体" w:hAnsi="宋体" w:eastAsia="宋体" w:cs="宋体"/>
          <w:spacing w:val="1"/>
          <w:sz w:val="24"/>
          <w:szCs w:val="24"/>
        </w:rPr>
        <w:t>可知，本项</w:t>
      </w:r>
      <w:r>
        <w:rPr>
          <w:rFonts w:ascii="宋体" w:hAnsi="宋体" w:eastAsia="宋体" w:cs="宋体"/>
          <w:sz w:val="24"/>
          <w:szCs w:val="24"/>
        </w:rPr>
        <w:t>目选址</w:t>
      </w:r>
      <w:r>
        <w:rPr>
          <w:rFonts w:ascii="宋体" w:hAnsi="宋体" w:eastAsia="宋体" w:cs="宋体"/>
          <w:spacing w:val="-6"/>
          <w:sz w:val="24"/>
          <w:szCs w:val="24"/>
        </w:rPr>
        <w:t>于东兴区白合镇喻家沟村，不涉及四川省生态红线范围。同时，</w:t>
      </w:r>
      <w:r>
        <w:rPr>
          <w:rFonts w:ascii="宋体" w:hAnsi="宋体" w:eastAsia="宋体" w:cs="宋体"/>
          <w:spacing w:val="-7"/>
          <w:sz w:val="24"/>
          <w:szCs w:val="24"/>
        </w:rPr>
        <w:t xml:space="preserve"> 本项目属于养殖</w:t>
      </w:r>
      <w:r>
        <w:rPr>
          <w:rFonts w:ascii="宋体" w:hAnsi="宋体" w:eastAsia="宋体" w:cs="宋体"/>
          <w:spacing w:val="-3"/>
          <w:sz w:val="24"/>
          <w:szCs w:val="24"/>
        </w:rPr>
        <w:t>业，符合生态建设与发展方向。</w:t>
      </w:r>
    </w:p>
    <w:p w14:paraId="16C88674">
      <w:pPr>
        <w:spacing w:before="161" w:line="220"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1.6.3  </w:t>
      </w:r>
      <w:r>
        <w:rPr>
          <w:rFonts w:ascii="宋体" w:hAnsi="宋体" w:eastAsia="宋体" w:cs="宋体"/>
          <w:b/>
          <w:bCs/>
          <w:spacing w:val="-3"/>
          <w:sz w:val="30"/>
          <w:szCs w:val="30"/>
        </w:rPr>
        <w:t>与相关规范条例符合性分析</w:t>
      </w:r>
    </w:p>
    <w:p w14:paraId="2867DF29">
      <w:pPr>
        <w:pStyle w:val="2"/>
        <w:spacing w:line="306" w:lineRule="auto"/>
      </w:pPr>
    </w:p>
    <w:p w14:paraId="0132CAE6">
      <w:pPr>
        <w:spacing w:before="89"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1.6.3.1</w:t>
      </w:r>
      <w:r>
        <w:rPr>
          <w:rFonts w:ascii="Times New Roman" w:hAnsi="Times New Roman" w:eastAsia="Times New Roman" w:cs="Times New Roman"/>
          <w:b/>
          <w:bCs/>
          <w:spacing w:val="21"/>
          <w:sz w:val="27"/>
          <w:szCs w:val="27"/>
        </w:rPr>
        <w:t xml:space="preserve"> </w:t>
      </w:r>
      <w:r>
        <w:rPr>
          <w:rFonts w:ascii="宋体" w:hAnsi="宋体" w:eastAsia="宋体" w:cs="宋体"/>
          <w:b/>
          <w:bCs/>
          <w:spacing w:val="6"/>
          <w:sz w:val="27"/>
          <w:szCs w:val="27"/>
        </w:rPr>
        <w:t>与《畜禽规模养殖污染防治条</w:t>
      </w:r>
      <w:r>
        <w:rPr>
          <w:rFonts w:ascii="宋体" w:hAnsi="宋体" w:eastAsia="宋体" w:cs="宋体"/>
          <w:b/>
          <w:bCs/>
          <w:spacing w:val="5"/>
          <w:sz w:val="27"/>
          <w:szCs w:val="27"/>
        </w:rPr>
        <w:t>例》的符合性分析</w:t>
      </w:r>
    </w:p>
    <w:p w14:paraId="58F0A6A5">
      <w:pPr>
        <w:spacing w:before="236" w:line="362" w:lineRule="auto"/>
        <w:ind w:left="41" w:right="29" w:firstLine="479"/>
        <w:rPr>
          <w:rFonts w:ascii="宋体" w:hAnsi="宋体" w:eastAsia="宋体" w:cs="宋体"/>
          <w:sz w:val="24"/>
          <w:szCs w:val="24"/>
        </w:rPr>
      </w:pPr>
      <w:r>
        <w:rPr>
          <w:rFonts w:ascii="宋体" w:hAnsi="宋体" w:eastAsia="宋体" w:cs="宋体"/>
          <w:sz w:val="24"/>
          <w:szCs w:val="24"/>
        </w:rPr>
        <w:t>本项目与《畜禽规模养殖污染防治条例》（国务院令第</w:t>
      </w:r>
      <w:r>
        <w:rPr>
          <w:rFonts w:ascii="Times New Roman" w:hAnsi="Times New Roman" w:eastAsia="Times New Roman" w:cs="Times New Roman"/>
          <w:sz w:val="24"/>
          <w:szCs w:val="24"/>
        </w:rPr>
        <w:t>643</w:t>
      </w:r>
      <w:r>
        <w:rPr>
          <w:rFonts w:ascii="宋体" w:hAnsi="宋体" w:eastAsia="宋体" w:cs="宋体"/>
          <w:sz w:val="24"/>
          <w:szCs w:val="24"/>
        </w:rPr>
        <w:t>号）相关要求的</w:t>
      </w:r>
      <w:r>
        <w:rPr>
          <w:rFonts w:ascii="宋体" w:hAnsi="宋体" w:eastAsia="宋体" w:cs="宋体"/>
          <w:spacing w:val="-5"/>
          <w:sz w:val="24"/>
          <w:szCs w:val="24"/>
        </w:rPr>
        <w:t>符合性分析见下表。</w:t>
      </w:r>
    </w:p>
    <w:p w14:paraId="3A34D40A">
      <w:pPr>
        <w:spacing w:before="8" w:line="221" w:lineRule="auto"/>
        <w:ind w:left="150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1.6-5  </w:t>
      </w:r>
      <w:r>
        <w:rPr>
          <w:rFonts w:ascii="黑体" w:hAnsi="黑体" w:eastAsia="黑体" w:cs="黑体"/>
          <w:spacing w:val="-1"/>
          <w:sz w:val="21"/>
          <w:szCs w:val="21"/>
        </w:rPr>
        <w:t>项目与《畜禽规模养殖污染防治条例》符合性分析</w:t>
      </w:r>
    </w:p>
    <w:p w14:paraId="0E3018A4">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7"/>
        <w:gridCol w:w="3497"/>
        <w:gridCol w:w="3382"/>
        <w:gridCol w:w="824"/>
      </w:tblGrid>
      <w:tr w14:paraId="1F866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7" w:type="dxa"/>
            <w:vAlign w:val="top"/>
          </w:tcPr>
          <w:p w14:paraId="070A4B74">
            <w:pPr>
              <w:spacing w:before="68" w:line="221" w:lineRule="auto"/>
              <w:ind w:left="103"/>
              <w:rPr>
                <w:rFonts w:ascii="宋体" w:hAnsi="宋体" w:eastAsia="宋体" w:cs="宋体"/>
                <w:sz w:val="21"/>
                <w:szCs w:val="21"/>
              </w:rPr>
            </w:pPr>
            <w:r>
              <w:rPr>
                <w:rFonts w:ascii="宋体" w:hAnsi="宋体" w:eastAsia="宋体" w:cs="宋体"/>
                <w:spacing w:val="-2"/>
                <w:sz w:val="21"/>
                <w:szCs w:val="21"/>
              </w:rPr>
              <w:t>序号</w:t>
            </w:r>
          </w:p>
        </w:tc>
        <w:tc>
          <w:tcPr>
            <w:tcW w:w="3497" w:type="dxa"/>
            <w:vAlign w:val="top"/>
          </w:tcPr>
          <w:p w14:paraId="168214BE">
            <w:pPr>
              <w:spacing w:before="68" w:line="220" w:lineRule="auto"/>
              <w:ind w:left="1335"/>
              <w:rPr>
                <w:rFonts w:ascii="宋体" w:hAnsi="宋体" w:eastAsia="宋体" w:cs="宋体"/>
                <w:sz w:val="21"/>
                <w:szCs w:val="21"/>
              </w:rPr>
            </w:pPr>
            <w:r>
              <w:rPr>
                <w:rFonts w:ascii="宋体" w:hAnsi="宋体" w:eastAsia="宋体" w:cs="宋体"/>
                <w:spacing w:val="-2"/>
                <w:sz w:val="21"/>
                <w:szCs w:val="21"/>
              </w:rPr>
              <w:t>条例内容</w:t>
            </w:r>
          </w:p>
        </w:tc>
        <w:tc>
          <w:tcPr>
            <w:tcW w:w="3382" w:type="dxa"/>
            <w:vAlign w:val="top"/>
          </w:tcPr>
          <w:p w14:paraId="7A6315FC">
            <w:pPr>
              <w:spacing w:before="68" w:line="219" w:lineRule="auto"/>
              <w:ind w:left="1173"/>
              <w:rPr>
                <w:rFonts w:ascii="宋体" w:hAnsi="宋体" w:eastAsia="宋体" w:cs="宋体"/>
                <w:sz w:val="21"/>
                <w:szCs w:val="21"/>
              </w:rPr>
            </w:pPr>
            <w:r>
              <w:rPr>
                <w:rFonts w:ascii="宋体" w:hAnsi="宋体" w:eastAsia="宋体" w:cs="宋体"/>
                <w:spacing w:val="-2"/>
                <w:sz w:val="21"/>
                <w:szCs w:val="21"/>
              </w:rPr>
              <w:t>本项目情况</w:t>
            </w:r>
          </w:p>
        </w:tc>
        <w:tc>
          <w:tcPr>
            <w:tcW w:w="824" w:type="dxa"/>
            <w:vAlign w:val="top"/>
          </w:tcPr>
          <w:p w14:paraId="4D3F29E6">
            <w:pPr>
              <w:spacing w:before="68" w:line="220" w:lineRule="auto"/>
              <w:ind w:left="104"/>
              <w:rPr>
                <w:rFonts w:ascii="宋体" w:hAnsi="宋体" w:eastAsia="宋体" w:cs="宋体"/>
                <w:sz w:val="21"/>
                <w:szCs w:val="21"/>
              </w:rPr>
            </w:pPr>
            <w:r>
              <w:rPr>
                <w:rFonts w:ascii="宋体" w:hAnsi="宋体" w:eastAsia="宋体" w:cs="宋体"/>
                <w:spacing w:val="-3"/>
                <w:sz w:val="21"/>
                <w:szCs w:val="21"/>
              </w:rPr>
              <w:t>符合性</w:t>
            </w:r>
          </w:p>
        </w:tc>
      </w:tr>
      <w:tr w14:paraId="06F8A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9" w:hRule="atLeast"/>
        </w:trPr>
        <w:tc>
          <w:tcPr>
            <w:tcW w:w="617" w:type="dxa"/>
            <w:vAlign w:val="top"/>
          </w:tcPr>
          <w:p w14:paraId="42709443">
            <w:pPr>
              <w:spacing w:line="319" w:lineRule="auto"/>
              <w:rPr>
                <w:rFonts w:ascii="Arial"/>
                <w:sz w:val="21"/>
              </w:rPr>
            </w:pPr>
          </w:p>
          <w:p w14:paraId="330212C2">
            <w:pPr>
              <w:spacing w:line="319" w:lineRule="auto"/>
              <w:rPr>
                <w:rFonts w:ascii="Arial"/>
                <w:sz w:val="21"/>
              </w:rPr>
            </w:pPr>
          </w:p>
          <w:p w14:paraId="5B4BAE1C">
            <w:pPr>
              <w:spacing w:line="319" w:lineRule="auto"/>
              <w:rPr>
                <w:rFonts w:ascii="Arial"/>
                <w:sz w:val="21"/>
              </w:rPr>
            </w:pPr>
          </w:p>
          <w:p w14:paraId="2045A681">
            <w:pPr>
              <w:pStyle w:val="6"/>
              <w:spacing w:before="60" w:line="188" w:lineRule="auto"/>
              <w:ind w:left="277"/>
            </w:pPr>
            <w:r>
              <w:t>1</w:t>
            </w:r>
          </w:p>
        </w:tc>
        <w:tc>
          <w:tcPr>
            <w:tcW w:w="3497" w:type="dxa"/>
            <w:vAlign w:val="top"/>
          </w:tcPr>
          <w:p w14:paraId="1FAB6A0D">
            <w:pPr>
              <w:spacing w:before="50" w:line="220" w:lineRule="auto"/>
              <w:ind w:right="1"/>
              <w:jc w:val="right"/>
              <w:rPr>
                <w:rFonts w:ascii="宋体" w:hAnsi="宋体" w:eastAsia="宋体" w:cs="宋体"/>
                <w:sz w:val="21"/>
                <w:szCs w:val="21"/>
              </w:rPr>
            </w:pPr>
            <w:r>
              <w:rPr>
                <w:rFonts w:ascii="宋体" w:hAnsi="宋体" w:eastAsia="宋体" w:cs="宋体"/>
                <w:spacing w:val="-6"/>
                <w:sz w:val="21"/>
                <w:szCs w:val="21"/>
              </w:rPr>
              <w:t>第十一条：禁止在下列区域内建设畜禽</w:t>
            </w:r>
          </w:p>
          <w:p w14:paraId="1EB87065">
            <w:pPr>
              <w:spacing w:before="62" w:line="266" w:lineRule="auto"/>
              <w:ind w:left="9" w:right="1"/>
              <w:jc w:val="both"/>
              <w:rPr>
                <w:rFonts w:ascii="宋体" w:hAnsi="宋体" w:eastAsia="宋体" w:cs="宋体"/>
                <w:sz w:val="21"/>
                <w:szCs w:val="21"/>
              </w:rPr>
            </w:pPr>
            <w:r>
              <w:rPr>
                <w:rFonts w:ascii="宋体" w:hAnsi="宋体" w:eastAsia="宋体" w:cs="宋体"/>
                <w:spacing w:val="-9"/>
                <w:sz w:val="21"/>
                <w:szCs w:val="21"/>
              </w:rPr>
              <w:t>养殖场、养殖小区</w:t>
            </w:r>
            <w:r>
              <w:rPr>
                <w:rFonts w:ascii="宋体" w:hAnsi="宋体" w:eastAsia="宋体" w:cs="宋体"/>
                <w:spacing w:val="-15"/>
                <w:sz w:val="21"/>
                <w:szCs w:val="21"/>
              </w:rPr>
              <w:t>：</w:t>
            </w:r>
            <w:r>
              <w:rPr>
                <w:rFonts w:ascii="宋体" w:hAnsi="宋体" w:eastAsia="宋体" w:cs="宋体"/>
                <w:spacing w:val="-31"/>
                <w:sz w:val="21"/>
                <w:szCs w:val="21"/>
              </w:rPr>
              <w:t xml:space="preserve"> </w:t>
            </w:r>
            <w:r>
              <w:rPr>
                <w:rFonts w:ascii="宋体" w:hAnsi="宋体" w:eastAsia="宋体" w:cs="宋体"/>
                <w:spacing w:val="-15"/>
                <w:sz w:val="21"/>
                <w:szCs w:val="21"/>
              </w:rPr>
              <w:t>（</w:t>
            </w:r>
            <w:r>
              <w:rPr>
                <w:rFonts w:ascii="宋体" w:hAnsi="宋体" w:eastAsia="宋体" w:cs="宋体"/>
                <w:spacing w:val="-9"/>
                <w:sz w:val="21"/>
                <w:szCs w:val="21"/>
              </w:rPr>
              <w:t>一）饮用水水源</w:t>
            </w:r>
            <w:r>
              <w:rPr>
                <w:rFonts w:ascii="宋体" w:hAnsi="宋体" w:eastAsia="宋体" w:cs="宋体"/>
                <w:spacing w:val="-2"/>
                <w:sz w:val="21"/>
                <w:szCs w:val="21"/>
              </w:rPr>
              <w:t>保护区，风景名胜区</w:t>
            </w:r>
            <w:r>
              <w:rPr>
                <w:rFonts w:ascii="宋体" w:hAnsi="宋体" w:eastAsia="宋体" w:cs="宋体"/>
                <w:spacing w:val="-31"/>
                <w:sz w:val="21"/>
                <w:szCs w:val="21"/>
              </w:rPr>
              <w:t>；（</w:t>
            </w:r>
            <w:r>
              <w:rPr>
                <w:rFonts w:ascii="宋体" w:hAnsi="宋体" w:eastAsia="宋体" w:cs="宋体"/>
                <w:spacing w:val="-2"/>
                <w:sz w:val="21"/>
                <w:szCs w:val="21"/>
              </w:rPr>
              <w:t>二）自然保护</w:t>
            </w:r>
            <w:r>
              <w:rPr>
                <w:rFonts w:ascii="宋体" w:hAnsi="宋体" w:eastAsia="宋体" w:cs="宋体"/>
                <w:spacing w:val="-5"/>
                <w:sz w:val="21"/>
                <w:szCs w:val="21"/>
              </w:rPr>
              <w:t>区的核心区和缓冲区</w:t>
            </w:r>
            <w:r>
              <w:rPr>
                <w:rFonts w:ascii="宋体" w:hAnsi="宋体" w:eastAsia="宋体" w:cs="宋体"/>
                <w:spacing w:val="-8"/>
                <w:sz w:val="21"/>
                <w:szCs w:val="21"/>
              </w:rPr>
              <w:t>；（</w:t>
            </w:r>
            <w:r>
              <w:rPr>
                <w:rFonts w:ascii="宋体" w:hAnsi="宋体" w:eastAsia="宋体" w:cs="宋体"/>
                <w:spacing w:val="-5"/>
                <w:sz w:val="21"/>
                <w:szCs w:val="21"/>
              </w:rPr>
              <w:t>三）城镇居民</w:t>
            </w:r>
            <w:r>
              <w:rPr>
                <w:rFonts w:ascii="宋体" w:hAnsi="宋体" w:eastAsia="宋体" w:cs="宋体"/>
                <w:spacing w:val="-6"/>
                <w:sz w:val="21"/>
                <w:szCs w:val="21"/>
              </w:rPr>
              <w:t>区、文化教育科学研究区等人口集中区</w:t>
            </w:r>
            <w:r>
              <w:rPr>
                <w:rFonts w:ascii="宋体" w:hAnsi="宋体" w:eastAsia="宋体" w:cs="宋体"/>
                <w:spacing w:val="-5"/>
                <w:sz w:val="21"/>
                <w:szCs w:val="21"/>
              </w:rPr>
              <w:t>域</w:t>
            </w:r>
            <w:r>
              <w:rPr>
                <w:rFonts w:ascii="宋体" w:hAnsi="宋体" w:eastAsia="宋体" w:cs="宋体"/>
                <w:spacing w:val="-8"/>
                <w:sz w:val="21"/>
                <w:szCs w:val="21"/>
              </w:rPr>
              <w:t>；（</w:t>
            </w:r>
            <w:r>
              <w:rPr>
                <w:rFonts w:ascii="宋体" w:hAnsi="宋体" w:eastAsia="宋体" w:cs="宋体"/>
                <w:spacing w:val="-5"/>
                <w:sz w:val="21"/>
                <w:szCs w:val="21"/>
              </w:rPr>
              <w:t>四）法律、法规规定的其他禁止</w:t>
            </w:r>
            <w:r>
              <w:rPr>
                <w:rFonts w:ascii="宋体" w:hAnsi="宋体" w:eastAsia="宋体" w:cs="宋体"/>
                <w:spacing w:val="-7"/>
                <w:sz w:val="21"/>
                <w:szCs w:val="21"/>
              </w:rPr>
              <w:t>养殖区域。</w:t>
            </w:r>
          </w:p>
        </w:tc>
        <w:tc>
          <w:tcPr>
            <w:tcW w:w="3382" w:type="dxa"/>
            <w:vAlign w:val="top"/>
          </w:tcPr>
          <w:p w14:paraId="0FFD6E62">
            <w:pPr>
              <w:pStyle w:val="6"/>
              <w:spacing w:before="53" w:line="267" w:lineRule="auto"/>
              <w:ind w:left="11"/>
              <w:jc w:val="both"/>
              <w:rPr>
                <w:rFonts w:ascii="宋体" w:hAnsi="宋体" w:eastAsia="宋体" w:cs="宋体"/>
              </w:rPr>
            </w:pPr>
            <w:r>
              <w:rPr>
                <w:rFonts w:ascii="宋体" w:hAnsi="宋体" w:eastAsia="宋体" w:cs="宋体"/>
              </w:rPr>
              <w:t>本项目选址位于内江市东兴区白合镇</w:t>
            </w:r>
            <w:r>
              <w:rPr>
                <w:rFonts w:ascii="宋体" w:hAnsi="宋体" w:eastAsia="宋体" w:cs="宋体"/>
                <w:spacing w:val="-4"/>
              </w:rPr>
              <w:t>喻家沟村</w:t>
            </w:r>
            <w:r>
              <w:rPr>
                <w:rFonts w:ascii="宋体" w:hAnsi="宋体" w:eastAsia="宋体" w:cs="宋体"/>
                <w:spacing w:val="-22"/>
              </w:rPr>
              <w:t xml:space="preserve"> </w:t>
            </w:r>
            <w:r>
              <w:rPr>
                <w:spacing w:val="-4"/>
              </w:rPr>
              <w:t>9</w:t>
            </w:r>
            <w:r>
              <w:rPr>
                <w:spacing w:val="-29"/>
              </w:rPr>
              <w:t xml:space="preserve"> </w:t>
            </w:r>
            <w:r>
              <w:rPr>
                <w:rFonts w:ascii="宋体" w:hAnsi="宋体" w:eastAsia="宋体" w:cs="宋体"/>
                <w:spacing w:val="-4"/>
              </w:rPr>
              <w:t>、</w:t>
            </w:r>
            <w:r>
              <w:rPr>
                <w:spacing w:val="-4"/>
              </w:rPr>
              <w:t>12</w:t>
            </w:r>
            <w:r>
              <w:rPr>
                <w:spacing w:val="17"/>
                <w:w w:val="101"/>
              </w:rPr>
              <w:t xml:space="preserve"> </w:t>
            </w:r>
            <w:r>
              <w:rPr>
                <w:rFonts w:ascii="宋体" w:hAnsi="宋体" w:eastAsia="宋体" w:cs="宋体"/>
                <w:spacing w:val="-4"/>
              </w:rPr>
              <w:t>组，建设地点不属于</w:t>
            </w:r>
            <w:r>
              <w:rPr>
                <w:rFonts w:ascii="宋体" w:hAnsi="宋体" w:eastAsia="宋体" w:cs="宋体"/>
              </w:rPr>
              <w:t>饮用水水源保护区，不属于风景名胜区；不属于自然保护区的核心区、缓冲区；不属于人口集中区域；亦不属于法律、法规规定的其他禁止养殖区</w:t>
            </w:r>
            <w:r>
              <w:rPr>
                <w:rFonts w:ascii="宋体" w:hAnsi="宋体" w:eastAsia="宋体" w:cs="宋体"/>
                <w:spacing w:val="-10"/>
              </w:rPr>
              <w:t>域。</w:t>
            </w:r>
          </w:p>
        </w:tc>
        <w:tc>
          <w:tcPr>
            <w:tcW w:w="824" w:type="dxa"/>
            <w:vAlign w:val="top"/>
          </w:tcPr>
          <w:p w14:paraId="48448807">
            <w:pPr>
              <w:spacing w:line="304" w:lineRule="auto"/>
              <w:rPr>
                <w:rFonts w:ascii="Arial"/>
                <w:sz w:val="21"/>
              </w:rPr>
            </w:pPr>
          </w:p>
          <w:p w14:paraId="4F3B4021">
            <w:pPr>
              <w:spacing w:line="304" w:lineRule="auto"/>
              <w:rPr>
                <w:rFonts w:ascii="Arial"/>
                <w:sz w:val="21"/>
              </w:rPr>
            </w:pPr>
          </w:p>
          <w:p w14:paraId="0844AB60">
            <w:pPr>
              <w:spacing w:line="304" w:lineRule="auto"/>
              <w:rPr>
                <w:rFonts w:ascii="Arial"/>
                <w:sz w:val="21"/>
              </w:rPr>
            </w:pPr>
          </w:p>
          <w:p w14:paraId="664217C9">
            <w:pPr>
              <w:spacing w:before="68" w:line="220" w:lineRule="auto"/>
              <w:ind w:left="209"/>
              <w:rPr>
                <w:rFonts w:ascii="宋体" w:hAnsi="宋体" w:eastAsia="宋体" w:cs="宋体"/>
                <w:sz w:val="21"/>
                <w:szCs w:val="21"/>
              </w:rPr>
            </w:pPr>
            <w:r>
              <w:rPr>
                <w:rFonts w:ascii="宋体" w:hAnsi="宋体" w:eastAsia="宋体" w:cs="宋体"/>
                <w:spacing w:val="-3"/>
                <w:sz w:val="21"/>
                <w:szCs w:val="21"/>
              </w:rPr>
              <w:t>符合</w:t>
            </w:r>
          </w:p>
        </w:tc>
      </w:tr>
    </w:tbl>
    <w:p w14:paraId="3D86CCA9">
      <w:pPr>
        <w:pStyle w:val="2"/>
      </w:pPr>
    </w:p>
    <w:p w14:paraId="5BBF6C36">
      <w:pPr>
        <w:sectPr>
          <w:footerReference r:id="rId89" w:type="default"/>
          <w:pgSz w:w="11905" w:h="16840"/>
          <w:pgMar w:top="1168" w:right="1768" w:bottom="1409" w:left="1770" w:header="828" w:footer="1244" w:gutter="0"/>
          <w:cols w:space="720" w:num="1"/>
        </w:sectPr>
      </w:pPr>
    </w:p>
    <w:p w14:paraId="73FDF3B9">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7"/>
        <w:gridCol w:w="3497"/>
        <w:gridCol w:w="3382"/>
        <w:gridCol w:w="824"/>
      </w:tblGrid>
      <w:tr w14:paraId="71277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17" w:type="dxa"/>
            <w:vAlign w:val="top"/>
          </w:tcPr>
          <w:p w14:paraId="0F641AEC">
            <w:pPr>
              <w:spacing w:before="68" w:line="221" w:lineRule="auto"/>
              <w:ind w:left="103"/>
              <w:rPr>
                <w:rFonts w:ascii="宋体" w:hAnsi="宋体" w:eastAsia="宋体" w:cs="宋体"/>
                <w:sz w:val="21"/>
                <w:szCs w:val="21"/>
              </w:rPr>
            </w:pPr>
            <w:r>
              <w:rPr>
                <w:rFonts w:ascii="宋体" w:hAnsi="宋体" w:eastAsia="宋体" w:cs="宋体"/>
                <w:spacing w:val="-2"/>
                <w:sz w:val="21"/>
                <w:szCs w:val="21"/>
              </w:rPr>
              <w:t>序号</w:t>
            </w:r>
          </w:p>
        </w:tc>
        <w:tc>
          <w:tcPr>
            <w:tcW w:w="3497" w:type="dxa"/>
            <w:vAlign w:val="top"/>
          </w:tcPr>
          <w:p w14:paraId="55133EEE">
            <w:pPr>
              <w:spacing w:before="68" w:line="220" w:lineRule="auto"/>
              <w:ind w:left="1335"/>
              <w:rPr>
                <w:rFonts w:ascii="宋体" w:hAnsi="宋体" w:eastAsia="宋体" w:cs="宋体"/>
                <w:sz w:val="21"/>
                <w:szCs w:val="21"/>
              </w:rPr>
            </w:pPr>
            <w:r>
              <w:rPr>
                <w:rFonts w:ascii="宋体" w:hAnsi="宋体" w:eastAsia="宋体" w:cs="宋体"/>
                <w:spacing w:val="-2"/>
                <w:sz w:val="21"/>
                <w:szCs w:val="21"/>
              </w:rPr>
              <w:t>条例内容</w:t>
            </w:r>
          </w:p>
        </w:tc>
        <w:tc>
          <w:tcPr>
            <w:tcW w:w="3382" w:type="dxa"/>
            <w:vAlign w:val="top"/>
          </w:tcPr>
          <w:p w14:paraId="0114C847">
            <w:pPr>
              <w:spacing w:before="68" w:line="219" w:lineRule="auto"/>
              <w:ind w:left="1173"/>
              <w:rPr>
                <w:rFonts w:ascii="宋体" w:hAnsi="宋体" w:eastAsia="宋体" w:cs="宋体"/>
                <w:sz w:val="21"/>
                <w:szCs w:val="21"/>
              </w:rPr>
            </w:pPr>
            <w:r>
              <w:rPr>
                <w:rFonts w:ascii="宋体" w:hAnsi="宋体" w:eastAsia="宋体" w:cs="宋体"/>
                <w:spacing w:val="-2"/>
                <w:sz w:val="21"/>
                <w:szCs w:val="21"/>
              </w:rPr>
              <w:t>本项目情况</w:t>
            </w:r>
          </w:p>
        </w:tc>
        <w:tc>
          <w:tcPr>
            <w:tcW w:w="824" w:type="dxa"/>
            <w:vAlign w:val="top"/>
          </w:tcPr>
          <w:p w14:paraId="098B7DBD">
            <w:pPr>
              <w:spacing w:before="68" w:line="220" w:lineRule="auto"/>
              <w:ind w:left="104"/>
              <w:rPr>
                <w:rFonts w:ascii="宋体" w:hAnsi="宋体" w:eastAsia="宋体" w:cs="宋体"/>
                <w:sz w:val="21"/>
                <w:szCs w:val="21"/>
              </w:rPr>
            </w:pPr>
            <w:r>
              <w:rPr>
                <w:rFonts w:ascii="宋体" w:hAnsi="宋体" w:eastAsia="宋体" w:cs="宋体"/>
                <w:spacing w:val="-3"/>
                <w:sz w:val="21"/>
                <w:szCs w:val="21"/>
              </w:rPr>
              <w:t>符合性</w:t>
            </w:r>
          </w:p>
        </w:tc>
      </w:tr>
      <w:tr w14:paraId="57BDD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617" w:type="dxa"/>
            <w:vAlign w:val="top"/>
          </w:tcPr>
          <w:p w14:paraId="44AAD1AD">
            <w:pPr>
              <w:spacing w:line="277" w:lineRule="auto"/>
              <w:rPr>
                <w:rFonts w:ascii="Arial"/>
                <w:sz w:val="21"/>
              </w:rPr>
            </w:pPr>
          </w:p>
          <w:p w14:paraId="7303FB9F">
            <w:pPr>
              <w:spacing w:line="278" w:lineRule="auto"/>
              <w:rPr>
                <w:rFonts w:ascii="Arial"/>
                <w:sz w:val="21"/>
              </w:rPr>
            </w:pPr>
          </w:p>
          <w:p w14:paraId="41AFB6A0">
            <w:pPr>
              <w:spacing w:line="278" w:lineRule="auto"/>
              <w:rPr>
                <w:rFonts w:ascii="Arial"/>
                <w:sz w:val="21"/>
              </w:rPr>
            </w:pPr>
          </w:p>
          <w:p w14:paraId="528A9BE7">
            <w:pPr>
              <w:spacing w:line="278" w:lineRule="auto"/>
              <w:rPr>
                <w:rFonts w:ascii="Arial"/>
                <w:sz w:val="21"/>
              </w:rPr>
            </w:pPr>
          </w:p>
          <w:p w14:paraId="608802A0">
            <w:pPr>
              <w:pStyle w:val="6"/>
              <w:spacing w:before="60" w:line="188" w:lineRule="auto"/>
              <w:ind w:left="257"/>
            </w:pPr>
            <w:r>
              <w:t>2</w:t>
            </w:r>
          </w:p>
        </w:tc>
        <w:tc>
          <w:tcPr>
            <w:tcW w:w="3497" w:type="dxa"/>
            <w:vAlign w:val="top"/>
          </w:tcPr>
          <w:p w14:paraId="3B329DBF">
            <w:pPr>
              <w:spacing w:before="50" w:line="268" w:lineRule="auto"/>
              <w:ind w:left="8"/>
              <w:jc w:val="both"/>
              <w:rPr>
                <w:rFonts w:ascii="宋体" w:hAnsi="宋体" w:eastAsia="宋体" w:cs="宋体"/>
                <w:sz w:val="21"/>
                <w:szCs w:val="21"/>
              </w:rPr>
            </w:pPr>
            <w:r>
              <w:rPr>
                <w:rFonts w:ascii="宋体" w:hAnsi="宋体" w:eastAsia="宋体" w:cs="宋体"/>
                <w:spacing w:val="-8"/>
                <w:sz w:val="21"/>
                <w:szCs w:val="21"/>
              </w:rPr>
              <w:t>第十二条：新建、改建、扩建畜禽养殖</w:t>
            </w:r>
            <w:r>
              <w:rPr>
                <w:rFonts w:ascii="宋体" w:hAnsi="宋体" w:eastAsia="宋体" w:cs="宋体"/>
                <w:spacing w:val="-11"/>
                <w:sz w:val="21"/>
                <w:szCs w:val="21"/>
              </w:rPr>
              <w:t>场、养殖小区，</w:t>
            </w:r>
            <w:r>
              <w:rPr>
                <w:rFonts w:ascii="宋体" w:hAnsi="宋体" w:eastAsia="宋体" w:cs="宋体"/>
                <w:spacing w:val="-54"/>
                <w:sz w:val="21"/>
                <w:szCs w:val="21"/>
              </w:rPr>
              <w:t xml:space="preserve"> </w:t>
            </w:r>
            <w:r>
              <w:rPr>
                <w:rFonts w:ascii="宋体" w:hAnsi="宋体" w:eastAsia="宋体" w:cs="宋体"/>
                <w:spacing w:val="-11"/>
                <w:sz w:val="21"/>
                <w:szCs w:val="21"/>
              </w:rPr>
              <w:t>应当符合畜牧业发展规</w:t>
            </w:r>
            <w:r>
              <w:rPr>
                <w:rFonts w:ascii="宋体" w:hAnsi="宋体" w:eastAsia="宋体" w:cs="宋体"/>
                <w:spacing w:val="-8"/>
                <w:sz w:val="21"/>
                <w:szCs w:val="21"/>
              </w:rPr>
              <w:t>划、畜禽养殖污染防治规划，满足动物防疫条件，并进行环境影响评价。对环</w:t>
            </w:r>
            <w:r>
              <w:rPr>
                <w:rFonts w:ascii="宋体" w:hAnsi="宋体" w:eastAsia="宋体" w:cs="宋体"/>
                <w:spacing w:val="-6"/>
                <w:sz w:val="21"/>
                <w:szCs w:val="21"/>
              </w:rPr>
              <w:t>境可能造成重大响的大型畜禽养殖场、养殖小区，应当编制环境影响报告书；</w:t>
            </w:r>
            <w:r>
              <w:rPr>
                <w:rFonts w:ascii="宋体" w:hAnsi="宋体" w:eastAsia="宋体" w:cs="宋体"/>
                <w:spacing w:val="-8"/>
                <w:sz w:val="21"/>
                <w:szCs w:val="21"/>
              </w:rPr>
              <w:t>其他畜禽养殖场、养殖小区应当填报环</w:t>
            </w:r>
            <w:r>
              <w:rPr>
                <w:rFonts w:ascii="宋体" w:hAnsi="宋体" w:eastAsia="宋体" w:cs="宋体"/>
                <w:spacing w:val="-7"/>
                <w:sz w:val="21"/>
                <w:szCs w:val="21"/>
              </w:rPr>
              <w:t>境影响登记表。</w:t>
            </w:r>
          </w:p>
        </w:tc>
        <w:tc>
          <w:tcPr>
            <w:tcW w:w="3382" w:type="dxa"/>
            <w:vAlign w:val="top"/>
          </w:tcPr>
          <w:p w14:paraId="2ED7495A">
            <w:pPr>
              <w:spacing w:before="50" w:line="268" w:lineRule="auto"/>
              <w:ind w:left="11"/>
              <w:rPr>
                <w:rFonts w:ascii="宋体" w:hAnsi="宋体" w:eastAsia="宋体" w:cs="宋体"/>
                <w:sz w:val="21"/>
                <w:szCs w:val="21"/>
              </w:rPr>
            </w:pPr>
            <w:r>
              <w:rPr>
                <w:rFonts w:ascii="宋体" w:hAnsi="宋体" w:eastAsia="宋体" w:cs="宋体"/>
                <w:spacing w:val="14"/>
                <w:sz w:val="21"/>
                <w:szCs w:val="21"/>
              </w:rPr>
              <w:t>本项目选址不在当地划定的禁养区</w:t>
            </w:r>
            <w:r>
              <w:rPr>
                <w:rFonts w:ascii="宋体" w:hAnsi="宋体" w:eastAsia="宋体" w:cs="宋体"/>
                <w:sz w:val="21"/>
                <w:szCs w:val="21"/>
              </w:rPr>
              <w:t>内，符合畜牧业发展规划、畜禽养殖</w:t>
            </w:r>
            <w:r>
              <w:rPr>
                <w:rFonts w:ascii="宋体" w:hAnsi="宋体" w:eastAsia="宋体" w:cs="宋体"/>
                <w:spacing w:val="-2"/>
                <w:sz w:val="21"/>
                <w:szCs w:val="21"/>
              </w:rPr>
              <w:t>污染防治规划，满足动物防疫条件。</w:t>
            </w:r>
            <w:r>
              <w:rPr>
                <w:rFonts w:ascii="宋体" w:hAnsi="宋体" w:eastAsia="宋体" w:cs="宋体"/>
                <w:sz w:val="21"/>
                <w:szCs w:val="21"/>
              </w:rPr>
              <w:t>本项目属于新建的畜禽养殖场，内江市东兴区农业农村局、内江市东兴区白合镇人民政府、内江市东兴区白合</w:t>
            </w:r>
            <w:r>
              <w:rPr>
                <w:rFonts w:ascii="宋体" w:hAnsi="宋体" w:eastAsia="宋体" w:cs="宋体"/>
                <w:spacing w:val="-2"/>
                <w:sz w:val="21"/>
                <w:szCs w:val="21"/>
              </w:rPr>
              <w:t>镇自然资源所核实并同意项目建设。</w:t>
            </w:r>
            <w:r>
              <w:rPr>
                <w:rFonts w:ascii="宋体" w:hAnsi="宋体" w:eastAsia="宋体" w:cs="宋体"/>
                <w:spacing w:val="-3"/>
                <w:sz w:val="21"/>
                <w:szCs w:val="21"/>
              </w:rPr>
              <w:t>本项目编制环境影响报告书。</w:t>
            </w:r>
          </w:p>
        </w:tc>
        <w:tc>
          <w:tcPr>
            <w:tcW w:w="824" w:type="dxa"/>
            <w:vAlign w:val="top"/>
          </w:tcPr>
          <w:p w14:paraId="3BCCD27B">
            <w:pPr>
              <w:spacing w:line="266" w:lineRule="auto"/>
              <w:rPr>
                <w:rFonts w:ascii="Arial"/>
                <w:sz w:val="21"/>
              </w:rPr>
            </w:pPr>
          </w:p>
          <w:p w14:paraId="4A0489CD">
            <w:pPr>
              <w:spacing w:line="266" w:lineRule="auto"/>
              <w:rPr>
                <w:rFonts w:ascii="Arial"/>
                <w:sz w:val="21"/>
              </w:rPr>
            </w:pPr>
          </w:p>
          <w:p w14:paraId="7D2E7E67">
            <w:pPr>
              <w:spacing w:line="267" w:lineRule="auto"/>
              <w:rPr>
                <w:rFonts w:ascii="Arial"/>
                <w:sz w:val="21"/>
              </w:rPr>
            </w:pPr>
          </w:p>
          <w:p w14:paraId="7249E884">
            <w:pPr>
              <w:spacing w:line="267" w:lineRule="auto"/>
              <w:rPr>
                <w:rFonts w:ascii="Arial"/>
                <w:sz w:val="21"/>
              </w:rPr>
            </w:pPr>
          </w:p>
          <w:p w14:paraId="7B7961D9">
            <w:pPr>
              <w:spacing w:before="68" w:line="220" w:lineRule="auto"/>
              <w:ind w:left="209"/>
              <w:rPr>
                <w:rFonts w:ascii="宋体" w:hAnsi="宋体" w:eastAsia="宋体" w:cs="宋体"/>
                <w:sz w:val="21"/>
                <w:szCs w:val="21"/>
              </w:rPr>
            </w:pPr>
            <w:r>
              <w:rPr>
                <w:rFonts w:ascii="宋体" w:hAnsi="宋体" w:eastAsia="宋体" w:cs="宋体"/>
                <w:spacing w:val="-3"/>
                <w:sz w:val="21"/>
                <w:szCs w:val="21"/>
              </w:rPr>
              <w:t>符合</w:t>
            </w:r>
          </w:p>
        </w:tc>
      </w:tr>
      <w:tr w14:paraId="1498F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617" w:type="dxa"/>
            <w:vAlign w:val="top"/>
          </w:tcPr>
          <w:p w14:paraId="16600BD1">
            <w:pPr>
              <w:spacing w:line="278" w:lineRule="auto"/>
              <w:rPr>
                <w:rFonts w:ascii="Arial"/>
                <w:sz w:val="21"/>
              </w:rPr>
            </w:pPr>
          </w:p>
          <w:p w14:paraId="5E7D6E7A">
            <w:pPr>
              <w:spacing w:line="278" w:lineRule="auto"/>
              <w:rPr>
                <w:rFonts w:ascii="Arial"/>
                <w:sz w:val="21"/>
              </w:rPr>
            </w:pPr>
          </w:p>
          <w:p w14:paraId="719F5AB7">
            <w:pPr>
              <w:spacing w:line="278" w:lineRule="auto"/>
              <w:rPr>
                <w:rFonts w:ascii="Arial"/>
                <w:sz w:val="21"/>
              </w:rPr>
            </w:pPr>
          </w:p>
          <w:p w14:paraId="27A1A694">
            <w:pPr>
              <w:spacing w:line="278" w:lineRule="auto"/>
              <w:rPr>
                <w:rFonts w:ascii="Arial"/>
                <w:sz w:val="21"/>
              </w:rPr>
            </w:pPr>
          </w:p>
          <w:p w14:paraId="31F8CF74">
            <w:pPr>
              <w:pStyle w:val="6"/>
              <w:spacing w:before="61" w:line="188" w:lineRule="auto"/>
              <w:ind w:left="261"/>
            </w:pPr>
            <w:r>
              <w:t>3</w:t>
            </w:r>
          </w:p>
        </w:tc>
        <w:tc>
          <w:tcPr>
            <w:tcW w:w="3497" w:type="dxa"/>
            <w:vAlign w:val="top"/>
          </w:tcPr>
          <w:p w14:paraId="2A1484A9">
            <w:pPr>
              <w:spacing w:before="51" w:line="268" w:lineRule="auto"/>
              <w:ind w:left="8"/>
              <w:jc w:val="both"/>
              <w:rPr>
                <w:rFonts w:ascii="宋体" w:hAnsi="宋体" w:eastAsia="宋体" w:cs="宋体"/>
                <w:sz w:val="21"/>
                <w:szCs w:val="21"/>
              </w:rPr>
            </w:pPr>
            <w:r>
              <w:rPr>
                <w:rFonts w:ascii="宋体" w:hAnsi="宋体" w:eastAsia="宋体" w:cs="宋体"/>
                <w:spacing w:val="-8"/>
                <w:sz w:val="21"/>
                <w:szCs w:val="21"/>
              </w:rPr>
              <w:t>第十三条：畜禽养殖场、养殖小区应当根据养殖规模和污染防治需要，建设相</w:t>
            </w:r>
            <w:r>
              <w:rPr>
                <w:rFonts w:ascii="宋体" w:hAnsi="宋体" w:eastAsia="宋体" w:cs="宋体"/>
                <w:spacing w:val="-6"/>
                <w:sz w:val="21"/>
                <w:szCs w:val="21"/>
              </w:rPr>
              <w:t>应的畜禽粪便、污水与雨水分流设施，</w:t>
            </w:r>
            <w:r>
              <w:rPr>
                <w:rFonts w:ascii="宋体" w:hAnsi="宋体" w:eastAsia="宋体" w:cs="宋体"/>
                <w:spacing w:val="-11"/>
                <w:sz w:val="21"/>
                <w:szCs w:val="21"/>
              </w:rPr>
              <w:t>畜禽粪便、污水的贮存设施，</w:t>
            </w:r>
            <w:r>
              <w:rPr>
                <w:rFonts w:ascii="宋体" w:hAnsi="宋体" w:eastAsia="宋体" w:cs="宋体"/>
                <w:spacing w:val="-54"/>
                <w:sz w:val="21"/>
                <w:szCs w:val="21"/>
              </w:rPr>
              <w:t xml:space="preserve"> </w:t>
            </w:r>
            <w:r>
              <w:rPr>
                <w:rFonts w:ascii="宋体" w:hAnsi="宋体" w:eastAsia="宋体" w:cs="宋体"/>
                <w:spacing w:val="-11"/>
                <w:sz w:val="21"/>
                <w:szCs w:val="21"/>
              </w:rPr>
              <w:t>粪污厌氧</w:t>
            </w:r>
            <w:r>
              <w:rPr>
                <w:rFonts w:ascii="宋体" w:hAnsi="宋体" w:eastAsia="宋体" w:cs="宋体"/>
                <w:spacing w:val="-6"/>
                <w:sz w:val="21"/>
                <w:szCs w:val="21"/>
              </w:rPr>
              <w:t>消化和堆沤、有机肥加工、制取沼气、</w:t>
            </w:r>
            <w:r>
              <w:rPr>
                <w:rFonts w:ascii="宋体" w:hAnsi="宋体" w:eastAsia="宋体" w:cs="宋体"/>
                <w:spacing w:val="-8"/>
                <w:sz w:val="21"/>
                <w:szCs w:val="21"/>
              </w:rPr>
              <w:t>沼渣沼液分离和输送、污水处理、畜禽</w:t>
            </w:r>
            <w:r>
              <w:rPr>
                <w:rFonts w:ascii="宋体" w:hAnsi="宋体" w:eastAsia="宋体" w:cs="宋体"/>
                <w:spacing w:val="4"/>
                <w:sz w:val="21"/>
                <w:szCs w:val="21"/>
              </w:rPr>
              <w:t>尸体处理等综合利用和无害化处理设</w:t>
            </w:r>
            <w:r>
              <w:rPr>
                <w:rFonts w:ascii="宋体" w:hAnsi="宋体" w:eastAsia="宋体" w:cs="宋体"/>
                <w:spacing w:val="-11"/>
                <w:sz w:val="21"/>
                <w:szCs w:val="21"/>
              </w:rPr>
              <w:t>施。</w:t>
            </w:r>
          </w:p>
        </w:tc>
        <w:tc>
          <w:tcPr>
            <w:tcW w:w="3382" w:type="dxa"/>
            <w:vAlign w:val="top"/>
          </w:tcPr>
          <w:p w14:paraId="65C0E7D2">
            <w:pPr>
              <w:spacing w:line="293" w:lineRule="auto"/>
              <w:rPr>
                <w:rFonts w:ascii="Arial"/>
                <w:sz w:val="21"/>
              </w:rPr>
            </w:pPr>
          </w:p>
          <w:p w14:paraId="63F26475">
            <w:pPr>
              <w:spacing w:before="68" w:line="275" w:lineRule="auto"/>
              <w:ind w:left="10" w:firstLine="1"/>
              <w:rPr>
                <w:rFonts w:ascii="宋体" w:hAnsi="宋体" w:eastAsia="宋体" w:cs="宋体"/>
                <w:sz w:val="21"/>
                <w:szCs w:val="21"/>
              </w:rPr>
            </w:pPr>
            <w:r>
              <w:rPr>
                <w:rFonts w:ascii="宋体" w:hAnsi="宋体" w:eastAsia="宋体" w:cs="宋体"/>
                <w:sz w:val="21"/>
                <w:szCs w:val="21"/>
              </w:rPr>
              <w:t>本项目采用雨污分流，养殖场将配套建设符合相关要求的相应的污水处理设施，废水经处理达标后用于消纳地农灌；粪便交有机肥厂生产有机肥；病死猪交内江市环态动物无害化处置</w:t>
            </w:r>
            <w:r>
              <w:rPr>
                <w:rFonts w:ascii="宋体" w:hAnsi="宋体" w:eastAsia="宋体" w:cs="宋体"/>
                <w:spacing w:val="-3"/>
                <w:sz w:val="21"/>
                <w:szCs w:val="21"/>
              </w:rPr>
              <w:t>有限责任公司进行无害化处理。</w:t>
            </w:r>
          </w:p>
        </w:tc>
        <w:tc>
          <w:tcPr>
            <w:tcW w:w="824" w:type="dxa"/>
            <w:vAlign w:val="top"/>
          </w:tcPr>
          <w:p w14:paraId="03248A86">
            <w:pPr>
              <w:spacing w:line="267" w:lineRule="auto"/>
              <w:rPr>
                <w:rFonts w:ascii="Arial"/>
                <w:sz w:val="21"/>
              </w:rPr>
            </w:pPr>
          </w:p>
          <w:p w14:paraId="6A80FAC0">
            <w:pPr>
              <w:spacing w:line="267" w:lineRule="auto"/>
              <w:rPr>
                <w:rFonts w:ascii="Arial"/>
                <w:sz w:val="21"/>
              </w:rPr>
            </w:pPr>
          </w:p>
          <w:p w14:paraId="07B549CE">
            <w:pPr>
              <w:spacing w:line="267" w:lineRule="auto"/>
              <w:rPr>
                <w:rFonts w:ascii="Arial"/>
                <w:sz w:val="21"/>
              </w:rPr>
            </w:pPr>
          </w:p>
          <w:p w14:paraId="4405B532">
            <w:pPr>
              <w:spacing w:line="267" w:lineRule="auto"/>
              <w:rPr>
                <w:rFonts w:ascii="Arial"/>
                <w:sz w:val="21"/>
              </w:rPr>
            </w:pPr>
          </w:p>
          <w:p w14:paraId="0E660E80">
            <w:pPr>
              <w:spacing w:before="68" w:line="220" w:lineRule="auto"/>
              <w:ind w:left="209"/>
              <w:rPr>
                <w:rFonts w:ascii="宋体" w:hAnsi="宋体" w:eastAsia="宋体" w:cs="宋体"/>
                <w:sz w:val="21"/>
                <w:szCs w:val="21"/>
              </w:rPr>
            </w:pPr>
            <w:r>
              <w:rPr>
                <w:rFonts w:ascii="宋体" w:hAnsi="宋体" w:eastAsia="宋体" w:cs="宋体"/>
                <w:spacing w:val="-3"/>
                <w:sz w:val="21"/>
                <w:szCs w:val="21"/>
              </w:rPr>
              <w:t>符合</w:t>
            </w:r>
          </w:p>
        </w:tc>
      </w:tr>
      <w:tr w14:paraId="667EB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617" w:type="dxa"/>
            <w:vAlign w:val="top"/>
          </w:tcPr>
          <w:p w14:paraId="18DE710F">
            <w:pPr>
              <w:spacing w:line="268" w:lineRule="auto"/>
              <w:rPr>
                <w:rFonts w:ascii="Arial"/>
                <w:sz w:val="21"/>
              </w:rPr>
            </w:pPr>
          </w:p>
          <w:p w14:paraId="0718C4AE">
            <w:pPr>
              <w:spacing w:line="268" w:lineRule="auto"/>
              <w:rPr>
                <w:rFonts w:ascii="Arial"/>
                <w:sz w:val="21"/>
              </w:rPr>
            </w:pPr>
          </w:p>
          <w:p w14:paraId="4244B11D">
            <w:pPr>
              <w:spacing w:line="268" w:lineRule="auto"/>
              <w:rPr>
                <w:rFonts w:ascii="Arial"/>
                <w:sz w:val="21"/>
              </w:rPr>
            </w:pPr>
          </w:p>
          <w:p w14:paraId="513BDBF7">
            <w:pPr>
              <w:pStyle w:val="6"/>
              <w:spacing w:before="61" w:line="188" w:lineRule="auto"/>
              <w:ind w:left="256"/>
            </w:pPr>
            <w:r>
              <w:t>4</w:t>
            </w:r>
          </w:p>
        </w:tc>
        <w:tc>
          <w:tcPr>
            <w:tcW w:w="3497" w:type="dxa"/>
            <w:vAlign w:val="top"/>
          </w:tcPr>
          <w:p w14:paraId="3BFB640F">
            <w:pPr>
              <w:spacing w:before="209" w:line="275" w:lineRule="auto"/>
              <w:ind w:left="8"/>
              <w:jc w:val="both"/>
              <w:rPr>
                <w:rFonts w:ascii="宋体" w:hAnsi="宋体" w:eastAsia="宋体" w:cs="宋体"/>
                <w:sz w:val="21"/>
                <w:szCs w:val="21"/>
              </w:rPr>
            </w:pPr>
            <w:r>
              <w:rPr>
                <w:rFonts w:ascii="宋体" w:hAnsi="宋体" w:eastAsia="宋体" w:cs="宋体"/>
                <w:spacing w:val="-6"/>
                <w:sz w:val="21"/>
                <w:szCs w:val="21"/>
              </w:rPr>
              <w:t>第十八条：将畜禽粪便、污水、沼渣、</w:t>
            </w:r>
            <w:r>
              <w:rPr>
                <w:rFonts w:ascii="宋体" w:hAnsi="宋体" w:eastAsia="宋体" w:cs="宋体"/>
                <w:spacing w:val="-9"/>
                <w:sz w:val="21"/>
                <w:szCs w:val="21"/>
              </w:rPr>
              <w:t>沼液等用作肥料的，应当与土地的消纳</w:t>
            </w:r>
            <w:r>
              <w:rPr>
                <w:rFonts w:ascii="宋体" w:hAnsi="宋体" w:eastAsia="宋体" w:cs="宋体"/>
                <w:spacing w:val="-8"/>
                <w:sz w:val="21"/>
                <w:szCs w:val="21"/>
              </w:rPr>
              <w:t>能力相适应，并采取有效措施，消除可</w:t>
            </w:r>
            <w:r>
              <w:rPr>
                <w:rFonts w:ascii="宋体" w:hAnsi="宋体" w:eastAsia="宋体" w:cs="宋体"/>
                <w:spacing w:val="-9"/>
                <w:sz w:val="21"/>
                <w:szCs w:val="21"/>
              </w:rPr>
              <w:t>能引起传染病的微生物，防止污染环境</w:t>
            </w:r>
            <w:r>
              <w:rPr>
                <w:rFonts w:ascii="宋体" w:hAnsi="宋体" w:eastAsia="宋体" w:cs="宋体"/>
                <w:spacing w:val="-8"/>
                <w:sz w:val="21"/>
                <w:szCs w:val="21"/>
              </w:rPr>
              <w:t>和传播疫病。</w:t>
            </w:r>
          </w:p>
        </w:tc>
        <w:tc>
          <w:tcPr>
            <w:tcW w:w="3382" w:type="dxa"/>
            <w:vAlign w:val="top"/>
          </w:tcPr>
          <w:p w14:paraId="19C03B8C">
            <w:pPr>
              <w:pStyle w:val="6"/>
              <w:spacing w:before="51" w:line="266" w:lineRule="auto"/>
              <w:ind w:left="10" w:firstLine="1"/>
              <w:jc w:val="both"/>
              <w:rPr>
                <w:rFonts w:ascii="宋体" w:hAnsi="宋体" w:eastAsia="宋体" w:cs="宋体"/>
              </w:rPr>
            </w:pPr>
            <w:r>
              <w:rPr>
                <w:rFonts w:ascii="宋体" w:hAnsi="宋体" w:eastAsia="宋体" w:cs="宋体"/>
                <w:spacing w:val="-5"/>
              </w:rPr>
              <w:t>本项目废水经处理后用于项目区周围</w:t>
            </w:r>
            <w:r>
              <w:rPr>
                <w:rFonts w:ascii="宋体" w:hAnsi="宋体" w:eastAsia="宋体" w:cs="宋体"/>
                <w:spacing w:val="-10"/>
              </w:rPr>
              <w:t>消纳地农灌，周边土地约</w:t>
            </w:r>
            <w:r>
              <w:rPr>
                <w:rFonts w:ascii="宋体" w:hAnsi="宋体" w:eastAsia="宋体" w:cs="宋体"/>
                <w:spacing w:val="-34"/>
              </w:rPr>
              <w:t xml:space="preserve"> </w:t>
            </w:r>
            <w:r>
              <w:rPr>
                <w:spacing w:val="-10"/>
              </w:rPr>
              <w:t xml:space="preserve">2060 </w:t>
            </w:r>
            <w:r>
              <w:rPr>
                <w:rFonts w:ascii="宋体" w:hAnsi="宋体" w:eastAsia="宋体" w:cs="宋体"/>
                <w:spacing w:val="-10"/>
              </w:rPr>
              <w:t>亩，能</w:t>
            </w:r>
            <w:r>
              <w:rPr>
                <w:rFonts w:ascii="宋体" w:hAnsi="宋体" w:eastAsia="宋体" w:cs="宋体"/>
                <w:spacing w:val="-5"/>
              </w:rPr>
              <w:t>够完全消纳本项目废水；废水经废水处理系统处理并消毒，可有效消除传染病微生物，防止污染环境和传播疫</w:t>
            </w:r>
            <w:r>
              <w:rPr>
                <w:rFonts w:ascii="宋体" w:hAnsi="宋体" w:eastAsia="宋体" w:cs="宋体"/>
                <w:spacing w:val="-12"/>
              </w:rPr>
              <w:t>病。项目粪便交有机肥厂生产有机肥。</w:t>
            </w:r>
          </w:p>
        </w:tc>
        <w:tc>
          <w:tcPr>
            <w:tcW w:w="824" w:type="dxa"/>
            <w:vAlign w:val="top"/>
          </w:tcPr>
          <w:p w14:paraId="5AE32ACB">
            <w:pPr>
              <w:spacing w:line="253" w:lineRule="auto"/>
              <w:rPr>
                <w:rFonts w:ascii="Arial"/>
                <w:sz w:val="21"/>
              </w:rPr>
            </w:pPr>
          </w:p>
          <w:p w14:paraId="57F4CF24">
            <w:pPr>
              <w:spacing w:line="253" w:lineRule="auto"/>
              <w:rPr>
                <w:rFonts w:ascii="Arial"/>
                <w:sz w:val="21"/>
              </w:rPr>
            </w:pPr>
          </w:p>
          <w:p w14:paraId="6E29CAB4">
            <w:pPr>
              <w:spacing w:line="253" w:lineRule="auto"/>
              <w:rPr>
                <w:rFonts w:ascii="Arial"/>
                <w:sz w:val="21"/>
              </w:rPr>
            </w:pPr>
          </w:p>
          <w:p w14:paraId="4552CF3E">
            <w:pPr>
              <w:spacing w:before="69" w:line="220" w:lineRule="auto"/>
              <w:ind w:left="209"/>
              <w:rPr>
                <w:rFonts w:ascii="宋体" w:hAnsi="宋体" w:eastAsia="宋体" w:cs="宋体"/>
                <w:sz w:val="21"/>
                <w:szCs w:val="21"/>
              </w:rPr>
            </w:pPr>
            <w:r>
              <w:rPr>
                <w:rFonts w:ascii="宋体" w:hAnsi="宋体" w:eastAsia="宋体" w:cs="宋体"/>
                <w:spacing w:val="-3"/>
                <w:sz w:val="21"/>
                <w:szCs w:val="21"/>
              </w:rPr>
              <w:t>符合</w:t>
            </w:r>
          </w:p>
        </w:tc>
      </w:tr>
      <w:tr w14:paraId="6B359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617" w:type="dxa"/>
            <w:vAlign w:val="top"/>
          </w:tcPr>
          <w:p w14:paraId="29B13046">
            <w:pPr>
              <w:spacing w:line="254" w:lineRule="auto"/>
              <w:rPr>
                <w:rFonts w:ascii="Arial"/>
                <w:sz w:val="21"/>
              </w:rPr>
            </w:pPr>
          </w:p>
          <w:p w14:paraId="526A589C">
            <w:pPr>
              <w:spacing w:line="254" w:lineRule="auto"/>
              <w:rPr>
                <w:rFonts w:ascii="Arial"/>
                <w:sz w:val="21"/>
              </w:rPr>
            </w:pPr>
          </w:p>
          <w:p w14:paraId="3C1B2793">
            <w:pPr>
              <w:spacing w:line="254" w:lineRule="auto"/>
              <w:rPr>
                <w:rFonts w:ascii="Arial"/>
                <w:sz w:val="21"/>
              </w:rPr>
            </w:pPr>
          </w:p>
          <w:p w14:paraId="10ABBDB1">
            <w:pPr>
              <w:spacing w:line="255" w:lineRule="auto"/>
              <w:rPr>
                <w:rFonts w:ascii="Arial"/>
                <w:sz w:val="21"/>
              </w:rPr>
            </w:pPr>
          </w:p>
          <w:p w14:paraId="0ACEA490">
            <w:pPr>
              <w:spacing w:line="255" w:lineRule="auto"/>
              <w:rPr>
                <w:rFonts w:ascii="Arial"/>
                <w:sz w:val="21"/>
              </w:rPr>
            </w:pPr>
          </w:p>
          <w:p w14:paraId="69B4E17C">
            <w:pPr>
              <w:pStyle w:val="6"/>
              <w:spacing w:before="60" w:line="185" w:lineRule="auto"/>
              <w:ind w:left="263"/>
            </w:pPr>
            <w:r>
              <w:t>5</w:t>
            </w:r>
          </w:p>
        </w:tc>
        <w:tc>
          <w:tcPr>
            <w:tcW w:w="3497" w:type="dxa"/>
            <w:vAlign w:val="top"/>
          </w:tcPr>
          <w:p w14:paraId="2559F624">
            <w:pPr>
              <w:spacing w:line="303" w:lineRule="auto"/>
              <w:rPr>
                <w:rFonts w:ascii="Arial"/>
                <w:sz w:val="21"/>
              </w:rPr>
            </w:pPr>
          </w:p>
          <w:p w14:paraId="575D73D7">
            <w:pPr>
              <w:spacing w:line="304" w:lineRule="auto"/>
              <w:rPr>
                <w:rFonts w:ascii="Arial"/>
                <w:sz w:val="21"/>
              </w:rPr>
            </w:pPr>
          </w:p>
          <w:p w14:paraId="58CFC678">
            <w:pPr>
              <w:spacing w:before="68" w:line="275" w:lineRule="auto"/>
              <w:ind w:left="8"/>
              <w:jc w:val="both"/>
              <w:rPr>
                <w:rFonts w:ascii="宋体" w:hAnsi="宋体" w:eastAsia="宋体" w:cs="宋体"/>
                <w:sz w:val="21"/>
                <w:szCs w:val="21"/>
              </w:rPr>
            </w:pPr>
            <w:r>
              <w:rPr>
                <w:rFonts w:ascii="宋体" w:hAnsi="宋体" w:eastAsia="宋体" w:cs="宋体"/>
                <w:spacing w:val="-10"/>
                <w:sz w:val="21"/>
                <w:szCs w:val="21"/>
              </w:rPr>
              <w:t>第十九条：从事畜禽养殖活动和畜禽养殖废弃物处理活动，应当及时对畜禽粪</w:t>
            </w:r>
            <w:r>
              <w:rPr>
                <w:rFonts w:ascii="宋体" w:hAnsi="宋体" w:eastAsia="宋体" w:cs="宋体"/>
                <w:spacing w:val="-17"/>
                <w:sz w:val="21"/>
                <w:szCs w:val="21"/>
              </w:rPr>
              <w:t>便、畜禽尸体、污水等进行收集、贮存、</w:t>
            </w:r>
            <w:r>
              <w:rPr>
                <w:rFonts w:ascii="宋体" w:hAnsi="宋体" w:eastAsia="宋体" w:cs="宋体"/>
                <w:spacing w:val="3"/>
                <w:sz w:val="21"/>
                <w:szCs w:val="21"/>
              </w:rPr>
              <w:t>清运，防止恶臭和畜禽养殖废弃物渗</w:t>
            </w:r>
            <w:r>
              <w:rPr>
                <w:rFonts w:ascii="宋体" w:hAnsi="宋体" w:eastAsia="宋体" w:cs="宋体"/>
                <w:spacing w:val="-10"/>
                <w:sz w:val="21"/>
                <w:szCs w:val="21"/>
              </w:rPr>
              <w:t>出、泄漏。</w:t>
            </w:r>
          </w:p>
        </w:tc>
        <w:tc>
          <w:tcPr>
            <w:tcW w:w="3382" w:type="dxa"/>
            <w:vAlign w:val="top"/>
          </w:tcPr>
          <w:p w14:paraId="3B248F09">
            <w:pPr>
              <w:spacing w:before="57" w:line="268" w:lineRule="auto"/>
              <w:ind w:left="10" w:firstLine="4"/>
              <w:rPr>
                <w:rFonts w:ascii="宋体" w:hAnsi="宋体" w:eastAsia="宋体" w:cs="宋体"/>
                <w:sz w:val="21"/>
                <w:szCs w:val="21"/>
              </w:rPr>
            </w:pPr>
            <w:r>
              <w:rPr>
                <w:rFonts w:ascii="宋体" w:hAnsi="宋体" w:eastAsia="宋体" w:cs="宋体"/>
                <w:sz w:val="21"/>
                <w:szCs w:val="21"/>
              </w:rPr>
              <w:t>项目设置有专门的污水处理系统及粪便暂存设施，各设施按要求做防渗处</w:t>
            </w:r>
            <w:r>
              <w:rPr>
                <w:rFonts w:ascii="宋体" w:hAnsi="宋体" w:eastAsia="宋体" w:cs="宋体"/>
                <w:spacing w:val="-2"/>
                <w:sz w:val="21"/>
                <w:szCs w:val="21"/>
              </w:rPr>
              <w:t>理，厂区内按相关要求进行对污水、</w:t>
            </w:r>
            <w:r>
              <w:rPr>
                <w:rFonts w:ascii="宋体" w:hAnsi="宋体" w:eastAsia="宋体" w:cs="宋体"/>
                <w:sz w:val="21"/>
                <w:szCs w:val="21"/>
              </w:rPr>
              <w:t>粪便、畜禽尸体等固废进行收集、贮</w:t>
            </w:r>
            <w:r>
              <w:rPr>
                <w:rFonts w:ascii="宋体" w:hAnsi="宋体" w:eastAsia="宋体" w:cs="宋体"/>
                <w:spacing w:val="-10"/>
                <w:sz w:val="21"/>
                <w:szCs w:val="21"/>
              </w:rPr>
              <w:t>运和清运。环评要求：</w:t>
            </w:r>
            <w:r>
              <w:rPr>
                <w:rFonts w:ascii="宋体" w:hAnsi="宋体" w:eastAsia="宋体" w:cs="宋体"/>
                <w:spacing w:val="60"/>
                <w:sz w:val="21"/>
                <w:szCs w:val="21"/>
              </w:rPr>
              <w:t xml:space="preserve"> </w:t>
            </w:r>
            <w:r>
              <w:rPr>
                <w:rFonts w:ascii="宋体" w:hAnsi="宋体" w:eastAsia="宋体" w:cs="宋体"/>
                <w:spacing w:val="-10"/>
                <w:sz w:val="21"/>
                <w:szCs w:val="21"/>
              </w:rPr>
              <w:t>项目固废定期</w:t>
            </w:r>
            <w:r>
              <w:rPr>
                <w:rFonts w:ascii="宋体" w:hAnsi="宋体" w:eastAsia="宋体" w:cs="宋体"/>
                <w:sz w:val="21"/>
                <w:szCs w:val="21"/>
              </w:rPr>
              <w:t>及时清运，加强运输车辆密闭处理，运输时间尽量避开外部环境交通高峰时期等敏感阶段。从而降低该项目对</w:t>
            </w:r>
            <w:r>
              <w:rPr>
                <w:rFonts w:ascii="宋体" w:hAnsi="宋体" w:eastAsia="宋体" w:cs="宋体"/>
                <w:spacing w:val="-5"/>
                <w:sz w:val="21"/>
                <w:szCs w:val="21"/>
              </w:rPr>
              <w:t>周围环境的影响。</w:t>
            </w:r>
          </w:p>
        </w:tc>
        <w:tc>
          <w:tcPr>
            <w:tcW w:w="824" w:type="dxa"/>
            <w:vAlign w:val="top"/>
          </w:tcPr>
          <w:p w14:paraId="748C5991">
            <w:pPr>
              <w:spacing w:line="244" w:lineRule="auto"/>
              <w:rPr>
                <w:rFonts w:ascii="Arial"/>
                <w:sz w:val="21"/>
              </w:rPr>
            </w:pPr>
          </w:p>
          <w:p w14:paraId="4AEA561D">
            <w:pPr>
              <w:spacing w:line="245" w:lineRule="auto"/>
              <w:rPr>
                <w:rFonts w:ascii="Arial"/>
                <w:sz w:val="21"/>
              </w:rPr>
            </w:pPr>
          </w:p>
          <w:p w14:paraId="33E55A1A">
            <w:pPr>
              <w:spacing w:line="245" w:lineRule="auto"/>
              <w:rPr>
                <w:rFonts w:ascii="Arial"/>
                <w:sz w:val="21"/>
              </w:rPr>
            </w:pPr>
          </w:p>
          <w:p w14:paraId="650A4A00">
            <w:pPr>
              <w:spacing w:line="245" w:lineRule="auto"/>
              <w:rPr>
                <w:rFonts w:ascii="Arial"/>
                <w:sz w:val="21"/>
              </w:rPr>
            </w:pPr>
          </w:p>
          <w:p w14:paraId="672DD5FD">
            <w:pPr>
              <w:spacing w:line="245" w:lineRule="auto"/>
              <w:rPr>
                <w:rFonts w:ascii="Arial"/>
                <w:sz w:val="21"/>
              </w:rPr>
            </w:pPr>
          </w:p>
          <w:p w14:paraId="1E4B33B6">
            <w:pPr>
              <w:spacing w:before="68" w:line="220" w:lineRule="auto"/>
              <w:ind w:left="209"/>
              <w:rPr>
                <w:rFonts w:ascii="宋体" w:hAnsi="宋体" w:eastAsia="宋体" w:cs="宋体"/>
                <w:sz w:val="21"/>
                <w:szCs w:val="21"/>
              </w:rPr>
            </w:pPr>
            <w:r>
              <w:rPr>
                <w:rFonts w:ascii="宋体" w:hAnsi="宋体" w:eastAsia="宋体" w:cs="宋体"/>
                <w:spacing w:val="-3"/>
                <w:sz w:val="21"/>
                <w:szCs w:val="21"/>
              </w:rPr>
              <w:t>符合</w:t>
            </w:r>
          </w:p>
        </w:tc>
      </w:tr>
      <w:tr w14:paraId="7D469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2" w:hRule="atLeast"/>
        </w:trPr>
        <w:tc>
          <w:tcPr>
            <w:tcW w:w="617" w:type="dxa"/>
            <w:vAlign w:val="top"/>
          </w:tcPr>
          <w:p w14:paraId="1BA4AFA3">
            <w:pPr>
              <w:spacing w:line="268" w:lineRule="auto"/>
              <w:rPr>
                <w:rFonts w:ascii="Arial"/>
                <w:sz w:val="21"/>
              </w:rPr>
            </w:pPr>
          </w:p>
          <w:p w14:paraId="3B940249">
            <w:pPr>
              <w:spacing w:line="268" w:lineRule="auto"/>
              <w:rPr>
                <w:rFonts w:ascii="Arial"/>
                <w:sz w:val="21"/>
              </w:rPr>
            </w:pPr>
          </w:p>
          <w:p w14:paraId="061F5A18">
            <w:pPr>
              <w:spacing w:line="269" w:lineRule="auto"/>
              <w:rPr>
                <w:rFonts w:ascii="Arial"/>
                <w:sz w:val="21"/>
              </w:rPr>
            </w:pPr>
          </w:p>
          <w:p w14:paraId="5FDA3023">
            <w:pPr>
              <w:pStyle w:val="6"/>
              <w:spacing w:before="61" w:line="188" w:lineRule="auto"/>
              <w:ind w:left="262"/>
            </w:pPr>
            <w:r>
              <w:t>6</w:t>
            </w:r>
          </w:p>
        </w:tc>
        <w:tc>
          <w:tcPr>
            <w:tcW w:w="3497" w:type="dxa"/>
            <w:vAlign w:val="top"/>
          </w:tcPr>
          <w:p w14:paraId="60AA0B3D">
            <w:pPr>
              <w:spacing w:before="56" w:line="266" w:lineRule="auto"/>
              <w:ind w:left="8"/>
              <w:jc w:val="both"/>
              <w:rPr>
                <w:rFonts w:ascii="宋体" w:hAnsi="宋体" w:eastAsia="宋体" w:cs="宋体"/>
                <w:sz w:val="21"/>
                <w:szCs w:val="21"/>
              </w:rPr>
            </w:pPr>
            <w:r>
              <w:rPr>
                <w:rFonts w:ascii="宋体" w:hAnsi="宋体" w:eastAsia="宋体" w:cs="宋体"/>
                <w:spacing w:val="-8"/>
                <w:sz w:val="21"/>
                <w:szCs w:val="21"/>
              </w:rPr>
              <w:t>第二十一条：染疫畜禽以及染疫畜禽排</w:t>
            </w:r>
            <w:r>
              <w:rPr>
                <w:rFonts w:ascii="宋体" w:hAnsi="宋体" w:eastAsia="宋体" w:cs="宋体"/>
                <w:spacing w:val="-7"/>
                <w:sz w:val="21"/>
                <w:szCs w:val="21"/>
              </w:rPr>
              <w:t>泄物、染疫畜禽产品、病死或者死因不</w:t>
            </w:r>
            <w:r>
              <w:rPr>
                <w:rFonts w:ascii="宋体" w:hAnsi="宋体" w:eastAsia="宋体" w:cs="宋体"/>
                <w:spacing w:val="-6"/>
                <w:sz w:val="21"/>
                <w:szCs w:val="21"/>
              </w:rPr>
              <w:t>明的畜禽尸体等病害畜禽养殖废弃物，</w:t>
            </w:r>
            <w:r>
              <w:rPr>
                <w:rFonts w:ascii="宋体" w:hAnsi="宋体" w:eastAsia="宋体" w:cs="宋体"/>
                <w:spacing w:val="-8"/>
                <w:sz w:val="21"/>
                <w:szCs w:val="21"/>
              </w:rPr>
              <w:t>应当按照有关法律、法规和国务院农牧</w:t>
            </w:r>
            <w:r>
              <w:rPr>
                <w:rFonts w:ascii="宋体" w:hAnsi="宋体" w:eastAsia="宋体" w:cs="宋体"/>
                <w:spacing w:val="-7"/>
                <w:sz w:val="21"/>
                <w:szCs w:val="21"/>
              </w:rPr>
              <w:t>主管部门的规定，进行深埋、化制、焚</w:t>
            </w:r>
            <w:r>
              <w:rPr>
                <w:rFonts w:ascii="宋体" w:hAnsi="宋体" w:eastAsia="宋体" w:cs="宋体"/>
                <w:spacing w:val="-5"/>
                <w:sz w:val="21"/>
                <w:szCs w:val="21"/>
              </w:rPr>
              <w:t>烧等无害化处理，不得随意处置。</w:t>
            </w:r>
          </w:p>
        </w:tc>
        <w:tc>
          <w:tcPr>
            <w:tcW w:w="3382" w:type="dxa"/>
            <w:vAlign w:val="top"/>
          </w:tcPr>
          <w:p w14:paraId="758C206A">
            <w:pPr>
              <w:spacing w:line="303" w:lineRule="auto"/>
              <w:rPr>
                <w:rFonts w:ascii="Arial"/>
                <w:sz w:val="21"/>
              </w:rPr>
            </w:pPr>
          </w:p>
          <w:p w14:paraId="058E2246">
            <w:pPr>
              <w:spacing w:line="304" w:lineRule="auto"/>
              <w:rPr>
                <w:rFonts w:ascii="Arial"/>
                <w:sz w:val="21"/>
              </w:rPr>
            </w:pPr>
          </w:p>
          <w:p w14:paraId="698685D4">
            <w:pPr>
              <w:spacing w:before="68" w:line="276" w:lineRule="auto"/>
              <w:ind w:left="11" w:hanging="1"/>
              <w:rPr>
                <w:rFonts w:ascii="宋体" w:hAnsi="宋体" w:eastAsia="宋体" w:cs="宋体"/>
                <w:sz w:val="21"/>
                <w:szCs w:val="21"/>
              </w:rPr>
            </w:pPr>
            <w:r>
              <w:rPr>
                <w:rFonts w:ascii="宋体" w:hAnsi="宋体" w:eastAsia="宋体" w:cs="宋体"/>
                <w:sz w:val="21"/>
                <w:szCs w:val="21"/>
              </w:rPr>
              <w:t>病死猪交内江市环态动物无害化处置</w:t>
            </w:r>
            <w:r>
              <w:rPr>
                <w:rFonts w:ascii="宋体" w:hAnsi="宋体" w:eastAsia="宋体" w:cs="宋体"/>
                <w:spacing w:val="-3"/>
                <w:sz w:val="21"/>
                <w:szCs w:val="21"/>
              </w:rPr>
              <w:t>有限责任公司进行无害化处理。</w:t>
            </w:r>
          </w:p>
        </w:tc>
        <w:tc>
          <w:tcPr>
            <w:tcW w:w="824" w:type="dxa"/>
            <w:vAlign w:val="top"/>
          </w:tcPr>
          <w:p w14:paraId="45ADDF37">
            <w:pPr>
              <w:spacing w:line="253" w:lineRule="auto"/>
              <w:rPr>
                <w:rFonts w:ascii="Arial"/>
                <w:sz w:val="21"/>
              </w:rPr>
            </w:pPr>
          </w:p>
          <w:p w14:paraId="3BE31A42">
            <w:pPr>
              <w:spacing w:line="254" w:lineRule="auto"/>
              <w:rPr>
                <w:rFonts w:ascii="Arial"/>
                <w:sz w:val="21"/>
              </w:rPr>
            </w:pPr>
          </w:p>
          <w:p w14:paraId="433DC338">
            <w:pPr>
              <w:spacing w:line="254" w:lineRule="auto"/>
              <w:rPr>
                <w:rFonts w:ascii="Arial"/>
                <w:sz w:val="21"/>
              </w:rPr>
            </w:pPr>
          </w:p>
          <w:p w14:paraId="0D8DAEC0">
            <w:pPr>
              <w:spacing w:before="68" w:line="220" w:lineRule="auto"/>
              <w:ind w:left="209"/>
              <w:rPr>
                <w:rFonts w:ascii="宋体" w:hAnsi="宋体" w:eastAsia="宋体" w:cs="宋体"/>
                <w:sz w:val="21"/>
                <w:szCs w:val="21"/>
              </w:rPr>
            </w:pPr>
            <w:r>
              <w:rPr>
                <w:rFonts w:ascii="宋体" w:hAnsi="宋体" w:eastAsia="宋体" w:cs="宋体"/>
                <w:spacing w:val="-3"/>
                <w:sz w:val="21"/>
                <w:szCs w:val="21"/>
              </w:rPr>
              <w:t>符合</w:t>
            </w:r>
          </w:p>
        </w:tc>
      </w:tr>
    </w:tbl>
    <w:p w14:paraId="100B16A8">
      <w:pPr>
        <w:spacing w:before="115" w:line="362" w:lineRule="auto"/>
        <w:ind w:left="43" w:right="29" w:firstLine="478"/>
        <w:rPr>
          <w:rFonts w:ascii="宋体" w:hAnsi="宋体" w:eastAsia="宋体" w:cs="宋体"/>
          <w:sz w:val="24"/>
          <w:szCs w:val="24"/>
        </w:rPr>
      </w:pPr>
      <w:r>
        <w:rPr>
          <w:rFonts w:ascii="宋体" w:hAnsi="宋体" w:eastAsia="宋体" w:cs="宋体"/>
          <w:sz w:val="24"/>
          <w:szCs w:val="24"/>
        </w:rPr>
        <w:t>可知，本项目符合《畜禽规模养殖污染防治条例》（国务院令第</w:t>
      </w:r>
      <w:r>
        <w:rPr>
          <w:rFonts w:ascii="Times New Roman" w:hAnsi="Times New Roman" w:eastAsia="Times New Roman" w:cs="Times New Roman"/>
          <w:sz w:val="24"/>
          <w:szCs w:val="24"/>
        </w:rPr>
        <w:t>643</w:t>
      </w:r>
      <w:r>
        <w:rPr>
          <w:rFonts w:ascii="宋体" w:hAnsi="宋体" w:eastAsia="宋体" w:cs="宋体"/>
          <w:sz w:val="24"/>
          <w:szCs w:val="24"/>
        </w:rPr>
        <w:t>号）相</w:t>
      </w:r>
      <w:r>
        <w:rPr>
          <w:rFonts w:ascii="宋体" w:hAnsi="宋体" w:eastAsia="宋体" w:cs="宋体"/>
          <w:spacing w:val="-10"/>
          <w:sz w:val="24"/>
          <w:szCs w:val="24"/>
        </w:rPr>
        <w:t>关要求。</w:t>
      </w:r>
    </w:p>
    <w:p w14:paraId="407B609B">
      <w:pPr>
        <w:spacing w:before="50"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1.6.3.2</w:t>
      </w:r>
      <w:r>
        <w:rPr>
          <w:rFonts w:ascii="Times New Roman" w:hAnsi="Times New Roman" w:eastAsia="Times New Roman" w:cs="Times New Roman"/>
          <w:b/>
          <w:bCs/>
          <w:spacing w:val="21"/>
          <w:sz w:val="27"/>
          <w:szCs w:val="27"/>
        </w:rPr>
        <w:t xml:space="preserve"> </w:t>
      </w:r>
      <w:r>
        <w:rPr>
          <w:rFonts w:ascii="宋体" w:hAnsi="宋体" w:eastAsia="宋体" w:cs="宋体"/>
          <w:b/>
          <w:bCs/>
          <w:spacing w:val="6"/>
          <w:sz w:val="27"/>
          <w:szCs w:val="27"/>
        </w:rPr>
        <w:t>与《畜禽养殖污染防治管理办</w:t>
      </w:r>
      <w:r>
        <w:rPr>
          <w:rFonts w:ascii="宋体" w:hAnsi="宋体" w:eastAsia="宋体" w:cs="宋体"/>
          <w:b/>
          <w:bCs/>
          <w:spacing w:val="5"/>
          <w:sz w:val="27"/>
          <w:szCs w:val="27"/>
        </w:rPr>
        <w:t>法》的符合性分析</w:t>
      </w:r>
    </w:p>
    <w:p w14:paraId="336E6BF2">
      <w:pPr>
        <w:spacing w:before="235" w:line="219" w:lineRule="auto"/>
        <w:ind w:right="29"/>
        <w:jc w:val="right"/>
        <w:rPr>
          <w:rFonts w:ascii="宋体" w:hAnsi="宋体" w:eastAsia="宋体" w:cs="宋体"/>
          <w:sz w:val="24"/>
          <w:szCs w:val="24"/>
        </w:rPr>
      </w:pPr>
      <w:r>
        <w:rPr>
          <w:rFonts w:ascii="宋体" w:hAnsi="宋体" w:eastAsia="宋体" w:cs="宋体"/>
          <w:sz w:val="24"/>
          <w:szCs w:val="24"/>
        </w:rPr>
        <w:t>本项目与《畜禽养殖污染防治管理办法》（国家环境保护总局令第</w:t>
      </w:r>
      <w:r>
        <w:rPr>
          <w:rFonts w:ascii="Times New Roman" w:hAnsi="Times New Roman" w:eastAsia="Times New Roman" w:cs="Times New Roman"/>
          <w:sz w:val="24"/>
          <w:szCs w:val="24"/>
        </w:rPr>
        <w:t>9</w:t>
      </w:r>
      <w:r>
        <w:rPr>
          <w:rFonts w:ascii="宋体" w:hAnsi="宋体" w:eastAsia="宋体" w:cs="宋体"/>
          <w:sz w:val="24"/>
          <w:szCs w:val="24"/>
        </w:rPr>
        <w:t>号）相</w:t>
      </w:r>
    </w:p>
    <w:p w14:paraId="5896D6F9">
      <w:pPr>
        <w:spacing w:line="219" w:lineRule="auto"/>
        <w:rPr>
          <w:rFonts w:ascii="宋体" w:hAnsi="宋体" w:eastAsia="宋体" w:cs="宋体"/>
          <w:sz w:val="24"/>
          <w:szCs w:val="24"/>
        </w:rPr>
        <w:sectPr>
          <w:headerReference r:id="rId90" w:type="default"/>
          <w:footerReference r:id="rId91" w:type="default"/>
          <w:pgSz w:w="11905" w:h="16840"/>
          <w:pgMar w:top="1168" w:right="1768" w:bottom="1408" w:left="1770" w:header="828" w:footer="1244" w:gutter="0"/>
          <w:cols w:space="720" w:num="1"/>
        </w:sectPr>
      </w:pPr>
    </w:p>
    <w:p w14:paraId="1C5EA290">
      <w:pPr>
        <w:pStyle w:val="2"/>
        <w:spacing w:line="305" w:lineRule="auto"/>
      </w:pPr>
    </w:p>
    <w:p w14:paraId="4C631BC3">
      <w:pPr>
        <w:spacing w:before="78" w:line="220" w:lineRule="auto"/>
        <w:ind w:left="43"/>
        <w:rPr>
          <w:rFonts w:ascii="宋体" w:hAnsi="宋体" w:eastAsia="宋体" w:cs="宋体"/>
          <w:sz w:val="24"/>
          <w:szCs w:val="24"/>
        </w:rPr>
      </w:pPr>
      <w:r>
        <w:rPr>
          <w:rFonts w:ascii="宋体" w:hAnsi="宋体" w:eastAsia="宋体" w:cs="宋体"/>
          <w:spacing w:val="-4"/>
          <w:sz w:val="24"/>
          <w:szCs w:val="24"/>
        </w:rPr>
        <w:t>关要求的符合性见下表。</w:t>
      </w:r>
    </w:p>
    <w:p w14:paraId="553BC7B1">
      <w:pPr>
        <w:spacing w:before="196" w:line="221" w:lineRule="auto"/>
        <w:ind w:left="150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1.6-6  </w:t>
      </w:r>
      <w:r>
        <w:rPr>
          <w:rFonts w:ascii="黑体" w:hAnsi="黑体" w:eastAsia="黑体" w:cs="黑体"/>
          <w:spacing w:val="-1"/>
          <w:sz w:val="21"/>
          <w:szCs w:val="21"/>
        </w:rPr>
        <w:t>项目与《畜禽养殖污染防治管理办法》符合性分析</w:t>
      </w:r>
    </w:p>
    <w:p w14:paraId="4512D8F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18"/>
        <w:gridCol w:w="3361"/>
        <w:gridCol w:w="772"/>
      </w:tblGrid>
      <w:tr w14:paraId="7B7B9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524028C9">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718" w:type="dxa"/>
            <w:vAlign w:val="top"/>
          </w:tcPr>
          <w:p w14:paraId="7C2278CB">
            <w:pPr>
              <w:spacing w:before="68" w:line="220" w:lineRule="auto"/>
              <w:ind w:left="1445"/>
              <w:rPr>
                <w:rFonts w:ascii="宋体" w:hAnsi="宋体" w:eastAsia="宋体" w:cs="宋体"/>
                <w:sz w:val="21"/>
                <w:szCs w:val="21"/>
              </w:rPr>
            </w:pPr>
            <w:r>
              <w:rPr>
                <w:rFonts w:ascii="宋体" w:hAnsi="宋体" w:eastAsia="宋体" w:cs="宋体"/>
                <w:spacing w:val="-2"/>
                <w:sz w:val="21"/>
                <w:szCs w:val="21"/>
              </w:rPr>
              <w:t>条例内容</w:t>
            </w:r>
          </w:p>
        </w:tc>
        <w:tc>
          <w:tcPr>
            <w:tcW w:w="3361" w:type="dxa"/>
            <w:vAlign w:val="top"/>
          </w:tcPr>
          <w:p w14:paraId="5A2B47D5">
            <w:pPr>
              <w:spacing w:before="68" w:line="219" w:lineRule="auto"/>
              <w:ind w:left="1163"/>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16691EB9">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02F6F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469" w:type="dxa"/>
            <w:vAlign w:val="top"/>
          </w:tcPr>
          <w:p w14:paraId="71227610">
            <w:pPr>
              <w:spacing w:line="253" w:lineRule="auto"/>
              <w:rPr>
                <w:rFonts w:ascii="Arial"/>
                <w:sz w:val="21"/>
              </w:rPr>
            </w:pPr>
          </w:p>
          <w:p w14:paraId="0E337006">
            <w:pPr>
              <w:spacing w:line="253" w:lineRule="auto"/>
              <w:rPr>
                <w:rFonts w:ascii="Arial"/>
                <w:sz w:val="21"/>
              </w:rPr>
            </w:pPr>
          </w:p>
          <w:p w14:paraId="0E8C3D2C">
            <w:pPr>
              <w:spacing w:line="253" w:lineRule="auto"/>
              <w:rPr>
                <w:rFonts w:ascii="Arial"/>
                <w:sz w:val="21"/>
              </w:rPr>
            </w:pPr>
          </w:p>
          <w:p w14:paraId="1C87378A">
            <w:pPr>
              <w:spacing w:line="253" w:lineRule="auto"/>
              <w:rPr>
                <w:rFonts w:ascii="Arial"/>
                <w:sz w:val="21"/>
              </w:rPr>
            </w:pPr>
          </w:p>
          <w:p w14:paraId="10E4C959">
            <w:pPr>
              <w:spacing w:line="254" w:lineRule="auto"/>
              <w:rPr>
                <w:rFonts w:ascii="Arial"/>
                <w:sz w:val="21"/>
              </w:rPr>
            </w:pPr>
          </w:p>
          <w:p w14:paraId="0E9401B1">
            <w:pPr>
              <w:pStyle w:val="6"/>
              <w:spacing w:before="60" w:line="188" w:lineRule="auto"/>
              <w:ind w:left="203"/>
            </w:pPr>
            <w:r>
              <w:t>1</w:t>
            </w:r>
          </w:p>
        </w:tc>
        <w:tc>
          <w:tcPr>
            <w:tcW w:w="3718" w:type="dxa"/>
            <w:vAlign w:val="top"/>
          </w:tcPr>
          <w:p w14:paraId="376A7A67">
            <w:pPr>
              <w:spacing w:before="50" w:line="274" w:lineRule="auto"/>
              <w:ind w:left="7" w:right="2"/>
              <w:rPr>
                <w:rFonts w:ascii="宋体" w:hAnsi="宋体" w:eastAsia="宋体" w:cs="宋体"/>
                <w:sz w:val="21"/>
                <w:szCs w:val="21"/>
              </w:rPr>
            </w:pPr>
            <w:r>
              <w:rPr>
                <w:rFonts w:ascii="宋体" w:hAnsi="宋体" w:eastAsia="宋体" w:cs="宋体"/>
                <w:spacing w:val="-5"/>
                <w:sz w:val="21"/>
                <w:szCs w:val="21"/>
              </w:rPr>
              <w:t>第七条、禁止在下列区域内建设畜禽养殖</w:t>
            </w:r>
            <w:r>
              <w:rPr>
                <w:rFonts w:ascii="宋体" w:hAnsi="宋体" w:eastAsia="宋体" w:cs="宋体"/>
                <w:spacing w:val="-14"/>
                <w:sz w:val="21"/>
                <w:szCs w:val="21"/>
              </w:rPr>
              <w:t>场：</w:t>
            </w:r>
          </w:p>
          <w:p w14:paraId="29E0DCB7">
            <w:pPr>
              <w:spacing w:line="274" w:lineRule="auto"/>
              <w:ind w:left="8" w:right="2" w:hanging="1"/>
              <w:rPr>
                <w:rFonts w:ascii="宋体" w:hAnsi="宋体" w:eastAsia="宋体" w:cs="宋体"/>
                <w:sz w:val="21"/>
                <w:szCs w:val="21"/>
              </w:rPr>
            </w:pPr>
            <w:r>
              <w:rPr>
                <w:rFonts w:ascii="宋体" w:hAnsi="宋体" w:eastAsia="宋体" w:cs="宋体"/>
                <w:spacing w:val="-5"/>
                <w:sz w:val="21"/>
                <w:szCs w:val="21"/>
              </w:rPr>
              <w:t>①饮用水水源保护区、风景名胜区、自然</w:t>
            </w:r>
            <w:r>
              <w:rPr>
                <w:rFonts w:ascii="宋体" w:hAnsi="宋体" w:eastAsia="宋体" w:cs="宋体"/>
                <w:spacing w:val="-4"/>
                <w:sz w:val="21"/>
                <w:szCs w:val="21"/>
              </w:rPr>
              <w:t>保护区的核心区及缓冲区。</w:t>
            </w:r>
          </w:p>
          <w:p w14:paraId="532F7AAF">
            <w:pPr>
              <w:spacing w:line="274" w:lineRule="auto"/>
              <w:ind w:left="23" w:right="2" w:hanging="17"/>
              <w:rPr>
                <w:rFonts w:ascii="宋体" w:hAnsi="宋体" w:eastAsia="宋体" w:cs="宋体"/>
                <w:sz w:val="21"/>
                <w:szCs w:val="21"/>
              </w:rPr>
            </w:pPr>
            <w:r>
              <w:rPr>
                <w:rFonts w:ascii="宋体" w:hAnsi="宋体" w:eastAsia="宋体" w:cs="宋体"/>
                <w:spacing w:val="-5"/>
                <w:sz w:val="21"/>
                <w:szCs w:val="21"/>
              </w:rPr>
              <w:t>②城市和城镇居民区、文教科研区、医疗</w:t>
            </w:r>
            <w:r>
              <w:rPr>
                <w:rFonts w:ascii="宋体" w:hAnsi="宋体" w:eastAsia="宋体" w:cs="宋体"/>
                <w:spacing w:val="-6"/>
                <w:sz w:val="21"/>
                <w:szCs w:val="21"/>
              </w:rPr>
              <w:t>区等人口集中地区。</w:t>
            </w:r>
          </w:p>
          <w:p w14:paraId="6E004266">
            <w:pPr>
              <w:spacing w:line="217" w:lineRule="auto"/>
              <w:ind w:left="6"/>
              <w:rPr>
                <w:rFonts w:ascii="宋体" w:hAnsi="宋体" w:eastAsia="宋体" w:cs="宋体"/>
                <w:sz w:val="21"/>
                <w:szCs w:val="21"/>
              </w:rPr>
            </w:pPr>
            <w:r>
              <w:rPr>
                <w:rFonts w:ascii="宋体" w:hAnsi="宋体" w:eastAsia="宋体" w:cs="宋体"/>
                <w:spacing w:val="-3"/>
                <w:sz w:val="21"/>
                <w:szCs w:val="21"/>
              </w:rPr>
              <w:t>③县级人民政府依法划定的禁养区域。</w:t>
            </w:r>
          </w:p>
          <w:p w14:paraId="71C98DBE">
            <w:pPr>
              <w:spacing w:before="65" w:line="249" w:lineRule="auto"/>
              <w:ind w:left="24" w:right="2" w:hanging="18"/>
              <w:rPr>
                <w:rFonts w:ascii="宋体" w:hAnsi="宋体" w:eastAsia="宋体" w:cs="宋体"/>
                <w:sz w:val="21"/>
                <w:szCs w:val="21"/>
              </w:rPr>
            </w:pPr>
            <w:r>
              <w:rPr>
                <w:rFonts w:ascii="宋体" w:hAnsi="宋体" w:eastAsia="宋体" w:cs="宋体"/>
                <w:spacing w:val="-5"/>
                <w:sz w:val="21"/>
                <w:szCs w:val="21"/>
              </w:rPr>
              <w:t>④国家或地方法律、法规规定需特殊保护</w:t>
            </w:r>
            <w:r>
              <w:rPr>
                <w:rFonts w:ascii="宋体" w:hAnsi="宋体" w:eastAsia="宋体" w:cs="宋体"/>
                <w:spacing w:val="-8"/>
                <w:sz w:val="21"/>
                <w:szCs w:val="21"/>
              </w:rPr>
              <w:t>的其他区域。</w:t>
            </w:r>
          </w:p>
        </w:tc>
        <w:tc>
          <w:tcPr>
            <w:tcW w:w="3361" w:type="dxa"/>
            <w:vAlign w:val="top"/>
          </w:tcPr>
          <w:p w14:paraId="49460A33">
            <w:pPr>
              <w:spacing w:line="290" w:lineRule="auto"/>
              <w:rPr>
                <w:rFonts w:ascii="Arial"/>
                <w:sz w:val="21"/>
              </w:rPr>
            </w:pPr>
          </w:p>
          <w:p w14:paraId="2F8505DE">
            <w:pPr>
              <w:pStyle w:val="6"/>
              <w:spacing w:before="69" w:line="275" w:lineRule="auto"/>
              <w:ind w:left="11"/>
              <w:rPr>
                <w:rFonts w:ascii="宋体" w:hAnsi="宋体" w:eastAsia="宋体" w:cs="宋体"/>
              </w:rPr>
            </w:pPr>
            <w:r>
              <w:rPr>
                <w:rFonts w:ascii="宋体" w:hAnsi="宋体" w:eastAsia="宋体" w:cs="宋体"/>
                <w:spacing w:val="12"/>
              </w:rPr>
              <w:t>本项目选址位于内江市东兴区白合</w:t>
            </w:r>
            <w:r>
              <w:rPr>
                <w:rFonts w:ascii="宋体" w:hAnsi="宋体" w:eastAsia="宋体" w:cs="宋体"/>
                <w:spacing w:val="-3"/>
              </w:rPr>
              <w:t>镇喻家沟村</w:t>
            </w:r>
            <w:r>
              <w:rPr>
                <w:rFonts w:ascii="宋体" w:hAnsi="宋体" w:eastAsia="宋体" w:cs="宋体"/>
                <w:spacing w:val="-38"/>
              </w:rPr>
              <w:t xml:space="preserve"> </w:t>
            </w:r>
            <w:r>
              <w:rPr>
                <w:spacing w:val="-3"/>
              </w:rPr>
              <w:t>9</w:t>
            </w:r>
            <w:r>
              <w:rPr>
                <w:spacing w:val="-30"/>
              </w:rPr>
              <w:t xml:space="preserve"> </w:t>
            </w:r>
            <w:r>
              <w:rPr>
                <w:rFonts w:ascii="宋体" w:hAnsi="宋体" w:eastAsia="宋体" w:cs="宋体"/>
                <w:spacing w:val="-3"/>
              </w:rPr>
              <w:t>、</w:t>
            </w:r>
            <w:r>
              <w:rPr>
                <w:spacing w:val="-3"/>
              </w:rPr>
              <w:t xml:space="preserve">12 </w:t>
            </w:r>
            <w:r>
              <w:rPr>
                <w:rFonts w:ascii="宋体" w:hAnsi="宋体" w:eastAsia="宋体" w:cs="宋体"/>
                <w:spacing w:val="-3"/>
              </w:rPr>
              <w:t>组，选址不属于饮</w:t>
            </w:r>
            <w:r>
              <w:rPr>
                <w:rFonts w:ascii="宋体" w:hAnsi="宋体" w:eastAsia="宋体" w:cs="宋体"/>
                <w:spacing w:val="-12"/>
              </w:rPr>
              <w:t>用水水源保护区、风景名胜区；</w:t>
            </w:r>
            <w:r>
              <w:rPr>
                <w:rFonts w:ascii="宋体" w:hAnsi="宋体" w:eastAsia="宋体" w:cs="宋体"/>
                <w:spacing w:val="70"/>
              </w:rPr>
              <w:t xml:space="preserve"> </w:t>
            </w:r>
            <w:r>
              <w:rPr>
                <w:rFonts w:ascii="宋体" w:hAnsi="宋体" w:eastAsia="宋体" w:cs="宋体"/>
                <w:spacing w:val="-12"/>
              </w:rPr>
              <w:t>不属于自然保护区的核心区、缓冲区；</w:t>
            </w:r>
            <w:r>
              <w:rPr>
                <w:rFonts w:ascii="宋体" w:hAnsi="宋体" w:eastAsia="宋体" w:cs="宋体"/>
                <w:spacing w:val="70"/>
              </w:rPr>
              <w:t xml:space="preserve"> </w:t>
            </w:r>
            <w:r>
              <w:rPr>
                <w:rFonts w:ascii="宋体" w:hAnsi="宋体" w:eastAsia="宋体" w:cs="宋体"/>
                <w:spacing w:val="-12"/>
              </w:rPr>
              <w:t>不</w:t>
            </w:r>
            <w:r>
              <w:rPr>
                <w:rFonts w:ascii="宋体" w:hAnsi="宋体" w:eastAsia="宋体" w:cs="宋体"/>
                <w:spacing w:val="-1"/>
              </w:rPr>
              <w:t>属于人口集中区域；亦不属于法律、</w:t>
            </w:r>
            <w:r>
              <w:rPr>
                <w:rFonts w:ascii="宋体" w:hAnsi="宋体" w:eastAsia="宋体" w:cs="宋体"/>
                <w:spacing w:val="12"/>
              </w:rPr>
              <w:t>法规规定的其他禁止养殖区域及需</w:t>
            </w:r>
            <w:r>
              <w:rPr>
                <w:rFonts w:ascii="宋体" w:hAnsi="宋体" w:eastAsia="宋体" w:cs="宋体"/>
                <w:spacing w:val="-4"/>
              </w:rPr>
              <w:t>要特殊保护的区域。</w:t>
            </w:r>
          </w:p>
        </w:tc>
        <w:tc>
          <w:tcPr>
            <w:tcW w:w="772" w:type="dxa"/>
            <w:vAlign w:val="top"/>
          </w:tcPr>
          <w:p w14:paraId="717ECA09">
            <w:pPr>
              <w:spacing w:line="244" w:lineRule="auto"/>
              <w:rPr>
                <w:rFonts w:ascii="Arial"/>
                <w:sz w:val="21"/>
              </w:rPr>
            </w:pPr>
          </w:p>
          <w:p w14:paraId="690AADB6">
            <w:pPr>
              <w:spacing w:line="244" w:lineRule="auto"/>
              <w:rPr>
                <w:rFonts w:ascii="Arial"/>
                <w:sz w:val="21"/>
              </w:rPr>
            </w:pPr>
          </w:p>
          <w:p w14:paraId="3A465764">
            <w:pPr>
              <w:spacing w:line="244" w:lineRule="auto"/>
              <w:rPr>
                <w:rFonts w:ascii="Arial"/>
                <w:sz w:val="21"/>
              </w:rPr>
            </w:pPr>
          </w:p>
          <w:p w14:paraId="5F4A6822">
            <w:pPr>
              <w:spacing w:line="244" w:lineRule="auto"/>
              <w:rPr>
                <w:rFonts w:ascii="Arial"/>
                <w:sz w:val="21"/>
              </w:rPr>
            </w:pPr>
          </w:p>
          <w:p w14:paraId="566DC5DF">
            <w:pPr>
              <w:spacing w:line="245" w:lineRule="auto"/>
              <w:rPr>
                <w:rFonts w:ascii="Arial"/>
                <w:sz w:val="21"/>
              </w:rPr>
            </w:pPr>
          </w:p>
          <w:p w14:paraId="20F7C70D">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4C7FD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469" w:type="dxa"/>
            <w:vAlign w:val="top"/>
          </w:tcPr>
          <w:p w14:paraId="7157A29C">
            <w:pPr>
              <w:spacing w:line="319" w:lineRule="auto"/>
              <w:rPr>
                <w:rFonts w:ascii="Arial"/>
                <w:sz w:val="21"/>
              </w:rPr>
            </w:pPr>
          </w:p>
          <w:p w14:paraId="5A5EBE57">
            <w:pPr>
              <w:spacing w:line="319" w:lineRule="auto"/>
              <w:rPr>
                <w:rFonts w:ascii="Arial"/>
                <w:sz w:val="21"/>
              </w:rPr>
            </w:pPr>
          </w:p>
          <w:p w14:paraId="4A346759">
            <w:pPr>
              <w:spacing w:line="319" w:lineRule="auto"/>
              <w:rPr>
                <w:rFonts w:ascii="Arial"/>
                <w:sz w:val="21"/>
              </w:rPr>
            </w:pPr>
          </w:p>
          <w:p w14:paraId="6682DF19">
            <w:pPr>
              <w:pStyle w:val="6"/>
              <w:spacing w:before="61" w:line="188" w:lineRule="auto"/>
              <w:ind w:left="183"/>
            </w:pPr>
            <w:r>
              <w:t>2</w:t>
            </w:r>
          </w:p>
        </w:tc>
        <w:tc>
          <w:tcPr>
            <w:tcW w:w="3718" w:type="dxa"/>
            <w:vAlign w:val="top"/>
          </w:tcPr>
          <w:p w14:paraId="4C83E98F">
            <w:pPr>
              <w:spacing w:before="51" w:line="267" w:lineRule="auto"/>
              <w:ind w:left="6" w:right="1" w:firstLine="1"/>
              <w:jc w:val="both"/>
              <w:rPr>
                <w:rFonts w:ascii="宋体" w:hAnsi="宋体" w:eastAsia="宋体" w:cs="宋体"/>
                <w:sz w:val="21"/>
                <w:szCs w:val="21"/>
              </w:rPr>
            </w:pPr>
            <w:r>
              <w:rPr>
                <w:rFonts w:ascii="宋体" w:hAnsi="宋体" w:eastAsia="宋体" w:cs="宋体"/>
                <w:spacing w:val="-5"/>
                <w:sz w:val="21"/>
                <w:szCs w:val="21"/>
              </w:rPr>
              <w:t>第十三条、畜禽养殖场必须设置畜禽废渣的储存设施和场所，采取对储存场所地面</w:t>
            </w:r>
            <w:r>
              <w:rPr>
                <w:rFonts w:ascii="宋体" w:hAnsi="宋体" w:eastAsia="宋体" w:cs="宋体"/>
                <w:spacing w:val="7"/>
                <w:sz w:val="21"/>
                <w:szCs w:val="21"/>
              </w:rPr>
              <w:t>进行水泥硬化等措施，防止畜禽废渣渗</w:t>
            </w:r>
            <w:r>
              <w:rPr>
                <w:rFonts w:ascii="宋体" w:hAnsi="宋体" w:eastAsia="宋体" w:cs="宋体"/>
                <w:spacing w:val="-5"/>
                <w:sz w:val="21"/>
                <w:szCs w:val="21"/>
              </w:rPr>
              <w:t>漏、散落、溢流、雨水淋失、恶臭气味对周围环境造成污染和危害。畜禽养殖场应当保持环境整洁，采取清污流和粪尿干湿</w:t>
            </w:r>
            <w:r>
              <w:rPr>
                <w:rFonts w:ascii="宋体" w:hAnsi="宋体" w:eastAsia="宋体" w:cs="宋体"/>
                <w:spacing w:val="-3"/>
                <w:sz w:val="21"/>
                <w:szCs w:val="21"/>
              </w:rPr>
              <w:t>分离等措施，实现清洁养殖。</w:t>
            </w:r>
          </w:p>
        </w:tc>
        <w:tc>
          <w:tcPr>
            <w:tcW w:w="3361" w:type="dxa"/>
            <w:vAlign w:val="top"/>
          </w:tcPr>
          <w:p w14:paraId="69793A04">
            <w:pPr>
              <w:spacing w:line="302" w:lineRule="auto"/>
              <w:rPr>
                <w:rFonts w:ascii="Arial"/>
                <w:sz w:val="21"/>
              </w:rPr>
            </w:pPr>
          </w:p>
          <w:p w14:paraId="3F800FC6">
            <w:pPr>
              <w:spacing w:line="303" w:lineRule="auto"/>
              <w:rPr>
                <w:rFonts w:ascii="Arial"/>
                <w:sz w:val="21"/>
              </w:rPr>
            </w:pPr>
          </w:p>
          <w:p w14:paraId="7DED4571">
            <w:pPr>
              <w:spacing w:before="68" w:line="275" w:lineRule="auto"/>
              <w:ind w:left="10" w:firstLine="1"/>
              <w:jc w:val="both"/>
              <w:rPr>
                <w:rFonts w:ascii="宋体" w:hAnsi="宋体" w:eastAsia="宋体" w:cs="宋体"/>
                <w:sz w:val="21"/>
                <w:szCs w:val="21"/>
              </w:rPr>
            </w:pPr>
            <w:r>
              <w:rPr>
                <w:rFonts w:ascii="宋体" w:hAnsi="宋体" w:eastAsia="宋体" w:cs="宋体"/>
                <w:spacing w:val="9"/>
                <w:sz w:val="21"/>
                <w:szCs w:val="21"/>
              </w:rPr>
              <w:t>本项目粪渣经固液分离后于堆粪棚</w:t>
            </w:r>
            <w:r>
              <w:rPr>
                <w:rFonts w:ascii="宋体" w:hAnsi="宋体" w:eastAsia="宋体" w:cs="宋体"/>
                <w:spacing w:val="-14"/>
                <w:sz w:val="21"/>
                <w:szCs w:val="21"/>
              </w:rPr>
              <w:t>暂存，交有机肥厂生产有机肥；同时，</w:t>
            </w:r>
            <w:r>
              <w:rPr>
                <w:rFonts w:ascii="宋体" w:hAnsi="宋体" w:eastAsia="宋体" w:cs="宋体"/>
                <w:spacing w:val="-5"/>
                <w:sz w:val="21"/>
                <w:szCs w:val="21"/>
              </w:rPr>
              <w:t>养殖场采取雨污分流、干湿分离等措</w:t>
            </w:r>
            <w:r>
              <w:rPr>
                <w:rFonts w:ascii="宋体" w:hAnsi="宋体" w:eastAsia="宋体" w:cs="宋体"/>
                <w:spacing w:val="-7"/>
                <w:sz w:val="21"/>
                <w:szCs w:val="21"/>
              </w:rPr>
              <w:t>施，实现清洁养殖。</w:t>
            </w:r>
          </w:p>
        </w:tc>
        <w:tc>
          <w:tcPr>
            <w:tcW w:w="772" w:type="dxa"/>
            <w:vAlign w:val="top"/>
          </w:tcPr>
          <w:p w14:paraId="66992262">
            <w:pPr>
              <w:spacing w:line="304" w:lineRule="auto"/>
              <w:rPr>
                <w:rFonts w:ascii="Arial"/>
                <w:sz w:val="21"/>
              </w:rPr>
            </w:pPr>
          </w:p>
          <w:p w14:paraId="0D179A4D">
            <w:pPr>
              <w:spacing w:line="304" w:lineRule="auto"/>
              <w:rPr>
                <w:rFonts w:ascii="Arial"/>
                <w:sz w:val="21"/>
              </w:rPr>
            </w:pPr>
          </w:p>
          <w:p w14:paraId="4A236EB0">
            <w:pPr>
              <w:spacing w:line="305" w:lineRule="auto"/>
              <w:rPr>
                <w:rFonts w:ascii="Arial"/>
                <w:sz w:val="21"/>
              </w:rPr>
            </w:pPr>
          </w:p>
          <w:p w14:paraId="212B7C59">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01FC3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469" w:type="dxa"/>
            <w:vAlign w:val="top"/>
          </w:tcPr>
          <w:p w14:paraId="618E362A">
            <w:pPr>
              <w:spacing w:line="325" w:lineRule="auto"/>
              <w:rPr>
                <w:rFonts w:ascii="Arial"/>
                <w:sz w:val="21"/>
              </w:rPr>
            </w:pPr>
          </w:p>
          <w:p w14:paraId="6F05679E">
            <w:pPr>
              <w:spacing w:line="325" w:lineRule="auto"/>
              <w:rPr>
                <w:rFonts w:ascii="Arial"/>
                <w:sz w:val="21"/>
              </w:rPr>
            </w:pPr>
          </w:p>
          <w:p w14:paraId="5698A7FB">
            <w:pPr>
              <w:pStyle w:val="6"/>
              <w:spacing w:before="60" w:line="188" w:lineRule="auto"/>
              <w:ind w:left="187"/>
            </w:pPr>
            <w:r>
              <w:t>3</w:t>
            </w:r>
          </w:p>
        </w:tc>
        <w:tc>
          <w:tcPr>
            <w:tcW w:w="3718" w:type="dxa"/>
            <w:vAlign w:val="top"/>
          </w:tcPr>
          <w:p w14:paraId="3821BB73">
            <w:pPr>
              <w:spacing w:before="53" w:line="264" w:lineRule="auto"/>
              <w:ind w:left="7" w:right="1"/>
              <w:jc w:val="both"/>
              <w:rPr>
                <w:rFonts w:ascii="宋体" w:hAnsi="宋体" w:eastAsia="宋体" w:cs="宋体"/>
                <w:sz w:val="21"/>
                <w:szCs w:val="21"/>
              </w:rPr>
            </w:pPr>
            <w:r>
              <w:rPr>
                <w:rFonts w:ascii="宋体" w:hAnsi="宋体" w:eastAsia="宋体" w:cs="宋体"/>
                <w:spacing w:val="-5"/>
                <w:sz w:val="21"/>
                <w:szCs w:val="21"/>
              </w:rPr>
              <w:t>第十四条、畜禽养殖场应采取将畜禽废渣还田、生产沼气、制造有机肥料、制造再生饲料等方法进行综合利用；用于直接还田利用的畜禽粪便，应当经处理达到规定</w:t>
            </w:r>
            <w:r>
              <w:rPr>
                <w:rFonts w:ascii="宋体" w:hAnsi="宋体" w:eastAsia="宋体" w:cs="宋体"/>
                <w:spacing w:val="-3"/>
                <w:sz w:val="21"/>
                <w:szCs w:val="21"/>
              </w:rPr>
              <w:t>的无害化标准，防治病菌传播。</w:t>
            </w:r>
          </w:p>
        </w:tc>
        <w:tc>
          <w:tcPr>
            <w:tcW w:w="3361" w:type="dxa"/>
            <w:vAlign w:val="top"/>
          </w:tcPr>
          <w:p w14:paraId="69F933A1">
            <w:pPr>
              <w:spacing w:before="211" w:line="275" w:lineRule="auto"/>
              <w:ind w:left="16" w:hanging="4"/>
              <w:jc w:val="both"/>
              <w:rPr>
                <w:rFonts w:ascii="宋体" w:hAnsi="宋体" w:eastAsia="宋体" w:cs="宋体"/>
                <w:sz w:val="21"/>
                <w:szCs w:val="21"/>
              </w:rPr>
            </w:pPr>
            <w:r>
              <w:rPr>
                <w:rFonts w:ascii="宋体" w:hAnsi="宋体" w:eastAsia="宋体" w:cs="宋体"/>
                <w:spacing w:val="12"/>
                <w:sz w:val="21"/>
                <w:szCs w:val="21"/>
              </w:rPr>
              <w:t>本项目废水经污水处理站处理达标</w:t>
            </w:r>
            <w:r>
              <w:rPr>
                <w:rFonts w:ascii="宋体" w:hAnsi="宋体" w:eastAsia="宋体" w:cs="宋体"/>
                <w:spacing w:val="-2"/>
                <w:sz w:val="21"/>
                <w:szCs w:val="21"/>
              </w:rPr>
              <w:t>并消毒；粪便经固液分离后于堆粪棚暂存，交有机肥厂生产有机肥，可达</w:t>
            </w:r>
            <w:r>
              <w:rPr>
                <w:rFonts w:ascii="宋体" w:hAnsi="宋体" w:eastAsia="宋体" w:cs="宋体"/>
                <w:spacing w:val="-3"/>
                <w:sz w:val="21"/>
                <w:szCs w:val="21"/>
              </w:rPr>
              <w:t>到无害化标准，防治病菌传播。</w:t>
            </w:r>
          </w:p>
        </w:tc>
        <w:tc>
          <w:tcPr>
            <w:tcW w:w="772" w:type="dxa"/>
            <w:vAlign w:val="top"/>
          </w:tcPr>
          <w:p w14:paraId="4E9BB141">
            <w:pPr>
              <w:spacing w:line="302" w:lineRule="auto"/>
              <w:rPr>
                <w:rFonts w:ascii="Arial"/>
                <w:sz w:val="21"/>
              </w:rPr>
            </w:pPr>
          </w:p>
          <w:p w14:paraId="604EFD68">
            <w:pPr>
              <w:spacing w:line="303" w:lineRule="auto"/>
              <w:rPr>
                <w:rFonts w:ascii="Arial"/>
                <w:sz w:val="21"/>
              </w:rPr>
            </w:pPr>
          </w:p>
          <w:p w14:paraId="05D0F94C">
            <w:pPr>
              <w:spacing w:before="69"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572A7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9" w:type="dxa"/>
            <w:vAlign w:val="top"/>
          </w:tcPr>
          <w:p w14:paraId="3A5D9AC3">
            <w:pPr>
              <w:spacing w:line="247" w:lineRule="auto"/>
              <w:rPr>
                <w:rFonts w:ascii="Arial"/>
                <w:sz w:val="21"/>
              </w:rPr>
            </w:pPr>
          </w:p>
          <w:p w14:paraId="7358AF87">
            <w:pPr>
              <w:spacing w:line="248" w:lineRule="auto"/>
              <w:rPr>
                <w:rFonts w:ascii="Arial"/>
                <w:sz w:val="21"/>
              </w:rPr>
            </w:pPr>
          </w:p>
          <w:p w14:paraId="6EEA47E5">
            <w:pPr>
              <w:pStyle w:val="6"/>
              <w:spacing w:before="60" w:line="188" w:lineRule="auto"/>
              <w:ind w:left="181"/>
            </w:pPr>
            <w:r>
              <w:t>4</w:t>
            </w:r>
          </w:p>
        </w:tc>
        <w:tc>
          <w:tcPr>
            <w:tcW w:w="3718" w:type="dxa"/>
            <w:vAlign w:val="top"/>
          </w:tcPr>
          <w:p w14:paraId="5BC8F65B">
            <w:pPr>
              <w:spacing w:line="450" w:lineRule="auto"/>
              <w:rPr>
                <w:rFonts w:ascii="Arial"/>
                <w:sz w:val="21"/>
              </w:rPr>
            </w:pPr>
          </w:p>
          <w:p w14:paraId="166EC9E5">
            <w:pPr>
              <w:spacing w:before="68" w:line="220" w:lineRule="auto"/>
              <w:ind w:left="8"/>
              <w:rPr>
                <w:rFonts w:ascii="宋体" w:hAnsi="宋体" w:eastAsia="宋体" w:cs="宋体"/>
                <w:sz w:val="21"/>
                <w:szCs w:val="21"/>
              </w:rPr>
            </w:pPr>
            <w:r>
              <w:rPr>
                <w:rFonts w:ascii="宋体" w:hAnsi="宋体" w:eastAsia="宋体" w:cs="宋体"/>
                <w:spacing w:val="-3"/>
                <w:sz w:val="21"/>
                <w:szCs w:val="21"/>
              </w:rPr>
              <w:t>第十五条、禁止向水体倒畜禽废渣。</w:t>
            </w:r>
          </w:p>
        </w:tc>
        <w:tc>
          <w:tcPr>
            <w:tcW w:w="3361" w:type="dxa"/>
            <w:vAlign w:val="top"/>
          </w:tcPr>
          <w:p w14:paraId="11B2EEDB">
            <w:pPr>
              <w:spacing w:before="54" w:line="261" w:lineRule="auto"/>
              <w:ind w:left="10" w:firstLine="1"/>
              <w:jc w:val="both"/>
              <w:rPr>
                <w:rFonts w:ascii="宋体" w:hAnsi="宋体" w:eastAsia="宋体" w:cs="宋体"/>
                <w:sz w:val="21"/>
                <w:szCs w:val="21"/>
              </w:rPr>
            </w:pPr>
            <w:r>
              <w:rPr>
                <w:rFonts w:ascii="宋体" w:hAnsi="宋体" w:eastAsia="宋体" w:cs="宋体"/>
                <w:spacing w:val="-11"/>
                <w:sz w:val="21"/>
                <w:szCs w:val="21"/>
              </w:rPr>
              <w:t>本项目废渣主要为粪便、沼渣等，</w:t>
            </w:r>
            <w:r>
              <w:rPr>
                <w:rFonts w:ascii="宋体" w:hAnsi="宋体" w:eastAsia="宋体" w:cs="宋体"/>
                <w:spacing w:val="53"/>
                <w:sz w:val="21"/>
                <w:szCs w:val="21"/>
              </w:rPr>
              <w:t xml:space="preserve"> </w:t>
            </w:r>
            <w:r>
              <w:rPr>
                <w:rFonts w:ascii="宋体" w:hAnsi="宋体" w:eastAsia="宋体" w:cs="宋体"/>
                <w:spacing w:val="-11"/>
                <w:sz w:val="21"/>
                <w:szCs w:val="21"/>
              </w:rPr>
              <w:t>废</w:t>
            </w:r>
            <w:r>
              <w:rPr>
                <w:rFonts w:ascii="宋体" w:hAnsi="宋体" w:eastAsia="宋体" w:cs="宋体"/>
                <w:spacing w:val="-1"/>
                <w:sz w:val="21"/>
                <w:szCs w:val="21"/>
              </w:rPr>
              <w:t>渣经固液分离后于堆粪棚暂存，交有机肥厂生产有机肥，禁止向水体倒畜</w:t>
            </w:r>
            <w:r>
              <w:rPr>
                <w:rFonts w:ascii="宋体" w:hAnsi="宋体" w:eastAsia="宋体" w:cs="宋体"/>
                <w:spacing w:val="-8"/>
                <w:sz w:val="21"/>
                <w:szCs w:val="21"/>
              </w:rPr>
              <w:t>禽废渣。</w:t>
            </w:r>
          </w:p>
        </w:tc>
        <w:tc>
          <w:tcPr>
            <w:tcW w:w="772" w:type="dxa"/>
            <w:vAlign w:val="top"/>
          </w:tcPr>
          <w:p w14:paraId="355FF5F4">
            <w:pPr>
              <w:spacing w:line="450" w:lineRule="auto"/>
              <w:rPr>
                <w:rFonts w:ascii="Arial"/>
                <w:sz w:val="21"/>
              </w:rPr>
            </w:pPr>
          </w:p>
          <w:p w14:paraId="2D0FBD1B">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6CC23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469" w:type="dxa"/>
            <w:vAlign w:val="top"/>
          </w:tcPr>
          <w:p w14:paraId="11E8C377">
            <w:pPr>
              <w:spacing w:line="343" w:lineRule="auto"/>
              <w:rPr>
                <w:rFonts w:ascii="Arial"/>
                <w:sz w:val="21"/>
              </w:rPr>
            </w:pPr>
          </w:p>
          <w:p w14:paraId="79534A9B">
            <w:pPr>
              <w:pStyle w:val="6"/>
              <w:spacing w:before="61" w:line="185" w:lineRule="auto"/>
              <w:ind w:left="188"/>
            </w:pPr>
            <w:r>
              <w:t>5</w:t>
            </w:r>
          </w:p>
        </w:tc>
        <w:tc>
          <w:tcPr>
            <w:tcW w:w="3718" w:type="dxa"/>
            <w:vAlign w:val="top"/>
          </w:tcPr>
          <w:p w14:paraId="0FD7EA53">
            <w:pPr>
              <w:spacing w:before="55" w:line="258" w:lineRule="auto"/>
              <w:ind w:left="8" w:right="2"/>
              <w:jc w:val="both"/>
              <w:rPr>
                <w:rFonts w:ascii="宋体" w:hAnsi="宋体" w:eastAsia="宋体" w:cs="宋体"/>
                <w:sz w:val="21"/>
                <w:szCs w:val="21"/>
              </w:rPr>
            </w:pPr>
            <w:r>
              <w:rPr>
                <w:rFonts w:ascii="宋体" w:hAnsi="宋体" w:eastAsia="宋体" w:cs="宋体"/>
                <w:spacing w:val="-9"/>
                <w:sz w:val="21"/>
                <w:szCs w:val="21"/>
              </w:rPr>
              <w:t>第十六条、运输畜禽废渣，</w:t>
            </w:r>
            <w:r>
              <w:rPr>
                <w:rFonts w:ascii="宋体" w:hAnsi="宋体" w:eastAsia="宋体" w:cs="宋体"/>
                <w:spacing w:val="-22"/>
                <w:sz w:val="21"/>
                <w:szCs w:val="21"/>
              </w:rPr>
              <w:t xml:space="preserve"> </w:t>
            </w:r>
            <w:r>
              <w:rPr>
                <w:rFonts w:ascii="宋体" w:hAnsi="宋体" w:eastAsia="宋体" w:cs="宋体"/>
                <w:spacing w:val="-9"/>
                <w:sz w:val="21"/>
                <w:szCs w:val="21"/>
              </w:rPr>
              <w:t>必须采取防渗</w:t>
            </w:r>
            <w:r>
              <w:rPr>
                <w:rFonts w:ascii="宋体" w:hAnsi="宋体" w:eastAsia="宋体" w:cs="宋体"/>
                <w:spacing w:val="-5"/>
                <w:sz w:val="21"/>
                <w:szCs w:val="21"/>
              </w:rPr>
              <w:t>漏、防流失、防遗撒及其他防止污染环境</w:t>
            </w:r>
            <w:r>
              <w:rPr>
                <w:rFonts w:ascii="宋体" w:hAnsi="宋体" w:eastAsia="宋体" w:cs="宋体"/>
                <w:spacing w:val="-3"/>
                <w:sz w:val="21"/>
                <w:szCs w:val="21"/>
              </w:rPr>
              <w:t>的措施，妥善处置贮运工具清洗废水。</w:t>
            </w:r>
          </w:p>
        </w:tc>
        <w:tc>
          <w:tcPr>
            <w:tcW w:w="3361" w:type="dxa"/>
            <w:vAlign w:val="top"/>
          </w:tcPr>
          <w:p w14:paraId="18B0D24E">
            <w:pPr>
              <w:spacing w:line="296" w:lineRule="auto"/>
              <w:rPr>
                <w:rFonts w:ascii="Arial"/>
                <w:sz w:val="21"/>
              </w:rPr>
            </w:pPr>
          </w:p>
          <w:p w14:paraId="7BDDD1E3">
            <w:pPr>
              <w:spacing w:before="68" w:line="219" w:lineRule="auto"/>
              <w:ind w:left="14"/>
              <w:rPr>
                <w:rFonts w:ascii="宋体" w:hAnsi="宋体" w:eastAsia="宋体" w:cs="宋体"/>
                <w:sz w:val="21"/>
                <w:szCs w:val="21"/>
              </w:rPr>
            </w:pPr>
            <w:r>
              <w:rPr>
                <w:rFonts w:ascii="宋体" w:hAnsi="宋体" w:eastAsia="宋体" w:cs="宋体"/>
                <w:spacing w:val="-3"/>
                <w:sz w:val="21"/>
                <w:szCs w:val="21"/>
              </w:rPr>
              <w:t>项目固废采用专门的密闭车辆运输。</w:t>
            </w:r>
          </w:p>
        </w:tc>
        <w:tc>
          <w:tcPr>
            <w:tcW w:w="772" w:type="dxa"/>
            <w:vAlign w:val="top"/>
          </w:tcPr>
          <w:p w14:paraId="057AC660">
            <w:pPr>
              <w:spacing w:line="295" w:lineRule="auto"/>
              <w:rPr>
                <w:rFonts w:ascii="Arial"/>
                <w:sz w:val="21"/>
              </w:rPr>
            </w:pPr>
          </w:p>
          <w:p w14:paraId="268CE98A">
            <w:pPr>
              <w:spacing w:before="69" w:line="220" w:lineRule="auto"/>
              <w:ind w:left="183"/>
              <w:rPr>
                <w:rFonts w:ascii="宋体" w:hAnsi="宋体" w:eastAsia="宋体" w:cs="宋体"/>
                <w:sz w:val="21"/>
                <w:szCs w:val="21"/>
              </w:rPr>
            </w:pPr>
            <w:r>
              <w:rPr>
                <w:rFonts w:ascii="宋体" w:hAnsi="宋体" w:eastAsia="宋体" w:cs="宋体"/>
                <w:spacing w:val="-3"/>
                <w:sz w:val="21"/>
                <w:szCs w:val="21"/>
              </w:rPr>
              <w:t>符合</w:t>
            </w:r>
          </w:p>
        </w:tc>
      </w:tr>
    </w:tbl>
    <w:p w14:paraId="26473DB4">
      <w:pPr>
        <w:spacing w:before="233" w:line="219" w:lineRule="auto"/>
        <w:ind w:left="548"/>
        <w:rPr>
          <w:rFonts w:ascii="宋体" w:hAnsi="宋体" w:eastAsia="宋体" w:cs="宋体"/>
          <w:sz w:val="24"/>
          <w:szCs w:val="24"/>
        </w:rPr>
      </w:pPr>
      <w:r>
        <w:rPr>
          <w:rFonts w:ascii="宋体" w:hAnsi="宋体" w:eastAsia="宋体" w:cs="宋体"/>
          <w:spacing w:val="-3"/>
          <w:sz w:val="24"/>
          <w:szCs w:val="24"/>
        </w:rPr>
        <w:t>由上表可知，本项目符合《畜禽养殖污染防治管理办法》相关要求。</w:t>
      </w:r>
    </w:p>
    <w:p w14:paraId="3BF03207">
      <w:pPr>
        <w:spacing w:before="241"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1.6.3.3</w:t>
      </w:r>
      <w:r>
        <w:rPr>
          <w:rFonts w:ascii="Times New Roman" w:hAnsi="Times New Roman" w:eastAsia="Times New Roman" w:cs="Times New Roman"/>
          <w:b/>
          <w:bCs/>
          <w:spacing w:val="20"/>
          <w:sz w:val="27"/>
          <w:szCs w:val="27"/>
        </w:rPr>
        <w:t xml:space="preserve"> </w:t>
      </w:r>
      <w:r>
        <w:rPr>
          <w:rFonts w:ascii="宋体" w:hAnsi="宋体" w:eastAsia="宋体" w:cs="宋体"/>
          <w:b/>
          <w:bCs/>
          <w:spacing w:val="6"/>
          <w:sz w:val="27"/>
          <w:szCs w:val="27"/>
        </w:rPr>
        <w:t>与《畜禽养殖业污染治理工程技术规范》的符合性分析</w:t>
      </w:r>
    </w:p>
    <w:p w14:paraId="307E42A3">
      <w:pPr>
        <w:spacing w:before="235" w:line="362" w:lineRule="auto"/>
        <w:ind w:left="41" w:right="38" w:firstLine="479"/>
        <w:jc w:val="both"/>
        <w:rPr>
          <w:rFonts w:ascii="宋体" w:hAnsi="宋体" w:eastAsia="宋体" w:cs="宋体"/>
          <w:sz w:val="24"/>
          <w:szCs w:val="24"/>
        </w:rPr>
      </w:pPr>
      <w:r>
        <w:rPr>
          <w:rFonts w:ascii="宋体" w:hAnsi="宋体" w:eastAsia="宋体" w:cs="宋体"/>
          <w:spacing w:val="-3"/>
          <w:sz w:val="24"/>
          <w:szCs w:val="24"/>
        </w:rPr>
        <w:t>本项目与《畜禽养殖业污染治理工程技术规范》（</w:t>
      </w:r>
      <w:r>
        <w:rPr>
          <w:rFonts w:ascii="Times New Roman" w:hAnsi="Times New Roman" w:eastAsia="Times New Roman" w:cs="Times New Roman"/>
          <w:spacing w:val="-3"/>
          <w:sz w:val="24"/>
          <w:szCs w:val="24"/>
        </w:rPr>
        <w:t>HJ497-2009</w:t>
      </w:r>
      <w:r>
        <w:rPr>
          <w:rFonts w:ascii="宋体" w:hAnsi="宋体" w:eastAsia="宋体" w:cs="宋体"/>
          <w:spacing w:val="-3"/>
          <w:sz w:val="24"/>
          <w:szCs w:val="24"/>
        </w:rPr>
        <w:t>）相关要求的</w:t>
      </w:r>
      <w:r>
        <w:rPr>
          <w:rFonts w:ascii="宋体" w:hAnsi="宋体" w:eastAsia="宋体" w:cs="宋体"/>
          <w:spacing w:val="19"/>
          <w:sz w:val="24"/>
          <w:szCs w:val="24"/>
        </w:rPr>
        <w:t>符合性见下表。可知，本项目符合《畜禽养殖业污染治理工程技术</w:t>
      </w:r>
      <w:r>
        <w:rPr>
          <w:rFonts w:ascii="宋体" w:hAnsi="宋体" w:eastAsia="宋体" w:cs="宋体"/>
          <w:spacing w:val="18"/>
          <w:sz w:val="24"/>
          <w:szCs w:val="24"/>
        </w:rPr>
        <w:t>规范》</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HJ497-2009</w:t>
      </w:r>
      <w:r>
        <w:rPr>
          <w:rFonts w:ascii="宋体" w:hAnsi="宋体" w:eastAsia="宋体" w:cs="宋体"/>
          <w:spacing w:val="-3"/>
          <w:sz w:val="24"/>
          <w:szCs w:val="24"/>
        </w:rPr>
        <w:t>）相关要求。</w:t>
      </w:r>
    </w:p>
    <w:p w14:paraId="2A30C2DF">
      <w:pPr>
        <w:spacing w:line="362" w:lineRule="auto"/>
        <w:rPr>
          <w:rFonts w:ascii="宋体" w:hAnsi="宋体" w:eastAsia="宋体" w:cs="宋体"/>
          <w:sz w:val="24"/>
          <w:szCs w:val="24"/>
        </w:rPr>
        <w:sectPr>
          <w:footerReference r:id="rId92" w:type="default"/>
          <w:pgSz w:w="11905" w:h="16840"/>
          <w:pgMar w:top="1168" w:right="1768" w:bottom="1409" w:left="1770" w:header="828" w:footer="1244" w:gutter="0"/>
          <w:cols w:space="720" w:num="1"/>
        </w:sectPr>
      </w:pPr>
    </w:p>
    <w:p w14:paraId="5B93D013">
      <w:pPr>
        <w:pStyle w:val="2"/>
        <w:spacing w:line="329" w:lineRule="auto"/>
      </w:pPr>
    </w:p>
    <w:p w14:paraId="196013A0">
      <w:pPr>
        <w:spacing w:before="68" w:line="221" w:lineRule="auto"/>
        <w:ind w:left="1193"/>
        <w:rPr>
          <w:rFonts w:ascii="黑体" w:hAnsi="黑体" w:eastAsia="黑体" w:cs="黑体"/>
          <w:sz w:val="21"/>
          <w:szCs w:val="21"/>
        </w:rPr>
      </w:pPr>
      <w:r>
        <w:rPr>
          <w:rFonts w:ascii="黑体" w:hAnsi="黑体" w:eastAsia="黑体" w:cs="黑体"/>
          <w:sz w:val="21"/>
          <w:szCs w:val="21"/>
        </w:rPr>
        <w:t>表</w:t>
      </w:r>
      <w:r>
        <w:rPr>
          <w:rFonts w:ascii="Times New Roman" w:hAnsi="Times New Roman" w:eastAsia="Times New Roman" w:cs="Times New Roman"/>
          <w:sz w:val="21"/>
          <w:szCs w:val="21"/>
        </w:rPr>
        <w:t xml:space="preserve">1.6-7  </w:t>
      </w:r>
      <w:r>
        <w:rPr>
          <w:rFonts w:ascii="黑体" w:hAnsi="黑体" w:eastAsia="黑体" w:cs="黑体"/>
          <w:sz w:val="21"/>
          <w:szCs w:val="21"/>
        </w:rPr>
        <w:t>项目与《畜禽养殖业污染治</w:t>
      </w:r>
      <w:r>
        <w:rPr>
          <w:rFonts w:ascii="黑体" w:hAnsi="黑体" w:eastAsia="黑体" w:cs="黑体"/>
          <w:spacing w:val="-1"/>
          <w:sz w:val="21"/>
          <w:szCs w:val="21"/>
        </w:rPr>
        <w:t>理工程技术规范》符合性分析</w:t>
      </w:r>
    </w:p>
    <w:p w14:paraId="013F6AC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18"/>
        <w:gridCol w:w="3361"/>
        <w:gridCol w:w="772"/>
      </w:tblGrid>
      <w:tr w14:paraId="1E8A8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5A2FDCF1">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718" w:type="dxa"/>
            <w:vAlign w:val="top"/>
          </w:tcPr>
          <w:p w14:paraId="40879BC0">
            <w:pPr>
              <w:spacing w:before="68" w:line="220" w:lineRule="auto"/>
              <w:ind w:left="1444"/>
              <w:rPr>
                <w:rFonts w:ascii="宋体" w:hAnsi="宋体" w:eastAsia="宋体" w:cs="宋体"/>
                <w:sz w:val="21"/>
                <w:szCs w:val="21"/>
              </w:rPr>
            </w:pPr>
            <w:r>
              <w:rPr>
                <w:rFonts w:ascii="宋体" w:hAnsi="宋体" w:eastAsia="宋体" w:cs="宋体"/>
                <w:spacing w:val="-2"/>
                <w:sz w:val="21"/>
                <w:szCs w:val="21"/>
              </w:rPr>
              <w:t>规范内容</w:t>
            </w:r>
          </w:p>
        </w:tc>
        <w:tc>
          <w:tcPr>
            <w:tcW w:w="3361" w:type="dxa"/>
            <w:vAlign w:val="top"/>
          </w:tcPr>
          <w:p w14:paraId="414FC47A">
            <w:pPr>
              <w:spacing w:before="68" w:line="219" w:lineRule="auto"/>
              <w:ind w:left="1163"/>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563937BC">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11704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69" w:type="dxa"/>
            <w:vAlign w:val="top"/>
          </w:tcPr>
          <w:p w14:paraId="456EA90A">
            <w:pPr>
              <w:spacing w:line="267" w:lineRule="auto"/>
              <w:rPr>
                <w:rFonts w:ascii="Arial"/>
                <w:sz w:val="21"/>
              </w:rPr>
            </w:pPr>
          </w:p>
          <w:p w14:paraId="229BF91E">
            <w:pPr>
              <w:spacing w:line="267" w:lineRule="auto"/>
              <w:rPr>
                <w:rFonts w:ascii="Arial"/>
                <w:sz w:val="21"/>
              </w:rPr>
            </w:pPr>
          </w:p>
          <w:p w14:paraId="05786087">
            <w:pPr>
              <w:spacing w:line="267" w:lineRule="auto"/>
              <w:rPr>
                <w:rFonts w:ascii="Arial"/>
                <w:sz w:val="21"/>
              </w:rPr>
            </w:pPr>
          </w:p>
          <w:p w14:paraId="409C7B8F">
            <w:pPr>
              <w:pStyle w:val="6"/>
              <w:spacing w:before="60" w:line="188" w:lineRule="auto"/>
              <w:ind w:left="203"/>
            </w:pPr>
            <w:r>
              <w:t>1</w:t>
            </w:r>
          </w:p>
        </w:tc>
        <w:tc>
          <w:tcPr>
            <w:tcW w:w="3718" w:type="dxa"/>
            <w:vAlign w:val="top"/>
          </w:tcPr>
          <w:p w14:paraId="3F86EACB">
            <w:pPr>
              <w:spacing w:before="207" w:line="275" w:lineRule="auto"/>
              <w:ind w:left="7" w:right="2" w:firstLine="14"/>
              <w:jc w:val="both"/>
              <w:rPr>
                <w:rFonts w:ascii="宋体" w:hAnsi="宋体" w:eastAsia="宋体" w:cs="宋体"/>
                <w:sz w:val="21"/>
                <w:szCs w:val="21"/>
              </w:rPr>
            </w:pPr>
            <w:r>
              <w:rPr>
                <w:rFonts w:ascii="宋体" w:hAnsi="宋体" w:eastAsia="宋体" w:cs="宋体"/>
                <w:spacing w:val="-6"/>
                <w:sz w:val="21"/>
                <w:szCs w:val="21"/>
              </w:rPr>
              <w:t>畜禽养殖业污染治理应从源头控制，严格</w:t>
            </w:r>
            <w:r>
              <w:rPr>
                <w:rFonts w:ascii="宋体" w:hAnsi="宋体" w:eastAsia="宋体" w:cs="宋体"/>
                <w:spacing w:val="-5"/>
                <w:sz w:val="21"/>
                <w:szCs w:val="21"/>
              </w:rPr>
              <w:t>执行雨污分离，通过优化饲料配方、提高饲养技术、管理水平、改善畜舍结构和通风供暖工艺、改进清粪工艺等措施减少养殖场环境污染。</w:t>
            </w:r>
          </w:p>
        </w:tc>
        <w:tc>
          <w:tcPr>
            <w:tcW w:w="3361" w:type="dxa"/>
            <w:vAlign w:val="top"/>
          </w:tcPr>
          <w:p w14:paraId="58CF0D79">
            <w:pPr>
              <w:spacing w:before="50" w:line="266" w:lineRule="auto"/>
              <w:ind w:left="10" w:firstLine="1"/>
              <w:jc w:val="both"/>
              <w:rPr>
                <w:rFonts w:ascii="宋体" w:hAnsi="宋体" w:eastAsia="宋体" w:cs="宋体"/>
                <w:sz w:val="21"/>
                <w:szCs w:val="21"/>
              </w:rPr>
            </w:pPr>
            <w:r>
              <w:rPr>
                <w:rFonts w:ascii="宋体" w:hAnsi="宋体" w:eastAsia="宋体" w:cs="宋体"/>
                <w:spacing w:val="-2"/>
                <w:sz w:val="21"/>
                <w:szCs w:val="21"/>
              </w:rPr>
              <w:t>本项目实现雨污分流，通过优化饲料</w:t>
            </w:r>
            <w:r>
              <w:rPr>
                <w:rFonts w:ascii="宋体" w:hAnsi="宋体" w:eastAsia="宋体" w:cs="宋体"/>
                <w:spacing w:val="-1"/>
                <w:sz w:val="21"/>
                <w:szCs w:val="21"/>
              </w:rPr>
              <w:t>配方，提高饲养技术管理水平，猪舍采用机械通风，采用“原环保部认可</w:t>
            </w:r>
            <w:r>
              <w:rPr>
                <w:rFonts w:ascii="宋体" w:hAnsi="宋体" w:eastAsia="宋体" w:cs="宋体"/>
                <w:spacing w:val="-2"/>
                <w:sz w:val="21"/>
                <w:szCs w:val="21"/>
              </w:rPr>
              <w:t>的清粪工艺”（同牧原清粪工艺，为</w:t>
            </w:r>
            <w:r>
              <w:rPr>
                <w:rFonts w:ascii="宋体" w:hAnsi="宋体" w:eastAsia="宋体" w:cs="宋体"/>
                <w:spacing w:val="12"/>
                <w:sz w:val="21"/>
                <w:szCs w:val="21"/>
              </w:rPr>
              <w:t>环保部认可具备干清粪工艺基本特</w:t>
            </w:r>
            <w:r>
              <w:rPr>
                <w:rFonts w:ascii="宋体" w:hAnsi="宋体" w:eastAsia="宋体" w:cs="宋体"/>
                <w:spacing w:val="-3"/>
                <w:sz w:val="21"/>
                <w:szCs w:val="21"/>
              </w:rPr>
              <w:t>征）等措施减少环境污染。</w:t>
            </w:r>
          </w:p>
        </w:tc>
        <w:tc>
          <w:tcPr>
            <w:tcW w:w="772" w:type="dxa"/>
            <w:vAlign w:val="top"/>
          </w:tcPr>
          <w:p w14:paraId="4AE4A865">
            <w:pPr>
              <w:spacing w:line="252" w:lineRule="auto"/>
              <w:rPr>
                <w:rFonts w:ascii="Arial"/>
                <w:sz w:val="21"/>
              </w:rPr>
            </w:pPr>
          </w:p>
          <w:p w14:paraId="5C7C0BF0">
            <w:pPr>
              <w:spacing w:line="252" w:lineRule="auto"/>
              <w:rPr>
                <w:rFonts w:ascii="Arial"/>
                <w:sz w:val="21"/>
              </w:rPr>
            </w:pPr>
          </w:p>
          <w:p w14:paraId="19B424CA">
            <w:pPr>
              <w:spacing w:line="252" w:lineRule="auto"/>
              <w:rPr>
                <w:rFonts w:ascii="Arial"/>
                <w:sz w:val="21"/>
              </w:rPr>
            </w:pPr>
          </w:p>
          <w:p w14:paraId="4EA44F6C">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1EFD6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469" w:type="dxa"/>
            <w:vAlign w:val="top"/>
          </w:tcPr>
          <w:p w14:paraId="073D994B">
            <w:pPr>
              <w:spacing w:line="269" w:lineRule="auto"/>
              <w:rPr>
                <w:rFonts w:ascii="Arial"/>
                <w:sz w:val="21"/>
              </w:rPr>
            </w:pPr>
          </w:p>
          <w:p w14:paraId="71B13240">
            <w:pPr>
              <w:spacing w:line="269" w:lineRule="auto"/>
              <w:rPr>
                <w:rFonts w:ascii="Arial"/>
                <w:sz w:val="21"/>
              </w:rPr>
            </w:pPr>
          </w:p>
          <w:p w14:paraId="402A5E4D">
            <w:pPr>
              <w:spacing w:line="269" w:lineRule="auto"/>
              <w:rPr>
                <w:rFonts w:ascii="Arial"/>
                <w:sz w:val="21"/>
              </w:rPr>
            </w:pPr>
          </w:p>
          <w:p w14:paraId="556399F2">
            <w:pPr>
              <w:spacing w:line="270" w:lineRule="auto"/>
              <w:rPr>
                <w:rFonts w:ascii="Arial"/>
                <w:sz w:val="21"/>
              </w:rPr>
            </w:pPr>
          </w:p>
          <w:p w14:paraId="0AA9D8CB">
            <w:pPr>
              <w:spacing w:line="270" w:lineRule="auto"/>
              <w:rPr>
                <w:rFonts w:ascii="Arial"/>
                <w:sz w:val="21"/>
              </w:rPr>
            </w:pPr>
          </w:p>
          <w:p w14:paraId="13B4C092">
            <w:pPr>
              <w:spacing w:line="270" w:lineRule="auto"/>
              <w:rPr>
                <w:rFonts w:ascii="Arial"/>
                <w:sz w:val="21"/>
              </w:rPr>
            </w:pPr>
          </w:p>
          <w:p w14:paraId="677DD940">
            <w:pPr>
              <w:spacing w:line="270" w:lineRule="auto"/>
              <w:rPr>
                <w:rFonts w:ascii="Arial"/>
                <w:sz w:val="21"/>
              </w:rPr>
            </w:pPr>
          </w:p>
          <w:p w14:paraId="5C2E5ECC">
            <w:pPr>
              <w:pStyle w:val="6"/>
              <w:spacing w:before="60" w:line="188" w:lineRule="auto"/>
              <w:ind w:left="183"/>
            </w:pPr>
            <w:r>
              <w:t>2</w:t>
            </w:r>
          </w:p>
        </w:tc>
        <w:tc>
          <w:tcPr>
            <w:tcW w:w="3718" w:type="dxa"/>
            <w:vAlign w:val="top"/>
          </w:tcPr>
          <w:p w14:paraId="044E0E17">
            <w:pPr>
              <w:spacing w:before="51" w:line="274" w:lineRule="auto"/>
              <w:ind w:left="9" w:firstLine="12"/>
              <w:jc w:val="both"/>
              <w:rPr>
                <w:rFonts w:ascii="宋体" w:hAnsi="宋体" w:eastAsia="宋体" w:cs="宋体"/>
                <w:sz w:val="21"/>
                <w:szCs w:val="21"/>
              </w:rPr>
            </w:pPr>
            <w:r>
              <w:rPr>
                <w:rFonts w:ascii="宋体" w:hAnsi="宋体" w:eastAsia="宋体" w:cs="宋体"/>
                <w:spacing w:val="-9"/>
                <w:sz w:val="21"/>
                <w:szCs w:val="21"/>
              </w:rPr>
              <w:t>畜禽养殖业污染治理应按照资源化、减量</w:t>
            </w:r>
            <w:r>
              <w:rPr>
                <w:rFonts w:ascii="宋体" w:hAnsi="宋体" w:eastAsia="宋体" w:cs="宋体"/>
                <w:spacing w:val="-16"/>
                <w:sz w:val="21"/>
                <w:szCs w:val="21"/>
              </w:rPr>
              <w:t>化、无害化的原则，以综合利用为出发点，</w:t>
            </w:r>
            <w:r>
              <w:rPr>
                <w:rFonts w:ascii="宋体" w:hAnsi="宋体" w:eastAsia="宋体" w:cs="宋体"/>
                <w:spacing w:val="-7"/>
                <w:sz w:val="21"/>
                <w:szCs w:val="21"/>
              </w:rPr>
              <w:t>提高资源化利用率。</w:t>
            </w:r>
          </w:p>
          <w:p w14:paraId="3CC42633">
            <w:pPr>
              <w:spacing w:line="274" w:lineRule="auto"/>
              <w:ind w:left="9" w:right="1" w:firstLine="11"/>
              <w:jc w:val="both"/>
              <w:rPr>
                <w:rFonts w:ascii="宋体" w:hAnsi="宋体" w:eastAsia="宋体" w:cs="宋体"/>
                <w:sz w:val="21"/>
                <w:szCs w:val="21"/>
              </w:rPr>
            </w:pPr>
            <w:r>
              <w:rPr>
                <w:rFonts w:ascii="宋体" w:hAnsi="宋体" w:eastAsia="宋体" w:cs="宋体"/>
                <w:spacing w:val="7"/>
                <w:sz w:val="21"/>
                <w:szCs w:val="21"/>
              </w:rPr>
              <w:t>畜禽粪污资源化时应经无害化处理后方可还田利用，无害化处理应满足下列要</w:t>
            </w:r>
            <w:r>
              <w:rPr>
                <w:rFonts w:ascii="宋体" w:hAnsi="宋体" w:eastAsia="宋体" w:cs="宋体"/>
                <w:spacing w:val="-15"/>
                <w:sz w:val="21"/>
                <w:szCs w:val="21"/>
              </w:rPr>
              <w:t>求：</w:t>
            </w:r>
          </w:p>
          <w:p w14:paraId="02B3D79B">
            <w:pPr>
              <w:spacing w:line="274" w:lineRule="auto"/>
              <w:ind w:left="12" w:right="1" w:hanging="5"/>
              <w:rPr>
                <w:rFonts w:ascii="宋体" w:hAnsi="宋体" w:eastAsia="宋体" w:cs="宋体"/>
                <w:sz w:val="21"/>
                <w:szCs w:val="21"/>
              </w:rPr>
            </w:pPr>
            <w:r>
              <w:rPr>
                <w:rFonts w:ascii="宋体" w:hAnsi="宋体" w:eastAsia="宋体" w:cs="宋体"/>
                <w:spacing w:val="7"/>
                <w:sz w:val="21"/>
                <w:szCs w:val="21"/>
              </w:rPr>
              <w:t>①液态畜禽粪污宜采用厌氧工艺进行无</w:t>
            </w:r>
            <w:r>
              <w:rPr>
                <w:rFonts w:ascii="宋体" w:hAnsi="宋体" w:eastAsia="宋体" w:cs="宋体"/>
                <w:spacing w:val="-5"/>
                <w:sz w:val="21"/>
                <w:szCs w:val="21"/>
              </w:rPr>
              <w:t>害化处理；沼液、沼渣不得作为同等动物</w:t>
            </w:r>
            <w:r>
              <w:rPr>
                <w:rFonts w:ascii="宋体" w:hAnsi="宋体" w:eastAsia="宋体" w:cs="宋体"/>
                <w:spacing w:val="-3"/>
                <w:sz w:val="21"/>
                <w:szCs w:val="21"/>
              </w:rPr>
              <w:t>的饲料，不得在动物之间进行循环。</w:t>
            </w:r>
          </w:p>
          <w:p w14:paraId="1D70CD1C">
            <w:pPr>
              <w:spacing w:before="1" w:line="274" w:lineRule="auto"/>
              <w:ind w:left="11" w:right="1" w:hanging="5"/>
              <w:rPr>
                <w:rFonts w:ascii="宋体" w:hAnsi="宋体" w:eastAsia="宋体" w:cs="宋体"/>
                <w:sz w:val="21"/>
                <w:szCs w:val="21"/>
              </w:rPr>
            </w:pPr>
            <w:r>
              <w:rPr>
                <w:rFonts w:ascii="宋体" w:hAnsi="宋体" w:eastAsia="宋体" w:cs="宋体"/>
                <w:spacing w:val="7"/>
                <w:sz w:val="21"/>
                <w:szCs w:val="21"/>
              </w:rPr>
              <w:t>②固体畜禽粪便宜采用好氧堆肥技术进</w:t>
            </w:r>
            <w:r>
              <w:rPr>
                <w:rFonts w:ascii="宋体" w:hAnsi="宋体" w:eastAsia="宋体" w:cs="宋体"/>
                <w:spacing w:val="-6"/>
                <w:sz w:val="21"/>
                <w:szCs w:val="21"/>
              </w:rPr>
              <w:t>行无害化处理。</w:t>
            </w:r>
          </w:p>
          <w:p w14:paraId="690C2C46">
            <w:pPr>
              <w:pStyle w:val="6"/>
              <w:spacing w:before="2" w:line="248" w:lineRule="auto"/>
              <w:ind w:left="6" w:right="2"/>
              <w:rPr>
                <w:rFonts w:ascii="宋体" w:hAnsi="宋体" w:eastAsia="宋体" w:cs="宋体"/>
              </w:rPr>
            </w:pPr>
            <w:r>
              <w:rPr>
                <w:rFonts w:ascii="宋体" w:hAnsi="宋体" w:eastAsia="宋体" w:cs="宋体"/>
                <w:spacing w:val="19"/>
              </w:rPr>
              <w:t>③</w:t>
            </w:r>
            <w:r>
              <w:rPr>
                <w:rFonts w:ascii="宋体" w:hAnsi="宋体" w:eastAsia="宋体" w:cs="宋体"/>
                <w:spacing w:val="-67"/>
              </w:rPr>
              <w:t xml:space="preserve"> </w:t>
            </w:r>
            <w:r>
              <w:rPr>
                <w:rFonts w:ascii="宋体" w:hAnsi="宋体" w:eastAsia="宋体" w:cs="宋体"/>
                <w:spacing w:val="19"/>
              </w:rPr>
              <w:t>无害化处理后的卫生学指标应符合</w:t>
            </w:r>
            <w:r>
              <w:rPr>
                <w:spacing w:val="-5"/>
              </w:rPr>
              <w:t>GB7959</w:t>
            </w:r>
            <w:r>
              <w:rPr>
                <w:spacing w:val="29"/>
              </w:rPr>
              <w:t xml:space="preserve"> </w:t>
            </w:r>
            <w:r>
              <w:rPr>
                <w:rFonts w:ascii="宋体" w:hAnsi="宋体" w:eastAsia="宋体" w:cs="宋体"/>
                <w:spacing w:val="-5"/>
              </w:rPr>
              <w:t>的有关规定。</w:t>
            </w:r>
          </w:p>
        </w:tc>
        <w:tc>
          <w:tcPr>
            <w:tcW w:w="3361" w:type="dxa"/>
            <w:vAlign w:val="top"/>
          </w:tcPr>
          <w:p w14:paraId="6875CA33">
            <w:pPr>
              <w:pStyle w:val="6"/>
              <w:spacing w:before="204" w:line="274" w:lineRule="auto"/>
              <w:ind w:firstLine="15"/>
              <w:jc w:val="both"/>
              <w:rPr>
                <w:rFonts w:ascii="宋体" w:hAnsi="宋体" w:eastAsia="宋体" w:cs="宋体"/>
              </w:rPr>
            </w:pPr>
            <w:r>
              <w:rPr>
                <w:rFonts w:ascii="宋体" w:hAnsi="宋体" w:eastAsia="宋体" w:cs="宋体"/>
                <w:spacing w:val="12"/>
              </w:rPr>
              <w:t>本项目配套建设污水处理站，采用</w:t>
            </w:r>
            <w:r>
              <w:rPr>
                <w:rFonts w:ascii="宋体" w:hAnsi="宋体" w:eastAsia="宋体" w:cs="宋体"/>
                <w:spacing w:val="1"/>
              </w:rPr>
              <w:t>“格栅井</w:t>
            </w:r>
            <w:r>
              <w:rPr>
                <w:spacing w:val="1"/>
              </w:rPr>
              <w:t>+</w:t>
            </w:r>
            <w:r>
              <w:rPr>
                <w:rFonts w:ascii="宋体" w:hAnsi="宋体" w:eastAsia="宋体" w:cs="宋体"/>
                <w:spacing w:val="1"/>
              </w:rPr>
              <w:t>粪污收集池</w:t>
            </w:r>
            <w:r>
              <w:rPr>
                <w:spacing w:val="1"/>
              </w:rPr>
              <w:t>+</w:t>
            </w:r>
            <w:r>
              <w:rPr>
                <w:spacing w:val="-12"/>
              </w:rPr>
              <w:t xml:space="preserve"> </w:t>
            </w:r>
            <w:r>
              <w:rPr>
                <w:rFonts w:ascii="宋体" w:hAnsi="宋体" w:eastAsia="宋体" w:cs="宋体"/>
                <w:spacing w:val="1"/>
              </w:rPr>
              <w:t>固液分离</w:t>
            </w:r>
            <w:r>
              <w:rPr>
                <w:spacing w:val="1"/>
              </w:rPr>
              <w:t>+</w:t>
            </w:r>
            <w:r>
              <w:rPr>
                <w:rFonts w:ascii="宋体" w:hAnsi="宋体" w:eastAsia="宋体" w:cs="宋体"/>
                <w:spacing w:val="1"/>
              </w:rPr>
              <w:t>水</w:t>
            </w:r>
            <w:r>
              <w:rPr>
                <w:rFonts w:ascii="宋体" w:hAnsi="宋体" w:eastAsia="宋体" w:cs="宋体"/>
                <w:spacing w:val="-1"/>
              </w:rPr>
              <w:t>解酸化池</w:t>
            </w:r>
            <w:r>
              <w:rPr>
                <w:spacing w:val="-1"/>
              </w:rPr>
              <w:t>+CSTR</w:t>
            </w:r>
            <w:r>
              <w:rPr>
                <w:spacing w:val="37"/>
              </w:rPr>
              <w:t xml:space="preserve"> </w:t>
            </w:r>
            <w:r>
              <w:rPr>
                <w:rFonts w:ascii="宋体" w:hAnsi="宋体" w:eastAsia="宋体" w:cs="宋体"/>
                <w:spacing w:val="-1"/>
              </w:rPr>
              <w:t>厌氧反应器</w:t>
            </w:r>
            <w:r>
              <w:rPr>
                <w:spacing w:val="-1"/>
              </w:rPr>
              <w:t>+</w:t>
            </w:r>
            <w:r>
              <w:rPr>
                <w:rFonts w:ascii="宋体" w:hAnsi="宋体" w:eastAsia="宋体" w:cs="宋体"/>
                <w:spacing w:val="-1"/>
              </w:rPr>
              <w:t>微生物</w:t>
            </w:r>
            <w:r>
              <w:rPr>
                <w:rFonts w:ascii="宋体" w:hAnsi="宋体" w:eastAsia="宋体" w:cs="宋体"/>
                <w:spacing w:val="3"/>
              </w:rPr>
              <w:t>曝氧塘</w:t>
            </w:r>
            <w:r>
              <w:rPr>
                <w:spacing w:val="3"/>
              </w:rPr>
              <w:t>+</w:t>
            </w:r>
            <w:r>
              <w:rPr>
                <w:rFonts w:ascii="宋体" w:hAnsi="宋体" w:eastAsia="宋体" w:cs="宋体"/>
                <w:spacing w:val="3"/>
              </w:rPr>
              <w:t>前置物化系统</w:t>
            </w:r>
            <w:r>
              <w:rPr>
                <w:spacing w:val="3"/>
              </w:rPr>
              <w:t>+</w:t>
            </w:r>
            <w:r>
              <w:rPr>
                <w:rFonts w:ascii="宋体" w:hAnsi="宋体" w:eastAsia="宋体" w:cs="宋体"/>
                <w:spacing w:val="3"/>
              </w:rPr>
              <w:t>一级缺氧池</w:t>
            </w:r>
            <w:r>
              <w:rPr>
                <w:spacing w:val="3"/>
              </w:rPr>
              <w:t>+</w:t>
            </w:r>
            <w:r>
              <w:rPr>
                <w:rFonts w:ascii="宋体" w:hAnsi="宋体" w:eastAsia="宋体" w:cs="宋体"/>
                <w:spacing w:val="8"/>
              </w:rPr>
              <w:t>一级好氧池</w:t>
            </w:r>
            <w:r>
              <w:rPr>
                <w:spacing w:val="8"/>
              </w:rPr>
              <w:t>+</w:t>
            </w:r>
            <w:r>
              <w:rPr>
                <w:spacing w:val="-27"/>
              </w:rPr>
              <w:t xml:space="preserve"> </w:t>
            </w:r>
            <w:r>
              <w:rPr>
                <w:rFonts w:ascii="宋体" w:hAnsi="宋体" w:eastAsia="宋体" w:cs="宋体"/>
                <w:spacing w:val="8"/>
              </w:rPr>
              <w:t>一级沉淀池</w:t>
            </w:r>
            <w:r>
              <w:rPr>
                <w:spacing w:val="8"/>
              </w:rPr>
              <w:t>+</w:t>
            </w:r>
            <w:r>
              <w:rPr>
                <w:spacing w:val="-28"/>
              </w:rPr>
              <w:t xml:space="preserve"> </w:t>
            </w:r>
            <w:r>
              <w:rPr>
                <w:rFonts w:ascii="宋体" w:hAnsi="宋体" w:eastAsia="宋体" w:cs="宋体"/>
                <w:spacing w:val="8"/>
              </w:rPr>
              <w:t>二级缺氧</w:t>
            </w:r>
            <w:r>
              <w:rPr>
                <w:rFonts w:ascii="宋体" w:hAnsi="宋体" w:eastAsia="宋体" w:cs="宋体"/>
                <w:spacing w:val="3"/>
              </w:rPr>
              <w:t>池</w:t>
            </w:r>
            <w:r>
              <w:rPr>
                <w:spacing w:val="3"/>
              </w:rPr>
              <w:t>+</w:t>
            </w:r>
            <w:r>
              <w:rPr>
                <w:rFonts w:ascii="宋体" w:hAnsi="宋体" w:eastAsia="宋体" w:cs="宋体"/>
                <w:spacing w:val="3"/>
              </w:rPr>
              <w:t>二级好氧池</w:t>
            </w:r>
            <w:r>
              <w:rPr>
                <w:spacing w:val="3"/>
              </w:rPr>
              <w:t>+</w:t>
            </w:r>
            <w:r>
              <w:rPr>
                <w:rFonts w:ascii="宋体" w:hAnsi="宋体" w:eastAsia="宋体" w:cs="宋体"/>
                <w:spacing w:val="3"/>
              </w:rPr>
              <w:t>二级沉淀池</w:t>
            </w:r>
            <w:r>
              <w:rPr>
                <w:spacing w:val="3"/>
              </w:rPr>
              <w:t>+</w:t>
            </w:r>
            <w:r>
              <w:rPr>
                <w:rFonts w:ascii="宋体" w:hAnsi="宋体" w:eastAsia="宋体" w:cs="宋体"/>
                <w:spacing w:val="3"/>
              </w:rPr>
              <w:t>混凝沉</w:t>
            </w:r>
            <w:r>
              <w:rPr>
                <w:rFonts w:ascii="宋体" w:hAnsi="宋体" w:eastAsia="宋体" w:cs="宋体"/>
                <w:spacing w:val="13"/>
              </w:rPr>
              <w:t>淀</w:t>
            </w:r>
            <w:r>
              <w:rPr>
                <w:rFonts w:ascii="宋体" w:hAnsi="宋体" w:eastAsia="宋体" w:cs="宋体"/>
                <w:spacing w:val="-56"/>
              </w:rPr>
              <w:t xml:space="preserve"> </w:t>
            </w:r>
            <w:r>
              <w:rPr>
                <w:spacing w:val="13"/>
              </w:rPr>
              <w:t xml:space="preserve">+ </w:t>
            </w:r>
            <w:r>
              <w:rPr>
                <w:rFonts w:ascii="宋体" w:hAnsi="宋体" w:eastAsia="宋体" w:cs="宋体"/>
                <w:spacing w:val="13"/>
              </w:rPr>
              <w:t>消毒池</w:t>
            </w:r>
            <w:r>
              <w:rPr>
                <w:rFonts w:ascii="宋体" w:hAnsi="宋体" w:eastAsia="宋体" w:cs="宋体"/>
                <w:spacing w:val="-66"/>
              </w:rPr>
              <w:t xml:space="preserve"> </w:t>
            </w:r>
            <w:r>
              <w:rPr>
                <w:rFonts w:ascii="宋体" w:hAnsi="宋体" w:eastAsia="宋体" w:cs="宋体"/>
                <w:spacing w:val="13"/>
              </w:rPr>
              <w:t>”工艺，</w:t>
            </w:r>
            <w:r>
              <w:rPr>
                <w:rFonts w:ascii="宋体" w:hAnsi="宋体" w:eastAsia="宋体" w:cs="宋体"/>
                <w:spacing w:val="61"/>
              </w:rPr>
              <w:t xml:space="preserve"> </w:t>
            </w:r>
            <w:r>
              <w:rPr>
                <w:rFonts w:ascii="宋体" w:hAnsi="宋体" w:eastAsia="宋体" w:cs="宋体"/>
                <w:spacing w:val="13"/>
              </w:rPr>
              <w:t>处理能力为</w:t>
            </w:r>
            <w:r>
              <w:rPr>
                <w:spacing w:val="-5"/>
              </w:rPr>
              <w:t>500m</w:t>
            </w:r>
            <w:r>
              <w:rPr>
                <w:spacing w:val="-5"/>
                <w:position w:val="9"/>
                <w:sz w:val="14"/>
                <w:szCs w:val="14"/>
              </w:rPr>
              <w:t>3</w:t>
            </w:r>
            <w:r>
              <w:rPr>
                <w:spacing w:val="-5"/>
              </w:rPr>
              <w:t>/d</w:t>
            </w:r>
            <w:r>
              <w:rPr>
                <w:rFonts w:ascii="宋体" w:hAnsi="宋体" w:eastAsia="宋体" w:cs="宋体"/>
                <w:spacing w:val="-5"/>
              </w:rPr>
              <w:t>，处理后废水用于周边消纳地</w:t>
            </w:r>
            <w:r>
              <w:rPr>
                <w:rFonts w:ascii="宋体" w:hAnsi="宋体" w:eastAsia="宋体" w:cs="宋体"/>
                <w:spacing w:val="-1"/>
              </w:rPr>
              <w:t>农灌。粪便经固液分离后于堆粪棚暂存，交有机肥厂生产有机肥；病死猪</w:t>
            </w:r>
            <w:r>
              <w:rPr>
                <w:rFonts w:ascii="宋体" w:hAnsi="宋体" w:eastAsia="宋体" w:cs="宋体"/>
                <w:spacing w:val="13"/>
              </w:rPr>
              <w:t>交内江市环态动物无害化处置有限</w:t>
            </w:r>
            <w:r>
              <w:rPr>
                <w:rFonts w:ascii="宋体" w:hAnsi="宋体" w:eastAsia="宋体" w:cs="宋体"/>
                <w:spacing w:val="-3"/>
              </w:rPr>
              <w:t>责任公司进行无害化处理。</w:t>
            </w:r>
          </w:p>
        </w:tc>
        <w:tc>
          <w:tcPr>
            <w:tcW w:w="772" w:type="dxa"/>
            <w:vAlign w:val="top"/>
          </w:tcPr>
          <w:p w14:paraId="3EA7AACB">
            <w:pPr>
              <w:spacing w:line="263" w:lineRule="auto"/>
              <w:rPr>
                <w:rFonts w:ascii="Arial"/>
                <w:sz w:val="21"/>
              </w:rPr>
            </w:pPr>
          </w:p>
          <w:p w14:paraId="6C0BD85D">
            <w:pPr>
              <w:spacing w:line="263" w:lineRule="auto"/>
              <w:rPr>
                <w:rFonts w:ascii="Arial"/>
                <w:sz w:val="21"/>
              </w:rPr>
            </w:pPr>
          </w:p>
          <w:p w14:paraId="4AC062A0">
            <w:pPr>
              <w:spacing w:line="263" w:lineRule="auto"/>
              <w:rPr>
                <w:rFonts w:ascii="Arial"/>
                <w:sz w:val="21"/>
              </w:rPr>
            </w:pPr>
          </w:p>
          <w:p w14:paraId="22300880">
            <w:pPr>
              <w:spacing w:line="263" w:lineRule="auto"/>
              <w:rPr>
                <w:rFonts w:ascii="Arial"/>
                <w:sz w:val="21"/>
              </w:rPr>
            </w:pPr>
          </w:p>
          <w:p w14:paraId="01190BE5">
            <w:pPr>
              <w:spacing w:line="263" w:lineRule="auto"/>
              <w:rPr>
                <w:rFonts w:ascii="Arial"/>
                <w:sz w:val="21"/>
              </w:rPr>
            </w:pPr>
          </w:p>
          <w:p w14:paraId="16EEBE22">
            <w:pPr>
              <w:spacing w:line="263" w:lineRule="auto"/>
              <w:rPr>
                <w:rFonts w:ascii="Arial"/>
                <w:sz w:val="21"/>
              </w:rPr>
            </w:pPr>
          </w:p>
          <w:p w14:paraId="05FE9303">
            <w:pPr>
              <w:spacing w:line="264" w:lineRule="auto"/>
              <w:rPr>
                <w:rFonts w:ascii="Arial"/>
                <w:sz w:val="21"/>
              </w:rPr>
            </w:pPr>
          </w:p>
          <w:p w14:paraId="3553B317">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02A80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469" w:type="dxa"/>
            <w:vAlign w:val="top"/>
          </w:tcPr>
          <w:p w14:paraId="1B5AF4E3">
            <w:pPr>
              <w:spacing w:line="268" w:lineRule="auto"/>
              <w:rPr>
                <w:rFonts w:ascii="Arial"/>
                <w:sz w:val="21"/>
              </w:rPr>
            </w:pPr>
          </w:p>
          <w:p w14:paraId="5865FEF4">
            <w:pPr>
              <w:spacing w:line="268" w:lineRule="auto"/>
              <w:rPr>
                <w:rFonts w:ascii="Arial"/>
                <w:sz w:val="21"/>
              </w:rPr>
            </w:pPr>
          </w:p>
          <w:p w14:paraId="7D2CDB6A">
            <w:pPr>
              <w:spacing w:line="268" w:lineRule="auto"/>
              <w:rPr>
                <w:rFonts w:ascii="Arial"/>
                <w:sz w:val="21"/>
              </w:rPr>
            </w:pPr>
          </w:p>
          <w:p w14:paraId="448D9DD3">
            <w:pPr>
              <w:pStyle w:val="6"/>
              <w:spacing w:before="60" w:line="188" w:lineRule="auto"/>
              <w:ind w:left="187"/>
            </w:pPr>
            <w:r>
              <w:t>3</w:t>
            </w:r>
          </w:p>
        </w:tc>
        <w:tc>
          <w:tcPr>
            <w:tcW w:w="3718" w:type="dxa"/>
            <w:vAlign w:val="top"/>
          </w:tcPr>
          <w:p w14:paraId="3843F996">
            <w:pPr>
              <w:pStyle w:val="6"/>
              <w:spacing w:before="51" w:line="266" w:lineRule="auto"/>
              <w:ind w:left="7" w:right="1" w:firstLine="14"/>
              <w:jc w:val="both"/>
              <w:rPr>
                <w:rFonts w:ascii="宋体" w:hAnsi="宋体" w:eastAsia="宋体" w:cs="宋体"/>
              </w:rPr>
            </w:pPr>
            <w:r>
              <w:rPr>
                <w:rFonts w:ascii="宋体" w:hAnsi="宋体" w:eastAsia="宋体" w:cs="宋体"/>
                <w:spacing w:val="7"/>
              </w:rPr>
              <w:t>畜禽养殖废水不得排入敏感水域和有特</w:t>
            </w:r>
            <w:r>
              <w:rPr>
                <w:rFonts w:ascii="宋体" w:hAnsi="宋体" w:eastAsia="宋体" w:cs="宋体"/>
                <w:spacing w:val="-5"/>
              </w:rPr>
              <w:t>殊功能的水域，排放去向应符合国家和地</w:t>
            </w:r>
            <w:r>
              <w:rPr>
                <w:rFonts w:ascii="宋体" w:hAnsi="宋体" w:eastAsia="宋体" w:cs="宋体"/>
                <w:spacing w:val="-6"/>
              </w:rPr>
              <w:t>方的有关规定。排放水质应满足</w:t>
            </w:r>
            <w:r>
              <w:rPr>
                <w:rFonts w:ascii="宋体" w:hAnsi="宋体" w:eastAsia="宋体" w:cs="宋体"/>
                <w:spacing w:val="-34"/>
              </w:rPr>
              <w:t xml:space="preserve"> </w:t>
            </w:r>
            <w:r>
              <w:rPr>
                <w:spacing w:val="-6"/>
              </w:rPr>
              <w:t>GB18596</w:t>
            </w:r>
            <w:r>
              <w:rPr>
                <w:rFonts w:ascii="宋体" w:hAnsi="宋体" w:eastAsia="宋体" w:cs="宋体"/>
                <w:spacing w:val="-5"/>
              </w:rPr>
              <w:t>或有关地方污染物排放标准的规定；处理</w:t>
            </w:r>
            <w:r>
              <w:rPr>
                <w:rFonts w:ascii="宋体" w:hAnsi="宋体" w:eastAsia="宋体" w:cs="宋体"/>
                <w:spacing w:val="14"/>
              </w:rPr>
              <w:t>后用于农田施肥的</w:t>
            </w:r>
            <w:r>
              <w:rPr>
                <w:rFonts w:ascii="宋体" w:hAnsi="宋体" w:eastAsia="宋体" w:cs="宋体"/>
                <w:spacing w:val="-48"/>
              </w:rPr>
              <w:t xml:space="preserve"> </w:t>
            </w:r>
            <w:r>
              <w:rPr>
                <w:rFonts w:ascii="宋体" w:hAnsi="宋体" w:eastAsia="宋体" w:cs="宋体"/>
                <w:spacing w:val="14"/>
              </w:rPr>
              <w:t>，出</w:t>
            </w:r>
            <w:r>
              <w:rPr>
                <w:rFonts w:ascii="宋体" w:hAnsi="宋体" w:eastAsia="宋体" w:cs="宋体"/>
                <w:spacing w:val="-44"/>
              </w:rPr>
              <w:t xml:space="preserve"> </w:t>
            </w:r>
            <w:r>
              <w:rPr>
                <w:rFonts w:ascii="宋体" w:hAnsi="宋体" w:eastAsia="宋体" w:cs="宋体"/>
                <w:spacing w:val="14"/>
              </w:rPr>
              <w:t>水水质应满足</w:t>
            </w:r>
            <w:r>
              <w:rPr>
                <w:spacing w:val="-5"/>
              </w:rPr>
              <w:t>GB5084</w:t>
            </w:r>
            <w:r>
              <w:rPr>
                <w:spacing w:val="27"/>
              </w:rPr>
              <w:t xml:space="preserve"> </w:t>
            </w:r>
            <w:r>
              <w:rPr>
                <w:rFonts w:ascii="宋体" w:hAnsi="宋体" w:eastAsia="宋体" w:cs="宋体"/>
                <w:spacing w:val="-5"/>
              </w:rPr>
              <w:t>的规定。</w:t>
            </w:r>
          </w:p>
        </w:tc>
        <w:tc>
          <w:tcPr>
            <w:tcW w:w="3361" w:type="dxa"/>
            <w:vAlign w:val="top"/>
          </w:tcPr>
          <w:p w14:paraId="22394C48">
            <w:pPr>
              <w:spacing w:line="449" w:lineRule="auto"/>
              <w:rPr>
                <w:rFonts w:ascii="Arial"/>
                <w:sz w:val="21"/>
              </w:rPr>
            </w:pPr>
          </w:p>
          <w:p w14:paraId="33792336">
            <w:pPr>
              <w:pStyle w:val="6"/>
              <w:spacing w:before="68" w:line="276" w:lineRule="auto"/>
              <w:ind w:left="12" w:right="11"/>
              <w:jc w:val="both"/>
              <w:rPr>
                <w:rFonts w:ascii="宋体" w:hAnsi="宋体" w:eastAsia="宋体" w:cs="宋体"/>
              </w:rPr>
            </w:pPr>
            <w:r>
              <w:rPr>
                <w:rFonts w:ascii="宋体" w:hAnsi="宋体" w:eastAsia="宋体" w:cs="宋体"/>
                <w:spacing w:val="-3"/>
              </w:rPr>
              <w:t>本项目废水经处理达《农田灌溉水质</w:t>
            </w:r>
            <w:r>
              <w:rPr>
                <w:rFonts w:ascii="宋体" w:hAnsi="宋体" w:eastAsia="宋体" w:cs="宋体"/>
                <w:spacing w:val="1"/>
              </w:rPr>
              <w:t>标准》（</w:t>
            </w:r>
            <w:r>
              <w:t>GB</w:t>
            </w:r>
            <w:r>
              <w:rPr>
                <w:spacing w:val="1"/>
              </w:rPr>
              <w:t>5084-2021</w:t>
            </w:r>
            <w:r>
              <w:rPr>
                <w:rFonts w:ascii="宋体" w:hAnsi="宋体" w:eastAsia="宋体" w:cs="宋体"/>
                <w:spacing w:val="1"/>
              </w:rPr>
              <w:t>）中旱地作物</w:t>
            </w:r>
            <w:r>
              <w:rPr>
                <w:rFonts w:ascii="宋体" w:hAnsi="宋体" w:eastAsia="宋体" w:cs="宋体"/>
                <w:spacing w:val="-3"/>
              </w:rPr>
              <w:t>标准后用于周边消纳地农灌。</w:t>
            </w:r>
          </w:p>
        </w:tc>
        <w:tc>
          <w:tcPr>
            <w:tcW w:w="772" w:type="dxa"/>
            <w:vAlign w:val="top"/>
          </w:tcPr>
          <w:p w14:paraId="0ADC8E07">
            <w:pPr>
              <w:spacing w:line="253" w:lineRule="auto"/>
              <w:rPr>
                <w:rFonts w:ascii="Arial"/>
                <w:sz w:val="21"/>
              </w:rPr>
            </w:pPr>
          </w:p>
          <w:p w14:paraId="691B8DBB">
            <w:pPr>
              <w:spacing w:line="253" w:lineRule="auto"/>
              <w:rPr>
                <w:rFonts w:ascii="Arial"/>
                <w:sz w:val="21"/>
              </w:rPr>
            </w:pPr>
          </w:p>
          <w:p w14:paraId="6D4EEA7B">
            <w:pPr>
              <w:spacing w:line="253" w:lineRule="auto"/>
              <w:rPr>
                <w:rFonts w:ascii="Arial"/>
                <w:sz w:val="21"/>
              </w:rPr>
            </w:pPr>
          </w:p>
          <w:p w14:paraId="12164C05">
            <w:pPr>
              <w:spacing w:before="69"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0AF54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469" w:type="dxa"/>
            <w:vAlign w:val="top"/>
          </w:tcPr>
          <w:p w14:paraId="3A7E1A3C">
            <w:pPr>
              <w:spacing w:line="278" w:lineRule="auto"/>
              <w:rPr>
                <w:rFonts w:ascii="Arial"/>
                <w:sz w:val="21"/>
              </w:rPr>
            </w:pPr>
          </w:p>
          <w:p w14:paraId="3E6B170F">
            <w:pPr>
              <w:spacing w:line="278" w:lineRule="auto"/>
              <w:rPr>
                <w:rFonts w:ascii="Arial"/>
                <w:sz w:val="21"/>
              </w:rPr>
            </w:pPr>
          </w:p>
          <w:p w14:paraId="12FD4A45">
            <w:pPr>
              <w:spacing w:line="279" w:lineRule="auto"/>
              <w:rPr>
                <w:rFonts w:ascii="Arial"/>
                <w:sz w:val="21"/>
              </w:rPr>
            </w:pPr>
          </w:p>
          <w:p w14:paraId="4A148E5F">
            <w:pPr>
              <w:spacing w:line="279" w:lineRule="auto"/>
              <w:rPr>
                <w:rFonts w:ascii="Arial"/>
                <w:sz w:val="21"/>
              </w:rPr>
            </w:pPr>
          </w:p>
          <w:p w14:paraId="4483136B">
            <w:pPr>
              <w:pStyle w:val="6"/>
              <w:spacing w:before="60" w:line="188" w:lineRule="auto"/>
              <w:ind w:left="181"/>
            </w:pPr>
            <w:r>
              <w:t>4</w:t>
            </w:r>
          </w:p>
        </w:tc>
        <w:tc>
          <w:tcPr>
            <w:tcW w:w="3718" w:type="dxa"/>
            <w:vAlign w:val="top"/>
          </w:tcPr>
          <w:p w14:paraId="5D026FB5">
            <w:pPr>
              <w:spacing w:line="303" w:lineRule="auto"/>
              <w:rPr>
                <w:rFonts w:ascii="Arial"/>
                <w:sz w:val="21"/>
              </w:rPr>
            </w:pPr>
          </w:p>
          <w:p w14:paraId="6DF8B1AD">
            <w:pPr>
              <w:spacing w:line="304" w:lineRule="auto"/>
              <w:rPr>
                <w:rFonts w:ascii="Arial"/>
                <w:sz w:val="21"/>
              </w:rPr>
            </w:pPr>
          </w:p>
          <w:p w14:paraId="6B4743D7">
            <w:pPr>
              <w:spacing w:before="68" w:line="275" w:lineRule="auto"/>
              <w:ind w:left="12" w:firstLine="8"/>
              <w:jc w:val="both"/>
              <w:rPr>
                <w:rFonts w:ascii="宋体" w:hAnsi="宋体" w:eastAsia="宋体" w:cs="宋体"/>
                <w:sz w:val="21"/>
                <w:szCs w:val="21"/>
              </w:rPr>
            </w:pPr>
            <w:r>
              <w:rPr>
                <w:rFonts w:ascii="宋体" w:hAnsi="宋体" w:eastAsia="宋体" w:cs="宋体"/>
                <w:spacing w:val="5"/>
                <w:sz w:val="21"/>
                <w:szCs w:val="21"/>
              </w:rPr>
              <w:t>畜禽养殖业污染治理工程的建设应符合</w:t>
            </w:r>
            <w:r>
              <w:rPr>
                <w:rFonts w:ascii="宋体" w:hAnsi="宋体" w:eastAsia="宋体" w:cs="宋体"/>
                <w:spacing w:val="-5"/>
                <w:sz w:val="21"/>
                <w:szCs w:val="21"/>
              </w:rPr>
              <w:t>当地总体规划，与当地客观实际相结合，</w:t>
            </w:r>
            <w:r>
              <w:rPr>
                <w:rFonts w:ascii="宋体" w:hAnsi="宋体" w:eastAsia="宋体" w:cs="宋体"/>
                <w:spacing w:val="-6"/>
                <w:sz w:val="21"/>
                <w:szCs w:val="21"/>
              </w:rPr>
              <w:t>正确处理集中与分散、处理与利用、近期</w:t>
            </w:r>
            <w:r>
              <w:rPr>
                <w:rFonts w:ascii="宋体" w:hAnsi="宋体" w:eastAsia="宋体" w:cs="宋体"/>
                <w:spacing w:val="-7"/>
                <w:sz w:val="21"/>
                <w:szCs w:val="21"/>
              </w:rPr>
              <w:t>与远期的关系。</w:t>
            </w:r>
          </w:p>
        </w:tc>
        <w:tc>
          <w:tcPr>
            <w:tcW w:w="3361" w:type="dxa"/>
            <w:vAlign w:val="top"/>
          </w:tcPr>
          <w:p w14:paraId="25B9FCF2">
            <w:pPr>
              <w:spacing w:before="51" w:line="268" w:lineRule="auto"/>
              <w:ind w:left="11"/>
              <w:jc w:val="both"/>
              <w:rPr>
                <w:rFonts w:ascii="宋体" w:hAnsi="宋体" w:eastAsia="宋体" w:cs="宋体"/>
                <w:sz w:val="21"/>
                <w:szCs w:val="21"/>
              </w:rPr>
            </w:pPr>
            <w:r>
              <w:rPr>
                <w:rFonts w:ascii="宋体" w:hAnsi="宋体" w:eastAsia="宋体" w:cs="宋体"/>
                <w:spacing w:val="12"/>
                <w:sz w:val="21"/>
                <w:szCs w:val="21"/>
              </w:rPr>
              <w:t>本项目废水经处理后用于周边消纳</w:t>
            </w:r>
            <w:r>
              <w:rPr>
                <w:rFonts w:ascii="宋体" w:hAnsi="宋体" w:eastAsia="宋体" w:cs="宋体"/>
                <w:spacing w:val="-1"/>
                <w:sz w:val="21"/>
                <w:szCs w:val="21"/>
              </w:rPr>
              <w:t>地农灌，经分析，项目区周边土地可满足本项目废水的灌溉要求。粪便经固液分离后于堆粪棚暂存，交有机肥厂生产有机肥；病死猪交内江市环态</w:t>
            </w:r>
            <w:r>
              <w:rPr>
                <w:rFonts w:ascii="宋体" w:hAnsi="宋体" w:eastAsia="宋体" w:cs="宋体"/>
                <w:spacing w:val="12"/>
                <w:sz w:val="21"/>
                <w:szCs w:val="21"/>
              </w:rPr>
              <w:t>动物无害化处置有限责任公司进行</w:t>
            </w:r>
            <w:r>
              <w:rPr>
                <w:rFonts w:ascii="宋体" w:hAnsi="宋体" w:eastAsia="宋体" w:cs="宋体"/>
                <w:spacing w:val="-1"/>
                <w:sz w:val="21"/>
                <w:szCs w:val="21"/>
              </w:rPr>
              <w:t>无害化处理。符合当地规划和客观实</w:t>
            </w:r>
            <w:r>
              <w:rPr>
                <w:rFonts w:ascii="宋体" w:hAnsi="宋体" w:eastAsia="宋体" w:cs="宋体"/>
                <w:spacing w:val="-10"/>
                <w:sz w:val="21"/>
                <w:szCs w:val="21"/>
              </w:rPr>
              <w:t>际。</w:t>
            </w:r>
          </w:p>
        </w:tc>
        <w:tc>
          <w:tcPr>
            <w:tcW w:w="772" w:type="dxa"/>
            <w:vAlign w:val="top"/>
          </w:tcPr>
          <w:p w14:paraId="20B385A9">
            <w:pPr>
              <w:spacing w:line="267" w:lineRule="auto"/>
              <w:rPr>
                <w:rFonts w:ascii="Arial"/>
                <w:sz w:val="21"/>
              </w:rPr>
            </w:pPr>
          </w:p>
          <w:p w14:paraId="681AEBF3">
            <w:pPr>
              <w:spacing w:line="267" w:lineRule="auto"/>
              <w:rPr>
                <w:rFonts w:ascii="Arial"/>
                <w:sz w:val="21"/>
              </w:rPr>
            </w:pPr>
          </w:p>
          <w:p w14:paraId="5680D03A">
            <w:pPr>
              <w:spacing w:line="267" w:lineRule="auto"/>
              <w:rPr>
                <w:rFonts w:ascii="Arial"/>
                <w:sz w:val="21"/>
              </w:rPr>
            </w:pPr>
          </w:p>
          <w:p w14:paraId="34C073F9">
            <w:pPr>
              <w:spacing w:line="268" w:lineRule="auto"/>
              <w:rPr>
                <w:rFonts w:ascii="Arial"/>
                <w:sz w:val="21"/>
              </w:rPr>
            </w:pPr>
          </w:p>
          <w:p w14:paraId="055EF2A5">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6CB47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69" w:type="dxa"/>
            <w:vAlign w:val="top"/>
          </w:tcPr>
          <w:p w14:paraId="0112E7EC">
            <w:pPr>
              <w:spacing w:line="248" w:lineRule="auto"/>
              <w:rPr>
                <w:rFonts w:ascii="Arial"/>
                <w:sz w:val="21"/>
              </w:rPr>
            </w:pPr>
          </w:p>
          <w:p w14:paraId="613DE645">
            <w:pPr>
              <w:spacing w:line="249" w:lineRule="auto"/>
              <w:rPr>
                <w:rFonts w:ascii="Arial"/>
                <w:sz w:val="21"/>
              </w:rPr>
            </w:pPr>
          </w:p>
          <w:p w14:paraId="07A953E3">
            <w:pPr>
              <w:pStyle w:val="6"/>
              <w:spacing w:before="61" w:line="185" w:lineRule="auto"/>
              <w:ind w:left="188"/>
            </w:pPr>
            <w:r>
              <w:t>5</w:t>
            </w:r>
          </w:p>
        </w:tc>
        <w:tc>
          <w:tcPr>
            <w:tcW w:w="3718" w:type="dxa"/>
            <w:vAlign w:val="top"/>
          </w:tcPr>
          <w:p w14:paraId="3A4299E2">
            <w:pPr>
              <w:spacing w:before="54" w:line="261" w:lineRule="auto"/>
              <w:ind w:left="7" w:right="1" w:firstLine="14"/>
              <w:jc w:val="both"/>
              <w:rPr>
                <w:rFonts w:ascii="宋体" w:hAnsi="宋体" w:eastAsia="宋体" w:cs="宋体"/>
                <w:sz w:val="21"/>
                <w:szCs w:val="21"/>
              </w:rPr>
            </w:pPr>
            <w:r>
              <w:rPr>
                <w:rFonts w:ascii="宋体" w:hAnsi="宋体" w:eastAsia="宋体" w:cs="宋体"/>
                <w:spacing w:val="7"/>
                <w:sz w:val="21"/>
                <w:szCs w:val="21"/>
              </w:rPr>
              <w:t>畜禽养殖业污染治理工程应采取防治二</w:t>
            </w:r>
            <w:r>
              <w:rPr>
                <w:rFonts w:ascii="宋体" w:hAnsi="宋体" w:eastAsia="宋体" w:cs="宋体"/>
                <w:spacing w:val="-5"/>
                <w:sz w:val="21"/>
                <w:szCs w:val="21"/>
              </w:rPr>
              <w:t>次污染的措施，废水、废气、废渣、噪声</w:t>
            </w:r>
            <w:r>
              <w:rPr>
                <w:rFonts w:ascii="宋体" w:hAnsi="宋体" w:eastAsia="宋体" w:cs="宋体"/>
                <w:spacing w:val="7"/>
                <w:sz w:val="21"/>
                <w:szCs w:val="21"/>
              </w:rPr>
              <w:t>及其他污染物的排放应符合相应的国家</w:t>
            </w:r>
            <w:r>
              <w:rPr>
                <w:rFonts w:ascii="宋体" w:hAnsi="宋体" w:eastAsia="宋体" w:cs="宋体"/>
                <w:spacing w:val="-5"/>
                <w:sz w:val="21"/>
                <w:szCs w:val="21"/>
              </w:rPr>
              <w:t>或地方排放标准。</w:t>
            </w:r>
          </w:p>
        </w:tc>
        <w:tc>
          <w:tcPr>
            <w:tcW w:w="3361" w:type="dxa"/>
            <w:vAlign w:val="top"/>
          </w:tcPr>
          <w:p w14:paraId="28C795A2">
            <w:pPr>
              <w:spacing w:before="54" w:line="261" w:lineRule="auto"/>
              <w:ind w:left="10"/>
              <w:jc w:val="both"/>
              <w:rPr>
                <w:rFonts w:ascii="宋体" w:hAnsi="宋体" w:eastAsia="宋体" w:cs="宋体"/>
                <w:sz w:val="21"/>
                <w:szCs w:val="21"/>
              </w:rPr>
            </w:pPr>
            <w:r>
              <w:rPr>
                <w:rFonts w:ascii="宋体" w:hAnsi="宋体" w:eastAsia="宋体" w:cs="宋体"/>
                <w:spacing w:val="8"/>
                <w:sz w:val="21"/>
                <w:szCs w:val="21"/>
              </w:rPr>
              <w:t>在落实本报告书提出的污染治理措</w:t>
            </w:r>
            <w:r>
              <w:rPr>
                <w:rFonts w:ascii="宋体" w:hAnsi="宋体" w:eastAsia="宋体" w:cs="宋体"/>
                <w:spacing w:val="-14"/>
                <w:sz w:val="21"/>
                <w:szCs w:val="21"/>
              </w:rPr>
              <w:t>施的情况下，项目废水、废气、废渣、</w:t>
            </w:r>
            <w:r>
              <w:rPr>
                <w:rFonts w:ascii="宋体" w:hAnsi="宋体" w:eastAsia="宋体" w:cs="宋体"/>
                <w:spacing w:val="8"/>
                <w:sz w:val="21"/>
                <w:szCs w:val="21"/>
              </w:rPr>
              <w:t>噪声及其他污染物的排放可达到相</w:t>
            </w:r>
            <w:r>
              <w:rPr>
                <w:rFonts w:ascii="宋体" w:hAnsi="宋体" w:eastAsia="宋体" w:cs="宋体"/>
                <w:spacing w:val="-7"/>
                <w:sz w:val="21"/>
                <w:szCs w:val="21"/>
              </w:rPr>
              <w:t>应的国家或地方排放标准。</w:t>
            </w:r>
          </w:p>
        </w:tc>
        <w:tc>
          <w:tcPr>
            <w:tcW w:w="772" w:type="dxa"/>
            <w:vAlign w:val="top"/>
          </w:tcPr>
          <w:p w14:paraId="5855E2BC">
            <w:pPr>
              <w:spacing w:line="450" w:lineRule="auto"/>
              <w:rPr>
                <w:rFonts w:ascii="Arial"/>
                <w:sz w:val="21"/>
              </w:rPr>
            </w:pPr>
          </w:p>
          <w:p w14:paraId="4227B970">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0649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69" w:type="dxa"/>
            <w:vAlign w:val="top"/>
          </w:tcPr>
          <w:p w14:paraId="3F2218C6">
            <w:pPr>
              <w:pStyle w:val="6"/>
              <w:spacing w:before="247" w:line="188" w:lineRule="auto"/>
              <w:ind w:left="187"/>
            </w:pPr>
            <w:r>
              <w:t>6</w:t>
            </w:r>
          </w:p>
        </w:tc>
        <w:tc>
          <w:tcPr>
            <w:tcW w:w="3718" w:type="dxa"/>
            <w:vAlign w:val="top"/>
          </w:tcPr>
          <w:p w14:paraId="78F2B0C1">
            <w:pPr>
              <w:spacing w:before="55" w:line="250" w:lineRule="auto"/>
              <w:ind w:left="9" w:right="2" w:hanging="1"/>
              <w:rPr>
                <w:rFonts w:ascii="宋体" w:hAnsi="宋体" w:eastAsia="宋体" w:cs="宋体"/>
                <w:sz w:val="21"/>
                <w:szCs w:val="21"/>
              </w:rPr>
            </w:pPr>
            <w:r>
              <w:rPr>
                <w:rFonts w:ascii="宋体" w:hAnsi="宋体" w:eastAsia="宋体" w:cs="宋体"/>
                <w:spacing w:val="-5"/>
                <w:sz w:val="21"/>
                <w:szCs w:val="21"/>
              </w:rPr>
              <w:t>集约化畜禽养殖场（区）污染治理工程应</w:t>
            </w:r>
            <w:r>
              <w:rPr>
                <w:rFonts w:ascii="宋体" w:hAnsi="宋体" w:eastAsia="宋体" w:cs="宋体"/>
                <w:spacing w:val="-3"/>
                <w:sz w:val="21"/>
                <w:szCs w:val="21"/>
              </w:rPr>
              <w:t>按照有关规定安装水质在线监测系统。</w:t>
            </w:r>
          </w:p>
        </w:tc>
        <w:tc>
          <w:tcPr>
            <w:tcW w:w="3361" w:type="dxa"/>
            <w:vAlign w:val="top"/>
          </w:tcPr>
          <w:p w14:paraId="05F1677D">
            <w:pPr>
              <w:spacing w:before="55" w:line="250" w:lineRule="auto"/>
              <w:ind w:left="15" w:right="1" w:hanging="3"/>
              <w:rPr>
                <w:rFonts w:ascii="宋体" w:hAnsi="宋体" w:eastAsia="宋体" w:cs="宋体"/>
                <w:sz w:val="21"/>
                <w:szCs w:val="21"/>
              </w:rPr>
            </w:pPr>
            <w:r>
              <w:rPr>
                <w:rFonts w:ascii="宋体" w:hAnsi="宋体" w:eastAsia="宋体" w:cs="宋体"/>
                <w:spacing w:val="12"/>
                <w:sz w:val="21"/>
                <w:szCs w:val="21"/>
              </w:rPr>
              <w:t>本项目废水经处理达标后用于周边</w:t>
            </w:r>
            <w:r>
              <w:rPr>
                <w:rFonts w:ascii="宋体" w:hAnsi="宋体" w:eastAsia="宋体" w:cs="宋体"/>
                <w:spacing w:val="-4"/>
                <w:sz w:val="21"/>
                <w:szCs w:val="21"/>
              </w:rPr>
              <w:t>消纳地农灌，废水不外排。</w:t>
            </w:r>
          </w:p>
        </w:tc>
        <w:tc>
          <w:tcPr>
            <w:tcW w:w="772" w:type="dxa"/>
            <w:vAlign w:val="top"/>
          </w:tcPr>
          <w:p w14:paraId="1C152B92">
            <w:pPr>
              <w:spacing w:before="210" w:line="220" w:lineRule="auto"/>
              <w:ind w:left="183"/>
              <w:rPr>
                <w:rFonts w:ascii="宋体" w:hAnsi="宋体" w:eastAsia="宋体" w:cs="宋体"/>
                <w:sz w:val="21"/>
                <w:szCs w:val="21"/>
              </w:rPr>
            </w:pPr>
            <w:r>
              <w:rPr>
                <w:rFonts w:ascii="宋体" w:hAnsi="宋体" w:eastAsia="宋体" w:cs="宋体"/>
                <w:spacing w:val="-3"/>
                <w:sz w:val="21"/>
                <w:szCs w:val="21"/>
              </w:rPr>
              <w:t>符合</w:t>
            </w:r>
          </w:p>
        </w:tc>
      </w:tr>
    </w:tbl>
    <w:p w14:paraId="7789ABF1">
      <w:pPr>
        <w:pStyle w:val="2"/>
      </w:pPr>
    </w:p>
    <w:p w14:paraId="2199281C">
      <w:pPr>
        <w:sectPr>
          <w:footerReference r:id="rId93" w:type="default"/>
          <w:pgSz w:w="11905" w:h="16840"/>
          <w:pgMar w:top="1168" w:right="1768" w:bottom="1409" w:left="1770" w:header="828" w:footer="1244" w:gutter="0"/>
          <w:cols w:space="720" w:num="1"/>
        </w:sectPr>
      </w:pPr>
    </w:p>
    <w:p w14:paraId="7F7F6C1F">
      <w:pPr>
        <w:pStyle w:val="2"/>
        <w:spacing w:line="353" w:lineRule="auto"/>
      </w:pPr>
    </w:p>
    <w:p w14:paraId="2F93A401">
      <w:pPr>
        <w:spacing w:before="88"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1.6.3.4</w:t>
      </w:r>
      <w:r>
        <w:rPr>
          <w:rFonts w:ascii="Times New Roman" w:hAnsi="Times New Roman" w:eastAsia="Times New Roman" w:cs="Times New Roman"/>
          <w:b/>
          <w:bCs/>
          <w:spacing w:val="20"/>
          <w:sz w:val="27"/>
          <w:szCs w:val="27"/>
        </w:rPr>
        <w:t xml:space="preserve"> </w:t>
      </w:r>
      <w:r>
        <w:rPr>
          <w:rFonts w:ascii="宋体" w:hAnsi="宋体" w:eastAsia="宋体" w:cs="宋体"/>
          <w:b/>
          <w:bCs/>
          <w:spacing w:val="6"/>
          <w:sz w:val="27"/>
          <w:szCs w:val="27"/>
        </w:rPr>
        <w:t>与《畜禽养殖业污染防治技术规范》的符</w:t>
      </w:r>
      <w:r>
        <w:rPr>
          <w:rFonts w:ascii="宋体" w:hAnsi="宋体" w:eastAsia="宋体" w:cs="宋体"/>
          <w:b/>
          <w:bCs/>
          <w:spacing w:val="5"/>
          <w:sz w:val="27"/>
          <w:szCs w:val="27"/>
        </w:rPr>
        <w:t>合性分析</w:t>
      </w:r>
    </w:p>
    <w:p w14:paraId="05C614E0">
      <w:pPr>
        <w:spacing w:before="236" w:line="362" w:lineRule="auto"/>
        <w:ind w:left="43" w:right="41" w:firstLine="477"/>
        <w:rPr>
          <w:rFonts w:ascii="宋体" w:hAnsi="宋体" w:eastAsia="宋体" w:cs="宋体"/>
          <w:sz w:val="24"/>
          <w:szCs w:val="24"/>
        </w:rPr>
      </w:pPr>
      <w:r>
        <w:rPr>
          <w:rFonts w:ascii="宋体" w:hAnsi="宋体" w:eastAsia="宋体" w:cs="宋体"/>
          <w:spacing w:val="1"/>
          <w:sz w:val="24"/>
          <w:szCs w:val="24"/>
        </w:rPr>
        <w:t>本项目与《畜禽养殖业污染防治技术规范》（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/T81-2001</w:t>
      </w:r>
      <w:r>
        <w:rPr>
          <w:rFonts w:ascii="宋体" w:hAnsi="宋体" w:eastAsia="宋体" w:cs="宋体"/>
          <w:spacing w:val="1"/>
          <w:sz w:val="24"/>
          <w:szCs w:val="24"/>
        </w:rPr>
        <w:t>）的符合性分析</w:t>
      </w:r>
      <w:r>
        <w:rPr>
          <w:rFonts w:ascii="宋体" w:hAnsi="宋体" w:eastAsia="宋体" w:cs="宋体"/>
          <w:spacing w:val="-10"/>
          <w:sz w:val="24"/>
          <w:szCs w:val="24"/>
        </w:rPr>
        <w:t>见下表。</w:t>
      </w:r>
    </w:p>
    <w:p w14:paraId="69C3659A">
      <w:pPr>
        <w:spacing w:before="8" w:line="221" w:lineRule="auto"/>
        <w:ind w:left="140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1.6-8  </w:t>
      </w:r>
      <w:r>
        <w:rPr>
          <w:rFonts w:ascii="黑体" w:hAnsi="黑体" w:eastAsia="黑体" w:cs="黑体"/>
          <w:spacing w:val="-1"/>
          <w:sz w:val="21"/>
          <w:szCs w:val="21"/>
        </w:rPr>
        <w:t>项目与《畜禽养殖业污染防治技术规范》符合性分析</w:t>
      </w:r>
    </w:p>
    <w:p w14:paraId="4919E11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4098"/>
        <w:gridCol w:w="3708"/>
      </w:tblGrid>
      <w:tr w14:paraId="0F967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14" w:type="dxa"/>
            <w:vAlign w:val="top"/>
          </w:tcPr>
          <w:p w14:paraId="16E76E01">
            <w:pPr>
              <w:spacing w:before="68" w:line="221" w:lineRule="auto"/>
              <w:ind w:left="51"/>
              <w:rPr>
                <w:rFonts w:ascii="宋体" w:hAnsi="宋体" w:eastAsia="宋体" w:cs="宋体"/>
                <w:sz w:val="21"/>
                <w:szCs w:val="21"/>
              </w:rPr>
            </w:pPr>
            <w:r>
              <w:rPr>
                <w:rFonts w:ascii="宋体" w:hAnsi="宋体" w:eastAsia="宋体" w:cs="宋体"/>
                <w:spacing w:val="-2"/>
                <w:sz w:val="21"/>
                <w:szCs w:val="21"/>
              </w:rPr>
              <w:t>序号</w:t>
            </w:r>
          </w:p>
        </w:tc>
        <w:tc>
          <w:tcPr>
            <w:tcW w:w="4098" w:type="dxa"/>
            <w:vAlign w:val="top"/>
          </w:tcPr>
          <w:p w14:paraId="7A80113C">
            <w:pPr>
              <w:spacing w:before="68" w:line="220" w:lineRule="auto"/>
              <w:ind w:left="1634"/>
              <w:rPr>
                <w:rFonts w:ascii="宋体" w:hAnsi="宋体" w:eastAsia="宋体" w:cs="宋体"/>
                <w:sz w:val="21"/>
                <w:szCs w:val="21"/>
              </w:rPr>
            </w:pPr>
            <w:r>
              <w:rPr>
                <w:rFonts w:ascii="宋体" w:hAnsi="宋体" w:eastAsia="宋体" w:cs="宋体"/>
                <w:spacing w:val="-2"/>
                <w:sz w:val="21"/>
                <w:szCs w:val="21"/>
              </w:rPr>
              <w:t>规范内容</w:t>
            </w:r>
          </w:p>
        </w:tc>
        <w:tc>
          <w:tcPr>
            <w:tcW w:w="3708" w:type="dxa"/>
            <w:vAlign w:val="top"/>
          </w:tcPr>
          <w:p w14:paraId="69A53AE9">
            <w:pPr>
              <w:spacing w:before="68" w:line="219" w:lineRule="auto"/>
              <w:ind w:left="1334"/>
              <w:rPr>
                <w:rFonts w:ascii="宋体" w:hAnsi="宋体" w:eastAsia="宋体" w:cs="宋体"/>
                <w:sz w:val="21"/>
                <w:szCs w:val="21"/>
              </w:rPr>
            </w:pPr>
            <w:r>
              <w:rPr>
                <w:rFonts w:ascii="宋体" w:hAnsi="宋体" w:eastAsia="宋体" w:cs="宋体"/>
                <w:spacing w:val="-2"/>
                <w:sz w:val="21"/>
                <w:szCs w:val="21"/>
              </w:rPr>
              <w:t>本项目情况</w:t>
            </w:r>
          </w:p>
        </w:tc>
      </w:tr>
      <w:tr w14:paraId="2CA30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514" w:type="dxa"/>
            <w:vAlign w:val="top"/>
          </w:tcPr>
          <w:p w14:paraId="46F98634">
            <w:pPr>
              <w:spacing w:line="318" w:lineRule="auto"/>
              <w:rPr>
                <w:rFonts w:ascii="Arial"/>
                <w:sz w:val="21"/>
              </w:rPr>
            </w:pPr>
          </w:p>
          <w:p w14:paraId="29591F0E">
            <w:pPr>
              <w:spacing w:line="319" w:lineRule="auto"/>
              <w:rPr>
                <w:rFonts w:ascii="Arial"/>
                <w:sz w:val="21"/>
              </w:rPr>
            </w:pPr>
          </w:p>
          <w:p w14:paraId="3EFA3C70">
            <w:pPr>
              <w:spacing w:line="319" w:lineRule="auto"/>
              <w:rPr>
                <w:rFonts w:ascii="Arial"/>
                <w:sz w:val="21"/>
              </w:rPr>
            </w:pPr>
          </w:p>
          <w:p w14:paraId="0BE50F43">
            <w:pPr>
              <w:pStyle w:val="6"/>
              <w:spacing w:before="60" w:line="188" w:lineRule="auto"/>
              <w:ind w:left="227"/>
            </w:pPr>
            <w:r>
              <w:t>1</w:t>
            </w:r>
          </w:p>
        </w:tc>
        <w:tc>
          <w:tcPr>
            <w:tcW w:w="4098" w:type="dxa"/>
            <w:vAlign w:val="top"/>
          </w:tcPr>
          <w:p w14:paraId="350D5A69">
            <w:pPr>
              <w:spacing w:before="51" w:line="267" w:lineRule="auto"/>
              <w:ind w:left="10" w:right="1" w:firstLine="11"/>
              <w:jc w:val="both"/>
              <w:rPr>
                <w:rFonts w:ascii="宋体" w:hAnsi="宋体" w:eastAsia="宋体" w:cs="宋体"/>
                <w:sz w:val="21"/>
                <w:szCs w:val="21"/>
              </w:rPr>
            </w:pPr>
            <w:r>
              <w:rPr>
                <w:rFonts w:ascii="宋体" w:hAnsi="宋体" w:eastAsia="宋体" w:cs="宋体"/>
                <w:spacing w:val="4"/>
                <w:sz w:val="21"/>
                <w:szCs w:val="21"/>
              </w:rPr>
              <w:t>畜禽养殖场应避开以下禁建区域：生活饮用水水源保护区、风景名胜区、自然保护区的核心区及缓冲区；城市和城镇居民区，包括文教科研区、医疗区、商业区、工业区、游览区等人口集中地区；县级人民政府依法划定的禁养区域；国家或地方法律、法规规定</w:t>
            </w:r>
            <w:r>
              <w:rPr>
                <w:rFonts w:ascii="宋体" w:hAnsi="宋体" w:eastAsia="宋体" w:cs="宋体"/>
                <w:spacing w:val="-4"/>
                <w:sz w:val="21"/>
                <w:szCs w:val="21"/>
              </w:rPr>
              <w:t>需特殊保护的其他区域。</w:t>
            </w:r>
          </w:p>
        </w:tc>
        <w:tc>
          <w:tcPr>
            <w:tcW w:w="3708" w:type="dxa"/>
            <w:vAlign w:val="top"/>
          </w:tcPr>
          <w:p w14:paraId="05E6EC2F">
            <w:pPr>
              <w:pStyle w:val="6"/>
              <w:spacing w:before="205" w:line="275" w:lineRule="auto"/>
              <w:ind w:left="10" w:right="2" w:firstLine="1"/>
              <w:jc w:val="both"/>
              <w:rPr>
                <w:rFonts w:ascii="宋体" w:hAnsi="宋体" w:eastAsia="宋体" w:cs="宋体"/>
              </w:rPr>
            </w:pPr>
            <w:r>
              <w:rPr>
                <w:rFonts w:ascii="宋体" w:hAnsi="宋体" w:eastAsia="宋体" w:cs="宋体"/>
                <w:spacing w:val="6"/>
              </w:rPr>
              <w:t>本项目选址位于内江市东兴区白合镇喻</w:t>
            </w:r>
            <w:r>
              <w:rPr>
                <w:rFonts w:ascii="宋体" w:hAnsi="宋体" w:eastAsia="宋体" w:cs="宋体"/>
                <w:spacing w:val="-3"/>
              </w:rPr>
              <w:t>家沟村</w:t>
            </w:r>
            <w:r>
              <w:rPr>
                <w:rFonts w:ascii="宋体" w:hAnsi="宋体" w:eastAsia="宋体" w:cs="宋体"/>
                <w:spacing w:val="-30"/>
              </w:rPr>
              <w:t xml:space="preserve"> </w:t>
            </w:r>
            <w:r>
              <w:rPr>
                <w:spacing w:val="-3"/>
              </w:rPr>
              <w:t>9</w:t>
            </w:r>
            <w:r>
              <w:rPr>
                <w:spacing w:val="-29"/>
              </w:rPr>
              <w:t xml:space="preserve"> </w:t>
            </w:r>
            <w:r>
              <w:rPr>
                <w:rFonts w:ascii="宋体" w:hAnsi="宋体" w:eastAsia="宋体" w:cs="宋体"/>
                <w:spacing w:val="-3"/>
              </w:rPr>
              <w:t>、</w:t>
            </w:r>
            <w:r>
              <w:rPr>
                <w:spacing w:val="-3"/>
              </w:rPr>
              <w:t>12</w:t>
            </w:r>
            <w:r>
              <w:rPr>
                <w:spacing w:val="22"/>
              </w:rPr>
              <w:t xml:space="preserve"> </w:t>
            </w:r>
            <w:r>
              <w:rPr>
                <w:rFonts w:ascii="宋体" w:hAnsi="宋体" w:eastAsia="宋体" w:cs="宋体"/>
                <w:spacing w:val="-3"/>
              </w:rPr>
              <w:t>组 ，选址不属于饮用水水</w:t>
            </w:r>
            <w:r>
              <w:rPr>
                <w:rFonts w:ascii="宋体" w:hAnsi="宋体" w:eastAsia="宋体" w:cs="宋体"/>
                <w:spacing w:val="-11"/>
              </w:rPr>
              <w:t>源保护区、风景名胜区、自然保护区； 不</w:t>
            </w:r>
            <w:r>
              <w:rPr>
                <w:rFonts w:ascii="宋体" w:hAnsi="宋体" w:eastAsia="宋体" w:cs="宋体"/>
                <w:spacing w:val="-6"/>
              </w:rPr>
              <w:t>属于城市和城镇居民区，不属于人口集中区域；亦不属于法律、法规规定的其他禁</w:t>
            </w:r>
            <w:r>
              <w:rPr>
                <w:rFonts w:ascii="宋体" w:hAnsi="宋体" w:eastAsia="宋体" w:cs="宋体"/>
                <w:spacing w:val="-3"/>
              </w:rPr>
              <w:t>止养殖区域及需要特殊保护的区域。</w:t>
            </w:r>
          </w:p>
        </w:tc>
      </w:tr>
      <w:tr w14:paraId="7ACBB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9" w:hRule="atLeast"/>
        </w:trPr>
        <w:tc>
          <w:tcPr>
            <w:tcW w:w="514" w:type="dxa"/>
            <w:vAlign w:val="top"/>
          </w:tcPr>
          <w:p w14:paraId="73406104">
            <w:pPr>
              <w:spacing w:line="256" w:lineRule="auto"/>
              <w:rPr>
                <w:rFonts w:ascii="Arial"/>
                <w:sz w:val="21"/>
              </w:rPr>
            </w:pPr>
          </w:p>
          <w:p w14:paraId="07FD8D83">
            <w:pPr>
              <w:spacing w:line="256" w:lineRule="auto"/>
              <w:rPr>
                <w:rFonts w:ascii="Arial"/>
                <w:sz w:val="21"/>
              </w:rPr>
            </w:pPr>
          </w:p>
          <w:p w14:paraId="7BF410FB">
            <w:pPr>
              <w:spacing w:line="256" w:lineRule="auto"/>
              <w:rPr>
                <w:rFonts w:ascii="Arial"/>
                <w:sz w:val="21"/>
              </w:rPr>
            </w:pPr>
          </w:p>
          <w:p w14:paraId="5A6037DE">
            <w:pPr>
              <w:spacing w:line="256" w:lineRule="auto"/>
              <w:rPr>
                <w:rFonts w:ascii="Arial"/>
                <w:sz w:val="21"/>
              </w:rPr>
            </w:pPr>
          </w:p>
          <w:p w14:paraId="73C3A8D5">
            <w:pPr>
              <w:spacing w:line="256" w:lineRule="auto"/>
              <w:rPr>
                <w:rFonts w:ascii="Arial"/>
                <w:sz w:val="21"/>
              </w:rPr>
            </w:pPr>
          </w:p>
          <w:p w14:paraId="5A1DAAE3">
            <w:pPr>
              <w:spacing w:line="257" w:lineRule="auto"/>
              <w:rPr>
                <w:rFonts w:ascii="Arial"/>
                <w:sz w:val="21"/>
              </w:rPr>
            </w:pPr>
          </w:p>
          <w:p w14:paraId="649D2C91">
            <w:pPr>
              <w:spacing w:line="257" w:lineRule="auto"/>
              <w:rPr>
                <w:rFonts w:ascii="Arial"/>
                <w:sz w:val="21"/>
              </w:rPr>
            </w:pPr>
          </w:p>
          <w:p w14:paraId="0224FFC1">
            <w:pPr>
              <w:spacing w:line="257" w:lineRule="auto"/>
              <w:rPr>
                <w:rFonts w:ascii="Arial"/>
                <w:sz w:val="21"/>
              </w:rPr>
            </w:pPr>
          </w:p>
          <w:p w14:paraId="1A232DC4">
            <w:pPr>
              <w:spacing w:line="257" w:lineRule="auto"/>
              <w:rPr>
                <w:rFonts w:ascii="Arial"/>
                <w:sz w:val="21"/>
              </w:rPr>
            </w:pPr>
          </w:p>
          <w:p w14:paraId="47C1D5C5">
            <w:pPr>
              <w:spacing w:line="257" w:lineRule="auto"/>
              <w:rPr>
                <w:rFonts w:ascii="Arial"/>
                <w:sz w:val="21"/>
              </w:rPr>
            </w:pPr>
          </w:p>
          <w:p w14:paraId="25B2FC7D">
            <w:pPr>
              <w:spacing w:line="257" w:lineRule="auto"/>
              <w:rPr>
                <w:rFonts w:ascii="Arial"/>
                <w:sz w:val="21"/>
              </w:rPr>
            </w:pPr>
          </w:p>
          <w:p w14:paraId="36704F7B">
            <w:pPr>
              <w:spacing w:line="257" w:lineRule="auto"/>
              <w:rPr>
                <w:rFonts w:ascii="Arial"/>
                <w:sz w:val="21"/>
              </w:rPr>
            </w:pPr>
          </w:p>
          <w:p w14:paraId="226F6B06">
            <w:pPr>
              <w:spacing w:line="257" w:lineRule="auto"/>
              <w:rPr>
                <w:rFonts w:ascii="Arial"/>
                <w:sz w:val="21"/>
              </w:rPr>
            </w:pPr>
          </w:p>
          <w:p w14:paraId="425038BD">
            <w:pPr>
              <w:spacing w:line="257" w:lineRule="auto"/>
              <w:rPr>
                <w:rFonts w:ascii="Arial"/>
                <w:sz w:val="21"/>
              </w:rPr>
            </w:pPr>
          </w:p>
          <w:p w14:paraId="49C1BABF">
            <w:pPr>
              <w:pStyle w:val="6"/>
              <w:spacing w:before="61" w:line="188" w:lineRule="auto"/>
              <w:ind w:left="207"/>
            </w:pPr>
            <w:r>
              <w:t>2</w:t>
            </w:r>
          </w:p>
        </w:tc>
        <w:tc>
          <w:tcPr>
            <w:tcW w:w="4098" w:type="dxa"/>
            <w:vAlign w:val="top"/>
          </w:tcPr>
          <w:p w14:paraId="0E9721A2">
            <w:pPr>
              <w:spacing w:line="244" w:lineRule="auto"/>
              <w:rPr>
                <w:rFonts w:ascii="Arial"/>
                <w:sz w:val="21"/>
              </w:rPr>
            </w:pPr>
          </w:p>
          <w:p w14:paraId="51EE1E8C">
            <w:pPr>
              <w:spacing w:line="244" w:lineRule="auto"/>
              <w:rPr>
                <w:rFonts w:ascii="Arial"/>
                <w:sz w:val="21"/>
              </w:rPr>
            </w:pPr>
          </w:p>
          <w:p w14:paraId="216B04F4">
            <w:pPr>
              <w:spacing w:line="244" w:lineRule="auto"/>
              <w:rPr>
                <w:rFonts w:ascii="Arial"/>
                <w:sz w:val="21"/>
              </w:rPr>
            </w:pPr>
          </w:p>
          <w:p w14:paraId="1EC8BFB1">
            <w:pPr>
              <w:spacing w:line="244" w:lineRule="auto"/>
              <w:rPr>
                <w:rFonts w:ascii="Arial"/>
                <w:sz w:val="21"/>
              </w:rPr>
            </w:pPr>
          </w:p>
          <w:p w14:paraId="3D9CCACE">
            <w:pPr>
              <w:spacing w:line="244" w:lineRule="auto"/>
              <w:rPr>
                <w:rFonts w:ascii="Arial"/>
                <w:sz w:val="21"/>
              </w:rPr>
            </w:pPr>
          </w:p>
          <w:p w14:paraId="77FC727D">
            <w:pPr>
              <w:spacing w:line="244" w:lineRule="auto"/>
              <w:rPr>
                <w:rFonts w:ascii="Arial"/>
                <w:sz w:val="21"/>
              </w:rPr>
            </w:pPr>
          </w:p>
          <w:p w14:paraId="771C7C44">
            <w:pPr>
              <w:spacing w:line="244" w:lineRule="auto"/>
              <w:rPr>
                <w:rFonts w:ascii="Arial"/>
                <w:sz w:val="21"/>
              </w:rPr>
            </w:pPr>
          </w:p>
          <w:p w14:paraId="045F3F93">
            <w:pPr>
              <w:spacing w:line="244" w:lineRule="auto"/>
              <w:rPr>
                <w:rFonts w:ascii="Arial"/>
                <w:sz w:val="21"/>
              </w:rPr>
            </w:pPr>
          </w:p>
          <w:p w14:paraId="47F24E49">
            <w:pPr>
              <w:spacing w:line="244" w:lineRule="auto"/>
              <w:rPr>
                <w:rFonts w:ascii="Arial"/>
                <w:sz w:val="21"/>
              </w:rPr>
            </w:pPr>
          </w:p>
          <w:p w14:paraId="0ED539AD">
            <w:pPr>
              <w:spacing w:line="244" w:lineRule="auto"/>
              <w:rPr>
                <w:rFonts w:ascii="Arial"/>
                <w:sz w:val="21"/>
              </w:rPr>
            </w:pPr>
          </w:p>
          <w:p w14:paraId="0839B21A">
            <w:pPr>
              <w:spacing w:line="244" w:lineRule="auto"/>
              <w:rPr>
                <w:rFonts w:ascii="Arial"/>
                <w:sz w:val="21"/>
              </w:rPr>
            </w:pPr>
          </w:p>
          <w:p w14:paraId="74C760AF">
            <w:pPr>
              <w:spacing w:line="245" w:lineRule="auto"/>
              <w:rPr>
                <w:rFonts w:ascii="Arial"/>
                <w:sz w:val="21"/>
              </w:rPr>
            </w:pPr>
          </w:p>
          <w:p w14:paraId="19FCF700">
            <w:pPr>
              <w:pStyle w:val="6"/>
              <w:spacing w:before="69" w:line="275" w:lineRule="auto"/>
              <w:ind w:left="8" w:right="1"/>
              <w:jc w:val="both"/>
              <w:rPr>
                <w:rFonts w:ascii="宋体" w:hAnsi="宋体" w:eastAsia="宋体" w:cs="宋体"/>
              </w:rPr>
            </w:pPr>
            <w:r>
              <w:rPr>
                <w:rFonts w:ascii="宋体" w:hAnsi="宋体" w:eastAsia="宋体" w:cs="宋体"/>
                <w:spacing w:val="4"/>
              </w:rPr>
              <w:t>新建、改建、扩建的畜禽养殖场选址应避开</w:t>
            </w:r>
            <w:r>
              <w:rPr>
                <w:rFonts w:ascii="宋体" w:hAnsi="宋体" w:eastAsia="宋体" w:cs="宋体"/>
                <w:spacing w:val="2"/>
              </w:rPr>
              <w:t>规定的禁建区域，在禁建区域附近建设的，</w:t>
            </w:r>
            <w:r>
              <w:rPr>
                <w:rFonts w:ascii="宋体" w:hAnsi="宋体" w:eastAsia="宋体" w:cs="宋体"/>
                <w:spacing w:val="4"/>
              </w:rPr>
              <w:t>应设在上述禁建区域常年主导风向的下风向或侧风向处，场界与禁建区域边界的最小距</w:t>
            </w:r>
            <w:r>
              <w:rPr>
                <w:rFonts w:ascii="宋体" w:hAnsi="宋体" w:eastAsia="宋体" w:cs="宋体"/>
                <w:spacing w:val="-2"/>
              </w:rPr>
              <w:t>离不得小于</w:t>
            </w:r>
            <w:r>
              <w:rPr>
                <w:rFonts w:ascii="宋体" w:hAnsi="宋体" w:eastAsia="宋体" w:cs="宋体"/>
                <w:spacing w:val="-41"/>
              </w:rPr>
              <w:t xml:space="preserve"> </w:t>
            </w:r>
            <w:r>
              <w:rPr>
                <w:spacing w:val="-2"/>
              </w:rPr>
              <w:t>500m</w:t>
            </w:r>
            <w:r>
              <w:rPr>
                <w:rFonts w:ascii="宋体" w:hAnsi="宋体" w:eastAsia="宋体" w:cs="宋体"/>
                <w:spacing w:val="-2"/>
              </w:rPr>
              <w:t>。</w:t>
            </w:r>
          </w:p>
        </w:tc>
        <w:tc>
          <w:tcPr>
            <w:tcW w:w="3708" w:type="dxa"/>
            <w:vAlign w:val="top"/>
          </w:tcPr>
          <w:p w14:paraId="3C5D4001">
            <w:pPr>
              <w:pStyle w:val="6"/>
              <w:spacing w:before="52" w:line="274" w:lineRule="auto"/>
              <w:ind w:left="12" w:right="2"/>
              <w:jc w:val="both"/>
              <w:rPr>
                <w:rFonts w:ascii="宋体" w:hAnsi="宋体" w:eastAsia="宋体" w:cs="宋体"/>
              </w:rPr>
            </w:pPr>
            <w:r>
              <w:rPr>
                <w:rFonts w:ascii="宋体" w:hAnsi="宋体" w:eastAsia="宋体" w:cs="宋体"/>
                <w:spacing w:val="6"/>
              </w:rPr>
              <w:t>本项目场界距现有石子镇太和村饮用水</w:t>
            </w:r>
            <w:r>
              <w:rPr>
                <w:rFonts w:ascii="宋体" w:hAnsi="宋体" w:eastAsia="宋体" w:cs="宋体"/>
              </w:rPr>
              <w:t xml:space="preserve">水源二级保护区陆域 </w:t>
            </w:r>
            <w:r>
              <w:t>12.28m</w:t>
            </w:r>
            <w:r>
              <w:rPr>
                <w:rFonts w:ascii="宋体" w:hAnsi="宋体" w:eastAsia="宋体" w:cs="宋体"/>
              </w:rPr>
              <w:t>、距一级保</w:t>
            </w:r>
            <w:r>
              <w:rPr>
                <w:rFonts w:ascii="宋体" w:hAnsi="宋体" w:eastAsia="宋体" w:cs="宋体"/>
                <w:spacing w:val="-2"/>
              </w:rPr>
              <w:t>护区陆域</w:t>
            </w:r>
            <w:r>
              <w:rPr>
                <w:rFonts w:ascii="宋体" w:hAnsi="宋体" w:eastAsia="宋体" w:cs="宋体"/>
                <w:spacing w:val="-38"/>
              </w:rPr>
              <w:t xml:space="preserve"> </w:t>
            </w:r>
            <w:r>
              <w:rPr>
                <w:spacing w:val="-2"/>
              </w:rPr>
              <w:t>701.90m</w:t>
            </w:r>
            <w:r>
              <w:rPr>
                <w:rFonts w:ascii="宋体" w:hAnsi="宋体" w:eastAsia="宋体" w:cs="宋体"/>
                <w:spacing w:val="-2"/>
              </w:rPr>
              <w:t>。</w:t>
            </w:r>
          </w:p>
          <w:p w14:paraId="709A8ABE">
            <w:pPr>
              <w:pStyle w:val="6"/>
              <w:spacing w:before="2" w:line="274" w:lineRule="auto"/>
              <w:ind w:left="11" w:right="2"/>
              <w:rPr>
                <w:rFonts w:ascii="宋体" w:hAnsi="宋体" w:eastAsia="宋体" w:cs="宋体"/>
              </w:rPr>
            </w:pPr>
            <w:r>
              <w:rPr>
                <w:rFonts w:ascii="宋体" w:hAnsi="宋体" w:eastAsia="宋体" w:cs="宋体"/>
                <w:b/>
                <w:bCs/>
                <w:spacing w:val="-4"/>
              </w:rPr>
              <w:t>根据《内江市东兴区水利局</w:t>
            </w:r>
            <w:r>
              <w:rPr>
                <w:rFonts w:ascii="宋体" w:hAnsi="宋体" w:eastAsia="宋体" w:cs="宋体"/>
                <w:spacing w:val="41"/>
              </w:rPr>
              <w:t xml:space="preserve"> </w:t>
            </w:r>
            <w:r>
              <w:rPr>
                <w:rFonts w:ascii="宋体" w:hAnsi="宋体" w:eastAsia="宋体" w:cs="宋体"/>
                <w:b/>
                <w:bCs/>
                <w:spacing w:val="-4"/>
              </w:rPr>
              <w:t>内江市东兴</w:t>
            </w:r>
            <w:r>
              <w:rPr>
                <w:rFonts w:ascii="宋体" w:hAnsi="宋体" w:eastAsia="宋体" w:cs="宋体"/>
                <w:b/>
                <w:bCs/>
                <w:spacing w:val="4"/>
              </w:rPr>
              <w:t>生态环境局关于对白石联合集中供水站</w:t>
            </w:r>
            <w:r>
              <w:rPr>
                <w:rFonts w:ascii="宋体" w:hAnsi="宋体" w:eastAsia="宋体" w:cs="宋体"/>
                <w:b/>
                <w:bCs/>
                <w:spacing w:val="10"/>
              </w:rPr>
              <w:t>取水泵房迁移的请示》</w:t>
            </w:r>
            <w:r>
              <w:rPr>
                <w:rFonts w:ascii="宋体" w:hAnsi="宋体" w:eastAsia="宋体" w:cs="宋体"/>
                <w:spacing w:val="-40"/>
              </w:rPr>
              <w:t xml:space="preserve"> </w:t>
            </w:r>
            <w:r>
              <w:rPr>
                <w:rFonts w:ascii="宋体" w:hAnsi="宋体" w:eastAsia="宋体" w:cs="宋体"/>
                <w:b/>
                <w:bCs/>
                <w:spacing w:val="10"/>
              </w:rPr>
              <w:t>（内东</w:t>
            </w:r>
            <w:r>
              <w:rPr>
                <w:rFonts w:ascii="宋体" w:hAnsi="宋体" w:eastAsia="宋体" w:cs="宋体"/>
                <w:spacing w:val="-41"/>
              </w:rPr>
              <w:t xml:space="preserve"> </w:t>
            </w:r>
            <w:r>
              <w:rPr>
                <w:rFonts w:ascii="宋体" w:hAnsi="宋体" w:eastAsia="宋体" w:cs="宋体"/>
                <w:b/>
                <w:bCs/>
                <w:spacing w:val="10"/>
              </w:rPr>
              <w:t>区水利</w:t>
            </w:r>
            <w:r>
              <w:rPr>
                <w:b/>
                <w:bCs/>
                <w:spacing w:val="-4"/>
              </w:rPr>
              <w:t>[</w:t>
            </w:r>
            <w:r>
              <w:fldChar w:fldCharType="begin"/>
            </w:r>
            <w:r>
              <w:instrText xml:space="preserve"> HYPERLINK \l "bookmark129" </w:instrText>
            </w:r>
            <w:r>
              <w:fldChar w:fldCharType="separate"/>
            </w:r>
            <w:r>
              <w:rPr>
                <w:b/>
                <w:bCs/>
                <w:spacing w:val="-4"/>
              </w:rPr>
              <w:t>2023</w:t>
            </w:r>
            <w:r>
              <w:rPr>
                <w:b/>
                <w:bCs/>
                <w:spacing w:val="-4"/>
              </w:rPr>
              <w:fldChar w:fldCharType="end"/>
            </w:r>
            <w:r>
              <w:rPr>
                <w:b/>
                <w:bCs/>
                <w:spacing w:val="-4"/>
              </w:rPr>
              <w:t>]30</w:t>
            </w:r>
            <w:r>
              <w:rPr>
                <w:b/>
                <w:bCs/>
                <w:spacing w:val="15"/>
              </w:rPr>
              <w:t xml:space="preserve"> </w:t>
            </w:r>
            <w:r>
              <w:rPr>
                <w:rFonts w:ascii="宋体" w:hAnsi="宋体" w:eastAsia="宋体" w:cs="宋体"/>
                <w:b/>
                <w:bCs/>
                <w:spacing w:val="-4"/>
              </w:rPr>
              <w:t>号</w:t>
            </w:r>
            <w:r>
              <w:rPr>
                <w:rFonts w:ascii="宋体" w:hAnsi="宋体" w:eastAsia="宋体" w:cs="宋体"/>
                <w:b/>
                <w:bCs/>
                <w:spacing w:val="-22"/>
              </w:rPr>
              <w:t>），</w:t>
            </w:r>
            <w:r>
              <w:rPr>
                <w:rFonts w:ascii="宋体" w:hAnsi="宋体" w:eastAsia="宋体" w:cs="宋体"/>
                <w:b/>
                <w:bCs/>
                <w:spacing w:val="-4"/>
              </w:rPr>
              <w:t>因五桂溪水质不符合饮用</w:t>
            </w:r>
            <w:r>
              <w:rPr>
                <w:rFonts w:ascii="宋体" w:hAnsi="宋体" w:eastAsia="宋体" w:cs="宋体"/>
                <w:b/>
                <w:bCs/>
                <w:spacing w:val="-8"/>
              </w:rPr>
              <w:t>水源标准，需将白石联合集中供水站取水泵房向上游迁移。根据《内江市东兴区人民政府办公室文件处理笺》区长批示，同</w:t>
            </w:r>
            <w:r>
              <w:rPr>
                <w:rFonts w:ascii="宋体" w:hAnsi="宋体" w:eastAsia="宋体" w:cs="宋体"/>
                <w:b/>
                <w:bCs/>
                <w:spacing w:val="-9"/>
              </w:rPr>
              <w:t>意请示。</w:t>
            </w:r>
          </w:p>
          <w:p w14:paraId="156F174D">
            <w:pPr>
              <w:pStyle w:val="6"/>
              <w:spacing w:before="3" w:line="274" w:lineRule="auto"/>
              <w:ind w:left="10" w:firstLine="1"/>
              <w:rPr>
                <w:rFonts w:ascii="宋体" w:hAnsi="宋体" w:eastAsia="宋体" w:cs="宋体"/>
              </w:rPr>
            </w:pPr>
            <w:r>
              <w:rPr>
                <w:rFonts w:ascii="宋体" w:hAnsi="宋体" w:eastAsia="宋体" w:cs="宋体"/>
                <w:b/>
                <w:bCs/>
                <w:spacing w:val="-13"/>
              </w:rPr>
              <w:t>根据测绘、设计单位提供的初步成果，取</w:t>
            </w:r>
            <w:r>
              <w:rPr>
                <w:rFonts w:ascii="宋体" w:hAnsi="宋体" w:eastAsia="宋体" w:cs="宋体"/>
                <w:b/>
                <w:bCs/>
                <w:spacing w:val="13"/>
              </w:rPr>
              <w:t>水泵房在现址沿大清流河向上游迁移</w:t>
            </w:r>
            <w:r>
              <w:rPr>
                <w:b/>
                <w:bCs/>
                <w:spacing w:val="-7"/>
              </w:rPr>
              <w:t>742m</w:t>
            </w:r>
            <w:r>
              <w:rPr>
                <w:rFonts w:ascii="宋体" w:hAnsi="宋体" w:eastAsia="宋体" w:cs="宋体"/>
                <w:b/>
                <w:bCs/>
                <w:spacing w:val="-7"/>
              </w:rPr>
              <w:t>（</w:t>
            </w:r>
            <w:r>
              <w:rPr>
                <w:b/>
                <w:bCs/>
                <w:spacing w:val="-7"/>
              </w:rPr>
              <w:t>29°41,19.07″N</w:t>
            </w:r>
            <w:r>
              <w:rPr>
                <w:rFonts w:ascii="宋体" w:hAnsi="宋体" w:eastAsia="宋体" w:cs="宋体"/>
                <w:b/>
                <w:bCs/>
                <w:spacing w:val="-7"/>
              </w:rPr>
              <w:t>，</w:t>
            </w:r>
            <w:r>
              <w:rPr>
                <w:b/>
                <w:bCs/>
                <w:spacing w:val="-7"/>
              </w:rPr>
              <w:t>105°21,19.79″E</w:t>
            </w:r>
            <w:r>
              <w:rPr>
                <w:rFonts w:ascii="宋体" w:hAnsi="宋体" w:eastAsia="宋体" w:cs="宋体"/>
                <w:b/>
                <w:bCs/>
                <w:spacing w:val="-52"/>
              </w:rPr>
              <w:t>），</w:t>
            </w:r>
            <w:r>
              <w:rPr>
                <w:rFonts w:ascii="宋体" w:hAnsi="宋体" w:eastAsia="宋体" w:cs="宋体"/>
                <w:b/>
                <w:bCs/>
                <w:spacing w:val="-7"/>
              </w:rPr>
              <w:t>迁移后的取水泵房距下游五桂溪</w:t>
            </w:r>
            <w:r>
              <w:rPr>
                <w:rFonts w:ascii="宋体" w:hAnsi="宋体" w:eastAsia="宋体" w:cs="宋体"/>
                <w:spacing w:val="-29"/>
              </w:rPr>
              <w:t xml:space="preserve"> </w:t>
            </w:r>
            <w:r>
              <w:rPr>
                <w:b/>
                <w:bCs/>
                <w:spacing w:val="-7"/>
              </w:rPr>
              <w:t>647m</w:t>
            </w:r>
            <w:r>
              <w:rPr>
                <w:b/>
                <w:bCs/>
                <w:spacing w:val="-24"/>
              </w:rPr>
              <w:t xml:space="preserve"> </w:t>
            </w:r>
            <w:r>
              <w:rPr>
                <w:rFonts w:ascii="宋体" w:hAnsi="宋体" w:eastAsia="宋体" w:cs="宋体"/>
                <w:b/>
                <w:bCs/>
                <w:spacing w:val="-7"/>
              </w:rPr>
              <w:t>。</w:t>
            </w:r>
            <w:r>
              <w:rPr>
                <w:rFonts w:ascii="宋体" w:hAnsi="宋体" w:eastAsia="宋体" w:cs="宋体"/>
                <w:b/>
                <w:bCs/>
                <w:spacing w:val="-8"/>
              </w:rPr>
              <w:t>按照《饮用水水源保护区划分技术规范》</w:t>
            </w:r>
            <w:r>
              <w:rPr>
                <w:rFonts w:ascii="宋体" w:hAnsi="宋体" w:eastAsia="宋体" w:cs="宋体"/>
                <w:spacing w:val="16"/>
              </w:rPr>
              <w:t xml:space="preserve"> </w:t>
            </w:r>
            <w:r>
              <w:rPr>
                <w:rFonts w:ascii="宋体" w:hAnsi="宋体" w:eastAsia="宋体" w:cs="宋体"/>
                <w:b/>
                <w:bCs/>
                <w:spacing w:val="-1"/>
              </w:rPr>
              <w:t>（</w:t>
            </w:r>
            <w:r>
              <w:rPr>
                <w:b/>
                <w:bCs/>
                <w:spacing w:val="-1"/>
              </w:rPr>
              <w:t>HJ338-2018</w:t>
            </w:r>
            <w:r>
              <w:rPr>
                <w:rFonts w:ascii="宋体" w:hAnsi="宋体" w:eastAsia="宋体" w:cs="宋体"/>
                <w:b/>
                <w:bCs/>
                <w:spacing w:val="-1"/>
              </w:rPr>
              <w:t>）对河流型饮用水水源保</w:t>
            </w:r>
            <w:r>
              <w:rPr>
                <w:rFonts w:ascii="宋体" w:hAnsi="宋体" w:eastAsia="宋体" w:cs="宋体"/>
                <w:b/>
                <w:bCs/>
                <w:spacing w:val="-12"/>
              </w:rPr>
              <w:t>护区的划分规定，二级保护区为取水口下</w:t>
            </w:r>
            <w:r>
              <w:rPr>
                <w:rFonts w:ascii="宋体" w:hAnsi="宋体" w:eastAsia="宋体" w:cs="宋体"/>
                <w:b/>
                <w:bCs/>
                <w:spacing w:val="-7"/>
              </w:rPr>
              <w:t>游</w:t>
            </w:r>
            <w:r>
              <w:rPr>
                <w:rFonts w:ascii="宋体" w:hAnsi="宋体" w:eastAsia="宋体" w:cs="宋体"/>
                <w:spacing w:val="-42"/>
              </w:rPr>
              <w:t xml:space="preserve"> </w:t>
            </w:r>
            <w:r>
              <w:rPr>
                <w:b/>
                <w:bCs/>
                <w:spacing w:val="-7"/>
              </w:rPr>
              <w:t>300m</w:t>
            </w:r>
            <w:r>
              <w:rPr>
                <w:rFonts w:ascii="宋体" w:hAnsi="宋体" w:eastAsia="宋体" w:cs="宋体"/>
                <w:b/>
                <w:bCs/>
                <w:spacing w:val="-7"/>
              </w:rPr>
              <w:t>。本项目距离拟调整后的水源二级保护区陆域约</w:t>
            </w:r>
            <w:r>
              <w:rPr>
                <w:rFonts w:ascii="宋体" w:hAnsi="宋体" w:eastAsia="宋体" w:cs="宋体"/>
                <w:spacing w:val="-20"/>
              </w:rPr>
              <w:t xml:space="preserve"> </w:t>
            </w:r>
            <w:r>
              <w:rPr>
                <w:b/>
                <w:bCs/>
                <w:spacing w:val="-7"/>
              </w:rPr>
              <w:t>1.1km</w:t>
            </w:r>
            <w:r>
              <w:rPr>
                <w:rFonts w:ascii="宋体" w:hAnsi="宋体" w:eastAsia="宋体" w:cs="宋体"/>
                <w:b/>
                <w:bCs/>
                <w:spacing w:val="-7"/>
              </w:rPr>
              <w:t>，远大于</w:t>
            </w:r>
            <w:r>
              <w:rPr>
                <w:rFonts w:ascii="宋体" w:hAnsi="宋体" w:eastAsia="宋体" w:cs="宋体"/>
                <w:spacing w:val="-26"/>
              </w:rPr>
              <w:t xml:space="preserve"> </w:t>
            </w:r>
            <w:r>
              <w:rPr>
                <w:b/>
                <w:bCs/>
                <w:spacing w:val="-7"/>
              </w:rPr>
              <w:t>500m</w:t>
            </w:r>
            <w:r>
              <w:rPr>
                <w:b/>
                <w:bCs/>
                <w:spacing w:val="-27"/>
              </w:rPr>
              <w:t xml:space="preserve"> </w:t>
            </w:r>
            <w:r>
              <w:rPr>
                <w:rFonts w:ascii="宋体" w:hAnsi="宋体" w:eastAsia="宋体" w:cs="宋体"/>
                <w:b/>
                <w:bCs/>
                <w:spacing w:val="-7"/>
              </w:rPr>
              <w:t>，</w:t>
            </w:r>
            <w:r>
              <w:rPr>
                <w:rFonts w:ascii="宋体" w:hAnsi="宋体" w:eastAsia="宋体" w:cs="宋体"/>
                <w:b/>
                <w:bCs/>
                <w:spacing w:val="-12"/>
              </w:rPr>
              <w:t>同时环评要求，项目需在取水泵房迁移后</w:t>
            </w:r>
            <w:r>
              <w:rPr>
                <w:rFonts w:ascii="宋体" w:hAnsi="宋体" w:eastAsia="宋体" w:cs="宋体"/>
                <w:b/>
                <w:bCs/>
                <w:spacing w:val="-7"/>
              </w:rPr>
              <w:t>方可投入运行。</w:t>
            </w:r>
          </w:p>
          <w:p w14:paraId="4F4D1EB6">
            <w:pPr>
              <w:pStyle w:val="6"/>
              <w:spacing w:before="1" w:line="247" w:lineRule="auto"/>
              <w:ind w:left="41" w:right="21" w:hanging="29"/>
              <w:rPr>
                <w:rFonts w:ascii="宋体" w:hAnsi="宋体" w:eastAsia="宋体" w:cs="宋体"/>
              </w:rPr>
            </w:pPr>
            <w:r>
              <w:rPr>
                <w:rFonts w:ascii="宋体" w:hAnsi="宋体" w:eastAsia="宋体" w:cs="宋体"/>
                <w:spacing w:val="-4"/>
              </w:rPr>
              <w:t>本项目与石子镇场镇直线距离</w:t>
            </w:r>
            <w:r>
              <w:rPr>
                <w:rFonts w:ascii="宋体" w:hAnsi="宋体" w:eastAsia="宋体" w:cs="宋体"/>
                <w:spacing w:val="-38"/>
              </w:rPr>
              <w:t xml:space="preserve"> </w:t>
            </w:r>
            <w:r>
              <w:rPr>
                <w:spacing w:val="-4"/>
              </w:rPr>
              <w:t>3.0km</w:t>
            </w:r>
            <w:r>
              <w:rPr>
                <w:rFonts w:ascii="宋体" w:hAnsi="宋体" w:eastAsia="宋体" w:cs="宋体"/>
                <w:spacing w:val="-4"/>
              </w:rPr>
              <w:t>，与白合镇场镇直线距离</w:t>
            </w:r>
            <w:r>
              <w:rPr>
                <w:rFonts w:ascii="宋体" w:hAnsi="宋体" w:eastAsia="宋体" w:cs="宋体"/>
                <w:spacing w:val="-31"/>
              </w:rPr>
              <w:t xml:space="preserve"> </w:t>
            </w:r>
            <w:r>
              <w:rPr>
                <w:spacing w:val="-4"/>
              </w:rPr>
              <w:t>5.0km</w:t>
            </w:r>
            <w:r>
              <w:rPr>
                <w:rFonts w:ascii="宋体" w:hAnsi="宋体" w:eastAsia="宋体" w:cs="宋体"/>
                <w:spacing w:val="-4"/>
              </w:rPr>
              <w:t>。</w:t>
            </w:r>
          </w:p>
        </w:tc>
      </w:tr>
      <w:tr w14:paraId="49274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514" w:type="dxa"/>
            <w:vAlign w:val="top"/>
          </w:tcPr>
          <w:p w14:paraId="124E7969">
            <w:pPr>
              <w:spacing w:line="326" w:lineRule="auto"/>
              <w:rPr>
                <w:rFonts w:ascii="Arial"/>
                <w:sz w:val="21"/>
              </w:rPr>
            </w:pPr>
          </w:p>
          <w:p w14:paraId="7058D0FB">
            <w:pPr>
              <w:spacing w:line="326" w:lineRule="auto"/>
              <w:rPr>
                <w:rFonts w:ascii="Arial"/>
                <w:sz w:val="21"/>
              </w:rPr>
            </w:pPr>
          </w:p>
          <w:p w14:paraId="2D444049">
            <w:pPr>
              <w:pStyle w:val="6"/>
              <w:spacing w:before="60" w:line="188" w:lineRule="auto"/>
              <w:ind w:left="211"/>
            </w:pPr>
            <w:r>
              <w:t>3</w:t>
            </w:r>
          </w:p>
        </w:tc>
        <w:tc>
          <w:tcPr>
            <w:tcW w:w="4098" w:type="dxa"/>
            <w:vAlign w:val="top"/>
          </w:tcPr>
          <w:p w14:paraId="636413D7">
            <w:pPr>
              <w:spacing w:before="58" w:line="264" w:lineRule="auto"/>
              <w:ind w:left="9" w:right="1"/>
              <w:rPr>
                <w:rFonts w:ascii="宋体" w:hAnsi="宋体" w:eastAsia="宋体" w:cs="宋体"/>
                <w:sz w:val="21"/>
                <w:szCs w:val="21"/>
              </w:rPr>
            </w:pPr>
            <w:r>
              <w:rPr>
                <w:rFonts w:ascii="宋体" w:hAnsi="宋体" w:eastAsia="宋体" w:cs="宋体"/>
                <w:spacing w:val="4"/>
                <w:sz w:val="21"/>
                <w:szCs w:val="21"/>
              </w:rPr>
              <w:t>新建、改建、扩建的畜禽养殖场应实现生产区、生活管理区的隔离，粪便污水处理设施</w:t>
            </w:r>
            <w:r>
              <w:rPr>
                <w:rFonts w:ascii="宋体" w:hAnsi="宋体" w:eastAsia="宋体" w:cs="宋体"/>
                <w:spacing w:val="3"/>
                <w:sz w:val="21"/>
                <w:szCs w:val="21"/>
              </w:rPr>
              <w:t>和畜禽尸体焚烧炉应设在养殖场的生产区、</w:t>
            </w:r>
            <w:r>
              <w:rPr>
                <w:rFonts w:ascii="宋体" w:hAnsi="宋体" w:eastAsia="宋体" w:cs="宋体"/>
                <w:spacing w:val="4"/>
                <w:sz w:val="21"/>
                <w:szCs w:val="21"/>
              </w:rPr>
              <w:t>生活管理区的常年主导风向的下风向或侧风</w:t>
            </w:r>
            <w:r>
              <w:rPr>
                <w:rFonts w:ascii="宋体" w:hAnsi="宋体" w:eastAsia="宋体" w:cs="宋体"/>
                <w:spacing w:val="-10"/>
                <w:sz w:val="21"/>
                <w:szCs w:val="21"/>
              </w:rPr>
              <w:t>向。</w:t>
            </w:r>
          </w:p>
        </w:tc>
        <w:tc>
          <w:tcPr>
            <w:tcW w:w="3708" w:type="dxa"/>
            <w:vAlign w:val="top"/>
          </w:tcPr>
          <w:p w14:paraId="774A2573">
            <w:pPr>
              <w:spacing w:before="213" w:line="275" w:lineRule="auto"/>
              <w:ind w:left="9" w:firstLine="2"/>
              <w:jc w:val="both"/>
              <w:rPr>
                <w:rFonts w:ascii="宋体" w:hAnsi="宋体" w:eastAsia="宋体" w:cs="宋体"/>
                <w:sz w:val="21"/>
                <w:szCs w:val="21"/>
              </w:rPr>
            </w:pPr>
            <w:r>
              <w:rPr>
                <w:rFonts w:ascii="宋体" w:hAnsi="宋体" w:eastAsia="宋体" w:cs="宋体"/>
                <w:spacing w:val="-5"/>
                <w:sz w:val="21"/>
                <w:szCs w:val="21"/>
              </w:rPr>
              <w:t>本项目在北侧设置生活管理区，生产区、</w:t>
            </w:r>
            <w:r>
              <w:rPr>
                <w:rFonts w:ascii="宋体" w:hAnsi="宋体" w:eastAsia="宋体" w:cs="宋体"/>
                <w:spacing w:val="-8"/>
                <w:sz w:val="21"/>
                <w:szCs w:val="21"/>
              </w:rPr>
              <w:t>生活管理区进行分区隔离，本项目粪污处</w:t>
            </w:r>
            <w:r>
              <w:rPr>
                <w:rFonts w:ascii="宋体" w:hAnsi="宋体" w:eastAsia="宋体" w:cs="宋体"/>
                <w:spacing w:val="-9"/>
                <w:sz w:val="21"/>
                <w:szCs w:val="21"/>
              </w:rPr>
              <w:t>理区位于本项目南侧（属常年主导风向的</w:t>
            </w:r>
            <w:r>
              <w:rPr>
                <w:rFonts w:ascii="宋体" w:hAnsi="宋体" w:eastAsia="宋体" w:cs="宋体"/>
                <w:spacing w:val="-8"/>
                <w:sz w:val="21"/>
                <w:szCs w:val="21"/>
              </w:rPr>
              <w:t>侧风向）。</w:t>
            </w:r>
          </w:p>
        </w:tc>
      </w:tr>
    </w:tbl>
    <w:p w14:paraId="5F0DEF0E">
      <w:pPr>
        <w:pStyle w:val="2"/>
      </w:pPr>
    </w:p>
    <w:p w14:paraId="461EB129">
      <w:pPr>
        <w:sectPr>
          <w:footerReference r:id="rId94" w:type="default"/>
          <w:pgSz w:w="11905" w:h="16840"/>
          <w:pgMar w:top="1168" w:right="1768" w:bottom="1409" w:left="1770" w:header="828" w:footer="1244" w:gutter="0"/>
          <w:cols w:space="720" w:num="1"/>
        </w:sectPr>
      </w:pPr>
    </w:p>
    <w:p w14:paraId="5581A5A4">
      <w:pPr>
        <w:spacing w:before="30"/>
      </w:pPr>
      <w:r>
        <w:pict>
          <v:shape id="_x0000_s1032" o:spid="_x0000_s1032" o:spt="202" type="#_x0000_t202" style="position:absolute;left:0pt;margin-left:500.4pt;margin-top:139.75pt;height:13.1pt;width:16.4pt;mso-position-horizontal-relative:page;mso-position-vertical-relative:page;z-index:-251657216;mso-width-relative:page;mso-height-relative:page;" filled="f" stroked="f" coordsize="21600,21600" o:allowincell="f">
            <v:path/>
            <v:fill on="f" focussize="0,0"/>
            <v:stroke on="f"/>
            <v:imagedata o:title=""/>
            <o:lock v:ext="edit" aspectratio="f"/>
            <v:textbox inset="0mm,0mm,0mm,0mm">
              <w:txbxContent>
                <w:p w14:paraId="43791614">
                  <w:pPr>
                    <w:spacing w:before="19" w:line="195" w:lineRule="auto"/>
                    <w:ind w:left="20"/>
                    <w:rPr>
                      <w:rFonts w:ascii="宋体" w:hAnsi="宋体" w:eastAsia="宋体" w:cs="宋体"/>
                      <w:sz w:val="21"/>
                      <w:szCs w:val="21"/>
                    </w:rPr>
                  </w:pPr>
                  <w:r>
                    <w:rPr>
                      <w:rFonts w:ascii="宋体" w:hAnsi="宋体" w:eastAsia="宋体" w:cs="宋体"/>
                      <w:spacing w:val="56"/>
                      <w:w w:val="110"/>
                      <w:sz w:val="21"/>
                      <w:szCs w:val="21"/>
                    </w:rPr>
                    <w:t>”</w:t>
                  </w:r>
                </w:p>
              </w:txbxContent>
            </v:textbox>
          </v:shape>
        </w:pict>
      </w: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4098"/>
        <w:gridCol w:w="3708"/>
      </w:tblGrid>
      <w:tr w14:paraId="7AAEC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14" w:type="dxa"/>
            <w:vAlign w:val="top"/>
          </w:tcPr>
          <w:p w14:paraId="79452E3F">
            <w:pPr>
              <w:spacing w:before="68" w:line="221" w:lineRule="auto"/>
              <w:ind w:left="51"/>
              <w:rPr>
                <w:rFonts w:ascii="宋体" w:hAnsi="宋体" w:eastAsia="宋体" w:cs="宋体"/>
                <w:sz w:val="21"/>
                <w:szCs w:val="21"/>
              </w:rPr>
            </w:pPr>
            <w:r>
              <w:rPr>
                <w:rFonts w:ascii="宋体" w:hAnsi="宋体" w:eastAsia="宋体" w:cs="宋体"/>
                <w:spacing w:val="-2"/>
                <w:sz w:val="21"/>
                <w:szCs w:val="21"/>
              </w:rPr>
              <w:t>序号</w:t>
            </w:r>
          </w:p>
        </w:tc>
        <w:tc>
          <w:tcPr>
            <w:tcW w:w="4098" w:type="dxa"/>
            <w:vAlign w:val="top"/>
          </w:tcPr>
          <w:p w14:paraId="2312D8BE">
            <w:pPr>
              <w:spacing w:before="68" w:line="220" w:lineRule="auto"/>
              <w:ind w:left="1634"/>
              <w:rPr>
                <w:rFonts w:ascii="宋体" w:hAnsi="宋体" w:eastAsia="宋体" w:cs="宋体"/>
                <w:sz w:val="21"/>
                <w:szCs w:val="21"/>
              </w:rPr>
            </w:pPr>
            <w:r>
              <w:rPr>
                <w:rFonts w:ascii="宋体" w:hAnsi="宋体" w:eastAsia="宋体" w:cs="宋体"/>
                <w:spacing w:val="-2"/>
                <w:sz w:val="21"/>
                <w:szCs w:val="21"/>
              </w:rPr>
              <w:t>规范内容</w:t>
            </w:r>
          </w:p>
        </w:tc>
        <w:tc>
          <w:tcPr>
            <w:tcW w:w="3708" w:type="dxa"/>
            <w:vAlign w:val="top"/>
          </w:tcPr>
          <w:p w14:paraId="400683FB">
            <w:pPr>
              <w:spacing w:before="68" w:line="219" w:lineRule="auto"/>
              <w:ind w:left="1334"/>
              <w:rPr>
                <w:rFonts w:ascii="宋体" w:hAnsi="宋体" w:eastAsia="宋体" w:cs="宋体"/>
                <w:sz w:val="21"/>
                <w:szCs w:val="21"/>
              </w:rPr>
            </w:pPr>
            <w:r>
              <w:rPr>
                <w:rFonts w:ascii="宋体" w:hAnsi="宋体" w:eastAsia="宋体" w:cs="宋体"/>
                <w:spacing w:val="-2"/>
                <w:sz w:val="21"/>
                <w:szCs w:val="21"/>
              </w:rPr>
              <w:t>本项目情况</w:t>
            </w:r>
          </w:p>
        </w:tc>
      </w:tr>
      <w:tr w14:paraId="1584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14" w:type="dxa"/>
            <w:vAlign w:val="top"/>
          </w:tcPr>
          <w:p w14:paraId="24481975">
            <w:pPr>
              <w:spacing w:line="336" w:lineRule="auto"/>
              <w:rPr>
                <w:rFonts w:ascii="Arial"/>
                <w:sz w:val="21"/>
              </w:rPr>
            </w:pPr>
          </w:p>
          <w:p w14:paraId="28057B40">
            <w:pPr>
              <w:pStyle w:val="6"/>
              <w:spacing w:before="60" w:line="188" w:lineRule="auto"/>
              <w:ind w:left="205"/>
            </w:pPr>
            <w:r>
              <w:t>4</w:t>
            </w:r>
          </w:p>
        </w:tc>
        <w:tc>
          <w:tcPr>
            <w:tcW w:w="4098" w:type="dxa"/>
            <w:vAlign w:val="top"/>
          </w:tcPr>
          <w:p w14:paraId="66714260">
            <w:pPr>
              <w:spacing w:before="49" w:line="258" w:lineRule="auto"/>
              <w:ind w:left="7" w:right="1" w:firstLine="2"/>
              <w:jc w:val="both"/>
              <w:rPr>
                <w:rFonts w:ascii="宋体" w:hAnsi="宋体" w:eastAsia="宋体" w:cs="宋体"/>
                <w:sz w:val="21"/>
                <w:szCs w:val="21"/>
              </w:rPr>
            </w:pPr>
            <w:r>
              <w:rPr>
                <w:rFonts w:ascii="宋体" w:hAnsi="宋体" w:eastAsia="宋体" w:cs="宋体"/>
                <w:spacing w:val="4"/>
                <w:sz w:val="21"/>
                <w:szCs w:val="21"/>
              </w:rPr>
              <w:t>养殖场的排水系统应实行雨水和污水收集输送系统分离，在厂区内外设置的污水收集输</w:t>
            </w:r>
            <w:r>
              <w:rPr>
                <w:rFonts w:ascii="宋体" w:hAnsi="宋体" w:eastAsia="宋体" w:cs="宋体"/>
                <w:spacing w:val="-3"/>
                <w:sz w:val="21"/>
                <w:szCs w:val="21"/>
              </w:rPr>
              <w:t>送系统，不得采取明沟布设。</w:t>
            </w:r>
          </w:p>
        </w:tc>
        <w:tc>
          <w:tcPr>
            <w:tcW w:w="3708" w:type="dxa"/>
            <w:vAlign w:val="top"/>
          </w:tcPr>
          <w:p w14:paraId="539BC317">
            <w:pPr>
              <w:spacing w:before="49" w:line="258" w:lineRule="auto"/>
              <w:ind w:left="9" w:right="2" w:firstLine="2"/>
              <w:jc w:val="both"/>
              <w:rPr>
                <w:rFonts w:ascii="宋体" w:hAnsi="宋体" w:eastAsia="宋体" w:cs="宋体"/>
                <w:sz w:val="21"/>
                <w:szCs w:val="21"/>
              </w:rPr>
            </w:pPr>
            <w:r>
              <w:rPr>
                <w:rFonts w:ascii="宋体" w:hAnsi="宋体" w:eastAsia="宋体" w:cs="宋体"/>
                <w:spacing w:val="6"/>
                <w:sz w:val="21"/>
                <w:szCs w:val="21"/>
              </w:rPr>
              <w:t>本项目排水系统实行雨水和污水收集输</w:t>
            </w:r>
            <w:r>
              <w:rPr>
                <w:rFonts w:ascii="宋体" w:hAnsi="宋体" w:eastAsia="宋体" w:cs="宋体"/>
                <w:spacing w:val="-6"/>
                <w:sz w:val="21"/>
                <w:szCs w:val="21"/>
              </w:rPr>
              <w:t>送系统分离，污水收集输送系统采取埋地</w:t>
            </w:r>
            <w:r>
              <w:rPr>
                <w:rFonts w:ascii="宋体" w:hAnsi="宋体" w:eastAsia="宋体" w:cs="宋体"/>
                <w:spacing w:val="-4"/>
                <w:sz w:val="21"/>
                <w:szCs w:val="21"/>
              </w:rPr>
              <w:t>管道，不采取明沟布设。</w:t>
            </w:r>
          </w:p>
        </w:tc>
      </w:tr>
      <w:tr w14:paraId="7BF41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514" w:type="dxa"/>
            <w:vAlign w:val="top"/>
          </w:tcPr>
          <w:p w14:paraId="7579F9D7">
            <w:pPr>
              <w:spacing w:line="319" w:lineRule="auto"/>
              <w:rPr>
                <w:rFonts w:ascii="Arial"/>
                <w:sz w:val="21"/>
              </w:rPr>
            </w:pPr>
          </w:p>
          <w:p w14:paraId="69865774">
            <w:pPr>
              <w:spacing w:line="320" w:lineRule="auto"/>
              <w:rPr>
                <w:rFonts w:ascii="Arial"/>
                <w:sz w:val="21"/>
              </w:rPr>
            </w:pPr>
          </w:p>
          <w:p w14:paraId="3B7A2E0E">
            <w:pPr>
              <w:spacing w:line="320" w:lineRule="auto"/>
              <w:rPr>
                <w:rFonts w:ascii="Arial"/>
                <w:sz w:val="21"/>
              </w:rPr>
            </w:pPr>
          </w:p>
          <w:p w14:paraId="348F583C">
            <w:pPr>
              <w:pStyle w:val="6"/>
              <w:spacing w:before="61" w:line="185" w:lineRule="auto"/>
              <w:ind w:left="212"/>
            </w:pPr>
            <w:r>
              <w:t>5</w:t>
            </w:r>
          </w:p>
        </w:tc>
        <w:tc>
          <w:tcPr>
            <w:tcW w:w="4098" w:type="dxa"/>
            <w:vAlign w:val="top"/>
          </w:tcPr>
          <w:p w14:paraId="4374F609">
            <w:pPr>
              <w:spacing w:before="205" w:line="275" w:lineRule="auto"/>
              <w:ind w:left="7" w:firstLine="1"/>
              <w:rPr>
                <w:rFonts w:ascii="宋体" w:hAnsi="宋体" w:eastAsia="宋体" w:cs="宋体"/>
                <w:sz w:val="21"/>
                <w:szCs w:val="21"/>
              </w:rPr>
            </w:pPr>
            <w:r>
              <w:rPr>
                <w:rFonts w:ascii="宋体" w:hAnsi="宋体" w:eastAsia="宋体" w:cs="宋体"/>
                <w:spacing w:val="1"/>
                <w:sz w:val="21"/>
                <w:szCs w:val="21"/>
              </w:rPr>
              <w:t>新建、改建、扩建的畜禽养殖场应采取干清</w:t>
            </w:r>
            <w:r>
              <w:rPr>
                <w:rFonts w:ascii="宋体" w:hAnsi="宋体" w:eastAsia="宋体" w:cs="宋体"/>
                <w:spacing w:val="-6"/>
                <w:sz w:val="21"/>
                <w:szCs w:val="21"/>
              </w:rPr>
              <w:t>粪工艺，采取有效措施将粪及时、单独清出，</w:t>
            </w:r>
            <w:r>
              <w:rPr>
                <w:rFonts w:ascii="宋体" w:hAnsi="宋体" w:eastAsia="宋体" w:cs="宋体"/>
                <w:spacing w:val="2"/>
                <w:sz w:val="21"/>
                <w:szCs w:val="21"/>
              </w:rPr>
              <w:t>不可与尿、污水混合排出，并将产生的粪渣</w:t>
            </w:r>
            <w:r>
              <w:rPr>
                <w:rFonts w:ascii="宋体" w:hAnsi="宋体" w:eastAsia="宋体" w:cs="宋体"/>
                <w:sz w:val="21"/>
                <w:szCs w:val="21"/>
              </w:rPr>
              <w:t>及时运至贮存或处理场所，实现日产日清。</w:t>
            </w:r>
            <w:r>
              <w:rPr>
                <w:rFonts w:ascii="宋体" w:hAnsi="宋体" w:eastAsia="宋体" w:cs="宋体"/>
                <w:spacing w:val="-6"/>
                <w:sz w:val="21"/>
                <w:szCs w:val="21"/>
              </w:rPr>
              <w:t>采用水冲粪、水泡粪湿法清粪工艺的养殖场，要逐步改为干清粪工艺。</w:t>
            </w:r>
          </w:p>
        </w:tc>
        <w:tc>
          <w:tcPr>
            <w:tcW w:w="3708" w:type="dxa"/>
            <w:vAlign w:val="top"/>
          </w:tcPr>
          <w:p w14:paraId="7327517F">
            <w:pPr>
              <w:spacing w:before="51" w:line="267" w:lineRule="auto"/>
              <w:ind w:left="10" w:right="3" w:firstLine="1"/>
              <w:jc w:val="both"/>
              <w:rPr>
                <w:rFonts w:ascii="宋体" w:hAnsi="宋体" w:eastAsia="宋体" w:cs="宋体"/>
                <w:sz w:val="21"/>
                <w:szCs w:val="21"/>
              </w:rPr>
            </w:pPr>
            <w:r>
              <w:rPr>
                <w:rFonts w:ascii="宋体" w:hAnsi="宋体" w:eastAsia="宋体" w:cs="宋体"/>
                <w:sz w:val="21"/>
                <w:szCs w:val="21"/>
              </w:rPr>
              <w:t>本项目采用“原环保部认可的清粪工艺</w:t>
            </w:r>
            <w:r>
              <w:rPr>
                <w:rFonts w:ascii="宋体" w:hAnsi="宋体" w:eastAsia="宋体" w:cs="宋体"/>
                <w:spacing w:val="-6"/>
                <w:sz w:val="21"/>
                <w:szCs w:val="21"/>
              </w:rPr>
              <w:t>（同牧原清粪工艺，为原环保部认可具备干清粪工艺基本特征</w:t>
            </w:r>
            <w:r>
              <w:rPr>
                <w:rFonts w:ascii="宋体" w:hAnsi="宋体" w:eastAsia="宋体" w:cs="宋体"/>
                <w:spacing w:val="-3"/>
                <w:sz w:val="21"/>
                <w:szCs w:val="21"/>
              </w:rPr>
              <w:t>），</w:t>
            </w:r>
            <w:r>
              <w:rPr>
                <w:rFonts w:ascii="宋体" w:hAnsi="宋体" w:eastAsia="宋体" w:cs="宋体"/>
                <w:spacing w:val="-6"/>
                <w:sz w:val="21"/>
                <w:szCs w:val="21"/>
              </w:rPr>
              <w:t>粪尿离开猪舍储存池即进行干湿分离，不混合排出，废水经污水处理站进行处理；粪便经堆粪棚暂存后，送四川正威实业有限公司生产有机</w:t>
            </w:r>
            <w:r>
              <w:rPr>
                <w:rFonts w:ascii="宋体" w:hAnsi="宋体" w:eastAsia="宋体" w:cs="宋体"/>
                <w:spacing w:val="-4"/>
                <w:sz w:val="21"/>
                <w:szCs w:val="21"/>
              </w:rPr>
              <w:t>肥，实现日产日清。</w:t>
            </w:r>
          </w:p>
        </w:tc>
      </w:tr>
      <w:tr w14:paraId="31E27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514" w:type="dxa"/>
            <w:vAlign w:val="top"/>
          </w:tcPr>
          <w:p w14:paraId="2C9C0189">
            <w:pPr>
              <w:spacing w:line="247" w:lineRule="auto"/>
              <w:rPr>
                <w:rFonts w:ascii="Arial"/>
                <w:sz w:val="21"/>
              </w:rPr>
            </w:pPr>
          </w:p>
          <w:p w14:paraId="422F405F">
            <w:pPr>
              <w:spacing w:line="247" w:lineRule="auto"/>
              <w:rPr>
                <w:rFonts w:ascii="Arial"/>
                <w:sz w:val="21"/>
              </w:rPr>
            </w:pPr>
          </w:p>
          <w:p w14:paraId="042216E4">
            <w:pPr>
              <w:pStyle w:val="6"/>
              <w:spacing w:before="60" w:line="188" w:lineRule="auto"/>
              <w:ind w:left="211"/>
            </w:pPr>
            <w:r>
              <w:t>6</w:t>
            </w:r>
          </w:p>
        </w:tc>
        <w:tc>
          <w:tcPr>
            <w:tcW w:w="4098" w:type="dxa"/>
            <w:vAlign w:val="top"/>
          </w:tcPr>
          <w:p w14:paraId="2B02750E">
            <w:pPr>
              <w:spacing w:before="208" w:line="276" w:lineRule="auto"/>
              <w:ind w:left="7" w:right="1" w:firstLine="14"/>
              <w:jc w:val="both"/>
              <w:rPr>
                <w:rFonts w:ascii="宋体" w:hAnsi="宋体" w:eastAsia="宋体" w:cs="宋体"/>
                <w:sz w:val="21"/>
                <w:szCs w:val="21"/>
              </w:rPr>
            </w:pPr>
            <w:r>
              <w:rPr>
                <w:rFonts w:ascii="宋体" w:hAnsi="宋体" w:eastAsia="宋体" w:cs="宋体"/>
                <w:spacing w:val="4"/>
                <w:sz w:val="21"/>
                <w:szCs w:val="21"/>
              </w:rPr>
              <w:t>畜禽养殖场产生的畜禽粪便应设置专门的贮存设施，其恶臭及污染物排放应符合《畜禽</w:t>
            </w:r>
            <w:r>
              <w:rPr>
                <w:rFonts w:ascii="宋体" w:hAnsi="宋体" w:eastAsia="宋体" w:cs="宋体"/>
                <w:spacing w:val="-3"/>
                <w:sz w:val="21"/>
                <w:szCs w:val="21"/>
              </w:rPr>
              <w:t>养殖业污染物排放标准》。</w:t>
            </w:r>
          </w:p>
        </w:tc>
        <w:tc>
          <w:tcPr>
            <w:tcW w:w="3708" w:type="dxa"/>
            <w:vAlign w:val="top"/>
          </w:tcPr>
          <w:p w14:paraId="07C553F9">
            <w:pPr>
              <w:pStyle w:val="6"/>
              <w:spacing w:before="55" w:line="261" w:lineRule="auto"/>
              <w:ind w:left="11" w:right="4"/>
              <w:jc w:val="both"/>
              <w:rPr>
                <w:rFonts w:ascii="宋体" w:hAnsi="宋体" w:eastAsia="宋体" w:cs="宋体"/>
              </w:rPr>
            </w:pPr>
            <w:r>
              <w:rPr>
                <w:rFonts w:ascii="宋体" w:hAnsi="宋体" w:eastAsia="宋体" w:cs="宋体"/>
                <w:spacing w:val="-7"/>
              </w:rPr>
              <w:t>本项目设置</w:t>
            </w:r>
            <w:r>
              <w:rPr>
                <w:rFonts w:ascii="宋体" w:hAnsi="宋体" w:eastAsia="宋体" w:cs="宋体"/>
                <w:spacing w:val="-14"/>
              </w:rPr>
              <w:t xml:space="preserve"> </w:t>
            </w:r>
            <w:r>
              <w:rPr>
                <w:spacing w:val="-7"/>
              </w:rPr>
              <w:t xml:space="preserve">1 </w:t>
            </w:r>
            <w:r>
              <w:rPr>
                <w:rFonts w:ascii="宋体" w:hAnsi="宋体" w:eastAsia="宋体" w:cs="宋体"/>
                <w:spacing w:val="-7"/>
              </w:rPr>
              <w:t>座堆粪棚暂存粪渣，堆粪棚</w:t>
            </w:r>
            <w:r>
              <w:rPr>
                <w:rFonts w:ascii="宋体" w:hAnsi="宋体" w:eastAsia="宋体" w:cs="宋体"/>
                <w:spacing w:val="-1"/>
              </w:rPr>
              <w:t>恶臭污染物通过喷洒生物除臭剂</w:t>
            </w:r>
            <w:r>
              <w:rPr>
                <w:spacing w:val="-1"/>
              </w:rPr>
              <w:t>+</w:t>
            </w:r>
            <w:r>
              <w:rPr>
                <w:rFonts w:ascii="宋体" w:hAnsi="宋体" w:eastAsia="宋体" w:cs="宋体"/>
                <w:spacing w:val="-1"/>
              </w:rPr>
              <w:t>负压收</w:t>
            </w:r>
            <w:r>
              <w:rPr>
                <w:rFonts w:ascii="宋体" w:hAnsi="宋体" w:eastAsia="宋体" w:cs="宋体"/>
              </w:rPr>
              <w:t>集</w:t>
            </w:r>
            <w:r>
              <w:t>+</w:t>
            </w:r>
            <w:r>
              <w:rPr>
                <w:rFonts w:ascii="宋体" w:hAnsi="宋体" w:eastAsia="宋体" w:cs="宋体"/>
              </w:rPr>
              <w:t>生物喷淋处理后</w:t>
            </w:r>
            <w:r>
              <w:rPr>
                <w:rFonts w:ascii="宋体" w:hAnsi="宋体" w:eastAsia="宋体" w:cs="宋体"/>
                <w:spacing w:val="44"/>
              </w:rPr>
              <w:t xml:space="preserve"> </w:t>
            </w:r>
            <w:r>
              <w:t xml:space="preserve">15m  </w:t>
            </w:r>
            <w:r>
              <w:rPr>
                <w:rFonts w:ascii="宋体" w:hAnsi="宋体" w:eastAsia="宋体" w:cs="宋体"/>
              </w:rPr>
              <w:t>排气筒达标排</w:t>
            </w:r>
            <w:r>
              <w:rPr>
                <w:rFonts w:ascii="宋体" w:hAnsi="宋体" w:eastAsia="宋体" w:cs="宋体"/>
                <w:spacing w:val="-10"/>
              </w:rPr>
              <w:t>放。</w:t>
            </w:r>
          </w:p>
        </w:tc>
      </w:tr>
      <w:tr w14:paraId="15ED2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514" w:type="dxa"/>
            <w:vAlign w:val="top"/>
          </w:tcPr>
          <w:p w14:paraId="3A79B7F6">
            <w:pPr>
              <w:spacing w:line="248" w:lineRule="auto"/>
              <w:rPr>
                <w:rFonts w:ascii="Arial"/>
                <w:sz w:val="21"/>
              </w:rPr>
            </w:pPr>
          </w:p>
          <w:p w14:paraId="76EC3B63">
            <w:pPr>
              <w:spacing w:line="249" w:lineRule="auto"/>
              <w:rPr>
                <w:rFonts w:ascii="Arial"/>
                <w:sz w:val="21"/>
              </w:rPr>
            </w:pPr>
          </w:p>
          <w:p w14:paraId="7F6579F5">
            <w:pPr>
              <w:pStyle w:val="6"/>
              <w:spacing w:before="60" w:line="185" w:lineRule="auto"/>
              <w:ind w:left="210"/>
            </w:pPr>
            <w:r>
              <w:t>7</w:t>
            </w:r>
          </w:p>
        </w:tc>
        <w:tc>
          <w:tcPr>
            <w:tcW w:w="4098" w:type="dxa"/>
            <w:vAlign w:val="top"/>
          </w:tcPr>
          <w:p w14:paraId="493391AF">
            <w:pPr>
              <w:pStyle w:val="6"/>
              <w:spacing w:before="53" w:line="261" w:lineRule="auto"/>
              <w:ind w:left="8" w:right="1"/>
              <w:jc w:val="both"/>
              <w:rPr>
                <w:rFonts w:ascii="宋体" w:hAnsi="宋体" w:eastAsia="宋体" w:cs="宋体"/>
              </w:rPr>
            </w:pPr>
            <w:r>
              <w:rPr>
                <w:rFonts w:ascii="宋体" w:hAnsi="宋体" w:eastAsia="宋体" w:cs="宋体"/>
                <w:spacing w:val="4"/>
              </w:rPr>
              <w:t>贮存设施的位置必须远离各类功能地表水体</w:t>
            </w:r>
            <w:r>
              <w:rPr>
                <w:rFonts w:ascii="宋体" w:hAnsi="宋体" w:eastAsia="宋体" w:cs="宋体"/>
                <w:spacing w:val="-2"/>
              </w:rPr>
              <w:t>（距离不得小于</w:t>
            </w:r>
            <w:r>
              <w:rPr>
                <w:rFonts w:ascii="宋体" w:hAnsi="宋体" w:eastAsia="宋体" w:cs="宋体"/>
                <w:spacing w:val="-35"/>
              </w:rPr>
              <w:t xml:space="preserve"> </w:t>
            </w:r>
            <w:r>
              <w:rPr>
                <w:spacing w:val="-2"/>
              </w:rPr>
              <w:t>400m</w:t>
            </w:r>
            <w:r>
              <w:rPr>
                <w:rFonts w:ascii="宋体" w:hAnsi="宋体" w:eastAsia="宋体" w:cs="宋体"/>
              </w:rPr>
              <w:t>），</w:t>
            </w:r>
            <w:r>
              <w:rPr>
                <w:rFonts w:ascii="宋体" w:hAnsi="宋体" w:eastAsia="宋体" w:cs="宋体"/>
                <w:spacing w:val="-2"/>
              </w:rPr>
              <w:t>并应设在养殖场生</w:t>
            </w:r>
            <w:r>
              <w:rPr>
                <w:rFonts w:ascii="宋体" w:hAnsi="宋体" w:eastAsia="宋体" w:cs="宋体"/>
                <w:spacing w:val="4"/>
              </w:rPr>
              <w:t>产及生活管理区的常年主导风的下风向或侧</w:t>
            </w:r>
            <w:r>
              <w:rPr>
                <w:rFonts w:ascii="宋体" w:hAnsi="宋体" w:eastAsia="宋体" w:cs="宋体"/>
                <w:spacing w:val="-8"/>
              </w:rPr>
              <w:t>风向处。</w:t>
            </w:r>
          </w:p>
        </w:tc>
        <w:tc>
          <w:tcPr>
            <w:tcW w:w="3708" w:type="dxa"/>
            <w:vAlign w:val="top"/>
          </w:tcPr>
          <w:p w14:paraId="024AE966">
            <w:pPr>
              <w:pStyle w:val="6"/>
              <w:spacing w:before="53" w:line="261" w:lineRule="auto"/>
              <w:ind w:left="12" w:right="4"/>
              <w:jc w:val="both"/>
              <w:rPr>
                <w:rFonts w:ascii="宋体" w:hAnsi="宋体" w:eastAsia="宋体" w:cs="宋体"/>
              </w:rPr>
            </w:pPr>
            <w:r>
              <w:rPr>
                <w:rFonts w:ascii="宋体" w:hAnsi="宋体" w:eastAsia="宋体" w:cs="宋体"/>
                <w:spacing w:val="-2"/>
              </w:rPr>
              <w:t>本项目堆粪棚距离南侧石核河</w:t>
            </w:r>
            <w:r>
              <w:rPr>
                <w:rFonts w:ascii="宋体" w:hAnsi="宋体" w:eastAsia="宋体" w:cs="宋体"/>
                <w:spacing w:val="-20"/>
              </w:rPr>
              <w:t xml:space="preserve"> </w:t>
            </w:r>
            <w:r>
              <w:rPr>
                <w:spacing w:val="-2"/>
              </w:rPr>
              <w:t>404m</w:t>
            </w:r>
            <w:r>
              <w:rPr>
                <w:rFonts w:ascii="宋体" w:hAnsi="宋体" w:eastAsia="宋体" w:cs="宋体"/>
                <w:spacing w:val="-2"/>
              </w:rPr>
              <w:t>，距离北侧五桂溪</w:t>
            </w:r>
            <w:r>
              <w:rPr>
                <w:rFonts w:ascii="宋体" w:hAnsi="宋体" w:eastAsia="宋体" w:cs="宋体"/>
                <w:spacing w:val="-10"/>
              </w:rPr>
              <w:t xml:space="preserve"> </w:t>
            </w:r>
            <w:r>
              <w:rPr>
                <w:spacing w:val="-2"/>
              </w:rPr>
              <w:t>858m</w:t>
            </w:r>
            <w:r>
              <w:rPr>
                <w:rFonts w:ascii="宋体" w:hAnsi="宋体" w:eastAsia="宋体" w:cs="宋体"/>
                <w:spacing w:val="-2"/>
              </w:rPr>
              <w:t>；当地常年主导方向</w:t>
            </w:r>
            <w:r>
              <w:rPr>
                <w:rFonts w:ascii="宋体" w:hAnsi="宋体" w:eastAsia="宋体" w:cs="宋体"/>
                <w:spacing w:val="-6"/>
              </w:rPr>
              <w:t>为西北风，堆粪棚处于生产、生活区的侧</w:t>
            </w:r>
            <w:r>
              <w:rPr>
                <w:rFonts w:ascii="宋体" w:hAnsi="宋体" w:eastAsia="宋体" w:cs="宋体"/>
                <w:spacing w:val="-9"/>
              </w:rPr>
              <w:t>风向。</w:t>
            </w:r>
          </w:p>
        </w:tc>
      </w:tr>
      <w:tr w14:paraId="3E1F3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14" w:type="dxa"/>
            <w:vAlign w:val="top"/>
          </w:tcPr>
          <w:p w14:paraId="65769ECB">
            <w:pPr>
              <w:pStyle w:val="6"/>
              <w:spacing w:before="247" w:line="188" w:lineRule="auto"/>
              <w:ind w:left="215"/>
            </w:pPr>
            <w:r>
              <w:t>8</w:t>
            </w:r>
          </w:p>
        </w:tc>
        <w:tc>
          <w:tcPr>
            <w:tcW w:w="4098" w:type="dxa"/>
            <w:vAlign w:val="top"/>
          </w:tcPr>
          <w:p w14:paraId="2656FEDA">
            <w:pPr>
              <w:spacing w:before="55" w:line="250" w:lineRule="auto"/>
              <w:ind w:left="21" w:right="1" w:hanging="12"/>
              <w:rPr>
                <w:rFonts w:ascii="宋体" w:hAnsi="宋体" w:eastAsia="宋体" w:cs="宋体"/>
                <w:sz w:val="21"/>
                <w:szCs w:val="21"/>
              </w:rPr>
            </w:pPr>
            <w:r>
              <w:rPr>
                <w:rFonts w:ascii="宋体" w:hAnsi="宋体" w:eastAsia="宋体" w:cs="宋体"/>
                <w:spacing w:val="4"/>
                <w:sz w:val="21"/>
                <w:szCs w:val="21"/>
              </w:rPr>
              <w:t>贮存设施应采取有效的防渗处理工艺，防止</w:t>
            </w:r>
            <w:r>
              <w:rPr>
                <w:rFonts w:ascii="宋体" w:hAnsi="宋体" w:eastAsia="宋体" w:cs="宋体"/>
                <w:spacing w:val="-5"/>
                <w:sz w:val="21"/>
                <w:szCs w:val="21"/>
              </w:rPr>
              <w:t>畜禽粪便污染地下水。</w:t>
            </w:r>
          </w:p>
        </w:tc>
        <w:tc>
          <w:tcPr>
            <w:tcW w:w="3708" w:type="dxa"/>
            <w:vAlign w:val="top"/>
          </w:tcPr>
          <w:p w14:paraId="1BF7D091">
            <w:pPr>
              <w:spacing w:before="55" w:line="250" w:lineRule="auto"/>
              <w:ind w:left="24" w:right="4" w:hanging="12"/>
              <w:rPr>
                <w:rFonts w:ascii="宋体" w:hAnsi="宋体" w:eastAsia="宋体" w:cs="宋体"/>
                <w:sz w:val="21"/>
                <w:szCs w:val="21"/>
              </w:rPr>
            </w:pPr>
            <w:r>
              <w:rPr>
                <w:rFonts w:ascii="宋体" w:hAnsi="宋体" w:eastAsia="宋体" w:cs="宋体"/>
                <w:spacing w:val="-6"/>
                <w:sz w:val="21"/>
                <w:szCs w:val="21"/>
              </w:rPr>
              <w:t>堆粪棚将采取有效的防渗处理工艺，防止</w:t>
            </w:r>
            <w:r>
              <w:rPr>
                <w:rFonts w:ascii="宋体" w:hAnsi="宋体" w:eastAsia="宋体" w:cs="宋体"/>
                <w:spacing w:val="-5"/>
                <w:sz w:val="21"/>
                <w:szCs w:val="21"/>
              </w:rPr>
              <w:t>畜禽粪便污染地下水。</w:t>
            </w:r>
          </w:p>
        </w:tc>
      </w:tr>
    </w:tbl>
    <w:p w14:paraId="6F8C8581">
      <w:pPr>
        <w:spacing w:before="291" w:line="226" w:lineRule="auto"/>
        <w:ind w:left="48"/>
        <w:rPr>
          <w:rFonts w:ascii="宋体" w:hAnsi="宋体" w:eastAsia="宋体" w:cs="宋体"/>
          <w:sz w:val="27"/>
          <w:szCs w:val="27"/>
        </w:rPr>
      </w:pPr>
      <w:r>
        <w:rPr>
          <w:rFonts w:ascii="Times New Roman" w:hAnsi="Times New Roman" w:eastAsia="Times New Roman" w:cs="Times New Roman"/>
          <w:b/>
          <w:bCs/>
          <w:spacing w:val="5"/>
          <w:sz w:val="27"/>
          <w:szCs w:val="27"/>
        </w:rPr>
        <w:t>1.6.3.5</w:t>
      </w:r>
      <w:r>
        <w:rPr>
          <w:rFonts w:ascii="Times New Roman" w:hAnsi="Times New Roman" w:eastAsia="Times New Roman" w:cs="Times New Roman"/>
          <w:b/>
          <w:bCs/>
          <w:spacing w:val="35"/>
          <w:sz w:val="27"/>
          <w:szCs w:val="27"/>
        </w:rPr>
        <w:t xml:space="preserve"> </w:t>
      </w:r>
      <w:r>
        <w:rPr>
          <w:rFonts w:ascii="宋体" w:hAnsi="宋体" w:eastAsia="宋体" w:cs="宋体"/>
          <w:b/>
          <w:bCs/>
          <w:spacing w:val="5"/>
          <w:sz w:val="27"/>
          <w:szCs w:val="27"/>
        </w:rPr>
        <w:t>与《动物防疫条件审查办法》的符合性分析</w:t>
      </w:r>
    </w:p>
    <w:p w14:paraId="38611DDC">
      <w:pPr>
        <w:spacing w:before="236" w:line="362" w:lineRule="auto"/>
        <w:ind w:left="40" w:right="209" w:firstLine="480"/>
        <w:rPr>
          <w:rFonts w:ascii="宋体" w:hAnsi="宋体" w:eastAsia="宋体" w:cs="宋体"/>
          <w:sz w:val="24"/>
          <w:szCs w:val="24"/>
        </w:rPr>
      </w:pPr>
      <w:r>
        <w:rPr>
          <w:rFonts w:ascii="宋体" w:hAnsi="宋体" w:eastAsia="宋体" w:cs="宋体"/>
          <w:sz w:val="24"/>
          <w:szCs w:val="24"/>
        </w:rPr>
        <w:t>本项目选址与《动物防疫条件审查办法》（农业农村部令</w:t>
      </w:r>
      <w:r>
        <w:rPr>
          <w:rFonts w:ascii="Times New Roman" w:hAnsi="Times New Roman" w:eastAsia="Times New Roman" w:cs="Times New Roman"/>
          <w:sz w:val="24"/>
          <w:szCs w:val="24"/>
        </w:rPr>
        <w:t>2022</w:t>
      </w:r>
      <w:r>
        <w:rPr>
          <w:rFonts w:ascii="宋体" w:hAnsi="宋体" w:eastAsia="宋体" w:cs="宋体"/>
          <w:sz w:val="24"/>
          <w:szCs w:val="24"/>
        </w:rPr>
        <w:t>年第</w:t>
      </w:r>
      <w:r>
        <w:rPr>
          <w:rFonts w:ascii="Times New Roman" w:hAnsi="Times New Roman" w:eastAsia="Times New Roman" w:cs="Times New Roman"/>
          <w:sz w:val="24"/>
          <w:szCs w:val="24"/>
        </w:rPr>
        <w:t>8</w:t>
      </w:r>
      <w:r>
        <w:rPr>
          <w:rFonts w:ascii="宋体" w:hAnsi="宋体" w:eastAsia="宋体" w:cs="宋体"/>
          <w:sz w:val="24"/>
          <w:szCs w:val="24"/>
        </w:rPr>
        <w:t>号）中</w:t>
      </w:r>
      <w:r>
        <w:rPr>
          <w:rFonts w:ascii="宋体" w:hAnsi="宋体" w:eastAsia="宋体" w:cs="宋体"/>
          <w:spacing w:val="-3"/>
          <w:sz w:val="24"/>
          <w:szCs w:val="24"/>
        </w:rPr>
        <w:t>动物饲养场有关要求符合性分析见下表。</w:t>
      </w:r>
    </w:p>
    <w:p w14:paraId="5ADCC3FD">
      <w:pPr>
        <w:spacing w:before="8" w:line="221" w:lineRule="auto"/>
        <w:ind w:left="171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1.6-9  </w:t>
      </w:r>
      <w:r>
        <w:rPr>
          <w:rFonts w:ascii="黑体" w:hAnsi="黑体" w:eastAsia="黑体" w:cs="黑体"/>
          <w:spacing w:val="-1"/>
          <w:sz w:val="21"/>
          <w:szCs w:val="21"/>
        </w:rPr>
        <w:t>项目与《动物防疫条件审查办法》符合性分析</w:t>
      </w:r>
    </w:p>
    <w:p w14:paraId="261D07C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18"/>
        <w:gridCol w:w="3361"/>
        <w:gridCol w:w="772"/>
      </w:tblGrid>
      <w:tr w14:paraId="5BEE5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69" w:type="dxa"/>
            <w:vAlign w:val="top"/>
          </w:tcPr>
          <w:p w14:paraId="603D9AA3">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718" w:type="dxa"/>
            <w:vAlign w:val="top"/>
          </w:tcPr>
          <w:p w14:paraId="39B9A340">
            <w:pPr>
              <w:spacing w:before="68" w:line="220" w:lineRule="auto"/>
              <w:ind w:left="1447"/>
              <w:rPr>
                <w:rFonts w:ascii="宋体" w:hAnsi="宋体" w:eastAsia="宋体" w:cs="宋体"/>
                <w:sz w:val="21"/>
                <w:szCs w:val="21"/>
              </w:rPr>
            </w:pPr>
            <w:r>
              <w:rPr>
                <w:rFonts w:ascii="宋体" w:hAnsi="宋体" w:eastAsia="宋体" w:cs="宋体"/>
                <w:spacing w:val="-3"/>
                <w:sz w:val="21"/>
                <w:szCs w:val="21"/>
              </w:rPr>
              <w:t>办法内容</w:t>
            </w:r>
          </w:p>
        </w:tc>
        <w:tc>
          <w:tcPr>
            <w:tcW w:w="3361" w:type="dxa"/>
            <w:vAlign w:val="top"/>
          </w:tcPr>
          <w:p w14:paraId="47C3DECF">
            <w:pPr>
              <w:spacing w:before="68" w:line="219" w:lineRule="auto"/>
              <w:ind w:left="1163"/>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3F26DFB4">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7AC7C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6" w:hRule="atLeast"/>
        </w:trPr>
        <w:tc>
          <w:tcPr>
            <w:tcW w:w="469" w:type="dxa"/>
            <w:vAlign w:val="top"/>
          </w:tcPr>
          <w:p w14:paraId="292182FC">
            <w:pPr>
              <w:spacing w:line="244" w:lineRule="auto"/>
              <w:rPr>
                <w:rFonts w:ascii="Arial"/>
                <w:sz w:val="21"/>
              </w:rPr>
            </w:pPr>
          </w:p>
          <w:p w14:paraId="1C1BAEC2">
            <w:pPr>
              <w:spacing w:line="244" w:lineRule="auto"/>
              <w:rPr>
                <w:rFonts w:ascii="Arial"/>
                <w:sz w:val="21"/>
              </w:rPr>
            </w:pPr>
          </w:p>
          <w:p w14:paraId="45D34CDE">
            <w:pPr>
              <w:spacing w:line="244" w:lineRule="auto"/>
              <w:rPr>
                <w:rFonts w:ascii="Arial"/>
                <w:sz w:val="21"/>
              </w:rPr>
            </w:pPr>
          </w:p>
          <w:p w14:paraId="233C019F">
            <w:pPr>
              <w:spacing w:line="244" w:lineRule="auto"/>
              <w:rPr>
                <w:rFonts w:ascii="Arial"/>
                <w:sz w:val="21"/>
              </w:rPr>
            </w:pPr>
          </w:p>
          <w:p w14:paraId="6416AA0D">
            <w:pPr>
              <w:spacing w:line="244" w:lineRule="auto"/>
              <w:rPr>
                <w:rFonts w:ascii="Arial"/>
                <w:sz w:val="21"/>
              </w:rPr>
            </w:pPr>
          </w:p>
          <w:p w14:paraId="34787609">
            <w:pPr>
              <w:spacing w:line="244" w:lineRule="auto"/>
              <w:rPr>
                <w:rFonts w:ascii="Arial"/>
                <w:sz w:val="21"/>
              </w:rPr>
            </w:pPr>
          </w:p>
          <w:p w14:paraId="03A02B38">
            <w:pPr>
              <w:spacing w:line="244" w:lineRule="auto"/>
              <w:rPr>
                <w:rFonts w:ascii="Arial"/>
                <w:sz w:val="21"/>
              </w:rPr>
            </w:pPr>
          </w:p>
          <w:p w14:paraId="087EC60B">
            <w:pPr>
              <w:spacing w:line="245" w:lineRule="auto"/>
              <w:rPr>
                <w:rFonts w:ascii="Arial"/>
                <w:sz w:val="21"/>
              </w:rPr>
            </w:pPr>
          </w:p>
          <w:p w14:paraId="7468954C">
            <w:pPr>
              <w:spacing w:line="245" w:lineRule="auto"/>
              <w:rPr>
                <w:rFonts w:ascii="Arial"/>
                <w:sz w:val="21"/>
              </w:rPr>
            </w:pPr>
          </w:p>
          <w:p w14:paraId="2E1AF206">
            <w:pPr>
              <w:pStyle w:val="6"/>
              <w:spacing w:before="61" w:line="188" w:lineRule="auto"/>
              <w:ind w:left="203"/>
            </w:pPr>
            <w:r>
              <w:t>1</w:t>
            </w:r>
          </w:p>
        </w:tc>
        <w:tc>
          <w:tcPr>
            <w:tcW w:w="3718" w:type="dxa"/>
            <w:vAlign w:val="top"/>
          </w:tcPr>
          <w:p w14:paraId="53EC6927">
            <w:pPr>
              <w:spacing w:before="52" w:line="274" w:lineRule="auto"/>
              <w:ind w:left="8" w:right="1"/>
              <w:jc w:val="both"/>
              <w:rPr>
                <w:rFonts w:ascii="宋体" w:hAnsi="宋体" w:eastAsia="宋体" w:cs="宋体"/>
                <w:sz w:val="21"/>
                <w:szCs w:val="21"/>
              </w:rPr>
            </w:pPr>
            <w:r>
              <w:rPr>
                <w:rFonts w:ascii="宋体" w:hAnsi="宋体" w:eastAsia="宋体" w:cs="宋体"/>
                <w:spacing w:val="3"/>
                <w:sz w:val="21"/>
                <w:szCs w:val="21"/>
              </w:rPr>
              <w:t>第六条</w:t>
            </w:r>
            <w:r>
              <w:rPr>
                <w:rFonts w:ascii="宋体" w:hAnsi="宋体" w:eastAsia="宋体" w:cs="宋体"/>
                <w:spacing w:val="-24"/>
                <w:sz w:val="21"/>
                <w:szCs w:val="21"/>
              </w:rPr>
              <w:t xml:space="preserve"> </w:t>
            </w:r>
            <w:r>
              <w:rPr>
                <w:rFonts w:ascii="宋体" w:hAnsi="宋体" w:eastAsia="宋体" w:cs="宋体"/>
                <w:spacing w:val="3"/>
                <w:sz w:val="21"/>
                <w:szCs w:val="21"/>
              </w:rPr>
              <w:t>动物饲养场、动物隔离场所、动</w:t>
            </w:r>
            <w:r>
              <w:rPr>
                <w:rFonts w:ascii="宋体" w:hAnsi="宋体" w:eastAsia="宋体" w:cs="宋体"/>
                <w:spacing w:val="7"/>
                <w:sz w:val="21"/>
                <w:szCs w:val="21"/>
              </w:rPr>
              <w:t>物屠宰加工场所以及动物和动物产品无</w:t>
            </w:r>
            <w:r>
              <w:rPr>
                <w:rFonts w:ascii="宋体" w:hAnsi="宋体" w:eastAsia="宋体" w:cs="宋体"/>
                <w:spacing w:val="-4"/>
                <w:sz w:val="21"/>
                <w:szCs w:val="21"/>
              </w:rPr>
              <w:t>害化处理场所应当符合下列条件：</w:t>
            </w:r>
          </w:p>
          <w:p w14:paraId="2A37F2FD">
            <w:pPr>
              <w:spacing w:before="1" w:line="274" w:lineRule="auto"/>
              <w:ind w:left="8" w:right="1" w:firstLine="5"/>
              <w:rPr>
                <w:rFonts w:ascii="宋体" w:hAnsi="宋体" w:eastAsia="宋体" w:cs="宋体"/>
                <w:sz w:val="21"/>
                <w:szCs w:val="21"/>
              </w:rPr>
            </w:pPr>
            <w:r>
              <w:rPr>
                <w:rFonts w:ascii="宋体" w:hAnsi="宋体" w:eastAsia="宋体" w:cs="宋体"/>
                <w:spacing w:val="-5"/>
                <w:sz w:val="21"/>
                <w:szCs w:val="21"/>
              </w:rPr>
              <w:t>（一）各场所之间，各场所与动物诊疗场所、居民生活区、生活饮用水水源地、学</w:t>
            </w:r>
            <w:r>
              <w:rPr>
                <w:rFonts w:ascii="宋体" w:hAnsi="宋体" w:eastAsia="宋体" w:cs="宋体"/>
                <w:spacing w:val="7"/>
                <w:sz w:val="21"/>
                <w:szCs w:val="21"/>
              </w:rPr>
              <w:t>校、医院等公共场所之间保持必要的距</w:t>
            </w:r>
            <w:r>
              <w:rPr>
                <w:rFonts w:ascii="宋体" w:hAnsi="宋体" w:eastAsia="宋体" w:cs="宋体"/>
                <w:spacing w:val="-15"/>
                <w:sz w:val="21"/>
                <w:szCs w:val="21"/>
              </w:rPr>
              <w:t>离；</w:t>
            </w:r>
          </w:p>
          <w:p w14:paraId="463F75E2">
            <w:pPr>
              <w:spacing w:before="1" w:line="274" w:lineRule="auto"/>
              <w:ind w:left="7" w:right="1" w:firstLine="6"/>
              <w:rPr>
                <w:rFonts w:ascii="宋体" w:hAnsi="宋体" w:eastAsia="宋体" w:cs="宋体"/>
                <w:sz w:val="21"/>
                <w:szCs w:val="21"/>
              </w:rPr>
            </w:pPr>
            <w:r>
              <w:rPr>
                <w:rFonts w:ascii="宋体" w:hAnsi="宋体" w:eastAsia="宋体" w:cs="宋体"/>
                <w:spacing w:val="-5"/>
                <w:sz w:val="21"/>
                <w:szCs w:val="21"/>
              </w:rPr>
              <w:t>（二）场区周围建有围墙等隔离设施；场</w:t>
            </w:r>
            <w:r>
              <w:rPr>
                <w:rFonts w:ascii="宋体" w:hAnsi="宋体" w:eastAsia="宋体" w:cs="宋体"/>
                <w:spacing w:val="7"/>
                <w:sz w:val="21"/>
                <w:szCs w:val="21"/>
              </w:rPr>
              <w:t>区出入口处设置运输车辆消毒通道或者</w:t>
            </w:r>
            <w:r>
              <w:rPr>
                <w:rFonts w:ascii="宋体" w:hAnsi="宋体" w:eastAsia="宋体" w:cs="宋体"/>
                <w:spacing w:val="-5"/>
                <w:sz w:val="21"/>
                <w:szCs w:val="21"/>
              </w:rPr>
              <w:t>消毒池，并单独设置人员消毒通道；生产</w:t>
            </w:r>
            <w:r>
              <w:rPr>
                <w:rFonts w:ascii="宋体" w:hAnsi="宋体" w:eastAsia="宋体" w:cs="宋体"/>
                <w:spacing w:val="7"/>
                <w:sz w:val="21"/>
                <w:szCs w:val="21"/>
              </w:rPr>
              <w:t>经营区与生活办公区分开，并有隔离设</w:t>
            </w:r>
            <w:r>
              <w:rPr>
                <w:rFonts w:ascii="宋体" w:hAnsi="宋体" w:eastAsia="宋体" w:cs="宋体"/>
                <w:spacing w:val="-5"/>
                <w:sz w:val="21"/>
                <w:szCs w:val="21"/>
              </w:rPr>
              <w:t>施；生产经营区入口处设置人员更衣消毒</w:t>
            </w:r>
            <w:r>
              <w:rPr>
                <w:rFonts w:ascii="宋体" w:hAnsi="宋体" w:eastAsia="宋体" w:cs="宋体"/>
                <w:spacing w:val="-15"/>
                <w:sz w:val="21"/>
                <w:szCs w:val="21"/>
              </w:rPr>
              <w:t>室；</w:t>
            </w:r>
          </w:p>
          <w:p w14:paraId="77B53471">
            <w:pPr>
              <w:spacing w:before="1" w:line="249" w:lineRule="auto"/>
              <w:ind w:left="7" w:right="2" w:firstLine="6"/>
              <w:rPr>
                <w:rFonts w:ascii="宋体" w:hAnsi="宋体" w:eastAsia="宋体" w:cs="宋体"/>
                <w:sz w:val="21"/>
                <w:szCs w:val="21"/>
              </w:rPr>
            </w:pPr>
            <w:r>
              <w:rPr>
                <w:rFonts w:ascii="宋体" w:hAnsi="宋体" w:eastAsia="宋体" w:cs="宋体"/>
                <w:spacing w:val="-5"/>
                <w:sz w:val="21"/>
                <w:szCs w:val="21"/>
              </w:rPr>
              <w:t>（三）配备与其生产经营规模相适应的执</w:t>
            </w:r>
            <w:r>
              <w:rPr>
                <w:rFonts w:ascii="宋体" w:hAnsi="宋体" w:eastAsia="宋体" w:cs="宋体"/>
                <w:spacing w:val="-4"/>
                <w:sz w:val="21"/>
                <w:szCs w:val="21"/>
              </w:rPr>
              <w:t>业兽医或者动物防疫技术人员；</w:t>
            </w:r>
          </w:p>
        </w:tc>
        <w:tc>
          <w:tcPr>
            <w:tcW w:w="3361" w:type="dxa"/>
            <w:vAlign w:val="top"/>
          </w:tcPr>
          <w:p w14:paraId="52C44F34">
            <w:pPr>
              <w:pStyle w:val="6"/>
              <w:spacing w:before="53" w:line="274" w:lineRule="auto"/>
              <w:ind w:left="10" w:firstLine="1"/>
              <w:rPr>
                <w:rFonts w:ascii="宋体" w:hAnsi="宋体" w:eastAsia="宋体" w:cs="宋体"/>
              </w:rPr>
            </w:pPr>
            <w:r>
              <w:rPr>
                <w:rFonts w:ascii="宋体" w:hAnsi="宋体" w:eastAsia="宋体" w:cs="宋体"/>
                <w:spacing w:val="-2"/>
              </w:rPr>
              <w:t>本项目评价范围内无动物诊疗场所、</w:t>
            </w:r>
            <w:r>
              <w:rPr>
                <w:rFonts w:ascii="宋体" w:hAnsi="宋体" w:eastAsia="宋体" w:cs="宋体"/>
                <w:spacing w:val="-12"/>
              </w:rPr>
              <w:t>学校</w:t>
            </w:r>
            <w:r>
              <w:rPr>
                <w:rFonts w:ascii="宋体" w:hAnsi="宋体" w:eastAsia="宋体" w:cs="宋体"/>
                <w:spacing w:val="-11"/>
              </w:rPr>
              <w:t>、医院等公共场所，</w:t>
            </w:r>
            <w:r>
              <w:rPr>
                <w:rFonts w:ascii="宋体" w:hAnsi="宋体" w:eastAsia="宋体" w:cs="宋体"/>
                <w:spacing w:val="55"/>
              </w:rPr>
              <w:t xml:space="preserve"> </w:t>
            </w:r>
            <w:r>
              <w:rPr>
                <w:rFonts w:ascii="宋体" w:hAnsi="宋体" w:eastAsia="宋体" w:cs="宋体"/>
                <w:spacing w:val="-11"/>
              </w:rPr>
              <w:t>现有白石</w:t>
            </w:r>
            <w:r>
              <w:rPr>
                <w:rFonts w:ascii="宋体" w:hAnsi="宋体" w:eastAsia="宋体" w:cs="宋体"/>
                <w:spacing w:val="-9"/>
              </w:rPr>
              <w:t>联</w:t>
            </w:r>
            <w:r>
              <w:rPr>
                <w:rFonts w:ascii="宋体" w:hAnsi="宋体" w:eastAsia="宋体" w:cs="宋体"/>
                <w:spacing w:val="12"/>
              </w:rPr>
              <w:t>合集中供水站取水泵房将向上迁移</w:t>
            </w:r>
            <w:r>
              <w:rPr>
                <w:spacing w:val="-5"/>
              </w:rPr>
              <w:t>742m</w:t>
            </w:r>
            <w:r>
              <w:rPr>
                <w:rFonts w:ascii="宋体" w:hAnsi="宋体" w:eastAsia="宋体" w:cs="宋体"/>
                <w:spacing w:val="-5"/>
              </w:rPr>
              <w:t>，项目需在取水泵房迁移后方可</w:t>
            </w:r>
            <w:r>
              <w:rPr>
                <w:rFonts w:ascii="宋体" w:hAnsi="宋体" w:eastAsia="宋体" w:cs="宋体"/>
                <w:spacing w:val="-1"/>
              </w:rPr>
              <w:t>投入运行，届时本项目距离饮用水水</w:t>
            </w:r>
            <w:r>
              <w:rPr>
                <w:rFonts w:ascii="宋体" w:hAnsi="宋体" w:eastAsia="宋体" w:cs="宋体"/>
                <w:spacing w:val="-6"/>
              </w:rPr>
              <w:t>源保护区约</w:t>
            </w:r>
            <w:r>
              <w:rPr>
                <w:rFonts w:ascii="宋体" w:hAnsi="宋体" w:eastAsia="宋体" w:cs="宋体"/>
                <w:spacing w:val="-19"/>
              </w:rPr>
              <w:t xml:space="preserve"> </w:t>
            </w:r>
            <w:r>
              <w:rPr>
                <w:spacing w:val="-6"/>
              </w:rPr>
              <w:t>1.</w:t>
            </w:r>
            <w:r>
              <w:rPr>
                <w:spacing w:val="-28"/>
              </w:rPr>
              <w:t xml:space="preserve"> </w:t>
            </w:r>
            <w:r>
              <w:rPr>
                <w:spacing w:val="-6"/>
              </w:rPr>
              <w:t>1km</w:t>
            </w:r>
            <w:r>
              <w:rPr>
                <w:rFonts w:ascii="宋体" w:hAnsi="宋体" w:eastAsia="宋体" w:cs="宋体"/>
                <w:spacing w:val="-6"/>
              </w:rPr>
              <w:t>。</w:t>
            </w:r>
          </w:p>
          <w:p w14:paraId="5CFA8086">
            <w:pPr>
              <w:pStyle w:val="6"/>
              <w:spacing w:before="1" w:line="274" w:lineRule="auto"/>
              <w:ind w:left="12"/>
              <w:rPr>
                <w:rFonts w:ascii="宋体" w:hAnsi="宋体" w:eastAsia="宋体" w:cs="宋体"/>
              </w:rPr>
            </w:pPr>
            <w:r>
              <w:rPr>
                <w:rFonts w:ascii="宋体" w:hAnsi="宋体" w:eastAsia="宋体" w:cs="宋体"/>
                <w:spacing w:val="-2"/>
              </w:rPr>
              <w:t>本项目设置</w:t>
            </w:r>
            <w:r>
              <w:rPr>
                <w:rFonts w:ascii="宋体" w:hAnsi="宋体" w:eastAsia="宋体" w:cs="宋体"/>
                <w:spacing w:val="-17"/>
              </w:rPr>
              <w:t xml:space="preserve"> </w:t>
            </w:r>
            <w:r>
              <w:rPr>
                <w:spacing w:val="-2"/>
              </w:rPr>
              <w:t>200m</w:t>
            </w:r>
            <w:r>
              <w:rPr>
                <w:spacing w:val="27"/>
              </w:rPr>
              <w:t xml:space="preserve"> </w:t>
            </w:r>
            <w:r>
              <w:rPr>
                <w:rFonts w:ascii="宋体" w:hAnsi="宋体" w:eastAsia="宋体" w:cs="宋体"/>
                <w:spacing w:val="-2"/>
              </w:rPr>
              <w:t>卫生防护距离，防</w:t>
            </w:r>
            <w:r>
              <w:rPr>
                <w:rFonts w:ascii="宋体" w:hAnsi="宋体" w:eastAsia="宋体" w:cs="宋体"/>
                <w:spacing w:val="2"/>
              </w:rPr>
              <w:t>护距离内无居民生活区，仅分布</w:t>
            </w:r>
            <w:r>
              <w:rPr>
                <w:rFonts w:ascii="宋体" w:hAnsi="宋体" w:eastAsia="宋体" w:cs="宋体"/>
                <w:spacing w:val="55"/>
              </w:rPr>
              <w:t xml:space="preserve"> </w:t>
            </w:r>
            <w:r>
              <w:rPr>
                <w:spacing w:val="2"/>
              </w:rPr>
              <w:t>17</w:t>
            </w:r>
            <w:r>
              <w:rPr>
                <w:rFonts w:ascii="宋体" w:hAnsi="宋体" w:eastAsia="宋体" w:cs="宋体"/>
                <w:spacing w:val="-2"/>
              </w:rPr>
              <w:t>户零散农户，农户与项目之间分布有</w:t>
            </w:r>
            <w:r>
              <w:rPr>
                <w:rFonts w:ascii="宋体" w:hAnsi="宋体" w:eastAsia="宋体" w:cs="宋体"/>
                <w:spacing w:val="-5"/>
              </w:rPr>
              <w:t xml:space="preserve">林地，通过对 </w:t>
            </w:r>
            <w:r>
              <w:rPr>
                <w:spacing w:val="-5"/>
              </w:rPr>
              <w:t>100m</w:t>
            </w:r>
            <w:r>
              <w:rPr>
                <w:spacing w:val="35"/>
                <w:w w:val="101"/>
              </w:rPr>
              <w:t xml:space="preserve"> </w:t>
            </w:r>
            <w:r>
              <w:rPr>
                <w:rFonts w:ascii="宋体" w:hAnsi="宋体" w:eastAsia="宋体" w:cs="宋体"/>
                <w:spacing w:val="-5"/>
              </w:rPr>
              <w:t>农户实施搬迁、</w:t>
            </w:r>
            <w:r>
              <w:rPr>
                <w:rFonts w:ascii="宋体" w:hAnsi="宋体" w:eastAsia="宋体" w:cs="宋体"/>
              </w:rPr>
              <w:t xml:space="preserve"> </w:t>
            </w:r>
            <w:r>
              <w:t xml:space="preserve">100~200m  </w:t>
            </w:r>
            <w:r>
              <w:rPr>
                <w:rFonts w:ascii="宋体" w:hAnsi="宋体" w:eastAsia="宋体" w:cs="宋体"/>
              </w:rPr>
              <w:t>农户采取租赁实施功能置</w:t>
            </w:r>
            <w:r>
              <w:rPr>
                <w:rFonts w:ascii="宋体" w:hAnsi="宋体" w:eastAsia="宋体" w:cs="宋体"/>
                <w:spacing w:val="-4"/>
              </w:rPr>
              <w:t>换等降低对其环境影响。</w:t>
            </w:r>
          </w:p>
          <w:p w14:paraId="306EC1A5">
            <w:pPr>
              <w:spacing w:line="274" w:lineRule="auto"/>
              <w:ind w:left="15" w:hanging="3"/>
              <w:rPr>
                <w:rFonts w:ascii="宋体" w:hAnsi="宋体" w:eastAsia="宋体" w:cs="宋体"/>
                <w:sz w:val="21"/>
                <w:szCs w:val="21"/>
              </w:rPr>
            </w:pPr>
            <w:r>
              <w:rPr>
                <w:rFonts w:ascii="宋体" w:hAnsi="宋体" w:eastAsia="宋体" w:cs="宋体"/>
                <w:spacing w:val="-2"/>
                <w:sz w:val="21"/>
                <w:szCs w:val="21"/>
              </w:rPr>
              <w:t>本项目建设围墙等隔离设施，以及洗</w:t>
            </w:r>
            <w:r>
              <w:rPr>
                <w:rFonts w:ascii="宋体" w:hAnsi="宋体" w:eastAsia="宋体" w:cs="宋体"/>
                <w:spacing w:val="-3"/>
                <w:sz w:val="21"/>
                <w:szCs w:val="21"/>
              </w:rPr>
              <w:t>消房用于运输车辆及人员消毒。</w:t>
            </w:r>
          </w:p>
          <w:p w14:paraId="6694BE51">
            <w:pPr>
              <w:spacing w:before="1" w:line="218" w:lineRule="auto"/>
              <w:ind w:right="1"/>
              <w:jc w:val="right"/>
              <w:rPr>
                <w:rFonts w:ascii="宋体" w:hAnsi="宋体" w:eastAsia="宋体" w:cs="宋体"/>
                <w:sz w:val="21"/>
                <w:szCs w:val="21"/>
              </w:rPr>
            </w:pPr>
            <w:r>
              <w:rPr>
                <w:rFonts w:ascii="宋体" w:hAnsi="宋体" w:eastAsia="宋体" w:cs="宋体"/>
                <w:spacing w:val="12"/>
                <w:sz w:val="21"/>
                <w:szCs w:val="21"/>
              </w:rPr>
              <w:t>本项目运营后将配备与养殖规模相</w:t>
            </w:r>
          </w:p>
        </w:tc>
        <w:tc>
          <w:tcPr>
            <w:tcW w:w="772" w:type="dxa"/>
            <w:vAlign w:val="top"/>
          </w:tcPr>
          <w:p w14:paraId="0A53D4AB">
            <w:pPr>
              <w:spacing w:line="269" w:lineRule="auto"/>
              <w:rPr>
                <w:rFonts w:ascii="Arial"/>
                <w:sz w:val="21"/>
              </w:rPr>
            </w:pPr>
          </w:p>
          <w:p w14:paraId="41AA0A63">
            <w:pPr>
              <w:spacing w:line="269" w:lineRule="auto"/>
              <w:rPr>
                <w:rFonts w:ascii="Arial"/>
                <w:sz w:val="21"/>
              </w:rPr>
            </w:pPr>
          </w:p>
          <w:p w14:paraId="15D9DF50">
            <w:pPr>
              <w:spacing w:line="269" w:lineRule="auto"/>
              <w:rPr>
                <w:rFonts w:ascii="Arial"/>
                <w:sz w:val="21"/>
              </w:rPr>
            </w:pPr>
          </w:p>
          <w:p w14:paraId="7179F1A2">
            <w:pPr>
              <w:spacing w:line="269" w:lineRule="auto"/>
              <w:rPr>
                <w:rFonts w:ascii="Arial"/>
                <w:sz w:val="21"/>
              </w:rPr>
            </w:pPr>
          </w:p>
          <w:p w14:paraId="58C91598">
            <w:pPr>
              <w:spacing w:line="269" w:lineRule="auto"/>
              <w:rPr>
                <w:rFonts w:ascii="Arial"/>
                <w:sz w:val="21"/>
              </w:rPr>
            </w:pPr>
          </w:p>
          <w:p w14:paraId="57485DDB">
            <w:pPr>
              <w:spacing w:line="269" w:lineRule="auto"/>
              <w:rPr>
                <w:rFonts w:ascii="Arial"/>
                <w:sz w:val="21"/>
              </w:rPr>
            </w:pPr>
          </w:p>
          <w:p w14:paraId="5A9537C6">
            <w:pPr>
              <w:spacing w:line="269" w:lineRule="auto"/>
              <w:rPr>
                <w:rFonts w:ascii="Arial"/>
                <w:sz w:val="21"/>
              </w:rPr>
            </w:pPr>
          </w:p>
          <w:p w14:paraId="16200645">
            <w:pPr>
              <w:spacing w:line="270" w:lineRule="auto"/>
              <w:rPr>
                <w:rFonts w:ascii="Arial"/>
                <w:sz w:val="21"/>
              </w:rPr>
            </w:pPr>
          </w:p>
          <w:p w14:paraId="725C454E">
            <w:pPr>
              <w:spacing w:before="69" w:line="220" w:lineRule="auto"/>
              <w:ind w:left="183"/>
              <w:rPr>
                <w:rFonts w:ascii="宋体" w:hAnsi="宋体" w:eastAsia="宋体" w:cs="宋体"/>
                <w:sz w:val="21"/>
                <w:szCs w:val="21"/>
              </w:rPr>
            </w:pPr>
            <w:r>
              <w:rPr>
                <w:rFonts w:ascii="宋体" w:hAnsi="宋体" w:eastAsia="宋体" w:cs="宋体"/>
                <w:spacing w:val="-3"/>
                <w:sz w:val="21"/>
                <w:szCs w:val="21"/>
              </w:rPr>
              <w:t>符合</w:t>
            </w:r>
          </w:p>
        </w:tc>
      </w:tr>
    </w:tbl>
    <w:p w14:paraId="0DE651DE">
      <w:pPr>
        <w:pStyle w:val="2"/>
        <w:spacing w:line="133" w:lineRule="exact"/>
        <w:rPr>
          <w:sz w:val="11"/>
        </w:rPr>
      </w:pPr>
    </w:p>
    <w:p w14:paraId="07DB9036">
      <w:pPr>
        <w:spacing w:line="133" w:lineRule="exact"/>
        <w:rPr>
          <w:sz w:val="11"/>
          <w:szCs w:val="11"/>
        </w:rPr>
        <w:sectPr>
          <w:headerReference r:id="rId95" w:type="default"/>
          <w:footerReference r:id="rId96" w:type="default"/>
          <w:pgSz w:w="11905" w:h="16840"/>
          <w:pgMar w:top="1168" w:right="1588" w:bottom="1408" w:left="1770" w:header="828" w:footer="1244" w:gutter="0"/>
          <w:cols w:space="720" w:num="1"/>
        </w:sectPr>
      </w:pPr>
    </w:p>
    <w:p w14:paraId="6B350011">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18"/>
        <w:gridCol w:w="3361"/>
        <w:gridCol w:w="772"/>
      </w:tblGrid>
      <w:tr w14:paraId="472BA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649B8532">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718" w:type="dxa"/>
            <w:vAlign w:val="top"/>
          </w:tcPr>
          <w:p w14:paraId="5889940E">
            <w:pPr>
              <w:spacing w:before="68" w:line="220" w:lineRule="auto"/>
              <w:ind w:left="1447"/>
              <w:rPr>
                <w:rFonts w:ascii="宋体" w:hAnsi="宋体" w:eastAsia="宋体" w:cs="宋体"/>
                <w:sz w:val="21"/>
                <w:szCs w:val="21"/>
              </w:rPr>
            </w:pPr>
            <w:r>
              <w:rPr>
                <w:rFonts w:ascii="宋体" w:hAnsi="宋体" w:eastAsia="宋体" w:cs="宋体"/>
                <w:spacing w:val="-3"/>
                <w:sz w:val="21"/>
                <w:szCs w:val="21"/>
              </w:rPr>
              <w:t>办法内容</w:t>
            </w:r>
          </w:p>
        </w:tc>
        <w:tc>
          <w:tcPr>
            <w:tcW w:w="3361" w:type="dxa"/>
            <w:vAlign w:val="top"/>
          </w:tcPr>
          <w:p w14:paraId="23383B4F">
            <w:pPr>
              <w:spacing w:before="68" w:line="219" w:lineRule="auto"/>
              <w:ind w:left="1163"/>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56FDF442">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5AF9E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469" w:type="dxa"/>
            <w:vAlign w:val="top"/>
          </w:tcPr>
          <w:p w14:paraId="0A96A43E">
            <w:pPr>
              <w:rPr>
                <w:rFonts w:ascii="Arial"/>
                <w:sz w:val="21"/>
              </w:rPr>
            </w:pPr>
          </w:p>
        </w:tc>
        <w:tc>
          <w:tcPr>
            <w:tcW w:w="3718" w:type="dxa"/>
            <w:vAlign w:val="top"/>
          </w:tcPr>
          <w:p w14:paraId="6ABC7D59">
            <w:pPr>
              <w:spacing w:before="50" w:line="274" w:lineRule="auto"/>
              <w:ind w:left="10" w:firstLine="3"/>
              <w:rPr>
                <w:rFonts w:ascii="宋体" w:hAnsi="宋体" w:eastAsia="宋体" w:cs="宋体"/>
                <w:sz w:val="21"/>
                <w:szCs w:val="21"/>
              </w:rPr>
            </w:pPr>
            <w:r>
              <w:rPr>
                <w:rFonts w:ascii="宋体" w:hAnsi="宋体" w:eastAsia="宋体" w:cs="宋体"/>
                <w:spacing w:val="-6"/>
                <w:sz w:val="21"/>
                <w:szCs w:val="21"/>
              </w:rPr>
              <w:t>（四）配备与其生产经营规模相适应的污</w:t>
            </w:r>
            <w:r>
              <w:rPr>
                <w:rFonts w:ascii="宋体" w:hAnsi="宋体" w:eastAsia="宋体" w:cs="宋体"/>
                <w:spacing w:val="-5"/>
                <w:sz w:val="21"/>
                <w:szCs w:val="21"/>
              </w:rPr>
              <w:t>水、污物处理设施，清洗消毒设施设备，以及必要的防鼠、防鸟、防虫设施设备；</w:t>
            </w:r>
          </w:p>
          <w:p w14:paraId="2B1E7546">
            <w:pPr>
              <w:spacing w:line="276" w:lineRule="auto"/>
              <w:ind w:left="10" w:right="11" w:firstLine="3"/>
              <w:rPr>
                <w:rFonts w:ascii="宋体" w:hAnsi="宋体" w:eastAsia="宋体" w:cs="宋体"/>
                <w:sz w:val="21"/>
                <w:szCs w:val="21"/>
              </w:rPr>
            </w:pPr>
            <w:r>
              <w:rPr>
                <w:rFonts w:ascii="宋体" w:hAnsi="宋体" w:eastAsia="宋体" w:cs="宋体"/>
                <w:spacing w:val="-6"/>
                <w:sz w:val="21"/>
                <w:szCs w:val="21"/>
              </w:rPr>
              <w:t>（五）建立隔离消毒、购销台账、日常巡</w:t>
            </w:r>
            <w:r>
              <w:rPr>
                <w:rFonts w:ascii="宋体" w:hAnsi="宋体" w:eastAsia="宋体" w:cs="宋体"/>
                <w:spacing w:val="-5"/>
                <w:sz w:val="21"/>
                <w:szCs w:val="21"/>
              </w:rPr>
              <w:t>查等动物防疫制度。</w:t>
            </w:r>
          </w:p>
        </w:tc>
        <w:tc>
          <w:tcPr>
            <w:tcW w:w="3361" w:type="dxa"/>
            <w:vAlign w:val="top"/>
          </w:tcPr>
          <w:p w14:paraId="121DC6D5">
            <w:pPr>
              <w:spacing w:before="50" w:line="274" w:lineRule="auto"/>
              <w:ind w:left="12" w:right="1" w:hanging="1"/>
              <w:rPr>
                <w:rFonts w:ascii="宋体" w:hAnsi="宋体" w:eastAsia="宋体" w:cs="宋体"/>
                <w:sz w:val="21"/>
                <w:szCs w:val="21"/>
              </w:rPr>
            </w:pPr>
            <w:r>
              <w:rPr>
                <w:rFonts w:ascii="宋体" w:hAnsi="宋体" w:eastAsia="宋体" w:cs="宋体"/>
                <w:spacing w:val="12"/>
                <w:sz w:val="21"/>
                <w:szCs w:val="21"/>
              </w:rPr>
              <w:t>适应的执业兽医或者动物防疫技术</w:t>
            </w:r>
            <w:r>
              <w:rPr>
                <w:rFonts w:ascii="宋体" w:hAnsi="宋体" w:eastAsia="宋体" w:cs="宋体"/>
                <w:spacing w:val="-9"/>
                <w:sz w:val="21"/>
                <w:szCs w:val="21"/>
              </w:rPr>
              <w:t>人员。</w:t>
            </w:r>
          </w:p>
          <w:p w14:paraId="72374070">
            <w:pPr>
              <w:spacing w:before="1" w:line="274" w:lineRule="auto"/>
              <w:ind w:left="12"/>
              <w:rPr>
                <w:rFonts w:ascii="宋体" w:hAnsi="宋体" w:eastAsia="宋体" w:cs="宋体"/>
                <w:sz w:val="21"/>
                <w:szCs w:val="21"/>
              </w:rPr>
            </w:pPr>
            <w:r>
              <w:rPr>
                <w:rFonts w:ascii="宋体" w:hAnsi="宋体" w:eastAsia="宋体" w:cs="宋体"/>
                <w:spacing w:val="-2"/>
                <w:sz w:val="21"/>
                <w:szCs w:val="21"/>
              </w:rPr>
              <w:t>本项目配套建设污水处理站、堆粪棚等粪污处理设施，建设洗消房等清洗消毒设施设备，以及必要的防鼠、防</w:t>
            </w:r>
            <w:r>
              <w:rPr>
                <w:rFonts w:ascii="宋体" w:hAnsi="宋体" w:eastAsia="宋体" w:cs="宋体"/>
                <w:spacing w:val="-4"/>
                <w:sz w:val="21"/>
                <w:szCs w:val="21"/>
              </w:rPr>
              <w:t>鸟、防虫设施设备。</w:t>
            </w:r>
          </w:p>
          <w:p w14:paraId="040EA80C">
            <w:pPr>
              <w:spacing w:before="1" w:line="249" w:lineRule="auto"/>
              <w:ind w:left="27" w:hanging="15"/>
              <w:rPr>
                <w:rFonts w:ascii="宋体" w:hAnsi="宋体" w:eastAsia="宋体" w:cs="宋体"/>
                <w:sz w:val="21"/>
                <w:szCs w:val="21"/>
              </w:rPr>
            </w:pPr>
            <w:r>
              <w:rPr>
                <w:rFonts w:ascii="宋体" w:hAnsi="宋体" w:eastAsia="宋体" w:cs="宋体"/>
                <w:spacing w:val="-2"/>
                <w:sz w:val="21"/>
                <w:szCs w:val="21"/>
              </w:rPr>
              <w:t>本项目运营后将建立隔离消毒、购销</w:t>
            </w:r>
            <w:r>
              <w:rPr>
                <w:rFonts w:ascii="宋体" w:hAnsi="宋体" w:eastAsia="宋体" w:cs="宋体"/>
                <w:spacing w:val="-4"/>
                <w:sz w:val="21"/>
                <w:szCs w:val="21"/>
              </w:rPr>
              <w:t>台账、日常巡查等动物防疫制度。</w:t>
            </w:r>
          </w:p>
        </w:tc>
        <w:tc>
          <w:tcPr>
            <w:tcW w:w="772" w:type="dxa"/>
            <w:vAlign w:val="top"/>
          </w:tcPr>
          <w:p w14:paraId="338D1107">
            <w:pPr>
              <w:rPr>
                <w:rFonts w:ascii="Arial"/>
                <w:sz w:val="21"/>
              </w:rPr>
            </w:pPr>
          </w:p>
        </w:tc>
      </w:tr>
      <w:tr w14:paraId="0D8B5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4" w:hRule="atLeast"/>
        </w:trPr>
        <w:tc>
          <w:tcPr>
            <w:tcW w:w="469" w:type="dxa"/>
            <w:vAlign w:val="top"/>
          </w:tcPr>
          <w:p w14:paraId="0B7A2DC7">
            <w:pPr>
              <w:spacing w:line="261" w:lineRule="auto"/>
              <w:rPr>
                <w:rFonts w:ascii="Arial"/>
                <w:sz w:val="21"/>
              </w:rPr>
            </w:pPr>
          </w:p>
          <w:p w14:paraId="4A95A0E1">
            <w:pPr>
              <w:spacing w:line="261" w:lineRule="auto"/>
              <w:rPr>
                <w:rFonts w:ascii="Arial"/>
                <w:sz w:val="21"/>
              </w:rPr>
            </w:pPr>
          </w:p>
          <w:p w14:paraId="228C682F">
            <w:pPr>
              <w:spacing w:line="261" w:lineRule="auto"/>
              <w:rPr>
                <w:rFonts w:ascii="Arial"/>
                <w:sz w:val="21"/>
              </w:rPr>
            </w:pPr>
          </w:p>
          <w:p w14:paraId="024A60A4">
            <w:pPr>
              <w:spacing w:line="261" w:lineRule="auto"/>
              <w:rPr>
                <w:rFonts w:ascii="Arial"/>
                <w:sz w:val="21"/>
              </w:rPr>
            </w:pPr>
          </w:p>
          <w:p w14:paraId="0BA1F149">
            <w:pPr>
              <w:spacing w:line="261" w:lineRule="auto"/>
              <w:rPr>
                <w:rFonts w:ascii="Arial"/>
                <w:sz w:val="21"/>
              </w:rPr>
            </w:pPr>
          </w:p>
          <w:p w14:paraId="4069DDFC">
            <w:pPr>
              <w:spacing w:line="261" w:lineRule="auto"/>
              <w:rPr>
                <w:rFonts w:ascii="Arial"/>
                <w:sz w:val="21"/>
              </w:rPr>
            </w:pPr>
          </w:p>
          <w:p w14:paraId="198893C2">
            <w:pPr>
              <w:spacing w:line="262" w:lineRule="auto"/>
              <w:rPr>
                <w:rFonts w:ascii="Arial"/>
                <w:sz w:val="21"/>
              </w:rPr>
            </w:pPr>
          </w:p>
          <w:p w14:paraId="0C6FA061">
            <w:pPr>
              <w:spacing w:line="262" w:lineRule="auto"/>
              <w:rPr>
                <w:rFonts w:ascii="Arial"/>
                <w:sz w:val="21"/>
              </w:rPr>
            </w:pPr>
          </w:p>
          <w:p w14:paraId="787BDD8C">
            <w:pPr>
              <w:spacing w:line="262" w:lineRule="auto"/>
              <w:rPr>
                <w:rFonts w:ascii="Arial"/>
                <w:sz w:val="21"/>
              </w:rPr>
            </w:pPr>
          </w:p>
          <w:p w14:paraId="4F187B24">
            <w:pPr>
              <w:pStyle w:val="6"/>
              <w:spacing w:before="60" w:line="188" w:lineRule="auto"/>
              <w:ind w:left="183"/>
            </w:pPr>
            <w:r>
              <w:t>2</w:t>
            </w:r>
          </w:p>
        </w:tc>
        <w:tc>
          <w:tcPr>
            <w:tcW w:w="3718" w:type="dxa"/>
            <w:vAlign w:val="top"/>
          </w:tcPr>
          <w:p w14:paraId="6DDAA80E">
            <w:pPr>
              <w:spacing w:before="51" w:line="274" w:lineRule="auto"/>
              <w:ind w:left="8" w:right="1"/>
              <w:rPr>
                <w:rFonts w:ascii="宋体" w:hAnsi="宋体" w:eastAsia="宋体" w:cs="宋体"/>
                <w:sz w:val="21"/>
                <w:szCs w:val="21"/>
              </w:rPr>
            </w:pPr>
            <w:r>
              <w:rPr>
                <w:rFonts w:ascii="宋体" w:hAnsi="宋体" w:eastAsia="宋体" w:cs="宋体"/>
                <w:spacing w:val="3"/>
                <w:sz w:val="21"/>
                <w:szCs w:val="21"/>
              </w:rPr>
              <w:t>第七条</w:t>
            </w:r>
            <w:r>
              <w:rPr>
                <w:rFonts w:ascii="宋体" w:hAnsi="宋体" w:eastAsia="宋体" w:cs="宋体"/>
                <w:spacing w:val="-24"/>
                <w:sz w:val="21"/>
                <w:szCs w:val="21"/>
              </w:rPr>
              <w:t xml:space="preserve"> </w:t>
            </w:r>
            <w:r>
              <w:rPr>
                <w:rFonts w:ascii="宋体" w:hAnsi="宋体" w:eastAsia="宋体" w:cs="宋体"/>
                <w:spacing w:val="3"/>
                <w:sz w:val="21"/>
                <w:szCs w:val="21"/>
              </w:rPr>
              <w:t>动物饲养场除符合本办法第六条</w:t>
            </w:r>
            <w:r>
              <w:rPr>
                <w:rFonts w:ascii="宋体" w:hAnsi="宋体" w:eastAsia="宋体" w:cs="宋体"/>
                <w:spacing w:val="-4"/>
                <w:sz w:val="21"/>
                <w:szCs w:val="21"/>
              </w:rPr>
              <w:t>规定外，还应当符合下列条件：</w:t>
            </w:r>
          </w:p>
          <w:p w14:paraId="388E450B">
            <w:pPr>
              <w:spacing w:line="274" w:lineRule="auto"/>
              <w:ind w:left="9" w:right="14" w:firstLine="4"/>
              <w:rPr>
                <w:rFonts w:ascii="宋体" w:hAnsi="宋体" w:eastAsia="宋体" w:cs="宋体"/>
                <w:sz w:val="21"/>
                <w:szCs w:val="21"/>
              </w:rPr>
            </w:pPr>
            <w:r>
              <w:rPr>
                <w:rFonts w:ascii="宋体" w:hAnsi="宋体" w:eastAsia="宋体" w:cs="宋体"/>
                <w:spacing w:val="-6"/>
                <w:sz w:val="21"/>
                <w:szCs w:val="21"/>
              </w:rPr>
              <w:t>（一）设置配备疫苗冷藏冷冻设备、消毒</w:t>
            </w:r>
            <w:r>
              <w:rPr>
                <w:rFonts w:ascii="宋体" w:hAnsi="宋体" w:eastAsia="宋体" w:cs="宋体"/>
                <w:spacing w:val="-5"/>
                <w:sz w:val="21"/>
                <w:szCs w:val="21"/>
              </w:rPr>
              <w:t>和诊疗等防疫设备的兽医室；</w:t>
            </w:r>
          </w:p>
          <w:p w14:paraId="457111A3">
            <w:pPr>
              <w:spacing w:line="274" w:lineRule="auto"/>
              <w:ind w:left="8" w:right="12" w:firstLine="5"/>
              <w:rPr>
                <w:rFonts w:ascii="宋体" w:hAnsi="宋体" w:eastAsia="宋体" w:cs="宋体"/>
                <w:sz w:val="21"/>
                <w:szCs w:val="21"/>
              </w:rPr>
            </w:pPr>
            <w:r>
              <w:rPr>
                <w:rFonts w:ascii="宋体" w:hAnsi="宋体" w:eastAsia="宋体" w:cs="宋体"/>
                <w:spacing w:val="-11"/>
                <w:sz w:val="21"/>
                <w:szCs w:val="21"/>
              </w:rPr>
              <w:t>（二）生产区清洁道、污染道分设； 具有</w:t>
            </w:r>
            <w:r>
              <w:rPr>
                <w:rFonts w:ascii="宋体" w:hAnsi="宋体" w:eastAsia="宋体" w:cs="宋体"/>
                <w:spacing w:val="-5"/>
                <w:sz w:val="21"/>
                <w:szCs w:val="21"/>
              </w:rPr>
              <w:t>相对独立的动物隔离舍；</w:t>
            </w:r>
          </w:p>
          <w:p w14:paraId="6277ADD6">
            <w:pPr>
              <w:spacing w:line="274" w:lineRule="auto"/>
              <w:ind w:left="8" w:right="1" w:firstLine="5"/>
              <w:rPr>
                <w:rFonts w:ascii="宋体" w:hAnsi="宋体" w:eastAsia="宋体" w:cs="宋体"/>
                <w:sz w:val="21"/>
                <w:szCs w:val="21"/>
              </w:rPr>
            </w:pPr>
            <w:r>
              <w:rPr>
                <w:rFonts w:ascii="宋体" w:hAnsi="宋体" w:eastAsia="宋体" w:cs="宋体"/>
                <w:spacing w:val="-5"/>
                <w:sz w:val="21"/>
                <w:szCs w:val="21"/>
              </w:rPr>
              <w:t>（三）配备符合国家规定的病死动物和病</w:t>
            </w:r>
            <w:r>
              <w:rPr>
                <w:rFonts w:ascii="宋体" w:hAnsi="宋体" w:eastAsia="宋体" w:cs="宋体"/>
                <w:spacing w:val="7"/>
                <w:sz w:val="21"/>
                <w:szCs w:val="21"/>
              </w:rPr>
              <w:t>害动物产品无害化处理设施设备或者冷</w:t>
            </w:r>
            <w:r>
              <w:rPr>
                <w:rFonts w:ascii="宋体" w:hAnsi="宋体" w:eastAsia="宋体" w:cs="宋体"/>
                <w:spacing w:val="-5"/>
                <w:sz w:val="21"/>
                <w:szCs w:val="21"/>
              </w:rPr>
              <w:t>藏冷冻等暂存设施设备；</w:t>
            </w:r>
          </w:p>
          <w:p w14:paraId="698777F2">
            <w:pPr>
              <w:spacing w:before="1" w:line="274" w:lineRule="auto"/>
              <w:ind w:left="6" w:right="2" w:firstLine="7"/>
              <w:rPr>
                <w:rFonts w:ascii="宋体" w:hAnsi="宋体" w:eastAsia="宋体" w:cs="宋体"/>
                <w:sz w:val="21"/>
                <w:szCs w:val="21"/>
              </w:rPr>
            </w:pPr>
            <w:r>
              <w:rPr>
                <w:rFonts w:ascii="宋体" w:hAnsi="宋体" w:eastAsia="宋体" w:cs="宋体"/>
                <w:spacing w:val="-5"/>
                <w:sz w:val="21"/>
                <w:szCs w:val="21"/>
              </w:rPr>
              <w:t>（四）建立免疫、用药、检疫申报、疫情报告、无害化处理、畜禽标识及养殖档案</w:t>
            </w:r>
            <w:r>
              <w:rPr>
                <w:rFonts w:ascii="宋体" w:hAnsi="宋体" w:eastAsia="宋体" w:cs="宋体"/>
                <w:spacing w:val="-4"/>
                <w:sz w:val="21"/>
                <w:szCs w:val="21"/>
              </w:rPr>
              <w:t>管理等动物防疫制度。</w:t>
            </w:r>
          </w:p>
          <w:p w14:paraId="4E672537">
            <w:pPr>
              <w:spacing w:before="2" w:line="261" w:lineRule="auto"/>
              <w:ind w:left="8" w:right="1"/>
              <w:jc w:val="both"/>
              <w:rPr>
                <w:rFonts w:ascii="宋体" w:hAnsi="宋体" w:eastAsia="宋体" w:cs="宋体"/>
                <w:sz w:val="21"/>
                <w:szCs w:val="21"/>
              </w:rPr>
            </w:pPr>
            <w:r>
              <w:rPr>
                <w:rFonts w:ascii="宋体" w:hAnsi="宋体" w:eastAsia="宋体" w:cs="宋体"/>
                <w:spacing w:val="-5"/>
                <w:sz w:val="21"/>
                <w:szCs w:val="21"/>
              </w:rPr>
              <w:t>种畜禽场除符合本条第一款、第二款规定外，还应当有国家规定的动物疫病的净化制度；有动物精液、卵、胚胎采集等生产</w:t>
            </w:r>
            <w:r>
              <w:rPr>
                <w:rFonts w:ascii="宋体" w:hAnsi="宋体" w:eastAsia="宋体" w:cs="宋体"/>
                <w:spacing w:val="-3"/>
                <w:sz w:val="21"/>
                <w:szCs w:val="21"/>
              </w:rPr>
              <w:t>需要的，应当设置独立的区域。</w:t>
            </w:r>
          </w:p>
        </w:tc>
        <w:tc>
          <w:tcPr>
            <w:tcW w:w="3361" w:type="dxa"/>
            <w:vAlign w:val="top"/>
          </w:tcPr>
          <w:p w14:paraId="4D17A7AF">
            <w:pPr>
              <w:spacing w:line="302" w:lineRule="auto"/>
              <w:rPr>
                <w:rFonts w:ascii="Arial"/>
                <w:sz w:val="21"/>
              </w:rPr>
            </w:pPr>
          </w:p>
          <w:p w14:paraId="500539D3">
            <w:pPr>
              <w:spacing w:line="303" w:lineRule="auto"/>
              <w:rPr>
                <w:rFonts w:ascii="Arial"/>
                <w:sz w:val="21"/>
              </w:rPr>
            </w:pPr>
          </w:p>
          <w:p w14:paraId="266A808A">
            <w:pPr>
              <w:spacing w:before="68" w:line="274" w:lineRule="auto"/>
              <w:ind w:left="10" w:firstLine="1"/>
              <w:rPr>
                <w:rFonts w:ascii="宋体" w:hAnsi="宋体" w:eastAsia="宋体" w:cs="宋体"/>
                <w:sz w:val="21"/>
                <w:szCs w:val="21"/>
              </w:rPr>
            </w:pPr>
            <w:r>
              <w:rPr>
                <w:rFonts w:ascii="宋体" w:hAnsi="宋体" w:eastAsia="宋体" w:cs="宋体"/>
                <w:spacing w:val="8"/>
                <w:sz w:val="21"/>
                <w:szCs w:val="21"/>
              </w:rPr>
              <w:t>本项目运营后将配备疫苗冷藏冷冻</w:t>
            </w:r>
            <w:r>
              <w:rPr>
                <w:rFonts w:ascii="宋体" w:hAnsi="宋体" w:eastAsia="宋体" w:cs="宋体"/>
                <w:spacing w:val="-6"/>
                <w:sz w:val="21"/>
                <w:szCs w:val="21"/>
              </w:rPr>
              <w:t>设备、消毒和诊疗等防疫设备的兽医室；生产区内清洁道、污染道分开设</w:t>
            </w:r>
            <w:r>
              <w:rPr>
                <w:rFonts w:ascii="宋体" w:hAnsi="宋体" w:eastAsia="宋体" w:cs="宋体"/>
                <w:spacing w:val="8"/>
                <w:sz w:val="21"/>
                <w:szCs w:val="21"/>
              </w:rPr>
              <w:t>计；粪污处理区内设置无害化处理</w:t>
            </w:r>
            <w:r>
              <w:rPr>
                <w:rFonts w:ascii="宋体" w:hAnsi="宋体" w:eastAsia="宋体" w:cs="宋体"/>
                <w:spacing w:val="-6"/>
                <w:sz w:val="21"/>
                <w:szCs w:val="21"/>
              </w:rPr>
              <w:t>间，配备符合国家规定的病死动物和</w:t>
            </w:r>
            <w:r>
              <w:rPr>
                <w:rFonts w:ascii="宋体" w:hAnsi="宋体" w:eastAsia="宋体" w:cs="宋体"/>
                <w:spacing w:val="-1"/>
                <w:sz w:val="21"/>
                <w:szCs w:val="21"/>
              </w:rPr>
              <w:t>病害动物产品无害化处理设施设备；</w:t>
            </w:r>
            <w:r>
              <w:rPr>
                <w:rFonts w:ascii="宋体" w:hAnsi="宋体" w:eastAsia="宋体" w:cs="宋体"/>
                <w:spacing w:val="-14"/>
                <w:sz w:val="21"/>
                <w:szCs w:val="21"/>
              </w:rPr>
              <w:t>运营后将建立免疫、用药、检疫申报、</w:t>
            </w:r>
            <w:r>
              <w:rPr>
                <w:rFonts w:ascii="宋体" w:hAnsi="宋体" w:eastAsia="宋体" w:cs="宋体"/>
                <w:spacing w:val="-6"/>
                <w:sz w:val="21"/>
                <w:szCs w:val="21"/>
              </w:rPr>
              <w:t>疫情报告、无害化处理、畜禽标识及</w:t>
            </w:r>
            <w:r>
              <w:rPr>
                <w:rFonts w:ascii="宋体" w:hAnsi="宋体" w:eastAsia="宋体" w:cs="宋体"/>
                <w:spacing w:val="-7"/>
                <w:sz w:val="21"/>
                <w:szCs w:val="21"/>
              </w:rPr>
              <w:t>养殖档案管理等动物防疫制度。</w:t>
            </w:r>
          </w:p>
          <w:p w14:paraId="6503778E">
            <w:pPr>
              <w:spacing w:before="3" w:line="275" w:lineRule="auto"/>
              <w:ind w:left="12"/>
              <w:rPr>
                <w:rFonts w:ascii="宋体" w:hAnsi="宋体" w:eastAsia="宋体" w:cs="宋体"/>
                <w:sz w:val="21"/>
                <w:szCs w:val="21"/>
              </w:rPr>
            </w:pPr>
            <w:r>
              <w:rPr>
                <w:rFonts w:ascii="宋体" w:hAnsi="宋体" w:eastAsia="宋体" w:cs="宋体"/>
                <w:spacing w:val="-2"/>
                <w:sz w:val="21"/>
                <w:szCs w:val="21"/>
              </w:rPr>
              <w:t>本项目为生猪规模化养殖项目，运营</w:t>
            </w:r>
            <w:r>
              <w:rPr>
                <w:rFonts w:ascii="宋体" w:hAnsi="宋体" w:eastAsia="宋体" w:cs="宋体"/>
                <w:spacing w:val="12"/>
                <w:sz w:val="21"/>
                <w:szCs w:val="21"/>
              </w:rPr>
              <w:t>后将制定符合国家规定的动物疫病</w:t>
            </w:r>
            <w:r>
              <w:rPr>
                <w:rFonts w:ascii="宋体" w:hAnsi="宋体" w:eastAsia="宋体" w:cs="宋体"/>
                <w:spacing w:val="-6"/>
                <w:sz w:val="21"/>
                <w:szCs w:val="21"/>
              </w:rPr>
              <w:t>的净化制度。</w:t>
            </w:r>
          </w:p>
        </w:tc>
        <w:tc>
          <w:tcPr>
            <w:tcW w:w="772" w:type="dxa"/>
            <w:vAlign w:val="top"/>
          </w:tcPr>
          <w:p w14:paraId="2C02CC9A">
            <w:pPr>
              <w:spacing w:line="256" w:lineRule="auto"/>
              <w:rPr>
                <w:rFonts w:ascii="Arial"/>
                <w:sz w:val="21"/>
              </w:rPr>
            </w:pPr>
          </w:p>
          <w:p w14:paraId="2AF8C1CF">
            <w:pPr>
              <w:spacing w:line="256" w:lineRule="auto"/>
              <w:rPr>
                <w:rFonts w:ascii="Arial"/>
                <w:sz w:val="21"/>
              </w:rPr>
            </w:pPr>
          </w:p>
          <w:p w14:paraId="02678854">
            <w:pPr>
              <w:spacing w:line="256" w:lineRule="auto"/>
              <w:rPr>
                <w:rFonts w:ascii="Arial"/>
                <w:sz w:val="21"/>
              </w:rPr>
            </w:pPr>
          </w:p>
          <w:p w14:paraId="7D40B6C1">
            <w:pPr>
              <w:spacing w:line="256" w:lineRule="auto"/>
              <w:rPr>
                <w:rFonts w:ascii="Arial"/>
                <w:sz w:val="21"/>
              </w:rPr>
            </w:pPr>
          </w:p>
          <w:p w14:paraId="678C2E50">
            <w:pPr>
              <w:spacing w:line="256" w:lineRule="auto"/>
              <w:rPr>
                <w:rFonts w:ascii="Arial"/>
                <w:sz w:val="21"/>
              </w:rPr>
            </w:pPr>
          </w:p>
          <w:p w14:paraId="375CC289">
            <w:pPr>
              <w:spacing w:line="256" w:lineRule="auto"/>
              <w:rPr>
                <w:rFonts w:ascii="Arial"/>
                <w:sz w:val="21"/>
              </w:rPr>
            </w:pPr>
          </w:p>
          <w:p w14:paraId="3E8F8E0F">
            <w:pPr>
              <w:spacing w:line="257" w:lineRule="auto"/>
              <w:rPr>
                <w:rFonts w:ascii="Arial"/>
                <w:sz w:val="21"/>
              </w:rPr>
            </w:pPr>
          </w:p>
          <w:p w14:paraId="3B9C7B39">
            <w:pPr>
              <w:spacing w:line="257" w:lineRule="auto"/>
              <w:rPr>
                <w:rFonts w:ascii="Arial"/>
                <w:sz w:val="21"/>
              </w:rPr>
            </w:pPr>
          </w:p>
          <w:p w14:paraId="4C5FB0F6">
            <w:pPr>
              <w:spacing w:line="257" w:lineRule="auto"/>
              <w:rPr>
                <w:rFonts w:ascii="Arial"/>
                <w:sz w:val="21"/>
              </w:rPr>
            </w:pPr>
          </w:p>
          <w:p w14:paraId="6E1502A5">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2FEAA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7" w:hRule="atLeast"/>
        </w:trPr>
        <w:tc>
          <w:tcPr>
            <w:tcW w:w="469" w:type="dxa"/>
            <w:vAlign w:val="top"/>
          </w:tcPr>
          <w:p w14:paraId="406E47F8">
            <w:pPr>
              <w:spacing w:line="255" w:lineRule="auto"/>
              <w:rPr>
                <w:rFonts w:ascii="Arial"/>
                <w:sz w:val="21"/>
              </w:rPr>
            </w:pPr>
          </w:p>
          <w:p w14:paraId="4A00F009">
            <w:pPr>
              <w:spacing w:line="255" w:lineRule="auto"/>
              <w:rPr>
                <w:rFonts w:ascii="Arial"/>
                <w:sz w:val="21"/>
              </w:rPr>
            </w:pPr>
          </w:p>
          <w:p w14:paraId="59D02972">
            <w:pPr>
              <w:spacing w:line="255" w:lineRule="auto"/>
              <w:rPr>
                <w:rFonts w:ascii="Arial"/>
                <w:sz w:val="21"/>
              </w:rPr>
            </w:pPr>
          </w:p>
          <w:p w14:paraId="11F05BA3">
            <w:pPr>
              <w:spacing w:line="256" w:lineRule="auto"/>
              <w:rPr>
                <w:rFonts w:ascii="Arial"/>
                <w:sz w:val="21"/>
              </w:rPr>
            </w:pPr>
          </w:p>
          <w:p w14:paraId="3CF1A64F">
            <w:pPr>
              <w:spacing w:line="256" w:lineRule="auto"/>
              <w:rPr>
                <w:rFonts w:ascii="Arial"/>
                <w:sz w:val="21"/>
              </w:rPr>
            </w:pPr>
          </w:p>
          <w:p w14:paraId="7EDED7B2">
            <w:pPr>
              <w:spacing w:line="256" w:lineRule="auto"/>
              <w:rPr>
                <w:rFonts w:ascii="Arial"/>
                <w:sz w:val="21"/>
              </w:rPr>
            </w:pPr>
          </w:p>
          <w:p w14:paraId="0F17F51E">
            <w:pPr>
              <w:spacing w:line="256" w:lineRule="auto"/>
              <w:rPr>
                <w:rFonts w:ascii="Arial"/>
                <w:sz w:val="21"/>
              </w:rPr>
            </w:pPr>
          </w:p>
          <w:p w14:paraId="6B8EFC0F">
            <w:pPr>
              <w:spacing w:line="256" w:lineRule="auto"/>
              <w:rPr>
                <w:rFonts w:ascii="Arial"/>
                <w:sz w:val="21"/>
              </w:rPr>
            </w:pPr>
          </w:p>
          <w:p w14:paraId="749A6939">
            <w:pPr>
              <w:pStyle w:val="6"/>
              <w:spacing w:before="61" w:line="188" w:lineRule="auto"/>
              <w:ind w:left="187"/>
            </w:pPr>
            <w:r>
              <w:t>3</w:t>
            </w:r>
          </w:p>
        </w:tc>
        <w:tc>
          <w:tcPr>
            <w:tcW w:w="3718" w:type="dxa"/>
            <w:vAlign w:val="top"/>
          </w:tcPr>
          <w:p w14:paraId="62C43574">
            <w:pPr>
              <w:spacing w:before="55" w:line="274" w:lineRule="auto"/>
              <w:ind w:left="14" w:right="1" w:hanging="6"/>
              <w:jc w:val="both"/>
              <w:rPr>
                <w:rFonts w:ascii="宋体" w:hAnsi="宋体" w:eastAsia="宋体" w:cs="宋体"/>
                <w:sz w:val="21"/>
                <w:szCs w:val="21"/>
              </w:rPr>
            </w:pPr>
            <w:r>
              <w:rPr>
                <w:rFonts w:ascii="宋体" w:hAnsi="宋体" w:eastAsia="宋体" w:cs="宋体"/>
                <w:spacing w:val="3"/>
                <w:sz w:val="21"/>
                <w:szCs w:val="21"/>
              </w:rPr>
              <w:t>第十条</w:t>
            </w:r>
            <w:r>
              <w:rPr>
                <w:rFonts w:ascii="宋体" w:hAnsi="宋体" w:eastAsia="宋体" w:cs="宋体"/>
                <w:spacing w:val="-24"/>
                <w:sz w:val="21"/>
                <w:szCs w:val="21"/>
              </w:rPr>
              <w:t xml:space="preserve"> </w:t>
            </w:r>
            <w:r>
              <w:rPr>
                <w:rFonts w:ascii="宋体" w:hAnsi="宋体" w:eastAsia="宋体" w:cs="宋体"/>
                <w:spacing w:val="3"/>
                <w:sz w:val="21"/>
                <w:szCs w:val="21"/>
              </w:rPr>
              <w:t>动物和动物产品无害化处理场所</w:t>
            </w:r>
            <w:r>
              <w:rPr>
                <w:rFonts w:ascii="宋体" w:hAnsi="宋体" w:eastAsia="宋体" w:cs="宋体"/>
                <w:spacing w:val="-5"/>
                <w:sz w:val="21"/>
                <w:szCs w:val="21"/>
              </w:rPr>
              <w:t>除符合本办法第六条规定外，还应当符合</w:t>
            </w:r>
            <w:r>
              <w:rPr>
                <w:rFonts w:ascii="宋体" w:hAnsi="宋体" w:eastAsia="宋体" w:cs="宋体"/>
                <w:spacing w:val="-11"/>
                <w:sz w:val="21"/>
                <w:szCs w:val="21"/>
              </w:rPr>
              <w:t>下列条件：</w:t>
            </w:r>
          </w:p>
          <w:p w14:paraId="105DB0EB">
            <w:pPr>
              <w:spacing w:line="274" w:lineRule="auto"/>
              <w:ind w:left="23" w:right="8" w:hanging="10"/>
              <w:rPr>
                <w:rFonts w:ascii="宋体" w:hAnsi="宋体" w:eastAsia="宋体" w:cs="宋体"/>
                <w:sz w:val="21"/>
                <w:szCs w:val="21"/>
              </w:rPr>
            </w:pPr>
            <w:r>
              <w:rPr>
                <w:rFonts w:ascii="宋体" w:hAnsi="宋体" w:eastAsia="宋体" w:cs="宋体"/>
                <w:spacing w:val="7"/>
                <w:sz w:val="21"/>
                <w:szCs w:val="21"/>
              </w:rPr>
              <w:t>（一）无害化处理区内设置无害化处理</w:t>
            </w:r>
            <w:r>
              <w:rPr>
                <w:rFonts w:ascii="宋体" w:hAnsi="宋体" w:eastAsia="宋体" w:cs="宋体"/>
                <w:spacing w:val="-12"/>
                <w:sz w:val="21"/>
                <w:szCs w:val="21"/>
              </w:rPr>
              <w:t>间、冷库；</w:t>
            </w:r>
          </w:p>
          <w:p w14:paraId="0658BF6F">
            <w:pPr>
              <w:spacing w:before="1" w:line="274" w:lineRule="auto"/>
              <w:ind w:left="8" w:right="1" w:firstLine="5"/>
              <w:rPr>
                <w:rFonts w:ascii="宋体" w:hAnsi="宋体" w:eastAsia="宋体" w:cs="宋体"/>
                <w:sz w:val="21"/>
                <w:szCs w:val="21"/>
              </w:rPr>
            </w:pPr>
            <w:r>
              <w:rPr>
                <w:rFonts w:ascii="宋体" w:hAnsi="宋体" w:eastAsia="宋体" w:cs="宋体"/>
                <w:spacing w:val="-5"/>
                <w:sz w:val="21"/>
                <w:szCs w:val="21"/>
              </w:rPr>
              <w:t>（二）配备与其处理规模相适应的病死动</w:t>
            </w:r>
            <w:r>
              <w:rPr>
                <w:rFonts w:ascii="宋体" w:hAnsi="宋体" w:eastAsia="宋体" w:cs="宋体"/>
                <w:spacing w:val="7"/>
                <w:sz w:val="21"/>
                <w:szCs w:val="21"/>
              </w:rPr>
              <w:t>物和病害动物产品的无害化处理设施设</w:t>
            </w:r>
            <w:r>
              <w:rPr>
                <w:rFonts w:ascii="宋体" w:hAnsi="宋体" w:eastAsia="宋体" w:cs="宋体"/>
                <w:spacing w:val="-5"/>
                <w:sz w:val="21"/>
                <w:szCs w:val="21"/>
              </w:rPr>
              <w:t>备，符合农业农村部规定条件的专用运输车辆，以及相关病原检测设备，或者委托有资质的单位开展检测；</w:t>
            </w:r>
          </w:p>
          <w:p w14:paraId="508975A0">
            <w:pPr>
              <w:spacing w:line="262" w:lineRule="auto"/>
              <w:ind w:left="7" w:right="1" w:firstLine="6"/>
              <w:rPr>
                <w:rFonts w:ascii="宋体" w:hAnsi="宋体" w:eastAsia="宋体" w:cs="宋体"/>
                <w:sz w:val="21"/>
                <w:szCs w:val="21"/>
              </w:rPr>
            </w:pPr>
            <w:r>
              <w:rPr>
                <w:rFonts w:ascii="宋体" w:hAnsi="宋体" w:eastAsia="宋体" w:cs="宋体"/>
                <w:spacing w:val="-5"/>
                <w:sz w:val="21"/>
                <w:szCs w:val="21"/>
              </w:rPr>
              <w:t>（三）建立病死动物和病害动物产品入场登记、无害化处理记录、病原检测、处理</w:t>
            </w:r>
            <w:r>
              <w:rPr>
                <w:rFonts w:ascii="宋体" w:hAnsi="宋体" w:eastAsia="宋体" w:cs="宋体"/>
                <w:spacing w:val="7"/>
                <w:sz w:val="21"/>
                <w:szCs w:val="21"/>
              </w:rPr>
              <w:t>产物流向登记、人员防护等动物防疫制</w:t>
            </w:r>
            <w:r>
              <w:rPr>
                <w:rFonts w:ascii="宋体" w:hAnsi="宋体" w:eastAsia="宋体" w:cs="宋体"/>
                <w:spacing w:val="-10"/>
                <w:sz w:val="21"/>
                <w:szCs w:val="21"/>
              </w:rPr>
              <w:t>度。</w:t>
            </w:r>
          </w:p>
        </w:tc>
        <w:tc>
          <w:tcPr>
            <w:tcW w:w="3361" w:type="dxa"/>
            <w:vAlign w:val="top"/>
          </w:tcPr>
          <w:p w14:paraId="06FBC022">
            <w:pPr>
              <w:spacing w:line="253" w:lineRule="auto"/>
              <w:rPr>
                <w:rFonts w:ascii="Arial"/>
                <w:sz w:val="21"/>
              </w:rPr>
            </w:pPr>
          </w:p>
          <w:p w14:paraId="22BE43B8">
            <w:pPr>
              <w:spacing w:line="253" w:lineRule="auto"/>
              <w:rPr>
                <w:rFonts w:ascii="Arial"/>
                <w:sz w:val="21"/>
              </w:rPr>
            </w:pPr>
          </w:p>
          <w:p w14:paraId="67685FAE">
            <w:pPr>
              <w:spacing w:line="253" w:lineRule="auto"/>
              <w:rPr>
                <w:rFonts w:ascii="Arial"/>
                <w:sz w:val="21"/>
              </w:rPr>
            </w:pPr>
          </w:p>
          <w:p w14:paraId="300E28C1">
            <w:pPr>
              <w:pStyle w:val="6"/>
              <w:spacing w:before="68" w:line="275" w:lineRule="auto"/>
              <w:ind w:left="10" w:firstLine="1"/>
              <w:jc w:val="both"/>
              <w:rPr>
                <w:rFonts w:ascii="宋体" w:hAnsi="宋体" w:eastAsia="宋体" w:cs="宋体"/>
              </w:rPr>
            </w:pPr>
            <w:r>
              <w:rPr>
                <w:rFonts w:ascii="宋体" w:hAnsi="宋体" w:eastAsia="宋体" w:cs="宋体"/>
                <w:spacing w:val="12"/>
              </w:rPr>
              <w:t>本项目在粪污处理区内设置无害化</w:t>
            </w:r>
            <w:r>
              <w:rPr>
                <w:rFonts w:ascii="宋体" w:hAnsi="宋体" w:eastAsia="宋体" w:cs="宋体"/>
                <w:spacing w:val="-3"/>
              </w:rPr>
              <w:t>处理间，配备</w:t>
            </w:r>
            <w:r>
              <w:rPr>
                <w:rFonts w:ascii="宋体" w:hAnsi="宋体" w:eastAsia="宋体" w:cs="宋体"/>
                <w:spacing w:val="-18"/>
              </w:rPr>
              <w:t xml:space="preserve"> </w:t>
            </w:r>
            <w:r>
              <w:rPr>
                <w:spacing w:val="-3"/>
              </w:rPr>
              <w:t xml:space="preserve">1 </w:t>
            </w:r>
            <w:r>
              <w:rPr>
                <w:rFonts w:ascii="宋体" w:hAnsi="宋体" w:eastAsia="宋体" w:cs="宋体"/>
                <w:spacing w:val="-3"/>
              </w:rPr>
              <w:t>套无害化处理设施设</w:t>
            </w:r>
            <w:r>
              <w:rPr>
                <w:rFonts w:ascii="宋体" w:hAnsi="宋体" w:eastAsia="宋体" w:cs="宋体"/>
                <w:spacing w:val="-1"/>
              </w:rPr>
              <w:t>备，采用符合农业农村部规定条件的专用运输车辆，将委托有资质的单位开展相关病原检测；运营后将建立病死动物和病害动物产品入场登记、无害化处理记录、病原检测、处理产物</w:t>
            </w:r>
            <w:r>
              <w:rPr>
                <w:rFonts w:ascii="宋体" w:hAnsi="宋体" w:eastAsia="宋体" w:cs="宋体"/>
                <w:spacing w:val="12"/>
              </w:rPr>
              <w:t>流向登记、人员防护等动物防疫制</w:t>
            </w:r>
            <w:r>
              <w:rPr>
                <w:rFonts w:ascii="宋体" w:hAnsi="宋体" w:eastAsia="宋体" w:cs="宋体"/>
                <w:spacing w:val="-10"/>
              </w:rPr>
              <w:t>度。</w:t>
            </w:r>
          </w:p>
        </w:tc>
        <w:tc>
          <w:tcPr>
            <w:tcW w:w="772" w:type="dxa"/>
            <w:vAlign w:val="top"/>
          </w:tcPr>
          <w:p w14:paraId="34A7642E">
            <w:pPr>
              <w:spacing w:line="250" w:lineRule="auto"/>
              <w:rPr>
                <w:rFonts w:ascii="Arial"/>
                <w:sz w:val="21"/>
              </w:rPr>
            </w:pPr>
          </w:p>
          <w:p w14:paraId="1E4FE6F0">
            <w:pPr>
              <w:spacing w:line="250" w:lineRule="auto"/>
              <w:rPr>
                <w:rFonts w:ascii="Arial"/>
                <w:sz w:val="21"/>
              </w:rPr>
            </w:pPr>
          </w:p>
          <w:p w14:paraId="37BE8919">
            <w:pPr>
              <w:spacing w:line="250" w:lineRule="auto"/>
              <w:rPr>
                <w:rFonts w:ascii="Arial"/>
                <w:sz w:val="21"/>
              </w:rPr>
            </w:pPr>
          </w:p>
          <w:p w14:paraId="1789CBAD">
            <w:pPr>
              <w:spacing w:line="250" w:lineRule="auto"/>
              <w:rPr>
                <w:rFonts w:ascii="Arial"/>
                <w:sz w:val="21"/>
              </w:rPr>
            </w:pPr>
          </w:p>
          <w:p w14:paraId="4D9209E3">
            <w:pPr>
              <w:spacing w:line="250" w:lineRule="auto"/>
              <w:rPr>
                <w:rFonts w:ascii="Arial"/>
                <w:sz w:val="21"/>
              </w:rPr>
            </w:pPr>
          </w:p>
          <w:p w14:paraId="19DF1A93">
            <w:pPr>
              <w:spacing w:line="250" w:lineRule="auto"/>
              <w:rPr>
                <w:rFonts w:ascii="Arial"/>
                <w:sz w:val="21"/>
              </w:rPr>
            </w:pPr>
          </w:p>
          <w:p w14:paraId="3791EEA5">
            <w:pPr>
              <w:spacing w:line="250" w:lineRule="auto"/>
              <w:rPr>
                <w:rFonts w:ascii="Arial"/>
                <w:sz w:val="21"/>
              </w:rPr>
            </w:pPr>
          </w:p>
          <w:p w14:paraId="5AE9B1B2">
            <w:pPr>
              <w:spacing w:line="251" w:lineRule="auto"/>
              <w:rPr>
                <w:rFonts w:ascii="Arial"/>
                <w:sz w:val="21"/>
              </w:rPr>
            </w:pPr>
          </w:p>
          <w:p w14:paraId="39B1D9A2">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bl>
    <w:p w14:paraId="5D668FD6">
      <w:pPr>
        <w:spacing w:before="233" w:line="363" w:lineRule="auto"/>
        <w:ind w:left="38" w:right="47" w:firstLine="510"/>
        <w:rPr>
          <w:rFonts w:ascii="宋体" w:hAnsi="宋体" w:eastAsia="宋体" w:cs="宋体"/>
          <w:sz w:val="24"/>
          <w:szCs w:val="24"/>
        </w:rPr>
      </w:pPr>
      <w:r>
        <w:rPr>
          <w:rFonts w:ascii="宋体" w:hAnsi="宋体" w:eastAsia="宋体" w:cs="宋体"/>
          <w:spacing w:val="-8"/>
          <w:sz w:val="24"/>
          <w:szCs w:val="24"/>
        </w:rPr>
        <w:t>由表可知，本项目符合《动物防疫条件审查办法》（农业部</w:t>
      </w:r>
      <w:r>
        <w:rPr>
          <w:rFonts w:ascii="Times New Roman" w:hAnsi="Times New Roman" w:eastAsia="Times New Roman" w:cs="Times New Roman"/>
          <w:spacing w:val="-8"/>
          <w:sz w:val="24"/>
          <w:szCs w:val="24"/>
        </w:rPr>
        <w:t>2010</w:t>
      </w:r>
      <w:r>
        <w:rPr>
          <w:rFonts w:ascii="宋体" w:hAnsi="宋体" w:eastAsia="宋体" w:cs="宋体"/>
          <w:spacing w:val="-8"/>
          <w:sz w:val="24"/>
          <w:szCs w:val="24"/>
        </w:rPr>
        <w:t>年第</w:t>
      </w:r>
      <w:r>
        <w:rPr>
          <w:rFonts w:ascii="Times New Roman" w:hAnsi="Times New Roman" w:eastAsia="Times New Roman" w:cs="Times New Roman"/>
          <w:spacing w:val="-8"/>
          <w:sz w:val="24"/>
          <w:szCs w:val="24"/>
        </w:rPr>
        <w:t>7</w:t>
      </w:r>
      <w:r>
        <w:rPr>
          <w:rFonts w:ascii="宋体" w:hAnsi="宋体" w:eastAsia="宋体" w:cs="宋体"/>
          <w:spacing w:val="-8"/>
          <w:sz w:val="24"/>
          <w:szCs w:val="24"/>
        </w:rPr>
        <w:t>号令）</w:t>
      </w:r>
      <w:r>
        <w:rPr>
          <w:rFonts w:ascii="宋体" w:hAnsi="宋体" w:eastAsia="宋体" w:cs="宋体"/>
          <w:spacing w:val="-7"/>
          <w:sz w:val="24"/>
          <w:szCs w:val="24"/>
        </w:rPr>
        <w:t>选址要求。</w:t>
      </w:r>
    </w:p>
    <w:p w14:paraId="20BF6393">
      <w:pPr>
        <w:spacing w:line="363" w:lineRule="auto"/>
        <w:rPr>
          <w:rFonts w:ascii="宋体" w:hAnsi="宋体" w:eastAsia="宋体" w:cs="宋体"/>
          <w:sz w:val="24"/>
          <w:szCs w:val="24"/>
        </w:rPr>
        <w:sectPr>
          <w:headerReference r:id="rId97" w:type="default"/>
          <w:footerReference r:id="rId98" w:type="default"/>
          <w:pgSz w:w="11905" w:h="16840"/>
          <w:pgMar w:top="1168" w:right="1768" w:bottom="1409" w:left="1770" w:header="828" w:footer="1244" w:gutter="0"/>
          <w:cols w:space="720" w:num="1"/>
        </w:sectPr>
      </w:pPr>
    </w:p>
    <w:p w14:paraId="4FD4E52C">
      <w:pPr>
        <w:pStyle w:val="2"/>
        <w:spacing w:line="353" w:lineRule="auto"/>
      </w:pPr>
    </w:p>
    <w:p w14:paraId="007FDF1C">
      <w:pPr>
        <w:spacing w:before="88" w:line="407" w:lineRule="auto"/>
        <w:ind w:left="63" w:hanging="15"/>
        <w:rPr>
          <w:rFonts w:ascii="宋体" w:hAnsi="宋体" w:eastAsia="宋体" w:cs="宋体"/>
          <w:sz w:val="27"/>
          <w:szCs w:val="27"/>
        </w:rPr>
      </w:pPr>
      <w:r>
        <w:rPr>
          <w:rFonts w:ascii="Times New Roman" w:hAnsi="Times New Roman" w:eastAsia="Times New Roman" w:cs="Times New Roman"/>
          <w:b/>
          <w:bCs/>
          <w:spacing w:val="2"/>
          <w:sz w:val="27"/>
          <w:szCs w:val="27"/>
        </w:rPr>
        <w:t>1.6.3.6</w:t>
      </w:r>
      <w:r>
        <w:rPr>
          <w:rFonts w:ascii="Times New Roman" w:hAnsi="Times New Roman" w:eastAsia="Times New Roman" w:cs="Times New Roman"/>
          <w:b/>
          <w:bCs/>
          <w:spacing w:val="30"/>
          <w:sz w:val="27"/>
          <w:szCs w:val="27"/>
        </w:rPr>
        <w:t xml:space="preserve"> </w:t>
      </w:r>
      <w:r>
        <w:rPr>
          <w:rFonts w:ascii="宋体" w:hAnsi="宋体" w:eastAsia="宋体" w:cs="宋体"/>
          <w:b/>
          <w:bCs/>
          <w:spacing w:val="2"/>
          <w:sz w:val="27"/>
          <w:szCs w:val="27"/>
        </w:rPr>
        <w:t>与《关于做好畜禽规模养殖项目环境影响评价管理工作的通知》的符合性分析</w:t>
      </w:r>
    </w:p>
    <w:p w14:paraId="4F2DB595">
      <w:pPr>
        <w:spacing w:before="1" w:line="360" w:lineRule="auto"/>
        <w:ind w:left="45" w:right="150" w:firstLine="474"/>
        <w:rPr>
          <w:rFonts w:ascii="宋体" w:hAnsi="宋体" w:eastAsia="宋体" w:cs="宋体"/>
          <w:sz w:val="24"/>
          <w:szCs w:val="24"/>
        </w:rPr>
      </w:pPr>
      <w:r>
        <w:rPr>
          <w:rFonts w:ascii="宋体" w:hAnsi="宋体" w:eastAsia="宋体" w:cs="宋体"/>
          <w:sz w:val="24"/>
          <w:szCs w:val="24"/>
        </w:rPr>
        <w:t>本项目建设与《关于做好畜禽规模养殖项目环境影响评价管理工作的通知》</w:t>
      </w:r>
      <w:r>
        <w:rPr>
          <w:rFonts w:ascii="宋体" w:hAnsi="宋体" w:eastAsia="宋体" w:cs="宋体"/>
          <w:spacing w:val="7"/>
          <w:sz w:val="24"/>
          <w:szCs w:val="24"/>
        </w:rPr>
        <w:t xml:space="preserve"> </w:t>
      </w:r>
      <w:r>
        <w:rPr>
          <w:rFonts w:ascii="宋体" w:hAnsi="宋体" w:eastAsia="宋体" w:cs="宋体"/>
          <w:spacing w:val="-2"/>
          <w:sz w:val="24"/>
          <w:szCs w:val="24"/>
        </w:rPr>
        <w:t>（环办环评</w:t>
      </w:r>
      <w:r>
        <w:rPr>
          <w:rFonts w:ascii="Times New Roman" w:hAnsi="Times New Roman" w:eastAsia="Times New Roman" w:cs="Times New Roman"/>
          <w:spacing w:val="-2"/>
          <w:sz w:val="24"/>
          <w:szCs w:val="24"/>
        </w:rPr>
        <w:t>[</w:t>
      </w:r>
      <w:r>
        <w:fldChar w:fldCharType="begin"/>
      </w:r>
      <w:r>
        <w:instrText xml:space="preserve"> HYPERLINK \l "bookmark130" </w:instrText>
      </w:r>
      <w:r>
        <w:fldChar w:fldCharType="separate"/>
      </w:r>
      <w:r>
        <w:rPr>
          <w:rFonts w:ascii="Times New Roman" w:hAnsi="Times New Roman" w:eastAsia="Times New Roman" w:cs="Times New Roman"/>
          <w:spacing w:val="-2"/>
          <w:sz w:val="24"/>
          <w:szCs w:val="24"/>
        </w:rPr>
        <w:t>2018</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]31</w:t>
      </w:r>
      <w:r>
        <w:rPr>
          <w:rFonts w:ascii="宋体" w:hAnsi="宋体" w:eastAsia="宋体" w:cs="宋体"/>
          <w:spacing w:val="-2"/>
          <w:sz w:val="24"/>
          <w:szCs w:val="24"/>
        </w:rPr>
        <w:t>号）中相关要求符合性分析见下表。</w:t>
      </w:r>
    </w:p>
    <w:p w14:paraId="25EA7B0F">
      <w:pPr>
        <w:spacing w:before="11" w:line="221" w:lineRule="auto"/>
        <w:ind w:left="90"/>
        <w:rPr>
          <w:rFonts w:ascii="黑体" w:hAnsi="黑体" w:eastAsia="黑体" w:cs="黑体"/>
          <w:sz w:val="21"/>
          <w:szCs w:val="21"/>
        </w:rPr>
      </w:pPr>
      <w:r>
        <w:rPr>
          <w:rFonts w:ascii="黑体" w:hAnsi="黑体" w:eastAsia="黑体" w:cs="黑体"/>
          <w:sz w:val="21"/>
          <w:szCs w:val="21"/>
        </w:rPr>
        <w:t>表</w:t>
      </w:r>
      <w:r>
        <w:rPr>
          <w:rFonts w:ascii="Times New Roman" w:hAnsi="Times New Roman" w:eastAsia="Times New Roman" w:cs="Times New Roman"/>
          <w:sz w:val="21"/>
          <w:szCs w:val="21"/>
        </w:rPr>
        <w:t xml:space="preserve">1.6-10  </w:t>
      </w:r>
      <w:r>
        <w:rPr>
          <w:rFonts w:ascii="黑体" w:hAnsi="黑体" w:eastAsia="黑体" w:cs="黑体"/>
          <w:sz w:val="21"/>
          <w:szCs w:val="21"/>
        </w:rPr>
        <w:t>项目与《关于做好畜禽规模养殖项目环境影响评价</w:t>
      </w:r>
      <w:r>
        <w:rPr>
          <w:rFonts w:ascii="黑体" w:hAnsi="黑体" w:eastAsia="黑体" w:cs="黑体"/>
          <w:spacing w:val="-1"/>
          <w:sz w:val="21"/>
          <w:szCs w:val="21"/>
        </w:rPr>
        <w:t>管理工作的通知》符合性分析</w:t>
      </w:r>
    </w:p>
    <w:p w14:paraId="4BEB3A80">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930"/>
        <w:gridCol w:w="3150"/>
        <w:gridCol w:w="771"/>
      </w:tblGrid>
      <w:tr w14:paraId="4D3D2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340648EF">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930" w:type="dxa"/>
            <w:vAlign w:val="top"/>
          </w:tcPr>
          <w:p w14:paraId="3950978F">
            <w:pPr>
              <w:spacing w:before="68" w:line="220" w:lineRule="auto"/>
              <w:ind w:left="1548"/>
              <w:rPr>
                <w:rFonts w:ascii="宋体" w:hAnsi="宋体" w:eastAsia="宋体" w:cs="宋体"/>
                <w:sz w:val="21"/>
                <w:szCs w:val="21"/>
              </w:rPr>
            </w:pPr>
            <w:r>
              <w:rPr>
                <w:rFonts w:ascii="宋体" w:hAnsi="宋体" w:eastAsia="宋体" w:cs="宋体"/>
                <w:spacing w:val="-2"/>
                <w:sz w:val="21"/>
                <w:szCs w:val="21"/>
              </w:rPr>
              <w:t>通知内容</w:t>
            </w:r>
          </w:p>
        </w:tc>
        <w:tc>
          <w:tcPr>
            <w:tcW w:w="3150" w:type="dxa"/>
            <w:vAlign w:val="top"/>
          </w:tcPr>
          <w:p w14:paraId="5F333CB1">
            <w:pPr>
              <w:spacing w:before="68" w:line="219" w:lineRule="auto"/>
              <w:ind w:left="1056"/>
              <w:rPr>
                <w:rFonts w:ascii="宋体" w:hAnsi="宋体" w:eastAsia="宋体" w:cs="宋体"/>
                <w:sz w:val="21"/>
                <w:szCs w:val="21"/>
              </w:rPr>
            </w:pPr>
            <w:r>
              <w:rPr>
                <w:rFonts w:ascii="宋体" w:hAnsi="宋体" w:eastAsia="宋体" w:cs="宋体"/>
                <w:spacing w:val="-2"/>
                <w:sz w:val="21"/>
                <w:szCs w:val="21"/>
              </w:rPr>
              <w:t>本项目情况</w:t>
            </w:r>
          </w:p>
        </w:tc>
        <w:tc>
          <w:tcPr>
            <w:tcW w:w="771" w:type="dxa"/>
            <w:vAlign w:val="top"/>
          </w:tcPr>
          <w:p w14:paraId="3F7D14F0">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3A476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5" w:hRule="atLeast"/>
        </w:trPr>
        <w:tc>
          <w:tcPr>
            <w:tcW w:w="469" w:type="dxa"/>
            <w:vAlign w:val="top"/>
          </w:tcPr>
          <w:p w14:paraId="15455AA7">
            <w:pPr>
              <w:spacing w:line="252" w:lineRule="auto"/>
              <w:rPr>
                <w:rFonts w:ascii="Arial"/>
                <w:sz w:val="21"/>
              </w:rPr>
            </w:pPr>
          </w:p>
          <w:p w14:paraId="6B7E844F">
            <w:pPr>
              <w:spacing w:line="252" w:lineRule="auto"/>
              <w:rPr>
                <w:rFonts w:ascii="Arial"/>
                <w:sz w:val="21"/>
              </w:rPr>
            </w:pPr>
          </w:p>
          <w:p w14:paraId="0025D581">
            <w:pPr>
              <w:spacing w:line="252" w:lineRule="auto"/>
              <w:rPr>
                <w:rFonts w:ascii="Arial"/>
                <w:sz w:val="21"/>
              </w:rPr>
            </w:pPr>
          </w:p>
          <w:p w14:paraId="35D038C2">
            <w:pPr>
              <w:spacing w:line="252" w:lineRule="auto"/>
              <w:rPr>
                <w:rFonts w:ascii="Arial"/>
                <w:sz w:val="21"/>
              </w:rPr>
            </w:pPr>
          </w:p>
          <w:p w14:paraId="18654717">
            <w:pPr>
              <w:spacing w:line="252" w:lineRule="auto"/>
              <w:rPr>
                <w:rFonts w:ascii="Arial"/>
                <w:sz w:val="21"/>
              </w:rPr>
            </w:pPr>
          </w:p>
          <w:p w14:paraId="1472B976">
            <w:pPr>
              <w:spacing w:line="252" w:lineRule="auto"/>
              <w:rPr>
                <w:rFonts w:ascii="Arial"/>
                <w:sz w:val="21"/>
              </w:rPr>
            </w:pPr>
          </w:p>
          <w:p w14:paraId="495A72AA">
            <w:pPr>
              <w:spacing w:line="252" w:lineRule="auto"/>
              <w:rPr>
                <w:rFonts w:ascii="Arial"/>
                <w:sz w:val="21"/>
              </w:rPr>
            </w:pPr>
          </w:p>
          <w:p w14:paraId="36BC0B07">
            <w:pPr>
              <w:spacing w:line="253" w:lineRule="auto"/>
              <w:rPr>
                <w:rFonts w:ascii="Arial"/>
                <w:sz w:val="21"/>
              </w:rPr>
            </w:pPr>
          </w:p>
          <w:p w14:paraId="272DB5EF">
            <w:pPr>
              <w:spacing w:line="253" w:lineRule="auto"/>
              <w:rPr>
                <w:rFonts w:ascii="Arial"/>
                <w:sz w:val="21"/>
              </w:rPr>
            </w:pPr>
          </w:p>
          <w:p w14:paraId="56F90C7B">
            <w:pPr>
              <w:spacing w:line="253" w:lineRule="auto"/>
              <w:rPr>
                <w:rFonts w:ascii="Arial"/>
                <w:sz w:val="21"/>
              </w:rPr>
            </w:pPr>
          </w:p>
          <w:p w14:paraId="7DCF8007">
            <w:pPr>
              <w:spacing w:line="253" w:lineRule="auto"/>
              <w:rPr>
                <w:rFonts w:ascii="Arial"/>
                <w:sz w:val="21"/>
              </w:rPr>
            </w:pPr>
          </w:p>
          <w:p w14:paraId="025AF531">
            <w:pPr>
              <w:spacing w:line="253" w:lineRule="auto"/>
              <w:rPr>
                <w:rFonts w:ascii="Arial"/>
                <w:sz w:val="21"/>
              </w:rPr>
            </w:pPr>
          </w:p>
          <w:p w14:paraId="08E1B1C8">
            <w:pPr>
              <w:spacing w:line="253" w:lineRule="auto"/>
              <w:rPr>
                <w:rFonts w:ascii="Arial"/>
                <w:sz w:val="21"/>
              </w:rPr>
            </w:pPr>
          </w:p>
          <w:p w14:paraId="6932F32C">
            <w:pPr>
              <w:pStyle w:val="6"/>
              <w:spacing w:before="60" w:line="188" w:lineRule="auto"/>
              <w:ind w:left="203"/>
            </w:pPr>
            <w:r>
              <w:t>1</w:t>
            </w:r>
          </w:p>
        </w:tc>
        <w:tc>
          <w:tcPr>
            <w:tcW w:w="3930" w:type="dxa"/>
            <w:vAlign w:val="top"/>
          </w:tcPr>
          <w:p w14:paraId="153C5585">
            <w:pPr>
              <w:spacing w:before="49" w:line="219" w:lineRule="auto"/>
              <w:ind w:left="11"/>
              <w:rPr>
                <w:rFonts w:ascii="宋体" w:hAnsi="宋体" w:eastAsia="宋体" w:cs="宋体"/>
                <w:sz w:val="21"/>
                <w:szCs w:val="21"/>
              </w:rPr>
            </w:pPr>
            <w:r>
              <w:rPr>
                <w:rFonts w:ascii="宋体" w:hAnsi="宋体" w:eastAsia="宋体" w:cs="宋体"/>
                <w:spacing w:val="-4"/>
                <w:sz w:val="21"/>
                <w:szCs w:val="21"/>
              </w:rPr>
              <w:t>一、优化项目选址，合理布置养殖场区：</w:t>
            </w:r>
          </w:p>
          <w:p w14:paraId="712D81F4">
            <w:pPr>
              <w:spacing w:before="66" w:line="274" w:lineRule="auto"/>
              <w:ind w:left="9" w:right="2" w:firstLine="2"/>
              <w:rPr>
                <w:rFonts w:ascii="宋体" w:hAnsi="宋体" w:eastAsia="宋体" w:cs="宋体"/>
                <w:sz w:val="21"/>
                <w:szCs w:val="21"/>
              </w:rPr>
            </w:pPr>
            <w:r>
              <w:rPr>
                <w:rFonts w:ascii="宋体" w:hAnsi="宋体" w:eastAsia="宋体" w:cs="宋体"/>
                <w:spacing w:val="-5"/>
                <w:sz w:val="21"/>
                <w:szCs w:val="21"/>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w:t>
            </w:r>
            <w:r>
              <w:rPr>
                <w:rFonts w:ascii="宋体" w:hAnsi="宋体" w:eastAsia="宋体" w:cs="宋体"/>
                <w:spacing w:val="-10"/>
                <w:sz w:val="21"/>
                <w:szCs w:val="21"/>
              </w:rPr>
              <w:t>冲区、村镇人口集中区域， 以及法律、法规</w:t>
            </w:r>
            <w:r>
              <w:rPr>
                <w:rFonts w:ascii="宋体" w:hAnsi="宋体" w:eastAsia="宋体" w:cs="宋体"/>
                <w:spacing w:val="-4"/>
                <w:sz w:val="21"/>
                <w:szCs w:val="21"/>
              </w:rPr>
              <w:t>规定的禁止养殖区域。</w:t>
            </w:r>
          </w:p>
          <w:p w14:paraId="10B3D3B3">
            <w:pPr>
              <w:spacing w:before="13" w:line="269" w:lineRule="auto"/>
              <w:ind w:left="7" w:firstLine="4"/>
              <w:rPr>
                <w:rFonts w:ascii="宋体" w:hAnsi="宋体" w:eastAsia="宋体" w:cs="宋体"/>
                <w:sz w:val="21"/>
                <w:szCs w:val="21"/>
              </w:rPr>
            </w:pPr>
            <w:r>
              <w:rPr>
                <w:rFonts w:ascii="宋体" w:hAnsi="宋体" w:eastAsia="宋体" w:cs="宋体"/>
                <w:spacing w:val="5"/>
                <w:sz w:val="21"/>
                <w:szCs w:val="21"/>
              </w:rPr>
              <w:t>项目环评应结合环境保护要求优化养殖场</w:t>
            </w:r>
            <w:r>
              <w:rPr>
                <w:rFonts w:ascii="宋体" w:hAnsi="宋体" w:eastAsia="宋体" w:cs="宋体"/>
                <w:spacing w:val="-4"/>
                <w:sz w:val="21"/>
                <w:szCs w:val="21"/>
              </w:rPr>
              <w:t>区内部布置。畜禽养殖区及畜禽粪污贮存、</w:t>
            </w:r>
            <w:r>
              <w:rPr>
                <w:rFonts w:ascii="宋体" w:hAnsi="宋体" w:eastAsia="宋体" w:cs="宋体"/>
                <w:spacing w:val="5"/>
                <w:sz w:val="21"/>
                <w:szCs w:val="21"/>
              </w:rPr>
              <w:t>处理和畜禽尸体无害化处理等产生恶臭影</w:t>
            </w:r>
            <w:r>
              <w:rPr>
                <w:rFonts w:ascii="宋体" w:hAnsi="宋体" w:eastAsia="宋体" w:cs="宋体"/>
                <w:spacing w:val="-6"/>
                <w:sz w:val="21"/>
                <w:szCs w:val="21"/>
              </w:rPr>
              <w:t>响的设施，应位于养殖场区主导风向的下风向位置，并尽量远离周边环境保护目标。参</w:t>
            </w:r>
            <w:r>
              <w:rPr>
                <w:rFonts w:ascii="宋体" w:hAnsi="宋体" w:eastAsia="宋体" w:cs="宋体"/>
                <w:spacing w:val="-10"/>
                <w:sz w:val="21"/>
                <w:szCs w:val="21"/>
              </w:rPr>
              <w:t>照《畜禽养殖业污染防治技术规范》，</w:t>
            </w:r>
            <w:r>
              <w:rPr>
                <w:rFonts w:ascii="宋体" w:hAnsi="宋体" w:eastAsia="宋体" w:cs="宋体"/>
                <w:spacing w:val="-26"/>
                <w:sz w:val="21"/>
                <w:szCs w:val="21"/>
              </w:rPr>
              <w:t xml:space="preserve"> </w:t>
            </w:r>
            <w:r>
              <w:rPr>
                <w:rFonts w:ascii="宋体" w:hAnsi="宋体" w:eastAsia="宋体" w:cs="宋体"/>
                <w:spacing w:val="-10"/>
                <w:sz w:val="21"/>
                <w:szCs w:val="21"/>
              </w:rPr>
              <w:t>并根</w:t>
            </w:r>
            <w:r>
              <w:rPr>
                <w:rFonts w:ascii="宋体" w:hAnsi="宋体" w:eastAsia="宋体" w:cs="宋体"/>
                <w:spacing w:val="-6"/>
                <w:sz w:val="21"/>
                <w:szCs w:val="21"/>
              </w:rPr>
              <w:t>据恶臭污染物无组织排放源强，以及当地的</w:t>
            </w:r>
            <w:r>
              <w:rPr>
                <w:rFonts w:ascii="宋体" w:hAnsi="宋体" w:eastAsia="宋体" w:cs="宋体"/>
                <w:spacing w:val="-7"/>
                <w:sz w:val="21"/>
                <w:szCs w:val="21"/>
              </w:rPr>
              <w:t>环境及气象等因素，按照《环境影响评价技</w:t>
            </w:r>
            <w:r>
              <w:rPr>
                <w:rFonts w:ascii="宋体" w:hAnsi="宋体" w:eastAsia="宋体" w:cs="宋体"/>
                <w:spacing w:val="-1"/>
                <w:sz w:val="21"/>
                <w:szCs w:val="21"/>
              </w:rPr>
              <w:t>术导则 大气环境》要求计算大气环境防护</w:t>
            </w:r>
            <w:r>
              <w:rPr>
                <w:rFonts w:ascii="宋体" w:hAnsi="宋体" w:eastAsia="宋体" w:cs="宋体"/>
                <w:spacing w:val="-6"/>
                <w:sz w:val="21"/>
                <w:szCs w:val="21"/>
              </w:rPr>
              <w:t>距离，作为养殖场选址以及周边规划控制的</w:t>
            </w:r>
            <w:r>
              <w:rPr>
                <w:rFonts w:ascii="宋体" w:hAnsi="宋体" w:eastAsia="宋体" w:cs="宋体"/>
                <w:spacing w:val="5"/>
                <w:sz w:val="21"/>
                <w:szCs w:val="21"/>
              </w:rPr>
              <w:t>依据，减轻对周围环境保护目标的不利影</w:t>
            </w:r>
            <w:r>
              <w:rPr>
                <w:rFonts w:ascii="宋体" w:hAnsi="宋体" w:eastAsia="宋体" w:cs="宋体"/>
                <w:spacing w:val="-11"/>
                <w:sz w:val="21"/>
                <w:szCs w:val="21"/>
              </w:rPr>
              <w:t>响。</w:t>
            </w:r>
          </w:p>
        </w:tc>
        <w:tc>
          <w:tcPr>
            <w:tcW w:w="3150" w:type="dxa"/>
            <w:vAlign w:val="top"/>
          </w:tcPr>
          <w:p w14:paraId="1ACD5F5F">
            <w:pPr>
              <w:spacing w:line="244" w:lineRule="auto"/>
              <w:rPr>
                <w:rFonts w:ascii="Arial"/>
                <w:sz w:val="21"/>
              </w:rPr>
            </w:pPr>
          </w:p>
          <w:p w14:paraId="3BE91A4A">
            <w:pPr>
              <w:spacing w:line="245" w:lineRule="auto"/>
              <w:rPr>
                <w:rFonts w:ascii="Arial"/>
                <w:sz w:val="21"/>
              </w:rPr>
            </w:pPr>
          </w:p>
          <w:p w14:paraId="08331989">
            <w:pPr>
              <w:spacing w:line="245" w:lineRule="auto"/>
              <w:rPr>
                <w:rFonts w:ascii="Arial"/>
                <w:sz w:val="21"/>
              </w:rPr>
            </w:pPr>
          </w:p>
          <w:p w14:paraId="50F0C637">
            <w:pPr>
              <w:spacing w:line="245" w:lineRule="auto"/>
              <w:rPr>
                <w:rFonts w:ascii="Arial"/>
                <w:sz w:val="21"/>
              </w:rPr>
            </w:pPr>
          </w:p>
          <w:p w14:paraId="5C80154C">
            <w:pPr>
              <w:spacing w:line="245" w:lineRule="auto"/>
              <w:rPr>
                <w:rFonts w:ascii="Arial"/>
                <w:sz w:val="21"/>
              </w:rPr>
            </w:pPr>
          </w:p>
          <w:p w14:paraId="79709E10">
            <w:pPr>
              <w:spacing w:before="68" w:line="274" w:lineRule="auto"/>
              <w:ind w:left="11"/>
              <w:rPr>
                <w:rFonts w:ascii="宋体" w:hAnsi="宋体" w:eastAsia="宋体" w:cs="宋体"/>
                <w:sz w:val="21"/>
                <w:szCs w:val="21"/>
              </w:rPr>
            </w:pPr>
            <w:r>
              <w:rPr>
                <w:rFonts w:ascii="宋体" w:hAnsi="宋体" w:eastAsia="宋体" w:cs="宋体"/>
                <w:spacing w:val="8"/>
                <w:sz w:val="21"/>
                <w:szCs w:val="21"/>
              </w:rPr>
              <w:t>本项目不在东兴区划定的禁养区</w:t>
            </w:r>
            <w:r>
              <w:rPr>
                <w:rFonts w:ascii="宋体" w:hAnsi="宋体" w:eastAsia="宋体" w:cs="宋体"/>
                <w:spacing w:val="-6"/>
                <w:sz w:val="21"/>
                <w:szCs w:val="21"/>
              </w:rPr>
              <w:t>范围内，项目用地与区域主体功能区规划、环境功能区划、土地利用</w:t>
            </w:r>
            <w:r>
              <w:rPr>
                <w:rFonts w:ascii="宋体" w:hAnsi="宋体" w:eastAsia="宋体" w:cs="宋体"/>
                <w:spacing w:val="-15"/>
                <w:sz w:val="21"/>
                <w:szCs w:val="21"/>
              </w:rPr>
              <w:t>规划、城乡规划、畜牧业发展规划、</w:t>
            </w:r>
            <w:r>
              <w:rPr>
                <w:rFonts w:ascii="宋体" w:hAnsi="宋体" w:eastAsia="宋体" w:cs="宋体"/>
                <w:spacing w:val="8"/>
                <w:sz w:val="21"/>
                <w:szCs w:val="21"/>
              </w:rPr>
              <w:t>畜禽养殖污染防治规划等规划相</w:t>
            </w:r>
            <w:r>
              <w:rPr>
                <w:rFonts w:ascii="宋体" w:hAnsi="宋体" w:eastAsia="宋体" w:cs="宋体"/>
                <w:spacing w:val="-12"/>
                <w:sz w:val="21"/>
                <w:szCs w:val="21"/>
              </w:rPr>
              <w:t>符。</w:t>
            </w:r>
          </w:p>
          <w:p w14:paraId="10428333">
            <w:pPr>
              <w:spacing w:before="8" w:line="274" w:lineRule="auto"/>
              <w:ind w:left="8" w:firstLine="2"/>
              <w:rPr>
                <w:rFonts w:ascii="宋体" w:hAnsi="宋体" w:eastAsia="宋体" w:cs="宋体"/>
                <w:sz w:val="21"/>
                <w:szCs w:val="21"/>
              </w:rPr>
            </w:pPr>
            <w:r>
              <w:rPr>
                <w:rFonts w:ascii="宋体" w:hAnsi="宋体" w:eastAsia="宋体" w:cs="宋体"/>
                <w:spacing w:val="13"/>
                <w:sz w:val="21"/>
                <w:szCs w:val="21"/>
              </w:rPr>
              <w:t>本项目病死猪交内江市环态动物</w:t>
            </w:r>
            <w:r>
              <w:rPr>
                <w:rFonts w:ascii="宋体" w:hAnsi="宋体" w:eastAsia="宋体" w:cs="宋体"/>
                <w:spacing w:val="14"/>
                <w:sz w:val="21"/>
                <w:szCs w:val="21"/>
              </w:rPr>
              <w:t>无害化处置有限责任公司进行无</w:t>
            </w:r>
            <w:r>
              <w:rPr>
                <w:rFonts w:ascii="宋体" w:hAnsi="宋体" w:eastAsia="宋体" w:cs="宋体"/>
                <w:spacing w:val="-2"/>
                <w:sz w:val="21"/>
                <w:szCs w:val="21"/>
              </w:rPr>
              <w:t>害化处理。粪污处理区位于养殖区</w:t>
            </w:r>
            <w:r>
              <w:rPr>
                <w:rFonts w:ascii="宋体" w:hAnsi="宋体" w:eastAsia="宋体" w:cs="宋体"/>
                <w:spacing w:val="-1"/>
                <w:sz w:val="21"/>
                <w:szCs w:val="21"/>
              </w:rPr>
              <w:t>的南侧，处于主导风向的侧风向。</w:t>
            </w:r>
            <w:r>
              <w:rPr>
                <w:rFonts w:ascii="宋体" w:hAnsi="宋体" w:eastAsia="宋体" w:cs="宋体"/>
                <w:spacing w:val="-3"/>
                <w:sz w:val="21"/>
                <w:szCs w:val="21"/>
              </w:rPr>
              <w:t>报告按照《环境影响评价技术导则</w:t>
            </w:r>
            <w:r>
              <w:rPr>
                <w:rFonts w:ascii="宋体" w:hAnsi="宋体" w:eastAsia="宋体" w:cs="宋体"/>
                <w:spacing w:val="-2"/>
                <w:sz w:val="21"/>
                <w:szCs w:val="21"/>
              </w:rPr>
              <w:t>大气环境》要求进行大气环境防护距离计算，本项目不需设置大气环</w:t>
            </w:r>
            <w:r>
              <w:rPr>
                <w:rFonts w:ascii="宋体" w:hAnsi="宋体" w:eastAsia="宋体" w:cs="宋体"/>
                <w:spacing w:val="-6"/>
                <w:sz w:val="21"/>
                <w:szCs w:val="21"/>
              </w:rPr>
              <w:t>境防护距离。</w:t>
            </w:r>
          </w:p>
        </w:tc>
        <w:tc>
          <w:tcPr>
            <w:tcW w:w="771" w:type="dxa"/>
            <w:vAlign w:val="top"/>
          </w:tcPr>
          <w:p w14:paraId="419B23BF">
            <w:pPr>
              <w:spacing w:line="249" w:lineRule="auto"/>
              <w:rPr>
                <w:rFonts w:ascii="Arial"/>
                <w:sz w:val="21"/>
              </w:rPr>
            </w:pPr>
          </w:p>
          <w:p w14:paraId="4CDF173E">
            <w:pPr>
              <w:spacing w:line="249" w:lineRule="auto"/>
              <w:rPr>
                <w:rFonts w:ascii="Arial"/>
                <w:sz w:val="21"/>
              </w:rPr>
            </w:pPr>
          </w:p>
          <w:p w14:paraId="32C297C1">
            <w:pPr>
              <w:spacing w:line="249" w:lineRule="auto"/>
              <w:rPr>
                <w:rFonts w:ascii="Arial"/>
                <w:sz w:val="21"/>
              </w:rPr>
            </w:pPr>
          </w:p>
          <w:p w14:paraId="4A6FB465">
            <w:pPr>
              <w:spacing w:line="249" w:lineRule="auto"/>
              <w:rPr>
                <w:rFonts w:ascii="Arial"/>
                <w:sz w:val="21"/>
              </w:rPr>
            </w:pPr>
          </w:p>
          <w:p w14:paraId="783ED326">
            <w:pPr>
              <w:spacing w:line="249" w:lineRule="auto"/>
              <w:rPr>
                <w:rFonts w:ascii="Arial"/>
                <w:sz w:val="21"/>
              </w:rPr>
            </w:pPr>
          </w:p>
          <w:p w14:paraId="0A01F23E">
            <w:pPr>
              <w:spacing w:line="249" w:lineRule="auto"/>
              <w:rPr>
                <w:rFonts w:ascii="Arial"/>
                <w:sz w:val="21"/>
              </w:rPr>
            </w:pPr>
          </w:p>
          <w:p w14:paraId="671A6B9D">
            <w:pPr>
              <w:spacing w:line="249" w:lineRule="auto"/>
              <w:rPr>
                <w:rFonts w:ascii="Arial"/>
                <w:sz w:val="21"/>
              </w:rPr>
            </w:pPr>
          </w:p>
          <w:p w14:paraId="1E46843A">
            <w:pPr>
              <w:spacing w:line="249" w:lineRule="auto"/>
              <w:rPr>
                <w:rFonts w:ascii="Arial"/>
                <w:sz w:val="21"/>
              </w:rPr>
            </w:pPr>
          </w:p>
          <w:p w14:paraId="17C4D9C3">
            <w:pPr>
              <w:spacing w:line="249" w:lineRule="auto"/>
              <w:rPr>
                <w:rFonts w:ascii="Arial"/>
                <w:sz w:val="21"/>
              </w:rPr>
            </w:pPr>
          </w:p>
          <w:p w14:paraId="7CAD66C5">
            <w:pPr>
              <w:spacing w:line="249" w:lineRule="auto"/>
              <w:rPr>
                <w:rFonts w:ascii="Arial"/>
                <w:sz w:val="21"/>
              </w:rPr>
            </w:pPr>
          </w:p>
          <w:p w14:paraId="163CD96B">
            <w:pPr>
              <w:spacing w:line="249" w:lineRule="auto"/>
              <w:rPr>
                <w:rFonts w:ascii="Arial"/>
                <w:sz w:val="21"/>
              </w:rPr>
            </w:pPr>
          </w:p>
          <w:p w14:paraId="317A36DF">
            <w:pPr>
              <w:spacing w:line="249" w:lineRule="auto"/>
              <w:rPr>
                <w:rFonts w:ascii="Arial"/>
                <w:sz w:val="21"/>
              </w:rPr>
            </w:pPr>
          </w:p>
          <w:p w14:paraId="108E65F9">
            <w:pPr>
              <w:spacing w:line="249" w:lineRule="auto"/>
              <w:rPr>
                <w:rFonts w:ascii="Arial"/>
                <w:sz w:val="21"/>
              </w:rPr>
            </w:pPr>
          </w:p>
          <w:p w14:paraId="7482C8FA">
            <w:pPr>
              <w:spacing w:before="68" w:line="220" w:lineRule="auto"/>
              <w:ind w:left="182"/>
              <w:rPr>
                <w:rFonts w:ascii="宋体" w:hAnsi="宋体" w:eastAsia="宋体" w:cs="宋体"/>
                <w:sz w:val="21"/>
                <w:szCs w:val="21"/>
              </w:rPr>
            </w:pPr>
            <w:r>
              <w:rPr>
                <w:rFonts w:ascii="宋体" w:hAnsi="宋体" w:eastAsia="宋体" w:cs="宋体"/>
                <w:spacing w:val="-3"/>
                <w:sz w:val="21"/>
                <w:szCs w:val="21"/>
              </w:rPr>
              <w:t>符合</w:t>
            </w:r>
          </w:p>
        </w:tc>
      </w:tr>
      <w:tr w14:paraId="1353C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3" w:hRule="atLeast"/>
        </w:trPr>
        <w:tc>
          <w:tcPr>
            <w:tcW w:w="469" w:type="dxa"/>
            <w:vAlign w:val="top"/>
          </w:tcPr>
          <w:p w14:paraId="5E946A72">
            <w:pPr>
              <w:spacing w:line="247" w:lineRule="auto"/>
              <w:rPr>
                <w:rFonts w:ascii="Arial"/>
                <w:sz w:val="21"/>
              </w:rPr>
            </w:pPr>
          </w:p>
          <w:p w14:paraId="0B7A885E">
            <w:pPr>
              <w:spacing w:line="248" w:lineRule="auto"/>
              <w:rPr>
                <w:rFonts w:ascii="Arial"/>
                <w:sz w:val="21"/>
              </w:rPr>
            </w:pPr>
          </w:p>
          <w:p w14:paraId="31C968B3">
            <w:pPr>
              <w:spacing w:line="248" w:lineRule="auto"/>
              <w:rPr>
                <w:rFonts w:ascii="Arial"/>
                <w:sz w:val="21"/>
              </w:rPr>
            </w:pPr>
          </w:p>
          <w:p w14:paraId="488F0D7C">
            <w:pPr>
              <w:spacing w:line="248" w:lineRule="auto"/>
              <w:rPr>
                <w:rFonts w:ascii="Arial"/>
                <w:sz w:val="21"/>
              </w:rPr>
            </w:pPr>
          </w:p>
          <w:p w14:paraId="3132F69C">
            <w:pPr>
              <w:spacing w:line="248" w:lineRule="auto"/>
              <w:rPr>
                <w:rFonts w:ascii="Arial"/>
                <w:sz w:val="21"/>
              </w:rPr>
            </w:pPr>
          </w:p>
          <w:p w14:paraId="1C34B4EF">
            <w:pPr>
              <w:spacing w:line="248" w:lineRule="auto"/>
              <w:rPr>
                <w:rFonts w:ascii="Arial"/>
                <w:sz w:val="21"/>
              </w:rPr>
            </w:pPr>
          </w:p>
          <w:p w14:paraId="201751EF">
            <w:pPr>
              <w:spacing w:line="248" w:lineRule="auto"/>
              <w:rPr>
                <w:rFonts w:ascii="Arial"/>
                <w:sz w:val="21"/>
              </w:rPr>
            </w:pPr>
          </w:p>
          <w:p w14:paraId="3CE54392">
            <w:pPr>
              <w:pStyle w:val="6"/>
              <w:spacing w:before="60" w:line="188" w:lineRule="auto"/>
              <w:ind w:left="183"/>
            </w:pPr>
            <w:r>
              <w:t>2</w:t>
            </w:r>
          </w:p>
        </w:tc>
        <w:tc>
          <w:tcPr>
            <w:tcW w:w="3930" w:type="dxa"/>
            <w:vAlign w:val="top"/>
          </w:tcPr>
          <w:p w14:paraId="64546EAF">
            <w:pPr>
              <w:spacing w:before="54" w:line="274" w:lineRule="auto"/>
              <w:ind w:left="16" w:right="2" w:hanging="5"/>
              <w:rPr>
                <w:rFonts w:ascii="宋体" w:hAnsi="宋体" w:eastAsia="宋体" w:cs="宋体"/>
                <w:sz w:val="21"/>
                <w:szCs w:val="21"/>
              </w:rPr>
            </w:pPr>
            <w:r>
              <w:rPr>
                <w:rFonts w:ascii="宋体" w:hAnsi="宋体" w:eastAsia="宋体" w:cs="宋体"/>
                <w:spacing w:val="-9"/>
                <w:sz w:val="21"/>
                <w:szCs w:val="21"/>
              </w:rPr>
              <w:t>二、加强粪污减量控制，</w:t>
            </w:r>
            <w:r>
              <w:rPr>
                <w:rFonts w:ascii="宋体" w:hAnsi="宋体" w:eastAsia="宋体" w:cs="宋体"/>
                <w:spacing w:val="-14"/>
                <w:sz w:val="21"/>
                <w:szCs w:val="21"/>
              </w:rPr>
              <w:t xml:space="preserve"> </w:t>
            </w:r>
            <w:r>
              <w:rPr>
                <w:rFonts w:ascii="宋体" w:hAnsi="宋体" w:eastAsia="宋体" w:cs="宋体"/>
                <w:spacing w:val="-9"/>
                <w:sz w:val="21"/>
                <w:szCs w:val="21"/>
              </w:rPr>
              <w:t>促进畜禽养殖粪污</w:t>
            </w:r>
            <w:r>
              <w:rPr>
                <w:rFonts w:ascii="宋体" w:hAnsi="宋体" w:eastAsia="宋体" w:cs="宋体"/>
                <w:spacing w:val="-10"/>
                <w:sz w:val="21"/>
                <w:szCs w:val="21"/>
              </w:rPr>
              <w:t>资源化利用：</w:t>
            </w:r>
          </w:p>
          <w:p w14:paraId="0EA60B67">
            <w:pPr>
              <w:spacing w:line="274" w:lineRule="auto"/>
              <w:ind w:left="8" w:right="2" w:firstLine="13"/>
              <w:rPr>
                <w:rFonts w:ascii="宋体" w:hAnsi="宋体" w:eastAsia="宋体" w:cs="宋体"/>
                <w:sz w:val="21"/>
                <w:szCs w:val="21"/>
              </w:rPr>
            </w:pPr>
            <w:r>
              <w:rPr>
                <w:rFonts w:ascii="宋体" w:hAnsi="宋体" w:eastAsia="宋体" w:cs="宋体"/>
                <w:spacing w:val="-5"/>
                <w:sz w:val="21"/>
                <w:szCs w:val="21"/>
              </w:rPr>
              <w:t>…鼓励采取干清粪方式，采取水泡粪工艺的</w:t>
            </w:r>
            <w:r>
              <w:rPr>
                <w:rFonts w:ascii="宋体" w:hAnsi="宋体" w:eastAsia="宋体" w:cs="宋体"/>
                <w:spacing w:val="-4"/>
                <w:sz w:val="21"/>
                <w:szCs w:val="21"/>
              </w:rPr>
              <w:t>应最大限度降低用水量。场区应采取雨污分</w:t>
            </w:r>
            <w:r>
              <w:rPr>
                <w:rFonts w:ascii="宋体" w:hAnsi="宋体" w:eastAsia="宋体" w:cs="宋体"/>
                <w:spacing w:val="-3"/>
                <w:sz w:val="21"/>
                <w:szCs w:val="21"/>
              </w:rPr>
              <w:t>离措施，防止雨水进入粪污收集系统。</w:t>
            </w:r>
          </w:p>
          <w:p w14:paraId="1F98E5F0">
            <w:pPr>
              <w:spacing w:before="3" w:line="267" w:lineRule="auto"/>
              <w:ind w:left="7" w:right="2" w:firstLine="4"/>
              <w:rPr>
                <w:rFonts w:ascii="宋体" w:hAnsi="宋体" w:eastAsia="宋体" w:cs="宋体"/>
                <w:sz w:val="21"/>
                <w:szCs w:val="21"/>
              </w:rPr>
            </w:pPr>
            <w:r>
              <w:rPr>
                <w:rFonts w:ascii="宋体" w:hAnsi="宋体" w:eastAsia="宋体" w:cs="宋体"/>
                <w:spacing w:val="-5"/>
                <w:sz w:val="21"/>
                <w:szCs w:val="21"/>
              </w:rPr>
              <w:t>项目环评应结合地域、畜种、规模等特点以</w:t>
            </w:r>
            <w:r>
              <w:rPr>
                <w:rFonts w:ascii="宋体" w:hAnsi="宋体" w:eastAsia="宋体" w:cs="宋体"/>
                <w:spacing w:val="7"/>
                <w:sz w:val="21"/>
                <w:szCs w:val="21"/>
              </w:rPr>
              <w:t>及地方相关部门制定的畜禽粪污综合利用目标等要求，加强畜禽养殖粪污资源化利</w:t>
            </w:r>
            <w:r>
              <w:rPr>
                <w:rFonts w:ascii="宋体" w:hAnsi="宋体" w:eastAsia="宋体" w:cs="宋体"/>
                <w:spacing w:val="-4"/>
                <w:sz w:val="21"/>
                <w:szCs w:val="21"/>
              </w:rPr>
              <w:t>用，因地制宜选择经济高效适用的处理利用模式，采取粪污全量收集还田利用、污水肥料化利用、粪便垫料回用、异位发酵床、粪</w:t>
            </w:r>
            <w:r>
              <w:rPr>
                <w:rFonts w:ascii="宋体" w:hAnsi="宋体" w:eastAsia="宋体" w:cs="宋体"/>
                <w:spacing w:val="7"/>
                <w:sz w:val="21"/>
                <w:szCs w:val="21"/>
              </w:rPr>
              <w:t>污专业化能源利用等模式处理利用畜禽粪</w:t>
            </w:r>
          </w:p>
        </w:tc>
        <w:tc>
          <w:tcPr>
            <w:tcW w:w="3150" w:type="dxa"/>
            <w:vAlign w:val="top"/>
          </w:tcPr>
          <w:p w14:paraId="422BFCE5">
            <w:pPr>
              <w:pStyle w:val="6"/>
              <w:spacing w:before="57" w:line="270" w:lineRule="auto"/>
              <w:ind w:left="10"/>
              <w:jc w:val="both"/>
              <w:rPr>
                <w:rFonts w:ascii="宋体" w:hAnsi="宋体" w:eastAsia="宋体" w:cs="宋体"/>
              </w:rPr>
            </w:pPr>
            <w:r>
              <w:rPr>
                <w:rFonts w:ascii="宋体" w:hAnsi="宋体" w:eastAsia="宋体" w:cs="宋体"/>
                <w:spacing w:val="-2"/>
              </w:rPr>
              <w:t>本项目采用采用“原环保部认可的清粪工艺”（同牧原清粪工艺，为</w:t>
            </w:r>
            <w:r>
              <w:rPr>
                <w:rFonts w:ascii="宋体" w:hAnsi="宋体" w:eastAsia="宋体" w:cs="宋体"/>
                <w:spacing w:val="13"/>
              </w:rPr>
              <w:t>原环保部认可具备干清粪工艺基</w:t>
            </w:r>
            <w:r>
              <w:rPr>
                <w:rFonts w:ascii="宋体" w:hAnsi="宋体" w:eastAsia="宋体" w:cs="宋体"/>
              </w:rPr>
              <w:t>本特征</w:t>
            </w:r>
            <w:r>
              <w:rPr>
                <w:rFonts w:ascii="宋体" w:hAnsi="宋体" w:eastAsia="宋体" w:cs="宋体"/>
                <w:spacing w:val="-9"/>
              </w:rPr>
              <w:t>），</w:t>
            </w:r>
            <w:r>
              <w:rPr>
                <w:rFonts w:ascii="宋体" w:hAnsi="宋体" w:eastAsia="宋体" w:cs="宋体"/>
              </w:rPr>
              <w:t>场区实行雨污分流。本</w:t>
            </w:r>
            <w:r>
              <w:rPr>
                <w:rFonts w:ascii="宋体" w:hAnsi="宋体" w:eastAsia="宋体" w:cs="宋体"/>
                <w:spacing w:val="9"/>
              </w:rPr>
              <w:t>项目采用“格栅井</w:t>
            </w:r>
            <w:r>
              <w:rPr>
                <w:spacing w:val="9"/>
              </w:rPr>
              <w:t>+</w:t>
            </w:r>
            <w:r>
              <w:rPr>
                <w:spacing w:val="-23"/>
              </w:rPr>
              <w:t xml:space="preserve"> </w:t>
            </w:r>
            <w:r>
              <w:rPr>
                <w:rFonts w:ascii="宋体" w:hAnsi="宋体" w:eastAsia="宋体" w:cs="宋体"/>
                <w:spacing w:val="9"/>
              </w:rPr>
              <w:t>粪污收集池</w:t>
            </w:r>
            <w:r>
              <w:rPr>
                <w:spacing w:val="9"/>
              </w:rPr>
              <w:t>+</w:t>
            </w:r>
            <w:r>
              <w:rPr>
                <w:rFonts w:ascii="宋体" w:hAnsi="宋体" w:eastAsia="宋体" w:cs="宋体"/>
                <w:spacing w:val="-1"/>
              </w:rPr>
              <w:t>固液分离</w:t>
            </w:r>
            <w:r>
              <w:rPr>
                <w:spacing w:val="-1"/>
              </w:rPr>
              <w:t>+</w:t>
            </w:r>
            <w:r>
              <w:rPr>
                <w:rFonts w:ascii="宋体" w:hAnsi="宋体" w:eastAsia="宋体" w:cs="宋体"/>
                <w:spacing w:val="-1"/>
              </w:rPr>
              <w:t>水解酸化池</w:t>
            </w:r>
            <w:r>
              <w:rPr>
                <w:spacing w:val="-1"/>
              </w:rPr>
              <w:t>+CSTR</w:t>
            </w:r>
            <w:r>
              <w:rPr>
                <w:spacing w:val="25"/>
                <w:w w:val="101"/>
              </w:rPr>
              <w:t xml:space="preserve"> </w:t>
            </w:r>
            <w:r>
              <w:rPr>
                <w:rFonts w:ascii="宋体" w:hAnsi="宋体" w:eastAsia="宋体" w:cs="宋体"/>
                <w:spacing w:val="-1"/>
              </w:rPr>
              <w:t>厌氧</w:t>
            </w:r>
            <w:r>
              <w:rPr>
                <w:rFonts w:ascii="宋体" w:hAnsi="宋体" w:eastAsia="宋体" w:cs="宋体"/>
                <w:spacing w:val="7"/>
              </w:rPr>
              <w:t>反应器</w:t>
            </w:r>
            <w:r>
              <w:rPr>
                <w:spacing w:val="7"/>
              </w:rPr>
              <w:t>+</w:t>
            </w:r>
            <w:r>
              <w:rPr>
                <w:spacing w:val="-18"/>
              </w:rPr>
              <w:t xml:space="preserve"> </w:t>
            </w:r>
            <w:r>
              <w:rPr>
                <w:rFonts w:ascii="宋体" w:hAnsi="宋体" w:eastAsia="宋体" w:cs="宋体"/>
                <w:spacing w:val="7"/>
              </w:rPr>
              <w:t>微生物曝氧塘</w:t>
            </w:r>
            <w:r>
              <w:rPr>
                <w:spacing w:val="7"/>
              </w:rPr>
              <w:t>+</w:t>
            </w:r>
            <w:r>
              <w:rPr>
                <w:spacing w:val="-28"/>
              </w:rPr>
              <w:t xml:space="preserve"> </w:t>
            </w:r>
            <w:r>
              <w:rPr>
                <w:rFonts w:ascii="宋体" w:hAnsi="宋体" w:eastAsia="宋体" w:cs="宋体"/>
                <w:spacing w:val="7"/>
              </w:rPr>
              <w:t>前置物化</w:t>
            </w:r>
            <w:r>
              <w:rPr>
                <w:rFonts w:ascii="宋体" w:hAnsi="宋体" w:eastAsia="宋体" w:cs="宋体"/>
                <w:spacing w:val="3"/>
              </w:rPr>
              <w:t>系统</w:t>
            </w:r>
            <w:r>
              <w:rPr>
                <w:spacing w:val="3"/>
              </w:rPr>
              <w:t>+</w:t>
            </w:r>
            <w:r>
              <w:rPr>
                <w:rFonts w:ascii="宋体" w:hAnsi="宋体" w:eastAsia="宋体" w:cs="宋体"/>
                <w:spacing w:val="3"/>
              </w:rPr>
              <w:t>一级缺氧池</w:t>
            </w:r>
            <w:r>
              <w:rPr>
                <w:spacing w:val="3"/>
              </w:rPr>
              <w:t>+</w:t>
            </w:r>
            <w:r>
              <w:rPr>
                <w:rFonts w:ascii="宋体" w:hAnsi="宋体" w:eastAsia="宋体" w:cs="宋体"/>
                <w:spacing w:val="3"/>
              </w:rPr>
              <w:t>一级好氧池</w:t>
            </w:r>
            <w:r>
              <w:rPr>
                <w:spacing w:val="3"/>
              </w:rPr>
              <w:t>+</w:t>
            </w:r>
            <w:r>
              <w:rPr>
                <w:rFonts w:ascii="宋体" w:hAnsi="宋体" w:eastAsia="宋体" w:cs="宋体"/>
                <w:spacing w:val="3"/>
              </w:rPr>
              <w:t>一</w:t>
            </w:r>
            <w:r>
              <w:rPr>
                <w:rFonts w:ascii="宋体" w:hAnsi="宋体" w:eastAsia="宋体" w:cs="宋体"/>
                <w:spacing w:val="7"/>
              </w:rPr>
              <w:t>级沉淀池</w:t>
            </w:r>
            <w:r>
              <w:rPr>
                <w:spacing w:val="7"/>
              </w:rPr>
              <w:t>+</w:t>
            </w:r>
            <w:r>
              <w:rPr>
                <w:spacing w:val="-18"/>
              </w:rPr>
              <w:t xml:space="preserve"> </w:t>
            </w:r>
            <w:r>
              <w:rPr>
                <w:rFonts w:ascii="宋体" w:hAnsi="宋体" w:eastAsia="宋体" w:cs="宋体"/>
                <w:spacing w:val="7"/>
              </w:rPr>
              <w:t>二级缺氧池</w:t>
            </w:r>
            <w:r>
              <w:rPr>
                <w:spacing w:val="7"/>
              </w:rPr>
              <w:t>+</w:t>
            </w:r>
            <w:r>
              <w:rPr>
                <w:spacing w:val="-28"/>
              </w:rPr>
              <w:t xml:space="preserve"> </w:t>
            </w:r>
            <w:r>
              <w:rPr>
                <w:rFonts w:ascii="宋体" w:hAnsi="宋体" w:eastAsia="宋体" w:cs="宋体"/>
                <w:spacing w:val="7"/>
              </w:rPr>
              <w:t>二级好氧</w:t>
            </w:r>
            <w:r>
              <w:rPr>
                <w:rFonts w:ascii="宋体" w:hAnsi="宋体" w:eastAsia="宋体" w:cs="宋体"/>
                <w:spacing w:val="11"/>
              </w:rPr>
              <w:t>池</w:t>
            </w:r>
            <w:r>
              <w:rPr>
                <w:spacing w:val="11"/>
              </w:rPr>
              <w:t>+</w:t>
            </w:r>
            <w:r>
              <w:rPr>
                <w:spacing w:val="-22"/>
              </w:rPr>
              <w:t xml:space="preserve"> </w:t>
            </w:r>
            <w:r>
              <w:rPr>
                <w:rFonts w:ascii="宋体" w:hAnsi="宋体" w:eastAsia="宋体" w:cs="宋体"/>
                <w:spacing w:val="11"/>
              </w:rPr>
              <w:t>二级沉淀池</w:t>
            </w:r>
            <w:r>
              <w:rPr>
                <w:spacing w:val="11"/>
              </w:rPr>
              <w:t>+</w:t>
            </w:r>
            <w:r>
              <w:rPr>
                <w:spacing w:val="-22"/>
              </w:rPr>
              <w:t xml:space="preserve"> </w:t>
            </w:r>
            <w:r>
              <w:rPr>
                <w:rFonts w:ascii="宋体" w:hAnsi="宋体" w:eastAsia="宋体" w:cs="宋体"/>
                <w:spacing w:val="11"/>
              </w:rPr>
              <w:t>混凝沉淀</w:t>
            </w:r>
            <w:r>
              <w:rPr>
                <w:spacing w:val="11"/>
              </w:rPr>
              <w:t>+</w:t>
            </w:r>
            <w:r>
              <w:rPr>
                <w:spacing w:val="-21"/>
              </w:rPr>
              <w:t xml:space="preserve"> </w:t>
            </w:r>
            <w:r>
              <w:rPr>
                <w:rFonts w:ascii="宋体" w:hAnsi="宋体" w:eastAsia="宋体" w:cs="宋体"/>
                <w:spacing w:val="11"/>
              </w:rPr>
              <w:t>消毒</w:t>
            </w:r>
            <w:r>
              <w:rPr>
                <w:rFonts w:ascii="宋体" w:hAnsi="宋体" w:eastAsia="宋体" w:cs="宋体"/>
                <w:spacing w:val="-2"/>
              </w:rPr>
              <w:t>池”污水处理工艺，废水处理达标后作为农灌用水，粪便经堆粪棚暂</w:t>
            </w:r>
          </w:p>
        </w:tc>
        <w:tc>
          <w:tcPr>
            <w:tcW w:w="771" w:type="dxa"/>
            <w:vAlign w:val="top"/>
          </w:tcPr>
          <w:p w14:paraId="5198AF67">
            <w:pPr>
              <w:spacing w:line="241" w:lineRule="auto"/>
              <w:rPr>
                <w:rFonts w:ascii="Arial"/>
                <w:sz w:val="21"/>
              </w:rPr>
            </w:pPr>
          </w:p>
          <w:p w14:paraId="6FC1F437">
            <w:pPr>
              <w:spacing w:line="241" w:lineRule="auto"/>
              <w:rPr>
                <w:rFonts w:ascii="Arial"/>
                <w:sz w:val="21"/>
              </w:rPr>
            </w:pPr>
          </w:p>
          <w:p w14:paraId="0FC19330">
            <w:pPr>
              <w:spacing w:line="241" w:lineRule="auto"/>
              <w:rPr>
                <w:rFonts w:ascii="Arial"/>
                <w:sz w:val="21"/>
              </w:rPr>
            </w:pPr>
          </w:p>
          <w:p w14:paraId="531B1134">
            <w:pPr>
              <w:spacing w:line="241" w:lineRule="auto"/>
              <w:rPr>
                <w:rFonts w:ascii="Arial"/>
                <w:sz w:val="21"/>
              </w:rPr>
            </w:pPr>
          </w:p>
          <w:p w14:paraId="2DB7572D">
            <w:pPr>
              <w:spacing w:line="242" w:lineRule="auto"/>
              <w:rPr>
                <w:rFonts w:ascii="Arial"/>
                <w:sz w:val="21"/>
              </w:rPr>
            </w:pPr>
          </w:p>
          <w:p w14:paraId="071F7637">
            <w:pPr>
              <w:spacing w:line="242" w:lineRule="auto"/>
              <w:rPr>
                <w:rFonts w:ascii="Arial"/>
                <w:sz w:val="21"/>
              </w:rPr>
            </w:pPr>
          </w:p>
          <w:p w14:paraId="3F62B0D6">
            <w:pPr>
              <w:spacing w:line="242" w:lineRule="auto"/>
              <w:rPr>
                <w:rFonts w:ascii="Arial"/>
                <w:sz w:val="21"/>
              </w:rPr>
            </w:pPr>
          </w:p>
          <w:p w14:paraId="5C41154D">
            <w:pPr>
              <w:spacing w:before="68" w:line="220" w:lineRule="auto"/>
              <w:ind w:left="182"/>
              <w:rPr>
                <w:rFonts w:ascii="宋体" w:hAnsi="宋体" w:eastAsia="宋体" w:cs="宋体"/>
                <w:sz w:val="21"/>
                <w:szCs w:val="21"/>
              </w:rPr>
            </w:pPr>
            <w:r>
              <w:rPr>
                <w:rFonts w:ascii="宋体" w:hAnsi="宋体" w:eastAsia="宋体" w:cs="宋体"/>
                <w:spacing w:val="-3"/>
                <w:sz w:val="21"/>
                <w:szCs w:val="21"/>
              </w:rPr>
              <w:t>符合</w:t>
            </w:r>
          </w:p>
        </w:tc>
      </w:tr>
    </w:tbl>
    <w:p w14:paraId="56227CDA">
      <w:pPr>
        <w:pStyle w:val="2"/>
      </w:pPr>
    </w:p>
    <w:p w14:paraId="03AF92FF">
      <w:pPr>
        <w:sectPr>
          <w:headerReference r:id="rId99" w:type="default"/>
          <w:footerReference r:id="rId100" w:type="default"/>
          <w:pgSz w:w="11905" w:h="16840"/>
          <w:pgMar w:top="1168" w:right="1535" w:bottom="1409" w:left="1770" w:header="828" w:footer="1244" w:gutter="0"/>
          <w:cols w:space="720" w:num="1"/>
        </w:sectPr>
      </w:pPr>
    </w:p>
    <w:p w14:paraId="576BF959">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930"/>
        <w:gridCol w:w="3150"/>
        <w:gridCol w:w="771"/>
      </w:tblGrid>
      <w:tr w14:paraId="1A4B9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71DE5CC4">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930" w:type="dxa"/>
            <w:vAlign w:val="top"/>
          </w:tcPr>
          <w:p w14:paraId="73CC7A78">
            <w:pPr>
              <w:spacing w:before="68" w:line="220" w:lineRule="auto"/>
              <w:ind w:left="1548"/>
              <w:rPr>
                <w:rFonts w:ascii="宋体" w:hAnsi="宋体" w:eastAsia="宋体" w:cs="宋体"/>
                <w:sz w:val="21"/>
                <w:szCs w:val="21"/>
              </w:rPr>
            </w:pPr>
            <w:r>
              <w:rPr>
                <w:rFonts w:ascii="宋体" w:hAnsi="宋体" w:eastAsia="宋体" w:cs="宋体"/>
                <w:spacing w:val="-2"/>
                <w:sz w:val="21"/>
                <w:szCs w:val="21"/>
              </w:rPr>
              <w:t>通知内容</w:t>
            </w:r>
          </w:p>
        </w:tc>
        <w:tc>
          <w:tcPr>
            <w:tcW w:w="3150" w:type="dxa"/>
            <w:vAlign w:val="top"/>
          </w:tcPr>
          <w:p w14:paraId="7EA65BB8">
            <w:pPr>
              <w:spacing w:before="68" w:line="219" w:lineRule="auto"/>
              <w:ind w:left="1056"/>
              <w:rPr>
                <w:rFonts w:ascii="宋体" w:hAnsi="宋体" w:eastAsia="宋体" w:cs="宋体"/>
                <w:sz w:val="21"/>
                <w:szCs w:val="21"/>
              </w:rPr>
            </w:pPr>
            <w:r>
              <w:rPr>
                <w:rFonts w:ascii="宋体" w:hAnsi="宋体" w:eastAsia="宋体" w:cs="宋体"/>
                <w:spacing w:val="-2"/>
                <w:sz w:val="21"/>
                <w:szCs w:val="21"/>
              </w:rPr>
              <w:t>本项目情况</w:t>
            </w:r>
          </w:p>
        </w:tc>
        <w:tc>
          <w:tcPr>
            <w:tcW w:w="771" w:type="dxa"/>
            <w:vAlign w:val="top"/>
          </w:tcPr>
          <w:p w14:paraId="1BF849B7">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5F50D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9" w:type="dxa"/>
            <w:vAlign w:val="top"/>
          </w:tcPr>
          <w:p w14:paraId="7B25DCB5">
            <w:pPr>
              <w:rPr>
                <w:rFonts w:ascii="Arial"/>
                <w:sz w:val="21"/>
              </w:rPr>
            </w:pPr>
          </w:p>
        </w:tc>
        <w:tc>
          <w:tcPr>
            <w:tcW w:w="3930" w:type="dxa"/>
            <w:vAlign w:val="top"/>
          </w:tcPr>
          <w:p w14:paraId="38E0E253">
            <w:pPr>
              <w:spacing w:before="49" w:line="250" w:lineRule="auto"/>
              <w:ind w:left="9" w:right="3"/>
              <w:rPr>
                <w:rFonts w:ascii="宋体" w:hAnsi="宋体" w:eastAsia="宋体" w:cs="宋体"/>
                <w:sz w:val="21"/>
                <w:szCs w:val="21"/>
              </w:rPr>
            </w:pPr>
            <w:r>
              <w:rPr>
                <w:rFonts w:ascii="宋体" w:hAnsi="宋体" w:eastAsia="宋体" w:cs="宋体"/>
                <w:spacing w:val="-5"/>
                <w:sz w:val="21"/>
                <w:szCs w:val="21"/>
              </w:rPr>
              <w:t>污，促进畜禽规模养殖项目“种养结合”绿</w:t>
            </w:r>
            <w:r>
              <w:rPr>
                <w:rFonts w:ascii="宋体" w:hAnsi="宋体" w:eastAsia="宋体" w:cs="宋体"/>
                <w:spacing w:val="-8"/>
                <w:sz w:val="21"/>
                <w:szCs w:val="21"/>
              </w:rPr>
              <w:t>色发展。</w:t>
            </w:r>
          </w:p>
        </w:tc>
        <w:tc>
          <w:tcPr>
            <w:tcW w:w="3150" w:type="dxa"/>
            <w:vAlign w:val="top"/>
          </w:tcPr>
          <w:p w14:paraId="3B69F438">
            <w:pPr>
              <w:spacing w:before="49" w:line="250" w:lineRule="auto"/>
              <w:ind w:left="14" w:right="1" w:hanging="5"/>
              <w:rPr>
                <w:rFonts w:ascii="宋体" w:hAnsi="宋体" w:eastAsia="宋体" w:cs="宋体"/>
                <w:sz w:val="21"/>
                <w:szCs w:val="21"/>
              </w:rPr>
            </w:pPr>
            <w:r>
              <w:rPr>
                <w:rFonts w:ascii="宋体" w:hAnsi="宋体" w:eastAsia="宋体" w:cs="宋体"/>
                <w:spacing w:val="-2"/>
                <w:sz w:val="21"/>
                <w:szCs w:val="21"/>
              </w:rPr>
              <w:t>存后交有机肥厂生产有机肥，可以</w:t>
            </w:r>
            <w:r>
              <w:rPr>
                <w:rFonts w:ascii="宋体" w:hAnsi="宋体" w:eastAsia="宋体" w:cs="宋体"/>
                <w:spacing w:val="-4"/>
                <w:sz w:val="21"/>
                <w:szCs w:val="21"/>
              </w:rPr>
              <w:t>实现资源的合理利用。</w:t>
            </w:r>
          </w:p>
        </w:tc>
        <w:tc>
          <w:tcPr>
            <w:tcW w:w="771" w:type="dxa"/>
            <w:vAlign w:val="top"/>
          </w:tcPr>
          <w:p w14:paraId="57D4FD9A">
            <w:pPr>
              <w:rPr>
                <w:rFonts w:ascii="Arial"/>
                <w:sz w:val="21"/>
              </w:rPr>
            </w:pPr>
          </w:p>
        </w:tc>
      </w:tr>
      <w:tr w14:paraId="42867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8" w:hRule="atLeast"/>
        </w:trPr>
        <w:tc>
          <w:tcPr>
            <w:tcW w:w="469" w:type="dxa"/>
            <w:vAlign w:val="top"/>
          </w:tcPr>
          <w:p w14:paraId="67626D51">
            <w:pPr>
              <w:rPr>
                <w:rFonts w:ascii="Arial"/>
                <w:sz w:val="21"/>
              </w:rPr>
            </w:pPr>
          </w:p>
          <w:p w14:paraId="4AE3A569">
            <w:pPr>
              <w:rPr>
                <w:rFonts w:ascii="Arial"/>
                <w:sz w:val="21"/>
              </w:rPr>
            </w:pPr>
          </w:p>
          <w:p w14:paraId="51FCC4E5">
            <w:pPr>
              <w:rPr>
                <w:rFonts w:ascii="Arial"/>
                <w:sz w:val="21"/>
              </w:rPr>
            </w:pPr>
          </w:p>
          <w:p w14:paraId="04A44971">
            <w:pPr>
              <w:rPr>
                <w:rFonts w:ascii="Arial"/>
                <w:sz w:val="21"/>
              </w:rPr>
            </w:pPr>
          </w:p>
          <w:p w14:paraId="663F7AAA">
            <w:pPr>
              <w:rPr>
                <w:rFonts w:ascii="Arial"/>
                <w:sz w:val="21"/>
              </w:rPr>
            </w:pPr>
          </w:p>
          <w:p w14:paraId="4627D43C">
            <w:pPr>
              <w:rPr>
                <w:rFonts w:ascii="Arial"/>
                <w:sz w:val="21"/>
              </w:rPr>
            </w:pPr>
          </w:p>
          <w:p w14:paraId="438C6C81">
            <w:pPr>
              <w:spacing w:line="241" w:lineRule="auto"/>
              <w:rPr>
                <w:rFonts w:ascii="Arial"/>
                <w:sz w:val="21"/>
              </w:rPr>
            </w:pPr>
          </w:p>
          <w:p w14:paraId="0A73683A">
            <w:pPr>
              <w:spacing w:line="241" w:lineRule="auto"/>
              <w:rPr>
                <w:rFonts w:ascii="Arial"/>
                <w:sz w:val="21"/>
              </w:rPr>
            </w:pPr>
          </w:p>
          <w:p w14:paraId="2CA3E379">
            <w:pPr>
              <w:spacing w:line="241" w:lineRule="auto"/>
              <w:rPr>
                <w:rFonts w:ascii="Arial"/>
                <w:sz w:val="21"/>
              </w:rPr>
            </w:pPr>
          </w:p>
          <w:p w14:paraId="18331495">
            <w:pPr>
              <w:spacing w:line="241" w:lineRule="auto"/>
              <w:rPr>
                <w:rFonts w:ascii="Arial"/>
                <w:sz w:val="21"/>
              </w:rPr>
            </w:pPr>
          </w:p>
          <w:p w14:paraId="34DB5BE2">
            <w:pPr>
              <w:spacing w:line="241" w:lineRule="auto"/>
              <w:rPr>
                <w:rFonts w:ascii="Arial"/>
                <w:sz w:val="21"/>
              </w:rPr>
            </w:pPr>
          </w:p>
          <w:p w14:paraId="068F15AD">
            <w:pPr>
              <w:spacing w:line="241" w:lineRule="auto"/>
              <w:rPr>
                <w:rFonts w:ascii="Arial"/>
                <w:sz w:val="21"/>
              </w:rPr>
            </w:pPr>
          </w:p>
          <w:p w14:paraId="0120E4FB">
            <w:pPr>
              <w:spacing w:line="241" w:lineRule="auto"/>
              <w:rPr>
                <w:rFonts w:ascii="Arial"/>
                <w:sz w:val="21"/>
              </w:rPr>
            </w:pPr>
          </w:p>
          <w:p w14:paraId="5D25E695">
            <w:pPr>
              <w:pStyle w:val="6"/>
              <w:spacing w:before="60" w:line="188" w:lineRule="auto"/>
              <w:ind w:left="187"/>
            </w:pPr>
            <w:r>
              <w:t>3</w:t>
            </w:r>
          </w:p>
        </w:tc>
        <w:tc>
          <w:tcPr>
            <w:tcW w:w="3930" w:type="dxa"/>
            <w:vAlign w:val="top"/>
          </w:tcPr>
          <w:p w14:paraId="28D02FA2">
            <w:pPr>
              <w:spacing w:line="292" w:lineRule="auto"/>
              <w:rPr>
                <w:rFonts w:ascii="Arial"/>
                <w:sz w:val="21"/>
              </w:rPr>
            </w:pPr>
          </w:p>
          <w:p w14:paraId="738D291D">
            <w:pPr>
              <w:spacing w:before="68" w:line="220" w:lineRule="auto"/>
              <w:ind w:left="8"/>
              <w:rPr>
                <w:rFonts w:ascii="宋体" w:hAnsi="宋体" w:eastAsia="宋体" w:cs="宋体"/>
                <w:sz w:val="21"/>
                <w:szCs w:val="21"/>
              </w:rPr>
            </w:pPr>
            <w:r>
              <w:rPr>
                <w:rFonts w:ascii="宋体" w:hAnsi="宋体" w:eastAsia="宋体" w:cs="宋体"/>
                <w:spacing w:val="-3"/>
                <w:sz w:val="21"/>
                <w:szCs w:val="21"/>
              </w:rPr>
              <w:t>三、强化粪污治理措施，做好污染防治：</w:t>
            </w:r>
          </w:p>
          <w:p w14:paraId="75700FB8">
            <w:pPr>
              <w:spacing w:before="64" w:line="274" w:lineRule="auto"/>
              <w:ind w:left="7" w:right="2" w:firstLine="14"/>
              <w:rPr>
                <w:rFonts w:ascii="宋体" w:hAnsi="宋体" w:eastAsia="宋体" w:cs="宋体"/>
                <w:sz w:val="21"/>
                <w:szCs w:val="21"/>
              </w:rPr>
            </w:pPr>
            <w:r>
              <w:rPr>
                <w:rFonts w:ascii="宋体" w:hAnsi="宋体" w:eastAsia="宋体" w:cs="宋体"/>
                <w:spacing w:val="-5"/>
                <w:sz w:val="21"/>
                <w:szCs w:val="21"/>
              </w:rPr>
              <w:t>…项目环评应明确畜禽粪污贮存、处理和利</w:t>
            </w:r>
            <w:r>
              <w:rPr>
                <w:rFonts w:ascii="宋体" w:hAnsi="宋体" w:eastAsia="宋体" w:cs="宋体"/>
                <w:spacing w:val="-4"/>
                <w:sz w:val="21"/>
                <w:szCs w:val="21"/>
              </w:rPr>
              <w:t>用措施。贮存池应采取有效的防雨、防渗和防溢流措施，防止畜禽粪污污染地下水。贮存池总有效容积应根据贮存期确定。…畜禽规模养殖项目配套建设沼气工程的，应充分考虑沼气制备及贮存过程中的环境风险，制</w:t>
            </w:r>
            <w:r>
              <w:rPr>
                <w:rFonts w:ascii="宋体" w:hAnsi="宋体" w:eastAsia="宋体" w:cs="宋体"/>
                <w:spacing w:val="-3"/>
                <w:sz w:val="21"/>
                <w:szCs w:val="21"/>
              </w:rPr>
              <w:t>定环境风险防范措施及应急预案。</w:t>
            </w:r>
          </w:p>
          <w:p w14:paraId="090ABDBD">
            <w:pPr>
              <w:spacing w:before="1" w:line="274" w:lineRule="auto"/>
              <w:ind w:left="6" w:right="2" w:firstLine="14"/>
              <w:rPr>
                <w:rFonts w:ascii="宋体" w:hAnsi="宋体" w:eastAsia="宋体" w:cs="宋体"/>
                <w:sz w:val="21"/>
                <w:szCs w:val="21"/>
              </w:rPr>
            </w:pPr>
            <w:r>
              <w:rPr>
                <w:rFonts w:ascii="宋体" w:hAnsi="宋体" w:eastAsia="宋体" w:cs="宋体"/>
                <w:spacing w:val="-5"/>
                <w:sz w:val="21"/>
                <w:szCs w:val="21"/>
              </w:rPr>
              <w:t>畜禽养殖粪污作为肥料还田利用的，应明确</w:t>
            </w:r>
            <w:r>
              <w:rPr>
                <w:rFonts w:ascii="宋体" w:hAnsi="宋体" w:eastAsia="宋体" w:cs="宋体"/>
                <w:spacing w:val="-4"/>
                <w:sz w:val="21"/>
                <w:szCs w:val="21"/>
              </w:rPr>
              <w:t>畜禽养殖场与还田利用的林地、农田之间的输送系统及环境管理措施，严格控制废水输</w:t>
            </w:r>
            <w:r>
              <w:rPr>
                <w:rFonts w:ascii="宋体" w:hAnsi="宋体" w:eastAsia="宋体" w:cs="宋体"/>
                <w:spacing w:val="-9"/>
                <w:sz w:val="21"/>
                <w:szCs w:val="21"/>
              </w:rPr>
              <w:t>送沿途的弃、撒和跑冒滴漏， 防止进入外部水体。</w:t>
            </w:r>
          </w:p>
          <w:p w14:paraId="5AAB63F4">
            <w:pPr>
              <w:spacing w:before="6" w:line="274" w:lineRule="auto"/>
              <w:ind w:left="7" w:right="2" w:firstLine="2"/>
              <w:rPr>
                <w:rFonts w:ascii="宋体" w:hAnsi="宋体" w:eastAsia="宋体" w:cs="宋体"/>
                <w:sz w:val="21"/>
                <w:szCs w:val="21"/>
              </w:rPr>
            </w:pPr>
            <w:r>
              <w:rPr>
                <w:rFonts w:ascii="宋体" w:hAnsi="宋体" w:eastAsia="宋体" w:cs="宋体"/>
                <w:spacing w:val="-5"/>
                <w:sz w:val="21"/>
                <w:szCs w:val="21"/>
              </w:rPr>
              <w:t>依据相关法律法规和技术规范，制定明确的</w:t>
            </w:r>
            <w:r>
              <w:rPr>
                <w:rFonts w:ascii="宋体" w:hAnsi="宋体" w:eastAsia="宋体" w:cs="宋体"/>
                <w:spacing w:val="-8"/>
                <w:sz w:val="21"/>
                <w:szCs w:val="21"/>
              </w:rPr>
              <w:t>病死畜禽处理、处置方案，</w:t>
            </w:r>
            <w:r>
              <w:rPr>
                <w:rFonts w:ascii="宋体" w:hAnsi="宋体" w:eastAsia="宋体" w:cs="宋体"/>
                <w:spacing w:val="-29"/>
                <w:sz w:val="21"/>
                <w:szCs w:val="21"/>
              </w:rPr>
              <w:t xml:space="preserve"> </w:t>
            </w:r>
            <w:r>
              <w:rPr>
                <w:rFonts w:ascii="宋体" w:hAnsi="宋体" w:eastAsia="宋体" w:cs="宋体"/>
                <w:spacing w:val="-8"/>
                <w:sz w:val="21"/>
                <w:szCs w:val="21"/>
              </w:rPr>
              <w:t>及时处理病死畜</w:t>
            </w:r>
            <w:r>
              <w:rPr>
                <w:rFonts w:ascii="宋体" w:hAnsi="宋体" w:eastAsia="宋体" w:cs="宋体"/>
                <w:spacing w:val="-9"/>
                <w:sz w:val="21"/>
                <w:szCs w:val="21"/>
              </w:rPr>
              <w:t>禽。针对畜禽规模养殖项目的恶臭影响，</w:t>
            </w:r>
            <w:r>
              <w:rPr>
                <w:rFonts w:ascii="宋体" w:hAnsi="宋体" w:eastAsia="宋体" w:cs="宋体"/>
                <w:spacing w:val="-10"/>
                <w:sz w:val="21"/>
                <w:szCs w:val="21"/>
              </w:rPr>
              <w:t xml:space="preserve"> </w:t>
            </w:r>
            <w:r>
              <w:rPr>
                <w:rFonts w:ascii="宋体" w:hAnsi="宋体" w:eastAsia="宋体" w:cs="宋体"/>
                <w:spacing w:val="-9"/>
                <w:sz w:val="21"/>
                <w:szCs w:val="21"/>
              </w:rPr>
              <w:t>可</w:t>
            </w:r>
            <w:r>
              <w:rPr>
                <w:rFonts w:ascii="宋体" w:hAnsi="宋体" w:eastAsia="宋体" w:cs="宋体"/>
                <w:spacing w:val="-4"/>
                <w:sz w:val="21"/>
                <w:szCs w:val="21"/>
              </w:rPr>
              <w:t>采取控制饲养密度、改善舍内通风、及时清</w:t>
            </w:r>
            <w:r>
              <w:rPr>
                <w:rFonts w:ascii="宋体" w:hAnsi="宋体" w:eastAsia="宋体" w:cs="宋体"/>
                <w:spacing w:val="-10"/>
                <w:sz w:val="21"/>
                <w:szCs w:val="21"/>
              </w:rPr>
              <w:t>粪、采用除臭剂、集中收集处理等措施， 确</w:t>
            </w:r>
            <w:r>
              <w:rPr>
                <w:rFonts w:ascii="宋体" w:hAnsi="宋体" w:eastAsia="宋体" w:cs="宋体"/>
                <w:spacing w:val="-3"/>
                <w:sz w:val="21"/>
                <w:szCs w:val="21"/>
              </w:rPr>
              <w:t>保项目恶臭污染物达标排放。</w:t>
            </w:r>
          </w:p>
        </w:tc>
        <w:tc>
          <w:tcPr>
            <w:tcW w:w="3150" w:type="dxa"/>
            <w:vAlign w:val="top"/>
          </w:tcPr>
          <w:p w14:paraId="0BA9EB4C">
            <w:pPr>
              <w:pStyle w:val="6"/>
              <w:spacing w:before="54" w:line="274" w:lineRule="auto"/>
              <w:ind w:left="6" w:firstLine="5"/>
              <w:jc w:val="both"/>
              <w:rPr>
                <w:rFonts w:ascii="宋体" w:hAnsi="宋体" w:eastAsia="宋体" w:cs="宋体"/>
              </w:rPr>
            </w:pPr>
            <w:r>
              <w:rPr>
                <w:rFonts w:ascii="宋体" w:hAnsi="宋体" w:eastAsia="宋体" w:cs="宋体"/>
                <w:spacing w:val="4"/>
              </w:rPr>
              <w:t>本项目采用“格栅井</w:t>
            </w:r>
            <w:r>
              <w:rPr>
                <w:spacing w:val="4"/>
              </w:rPr>
              <w:t>+</w:t>
            </w:r>
            <w:r>
              <w:rPr>
                <w:rFonts w:ascii="宋体" w:hAnsi="宋体" w:eastAsia="宋体" w:cs="宋体"/>
                <w:spacing w:val="4"/>
              </w:rPr>
              <w:t>粪污收集池</w:t>
            </w:r>
            <w:r>
              <w:rPr>
                <w:spacing w:val="1"/>
              </w:rPr>
              <w:t>+</w:t>
            </w:r>
            <w:r>
              <w:rPr>
                <w:spacing w:val="-17"/>
              </w:rPr>
              <w:t xml:space="preserve"> </w:t>
            </w:r>
            <w:r>
              <w:rPr>
                <w:rFonts w:ascii="宋体" w:hAnsi="宋体" w:eastAsia="宋体" w:cs="宋体"/>
                <w:spacing w:val="1"/>
              </w:rPr>
              <w:t>固液分离</w:t>
            </w:r>
            <w:r>
              <w:rPr>
                <w:spacing w:val="1"/>
              </w:rPr>
              <w:t>+</w:t>
            </w:r>
            <w:r>
              <w:rPr>
                <w:rFonts w:ascii="宋体" w:hAnsi="宋体" w:eastAsia="宋体" w:cs="宋体"/>
                <w:spacing w:val="1"/>
              </w:rPr>
              <w:t>水解酸化池</w:t>
            </w:r>
            <w:r>
              <w:rPr>
                <w:spacing w:val="1"/>
              </w:rPr>
              <w:t>+</w:t>
            </w:r>
            <w:r>
              <w:t>CSTR</w:t>
            </w:r>
            <w:r>
              <w:rPr>
                <w:spacing w:val="1"/>
              </w:rPr>
              <w:t xml:space="preserve">  </w:t>
            </w:r>
            <w:r>
              <w:rPr>
                <w:rFonts w:ascii="宋体" w:hAnsi="宋体" w:eastAsia="宋体" w:cs="宋体"/>
                <w:spacing w:val="1"/>
              </w:rPr>
              <w:t>厌</w:t>
            </w:r>
            <w:r>
              <w:rPr>
                <w:rFonts w:ascii="宋体" w:hAnsi="宋体" w:eastAsia="宋体" w:cs="宋体"/>
                <w:spacing w:val="8"/>
              </w:rPr>
              <w:t>氧反应器</w:t>
            </w:r>
            <w:r>
              <w:rPr>
                <w:spacing w:val="8"/>
              </w:rPr>
              <w:t>+</w:t>
            </w:r>
            <w:r>
              <w:rPr>
                <w:spacing w:val="-28"/>
              </w:rPr>
              <w:t xml:space="preserve"> </w:t>
            </w:r>
            <w:r>
              <w:rPr>
                <w:rFonts w:ascii="宋体" w:hAnsi="宋体" w:eastAsia="宋体" w:cs="宋体"/>
                <w:spacing w:val="8"/>
              </w:rPr>
              <w:t>微生物曝氧塘</w:t>
            </w:r>
            <w:r>
              <w:rPr>
                <w:spacing w:val="8"/>
              </w:rPr>
              <w:t>+</w:t>
            </w:r>
            <w:r>
              <w:rPr>
                <w:spacing w:val="-29"/>
              </w:rPr>
              <w:t xml:space="preserve"> </w:t>
            </w:r>
            <w:r>
              <w:rPr>
                <w:rFonts w:ascii="宋体" w:hAnsi="宋体" w:eastAsia="宋体" w:cs="宋体"/>
                <w:spacing w:val="8"/>
              </w:rPr>
              <w:t>前置物</w:t>
            </w:r>
            <w:r>
              <w:rPr>
                <w:rFonts w:ascii="宋体" w:hAnsi="宋体" w:eastAsia="宋体" w:cs="宋体"/>
                <w:spacing w:val="3"/>
              </w:rPr>
              <w:t>化系统</w:t>
            </w:r>
            <w:r>
              <w:rPr>
                <w:spacing w:val="3"/>
              </w:rPr>
              <w:t>+</w:t>
            </w:r>
            <w:r>
              <w:rPr>
                <w:rFonts w:ascii="宋体" w:hAnsi="宋体" w:eastAsia="宋体" w:cs="宋体"/>
                <w:spacing w:val="3"/>
              </w:rPr>
              <w:t>一级缺氧池</w:t>
            </w:r>
            <w:r>
              <w:rPr>
                <w:spacing w:val="3"/>
              </w:rPr>
              <w:t>+</w:t>
            </w:r>
            <w:r>
              <w:rPr>
                <w:rFonts w:ascii="宋体" w:hAnsi="宋体" w:eastAsia="宋体" w:cs="宋体"/>
                <w:spacing w:val="3"/>
              </w:rPr>
              <w:t>一级好氧池</w:t>
            </w:r>
            <w:r>
              <w:rPr>
                <w:spacing w:val="3"/>
              </w:rPr>
              <w:t>+</w:t>
            </w:r>
            <w:r>
              <w:rPr>
                <w:rFonts w:ascii="宋体" w:hAnsi="宋体" w:eastAsia="宋体" w:cs="宋体"/>
                <w:spacing w:val="8"/>
              </w:rPr>
              <w:t>一级沉淀池</w:t>
            </w:r>
            <w:r>
              <w:rPr>
                <w:spacing w:val="8"/>
              </w:rPr>
              <w:t>+</w:t>
            </w:r>
            <w:r>
              <w:rPr>
                <w:spacing w:val="-28"/>
              </w:rPr>
              <w:t xml:space="preserve"> </w:t>
            </w:r>
            <w:r>
              <w:rPr>
                <w:rFonts w:ascii="宋体" w:hAnsi="宋体" w:eastAsia="宋体" w:cs="宋体"/>
                <w:spacing w:val="8"/>
              </w:rPr>
              <w:t>二级缺氧池</w:t>
            </w:r>
            <w:r>
              <w:rPr>
                <w:spacing w:val="8"/>
              </w:rPr>
              <w:t>+</w:t>
            </w:r>
            <w:r>
              <w:rPr>
                <w:spacing w:val="-29"/>
              </w:rPr>
              <w:t xml:space="preserve"> </w:t>
            </w:r>
            <w:r>
              <w:rPr>
                <w:rFonts w:ascii="宋体" w:hAnsi="宋体" w:eastAsia="宋体" w:cs="宋体"/>
                <w:spacing w:val="8"/>
              </w:rPr>
              <w:t>二级好</w:t>
            </w:r>
            <w:r>
              <w:rPr>
                <w:rFonts w:ascii="宋体" w:hAnsi="宋体" w:eastAsia="宋体" w:cs="宋体"/>
                <w:spacing w:val="3"/>
              </w:rPr>
              <w:t>氧池</w:t>
            </w:r>
            <w:r>
              <w:rPr>
                <w:spacing w:val="3"/>
              </w:rPr>
              <w:t>+</w:t>
            </w:r>
            <w:r>
              <w:rPr>
                <w:rFonts w:ascii="宋体" w:hAnsi="宋体" w:eastAsia="宋体" w:cs="宋体"/>
                <w:spacing w:val="3"/>
              </w:rPr>
              <w:t>二级沉淀池</w:t>
            </w:r>
            <w:r>
              <w:rPr>
                <w:spacing w:val="3"/>
              </w:rPr>
              <w:t>+</w:t>
            </w:r>
            <w:r>
              <w:rPr>
                <w:rFonts w:ascii="宋体" w:hAnsi="宋体" w:eastAsia="宋体" w:cs="宋体"/>
                <w:spacing w:val="3"/>
              </w:rPr>
              <w:t>混凝沉淀</w:t>
            </w:r>
            <w:r>
              <w:rPr>
                <w:spacing w:val="3"/>
              </w:rPr>
              <w:t>+</w:t>
            </w:r>
            <w:r>
              <w:rPr>
                <w:rFonts w:ascii="宋体" w:hAnsi="宋体" w:eastAsia="宋体" w:cs="宋体"/>
                <w:spacing w:val="3"/>
              </w:rPr>
              <w:t>消毒</w:t>
            </w:r>
            <w:r>
              <w:rPr>
                <w:rFonts w:ascii="宋体" w:hAnsi="宋体" w:eastAsia="宋体" w:cs="宋体"/>
                <w:spacing w:val="6"/>
              </w:rPr>
              <w:t>池” 污水处理工艺，废水经处理</w:t>
            </w:r>
            <w:r>
              <w:rPr>
                <w:rFonts w:ascii="宋体" w:hAnsi="宋体" w:eastAsia="宋体" w:cs="宋体"/>
                <w:spacing w:val="-1"/>
              </w:rPr>
              <w:t>达标后作为农灌水还田利用，管道</w:t>
            </w:r>
            <w:r>
              <w:rPr>
                <w:rFonts w:ascii="宋体" w:hAnsi="宋体" w:eastAsia="宋体" w:cs="宋体"/>
                <w:spacing w:val="-3"/>
              </w:rPr>
              <w:t xml:space="preserve">全部为 </w:t>
            </w:r>
            <w:r>
              <w:rPr>
                <w:spacing w:val="-3"/>
              </w:rPr>
              <w:t>PE</w:t>
            </w:r>
            <w:r>
              <w:rPr>
                <w:spacing w:val="53"/>
              </w:rPr>
              <w:t xml:space="preserve"> </w:t>
            </w:r>
            <w:r>
              <w:rPr>
                <w:rFonts w:ascii="宋体" w:hAnsi="宋体" w:eastAsia="宋体" w:cs="宋体"/>
                <w:spacing w:val="-3"/>
              </w:rPr>
              <w:t>材质，加强管理措施，</w:t>
            </w:r>
            <w:r>
              <w:rPr>
                <w:rFonts w:ascii="宋体" w:hAnsi="宋体" w:eastAsia="宋体" w:cs="宋体"/>
                <w:spacing w:val="-1"/>
              </w:rPr>
              <w:t>严格控制废水输送沿途的弃、撒和</w:t>
            </w:r>
            <w:r>
              <w:rPr>
                <w:rFonts w:ascii="宋体" w:hAnsi="宋体" w:eastAsia="宋体" w:cs="宋体"/>
                <w:spacing w:val="-4"/>
              </w:rPr>
              <w:t>跑冒滴漏等现象发生。</w:t>
            </w:r>
          </w:p>
          <w:p w14:paraId="16E9DD5C">
            <w:pPr>
              <w:spacing w:line="274" w:lineRule="auto"/>
              <w:ind w:left="11"/>
              <w:jc w:val="both"/>
              <w:rPr>
                <w:rFonts w:ascii="宋体" w:hAnsi="宋体" w:eastAsia="宋体" w:cs="宋体"/>
                <w:sz w:val="21"/>
                <w:szCs w:val="21"/>
              </w:rPr>
            </w:pPr>
            <w:r>
              <w:rPr>
                <w:rFonts w:ascii="宋体" w:hAnsi="宋体" w:eastAsia="宋体" w:cs="宋体"/>
                <w:spacing w:val="13"/>
                <w:sz w:val="21"/>
                <w:szCs w:val="21"/>
              </w:rPr>
              <w:t>粪便经堆粪棚暂存后交有机肥厂</w:t>
            </w:r>
            <w:r>
              <w:rPr>
                <w:rFonts w:ascii="宋体" w:hAnsi="宋体" w:eastAsia="宋体" w:cs="宋体"/>
                <w:spacing w:val="-2"/>
                <w:sz w:val="21"/>
                <w:szCs w:val="21"/>
              </w:rPr>
              <w:t>生产有机肥，可以实现资源的合理</w:t>
            </w:r>
            <w:r>
              <w:rPr>
                <w:rFonts w:ascii="宋体" w:hAnsi="宋体" w:eastAsia="宋体" w:cs="宋体"/>
                <w:spacing w:val="-9"/>
                <w:sz w:val="21"/>
                <w:szCs w:val="21"/>
              </w:rPr>
              <w:t>利用。</w:t>
            </w:r>
          </w:p>
          <w:p w14:paraId="172A408F">
            <w:pPr>
              <w:spacing w:before="3" w:line="267" w:lineRule="auto"/>
              <w:ind w:left="10"/>
              <w:jc w:val="both"/>
              <w:rPr>
                <w:rFonts w:ascii="宋体" w:hAnsi="宋体" w:eastAsia="宋体" w:cs="宋体"/>
                <w:sz w:val="21"/>
                <w:szCs w:val="21"/>
              </w:rPr>
            </w:pPr>
            <w:r>
              <w:rPr>
                <w:rFonts w:ascii="宋体" w:hAnsi="宋体" w:eastAsia="宋体" w:cs="宋体"/>
                <w:spacing w:val="13"/>
                <w:sz w:val="21"/>
                <w:szCs w:val="21"/>
              </w:rPr>
              <w:t>本项目病死猪交内江市环态动物无害化处置有限责任公司进行无害化处理。对养殖产生的恶臭影</w:t>
            </w:r>
            <w:r>
              <w:rPr>
                <w:rFonts w:ascii="宋体" w:hAnsi="宋体" w:eastAsia="宋体" w:cs="宋体"/>
                <w:spacing w:val="-2"/>
                <w:sz w:val="21"/>
                <w:szCs w:val="21"/>
              </w:rPr>
              <w:t>响，采取控制饲养密度、改善舍内通风、及时清粪、采用除臭剂、集中收集处理等措施，确保项目恶臭</w:t>
            </w:r>
            <w:r>
              <w:rPr>
                <w:rFonts w:ascii="宋体" w:hAnsi="宋体" w:eastAsia="宋体" w:cs="宋体"/>
                <w:spacing w:val="-5"/>
                <w:sz w:val="21"/>
                <w:szCs w:val="21"/>
              </w:rPr>
              <w:t>污染物达标排放。</w:t>
            </w:r>
          </w:p>
        </w:tc>
        <w:tc>
          <w:tcPr>
            <w:tcW w:w="771" w:type="dxa"/>
            <w:vAlign w:val="top"/>
          </w:tcPr>
          <w:p w14:paraId="08471C42">
            <w:pPr>
              <w:spacing w:line="256" w:lineRule="auto"/>
              <w:rPr>
                <w:rFonts w:ascii="Arial"/>
                <w:sz w:val="21"/>
              </w:rPr>
            </w:pPr>
          </w:p>
          <w:p w14:paraId="56BF76D5">
            <w:pPr>
              <w:spacing w:line="256" w:lineRule="auto"/>
              <w:rPr>
                <w:rFonts w:ascii="Arial"/>
                <w:sz w:val="21"/>
              </w:rPr>
            </w:pPr>
          </w:p>
          <w:p w14:paraId="6222CA8D">
            <w:pPr>
              <w:spacing w:line="257" w:lineRule="auto"/>
              <w:rPr>
                <w:rFonts w:ascii="Arial"/>
                <w:sz w:val="21"/>
              </w:rPr>
            </w:pPr>
          </w:p>
          <w:p w14:paraId="4F5DC766">
            <w:pPr>
              <w:spacing w:line="257" w:lineRule="auto"/>
              <w:rPr>
                <w:rFonts w:ascii="Arial"/>
                <w:sz w:val="21"/>
              </w:rPr>
            </w:pPr>
          </w:p>
          <w:p w14:paraId="78BBAF6C">
            <w:pPr>
              <w:spacing w:line="257" w:lineRule="auto"/>
              <w:rPr>
                <w:rFonts w:ascii="Arial"/>
                <w:sz w:val="21"/>
              </w:rPr>
            </w:pPr>
          </w:p>
          <w:p w14:paraId="72C651F2">
            <w:pPr>
              <w:spacing w:line="257" w:lineRule="auto"/>
              <w:rPr>
                <w:rFonts w:ascii="Arial"/>
                <w:sz w:val="21"/>
              </w:rPr>
            </w:pPr>
          </w:p>
          <w:p w14:paraId="3A49080E">
            <w:pPr>
              <w:spacing w:line="257" w:lineRule="auto"/>
              <w:rPr>
                <w:rFonts w:ascii="Arial"/>
                <w:sz w:val="21"/>
              </w:rPr>
            </w:pPr>
          </w:p>
          <w:p w14:paraId="45B744BE">
            <w:pPr>
              <w:spacing w:line="257" w:lineRule="auto"/>
              <w:rPr>
                <w:rFonts w:ascii="Arial"/>
                <w:sz w:val="21"/>
              </w:rPr>
            </w:pPr>
          </w:p>
          <w:p w14:paraId="0D8C5863">
            <w:pPr>
              <w:spacing w:line="257" w:lineRule="auto"/>
              <w:rPr>
                <w:rFonts w:ascii="Arial"/>
                <w:sz w:val="21"/>
              </w:rPr>
            </w:pPr>
          </w:p>
          <w:p w14:paraId="15C12EA3">
            <w:pPr>
              <w:spacing w:line="257" w:lineRule="auto"/>
              <w:rPr>
                <w:rFonts w:ascii="Arial"/>
                <w:sz w:val="21"/>
              </w:rPr>
            </w:pPr>
          </w:p>
          <w:p w14:paraId="4B0ECF5C">
            <w:pPr>
              <w:spacing w:line="257" w:lineRule="auto"/>
              <w:rPr>
                <w:rFonts w:ascii="Arial"/>
                <w:sz w:val="21"/>
              </w:rPr>
            </w:pPr>
          </w:p>
          <w:p w14:paraId="41EC75ED">
            <w:pPr>
              <w:spacing w:line="257" w:lineRule="auto"/>
              <w:rPr>
                <w:rFonts w:ascii="Arial"/>
                <w:sz w:val="21"/>
              </w:rPr>
            </w:pPr>
          </w:p>
          <w:p w14:paraId="3FB64A38">
            <w:pPr>
              <w:spacing w:before="68" w:line="220" w:lineRule="auto"/>
              <w:ind w:left="182"/>
              <w:rPr>
                <w:rFonts w:ascii="宋体" w:hAnsi="宋体" w:eastAsia="宋体" w:cs="宋体"/>
                <w:sz w:val="21"/>
                <w:szCs w:val="21"/>
              </w:rPr>
            </w:pPr>
            <w:r>
              <w:rPr>
                <w:rFonts w:ascii="宋体" w:hAnsi="宋体" w:eastAsia="宋体" w:cs="宋体"/>
                <w:spacing w:val="-3"/>
                <w:sz w:val="21"/>
                <w:szCs w:val="21"/>
              </w:rPr>
              <w:t>符合</w:t>
            </w:r>
          </w:p>
        </w:tc>
      </w:tr>
    </w:tbl>
    <w:p w14:paraId="7794EE42">
      <w:pPr>
        <w:spacing w:before="235" w:line="362" w:lineRule="auto"/>
        <w:ind w:left="42" w:right="43" w:firstLine="506"/>
        <w:rPr>
          <w:rFonts w:ascii="宋体" w:hAnsi="宋体" w:eastAsia="宋体" w:cs="宋体"/>
          <w:sz w:val="24"/>
          <w:szCs w:val="24"/>
        </w:rPr>
      </w:pPr>
      <w:r>
        <w:rPr>
          <w:rFonts w:ascii="宋体" w:hAnsi="宋体" w:eastAsia="宋体" w:cs="宋体"/>
          <w:spacing w:val="-5"/>
          <w:sz w:val="24"/>
          <w:szCs w:val="24"/>
        </w:rPr>
        <w:t>由上表可知，本项目建设符合《关于做好畜禽规模养殖项目环境影响评价管</w:t>
      </w:r>
      <w:r>
        <w:rPr>
          <w:rFonts w:ascii="宋体" w:hAnsi="宋体" w:eastAsia="宋体" w:cs="宋体"/>
          <w:spacing w:val="-4"/>
          <w:sz w:val="24"/>
          <w:szCs w:val="24"/>
        </w:rPr>
        <w:t>理工作的通知》有关要求。</w:t>
      </w:r>
    </w:p>
    <w:p w14:paraId="26DB35A2">
      <w:pPr>
        <w:spacing w:before="51" w:line="407" w:lineRule="auto"/>
        <w:ind w:left="58" w:right="49" w:hanging="10"/>
        <w:rPr>
          <w:rFonts w:ascii="宋体" w:hAnsi="宋体" w:eastAsia="宋体" w:cs="宋体"/>
          <w:sz w:val="27"/>
          <w:szCs w:val="27"/>
        </w:rPr>
      </w:pPr>
      <w:r>
        <w:rPr>
          <w:rFonts w:ascii="Times New Roman" w:hAnsi="Times New Roman" w:eastAsia="Times New Roman" w:cs="Times New Roman"/>
          <w:b/>
          <w:bCs/>
          <w:spacing w:val="6"/>
          <w:sz w:val="27"/>
          <w:szCs w:val="27"/>
        </w:rPr>
        <w:t>1.6.3.7</w:t>
      </w:r>
      <w:r>
        <w:rPr>
          <w:rFonts w:ascii="Times New Roman" w:hAnsi="Times New Roman" w:eastAsia="Times New Roman" w:cs="Times New Roman"/>
          <w:b/>
          <w:bCs/>
          <w:spacing w:val="24"/>
          <w:w w:val="101"/>
          <w:sz w:val="27"/>
          <w:szCs w:val="27"/>
        </w:rPr>
        <w:t xml:space="preserve"> </w:t>
      </w:r>
      <w:r>
        <w:rPr>
          <w:rFonts w:ascii="宋体" w:hAnsi="宋体" w:eastAsia="宋体" w:cs="宋体"/>
          <w:b/>
          <w:bCs/>
          <w:spacing w:val="6"/>
          <w:sz w:val="27"/>
          <w:szCs w:val="27"/>
        </w:rPr>
        <w:t>与《农业农村部办公厅</w:t>
      </w:r>
      <w:r>
        <w:rPr>
          <w:rFonts w:ascii="宋体" w:hAnsi="宋体" w:eastAsia="宋体" w:cs="宋体"/>
          <w:spacing w:val="6"/>
          <w:sz w:val="27"/>
          <w:szCs w:val="27"/>
        </w:rPr>
        <w:t xml:space="preserve"> </w:t>
      </w:r>
      <w:r>
        <w:rPr>
          <w:rFonts w:ascii="宋体" w:hAnsi="宋体" w:eastAsia="宋体" w:cs="宋体"/>
          <w:b/>
          <w:bCs/>
          <w:spacing w:val="6"/>
          <w:sz w:val="27"/>
          <w:szCs w:val="27"/>
        </w:rPr>
        <w:t>生态环境部办公厅关于进一步明确禽</w:t>
      </w:r>
      <w:r>
        <w:rPr>
          <w:rFonts w:ascii="宋体" w:hAnsi="宋体" w:eastAsia="宋体" w:cs="宋体"/>
          <w:b/>
          <w:bCs/>
          <w:spacing w:val="7"/>
          <w:sz w:val="27"/>
          <w:szCs w:val="27"/>
        </w:rPr>
        <w:t>畜养殖粪污还田利用要求强化养殖污染监管的通知》的符合性分析</w:t>
      </w:r>
    </w:p>
    <w:p w14:paraId="4A7F847A">
      <w:pPr>
        <w:spacing w:line="358" w:lineRule="auto"/>
        <w:ind w:left="40" w:right="28" w:firstLine="479"/>
        <w:jc w:val="both"/>
        <w:rPr>
          <w:rFonts w:ascii="宋体" w:hAnsi="宋体" w:eastAsia="宋体" w:cs="宋体"/>
          <w:sz w:val="24"/>
          <w:szCs w:val="24"/>
        </w:rPr>
      </w:pPr>
      <w:r>
        <w:rPr>
          <w:rFonts w:ascii="宋体" w:hAnsi="宋体" w:eastAsia="宋体" w:cs="宋体"/>
          <w:sz w:val="24"/>
          <w:szCs w:val="24"/>
        </w:rPr>
        <w:t>本项目建设与《农业农村部办公厅 生态环境部办公厅关于进一步明确禽畜</w:t>
      </w:r>
      <w:r>
        <w:rPr>
          <w:rFonts w:ascii="宋体" w:hAnsi="宋体" w:eastAsia="宋体" w:cs="宋体"/>
          <w:spacing w:val="-1"/>
          <w:sz w:val="24"/>
          <w:szCs w:val="24"/>
        </w:rPr>
        <w:t>养殖粪污还田利用要求强化养殖污染监管的通知》（农办牧</w:t>
      </w:r>
      <w:r>
        <w:rPr>
          <w:rFonts w:ascii="Times New Roman" w:hAnsi="Times New Roman" w:eastAsia="Times New Roman" w:cs="Times New Roman"/>
          <w:spacing w:val="-1"/>
          <w:sz w:val="24"/>
          <w:szCs w:val="24"/>
        </w:rPr>
        <w:t>[</w:t>
      </w:r>
      <w:r>
        <w:fldChar w:fldCharType="begin"/>
      </w:r>
      <w:r>
        <w:instrText xml:space="preserve"> HYPERLINK \l "bookmark131" </w:instrText>
      </w:r>
      <w:r>
        <w:fldChar w:fldCharType="separate"/>
      </w:r>
      <w:r>
        <w:rPr>
          <w:rFonts w:ascii="Times New Roman" w:hAnsi="Times New Roman" w:eastAsia="Times New Roman" w:cs="Times New Roman"/>
          <w:spacing w:val="-1"/>
          <w:sz w:val="24"/>
          <w:szCs w:val="24"/>
        </w:rPr>
        <w:t>2020</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]23</w:t>
      </w:r>
      <w:r>
        <w:rPr>
          <w:rFonts w:ascii="宋体" w:hAnsi="宋体" w:eastAsia="宋体" w:cs="宋体"/>
          <w:spacing w:val="-1"/>
          <w:sz w:val="24"/>
          <w:szCs w:val="24"/>
        </w:rPr>
        <w:t>号）中要求</w:t>
      </w:r>
      <w:r>
        <w:rPr>
          <w:rFonts w:ascii="宋体" w:hAnsi="宋体" w:eastAsia="宋体" w:cs="宋体"/>
          <w:spacing w:val="-5"/>
          <w:sz w:val="24"/>
          <w:szCs w:val="24"/>
        </w:rPr>
        <w:t>符合性分析见下表。</w:t>
      </w:r>
    </w:p>
    <w:p w14:paraId="730F098C">
      <w:pPr>
        <w:spacing w:before="21" w:line="212" w:lineRule="auto"/>
        <w:ind w:left="1805"/>
        <w:rPr>
          <w:rFonts w:ascii="黑体" w:hAnsi="黑体" w:eastAsia="黑体" w:cs="黑体"/>
          <w:sz w:val="21"/>
          <w:szCs w:val="21"/>
        </w:rPr>
      </w:pPr>
      <w:r>
        <w:rPr>
          <w:rFonts w:ascii="黑体" w:hAnsi="黑体" w:eastAsia="黑体" w:cs="黑体"/>
          <w:sz w:val="21"/>
          <w:szCs w:val="21"/>
        </w:rPr>
        <w:t>表</w:t>
      </w:r>
      <w:r>
        <w:rPr>
          <w:rFonts w:ascii="Times New Roman" w:hAnsi="Times New Roman" w:eastAsia="Times New Roman" w:cs="Times New Roman"/>
          <w:sz w:val="21"/>
          <w:szCs w:val="21"/>
        </w:rPr>
        <w:t xml:space="preserve">1.6-11  </w:t>
      </w:r>
      <w:r>
        <w:rPr>
          <w:rFonts w:ascii="黑体" w:hAnsi="黑体" w:eastAsia="黑体" w:cs="黑体"/>
          <w:sz w:val="21"/>
          <w:szCs w:val="21"/>
        </w:rPr>
        <w:t>项目与“农办牧</w:t>
      </w:r>
      <w:r>
        <w:rPr>
          <w:rFonts w:ascii="Times New Roman" w:hAnsi="Times New Roman" w:eastAsia="Times New Roman" w:cs="Times New Roman"/>
          <w:sz w:val="21"/>
          <w:szCs w:val="21"/>
        </w:rPr>
        <w:t>[</w:t>
      </w:r>
      <w:r>
        <w:fldChar w:fldCharType="begin"/>
      </w:r>
      <w:r>
        <w:instrText xml:space="preserve"> HYPERLINK \l "bookmark132" </w:instrText>
      </w:r>
      <w:r>
        <w:fldChar w:fldCharType="separate"/>
      </w:r>
      <w:r>
        <w:rPr>
          <w:rFonts w:ascii="Times New Roman" w:hAnsi="Times New Roman" w:eastAsia="Times New Roman" w:cs="Times New Roman"/>
          <w:sz w:val="21"/>
          <w:szCs w:val="21"/>
        </w:rPr>
        <w:t>20</w:t>
      </w:r>
      <w:r>
        <w:rPr>
          <w:rFonts w:ascii="Times New Roman" w:hAnsi="Times New Roman" w:eastAsia="Times New Roman" w:cs="Times New Roman"/>
          <w:spacing w:val="-1"/>
          <w:sz w:val="21"/>
          <w:szCs w:val="21"/>
        </w:rPr>
        <w:t>20</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]23</w:t>
      </w:r>
      <w:r>
        <w:rPr>
          <w:rFonts w:ascii="黑体" w:hAnsi="黑体" w:eastAsia="黑体" w:cs="黑体"/>
          <w:spacing w:val="-1"/>
          <w:sz w:val="21"/>
          <w:szCs w:val="21"/>
        </w:rPr>
        <w:t>号”文符合性分析</w:t>
      </w:r>
    </w:p>
    <w:p w14:paraId="20C44B50">
      <w:pPr>
        <w:spacing w:line="9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18"/>
        <w:gridCol w:w="3361"/>
        <w:gridCol w:w="772"/>
      </w:tblGrid>
      <w:tr w14:paraId="2DB8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69" w:type="dxa"/>
            <w:vAlign w:val="top"/>
          </w:tcPr>
          <w:p w14:paraId="1C06CEE0">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718" w:type="dxa"/>
            <w:vAlign w:val="top"/>
          </w:tcPr>
          <w:p w14:paraId="1148E1C1">
            <w:pPr>
              <w:spacing w:before="68" w:line="220" w:lineRule="auto"/>
              <w:ind w:left="1443"/>
              <w:rPr>
                <w:rFonts w:ascii="宋体" w:hAnsi="宋体" w:eastAsia="宋体" w:cs="宋体"/>
                <w:sz w:val="21"/>
                <w:szCs w:val="21"/>
              </w:rPr>
            </w:pPr>
            <w:r>
              <w:rPr>
                <w:rFonts w:ascii="宋体" w:hAnsi="宋体" w:eastAsia="宋体" w:cs="宋体"/>
                <w:spacing w:val="-2"/>
                <w:sz w:val="21"/>
                <w:szCs w:val="21"/>
              </w:rPr>
              <w:t>通知内容</w:t>
            </w:r>
          </w:p>
        </w:tc>
        <w:tc>
          <w:tcPr>
            <w:tcW w:w="3361" w:type="dxa"/>
            <w:vAlign w:val="top"/>
          </w:tcPr>
          <w:p w14:paraId="46F7B939">
            <w:pPr>
              <w:spacing w:before="68" w:line="219" w:lineRule="auto"/>
              <w:ind w:left="1163"/>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30DAA66A">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69D0F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469" w:type="dxa"/>
            <w:vAlign w:val="top"/>
          </w:tcPr>
          <w:p w14:paraId="3F4A01B2">
            <w:pPr>
              <w:spacing w:line="324" w:lineRule="auto"/>
              <w:rPr>
                <w:rFonts w:ascii="Arial"/>
                <w:sz w:val="21"/>
              </w:rPr>
            </w:pPr>
          </w:p>
          <w:p w14:paraId="51E6E2BF">
            <w:pPr>
              <w:spacing w:line="324" w:lineRule="auto"/>
              <w:rPr>
                <w:rFonts w:ascii="Arial"/>
                <w:sz w:val="21"/>
              </w:rPr>
            </w:pPr>
          </w:p>
          <w:p w14:paraId="359A97B9">
            <w:pPr>
              <w:pStyle w:val="6"/>
              <w:spacing w:before="60" w:line="188" w:lineRule="auto"/>
              <w:ind w:left="203"/>
            </w:pPr>
            <w:r>
              <w:t>1</w:t>
            </w:r>
          </w:p>
        </w:tc>
        <w:tc>
          <w:tcPr>
            <w:tcW w:w="3718" w:type="dxa"/>
            <w:vAlign w:val="top"/>
          </w:tcPr>
          <w:p w14:paraId="0BDB3939">
            <w:pPr>
              <w:spacing w:before="51" w:line="220" w:lineRule="auto"/>
              <w:ind w:left="11"/>
              <w:rPr>
                <w:rFonts w:ascii="宋体" w:hAnsi="宋体" w:eastAsia="宋体" w:cs="宋体"/>
                <w:sz w:val="21"/>
                <w:szCs w:val="21"/>
              </w:rPr>
            </w:pPr>
            <w:r>
              <w:rPr>
                <w:rFonts w:ascii="宋体" w:hAnsi="宋体" w:eastAsia="宋体" w:cs="宋体"/>
                <w:spacing w:val="-3"/>
                <w:sz w:val="21"/>
                <w:szCs w:val="21"/>
              </w:rPr>
              <w:t>一、畅通还田利用管道</w:t>
            </w:r>
          </w:p>
          <w:p w14:paraId="67470CE9">
            <w:pPr>
              <w:spacing w:before="62" w:line="262" w:lineRule="auto"/>
              <w:ind w:left="10" w:right="1" w:firstLine="201"/>
              <w:jc w:val="both"/>
              <w:rPr>
                <w:rFonts w:ascii="宋体" w:hAnsi="宋体" w:eastAsia="宋体" w:cs="宋体"/>
                <w:sz w:val="21"/>
                <w:szCs w:val="21"/>
              </w:rPr>
            </w:pPr>
            <w:r>
              <w:rPr>
                <w:rFonts w:ascii="宋体" w:hAnsi="宋体" w:eastAsia="宋体" w:cs="宋体"/>
                <w:spacing w:val="-5"/>
                <w:sz w:val="21"/>
                <w:szCs w:val="21"/>
              </w:rPr>
              <w:t>（一）鼓励畜禽粪污还田利用。国家支</w:t>
            </w:r>
            <w:r>
              <w:rPr>
                <w:rFonts w:ascii="宋体" w:hAnsi="宋体" w:eastAsia="宋体" w:cs="宋体"/>
                <w:spacing w:val="7"/>
                <w:sz w:val="21"/>
                <w:szCs w:val="21"/>
              </w:rPr>
              <w:t>持畜禽养殖场户建设畜禽粪污无害化处理和资源化利用设施，鼓励采取粪肥还</w:t>
            </w:r>
            <w:r>
              <w:rPr>
                <w:rFonts w:ascii="宋体" w:hAnsi="宋体" w:eastAsia="宋体" w:cs="宋体"/>
                <w:spacing w:val="-5"/>
                <w:sz w:val="21"/>
                <w:szCs w:val="21"/>
              </w:rPr>
              <w:t>田、制取沼气、生产有机肥等方式进行资</w:t>
            </w:r>
          </w:p>
        </w:tc>
        <w:tc>
          <w:tcPr>
            <w:tcW w:w="3361" w:type="dxa"/>
            <w:vAlign w:val="top"/>
          </w:tcPr>
          <w:p w14:paraId="17107B57">
            <w:pPr>
              <w:spacing w:before="208" w:line="275" w:lineRule="auto"/>
              <w:ind w:left="10" w:firstLine="1"/>
              <w:jc w:val="both"/>
              <w:rPr>
                <w:rFonts w:ascii="宋体" w:hAnsi="宋体" w:eastAsia="宋体" w:cs="宋体"/>
                <w:sz w:val="21"/>
                <w:szCs w:val="21"/>
              </w:rPr>
            </w:pPr>
            <w:r>
              <w:rPr>
                <w:rFonts w:ascii="宋体" w:hAnsi="宋体" w:eastAsia="宋体" w:cs="宋体"/>
                <w:spacing w:val="12"/>
                <w:sz w:val="21"/>
                <w:szCs w:val="21"/>
              </w:rPr>
              <w:t>本项目废水经配套污水处理站处理</w:t>
            </w:r>
            <w:r>
              <w:rPr>
                <w:rFonts w:ascii="宋体" w:hAnsi="宋体" w:eastAsia="宋体" w:cs="宋体"/>
                <w:spacing w:val="-1"/>
                <w:sz w:val="21"/>
                <w:szCs w:val="21"/>
              </w:rPr>
              <w:t>达标后农灌利用，猪粪经固液分离后于堆粪棚暂存，交有机肥厂生产有机</w:t>
            </w:r>
            <w:r>
              <w:rPr>
                <w:rFonts w:ascii="宋体" w:hAnsi="宋体" w:eastAsia="宋体" w:cs="宋体"/>
                <w:spacing w:val="-4"/>
                <w:sz w:val="21"/>
                <w:szCs w:val="21"/>
              </w:rPr>
              <w:t>肥，实现了资源化利用。</w:t>
            </w:r>
          </w:p>
        </w:tc>
        <w:tc>
          <w:tcPr>
            <w:tcW w:w="772" w:type="dxa"/>
            <w:vAlign w:val="top"/>
          </w:tcPr>
          <w:p w14:paraId="1C7179C4">
            <w:pPr>
              <w:spacing w:line="301" w:lineRule="auto"/>
              <w:rPr>
                <w:rFonts w:ascii="Arial"/>
                <w:sz w:val="21"/>
              </w:rPr>
            </w:pPr>
          </w:p>
          <w:p w14:paraId="122DB7B3">
            <w:pPr>
              <w:spacing w:line="302" w:lineRule="auto"/>
              <w:rPr>
                <w:rFonts w:ascii="Arial"/>
                <w:sz w:val="21"/>
              </w:rPr>
            </w:pPr>
          </w:p>
          <w:p w14:paraId="5ADBE534">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bl>
    <w:p w14:paraId="7648AF99">
      <w:pPr>
        <w:pStyle w:val="2"/>
      </w:pPr>
    </w:p>
    <w:p w14:paraId="49F1A1DA">
      <w:pPr>
        <w:sectPr>
          <w:headerReference r:id="rId101" w:type="default"/>
          <w:footerReference r:id="rId102" w:type="default"/>
          <w:pgSz w:w="11905" w:h="16840"/>
          <w:pgMar w:top="1168" w:right="1768" w:bottom="1408" w:left="1770" w:header="828" w:footer="1244" w:gutter="0"/>
          <w:cols w:space="720" w:num="1"/>
        </w:sectPr>
      </w:pPr>
    </w:p>
    <w:p w14:paraId="00E69D64">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3718"/>
        <w:gridCol w:w="3361"/>
        <w:gridCol w:w="772"/>
      </w:tblGrid>
      <w:tr w14:paraId="0C9AC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4317A777">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3718" w:type="dxa"/>
            <w:vAlign w:val="top"/>
          </w:tcPr>
          <w:p w14:paraId="339B671F">
            <w:pPr>
              <w:spacing w:before="68" w:line="220" w:lineRule="auto"/>
              <w:ind w:left="1443"/>
              <w:rPr>
                <w:rFonts w:ascii="宋体" w:hAnsi="宋体" w:eastAsia="宋体" w:cs="宋体"/>
                <w:sz w:val="21"/>
                <w:szCs w:val="21"/>
              </w:rPr>
            </w:pPr>
            <w:r>
              <w:rPr>
                <w:rFonts w:ascii="宋体" w:hAnsi="宋体" w:eastAsia="宋体" w:cs="宋体"/>
                <w:spacing w:val="-2"/>
                <w:sz w:val="21"/>
                <w:szCs w:val="21"/>
              </w:rPr>
              <w:t>通知内容</w:t>
            </w:r>
          </w:p>
        </w:tc>
        <w:tc>
          <w:tcPr>
            <w:tcW w:w="3361" w:type="dxa"/>
            <w:vAlign w:val="top"/>
          </w:tcPr>
          <w:p w14:paraId="657B3935">
            <w:pPr>
              <w:spacing w:before="68" w:line="219" w:lineRule="auto"/>
              <w:ind w:left="1163"/>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364CEAA6">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2465B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69" w:type="dxa"/>
            <w:vAlign w:val="top"/>
          </w:tcPr>
          <w:p w14:paraId="7564D38E">
            <w:pPr>
              <w:rPr>
                <w:rFonts w:ascii="Arial"/>
                <w:sz w:val="21"/>
              </w:rPr>
            </w:pPr>
          </w:p>
        </w:tc>
        <w:tc>
          <w:tcPr>
            <w:tcW w:w="3718" w:type="dxa"/>
            <w:vAlign w:val="top"/>
          </w:tcPr>
          <w:p w14:paraId="1050FB1B">
            <w:pPr>
              <w:spacing w:before="49" w:line="221" w:lineRule="auto"/>
              <w:ind w:left="7"/>
              <w:rPr>
                <w:rFonts w:ascii="宋体" w:hAnsi="宋体" w:eastAsia="宋体" w:cs="宋体"/>
                <w:sz w:val="21"/>
                <w:szCs w:val="21"/>
              </w:rPr>
            </w:pPr>
            <w:r>
              <w:rPr>
                <w:rFonts w:ascii="宋体" w:hAnsi="宋体" w:eastAsia="宋体" w:cs="宋体"/>
                <w:spacing w:val="-7"/>
                <w:sz w:val="21"/>
                <w:szCs w:val="21"/>
              </w:rPr>
              <w:t>源化利用。</w:t>
            </w:r>
          </w:p>
        </w:tc>
        <w:tc>
          <w:tcPr>
            <w:tcW w:w="3361" w:type="dxa"/>
            <w:vAlign w:val="top"/>
          </w:tcPr>
          <w:p w14:paraId="283B6289">
            <w:pPr>
              <w:rPr>
                <w:rFonts w:ascii="Arial"/>
                <w:sz w:val="21"/>
              </w:rPr>
            </w:pPr>
          </w:p>
        </w:tc>
        <w:tc>
          <w:tcPr>
            <w:tcW w:w="772" w:type="dxa"/>
            <w:vAlign w:val="top"/>
          </w:tcPr>
          <w:p w14:paraId="4D68EC32">
            <w:pPr>
              <w:rPr>
                <w:rFonts w:ascii="Arial"/>
                <w:sz w:val="21"/>
              </w:rPr>
            </w:pPr>
          </w:p>
        </w:tc>
      </w:tr>
      <w:tr w14:paraId="2AA1B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0" w:hRule="atLeast"/>
        </w:trPr>
        <w:tc>
          <w:tcPr>
            <w:tcW w:w="469" w:type="dxa"/>
            <w:vAlign w:val="top"/>
          </w:tcPr>
          <w:p w14:paraId="5706A870">
            <w:pPr>
              <w:spacing w:line="269" w:lineRule="auto"/>
              <w:rPr>
                <w:rFonts w:ascii="Arial"/>
                <w:sz w:val="21"/>
              </w:rPr>
            </w:pPr>
          </w:p>
          <w:p w14:paraId="5FBEA27C">
            <w:pPr>
              <w:spacing w:line="269" w:lineRule="auto"/>
              <w:rPr>
                <w:rFonts w:ascii="Arial"/>
                <w:sz w:val="21"/>
              </w:rPr>
            </w:pPr>
          </w:p>
          <w:p w14:paraId="1F9F56BA">
            <w:pPr>
              <w:spacing w:line="270" w:lineRule="auto"/>
              <w:rPr>
                <w:rFonts w:ascii="Arial"/>
                <w:sz w:val="21"/>
              </w:rPr>
            </w:pPr>
          </w:p>
          <w:p w14:paraId="54CFC1E6">
            <w:pPr>
              <w:spacing w:line="270" w:lineRule="auto"/>
              <w:rPr>
                <w:rFonts w:ascii="Arial"/>
                <w:sz w:val="21"/>
              </w:rPr>
            </w:pPr>
          </w:p>
          <w:p w14:paraId="3C0AC64E">
            <w:pPr>
              <w:spacing w:line="270" w:lineRule="auto"/>
              <w:rPr>
                <w:rFonts w:ascii="Arial"/>
                <w:sz w:val="21"/>
              </w:rPr>
            </w:pPr>
          </w:p>
          <w:p w14:paraId="7448CFB2">
            <w:pPr>
              <w:spacing w:line="270" w:lineRule="auto"/>
              <w:rPr>
                <w:rFonts w:ascii="Arial"/>
                <w:sz w:val="21"/>
              </w:rPr>
            </w:pPr>
          </w:p>
          <w:p w14:paraId="5791E602">
            <w:pPr>
              <w:spacing w:line="270" w:lineRule="auto"/>
              <w:rPr>
                <w:rFonts w:ascii="Arial"/>
                <w:sz w:val="21"/>
              </w:rPr>
            </w:pPr>
          </w:p>
          <w:p w14:paraId="3BAC7126">
            <w:pPr>
              <w:pStyle w:val="6"/>
              <w:spacing w:before="60" w:line="188" w:lineRule="auto"/>
              <w:ind w:left="183"/>
            </w:pPr>
            <w:r>
              <w:t>2</w:t>
            </w:r>
          </w:p>
        </w:tc>
        <w:tc>
          <w:tcPr>
            <w:tcW w:w="3718" w:type="dxa"/>
            <w:vAlign w:val="top"/>
          </w:tcPr>
          <w:p w14:paraId="4F38E544">
            <w:pPr>
              <w:pStyle w:val="6"/>
              <w:spacing w:before="57" w:line="270" w:lineRule="auto"/>
              <w:ind w:left="8" w:right="1" w:firstLine="5"/>
              <w:jc w:val="both"/>
              <w:rPr>
                <w:rFonts w:ascii="宋体" w:hAnsi="宋体" w:eastAsia="宋体" w:cs="宋体"/>
              </w:rPr>
            </w:pPr>
            <w:r>
              <w:rPr>
                <w:rFonts w:ascii="宋体" w:hAnsi="宋体" w:eastAsia="宋体" w:cs="宋体"/>
                <w:spacing w:val="-5"/>
              </w:rPr>
              <w:t>（二）明确还田利用标准规范。畜禽粪污</w:t>
            </w:r>
            <w:r>
              <w:rPr>
                <w:rFonts w:ascii="宋体" w:hAnsi="宋体" w:eastAsia="宋体" w:cs="宋体"/>
                <w:spacing w:val="7"/>
              </w:rPr>
              <w:t>的处理应根据排放去向或利用方式的不</w:t>
            </w:r>
            <w:r>
              <w:rPr>
                <w:rFonts w:ascii="宋体" w:hAnsi="宋体" w:eastAsia="宋体" w:cs="宋体"/>
                <w:spacing w:val="-5"/>
              </w:rPr>
              <w:t>同执行相应的标准规范。对配套土地充足的养殖场户，粪污经无害化处理后还田利用具体要求及限量应符合《畜禽粪便无害</w:t>
            </w:r>
            <w:r>
              <w:rPr>
                <w:rFonts w:ascii="宋体" w:hAnsi="宋体" w:eastAsia="宋体" w:cs="宋体"/>
                <w:spacing w:val="-6"/>
              </w:rPr>
              <w:t xml:space="preserve">化处理技术规范》（ </w:t>
            </w:r>
            <w:r>
              <w:rPr>
                <w:spacing w:val="-6"/>
              </w:rPr>
              <w:t>GB/T36195</w:t>
            </w:r>
            <w:r>
              <w:rPr>
                <w:rFonts w:ascii="宋体" w:hAnsi="宋体" w:eastAsia="宋体" w:cs="宋体"/>
                <w:spacing w:val="-6"/>
              </w:rPr>
              <w:t>）和《畜</w:t>
            </w:r>
            <w:r>
              <w:rPr>
                <w:rFonts w:ascii="宋体" w:hAnsi="宋体" w:eastAsia="宋体" w:cs="宋体"/>
                <w:spacing w:val="-1"/>
              </w:rPr>
              <w:t>禽粪便还田技术规范》（</w:t>
            </w:r>
            <w:r>
              <w:rPr>
                <w:spacing w:val="-1"/>
              </w:rPr>
              <w:t>GB/T25246</w:t>
            </w:r>
            <w:r>
              <w:rPr>
                <w:rFonts w:ascii="宋体" w:hAnsi="宋体" w:eastAsia="宋体" w:cs="宋体"/>
                <w:spacing w:val="-6"/>
              </w:rPr>
              <w:t>），</w:t>
            </w:r>
            <w:r>
              <w:rPr>
                <w:rFonts w:ascii="宋体" w:hAnsi="宋体" w:eastAsia="宋体" w:cs="宋体"/>
                <w:spacing w:val="-5"/>
              </w:rPr>
              <w:t>配套土地面积应达到《畜禽粪污土地承载力测算技术指南》要求的最小面积。对配套土地不足的养殖场户，粪污经处理后向环境排放的，应符合《畜禽养殖业污染物</w:t>
            </w:r>
            <w:r>
              <w:rPr>
                <w:rFonts w:ascii="宋体" w:hAnsi="宋体" w:eastAsia="宋体" w:cs="宋体"/>
                <w:spacing w:val="-7"/>
              </w:rPr>
              <w:t>排放标准》（</w:t>
            </w:r>
            <w:r>
              <w:rPr>
                <w:spacing w:val="-7"/>
              </w:rPr>
              <w:t>GB</w:t>
            </w:r>
            <w:r>
              <w:rPr>
                <w:spacing w:val="38"/>
                <w:w w:val="101"/>
              </w:rPr>
              <w:t xml:space="preserve"> </w:t>
            </w:r>
            <w:r>
              <w:rPr>
                <w:spacing w:val="-7"/>
              </w:rPr>
              <w:t>18596</w:t>
            </w:r>
            <w:r>
              <w:rPr>
                <w:rFonts w:ascii="宋体" w:hAnsi="宋体" w:eastAsia="宋体" w:cs="宋体"/>
                <w:spacing w:val="-7"/>
              </w:rPr>
              <w:t>）和地方有关排放</w:t>
            </w:r>
            <w:r>
              <w:rPr>
                <w:rFonts w:ascii="宋体" w:hAnsi="宋体" w:eastAsia="宋体" w:cs="宋体"/>
                <w:spacing w:val="-9"/>
              </w:rPr>
              <w:t>标准。</w:t>
            </w:r>
          </w:p>
        </w:tc>
        <w:tc>
          <w:tcPr>
            <w:tcW w:w="3361" w:type="dxa"/>
            <w:vAlign w:val="top"/>
          </w:tcPr>
          <w:p w14:paraId="17D77730">
            <w:pPr>
              <w:spacing w:line="267" w:lineRule="auto"/>
              <w:rPr>
                <w:rFonts w:ascii="Arial"/>
                <w:sz w:val="21"/>
              </w:rPr>
            </w:pPr>
          </w:p>
          <w:p w14:paraId="5F9F0FE5">
            <w:pPr>
              <w:spacing w:line="267" w:lineRule="auto"/>
              <w:rPr>
                <w:rFonts w:ascii="Arial"/>
                <w:sz w:val="21"/>
              </w:rPr>
            </w:pPr>
          </w:p>
          <w:p w14:paraId="3D794D75">
            <w:pPr>
              <w:spacing w:line="267" w:lineRule="auto"/>
              <w:rPr>
                <w:rFonts w:ascii="Arial"/>
                <w:sz w:val="21"/>
              </w:rPr>
            </w:pPr>
          </w:p>
          <w:p w14:paraId="209F7732">
            <w:pPr>
              <w:spacing w:line="268" w:lineRule="auto"/>
              <w:rPr>
                <w:rFonts w:ascii="Arial"/>
                <w:sz w:val="21"/>
              </w:rPr>
            </w:pPr>
          </w:p>
          <w:p w14:paraId="6B4B5418">
            <w:pPr>
              <w:pStyle w:val="6"/>
              <w:spacing w:before="69" w:line="275" w:lineRule="auto"/>
              <w:ind w:left="7" w:firstLine="4"/>
              <w:jc w:val="both"/>
              <w:rPr>
                <w:rFonts w:ascii="宋体" w:hAnsi="宋体" w:eastAsia="宋体" w:cs="宋体"/>
              </w:rPr>
            </w:pPr>
            <w:r>
              <w:rPr>
                <w:rFonts w:ascii="宋体" w:hAnsi="宋体" w:eastAsia="宋体" w:cs="宋体"/>
                <w:spacing w:val="12"/>
              </w:rPr>
              <w:t>本项目废水经配套污水处理站处理</w:t>
            </w:r>
            <w:r>
              <w:rPr>
                <w:rFonts w:ascii="宋体" w:hAnsi="宋体" w:eastAsia="宋体" w:cs="宋体"/>
                <w:spacing w:val="13"/>
              </w:rPr>
              <w:t>达标后农灌利用，配套消纳土地为</w:t>
            </w:r>
            <w:r>
              <w:rPr>
                <w:spacing w:val="-5"/>
              </w:rPr>
              <w:t xml:space="preserve">2060 </w:t>
            </w:r>
            <w:r>
              <w:rPr>
                <w:rFonts w:ascii="宋体" w:hAnsi="宋体" w:eastAsia="宋体" w:cs="宋体"/>
                <w:spacing w:val="-5"/>
              </w:rPr>
              <w:t>亩，满足《畜禽粪污土地承载力</w:t>
            </w:r>
            <w:r>
              <w:rPr>
                <w:rFonts w:ascii="宋体" w:hAnsi="宋体" w:eastAsia="宋体" w:cs="宋体"/>
                <w:spacing w:val="-7"/>
              </w:rPr>
              <w:t>测算技术指南》测算面积要求， 配套</w:t>
            </w:r>
            <w:r>
              <w:rPr>
                <w:rFonts w:ascii="宋体" w:hAnsi="宋体" w:eastAsia="宋体" w:cs="宋体"/>
                <w:spacing w:val="-1"/>
              </w:rPr>
              <w:t>土地充足，粪污经无害化处理后还田</w:t>
            </w:r>
            <w:r>
              <w:rPr>
                <w:rFonts w:ascii="宋体" w:hAnsi="宋体" w:eastAsia="宋体" w:cs="宋体"/>
                <w:spacing w:val="-8"/>
              </w:rPr>
              <w:t>利用。</w:t>
            </w:r>
          </w:p>
        </w:tc>
        <w:tc>
          <w:tcPr>
            <w:tcW w:w="772" w:type="dxa"/>
            <w:vAlign w:val="top"/>
          </w:tcPr>
          <w:p w14:paraId="17D9FE52">
            <w:pPr>
              <w:spacing w:line="263" w:lineRule="auto"/>
              <w:rPr>
                <w:rFonts w:ascii="Arial"/>
                <w:sz w:val="21"/>
              </w:rPr>
            </w:pPr>
          </w:p>
          <w:p w14:paraId="19516D5A">
            <w:pPr>
              <w:spacing w:line="263" w:lineRule="auto"/>
              <w:rPr>
                <w:rFonts w:ascii="Arial"/>
                <w:sz w:val="21"/>
              </w:rPr>
            </w:pPr>
          </w:p>
          <w:p w14:paraId="4A0E820A">
            <w:pPr>
              <w:spacing w:line="263" w:lineRule="auto"/>
              <w:rPr>
                <w:rFonts w:ascii="Arial"/>
                <w:sz w:val="21"/>
              </w:rPr>
            </w:pPr>
          </w:p>
          <w:p w14:paraId="2564385D">
            <w:pPr>
              <w:spacing w:line="263" w:lineRule="auto"/>
              <w:rPr>
                <w:rFonts w:ascii="Arial"/>
                <w:sz w:val="21"/>
              </w:rPr>
            </w:pPr>
          </w:p>
          <w:p w14:paraId="5902235F">
            <w:pPr>
              <w:spacing w:line="263" w:lineRule="auto"/>
              <w:rPr>
                <w:rFonts w:ascii="Arial"/>
                <w:sz w:val="21"/>
              </w:rPr>
            </w:pPr>
          </w:p>
          <w:p w14:paraId="574A76D5">
            <w:pPr>
              <w:spacing w:line="264" w:lineRule="auto"/>
              <w:rPr>
                <w:rFonts w:ascii="Arial"/>
                <w:sz w:val="21"/>
              </w:rPr>
            </w:pPr>
          </w:p>
          <w:p w14:paraId="77232C0E">
            <w:pPr>
              <w:spacing w:line="264" w:lineRule="auto"/>
              <w:rPr>
                <w:rFonts w:ascii="Arial"/>
                <w:sz w:val="21"/>
              </w:rPr>
            </w:pPr>
          </w:p>
          <w:p w14:paraId="2C097555">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39556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469" w:type="dxa"/>
            <w:vAlign w:val="top"/>
          </w:tcPr>
          <w:p w14:paraId="733B4457">
            <w:pPr>
              <w:spacing w:line="247" w:lineRule="auto"/>
              <w:rPr>
                <w:rFonts w:ascii="Arial"/>
                <w:sz w:val="21"/>
              </w:rPr>
            </w:pPr>
          </w:p>
          <w:p w14:paraId="3B1D9DC7">
            <w:pPr>
              <w:spacing w:line="247" w:lineRule="auto"/>
              <w:rPr>
                <w:rFonts w:ascii="Arial"/>
                <w:sz w:val="21"/>
              </w:rPr>
            </w:pPr>
          </w:p>
          <w:p w14:paraId="4F0907A9">
            <w:pPr>
              <w:spacing w:line="247" w:lineRule="auto"/>
              <w:rPr>
                <w:rFonts w:ascii="Arial"/>
                <w:sz w:val="21"/>
              </w:rPr>
            </w:pPr>
          </w:p>
          <w:p w14:paraId="3E379412">
            <w:pPr>
              <w:spacing w:line="248" w:lineRule="auto"/>
              <w:rPr>
                <w:rFonts w:ascii="Arial"/>
                <w:sz w:val="21"/>
              </w:rPr>
            </w:pPr>
          </w:p>
          <w:p w14:paraId="0AE6B939">
            <w:pPr>
              <w:spacing w:line="248" w:lineRule="auto"/>
              <w:rPr>
                <w:rFonts w:ascii="Arial"/>
                <w:sz w:val="21"/>
              </w:rPr>
            </w:pPr>
          </w:p>
          <w:p w14:paraId="0FC7E9D1">
            <w:pPr>
              <w:spacing w:line="248" w:lineRule="auto"/>
              <w:rPr>
                <w:rFonts w:ascii="Arial"/>
                <w:sz w:val="21"/>
              </w:rPr>
            </w:pPr>
          </w:p>
          <w:p w14:paraId="3B491BFB">
            <w:pPr>
              <w:spacing w:line="248" w:lineRule="auto"/>
              <w:rPr>
                <w:rFonts w:ascii="Arial"/>
                <w:sz w:val="21"/>
              </w:rPr>
            </w:pPr>
          </w:p>
          <w:p w14:paraId="40F24B56">
            <w:pPr>
              <w:pStyle w:val="6"/>
              <w:spacing w:before="60" w:line="188" w:lineRule="auto"/>
              <w:ind w:left="187"/>
            </w:pPr>
            <w:r>
              <w:t>3</w:t>
            </w:r>
          </w:p>
        </w:tc>
        <w:tc>
          <w:tcPr>
            <w:tcW w:w="3718" w:type="dxa"/>
            <w:vAlign w:val="top"/>
          </w:tcPr>
          <w:p w14:paraId="7CD905E1">
            <w:pPr>
              <w:spacing w:before="51" w:line="220" w:lineRule="auto"/>
              <w:ind w:left="11"/>
              <w:rPr>
                <w:rFonts w:ascii="宋体" w:hAnsi="宋体" w:eastAsia="宋体" w:cs="宋体"/>
                <w:sz w:val="21"/>
                <w:szCs w:val="21"/>
              </w:rPr>
            </w:pPr>
            <w:r>
              <w:rPr>
                <w:rFonts w:ascii="宋体" w:hAnsi="宋体" w:eastAsia="宋体" w:cs="宋体"/>
                <w:spacing w:val="-2"/>
                <w:sz w:val="21"/>
                <w:szCs w:val="21"/>
              </w:rPr>
              <w:t>二、加强事中事后监管</w:t>
            </w:r>
          </w:p>
          <w:p w14:paraId="10F96110">
            <w:pPr>
              <w:spacing w:before="56" w:line="270" w:lineRule="auto"/>
              <w:ind w:left="8" w:right="1" w:firstLine="203"/>
              <w:jc w:val="both"/>
              <w:rPr>
                <w:rFonts w:ascii="宋体" w:hAnsi="宋体" w:eastAsia="宋体" w:cs="宋体"/>
                <w:sz w:val="21"/>
                <w:szCs w:val="21"/>
              </w:rPr>
            </w:pPr>
            <w:r>
              <w:rPr>
                <w:rFonts w:ascii="宋体" w:hAnsi="宋体" w:eastAsia="宋体" w:cs="宋体"/>
                <w:spacing w:val="-5"/>
                <w:sz w:val="21"/>
                <w:szCs w:val="21"/>
              </w:rPr>
              <w:t>（一）落实养殖场户主体责任。养殖场</w:t>
            </w:r>
            <w:r>
              <w:rPr>
                <w:rFonts w:ascii="宋体" w:hAnsi="宋体" w:eastAsia="宋体" w:cs="宋体"/>
                <w:spacing w:val="7"/>
                <w:sz w:val="21"/>
                <w:szCs w:val="21"/>
              </w:rPr>
              <w:t>户应当切实履行粪污利用和污染防治主</w:t>
            </w:r>
            <w:r>
              <w:rPr>
                <w:rFonts w:ascii="宋体" w:hAnsi="宋体" w:eastAsia="宋体" w:cs="宋体"/>
                <w:spacing w:val="-5"/>
                <w:sz w:val="21"/>
                <w:szCs w:val="21"/>
              </w:rPr>
              <w:t>体责任，采取措施，对畜禽粪污进行科学处理和资源化利用，防止污染环境。从事畜禽规模养殖要严格落实《中华人民共和国固体废物污染环境防治法》、《中华人民共和国水污染防治法》、《畜禽规模养</w:t>
            </w:r>
            <w:r>
              <w:rPr>
                <w:rFonts w:ascii="宋体" w:hAnsi="宋体" w:eastAsia="宋体" w:cs="宋体"/>
                <w:spacing w:val="-8"/>
                <w:sz w:val="21"/>
                <w:szCs w:val="21"/>
              </w:rPr>
              <w:t>殖污染防治条例》要求，</w:t>
            </w:r>
            <w:r>
              <w:rPr>
                <w:rFonts w:ascii="宋体" w:hAnsi="宋体" w:eastAsia="宋体" w:cs="宋体"/>
                <w:spacing w:val="-40"/>
                <w:sz w:val="21"/>
                <w:szCs w:val="21"/>
              </w:rPr>
              <w:t xml:space="preserve"> </w:t>
            </w:r>
            <w:r>
              <w:rPr>
                <w:rFonts w:ascii="宋体" w:hAnsi="宋体" w:eastAsia="宋体" w:cs="宋体"/>
                <w:spacing w:val="-8"/>
                <w:sz w:val="21"/>
                <w:szCs w:val="21"/>
              </w:rPr>
              <w:t>建设粪污无害化</w:t>
            </w:r>
            <w:r>
              <w:rPr>
                <w:rFonts w:ascii="宋体" w:hAnsi="宋体" w:eastAsia="宋体" w:cs="宋体"/>
                <w:spacing w:val="7"/>
                <w:sz w:val="21"/>
                <w:szCs w:val="21"/>
              </w:rPr>
              <w:t>处理和资源化利用设施并确保其正常运</w:t>
            </w:r>
            <w:r>
              <w:rPr>
                <w:rFonts w:ascii="宋体" w:hAnsi="宋体" w:eastAsia="宋体" w:cs="宋体"/>
                <w:spacing w:val="-5"/>
                <w:sz w:val="21"/>
                <w:szCs w:val="21"/>
              </w:rPr>
              <w:t>行，或委托第三方代为实现粪污无害化处理和资源化利用。</w:t>
            </w:r>
          </w:p>
        </w:tc>
        <w:tc>
          <w:tcPr>
            <w:tcW w:w="3361" w:type="dxa"/>
            <w:vAlign w:val="top"/>
          </w:tcPr>
          <w:p w14:paraId="107C86EC">
            <w:pPr>
              <w:spacing w:line="252" w:lineRule="auto"/>
              <w:rPr>
                <w:rFonts w:ascii="Arial"/>
                <w:sz w:val="21"/>
              </w:rPr>
            </w:pPr>
          </w:p>
          <w:p w14:paraId="05914D8A">
            <w:pPr>
              <w:spacing w:line="252" w:lineRule="auto"/>
              <w:rPr>
                <w:rFonts w:ascii="Arial"/>
                <w:sz w:val="21"/>
              </w:rPr>
            </w:pPr>
          </w:p>
          <w:p w14:paraId="285F4045">
            <w:pPr>
              <w:spacing w:line="253" w:lineRule="auto"/>
              <w:rPr>
                <w:rFonts w:ascii="Arial"/>
                <w:sz w:val="21"/>
              </w:rPr>
            </w:pPr>
          </w:p>
          <w:p w14:paraId="11C7250C">
            <w:pPr>
              <w:spacing w:before="68" w:line="275" w:lineRule="auto"/>
              <w:ind w:left="9" w:firstLine="2"/>
              <w:jc w:val="both"/>
              <w:rPr>
                <w:rFonts w:ascii="宋体" w:hAnsi="宋体" w:eastAsia="宋体" w:cs="宋体"/>
                <w:sz w:val="21"/>
                <w:szCs w:val="21"/>
              </w:rPr>
            </w:pPr>
            <w:r>
              <w:rPr>
                <w:rFonts w:ascii="宋体" w:hAnsi="宋体" w:eastAsia="宋体" w:cs="宋体"/>
                <w:spacing w:val="-2"/>
                <w:sz w:val="21"/>
                <w:szCs w:val="21"/>
              </w:rPr>
              <w:t>本项目采用“原环保部认可的清粪工</w:t>
            </w:r>
            <w:r>
              <w:rPr>
                <w:rFonts w:ascii="宋体" w:hAnsi="宋体" w:eastAsia="宋体" w:cs="宋体"/>
                <w:spacing w:val="-1"/>
                <w:sz w:val="21"/>
                <w:szCs w:val="21"/>
              </w:rPr>
              <w:t>艺”（同牧原清粪工艺，为原环保部认可具备干清粪工艺基本特征</w:t>
            </w:r>
            <w:r>
              <w:rPr>
                <w:rFonts w:ascii="宋体" w:hAnsi="宋体" w:eastAsia="宋体" w:cs="宋体"/>
                <w:spacing w:val="-6"/>
                <w:sz w:val="21"/>
                <w:szCs w:val="21"/>
              </w:rPr>
              <w:t>），</w:t>
            </w:r>
            <w:r>
              <w:rPr>
                <w:rFonts w:ascii="宋体" w:hAnsi="宋体" w:eastAsia="宋体" w:cs="宋体"/>
                <w:spacing w:val="-1"/>
                <w:sz w:val="21"/>
                <w:szCs w:val="21"/>
              </w:rPr>
              <w:t>粪</w:t>
            </w:r>
            <w:r>
              <w:rPr>
                <w:rFonts w:ascii="宋体" w:hAnsi="宋体" w:eastAsia="宋体" w:cs="宋体"/>
                <w:spacing w:val="13"/>
                <w:sz w:val="21"/>
                <w:szCs w:val="21"/>
              </w:rPr>
              <w:t>尿离开猪舍底部储存池进行固液分</w:t>
            </w:r>
            <w:r>
              <w:rPr>
                <w:rFonts w:ascii="宋体" w:hAnsi="宋体" w:eastAsia="宋体" w:cs="宋体"/>
                <w:spacing w:val="-1"/>
                <w:sz w:val="21"/>
                <w:szCs w:val="21"/>
              </w:rPr>
              <w:t>离，分离出的液体输送至污水处理站进行处理，固体粪渣及时运至堆粪棚</w:t>
            </w:r>
            <w:r>
              <w:rPr>
                <w:rFonts w:ascii="宋体" w:hAnsi="宋体" w:eastAsia="宋体" w:cs="宋体"/>
                <w:spacing w:val="-3"/>
                <w:sz w:val="21"/>
                <w:szCs w:val="21"/>
              </w:rPr>
              <w:t>暂存后，交有机肥厂生产有机肥。</w:t>
            </w:r>
          </w:p>
        </w:tc>
        <w:tc>
          <w:tcPr>
            <w:tcW w:w="772" w:type="dxa"/>
            <w:vAlign w:val="top"/>
          </w:tcPr>
          <w:p w14:paraId="3A4FBCF5">
            <w:pPr>
              <w:spacing w:line="241" w:lineRule="auto"/>
              <w:rPr>
                <w:rFonts w:ascii="Arial"/>
                <w:sz w:val="21"/>
              </w:rPr>
            </w:pPr>
          </w:p>
          <w:p w14:paraId="015E2E24">
            <w:pPr>
              <w:spacing w:line="241" w:lineRule="auto"/>
              <w:rPr>
                <w:rFonts w:ascii="Arial"/>
                <w:sz w:val="21"/>
              </w:rPr>
            </w:pPr>
          </w:p>
          <w:p w14:paraId="6C3B0A67">
            <w:pPr>
              <w:spacing w:line="241" w:lineRule="auto"/>
              <w:rPr>
                <w:rFonts w:ascii="Arial"/>
                <w:sz w:val="21"/>
              </w:rPr>
            </w:pPr>
          </w:p>
          <w:p w14:paraId="61DEF085">
            <w:pPr>
              <w:spacing w:line="241" w:lineRule="auto"/>
              <w:rPr>
                <w:rFonts w:ascii="Arial"/>
                <w:sz w:val="21"/>
              </w:rPr>
            </w:pPr>
          </w:p>
          <w:p w14:paraId="3CAE698C">
            <w:pPr>
              <w:spacing w:line="241" w:lineRule="auto"/>
              <w:rPr>
                <w:rFonts w:ascii="Arial"/>
                <w:sz w:val="21"/>
              </w:rPr>
            </w:pPr>
          </w:p>
          <w:p w14:paraId="3596D4E1">
            <w:pPr>
              <w:spacing w:line="241" w:lineRule="auto"/>
              <w:rPr>
                <w:rFonts w:ascii="Arial"/>
                <w:sz w:val="21"/>
              </w:rPr>
            </w:pPr>
          </w:p>
          <w:p w14:paraId="41294567">
            <w:pPr>
              <w:spacing w:line="242" w:lineRule="auto"/>
              <w:rPr>
                <w:rFonts w:ascii="Arial"/>
                <w:sz w:val="21"/>
              </w:rPr>
            </w:pPr>
          </w:p>
          <w:p w14:paraId="5578C69A">
            <w:pPr>
              <w:spacing w:before="69"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662F5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469" w:type="dxa"/>
            <w:vAlign w:val="top"/>
          </w:tcPr>
          <w:p w14:paraId="5C1B7BA0">
            <w:pPr>
              <w:spacing w:line="268" w:lineRule="auto"/>
              <w:rPr>
                <w:rFonts w:ascii="Arial"/>
                <w:sz w:val="21"/>
              </w:rPr>
            </w:pPr>
          </w:p>
          <w:p w14:paraId="0B3DDD8F">
            <w:pPr>
              <w:spacing w:line="268" w:lineRule="auto"/>
              <w:rPr>
                <w:rFonts w:ascii="Arial"/>
                <w:sz w:val="21"/>
              </w:rPr>
            </w:pPr>
          </w:p>
          <w:p w14:paraId="0A490060">
            <w:pPr>
              <w:spacing w:line="268" w:lineRule="auto"/>
              <w:rPr>
                <w:rFonts w:ascii="Arial"/>
                <w:sz w:val="21"/>
              </w:rPr>
            </w:pPr>
          </w:p>
          <w:p w14:paraId="5ECD6785">
            <w:pPr>
              <w:pStyle w:val="6"/>
              <w:spacing w:before="61" w:line="188" w:lineRule="auto"/>
              <w:ind w:left="181"/>
            </w:pPr>
            <w:r>
              <w:t>4</w:t>
            </w:r>
          </w:p>
        </w:tc>
        <w:tc>
          <w:tcPr>
            <w:tcW w:w="3718" w:type="dxa"/>
            <w:vAlign w:val="top"/>
          </w:tcPr>
          <w:p w14:paraId="5E8B0C21">
            <w:pPr>
              <w:spacing w:before="53" w:line="220" w:lineRule="auto"/>
              <w:ind w:left="8"/>
              <w:rPr>
                <w:rFonts w:ascii="宋体" w:hAnsi="宋体" w:eastAsia="宋体" w:cs="宋体"/>
                <w:sz w:val="21"/>
                <w:szCs w:val="21"/>
              </w:rPr>
            </w:pPr>
            <w:r>
              <w:rPr>
                <w:rFonts w:ascii="宋体" w:hAnsi="宋体" w:eastAsia="宋体" w:cs="宋体"/>
                <w:spacing w:val="-1"/>
                <w:sz w:val="21"/>
                <w:szCs w:val="21"/>
              </w:rPr>
              <w:t>三、强化保障和支撑</w:t>
            </w:r>
          </w:p>
          <w:p w14:paraId="2FFD4304">
            <w:pPr>
              <w:spacing w:before="60" w:line="265" w:lineRule="auto"/>
              <w:ind w:left="7" w:right="1" w:firstLine="204"/>
              <w:jc w:val="both"/>
              <w:rPr>
                <w:rFonts w:ascii="宋体" w:hAnsi="宋体" w:eastAsia="宋体" w:cs="宋体"/>
                <w:sz w:val="21"/>
                <w:szCs w:val="21"/>
              </w:rPr>
            </w:pPr>
            <w:r>
              <w:rPr>
                <w:rFonts w:ascii="宋体" w:hAnsi="宋体" w:eastAsia="宋体" w:cs="宋体"/>
                <w:spacing w:val="-5"/>
                <w:sz w:val="21"/>
                <w:szCs w:val="21"/>
              </w:rPr>
              <w:t>（一）完善粪肥还田管理制度。督促指</w:t>
            </w:r>
            <w:r>
              <w:rPr>
                <w:rFonts w:ascii="宋体" w:hAnsi="宋体" w:eastAsia="宋体" w:cs="宋体"/>
                <w:spacing w:val="7"/>
                <w:sz w:val="21"/>
                <w:szCs w:val="21"/>
              </w:rPr>
              <w:t>导规模养殖场制定畜禽粪肥还田利用计</w:t>
            </w:r>
            <w:r>
              <w:rPr>
                <w:rFonts w:ascii="宋体" w:hAnsi="宋体" w:eastAsia="宋体" w:cs="宋体"/>
                <w:spacing w:val="-5"/>
                <w:sz w:val="21"/>
                <w:szCs w:val="21"/>
              </w:rPr>
              <w:t>划，根据养殖规模明确配套农田面积、农田类型、种植制度、粪肥使用时间及使用</w:t>
            </w:r>
            <w:r>
              <w:rPr>
                <w:rFonts w:ascii="宋体" w:hAnsi="宋体" w:eastAsia="宋体" w:cs="宋体"/>
                <w:spacing w:val="-9"/>
                <w:sz w:val="21"/>
                <w:szCs w:val="21"/>
              </w:rPr>
              <w:t>量等。</w:t>
            </w:r>
          </w:p>
        </w:tc>
        <w:tc>
          <w:tcPr>
            <w:tcW w:w="3361" w:type="dxa"/>
            <w:vAlign w:val="top"/>
          </w:tcPr>
          <w:p w14:paraId="173628C4">
            <w:pPr>
              <w:spacing w:before="209" w:line="275" w:lineRule="auto"/>
              <w:ind w:left="12" w:firstLine="1"/>
              <w:rPr>
                <w:rFonts w:ascii="宋体" w:hAnsi="宋体" w:eastAsia="宋体" w:cs="宋体"/>
                <w:sz w:val="21"/>
                <w:szCs w:val="21"/>
              </w:rPr>
            </w:pPr>
            <w:r>
              <w:rPr>
                <w:rFonts w:ascii="宋体" w:hAnsi="宋体" w:eastAsia="宋体" w:cs="宋体"/>
                <w:spacing w:val="12"/>
                <w:sz w:val="21"/>
                <w:szCs w:val="21"/>
              </w:rPr>
              <w:t>建设单位所在集团成立专门种植部</w:t>
            </w:r>
            <w:r>
              <w:rPr>
                <w:rFonts w:ascii="宋体" w:hAnsi="宋体" w:eastAsia="宋体" w:cs="宋体"/>
                <w:spacing w:val="-2"/>
                <w:sz w:val="21"/>
                <w:szCs w:val="21"/>
              </w:rPr>
              <w:t>门（四川富器溢农业有限公司</w:t>
            </w:r>
            <w:r>
              <w:rPr>
                <w:rFonts w:ascii="宋体" w:hAnsi="宋体" w:eastAsia="宋体" w:cs="宋体"/>
                <w:spacing w:val="-5"/>
                <w:sz w:val="21"/>
                <w:szCs w:val="21"/>
              </w:rPr>
              <w:t>），</w:t>
            </w:r>
            <w:r>
              <w:rPr>
                <w:rFonts w:ascii="宋体" w:hAnsi="宋体" w:eastAsia="宋体" w:cs="宋体"/>
                <w:spacing w:val="-2"/>
                <w:sz w:val="21"/>
                <w:szCs w:val="21"/>
              </w:rPr>
              <w:t>制定养殖场粪肥还田利用计划，明确配套农田面积、农田类型、种植制度、</w:t>
            </w:r>
            <w:r>
              <w:rPr>
                <w:rFonts w:ascii="宋体" w:hAnsi="宋体" w:eastAsia="宋体" w:cs="宋体"/>
                <w:spacing w:val="-4"/>
                <w:sz w:val="21"/>
                <w:szCs w:val="21"/>
              </w:rPr>
              <w:t>粪肥使用时间及使用量等。</w:t>
            </w:r>
          </w:p>
        </w:tc>
        <w:tc>
          <w:tcPr>
            <w:tcW w:w="772" w:type="dxa"/>
            <w:vAlign w:val="top"/>
          </w:tcPr>
          <w:p w14:paraId="5B9EC05F">
            <w:pPr>
              <w:spacing w:line="253" w:lineRule="auto"/>
              <w:rPr>
                <w:rFonts w:ascii="Arial"/>
                <w:sz w:val="21"/>
              </w:rPr>
            </w:pPr>
          </w:p>
          <w:p w14:paraId="650A6AA8">
            <w:pPr>
              <w:spacing w:line="253" w:lineRule="auto"/>
              <w:rPr>
                <w:rFonts w:ascii="Arial"/>
                <w:sz w:val="21"/>
              </w:rPr>
            </w:pPr>
          </w:p>
          <w:p w14:paraId="3890B8E3">
            <w:pPr>
              <w:spacing w:line="254" w:lineRule="auto"/>
              <w:rPr>
                <w:rFonts w:ascii="Arial"/>
                <w:sz w:val="21"/>
              </w:rPr>
            </w:pPr>
          </w:p>
          <w:p w14:paraId="09D3EC4D">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bl>
    <w:p w14:paraId="73FAE3C7">
      <w:pPr>
        <w:spacing w:before="234" w:line="362" w:lineRule="auto"/>
        <w:ind w:left="43" w:firstLine="505"/>
        <w:rPr>
          <w:rFonts w:ascii="宋体" w:hAnsi="宋体" w:eastAsia="宋体" w:cs="宋体"/>
          <w:sz w:val="24"/>
          <w:szCs w:val="24"/>
        </w:rPr>
      </w:pPr>
      <w:r>
        <w:rPr>
          <w:rFonts w:ascii="宋体" w:hAnsi="宋体" w:eastAsia="宋体" w:cs="宋体"/>
          <w:sz w:val="24"/>
          <w:szCs w:val="24"/>
        </w:rPr>
        <w:t>由上表可知，本项目的建设符合《农业农村部办</w:t>
      </w:r>
      <w:r>
        <w:rPr>
          <w:rFonts w:ascii="宋体" w:hAnsi="宋体" w:eastAsia="宋体" w:cs="宋体"/>
          <w:spacing w:val="-1"/>
          <w:sz w:val="24"/>
          <w:szCs w:val="24"/>
        </w:rPr>
        <w:t>公厅 生态环境部办公厅关于进一步明确禽畜养殖粪污还田利用要求强化养殖污染监管的通知》有关要求。</w:t>
      </w:r>
    </w:p>
    <w:p w14:paraId="5F135984">
      <w:pPr>
        <w:spacing w:before="171"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1.6.3.8</w:t>
      </w:r>
      <w:r>
        <w:rPr>
          <w:rFonts w:ascii="Times New Roman" w:hAnsi="Times New Roman" w:eastAsia="Times New Roman" w:cs="Times New Roman"/>
          <w:b/>
          <w:bCs/>
          <w:spacing w:val="20"/>
          <w:sz w:val="27"/>
          <w:szCs w:val="27"/>
        </w:rPr>
        <w:t xml:space="preserve"> </w:t>
      </w:r>
      <w:r>
        <w:rPr>
          <w:rFonts w:ascii="宋体" w:hAnsi="宋体" w:eastAsia="宋体" w:cs="宋体"/>
          <w:b/>
          <w:bCs/>
          <w:spacing w:val="6"/>
          <w:sz w:val="27"/>
          <w:szCs w:val="27"/>
        </w:rPr>
        <w:t>与《四川省畜禽养殖污染防治技术指南》的符合性分析</w:t>
      </w:r>
    </w:p>
    <w:p w14:paraId="08E75083">
      <w:pPr>
        <w:spacing w:before="235" w:line="361" w:lineRule="auto"/>
        <w:ind w:left="45" w:right="94" w:firstLine="474"/>
        <w:rPr>
          <w:rFonts w:ascii="宋体" w:hAnsi="宋体" w:eastAsia="宋体" w:cs="宋体"/>
          <w:sz w:val="24"/>
          <w:szCs w:val="24"/>
        </w:rPr>
      </w:pPr>
      <w:r>
        <w:rPr>
          <w:rFonts w:ascii="宋体" w:hAnsi="宋体" w:eastAsia="宋体" w:cs="宋体"/>
          <w:spacing w:val="-5"/>
          <w:sz w:val="24"/>
          <w:szCs w:val="24"/>
        </w:rPr>
        <w:t>本项目与《关于印发</w:t>
      </w:r>
      <w:r>
        <w:rPr>
          <w:rFonts w:ascii="Times New Roman" w:hAnsi="Times New Roman" w:eastAsia="Times New Roman" w:cs="Times New Roman"/>
          <w:spacing w:val="-5"/>
          <w:sz w:val="24"/>
          <w:szCs w:val="24"/>
        </w:rPr>
        <w:t>&lt;</w:t>
      </w:r>
      <w:r>
        <w:rPr>
          <w:rFonts w:ascii="宋体" w:hAnsi="宋体" w:eastAsia="宋体" w:cs="宋体"/>
          <w:spacing w:val="-5"/>
          <w:sz w:val="24"/>
          <w:szCs w:val="24"/>
        </w:rPr>
        <w:t>四川省畜禽养殖污染防治技术指南（试行</w:t>
      </w:r>
      <w:r>
        <w:rPr>
          <w:rFonts w:ascii="宋体" w:hAnsi="宋体" w:eastAsia="宋体" w:cs="宋体"/>
          <w:spacing w:val="-6"/>
          <w:sz w:val="24"/>
          <w:szCs w:val="24"/>
        </w:rPr>
        <w:t>）</w:t>
      </w:r>
      <w:r>
        <w:rPr>
          <w:rFonts w:ascii="Times New Roman" w:hAnsi="Times New Roman" w:eastAsia="Times New Roman" w:cs="Times New Roman"/>
          <w:spacing w:val="-6"/>
          <w:sz w:val="24"/>
          <w:szCs w:val="24"/>
        </w:rPr>
        <w:t>&gt;</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的通知》</w:t>
      </w:r>
      <w:r>
        <w:rPr>
          <w:rFonts w:ascii="宋体" w:hAnsi="宋体" w:eastAsia="宋体" w:cs="宋体"/>
          <w:sz w:val="24"/>
          <w:szCs w:val="24"/>
        </w:rPr>
        <w:t xml:space="preserve"> </w:t>
      </w:r>
      <w:r>
        <w:rPr>
          <w:rFonts w:ascii="宋体" w:hAnsi="宋体" w:eastAsia="宋体" w:cs="宋体"/>
          <w:spacing w:val="-2"/>
          <w:sz w:val="24"/>
          <w:szCs w:val="24"/>
        </w:rPr>
        <w:t>（川农业函</w:t>
      </w:r>
      <w:r>
        <w:rPr>
          <w:rFonts w:ascii="Times New Roman" w:hAnsi="Times New Roman" w:eastAsia="Times New Roman" w:cs="Times New Roman"/>
          <w:spacing w:val="-2"/>
          <w:sz w:val="24"/>
          <w:szCs w:val="24"/>
        </w:rPr>
        <w:t>[</w:t>
      </w:r>
      <w:r>
        <w:fldChar w:fldCharType="begin"/>
      </w:r>
      <w:r>
        <w:instrText xml:space="preserve"> HYPERLINK \l "bookmark133" </w:instrText>
      </w:r>
      <w:r>
        <w:fldChar w:fldCharType="separate"/>
      </w:r>
      <w:r>
        <w:rPr>
          <w:rFonts w:ascii="Times New Roman" w:hAnsi="Times New Roman" w:eastAsia="Times New Roman" w:cs="Times New Roman"/>
          <w:spacing w:val="-2"/>
          <w:sz w:val="24"/>
          <w:szCs w:val="24"/>
        </w:rPr>
        <w:t>2017</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]647</w:t>
      </w:r>
      <w:r>
        <w:rPr>
          <w:rFonts w:ascii="宋体" w:hAnsi="宋体" w:eastAsia="宋体" w:cs="宋体"/>
          <w:spacing w:val="-2"/>
          <w:sz w:val="24"/>
          <w:szCs w:val="24"/>
        </w:rPr>
        <w:t>号）符合性分析见下表。</w:t>
      </w:r>
    </w:p>
    <w:p w14:paraId="78E89C33">
      <w:pPr>
        <w:spacing w:line="361" w:lineRule="auto"/>
        <w:rPr>
          <w:rFonts w:ascii="宋体" w:hAnsi="宋体" w:eastAsia="宋体" w:cs="宋体"/>
          <w:sz w:val="24"/>
          <w:szCs w:val="24"/>
        </w:rPr>
        <w:sectPr>
          <w:headerReference r:id="rId103" w:type="default"/>
          <w:footerReference r:id="rId104" w:type="default"/>
          <w:pgSz w:w="11905" w:h="16840"/>
          <w:pgMar w:top="1168" w:right="1714" w:bottom="1408" w:left="1770" w:header="828" w:footer="1244" w:gutter="0"/>
          <w:cols w:space="720" w:num="1"/>
        </w:sectPr>
      </w:pPr>
    </w:p>
    <w:p w14:paraId="32389104">
      <w:pPr>
        <w:pStyle w:val="2"/>
        <w:spacing w:line="329" w:lineRule="auto"/>
      </w:pPr>
    </w:p>
    <w:p w14:paraId="68C79C6C">
      <w:pPr>
        <w:spacing w:before="68" w:line="221" w:lineRule="auto"/>
        <w:ind w:left="1140"/>
        <w:rPr>
          <w:rFonts w:ascii="黑体" w:hAnsi="黑体" w:eastAsia="黑体" w:cs="黑体"/>
          <w:sz w:val="21"/>
          <w:szCs w:val="21"/>
        </w:rPr>
      </w:pPr>
      <w:r>
        <w:rPr>
          <w:rFonts w:ascii="黑体" w:hAnsi="黑体" w:eastAsia="黑体" w:cs="黑体"/>
          <w:sz w:val="21"/>
          <w:szCs w:val="21"/>
        </w:rPr>
        <w:t>表</w:t>
      </w:r>
      <w:r>
        <w:rPr>
          <w:rFonts w:ascii="Times New Roman" w:hAnsi="Times New Roman" w:eastAsia="Times New Roman" w:cs="Times New Roman"/>
          <w:sz w:val="21"/>
          <w:szCs w:val="21"/>
        </w:rPr>
        <w:t xml:space="preserve">1.6-12  </w:t>
      </w:r>
      <w:r>
        <w:rPr>
          <w:rFonts w:ascii="黑体" w:hAnsi="黑体" w:eastAsia="黑体" w:cs="黑体"/>
          <w:sz w:val="21"/>
          <w:szCs w:val="21"/>
        </w:rPr>
        <w:t>项目与《四川省畜禽养殖污</w:t>
      </w:r>
      <w:r>
        <w:rPr>
          <w:rFonts w:ascii="黑体" w:hAnsi="黑体" w:eastAsia="黑体" w:cs="黑体"/>
          <w:spacing w:val="-1"/>
          <w:sz w:val="21"/>
          <w:szCs w:val="21"/>
        </w:rPr>
        <w:t>染防治技术指南》符合性分析</w:t>
      </w:r>
    </w:p>
    <w:p w14:paraId="689C618F">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4779"/>
        <w:gridCol w:w="2300"/>
        <w:gridCol w:w="772"/>
      </w:tblGrid>
      <w:tr w14:paraId="7C078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0F9CD384">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4779" w:type="dxa"/>
            <w:vAlign w:val="top"/>
          </w:tcPr>
          <w:p w14:paraId="7D294724">
            <w:pPr>
              <w:spacing w:before="68" w:line="220" w:lineRule="auto"/>
              <w:ind w:left="1973"/>
              <w:rPr>
                <w:rFonts w:ascii="宋体" w:hAnsi="宋体" w:eastAsia="宋体" w:cs="宋体"/>
                <w:sz w:val="21"/>
                <w:szCs w:val="21"/>
              </w:rPr>
            </w:pPr>
            <w:r>
              <w:rPr>
                <w:rFonts w:ascii="宋体" w:hAnsi="宋体" w:eastAsia="宋体" w:cs="宋体"/>
                <w:spacing w:val="-2"/>
                <w:sz w:val="21"/>
                <w:szCs w:val="21"/>
              </w:rPr>
              <w:t>通知内容</w:t>
            </w:r>
          </w:p>
        </w:tc>
        <w:tc>
          <w:tcPr>
            <w:tcW w:w="2300" w:type="dxa"/>
            <w:vAlign w:val="top"/>
          </w:tcPr>
          <w:p w14:paraId="21DCE471">
            <w:pPr>
              <w:spacing w:before="68" w:line="219" w:lineRule="auto"/>
              <w:ind w:left="632"/>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632FD2E7">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6556F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8" w:hRule="atLeast"/>
        </w:trPr>
        <w:tc>
          <w:tcPr>
            <w:tcW w:w="469" w:type="dxa"/>
            <w:vAlign w:val="top"/>
          </w:tcPr>
          <w:p w14:paraId="4BB5F3F7">
            <w:pPr>
              <w:spacing w:line="244" w:lineRule="auto"/>
              <w:rPr>
                <w:rFonts w:ascii="Arial"/>
                <w:sz w:val="21"/>
              </w:rPr>
            </w:pPr>
          </w:p>
          <w:p w14:paraId="023F7EFA">
            <w:pPr>
              <w:spacing w:line="244" w:lineRule="auto"/>
              <w:rPr>
                <w:rFonts w:ascii="Arial"/>
                <w:sz w:val="21"/>
              </w:rPr>
            </w:pPr>
          </w:p>
          <w:p w14:paraId="307CACD6">
            <w:pPr>
              <w:spacing w:line="244" w:lineRule="auto"/>
              <w:rPr>
                <w:rFonts w:ascii="Arial"/>
                <w:sz w:val="21"/>
              </w:rPr>
            </w:pPr>
          </w:p>
          <w:p w14:paraId="718B6277">
            <w:pPr>
              <w:spacing w:line="245" w:lineRule="auto"/>
              <w:rPr>
                <w:rFonts w:ascii="Arial"/>
                <w:sz w:val="21"/>
              </w:rPr>
            </w:pPr>
          </w:p>
          <w:p w14:paraId="02038644">
            <w:pPr>
              <w:spacing w:line="245" w:lineRule="auto"/>
              <w:rPr>
                <w:rFonts w:ascii="Arial"/>
                <w:sz w:val="21"/>
              </w:rPr>
            </w:pPr>
          </w:p>
          <w:p w14:paraId="582A4742">
            <w:pPr>
              <w:spacing w:line="245" w:lineRule="auto"/>
              <w:rPr>
                <w:rFonts w:ascii="Arial"/>
                <w:sz w:val="21"/>
              </w:rPr>
            </w:pPr>
          </w:p>
          <w:p w14:paraId="0EFC6EA5">
            <w:pPr>
              <w:spacing w:line="245" w:lineRule="auto"/>
              <w:rPr>
                <w:rFonts w:ascii="Arial"/>
                <w:sz w:val="21"/>
              </w:rPr>
            </w:pPr>
          </w:p>
          <w:p w14:paraId="75CC8FB0">
            <w:pPr>
              <w:spacing w:line="245" w:lineRule="auto"/>
              <w:rPr>
                <w:rFonts w:ascii="Arial"/>
                <w:sz w:val="21"/>
              </w:rPr>
            </w:pPr>
          </w:p>
          <w:p w14:paraId="46C9259D">
            <w:pPr>
              <w:spacing w:line="245" w:lineRule="auto"/>
              <w:rPr>
                <w:rFonts w:ascii="Arial"/>
                <w:sz w:val="21"/>
              </w:rPr>
            </w:pPr>
          </w:p>
          <w:p w14:paraId="66AA9547">
            <w:pPr>
              <w:spacing w:line="245" w:lineRule="auto"/>
              <w:rPr>
                <w:rFonts w:ascii="Arial"/>
                <w:sz w:val="21"/>
              </w:rPr>
            </w:pPr>
          </w:p>
          <w:p w14:paraId="13BBF581">
            <w:pPr>
              <w:spacing w:line="245" w:lineRule="auto"/>
              <w:rPr>
                <w:rFonts w:ascii="Arial"/>
                <w:sz w:val="21"/>
              </w:rPr>
            </w:pPr>
          </w:p>
          <w:p w14:paraId="41EC0AD4">
            <w:pPr>
              <w:spacing w:line="245" w:lineRule="auto"/>
              <w:rPr>
                <w:rFonts w:ascii="Arial"/>
                <w:sz w:val="21"/>
              </w:rPr>
            </w:pPr>
          </w:p>
          <w:p w14:paraId="14681E92">
            <w:pPr>
              <w:spacing w:line="245" w:lineRule="auto"/>
              <w:rPr>
                <w:rFonts w:ascii="Arial"/>
                <w:sz w:val="21"/>
              </w:rPr>
            </w:pPr>
          </w:p>
          <w:p w14:paraId="486CBF0F">
            <w:pPr>
              <w:spacing w:line="245" w:lineRule="auto"/>
              <w:rPr>
                <w:rFonts w:ascii="Arial"/>
                <w:sz w:val="21"/>
              </w:rPr>
            </w:pPr>
          </w:p>
          <w:p w14:paraId="2B453D46">
            <w:pPr>
              <w:spacing w:line="245" w:lineRule="auto"/>
              <w:rPr>
                <w:rFonts w:ascii="Arial"/>
                <w:sz w:val="21"/>
              </w:rPr>
            </w:pPr>
          </w:p>
          <w:p w14:paraId="5C00A29E">
            <w:pPr>
              <w:spacing w:line="245" w:lineRule="auto"/>
              <w:rPr>
                <w:rFonts w:ascii="Arial"/>
                <w:sz w:val="21"/>
              </w:rPr>
            </w:pPr>
          </w:p>
          <w:p w14:paraId="3DD12AB3">
            <w:pPr>
              <w:spacing w:line="245" w:lineRule="auto"/>
              <w:rPr>
                <w:rFonts w:ascii="Arial"/>
                <w:sz w:val="21"/>
              </w:rPr>
            </w:pPr>
          </w:p>
          <w:p w14:paraId="77E0E7A3">
            <w:pPr>
              <w:spacing w:line="245" w:lineRule="auto"/>
              <w:rPr>
                <w:rFonts w:ascii="Arial"/>
                <w:sz w:val="21"/>
              </w:rPr>
            </w:pPr>
          </w:p>
          <w:p w14:paraId="279F022A">
            <w:pPr>
              <w:spacing w:line="245" w:lineRule="auto"/>
              <w:rPr>
                <w:rFonts w:ascii="Arial"/>
                <w:sz w:val="21"/>
              </w:rPr>
            </w:pPr>
          </w:p>
          <w:p w14:paraId="63BB5ED0">
            <w:pPr>
              <w:spacing w:line="245" w:lineRule="auto"/>
              <w:rPr>
                <w:rFonts w:ascii="Arial"/>
                <w:sz w:val="21"/>
              </w:rPr>
            </w:pPr>
          </w:p>
          <w:p w14:paraId="09E401A2">
            <w:pPr>
              <w:spacing w:line="245" w:lineRule="auto"/>
              <w:rPr>
                <w:rFonts w:ascii="Arial"/>
                <w:sz w:val="21"/>
              </w:rPr>
            </w:pPr>
          </w:p>
          <w:p w14:paraId="7C5A7768">
            <w:pPr>
              <w:pStyle w:val="6"/>
              <w:spacing w:before="60" w:line="188" w:lineRule="auto"/>
              <w:ind w:left="203"/>
            </w:pPr>
            <w:r>
              <w:t>1</w:t>
            </w:r>
          </w:p>
        </w:tc>
        <w:tc>
          <w:tcPr>
            <w:tcW w:w="4779" w:type="dxa"/>
            <w:vAlign w:val="top"/>
          </w:tcPr>
          <w:p w14:paraId="38C65150">
            <w:pPr>
              <w:pStyle w:val="6"/>
              <w:spacing w:before="49" w:line="220" w:lineRule="auto"/>
              <w:ind w:left="206"/>
              <w:rPr>
                <w:rFonts w:ascii="宋体" w:hAnsi="宋体" w:eastAsia="宋体" w:cs="宋体"/>
              </w:rPr>
            </w:pPr>
            <w:r>
              <w:rPr>
                <w:spacing w:val="-2"/>
              </w:rPr>
              <w:t>9</w:t>
            </w:r>
            <w:r>
              <w:rPr>
                <w:rFonts w:ascii="宋体" w:hAnsi="宋体" w:eastAsia="宋体" w:cs="宋体"/>
                <w:spacing w:val="-2"/>
              </w:rPr>
              <w:t>、粪污处理工艺及应用模式</w:t>
            </w:r>
          </w:p>
          <w:p w14:paraId="3FC444C6">
            <w:pPr>
              <w:pStyle w:val="6"/>
              <w:spacing w:before="61" w:line="220" w:lineRule="auto"/>
              <w:ind w:left="206"/>
              <w:rPr>
                <w:rFonts w:ascii="宋体" w:hAnsi="宋体" w:eastAsia="宋体" w:cs="宋体"/>
              </w:rPr>
            </w:pPr>
            <w:r>
              <w:rPr>
                <w:spacing w:val="-1"/>
              </w:rPr>
              <w:t xml:space="preserve">9.1 </w:t>
            </w:r>
            <w:r>
              <w:rPr>
                <w:rFonts w:ascii="宋体" w:hAnsi="宋体" w:eastAsia="宋体" w:cs="宋体"/>
                <w:spacing w:val="-1"/>
              </w:rPr>
              <w:t>粪污处理工艺</w:t>
            </w:r>
          </w:p>
          <w:p w14:paraId="4AE43933">
            <w:pPr>
              <w:pStyle w:val="6"/>
              <w:spacing w:before="62" w:line="219" w:lineRule="auto"/>
              <w:ind w:left="206"/>
              <w:rPr>
                <w:rFonts w:ascii="宋体" w:hAnsi="宋体" w:eastAsia="宋体" w:cs="宋体"/>
              </w:rPr>
            </w:pPr>
            <w:r>
              <w:rPr>
                <w:spacing w:val="-1"/>
              </w:rPr>
              <w:t xml:space="preserve">9.1.1 </w:t>
            </w:r>
            <w:r>
              <w:rPr>
                <w:rFonts w:ascii="宋体" w:hAnsi="宋体" w:eastAsia="宋体" w:cs="宋体"/>
                <w:spacing w:val="-1"/>
              </w:rPr>
              <w:t>干法清粪</w:t>
            </w:r>
          </w:p>
          <w:p w14:paraId="52872885">
            <w:pPr>
              <w:spacing w:before="64" w:line="274" w:lineRule="auto"/>
              <w:ind w:left="9" w:right="1" w:firstLine="195"/>
              <w:rPr>
                <w:rFonts w:ascii="宋体" w:hAnsi="宋体" w:eastAsia="宋体" w:cs="宋体"/>
                <w:sz w:val="21"/>
                <w:szCs w:val="21"/>
              </w:rPr>
            </w:pPr>
            <w:r>
              <w:rPr>
                <w:rFonts w:ascii="宋体" w:hAnsi="宋体" w:eastAsia="宋体" w:cs="宋体"/>
                <w:spacing w:val="-3"/>
                <w:sz w:val="21"/>
                <w:szCs w:val="21"/>
              </w:rPr>
              <w:t>干清粪技术是将畜禽粪尿固液分离，单独清除粪便的养殖场清理工艺。根据养殖场规模情况可选择人工或机械清粪工艺。人工清粪指利用清扫工具人工将畜禽舍内的粪便清扫收集。机械清粪指采用专用的机械</w:t>
            </w:r>
            <w:r>
              <w:rPr>
                <w:rFonts w:ascii="宋体" w:hAnsi="宋体" w:eastAsia="宋体" w:cs="宋体"/>
                <w:spacing w:val="-2"/>
                <w:sz w:val="21"/>
                <w:szCs w:val="21"/>
              </w:rPr>
              <w:t>设备进行清粪，适用于中型及以上规模养殖场。</w:t>
            </w:r>
          </w:p>
          <w:p w14:paraId="666D89B6">
            <w:pPr>
              <w:pStyle w:val="6"/>
              <w:spacing w:line="219" w:lineRule="auto"/>
              <w:ind w:left="206"/>
              <w:rPr>
                <w:rFonts w:ascii="宋体" w:hAnsi="宋体" w:eastAsia="宋体" w:cs="宋体"/>
              </w:rPr>
            </w:pPr>
            <w:r>
              <w:rPr>
                <w:spacing w:val="-4"/>
              </w:rPr>
              <w:t>9.1.2</w:t>
            </w:r>
            <w:r>
              <w:rPr>
                <w:spacing w:val="35"/>
              </w:rPr>
              <w:t xml:space="preserve"> </w:t>
            </w:r>
            <w:r>
              <w:rPr>
                <w:rFonts w:ascii="宋体" w:hAnsi="宋体" w:eastAsia="宋体" w:cs="宋体"/>
                <w:spacing w:val="-4"/>
              </w:rPr>
              <w:t>固体粪便处理</w:t>
            </w:r>
          </w:p>
          <w:p w14:paraId="26F22C63">
            <w:pPr>
              <w:pStyle w:val="6"/>
              <w:spacing w:before="64" w:line="274" w:lineRule="auto"/>
              <w:ind w:left="7" w:firstLine="214"/>
              <w:rPr>
                <w:rFonts w:ascii="宋体" w:hAnsi="宋体" w:eastAsia="宋体" w:cs="宋体"/>
              </w:rPr>
            </w:pPr>
            <w:r>
              <w:rPr>
                <w:rFonts w:ascii="宋体" w:hAnsi="宋体" w:eastAsia="宋体" w:cs="宋体"/>
                <w:spacing w:val="-6"/>
              </w:rPr>
              <w:t>固体粪便堆积发酵和生产有机肥。应用条垛式、机</w:t>
            </w:r>
            <w:r>
              <w:rPr>
                <w:rFonts w:ascii="宋体" w:hAnsi="宋体" w:eastAsia="宋体" w:cs="宋体"/>
                <w:spacing w:val="-3"/>
              </w:rPr>
              <w:t>械强化槽式和密闭仓式堆肥等技术进行无害化处理。</w:t>
            </w:r>
            <w:r>
              <w:rPr>
                <w:rFonts w:ascii="宋体" w:hAnsi="宋体" w:eastAsia="宋体" w:cs="宋体"/>
                <w:spacing w:val="-11"/>
              </w:rPr>
              <w:t>其中，条垛式堆肥发酵温度</w:t>
            </w:r>
            <w:r>
              <w:rPr>
                <w:rFonts w:ascii="宋体" w:hAnsi="宋体" w:eastAsia="宋体" w:cs="宋体"/>
                <w:spacing w:val="-35"/>
              </w:rPr>
              <w:t xml:space="preserve"> </w:t>
            </w:r>
            <w:r>
              <w:rPr>
                <w:spacing w:val="-11"/>
              </w:rPr>
              <w:t>45</w:t>
            </w:r>
            <w:r>
              <w:rPr>
                <w:rFonts w:ascii="宋体" w:hAnsi="宋体" w:eastAsia="宋体" w:cs="宋体"/>
                <w:spacing w:val="-11"/>
              </w:rPr>
              <w:t>℃以上，不少于</w:t>
            </w:r>
            <w:r>
              <w:rPr>
                <w:rFonts w:ascii="宋体" w:hAnsi="宋体" w:eastAsia="宋体" w:cs="宋体"/>
                <w:spacing w:val="-29"/>
              </w:rPr>
              <w:t xml:space="preserve"> </w:t>
            </w:r>
            <w:r>
              <w:rPr>
                <w:spacing w:val="-11"/>
              </w:rPr>
              <w:t>14</w:t>
            </w:r>
            <w:r>
              <w:rPr>
                <w:spacing w:val="12"/>
              </w:rPr>
              <w:t xml:space="preserve"> </w:t>
            </w:r>
            <w:r>
              <w:rPr>
                <w:rFonts w:ascii="宋体" w:hAnsi="宋体" w:eastAsia="宋体" w:cs="宋体"/>
                <w:spacing w:val="-11"/>
              </w:rPr>
              <w:t>天；</w:t>
            </w:r>
            <w:r>
              <w:rPr>
                <w:rFonts w:ascii="宋体" w:hAnsi="宋体" w:eastAsia="宋体" w:cs="宋体"/>
                <w:spacing w:val="-5"/>
              </w:rPr>
              <w:t>机械强化槽式和密闭仓式堆肥时，保持发酵温度</w:t>
            </w:r>
            <w:r>
              <w:rPr>
                <w:spacing w:val="-5"/>
              </w:rPr>
              <w:t>50</w:t>
            </w:r>
            <w:r>
              <w:rPr>
                <w:rFonts w:ascii="宋体" w:hAnsi="宋体" w:eastAsia="宋体" w:cs="宋体"/>
                <w:spacing w:val="-5"/>
              </w:rPr>
              <w:t>℃</w:t>
            </w:r>
            <w:r>
              <w:rPr>
                <w:rFonts w:ascii="宋体" w:hAnsi="宋体" w:eastAsia="宋体" w:cs="宋体"/>
                <w:spacing w:val="-6"/>
              </w:rPr>
              <w:t>以上，时间不少于</w:t>
            </w:r>
            <w:r>
              <w:rPr>
                <w:rFonts w:ascii="宋体" w:hAnsi="宋体" w:eastAsia="宋体" w:cs="宋体"/>
                <w:spacing w:val="-46"/>
              </w:rPr>
              <w:t xml:space="preserve"> </w:t>
            </w:r>
            <w:r>
              <w:rPr>
                <w:spacing w:val="-6"/>
              </w:rPr>
              <w:t>7</w:t>
            </w:r>
            <w:r>
              <w:rPr>
                <w:spacing w:val="12"/>
              </w:rPr>
              <w:t xml:space="preserve"> </w:t>
            </w:r>
            <w:r>
              <w:rPr>
                <w:rFonts w:ascii="宋体" w:hAnsi="宋体" w:eastAsia="宋体" w:cs="宋体"/>
                <w:spacing w:val="-6"/>
              </w:rPr>
              <w:t>天。畜禽粪便加一定的辅料，通</w:t>
            </w:r>
            <w:r>
              <w:rPr>
                <w:rFonts w:ascii="宋体" w:hAnsi="宋体" w:eastAsia="宋体" w:cs="宋体"/>
                <w:spacing w:val="-5"/>
              </w:rPr>
              <w:t>过预处理和发酵生产有机肥。</w:t>
            </w:r>
          </w:p>
          <w:p w14:paraId="4F8F8481">
            <w:pPr>
              <w:pStyle w:val="6"/>
              <w:spacing w:before="1" w:line="220" w:lineRule="auto"/>
              <w:ind w:left="206"/>
              <w:rPr>
                <w:rFonts w:ascii="宋体" w:hAnsi="宋体" w:eastAsia="宋体" w:cs="宋体"/>
              </w:rPr>
            </w:pPr>
            <w:r>
              <w:rPr>
                <w:spacing w:val="-1"/>
              </w:rPr>
              <w:t xml:space="preserve">9.1.3 </w:t>
            </w:r>
            <w:r>
              <w:rPr>
                <w:rFonts w:ascii="宋体" w:hAnsi="宋体" w:eastAsia="宋体" w:cs="宋体"/>
                <w:spacing w:val="-1"/>
              </w:rPr>
              <w:t>尿液处理</w:t>
            </w:r>
          </w:p>
          <w:p w14:paraId="3FED93CB">
            <w:pPr>
              <w:spacing w:before="62" w:line="274" w:lineRule="auto"/>
              <w:ind w:left="9" w:right="1" w:firstLine="200"/>
              <w:rPr>
                <w:rFonts w:ascii="宋体" w:hAnsi="宋体" w:eastAsia="宋体" w:cs="宋体"/>
                <w:sz w:val="21"/>
                <w:szCs w:val="21"/>
              </w:rPr>
            </w:pPr>
            <w:r>
              <w:rPr>
                <w:rFonts w:ascii="宋体" w:hAnsi="宋体" w:eastAsia="宋体" w:cs="宋体"/>
                <w:spacing w:val="-3"/>
                <w:sz w:val="21"/>
                <w:szCs w:val="21"/>
              </w:rPr>
              <w:t>一是厌氧发酵处理生产沼气，用于供气和发电。厌氧发酵产生沼液输送到氧化塘储存，施肥农作物；固</w:t>
            </w:r>
            <w:r>
              <w:rPr>
                <w:rFonts w:ascii="宋体" w:hAnsi="宋体" w:eastAsia="宋体" w:cs="宋体"/>
                <w:spacing w:val="-7"/>
                <w:sz w:val="21"/>
                <w:szCs w:val="21"/>
              </w:rPr>
              <w:t>液分离猪粪用于制作有机肥。二是多级沉淀</w:t>
            </w:r>
            <w:r>
              <w:rPr>
                <w:rFonts w:ascii="宋体" w:hAnsi="宋体" w:eastAsia="宋体" w:cs="宋体"/>
                <w:spacing w:val="-8"/>
                <w:sz w:val="21"/>
                <w:szCs w:val="21"/>
              </w:rPr>
              <w:t>后， 输送</w:t>
            </w:r>
            <w:r>
              <w:rPr>
                <w:rFonts w:ascii="宋体" w:hAnsi="宋体" w:eastAsia="宋体" w:cs="宋体"/>
                <w:spacing w:val="-3"/>
                <w:sz w:val="21"/>
                <w:szCs w:val="21"/>
              </w:rPr>
              <w:t>到氧化塘储存，施肥农作物。</w:t>
            </w:r>
          </w:p>
          <w:p w14:paraId="51582818">
            <w:pPr>
              <w:pStyle w:val="6"/>
              <w:spacing w:before="1" w:line="219" w:lineRule="auto"/>
              <w:ind w:left="206"/>
              <w:rPr>
                <w:rFonts w:ascii="宋体" w:hAnsi="宋体" w:eastAsia="宋体" w:cs="宋体"/>
              </w:rPr>
            </w:pPr>
            <w:r>
              <w:rPr>
                <w:spacing w:val="-1"/>
              </w:rPr>
              <w:t xml:space="preserve">9.1.4  </w:t>
            </w:r>
            <w:r>
              <w:rPr>
                <w:rFonts w:ascii="宋体" w:hAnsi="宋体" w:eastAsia="宋体" w:cs="宋体"/>
                <w:spacing w:val="-1"/>
              </w:rPr>
              <w:t>臭气处理</w:t>
            </w:r>
          </w:p>
          <w:p w14:paraId="5EF212BC">
            <w:pPr>
              <w:spacing w:before="63" w:line="274" w:lineRule="auto"/>
              <w:ind w:left="18" w:right="1" w:firstLine="188"/>
              <w:rPr>
                <w:rFonts w:ascii="宋体" w:hAnsi="宋体" w:eastAsia="宋体" w:cs="宋体"/>
                <w:sz w:val="21"/>
                <w:szCs w:val="21"/>
              </w:rPr>
            </w:pPr>
            <w:r>
              <w:rPr>
                <w:rFonts w:ascii="宋体" w:hAnsi="宋体" w:eastAsia="宋体" w:cs="宋体"/>
                <w:spacing w:val="-3"/>
                <w:sz w:val="21"/>
                <w:szCs w:val="21"/>
              </w:rPr>
              <w:t>养殖场臭气的处理可采用物理、化学、生物除臭等</w:t>
            </w:r>
            <w:r>
              <w:rPr>
                <w:rFonts w:ascii="宋体" w:hAnsi="宋体" w:eastAsia="宋体" w:cs="宋体"/>
                <w:spacing w:val="-5"/>
                <w:sz w:val="21"/>
                <w:szCs w:val="21"/>
              </w:rPr>
              <w:t>多种方式进行处理。</w:t>
            </w:r>
          </w:p>
          <w:p w14:paraId="3743E1BE">
            <w:pPr>
              <w:pStyle w:val="6"/>
              <w:spacing w:line="219" w:lineRule="auto"/>
              <w:ind w:left="206"/>
              <w:rPr>
                <w:rFonts w:ascii="宋体" w:hAnsi="宋体" w:eastAsia="宋体" w:cs="宋体"/>
              </w:rPr>
            </w:pPr>
            <w:r>
              <w:rPr>
                <w:spacing w:val="-1"/>
              </w:rPr>
              <w:t xml:space="preserve">9.1.5  </w:t>
            </w:r>
            <w:r>
              <w:rPr>
                <w:rFonts w:ascii="宋体" w:hAnsi="宋体" w:eastAsia="宋体" w:cs="宋体"/>
                <w:spacing w:val="-1"/>
              </w:rPr>
              <w:t>污水处理</w:t>
            </w:r>
          </w:p>
          <w:p w14:paraId="49786F7E">
            <w:pPr>
              <w:spacing w:before="63" w:line="269" w:lineRule="auto"/>
              <w:ind w:left="7" w:firstLine="210"/>
              <w:rPr>
                <w:rFonts w:ascii="宋体" w:hAnsi="宋体" w:eastAsia="宋体" w:cs="宋体"/>
                <w:sz w:val="21"/>
                <w:szCs w:val="21"/>
              </w:rPr>
            </w:pPr>
            <w:r>
              <w:rPr>
                <w:rFonts w:ascii="宋体" w:hAnsi="宋体" w:eastAsia="宋体" w:cs="宋体"/>
                <w:spacing w:val="5"/>
                <w:sz w:val="21"/>
                <w:szCs w:val="21"/>
              </w:rPr>
              <w:t>畜禽养殖过程中产生的污水应坚持种养结合的原</w:t>
            </w:r>
            <w:r>
              <w:rPr>
                <w:rFonts w:ascii="宋体" w:hAnsi="宋体" w:eastAsia="宋体" w:cs="宋体"/>
                <w:spacing w:val="-4"/>
                <w:sz w:val="21"/>
                <w:szCs w:val="21"/>
              </w:rPr>
              <w:t>则，经无害化处理后尽量充分还田，实现污水资源化</w:t>
            </w:r>
            <w:r>
              <w:rPr>
                <w:rFonts w:ascii="宋体" w:hAnsi="宋体" w:eastAsia="宋体" w:cs="宋体"/>
                <w:spacing w:val="5"/>
                <w:sz w:val="21"/>
                <w:szCs w:val="21"/>
              </w:rPr>
              <w:t>利用。畜禽养殖场污水引入农田前必须进行预处理</w:t>
            </w:r>
            <w:r>
              <w:rPr>
                <w:rFonts w:ascii="宋体" w:hAnsi="宋体" w:eastAsia="宋体" w:cs="宋体"/>
                <w:spacing w:val="-9"/>
                <w:sz w:val="21"/>
                <w:szCs w:val="21"/>
              </w:rPr>
              <w:t>（采用格栅、厌氧、沉淀等工艺流程</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4"/>
                <w:sz w:val="21"/>
                <w:szCs w:val="21"/>
              </w:rPr>
              <w:t>，</w:t>
            </w:r>
            <w:r>
              <w:rPr>
                <w:rFonts w:ascii="宋体" w:hAnsi="宋体" w:eastAsia="宋体" w:cs="宋体"/>
                <w:spacing w:val="-9"/>
                <w:sz w:val="21"/>
                <w:szCs w:val="21"/>
              </w:rPr>
              <w:t>应配套设置</w:t>
            </w:r>
            <w:r>
              <w:rPr>
                <w:rFonts w:ascii="宋体" w:hAnsi="宋体" w:eastAsia="宋体" w:cs="宋体"/>
                <w:spacing w:val="5"/>
                <w:sz w:val="21"/>
                <w:szCs w:val="21"/>
              </w:rPr>
              <w:t>田间暂存池，解决农田在非施肥期间的污水出路问</w:t>
            </w:r>
            <w:r>
              <w:rPr>
                <w:rFonts w:ascii="宋体" w:hAnsi="宋体" w:eastAsia="宋体" w:cs="宋体"/>
                <w:spacing w:val="-4"/>
                <w:sz w:val="21"/>
                <w:szCs w:val="21"/>
              </w:rPr>
              <w:t>题。田间暂存池的总容积不得低于当地农林作物生产</w:t>
            </w:r>
            <w:r>
              <w:rPr>
                <w:rFonts w:ascii="宋体" w:hAnsi="宋体" w:eastAsia="宋体" w:cs="宋体"/>
                <w:spacing w:val="-3"/>
                <w:sz w:val="21"/>
                <w:szCs w:val="21"/>
              </w:rPr>
              <w:t>用肥的最大间隔时间内畜禽养殖场排放污水的总量。</w:t>
            </w:r>
            <w:r>
              <w:rPr>
                <w:rFonts w:ascii="宋体" w:hAnsi="宋体" w:eastAsia="宋体" w:cs="宋体"/>
                <w:spacing w:val="5"/>
                <w:sz w:val="21"/>
                <w:szCs w:val="21"/>
              </w:rPr>
              <w:t>在畜禽养殖场与还田利用的农田之间应建立有效的</w:t>
            </w:r>
            <w:r>
              <w:rPr>
                <w:rFonts w:ascii="宋体" w:hAnsi="宋体" w:eastAsia="宋体" w:cs="宋体"/>
                <w:spacing w:val="-4"/>
                <w:sz w:val="21"/>
                <w:szCs w:val="21"/>
              </w:rPr>
              <w:t>输送网络，通过车载或管道形式将处理（置）后的污</w:t>
            </w:r>
            <w:r>
              <w:rPr>
                <w:rFonts w:ascii="宋体" w:hAnsi="宋体" w:eastAsia="宋体" w:cs="宋体"/>
                <w:spacing w:val="-6"/>
                <w:sz w:val="21"/>
                <w:szCs w:val="21"/>
              </w:rPr>
              <w:t>水输送至农田。</w:t>
            </w:r>
          </w:p>
        </w:tc>
        <w:tc>
          <w:tcPr>
            <w:tcW w:w="2300" w:type="dxa"/>
            <w:vAlign w:val="top"/>
          </w:tcPr>
          <w:p w14:paraId="3CFB5F16">
            <w:pPr>
              <w:spacing w:line="267" w:lineRule="auto"/>
              <w:rPr>
                <w:rFonts w:ascii="Arial"/>
                <w:sz w:val="21"/>
              </w:rPr>
            </w:pPr>
          </w:p>
          <w:p w14:paraId="4E228C8E">
            <w:pPr>
              <w:spacing w:line="267" w:lineRule="auto"/>
              <w:rPr>
                <w:rFonts w:ascii="Arial"/>
                <w:sz w:val="21"/>
              </w:rPr>
            </w:pPr>
          </w:p>
          <w:p w14:paraId="2E244384">
            <w:pPr>
              <w:spacing w:line="267" w:lineRule="auto"/>
              <w:rPr>
                <w:rFonts w:ascii="Arial"/>
                <w:sz w:val="21"/>
              </w:rPr>
            </w:pPr>
          </w:p>
          <w:p w14:paraId="43079231">
            <w:pPr>
              <w:spacing w:line="268" w:lineRule="auto"/>
              <w:rPr>
                <w:rFonts w:ascii="Arial"/>
                <w:sz w:val="21"/>
              </w:rPr>
            </w:pPr>
          </w:p>
          <w:p w14:paraId="6EDD2D11">
            <w:pPr>
              <w:spacing w:before="69" w:line="274" w:lineRule="auto"/>
              <w:ind w:left="10" w:firstLine="1"/>
              <w:jc w:val="both"/>
              <w:rPr>
                <w:rFonts w:ascii="宋体" w:hAnsi="宋体" w:eastAsia="宋体" w:cs="宋体"/>
                <w:sz w:val="21"/>
                <w:szCs w:val="21"/>
              </w:rPr>
            </w:pPr>
            <w:r>
              <w:rPr>
                <w:rFonts w:ascii="宋体" w:hAnsi="宋体" w:eastAsia="宋体" w:cs="宋体"/>
                <w:spacing w:val="-3"/>
                <w:sz w:val="21"/>
                <w:szCs w:val="21"/>
              </w:rPr>
              <w:t>本项目采用“原环保部认</w:t>
            </w:r>
            <w:r>
              <w:rPr>
                <w:rFonts w:ascii="宋体" w:hAnsi="宋体" w:eastAsia="宋体" w:cs="宋体"/>
                <w:spacing w:val="-5"/>
                <w:sz w:val="21"/>
                <w:szCs w:val="21"/>
              </w:rPr>
              <w:t>可的清粪工艺”（同牧原</w:t>
            </w:r>
            <w:r>
              <w:rPr>
                <w:rFonts w:ascii="宋体" w:hAnsi="宋体" w:eastAsia="宋体" w:cs="宋体"/>
                <w:spacing w:val="-3"/>
                <w:sz w:val="21"/>
                <w:szCs w:val="21"/>
              </w:rPr>
              <w:t>清粪工艺，为原环保部认</w:t>
            </w:r>
            <w:r>
              <w:rPr>
                <w:rFonts w:ascii="宋体" w:hAnsi="宋体" w:eastAsia="宋体" w:cs="宋体"/>
                <w:spacing w:val="18"/>
                <w:sz w:val="21"/>
                <w:szCs w:val="21"/>
              </w:rPr>
              <w:t>可具备干清粪工艺基本</w:t>
            </w:r>
            <w:r>
              <w:rPr>
                <w:rFonts w:ascii="宋体" w:hAnsi="宋体" w:eastAsia="宋体" w:cs="宋体"/>
                <w:spacing w:val="-1"/>
                <w:sz w:val="21"/>
                <w:szCs w:val="21"/>
              </w:rPr>
              <w:t>特征</w:t>
            </w:r>
            <w:r>
              <w:rPr>
                <w:rFonts w:ascii="宋体" w:hAnsi="宋体" w:eastAsia="宋体" w:cs="宋体"/>
                <w:spacing w:val="-10"/>
                <w:sz w:val="21"/>
                <w:szCs w:val="21"/>
              </w:rPr>
              <w:t>），</w:t>
            </w:r>
            <w:r>
              <w:rPr>
                <w:rFonts w:ascii="宋体" w:hAnsi="宋体" w:eastAsia="宋体" w:cs="宋体"/>
                <w:spacing w:val="-1"/>
                <w:sz w:val="21"/>
                <w:szCs w:val="21"/>
              </w:rPr>
              <w:t>粪尿离开猪舍储</w:t>
            </w:r>
            <w:r>
              <w:rPr>
                <w:rFonts w:ascii="宋体" w:hAnsi="宋体" w:eastAsia="宋体" w:cs="宋体"/>
                <w:spacing w:val="-3"/>
                <w:sz w:val="21"/>
                <w:szCs w:val="21"/>
              </w:rPr>
              <w:t>存池即进行固液分离，猪</w:t>
            </w:r>
            <w:r>
              <w:rPr>
                <w:rFonts w:ascii="宋体" w:hAnsi="宋体" w:eastAsia="宋体" w:cs="宋体"/>
                <w:spacing w:val="18"/>
                <w:sz w:val="21"/>
                <w:szCs w:val="21"/>
              </w:rPr>
              <w:t>粪经固液分离后于堆粪</w:t>
            </w:r>
            <w:r>
              <w:rPr>
                <w:rFonts w:ascii="宋体" w:hAnsi="宋体" w:eastAsia="宋体" w:cs="宋体"/>
                <w:spacing w:val="-3"/>
                <w:sz w:val="21"/>
                <w:szCs w:val="21"/>
              </w:rPr>
              <w:t>棚内暂存，交有机肥厂生</w:t>
            </w:r>
            <w:r>
              <w:rPr>
                <w:rFonts w:ascii="宋体" w:hAnsi="宋体" w:eastAsia="宋体" w:cs="宋体"/>
                <w:spacing w:val="-7"/>
                <w:sz w:val="21"/>
                <w:szCs w:val="21"/>
              </w:rPr>
              <w:t>产有机肥。</w:t>
            </w:r>
          </w:p>
          <w:p w14:paraId="3B2A3391">
            <w:pPr>
              <w:spacing w:before="1" w:line="274" w:lineRule="auto"/>
              <w:ind w:left="11"/>
              <w:jc w:val="both"/>
              <w:rPr>
                <w:rFonts w:ascii="宋体" w:hAnsi="宋体" w:eastAsia="宋体" w:cs="宋体"/>
                <w:sz w:val="21"/>
                <w:szCs w:val="21"/>
              </w:rPr>
            </w:pPr>
            <w:r>
              <w:rPr>
                <w:rFonts w:ascii="宋体" w:hAnsi="宋体" w:eastAsia="宋体" w:cs="宋体"/>
                <w:spacing w:val="13"/>
                <w:sz w:val="21"/>
                <w:szCs w:val="21"/>
              </w:rPr>
              <w:t>养殖场产生</w:t>
            </w:r>
            <w:r>
              <w:rPr>
                <w:rFonts w:ascii="宋体" w:hAnsi="宋体" w:eastAsia="宋体" w:cs="宋体"/>
                <w:spacing w:val="-54"/>
                <w:sz w:val="21"/>
                <w:szCs w:val="21"/>
              </w:rPr>
              <w:t xml:space="preserve"> </w:t>
            </w:r>
            <w:r>
              <w:rPr>
                <w:rFonts w:ascii="宋体" w:hAnsi="宋体" w:eastAsia="宋体" w:cs="宋体"/>
                <w:spacing w:val="13"/>
                <w:sz w:val="21"/>
                <w:szCs w:val="21"/>
              </w:rPr>
              <w:t>的臭气包括</w:t>
            </w:r>
            <w:r>
              <w:rPr>
                <w:rFonts w:ascii="宋体" w:hAnsi="宋体" w:eastAsia="宋体" w:cs="宋体"/>
                <w:spacing w:val="-3"/>
                <w:sz w:val="21"/>
                <w:szCs w:val="21"/>
              </w:rPr>
              <w:t>污水处理站恶臭、堆肥区恶臭、圈舍恶臭，均采用</w:t>
            </w:r>
            <w:r>
              <w:rPr>
                <w:rFonts w:ascii="宋体" w:hAnsi="宋体" w:eastAsia="宋体" w:cs="宋体"/>
                <w:spacing w:val="-4"/>
                <w:sz w:val="21"/>
                <w:szCs w:val="21"/>
              </w:rPr>
              <w:t>相应的治理措施处理。</w:t>
            </w:r>
          </w:p>
          <w:p w14:paraId="57112E1C">
            <w:pPr>
              <w:pStyle w:val="6"/>
              <w:spacing w:before="9" w:line="274" w:lineRule="auto"/>
              <w:ind w:left="6" w:firstLine="5"/>
              <w:jc w:val="both"/>
              <w:rPr>
                <w:rFonts w:ascii="宋体" w:hAnsi="宋体" w:eastAsia="宋体" w:cs="宋体"/>
              </w:rPr>
            </w:pPr>
            <w:r>
              <w:rPr>
                <w:rFonts w:ascii="宋体" w:hAnsi="宋体" w:eastAsia="宋体" w:cs="宋体"/>
                <w:spacing w:val="5"/>
              </w:rPr>
              <w:t>本项目采用“格栅井</w:t>
            </w:r>
            <w:r>
              <w:rPr>
                <w:spacing w:val="5"/>
              </w:rPr>
              <w:t>+</w:t>
            </w:r>
            <w:r>
              <w:rPr>
                <w:rFonts w:ascii="宋体" w:hAnsi="宋体" w:eastAsia="宋体" w:cs="宋体"/>
                <w:spacing w:val="5"/>
              </w:rPr>
              <w:t>粪</w:t>
            </w:r>
            <w:r>
              <w:rPr>
                <w:rFonts w:ascii="宋体" w:hAnsi="宋体" w:eastAsia="宋体" w:cs="宋体"/>
                <w:spacing w:val="8"/>
              </w:rPr>
              <w:t>污收集池</w:t>
            </w:r>
            <w:r>
              <w:rPr>
                <w:spacing w:val="8"/>
              </w:rPr>
              <w:t>+</w:t>
            </w:r>
            <w:r>
              <w:rPr>
                <w:spacing w:val="-9"/>
              </w:rPr>
              <w:t xml:space="preserve"> </w:t>
            </w:r>
            <w:r>
              <w:rPr>
                <w:rFonts w:ascii="宋体" w:hAnsi="宋体" w:eastAsia="宋体" w:cs="宋体"/>
                <w:spacing w:val="8"/>
              </w:rPr>
              <w:t>固液分离</w:t>
            </w:r>
            <w:r>
              <w:rPr>
                <w:spacing w:val="8"/>
              </w:rPr>
              <w:t>+</w:t>
            </w:r>
            <w:r>
              <w:rPr>
                <w:spacing w:val="-25"/>
              </w:rPr>
              <w:t xml:space="preserve"> </w:t>
            </w:r>
            <w:r>
              <w:rPr>
                <w:rFonts w:ascii="宋体" w:hAnsi="宋体" w:eastAsia="宋体" w:cs="宋体"/>
                <w:spacing w:val="8"/>
              </w:rPr>
              <w:t>水</w:t>
            </w:r>
            <w:r>
              <w:rPr>
                <w:rFonts w:ascii="宋体" w:hAnsi="宋体" w:eastAsia="宋体" w:cs="宋体"/>
                <w:spacing w:val="6"/>
              </w:rPr>
              <w:t>解酸化池</w:t>
            </w:r>
            <w:r>
              <w:rPr>
                <w:spacing w:val="6"/>
              </w:rPr>
              <w:t>+</w:t>
            </w:r>
            <w:r>
              <w:t>CSTR</w:t>
            </w:r>
            <w:r>
              <w:rPr>
                <w:spacing w:val="6"/>
              </w:rPr>
              <w:t xml:space="preserve">  </w:t>
            </w:r>
            <w:r>
              <w:rPr>
                <w:rFonts w:ascii="宋体" w:hAnsi="宋体" w:eastAsia="宋体" w:cs="宋体"/>
                <w:spacing w:val="6"/>
              </w:rPr>
              <w:t>厌氧反</w:t>
            </w:r>
            <w:r>
              <w:rPr>
                <w:rFonts w:ascii="宋体" w:hAnsi="宋体" w:eastAsia="宋体" w:cs="宋体"/>
                <w:spacing w:val="9"/>
              </w:rPr>
              <w:t>应器</w:t>
            </w:r>
            <w:r>
              <w:rPr>
                <w:spacing w:val="9"/>
              </w:rPr>
              <w:t>+</w:t>
            </w:r>
            <w:r>
              <w:rPr>
                <w:spacing w:val="-20"/>
              </w:rPr>
              <w:t xml:space="preserve"> </w:t>
            </w:r>
            <w:r>
              <w:rPr>
                <w:rFonts w:ascii="宋体" w:hAnsi="宋体" w:eastAsia="宋体" w:cs="宋体"/>
                <w:spacing w:val="9"/>
              </w:rPr>
              <w:t>微生物曝氧塘</w:t>
            </w:r>
            <w:r>
              <w:rPr>
                <w:spacing w:val="9"/>
              </w:rPr>
              <w:t>+</w:t>
            </w:r>
            <w:r>
              <w:rPr>
                <w:spacing w:val="-25"/>
              </w:rPr>
              <w:t xml:space="preserve"> </w:t>
            </w:r>
            <w:r>
              <w:rPr>
                <w:rFonts w:ascii="宋体" w:hAnsi="宋体" w:eastAsia="宋体" w:cs="宋体"/>
                <w:spacing w:val="9"/>
              </w:rPr>
              <w:t>前</w:t>
            </w:r>
            <w:r>
              <w:rPr>
                <w:rFonts w:ascii="宋体" w:hAnsi="宋体" w:eastAsia="宋体" w:cs="宋体"/>
                <w:spacing w:val="6"/>
              </w:rPr>
              <w:t>置物化系统</w:t>
            </w:r>
            <w:r>
              <w:rPr>
                <w:spacing w:val="6"/>
              </w:rPr>
              <w:t>+</w:t>
            </w:r>
            <w:r>
              <w:rPr>
                <w:rFonts w:ascii="宋体" w:hAnsi="宋体" w:eastAsia="宋体" w:cs="宋体"/>
                <w:spacing w:val="6"/>
              </w:rPr>
              <w:t>一级缺氧池</w:t>
            </w:r>
            <w:r>
              <w:rPr>
                <w:spacing w:val="9"/>
              </w:rPr>
              <w:t>+</w:t>
            </w:r>
            <w:r>
              <w:rPr>
                <w:spacing w:val="-22"/>
              </w:rPr>
              <w:t xml:space="preserve"> </w:t>
            </w:r>
            <w:r>
              <w:rPr>
                <w:rFonts w:ascii="宋体" w:hAnsi="宋体" w:eastAsia="宋体" w:cs="宋体"/>
                <w:spacing w:val="9"/>
              </w:rPr>
              <w:t>一级好氧池</w:t>
            </w:r>
            <w:r>
              <w:rPr>
                <w:spacing w:val="9"/>
              </w:rPr>
              <w:t>+</w:t>
            </w:r>
            <w:r>
              <w:rPr>
                <w:spacing w:val="-23"/>
              </w:rPr>
              <w:t xml:space="preserve"> </w:t>
            </w:r>
            <w:r>
              <w:rPr>
                <w:rFonts w:ascii="宋体" w:hAnsi="宋体" w:eastAsia="宋体" w:cs="宋体"/>
                <w:spacing w:val="9"/>
              </w:rPr>
              <w:t>一级沉淀池</w:t>
            </w:r>
            <w:r>
              <w:rPr>
                <w:spacing w:val="9"/>
              </w:rPr>
              <w:t>+</w:t>
            </w:r>
            <w:r>
              <w:rPr>
                <w:spacing w:val="-22"/>
              </w:rPr>
              <w:t xml:space="preserve"> </w:t>
            </w:r>
            <w:r>
              <w:rPr>
                <w:rFonts w:ascii="宋体" w:hAnsi="宋体" w:eastAsia="宋体" w:cs="宋体"/>
                <w:spacing w:val="9"/>
              </w:rPr>
              <w:t>二级缺氧池</w:t>
            </w:r>
            <w:r>
              <w:rPr>
                <w:spacing w:val="9"/>
              </w:rPr>
              <w:t>+</w:t>
            </w:r>
            <w:r>
              <w:rPr>
                <w:spacing w:val="-23"/>
              </w:rPr>
              <w:t xml:space="preserve"> </w:t>
            </w:r>
            <w:r>
              <w:rPr>
                <w:rFonts w:ascii="宋体" w:hAnsi="宋体" w:eastAsia="宋体" w:cs="宋体"/>
                <w:spacing w:val="9"/>
              </w:rPr>
              <w:t>二级好氧池</w:t>
            </w:r>
            <w:r>
              <w:rPr>
                <w:spacing w:val="9"/>
              </w:rPr>
              <w:t>+</w:t>
            </w:r>
            <w:r>
              <w:rPr>
                <w:spacing w:val="-20"/>
              </w:rPr>
              <w:t xml:space="preserve"> </w:t>
            </w:r>
            <w:r>
              <w:rPr>
                <w:rFonts w:ascii="宋体" w:hAnsi="宋体" w:eastAsia="宋体" w:cs="宋体"/>
                <w:spacing w:val="9"/>
              </w:rPr>
              <w:t>二级沉淀池</w:t>
            </w:r>
            <w:r>
              <w:rPr>
                <w:spacing w:val="9"/>
              </w:rPr>
              <w:t>+</w:t>
            </w:r>
            <w:r>
              <w:rPr>
                <w:spacing w:val="-25"/>
              </w:rPr>
              <w:t xml:space="preserve"> </w:t>
            </w:r>
            <w:r>
              <w:rPr>
                <w:rFonts w:ascii="宋体" w:hAnsi="宋体" w:eastAsia="宋体" w:cs="宋体"/>
                <w:spacing w:val="9"/>
              </w:rPr>
              <w:t>混凝</w:t>
            </w:r>
            <w:r>
              <w:rPr>
                <w:rFonts w:ascii="宋体" w:hAnsi="宋体" w:eastAsia="宋体" w:cs="宋体"/>
                <w:spacing w:val="8"/>
              </w:rPr>
              <w:t>沉淀</w:t>
            </w:r>
            <w:r>
              <w:rPr>
                <w:spacing w:val="8"/>
              </w:rPr>
              <w:t>+</w:t>
            </w:r>
            <w:r>
              <w:rPr>
                <w:spacing w:val="-16"/>
              </w:rPr>
              <w:t xml:space="preserve"> </w:t>
            </w:r>
            <w:r>
              <w:rPr>
                <w:rFonts w:ascii="宋体" w:hAnsi="宋体" w:eastAsia="宋体" w:cs="宋体"/>
                <w:spacing w:val="8"/>
              </w:rPr>
              <w:t>消毒池</w:t>
            </w:r>
            <w:r>
              <w:rPr>
                <w:rFonts w:ascii="宋体" w:hAnsi="宋体" w:eastAsia="宋体" w:cs="宋体"/>
                <w:spacing w:val="-56"/>
              </w:rPr>
              <w:t xml:space="preserve"> </w:t>
            </w:r>
            <w:r>
              <w:rPr>
                <w:rFonts w:ascii="宋体" w:hAnsi="宋体" w:eastAsia="宋体" w:cs="宋体"/>
                <w:spacing w:val="8"/>
              </w:rPr>
              <w:t>” 污水处</w:t>
            </w:r>
            <w:r>
              <w:rPr>
                <w:rFonts w:ascii="宋体" w:hAnsi="宋体" w:eastAsia="宋体" w:cs="宋体"/>
                <w:spacing w:val="-2"/>
              </w:rPr>
              <w:t>理工艺，废水经处理达标后用于消纳地农灌，消纳</w:t>
            </w:r>
            <w:r>
              <w:rPr>
                <w:rFonts w:ascii="宋体" w:hAnsi="宋体" w:eastAsia="宋体" w:cs="宋体"/>
                <w:spacing w:val="5"/>
              </w:rPr>
              <w:t xml:space="preserve">地内设置 </w:t>
            </w:r>
            <w:r>
              <w:rPr>
                <w:spacing w:val="5"/>
              </w:rPr>
              <w:t>5</w:t>
            </w:r>
            <w:r>
              <w:rPr>
                <w:spacing w:val="13"/>
                <w:w w:val="101"/>
              </w:rPr>
              <w:t xml:space="preserve">  </w:t>
            </w:r>
            <w:r>
              <w:rPr>
                <w:rFonts w:ascii="宋体" w:hAnsi="宋体" w:eastAsia="宋体" w:cs="宋体"/>
                <w:spacing w:val="5"/>
              </w:rPr>
              <w:t>座田间储存</w:t>
            </w:r>
            <w:r>
              <w:rPr>
                <w:rFonts w:ascii="宋体" w:hAnsi="宋体" w:eastAsia="宋体" w:cs="宋体"/>
                <w:spacing w:val="-2"/>
              </w:rPr>
              <w:t>池，污水处理站与消纳地</w:t>
            </w:r>
            <w:r>
              <w:rPr>
                <w:rFonts w:ascii="宋体" w:hAnsi="宋体" w:eastAsia="宋体" w:cs="宋体"/>
                <w:spacing w:val="-4"/>
              </w:rPr>
              <w:t>之间通过</w:t>
            </w:r>
            <w:r>
              <w:rPr>
                <w:rFonts w:ascii="宋体" w:hAnsi="宋体" w:eastAsia="宋体" w:cs="宋体"/>
                <w:spacing w:val="-49"/>
              </w:rPr>
              <w:t xml:space="preserve"> </w:t>
            </w:r>
            <w:r>
              <w:rPr>
                <w:spacing w:val="-4"/>
              </w:rPr>
              <w:t>PE</w:t>
            </w:r>
            <w:r>
              <w:rPr>
                <w:spacing w:val="14"/>
              </w:rPr>
              <w:t xml:space="preserve"> </w:t>
            </w:r>
            <w:r>
              <w:rPr>
                <w:rFonts w:ascii="宋体" w:hAnsi="宋体" w:eastAsia="宋体" w:cs="宋体"/>
                <w:spacing w:val="-4"/>
              </w:rPr>
              <w:t>管道输送。</w:t>
            </w:r>
          </w:p>
        </w:tc>
        <w:tc>
          <w:tcPr>
            <w:tcW w:w="772" w:type="dxa"/>
            <w:vAlign w:val="top"/>
          </w:tcPr>
          <w:p w14:paraId="4A7118AE">
            <w:pPr>
              <w:spacing w:line="242" w:lineRule="auto"/>
              <w:rPr>
                <w:rFonts w:ascii="Arial"/>
                <w:sz w:val="21"/>
              </w:rPr>
            </w:pPr>
          </w:p>
          <w:p w14:paraId="7C23CF8A">
            <w:pPr>
              <w:spacing w:line="242" w:lineRule="auto"/>
              <w:rPr>
                <w:rFonts w:ascii="Arial"/>
                <w:sz w:val="21"/>
              </w:rPr>
            </w:pPr>
          </w:p>
          <w:p w14:paraId="2D93A5DB">
            <w:pPr>
              <w:spacing w:line="242" w:lineRule="auto"/>
              <w:rPr>
                <w:rFonts w:ascii="Arial"/>
                <w:sz w:val="21"/>
              </w:rPr>
            </w:pPr>
          </w:p>
          <w:p w14:paraId="0C2EDB26">
            <w:pPr>
              <w:spacing w:line="242" w:lineRule="auto"/>
              <w:rPr>
                <w:rFonts w:ascii="Arial"/>
                <w:sz w:val="21"/>
              </w:rPr>
            </w:pPr>
          </w:p>
          <w:p w14:paraId="733208E3">
            <w:pPr>
              <w:spacing w:line="242" w:lineRule="auto"/>
              <w:rPr>
                <w:rFonts w:ascii="Arial"/>
                <w:sz w:val="21"/>
              </w:rPr>
            </w:pPr>
          </w:p>
          <w:p w14:paraId="494BCE7C">
            <w:pPr>
              <w:spacing w:line="242" w:lineRule="auto"/>
              <w:rPr>
                <w:rFonts w:ascii="Arial"/>
                <w:sz w:val="21"/>
              </w:rPr>
            </w:pPr>
          </w:p>
          <w:p w14:paraId="066B15EA">
            <w:pPr>
              <w:spacing w:line="243" w:lineRule="auto"/>
              <w:rPr>
                <w:rFonts w:ascii="Arial"/>
                <w:sz w:val="21"/>
              </w:rPr>
            </w:pPr>
          </w:p>
          <w:p w14:paraId="49116A24">
            <w:pPr>
              <w:spacing w:line="243" w:lineRule="auto"/>
              <w:rPr>
                <w:rFonts w:ascii="Arial"/>
                <w:sz w:val="21"/>
              </w:rPr>
            </w:pPr>
          </w:p>
          <w:p w14:paraId="301B002A">
            <w:pPr>
              <w:spacing w:line="243" w:lineRule="auto"/>
              <w:rPr>
                <w:rFonts w:ascii="Arial"/>
                <w:sz w:val="21"/>
              </w:rPr>
            </w:pPr>
          </w:p>
          <w:p w14:paraId="2E98E087">
            <w:pPr>
              <w:spacing w:line="243" w:lineRule="auto"/>
              <w:rPr>
                <w:rFonts w:ascii="Arial"/>
                <w:sz w:val="21"/>
              </w:rPr>
            </w:pPr>
          </w:p>
          <w:p w14:paraId="29D581C5">
            <w:pPr>
              <w:spacing w:line="243" w:lineRule="auto"/>
              <w:rPr>
                <w:rFonts w:ascii="Arial"/>
                <w:sz w:val="21"/>
              </w:rPr>
            </w:pPr>
          </w:p>
          <w:p w14:paraId="20875D8D">
            <w:pPr>
              <w:spacing w:line="243" w:lineRule="auto"/>
              <w:rPr>
                <w:rFonts w:ascii="Arial"/>
                <w:sz w:val="21"/>
              </w:rPr>
            </w:pPr>
          </w:p>
          <w:p w14:paraId="456F6FF0">
            <w:pPr>
              <w:spacing w:line="243" w:lineRule="auto"/>
              <w:rPr>
                <w:rFonts w:ascii="Arial"/>
                <w:sz w:val="21"/>
              </w:rPr>
            </w:pPr>
          </w:p>
          <w:p w14:paraId="46BAAC51">
            <w:pPr>
              <w:spacing w:line="243" w:lineRule="auto"/>
              <w:rPr>
                <w:rFonts w:ascii="Arial"/>
                <w:sz w:val="21"/>
              </w:rPr>
            </w:pPr>
          </w:p>
          <w:p w14:paraId="326E8B3B">
            <w:pPr>
              <w:spacing w:line="243" w:lineRule="auto"/>
              <w:rPr>
                <w:rFonts w:ascii="Arial"/>
                <w:sz w:val="21"/>
              </w:rPr>
            </w:pPr>
          </w:p>
          <w:p w14:paraId="372CE6A7">
            <w:pPr>
              <w:spacing w:line="243" w:lineRule="auto"/>
              <w:rPr>
                <w:rFonts w:ascii="Arial"/>
                <w:sz w:val="21"/>
              </w:rPr>
            </w:pPr>
          </w:p>
          <w:p w14:paraId="7682327F">
            <w:pPr>
              <w:spacing w:line="243" w:lineRule="auto"/>
              <w:rPr>
                <w:rFonts w:ascii="Arial"/>
                <w:sz w:val="21"/>
              </w:rPr>
            </w:pPr>
          </w:p>
          <w:p w14:paraId="6E9E33BB">
            <w:pPr>
              <w:spacing w:line="243" w:lineRule="auto"/>
              <w:rPr>
                <w:rFonts w:ascii="Arial"/>
                <w:sz w:val="21"/>
              </w:rPr>
            </w:pPr>
          </w:p>
          <w:p w14:paraId="3009FFA0">
            <w:pPr>
              <w:spacing w:line="243" w:lineRule="auto"/>
              <w:rPr>
                <w:rFonts w:ascii="Arial"/>
                <w:sz w:val="21"/>
              </w:rPr>
            </w:pPr>
          </w:p>
          <w:p w14:paraId="21AC9096">
            <w:pPr>
              <w:spacing w:line="243" w:lineRule="auto"/>
              <w:rPr>
                <w:rFonts w:ascii="Arial"/>
                <w:sz w:val="21"/>
              </w:rPr>
            </w:pPr>
          </w:p>
          <w:p w14:paraId="572F630D">
            <w:pPr>
              <w:spacing w:line="243" w:lineRule="auto"/>
              <w:rPr>
                <w:rFonts w:ascii="Arial"/>
                <w:sz w:val="21"/>
              </w:rPr>
            </w:pPr>
          </w:p>
          <w:p w14:paraId="5A28399E">
            <w:pPr>
              <w:spacing w:before="69" w:line="220" w:lineRule="auto"/>
              <w:ind w:left="183"/>
              <w:rPr>
                <w:rFonts w:ascii="宋体" w:hAnsi="宋体" w:eastAsia="宋体" w:cs="宋体"/>
                <w:sz w:val="21"/>
                <w:szCs w:val="21"/>
              </w:rPr>
            </w:pPr>
            <w:r>
              <w:rPr>
                <w:rFonts w:ascii="宋体" w:hAnsi="宋体" w:eastAsia="宋体" w:cs="宋体"/>
                <w:spacing w:val="-3"/>
                <w:sz w:val="21"/>
                <w:szCs w:val="21"/>
              </w:rPr>
              <w:t>符合</w:t>
            </w:r>
          </w:p>
        </w:tc>
      </w:tr>
      <w:tr w14:paraId="377B6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4" w:hRule="atLeast"/>
        </w:trPr>
        <w:tc>
          <w:tcPr>
            <w:tcW w:w="469" w:type="dxa"/>
            <w:vAlign w:val="top"/>
          </w:tcPr>
          <w:p w14:paraId="48000867">
            <w:pPr>
              <w:rPr>
                <w:rFonts w:ascii="Arial"/>
                <w:sz w:val="21"/>
              </w:rPr>
            </w:pPr>
          </w:p>
          <w:p w14:paraId="6577743F">
            <w:pPr>
              <w:rPr>
                <w:rFonts w:ascii="Arial"/>
                <w:sz w:val="21"/>
              </w:rPr>
            </w:pPr>
          </w:p>
          <w:p w14:paraId="1CC9043A">
            <w:pPr>
              <w:rPr>
                <w:rFonts w:ascii="Arial"/>
                <w:sz w:val="21"/>
              </w:rPr>
            </w:pPr>
          </w:p>
          <w:p w14:paraId="5B2E1356">
            <w:pPr>
              <w:rPr>
                <w:rFonts w:ascii="Arial"/>
                <w:sz w:val="21"/>
              </w:rPr>
            </w:pPr>
          </w:p>
          <w:p w14:paraId="76793B8B">
            <w:pPr>
              <w:pStyle w:val="6"/>
              <w:spacing w:before="61" w:line="188" w:lineRule="auto"/>
              <w:ind w:left="183"/>
            </w:pPr>
            <w:r>
              <w:t>2</w:t>
            </w:r>
          </w:p>
        </w:tc>
        <w:tc>
          <w:tcPr>
            <w:tcW w:w="4779" w:type="dxa"/>
            <w:vAlign w:val="top"/>
          </w:tcPr>
          <w:p w14:paraId="0D879768">
            <w:pPr>
              <w:pStyle w:val="6"/>
              <w:spacing w:before="54" w:line="220" w:lineRule="auto"/>
              <w:ind w:left="222"/>
              <w:rPr>
                <w:rFonts w:ascii="宋体" w:hAnsi="宋体" w:eastAsia="宋体" w:cs="宋体"/>
              </w:rPr>
            </w:pPr>
            <w:r>
              <w:rPr>
                <w:spacing w:val="-3"/>
              </w:rPr>
              <w:t>10</w:t>
            </w:r>
            <w:r>
              <w:rPr>
                <w:rFonts w:ascii="宋体" w:hAnsi="宋体" w:eastAsia="宋体" w:cs="宋体"/>
                <w:spacing w:val="-3"/>
              </w:rPr>
              <w:t>、粪污资源化利用方式</w:t>
            </w:r>
          </w:p>
          <w:p w14:paraId="305FACFF">
            <w:pPr>
              <w:spacing w:before="64" w:line="266" w:lineRule="auto"/>
              <w:ind w:left="8" w:firstLine="197"/>
              <w:rPr>
                <w:rFonts w:ascii="宋体" w:hAnsi="宋体" w:eastAsia="宋体" w:cs="宋体"/>
                <w:sz w:val="21"/>
                <w:szCs w:val="21"/>
              </w:rPr>
            </w:pPr>
            <w:r>
              <w:rPr>
                <w:rFonts w:ascii="宋体" w:hAnsi="宋体" w:eastAsia="宋体" w:cs="宋体"/>
                <w:spacing w:val="-3"/>
                <w:sz w:val="21"/>
                <w:szCs w:val="21"/>
              </w:rPr>
              <w:t>推动畜禽粪污资源化利用，主要应支持以畜禽粪污</w:t>
            </w:r>
            <w:r>
              <w:rPr>
                <w:rFonts w:ascii="宋体" w:hAnsi="宋体" w:eastAsia="宋体" w:cs="宋体"/>
                <w:spacing w:val="-4"/>
                <w:sz w:val="21"/>
                <w:szCs w:val="21"/>
              </w:rPr>
              <w:t>为主要原料的沼气工程建设、有机肥加工、粪污无害</w:t>
            </w:r>
            <w:r>
              <w:rPr>
                <w:rFonts w:ascii="宋体" w:hAnsi="宋体" w:eastAsia="宋体" w:cs="宋体"/>
                <w:spacing w:val="-3"/>
                <w:sz w:val="21"/>
                <w:szCs w:val="21"/>
              </w:rPr>
              <w:t>化储运及处理，配套与粪污消纳相匹配的农林土地，</w:t>
            </w:r>
            <w:r>
              <w:rPr>
                <w:rFonts w:ascii="宋体" w:hAnsi="宋体" w:eastAsia="宋体" w:cs="宋体"/>
                <w:spacing w:val="-4"/>
                <w:sz w:val="21"/>
                <w:szCs w:val="21"/>
              </w:rPr>
              <w:t>广泛推广有机肥使用，促进沼液固液分离猪粪就近就地还田利用，提升种养结合水平，建立健全畜禽粪污</w:t>
            </w:r>
            <w:r>
              <w:rPr>
                <w:rFonts w:ascii="宋体" w:hAnsi="宋体" w:eastAsia="宋体" w:cs="宋体"/>
                <w:spacing w:val="-5"/>
                <w:sz w:val="21"/>
                <w:szCs w:val="21"/>
              </w:rPr>
              <w:t>资源化利用制度。</w:t>
            </w:r>
          </w:p>
        </w:tc>
        <w:tc>
          <w:tcPr>
            <w:tcW w:w="2300" w:type="dxa"/>
            <w:vAlign w:val="top"/>
          </w:tcPr>
          <w:p w14:paraId="66B99CE3">
            <w:pPr>
              <w:spacing w:before="58" w:line="267" w:lineRule="auto"/>
              <w:ind w:left="11"/>
              <w:jc w:val="both"/>
              <w:rPr>
                <w:rFonts w:ascii="宋体" w:hAnsi="宋体" w:eastAsia="宋体" w:cs="宋体"/>
                <w:sz w:val="21"/>
                <w:szCs w:val="21"/>
              </w:rPr>
            </w:pPr>
            <w:r>
              <w:rPr>
                <w:rFonts w:ascii="宋体" w:hAnsi="宋体" w:eastAsia="宋体" w:cs="宋体"/>
                <w:spacing w:val="-3"/>
                <w:sz w:val="21"/>
                <w:szCs w:val="21"/>
              </w:rPr>
              <w:t>本项目粪便、污水均得到合理利用，实现了粪污的资源化利用。项目粪便经</w:t>
            </w:r>
            <w:r>
              <w:rPr>
                <w:rFonts w:ascii="宋体" w:hAnsi="宋体" w:eastAsia="宋体" w:cs="宋体"/>
                <w:spacing w:val="18"/>
                <w:sz w:val="21"/>
                <w:szCs w:val="21"/>
              </w:rPr>
              <w:t>堆粪棚暂存后交有机肥</w:t>
            </w:r>
            <w:r>
              <w:rPr>
                <w:rFonts w:ascii="宋体" w:hAnsi="宋体" w:eastAsia="宋体" w:cs="宋体"/>
                <w:spacing w:val="-3"/>
                <w:sz w:val="21"/>
                <w:szCs w:val="21"/>
              </w:rPr>
              <w:t>厂生产有机肥，实现有机肥生产的商品化，得到了</w:t>
            </w:r>
            <w:r>
              <w:rPr>
                <w:rFonts w:ascii="宋体" w:hAnsi="宋体" w:eastAsia="宋体" w:cs="宋体"/>
                <w:spacing w:val="-7"/>
                <w:sz w:val="21"/>
                <w:szCs w:val="21"/>
              </w:rPr>
              <w:t>合理利用。</w:t>
            </w:r>
          </w:p>
        </w:tc>
        <w:tc>
          <w:tcPr>
            <w:tcW w:w="772" w:type="dxa"/>
            <w:vAlign w:val="top"/>
          </w:tcPr>
          <w:p w14:paraId="29342AD5">
            <w:pPr>
              <w:spacing w:line="305" w:lineRule="auto"/>
              <w:rPr>
                <w:rFonts w:ascii="Arial"/>
                <w:sz w:val="21"/>
              </w:rPr>
            </w:pPr>
          </w:p>
          <w:p w14:paraId="3F089020">
            <w:pPr>
              <w:spacing w:line="305" w:lineRule="auto"/>
              <w:rPr>
                <w:rFonts w:ascii="Arial"/>
                <w:sz w:val="21"/>
              </w:rPr>
            </w:pPr>
          </w:p>
          <w:p w14:paraId="75FF11AA">
            <w:pPr>
              <w:spacing w:line="306" w:lineRule="auto"/>
              <w:rPr>
                <w:rFonts w:ascii="Arial"/>
                <w:sz w:val="21"/>
              </w:rPr>
            </w:pPr>
          </w:p>
          <w:p w14:paraId="0E94AC83">
            <w:pPr>
              <w:spacing w:before="68" w:line="220" w:lineRule="auto"/>
              <w:ind w:left="183"/>
              <w:rPr>
                <w:rFonts w:ascii="宋体" w:hAnsi="宋体" w:eastAsia="宋体" w:cs="宋体"/>
                <w:sz w:val="21"/>
                <w:szCs w:val="21"/>
              </w:rPr>
            </w:pPr>
            <w:r>
              <w:rPr>
                <w:rFonts w:ascii="宋体" w:hAnsi="宋体" w:eastAsia="宋体" w:cs="宋体"/>
                <w:spacing w:val="-3"/>
                <w:sz w:val="21"/>
                <w:szCs w:val="21"/>
              </w:rPr>
              <w:t>符合</w:t>
            </w:r>
          </w:p>
        </w:tc>
      </w:tr>
    </w:tbl>
    <w:p w14:paraId="04A977E5">
      <w:pPr>
        <w:pStyle w:val="2"/>
      </w:pPr>
    </w:p>
    <w:p w14:paraId="0FBAA4C5">
      <w:pPr>
        <w:sectPr>
          <w:headerReference r:id="rId105" w:type="default"/>
          <w:footerReference r:id="rId106" w:type="default"/>
          <w:pgSz w:w="11905" w:h="16840"/>
          <w:pgMar w:top="1168" w:right="1768" w:bottom="1409" w:left="1770" w:header="828" w:footer="1244" w:gutter="0"/>
          <w:cols w:space="720" w:num="1"/>
        </w:sectPr>
      </w:pPr>
    </w:p>
    <w:p w14:paraId="4A5BDC18">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4779"/>
        <w:gridCol w:w="2300"/>
        <w:gridCol w:w="772"/>
      </w:tblGrid>
      <w:tr w14:paraId="4F5DA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9" w:type="dxa"/>
            <w:vAlign w:val="top"/>
          </w:tcPr>
          <w:p w14:paraId="4E54FE0D">
            <w:pPr>
              <w:spacing w:before="68" w:line="221" w:lineRule="auto"/>
              <w:ind w:left="28"/>
              <w:rPr>
                <w:rFonts w:ascii="宋体" w:hAnsi="宋体" w:eastAsia="宋体" w:cs="宋体"/>
                <w:sz w:val="21"/>
                <w:szCs w:val="21"/>
              </w:rPr>
            </w:pPr>
            <w:r>
              <w:rPr>
                <w:rFonts w:ascii="宋体" w:hAnsi="宋体" w:eastAsia="宋体" w:cs="宋体"/>
                <w:spacing w:val="-2"/>
                <w:sz w:val="21"/>
                <w:szCs w:val="21"/>
              </w:rPr>
              <w:t>序号</w:t>
            </w:r>
          </w:p>
        </w:tc>
        <w:tc>
          <w:tcPr>
            <w:tcW w:w="4779" w:type="dxa"/>
            <w:vAlign w:val="top"/>
          </w:tcPr>
          <w:p w14:paraId="24A957A1">
            <w:pPr>
              <w:spacing w:before="68" w:line="220" w:lineRule="auto"/>
              <w:ind w:left="1973"/>
              <w:rPr>
                <w:rFonts w:ascii="宋体" w:hAnsi="宋体" w:eastAsia="宋体" w:cs="宋体"/>
                <w:sz w:val="21"/>
                <w:szCs w:val="21"/>
              </w:rPr>
            </w:pPr>
            <w:r>
              <w:rPr>
                <w:rFonts w:ascii="宋体" w:hAnsi="宋体" w:eastAsia="宋体" w:cs="宋体"/>
                <w:spacing w:val="-2"/>
                <w:sz w:val="21"/>
                <w:szCs w:val="21"/>
              </w:rPr>
              <w:t>通知内容</w:t>
            </w:r>
          </w:p>
        </w:tc>
        <w:tc>
          <w:tcPr>
            <w:tcW w:w="2300" w:type="dxa"/>
            <w:vAlign w:val="top"/>
          </w:tcPr>
          <w:p w14:paraId="304AED62">
            <w:pPr>
              <w:spacing w:before="68" w:line="219" w:lineRule="auto"/>
              <w:ind w:left="632"/>
              <w:rPr>
                <w:rFonts w:ascii="宋体" w:hAnsi="宋体" w:eastAsia="宋体" w:cs="宋体"/>
                <w:sz w:val="21"/>
                <w:szCs w:val="21"/>
              </w:rPr>
            </w:pPr>
            <w:r>
              <w:rPr>
                <w:rFonts w:ascii="宋体" w:hAnsi="宋体" w:eastAsia="宋体" w:cs="宋体"/>
                <w:spacing w:val="-2"/>
                <w:sz w:val="21"/>
                <w:szCs w:val="21"/>
              </w:rPr>
              <w:t>本项目情况</w:t>
            </w:r>
          </w:p>
        </w:tc>
        <w:tc>
          <w:tcPr>
            <w:tcW w:w="772" w:type="dxa"/>
            <w:vAlign w:val="top"/>
          </w:tcPr>
          <w:p w14:paraId="268C7557">
            <w:pPr>
              <w:spacing w:before="68" w:line="220" w:lineRule="auto"/>
              <w:ind w:left="78"/>
              <w:rPr>
                <w:rFonts w:ascii="宋体" w:hAnsi="宋体" w:eastAsia="宋体" w:cs="宋体"/>
                <w:sz w:val="21"/>
                <w:szCs w:val="21"/>
              </w:rPr>
            </w:pPr>
            <w:r>
              <w:rPr>
                <w:rFonts w:ascii="宋体" w:hAnsi="宋体" w:eastAsia="宋体" w:cs="宋体"/>
                <w:spacing w:val="-3"/>
                <w:sz w:val="21"/>
                <w:szCs w:val="21"/>
              </w:rPr>
              <w:t>符合性</w:t>
            </w:r>
          </w:p>
        </w:tc>
      </w:tr>
      <w:tr w14:paraId="7E49D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4" w:hRule="atLeast"/>
        </w:trPr>
        <w:tc>
          <w:tcPr>
            <w:tcW w:w="469" w:type="dxa"/>
            <w:vAlign w:val="top"/>
          </w:tcPr>
          <w:p w14:paraId="698C7824">
            <w:pPr>
              <w:rPr>
                <w:rFonts w:ascii="Arial"/>
                <w:sz w:val="21"/>
              </w:rPr>
            </w:pPr>
          </w:p>
        </w:tc>
        <w:tc>
          <w:tcPr>
            <w:tcW w:w="4779" w:type="dxa"/>
            <w:vAlign w:val="top"/>
          </w:tcPr>
          <w:p w14:paraId="49248820">
            <w:pPr>
              <w:pStyle w:val="6"/>
              <w:spacing w:before="49" w:line="220" w:lineRule="auto"/>
              <w:ind w:left="222"/>
              <w:rPr>
                <w:rFonts w:ascii="宋体" w:hAnsi="宋体" w:eastAsia="宋体" w:cs="宋体"/>
              </w:rPr>
            </w:pPr>
            <w:r>
              <w:rPr>
                <w:spacing w:val="-5"/>
              </w:rPr>
              <w:t>10.1</w:t>
            </w:r>
            <w:r>
              <w:rPr>
                <w:spacing w:val="7"/>
              </w:rPr>
              <w:t xml:space="preserve">  </w:t>
            </w:r>
            <w:r>
              <w:rPr>
                <w:rFonts w:ascii="宋体" w:hAnsi="宋体" w:eastAsia="宋体" w:cs="宋体"/>
                <w:spacing w:val="-5"/>
              </w:rPr>
              <w:t>种养循环</w:t>
            </w:r>
          </w:p>
          <w:p w14:paraId="6422EFE6">
            <w:pPr>
              <w:spacing w:before="64" w:line="274" w:lineRule="auto"/>
              <w:ind w:left="8" w:firstLine="200"/>
              <w:rPr>
                <w:rFonts w:ascii="宋体" w:hAnsi="宋体" w:eastAsia="宋体" w:cs="宋体"/>
                <w:sz w:val="21"/>
                <w:szCs w:val="21"/>
              </w:rPr>
            </w:pPr>
            <w:r>
              <w:rPr>
                <w:rFonts w:ascii="宋体" w:hAnsi="宋体" w:eastAsia="宋体" w:cs="宋体"/>
                <w:spacing w:val="-4"/>
                <w:sz w:val="21"/>
                <w:szCs w:val="21"/>
              </w:rPr>
              <w:t>坚持以地定畜、种养平衡、环境友好原则。根据土地承载能力确定畜禽养殖规模，促使种养业在布局上相协调，在规模上相匹配。通过堆肥、厌氧发酵、多级沉淀等工艺技术，将畜禽粪便处理后还田利用，实现粮、蔬、茶、果等农作物、经济作物及林木的种植</w:t>
            </w:r>
            <w:r>
              <w:rPr>
                <w:rFonts w:ascii="宋体" w:hAnsi="宋体" w:eastAsia="宋体" w:cs="宋体"/>
                <w:spacing w:val="-3"/>
                <w:sz w:val="21"/>
                <w:szCs w:val="21"/>
              </w:rPr>
              <w:t>与畜禽养殖的有机结合，达到种养循环利用的目的。</w:t>
            </w:r>
          </w:p>
          <w:p w14:paraId="52330611">
            <w:pPr>
              <w:pStyle w:val="6"/>
              <w:spacing w:line="218" w:lineRule="auto"/>
              <w:ind w:left="222"/>
              <w:rPr>
                <w:rFonts w:ascii="宋体" w:hAnsi="宋体" w:eastAsia="宋体" w:cs="宋体"/>
              </w:rPr>
            </w:pPr>
            <w:r>
              <w:rPr>
                <w:spacing w:val="-3"/>
              </w:rPr>
              <w:t xml:space="preserve">10.2  </w:t>
            </w:r>
            <w:r>
              <w:rPr>
                <w:rFonts w:ascii="宋体" w:hAnsi="宋体" w:eastAsia="宋体" w:cs="宋体"/>
                <w:spacing w:val="-3"/>
              </w:rPr>
              <w:t>肥料化利用</w:t>
            </w:r>
          </w:p>
          <w:p w14:paraId="3EB76A3A">
            <w:pPr>
              <w:spacing w:before="64" w:line="274" w:lineRule="auto"/>
              <w:ind w:left="8" w:firstLine="198"/>
              <w:rPr>
                <w:rFonts w:ascii="宋体" w:hAnsi="宋体" w:eastAsia="宋体" w:cs="宋体"/>
                <w:sz w:val="21"/>
                <w:szCs w:val="21"/>
              </w:rPr>
            </w:pPr>
            <w:r>
              <w:rPr>
                <w:rFonts w:ascii="宋体" w:hAnsi="宋体" w:eastAsia="宋体" w:cs="宋体"/>
                <w:spacing w:val="-3"/>
                <w:sz w:val="21"/>
                <w:szCs w:val="21"/>
              </w:rPr>
              <w:t>养殖场经过粪便收集、干燥、发酵、添加、制粒、</w:t>
            </w:r>
            <w:r>
              <w:rPr>
                <w:rFonts w:ascii="宋体" w:hAnsi="宋体" w:eastAsia="宋体" w:cs="宋体"/>
                <w:spacing w:val="-4"/>
                <w:sz w:val="21"/>
                <w:szCs w:val="21"/>
              </w:rPr>
              <w:t>灌装等过程，可根据用户需求生产专用有机肥，有机</w:t>
            </w:r>
            <w:r>
              <w:rPr>
                <w:rFonts w:ascii="宋体" w:hAnsi="宋体" w:eastAsia="宋体" w:cs="宋体"/>
                <w:spacing w:val="-3"/>
                <w:sz w:val="21"/>
                <w:szCs w:val="21"/>
              </w:rPr>
              <w:t>肥生产可实现商品化，便于长距离运输。</w:t>
            </w:r>
          </w:p>
          <w:p w14:paraId="09361739">
            <w:pPr>
              <w:pStyle w:val="6"/>
              <w:spacing w:before="1" w:line="220" w:lineRule="auto"/>
              <w:ind w:left="222"/>
              <w:rPr>
                <w:rFonts w:ascii="宋体" w:hAnsi="宋体" w:eastAsia="宋体" w:cs="宋体"/>
              </w:rPr>
            </w:pPr>
            <w:r>
              <w:rPr>
                <w:spacing w:val="-5"/>
              </w:rPr>
              <w:t>10.3</w:t>
            </w:r>
            <w:r>
              <w:rPr>
                <w:spacing w:val="10"/>
              </w:rPr>
              <w:t xml:space="preserve">  </w:t>
            </w:r>
            <w:r>
              <w:rPr>
                <w:rFonts w:ascii="宋体" w:hAnsi="宋体" w:eastAsia="宋体" w:cs="宋体"/>
                <w:spacing w:val="-5"/>
              </w:rPr>
              <w:t>能源化利用</w:t>
            </w:r>
          </w:p>
          <w:p w14:paraId="38F51CAD">
            <w:pPr>
              <w:spacing w:before="60" w:line="258" w:lineRule="auto"/>
              <w:ind w:left="9" w:right="1" w:firstLine="196"/>
              <w:rPr>
                <w:rFonts w:ascii="宋体" w:hAnsi="宋体" w:eastAsia="宋体" w:cs="宋体"/>
                <w:sz w:val="21"/>
                <w:szCs w:val="21"/>
              </w:rPr>
            </w:pPr>
            <w:r>
              <w:rPr>
                <w:rFonts w:ascii="宋体" w:hAnsi="宋体" w:eastAsia="宋体" w:cs="宋体"/>
                <w:spacing w:val="-3"/>
                <w:sz w:val="21"/>
                <w:szCs w:val="21"/>
              </w:rPr>
              <w:t>农村畜禽养殖产生的大量粪便，利用沼气技术处理生产沼气，用于照明和生活用气，沼液固液分离猪粪</w:t>
            </w:r>
            <w:r>
              <w:rPr>
                <w:rFonts w:ascii="宋体" w:hAnsi="宋体" w:eastAsia="宋体" w:cs="宋体"/>
                <w:spacing w:val="-4"/>
                <w:sz w:val="21"/>
                <w:szCs w:val="21"/>
              </w:rPr>
              <w:t>经处理后还田利用。</w:t>
            </w:r>
          </w:p>
        </w:tc>
        <w:tc>
          <w:tcPr>
            <w:tcW w:w="2300" w:type="dxa"/>
            <w:vAlign w:val="top"/>
          </w:tcPr>
          <w:p w14:paraId="0F6A75B7">
            <w:pPr>
              <w:rPr>
                <w:rFonts w:ascii="Arial"/>
                <w:sz w:val="21"/>
              </w:rPr>
            </w:pPr>
          </w:p>
        </w:tc>
        <w:tc>
          <w:tcPr>
            <w:tcW w:w="772" w:type="dxa"/>
            <w:vAlign w:val="top"/>
          </w:tcPr>
          <w:p w14:paraId="127625C6">
            <w:pPr>
              <w:rPr>
                <w:rFonts w:ascii="Arial"/>
                <w:sz w:val="21"/>
              </w:rPr>
            </w:pPr>
          </w:p>
        </w:tc>
      </w:tr>
    </w:tbl>
    <w:p w14:paraId="29AB6EAC">
      <w:pPr>
        <w:spacing w:before="115" w:line="362" w:lineRule="auto"/>
        <w:ind w:left="43" w:right="32" w:firstLine="505"/>
        <w:rPr>
          <w:rFonts w:ascii="宋体" w:hAnsi="宋体" w:eastAsia="宋体" w:cs="宋体"/>
          <w:sz w:val="24"/>
          <w:szCs w:val="24"/>
        </w:rPr>
      </w:pPr>
      <w:r>
        <w:rPr>
          <w:rFonts w:ascii="宋体" w:hAnsi="宋体" w:eastAsia="宋体" w:cs="宋体"/>
          <w:spacing w:val="-1"/>
          <w:sz w:val="24"/>
          <w:szCs w:val="24"/>
        </w:rPr>
        <w:t>由表可知，本项目符合《关于印发</w:t>
      </w:r>
      <w:r>
        <w:rPr>
          <w:rFonts w:ascii="Times New Roman" w:hAnsi="Times New Roman" w:eastAsia="Times New Roman" w:cs="Times New Roman"/>
          <w:spacing w:val="-1"/>
          <w:sz w:val="24"/>
          <w:szCs w:val="24"/>
        </w:rPr>
        <w:t>&lt;</w:t>
      </w:r>
      <w:r>
        <w:rPr>
          <w:rFonts w:ascii="宋体" w:hAnsi="宋体" w:eastAsia="宋体" w:cs="宋体"/>
          <w:spacing w:val="-1"/>
          <w:sz w:val="24"/>
          <w:szCs w:val="24"/>
        </w:rPr>
        <w:t>四川省畜禽养殖污染防治技术指南（试</w:t>
      </w:r>
      <w:r>
        <w:rPr>
          <w:rFonts w:ascii="宋体" w:hAnsi="宋体" w:eastAsia="宋体" w:cs="宋体"/>
          <w:spacing w:val="-6"/>
          <w:sz w:val="24"/>
          <w:szCs w:val="24"/>
        </w:rPr>
        <w:t>行）</w:t>
      </w:r>
      <w:r>
        <w:rPr>
          <w:rFonts w:ascii="Times New Roman" w:hAnsi="Times New Roman" w:eastAsia="Times New Roman" w:cs="Times New Roman"/>
          <w:spacing w:val="-6"/>
          <w:sz w:val="24"/>
          <w:szCs w:val="24"/>
        </w:rPr>
        <w:t>&gt;</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的通知》相关要求。</w:t>
      </w:r>
    </w:p>
    <w:p w14:paraId="5DE57112">
      <w:pPr>
        <w:spacing w:before="50" w:line="226" w:lineRule="auto"/>
        <w:ind w:left="48"/>
        <w:rPr>
          <w:rFonts w:ascii="宋体" w:hAnsi="宋体" w:eastAsia="宋体" w:cs="宋体"/>
          <w:sz w:val="27"/>
          <w:szCs w:val="27"/>
        </w:rPr>
      </w:pPr>
      <w:r>
        <w:rPr>
          <w:rFonts w:ascii="Times New Roman" w:hAnsi="Times New Roman" w:eastAsia="Times New Roman" w:cs="Times New Roman"/>
          <w:b/>
          <w:bCs/>
          <w:spacing w:val="6"/>
          <w:sz w:val="27"/>
          <w:szCs w:val="27"/>
        </w:rPr>
        <w:t>1.6.3.9</w:t>
      </w:r>
      <w:r>
        <w:rPr>
          <w:rFonts w:ascii="Times New Roman" w:hAnsi="Times New Roman" w:eastAsia="Times New Roman" w:cs="Times New Roman"/>
          <w:b/>
          <w:bCs/>
          <w:spacing w:val="22"/>
          <w:sz w:val="27"/>
          <w:szCs w:val="27"/>
        </w:rPr>
        <w:t xml:space="preserve"> </w:t>
      </w:r>
      <w:r>
        <w:rPr>
          <w:rFonts w:ascii="宋体" w:hAnsi="宋体" w:eastAsia="宋体" w:cs="宋体"/>
          <w:b/>
          <w:bCs/>
          <w:spacing w:val="6"/>
          <w:sz w:val="27"/>
          <w:szCs w:val="27"/>
        </w:rPr>
        <w:t>与《固体废物再生利用污染防治技术导则》的符合性分析</w:t>
      </w:r>
    </w:p>
    <w:p w14:paraId="409D5190">
      <w:pPr>
        <w:spacing w:before="236" w:line="362" w:lineRule="auto"/>
        <w:ind w:left="42" w:right="41" w:firstLine="478"/>
        <w:rPr>
          <w:rFonts w:ascii="宋体" w:hAnsi="宋体" w:eastAsia="宋体" w:cs="宋体"/>
          <w:sz w:val="24"/>
          <w:szCs w:val="24"/>
        </w:rPr>
      </w:pPr>
      <w:r>
        <w:rPr>
          <w:rFonts w:ascii="宋体" w:hAnsi="宋体" w:eastAsia="宋体" w:cs="宋体"/>
          <w:sz w:val="24"/>
          <w:szCs w:val="24"/>
        </w:rPr>
        <w:t>本项目与《固体废物再生利用污染防治技术导则》（</w:t>
      </w:r>
      <w:r>
        <w:rPr>
          <w:rFonts w:ascii="Times New Roman" w:hAnsi="Times New Roman" w:eastAsia="Times New Roman" w:cs="Times New Roman"/>
          <w:sz w:val="24"/>
          <w:szCs w:val="24"/>
        </w:rPr>
        <w:t>HJ1091-2020</w:t>
      </w:r>
      <w:r>
        <w:rPr>
          <w:rFonts w:ascii="宋体" w:hAnsi="宋体" w:eastAsia="宋体" w:cs="宋体"/>
          <w:sz w:val="24"/>
          <w:szCs w:val="24"/>
        </w:rPr>
        <w:t>）的符合</w:t>
      </w:r>
      <w:r>
        <w:rPr>
          <w:rFonts w:ascii="宋体" w:hAnsi="宋体" w:eastAsia="宋体" w:cs="宋体"/>
          <w:spacing w:val="-9"/>
          <w:sz w:val="24"/>
          <w:szCs w:val="24"/>
        </w:rPr>
        <w:t>性分析见下表：</w:t>
      </w:r>
    </w:p>
    <w:p w14:paraId="76C5CD09">
      <w:pPr>
        <w:spacing w:before="8" w:line="221" w:lineRule="auto"/>
        <w:ind w:left="1350"/>
        <w:rPr>
          <w:rFonts w:ascii="黑体" w:hAnsi="黑体" w:eastAsia="黑体" w:cs="黑体"/>
          <w:sz w:val="21"/>
          <w:szCs w:val="21"/>
        </w:rPr>
      </w:pPr>
      <w:r>
        <w:rPr>
          <w:rFonts w:ascii="黑体" w:hAnsi="黑体" w:eastAsia="黑体" w:cs="黑体"/>
          <w:sz w:val="21"/>
          <w:szCs w:val="21"/>
        </w:rPr>
        <w:t>表</w:t>
      </w:r>
      <w:r>
        <w:rPr>
          <w:rFonts w:ascii="Times New Roman" w:hAnsi="Times New Roman" w:eastAsia="Times New Roman" w:cs="Times New Roman"/>
          <w:sz w:val="21"/>
          <w:szCs w:val="21"/>
        </w:rPr>
        <w:t xml:space="preserve">1.6-13  </w:t>
      </w:r>
      <w:r>
        <w:rPr>
          <w:rFonts w:ascii="黑体" w:hAnsi="黑体" w:eastAsia="黑体" w:cs="黑体"/>
          <w:sz w:val="21"/>
          <w:szCs w:val="21"/>
        </w:rPr>
        <w:t>项目与固体废物再生利</w:t>
      </w:r>
      <w:r>
        <w:rPr>
          <w:rFonts w:ascii="黑体" w:hAnsi="黑体" w:eastAsia="黑体" w:cs="黑体"/>
          <w:spacing w:val="-1"/>
          <w:sz w:val="21"/>
          <w:szCs w:val="21"/>
        </w:rPr>
        <w:t>用污染防治技术导则的符合性</w:t>
      </w:r>
    </w:p>
    <w:p w14:paraId="25509325">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3480"/>
        <w:gridCol w:w="2700"/>
        <w:gridCol w:w="839"/>
      </w:tblGrid>
      <w:tr w14:paraId="6E56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01" w:type="dxa"/>
            <w:vAlign w:val="top"/>
          </w:tcPr>
          <w:p w14:paraId="4F024882">
            <w:pPr>
              <w:spacing w:before="68" w:line="222" w:lineRule="auto"/>
              <w:ind w:left="448"/>
              <w:rPr>
                <w:rFonts w:ascii="宋体" w:hAnsi="宋体" w:eastAsia="宋体" w:cs="宋体"/>
                <w:sz w:val="21"/>
                <w:szCs w:val="21"/>
              </w:rPr>
            </w:pPr>
            <w:r>
              <w:rPr>
                <w:rFonts w:ascii="宋体" w:hAnsi="宋体" w:eastAsia="宋体" w:cs="宋体"/>
                <w:spacing w:val="-3"/>
                <w:sz w:val="21"/>
                <w:szCs w:val="21"/>
              </w:rPr>
              <w:t>名称</w:t>
            </w:r>
          </w:p>
        </w:tc>
        <w:tc>
          <w:tcPr>
            <w:tcW w:w="3480" w:type="dxa"/>
            <w:vAlign w:val="top"/>
          </w:tcPr>
          <w:p w14:paraId="0EB05C2E">
            <w:pPr>
              <w:spacing w:before="68" w:line="220" w:lineRule="auto"/>
              <w:ind w:left="1331"/>
              <w:rPr>
                <w:rFonts w:ascii="宋体" w:hAnsi="宋体" w:eastAsia="宋体" w:cs="宋体"/>
                <w:sz w:val="21"/>
                <w:szCs w:val="21"/>
              </w:rPr>
            </w:pPr>
            <w:r>
              <w:rPr>
                <w:rFonts w:ascii="宋体" w:hAnsi="宋体" w:eastAsia="宋体" w:cs="宋体"/>
                <w:spacing w:val="-3"/>
                <w:sz w:val="21"/>
                <w:szCs w:val="21"/>
              </w:rPr>
              <w:t>导则内容</w:t>
            </w:r>
          </w:p>
        </w:tc>
        <w:tc>
          <w:tcPr>
            <w:tcW w:w="2700" w:type="dxa"/>
            <w:vAlign w:val="top"/>
          </w:tcPr>
          <w:p w14:paraId="08205800">
            <w:pPr>
              <w:spacing w:before="68" w:line="219" w:lineRule="auto"/>
              <w:ind w:left="833"/>
              <w:rPr>
                <w:rFonts w:ascii="宋体" w:hAnsi="宋体" w:eastAsia="宋体" w:cs="宋体"/>
                <w:sz w:val="21"/>
                <w:szCs w:val="21"/>
              </w:rPr>
            </w:pPr>
            <w:r>
              <w:rPr>
                <w:rFonts w:ascii="宋体" w:hAnsi="宋体" w:eastAsia="宋体" w:cs="宋体"/>
                <w:spacing w:val="-2"/>
                <w:sz w:val="21"/>
                <w:szCs w:val="21"/>
              </w:rPr>
              <w:t>本项目情况</w:t>
            </w:r>
          </w:p>
        </w:tc>
        <w:tc>
          <w:tcPr>
            <w:tcW w:w="839" w:type="dxa"/>
            <w:vAlign w:val="top"/>
          </w:tcPr>
          <w:p w14:paraId="00FA9688">
            <w:pPr>
              <w:spacing w:before="68" w:line="220" w:lineRule="auto"/>
              <w:ind w:left="111"/>
              <w:rPr>
                <w:rFonts w:ascii="宋体" w:hAnsi="宋体" w:eastAsia="宋体" w:cs="宋体"/>
                <w:sz w:val="21"/>
                <w:szCs w:val="21"/>
              </w:rPr>
            </w:pPr>
            <w:r>
              <w:rPr>
                <w:rFonts w:ascii="宋体" w:hAnsi="宋体" w:eastAsia="宋体" w:cs="宋体"/>
                <w:spacing w:val="-3"/>
                <w:sz w:val="21"/>
                <w:szCs w:val="21"/>
              </w:rPr>
              <w:t>符合性</w:t>
            </w:r>
          </w:p>
        </w:tc>
      </w:tr>
      <w:tr w14:paraId="57A14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0" w:hRule="atLeast"/>
        </w:trPr>
        <w:tc>
          <w:tcPr>
            <w:tcW w:w="1301" w:type="dxa"/>
            <w:vAlign w:val="top"/>
          </w:tcPr>
          <w:p w14:paraId="00374E31">
            <w:pPr>
              <w:spacing w:line="269" w:lineRule="auto"/>
              <w:rPr>
                <w:rFonts w:ascii="Arial"/>
                <w:sz w:val="21"/>
              </w:rPr>
            </w:pPr>
          </w:p>
          <w:p w14:paraId="46DCF4EB">
            <w:pPr>
              <w:spacing w:line="269" w:lineRule="auto"/>
              <w:rPr>
                <w:rFonts w:ascii="Arial"/>
                <w:sz w:val="21"/>
              </w:rPr>
            </w:pPr>
          </w:p>
          <w:p w14:paraId="0CE0777D">
            <w:pPr>
              <w:spacing w:line="269" w:lineRule="auto"/>
              <w:rPr>
                <w:rFonts w:ascii="Arial"/>
                <w:sz w:val="21"/>
              </w:rPr>
            </w:pPr>
          </w:p>
          <w:p w14:paraId="62E9CF97">
            <w:pPr>
              <w:spacing w:line="269" w:lineRule="auto"/>
              <w:rPr>
                <w:rFonts w:ascii="Arial"/>
                <w:sz w:val="21"/>
              </w:rPr>
            </w:pPr>
          </w:p>
          <w:p w14:paraId="1851C641">
            <w:pPr>
              <w:spacing w:line="269" w:lineRule="auto"/>
              <w:rPr>
                <w:rFonts w:ascii="Arial"/>
                <w:sz w:val="21"/>
              </w:rPr>
            </w:pPr>
          </w:p>
          <w:p w14:paraId="0B7CCA98">
            <w:pPr>
              <w:spacing w:line="269" w:lineRule="auto"/>
              <w:rPr>
                <w:rFonts w:ascii="Arial"/>
                <w:sz w:val="21"/>
              </w:rPr>
            </w:pPr>
          </w:p>
          <w:p w14:paraId="59222153">
            <w:pPr>
              <w:spacing w:line="269" w:lineRule="auto"/>
              <w:rPr>
                <w:rFonts w:ascii="Arial"/>
                <w:sz w:val="21"/>
              </w:rPr>
            </w:pPr>
          </w:p>
          <w:p w14:paraId="53E78AD9">
            <w:pPr>
              <w:spacing w:line="270" w:lineRule="auto"/>
              <w:rPr>
                <w:rFonts w:ascii="Arial"/>
                <w:sz w:val="21"/>
              </w:rPr>
            </w:pPr>
          </w:p>
          <w:p w14:paraId="19F737B9">
            <w:pPr>
              <w:spacing w:before="69" w:line="220" w:lineRule="auto"/>
              <w:ind w:left="27"/>
              <w:rPr>
                <w:rFonts w:ascii="宋体" w:hAnsi="宋体" w:eastAsia="宋体" w:cs="宋体"/>
                <w:sz w:val="21"/>
                <w:szCs w:val="21"/>
              </w:rPr>
            </w:pPr>
            <w:r>
              <w:rPr>
                <w:rFonts w:ascii="宋体" w:hAnsi="宋体" w:eastAsia="宋体" w:cs="宋体"/>
                <w:spacing w:val="-2"/>
                <w:sz w:val="21"/>
                <w:szCs w:val="21"/>
              </w:rPr>
              <w:t>主要工艺单元</w:t>
            </w:r>
          </w:p>
          <w:p w14:paraId="39BC84F4">
            <w:pPr>
              <w:spacing w:before="60" w:line="220" w:lineRule="auto"/>
              <w:ind w:left="27"/>
              <w:rPr>
                <w:rFonts w:ascii="宋体" w:hAnsi="宋体" w:eastAsia="宋体" w:cs="宋体"/>
                <w:sz w:val="21"/>
                <w:szCs w:val="21"/>
              </w:rPr>
            </w:pPr>
            <w:r>
              <w:rPr>
                <w:rFonts w:ascii="宋体" w:hAnsi="宋体" w:eastAsia="宋体" w:cs="宋体"/>
                <w:spacing w:val="-2"/>
                <w:sz w:val="21"/>
                <w:szCs w:val="21"/>
              </w:rPr>
              <w:t>污染防治技术</w:t>
            </w:r>
          </w:p>
          <w:p w14:paraId="0C7C499E">
            <w:pPr>
              <w:spacing w:before="62" w:line="221" w:lineRule="auto"/>
              <w:ind w:left="446"/>
              <w:rPr>
                <w:rFonts w:ascii="宋体" w:hAnsi="宋体" w:eastAsia="宋体" w:cs="宋体"/>
                <w:sz w:val="21"/>
                <w:szCs w:val="21"/>
              </w:rPr>
            </w:pPr>
            <w:r>
              <w:rPr>
                <w:rFonts w:ascii="宋体" w:hAnsi="宋体" w:eastAsia="宋体" w:cs="宋体"/>
                <w:spacing w:val="-3"/>
                <w:sz w:val="21"/>
                <w:szCs w:val="21"/>
              </w:rPr>
              <w:t>要求</w:t>
            </w:r>
          </w:p>
        </w:tc>
        <w:tc>
          <w:tcPr>
            <w:tcW w:w="3480" w:type="dxa"/>
            <w:vAlign w:val="top"/>
          </w:tcPr>
          <w:p w14:paraId="4D66BB0C">
            <w:pPr>
              <w:pStyle w:val="6"/>
              <w:spacing w:before="52" w:line="274" w:lineRule="auto"/>
              <w:ind w:left="8" w:firstLine="2"/>
              <w:rPr>
                <w:rFonts w:ascii="宋体" w:hAnsi="宋体" w:eastAsia="宋体" w:cs="宋体"/>
              </w:rPr>
            </w:pPr>
            <w:r>
              <w:rPr>
                <w:spacing w:val="-1"/>
              </w:rPr>
              <w:t xml:space="preserve">5.1.1  </w:t>
            </w:r>
            <w:r>
              <w:rPr>
                <w:rFonts w:ascii="宋体" w:hAnsi="宋体" w:eastAsia="宋体" w:cs="宋体"/>
                <w:spacing w:val="-1"/>
              </w:rPr>
              <w:t>进行再生利用作业前，应明确固</w:t>
            </w:r>
            <w:r>
              <w:rPr>
                <w:rFonts w:ascii="宋体" w:hAnsi="宋体" w:eastAsia="宋体" w:cs="宋体"/>
                <w:spacing w:val="-7"/>
              </w:rPr>
              <w:t>体废物的理化特性，并采取相应的安全防护措施，以防止固体废物在清洗、破碎、中和反应等过程中引起有毒有害物质的释放。</w:t>
            </w:r>
          </w:p>
          <w:p w14:paraId="793A6A2C">
            <w:pPr>
              <w:pStyle w:val="6"/>
              <w:spacing w:line="274" w:lineRule="auto"/>
              <w:ind w:left="8" w:right="2" w:firstLine="1"/>
              <w:rPr>
                <w:rFonts w:ascii="宋体" w:hAnsi="宋体" w:eastAsia="宋体" w:cs="宋体"/>
              </w:rPr>
            </w:pPr>
            <w:r>
              <w:rPr>
                <w:spacing w:val="-1"/>
              </w:rPr>
              <w:t xml:space="preserve">5.1.2  </w:t>
            </w:r>
            <w:r>
              <w:rPr>
                <w:rFonts w:ascii="宋体" w:hAnsi="宋体" w:eastAsia="宋体" w:cs="宋体"/>
                <w:spacing w:val="-1"/>
              </w:rPr>
              <w:t>具有物理化学危险特性的固体废</w:t>
            </w:r>
            <w:r>
              <w:rPr>
                <w:rFonts w:ascii="宋体" w:hAnsi="宋体" w:eastAsia="宋体" w:cs="宋体"/>
                <w:spacing w:val="-3"/>
              </w:rPr>
              <w:t>物，应首先进行稳定化处理。</w:t>
            </w:r>
          </w:p>
          <w:p w14:paraId="08B63D5E">
            <w:pPr>
              <w:pStyle w:val="6"/>
              <w:spacing w:before="1" w:line="274" w:lineRule="auto"/>
              <w:ind w:left="7" w:firstLine="3"/>
              <w:rPr>
                <w:rFonts w:ascii="宋体" w:hAnsi="宋体" w:eastAsia="宋体" w:cs="宋体"/>
              </w:rPr>
            </w:pPr>
            <w:r>
              <w:rPr>
                <w:spacing w:val="-1"/>
              </w:rPr>
              <w:t xml:space="preserve">5.1.3  </w:t>
            </w:r>
            <w:r>
              <w:rPr>
                <w:rFonts w:ascii="宋体" w:hAnsi="宋体" w:eastAsia="宋体" w:cs="宋体"/>
                <w:spacing w:val="-1"/>
              </w:rPr>
              <w:t>应根据固体废物的特性设置必要</w:t>
            </w:r>
            <w:r>
              <w:rPr>
                <w:rFonts w:ascii="宋体" w:hAnsi="宋体" w:eastAsia="宋体" w:cs="宋体"/>
                <w:spacing w:val="-11"/>
              </w:rPr>
              <w:t>的防扬撒、防渗漏、防腐蚀设施，</w:t>
            </w:r>
            <w:r>
              <w:rPr>
                <w:rFonts w:ascii="宋体" w:hAnsi="宋体" w:eastAsia="宋体" w:cs="宋体"/>
                <w:spacing w:val="-23"/>
              </w:rPr>
              <w:t xml:space="preserve"> </w:t>
            </w:r>
            <w:r>
              <w:rPr>
                <w:rFonts w:ascii="宋体" w:hAnsi="宋体" w:eastAsia="宋体" w:cs="宋体"/>
                <w:spacing w:val="-11"/>
              </w:rPr>
              <w:t>配备</w:t>
            </w:r>
            <w:r>
              <w:rPr>
                <w:rFonts w:ascii="宋体" w:hAnsi="宋体" w:eastAsia="宋体" w:cs="宋体"/>
                <w:spacing w:val="-7"/>
              </w:rPr>
              <w:t>废气处理、废水处理、噪声控制等污染防治设施，按要求对主要环境影响指标</w:t>
            </w:r>
            <w:r>
              <w:rPr>
                <w:rFonts w:ascii="宋体" w:hAnsi="宋体" w:eastAsia="宋体" w:cs="宋体"/>
                <w:spacing w:val="-5"/>
              </w:rPr>
              <w:t>进行在线监测。</w:t>
            </w:r>
          </w:p>
          <w:p w14:paraId="45D91D22">
            <w:pPr>
              <w:pStyle w:val="6"/>
              <w:spacing w:before="3" w:line="264" w:lineRule="auto"/>
              <w:ind w:left="8" w:firstLine="2"/>
              <w:rPr>
                <w:rFonts w:ascii="宋体" w:hAnsi="宋体" w:eastAsia="宋体" w:cs="宋体"/>
              </w:rPr>
            </w:pPr>
            <w:r>
              <w:rPr>
                <w:spacing w:val="-3"/>
              </w:rPr>
              <w:t xml:space="preserve">5.1.4  </w:t>
            </w:r>
            <w:r>
              <w:rPr>
                <w:rFonts w:ascii="宋体" w:hAnsi="宋体" w:eastAsia="宋体" w:cs="宋体"/>
                <w:spacing w:val="-3"/>
              </w:rPr>
              <w:t>产生粉尘和有毒有害气体的作业</w:t>
            </w:r>
            <w:r>
              <w:rPr>
                <w:rFonts w:ascii="宋体" w:hAnsi="宋体" w:eastAsia="宋体" w:cs="宋体"/>
                <w:spacing w:val="3"/>
              </w:rPr>
              <w:t>区应采取除尘和有毒有害气体收集措</w:t>
            </w:r>
            <w:r>
              <w:rPr>
                <w:rFonts w:ascii="宋体" w:hAnsi="宋体" w:eastAsia="宋体" w:cs="宋体"/>
                <w:spacing w:val="-7"/>
              </w:rPr>
              <w:t>施。扬尘点应设置吸尘罩和收尘设备，</w:t>
            </w:r>
            <w:r>
              <w:rPr>
                <w:rFonts w:ascii="宋体" w:hAnsi="宋体" w:eastAsia="宋体" w:cs="宋体"/>
                <w:spacing w:val="3"/>
              </w:rPr>
              <w:t>有毒有害气体逸散区应设置吸附（吸</w:t>
            </w:r>
            <w:r>
              <w:rPr>
                <w:rFonts w:ascii="宋体" w:hAnsi="宋体" w:eastAsia="宋体" w:cs="宋体"/>
                <w:spacing w:val="-9"/>
              </w:rPr>
              <w:t>收）转化装置，保证作业区粉尘、有害</w:t>
            </w:r>
          </w:p>
        </w:tc>
        <w:tc>
          <w:tcPr>
            <w:tcW w:w="2700" w:type="dxa"/>
            <w:vAlign w:val="top"/>
          </w:tcPr>
          <w:p w14:paraId="2D9E86EE">
            <w:pPr>
              <w:spacing w:before="52" w:line="274" w:lineRule="auto"/>
              <w:ind w:left="10" w:firstLine="1"/>
              <w:rPr>
                <w:rFonts w:ascii="宋体" w:hAnsi="宋体" w:eastAsia="宋体" w:cs="宋体"/>
                <w:sz w:val="21"/>
                <w:szCs w:val="21"/>
              </w:rPr>
            </w:pPr>
            <w:r>
              <w:rPr>
                <w:rFonts w:ascii="宋体" w:hAnsi="宋体" w:eastAsia="宋体" w:cs="宋体"/>
                <w:spacing w:val="-4"/>
                <w:sz w:val="21"/>
                <w:szCs w:val="21"/>
              </w:rPr>
              <w:t>本项目利用的固废为粪便、废水处理系统沼渣及污泥，属于一般固体废物，利用过程不涉及清洗、破碎、中和反应等过程，不会引起有毒有害物质的</w:t>
            </w:r>
            <w:r>
              <w:rPr>
                <w:rFonts w:ascii="宋体" w:hAnsi="宋体" w:eastAsia="宋体" w:cs="宋体"/>
                <w:spacing w:val="-9"/>
                <w:sz w:val="21"/>
                <w:szCs w:val="21"/>
              </w:rPr>
              <w:t>释放。</w:t>
            </w:r>
          </w:p>
          <w:p w14:paraId="050F2C9B">
            <w:pPr>
              <w:pStyle w:val="6"/>
              <w:spacing w:before="2" w:line="274" w:lineRule="auto"/>
              <w:ind w:left="6" w:firstLine="5"/>
              <w:rPr>
                <w:rFonts w:ascii="宋体" w:hAnsi="宋体" w:eastAsia="宋体" w:cs="宋体"/>
              </w:rPr>
            </w:pPr>
            <w:r>
              <w:rPr>
                <w:rFonts w:ascii="宋体" w:hAnsi="宋体" w:eastAsia="宋体" w:cs="宋体"/>
                <w:spacing w:val="-6"/>
              </w:rPr>
              <w:t>本项目猪粪、沼渣及污泥经固</w:t>
            </w:r>
            <w:r>
              <w:rPr>
                <w:rFonts w:ascii="宋体" w:hAnsi="宋体" w:eastAsia="宋体" w:cs="宋体"/>
                <w:spacing w:val="-5"/>
              </w:rPr>
              <w:t>液分离后于堆粪棚暂存，交有机肥厂生产有机肥，项目固废</w:t>
            </w:r>
            <w:r>
              <w:rPr>
                <w:rFonts w:ascii="宋体" w:hAnsi="宋体" w:eastAsia="宋体" w:cs="宋体"/>
                <w:spacing w:val="12"/>
              </w:rPr>
              <w:t>处理过程不产生粉尘及有毒</w:t>
            </w:r>
            <w:r>
              <w:rPr>
                <w:rFonts w:ascii="宋体" w:hAnsi="宋体" w:eastAsia="宋体" w:cs="宋体"/>
                <w:spacing w:val="-5"/>
              </w:rPr>
              <w:t>有害物质。堆粪棚喷洒除臭剂</w:t>
            </w:r>
            <w:r>
              <w:rPr>
                <w:spacing w:val="-5"/>
              </w:rPr>
              <w:t>+</w:t>
            </w:r>
            <w:r>
              <w:rPr>
                <w:rFonts w:ascii="宋体" w:hAnsi="宋体" w:eastAsia="宋体" w:cs="宋体"/>
                <w:spacing w:val="-5"/>
              </w:rPr>
              <w:t>负压收集</w:t>
            </w:r>
            <w:r>
              <w:rPr>
                <w:spacing w:val="-5"/>
              </w:rPr>
              <w:t>+</w:t>
            </w:r>
            <w:r>
              <w:rPr>
                <w:rFonts w:ascii="宋体" w:hAnsi="宋体" w:eastAsia="宋体" w:cs="宋体"/>
                <w:spacing w:val="-5"/>
              </w:rPr>
              <w:t>生物滤池除臭后，</w:t>
            </w:r>
            <w:r>
              <w:rPr>
                <w:rFonts w:ascii="宋体" w:hAnsi="宋体" w:eastAsia="宋体" w:cs="宋体"/>
                <w:spacing w:val="-10"/>
              </w:rPr>
              <w:t>由</w:t>
            </w:r>
            <w:r>
              <w:rPr>
                <w:rFonts w:ascii="宋体" w:hAnsi="宋体" w:eastAsia="宋体" w:cs="宋体"/>
                <w:spacing w:val="-22"/>
              </w:rPr>
              <w:t xml:space="preserve"> </w:t>
            </w:r>
            <w:r>
              <w:rPr>
                <w:spacing w:val="-10"/>
              </w:rPr>
              <w:t xml:space="preserve">15m </w:t>
            </w:r>
            <w:r>
              <w:rPr>
                <w:rFonts w:ascii="宋体" w:hAnsi="宋体" w:eastAsia="宋体" w:cs="宋体"/>
                <w:spacing w:val="-10"/>
              </w:rPr>
              <w:t>排气筒排放，恶臭满足</w:t>
            </w:r>
            <w:r>
              <w:rPr>
                <w:spacing w:val="-3"/>
              </w:rPr>
              <w:t xml:space="preserve">GB14554 </w:t>
            </w:r>
            <w:r>
              <w:rPr>
                <w:rFonts w:ascii="宋体" w:hAnsi="宋体" w:eastAsia="宋体" w:cs="宋体"/>
                <w:spacing w:val="-3"/>
              </w:rPr>
              <w:t>排放限值要求。</w:t>
            </w:r>
          </w:p>
          <w:p w14:paraId="03D1F473">
            <w:pPr>
              <w:spacing w:line="274" w:lineRule="auto"/>
              <w:ind w:left="13" w:right="1" w:hanging="3"/>
              <w:rPr>
                <w:rFonts w:ascii="宋体" w:hAnsi="宋体" w:eastAsia="宋体" w:cs="宋体"/>
                <w:sz w:val="21"/>
                <w:szCs w:val="21"/>
              </w:rPr>
            </w:pPr>
            <w:r>
              <w:rPr>
                <w:rFonts w:ascii="宋体" w:hAnsi="宋体" w:eastAsia="宋体" w:cs="宋体"/>
                <w:spacing w:val="-4"/>
                <w:sz w:val="21"/>
                <w:szCs w:val="21"/>
              </w:rPr>
              <w:t>采取选用低噪声设备、合理布</w:t>
            </w:r>
            <w:r>
              <w:rPr>
                <w:rFonts w:ascii="宋体" w:hAnsi="宋体" w:eastAsia="宋体" w:cs="宋体"/>
                <w:spacing w:val="-5"/>
                <w:sz w:val="21"/>
                <w:szCs w:val="21"/>
              </w:rPr>
              <w:t>局等措施控制噪声。</w:t>
            </w:r>
          </w:p>
          <w:p w14:paraId="4E001799">
            <w:pPr>
              <w:spacing w:before="1" w:line="218" w:lineRule="auto"/>
              <w:jc w:val="right"/>
              <w:rPr>
                <w:rFonts w:ascii="宋体" w:hAnsi="宋体" w:eastAsia="宋体" w:cs="宋体"/>
                <w:sz w:val="21"/>
                <w:szCs w:val="21"/>
              </w:rPr>
            </w:pPr>
            <w:r>
              <w:rPr>
                <w:rFonts w:ascii="宋体" w:hAnsi="宋体" w:eastAsia="宋体" w:cs="宋体"/>
                <w:spacing w:val="13"/>
                <w:sz w:val="21"/>
                <w:szCs w:val="21"/>
              </w:rPr>
              <w:t>本项目废水经配套污水处理</w:t>
            </w:r>
          </w:p>
        </w:tc>
        <w:tc>
          <w:tcPr>
            <w:tcW w:w="839" w:type="dxa"/>
            <w:vAlign w:val="top"/>
          </w:tcPr>
          <w:p w14:paraId="02190704">
            <w:pPr>
              <w:spacing w:line="246" w:lineRule="auto"/>
              <w:rPr>
                <w:rFonts w:ascii="Arial"/>
                <w:sz w:val="21"/>
              </w:rPr>
            </w:pPr>
          </w:p>
          <w:p w14:paraId="05D5F451">
            <w:pPr>
              <w:spacing w:line="246" w:lineRule="auto"/>
              <w:rPr>
                <w:rFonts w:ascii="Arial"/>
                <w:sz w:val="21"/>
              </w:rPr>
            </w:pPr>
          </w:p>
          <w:p w14:paraId="32408153">
            <w:pPr>
              <w:spacing w:line="246" w:lineRule="auto"/>
              <w:rPr>
                <w:rFonts w:ascii="Arial"/>
                <w:sz w:val="21"/>
              </w:rPr>
            </w:pPr>
          </w:p>
          <w:p w14:paraId="0CE56C8D">
            <w:pPr>
              <w:spacing w:line="246" w:lineRule="auto"/>
              <w:rPr>
                <w:rFonts w:ascii="Arial"/>
                <w:sz w:val="21"/>
              </w:rPr>
            </w:pPr>
          </w:p>
          <w:p w14:paraId="1E73FB41">
            <w:pPr>
              <w:spacing w:line="246" w:lineRule="auto"/>
              <w:rPr>
                <w:rFonts w:ascii="Arial"/>
                <w:sz w:val="21"/>
              </w:rPr>
            </w:pPr>
          </w:p>
          <w:p w14:paraId="244FB16A">
            <w:pPr>
              <w:spacing w:line="246" w:lineRule="auto"/>
              <w:rPr>
                <w:rFonts w:ascii="Arial"/>
                <w:sz w:val="21"/>
              </w:rPr>
            </w:pPr>
          </w:p>
          <w:p w14:paraId="3BE83EF3">
            <w:pPr>
              <w:spacing w:line="246" w:lineRule="auto"/>
              <w:rPr>
                <w:rFonts w:ascii="Arial"/>
                <w:sz w:val="21"/>
              </w:rPr>
            </w:pPr>
          </w:p>
          <w:p w14:paraId="2CFA7945">
            <w:pPr>
              <w:spacing w:line="246" w:lineRule="auto"/>
              <w:rPr>
                <w:rFonts w:ascii="Arial"/>
                <w:sz w:val="21"/>
              </w:rPr>
            </w:pPr>
          </w:p>
          <w:p w14:paraId="729B38AF">
            <w:pPr>
              <w:spacing w:line="247" w:lineRule="auto"/>
              <w:rPr>
                <w:rFonts w:ascii="Arial"/>
                <w:sz w:val="21"/>
              </w:rPr>
            </w:pPr>
          </w:p>
          <w:p w14:paraId="3BFE0E42">
            <w:pPr>
              <w:spacing w:line="247" w:lineRule="auto"/>
              <w:rPr>
                <w:rFonts w:ascii="Arial"/>
                <w:sz w:val="21"/>
              </w:rPr>
            </w:pPr>
          </w:p>
          <w:p w14:paraId="4BD1149C">
            <w:pPr>
              <w:spacing w:before="69" w:line="220" w:lineRule="auto"/>
              <w:ind w:left="217"/>
              <w:rPr>
                <w:rFonts w:ascii="宋体" w:hAnsi="宋体" w:eastAsia="宋体" w:cs="宋体"/>
                <w:sz w:val="21"/>
                <w:szCs w:val="21"/>
              </w:rPr>
            </w:pPr>
            <w:r>
              <w:rPr>
                <w:rFonts w:ascii="宋体" w:hAnsi="宋体" w:eastAsia="宋体" w:cs="宋体"/>
                <w:spacing w:val="-3"/>
                <w:sz w:val="21"/>
                <w:szCs w:val="21"/>
              </w:rPr>
              <w:t>符合</w:t>
            </w:r>
          </w:p>
        </w:tc>
      </w:tr>
    </w:tbl>
    <w:p w14:paraId="2D4BFD18">
      <w:pPr>
        <w:pStyle w:val="2"/>
      </w:pPr>
    </w:p>
    <w:p w14:paraId="004110B4">
      <w:pPr>
        <w:sectPr>
          <w:footerReference r:id="rId107" w:type="default"/>
          <w:pgSz w:w="11905" w:h="16840"/>
          <w:pgMar w:top="1168" w:right="1768" w:bottom="1408" w:left="1770" w:header="828" w:footer="1244" w:gutter="0"/>
          <w:cols w:space="720" w:num="1"/>
        </w:sectPr>
      </w:pPr>
    </w:p>
    <w:p w14:paraId="002D9314">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3480"/>
        <w:gridCol w:w="2700"/>
        <w:gridCol w:w="839"/>
      </w:tblGrid>
      <w:tr w14:paraId="436A1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01" w:type="dxa"/>
            <w:vAlign w:val="top"/>
          </w:tcPr>
          <w:p w14:paraId="6FA78998">
            <w:pPr>
              <w:spacing w:before="68" w:line="222" w:lineRule="auto"/>
              <w:ind w:left="448"/>
              <w:rPr>
                <w:rFonts w:ascii="宋体" w:hAnsi="宋体" w:eastAsia="宋体" w:cs="宋体"/>
                <w:sz w:val="21"/>
                <w:szCs w:val="21"/>
              </w:rPr>
            </w:pPr>
            <w:r>
              <w:rPr>
                <w:rFonts w:ascii="宋体" w:hAnsi="宋体" w:eastAsia="宋体" w:cs="宋体"/>
                <w:spacing w:val="-3"/>
                <w:sz w:val="21"/>
                <w:szCs w:val="21"/>
              </w:rPr>
              <w:t>名称</w:t>
            </w:r>
          </w:p>
        </w:tc>
        <w:tc>
          <w:tcPr>
            <w:tcW w:w="3480" w:type="dxa"/>
            <w:vAlign w:val="top"/>
          </w:tcPr>
          <w:p w14:paraId="018AB64C">
            <w:pPr>
              <w:spacing w:before="68" w:line="220" w:lineRule="auto"/>
              <w:ind w:left="1331"/>
              <w:rPr>
                <w:rFonts w:ascii="宋体" w:hAnsi="宋体" w:eastAsia="宋体" w:cs="宋体"/>
                <w:sz w:val="21"/>
                <w:szCs w:val="21"/>
              </w:rPr>
            </w:pPr>
            <w:r>
              <w:rPr>
                <w:rFonts w:ascii="宋体" w:hAnsi="宋体" w:eastAsia="宋体" w:cs="宋体"/>
                <w:spacing w:val="-3"/>
                <w:sz w:val="21"/>
                <w:szCs w:val="21"/>
              </w:rPr>
              <w:t>导则内容</w:t>
            </w:r>
          </w:p>
        </w:tc>
        <w:tc>
          <w:tcPr>
            <w:tcW w:w="2700" w:type="dxa"/>
            <w:vAlign w:val="top"/>
          </w:tcPr>
          <w:p w14:paraId="157264D8">
            <w:pPr>
              <w:spacing w:before="68" w:line="219" w:lineRule="auto"/>
              <w:ind w:left="833"/>
              <w:rPr>
                <w:rFonts w:ascii="宋体" w:hAnsi="宋体" w:eastAsia="宋体" w:cs="宋体"/>
                <w:sz w:val="21"/>
                <w:szCs w:val="21"/>
              </w:rPr>
            </w:pPr>
            <w:r>
              <w:rPr>
                <w:rFonts w:ascii="宋体" w:hAnsi="宋体" w:eastAsia="宋体" w:cs="宋体"/>
                <w:spacing w:val="-2"/>
                <w:sz w:val="21"/>
                <w:szCs w:val="21"/>
              </w:rPr>
              <w:t>本项目情况</w:t>
            </w:r>
          </w:p>
        </w:tc>
        <w:tc>
          <w:tcPr>
            <w:tcW w:w="839" w:type="dxa"/>
            <w:vAlign w:val="top"/>
          </w:tcPr>
          <w:p w14:paraId="5C746894">
            <w:pPr>
              <w:spacing w:before="68" w:line="220" w:lineRule="auto"/>
              <w:ind w:left="111"/>
              <w:rPr>
                <w:rFonts w:ascii="宋体" w:hAnsi="宋体" w:eastAsia="宋体" w:cs="宋体"/>
                <w:sz w:val="21"/>
                <w:szCs w:val="21"/>
              </w:rPr>
            </w:pPr>
            <w:r>
              <w:rPr>
                <w:rFonts w:ascii="宋体" w:hAnsi="宋体" w:eastAsia="宋体" w:cs="宋体"/>
                <w:spacing w:val="-3"/>
                <w:sz w:val="21"/>
                <w:szCs w:val="21"/>
              </w:rPr>
              <w:t>符合性</w:t>
            </w:r>
          </w:p>
        </w:tc>
      </w:tr>
      <w:tr w14:paraId="6CBEA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9" w:hRule="atLeast"/>
        </w:trPr>
        <w:tc>
          <w:tcPr>
            <w:tcW w:w="1301" w:type="dxa"/>
            <w:vAlign w:val="top"/>
          </w:tcPr>
          <w:p w14:paraId="0ABF42C4">
            <w:pPr>
              <w:rPr>
                <w:rFonts w:ascii="Arial"/>
                <w:sz w:val="21"/>
              </w:rPr>
            </w:pPr>
          </w:p>
        </w:tc>
        <w:tc>
          <w:tcPr>
            <w:tcW w:w="3480" w:type="dxa"/>
            <w:vAlign w:val="top"/>
          </w:tcPr>
          <w:p w14:paraId="71E0FC82">
            <w:pPr>
              <w:pStyle w:val="6"/>
              <w:spacing w:before="49" w:line="220" w:lineRule="auto"/>
              <w:ind w:left="9"/>
              <w:rPr>
                <w:rFonts w:ascii="宋体" w:hAnsi="宋体" w:eastAsia="宋体" w:cs="宋体"/>
              </w:rPr>
            </w:pPr>
            <w:r>
              <w:rPr>
                <w:rFonts w:ascii="宋体" w:hAnsi="宋体" w:eastAsia="宋体" w:cs="宋体"/>
                <w:spacing w:val="-4"/>
              </w:rPr>
              <w:t>气体浓度满足</w:t>
            </w:r>
            <w:r>
              <w:rPr>
                <w:rFonts w:ascii="宋体" w:hAnsi="宋体" w:eastAsia="宋体" w:cs="宋体"/>
                <w:spacing w:val="-45"/>
              </w:rPr>
              <w:t xml:space="preserve"> </w:t>
            </w:r>
            <w:r>
              <w:rPr>
                <w:spacing w:val="-4"/>
              </w:rPr>
              <w:t>GBZ2.1</w:t>
            </w:r>
            <w:r>
              <w:rPr>
                <w:spacing w:val="26"/>
              </w:rPr>
              <w:t xml:space="preserve"> </w:t>
            </w:r>
            <w:r>
              <w:rPr>
                <w:rFonts w:ascii="宋体" w:hAnsi="宋体" w:eastAsia="宋体" w:cs="宋体"/>
                <w:spacing w:val="-4"/>
              </w:rPr>
              <w:t>的要求。</w:t>
            </w:r>
          </w:p>
          <w:p w14:paraId="6B79665F">
            <w:pPr>
              <w:pStyle w:val="6"/>
              <w:spacing w:before="64" w:line="274" w:lineRule="auto"/>
              <w:ind w:left="8" w:firstLine="1"/>
              <w:rPr>
                <w:rFonts w:ascii="宋体" w:hAnsi="宋体" w:eastAsia="宋体" w:cs="宋体"/>
              </w:rPr>
            </w:pPr>
            <w:r>
              <w:rPr>
                <w:spacing w:val="-1"/>
              </w:rPr>
              <w:t xml:space="preserve">5.1.5  </w:t>
            </w:r>
            <w:r>
              <w:rPr>
                <w:rFonts w:ascii="宋体" w:hAnsi="宋体" w:eastAsia="宋体" w:cs="宋体"/>
                <w:spacing w:val="-1"/>
              </w:rPr>
              <w:t>应采取大气污染控制措施，大气</w:t>
            </w:r>
            <w:r>
              <w:rPr>
                <w:rFonts w:ascii="宋体" w:hAnsi="宋体" w:eastAsia="宋体" w:cs="宋体"/>
                <w:spacing w:val="6"/>
              </w:rPr>
              <w:t>污染物排放应满足特定行业排放（控</w:t>
            </w:r>
            <w:r>
              <w:rPr>
                <w:rFonts w:ascii="宋体" w:hAnsi="宋体" w:eastAsia="宋体" w:cs="宋体"/>
                <w:spacing w:val="-7"/>
              </w:rPr>
              <w:t>制）标准的要求。没有特定行业污染排</w:t>
            </w:r>
            <w:r>
              <w:rPr>
                <w:rFonts w:ascii="宋体" w:hAnsi="宋体" w:eastAsia="宋体" w:cs="宋体"/>
                <w:spacing w:val="1"/>
              </w:rPr>
              <w:t xml:space="preserve">放（控制）标准的，应满足 </w:t>
            </w:r>
            <w:r>
              <w:t>GB</w:t>
            </w:r>
            <w:r>
              <w:rPr>
                <w:spacing w:val="1"/>
              </w:rPr>
              <w:t>16297</w:t>
            </w:r>
            <w:r>
              <w:rPr>
                <w:rFonts w:ascii="宋体" w:hAnsi="宋体" w:eastAsia="宋体" w:cs="宋体"/>
                <w:spacing w:val="-7"/>
              </w:rPr>
              <w:t>的要求，特征污染物排放（控制）应满</w:t>
            </w:r>
            <w:r>
              <w:rPr>
                <w:rFonts w:ascii="宋体" w:hAnsi="宋体" w:eastAsia="宋体" w:cs="宋体"/>
                <w:spacing w:val="-4"/>
              </w:rPr>
              <w:t>足环境影响评价要求。</w:t>
            </w:r>
          </w:p>
          <w:p w14:paraId="38F84EE0">
            <w:pPr>
              <w:pStyle w:val="6"/>
              <w:spacing w:line="274" w:lineRule="auto"/>
              <w:ind w:left="8" w:right="2" w:firstLine="2"/>
              <w:rPr>
                <w:rFonts w:ascii="宋体" w:hAnsi="宋体" w:eastAsia="宋体" w:cs="宋体"/>
              </w:rPr>
            </w:pPr>
            <w:r>
              <w:rPr>
                <w:spacing w:val="-1"/>
              </w:rPr>
              <w:t xml:space="preserve">5.1.6  </w:t>
            </w:r>
            <w:r>
              <w:rPr>
                <w:rFonts w:ascii="宋体" w:hAnsi="宋体" w:eastAsia="宋体" w:cs="宋体"/>
                <w:spacing w:val="-1"/>
              </w:rPr>
              <w:t>应采取必要的措施防止恶臭物质</w:t>
            </w:r>
            <w:r>
              <w:rPr>
                <w:rFonts w:ascii="宋体" w:hAnsi="宋体" w:eastAsia="宋体" w:cs="宋体"/>
                <w:spacing w:val="20"/>
              </w:rPr>
              <w:t>扩散，周界恶臭污染物浓度应符合</w:t>
            </w:r>
            <w:r>
              <w:rPr>
                <w:spacing w:val="-5"/>
              </w:rPr>
              <w:t>GB14554</w:t>
            </w:r>
            <w:r>
              <w:rPr>
                <w:spacing w:val="26"/>
                <w:w w:val="101"/>
              </w:rPr>
              <w:t xml:space="preserve"> </w:t>
            </w:r>
            <w:r>
              <w:rPr>
                <w:rFonts w:ascii="宋体" w:hAnsi="宋体" w:eastAsia="宋体" w:cs="宋体"/>
                <w:spacing w:val="-5"/>
              </w:rPr>
              <w:t>的要求。</w:t>
            </w:r>
          </w:p>
          <w:p w14:paraId="3EDE9A7B">
            <w:pPr>
              <w:pStyle w:val="6"/>
              <w:spacing w:before="2" w:line="274" w:lineRule="auto"/>
              <w:ind w:left="9" w:firstLine="1"/>
              <w:rPr>
                <w:rFonts w:ascii="宋体" w:hAnsi="宋体" w:eastAsia="宋体" w:cs="宋体"/>
              </w:rPr>
            </w:pPr>
            <w:r>
              <w:rPr>
                <w:spacing w:val="-3"/>
              </w:rPr>
              <w:t xml:space="preserve">5.1.7  </w:t>
            </w:r>
            <w:r>
              <w:rPr>
                <w:rFonts w:ascii="宋体" w:hAnsi="宋体" w:eastAsia="宋体" w:cs="宋体"/>
                <w:spacing w:val="-3"/>
              </w:rPr>
              <w:t>产生的冷凝液、浓缩液、渗滤液</w:t>
            </w:r>
            <w:r>
              <w:rPr>
                <w:rFonts w:ascii="宋体" w:hAnsi="宋体" w:eastAsia="宋体" w:cs="宋体"/>
                <w:spacing w:val="-9"/>
              </w:rPr>
              <w:t>等废液应进行有效收集后集中处理。处</w:t>
            </w:r>
            <w:r>
              <w:rPr>
                <w:rFonts w:ascii="宋体" w:hAnsi="宋体" w:eastAsia="宋体" w:cs="宋体"/>
                <w:spacing w:val="-7"/>
              </w:rPr>
              <w:t>理后产生的废水应优先考虑循环利用；</w:t>
            </w:r>
            <w:r>
              <w:rPr>
                <w:rFonts w:ascii="宋体" w:hAnsi="宋体" w:eastAsia="宋体" w:cs="宋体"/>
                <w:spacing w:val="-9"/>
              </w:rPr>
              <w:t>排放时应满足特定行业排放（控制）标</w:t>
            </w:r>
            <w:r>
              <w:rPr>
                <w:rFonts w:ascii="宋体" w:hAnsi="宋体" w:eastAsia="宋体" w:cs="宋体"/>
                <w:spacing w:val="-10"/>
              </w:rPr>
              <w:t>准的要求；没有特定行业污染排放（控</w:t>
            </w:r>
            <w:r>
              <w:rPr>
                <w:rFonts w:ascii="宋体" w:hAnsi="宋体" w:eastAsia="宋体" w:cs="宋体"/>
                <w:spacing w:val="-6"/>
              </w:rPr>
              <w:t>制）标准的，应满足</w:t>
            </w:r>
            <w:r>
              <w:rPr>
                <w:rFonts w:ascii="宋体" w:hAnsi="宋体" w:eastAsia="宋体" w:cs="宋体"/>
                <w:spacing w:val="-46"/>
              </w:rPr>
              <w:t xml:space="preserve"> </w:t>
            </w:r>
            <w:r>
              <w:rPr>
                <w:spacing w:val="-6"/>
              </w:rPr>
              <w:t>GB8978</w:t>
            </w:r>
            <w:r>
              <w:rPr>
                <w:spacing w:val="25"/>
                <w:w w:val="101"/>
              </w:rPr>
              <w:t xml:space="preserve"> </w:t>
            </w:r>
            <w:r>
              <w:rPr>
                <w:rFonts w:ascii="宋体" w:hAnsi="宋体" w:eastAsia="宋体" w:cs="宋体"/>
                <w:spacing w:val="-6"/>
              </w:rPr>
              <w:t>的要求，</w:t>
            </w:r>
            <w:r>
              <w:rPr>
                <w:rFonts w:ascii="宋体" w:hAnsi="宋体" w:eastAsia="宋体" w:cs="宋体"/>
                <w:spacing w:val="-9"/>
              </w:rPr>
              <w:t>特征污染物排放（控制）应满足环境影</w:t>
            </w:r>
            <w:r>
              <w:rPr>
                <w:rFonts w:ascii="宋体" w:hAnsi="宋体" w:eastAsia="宋体" w:cs="宋体"/>
                <w:spacing w:val="-8"/>
              </w:rPr>
              <w:t>响评价要求。</w:t>
            </w:r>
          </w:p>
          <w:p w14:paraId="04C30D0E">
            <w:pPr>
              <w:pStyle w:val="6"/>
              <w:spacing w:before="1" w:line="274" w:lineRule="auto"/>
              <w:ind w:left="10" w:right="1"/>
              <w:rPr>
                <w:rFonts w:ascii="宋体" w:hAnsi="宋体" w:eastAsia="宋体" w:cs="宋体"/>
              </w:rPr>
            </w:pPr>
            <w:r>
              <w:rPr>
                <w:spacing w:val="-1"/>
              </w:rPr>
              <w:t xml:space="preserve">5.1.8  </w:t>
            </w:r>
            <w:r>
              <w:rPr>
                <w:rFonts w:ascii="宋体" w:hAnsi="宋体" w:eastAsia="宋体" w:cs="宋体"/>
                <w:spacing w:val="-1"/>
              </w:rPr>
              <w:t>应防止噪声污染。设备运转时厂</w:t>
            </w:r>
            <w:r>
              <w:rPr>
                <w:rFonts w:ascii="宋体" w:hAnsi="宋体" w:eastAsia="宋体" w:cs="宋体"/>
                <w:spacing w:val="-3"/>
              </w:rPr>
              <w:t>界噪声应符合</w:t>
            </w:r>
            <w:r>
              <w:rPr>
                <w:rFonts w:ascii="宋体" w:hAnsi="宋体" w:eastAsia="宋体" w:cs="宋体"/>
                <w:spacing w:val="-17"/>
              </w:rPr>
              <w:t xml:space="preserve"> </w:t>
            </w:r>
            <w:r>
              <w:rPr>
                <w:spacing w:val="-3"/>
              </w:rPr>
              <w:t>GB12348</w:t>
            </w:r>
            <w:r>
              <w:rPr>
                <w:spacing w:val="41"/>
                <w:w w:val="101"/>
              </w:rPr>
              <w:t xml:space="preserve"> </w:t>
            </w:r>
            <w:r>
              <w:rPr>
                <w:rFonts w:ascii="宋体" w:hAnsi="宋体" w:eastAsia="宋体" w:cs="宋体"/>
                <w:spacing w:val="-3"/>
              </w:rPr>
              <w:t>的要求，作业</w:t>
            </w:r>
            <w:r>
              <w:rPr>
                <w:rFonts w:ascii="宋体" w:hAnsi="宋体" w:eastAsia="宋体" w:cs="宋体"/>
                <w:spacing w:val="-4"/>
              </w:rPr>
              <w:t>车间噪声应符合</w:t>
            </w:r>
            <w:r>
              <w:rPr>
                <w:rFonts w:ascii="宋体" w:hAnsi="宋体" w:eastAsia="宋体" w:cs="宋体"/>
                <w:spacing w:val="-33"/>
              </w:rPr>
              <w:t xml:space="preserve"> </w:t>
            </w:r>
            <w:r>
              <w:rPr>
                <w:spacing w:val="-4"/>
              </w:rPr>
              <w:t>GBZ 2.2</w:t>
            </w:r>
            <w:r>
              <w:rPr>
                <w:spacing w:val="26"/>
              </w:rPr>
              <w:t xml:space="preserve"> </w:t>
            </w:r>
            <w:r>
              <w:rPr>
                <w:rFonts w:ascii="宋体" w:hAnsi="宋体" w:eastAsia="宋体" w:cs="宋体"/>
                <w:spacing w:val="-4"/>
              </w:rPr>
              <w:t>的要求。</w:t>
            </w:r>
          </w:p>
          <w:p w14:paraId="0C1FDB27">
            <w:pPr>
              <w:pStyle w:val="6"/>
              <w:spacing w:before="1" w:line="274" w:lineRule="auto"/>
              <w:ind w:left="9" w:right="1" w:firstLine="1"/>
              <w:rPr>
                <w:rFonts w:ascii="宋体" w:hAnsi="宋体" w:eastAsia="宋体" w:cs="宋体"/>
              </w:rPr>
            </w:pPr>
            <w:r>
              <w:rPr>
                <w:spacing w:val="-1"/>
              </w:rPr>
              <w:t xml:space="preserve">5.1.9  </w:t>
            </w:r>
            <w:r>
              <w:rPr>
                <w:rFonts w:ascii="宋体" w:hAnsi="宋体" w:eastAsia="宋体" w:cs="宋体"/>
                <w:spacing w:val="-1"/>
              </w:rPr>
              <w:t>产生的污泥、底渣、废油类等固</w:t>
            </w:r>
            <w:r>
              <w:rPr>
                <w:rFonts w:ascii="宋体" w:hAnsi="宋体" w:eastAsia="宋体" w:cs="宋体"/>
                <w:spacing w:val="-7"/>
              </w:rPr>
              <w:t>体废物应按照其管理属性分别处置。不能自行综合利用或处置的，应交给有相</w:t>
            </w:r>
            <w:r>
              <w:rPr>
                <w:rFonts w:ascii="宋体" w:hAnsi="宋体" w:eastAsia="宋体" w:cs="宋体"/>
                <w:spacing w:val="6"/>
              </w:rPr>
              <w:t>应资质和处理能力的企业进行综合利</w:t>
            </w:r>
            <w:r>
              <w:rPr>
                <w:rFonts w:ascii="宋体" w:hAnsi="宋体" w:eastAsia="宋体" w:cs="宋体"/>
                <w:spacing w:val="-7"/>
              </w:rPr>
              <w:t>用或处置。</w:t>
            </w:r>
          </w:p>
          <w:p w14:paraId="1EB12263">
            <w:pPr>
              <w:pStyle w:val="6"/>
              <w:spacing w:line="257" w:lineRule="auto"/>
              <w:ind w:left="9" w:firstLine="1"/>
              <w:rPr>
                <w:rFonts w:ascii="宋体" w:hAnsi="宋体" w:eastAsia="宋体" w:cs="宋体"/>
              </w:rPr>
            </w:pPr>
            <w:r>
              <w:rPr>
                <w:spacing w:val="-5"/>
              </w:rPr>
              <w:t xml:space="preserve">5.1.10  </w:t>
            </w:r>
            <w:r>
              <w:rPr>
                <w:rFonts w:ascii="宋体" w:hAnsi="宋体" w:eastAsia="宋体" w:cs="宋体"/>
                <w:spacing w:val="-5"/>
              </w:rPr>
              <w:t>危险废物的贮存、包装、处置等</w:t>
            </w:r>
            <w:r>
              <w:rPr>
                <w:rFonts w:ascii="宋体" w:hAnsi="宋体" w:eastAsia="宋体" w:cs="宋体"/>
                <w:spacing w:val="-3"/>
              </w:rPr>
              <w:t>应符合</w:t>
            </w:r>
            <w:r>
              <w:rPr>
                <w:rFonts w:ascii="宋体" w:hAnsi="宋体" w:eastAsia="宋体" w:cs="宋体"/>
                <w:spacing w:val="-27"/>
              </w:rPr>
              <w:t xml:space="preserve"> </w:t>
            </w:r>
            <w:r>
              <w:rPr>
                <w:spacing w:val="-3"/>
              </w:rPr>
              <w:t>GB18597</w:t>
            </w:r>
            <w:r>
              <w:rPr>
                <w:spacing w:val="-29"/>
              </w:rPr>
              <w:t xml:space="preserve"> </w:t>
            </w:r>
            <w:r>
              <w:rPr>
                <w:rFonts w:ascii="宋体" w:hAnsi="宋体" w:eastAsia="宋体" w:cs="宋体"/>
                <w:spacing w:val="-3"/>
              </w:rPr>
              <w:t>、</w:t>
            </w:r>
            <w:r>
              <w:rPr>
                <w:spacing w:val="-3"/>
              </w:rPr>
              <w:t>HJ2042</w:t>
            </w:r>
            <w:r>
              <w:rPr>
                <w:spacing w:val="15"/>
              </w:rPr>
              <w:t xml:space="preserve"> </w:t>
            </w:r>
            <w:r>
              <w:rPr>
                <w:rFonts w:ascii="宋体" w:hAnsi="宋体" w:eastAsia="宋体" w:cs="宋体"/>
                <w:spacing w:val="-3"/>
              </w:rPr>
              <w:t>等危险废物</w:t>
            </w:r>
            <w:r>
              <w:rPr>
                <w:rFonts w:ascii="宋体" w:hAnsi="宋体" w:eastAsia="宋体" w:cs="宋体"/>
                <w:spacing w:val="-5"/>
              </w:rPr>
              <w:t>专用标准的要求。</w:t>
            </w:r>
          </w:p>
        </w:tc>
        <w:tc>
          <w:tcPr>
            <w:tcW w:w="2700" w:type="dxa"/>
            <w:vAlign w:val="top"/>
          </w:tcPr>
          <w:p w14:paraId="546BC18C">
            <w:pPr>
              <w:spacing w:before="50" w:line="274" w:lineRule="auto"/>
              <w:ind w:left="15" w:hanging="3"/>
              <w:rPr>
                <w:rFonts w:ascii="宋体" w:hAnsi="宋体" w:eastAsia="宋体" w:cs="宋体"/>
                <w:sz w:val="21"/>
                <w:szCs w:val="21"/>
              </w:rPr>
            </w:pPr>
            <w:r>
              <w:rPr>
                <w:rFonts w:ascii="宋体" w:hAnsi="宋体" w:eastAsia="宋体" w:cs="宋体"/>
                <w:spacing w:val="13"/>
                <w:sz w:val="21"/>
                <w:szCs w:val="21"/>
              </w:rPr>
              <w:t>站处理达标后全部用于周边</w:t>
            </w:r>
            <w:r>
              <w:rPr>
                <w:rFonts w:ascii="宋体" w:hAnsi="宋体" w:eastAsia="宋体" w:cs="宋体"/>
                <w:spacing w:val="-4"/>
                <w:sz w:val="21"/>
                <w:szCs w:val="21"/>
              </w:rPr>
              <w:t>消纳地农灌，废水不外排。</w:t>
            </w:r>
          </w:p>
          <w:p w14:paraId="73D63A82">
            <w:pPr>
              <w:spacing w:before="3" w:line="275" w:lineRule="auto"/>
              <w:ind w:left="12"/>
              <w:rPr>
                <w:rFonts w:ascii="宋体" w:hAnsi="宋体" w:eastAsia="宋体" w:cs="宋体"/>
                <w:sz w:val="21"/>
                <w:szCs w:val="21"/>
              </w:rPr>
            </w:pPr>
            <w:r>
              <w:rPr>
                <w:rFonts w:ascii="宋体" w:hAnsi="宋体" w:eastAsia="宋体" w:cs="宋体"/>
                <w:spacing w:val="13"/>
                <w:sz w:val="21"/>
                <w:szCs w:val="21"/>
              </w:rPr>
              <w:t>本项目产生的危险废物委托有危险废物处理资质单位进</w:t>
            </w:r>
            <w:r>
              <w:rPr>
                <w:rFonts w:ascii="宋体" w:hAnsi="宋体" w:eastAsia="宋体" w:cs="宋体"/>
                <w:spacing w:val="-8"/>
                <w:sz w:val="21"/>
                <w:szCs w:val="21"/>
              </w:rPr>
              <w:t>行处置。</w:t>
            </w:r>
          </w:p>
        </w:tc>
        <w:tc>
          <w:tcPr>
            <w:tcW w:w="839" w:type="dxa"/>
            <w:vMerge w:val="restart"/>
            <w:tcBorders>
              <w:bottom w:val="nil"/>
            </w:tcBorders>
            <w:vAlign w:val="top"/>
          </w:tcPr>
          <w:p w14:paraId="0CFD1E66">
            <w:pPr>
              <w:rPr>
                <w:rFonts w:ascii="Arial"/>
                <w:sz w:val="21"/>
              </w:rPr>
            </w:pPr>
          </w:p>
        </w:tc>
      </w:tr>
      <w:tr w14:paraId="269AD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1301" w:type="dxa"/>
            <w:vAlign w:val="top"/>
          </w:tcPr>
          <w:p w14:paraId="2CB49BF0">
            <w:pPr>
              <w:spacing w:line="256" w:lineRule="auto"/>
              <w:rPr>
                <w:rFonts w:ascii="Arial"/>
                <w:sz w:val="21"/>
              </w:rPr>
            </w:pPr>
          </w:p>
          <w:p w14:paraId="4E4C2EB0">
            <w:pPr>
              <w:spacing w:line="256" w:lineRule="auto"/>
              <w:rPr>
                <w:rFonts w:ascii="Arial"/>
                <w:sz w:val="21"/>
              </w:rPr>
            </w:pPr>
          </w:p>
          <w:p w14:paraId="22DBEF6C">
            <w:pPr>
              <w:spacing w:line="256" w:lineRule="auto"/>
              <w:rPr>
                <w:rFonts w:ascii="Arial"/>
                <w:sz w:val="21"/>
              </w:rPr>
            </w:pPr>
          </w:p>
          <w:p w14:paraId="6122EF41">
            <w:pPr>
              <w:spacing w:line="256" w:lineRule="auto"/>
              <w:rPr>
                <w:rFonts w:ascii="Arial"/>
                <w:sz w:val="21"/>
              </w:rPr>
            </w:pPr>
          </w:p>
          <w:p w14:paraId="4DE174B5">
            <w:pPr>
              <w:spacing w:line="256" w:lineRule="auto"/>
              <w:rPr>
                <w:rFonts w:ascii="Arial"/>
                <w:sz w:val="21"/>
              </w:rPr>
            </w:pPr>
          </w:p>
          <w:p w14:paraId="3BC4A0B8">
            <w:pPr>
              <w:spacing w:line="256" w:lineRule="auto"/>
              <w:rPr>
                <w:rFonts w:ascii="Arial"/>
                <w:sz w:val="21"/>
              </w:rPr>
            </w:pPr>
          </w:p>
          <w:p w14:paraId="263FE1AE">
            <w:pPr>
              <w:spacing w:before="68" w:line="277" w:lineRule="auto"/>
              <w:ind w:left="446" w:right="18" w:hanging="419"/>
              <w:rPr>
                <w:rFonts w:ascii="宋体" w:hAnsi="宋体" w:eastAsia="宋体" w:cs="宋体"/>
                <w:sz w:val="21"/>
                <w:szCs w:val="21"/>
              </w:rPr>
            </w:pPr>
            <w:r>
              <w:rPr>
                <w:rFonts w:ascii="宋体" w:hAnsi="宋体" w:eastAsia="宋体" w:cs="宋体"/>
                <w:spacing w:val="-2"/>
                <w:sz w:val="21"/>
                <w:szCs w:val="21"/>
              </w:rPr>
              <w:t>生物处理技术</w:t>
            </w:r>
            <w:r>
              <w:rPr>
                <w:rFonts w:ascii="宋体" w:hAnsi="宋体" w:eastAsia="宋体" w:cs="宋体"/>
                <w:spacing w:val="-3"/>
                <w:sz w:val="21"/>
                <w:szCs w:val="21"/>
              </w:rPr>
              <w:t>要求</w:t>
            </w:r>
          </w:p>
        </w:tc>
        <w:tc>
          <w:tcPr>
            <w:tcW w:w="3480" w:type="dxa"/>
            <w:vAlign w:val="top"/>
          </w:tcPr>
          <w:p w14:paraId="0EED691E">
            <w:pPr>
              <w:spacing w:before="53" w:line="219" w:lineRule="auto"/>
              <w:ind w:left="9"/>
              <w:rPr>
                <w:rFonts w:ascii="宋体" w:hAnsi="宋体" w:eastAsia="宋体" w:cs="宋体"/>
                <w:sz w:val="21"/>
                <w:szCs w:val="21"/>
              </w:rPr>
            </w:pPr>
            <w:r>
              <w:rPr>
                <w:rFonts w:ascii="宋体" w:hAnsi="宋体" w:eastAsia="宋体" w:cs="宋体"/>
                <w:spacing w:val="-5"/>
                <w:sz w:val="21"/>
                <w:szCs w:val="21"/>
              </w:rPr>
              <w:t>堆肥工艺应符合以下要求：</w:t>
            </w:r>
          </w:p>
          <w:p w14:paraId="00DBDF07">
            <w:pPr>
              <w:spacing w:before="63" w:line="274" w:lineRule="auto"/>
              <w:ind w:left="9" w:hanging="1"/>
              <w:rPr>
                <w:rFonts w:ascii="宋体" w:hAnsi="宋体" w:eastAsia="宋体" w:cs="宋体"/>
                <w:sz w:val="21"/>
                <w:szCs w:val="21"/>
              </w:rPr>
            </w:pPr>
            <w:r>
              <w:rPr>
                <w:rFonts w:ascii="宋体" w:hAnsi="宋体" w:eastAsia="宋体" w:cs="宋体"/>
                <w:spacing w:val="-7"/>
                <w:sz w:val="21"/>
                <w:szCs w:val="21"/>
              </w:rPr>
              <w:t>应对堆肥原料进行脱水、脱盐、碳氮比</w:t>
            </w:r>
            <w:r>
              <w:rPr>
                <w:rFonts w:ascii="宋体" w:hAnsi="宋体" w:eastAsia="宋体" w:cs="宋体"/>
                <w:spacing w:val="-8"/>
                <w:sz w:val="21"/>
                <w:szCs w:val="21"/>
              </w:rPr>
              <w:t>调节等预处理；</w:t>
            </w:r>
          </w:p>
          <w:p w14:paraId="323D97FF">
            <w:pPr>
              <w:spacing w:line="218" w:lineRule="auto"/>
              <w:ind w:left="8"/>
              <w:rPr>
                <w:rFonts w:ascii="宋体" w:hAnsi="宋体" w:eastAsia="宋体" w:cs="宋体"/>
                <w:sz w:val="21"/>
                <w:szCs w:val="21"/>
              </w:rPr>
            </w:pPr>
            <w:r>
              <w:rPr>
                <w:rFonts w:ascii="宋体" w:hAnsi="宋体" w:eastAsia="宋体" w:cs="宋体"/>
                <w:spacing w:val="-4"/>
                <w:sz w:val="21"/>
                <w:szCs w:val="21"/>
              </w:rPr>
              <w:t>应合理控制堆肥温度、持续时间；</w:t>
            </w:r>
          </w:p>
          <w:p w14:paraId="408B46A7">
            <w:pPr>
              <w:spacing w:before="63" w:line="274" w:lineRule="auto"/>
              <w:ind w:left="8" w:right="2"/>
              <w:rPr>
                <w:rFonts w:ascii="宋体" w:hAnsi="宋体" w:eastAsia="宋体" w:cs="宋体"/>
                <w:sz w:val="21"/>
                <w:szCs w:val="21"/>
              </w:rPr>
            </w:pPr>
            <w:r>
              <w:rPr>
                <w:rFonts w:ascii="宋体" w:hAnsi="宋体" w:eastAsia="宋体" w:cs="宋体"/>
                <w:spacing w:val="6"/>
                <w:sz w:val="21"/>
                <w:szCs w:val="21"/>
              </w:rPr>
              <w:t>应采取措施控制堆肥预处理车间和堆</w:t>
            </w:r>
            <w:r>
              <w:rPr>
                <w:rFonts w:ascii="宋体" w:hAnsi="宋体" w:eastAsia="宋体" w:cs="宋体"/>
                <w:spacing w:val="-6"/>
                <w:sz w:val="21"/>
                <w:szCs w:val="21"/>
              </w:rPr>
              <w:t>肥车间的臭气排放；</w:t>
            </w:r>
          </w:p>
          <w:p w14:paraId="56983325">
            <w:pPr>
              <w:spacing w:before="1" w:line="274" w:lineRule="auto"/>
              <w:ind w:left="8" w:right="1" w:firstLine="18"/>
              <w:rPr>
                <w:rFonts w:ascii="宋体" w:hAnsi="宋体" w:eastAsia="宋体" w:cs="宋体"/>
                <w:sz w:val="21"/>
                <w:szCs w:val="21"/>
              </w:rPr>
            </w:pPr>
            <w:r>
              <w:rPr>
                <w:rFonts w:ascii="宋体" w:hAnsi="宋体" w:eastAsia="宋体" w:cs="宋体"/>
                <w:spacing w:val="5"/>
                <w:sz w:val="21"/>
                <w:szCs w:val="21"/>
              </w:rPr>
              <w:t>固体废物堆肥过程产生的渗滤液收集</w:t>
            </w:r>
            <w:r>
              <w:rPr>
                <w:rFonts w:ascii="宋体" w:hAnsi="宋体" w:eastAsia="宋体" w:cs="宋体"/>
                <w:spacing w:val="-7"/>
                <w:sz w:val="21"/>
                <w:szCs w:val="21"/>
              </w:rPr>
              <w:t>后应进行集中处理，处理后的渗滤液应</w:t>
            </w:r>
            <w:r>
              <w:rPr>
                <w:rFonts w:ascii="宋体" w:hAnsi="宋体" w:eastAsia="宋体" w:cs="宋体"/>
                <w:spacing w:val="-6"/>
                <w:sz w:val="21"/>
                <w:szCs w:val="21"/>
              </w:rPr>
              <w:t>优先考虑循环利用；</w:t>
            </w:r>
          </w:p>
          <w:p w14:paraId="29DB0F7E">
            <w:pPr>
              <w:pStyle w:val="6"/>
              <w:spacing w:before="2" w:line="256" w:lineRule="auto"/>
              <w:ind w:left="8" w:right="31" w:firstLine="1"/>
              <w:rPr>
                <w:rFonts w:ascii="宋体" w:hAnsi="宋体" w:eastAsia="宋体" w:cs="宋体"/>
              </w:rPr>
            </w:pPr>
            <w:r>
              <w:rPr>
                <w:rFonts w:ascii="宋体" w:hAnsi="宋体" w:eastAsia="宋体" w:cs="宋体"/>
                <w:spacing w:val="4"/>
              </w:rPr>
              <w:t xml:space="preserve">堆肥产品符合 </w:t>
            </w:r>
            <w:r>
              <w:t>GB</w:t>
            </w:r>
            <w:r>
              <w:rPr>
                <w:spacing w:val="4"/>
              </w:rPr>
              <w:t>8172</w:t>
            </w:r>
            <w:r>
              <w:rPr>
                <w:spacing w:val="-6"/>
              </w:rPr>
              <w:t xml:space="preserve"> </w:t>
            </w:r>
            <w:r>
              <w:rPr>
                <w:rFonts w:ascii="宋体" w:hAnsi="宋体" w:eastAsia="宋体" w:cs="宋体"/>
                <w:spacing w:val="4"/>
              </w:rPr>
              <w:t>、</w:t>
            </w:r>
            <w:r>
              <w:t>GB</w:t>
            </w:r>
            <w:r>
              <w:rPr>
                <w:spacing w:val="4"/>
              </w:rPr>
              <w:t>38400</w:t>
            </w:r>
            <w:r>
              <w:rPr>
                <w:rFonts w:ascii="宋体" w:hAnsi="宋体" w:eastAsia="宋体" w:cs="宋体"/>
                <w:spacing w:val="4"/>
              </w:rPr>
              <w:t>、</w:t>
            </w:r>
            <w:r>
              <w:rPr>
                <w:rFonts w:ascii="宋体" w:hAnsi="宋体" w:eastAsia="宋体" w:cs="宋体"/>
              </w:rPr>
              <w:t xml:space="preserve"> </w:t>
            </w:r>
            <w:r>
              <w:rPr>
                <w:spacing w:val="-2"/>
              </w:rPr>
              <w:t xml:space="preserve">GB/T23486 </w:t>
            </w:r>
            <w:r>
              <w:rPr>
                <w:rFonts w:ascii="宋体" w:hAnsi="宋体" w:eastAsia="宋体" w:cs="宋体"/>
                <w:spacing w:val="-2"/>
              </w:rPr>
              <w:t>、</w:t>
            </w:r>
            <w:r>
              <w:rPr>
                <w:spacing w:val="-2"/>
              </w:rPr>
              <w:t xml:space="preserve">GB/T24600 </w:t>
            </w:r>
            <w:r>
              <w:rPr>
                <w:rFonts w:ascii="宋体" w:hAnsi="宋体" w:eastAsia="宋体" w:cs="宋体"/>
                <w:spacing w:val="-2"/>
              </w:rPr>
              <w:t>、</w:t>
            </w:r>
            <w:r>
              <w:rPr>
                <w:spacing w:val="-2"/>
              </w:rPr>
              <w:t>CJ/T309</w:t>
            </w:r>
            <w:r>
              <w:rPr>
                <w:spacing w:val="-24"/>
              </w:rPr>
              <w:t xml:space="preserve"> </w:t>
            </w:r>
            <w:r>
              <w:rPr>
                <w:rFonts w:ascii="宋体" w:hAnsi="宋体" w:eastAsia="宋体" w:cs="宋体"/>
                <w:spacing w:val="-2"/>
              </w:rPr>
              <w:t>、</w:t>
            </w:r>
            <w:r>
              <w:rPr>
                <w:rFonts w:ascii="宋体" w:hAnsi="宋体" w:eastAsia="宋体" w:cs="宋体"/>
              </w:rPr>
              <w:t xml:space="preserve"> </w:t>
            </w:r>
            <w:r>
              <w:rPr>
                <w:spacing w:val="-4"/>
              </w:rPr>
              <w:t>CJ/T362</w:t>
            </w:r>
            <w:r>
              <w:rPr>
                <w:spacing w:val="26"/>
                <w:w w:val="101"/>
              </w:rPr>
              <w:t xml:space="preserve"> </w:t>
            </w:r>
            <w:r>
              <w:rPr>
                <w:rFonts w:ascii="宋体" w:hAnsi="宋体" w:eastAsia="宋体" w:cs="宋体"/>
                <w:spacing w:val="-4"/>
              </w:rPr>
              <w:t>的相关质量要求。</w:t>
            </w:r>
          </w:p>
        </w:tc>
        <w:tc>
          <w:tcPr>
            <w:tcW w:w="2700" w:type="dxa"/>
            <w:vAlign w:val="top"/>
          </w:tcPr>
          <w:p w14:paraId="543438EC">
            <w:pPr>
              <w:spacing w:line="267" w:lineRule="auto"/>
              <w:rPr>
                <w:rFonts w:ascii="Arial"/>
                <w:sz w:val="21"/>
              </w:rPr>
            </w:pPr>
          </w:p>
          <w:p w14:paraId="0F56D264">
            <w:pPr>
              <w:spacing w:line="268" w:lineRule="auto"/>
              <w:rPr>
                <w:rFonts w:ascii="Arial"/>
                <w:sz w:val="21"/>
              </w:rPr>
            </w:pPr>
          </w:p>
          <w:p w14:paraId="32AD44E8">
            <w:pPr>
              <w:spacing w:line="268" w:lineRule="auto"/>
              <w:rPr>
                <w:rFonts w:ascii="Arial"/>
                <w:sz w:val="21"/>
              </w:rPr>
            </w:pPr>
          </w:p>
          <w:p w14:paraId="29218E9A">
            <w:pPr>
              <w:spacing w:line="268" w:lineRule="auto"/>
              <w:rPr>
                <w:rFonts w:ascii="Arial"/>
                <w:sz w:val="21"/>
              </w:rPr>
            </w:pPr>
          </w:p>
          <w:p w14:paraId="65B3CDA8">
            <w:pPr>
              <w:spacing w:before="68" w:line="277" w:lineRule="auto"/>
              <w:ind w:left="12"/>
              <w:jc w:val="both"/>
              <w:rPr>
                <w:rFonts w:ascii="宋体" w:hAnsi="宋体" w:eastAsia="宋体" w:cs="宋体"/>
                <w:sz w:val="21"/>
                <w:szCs w:val="21"/>
              </w:rPr>
            </w:pPr>
            <w:r>
              <w:rPr>
                <w:rFonts w:ascii="宋体" w:hAnsi="宋体" w:eastAsia="宋体" w:cs="宋体"/>
                <w:spacing w:val="13"/>
                <w:sz w:val="21"/>
                <w:szCs w:val="21"/>
              </w:rPr>
              <w:t>本项目粪便经固液分离后于</w:t>
            </w:r>
            <w:r>
              <w:rPr>
                <w:rFonts w:ascii="宋体" w:hAnsi="宋体" w:eastAsia="宋体" w:cs="宋体"/>
                <w:spacing w:val="-4"/>
                <w:sz w:val="21"/>
                <w:szCs w:val="21"/>
              </w:rPr>
              <w:t>堆粪棚暂存，交有机肥厂生产有机肥，臭气经生物除臭法处</w:t>
            </w:r>
            <w:r>
              <w:rPr>
                <w:rFonts w:ascii="宋体" w:hAnsi="宋体" w:eastAsia="宋体" w:cs="宋体"/>
                <w:spacing w:val="13"/>
                <w:sz w:val="21"/>
                <w:szCs w:val="21"/>
              </w:rPr>
              <w:t>理，渗滤液经污水处理站处</w:t>
            </w:r>
            <w:r>
              <w:rPr>
                <w:rFonts w:ascii="宋体" w:hAnsi="宋体" w:eastAsia="宋体" w:cs="宋体"/>
                <w:spacing w:val="-10"/>
                <w:sz w:val="21"/>
                <w:szCs w:val="21"/>
              </w:rPr>
              <w:t>理。</w:t>
            </w:r>
          </w:p>
        </w:tc>
        <w:tc>
          <w:tcPr>
            <w:tcW w:w="839" w:type="dxa"/>
            <w:vMerge w:val="continue"/>
            <w:tcBorders>
              <w:top w:val="nil"/>
            </w:tcBorders>
            <w:vAlign w:val="top"/>
          </w:tcPr>
          <w:p w14:paraId="4145DFCA">
            <w:pPr>
              <w:rPr>
                <w:rFonts w:ascii="Arial"/>
                <w:sz w:val="21"/>
              </w:rPr>
            </w:pPr>
          </w:p>
        </w:tc>
      </w:tr>
      <w:tr w14:paraId="29AC3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301" w:type="dxa"/>
            <w:vAlign w:val="top"/>
          </w:tcPr>
          <w:p w14:paraId="2992C992">
            <w:pPr>
              <w:spacing w:before="57" w:line="249" w:lineRule="auto"/>
              <w:ind w:left="26" w:right="18" w:firstLine="17"/>
              <w:rPr>
                <w:rFonts w:ascii="宋体" w:hAnsi="宋体" w:eastAsia="宋体" w:cs="宋体"/>
                <w:sz w:val="21"/>
                <w:szCs w:val="21"/>
              </w:rPr>
            </w:pPr>
            <w:r>
              <w:rPr>
                <w:rFonts w:ascii="宋体" w:hAnsi="宋体" w:eastAsia="宋体" w:cs="宋体"/>
                <w:spacing w:val="-5"/>
                <w:sz w:val="21"/>
                <w:szCs w:val="21"/>
              </w:rPr>
              <w:t>固体废物土地</w:t>
            </w:r>
            <w:r>
              <w:rPr>
                <w:rFonts w:ascii="宋体" w:hAnsi="宋体" w:eastAsia="宋体" w:cs="宋体"/>
                <w:spacing w:val="-2"/>
                <w:sz w:val="21"/>
                <w:szCs w:val="21"/>
              </w:rPr>
              <w:t>利用污染防治</w:t>
            </w:r>
          </w:p>
        </w:tc>
        <w:tc>
          <w:tcPr>
            <w:tcW w:w="3480" w:type="dxa"/>
            <w:vAlign w:val="top"/>
          </w:tcPr>
          <w:p w14:paraId="74C2A26A">
            <w:pPr>
              <w:spacing w:before="57" w:line="249" w:lineRule="auto"/>
              <w:ind w:left="11" w:firstLine="15"/>
              <w:rPr>
                <w:rFonts w:ascii="宋体" w:hAnsi="宋体" w:eastAsia="宋体" w:cs="宋体"/>
                <w:sz w:val="21"/>
                <w:szCs w:val="21"/>
              </w:rPr>
            </w:pPr>
            <w:r>
              <w:rPr>
                <w:rFonts w:ascii="宋体" w:hAnsi="宋体" w:eastAsia="宋体" w:cs="宋体"/>
                <w:spacing w:val="5"/>
                <w:sz w:val="21"/>
                <w:szCs w:val="21"/>
              </w:rPr>
              <w:t>固体废物土地利用的前处理设施应具</w:t>
            </w:r>
            <w:r>
              <w:rPr>
                <w:rFonts w:ascii="宋体" w:hAnsi="宋体" w:eastAsia="宋体" w:cs="宋体"/>
                <w:spacing w:val="-7"/>
                <w:sz w:val="21"/>
                <w:szCs w:val="21"/>
              </w:rPr>
              <w:t>备必要的废水处理、废气处理、防止或</w:t>
            </w:r>
          </w:p>
        </w:tc>
        <w:tc>
          <w:tcPr>
            <w:tcW w:w="2700" w:type="dxa"/>
            <w:vAlign w:val="top"/>
          </w:tcPr>
          <w:p w14:paraId="15A5FEA2">
            <w:pPr>
              <w:spacing w:before="57" w:line="249" w:lineRule="auto"/>
              <w:ind w:left="15" w:hanging="3"/>
              <w:rPr>
                <w:rFonts w:ascii="宋体" w:hAnsi="宋体" w:eastAsia="宋体" w:cs="宋体"/>
                <w:sz w:val="21"/>
                <w:szCs w:val="21"/>
              </w:rPr>
            </w:pPr>
            <w:r>
              <w:rPr>
                <w:rFonts w:ascii="宋体" w:hAnsi="宋体" w:eastAsia="宋体" w:cs="宋体"/>
                <w:spacing w:val="13"/>
                <w:sz w:val="21"/>
                <w:szCs w:val="21"/>
              </w:rPr>
              <w:t>本项目粪便压滤液排至污水处理系统处理达标后用于周</w:t>
            </w:r>
          </w:p>
        </w:tc>
        <w:tc>
          <w:tcPr>
            <w:tcW w:w="839" w:type="dxa"/>
            <w:vAlign w:val="top"/>
          </w:tcPr>
          <w:p w14:paraId="5FD68938">
            <w:pPr>
              <w:spacing w:before="211" w:line="220" w:lineRule="auto"/>
              <w:ind w:left="217"/>
              <w:rPr>
                <w:rFonts w:ascii="宋体" w:hAnsi="宋体" w:eastAsia="宋体" w:cs="宋体"/>
                <w:sz w:val="21"/>
                <w:szCs w:val="21"/>
              </w:rPr>
            </w:pPr>
            <w:r>
              <w:rPr>
                <w:rFonts w:ascii="宋体" w:hAnsi="宋体" w:eastAsia="宋体" w:cs="宋体"/>
                <w:spacing w:val="-3"/>
                <w:sz w:val="21"/>
                <w:szCs w:val="21"/>
              </w:rPr>
              <w:t>符合</w:t>
            </w:r>
          </w:p>
        </w:tc>
      </w:tr>
    </w:tbl>
    <w:p w14:paraId="55829BE2">
      <w:pPr>
        <w:pStyle w:val="2"/>
        <w:spacing w:line="174" w:lineRule="exact"/>
        <w:rPr>
          <w:sz w:val="15"/>
        </w:rPr>
      </w:pPr>
    </w:p>
    <w:p w14:paraId="50D218C1">
      <w:pPr>
        <w:spacing w:line="174" w:lineRule="exact"/>
        <w:rPr>
          <w:sz w:val="15"/>
          <w:szCs w:val="15"/>
        </w:rPr>
        <w:sectPr>
          <w:footerReference r:id="rId108" w:type="default"/>
          <w:pgSz w:w="11905" w:h="16840"/>
          <w:pgMar w:top="1168" w:right="1768" w:bottom="1409" w:left="1770" w:header="828" w:footer="1244" w:gutter="0"/>
          <w:cols w:space="720" w:num="1"/>
        </w:sectPr>
      </w:pPr>
    </w:p>
    <w:p w14:paraId="51D2F4CF">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3480"/>
        <w:gridCol w:w="2700"/>
        <w:gridCol w:w="839"/>
      </w:tblGrid>
      <w:tr w14:paraId="1C344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01" w:type="dxa"/>
            <w:vAlign w:val="top"/>
          </w:tcPr>
          <w:p w14:paraId="7375B2C9">
            <w:pPr>
              <w:spacing w:before="68" w:line="222" w:lineRule="auto"/>
              <w:ind w:left="448"/>
              <w:rPr>
                <w:rFonts w:ascii="宋体" w:hAnsi="宋体" w:eastAsia="宋体" w:cs="宋体"/>
                <w:sz w:val="21"/>
                <w:szCs w:val="21"/>
              </w:rPr>
            </w:pPr>
            <w:r>
              <w:rPr>
                <w:rFonts w:ascii="宋体" w:hAnsi="宋体" w:eastAsia="宋体" w:cs="宋体"/>
                <w:spacing w:val="-3"/>
                <w:sz w:val="21"/>
                <w:szCs w:val="21"/>
              </w:rPr>
              <w:t>名称</w:t>
            </w:r>
          </w:p>
        </w:tc>
        <w:tc>
          <w:tcPr>
            <w:tcW w:w="3480" w:type="dxa"/>
            <w:vAlign w:val="top"/>
          </w:tcPr>
          <w:p w14:paraId="699C95AD">
            <w:pPr>
              <w:spacing w:before="68" w:line="220" w:lineRule="auto"/>
              <w:ind w:left="1331"/>
              <w:rPr>
                <w:rFonts w:ascii="宋体" w:hAnsi="宋体" w:eastAsia="宋体" w:cs="宋体"/>
                <w:sz w:val="21"/>
                <w:szCs w:val="21"/>
              </w:rPr>
            </w:pPr>
            <w:r>
              <w:rPr>
                <w:rFonts w:ascii="宋体" w:hAnsi="宋体" w:eastAsia="宋体" w:cs="宋体"/>
                <w:spacing w:val="-3"/>
                <w:sz w:val="21"/>
                <w:szCs w:val="21"/>
              </w:rPr>
              <w:t>导则内容</w:t>
            </w:r>
          </w:p>
        </w:tc>
        <w:tc>
          <w:tcPr>
            <w:tcW w:w="2700" w:type="dxa"/>
            <w:vAlign w:val="top"/>
          </w:tcPr>
          <w:p w14:paraId="462F0A92">
            <w:pPr>
              <w:spacing w:before="68" w:line="219" w:lineRule="auto"/>
              <w:ind w:left="833"/>
              <w:rPr>
                <w:rFonts w:ascii="宋体" w:hAnsi="宋体" w:eastAsia="宋体" w:cs="宋体"/>
                <w:sz w:val="21"/>
                <w:szCs w:val="21"/>
              </w:rPr>
            </w:pPr>
            <w:r>
              <w:rPr>
                <w:rFonts w:ascii="宋体" w:hAnsi="宋体" w:eastAsia="宋体" w:cs="宋体"/>
                <w:spacing w:val="-2"/>
                <w:sz w:val="21"/>
                <w:szCs w:val="21"/>
              </w:rPr>
              <w:t>本项目情况</w:t>
            </w:r>
          </w:p>
        </w:tc>
        <w:tc>
          <w:tcPr>
            <w:tcW w:w="839" w:type="dxa"/>
            <w:vAlign w:val="top"/>
          </w:tcPr>
          <w:p w14:paraId="5F48EC3F">
            <w:pPr>
              <w:spacing w:before="68" w:line="220" w:lineRule="auto"/>
              <w:ind w:left="111"/>
              <w:rPr>
                <w:rFonts w:ascii="宋体" w:hAnsi="宋体" w:eastAsia="宋体" w:cs="宋体"/>
                <w:sz w:val="21"/>
                <w:szCs w:val="21"/>
              </w:rPr>
            </w:pPr>
            <w:r>
              <w:rPr>
                <w:rFonts w:ascii="宋体" w:hAnsi="宋体" w:eastAsia="宋体" w:cs="宋体"/>
                <w:spacing w:val="-3"/>
                <w:sz w:val="21"/>
                <w:szCs w:val="21"/>
              </w:rPr>
              <w:t>符合性</w:t>
            </w:r>
          </w:p>
        </w:tc>
      </w:tr>
      <w:tr w14:paraId="280B6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0" w:hRule="atLeast"/>
        </w:trPr>
        <w:tc>
          <w:tcPr>
            <w:tcW w:w="1301" w:type="dxa"/>
            <w:vAlign w:val="top"/>
          </w:tcPr>
          <w:p w14:paraId="71481AB1">
            <w:pPr>
              <w:spacing w:before="49" w:line="220" w:lineRule="auto"/>
              <w:ind w:left="236"/>
              <w:rPr>
                <w:rFonts w:ascii="宋体" w:hAnsi="宋体" w:eastAsia="宋体" w:cs="宋体"/>
                <w:sz w:val="21"/>
                <w:szCs w:val="21"/>
              </w:rPr>
            </w:pPr>
            <w:r>
              <w:rPr>
                <w:rFonts w:ascii="宋体" w:hAnsi="宋体" w:eastAsia="宋体" w:cs="宋体"/>
                <w:spacing w:val="-2"/>
                <w:sz w:val="21"/>
                <w:szCs w:val="21"/>
              </w:rPr>
              <w:t>技术要求</w:t>
            </w:r>
          </w:p>
        </w:tc>
        <w:tc>
          <w:tcPr>
            <w:tcW w:w="3480" w:type="dxa"/>
            <w:vAlign w:val="top"/>
          </w:tcPr>
          <w:p w14:paraId="7E065858">
            <w:pPr>
              <w:pStyle w:val="6"/>
              <w:spacing w:before="52" w:line="274" w:lineRule="auto"/>
              <w:ind w:left="8" w:firstLine="16"/>
              <w:rPr>
                <w:rFonts w:ascii="宋体" w:hAnsi="宋体" w:eastAsia="宋体" w:cs="宋体"/>
              </w:rPr>
            </w:pPr>
            <w:r>
              <w:rPr>
                <w:rFonts w:ascii="宋体" w:hAnsi="宋体" w:eastAsia="宋体" w:cs="宋体"/>
                <w:spacing w:val="-8"/>
              </w:rPr>
              <w:t>降低噪声、粉尘处理等污染防治设施。</w:t>
            </w:r>
            <w:r>
              <w:rPr>
                <w:rFonts w:ascii="宋体" w:hAnsi="宋体" w:eastAsia="宋体" w:cs="宋体"/>
                <w:spacing w:val="-10"/>
              </w:rPr>
              <w:t>废水排放应符合</w:t>
            </w:r>
            <w:r>
              <w:rPr>
                <w:rFonts w:ascii="宋体" w:hAnsi="宋体" w:eastAsia="宋体" w:cs="宋体"/>
                <w:spacing w:val="-34"/>
              </w:rPr>
              <w:t xml:space="preserve"> </w:t>
            </w:r>
            <w:r>
              <w:rPr>
                <w:spacing w:val="-10"/>
              </w:rPr>
              <w:t>GB8978</w:t>
            </w:r>
            <w:r>
              <w:rPr>
                <w:spacing w:val="25"/>
              </w:rPr>
              <w:t xml:space="preserve"> </w:t>
            </w:r>
            <w:r>
              <w:rPr>
                <w:rFonts w:ascii="宋体" w:hAnsi="宋体" w:eastAsia="宋体" w:cs="宋体"/>
                <w:spacing w:val="-10"/>
              </w:rPr>
              <w:t>的要求，废气</w:t>
            </w:r>
            <w:r>
              <w:rPr>
                <w:rFonts w:ascii="宋体" w:hAnsi="宋体" w:eastAsia="宋体" w:cs="宋体"/>
                <w:spacing w:val="4"/>
              </w:rPr>
              <w:t>排放应符合</w:t>
            </w:r>
            <w:r>
              <w:rPr>
                <w:rFonts w:ascii="宋体" w:hAnsi="宋体" w:eastAsia="宋体" w:cs="宋体"/>
                <w:spacing w:val="37"/>
              </w:rPr>
              <w:t xml:space="preserve"> </w:t>
            </w:r>
            <w:r>
              <w:t>GB</w:t>
            </w:r>
            <w:r>
              <w:rPr>
                <w:spacing w:val="4"/>
              </w:rPr>
              <w:t xml:space="preserve">18484 </w:t>
            </w:r>
            <w:r>
              <w:rPr>
                <w:rFonts w:ascii="宋体" w:hAnsi="宋体" w:eastAsia="宋体" w:cs="宋体"/>
                <w:spacing w:val="4"/>
              </w:rPr>
              <w:t>、</w:t>
            </w:r>
            <w:r>
              <w:t>GB</w:t>
            </w:r>
            <w:r>
              <w:rPr>
                <w:spacing w:val="4"/>
              </w:rPr>
              <w:t xml:space="preserve">16297 </w:t>
            </w:r>
            <w:r>
              <w:rPr>
                <w:rFonts w:ascii="宋体" w:hAnsi="宋体" w:eastAsia="宋体" w:cs="宋体"/>
                <w:spacing w:val="4"/>
              </w:rPr>
              <w:t>、</w:t>
            </w:r>
            <w:r>
              <w:rPr>
                <w:rFonts w:ascii="宋体" w:hAnsi="宋体" w:eastAsia="宋体" w:cs="宋体"/>
              </w:rPr>
              <w:t xml:space="preserve"> </w:t>
            </w:r>
            <w:r>
              <w:rPr>
                <w:spacing w:val="-4"/>
              </w:rPr>
              <w:t>GB14554</w:t>
            </w:r>
            <w:r>
              <w:rPr>
                <w:spacing w:val="17"/>
              </w:rPr>
              <w:t xml:space="preserve">  </w:t>
            </w:r>
            <w:r>
              <w:rPr>
                <w:rFonts w:ascii="宋体" w:hAnsi="宋体" w:eastAsia="宋体" w:cs="宋体"/>
                <w:spacing w:val="-4"/>
              </w:rPr>
              <w:t>的要求，周界恶臭污染物浓</w:t>
            </w:r>
            <w:r>
              <w:rPr>
                <w:rFonts w:ascii="宋体" w:hAnsi="宋体" w:eastAsia="宋体" w:cs="宋体"/>
                <w:spacing w:val="-7"/>
              </w:rPr>
              <w:t>度应符合</w:t>
            </w:r>
            <w:r>
              <w:rPr>
                <w:rFonts w:ascii="宋体" w:hAnsi="宋体" w:eastAsia="宋体" w:cs="宋体"/>
                <w:spacing w:val="-15"/>
              </w:rPr>
              <w:t xml:space="preserve"> </w:t>
            </w:r>
            <w:r>
              <w:rPr>
                <w:spacing w:val="-7"/>
              </w:rPr>
              <w:t>GB14554</w:t>
            </w:r>
            <w:r>
              <w:rPr>
                <w:spacing w:val="40"/>
                <w:w w:val="101"/>
              </w:rPr>
              <w:t xml:space="preserve"> </w:t>
            </w:r>
            <w:r>
              <w:rPr>
                <w:rFonts w:ascii="宋体" w:hAnsi="宋体" w:eastAsia="宋体" w:cs="宋体"/>
                <w:spacing w:val="-7"/>
              </w:rPr>
              <w:t>的规定，厂界噪声</w:t>
            </w:r>
            <w:r>
              <w:rPr>
                <w:rFonts w:ascii="宋体" w:hAnsi="宋体" w:eastAsia="宋体" w:cs="宋体"/>
                <w:spacing w:val="-6"/>
              </w:rPr>
              <w:t>应达到</w:t>
            </w:r>
            <w:r>
              <w:rPr>
                <w:rFonts w:ascii="宋体" w:hAnsi="宋体" w:eastAsia="宋体" w:cs="宋体"/>
                <w:spacing w:val="-21"/>
              </w:rPr>
              <w:t xml:space="preserve"> </w:t>
            </w:r>
            <w:r>
              <w:rPr>
                <w:spacing w:val="-6"/>
              </w:rPr>
              <w:t>GB12348</w:t>
            </w:r>
            <w:r>
              <w:rPr>
                <w:spacing w:val="41"/>
              </w:rPr>
              <w:t xml:space="preserve"> </w:t>
            </w:r>
            <w:r>
              <w:rPr>
                <w:rFonts w:ascii="宋体" w:hAnsi="宋体" w:eastAsia="宋体" w:cs="宋体"/>
                <w:spacing w:val="-6"/>
              </w:rPr>
              <w:t>的要求，作业区粉尘</w:t>
            </w:r>
            <w:r>
              <w:rPr>
                <w:rFonts w:ascii="宋体" w:hAnsi="宋体" w:eastAsia="宋体" w:cs="宋体"/>
                <w:spacing w:val="16"/>
              </w:rPr>
              <w:t>和有毒有害气体的允许浓度应符合</w:t>
            </w:r>
            <w:r>
              <w:rPr>
                <w:spacing w:val="-8"/>
              </w:rPr>
              <w:t>GBZ2.1</w:t>
            </w:r>
            <w:r>
              <w:rPr>
                <w:spacing w:val="32"/>
                <w:w w:val="101"/>
              </w:rPr>
              <w:t xml:space="preserve"> </w:t>
            </w:r>
            <w:r>
              <w:rPr>
                <w:rFonts w:ascii="宋体" w:hAnsi="宋体" w:eastAsia="宋体" w:cs="宋体"/>
                <w:spacing w:val="-8"/>
              </w:rPr>
              <w:t>的规定。</w:t>
            </w:r>
          </w:p>
          <w:p w14:paraId="70438ED4">
            <w:pPr>
              <w:pStyle w:val="6"/>
              <w:spacing w:line="274" w:lineRule="auto"/>
              <w:ind w:left="8" w:right="1" w:firstLine="2"/>
              <w:rPr>
                <w:rFonts w:ascii="宋体" w:hAnsi="宋体" w:eastAsia="宋体" w:cs="宋体"/>
              </w:rPr>
            </w:pPr>
            <w:r>
              <w:rPr>
                <w:rFonts w:ascii="宋体" w:hAnsi="宋体" w:eastAsia="宋体" w:cs="宋体"/>
                <w:spacing w:val="-10"/>
              </w:rPr>
              <w:t>生 活 污 泥 的 土 地 利 用 应 符</w:t>
            </w:r>
            <w:r>
              <w:rPr>
                <w:rFonts w:ascii="宋体" w:hAnsi="宋体" w:eastAsia="宋体" w:cs="宋体"/>
                <w:spacing w:val="6"/>
              </w:rPr>
              <w:t xml:space="preserve"> </w:t>
            </w:r>
            <w:r>
              <w:rPr>
                <w:rFonts w:ascii="宋体" w:hAnsi="宋体" w:eastAsia="宋体" w:cs="宋体"/>
                <w:spacing w:val="-10"/>
              </w:rPr>
              <w:t>合</w:t>
            </w:r>
            <w:r>
              <w:rPr>
                <w:spacing w:val="-2"/>
              </w:rPr>
              <w:t xml:space="preserve">GB/T23486 </w:t>
            </w:r>
            <w:r>
              <w:rPr>
                <w:rFonts w:ascii="宋体" w:hAnsi="宋体" w:eastAsia="宋体" w:cs="宋体"/>
                <w:spacing w:val="-2"/>
              </w:rPr>
              <w:t>、</w:t>
            </w:r>
            <w:r>
              <w:rPr>
                <w:spacing w:val="-2"/>
              </w:rPr>
              <w:t xml:space="preserve">GB/T24600 </w:t>
            </w:r>
            <w:r>
              <w:rPr>
                <w:rFonts w:ascii="宋体" w:hAnsi="宋体" w:eastAsia="宋体" w:cs="宋体"/>
                <w:spacing w:val="-2"/>
              </w:rPr>
              <w:t>、</w:t>
            </w:r>
            <w:r>
              <w:rPr>
                <w:spacing w:val="-2"/>
              </w:rPr>
              <w:t xml:space="preserve">CJ/T309 </w:t>
            </w:r>
            <w:r>
              <w:rPr>
                <w:rFonts w:ascii="宋体" w:hAnsi="宋体" w:eastAsia="宋体" w:cs="宋体"/>
                <w:spacing w:val="-2"/>
              </w:rPr>
              <w:t>、</w:t>
            </w:r>
            <w:r>
              <w:rPr>
                <w:rFonts w:ascii="宋体" w:hAnsi="宋体" w:eastAsia="宋体" w:cs="宋体"/>
                <w:spacing w:val="8"/>
              </w:rPr>
              <w:t xml:space="preserve"> </w:t>
            </w:r>
            <w:r>
              <w:rPr>
                <w:spacing w:val="-3"/>
              </w:rPr>
              <w:t xml:space="preserve">CI/T362 </w:t>
            </w:r>
            <w:r>
              <w:rPr>
                <w:rFonts w:ascii="宋体" w:hAnsi="宋体" w:eastAsia="宋体" w:cs="宋体"/>
                <w:spacing w:val="-3"/>
              </w:rPr>
              <w:t>等的相关要求。</w:t>
            </w:r>
          </w:p>
          <w:p w14:paraId="13DE4F0C">
            <w:pPr>
              <w:pStyle w:val="6"/>
              <w:spacing w:before="1" w:line="274" w:lineRule="auto"/>
              <w:ind w:left="8" w:firstLine="3"/>
              <w:rPr>
                <w:rFonts w:ascii="宋体" w:hAnsi="宋体" w:eastAsia="宋体" w:cs="宋体"/>
              </w:rPr>
            </w:pPr>
            <w:r>
              <w:rPr>
                <w:rFonts w:ascii="宋体" w:hAnsi="宋体" w:eastAsia="宋体" w:cs="宋体"/>
                <w:spacing w:val="-7"/>
              </w:rPr>
              <w:t>为防范固体废物土地利用的环境风险，</w:t>
            </w:r>
            <w:r>
              <w:rPr>
                <w:rFonts w:ascii="宋体" w:hAnsi="宋体" w:eastAsia="宋体" w:cs="宋体"/>
                <w:spacing w:val="-4"/>
              </w:rPr>
              <w:t xml:space="preserve">应 按 照  </w:t>
            </w:r>
            <w:r>
              <w:rPr>
                <w:spacing w:val="-4"/>
              </w:rPr>
              <w:t>GB15618</w:t>
            </w:r>
            <w:r>
              <w:rPr>
                <w:spacing w:val="6"/>
              </w:rPr>
              <w:t xml:space="preserve">  </w:t>
            </w:r>
            <w:r>
              <w:rPr>
                <w:rFonts w:ascii="宋体" w:hAnsi="宋体" w:eastAsia="宋体" w:cs="宋体"/>
                <w:spacing w:val="-4"/>
              </w:rPr>
              <w:t xml:space="preserve">、 </w:t>
            </w:r>
            <w:r>
              <w:rPr>
                <w:spacing w:val="-4"/>
              </w:rPr>
              <w:t>GB366</w:t>
            </w:r>
            <w:r>
              <w:rPr>
                <w:spacing w:val="-5"/>
              </w:rPr>
              <w:t xml:space="preserve">00    </w:t>
            </w:r>
            <w:r>
              <w:rPr>
                <w:rFonts w:ascii="宋体" w:hAnsi="宋体" w:eastAsia="宋体" w:cs="宋体"/>
                <w:spacing w:val="-5"/>
              </w:rPr>
              <w:t>和</w:t>
            </w:r>
            <w:r>
              <w:rPr>
                <w:spacing w:val="-2"/>
              </w:rPr>
              <w:t>GB/T14848</w:t>
            </w:r>
            <w:r>
              <w:rPr>
                <w:spacing w:val="19"/>
                <w:w w:val="101"/>
              </w:rPr>
              <w:t xml:space="preserve">  </w:t>
            </w:r>
            <w:r>
              <w:rPr>
                <w:rFonts w:ascii="宋体" w:hAnsi="宋体" w:eastAsia="宋体" w:cs="宋体"/>
                <w:spacing w:val="-2"/>
              </w:rPr>
              <w:t>的要求对土地利用区域内</w:t>
            </w:r>
            <w:r>
              <w:rPr>
                <w:rFonts w:ascii="宋体" w:hAnsi="宋体" w:eastAsia="宋体" w:cs="宋体"/>
                <w:spacing w:val="-6"/>
              </w:rPr>
              <w:t>的土壤和地下水进行采样监测。</w:t>
            </w:r>
          </w:p>
          <w:p w14:paraId="71CDEAD6">
            <w:pPr>
              <w:spacing w:before="3" w:line="257" w:lineRule="auto"/>
              <w:ind w:left="10" w:right="2" w:firstLine="16"/>
              <w:rPr>
                <w:rFonts w:ascii="宋体" w:hAnsi="宋体" w:eastAsia="宋体" w:cs="宋体"/>
                <w:sz w:val="21"/>
                <w:szCs w:val="21"/>
              </w:rPr>
            </w:pPr>
            <w:r>
              <w:rPr>
                <w:rFonts w:ascii="宋体" w:hAnsi="宋体" w:eastAsia="宋体" w:cs="宋体"/>
                <w:spacing w:val="5"/>
                <w:sz w:val="21"/>
                <w:szCs w:val="21"/>
              </w:rPr>
              <w:t>固体废物土地利用过程中的再生利用</w:t>
            </w:r>
            <w:r>
              <w:rPr>
                <w:rFonts w:ascii="宋体" w:hAnsi="宋体" w:eastAsia="宋体" w:cs="宋体"/>
                <w:spacing w:val="6"/>
                <w:sz w:val="21"/>
                <w:szCs w:val="21"/>
              </w:rPr>
              <w:t>工艺单元的污染控制应分别满足本标</w:t>
            </w:r>
            <w:r>
              <w:rPr>
                <w:rFonts w:ascii="宋体" w:hAnsi="宋体" w:eastAsia="宋体" w:cs="宋体"/>
                <w:spacing w:val="-3"/>
                <w:sz w:val="21"/>
                <w:szCs w:val="21"/>
              </w:rPr>
              <w:t>准中相应再生利用工艺单元的要求。</w:t>
            </w:r>
          </w:p>
        </w:tc>
        <w:tc>
          <w:tcPr>
            <w:tcW w:w="2700" w:type="dxa"/>
            <w:vAlign w:val="top"/>
          </w:tcPr>
          <w:p w14:paraId="341DF595">
            <w:pPr>
              <w:pStyle w:val="6"/>
              <w:spacing w:before="52" w:line="274" w:lineRule="auto"/>
              <w:ind w:left="10"/>
              <w:jc w:val="both"/>
              <w:rPr>
                <w:rFonts w:ascii="宋体" w:hAnsi="宋体" w:eastAsia="宋体" w:cs="宋体"/>
              </w:rPr>
            </w:pPr>
            <w:r>
              <w:rPr>
                <w:rFonts w:ascii="宋体" w:hAnsi="宋体" w:eastAsia="宋体" w:cs="宋体"/>
                <w:spacing w:val="-4"/>
              </w:rPr>
              <w:t>边消纳地农灌，不外排；粪便</w:t>
            </w:r>
            <w:r>
              <w:rPr>
                <w:rFonts w:ascii="宋体" w:hAnsi="宋体" w:eastAsia="宋体" w:cs="宋体"/>
                <w:spacing w:val="13"/>
              </w:rPr>
              <w:t>经堆粪棚暂存后交有机肥厂</w:t>
            </w:r>
            <w:r>
              <w:rPr>
                <w:rFonts w:ascii="宋体" w:hAnsi="宋体" w:eastAsia="宋体" w:cs="宋体"/>
                <w:spacing w:val="-4"/>
              </w:rPr>
              <w:t>生产有机肥；采取选用低噪声设备、合理布局等措施控制噪声；项目粪便含水率较高，无粉尘产生；周界恶臭污染物浓</w:t>
            </w:r>
            <w:r>
              <w:rPr>
                <w:rFonts w:ascii="宋体" w:hAnsi="宋体" w:eastAsia="宋体" w:cs="宋体"/>
                <w:spacing w:val="-2"/>
              </w:rPr>
              <w:t xml:space="preserve">度符合 </w:t>
            </w:r>
            <w:r>
              <w:rPr>
                <w:spacing w:val="-2"/>
              </w:rPr>
              <w:t xml:space="preserve">GB14554  </w:t>
            </w:r>
            <w:r>
              <w:rPr>
                <w:rFonts w:ascii="宋体" w:hAnsi="宋体" w:eastAsia="宋体" w:cs="宋体"/>
                <w:spacing w:val="-2"/>
              </w:rPr>
              <w:t>的规定，厂</w:t>
            </w:r>
            <w:r>
              <w:rPr>
                <w:rFonts w:ascii="宋体" w:hAnsi="宋体" w:eastAsia="宋体" w:cs="宋体"/>
                <w:spacing w:val="6"/>
              </w:rPr>
              <w:t>界噪声达到</w:t>
            </w:r>
            <w:r>
              <w:rPr>
                <w:rFonts w:ascii="宋体" w:hAnsi="宋体" w:eastAsia="宋体" w:cs="宋体"/>
                <w:spacing w:val="63"/>
              </w:rPr>
              <w:t xml:space="preserve"> </w:t>
            </w:r>
            <w:r>
              <w:t>GB</w:t>
            </w:r>
            <w:r>
              <w:rPr>
                <w:spacing w:val="6"/>
              </w:rPr>
              <w:t>12348</w:t>
            </w:r>
            <w:r>
              <w:rPr>
                <w:spacing w:val="25"/>
              </w:rPr>
              <w:t xml:space="preserve">  </w:t>
            </w:r>
            <w:r>
              <w:rPr>
                <w:rFonts w:ascii="宋体" w:hAnsi="宋体" w:eastAsia="宋体" w:cs="宋体"/>
                <w:spacing w:val="6"/>
              </w:rPr>
              <w:t>的要</w:t>
            </w:r>
            <w:r>
              <w:rPr>
                <w:rFonts w:ascii="宋体" w:hAnsi="宋体" w:eastAsia="宋体" w:cs="宋体"/>
                <w:spacing w:val="-10"/>
              </w:rPr>
              <w:t>求。</w:t>
            </w:r>
          </w:p>
          <w:p w14:paraId="0DD7F638">
            <w:pPr>
              <w:pStyle w:val="6"/>
              <w:spacing w:before="8" w:line="274" w:lineRule="auto"/>
              <w:ind w:left="9" w:firstLine="4"/>
              <w:jc w:val="both"/>
              <w:rPr>
                <w:rFonts w:ascii="宋体" w:hAnsi="宋体" w:eastAsia="宋体" w:cs="宋体"/>
              </w:rPr>
            </w:pPr>
            <w:r>
              <w:rPr>
                <w:rFonts w:ascii="宋体" w:hAnsi="宋体" w:eastAsia="宋体" w:cs="宋体"/>
                <w:spacing w:val="13"/>
              </w:rPr>
              <w:t>为防范固体废物土地利用的</w:t>
            </w:r>
            <w:r>
              <w:rPr>
                <w:rFonts w:ascii="宋体" w:hAnsi="宋体" w:eastAsia="宋体" w:cs="宋体"/>
                <w:spacing w:val="-6"/>
              </w:rPr>
              <w:t>环境风险，项目按照</w:t>
            </w:r>
            <w:r>
              <w:rPr>
                <w:rFonts w:ascii="宋体" w:hAnsi="宋体" w:eastAsia="宋体" w:cs="宋体"/>
                <w:spacing w:val="-33"/>
              </w:rPr>
              <w:t xml:space="preserve"> </w:t>
            </w:r>
            <w:r>
              <w:rPr>
                <w:spacing w:val="-6"/>
              </w:rPr>
              <w:t>GB15618</w:t>
            </w:r>
            <w:r>
              <w:rPr>
                <w:rFonts w:ascii="宋体" w:hAnsi="宋体" w:eastAsia="宋体" w:cs="宋体"/>
                <w:spacing w:val="-2"/>
              </w:rPr>
              <w:t xml:space="preserve">和 </w:t>
            </w:r>
            <w:r>
              <w:rPr>
                <w:spacing w:val="-2"/>
              </w:rPr>
              <w:t>GB/T14848</w:t>
            </w:r>
            <w:r>
              <w:rPr>
                <w:spacing w:val="17"/>
              </w:rPr>
              <w:t xml:space="preserve">  </w:t>
            </w:r>
            <w:r>
              <w:rPr>
                <w:rFonts w:ascii="宋体" w:hAnsi="宋体" w:eastAsia="宋体" w:cs="宋体"/>
                <w:spacing w:val="-2"/>
              </w:rPr>
              <w:t>的要求对土地</w:t>
            </w:r>
            <w:r>
              <w:rPr>
                <w:rFonts w:ascii="宋体" w:hAnsi="宋体" w:eastAsia="宋体" w:cs="宋体"/>
                <w:spacing w:val="13"/>
              </w:rPr>
              <w:t>利用区域内的土壤和地下水</w:t>
            </w:r>
            <w:r>
              <w:rPr>
                <w:rFonts w:ascii="宋体" w:hAnsi="宋体" w:eastAsia="宋体" w:cs="宋体"/>
                <w:spacing w:val="-4"/>
              </w:rPr>
              <w:t>进行采样监测，具体要求详见环境质量现状调查与评价。污</w:t>
            </w:r>
            <w:r>
              <w:rPr>
                <w:rFonts w:ascii="宋体" w:hAnsi="宋体" w:eastAsia="宋体" w:cs="宋体"/>
                <w:spacing w:val="13"/>
              </w:rPr>
              <w:t>染控制满足本标准中相应再</w:t>
            </w:r>
            <w:r>
              <w:rPr>
                <w:rFonts w:ascii="宋体" w:hAnsi="宋体" w:eastAsia="宋体" w:cs="宋体"/>
                <w:spacing w:val="-4"/>
              </w:rPr>
              <w:t>生利用工艺单元的要求。</w:t>
            </w:r>
          </w:p>
        </w:tc>
        <w:tc>
          <w:tcPr>
            <w:tcW w:w="839" w:type="dxa"/>
            <w:vAlign w:val="top"/>
          </w:tcPr>
          <w:p w14:paraId="0723A042">
            <w:pPr>
              <w:rPr>
                <w:rFonts w:ascii="Arial"/>
                <w:sz w:val="21"/>
              </w:rPr>
            </w:pPr>
          </w:p>
        </w:tc>
      </w:tr>
    </w:tbl>
    <w:p w14:paraId="3F84B0E1">
      <w:pPr>
        <w:spacing w:before="235" w:line="362" w:lineRule="auto"/>
        <w:ind w:left="45" w:right="38" w:firstLine="476"/>
        <w:rPr>
          <w:rFonts w:ascii="宋体" w:hAnsi="宋体" w:eastAsia="宋体" w:cs="宋体"/>
          <w:sz w:val="24"/>
          <w:szCs w:val="24"/>
        </w:rPr>
      </w:pPr>
      <w:r>
        <w:rPr>
          <w:rFonts w:ascii="宋体" w:hAnsi="宋体" w:eastAsia="宋体" w:cs="宋体"/>
          <w:spacing w:val="4"/>
          <w:sz w:val="24"/>
          <w:szCs w:val="24"/>
        </w:rPr>
        <w:t>综上，本项目固体废物利用满足《固体废物再生利用污染防治技</w:t>
      </w:r>
      <w:r>
        <w:rPr>
          <w:rFonts w:ascii="宋体" w:hAnsi="宋体" w:eastAsia="宋体" w:cs="宋体"/>
          <w:spacing w:val="3"/>
          <w:sz w:val="24"/>
          <w:szCs w:val="24"/>
        </w:rPr>
        <w:t>术导则》</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HJ1091-2020</w:t>
      </w:r>
      <w:r>
        <w:rPr>
          <w:rFonts w:ascii="宋体" w:hAnsi="宋体" w:eastAsia="宋体" w:cs="宋体"/>
          <w:spacing w:val="-3"/>
          <w:sz w:val="24"/>
          <w:szCs w:val="24"/>
        </w:rPr>
        <w:t>）相关要求。</w:t>
      </w:r>
    </w:p>
    <w:p w14:paraId="1BEB8062">
      <w:pPr>
        <w:spacing w:before="50" w:line="226" w:lineRule="auto"/>
        <w:ind w:left="48"/>
        <w:rPr>
          <w:rFonts w:ascii="宋体" w:hAnsi="宋体" w:eastAsia="宋体" w:cs="宋体"/>
          <w:sz w:val="27"/>
          <w:szCs w:val="27"/>
        </w:rPr>
      </w:pPr>
      <w:r>
        <w:fldChar w:fldCharType="begin"/>
      </w:r>
      <w:r>
        <w:instrText xml:space="preserve"> HYPERLINK "1.6.3.10" </w:instrText>
      </w:r>
      <w:r>
        <w:fldChar w:fldCharType="separate"/>
      </w:r>
      <w:r>
        <w:rPr>
          <w:rFonts w:ascii="Times New Roman" w:hAnsi="Times New Roman" w:eastAsia="Times New Roman" w:cs="Times New Roman"/>
          <w:b/>
          <w:bCs/>
          <w:spacing w:val="6"/>
          <w:sz w:val="27"/>
          <w:szCs w:val="27"/>
        </w:rPr>
        <w:t>1.6.3.10</w:t>
      </w:r>
      <w:r>
        <w:rPr>
          <w:rFonts w:ascii="Times New Roman" w:hAnsi="Times New Roman" w:eastAsia="Times New Roman" w:cs="Times New Roman"/>
          <w:b/>
          <w:bCs/>
          <w:spacing w:val="6"/>
          <w:sz w:val="27"/>
          <w:szCs w:val="27"/>
        </w:rPr>
        <w:fldChar w:fldCharType="end"/>
      </w:r>
      <w:r>
        <w:rPr>
          <w:rFonts w:ascii="Times New Roman" w:hAnsi="Times New Roman" w:eastAsia="Times New Roman" w:cs="Times New Roman"/>
          <w:b/>
          <w:bCs/>
          <w:spacing w:val="6"/>
          <w:sz w:val="27"/>
          <w:szCs w:val="27"/>
        </w:rPr>
        <w:t xml:space="preserve"> </w:t>
      </w:r>
      <w:r>
        <w:rPr>
          <w:rFonts w:ascii="宋体" w:hAnsi="宋体" w:eastAsia="宋体" w:cs="宋体"/>
          <w:b/>
          <w:bCs/>
          <w:spacing w:val="6"/>
          <w:sz w:val="27"/>
          <w:szCs w:val="27"/>
        </w:rPr>
        <w:t>与《四川省沱江流域水环境保护条例》的符合性分析</w:t>
      </w:r>
    </w:p>
    <w:p w14:paraId="0105C53A">
      <w:pPr>
        <w:spacing w:before="235" w:line="363" w:lineRule="auto"/>
        <w:ind w:left="46" w:right="29" w:firstLine="473"/>
        <w:rPr>
          <w:rFonts w:ascii="宋体" w:hAnsi="宋体" w:eastAsia="宋体" w:cs="宋体"/>
          <w:sz w:val="24"/>
          <w:szCs w:val="24"/>
        </w:rPr>
      </w:pPr>
      <w:r>
        <w:rPr>
          <w:rFonts w:ascii="宋体" w:hAnsi="宋体" w:eastAsia="宋体" w:cs="宋体"/>
          <w:spacing w:val="-3"/>
          <w:sz w:val="24"/>
          <w:szCs w:val="24"/>
        </w:rPr>
        <w:t>本项目选址与《四川省沱江流域水环境保护条例》中选址要求</w:t>
      </w:r>
      <w:r>
        <w:rPr>
          <w:rFonts w:ascii="宋体" w:hAnsi="宋体" w:eastAsia="宋体" w:cs="宋体"/>
          <w:spacing w:val="-4"/>
          <w:sz w:val="24"/>
          <w:szCs w:val="24"/>
        </w:rPr>
        <w:t>符合性分析见</w:t>
      </w:r>
      <w:r>
        <w:rPr>
          <w:rFonts w:ascii="宋体" w:hAnsi="宋体" w:eastAsia="宋体" w:cs="宋体"/>
          <w:spacing w:val="-12"/>
          <w:sz w:val="24"/>
          <w:szCs w:val="24"/>
        </w:rPr>
        <w:t>下表。</w:t>
      </w:r>
    </w:p>
    <w:p w14:paraId="50F830A5">
      <w:pPr>
        <w:spacing w:before="6" w:line="221" w:lineRule="auto"/>
        <w:ind w:left="156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1.6-14  </w:t>
      </w:r>
      <w:r>
        <w:rPr>
          <w:rFonts w:ascii="黑体" w:hAnsi="黑体" w:eastAsia="黑体" w:cs="黑体"/>
          <w:spacing w:val="-1"/>
          <w:sz w:val="21"/>
          <w:szCs w:val="21"/>
        </w:rPr>
        <w:t>项目与四川省沱江流域水环境保护条例的符合性</w:t>
      </w:r>
    </w:p>
    <w:p w14:paraId="0BEFCA31">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4064"/>
        <w:gridCol w:w="2700"/>
        <w:gridCol w:w="839"/>
      </w:tblGrid>
      <w:tr w14:paraId="18654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7" w:type="dxa"/>
            <w:vAlign w:val="top"/>
          </w:tcPr>
          <w:p w14:paraId="2CEDBF51">
            <w:pPr>
              <w:spacing w:before="68" w:line="221" w:lineRule="auto"/>
              <w:ind w:left="153"/>
              <w:rPr>
                <w:rFonts w:ascii="宋体" w:hAnsi="宋体" w:eastAsia="宋体" w:cs="宋体"/>
                <w:sz w:val="21"/>
                <w:szCs w:val="21"/>
              </w:rPr>
            </w:pPr>
            <w:r>
              <w:rPr>
                <w:rFonts w:ascii="宋体" w:hAnsi="宋体" w:eastAsia="宋体" w:cs="宋体"/>
                <w:spacing w:val="-2"/>
                <w:sz w:val="21"/>
                <w:szCs w:val="21"/>
              </w:rPr>
              <w:t>序号</w:t>
            </w:r>
          </w:p>
        </w:tc>
        <w:tc>
          <w:tcPr>
            <w:tcW w:w="4064" w:type="dxa"/>
            <w:vAlign w:val="top"/>
          </w:tcPr>
          <w:p w14:paraId="58291B4A">
            <w:pPr>
              <w:spacing w:before="68" w:line="220" w:lineRule="auto"/>
              <w:ind w:left="1618"/>
              <w:rPr>
                <w:rFonts w:ascii="宋体" w:hAnsi="宋体" w:eastAsia="宋体" w:cs="宋体"/>
                <w:sz w:val="21"/>
                <w:szCs w:val="21"/>
              </w:rPr>
            </w:pPr>
            <w:r>
              <w:rPr>
                <w:rFonts w:ascii="宋体" w:hAnsi="宋体" w:eastAsia="宋体" w:cs="宋体"/>
                <w:spacing w:val="-2"/>
                <w:sz w:val="21"/>
                <w:szCs w:val="21"/>
              </w:rPr>
              <w:t>条例内容</w:t>
            </w:r>
          </w:p>
        </w:tc>
        <w:tc>
          <w:tcPr>
            <w:tcW w:w="2700" w:type="dxa"/>
            <w:vAlign w:val="top"/>
          </w:tcPr>
          <w:p w14:paraId="1E279627">
            <w:pPr>
              <w:spacing w:before="68" w:line="219" w:lineRule="auto"/>
              <w:ind w:left="833"/>
              <w:rPr>
                <w:rFonts w:ascii="宋体" w:hAnsi="宋体" w:eastAsia="宋体" w:cs="宋体"/>
                <w:sz w:val="21"/>
                <w:szCs w:val="21"/>
              </w:rPr>
            </w:pPr>
            <w:r>
              <w:rPr>
                <w:rFonts w:ascii="宋体" w:hAnsi="宋体" w:eastAsia="宋体" w:cs="宋体"/>
                <w:spacing w:val="-2"/>
                <w:sz w:val="21"/>
                <w:szCs w:val="21"/>
              </w:rPr>
              <w:t>本项目情况</w:t>
            </w:r>
          </w:p>
        </w:tc>
        <w:tc>
          <w:tcPr>
            <w:tcW w:w="839" w:type="dxa"/>
            <w:vAlign w:val="top"/>
          </w:tcPr>
          <w:p w14:paraId="62CB55D4">
            <w:pPr>
              <w:spacing w:before="68" w:line="220" w:lineRule="auto"/>
              <w:ind w:left="111"/>
              <w:rPr>
                <w:rFonts w:ascii="宋体" w:hAnsi="宋体" w:eastAsia="宋体" w:cs="宋体"/>
                <w:sz w:val="21"/>
                <w:szCs w:val="21"/>
              </w:rPr>
            </w:pPr>
            <w:r>
              <w:rPr>
                <w:rFonts w:ascii="宋体" w:hAnsi="宋体" w:eastAsia="宋体" w:cs="宋体"/>
                <w:spacing w:val="-3"/>
                <w:sz w:val="21"/>
                <w:szCs w:val="21"/>
              </w:rPr>
              <w:t>符合性</w:t>
            </w:r>
          </w:p>
        </w:tc>
      </w:tr>
      <w:tr w14:paraId="64F24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4" w:hRule="atLeast"/>
        </w:trPr>
        <w:tc>
          <w:tcPr>
            <w:tcW w:w="717" w:type="dxa"/>
            <w:vAlign w:val="top"/>
          </w:tcPr>
          <w:p w14:paraId="67F968A3">
            <w:pPr>
              <w:spacing w:line="255" w:lineRule="auto"/>
              <w:rPr>
                <w:rFonts w:ascii="Arial"/>
                <w:sz w:val="21"/>
              </w:rPr>
            </w:pPr>
          </w:p>
          <w:p w14:paraId="437C82AB">
            <w:pPr>
              <w:spacing w:line="255" w:lineRule="auto"/>
              <w:rPr>
                <w:rFonts w:ascii="Arial"/>
                <w:sz w:val="21"/>
              </w:rPr>
            </w:pPr>
          </w:p>
          <w:p w14:paraId="4175387E">
            <w:pPr>
              <w:spacing w:line="255" w:lineRule="auto"/>
              <w:rPr>
                <w:rFonts w:ascii="Arial"/>
                <w:sz w:val="21"/>
              </w:rPr>
            </w:pPr>
          </w:p>
          <w:p w14:paraId="77925737">
            <w:pPr>
              <w:spacing w:line="255" w:lineRule="auto"/>
              <w:rPr>
                <w:rFonts w:ascii="Arial"/>
                <w:sz w:val="21"/>
              </w:rPr>
            </w:pPr>
          </w:p>
          <w:p w14:paraId="7F9725B8">
            <w:pPr>
              <w:spacing w:line="255" w:lineRule="auto"/>
              <w:rPr>
                <w:rFonts w:ascii="Arial"/>
                <w:sz w:val="21"/>
              </w:rPr>
            </w:pPr>
          </w:p>
          <w:p w14:paraId="7F6F4EB5">
            <w:pPr>
              <w:spacing w:line="255" w:lineRule="auto"/>
              <w:rPr>
                <w:rFonts w:ascii="Arial"/>
                <w:sz w:val="21"/>
              </w:rPr>
            </w:pPr>
          </w:p>
          <w:p w14:paraId="61601E61">
            <w:pPr>
              <w:spacing w:line="256" w:lineRule="auto"/>
              <w:rPr>
                <w:rFonts w:ascii="Arial"/>
                <w:sz w:val="21"/>
              </w:rPr>
            </w:pPr>
          </w:p>
          <w:p w14:paraId="524703A2">
            <w:pPr>
              <w:spacing w:line="256" w:lineRule="auto"/>
              <w:rPr>
                <w:rFonts w:ascii="Arial"/>
                <w:sz w:val="21"/>
              </w:rPr>
            </w:pPr>
          </w:p>
          <w:p w14:paraId="44E06CC5">
            <w:pPr>
              <w:pStyle w:val="6"/>
              <w:spacing w:before="61" w:line="188" w:lineRule="auto"/>
              <w:ind w:left="327"/>
            </w:pPr>
            <w:r>
              <w:t>1</w:t>
            </w:r>
          </w:p>
        </w:tc>
        <w:tc>
          <w:tcPr>
            <w:tcW w:w="4064" w:type="dxa"/>
            <w:vAlign w:val="top"/>
          </w:tcPr>
          <w:p w14:paraId="11B985A6">
            <w:pPr>
              <w:spacing w:before="51" w:line="274" w:lineRule="auto"/>
              <w:ind w:left="8" w:right="2"/>
              <w:rPr>
                <w:rFonts w:ascii="宋体" w:hAnsi="宋体" w:eastAsia="宋体" w:cs="宋体"/>
                <w:sz w:val="21"/>
                <w:szCs w:val="21"/>
              </w:rPr>
            </w:pPr>
            <w:r>
              <w:rPr>
                <w:rFonts w:ascii="宋体" w:hAnsi="宋体" w:eastAsia="宋体" w:cs="宋体"/>
                <w:spacing w:val="-3"/>
                <w:sz w:val="21"/>
                <w:szCs w:val="21"/>
              </w:rPr>
              <w:t>第三十九条 市、县级人民政府应当组织生态</w:t>
            </w:r>
            <w:r>
              <w:rPr>
                <w:rFonts w:ascii="宋体" w:hAnsi="宋体" w:eastAsia="宋体" w:cs="宋体"/>
                <w:spacing w:val="3"/>
                <w:sz w:val="21"/>
                <w:szCs w:val="21"/>
              </w:rPr>
              <w:t>环境、农业农村等主管部门划定畜禽养殖禁</w:t>
            </w:r>
            <w:r>
              <w:rPr>
                <w:rFonts w:ascii="宋体" w:hAnsi="宋体" w:eastAsia="宋体" w:cs="宋体"/>
                <w:spacing w:val="-9"/>
                <w:sz w:val="21"/>
                <w:szCs w:val="21"/>
              </w:rPr>
              <w:t>养区。</w:t>
            </w:r>
          </w:p>
          <w:p w14:paraId="0B6D7CC0">
            <w:pPr>
              <w:spacing w:before="2" w:line="274" w:lineRule="auto"/>
              <w:ind w:left="7" w:right="2"/>
              <w:rPr>
                <w:rFonts w:ascii="宋体" w:hAnsi="宋体" w:eastAsia="宋体" w:cs="宋体"/>
                <w:sz w:val="21"/>
                <w:szCs w:val="21"/>
              </w:rPr>
            </w:pPr>
            <w:r>
              <w:rPr>
                <w:rFonts w:ascii="宋体" w:hAnsi="宋体" w:eastAsia="宋体" w:cs="宋体"/>
                <w:spacing w:val="3"/>
                <w:sz w:val="21"/>
                <w:szCs w:val="21"/>
              </w:rPr>
              <w:t>禁养区内不得从事规模化畜禽养殖业；分散</w:t>
            </w:r>
            <w:r>
              <w:rPr>
                <w:rFonts w:ascii="宋体" w:hAnsi="宋体" w:eastAsia="宋体" w:cs="宋体"/>
                <w:spacing w:val="1"/>
                <w:sz w:val="21"/>
                <w:szCs w:val="21"/>
              </w:rPr>
              <w:t>养殖畜禽的，应当采取措施防止环境污染。</w:t>
            </w:r>
            <w:r>
              <w:rPr>
                <w:rFonts w:ascii="宋体" w:hAnsi="宋体" w:eastAsia="宋体" w:cs="宋体"/>
                <w:spacing w:val="3"/>
                <w:sz w:val="21"/>
                <w:szCs w:val="21"/>
              </w:rPr>
              <w:t>畜禽养殖场（社区）应当对畜禽养殖废弃物产前从源头上控减产生的数量，产中采取过程管理，实现达标或减量化排放，产后进行无害化处理、资源化综合利用，确保污水达</w:t>
            </w:r>
            <w:r>
              <w:rPr>
                <w:rFonts w:ascii="宋体" w:hAnsi="宋体" w:eastAsia="宋体" w:cs="宋体"/>
                <w:spacing w:val="-3"/>
                <w:sz w:val="21"/>
                <w:szCs w:val="21"/>
              </w:rPr>
              <w:t>标排放并鼓励实现零排放。</w:t>
            </w:r>
          </w:p>
          <w:p w14:paraId="1350BD15">
            <w:pPr>
              <w:spacing w:line="262" w:lineRule="auto"/>
              <w:ind w:left="9" w:right="2" w:firstLine="12"/>
              <w:rPr>
                <w:rFonts w:ascii="宋体" w:hAnsi="宋体" w:eastAsia="宋体" w:cs="宋体"/>
                <w:sz w:val="21"/>
                <w:szCs w:val="21"/>
              </w:rPr>
            </w:pPr>
            <w:r>
              <w:rPr>
                <w:rFonts w:ascii="宋体" w:hAnsi="宋体" w:eastAsia="宋体" w:cs="宋体"/>
                <w:spacing w:val="2"/>
                <w:sz w:val="21"/>
                <w:szCs w:val="21"/>
              </w:rPr>
              <w:t>畜禽养殖场（社区）和动物隔离场所，动物屠宰加工场所，以及动物和动物产品无害化处理场所，应当配备相应的清洗消毒设施设备及污水、污物、病死动物、染疫动物产品</w:t>
            </w:r>
          </w:p>
        </w:tc>
        <w:tc>
          <w:tcPr>
            <w:tcW w:w="2700" w:type="dxa"/>
            <w:vAlign w:val="top"/>
          </w:tcPr>
          <w:p w14:paraId="33A9A27B">
            <w:pPr>
              <w:spacing w:line="300" w:lineRule="auto"/>
              <w:rPr>
                <w:rFonts w:ascii="Arial"/>
                <w:sz w:val="21"/>
              </w:rPr>
            </w:pPr>
          </w:p>
          <w:p w14:paraId="70D7EE6C">
            <w:pPr>
              <w:spacing w:line="301" w:lineRule="auto"/>
              <w:rPr>
                <w:rFonts w:ascii="Arial"/>
                <w:sz w:val="21"/>
              </w:rPr>
            </w:pPr>
          </w:p>
          <w:p w14:paraId="44235418">
            <w:pPr>
              <w:spacing w:before="68" w:line="275" w:lineRule="auto"/>
              <w:ind w:left="10" w:firstLine="1"/>
              <w:jc w:val="both"/>
              <w:rPr>
                <w:rFonts w:ascii="宋体" w:hAnsi="宋体" w:eastAsia="宋体" w:cs="宋体"/>
                <w:sz w:val="21"/>
                <w:szCs w:val="21"/>
              </w:rPr>
            </w:pPr>
            <w:r>
              <w:rPr>
                <w:rFonts w:ascii="宋体" w:hAnsi="宋体" w:eastAsia="宋体" w:cs="宋体"/>
                <w:spacing w:val="13"/>
                <w:sz w:val="21"/>
                <w:szCs w:val="21"/>
              </w:rPr>
              <w:t>本项目不在东兴区划定的畜禽禁养区范围，项目养殖废</w:t>
            </w:r>
            <w:r>
              <w:rPr>
                <w:rFonts w:ascii="宋体" w:hAnsi="宋体" w:eastAsia="宋体" w:cs="宋体"/>
                <w:spacing w:val="-4"/>
                <w:sz w:val="21"/>
                <w:szCs w:val="21"/>
              </w:rPr>
              <w:t>气、废水、固废均采取了源头控制，过程管理，无害化处理等措施。养殖废水经配套污水</w:t>
            </w:r>
            <w:r>
              <w:rPr>
                <w:rFonts w:ascii="宋体" w:hAnsi="宋体" w:eastAsia="宋体" w:cs="宋体"/>
                <w:spacing w:val="13"/>
                <w:sz w:val="21"/>
                <w:szCs w:val="21"/>
              </w:rPr>
              <w:t>处理站处理达标后用于消纳</w:t>
            </w:r>
            <w:r>
              <w:rPr>
                <w:rFonts w:ascii="宋体" w:hAnsi="宋体" w:eastAsia="宋体" w:cs="宋体"/>
                <w:spacing w:val="-4"/>
                <w:sz w:val="21"/>
                <w:szCs w:val="21"/>
              </w:rPr>
              <w:t>地农灌，实现了零排放；病死</w:t>
            </w:r>
            <w:r>
              <w:rPr>
                <w:rFonts w:ascii="宋体" w:hAnsi="宋体" w:eastAsia="宋体" w:cs="宋体"/>
                <w:spacing w:val="13"/>
                <w:sz w:val="21"/>
                <w:szCs w:val="21"/>
              </w:rPr>
              <w:t>猪交内江市环态动物无害化处置有限责任公司进行无害</w:t>
            </w:r>
            <w:r>
              <w:rPr>
                <w:rFonts w:ascii="宋体" w:hAnsi="宋体" w:eastAsia="宋体" w:cs="宋体"/>
                <w:spacing w:val="-8"/>
                <w:sz w:val="21"/>
                <w:szCs w:val="21"/>
              </w:rPr>
              <w:t>化处理。</w:t>
            </w:r>
          </w:p>
        </w:tc>
        <w:tc>
          <w:tcPr>
            <w:tcW w:w="839" w:type="dxa"/>
            <w:vAlign w:val="top"/>
          </w:tcPr>
          <w:p w14:paraId="786A6B21">
            <w:pPr>
              <w:spacing w:line="249" w:lineRule="auto"/>
              <w:rPr>
                <w:rFonts w:ascii="Arial"/>
                <w:sz w:val="21"/>
              </w:rPr>
            </w:pPr>
          </w:p>
          <w:p w14:paraId="15B95E83">
            <w:pPr>
              <w:spacing w:line="249" w:lineRule="auto"/>
              <w:rPr>
                <w:rFonts w:ascii="Arial"/>
                <w:sz w:val="21"/>
              </w:rPr>
            </w:pPr>
          </w:p>
          <w:p w14:paraId="62C4DD18">
            <w:pPr>
              <w:spacing w:line="249" w:lineRule="auto"/>
              <w:rPr>
                <w:rFonts w:ascii="Arial"/>
                <w:sz w:val="21"/>
              </w:rPr>
            </w:pPr>
          </w:p>
          <w:p w14:paraId="0725FBA8">
            <w:pPr>
              <w:spacing w:line="250" w:lineRule="auto"/>
              <w:rPr>
                <w:rFonts w:ascii="Arial"/>
                <w:sz w:val="21"/>
              </w:rPr>
            </w:pPr>
          </w:p>
          <w:p w14:paraId="49689B55">
            <w:pPr>
              <w:spacing w:line="250" w:lineRule="auto"/>
              <w:rPr>
                <w:rFonts w:ascii="Arial"/>
                <w:sz w:val="21"/>
              </w:rPr>
            </w:pPr>
          </w:p>
          <w:p w14:paraId="1C7C73D4">
            <w:pPr>
              <w:spacing w:line="250" w:lineRule="auto"/>
              <w:rPr>
                <w:rFonts w:ascii="Arial"/>
                <w:sz w:val="21"/>
              </w:rPr>
            </w:pPr>
          </w:p>
          <w:p w14:paraId="51C579C3">
            <w:pPr>
              <w:spacing w:line="250" w:lineRule="auto"/>
              <w:rPr>
                <w:rFonts w:ascii="Arial"/>
                <w:sz w:val="21"/>
              </w:rPr>
            </w:pPr>
          </w:p>
          <w:p w14:paraId="644A3BEA">
            <w:pPr>
              <w:spacing w:line="250" w:lineRule="auto"/>
              <w:rPr>
                <w:rFonts w:ascii="Arial"/>
                <w:sz w:val="21"/>
              </w:rPr>
            </w:pPr>
          </w:p>
          <w:p w14:paraId="3B13DE62">
            <w:pPr>
              <w:spacing w:before="69" w:line="220" w:lineRule="auto"/>
              <w:ind w:left="217"/>
              <w:rPr>
                <w:rFonts w:ascii="宋体" w:hAnsi="宋体" w:eastAsia="宋体" w:cs="宋体"/>
                <w:sz w:val="21"/>
                <w:szCs w:val="21"/>
              </w:rPr>
            </w:pPr>
            <w:r>
              <w:rPr>
                <w:rFonts w:ascii="宋体" w:hAnsi="宋体" w:eastAsia="宋体" w:cs="宋体"/>
                <w:spacing w:val="-3"/>
                <w:sz w:val="21"/>
                <w:szCs w:val="21"/>
              </w:rPr>
              <w:t>符合</w:t>
            </w:r>
          </w:p>
        </w:tc>
      </w:tr>
    </w:tbl>
    <w:p w14:paraId="776FAA8F">
      <w:pPr>
        <w:pStyle w:val="2"/>
        <w:spacing w:line="172" w:lineRule="exact"/>
        <w:rPr>
          <w:sz w:val="14"/>
        </w:rPr>
      </w:pPr>
    </w:p>
    <w:p w14:paraId="59FF3CC0">
      <w:pPr>
        <w:spacing w:line="172" w:lineRule="exact"/>
        <w:rPr>
          <w:sz w:val="14"/>
          <w:szCs w:val="14"/>
        </w:rPr>
        <w:sectPr>
          <w:footerReference r:id="rId109" w:type="default"/>
          <w:pgSz w:w="11905" w:h="16840"/>
          <w:pgMar w:top="1168" w:right="1768" w:bottom="1409" w:left="1770" w:header="828" w:footer="1244" w:gutter="0"/>
          <w:cols w:space="720" w:num="1"/>
        </w:sectPr>
      </w:pPr>
    </w:p>
    <w:p w14:paraId="4DC8F5DD">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4064"/>
        <w:gridCol w:w="2700"/>
        <w:gridCol w:w="839"/>
      </w:tblGrid>
      <w:tr w14:paraId="4E7B1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7" w:type="dxa"/>
            <w:vAlign w:val="top"/>
          </w:tcPr>
          <w:p w14:paraId="7675E173">
            <w:pPr>
              <w:spacing w:before="68" w:line="221" w:lineRule="auto"/>
              <w:ind w:left="153"/>
              <w:rPr>
                <w:rFonts w:ascii="宋体" w:hAnsi="宋体" w:eastAsia="宋体" w:cs="宋体"/>
                <w:sz w:val="21"/>
                <w:szCs w:val="21"/>
              </w:rPr>
            </w:pPr>
            <w:r>
              <w:rPr>
                <w:rFonts w:ascii="宋体" w:hAnsi="宋体" w:eastAsia="宋体" w:cs="宋体"/>
                <w:spacing w:val="-2"/>
                <w:sz w:val="21"/>
                <w:szCs w:val="21"/>
              </w:rPr>
              <w:t>序号</w:t>
            </w:r>
          </w:p>
        </w:tc>
        <w:tc>
          <w:tcPr>
            <w:tcW w:w="4064" w:type="dxa"/>
            <w:vAlign w:val="top"/>
          </w:tcPr>
          <w:p w14:paraId="5207666B">
            <w:pPr>
              <w:spacing w:before="68" w:line="220" w:lineRule="auto"/>
              <w:ind w:left="1618"/>
              <w:rPr>
                <w:rFonts w:ascii="宋体" w:hAnsi="宋体" w:eastAsia="宋体" w:cs="宋体"/>
                <w:sz w:val="21"/>
                <w:szCs w:val="21"/>
              </w:rPr>
            </w:pPr>
            <w:r>
              <w:rPr>
                <w:rFonts w:ascii="宋体" w:hAnsi="宋体" w:eastAsia="宋体" w:cs="宋体"/>
                <w:spacing w:val="-2"/>
                <w:sz w:val="21"/>
                <w:szCs w:val="21"/>
              </w:rPr>
              <w:t>条例内容</w:t>
            </w:r>
          </w:p>
        </w:tc>
        <w:tc>
          <w:tcPr>
            <w:tcW w:w="2700" w:type="dxa"/>
            <w:vAlign w:val="top"/>
          </w:tcPr>
          <w:p w14:paraId="7C599373">
            <w:pPr>
              <w:spacing w:before="68" w:line="219" w:lineRule="auto"/>
              <w:ind w:left="833"/>
              <w:rPr>
                <w:rFonts w:ascii="宋体" w:hAnsi="宋体" w:eastAsia="宋体" w:cs="宋体"/>
                <w:sz w:val="21"/>
                <w:szCs w:val="21"/>
              </w:rPr>
            </w:pPr>
            <w:r>
              <w:rPr>
                <w:rFonts w:ascii="宋体" w:hAnsi="宋体" w:eastAsia="宋体" w:cs="宋体"/>
                <w:spacing w:val="-2"/>
                <w:sz w:val="21"/>
                <w:szCs w:val="21"/>
              </w:rPr>
              <w:t>本项目情况</w:t>
            </w:r>
          </w:p>
        </w:tc>
        <w:tc>
          <w:tcPr>
            <w:tcW w:w="839" w:type="dxa"/>
            <w:vAlign w:val="top"/>
          </w:tcPr>
          <w:p w14:paraId="654B5286">
            <w:pPr>
              <w:spacing w:before="68" w:line="220" w:lineRule="auto"/>
              <w:ind w:left="111"/>
              <w:rPr>
                <w:rFonts w:ascii="宋体" w:hAnsi="宋体" w:eastAsia="宋体" w:cs="宋体"/>
                <w:sz w:val="21"/>
                <w:szCs w:val="21"/>
              </w:rPr>
            </w:pPr>
            <w:r>
              <w:rPr>
                <w:rFonts w:ascii="宋体" w:hAnsi="宋体" w:eastAsia="宋体" w:cs="宋体"/>
                <w:spacing w:val="-3"/>
                <w:sz w:val="21"/>
                <w:szCs w:val="21"/>
              </w:rPr>
              <w:t>符合性</w:t>
            </w:r>
          </w:p>
        </w:tc>
      </w:tr>
      <w:tr w14:paraId="64E9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717" w:type="dxa"/>
            <w:vAlign w:val="top"/>
          </w:tcPr>
          <w:p w14:paraId="0EBFABC4">
            <w:pPr>
              <w:rPr>
                <w:rFonts w:ascii="Arial"/>
                <w:sz w:val="21"/>
              </w:rPr>
            </w:pPr>
          </w:p>
        </w:tc>
        <w:tc>
          <w:tcPr>
            <w:tcW w:w="4064" w:type="dxa"/>
            <w:vAlign w:val="top"/>
          </w:tcPr>
          <w:p w14:paraId="79123D01">
            <w:pPr>
              <w:spacing w:before="51" w:line="274" w:lineRule="auto"/>
              <w:ind w:left="11" w:right="2" w:firstLine="14"/>
              <w:rPr>
                <w:rFonts w:ascii="宋体" w:hAnsi="宋体" w:eastAsia="宋体" w:cs="宋体"/>
                <w:sz w:val="21"/>
                <w:szCs w:val="21"/>
              </w:rPr>
            </w:pPr>
            <w:r>
              <w:rPr>
                <w:rFonts w:ascii="宋体" w:hAnsi="宋体" w:eastAsia="宋体" w:cs="宋体"/>
                <w:spacing w:val="2"/>
                <w:sz w:val="21"/>
                <w:szCs w:val="21"/>
              </w:rPr>
              <w:t>的无害化处理设施设备或者委托专业处理机</w:t>
            </w:r>
            <w:r>
              <w:rPr>
                <w:rFonts w:ascii="宋体" w:hAnsi="宋体" w:eastAsia="宋体" w:cs="宋体"/>
                <w:spacing w:val="-6"/>
                <w:sz w:val="21"/>
                <w:szCs w:val="21"/>
              </w:rPr>
              <w:t>构进行处理。</w:t>
            </w:r>
          </w:p>
          <w:p w14:paraId="673024AE">
            <w:pPr>
              <w:spacing w:before="2" w:line="257" w:lineRule="auto"/>
              <w:ind w:left="12" w:right="2" w:firstLine="9"/>
              <w:rPr>
                <w:rFonts w:ascii="宋体" w:hAnsi="宋体" w:eastAsia="宋体" w:cs="宋体"/>
                <w:sz w:val="21"/>
                <w:szCs w:val="21"/>
              </w:rPr>
            </w:pPr>
            <w:r>
              <w:rPr>
                <w:rFonts w:ascii="宋体" w:hAnsi="宋体" w:eastAsia="宋体" w:cs="宋体"/>
                <w:spacing w:val="2"/>
                <w:sz w:val="21"/>
                <w:szCs w:val="21"/>
              </w:rPr>
              <w:t>畜禽散养密集区所在地县、乡级人民政府应当组织对畜禽粪便污水进行分户收集、集中</w:t>
            </w:r>
            <w:r>
              <w:rPr>
                <w:rFonts w:ascii="宋体" w:hAnsi="宋体" w:eastAsia="宋体" w:cs="宋体"/>
                <w:spacing w:val="-7"/>
                <w:sz w:val="21"/>
                <w:szCs w:val="21"/>
              </w:rPr>
              <w:t>处理利用。</w:t>
            </w:r>
          </w:p>
        </w:tc>
        <w:tc>
          <w:tcPr>
            <w:tcW w:w="2700" w:type="dxa"/>
            <w:vAlign w:val="top"/>
          </w:tcPr>
          <w:p w14:paraId="176FC366">
            <w:pPr>
              <w:rPr>
                <w:rFonts w:ascii="Arial"/>
                <w:sz w:val="21"/>
              </w:rPr>
            </w:pPr>
          </w:p>
        </w:tc>
        <w:tc>
          <w:tcPr>
            <w:tcW w:w="839" w:type="dxa"/>
            <w:vAlign w:val="top"/>
          </w:tcPr>
          <w:p w14:paraId="386F4452">
            <w:pPr>
              <w:rPr>
                <w:rFonts w:ascii="Arial"/>
                <w:sz w:val="21"/>
              </w:rPr>
            </w:pPr>
          </w:p>
        </w:tc>
      </w:tr>
    </w:tbl>
    <w:p w14:paraId="68E4DFE2">
      <w:pPr>
        <w:spacing w:before="233" w:line="219" w:lineRule="auto"/>
        <w:ind w:left="548"/>
        <w:rPr>
          <w:rFonts w:ascii="宋体" w:hAnsi="宋体" w:eastAsia="宋体" w:cs="宋体"/>
          <w:sz w:val="24"/>
          <w:szCs w:val="24"/>
        </w:rPr>
      </w:pPr>
      <w:r>
        <w:rPr>
          <w:rFonts w:ascii="宋体" w:hAnsi="宋体" w:eastAsia="宋体" w:cs="宋体"/>
          <w:spacing w:val="-2"/>
          <w:sz w:val="24"/>
          <w:szCs w:val="24"/>
        </w:rPr>
        <w:t>由表可知，本项目选址符合《四川省沱江流域水</w:t>
      </w:r>
      <w:r>
        <w:rPr>
          <w:rFonts w:ascii="宋体" w:hAnsi="宋体" w:eastAsia="宋体" w:cs="宋体"/>
          <w:spacing w:val="-3"/>
          <w:sz w:val="24"/>
          <w:szCs w:val="24"/>
        </w:rPr>
        <w:t>环境保护条例》要求。</w:t>
      </w:r>
    </w:p>
    <w:p w14:paraId="1216396B">
      <w:pPr>
        <w:spacing w:before="241" w:line="225" w:lineRule="auto"/>
        <w:ind w:left="48"/>
        <w:rPr>
          <w:rFonts w:ascii="宋体" w:hAnsi="宋体" w:eastAsia="宋体" w:cs="宋体"/>
          <w:sz w:val="27"/>
          <w:szCs w:val="27"/>
        </w:rPr>
      </w:pPr>
      <w:r>
        <w:fldChar w:fldCharType="begin"/>
      </w:r>
      <w:r>
        <w:instrText xml:space="preserve"> HYPERLINK "1.6.3.11" </w:instrText>
      </w:r>
      <w:r>
        <w:fldChar w:fldCharType="separate"/>
      </w:r>
      <w:r>
        <w:rPr>
          <w:rFonts w:ascii="Times New Roman" w:hAnsi="Times New Roman" w:eastAsia="Times New Roman" w:cs="Times New Roman"/>
          <w:b/>
          <w:bCs/>
          <w:spacing w:val="6"/>
          <w:sz w:val="27"/>
          <w:szCs w:val="27"/>
        </w:rPr>
        <w:t>1.6.3.11</w:t>
      </w:r>
      <w:r>
        <w:rPr>
          <w:rFonts w:ascii="Times New Roman" w:hAnsi="Times New Roman" w:eastAsia="Times New Roman" w:cs="Times New Roman"/>
          <w:b/>
          <w:bCs/>
          <w:spacing w:val="6"/>
          <w:sz w:val="27"/>
          <w:szCs w:val="27"/>
        </w:rPr>
        <w:fldChar w:fldCharType="end"/>
      </w:r>
      <w:r>
        <w:rPr>
          <w:rFonts w:ascii="Times New Roman" w:hAnsi="Times New Roman" w:eastAsia="Times New Roman" w:cs="Times New Roman"/>
          <w:b/>
          <w:bCs/>
          <w:spacing w:val="6"/>
          <w:sz w:val="27"/>
          <w:szCs w:val="27"/>
        </w:rPr>
        <w:t xml:space="preserve"> </w:t>
      </w:r>
      <w:r>
        <w:rPr>
          <w:rFonts w:ascii="宋体" w:hAnsi="宋体" w:eastAsia="宋体" w:cs="宋体"/>
          <w:b/>
          <w:bCs/>
          <w:spacing w:val="6"/>
          <w:sz w:val="27"/>
          <w:szCs w:val="27"/>
        </w:rPr>
        <w:t>与《关于严格耕地用途管制有关问题的通知》的符合性分析</w:t>
      </w:r>
    </w:p>
    <w:p w14:paraId="14386B37">
      <w:pPr>
        <w:spacing w:before="237" w:line="360" w:lineRule="auto"/>
        <w:ind w:left="39" w:right="94" w:firstLine="480"/>
        <w:rPr>
          <w:rFonts w:ascii="宋体" w:hAnsi="宋体" w:eastAsia="宋体" w:cs="宋体"/>
          <w:sz w:val="24"/>
          <w:szCs w:val="24"/>
        </w:rPr>
      </w:pPr>
      <w:r>
        <w:rPr>
          <w:rFonts w:ascii="宋体" w:hAnsi="宋体" w:eastAsia="宋体" w:cs="宋体"/>
          <w:spacing w:val="3"/>
          <w:sz w:val="24"/>
          <w:szCs w:val="24"/>
        </w:rPr>
        <w:t>《自然资源部农业农村部国家林业和草原局关于严格耕地用途管制有关问</w:t>
      </w:r>
      <w:r>
        <w:rPr>
          <w:rFonts w:ascii="宋体" w:hAnsi="宋体" w:eastAsia="宋体" w:cs="宋体"/>
          <w:spacing w:val="-4"/>
          <w:sz w:val="24"/>
          <w:szCs w:val="24"/>
        </w:rPr>
        <w:t>题的通知》（自然资发</w:t>
      </w:r>
      <w:r>
        <w:rPr>
          <w:rFonts w:ascii="Times New Roman" w:hAnsi="Times New Roman" w:eastAsia="Times New Roman" w:cs="Times New Roman"/>
          <w:spacing w:val="-4"/>
          <w:sz w:val="24"/>
          <w:szCs w:val="24"/>
        </w:rPr>
        <w:t>[</w:t>
      </w:r>
      <w:r>
        <w:fldChar w:fldCharType="begin"/>
      </w:r>
      <w:r>
        <w:instrText xml:space="preserve"> HYPERLINK \l "bookmark134" </w:instrText>
      </w:r>
      <w:r>
        <w:fldChar w:fldCharType="separate"/>
      </w:r>
      <w:r>
        <w:rPr>
          <w:rFonts w:ascii="Times New Roman" w:hAnsi="Times New Roman" w:eastAsia="Times New Roman" w:cs="Times New Roman"/>
          <w:spacing w:val="-4"/>
          <w:sz w:val="24"/>
          <w:szCs w:val="24"/>
        </w:rPr>
        <w:t>2021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pacing w:val="-4"/>
          <w:sz w:val="24"/>
          <w:szCs w:val="24"/>
        </w:rPr>
        <w:t>166</w:t>
      </w:r>
      <w:r>
        <w:rPr>
          <w:rFonts w:ascii="宋体" w:hAnsi="宋体" w:eastAsia="宋体" w:cs="宋体"/>
          <w:spacing w:val="-4"/>
          <w:sz w:val="24"/>
          <w:szCs w:val="24"/>
        </w:rPr>
        <w:t>号）规定：</w:t>
      </w:r>
    </w:p>
    <w:p w14:paraId="5DD9C920">
      <w:pPr>
        <w:spacing w:before="1" w:line="218" w:lineRule="auto"/>
        <w:ind w:left="523"/>
        <w:rPr>
          <w:rFonts w:ascii="宋体" w:hAnsi="宋体" w:eastAsia="宋体" w:cs="宋体"/>
          <w:sz w:val="24"/>
          <w:szCs w:val="24"/>
        </w:rPr>
      </w:pPr>
      <w:r>
        <w:rPr>
          <w:rFonts w:ascii="宋体" w:hAnsi="宋体" w:eastAsia="宋体" w:cs="宋体"/>
          <w:spacing w:val="-3"/>
          <w:sz w:val="24"/>
          <w:szCs w:val="24"/>
        </w:rPr>
        <w:t>一、严格落实永久基本农田特殊保护制度。</w:t>
      </w:r>
    </w:p>
    <w:p w14:paraId="4C1B5D30">
      <w:pPr>
        <w:spacing w:before="183" w:line="360" w:lineRule="auto"/>
        <w:ind w:left="39" w:right="67" w:firstLine="475"/>
        <w:jc w:val="both"/>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永久基本农田不得转为林地、草地、园地等其他农用地及农</w:t>
      </w:r>
      <w:r>
        <w:rPr>
          <w:rFonts w:ascii="宋体" w:hAnsi="宋体" w:eastAsia="宋体" w:cs="宋体"/>
          <w:spacing w:val="-2"/>
          <w:sz w:val="24"/>
          <w:szCs w:val="24"/>
        </w:rPr>
        <w:t>业设施建设用</w:t>
      </w:r>
      <w:r>
        <w:rPr>
          <w:rFonts w:ascii="宋体" w:hAnsi="宋体" w:eastAsia="宋体" w:cs="宋体"/>
          <w:spacing w:val="-5"/>
          <w:sz w:val="24"/>
          <w:szCs w:val="24"/>
        </w:rPr>
        <w:t>地。严禁占用永久基本农田发展林果业和挖塘</w:t>
      </w:r>
      <w:r>
        <w:rPr>
          <w:rFonts w:ascii="宋体" w:hAnsi="宋体" w:eastAsia="宋体" w:cs="宋体"/>
          <w:spacing w:val="-6"/>
          <w:sz w:val="24"/>
          <w:szCs w:val="24"/>
        </w:rPr>
        <w:t>养鱼；</w:t>
      </w:r>
      <w:r>
        <w:rPr>
          <w:rFonts w:ascii="宋体" w:hAnsi="宋体" w:eastAsia="宋体" w:cs="宋体"/>
          <w:spacing w:val="-34"/>
          <w:sz w:val="24"/>
          <w:szCs w:val="24"/>
        </w:rPr>
        <w:t xml:space="preserve"> </w:t>
      </w:r>
      <w:r>
        <w:rPr>
          <w:rFonts w:ascii="宋体" w:hAnsi="宋体" w:eastAsia="宋体" w:cs="宋体"/>
          <w:spacing w:val="-6"/>
          <w:sz w:val="24"/>
          <w:szCs w:val="24"/>
        </w:rPr>
        <w:t>……严禁新增占用永久基本</w:t>
      </w:r>
      <w:r>
        <w:rPr>
          <w:rFonts w:ascii="宋体" w:hAnsi="宋体" w:eastAsia="宋体" w:cs="宋体"/>
          <w:spacing w:val="-2"/>
          <w:sz w:val="24"/>
          <w:szCs w:val="24"/>
        </w:rPr>
        <w:t>农田建设畜禽养殖设施、水产养殖设施和破坏耕作层的种植业设施。</w:t>
      </w:r>
    </w:p>
    <w:p w14:paraId="239AD87C">
      <w:pPr>
        <w:spacing w:line="360" w:lineRule="auto"/>
        <w:ind w:left="39" w:right="67" w:firstLine="483"/>
        <w:rPr>
          <w:rFonts w:ascii="宋体" w:hAnsi="宋体" w:eastAsia="宋体" w:cs="宋体"/>
          <w:sz w:val="24"/>
          <w:szCs w:val="24"/>
        </w:rPr>
      </w:pPr>
      <w:r>
        <w:rPr>
          <w:rFonts w:ascii="宋体" w:hAnsi="宋体" w:eastAsia="宋体" w:cs="宋体"/>
          <w:spacing w:val="-3"/>
          <w:sz w:val="24"/>
          <w:szCs w:val="24"/>
        </w:rPr>
        <w:t>二、严格管控一般耕地转为其他农用地。永久基本农田</w:t>
      </w:r>
      <w:r>
        <w:rPr>
          <w:rFonts w:ascii="宋体" w:hAnsi="宋体" w:eastAsia="宋体" w:cs="宋体"/>
          <w:spacing w:val="-4"/>
          <w:sz w:val="24"/>
          <w:szCs w:val="24"/>
        </w:rPr>
        <w:t>以外的耕地为一般耕</w:t>
      </w:r>
      <w:r>
        <w:rPr>
          <w:rFonts w:ascii="宋体" w:hAnsi="宋体" w:eastAsia="宋体" w:cs="宋体"/>
          <w:spacing w:val="-3"/>
          <w:sz w:val="24"/>
          <w:szCs w:val="24"/>
        </w:rPr>
        <w:t>地。各地要认真执行新修订的《土地管理法实施条例》第十二条关于“严格控制</w:t>
      </w:r>
      <w:r>
        <w:rPr>
          <w:rFonts w:ascii="宋体" w:hAnsi="宋体" w:eastAsia="宋体" w:cs="宋体"/>
          <w:spacing w:val="-11"/>
          <w:sz w:val="24"/>
          <w:szCs w:val="24"/>
        </w:rPr>
        <w:t>耕地转为林地、草地、园地等其他农用地”的规定。一般耕地主要用于粮食和棉、</w:t>
      </w:r>
      <w:r>
        <w:rPr>
          <w:rFonts w:ascii="宋体" w:hAnsi="宋体" w:eastAsia="宋体" w:cs="宋体"/>
          <w:spacing w:val="-6"/>
          <w:sz w:val="24"/>
          <w:szCs w:val="24"/>
        </w:rPr>
        <w:t>油、糖、蔬菜等农产品及饲草饲料生产； 在不破坏耕地耕作层</w:t>
      </w:r>
      <w:r>
        <w:rPr>
          <w:rFonts w:ascii="宋体" w:hAnsi="宋体" w:eastAsia="宋体" w:cs="宋体"/>
          <w:spacing w:val="-7"/>
          <w:sz w:val="24"/>
          <w:szCs w:val="24"/>
        </w:rPr>
        <w:t>且不造成耕地地类</w:t>
      </w:r>
      <w:r>
        <w:rPr>
          <w:rFonts w:ascii="宋体" w:hAnsi="宋体" w:eastAsia="宋体" w:cs="宋体"/>
          <w:spacing w:val="-3"/>
          <w:sz w:val="24"/>
          <w:szCs w:val="24"/>
        </w:rPr>
        <w:t>改变的前提下，可以适度种植其他农作物。</w:t>
      </w:r>
    </w:p>
    <w:p w14:paraId="3740B710">
      <w:pPr>
        <w:spacing w:before="2" w:line="356" w:lineRule="auto"/>
        <w:ind w:left="40" w:right="67" w:firstLine="478"/>
        <w:jc w:val="both"/>
        <w:rPr>
          <w:rFonts w:ascii="宋体" w:hAnsi="宋体" w:eastAsia="宋体" w:cs="宋体"/>
          <w:sz w:val="24"/>
          <w:szCs w:val="24"/>
        </w:rPr>
      </w:pPr>
      <w:r>
        <w:rPr>
          <w:rFonts w:ascii="Times New Roman" w:hAnsi="Times New Roman" w:eastAsia="Times New Roman" w:cs="Times New Roman"/>
          <w:spacing w:val="-1"/>
          <w:sz w:val="24"/>
          <w:szCs w:val="24"/>
        </w:rPr>
        <w:t>7.</w:t>
      </w:r>
      <w:r>
        <w:rPr>
          <w:rFonts w:ascii="宋体" w:hAnsi="宋体" w:eastAsia="宋体" w:cs="宋体"/>
          <w:spacing w:val="-1"/>
          <w:sz w:val="24"/>
          <w:szCs w:val="24"/>
        </w:rPr>
        <w:t>严格控制新增农村道路、畜禽养殖设施、水产养殖</w:t>
      </w:r>
      <w:r>
        <w:rPr>
          <w:rFonts w:ascii="宋体" w:hAnsi="宋体" w:eastAsia="宋体" w:cs="宋体"/>
          <w:spacing w:val="-2"/>
          <w:sz w:val="24"/>
          <w:szCs w:val="24"/>
        </w:rPr>
        <w:t>设施和破坏耕作层的种</w:t>
      </w:r>
      <w:r>
        <w:rPr>
          <w:rFonts w:ascii="宋体" w:hAnsi="宋体" w:eastAsia="宋体" w:cs="宋体"/>
          <w:spacing w:val="-5"/>
          <w:sz w:val="24"/>
          <w:szCs w:val="24"/>
        </w:rPr>
        <w:t>植业设施等农业设施建设用地使用一般耕地。确需使用的，</w:t>
      </w:r>
      <w:r>
        <w:rPr>
          <w:rFonts w:ascii="宋体" w:hAnsi="宋体" w:eastAsia="宋体" w:cs="宋体"/>
          <w:spacing w:val="-50"/>
          <w:sz w:val="24"/>
          <w:szCs w:val="24"/>
        </w:rPr>
        <w:t xml:space="preserve"> </w:t>
      </w:r>
      <w:r>
        <w:rPr>
          <w:rFonts w:ascii="宋体" w:hAnsi="宋体" w:eastAsia="宋体" w:cs="宋体"/>
          <w:spacing w:val="-5"/>
          <w:sz w:val="24"/>
          <w:szCs w:val="24"/>
        </w:rPr>
        <w:t>应经批准并符合相关</w:t>
      </w:r>
      <w:r>
        <w:rPr>
          <w:rFonts w:ascii="宋体" w:hAnsi="宋体" w:eastAsia="宋体" w:cs="宋体"/>
          <w:spacing w:val="-11"/>
          <w:sz w:val="24"/>
          <w:szCs w:val="24"/>
        </w:rPr>
        <w:t>标准。</w:t>
      </w:r>
    </w:p>
    <w:p w14:paraId="018FBBC3">
      <w:pPr>
        <w:spacing w:before="4" w:line="362" w:lineRule="auto"/>
        <w:ind w:left="38" w:firstLine="481"/>
        <w:jc w:val="both"/>
        <w:rPr>
          <w:rFonts w:ascii="宋体" w:hAnsi="宋体" w:eastAsia="宋体" w:cs="宋体"/>
          <w:sz w:val="24"/>
          <w:szCs w:val="24"/>
        </w:rPr>
      </w:pPr>
      <w:r>
        <w:rPr>
          <w:rFonts w:ascii="宋体" w:hAnsi="宋体" w:eastAsia="宋体" w:cs="宋体"/>
          <w:spacing w:val="-2"/>
          <w:sz w:val="24"/>
          <w:szCs w:val="24"/>
        </w:rPr>
        <w:t>本项目位于内江市东兴区白合镇喻家沟村</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12</w:t>
      </w:r>
      <w:r>
        <w:rPr>
          <w:rFonts w:ascii="宋体" w:hAnsi="宋体" w:eastAsia="宋体" w:cs="宋体"/>
          <w:spacing w:val="-2"/>
          <w:sz w:val="24"/>
          <w:szCs w:val="24"/>
        </w:rPr>
        <w:t>组</w:t>
      </w:r>
      <w:r>
        <w:rPr>
          <w:rFonts w:ascii="宋体" w:hAnsi="宋体" w:eastAsia="宋体" w:cs="宋体"/>
          <w:spacing w:val="-3"/>
          <w:sz w:val="24"/>
          <w:szCs w:val="24"/>
        </w:rPr>
        <w:t>，占地</w:t>
      </w:r>
      <w:r>
        <w:rPr>
          <w:rFonts w:ascii="Times New Roman" w:hAnsi="Times New Roman" w:eastAsia="Times New Roman" w:cs="Times New Roman"/>
          <w:spacing w:val="-3"/>
          <w:sz w:val="24"/>
          <w:szCs w:val="24"/>
        </w:rPr>
        <w:t>8.4872hm</w:t>
      </w:r>
      <w:r>
        <w:rPr>
          <w:rFonts w:ascii="Times New Roman" w:hAnsi="Times New Roman" w:eastAsia="Times New Roman" w:cs="Times New Roman"/>
          <w:spacing w:val="-3"/>
          <w:position w:val="10"/>
          <w:sz w:val="15"/>
          <w:szCs w:val="15"/>
        </w:rPr>
        <w:t>2</w:t>
      </w:r>
      <w:r>
        <w:rPr>
          <w:rFonts w:ascii="宋体" w:hAnsi="宋体" w:eastAsia="宋体" w:cs="宋体"/>
          <w:spacing w:val="-3"/>
          <w:sz w:val="24"/>
          <w:szCs w:val="24"/>
        </w:rPr>
        <w:t>，本项目</w:t>
      </w:r>
      <w:r>
        <w:rPr>
          <w:rFonts w:ascii="宋体" w:hAnsi="宋体" w:eastAsia="宋体" w:cs="宋体"/>
          <w:spacing w:val="-1"/>
          <w:sz w:val="24"/>
          <w:szCs w:val="24"/>
        </w:rPr>
        <w:t>占地为一般耕地及林地，不占用永久基本农田。本项目为生猪规模化养殖项目，</w:t>
      </w:r>
      <w:r>
        <w:rPr>
          <w:rFonts w:ascii="宋体" w:hAnsi="宋体" w:eastAsia="宋体" w:cs="宋体"/>
          <w:spacing w:val="4"/>
          <w:sz w:val="24"/>
          <w:szCs w:val="24"/>
        </w:rPr>
        <w:t>建设单位已经取得了内江市东兴区农业农村局同意本项目设施农业用地备案以</w:t>
      </w:r>
      <w:r>
        <w:rPr>
          <w:rFonts w:ascii="宋体" w:hAnsi="宋体" w:eastAsia="宋体" w:cs="宋体"/>
          <w:spacing w:val="-6"/>
          <w:sz w:val="24"/>
          <w:szCs w:val="24"/>
        </w:rPr>
        <w:t>及养殖规模文件。综上， 本项目建设符合</w:t>
      </w:r>
      <w:r>
        <w:rPr>
          <w:rFonts w:ascii="宋体" w:hAnsi="宋体" w:eastAsia="宋体" w:cs="宋体"/>
          <w:spacing w:val="-7"/>
          <w:sz w:val="24"/>
          <w:szCs w:val="24"/>
        </w:rPr>
        <w:t>《关于严格耕地用途管制有关问题的通</w:t>
      </w:r>
      <w:r>
        <w:rPr>
          <w:rFonts w:ascii="宋体" w:hAnsi="宋体" w:eastAsia="宋体" w:cs="宋体"/>
          <w:spacing w:val="-4"/>
          <w:sz w:val="24"/>
          <w:szCs w:val="24"/>
        </w:rPr>
        <w:t>知》（自然资发</w:t>
      </w:r>
      <w:r>
        <w:rPr>
          <w:rFonts w:ascii="Times New Roman" w:hAnsi="Times New Roman" w:eastAsia="Times New Roman" w:cs="Times New Roman"/>
          <w:spacing w:val="-4"/>
          <w:sz w:val="24"/>
          <w:szCs w:val="24"/>
        </w:rPr>
        <w:t>[</w:t>
      </w:r>
      <w:r>
        <w:fldChar w:fldCharType="begin"/>
      </w:r>
      <w:r>
        <w:instrText xml:space="preserve"> HYPERLINK \l "bookmark135" </w:instrText>
      </w:r>
      <w:r>
        <w:fldChar w:fldCharType="separate"/>
      </w:r>
      <w:r>
        <w:rPr>
          <w:rFonts w:ascii="Times New Roman" w:hAnsi="Times New Roman" w:eastAsia="Times New Roman" w:cs="Times New Roman"/>
          <w:spacing w:val="-4"/>
          <w:sz w:val="24"/>
          <w:szCs w:val="24"/>
        </w:rPr>
        <w:t>2021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4"/>
          <w:sz w:val="24"/>
          <w:szCs w:val="24"/>
        </w:rPr>
        <w:t>166</w:t>
      </w:r>
      <w:r>
        <w:rPr>
          <w:rFonts w:ascii="宋体" w:hAnsi="宋体" w:eastAsia="宋体" w:cs="宋体"/>
          <w:spacing w:val="-4"/>
          <w:sz w:val="24"/>
          <w:szCs w:val="24"/>
        </w:rPr>
        <w:t>号）要求。</w:t>
      </w:r>
    </w:p>
    <w:p w14:paraId="74D8EC6D">
      <w:pPr>
        <w:spacing w:before="164" w:line="220" w:lineRule="auto"/>
        <w:ind w:left="49"/>
        <w:rPr>
          <w:rFonts w:ascii="宋体" w:hAnsi="宋体" w:eastAsia="宋体" w:cs="宋体"/>
          <w:sz w:val="30"/>
          <w:szCs w:val="30"/>
        </w:rPr>
      </w:pPr>
      <w:r>
        <w:rPr>
          <w:rFonts w:ascii="Times New Roman" w:hAnsi="Times New Roman" w:eastAsia="Times New Roman" w:cs="Times New Roman"/>
          <w:b/>
          <w:bCs/>
          <w:spacing w:val="-3"/>
          <w:sz w:val="30"/>
          <w:szCs w:val="30"/>
        </w:rPr>
        <w:t xml:space="preserve">1.6.4  </w:t>
      </w:r>
      <w:r>
        <w:rPr>
          <w:rFonts w:ascii="宋体" w:hAnsi="宋体" w:eastAsia="宋体" w:cs="宋体"/>
          <w:b/>
          <w:bCs/>
          <w:spacing w:val="-3"/>
          <w:sz w:val="30"/>
          <w:szCs w:val="30"/>
        </w:rPr>
        <w:t>与“三线一单”符合性分析</w:t>
      </w:r>
    </w:p>
    <w:p w14:paraId="56690151">
      <w:pPr>
        <w:pStyle w:val="2"/>
        <w:spacing w:line="258" w:lineRule="auto"/>
      </w:pPr>
    </w:p>
    <w:p w14:paraId="34107F62">
      <w:pPr>
        <w:spacing w:before="79" w:line="361" w:lineRule="auto"/>
        <w:ind w:left="40" w:right="67" w:firstLine="479"/>
        <w:rPr>
          <w:rFonts w:ascii="宋体" w:hAnsi="宋体" w:eastAsia="宋体" w:cs="宋体"/>
          <w:sz w:val="24"/>
          <w:szCs w:val="24"/>
        </w:rPr>
      </w:pPr>
      <w:r>
        <w:rPr>
          <w:rFonts w:ascii="宋体" w:hAnsi="宋体" w:eastAsia="宋体" w:cs="宋体"/>
          <w:spacing w:val="-3"/>
          <w:sz w:val="24"/>
          <w:szCs w:val="24"/>
        </w:rPr>
        <w:t>根据四川省生态环境厅办公室关于印发《项目环评“三线一单”</w:t>
      </w:r>
      <w:r>
        <w:rPr>
          <w:rFonts w:ascii="宋体" w:hAnsi="宋体" w:eastAsia="宋体" w:cs="宋体"/>
          <w:spacing w:val="-4"/>
          <w:sz w:val="24"/>
          <w:szCs w:val="24"/>
        </w:rPr>
        <w:t>符合性分析</w:t>
      </w:r>
      <w:r>
        <w:rPr>
          <w:rFonts w:ascii="宋体" w:hAnsi="宋体" w:eastAsia="宋体" w:cs="宋体"/>
          <w:sz w:val="24"/>
          <w:szCs w:val="24"/>
        </w:rPr>
        <w:t>技术要点（试行）》的通知（川环办函</w:t>
      </w:r>
      <w:r>
        <w:rPr>
          <w:rFonts w:ascii="Times New Roman" w:hAnsi="Times New Roman" w:eastAsia="Times New Roman" w:cs="Times New Roman"/>
          <w:sz w:val="24"/>
          <w:szCs w:val="24"/>
        </w:rPr>
        <w:t>[</w:t>
      </w:r>
      <w:r>
        <w:fldChar w:fldCharType="begin"/>
      </w:r>
      <w:r>
        <w:instrText xml:space="preserve"> HYPERLINK \l "bookmark136" </w:instrText>
      </w:r>
      <w:r>
        <w:fldChar w:fldCharType="separate"/>
      </w:r>
      <w:r>
        <w:rPr>
          <w:rFonts w:ascii="Times New Roman" w:hAnsi="Times New Roman" w:eastAsia="Times New Roman" w:cs="Times New Roman"/>
          <w:sz w:val="24"/>
          <w:szCs w:val="24"/>
        </w:rPr>
        <w:t>2021</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 xml:space="preserve">469  </w:t>
      </w:r>
      <w:r>
        <w:rPr>
          <w:rFonts w:ascii="宋体" w:hAnsi="宋体" w:eastAsia="宋体" w:cs="宋体"/>
          <w:spacing w:val="-1"/>
          <w:sz w:val="24"/>
          <w:szCs w:val="24"/>
        </w:rPr>
        <w:t>号</w:t>
      </w:r>
      <w:r>
        <w:rPr>
          <w:rFonts w:ascii="宋体" w:hAnsi="宋体" w:eastAsia="宋体" w:cs="宋体"/>
          <w:spacing w:val="-5"/>
          <w:sz w:val="24"/>
          <w:szCs w:val="24"/>
        </w:rPr>
        <w:t>），</w:t>
      </w:r>
      <w:r>
        <w:rPr>
          <w:rFonts w:ascii="宋体" w:hAnsi="宋体" w:eastAsia="宋体" w:cs="宋体"/>
          <w:spacing w:val="-1"/>
          <w:sz w:val="24"/>
          <w:szCs w:val="24"/>
        </w:rPr>
        <w:t>本项目与内江市“三线</w:t>
      </w:r>
    </w:p>
    <w:p w14:paraId="288991D7">
      <w:pPr>
        <w:spacing w:line="361" w:lineRule="auto"/>
        <w:rPr>
          <w:rFonts w:ascii="宋体" w:hAnsi="宋体" w:eastAsia="宋体" w:cs="宋体"/>
          <w:sz w:val="24"/>
          <w:szCs w:val="24"/>
        </w:rPr>
        <w:sectPr>
          <w:headerReference r:id="rId110" w:type="default"/>
          <w:footerReference r:id="rId111" w:type="default"/>
          <w:pgSz w:w="11905" w:h="16840"/>
          <w:pgMar w:top="1168" w:right="1730" w:bottom="1409" w:left="1770" w:header="828" w:footer="1244" w:gutter="0"/>
          <w:cols w:space="720" w:num="1"/>
        </w:sectPr>
      </w:pPr>
    </w:p>
    <w:p w14:paraId="1F3B5EB0">
      <w:pPr>
        <w:pStyle w:val="2"/>
        <w:spacing w:line="305" w:lineRule="auto"/>
      </w:pPr>
    </w:p>
    <w:p w14:paraId="4F9F8774">
      <w:pPr>
        <w:spacing w:before="78" w:line="220" w:lineRule="auto"/>
        <w:ind w:left="43"/>
        <w:rPr>
          <w:rFonts w:ascii="宋体" w:hAnsi="宋体" w:eastAsia="宋体" w:cs="宋体"/>
          <w:sz w:val="24"/>
          <w:szCs w:val="24"/>
        </w:rPr>
      </w:pPr>
      <w:r>
        <w:rPr>
          <w:rFonts w:ascii="宋体" w:hAnsi="宋体" w:eastAsia="宋体" w:cs="宋体"/>
          <w:spacing w:val="-5"/>
          <w:sz w:val="24"/>
          <w:szCs w:val="24"/>
        </w:rPr>
        <w:t>一单”的符合性如下。</w:t>
      </w:r>
    </w:p>
    <w:p w14:paraId="64F1E4D1">
      <w:pPr>
        <w:spacing w:before="239" w:line="226" w:lineRule="auto"/>
        <w:ind w:left="48"/>
        <w:rPr>
          <w:rFonts w:ascii="宋体" w:hAnsi="宋体" w:eastAsia="宋体" w:cs="宋体"/>
          <w:sz w:val="27"/>
          <w:szCs w:val="27"/>
        </w:rPr>
      </w:pPr>
      <w:r>
        <w:rPr>
          <w:rFonts w:ascii="Times New Roman" w:hAnsi="Times New Roman" w:eastAsia="Times New Roman" w:cs="Times New Roman"/>
          <w:b/>
          <w:bCs/>
          <w:spacing w:val="4"/>
          <w:sz w:val="27"/>
          <w:szCs w:val="27"/>
        </w:rPr>
        <w:t xml:space="preserve">1.6.4.1 </w:t>
      </w:r>
      <w:r>
        <w:rPr>
          <w:rFonts w:ascii="宋体" w:hAnsi="宋体" w:eastAsia="宋体" w:cs="宋体"/>
          <w:b/>
          <w:bCs/>
          <w:spacing w:val="4"/>
          <w:sz w:val="27"/>
          <w:szCs w:val="27"/>
        </w:rPr>
        <w:t>环境管控单元要求</w:t>
      </w:r>
    </w:p>
    <w:p w14:paraId="56521D83">
      <w:pPr>
        <w:spacing w:before="235" w:line="337" w:lineRule="auto"/>
        <w:ind w:left="45" w:right="67" w:firstLine="475"/>
        <w:jc w:val="both"/>
        <w:rPr>
          <w:rFonts w:ascii="宋体" w:hAnsi="宋体" w:eastAsia="宋体" w:cs="宋体"/>
          <w:sz w:val="24"/>
          <w:szCs w:val="24"/>
        </w:rPr>
      </w:pPr>
      <w:r>
        <w:rPr>
          <w:rFonts w:ascii="宋体" w:hAnsi="宋体" w:eastAsia="宋体" w:cs="宋体"/>
          <w:sz w:val="24"/>
          <w:szCs w:val="24"/>
        </w:rPr>
        <w:t>本项目位于内江市东兴区白合镇喻家沟村</w:t>
      </w: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12</w:t>
      </w:r>
      <w:r>
        <w:rPr>
          <w:rFonts w:ascii="宋体" w:hAnsi="宋体" w:eastAsia="宋体" w:cs="宋体"/>
          <w:sz w:val="24"/>
          <w:szCs w:val="24"/>
        </w:rPr>
        <w:t>组，</w:t>
      </w:r>
      <w:r>
        <w:rPr>
          <w:rFonts w:ascii="宋体" w:hAnsi="宋体" w:eastAsia="宋体" w:cs="宋体"/>
          <w:spacing w:val="-1"/>
          <w:sz w:val="24"/>
          <w:szCs w:val="24"/>
        </w:rPr>
        <w:t>根据《四川省生态保护红线方案》（川府发</w:t>
      </w:r>
      <w:r>
        <w:rPr>
          <w:rFonts w:ascii="Times New Roman" w:hAnsi="Times New Roman" w:eastAsia="Times New Roman" w:cs="Times New Roman"/>
          <w:spacing w:val="-1"/>
          <w:sz w:val="24"/>
          <w:szCs w:val="24"/>
        </w:rPr>
        <w:t>[</w:t>
      </w:r>
      <w:r>
        <w:fldChar w:fldCharType="begin"/>
      </w:r>
      <w:r>
        <w:instrText xml:space="preserve"> HYPERLINK \l "bookmark137" </w:instrText>
      </w:r>
      <w:r>
        <w:fldChar w:fldCharType="separate"/>
      </w:r>
      <w:r>
        <w:rPr>
          <w:rFonts w:ascii="Times New Roman" w:hAnsi="Times New Roman" w:eastAsia="Times New Roman" w:cs="Times New Roman"/>
          <w:spacing w:val="-1"/>
          <w:sz w:val="24"/>
          <w:szCs w:val="24"/>
        </w:rPr>
        <w:t>2018</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]24</w:t>
      </w:r>
      <w:r>
        <w:rPr>
          <w:rFonts w:ascii="宋体" w:hAnsi="宋体" w:eastAsia="宋体" w:cs="宋体"/>
          <w:spacing w:val="-1"/>
          <w:sz w:val="24"/>
          <w:szCs w:val="24"/>
        </w:rPr>
        <w:t>号</w:t>
      </w:r>
      <w:r>
        <w:rPr>
          <w:rFonts w:ascii="宋体" w:hAnsi="宋体" w:eastAsia="宋体" w:cs="宋体"/>
          <w:spacing w:val="4"/>
          <w:sz w:val="24"/>
          <w:szCs w:val="24"/>
        </w:rPr>
        <w:t>），</w:t>
      </w:r>
      <w:r>
        <w:rPr>
          <w:rFonts w:ascii="宋体" w:hAnsi="宋体" w:eastAsia="宋体" w:cs="宋体"/>
          <w:spacing w:val="-1"/>
          <w:sz w:val="24"/>
          <w:szCs w:val="24"/>
        </w:rPr>
        <w:t>项目建设不涉及其划定的生态红线区域</w:t>
      </w:r>
      <w:r>
        <w:rPr>
          <w:rFonts w:ascii="宋体" w:hAnsi="宋体" w:eastAsia="宋体" w:cs="宋体"/>
          <w:spacing w:val="-2"/>
          <w:sz w:val="24"/>
          <w:szCs w:val="24"/>
        </w:rPr>
        <w:t>，与</w:t>
      </w:r>
      <w:r>
        <w:rPr>
          <w:rFonts w:ascii="宋体" w:hAnsi="宋体" w:eastAsia="宋体" w:cs="宋体"/>
          <w:spacing w:val="-1"/>
          <w:sz w:val="24"/>
          <w:szCs w:val="24"/>
        </w:rPr>
        <w:t>四川省生态保护红线位置关系见图</w:t>
      </w:r>
      <w:r>
        <w:rPr>
          <w:rFonts w:ascii="Times New Roman" w:hAnsi="Times New Roman" w:eastAsia="Times New Roman" w:cs="Times New Roman"/>
          <w:spacing w:val="-1"/>
          <w:sz w:val="24"/>
          <w:szCs w:val="24"/>
        </w:rPr>
        <w:t>1.6-4</w:t>
      </w:r>
      <w:r>
        <w:rPr>
          <w:rFonts w:ascii="宋体" w:hAnsi="宋体" w:eastAsia="宋体" w:cs="宋体"/>
          <w:spacing w:val="-1"/>
          <w:sz w:val="24"/>
          <w:szCs w:val="24"/>
        </w:rPr>
        <w:t>。</w:t>
      </w:r>
    </w:p>
    <w:p w14:paraId="5375D911">
      <w:pPr>
        <w:spacing w:line="4920" w:lineRule="exact"/>
        <w:ind w:firstLine="198"/>
      </w:pPr>
      <w:r>
        <w:rPr>
          <w:position w:val="-98"/>
        </w:rPr>
        <w:pict>
          <v:group id="_x0000_s1033" o:spid="_x0000_s1033" o:spt="203" style="height:246pt;width:397.65pt;" coordsize="7952,4920">
            <o:lock v:ext="edit"/>
            <v:shape id="_x0000_s1034" o:spid="_x0000_s1034" o:spt="75" type="#_x0000_t75" style="position:absolute;left:0;top:0;height:4920;width:7952;" filled="f" stroked="f" coordsize="21600,21600">
              <v:path/>
              <v:fill on="f" focussize="0,0"/>
              <v:stroke on="f"/>
              <v:imagedata r:id="rId540" o:title=""/>
              <o:lock v:ext="edit" aspectratio="t"/>
            </v:shape>
            <v:shape id="_x0000_s1035" o:spid="_x0000_s1035" o:spt="202" type="#_x0000_t202" style="position:absolute;left:5586;top:2002;height:260;width:1351;" filled="f" stroked="f" coordsize="21600,21600">
              <v:path/>
              <v:fill on="f" focussize="0,0"/>
              <v:stroke on="f"/>
              <v:imagedata o:title=""/>
              <o:lock v:ext="edit" aspectratio="f"/>
              <v:textbox inset="0mm,0mm,0mm,0mm">
                <w:txbxContent>
                  <w:p w14:paraId="3FBE6BBA">
                    <w:pPr>
                      <w:spacing w:before="20" w:line="227" w:lineRule="auto"/>
                      <w:ind w:left="20"/>
                      <w:rPr>
                        <w:rFonts w:ascii="宋体" w:hAnsi="宋体" w:eastAsia="宋体" w:cs="宋体"/>
                        <w:sz w:val="21"/>
                        <w:szCs w:val="21"/>
                      </w:rPr>
                    </w:pPr>
                    <w:r>
                      <w:rPr>
                        <w:rFonts w:ascii="宋体" w:hAnsi="宋体" w:eastAsia="宋体" w:cs="宋体"/>
                        <w:spacing w:val="8"/>
                        <w:sz w:val="21"/>
                        <w:szCs w:val="21"/>
                      </w:rPr>
                      <w:t>本项目所在地</w:t>
                    </w:r>
                  </w:p>
                </w:txbxContent>
              </v:textbox>
            </v:shape>
            <w10:wrap type="none"/>
            <w10:anchorlock/>
          </v:group>
        </w:pict>
      </w:r>
    </w:p>
    <w:p w14:paraId="569F8223">
      <w:pPr>
        <w:spacing w:before="79" w:line="219" w:lineRule="auto"/>
        <w:ind w:left="2042"/>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1.6-4  </w:t>
      </w:r>
      <w:r>
        <w:rPr>
          <w:rFonts w:ascii="黑体" w:hAnsi="黑体" w:eastAsia="黑体" w:cs="黑体"/>
          <w:spacing w:val="-1"/>
          <w:sz w:val="21"/>
          <w:szCs w:val="21"/>
        </w:rPr>
        <w:t>项目与四川省生态保护红线位置关系图</w:t>
      </w:r>
    </w:p>
    <w:p w14:paraId="05A5A284">
      <w:pPr>
        <w:spacing w:before="119" w:line="5633" w:lineRule="exact"/>
        <w:ind w:firstLine="198"/>
      </w:pPr>
      <w:r>
        <w:rPr>
          <w:position w:val="-112"/>
        </w:rPr>
        <w:pict>
          <v:group id="_x0000_s1036" o:spid="_x0000_s1036" o:spt="203" style="height:281.65pt;width:410.4pt;" coordsize="8207,5632">
            <o:lock v:ext="edit"/>
            <v:shape id="_x0000_s1037" o:spid="_x0000_s1037" o:spt="75" type="#_x0000_t75" style="position:absolute;left:0;top:0;height:5632;width:8207;" filled="f" stroked="f" coordsize="21600,21600">
              <v:path/>
              <v:fill on="f" focussize="0,0"/>
              <v:stroke on="f"/>
              <v:imagedata r:id="rId541" o:title=""/>
              <o:lock v:ext="edit" aspectratio="t"/>
            </v:shape>
            <v:shape id="_x0000_s1038" o:spid="_x0000_s1038" o:spt="202" type="#_x0000_t202" style="position:absolute;left:6849;top:1582;height:260;width:1351;" filled="f" stroked="f" coordsize="21600,21600">
              <v:path/>
              <v:fill on="f" focussize="0,0"/>
              <v:stroke on="f"/>
              <v:imagedata o:title=""/>
              <o:lock v:ext="edit" aspectratio="f"/>
              <v:textbox inset="0mm,0mm,0mm,0mm">
                <w:txbxContent>
                  <w:p w14:paraId="24A303A9">
                    <w:pPr>
                      <w:spacing w:before="20" w:line="227" w:lineRule="auto"/>
                      <w:ind w:left="20"/>
                      <w:rPr>
                        <w:rFonts w:ascii="宋体" w:hAnsi="宋体" w:eastAsia="宋体" w:cs="宋体"/>
                        <w:sz w:val="21"/>
                        <w:szCs w:val="21"/>
                      </w:rPr>
                    </w:pPr>
                    <w:r>
                      <w:rPr>
                        <w:rFonts w:ascii="宋体" w:hAnsi="宋体" w:eastAsia="宋体" w:cs="宋体"/>
                        <w:spacing w:val="8"/>
                        <w:sz w:val="21"/>
                        <w:szCs w:val="21"/>
                      </w:rPr>
                      <w:t>本项目所在地</w:t>
                    </w:r>
                  </w:p>
                </w:txbxContent>
              </v:textbox>
            </v:shape>
            <w10:wrap type="none"/>
            <w10:anchorlock/>
          </v:group>
        </w:pict>
      </w:r>
    </w:p>
    <w:p w14:paraId="2DDF92C3">
      <w:pPr>
        <w:spacing w:before="168" w:line="219" w:lineRule="auto"/>
        <w:ind w:left="2042"/>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1.6-5  </w:t>
      </w:r>
      <w:r>
        <w:rPr>
          <w:rFonts w:ascii="黑体" w:hAnsi="黑体" w:eastAsia="黑体" w:cs="黑体"/>
          <w:spacing w:val="-1"/>
          <w:sz w:val="21"/>
          <w:szCs w:val="21"/>
        </w:rPr>
        <w:t>项目与内江市生态保护红线位置关系图</w:t>
      </w:r>
    </w:p>
    <w:p w14:paraId="43A83732">
      <w:pPr>
        <w:spacing w:line="219" w:lineRule="auto"/>
        <w:rPr>
          <w:rFonts w:ascii="黑体" w:hAnsi="黑体" w:eastAsia="黑体" w:cs="黑体"/>
          <w:sz w:val="21"/>
          <w:szCs w:val="21"/>
        </w:rPr>
        <w:sectPr>
          <w:headerReference r:id="rId112" w:type="default"/>
          <w:footerReference r:id="rId113" w:type="default"/>
          <w:pgSz w:w="11905" w:h="16840"/>
          <w:pgMar w:top="1168" w:right="1729" w:bottom="1409" w:left="1770" w:header="828" w:footer="1244" w:gutter="0"/>
          <w:cols w:space="720" w:num="1"/>
        </w:sectPr>
      </w:pPr>
    </w:p>
    <w:p w14:paraId="3DFC3177">
      <w:pPr>
        <w:pStyle w:val="2"/>
        <w:spacing w:line="306" w:lineRule="auto"/>
      </w:pPr>
    </w:p>
    <w:p w14:paraId="6FCD7E92">
      <w:pPr>
        <w:spacing w:before="78" w:line="360" w:lineRule="auto"/>
        <w:ind w:left="68" w:right="47" w:firstLine="449"/>
        <w:rPr>
          <w:rFonts w:ascii="宋体" w:hAnsi="宋体" w:eastAsia="宋体" w:cs="宋体"/>
          <w:sz w:val="24"/>
          <w:szCs w:val="24"/>
        </w:rPr>
      </w:pPr>
      <w:r>
        <w:rPr>
          <w:rFonts w:ascii="宋体" w:hAnsi="宋体" w:eastAsia="宋体" w:cs="宋体"/>
          <w:spacing w:val="-2"/>
          <w:sz w:val="24"/>
          <w:szCs w:val="24"/>
        </w:rPr>
        <w:t>对比内江市生态红线图（见图</w:t>
      </w:r>
      <w:r>
        <w:rPr>
          <w:rFonts w:ascii="Times New Roman" w:hAnsi="Times New Roman" w:eastAsia="Times New Roman" w:cs="Times New Roman"/>
          <w:spacing w:val="-2"/>
          <w:sz w:val="24"/>
          <w:szCs w:val="24"/>
        </w:rPr>
        <w:t>1.6-5</w:t>
      </w:r>
      <w:r>
        <w:rPr>
          <w:rFonts w:ascii="宋体" w:hAnsi="宋体" w:eastAsia="宋体" w:cs="宋体"/>
          <w:spacing w:val="-33"/>
          <w:sz w:val="24"/>
          <w:szCs w:val="24"/>
        </w:rPr>
        <w:t>），</w:t>
      </w:r>
      <w:r>
        <w:rPr>
          <w:rFonts w:ascii="宋体" w:hAnsi="宋体" w:eastAsia="宋体" w:cs="宋体"/>
          <w:spacing w:val="-2"/>
          <w:sz w:val="24"/>
          <w:szCs w:val="24"/>
        </w:rPr>
        <w:t>本项目不涉及被划入的</w:t>
      </w:r>
      <w:r>
        <w:rPr>
          <w:rFonts w:ascii="宋体" w:hAnsi="宋体" w:eastAsia="宋体" w:cs="宋体"/>
          <w:spacing w:val="-3"/>
          <w:sz w:val="24"/>
          <w:szCs w:val="24"/>
        </w:rPr>
        <w:t>生态保护红线内的区域，因此，本项目建设与该区域生态红线划定符合。</w:t>
      </w:r>
    </w:p>
    <w:p w14:paraId="30CBF2AB">
      <w:pPr>
        <w:spacing w:before="3" w:line="345" w:lineRule="auto"/>
        <w:ind w:left="40" w:right="21" w:firstLine="479"/>
        <w:jc w:val="both"/>
        <w:rPr>
          <w:rFonts w:ascii="宋体" w:hAnsi="宋体" w:eastAsia="宋体" w:cs="宋体"/>
          <w:sz w:val="24"/>
          <w:szCs w:val="24"/>
        </w:rPr>
      </w:pPr>
      <w:r>
        <w:rPr>
          <w:rFonts w:ascii="宋体" w:hAnsi="宋体" w:eastAsia="宋体" w:cs="宋体"/>
          <w:spacing w:val="-10"/>
          <w:sz w:val="24"/>
          <w:szCs w:val="24"/>
        </w:rPr>
        <w:t>根据《内江市人民政府关于落实生态保护红线、环境质量底线、资源利用上线</w:t>
      </w:r>
      <w:r>
        <w:rPr>
          <w:rFonts w:ascii="宋体" w:hAnsi="宋体" w:eastAsia="宋体" w:cs="宋体"/>
          <w:spacing w:val="-9"/>
          <w:sz w:val="24"/>
          <w:szCs w:val="24"/>
        </w:rPr>
        <w:t>制定生态环境准入清单实施生态环境分区管控的通知》（内府发</w:t>
      </w:r>
      <w:r>
        <w:rPr>
          <w:rFonts w:ascii="Times New Roman" w:hAnsi="Times New Roman" w:eastAsia="Times New Roman" w:cs="Times New Roman"/>
          <w:spacing w:val="-9"/>
          <w:sz w:val="24"/>
          <w:szCs w:val="24"/>
        </w:rPr>
        <w:t>[</w:t>
      </w:r>
      <w:r>
        <w:fldChar w:fldCharType="begin"/>
      </w:r>
      <w:r>
        <w:instrText xml:space="preserve"> HYPERLINK \l "bookmark138" </w:instrText>
      </w:r>
      <w:r>
        <w:fldChar w:fldCharType="separate"/>
      </w:r>
      <w:r>
        <w:rPr>
          <w:rFonts w:ascii="Times New Roman" w:hAnsi="Times New Roman" w:eastAsia="Times New Roman" w:cs="Times New Roman"/>
          <w:spacing w:val="-9"/>
          <w:sz w:val="24"/>
          <w:szCs w:val="24"/>
        </w:rPr>
        <w:t>2021</w:t>
      </w:r>
      <w:r>
        <w:rPr>
          <w:rFonts w:ascii="Times New Roman" w:hAnsi="Times New Roman" w:eastAsia="Times New Roman" w:cs="Times New Roman"/>
          <w:spacing w:val="-9"/>
          <w:sz w:val="24"/>
          <w:szCs w:val="24"/>
        </w:rPr>
        <w:fldChar w:fldCharType="end"/>
      </w:r>
      <w:r>
        <w:rPr>
          <w:rFonts w:ascii="Times New Roman" w:hAnsi="Times New Roman" w:eastAsia="Times New Roman" w:cs="Times New Roman"/>
          <w:spacing w:val="-9"/>
          <w:sz w:val="24"/>
          <w:szCs w:val="24"/>
        </w:rPr>
        <w:t>]7</w:t>
      </w:r>
      <w:r>
        <w:rPr>
          <w:rFonts w:ascii="宋体" w:hAnsi="宋体" w:eastAsia="宋体" w:cs="宋体"/>
          <w:spacing w:val="-9"/>
          <w:sz w:val="24"/>
          <w:szCs w:val="24"/>
        </w:rPr>
        <w:t>号</w:t>
      </w:r>
      <w:r>
        <w:rPr>
          <w:rFonts w:ascii="宋体" w:hAnsi="宋体" w:eastAsia="宋体" w:cs="宋体"/>
          <w:spacing w:val="-21"/>
          <w:sz w:val="24"/>
          <w:szCs w:val="24"/>
        </w:rPr>
        <w:t>），</w:t>
      </w:r>
      <w:r>
        <w:rPr>
          <w:rFonts w:ascii="宋体" w:hAnsi="宋体" w:eastAsia="宋体" w:cs="宋体"/>
          <w:spacing w:val="-9"/>
          <w:sz w:val="24"/>
          <w:szCs w:val="24"/>
        </w:rPr>
        <w:t>本项</w:t>
      </w:r>
      <w:r>
        <w:rPr>
          <w:rFonts w:ascii="宋体" w:hAnsi="宋体" w:eastAsia="宋体" w:cs="宋体"/>
          <w:spacing w:val="-3"/>
          <w:sz w:val="24"/>
          <w:szCs w:val="24"/>
        </w:rPr>
        <w:t>目位于要素重点管控单元，与内江市环境管控单元位置关系见</w:t>
      </w:r>
      <w:r>
        <w:rPr>
          <w:rFonts w:ascii="宋体" w:hAnsi="宋体" w:eastAsia="宋体" w:cs="宋体"/>
          <w:spacing w:val="-4"/>
          <w:sz w:val="24"/>
          <w:szCs w:val="24"/>
        </w:rPr>
        <w:t>图</w:t>
      </w:r>
      <w:r>
        <w:rPr>
          <w:rFonts w:ascii="Times New Roman" w:hAnsi="Times New Roman" w:eastAsia="Times New Roman" w:cs="Times New Roman"/>
          <w:spacing w:val="-4"/>
          <w:sz w:val="24"/>
          <w:szCs w:val="24"/>
        </w:rPr>
        <w:t>1.6-6</w:t>
      </w:r>
      <w:r>
        <w:rPr>
          <w:rFonts w:ascii="宋体" w:hAnsi="宋体" w:eastAsia="宋体" w:cs="宋体"/>
          <w:spacing w:val="-4"/>
          <w:sz w:val="24"/>
          <w:szCs w:val="24"/>
        </w:rPr>
        <w:t>。本项目与</w:t>
      </w:r>
      <w:r>
        <w:rPr>
          <w:rFonts w:ascii="宋体" w:hAnsi="宋体" w:eastAsia="宋体" w:cs="宋体"/>
          <w:sz w:val="24"/>
          <w:szCs w:val="24"/>
        </w:rPr>
        <w:t>内江市和东兴区的总体生态环境管控要求符合性</w:t>
      </w:r>
      <w:r>
        <w:rPr>
          <w:rFonts w:ascii="宋体" w:hAnsi="宋体" w:eastAsia="宋体" w:cs="宋体"/>
          <w:spacing w:val="-1"/>
          <w:sz w:val="24"/>
          <w:szCs w:val="24"/>
        </w:rPr>
        <w:t>分析见表</w:t>
      </w:r>
      <w:r>
        <w:rPr>
          <w:rFonts w:ascii="Times New Roman" w:hAnsi="Times New Roman" w:eastAsia="Times New Roman" w:cs="Times New Roman"/>
          <w:spacing w:val="-1"/>
          <w:sz w:val="24"/>
          <w:szCs w:val="24"/>
        </w:rPr>
        <w:t>1.6-15</w:t>
      </w:r>
      <w:r>
        <w:rPr>
          <w:rFonts w:ascii="宋体" w:hAnsi="宋体" w:eastAsia="宋体" w:cs="宋体"/>
          <w:spacing w:val="-1"/>
          <w:sz w:val="24"/>
          <w:szCs w:val="24"/>
        </w:rPr>
        <w:t>。</w:t>
      </w:r>
    </w:p>
    <w:p w14:paraId="5F8C14DD">
      <w:pPr>
        <w:spacing w:line="5512" w:lineRule="exact"/>
        <w:ind w:firstLine="126"/>
      </w:pPr>
      <w:r>
        <w:rPr>
          <w:position w:val="-110"/>
        </w:rPr>
        <w:pict>
          <v:group id="_x0000_s1039" o:spid="_x0000_s1039" o:spt="203" style="height:275.65pt;width:405.65pt;" coordsize="8112,5512">
            <o:lock v:ext="edit"/>
            <v:shape id="_x0000_s1040" o:spid="_x0000_s1040" o:spt="75" type="#_x0000_t75" style="position:absolute;left:0;top:0;height:5512;width:8112;" filled="f" stroked="f" coordsize="21600,21600">
              <v:path/>
              <v:fill on="f" focussize="0,0"/>
              <v:stroke on="f"/>
              <v:imagedata r:id="rId542" o:title=""/>
              <o:lock v:ext="edit" aspectratio="t"/>
            </v:shape>
            <v:shape id="_x0000_s1041" o:spid="_x0000_s1041" o:spt="202" type="#_x0000_t202" style="position:absolute;left:5619;top:1885;height:260;width:1351;" filled="f" stroked="f" coordsize="21600,21600">
              <v:path/>
              <v:fill on="f" focussize="0,0"/>
              <v:stroke on="f"/>
              <v:imagedata o:title=""/>
              <o:lock v:ext="edit" aspectratio="f"/>
              <v:textbox inset="0mm,0mm,0mm,0mm">
                <w:txbxContent>
                  <w:p w14:paraId="03A91C0D">
                    <w:pPr>
                      <w:spacing w:before="20" w:line="227" w:lineRule="auto"/>
                      <w:ind w:left="20"/>
                      <w:rPr>
                        <w:rFonts w:ascii="宋体" w:hAnsi="宋体" w:eastAsia="宋体" w:cs="宋体"/>
                        <w:sz w:val="21"/>
                        <w:szCs w:val="21"/>
                      </w:rPr>
                    </w:pPr>
                    <w:r>
                      <w:rPr>
                        <w:rFonts w:ascii="宋体" w:hAnsi="宋体" w:eastAsia="宋体" w:cs="宋体"/>
                        <w:spacing w:val="8"/>
                        <w:sz w:val="21"/>
                        <w:szCs w:val="21"/>
                      </w:rPr>
                      <w:t>本项目所在地</w:t>
                    </w:r>
                  </w:p>
                </w:txbxContent>
              </v:textbox>
            </v:shape>
            <w10:wrap type="none"/>
            <w10:anchorlock/>
          </v:group>
        </w:pict>
      </w:r>
    </w:p>
    <w:p w14:paraId="2DA5C27F">
      <w:pPr>
        <w:spacing w:before="93" w:line="222" w:lineRule="auto"/>
        <w:ind w:left="2042"/>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1.6-6  </w:t>
      </w:r>
      <w:r>
        <w:rPr>
          <w:rFonts w:ascii="黑体" w:hAnsi="黑体" w:eastAsia="黑体" w:cs="黑体"/>
          <w:spacing w:val="-1"/>
          <w:sz w:val="21"/>
          <w:szCs w:val="21"/>
        </w:rPr>
        <w:t>项目与内江市环境管控单元位置关系图</w:t>
      </w:r>
    </w:p>
    <w:p w14:paraId="7D6FF81C">
      <w:pPr>
        <w:spacing w:before="253" w:line="222" w:lineRule="auto"/>
        <w:ind w:left="1246"/>
        <w:rPr>
          <w:rFonts w:ascii="黑体" w:hAnsi="黑体" w:eastAsia="黑体" w:cs="黑体"/>
          <w:sz w:val="21"/>
          <w:szCs w:val="21"/>
        </w:rPr>
      </w:pPr>
      <w:r>
        <w:rPr>
          <w:rFonts w:ascii="黑体" w:hAnsi="黑体" w:eastAsia="黑体" w:cs="黑体"/>
          <w:sz w:val="21"/>
          <w:szCs w:val="21"/>
        </w:rPr>
        <w:t>表</w:t>
      </w:r>
      <w:r>
        <w:rPr>
          <w:rFonts w:ascii="Times New Roman" w:hAnsi="Times New Roman" w:eastAsia="Times New Roman" w:cs="Times New Roman"/>
          <w:sz w:val="21"/>
          <w:szCs w:val="21"/>
        </w:rPr>
        <w:t xml:space="preserve">1.6-15  </w:t>
      </w:r>
      <w:r>
        <w:rPr>
          <w:rFonts w:ascii="黑体" w:hAnsi="黑体" w:eastAsia="黑体" w:cs="黑体"/>
          <w:sz w:val="21"/>
          <w:szCs w:val="21"/>
        </w:rPr>
        <w:t>本项目与内江市和东兴区</w:t>
      </w:r>
      <w:r>
        <w:rPr>
          <w:rFonts w:ascii="黑体" w:hAnsi="黑体" w:eastAsia="黑体" w:cs="黑体"/>
          <w:spacing w:val="-1"/>
          <w:sz w:val="21"/>
          <w:szCs w:val="21"/>
        </w:rPr>
        <w:t>总体生态环境管控要求符合性</w:t>
      </w:r>
    </w:p>
    <w:p w14:paraId="0E02A4A8">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3822"/>
        <w:gridCol w:w="2973"/>
        <w:gridCol w:w="667"/>
      </w:tblGrid>
      <w:tr w14:paraId="5E6F3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8" w:type="dxa"/>
            <w:vAlign w:val="top"/>
          </w:tcPr>
          <w:p w14:paraId="4B3F31FF">
            <w:pPr>
              <w:spacing w:before="69" w:line="220" w:lineRule="auto"/>
              <w:ind w:left="18"/>
              <w:rPr>
                <w:rFonts w:ascii="宋体" w:hAnsi="宋体" w:eastAsia="宋体" w:cs="宋体"/>
                <w:sz w:val="21"/>
                <w:szCs w:val="21"/>
              </w:rPr>
            </w:pPr>
            <w:r>
              <w:rPr>
                <w:rFonts w:ascii="宋体" w:hAnsi="宋体" w:eastAsia="宋体" w:cs="宋体"/>
                <w:spacing w:val="-3"/>
                <w:sz w:val="21"/>
                <w:szCs w:val="21"/>
              </w:rPr>
              <w:t>行政区划</w:t>
            </w:r>
          </w:p>
        </w:tc>
        <w:tc>
          <w:tcPr>
            <w:tcW w:w="3822" w:type="dxa"/>
            <w:vAlign w:val="top"/>
          </w:tcPr>
          <w:p w14:paraId="57EB080A">
            <w:pPr>
              <w:spacing w:before="68" w:line="220" w:lineRule="auto"/>
              <w:ind w:left="872"/>
              <w:rPr>
                <w:rFonts w:ascii="宋体" w:hAnsi="宋体" w:eastAsia="宋体" w:cs="宋体"/>
                <w:sz w:val="21"/>
                <w:szCs w:val="21"/>
              </w:rPr>
            </w:pPr>
            <w:r>
              <w:rPr>
                <w:rFonts w:ascii="宋体" w:hAnsi="宋体" w:eastAsia="宋体" w:cs="宋体"/>
                <w:spacing w:val="-2"/>
                <w:sz w:val="21"/>
                <w:szCs w:val="21"/>
              </w:rPr>
              <w:t>总体生态环境管控要求</w:t>
            </w:r>
          </w:p>
        </w:tc>
        <w:tc>
          <w:tcPr>
            <w:tcW w:w="2973" w:type="dxa"/>
            <w:vAlign w:val="top"/>
          </w:tcPr>
          <w:p w14:paraId="42BF4B69">
            <w:pPr>
              <w:spacing w:before="68" w:line="219" w:lineRule="auto"/>
              <w:ind w:left="970"/>
              <w:rPr>
                <w:rFonts w:ascii="宋体" w:hAnsi="宋体" w:eastAsia="宋体" w:cs="宋体"/>
                <w:sz w:val="21"/>
                <w:szCs w:val="21"/>
              </w:rPr>
            </w:pPr>
            <w:r>
              <w:rPr>
                <w:rFonts w:ascii="宋体" w:hAnsi="宋体" w:eastAsia="宋体" w:cs="宋体"/>
                <w:spacing w:val="-2"/>
                <w:sz w:val="21"/>
                <w:szCs w:val="21"/>
              </w:rPr>
              <w:t>本项目情况</w:t>
            </w:r>
          </w:p>
        </w:tc>
        <w:tc>
          <w:tcPr>
            <w:tcW w:w="667" w:type="dxa"/>
            <w:vAlign w:val="top"/>
          </w:tcPr>
          <w:p w14:paraId="35CDCB9B">
            <w:pPr>
              <w:spacing w:before="68" w:line="220" w:lineRule="auto"/>
              <w:ind w:left="25"/>
              <w:rPr>
                <w:rFonts w:ascii="宋体" w:hAnsi="宋体" w:eastAsia="宋体" w:cs="宋体"/>
                <w:sz w:val="21"/>
                <w:szCs w:val="21"/>
              </w:rPr>
            </w:pPr>
            <w:r>
              <w:rPr>
                <w:rFonts w:ascii="宋体" w:hAnsi="宋体" w:eastAsia="宋体" w:cs="宋体"/>
                <w:spacing w:val="-3"/>
                <w:sz w:val="21"/>
                <w:szCs w:val="21"/>
              </w:rPr>
              <w:t>符合性</w:t>
            </w:r>
          </w:p>
        </w:tc>
      </w:tr>
      <w:tr w14:paraId="2EB43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2" w:hRule="atLeast"/>
        </w:trPr>
        <w:tc>
          <w:tcPr>
            <w:tcW w:w="858" w:type="dxa"/>
            <w:vAlign w:val="top"/>
          </w:tcPr>
          <w:p w14:paraId="18162027">
            <w:pPr>
              <w:spacing w:line="263" w:lineRule="auto"/>
              <w:rPr>
                <w:rFonts w:ascii="Arial"/>
                <w:sz w:val="21"/>
              </w:rPr>
            </w:pPr>
          </w:p>
          <w:p w14:paraId="7B53D38B">
            <w:pPr>
              <w:spacing w:line="263" w:lineRule="auto"/>
              <w:rPr>
                <w:rFonts w:ascii="Arial"/>
                <w:sz w:val="21"/>
              </w:rPr>
            </w:pPr>
          </w:p>
          <w:p w14:paraId="0A22E901">
            <w:pPr>
              <w:spacing w:line="263" w:lineRule="auto"/>
              <w:rPr>
                <w:rFonts w:ascii="Arial"/>
                <w:sz w:val="21"/>
              </w:rPr>
            </w:pPr>
          </w:p>
          <w:p w14:paraId="45805A97">
            <w:pPr>
              <w:spacing w:line="263" w:lineRule="auto"/>
              <w:rPr>
                <w:rFonts w:ascii="Arial"/>
                <w:sz w:val="21"/>
              </w:rPr>
            </w:pPr>
          </w:p>
          <w:p w14:paraId="06E497E2">
            <w:pPr>
              <w:spacing w:line="263" w:lineRule="auto"/>
              <w:rPr>
                <w:rFonts w:ascii="Arial"/>
                <w:sz w:val="21"/>
              </w:rPr>
            </w:pPr>
          </w:p>
          <w:p w14:paraId="40771E70">
            <w:pPr>
              <w:spacing w:line="263" w:lineRule="auto"/>
              <w:rPr>
                <w:rFonts w:ascii="Arial"/>
                <w:sz w:val="21"/>
              </w:rPr>
            </w:pPr>
          </w:p>
          <w:p w14:paraId="3ADB0A8F">
            <w:pPr>
              <w:spacing w:line="264" w:lineRule="auto"/>
              <w:rPr>
                <w:rFonts w:ascii="Arial"/>
                <w:sz w:val="21"/>
              </w:rPr>
            </w:pPr>
          </w:p>
          <w:p w14:paraId="13269A6B">
            <w:pPr>
              <w:spacing w:before="69" w:line="220" w:lineRule="auto"/>
              <w:ind w:left="144"/>
              <w:rPr>
                <w:rFonts w:ascii="宋体" w:hAnsi="宋体" w:eastAsia="宋体" w:cs="宋体"/>
                <w:sz w:val="21"/>
                <w:szCs w:val="21"/>
              </w:rPr>
            </w:pPr>
            <w:r>
              <w:rPr>
                <w:rFonts w:ascii="宋体" w:hAnsi="宋体" w:eastAsia="宋体" w:cs="宋体"/>
                <w:spacing w:val="-8"/>
                <w:sz w:val="21"/>
                <w:szCs w:val="21"/>
              </w:rPr>
              <w:t>内江市</w:t>
            </w:r>
          </w:p>
        </w:tc>
        <w:tc>
          <w:tcPr>
            <w:tcW w:w="3822" w:type="dxa"/>
            <w:vAlign w:val="top"/>
          </w:tcPr>
          <w:p w14:paraId="4A2F876D">
            <w:pPr>
              <w:pStyle w:val="6"/>
              <w:spacing w:before="51" w:line="274" w:lineRule="auto"/>
              <w:ind w:left="11" w:right="1" w:firstLine="15"/>
              <w:rPr>
                <w:rFonts w:ascii="宋体" w:hAnsi="宋体" w:eastAsia="宋体" w:cs="宋体"/>
              </w:rPr>
            </w:pPr>
            <w:r>
              <w:rPr>
                <w:spacing w:val="3"/>
              </w:rPr>
              <w:t>1.</w:t>
            </w:r>
            <w:r>
              <w:rPr>
                <w:rFonts w:ascii="宋体" w:hAnsi="宋体" w:eastAsia="宋体" w:cs="宋体"/>
                <w:spacing w:val="3"/>
              </w:rPr>
              <w:t>对化工、钢铁、火电、水泥、陶瓷、砖</w:t>
            </w:r>
            <w:r>
              <w:rPr>
                <w:rFonts w:ascii="宋体" w:hAnsi="宋体" w:eastAsia="宋体" w:cs="宋体"/>
                <w:spacing w:val="1"/>
              </w:rPr>
              <w:t>瓦、食品饮料等重点产业提出严格资源环</w:t>
            </w:r>
            <w:r>
              <w:rPr>
                <w:rFonts w:ascii="宋体" w:hAnsi="宋体" w:eastAsia="宋体" w:cs="宋体"/>
                <w:spacing w:val="-5"/>
              </w:rPr>
              <w:t>境绩效水平要求。</w:t>
            </w:r>
          </w:p>
          <w:p w14:paraId="6F4D0E98">
            <w:pPr>
              <w:pStyle w:val="6"/>
              <w:spacing w:before="2" w:line="274" w:lineRule="auto"/>
              <w:ind w:left="8" w:hanging="2"/>
              <w:rPr>
                <w:rFonts w:ascii="宋体" w:hAnsi="宋体" w:eastAsia="宋体" w:cs="宋体"/>
              </w:rPr>
            </w:pPr>
            <w:r>
              <w:rPr>
                <w:spacing w:val="-5"/>
              </w:rPr>
              <w:t>2.</w:t>
            </w:r>
            <w:r>
              <w:rPr>
                <w:rFonts w:ascii="宋体" w:hAnsi="宋体" w:eastAsia="宋体" w:cs="宋体"/>
                <w:spacing w:val="-5"/>
              </w:rPr>
              <w:t>构建</w:t>
            </w:r>
            <w:r>
              <w:rPr>
                <w:spacing w:val="-5"/>
              </w:rPr>
              <w:t>“</w:t>
            </w:r>
            <w:r>
              <w:rPr>
                <w:rFonts w:ascii="宋体" w:hAnsi="宋体" w:eastAsia="宋体" w:cs="宋体"/>
                <w:spacing w:val="-5"/>
              </w:rPr>
              <w:t>一核两轴三片多园</w:t>
            </w:r>
            <w:r>
              <w:rPr>
                <w:spacing w:val="-5"/>
              </w:rPr>
              <w:t>”</w:t>
            </w:r>
            <w:r>
              <w:rPr>
                <w:rFonts w:ascii="宋体" w:hAnsi="宋体" w:eastAsia="宋体" w:cs="宋体"/>
                <w:spacing w:val="-5"/>
              </w:rPr>
              <w:t>工业总体布局，</w:t>
            </w:r>
            <w:r>
              <w:rPr>
                <w:rFonts w:ascii="宋体" w:hAnsi="宋体" w:eastAsia="宋体" w:cs="宋体"/>
                <w:spacing w:val="-3"/>
              </w:rPr>
              <w:t>推进城区以及布局不合理的高排放、高能</w:t>
            </w:r>
            <w:r>
              <w:rPr>
                <w:rFonts w:ascii="宋体" w:hAnsi="宋体" w:eastAsia="宋体" w:cs="宋体"/>
                <w:spacing w:val="-1"/>
              </w:rPr>
              <w:t>耗企业</w:t>
            </w:r>
            <w:r>
              <w:rPr>
                <w:spacing w:val="-1"/>
              </w:rPr>
              <w:t>“</w:t>
            </w:r>
            <w:r>
              <w:rPr>
                <w:rFonts w:ascii="宋体" w:hAnsi="宋体" w:eastAsia="宋体" w:cs="宋体"/>
                <w:spacing w:val="-1"/>
              </w:rPr>
              <w:t>退城入园</w:t>
            </w:r>
            <w:r>
              <w:rPr>
                <w:spacing w:val="-1"/>
              </w:rPr>
              <w:t>”</w:t>
            </w:r>
            <w:r>
              <w:rPr>
                <w:rFonts w:ascii="宋体" w:hAnsi="宋体" w:eastAsia="宋体" w:cs="宋体"/>
                <w:spacing w:val="-1"/>
              </w:rPr>
              <w:t>；禁止在长江干支流岸</w:t>
            </w:r>
            <w:r>
              <w:rPr>
                <w:rFonts w:ascii="宋体" w:hAnsi="宋体" w:eastAsia="宋体" w:cs="宋体"/>
                <w:spacing w:val="-2"/>
              </w:rPr>
              <w:t>线一公里范围内新建、扩建化工园区和化工项目，鼓励现有化工企业逐步搬入合规园区；严禁在城市建成区以及近郊区域，新建、扩建石化、农药、冶炼、化工等列</w:t>
            </w:r>
            <w:r>
              <w:rPr>
                <w:rFonts w:ascii="宋体" w:hAnsi="宋体" w:eastAsia="宋体" w:cs="宋体"/>
                <w:spacing w:val="-6"/>
              </w:rPr>
              <w:t>入高污染、高环境风险的产业。</w:t>
            </w:r>
          </w:p>
          <w:p w14:paraId="795D32E8">
            <w:pPr>
              <w:pStyle w:val="6"/>
              <w:spacing w:line="250" w:lineRule="auto"/>
              <w:ind w:left="10"/>
              <w:rPr>
                <w:rFonts w:ascii="宋体" w:hAnsi="宋体" w:eastAsia="宋体" w:cs="宋体"/>
              </w:rPr>
            </w:pPr>
            <w:r>
              <w:t>3.</w:t>
            </w:r>
            <w:r>
              <w:rPr>
                <w:rFonts w:ascii="宋体" w:hAnsi="宋体" w:eastAsia="宋体" w:cs="宋体"/>
              </w:rPr>
              <w:t>严格控制高排放、高能耗项目准入；强</w:t>
            </w:r>
            <w:r>
              <w:rPr>
                <w:rFonts w:ascii="宋体" w:hAnsi="宋体" w:eastAsia="宋体" w:cs="宋体"/>
                <w:spacing w:val="-10"/>
              </w:rPr>
              <w:t>化资源利用上线约束，实施能源、水资源、</w:t>
            </w:r>
          </w:p>
        </w:tc>
        <w:tc>
          <w:tcPr>
            <w:tcW w:w="2973" w:type="dxa"/>
            <w:vAlign w:val="top"/>
          </w:tcPr>
          <w:p w14:paraId="21A4DB07">
            <w:pPr>
              <w:pStyle w:val="6"/>
              <w:spacing w:before="51" w:line="274" w:lineRule="auto"/>
              <w:ind w:left="14" w:firstLine="12"/>
              <w:rPr>
                <w:rFonts w:ascii="宋体" w:hAnsi="宋体" w:eastAsia="宋体" w:cs="宋体"/>
              </w:rPr>
            </w:pPr>
            <w:r>
              <w:rPr>
                <w:spacing w:val="-2"/>
              </w:rPr>
              <w:t>1.</w:t>
            </w:r>
            <w:r>
              <w:rPr>
                <w:rFonts w:ascii="宋体" w:hAnsi="宋体" w:eastAsia="宋体" w:cs="宋体"/>
                <w:spacing w:val="-2"/>
              </w:rPr>
              <w:t>本项目属于生猪养殖业，不属</w:t>
            </w:r>
            <w:r>
              <w:rPr>
                <w:rFonts w:ascii="宋体" w:hAnsi="宋体" w:eastAsia="宋体" w:cs="宋体"/>
                <w:spacing w:val="-5"/>
              </w:rPr>
              <w:t>于化工、钢铁、火电、水泥、陶</w:t>
            </w:r>
            <w:r>
              <w:rPr>
                <w:rFonts w:ascii="宋体" w:hAnsi="宋体" w:eastAsia="宋体" w:cs="宋体"/>
                <w:spacing w:val="-14"/>
              </w:rPr>
              <w:t>瓷、砖瓦、食品饮料等重点产业。</w:t>
            </w:r>
          </w:p>
          <w:p w14:paraId="69AFC236">
            <w:pPr>
              <w:pStyle w:val="6"/>
              <w:spacing w:before="1" w:line="274" w:lineRule="auto"/>
              <w:ind w:left="9" w:hanging="2"/>
              <w:rPr>
                <w:rFonts w:ascii="宋体" w:hAnsi="宋体" w:eastAsia="宋体" w:cs="宋体"/>
              </w:rPr>
            </w:pPr>
            <w:r>
              <w:rPr>
                <w:spacing w:val="4"/>
              </w:rPr>
              <w:t>2.</w:t>
            </w:r>
            <w:r>
              <w:rPr>
                <w:rFonts w:ascii="宋体" w:hAnsi="宋体" w:eastAsia="宋体" w:cs="宋体"/>
                <w:spacing w:val="4"/>
              </w:rPr>
              <w:t>本项目属于生猪养殖业，不属</w:t>
            </w:r>
            <w:r>
              <w:rPr>
                <w:rFonts w:ascii="宋体" w:hAnsi="宋体" w:eastAsia="宋体" w:cs="宋体"/>
                <w:spacing w:val="1"/>
              </w:rPr>
              <w:t>于化工项目，项目建设地位于东兴区白合镇喻家沟村，不在长江干支流岸线一公里范围内，不属</w:t>
            </w:r>
            <w:r>
              <w:rPr>
                <w:rFonts w:ascii="宋体" w:hAnsi="宋体" w:eastAsia="宋体" w:cs="宋体"/>
                <w:spacing w:val="-3"/>
              </w:rPr>
              <w:t>于城市建成区以及近郊区域。</w:t>
            </w:r>
          </w:p>
          <w:p w14:paraId="57387EEC">
            <w:pPr>
              <w:pStyle w:val="6"/>
              <w:spacing w:line="274" w:lineRule="auto"/>
              <w:ind w:left="11"/>
              <w:rPr>
                <w:rFonts w:ascii="宋体" w:hAnsi="宋体" w:eastAsia="宋体" w:cs="宋体"/>
              </w:rPr>
            </w:pPr>
            <w:r>
              <w:rPr>
                <w:spacing w:val="4"/>
              </w:rPr>
              <w:t>3.</w:t>
            </w:r>
            <w:r>
              <w:rPr>
                <w:rFonts w:ascii="宋体" w:hAnsi="宋体" w:eastAsia="宋体" w:cs="宋体"/>
                <w:spacing w:val="4"/>
              </w:rPr>
              <w:t>本项目不属于高排放、高能耗</w:t>
            </w:r>
            <w:r>
              <w:rPr>
                <w:rFonts w:ascii="宋体" w:hAnsi="宋体" w:eastAsia="宋体" w:cs="宋体"/>
                <w:spacing w:val="1"/>
              </w:rPr>
              <w:t>项目，项目养殖及生活用水量较</w:t>
            </w:r>
            <w:r>
              <w:rPr>
                <w:rFonts w:ascii="宋体" w:hAnsi="宋体" w:eastAsia="宋体" w:cs="宋体"/>
                <w:spacing w:val="-10"/>
              </w:rPr>
              <w:t>少。</w:t>
            </w:r>
          </w:p>
          <w:p w14:paraId="008A7D39">
            <w:pPr>
              <w:pStyle w:val="6"/>
              <w:spacing w:line="250" w:lineRule="auto"/>
              <w:ind w:left="12" w:hanging="6"/>
              <w:rPr>
                <w:rFonts w:ascii="宋体" w:hAnsi="宋体" w:eastAsia="宋体" w:cs="宋体"/>
              </w:rPr>
            </w:pPr>
            <w:r>
              <w:rPr>
                <w:spacing w:val="4"/>
              </w:rPr>
              <w:t>4.</w:t>
            </w:r>
            <w:r>
              <w:rPr>
                <w:rFonts w:ascii="宋体" w:hAnsi="宋体" w:eastAsia="宋体" w:cs="宋体"/>
                <w:spacing w:val="4"/>
              </w:rPr>
              <w:t>大清流河达标，本项目废水经</w:t>
            </w:r>
            <w:r>
              <w:rPr>
                <w:rFonts w:ascii="宋体" w:hAnsi="宋体" w:eastAsia="宋体" w:cs="宋体"/>
                <w:spacing w:val="1"/>
              </w:rPr>
              <w:t>污水处理站处理达标后用于消纳</w:t>
            </w:r>
          </w:p>
        </w:tc>
        <w:tc>
          <w:tcPr>
            <w:tcW w:w="667" w:type="dxa"/>
            <w:vAlign w:val="top"/>
          </w:tcPr>
          <w:p w14:paraId="3828CEE8">
            <w:pPr>
              <w:spacing w:line="263" w:lineRule="auto"/>
              <w:rPr>
                <w:rFonts w:ascii="Arial"/>
                <w:sz w:val="21"/>
              </w:rPr>
            </w:pPr>
          </w:p>
          <w:p w14:paraId="2ABFA577">
            <w:pPr>
              <w:spacing w:line="263" w:lineRule="auto"/>
              <w:rPr>
                <w:rFonts w:ascii="Arial"/>
                <w:sz w:val="21"/>
              </w:rPr>
            </w:pPr>
          </w:p>
          <w:p w14:paraId="455565B8">
            <w:pPr>
              <w:spacing w:line="263" w:lineRule="auto"/>
              <w:rPr>
                <w:rFonts w:ascii="Arial"/>
                <w:sz w:val="21"/>
              </w:rPr>
            </w:pPr>
          </w:p>
          <w:p w14:paraId="6ECAAE2D">
            <w:pPr>
              <w:spacing w:line="263" w:lineRule="auto"/>
              <w:rPr>
                <w:rFonts w:ascii="Arial"/>
                <w:sz w:val="21"/>
              </w:rPr>
            </w:pPr>
          </w:p>
          <w:p w14:paraId="2A1937B4">
            <w:pPr>
              <w:spacing w:line="263" w:lineRule="auto"/>
              <w:rPr>
                <w:rFonts w:ascii="Arial"/>
                <w:sz w:val="21"/>
              </w:rPr>
            </w:pPr>
          </w:p>
          <w:p w14:paraId="16BEAF4D">
            <w:pPr>
              <w:spacing w:line="263" w:lineRule="auto"/>
              <w:rPr>
                <w:rFonts w:ascii="Arial"/>
                <w:sz w:val="21"/>
              </w:rPr>
            </w:pPr>
          </w:p>
          <w:p w14:paraId="387A87E1">
            <w:pPr>
              <w:spacing w:line="264" w:lineRule="auto"/>
              <w:rPr>
                <w:rFonts w:ascii="Arial"/>
                <w:sz w:val="21"/>
              </w:rPr>
            </w:pPr>
          </w:p>
          <w:p w14:paraId="55538916">
            <w:pPr>
              <w:spacing w:before="69" w:line="220" w:lineRule="auto"/>
              <w:ind w:left="130"/>
              <w:rPr>
                <w:rFonts w:ascii="宋体" w:hAnsi="宋体" w:eastAsia="宋体" w:cs="宋体"/>
                <w:sz w:val="21"/>
                <w:szCs w:val="21"/>
              </w:rPr>
            </w:pPr>
            <w:r>
              <w:rPr>
                <w:rFonts w:ascii="宋体" w:hAnsi="宋体" w:eastAsia="宋体" w:cs="宋体"/>
                <w:spacing w:val="-3"/>
                <w:sz w:val="21"/>
                <w:szCs w:val="21"/>
              </w:rPr>
              <w:t>符合</w:t>
            </w:r>
          </w:p>
        </w:tc>
      </w:tr>
    </w:tbl>
    <w:p w14:paraId="623270A6">
      <w:pPr>
        <w:pStyle w:val="2"/>
      </w:pPr>
    </w:p>
    <w:p w14:paraId="2847E4F3">
      <w:pPr>
        <w:sectPr>
          <w:headerReference r:id="rId114" w:type="default"/>
          <w:footerReference r:id="rId115" w:type="default"/>
          <w:pgSz w:w="11905" w:h="16840"/>
          <w:pgMar w:top="1168" w:right="1768" w:bottom="1409" w:left="1770" w:header="828" w:footer="1244" w:gutter="0"/>
          <w:cols w:space="720" w:num="1"/>
        </w:sectPr>
      </w:pPr>
    </w:p>
    <w:p w14:paraId="52D87F51">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3822"/>
        <w:gridCol w:w="2973"/>
        <w:gridCol w:w="667"/>
      </w:tblGrid>
      <w:tr w14:paraId="50CCB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Align w:val="top"/>
          </w:tcPr>
          <w:p w14:paraId="066F738E">
            <w:pPr>
              <w:spacing w:before="69" w:line="220" w:lineRule="auto"/>
              <w:ind w:left="18"/>
              <w:rPr>
                <w:rFonts w:ascii="宋体" w:hAnsi="宋体" w:eastAsia="宋体" w:cs="宋体"/>
                <w:sz w:val="21"/>
                <w:szCs w:val="21"/>
              </w:rPr>
            </w:pPr>
            <w:r>
              <w:rPr>
                <w:rFonts w:ascii="宋体" w:hAnsi="宋体" w:eastAsia="宋体" w:cs="宋体"/>
                <w:spacing w:val="-3"/>
                <w:sz w:val="21"/>
                <w:szCs w:val="21"/>
              </w:rPr>
              <w:t>行政区划</w:t>
            </w:r>
          </w:p>
        </w:tc>
        <w:tc>
          <w:tcPr>
            <w:tcW w:w="3822" w:type="dxa"/>
            <w:vAlign w:val="top"/>
          </w:tcPr>
          <w:p w14:paraId="345521B9">
            <w:pPr>
              <w:spacing w:before="68" w:line="220" w:lineRule="auto"/>
              <w:ind w:left="872"/>
              <w:rPr>
                <w:rFonts w:ascii="宋体" w:hAnsi="宋体" w:eastAsia="宋体" w:cs="宋体"/>
                <w:sz w:val="21"/>
                <w:szCs w:val="21"/>
              </w:rPr>
            </w:pPr>
            <w:r>
              <w:rPr>
                <w:rFonts w:ascii="宋体" w:hAnsi="宋体" w:eastAsia="宋体" w:cs="宋体"/>
                <w:spacing w:val="-2"/>
                <w:sz w:val="21"/>
                <w:szCs w:val="21"/>
              </w:rPr>
              <w:t>总体生态环境管控要求</w:t>
            </w:r>
          </w:p>
        </w:tc>
        <w:tc>
          <w:tcPr>
            <w:tcW w:w="2973" w:type="dxa"/>
            <w:vAlign w:val="top"/>
          </w:tcPr>
          <w:p w14:paraId="5B839CA5">
            <w:pPr>
              <w:spacing w:before="68" w:line="219" w:lineRule="auto"/>
              <w:ind w:left="970"/>
              <w:rPr>
                <w:rFonts w:ascii="宋体" w:hAnsi="宋体" w:eastAsia="宋体" w:cs="宋体"/>
                <w:sz w:val="21"/>
                <w:szCs w:val="21"/>
              </w:rPr>
            </w:pPr>
            <w:r>
              <w:rPr>
                <w:rFonts w:ascii="宋体" w:hAnsi="宋体" w:eastAsia="宋体" w:cs="宋体"/>
                <w:spacing w:val="-2"/>
                <w:sz w:val="21"/>
                <w:szCs w:val="21"/>
              </w:rPr>
              <w:t>本项目情况</w:t>
            </w:r>
          </w:p>
        </w:tc>
        <w:tc>
          <w:tcPr>
            <w:tcW w:w="667" w:type="dxa"/>
            <w:vAlign w:val="top"/>
          </w:tcPr>
          <w:p w14:paraId="5A6FA8CA">
            <w:pPr>
              <w:spacing w:before="68" w:line="220" w:lineRule="auto"/>
              <w:ind w:left="25"/>
              <w:rPr>
                <w:rFonts w:ascii="宋体" w:hAnsi="宋体" w:eastAsia="宋体" w:cs="宋体"/>
                <w:sz w:val="21"/>
                <w:szCs w:val="21"/>
              </w:rPr>
            </w:pPr>
            <w:r>
              <w:rPr>
                <w:rFonts w:ascii="宋体" w:hAnsi="宋体" w:eastAsia="宋体" w:cs="宋体"/>
                <w:spacing w:val="-3"/>
                <w:sz w:val="21"/>
                <w:szCs w:val="21"/>
              </w:rPr>
              <w:t>符合性</w:t>
            </w:r>
          </w:p>
        </w:tc>
      </w:tr>
      <w:tr w14:paraId="47584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858" w:type="dxa"/>
            <w:vAlign w:val="top"/>
          </w:tcPr>
          <w:p w14:paraId="37335233">
            <w:pPr>
              <w:rPr>
                <w:rFonts w:ascii="Arial"/>
                <w:sz w:val="21"/>
              </w:rPr>
            </w:pPr>
          </w:p>
        </w:tc>
        <w:tc>
          <w:tcPr>
            <w:tcW w:w="3822" w:type="dxa"/>
            <w:vAlign w:val="top"/>
          </w:tcPr>
          <w:p w14:paraId="3BE2C61F">
            <w:pPr>
              <w:spacing w:before="50" w:line="274" w:lineRule="auto"/>
              <w:ind w:left="9" w:right="1" w:firstLine="3"/>
              <w:jc w:val="both"/>
              <w:rPr>
                <w:rFonts w:ascii="宋体" w:hAnsi="宋体" w:eastAsia="宋体" w:cs="宋体"/>
                <w:sz w:val="21"/>
                <w:szCs w:val="21"/>
              </w:rPr>
            </w:pPr>
            <w:r>
              <w:rPr>
                <w:rFonts w:ascii="宋体" w:hAnsi="宋体" w:eastAsia="宋体" w:cs="宋体"/>
                <w:spacing w:val="1"/>
                <w:sz w:val="21"/>
                <w:szCs w:val="21"/>
              </w:rPr>
              <w:t>建设用地总量和强度双控行动，推动城镇</w:t>
            </w:r>
            <w:r>
              <w:rPr>
                <w:rFonts w:ascii="宋体" w:hAnsi="宋体" w:eastAsia="宋体" w:cs="宋体"/>
                <w:sz w:val="21"/>
                <w:szCs w:val="21"/>
              </w:rPr>
              <w:t>低效用地再开发，建设节水型社会，严格</w:t>
            </w:r>
            <w:r>
              <w:rPr>
                <w:rFonts w:ascii="宋体" w:hAnsi="宋体" w:eastAsia="宋体" w:cs="宋体"/>
                <w:spacing w:val="-3"/>
                <w:sz w:val="21"/>
                <w:szCs w:val="21"/>
              </w:rPr>
              <w:t>执行煤炭消费总量控制要求。</w:t>
            </w:r>
          </w:p>
          <w:p w14:paraId="067AA6EE">
            <w:pPr>
              <w:pStyle w:val="6"/>
              <w:spacing w:line="274" w:lineRule="auto"/>
              <w:ind w:left="9" w:right="2" w:hanging="4"/>
              <w:rPr>
                <w:rFonts w:ascii="宋体" w:hAnsi="宋体" w:eastAsia="宋体" w:cs="宋体"/>
              </w:rPr>
            </w:pPr>
            <w:r>
              <w:rPr>
                <w:spacing w:val="4"/>
              </w:rPr>
              <w:t>4.</w:t>
            </w:r>
            <w:r>
              <w:rPr>
                <w:rFonts w:ascii="宋体" w:hAnsi="宋体" w:eastAsia="宋体" w:cs="宋体"/>
                <w:spacing w:val="4"/>
              </w:rPr>
              <w:t>未达标小流域，严格限制新建水污染物</w:t>
            </w:r>
            <w:r>
              <w:rPr>
                <w:rFonts w:ascii="宋体" w:hAnsi="宋体" w:eastAsia="宋体" w:cs="宋体"/>
                <w:spacing w:val="1"/>
              </w:rPr>
              <w:t>排放建设项目，加强农业面源污染治理，</w:t>
            </w:r>
            <w:r>
              <w:rPr>
                <w:rFonts w:ascii="宋体" w:hAnsi="宋体" w:eastAsia="宋体" w:cs="宋体"/>
                <w:spacing w:val="-3"/>
              </w:rPr>
              <w:t>严格控制化肥农药使用量。</w:t>
            </w:r>
          </w:p>
          <w:p w14:paraId="2ED360B2">
            <w:pPr>
              <w:pStyle w:val="6"/>
              <w:spacing w:line="274" w:lineRule="auto"/>
              <w:ind w:left="11" w:right="2" w:firstLine="1"/>
              <w:rPr>
                <w:rFonts w:ascii="宋体" w:hAnsi="宋体" w:eastAsia="宋体" w:cs="宋体"/>
              </w:rPr>
            </w:pPr>
            <w:r>
              <w:t>5.</w:t>
            </w:r>
            <w:r>
              <w:rPr>
                <w:rFonts w:ascii="宋体" w:hAnsi="宋体" w:eastAsia="宋体" w:cs="宋体"/>
              </w:rPr>
              <w:t>合理畜禽养殖布局，</w:t>
            </w:r>
            <w:r>
              <w:rPr>
                <w:rFonts w:ascii="宋体" w:hAnsi="宋体" w:eastAsia="宋体" w:cs="宋体"/>
                <w:spacing w:val="-32"/>
              </w:rPr>
              <w:t xml:space="preserve"> </w:t>
            </w:r>
            <w:r>
              <w:rPr>
                <w:rFonts w:ascii="宋体" w:hAnsi="宋体" w:eastAsia="宋体" w:cs="宋体"/>
              </w:rPr>
              <w:t>推进畜禽粪污无害</w:t>
            </w:r>
            <w:r>
              <w:rPr>
                <w:rFonts w:ascii="宋体" w:hAnsi="宋体" w:eastAsia="宋体" w:cs="宋体"/>
                <w:spacing w:val="-4"/>
              </w:rPr>
              <w:t>化、资源化综合利用。</w:t>
            </w:r>
          </w:p>
          <w:p w14:paraId="6F9D700A">
            <w:pPr>
              <w:pStyle w:val="6"/>
              <w:spacing w:before="2" w:line="264" w:lineRule="auto"/>
              <w:ind w:left="10" w:right="1"/>
              <w:rPr>
                <w:rFonts w:ascii="宋体" w:hAnsi="宋体" w:eastAsia="宋体" w:cs="宋体"/>
              </w:rPr>
            </w:pPr>
            <w:r>
              <w:rPr>
                <w:spacing w:val="3"/>
              </w:rPr>
              <w:t>6.</w:t>
            </w:r>
            <w:r>
              <w:rPr>
                <w:rFonts w:ascii="宋体" w:hAnsi="宋体" w:eastAsia="宋体" w:cs="宋体"/>
                <w:spacing w:val="3"/>
              </w:rPr>
              <w:t>严格执行《四川省岷江、沱江流域水污</w:t>
            </w:r>
            <w:r>
              <w:rPr>
                <w:rFonts w:ascii="宋体" w:hAnsi="宋体" w:eastAsia="宋体" w:cs="宋体"/>
                <w:spacing w:val="1"/>
              </w:rPr>
              <w:t>染物排放标准》和《四川省生态环境厅关</w:t>
            </w:r>
            <w:r>
              <w:rPr>
                <w:rFonts w:ascii="宋体" w:hAnsi="宋体" w:eastAsia="宋体" w:cs="宋体"/>
              </w:rPr>
              <w:t>于执行大气污染物特别排放限值的公告》</w:t>
            </w:r>
            <w:r>
              <w:rPr>
                <w:rFonts w:ascii="宋体" w:hAnsi="宋体" w:eastAsia="宋体" w:cs="宋体"/>
                <w:spacing w:val="1"/>
              </w:rPr>
              <w:t>相关要求（全域执行大气污染物特别排放</w:t>
            </w:r>
            <w:r>
              <w:rPr>
                <w:rFonts w:ascii="宋体" w:hAnsi="宋体" w:eastAsia="宋体" w:cs="宋体"/>
                <w:spacing w:val="-8"/>
              </w:rPr>
              <w:t>限值和特别控制要求）。</w:t>
            </w:r>
          </w:p>
        </w:tc>
        <w:tc>
          <w:tcPr>
            <w:tcW w:w="2973" w:type="dxa"/>
            <w:vAlign w:val="top"/>
          </w:tcPr>
          <w:p w14:paraId="0CC8FF5A">
            <w:pPr>
              <w:spacing w:before="50" w:line="274" w:lineRule="auto"/>
              <w:ind w:left="11"/>
              <w:rPr>
                <w:rFonts w:ascii="宋体" w:hAnsi="宋体" w:eastAsia="宋体" w:cs="宋体"/>
                <w:sz w:val="21"/>
                <w:szCs w:val="21"/>
              </w:rPr>
            </w:pPr>
            <w:r>
              <w:rPr>
                <w:rFonts w:ascii="宋体" w:hAnsi="宋体" w:eastAsia="宋体" w:cs="宋体"/>
                <w:spacing w:val="1"/>
                <w:sz w:val="21"/>
                <w:szCs w:val="21"/>
              </w:rPr>
              <w:t>地农灌，不外排，有助于项目区</w:t>
            </w:r>
            <w:r>
              <w:rPr>
                <w:rFonts w:ascii="宋体" w:hAnsi="宋体" w:eastAsia="宋体" w:cs="宋体"/>
                <w:spacing w:val="-4"/>
                <w:sz w:val="21"/>
                <w:szCs w:val="21"/>
              </w:rPr>
              <w:t>农业面源污染治理。</w:t>
            </w:r>
          </w:p>
          <w:p w14:paraId="2B23E423">
            <w:pPr>
              <w:pStyle w:val="6"/>
              <w:spacing w:before="7" w:line="274" w:lineRule="auto"/>
              <w:ind w:left="11" w:firstLine="1"/>
              <w:jc w:val="both"/>
              <w:rPr>
                <w:rFonts w:ascii="宋体" w:hAnsi="宋体" w:eastAsia="宋体" w:cs="宋体"/>
              </w:rPr>
            </w:pPr>
            <w:r>
              <w:rPr>
                <w:spacing w:val="-1"/>
              </w:rPr>
              <w:t>5.</w:t>
            </w:r>
            <w:r>
              <w:rPr>
                <w:rFonts w:ascii="宋体" w:hAnsi="宋体" w:eastAsia="宋体" w:cs="宋体"/>
                <w:spacing w:val="-1"/>
              </w:rPr>
              <w:t>本项目位于东兴区白合镇喻家</w:t>
            </w:r>
            <w:r>
              <w:rPr>
                <w:rFonts w:ascii="宋体" w:hAnsi="宋体" w:eastAsia="宋体" w:cs="宋体"/>
                <w:spacing w:val="-8"/>
              </w:rPr>
              <w:t>沟村</w:t>
            </w:r>
            <w:r>
              <w:rPr>
                <w:rFonts w:ascii="宋体" w:hAnsi="宋体" w:eastAsia="宋体" w:cs="宋体"/>
                <w:spacing w:val="-33"/>
              </w:rPr>
              <w:t xml:space="preserve"> </w:t>
            </w:r>
            <w:r>
              <w:rPr>
                <w:spacing w:val="-8"/>
              </w:rPr>
              <w:t>9</w:t>
            </w:r>
            <w:r>
              <w:rPr>
                <w:spacing w:val="-30"/>
              </w:rPr>
              <w:t xml:space="preserve"> </w:t>
            </w:r>
            <w:r>
              <w:rPr>
                <w:rFonts w:ascii="宋体" w:hAnsi="宋体" w:eastAsia="宋体" w:cs="宋体"/>
                <w:spacing w:val="-8"/>
              </w:rPr>
              <w:t>、</w:t>
            </w:r>
            <w:r>
              <w:rPr>
                <w:spacing w:val="-8"/>
              </w:rPr>
              <w:t>12</w:t>
            </w:r>
            <w:r>
              <w:rPr>
                <w:spacing w:val="21"/>
              </w:rPr>
              <w:t xml:space="preserve"> </w:t>
            </w:r>
            <w:r>
              <w:rPr>
                <w:rFonts w:ascii="宋体" w:hAnsi="宋体" w:eastAsia="宋体" w:cs="宋体"/>
                <w:spacing w:val="-8"/>
              </w:rPr>
              <w:t>组，不属于内江市东</w:t>
            </w:r>
            <w:r>
              <w:rPr>
                <w:rFonts w:ascii="宋体" w:hAnsi="宋体" w:eastAsia="宋体" w:cs="宋体"/>
                <w:spacing w:val="11"/>
              </w:rPr>
              <w:t>兴区人民政府划定的禁养区范</w:t>
            </w:r>
            <w:r>
              <w:rPr>
                <w:rFonts w:ascii="宋体" w:hAnsi="宋体" w:eastAsia="宋体" w:cs="宋体"/>
                <w:spacing w:val="-4"/>
              </w:rPr>
              <w:t>围，项目已经取得设施农用地备案证明，养殖产生的废水、粪渣</w:t>
            </w:r>
            <w:r>
              <w:rPr>
                <w:rFonts w:ascii="宋体" w:hAnsi="宋体" w:eastAsia="宋体" w:cs="宋体"/>
                <w:spacing w:val="-13"/>
              </w:rPr>
              <w:t>均进行无害化、资源化综合利用。</w:t>
            </w:r>
            <w:r>
              <w:rPr>
                <w:rFonts w:ascii="宋体" w:hAnsi="宋体" w:eastAsia="宋体" w:cs="宋体"/>
              </w:rPr>
              <w:t xml:space="preserve"> </w:t>
            </w:r>
            <w:r>
              <w:rPr>
                <w:spacing w:val="-1"/>
              </w:rPr>
              <w:t>6.</w:t>
            </w:r>
            <w:r>
              <w:rPr>
                <w:rFonts w:ascii="宋体" w:hAnsi="宋体" w:eastAsia="宋体" w:cs="宋体"/>
                <w:spacing w:val="-1"/>
              </w:rPr>
              <w:t>本项目废水经处理达标后用于</w:t>
            </w:r>
            <w:r>
              <w:rPr>
                <w:rFonts w:ascii="宋体" w:hAnsi="宋体" w:eastAsia="宋体" w:cs="宋体"/>
                <w:spacing w:val="-4"/>
              </w:rPr>
              <w:t>消纳地农灌不外排，恶臭污染物</w:t>
            </w:r>
            <w:r>
              <w:rPr>
                <w:rFonts w:ascii="宋体" w:hAnsi="宋体" w:eastAsia="宋体" w:cs="宋体"/>
                <w:spacing w:val="-8"/>
              </w:rPr>
              <w:t>经生物除臭后达标排放。</w:t>
            </w:r>
          </w:p>
        </w:tc>
        <w:tc>
          <w:tcPr>
            <w:tcW w:w="667" w:type="dxa"/>
            <w:vAlign w:val="top"/>
          </w:tcPr>
          <w:p w14:paraId="5E87BF85">
            <w:pPr>
              <w:rPr>
                <w:rFonts w:ascii="Arial"/>
                <w:sz w:val="21"/>
              </w:rPr>
            </w:pPr>
          </w:p>
        </w:tc>
      </w:tr>
      <w:tr w14:paraId="286F4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9" w:hRule="atLeast"/>
        </w:trPr>
        <w:tc>
          <w:tcPr>
            <w:tcW w:w="858" w:type="dxa"/>
            <w:vAlign w:val="top"/>
          </w:tcPr>
          <w:p w14:paraId="30B5D410">
            <w:pPr>
              <w:spacing w:line="256" w:lineRule="auto"/>
              <w:rPr>
                <w:rFonts w:ascii="Arial"/>
                <w:sz w:val="21"/>
              </w:rPr>
            </w:pPr>
          </w:p>
          <w:p w14:paraId="521260E1">
            <w:pPr>
              <w:spacing w:line="257" w:lineRule="auto"/>
              <w:rPr>
                <w:rFonts w:ascii="Arial"/>
                <w:sz w:val="21"/>
              </w:rPr>
            </w:pPr>
          </w:p>
          <w:p w14:paraId="41DD6D3F">
            <w:pPr>
              <w:spacing w:line="257" w:lineRule="auto"/>
              <w:rPr>
                <w:rFonts w:ascii="Arial"/>
                <w:sz w:val="21"/>
              </w:rPr>
            </w:pPr>
          </w:p>
          <w:p w14:paraId="1548CEDF">
            <w:pPr>
              <w:spacing w:line="257" w:lineRule="auto"/>
              <w:rPr>
                <w:rFonts w:ascii="Arial"/>
                <w:sz w:val="21"/>
              </w:rPr>
            </w:pPr>
          </w:p>
          <w:p w14:paraId="1B223254">
            <w:pPr>
              <w:spacing w:line="257" w:lineRule="auto"/>
              <w:rPr>
                <w:rFonts w:ascii="Arial"/>
                <w:sz w:val="21"/>
              </w:rPr>
            </w:pPr>
          </w:p>
          <w:p w14:paraId="0F3959D4">
            <w:pPr>
              <w:spacing w:line="257" w:lineRule="auto"/>
              <w:rPr>
                <w:rFonts w:ascii="Arial"/>
                <w:sz w:val="21"/>
              </w:rPr>
            </w:pPr>
          </w:p>
          <w:p w14:paraId="5E3F659D">
            <w:pPr>
              <w:spacing w:line="257" w:lineRule="auto"/>
              <w:rPr>
                <w:rFonts w:ascii="Arial"/>
                <w:sz w:val="21"/>
              </w:rPr>
            </w:pPr>
          </w:p>
          <w:p w14:paraId="6E0E27E2">
            <w:pPr>
              <w:spacing w:line="257" w:lineRule="auto"/>
              <w:rPr>
                <w:rFonts w:ascii="Arial"/>
                <w:sz w:val="21"/>
              </w:rPr>
            </w:pPr>
          </w:p>
          <w:p w14:paraId="0A665249">
            <w:pPr>
              <w:spacing w:line="257" w:lineRule="auto"/>
              <w:rPr>
                <w:rFonts w:ascii="Arial"/>
                <w:sz w:val="21"/>
              </w:rPr>
            </w:pPr>
          </w:p>
          <w:p w14:paraId="655360C3">
            <w:pPr>
              <w:spacing w:line="257" w:lineRule="auto"/>
              <w:rPr>
                <w:rFonts w:ascii="Arial"/>
                <w:sz w:val="21"/>
              </w:rPr>
            </w:pPr>
          </w:p>
          <w:p w14:paraId="433B0B3C">
            <w:pPr>
              <w:spacing w:line="257" w:lineRule="auto"/>
              <w:rPr>
                <w:rFonts w:ascii="Arial"/>
                <w:sz w:val="21"/>
              </w:rPr>
            </w:pPr>
          </w:p>
          <w:p w14:paraId="72CBA6EF">
            <w:pPr>
              <w:spacing w:line="257" w:lineRule="auto"/>
              <w:rPr>
                <w:rFonts w:ascii="Arial"/>
                <w:sz w:val="21"/>
              </w:rPr>
            </w:pPr>
          </w:p>
          <w:p w14:paraId="2390161E">
            <w:pPr>
              <w:spacing w:before="69" w:line="220" w:lineRule="auto"/>
              <w:ind w:left="126"/>
              <w:rPr>
                <w:rFonts w:ascii="宋体" w:hAnsi="宋体" w:eastAsia="宋体" w:cs="宋体"/>
                <w:sz w:val="21"/>
                <w:szCs w:val="21"/>
              </w:rPr>
            </w:pPr>
            <w:r>
              <w:rPr>
                <w:rFonts w:ascii="宋体" w:hAnsi="宋体" w:eastAsia="宋体" w:cs="宋体"/>
                <w:spacing w:val="-4"/>
                <w:sz w:val="21"/>
                <w:szCs w:val="21"/>
              </w:rPr>
              <w:t>东兴区</w:t>
            </w:r>
          </w:p>
        </w:tc>
        <w:tc>
          <w:tcPr>
            <w:tcW w:w="3822" w:type="dxa"/>
            <w:vAlign w:val="top"/>
          </w:tcPr>
          <w:p w14:paraId="66E6FF21">
            <w:pPr>
              <w:pStyle w:val="6"/>
              <w:spacing w:before="52" w:line="274" w:lineRule="auto"/>
              <w:ind w:left="11" w:right="2" w:firstLine="15"/>
              <w:rPr>
                <w:rFonts w:ascii="宋体" w:hAnsi="宋体" w:eastAsia="宋体" w:cs="宋体"/>
              </w:rPr>
            </w:pPr>
            <w:r>
              <w:t>1.</w:t>
            </w:r>
            <w:r>
              <w:rPr>
                <w:rFonts w:ascii="宋体" w:hAnsi="宋体" w:eastAsia="宋体" w:cs="宋体"/>
              </w:rPr>
              <w:t>优化调整产业结构，</w:t>
            </w:r>
            <w:r>
              <w:rPr>
                <w:rFonts w:ascii="宋体" w:hAnsi="宋体" w:eastAsia="宋体" w:cs="宋体"/>
                <w:spacing w:val="-46"/>
              </w:rPr>
              <w:t xml:space="preserve"> </w:t>
            </w:r>
            <w:r>
              <w:rPr>
                <w:rFonts w:ascii="宋体" w:hAnsi="宋体" w:eastAsia="宋体" w:cs="宋体"/>
              </w:rPr>
              <w:t>严格生态环境准入</w:t>
            </w:r>
            <w:r>
              <w:rPr>
                <w:rFonts w:ascii="宋体" w:hAnsi="宋体" w:eastAsia="宋体" w:cs="宋体"/>
                <w:spacing w:val="-9"/>
              </w:rPr>
              <w:t>要求。</w:t>
            </w:r>
          </w:p>
          <w:p w14:paraId="12239D77">
            <w:pPr>
              <w:pStyle w:val="6"/>
              <w:spacing w:line="274" w:lineRule="auto"/>
              <w:ind w:left="8" w:hanging="2"/>
              <w:rPr>
                <w:rFonts w:ascii="宋体" w:hAnsi="宋体" w:eastAsia="宋体" w:cs="宋体"/>
              </w:rPr>
            </w:pPr>
            <w:r>
              <w:rPr>
                <w:spacing w:val="-9"/>
              </w:rPr>
              <w:t>2.</w:t>
            </w:r>
            <w:r>
              <w:rPr>
                <w:rFonts w:ascii="宋体" w:hAnsi="宋体" w:eastAsia="宋体" w:cs="宋体"/>
                <w:spacing w:val="-9"/>
              </w:rPr>
              <w:t>推动城市建成区内企业</w:t>
            </w:r>
            <w:r>
              <w:rPr>
                <w:spacing w:val="-9"/>
              </w:rPr>
              <w:t>“</w:t>
            </w:r>
            <w:r>
              <w:rPr>
                <w:rFonts w:ascii="宋体" w:hAnsi="宋体" w:eastAsia="宋体" w:cs="宋体"/>
                <w:spacing w:val="-9"/>
              </w:rPr>
              <w:t>退城入园</w:t>
            </w:r>
            <w:r>
              <w:rPr>
                <w:spacing w:val="-9"/>
              </w:rPr>
              <w:t>”</w:t>
            </w:r>
            <w:r>
              <w:rPr>
                <w:rFonts w:ascii="宋体" w:hAnsi="宋体" w:eastAsia="宋体" w:cs="宋体"/>
                <w:spacing w:val="-9"/>
              </w:rPr>
              <w:t>，严格</w:t>
            </w:r>
            <w:r>
              <w:rPr>
                <w:rFonts w:ascii="宋体" w:hAnsi="宋体" w:eastAsia="宋体" w:cs="宋体"/>
                <w:spacing w:val="-3"/>
              </w:rPr>
              <w:t>控制园外企业无序扩张；持续提升再生资</w:t>
            </w:r>
            <w:r>
              <w:rPr>
                <w:rFonts w:ascii="宋体" w:hAnsi="宋体" w:eastAsia="宋体" w:cs="宋体"/>
                <w:spacing w:val="-10"/>
              </w:rPr>
              <w:t>源行业环境治理能力，促进行业污染减排。</w:t>
            </w:r>
          </w:p>
          <w:p w14:paraId="0EC39F6B">
            <w:pPr>
              <w:pStyle w:val="6"/>
              <w:spacing w:before="1" w:line="274" w:lineRule="auto"/>
              <w:ind w:left="10"/>
              <w:rPr>
                <w:rFonts w:ascii="宋体" w:hAnsi="宋体" w:eastAsia="宋体" w:cs="宋体"/>
              </w:rPr>
            </w:pPr>
            <w:r>
              <w:rPr>
                <w:spacing w:val="1"/>
              </w:rPr>
              <w:t>3.</w:t>
            </w:r>
            <w:r>
              <w:rPr>
                <w:rFonts w:ascii="宋体" w:hAnsi="宋体" w:eastAsia="宋体" w:cs="宋体"/>
                <w:spacing w:val="1"/>
              </w:rPr>
              <w:t>加强大清流河、小青龙河等小流域污染</w:t>
            </w:r>
            <w:r>
              <w:rPr>
                <w:rFonts w:ascii="宋体" w:hAnsi="宋体" w:eastAsia="宋体" w:cs="宋体"/>
                <w:spacing w:val="-10"/>
              </w:rPr>
              <w:t>治理，严控涉水排放项目及畜禽养殖规模；</w:t>
            </w:r>
            <w:r>
              <w:rPr>
                <w:rFonts w:ascii="宋体" w:hAnsi="宋体" w:eastAsia="宋体" w:cs="宋体"/>
                <w:spacing w:val="-2"/>
              </w:rPr>
              <w:t>加强农业面源污染治理，严格控制化肥农药使用量，积极推广畜禽清洁养殖和畜禽</w:t>
            </w:r>
            <w:r>
              <w:rPr>
                <w:rFonts w:ascii="宋体" w:hAnsi="宋体" w:eastAsia="宋体" w:cs="宋体"/>
                <w:spacing w:val="-6"/>
              </w:rPr>
              <w:t>粪污无害化、资源化利用技术。</w:t>
            </w:r>
          </w:p>
          <w:p w14:paraId="54BCF826">
            <w:pPr>
              <w:pStyle w:val="6"/>
              <w:spacing w:line="274" w:lineRule="auto"/>
              <w:ind w:left="9" w:hanging="4"/>
              <w:rPr>
                <w:rFonts w:ascii="宋体" w:hAnsi="宋体" w:eastAsia="宋体" w:cs="宋体"/>
              </w:rPr>
            </w:pPr>
            <w:r>
              <w:rPr>
                <w:spacing w:val="-7"/>
              </w:rPr>
              <w:t>4.</w:t>
            </w:r>
            <w:r>
              <w:rPr>
                <w:rFonts w:ascii="宋体" w:hAnsi="宋体" w:eastAsia="宋体" w:cs="宋体"/>
                <w:spacing w:val="-7"/>
              </w:rPr>
              <w:t>加强区域大气污染治理，推进装备制造、砖瓦企业深度治理改造。</w:t>
            </w:r>
          </w:p>
          <w:p w14:paraId="31D8C339">
            <w:pPr>
              <w:pStyle w:val="6"/>
              <w:spacing w:before="2" w:line="274" w:lineRule="auto"/>
              <w:ind w:left="10" w:firstLine="1"/>
              <w:rPr>
                <w:rFonts w:ascii="宋体" w:hAnsi="宋体" w:eastAsia="宋体" w:cs="宋体"/>
              </w:rPr>
            </w:pPr>
            <w:r>
              <w:t>5.</w:t>
            </w:r>
            <w:r>
              <w:rPr>
                <w:rFonts w:ascii="宋体" w:hAnsi="宋体" w:eastAsia="宋体" w:cs="宋体"/>
              </w:rPr>
              <w:t>加强固废、危废安全处置，切实保障土</w:t>
            </w:r>
            <w:r>
              <w:rPr>
                <w:rFonts w:ascii="宋体" w:hAnsi="宋体" w:eastAsia="宋体" w:cs="宋体"/>
                <w:spacing w:val="-3"/>
              </w:rPr>
              <w:t>壤、地下水环境质量；加强重金属企业风险防控，涉重金属、持久性有机物等有毒</w:t>
            </w:r>
            <w:r>
              <w:rPr>
                <w:rFonts w:ascii="宋体" w:hAnsi="宋体" w:eastAsia="宋体" w:cs="宋体"/>
                <w:spacing w:val="-10"/>
              </w:rPr>
              <w:t>有害污染物生产企业退出用地，须经评估、</w:t>
            </w:r>
            <w:r>
              <w:rPr>
                <w:rFonts w:ascii="宋体" w:hAnsi="宋体" w:eastAsia="宋体" w:cs="宋体"/>
                <w:spacing w:val="-3"/>
              </w:rPr>
              <w:t>治理，满足后续相应用地土壤环境质量要</w:t>
            </w:r>
            <w:r>
              <w:rPr>
                <w:rFonts w:ascii="宋体" w:hAnsi="宋体" w:eastAsia="宋体" w:cs="宋体"/>
                <w:spacing w:val="-11"/>
              </w:rPr>
              <w:t>求。</w:t>
            </w:r>
          </w:p>
          <w:p w14:paraId="52013C77">
            <w:pPr>
              <w:pStyle w:val="6"/>
              <w:spacing w:line="219" w:lineRule="auto"/>
              <w:ind w:left="11"/>
              <w:rPr>
                <w:rFonts w:ascii="宋体" w:hAnsi="宋体" w:eastAsia="宋体" w:cs="宋体"/>
              </w:rPr>
            </w:pPr>
            <w:r>
              <w:rPr>
                <w:spacing w:val="-9"/>
              </w:rPr>
              <w:t>6.</w:t>
            </w:r>
            <w:r>
              <w:rPr>
                <w:rFonts w:ascii="宋体" w:hAnsi="宋体" w:eastAsia="宋体" w:cs="宋体"/>
                <w:spacing w:val="-9"/>
              </w:rPr>
              <w:t>加强涉危涉化企业管控，严控环境风险。</w:t>
            </w:r>
          </w:p>
          <w:p w14:paraId="2FF25803">
            <w:pPr>
              <w:pStyle w:val="6"/>
              <w:spacing w:before="63" w:line="250" w:lineRule="auto"/>
              <w:ind w:left="9" w:right="32"/>
              <w:rPr>
                <w:rFonts w:ascii="宋体" w:hAnsi="宋体" w:eastAsia="宋体" w:cs="宋体"/>
              </w:rPr>
            </w:pPr>
            <w:r>
              <w:rPr>
                <w:spacing w:val="2"/>
              </w:rPr>
              <w:t>7.</w:t>
            </w:r>
            <w:r>
              <w:rPr>
                <w:rFonts w:ascii="宋体" w:hAnsi="宋体" w:eastAsia="宋体" w:cs="宋体"/>
                <w:spacing w:val="2"/>
              </w:rPr>
              <w:t>加强城乡生态环境保护基础设施建设、</w:t>
            </w:r>
            <w:r>
              <w:rPr>
                <w:rFonts w:ascii="宋体" w:hAnsi="宋体" w:eastAsia="宋体" w:cs="宋体"/>
                <w:spacing w:val="-6"/>
              </w:rPr>
              <w:t>运营、维护。</w:t>
            </w:r>
          </w:p>
        </w:tc>
        <w:tc>
          <w:tcPr>
            <w:tcW w:w="2973" w:type="dxa"/>
            <w:vAlign w:val="top"/>
          </w:tcPr>
          <w:p w14:paraId="1DD1C624">
            <w:pPr>
              <w:pStyle w:val="6"/>
              <w:spacing w:before="52" w:line="274" w:lineRule="auto"/>
              <w:ind w:left="13" w:firstLine="14"/>
              <w:rPr>
                <w:rFonts w:ascii="宋体" w:hAnsi="宋体" w:eastAsia="宋体" w:cs="宋体"/>
              </w:rPr>
            </w:pPr>
            <w:r>
              <w:rPr>
                <w:spacing w:val="11"/>
              </w:rPr>
              <w:t>1.</w:t>
            </w:r>
            <w:r>
              <w:rPr>
                <w:spacing w:val="-17"/>
              </w:rPr>
              <w:t xml:space="preserve"> </w:t>
            </w:r>
            <w:r>
              <w:rPr>
                <w:rFonts w:ascii="宋体" w:hAnsi="宋体" w:eastAsia="宋体" w:cs="宋体"/>
                <w:spacing w:val="11"/>
              </w:rPr>
              <w:t>本项目符合国家产业政策要</w:t>
            </w:r>
            <w:r>
              <w:rPr>
                <w:rFonts w:ascii="宋体" w:hAnsi="宋体" w:eastAsia="宋体" w:cs="宋体"/>
                <w:spacing w:val="-14"/>
              </w:rPr>
              <w:t>求，符合区域生态环境准入要求。</w:t>
            </w:r>
          </w:p>
          <w:p w14:paraId="29990EE8">
            <w:pPr>
              <w:pStyle w:val="6"/>
              <w:spacing w:line="274" w:lineRule="auto"/>
              <w:ind w:left="13" w:hanging="6"/>
              <w:rPr>
                <w:rFonts w:ascii="宋体" w:hAnsi="宋体" w:eastAsia="宋体" w:cs="宋体"/>
              </w:rPr>
            </w:pPr>
            <w:r>
              <w:rPr>
                <w:spacing w:val="4"/>
              </w:rPr>
              <w:t>2.</w:t>
            </w:r>
            <w:r>
              <w:rPr>
                <w:rFonts w:ascii="宋体" w:hAnsi="宋体" w:eastAsia="宋体" w:cs="宋体"/>
                <w:spacing w:val="4"/>
              </w:rPr>
              <w:t>本项目为生猪养殖项目，已经</w:t>
            </w:r>
            <w:r>
              <w:rPr>
                <w:rFonts w:ascii="宋体" w:hAnsi="宋体" w:eastAsia="宋体" w:cs="宋体"/>
              </w:rPr>
              <w:t>取得设施农用地备案证明，项目</w:t>
            </w:r>
            <w:r>
              <w:rPr>
                <w:rFonts w:ascii="宋体" w:hAnsi="宋体" w:eastAsia="宋体" w:cs="宋体"/>
                <w:spacing w:val="-4"/>
              </w:rPr>
              <w:t>不属于再生资源行业。</w:t>
            </w:r>
          </w:p>
          <w:p w14:paraId="7B002A30">
            <w:pPr>
              <w:pStyle w:val="6"/>
              <w:spacing w:before="2" w:line="274" w:lineRule="auto"/>
              <w:ind w:left="10" w:firstLine="1"/>
              <w:rPr>
                <w:rFonts w:ascii="宋体" w:hAnsi="宋体" w:eastAsia="宋体" w:cs="宋体"/>
              </w:rPr>
            </w:pPr>
            <w:r>
              <w:rPr>
                <w:spacing w:val="4"/>
              </w:rPr>
              <w:t>3.</w:t>
            </w:r>
            <w:r>
              <w:rPr>
                <w:rFonts w:ascii="宋体" w:hAnsi="宋体" w:eastAsia="宋体" w:cs="宋体"/>
                <w:spacing w:val="4"/>
              </w:rPr>
              <w:t>本项目为生猪养殖项目，属于</w:t>
            </w:r>
            <w:r>
              <w:rPr>
                <w:rFonts w:ascii="宋体" w:hAnsi="宋体" w:eastAsia="宋体" w:cs="宋体"/>
                <w:spacing w:val="1"/>
              </w:rPr>
              <w:t>大清流河流域，项目养殖规模及设施农用地已经内江市东兴区农</w:t>
            </w:r>
            <w:r>
              <w:rPr>
                <w:rFonts w:ascii="宋体" w:hAnsi="宋体" w:eastAsia="宋体" w:cs="宋体"/>
              </w:rPr>
              <w:t>业农村局备案予以确认，养殖废</w:t>
            </w:r>
            <w:r>
              <w:rPr>
                <w:rFonts w:ascii="宋体" w:hAnsi="宋体" w:eastAsia="宋体" w:cs="宋体"/>
                <w:spacing w:val="1"/>
              </w:rPr>
              <w:t>水经污水处理站处理达标后用于消纳地农灌不外排，项目实行清洁养殖和畜禽粪污无害化、资源</w:t>
            </w:r>
            <w:r>
              <w:rPr>
                <w:rFonts w:ascii="宋体" w:hAnsi="宋体" w:eastAsia="宋体" w:cs="宋体"/>
                <w:spacing w:val="-6"/>
              </w:rPr>
              <w:t>化利用技术。</w:t>
            </w:r>
          </w:p>
          <w:p w14:paraId="26554FEB">
            <w:pPr>
              <w:pStyle w:val="6"/>
              <w:spacing w:line="274" w:lineRule="auto"/>
              <w:ind w:left="9" w:hanging="3"/>
              <w:rPr>
                <w:rFonts w:ascii="宋体" w:hAnsi="宋体" w:eastAsia="宋体" w:cs="宋体"/>
              </w:rPr>
            </w:pPr>
            <w:r>
              <w:rPr>
                <w:spacing w:val="4"/>
              </w:rPr>
              <w:t>4.</w:t>
            </w:r>
            <w:r>
              <w:rPr>
                <w:rFonts w:ascii="宋体" w:hAnsi="宋体" w:eastAsia="宋体" w:cs="宋体"/>
                <w:spacing w:val="4"/>
              </w:rPr>
              <w:t>项目不属于装备制造、砖瓦企</w:t>
            </w:r>
            <w:r>
              <w:rPr>
                <w:rFonts w:ascii="宋体" w:hAnsi="宋体" w:eastAsia="宋体" w:cs="宋体"/>
                <w:spacing w:val="-10"/>
              </w:rPr>
              <w:t>业。</w:t>
            </w:r>
          </w:p>
          <w:p w14:paraId="495EB82A">
            <w:pPr>
              <w:pStyle w:val="6"/>
              <w:spacing w:before="1" w:line="274" w:lineRule="auto"/>
              <w:ind w:left="11" w:firstLine="1"/>
              <w:rPr>
                <w:rFonts w:ascii="宋体" w:hAnsi="宋体" w:eastAsia="宋体" w:cs="宋体"/>
              </w:rPr>
            </w:pPr>
            <w:r>
              <w:rPr>
                <w:spacing w:val="4"/>
              </w:rPr>
              <w:t>5.</w:t>
            </w:r>
            <w:r>
              <w:rPr>
                <w:rFonts w:ascii="宋体" w:hAnsi="宋体" w:eastAsia="宋体" w:cs="宋体"/>
                <w:spacing w:val="4"/>
              </w:rPr>
              <w:t>项目不涉重金属、持久性有机</w:t>
            </w:r>
            <w:r>
              <w:rPr>
                <w:rFonts w:ascii="宋体" w:hAnsi="宋体" w:eastAsia="宋体" w:cs="宋体"/>
                <w:spacing w:val="1"/>
              </w:rPr>
              <w:t>物，项目产生的固废、危废均合</w:t>
            </w:r>
            <w:r>
              <w:rPr>
                <w:rFonts w:ascii="宋体" w:hAnsi="宋体" w:eastAsia="宋体" w:cs="宋体"/>
                <w:spacing w:val="-7"/>
              </w:rPr>
              <w:t>理化处置。</w:t>
            </w:r>
          </w:p>
          <w:p w14:paraId="3637DAF3">
            <w:pPr>
              <w:pStyle w:val="6"/>
              <w:spacing w:line="220" w:lineRule="auto"/>
              <w:ind w:left="12"/>
              <w:rPr>
                <w:rFonts w:ascii="宋体" w:hAnsi="宋体" w:eastAsia="宋体" w:cs="宋体"/>
              </w:rPr>
            </w:pPr>
            <w:r>
              <w:rPr>
                <w:spacing w:val="-3"/>
              </w:rPr>
              <w:t>6.</w:t>
            </w:r>
            <w:r>
              <w:rPr>
                <w:rFonts w:ascii="宋体" w:hAnsi="宋体" w:eastAsia="宋体" w:cs="宋体"/>
                <w:spacing w:val="-3"/>
              </w:rPr>
              <w:t>项目不属于涉危涉化企业。</w:t>
            </w:r>
          </w:p>
          <w:p w14:paraId="627F14ED">
            <w:pPr>
              <w:pStyle w:val="6"/>
              <w:spacing w:before="62" w:line="250" w:lineRule="auto"/>
              <w:ind w:left="12" w:hanging="1"/>
              <w:rPr>
                <w:rFonts w:ascii="宋体" w:hAnsi="宋体" w:eastAsia="宋体" w:cs="宋体"/>
              </w:rPr>
            </w:pPr>
            <w:r>
              <w:rPr>
                <w:spacing w:val="10"/>
              </w:rPr>
              <w:t xml:space="preserve">7.  </w:t>
            </w:r>
            <w:r>
              <w:rPr>
                <w:rFonts w:ascii="宋体" w:hAnsi="宋体" w:eastAsia="宋体" w:cs="宋体"/>
                <w:spacing w:val="10"/>
              </w:rPr>
              <w:t>项目不属于城乡生态环境保</w:t>
            </w:r>
            <w:r>
              <w:rPr>
                <w:rFonts w:ascii="宋体" w:hAnsi="宋体" w:eastAsia="宋体" w:cs="宋体"/>
                <w:spacing w:val="-6"/>
              </w:rPr>
              <w:t>护基础设施。</w:t>
            </w:r>
          </w:p>
        </w:tc>
        <w:tc>
          <w:tcPr>
            <w:tcW w:w="667" w:type="dxa"/>
            <w:vAlign w:val="top"/>
          </w:tcPr>
          <w:p w14:paraId="5ECF9C26">
            <w:pPr>
              <w:spacing w:line="256" w:lineRule="auto"/>
              <w:rPr>
                <w:rFonts w:ascii="Arial"/>
                <w:sz w:val="21"/>
              </w:rPr>
            </w:pPr>
          </w:p>
          <w:p w14:paraId="5F7D3220">
            <w:pPr>
              <w:spacing w:line="257" w:lineRule="auto"/>
              <w:rPr>
                <w:rFonts w:ascii="Arial"/>
                <w:sz w:val="21"/>
              </w:rPr>
            </w:pPr>
          </w:p>
          <w:p w14:paraId="6C94B3F9">
            <w:pPr>
              <w:spacing w:line="257" w:lineRule="auto"/>
              <w:rPr>
                <w:rFonts w:ascii="Arial"/>
                <w:sz w:val="21"/>
              </w:rPr>
            </w:pPr>
          </w:p>
          <w:p w14:paraId="6D9AC0DE">
            <w:pPr>
              <w:spacing w:line="257" w:lineRule="auto"/>
              <w:rPr>
                <w:rFonts w:ascii="Arial"/>
                <w:sz w:val="21"/>
              </w:rPr>
            </w:pPr>
          </w:p>
          <w:p w14:paraId="5E808979">
            <w:pPr>
              <w:spacing w:line="257" w:lineRule="auto"/>
              <w:rPr>
                <w:rFonts w:ascii="Arial"/>
                <w:sz w:val="21"/>
              </w:rPr>
            </w:pPr>
          </w:p>
          <w:p w14:paraId="518F37A4">
            <w:pPr>
              <w:spacing w:line="257" w:lineRule="auto"/>
              <w:rPr>
                <w:rFonts w:ascii="Arial"/>
                <w:sz w:val="21"/>
              </w:rPr>
            </w:pPr>
          </w:p>
          <w:p w14:paraId="6D7B78D0">
            <w:pPr>
              <w:spacing w:line="257" w:lineRule="auto"/>
              <w:rPr>
                <w:rFonts w:ascii="Arial"/>
                <w:sz w:val="21"/>
              </w:rPr>
            </w:pPr>
          </w:p>
          <w:p w14:paraId="3D5EAA6C">
            <w:pPr>
              <w:spacing w:line="257" w:lineRule="auto"/>
              <w:rPr>
                <w:rFonts w:ascii="Arial"/>
                <w:sz w:val="21"/>
              </w:rPr>
            </w:pPr>
          </w:p>
          <w:p w14:paraId="02D5893E">
            <w:pPr>
              <w:spacing w:line="257" w:lineRule="auto"/>
              <w:rPr>
                <w:rFonts w:ascii="Arial"/>
                <w:sz w:val="21"/>
              </w:rPr>
            </w:pPr>
          </w:p>
          <w:p w14:paraId="192E8CCA">
            <w:pPr>
              <w:spacing w:line="257" w:lineRule="auto"/>
              <w:rPr>
                <w:rFonts w:ascii="Arial"/>
                <w:sz w:val="21"/>
              </w:rPr>
            </w:pPr>
          </w:p>
          <w:p w14:paraId="39A72453">
            <w:pPr>
              <w:spacing w:line="257" w:lineRule="auto"/>
              <w:rPr>
                <w:rFonts w:ascii="Arial"/>
                <w:sz w:val="21"/>
              </w:rPr>
            </w:pPr>
          </w:p>
          <w:p w14:paraId="52D5662F">
            <w:pPr>
              <w:spacing w:line="257" w:lineRule="auto"/>
              <w:rPr>
                <w:rFonts w:ascii="Arial"/>
                <w:sz w:val="21"/>
              </w:rPr>
            </w:pPr>
          </w:p>
          <w:p w14:paraId="77D1F95F">
            <w:pPr>
              <w:spacing w:before="68" w:line="220" w:lineRule="auto"/>
              <w:ind w:left="130"/>
              <w:rPr>
                <w:rFonts w:ascii="宋体" w:hAnsi="宋体" w:eastAsia="宋体" w:cs="宋体"/>
                <w:sz w:val="21"/>
                <w:szCs w:val="21"/>
              </w:rPr>
            </w:pPr>
            <w:r>
              <w:rPr>
                <w:rFonts w:ascii="宋体" w:hAnsi="宋体" w:eastAsia="宋体" w:cs="宋体"/>
                <w:spacing w:val="-3"/>
                <w:sz w:val="21"/>
                <w:szCs w:val="21"/>
              </w:rPr>
              <w:t>符合</w:t>
            </w:r>
          </w:p>
        </w:tc>
      </w:tr>
    </w:tbl>
    <w:p w14:paraId="4646C20F">
      <w:pPr>
        <w:spacing w:before="171" w:line="227" w:lineRule="auto"/>
        <w:ind w:left="48"/>
        <w:rPr>
          <w:rFonts w:ascii="宋体" w:hAnsi="宋体" w:eastAsia="宋体" w:cs="宋体"/>
          <w:sz w:val="27"/>
          <w:szCs w:val="27"/>
        </w:rPr>
      </w:pPr>
      <w:r>
        <w:rPr>
          <w:rFonts w:ascii="Times New Roman" w:hAnsi="Times New Roman" w:eastAsia="Times New Roman" w:cs="Times New Roman"/>
          <w:b/>
          <w:bCs/>
          <w:spacing w:val="4"/>
          <w:sz w:val="27"/>
          <w:szCs w:val="27"/>
        </w:rPr>
        <w:t xml:space="preserve">1.6.4.2 </w:t>
      </w:r>
      <w:r>
        <w:rPr>
          <w:rFonts w:ascii="宋体" w:hAnsi="宋体" w:eastAsia="宋体" w:cs="宋体"/>
          <w:b/>
          <w:bCs/>
          <w:spacing w:val="4"/>
          <w:sz w:val="27"/>
          <w:szCs w:val="27"/>
        </w:rPr>
        <w:t>生态环境准入清单</w:t>
      </w:r>
    </w:p>
    <w:p w14:paraId="710E9F9A">
      <w:pPr>
        <w:spacing w:before="235" w:line="360" w:lineRule="auto"/>
        <w:ind w:left="22" w:firstLine="497"/>
        <w:rPr>
          <w:rFonts w:ascii="宋体" w:hAnsi="宋体" w:eastAsia="宋体" w:cs="宋体"/>
          <w:sz w:val="24"/>
          <w:szCs w:val="24"/>
        </w:rPr>
      </w:pPr>
      <w:r>
        <w:rPr>
          <w:rFonts w:ascii="宋体" w:hAnsi="宋体" w:eastAsia="宋体" w:cs="宋体"/>
          <w:sz w:val="24"/>
          <w:szCs w:val="24"/>
        </w:rPr>
        <w:t>本项目位于内江市东兴区白合镇喻家沟村</w:t>
      </w: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12</w:t>
      </w:r>
      <w:r>
        <w:rPr>
          <w:rFonts w:ascii="宋体" w:hAnsi="宋体" w:eastAsia="宋体" w:cs="宋体"/>
          <w:sz w:val="24"/>
          <w:szCs w:val="24"/>
        </w:rPr>
        <w:t>组，</w:t>
      </w:r>
      <w:r>
        <w:rPr>
          <w:rFonts w:ascii="宋体" w:hAnsi="宋体" w:eastAsia="宋体" w:cs="宋体"/>
          <w:spacing w:val="-1"/>
          <w:sz w:val="24"/>
          <w:szCs w:val="24"/>
        </w:rPr>
        <w:t>根据四川省生态环境厅</w:t>
      </w:r>
      <w:r>
        <w:rPr>
          <w:rFonts w:ascii="宋体" w:hAnsi="宋体" w:eastAsia="宋体" w:cs="宋体"/>
          <w:spacing w:val="-9"/>
          <w:sz w:val="24"/>
          <w:szCs w:val="24"/>
        </w:rPr>
        <w:t>“三线一单”符合性分析查询系统进行查询，项目地涉及</w:t>
      </w:r>
      <w:r>
        <w:rPr>
          <w:rFonts w:ascii="Times New Roman" w:hAnsi="Times New Roman" w:eastAsia="Times New Roman" w:cs="Times New Roman"/>
          <w:spacing w:val="-9"/>
          <w:sz w:val="24"/>
          <w:szCs w:val="24"/>
        </w:rPr>
        <w:t>4</w:t>
      </w:r>
      <w:r>
        <w:rPr>
          <w:rFonts w:ascii="宋体" w:hAnsi="宋体" w:eastAsia="宋体" w:cs="宋体"/>
          <w:spacing w:val="-9"/>
          <w:sz w:val="24"/>
          <w:szCs w:val="24"/>
        </w:rPr>
        <w:t>个管</w:t>
      </w:r>
      <w:r>
        <w:rPr>
          <w:rFonts w:ascii="宋体" w:hAnsi="宋体" w:eastAsia="宋体" w:cs="宋体"/>
          <w:spacing w:val="-10"/>
          <w:sz w:val="24"/>
          <w:szCs w:val="24"/>
        </w:rPr>
        <w:t>控单元，见表</w:t>
      </w:r>
      <w:r>
        <w:rPr>
          <w:rFonts w:ascii="Times New Roman" w:hAnsi="Times New Roman" w:eastAsia="Times New Roman" w:cs="Times New Roman"/>
          <w:spacing w:val="-10"/>
          <w:sz w:val="24"/>
          <w:szCs w:val="24"/>
        </w:rPr>
        <w:t>1.6-16</w:t>
      </w:r>
      <w:r>
        <w:rPr>
          <w:rFonts w:ascii="宋体" w:hAnsi="宋体" w:eastAsia="宋体" w:cs="宋体"/>
          <w:spacing w:val="-10"/>
          <w:sz w:val="24"/>
          <w:szCs w:val="24"/>
        </w:rPr>
        <w:t>。</w:t>
      </w:r>
    </w:p>
    <w:p w14:paraId="6B364C88">
      <w:pPr>
        <w:spacing w:before="1" w:line="218" w:lineRule="auto"/>
        <w:ind w:left="520"/>
        <w:rPr>
          <w:rFonts w:ascii="宋体" w:hAnsi="宋体" w:eastAsia="宋体" w:cs="宋体"/>
          <w:sz w:val="24"/>
          <w:szCs w:val="24"/>
        </w:rPr>
      </w:pPr>
      <w:r>
        <w:rPr>
          <w:rFonts w:ascii="宋体" w:hAnsi="宋体" w:eastAsia="宋体" w:cs="宋体"/>
          <w:spacing w:val="-1"/>
          <w:sz w:val="24"/>
          <w:szCs w:val="24"/>
        </w:rPr>
        <w:t>本项目与各环境管控单元的符合性分析见表</w:t>
      </w:r>
      <w:r>
        <w:rPr>
          <w:rFonts w:ascii="Times New Roman" w:hAnsi="Times New Roman" w:eastAsia="Times New Roman" w:cs="Times New Roman"/>
          <w:spacing w:val="-1"/>
          <w:sz w:val="24"/>
          <w:szCs w:val="24"/>
        </w:rPr>
        <w:t>1.6-17</w:t>
      </w:r>
      <w:r>
        <w:rPr>
          <w:rFonts w:ascii="宋体" w:hAnsi="宋体" w:eastAsia="宋体" w:cs="宋体"/>
          <w:spacing w:val="-1"/>
          <w:sz w:val="24"/>
          <w:szCs w:val="24"/>
        </w:rPr>
        <w:t>。</w:t>
      </w:r>
    </w:p>
    <w:p w14:paraId="387DF15C">
      <w:pPr>
        <w:spacing w:line="218" w:lineRule="auto"/>
        <w:rPr>
          <w:rFonts w:ascii="宋体" w:hAnsi="宋体" w:eastAsia="宋体" w:cs="宋体"/>
          <w:sz w:val="24"/>
          <w:szCs w:val="24"/>
        </w:rPr>
        <w:sectPr>
          <w:headerReference r:id="rId116" w:type="default"/>
          <w:footerReference r:id="rId117" w:type="default"/>
          <w:pgSz w:w="11905" w:h="16840"/>
          <w:pgMar w:top="1168" w:right="1592" w:bottom="1409" w:left="1770" w:header="828" w:footer="1244" w:gutter="0"/>
          <w:cols w:space="720" w:num="1"/>
        </w:sectPr>
      </w:pPr>
    </w:p>
    <w:p w14:paraId="04DF7716">
      <w:pPr>
        <w:pStyle w:val="2"/>
        <w:spacing w:line="251" w:lineRule="auto"/>
      </w:pPr>
    </w:p>
    <w:p w14:paraId="5AFB8710">
      <w:pPr>
        <w:spacing w:before="69" w:line="221" w:lineRule="auto"/>
        <w:ind w:left="229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1.6-16  </w:t>
      </w:r>
      <w:r>
        <w:rPr>
          <w:rFonts w:ascii="黑体" w:hAnsi="黑体" w:eastAsia="黑体" w:cs="黑体"/>
          <w:spacing w:val="-1"/>
          <w:sz w:val="21"/>
          <w:szCs w:val="21"/>
        </w:rPr>
        <w:t>本项目涉及的环境管控单元列表</w:t>
      </w:r>
    </w:p>
    <w:p w14:paraId="337D0F9B">
      <w:pPr>
        <w:spacing w:line="112" w:lineRule="auto"/>
        <w:rPr>
          <w:rFonts w:ascii="Arial"/>
          <w:sz w:val="2"/>
        </w:rPr>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8"/>
        <w:gridCol w:w="2337"/>
        <w:gridCol w:w="706"/>
        <w:gridCol w:w="704"/>
        <w:gridCol w:w="1272"/>
        <w:gridCol w:w="1653"/>
      </w:tblGrid>
      <w:tr w14:paraId="61356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648" w:type="dxa"/>
            <w:vAlign w:val="top"/>
          </w:tcPr>
          <w:p w14:paraId="3084E921">
            <w:pPr>
              <w:spacing w:before="170" w:line="220" w:lineRule="auto"/>
              <w:ind w:right="5"/>
              <w:jc w:val="right"/>
              <w:rPr>
                <w:rFonts w:ascii="宋体" w:hAnsi="宋体" w:eastAsia="宋体" w:cs="宋体"/>
                <w:sz w:val="21"/>
                <w:szCs w:val="21"/>
              </w:rPr>
            </w:pPr>
            <w:r>
              <w:rPr>
                <w:rFonts w:ascii="宋体" w:hAnsi="宋体" w:eastAsia="宋体" w:cs="宋体"/>
                <w:spacing w:val="-11"/>
                <w:sz w:val="21"/>
                <w:szCs w:val="21"/>
              </w:rPr>
              <w:t>环境管控单元编码</w:t>
            </w:r>
          </w:p>
        </w:tc>
        <w:tc>
          <w:tcPr>
            <w:tcW w:w="2337" w:type="dxa"/>
            <w:vAlign w:val="top"/>
          </w:tcPr>
          <w:p w14:paraId="4373543D">
            <w:pPr>
              <w:spacing w:before="170" w:line="220" w:lineRule="auto"/>
              <w:ind w:left="332"/>
              <w:rPr>
                <w:rFonts w:ascii="宋体" w:hAnsi="宋体" w:eastAsia="宋体" w:cs="宋体"/>
                <w:sz w:val="21"/>
                <w:szCs w:val="21"/>
              </w:rPr>
            </w:pPr>
            <w:r>
              <w:rPr>
                <w:rFonts w:ascii="宋体" w:hAnsi="宋体" w:eastAsia="宋体" w:cs="宋体"/>
                <w:spacing w:val="-1"/>
                <w:sz w:val="21"/>
                <w:szCs w:val="21"/>
              </w:rPr>
              <w:t>环境管控单元名称</w:t>
            </w:r>
          </w:p>
        </w:tc>
        <w:tc>
          <w:tcPr>
            <w:tcW w:w="706" w:type="dxa"/>
            <w:vAlign w:val="top"/>
          </w:tcPr>
          <w:p w14:paraId="4ADE0BBD">
            <w:pPr>
              <w:spacing w:before="33" w:line="220" w:lineRule="auto"/>
              <w:ind w:left="44"/>
              <w:rPr>
                <w:rFonts w:ascii="宋体" w:hAnsi="宋体" w:eastAsia="宋体" w:cs="宋体"/>
                <w:sz w:val="21"/>
                <w:szCs w:val="21"/>
              </w:rPr>
            </w:pPr>
            <w:r>
              <w:rPr>
                <w:rFonts w:ascii="宋体" w:hAnsi="宋体" w:eastAsia="宋体" w:cs="宋体"/>
                <w:spacing w:val="-2"/>
                <w:sz w:val="21"/>
                <w:szCs w:val="21"/>
              </w:rPr>
              <w:t>所属市</w:t>
            </w:r>
          </w:p>
          <w:p w14:paraId="7A819B6B">
            <w:pPr>
              <w:spacing w:before="22" w:line="208" w:lineRule="auto"/>
              <w:ind w:left="49"/>
              <w:rPr>
                <w:rFonts w:ascii="宋体" w:hAnsi="宋体" w:eastAsia="宋体" w:cs="宋体"/>
                <w:sz w:val="21"/>
                <w:szCs w:val="21"/>
              </w:rPr>
            </w:pPr>
            <w:r>
              <w:rPr>
                <w:rFonts w:ascii="宋体" w:hAnsi="宋体" w:eastAsia="宋体" w:cs="宋体"/>
                <w:spacing w:val="-7"/>
                <w:sz w:val="21"/>
                <w:szCs w:val="21"/>
              </w:rPr>
              <w:t>（州）</w:t>
            </w:r>
          </w:p>
        </w:tc>
        <w:tc>
          <w:tcPr>
            <w:tcW w:w="704" w:type="dxa"/>
            <w:vAlign w:val="top"/>
          </w:tcPr>
          <w:p w14:paraId="27560F0D">
            <w:pPr>
              <w:spacing w:before="34" w:line="220" w:lineRule="auto"/>
              <w:ind w:left="148"/>
              <w:rPr>
                <w:rFonts w:ascii="宋体" w:hAnsi="宋体" w:eastAsia="宋体" w:cs="宋体"/>
                <w:sz w:val="21"/>
                <w:szCs w:val="21"/>
              </w:rPr>
            </w:pPr>
            <w:r>
              <w:rPr>
                <w:rFonts w:ascii="宋体" w:hAnsi="宋体" w:eastAsia="宋体" w:cs="宋体"/>
                <w:spacing w:val="-3"/>
                <w:sz w:val="21"/>
                <w:szCs w:val="21"/>
              </w:rPr>
              <w:t>所属</w:t>
            </w:r>
          </w:p>
          <w:p w14:paraId="3E2FA5C2">
            <w:pPr>
              <w:spacing w:before="21" w:line="208" w:lineRule="auto"/>
              <w:ind w:left="163"/>
              <w:rPr>
                <w:rFonts w:ascii="宋体" w:hAnsi="宋体" w:eastAsia="宋体" w:cs="宋体"/>
                <w:sz w:val="21"/>
                <w:szCs w:val="21"/>
              </w:rPr>
            </w:pPr>
            <w:r>
              <w:rPr>
                <w:rFonts w:ascii="宋体" w:hAnsi="宋体" w:eastAsia="宋体" w:cs="宋体"/>
                <w:spacing w:val="-6"/>
                <w:sz w:val="21"/>
                <w:szCs w:val="21"/>
              </w:rPr>
              <w:t>区县</w:t>
            </w:r>
          </w:p>
        </w:tc>
        <w:tc>
          <w:tcPr>
            <w:tcW w:w="1272" w:type="dxa"/>
            <w:vAlign w:val="top"/>
          </w:tcPr>
          <w:p w14:paraId="2114B6DD">
            <w:pPr>
              <w:spacing w:before="170" w:line="220" w:lineRule="auto"/>
              <w:jc w:val="right"/>
              <w:rPr>
                <w:rFonts w:ascii="宋体" w:hAnsi="宋体" w:eastAsia="宋体" w:cs="宋体"/>
                <w:sz w:val="21"/>
                <w:szCs w:val="21"/>
              </w:rPr>
            </w:pPr>
            <w:r>
              <w:rPr>
                <w:rFonts w:ascii="宋体" w:hAnsi="宋体" w:eastAsia="宋体" w:cs="宋体"/>
                <w:spacing w:val="-2"/>
                <w:sz w:val="21"/>
                <w:szCs w:val="21"/>
              </w:rPr>
              <w:t>准入清单类型</w:t>
            </w:r>
          </w:p>
        </w:tc>
        <w:tc>
          <w:tcPr>
            <w:tcW w:w="1653" w:type="dxa"/>
            <w:vAlign w:val="top"/>
          </w:tcPr>
          <w:p w14:paraId="185C952C">
            <w:pPr>
              <w:spacing w:before="170" w:line="220" w:lineRule="auto"/>
              <w:ind w:left="417"/>
              <w:rPr>
                <w:rFonts w:ascii="宋体" w:hAnsi="宋体" w:eastAsia="宋体" w:cs="宋体"/>
                <w:sz w:val="21"/>
                <w:szCs w:val="21"/>
              </w:rPr>
            </w:pPr>
            <w:r>
              <w:rPr>
                <w:rFonts w:ascii="宋体" w:hAnsi="宋体" w:eastAsia="宋体" w:cs="宋体"/>
                <w:spacing w:val="-3"/>
                <w:sz w:val="21"/>
                <w:szCs w:val="21"/>
              </w:rPr>
              <w:t>管控类型</w:t>
            </w:r>
          </w:p>
        </w:tc>
      </w:tr>
      <w:tr w14:paraId="004E4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48" w:type="dxa"/>
            <w:vAlign w:val="top"/>
          </w:tcPr>
          <w:p w14:paraId="396196DB">
            <w:pPr>
              <w:pStyle w:val="6"/>
              <w:spacing w:before="203" w:line="188" w:lineRule="auto"/>
              <w:ind w:left="114"/>
            </w:pPr>
            <w:r>
              <w:rPr>
                <w:spacing w:val="-2"/>
              </w:rPr>
              <w:t>ZH51101120004</w:t>
            </w:r>
          </w:p>
        </w:tc>
        <w:tc>
          <w:tcPr>
            <w:tcW w:w="2337" w:type="dxa"/>
            <w:vAlign w:val="top"/>
          </w:tcPr>
          <w:p w14:paraId="47CB09BA">
            <w:pPr>
              <w:spacing w:before="31" w:line="220" w:lineRule="auto"/>
              <w:ind w:left="130"/>
              <w:rPr>
                <w:rFonts w:ascii="宋体" w:hAnsi="宋体" w:eastAsia="宋体" w:cs="宋体"/>
                <w:sz w:val="21"/>
                <w:szCs w:val="21"/>
              </w:rPr>
            </w:pPr>
            <w:r>
              <w:rPr>
                <w:rFonts w:ascii="宋体" w:hAnsi="宋体" w:eastAsia="宋体" w:cs="宋体"/>
                <w:spacing w:val="-2"/>
                <w:sz w:val="21"/>
                <w:szCs w:val="21"/>
              </w:rPr>
              <w:t>东兴区区要素重点管控</w:t>
            </w:r>
          </w:p>
          <w:p w14:paraId="5E569D50">
            <w:pPr>
              <w:spacing w:before="22" w:line="206" w:lineRule="auto"/>
              <w:ind w:left="964"/>
              <w:rPr>
                <w:rFonts w:ascii="宋体" w:hAnsi="宋体" w:eastAsia="宋体" w:cs="宋体"/>
                <w:sz w:val="21"/>
                <w:szCs w:val="21"/>
              </w:rPr>
            </w:pPr>
            <w:r>
              <w:rPr>
                <w:rFonts w:ascii="宋体" w:hAnsi="宋体" w:eastAsia="宋体" w:cs="宋体"/>
                <w:spacing w:val="-3"/>
                <w:sz w:val="21"/>
                <w:szCs w:val="21"/>
              </w:rPr>
              <w:t>单元</w:t>
            </w:r>
          </w:p>
        </w:tc>
        <w:tc>
          <w:tcPr>
            <w:tcW w:w="706" w:type="dxa"/>
            <w:vAlign w:val="top"/>
          </w:tcPr>
          <w:p w14:paraId="1D1DED24">
            <w:pPr>
              <w:spacing w:before="166" w:line="220" w:lineRule="auto"/>
              <w:ind w:left="69"/>
              <w:rPr>
                <w:rFonts w:ascii="宋体" w:hAnsi="宋体" w:eastAsia="宋体" w:cs="宋体"/>
                <w:sz w:val="21"/>
                <w:szCs w:val="21"/>
              </w:rPr>
            </w:pPr>
            <w:r>
              <w:rPr>
                <w:rFonts w:ascii="宋体" w:hAnsi="宋体" w:eastAsia="宋体" w:cs="宋体"/>
                <w:spacing w:val="-8"/>
                <w:sz w:val="21"/>
                <w:szCs w:val="21"/>
              </w:rPr>
              <w:t>内江市</w:t>
            </w:r>
          </w:p>
        </w:tc>
        <w:tc>
          <w:tcPr>
            <w:tcW w:w="704" w:type="dxa"/>
            <w:vAlign w:val="top"/>
          </w:tcPr>
          <w:p w14:paraId="03FADE50">
            <w:pPr>
              <w:spacing w:before="166" w:line="220" w:lineRule="auto"/>
              <w:ind w:left="49"/>
              <w:rPr>
                <w:rFonts w:ascii="宋体" w:hAnsi="宋体" w:eastAsia="宋体" w:cs="宋体"/>
                <w:sz w:val="21"/>
                <w:szCs w:val="21"/>
              </w:rPr>
            </w:pPr>
            <w:r>
              <w:rPr>
                <w:rFonts w:ascii="宋体" w:hAnsi="宋体" w:eastAsia="宋体" w:cs="宋体"/>
                <w:spacing w:val="-4"/>
                <w:sz w:val="21"/>
                <w:szCs w:val="21"/>
              </w:rPr>
              <w:t>东兴区</w:t>
            </w:r>
          </w:p>
        </w:tc>
        <w:tc>
          <w:tcPr>
            <w:tcW w:w="1272" w:type="dxa"/>
            <w:vAlign w:val="top"/>
          </w:tcPr>
          <w:p w14:paraId="7D9038A4">
            <w:pPr>
              <w:spacing w:before="166" w:line="220" w:lineRule="auto"/>
              <w:jc w:val="right"/>
              <w:rPr>
                <w:rFonts w:ascii="宋体" w:hAnsi="宋体" w:eastAsia="宋体" w:cs="宋体"/>
                <w:sz w:val="21"/>
                <w:szCs w:val="21"/>
              </w:rPr>
            </w:pPr>
            <w:r>
              <w:rPr>
                <w:rFonts w:ascii="宋体" w:hAnsi="宋体" w:eastAsia="宋体" w:cs="宋体"/>
                <w:spacing w:val="-2"/>
                <w:sz w:val="21"/>
                <w:szCs w:val="21"/>
              </w:rPr>
              <w:t>环境管控单元</w:t>
            </w:r>
          </w:p>
        </w:tc>
        <w:tc>
          <w:tcPr>
            <w:tcW w:w="1653" w:type="dxa"/>
            <w:vAlign w:val="top"/>
          </w:tcPr>
          <w:p w14:paraId="46B73A84">
            <w:pPr>
              <w:spacing w:before="30" w:line="223" w:lineRule="auto"/>
              <w:ind w:left="23" w:right="7"/>
              <w:rPr>
                <w:rFonts w:ascii="宋体" w:hAnsi="宋体" w:eastAsia="宋体" w:cs="宋体"/>
                <w:sz w:val="21"/>
                <w:szCs w:val="21"/>
              </w:rPr>
            </w:pPr>
            <w:r>
              <w:rPr>
                <w:rFonts w:ascii="宋体" w:hAnsi="宋体" w:eastAsia="宋体" w:cs="宋体"/>
                <w:spacing w:val="-8"/>
                <w:sz w:val="21"/>
                <w:szCs w:val="21"/>
              </w:rPr>
              <w:t>环境综合管控单元</w:t>
            </w:r>
            <w:r>
              <w:rPr>
                <w:rFonts w:ascii="宋体" w:hAnsi="宋体" w:eastAsia="宋体" w:cs="宋体"/>
                <w:spacing w:val="-9"/>
                <w:sz w:val="21"/>
                <w:szCs w:val="21"/>
              </w:rPr>
              <w:t>要素重点管控单元</w:t>
            </w:r>
          </w:p>
        </w:tc>
      </w:tr>
      <w:tr w14:paraId="53A15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648" w:type="dxa"/>
            <w:vAlign w:val="top"/>
          </w:tcPr>
          <w:p w14:paraId="5C2091E6">
            <w:pPr>
              <w:pStyle w:val="6"/>
              <w:spacing w:before="205" w:line="188" w:lineRule="auto"/>
              <w:ind w:left="14"/>
            </w:pPr>
            <w:r>
              <w:rPr>
                <w:spacing w:val="-2"/>
              </w:rPr>
              <w:t>YS5110113210001</w:t>
            </w:r>
          </w:p>
        </w:tc>
        <w:tc>
          <w:tcPr>
            <w:tcW w:w="2337" w:type="dxa"/>
            <w:vAlign w:val="top"/>
          </w:tcPr>
          <w:p w14:paraId="60D23C17">
            <w:pPr>
              <w:pStyle w:val="6"/>
              <w:spacing w:before="32" w:line="223" w:lineRule="auto"/>
              <w:ind w:left="94" w:right="14" w:hanging="63"/>
              <w:rPr>
                <w:rFonts w:ascii="宋体" w:hAnsi="宋体" w:eastAsia="宋体" w:cs="宋体"/>
              </w:rPr>
            </w:pPr>
            <w:r>
              <w:rPr>
                <w:rFonts w:ascii="宋体" w:hAnsi="宋体" w:eastAsia="宋体" w:cs="宋体"/>
                <w:spacing w:val="-8"/>
              </w:rPr>
              <w:t>大清流河</w:t>
            </w:r>
            <w:r>
              <w:rPr>
                <w:spacing w:val="-8"/>
              </w:rPr>
              <w:t>-</w:t>
            </w:r>
            <w:r>
              <w:rPr>
                <w:rFonts w:ascii="宋体" w:hAnsi="宋体" w:eastAsia="宋体" w:cs="宋体"/>
                <w:spacing w:val="-8"/>
              </w:rPr>
              <w:t>李家碥断面汇水</w:t>
            </w:r>
            <w:r>
              <w:rPr>
                <w:rFonts w:ascii="宋体" w:hAnsi="宋体" w:eastAsia="宋体" w:cs="宋体"/>
                <w:spacing w:val="-7"/>
              </w:rPr>
              <w:t>控制区</w:t>
            </w:r>
            <w:r>
              <w:rPr>
                <w:spacing w:val="-7"/>
              </w:rPr>
              <w:t>-</w:t>
            </w:r>
            <w:r>
              <w:rPr>
                <w:rFonts w:ascii="宋体" w:hAnsi="宋体" w:eastAsia="宋体" w:cs="宋体"/>
                <w:spacing w:val="-7"/>
              </w:rPr>
              <w:t>东兴区</w:t>
            </w:r>
            <w:r>
              <w:rPr>
                <w:spacing w:val="-7"/>
              </w:rPr>
              <w:t>-</w:t>
            </w:r>
            <w:r>
              <w:rPr>
                <w:rFonts w:ascii="宋体" w:hAnsi="宋体" w:eastAsia="宋体" w:cs="宋体"/>
                <w:spacing w:val="-7"/>
              </w:rPr>
              <w:t>控制单元</w:t>
            </w:r>
          </w:p>
        </w:tc>
        <w:tc>
          <w:tcPr>
            <w:tcW w:w="706" w:type="dxa"/>
            <w:vAlign w:val="top"/>
          </w:tcPr>
          <w:p w14:paraId="30AA4211">
            <w:pPr>
              <w:spacing w:before="168" w:line="220" w:lineRule="auto"/>
              <w:ind w:left="69"/>
              <w:rPr>
                <w:rFonts w:ascii="宋体" w:hAnsi="宋体" w:eastAsia="宋体" w:cs="宋体"/>
                <w:sz w:val="21"/>
                <w:szCs w:val="21"/>
              </w:rPr>
            </w:pPr>
            <w:r>
              <w:rPr>
                <w:rFonts w:ascii="宋体" w:hAnsi="宋体" w:eastAsia="宋体" w:cs="宋体"/>
                <w:spacing w:val="-8"/>
                <w:sz w:val="21"/>
                <w:szCs w:val="21"/>
              </w:rPr>
              <w:t>内江市</w:t>
            </w:r>
          </w:p>
        </w:tc>
        <w:tc>
          <w:tcPr>
            <w:tcW w:w="704" w:type="dxa"/>
            <w:vAlign w:val="top"/>
          </w:tcPr>
          <w:p w14:paraId="208065A9">
            <w:pPr>
              <w:spacing w:before="168" w:line="220" w:lineRule="auto"/>
              <w:ind w:left="49"/>
              <w:rPr>
                <w:rFonts w:ascii="宋体" w:hAnsi="宋体" w:eastAsia="宋体" w:cs="宋体"/>
                <w:sz w:val="21"/>
                <w:szCs w:val="21"/>
              </w:rPr>
            </w:pPr>
            <w:r>
              <w:rPr>
                <w:rFonts w:ascii="宋体" w:hAnsi="宋体" w:eastAsia="宋体" w:cs="宋体"/>
                <w:spacing w:val="-4"/>
                <w:sz w:val="21"/>
                <w:szCs w:val="21"/>
              </w:rPr>
              <w:t>东兴区</w:t>
            </w:r>
          </w:p>
        </w:tc>
        <w:tc>
          <w:tcPr>
            <w:tcW w:w="1272" w:type="dxa"/>
            <w:vAlign w:val="top"/>
          </w:tcPr>
          <w:p w14:paraId="7DFE32B5">
            <w:pPr>
              <w:spacing w:before="32" w:line="223" w:lineRule="auto"/>
              <w:ind w:left="434" w:right="107" w:hanging="315"/>
              <w:rPr>
                <w:rFonts w:ascii="宋体" w:hAnsi="宋体" w:eastAsia="宋体" w:cs="宋体"/>
                <w:sz w:val="21"/>
                <w:szCs w:val="21"/>
              </w:rPr>
            </w:pPr>
            <w:r>
              <w:rPr>
                <w:rFonts w:ascii="宋体" w:hAnsi="宋体" w:eastAsia="宋体" w:cs="宋体"/>
                <w:spacing w:val="-3"/>
                <w:sz w:val="21"/>
                <w:szCs w:val="21"/>
              </w:rPr>
              <w:t>水环境管控分区</w:t>
            </w:r>
          </w:p>
        </w:tc>
        <w:tc>
          <w:tcPr>
            <w:tcW w:w="1653" w:type="dxa"/>
            <w:vAlign w:val="top"/>
          </w:tcPr>
          <w:p w14:paraId="4BFAC9BF">
            <w:pPr>
              <w:spacing w:before="168" w:line="220" w:lineRule="auto"/>
              <w:jc w:val="right"/>
              <w:rPr>
                <w:rFonts w:ascii="宋体" w:hAnsi="宋体" w:eastAsia="宋体" w:cs="宋体"/>
                <w:sz w:val="21"/>
                <w:szCs w:val="21"/>
              </w:rPr>
            </w:pPr>
            <w:r>
              <w:rPr>
                <w:rFonts w:ascii="宋体" w:hAnsi="宋体" w:eastAsia="宋体" w:cs="宋体"/>
                <w:spacing w:val="-8"/>
                <w:sz w:val="21"/>
                <w:szCs w:val="21"/>
              </w:rPr>
              <w:t>水环境一般管控区</w:t>
            </w:r>
          </w:p>
        </w:tc>
      </w:tr>
      <w:tr w14:paraId="376B4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48" w:type="dxa"/>
            <w:vAlign w:val="top"/>
          </w:tcPr>
          <w:p w14:paraId="36135267">
            <w:pPr>
              <w:pStyle w:val="6"/>
              <w:spacing w:before="204" w:line="188" w:lineRule="auto"/>
              <w:ind w:left="14"/>
            </w:pPr>
            <w:r>
              <w:rPr>
                <w:spacing w:val="-2"/>
              </w:rPr>
              <w:t>YS5110112320001</w:t>
            </w:r>
          </w:p>
        </w:tc>
        <w:tc>
          <w:tcPr>
            <w:tcW w:w="2337" w:type="dxa"/>
            <w:vAlign w:val="top"/>
          </w:tcPr>
          <w:p w14:paraId="7AFAE279">
            <w:pPr>
              <w:spacing w:before="31" w:line="223" w:lineRule="auto"/>
              <w:ind w:left="648" w:right="11" w:hanging="623"/>
              <w:rPr>
                <w:rFonts w:ascii="宋体" w:hAnsi="宋体" w:eastAsia="宋体" w:cs="宋体"/>
                <w:sz w:val="21"/>
                <w:szCs w:val="21"/>
              </w:rPr>
            </w:pPr>
            <w:r>
              <w:rPr>
                <w:rFonts w:ascii="宋体" w:hAnsi="宋体" w:eastAsia="宋体" w:cs="宋体"/>
                <w:spacing w:val="-2"/>
                <w:sz w:val="21"/>
                <w:szCs w:val="21"/>
              </w:rPr>
              <w:t>东兴区大气环境布局敏感重点管控区</w:t>
            </w:r>
          </w:p>
        </w:tc>
        <w:tc>
          <w:tcPr>
            <w:tcW w:w="706" w:type="dxa"/>
            <w:vAlign w:val="top"/>
          </w:tcPr>
          <w:p w14:paraId="48028027">
            <w:pPr>
              <w:spacing w:before="168" w:line="220" w:lineRule="auto"/>
              <w:ind w:left="69"/>
              <w:rPr>
                <w:rFonts w:ascii="宋体" w:hAnsi="宋体" w:eastAsia="宋体" w:cs="宋体"/>
                <w:sz w:val="21"/>
                <w:szCs w:val="21"/>
              </w:rPr>
            </w:pPr>
            <w:r>
              <w:rPr>
                <w:rFonts w:ascii="宋体" w:hAnsi="宋体" w:eastAsia="宋体" w:cs="宋体"/>
                <w:spacing w:val="-8"/>
                <w:sz w:val="21"/>
                <w:szCs w:val="21"/>
              </w:rPr>
              <w:t>内江市</w:t>
            </w:r>
          </w:p>
        </w:tc>
        <w:tc>
          <w:tcPr>
            <w:tcW w:w="704" w:type="dxa"/>
            <w:vAlign w:val="top"/>
          </w:tcPr>
          <w:p w14:paraId="66C21D54">
            <w:pPr>
              <w:spacing w:before="168" w:line="220" w:lineRule="auto"/>
              <w:ind w:left="49"/>
              <w:rPr>
                <w:rFonts w:ascii="宋体" w:hAnsi="宋体" w:eastAsia="宋体" w:cs="宋体"/>
                <w:sz w:val="21"/>
                <w:szCs w:val="21"/>
              </w:rPr>
            </w:pPr>
            <w:r>
              <w:rPr>
                <w:rFonts w:ascii="宋体" w:hAnsi="宋体" w:eastAsia="宋体" w:cs="宋体"/>
                <w:spacing w:val="-4"/>
                <w:sz w:val="21"/>
                <w:szCs w:val="21"/>
              </w:rPr>
              <w:t>东兴区</w:t>
            </w:r>
          </w:p>
        </w:tc>
        <w:tc>
          <w:tcPr>
            <w:tcW w:w="1272" w:type="dxa"/>
            <w:vAlign w:val="top"/>
          </w:tcPr>
          <w:p w14:paraId="2E4C7624">
            <w:pPr>
              <w:spacing w:before="31" w:line="223" w:lineRule="auto"/>
              <w:ind w:left="434" w:right="2" w:hanging="419"/>
              <w:rPr>
                <w:rFonts w:ascii="宋体" w:hAnsi="宋体" w:eastAsia="宋体" w:cs="宋体"/>
                <w:sz w:val="21"/>
                <w:szCs w:val="21"/>
              </w:rPr>
            </w:pPr>
            <w:r>
              <w:rPr>
                <w:rFonts w:ascii="宋体" w:hAnsi="宋体" w:eastAsia="宋体" w:cs="宋体"/>
                <w:spacing w:val="-2"/>
                <w:sz w:val="21"/>
                <w:szCs w:val="21"/>
              </w:rPr>
              <w:t>大气环境管控</w:t>
            </w:r>
            <w:r>
              <w:rPr>
                <w:rFonts w:ascii="宋体" w:hAnsi="宋体" w:eastAsia="宋体" w:cs="宋体"/>
                <w:spacing w:val="-3"/>
                <w:sz w:val="21"/>
                <w:szCs w:val="21"/>
              </w:rPr>
              <w:t>分区</w:t>
            </w:r>
          </w:p>
        </w:tc>
        <w:tc>
          <w:tcPr>
            <w:tcW w:w="1653" w:type="dxa"/>
            <w:vAlign w:val="top"/>
          </w:tcPr>
          <w:p w14:paraId="2ADC8A3D">
            <w:pPr>
              <w:spacing w:before="31" w:line="223" w:lineRule="auto"/>
              <w:ind w:left="202" w:right="89" w:hanging="103"/>
              <w:rPr>
                <w:rFonts w:ascii="宋体" w:hAnsi="宋体" w:eastAsia="宋体" w:cs="宋体"/>
                <w:sz w:val="21"/>
                <w:szCs w:val="21"/>
              </w:rPr>
            </w:pPr>
            <w:r>
              <w:rPr>
                <w:rFonts w:ascii="宋体" w:hAnsi="宋体" w:eastAsia="宋体" w:cs="宋体"/>
                <w:spacing w:val="-2"/>
                <w:sz w:val="21"/>
                <w:szCs w:val="21"/>
              </w:rPr>
              <w:t>大气环境布局敏感重点管控区</w:t>
            </w:r>
          </w:p>
        </w:tc>
      </w:tr>
      <w:tr w14:paraId="1992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48" w:type="dxa"/>
            <w:vAlign w:val="top"/>
          </w:tcPr>
          <w:p w14:paraId="4CAFD05D">
            <w:pPr>
              <w:pStyle w:val="6"/>
              <w:spacing w:before="206" w:line="188" w:lineRule="auto"/>
              <w:ind w:left="6"/>
            </w:pPr>
            <w:r>
              <w:rPr>
                <w:spacing w:val="-1"/>
              </w:rPr>
              <w:t>YS5110111410002</w:t>
            </w:r>
          </w:p>
        </w:tc>
        <w:tc>
          <w:tcPr>
            <w:tcW w:w="2337" w:type="dxa"/>
            <w:vAlign w:val="top"/>
          </w:tcPr>
          <w:p w14:paraId="1D3FFE36">
            <w:pPr>
              <w:spacing w:before="169" w:line="220" w:lineRule="auto"/>
              <w:ind w:left="130"/>
              <w:rPr>
                <w:rFonts w:ascii="宋体" w:hAnsi="宋体" w:eastAsia="宋体" w:cs="宋体"/>
                <w:sz w:val="21"/>
                <w:szCs w:val="21"/>
              </w:rPr>
            </w:pPr>
            <w:r>
              <w:rPr>
                <w:rFonts w:ascii="宋体" w:hAnsi="宋体" w:eastAsia="宋体" w:cs="宋体"/>
                <w:spacing w:val="-2"/>
                <w:sz w:val="21"/>
                <w:szCs w:val="21"/>
              </w:rPr>
              <w:t>东兴区土壤优先保护区</w:t>
            </w:r>
          </w:p>
        </w:tc>
        <w:tc>
          <w:tcPr>
            <w:tcW w:w="706" w:type="dxa"/>
            <w:vAlign w:val="top"/>
          </w:tcPr>
          <w:p w14:paraId="7CA51B8B">
            <w:pPr>
              <w:spacing w:before="169" w:line="220" w:lineRule="auto"/>
              <w:ind w:left="69"/>
              <w:rPr>
                <w:rFonts w:ascii="宋体" w:hAnsi="宋体" w:eastAsia="宋体" w:cs="宋体"/>
                <w:sz w:val="21"/>
                <w:szCs w:val="21"/>
              </w:rPr>
            </w:pPr>
            <w:r>
              <w:rPr>
                <w:rFonts w:ascii="宋体" w:hAnsi="宋体" w:eastAsia="宋体" w:cs="宋体"/>
                <w:spacing w:val="-8"/>
                <w:sz w:val="21"/>
                <w:szCs w:val="21"/>
              </w:rPr>
              <w:t>内江市</w:t>
            </w:r>
          </w:p>
        </w:tc>
        <w:tc>
          <w:tcPr>
            <w:tcW w:w="704" w:type="dxa"/>
            <w:vAlign w:val="top"/>
          </w:tcPr>
          <w:p w14:paraId="18E582FE">
            <w:pPr>
              <w:spacing w:before="169" w:line="220" w:lineRule="auto"/>
              <w:ind w:left="49"/>
              <w:rPr>
                <w:rFonts w:ascii="宋体" w:hAnsi="宋体" w:eastAsia="宋体" w:cs="宋体"/>
                <w:sz w:val="21"/>
                <w:szCs w:val="21"/>
              </w:rPr>
            </w:pPr>
            <w:r>
              <w:rPr>
                <w:rFonts w:ascii="宋体" w:hAnsi="宋体" w:eastAsia="宋体" w:cs="宋体"/>
                <w:spacing w:val="-4"/>
                <w:sz w:val="21"/>
                <w:szCs w:val="21"/>
              </w:rPr>
              <w:t>东兴区</w:t>
            </w:r>
          </w:p>
        </w:tc>
        <w:tc>
          <w:tcPr>
            <w:tcW w:w="1272" w:type="dxa"/>
            <w:vAlign w:val="top"/>
          </w:tcPr>
          <w:p w14:paraId="4005A307">
            <w:pPr>
              <w:spacing w:before="32" w:line="225" w:lineRule="auto"/>
              <w:ind w:left="227" w:right="2" w:hanging="214"/>
              <w:rPr>
                <w:rFonts w:ascii="宋体" w:hAnsi="宋体" w:eastAsia="宋体" w:cs="宋体"/>
                <w:sz w:val="21"/>
                <w:szCs w:val="21"/>
              </w:rPr>
            </w:pPr>
            <w:r>
              <w:rPr>
                <w:rFonts w:ascii="宋体" w:hAnsi="宋体" w:eastAsia="宋体" w:cs="宋体"/>
                <w:spacing w:val="-2"/>
                <w:sz w:val="21"/>
                <w:szCs w:val="21"/>
              </w:rPr>
              <w:t>土壤污染风险</w:t>
            </w:r>
            <w:r>
              <w:rPr>
                <w:rFonts w:ascii="宋体" w:hAnsi="宋体" w:eastAsia="宋体" w:cs="宋体"/>
                <w:spacing w:val="-3"/>
                <w:sz w:val="21"/>
                <w:szCs w:val="21"/>
              </w:rPr>
              <w:t>管控分区</w:t>
            </w:r>
          </w:p>
        </w:tc>
        <w:tc>
          <w:tcPr>
            <w:tcW w:w="1653" w:type="dxa"/>
            <w:vAlign w:val="top"/>
          </w:tcPr>
          <w:p w14:paraId="719FBD6F">
            <w:pPr>
              <w:spacing w:before="32" w:line="225" w:lineRule="auto"/>
              <w:ind w:left="741" w:right="89" w:hanging="645"/>
              <w:rPr>
                <w:rFonts w:ascii="宋体" w:hAnsi="宋体" w:eastAsia="宋体" w:cs="宋体"/>
                <w:sz w:val="21"/>
                <w:szCs w:val="21"/>
              </w:rPr>
            </w:pPr>
            <w:r>
              <w:rPr>
                <w:rFonts w:ascii="宋体" w:hAnsi="宋体" w:eastAsia="宋体" w:cs="宋体"/>
                <w:spacing w:val="-2"/>
                <w:sz w:val="21"/>
                <w:szCs w:val="21"/>
              </w:rPr>
              <w:t>农用地优先保护</w:t>
            </w:r>
            <w:r>
              <w:rPr>
                <w:rFonts w:ascii="宋体" w:hAnsi="宋体" w:eastAsia="宋体" w:cs="宋体"/>
                <w:sz w:val="21"/>
                <w:szCs w:val="21"/>
              </w:rPr>
              <w:t>区</w:t>
            </w:r>
          </w:p>
        </w:tc>
      </w:tr>
    </w:tbl>
    <w:p w14:paraId="51F92A13">
      <w:pPr>
        <w:spacing w:before="70" w:line="4870" w:lineRule="exact"/>
        <w:ind w:firstLine="50"/>
      </w:pPr>
      <w:r>
        <w:rPr>
          <w:position w:val="-97"/>
        </w:rPr>
        <w:drawing>
          <wp:inline distT="0" distB="0" distL="0" distR="0">
            <wp:extent cx="5285740" cy="309181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43"/>
                    <a:stretch>
                      <a:fillRect/>
                    </a:stretch>
                  </pic:blipFill>
                  <pic:spPr>
                    <a:xfrm>
                      <a:off x="0" y="0"/>
                      <a:ext cx="5285994" cy="3092195"/>
                    </a:xfrm>
                    <a:prstGeom prst="rect">
                      <a:avLst/>
                    </a:prstGeom>
                  </pic:spPr>
                </pic:pic>
              </a:graphicData>
            </a:graphic>
          </wp:inline>
        </w:drawing>
      </w:r>
    </w:p>
    <w:p w14:paraId="0A079B0C">
      <w:pPr>
        <w:spacing w:before="80" w:line="219" w:lineRule="auto"/>
        <w:ind w:left="2173"/>
        <w:rPr>
          <w:rFonts w:ascii="黑体" w:hAnsi="黑体" w:eastAsia="黑体" w:cs="黑体"/>
          <w:sz w:val="21"/>
          <w:szCs w:val="21"/>
        </w:rPr>
      </w:pPr>
      <w:r>
        <w:rPr>
          <w:rFonts w:ascii="黑体" w:hAnsi="黑体" w:eastAsia="黑体" w:cs="黑体"/>
          <w:spacing w:val="-3"/>
          <w:sz w:val="21"/>
          <w:szCs w:val="21"/>
        </w:rPr>
        <w:t>图</w:t>
      </w:r>
      <w:r>
        <w:rPr>
          <w:rFonts w:ascii="Times New Roman" w:hAnsi="Times New Roman" w:eastAsia="Times New Roman" w:cs="Times New Roman"/>
          <w:spacing w:val="-3"/>
          <w:sz w:val="21"/>
          <w:szCs w:val="21"/>
        </w:rPr>
        <w:t xml:space="preserve">1.6-7 </w:t>
      </w:r>
      <w:r>
        <w:rPr>
          <w:rFonts w:ascii="宋体" w:hAnsi="宋体" w:eastAsia="宋体" w:cs="宋体"/>
          <w:spacing w:val="-3"/>
          <w:sz w:val="21"/>
          <w:szCs w:val="21"/>
        </w:rPr>
        <w:t>“</w:t>
      </w:r>
      <w:r>
        <w:rPr>
          <w:rFonts w:ascii="黑体" w:hAnsi="黑体" w:eastAsia="黑体" w:cs="黑体"/>
          <w:spacing w:val="-3"/>
          <w:sz w:val="21"/>
          <w:szCs w:val="21"/>
        </w:rPr>
        <w:t>三线一单</w:t>
      </w:r>
      <w:r>
        <w:rPr>
          <w:rFonts w:ascii="黑体" w:hAnsi="黑体" w:eastAsia="黑体" w:cs="黑体"/>
          <w:spacing w:val="-58"/>
          <w:sz w:val="21"/>
          <w:szCs w:val="21"/>
        </w:rPr>
        <w:t xml:space="preserve"> </w:t>
      </w:r>
      <w:r>
        <w:rPr>
          <w:rFonts w:ascii="宋体" w:hAnsi="宋体" w:eastAsia="宋体" w:cs="宋体"/>
          <w:spacing w:val="-3"/>
          <w:sz w:val="21"/>
          <w:szCs w:val="21"/>
        </w:rPr>
        <w:t>”</w:t>
      </w:r>
      <w:r>
        <w:rPr>
          <w:rFonts w:ascii="黑体" w:hAnsi="黑体" w:eastAsia="黑体" w:cs="黑体"/>
          <w:spacing w:val="-3"/>
          <w:sz w:val="21"/>
          <w:szCs w:val="21"/>
        </w:rPr>
        <w:t>查询系统查询结果截屏</w:t>
      </w:r>
    </w:p>
    <w:p w14:paraId="64E189ED">
      <w:pPr>
        <w:spacing w:before="14" w:line="5276" w:lineRule="exact"/>
        <w:ind w:firstLine="645"/>
      </w:pPr>
      <w:r>
        <w:rPr>
          <w:position w:val="-105"/>
        </w:rPr>
        <w:drawing>
          <wp:inline distT="0" distB="0" distL="0" distR="0">
            <wp:extent cx="4511675" cy="33496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44"/>
                    <a:stretch>
                      <a:fillRect/>
                    </a:stretch>
                  </pic:blipFill>
                  <pic:spPr>
                    <a:xfrm>
                      <a:off x="0" y="0"/>
                      <a:ext cx="4511802" cy="3349752"/>
                    </a:xfrm>
                    <a:prstGeom prst="rect">
                      <a:avLst/>
                    </a:prstGeom>
                  </pic:spPr>
                </pic:pic>
              </a:graphicData>
            </a:graphic>
          </wp:inline>
        </w:drawing>
      </w:r>
    </w:p>
    <w:p w14:paraId="538B7F04">
      <w:pPr>
        <w:spacing w:before="24" w:line="222" w:lineRule="auto"/>
        <w:ind w:left="1936"/>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1.6-8  </w:t>
      </w:r>
      <w:r>
        <w:rPr>
          <w:rFonts w:ascii="黑体" w:hAnsi="黑体" w:eastAsia="黑体" w:cs="黑体"/>
          <w:spacing w:val="-1"/>
          <w:sz w:val="21"/>
          <w:szCs w:val="21"/>
        </w:rPr>
        <w:t>本项目与环境综合管控单元的位置关系图</w:t>
      </w:r>
    </w:p>
    <w:p w14:paraId="4E263FFB">
      <w:pPr>
        <w:spacing w:line="222" w:lineRule="auto"/>
        <w:rPr>
          <w:rFonts w:ascii="黑体" w:hAnsi="黑体" w:eastAsia="黑体" w:cs="黑体"/>
          <w:sz w:val="21"/>
          <w:szCs w:val="21"/>
        </w:rPr>
        <w:sectPr>
          <w:headerReference r:id="rId118" w:type="default"/>
          <w:footerReference r:id="rId119" w:type="default"/>
          <w:pgSz w:w="11905" w:h="16840"/>
          <w:pgMar w:top="1168" w:right="1759" w:bottom="1409" w:left="1770" w:header="828" w:footer="1244" w:gutter="0"/>
          <w:cols w:space="720" w:num="1"/>
        </w:sectPr>
      </w:pPr>
    </w:p>
    <w:p w14:paraId="386F9B9B">
      <w:pPr>
        <w:pStyle w:val="2"/>
        <w:spacing w:line="330" w:lineRule="auto"/>
      </w:pPr>
    </w:p>
    <w:p w14:paraId="653150F0">
      <w:pPr>
        <w:spacing w:before="68" w:line="219" w:lineRule="auto"/>
        <w:ind w:left="1350"/>
        <w:rPr>
          <w:rFonts w:ascii="黑体" w:hAnsi="黑体" w:eastAsia="黑体" w:cs="黑体"/>
          <w:sz w:val="21"/>
          <w:szCs w:val="21"/>
        </w:rPr>
      </w:pPr>
      <w:r>
        <w:rPr>
          <w:rFonts w:ascii="黑体" w:hAnsi="黑体" w:eastAsia="黑体" w:cs="黑体"/>
          <w:spacing w:val="-1"/>
          <w:sz w:val="21"/>
          <w:szCs w:val="21"/>
        </w:rPr>
        <w:t>表1</w:t>
      </w:r>
      <w:r>
        <w:rPr>
          <w:rFonts w:ascii="Times New Roman" w:hAnsi="Times New Roman" w:eastAsia="Times New Roman" w:cs="Times New Roman"/>
          <w:spacing w:val="-1"/>
          <w:sz w:val="21"/>
          <w:szCs w:val="21"/>
        </w:rPr>
        <w:t xml:space="preserve">.6-17  </w:t>
      </w:r>
      <w:r>
        <w:rPr>
          <w:rFonts w:ascii="黑体" w:hAnsi="黑体" w:eastAsia="黑体" w:cs="黑体"/>
          <w:spacing w:val="-1"/>
          <w:sz w:val="21"/>
          <w:szCs w:val="21"/>
        </w:rPr>
        <w:t>本项目与“三线一单”相关要求的符合性分析一览表</w:t>
      </w:r>
    </w:p>
    <w:p w14:paraId="01949082">
      <w:pPr>
        <w:spacing w:line="90" w:lineRule="exact"/>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559"/>
        <w:gridCol w:w="3346"/>
        <w:gridCol w:w="1693"/>
        <w:gridCol w:w="746"/>
      </w:tblGrid>
      <w:tr w14:paraId="16018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5"/>
            <w:vAlign w:val="top"/>
          </w:tcPr>
          <w:p w14:paraId="24AB941D">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1CB73EB7">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73DC0749">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5D7FC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6D09AAE5">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gridSpan w:val="2"/>
            <w:vAlign w:val="top"/>
          </w:tcPr>
          <w:p w14:paraId="314FB30C">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7EF25CD8">
            <w:pPr>
              <w:rPr>
                <w:rFonts w:ascii="Arial"/>
                <w:sz w:val="21"/>
              </w:rPr>
            </w:pPr>
          </w:p>
        </w:tc>
        <w:tc>
          <w:tcPr>
            <w:tcW w:w="746" w:type="dxa"/>
            <w:vMerge w:val="continue"/>
            <w:tcBorders>
              <w:top w:val="nil"/>
            </w:tcBorders>
            <w:vAlign w:val="top"/>
          </w:tcPr>
          <w:p w14:paraId="56C07D88">
            <w:pPr>
              <w:rPr>
                <w:rFonts w:ascii="Arial"/>
                <w:sz w:val="21"/>
              </w:rPr>
            </w:pPr>
          </w:p>
        </w:tc>
      </w:tr>
      <w:tr w14:paraId="425BB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2" w:hRule="atLeast"/>
        </w:trPr>
        <w:tc>
          <w:tcPr>
            <w:tcW w:w="721" w:type="dxa"/>
            <w:vMerge w:val="restart"/>
            <w:tcBorders>
              <w:bottom w:val="nil"/>
            </w:tcBorders>
            <w:vAlign w:val="top"/>
          </w:tcPr>
          <w:p w14:paraId="38CCA38C">
            <w:pPr>
              <w:spacing w:line="250" w:lineRule="auto"/>
              <w:rPr>
                <w:rFonts w:ascii="Arial"/>
                <w:sz w:val="21"/>
              </w:rPr>
            </w:pPr>
          </w:p>
          <w:p w14:paraId="02664F97">
            <w:pPr>
              <w:spacing w:line="250" w:lineRule="auto"/>
              <w:rPr>
                <w:rFonts w:ascii="Arial"/>
                <w:sz w:val="21"/>
              </w:rPr>
            </w:pPr>
          </w:p>
          <w:p w14:paraId="31533FF1">
            <w:pPr>
              <w:spacing w:line="250" w:lineRule="auto"/>
              <w:rPr>
                <w:rFonts w:ascii="Arial"/>
                <w:sz w:val="21"/>
              </w:rPr>
            </w:pPr>
          </w:p>
          <w:p w14:paraId="52925565">
            <w:pPr>
              <w:spacing w:line="250" w:lineRule="auto"/>
              <w:rPr>
                <w:rFonts w:ascii="Arial"/>
                <w:sz w:val="21"/>
              </w:rPr>
            </w:pPr>
          </w:p>
          <w:p w14:paraId="2C3A8580">
            <w:pPr>
              <w:spacing w:line="250" w:lineRule="auto"/>
              <w:rPr>
                <w:rFonts w:ascii="Arial"/>
                <w:sz w:val="21"/>
              </w:rPr>
            </w:pPr>
          </w:p>
          <w:p w14:paraId="34898A7B">
            <w:pPr>
              <w:spacing w:line="250" w:lineRule="auto"/>
              <w:rPr>
                <w:rFonts w:ascii="Arial"/>
                <w:sz w:val="21"/>
              </w:rPr>
            </w:pPr>
          </w:p>
          <w:p w14:paraId="7D2F028A">
            <w:pPr>
              <w:spacing w:line="250" w:lineRule="auto"/>
              <w:rPr>
                <w:rFonts w:ascii="Arial"/>
                <w:sz w:val="21"/>
              </w:rPr>
            </w:pPr>
          </w:p>
          <w:p w14:paraId="7B8F385A">
            <w:pPr>
              <w:spacing w:line="250" w:lineRule="auto"/>
              <w:rPr>
                <w:rFonts w:ascii="Arial"/>
                <w:sz w:val="21"/>
              </w:rPr>
            </w:pPr>
          </w:p>
          <w:p w14:paraId="3B872A5E">
            <w:pPr>
              <w:spacing w:line="250" w:lineRule="auto"/>
              <w:rPr>
                <w:rFonts w:ascii="Arial"/>
                <w:sz w:val="21"/>
              </w:rPr>
            </w:pPr>
          </w:p>
          <w:p w14:paraId="0D809E74">
            <w:pPr>
              <w:spacing w:line="250" w:lineRule="auto"/>
              <w:rPr>
                <w:rFonts w:ascii="Arial"/>
                <w:sz w:val="21"/>
              </w:rPr>
            </w:pPr>
          </w:p>
          <w:p w14:paraId="5ED799BF">
            <w:pPr>
              <w:spacing w:line="250" w:lineRule="auto"/>
              <w:rPr>
                <w:rFonts w:ascii="Arial"/>
                <w:sz w:val="21"/>
              </w:rPr>
            </w:pPr>
          </w:p>
          <w:p w14:paraId="362AFE3D">
            <w:pPr>
              <w:spacing w:line="250" w:lineRule="auto"/>
              <w:rPr>
                <w:rFonts w:ascii="Arial"/>
                <w:sz w:val="21"/>
              </w:rPr>
            </w:pPr>
          </w:p>
          <w:p w14:paraId="18DE190E">
            <w:pPr>
              <w:spacing w:line="250" w:lineRule="auto"/>
              <w:rPr>
                <w:rFonts w:ascii="Arial"/>
                <w:sz w:val="21"/>
              </w:rPr>
            </w:pPr>
          </w:p>
          <w:p w14:paraId="38C79885">
            <w:pPr>
              <w:spacing w:line="251" w:lineRule="auto"/>
              <w:rPr>
                <w:rFonts w:ascii="Arial"/>
                <w:sz w:val="21"/>
              </w:rPr>
            </w:pPr>
          </w:p>
          <w:p w14:paraId="05086C4F">
            <w:pPr>
              <w:spacing w:line="251" w:lineRule="auto"/>
              <w:rPr>
                <w:rFonts w:ascii="Arial"/>
                <w:sz w:val="21"/>
              </w:rPr>
            </w:pPr>
          </w:p>
          <w:p w14:paraId="02096698">
            <w:pPr>
              <w:spacing w:line="251" w:lineRule="auto"/>
              <w:rPr>
                <w:rFonts w:ascii="Arial"/>
                <w:sz w:val="21"/>
              </w:rPr>
            </w:pPr>
          </w:p>
          <w:p w14:paraId="122C864F">
            <w:pPr>
              <w:spacing w:line="251" w:lineRule="auto"/>
              <w:rPr>
                <w:rFonts w:ascii="Arial"/>
                <w:sz w:val="21"/>
              </w:rPr>
            </w:pPr>
          </w:p>
          <w:p w14:paraId="34531ABC">
            <w:pPr>
              <w:spacing w:line="251" w:lineRule="auto"/>
              <w:rPr>
                <w:rFonts w:ascii="Arial"/>
                <w:sz w:val="21"/>
              </w:rPr>
            </w:pPr>
          </w:p>
          <w:p w14:paraId="698A7C43">
            <w:pPr>
              <w:spacing w:line="251" w:lineRule="auto"/>
              <w:rPr>
                <w:rFonts w:ascii="Arial"/>
                <w:sz w:val="21"/>
              </w:rPr>
            </w:pPr>
          </w:p>
          <w:p w14:paraId="6ED1C59E">
            <w:pPr>
              <w:spacing w:line="251" w:lineRule="auto"/>
              <w:rPr>
                <w:rFonts w:ascii="Arial"/>
                <w:sz w:val="21"/>
              </w:rPr>
            </w:pPr>
          </w:p>
          <w:p w14:paraId="527CB4FD">
            <w:pPr>
              <w:spacing w:before="68" w:line="317" w:lineRule="auto"/>
              <w:ind w:left="50" w:right="43" w:firstLine="8"/>
              <w:jc w:val="both"/>
              <w:rPr>
                <w:rFonts w:ascii="宋体" w:hAnsi="宋体" w:eastAsia="宋体" w:cs="宋体"/>
                <w:sz w:val="21"/>
                <w:szCs w:val="21"/>
              </w:rPr>
            </w:pPr>
            <w:r>
              <w:rPr>
                <w:rFonts w:ascii="宋体" w:hAnsi="宋体" w:eastAsia="宋体" w:cs="宋体"/>
                <w:spacing w:val="-6"/>
                <w:sz w:val="21"/>
                <w:szCs w:val="21"/>
              </w:rPr>
              <w:t>东兴区</w:t>
            </w:r>
            <w:r>
              <w:rPr>
                <w:rFonts w:ascii="宋体" w:hAnsi="宋体" w:eastAsia="宋体" w:cs="宋体"/>
                <w:spacing w:val="-3"/>
                <w:sz w:val="21"/>
                <w:szCs w:val="21"/>
              </w:rPr>
              <w:t>区要素重点管控单元</w:t>
            </w:r>
          </w:p>
          <w:p w14:paraId="6ACAE32B">
            <w:pPr>
              <w:pStyle w:val="6"/>
              <w:spacing w:before="29" w:line="188" w:lineRule="auto"/>
              <w:ind w:left="67"/>
            </w:pPr>
            <w:r>
              <w:rPr>
                <w:spacing w:val="-1"/>
              </w:rPr>
              <w:t>ZH511</w:t>
            </w:r>
          </w:p>
          <w:p w14:paraId="3808D514">
            <w:pPr>
              <w:pStyle w:val="6"/>
              <w:spacing w:before="169" w:line="188" w:lineRule="auto"/>
              <w:ind w:left="55"/>
            </w:pPr>
            <w:r>
              <w:rPr>
                <w:spacing w:val="-3"/>
              </w:rPr>
              <w:t>011200</w:t>
            </w:r>
          </w:p>
          <w:p w14:paraId="6EB7C414">
            <w:pPr>
              <w:pStyle w:val="6"/>
              <w:spacing w:before="134" w:line="221" w:lineRule="auto"/>
              <w:ind w:left="129"/>
              <w:rPr>
                <w:rFonts w:ascii="宋体" w:hAnsi="宋体" w:eastAsia="宋体" w:cs="宋体"/>
              </w:rPr>
            </w:pPr>
            <w:r>
              <w:rPr>
                <w:spacing w:val="-3"/>
              </w:rPr>
              <w:t>04</w:t>
            </w:r>
            <w:r>
              <w:rPr>
                <w:spacing w:val="15"/>
              </w:rPr>
              <w:t xml:space="preserve"> </w:t>
            </w:r>
            <w:r>
              <w:rPr>
                <w:rFonts w:ascii="宋体" w:hAnsi="宋体" w:eastAsia="宋体" w:cs="宋体"/>
                <w:spacing w:val="-3"/>
              </w:rPr>
              <w:t>号</w:t>
            </w:r>
          </w:p>
        </w:tc>
        <w:tc>
          <w:tcPr>
            <w:tcW w:w="561" w:type="dxa"/>
            <w:vMerge w:val="restart"/>
            <w:tcBorders>
              <w:bottom w:val="nil"/>
            </w:tcBorders>
            <w:vAlign w:val="top"/>
          </w:tcPr>
          <w:p w14:paraId="300F7CE0">
            <w:pPr>
              <w:spacing w:line="244" w:lineRule="auto"/>
              <w:rPr>
                <w:rFonts w:ascii="Arial"/>
                <w:sz w:val="21"/>
              </w:rPr>
            </w:pPr>
          </w:p>
          <w:p w14:paraId="53214290">
            <w:pPr>
              <w:spacing w:line="244" w:lineRule="auto"/>
              <w:rPr>
                <w:rFonts w:ascii="Arial"/>
                <w:sz w:val="21"/>
              </w:rPr>
            </w:pPr>
          </w:p>
          <w:p w14:paraId="5203DE58">
            <w:pPr>
              <w:spacing w:line="244" w:lineRule="auto"/>
              <w:rPr>
                <w:rFonts w:ascii="Arial"/>
                <w:sz w:val="21"/>
              </w:rPr>
            </w:pPr>
          </w:p>
          <w:p w14:paraId="1CEB21FF">
            <w:pPr>
              <w:spacing w:line="244" w:lineRule="auto"/>
              <w:rPr>
                <w:rFonts w:ascii="Arial"/>
                <w:sz w:val="21"/>
              </w:rPr>
            </w:pPr>
          </w:p>
          <w:p w14:paraId="69D9078B">
            <w:pPr>
              <w:spacing w:line="244" w:lineRule="auto"/>
              <w:rPr>
                <w:rFonts w:ascii="Arial"/>
                <w:sz w:val="21"/>
              </w:rPr>
            </w:pPr>
          </w:p>
          <w:p w14:paraId="791526C9">
            <w:pPr>
              <w:spacing w:line="244" w:lineRule="auto"/>
              <w:rPr>
                <w:rFonts w:ascii="Arial"/>
                <w:sz w:val="21"/>
              </w:rPr>
            </w:pPr>
          </w:p>
          <w:p w14:paraId="62F3AD94">
            <w:pPr>
              <w:spacing w:line="244" w:lineRule="auto"/>
              <w:rPr>
                <w:rFonts w:ascii="Arial"/>
                <w:sz w:val="21"/>
              </w:rPr>
            </w:pPr>
          </w:p>
          <w:p w14:paraId="0B6FAFB1">
            <w:pPr>
              <w:spacing w:line="244" w:lineRule="auto"/>
              <w:rPr>
                <w:rFonts w:ascii="Arial"/>
                <w:sz w:val="21"/>
              </w:rPr>
            </w:pPr>
          </w:p>
          <w:p w14:paraId="75BEBC83">
            <w:pPr>
              <w:spacing w:line="244" w:lineRule="auto"/>
              <w:rPr>
                <w:rFonts w:ascii="Arial"/>
                <w:sz w:val="21"/>
              </w:rPr>
            </w:pPr>
          </w:p>
          <w:p w14:paraId="6563383D">
            <w:pPr>
              <w:spacing w:line="244" w:lineRule="auto"/>
              <w:rPr>
                <w:rFonts w:ascii="Arial"/>
                <w:sz w:val="21"/>
              </w:rPr>
            </w:pPr>
          </w:p>
          <w:p w14:paraId="02F21E2C">
            <w:pPr>
              <w:spacing w:line="244" w:lineRule="auto"/>
              <w:rPr>
                <w:rFonts w:ascii="Arial"/>
                <w:sz w:val="21"/>
              </w:rPr>
            </w:pPr>
          </w:p>
          <w:p w14:paraId="030DE27B">
            <w:pPr>
              <w:spacing w:line="244" w:lineRule="auto"/>
              <w:rPr>
                <w:rFonts w:ascii="Arial"/>
                <w:sz w:val="21"/>
              </w:rPr>
            </w:pPr>
          </w:p>
          <w:p w14:paraId="0B8F3943">
            <w:pPr>
              <w:spacing w:line="244" w:lineRule="auto"/>
              <w:rPr>
                <w:rFonts w:ascii="Arial"/>
                <w:sz w:val="21"/>
              </w:rPr>
            </w:pPr>
          </w:p>
          <w:p w14:paraId="566D35D1">
            <w:pPr>
              <w:spacing w:line="244" w:lineRule="auto"/>
              <w:rPr>
                <w:rFonts w:ascii="Arial"/>
                <w:sz w:val="21"/>
              </w:rPr>
            </w:pPr>
          </w:p>
          <w:p w14:paraId="7F3E76C1">
            <w:pPr>
              <w:spacing w:line="244" w:lineRule="auto"/>
              <w:rPr>
                <w:rFonts w:ascii="Arial"/>
                <w:sz w:val="21"/>
              </w:rPr>
            </w:pPr>
          </w:p>
          <w:p w14:paraId="78502698">
            <w:pPr>
              <w:spacing w:line="244" w:lineRule="auto"/>
              <w:rPr>
                <w:rFonts w:ascii="Arial"/>
                <w:sz w:val="21"/>
              </w:rPr>
            </w:pPr>
          </w:p>
          <w:p w14:paraId="209BBA39">
            <w:pPr>
              <w:spacing w:line="244" w:lineRule="auto"/>
              <w:rPr>
                <w:rFonts w:ascii="Arial"/>
                <w:sz w:val="21"/>
              </w:rPr>
            </w:pPr>
          </w:p>
          <w:p w14:paraId="2AA8C9B1">
            <w:pPr>
              <w:spacing w:line="245" w:lineRule="auto"/>
              <w:rPr>
                <w:rFonts w:ascii="Arial"/>
                <w:sz w:val="21"/>
              </w:rPr>
            </w:pPr>
          </w:p>
          <w:p w14:paraId="7896B59A">
            <w:pPr>
              <w:spacing w:line="245" w:lineRule="auto"/>
              <w:rPr>
                <w:rFonts w:ascii="Arial"/>
                <w:sz w:val="21"/>
              </w:rPr>
            </w:pPr>
          </w:p>
          <w:p w14:paraId="41C70CF8">
            <w:pPr>
              <w:spacing w:line="245" w:lineRule="auto"/>
              <w:rPr>
                <w:rFonts w:ascii="Arial"/>
                <w:sz w:val="21"/>
              </w:rPr>
            </w:pPr>
          </w:p>
          <w:p w14:paraId="2D972F0D">
            <w:pPr>
              <w:spacing w:line="245" w:lineRule="auto"/>
              <w:rPr>
                <w:rFonts w:ascii="Arial"/>
                <w:sz w:val="21"/>
              </w:rPr>
            </w:pPr>
          </w:p>
          <w:p w14:paraId="36111426">
            <w:pPr>
              <w:spacing w:line="245" w:lineRule="auto"/>
              <w:rPr>
                <w:rFonts w:ascii="Arial"/>
                <w:sz w:val="21"/>
              </w:rPr>
            </w:pPr>
          </w:p>
          <w:p w14:paraId="0C78C7D8">
            <w:pPr>
              <w:spacing w:before="68" w:line="313" w:lineRule="auto"/>
              <w:ind w:left="67" w:right="75"/>
              <w:jc w:val="both"/>
              <w:rPr>
                <w:rFonts w:ascii="宋体" w:hAnsi="宋体" w:eastAsia="宋体" w:cs="宋体"/>
                <w:sz w:val="21"/>
                <w:szCs w:val="21"/>
              </w:rPr>
            </w:pPr>
            <w:r>
              <w:rPr>
                <w:rFonts w:ascii="宋体" w:hAnsi="宋体" w:eastAsia="宋体" w:cs="宋体"/>
                <w:spacing w:val="-4"/>
                <w:sz w:val="21"/>
                <w:szCs w:val="21"/>
              </w:rPr>
              <w:t>普适性清单管控要</w:t>
            </w:r>
            <w:r>
              <w:rPr>
                <w:rFonts w:ascii="宋体" w:hAnsi="宋体" w:eastAsia="宋体" w:cs="宋体"/>
                <w:spacing w:val="39"/>
                <w:w w:val="128"/>
                <w:sz w:val="21"/>
                <w:szCs w:val="21"/>
              </w:rPr>
              <w:t>求</w:t>
            </w:r>
          </w:p>
        </w:tc>
        <w:tc>
          <w:tcPr>
            <w:tcW w:w="700" w:type="dxa"/>
            <w:vMerge w:val="restart"/>
            <w:tcBorders>
              <w:bottom w:val="nil"/>
            </w:tcBorders>
            <w:vAlign w:val="top"/>
          </w:tcPr>
          <w:p w14:paraId="3D465FC9">
            <w:pPr>
              <w:spacing w:line="245" w:lineRule="auto"/>
              <w:rPr>
                <w:rFonts w:ascii="Arial"/>
                <w:sz w:val="21"/>
              </w:rPr>
            </w:pPr>
          </w:p>
          <w:p w14:paraId="77B96979">
            <w:pPr>
              <w:spacing w:line="245" w:lineRule="auto"/>
              <w:rPr>
                <w:rFonts w:ascii="Arial"/>
                <w:sz w:val="21"/>
              </w:rPr>
            </w:pPr>
          </w:p>
          <w:p w14:paraId="027BEBA7">
            <w:pPr>
              <w:spacing w:line="245" w:lineRule="auto"/>
              <w:rPr>
                <w:rFonts w:ascii="Arial"/>
                <w:sz w:val="21"/>
              </w:rPr>
            </w:pPr>
          </w:p>
          <w:p w14:paraId="3A87AE63">
            <w:pPr>
              <w:spacing w:line="246" w:lineRule="auto"/>
              <w:rPr>
                <w:rFonts w:ascii="Arial"/>
                <w:sz w:val="21"/>
              </w:rPr>
            </w:pPr>
          </w:p>
          <w:p w14:paraId="652711E7">
            <w:pPr>
              <w:spacing w:line="246" w:lineRule="auto"/>
              <w:rPr>
                <w:rFonts w:ascii="Arial"/>
                <w:sz w:val="21"/>
              </w:rPr>
            </w:pPr>
          </w:p>
          <w:p w14:paraId="129E45A1">
            <w:pPr>
              <w:spacing w:line="246" w:lineRule="auto"/>
              <w:rPr>
                <w:rFonts w:ascii="Arial"/>
                <w:sz w:val="21"/>
              </w:rPr>
            </w:pPr>
          </w:p>
          <w:p w14:paraId="549815E6">
            <w:pPr>
              <w:spacing w:line="246" w:lineRule="auto"/>
              <w:rPr>
                <w:rFonts w:ascii="Arial"/>
                <w:sz w:val="21"/>
              </w:rPr>
            </w:pPr>
          </w:p>
          <w:p w14:paraId="1FFF73FD">
            <w:pPr>
              <w:spacing w:line="246" w:lineRule="auto"/>
              <w:rPr>
                <w:rFonts w:ascii="Arial"/>
                <w:sz w:val="21"/>
              </w:rPr>
            </w:pPr>
          </w:p>
          <w:p w14:paraId="3CDF5489">
            <w:pPr>
              <w:spacing w:line="246" w:lineRule="auto"/>
              <w:rPr>
                <w:rFonts w:ascii="Arial"/>
                <w:sz w:val="21"/>
              </w:rPr>
            </w:pPr>
          </w:p>
          <w:p w14:paraId="2C31E5C5">
            <w:pPr>
              <w:spacing w:line="246" w:lineRule="auto"/>
              <w:rPr>
                <w:rFonts w:ascii="Arial"/>
                <w:sz w:val="21"/>
              </w:rPr>
            </w:pPr>
          </w:p>
          <w:p w14:paraId="45220DA1">
            <w:pPr>
              <w:spacing w:line="246" w:lineRule="auto"/>
              <w:rPr>
                <w:rFonts w:ascii="Arial"/>
                <w:sz w:val="21"/>
              </w:rPr>
            </w:pPr>
          </w:p>
          <w:p w14:paraId="648C2A38">
            <w:pPr>
              <w:spacing w:line="246" w:lineRule="auto"/>
              <w:rPr>
                <w:rFonts w:ascii="Arial"/>
                <w:sz w:val="21"/>
              </w:rPr>
            </w:pPr>
          </w:p>
          <w:p w14:paraId="471D8448">
            <w:pPr>
              <w:spacing w:line="246" w:lineRule="auto"/>
              <w:rPr>
                <w:rFonts w:ascii="Arial"/>
                <w:sz w:val="21"/>
              </w:rPr>
            </w:pPr>
          </w:p>
          <w:p w14:paraId="4CF1874B">
            <w:pPr>
              <w:spacing w:line="246" w:lineRule="auto"/>
              <w:rPr>
                <w:rFonts w:ascii="Arial"/>
                <w:sz w:val="21"/>
              </w:rPr>
            </w:pPr>
          </w:p>
          <w:p w14:paraId="45F84305">
            <w:pPr>
              <w:spacing w:line="246" w:lineRule="auto"/>
              <w:rPr>
                <w:rFonts w:ascii="Arial"/>
                <w:sz w:val="21"/>
              </w:rPr>
            </w:pPr>
          </w:p>
          <w:p w14:paraId="03FE40EE">
            <w:pPr>
              <w:spacing w:line="246" w:lineRule="auto"/>
              <w:rPr>
                <w:rFonts w:ascii="Arial"/>
                <w:sz w:val="21"/>
              </w:rPr>
            </w:pPr>
          </w:p>
          <w:p w14:paraId="04052F17">
            <w:pPr>
              <w:spacing w:line="246" w:lineRule="auto"/>
              <w:rPr>
                <w:rFonts w:ascii="Arial"/>
                <w:sz w:val="21"/>
              </w:rPr>
            </w:pPr>
          </w:p>
          <w:p w14:paraId="56338EB3">
            <w:pPr>
              <w:spacing w:line="246" w:lineRule="auto"/>
              <w:rPr>
                <w:rFonts w:ascii="Arial"/>
                <w:sz w:val="21"/>
              </w:rPr>
            </w:pPr>
          </w:p>
          <w:p w14:paraId="1AED02BF">
            <w:pPr>
              <w:spacing w:line="246" w:lineRule="auto"/>
              <w:rPr>
                <w:rFonts w:ascii="Arial"/>
                <w:sz w:val="21"/>
              </w:rPr>
            </w:pPr>
          </w:p>
          <w:p w14:paraId="217AA91B">
            <w:pPr>
              <w:spacing w:line="246" w:lineRule="auto"/>
              <w:rPr>
                <w:rFonts w:ascii="Arial"/>
                <w:sz w:val="21"/>
              </w:rPr>
            </w:pPr>
          </w:p>
          <w:p w14:paraId="0C210C78">
            <w:pPr>
              <w:spacing w:line="246" w:lineRule="auto"/>
              <w:rPr>
                <w:rFonts w:ascii="Arial"/>
                <w:sz w:val="21"/>
              </w:rPr>
            </w:pPr>
          </w:p>
          <w:p w14:paraId="3207BB3D">
            <w:pPr>
              <w:spacing w:line="246" w:lineRule="auto"/>
              <w:rPr>
                <w:rFonts w:ascii="Arial"/>
                <w:sz w:val="21"/>
              </w:rPr>
            </w:pPr>
          </w:p>
          <w:p w14:paraId="6F023C58">
            <w:pPr>
              <w:spacing w:line="246" w:lineRule="auto"/>
              <w:rPr>
                <w:rFonts w:ascii="Arial"/>
                <w:sz w:val="21"/>
              </w:rPr>
            </w:pPr>
          </w:p>
          <w:p w14:paraId="2AC40E78">
            <w:pPr>
              <w:spacing w:line="246" w:lineRule="auto"/>
              <w:rPr>
                <w:rFonts w:ascii="Arial"/>
                <w:sz w:val="21"/>
              </w:rPr>
            </w:pPr>
          </w:p>
          <w:p w14:paraId="268A1C44">
            <w:pPr>
              <w:spacing w:before="69" w:line="314" w:lineRule="auto"/>
              <w:ind w:left="35" w:right="40" w:firstLine="3"/>
              <w:rPr>
                <w:rFonts w:ascii="宋体" w:hAnsi="宋体" w:eastAsia="宋体" w:cs="宋体"/>
                <w:sz w:val="21"/>
                <w:szCs w:val="21"/>
              </w:rPr>
            </w:pPr>
            <w:r>
              <w:rPr>
                <w:rFonts w:ascii="宋体" w:hAnsi="宋体" w:eastAsia="宋体" w:cs="宋体"/>
                <w:spacing w:val="-5"/>
                <w:sz w:val="21"/>
                <w:szCs w:val="21"/>
              </w:rPr>
              <w:t>空间布</w:t>
            </w:r>
            <w:r>
              <w:rPr>
                <w:rFonts w:ascii="宋体" w:hAnsi="宋体" w:eastAsia="宋体" w:cs="宋体"/>
                <w:spacing w:val="-4"/>
                <w:sz w:val="21"/>
                <w:szCs w:val="21"/>
              </w:rPr>
              <w:t>局约束</w:t>
            </w:r>
          </w:p>
        </w:tc>
        <w:tc>
          <w:tcPr>
            <w:tcW w:w="559" w:type="dxa"/>
            <w:vAlign w:val="top"/>
          </w:tcPr>
          <w:p w14:paraId="625CA15C">
            <w:pPr>
              <w:spacing w:line="245" w:lineRule="auto"/>
              <w:rPr>
                <w:rFonts w:ascii="Arial"/>
                <w:sz w:val="21"/>
              </w:rPr>
            </w:pPr>
          </w:p>
          <w:p w14:paraId="43D41089">
            <w:pPr>
              <w:spacing w:line="245" w:lineRule="auto"/>
              <w:rPr>
                <w:rFonts w:ascii="Arial"/>
                <w:sz w:val="21"/>
              </w:rPr>
            </w:pPr>
          </w:p>
          <w:p w14:paraId="7CE6B319">
            <w:pPr>
              <w:spacing w:line="245" w:lineRule="auto"/>
              <w:rPr>
                <w:rFonts w:ascii="Arial"/>
                <w:sz w:val="21"/>
              </w:rPr>
            </w:pPr>
          </w:p>
          <w:p w14:paraId="11A18D68">
            <w:pPr>
              <w:spacing w:line="245" w:lineRule="auto"/>
              <w:rPr>
                <w:rFonts w:ascii="Arial"/>
                <w:sz w:val="21"/>
              </w:rPr>
            </w:pPr>
          </w:p>
          <w:p w14:paraId="0BA817AD">
            <w:pPr>
              <w:spacing w:line="245" w:lineRule="auto"/>
              <w:rPr>
                <w:rFonts w:ascii="Arial"/>
                <w:sz w:val="21"/>
              </w:rPr>
            </w:pPr>
          </w:p>
          <w:p w14:paraId="04BDF5C8">
            <w:pPr>
              <w:spacing w:line="245" w:lineRule="auto"/>
              <w:rPr>
                <w:rFonts w:ascii="Arial"/>
                <w:sz w:val="21"/>
              </w:rPr>
            </w:pPr>
          </w:p>
          <w:p w14:paraId="38BFAC11">
            <w:pPr>
              <w:spacing w:line="245" w:lineRule="auto"/>
              <w:rPr>
                <w:rFonts w:ascii="Arial"/>
                <w:sz w:val="21"/>
              </w:rPr>
            </w:pPr>
          </w:p>
          <w:p w14:paraId="1D97F437">
            <w:pPr>
              <w:spacing w:line="245" w:lineRule="auto"/>
              <w:rPr>
                <w:rFonts w:ascii="Arial"/>
                <w:sz w:val="21"/>
              </w:rPr>
            </w:pPr>
          </w:p>
          <w:p w14:paraId="4F7A5FDE">
            <w:pPr>
              <w:spacing w:line="245" w:lineRule="auto"/>
              <w:rPr>
                <w:rFonts w:ascii="Arial"/>
                <w:sz w:val="21"/>
              </w:rPr>
            </w:pPr>
          </w:p>
          <w:p w14:paraId="5DBEBE36">
            <w:pPr>
              <w:spacing w:line="245" w:lineRule="auto"/>
              <w:rPr>
                <w:rFonts w:ascii="Arial"/>
                <w:sz w:val="21"/>
              </w:rPr>
            </w:pPr>
          </w:p>
          <w:p w14:paraId="420823C7">
            <w:pPr>
              <w:spacing w:line="245" w:lineRule="auto"/>
              <w:rPr>
                <w:rFonts w:ascii="Arial"/>
                <w:sz w:val="21"/>
              </w:rPr>
            </w:pPr>
          </w:p>
          <w:p w14:paraId="489909A7">
            <w:pPr>
              <w:spacing w:before="68" w:line="313" w:lineRule="auto"/>
              <w:ind w:left="69" w:right="72"/>
              <w:jc w:val="both"/>
              <w:rPr>
                <w:rFonts w:ascii="宋体" w:hAnsi="宋体" w:eastAsia="宋体" w:cs="宋体"/>
                <w:sz w:val="21"/>
                <w:szCs w:val="21"/>
              </w:rPr>
            </w:pPr>
            <w:r>
              <w:rPr>
                <w:rFonts w:ascii="宋体" w:hAnsi="宋体" w:eastAsia="宋体" w:cs="宋体"/>
                <w:spacing w:val="-5"/>
                <w:sz w:val="21"/>
                <w:szCs w:val="21"/>
              </w:rPr>
              <w:t>禁止开发建设活动的要</w:t>
            </w:r>
            <w:r>
              <w:rPr>
                <w:rFonts w:ascii="宋体" w:hAnsi="宋体" w:eastAsia="宋体" w:cs="宋体"/>
                <w:spacing w:val="38"/>
                <w:w w:val="127"/>
                <w:sz w:val="21"/>
                <w:szCs w:val="21"/>
              </w:rPr>
              <w:t>求</w:t>
            </w:r>
          </w:p>
        </w:tc>
        <w:tc>
          <w:tcPr>
            <w:tcW w:w="3346" w:type="dxa"/>
            <w:vAlign w:val="top"/>
          </w:tcPr>
          <w:p w14:paraId="2782DF08">
            <w:pPr>
              <w:pStyle w:val="6"/>
              <w:spacing w:before="81" w:line="315" w:lineRule="auto"/>
              <w:ind w:left="5" w:right="8" w:firstLine="4"/>
              <w:rPr>
                <w:rFonts w:ascii="宋体" w:hAnsi="宋体" w:eastAsia="宋体" w:cs="宋体"/>
              </w:rPr>
            </w:pPr>
            <w:r>
              <w:rPr>
                <w:rFonts w:ascii="宋体" w:hAnsi="宋体" w:eastAsia="宋体" w:cs="宋体"/>
                <w:spacing w:val="-4"/>
              </w:rPr>
              <w:t xml:space="preserve">（1）禁止在长江干支流 </w:t>
            </w:r>
            <w:r>
              <w:rPr>
                <w:spacing w:val="-4"/>
              </w:rPr>
              <w:t>1km</w:t>
            </w:r>
            <w:r>
              <w:rPr>
                <w:spacing w:val="27"/>
              </w:rPr>
              <w:t xml:space="preserve"> </w:t>
            </w:r>
            <w:r>
              <w:rPr>
                <w:rFonts w:ascii="宋体" w:hAnsi="宋体" w:eastAsia="宋体" w:cs="宋体"/>
                <w:spacing w:val="-4"/>
              </w:rPr>
              <w:t>范围内</w:t>
            </w:r>
            <w:r>
              <w:rPr>
                <w:rFonts w:ascii="宋体" w:hAnsi="宋体" w:eastAsia="宋体" w:cs="宋体"/>
                <w:spacing w:val="-3"/>
              </w:rPr>
              <w:t>新建、扩建化工园区和化工项目。</w:t>
            </w:r>
          </w:p>
          <w:p w14:paraId="68C3F6A8">
            <w:pPr>
              <w:pStyle w:val="6"/>
              <w:spacing w:before="1" w:line="315" w:lineRule="auto"/>
              <w:ind w:left="3" w:right="5" w:firstLine="7"/>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）禁止在合规园区外新建、扩建</w:t>
            </w:r>
            <w:r>
              <w:rPr>
                <w:rFonts w:ascii="宋体" w:hAnsi="宋体" w:eastAsia="宋体" w:cs="宋体"/>
                <w:spacing w:val="-2"/>
              </w:rPr>
              <w:t>钢铁、石化、化工、焦化、建材、有</w:t>
            </w:r>
            <w:r>
              <w:rPr>
                <w:rFonts w:ascii="宋体" w:hAnsi="宋体" w:eastAsia="宋体" w:cs="宋体"/>
                <w:spacing w:val="-5"/>
              </w:rPr>
              <w:t>色等高污染项目。</w:t>
            </w:r>
          </w:p>
          <w:p w14:paraId="37DAA5AE">
            <w:pPr>
              <w:pStyle w:val="6"/>
              <w:spacing w:before="1" w:line="315" w:lineRule="auto"/>
              <w:ind w:left="8" w:right="6" w:firstLine="2"/>
              <w:rPr>
                <w:rFonts w:ascii="宋体" w:hAnsi="宋体" w:eastAsia="宋体" w:cs="宋体"/>
              </w:rPr>
            </w:pPr>
            <w:r>
              <w:rPr>
                <w:rFonts w:ascii="宋体" w:hAnsi="宋体" w:eastAsia="宋体" w:cs="宋体"/>
                <w:spacing w:val="4"/>
              </w:rPr>
              <w:t>（</w:t>
            </w:r>
            <w:r>
              <w:rPr>
                <w:spacing w:val="4"/>
              </w:rPr>
              <w:t>3</w:t>
            </w:r>
            <w:r>
              <w:rPr>
                <w:rFonts w:ascii="宋体" w:hAnsi="宋体" w:eastAsia="宋体" w:cs="宋体"/>
                <w:spacing w:val="4"/>
              </w:rPr>
              <w:t>）禁止建设不符合全国和省级港</w:t>
            </w:r>
            <w:r>
              <w:rPr>
                <w:rFonts w:ascii="宋体" w:hAnsi="宋体" w:eastAsia="宋体" w:cs="宋体"/>
                <w:spacing w:val="11"/>
              </w:rPr>
              <w:t>口布局规划以及港口总体规划的码</w:t>
            </w:r>
            <w:r>
              <w:rPr>
                <w:rFonts w:ascii="宋体" w:hAnsi="宋体" w:eastAsia="宋体" w:cs="宋体"/>
                <w:spacing w:val="-8"/>
              </w:rPr>
              <w:t>头项目。</w:t>
            </w:r>
          </w:p>
          <w:p w14:paraId="3E6DC46A">
            <w:pPr>
              <w:pStyle w:val="6"/>
              <w:spacing w:before="1" w:line="315" w:lineRule="auto"/>
              <w:ind w:left="6" w:firstLine="3"/>
              <w:rPr>
                <w:rFonts w:ascii="宋体" w:hAnsi="宋体" w:eastAsia="宋体" w:cs="宋体"/>
              </w:rPr>
            </w:pPr>
            <w:r>
              <w:rPr>
                <w:rFonts w:ascii="宋体" w:hAnsi="宋体" w:eastAsia="宋体" w:cs="宋体"/>
                <w:spacing w:val="-8"/>
              </w:rPr>
              <w:t>（</w:t>
            </w:r>
            <w:r>
              <w:rPr>
                <w:spacing w:val="-8"/>
              </w:rPr>
              <w:t>4</w:t>
            </w:r>
            <w:r>
              <w:rPr>
                <w:rFonts w:ascii="宋体" w:hAnsi="宋体" w:eastAsia="宋体" w:cs="宋体"/>
                <w:spacing w:val="-8"/>
              </w:rPr>
              <w:t>）永久基本农田，实行严格保护，</w:t>
            </w:r>
            <w:r>
              <w:rPr>
                <w:rFonts w:ascii="宋体" w:hAnsi="宋体" w:eastAsia="宋体" w:cs="宋体"/>
                <w:spacing w:val="8"/>
              </w:rPr>
              <w:t>除法律规定的重点建设项目选址确</w:t>
            </w:r>
            <w:r>
              <w:rPr>
                <w:rFonts w:ascii="宋体" w:hAnsi="宋体" w:eastAsia="宋体" w:cs="宋体"/>
                <w:spacing w:val="-6"/>
              </w:rPr>
              <w:t>实无法避让外，其他任何建设不得占</w:t>
            </w:r>
            <w:r>
              <w:rPr>
                <w:rFonts w:ascii="宋体" w:hAnsi="宋体" w:eastAsia="宋体" w:cs="宋体"/>
                <w:spacing w:val="-12"/>
              </w:rPr>
              <w:t>用。</w:t>
            </w:r>
          </w:p>
          <w:p w14:paraId="5DFD9920">
            <w:pPr>
              <w:pStyle w:val="6"/>
              <w:spacing w:before="1" w:line="315" w:lineRule="auto"/>
              <w:ind w:left="5" w:right="5" w:firstLine="4"/>
              <w:rPr>
                <w:rFonts w:ascii="宋体" w:hAnsi="宋体" w:eastAsia="宋体" w:cs="宋体"/>
              </w:rPr>
            </w:pPr>
            <w:r>
              <w:rPr>
                <w:rFonts w:ascii="宋体" w:hAnsi="宋体" w:eastAsia="宋体" w:cs="宋体"/>
                <w:spacing w:val="4"/>
              </w:rPr>
              <w:t>（</w:t>
            </w:r>
            <w:r>
              <w:rPr>
                <w:spacing w:val="4"/>
              </w:rPr>
              <w:t>5</w:t>
            </w:r>
            <w:r>
              <w:rPr>
                <w:rFonts w:ascii="宋体" w:hAnsi="宋体" w:eastAsia="宋体" w:cs="宋体"/>
                <w:spacing w:val="4"/>
              </w:rPr>
              <w:t>）禁止在法律法规规定的禁采区</w:t>
            </w:r>
            <w:r>
              <w:rPr>
                <w:rFonts w:ascii="宋体" w:hAnsi="宋体" w:eastAsia="宋体" w:cs="宋体"/>
                <w:spacing w:val="-2"/>
              </w:rPr>
              <w:t>内开采矿产；禁止土法采、选、冶严</w:t>
            </w:r>
            <w:r>
              <w:rPr>
                <w:rFonts w:ascii="宋体" w:hAnsi="宋体" w:eastAsia="宋体" w:cs="宋体"/>
                <w:spacing w:val="-4"/>
              </w:rPr>
              <w:t>重污染环境的矿产资源。</w:t>
            </w:r>
          </w:p>
          <w:p w14:paraId="6345BFD4">
            <w:pPr>
              <w:pStyle w:val="6"/>
              <w:spacing w:before="1" w:line="315" w:lineRule="auto"/>
              <w:ind w:left="5" w:firstLine="5"/>
              <w:rPr>
                <w:rFonts w:ascii="宋体" w:hAnsi="宋体" w:eastAsia="宋体" w:cs="宋体"/>
              </w:rPr>
            </w:pPr>
            <w:r>
              <w:rPr>
                <w:rFonts w:ascii="宋体" w:hAnsi="宋体" w:eastAsia="宋体" w:cs="宋体"/>
                <w:spacing w:val="1"/>
              </w:rPr>
              <w:t>（</w:t>
            </w:r>
            <w:r>
              <w:rPr>
                <w:spacing w:val="1"/>
              </w:rPr>
              <w:t>6</w:t>
            </w:r>
            <w:r>
              <w:rPr>
                <w:rFonts w:ascii="宋体" w:hAnsi="宋体" w:eastAsia="宋体" w:cs="宋体"/>
                <w:spacing w:val="1"/>
              </w:rPr>
              <w:t>）畜禽养殖严格按照内江市各县</w:t>
            </w:r>
            <w:r>
              <w:rPr>
                <w:spacing w:val="-10"/>
              </w:rPr>
              <w:t>(</w:t>
            </w:r>
            <w:r>
              <w:rPr>
                <w:rFonts w:ascii="宋体" w:hAnsi="宋体" w:eastAsia="宋体" w:cs="宋体"/>
                <w:spacing w:val="-10"/>
              </w:rPr>
              <w:t>市、区</w:t>
            </w:r>
            <w:r>
              <w:rPr>
                <w:spacing w:val="-10"/>
              </w:rPr>
              <w:t>)</w:t>
            </w:r>
            <w:r>
              <w:rPr>
                <w:rFonts w:ascii="宋体" w:hAnsi="宋体" w:eastAsia="宋体" w:cs="宋体"/>
                <w:spacing w:val="-10"/>
              </w:rPr>
              <w:t>畜禽养殖区域划定方案执行，</w:t>
            </w:r>
            <w:r>
              <w:rPr>
                <w:rFonts w:ascii="宋体" w:hAnsi="宋体" w:eastAsia="宋体" w:cs="宋体"/>
                <w:spacing w:val="8"/>
              </w:rPr>
              <w:t>依法关闭或搬迁禁养区内的畜禽养</w:t>
            </w:r>
            <w:r>
              <w:rPr>
                <w:rFonts w:ascii="宋体" w:hAnsi="宋体" w:eastAsia="宋体" w:cs="宋体"/>
                <w:spacing w:val="-6"/>
              </w:rPr>
              <w:t>殖场（小区）和养殖专业户。</w:t>
            </w:r>
          </w:p>
          <w:p w14:paraId="73B45B32">
            <w:pPr>
              <w:pStyle w:val="6"/>
              <w:spacing w:before="1" w:line="279" w:lineRule="auto"/>
              <w:ind w:left="27" w:right="52" w:hanging="17"/>
              <w:rPr>
                <w:rFonts w:ascii="宋体" w:hAnsi="宋体" w:eastAsia="宋体" w:cs="宋体"/>
              </w:rPr>
            </w:pPr>
            <w:r>
              <w:rPr>
                <w:rFonts w:ascii="宋体" w:hAnsi="宋体" w:eastAsia="宋体" w:cs="宋体"/>
                <w:spacing w:val="1"/>
              </w:rPr>
              <w:t>（</w:t>
            </w:r>
            <w:r>
              <w:rPr>
                <w:spacing w:val="1"/>
              </w:rPr>
              <w:t>7</w:t>
            </w:r>
            <w:r>
              <w:rPr>
                <w:rFonts w:ascii="宋体" w:hAnsi="宋体" w:eastAsia="宋体" w:cs="宋体"/>
                <w:spacing w:val="1"/>
              </w:rPr>
              <w:t>）全面停止小型水电项目开发，</w:t>
            </w:r>
            <w:r>
              <w:rPr>
                <w:rFonts w:ascii="宋体" w:hAnsi="宋体" w:eastAsia="宋体" w:cs="宋体"/>
                <w:spacing w:val="-4"/>
              </w:rPr>
              <w:t>已建成的中小型水电站不再扩容。</w:t>
            </w:r>
          </w:p>
        </w:tc>
        <w:tc>
          <w:tcPr>
            <w:tcW w:w="1693" w:type="dxa"/>
            <w:vAlign w:val="top"/>
          </w:tcPr>
          <w:p w14:paraId="6AC9FA8C">
            <w:pPr>
              <w:spacing w:line="260" w:lineRule="auto"/>
              <w:rPr>
                <w:rFonts w:ascii="Arial"/>
                <w:sz w:val="21"/>
              </w:rPr>
            </w:pPr>
          </w:p>
          <w:p w14:paraId="1C8C533D">
            <w:pPr>
              <w:spacing w:line="260" w:lineRule="auto"/>
              <w:rPr>
                <w:rFonts w:ascii="Arial"/>
                <w:sz w:val="21"/>
              </w:rPr>
            </w:pPr>
          </w:p>
          <w:p w14:paraId="5E5644A9">
            <w:pPr>
              <w:spacing w:line="260" w:lineRule="auto"/>
              <w:rPr>
                <w:rFonts w:ascii="Arial"/>
                <w:sz w:val="21"/>
              </w:rPr>
            </w:pPr>
          </w:p>
          <w:p w14:paraId="6E33BB72">
            <w:pPr>
              <w:spacing w:line="261" w:lineRule="auto"/>
              <w:rPr>
                <w:rFonts w:ascii="Arial"/>
                <w:sz w:val="21"/>
              </w:rPr>
            </w:pPr>
          </w:p>
          <w:p w14:paraId="548E2216">
            <w:pPr>
              <w:spacing w:line="261" w:lineRule="auto"/>
              <w:rPr>
                <w:rFonts w:ascii="Arial"/>
                <w:sz w:val="21"/>
              </w:rPr>
            </w:pPr>
          </w:p>
          <w:p w14:paraId="606F1090">
            <w:pPr>
              <w:spacing w:line="261" w:lineRule="auto"/>
              <w:rPr>
                <w:rFonts w:ascii="Arial"/>
                <w:sz w:val="21"/>
              </w:rPr>
            </w:pPr>
          </w:p>
          <w:p w14:paraId="2A9C728C">
            <w:pPr>
              <w:spacing w:line="261" w:lineRule="auto"/>
              <w:rPr>
                <w:rFonts w:ascii="Arial"/>
                <w:sz w:val="21"/>
              </w:rPr>
            </w:pPr>
          </w:p>
          <w:p w14:paraId="50BA5AA3">
            <w:pPr>
              <w:spacing w:line="261" w:lineRule="auto"/>
              <w:rPr>
                <w:rFonts w:ascii="Arial"/>
                <w:sz w:val="21"/>
              </w:rPr>
            </w:pPr>
          </w:p>
          <w:p w14:paraId="3C3D5C7A">
            <w:pPr>
              <w:spacing w:line="261" w:lineRule="auto"/>
              <w:rPr>
                <w:rFonts w:ascii="Arial"/>
                <w:sz w:val="21"/>
              </w:rPr>
            </w:pPr>
          </w:p>
          <w:p w14:paraId="205EE4F4">
            <w:pPr>
              <w:pStyle w:val="6"/>
              <w:spacing w:before="68" w:line="312" w:lineRule="auto"/>
              <w:ind w:left="6" w:right="9" w:firstLine="1"/>
              <w:jc w:val="both"/>
              <w:rPr>
                <w:rFonts w:ascii="宋体" w:hAnsi="宋体" w:eastAsia="宋体" w:cs="宋体"/>
              </w:rPr>
            </w:pPr>
            <w:r>
              <w:rPr>
                <w:rFonts w:ascii="宋体" w:hAnsi="宋体" w:eastAsia="宋体" w:cs="宋体"/>
                <w:spacing w:val="-2"/>
              </w:rPr>
              <w:t>本项目位于内江市</w:t>
            </w:r>
            <w:r>
              <w:rPr>
                <w:rFonts w:ascii="宋体" w:hAnsi="宋体" w:eastAsia="宋体" w:cs="宋体"/>
                <w:spacing w:val="-1"/>
              </w:rPr>
              <w:t>东兴区白合镇喻家</w:t>
            </w:r>
            <w:r>
              <w:rPr>
                <w:rFonts w:ascii="宋体" w:hAnsi="宋体" w:eastAsia="宋体" w:cs="宋体"/>
                <w:spacing w:val="-4"/>
              </w:rPr>
              <w:t>沟村</w:t>
            </w:r>
            <w:r>
              <w:rPr>
                <w:rFonts w:ascii="宋体" w:hAnsi="宋体" w:eastAsia="宋体" w:cs="宋体"/>
                <w:spacing w:val="-44"/>
              </w:rPr>
              <w:t xml:space="preserve"> </w:t>
            </w:r>
            <w:r>
              <w:rPr>
                <w:spacing w:val="-4"/>
              </w:rPr>
              <w:t>9</w:t>
            </w:r>
            <w:r>
              <w:rPr>
                <w:spacing w:val="-30"/>
              </w:rPr>
              <w:t xml:space="preserve"> </w:t>
            </w:r>
            <w:r>
              <w:rPr>
                <w:rFonts w:ascii="宋体" w:hAnsi="宋体" w:eastAsia="宋体" w:cs="宋体"/>
                <w:spacing w:val="-4"/>
              </w:rPr>
              <w:t>、</w:t>
            </w:r>
            <w:r>
              <w:rPr>
                <w:spacing w:val="-4"/>
              </w:rPr>
              <w:t xml:space="preserve">12 </w:t>
            </w:r>
            <w:r>
              <w:rPr>
                <w:rFonts w:ascii="宋体" w:hAnsi="宋体" w:eastAsia="宋体" w:cs="宋体"/>
                <w:spacing w:val="-4"/>
              </w:rPr>
              <w:t>组，属</w:t>
            </w:r>
            <w:r>
              <w:rPr>
                <w:rFonts w:ascii="宋体" w:hAnsi="宋体" w:eastAsia="宋体" w:cs="宋体"/>
                <w:spacing w:val="-1"/>
              </w:rPr>
              <w:t>于生猪养殖项目，不在东兴区禁养区范围内，不属于清单中列出的禁止引</w:t>
            </w:r>
            <w:r>
              <w:rPr>
                <w:rFonts w:ascii="宋体" w:hAnsi="宋体" w:eastAsia="宋体" w:cs="宋体"/>
                <w:spacing w:val="-8"/>
              </w:rPr>
              <w:t>入产业。</w:t>
            </w:r>
          </w:p>
        </w:tc>
        <w:tc>
          <w:tcPr>
            <w:tcW w:w="746" w:type="dxa"/>
            <w:vAlign w:val="top"/>
          </w:tcPr>
          <w:p w14:paraId="13C29B4A">
            <w:pPr>
              <w:spacing w:line="255" w:lineRule="auto"/>
              <w:rPr>
                <w:rFonts w:ascii="Arial"/>
                <w:sz w:val="21"/>
              </w:rPr>
            </w:pPr>
          </w:p>
          <w:p w14:paraId="2F106989">
            <w:pPr>
              <w:spacing w:line="255" w:lineRule="auto"/>
              <w:rPr>
                <w:rFonts w:ascii="Arial"/>
                <w:sz w:val="21"/>
              </w:rPr>
            </w:pPr>
          </w:p>
          <w:p w14:paraId="69559274">
            <w:pPr>
              <w:spacing w:line="255" w:lineRule="auto"/>
              <w:rPr>
                <w:rFonts w:ascii="Arial"/>
                <w:sz w:val="21"/>
              </w:rPr>
            </w:pPr>
          </w:p>
          <w:p w14:paraId="40579C7D">
            <w:pPr>
              <w:spacing w:line="255" w:lineRule="auto"/>
              <w:rPr>
                <w:rFonts w:ascii="Arial"/>
                <w:sz w:val="21"/>
              </w:rPr>
            </w:pPr>
          </w:p>
          <w:p w14:paraId="5D391388">
            <w:pPr>
              <w:spacing w:line="255" w:lineRule="auto"/>
              <w:rPr>
                <w:rFonts w:ascii="Arial"/>
                <w:sz w:val="21"/>
              </w:rPr>
            </w:pPr>
          </w:p>
          <w:p w14:paraId="7EB283CD">
            <w:pPr>
              <w:spacing w:line="255" w:lineRule="auto"/>
              <w:rPr>
                <w:rFonts w:ascii="Arial"/>
                <w:sz w:val="21"/>
              </w:rPr>
            </w:pPr>
          </w:p>
          <w:p w14:paraId="70EA4668">
            <w:pPr>
              <w:spacing w:line="255" w:lineRule="auto"/>
              <w:rPr>
                <w:rFonts w:ascii="Arial"/>
                <w:sz w:val="21"/>
              </w:rPr>
            </w:pPr>
          </w:p>
          <w:p w14:paraId="0CE72762">
            <w:pPr>
              <w:spacing w:line="255" w:lineRule="auto"/>
              <w:rPr>
                <w:rFonts w:ascii="Arial"/>
                <w:sz w:val="21"/>
              </w:rPr>
            </w:pPr>
          </w:p>
          <w:p w14:paraId="62090D3D">
            <w:pPr>
              <w:spacing w:line="256" w:lineRule="auto"/>
              <w:rPr>
                <w:rFonts w:ascii="Arial"/>
                <w:sz w:val="21"/>
              </w:rPr>
            </w:pPr>
          </w:p>
          <w:p w14:paraId="5AF56E98">
            <w:pPr>
              <w:spacing w:line="256" w:lineRule="auto"/>
              <w:rPr>
                <w:rFonts w:ascii="Arial"/>
                <w:sz w:val="21"/>
              </w:rPr>
            </w:pPr>
          </w:p>
          <w:p w14:paraId="50EC1732">
            <w:pPr>
              <w:spacing w:line="256" w:lineRule="auto"/>
              <w:rPr>
                <w:rFonts w:ascii="Arial"/>
                <w:sz w:val="21"/>
              </w:rPr>
            </w:pPr>
          </w:p>
          <w:p w14:paraId="66B52C69">
            <w:pPr>
              <w:spacing w:line="256" w:lineRule="auto"/>
              <w:rPr>
                <w:rFonts w:ascii="Arial"/>
                <w:sz w:val="21"/>
              </w:rPr>
            </w:pPr>
          </w:p>
          <w:p w14:paraId="51B6E695">
            <w:pPr>
              <w:spacing w:line="256" w:lineRule="auto"/>
              <w:rPr>
                <w:rFonts w:ascii="Arial"/>
                <w:sz w:val="21"/>
              </w:rPr>
            </w:pPr>
          </w:p>
          <w:p w14:paraId="3E8714CA">
            <w:pPr>
              <w:spacing w:line="256" w:lineRule="auto"/>
              <w:rPr>
                <w:rFonts w:ascii="Arial"/>
                <w:sz w:val="21"/>
              </w:rPr>
            </w:pPr>
          </w:p>
          <w:p w14:paraId="0ABEC1A7">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53E7E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1" w:hRule="atLeast"/>
        </w:trPr>
        <w:tc>
          <w:tcPr>
            <w:tcW w:w="721" w:type="dxa"/>
            <w:vMerge w:val="continue"/>
            <w:tcBorders>
              <w:top w:val="nil"/>
            </w:tcBorders>
            <w:vAlign w:val="top"/>
          </w:tcPr>
          <w:p w14:paraId="7DEF71C7">
            <w:pPr>
              <w:rPr>
                <w:rFonts w:ascii="Arial"/>
                <w:sz w:val="21"/>
              </w:rPr>
            </w:pPr>
          </w:p>
        </w:tc>
        <w:tc>
          <w:tcPr>
            <w:tcW w:w="561" w:type="dxa"/>
            <w:vMerge w:val="continue"/>
            <w:tcBorders>
              <w:top w:val="nil"/>
            </w:tcBorders>
            <w:vAlign w:val="top"/>
          </w:tcPr>
          <w:p w14:paraId="262C71AC">
            <w:pPr>
              <w:rPr>
                <w:rFonts w:ascii="Arial"/>
                <w:sz w:val="21"/>
              </w:rPr>
            </w:pPr>
          </w:p>
        </w:tc>
        <w:tc>
          <w:tcPr>
            <w:tcW w:w="700" w:type="dxa"/>
            <w:vMerge w:val="continue"/>
            <w:tcBorders>
              <w:top w:val="nil"/>
            </w:tcBorders>
            <w:vAlign w:val="top"/>
          </w:tcPr>
          <w:p w14:paraId="5A22488F">
            <w:pPr>
              <w:rPr>
                <w:rFonts w:ascii="Arial"/>
                <w:sz w:val="21"/>
              </w:rPr>
            </w:pPr>
          </w:p>
        </w:tc>
        <w:tc>
          <w:tcPr>
            <w:tcW w:w="559" w:type="dxa"/>
            <w:vAlign w:val="top"/>
          </w:tcPr>
          <w:p w14:paraId="2D0EBCFD">
            <w:pPr>
              <w:rPr>
                <w:rFonts w:ascii="Arial"/>
                <w:sz w:val="21"/>
              </w:rPr>
            </w:pPr>
          </w:p>
          <w:p w14:paraId="19D77F5D">
            <w:pPr>
              <w:rPr>
                <w:rFonts w:ascii="Arial"/>
                <w:sz w:val="21"/>
              </w:rPr>
            </w:pPr>
          </w:p>
          <w:p w14:paraId="284EFB10">
            <w:pPr>
              <w:rPr>
                <w:rFonts w:ascii="Arial"/>
                <w:sz w:val="21"/>
              </w:rPr>
            </w:pPr>
          </w:p>
          <w:p w14:paraId="02DE5C4C">
            <w:pPr>
              <w:spacing w:line="241" w:lineRule="auto"/>
              <w:rPr>
                <w:rFonts w:ascii="Arial"/>
                <w:sz w:val="21"/>
              </w:rPr>
            </w:pPr>
          </w:p>
          <w:p w14:paraId="738157A2">
            <w:pPr>
              <w:spacing w:line="241" w:lineRule="auto"/>
              <w:rPr>
                <w:rFonts w:ascii="Arial"/>
                <w:sz w:val="21"/>
              </w:rPr>
            </w:pPr>
          </w:p>
          <w:p w14:paraId="55733D0A">
            <w:pPr>
              <w:spacing w:line="241" w:lineRule="auto"/>
              <w:rPr>
                <w:rFonts w:ascii="Arial"/>
                <w:sz w:val="21"/>
              </w:rPr>
            </w:pPr>
          </w:p>
          <w:p w14:paraId="719D8419">
            <w:pPr>
              <w:spacing w:before="68" w:line="313" w:lineRule="auto"/>
              <w:ind w:left="70" w:right="72" w:firstLine="13"/>
              <w:jc w:val="both"/>
              <w:rPr>
                <w:rFonts w:ascii="宋体" w:hAnsi="宋体" w:eastAsia="宋体" w:cs="宋体"/>
                <w:sz w:val="21"/>
                <w:szCs w:val="21"/>
              </w:rPr>
            </w:pPr>
            <w:r>
              <w:rPr>
                <w:rFonts w:ascii="宋体" w:hAnsi="宋体" w:eastAsia="宋体" w:cs="宋体"/>
                <w:spacing w:val="-12"/>
                <w:sz w:val="21"/>
                <w:szCs w:val="21"/>
              </w:rPr>
              <w:t>限制</w:t>
            </w:r>
            <w:r>
              <w:rPr>
                <w:rFonts w:ascii="宋体" w:hAnsi="宋体" w:eastAsia="宋体" w:cs="宋体"/>
                <w:spacing w:val="-5"/>
                <w:sz w:val="21"/>
                <w:szCs w:val="21"/>
              </w:rPr>
              <w:t>开发建设活动的要</w:t>
            </w:r>
            <w:r>
              <w:rPr>
                <w:rFonts w:ascii="宋体" w:hAnsi="宋体" w:eastAsia="宋体" w:cs="宋体"/>
                <w:spacing w:val="38"/>
                <w:w w:val="127"/>
                <w:sz w:val="21"/>
                <w:szCs w:val="21"/>
              </w:rPr>
              <w:t>求</w:t>
            </w:r>
          </w:p>
        </w:tc>
        <w:tc>
          <w:tcPr>
            <w:tcW w:w="3346" w:type="dxa"/>
            <w:vAlign w:val="top"/>
          </w:tcPr>
          <w:p w14:paraId="7CE2AC08">
            <w:pPr>
              <w:pStyle w:val="6"/>
              <w:spacing w:before="82" w:line="315" w:lineRule="auto"/>
              <w:ind w:left="4" w:right="5" w:firstLine="6"/>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）若新布局工业园区，应结合区</w:t>
            </w:r>
            <w:r>
              <w:rPr>
                <w:rFonts w:ascii="宋体" w:hAnsi="宋体" w:eastAsia="宋体" w:cs="宋体"/>
                <w:spacing w:val="-2"/>
              </w:rPr>
              <w:t>域环境特点、三线成果、园区产业类别，充分论证选址的环境合理性；大气布局敏感区、弱扩散区应严格限制布设以钢铁、建材、石化、化工、有色等高污染行业为主导产业的园区；水环境城镇生活污染、农业污染重点</w:t>
            </w:r>
            <w:r>
              <w:rPr>
                <w:rFonts w:ascii="宋体" w:hAnsi="宋体" w:eastAsia="宋体" w:cs="宋体"/>
                <w:spacing w:val="11"/>
              </w:rPr>
              <w:t>管控区应严格限制布设以电力、钢</w:t>
            </w:r>
            <w:r>
              <w:rPr>
                <w:rFonts w:ascii="宋体" w:hAnsi="宋体" w:eastAsia="宋体" w:cs="宋体"/>
                <w:spacing w:val="-2"/>
              </w:rPr>
              <w:t>铁、造纸、石化、化工、印染、化纤</w:t>
            </w:r>
            <w:r>
              <w:rPr>
                <w:rFonts w:ascii="宋体" w:hAnsi="宋体" w:eastAsia="宋体" w:cs="宋体"/>
                <w:spacing w:val="-3"/>
              </w:rPr>
              <w:t>等高耗水行业为主导产业的园区。</w:t>
            </w:r>
          </w:p>
          <w:p w14:paraId="14E6FEBD">
            <w:pPr>
              <w:pStyle w:val="6"/>
              <w:spacing w:before="4" w:line="297" w:lineRule="auto"/>
              <w:ind w:left="5" w:right="5" w:firstLine="4"/>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）基本农田：一般建设项目不得</w:t>
            </w:r>
            <w:r>
              <w:rPr>
                <w:rFonts w:ascii="宋体" w:hAnsi="宋体" w:eastAsia="宋体" w:cs="宋体"/>
                <w:spacing w:val="-2"/>
              </w:rPr>
              <w:t>占用永久基本农田；重大建设项目选址确实难以避让永久基本农田的，在可行性研究阶段，省级自然资源主管</w:t>
            </w:r>
          </w:p>
        </w:tc>
        <w:tc>
          <w:tcPr>
            <w:tcW w:w="1693" w:type="dxa"/>
            <w:vAlign w:val="top"/>
          </w:tcPr>
          <w:p w14:paraId="155E7D62">
            <w:pPr>
              <w:spacing w:line="270" w:lineRule="auto"/>
              <w:rPr>
                <w:rFonts w:ascii="Arial"/>
                <w:sz w:val="21"/>
              </w:rPr>
            </w:pPr>
          </w:p>
          <w:p w14:paraId="7928C415">
            <w:pPr>
              <w:spacing w:line="270" w:lineRule="auto"/>
              <w:rPr>
                <w:rFonts w:ascii="Arial"/>
                <w:sz w:val="21"/>
              </w:rPr>
            </w:pPr>
          </w:p>
          <w:p w14:paraId="6C92E1A2">
            <w:pPr>
              <w:spacing w:line="270" w:lineRule="auto"/>
              <w:rPr>
                <w:rFonts w:ascii="Arial"/>
                <w:sz w:val="21"/>
              </w:rPr>
            </w:pPr>
          </w:p>
          <w:p w14:paraId="1EE6015C">
            <w:pPr>
              <w:spacing w:line="270" w:lineRule="auto"/>
              <w:rPr>
                <w:rFonts w:ascii="Arial"/>
                <w:sz w:val="21"/>
              </w:rPr>
            </w:pPr>
          </w:p>
          <w:p w14:paraId="29A91AD1">
            <w:pPr>
              <w:spacing w:line="270" w:lineRule="auto"/>
              <w:rPr>
                <w:rFonts w:ascii="Arial"/>
                <w:sz w:val="21"/>
              </w:rPr>
            </w:pPr>
          </w:p>
          <w:p w14:paraId="79EFD86B">
            <w:pPr>
              <w:spacing w:line="270" w:lineRule="auto"/>
              <w:rPr>
                <w:rFonts w:ascii="Arial"/>
                <w:sz w:val="21"/>
              </w:rPr>
            </w:pPr>
          </w:p>
          <w:p w14:paraId="061ECFC4">
            <w:pPr>
              <w:spacing w:before="68" w:line="313" w:lineRule="auto"/>
              <w:ind w:left="6" w:right="9" w:firstLine="1"/>
              <w:jc w:val="both"/>
              <w:rPr>
                <w:rFonts w:ascii="宋体" w:hAnsi="宋体" w:eastAsia="宋体" w:cs="宋体"/>
                <w:sz w:val="21"/>
                <w:szCs w:val="21"/>
              </w:rPr>
            </w:pPr>
            <w:r>
              <w:rPr>
                <w:rFonts w:ascii="宋体" w:hAnsi="宋体" w:eastAsia="宋体" w:cs="宋体"/>
                <w:spacing w:val="-2"/>
                <w:sz w:val="21"/>
                <w:szCs w:val="21"/>
              </w:rPr>
              <w:t>本项目属于生猪养</w:t>
            </w:r>
            <w:r>
              <w:rPr>
                <w:rFonts w:ascii="宋体" w:hAnsi="宋体" w:eastAsia="宋体" w:cs="宋体"/>
                <w:spacing w:val="-1"/>
                <w:sz w:val="21"/>
                <w:szCs w:val="21"/>
              </w:rPr>
              <w:t>殖项目，不占用永久基本农田，不涉及清单中列出的限</w:t>
            </w:r>
            <w:r>
              <w:rPr>
                <w:rFonts w:ascii="宋体" w:hAnsi="宋体" w:eastAsia="宋体" w:cs="宋体"/>
                <w:spacing w:val="-5"/>
                <w:sz w:val="21"/>
                <w:szCs w:val="21"/>
              </w:rPr>
              <w:t>制开发建设活动。</w:t>
            </w:r>
          </w:p>
        </w:tc>
        <w:tc>
          <w:tcPr>
            <w:tcW w:w="746" w:type="dxa"/>
            <w:vAlign w:val="top"/>
          </w:tcPr>
          <w:p w14:paraId="327FA575">
            <w:pPr>
              <w:spacing w:line="258" w:lineRule="auto"/>
              <w:rPr>
                <w:rFonts w:ascii="Arial"/>
                <w:sz w:val="21"/>
              </w:rPr>
            </w:pPr>
          </w:p>
          <w:p w14:paraId="42A30E95">
            <w:pPr>
              <w:spacing w:line="258" w:lineRule="auto"/>
              <w:rPr>
                <w:rFonts w:ascii="Arial"/>
                <w:sz w:val="21"/>
              </w:rPr>
            </w:pPr>
          </w:p>
          <w:p w14:paraId="1DAD6F74">
            <w:pPr>
              <w:spacing w:line="258" w:lineRule="auto"/>
              <w:rPr>
                <w:rFonts w:ascii="Arial"/>
                <w:sz w:val="21"/>
              </w:rPr>
            </w:pPr>
          </w:p>
          <w:p w14:paraId="5E89D8BE">
            <w:pPr>
              <w:spacing w:line="258" w:lineRule="auto"/>
              <w:rPr>
                <w:rFonts w:ascii="Arial"/>
                <w:sz w:val="21"/>
              </w:rPr>
            </w:pPr>
          </w:p>
          <w:p w14:paraId="1F00BC25">
            <w:pPr>
              <w:spacing w:line="258" w:lineRule="auto"/>
              <w:rPr>
                <w:rFonts w:ascii="Arial"/>
                <w:sz w:val="21"/>
              </w:rPr>
            </w:pPr>
          </w:p>
          <w:p w14:paraId="15357605">
            <w:pPr>
              <w:spacing w:line="259" w:lineRule="auto"/>
              <w:rPr>
                <w:rFonts w:ascii="Arial"/>
                <w:sz w:val="21"/>
              </w:rPr>
            </w:pPr>
          </w:p>
          <w:p w14:paraId="5B60B052">
            <w:pPr>
              <w:spacing w:line="259" w:lineRule="auto"/>
              <w:rPr>
                <w:rFonts w:ascii="Arial"/>
                <w:sz w:val="21"/>
              </w:rPr>
            </w:pPr>
          </w:p>
          <w:p w14:paraId="3F156737">
            <w:pPr>
              <w:spacing w:line="259" w:lineRule="auto"/>
              <w:rPr>
                <w:rFonts w:ascii="Arial"/>
                <w:sz w:val="21"/>
              </w:rPr>
            </w:pPr>
          </w:p>
          <w:p w14:paraId="309B7174">
            <w:pPr>
              <w:spacing w:line="259" w:lineRule="auto"/>
              <w:rPr>
                <w:rFonts w:ascii="Arial"/>
                <w:sz w:val="21"/>
              </w:rPr>
            </w:pPr>
          </w:p>
          <w:p w14:paraId="603DFE88">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702587EA">
      <w:pPr>
        <w:pStyle w:val="2"/>
        <w:spacing w:line="159" w:lineRule="exact"/>
        <w:rPr>
          <w:sz w:val="13"/>
        </w:rPr>
      </w:pPr>
    </w:p>
    <w:p w14:paraId="43CE5504">
      <w:pPr>
        <w:spacing w:line="159" w:lineRule="exact"/>
        <w:rPr>
          <w:sz w:val="13"/>
          <w:szCs w:val="13"/>
        </w:rPr>
        <w:sectPr>
          <w:headerReference r:id="rId120" w:type="default"/>
          <w:footerReference r:id="rId121" w:type="default"/>
          <w:pgSz w:w="11905" w:h="16840"/>
          <w:pgMar w:top="1168" w:right="1768" w:bottom="1409" w:left="1770" w:header="828" w:footer="1244" w:gutter="0"/>
          <w:cols w:space="720" w:num="1"/>
        </w:sectPr>
      </w:pPr>
    </w:p>
    <w:p w14:paraId="082275AE">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559"/>
        <w:gridCol w:w="3346"/>
        <w:gridCol w:w="1693"/>
        <w:gridCol w:w="746"/>
      </w:tblGrid>
      <w:tr w14:paraId="0162C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5"/>
            <w:vAlign w:val="top"/>
          </w:tcPr>
          <w:p w14:paraId="4C3B4A3F">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53AC1383">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604CB8B4">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375C1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7139B6E9">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gridSpan w:val="2"/>
            <w:vAlign w:val="top"/>
          </w:tcPr>
          <w:p w14:paraId="0199D01B">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76DC1CFA">
            <w:pPr>
              <w:rPr>
                <w:rFonts w:ascii="Arial"/>
                <w:sz w:val="21"/>
              </w:rPr>
            </w:pPr>
          </w:p>
        </w:tc>
        <w:tc>
          <w:tcPr>
            <w:tcW w:w="746" w:type="dxa"/>
            <w:vMerge w:val="continue"/>
            <w:tcBorders>
              <w:top w:val="nil"/>
            </w:tcBorders>
            <w:vAlign w:val="top"/>
          </w:tcPr>
          <w:p w14:paraId="20058BB0">
            <w:pPr>
              <w:rPr>
                <w:rFonts w:ascii="Arial"/>
                <w:sz w:val="21"/>
              </w:rPr>
            </w:pPr>
          </w:p>
        </w:tc>
      </w:tr>
      <w:tr w14:paraId="3FCF4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2" w:hRule="atLeast"/>
        </w:trPr>
        <w:tc>
          <w:tcPr>
            <w:tcW w:w="721" w:type="dxa"/>
            <w:vMerge w:val="restart"/>
            <w:tcBorders>
              <w:bottom w:val="nil"/>
            </w:tcBorders>
            <w:vAlign w:val="top"/>
          </w:tcPr>
          <w:p w14:paraId="7A512951">
            <w:pPr>
              <w:rPr>
                <w:rFonts w:ascii="Arial"/>
                <w:sz w:val="21"/>
              </w:rPr>
            </w:pPr>
          </w:p>
        </w:tc>
        <w:tc>
          <w:tcPr>
            <w:tcW w:w="561" w:type="dxa"/>
            <w:vMerge w:val="restart"/>
            <w:tcBorders>
              <w:bottom w:val="nil"/>
            </w:tcBorders>
            <w:vAlign w:val="top"/>
          </w:tcPr>
          <w:p w14:paraId="637028A2">
            <w:pPr>
              <w:rPr>
                <w:rFonts w:ascii="Arial"/>
                <w:sz w:val="21"/>
              </w:rPr>
            </w:pPr>
          </w:p>
        </w:tc>
        <w:tc>
          <w:tcPr>
            <w:tcW w:w="700" w:type="dxa"/>
            <w:vMerge w:val="restart"/>
            <w:tcBorders>
              <w:bottom w:val="nil"/>
            </w:tcBorders>
            <w:vAlign w:val="top"/>
          </w:tcPr>
          <w:p w14:paraId="4C568085">
            <w:pPr>
              <w:rPr>
                <w:rFonts w:ascii="Arial"/>
                <w:sz w:val="21"/>
              </w:rPr>
            </w:pPr>
          </w:p>
        </w:tc>
        <w:tc>
          <w:tcPr>
            <w:tcW w:w="559" w:type="dxa"/>
            <w:vAlign w:val="top"/>
          </w:tcPr>
          <w:p w14:paraId="4B78CC32">
            <w:pPr>
              <w:rPr>
                <w:rFonts w:ascii="Arial"/>
                <w:sz w:val="21"/>
              </w:rPr>
            </w:pPr>
          </w:p>
        </w:tc>
        <w:tc>
          <w:tcPr>
            <w:tcW w:w="3346" w:type="dxa"/>
            <w:vAlign w:val="top"/>
          </w:tcPr>
          <w:p w14:paraId="014696BA">
            <w:pPr>
              <w:spacing w:before="76" w:line="315" w:lineRule="auto"/>
              <w:ind w:left="4" w:right="5" w:firstLine="2"/>
              <w:jc w:val="both"/>
              <w:rPr>
                <w:rFonts w:ascii="宋体" w:hAnsi="宋体" w:eastAsia="宋体" w:cs="宋体"/>
                <w:sz w:val="21"/>
                <w:szCs w:val="21"/>
              </w:rPr>
            </w:pPr>
            <w:r>
              <w:rPr>
                <w:rFonts w:ascii="宋体" w:hAnsi="宋体" w:eastAsia="宋体" w:cs="宋体"/>
                <w:spacing w:val="-3"/>
                <w:sz w:val="21"/>
                <w:szCs w:val="21"/>
              </w:rPr>
              <w:t>部门负责组织对占用的必要性、合理</w:t>
            </w:r>
            <w:r>
              <w:rPr>
                <w:rFonts w:ascii="宋体" w:hAnsi="宋体" w:eastAsia="宋体" w:cs="宋体"/>
                <w:spacing w:val="11"/>
                <w:sz w:val="21"/>
                <w:szCs w:val="21"/>
              </w:rPr>
              <w:t>性和补划方案的可行性进行严格论</w:t>
            </w:r>
            <w:r>
              <w:rPr>
                <w:rFonts w:ascii="宋体" w:hAnsi="宋体" w:eastAsia="宋体" w:cs="宋体"/>
                <w:spacing w:val="-2"/>
                <w:sz w:val="21"/>
                <w:szCs w:val="21"/>
              </w:rPr>
              <w:t>证，报自然资源部用地预审；农用地</w:t>
            </w:r>
            <w:r>
              <w:rPr>
                <w:rFonts w:ascii="宋体" w:hAnsi="宋体" w:eastAsia="宋体" w:cs="宋体"/>
                <w:spacing w:val="-3"/>
                <w:sz w:val="21"/>
                <w:szCs w:val="21"/>
              </w:rPr>
              <w:t>转用和土地征收依法报批。</w:t>
            </w:r>
          </w:p>
          <w:p w14:paraId="221CC8C5">
            <w:pPr>
              <w:pStyle w:val="6"/>
              <w:spacing w:before="1" w:line="315" w:lineRule="auto"/>
              <w:ind w:left="4" w:firstLine="6"/>
              <w:rPr>
                <w:rFonts w:ascii="宋体" w:hAnsi="宋体" w:eastAsia="宋体" w:cs="宋体"/>
              </w:rPr>
            </w:pPr>
            <w:r>
              <w:rPr>
                <w:rFonts w:ascii="宋体" w:hAnsi="宋体" w:eastAsia="宋体" w:cs="宋体"/>
                <w:spacing w:val="-8"/>
              </w:rPr>
              <w:t>（</w:t>
            </w:r>
            <w:r>
              <w:rPr>
                <w:spacing w:val="-8"/>
              </w:rPr>
              <w:t>3</w:t>
            </w:r>
            <w:r>
              <w:rPr>
                <w:rFonts w:ascii="宋体" w:hAnsi="宋体" w:eastAsia="宋体" w:cs="宋体"/>
                <w:spacing w:val="-8"/>
              </w:rPr>
              <w:t>）严格限制农用地转为建设用地，</w:t>
            </w:r>
            <w:r>
              <w:rPr>
                <w:rFonts w:ascii="宋体" w:hAnsi="宋体" w:eastAsia="宋体" w:cs="宋体"/>
                <w:spacing w:val="-5"/>
              </w:rPr>
              <w:t>控制建设用地总量，对耕地实行特殊</w:t>
            </w:r>
            <w:r>
              <w:rPr>
                <w:rFonts w:ascii="宋体" w:hAnsi="宋体" w:eastAsia="宋体" w:cs="宋体"/>
                <w:spacing w:val="-11"/>
              </w:rPr>
              <w:t>保护。</w:t>
            </w:r>
          </w:p>
          <w:p w14:paraId="4A677D04">
            <w:pPr>
              <w:pStyle w:val="6"/>
              <w:spacing w:before="1" w:line="315" w:lineRule="auto"/>
              <w:ind w:left="4" w:firstLine="5"/>
              <w:rPr>
                <w:rFonts w:ascii="宋体" w:hAnsi="宋体" w:eastAsia="宋体" w:cs="宋体"/>
              </w:rPr>
            </w:pPr>
            <w:r>
              <w:rPr>
                <w:rFonts w:ascii="宋体" w:hAnsi="宋体" w:eastAsia="宋体" w:cs="宋体"/>
                <w:spacing w:val="-20"/>
              </w:rPr>
              <w:t>（</w:t>
            </w:r>
            <w:r>
              <w:rPr>
                <w:spacing w:val="-20"/>
              </w:rPr>
              <w:t>4</w:t>
            </w:r>
            <w:r>
              <w:rPr>
                <w:rFonts w:ascii="宋体" w:hAnsi="宋体" w:eastAsia="宋体" w:cs="宋体"/>
                <w:spacing w:val="-20"/>
              </w:rPr>
              <w:t>）严禁非法采砂。严格落实禁采区、</w:t>
            </w:r>
            <w:r>
              <w:rPr>
                <w:rFonts w:ascii="宋体" w:hAnsi="宋体" w:eastAsia="宋体" w:cs="宋体"/>
                <w:spacing w:val="-2"/>
              </w:rPr>
              <w:t>可采区、保留区和禁采期管理措施，</w:t>
            </w:r>
            <w:r>
              <w:rPr>
                <w:rFonts w:ascii="宋体" w:hAnsi="宋体" w:eastAsia="宋体" w:cs="宋体"/>
                <w:spacing w:val="-9"/>
              </w:rPr>
              <w:t>加强对非法采砂行为的监督执法。</w:t>
            </w:r>
          </w:p>
          <w:p w14:paraId="018E384C">
            <w:pPr>
              <w:pStyle w:val="6"/>
              <w:spacing w:line="315" w:lineRule="auto"/>
              <w:ind w:left="12" w:right="18" w:hanging="2"/>
              <w:rPr>
                <w:rFonts w:ascii="宋体" w:hAnsi="宋体" w:eastAsia="宋体" w:cs="宋体"/>
              </w:rPr>
            </w:pPr>
            <w:r>
              <w:rPr>
                <w:rFonts w:ascii="宋体" w:hAnsi="宋体" w:eastAsia="宋体" w:cs="宋体"/>
                <w:spacing w:val="3"/>
              </w:rPr>
              <w:t>（</w:t>
            </w:r>
            <w:r>
              <w:rPr>
                <w:spacing w:val="3"/>
              </w:rPr>
              <w:t>5</w:t>
            </w:r>
            <w:r>
              <w:rPr>
                <w:rFonts w:ascii="宋体" w:hAnsi="宋体" w:eastAsia="宋体" w:cs="宋体"/>
                <w:spacing w:val="3"/>
              </w:rPr>
              <w:t>）按照相关要求严控水泥新增产</w:t>
            </w:r>
            <w:r>
              <w:rPr>
                <w:rFonts w:ascii="宋体" w:hAnsi="宋体" w:eastAsia="宋体" w:cs="宋体"/>
                <w:spacing w:val="-12"/>
              </w:rPr>
              <w:t>能。</w:t>
            </w:r>
          </w:p>
          <w:p w14:paraId="552C1AE5">
            <w:pPr>
              <w:pStyle w:val="6"/>
              <w:spacing w:line="301" w:lineRule="auto"/>
              <w:ind w:left="4" w:right="5" w:firstLine="5"/>
              <w:rPr>
                <w:rFonts w:ascii="宋体" w:hAnsi="宋体" w:eastAsia="宋体" w:cs="宋体"/>
              </w:rPr>
            </w:pPr>
            <w:r>
              <w:rPr>
                <w:rFonts w:ascii="宋体" w:hAnsi="宋体" w:eastAsia="宋体" w:cs="宋体"/>
                <w:spacing w:val="4"/>
              </w:rPr>
              <w:t>（</w:t>
            </w:r>
            <w:r>
              <w:rPr>
                <w:spacing w:val="4"/>
              </w:rPr>
              <w:t>6</w:t>
            </w:r>
            <w:r>
              <w:rPr>
                <w:rFonts w:ascii="宋体" w:hAnsi="宋体" w:eastAsia="宋体" w:cs="宋体"/>
                <w:spacing w:val="4"/>
              </w:rPr>
              <w:t>）大气环境重点管控区覆盖全单</w:t>
            </w:r>
            <w:r>
              <w:rPr>
                <w:rFonts w:ascii="宋体" w:hAnsi="宋体" w:eastAsia="宋体" w:cs="宋体"/>
                <w:spacing w:val="11"/>
              </w:rPr>
              <w:t>元，应结合区域环境特征和发展定</w:t>
            </w:r>
            <w:r>
              <w:rPr>
                <w:rFonts w:ascii="宋体" w:hAnsi="宋体" w:eastAsia="宋体" w:cs="宋体"/>
                <w:spacing w:val="-2"/>
              </w:rPr>
              <w:t>位，严格项目引入政策，控制引入砖瓦厂、陶瓷厂、混凝土及制品等以大</w:t>
            </w:r>
            <w:r>
              <w:rPr>
                <w:rFonts w:ascii="宋体" w:hAnsi="宋体" w:eastAsia="宋体" w:cs="宋体"/>
                <w:spacing w:val="-4"/>
              </w:rPr>
              <w:t>气污染为主的企业。</w:t>
            </w:r>
          </w:p>
        </w:tc>
        <w:tc>
          <w:tcPr>
            <w:tcW w:w="1693" w:type="dxa"/>
            <w:vAlign w:val="top"/>
          </w:tcPr>
          <w:p w14:paraId="03B81D91">
            <w:pPr>
              <w:rPr>
                <w:rFonts w:ascii="Arial"/>
                <w:sz w:val="21"/>
              </w:rPr>
            </w:pPr>
          </w:p>
        </w:tc>
        <w:tc>
          <w:tcPr>
            <w:tcW w:w="746" w:type="dxa"/>
            <w:vAlign w:val="top"/>
          </w:tcPr>
          <w:p w14:paraId="4A464B94">
            <w:pPr>
              <w:rPr>
                <w:rFonts w:ascii="Arial"/>
                <w:sz w:val="21"/>
              </w:rPr>
            </w:pPr>
          </w:p>
        </w:tc>
      </w:tr>
      <w:tr w14:paraId="0D01F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5" w:hRule="atLeast"/>
        </w:trPr>
        <w:tc>
          <w:tcPr>
            <w:tcW w:w="721" w:type="dxa"/>
            <w:vMerge w:val="continue"/>
            <w:tcBorders>
              <w:top w:val="nil"/>
            </w:tcBorders>
            <w:vAlign w:val="top"/>
          </w:tcPr>
          <w:p w14:paraId="087026DF">
            <w:pPr>
              <w:rPr>
                <w:rFonts w:ascii="Arial"/>
                <w:sz w:val="21"/>
              </w:rPr>
            </w:pPr>
          </w:p>
        </w:tc>
        <w:tc>
          <w:tcPr>
            <w:tcW w:w="561" w:type="dxa"/>
            <w:vMerge w:val="continue"/>
            <w:tcBorders>
              <w:top w:val="nil"/>
            </w:tcBorders>
            <w:vAlign w:val="top"/>
          </w:tcPr>
          <w:p w14:paraId="0DFC9567">
            <w:pPr>
              <w:rPr>
                <w:rFonts w:ascii="Arial"/>
                <w:sz w:val="21"/>
              </w:rPr>
            </w:pPr>
          </w:p>
        </w:tc>
        <w:tc>
          <w:tcPr>
            <w:tcW w:w="700" w:type="dxa"/>
            <w:vMerge w:val="continue"/>
            <w:tcBorders>
              <w:top w:val="nil"/>
            </w:tcBorders>
            <w:vAlign w:val="top"/>
          </w:tcPr>
          <w:p w14:paraId="3F76AAA6">
            <w:pPr>
              <w:rPr>
                <w:rFonts w:ascii="Arial"/>
                <w:sz w:val="21"/>
              </w:rPr>
            </w:pPr>
          </w:p>
        </w:tc>
        <w:tc>
          <w:tcPr>
            <w:tcW w:w="559" w:type="dxa"/>
            <w:vAlign w:val="top"/>
          </w:tcPr>
          <w:p w14:paraId="42458F1D">
            <w:pPr>
              <w:spacing w:line="247" w:lineRule="auto"/>
              <w:rPr>
                <w:rFonts w:ascii="Arial"/>
                <w:sz w:val="21"/>
              </w:rPr>
            </w:pPr>
          </w:p>
          <w:p w14:paraId="5198FDAC">
            <w:pPr>
              <w:spacing w:line="247" w:lineRule="auto"/>
              <w:rPr>
                <w:rFonts w:ascii="Arial"/>
                <w:sz w:val="21"/>
              </w:rPr>
            </w:pPr>
          </w:p>
          <w:p w14:paraId="7D33E77F">
            <w:pPr>
              <w:spacing w:line="247" w:lineRule="auto"/>
              <w:rPr>
                <w:rFonts w:ascii="Arial"/>
                <w:sz w:val="21"/>
              </w:rPr>
            </w:pPr>
          </w:p>
          <w:p w14:paraId="0F2CAEC5">
            <w:pPr>
              <w:spacing w:line="247" w:lineRule="auto"/>
              <w:rPr>
                <w:rFonts w:ascii="Arial"/>
                <w:sz w:val="21"/>
              </w:rPr>
            </w:pPr>
          </w:p>
          <w:p w14:paraId="1E4892DA">
            <w:pPr>
              <w:spacing w:line="248" w:lineRule="auto"/>
              <w:rPr>
                <w:rFonts w:ascii="Arial"/>
                <w:sz w:val="21"/>
              </w:rPr>
            </w:pPr>
          </w:p>
          <w:p w14:paraId="08E79514">
            <w:pPr>
              <w:spacing w:line="248" w:lineRule="auto"/>
              <w:rPr>
                <w:rFonts w:ascii="Arial"/>
                <w:sz w:val="21"/>
              </w:rPr>
            </w:pPr>
          </w:p>
          <w:p w14:paraId="0949DF95">
            <w:pPr>
              <w:spacing w:line="248" w:lineRule="auto"/>
              <w:rPr>
                <w:rFonts w:ascii="Arial"/>
                <w:sz w:val="21"/>
              </w:rPr>
            </w:pPr>
          </w:p>
          <w:p w14:paraId="3C081676">
            <w:pPr>
              <w:spacing w:line="248" w:lineRule="auto"/>
              <w:rPr>
                <w:rFonts w:ascii="Arial"/>
                <w:sz w:val="21"/>
              </w:rPr>
            </w:pPr>
          </w:p>
          <w:p w14:paraId="79BC4E97">
            <w:pPr>
              <w:spacing w:before="68" w:line="313" w:lineRule="auto"/>
              <w:ind w:left="70" w:right="72" w:firstLine="2"/>
              <w:jc w:val="both"/>
              <w:rPr>
                <w:rFonts w:ascii="宋体" w:hAnsi="宋体" w:eastAsia="宋体" w:cs="宋体"/>
                <w:sz w:val="21"/>
                <w:szCs w:val="21"/>
              </w:rPr>
            </w:pPr>
            <w:r>
              <w:rPr>
                <w:rFonts w:ascii="宋体" w:hAnsi="宋体" w:eastAsia="宋体" w:cs="宋体"/>
                <w:spacing w:val="-6"/>
                <w:sz w:val="21"/>
                <w:szCs w:val="21"/>
              </w:rPr>
              <w:t>不符</w:t>
            </w:r>
            <w:r>
              <w:rPr>
                <w:rFonts w:ascii="宋体" w:hAnsi="宋体" w:eastAsia="宋体" w:cs="宋体"/>
                <w:spacing w:val="-5"/>
                <w:sz w:val="21"/>
                <w:szCs w:val="21"/>
              </w:rPr>
              <w:t>合空间布局要求活动的退出要求</w:t>
            </w:r>
          </w:p>
        </w:tc>
        <w:tc>
          <w:tcPr>
            <w:tcW w:w="3346" w:type="dxa"/>
            <w:vAlign w:val="top"/>
          </w:tcPr>
          <w:p w14:paraId="1DC08A7C">
            <w:pPr>
              <w:pStyle w:val="6"/>
              <w:spacing w:before="80" w:line="315" w:lineRule="auto"/>
              <w:ind w:left="3" w:right="5" w:firstLine="7"/>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）区外企业：内江琪峰商品混凝</w:t>
            </w:r>
            <w:r>
              <w:rPr>
                <w:rFonts w:ascii="宋体" w:hAnsi="宋体" w:eastAsia="宋体" w:cs="宋体"/>
                <w:spacing w:val="-2"/>
              </w:rPr>
              <w:t>土有限公司等可继续保留，但涉及钢铁、石化、化工、建材等原则上限制发展，并要求污染物排放只降不增；若有不具备合法手续，或污染物排放</w:t>
            </w:r>
            <w:r>
              <w:rPr>
                <w:rFonts w:ascii="宋体" w:hAnsi="宋体" w:eastAsia="宋体" w:cs="宋体"/>
                <w:spacing w:val="-13"/>
              </w:rPr>
              <w:t>超标、环境风险不可控的企业，</w:t>
            </w:r>
            <w:r>
              <w:rPr>
                <w:rFonts w:ascii="宋体" w:hAnsi="宋体" w:eastAsia="宋体" w:cs="宋体"/>
                <w:spacing w:val="73"/>
              </w:rPr>
              <w:t xml:space="preserve"> </w:t>
            </w:r>
            <w:r>
              <w:rPr>
                <w:rFonts w:ascii="宋体" w:hAnsi="宋体" w:eastAsia="宋体" w:cs="宋体"/>
                <w:spacing w:val="-13"/>
              </w:rPr>
              <w:t>限期</w:t>
            </w:r>
            <w:r>
              <w:rPr>
                <w:rFonts w:ascii="宋体" w:hAnsi="宋体" w:eastAsia="宋体" w:cs="宋体"/>
                <w:spacing w:val="-5"/>
              </w:rPr>
              <w:t>进行整改提升。</w:t>
            </w:r>
          </w:p>
          <w:p w14:paraId="5E3CFF33">
            <w:pPr>
              <w:pStyle w:val="6"/>
              <w:spacing w:before="1" w:line="315" w:lineRule="auto"/>
              <w:ind w:left="4" w:right="5" w:firstLine="6"/>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 xml:space="preserve">）沱江岸线 </w:t>
            </w:r>
            <w:r>
              <w:rPr>
                <w:spacing w:val="-4"/>
              </w:rPr>
              <w:t>1km</w:t>
            </w:r>
            <w:r>
              <w:rPr>
                <w:spacing w:val="28"/>
              </w:rPr>
              <w:t xml:space="preserve"> </w:t>
            </w:r>
            <w:r>
              <w:rPr>
                <w:rFonts w:ascii="宋体" w:hAnsi="宋体" w:eastAsia="宋体" w:cs="宋体"/>
                <w:spacing w:val="-4"/>
              </w:rPr>
              <w:t>范围内存在违法</w:t>
            </w:r>
            <w:r>
              <w:rPr>
                <w:rFonts w:ascii="宋体" w:hAnsi="宋体" w:eastAsia="宋体" w:cs="宋体"/>
                <w:spacing w:val="-2"/>
              </w:rPr>
              <w:t>违规行为的化工企业，整改后仍不能达到要求的依法关闭，鼓励企业搬入</w:t>
            </w:r>
            <w:r>
              <w:rPr>
                <w:rFonts w:ascii="宋体" w:hAnsi="宋体" w:eastAsia="宋体" w:cs="宋体"/>
                <w:spacing w:val="-7"/>
              </w:rPr>
              <w:t>合规园区。</w:t>
            </w:r>
          </w:p>
          <w:p w14:paraId="240866B5">
            <w:pPr>
              <w:pStyle w:val="6"/>
              <w:spacing w:before="1" w:line="315" w:lineRule="auto"/>
              <w:ind w:left="5" w:right="5" w:firstLine="4"/>
              <w:rPr>
                <w:rFonts w:ascii="宋体" w:hAnsi="宋体" w:eastAsia="宋体" w:cs="宋体"/>
              </w:rPr>
            </w:pPr>
            <w:r>
              <w:rPr>
                <w:rFonts w:ascii="宋体" w:hAnsi="宋体" w:eastAsia="宋体" w:cs="宋体"/>
                <w:spacing w:val="4"/>
              </w:rPr>
              <w:t>（</w:t>
            </w:r>
            <w:r>
              <w:rPr>
                <w:spacing w:val="4"/>
              </w:rPr>
              <w:t>3</w:t>
            </w:r>
            <w:r>
              <w:rPr>
                <w:rFonts w:ascii="宋体" w:hAnsi="宋体" w:eastAsia="宋体" w:cs="宋体"/>
                <w:spacing w:val="4"/>
              </w:rPr>
              <w:t>）加强沿江突出问题整治。清理</w:t>
            </w:r>
            <w:r>
              <w:rPr>
                <w:rFonts w:ascii="宋体" w:hAnsi="宋体" w:eastAsia="宋体" w:cs="宋体"/>
                <w:spacing w:val="-12"/>
              </w:rPr>
              <w:t>整顿非法采砂、非法码头，</w:t>
            </w:r>
            <w:r>
              <w:rPr>
                <w:rFonts w:ascii="宋体" w:hAnsi="宋体" w:eastAsia="宋体" w:cs="宋体"/>
                <w:spacing w:val="55"/>
              </w:rPr>
              <w:t xml:space="preserve"> </w:t>
            </w:r>
            <w:r>
              <w:rPr>
                <w:rFonts w:ascii="宋体" w:hAnsi="宋体" w:eastAsia="宋体" w:cs="宋体"/>
                <w:spacing w:val="-12"/>
              </w:rPr>
              <w:t>全面清除</w:t>
            </w:r>
            <w:r>
              <w:rPr>
                <w:rFonts w:ascii="宋体" w:hAnsi="宋体" w:eastAsia="宋体" w:cs="宋体"/>
                <w:spacing w:val="-6"/>
              </w:rPr>
              <w:t>不合规码头。</w:t>
            </w:r>
          </w:p>
          <w:p w14:paraId="47516AC6">
            <w:pPr>
              <w:pStyle w:val="6"/>
              <w:spacing w:before="2" w:line="301" w:lineRule="auto"/>
              <w:ind w:left="4" w:right="5" w:firstLine="6"/>
              <w:rPr>
                <w:rFonts w:ascii="宋体" w:hAnsi="宋体" w:eastAsia="宋体" w:cs="宋体"/>
              </w:rPr>
            </w:pPr>
            <w:r>
              <w:rPr>
                <w:rFonts w:ascii="宋体" w:hAnsi="宋体" w:eastAsia="宋体" w:cs="宋体"/>
                <w:spacing w:val="4"/>
              </w:rPr>
              <w:t>（</w:t>
            </w:r>
            <w:r>
              <w:rPr>
                <w:spacing w:val="4"/>
              </w:rPr>
              <w:t>4</w:t>
            </w:r>
            <w:r>
              <w:rPr>
                <w:rFonts w:ascii="宋体" w:hAnsi="宋体" w:eastAsia="宋体" w:cs="宋体"/>
                <w:spacing w:val="4"/>
              </w:rPr>
              <w:t>）区外企业：大气要素重点管控</w:t>
            </w:r>
            <w:r>
              <w:rPr>
                <w:rFonts w:ascii="宋体" w:hAnsi="宋体" w:eastAsia="宋体" w:cs="宋体"/>
                <w:spacing w:val="-2"/>
              </w:rPr>
              <w:t>单元内的区外企业，若依法完成排污许可证申请或备案，可继续保留但应控制大气污染物排放规模，限制高污染燃料使用，强化监管、稳定达标排</w:t>
            </w:r>
          </w:p>
        </w:tc>
        <w:tc>
          <w:tcPr>
            <w:tcW w:w="1693" w:type="dxa"/>
            <w:vAlign w:val="top"/>
          </w:tcPr>
          <w:p w14:paraId="2BB49C94">
            <w:pPr>
              <w:spacing w:line="244" w:lineRule="auto"/>
              <w:rPr>
                <w:rFonts w:ascii="Arial"/>
                <w:sz w:val="21"/>
              </w:rPr>
            </w:pPr>
          </w:p>
          <w:p w14:paraId="725C6864">
            <w:pPr>
              <w:spacing w:line="244" w:lineRule="auto"/>
              <w:rPr>
                <w:rFonts w:ascii="Arial"/>
                <w:sz w:val="21"/>
              </w:rPr>
            </w:pPr>
          </w:p>
          <w:p w14:paraId="7D13A282">
            <w:pPr>
              <w:spacing w:line="244" w:lineRule="auto"/>
              <w:rPr>
                <w:rFonts w:ascii="Arial"/>
                <w:sz w:val="21"/>
              </w:rPr>
            </w:pPr>
          </w:p>
          <w:p w14:paraId="01961283">
            <w:pPr>
              <w:spacing w:line="244" w:lineRule="auto"/>
              <w:rPr>
                <w:rFonts w:ascii="Arial"/>
                <w:sz w:val="21"/>
              </w:rPr>
            </w:pPr>
          </w:p>
          <w:p w14:paraId="5A739411">
            <w:pPr>
              <w:spacing w:line="244" w:lineRule="auto"/>
              <w:rPr>
                <w:rFonts w:ascii="Arial"/>
                <w:sz w:val="21"/>
              </w:rPr>
            </w:pPr>
          </w:p>
          <w:p w14:paraId="560E7283">
            <w:pPr>
              <w:spacing w:line="244" w:lineRule="auto"/>
              <w:rPr>
                <w:rFonts w:ascii="Arial"/>
                <w:sz w:val="21"/>
              </w:rPr>
            </w:pPr>
          </w:p>
          <w:p w14:paraId="31F477CC">
            <w:pPr>
              <w:spacing w:line="244" w:lineRule="auto"/>
              <w:rPr>
                <w:rFonts w:ascii="Arial"/>
                <w:sz w:val="21"/>
              </w:rPr>
            </w:pPr>
          </w:p>
          <w:p w14:paraId="21324B29">
            <w:pPr>
              <w:spacing w:line="245" w:lineRule="auto"/>
              <w:rPr>
                <w:rFonts w:ascii="Arial"/>
                <w:sz w:val="21"/>
              </w:rPr>
            </w:pPr>
          </w:p>
          <w:p w14:paraId="3917FC68">
            <w:pPr>
              <w:spacing w:line="245" w:lineRule="auto"/>
              <w:rPr>
                <w:rFonts w:ascii="Arial"/>
                <w:sz w:val="21"/>
              </w:rPr>
            </w:pPr>
          </w:p>
          <w:p w14:paraId="16F6A9DD">
            <w:pPr>
              <w:spacing w:line="245" w:lineRule="auto"/>
              <w:rPr>
                <w:rFonts w:ascii="Arial"/>
                <w:sz w:val="21"/>
              </w:rPr>
            </w:pPr>
          </w:p>
          <w:p w14:paraId="2660F539">
            <w:pPr>
              <w:spacing w:line="245" w:lineRule="auto"/>
              <w:rPr>
                <w:rFonts w:ascii="Arial"/>
                <w:sz w:val="21"/>
              </w:rPr>
            </w:pPr>
          </w:p>
          <w:p w14:paraId="7A383177">
            <w:pPr>
              <w:spacing w:before="69" w:line="315" w:lineRule="auto"/>
              <w:ind w:left="7" w:right="9"/>
              <w:jc w:val="both"/>
              <w:rPr>
                <w:rFonts w:ascii="宋体" w:hAnsi="宋体" w:eastAsia="宋体" w:cs="宋体"/>
                <w:sz w:val="21"/>
                <w:szCs w:val="21"/>
              </w:rPr>
            </w:pPr>
            <w:r>
              <w:rPr>
                <w:rFonts w:ascii="宋体" w:hAnsi="宋体" w:eastAsia="宋体" w:cs="宋体"/>
                <w:spacing w:val="-2"/>
                <w:sz w:val="21"/>
                <w:szCs w:val="21"/>
              </w:rPr>
              <w:t>本项目属于生猪养殖项目，不属于清单中列出的项目类</w:t>
            </w:r>
            <w:r>
              <w:rPr>
                <w:rFonts w:ascii="宋体" w:hAnsi="宋体" w:eastAsia="宋体" w:cs="宋体"/>
                <w:spacing w:val="-10"/>
                <w:sz w:val="21"/>
                <w:szCs w:val="21"/>
              </w:rPr>
              <w:t>型。</w:t>
            </w:r>
          </w:p>
        </w:tc>
        <w:tc>
          <w:tcPr>
            <w:tcW w:w="746" w:type="dxa"/>
            <w:vAlign w:val="top"/>
          </w:tcPr>
          <w:p w14:paraId="498EAEEE">
            <w:pPr>
              <w:spacing w:line="247" w:lineRule="auto"/>
              <w:rPr>
                <w:rFonts w:ascii="Arial"/>
                <w:sz w:val="21"/>
              </w:rPr>
            </w:pPr>
          </w:p>
          <w:p w14:paraId="5DEDB3C5">
            <w:pPr>
              <w:spacing w:line="247" w:lineRule="auto"/>
              <w:rPr>
                <w:rFonts w:ascii="Arial"/>
                <w:sz w:val="21"/>
              </w:rPr>
            </w:pPr>
          </w:p>
          <w:p w14:paraId="0A384BBB">
            <w:pPr>
              <w:spacing w:line="247" w:lineRule="auto"/>
              <w:rPr>
                <w:rFonts w:ascii="Arial"/>
                <w:sz w:val="21"/>
              </w:rPr>
            </w:pPr>
          </w:p>
          <w:p w14:paraId="0674FE90">
            <w:pPr>
              <w:spacing w:line="247" w:lineRule="auto"/>
              <w:rPr>
                <w:rFonts w:ascii="Arial"/>
                <w:sz w:val="21"/>
              </w:rPr>
            </w:pPr>
          </w:p>
          <w:p w14:paraId="0D01B1CC">
            <w:pPr>
              <w:spacing w:line="247" w:lineRule="auto"/>
              <w:rPr>
                <w:rFonts w:ascii="Arial"/>
                <w:sz w:val="21"/>
              </w:rPr>
            </w:pPr>
          </w:p>
          <w:p w14:paraId="678D5EA4">
            <w:pPr>
              <w:spacing w:line="247" w:lineRule="auto"/>
              <w:rPr>
                <w:rFonts w:ascii="Arial"/>
                <w:sz w:val="21"/>
              </w:rPr>
            </w:pPr>
          </w:p>
          <w:p w14:paraId="298AD3D2">
            <w:pPr>
              <w:spacing w:line="247" w:lineRule="auto"/>
              <w:rPr>
                <w:rFonts w:ascii="Arial"/>
                <w:sz w:val="21"/>
              </w:rPr>
            </w:pPr>
          </w:p>
          <w:p w14:paraId="21F4E369">
            <w:pPr>
              <w:spacing w:line="247" w:lineRule="auto"/>
              <w:rPr>
                <w:rFonts w:ascii="Arial"/>
                <w:sz w:val="21"/>
              </w:rPr>
            </w:pPr>
          </w:p>
          <w:p w14:paraId="1C3572EF">
            <w:pPr>
              <w:spacing w:line="248" w:lineRule="auto"/>
              <w:rPr>
                <w:rFonts w:ascii="Arial"/>
                <w:sz w:val="21"/>
              </w:rPr>
            </w:pPr>
          </w:p>
          <w:p w14:paraId="59DBCCFC">
            <w:pPr>
              <w:spacing w:line="248" w:lineRule="auto"/>
              <w:rPr>
                <w:rFonts w:ascii="Arial"/>
                <w:sz w:val="21"/>
              </w:rPr>
            </w:pPr>
          </w:p>
          <w:p w14:paraId="473942FA">
            <w:pPr>
              <w:spacing w:line="248" w:lineRule="auto"/>
              <w:rPr>
                <w:rFonts w:ascii="Arial"/>
                <w:sz w:val="21"/>
              </w:rPr>
            </w:pPr>
          </w:p>
          <w:p w14:paraId="0146EE41">
            <w:pPr>
              <w:spacing w:line="248" w:lineRule="auto"/>
              <w:rPr>
                <w:rFonts w:ascii="Arial"/>
                <w:sz w:val="21"/>
              </w:rPr>
            </w:pPr>
          </w:p>
          <w:p w14:paraId="3BC6F343">
            <w:pPr>
              <w:spacing w:line="248" w:lineRule="auto"/>
              <w:rPr>
                <w:rFonts w:ascii="Arial"/>
                <w:sz w:val="21"/>
              </w:rPr>
            </w:pPr>
          </w:p>
          <w:p w14:paraId="0A9AC180">
            <w:pPr>
              <w:spacing w:before="69"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001C086E">
      <w:pPr>
        <w:pStyle w:val="2"/>
      </w:pPr>
    </w:p>
    <w:p w14:paraId="439E7289">
      <w:pPr>
        <w:sectPr>
          <w:footerReference r:id="rId122" w:type="default"/>
          <w:pgSz w:w="11905" w:h="16840"/>
          <w:pgMar w:top="1168" w:right="1768" w:bottom="1409" w:left="1770" w:header="828" w:footer="1244" w:gutter="0"/>
          <w:cols w:space="720" w:num="1"/>
        </w:sectPr>
      </w:pPr>
    </w:p>
    <w:p w14:paraId="0FB1AE8F">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559"/>
        <w:gridCol w:w="3346"/>
        <w:gridCol w:w="1693"/>
        <w:gridCol w:w="746"/>
      </w:tblGrid>
      <w:tr w14:paraId="253C1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5"/>
            <w:vAlign w:val="top"/>
          </w:tcPr>
          <w:p w14:paraId="4C55A17F">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49145692">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3CAADF42">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65693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74B881D2">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gridSpan w:val="2"/>
            <w:vAlign w:val="top"/>
          </w:tcPr>
          <w:p w14:paraId="0A5737F3">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3EC5C87B">
            <w:pPr>
              <w:rPr>
                <w:rFonts w:ascii="Arial"/>
                <w:sz w:val="21"/>
              </w:rPr>
            </w:pPr>
          </w:p>
        </w:tc>
        <w:tc>
          <w:tcPr>
            <w:tcW w:w="746" w:type="dxa"/>
            <w:vMerge w:val="continue"/>
            <w:tcBorders>
              <w:top w:val="nil"/>
            </w:tcBorders>
            <w:vAlign w:val="top"/>
          </w:tcPr>
          <w:p w14:paraId="6AC2378C">
            <w:pPr>
              <w:rPr>
                <w:rFonts w:ascii="Arial"/>
                <w:sz w:val="21"/>
              </w:rPr>
            </w:pPr>
          </w:p>
        </w:tc>
      </w:tr>
      <w:tr w14:paraId="3051B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9" w:hRule="atLeast"/>
        </w:trPr>
        <w:tc>
          <w:tcPr>
            <w:tcW w:w="721" w:type="dxa"/>
            <w:vMerge w:val="restart"/>
            <w:tcBorders>
              <w:bottom w:val="nil"/>
            </w:tcBorders>
            <w:vAlign w:val="top"/>
          </w:tcPr>
          <w:p w14:paraId="20F7D8A3">
            <w:pPr>
              <w:rPr>
                <w:rFonts w:ascii="Arial"/>
                <w:sz w:val="21"/>
              </w:rPr>
            </w:pPr>
          </w:p>
        </w:tc>
        <w:tc>
          <w:tcPr>
            <w:tcW w:w="561" w:type="dxa"/>
            <w:vMerge w:val="restart"/>
            <w:tcBorders>
              <w:bottom w:val="nil"/>
            </w:tcBorders>
            <w:vAlign w:val="top"/>
          </w:tcPr>
          <w:p w14:paraId="5460ADD8">
            <w:pPr>
              <w:rPr>
                <w:rFonts w:ascii="Arial"/>
                <w:sz w:val="21"/>
              </w:rPr>
            </w:pPr>
          </w:p>
        </w:tc>
        <w:tc>
          <w:tcPr>
            <w:tcW w:w="700" w:type="dxa"/>
            <w:vAlign w:val="top"/>
          </w:tcPr>
          <w:p w14:paraId="3978730D">
            <w:pPr>
              <w:rPr>
                <w:rFonts w:ascii="Arial"/>
                <w:sz w:val="21"/>
              </w:rPr>
            </w:pPr>
          </w:p>
        </w:tc>
        <w:tc>
          <w:tcPr>
            <w:tcW w:w="559" w:type="dxa"/>
            <w:vAlign w:val="top"/>
          </w:tcPr>
          <w:p w14:paraId="6F34EE1D">
            <w:pPr>
              <w:rPr>
                <w:rFonts w:ascii="Arial"/>
                <w:sz w:val="21"/>
              </w:rPr>
            </w:pPr>
          </w:p>
        </w:tc>
        <w:tc>
          <w:tcPr>
            <w:tcW w:w="3346" w:type="dxa"/>
            <w:vAlign w:val="top"/>
          </w:tcPr>
          <w:p w14:paraId="23E68085">
            <w:pPr>
              <w:spacing w:before="75" w:line="315" w:lineRule="auto"/>
              <w:ind w:left="4" w:right="5"/>
              <w:jc w:val="both"/>
              <w:rPr>
                <w:rFonts w:ascii="宋体" w:hAnsi="宋体" w:eastAsia="宋体" w:cs="宋体"/>
                <w:sz w:val="21"/>
                <w:szCs w:val="21"/>
              </w:rPr>
            </w:pPr>
            <w:r>
              <w:rPr>
                <w:rFonts w:ascii="宋体" w:hAnsi="宋体" w:eastAsia="宋体" w:cs="宋体"/>
                <w:spacing w:val="-2"/>
                <w:sz w:val="21"/>
                <w:szCs w:val="21"/>
              </w:rPr>
              <w:t>放，优先开展提标升级改造；若未按期完成排污许可证申领或备案，应按</w:t>
            </w:r>
            <w:r>
              <w:rPr>
                <w:rFonts w:ascii="宋体" w:hAnsi="宋体" w:eastAsia="宋体" w:cs="宋体"/>
                <w:spacing w:val="-4"/>
                <w:sz w:val="21"/>
                <w:szCs w:val="21"/>
              </w:rPr>
              <w:t>相关要求停产整治。</w:t>
            </w:r>
          </w:p>
          <w:p w14:paraId="3AD26E2C">
            <w:pPr>
              <w:spacing w:before="5" w:line="315" w:lineRule="auto"/>
              <w:ind w:left="4" w:firstLine="16"/>
              <w:jc w:val="both"/>
              <w:rPr>
                <w:rFonts w:ascii="宋体" w:hAnsi="宋体" w:eastAsia="宋体" w:cs="宋体"/>
                <w:sz w:val="21"/>
                <w:szCs w:val="21"/>
              </w:rPr>
            </w:pPr>
            <w:r>
              <w:rPr>
                <w:rFonts w:ascii="宋体" w:hAnsi="宋体" w:eastAsia="宋体" w:cs="宋体"/>
                <w:spacing w:val="-8"/>
                <w:sz w:val="21"/>
                <w:szCs w:val="21"/>
              </w:rPr>
              <w:t>区外企业：要素重点管控单元内的区</w:t>
            </w:r>
            <w:r>
              <w:rPr>
                <w:rFonts w:ascii="宋体" w:hAnsi="宋体" w:eastAsia="宋体" w:cs="宋体"/>
                <w:spacing w:val="-7"/>
                <w:sz w:val="21"/>
                <w:szCs w:val="21"/>
              </w:rPr>
              <w:t>外企业，①具有合法手续的企业，且</w:t>
            </w:r>
            <w:r>
              <w:rPr>
                <w:rFonts w:ascii="宋体" w:hAnsi="宋体" w:eastAsia="宋体" w:cs="宋体"/>
                <w:spacing w:val="7"/>
                <w:sz w:val="21"/>
                <w:szCs w:val="21"/>
              </w:rPr>
              <w:t>污染物排放及环境风险满足管理要</w:t>
            </w:r>
            <w:r>
              <w:rPr>
                <w:rFonts w:ascii="宋体" w:hAnsi="宋体" w:eastAsia="宋体" w:cs="宋体"/>
                <w:spacing w:val="-17"/>
                <w:sz w:val="21"/>
                <w:szCs w:val="21"/>
              </w:rPr>
              <w:t>求的企业，可继续保留。其中，</w:t>
            </w:r>
            <w:r>
              <w:rPr>
                <w:rFonts w:ascii="宋体" w:hAnsi="宋体" w:eastAsia="宋体" w:cs="宋体"/>
                <w:spacing w:val="-51"/>
                <w:sz w:val="21"/>
                <w:szCs w:val="21"/>
              </w:rPr>
              <w:t xml:space="preserve"> </w:t>
            </w:r>
            <w:r>
              <w:rPr>
                <w:rFonts w:ascii="宋体" w:hAnsi="宋体" w:eastAsia="宋体" w:cs="宋体"/>
                <w:spacing w:val="-17"/>
                <w:sz w:val="21"/>
                <w:szCs w:val="21"/>
              </w:rPr>
              <w:t>钢铁、</w:t>
            </w:r>
            <w:r>
              <w:rPr>
                <w:rFonts w:ascii="宋体" w:hAnsi="宋体" w:eastAsia="宋体" w:cs="宋体"/>
                <w:spacing w:val="-14"/>
                <w:sz w:val="21"/>
                <w:szCs w:val="21"/>
              </w:rPr>
              <w:t>石化、化工、建材等原则上限制发展，</w:t>
            </w:r>
            <w:r>
              <w:rPr>
                <w:rFonts w:ascii="宋体" w:hAnsi="宋体" w:eastAsia="宋体" w:cs="宋体"/>
                <w:spacing w:val="-7"/>
                <w:sz w:val="21"/>
                <w:szCs w:val="21"/>
              </w:rPr>
              <w:t>要求污染物排放只降不增，并进一步</w:t>
            </w:r>
            <w:r>
              <w:rPr>
                <w:rFonts w:ascii="宋体" w:hAnsi="宋体" w:eastAsia="宋体" w:cs="宋体"/>
                <w:spacing w:val="7"/>
                <w:sz w:val="21"/>
                <w:szCs w:val="21"/>
              </w:rPr>
              <w:t>加强日常环保监管；允许以提升安全、生态环境保护水平为目的的改</w:t>
            </w:r>
            <w:r>
              <w:rPr>
                <w:rFonts w:ascii="宋体" w:hAnsi="宋体" w:eastAsia="宋体" w:cs="宋体"/>
                <w:spacing w:val="-7"/>
                <w:sz w:val="21"/>
                <w:szCs w:val="21"/>
              </w:rPr>
              <w:t>建，以及不增加污染物排放和环境风险的产品升级调整，引导企业结合产</w:t>
            </w:r>
            <w:r>
              <w:rPr>
                <w:rFonts w:ascii="宋体" w:hAnsi="宋体" w:eastAsia="宋体" w:cs="宋体"/>
                <w:spacing w:val="-14"/>
                <w:sz w:val="21"/>
                <w:szCs w:val="21"/>
              </w:rPr>
              <w:t>业升级、化解过剩产能等，搬迁入园。</w:t>
            </w:r>
          </w:p>
          <w:p w14:paraId="0C79D706">
            <w:pPr>
              <w:spacing w:before="5" w:line="300" w:lineRule="auto"/>
              <w:ind w:left="4" w:right="5" w:hanging="1"/>
              <w:jc w:val="both"/>
              <w:rPr>
                <w:rFonts w:ascii="宋体" w:hAnsi="宋体" w:eastAsia="宋体" w:cs="宋体"/>
                <w:sz w:val="21"/>
                <w:szCs w:val="21"/>
              </w:rPr>
            </w:pPr>
            <w:r>
              <w:rPr>
                <w:rFonts w:ascii="宋体" w:hAnsi="宋体" w:eastAsia="宋体" w:cs="宋体"/>
                <w:spacing w:val="-2"/>
                <w:sz w:val="21"/>
                <w:szCs w:val="21"/>
              </w:rPr>
              <w:t>②不具备合法手续，或污染物排放超</w:t>
            </w:r>
            <w:r>
              <w:rPr>
                <w:rFonts w:ascii="宋体" w:hAnsi="宋体" w:eastAsia="宋体" w:cs="宋体"/>
                <w:spacing w:val="-13"/>
                <w:sz w:val="21"/>
                <w:szCs w:val="21"/>
              </w:rPr>
              <w:t>标、环境风险不可控的企业，</w:t>
            </w:r>
            <w:r>
              <w:rPr>
                <w:rFonts w:ascii="宋体" w:hAnsi="宋体" w:eastAsia="宋体" w:cs="宋体"/>
                <w:spacing w:val="72"/>
                <w:sz w:val="21"/>
                <w:szCs w:val="21"/>
              </w:rPr>
              <w:t xml:space="preserve"> </w:t>
            </w:r>
            <w:r>
              <w:rPr>
                <w:rFonts w:ascii="宋体" w:hAnsi="宋体" w:eastAsia="宋体" w:cs="宋体"/>
                <w:spacing w:val="-13"/>
                <w:sz w:val="21"/>
                <w:szCs w:val="21"/>
              </w:rPr>
              <w:t>限期进</w:t>
            </w:r>
            <w:r>
              <w:rPr>
                <w:rFonts w:ascii="宋体" w:hAnsi="宋体" w:eastAsia="宋体" w:cs="宋体"/>
                <w:spacing w:val="-2"/>
                <w:sz w:val="21"/>
                <w:szCs w:val="21"/>
              </w:rPr>
              <w:t>行整改提升，通过环保、安全、工艺</w:t>
            </w:r>
            <w:r>
              <w:rPr>
                <w:rFonts w:ascii="宋体" w:hAnsi="宋体" w:eastAsia="宋体" w:cs="宋体"/>
                <w:spacing w:val="11"/>
                <w:sz w:val="21"/>
                <w:szCs w:val="21"/>
              </w:rPr>
              <w:t>装备升级等落实整改措施并达到相</w:t>
            </w:r>
            <w:r>
              <w:rPr>
                <w:rFonts w:ascii="宋体" w:hAnsi="宋体" w:eastAsia="宋体" w:cs="宋体"/>
                <w:spacing w:val="-4"/>
                <w:sz w:val="21"/>
                <w:szCs w:val="21"/>
              </w:rPr>
              <w:t>关标准实现合法生产。</w:t>
            </w:r>
          </w:p>
        </w:tc>
        <w:tc>
          <w:tcPr>
            <w:tcW w:w="1693" w:type="dxa"/>
            <w:vAlign w:val="top"/>
          </w:tcPr>
          <w:p w14:paraId="50B024FE">
            <w:pPr>
              <w:rPr>
                <w:rFonts w:ascii="Arial"/>
                <w:sz w:val="21"/>
              </w:rPr>
            </w:pPr>
          </w:p>
        </w:tc>
        <w:tc>
          <w:tcPr>
            <w:tcW w:w="746" w:type="dxa"/>
            <w:vAlign w:val="top"/>
          </w:tcPr>
          <w:p w14:paraId="7A373424">
            <w:pPr>
              <w:rPr>
                <w:rFonts w:ascii="Arial"/>
                <w:sz w:val="21"/>
              </w:rPr>
            </w:pPr>
          </w:p>
        </w:tc>
      </w:tr>
      <w:tr w14:paraId="7F626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9" w:hRule="atLeast"/>
        </w:trPr>
        <w:tc>
          <w:tcPr>
            <w:tcW w:w="721" w:type="dxa"/>
            <w:vMerge w:val="continue"/>
            <w:tcBorders>
              <w:top w:val="nil"/>
              <w:bottom w:val="nil"/>
            </w:tcBorders>
            <w:vAlign w:val="top"/>
          </w:tcPr>
          <w:p w14:paraId="2E97271D">
            <w:pPr>
              <w:rPr>
                <w:rFonts w:ascii="Arial"/>
                <w:sz w:val="21"/>
              </w:rPr>
            </w:pPr>
          </w:p>
        </w:tc>
        <w:tc>
          <w:tcPr>
            <w:tcW w:w="561" w:type="dxa"/>
            <w:vMerge w:val="continue"/>
            <w:tcBorders>
              <w:top w:val="nil"/>
              <w:bottom w:val="nil"/>
            </w:tcBorders>
            <w:vAlign w:val="top"/>
          </w:tcPr>
          <w:p w14:paraId="5EA2CBEC">
            <w:pPr>
              <w:rPr>
                <w:rFonts w:ascii="Arial"/>
                <w:sz w:val="21"/>
              </w:rPr>
            </w:pPr>
          </w:p>
        </w:tc>
        <w:tc>
          <w:tcPr>
            <w:tcW w:w="700" w:type="dxa"/>
            <w:vMerge w:val="restart"/>
            <w:tcBorders>
              <w:bottom w:val="nil"/>
            </w:tcBorders>
            <w:vAlign w:val="top"/>
          </w:tcPr>
          <w:p w14:paraId="28D3F80E">
            <w:pPr>
              <w:spacing w:line="250" w:lineRule="auto"/>
              <w:rPr>
                <w:rFonts w:ascii="Arial"/>
                <w:sz w:val="21"/>
              </w:rPr>
            </w:pPr>
          </w:p>
          <w:p w14:paraId="3BAC5587">
            <w:pPr>
              <w:spacing w:line="250" w:lineRule="auto"/>
              <w:rPr>
                <w:rFonts w:ascii="Arial"/>
                <w:sz w:val="21"/>
              </w:rPr>
            </w:pPr>
          </w:p>
          <w:p w14:paraId="55FD7785">
            <w:pPr>
              <w:spacing w:line="250" w:lineRule="auto"/>
              <w:rPr>
                <w:rFonts w:ascii="Arial"/>
                <w:sz w:val="21"/>
              </w:rPr>
            </w:pPr>
          </w:p>
          <w:p w14:paraId="29C2765A">
            <w:pPr>
              <w:spacing w:line="250" w:lineRule="auto"/>
              <w:rPr>
                <w:rFonts w:ascii="Arial"/>
                <w:sz w:val="21"/>
              </w:rPr>
            </w:pPr>
          </w:p>
          <w:p w14:paraId="6FF679B9">
            <w:pPr>
              <w:spacing w:line="251" w:lineRule="auto"/>
              <w:rPr>
                <w:rFonts w:ascii="Arial"/>
                <w:sz w:val="21"/>
              </w:rPr>
            </w:pPr>
          </w:p>
          <w:p w14:paraId="373DC554">
            <w:pPr>
              <w:spacing w:line="251" w:lineRule="auto"/>
              <w:rPr>
                <w:rFonts w:ascii="Arial"/>
                <w:sz w:val="21"/>
              </w:rPr>
            </w:pPr>
          </w:p>
          <w:p w14:paraId="6C96F4F7">
            <w:pPr>
              <w:spacing w:line="251" w:lineRule="auto"/>
              <w:rPr>
                <w:rFonts w:ascii="Arial"/>
                <w:sz w:val="21"/>
              </w:rPr>
            </w:pPr>
          </w:p>
          <w:p w14:paraId="084801B8">
            <w:pPr>
              <w:spacing w:line="251" w:lineRule="auto"/>
              <w:rPr>
                <w:rFonts w:ascii="Arial"/>
                <w:sz w:val="21"/>
              </w:rPr>
            </w:pPr>
          </w:p>
          <w:p w14:paraId="0E7657C8">
            <w:pPr>
              <w:spacing w:line="251" w:lineRule="auto"/>
              <w:rPr>
                <w:rFonts w:ascii="Arial"/>
                <w:sz w:val="21"/>
              </w:rPr>
            </w:pPr>
          </w:p>
          <w:p w14:paraId="42180DBD">
            <w:pPr>
              <w:spacing w:line="251" w:lineRule="auto"/>
              <w:rPr>
                <w:rFonts w:ascii="Arial"/>
                <w:sz w:val="21"/>
              </w:rPr>
            </w:pPr>
          </w:p>
          <w:p w14:paraId="13C13849">
            <w:pPr>
              <w:spacing w:before="68" w:line="220" w:lineRule="auto"/>
              <w:ind w:left="34"/>
              <w:rPr>
                <w:rFonts w:ascii="宋体" w:hAnsi="宋体" w:eastAsia="宋体" w:cs="宋体"/>
                <w:sz w:val="21"/>
                <w:szCs w:val="21"/>
              </w:rPr>
            </w:pPr>
            <w:r>
              <w:rPr>
                <w:rFonts w:ascii="宋体" w:hAnsi="宋体" w:eastAsia="宋体" w:cs="宋体"/>
                <w:spacing w:val="-3"/>
                <w:sz w:val="21"/>
                <w:szCs w:val="21"/>
              </w:rPr>
              <w:t>污染物</w:t>
            </w:r>
          </w:p>
          <w:p w14:paraId="48F0D6D7">
            <w:pPr>
              <w:spacing w:before="102" w:line="220" w:lineRule="auto"/>
              <w:ind w:left="32"/>
              <w:rPr>
                <w:rFonts w:ascii="宋体" w:hAnsi="宋体" w:eastAsia="宋体" w:cs="宋体"/>
                <w:sz w:val="21"/>
                <w:szCs w:val="21"/>
              </w:rPr>
            </w:pPr>
            <w:r>
              <w:rPr>
                <w:rFonts w:ascii="宋体" w:hAnsi="宋体" w:eastAsia="宋体" w:cs="宋体"/>
                <w:spacing w:val="-2"/>
                <w:sz w:val="21"/>
                <w:szCs w:val="21"/>
              </w:rPr>
              <w:t>排放管</w:t>
            </w:r>
          </w:p>
          <w:p w14:paraId="39832243">
            <w:pPr>
              <w:spacing w:before="105" w:line="220" w:lineRule="auto"/>
              <w:ind w:left="241"/>
              <w:rPr>
                <w:rFonts w:ascii="宋体" w:hAnsi="宋体" w:eastAsia="宋体" w:cs="宋体"/>
                <w:sz w:val="21"/>
                <w:szCs w:val="21"/>
              </w:rPr>
            </w:pPr>
            <w:r>
              <w:rPr>
                <w:rFonts w:ascii="宋体" w:hAnsi="宋体" w:eastAsia="宋体" w:cs="宋体"/>
                <w:sz w:val="21"/>
                <w:szCs w:val="21"/>
              </w:rPr>
              <w:t>控</w:t>
            </w:r>
          </w:p>
        </w:tc>
        <w:tc>
          <w:tcPr>
            <w:tcW w:w="559" w:type="dxa"/>
            <w:vAlign w:val="top"/>
          </w:tcPr>
          <w:p w14:paraId="4F809E84">
            <w:pPr>
              <w:spacing w:line="267" w:lineRule="auto"/>
              <w:rPr>
                <w:rFonts w:ascii="Arial"/>
                <w:sz w:val="21"/>
              </w:rPr>
            </w:pPr>
          </w:p>
          <w:p w14:paraId="704BBE68">
            <w:pPr>
              <w:spacing w:line="267" w:lineRule="auto"/>
              <w:rPr>
                <w:rFonts w:ascii="Arial"/>
                <w:sz w:val="21"/>
              </w:rPr>
            </w:pPr>
          </w:p>
          <w:p w14:paraId="09CB1E8B">
            <w:pPr>
              <w:spacing w:before="68" w:line="314" w:lineRule="auto"/>
              <w:ind w:left="69" w:right="72" w:firstLine="7"/>
              <w:jc w:val="both"/>
              <w:rPr>
                <w:rFonts w:ascii="宋体" w:hAnsi="宋体" w:eastAsia="宋体" w:cs="宋体"/>
                <w:sz w:val="21"/>
                <w:szCs w:val="21"/>
              </w:rPr>
            </w:pPr>
            <w:r>
              <w:rPr>
                <w:rFonts w:ascii="宋体" w:hAnsi="宋体" w:eastAsia="宋体" w:cs="宋体"/>
                <w:spacing w:val="-8"/>
                <w:sz w:val="21"/>
                <w:szCs w:val="21"/>
              </w:rPr>
              <w:t>允许</w:t>
            </w:r>
            <w:r>
              <w:rPr>
                <w:rFonts w:ascii="宋体" w:hAnsi="宋体" w:eastAsia="宋体" w:cs="宋体"/>
                <w:spacing w:val="-5"/>
                <w:sz w:val="21"/>
                <w:szCs w:val="21"/>
              </w:rPr>
              <w:t>排放量要</w:t>
            </w:r>
            <w:r>
              <w:rPr>
                <w:rFonts w:ascii="宋体" w:hAnsi="宋体" w:eastAsia="宋体" w:cs="宋体"/>
                <w:spacing w:val="39"/>
                <w:w w:val="127"/>
                <w:sz w:val="21"/>
                <w:szCs w:val="21"/>
              </w:rPr>
              <w:t>求</w:t>
            </w:r>
          </w:p>
        </w:tc>
        <w:tc>
          <w:tcPr>
            <w:tcW w:w="3346" w:type="dxa"/>
            <w:vAlign w:val="top"/>
          </w:tcPr>
          <w:p w14:paraId="26A408C2">
            <w:pPr>
              <w:pStyle w:val="6"/>
              <w:spacing w:before="245" w:line="315" w:lineRule="auto"/>
              <w:ind w:right="5" w:firstLine="10"/>
              <w:rPr>
                <w:rFonts w:ascii="宋体" w:hAnsi="宋体" w:eastAsia="宋体" w:cs="宋体"/>
              </w:rPr>
            </w:pPr>
            <w:r>
              <w:rPr>
                <w:rFonts w:ascii="宋体" w:hAnsi="宋体" w:eastAsia="宋体" w:cs="宋体"/>
                <w:spacing w:val="-5"/>
              </w:rPr>
              <w:t>全市</w:t>
            </w:r>
            <w:r>
              <w:rPr>
                <w:rFonts w:ascii="宋体" w:hAnsi="宋体" w:eastAsia="宋体" w:cs="宋体"/>
                <w:spacing w:val="-39"/>
              </w:rPr>
              <w:t>：（</w:t>
            </w:r>
            <w:r>
              <w:rPr>
                <w:spacing w:val="-5"/>
              </w:rPr>
              <w:t>1</w:t>
            </w:r>
            <w:r>
              <w:rPr>
                <w:rFonts w:ascii="宋体" w:hAnsi="宋体" w:eastAsia="宋体" w:cs="宋体"/>
                <w:spacing w:val="-5"/>
              </w:rPr>
              <w:t>）大气：</w:t>
            </w:r>
            <w:r>
              <w:rPr>
                <w:spacing w:val="-5"/>
              </w:rPr>
              <w:t>SO</w:t>
            </w:r>
            <w:r>
              <w:rPr>
                <w:spacing w:val="-5"/>
                <w:position w:val="-2"/>
                <w:sz w:val="14"/>
                <w:szCs w:val="14"/>
              </w:rPr>
              <w:t>2</w:t>
            </w:r>
            <w:r>
              <w:rPr>
                <w:spacing w:val="23"/>
                <w:position w:val="-2"/>
                <w:sz w:val="14"/>
                <w:szCs w:val="14"/>
              </w:rPr>
              <w:t xml:space="preserve"> </w:t>
            </w:r>
            <w:r>
              <w:rPr>
                <w:spacing w:val="-5"/>
              </w:rPr>
              <w:t>23222</w:t>
            </w:r>
            <w:r>
              <w:rPr>
                <w:spacing w:val="19"/>
              </w:rPr>
              <w:t xml:space="preserve"> </w:t>
            </w:r>
            <w:r>
              <w:rPr>
                <w:rFonts w:ascii="宋体" w:hAnsi="宋体" w:eastAsia="宋体" w:cs="宋体"/>
                <w:spacing w:val="-5"/>
              </w:rPr>
              <w:t>吨</w:t>
            </w:r>
            <w:r>
              <w:rPr>
                <w:spacing w:val="-5"/>
              </w:rPr>
              <w:t>/</w:t>
            </w:r>
            <w:r>
              <w:rPr>
                <w:rFonts w:ascii="宋体" w:hAnsi="宋体" w:eastAsia="宋体" w:cs="宋体"/>
                <w:spacing w:val="-5"/>
              </w:rPr>
              <w:t>年、</w:t>
            </w:r>
            <w:r>
              <w:rPr>
                <w:rFonts w:ascii="宋体" w:hAnsi="宋体" w:eastAsia="宋体" w:cs="宋体"/>
              </w:rPr>
              <w:t xml:space="preserve"> </w:t>
            </w:r>
            <w:r>
              <w:rPr>
                <w:spacing w:val="-1"/>
              </w:rPr>
              <w:t>NOx  26933</w:t>
            </w:r>
            <w:r>
              <w:rPr>
                <w:spacing w:val="10"/>
              </w:rPr>
              <w:t xml:space="preserve">  </w:t>
            </w:r>
            <w:r>
              <w:rPr>
                <w:rFonts w:ascii="宋体" w:hAnsi="宋体" w:eastAsia="宋体" w:cs="宋体"/>
                <w:spacing w:val="-1"/>
              </w:rPr>
              <w:t>吨</w:t>
            </w:r>
            <w:r>
              <w:rPr>
                <w:spacing w:val="-1"/>
              </w:rPr>
              <w:t>/</w:t>
            </w:r>
            <w:r>
              <w:rPr>
                <w:rFonts w:ascii="宋体" w:hAnsi="宋体" w:eastAsia="宋体" w:cs="宋体"/>
                <w:spacing w:val="-1"/>
              </w:rPr>
              <w:t>年、</w:t>
            </w:r>
            <w:r>
              <w:rPr>
                <w:spacing w:val="-1"/>
              </w:rPr>
              <w:t>PM</w:t>
            </w:r>
            <w:r>
              <w:rPr>
                <w:spacing w:val="-1"/>
                <w:position w:val="-2"/>
                <w:sz w:val="14"/>
                <w:szCs w:val="14"/>
              </w:rPr>
              <w:t xml:space="preserve">2.5    </w:t>
            </w:r>
            <w:r>
              <w:rPr>
                <w:spacing w:val="-1"/>
              </w:rPr>
              <w:t xml:space="preserve">10371 </w:t>
            </w:r>
            <w:r>
              <w:rPr>
                <w:spacing w:val="-2"/>
              </w:rPr>
              <w:t xml:space="preserve"> </w:t>
            </w:r>
            <w:r>
              <w:rPr>
                <w:rFonts w:ascii="宋体" w:hAnsi="宋体" w:eastAsia="宋体" w:cs="宋体"/>
                <w:spacing w:val="-2"/>
              </w:rPr>
              <w:t>吨</w:t>
            </w:r>
            <w:r>
              <w:rPr>
                <w:spacing w:val="-2"/>
              </w:rPr>
              <w:t>/</w:t>
            </w:r>
            <w:r>
              <w:rPr>
                <w:rFonts w:ascii="宋体" w:hAnsi="宋体" w:eastAsia="宋体" w:cs="宋体"/>
                <w:spacing w:val="-3"/>
              </w:rPr>
              <w:t>年、</w:t>
            </w:r>
            <w:r>
              <w:rPr>
                <w:spacing w:val="-3"/>
              </w:rPr>
              <w:t>VOCs 23874</w:t>
            </w:r>
            <w:r>
              <w:rPr>
                <w:spacing w:val="22"/>
              </w:rPr>
              <w:t xml:space="preserve"> </w:t>
            </w:r>
            <w:r>
              <w:rPr>
                <w:rFonts w:ascii="宋体" w:hAnsi="宋体" w:eastAsia="宋体" w:cs="宋体"/>
                <w:spacing w:val="-3"/>
              </w:rPr>
              <w:t>吨</w:t>
            </w:r>
            <w:r>
              <w:rPr>
                <w:spacing w:val="-3"/>
              </w:rPr>
              <w:t>/</w:t>
            </w:r>
            <w:r>
              <w:rPr>
                <w:rFonts w:ascii="宋体" w:hAnsi="宋体" w:eastAsia="宋体" w:cs="宋体"/>
                <w:spacing w:val="-3"/>
              </w:rPr>
              <w:t>年；</w:t>
            </w:r>
          </w:p>
          <w:p w14:paraId="2F304045">
            <w:pPr>
              <w:pStyle w:val="6"/>
              <w:spacing w:before="2" w:line="316" w:lineRule="auto"/>
              <w:ind w:left="5" w:right="5" w:firstLine="5"/>
              <w:jc w:val="both"/>
              <w:rPr>
                <w:rFonts w:ascii="宋体" w:hAnsi="宋体" w:eastAsia="宋体" w:cs="宋体"/>
              </w:rPr>
            </w:pPr>
            <w:r>
              <w:rPr>
                <w:rFonts w:ascii="宋体" w:hAnsi="宋体" w:eastAsia="宋体" w:cs="宋体"/>
                <w:spacing w:val="3"/>
              </w:rPr>
              <w:t>（</w:t>
            </w:r>
            <w:r>
              <w:rPr>
                <w:spacing w:val="3"/>
              </w:rPr>
              <w:t>2</w:t>
            </w:r>
            <w:r>
              <w:rPr>
                <w:rFonts w:ascii="宋体" w:hAnsi="宋体" w:eastAsia="宋体" w:cs="宋体"/>
                <w:spacing w:val="3"/>
              </w:rPr>
              <w:t>）水：</w:t>
            </w:r>
            <w:r>
              <w:t>COD</w:t>
            </w:r>
            <w:r>
              <w:rPr>
                <w:rFonts w:ascii="宋体" w:hAnsi="宋体" w:eastAsia="宋体" w:cs="宋体"/>
                <w:spacing w:val="3"/>
              </w:rPr>
              <w:t>、氨氮和总磷允许排</w:t>
            </w:r>
            <w:r>
              <w:rPr>
                <w:rFonts w:ascii="宋体" w:hAnsi="宋体" w:eastAsia="宋体" w:cs="宋体"/>
                <w:spacing w:val="-2"/>
              </w:rPr>
              <w:t xml:space="preserve">放量分别为 </w:t>
            </w:r>
            <w:r>
              <w:rPr>
                <w:spacing w:val="-2"/>
              </w:rPr>
              <w:t xml:space="preserve">90537  </w:t>
            </w:r>
            <w:r>
              <w:rPr>
                <w:rFonts w:ascii="宋体" w:hAnsi="宋体" w:eastAsia="宋体" w:cs="宋体"/>
                <w:spacing w:val="-2"/>
              </w:rPr>
              <w:t>吨</w:t>
            </w:r>
            <w:r>
              <w:rPr>
                <w:spacing w:val="-2"/>
              </w:rPr>
              <w:t>/</w:t>
            </w:r>
            <w:r>
              <w:rPr>
                <w:rFonts w:ascii="宋体" w:hAnsi="宋体" w:eastAsia="宋体" w:cs="宋体"/>
                <w:spacing w:val="-2"/>
              </w:rPr>
              <w:t>年、</w:t>
            </w:r>
            <w:r>
              <w:rPr>
                <w:spacing w:val="-2"/>
              </w:rPr>
              <w:t xml:space="preserve">14077  </w:t>
            </w:r>
            <w:r>
              <w:rPr>
                <w:rFonts w:ascii="宋体" w:hAnsi="宋体" w:eastAsia="宋体" w:cs="宋体"/>
                <w:spacing w:val="-2"/>
              </w:rPr>
              <w:t>吨</w:t>
            </w:r>
            <w:r>
              <w:rPr>
                <w:spacing w:val="-2"/>
              </w:rPr>
              <w:t>/</w:t>
            </w:r>
            <w:r>
              <w:rPr>
                <w:rFonts w:ascii="宋体" w:hAnsi="宋体" w:eastAsia="宋体" w:cs="宋体"/>
                <w:spacing w:val="-5"/>
              </w:rPr>
              <w:t>年、</w:t>
            </w:r>
            <w:r>
              <w:rPr>
                <w:spacing w:val="-5"/>
              </w:rPr>
              <w:t>1071</w:t>
            </w:r>
            <w:r>
              <w:rPr>
                <w:spacing w:val="25"/>
                <w:w w:val="101"/>
              </w:rPr>
              <w:t xml:space="preserve"> </w:t>
            </w:r>
            <w:r>
              <w:rPr>
                <w:rFonts w:ascii="宋体" w:hAnsi="宋体" w:eastAsia="宋体" w:cs="宋体"/>
                <w:spacing w:val="-5"/>
              </w:rPr>
              <w:t>吨</w:t>
            </w:r>
            <w:r>
              <w:rPr>
                <w:spacing w:val="-5"/>
              </w:rPr>
              <w:t>/</w:t>
            </w:r>
            <w:r>
              <w:rPr>
                <w:rFonts w:ascii="宋体" w:hAnsi="宋体" w:eastAsia="宋体" w:cs="宋体"/>
                <w:spacing w:val="-5"/>
              </w:rPr>
              <w:t>年。</w:t>
            </w:r>
          </w:p>
        </w:tc>
        <w:tc>
          <w:tcPr>
            <w:tcW w:w="1693" w:type="dxa"/>
            <w:vAlign w:val="top"/>
          </w:tcPr>
          <w:p w14:paraId="576AC70D">
            <w:pPr>
              <w:spacing w:before="74" w:line="302" w:lineRule="auto"/>
              <w:ind w:left="7" w:right="6"/>
              <w:jc w:val="both"/>
              <w:rPr>
                <w:rFonts w:ascii="宋体" w:hAnsi="宋体" w:eastAsia="宋体" w:cs="宋体"/>
                <w:sz w:val="21"/>
                <w:szCs w:val="21"/>
              </w:rPr>
            </w:pPr>
            <w:r>
              <w:rPr>
                <w:rFonts w:ascii="宋体" w:hAnsi="宋体" w:eastAsia="宋体" w:cs="宋体"/>
                <w:spacing w:val="-1"/>
                <w:sz w:val="21"/>
                <w:szCs w:val="21"/>
              </w:rPr>
              <w:t>本项目废水经污水处理站处理达标后全部用于农灌，不外排；发电机仅停电时启用，使用轻质柴油，污染物排</w:t>
            </w:r>
            <w:r>
              <w:rPr>
                <w:rFonts w:ascii="宋体" w:hAnsi="宋体" w:eastAsia="宋体" w:cs="宋体"/>
                <w:spacing w:val="-9"/>
                <w:sz w:val="21"/>
                <w:szCs w:val="21"/>
              </w:rPr>
              <w:t>放小。</w:t>
            </w:r>
          </w:p>
        </w:tc>
        <w:tc>
          <w:tcPr>
            <w:tcW w:w="746" w:type="dxa"/>
            <w:vAlign w:val="top"/>
          </w:tcPr>
          <w:p w14:paraId="0C6E6886">
            <w:pPr>
              <w:spacing w:line="266" w:lineRule="auto"/>
              <w:rPr>
                <w:rFonts w:ascii="Arial"/>
                <w:sz w:val="21"/>
              </w:rPr>
            </w:pPr>
          </w:p>
          <w:p w14:paraId="5718A44C">
            <w:pPr>
              <w:spacing w:line="266" w:lineRule="auto"/>
              <w:rPr>
                <w:rFonts w:ascii="Arial"/>
                <w:sz w:val="21"/>
              </w:rPr>
            </w:pPr>
          </w:p>
          <w:p w14:paraId="665D9572">
            <w:pPr>
              <w:spacing w:line="266" w:lineRule="auto"/>
              <w:rPr>
                <w:rFonts w:ascii="Arial"/>
                <w:sz w:val="21"/>
              </w:rPr>
            </w:pPr>
          </w:p>
          <w:p w14:paraId="4B1364BC">
            <w:pPr>
              <w:spacing w:line="266" w:lineRule="auto"/>
              <w:rPr>
                <w:rFonts w:ascii="Arial"/>
                <w:sz w:val="21"/>
              </w:rPr>
            </w:pPr>
          </w:p>
          <w:p w14:paraId="34D65A0F">
            <w:pPr>
              <w:spacing w:before="69"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10791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721" w:type="dxa"/>
            <w:vMerge w:val="continue"/>
            <w:tcBorders>
              <w:top w:val="nil"/>
              <w:bottom w:val="nil"/>
            </w:tcBorders>
            <w:vAlign w:val="top"/>
          </w:tcPr>
          <w:p w14:paraId="2C8FD658">
            <w:pPr>
              <w:rPr>
                <w:rFonts w:ascii="Arial"/>
                <w:sz w:val="21"/>
              </w:rPr>
            </w:pPr>
          </w:p>
        </w:tc>
        <w:tc>
          <w:tcPr>
            <w:tcW w:w="561" w:type="dxa"/>
            <w:vMerge w:val="continue"/>
            <w:tcBorders>
              <w:top w:val="nil"/>
              <w:bottom w:val="nil"/>
            </w:tcBorders>
            <w:vAlign w:val="top"/>
          </w:tcPr>
          <w:p w14:paraId="33DD434D">
            <w:pPr>
              <w:rPr>
                <w:rFonts w:ascii="Arial"/>
                <w:sz w:val="21"/>
              </w:rPr>
            </w:pPr>
          </w:p>
        </w:tc>
        <w:tc>
          <w:tcPr>
            <w:tcW w:w="700" w:type="dxa"/>
            <w:vMerge w:val="continue"/>
            <w:tcBorders>
              <w:top w:val="nil"/>
              <w:bottom w:val="nil"/>
            </w:tcBorders>
            <w:vAlign w:val="top"/>
          </w:tcPr>
          <w:p w14:paraId="63857F28">
            <w:pPr>
              <w:rPr>
                <w:rFonts w:ascii="Arial"/>
                <w:sz w:val="21"/>
              </w:rPr>
            </w:pPr>
          </w:p>
        </w:tc>
        <w:tc>
          <w:tcPr>
            <w:tcW w:w="559" w:type="dxa"/>
            <w:vAlign w:val="top"/>
          </w:tcPr>
          <w:p w14:paraId="69230E1F">
            <w:pPr>
              <w:spacing w:line="275" w:lineRule="auto"/>
              <w:rPr>
                <w:rFonts w:ascii="Arial"/>
                <w:sz w:val="21"/>
              </w:rPr>
            </w:pPr>
          </w:p>
          <w:p w14:paraId="4603498F">
            <w:pPr>
              <w:spacing w:line="276" w:lineRule="auto"/>
              <w:rPr>
                <w:rFonts w:ascii="Arial"/>
                <w:sz w:val="21"/>
              </w:rPr>
            </w:pPr>
          </w:p>
          <w:p w14:paraId="499ED3E4">
            <w:pPr>
              <w:spacing w:before="69" w:line="313" w:lineRule="auto"/>
              <w:ind w:left="68" w:right="72" w:firstLine="1"/>
              <w:jc w:val="both"/>
              <w:rPr>
                <w:rFonts w:ascii="宋体" w:hAnsi="宋体" w:eastAsia="宋体" w:cs="宋体"/>
                <w:sz w:val="21"/>
                <w:szCs w:val="21"/>
              </w:rPr>
            </w:pPr>
            <w:r>
              <w:rPr>
                <w:rFonts w:ascii="宋体" w:hAnsi="宋体" w:eastAsia="宋体" w:cs="宋体"/>
                <w:spacing w:val="-5"/>
                <w:sz w:val="21"/>
                <w:szCs w:val="21"/>
              </w:rPr>
              <w:t>新增</w:t>
            </w:r>
            <w:r>
              <w:rPr>
                <w:rFonts w:ascii="宋体" w:hAnsi="宋体" w:eastAsia="宋体" w:cs="宋体"/>
                <w:spacing w:val="-4"/>
                <w:sz w:val="21"/>
                <w:szCs w:val="21"/>
              </w:rPr>
              <w:t>源排放标准限</w:t>
            </w:r>
            <w:r>
              <w:rPr>
                <w:rFonts w:ascii="宋体" w:hAnsi="宋体" w:eastAsia="宋体" w:cs="宋体"/>
                <w:spacing w:val="36"/>
                <w:w w:val="129"/>
                <w:sz w:val="21"/>
                <w:szCs w:val="21"/>
              </w:rPr>
              <w:t>制</w:t>
            </w:r>
          </w:p>
        </w:tc>
        <w:tc>
          <w:tcPr>
            <w:tcW w:w="3346" w:type="dxa"/>
            <w:vAlign w:val="top"/>
          </w:tcPr>
          <w:p w14:paraId="4C0E421F">
            <w:pPr>
              <w:pStyle w:val="6"/>
              <w:spacing w:before="80" w:line="315" w:lineRule="auto"/>
              <w:ind w:left="1" w:right="5" w:firstLine="9"/>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）水环境城镇生活污染、农业污</w:t>
            </w:r>
            <w:r>
              <w:rPr>
                <w:rFonts w:ascii="宋体" w:hAnsi="宋体" w:eastAsia="宋体" w:cs="宋体"/>
                <w:spacing w:val="-1"/>
              </w:rPr>
              <w:t>染重点管控区，新建存栏量≥</w:t>
            </w:r>
            <w:r>
              <w:rPr>
                <w:spacing w:val="-1"/>
              </w:rPr>
              <w:t>300</w:t>
            </w:r>
            <w:r>
              <w:rPr>
                <w:spacing w:val="42"/>
              </w:rPr>
              <w:t xml:space="preserve"> </w:t>
            </w:r>
            <w:r>
              <w:rPr>
                <w:rFonts w:ascii="宋体" w:hAnsi="宋体" w:eastAsia="宋体" w:cs="宋体"/>
                <w:spacing w:val="-1"/>
              </w:rPr>
              <w:t>头</w:t>
            </w:r>
            <w:r>
              <w:rPr>
                <w:rFonts w:ascii="宋体" w:hAnsi="宋体" w:eastAsia="宋体" w:cs="宋体"/>
                <w:spacing w:val="-2"/>
              </w:rPr>
              <w:t>猪的畜禽养殖场，粪污经处理后向环境排放应执行《四川省岷江、沱江流</w:t>
            </w:r>
            <w:r>
              <w:rPr>
                <w:rFonts w:ascii="宋体" w:hAnsi="宋体" w:eastAsia="宋体" w:cs="宋体"/>
                <w:spacing w:val="-8"/>
              </w:rPr>
              <w:t>域水污染物排放标准》（</w:t>
            </w:r>
            <w:r>
              <w:rPr>
                <w:spacing w:val="-8"/>
              </w:rPr>
              <w:t>DB51/2311</w:t>
            </w:r>
            <w:r>
              <w:rPr>
                <w:rFonts w:ascii="宋体" w:hAnsi="宋体" w:eastAsia="宋体" w:cs="宋体"/>
                <w:spacing w:val="-8"/>
              </w:rPr>
              <w:t>—</w:t>
            </w:r>
            <w:r>
              <w:rPr>
                <w:rFonts w:ascii="宋体" w:hAnsi="宋体" w:eastAsia="宋体" w:cs="宋体"/>
              </w:rPr>
              <w:t xml:space="preserve"> </w:t>
            </w:r>
            <w:r>
              <w:rPr>
                <w:spacing w:val="-14"/>
              </w:rPr>
              <w:t>2016</w:t>
            </w:r>
            <w:r>
              <w:rPr>
                <w:rFonts w:ascii="宋体" w:hAnsi="宋体" w:eastAsia="宋体" w:cs="宋体"/>
                <w:spacing w:val="-14"/>
              </w:rPr>
              <w:t>）。</w:t>
            </w:r>
          </w:p>
          <w:p w14:paraId="4E671699">
            <w:pPr>
              <w:pStyle w:val="6"/>
              <w:spacing w:line="278" w:lineRule="auto"/>
              <w:ind w:left="8" w:right="14" w:firstLine="2"/>
              <w:rPr>
                <w:rFonts w:ascii="宋体" w:hAnsi="宋体" w:eastAsia="宋体" w:cs="宋体"/>
              </w:rPr>
            </w:pPr>
            <w:r>
              <w:rPr>
                <w:rFonts w:ascii="宋体" w:hAnsi="宋体" w:eastAsia="宋体" w:cs="宋体"/>
                <w:spacing w:val="3"/>
              </w:rPr>
              <w:t>（</w:t>
            </w:r>
            <w:r>
              <w:rPr>
                <w:spacing w:val="3"/>
              </w:rPr>
              <w:t>2</w:t>
            </w:r>
            <w:r>
              <w:rPr>
                <w:rFonts w:ascii="宋体" w:hAnsi="宋体" w:eastAsia="宋体" w:cs="宋体"/>
                <w:spacing w:val="3"/>
              </w:rPr>
              <w:t>）新、改、扩建工业项目全面执</w:t>
            </w:r>
            <w:r>
              <w:rPr>
                <w:rFonts w:ascii="宋体" w:hAnsi="宋体" w:eastAsia="宋体" w:cs="宋体"/>
                <w:spacing w:val="-3"/>
              </w:rPr>
              <w:t>行大气污染物特别排放限值。</w:t>
            </w:r>
          </w:p>
        </w:tc>
        <w:tc>
          <w:tcPr>
            <w:tcW w:w="1693" w:type="dxa"/>
            <w:vAlign w:val="top"/>
          </w:tcPr>
          <w:p w14:paraId="138E369C">
            <w:pPr>
              <w:spacing w:line="242" w:lineRule="auto"/>
              <w:rPr>
                <w:rFonts w:ascii="Arial"/>
                <w:sz w:val="21"/>
              </w:rPr>
            </w:pPr>
          </w:p>
          <w:p w14:paraId="1456B38A">
            <w:pPr>
              <w:spacing w:line="243" w:lineRule="auto"/>
              <w:rPr>
                <w:rFonts w:ascii="Arial"/>
                <w:sz w:val="21"/>
              </w:rPr>
            </w:pPr>
          </w:p>
          <w:p w14:paraId="5E7E65F2">
            <w:pPr>
              <w:spacing w:line="243" w:lineRule="auto"/>
              <w:rPr>
                <w:rFonts w:ascii="Arial"/>
                <w:sz w:val="21"/>
              </w:rPr>
            </w:pPr>
          </w:p>
          <w:p w14:paraId="0AC2789C">
            <w:pPr>
              <w:spacing w:before="68" w:line="313" w:lineRule="auto"/>
              <w:ind w:left="7" w:right="4"/>
              <w:jc w:val="both"/>
              <w:rPr>
                <w:rFonts w:ascii="宋体" w:hAnsi="宋体" w:eastAsia="宋体" w:cs="宋体"/>
                <w:sz w:val="21"/>
                <w:szCs w:val="21"/>
              </w:rPr>
            </w:pPr>
            <w:r>
              <w:rPr>
                <w:rFonts w:ascii="宋体" w:hAnsi="宋体" w:eastAsia="宋体" w:cs="宋体"/>
                <w:spacing w:val="-1"/>
                <w:sz w:val="21"/>
                <w:szCs w:val="21"/>
              </w:rPr>
              <w:t>本项目养殖废水经污水处理站处理达</w:t>
            </w:r>
            <w:r>
              <w:rPr>
                <w:rFonts w:ascii="宋体" w:hAnsi="宋体" w:eastAsia="宋体" w:cs="宋体"/>
                <w:spacing w:val="23"/>
                <w:sz w:val="21"/>
                <w:szCs w:val="21"/>
              </w:rPr>
              <w:t>标后全部</w:t>
            </w:r>
            <w:r>
              <w:rPr>
                <w:rFonts w:ascii="宋体" w:hAnsi="宋体" w:eastAsia="宋体" w:cs="宋体"/>
                <w:spacing w:val="-61"/>
                <w:sz w:val="21"/>
                <w:szCs w:val="21"/>
              </w:rPr>
              <w:t xml:space="preserve"> </w:t>
            </w:r>
            <w:r>
              <w:rPr>
                <w:rFonts w:ascii="宋体" w:hAnsi="宋体" w:eastAsia="宋体" w:cs="宋体"/>
                <w:spacing w:val="23"/>
                <w:sz w:val="21"/>
                <w:szCs w:val="21"/>
              </w:rPr>
              <w:t>用于农</w:t>
            </w:r>
            <w:r>
              <w:rPr>
                <w:rFonts w:ascii="宋体" w:hAnsi="宋体" w:eastAsia="宋体" w:cs="宋体"/>
                <w:spacing w:val="-6"/>
                <w:sz w:val="21"/>
                <w:szCs w:val="21"/>
              </w:rPr>
              <w:t>灌，不外排。</w:t>
            </w:r>
          </w:p>
        </w:tc>
        <w:tc>
          <w:tcPr>
            <w:tcW w:w="746" w:type="dxa"/>
            <w:vAlign w:val="top"/>
          </w:tcPr>
          <w:p w14:paraId="534BFDCA">
            <w:pPr>
              <w:spacing w:line="251" w:lineRule="auto"/>
              <w:rPr>
                <w:rFonts w:ascii="Arial"/>
                <w:sz w:val="21"/>
              </w:rPr>
            </w:pPr>
          </w:p>
          <w:p w14:paraId="273ED353">
            <w:pPr>
              <w:spacing w:line="251" w:lineRule="auto"/>
              <w:rPr>
                <w:rFonts w:ascii="Arial"/>
                <w:sz w:val="21"/>
              </w:rPr>
            </w:pPr>
          </w:p>
          <w:p w14:paraId="665F3F09">
            <w:pPr>
              <w:spacing w:line="251" w:lineRule="auto"/>
              <w:rPr>
                <w:rFonts w:ascii="Arial"/>
                <w:sz w:val="21"/>
              </w:rPr>
            </w:pPr>
          </w:p>
          <w:p w14:paraId="4364B42D">
            <w:pPr>
              <w:spacing w:line="251" w:lineRule="auto"/>
              <w:rPr>
                <w:rFonts w:ascii="Arial"/>
                <w:sz w:val="21"/>
              </w:rPr>
            </w:pPr>
          </w:p>
          <w:p w14:paraId="718BA862">
            <w:pPr>
              <w:spacing w:line="252" w:lineRule="auto"/>
              <w:rPr>
                <w:rFonts w:ascii="Arial"/>
                <w:sz w:val="21"/>
              </w:rPr>
            </w:pPr>
          </w:p>
          <w:p w14:paraId="7071AD7B">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07087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721" w:type="dxa"/>
            <w:vMerge w:val="continue"/>
            <w:tcBorders>
              <w:top w:val="nil"/>
            </w:tcBorders>
            <w:vAlign w:val="top"/>
          </w:tcPr>
          <w:p w14:paraId="094AF494">
            <w:pPr>
              <w:rPr>
                <w:rFonts w:ascii="Arial"/>
                <w:sz w:val="21"/>
              </w:rPr>
            </w:pPr>
          </w:p>
        </w:tc>
        <w:tc>
          <w:tcPr>
            <w:tcW w:w="561" w:type="dxa"/>
            <w:vMerge w:val="continue"/>
            <w:tcBorders>
              <w:top w:val="nil"/>
            </w:tcBorders>
            <w:vAlign w:val="top"/>
          </w:tcPr>
          <w:p w14:paraId="3027DDE5">
            <w:pPr>
              <w:rPr>
                <w:rFonts w:ascii="Arial"/>
                <w:sz w:val="21"/>
              </w:rPr>
            </w:pPr>
          </w:p>
        </w:tc>
        <w:tc>
          <w:tcPr>
            <w:tcW w:w="700" w:type="dxa"/>
            <w:vMerge w:val="continue"/>
            <w:tcBorders>
              <w:top w:val="nil"/>
            </w:tcBorders>
            <w:vAlign w:val="top"/>
          </w:tcPr>
          <w:p w14:paraId="6F6273B0">
            <w:pPr>
              <w:rPr>
                <w:rFonts w:ascii="Arial"/>
                <w:sz w:val="21"/>
              </w:rPr>
            </w:pPr>
          </w:p>
        </w:tc>
        <w:tc>
          <w:tcPr>
            <w:tcW w:w="559" w:type="dxa"/>
            <w:vAlign w:val="top"/>
          </w:tcPr>
          <w:p w14:paraId="516ACABD">
            <w:pPr>
              <w:spacing w:before="81" w:line="220" w:lineRule="auto"/>
              <w:ind w:left="70"/>
              <w:rPr>
                <w:rFonts w:ascii="宋体" w:hAnsi="宋体" w:eastAsia="宋体" w:cs="宋体"/>
                <w:sz w:val="21"/>
                <w:szCs w:val="21"/>
              </w:rPr>
            </w:pPr>
            <w:r>
              <w:rPr>
                <w:rFonts w:ascii="宋体" w:hAnsi="宋体" w:eastAsia="宋体" w:cs="宋体"/>
                <w:spacing w:val="-3"/>
                <w:sz w:val="21"/>
                <w:szCs w:val="21"/>
              </w:rPr>
              <w:t>新增</w:t>
            </w:r>
          </w:p>
          <w:p w14:paraId="2EE6E905">
            <w:pPr>
              <w:spacing w:before="104" w:line="220" w:lineRule="auto"/>
              <w:ind w:left="68"/>
              <w:rPr>
                <w:rFonts w:ascii="宋体" w:hAnsi="宋体" w:eastAsia="宋体" w:cs="宋体"/>
                <w:sz w:val="21"/>
                <w:szCs w:val="21"/>
              </w:rPr>
            </w:pPr>
            <w:r>
              <w:rPr>
                <w:rFonts w:ascii="宋体" w:hAnsi="宋体" w:eastAsia="宋体" w:cs="宋体"/>
                <w:spacing w:val="-2"/>
                <w:sz w:val="21"/>
                <w:szCs w:val="21"/>
              </w:rPr>
              <w:t>源等</w:t>
            </w:r>
          </w:p>
        </w:tc>
        <w:tc>
          <w:tcPr>
            <w:tcW w:w="3346" w:type="dxa"/>
            <w:vAlign w:val="top"/>
          </w:tcPr>
          <w:p w14:paraId="362BE700">
            <w:pPr>
              <w:pStyle w:val="6"/>
              <w:spacing w:before="80" w:line="280" w:lineRule="auto"/>
              <w:ind w:left="5" w:right="5" w:firstLine="4"/>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）上一年度水环境质量未完成目</w:t>
            </w:r>
            <w:r>
              <w:rPr>
                <w:rFonts w:ascii="宋体" w:hAnsi="宋体" w:eastAsia="宋体" w:cs="宋体"/>
                <w:spacing w:val="-2"/>
              </w:rPr>
              <w:t>标的，新建排放水污染的建设项目按</w:t>
            </w:r>
          </w:p>
        </w:tc>
        <w:tc>
          <w:tcPr>
            <w:tcW w:w="1693" w:type="dxa"/>
            <w:vAlign w:val="top"/>
          </w:tcPr>
          <w:p w14:paraId="04266D44">
            <w:pPr>
              <w:spacing w:before="80" w:line="280" w:lineRule="auto"/>
              <w:ind w:left="7" w:right="6"/>
              <w:rPr>
                <w:rFonts w:ascii="宋体" w:hAnsi="宋体" w:eastAsia="宋体" w:cs="宋体"/>
                <w:sz w:val="21"/>
                <w:szCs w:val="21"/>
              </w:rPr>
            </w:pPr>
            <w:r>
              <w:rPr>
                <w:rFonts w:ascii="宋体" w:hAnsi="宋体" w:eastAsia="宋体" w:cs="宋体"/>
                <w:spacing w:val="-1"/>
                <w:sz w:val="21"/>
                <w:szCs w:val="21"/>
              </w:rPr>
              <w:t>本项目养殖废水经污水处理站处理达</w:t>
            </w:r>
          </w:p>
        </w:tc>
        <w:tc>
          <w:tcPr>
            <w:tcW w:w="746" w:type="dxa"/>
            <w:vAlign w:val="top"/>
          </w:tcPr>
          <w:p w14:paraId="3846BC5C">
            <w:pPr>
              <w:spacing w:before="258"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2D22A9B2">
      <w:pPr>
        <w:pStyle w:val="2"/>
      </w:pPr>
    </w:p>
    <w:p w14:paraId="4FBF81F3">
      <w:pPr>
        <w:sectPr>
          <w:footerReference r:id="rId123" w:type="default"/>
          <w:pgSz w:w="11905" w:h="16840"/>
          <w:pgMar w:top="1168" w:right="1768" w:bottom="1409" w:left="1770" w:header="828" w:footer="1244" w:gutter="0"/>
          <w:cols w:space="720" w:num="1"/>
        </w:sectPr>
      </w:pPr>
    </w:p>
    <w:p w14:paraId="675A1C99">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559"/>
        <w:gridCol w:w="3346"/>
        <w:gridCol w:w="1693"/>
        <w:gridCol w:w="746"/>
      </w:tblGrid>
      <w:tr w14:paraId="562F1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5"/>
            <w:vAlign w:val="top"/>
          </w:tcPr>
          <w:p w14:paraId="524290C2">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0780C425">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7E2702A0">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50559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0DBFDA89">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gridSpan w:val="2"/>
            <w:vAlign w:val="top"/>
          </w:tcPr>
          <w:p w14:paraId="2705580A">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26FFB294">
            <w:pPr>
              <w:rPr>
                <w:rFonts w:ascii="Arial"/>
                <w:sz w:val="21"/>
              </w:rPr>
            </w:pPr>
          </w:p>
        </w:tc>
        <w:tc>
          <w:tcPr>
            <w:tcW w:w="746" w:type="dxa"/>
            <w:vMerge w:val="continue"/>
            <w:tcBorders>
              <w:top w:val="nil"/>
            </w:tcBorders>
            <w:vAlign w:val="top"/>
          </w:tcPr>
          <w:p w14:paraId="4805CDA5">
            <w:pPr>
              <w:rPr>
                <w:rFonts w:ascii="Arial"/>
                <w:sz w:val="21"/>
              </w:rPr>
            </w:pPr>
          </w:p>
        </w:tc>
      </w:tr>
      <w:tr w14:paraId="46ACA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8" w:hRule="atLeast"/>
        </w:trPr>
        <w:tc>
          <w:tcPr>
            <w:tcW w:w="721" w:type="dxa"/>
            <w:vMerge w:val="restart"/>
            <w:tcBorders>
              <w:bottom w:val="nil"/>
            </w:tcBorders>
            <w:vAlign w:val="top"/>
          </w:tcPr>
          <w:p w14:paraId="5DBCA63F">
            <w:pPr>
              <w:rPr>
                <w:rFonts w:ascii="Arial"/>
                <w:sz w:val="21"/>
              </w:rPr>
            </w:pPr>
          </w:p>
        </w:tc>
        <w:tc>
          <w:tcPr>
            <w:tcW w:w="561" w:type="dxa"/>
            <w:vMerge w:val="restart"/>
            <w:tcBorders>
              <w:bottom w:val="nil"/>
            </w:tcBorders>
            <w:vAlign w:val="top"/>
          </w:tcPr>
          <w:p w14:paraId="73FA506E">
            <w:pPr>
              <w:rPr>
                <w:rFonts w:ascii="Arial"/>
                <w:sz w:val="21"/>
              </w:rPr>
            </w:pPr>
          </w:p>
        </w:tc>
        <w:tc>
          <w:tcPr>
            <w:tcW w:w="700" w:type="dxa"/>
            <w:vMerge w:val="restart"/>
            <w:tcBorders>
              <w:bottom w:val="nil"/>
            </w:tcBorders>
            <w:vAlign w:val="top"/>
          </w:tcPr>
          <w:p w14:paraId="71E65AE9">
            <w:pPr>
              <w:rPr>
                <w:rFonts w:ascii="Arial"/>
                <w:sz w:val="21"/>
              </w:rPr>
            </w:pPr>
          </w:p>
        </w:tc>
        <w:tc>
          <w:tcPr>
            <w:tcW w:w="559" w:type="dxa"/>
            <w:vAlign w:val="top"/>
          </w:tcPr>
          <w:p w14:paraId="5BC156EE">
            <w:pPr>
              <w:spacing w:before="70" w:line="314" w:lineRule="auto"/>
              <w:ind w:left="69" w:right="72"/>
              <w:jc w:val="both"/>
              <w:rPr>
                <w:rFonts w:ascii="宋体" w:hAnsi="宋体" w:eastAsia="宋体" w:cs="宋体"/>
                <w:sz w:val="21"/>
                <w:szCs w:val="21"/>
              </w:rPr>
            </w:pPr>
            <w:r>
              <w:rPr>
                <w:rFonts w:ascii="宋体" w:hAnsi="宋体" w:eastAsia="宋体" w:cs="宋体"/>
                <w:spacing w:val="-5"/>
                <w:sz w:val="21"/>
                <w:szCs w:val="21"/>
              </w:rPr>
              <w:t>量或倍量替代</w:t>
            </w:r>
          </w:p>
        </w:tc>
        <w:tc>
          <w:tcPr>
            <w:tcW w:w="3346" w:type="dxa"/>
            <w:vAlign w:val="top"/>
          </w:tcPr>
          <w:p w14:paraId="68AC0DF2">
            <w:pPr>
              <w:spacing w:before="73" w:line="220" w:lineRule="auto"/>
              <w:ind w:left="11"/>
              <w:rPr>
                <w:rFonts w:ascii="宋体" w:hAnsi="宋体" w:eastAsia="宋体" w:cs="宋体"/>
                <w:sz w:val="21"/>
                <w:szCs w:val="21"/>
              </w:rPr>
            </w:pPr>
            <w:r>
              <w:rPr>
                <w:rFonts w:ascii="宋体" w:hAnsi="宋体" w:eastAsia="宋体" w:cs="宋体"/>
                <w:spacing w:val="-3"/>
                <w:sz w:val="21"/>
                <w:szCs w:val="21"/>
              </w:rPr>
              <w:t>照总量管控要求进行倍量削减替代。</w:t>
            </w:r>
          </w:p>
          <w:p w14:paraId="40CF9101">
            <w:pPr>
              <w:pStyle w:val="6"/>
              <w:spacing w:before="108" w:line="298" w:lineRule="auto"/>
              <w:ind w:left="4" w:right="5" w:firstLine="5"/>
              <w:jc w:val="both"/>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）上一年度空气质量年平均浓度</w:t>
            </w:r>
            <w:r>
              <w:rPr>
                <w:rFonts w:ascii="宋体" w:hAnsi="宋体" w:eastAsia="宋体" w:cs="宋体"/>
                <w:spacing w:val="-2"/>
              </w:rPr>
              <w:t>不达标的城市，建设项目新增相关污</w:t>
            </w:r>
            <w:r>
              <w:rPr>
                <w:rFonts w:ascii="宋体" w:hAnsi="宋体" w:eastAsia="宋体" w:cs="宋体"/>
                <w:spacing w:val="11"/>
              </w:rPr>
              <w:t>染物按照总量管控要求进行倍量削</w:t>
            </w:r>
            <w:r>
              <w:rPr>
                <w:rFonts w:ascii="宋体" w:hAnsi="宋体" w:eastAsia="宋体" w:cs="宋体"/>
                <w:spacing w:val="-8"/>
              </w:rPr>
              <w:t>减替代。</w:t>
            </w:r>
          </w:p>
        </w:tc>
        <w:tc>
          <w:tcPr>
            <w:tcW w:w="1693" w:type="dxa"/>
            <w:vAlign w:val="top"/>
          </w:tcPr>
          <w:p w14:paraId="3FBA050B">
            <w:pPr>
              <w:spacing w:before="71" w:line="314" w:lineRule="auto"/>
              <w:ind w:left="8" w:right="4" w:hanging="1"/>
              <w:jc w:val="both"/>
              <w:rPr>
                <w:rFonts w:ascii="宋体" w:hAnsi="宋体" w:eastAsia="宋体" w:cs="宋体"/>
                <w:sz w:val="21"/>
                <w:szCs w:val="21"/>
              </w:rPr>
            </w:pPr>
            <w:r>
              <w:rPr>
                <w:rFonts w:ascii="宋体" w:hAnsi="宋体" w:eastAsia="宋体" w:cs="宋体"/>
                <w:spacing w:val="23"/>
                <w:sz w:val="21"/>
                <w:szCs w:val="21"/>
              </w:rPr>
              <w:t>标后全部</w:t>
            </w:r>
            <w:r>
              <w:rPr>
                <w:rFonts w:ascii="宋体" w:hAnsi="宋体" w:eastAsia="宋体" w:cs="宋体"/>
                <w:spacing w:val="-61"/>
                <w:sz w:val="21"/>
                <w:szCs w:val="21"/>
              </w:rPr>
              <w:t xml:space="preserve"> </w:t>
            </w:r>
            <w:r>
              <w:rPr>
                <w:rFonts w:ascii="宋体" w:hAnsi="宋体" w:eastAsia="宋体" w:cs="宋体"/>
                <w:spacing w:val="23"/>
                <w:sz w:val="21"/>
                <w:szCs w:val="21"/>
              </w:rPr>
              <w:t>用于农</w:t>
            </w:r>
            <w:r>
              <w:rPr>
                <w:rFonts w:ascii="宋体" w:hAnsi="宋体" w:eastAsia="宋体" w:cs="宋体"/>
                <w:spacing w:val="-3"/>
                <w:sz w:val="21"/>
                <w:szCs w:val="21"/>
              </w:rPr>
              <w:t>灌，不外排；东兴</w:t>
            </w:r>
            <w:r>
              <w:rPr>
                <w:rFonts w:ascii="宋体" w:hAnsi="宋体" w:eastAsia="宋体" w:cs="宋体"/>
                <w:spacing w:val="-6"/>
                <w:sz w:val="21"/>
                <w:szCs w:val="21"/>
              </w:rPr>
              <w:t>区为达标区。</w:t>
            </w:r>
          </w:p>
        </w:tc>
        <w:tc>
          <w:tcPr>
            <w:tcW w:w="746" w:type="dxa"/>
            <w:vAlign w:val="top"/>
          </w:tcPr>
          <w:p w14:paraId="0B1E2EB2">
            <w:pPr>
              <w:rPr>
                <w:rFonts w:ascii="Arial"/>
                <w:sz w:val="21"/>
              </w:rPr>
            </w:pPr>
          </w:p>
        </w:tc>
      </w:tr>
      <w:tr w14:paraId="4083F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1" w:hRule="atLeast"/>
        </w:trPr>
        <w:tc>
          <w:tcPr>
            <w:tcW w:w="721" w:type="dxa"/>
            <w:vMerge w:val="continue"/>
            <w:tcBorders>
              <w:top w:val="nil"/>
              <w:bottom w:val="nil"/>
            </w:tcBorders>
            <w:vAlign w:val="top"/>
          </w:tcPr>
          <w:p w14:paraId="39BACBF3">
            <w:pPr>
              <w:rPr>
                <w:rFonts w:ascii="Arial"/>
                <w:sz w:val="21"/>
              </w:rPr>
            </w:pPr>
          </w:p>
        </w:tc>
        <w:tc>
          <w:tcPr>
            <w:tcW w:w="561" w:type="dxa"/>
            <w:vMerge w:val="continue"/>
            <w:tcBorders>
              <w:top w:val="nil"/>
              <w:bottom w:val="nil"/>
            </w:tcBorders>
            <w:vAlign w:val="top"/>
          </w:tcPr>
          <w:p w14:paraId="37ADA037">
            <w:pPr>
              <w:rPr>
                <w:rFonts w:ascii="Arial"/>
                <w:sz w:val="21"/>
              </w:rPr>
            </w:pPr>
          </w:p>
        </w:tc>
        <w:tc>
          <w:tcPr>
            <w:tcW w:w="700" w:type="dxa"/>
            <w:vMerge w:val="continue"/>
            <w:tcBorders>
              <w:top w:val="nil"/>
              <w:bottom w:val="nil"/>
            </w:tcBorders>
            <w:vAlign w:val="top"/>
          </w:tcPr>
          <w:p w14:paraId="55DB03B5">
            <w:pPr>
              <w:rPr>
                <w:rFonts w:ascii="Arial"/>
                <w:sz w:val="21"/>
              </w:rPr>
            </w:pPr>
          </w:p>
        </w:tc>
        <w:tc>
          <w:tcPr>
            <w:tcW w:w="559" w:type="dxa"/>
            <w:vAlign w:val="top"/>
          </w:tcPr>
          <w:p w14:paraId="2A1956DC">
            <w:pPr>
              <w:spacing w:line="251" w:lineRule="auto"/>
              <w:rPr>
                <w:rFonts w:ascii="Arial"/>
                <w:sz w:val="21"/>
              </w:rPr>
            </w:pPr>
          </w:p>
          <w:p w14:paraId="59C3E66E">
            <w:pPr>
              <w:spacing w:line="252" w:lineRule="auto"/>
              <w:rPr>
                <w:rFonts w:ascii="Arial"/>
                <w:sz w:val="21"/>
              </w:rPr>
            </w:pPr>
          </w:p>
          <w:p w14:paraId="600F9458">
            <w:pPr>
              <w:spacing w:line="252" w:lineRule="auto"/>
              <w:rPr>
                <w:rFonts w:ascii="Arial"/>
                <w:sz w:val="21"/>
              </w:rPr>
            </w:pPr>
          </w:p>
          <w:p w14:paraId="34D5309C">
            <w:pPr>
              <w:spacing w:line="252" w:lineRule="auto"/>
              <w:rPr>
                <w:rFonts w:ascii="Arial"/>
                <w:sz w:val="21"/>
              </w:rPr>
            </w:pPr>
          </w:p>
          <w:p w14:paraId="08F4FCE9">
            <w:pPr>
              <w:spacing w:line="252" w:lineRule="auto"/>
              <w:rPr>
                <w:rFonts w:ascii="Arial"/>
                <w:sz w:val="21"/>
              </w:rPr>
            </w:pPr>
          </w:p>
          <w:p w14:paraId="1EAE6864">
            <w:pPr>
              <w:spacing w:before="68" w:line="314" w:lineRule="auto"/>
              <w:ind w:left="68" w:right="72" w:firstLine="2"/>
              <w:jc w:val="both"/>
              <w:rPr>
                <w:rFonts w:ascii="宋体" w:hAnsi="宋体" w:eastAsia="宋体" w:cs="宋体"/>
                <w:sz w:val="21"/>
                <w:szCs w:val="21"/>
              </w:rPr>
            </w:pPr>
            <w:r>
              <w:rPr>
                <w:rFonts w:ascii="宋体" w:hAnsi="宋体" w:eastAsia="宋体" w:cs="宋体"/>
                <w:spacing w:val="-5"/>
                <w:sz w:val="21"/>
                <w:szCs w:val="21"/>
              </w:rPr>
              <w:t>现有</w:t>
            </w:r>
            <w:r>
              <w:rPr>
                <w:rFonts w:ascii="宋体" w:hAnsi="宋体" w:eastAsia="宋体" w:cs="宋体"/>
                <w:spacing w:val="-4"/>
                <w:sz w:val="21"/>
                <w:szCs w:val="21"/>
              </w:rPr>
              <w:t>源提标升级改</w:t>
            </w:r>
            <w:r>
              <w:rPr>
                <w:rFonts w:ascii="宋体" w:hAnsi="宋体" w:eastAsia="宋体" w:cs="宋体"/>
                <w:spacing w:val="29"/>
                <w:w w:val="132"/>
                <w:sz w:val="21"/>
                <w:szCs w:val="21"/>
              </w:rPr>
              <w:t>造</w:t>
            </w:r>
          </w:p>
        </w:tc>
        <w:tc>
          <w:tcPr>
            <w:tcW w:w="3346" w:type="dxa"/>
            <w:vAlign w:val="top"/>
          </w:tcPr>
          <w:p w14:paraId="089F64C7">
            <w:pPr>
              <w:pStyle w:val="6"/>
              <w:spacing w:before="75" w:line="220" w:lineRule="auto"/>
              <w:ind w:left="10"/>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）水环境：</w:t>
            </w:r>
          </w:p>
          <w:p w14:paraId="070C71F5">
            <w:pPr>
              <w:pStyle w:val="6"/>
              <w:spacing w:before="110" w:line="315" w:lineRule="auto"/>
              <w:ind w:left="4" w:right="5"/>
              <w:rPr>
                <w:rFonts w:ascii="宋体" w:hAnsi="宋体" w:eastAsia="宋体" w:cs="宋体"/>
              </w:rPr>
            </w:pPr>
            <w:r>
              <w:rPr>
                <w:rFonts w:ascii="宋体" w:hAnsi="宋体" w:eastAsia="宋体" w:cs="宋体"/>
                <w:spacing w:val="-5"/>
              </w:rPr>
              <w:t>①</w:t>
            </w:r>
            <w:r>
              <w:rPr>
                <w:spacing w:val="-5"/>
              </w:rPr>
              <w:t xml:space="preserve">2020 </w:t>
            </w:r>
            <w:r>
              <w:rPr>
                <w:rFonts w:ascii="宋体" w:hAnsi="宋体" w:eastAsia="宋体" w:cs="宋体"/>
                <w:spacing w:val="-5"/>
              </w:rPr>
              <w:t>年起，规模化畜禽养殖场应执</w:t>
            </w:r>
            <w:r>
              <w:rPr>
                <w:rFonts w:ascii="宋体" w:hAnsi="宋体" w:eastAsia="宋体" w:cs="宋体"/>
                <w:spacing w:val="-2"/>
              </w:rPr>
              <w:t>行《四川省岷江、沱江流域水污染物</w:t>
            </w:r>
            <w:r>
              <w:rPr>
                <w:rFonts w:ascii="宋体" w:hAnsi="宋体" w:eastAsia="宋体" w:cs="宋体"/>
                <w:spacing w:val="-14"/>
              </w:rPr>
              <w:t>排放标准》。</w:t>
            </w:r>
          </w:p>
          <w:p w14:paraId="684F4F66">
            <w:pPr>
              <w:spacing w:line="315" w:lineRule="auto"/>
              <w:ind w:left="7" w:right="5" w:hanging="4"/>
              <w:rPr>
                <w:rFonts w:ascii="宋体" w:hAnsi="宋体" w:eastAsia="宋体" w:cs="宋体"/>
                <w:sz w:val="21"/>
                <w:szCs w:val="21"/>
              </w:rPr>
            </w:pPr>
            <w:r>
              <w:rPr>
                <w:rFonts w:ascii="宋体" w:hAnsi="宋体" w:eastAsia="宋体" w:cs="宋体"/>
                <w:spacing w:val="-2"/>
                <w:sz w:val="21"/>
                <w:szCs w:val="21"/>
              </w:rPr>
              <w:t>②在矿产资源开发活动集中区域，废</w:t>
            </w:r>
            <w:r>
              <w:rPr>
                <w:rFonts w:ascii="宋体" w:hAnsi="宋体" w:eastAsia="宋体" w:cs="宋体"/>
                <w:spacing w:val="-3"/>
                <w:sz w:val="21"/>
                <w:szCs w:val="21"/>
              </w:rPr>
              <w:t>水执行重点污染物排放特别限值。</w:t>
            </w:r>
          </w:p>
          <w:p w14:paraId="645328B6">
            <w:pPr>
              <w:pStyle w:val="6"/>
              <w:spacing w:line="220" w:lineRule="auto"/>
              <w:ind w:left="10"/>
              <w:rPr>
                <w:rFonts w:ascii="宋体" w:hAnsi="宋体" w:eastAsia="宋体" w:cs="宋体"/>
              </w:rPr>
            </w:pPr>
            <w:r>
              <w:rPr>
                <w:rFonts w:ascii="宋体" w:hAnsi="宋体" w:eastAsia="宋体" w:cs="宋体"/>
                <w:spacing w:val="-6"/>
              </w:rPr>
              <w:t>（</w:t>
            </w:r>
            <w:r>
              <w:rPr>
                <w:spacing w:val="-6"/>
              </w:rPr>
              <w:t>2</w:t>
            </w:r>
            <w:r>
              <w:rPr>
                <w:rFonts w:ascii="宋体" w:hAnsi="宋体" w:eastAsia="宋体" w:cs="宋体"/>
                <w:spacing w:val="-6"/>
              </w:rPr>
              <w:t>）大气环境：</w:t>
            </w:r>
          </w:p>
          <w:p w14:paraId="13C206EF">
            <w:pPr>
              <w:spacing w:before="107" w:line="315" w:lineRule="auto"/>
              <w:ind w:left="4" w:right="6"/>
              <w:rPr>
                <w:rFonts w:ascii="宋体" w:hAnsi="宋体" w:eastAsia="宋体" w:cs="宋体"/>
                <w:sz w:val="21"/>
                <w:szCs w:val="21"/>
              </w:rPr>
            </w:pPr>
            <w:r>
              <w:rPr>
                <w:rFonts w:ascii="宋体" w:hAnsi="宋体" w:eastAsia="宋体" w:cs="宋体"/>
                <w:spacing w:val="11"/>
                <w:sz w:val="21"/>
                <w:szCs w:val="21"/>
              </w:rPr>
              <w:t>①砖瓦行业实施脱硫、除尘升级改</w:t>
            </w:r>
            <w:r>
              <w:rPr>
                <w:rFonts w:ascii="宋体" w:hAnsi="宋体" w:eastAsia="宋体" w:cs="宋体"/>
                <w:spacing w:val="-3"/>
                <w:sz w:val="21"/>
                <w:szCs w:val="21"/>
              </w:rPr>
              <w:t>造，污染物排放达到《砖瓦工业大气污染物排放标准》相关要求。</w:t>
            </w:r>
          </w:p>
          <w:p w14:paraId="41D09C37">
            <w:pPr>
              <w:spacing w:before="2" w:line="276" w:lineRule="auto"/>
              <w:ind w:left="7" w:right="5" w:hanging="4"/>
              <w:rPr>
                <w:rFonts w:ascii="宋体" w:hAnsi="宋体" w:eastAsia="宋体" w:cs="宋体"/>
                <w:sz w:val="21"/>
                <w:szCs w:val="21"/>
              </w:rPr>
            </w:pPr>
            <w:r>
              <w:rPr>
                <w:rFonts w:ascii="宋体" w:hAnsi="宋体" w:eastAsia="宋体" w:cs="宋体"/>
                <w:spacing w:val="-2"/>
                <w:sz w:val="21"/>
                <w:szCs w:val="21"/>
              </w:rPr>
              <w:t>②火电、水泥等行业按相关要求推进</w:t>
            </w:r>
            <w:r>
              <w:rPr>
                <w:rFonts w:ascii="宋体" w:hAnsi="宋体" w:eastAsia="宋体" w:cs="宋体"/>
                <w:spacing w:val="-3"/>
                <w:sz w:val="21"/>
                <w:szCs w:val="21"/>
              </w:rPr>
              <w:t>大气污染物超低排放和深度治理。</w:t>
            </w:r>
          </w:p>
        </w:tc>
        <w:tc>
          <w:tcPr>
            <w:tcW w:w="1693" w:type="dxa"/>
            <w:vAlign w:val="top"/>
          </w:tcPr>
          <w:p w14:paraId="40E3F444">
            <w:pPr>
              <w:spacing w:line="301" w:lineRule="auto"/>
              <w:rPr>
                <w:rFonts w:ascii="Arial"/>
                <w:sz w:val="21"/>
              </w:rPr>
            </w:pPr>
          </w:p>
          <w:p w14:paraId="0DAC7594">
            <w:pPr>
              <w:spacing w:line="301" w:lineRule="auto"/>
              <w:rPr>
                <w:rFonts w:ascii="Arial"/>
                <w:sz w:val="21"/>
              </w:rPr>
            </w:pPr>
          </w:p>
          <w:p w14:paraId="6FD35B01">
            <w:pPr>
              <w:spacing w:line="301" w:lineRule="auto"/>
              <w:rPr>
                <w:rFonts w:ascii="Arial"/>
                <w:sz w:val="21"/>
              </w:rPr>
            </w:pPr>
          </w:p>
          <w:p w14:paraId="6A173B56">
            <w:pPr>
              <w:spacing w:before="69" w:line="313" w:lineRule="auto"/>
              <w:ind w:left="7" w:right="6"/>
              <w:jc w:val="both"/>
              <w:rPr>
                <w:rFonts w:ascii="宋体" w:hAnsi="宋体" w:eastAsia="宋体" w:cs="宋体"/>
                <w:sz w:val="21"/>
                <w:szCs w:val="21"/>
              </w:rPr>
            </w:pPr>
            <w:r>
              <w:rPr>
                <w:rFonts w:ascii="宋体" w:hAnsi="宋体" w:eastAsia="宋体" w:cs="宋体"/>
                <w:spacing w:val="-1"/>
                <w:sz w:val="21"/>
                <w:szCs w:val="21"/>
              </w:rPr>
              <w:t>本项目属于规模化</w:t>
            </w:r>
            <w:r>
              <w:rPr>
                <w:rFonts w:ascii="宋体" w:hAnsi="宋体" w:eastAsia="宋体" w:cs="宋体"/>
                <w:spacing w:val="-3"/>
                <w:sz w:val="21"/>
                <w:szCs w:val="21"/>
              </w:rPr>
              <w:t>生猪养殖场，本项</w:t>
            </w:r>
            <w:r>
              <w:rPr>
                <w:rFonts w:ascii="宋体" w:hAnsi="宋体" w:eastAsia="宋体" w:cs="宋体"/>
                <w:spacing w:val="-1"/>
                <w:sz w:val="21"/>
                <w:szCs w:val="21"/>
              </w:rPr>
              <w:t>目养殖废水经污水处理站处理达标后全部用于农灌，不外排；不涉及清单</w:t>
            </w:r>
            <w:r>
              <w:rPr>
                <w:rFonts w:ascii="宋体" w:hAnsi="宋体" w:eastAsia="宋体" w:cs="宋体"/>
                <w:spacing w:val="-5"/>
                <w:sz w:val="21"/>
                <w:szCs w:val="21"/>
              </w:rPr>
              <w:t>所列其他行业。</w:t>
            </w:r>
          </w:p>
        </w:tc>
        <w:tc>
          <w:tcPr>
            <w:tcW w:w="746" w:type="dxa"/>
            <w:vAlign w:val="top"/>
          </w:tcPr>
          <w:p w14:paraId="58D483C4">
            <w:pPr>
              <w:spacing w:line="245" w:lineRule="auto"/>
              <w:rPr>
                <w:rFonts w:ascii="Arial"/>
                <w:sz w:val="21"/>
              </w:rPr>
            </w:pPr>
          </w:p>
          <w:p w14:paraId="1B424044">
            <w:pPr>
              <w:spacing w:line="245" w:lineRule="auto"/>
              <w:rPr>
                <w:rFonts w:ascii="Arial"/>
                <w:sz w:val="21"/>
              </w:rPr>
            </w:pPr>
          </w:p>
          <w:p w14:paraId="76338E52">
            <w:pPr>
              <w:spacing w:line="245" w:lineRule="auto"/>
              <w:rPr>
                <w:rFonts w:ascii="Arial"/>
                <w:sz w:val="21"/>
              </w:rPr>
            </w:pPr>
          </w:p>
          <w:p w14:paraId="0F2C009A">
            <w:pPr>
              <w:spacing w:line="245" w:lineRule="auto"/>
              <w:rPr>
                <w:rFonts w:ascii="Arial"/>
                <w:sz w:val="21"/>
              </w:rPr>
            </w:pPr>
          </w:p>
          <w:p w14:paraId="3205853E">
            <w:pPr>
              <w:spacing w:line="246" w:lineRule="auto"/>
              <w:rPr>
                <w:rFonts w:ascii="Arial"/>
                <w:sz w:val="21"/>
              </w:rPr>
            </w:pPr>
          </w:p>
          <w:p w14:paraId="1F41B39F">
            <w:pPr>
              <w:spacing w:line="246" w:lineRule="auto"/>
              <w:rPr>
                <w:rFonts w:ascii="Arial"/>
                <w:sz w:val="21"/>
              </w:rPr>
            </w:pPr>
          </w:p>
          <w:p w14:paraId="7EBA0A21">
            <w:pPr>
              <w:spacing w:line="246" w:lineRule="auto"/>
              <w:rPr>
                <w:rFonts w:ascii="Arial"/>
                <w:sz w:val="21"/>
              </w:rPr>
            </w:pPr>
          </w:p>
          <w:p w14:paraId="65231A96">
            <w:pPr>
              <w:spacing w:line="246" w:lineRule="auto"/>
              <w:rPr>
                <w:rFonts w:ascii="Arial"/>
                <w:sz w:val="21"/>
              </w:rPr>
            </w:pPr>
          </w:p>
          <w:p w14:paraId="0B49C3DA">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7303C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5" w:hRule="atLeast"/>
        </w:trPr>
        <w:tc>
          <w:tcPr>
            <w:tcW w:w="721" w:type="dxa"/>
            <w:vMerge w:val="continue"/>
            <w:tcBorders>
              <w:top w:val="nil"/>
            </w:tcBorders>
            <w:vAlign w:val="top"/>
          </w:tcPr>
          <w:p w14:paraId="18359BD9">
            <w:pPr>
              <w:rPr>
                <w:rFonts w:ascii="Arial"/>
                <w:sz w:val="21"/>
              </w:rPr>
            </w:pPr>
          </w:p>
        </w:tc>
        <w:tc>
          <w:tcPr>
            <w:tcW w:w="561" w:type="dxa"/>
            <w:vMerge w:val="continue"/>
            <w:tcBorders>
              <w:top w:val="nil"/>
            </w:tcBorders>
            <w:vAlign w:val="top"/>
          </w:tcPr>
          <w:p w14:paraId="1425C206">
            <w:pPr>
              <w:rPr>
                <w:rFonts w:ascii="Arial"/>
                <w:sz w:val="21"/>
              </w:rPr>
            </w:pPr>
          </w:p>
        </w:tc>
        <w:tc>
          <w:tcPr>
            <w:tcW w:w="700" w:type="dxa"/>
            <w:vMerge w:val="continue"/>
            <w:tcBorders>
              <w:top w:val="nil"/>
            </w:tcBorders>
            <w:vAlign w:val="top"/>
          </w:tcPr>
          <w:p w14:paraId="4FBEF874">
            <w:pPr>
              <w:rPr>
                <w:rFonts w:ascii="Arial"/>
                <w:sz w:val="21"/>
              </w:rPr>
            </w:pPr>
          </w:p>
        </w:tc>
        <w:tc>
          <w:tcPr>
            <w:tcW w:w="559" w:type="dxa"/>
            <w:vAlign w:val="top"/>
          </w:tcPr>
          <w:p w14:paraId="01553BF4">
            <w:pPr>
              <w:spacing w:line="269" w:lineRule="auto"/>
              <w:rPr>
                <w:rFonts w:ascii="Arial"/>
                <w:sz w:val="21"/>
              </w:rPr>
            </w:pPr>
          </w:p>
          <w:p w14:paraId="33EA11CA">
            <w:pPr>
              <w:spacing w:line="269" w:lineRule="auto"/>
              <w:rPr>
                <w:rFonts w:ascii="Arial"/>
                <w:sz w:val="21"/>
              </w:rPr>
            </w:pPr>
          </w:p>
          <w:p w14:paraId="07D64827">
            <w:pPr>
              <w:spacing w:line="269" w:lineRule="auto"/>
              <w:rPr>
                <w:rFonts w:ascii="Arial"/>
                <w:sz w:val="21"/>
              </w:rPr>
            </w:pPr>
          </w:p>
          <w:p w14:paraId="32B71569">
            <w:pPr>
              <w:spacing w:line="270" w:lineRule="auto"/>
              <w:rPr>
                <w:rFonts w:ascii="Arial"/>
                <w:sz w:val="21"/>
              </w:rPr>
            </w:pPr>
          </w:p>
          <w:p w14:paraId="46574005">
            <w:pPr>
              <w:spacing w:line="270" w:lineRule="auto"/>
              <w:rPr>
                <w:rFonts w:ascii="Arial"/>
                <w:sz w:val="21"/>
              </w:rPr>
            </w:pPr>
          </w:p>
          <w:p w14:paraId="0EA31294">
            <w:pPr>
              <w:spacing w:line="270" w:lineRule="auto"/>
              <w:rPr>
                <w:rFonts w:ascii="Arial"/>
                <w:sz w:val="21"/>
              </w:rPr>
            </w:pPr>
          </w:p>
          <w:p w14:paraId="33EA0FAF">
            <w:pPr>
              <w:spacing w:line="270" w:lineRule="auto"/>
              <w:rPr>
                <w:rFonts w:ascii="Arial"/>
                <w:sz w:val="21"/>
              </w:rPr>
            </w:pPr>
          </w:p>
          <w:p w14:paraId="65E7B762">
            <w:pPr>
              <w:spacing w:line="270" w:lineRule="auto"/>
              <w:rPr>
                <w:rFonts w:ascii="Arial"/>
                <w:sz w:val="21"/>
              </w:rPr>
            </w:pPr>
          </w:p>
          <w:p w14:paraId="61677E9D">
            <w:pPr>
              <w:spacing w:before="68" w:line="313" w:lineRule="auto"/>
              <w:ind w:left="68" w:right="72" w:firstLine="2"/>
              <w:jc w:val="both"/>
              <w:rPr>
                <w:rFonts w:ascii="宋体" w:hAnsi="宋体" w:eastAsia="宋体" w:cs="宋体"/>
                <w:sz w:val="21"/>
                <w:szCs w:val="21"/>
              </w:rPr>
            </w:pPr>
            <w:r>
              <w:rPr>
                <w:rFonts w:ascii="宋体" w:hAnsi="宋体" w:eastAsia="宋体" w:cs="宋体"/>
                <w:spacing w:val="-5"/>
                <w:sz w:val="21"/>
                <w:szCs w:val="21"/>
              </w:rPr>
              <w:t>污染</w:t>
            </w:r>
            <w:r>
              <w:rPr>
                <w:rFonts w:ascii="宋体" w:hAnsi="宋体" w:eastAsia="宋体" w:cs="宋体"/>
                <w:spacing w:val="-4"/>
                <w:sz w:val="21"/>
                <w:szCs w:val="21"/>
              </w:rPr>
              <w:t>物排放绩效水平准入要</w:t>
            </w:r>
            <w:r>
              <w:rPr>
                <w:rFonts w:ascii="宋体" w:hAnsi="宋体" w:eastAsia="宋体" w:cs="宋体"/>
                <w:spacing w:val="38"/>
                <w:w w:val="128"/>
                <w:sz w:val="21"/>
                <w:szCs w:val="21"/>
              </w:rPr>
              <w:t>求</w:t>
            </w:r>
          </w:p>
        </w:tc>
        <w:tc>
          <w:tcPr>
            <w:tcW w:w="3346" w:type="dxa"/>
            <w:vAlign w:val="top"/>
          </w:tcPr>
          <w:p w14:paraId="06DCC198">
            <w:pPr>
              <w:pStyle w:val="6"/>
              <w:spacing w:before="77" w:line="220" w:lineRule="auto"/>
              <w:ind w:left="10"/>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）水环境：</w:t>
            </w:r>
          </w:p>
          <w:p w14:paraId="20FA60F7">
            <w:pPr>
              <w:pStyle w:val="6"/>
              <w:spacing w:before="110" w:line="315" w:lineRule="auto"/>
              <w:ind w:left="7" w:right="5" w:hanging="3"/>
              <w:rPr>
                <w:rFonts w:ascii="宋体" w:hAnsi="宋体" w:eastAsia="宋体" w:cs="宋体"/>
              </w:rPr>
            </w:pPr>
            <w:r>
              <w:rPr>
                <w:rFonts w:ascii="宋体" w:hAnsi="宋体" w:eastAsia="宋体" w:cs="宋体"/>
                <w:spacing w:val="-2"/>
              </w:rPr>
              <w:t xml:space="preserve">①到 </w:t>
            </w:r>
            <w:r>
              <w:rPr>
                <w:spacing w:val="-2"/>
              </w:rPr>
              <w:t>2023</w:t>
            </w:r>
            <w:r>
              <w:rPr>
                <w:spacing w:val="58"/>
                <w:w w:val="101"/>
              </w:rPr>
              <w:t xml:space="preserve"> </w:t>
            </w:r>
            <w:r>
              <w:rPr>
                <w:rFonts w:ascii="宋体" w:hAnsi="宋体" w:eastAsia="宋体" w:cs="宋体"/>
                <w:spacing w:val="-2"/>
              </w:rPr>
              <w:t>年底，所有建制镇具备污</w:t>
            </w:r>
            <w:r>
              <w:rPr>
                <w:rFonts w:ascii="宋体" w:hAnsi="宋体" w:eastAsia="宋体" w:cs="宋体"/>
                <w:spacing w:val="-6"/>
              </w:rPr>
              <w:t>水处理能力。</w:t>
            </w:r>
          </w:p>
          <w:p w14:paraId="418308CE">
            <w:pPr>
              <w:pStyle w:val="6"/>
              <w:spacing w:before="4" w:line="315" w:lineRule="auto"/>
              <w:ind w:left="4" w:hanging="1"/>
              <w:rPr>
                <w:rFonts w:ascii="宋体" w:hAnsi="宋体" w:eastAsia="宋体" w:cs="宋体"/>
              </w:rPr>
            </w:pPr>
            <w:r>
              <w:rPr>
                <w:rFonts w:ascii="宋体" w:hAnsi="宋体" w:eastAsia="宋体" w:cs="宋体"/>
                <w:spacing w:val="-6"/>
              </w:rPr>
              <w:t>②鼓励畜禽粪污还田利用。粪污经无</w:t>
            </w:r>
            <w:r>
              <w:rPr>
                <w:rFonts w:ascii="宋体" w:hAnsi="宋体" w:eastAsia="宋体" w:cs="宋体"/>
                <w:spacing w:val="7"/>
              </w:rPr>
              <w:t>害化处理后还田利用具体要求及限</w:t>
            </w:r>
            <w:r>
              <w:rPr>
                <w:rFonts w:ascii="宋体" w:hAnsi="宋体" w:eastAsia="宋体" w:cs="宋体"/>
                <w:spacing w:val="-7"/>
              </w:rPr>
              <w:t>量应符合《畜禽粪便无害化处理技术</w:t>
            </w:r>
            <w:r>
              <w:rPr>
                <w:rFonts w:ascii="宋体" w:hAnsi="宋体" w:eastAsia="宋体" w:cs="宋体"/>
                <w:spacing w:val="-14"/>
              </w:rPr>
              <w:t>规范》、《畜禽粪便还田技术规范》、</w:t>
            </w:r>
            <w:r>
              <w:rPr>
                <w:rFonts w:ascii="宋体" w:hAnsi="宋体" w:eastAsia="宋体" w:cs="宋体"/>
                <w:spacing w:val="3"/>
              </w:rPr>
              <w:t xml:space="preserve"> </w:t>
            </w:r>
            <w:r>
              <w:rPr>
                <w:rFonts w:ascii="宋体" w:hAnsi="宋体" w:eastAsia="宋体" w:cs="宋体"/>
                <w:spacing w:val="7"/>
              </w:rPr>
              <w:t>《畜禽粪污土地承载力测算技术指</w:t>
            </w:r>
            <w:r>
              <w:rPr>
                <w:rFonts w:ascii="宋体" w:hAnsi="宋体" w:eastAsia="宋体" w:cs="宋体"/>
                <w:spacing w:val="-7"/>
              </w:rPr>
              <w:t>南》。用于农田灌溉的，应符合《农</w:t>
            </w:r>
            <w:r>
              <w:rPr>
                <w:rFonts w:ascii="宋体" w:hAnsi="宋体" w:eastAsia="宋体" w:cs="宋体"/>
                <w:spacing w:val="-21"/>
              </w:rPr>
              <w:t>田灌溉水质标准》（</w:t>
            </w:r>
            <w:r>
              <w:rPr>
                <w:spacing w:val="-21"/>
              </w:rPr>
              <w:t>GB5084</w:t>
            </w:r>
            <w:r>
              <w:rPr>
                <w:rFonts w:ascii="宋体" w:hAnsi="宋体" w:eastAsia="宋体" w:cs="宋体"/>
                <w:spacing w:val="-21"/>
              </w:rPr>
              <w:t>）。到</w:t>
            </w:r>
            <w:r>
              <w:rPr>
                <w:rFonts w:ascii="宋体" w:hAnsi="宋体" w:eastAsia="宋体" w:cs="宋体"/>
                <w:spacing w:val="-34"/>
              </w:rPr>
              <w:t xml:space="preserve"> </w:t>
            </w:r>
            <w:r>
              <w:rPr>
                <w:spacing w:val="-21"/>
              </w:rPr>
              <w:t>2025</w:t>
            </w:r>
            <w:r>
              <w:rPr>
                <w:rFonts w:ascii="宋体" w:hAnsi="宋体" w:eastAsia="宋体" w:cs="宋体"/>
                <w:spacing w:val="-8"/>
              </w:rPr>
              <w:t>年，畜禽粪污综合利用率达到</w:t>
            </w:r>
            <w:r>
              <w:rPr>
                <w:rFonts w:ascii="宋体" w:hAnsi="宋体" w:eastAsia="宋体" w:cs="宋体"/>
                <w:spacing w:val="-33"/>
              </w:rPr>
              <w:t xml:space="preserve"> </w:t>
            </w:r>
            <w:r>
              <w:rPr>
                <w:spacing w:val="-8"/>
              </w:rPr>
              <w:t>90%</w:t>
            </w:r>
            <w:r>
              <w:rPr>
                <w:rFonts w:ascii="宋体" w:hAnsi="宋体" w:eastAsia="宋体" w:cs="宋体"/>
                <w:spacing w:val="-8"/>
              </w:rPr>
              <w:t>以</w:t>
            </w:r>
            <w:r>
              <w:rPr>
                <w:rFonts w:ascii="宋体" w:hAnsi="宋体" w:eastAsia="宋体" w:cs="宋体"/>
                <w:spacing w:val="-12"/>
              </w:rPr>
              <w:t>上。</w:t>
            </w:r>
          </w:p>
          <w:p w14:paraId="17BD3EA8">
            <w:pPr>
              <w:pStyle w:val="6"/>
              <w:spacing w:line="220" w:lineRule="auto"/>
              <w:ind w:left="10"/>
              <w:rPr>
                <w:rFonts w:ascii="宋体" w:hAnsi="宋体" w:eastAsia="宋体" w:cs="宋体"/>
              </w:rPr>
            </w:pPr>
            <w:r>
              <w:rPr>
                <w:rFonts w:ascii="宋体" w:hAnsi="宋体" w:eastAsia="宋体" w:cs="宋体"/>
                <w:spacing w:val="-6"/>
              </w:rPr>
              <w:t>（</w:t>
            </w:r>
            <w:r>
              <w:rPr>
                <w:spacing w:val="-6"/>
              </w:rPr>
              <w:t>2</w:t>
            </w:r>
            <w:r>
              <w:rPr>
                <w:rFonts w:ascii="宋体" w:hAnsi="宋体" w:eastAsia="宋体" w:cs="宋体"/>
                <w:spacing w:val="-6"/>
              </w:rPr>
              <w:t>）大气环境：</w:t>
            </w:r>
          </w:p>
          <w:p w14:paraId="491D3D1B">
            <w:pPr>
              <w:pStyle w:val="6"/>
              <w:spacing w:before="108" w:line="315" w:lineRule="auto"/>
              <w:ind w:left="4" w:right="3"/>
              <w:rPr>
                <w:rFonts w:ascii="宋体" w:hAnsi="宋体" w:eastAsia="宋体" w:cs="宋体"/>
              </w:rPr>
            </w:pPr>
            <w:r>
              <w:rPr>
                <w:rFonts w:ascii="宋体" w:hAnsi="宋体" w:eastAsia="宋体" w:cs="宋体"/>
                <w:spacing w:val="-2"/>
              </w:rPr>
              <w:t>①</w:t>
            </w:r>
            <w:r>
              <w:rPr>
                <w:spacing w:val="-2"/>
              </w:rPr>
              <w:t>2025</w:t>
            </w:r>
            <w:r>
              <w:rPr>
                <w:spacing w:val="30"/>
              </w:rPr>
              <w:t xml:space="preserve"> </w:t>
            </w:r>
            <w:r>
              <w:rPr>
                <w:rFonts w:ascii="宋体" w:hAnsi="宋体" w:eastAsia="宋体" w:cs="宋体"/>
                <w:spacing w:val="-2"/>
              </w:rPr>
              <w:t>年</w:t>
            </w:r>
            <w:r>
              <w:rPr>
                <w:rFonts w:ascii="宋体" w:hAnsi="宋体" w:eastAsia="宋体" w:cs="宋体"/>
                <w:spacing w:val="-29"/>
              </w:rPr>
              <w:t xml:space="preserve"> </w:t>
            </w:r>
            <w:r>
              <w:rPr>
                <w:spacing w:val="-2"/>
              </w:rPr>
              <w:t>PM</w:t>
            </w:r>
            <w:r>
              <w:rPr>
                <w:spacing w:val="-2"/>
                <w:position w:val="-2"/>
                <w:sz w:val="14"/>
                <w:szCs w:val="14"/>
              </w:rPr>
              <w:t>2.5</w:t>
            </w:r>
            <w:r>
              <w:rPr>
                <w:spacing w:val="12"/>
                <w:position w:val="-2"/>
                <w:sz w:val="14"/>
                <w:szCs w:val="14"/>
              </w:rPr>
              <w:t xml:space="preserve"> </w:t>
            </w:r>
            <w:r>
              <w:rPr>
                <w:rFonts w:ascii="宋体" w:hAnsi="宋体" w:eastAsia="宋体" w:cs="宋体"/>
                <w:spacing w:val="-2"/>
              </w:rPr>
              <w:t>浓度</w:t>
            </w:r>
            <w:r>
              <w:rPr>
                <w:rFonts w:ascii="宋体" w:hAnsi="宋体" w:eastAsia="宋体" w:cs="宋体"/>
                <w:spacing w:val="-23"/>
              </w:rPr>
              <w:t xml:space="preserve"> </w:t>
            </w:r>
            <w:r>
              <w:rPr>
                <w:spacing w:val="-2"/>
              </w:rPr>
              <w:t>34.2</w:t>
            </w:r>
            <w:r>
              <w:rPr>
                <w:spacing w:val="29"/>
                <w:w w:val="101"/>
              </w:rPr>
              <w:t xml:space="preserve"> </w:t>
            </w:r>
            <w:r>
              <w:rPr>
                <w:rFonts w:ascii="宋体" w:hAnsi="宋体" w:eastAsia="宋体" w:cs="宋体"/>
                <w:spacing w:val="-2"/>
              </w:rPr>
              <w:t>微克</w:t>
            </w:r>
            <w:r>
              <w:rPr>
                <w:spacing w:val="-2"/>
              </w:rPr>
              <w:t>/</w:t>
            </w:r>
            <w:r>
              <w:rPr>
                <w:rFonts w:ascii="宋体" w:hAnsi="宋体" w:eastAsia="宋体" w:cs="宋体"/>
                <w:spacing w:val="-2"/>
              </w:rPr>
              <w:t>立方</w:t>
            </w:r>
            <w:r>
              <w:rPr>
                <w:rFonts w:ascii="宋体" w:hAnsi="宋体" w:eastAsia="宋体" w:cs="宋体"/>
                <w:spacing w:val="-3"/>
              </w:rPr>
              <w:t>米，</w:t>
            </w:r>
            <w:r>
              <w:rPr>
                <w:spacing w:val="-3"/>
              </w:rPr>
              <w:t>2035</w:t>
            </w:r>
            <w:r>
              <w:rPr>
                <w:spacing w:val="32"/>
              </w:rPr>
              <w:t xml:space="preserve"> </w:t>
            </w:r>
            <w:r>
              <w:rPr>
                <w:rFonts w:ascii="宋体" w:hAnsi="宋体" w:eastAsia="宋体" w:cs="宋体"/>
                <w:spacing w:val="-3"/>
              </w:rPr>
              <w:t>年</w:t>
            </w:r>
            <w:r>
              <w:rPr>
                <w:rFonts w:ascii="宋体" w:hAnsi="宋体" w:eastAsia="宋体" w:cs="宋体"/>
                <w:spacing w:val="-39"/>
              </w:rPr>
              <w:t xml:space="preserve"> </w:t>
            </w:r>
            <w:r>
              <w:rPr>
                <w:spacing w:val="-3"/>
              </w:rPr>
              <w:t>PM</w:t>
            </w:r>
            <w:r>
              <w:rPr>
                <w:spacing w:val="-3"/>
                <w:position w:val="-2"/>
                <w:sz w:val="14"/>
                <w:szCs w:val="14"/>
              </w:rPr>
              <w:t>2.5</w:t>
            </w:r>
            <w:r>
              <w:rPr>
                <w:spacing w:val="8"/>
                <w:w w:val="102"/>
                <w:position w:val="-2"/>
                <w:sz w:val="14"/>
                <w:szCs w:val="14"/>
              </w:rPr>
              <w:t xml:space="preserve"> </w:t>
            </w:r>
            <w:r>
              <w:rPr>
                <w:rFonts w:ascii="宋体" w:hAnsi="宋体" w:eastAsia="宋体" w:cs="宋体"/>
                <w:spacing w:val="-3"/>
              </w:rPr>
              <w:t>浓度</w:t>
            </w:r>
            <w:r>
              <w:rPr>
                <w:rFonts w:ascii="宋体" w:hAnsi="宋体" w:eastAsia="宋体" w:cs="宋体"/>
                <w:spacing w:val="-34"/>
              </w:rPr>
              <w:t xml:space="preserve"> </w:t>
            </w:r>
            <w:r>
              <w:rPr>
                <w:spacing w:val="-3"/>
              </w:rPr>
              <w:t>32</w:t>
            </w:r>
            <w:r>
              <w:rPr>
                <w:spacing w:val="20"/>
              </w:rPr>
              <w:t xml:space="preserve"> </w:t>
            </w:r>
            <w:r>
              <w:rPr>
                <w:rFonts w:ascii="宋体" w:hAnsi="宋体" w:eastAsia="宋体" w:cs="宋体"/>
                <w:spacing w:val="-3"/>
              </w:rPr>
              <w:t>微克</w:t>
            </w:r>
            <w:r>
              <w:rPr>
                <w:spacing w:val="-3"/>
              </w:rPr>
              <w:t>/</w:t>
            </w:r>
            <w:r>
              <w:rPr>
                <w:rFonts w:ascii="宋体" w:hAnsi="宋体" w:eastAsia="宋体" w:cs="宋体"/>
                <w:spacing w:val="-3"/>
              </w:rPr>
              <w:t>立方</w:t>
            </w:r>
            <w:r>
              <w:rPr>
                <w:rFonts w:ascii="宋体" w:hAnsi="宋体" w:eastAsia="宋体" w:cs="宋体"/>
                <w:spacing w:val="-10"/>
              </w:rPr>
              <w:t>米。</w:t>
            </w:r>
          </w:p>
          <w:p w14:paraId="4D8D6FD1">
            <w:pPr>
              <w:spacing w:line="292" w:lineRule="auto"/>
              <w:ind w:left="5" w:right="5" w:hanging="2"/>
              <w:rPr>
                <w:rFonts w:ascii="宋体" w:hAnsi="宋体" w:eastAsia="宋体" w:cs="宋体"/>
                <w:sz w:val="21"/>
                <w:szCs w:val="21"/>
              </w:rPr>
            </w:pPr>
            <w:r>
              <w:rPr>
                <w:rFonts w:ascii="宋体" w:hAnsi="宋体" w:eastAsia="宋体" w:cs="宋体"/>
                <w:spacing w:val="-2"/>
                <w:sz w:val="21"/>
                <w:szCs w:val="21"/>
              </w:rPr>
              <w:t>②现有、新建企业执行国家排放标准</w:t>
            </w:r>
            <w:r>
              <w:rPr>
                <w:rFonts w:ascii="宋体" w:hAnsi="宋体" w:eastAsia="宋体" w:cs="宋体"/>
                <w:spacing w:val="11"/>
                <w:sz w:val="21"/>
                <w:szCs w:val="21"/>
              </w:rPr>
              <w:t>大气污染物特别排放限值和特别控</w:t>
            </w:r>
            <w:r>
              <w:rPr>
                <w:rFonts w:ascii="宋体" w:hAnsi="宋体" w:eastAsia="宋体" w:cs="宋体"/>
                <w:spacing w:val="-8"/>
                <w:sz w:val="21"/>
                <w:szCs w:val="21"/>
              </w:rPr>
              <w:t>制要求。</w:t>
            </w:r>
          </w:p>
        </w:tc>
        <w:tc>
          <w:tcPr>
            <w:tcW w:w="1693" w:type="dxa"/>
            <w:vAlign w:val="top"/>
          </w:tcPr>
          <w:p w14:paraId="7733BCBC">
            <w:pPr>
              <w:spacing w:line="256" w:lineRule="auto"/>
              <w:rPr>
                <w:rFonts w:ascii="Arial"/>
                <w:sz w:val="21"/>
              </w:rPr>
            </w:pPr>
          </w:p>
          <w:p w14:paraId="3370D0E3">
            <w:pPr>
              <w:spacing w:line="256" w:lineRule="auto"/>
              <w:rPr>
                <w:rFonts w:ascii="Arial"/>
                <w:sz w:val="21"/>
              </w:rPr>
            </w:pPr>
          </w:p>
          <w:p w14:paraId="7E4AF757">
            <w:pPr>
              <w:spacing w:line="256" w:lineRule="auto"/>
              <w:rPr>
                <w:rFonts w:ascii="Arial"/>
                <w:sz w:val="21"/>
              </w:rPr>
            </w:pPr>
          </w:p>
          <w:p w14:paraId="0E4E15DB">
            <w:pPr>
              <w:spacing w:line="257" w:lineRule="auto"/>
              <w:rPr>
                <w:rFonts w:ascii="Arial"/>
                <w:sz w:val="21"/>
              </w:rPr>
            </w:pPr>
          </w:p>
          <w:p w14:paraId="5585C561">
            <w:pPr>
              <w:spacing w:line="257" w:lineRule="auto"/>
              <w:rPr>
                <w:rFonts w:ascii="Arial"/>
                <w:sz w:val="21"/>
              </w:rPr>
            </w:pPr>
          </w:p>
          <w:p w14:paraId="01ACE5A3">
            <w:pPr>
              <w:spacing w:before="69" w:line="312" w:lineRule="auto"/>
              <w:ind w:left="6" w:right="4" w:firstLine="1"/>
              <w:jc w:val="both"/>
              <w:rPr>
                <w:rFonts w:ascii="宋体" w:hAnsi="宋体" w:eastAsia="宋体" w:cs="宋体"/>
                <w:sz w:val="21"/>
                <w:szCs w:val="21"/>
              </w:rPr>
            </w:pPr>
            <w:r>
              <w:rPr>
                <w:rFonts w:ascii="宋体" w:hAnsi="宋体" w:eastAsia="宋体" w:cs="宋体"/>
                <w:spacing w:val="-1"/>
                <w:sz w:val="21"/>
                <w:szCs w:val="21"/>
              </w:rPr>
              <w:t>本项目养殖废水及生活污水经污水处理站处理后用于消纳地农灌，粪便在堆粪棚暂存后交有</w:t>
            </w:r>
            <w:r>
              <w:rPr>
                <w:rFonts w:ascii="宋体" w:hAnsi="宋体" w:eastAsia="宋体" w:cs="宋体"/>
                <w:spacing w:val="23"/>
                <w:sz w:val="21"/>
                <w:szCs w:val="21"/>
              </w:rPr>
              <w:t>机肥厂生</w:t>
            </w:r>
            <w:r>
              <w:rPr>
                <w:rFonts w:ascii="宋体" w:hAnsi="宋体" w:eastAsia="宋体" w:cs="宋体"/>
                <w:spacing w:val="-60"/>
                <w:sz w:val="21"/>
                <w:szCs w:val="21"/>
              </w:rPr>
              <w:t xml:space="preserve"> </w:t>
            </w:r>
            <w:r>
              <w:rPr>
                <w:rFonts w:ascii="宋体" w:hAnsi="宋体" w:eastAsia="宋体" w:cs="宋体"/>
                <w:spacing w:val="23"/>
                <w:sz w:val="21"/>
                <w:szCs w:val="21"/>
              </w:rPr>
              <w:t>产有机</w:t>
            </w:r>
            <w:r>
              <w:rPr>
                <w:rFonts w:ascii="宋体" w:hAnsi="宋体" w:eastAsia="宋体" w:cs="宋体"/>
                <w:spacing w:val="-1"/>
                <w:sz w:val="21"/>
                <w:szCs w:val="21"/>
              </w:rPr>
              <w:t>肥，粪污全部综合利用。生活垃圾交由环卫部门清运，本项目所有污染物均通过有效措施处</w:t>
            </w:r>
            <w:r>
              <w:rPr>
                <w:rFonts w:ascii="宋体" w:hAnsi="宋体" w:eastAsia="宋体" w:cs="宋体"/>
                <w:spacing w:val="-5"/>
                <w:sz w:val="21"/>
                <w:szCs w:val="21"/>
              </w:rPr>
              <w:t>理，降低排放量。</w:t>
            </w:r>
          </w:p>
        </w:tc>
        <w:tc>
          <w:tcPr>
            <w:tcW w:w="746" w:type="dxa"/>
            <w:vAlign w:val="top"/>
          </w:tcPr>
          <w:p w14:paraId="59141AA8">
            <w:pPr>
              <w:spacing w:line="247" w:lineRule="auto"/>
              <w:rPr>
                <w:rFonts w:ascii="Arial"/>
                <w:sz w:val="21"/>
              </w:rPr>
            </w:pPr>
          </w:p>
          <w:p w14:paraId="15C54737">
            <w:pPr>
              <w:spacing w:line="247" w:lineRule="auto"/>
              <w:rPr>
                <w:rFonts w:ascii="Arial"/>
                <w:sz w:val="21"/>
              </w:rPr>
            </w:pPr>
          </w:p>
          <w:p w14:paraId="683256B0">
            <w:pPr>
              <w:spacing w:line="247" w:lineRule="auto"/>
              <w:rPr>
                <w:rFonts w:ascii="Arial"/>
                <w:sz w:val="21"/>
              </w:rPr>
            </w:pPr>
          </w:p>
          <w:p w14:paraId="7674C74F">
            <w:pPr>
              <w:spacing w:line="247" w:lineRule="auto"/>
              <w:rPr>
                <w:rFonts w:ascii="Arial"/>
                <w:sz w:val="21"/>
              </w:rPr>
            </w:pPr>
          </w:p>
          <w:p w14:paraId="6B18E5A4">
            <w:pPr>
              <w:spacing w:line="247" w:lineRule="auto"/>
              <w:rPr>
                <w:rFonts w:ascii="Arial"/>
                <w:sz w:val="21"/>
              </w:rPr>
            </w:pPr>
          </w:p>
          <w:p w14:paraId="3F06ED04">
            <w:pPr>
              <w:spacing w:line="247" w:lineRule="auto"/>
              <w:rPr>
                <w:rFonts w:ascii="Arial"/>
                <w:sz w:val="21"/>
              </w:rPr>
            </w:pPr>
          </w:p>
          <w:p w14:paraId="1D1BC1AA">
            <w:pPr>
              <w:spacing w:line="247" w:lineRule="auto"/>
              <w:rPr>
                <w:rFonts w:ascii="Arial"/>
                <w:sz w:val="21"/>
              </w:rPr>
            </w:pPr>
          </w:p>
          <w:p w14:paraId="41E3A053">
            <w:pPr>
              <w:spacing w:line="248" w:lineRule="auto"/>
              <w:rPr>
                <w:rFonts w:ascii="Arial"/>
                <w:sz w:val="21"/>
              </w:rPr>
            </w:pPr>
          </w:p>
          <w:p w14:paraId="45167A62">
            <w:pPr>
              <w:spacing w:line="248" w:lineRule="auto"/>
              <w:rPr>
                <w:rFonts w:ascii="Arial"/>
                <w:sz w:val="21"/>
              </w:rPr>
            </w:pPr>
          </w:p>
          <w:p w14:paraId="733AABA8">
            <w:pPr>
              <w:spacing w:line="248" w:lineRule="auto"/>
              <w:rPr>
                <w:rFonts w:ascii="Arial"/>
                <w:sz w:val="21"/>
              </w:rPr>
            </w:pPr>
          </w:p>
          <w:p w14:paraId="4B7ECBC4">
            <w:pPr>
              <w:spacing w:line="248" w:lineRule="auto"/>
              <w:rPr>
                <w:rFonts w:ascii="Arial"/>
                <w:sz w:val="21"/>
              </w:rPr>
            </w:pPr>
          </w:p>
          <w:p w14:paraId="140205B5">
            <w:pPr>
              <w:spacing w:line="248" w:lineRule="auto"/>
              <w:rPr>
                <w:rFonts w:ascii="Arial"/>
                <w:sz w:val="21"/>
              </w:rPr>
            </w:pPr>
          </w:p>
          <w:p w14:paraId="1B694788">
            <w:pPr>
              <w:spacing w:line="248" w:lineRule="auto"/>
              <w:rPr>
                <w:rFonts w:ascii="Arial"/>
                <w:sz w:val="21"/>
              </w:rPr>
            </w:pPr>
          </w:p>
          <w:p w14:paraId="22B62CB9">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7755FA44">
      <w:pPr>
        <w:pStyle w:val="2"/>
      </w:pPr>
    </w:p>
    <w:p w14:paraId="1CAC79E8">
      <w:pPr>
        <w:sectPr>
          <w:footerReference r:id="rId124" w:type="default"/>
          <w:pgSz w:w="11905" w:h="16840"/>
          <w:pgMar w:top="1168" w:right="1768" w:bottom="1409" w:left="1770" w:header="828" w:footer="1244" w:gutter="0"/>
          <w:cols w:space="720" w:num="1"/>
        </w:sectPr>
      </w:pPr>
    </w:p>
    <w:p w14:paraId="060E930A">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559"/>
        <w:gridCol w:w="3346"/>
        <w:gridCol w:w="1693"/>
        <w:gridCol w:w="746"/>
      </w:tblGrid>
      <w:tr w14:paraId="7F2A6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5"/>
            <w:vAlign w:val="top"/>
          </w:tcPr>
          <w:p w14:paraId="49C4C52A">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6E6723E7">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1D811A50">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4D871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5D05E359">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gridSpan w:val="2"/>
            <w:vAlign w:val="top"/>
          </w:tcPr>
          <w:p w14:paraId="2295DA03">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09D45869">
            <w:pPr>
              <w:rPr>
                <w:rFonts w:ascii="Arial"/>
                <w:sz w:val="21"/>
              </w:rPr>
            </w:pPr>
          </w:p>
        </w:tc>
        <w:tc>
          <w:tcPr>
            <w:tcW w:w="746" w:type="dxa"/>
            <w:vMerge w:val="continue"/>
            <w:tcBorders>
              <w:top w:val="nil"/>
            </w:tcBorders>
            <w:vAlign w:val="top"/>
          </w:tcPr>
          <w:p w14:paraId="24E54538">
            <w:pPr>
              <w:rPr>
                <w:rFonts w:ascii="Arial"/>
                <w:sz w:val="21"/>
              </w:rPr>
            </w:pPr>
          </w:p>
        </w:tc>
      </w:tr>
      <w:tr w14:paraId="055F9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3" w:hRule="atLeast"/>
        </w:trPr>
        <w:tc>
          <w:tcPr>
            <w:tcW w:w="721" w:type="dxa"/>
            <w:vMerge w:val="restart"/>
            <w:tcBorders>
              <w:bottom w:val="nil"/>
            </w:tcBorders>
            <w:vAlign w:val="top"/>
          </w:tcPr>
          <w:p w14:paraId="018D8712">
            <w:pPr>
              <w:rPr>
                <w:rFonts w:ascii="Arial"/>
                <w:sz w:val="21"/>
              </w:rPr>
            </w:pPr>
          </w:p>
        </w:tc>
        <w:tc>
          <w:tcPr>
            <w:tcW w:w="561" w:type="dxa"/>
            <w:vMerge w:val="restart"/>
            <w:tcBorders>
              <w:bottom w:val="nil"/>
            </w:tcBorders>
            <w:vAlign w:val="top"/>
          </w:tcPr>
          <w:p w14:paraId="77A3CD23">
            <w:pPr>
              <w:rPr>
                <w:rFonts w:ascii="Arial"/>
                <w:sz w:val="21"/>
              </w:rPr>
            </w:pPr>
          </w:p>
        </w:tc>
        <w:tc>
          <w:tcPr>
            <w:tcW w:w="700" w:type="dxa"/>
            <w:vMerge w:val="restart"/>
            <w:tcBorders>
              <w:bottom w:val="nil"/>
            </w:tcBorders>
            <w:vAlign w:val="top"/>
          </w:tcPr>
          <w:p w14:paraId="0872B3F0">
            <w:pPr>
              <w:rPr>
                <w:rFonts w:ascii="Arial"/>
                <w:sz w:val="21"/>
              </w:rPr>
            </w:pPr>
          </w:p>
        </w:tc>
        <w:tc>
          <w:tcPr>
            <w:tcW w:w="559" w:type="dxa"/>
            <w:vAlign w:val="top"/>
          </w:tcPr>
          <w:p w14:paraId="0DEC6435">
            <w:pPr>
              <w:rPr>
                <w:rFonts w:ascii="Arial"/>
                <w:sz w:val="21"/>
              </w:rPr>
            </w:pPr>
          </w:p>
        </w:tc>
        <w:tc>
          <w:tcPr>
            <w:tcW w:w="3346" w:type="dxa"/>
            <w:vAlign w:val="top"/>
          </w:tcPr>
          <w:p w14:paraId="02543A22">
            <w:pPr>
              <w:pStyle w:val="6"/>
              <w:spacing w:before="76" w:line="315" w:lineRule="auto"/>
              <w:ind w:left="6" w:right="5" w:hanging="3"/>
              <w:rPr>
                <w:rFonts w:ascii="宋体" w:hAnsi="宋体" w:eastAsia="宋体" w:cs="宋体"/>
              </w:rPr>
            </w:pPr>
            <w:r>
              <w:rPr>
                <w:rFonts w:ascii="宋体" w:hAnsi="宋体" w:eastAsia="宋体" w:cs="宋体"/>
                <w:spacing w:val="-2"/>
              </w:rPr>
              <w:t>③切实督促企业履行</w:t>
            </w:r>
            <w:r>
              <w:rPr>
                <w:rFonts w:ascii="宋体" w:hAnsi="宋体" w:eastAsia="宋体" w:cs="宋体"/>
                <w:spacing w:val="-46"/>
              </w:rPr>
              <w:t xml:space="preserve"> </w:t>
            </w:r>
            <w:r>
              <w:rPr>
                <w:spacing w:val="-2"/>
              </w:rPr>
              <w:t xml:space="preserve">VOCs </w:t>
            </w:r>
            <w:r>
              <w:rPr>
                <w:rFonts w:ascii="宋体" w:hAnsi="宋体" w:eastAsia="宋体" w:cs="宋体"/>
                <w:spacing w:val="-2"/>
              </w:rPr>
              <w:t>污染防治</w:t>
            </w:r>
            <w:r>
              <w:rPr>
                <w:rFonts w:ascii="宋体" w:hAnsi="宋体" w:eastAsia="宋体" w:cs="宋体"/>
                <w:spacing w:val="-3"/>
              </w:rPr>
              <w:t>的主体责任，使用低（无</w:t>
            </w:r>
            <w:r>
              <w:rPr>
                <w:spacing w:val="-3"/>
              </w:rPr>
              <w:t xml:space="preserve">)VOCs </w:t>
            </w:r>
            <w:r>
              <w:rPr>
                <w:rFonts w:ascii="宋体" w:hAnsi="宋体" w:eastAsia="宋体" w:cs="宋体"/>
                <w:spacing w:val="-3"/>
              </w:rPr>
              <w:t>含量</w:t>
            </w:r>
            <w:r>
              <w:rPr>
                <w:rFonts w:ascii="宋体" w:hAnsi="宋体" w:eastAsia="宋体" w:cs="宋体"/>
                <w:spacing w:val="-2"/>
              </w:rPr>
              <w:t>的原辅材料，进一步优化工艺技术，生产低毒﹑低害和低</w:t>
            </w:r>
            <w:r>
              <w:rPr>
                <w:rFonts w:ascii="宋体" w:hAnsi="宋体" w:eastAsia="宋体" w:cs="宋体"/>
                <w:spacing w:val="-50"/>
              </w:rPr>
              <w:t xml:space="preserve"> </w:t>
            </w:r>
            <w:r>
              <w:rPr>
                <w:spacing w:val="-2"/>
              </w:rPr>
              <w:t xml:space="preserve">VOCs </w:t>
            </w:r>
            <w:r>
              <w:rPr>
                <w:rFonts w:ascii="宋体" w:hAnsi="宋体" w:eastAsia="宋体" w:cs="宋体"/>
                <w:spacing w:val="-2"/>
              </w:rPr>
              <w:t>含量的绿</w:t>
            </w:r>
            <w:r>
              <w:rPr>
                <w:rFonts w:ascii="宋体" w:hAnsi="宋体" w:eastAsia="宋体" w:cs="宋体"/>
                <w:spacing w:val="-3"/>
              </w:rPr>
              <w:t>色产品，抓好源头防控，减少排放。</w:t>
            </w:r>
          </w:p>
          <w:p w14:paraId="6136ADC8">
            <w:pPr>
              <w:pStyle w:val="6"/>
              <w:spacing w:line="220" w:lineRule="auto"/>
              <w:ind w:left="10"/>
              <w:rPr>
                <w:rFonts w:ascii="宋体" w:hAnsi="宋体" w:eastAsia="宋体" w:cs="宋体"/>
              </w:rPr>
            </w:pPr>
            <w:r>
              <w:rPr>
                <w:rFonts w:ascii="宋体" w:hAnsi="宋体" w:eastAsia="宋体" w:cs="宋体"/>
                <w:spacing w:val="-6"/>
              </w:rPr>
              <w:t>（</w:t>
            </w:r>
            <w:r>
              <w:rPr>
                <w:spacing w:val="-6"/>
              </w:rPr>
              <w:t>3</w:t>
            </w:r>
            <w:r>
              <w:rPr>
                <w:rFonts w:ascii="宋体" w:hAnsi="宋体" w:eastAsia="宋体" w:cs="宋体"/>
                <w:spacing w:val="-6"/>
              </w:rPr>
              <w:t>）固体废物：</w:t>
            </w:r>
          </w:p>
          <w:p w14:paraId="7C42695F">
            <w:pPr>
              <w:pStyle w:val="6"/>
              <w:spacing w:before="111" w:line="315" w:lineRule="auto"/>
              <w:ind w:left="4" w:right="5"/>
              <w:rPr>
                <w:rFonts w:ascii="宋体" w:hAnsi="宋体" w:eastAsia="宋体" w:cs="宋体"/>
              </w:rPr>
            </w:pPr>
            <w:r>
              <w:rPr>
                <w:rFonts w:ascii="宋体" w:hAnsi="宋体" w:eastAsia="宋体" w:cs="宋体"/>
                <w:spacing w:val="-2"/>
              </w:rPr>
              <w:t xml:space="preserve">①到 </w:t>
            </w:r>
            <w:r>
              <w:rPr>
                <w:spacing w:val="-2"/>
              </w:rPr>
              <w:t>2023</w:t>
            </w:r>
            <w:r>
              <w:rPr>
                <w:spacing w:val="58"/>
                <w:w w:val="101"/>
              </w:rPr>
              <w:t xml:space="preserve"> </w:t>
            </w:r>
            <w:r>
              <w:rPr>
                <w:rFonts w:ascii="宋体" w:hAnsi="宋体" w:eastAsia="宋体" w:cs="宋体"/>
                <w:spacing w:val="-2"/>
              </w:rPr>
              <w:t>年底，乡镇及行政村生活</w:t>
            </w:r>
            <w:r>
              <w:rPr>
                <w:rFonts w:ascii="宋体" w:hAnsi="宋体" w:eastAsia="宋体" w:cs="宋体"/>
                <w:spacing w:val="11"/>
              </w:rPr>
              <w:t>垃圾收转运处置体系基本实现全覆</w:t>
            </w:r>
            <w:r>
              <w:rPr>
                <w:rFonts w:ascii="宋体" w:hAnsi="宋体" w:eastAsia="宋体" w:cs="宋体"/>
                <w:spacing w:val="-2"/>
              </w:rPr>
              <w:t>盖。大力推进农村生活垃圾就地分类减量和资源化利用，因地制宜选择农村生活垃圾治理模式。建制镇污水处</w:t>
            </w:r>
            <w:r>
              <w:rPr>
                <w:rFonts w:ascii="宋体" w:hAnsi="宋体" w:eastAsia="宋体" w:cs="宋体"/>
                <w:spacing w:val="11"/>
              </w:rPr>
              <w:t>理设施产生的污泥原则上应纳入城</w:t>
            </w:r>
            <w:r>
              <w:rPr>
                <w:rFonts w:ascii="宋体" w:hAnsi="宋体" w:eastAsia="宋体" w:cs="宋体"/>
                <w:spacing w:val="-4"/>
              </w:rPr>
              <w:t>市集中无害化处置范围。</w:t>
            </w:r>
          </w:p>
          <w:p w14:paraId="0E4A8962">
            <w:pPr>
              <w:pStyle w:val="6"/>
              <w:spacing w:before="2" w:line="315" w:lineRule="auto"/>
              <w:ind w:left="5" w:right="5" w:hanging="2"/>
              <w:rPr>
                <w:rFonts w:ascii="宋体" w:hAnsi="宋体" w:eastAsia="宋体" w:cs="宋体"/>
              </w:rPr>
            </w:pPr>
            <w:r>
              <w:rPr>
                <w:rFonts w:ascii="宋体" w:hAnsi="宋体" w:eastAsia="宋体" w:cs="宋体"/>
                <w:spacing w:val="-2"/>
              </w:rPr>
              <w:t xml:space="preserve">②到 </w:t>
            </w:r>
            <w:r>
              <w:rPr>
                <w:spacing w:val="-2"/>
              </w:rPr>
              <w:t>2025</w:t>
            </w:r>
            <w:r>
              <w:rPr>
                <w:spacing w:val="59"/>
              </w:rPr>
              <w:t xml:space="preserve"> </w:t>
            </w:r>
            <w:r>
              <w:rPr>
                <w:rFonts w:ascii="宋体" w:hAnsi="宋体" w:eastAsia="宋体" w:cs="宋体"/>
                <w:spacing w:val="-2"/>
              </w:rPr>
              <w:t>年，地级及以上城市基本建成生活垃圾分类处理系统。县级城市、乡镇和农村生活垃圾分类工作取得成效，生活垃圾减量化、资源化、</w:t>
            </w:r>
            <w:r>
              <w:rPr>
                <w:rFonts w:ascii="宋体" w:hAnsi="宋体" w:eastAsia="宋体" w:cs="宋体"/>
                <w:spacing w:val="-4"/>
              </w:rPr>
              <w:t>无害化水平显著提高。</w:t>
            </w:r>
          </w:p>
          <w:p w14:paraId="24B5D38F">
            <w:pPr>
              <w:pStyle w:val="6"/>
              <w:spacing w:line="220" w:lineRule="auto"/>
              <w:ind w:left="10"/>
              <w:rPr>
                <w:rFonts w:ascii="宋体" w:hAnsi="宋体" w:eastAsia="宋体" w:cs="宋体"/>
              </w:rPr>
            </w:pPr>
            <w:r>
              <w:rPr>
                <w:rFonts w:ascii="宋体" w:hAnsi="宋体" w:eastAsia="宋体" w:cs="宋体"/>
                <w:spacing w:val="-4"/>
              </w:rPr>
              <w:t>（</w:t>
            </w:r>
            <w:r>
              <w:rPr>
                <w:spacing w:val="-4"/>
              </w:rPr>
              <w:t>4</w:t>
            </w:r>
            <w:r>
              <w:rPr>
                <w:rFonts w:ascii="宋体" w:hAnsi="宋体" w:eastAsia="宋体" w:cs="宋体"/>
                <w:spacing w:val="-4"/>
              </w:rPr>
              <w:t>）页岩气：</w:t>
            </w:r>
          </w:p>
          <w:p w14:paraId="74FA6777">
            <w:pPr>
              <w:spacing w:before="105" w:line="302" w:lineRule="auto"/>
              <w:ind w:left="4" w:right="5"/>
              <w:rPr>
                <w:rFonts w:ascii="宋体" w:hAnsi="宋体" w:eastAsia="宋体" w:cs="宋体"/>
                <w:sz w:val="21"/>
                <w:szCs w:val="21"/>
              </w:rPr>
            </w:pPr>
            <w:r>
              <w:rPr>
                <w:rFonts w:ascii="宋体" w:hAnsi="宋体" w:eastAsia="宋体" w:cs="宋体"/>
                <w:spacing w:val="11"/>
                <w:sz w:val="21"/>
                <w:szCs w:val="21"/>
              </w:rPr>
              <w:t>①页岩气的开发管控要求要严格依</w:t>
            </w:r>
            <w:r>
              <w:rPr>
                <w:rFonts w:ascii="宋体" w:hAnsi="宋体" w:eastAsia="宋体" w:cs="宋体"/>
                <w:spacing w:val="-3"/>
                <w:sz w:val="21"/>
                <w:szCs w:val="21"/>
              </w:rPr>
              <w:t>照《四川省页岩气开采污染防治技术</w:t>
            </w:r>
            <w:r>
              <w:rPr>
                <w:rFonts w:ascii="宋体" w:hAnsi="宋体" w:eastAsia="宋体" w:cs="宋体"/>
                <w:spacing w:val="-2"/>
                <w:sz w:val="21"/>
                <w:szCs w:val="21"/>
              </w:rPr>
              <w:t>政策》执行，从选址、水污染防治、固体废弃物处置及综合利用、大气污染防治、噪声污染防治以及环境管理</w:t>
            </w:r>
            <w:r>
              <w:rPr>
                <w:rFonts w:ascii="宋体" w:hAnsi="宋体" w:eastAsia="宋体" w:cs="宋体"/>
                <w:spacing w:val="11"/>
                <w:sz w:val="21"/>
                <w:szCs w:val="21"/>
              </w:rPr>
              <w:t>与环境风险防范等几个方面严格按</w:t>
            </w:r>
            <w:r>
              <w:rPr>
                <w:rFonts w:ascii="宋体" w:hAnsi="宋体" w:eastAsia="宋体" w:cs="宋体"/>
                <w:spacing w:val="-3"/>
                <w:sz w:val="21"/>
                <w:szCs w:val="21"/>
              </w:rPr>
              <w:t>照该文件的管控要求执行。</w:t>
            </w:r>
          </w:p>
        </w:tc>
        <w:tc>
          <w:tcPr>
            <w:tcW w:w="1693" w:type="dxa"/>
            <w:vAlign w:val="top"/>
          </w:tcPr>
          <w:p w14:paraId="77F7370F">
            <w:pPr>
              <w:rPr>
                <w:rFonts w:ascii="Arial"/>
                <w:sz w:val="21"/>
              </w:rPr>
            </w:pPr>
          </w:p>
        </w:tc>
        <w:tc>
          <w:tcPr>
            <w:tcW w:w="746" w:type="dxa"/>
            <w:vAlign w:val="top"/>
          </w:tcPr>
          <w:p w14:paraId="51F58E46">
            <w:pPr>
              <w:rPr>
                <w:rFonts w:ascii="Arial"/>
                <w:sz w:val="21"/>
              </w:rPr>
            </w:pPr>
          </w:p>
        </w:tc>
      </w:tr>
      <w:tr w14:paraId="69AAD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6" w:hRule="atLeast"/>
        </w:trPr>
        <w:tc>
          <w:tcPr>
            <w:tcW w:w="721" w:type="dxa"/>
            <w:vMerge w:val="continue"/>
            <w:tcBorders>
              <w:top w:val="nil"/>
            </w:tcBorders>
            <w:vAlign w:val="top"/>
          </w:tcPr>
          <w:p w14:paraId="1E73C2BB">
            <w:pPr>
              <w:rPr>
                <w:rFonts w:ascii="Arial"/>
                <w:sz w:val="21"/>
              </w:rPr>
            </w:pPr>
          </w:p>
        </w:tc>
        <w:tc>
          <w:tcPr>
            <w:tcW w:w="561" w:type="dxa"/>
            <w:vMerge w:val="continue"/>
            <w:tcBorders>
              <w:top w:val="nil"/>
            </w:tcBorders>
            <w:vAlign w:val="top"/>
          </w:tcPr>
          <w:p w14:paraId="02EA5A27">
            <w:pPr>
              <w:rPr>
                <w:rFonts w:ascii="Arial"/>
                <w:sz w:val="21"/>
              </w:rPr>
            </w:pPr>
          </w:p>
        </w:tc>
        <w:tc>
          <w:tcPr>
            <w:tcW w:w="700" w:type="dxa"/>
            <w:vMerge w:val="continue"/>
            <w:tcBorders>
              <w:top w:val="nil"/>
            </w:tcBorders>
            <w:vAlign w:val="top"/>
          </w:tcPr>
          <w:p w14:paraId="25188C7E">
            <w:pPr>
              <w:rPr>
                <w:rFonts w:ascii="Arial"/>
                <w:sz w:val="21"/>
              </w:rPr>
            </w:pPr>
          </w:p>
        </w:tc>
        <w:tc>
          <w:tcPr>
            <w:tcW w:w="559" w:type="dxa"/>
            <w:vAlign w:val="top"/>
          </w:tcPr>
          <w:p w14:paraId="12EE96BE">
            <w:pPr>
              <w:spacing w:line="243" w:lineRule="auto"/>
              <w:rPr>
                <w:rFonts w:ascii="Arial"/>
                <w:sz w:val="21"/>
              </w:rPr>
            </w:pPr>
          </w:p>
          <w:p w14:paraId="50C4F40A">
            <w:pPr>
              <w:spacing w:line="244" w:lineRule="auto"/>
              <w:rPr>
                <w:rFonts w:ascii="Arial"/>
                <w:sz w:val="21"/>
              </w:rPr>
            </w:pPr>
          </w:p>
          <w:p w14:paraId="0B673F8E">
            <w:pPr>
              <w:spacing w:line="244" w:lineRule="auto"/>
              <w:rPr>
                <w:rFonts w:ascii="Arial"/>
                <w:sz w:val="21"/>
              </w:rPr>
            </w:pPr>
          </w:p>
          <w:p w14:paraId="54B62025">
            <w:pPr>
              <w:spacing w:before="68" w:line="313" w:lineRule="auto"/>
              <w:ind w:left="68" w:right="72" w:firstLine="1"/>
              <w:jc w:val="both"/>
              <w:rPr>
                <w:rFonts w:ascii="宋体" w:hAnsi="宋体" w:eastAsia="宋体" w:cs="宋体"/>
                <w:sz w:val="21"/>
                <w:szCs w:val="21"/>
              </w:rPr>
            </w:pPr>
            <w:r>
              <w:rPr>
                <w:rFonts w:ascii="宋体" w:hAnsi="宋体" w:eastAsia="宋体" w:cs="宋体"/>
                <w:spacing w:val="-5"/>
                <w:sz w:val="21"/>
                <w:szCs w:val="21"/>
              </w:rPr>
              <w:t>其他</w:t>
            </w:r>
            <w:r>
              <w:rPr>
                <w:rFonts w:ascii="宋体" w:hAnsi="宋体" w:eastAsia="宋体" w:cs="宋体"/>
                <w:spacing w:val="-4"/>
                <w:sz w:val="21"/>
                <w:szCs w:val="21"/>
              </w:rPr>
              <w:t>污染物排放管控要</w:t>
            </w:r>
            <w:r>
              <w:rPr>
                <w:rFonts w:ascii="宋体" w:hAnsi="宋体" w:eastAsia="宋体" w:cs="宋体"/>
                <w:spacing w:val="38"/>
                <w:w w:val="128"/>
                <w:sz w:val="21"/>
                <w:szCs w:val="21"/>
              </w:rPr>
              <w:t>求</w:t>
            </w:r>
          </w:p>
        </w:tc>
        <w:tc>
          <w:tcPr>
            <w:tcW w:w="3346" w:type="dxa"/>
            <w:vAlign w:val="top"/>
          </w:tcPr>
          <w:p w14:paraId="49530C5C">
            <w:pPr>
              <w:pStyle w:val="6"/>
              <w:spacing w:before="79" w:line="315" w:lineRule="auto"/>
              <w:ind w:left="6" w:right="5" w:firstLine="3"/>
              <w:rPr>
                <w:rFonts w:ascii="宋体" w:hAnsi="宋体" w:eastAsia="宋体" w:cs="宋体"/>
              </w:rPr>
            </w:pPr>
            <w:r>
              <w:rPr>
                <w:rFonts w:ascii="宋体" w:hAnsi="宋体" w:eastAsia="宋体" w:cs="宋体"/>
                <w:spacing w:val="-3"/>
              </w:rPr>
              <w:t>（</w:t>
            </w:r>
            <w:r>
              <w:rPr>
                <w:spacing w:val="-3"/>
              </w:rPr>
              <w:t>1</w:t>
            </w:r>
            <w:r>
              <w:rPr>
                <w:rFonts w:ascii="宋体" w:hAnsi="宋体" w:eastAsia="宋体" w:cs="宋体"/>
                <w:spacing w:val="-3"/>
              </w:rPr>
              <w:t>）到</w:t>
            </w:r>
            <w:r>
              <w:rPr>
                <w:rFonts w:ascii="宋体" w:hAnsi="宋体" w:eastAsia="宋体" w:cs="宋体"/>
                <w:spacing w:val="-32"/>
              </w:rPr>
              <w:t xml:space="preserve"> </w:t>
            </w:r>
            <w:r>
              <w:rPr>
                <w:spacing w:val="-3"/>
              </w:rPr>
              <w:t xml:space="preserve">2023 </w:t>
            </w:r>
            <w:r>
              <w:rPr>
                <w:rFonts w:ascii="宋体" w:hAnsi="宋体" w:eastAsia="宋体" w:cs="宋体"/>
                <w:spacing w:val="-3"/>
              </w:rPr>
              <w:t>年底，县级及以上城市</w:t>
            </w:r>
            <w:r>
              <w:rPr>
                <w:rFonts w:ascii="宋体" w:hAnsi="宋体" w:eastAsia="宋体" w:cs="宋体"/>
                <w:spacing w:val="11"/>
              </w:rPr>
              <w:t>设施能力基本满足生活污水处理需</w:t>
            </w:r>
            <w:r>
              <w:rPr>
                <w:rFonts w:ascii="宋体" w:hAnsi="宋体" w:eastAsia="宋体" w:cs="宋体"/>
                <w:spacing w:val="-3"/>
              </w:rPr>
              <w:t>求，所有建制镇具备污水处理能力。</w:t>
            </w:r>
          </w:p>
          <w:p w14:paraId="3F915BED">
            <w:pPr>
              <w:pStyle w:val="6"/>
              <w:spacing w:before="1" w:line="315" w:lineRule="auto"/>
              <w:ind w:left="4" w:firstLine="5"/>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w:t>
            </w:r>
            <w:r>
              <w:rPr>
                <w:spacing w:val="-4"/>
              </w:rPr>
              <w:t xml:space="preserve">2025 </w:t>
            </w:r>
            <w:r>
              <w:rPr>
                <w:rFonts w:ascii="宋体" w:hAnsi="宋体" w:eastAsia="宋体" w:cs="宋体"/>
                <w:spacing w:val="-4"/>
              </w:rPr>
              <w:t>年</w:t>
            </w:r>
            <w:r>
              <w:rPr>
                <w:rFonts w:ascii="宋体" w:hAnsi="宋体" w:eastAsia="宋体" w:cs="宋体"/>
                <w:spacing w:val="-48"/>
              </w:rPr>
              <w:t xml:space="preserve"> </w:t>
            </w:r>
            <w:r>
              <w:rPr>
                <w:spacing w:val="-4"/>
              </w:rPr>
              <w:t>PM</w:t>
            </w:r>
            <w:r>
              <w:rPr>
                <w:spacing w:val="-4"/>
                <w:position w:val="-2"/>
                <w:sz w:val="14"/>
                <w:szCs w:val="14"/>
              </w:rPr>
              <w:t>2.5</w:t>
            </w:r>
            <w:r>
              <w:rPr>
                <w:spacing w:val="8"/>
                <w:position w:val="-2"/>
                <w:sz w:val="14"/>
                <w:szCs w:val="14"/>
              </w:rPr>
              <w:t xml:space="preserve"> </w:t>
            </w:r>
            <w:r>
              <w:rPr>
                <w:rFonts w:ascii="宋体" w:hAnsi="宋体" w:eastAsia="宋体" w:cs="宋体"/>
                <w:spacing w:val="-4"/>
              </w:rPr>
              <w:t>浓度</w:t>
            </w:r>
            <w:r>
              <w:rPr>
                <w:rFonts w:ascii="宋体" w:hAnsi="宋体" w:eastAsia="宋体" w:cs="宋体"/>
                <w:spacing w:val="-45"/>
              </w:rPr>
              <w:t xml:space="preserve"> </w:t>
            </w:r>
            <w:r>
              <w:rPr>
                <w:spacing w:val="-4"/>
              </w:rPr>
              <w:t xml:space="preserve">34.2 </w:t>
            </w:r>
            <w:r>
              <w:rPr>
                <w:rFonts w:ascii="宋体" w:hAnsi="宋体" w:eastAsia="宋体" w:cs="宋体"/>
                <w:spacing w:val="-4"/>
              </w:rPr>
              <w:t>微克</w:t>
            </w:r>
            <w:r>
              <w:rPr>
                <w:spacing w:val="-4"/>
              </w:rPr>
              <w:t>/</w:t>
            </w:r>
            <w:r>
              <w:rPr>
                <w:rFonts w:ascii="宋体" w:hAnsi="宋体" w:eastAsia="宋体" w:cs="宋体"/>
                <w:spacing w:val="-4"/>
              </w:rPr>
              <w:t>立方米，优良率</w:t>
            </w:r>
            <w:r>
              <w:rPr>
                <w:rFonts w:ascii="宋体" w:hAnsi="宋体" w:eastAsia="宋体" w:cs="宋体"/>
                <w:spacing w:val="-12"/>
              </w:rPr>
              <w:t xml:space="preserve"> </w:t>
            </w:r>
            <w:r>
              <w:rPr>
                <w:spacing w:val="-4"/>
              </w:rPr>
              <w:t>87.4%</w:t>
            </w:r>
            <w:r>
              <w:rPr>
                <w:rFonts w:ascii="宋体" w:hAnsi="宋体" w:eastAsia="宋体" w:cs="宋体"/>
                <w:spacing w:val="-4"/>
              </w:rPr>
              <w:t>；</w:t>
            </w:r>
            <w:r>
              <w:rPr>
                <w:spacing w:val="-4"/>
              </w:rPr>
              <w:t>2035</w:t>
            </w:r>
            <w:r>
              <w:rPr>
                <w:spacing w:val="28"/>
              </w:rPr>
              <w:t xml:space="preserve"> </w:t>
            </w:r>
            <w:r>
              <w:rPr>
                <w:rFonts w:ascii="宋体" w:hAnsi="宋体" w:eastAsia="宋体" w:cs="宋体"/>
                <w:spacing w:val="-4"/>
              </w:rPr>
              <w:t>年</w:t>
            </w:r>
            <w:r>
              <w:rPr>
                <w:rFonts w:ascii="宋体" w:hAnsi="宋体" w:eastAsia="宋体" w:cs="宋体"/>
                <w:spacing w:val="-31"/>
              </w:rPr>
              <w:t xml:space="preserve"> </w:t>
            </w:r>
            <w:r>
              <w:rPr>
                <w:spacing w:val="-4"/>
              </w:rPr>
              <w:t>PM</w:t>
            </w:r>
            <w:r>
              <w:rPr>
                <w:spacing w:val="-4"/>
                <w:position w:val="-2"/>
                <w:sz w:val="14"/>
                <w:szCs w:val="14"/>
              </w:rPr>
              <w:t>2.5</w:t>
            </w:r>
            <w:r>
              <w:rPr>
                <w:rFonts w:ascii="宋体" w:hAnsi="宋体" w:eastAsia="宋体" w:cs="宋体"/>
                <w:spacing w:val="-8"/>
              </w:rPr>
              <w:t>浓度</w:t>
            </w:r>
            <w:r>
              <w:rPr>
                <w:rFonts w:ascii="宋体" w:hAnsi="宋体" w:eastAsia="宋体" w:cs="宋体"/>
                <w:spacing w:val="-44"/>
              </w:rPr>
              <w:t xml:space="preserve"> </w:t>
            </w:r>
            <w:r>
              <w:rPr>
                <w:spacing w:val="-8"/>
              </w:rPr>
              <w:t xml:space="preserve">32 </w:t>
            </w:r>
            <w:r>
              <w:rPr>
                <w:rFonts w:ascii="宋体" w:hAnsi="宋体" w:eastAsia="宋体" w:cs="宋体"/>
                <w:spacing w:val="-8"/>
              </w:rPr>
              <w:t>微克</w:t>
            </w:r>
            <w:r>
              <w:rPr>
                <w:spacing w:val="-8"/>
              </w:rPr>
              <w:t>/</w:t>
            </w:r>
            <w:r>
              <w:rPr>
                <w:rFonts w:ascii="宋体" w:hAnsi="宋体" w:eastAsia="宋体" w:cs="宋体"/>
                <w:spacing w:val="-8"/>
              </w:rPr>
              <w:t>立方米，优良率</w:t>
            </w:r>
            <w:r>
              <w:rPr>
                <w:rFonts w:ascii="宋体" w:hAnsi="宋体" w:eastAsia="宋体" w:cs="宋体"/>
                <w:spacing w:val="-45"/>
              </w:rPr>
              <w:t xml:space="preserve"> </w:t>
            </w:r>
            <w:r>
              <w:rPr>
                <w:spacing w:val="-8"/>
              </w:rPr>
              <w:t>90.0</w:t>
            </w:r>
            <w:r>
              <w:rPr>
                <w:spacing w:val="-9"/>
              </w:rPr>
              <w:t>%</w:t>
            </w:r>
            <w:r>
              <w:rPr>
                <w:rFonts w:ascii="宋体" w:hAnsi="宋体" w:eastAsia="宋体" w:cs="宋体"/>
                <w:spacing w:val="-9"/>
              </w:rPr>
              <w:t>；</w:t>
            </w:r>
            <w:r>
              <w:rPr>
                <w:rFonts w:ascii="宋体" w:hAnsi="宋体" w:eastAsia="宋体" w:cs="宋体"/>
              </w:rPr>
              <w:t xml:space="preserve"> </w:t>
            </w:r>
            <w:r>
              <w:rPr>
                <w:spacing w:val="-9"/>
              </w:rPr>
              <w:t>SO</w:t>
            </w:r>
            <w:r>
              <w:rPr>
                <w:spacing w:val="-9"/>
                <w:position w:val="-2"/>
                <w:sz w:val="14"/>
                <w:szCs w:val="14"/>
              </w:rPr>
              <w:t>2</w:t>
            </w:r>
            <w:r>
              <w:rPr>
                <w:spacing w:val="3"/>
                <w:position w:val="-2"/>
                <w:sz w:val="14"/>
                <w:szCs w:val="14"/>
              </w:rPr>
              <w:t xml:space="preserve"> </w:t>
            </w:r>
            <w:r>
              <w:rPr>
                <w:rFonts w:ascii="宋体" w:hAnsi="宋体" w:eastAsia="宋体" w:cs="宋体"/>
                <w:spacing w:val="-9"/>
              </w:rPr>
              <w:t>、</w:t>
            </w:r>
            <w:r>
              <w:rPr>
                <w:spacing w:val="-9"/>
              </w:rPr>
              <w:t>NO</w:t>
            </w:r>
            <w:r>
              <w:rPr>
                <w:spacing w:val="-9"/>
                <w:position w:val="-2"/>
                <w:sz w:val="14"/>
                <w:szCs w:val="14"/>
              </w:rPr>
              <w:t>2</w:t>
            </w:r>
            <w:r>
              <w:rPr>
                <w:spacing w:val="-12"/>
                <w:position w:val="-2"/>
                <w:sz w:val="14"/>
                <w:szCs w:val="14"/>
              </w:rPr>
              <w:t xml:space="preserve"> </w:t>
            </w:r>
            <w:r>
              <w:rPr>
                <w:rFonts w:ascii="宋体" w:hAnsi="宋体" w:eastAsia="宋体" w:cs="宋体"/>
                <w:spacing w:val="-9"/>
              </w:rPr>
              <w:t>、</w:t>
            </w:r>
            <w:r>
              <w:rPr>
                <w:spacing w:val="-9"/>
              </w:rPr>
              <w:t>CO</w:t>
            </w:r>
            <w:r>
              <w:rPr>
                <w:spacing w:val="-30"/>
              </w:rPr>
              <w:t xml:space="preserve"> </w:t>
            </w:r>
            <w:r>
              <w:rPr>
                <w:rFonts w:ascii="宋体" w:hAnsi="宋体" w:eastAsia="宋体" w:cs="宋体"/>
                <w:spacing w:val="-9"/>
              </w:rPr>
              <w:t>、</w:t>
            </w:r>
            <w:r>
              <w:rPr>
                <w:spacing w:val="-9"/>
              </w:rPr>
              <w:t>O</w:t>
            </w:r>
            <w:r>
              <w:rPr>
                <w:spacing w:val="-9"/>
                <w:position w:val="-2"/>
                <w:sz w:val="14"/>
                <w:szCs w:val="14"/>
              </w:rPr>
              <w:t>3</w:t>
            </w:r>
            <w:r>
              <w:rPr>
                <w:spacing w:val="8"/>
                <w:position w:val="-2"/>
                <w:sz w:val="14"/>
                <w:szCs w:val="14"/>
              </w:rPr>
              <w:t xml:space="preserve"> </w:t>
            </w:r>
            <w:r>
              <w:rPr>
                <w:rFonts w:ascii="宋体" w:hAnsi="宋体" w:eastAsia="宋体" w:cs="宋体"/>
                <w:spacing w:val="-9"/>
              </w:rPr>
              <w:t>全部达标。</w:t>
            </w:r>
          </w:p>
          <w:p w14:paraId="7EC54293">
            <w:pPr>
              <w:pStyle w:val="6"/>
              <w:spacing w:before="3" w:line="291" w:lineRule="auto"/>
              <w:ind w:left="6" w:right="5" w:firstLine="3"/>
              <w:rPr>
                <w:rFonts w:ascii="宋体" w:hAnsi="宋体" w:eastAsia="宋体" w:cs="宋体"/>
              </w:rPr>
            </w:pPr>
            <w:r>
              <w:rPr>
                <w:rFonts w:ascii="宋体" w:hAnsi="宋体" w:eastAsia="宋体" w:cs="宋体"/>
                <w:spacing w:val="-3"/>
              </w:rPr>
              <w:t>（</w:t>
            </w:r>
            <w:r>
              <w:rPr>
                <w:spacing w:val="-3"/>
              </w:rPr>
              <w:t>3</w:t>
            </w:r>
            <w:r>
              <w:rPr>
                <w:rFonts w:ascii="宋体" w:hAnsi="宋体" w:eastAsia="宋体" w:cs="宋体"/>
                <w:spacing w:val="-3"/>
              </w:rPr>
              <w:t>）到</w:t>
            </w:r>
            <w:r>
              <w:rPr>
                <w:rFonts w:ascii="宋体" w:hAnsi="宋体" w:eastAsia="宋体" w:cs="宋体"/>
                <w:spacing w:val="-32"/>
              </w:rPr>
              <w:t xml:space="preserve"> </w:t>
            </w:r>
            <w:r>
              <w:rPr>
                <w:spacing w:val="-3"/>
              </w:rPr>
              <w:t xml:space="preserve">2025 </w:t>
            </w:r>
            <w:r>
              <w:rPr>
                <w:rFonts w:ascii="宋体" w:hAnsi="宋体" w:eastAsia="宋体" w:cs="宋体"/>
                <w:spacing w:val="-3"/>
              </w:rPr>
              <w:t>年，生活垃圾无害化处</w:t>
            </w:r>
            <w:r>
              <w:rPr>
                <w:rFonts w:ascii="宋体" w:hAnsi="宋体" w:eastAsia="宋体" w:cs="宋体"/>
                <w:spacing w:val="-4"/>
              </w:rPr>
              <w:t>理率达到</w:t>
            </w:r>
            <w:r>
              <w:rPr>
                <w:rFonts w:ascii="宋体" w:hAnsi="宋体" w:eastAsia="宋体" w:cs="宋体"/>
                <w:spacing w:val="-35"/>
              </w:rPr>
              <w:t xml:space="preserve"> </w:t>
            </w:r>
            <w:r>
              <w:rPr>
                <w:spacing w:val="-4"/>
              </w:rPr>
              <w:t>95%</w:t>
            </w:r>
            <w:r>
              <w:rPr>
                <w:rFonts w:ascii="宋体" w:hAnsi="宋体" w:eastAsia="宋体" w:cs="宋体"/>
                <w:spacing w:val="-4"/>
              </w:rPr>
              <w:t>以上；污泥无害化处置率</w:t>
            </w:r>
            <w:r>
              <w:rPr>
                <w:rFonts w:ascii="宋体" w:hAnsi="宋体" w:eastAsia="宋体" w:cs="宋体"/>
                <w:spacing w:val="-42"/>
              </w:rPr>
              <w:t xml:space="preserve"> </w:t>
            </w:r>
            <w:r>
              <w:rPr>
                <w:spacing w:val="-4"/>
              </w:rPr>
              <w:t>60%</w:t>
            </w:r>
            <w:r>
              <w:rPr>
                <w:rFonts w:ascii="宋体" w:hAnsi="宋体" w:eastAsia="宋体" w:cs="宋体"/>
                <w:spacing w:val="-4"/>
              </w:rPr>
              <w:t>。</w:t>
            </w:r>
          </w:p>
        </w:tc>
        <w:tc>
          <w:tcPr>
            <w:tcW w:w="1693" w:type="dxa"/>
            <w:vAlign w:val="top"/>
          </w:tcPr>
          <w:p w14:paraId="496AB809">
            <w:pPr>
              <w:spacing w:line="376" w:lineRule="auto"/>
              <w:rPr>
                <w:rFonts w:ascii="Arial"/>
                <w:sz w:val="21"/>
              </w:rPr>
            </w:pPr>
          </w:p>
          <w:p w14:paraId="4F7970F8">
            <w:pPr>
              <w:spacing w:before="68" w:line="313" w:lineRule="auto"/>
              <w:ind w:left="6" w:right="6" w:firstLine="1"/>
              <w:jc w:val="both"/>
              <w:rPr>
                <w:rFonts w:ascii="宋体" w:hAnsi="宋体" w:eastAsia="宋体" w:cs="宋体"/>
                <w:sz w:val="21"/>
                <w:szCs w:val="21"/>
              </w:rPr>
            </w:pPr>
            <w:r>
              <w:rPr>
                <w:rFonts w:ascii="宋体" w:hAnsi="宋体" w:eastAsia="宋体" w:cs="宋体"/>
                <w:spacing w:val="-1"/>
                <w:sz w:val="21"/>
                <w:szCs w:val="21"/>
              </w:rPr>
              <w:t>本项目生活污水经污水处理站处理后用于消纳地农灌，生活垃圾交由环卫部门清运，本项目所有污染物均通过有效措施处理，降</w:t>
            </w:r>
            <w:r>
              <w:rPr>
                <w:rFonts w:ascii="宋体" w:hAnsi="宋体" w:eastAsia="宋体" w:cs="宋体"/>
                <w:spacing w:val="-7"/>
                <w:sz w:val="21"/>
                <w:szCs w:val="21"/>
              </w:rPr>
              <w:t>低排放量。</w:t>
            </w:r>
          </w:p>
        </w:tc>
        <w:tc>
          <w:tcPr>
            <w:tcW w:w="746" w:type="dxa"/>
            <w:vAlign w:val="top"/>
          </w:tcPr>
          <w:p w14:paraId="223E400D">
            <w:pPr>
              <w:spacing w:line="268" w:lineRule="auto"/>
              <w:rPr>
                <w:rFonts w:ascii="Arial"/>
                <w:sz w:val="21"/>
              </w:rPr>
            </w:pPr>
          </w:p>
          <w:p w14:paraId="678E7F0C">
            <w:pPr>
              <w:spacing w:line="269" w:lineRule="auto"/>
              <w:rPr>
                <w:rFonts w:ascii="Arial"/>
                <w:sz w:val="21"/>
              </w:rPr>
            </w:pPr>
          </w:p>
          <w:p w14:paraId="26BDE906">
            <w:pPr>
              <w:spacing w:line="269" w:lineRule="auto"/>
              <w:rPr>
                <w:rFonts w:ascii="Arial"/>
                <w:sz w:val="21"/>
              </w:rPr>
            </w:pPr>
          </w:p>
          <w:p w14:paraId="54E9D87D">
            <w:pPr>
              <w:spacing w:line="269" w:lineRule="auto"/>
              <w:rPr>
                <w:rFonts w:ascii="Arial"/>
                <w:sz w:val="21"/>
              </w:rPr>
            </w:pPr>
          </w:p>
          <w:p w14:paraId="3C37D591">
            <w:pPr>
              <w:spacing w:line="269" w:lineRule="auto"/>
              <w:rPr>
                <w:rFonts w:ascii="Arial"/>
                <w:sz w:val="21"/>
              </w:rPr>
            </w:pPr>
          </w:p>
          <w:p w14:paraId="59FFFC90">
            <w:pPr>
              <w:spacing w:line="269" w:lineRule="auto"/>
              <w:rPr>
                <w:rFonts w:ascii="Arial"/>
                <w:sz w:val="21"/>
              </w:rPr>
            </w:pPr>
          </w:p>
          <w:p w14:paraId="2CA2F6CD">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48BFF01D">
      <w:pPr>
        <w:pStyle w:val="2"/>
      </w:pPr>
    </w:p>
    <w:p w14:paraId="213725A7">
      <w:pPr>
        <w:sectPr>
          <w:footerReference r:id="rId125" w:type="default"/>
          <w:pgSz w:w="11905" w:h="16840"/>
          <w:pgMar w:top="1168" w:right="1768" w:bottom="1409" w:left="1770" w:header="828" w:footer="1244" w:gutter="0"/>
          <w:cols w:space="720" w:num="1"/>
        </w:sectPr>
      </w:pPr>
    </w:p>
    <w:p w14:paraId="74A46FCE">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559"/>
        <w:gridCol w:w="3346"/>
        <w:gridCol w:w="1693"/>
        <w:gridCol w:w="746"/>
      </w:tblGrid>
      <w:tr w14:paraId="02C40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5"/>
            <w:vAlign w:val="top"/>
          </w:tcPr>
          <w:p w14:paraId="0B5768F0">
            <w:pPr>
              <w:spacing w:before="92" w:line="220" w:lineRule="auto"/>
              <w:ind w:left="1781"/>
              <w:rPr>
                <w:rFonts w:ascii="宋体" w:hAnsi="宋体" w:eastAsia="宋体" w:cs="宋体"/>
                <w:sz w:val="21"/>
                <w:szCs w:val="21"/>
              </w:rPr>
            </w:pPr>
            <w:bookmarkStart w:id="23" w:name="bookmark139"/>
            <w:bookmarkEnd w:id="23"/>
            <w:r>
              <w:rPr>
                <w:rFonts w:ascii="宋体" w:hAnsi="宋体" w:eastAsia="宋体" w:cs="宋体"/>
                <w:sz w:val="21"/>
                <w:szCs w:val="21"/>
              </w:rPr>
              <w:t>“三线一单”的具体要求</w:t>
            </w:r>
          </w:p>
        </w:tc>
        <w:tc>
          <w:tcPr>
            <w:tcW w:w="1693" w:type="dxa"/>
            <w:vMerge w:val="restart"/>
            <w:tcBorders>
              <w:bottom w:val="nil"/>
            </w:tcBorders>
            <w:vAlign w:val="top"/>
          </w:tcPr>
          <w:p w14:paraId="79FEE3B8">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0A8F27BF">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48E9C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1968A222">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gridSpan w:val="2"/>
            <w:vAlign w:val="top"/>
          </w:tcPr>
          <w:p w14:paraId="7027010B">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0847A8D9">
            <w:pPr>
              <w:rPr>
                <w:rFonts w:ascii="Arial"/>
                <w:sz w:val="21"/>
              </w:rPr>
            </w:pPr>
          </w:p>
        </w:tc>
        <w:tc>
          <w:tcPr>
            <w:tcW w:w="746" w:type="dxa"/>
            <w:vMerge w:val="continue"/>
            <w:tcBorders>
              <w:top w:val="nil"/>
            </w:tcBorders>
            <w:vAlign w:val="top"/>
          </w:tcPr>
          <w:p w14:paraId="7D91016E">
            <w:pPr>
              <w:rPr>
                <w:rFonts w:ascii="Arial"/>
                <w:sz w:val="21"/>
              </w:rPr>
            </w:pPr>
          </w:p>
        </w:tc>
      </w:tr>
      <w:tr w14:paraId="1375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9" w:hRule="atLeast"/>
        </w:trPr>
        <w:tc>
          <w:tcPr>
            <w:tcW w:w="721" w:type="dxa"/>
            <w:vMerge w:val="restart"/>
            <w:tcBorders>
              <w:bottom w:val="nil"/>
            </w:tcBorders>
            <w:vAlign w:val="top"/>
          </w:tcPr>
          <w:p w14:paraId="0290E652">
            <w:pPr>
              <w:rPr>
                <w:rFonts w:ascii="Arial"/>
                <w:sz w:val="21"/>
              </w:rPr>
            </w:pPr>
          </w:p>
        </w:tc>
        <w:tc>
          <w:tcPr>
            <w:tcW w:w="561" w:type="dxa"/>
            <w:vMerge w:val="restart"/>
            <w:tcBorders>
              <w:bottom w:val="nil"/>
            </w:tcBorders>
            <w:vAlign w:val="top"/>
          </w:tcPr>
          <w:p w14:paraId="68ADEAA4">
            <w:pPr>
              <w:rPr>
                <w:rFonts w:ascii="Arial"/>
                <w:sz w:val="21"/>
              </w:rPr>
            </w:pPr>
          </w:p>
        </w:tc>
        <w:tc>
          <w:tcPr>
            <w:tcW w:w="700" w:type="dxa"/>
            <w:vAlign w:val="top"/>
          </w:tcPr>
          <w:p w14:paraId="28E02244">
            <w:pPr>
              <w:rPr>
                <w:rFonts w:ascii="Arial"/>
                <w:sz w:val="21"/>
              </w:rPr>
            </w:pPr>
          </w:p>
        </w:tc>
        <w:tc>
          <w:tcPr>
            <w:tcW w:w="559" w:type="dxa"/>
            <w:vAlign w:val="top"/>
          </w:tcPr>
          <w:p w14:paraId="71315E78">
            <w:pPr>
              <w:rPr>
                <w:rFonts w:ascii="Arial"/>
                <w:sz w:val="21"/>
              </w:rPr>
            </w:pPr>
          </w:p>
        </w:tc>
        <w:tc>
          <w:tcPr>
            <w:tcW w:w="3346" w:type="dxa"/>
            <w:vAlign w:val="top"/>
          </w:tcPr>
          <w:p w14:paraId="56F9D082">
            <w:pPr>
              <w:pStyle w:val="6"/>
              <w:spacing w:before="74" w:line="302" w:lineRule="auto"/>
              <w:ind w:left="4" w:firstLine="6"/>
              <w:jc w:val="both"/>
              <w:rPr>
                <w:rFonts w:ascii="宋体" w:hAnsi="宋体" w:eastAsia="宋体" w:cs="宋体"/>
              </w:rPr>
            </w:pPr>
            <w:r>
              <w:rPr>
                <w:rFonts w:ascii="宋体" w:hAnsi="宋体" w:eastAsia="宋体" w:cs="宋体"/>
                <w:spacing w:val="-1"/>
              </w:rPr>
              <w:t>（</w:t>
            </w:r>
            <w:r>
              <w:rPr>
                <w:spacing w:val="-1"/>
              </w:rPr>
              <w:t>4</w:t>
            </w:r>
            <w:r>
              <w:rPr>
                <w:rFonts w:ascii="宋体" w:hAnsi="宋体" w:eastAsia="宋体" w:cs="宋体"/>
                <w:spacing w:val="-1"/>
              </w:rPr>
              <w:t>）应控制工业、生活污染源，减</w:t>
            </w:r>
            <w:r>
              <w:rPr>
                <w:rFonts w:ascii="宋体" w:hAnsi="宋体" w:eastAsia="宋体" w:cs="宋体"/>
                <w:spacing w:val="-7"/>
              </w:rPr>
              <w:t>少移动源污染物排放。打好柴油货车</w:t>
            </w:r>
            <w:r>
              <w:rPr>
                <w:rFonts w:ascii="宋体" w:hAnsi="宋体" w:eastAsia="宋体" w:cs="宋体"/>
                <w:spacing w:val="-14"/>
              </w:rPr>
              <w:t>污染治理攻坚战，实施“车、油、路、</w:t>
            </w:r>
            <w:r>
              <w:rPr>
                <w:rFonts w:ascii="宋体" w:hAnsi="宋体" w:eastAsia="宋体" w:cs="宋体"/>
                <w:spacing w:val="-7"/>
              </w:rPr>
              <w:t>管”综合整治；加快老旧车辆的淘汰和不达标车辆的整治。加强渣土运输</w:t>
            </w:r>
            <w:r>
              <w:rPr>
                <w:rFonts w:ascii="宋体" w:hAnsi="宋体" w:eastAsia="宋体" w:cs="宋体"/>
                <w:spacing w:val="7"/>
              </w:rPr>
              <w:t>车辆规范化管理，严格实施密闭运</w:t>
            </w:r>
            <w:r>
              <w:rPr>
                <w:rFonts w:ascii="宋体" w:hAnsi="宋体" w:eastAsia="宋体" w:cs="宋体"/>
                <w:spacing w:val="-7"/>
              </w:rPr>
              <w:t>输，强化城乡结合部环境监管。</w:t>
            </w:r>
          </w:p>
        </w:tc>
        <w:tc>
          <w:tcPr>
            <w:tcW w:w="1693" w:type="dxa"/>
            <w:vAlign w:val="top"/>
          </w:tcPr>
          <w:p w14:paraId="34E86FCA">
            <w:pPr>
              <w:rPr>
                <w:rFonts w:ascii="Arial"/>
                <w:sz w:val="21"/>
              </w:rPr>
            </w:pPr>
          </w:p>
        </w:tc>
        <w:tc>
          <w:tcPr>
            <w:tcW w:w="746" w:type="dxa"/>
            <w:vAlign w:val="top"/>
          </w:tcPr>
          <w:p w14:paraId="53D509E0">
            <w:pPr>
              <w:rPr>
                <w:rFonts w:ascii="Arial"/>
                <w:sz w:val="21"/>
              </w:rPr>
            </w:pPr>
          </w:p>
        </w:tc>
      </w:tr>
      <w:tr w14:paraId="27BB8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3" w:hRule="atLeast"/>
        </w:trPr>
        <w:tc>
          <w:tcPr>
            <w:tcW w:w="721" w:type="dxa"/>
            <w:vMerge w:val="continue"/>
            <w:tcBorders>
              <w:top w:val="nil"/>
              <w:bottom w:val="nil"/>
            </w:tcBorders>
            <w:vAlign w:val="top"/>
          </w:tcPr>
          <w:p w14:paraId="7B09994C">
            <w:pPr>
              <w:rPr>
                <w:rFonts w:ascii="Arial"/>
                <w:sz w:val="21"/>
              </w:rPr>
            </w:pPr>
          </w:p>
        </w:tc>
        <w:tc>
          <w:tcPr>
            <w:tcW w:w="561" w:type="dxa"/>
            <w:vMerge w:val="continue"/>
            <w:tcBorders>
              <w:top w:val="nil"/>
              <w:bottom w:val="nil"/>
            </w:tcBorders>
            <w:vAlign w:val="top"/>
          </w:tcPr>
          <w:p w14:paraId="5326F1E2">
            <w:pPr>
              <w:rPr>
                <w:rFonts w:ascii="Arial"/>
                <w:sz w:val="21"/>
              </w:rPr>
            </w:pPr>
          </w:p>
        </w:tc>
        <w:tc>
          <w:tcPr>
            <w:tcW w:w="700" w:type="dxa"/>
            <w:vMerge w:val="restart"/>
            <w:tcBorders>
              <w:bottom w:val="nil"/>
            </w:tcBorders>
            <w:vAlign w:val="top"/>
          </w:tcPr>
          <w:p w14:paraId="6DACF9A9">
            <w:pPr>
              <w:rPr>
                <w:rFonts w:ascii="Arial"/>
                <w:sz w:val="21"/>
              </w:rPr>
            </w:pPr>
          </w:p>
          <w:p w14:paraId="762DA5B4">
            <w:pPr>
              <w:rPr>
                <w:rFonts w:ascii="Arial"/>
                <w:sz w:val="21"/>
              </w:rPr>
            </w:pPr>
          </w:p>
          <w:p w14:paraId="715D49C0">
            <w:pPr>
              <w:rPr>
                <w:rFonts w:ascii="Arial"/>
                <w:sz w:val="21"/>
              </w:rPr>
            </w:pPr>
          </w:p>
          <w:p w14:paraId="4699A6E7">
            <w:pPr>
              <w:rPr>
                <w:rFonts w:ascii="Arial"/>
                <w:sz w:val="21"/>
              </w:rPr>
            </w:pPr>
          </w:p>
          <w:p w14:paraId="58DFB9EE">
            <w:pPr>
              <w:rPr>
                <w:rFonts w:ascii="Arial"/>
                <w:sz w:val="21"/>
              </w:rPr>
            </w:pPr>
          </w:p>
          <w:p w14:paraId="7A46DA6C">
            <w:pPr>
              <w:rPr>
                <w:rFonts w:ascii="Arial"/>
                <w:sz w:val="21"/>
              </w:rPr>
            </w:pPr>
          </w:p>
          <w:p w14:paraId="036B10B9">
            <w:pPr>
              <w:rPr>
                <w:rFonts w:ascii="Arial"/>
                <w:sz w:val="21"/>
              </w:rPr>
            </w:pPr>
          </w:p>
          <w:p w14:paraId="7E799880">
            <w:pPr>
              <w:rPr>
                <w:rFonts w:ascii="Arial"/>
                <w:sz w:val="21"/>
              </w:rPr>
            </w:pPr>
          </w:p>
          <w:p w14:paraId="2272912D">
            <w:pPr>
              <w:rPr>
                <w:rFonts w:ascii="Arial"/>
                <w:sz w:val="21"/>
              </w:rPr>
            </w:pPr>
          </w:p>
          <w:p w14:paraId="13AF403B">
            <w:pPr>
              <w:rPr>
                <w:rFonts w:ascii="Arial"/>
                <w:sz w:val="21"/>
              </w:rPr>
            </w:pPr>
          </w:p>
          <w:p w14:paraId="48448E00">
            <w:pPr>
              <w:rPr>
                <w:rFonts w:ascii="Arial"/>
                <w:sz w:val="21"/>
              </w:rPr>
            </w:pPr>
          </w:p>
          <w:p w14:paraId="7D1EE779">
            <w:pPr>
              <w:rPr>
                <w:rFonts w:ascii="Arial"/>
                <w:sz w:val="21"/>
              </w:rPr>
            </w:pPr>
          </w:p>
          <w:p w14:paraId="690A9218">
            <w:pPr>
              <w:rPr>
                <w:rFonts w:ascii="Arial"/>
                <w:sz w:val="21"/>
              </w:rPr>
            </w:pPr>
          </w:p>
          <w:p w14:paraId="07DA631E">
            <w:pPr>
              <w:rPr>
                <w:rFonts w:ascii="Arial"/>
                <w:sz w:val="21"/>
              </w:rPr>
            </w:pPr>
          </w:p>
          <w:p w14:paraId="31BD4C8A">
            <w:pPr>
              <w:rPr>
                <w:rFonts w:ascii="Arial"/>
                <w:sz w:val="21"/>
              </w:rPr>
            </w:pPr>
          </w:p>
          <w:p w14:paraId="774AE145">
            <w:pPr>
              <w:rPr>
                <w:rFonts w:ascii="Arial"/>
                <w:sz w:val="21"/>
              </w:rPr>
            </w:pPr>
          </w:p>
          <w:p w14:paraId="3B3AB6A0">
            <w:pPr>
              <w:rPr>
                <w:rFonts w:ascii="Arial"/>
                <w:sz w:val="21"/>
              </w:rPr>
            </w:pPr>
          </w:p>
          <w:p w14:paraId="19A5C25B">
            <w:pPr>
              <w:rPr>
                <w:rFonts w:ascii="Arial"/>
                <w:sz w:val="21"/>
              </w:rPr>
            </w:pPr>
          </w:p>
          <w:p w14:paraId="65E5A5AB">
            <w:pPr>
              <w:rPr>
                <w:rFonts w:ascii="Arial"/>
                <w:sz w:val="21"/>
              </w:rPr>
            </w:pPr>
          </w:p>
          <w:p w14:paraId="42EF0BE7">
            <w:pPr>
              <w:rPr>
                <w:rFonts w:ascii="Arial"/>
                <w:sz w:val="21"/>
              </w:rPr>
            </w:pPr>
          </w:p>
          <w:p w14:paraId="2A7FF72D">
            <w:pPr>
              <w:spacing w:before="68" w:line="315" w:lineRule="auto"/>
              <w:ind w:left="43" w:right="40" w:hanging="11"/>
              <w:rPr>
                <w:rFonts w:ascii="宋体" w:hAnsi="宋体" w:eastAsia="宋体" w:cs="宋体"/>
                <w:sz w:val="21"/>
                <w:szCs w:val="21"/>
              </w:rPr>
            </w:pPr>
            <w:r>
              <w:rPr>
                <w:rFonts w:ascii="宋体" w:hAnsi="宋体" w:eastAsia="宋体" w:cs="宋体"/>
                <w:spacing w:val="-3"/>
                <w:sz w:val="21"/>
                <w:szCs w:val="21"/>
              </w:rPr>
              <w:t>环境风</w:t>
            </w:r>
            <w:r>
              <w:rPr>
                <w:rFonts w:ascii="宋体" w:hAnsi="宋体" w:eastAsia="宋体" w:cs="宋体"/>
                <w:spacing w:val="-7"/>
                <w:sz w:val="21"/>
                <w:szCs w:val="21"/>
              </w:rPr>
              <w:t>险防控</w:t>
            </w:r>
          </w:p>
        </w:tc>
        <w:tc>
          <w:tcPr>
            <w:tcW w:w="559" w:type="dxa"/>
            <w:vAlign w:val="top"/>
          </w:tcPr>
          <w:p w14:paraId="0F72B16D">
            <w:pPr>
              <w:spacing w:line="254" w:lineRule="auto"/>
              <w:rPr>
                <w:rFonts w:ascii="Arial"/>
                <w:sz w:val="21"/>
              </w:rPr>
            </w:pPr>
          </w:p>
          <w:p w14:paraId="449A991A">
            <w:pPr>
              <w:spacing w:line="254" w:lineRule="auto"/>
              <w:rPr>
                <w:rFonts w:ascii="Arial"/>
                <w:sz w:val="21"/>
              </w:rPr>
            </w:pPr>
          </w:p>
          <w:p w14:paraId="145F8DFB">
            <w:pPr>
              <w:spacing w:line="254" w:lineRule="auto"/>
              <w:rPr>
                <w:rFonts w:ascii="Arial"/>
                <w:sz w:val="21"/>
              </w:rPr>
            </w:pPr>
          </w:p>
          <w:p w14:paraId="4E91D1C4">
            <w:pPr>
              <w:spacing w:line="254" w:lineRule="auto"/>
              <w:rPr>
                <w:rFonts w:ascii="Arial"/>
                <w:sz w:val="21"/>
              </w:rPr>
            </w:pPr>
          </w:p>
          <w:p w14:paraId="0C18FFFB">
            <w:pPr>
              <w:spacing w:line="255" w:lineRule="auto"/>
              <w:rPr>
                <w:rFonts w:ascii="Arial"/>
                <w:sz w:val="21"/>
              </w:rPr>
            </w:pPr>
          </w:p>
          <w:p w14:paraId="094FB270">
            <w:pPr>
              <w:spacing w:line="255" w:lineRule="auto"/>
              <w:rPr>
                <w:rFonts w:ascii="Arial"/>
                <w:sz w:val="21"/>
              </w:rPr>
            </w:pPr>
          </w:p>
          <w:p w14:paraId="078C93F9">
            <w:pPr>
              <w:spacing w:line="255" w:lineRule="auto"/>
              <w:rPr>
                <w:rFonts w:ascii="Arial"/>
                <w:sz w:val="21"/>
              </w:rPr>
            </w:pPr>
          </w:p>
          <w:p w14:paraId="52F98C19">
            <w:pPr>
              <w:spacing w:before="69" w:line="314" w:lineRule="auto"/>
              <w:ind w:left="70" w:right="72"/>
              <w:jc w:val="both"/>
              <w:rPr>
                <w:rFonts w:ascii="宋体" w:hAnsi="宋体" w:eastAsia="宋体" w:cs="宋体"/>
                <w:sz w:val="21"/>
                <w:szCs w:val="21"/>
              </w:rPr>
            </w:pPr>
            <w:r>
              <w:rPr>
                <w:rFonts w:ascii="宋体" w:hAnsi="宋体" w:eastAsia="宋体" w:cs="宋体"/>
                <w:spacing w:val="-5"/>
                <w:sz w:val="21"/>
                <w:szCs w:val="21"/>
              </w:rPr>
              <w:t>联防联控要求</w:t>
            </w:r>
          </w:p>
        </w:tc>
        <w:tc>
          <w:tcPr>
            <w:tcW w:w="3346" w:type="dxa"/>
            <w:vAlign w:val="top"/>
          </w:tcPr>
          <w:p w14:paraId="263D8C8D">
            <w:pPr>
              <w:pStyle w:val="6"/>
              <w:spacing w:before="76" w:line="315" w:lineRule="auto"/>
              <w:ind w:left="5" w:right="5" w:firstLine="4"/>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）大气：组织交叉检查和联合执</w:t>
            </w:r>
            <w:r>
              <w:rPr>
                <w:rFonts w:ascii="宋体" w:hAnsi="宋体" w:eastAsia="宋体" w:cs="宋体"/>
                <w:spacing w:val="-2"/>
              </w:rPr>
              <w:t>法，共同研究、推进夏季秸秆禁烧工</w:t>
            </w:r>
            <w:r>
              <w:rPr>
                <w:rFonts w:ascii="宋体" w:hAnsi="宋体" w:eastAsia="宋体" w:cs="宋体"/>
                <w:spacing w:val="-10"/>
              </w:rPr>
              <w:t>作。</w:t>
            </w:r>
          </w:p>
          <w:p w14:paraId="762D6F44">
            <w:pPr>
              <w:pStyle w:val="6"/>
              <w:spacing w:before="4" w:line="314" w:lineRule="auto"/>
              <w:ind w:left="4" w:right="5" w:firstLine="5"/>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）水环境：与重庆市荣昌区吴家</w:t>
            </w:r>
            <w:r>
              <w:rPr>
                <w:rFonts w:ascii="宋体" w:hAnsi="宋体" w:eastAsia="宋体" w:cs="宋体"/>
                <w:spacing w:val="-2"/>
              </w:rPr>
              <w:t>镇、远觉镇、清流镇联合清理沿河垃圾、河道水面漂浮物、整治河道、清</w:t>
            </w:r>
            <w:r>
              <w:rPr>
                <w:rFonts w:ascii="宋体" w:hAnsi="宋体" w:eastAsia="宋体" w:cs="宋体"/>
                <w:spacing w:val="-5"/>
              </w:rPr>
              <w:t>运淤泥等障碍物。</w:t>
            </w:r>
          </w:p>
          <w:p w14:paraId="2298041A">
            <w:pPr>
              <w:pStyle w:val="6"/>
              <w:spacing w:before="1" w:line="300" w:lineRule="auto"/>
              <w:ind w:left="4" w:right="5" w:firstLine="5"/>
              <w:rPr>
                <w:rFonts w:ascii="宋体" w:hAnsi="宋体" w:eastAsia="宋体" w:cs="宋体"/>
              </w:rPr>
            </w:pPr>
            <w:r>
              <w:rPr>
                <w:rFonts w:ascii="宋体" w:hAnsi="宋体" w:eastAsia="宋体" w:cs="宋体"/>
                <w:spacing w:val="4"/>
              </w:rPr>
              <w:t>（</w:t>
            </w:r>
            <w:r>
              <w:rPr>
                <w:spacing w:val="4"/>
              </w:rPr>
              <w:t>3</w:t>
            </w:r>
            <w:r>
              <w:rPr>
                <w:rFonts w:ascii="宋体" w:hAnsi="宋体" w:eastAsia="宋体" w:cs="宋体"/>
                <w:spacing w:val="4"/>
              </w:rPr>
              <w:t>）固废：将四川中再生资源开发</w:t>
            </w:r>
            <w:r>
              <w:rPr>
                <w:rFonts w:ascii="宋体" w:hAnsi="宋体" w:eastAsia="宋体" w:cs="宋体"/>
                <w:spacing w:val="-2"/>
              </w:rPr>
              <w:t>有限公司、内江市邦兴再生资源有限公司等</w:t>
            </w:r>
            <w:r>
              <w:rPr>
                <w:rFonts w:ascii="宋体" w:hAnsi="宋体" w:eastAsia="宋体" w:cs="宋体"/>
                <w:spacing w:val="-50"/>
              </w:rPr>
              <w:t xml:space="preserve"> </w:t>
            </w:r>
            <w:r>
              <w:rPr>
                <w:spacing w:val="-2"/>
              </w:rPr>
              <w:t xml:space="preserve">2 </w:t>
            </w:r>
            <w:r>
              <w:rPr>
                <w:rFonts w:ascii="宋体" w:hAnsi="宋体" w:eastAsia="宋体" w:cs="宋体"/>
                <w:spacing w:val="-2"/>
              </w:rPr>
              <w:t>家废电路板处置企业纳入川</w:t>
            </w:r>
            <w:r>
              <w:rPr>
                <w:rFonts w:ascii="宋体" w:hAnsi="宋体" w:eastAsia="宋体" w:cs="宋体"/>
                <w:spacing w:val="-4"/>
              </w:rPr>
              <w:t>渝危险废物跨省市转移“白名单</w:t>
            </w:r>
            <w:r>
              <w:rPr>
                <w:rFonts w:ascii="宋体" w:hAnsi="宋体" w:eastAsia="宋体" w:cs="宋体"/>
                <w:spacing w:val="-72"/>
              </w:rPr>
              <w:t xml:space="preserve"> </w:t>
            </w:r>
            <w:r>
              <w:rPr>
                <w:rFonts w:ascii="宋体" w:hAnsi="宋体" w:eastAsia="宋体" w:cs="宋体"/>
                <w:spacing w:val="-4"/>
              </w:rPr>
              <w:t>”，</w:t>
            </w:r>
            <w:r>
              <w:rPr>
                <w:rFonts w:ascii="宋体" w:hAnsi="宋体" w:eastAsia="宋体" w:cs="宋体"/>
                <w:spacing w:val="11"/>
              </w:rPr>
              <w:t>深度简化危险废物跨川渝转移审批</w:t>
            </w:r>
            <w:r>
              <w:rPr>
                <w:rFonts w:ascii="宋体" w:hAnsi="宋体" w:eastAsia="宋体" w:cs="宋体"/>
                <w:spacing w:val="-3"/>
              </w:rPr>
              <w:t>手续，实现“白名单”直接审批。</w:t>
            </w:r>
          </w:p>
        </w:tc>
        <w:tc>
          <w:tcPr>
            <w:tcW w:w="1693" w:type="dxa"/>
            <w:vAlign w:val="top"/>
          </w:tcPr>
          <w:p w14:paraId="48F091D1">
            <w:pPr>
              <w:spacing w:line="244" w:lineRule="auto"/>
              <w:rPr>
                <w:rFonts w:ascii="Arial"/>
                <w:sz w:val="21"/>
              </w:rPr>
            </w:pPr>
          </w:p>
          <w:p w14:paraId="7FA6805B">
            <w:pPr>
              <w:spacing w:line="244" w:lineRule="auto"/>
              <w:rPr>
                <w:rFonts w:ascii="Arial"/>
                <w:sz w:val="21"/>
              </w:rPr>
            </w:pPr>
          </w:p>
          <w:p w14:paraId="3B46586F">
            <w:pPr>
              <w:spacing w:line="245" w:lineRule="auto"/>
              <w:rPr>
                <w:rFonts w:ascii="Arial"/>
                <w:sz w:val="21"/>
              </w:rPr>
            </w:pPr>
          </w:p>
          <w:p w14:paraId="007F0CEA">
            <w:pPr>
              <w:spacing w:line="245" w:lineRule="auto"/>
              <w:rPr>
                <w:rFonts w:ascii="Arial"/>
                <w:sz w:val="21"/>
              </w:rPr>
            </w:pPr>
          </w:p>
          <w:p w14:paraId="3EB23963">
            <w:pPr>
              <w:spacing w:line="245" w:lineRule="auto"/>
              <w:rPr>
                <w:rFonts w:ascii="Arial"/>
                <w:sz w:val="21"/>
              </w:rPr>
            </w:pPr>
          </w:p>
          <w:p w14:paraId="2C49FFB4">
            <w:pPr>
              <w:spacing w:line="245" w:lineRule="auto"/>
              <w:rPr>
                <w:rFonts w:ascii="Arial"/>
                <w:sz w:val="21"/>
              </w:rPr>
            </w:pPr>
          </w:p>
          <w:p w14:paraId="4A9EC13B">
            <w:pPr>
              <w:spacing w:line="245" w:lineRule="auto"/>
              <w:rPr>
                <w:rFonts w:ascii="Arial"/>
                <w:sz w:val="21"/>
              </w:rPr>
            </w:pPr>
          </w:p>
          <w:p w14:paraId="07B3B2E7">
            <w:pPr>
              <w:spacing w:line="245" w:lineRule="auto"/>
              <w:rPr>
                <w:rFonts w:ascii="Arial"/>
                <w:sz w:val="21"/>
              </w:rPr>
            </w:pPr>
          </w:p>
          <w:p w14:paraId="45C06227">
            <w:pPr>
              <w:spacing w:before="68" w:line="314" w:lineRule="auto"/>
              <w:ind w:left="7" w:right="6"/>
              <w:rPr>
                <w:rFonts w:ascii="宋体" w:hAnsi="宋体" w:eastAsia="宋体" w:cs="宋体"/>
                <w:sz w:val="21"/>
                <w:szCs w:val="21"/>
              </w:rPr>
            </w:pPr>
            <w:r>
              <w:rPr>
                <w:rFonts w:ascii="宋体" w:hAnsi="宋体" w:eastAsia="宋体" w:cs="宋体"/>
                <w:spacing w:val="-1"/>
                <w:sz w:val="21"/>
                <w:szCs w:val="21"/>
              </w:rPr>
              <w:t>本项目不涉及清单</w:t>
            </w:r>
            <w:r>
              <w:rPr>
                <w:rFonts w:ascii="宋体" w:hAnsi="宋体" w:eastAsia="宋体" w:cs="宋体"/>
                <w:spacing w:val="-7"/>
                <w:sz w:val="21"/>
                <w:szCs w:val="21"/>
              </w:rPr>
              <w:t>所列内容。</w:t>
            </w:r>
          </w:p>
        </w:tc>
        <w:tc>
          <w:tcPr>
            <w:tcW w:w="746" w:type="dxa"/>
            <w:vAlign w:val="top"/>
          </w:tcPr>
          <w:p w14:paraId="1250FF96">
            <w:pPr>
              <w:spacing w:line="266" w:lineRule="auto"/>
              <w:rPr>
                <w:rFonts w:ascii="Arial"/>
                <w:sz w:val="21"/>
              </w:rPr>
            </w:pPr>
          </w:p>
          <w:p w14:paraId="3D45BDE3">
            <w:pPr>
              <w:spacing w:line="266" w:lineRule="auto"/>
              <w:rPr>
                <w:rFonts w:ascii="Arial"/>
                <w:sz w:val="21"/>
              </w:rPr>
            </w:pPr>
          </w:p>
          <w:p w14:paraId="6D67F21B">
            <w:pPr>
              <w:spacing w:line="266" w:lineRule="auto"/>
              <w:rPr>
                <w:rFonts w:ascii="Arial"/>
                <w:sz w:val="21"/>
              </w:rPr>
            </w:pPr>
          </w:p>
          <w:p w14:paraId="0137CCB5">
            <w:pPr>
              <w:spacing w:line="267" w:lineRule="auto"/>
              <w:rPr>
                <w:rFonts w:ascii="Arial"/>
                <w:sz w:val="21"/>
              </w:rPr>
            </w:pPr>
          </w:p>
          <w:p w14:paraId="1A3F03E4">
            <w:pPr>
              <w:spacing w:line="267" w:lineRule="auto"/>
              <w:rPr>
                <w:rFonts w:ascii="Arial"/>
                <w:sz w:val="21"/>
              </w:rPr>
            </w:pPr>
          </w:p>
          <w:p w14:paraId="18C47B47">
            <w:pPr>
              <w:spacing w:line="267" w:lineRule="auto"/>
              <w:rPr>
                <w:rFonts w:ascii="Arial"/>
                <w:sz w:val="21"/>
              </w:rPr>
            </w:pPr>
          </w:p>
          <w:p w14:paraId="0AEF32B7">
            <w:pPr>
              <w:spacing w:line="267" w:lineRule="auto"/>
              <w:rPr>
                <w:rFonts w:ascii="Arial"/>
                <w:sz w:val="21"/>
              </w:rPr>
            </w:pPr>
          </w:p>
          <w:p w14:paraId="0D554C55">
            <w:pPr>
              <w:spacing w:line="267" w:lineRule="auto"/>
              <w:rPr>
                <w:rFonts w:ascii="Arial"/>
                <w:sz w:val="21"/>
              </w:rPr>
            </w:pPr>
          </w:p>
          <w:p w14:paraId="48C8BB91">
            <w:pPr>
              <w:spacing w:before="69"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1025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trPr>
        <w:tc>
          <w:tcPr>
            <w:tcW w:w="721" w:type="dxa"/>
            <w:vMerge w:val="continue"/>
            <w:tcBorders>
              <w:top w:val="nil"/>
              <w:bottom w:val="nil"/>
            </w:tcBorders>
            <w:vAlign w:val="top"/>
          </w:tcPr>
          <w:p w14:paraId="5DC46BCA">
            <w:pPr>
              <w:rPr>
                <w:rFonts w:ascii="Arial"/>
                <w:sz w:val="21"/>
              </w:rPr>
            </w:pPr>
          </w:p>
        </w:tc>
        <w:tc>
          <w:tcPr>
            <w:tcW w:w="561" w:type="dxa"/>
            <w:vMerge w:val="continue"/>
            <w:tcBorders>
              <w:top w:val="nil"/>
              <w:bottom w:val="nil"/>
            </w:tcBorders>
            <w:vAlign w:val="top"/>
          </w:tcPr>
          <w:p w14:paraId="416F3410">
            <w:pPr>
              <w:rPr>
                <w:rFonts w:ascii="Arial"/>
                <w:sz w:val="21"/>
              </w:rPr>
            </w:pPr>
          </w:p>
        </w:tc>
        <w:tc>
          <w:tcPr>
            <w:tcW w:w="700" w:type="dxa"/>
            <w:vMerge w:val="continue"/>
            <w:tcBorders>
              <w:top w:val="nil"/>
              <w:bottom w:val="nil"/>
            </w:tcBorders>
            <w:vAlign w:val="top"/>
          </w:tcPr>
          <w:p w14:paraId="052F09DF">
            <w:pPr>
              <w:rPr>
                <w:rFonts w:ascii="Arial"/>
                <w:sz w:val="21"/>
              </w:rPr>
            </w:pPr>
          </w:p>
        </w:tc>
        <w:tc>
          <w:tcPr>
            <w:tcW w:w="559" w:type="dxa"/>
            <w:vAlign w:val="top"/>
          </w:tcPr>
          <w:p w14:paraId="36A4CFCA">
            <w:pPr>
              <w:spacing w:before="81" w:line="230" w:lineRule="auto"/>
              <w:ind w:left="72"/>
              <w:rPr>
                <w:rFonts w:ascii="宋体" w:hAnsi="宋体" w:eastAsia="宋体" w:cs="宋体"/>
                <w:sz w:val="21"/>
                <w:szCs w:val="21"/>
              </w:rPr>
            </w:pPr>
            <w:r>
              <w:rPr>
                <w:rFonts w:ascii="宋体" w:hAnsi="宋体" w:eastAsia="宋体" w:cs="宋体"/>
                <w:spacing w:val="-3"/>
                <w:sz w:val="21"/>
                <w:szCs w:val="21"/>
              </w:rPr>
              <w:t>企业</w:t>
            </w:r>
          </w:p>
          <w:p w14:paraId="7D09D9F8">
            <w:pPr>
              <w:spacing w:before="93" w:line="220" w:lineRule="auto"/>
              <w:ind w:left="69"/>
              <w:rPr>
                <w:rFonts w:ascii="宋体" w:hAnsi="宋体" w:eastAsia="宋体" w:cs="宋体"/>
                <w:sz w:val="21"/>
                <w:szCs w:val="21"/>
              </w:rPr>
            </w:pPr>
            <w:r>
              <w:rPr>
                <w:rFonts w:ascii="宋体" w:hAnsi="宋体" w:eastAsia="宋体" w:cs="宋体"/>
                <w:spacing w:val="-3"/>
                <w:sz w:val="21"/>
                <w:szCs w:val="21"/>
              </w:rPr>
              <w:t>环境</w:t>
            </w:r>
          </w:p>
          <w:p w14:paraId="6E2DD5E6">
            <w:pPr>
              <w:spacing w:before="104" w:line="220" w:lineRule="auto"/>
              <w:ind w:left="70"/>
              <w:rPr>
                <w:rFonts w:ascii="宋体" w:hAnsi="宋体" w:eastAsia="宋体" w:cs="宋体"/>
                <w:sz w:val="21"/>
                <w:szCs w:val="21"/>
              </w:rPr>
            </w:pPr>
            <w:r>
              <w:rPr>
                <w:rFonts w:ascii="宋体" w:hAnsi="宋体" w:eastAsia="宋体" w:cs="宋体"/>
                <w:spacing w:val="-3"/>
                <w:sz w:val="21"/>
                <w:szCs w:val="21"/>
              </w:rPr>
              <w:t>风险</w:t>
            </w:r>
          </w:p>
          <w:p w14:paraId="57C10AE9">
            <w:pPr>
              <w:spacing w:before="104" w:line="220" w:lineRule="auto"/>
              <w:ind w:left="82"/>
              <w:rPr>
                <w:rFonts w:ascii="宋体" w:hAnsi="宋体" w:eastAsia="宋体" w:cs="宋体"/>
                <w:sz w:val="21"/>
                <w:szCs w:val="21"/>
              </w:rPr>
            </w:pPr>
            <w:r>
              <w:rPr>
                <w:rFonts w:ascii="宋体" w:hAnsi="宋体" w:eastAsia="宋体" w:cs="宋体"/>
                <w:spacing w:val="-6"/>
                <w:sz w:val="21"/>
                <w:szCs w:val="21"/>
              </w:rPr>
              <w:t>防控</w:t>
            </w:r>
          </w:p>
          <w:p w14:paraId="2BBEA9D2">
            <w:pPr>
              <w:spacing w:before="104" w:line="221" w:lineRule="auto"/>
              <w:ind w:left="70"/>
              <w:rPr>
                <w:rFonts w:ascii="宋体" w:hAnsi="宋体" w:eastAsia="宋体" w:cs="宋体"/>
                <w:sz w:val="21"/>
                <w:szCs w:val="21"/>
              </w:rPr>
            </w:pPr>
            <w:r>
              <w:rPr>
                <w:rFonts w:ascii="宋体" w:hAnsi="宋体" w:eastAsia="宋体" w:cs="宋体"/>
                <w:spacing w:val="-3"/>
                <w:sz w:val="21"/>
                <w:szCs w:val="21"/>
              </w:rPr>
              <w:t>要求</w:t>
            </w:r>
          </w:p>
        </w:tc>
        <w:tc>
          <w:tcPr>
            <w:tcW w:w="3346" w:type="dxa"/>
            <w:vAlign w:val="top"/>
          </w:tcPr>
          <w:p w14:paraId="0AA2CF51">
            <w:pPr>
              <w:pStyle w:val="6"/>
              <w:spacing w:before="77" w:line="315" w:lineRule="auto"/>
              <w:ind w:left="5" w:right="5" w:firstLine="4"/>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）工业企业退出用地，应按相关</w:t>
            </w:r>
            <w:r>
              <w:rPr>
                <w:rFonts w:ascii="宋体" w:hAnsi="宋体" w:eastAsia="宋体" w:cs="宋体"/>
                <w:spacing w:val="-12"/>
              </w:rPr>
              <w:t>要求进行评估、修复，</w:t>
            </w:r>
            <w:r>
              <w:rPr>
                <w:rFonts w:ascii="宋体" w:hAnsi="宋体" w:eastAsia="宋体" w:cs="宋体"/>
                <w:spacing w:val="55"/>
              </w:rPr>
              <w:t xml:space="preserve"> </w:t>
            </w:r>
            <w:r>
              <w:rPr>
                <w:rFonts w:ascii="宋体" w:hAnsi="宋体" w:eastAsia="宋体" w:cs="宋体"/>
                <w:spacing w:val="-12"/>
              </w:rPr>
              <w:t>满足相应用地</w:t>
            </w:r>
            <w:r>
              <w:rPr>
                <w:rFonts w:ascii="宋体" w:hAnsi="宋体" w:eastAsia="宋体" w:cs="宋体"/>
                <w:spacing w:val="-4"/>
              </w:rPr>
              <w:t>功能后，方可改变用途。</w:t>
            </w:r>
          </w:p>
          <w:p w14:paraId="3EA8A107">
            <w:pPr>
              <w:pStyle w:val="6"/>
              <w:spacing w:before="2" w:line="275" w:lineRule="auto"/>
              <w:ind w:left="17" w:right="14" w:hanging="7"/>
              <w:rPr>
                <w:rFonts w:ascii="宋体" w:hAnsi="宋体" w:eastAsia="宋体" w:cs="宋体"/>
              </w:rPr>
            </w:pPr>
            <w:r>
              <w:rPr>
                <w:rFonts w:ascii="宋体" w:hAnsi="宋体" w:eastAsia="宋体" w:cs="宋体"/>
                <w:spacing w:val="3"/>
              </w:rPr>
              <w:t>（</w:t>
            </w:r>
            <w:r>
              <w:rPr>
                <w:spacing w:val="3"/>
              </w:rPr>
              <w:t>2</w:t>
            </w:r>
            <w:r>
              <w:rPr>
                <w:rFonts w:ascii="宋体" w:hAnsi="宋体" w:eastAsia="宋体" w:cs="宋体"/>
                <w:spacing w:val="3"/>
              </w:rPr>
              <w:t>）加强“散乱污”企业环境风险</w:t>
            </w:r>
            <w:r>
              <w:rPr>
                <w:rFonts w:ascii="宋体" w:hAnsi="宋体" w:eastAsia="宋体" w:cs="宋体"/>
                <w:spacing w:val="-12"/>
              </w:rPr>
              <w:t>防控。</w:t>
            </w:r>
          </w:p>
        </w:tc>
        <w:tc>
          <w:tcPr>
            <w:tcW w:w="1693" w:type="dxa"/>
            <w:vAlign w:val="top"/>
          </w:tcPr>
          <w:p w14:paraId="2E19D827">
            <w:pPr>
              <w:spacing w:line="364" w:lineRule="auto"/>
              <w:rPr>
                <w:rFonts w:ascii="Arial"/>
                <w:sz w:val="21"/>
              </w:rPr>
            </w:pPr>
          </w:p>
          <w:p w14:paraId="3BBF00DF">
            <w:pPr>
              <w:spacing w:before="69" w:line="314" w:lineRule="auto"/>
              <w:ind w:left="7" w:right="6"/>
              <w:jc w:val="both"/>
              <w:rPr>
                <w:rFonts w:ascii="宋体" w:hAnsi="宋体" w:eastAsia="宋体" w:cs="宋体"/>
                <w:sz w:val="21"/>
                <w:szCs w:val="21"/>
              </w:rPr>
            </w:pPr>
            <w:r>
              <w:rPr>
                <w:rFonts w:ascii="宋体" w:hAnsi="宋体" w:eastAsia="宋体" w:cs="宋体"/>
                <w:spacing w:val="-1"/>
                <w:sz w:val="21"/>
                <w:szCs w:val="21"/>
              </w:rPr>
              <w:t>本项目为生猪养殖项目，不涉及清单</w:t>
            </w:r>
            <w:r>
              <w:rPr>
                <w:rFonts w:ascii="宋体" w:hAnsi="宋体" w:eastAsia="宋体" w:cs="宋体"/>
                <w:spacing w:val="-7"/>
                <w:sz w:val="21"/>
                <w:szCs w:val="21"/>
              </w:rPr>
              <w:t>所列行业。</w:t>
            </w:r>
          </w:p>
        </w:tc>
        <w:tc>
          <w:tcPr>
            <w:tcW w:w="746" w:type="dxa"/>
            <w:vAlign w:val="top"/>
          </w:tcPr>
          <w:p w14:paraId="540D8684">
            <w:pPr>
              <w:spacing w:line="358" w:lineRule="auto"/>
              <w:rPr>
                <w:rFonts w:ascii="Arial"/>
                <w:sz w:val="21"/>
              </w:rPr>
            </w:pPr>
          </w:p>
          <w:p w14:paraId="696BD079">
            <w:pPr>
              <w:spacing w:line="359" w:lineRule="auto"/>
              <w:rPr>
                <w:rFonts w:ascii="Arial"/>
                <w:sz w:val="21"/>
              </w:rPr>
            </w:pPr>
          </w:p>
          <w:p w14:paraId="3B6061EC">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614F3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5" w:hRule="atLeast"/>
        </w:trPr>
        <w:tc>
          <w:tcPr>
            <w:tcW w:w="721" w:type="dxa"/>
            <w:vMerge w:val="continue"/>
            <w:tcBorders>
              <w:top w:val="nil"/>
            </w:tcBorders>
            <w:vAlign w:val="top"/>
          </w:tcPr>
          <w:p w14:paraId="7122127A">
            <w:pPr>
              <w:rPr>
                <w:rFonts w:ascii="Arial"/>
                <w:sz w:val="21"/>
              </w:rPr>
            </w:pPr>
          </w:p>
        </w:tc>
        <w:tc>
          <w:tcPr>
            <w:tcW w:w="561" w:type="dxa"/>
            <w:vMerge w:val="continue"/>
            <w:tcBorders>
              <w:top w:val="nil"/>
            </w:tcBorders>
            <w:vAlign w:val="top"/>
          </w:tcPr>
          <w:p w14:paraId="00BE6F2F">
            <w:pPr>
              <w:rPr>
                <w:rFonts w:ascii="Arial"/>
                <w:sz w:val="21"/>
              </w:rPr>
            </w:pPr>
          </w:p>
        </w:tc>
        <w:tc>
          <w:tcPr>
            <w:tcW w:w="700" w:type="dxa"/>
            <w:vMerge w:val="continue"/>
            <w:tcBorders>
              <w:top w:val="nil"/>
            </w:tcBorders>
            <w:vAlign w:val="top"/>
          </w:tcPr>
          <w:p w14:paraId="2BD67106">
            <w:pPr>
              <w:rPr>
                <w:rFonts w:ascii="Arial"/>
                <w:sz w:val="21"/>
              </w:rPr>
            </w:pPr>
          </w:p>
        </w:tc>
        <w:tc>
          <w:tcPr>
            <w:tcW w:w="559" w:type="dxa"/>
            <w:vAlign w:val="top"/>
          </w:tcPr>
          <w:p w14:paraId="5A81C21B">
            <w:pPr>
              <w:spacing w:line="268" w:lineRule="auto"/>
              <w:rPr>
                <w:rFonts w:ascii="Arial"/>
                <w:sz w:val="21"/>
              </w:rPr>
            </w:pPr>
          </w:p>
          <w:p w14:paraId="52C8EE5F">
            <w:pPr>
              <w:spacing w:line="268" w:lineRule="auto"/>
              <w:rPr>
                <w:rFonts w:ascii="Arial"/>
                <w:sz w:val="21"/>
              </w:rPr>
            </w:pPr>
          </w:p>
          <w:p w14:paraId="15176A7B">
            <w:pPr>
              <w:spacing w:line="268" w:lineRule="auto"/>
              <w:rPr>
                <w:rFonts w:ascii="Arial"/>
                <w:sz w:val="21"/>
              </w:rPr>
            </w:pPr>
          </w:p>
          <w:p w14:paraId="75A31DDE">
            <w:pPr>
              <w:spacing w:line="269" w:lineRule="auto"/>
              <w:rPr>
                <w:rFonts w:ascii="Arial"/>
                <w:sz w:val="21"/>
              </w:rPr>
            </w:pPr>
          </w:p>
          <w:p w14:paraId="40F0365E">
            <w:pPr>
              <w:spacing w:before="68" w:line="313" w:lineRule="auto"/>
              <w:ind w:left="69" w:right="72" w:firstLine="1"/>
              <w:jc w:val="both"/>
              <w:rPr>
                <w:rFonts w:ascii="宋体" w:hAnsi="宋体" w:eastAsia="宋体" w:cs="宋体"/>
                <w:sz w:val="21"/>
                <w:szCs w:val="21"/>
              </w:rPr>
            </w:pPr>
            <w:r>
              <w:rPr>
                <w:rFonts w:ascii="宋体" w:hAnsi="宋体" w:eastAsia="宋体" w:cs="宋体"/>
                <w:spacing w:val="-5"/>
                <w:sz w:val="21"/>
                <w:szCs w:val="21"/>
              </w:rPr>
              <w:t>用地环境风险防控要求</w:t>
            </w:r>
          </w:p>
        </w:tc>
        <w:tc>
          <w:tcPr>
            <w:tcW w:w="3346" w:type="dxa"/>
            <w:vAlign w:val="top"/>
          </w:tcPr>
          <w:p w14:paraId="21FE7989">
            <w:pPr>
              <w:pStyle w:val="6"/>
              <w:spacing w:before="78" w:line="315" w:lineRule="auto"/>
              <w:ind w:left="4" w:right="5" w:firstLine="5"/>
              <w:rPr>
                <w:rFonts w:ascii="宋体" w:hAnsi="宋体" w:eastAsia="宋体" w:cs="宋体"/>
              </w:rPr>
            </w:pPr>
            <w:r>
              <w:rPr>
                <w:rFonts w:ascii="宋体" w:hAnsi="宋体" w:eastAsia="宋体" w:cs="宋体"/>
                <w:spacing w:val="-3"/>
              </w:rPr>
              <w:t>（</w:t>
            </w:r>
            <w:r>
              <w:rPr>
                <w:spacing w:val="-3"/>
              </w:rPr>
              <w:t>1</w:t>
            </w:r>
            <w:r>
              <w:rPr>
                <w:rFonts w:ascii="宋体" w:hAnsi="宋体" w:eastAsia="宋体" w:cs="宋体"/>
                <w:spacing w:val="-3"/>
              </w:rPr>
              <w:t>）到</w:t>
            </w:r>
            <w:r>
              <w:rPr>
                <w:rFonts w:ascii="宋体" w:hAnsi="宋体" w:eastAsia="宋体" w:cs="宋体"/>
                <w:spacing w:val="-32"/>
              </w:rPr>
              <w:t xml:space="preserve"> </w:t>
            </w:r>
            <w:r>
              <w:rPr>
                <w:spacing w:val="-3"/>
              </w:rPr>
              <w:t xml:space="preserve">2025 </w:t>
            </w:r>
            <w:r>
              <w:rPr>
                <w:rFonts w:ascii="宋体" w:hAnsi="宋体" w:eastAsia="宋体" w:cs="宋体"/>
                <w:spacing w:val="-3"/>
              </w:rPr>
              <w:t>年，全市受污染耕地安</w:t>
            </w:r>
            <w:r>
              <w:rPr>
                <w:rFonts w:ascii="宋体" w:hAnsi="宋体" w:eastAsia="宋体" w:cs="宋体"/>
                <w:spacing w:val="-4"/>
              </w:rPr>
              <w:t>全利用率达到</w:t>
            </w:r>
            <w:r>
              <w:rPr>
                <w:rFonts w:ascii="宋体" w:hAnsi="宋体" w:eastAsia="宋体" w:cs="宋体"/>
                <w:spacing w:val="-34"/>
              </w:rPr>
              <w:t xml:space="preserve"> </w:t>
            </w:r>
            <w:r>
              <w:rPr>
                <w:spacing w:val="-4"/>
              </w:rPr>
              <w:t>94%</w:t>
            </w:r>
            <w:r>
              <w:rPr>
                <w:rFonts w:ascii="宋体" w:hAnsi="宋体" w:eastAsia="宋体" w:cs="宋体"/>
                <w:spacing w:val="-4"/>
              </w:rPr>
              <w:t>以上，污染地块安</w:t>
            </w:r>
            <w:r>
              <w:rPr>
                <w:rFonts w:ascii="宋体" w:hAnsi="宋体" w:eastAsia="宋体" w:cs="宋体"/>
                <w:spacing w:val="-2"/>
              </w:rPr>
              <w:t>全利用率达到</w:t>
            </w:r>
            <w:r>
              <w:rPr>
                <w:rFonts w:ascii="宋体" w:hAnsi="宋体" w:eastAsia="宋体" w:cs="宋体"/>
                <w:spacing w:val="-38"/>
              </w:rPr>
              <w:t xml:space="preserve"> </w:t>
            </w:r>
            <w:r>
              <w:rPr>
                <w:spacing w:val="-2"/>
              </w:rPr>
              <w:t>93%</w:t>
            </w:r>
            <w:r>
              <w:rPr>
                <w:rFonts w:ascii="宋体" w:hAnsi="宋体" w:eastAsia="宋体" w:cs="宋体"/>
                <w:spacing w:val="-2"/>
              </w:rPr>
              <w:t>以上。</w:t>
            </w:r>
          </w:p>
          <w:p w14:paraId="12DCABF7">
            <w:pPr>
              <w:pStyle w:val="6"/>
              <w:spacing w:before="4" w:line="303" w:lineRule="auto"/>
              <w:ind w:left="3" w:right="5" w:firstLine="7"/>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）严格控制在优先保护类耕地集</w:t>
            </w:r>
            <w:r>
              <w:rPr>
                <w:rFonts w:ascii="宋体" w:hAnsi="宋体" w:eastAsia="宋体" w:cs="宋体"/>
                <w:spacing w:val="-2"/>
              </w:rPr>
              <w:t>中的区县新建有色金属矿采选、有色金属冶炼、石油加工、化工、焦化、电镀、制革、天然（页岩）气开采、铅蓄电池、汽车制造、农药、危废处置、电子拆解、涉重等行业企业。严格控制林地、草地、园地的农药使用</w:t>
            </w:r>
            <w:r>
              <w:rPr>
                <w:rFonts w:ascii="宋体" w:hAnsi="宋体" w:eastAsia="宋体" w:cs="宋体"/>
                <w:spacing w:val="-3"/>
              </w:rPr>
              <w:t>量，禁止使用高毒、高残留农药。</w:t>
            </w:r>
          </w:p>
        </w:tc>
        <w:tc>
          <w:tcPr>
            <w:tcW w:w="1693" w:type="dxa"/>
            <w:vAlign w:val="top"/>
          </w:tcPr>
          <w:p w14:paraId="15DA6AF1">
            <w:pPr>
              <w:spacing w:line="298" w:lineRule="auto"/>
              <w:rPr>
                <w:rFonts w:ascii="Arial"/>
                <w:sz w:val="21"/>
              </w:rPr>
            </w:pPr>
          </w:p>
          <w:p w14:paraId="780E51F6">
            <w:pPr>
              <w:spacing w:line="298" w:lineRule="auto"/>
              <w:rPr>
                <w:rFonts w:ascii="Arial"/>
                <w:sz w:val="21"/>
              </w:rPr>
            </w:pPr>
          </w:p>
          <w:p w14:paraId="3DF2EE0B">
            <w:pPr>
              <w:spacing w:line="299" w:lineRule="auto"/>
              <w:rPr>
                <w:rFonts w:ascii="Arial"/>
                <w:sz w:val="21"/>
              </w:rPr>
            </w:pPr>
          </w:p>
          <w:p w14:paraId="5BC646A5">
            <w:pPr>
              <w:spacing w:before="68" w:line="313" w:lineRule="auto"/>
              <w:ind w:left="6" w:firstLine="1"/>
              <w:jc w:val="both"/>
              <w:rPr>
                <w:rFonts w:ascii="宋体" w:hAnsi="宋体" w:eastAsia="宋体" w:cs="宋体"/>
                <w:sz w:val="21"/>
                <w:szCs w:val="21"/>
              </w:rPr>
            </w:pPr>
            <w:r>
              <w:rPr>
                <w:rFonts w:ascii="宋体" w:hAnsi="宋体" w:eastAsia="宋体" w:cs="宋体"/>
                <w:spacing w:val="-10"/>
                <w:sz w:val="21"/>
                <w:szCs w:val="21"/>
              </w:rPr>
              <w:t>本项目属于生猪养</w:t>
            </w:r>
            <w:r>
              <w:rPr>
                <w:rFonts w:ascii="宋体" w:hAnsi="宋体" w:eastAsia="宋体" w:cs="宋体"/>
                <w:spacing w:val="-9"/>
                <w:sz w:val="21"/>
                <w:szCs w:val="21"/>
              </w:rPr>
              <w:t>殖项目，消纳地严</w:t>
            </w:r>
            <w:r>
              <w:rPr>
                <w:rFonts w:ascii="宋体" w:hAnsi="宋体" w:eastAsia="宋体" w:cs="宋体"/>
                <w:spacing w:val="13"/>
                <w:sz w:val="21"/>
                <w:szCs w:val="21"/>
              </w:rPr>
              <w:t>格控制农</w:t>
            </w:r>
            <w:r>
              <w:rPr>
                <w:rFonts w:ascii="宋体" w:hAnsi="宋体" w:eastAsia="宋体" w:cs="宋体"/>
                <w:spacing w:val="-57"/>
                <w:sz w:val="21"/>
                <w:szCs w:val="21"/>
              </w:rPr>
              <w:t xml:space="preserve"> </w:t>
            </w:r>
            <w:r>
              <w:rPr>
                <w:rFonts w:ascii="宋体" w:hAnsi="宋体" w:eastAsia="宋体" w:cs="宋体"/>
                <w:spacing w:val="13"/>
                <w:sz w:val="21"/>
                <w:szCs w:val="21"/>
              </w:rPr>
              <w:t>药使用</w:t>
            </w:r>
            <w:r>
              <w:rPr>
                <w:rFonts w:ascii="宋体" w:hAnsi="宋体" w:eastAsia="宋体" w:cs="宋体"/>
                <w:spacing w:val="-24"/>
                <w:sz w:val="21"/>
                <w:szCs w:val="21"/>
              </w:rPr>
              <w:t>量，禁止使用高毒、</w:t>
            </w:r>
            <w:r>
              <w:rPr>
                <w:rFonts w:ascii="宋体" w:hAnsi="宋体" w:eastAsia="宋体" w:cs="宋体"/>
                <w:spacing w:val="-11"/>
                <w:sz w:val="21"/>
                <w:szCs w:val="21"/>
              </w:rPr>
              <w:t>高残留农药；不涉及清单所列行业。</w:t>
            </w:r>
          </w:p>
        </w:tc>
        <w:tc>
          <w:tcPr>
            <w:tcW w:w="746" w:type="dxa"/>
            <w:vAlign w:val="top"/>
          </w:tcPr>
          <w:p w14:paraId="5D4520AB">
            <w:pPr>
              <w:spacing w:line="253" w:lineRule="auto"/>
              <w:rPr>
                <w:rFonts w:ascii="Arial"/>
                <w:sz w:val="21"/>
              </w:rPr>
            </w:pPr>
          </w:p>
          <w:p w14:paraId="481F7408">
            <w:pPr>
              <w:spacing w:line="253" w:lineRule="auto"/>
              <w:rPr>
                <w:rFonts w:ascii="Arial"/>
                <w:sz w:val="21"/>
              </w:rPr>
            </w:pPr>
          </w:p>
          <w:p w14:paraId="6A41976A">
            <w:pPr>
              <w:spacing w:line="254" w:lineRule="auto"/>
              <w:rPr>
                <w:rFonts w:ascii="Arial"/>
                <w:sz w:val="21"/>
              </w:rPr>
            </w:pPr>
          </w:p>
          <w:p w14:paraId="03750529">
            <w:pPr>
              <w:spacing w:line="254" w:lineRule="auto"/>
              <w:rPr>
                <w:rFonts w:ascii="Arial"/>
                <w:sz w:val="21"/>
              </w:rPr>
            </w:pPr>
          </w:p>
          <w:p w14:paraId="2FA7DAD8">
            <w:pPr>
              <w:spacing w:line="254" w:lineRule="auto"/>
              <w:rPr>
                <w:rFonts w:ascii="Arial"/>
                <w:sz w:val="21"/>
              </w:rPr>
            </w:pPr>
          </w:p>
          <w:p w14:paraId="4317CFB5">
            <w:pPr>
              <w:spacing w:line="254" w:lineRule="auto"/>
              <w:rPr>
                <w:rFonts w:ascii="Arial"/>
                <w:sz w:val="21"/>
              </w:rPr>
            </w:pPr>
          </w:p>
          <w:p w14:paraId="6C9A5BCC">
            <w:pPr>
              <w:spacing w:line="254" w:lineRule="auto"/>
              <w:rPr>
                <w:rFonts w:ascii="Arial"/>
                <w:sz w:val="21"/>
              </w:rPr>
            </w:pPr>
          </w:p>
          <w:p w14:paraId="4C85C429">
            <w:pPr>
              <w:spacing w:before="69"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62BD4C90">
      <w:pPr>
        <w:pStyle w:val="2"/>
      </w:pPr>
    </w:p>
    <w:p w14:paraId="052A6DEA">
      <w:pPr>
        <w:sectPr>
          <w:footerReference r:id="rId126" w:type="default"/>
          <w:pgSz w:w="11905" w:h="16840"/>
          <w:pgMar w:top="1168" w:right="1768" w:bottom="1409" w:left="1770" w:header="828" w:footer="1244" w:gutter="0"/>
          <w:cols w:space="720" w:num="1"/>
        </w:sectPr>
      </w:pPr>
    </w:p>
    <w:p w14:paraId="064389CB">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559"/>
        <w:gridCol w:w="3346"/>
        <w:gridCol w:w="1693"/>
        <w:gridCol w:w="746"/>
      </w:tblGrid>
      <w:tr w14:paraId="06AC2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5"/>
            <w:vAlign w:val="top"/>
          </w:tcPr>
          <w:p w14:paraId="52893EB8">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40998222">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72DAC3B5">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7AA76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1B658130">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gridSpan w:val="2"/>
            <w:vAlign w:val="top"/>
          </w:tcPr>
          <w:p w14:paraId="458C685C">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483356DD">
            <w:pPr>
              <w:rPr>
                <w:rFonts w:ascii="Arial"/>
                <w:sz w:val="21"/>
              </w:rPr>
            </w:pPr>
          </w:p>
        </w:tc>
        <w:tc>
          <w:tcPr>
            <w:tcW w:w="746" w:type="dxa"/>
            <w:vMerge w:val="continue"/>
            <w:tcBorders>
              <w:top w:val="nil"/>
            </w:tcBorders>
            <w:vAlign w:val="top"/>
          </w:tcPr>
          <w:p w14:paraId="645AB65B">
            <w:pPr>
              <w:rPr>
                <w:rFonts w:ascii="Arial"/>
                <w:sz w:val="21"/>
              </w:rPr>
            </w:pPr>
          </w:p>
        </w:tc>
      </w:tr>
      <w:tr w14:paraId="2DEA8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1" w:hRule="atLeast"/>
        </w:trPr>
        <w:tc>
          <w:tcPr>
            <w:tcW w:w="721" w:type="dxa"/>
            <w:vMerge w:val="restart"/>
            <w:tcBorders>
              <w:bottom w:val="nil"/>
            </w:tcBorders>
            <w:vAlign w:val="top"/>
          </w:tcPr>
          <w:p w14:paraId="59A0379A">
            <w:pPr>
              <w:rPr>
                <w:rFonts w:ascii="Arial"/>
                <w:sz w:val="21"/>
              </w:rPr>
            </w:pPr>
          </w:p>
        </w:tc>
        <w:tc>
          <w:tcPr>
            <w:tcW w:w="561" w:type="dxa"/>
            <w:vMerge w:val="restart"/>
            <w:tcBorders>
              <w:bottom w:val="nil"/>
            </w:tcBorders>
            <w:vAlign w:val="top"/>
          </w:tcPr>
          <w:p w14:paraId="5300BA0A">
            <w:pPr>
              <w:rPr>
                <w:rFonts w:ascii="Arial"/>
                <w:sz w:val="21"/>
              </w:rPr>
            </w:pPr>
          </w:p>
        </w:tc>
        <w:tc>
          <w:tcPr>
            <w:tcW w:w="700" w:type="dxa"/>
            <w:vMerge w:val="restart"/>
            <w:tcBorders>
              <w:bottom w:val="nil"/>
            </w:tcBorders>
            <w:vAlign w:val="top"/>
          </w:tcPr>
          <w:p w14:paraId="75B250DA">
            <w:pPr>
              <w:spacing w:line="246" w:lineRule="auto"/>
              <w:rPr>
                <w:rFonts w:ascii="Arial"/>
                <w:sz w:val="21"/>
              </w:rPr>
            </w:pPr>
          </w:p>
          <w:p w14:paraId="672A43DC">
            <w:pPr>
              <w:spacing w:line="246" w:lineRule="auto"/>
              <w:rPr>
                <w:rFonts w:ascii="Arial"/>
                <w:sz w:val="21"/>
              </w:rPr>
            </w:pPr>
          </w:p>
          <w:p w14:paraId="10F09959">
            <w:pPr>
              <w:spacing w:line="246" w:lineRule="auto"/>
              <w:rPr>
                <w:rFonts w:ascii="Arial"/>
                <w:sz w:val="21"/>
              </w:rPr>
            </w:pPr>
          </w:p>
          <w:p w14:paraId="4B2B3E97">
            <w:pPr>
              <w:spacing w:line="246" w:lineRule="auto"/>
              <w:rPr>
                <w:rFonts w:ascii="Arial"/>
                <w:sz w:val="21"/>
              </w:rPr>
            </w:pPr>
          </w:p>
          <w:p w14:paraId="2718C438">
            <w:pPr>
              <w:spacing w:line="246" w:lineRule="auto"/>
              <w:rPr>
                <w:rFonts w:ascii="Arial"/>
                <w:sz w:val="21"/>
              </w:rPr>
            </w:pPr>
          </w:p>
          <w:p w14:paraId="04B90B8C">
            <w:pPr>
              <w:spacing w:line="246" w:lineRule="auto"/>
              <w:rPr>
                <w:rFonts w:ascii="Arial"/>
                <w:sz w:val="21"/>
              </w:rPr>
            </w:pPr>
          </w:p>
          <w:p w14:paraId="28B7EEEA">
            <w:pPr>
              <w:spacing w:line="246" w:lineRule="auto"/>
              <w:rPr>
                <w:rFonts w:ascii="Arial"/>
                <w:sz w:val="21"/>
              </w:rPr>
            </w:pPr>
          </w:p>
          <w:p w14:paraId="3368A7A8">
            <w:pPr>
              <w:spacing w:line="246" w:lineRule="auto"/>
              <w:rPr>
                <w:rFonts w:ascii="Arial"/>
                <w:sz w:val="21"/>
              </w:rPr>
            </w:pPr>
          </w:p>
          <w:p w14:paraId="6AFB837B">
            <w:pPr>
              <w:spacing w:line="246" w:lineRule="auto"/>
              <w:rPr>
                <w:rFonts w:ascii="Arial"/>
                <w:sz w:val="21"/>
              </w:rPr>
            </w:pPr>
          </w:p>
          <w:p w14:paraId="5A9A8362">
            <w:pPr>
              <w:spacing w:line="246" w:lineRule="auto"/>
              <w:rPr>
                <w:rFonts w:ascii="Arial"/>
                <w:sz w:val="21"/>
              </w:rPr>
            </w:pPr>
          </w:p>
          <w:p w14:paraId="704B752C">
            <w:pPr>
              <w:spacing w:line="247" w:lineRule="auto"/>
              <w:rPr>
                <w:rFonts w:ascii="Arial"/>
                <w:sz w:val="21"/>
              </w:rPr>
            </w:pPr>
          </w:p>
          <w:p w14:paraId="382E325A">
            <w:pPr>
              <w:spacing w:line="247" w:lineRule="auto"/>
              <w:rPr>
                <w:rFonts w:ascii="Arial"/>
                <w:sz w:val="21"/>
              </w:rPr>
            </w:pPr>
          </w:p>
          <w:p w14:paraId="527B13F6">
            <w:pPr>
              <w:spacing w:line="247" w:lineRule="auto"/>
              <w:rPr>
                <w:rFonts w:ascii="Arial"/>
                <w:sz w:val="21"/>
              </w:rPr>
            </w:pPr>
          </w:p>
          <w:p w14:paraId="68900FFE">
            <w:pPr>
              <w:spacing w:before="68" w:line="313" w:lineRule="auto"/>
              <w:ind w:left="36" w:right="40" w:firstLine="5"/>
              <w:jc w:val="both"/>
              <w:rPr>
                <w:rFonts w:ascii="宋体" w:hAnsi="宋体" w:eastAsia="宋体" w:cs="宋体"/>
                <w:sz w:val="21"/>
                <w:szCs w:val="21"/>
              </w:rPr>
            </w:pPr>
            <w:r>
              <w:rPr>
                <w:rFonts w:ascii="宋体" w:hAnsi="宋体" w:eastAsia="宋体" w:cs="宋体"/>
                <w:spacing w:val="-6"/>
                <w:sz w:val="21"/>
                <w:szCs w:val="21"/>
              </w:rPr>
              <w:t>资源开</w:t>
            </w:r>
            <w:r>
              <w:rPr>
                <w:rFonts w:ascii="宋体" w:hAnsi="宋体" w:eastAsia="宋体" w:cs="宋体"/>
                <w:spacing w:val="-4"/>
                <w:sz w:val="21"/>
                <w:szCs w:val="21"/>
              </w:rPr>
              <w:t>发利用</w:t>
            </w:r>
            <w:r>
              <w:rPr>
                <w:rFonts w:ascii="宋体" w:hAnsi="宋体" w:eastAsia="宋体" w:cs="宋体"/>
                <w:spacing w:val="47"/>
                <w:sz w:val="21"/>
                <w:szCs w:val="21"/>
              </w:rPr>
              <w:t>效率</w:t>
            </w:r>
          </w:p>
        </w:tc>
        <w:tc>
          <w:tcPr>
            <w:tcW w:w="559" w:type="dxa"/>
            <w:vAlign w:val="top"/>
          </w:tcPr>
          <w:p w14:paraId="33B17D73">
            <w:pPr>
              <w:spacing w:line="285" w:lineRule="auto"/>
              <w:rPr>
                <w:rFonts w:ascii="Arial"/>
                <w:sz w:val="21"/>
              </w:rPr>
            </w:pPr>
          </w:p>
          <w:p w14:paraId="06B273AD">
            <w:pPr>
              <w:spacing w:line="285" w:lineRule="auto"/>
              <w:rPr>
                <w:rFonts w:ascii="Arial"/>
                <w:sz w:val="21"/>
              </w:rPr>
            </w:pPr>
          </w:p>
          <w:p w14:paraId="6011D48D">
            <w:pPr>
              <w:spacing w:line="285" w:lineRule="auto"/>
              <w:rPr>
                <w:rFonts w:ascii="Arial"/>
                <w:sz w:val="21"/>
              </w:rPr>
            </w:pPr>
          </w:p>
          <w:p w14:paraId="2222FB4D">
            <w:pPr>
              <w:spacing w:line="285" w:lineRule="auto"/>
              <w:rPr>
                <w:rFonts w:ascii="Arial"/>
                <w:sz w:val="21"/>
              </w:rPr>
            </w:pPr>
          </w:p>
          <w:p w14:paraId="418611A1">
            <w:pPr>
              <w:spacing w:line="286" w:lineRule="auto"/>
              <w:rPr>
                <w:rFonts w:ascii="Arial"/>
                <w:sz w:val="21"/>
              </w:rPr>
            </w:pPr>
          </w:p>
          <w:p w14:paraId="6142B3E4">
            <w:pPr>
              <w:spacing w:before="69" w:line="313" w:lineRule="auto"/>
              <w:ind w:left="68" w:right="72" w:firstLine="3"/>
              <w:jc w:val="both"/>
              <w:rPr>
                <w:rFonts w:ascii="宋体" w:hAnsi="宋体" w:eastAsia="宋体" w:cs="宋体"/>
                <w:sz w:val="21"/>
                <w:szCs w:val="21"/>
              </w:rPr>
            </w:pPr>
            <w:r>
              <w:rPr>
                <w:rFonts w:ascii="宋体" w:hAnsi="宋体" w:eastAsia="宋体" w:cs="宋体"/>
                <w:spacing w:val="-6"/>
                <w:sz w:val="21"/>
                <w:szCs w:val="21"/>
              </w:rPr>
              <w:t>水资</w:t>
            </w:r>
            <w:r>
              <w:rPr>
                <w:rFonts w:ascii="宋体" w:hAnsi="宋体" w:eastAsia="宋体" w:cs="宋体"/>
                <w:spacing w:val="-4"/>
                <w:sz w:val="21"/>
                <w:szCs w:val="21"/>
              </w:rPr>
              <w:t>源利用总量要</w:t>
            </w:r>
            <w:r>
              <w:rPr>
                <w:rFonts w:ascii="宋体" w:hAnsi="宋体" w:eastAsia="宋体" w:cs="宋体"/>
                <w:spacing w:val="38"/>
                <w:w w:val="128"/>
                <w:sz w:val="21"/>
                <w:szCs w:val="21"/>
              </w:rPr>
              <w:t>求</w:t>
            </w:r>
          </w:p>
        </w:tc>
        <w:tc>
          <w:tcPr>
            <w:tcW w:w="3346" w:type="dxa"/>
            <w:vAlign w:val="top"/>
          </w:tcPr>
          <w:p w14:paraId="088476E8">
            <w:pPr>
              <w:pStyle w:val="6"/>
              <w:spacing w:before="75" w:line="293" w:lineRule="auto"/>
              <w:ind w:right="4" w:firstLine="12"/>
              <w:rPr>
                <w:rFonts w:ascii="宋体" w:hAnsi="宋体" w:eastAsia="宋体" w:cs="宋体"/>
              </w:rPr>
            </w:pPr>
            <w:r>
              <w:rPr>
                <w:rFonts w:ascii="宋体" w:hAnsi="宋体" w:eastAsia="宋体" w:cs="宋体"/>
                <w:spacing w:val="-1"/>
              </w:rPr>
              <w:t>（</w:t>
            </w:r>
            <w:r>
              <w:rPr>
                <w:spacing w:val="-1"/>
              </w:rPr>
              <w:t>1</w:t>
            </w:r>
            <w:r>
              <w:rPr>
                <w:rFonts w:ascii="宋体" w:hAnsi="宋体" w:eastAsia="宋体" w:cs="宋体"/>
                <w:spacing w:val="-1"/>
              </w:rPr>
              <w:t>）</w:t>
            </w:r>
            <w:r>
              <w:rPr>
                <w:spacing w:val="-1"/>
              </w:rPr>
              <w:t xml:space="preserve">2025  </w:t>
            </w:r>
            <w:r>
              <w:rPr>
                <w:rFonts w:ascii="宋体" w:hAnsi="宋体" w:eastAsia="宋体" w:cs="宋体"/>
                <w:spacing w:val="-1"/>
              </w:rPr>
              <w:t>年用水控制总量</w:t>
            </w:r>
            <w:r>
              <w:rPr>
                <w:rFonts w:ascii="宋体" w:hAnsi="宋体" w:eastAsia="宋体" w:cs="宋体"/>
                <w:spacing w:val="38"/>
              </w:rPr>
              <w:t xml:space="preserve"> </w:t>
            </w:r>
            <w:r>
              <w:rPr>
                <w:spacing w:val="-1"/>
              </w:rPr>
              <w:t xml:space="preserve">12.3  </w:t>
            </w:r>
            <w:r>
              <w:rPr>
                <w:rFonts w:ascii="宋体" w:hAnsi="宋体" w:eastAsia="宋体" w:cs="宋体"/>
                <w:spacing w:val="-1"/>
              </w:rPr>
              <w:t>亿</w:t>
            </w:r>
            <w:r>
              <w:rPr>
                <w:spacing w:val="-4"/>
              </w:rPr>
              <w:t>m</w:t>
            </w:r>
            <w:r>
              <w:rPr>
                <w:spacing w:val="-4"/>
                <w:position w:val="10"/>
                <w:sz w:val="14"/>
                <w:szCs w:val="14"/>
              </w:rPr>
              <w:t>3</w:t>
            </w:r>
            <w:r>
              <w:rPr>
                <w:rFonts w:ascii="宋体" w:hAnsi="宋体" w:eastAsia="宋体" w:cs="宋体"/>
                <w:spacing w:val="-4"/>
              </w:rPr>
              <w:t>，</w:t>
            </w:r>
            <w:r>
              <w:rPr>
                <w:spacing w:val="-4"/>
              </w:rPr>
              <w:t xml:space="preserve">2035 </w:t>
            </w:r>
            <w:r>
              <w:rPr>
                <w:rFonts w:ascii="宋体" w:hAnsi="宋体" w:eastAsia="宋体" w:cs="宋体"/>
                <w:spacing w:val="-4"/>
              </w:rPr>
              <w:t>年用水控制总量为</w:t>
            </w:r>
            <w:r>
              <w:rPr>
                <w:rFonts w:ascii="宋体" w:hAnsi="宋体" w:eastAsia="宋体" w:cs="宋体"/>
                <w:spacing w:val="-10"/>
              </w:rPr>
              <w:t xml:space="preserve"> </w:t>
            </w:r>
            <w:r>
              <w:rPr>
                <w:spacing w:val="-4"/>
              </w:rPr>
              <w:t xml:space="preserve">13.61 </w:t>
            </w:r>
            <w:r>
              <w:rPr>
                <w:rFonts w:ascii="宋体" w:hAnsi="宋体" w:eastAsia="宋体" w:cs="宋体"/>
                <w:spacing w:val="-4"/>
              </w:rPr>
              <w:t>亿</w:t>
            </w:r>
            <w:r>
              <w:rPr>
                <w:spacing w:val="-2"/>
                <w:position w:val="-4"/>
              </w:rPr>
              <w:t>m</w:t>
            </w:r>
            <w:r>
              <w:rPr>
                <w:spacing w:val="-2"/>
                <w:position w:val="5"/>
                <w:sz w:val="14"/>
                <w:szCs w:val="14"/>
              </w:rPr>
              <w:t>3</w:t>
            </w:r>
            <w:r>
              <w:rPr>
                <w:rFonts w:ascii="宋体" w:hAnsi="宋体" w:eastAsia="宋体" w:cs="宋体"/>
                <w:spacing w:val="-2"/>
                <w:position w:val="-5"/>
              </w:rPr>
              <w:t>。</w:t>
            </w:r>
          </w:p>
          <w:p w14:paraId="39C54F47">
            <w:pPr>
              <w:pStyle w:val="6"/>
              <w:spacing w:before="37" w:line="297" w:lineRule="auto"/>
              <w:ind w:left="4" w:right="5" w:firstLine="6"/>
              <w:rPr>
                <w:rFonts w:ascii="宋体" w:hAnsi="宋体" w:eastAsia="宋体" w:cs="宋体"/>
              </w:rPr>
            </w:pPr>
            <w:r>
              <w:rPr>
                <w:rFonts w:ascii="宋体" w:hAnsi="宋体" w:eastAsia="宋体" w:cs="宋体"/>
                <w:spacing w:val="-3"/>
              </w:rPr>
              <w:t>（</w:t>
            </w:r>
            <w:r>
              <w:rPr>
                <w:spacing w:val="-3"/>
              </w:rPr>
              <w:t>2</w:t>
            </w:r>
            <w:r>
              <w:rPr>
                <w:rFonts w:ascii="宋体" w:hAnsi="宋体" w:eastAsia="宋体" w:cs="宋体"/>
                <w:spacing w:val="-3"/>
              </w:rPr>
              <w:t>）内江市</w:t>
            </w:r>
            <w:r>
              <w:rPr>
                <w:rFonts w:ascii="宋体" w:hAnsi="宋体" w:eastAsia="宋体" w:cs="宋体"/>
                <w:spacing w:val="-32"/>
              </w:rPr>
              <w:t xml:space="preserve"> </w:t>
            </w:r>
            <w:r>
              <w:rPr>
                <w:spacing w:val="-3"/>
              </w:rPr>
              <w:t xml:space="preserve">2025 </w:t>
            </w:r>
            <w:r>
              <w:rPr>
                <w:rFonts w:ascii="宋体" w:hAnsi="宋体" w:eastAsia="宋体" w:cs="宋体"/>
                <w:spacing w:val="-3"/>
              </w:rPr>
              <w:t>年地下水开采控制</w:t>
            </w:r>
            <w:r>
              <w:rPr>
                <w:rFonts w:ascii="宋体" w:hAnsi="宋体" w:eastAsia="宋体" w:cs="宋体"/>
                <w:spacing w:val="-2"/>
              </w:rPr>
              <w:t>量为</w:t>
            </w:r>
            <w:r>
              <w:rPr>
                <w:rFonts w:ascii="宋体" w:hAnsi="宋体" w:eastAsia="宋体" w:cs="宋体"/>
                <w:spacing w:val="-38"/>
              </w:rPr>
              <w:t xml:space="preserve"> </w:t>
            </w:r>
            <w:r>
              <w:rPr>
                <w:spacing w:val="-2"/>
              </w:rPr>
              <w:t xml:space="preserve">0.25 </w:t>
            </w:r>
            <w:r>
              <w:rPr>
                <w:rFonts w:ascii="宋体" w:hAnsi="宋体" w:eastAsia="宋体" w:cs="宋体"/>
                <w:spacing w:val="-2"/>
              </w:rPr>
              <w:t>亿</w:t>
            </w:r>
            <w:r>
              <w:rPr>
                <w:rFonts w:ascii="宋体" w:hAnsi="宋体" w:eastAsia="宋体" w:cs="宋体"/>
                <w:spacing w:val="-50"/>
              </w:rPr>
              <w:t xml:space="preserve"> </w:t>
            </w:r>
            <w:r>
              <w:rPr>
                <w:spacing w:val="-2"/>
              </w:rPr>
              <w:t>m</w:t>
            </w:r>
            <w:r>
              <w:rPr>
                <w:spacing w:val="-2"/>
                <w:position w:val="10"/>
                <w:sz w:val="14"/>
                <w:szCs w:val="14"/>
              </w:rPr>
              <w:t>3</w:t>
            </w:r>
            <w:r>
              <w:rPr>
                <w:spacing w:val="-9"/>
                <w:position w:val="10"/>
                <w:sz w:val="14"/>
                <w:szCs w:val="14"/>
              </w:rPr>
              <w:t xml:space="preserve"> </w:t>
            </w:r>
            <w:r>
              <w:rPr>
                <w:rFonts w:ascii="宋体" w:hAnsi="宋体" w:eastAsia="宋体" w:cs="宋体"/>
                <w:spacing w:val="-2"/>
              </w:rPr>
              <w:t>，</w:t>
            </w:r>
            <w:r>
              <w:rPr>
                <w:spacing w:val="-2"/>
              </w:rPr>
              <w:t xml:space="preserve">2035 </w:t>
            </w:r>
            <w:r>
              <w:rPr>
                <w:rFonts w:ascii="宋体" w:hAnsi="宋体" w:eastAsia="宋体" w:cs="宋体"/>
                <w:spacing w:val="-2"/>
              </w:rPr>
              <w:t>年地下水开采</w:t>
            </w:r>
            <w:r>
              <w:rPr>
                <w:rFonts w:ascii="宋体" w:hAnsi="宋体" w:eastAsia="宋体" w:cs="宋体"/>
                <w:spacing w:val="-4"/>
              </w:rPr>
              <w:t>控制量为</w:t>
            </w:r>
            <w:r>
              <w:rPr>
                <w:rFonts w:ascii="宋体" w:hAnsi="宋体" w:eastAsia="宋体" w:cs="宋体"/>
                <w:spacing w:val="-32"/>
              </w:rPr>
              <w:t xml:space="preserve"> </w:t>
            </w:r>
            <w:r>
              <w:rPr>
                <w:spacing w:val="-4"/>
              </w:rPr>
              <w:t xml:space="preserve">0.18 </w:t>
            </w:r>
            <w:r>
              <w:rPr>
                <w:rFonts w:ascii="宋体" w:hAnsi="宋体" w:eastAsia="宋体" w:cs="宋体"/>
                <w:spacing w:val="-4"/>
              </w:rPr>
              <w:t>亿</w:t>
            </w:r>
            <w:r>
              <w:rPr>
                <w:rFonts w:ascii="宋体" w:hAnsi="宋体" w:eastAsia="宋体" w:cs="宋体"/>
                <w:spacing w:val="-50"/>
              </w:rPr>
              <w:t xml:space="preserve"> </w:t>
            </w:r>
            <w:r>
              <w:rPr>
                <w:spacing w:val="-4"/>
              </w:rPr>
              <w:t>m</w:t>
            </w:r>
            <w:r>
              <w:rPr>
                <w:spacing w:val="-4"/>
                <w:position w:val="10"/>
                <w:sz w:val="14"/>
                <w:szCs w:val="14"/>
              </w:rPr>
              <w:t xml:space="preserve">3  </w:t>
            </w:r>
            <w:r>
              <w:rPr>
                <w:rFonts w:ascii="宋体" w:hAnsi="宋体" w:eastAsia="宋体" w:cs="宋体"/>
                <w:spacing w:val="-4"/>
              </w:rPr>
              <w:t>以内。</w:t>
            </w:r>
          </w:p>
          <w:p w14:paraId="5AB5BA39">
            <w:pPr>
              <w:pStyle w:val="6"/>
              <w:spacing w:before="24" w:line="302" w:lineRule="auto"/>
              <w:ind w:left="4" w:firstLine="6"/>
              <w:rPr>
                <w:rFonts w:ascii="宋体" w:hAnsi="宋体" w:eastAsia="宋体" w:cs="宋体"/>
              </w:rPr>
            </w:pPr>
            <w:r>
              <w:rPr>
                <w:rFonts w:ascii="宋体" w:hAnsi="宋体" w:eastAsia="宋体" w:cs="宋体"/>
                <w:spacing w:val="-8"/>
              </w:rPr>
              <w:t>（</w:t>
            </w:r>
            <w:r>
              <w:rPr>
                <w:spacing w:val="-8"/>
              </w:rPr>
              <w:t>3</w:t>
            </w:r>
            <w:r>
              <w:rPr>
                <w:rFonts w:ascii="宋体" w:hAnsi="宋体" w:eastAsia="宋体" w:cs="宋体"/>
                <w:spacing w:val="-8"/>
              </w:rPr>
              <w:t>）加强农业灌溉管理，发展喷灌、</w:t>
            </w:r>
            <w:r>
              <w:rPr>
                <w:rFonts w:ascii="宋体" w:hAnsi="宋体" w:eastAsia="宋体" w:cs="宋体"/>
                <w:spacing w:val="-6"/>
              </w:rPr>
              <w:t>微灌、管道输水灌溉、水肥一体化等</w:t>
            </w:r>
            <w:r>
              <w:rPr>
                <w:rFonts w:ascii="宋体" w:hAnsi="宋体" w:eastAsia="宋体" w:cs="宋体"/>
                <w:spacing w:val="7"/>
              </w:rPr>
              <w:t>高效农业节水灌溉方式和农耕农艺</w:t>
            </w:r>
            <w:r>
              <w:rPr>
                <w:rFonts w:ascii="宋体" w:hAnsi="宋体" w:eastAsia="宋体" w:cs="宋体"/>
                <w:spacing w:val="-6"/>
              </w:rPr>
              <w:t>节水技术，提高输配水效率和调度水</w:t>
            </w:r>
            <w:r>
              <w:rPr>
                <w:rFonts w:ascii="宋体" w:hAnsi="宋体" w:eastAsia="宋体" w:cs="宋体"/>
                <w:spacing w:val="-12"/>
              </w:rPr>
              <w:t>平。发展节水渔业、牧业， 组织实施</w:t>
            </w:r>
            <w:r>
              <w:rPr>
                <w:rFonts w:ascii="宋体" w:hAnsi="宋体" w:eastAsia="宋体" w:cs="宋体"/>
                <w:spacing w:val="-6"/>
              </w:rPr>
              <w:t>规模养殖场节水建设和改造，推行节</w:t>
            </w:r>
            <w:r>
              <w:rPr>
                <w:rFonts w:ascii="宋体" w:hAnsi="宋体" w:eastAsia="宋体" w:cs="宋体"/>
                <w:spacing w:val="-7"/>
              </w:rPr>
              <w:t>水型畜禽养殖技术和方式。</w:t>
            </w:r>
          </w:p>
        </w:tc>
        <w:tc>
          <w:tcPr>
            <w:tcW w:w="1693" w:type="dxa"/>
            <w:vAlign w:val="top"/>
          </w:tcPr>
          <w:p w14:paraId="62868143">
            <w:pPr>
              <w:spacing w:before="265" w:line="312" w:lineRule="auto"/>
              <w:ind w:left="6" w:right="4" w:firstLine="1"/>
              <w:jc w:val="both"/>
              <w:rPr>
                <w:rFonts w:ascii="宋体" w:hAnsi="宋体" w:eastAsia="宋体" w:cs="宋体"/>
                <w:sz w:val="21"/>
                <w:szCs w:val="21"/>
              </w:rPr>
            </w:pPr>
            <w:r>
              <w:rPr>
                <w:rFonts w:ascii="宋体" w:hAnsi="宋体" w:eastAsia="宋体" w:cs="宋体"/>
                <w:spacing w:val="23"/>
                <w:sz w:val="21"/>
                <w:szCs w:val="21"/>
              </w:rPr>
              <w:t>本项目为</w:t>
            </w:r>
            <w:r>
              <w:rPr>
                <w:rFonts w:ascii="宋体" w:hAnsi="宋体" w:eastAsia="宋体" w:cs="宋体"/>
                <w:spacing w:val="-62"/>
                <w:sz w:val="21"/>
                <w:szCs w:val="21"/>
              </w:rPr>
              <w:t xml:space="preserve"> </w:t>
            </w:r>
            <w:r>
              <w:rPr>
                <w:rFonts w:ascii="宋体" w:hAnsi="宋体" w:eastAsia="宋体" w:cs="宋体"/>
                <w:spacing w:val="23"/>
                <w:sz w:val="21"/>
                <w:szCs w:val="21"/>
              </w:rPr>
              <w:t>养殖项</w:t>
            </w:r>
            <w:r>
              <w:rPr>
                <w:rFonts w:ascii="宋体" w:hAnsi="宋体" w:eastAsia="宋体" w:cs="宋体"/>
                <w:spacing w:val="-1"/>
                <w:sz w:val="21"/>
                <w:szCs w:val="21"/>
              </w:rPr>
              <w:t>目，用水来源于地下水，建设单位应向当地人民政府水行政主管部门申请取水许可手续；养殖过程中采用限位</w:t>
            </w:r>
            <w:r>
              <w:rPr>
                <w:rFonts w:ascii="宋体" w:hAnsi="宋体" w:eastAsia="宋体" w:cs="宋体"/>
                <w:spacing w:val="-2"/>
                <w:sz w:val="21"/>
                <w:szCs w:val="21"/>
              </w:rPr>
              <w:t>饮水器装置，可降</w:t>
            </w:r>
            <w:r>
              <w:rPr>
                <w:rFonts w:ascii="宋体" w:hAnsi="宋体" w:eastAsia="宋体" w:cs="宋体"/>
                <w:spacing w:val="-1"/>
                <w:sz w:val="21"/>
                <w:szCs w:val="21"/>
              </w:rPr>
              <w:t>低水资源消耗；消纳地采取喷灌或滴灌等方式，属于节</w:t>
            </w:r>
            <w:r>
              <w:rPr>
                <w:rFonts w:ascii="宋体" w:hAnsi="宋体" w:eastAsia="宋体" w:cs="宋体"/>
                <w:spacing w:val="-6"/>
                <w:sz w:val="21"/>
                <w:szCs w:val="21"/>
              </w:rPr>
              <w:t>水灌溉方式。</w:t>
            </w:r>
          </w:p>
        </w:tc>
        <w:tc>
          <w:tcPr>
            <w:tcW w:w="746" w:type="dxa"/>
            <w:vAlign w:val="top"/>
          </w:tcPr>
          <w:p w14:paraId="663E4B13">
            <w:pPr>
              <w:spacing w:line="266" w:lineRule="auto"/>
              <w:rPr>
                <w:rFonts w:ascii="Arial"/>
                <w:sz w:val="21"/>
              </w:rPr>
            </w:pPr>
          </w:p>
          <w:p w14:paraId="1F356C65">
            <w:pPr>
              <w:spacing w:line="266" w:lineRule="auto"/>
              <w:rPr>
                <w:rFonts w:ascii="Arial"/>
                <w:sz w:val="21"/>
              </w:rPr>
            </w:pPr>
          </w:p>
          <w:p w14:paraId="069F90EB">
            <w:pPr>
              <w:spacing w:line="266" w:lineRule="auto"/>
              <w:rPr>
                <w:rFonts w:ascii="Arial"/>
                <w:sz w:val="21"/>
              </w:rPr>
            </w:pPr>
          </w:p>
          <w:p w14:paraId="48419AD4">
            <w:pPr>
              <w:spacing w:line="266" w:lineRule="auto"/>
              <w:rPr>
                <w:rFonts w:ascii="Arial"/>
                <w:sz w:val="21"/>
              </w:rPr>
            </w:pPr>
          </w:p>
          <w:p w14:paraId="254879A7">
            <w:pPr>
              <w:spacing w:line="266" w:lineRule="auto"/>
              <w:rPr>
                <w:rFonts w:ascii="Arial"/>
                <w:sz w:val="21"/>
              </w:rPr>
            </w:pPr>
          </w:p>
          <w:p w14:paraId="212B0061">
            <w:pPr>
              <w:spacing w:line="267" w:lineRule="auto"/>
              <w:rPr>
                <w:rFonts w:ascii="Arial"/>
                <w:sz w:val="21"/>
              </w:rPr>
            </w:pPr>
          </w:p>
          <w:p w14:paraId="28D08C91">
            <w:pPr>
              <w:spacing w:line="267" w:lineRule="auto"/>
              <w:rPr>
                <w:rFonts w:ascii="Arial"/>
                <w:sz w:val="21"/>
              </w:rPr>
            </w:pPr>
          </w:p>
          <w:p w14:paraId="235D6647">
            <w:pPr>
              <w:spacing w:line="267" w:lineRule="auto"/>
              <w:rPr>
                <w:rFonts w:ascii="Arial"/>
                <w:sz w:val="21"/>
              </w:rPr>
            </w:pPr>
          </w:p>
          <w:p w14:paraId="62F93AA1">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5FA10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5" w:hRule="atLeast"/>
        </w:trPr>
        <w:tc>
          <w:tcPr>
            <w:tcW w:w="721" w:type="dxa"/>
            <w:vMerge w:val="continue"/>
            <w:tcBorders>
              <w:top w:val="nil"/>
            </w:tcBorders>
            <w:vAlign w:val="top"/>
          </w:tcPr>
          <w:p w14:paraId="19A85002">
            <w:pPr>
              <w:rPr>
                <w:rFonts w:ascii="Arial"/>
                <w:sz w:val="21"/>
              </w:rPr>
            </w:pPr>
          </w:p>
        </w:tc>
        <w:tc>
          <w:tcPr>
            <w:tcW w:w="561" w:type="dxa"/>
            <w:vMerge w:val="continue"/>
            <w:tcBorders>
              <w:top w:val="nil"/>
            </w:tcBorders>
            <w:vAlign w:val="top"/>
          </w:tcPr>
          <w:p w14:paraId="5C1AB253">
            <w:pPr>
              <w:rPr>
                <w:rFonts w:ascii="Arial"/>
                <w:sz w:val="21"/>
              </w:rPr>
            </w:pPr>
          </w:p>
        </w:tc>
        <w:tc>
          <w:tcPr>
            <w:tcW w:w="700" w:type="dxa"/>
            <w:vMerge w:val="continue"/>
            <w:tcBorders>
              <w:top w:val="nil"/>
            </w:tcBorders>
            <w:vAlign w:val="top"/>
          </w:tcPr>
          <w:p w14:paraId="7A70B6FF">
            <w:pPr>
              <w:rPr>
                <w:rFonts w:ascii="Arial"/>
                <w:sz w:val="21"/>
              </w:rPr>
            </w:pPr>
          </w:p>
        </w:tc>
        <w:tc>
          <w:tcPr>
            <w:tcW w:w="559" w:type="dxa"/>
            <w:vAlign w:val="top"/>
          </w:tcPr>
          <w:p w14:paraId="68102C18">
            <w:pPr>
              <w:spacing w:line="364" w:lineRule="auto"/>
              <w:rPr>
                <w:rFonts w:ascii="Arial"/>
                <w:sz w:val="21"/>
              </w:rPr>
            </w:pPr>
          </w:p>
          <w:p w14:paraId="464A4EE0">
            <w:pPr>
              <w:spacing w:before="68" w:line="221" w:lineRule="auto"/>
              <w:ind w:left="77"/>
              <w:rPr>
                <w:rFonts w:ascii="宋体" w:hAnsi="宋体" w:eastAsia="宋体" w:cs="宋体"/>
                <w:sz w:val="21"/>
                <w:szCs w:val="21"/>
              </w:rPr>
            </w:pPr>
            <w:r>
              <w:rPr>
                <w:rFonts w:ascii="宋体" w:hAnsi="宋体" w:eastAsia="宋体" w:cs="宋体"/>
                <w:spacing w:val="-5"/>
                <w:sz w:val="21"/>
                <w:szCs w:val="21"/>
              </w:rPr>
              <w:t>能源</w:t>
            </w:r>
          </w:p>
          <w:p w14:paraId="20EDFCE6">
            <w:pPr>
              <w:spacing w:before="102" w:line="221" w:lineRule="auto"/>
              <w:ind w:left="70"/>
              <w:rPr>
                <w:rFonts w:ascii="宋体" w:hAnsi="宋体" w:eastAsia="宋体" w:cs="宋体"/>
                <w:sz w:val="21"/>
                <w:szCs w:val="21"/>
              </w:rPr>
            </w:pPr>
            <w:r>
              <w:rPr>
                <w:rFonts w:ascii="宋体" w:hAnsi="宋体" w:eastAsia="宋体" w:cs="宋体"/>
                <w:spacing w:val="-3"/>
                <w:sz w:val="21"/>
                <w:szCs w:val="21"/>
              </w:rPr>
              <w:t>利用</w:t>
            </w:r>
          </w:p>
          <w:p w14:paraId="47558801">
            <w:pPr>
              <w:spacing w:before="104" w:line="225" w:lineRule="auto"/>
              <w:ind w:left="75"/>
              <w:rPr>
                <w:rFonts w:ascii="宋体" w:hAnsi="宋体" w:eastAsia="宋体" w:cs="宋体"/>
                <w:sz w:val="21"/>
                <w:szCs w:val="21"/>
              </w:rPr>
            </w:pPr>
            <w:r>
              <w:rPr>
                <w:rFonts w:ascii="宋体" w:hAnsi="宋体" w:eastAsia="宋体" w:cs="宋体"/>
                <w:spacing w:val="-4"/>
                <w:sz w:val="21"/>
                <w:szCs w:val="21"/>
              </w:rPr>
              <w:t>总量</w:t>
            </w:r>
          </w:p>
          <w:p w14:paraId="28ED8036">
            <w:pPr>
              <w:spacing w:before="99" w:line="220" w:lineRule="auto"/>
              <w:ind w:left="68"/>
              <w:rPr>
                <w:rFonts w:ascii="宋体" w:hAnsi="宋体" w:eastAsia="宋体" w:cs="宋体"/>
                <w:sz w:val="21"/>
                <w:szCs w:val="21"/>
              </w:rPr>
            </w:pPr>
            <w:r>
              <w:rPr>
                <w:rFonts w:ascii="宋体" w:hAnsi="宋体" w:eastAsia="宋体" w:cs="宋体"/>
                <w:spacing w:val="-2"/>
                <w:sz w:val="21"/>
                <w:szCs w:val="21"/>
              </w:rPr>
              <w:t>及效</w:t>
            </w:r>
          </w:p>
          <w:p w14:paraId="1C51734C">
            <w:pPr>
              <w:spacing w:before="104" w:line="314" w:lineRule="auto"/>
              <w:ind w:left="175" w:right="72" w:hanging="104"/>
              <w:rPr>
                <w:rFonts w:ascii="宋体" w:hAnsi="宋体" w:eastAsia="宋体" w:cs="宋体"/>
                <w:sz w:val="21"/>
                <w:szCs w:val="21"/>
              </w:rPr>
            </w:pPr>
            <w:r>
              <w:rPr>
                <w:rFonts w:ascii="宋体" w:hAnsi="宋体" w:eastAsia="宋体" w:cs="宋体"/>
                <w:spacing w:val="-5"/>
                <w:sz w:val="21"/>
                <w:szCs w:val="21"/>
              </w:rPr>
              <w:t>率要</w:t>
            </w:r>
            <w:r>
              <w:rPr>
                <w:rFonts w:ascii="宋体" w:hAnsi="宋体" w:eastAsia="宋体" w:cs="宋体"/>
                <w:sz w:val="21"/>
                <w:szCs w:val="21"/>
              </w:rPr>
              <w:t>求</w:t>
            </w:r>
          </w:p>
        </w:tc>
        <w:tc>
          <w:tcPr>
            <w:tcW w:w="3346" w:type="dxa"/>
            <w:vAlign w:val="top"/>
          </w:tcPr>
          <w:p w14:paraId="69D19B28">
            <w:pPr>
              <w:pStyle w:val="6"/>
              <w:spacing w:before="74" w:line="315" w:lineRule="auto"/>
              <w:ind w:left="4" w:right="5" w:firstLine="5"/>
              <w:rPr>
                <w:rFonts w:ascii="宋体" w:hAnsi="宋体" w:eastAsia="宋体" w:cs="宋体"/>
              </w:rPr>
            </w:pPr>
            <w:r>
              <w:rPr>
                <w:rFonts w:ascii="宋体" w:hAnsi="宋体" w:eastAsia="宋体" w:cs="宋体"/>
                <w:spacing w:val="-4"/>
              </w:rPr>
              <w:t>（</w:t>
            </w:r>
            <w:r>
              <w:rPr>
                <w:spacing w:val="-4"/>
              </w:rPr>
              <w:t>1</w:t>
            </w:r>
            <w:r>
              <w:rPr>
                <w:rFonts w:ascii="宋体" w:hAnsi="宋体" w:eastAsia="宋体" w:cs="宋体"/>
                <w:spacing w:val="-4"/>
              </w:rPr>
              <w:t>）全面淘汰每小时</w:t>
            </w:r>
            <w:r>
              <w:rPr>
                <w:rFonts w:ascii="宋体" w:hAnsi="宋体" w:eastAsia="宋体" w:cs="宋体"/>
                <w:spacing w:val="-19"/>
              </w:rPr>
              <w:t xml:space="preserve"> </w:t>
            </w:r>
            <w:r>
              <w:rPr>
                <w:spacing w:val="-4"/>
              </w:rPr>
              <w:t xml:space="preserve">10 </w:t>
            </w:r>
            <w:r>
              <w:rPr>
                <w:rFonts w:ascii="宋体" w:hAnsi="宋体" w:eastAsia="宋体" w:cs="宋体"/>
                <w:spacing w:val="-4"/>
              </w:rPr>
              <w:t>蒸吨以下的</w:t>
            </w:r>
            <w:r>
              <w:rPr>
                <w:rFonts w:ascii="宋体" w:hAnsi="宋体" w:eastAsia="宋体" w:cs="宋体"/>
                <w:spacing w:val="-2"/>
              </w:rPr>
              <w:t>燃煤锅炉；在供气管网覆盖不到的其</w:t>
            </w:r>
            <w:r>
              <w:rPr>
                <w:rFonts w:ascii="宋体" w:hAnsi="宋体" w:eastAsia="宋体" w:cs="宋体"/>
                <w:spacing w:val="-3"/>
              </w:rPr>
              <w:t>他地区，改用电、新能源或洁净煤。</w:t>
            </w:r>
          </w:p>
          <w:p w14:paraId="30DEDEB6">
            <w:pPr>
              <w:pStyle w:val="6"/>
              <w:spacing w:line="298" w:lineRule="auto"/>
              <w:ind w:left="5" w:right="5" w:firstLine="4"/>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）提高天然气等清洁能源消费比</w:t>
            </w:r>
            <w:r>
              <w:rPr>
                <w:rFonts w:ascii="宋体" w:hAnsi="宋体" w:eastAsia="宋体" w:cs="宋体"/>
                <w:spacing w:val="-2"/>
              </w:rPr>
              <w:t>重，有效控制全市煤炭消费总量。建</w:t>
            </w:r>
            <w:r>
              <w:rPr>
                <w:rFonts w:ascii="宋体" w:hAnsi="宋体" w:eastAsia="宋体" w:cs="宋体"/>
                <w:spacing w:val="-6"/>
              </w:rPr>
              <w:t>议</w:t>
            </w:r>
            <w:r>
              <w:rPr>
                <w:rFonts w:ascii="宋体" w:hAnsi="宋体" w:eastAsia="宋体" w:cs="宋体"/>
                <w:spacing w:val="-35"/>
              </w:rPr>
              <w:t xml:space="preserve"> </w:t>
            </w:r>
            <w:r>
              <w:rPr>
                <w:spacing w:val="-6"/>
              </w:rPr>
              <w:t xml:space="preserve">2025 </w:t>
            </w:r>
            <w:r>
              <w:rPr>
                <w:rFonts w:ascii="宋体" w:hAnsi="宋体" w:eastAsia="宋体" w:cs="宋体"/>
                <w:spacing w:val="-6"/>
              </w:rPr>
              <w:t>年控制在</w:t>
            </w:r>
            <w:r>
              <w:rPr>
                <w:rFonts w:ascii="宋体" w:hAnsi="宋体" w:eastAsia="宋体" w:cs="宋体"/>
                <w:spacing w:val="-44"/>
              </w:rPr>
              <w:t xml:space="preserve"> </w:t>
            </w:r>
            <w:r>
              <w:rPr>
                <w:spacing w:val="-6"/>
              </w:rPr>
              <w:t>795.9</w:t>
            </w:r>
            <w:r>
              <w:rPr>
                <w:spacing w:val="14"/>
                <w:w w:val="101"/>
              </w:rPr>
              <w:t xml:space="preserve"> </w:t>
            </w:r>
            <w:r>
              <w:rPr>
                <w:rFonts w:ascii="宋体" w:hAnsi="宋体" w:eastAsia="宋体" w:cs="宋体"/>
                <w:spacing w:val="-6"/>
              </w:rPr>
              <w:t>万吨以下，煤</w:t>
            </w:r>
            <w:r>
              <w:rPr>
                <w:rFonts w:ascii="宋体" w:hAnsi="宋体" w:eastAsia="宋体" w:cs="宋体"/>
                <w:spacing w:val="11"/>
              </w:rPr>
              <w:t>炭消费占能源总消费比重达到四川</w:t>
            </w:r>
            <w:r>
              <w:rPr>
                <w:rFonts w:ascii="宋体" w:hAnsi="宋体" w:eastAsia="宋体" w:cs="宋体"/>
                <w:spacing w:val="-5"/>
              </w:rPr>
              <w:t>省的平均水平。</w:t>
            </w:r>
          </w:p>
        </w:tc>
        <w:tc>
          <w:tcPr>
            <w:tcW w:w="1693" w:type="dxa"/>
            <w:vAlign w:val="top"/>
          </w:tcPr>
          <w:p w14:paraId="3E846A9E">
            <w:pPr>
              <w:spacing w:line="267" w:lineRule="auto"/>
              <w:rPr>
                <w:rFonts w:ascii="Arial"/>
                <w:sz w:val="21"/>
              </w:rPr>
            </w:pPr>
          </w:p>
          <w:p w14:paraId="35E1D03C">
            <w:pPr>
              <w:spacing w:line="267" w:lineRule="auto"/>
              <w:rPr>
                <w:rFonts w:ascii="Arial"/>
                <w:sz w:val="21"/>
              </w:rPr>
            </w:pPr>
          </w:p>
          <w:p w14:paraId="06B93FCF">
            <w:pPr>
              <w:spacing w:line="267" w:lineRule="auto"/>
              <w:rPr>
                <w:rFonts w:ascii="Arial"/>
                <w:sz w:val="21"/>
              </w:rPr>
            </w:pPr>
          </w:p>
          <w:p w14:paraId="38EBB861">
            <w:pPr>
              <w:spacing w:line="267" w:lineRule="auto"/>
              <w:rPr>
                <w:rFonts w:ascii="Arial"/>
                <w:sz w:val="21"/>
              </w:rPr>
            </w:pPr>
          </w:p>
          <w:p w14:paraId="2FD4C418">
            <w:pPr>
              <w:spacing w:before="68" w:line="315" w:lineRule="auto"/>
              <w:ind w:left="8" w:right="4" w:hanging="1"/>
              <w:rPr>
                <w:rFonts w:ascii="宋体" w:hAnsi="宋体" w:eastAsia="宋体" w:cs="宋体"/>
                <w:sz w:val="21"/>
                <w:szCs w:val="21"/>
              </w:rPr>
            </w:pPr>
            <w:r>
              <w:rPr>
                <w:rFonts w:ascii="宋体" w:hAnsi="宋体" w:eastAsia="宋体" w:cs="宋体"/>
                <w:spacing w:val="23"/>
                <w:sz w:val="21"/>
                <w:szCs w:val="21"/>
              </w:rPr>
              <w:t>本项目不</w:t>
            </w:r>
            <w:r>
              <w:rPr>
                <w:rFonts w:ascii="宋体" w:hAnsi="宋体" w:eastAsia="宋体" w:cs="宋体"/>
                <w:spacing w:val="-62"/>
                <w:sz w:val="21"/>
                <w:szCs w:val="21"/>
              </w:rPr>
              <w:t xml:space="preserve"> </w:t>
            </w:r>
            <w:r>
              <w:rPr>
                <w:rFonts w:ascii="宋体" w:hAnsi="宋体" w:eastAsia="宋体" w:cs="宋体"/>
                <w:spacing w:val="23"/>
                <w:sz w:val="21"/>
                <w:szCs w:val="21"/>
              </w:rPr>
              <w:t>使用锅</w:t>
            </w:r>
            <w:r>
              <w:rPr>
                <w:rFonts w:ascii="宋体" w:hAnsi="宋体" w:eastAsia="宋体" w:cs="宋体"/>
                <w:spacing w:val="-7"/>
                <w:sz w:val="21"/>
                <w:szCs w:val="21"/>
              </w:rPr>
              <w:t>炉、煤炭。</w:t>
            </w:r>
          </w:p>
        </w:tc>
        <w:tc>
          <w:tcPr>
            <w:tcW w:w="746" w:type="dxa"/>
            <w:vAlign w:val="top"/>
          </w:tcPr>
          <w:p w14:paraId="275D3DC2">
            <w:pPr>
              <w:spacing w:line="248" w:lineRule="auto"/>
              <w:rPr>
                <w:rFonts w:ascii="Arial"/>
                <w:sz w:val="21"/>
              </w:rPr>
            </w:pPr>
          </w:p>
          <w:p w14:paraId="54233933">
            <w:pPr>
              <w:spacing w:line="249" w:lineRule="auto"/>
              <w:rPr>
                <w:rFonts w:ascii="Arial"/>
                <w:sz w:val="21"/>
              </w:rPr>
            </w:pPr>
          </w:p>
          <w:p w14:paraId="3CB0F7E3">
            <w:pPr>
              <w:spacing w:line="249" w:lineRule="auto"/>
              <w:rPr>
                <w:rFonts w:ascii="Arial"/>
                <w:sz w:val="21"/>
              </w:rPr>
            </w:pPr>
          </w:p>
          <w:p w14:paraId="2B994DB0">
            <w:pPr>
              <w:spacing w:line="249" w:lineRule="auto"/>
              <w:rPr>
                <w:rFonts w:ascii="Arial"/>
                <w:sz w:val="21"/>
              </w:rPr>
            </w:pPr>
          </w:p>
          <w:p w14:paraId="3FC40D31">
            <w:pPr>
              <w:spacing w:line="249" w:lineRule="auto"/>
              <w:rPr>
                <w:rFonts w:ascii="Arial"/>
                <w:sz w:val="21"/>
              </w:rPr>
            </w:pPr>
          </w:p>
          <w:p w14:paraId="0C2D3D2D">
            <w:pPr>
              <w:spacing w:before="69"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0962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2" w:hRule="atLeast"/>
        </w:trPr>
        <w:tc>
          <w:tcPr>
            <w:tcW w:w="721" w:type="dxa"/>
            <w:vMerge w:val="restart"/>
            <w:tcBorders>
              <w:bottom w:val="nil"/>
            </w:tcBorders>
            <w:vAlign w:val="top"/>
          </w:tcPr>
          <w:p w14:paraId="7C55E8DF">
            <w:pPr>
              <w:spacing w:line="244" w:lineRule="auto"/>
              <w:rPr>
                <w:rFonts w:ascii="Arial"/>
                <w:sz w:val="21"/>
              </w:rPr>
            </w:pPr>
          </w:p>
          <w:p w14:paraId="5C48F9B2">
            <w:pPr>
              <w:spacing w:line="244" w:lineRule="auto"/>
              <w:rPr>
                <w:rFonts w:ascii="Arial"/>
                <w:sz w:val="21"/>
              </w:rPr>
            </w:pPr>
          </w:p>
          <w:p w14:paraId="3FAD1E2D">
            <w:pPr>
              <w:spacing w:line="245" w:lineRule="auto"/>
              <w:rPr>
                <w:rFonts w:ascii="Arial"/>
                <w:sz w:val="21"/>
              </w:rPr>
            </w:pPr>
          </w:p>
          <w:p w14:paraId="317B8599">
            <w:pPr>
              <w:spacing w:before="68" w:line="220" w:lineRule="auto"/>
              <w:ind w:left="53"/>
              <w:rPr>
                <w:rFonts w:ascii="宋体" w:hAnsi="宋体" w:eastAsia="宋体" w:cs="宋体"/>
                <w:sz w:val="21"/>
                <w:szCs w:val="21"/>
              </w:rPr>
            </w:pPr>
            <w:r>
              <w:rPr>
                <w:rFonts w:ascii="宋体" w:hAnsi="宋体" w:eastAsia="宋体" w:cs="宋体"/>
                <w:spacing w:val="-3"/>
                <w:sz w:val="21"/>
                <w:szCs w:val="21"/>
              </w:rPr>
              <w:t>大清流</w:t>
            </w:r>
          </w:p>
          <w:p w14:paraId="4961CA2A">
            <w:pPr>
              <w:spacing w:before="103" w:line="221" w:lineRule="auto"/>
              <w:ind w:left="103"/>
              <w:rPr>
                <w:rFonts w:ascii="宋体" w:hAnsi="宋体" w:eastAsia="宋体" w:cs="宋体"/>
                <w:sz w:val="21"/>
                <w:szCs w:val="21"/>
              </w:rPr>
            </w:pPr>
            <w:r>
              <w:rPr>
                <w:rFonts w:ascii="宋体" w:hAnsi="宋体" w:eastAsia="宋体" w:cs="宋体"/>
                <w:spacing w:val="-3"/>
                <w:sz w:val="21"/>
                <w:szCs w:val="21"/>
              </w:rPr>
              <w:t>河-李</w:t>
            </w:r>
          </w:p>
          <w:p w14:paraId="5534257E">
            <w:pPr>
              <w:spacing w:before="103" w:line="220" w:lineRule="auto"/>
              <w:ind w:left="52"/>
              <w:rPr>
                <w:rFonts w:ascii="宋体" w:hAnsi="宋体" w:eastAsia="宋体" w:cs="宋体"/>
                <w:sz w:val="21"/>
                <w:szCs w:val="21"/>
              </w:rPr>
            </w:pPr>
            <w:r>
              <w:rPr>
                <w:rFonts w:ascii="宋体" w:hAnsi="宋体" w:eastAsia="宋体" w:cs="宋体"/>
                <w:spacing w:val="-3"/>
                <w:sz w:val="21"/>
                <w:szCs w:val="21"/>
              </w:rPr>
              <w:t>家碥断</w:t>
            </w:r>
          </w:p>
          <w:p w14:paraId="24EA0BC9">
            <w:pPr>
              <w:spacing w:before="104" w:line="220" w:lineRule="auto"/>
              <w:ind w:left="52"/>
              <w:rPr>
                <w:rFonts w:ascii="宋体" w:hAnsi="宋体" w:eastAsia="宋体" w:cs="宋体"/>
                <w:sz w:val="21"/>
                <w:szCs w:val="21"/>
              </w:rPr>
            </w:pPr>
            <w:r>
              <w:rPr>
                <w:rFonts w:ascii="宋体" w:hAnsi="宋体" w:eastAsia="宋体" w:cs="宋体"/>
                <w:spacing w:val="-3"/>
                <w:sz w:val="21"/>
                <w:szCs w:val="21"/>
              </w:rPr>
              <w:t>面汇水</w:t>
            </w:r>
          </w:p>
          <w:p w14:paraId="0706E24D">
            <w:pPr>
              <w:spacing w:before="106" w:line="220" w:lineRule="auto"/>
              <w:ind w:left="50"/>
              <w:rPr>
                <w:rFonts w:ascii="宋体" w:hAnsi="宋体" w:eastAsia="宋体" w:cs="宋体"/>
                <w:sz w:val="21"/>
                <w:szCs w:val="21"/>
              </w:rPr>
            </w:pPr>
            <w:r>
              <w:rPr>
                <w:rFonts w:ascii="宋体" w:hAnsi="宋体" w:eastAsia="宋体" w:cs="宋体"/>
                <w:spacing w:val="-2"/>
                <w:sz w:val="21"/>
                <w:szCs w:val="21"/>
              </w:rPr>
              <w:t>控制区</w:t>
            </w:r>
          </w:p>
          <w:p w14:paraId="633D3861">
            <w:pPr>
              <w:spacing w:before="103" w:line="220" w:lineRule="auto"/>
              <w:ind w:left="102"/>
              <w:rPr>
                <w:rFonts w:ascii="宋体" w:hAnsi="宋体" w:eastAsia="宋体" w:cs="宋体"/>
                <w:sz w:val="21"/>
                <w:szCs w:val="21"/>
              </w:rPr>
            </w:pPr>
            <w:r>
              <w:rPr>
                <w:rFonts w:ascii="宋体" w:hAnsi="宋体" w:eastAsia="宋体" w:cs="宋体"/>
                <w:spacing w:val="-2"/>
                <w:sz w:val="21"/>
                <w:szCs w:val="21"/>
              </w:rPr>
              <w:t>-东兴</w:t>
            </w:r>
          </w:p>
          <w:p w14:paraId="787B0F2E">
            <w:pPr>
              <w:spacing w:before="106" w:line="220" w:lineRule="auto"/>
              <w:ind w:left="119"/>
              <w:rPr>
                <w:rFonts w:ascii="宋体" w:hAnsi="宋体" w:eastAsia="宋体" w:cs="宋体"/>
                <w:sz w:val="21"/>
                <w:szCs w:val="21"/>
              </w:rPr>
            </w:pPr>
            <w:r>
              <w:rPr>
                <w:rFonts w:ascii="宋体" w:hAnsi="宋体" w:eastAsia="宋体" w:cs="宋体"/>
                <w:spacing w:val="-8"/>
                <w:sz w:val="21"/>
                <w:szCs w:val="21"/>
              </w:rPr>
              <w:t>区-控</w:t>
            </w:r>
          </w:p>
          <w:p w14:paraId="2C6AA504">
            <w:pPr>
              <w:spacing w:before="105" w:line="220" w:lineRule="auto"/>
              <w:ind w:left="52"/>
              <w:rPr>
                <w:rFonts w:ascii="宋体" w:hAnsi="宋体" w:eastAsia="宋体" w:cs="宋体"/>
                <w:sz w:val="21"/>
                <w:szCs w:val="21"/>
              </w:rPr>
            </w:pPr>
            <w:r>
              <w:rPr>
                <w:rFonts w:ascii="宋体" w:hAnsi="宋体" w:eastAsia="宋体" w:cs="宋体"/>
                <w:spacing w:val="-3"/>
                <w:sz w:val="21"/>
                <w:szCs w:val="21"/>
              </w:rPr>
              <w:t>制单元</w:t>
            </w:r>
          </w:p>
          <w:p w14:paraId="4D3DB786">
            <w:pPr>
              <w:pStyle w:val="6"/>
              <w:spacing w:before="141" w:line="188" w:lineRule="auto"/>
              <w:ind w:left="19"/>
            </w:pPr>
            <w:r>
              <w:rPr>
                <w:spacing w:val="-1"/>
              </w:rPr>
              <w:t>YS5110</w:t>
            </w:r>
          </w:p>
          <w:p w14:paraId="3A96EFF8">
            <w:pPr>
              <w:pStyle w:val="6"/>
              <w:spacing w:before="165" w:line="188" w:lineRule="auto"/>
              <w:ind w:left="72"/>
            </w:pPr>
            <w:r>
              <w:rPr>
                <w:spacing w:val="-6"/>
              </w:rPr>
              <w:t>113210</w:t>
            </w:r>
          </w:p>
          <w:p w14:paraId="4EBD8B5D">
            <w:pPr>
              <w:pStyle w:val="6"/>
              <w:spacing w:before="166" w:line="188" w:lineRule="auto"/>
              <w:ind w:left="208"/>
            </w:pPr>
            <w:r>
              <w:rPr>
                <w:spacing w:val="-3"/>
              </w:rPr>
              <w:t>001</w:t>
            </w:r>
          </w:p>
        </w:tc>
        <w:tc>
          <w:tcPr>
            <w:tcW w:w="561" w:type="dxa"/>
            <w:vMerge w:val="restart"/>
            <w:tcBorders>
              <w:bottom w:val="nil"/>
            </w:tcBorders>
            <w:vAlign w:val="top"/>
          </w:tcPr>
          <w:p w14:paraId="66E938D8">
            <w:pPr>
              <w:spacing w:line="255" w:lineRule="auto"/>
              <w:rPr>
                <w:rFonts w:ascii="Arial"/>
                <w:sz w:val="21"/>
              </w:rPr>
            </w:pPr>
          </w:p>
          <w:p w14:paraId="71072845">
            <w:pPr>
              <w:spacing w:line="256" w:lineRule="auto"/>
              <w:rPr>
                <w:rFonts w:ascii="Arial"/>
                <w:sz w:val="21"/>
              </w:rPr>
            </w:pPr>
          </w:p>
          <w:p w14:paraId="2D7E98CB">
            <w:pPr>
              <w:spacing w:line="256" w:lineRule="auto"/>
              <w:rPr>
                <w:rFonts w:ascii="Arial"/>
                <w:sz w:val="21"/>
              </w:rPr>
            </w:pPr>
          </w:p>
          <w:p w14:paraId="4F77E00B">
            <w:pPr>
              <w:spacing w:line="256" w:lineRule="auto"/>
              <w:rPr>
                <w:rFonts w:ascii="Arial"/>
                <w:sz w:val="21"/>
              </w:rPr>
            </w:pPr>
          </w:p>
          <w:p w14:paraId="5ABB1EEB">
            <w:pPr>
              <w:spacing w:line="256" w:lineRule="auto"/>
              <w:rPr>
                <w:rFonts w:ascii="Arial"/>
                <w:sz w:val="21"/>
              </w:rPr>
            </w:pPr>
          </w:p>
          <w:p w14:paraId="2352D6BA">
            <w:pPr>
              <w:spacing w:line="256" w:lineRule="auto"/>
              <w:rPr>
                <w:rFonts w:ascii="Arial"/>
                <w:sz w:val="21"/>
              </w:rPr>
            </w:pPr>
          </w:p>
          <w:p w14:paraId="7A978AB5">
            <w:pPr>
              <w:spacing w:line="256" w:lineRule="auto"/>
              <w:rPr>
                <w:rFonts w:ascii="Arial"/>
                <w:sz w:val="21"/>
              </w:rPr>
            </w:pPr>
          </w:p>
          <w:p w14:paraId="2552ED16">
            <w:pPr>
              <w:spacing w:before="69" w:line="313" w:lineRule="auto"/>
              <w:ind w:left="67" w:right="75" w:firstLine="2"/>
              <w:jc w:val="both"/>
              <w:rPr>
                <w:rFonts w:ascii="宋体" w:hAnsi="宋体" w:eastAsia="宋体" w:cs="宋体"/>
                <w:sz w:val="21"/>
                <w:szCs w:val="21"/>
              </w:rPr>
            </w:pPr>
            <w:r>
              <w:rPr>
                <w:rFonts w:ascii="宋体" w:hAnsi="宋体" w:eastAsia="宋体" w:cs="宋体"/>
                <w:spacing w:val="-5"/>
                <w:sz w:val="21"/>
                <w:szCs w:val="21"/>
              </w:rPr>
              <w:t>单元</w:t>
            </w:r>
            <w:r>
              <w:rPr>
                <w:rFonts w:ascii="宋体" w:hAnsi="宋体" w:eastAsia="宋体" w:cs="宋体"/>
                <w:spacing w:val="-4"/>
                <w:sz w:val="21"/>
                <w:szCs w:val="21"/>
              </w:rPr>
              <w:t>级清单管控要</w:t>
            </w:r>
            <w:r>
              <w:rPr>
                <w:rFonts w:ascii="宋体" w:hAnsi="宋体" w:eastAsia="宋体" w:cs="宋体"/>
                <w:spacing w:val="39"/>
                <w:w w:val="128"/>
                <w:sz w:val="21"/>
                <w:szCs w:val="21"/>
              </w:rPr>
              <w:t>求</w:t>
            </w:r>
          </w:p>
        </w:tc>
        <w:tc>
          <w:tcPr>
            <w:tcW w:w="700" w:type="dxa"/>
            <w:vAlign w:val="top"/>
          </w:tcPr>
          <w:p w14:paraId="6CE8D3F7">
            <w:pPr>
              <w:spacing w:line="454" w:lineRule="auto"/>
              <w:rPr>
                <w:rFonts w:ascii="Arial"/>
                <w:sz w:val="21"/>
              </w:rPr>
            </w:pPr>
          </w:p>
          <w:p w14:paraId="7DAB5A2F">
            <w:pPr>
              <w:spacing w:before="69" w:line="314" w:lineRule="auto"/>
              <w:ind w:left="35" w:right="40" w:firstLine="3"/>
              <w:rPr>
                <w:rFonts w:ascii="宋体" w:hAnsi="宋体" w:eastAsia="宋体" w:cs="宋体"/>
                <w:sz w:val="21"/>
                <w:szCs w:val="21"/>
              </w:rPr>
            </w:pPr>
            <w:r>
              <w:rPr>
                <w:rFonts w:ascii="宋体" w:hAnsi="宋体" w:eastAsia="宋体" w:cs="宋体"/>
                <w:spacing w:val="-5"/>
                <w:sz w:val="21"/>
                <w:szCs w:val="21"/>
              </w:rPr>
              <w:t>空间布</w:t>
            </w:r>
            <w:r>
              <w:rPr>
                <w:rFonts w:ascii="宋体" w:hAnsi="宋体" w:eastAsia="宋体" w:cs="宋体"/>
                <w:spacing w:val="-4"/>
                <w:sz w:val="21"/>
                <w:szCs w:val="21"/>
              </w:rPr>
              <w:t>局约束</w:t>
            </w:r>
          </w:p>
        </w:tc>
        <w:tc>
          <w:tcPr>
            <w:tcW w:w="3905" w:type="dxa"/>
            <w:gridSpan w:val="2"/>
            <w:vAlign w:val="top"/>
          </w:tcPr>
          <w:p w14:paraId="54267670">
            <w:pPr>
              <w:spacing w:before="56" w:line="220" w:lineRule="auto"/>
              <w:ind w:left="4"/>
              <w:rPr>
                <w:rFonts w:ascii="宋体" w:hAnsi="宋体" w:eastAsia="宋体" w:cs="宋体"/>
                <w:sz w:val="21"/>
                <w:szCs w:val="21"/>
              </w:rPr>
            </w:pPr>
            <w:r>
              <w:rPr>
                <w:rFonts w:ascii="宋体" w:hAnsi="宋体" w:eastAsia="宋体" w:cs="宋体"/>
                <w:spacing w:val="-1"/>
                <w:sz w:val="21"/>
                <w:szCs w:val="21"/>
              </w:rPr>
              <w:t>禁止开发建设活动的要求：暂无</w:t>
            </w:r>
          </w:p>
          <w:p w14:paraId="10BF18A8">
            <w:pPr>
              <w:spacing w:before="62" w:line="220" w:lineRule="auto"/>
              <w:ind w:left="19"/>
              <w:rPr>
                <w:rFonts w:ascii="宋体" w:hAnsi="宋体" w:eastAsia="宋体" w:cs="宋体"/>
                <w:sz w:val="21"/>
                <w:szCs w:val="21"/>
              </w:rPr>
            </w:pPr>
            <w:r>
              <w:rPr>
                <w:rFonts w:ascii="宋体" w:hAnsi="宋体" w:eastAsia="宋体" w:cs="宋体"/>
                <w:spacing w:val="-2"/>
                <w:sz w:val="21"/>
                <w:szCs w:val="21"/>
              </w:rPr>
              <w:t>限制开发建设活动的要求：暂无</w:t>
            </w:r>
          </w:p>
          <w:p w14:paraId="3E60B55C">
            <w:pPr>
              <w:spacing w:before="60" w:line="220" w:lineRule="auto"/>
              <w:ind w:left="12"/>
              <w:rPr>
                <w:rFonts w:ascii="宋体" w:hAnsi="宋体" w:eastAsia="宋体" w:cs="宋体"/>
                <w:sz w:val="21"/>
                <w:szCs w:val="21"/>
              </w:rPr>
            </w:pPr>
            <w:r>
              <w:rPr>
                <w:rFonts w:ascii="宋体" w:hAnsi="宋体" w:eastAsia="宋体" w:cs="宋体"/>
                <w:spacing w:val="-2"/>
                <w:sz w:val="21"/>
                <w:szCs w:val="21"/>
              </w:rPr>
              <w:t>允许开发建设活动的要求：暂无</w:t>
            </w:r>
          </w:p>
          <w:p w14:paraId="0C6CE1ED">
            <w:pPr>
              <w:spacing w:before="62" w:line="219" w:lineRule="auto"/>
              <w:jc w:val="right"/>
              <w:rPr>
                <w:rFonts w:ascii="宋体" w:hAnsi="宋体" w:eastAsia="宋体" w:cs="宋体"/>
                <w:sz w:val="21"/>
                <w:szCs w:val="21"/>
              </w:rPr>
            </w:pPr>
            <w:r>
              <w:rPr>
                <w:rFonts w:ascii="宋体" w:hAnsi="宋体" w:eastAsia="宋体" w:cs="宋体"/>
                <w:spacing w:val="-6"/>
                <w:sz w:val="21"/>
                <w:szCs w:val="21"/>
              </w:rPr>
              <w:t>不符合空间布局要求活动的退出要求：暂无</w:t>
            </w:r>
          </w:p>
          <w:p w14:paraId="31C5CFA2">
            <w:pPr>
              <w:spacing w:before="84" w:line="219" w:lineRule="auto"/>
              <w:ind w:left="5"/>
              <w:rPr>
                <w:rFonts w:ascii="宋体" w:hAnsi="宋体" w:eastAsia="宋体" w:cs="宋体"/>
                <w:sz w:val="21"/>
                <w:szCs w:val="21"/>
              </w:rPr>
            </w:pPr>
            <w:r>
              <w:rPr>
                <w:rFonts w:ascii="宋体" w:hAnsi="宋体" w:eastAsia="宋体" w:cs="宋体"/>
                <w:spacing w:val="-1"/>
                <w:sz w:val="21"/>
                <w:szCs w:val="21"/>
              </w:rPr>
              <w:t>其他空间布局约束要求：暂无</w:t>
            </w:r>
          </w:p>
        </w:tc>
        <w:tc>
          <w:tcPr>
            <w:tcW w:w="1693" w:type="dxa"/>
            <w:vAlign w:val="top"/>
          </w:tcPr>
          <w:p w14:paraId="7E74E9BA">
            <w:pPr>
              <w:spacing w:line="315" w:lineRule="auto"/>
              <w:rPr>
                <w:rFonts w:ascii="Arial"/>
                <w:sz w:val="21"/>
              </w:rPr>
            </w:pPr>
          </w:p>
          <w:p w14:paraId="32FCFF2F">
            <w:pPr>
              <w:spacing w:line="315" w:lineRule="auto"/>
              <w:rPr>
                <w:rFonts w:ascii="Arial"/>
                <w:sz w:val="21"/>
              </w:rPr>
            </w:pPr>
          </w:p>
          <w:p w14:paraId="32DAAF6B">
            <w:pPr>
              <w:spacing w:before="68" w:line="220" w:lineRule="auto"/>
              <w:ind w:left="8"/>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1D81E79B">
            <w:pPr>
              <w:spacing w:line="315" w:lineRule="auto"/>
              <w:rPr>
                <w:rFonts w:ascii="Arial"/>
                <w:sz w:val="21"/>
              </w:rPr>
            </w:pPr>
          </w:p>
          <w:p w14:paraId="4882B8A3">
            <w:pPr>
              <w:spacing w:line="315" w:lineRule="auto"/>
              <w:rPr>
                <w:rFonts w:ascii="Arial"/>
                <w:sz w:val="21"/>
              </w:rPr>
            </w:pPr>
          </w:p>
          <w:p w14:paraId="102E4001">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42A13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3" w:hRule="atLeast"/>
        </w:trPr>
        <w:tc>
          <w:tcPr>
            <w:tcW w:w="721" w:type="dxa"/>
            <w:vMerge w:val="continue"/>
            <w:tcBorders>
              <w:top w:val="nil"/>
            </w:tcBorders>
            <w:vAlign w:val="top"/>
          </w:tcPr>
          <w:p w14:paraId="67601ED1">
            <w:pPr>
              <w:rPr>
                <w:rFonts w:ascii="Arial"/>
                <w:sz w:val="21"/>
              </w:rPr>
            </w:pPr>
          </w:p>
        </w:tc>
        <w:tc>
          <w:tcPr>
            <w:tcW w:w="561" w:type="dxa"/>
            <w:vMerge w:val="continue"/>
            <w:tcBorders>
              <w:top w:val="nil"/>
            </w:tcBorders>
            <w:vAlign w:val="top"/>
          </w:tcPr>
          <w:p w14:paraId="3C043C36">
            <w:pPr>
              <w:rPr>
                <w:rFonts w:ascii="Arial"/>
                <w:sz w:val="21"/>
              </w:rPr>
            </w:pPr>
          </w:p>
        </w:tc>
        <w:tc>
          <w:tcPr>
            <w:tcW w:w="700" w:type="dxa"/>
            <w:vAlign w:val="top"/>
          </w:tcPr>
          <w:p w14:paraId="22B6E500">
            <w:pPr>
              <w:spacing w:line="267" w:lineRule="auto"/>
              <w:rPr>
                <w:rFonts w:ascii="Arial"/>
                <w:sz w:val="21"/>
              </w:rPr>
            </w:pPr>
          </w:p>
          <w:p w14:paraId="12F44EA1">
            <w:pPr>
              <w:spacing w:line="267" w:lineRule="auto"/>
              <w:rPr>
                <w:rFonts w:ascii="Arial"/>
                <w:sz w:val="21"/>
              </w:rPr>
            </w:pPr>
          </w:p>
          <w:p w14:paraId="30ED8FDE">
            <w:pPr>
              <w:spacing w:line="268" w:lineRule="auto"/>
              <w:rPr>
                <w:rFonts w:ascii="Arial"/>
                <w:sz w:val="21"/>
              </w:rPr>
            </w:pPr>
          </w:p>
          <w:p w14:paraId="7DF5B069">
            <w:pPr>
              <w:spacing w:line="268" w:lineRule="auto"/>
              <w:rPr>
                <w:rFonts w:ascii="Arial"/>
                <w:sz w:val="21"/>
              </w:rPr>
            </w:pPr>
          </w:p>
          <w:p w14:paraId="0426D241">
            <w:pPr>
              <w:spacing w:line="268" w:lineRule="auto"/>
              <w:rPr>
                <w:rFonts w:ascii="Arial"/>
                <w:sz w:val="21"/>
              </w:rPr>
            </w:pPr>
          </w:p>
          <w:p w14:paraId="7EA25B1C">
            <w:pPr>
              <w:spacing w:before="69" w:line="220" w:lineRule="auto"/>
              <w:ind w:left="34"/>
              <w:rPr>
                <w:rFonts w:ascii="宋体" w:hAnsi="宋体" w:eastAsia="宋体" w:cs="宋体"/>
                <w:sz w:val="21"/>
                <w:szCs w:val="21"/>
              </w:rPr>
            </w:pPr>
            <w:r>
              <w:rPr>
                <w:rFonts w:ascii="宋体" w:hAnsi="宋体" w:eastAsia="宋体" w:cs="宋体"/>
                <w:spacing w:val="-3"/>
                <w:sz w:val="21"/>
                <w:szCs w:val="21"/>
              </w:rPr>
              <w:t>污染物</w:t>
            </w:r>
          </w:p>
          <w:p w14:paraId="497FBFC9">
            <w:pPr>
              <w:spacing w:before="102" w:line="220" w:lineRule="auto"/>
              <w:ind w:left="32"/>
              <w:rPr>
                <w:rFonts w:ascii="宋体" w:hAnsi="宋体" w:eastAsia="宋体" w:cs="宋体"/>
                <w:sz w:val="21"/>
                <w:szCs w:val="21"/>
              </w:rPr>
            </w:pPr>
            <w:r>
              <w:rPr>
                <w:rFonts w:ascii="宋体" w:hAnsi="宋体" w:eastAsia="宋体" w:cs="宋体"/>
                <w:spacing w:val="-2"/>
                <w:sz w:val="21"/>
                <w:szCs w:val="21"/>
              </w:rPr>
              <w:t>排放管</w:t>
            </w:r>
          </w:p>
          <w:p w14:paraId="6E62035B">
            <w:pPr>
              <w:spacing w:before="105" w:line="220" w:lineRule="auto"/>
              <w:ind w:left="241"/>
              <w:rPr>
                <w:rFonts w:ascii="宋体" w:hAnsi="宋体" w:eastAsia="宋体" w:cs="宋体"/>
                <w:sz w:val="21"/>
                <w:szCs w:val="21"/>
              </w:rPr>
            </w:pPr>
            <w:r>
              <w:rPr>
                <w:rFonts w:ascii="宋体" w:hAnsi="宋体" w:eastAsia="宋体" w:cs="宋体"/>
                <w:sz w:val="21"/>
                <w:szCs w:val="21"/>
              </w:rPr>
              <w:t>控</w:t>
            </w:r>
          </w:p>
        </w:tc>
        <w:tc>
          <w:tcPr>
            <w:tcW w:w="3905" w:type="dxa"/>
            <w:gridSpan w:val="2"/>
            <w:vAlign w:val="top"/>
          </w:tcPr>
          <w:p w14:paraId="04596F95">
            <w:pPr>
              <w:spacing w:before="52" w:line="220" w:lineRule="auto"/>
              <w:ind w:left="12"/>
              <w:rPr>
                <w:rFonts w:ascii="宋体" w:hAnsi="宋体" w:eastAsia="宋体" w:cs="宋体"/>
                <w:sz w:val="21"/>
                <w:szCs w:val="21"/>
              </w:rPr>
            </w:pPr>
            <w:r>
              <w:rPr>
                <w:rFonts w:ascii="宋体" w:hAnsi="宋体" w:eastAsia="宋体" w:cs="宋体"/>
                <w:spacing w:val="-2"/>
                <w:sz w:val="21"/>
                <w:szCs w:val="21"/>
              </w:rPr>
              <w:t>允许排放量要求：暂无</w:t>
            </w:r>
          </w:p>
          <w:p w14:paraId="67C924F5">
            <w:pPr>
              <w:spacing w:before="61" w:line="220" w:lineRule="auto"/>
              <w:ind w:left="6"/>
              <w:rPr>
                <w:rFonts w:ascii="宋体" w:hAnsi="宋体" w:eastAsia="宋体" w:cs="宋体"/>
                <w:sz w:val="21"/>
                <w:szCs w:val="21"/>
              </w:rPr>
            </w:pPr>
            <w:r>
              <w:rPr>
                <w:rFonts w:ascii="宋体" w:hAnsi="宋体" w:eastAsia="宋体" w:cs="宋体"/>
                <w:spacing w:val="-1"/>
                <w:sz w:val="21"/>
                <w:szCs w:val="21"/>
              </w:rPr>
              <w:t>现有源提标升级改造：暂无</w:t>
            </w:r>
          </w:p>
          <w:p w14:paraId="1C0E4F09">
            <w:pPr>
              <w:spacing w:before="62" w:line="272" w:lineRule="auto"/>
              <w:ind w:left="4" w:right="963"/>
              <w:rPr>
                <w:rFonts w:ascii="宋体" w:hAnsi="宋体" w:eastAsia="宋体" w:cs="宋体"/>
                <w:sz w:val="21"/>
                <w:szCs w:val="21"/>
              </w:rPr>
            </w:pPr>
            <w:r>
              <w:rPr>
                <w:rFonts w:ascii="宋体" w:hAnsi="宋体" w:eastAsia="宋体" w:cs="宋体"/>
                <w:spacing w:val="-1"/>
                <w:sz w:val="21"/>
                <w:szCs w:val="21"/>
              </w:rPr>
              <w:t>其他污染物排放管控要求：暂无</w:t>
            </w:r>
            <w:r>
              <w:rPr>
                <w:rFonts w:ascii="宋体" w:hAnsi="宋体" w:eastAsia="宋体" w:cs="宋体"/>
                <w:spacing w:val="3"/>
                <w:sz w:val="21"/>
                <w:szCs w:val="21"/>
              </w:rPr>
              <w:t>城镇污水污染控制措施要求</w:t>
            </w:r>
          </w:p>
          <w:p w14:paraId="0A321246">
            <w:pPr>
              <w:spacing w:before="1" w:line="274" w:lineRule="auto"/>
              <w:ind w:left="5" w:firstLine="5"/>
              <w:jc w:val="both"/>
              <w:rPr>
                <w:rFonts w:ascii="宋体" w:hAnsi="宋体" w:eastAsia="宋体" w:cs="宋体"/>
                <w:sz w:val="21"/>
                <w:szCs w:val="21"/>
              </w:rPr>
            </w:pPr>
            <w:r>
              <w:rPr>
                <w:rFonts w:ascii="宋体" w:hAnsi="宋体" w:eastAsia="宋体" w:cs="宋体"/>
                <w:spacing w:val="2"/>
                <w:sz w:val="21"/>
                <w:szCs w:val="21"/>
              </w:rPr>
              <w:t>强化城镇生活污染源治理，加快城镇环保</w:t>
            </w:r>
            <w:r>
              <w:rPr>
                <w:rFonts w:ascii="宋体" w:hAnsi="宋体" w:eastAsia="宋体" w:cs="宋体"/>
                <w:spacing w:val="4"/>
                <w:sz w:val="21"/>
                <w:szCs w:val="21"/>
              </w:rPr>
              <w:t>基础设施建设，因地制宜选用合适技术，</w:t>
            </w:r>
            <w:r>
              <w:rPr>
                <w:rFonts w:ascii="宋体" w:hAnsi="宋体" w:eastAsia="宋体" w:cs="宋体"/>
                <w:spacing w:val="14"/>
                <w:sz w:val="21"/>
                <w:szCs w:val="21"/>
              </w:rPr>
              <w:t>健全乡镇及农村集聚点污水处理设施及</w:t>
            </w:r>
            <w:r>
              <w:rPr>
                <w:rFonts w:ascii="宋体" w:hAnsi="宋体" w:eastAsia="宋体" w:cs="宋体"/>
                <w:spacing w:val="-6"/>
                <w:sz w:val="21"/>
                <w:szCs w:val="21"/>
              </w:rPr>
              <w:t>配套管网；建立健全生活垃圾收集、转运、</w:t>
            </w:r>
            <w:r>
              <w:rPr>
                <w:rFonts w:ascii="宋体" w:hAnsi="宋体" w:eastAsia="宋体" w:cs="宋体"/>
                <w:spacing w:val="2"/>
                <w:sz w:val="21"/>
                <w:szCs w:val="21"/>
              </w:rPr>
              <w:t>处理系统。</w:t>
            </w:r>
          </w:p>
          <w:p w14:paraId="6B28DDFD">
            <w:pPr>
              <w:spacing w:before="2" w:line="227" w:lineRule="auto"/>
              <w:ind w:left="7"/>
              <w:rPr>
                <w:rFonts w:ascii="宋体" w:hAnsi="宋体" w:eastAsia="宋体" w:cs="宋体"/>
                <w:sz w:val="21"/>
                <w:szCs w:val="21"/>
              </w:rPr>
            </w:pPr>
            <w:r>
              <w:rPr>
                <w:rFonts w:ascii="宋体" w:hAnsi="宋体" w:eastAsia="宋体" w:cs="宋体"/>
                <w:spacing w:val="9"/>
                <w:sz w:val="21"/>
                <w:szCs w:val="21"/>
              </w:rPr>
              <w:t>工业废水污染控制措施要求</w:t>
            </w:r>
          </w:p>
          <w:p w14:paraId="474CF202">
            <w:pPr>
              <w:spacing w:before="52" w:line="228" w:lineRule="auto"/>
              <w:ind w:left="5"/>
              <w:rPr>
                <w:rFonts w:ascii="宋体" w:hAnsi="宋体" w:eastAsia="宋体" w:cs="宋体"/>
                <w:sz w:val="21"/>
                <w:szCs w:val="21"/>
              </w:rPr>
            </w:pPr>
            <w:r>
              <w:rPr>
                <w:rFonts w:ascii="宋体" w:hAnsi="宋体" w:eastAsia="宋体" w:cs="宋体"/>
                <w:spacing w:val="9"/>
                <w:sz w:val="21"/>
                <w:szCs w:val="21"/>
              </w:rPr>
              <w:t>农业面源水污染控制措施要求</w:t>
            </w:r>
          </w:p>
          <w:p w14:paraId="79A15C36">
            <w:pPr>
              <w:spacing w:before="53" w:line="227" w:lineRule="auto"/>
              <w:ind w:left="4"/>
              <w:rPr>
                <w:rFonts w:ascii="宋体" w:hAnsi="宋体" w:eastAsia="宋体" w:cs="宋体"/>
                <w:sz w:val="21"/>
                <w:szCs w:val="21"/>
              </w:rPr>
            </w:pPr>
            <w:r>
              <w:rPr>
                <w:rFonts w:ascii="宋体" w:hAnsi="宋体" w:eastAsia="宋体" w:cs="宋体"/>
                <w:spacing w:val="6"/>
                <w:sz w:val="21"/>
                <w:szCs w:val="21"/>
              </w:rPr>
              <w:t>控制农业面源污染，强化农业生产化肥农</w:t>
            </w:r>
          </w:p>
        </w:tc>
        <w:tc>
          <w:tcPr>
            <w:tcW w:w="1693" w:type="dxa"/>
            <w:vAlign w:val="top"/>
          </w:tcPr>
          <w:p w14:paraId="7C6CBF45">
            <w:pPr>
              <w:spacing w:line="315" w:lineRule="auto"/>
              <w:rPr>
                <w:rFonts w:ascii="Arial"/>
                <w:sz w:val="21"/>
              </w:rPr>
            </w:pPr>
          </w:p>
          <w:p w14:paraId="7662ADA7">
            <w:pPr>
              <w:spacing w:line="315" w:lineRule="auto"/>
              <w:rPr>
                <w:rFonts w:ascii="Arial"/>
                <w:sz w:val="21"/>
              </w:rPr>
            </w:pPr>
          </w:p>
          <w:p w14:paraId="650C1F96">
            <w:pPr>
              <w:spacing w:before="69" w:line="313" w:lineRule="auto"/>
              <w:ind w:left="6" w:right="4" w:firstLine="1"/>
              <w:jc w:val="both"/>
              <w:rPr>
                <w:rFonts w:ascii="宋体" w:hAnsi="宋体" w:eastAsia="宋体" w:cs="宋体"/>
                <w:sz w:val="21"/>
                <w:szCs w:val="21"/>
              </w:rPr>
            </w:pPr>
            <w:r>
              <w:rPr>
                <w:rFonts w:ascii="宋体" w:hAnsi="宋体" w:eastAsia="宋体" w:cs="宋体"/>
                <w:spacing w:val="-1"/>
                <w:sz w:val="21"/>
                <w:szCs w:val="21"/>
              </w:rPr>
              <w:t>本项目属于生猪养殖项目，项目粪污</w:t>
            </w:r>
            <w:r>
              <w:rPr>
                <w:rFonts w:ascii="宋体" w:hAnsi="宋体" w:eastAsia="宋体" w:cs="宋体"/>
                <w:spacing w:val="23"/>
                <w:sz w:val="21"/>
                <w:szCs w:val="21"/>
              </w:rPr>
              <w:t>经处理后</w:t>
            </w:r>
            <w:r>
              <w:rPr>
                <w:rFonts w:ascii="宋体" w:hAnsi="宋体" w:eastAsia="宋体" w:cs="宋体"/>
                <w:spacing w:val="-60"/>
                <w:sz w:val="21"/>
                <w:szCs w:val="21"/>
              </w:rPr>
              <w:t xml:space="preserve"> </w:t>
            </w:r>
            <w:r>
              <w:rPr>
                <w:rFonts w:ascii="宋体" w:hAnsi="宋体" w:eastAsia="宋体" w:cs="宋体"/>
                <w:spacing w:val="23"/>
                <w:sz w:val="21"/>
                <w:szCs w:val="21"/>
              </w:rPr>
              <w:t>还田利</w:t>
            </w:r>
            <w:r>
              <w:rPr>
                <w:rFonts w:ascii="宋体" w:hAnsi="宋体" w:eastAsia="宋体" w:cs="宋体"/>
                <w:spacing w:val="-1"/>
                <w:sz w:val="21"/>
                <w:szCs w:val="21"/>
              </w:rPr>
              <w:t>用，可减少化肥使用量，有助于当地</w:t>
            </w:r>
            <w:r>
              <w:rPr>
                <w:rFonts w:ascii="宋体" w:hAnsi="宋体" w:eastAsia="宋体" w:cs="宋体"/>
                <w:spacing w:val="23"/>
                <w:sz w:val="21"/>
                <w:szCs w:val="21"/>
              </w:rPr>
              <w:t>控制农业</w:t>
            </w:r>
            <w:r>
              <w:rPr>
                <w:rFonts w:ascii="宋体" w:hAnsi="宋体" w:eastAsia="宋体" w:cs="宋体"/>
                <w:spacing w:val="-60"/>
                <w:sz w:val="21"/>
                <w:szCs w:val="21"/>
              </w:rPr>
              <w:t xml:space="preserve"> </w:t>
            </w:r>
            <w:r>
              <w:rPr>
                <w:rFonts w:ascii="宋体" w:hAnsi="宋体" w:eastAsia="宋体" w:cs="宋体"/>
                <w:spacing w:val="23"/>
                <w:sz w:val="21"/>
                <w:szCs w:val="21"/>
              </w:rPr>
              <w:t>面源污</w:t>
            </w:r>
            <w:r>
              <w:rPr>
                <w:rFonts w:ascii="宋体" w:hAnsi="宋体" w:eastAsia="宋体" w:cs="宋体"/>
                <w:spacing w:val="-10"/>
                <w:sz w:val="21"/>
                <w:szCs w:val="21"/>
              </w:rPr>
              <w:t>染。</w:t>
            </w:r>
          </w:p>
        </w:tc>
        <w:tc>
          <w:tcPr>
            <w:tcW w:w="746" w:type="dxa"/>
            <w:vAlign w:val="top"/>
          </w:tcPr>
          <w:p w14:paraId="1A27495C">
            <w:pPr>
              <w:spacing w:line="241" w:lineRule="auto"/>
              <w:rPr>
                <w:rFonts w:ascii="Arial"/>
                <w:sz w:val="21"/>
              </w:rPr>
            </w:pPr>
          </w:p>
          <w:p w14:paraId="6B2F3FDC">
            <w:pPr>
              <w:spacing w:line="241" w:lineRule="auto"/>
              <w:rPr>
                <w:rFonts w:ascii="Arial"/>
                <w:sz w:val="21"/>
              </w:rPr>
            </w:pPr>
          </w:p>
          <w:p w14:paraId="46DF82D9">
            <w:pPr>
              <w:spacing w:line="241" w:lineRule="auto"/>
              <w:rPr>
                <w:rFonts w:ascii="Arial"/>
                <w:sz w:val="21"/>
              </w:rPr>
            </w:pPr>
          </w:p>
          <w:p w14:paraId="15B13F8E">
            <w:pPr>
              <w:spacing w:line="241" w:lineRule="auto"/>
              <w:rPr>
                <w:rFonts w:ascii="Arial"/>
                <w:sz w:val="21"/>
              </w:rPr>
            </w:pPr>
          </w:p>
          <w:p w14:paraId="5C92854D">
            <w:pPr>
              <w:spacing w:line="241" w:lineRule="auto"/>
              <w:rPr>
                <w:rFonts w:ascii="Arial"/>
                <w:sz w:val="21"/>
              </w:rPr>
            </w:pPr>
          </w:p>
          <w:p w14:paraId="6F9B3749">
            <w:pPr>
              <w:spacing w:line="242" w:lineRule="auto"/>
              <w:rPr>
                <w:rFonts w:ascii="Arial"/>
                <w:sz w:val="21"/>
              </w:rPr>
            </w:pPr>
          </w:p>
          <w:p w14:paraId="3C2F5CB9">
            <w:pPr>
              <w:spacing w:line="242" w:lineRule="auto"/>
              <w:rPr>
                <w:rFonts w:ascii="Arial"/>
                <w:sz w:val="21"/>
              </w:rPr>
            </w:pPr>
          </w:p>
          <w:p w14:paraId="2F070432">
            <w:pPr>
              <w:spacing w:before="69"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29F3810F">
      <w:pPr>
        <w:pStyle w:val="2"/>
      </w:pPr>
    </w:p>
    <w:p w14:paraId="7DAA3E6B">
      <w:pPr>
        <w:sectPr>
          <w:footerReference r:id="rId127" w:type="default"/>
          <w:pgSz w:w="11905" w:h="16840"/>
          <w:pgMar w:top="1168" w:right="1768" w:bottom="1408" w:left="1770" w:header="828" w:footer="1244" w:gutter="0"/>
          <w:cols w:space="720" w:num="1"/>
        </w:sectPr>
      </w:pPr>
    </w:p>
    <w:p w14:paraId="59082190">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3905"/>
        <w:gridCol w:w="1693"/>
        <w:gridCol w:w="746"/>
      </w:tblGrid>
      <w:tr w14:paraId="1D306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4"/>
            <w:vAlign w:val="top"/>
          </w:tcPr>
          <w:p w14:paraId="7EA2EB99">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5688703C">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362ECAED">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51819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51C2D0B2">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vAlign w:val="top"/>
          </w:tcPr>
          <w:p w14:paraId="3CF6C194">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57BBC7C0">
            <w:pPr>
              <w:rPr>
                <w:rFonts w:ascii="Arial"/>
                <w:sz w:val="21"/>
              </w:rPr>
            </w:pPr>
          </w:p>
        </w:tc>
        <w:tc>
          <w:tcPr>
            <w:tcW w:w="746" w:type="dxa"/>
            <w:vMerge w:val="continue"/>
            <w:tcBorders>
              <w:top w:val="nil"/>
            </w:tcBorders>
            <w:vAlign w:val="top"/>
          </w:tcPr>
          <w:p w14:paraId="0E0D84B5">
            <w:pPr>
              <w:rPr>
                <w:rFonts w:ascii="Arial"/>
                <w:sz w:val="21"/>
              </w:rPr>
            </w:pPr>
          </w:p>
        </w:tc>
      </w:tr>
      <w:tr w14:paraId="792E5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9" w:hRule="atLeast"/>
        </w:trPr>
        <w:tc>
          <w:tcPr>
            <w:tcW w:w="721" w:type="dxa"/>
            <w:vMerge w:val="restart"/>
            <w:tcBorders>
              <w:bottom w:val="nil"/>
            </w:tcBorders>
            <w:vAlign w:val="top"/>
          </w:tcPr>
          <w:p w14:paraId="4C429FF4">
            <w:pPr>
              <w:rPr>
                <w:rFonts w:ascii="Arial"/>
                <w:sz w:val="21"/>
              </w:rPr>
            </w:pPr>
          </w:p>
        </w:tc>
        <w:tc>
          <w:tcPr>
            <w:tcW w:w="561" w:type="dxa"/>
            <w:vMerge w:val="restart"/>
            <w:tcBorders>
              <w:bottom w:val="nil"/>
            </w:tcBorders>
            <w:vAlign w:val="top"/>
          </w:tcPr>
          <w:p w14:paraId="79DFF15B">
            <w:pPr>
              <w:rPr>
                <w:rFonts w:ascii="Arial"/>
                <w:sz w:val="21"/>
              </w:rPr>
            </w:pPr>
          </w:p>
        </w:tc>
        <w:tc>
          <w:tcPr>
            <w:tcW w:w="700" w:type="dxa"/>
            <w:vAlign w:val="top"/>
          </w:tcPr>
          <w:p w14:paraId="59489BAD">
            <w:pPr>
              <w:rPr>
                <w:rFonts w:ascii="Arial"/>
                <w:sz w:val="21"/>
              </w:rPr>
            </w:pPr>
          </w:p>
        </w:tc>
        <w:tc>
          <w:tcPr>
            <w:tcW w:w="3905" w:type="dxa"/>
            <w:vAlign w:val="top"/>
          </w:tcPr>
          <w:p w14:paraId="5C117F45">
            <w:pPr>
              <w:spacing w:before="46" w:line="274" w:lineRule="auto"/>
              <w:ind w:firstLine="13"/>
              <w:jc w:val="both"/>
              <w:rPr>
                <w:rFonts w:ascii="宋体" w:hAnsi="宋体" w:eastAsia="宋体" w:cs="宋体"/>
                <w:sz w:val="21"/>
                <w:szCs w:val="21"/>
              </w:rPr>
            </w:pPr>
            <w:r>
              <w:rPr>
                <w:rFonts w:ascii="宋体" w:hAnsi="宋体" w:eastAsia="宋体" w:cs="宋体"/>
                <w:spacing w:val="-6"/>
                <w:sz w:val="21"/>
                <w:szCs w:val="21"/>
              </w:rPr>
              <w:t>药施用管控，禁止销售施用“三高”农药；</w:t>
            </w:r>
            <w:r>
              <w:rPr>
                <w:rFonts w:ascii="宋体" w:hAnsi="宋体" w:eastAsia="宋体" w:cs="宋体"/>
                <w:spacing w:val="12"/>
                <w:sz w:val="21"/>
                <w:szCs w:val="21"/>
              </w:rPr>
              <w:t>推广高效施肥灌溉技术，</w:t>
            </w:r>
            <w:r>
              <w:rPr>
                <w:rFonts w:ascii="宋体" w:hAnsi="宋体" w:eastAsia="宋体" w:cs="宋体"/>
                <w:spacing w:val="-33"/>
                <w:sz w:val="21"/>
                <w:szCs w:val="21"/>
              </w:rPr>
              <w:t xml:space="preserve"> </w:t>
            </w:r>
            <w:r>
              <w:rPr>
                <w:rFonts w:ascii="宋体" w:hAnsi="宋体" w:eastAsia="宋体" w:cs="宋体"/>
                <w:spacing w:val="12"/>
                <w:sz w:val="21"/>
                <w:szCs w:val="21"/>
              </w:rPr>
              <w:t>农药化肥实现</w:t>
            </w:r>
            <w:r>
              <w:rPr>
                <w:rFonts w:ascii="宋体" w:hAnsi="宋体" w:eastAsia="宋体" w:cs="宋体"/>
                <w:spacing w:val="3"/>
                <w:sz w:val="21"/>
                <w:szCs w:val="21"/>
              </w:rPr>
              <w:t>“零增长”；开展高标准农田改造，减少</w:t>
            </w:r>
            <w:r>
              <w:rPr>
                <w:rFonts w:ascii="宋体" w:hAnsi="宋体" w:eastAsia="宋体" w:cs="宋体"/>
                <w:spacing w:val="5"/>
                <w:sz w:val="21"/>
                <w:szCs w:val="21"/>
              </w:rPr>
              <w:t>水土流失。</w:t>
            </w:r>
          </w:p>
          <w:p w14:paraId="3885AE38">
            <w:pPr>
              <w:spacing w:before="1" w:line="227" w:lineRule="auto"/>
              <w:ind w:left="5"/>
              <w:rPr>
                <w:rFonts w:ascii="宋体" w:hAnsi="宋体" w:eastAsia="宋体" w:cs="宋体"/>
                <w:sz w:val="21"/>
                <w:szCs w:val="21"/>
              </w:rPr>
            </w:pPr>
            <w:r>
              <w:rPr>
                <w:rFonts w:ascii="宋体" w:hAnsi="宋体" w:eastAsia="宋体" w:cs="宋体"/>
                <w:spacing w:val="9"/>
                <w:sz w:val="21"/>
                <w:szCs w:val="21"/>
              </w:rPr>
              <w:t>船舶港口水污染控制措施要求</w:t>
            </w:r>
          </w:p>
          <w:p w14:paraId="069808A0">
            <w:pPr>
              <w:spacing w:before="74" w:line="228" w:lineRule="auto"/>
              <w:ind w:left="5"/>
              <w:rPr>
                <w:rFonts w:ascii="宋体" w:hAnsi="宋体" w:eastAsia="宋体" w:cs="宋体"/>
                <w:sz w:val="21"/>
                <w:szCs w:val="21"/>
              </w:rPr>
            </w:pPr>
            <w:r>
              <w:rPr>
                <w:rFonts w:ascii="宋体" w:hAnsi="宋体" w:eastAsia="宋体" w:cs="宋体"/>
                <w:spacing w:val="9"/>
                <w:sz w:val="21"/>
                <w:szCs w:val="21"/>
              </w:rPr>
              <w:t>饮用水水源和其它特殊水体保护要求</w:t>
            </w:r>
          </w:p>
        </w:tc>
        <w:tc>
          <w:tcPr>
            <w:tcW w:w="1693" w:type="dxa"/>
            <w:vAlign w:val="top"/>
          </w:tcPr>
          <w:p w14:paraId="319A2FD7">
            <w:pPr>
              <w:rPr>
                <w:rFonts w:ascii="Arial"/>
                <w:sz w:val="21"/>
              </w:rPr>
            </w:pPr>
          </w:p>
        </w:tc>
        <w:tc>
          <w:tcPr>
            <w:tcW w:w="746" w:type="dxa"/>
            <w:vAlign w:val="top"/>
          </w:tcPr>
          <w:p w14:paraId="600EBF6A">
            <w:pPr>
              <w:rPr>
                <w:rFonts w:ascii="Arial"/>
                <w:sz w:val="21"/>
              </w:rPr>
            </w:pPr>
          </w:p>
        </w:tc>
      </w:tr>
      <w:tr w14:paraId="32CED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721" w:type="dxa"/>
            <w:vMerge w:val="continue"/>
            <w:tcBorders>
              <w:top w:val="nil"/>
              <w:bottom w:val="nil"/>
            </w:tcBorders>
            <w:vAlign w:val="top"/>
          </w:tcPr>
          <w:p w14:paraId="5EB32A7E">
            <w:pPr>
              <w:rPr>
                <w:rFonts w:ascii="Arial"/>
                <w:sz w:val="21"/>
              </w:rPr>
            </w:pPr>
          </w:p>
        </w:tc>
        <w:tc>
          <w:tcPr>
            <w:tcW w:w="561" w:type="dxa"/>
            <w:vMerge w:val="continue"/>
            <w:tcBorders>
              <w:top w:val="nil"/>
              <w:bottom w:val="nil"/>
            </w:tcBorders>
            <w:vAlign w:val="top"/>
          </w:tcPr>
          <w:p w14:paraId="54C1C71D">
            <w:pPr>
              <w:rPr>
                <w:rFonts w:ascii="Arial"/>
                <w:sz w:val="21"/>
              </w:rPr>
            </w:pPr>
          </w:p>
        </w:tc>
        <w:tc>
          <w:tcPr>
            <w:tcW w:w="700" w:type="dxa"/>
            <w:vAlign w:val="top"/>
          </w:tcPr>
          <w:p w14:paraId="070EEE30">
            <w:pPr>
              <w:spacing w:before="74" w:line="220" w:lineRule="auto"/>
              <w:ind w:left="32"/>
              <w:rPr>
                <w:rFonts w:ascii="宋体" w:hAnsi="宋体" w:eastAsia="宋体" w:cs="宋体"/>
                <w:sz w:val="21"/>
                <w:szCs w:val="21"/>
              </w:rPr>
            </w:pPr>
            <w:r>
              <w:rPr>
                <w:rFonts w:ascii="宋体" w:hAnsi="宋体" w:eastAsia="宋体" w:cs="宋体"/>
                <w:spacing w:val="-2"/>
                <w:sz w:val="21"/>
                <w:szCs w:val="21"/>
              </w:rPr>
              <w:t>环境风</w:t>
            </w:r>
          </w:p>
          <w:p w14:paraId="4D35FC2C">
            <w:pPr>
              <w:spacing w:before="103" w:line="220" w:lineRule="auto"/>
              <w:ind w:left="44"/>
              <w:rPr>
                <w:rFonts w:ascii="宋体" w:hAnsi="宋体" w:eastAsia="宋体" w:cs="宋体"/>
                <w:sz w:val="21"/>
                <w:szCs w:val="21"/>
              </w:rPr>
            </w:pPr>
            <w:r>
              <w:rPr>
                <w:rFonts w:ascii="宋体" w:hAnsi="宋体" w:eastAsia="宋体" w:cs="宋体"/>
                <w:spacing w:val="-5"/>
                <w:sz w:val="21"/>
                <w:szCs w:val="21"/>
              </w:rPr>
              <w:t>险防控</w:t>
            </w:r>
          </w:p>
        </w:tc>
        <w:tc>
          <w:tcPr>
            <w:tcW w:w="3905" w:type="dxa"/>
            <w:vAlign w:val="top"/>
          </w:tcPr>
          <w:p w14:paraId="045CA913">
            <w:pPr>
              <w:spacing w:before="94" w:line="220" w:lineRule="auto"/>
              <w:ind w:left="5"/>
              <w:rPr>
                <w:rFonts w:ascii="宋体" w:hAnsi="宋体" w:eastAsia="宋体" w:cs="宋体"/>
                <w:sz w:val="21"/>
                <w:szCs w:val="21"/>
              </w:rPr>
            </w:pPr>
            <w:r>
              <w:rPr>
                <w:rFonts w:ascii="宋体" w:hAnsi="宋体" w:eastAsia="宋体" w:cs="宋体"/>
                <w:spacing w:val="-1"/>
                <w:sz w:val="21"/>
                <w:szCs w:val="21"/>
              </w:rPr>
              <w:t>联防联控要求：暂无</w:t>
            </w:r>
          </w:p>
          <w:p w14:paraId="14C65A9E">
            <w:pPr>
              <w:spacing w:before="61" w:line="220" w:lineRule="auto"/>
              <w:ind w:left="5"/>
              <w:rPr>
                <w:rFonts w:ascii="宋体" w:hAnsi="宋体" w:eastAsia="宋体" w:cs="宋体"/>
                <w:sz w:val="21"/>
                <w:szCs w:val="21"/>
              </w:rPr>
            </w:pPr>
            <w:r>
              <w:rPr>
                <w:rFonts w:ascii="宋体" w:hAnsi="宋体" w:eastAsia="宋体" w:cs="宋体"/>
                <w:spacing w:val="-1"/>
                <w:sz w:val="21"/>
                <w:szCs w:val="21"/>
              </w:rPr>
              <w:t>其他环境风险防控要求：暂无</w:t>
            </w:r>
          </w:p>
        </w:tc>
        <w:tc>
          <w:tcPr>
            <w:tcW w:w="1693" w:type="dxa"/>
            <w:vAlign w:val="top"/>
          </w:tcPr>
          <w:p w14:paraId="197987F9">
            <w:pPr>
              <w:spacing w:before="249" w:line="220" w:lineRule="auto"/>
              <w:ind w:left="8"/>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15BCA040">
            <w:pPr>
              <w:spacing w:before="249"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0A13B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21" w:type="dxa"/>
            <w:vMerge w:val="continue"/>
            <w:tcBorders>
              <w:top w:val="nil"/>
            </w:tcBorders>
            <w:vAlign w:val="top"/>
          </w:tcPr>
          <w:p w14:paraId="6BED62C6">
            <w:pPr>
              <w:rPr>
                <w:rFonts w:ascii="Arial"/>
                <w:sz w:val="21"/>
              </w:rPr>
            </w:pPr>
          </w:p>
        </w:tc>
        <w:tc>
          <w:tcPr>
            <w:tcW w:w="561" w:type="dxa"/>
            <w:vMerge w:val="continue"/>
            <w:tcBorders>
              <w:top w:val="nil"/>
            </w:tcBorders>
            <w:vAlign w:val="top"/>
          </w:tcPr>
          <w:p w14:paraId="54C504F6">
            <w:pPr>
              <w:rPr>
                <w:rFonts w:ascii="Arial"/>
                <w:sz w:val="21"/>
              </w:rPr>
            </w:pPr>
          </w:p>
        </w:tc>
        <w:tc>
          <w:tcPr>
            <w:tcW w:w="700" w:type="dxa"/>
            <w:vAlign w:val="top"/>
          </w:tcPr>
          <w:p w14:paraId="108E9730">
            <w:pPr>
              <w:spacing w:line="250" w:lineRule="auto"/>
              <w:rPr>
                <w:rFonts w:ascii="Arial"/>
                <w:sz w:val="21"/>
              </w:rPr>
            </w:pPr>
          </w:p>
          <w:p w14:paraId="74EDDFFC">
            <w:pPr>
              <w:spacing w:before="69" w:line="314" w:lineRule="auto"/>
              <w:ind w:left="36" w:right="40" w:firstLine="5"/>
              <w:jc w:val="both"/>
              <w:rPr>
                <w:rFonts w:ascii="宋体" w:hAnsi="宋体" w:eastAsia="宋体" w:cs="宋体"/>
                <w:sz w:val="21"/>
                <w:szCs w:val="21"/>
              </w:rPr>
            </w:pPr>
            <w:r>
              <w:rPr>
                <w:rFonts w:ascii="宋体" w:hAnsi="宋体" w:eastAsia="宋体" w:cs="宋体"/>
                <w:spacing w:val="-6"/>
                <w:sz w:val="21"/>
                <w:szCs w:val="21"/>
              </w:rPr>
              <w:t>资源开</w:t>
            </w:r>
            <w:r>
              <w:rPr>
                <w:rFonts w:ascii="宋体" w:hAnsi="宋体" w:eastAsia="宋体" w:cs="宋体"/>
                <w:spacing w:val="-4"/>
                <w:sz w:val="21"/>
                <w:szCs w:val="21"/>
              </w:rPr>
              <w:t>发效率</w:t>
            </w:r>
            <w:r>
              <w:rPr>
                <w:rFonts w:ascii="宋体" w:hAnsi="宋体" w:eastAsia="宋体" w:cs="宋体"/>
                <w:spacing w:val="47"/>
                <w:sz w:val="21"/>
                <w:szCs w:val="21"/>
              </w:rPr>
              <w:t>要求</w:t>
            </w:r>
          </w:p>
        </w:tc>
        <w:tc>
          <w:tcPr>
            <w:tcW w:w="3905" w:type="dxa"/>
            <w:vAlign w:val="top"/>
          </w:tcPr>
          <w:p w14:paraId="11FC155E">
            <w:pPr>
              <w:spacing w:before="51" w:line="220" w:lineRule="auto"/>
              <w:ind w:left="7"/>
              <w:rPr>
                <w:rFonts w:ascii="宋体" w:hAnsi="宋体" w:eastAsia="宋体" w:cs="宋体"/>
                <w:sz w:val="21"/>
                <w:szCs w:val="21"/>
              </w:rPr>
            </w:pPr>
            <w:r>
              <w:rPr>
                <w:rFonts w:ascii="宋体" w:hAnsi="宋体" w:eastAsia="宋体" w:cs="宋体"/>
                <w:spacing w:val="-1"/>
                <w:sz w:val="21"/>
                <w:szCs w:val="21"/>
              </w:rPr>
              <w:t>水资源利用总量要求：暂无</w:t>
            </w:r>
          </w:p>
          <w:p w14:paraId="69C661B0">
            <w:pPr>
              <w:spacing w:before="62" w:line="219" w:lineRule="auto"/>
              <w:ind w:left="4"/>
              <w:rPr>
                <w:rFonts w:ascii="宋体" w:hAnsi="宋体" w:eastAsia="宋体" w:cs="宋体"/>
                <w:sz w:val="21"/>
                <w:szCs w:val="21"/>
              </w:rPr>
            </w:pPr>
            <w:r>
              <w:rPr>
                <w:rFonts w:ascii="宋体" w:hAnsi="宋体" w:eastAsia="宋体" w:cs="宋体"/>
                <w:spacing w:val="-1"/>
                <w:sz w:val="21"/>
                <w:szCs w:val="21"/>
              </w:rPr>
              <w:t>地下水开采要求：暂无</w:t>
            </w:r>
          </w:p>
          <w:p w14:paraId="29376774">
            <w:pPr>
              <w:spacing w:before="62" w:line="220" w:lineRule="auto"/>
              <w:ind w:left="12"/>
              <w:rPr>
                <w:rFonts w:ascii="宋体" w:hAnsi="宋体" w:eastAsia="宋体" w:cs="宋体"/>
                <w:sz w:val="21"/>
                <w:szCs w:val="21"/>
              </w:rPr>
            </w:pPr>
            <w:r>
              <w:rPr>
                <w:rFonts w:ascii="宋体" w:hAnsi="宋体" w:eastAsia="宋体" w:cs="宋体"/>
                <w:spacing w:val="-2"/>
                <w:sz w:val="21"/>
                <w:szCs w:val="21"/>
              </w:rPr>
              <w:t>能源利用总量及效率要求：暂无</w:t>
            </w:r>
          </w:p>
          <w:p w14:paraId="2EE9531A">
            <w:pPr>
              <w:spacing w:before="61" w:line="220" w:lineRule="auto"/>
              <w:ind w:left="4"/>
              <w:rPr>
                <w:rFonts w:ascii="宋体" w:hAnsi="宋体" w:eastAsia="宋体" w:cs="宋体"/>
                <w:sz w:val="21"/>
                <w:szCs w:val="21"/>
              </w:rPr>
            </w:pPr>
            <w:r>
              <w:rPr>
                <w:rFonts w:ascii="宋体" w:hAnsi="宋体" w:eastAsia="宋体" w:cs="宋体"/>
                <w:spacing w:val="-1"/>
                <w:sz w:val="21"/>
                <w:szCs w:val="21"/>
              </w:rPr>
              <w:t>禁燃区要求：暂无</w:t>
            </w:r>
          </w:p>
          <w:p w14:paraId="7E614134">
            <w:pPr>
              <w:spacing w:before="61" w:line="220" w:lineRule="auto"/>
              <w:ind w:left="5"/>
              <w:rPr>
                <w:rFonts w:ascii="宋体" w:hAnsi="宋体" w:eastAsia="宋体" w:cs="宋体"/>
                <w:sz w:val="21"/>
                <w:szCs w:val="21"/>
              </w:rPr>
            </w:pPr>
            <w:r>
              <w:rPr>
                <w:rFonts w:ascii="宋体" w:hAnsi="宋体" w:eastAsia="宋体" w:cs="宋体"/>
                <w:spacing w:val="-1"/>
                <w:sz w:val="21"/>
                <w:szCs w:val="21"/>
              </w:rPr>
              <w:t>其他资源利用效率要求：暂无</w:t>
            </w:r>
          </w:p>
        </w:tc>
        <w:tc>
          <w:tcPr>
            <w:tcW w:w="1693" w:type="dxa"/>
            <w:vAlign w:val="top"/>
          </w:tcPr>
          <w:p w14:paraId="177690F7">
            <w:pPr>
              <w:spacing w:line="301" w:lineRule="auto"/>
              <w:rPr>
                <w:rFonts w:ascii="Arial"/>
                <w:sz w:val="21"/>
              </w:rPr>
            </w:pPr>
          </w:p>
          <w:p w14:paraId="14C7D65B">
            <w:pPr>
              <w:spacing w:line="302" w:lineRule="auto"/>
              <w:rPr>
                <w:rFonts w:ascii="Arial"/>
                <w:sz w:val="21"/>
              </w:rPr>
            </w:pPr>
          </w:p>
          <w:p w14:paraId="2DF35D88">
            <w:pPr>
              <w:spacing w:before="68" w:line="220" w:lineRule="auto"/>
              <w:ind w:left="8"/>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11D574FE">
            <w:pPr>
              <w:spacing w:line="301" w:lineRule="auto"/>
              <w:rPr>
                <w:rFonts w:ascii="Arial"/>
                <w:sz w:val="21"/>
              </w:rPr>
            </w:pPr>
          </w:p>
          <w:p w14:paraId="4AEEC0D6">
            <w:pPr>
              <w:spacing w:line="302" w:lineRule="auto"/>
              <w:rPr>
                <w:rFonts w:ascii="Arial"/>
                <w:sz w:val="21"/>
              </w:rPr>
            </w:pPr>
          </w:p>
          <w:p w14:paraId="1E5D2E96">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1D3A8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21" w:type="dxa"/>
            <w:vMerge w:val="restart"/>
            <w:tcBorders>
              <w:bottom w:val="nil"/>
            </w:tcBorders>
            <w:vAlign w:val="top"/>
          </w:tcPr>
          <w:p w14:paraId="5B9C8EB6">
            <w:pPr>
              <w:spacing w:line="262" w:lineRule="auto"/>
              <w:rPr>
                <w:rFonts w:ascii="Arial"/>
                <w:sz w:val="21"/>
              </w:rPr>
            </w:pPr>
          </w:p>
          <w:p w14:paraId="60ACB8E8">
            <w:pPr>
              <w:spacing w:line="262" w:lineRule="auto"/>
              <w:rPr>
                <w:rFonts w:ascii="Arial"/>
                <w:sz w:val="21"/>
              </w:rPr>
            </w:pPr>
          </w:p>
          <w:p w14:paraId="54E380A6">
            <w:pPr>
              <w:spacing w:line="262" w:lineRule="auto"/>
              <w:rPr>
                <w:rFonts w:ascii="Arial"/>
                <w:sz w:val="21"/>
              </w:rPr>
            </w:pPr>
          </w:p>
          <w:p w14:paraId="2FF2262A">
            <w:pPr>
              <w:spacing w:line="262" w:lineRule="auto"/>
              <w:rPr>
                <w:rFonts w:ascii="Arial"/>
                <w:sz w:val="21"/>
              </w:rPr>
            </w:pPr>
          </w:p>
          <w:p w14:paraId="5357686D">
            <w:pPr>
              <w:spacing w:line="262" w:lineRule="auto"/>
              <w:rPr>
                <w:rFonts w:ascii="Arial"/>
                <w:sz w:val="21"/>
              </w:rPr>
            </w:pPr>
          </w:p>
          <w:p w14:paraId="09345D26">
            <w:pPr>
              <w:spacing w:line="262" w:lineRule="auto"/>
              <w:rPr>
                <w:rFonts w:ascii="Arial"/>
                <w:sz w:val="21"/>
              </w:rPr>
            </w:pPr>
          </w:p>
          <w:p w14:paraId="068962EC">
            <w:pPr>
              <w:spacing w:line="262" w:lineRule="auto"/>
              <w:rPr>
                <w:rFonts w:ascii="Arial"/>
                <w:sz w:val="21"/>
              </w:rPr>
            </w:pPr>
          </w:p>
          <w:p w14:paraId="24B5FBD9">
            <w:pPr>
              <w:spacing w:line="262" w:lineRule="auto"/>
              <w:rPr>
                <w:rFonts w:ascii="Arial"/>
                <w:sz w:val="21"/>
              </w:rPr>
            </w:pPr>
          </w:p>
          <w:p w14:paraId="4F0C2B55">
            <w:pPr>
              <w:spacing w:line="263" w:lineRule="auto"/>
              <w:rPr>
                <w:rFonts w:ascii="Arial"/>
                <w:sz w:val="21"/>
              </w:rPr>
            </w:pPr>
          </w:p>
          <w:p w14:paraId="627AF811">
            <w:pPr>
              <w:spacing w:line="263" w:lineRule="auto"/>
              <w:rPr>
                <w:rFonts w:ascii="Arial"/>
                <w:sz w:val="21"/>
              </w:rPr>
            </w:pPr>
          </w:p>
          <w:p w14:paraId="67EA1E51">
            <w:pPr>
              <w:spacing w:before="68" w:line="220" w:lineRule="auto"/>
              <w:ind w:left="58"/>
              <w:rPr>
                <w:rFonts w:ascii="宋体" w:hAnsi="宋体" w:eastAsia="宋体" w:cs="宋体"/>
                <w:sz w:val="21"/>
                <w:szCs w:val="21"/>
              </w:rPr>
            </w:pPr>
            <w:r>
              <w:rPr>
                <w:rFonts w:ascii="宋体" w:hAnsi="宋体" w:eastAsia="宋体" w:cs="宋体"/>
                <w:spacing w:val="-4"/>
                <w:sz w:val="21"/>
                <w:szCs w:val="21"/>
              </w:rPr>
              <w:t>东兴区</w:t>
            </w:r>
          </w:p>
          <w:p w14:paraId="50DCB1DE">
            <w:pPr>
              <w:spacing w:before="109" w:line="220" w:lineRule="auto"/>
              <w:ind w:left="53"/>
              <w:rPr>
                <w:rFonts w:ascii="宋体" w:hAnsi="宋体" w:eastAsia="宋体" w:cs="宋体"/>
                <w:sz w:val="21"/>
                <w:szCs w:val="21"/>
              </w:rPr>
            </w:pPr>
            <w:r>
              <w:rPr>
                <w:rFonts w:ascii="宋体" w:hAnsi="宋体" w:eastAsia="宋体" w:cs="宋体"/>
                <w:spacing w:val="-3"/>
                <w:sz w:val="21"/>
                <w:szCs w:val="21"/>
              </w:rPr>
              <w:t>大气环</w:t>
            </w:r>
          </w:p>
          <w:p w14:paraId="2AAA9192">
            <w:pPr>
              <w:spacing w:before="108" w:line="219" w:lineRule="auto"/>
              <w:ind w:left="52"/>
              <w:rPr>
                <w:rFonts w:ascii="宋体" w:hAnsi="宋体" w:eastAsia="宋体" w:cs="宋体"/>
                <w:sz w:val="21"/>
                <w:szCs w:val="21"/>
              </w:rPr>
            </w:pPr>
            <w:r>
              <w:rPr>
                <w:rFonts w:ascii="宋体" w:hAnsi="宋体" w:eastAsia="宋体" w:cs="宋体"/>
                <w:spacing w:val="-3"/>
                <w:sz w:val="21"/>
                <w:szCs w:val="21"/>
              </w:rPr>
              <w:t>境布局</w:t>
            </w:r>
          </w:p>
          <w:p w14:paraId="6A40D18A">
            <w:pPr>
              <w:spacing w:before="109" w:line="220" w:lineRule="auto"/>
              <w:ind w:left="52"/>
              <w:rPr>
                <w:rFonts w:ascii="宋体" w:hAnsi="宋体" w:eastAsia="宋体" w:cs="宋体"/>
                <w:sz w:val="21"/>
                <w:szCs w:val="21"/>
              </w:rPr>
            </w:pPr>
            <w:r>
              <w:rPr>
                <w:rFonts w:ascii="宋体" w:hAnsi="宋体" w:eastAsia="宋体" w:cs="宋体"/>
                <w:spacing w:val="-3"/>
                <w:sz w:val="21"/>
                <w:szCs w:val="21"/>
              </w:rPr>
              <w:t>敏感重</w:t>
            </w:r>
          </w:p>
          <w:p w14:paraId="49C377DC">
            <w:pPr>
              <w:spacing w:before="108" w:line="220" w:lineRule="auto"/>
              <w:ind w:left="61"/>
              <w:rPr>
                <w:rFonts w:ascii="宋体" w:hAnsi="宋体" w:eastAsia="宋体" w:cs="宋体"/>
                <w:sz w:val="21"/>
                <w:szCs w:val="21"/>
              </w:rPr>
            </w:pPr>
            <w:r>
              <w:rPr>
                <w:rFonts w:ascii="宋体" w:hAnsi="宋体" w:eastAsia="宋体" w:cs="宋体"/>
                <w:spacing w:val="-5"/>
                <w:sz w:val="21"/>
                <w:szCs w:val="21"/>
              </w:rPr>
              <w:t>点管控</w:t>
            </w:r>
          </w:p>
          <w:p w14:paraId="12F45EB6">
            <w:pPr>
              <w:spacing w:before="108" w:line="225" w:lineRule="auto"/>
              <w:ind w:left="276"/>
              <w:rPr>
                <w:rFonts w:ascii="宋体" w:hAnsi="宋体" w:eastAsia="宋体" w:cs="宋体"/>
                <w:sz w:val="21"/>
                <w:szCs w:val="21"/>
              </w:rPr>
            </w:pPr>
            <w:r>
              <w:rPr>
                <w:rFonts w:ascii="宋体" w:hAnsi="宋体" w:eastAsia="宋体" w:cs="宋体"/>
                <w:sz w:val="21"/>
                <w:szCs w:val="21"/>
              </w:rPr>
              <w:t>区</w:t>
            </w:r>
          </w:p>
          <w:p w14:paraId="129AD9A8">
            <w:pPr>
              <w:spacing w:line="355" w:lineRule="auto"/>
              <w:rPr>
                <w:rFonts w:ascii="Arial"/>
                <w:sz w:val="21"/>
              </w:rPr>
            </w:pPr>
          </w:p>
          <w:p w14:paraId="77F0B9F3">
            <w:pPr>
              <w:pStyle w:val="6"/>
              <w:spacing w:before="61" w:line="188" w:lineRule="auto"/>
              <w:ind w:left="19"/>
            </w:pPr>
            <w:r>
              <w:rPr>
                <w:spacing w:val="-1"/>
              </w:rPr>
              <w:t>YS5110</w:t>
            </w:r>
          </w:p>
          <w:p w14:paraId="20477D80">
            <w:pPr>
              <w:pStyle w:val="6"/>
              <w:spacing w:before="165" w:line="188" w:lineRule="auto"/>
              <w:ind w:left="72"/>
            </w:pPr>
            <w:r>
              <w:rPr>
                <w:spacing w:val="-6"/>
              </w:rPr>
              <w:t>112320</w:t>
            </w:r>
          </w:p>
          <w:p w14:paraId="2E6599B2">
            <w:pPr>
              <w:pStyle w:val="6"/>
              <w:spacing w:before="164" w:line="188" w:lineRule="auto"/>
              <w:ind w:left="208"/>
            </w:pPr>
            <w:r>
              <w:rPr>
                <w:spacing w:val="-3"/>
              </w:rPr>
              <w:t>001</w:t>
            </w:r>
          </w:p>
        </w:tc>
        <w:tc>
          <w:tcPr>
            <w:tcW w:w="561" w:type="dxa"/>
            <w:vMerge w:val="restart"/>
            <w:tcBorders>
              <w:bottom w:val="nil"/>
            </w:tcBorders>
            <w:vAlign w:val="top"/>
          </w:tcPr>
          <w:p w14:paraId="5770181D">
            <w:pPr>
              <w:spacing w:line="248" w:lineRule="auto"/>
              <w:rPr>
                <w:rFonts w:ascii="Arial"/>
                <w:sz w:val="21"/>
              </w:rPr>
            </w:pPr>
          </w:p>
          <w:p w14:paraId="748D338A">
            <w:pPr>
              <w:spacing w:line="248" w:lineRule="auto"/>
              <w:rPr>
                <w:rFonts w:ascii="Arial"/>
                <w:sz w:val="21"/>
              </w:rPr>
            </w:pPr>
          </w:p>
          <w:p w14:paraId="004AD74B">
            <w:pPr>
              <w:spacing w:line="248" w:lineRule="auto"/>
              <w:rPr>
                <w:rFonts w:ascii="Arial"/>
                <w:sz w:val="21"/>
              </w:rPr>
            </w:pPr>
          </w:p>
          <w:p w14:paraId="34662C94">
            <w:pPr>
              <w:spacing w:line="248" w:lineRule="auto"/>
              <w:rPr>
                <w:rFonts w:ascii="Arial"/>
                <w:sz w:val="21"/>
              </w:rPr>
            </w:pPr>
          </w:p>
          <w:p w14:paraId="07FD6799">
            <w:pPr>
              <w:spacing w:line="248" w:lineRule="auto"/>
              <w:rPr>
                <w:rFonts w:ascii="Arial"/>
                <w:sz w:val="21"/>
              </w:rPr>
            </w:pPr>
          </w:p>
          <w:p w14:paraId="70C2B36A">
            <w:pPr>
              <w:spacing w:line="248" w:lineRule="auto"/>
              <w:rPr>
                <w:rFonts w:ascii="Arial"/>
                <w:sz w:val="21"/>
              </w:rPr>
            </w:pPr>
          </w:p>
          <w:p w14:paraId="2438516B">
            <w:pPr>
              <w:spacing w:line="248" w:lineRule="auto"/>
              <w:rPr>
                <w:rFonts w:ascii="Arial"/>
                <w:sz w:val="21"/>
              </w:rPr>
            </w:pPr>
          </w:p>
          <w:p w14:paraId="4CC4863A">
            <w:pPr>
              <w:spacing w:line="248" w:lineRule="auto"/>
              <w:rPr>
                <w:rFonts w:ascii="Arial"/>
                <w:sz w:val="21"/>
              </w:rPr>
            </w:pPr>
          </w:p>
          <w:p w14:paraId="38A7361B">
            <w:pPr>
              <w:spacing w:line="248" w:lineRule="auto"/>
              <w:rPr>
                <w:rFonts w:ascii="Arial"/>
                <w:sz w:val="21"/>
              </w:rPr>
            </w:pPr>
          </w:p>
          <w:p w14:paraId="5D0356DC">
            <w:pPr>
              <w:spacing w:line="249" w:lineRule="auto"/>
              <w:rPr>
                <w:rFonts w:ascii="Arial"/>
                <w:sz w:val="21"/>
              </w:rPr>
            </w:pPr>
          </w:p>
          <w:p w14:paraId="667B5217">
            <w:pPr>
              <w:spacing w:line="249" w:lineRule="auto"/>
              <w:rPr>
                <w:rFonts w:ascii="Arial"/>
                <w:sz w:val="21"/>
              </w:rPr>
            </w:pPr>
          </w:p>
          <w:p w14:paraId="572580DE">
            <w:pPr>
              <w:spacing w:line="249" w:lineRule="auto"/>
              <w:rPr>
                <w:rFonts w:ascii="Arial"/>
                <w:sz w:val="21"/>
              </w:rPr>
            </w:pPr>
          </w:p>
          <w:p w14:paraId="662300F1">
            <w:pPr>
              <w:spacing w:line="249" w:lineRule="auto"/>
              <w:rPr>
                <w:rFonts w:ascii="Arial"/>
                <w:sz w:val="21"/>
              </w:rPr>
            </w:pPr>
          </w:p>
          <w:p w14:paraId="001B9226">
            <w:pPr>
              <w:spacing w:line="249" w:lineRule="auto"/>
              <w:rPr>
                <w:rFonts w:ascii="Arial"/>
                <w:sz w:val="21"/>
              </w:rPr>
            </w:pPr>
          </w:p>
          <w:p w14:paraId="31787811">
            <w:pPr>
              <w:spacing w:before="68" w:line="313" w:lineRule="auto"/>
              <w:ind w:left="67" w:right="75" w:firstLine="2"/>
              <w:jc w:val="both"/>
              <w:rPr>
                <w:rFonts w:ascii="宋体" w:hAnsi="宋体" w:eastAsia="宋体" w:cs="宋体"/>
                <w:sz w:val="21"/>
                <w:szCs w:val="21"/>
              </w:rPr>
            </w:pPr>
            <w:r>
              <w:rPr>
                <w:rFonts w:ascii="宋体" w:hAnsi="宋体" w:eastAsia="宋体" w:cs="宋体"/>
                <w:spacing w:val="-5"/>
                <w:sz w:val="21"/>
                <w:szCs w:val="21"/>
              </w:rPr>
              <w:t>单元</w:t>
            </w:r>
            <w:r>
              <w:rPr>
                <w:rFonts w:ascii="宋体" w:hAnsi="宋体" w:eastAsia="宋体" w:cs="宋体"/>
                <w:spacing w:val="-4"/>
                <w:sz w:val="21"/>
                <w:szCs w:val="21"/>
              </w:rPr>
              <w:t>级清单管控要</w:t>
            </w:r>
            <w:r>
              <w:rPr>
                <w:rFonts w:ascii="宋体" w:hAnsi="宋体" w:eastAsia="宋体" w:cs="宋体"/>
                <w:spacing w:val="39"/>
                <w:w w:val="128"/>
                <w:sz w:val="21"/>
                <w:szCs w:val="21"/>
              </w:rPr>
              <w:t>求</w:t>
            </w:r>
          </w:p>
        </w:tc>
        <w:tc>
          <w:tcPr>
            <w:tcW w:w="700" w:type="dxa"/>
            <w:vAlign w:val="top"/>
          </w:tcPr>
          <w:p w14:paraId="0CEB2C2E">
            <w:pPr>
              <w:spacing w:line="434" w:lineRule="auto"/>
              <w:rPr>
                <w:rFonts w:ascii="Arial"/>
                <w:sz w:val="21"/>
              </w:rPr>
            </w:pPr>
          </w:p>
          <w:p w14:paraId="69F836F4">
            <w:pPr>
              <w:spacing w:before="69" w:line="314" w:lineRule="auto"/>
              <w:ind w:left="35" w:right="40" w:firstLine="3"/>
              <w:rPr>
                <w:rFonts w:ascii="宋体" w:hAnsi="宋体" w:eastAsia="宋体" w:cs="宋体"/>
                <w:sz w:val="21"/>
                <w:szCs w:val="21"/>
              </w:rPr>
            </w:pPr>
            <w:r>
              <w:rPr>
                <w:rFonts w:ascii="宋体" w:hAnsi="宋体" w:eastAsia="宋体" w:cs="宋体"/>
                <w:spacing w:val="-5"/>
                <w:sz w:val="21"/>
                <w:szCs w:val="21"/>
              </w:rPr>
              <w:t>空间布</w:t>
            </w:r>
            <w:r>
              <w:rPr>
                <w:rFonts w:ascii="宋体" w:hAnsi="宋体" w:eastAsia="宋体" w:cs="宋体"/>
                <w:spacing w:val="-4"/>
                <w:sz w:val="21"/>
                <w:szCs w:val="21"/>
              </w:rPr>
              <w:t>局约束</w:t>
            </w:r>
          </w:p>
        </w:tc>
        <w:tc>
          <w:tcPr>
            <w:tcW w:w="3905" w:type="dxa"/>
            <w:vAlign w:val="top"/>
          </w:tcPr>
          <w:p w14:paraId="2230F3A7">
            <w:pPr>
              <w:spacing w:before="58" w:line="220" w:lineRule="auto"/>
              <w:ind w:left="4"/>
              <w:rPr>
                <w:rFonts w:ascii="宋体" w:hAnsi="宋体" w:eastAsia="宋体" w:cs="宋体"/>
                <w:sz w:val="21"/>
                <w:szCs w:val="21"/>
              </w:rPr>
            </w:pPr>
            <w:r>
              <w:rPr>
                <w:rFonts w:ascii="宋体" w:hAnsi="宋体" w:eastAsia="宋体" w:cs="宋体"/>
                <w:spacing w:val="-1"/>
                <w:sz w:val="21"/>
                <w:szCs w:val="21"/>
              </w:rPr>
              <w:t>禁止开发建设活动的要求</w:t>
            </w:r>
          </w:p>
          <w:p w14:paraId="3DE7CE20">
            <w:pPr>
              <w:spacing w:before="62" w:line="220" w:lineRule="auto"/>
              <w:ind w:left="19"/>
              <w:rPr>
                <w:rFonts w:ascii="宋体" w:hAnsi="宋体" w:eastAsia="宋体" w:cs="宋体"/>
                <w:sz w:val="21"/>
                <w:szCs w:val="21"/>
              </w:rPr>
            </w:pPr>
            <w:r>
              <w:rPr>
                <w:rFonts w:ascii="宋体" w:hAnsi="宋体" w:eastAsia="宋体" w:cs="宋体"/>
                <w:spacing w:val="-2"/>
                <w:sz w:val="21"/>
                <w:szCs w:val="21"/>
              </w:rPr>
              <w:t>限制开发建设活动的要求</w:t>
            </w:r>
          </w:p>
          <w:p w14:paraId="630DD7BF">
            <w:pPr>
              <w:spacing w:before="60" w:line="220" w:lineRule="auto"/>
              <w:ind w:left="12"/>
              <w:rPr>
                <w:rFonts w:ascii="宋体" w:hAnsi="宋体" w:eastAsia="宋体" w:cs="宋体"/>
                <w:sz w:val="21"/>
                <w:szCs w:val="21"/>
              </w:rPr>
            </w:pPr>
            <w:r>
              <w:rPr>
                <w:rFonts w:ascii="宋体" w:hAnsi="宋体" w:eastAsia="宋体" w:cs="宋体"/>
                <w:spacing w:val="-2"/>
                <w:sz w:val="21"/>
                <w:szCs w:val="21"/>
              </w:rPr>
              <w:t>允许开发建设活动的要求</w:t>
            </w:r>
          </w:p>
          <w:p w14:paraId="3206A3B3">
            <w:pPr>
              <w:spacing w:before="61" w:line="249" w:lineRule="auto"/>
              <w:ind w:left="5" w:right="543" w:firstLine="2"/>
              <w:rPr>
                <w:rFonts w:ascii="宋体" w:hAnsi="宋体" w:eastAsia="宋体" w:cs="宋体"/>
                <w:sz w:val="21"/>
                <w:szCs w:val="21"/>
              </w:rPr>
            </w:pPr>
            <w:r>
              <w:rPr>
                <w:rFonts w:ascii="宋体" w:hAnsi="宋体" w:eastAsia="宋体" w:cs="宋体"/>
                <w:spacing w:val="-1"/>
                <w:sz w:val="21"/>
                <w:szCs w:val="21"/>
              </w:rPr>
              <w:t>不符合空间布局要求活动的退出要求其他空间布局约束要求</w:t>
            </w:r>
          </w:p>
        </w:tc>
        <w:tc>
          <w:tcPr>
            <w:tcW w:w="1693" w:type="dxa"/>
            <w:vAlign w:val="top"/>
          </w:tcPr>
          <w:p w14:paraId="1040EF44">
            <w:pPr>
              <w:spacing w:line="305" w:lineRule="auto"/>
              <w:rPr>
                <w:rFonts w:ascii="Arial"/>
                <w:sz w:val="21"/>
              </w:rPr>
            </w:pPr>
          </w:p>
          <w:p w14:paraId="0D9FCDFE">
            <w:pPr>
              <w:spacing w:line="305" w:lineRule="auto"/>
              <w:rPr>
                <w:rFonts w:ascii="Arial"/>
                <w:sz w:val="21"/>
              </w:rPr>
            </w:pPr>
          </w:p>
          <w:p w14:paraId="427F0D84">
            <w:pPr>
              <w:spacing w:before="68" w:line="220" w:lineRule="auto"/>
              <w:ind w:left="8"/>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6E4F2895">
            <w:pPr>
              <w:spacing w:line="305" w:lineRule="auto"/>
              <w:rPr>
                <w:rFonts w:ascii="Arial"/>
                <w:sz w:val="21"/>
              </w:rPr>
            </w:pPr>
          </w:p>
          <w:p w14:paraId="2F9337E0">
            <w:pPr>
              <w:spacing w:line="305" w:lineRule="auto"/>
              <w:rPr>
                <w:rFonts w:ascii="Arial"/>
                <w:sz w:val="21"/>
              </w:rPr>
            </w:pPr>
          </w:p>
          <w:p w14:paraId="6DE1A4B5">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50D5B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3" w:hRule="atLeast"/>
        </w:trPr>
        <w:tc>
          <w:tcPr>
            <w:tcW w:w="721" w:type="dxa"/>
            <w:vMerge w:val="continue"/>
            <w:tcBorders>
              <w:top w:val="nil"/>
            </w:tcBorders>
            <w:vAlign w:val="top"/>
          </w:tcPr>
          <w:p w14:paraId="2BB569EC">
            <w:pPr>
              <w:rPr>
                <w:rFonts w:ascii="Arial"/>
                <w:sz w:val="21"/>
              </w:rPr>
            </w:pPr>
          </w:p>
        </w:tc>
        <w:tc>
          <w:tcPr>
            <w:tcW w:w="561" w:type="dxa"/>
            <w:vMerge w:val="continue"/>
            <w:tcBorders>
              <w:top w:val="nil"/>
            </w:tcBorders>
            <w:vAlign w:val="top"/>
          </w:tcPr>
          <w:p w14:paraId="35AB8869">
            <w:pPr>
              <w:rPr>
                <w:rFonts w:ascii="Arial"/>
                <w:sz w:val="21"/>
              </w:rPr>
            </w:pPr>
          </w:p>
        </w:tc>
        <w:tc>
          <w:tcPr>
            <w:tcW w:w="700" w:type="dxa"/>
            <w:vAlign w:val="top"/>
          </w:tcPr>
          <w:p w14:paraId="4B2661E6">
            <w:pPr>
              <w:spacing w:line="253" w:lineRule="auto"/>
              <w:rPr>
                <w:rFonts w:ascii="Arial"/>
                <w:sz w:val="21"/>
              </w:rPr>
            </w:pPr>
          </w:p>
          <w:p w14:paraId="19F1CBF4">
            <w:pPr>
              <w:spacing w:line="253" w:lineRule="auto"/>
              <w:rPr>
                <w:rFonts w:ascii="Arial"/>
                <w:sz w:val="21"/>
              </w:rPr>
            </w:pPr>
          </w:p>
          <w:p w14:paraId="102A7342">
            <w:pPr>
              <w:spacing w:line="253" w:lineRule="auto"/>
              <w:rPr>
                <w:rFonts w:ascii="Arial"/>
                <w:sz w:val="21"/>
              </w:rPr>
            </w:pPr>
          </w:p>
          <w:p w14:paraId="636F24E7">
            <w:pPr>
              <w:spacing w:line="253" w:lineRule="auto"/>
              <w:rPr>
                <w:rFonts w:ascii="Arial"/>
                <w:sz w:val="21"/>
              </w:rPr>
            </w:pPr>
          </w:p>
          <w:p w14:paraId="29753446">
            <w:pPr>
              <w:spacing w:line="254" w:lineRule="auto"/>
              <w:rPr>
                <w:rFonts w:ascii="Arial"/>
                <w:sz w:val="21"/>
              </w:rPr>
            </w:pPr>
          </w:p>
          <w:p w14:paraId="5EB622F0">
            <w:pPr>
              <w:spacing w:line="254" w:lineRule="auto"/>
              <w:rPr>
                <w:rFonts w:ascii="Arial"/>
                <w:sz w:val="21"/>
              </w:rPr>
            </w:pPr>
          </w:p>
          <w:p w14:paraId="3E3C57AF">
            <w:pPr>
              <w:spacing w:line="254" w:lineRule="auto"/>
              <w:rPr>
                <w:rFonts w:ascii="Arial"/>
                <w:sz w:val="21"/>
              </w:rPr>
            </w:pPr>
          </w:p>
          <w:p w14:paraId="6D6A5E9B">
            <w:pPr>
              <w:spacing w:line="254" w:lineRule="auto"/>
              <w:rPr>
                <w:rFonts w:ascii="Arial"/>
                <w:sz w:val="21"/>
              </w:rPr>
            </w:pPr>
          </w:p>
          <w:p w14:paraId="5DBE76A1">
            <w:pPr>
              <w:spacing w:line="254" w:lineRule="auto"/>
              <w:rPr>
                <w:rFonts w:ascii="Arial"/>
                <w:sz w:val="21"/>
              </w:rPr>
            </w:pPr>
          </w:p>
          <w:p w14:paraId="6AEFC6AC">
            <w:pPr>
              <w:spacing w:line="254" w:lineRule="auto"/>
              <w:rPr>
                <w:rFonts w:ascii="Arial"/>
                <w:sz w:val="21"/>
              </w:rPr>
            </w:pPr>
          </w:p>
          <w:p w14:paraId="08DBE28E">
            <w:pPr>
              <w:spacing w:line="254" w:lineRule="auto"/>
              <w:rPr>
                <w:rFonts w:ascii="Arial"/>
                <w:sz w:val="21"/>
              </w:rPr>
            </w:pPr>
          </w:p>
          <w:p w14:paraId="7889C2D9">
            <w:pPr>
              <w:spacing w:line="254" w:lineRule="auto"/>
              <w:rPr>
                <w:rFonts w:ascii="Arial"/>
                <w:sz w:val="21"/>
              </w:rPr>
            </w:pPr>
          </w:p>
          <w:p w14:paraId="3559DB18">
            <w:pPr>
              <w:spacing w:before="68" w:line="220" w:lineRule="auto"/>
              <w:ind w:left="34"/>
              <w:rPr>
                <w:rFonts w:ascii="宋体" w:hAnsi="宋体" w:eastAsia="宋体" w:cs="宋体"/>
                <w:sz w:val="21"/>
                <w:szCs w:val="21"/>
              </w:rPr>
            </w:pPr>
            <w:r>
              <w:rPr>
                <w:rFonts w:ascii="宋体" w:hAnsi="宋体" w:eastAsia="宋体" w:cs="宋体"/>
                <w:spacing w:val="-3"/>
                <w:sz w:val="21"/>
                <w:szCs w:val="21"/>
              </w:rPr>
              <w:t>污染物</w:t>
            </w:r>
          </w:p>
          <w:p w14:paraId="620739C8">
            <w:pPr>
              <w:spacing w:before="102" w:line="220" w:lineRule="auto"/>
              <w:ind w:left="32"/>
              <w:rPr>
                <w:rFonts w:ascii="宋体" w:hAnsi="宋体" w:eastAsia="宋体" w:cs="宋体"/>
                <w:sz w:val="21"/>
                <w:szCs w:val="21"/>
              </w:rPr>
            </w:pPr>
            <w:r>
              <w:rPr>
                <w:rFonts w:ascii="宋体" w:hAnsi="宋体" w:eastAsia="宋体" w:cs="宋体"/>
                <w:spacing w:val="-2"/>
                <w:sz w:val="21"/>
                <w:szCs w:val="21"/>
              </w:rPr>
              <w:t>排放管</w:t>
            </w:r>
          </w:p>
          <w:p w14:paraId="4523D358">
            <w:pPr>
              <w:spacing w:before="105" w:line="220" w:lineRule="auto"/>
              <w:ind w:left="241"/>
              <w:rPr>
                <w:rFonts w:ascii="宋体" w:hAnsi="宋体" w:eastAsia="宋体" w:cs="宋体"/>
                <w:sz w:val="21"/>
                <w:szCs w:val="21"/>
              </w:rPr>
            </w:pPr>
            <w:r>
              <w:rPr>
                <w:rFonts w:ascii="宋体" w:hAnsi="宋体" w:eastAsia="宋体" w:cs="宋体"/>
                <w:sz w:val="21"/>
                <w:szCs w:val="21"/>
              </w:rPr>
              <w:t>控</w:t>
            </w:r>
          </w:p>
        </w:tc>
        <w:tc>
          <w:tcPr>
            <w:tcW w:w="3905" w:type="dxa"/>
            <w:vAlign w:val="top"/>
          </w:tcPr>
          <w:p w14:paraId="45D1ECF0">
            <w:pPr>
              <w:pStyle w:val="6"/>
              <w:spacing w:before="76" w:line="220" w:lineRule="auto"/>
              <w:ind w:left="10"/>
              <w:rPr>
                <w:rFonts w:ascii="宋体" w:hAnsi="宋体" w:eastAsia="宋体" w:cs="宋体"/>
              </w:rPr>
            </w:pPr>
            <w:r>
              <w:rPr>
                <w:rFonts w:ascii="宋体" w:hAnsi="宋体" w:eastAsia="宋体" w:cs="宋体"/>
                <w:spacing w:val="-2"/>
              </w:rPr>
              <w:t>（</w:t>
            </w:r>
            <w:r>
              <w:rPr>
                <w:spacing w:val="-2"/>
              </w:rPr>
              <w:t>1</w:t>
            </w:r>
            <w:r>
              <w:rPr>
                <w:rFonts w:ascii="宋体" w:hAnsi="宋体" w:eastAsia="宋体" w:cs="宋体"/>
                <w:spacing w:val="-2"/>
              </w:rPr>
              <w:t>）大气环境质量执行标准</w:t>
            </w:r>
          </w:p>
          <w:p w14:paraId="516B6FD2">
            <w:pPr>
              <w:pStyle w:val="6"/>
              <w:spacing w:before="110" w:line="315" w:lineRule="auto"/>
              <w:ind w:left="7" w:right="17" w:hanging="2"/>
              <w:rPr>
                <w:rFonts w:ascii="宋体" w:hAnsi="宋体" w:eastAsia="宋体" w:cs="宋体"/>
              </w:rPr>
            </w:pPr>
            <w:r>
              <w:rPr>
                <w:rFonts w:ascii="宋体" w:hAnsi="宋体" w:eastAsia="宋体" w:cs="宋体"/>
                <w:spacing w:val="-6"/>
              </w:rPr>
              <w:t>《环境空气质量标准》（</w:t>
            </w:r>
            <w:r>
              <w:rPr>
                <w:spacing w:val="-6"/>
              </w:rPr>
              <w:t>GB3095-201</w:t>
            </w:r>
            <w:r>
              <w:rPr>
                <w:spacing w:val="-7"/>
              </w:rPr>
              <w:t>2</w:t>
            </w:r>
            <w:r>
              <w:rPr>
                <w:rFonts w:ascii="宋体" w:hAnsi="宋体" w:eastAsia="宋体" w:cs="宋体"/>
                <w:spacing w:val="-53"/>
                <w:w w:val="95"/>
              </w:rPr>
              <w:t>）：</w:t>
            </w:r>
            <w:r>
              <w:rPr>
                <w:rFonts w:ascii="宋体" w:hAnsi="宋体" w:eastAsia="宋体" w:cs="宋体"/>
                <w:spacing w:val="-7"/>
              </w:rPr>
              <w:t>二</w:t>
            </w:r>
            <w:r>
              <w:rPr>
                <w:rFonts w:ascii="宋体" w:hAnsi="宋体" w:eastAsia="宋体" w:cs="宋体"/>
              </w:rPr>
              <w:t>级</w:t>
            </w:r>
          </w:p>
          <w:p w14:paraId="632975FE">
            <w:pPr>
              <w:pStyle w:val="6"/>
              <w:spacing w:line="219" w:lineRule="auto"/>
              <w:ind w:left="10"/>
              <w:rPr>
                <w:rFonts w:ascii="宋体" w:hAnsi="宋体" w:eastAsia="宋体" w:cs="宋体"/>
              </w:rPr>
            </w:pPr>
            <w:r>
              <w:rPr>
                <w:rFonts w:ascii="宋体" w:hAnsi="宋体" w:eastAsia="宋体" w:cs="宋体"/>
                <w:spacing w:val="-1"/>
              </w:rPr>
              <w:t>（</w:t>
            </w:r>
            <w:r>
              <w:rPr>
                <w:spacing w:val="-1"/>
              </w:rPr>
              <w:t>2</w:t>
            </w:r>
            <w:r>
              <w:rPr>
                <w:rFonts w:ascii="宋体" w:hAnsi="宋体" w:eastAsia="宋体" w:cs="宋体"/>
                <w:spacing w:val="-1"/>
              </w:rPr>
              <w:t>）区域大气污染物削减</w:t>
            </w:r>
            <w:r>
              <w:rPr>
                <w:spacing w:val="-1"/>
              </w:rPr>
              <w:t>/</w:t>
            </w:r>
            <w:r>
              <w:rPr>
                <w:rFonts w:ascii="宋体" w:hAnsi="宋体" w:eastAsia="宋体" w:cs="宋体"/>
                <w:spacing w:val="-1"/>
              </w:rPr>
              <w:t>替代要求</w:t>
            </w:r>
          </w:p>
          <w:p w14:paraId="2A206A44">
            <w:pPr>
              <w:spacing w:before="110" w:line="315" w:lineRule="auto"/>
              <w:ind w:left="17" w:right="4" w:hanging="12"/>
              <w:rPr>
                <w:rFonts w:ascii="宋体" w:hAnsi="宋体" w:eastAsia="宋体" w:cs="宋体"/>
                <w:sz w:val="21"/>
                <w:szCs w:val="21"/>
              </w:rPr>
            </w:pPr>
            <w:r>
              <w:rPr>
                <w:rFonts w:ascii="宋体" w:hAnsi="宋体" w:eastAsia="宋体" w:cs="宋体"/>
                <w:spacing w:val="6"/>
                <w:sz w:val="21"/>
                <w:szCs w:val="21"/>
              </w:rPr>
              <w:t>新增大气污染物排放的建设项目实施总量</w:t>
            </w:r>
            <w:r>
              <w:rPr>
                <w:rFonts w:ascii="宋体" w:hAnsi="宋体" w:eastAsia="宋体" w:cs="宋体"/>
                <w:spacing w:val="-9"/>
                <w:sz w:val="21"/>
                <w:szCs w:val="21"/>
              </w:rPr>
              <w:t>削减替代。</w:t>
            </w:r>
          </w:p>
          <w:p w14:paraId="38BB0AEF">
            <w:pPr>
              <w:pStyle w:val="6"/>
              <w:spacing w:line="220" w:lineRule="auto"/>
              <w:ind w:left="10"/>
              <w:rPr>
                <w:rFonts w:ascii="宋体" w:hAnsi="宋体" w:eastAsia="宋体" w:cs="宋体"/>
              </w:rPr>
            </w:pPr>
            <w:r>
              <w:rPr>
                <w:rFonts w:ascii="宋体" w:hAnsi="宋体" w:eastAsia="宋体" w:cs="宋体"/>
                <w:spacing w:val="-2"/>
              </w:rPr>
              <w:t>（</w:t>
            </w:r>
            <w:r>
              <w:rPr>
                <w:spacing w:val="-2"/>
              </w:rPr>
              <w:t>3</w:t>
            </w:r>
            <w:r>
              <w:rPr>
                <w:rFonts w:ascii="宋体" w:hAnsi="宋体" w:eastAsia="宋体" w:cs="宋体"/>
                <w:spacing w:val="-2"/>
              </w:rPr>
              <w:t>）燃煤和其他能源大气污染控制要求</w:t>
            </w:r>
          </w:p>
          <w:p w14:paraId="23CD1FB1">
            <w:pPr>
              <w:spacing w:before="109" w:line="315" w:lineRule="auto"/>
              <w:ind w:left="10" w:right="4" w:hanging="6"/>
              <w:rPr>
                <w:rFonts w:ascii="宋体" w:hAnsi="宋体" w:eastAsia="宋体" w:cs="宋体"/>
                <w:sz w:val="21"/>
                <w:szCs w:val="21"/>
              </w:rPr>
            </w:pPr>
            <w:r>
              <w:rPr>
                <w:rFonts w:ascii="宋体" w:hAnsi="宋体" w:eastAsia="宋体" w:cs="宋体"/>
                <w:spacing w:val="-6"/>
                <w:sz w:val="21"/>
                <w:szCs w:val="21"/>
              </w:rPr>
              <w:t>优化能源结构，持续减少工业煤炭消费，提</w:t>
            </w:r>
            <w:r>
              <w:rPr>
                <w:rFonts w:ascii="宋体" w:hAnsi="宋体" w:eastAsia="宋体" w:cs="宋体"/>
                <w:spacing w:val="-5"/>
                <w:sz w:val="21"/>
                <w:szCs w:val="21"/>
              </w:rPr>
              <w:t>高能源利用效率。</w:t>
            </w:r>
          </w:p>
          <w:p w14:paraId="42F4D000">
            <w:pPr>
              <w:pStyle w:val="6"/>
              <w:spacing w:line="220" w:lineRule="auto"/>
              <w:ind w:left="10"/>
              <w:rPr>
                <w:rFonts w:ascii="宋体" w:hAnsi="宋体" w:eastAsia="宋体" w:cs="宋体"/>
              </w:rPr>
            </w:pPr>
            <w:r>
              <w:rPr>
                <w:rFonts w:ascii="宋体" w:hAnsi="宋体" w:eastAsia="宋体" w:cs="宋体"/>
                <w:spacing w:val="-2"/>
              </w:rPr>
              <w:t>（</w:t>
            </w:r>
            <w:r>
              <w:rPr>
                <w:spacing w:val="-2"/>
              </w:rPr>
              <w:t>4</w:t>
            </w:r>
            <w:r>
              <w:rPr>
                <w:rFonts w:ascii="宋体" w:hAnsi="宋体" w:eastAsia="宋体" w:cs="宋体"/>
                <w:spacing w:val="-2"/>
              </w:rPr>
              <w:t>）工业废气污染控制要求</w:t>
            </w:r>
          </w:p>
          <w:p w14:paraId="1021B7AA">
            <w:pPr>
              <w:pStyle w:val="6"/>
              <w:spacing w:before="108" w:line="219" w:lineRule="auto"/>
              <w:ind w:left="10"/>
              <w:rPr>
                <w:rFonts w:ascii="宋体" w:hAnsi="宋体" w:eastAsia="宋体" w:cs="宋体"/>
              </w:rPr>
            </w:pPr>
            <w:r>
              <w:rPr>
                <w:rFonts w:ascii="宋体" w:hAnsi="宋体" w:eastAsia="宋体" w:cs="宋体"/>
                <w:spacing w:val="-2"/>
              </w:rPr>
              <w:t>（</w:t>
            </w:r>
            <w:r>
              <w:rPr>
                <w:spacing w:val="-2"/>
              </w:rPr>
              <w:t>5</w:t>
            </w:r>
            <w:r>
              <w:rPr>
                <w:rFonts w:ascii="宋体" w:hAnsi="宋体" w:eastAsia="宋体" w:cs="宋体"/>
                <w:spacing w:val="-2"/>
              </w:rPr>
              <w:t>）机动车船大气污染控制要求</w:t>
            </w:r>
          </w:p>
          <w:p w14:paraId="6F9075CD">
            <w:pPr>
              <w:spacing w:before="111" w:line="315" w:lineRule="auto"/>
              <w:ind w:left="4" w:right="4"/>
              <w:jc w:val="both"/>
              <w:rPr>
                <w:rFonts w:ascii="宋体" w:hAnsi="宋体" w:eastAsia="宋体" w:cs="宋体"/>
                <w:sz w:val="21"/>
                <w:szCs w:val="21"/>
              </w:rPr>
            </w:pPr>
            <w:r>
              <w:rPr>
                <w:rFonts w:ascii="宋体" w:hAnsi="宋体" w:eastAsia="宋体" w:cs="宋体"/>
                <w:spacing w:val="-6"/>
                <w:sz w:val="21"/>
                <w:szCs w:val="21"/>
              </w:rPr>
              <w:t>减少移动源污染物排放。打好柴油货车污染治理攻坚战，实施“车、油、路、管”综合整治；加快老旧车辆的淘汰和不达标车辆的</w:t>
            </w:r>
          </w:p>
          <w:p w14:paraId="5CD80D6A">
            <w:pPr>
              <w:spacing w:before="1" w:line="219" w:lineRule="auto"/>
              <w:ind w:left="5"/>
              <w:rPr>
                <w:rFonts w:ascii="宋体" w:hAnsi="宋体" w:eastAsia="宋体" w:cs="宋体"/>
                <w:sz w:val="21"/>
                <w:szCs w:val="21"/>
              </w:rPr>
            </w:pPr>
            <w:r>
              <w:rPr>
                <w:rFonts w:ascii="宋体" w:hAnsi="宋体" w:eastAsia="宋体" w:cs="宋体"/>
                <w:spacing w:val="-3"/>
                <w:sz w:val="21"/>
                <w:szCs w:val="21"/>
              </w:rPr>
              <w:t>整治；鼓励新能源汽车的使用和替代。</w:t>
            </w:r>
          </w:p>
          <w:p w14:paraId="11D1439F">
            <w:pPr>
              <w:pStyle w:val="6"/>
              <w:spacing w:before="109" w:line="220" w:lineRule="auto"/>
              <w:ind w:left="10"/>
              <w:rPr>
                <w:rFonts w:ascii="宋体" w:hAnsi="宋体" w:eastAsia="宋体" w:cs="宋体"/>
              </w:rPr>
            </w:pPr>
            <w:r>
              <w:rPr>
                <w:rFonts w:ascii="宋体" w:hAnsi="宋体" w:eastAsia="宋体" w:cs="宋体"/>
                <w:spacing w:val="-3"/>
              </w:rPr>
              <w:t>（</w:t>
            </w:r>
            <w:r>
              <w:rPr>
                <w:spacing w:val="-3"/>
              </w:rPr>
              <w:t>6</w:t>
            </w:r>
            <w:r>
              <w:rPr>
                <w:rFonts w:ascii="宋体" w:hAnsi="宋体" w:eastAsia="宋体" w:cs="宋体"/>
                <w:spacing w:val="-3"/>
              </w:rPr>
              <w:t>）扬尘污染控制要求</w:t>
            </w:r>
          </w:p>
          <w:p w14:paraId="1EEBFE27">
            <w:pPr>
              <w:spacing w:before="107" w:line="298" w:lineRule="auto"/>
              <w:ind w:left="4" w:right="4"/>
              <w:rPr>
                <w:rFonts w:ascii="宋体" w:hAnsi="宋体" w:eastAsia="宋体" w:cs="宋体"/>
                <w:sz w:val="21"/>
                <w:szCs w:val="21"/>
              </w:rPr>
            </w:pPr>
            <w:r>
              <w:rPr>
                <w:rFonts w:ascii="宋体" w:hAnsi="宋体" w:eastAsia="宋体" w:cs="宋体"/>
                <w:spacing w:val="-6"/>
                <w:sz w:val="21"/>
                <w:szCs w:val="21"/>
              </w:rPr>
              <w:t>严格落实施工扬尘“六必须、六不准”管控要求，实施网格化管理，建立扬尘在线监测体系，加强现场检查力度。加强道路扬尘治理，提高城市道路机械化清扫率。加强渣土</w:t>
            </w:r>
          </w:p>
        </w:tc>
        <w:tc>
          <w:tcPr>
            <w:tcW w:w="1693" w:type="dxa"/>
            <w:vAlign w:val="top"/>
          </w:tcPr>
          <w:p w14:paraId="4B74565D">
            <w:pPr>
              <w:rPr>
                <w:rFonts w:ascii="Arial"/>
                <w:sz w:val="21"/>
              </w:rPr>
            </w:pPr>
          </w:p>
          <w:p w14:paraId="48854E9E">
            <w:pPr>
              <w:rPr>
                <w:rFonts w:ascii="Arial"/>
                <w:sz w:val="21"/>
              </w:rPr>
            </w:pPr>
          </w:p>
          <w:p w14:paraId="277B8CFF">
            <w:pPr>
              <w:rPr>
                <w:rFonts w:ascii="Arial"/>
                <w:sz w:val="21"/>
              </w:rPr>
            </w:pPr>
          </w:p>
          <w:p w14:paraId="5566D269">
            <w:pPr>
              <w:rPr>
                <w:rFonts w:ascii="Arial"/>
                <w:sz w:val="21"/>
              </w:rPr>
            </w:pPr>
          </w:p>
          <w:p w14:paraId="50967300">
            <w:pPr>
              <w:spacing w:line="241" w:lineRule="auto"/>
              <w:rPr>
                <w:rFonts w:ascii="Arial"/>
                <w:sz w:val="21"/>
              </w:rPr>
            </w:pPr>
          </w:p>
          <w:p w14:paraId="752DAC69">
            <w:pPr>
              <w:spacing w:line="241" w:lineRule="auto"/>
              <w:rPr>
                <w:rFonts w:ascii="Arial"/>
                <w:sz w:val="21"/>
              </w:rPr>
            </w:pPr>
          </w:p>
          <w:p w14:paraId="3486BBB3">
            <w:pPr>
              <w:spacing w:line="241" w:lineRule="auto"/>
              <w:rPr>
                <w:rFonts w:ascii="Arial"/>
                <w:sz w:val="21"/>
              </w:rPr>
            </w:pPr>
          </w:p>
          <w:p w14:paraId="228951A8">
            <w:pPr>
              <w:spacing w:line="241" w:lineRule="auto"/>
              <w:rPr>
                <w:rFonts w:ascii="Arial"/>
                <w:sz w:val="21"/>
              </w:rPr>
            </w:pPr>
          </w:p>
          <w:p w14:paraId="66D4B3D0">
            <w:pPr>
              <w:spacing w:line="241" w:lineRule="auto"/>
              <w:rPr>
                <w:rFonts w:ascii="Arial"/>
                <w:sz w:val="21"/>
              </w:rPr>
            </w:pPr>
          </w:p>
          <w:p w14:paraId="54113D7E">
            <w:pPr>
              <w:pStyle w:val="6"/>
              <w:spacing w:before="69" w:line="312" w:lineRule="auto"/>
              <w:ind w:left="7"/>
              <w:jc w:val="both"/>
              <w:rPr>
                <w:rFonts w:ascii="宋体" w:hAnsi="宋体" w:eastAsia="宋体" w:cs="宋体"/>
              </w:rPr>
            </w:pPr>
            <w:r>
              <w:rPr>
                <w:rFonts w:ascii="宋体" w:hAnsi="宋体" w:eastAsia="宋体" w:cs="宋体"/>
                <w:spacing w:val="-12"/>
              </w:rPr>
              <w:t>本项目属于生猪养殖项目，区域环境空气质量执行《环</w:t>
            </w:r>
            <w:r>
              <w:rPr>
                <w:rFonts w:ascii="宋体" w:hAnsi="宋体" w:eastAsia="宋体" w:cs="宋体"/>
              </w:rPr>
              <w:t xml:space="preserve">境空气质量标准》 </w:t>
            </w:r>
            <w:r>
              <w:rPr>
                <w:rFonts w:ascii="宋体" w:hAnsi="宋体" w:eastAsia="宋体" w:cs="宋体"/>
                <w:spacing w:val="-4"/>
              </w:rPr>
              <w:t>（</w:t>
            </w:r>
            <w:r>
              <w:rPr>
                <w:spacing w:val="-4"/>
              </w:rPr>
              <w:t xml:space="preserve">GB3095-2012 </w:t>
            </w:r>
            <w:r>
              <w:rPr>
                <w:rFonts w:ascii="宋体" w:hAnsi="宋体" w:eastAsia="宋体" w:cs="宋体"/>
                <w:spacing w:val="-4"/>
              </w:rPr>
              <w:t>）</w:t>
            </w:r>
            <w:r>
              <w:rPr>
                <w:rFonts w:ascii="宋体" w:hAnsi="宋体" w:eastAsia="宋体" w:cs="宋体"/>
                <w:spacing w:val="-12"/>
              </w:rPr>
              <w:t>二级标准；不使用煤炭；不涉及清单</w:t>
            </w:r>
            <w:r>
              <w:rPr>
                <w:rFonts w:ascii="宋体" w:hAnsi="宋体" w:eastAsia="宋体" w:cs="宋体"/>
                <w:spacing w:val="-14"/>
              </w:rPr>
              <w:t>所列其他内容。</w:t>
            </w:r>
          </w:p>
        </w:tc>
        <w:tc>
          <w:tcPr>
            <w:tcW w:w="746" w:type="dxa"/>
            <w:vAlign w:val="top"/>
          </w:tcPr>
          <w:p w14:paraId="1DA38ED2">
            <w:pPr>
              <w:spacing w:line="242" w:lineRule="auto"/>
              <w:rPr>
                <w:rFonts w:ascii="Arial"/>
                <w:sz w:val="21"/>
              </w:rPr>
            </w:pPr>
          </w:p>
          <w:p w14:paraId="71BA557F">
            <w:pPr>
              <w:spacing w:line="242" w:lineRule="auto"/>
              <w:rPr>
                <w:rFonts w:ascii="Arial"/>
                <w:sz w:val="21"/>
              </w:rPr>
            </w:pPr>
          </w:p>
          <w:p w14:paraId="673F7066">
            <w:pPr>
              <w:spacing w:line="242" w:lineRule="auto"/>
              <w:rPr>
                <w:rFonts w:ascii="Arial"/>
                <w:sz w:val="21"/>
              </w:rPr>
            </w:pPr>
          </w:p>
          <w:p w14:paraId="7A2EDC75">
            <w:pPr>
              <w:spacing w:line="242" w:lineRule="auto"/>
              <w:rPr>
                <w:rFonts w:ascii="Arial"/>
                <w:sz w:val="21"/>
              </w:rPr>
            </w:pPr>
          </w:p>
          <w:p w14:paraId="3FFEFFC6">
            <w:pPr>
              <w:spacing w:line="242" w:lineRule="auto"/>
              <w:rPr>
                <w:rFonts w:ascii="Arial"/>
                <w:sz w:val="21"/>
              </w:rPr>
            </w:pPr>
          </w:p>
          <w:p w14:paraId="66988C13">
            <w:pPr>
              <w:spacing w:line="242" w:lineRule="auto"/>
              <w:rPr>
                <w:rFonts w:ascii="Arial"/>
                <w:sz w:val="21"/>
              </w:rPr>
            </w:pPr>
          </w:p>
          <w:p w14:paraId="30A93478">
            <w:pPr>
              <w:spacing w:line="242" w:lineRule="auto"/>
              <w:rPr>
                <w:rFonts w:ascii="Arial"/>
                <w:sz w:val="21"/>
              </w:rPr>
            </w:pPr>
          </w:p>
          <w:p w14:paraId="7000CDCD">
            <w:pPr>
              <w:spacing w:line="243" w:lineRule="auto"/>
              <w:rPr>
                <w:rFonts w:ascii="Arial"/>
                <w:sz w:val="21"/>
              </w:rPr>
            </w:pPr>
          </w:p>
          <w:p w14:paraId="37AB588C">
            <w:pPr>
              <w:spacing w:line="243" w:lineRule="auto"/>
              <w:rPr>
                <w:rFonts w:ascii="Arial"/>
                <w:sz w:val="21"/>
              </w:rPr>
            </w:pPr>
          </w:p>
          <w:p w14:paraId="53872E27">
            <w:pPr>
              <w:spacing w:line="243" w:lineRule="auto"/>
              <w:rPr>
                <w:rFonts w:ascii="Arial"/>
                <w:sz w:val="21"/>
              </w:rPr>
            </w:pPr>
          </w:p>
          <w:p w14:paraId="4DCC0170">
            <w:pPr>
              <w:spacing w:line="243" w:lineRule="auto"/>
              <w:rPr>
                <w:rFonts w:ascii="Arial"/>
                <w:sz w:val="21"/>
              </w:rPr>
            </w:pPr>
          </w:p>
          <w:p w14:paraId="5C27FFE2">
            <w:pPr>
              <w:spacing w:line="243" w:lineRule="auto"/>
              <w:rPr>
                <w:rFonts w:ascii="Arial"/>
                <w:sz w:val="21"/>
              </w:rPr>
            </w:pPr>
          </w:p>
          <w:p w14:paraId="561EE569">
            <w:pPr>
              <w:spacing w:line="243" w:lineRule="auto"/>
              <w:rPr>
                <w:rFonts w:ascii="Arial"/>
                <w:sz w:val="21"/>
              </w:rPr>
            </w:pPr>
          </w:p>
          <w:p w14:paraId="56855765">
            <w:pPr>
              <w:spacing w:line="243" w:lineRule="auto"/>
              <w:rPr>
                <w:rFonts w:ascii="Arial"/>
                <w:sz w:val="21"/>
              </w:rPr>
            </w:pPr>
          </w:p>
          <w:p w14:paraId="149B0BE3">
            <w:pPr>
              <w:spacing w:before="68" w:line="220" w:lineRule="auto"/>
              <w:ind w:left="165"/>
              <w:rPr>
                <w:rFonts w:ascii="宋体" w:hAnsi="宋体" w:eastAsia="宋体" w:cs="宋体"/>
                <w:sz w:val="21"/>
                <w:szCs w:val="21"/>
              </w:rPr>
            </w:pPr>
            <w:r>
              <w:rPr>
                <w:rFonts w:ascii="宋体" w:hAnsi="宋体" w:eastAsia="宋体" w:cs="宋体"/>
                <w:spacing w:val="-3"/>
                <w:sz w:val="21"/>
                <w:szCs w:val="21"/>
              </w:rPr>
              <w:t>符合</w:t>
            </w:r>
          </w:p>
        </w:tc>
      </w:tr>
    </w:tbl>
    <w:p w14:paraId="7AD18C24">
      <w:pPr>
        <w:pStyle w:val="2"/>
        <w:spacing w:line="235" w:lineRule="exact"/>
        <w:rPr>
          <w:sz w:val="20"/>
        </w:rPr>
      </w:pPr>
    </w:p>
    <w:p w14:paraId="6B8D0020">
      <w:pPr>
        <w:spacing w:line="235" w:lineRule="exact"/>
        <w:rPr>
          <w:sz w:val="20"/>
          <w:szCs w:val="20"/>
        </w:rPr>
        <w:sectPr>
          <w:footerReference r:id="rId128" w:type="default"/>
          <w:pgSz w:w="11905" w:h="16840"/>
          <w:pgMar w:top="1168" w:right="1768" w:bottom="1409" w:left="1770" w:header="828" w:footer="1244" w:gutter="0"/>
          <w:cols w:space="720" w:num="1"/>
        </w:sectPr>
      </w:pPr>
    </w:p>
    <w:p w14:paraId="531053B4">
      <w:pPr>
        <w:spacing w:before="30"/>
      </w:pPr>
    </w:p>
    <w:tbl>
      <w:tblPr>
        <w:tblStyle w:val="5"/>
        <w:tblW w:w="832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1"/>
        <w:gridCol w:w="700"/>
        <w:gridCol w:w="3905"/>
        <w:gridCol w:w="1693"/>
        <w:gridCol w:w="746"/>
      </w:tblGrid>
      <w:tr w14:paraId="6E29C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887" w:type="dxa"/>
            <w:gridSpan w:val="4"/>
            <w:vAlign w:val="top"/>
          </w:tcPr>
          <w:p w14:paraId="783E5276">
            <w:pPr>
              <w:spacing w:before="92" w:line="220" w:lineRule="auto"/>
              <w:ind w:left="1781"/>
              <w:rPr>
                <w:rFonts w:ascii="宋体" w:hAnsi="宋体" w:eastAsia="宋体" w:cs="宋体"/>
                <w:sz w:val="21"/>
                <w:szCs w:val="21"/>
              </w:rPr>
            </w:pPr>
            <w:r>
              <w:rPr>
                <w:rFonts w:ascii="宋体" w:hAnsi="宋体" w:eastAsia="宋体" w:cs="宋体"/>
                <w:sz w:val="21"/>
                <w:szCs w:val="21"/>
              </w:rPr>
              <w:t>“三线一单”的具体要求</w:t>
            </w:r>
          </w:p>
        </w:tc>
        <w:tc>
          <w:tcPr>
            <w:tcW w:w="1693" w:type="dxa"/>
            <w:vMerge w:val="restart"/>
            <w:tcBorders>
              <w:bottom w:val="nil"/>
            </w:tcBorders>
            <w:vAlign w:val="top"/>
          </w:tcPr>
          <w:p w14:paraId="06749D04">
            <w:pPr>
              <w:spacing w:before="281" w:line="219" w:lineRule="auto"/>
              <w:ind w:left="11"/>
              <w:rPr>
                <w:rFonts w:ascii="宋体" w:hAnsi="宋体" w:eastAsia="宋体" w:cs="宋体"/>
                <w:sz w:val="21"/>
                <w:szCs w:val="21"/>
              </w:rPr>
            </w:pPr>
            <w:r>
              <w:rPr>
                <w:rFonts w:ascii="宋体" w:hAnsi="宋体" w:eastAsia="宋体" w:cs="宋体"/>
                <w:spacing w:val="-2"/>
                <w:sz w:val="21"/>
                <w:szCs w:val="21"/>
              </w:rPr>
              <w:t>项目对应情况介绍</w:t>
            </w:r>
          </w:p>
        </w:tc>
        <w:tc>
          <w:tcPr>
            <w:tcW w:w="746" w:type="dxa"/>
            <w:vMerge w:val="restart"/>
            <w:tcBorders>
              <w:bottom w:val="nil"/>
            </w:tcBorders>
            <w:vAlign w:val="top"/>
          </w:tcPr>
          <w:p w14:paraId="08C01A91">
            <w:pPr>
              <w:spacing w:before="102" w:line="284" w:lineRule="auto"/>
              <w:ind w:left="165" w:right="60" w:hanging="105"/>
              <w:rPr>
                <w:rFonts w:ascii="宋体" w:hAnsi="宋体" w:eastAsia="宋体" w:cs="宋体"/>
                <w:sz w:val="21"/>
                <w:szCs w:val="21"/>
              </w:rPr>
            </w:pPr>
            <w:r>
              <w:rPr>
                <w:rFonts w:ascii="宋体" w:hAnsi="宋体" w:eastAsia="宋体" w:cs="宋体"/>
                <w:spacing w:val="-4"/>
                <w:sz w:val="21"/>
                <w:szCs w:val="21"/>
              </w:rPr>
              <w:t>符合性</w:t>
            </w:r>
            <w:r>
              <w:rPr>
                <w:rFonts w:ascii="宋体" w:hAnsi="宋体" w:eastAsia="宋体" w:cs="宋体"/>
                <w:spacing w:val="-3"/>
                <w:sz w:val="21"/>
                <w:szCs w:val="21"/>
              </w:rPr>
              <w:t>分析</w:t>
            </w:r>
          </w:p>
        </w:tc>
      </w:tr>
      <w:tr w14:paraId="58455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82" w:type="dxa"/>
            <w:gridSpan w:val="3"/>
            <w:vAlign w:val="top"/>
          </w:tcPr>
          <w:p w14:paraId="32D525BE">
            <w:pPr>
              <w:spacing w:before="85" w:line="220" w:lineRule="auto"/>
              <w:ind w:left="786"/>
              <w:rPr>
                <w:rFonts w:ascii="宋体" w:hAnsi="宋体" w:eastAsia="宋体" w:cs="宋体"/>
                <w:sz w:val="21"/>
                <w:szCs w:val="21"/>
              </w:rPr>
            </w:pPr>
            <w:r>
              <w:rPr>
                <w:rFonts w:ascii="宋体" w:hAnsi="宋体" w:eastAsia="宋体" w:cs="宋体"/>
                <w:spacing w:val="-3"/>
                <w:sz w:val="21"/>
                <w:szCs w:val="21"/>
              </w:rPr>
              <w:t>类别</w:t>
            </w:r>
          </w:p>
        </w:tc>
        <w:tc>
          <w:tcPr>
            <w:tcW w:w="3905" w:type="dxa"/>
            <w:vAlign w:val="top"/>
          </w:tcPr>
          <w:p w14:paraId="08CBB79F">
            <w:pPr>
              <w:spacing w:before="85" w:line="220" w:lineRule="auto"/>
              <w:ind w:left="1322"/>
              <w:rPr>
                <w:rFonts w:ascii="宋体" w:hAnsi="宋体" w:eastAsia="宋体" w:cs="宋体"/>
                <w:sz w:val="21"/>
                <w:szCs w:val="21"/>
              </w:rPr>
            </w:pPr>
            <w:r>
              <w:rPr>
                <w:rFonts w:ascii="宋体" w:hAnsi="宋体" w:eastAsia="宋体" w:cs="宋体"/>
                <w:spacing w:val="-2"/>
                <w:sz w:val="21"/>
                <w:szCs w:val="21"/>
              </w:rPr>
              <w:t>对应管控要求</w:t>
            </w:r>
          </w:p>
        </w:tc>
        <w:tc>
          <w:tcPr>
            <w:tcW w:w="1693" w:type="dxa"/>
            <w:vMerge w:val="continue"/>
            <w:tcBorders>
              <w:top w:val="nil"/>
            </w:tcBorders>
            <w:vAlign w:val="top"/>
          </w:tcPr>
          <w:p w14:paraId="47C5594D">
            <w:pPr>
              <w:rPr>
                <w:rFonts w:ascii="Arial"/>
                <w:sz w:val="21"/>
              </w:rPr>
            </w:pPr>
          </w:p>
        </w:tc>
        <w:tc>
          <w:tcPr>
            <w:tcW w:w="746" w:type="dxa"/>
            <w:vMerge w:val="continue"/>
            <w:tcBorders>
              <w:top w:val="nil"/>
            </w:tcBorders>
            <w:vAlign w:val="top"/>
          </w:tcPr>
          <w:p w14:paraId="6A974A3D">
            <w:pPr>
              <w:rPr>
                <w:rFonts w:ascii="Arial"/>
                <w:sz w:val="21"/>
              </w:rPr>
            </w:pPr>
          </w:p>
        </w:tc>
      </w:tr>
      <w:tr w14:paraId="209BD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6" w:hRule="atLeast"/>
        </w:trPr>
        <w:tc>
          <w:tcPr>
            <w:tcW w:w="721" w:type="dxa"/>
            <w:vMerge w:val="restart"/>
            <w:tcBorders>
              <w:bottom w:val="nil"/>
            </w:tcBorders>
            <w:vAlign w:val="top"/>
          </w:tcPr>
          <w:p w14:paraId="511EE1FD">
            <w:pPr>
              <w:rPr>
                <w:rFonts w:ascii="Arial"/>
                <w:sz w:val="21"/>
              </w:rPr>
            </w:pPr>
          </w:p>
        </w:tc>
        <w:tc>
          <w:tcPr>
            <w:tcW w:w="561" w:type="dxa"/>
            <w:vMerge w:val="restart"/>
            <w:tcBorders>
              <w:bottom w:val="nil"/>
            </w:tcBorders>
            <w:vAlign w:val="top"/>
          </w:tcPr>
          <w:p w14:paraId="113ACC67">
            <w:pPr>
              <w:rPr>
                <w:rFonts w:ascii="Arial"/>
                <w:sz w:val="21"/>
              </w:rPr>
            </w:pPr>
          </w:p>
        </w:tc>
        <w:tc>
          <w:tcPr>
            <w:tcW w:w="700" w:type="dxa"/>
            <w:vAlign w:val="top"/>
          </w:tcPr>
          <w:p w14:paraId="5DB1C1FB">
            <w:pPr>
              <w:rPr>
                <w:rFonts w:ascii="Arial"/>
                <w:sz w:val="21"/>
              </w:rPr>
            </w:pPr>
          </w:p>
        </w:tc>
        <w:tc>
          <w:tcPr>
            <w:tcW w:w="3905" w:type="dxa"/>
            <w:vAlign w:val="top"/>
          </w:tcPr>
          <w:p w14:paraId="308A6F9D">
            <w:pPr>
              <w:spacing w:before="73" w:line="220" w:lineRule="auto"/>
              <w:jc w:val="right"/>
              <w:rPr>
                <w:rFonts w:ascii="宋体" w:hAnsi="宋体" w:eastAsia="宋体" w:cs="宋体"/>
                <w:sz w:val="21"/>
                <w:szCs w:val="21"/>
              </w:rPr>
            </w:pPr>
            <w:r>
              <w:rPr>
                <w:rFonts w:ascii="宋体" w:hAnsi="宋体" w:eastAsia="宋体" w:cs="宋体"/>
                <w:spacing w:val="-5"/>
                <w:sz w:val="21"/>
                <w:szCs w:val="21"/>
              </w:rPr>
              <w:t>运输车辆规范化管理，严格实施密闭运输。</w:t>
            </w:r>
          </w:p>
          <w:p w14:paraId="582A492C">
            <w:pPr>
              <w:pStyle w:val="6"/>
              <w:spacing w:before="108" w:line="220" w:lineRule="auto"/>
              <w:ind w:left="10"/>
              <w:rPr>
                <w:rFonts w:ascii="宋体" w:hAnsi="宋体" w:eastAsia="宋体" w:cs="宋体"/>
              </w:rPr>
            </w:pPr>
            <w:r>
              <w:rPr>
                <w:rFonts w:ascii="宋体" w:hAnsi="宋体" w:eastAsia="宋体" w:cs="宋体"/>
                <w:spacing w:val="-2"/>
              </w:rPr>
              <w:t>（</w:t>
            </w:r>
            <w:r>
              <w:rPr>
                <w:spacing w:val="-2"/>
              </w:rPr>
              <w:t>7</w:t>
            </w:r>
            <w:r>
              <w:rPr>
                <w:rFonts w:ascii="宋体" w:hAnsi="宋体" w:eastAsia="宋体" w:cs="宋体"/>
                <w:spacing w:val="-2"/>
              </w:rPr>
              <w:t>）农业生产经营活动大气污染控制要求</w:t>
            </w:r>
          </w:p>
          <w:p w14:paraId="4673E584">
            <w:pPr>
              <w:pStyle w:val="6"/>
              <w:spacing w:before="109" w:line="220" w:lineRule="auto"/>
              <w:ind w:left="10"/>
              <w:rPr>
                <w:rFonts w:ascii="宋体" w:hAnsi="宋体" w:eastAsia="宋体" w:cs="宋体"/>
              </w:rPr>
            </w:pPr>
            <w:r>
              <w:rPr>
                <w:rFonts w:ascii="宋体" w:hAnsi="宋体" w:eastAsia="宋体" w:cs="宋体"/>
                <w:spacing w:val="-2"/>
              </w:rPr>
              <w:t>（</w:t>
            </w:r>
            <w:r>
              <w:rPr>
                <w:spacing w:val="-2"/>
              </w:rPr>
              <w:t>8</w:t>
            </w:r>
            <w:r>
              <w:rPr>
                <w:rFonts w:ascii="宋体" w:hAnsi="宋体" w:eastAsia="宋体" w:cs="宋体"/>
                <w:spacing w:val="-2"/>
              </w:rPr>
              <w:t>）重点行业企业专项治理要求</w:t>
            </w:r>
          </w:p>
          <w:p w14:paraId="51683695">
            <w:pPr>
              <w:pStyle w:val="6"/>
              <w:spacing w:before="107" w:line="220" w:lineRule="auto"/>
              <w:ind w:left="10"/>
              <w:rPr>
                <w:rFonts w:ascii="宋体" w:hAnsi="宋体" w:eastAsia="宋体" w:cs="宋体"/>
              </w:rPr>
            </w:pPr>
            <w:r>
              <w:rPr>
                <w:rFonts w:ascii="宋体" w:hAnsi="宋体" w:eastAsia="宋体" w:cs="宋体"/>
                <w:spacing w:val="-2"/>
              </w:rPr>
              <w:t>（</w:t>
            </w:r>
            <w:r>
              <w:rPr>
                <w:spacing w:val="-2"/>
              </w:rPr>
              <w:t>9</w:t>
            </w:r>
            <w:r>
              <w:rPr>
                <w:rFonts w:ascii="宋体" w:hAnsi="宋体" w:eastAsia="宋体" w:cs="宋体"/>
                <w:spacing w:val="-2"/>
              </w:rPr>
              <w:t>）其他大气污染物排放管控要求</w:t>
            </w:r>
          </w:p>
          <w:p w14:paraId="37E45928">
            <w:pPr>
              <w:spacing w:before="111" w:line="315" w:lineRule="auto"/>
              <w:ind w:left="3" w:right="4" w:firstLine="2"/>
              <w:jc w:val="both"/>
              <w:rPr>
                <w:rFonts w:ascii="宋体" w:hAnsi="宋体" w:eastAsia="宋体" w:cs="宋体"/>
                <w:sz w:val="21"/>
                <w:szCs w:val="21"/>
              </w:rPr>
            </w:pPr>
            <w:r>
              <w:rPr>
                <w:rFonts w:ascii="宋体" w:hAnsi="宋体" w:eastAsia="宋体" w:cs="宋体"/>
                <w:spacing w:val="-11"/>
                <w:sz w:val="21"/>
                <w:szCs w:val="21"/>
              </w:rPr>
              <w:t>调结构，控规模、转方式、优布局， 走高质</w:t>
            </w:r>
            <w:r>
              <w:rPr>
                <w:rFonts w:ascii="宋体" w:hAnsi="宋体" w:eastAsia="宋体" w:cs="宋体"/>
                <w:spacing w:val="-6"/>
                <w:sz w:val="21"/>
                <w:szCs w:val="21"/>
              </w:rPr>
              <w:t>量发展道路，大幅减少大气污染物排放。加</w:t>
            </w:r>
            <w:r>
              <w:rPr>
                <w:rFonts w:ascii="宋体" w:hAnsi="宋体" w:eastAsia="宋体" w:cs="宋体"/>
                <w:spacing w:val="6"/>
                <w:sz w:val="21"/>
                <w:szCs w:val="21"/>
              </w:rPr>
              <w:t>快产业结构调整，推动重污染行业逐步退</w:t>
            </w:r>
            <w:r>
              <w:rPr>
                <w:rFonts w:ascii="宋体" w:hAnsi="宋体" w:eastAsia="宋体" w:cs="宋体"/>
                <w:spacing w:val="-6"/>
                <w:sz w:val="21"/>
                <w:szCs w:val="21"/>
              </w:rPr>
              <w:t>出。大力发展新型节能环保产业。严格控制</w:t>
            </w:r>
            <w:r>
              <w:rPr>
                <w:rFonts w:ascii="宋体" w:hAnsi="宋体" w:eastAsia="宋体" w:cs="宋体"/>
                <w:spacing w:val="-8"/>
                <w:sz w:val="21"/>
                <w:szCs w:val="21"/>
              </w:rPr>
              <w:t>高污染、高耗能项目准入条件，</w:t>
            </w:r>
            <w:r>
              <w:rPr>
                <w:rFonts w:ascii="宋体" w:hAnsi="宋体" w:eastAsia="宋体" w:cs="宋体"/>
                <w:spacing w:val="-52"/>
                <w:sz w:val="21"/>
                <w:szCs w:val="21"/>
              </w:rPr>
              <w:t xml:space="preserve"> </w:t>
            </w:r>
            <w:r>
              <w:rPr>
                <w:rFonts w:ascii="宋体" w:hAnsi="宋体" w:eastAsia="宋体" w:cs="宋体"/>
                <w:spacing w:val="-8"/>
                <w:sz w:val="21"/>
                <w:szCs w:val="21"/>
              </w:rPr>
              <w:t>新建项目清</w:t>
            </w:r>
            <w:r>
              <w:rPr>
                <w:rFonts w:ascii="宋体" w:hAnsi="宋体" w:eastAsia="宋体" w:cs="宋体"/>
                <w:spacing w:val="-6"/>
                <w:sz w:val="21"/>
                <w:szCs w:val="21"/>
              </w:rPr>
              <w:t>洁生产水平达到国内先进水平。四川省大气</w:t>
            </w:r>
            <w:r>
              <w:rPr>
                <w:rFonts w:ascii="宋体" w:hAnsi="宋体" w:eastAsia="宋体" w:cs="宋体"/>
                <w:spacing w:val="6"/>
                <w:sz w:val="21"/>
                <w:szCs w:val="21"/>
              </w:rPr>
              <w:t>污染防治重点区域实行更加严格的产业准</w:t>
            </w:r>
            <w:r>
              <w:rPr>
                <w:rFonts w:ascii="宋体" w:hAnsi="宋体" w:eastAsia="宋体" w:cs="宋体"/>
                <w:spacing w:val="-10"/>
                <w:sz w:val="21"/>
                <w:szCs w:val="21"/>
              </w:rPr>
              <w:t>入、环保标准、环境监管，</w:t>
            </w:r>
            <w:r>
              <w:rPr>
                <w:rFonts w:ascii="宋体" w:hAnsi="宋体" w:eastAsia="宋体" w:cs="宋体"/>
                <w:spacing w:val="-17"/>
                <w:sz w:val="21"/>
                <w:szCs w:val="21"/>
              </w:rPr>
              <w:t xml:space="preserve"> </w:t>
            </w:r>
            <w:r>
              <w:rPr>
                <w:rFonts w:ascii="宋体" w:hAnsi="宋体" w:eastAsia="宋体" w:cs="宋体"/>
                <w:spacing w:val="-10"/>
                <w:sz w:val="21"/>
                <w:szCs w:val="21"/>
              </w:rPr>
              <w:t>执行大气污染物</w:t>
            </w:r>
            <w:r>
              <w:rPr>
                <w:rFonts w:ascii="宋体" w:hAnsi="宋体" w:eastAsia="宋体" w:cs="宋体"/>
                <w:spacing w:val="-5"/>
                <w:sz w:val="21"/>
                <w:szCs w:val="21"/>
              </w:rPr>
              <w:t>特别排放限值。</w:t>
            </w:r>
          </w:p>
          <w:p w14:paraId="03388791">
            <w:pPr>
              <w:spacing w:before="2" w:line="294" w:lineRule="auto"/>
              <w:ind w:left="5" w:right="4" w:hanging="1"/>
              <w:jc w:val="both"/>
              <w:rPr>
                <w:rFonts w:ascii="宋体" w:hAnsi="宋体" w:eastAsia="宋体" w:cs="宋体"/>
                <w:sz w:val="21"/>
                <w:szCs w:val="21"/>
              </w:rPr>
            </w:pPr>
            <w:r>
              <w:rPr>
                <w:rFonts w:ascii="宋体" w:hAnsi="宋体" w:eastAsia="宋体" w:cs="宋体"/>
                <w:spacing w:val="-9"/>
                <w:sz w:val="21"/>
                <w:szCs w:val="21"/>
              </w:rPr>
              <w:t>加强城市餐饮油烟、烧烤综合治理，</w:t>
            </w:r>
            <w:r>
              <w:rPr>
                <w:rFonts w:ascii="宋体" w:hAnsi="宋体" w:eastAsia="宋体" w:cs="宋体"/>
                <w:spacing w:val="-35"/>
                <w:sz w:val="21"/>
                <w:szCs w:val="21"/>
              </w:rPr>
              <w:t xml:space="preserve"> </w:t>
            </w:r>
            <w:r>
              <w:rPr>
                <w:rFonts w:ascii="宋体" w:hAnsi="宋体" w:eastAsia="宋体" w:cs="宋体"/>
                <w:spacing w:val="-9"/>
                <w:sz w:val="21"/>
                <w:szCs w:val="21"/>
              </w:rPr>
              <w:t>强化城乡结合部环境监管。深化区域联防联控，</w:t>
            </w:r>
            <w:r>
              <w:rPr>
                <w:rFonts w:ascii="宋体" w:hAnsi="宋体" w:eastAsia="宋体" w:cs="宋体"/>
                <w:spacing w:val="-37"/>
                <w:sz w:val="21"/>
                <w:szCs w:val="21"/>
              </w:rPr>
              <w:t xml:space="preserve"> </w:t>
            </w:r>
            <w:r>
              <w:rPr>
                <w:rFonts w:ascii="宋体" w:hAnsi="宋体" w:eastAsia="宋体" w:cs="宋体"/>
                <w:spacing w:val="-9"/>
                <w:sz w:val="21"/>
                <w:szCs w:val="21"/>
              </w:rPr>
              <w:t>提</w:t>
            </w:r>
            <w:r>
              <w:rPr>
                <w:rFonts w:ascii="宋体" w:hAnsi="宋体" w:eastAsia="宋体" w:cs="宋体"/>
                <w:spacing w:val="6"/>
                <w:sz w:val="21"/>
                <w:szCs w:val="21"/>
              </w:rPr>
              <w:t>升成都平原地区整体大气污染防治监管能</w:t>
            </w:r>
            <w:r>
              <w:rPr>
                <w:rFonts w:ascii="宋体" w:hAnsi="宋体" w:eastAsia="宋体" w:cs="宋体"/>
                <w:spacing w:val="-7"/>
                <w:sz w:val="21"/>
                <w:szCs w:val="21"/>
              </w:rPr>
              <w:t>力和水平。</w:t>
            </w:r>
          </w:p>
        </w:tc>
        <w:tc>
          <w:tcPr>
            <w:tcW w:w="1693" w:type="dxa"/>
            <w:vAlign w:val="top"/>
          </w:tcPr>
          <w:p w14:paraId="272288CF">
            <w:pPr>
              <w:rPr>
                <w:rFonts w:ascii="Arial"/>
                <w:sz w:val="21"/>
              </w:rPr>
            </w:pPr>
          </w:p>
        </w:tc>
        <w:tc>
          <w:tcPr>
            <w:tcW w:w="746" w:type="dxa"/>
            <w:vAlign w:val="top"/>
          </w:tcPr>
          <w:p w14:paraId="41CA9DFB">
            <w:pPr>
              <w:rPr>
                <w:rFonts w:ascii="Arial"/>
                <w:sz w:val="21"/>
              </w:rPr>
            </w:pPr>
          </w:p>
        </w:tc>
      </w:tr>
      <w:tr w14:paraId="600AF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721" w:type="dxa"/>
            <w:vMerge w:val="continue"/>
            <w:tcBorders>
              <w:top w:val="nil"/>
              <w:bottom w:val="nil"/>
            </w:tcBorders>
            <w:vAlign w:val="top"/>
          </w:tcPr>
          <w:p w14:paraId="3AA45E87">
            <w:pPr>
              <w:rPr>
                <w:rFonts w:ascii="Arial"/>
                <w:sz w:val="21"/>
              </w:rPr>
            </w:pPr>
          </w:p>
        </w:tc>
        <w:tc>
          <w:tcPr>
            <w:tcW w:w="561" w:type="dxa"/>
            <w:vMerge w:val="continue"/>
            <w:tcBorders>
              <w:top w:val="nil"/>
              <w:bottom w:val="nil"/>
            </w:tcBorders>
            <w:vAlign w:val="top"/>
          </w:tcPr>
          <w:p w14:paraId="025A65EA">
            <w:pPr>
              <w:rPr>
                <w:rFonts w:ascii="Arial"/>
                <w:sz w:val="21"/>
              </w:rPr>
            </w:pPr>
          </w:p>
        </w:tc>
        <w:tc>
          <w:tcPr>
            <w:tcW w:w="700" w:type="dxa"/>
            <w:vAlign w:val="top"/>
          </w:tcPr>
          <w:p w14:paraId="2D899DCC">
            <w:pPr>
              <w:spacing w:before="75" w:line="220" w:lineRule="auto"/>
              <w:ind w:left="32"/>
              <w:rPr>
                <w:rFonts w:ascii="宋体" w:hAnsi="宋体" w:eastAsia="宋体" w:cs="宋体"/>
                <w:sz w:val="21"/>
                <w:szCs w:val="21"/>
              </w:rPr>
            </w:pPr>
            <w:r>
              <w:rPr>
                <w:rFonts w:ascii="宋体" w:hAnsi="宋体" w:eastAsia="宋体" w:cs="宋体"/>
                <w:spacing w:val="-2"/>
                <w:sz w:val="21"/>
                <w:szCs w:val="21"/>
              </w:rPr>
              <w:t>环境风</w:t>
            </w:r>
          </w:p>
          <w:p w14:paraId="1D00FFD3">
            <w:pPr>
              <w:spacing w:before="103" w:line="220" w:lineRule="auto"/>
              <w:ind w:left="44"/>
              <w:rPr>
                <w:rFonts w:ascii="宋体" w:hAnsi="宋体" w:eastAsia="宋体" w:cs="宋体"/>
                <w:sz w:val="21"/>
                <w:szCs w:val="21"/>
              </w:rPr>
            </w:pPr>
            <w:r>
              <w:rPr>
                <w:rFonts w:ascii="宋体" w:hAnsi="宋体" w:eastAsia="宋体" w:cs="宋体"/>
                <w:spacing w:val="-5"/>
                <w:sz w:val="21"/>
                <w:szCs w:val="21"/>
              </w:rPr>
              <w:t>险防控</w:t>
            </w:r>
          </w:p>
        </w:tc>
        <w:tc>
          <w:tcPr>
            <w:tcW w:w="3905" w:type="dxa"/>
            <w:vAlign w:val="top"/>
          </w:tcPr>
          <w:p w14:paraId="5A974FAA">
            <w:pPr>
              <w:pStyle w:val="6"/>
              <w:spacing w:before="285" w:line="192" w:lineRule="auto"/>
              <w:ind w:left="1915"/>
            </w:pPr>
            <w:r>
              <w:t>/</w:t>
            </w:r>
          </w:p>
        </w:tc>
        <w:tc>
          <w:tcPr>
            <w:tcW w:w="1693" w:type="dxa"/>
            <w:vAlign w:val="top"/>
          </w:tcPr>
          <w:p w14:paraId="2E639A9B">
            <w:pPr>
              <w:spacing w:before="252" w:line="220" w:lineRule="auto"/>
              <w:ind w:left="8"/>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0E7F74D9">
            <w:pPr>
              <w:spacing w:before="252"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571AD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721" w:type="dxa"/>
            <w:vMerge w:val="continue"/>
            <w:tcBorders>
              <w:top w:val="nil"/>
            </w:tcBorders>
            <w:vAlign w:val="top"/>
          </w:tcPr>
          <w:p w14:paraId="7509476C">
            <w:pPr>
              <w:rPr>
                <w:rFonts w:ascii="Arial"/>
                <w:sz w:val="21"/>
              </w:rPr>
            </w:pPr>
          </w:p>
        </w:tc>
        <w:tc>
          <w:tcPr>
            <w:tcW w:w="561" w:type="dxa"/>
            <w:vMerge w:val="continue"/>
            <w:tcBorders>
              <w:top w:val="nil"/>
            </w:tcBorders>
            <w:vAlign w:val="top"/>
          </w:tcPr>
          <w:p w14:paraId="13F14F49">
            <w:pPr>
              <w:rPr>
                <w:rFonts w:ascii="Arial"/>
                <w:sz w:val="21"/>
              </w:rPr>
            </w:pPr>
          </w:p>
        </w:tc>
        <w:tc>
          <w:tcPr>
            <w:tcW w:w="700" w:type="dxa"/>
            <w:vAlign w:val="top"/>
          </w:tcPr>
          <w:p w14:paraId="6EF43C88">
            <w:pPr>
              <w:spacing w:before="75" w:line="221" w:lineRule="auto"/>
              <w:ind w:left="41"/>
              <w:rPr>
                <w:rFonts w:ascii="宋体" w:hAnsi="宋体" w:eastAsia="宋体" w:cs="宋体"/>
                <w:sz w:val="21"/>
                <w:szCs w:val="21"/>
              </w:rPr>
            </w:pPr>
            <w:r>
              <w:rPr>
                <w:rFonts w:ascii="宋体" w:hAnsi="宋体" w:eastAsia="宋体" w:cs="宋体"/>
                <w:spacing w:val="-4"/>
                <w:sz w:val="21"/>
                <w:szCs w:val="21"/>
              </w:rPr>
              <w:t>资源开</w:t>
            </w:r>
          </w:p>
          <w:p w14:paraId="71FB8983">
            <w:pPr>
              <w:spacing w:before="102" w:line="277" w:lineRule="auto"/>
              <w:ind w:left="139" w:right="40" w:hanging="103"/>
              <w:rPr>
                <w:rFonts w:ascii="宋体" w:hAnsi="宋体" w:eastAsia="宋体" w:cs="宋体"/>
                <w:sz w:val="21"/>
                <w:szCs w:val="21"/>
              </w:rPr>
            </w:pPr>
            <w:r>
              <w:rPr>
                <w:rFonts w:ascii="宋体" w:hAnsi="宋体" w:eastAsia="宋体" w:cs="宋体"/>
                <w:spacing w:val="-4"/>
                <w:sz w:val="21"/>
                <w:szCs w:val="21"/>
              </w:rPr>
              <w:t>发效率</w:t>
            </w:r>
            <w:r>
              <w:rPr>
                <w:rFonts w:ascii="宋体" w:hAnsi="宋体" w:eastAsia="宋体" w:cs="宋体"/>
                <w:spacing w:val="-3"/>
                <w:sz w:val="21"/>
                <w:szCs w:val="21"/>
              </w:rPr>
              <w:t>要求</w:t>
            </w:r>
          </w:p>
        </w:tc>
        <w:tc>
          <w:tcPr>
            <w:tcW w:w="3905" w:type="dxa"/>
            <w:vAlign w:val="top"/>
          </w:tcPr>
          <w:p w14:paraId="3F24EBA6">
            <w:pPr>
              <w:spacing w:line="399" w:lineRule="auto"/>
              <w:rPr>
                <w:rFonts w:ascii="Arial"/>
                <w:sz w:val="21"/>
              </w:rPr>
            </w:pPr>
          </w:p>
          <w:p w14:paraId="1D241A3E">
            <w:pPr>
              <w:pStyle w:val="6"/>
              <w:spacing w:before="60" w:line="192" w:lineRule="auto"/>
              <w:ind w:left="1915"/>
            </w:pPr>
            <w:r>
              <w:t>/</w:t>
            </w:r>
          </w:p>
        </w:tc>
        <w:tc>
          <w:tcPr>
            <w:tcW w:w="1693" w:type="dxa"/>
            <w:vAlign w:val="top"/>
          </w:tcPr>
          <w:p w14:paraId="5D044594">
            <w:pPr>
              <w:spacing w:line="358" w:lineRule="auto"/>
              <w:rPr>
                <w:rFonts w:ascii="Arial"/>
                <w:sz w:val="21"/>
              </w:rPr>
            </w:pPr>
          </w:p>
          <w:p w14:paraId="5E6FA649">
            <w:pPr>
              <w:spacing w:before="68" w:line="220" w:lineRule="auto"/>
              <w:ind w:left="8"/>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55A06FA3">
            <w:pPr>
              <w:spacing w:line="358" w:lineRule="auto"/>
              <w:rPr>
                <w:rFonts w:ascii="Arial"/>
                <w:sz w:val="21"/>
              </w:rPr>
            </w:pPr>
          </w:p>
          <w:p w14:paraId="132099B5">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4DBC8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21" w:type="dxa"/>
            <w:vMerge w:val="restart"/>
            <w:tcBorders>
              <w:bottom w:val="nil"/>
            </w:tcBorders>
            <w:vAlign w:val="top"/>
          </w:tcPr>
          <w:p w14:paraId="40DF8CCC">
            <w:pPr>
              <w:spacing w:line="310" w:lineRule="auto"/>
              <w:rPr>
                <w:rFonts w:ascii="Arial"/>
                <w:sz w:val="21"/>
              </w:rPr>
            </w:pPr>
          </w:p>
          <w:p w14:paraId="31F2E3FF">
            <w:pPr>
              <w:spacing w:line="310" w:lineRule="auto"/>
              <w:rPr>
                <w:rFonts w:ascii="Arial"/>
                <w:sz w:val="21"/>
              </w:rPr>
            </w:pPr>
          </w:p>
          <w:p w14:paraId="65E4CA2E">
            <w:pPr>
              <w:spacing w:line="310" w:lineRule="auto"/>
              <w:rPr>
                <w:rFonts w:ascii="Arial"/>
                <w:sz w:val="21"/>
              </w:rPr>
            </w:pPr>
          </w:p>
          <w:p w14:paraId="64A32E05">
            <w:pPr>
              <w:spacing w:before="68" w:line="220" w:lineRule="auto"/>
              <w:ind w:left="58"/>
              <w:rPr>
                <w:rFonts w:ascii="宋体" w:hAnsi="宋体" w:eastAsia="宋体" w:cs="宋体"/>
                <w:sz w:val="21"/>
                <w:szCs w:val="21"/>
              </w:rPr>
            </w:pPr>
            <w:r>
              <w:rPr>
                <w:rFonts w:ascii="宋体" w:hAnsi="宋体" w:eastAsia="宋体" w:cs="宋体"/>
                <w:spacing w:val="-4"/>
                <w:sz w:val="21"/>
                <w:szCs w:val="21"/>
              </w:rPr>
              <w:t>东兴区</w:t>
            </w:r>
          </w:p>
          <w:p w14:paraId="4F813E99">
            <w:pPr>
              <w:spacing w:before="61" w:line="220" w:lineRule="auto"/>
              <w:ind w:left="52"/>
              <w:rPr>
                <w:rFonts w:ascii="宋体" w:hAnsi="宋体" w:eastAsia="宋体" w:cs="宋体"/>
                <w:sz w:val="21"/>
                <w:szCs w:val="21"/>
              </w:rPr>
            </w:pPr>
            <w:r>
              <w:rPr>
                <w:rFonts w:ascii="宋体" w:hAnsi="宋体" w:eastAsia="宋体" w:cs="宋体"/>
                <w:spacing w:val="-3"/>
                <w:sz w:val="21"/>
                <w:szCs w:val="21"/>
              </w:rPr>
              <w:t>土壤优</w:t>
            </w:r>
          </w:p>
          <w:p w14:paraId="664B4EB9">
            <w:pPr>
              <w:spacing w:before="61" w:line="220" w:lineRule="auto"/>
              <w:ind w:left="55"/>
              <w:rPr>
                <w:rFonts w:ascii="宋体" w:hAnsi="宋体" w:eastAsia="宋体" w:cs="宋体"/>
                <w:sz w:val="21"/>
                <w:szCs w:val="21"/>
              </w:rPr>
            </w:pPr>
            <w:r>
              <w:rPr>
                <w:rFonts w:ascii="宋体" w:hAnsi="宋体" w:eastAsia="宋体" w:cs="宋体"/>
                <w:spacing w:val="-3"/>
                <w:sz w:val="21"/>
                <w:szCs w:val="21"/>
              </w:rPr>
              <w:t>先保护</w:t>
            </w:r>
          </w:p>
          <w:p w14:paraId="7737D29B">
            <w:pPr>
              <w:spacing w:before="61" w:line="225" w:lineRule="auto"/>
              <w:ind w:left="276"/>
              <w:rPr>
                <w:rFonts w:ascii="宋体" w:hAnsi="宋体" w:eastAsia="宋体" w:cs="宋体"/>
                <w:sz w:val="21"/>
                <w:szCs w:val="21"/>
              </w:rPr>
            </w:pPr>
            <w:r>
              <w:rPr>
                <w:rFonts w:ascii="宋体" w:hAnsi="宋体" w:eastAsia="宋体" w:cs="宋体"/>
                <w:sz w:val="21"/>
                <w:szCs w:val="21"/>
              </w:rPr>
              <w:t>区</w:t>
            </w:r>
          </w:p>
          <w:p w14:paraId="1DDF11F7">
            <w:pPr>
              <w:pStyle w:val="6"/>
              <w:spacing w:before="93" w:line="188" w:lineRule="auto"/>
              <w:ind w:left="19"/>
            </w:pPr>
            <w:r>
              <w:rPr>
                <w:spacing w:val="-1"/>
              </w:rPr>
              <w:t>YS5110</w:t>
            </w:r>
          </w:p>
          <w:p w14:paraId="585E3F07">
            <w:pPr>
              <w:pStyle w:val="6"/>
              <w:spacing w:before="123" w:line="188" w:lineRule="auto"/>
              <w:ind w:left="75"/>
            </w:pPr>
            <w:r>
              <w:rPr>
                <w:spacing w:val="-7"/>
              </w:rPr>
              <w:t>111410</w:t>
            </w:r>
          </w:p>
          <w:p w14:paraId="5F8F92FC">
            <w:pPr>
              <w:pStyle w:val="6"/>
              <w:spacing w:before="123" w:line="188" w:lineRule="auto"/>
              <w:ind w:left="208"/>
            </w:pPr>
            <w:r>
              <w:rPr>
                <w:spacing w:val="-3"/>
              </w:rPr>
              <w:t>002</w:t>
            </w:r>
          </w:p>
        </w:tc>
        <w:tc>
          <w:tcPr>
            <w:tcW w:w="561" w:type="dxa"/>
            <w:vMerge w:val="restart"/>
            <w:tcBorders>
              <w:bottom w:val="nil"/>
            </w:tcBorders>
            <w:vAlign w:val="top"/>
          </w:tcPr>
          <w:p w14:paraId="3682169C">
            <w:pPr>
              <w:spacing w:line="248" w:lineRule="auto"/>
              <w:rPr>
                <w:rFonts w:ascii="Arial"/>
                <w:sz w:val="21"/>
              </w:rPr>
            </w:pPr>
          </w:p>
          <w:p w14:paraId="7EF9F45A">
            <w:pPr>
              <w:spacing w:line="248" w:lineRule="auto"/>
              <w:rPr>
                <w:rFonts w:ascii="Arial"/>
                <w:sz w:val="21"/>
              </w:rPr>
            </w:pPr>
          </w:p>
          <w:p w14:paraId="01979641">
            <w:pPr>
              <w:spacing w:line="248" w:lineRule="auto"/>
              <w:rPr>
                <w:rFonts w:ascii="Arial"/>
                <w:sz w:val="21"/>
              </w:rPr>
            </w:pPr>
          </w:p>
          <w:p w14:paraId="51622988">
            <w:pPr>
              <w:spacing w:line="249" w:lineRule="auto"/>
              <w:rPr>
                <w:rFonts w:ascii="Arial"/>
                <w:sz w:val="21"/>
              </w:rPr>
            </w:pPr>
          </w:p>
          <w:p w14:paraId="2E2ADC38">
            <w:pPr>
              <w:spacing w:line="249" w:lineRule="auto"/>
              <w:rPr>
                <w:rFonts w:ascii="Arial"/>
                <w:sz w:val="21"/>
              </w:rPr>
            </w:pPr>
          </w:p>
          <w:p w14:paraId="169500C7">
            <w:pPr>
              <w:spacing w:before="69" w:line="275" w:lineRule="auto"/>
              <w:ind w:left="67" w:right="75" w:firstLine="2"/>
              <w:jc w:val="both"/>
              <w:rPr>
                <w:rFonts w:ascii="宋体" w:hAnsi="宋体" w:eastAsia="宋体" w:cs="宋体"/>
                <w:sz w:val="21"/>
                <w:szCs w:val="21"/>
              </w:rPr>
            </w:pPr>
            <w:r>
              <w:rPr>
                <w:rFonts w:ascii="宋体" w:hAnsi="宋体" w:eastAsia="宋体" w:cs="宋体"/>
                <w:spacing w:val="-5"/>
                <w:sz w:val="21"/>
                <w:szCs w:val="21"/>
              </w:rPr>
              <w:t>单元</w:t>
            </w:r>
            <w:r>
              <w:rPr>
                <w:rFonts w:ascii="宋体" w:hAnsi="宋体" w:eastAsia="宋体" w:cs="宋体"/>
                <w:spacing w:val="-4"/>
                <w:sz w:val="21"/>
                <w:szCs w:val="21"/>
              </w:rPr>
              <w:t>级清单管控要</w:t>
            </w:r>
            <w:r>
              <w:rPr>
                <w:rFonts w:ascii="宋体" w:hAnsi="宋体" w:eastAsia="宋体" w:cs="宋体"/>
                <w:spacing w:val="39"/>
                <w:w w:val="128"/>
                <w:sz w:val="21"/>
                <w:szCs w:val="21"/>
              </w:rPr>
              <w:t>求</w:t>
            </w:r>
          </w:p>
        </w:tc>
        <w:tc>
          <w:tcPr>
            <w:tcW w:w="700" w:type="dxa"/>
            <w:vAlign w:val="top"/>
          </w:tcPr>
          <w:p w14:paraId="703CE8A1">
            <w:pPr>
              <w:spacing w:line="429" w:lineRule="auto"/>
              <w:rPr>
                <w:rFonts w:ascii="Arial"/>
                <w:sz w:val="21"/>
              </w:rPr>
            </w:pPr>
          </w:p>
          <w:p w14:paraId="7115D7C1">
            <w:pPr>
              <w:spacing w:before="68" w:line="314" w:lineRule="auto"/>
              <w:ind w:left="35" w:right="40" w:firstLine="3"/>
              <w:rPr>
                <w:rFonts w:ascii="宋体" w:hAnsi="宋体" w:eastAsia="宋体" w:cs="宋体"/>
                <w:sz w:val="21"/>
                <w:szCs w:val="21"/>
              </w:rPr>
            </w:pPr>
            <w:r>
              <w:rPr>
                <w:rFonts w:ascii="宋体" w:hAnsi="宋体" w:eastAsia="宋体" w:cs="宋体"/>
                <w:spacing w:val="-5"/>
                <w:sz w:val="21"/>
                <w:szCs w:val="21"/>
              </w:rPr>
              <w:t>空间布</w:t>
            </w:r>
            <w:r>
              <w:rPr>
                <w:rFonts w:ascii="宋体" w:hAnsi="宋体" w:eastAsia="宋体" w:cs="宋体"/>
                <w:spacing w:val="-4"/>
                <w:sz w:val="21"/>
                <w:szCs w:val="21"/>
              </w:rPr>
              <w:t>局约束</w:t>
            </w:r>
          </w:p>
        </w:tc>
        <w:tc>
          <w:tcPr>
            <w:tcW w:w="3905" w:type="dxa"/>
            <w:vAlign w:val="top"/>
          </w:tcPr>
          <w:p w14:paraId="0D33DBE2">
            <w:pPr>
              <w:spacing w:before="52" w:line="220" w:lineRule="auto"/>
              <w:ind w:left="797"/>
              <w:rPr>
                <w:rFonts w:ascii="宋体" w:hAnsi="宋体" w:eastAsia="宋体" w:cs="宋体"/>
                <w:sz w:val="21"/>
                <w:szCs w:val="21"/>
              </w:rPr>
            </w:pPr>
            <w:r>
              <w:rPr>
                <w:rFonts w:ascii="宋体" w:hAnsi="宋体" w:eastAsia="宋体" w:cs="宋体"/>
                <w:spacing w:val="-1"/>
                <w:sz w:val="21"/>
                <w:szCs w:val="21"/>
              </w:rPr>
              <w:t>禁止开发建设活动的要求</w:t>
            </w:r>
          </w:p>
          <w:p w14:paraId="4E30B6F4">
            <w:pPr>
              <w:spacing w:before="62" w:line="220" w:lineRule="auto"/>
              <w:ind w:left="812"/>
              <w:rPr>
                <w:rFonts w:ascii="宋体" w:hAnsi="宋体" w:eastAsia="宋体" w:cs="宋体"/>
                <w:sz w:val="21"/>
                <w:szCs w:val="21"/>
              </w:rPr>
            </w:pPr>
            <w:r>
              <w:rPr>
                <w:rFonts w:ascii="宋体" w:hAnsi="宋体" w:eastAsia="宋体" w:cs="宋体"/>
                <w:spacing w:val="-2"/>
                <w:sz w:val="21"/>
                <w:szCs w:val="21"/>
              </w:rPr>
              <w:t>限制开发建设活动的要求</w:t>
            </w:r>
          </w:p>
          <w:p w14:paraId="32AC4CF5">
            <w:pPr>
              <w:spacing w:before="60" w:line="220" w:lineRule="auto"/>
              <w:ind w:left="805"/>
              <w:rPr>
                <w:rFonts w:ascii="宋体" w:hAnsi="宋体" w:eastAsia="宋体" w:cs="宋体"/>
                <w:sz w:val="21"/>
                <w:szCs w:val="21"/>
              </w:rPr>
            </w:pPr>
            <w:r>
              <w:rPr>
                <w:rFonts w:ascii="宋体" w:hAnsi="宋体" w:eastAsia="宋体" w:cs="宋体"/>
                <w:spacing w:val="-2"/>
                <w:sz w:val="21"/>
                <w:szCs w:val="21"/>
              </w:rPr>
              <w:t>允许开发建设活动的要求</w:t>
            </w:r>
          </w:p>
          <w:p w14:paraId="7750C376">
            <w:pPr>
              <w:spacing w:before="62" w:line="219" w:lineRule="auto"/>
              <w:ind w:left="276"/>
              <w:rPr>
                <w:rFonts w:ascii="宋体" w:hAnsi="宋体" w:eastAsia="宋体" w:cs="宋体"/>
                <w:sz w:val="21"/>
                <w:szCs w:val="21"/>
              </w:rPr>
            </w:pPr>
            <w:r>
              <w:rPr>
                <w:rFonts w:ascii="宋体" w:hAnsi="宋体" w:eastAsia="宋体" w:cs="宋体"/>
                <w:spacing w:val="-1"/>
                <w:sz w:val="21"/>
                <w:szCs w:val="21"/>
              </w:rPr>
              <w:t>不符合空间布局要求活动的退出要求</w:t>
            </w:r>
          </w:p>
          <w:p w14:paraId="68FF4D71">
            <w:pPr>
              <w:spacing w:before="62" w:line="219" w:lineRule="auto"/>
              <w:ind w:left="904"/>
              <w:rPr>
                <w:rFonts w:ascii="宋体" w:hAnsi="宋体" w:eastAsia="宋体" w:cs="宋体"/>
                <w:sz w:val="21"/>
                <w:szCs w:val="21"/>
              </w:rPr>
            </w:pPr>
            <w:r>
              <w:rPr>
                <w:rFonts w:ascii="宋体" w:hAnsi="宋体" w:eastAsia="宋体" w:cs="宋体"/>
                <w:spacing w:val="-1"/>
                <w:sz w:val="21"/>
                <w:szCs w:val="21"/>
              </w:rPr>
              <w:t>其他空间布局约束要求</w:t>
            </w:r>
          </w:p>
        </w:tc>
        <w:tc>
          <w:tcPr>
            <w:tcW w:w="1693" w:type="dxa"/>
            <w:vAlign w:val="top"/>
          </w:tcPr>
          <w:p w14:paraId="7D032DE9">
            <w:pPr>
              <w:spacing w:line="302" w:lineRule="auto"/>
              <w:rPr>
                <w:rFonts w:ascii="Arial"/>
                <w:sz w:val="21"/>
              </w:rPr>
            </w:pPr>
          </w:p>
          <w:p w14:paraId="43C6F67E">
            <w:pPr>
              <w:spacing w:line="302" w:lineRule="auto"/>
              <w:rPr>
                <w:rFonts w:ascii="Arial"/>
                <w:sz w:val="21"/>
              </w:rPr>
            </w:pPr>
          </w:p>
          <w:p w14:paraId="0E91FCEF">
            <w:pPr>
              <w:spacing w:before="68" w:line="220" w:lineRule="auto"/>
              <w:ind w:left="9"/>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56ED8829">
            <w:pPr>
              <w:spacing w:line="302" w:lineRule="auto"/>
              <w:rPr>
                <w:rFonts w:ascii="Arial"/>
                <w:sz w:val="21"/>
              </w:rPr>
            </w:pPr>
          </w:p>
          <w:p w14:paraId="2F01F55F">
            <w:pPr>
              <w:spacing w:line="302" w:lineRule="auto"/>
              <w:rPr>
                <w:rFonts w:ascii="Arial"/>
                <w:sz w:val="21"/>
              </w:rPr>
            </w:pPr>
          </w:p>
          <w:p w14:paraId="76617B56">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293A3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21" w:type="dxa"/>
            <w:vMerge w:val="continue"/>
            <w:tcBorders>
              <w:top w:val="nil"/>
              <w:bottom w:val="nil"/>
            </w:tcBorders>
            <w:vAlign w:val="top"/>
          </w:tcPr>
          <w:p w14:paraId="5CC15622">
            <w:pPr>
              <w:rPr>
                <w:rFonts w:ascii="Arial"/>
                <w:sz w:val="21"/>
              </w:rPr>
            </w:pPr>
          </w:p>
        </w:tc>
        <w:tc>
          <w:tcPr>
            <w:tcW w:w="561" w:type="dxa"/>
            <w:vMerge w:val="continue"/>
            <w:tcBorders>
              <w:top w:val="nil"/>
              <w:bottom w:val="nil"/>
            </w:tcBorders>
            <w:vAlign w:val="top"/>
          </w:tcPr>
          <w:p w14:paraId="456AB17B">
            <w:pPr>
              <w:rPr>
                <w:rFonts w:ascii="Arial"/>
                <w:sz w:val="21"/>
              </w:rPr>
            </w:pPr>
          </w:p>
        </w:tc>
        <w:tc>
          <w:tcPr>
            <w:tcW w:w="700" w:type="dxa"/>
            <w:vAlign w:val="top"/>
          </w:tcPr>
          <w:p w14:paraId="1DF8E30D">
            <w:pPr>
              <w:spacing w:before="53" w:line="220" w:lineRule="auto"/>
              <w:ind w:left="34"/>
              <w:rPr>
                <w:rFonts w:ascii="宋体" w:hAnsi="宋体" w:eastAsia="宋体" w:cs="宋体"/>
                <w:sz w:val="21"/>
                <w:szCs w:val="21"/>
              </w:rPr>
            </w:pPr>
            <w:r>
              <w:rPr>
                <w:rFonts w:ascii="宋体" w:hAnsi="宋体" w:eastAsia="宋体" w:cs="宋体"/>
                <w:spacing w:val="-3"/>
                <w:sz w:val="21"/>
                <w:szCs w:val="21"/>
              </w:rPr>
              <w:t>污染物</w:t>
            </w:r>
          </w:p>
          <w:p w14:paraId="59C87E04">
            <w:pPr>
              <w:spacing w:before="61" w:line="248" w:lineRule="auto"/>
              <w:ind w:left="241" w:right="40" w:hanging="209"/>
              <w:rPr>
                <w:rFonts w:ascii="宋体" w:hAnsi="宋体" w:eastAsia="宋体" w:cs="宋体"/>
                <w:sz w:val="21"/>
                <w:szCs w:val="21"/>
              </w:rPr>
            </w:pPr>
            <w:r>
              <w:rPr>
                <w:rFonts w:ascii="宋体" w:hAnsi="宋体" w:eastAsia="宋体" w:cs="宋体"/>
                <w:spacing w:val="-3"/>
                <w:sz w:val="21"/>
                <w:szCs w:val="21"/>
              </w:rPr>
              <w:t>排放管</w:t>
            </w:r>
            <w:r>
              <w:rPr>
                <w:rFonts w:ascii="宋体" w:hAnsi="宋体" w:eastAsia="宋体" w:cs="宋体"/>
                <w:sz w:val="21"/>
                <w:szCs w:val="21"/>
              </w:rPr>
              <w:t>控</w:t>
            </w:r>
          </w:p>
        </w:tc>
        <w:tc>
          <w:tcPr>
            <w:tcW w:w="3905" w:type="dxa"/>
            <w:vAlign w:val="top"/>
          </w:tcPr>
          <w:p w14:paraId="29504DD2">
            <w:pPr>
              <w:spacing w:line="335" w:lineRule="auto"/>
              <w:rPr>
                <w:rFonts w:ascii="Arial"/>
                <w:sz w:val="21"/>
              </w:rPr>
            </w:pPr>
          </w:p>
          <w:p w14:paraId="72430397">
            <w:pPr>
              <w:pStyle w:val="6"/>
              <w:spacing w:before="61" w:line="192" w:lineRule="auto"/>
              <w:ind w:left="1915"/>
            </w:pPr>
            <w:r>
              <w:t>/</w:t>
            </w:r>
          </w:p>
        </w:tc>
        <w:tc>
          <w:tcPr>
            <w:tcW w:w="1693" w:type="dxa"/>
            <w:vAlign w:val="top"/>
          </w:tcPr>
          <w:p w14:paraId="0ECD51F4">
            <w:pPr>
              <w:spacing w:line="294" w:lineRule="auto"/>
              <w:rPr>
                <w:rFonts w:ascii="Arial"/>
                <w:sz w:val="21"/>
              </w:rPr>
            </w:pPr>
          </w:p>
          <w:p w14:paraId="64E1D1E3">
            <w:pPr>
              <w:spacing w:before="69" w:line="220" w:lineRule="auto"/>
              <w:ind w:left="9"/>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4750CF71">
            <w:pPr>
              <w:spacing w:line="294" w:lineRule="auto"/>
              <w:rPr>
                <w:rFonts w:ascii="Arial"/>
                <w:sz w:val="21"/>
              </w:rPr>
            </w:pPr>
          </w:p>
          <w:p w14:paraId="3CB8C10B">
            <w:pPr>
              <w:spacing w:before="69"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17A3B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21" w:type="dxa"/>
            <w:vMerge w:val="continue"/>
            <w:tcBorders>
              <w:top w:val="nil"/>
              <w:bottom w:val="nil"/>
            </w:tcBorders>
            <w:vAlign w:val="top"/>
          </w:tcPr>
          <w:p w14:paraId="373DED4B">
            <w:pPr>
              <w:rPr>
                <w:rFonts w:ascii="Arial"/>
                <w:sz w:val="21"/>
              </w:rPr>
            </w:pPr>
          </w:p>
        </w:tc>
        <w:tc>
          <w:tcPr>
            <w:tcW w:w="561" w:type="dxa"/>
            <w:vMerge w:val="continue"/>
            <w:tcBorders>
              <w:top w:val="nil"/>
              <w:bottom w:val="nil"/>
            </w:tcBorders>
            <w:vAlign w:val="top"/>
          </w:tcPr>
          <w:p w14:paraId="475CCF50">
            <w:pPr>
              <w:rPr>
                <w:rFonts w:ascii="Arial"/>
                <w:sz w:val="21"/>
              </w:rPr>
            </w:pPr>
          </w:p>
        </w:tc>
        <w:tc>
          <w:tcPr>
            <w:tcW w:w="700" w:type="dxa"/>
            <w:vAlign w:val="top"/>
          </w:tcPr>
          <w:p w14:paraId="15E859FA">
            <w:pPr>
              <w:spacing w:before="55" w:line="220" w:lineRule="auto"/>
              <w:ind w:left="32"/>
              <w:rPr>
                <w:rFonts w:ascii="宋体" w:hAnsi="宋体" w:eastAsia="宋体" w:cs="宋体"/>
                <w:sz w:val="21"/>
                <w:szCs w:val="21"/>
              </w:rPr>
            </w:pPr>
            <w:r>
              <w:rPr>
                <w:rFonts w:ascii="宋体" w:hAnsi="宋体" w:eastAsia="宋体" w:cs="宋体"/>
                <w:spacing w:val="-2"/>
                <w:sz w:val="21"/>
                <w:szCs w:val="21"/>
              </w:rPr>
              <w:t>环境风</w:t>
            </w:r>
          </w:p>
          <w:p w14:paraId="4F90692D">
            <w:pPr>
              <w:spacing w:before="61" w:line="220" w:lineRule="auto"/>
              <w:ind w:left="44"/>
              <w:rPr>
                <w:rFonts w:ascii="宋体" w:hAnsi="宋体" w:eastAsia="宋体" w:cs="宋体"/>
                <w:sz w:val="21"/>
                <w:szCs w:val="21"/>
              </w:rPr>
            </w:pPr>
            <w:r>
              <w:rPr>
                <w:rFonts w:ascii="宋体" w:hAnsi="宋体" w:eastAsia="宋体" w:cs="宋体"/>
                <w:spacing w:val="-5"/>
                <w:sz w:val="21"/>
                <w:szCs w:val="21"/>
              </w:rPr>
              <w:t>险防控</w:t>
            </w:r>
          </w:p>
        </w:tc>
        <w:tc>
          <w:tcPr>
            <w:tcW w:w="3905" w:type="dxa"/>
            <w:vAlign w:val="top"/>
          </w:tcPr>
          <w:p w14:paraId="7E966BFA">
            <w:pPr>
              <w:pStyle w:val="6"/>
              <w:spacing w:before="243" w:line="192" w:lineRule="auto"/>
              <w:ind w:left="1915"/>
            </w:pPr>
            <w:r>
              <w:t>/</w:t>
            </w:r>
          </w:p>
        </w:tc>
        <w:tc>
          <w:tcPr>
            <w:tcW w:w="1693" w:type="dxa"/>
            <w:vAlign w:val="top"/>
          </w:tcPr>
          <w:p w14:paraId="3E4E7D2C">
            <w:pPr>
              <w:spacing w:before="210" w:line="220" w:lineRule="auto"/>
              <w:ind w:left="9"/>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12E9419E">
            <w:pPr>
              <w:spacing w:before="210" w:line="220" w:lineRule="auto"/>
              <w:ind w:left="164"/>
              <w:rPr>
                <w:rFonts w:ascii="宋体" w:hAnsi="宋体" w:eastAsia="宋体" w:cs="宋体"/>
                <w:sz w:val="21"/>
                <w:szCs w:val="21"/>
              </w:rPr>
            </w:pPr>
            <w:r>
              <w:rPr>
                <w:rFonts w:ascii="宋体" w:hAnsi="宋体" w:eastAsia="宋体" w:cs="宋体"/>
                <w:spacing w:val="-3"/>
                <w:sz w:val="21"/>
                <w:szCs w:val="21"/>
              </w:rPr>
              <w:t>符合</w:t>
            </w:r>
          </w:p>
        </w:tc>
      </w:tr>
      <w:tr w14:paraId="0F0A8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21" w:type="dxa"/>
            <w:vMerge w:val="continue"/>
            <w:tcBorders>
              <w:top w:val="nil"/>
            </w:tcBorders>
            <w:vAlign w:val="top"/>
          </w:tcPr>
          <w:p w14:paraId="7BA2B6BB">
            <w:pPr>
              <w:rPr>
                <w:rFonts w:ascii="Arial"/>
                <w:sz w:val="21"/>
              </w:rPr>
            </w:pPr>
          </w:p>
        </w:tc>
        <w:tc>
          <w:tcPr>
            <w:tcW w:w="561" w:type="dxa"/>
            <w:vMerge w:val="continue"/>
            <w:tcBorders>
              <w:top w:val="nil"/>
            </w:tcBorders>
            <w:vAlign w:val="top"/>
          </w:tcPr>
          <w:p w14:paraId="086DA8AF">
            <w:pPr>
              <w:rPr>
                <w:rFonts w:ascii="Arial"/>
                <w:sz w:val="21"/>
              </w:rPr>
            </w:pPr>
          </w:p>
        </w:tc>
        <w:tc>
          <w:tcPr>
            <w:tcW w:w="700" w:type="dxa"/>
            <w:vAlign w:val="top"/>
          </w:tcPr>
          <w:p w14:paraId="054C481A">
            <w:pPr>
              <w:spacing w:before="54" w:line="221" w:lineRule="auto"/>
              <w:ind w:left="41"/>
              <w:rPr>
                <w:rFonts w:ascii="宋体" w:hAnsi="宋体" w:eastAsia="宋体" w:cs="宋体"/>
                <w:sz w:val="21"/>
                <w:szCs w:val="21"/>
              </w:rPr>
            </w:pPr>
            <w:r>
              <w:rPr>
                <w:rFonts w:ascii="宋体" w:hAnsi="宋体" w:eastAsia="宋体" w:cs="宋体"/>
                <w:spacing w:val="-4"/>
                <w:sz w:val="21"/>
                <w:szCs w:val="21"/>
              </w:rPr>
              <w:t>资源开</w:t>
            </w:r>
          </w:p>
          <w:p w14:paraId="5EC1506D">
            <w:pPr>
              <w:spacing w:before="59" w:line="250" w:lineRule="auto"/>
              <w:ind w:left="139" w:right="40" w:hanging="103"/>
              <w:rPr>
                <w:rFonts w:ascii="宋体" w:hAnsi="宋体" w:eastAsia="宋体" w:cs="宋体"/>
                <w:sz w:val="21"/>
                <w:szCs w:val="21"/>
              </w:rPr>
            </w:pPr>
            <w:r>
              <w:rPr>
                <w:rFonts w:ascii="宋体" w:hAnsi="宋体" w:eastAsia="宋体" w:cs="宋体"/>
                <w:spacing w:val="-4"/>
                <w:sz w:val="21"/>
                <w:szCs w:val="21"/>
              </w:rPr>
              <w:t>发效率</w:t>
            </w:r>
            <w:r>
              <w:rPr>
                <w:rFonts w:ascii="宋体" w:hAnsi="宋体" w:eastAsia="宋体" w:cs="宋体"/>
                <w:spacing w:val="-3"/>
                <w:sz w:val="21"/>
                <w:szCs w:val="21"/>
              </w:rPr>
              <w:t>要求</w:t>
            </w:r>
          </w:p>
        </w:tc>
        <w:tc>
          <w:tcPr>
            <w:tcW w:w="3905" w:type="dxa"/>
            <w:vAlign w:val="top"/>
          </w:tcPr>
          <w:p w14:paraId="5D9DD190">
            <w:pPr>
              <w:spacing w:line="337" w:lineRule="auto"/>
              <w:rPr>
                <w:rFonts w:ascii="Arial"/>
                <w:sz w:val="21"/>
              </w:rPr>
            </w:pPr>
          </w:p>
          <w:p w14:paraId="41BC8B54">
            <w:pPr>
              <w:pStyle w:val="6"/>
              <w:spacing w:before="60" w:line="192" w:lineRule="auto"/>
              <w:ind w:left="1915"/>
            </w:pPr>
            <w:r>
              <w:t>/</w:t>
            </w:r>
          </w:p>
        </w:tc>
        <w:tc>
          <w:tcPr>
            <w:tcW w:w="1693" w:type="dxa"/>
            <w:vAlign w:val="top"/>
          </w:tcPr>
          <w:p w14:paraId="2595E4C9">
            <w:pPr>
              <w:spacing w:line="296" w:lineRule="auto"/>
              <w:rPr>
                <w:rFonts w:ascii="Arial"/>
                <w:sz w:val="21"/>
              </w:rPr>
            </w:pPr>
          </w:p>
          <w:p w14:paraId="08BC7884">
            <w:pPr>
              <w:spacing w:before="68" w:line="220" w:lineRule="auto"/>
              <w:ind w:left="8"/>
              <w:rPr>
                <w:rFonts w:ascii="宋体" w:hAnsi="宋体" w:eastAsia="宋体" w:cs="宋体"/>
                <w:sz w:val="21"/>
                <w:szCs w:val="21"/>
              </w:rPr>
            </w:pPr>
            <w:r>
              <w:rPr>
                <w:rFonts w:ascii="宋体" w:hAnsi="宋体" w:eastAsia="宋体" w:cs="宋体"/>
                <w:spacing w:val="-2"/>
                <w:sz w:val="21"/>
                <w:szCs w:val="21"/>
              </w:rPr>
              <w:t>符合相关管控要求</w:t>
            </w:r>
          </w:p>
        </w:tc>
        <w:tc>
          <w:tcPr>
            <w:tcW w:w="746" w:type="dxa"/>
            <w:vAlign w:val="top"/>
          </w:tcPr>
          <w:p w14:paraId="09CE2344">
            <w:pPr>
              <w:spacing w:line="296" w:lineRule="auto"/>
              <w:rPr>
                <w:rFonts w:ascii="Arial"/>
                <w:sz w:val="21"/>
              </w:rPr>
            </w:pPr>
          </w:p>
          <w:p w14:paraId="038B9DD9">
            <w:pPr>
              <w:spacing w:before="68" w:line="220" w:lineRule="auto"/>
              <w:ind w:left="164"/>
              <w:rPr>
                <w:rFonts w:ascii="宋体" w:hAnsi="宋体" w:eastAsia="宋体" w:cs="宋体"/>
                <w:sz w:val="21"/>
                <w:szCs w:val="21"/>
              </w:rPr>
            </w:pPr>
            <w:r>
              <w:rPr>
                <w:rFonts w:ascii="宋体" w:hAnsi="宋体" w:eastAsia="宋体" w:cs="宋体"/>
                <w:spacing w:val="-3"/>
                <w:sz w:val="21"/>
                <w:szCs w:val="21"/>
              </w:rPr>
              <w:t>符合</w:t>
            </w:r>
          </w:p>
        </w:tc>
      </w:tr>
    </w:tbl>
    <w:p w14:paraId="625FF9F5">
      <w:pPr>
        <w:spacing w:before="233" w:line="362" w:lineRule="auto"/>
        <w:ind w:left="44" w:right="29" w:firstLine="474"/>
        <w:rPr>
          <w:rFonts w:ascii="宋体" w:hAnsi="宋体" w:eastAsia="宋体" w:cs="宋体"/>
          <w:sz w:val="24"/>
          <w:szCs w:val="24"/>
        </w:rPr>
      </w:pPr>
      <w:r>
        <w:rPr>
          <w:rFonts w:ascii="宋体" w:hAnsi="宋体" w:eastAsia="宋体" w:cs="宋体"/>
          <w:spacing w:val="-3"/>
          <w:sz w:val="24"/>
          <w:szCs w:val="24"/>
        </w:rPr>
        <w:t>对照“四川省三线一单符合性分析报告”各管理单元管控要求分</w:t>
      </w:r>
      <w:r>
        <w:rPr>
          <w:rFonts w:ascii="宋体" w:hAnsi="宋体" w:eastAsia="宋体" w:cs="宋体"/>
          <w:spacing w:val="-4"/>
          <w:sz w:val="24"/>
          <w:szCs w:val="24"/>
        </w:rPr>
        <w:t>析，本项目</w:t>
      </w:r>
      <w:r>
        <w:rPr>
          <w:rFonts w:ascii="宋体" w:hAnsi="宋体" w:eastAsia="宋体" w:cs="宋体"/>
          <w:spacing w:val="-2"/>
          <w:sz w:val="24"/>
          <w:szCs w:val="24"/>
        </w:rPr>
        <w:t>与各分区管控要求相符，本项目的建设符合“三线一单”要求。</w:t>
      </w:r>
    </w:p>
    <w:p w14:paraId="6C54F7CD">
      <w:pPr>
        <w:spacing w:line="362" w:lineRule="auto"/>
        <w:rPr>
          <w:rFonts w:ascii="宋体" w:hAnsi="宋体" w:eastAsia="宋体" w:cs="宋体"/>
          <w:sz w:val="24"/>
          <w:szCs w:val="24"/>
        </w:rPr>
        <w:sectPr>
          <w:footerReference r:id="rId129" w:type="default"/>
          <w:pgSz w:w="11905" w:h="16840"/>
          <w:pgMar w:top="1168" w:right="1768" w:bottom="1409" w:left="1770" w:header="828" w:footer="1244" w:gutter="0"/>
          <w:cols w:space="720" w:num="1"/>
        </w:sectPr>
      </w:pPr>
    </w:p>
    <w:p w14:paraId="299CD05F">
      <w:pPr>
        <w:spacing w:before="362" w:line="219" w:lineRule="auto"/>
        <w:ind w:left="1373"/>
        <w:outlineLvl w:val="0"/>
        <w:rPr>
          <w:rFonts w:ascii="宋体" w:hAnsi="宋体" w:eastAsia="宋体" w:cs="宋体"/>
          <w:sz w:val="44"/>
          <w:szCs w:val="44"/>
        </w:rPr>
      </w:pPr>
      <w:bookmarkStart w:id="24" w:name="bookmark15"/>
      <w:bookmarkEnd w:id="24"/>
      <w:r>
        <w:rPr>
          <w:rFonts w:ascii="宋体" w:hAnsi="宋体" w:eastAsia="宋体" w:cs="宋体"/>
          <w:b/>
          <w:bCs/>
          <w:spacing w:val="-7"/>
          <w:sz w:val="44"/>
          <w:szCs w:val="44"/>
        </w:rPr>
        <w:t>第二章</w:t>
      </w:r>
      <w:r>
        <w:rPr>
          <w:rFonts w:ascii="宋体" w:hAnsi="宋体" w:eastAsia="宋体" w:cs="宋体"/>
          <w:spacing w:val="164"/>
          <w:sz w:val="44"/>
          <w:szCs w:val="44"/>
        </w:rPr>
        <w:t xml:space="preserve"> </w:t>
      </w:r>
      <w:r>
        <w:rPr>
          <w:rFonts w:ascii="宋体" w:hAnsi="宋体" w:eastAsia="宋体" w:cs="宋体"/>
          <w:b/>
          <w:bCs/>
          <w:spacing w:val="-7"/>
          <w:sz w:val="44"/>
          <w:szCs w:val="44"/>
        </w:rPr>
        <w:t>工程概况与工程分析</w:t>
      </w:r>
    </w:p>
    <w:p w14:paraId="035C2ACD">
      <w:pPr>
        <w:spacing w:before="281" w:line="220" w:lineRule="auto"/>
        <w:ind w:left="37"/>
        <w:outlineLvl w:val="1"/>
        <w:rPr>
          <w:rFonts w:ascii="宋体" w:hAnsi="宋体" w:eastAsia="宋体" w:cs="宋体"/>
          <w:sz w:val="32"/>
          <w:szCs w:val="32"/>
        </w:rPr>
      </w:pPr>
      <w:bookmarkStart w:id="25" w:name="bookmark16"/>
      <w:bookmarkEnd w:id="25"/>
      <w:r>
        <w:rPr>
          <w:rFonts w:ascii="Times New Roman" w:hAnsi="Times New Roman" w:eastAsia="Times New Roman" w:cs="Times New Roman"/>
          <w:b/>
          <w:bCs/>
          <w:spacing w:val="-5"/>
          <w:sz w:val="32"/>
          <w:szCs w:val="32"/>
        </w:rPr>
        <w:t>2.1</w:t>
      </w:r>
      <w:r>
        <w:rPr>
          <w:rFonts w:ascii="Times New Roman" w:hAnsi="Times New Roman" w:eastAsia="Times New Roman" w:cs="Times New Roman"/>
          <w:b/>
          <w:bCs/>
          <w:spacing w:val="10"/>
          <w:sz w:val="32"/>
          <w:szCs w:val="32"/>
        </w:rPr>
        <w:t xml:space="preserve">  </w:t>
      </w:r>
      <w:r>
        <w:rPr>
          <w:rFonts w:ascii="宋体" w:hAnsi="宋体" w:eastAsia="宋体" w:cs="宋体"/>
          <w:b/>
          <w:bCs/>
          <w:spacing w:val="-5"/>
          <w:sz w:val="32"/>
          <w:szCs w:val="32"/>
        </w:rPr>
        <w:t>工程概况</w:t>
      </w:r>
    </w:p>
    <w:p w14:paraId="3EDC7D8B">
      <w:pPr>
        <w:pStyle w:val="2"/>
        <w:spacing w:line="275" w:lineRule="auto"/>
      </w:pPr>
    </w:p>
    <w:p w14:paraId="384489B2">
      <w:pPr>
        <w:spacing w:before="97" w:line="219"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2.1.1  </w:t>
      </w:r>
      <w:r>
        <w:rPr>
          <w:rFonts w:ascii="宋体" w:hAnsi="宋体" w:eastAsia="宋体" w:cs="宋体"/>
          <w:b/>
          <w:bCs/>
          <w:spacing w:val="-2"/>
          <w:sz w:val="30"/>
          <w:szCs w:val="30"/>
        </w:rPr>
        <w:t>建设项目基本情况</w:t>
      </w:r>
    </w:p>
    <w:p w14:paraId="028FB9D1">
      <w:pPr>
        <w:pStyle w:val="2"/>
        <w:spacing w:line="260" w:lineRule="auto"/>
      </w:pPr>
    </w:p>
    <w:p w14:paraId="4F404303">
      <w:pPr>
        <w:spacing w:before="78" w:line="220" w:lineRule="auto"/>
        <w:ind w:left="523"/>
        <w:rPr>
          <w:rFonts w:ascii="宋体" w:hAnsi="宋体" w:eastAsia="宋体" w:cs="宋体"/>
          <w:sz w:val="24"/>
          <w:szCs w:val="24"/>
        </w:rPr>
      </w:pPr>
      <w:r>
        <w:rPr>
          <w:rFonts w:ascii="宋体" w:hAnsi="宋体" w:eastAsia="宋体" w:cs="宋体"/>
          <w:spacing w:val="-1"/>
          <w:sz w:val="24"/>
          <w:szCs w:val="24"/>
        </w:rPr>
        <w:t>项目名称：喻家沟生猪规模化养殖场建设项目</w:t>
      </w:r>
    </w:p>
    <w:p w14:paraId="51F62BE7">
      <w:pPr>
        <w:spacing w:before="182" w:line="220" w:lineRule="auto"/>
        <w:ind w:left="522"/>
        <w:rPr>
          <w:rFonts w:ascii="宋体" w:hAnsi="宋体" w:eastAsia="宋体" w:cs="宋体"/>
          <w:sz w:val="24"/>
          <w:szCs w:val="24"/>
        </w:rPr>
      </w:pPr>
      <w:r>
        <w:rPr>
          <w:rFonts w:ascii="宋体" w:hAnsi="宋体" w:eastAsia="宋体" w:cs="宋体"/>
          <w:spacing w:val="-1"/>
          <w:sz w:val="24"/>
          <w:szCs w:val="24"/>
        </w:rPr>
        <w:t>建设单位：四川良牧庄养殖有限公司</w:t>
      </w:r>
    </w:p>
    <w:p w14:paraId="415AEFAF">
      <w:pPr>
        <w:spacing w:before="182" w:line="360" w:lineRule="auto"/>
        <w:ind w:left="35" w:right="83" w:firstLine="487"/>
        <w:rPr>
          <w:rFonts w:ascii="宋体" w:hAnsi="宋体" w:eastAsia="宋体" w:cs="宋体"/>
          <w:sz w:val="24"/>
          <w:szCs w:val="24"/>
        </w:rPr>
      </w:pPr>
      <w:r>
        <w:rPr>
          <w:rFonts w:ascii="宋体" w:hAnsi="宋体" w:eastAsia="宋体" w:cs="宋体"/>
          <w:spacing w:val="17"/>
          <w:sz w:val="24"/>
          <w:szCs w:val="24"/>
        </w:rPr>
        <w:t>建设地点：内江市东兴区白合镇喻家沟村</w:t>
      </w:r>
      <w:r>
        <w:rPr>
          <w:rFonts w:ascii="Times New Roman" w:hAnsi="Times New Roman" w:eastAsia="Times New Roman" w:cs="Times New Roman"/>
          <w:spacing w:val="17"/>
          <w:sz w:val="24"/>
          <w:szCs w:val="24"/>
        </w:rPr>
        <w:t>9</w:t>
      </w:r>
      <w:r>
        <w:rPr>
          <w:rFonts w:ascii="Times New Roman" w:hAnsi="Times New Roman" w:eastAsia="Times New Roman" w:cs="Times New Roman"/>
          <w:sz w:val="24"/>
          <w:szCs w:val="24"/>
        </w:rPr>
        <w:t xml:space="preserve"> </w:t>
      </w:r>
      <w:r>
        <w:rPr>
          <w:rFonts w:ascii="宋体" w:hAnsi="宋体" w:eastAsia="宋体" w:cs="宋体"/>
          <w:spacing w:val="17"/>
          <w:sz w:val="24"/>
          <w:szCs w:val="24"/>
        </w:rPr>
        <w:t>、</w:t>
      </w:r>
      <w:r>
        <w:rPr>
          <w:rFonts w:ascii="宋体" w:hAnsi="宋体" w:eastAsia="宋体" w:cs="宋体"/>
          <w:spacing w:val="-66"/>
          <w:sz w:val="24"/>
          <w:szCs w:val="24"/>
        </w:rPr>
        <w:t xml:space="preserve"> </w:t>
      </w:r>
      <w:r>
        <w:rPr>
          <w:rFonts w:ascii="Times New Roman" w:hAnsi="Times New Roman" w:eastAsia="Times New Roman" w:cs="Times New Roman"/>
          <w:spacing w:val="17"/>
          <w:sz w:val="24"/>
          <w:szCs w:val="24"/>
        </w:rPr>
        <w:t>12</w:t>
      </w:r>
      <w:r>
        <w:rPr>
          <w:rFonts w:ascii="Times New Roman" w:hAnsi="Times New Roman" w:eastAsia="Times New Roman" w:cs="Times New Roman"/>
          <w:spacing w:val="-22"/>
          <w:sz w:val="24"/>
          <w:szCs w:val="24"/>
        </w:rPr>
        <w:t xml:space="preserve"> </w:t>
      </w:r>
      <w:r>
        <w:rPr>
          <w:rFonts w:ascii="宋体" w:hAnsi="宋体" w:eastAsia="宋体" w:cs="宋体"/>
          <w:spacing w:val="17"/>
          <w:sz w:val="24"/>
          <w:szCs w:val="24"/>
        </w:rPr>
        <w:t>组（中心坐标位置：</w:t>
      </w:r>
      <w:r>
        <w:rPr>
          <w:rFonts w:ascii="宋体" w:hAnsi="宋体" w:eastAsia="宋体" w:cs="宋体"/>
          <w:sz w:val="24"/>
          <w:szCs w:val="24"/>
        </w:rPr>
        <w:t xml:space="preserve"> </w:t>
      </w:r>
      <w:r>
        <w:rPr>
          <w:rFonts w:ascii="Times New Roman" w:hAnsi="Times New Roman" w:eastAsia="Times New Roman" w:cs="Times New Roman"/>
          <w:spacing w:val="-1"/>
          <w:sz w:val="24"/>
          <w:szCs w:val="24"/>
        </w:rPr>
        <w:t>E105°20′45.965″</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N29°40′42.47</w:t>
      </w:r>
      <w:r>
        <w:rPr>
          <w:rFonts w:ascii="Times New Roman" w:hAnsi="Times New Roman" w:eastAsia="Times New Roman" w:cs="Times New Roman"/>
          <w:spacing w:val="-2"/>
          <w:sz w:val="24"/>
          <w:szCs w:val="24"/>
        </w:rPr>
        <w:t>9″</w:t>
      </w:r>
      <w:r>
        <w:rPr>
          <w:rFonts w:ascii="宋体" w:hAnsi="宋体" w:eastAsia="宋体" w:cs="宋体"/>
          <w:spacing w:val="-2"/>
          <w:sz w:val="24"/>
          <w:szCs w:val="24"/>
        </w:rPr>
        <w:t>）</w:t>
      </w:r>
    </w:p>
    <w:p w14:paraId="2896E6E3">
      <w:pPr>
        <w:spacing w:before="1" w:line="220" w:lineRule="auto"/>
        <w:ind w:left="522"/>
        <w:rPr>
          <w:rFonts w:ascii="宋体" w:hAnsi="宋体" w:eastAsia="宋体" w:cs="宋体"/>
          <w:sz w:val="24"/>
          <w:szCs w:val="24"/>
        </w:rPr>
      </w:pPr>
      <w:r>
        <w:rPr>
          <w:rFonts w:ascii="宋体" w:hAnsi="宋体" w:eastAsia="宋体" w:cs="宋体"/>
          <w:spacing w:val="-2"/>
          <w:sz w:val="24"/>
          <w:szCs w:val="24"/>
        </w:rPr>
        <w:t>建设性质：新建</w:t>
      </w:r>
    </w:p>
    <w:p w14:paraId="1112FF23">
      <w:pPr>
        <w:spacing w:before="167" w:line="231" w:lineRule="auto"/>
        <w:ind w:left="525"/>
        <w:rPr>
          <w:rFonts w:ascii="Times New Roman" w:hAnsi="Times New Roman" w:eastAsia="Times New Roman" w:cs="Times New Roman"/>
          <w:sz w:val="15"/>
          <w:szCs w:val="15"/>
        </w:rPr>
      </w:pPr>
      <w:r>
        <w:rPr>
          <w:rFonts w:ascii="宋体" w:hAnsi="宋体" w:eastAsia="宋体" w:cs="宋体"/>
          <w:spacing w:val="-1"/>
          <w:sz w:val="24"/>
          <w:szCs w:val="24"/>
        </w:rPr>
        <w:t>总用地面积：</w:t>
      </w:r>
      <w:r>
        <w:rPr>
          <w:rFonts w:ascii="Times New Roman" w:hAnsi="Times New Roman" w:eastAsia="Times New Roman" w:cs="Times New Roman"/>
          <w:spacing w:val="-1"/>
          <w:sz w:val="24"/>
          <w:szCs w:val="24"/>
        </w:rPr>
        <w:t>84872m</w:t>
      </w:r>
      <w:r>
        <w:rPr>
          <w:rFonts w:ascii="Times New Roman" w:hAnsi="Times New Roman" w:eastAsia="Times New Roman" w:cs="Times New Roman"/>
          <w:spacing w:val="-1"/>
          <w:position w:val="10"/>
          <w:sz w:val="15"/>
          <w:szCs w:val="15"/>
        </w:rPr>
        <w:t>2</w:t>
      </w:r>
    </w:p>
    <w:p w14:paraId="75E466ED">
      <w:pPr>
        <w:spacing w:before="181" w:line="220" w:lineRule="auto"/>
        <w:ind w:left="525"/>
        <w:rPr>
          <w:rFonts w:ascii="宋体" w:hAnsi="宋体" w:eastAsia="宋体" w:cs="宋体"/>
          <w:sz w:val="24"/>
          <w:szCs w:val="24"/>
        </w:rPr>
      </w:pPr>
      <w:r>
        <w:rPr>
          <w:rFonts w:ascii="宋体" w:hAnsi="宋体" w:eastAsia="宋体" w:cs="宋体"/>
          <w:spacing w:val="-1"/>
          <w:sz w:val="24"/>
          <w:szCs w:val="24"/>
        </w:rPr>
        <w:t>总投资：</w:t>
      </w:r>
      <w:r>
        <w:rPr>
          <w:rFonts w:ascii="Times New Roman" w:hAnsi="Times New Roman" w:eastAsia="Times New Roman" w:cs="Times New Roman"/>
          <w:spacing w:val="-1"/>
          <w:sz w:val="24"/>
          <w:szCs w:val="24"/>
        </w:rPr>
        <w:t>9900</w:t>
      </w:r>
      <w:r>
        <w:rPr>
          <w:rFonts w:ascii="宋体" w:hAnsi="宋体" w:eastAsia="宋体" w:cs="宋体"/>
          <w:spacing w:val="-1"/>
          <w:sz w:val="24"/>
          <w:szCs w:val="24"/>
        </w:rPr>
        <w:t>万元，资金来源为自筹资金</w:t>
      </w:r>
    </w:p>
    <w:p w14:paraId="1B84D8EF">
      <w:pPr>
        <w:spacing w:before="182" w:line="220" w:lineRule="auto"/>
        <w:ind w:left="518"/>
        <w:rPr>
          <w:rFonts w:ascii="宋体" w:hAnsi="宋体" w:eastAsia="宋体" w:cs="宋体"/>
          <w:sz w:val="24"/>
          <w:szCs w:val="24"/>
        </w:rPr>
      </w:pPr>
      <w:r>
        <w:rPr>
          <w:rFonts w:ascii="宋体" w:hAnsi="宋体" w:eastAsia="宋体" w:cs="宋体"/>
          <w:spacing w:val="-2"/>
          <w:sz w:val="24"/>
          <w:szCs w:val="24"/>
        </w:rPr>
        <w:t>施工安排：目前未动工建设，施工期预计</w:t>
      </w:r>
      <w:r>
        <w:rPr>
          <w:rFonts w:ascii="Times New Roman" w:hAnsi="Times New Roman" w:eastAsia="Times New Roman" w:cs="Times New Roman"/>
          <w:spacing w:val="-2"/>
          <w:sz w:val="24"/>
          <w:szCs w:val="24"/>
        </w:rPr>
        <w:t>12</w:t>
      </w:r>
      <w:r>
        <w:rPr>
          <w:rFonts w:ascii="宋体" w:hAnsi="宋体" w:eastAsia="宋体" w:cs="宋体"/>
          <w:spacing w:val="-2"/>
          <w:sz w:val="24"/>
          <w:szCs w:val="24"/>
        </w:rPr>
        <w:t>个月。</w:t>
      </w:r>
    </w:p>
    <w:p w14:paraId="7A590F8B">
      <w:pPr>
        <w:pStyle w:val="2"/>
        <w:spacing w:line="250" w:lineRule="auto"/>
      </w:pPr>
    </w:p>
    <w:p w14:paraId="669CCAA5">
      <w:pPr>
        <w:spacing w:before="99"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2.1.2  </w:t>
      </w:r>
      <w:r>
        <w:rPr>
          <w:rFonts w:ascii="宋体" w:hAnsi="宋体" w:eastAsia="宋体" w:cs="宋体"/>
          <w:b/>
          <w:bCs/>
          <w:spacing w:val="-2"/>
          <w:sz w:val="30"/>
          <w:szCs w:val="30"/>
        </w:rPr>
        <w:t>建设内容及规模</w:t>
      </w:r>
    </w:p>
    <w:p w14:paraId="54A1B3A2">
      <w:pPr>
        <w:pStyle w:val="2"/>
        <w:spacing w:line="306" w:lineRule="auto"/>
      </w:pPr>
    </w:p>
    <w:p w14:paraId="0C577CB0">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2.1.2.1 </w:t>
      </w:r>
      <w:r>
        <w:rPr>
          <w:rFonts w:ascii="宋体" w:hAnsi="宋体" w:eastAsia="宋体" w:cs="宋体"/>
          <w:b/>
          <w:bCs/>
          <w:spacing w:val="5"/>
          <w:sz w:val="27"/>
          <w:szCs w:val="27"/>
        </w:rPr>
        <w:t>产品方案及养殖规模</w:t>
      </w:r>
    </w:p>
    <w:p w14:paraId="48A32715">
      <w:pPr>
        <w:spacing w:before="236" w:line="360" w:lineRule="auto"/>
        <w:ind w:left="42" w:right="28" w:firstLine="478"/>
        <w:rPr>
          <w:rFonts w:ascii="宋体" w:hAnsi="宋体" w:eastAsia="宋体" w:cs="宋体"/>
          <w:sz w:val="24"/>
          <w:szCs w:val="24"/>
        </w:rPr>
      </w:pPr>
      <w:r>
        <w:rPr>
          <w:rFonts w:ascii="宋体" w:hAnsi="宋体" w:eastAsia="宋体" w:cs="宋体"/>
          <w:sz w:val="24"/>
          <w:szCs w:val="24"/>
        </w:rPr>
        <w:t>本项目采用“保育+育肥”模式，批次引进断奶仔猪进行保育、育肥，实行</w:t>
      </w:r>
      <w:r>
        <w:rPr>
          <w:rFonts w:ascii="宋体" w:hAnsi="宋体" w:eastAsia="宋体" w:cs="宋体"/>
          <w:spacing w:val="-3"/>
          <w:sz w:val="24"/>
          <w:szCs w:val="24"/>
        </w:rPr>
        <w:t>分段式饲养，全年连续、均衡、周期性运转。</w:t>
      </w:r>
    </w:p>
    <w:p w14:paraId="2C83A9D8">
      <w:pPr>
        <w:spacing w:before="4" w:line="356" w:lineRule="auto"/>
        <w:ind w:left="40" w:right="29" w:firstLine="479"/>
        <w:jc w:val="both"/>
        <w:rPr>
          <w:rFonts w:ascii="宋体" w:hAnsi="宋体" w:eastAsia="宋体" w:cs="宋体"/>
          <w:sz w:val="24"/>
          <w:szCs w:val="24"/>
        </w:rPr>
      </w:pPr>
      <w:r>
        <w:rPr>
          <w:rFonts w:ascii="宋体" w:hAnsi="宋体" w:eastAsia="宋体" w:cs="宋体"/>
          <w:spacing w:val="-3"/>
          <w:sz w:val="24"/>
          <w:szCs w:val="24"/>
        </w:rPr>
        <w:t>本项目从宇和泽农业有限公司旗下子公司的种猪养殖场引进断</w:t>
      </w:r>
      <w:r>
        <w:rPr>
          <w:rFonts w:ascii="宋体" w:hAnsi="宋体" w:eastAsia="宋体" w:cs="宋体"/>
          <w:spacing w:val="-4"/>
          <w:sz w:val="24"/>
          <w:szCs w:val="24"/>
        </w:rPr>
        <w:t>奶仔猪，进场</w:t>
      </w:r>
      <w:r>
        <w:rPr>
          <w:rFonts w:ascii="宋体" w:hAnsi="宋体" w:eastAsia="宋体" w:cs="宋体"/>
          <w:spacing w:val="-3"/>
          <w:sz w:val="24"/>
          <w:szCs w:val="24"/>
        </w:rPr>
        <w:t>断奶仔猪体重</w:t>
      </w:r>
      <w:r>
        <w:rPr>
          <w:rFonts w:ascii="Times New Roman" w:hAnsi="Times New Roman" w:eastAsia="Times New Roman" w:cs="Times New Roman"/>
          <w:spacing w:val="-3"/>
          <w:sz w:val="24"/>
          <w:szCs w:val="24"/>
        </w:rPr>
        <w:t>7kg</w:t>
      </w:r>
      <w:r>
        <w:rPr>
          <w:rFonts w:ascii="宋体" w:hAnsi="宋体" w:eastAsia="宋体" w:cs="宋体"/>
          <w:spacing w:val="-3"/>
          <w:sz w:val="24"/>
          <w:szCs w:val="24"/>
        </w:rPr>
        <w:t>，在保育楼饲养</w:t>
      </w:r>
      <w:r>
        <w:rPr>
          <w:rFonts w:ascii="Times New Roman" w:hAnsi="Times New Roman" w:eastAsia="Times New Roman" w:cs="Times New Roman"/>
          <w:spacing w:val="-3"/>
          <w:sz w:val="24"/>
          <w:szCs w:val="24"/>
        </w:rPr>
        <w:t>42</w:t>
      </w:r>
      <w:r>
        <w:rPr>
          <w:rFonts w:ascii="宋体" w:hAnsi="宋体" w:eastAsia="宋体" w:cs="宋体"/>
          <w:spacing w:val="-3"/>
          <w:sz w:val="24"/>
          <w:szCs w:val="24"/>
        </w:rPr>
        <w:t>天至体重</w:t>
      </w:r>
      <w:r>
        <w:rPr>
          <w:rFonts w:ascii="Times New Roman" w:hAnsi="Times New Roman" w:eastAsia="Times New Roman" w:cs="Times New Roman"/>
          <w:spacing w:val="-3"/>
          <w:sz w:val="24"/>
          <w:szCs w:val="24"/>
        </w:rPr>
        <w:t>20kg</w:t>
      </w:r>
      <w:r>
        <w:rPr>
          <w:rFonts w:ascii="宋体" w:hAnsi="宋体" w:eastAsia="宋体" w:cs="宋体"/>
          <w:spacing w:val="-3"/>
          <w:sz w:val="24"/>
          <w:szCs w:val="24"/>
        </w:rPr>
        <w:t>后转栏至育肥楼，再经</w:t>
      </w:r>
      <w:r>
        <w:rPr>
          <w:rFonts w:ascii="Times New Roman" w:hAnsi="Times New Roman" w:eastAsia="Times New Roman" w:cs="Times New Roman"/>
          <w:spacing w:val="-3"/>
          <w:sz w:val="24"/>
          <w:szCs w:val="24"/>
        </w:rPr>
        <w:t>114</w:t>
      </w:r>
      <w:r>
        <w:rPr>
          <w:rFonts w:ascii="宋体" w:hAnsi="宋体" w:eastAsia="宋体" w:cs="宋体"/>
          <w:spacing w:val="-3"/>
          <w:sz w:val="24"/>
          <w:szCs w:val="24"/>
        </w:rPr>
        <w:t>天生</w:t>
      </w:r>
      <w:r>
        <w:rPr>
          <w:rFonts w:ascii="宋体" w:hAnsi="宋体" w:eastAsia="宋体" w:cs="宋体"/>
          <w:spacing w:val="-1"/>
          <w:sz w:val="24"/>
          <w:szCs w:val="24"/>
        </w:rPr>
        <w:t>长育肥饲养至</w:t>
      </w:r>
      <w:r>
        <w:rPr>
          <w:rFonts w:ascii="Times New Roman" w:hAnsi="Times New Roman" w:eastAsia="Times New Roman" w:cs="Times New Roman"/>
          <w:spacing w:val="-1"/>
          <w:sz w:val="24"/>
          <w:szCs w:val="24"/>
        </w:rPr>
        <w:t>120kg</w:t>
      </w:r>
      <w:r>
        <w:rPr>
          <w:rFonts w:ascii="宋体" w:hAnsi="宋体" w:eastAsia="宋体" w:cs="宋体"/>
          <w:spacing w:val="-1"/>
          <w:sz w:val="24"/>
          <w:szCs w:val="24"/>
        </w:rPr>
        <w:t>时出栏销售，共饲养</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56</w:t>
      </w:r>
      <w:r>
        <w:rPr>
          <w:rFonts w:ascii="宋体" w:hAnsi="宋体" w:eastAsia="宋体" w:cs="宋体"/>
          <w:spacing w:val="-2"/>
          <w:sz w:val="24"/>
          <w:szCs w:val="24"/>
        </w:rPr>
        <w:t>天。</w:t>
      </w:r>
    </w:p>
    <w:p w14:paraId="641DF371">
      <w:pPr>
        <w:spacing w:before="11"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）保育楼养殖方案</w:t>
      </w:r>
    </w:p>
    <w:p w14:paraId="3A2C5832">
      <w:pPr>
        <w:spacing w:before="170" w:line="361" w:lineRule="auto"/>
        <w:ind w:left="58" w:right="30" w:firstLine="462"/>
        <w:rPr>
          <w:rFonts w:ascii="宋体" w:hAnsi="宋体" w:eastAsia="宋体" w:cs="宋体"/>
          <w:sz w:val="24"/>
          <w:szCs w:val="24"/>
        </w:rPr>
      </w:pPr>
      <w:r>
        <w:rPr>
          <w:rFonts w:ascii="宋体" w:hAnsi="宋体" w:eastAsia="宋体" w:cs="宋体"/>
          <w:sz w:val="24"/>
          <w:szCs w:val="24"/>
        </w:rPr>
        <w:t>本项目建设</w:t>
      </w:r>
      <w:r>
        <w:rPr>
          <w:rFonts w:ascii="Times New Roman" w:hAnsi="Times New Roman" w:eastAsia="Times New Roman" w:cs="Times New Roman"/>
          <w:sz w:val="24"/>
          <w:szCs w:val="24"/>
        </w:rPr>
        <w:t>1</w:t>
      </w:r>
      <w:r>
        <w:rPr>
          <w:rFonts w:ascii="宋体" w:hAnsi="宋体" w:eastAsia="宋体" w:cs="宋体"/>
          <w:sz w:val="24"/>
          <w:szCs w:val="24"/>
        </w:rPr>
        <w:t>栋</w:t>
      </w:r>
      <w:r>
        <w:rPr>
          <w:rFonts w:ascii="Times New Roman" w:hAnsi="Times New Roman" w:eastAsia="Times New Roman" w:cs="Times New Roman"/>
          <w:sz w:val="24"/>
          <w:szCs w:val="24"/>
        </w:rPr>
        <w:t>3</w:t>
      </w:r>
      <w:r>
        <w:rPr>
          <w:rFonts w:ascii="宋体" w:hAnsi="宋体" w:eastAsia="宋体" w:cs="宋体"/>
          <w:sz w:val="24"/>
          <w:szCs w:val="24"/>
        </w:rPr>
        <w:t>层保育楼，建筑面积</w:t>
      </w:r>
      <w:r>
        <w:rPr>
          <w:rFonts w:ascii="Times New Roman" w:hAnsi="Times New Roman" w:eastAsia="Times New Roman" w:cs="Times New Roman"/>
          <w:sz w:val="24"/>
          <w:szCs w:val="24"/>
        </w:rPr>
        <w:t>8940m</w:t>
      </w:r>
      <w:r>
        <w:rPr>
          <w:rFonts w:ascii="Times New Roman" w:hAnsi="Times New Roman" w:eastAsia="Times New Roman" w:cs="Times New Roman"/>
          <w:position w:val="10"/>
          <w:sz w:val="15"/>
          <w:szCs w:val="15"/>
        </w:rPr>
        <w:t>2</w:t>
      </w:r>
      <w:r>
        <w:rPr>
          <w:rFonts w:ascii="宋体" w:hAnsi="宋体" w:eastAsia="宋体" w:cs="宋体"/>
          <w:sz w:val="24"/>
          <w:szCs w:val="24"/>
        </w:rPr>
        <w:t>，每层分隔为</w:t>
      </w:r>
      <w:r>
        <w:rPr>
          <w:rFonts w:ascii="Times New Roman" w:hAnsi="Times New Roman" w:eastAsia="Times New Roman" w:cs="Times New Roman"/>
          <w:sz w:val="24"/>
          <w:szCs w:val="24"/>
        </w:rPr>
        <w:t>2</w:t>
      </w:r>
      <w:r>
        <w:rPr>
          <w:rFonts w:ascii="宋体" w:hAnsi="宋体" w:eastAsia="宋体" w:cs="宋体"/>
          <w:spacing w:val="-1"/>
          <w:sz w:val="24"/>
          <w:szCs w:val="24"/>
        </w:rPr>
        <w:t>个独立单元（约</w:t>
      </w:r>
      <w:r>
        <w:rPr>
          <w:rFonts w:ascii="Times New Roman" w:hAnsi="Times New Roman" w:eastAsia="Times New Roman" w:cs="Times New Roman"/>
          <w:spacing w:val="-1"/>
          <w:sz w:val="24"/>
          <w:szCs w:val="24"/>
        </w:rPr>
        <w:t>1490m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sz w:val="24"/>
          <w:szCs w:val="24"/>
        </w:rPr>
        <w:t>/</w:t>
      </w:r>
      <w:r>
        <w:rPr>
          <w:rFonts w:ascii="宋体" w:hAnsi="宋体" w:eastAsia="宋体" w:cs="宋体"/>
          <w:spacing w:val="-1"/>
          <w:sz w:val="24"/>
          <w:szCs w:val="24"/>
        </w:rPr>
        <w:t>单元</w:t>
      </w:r>
      <w:r>
        <w:rPr>
          <w:rFonts w:ascii="宋体" w:hAnsi="宋体" w:eastAsia="宋体" w:cs="宋体"/>
          <w:sz w:val="24"/>
          <w:szCs w:val="24"/>
        </w:rPr>
        <w:t>），</w:t>
      </w:r>
      <w:r>
        <w:rPr>
          <w:rFonts w:ascii="宋体" w:hAnsi="宋体" w:eastAsia="宋体" w:cs="宋体"/>
          <w:spacing w:val="-1"/>
          <w:sz w:val="24"/>
          <w:szCs w:val="24"/>
        </w:rPr>
        <w:t>保育楼共设</w:t>
      </w:r>
      <w:r>
        <w:rPr>
          <w:rFonts w:ascii="Times New Roman" w:hAnsi="Times New Roman" w:eastAsia="Times New Roman" w:cs="Times New Roman"/>
          <w:spacing w:val="-1"/>
          <w:sz w:val="24"/>
          <w:szCs w:val="24"/>
        </w:rPr>
        <w:t>6</w:t>
      </w:r>
      <w:r>
        <w:rPr>
          <w:rFonts w:ascii="宋体" w:hAnsi="宋体" w:eastAsia="宋体" w:cs="宋体"/>
          <w:spacing w:val="-1"/>
          <w:sz w:val="24"/>
          <w:szCs w:val="24"/>
        </w:rPr>
        <w:t>个单元，每</w:t>
      </w:r>
      <w:r>
        <w:rPr>
          <w:rFonts w:ascii="宋体" w:hAnsi="宋体" w:eastAsia="宋体" w:cs="宋体"/>
          <w:spacing w:val="-2"/>
          <w:sz w:val="24"/>
          <w:szCs w:val="24"/>
        </w:rPr>
        <w:t>个单元设计存栏</w:t>
      </w:r>
      <w:r>
        <w:rPr>
          <w:rFonts w:ascii="Times New Roman" w:hAnsi="Times New Roman" w:eastAsia="Times New Roman" w:cs="Times New Roman"/>
          <w:spacing w:val="-2"/>
          <w:sz w:val="24"/>
          <w:szCs w:val="24"/>
        </w:rPr>
        <w:t>3000</w:t>
      </w:r>
      <w:r>
        <w:rPr>
          <w:rFonts w:ascii="宋体" w:hAnsi="宋体" w:eastAsia="宋体" w:cs="宋体"/>
          <w:spacing w:val="-2"/>
          <w:sz w:val="24"/>
          <w:szCs w:val="24"/>
        </w:rPr>
        <w:t>头保育猪。</w:t>
      </w:r>
    </w:p>
    <w:p w14:paraId="0FC4DF5B">
      <w:pPr>
        <w:spacing w:before="10" w:line="359" w:lineRule="auto"/>
        <w:ind w:left="40" w:right="28" w:firstLine="480"/>
        <w:jc w:val="both"/>
        <w:rPr>
          <w:rFonts w:ascii="宋体" w:hAnsi="宋体" w:eastAsia="宋体" w:cs="宋体"/>
          <w:sz w:val="24"/>
          <w:szCs w:val="24"/>
        </w:rPr>
      </w:pPr>
      <w:r>
        <w:rPr>
          <w:rFonts w:ascii="宋体" w:hAnsi="宋体" w:eastAsia="宋体" w:cs="宋体"/>
          <w:spacing w:val="-3"/>
          <w:sz w:val="24"/>
          <w:szCs w:val="24"/>
        </w:rPr>
        <w:t>保育楼每</w:t>
      </w:r>
      <w:r>
        <w:rPr>
          <w:rFonts w:ascii="Times New Roman" w:hAnsi="Times New Roman" w:eastAsia="Times New Roman" w:cs="Times New Roman"/>
          <w:spacing w:val="-3"/>
          <w:sz w:val="24"/>
          <w:szCs w:val="24"/>
        </w:rPr>
        <w:t>8</w:t>
      </w:r>
      <w:r>
        <w:rPr>
          <w:rFonts w:ascii="宋体" w:hAnsi="宋体" w:eastAsia="宋体" w:cs="宋体"/>
          <w:spacing w:val="-3"/>
          <w:sz w:val="24"/>
          <w:szCs w:val="24"/>
        </w:rPr>
        <w:t>天引进</w:t>
      </w:r>
      <w:r>
        <w:rPr>
          <w:rFonts w:ascii="Times New Roman" w:hAnsi="Times New Roman" w:eastAsia="Times New Roman" w:cs="Times New Roman"/>
          <w:spacing w:val="-3"/>
          <w:sz w:val="24"/>
          <w:szCs w:val="24"/>
        </w:rPr>
        <w:t>1</w:t>
      </w:r>
      <w:r>
        <w:rPr>
          <w:rFonts w:ascii="宋体" w:hAnsi="宋体" w:eastAsia="宋体" w:cs="宋体"/>
          <w:spacing w:val="-3"/>
          <w:sz w:val="24"/>
          <w:szCs w:val="24"/>
        </w:rPr>
        <w:t>批次断奶仔猪，每批次引进</w:t>
      </w:r>
      <w:r>
        <w:rPr>
          <w:rFonts w:ascii="Times New Roman" w:hAnsi="Times New Roman" w:eastAsia="Times New Roman" w:cs="Times New Roman"/>
          <w:spacing w:val="-3"/>
          <w:sz w:val="24"/>
          <w:szCs w:val="24"/>
        </w:rPr>
        <w:t>1</w:t>
      </w:r>
      <w:r>
        <w:rPr>
          <w:rFonts w:ascii="宋体" w:hAnsi="宋体" w:eastAsia="宋体" w:cs="宋体"/>
          <w:spacing w:val="-3"/>
          <w:sz w:val="24"/>
          <w:szCs w:val="24"/>
        </w:rPr>
        <w:t>个单元，保育楼的</w:t>
      </w:r>
      <w:r>
        <w:rPr>
          <w:rFonts w:ascii="Times New Roman" w:hAnsi="Times New Roman" w:eastAsia="Times New Roman" w:cs="Times New Roman"/>
          <w:spacing w:val="-3"/>
          <w:sz w:val="24"/>
          <w:szCs w:val="24"/>
        </w:rPr>
        <w:t>6</w:t>
      </w:r>
      <w:r>
        <w:rPr>
          <w:rFonts w:ascii="宋体" w:hAnsi="宋体" w:eastAsia="宋体" w:cs="宋体"/>
          <w:spacing w:val="-3"/>
          <w:sz w:val="24"/>
          <w:szCs w:val="24"/>
        </w:rPr>
        <w:t>个单元按</w:t>
      </w:r>
      <w:r>
        <w:rPr>
          <w:rFonts w:ascii="宋体" w:hAnsi="宋体" w:eastAsia="宋体" w:cs="宋体"/>
          <w:spacing w:val="2"/>
          <w:sz w:val="24"/>
          <w:szCs w:val="24"/>
        </w:rPr>
        <w:t>顺序依次进猪。在保育楼第</w:t>
      </w:r>
      <w:r>
        <w:rPr>
          <w:rFonts w:ascii="Times New Roman" w:hAnsi="Times New Roman" w:eastAsia="Times New Roman" w:cs="Times New Roman"/>
          <w:spacing w:val="2"/>
          <w:sz w:val="24"/>
          <w:szCs w:val="24"/>
        </w:rPr>
        <w:t>6</w:t>
      </w:r>
      <w:r>
        <w:rPr>
          <w:rFonts w:ascii="宋体" w:hAnsi="宋体" w:eastAsia="宋体" w:cs="宋体"/>
          <w:spacing w:val="2"/>
          <w:sz w:val="24"/>
          <w:szCs w:val="24"/>
        </w:rPr>
        <w:t>单元进猪时</w:t>
      </w:r>
      <w:r>
        <w:rPr>
          <w:rFonts w:ascii="Times New Roman" w:hAnsi="Times New Roman" w:eastAsia="Times New Roman" w:cs="Times New Roman"/>
          <w:spacing w:val="2"/>
          <w:sz w:val="24"/>
          <w:szCs w:val="24"/>
        </w:rPr>
        <w:t>(</w:t>
      </w:r>
      <w:r>
        <w:rPr>
          <w:rFonts w:ascii="宋体" w:hAnsi="宋体" w:eastAsia="宋体" w:cs="宋体"/>
          <w:spacing w:val="2"/>
          <w:sz w:val="24"/>
          <w:szCs w:val="24"/>
        </w:rPr>
        <w:t>第</w:t>
      </w:r>
      <w:r>
        <w:rPr>
          <w:rFonts w:ascii="Times New Roman" w:hAnsi="Times New Roman" w:eastAsia="Times New Roman" w:cs="Times New Roman"/>
          <w:spacing w:val="2"/>
          <w:sz w:val="24"/>
          <w:szCs w:val="24"/>
        </w:rPr>
        <w:t>41</w:t>
      </w:r>
      <w:r>
        <w:rPr>
          <w:rFonts w:ascii="宋体" w:hAnsi="宋体" w:eastAsia="宋体" w:cs="宋体"/>
          <w:spacing w:val="2"/>
          <w:sz w:val="24"/>
          <w:szCs w:val="24"/>
        </w:rPr>
        <w:t>天</w:t>
      </w:r>
      <w:r>
        <w:rPr>
          <w:rFonts w:ascii="Times New Roman" w:hAnsi="Times New Roman" w:eastAsia="Times New Roman" w:cs="Times New Roman"/>
          <w:spacing w:val="2"/>
          <w:sz w:val="24"/>
          <w:szCs w:val="24"/>
        </w:rPr>
        <w:t>)</w:t>
      </w:r>
      <w:r>
        <w:rPr>
          <w:rFonts w:ascii="宋体" w:hAnsi="宋体" w:eastAsia="宋体" w:cs="宋体"/>
          <w:spacing w:val="2"/>
          <w:sz w:val="24"/>
          <w:szCs w:val="24"/>
        </w:rPr>
        <w:t>，第</w:t>
      </w:r>
      <w:r>
        <w:rPr>
          <w:rFonts w:ascii="Times New Roman" w:hAnsi="Times New Roman" w:eastAsia="Times New Roman" w:cs="Times New Roman"/>
          <w:spacing w:val="2"/>
          <w:sz w:val="24"/>
          <w:szCs w:val="24"/>
        </w:rPr>
        <w:t>1</w:t>
      </w:r>
      <w:r>
        <w:rPr>
          <w:rFonts w:ascii="宋体" w:hAnsi="宋体" w:eastAsia="宋体" w:cs="宋体"/>
          <w:spacing w:val="2"/>
          <w:sz w:val="24"/>
          <w:szCs w:val="24"/>
        </w:rPr>
        <w:t>单元的保育猪再经</w:t>
      </w:r>
      <w:r>
        <w:rPr>
          <w:rFonts w:ascii="Times New Roman" w:hAnsi="Times New Roman" w:eastAsia="Times New Roman" w:cs="Times New Roman"/>
          <w:spacing w:val="2"/>
          <w:sz w:val="24"/>
          <w:szCs w:val="24"/>
        </w:rPr>
        <w:t>1</w:t>
      </w:r>
      <w:r>
        <w:rPr>
          <w:rFonts w:ascii="宋体" w:hAnsi="宋体" w:eastAsia="宋体" w:cs="宋体"/>
          <w:spacing w:val="2"/>
          <w:sz w:val="24"/>
          <w:szCs w:val="24"/>
        </w:rPr>
        <w:t>天饲</w:t>
      </w:r>
      <w:r>
        <w:rPr>
          <w:rFonts w:ascii="宋体" w:hAnsi="宋体" w:eastAsia="宋体" w:cs="宋体"/>
          <w:spacing w:val="4"/>
          <w:sz w:val="24"/>
          <w:szCs w:val="24"/>
        </w:rPr>
        <w:t>养后需转栏至育肥楼进行育肥。转栏与单元洗消时间共计</w:t>
      </w:r>
      <w:r>
        <w:rPr>
          <w:rFonts w:ascii="Times New Roman" w:hAnsi="Times New Roman" w:eastAsia="Times New Roman" w:cs="Times New Roman"/>
          <w:spacing w:val="4"/>
          <w:sz w:val="24"/>
          <w:szCs w:val="24"/>
        </w:rPr>
        <w:t>6</w:t>
      </w:r>
      <w:r>
        <w:rPr>
          <w:rFonts w:ascii="宋体" w:hAnsi="宋体" w:eastAsia="宋体" w:cs="宋体"/>
          <w:spacing w:val="4"/>
          <w:sz w:val="24"/>
          <w:szCs w:val="24"/>
        </w:rPr>
        <w:t>天，洗消完</w:t>
      </w:r>
      <w:r>
        <w:rPr>
          <w:rFonts w:ascii="宋体" w:hAnsi="宋体" w:eastAsia="宋体" w:cs="宋体"/>
          <w:spacing w:val="3"/>
          <w:sz w:val="24"/>
          <w:szCs w:val="24"/>
        </w:rPr>
        <w:t>毕的第</w:t>
      </w:r>
      <w:r>
        <w:rPr>
          <w:rFonts w:ascii="Times New Roman" w:hAnsi="Times New Roman" w:eastAsia="Times New Roman" w:cs="Times New Roman"/>
          <w:spacing w:val="3"/>
          <w:sz w:val="24"/>
          <w:szCs w:val="24"/>
        </w:rPr>
        <w:t>1</w:t>
      </w:r>
      <w:r>
        <w:rPr>
          <w:rFonts w:ascii="宋体" w:hAnsi="宋体" w:eastAsia="宋体" w:cs="宋体"/>
          <w:spacing w:val="-1"/>
          <w:sz w:val="24"/>
          <w:szCs w:val="24"/>
        </w:rPr>
        <w:t>单元重新引进断奶仔猪</w:t>
      </w:r>
      <w:r>
        <w:rPr>
          <w:rFonts w:ascii="Times New Roman" w:hAnsi="Times New Roman" w:eastAsia="Times New Roman" w:cs="Times New Roman"/>
          <w:spacing w:val="-1"/>
          <w:sz w:val="24"/>
          <w:szCs w:val="24"/>
        </w:rPr>
        <w:t>(</w:t>
      </w:r>
      <w:r>
        <w:rPr>
          <w:rFonts w:ascii="宋体" w:hAnsi="宋体" w:eastAsia="宋体" w:cs="宋体"/>
          <w:spacing w:val="-1"/>
          <w:sz w:val="24"/>
          <w:szCs w:val="24"/>
        </w:rPr>
        <w:t>第</w:t>
      </w:r>
      <w:r>
        <w:rPr>
          <w:rFonts w:ascii="Times New Roman" w:hAnsi="Times New Roman" w:eastAsia="Times New Roman" w:cs="Times New Roman"/>
          <w:spacing w:val="-1"/>
          <w:sz w:val="24"/>
          <w:szCs w:val="24"/>
        </w:rPr>
        <w:t>49</w:t>
      </w:r>
      <w:r>
        <w:rPr>
          <w:rFonts w:ascii="宋体" w:hAnsi="宋体" w:eastAsia="宋体" w:cs="宋体"/>
          <w:spacing w:val="-1"/>
          <w:sz w:val="24"/>
          <w:szCs w:val="24"/>
        </w:rPr>
        <w:t>天时</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1DC8AC2B">
      <w:pPr>
        <w:spacing w:before="5" w:line="220" w:lineRule="auto"/>
        <w:ind w:left="520"/>
        <w:rPr>
          <w:rFonts w:ascii="宋体" w:hAnsi="宋体" w:eastAsia="宋体" w:cs="宋体"/>
          <w:sz w:val="24"/>
          <w:szCs w:val="24"/>
        </w:rPr>
      </w:pPr>
      <w:r>
        <w:rPr>
          <w:rFonts w:ascii="宋体" w:hAnsi="宋体" w:eastAsia="宋体" w:cs="宋体"/>
          <w:spacing w:val="-2"/>
          <w:sz w:val="24"/>
          <w:szCs w:val="24"/>
        </w:rPr>
        <w:t>保育楼通过</w:t>
      </w:r>
      <w:r>
        <w:rPr>
          <w:rFonts w:ascii="Times New Roman" w:hAnsi="Times New Roman" w:eastAsia="Times New Roman" w:cs="Times New Roman"/>
          <w:spacing w:val="-2"/>
          <w:sz w:val="24"/>
          <w:szCs w:val="24"/>
        </w:rPr>
        <w:t>6</w:t>
      </w:r>
      <w:r>
        <w:rPr>
          <w:rFonts w:ascii="宋体" w:hAnsi="宋体" w:eastAsia="宋体" w:cs="宋体"/>
          <w:spacing w:val="-2"/>
          <w:sz w:val="24"/>
          <w:szCs w:val="24"/>
        </w:rPr>
        <w:t>个单元可实现全年连续、均衡、周期性引进断奶仔猪。则：</w:t>
      </w:r>
    </w:p>
    <w:p w14:paraId="25B53E9E">
      <w:pPr>
        <w:spacing w:line="220" w:lineRule="auto"/>
        <w:rPr>
          <w:rFonts w:ascii="宋体" w:hAnsi="宋体" w:eastAsia="宋体" w:cs="宋体"/>
          <w:sz w:val="24"/>
          <w:szCs w:val="24"/>
        </w:rPr>
        <w:sectPr>
          <w:footerReference r:id="rId130" w:type="default"/>
          <w:pgSz w:w="11905" w:h="16840"/>
          <w:pgMar w:top="1168" w:right="1768" w:bottom="1408" w:left="1770" w:header="828" w:footer="1244" w:gutter="0"/>
          <w:cols w:space="720" w:num="1"/>
        </w:sectPr>
      </w:pPr>
    </w:p>
    <w:p w14:paraId="661EEC83">
      <w:pPr>
        <w:pStyle w:val="2"/>
        <w:spacing w:line="306" w:lineRule="auto"/>
      </w:pPr>
    </w:p>
    <w:p w14:paraId="7835A56C">
      <w:pPr>
        <w:spacing w:before="78" w:line="217" w:lineRule="auto"/>
        <w:ind w:left="518"/>
        <w:rPr>
          <w:rFonts w:ascii="宋体" w:hAnsi="宋体" w:eastAsia="宋体" w:cs="宋体"/>
          <w:sz w:val="24"/>
          <w:szCs w:val="24"/>
        </w:rPr>
      </w:pPr>
      <w:r>
        <w:rPr>
          <w:rFonts w:ascii="宋体" w:hAnsi="宋体" w:eastAsia="宋体" w:cs="宋体"/>
          <w:spacing w:val="-1"/>
          <w:sz w:val="24"/>
          <w:szCs w:val="24"/>
        </w:rPr>
        <w:t>①保育猪设计最大存栏量：</w:t>
      </w:r>
      <w:r>
        <w:rPr>
          <w:rFonts w:ascii="Times New Roman" w:hAnsi="Times New Roman" w:eastAsia="Times New Roman" w:cs="Times New Roman"/>
          <w:spacing w:val="-1"/>
          <w:sz w:val="24"/>
          <w:szCs w:val="24"/>
        </w:rPr>
        <w:t>3000</w:t>
      </w:r>
      <w:r>
        <w:rPr>
          <w:rFonts w:ascii="宋体" w:hAnsi="宋体" w:eastAsia="宋体" w:cs="宋体"/>
          <w:spacing w:val="-1"/>
          <w:sz w:val="24"/>
          <w:szCs w:val="24"/>
        </w:rPr>
        <w:t>头</w:t>
      </w:r>
      <w:r>
        <w:rPr>
          <w:rFonts w:ascii="Times New Roman" w:hAnsi="Times New Roman" w:eastAsia="Times New Roman" w:cs="Times New Roman"/>
          <w:spacing w:val="-1"/>
          <w:sz w:val="24"/>
          <w:szCs w:val="24"/>
        </w:rPr>
        <w:t>/</w:t>
      </w:r>
      <w:r>
        <w:rPr>
          <w:rFonts w:ascii="宋体" w:hAnsi="宋体" w:eastAsia="宋体" w:cs="宋体"/>
          <w:spacing w:val="-1"/>
          <w:sz w:val="24"/>
          <w:szCs w:val="24"/>
        </w:rPr>
        <w:t>单元</w:t>
      </w:r>
      <w:r>
        <w:rPr>
          <w:rFonts w:ascii="Times New Roman" w:hAnsi="Times New Roman" w:eastAsia="Times New Roman" w:cs="Times New Roman"/>
          <w:spacing w:val="-1"/>
          <w:sz w:val="24"/>
          <w:szCs w:val="24"/>
        </w:rPr>
        <w:t>×6</w:t>
      </w:r>
      <w:r>
        <w:rPr>
          <w:rFonts w:ascii="宋体" w:hAnsi="宋体" w:eastAsia="宋体" w:cs="宋体"/>
          <w:spacing w:val="-1"/>
          <w:sz w:val="24"/>
          <w:szCs w:val="24"/>
        </w:rPr>
        <w:t>单元</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8000</w:t>
      </w:r>
      <w:r>
        <w:rPr>
          <w:rFonts w:ascii="宋体" w:hAnsi="宋体" w:eastAsia="宋体" w:cs="宋体"/>
          <w:spacing w:val="-2"/>
          <w:sz w:val="24"/>
          <w:szCs w:val="24"/>
        </w:rPr>
        <w:t>头；</w:t>
      </w:r>
    </w:p>
    <w:p w14:paraId="3EC6F5B7">
      <w:pPr>
        <w:spacing w:before="185" w:line="217" w:lineRule="auto"/>
        <w:ind w:left="517"/>
        <w:rPr>
          <w:rFonts w:ascii="宋体" w:hAnsi="宋体" w:eastAsia="宋体" w:cs="宋体"/>
          <w:sz w:val="24"/>
          <w:szCs w:val="24"/>
        </w:rPr>
      </w:pPr>
      <w:r>
        <w:rPr>
          <w:rFonts w:ascii="宋体" w:hAnsi="宋体" w:eastAsia="宋体" w:cs="宋体"/>
          <w:spacing w:val="-1"/>
          <w:sz w:val="24"/>
          <w:szCs w:val="24"/>
        </w:rPr>
        <w:t>②保育楼全年引进仔猪总批次：</w:t>
      </w:r>
      <w:r>
        <w:rPr>
          <w:rFonts w:ascii="Times New Roman" w:hAnsi="Times New Roman" w:eastAsia="Times New Roman" w:cs="Times New Roman"/>
          <w:spacing w:val="-1"/>
          <w:sz w:val="24"/>
          <w:szCs w:val="24"/>
        </w:rPr>
        <w:t>365</w:t>
      </w:r>
      <w:r>
        <w:rPr>
          <w:rFonts w:ascii="宋体" w:hAnsi="宋体" w:eastAsia="宋体" w:cs="宋体"/>
          <w:spacing w:val="-1"/>
          <w:sz w:val="24"/>
          <w:szCs w:val="24"/>
        </w:rPr>
        <w:t>天</w:t>
      </w:r>
      <w:r>
        <w:rPr>
          <w:rFonts w:ascii="Times New Roman" w:hAnsi="Times New Roman" w:eastAsia="Times New Roman" w:cs="Times New Roman"/>
          <w:spacing w:val="-1"/>
          <w:sz w:val="24"/>
          <w:szCs w:val="24"/>
        </w:rPr>
        <w:t>/</w:t>
      </w:r>
      <w:r>
        <w:rPr>
          <w:rFonts w:ascii="宋体" w:hAnsi="宋体" w:eastAsia="宋体" w:cs="宋体"/>
          <w:spacing w:val="-1"/>
          <w:sz w:val="24"/>
          <w:szCs w:val="24"/>
        </w:rPr>
        <w:t>年</w:t>
      </w:r>
      <w:r>
        <w:rPr>
          <w:rFonts w:ascii="Times New Roman" w:hAnsi="Times New Roman" w:eastAsia="Times New Roman" w:cs="Times New Roman"/>
          <w:spacing w:val="-1"/>
          <w:sz w:val="24"/>
          <w:szCs w:val="24"/>
        </w:rPr>
        <w:t>÷8</w:t>
      </w:r>
      <w:r>
        <w:rPr>
          <w:rFonts w:ascii="宋体" w:hAnsi="宋体" w:eastAsia="宋体" w:cs="宋体"/>
          <w:spacing w:val="-1"/>
          <w:sz w:val="24"/>
          <w:szCs w:val="24"/>
        </w:rPr>
        <w:t>天</w:t>
      </w:r>
      <w:r>
        <w:rPr>
          <w:rFonts w:ascii="Times New Roman" w:hAnsi="Times New Roman" w:eastAsia="Times New Roman" w:cs="Times New Roman"/>
          <w:spacing w:val="-1"/>
          <w:sz w:val="24"/>
          <w:szCs w:val="24"/>
        </w:rPr>
        <w:t>/</w:t>
      </w:r>
      <w:r>
        <w:rPr>
          <w:rFonts w:ascii="宋体" w:hAnsi="宋体" w:eastAsia="宋体" w:cs="宋体"/>
          <w:spacing w:val="-1"/>
          <w:sz w:val="24"/>
          <w:szCs w:val="24"/>
        </w:rPr>
        <w:t>批次</w:t>
      </w:r>
      <w:r>
        <w:rPr>
          <w:rFonts w:ascii="Times New Roman" w:hAnsi="Times New Roman" w:eastAsia="Times New Roman" w:cs="Times New Roman"/>
          <w:spacing w:val="-1"/>
          <w:sz w:val="24"/>
          <w:szCs w:val="24"/>
        </w:rPr>
        <w:t>=45.625</w:t>
      </w:r>
      <w:r>
        <w:rPr>
          <w:rFonts w:ascii="宋体" w:hAnsi="宋体" w:eastAsia="宋体" w:cs="宋体"/>
          <w:spacing w:val="-1"/>
          <w:sz w:val="24"/>
          <w:szCs w:val="24"/>
        </w:rPr>
        <w:t>批次</w:t>
      </w:r>
      <w:r>
        <w:rPr>
          <w:rFonts w:ascii="Times New Roman" w:hAnsi="Times New Roman" w:eastAsia="Times New Roman" w:cs="Times New Roman"/>
          <w:spacing w:val="-1"/>
          <w:sz w:val="24"/>
          <w:szCs w:val="24"/>
        </w:rPr>
        <w:t>/</w:t>
      </w:r>
      <w:r>
        <w:rPr>
          <w:rFonts w:ascii="宋体" w:hAnsi="宋体" w:eastAsia="宋体" w:cs="宋体"/>
          <w:spacing w:val="-1"/>
          <w:sz w:val="24"/>
          <w:szCs w:val="24"/>
        </w:rPr>
        <w:t>年；</w:t>
      </w:r>
    </w:p>
    <w:p w14:paraId="07BDEDE8">
      <w:pPr>
        <w:spacing w:before="185" w:line="360" w:lineRule="auto"/>
        <w:ind w:left="34" w:right="67" w:firstLine="483"/>
        <w:rPr>
          <w:rFonts w:ascii="宋体" w:hAnsi="宋体" w:eastAsia="宋体" w:cs="宋体"/>
          <w:sz w:val="24"/>
          <w:szCs w:val="24"/>
        </w:rPr>
      </w:pPr>
      <w:r>
        <w:rPr>
          <w:rFonts w:ascii="宋体" w:hAnsi="宋体" w:eastAsia="宋体" w:cs="宋体"/>
          <w:spacing w:val="9"/>
          <w:sz w:val="24"/>
          <w:szCs w:val="24"/>
        </w:rPr>
        <w:t>③保育楼全年引进仔猪数量：</w:t>
      </w:r>
      <w:r>
        <w:rPr>
          <w:rFonts w:ascii="宋体" w:hAnsi="宋体" w:eastAsia="宋体" w:cs="宋体"/>
          <w:spacing w:val="95"/>
          <w:sz w:val="24"/>
          <w:szCs w:val="24"/>
        </w:rPr>
        <w:t xml:space="preserve"> </w:t>
      </w:r>
      <w:r>
        <w:rPr>
          <w:rFonts w:ascii="Times New Roman" w:hAnsi="Times New Roman" w:eastAsia="Times New Roman" w:cs="Times New Roman"/>
          <w:spacing w:val="9"/>
          <w:sz w:val="24"/>
          <w:szCs w:val="24"/>
        </w:rPr>
        <w:t>45.625</w:t>
      </w:r>
      <w:r>
        <w:rPr>
          <w:rFonts w:ascii="宋体" w:hAnsi="宋体" w:eastAsia="宋体" w:cs="宋体"/>
          <w:spacing w:val="9"/>
          <w:sz w:val="24"/>
          <w:szCs w:val="24"/>
        </w:rPr>
        <w:t>批次</w:t>
      </w:r>
      <w:r>
        <w:rPr>
          <w:rFonts w:ascii="Times New Roman" w:hAnsi="Times New Roman" w:eastAsia="Times New Roman" w:cs="Times New Roman"/>
          <w:spacing w:val="9"/>
          <w:sz w:val="24"/>
          <w:szCs w:val="24"/>
        </w:rPr>
        <w:t>/</w:t>
      </w:r>
      <w:r>
        <w:rPr>
          <w:rFonts w:ascii="宋体" w:hAnsi="宋体" w:eastAsia="宋体" w:cs="宋体"/>
          <w:spacing w:val="9"/>
          <w:sz w:val="24"/>
          <w:szCs w:val="24"/>
        </w:rPr>
        <w:t>年</w:t>
      </w:r>
      <w:r>
        <w:rPr>
          <w:rFonts w:ascii="Times New Roman" w:hAnsi="Times New Roman" w:eastAsia="Times New Roman" w:cs="Times New Roman"/>
          <w:spacing w:val="9"/>
          <w:sz w:val="24"/>
          <w:szCs w:val="24"/>
        </w:rPr>
        <w:t>×1</w:t>
      </w:r>
      <w:r>
        <w:rPr>
          <w:rFonts w:ascii="宋体" w:hAnsi="宋体" w:eastAsia="宋体" w:cs="宋体"/>
          <w:spacing w:val="9"/>
          <w:sz w:val="24"/>
          <w:szCs w:val="24"/>
        </w:rPr>
        <w:t>单元</w:t>
      </w:r>
      <w:r>
        <w:rPr>
          <w:rFonts w:ascii="Times New Roman" w:hAnsi="Times New Roman" w:eastAsia="Times New Roman" w:cs="Times New Roman"/>
          <w:spacing w:val="9"/>
          <w:sz w:val="24"/>
          <w:szCs w:val="24"/>
        </w:rPr>
        <w:t>/</w:t>
      </w:r>
      <w:r>
        <w:rPr>
          <w:rFonts w:ascii="宋体" w:hAnsi="宋体" w:eastAsia="宋体" w:cs="宋体"/>
          <w:spacing w:val="9"/>
          <w:sz w:val="24"/>
          <w:szCs w:val="24"/>
        </w:rPr>
        <w:t>批次</w:t>
      </w:r>
      <w:r>
        <w:rPr>
          <w:rFonts w:ascii="Times New Roman" w:hAnsi="Times New Roman" w:eastAsia="Times New Roman" w:cs="Times New Roman"/>
          <w:spacing w:val="9"/>
          <w:sz w:val="24"/>
          <w:szCs w:val="24"/>
        </w:rPr>
        <w:t>×3000</w:t>
      </w:r>
      <w:r>
        <w:rPr>
          <w:rFonts w:ascii="宋体" w:hAnsi="宋体" w:eastAsia="宋体" w:cs="宋体"/>
          <w:spacing w:val="9"/>
          <w:sz w:val="24"/>
          <w:szCs w:val="24"/>
        </w:rPr>
        <w:t>头</w:t>
      </w:r>
      <w:r>
        <w:rPr>
          <w:rFonts w:ascii="Times New Roman" w:hAnsi="Times New Roman" w:eastAsia="Times New Roman" w:cs="Times New Roman"/>
          <w:spacing w:val="9"/>
          <w:sz w:val="24"/>
          <w:szCs w:val="24"/>
        </w:rPr>
        <w:t>/</w:t>
      </w:r>
      <w:r>
        <w:rPr>
          <w:rFonts w:ascii="宋体" w:hAnsi="宋体" w:eastAsia="宋体" w:cs="宋体"/>
          <w:spacing w:val="9"/>
          <w:sz w:val="24"/>
          <w:szCs w:val="24"/>
        </w:rPr>
        <w:t>单元</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=136875</w:t>
      </w:r>
      <w:r>
        <w:rPr>
          <w:rFonts w:ascii="宋体" w:hAnsi="宋体" w:eastAsia="宋体" w:cs="宋体"/>
          <w:spacing w:val="-2"/>
          <w:sz w:val="24"/>
          <w:szCs w:val="24"/>
        </w:rPr>
        <w:t>头</w:t>
      </w:r>
      <w:r>
        <w:rPr>
          <w:rFonts w:ascii="Times New Roman" w:hAnsi="Times New Roman" w:eastAsia="Times New Roman" w:cs="Times New Roman"/>
          <w:spacing w:val="-2"/>
          <w:sz w:val="24"/>
          <w:szCs w:val="24"/>
        </w:rPr>
        <w:t>/</w:t>
      </w:r>
      <w:r>
        <w:rPr>
          <w:rFonts w:ascii="宋体" w:hAnsi="宋体" w:eastAsia="宋体" w:cs="宋体"/>
          <w:spacing w:val="-2"/>
          <w:sz w:val="24"/>
          <w:szCs w:val="24"/>
        </w:rPr>
        <w:t>年。</w:t>
      </w:r>
    </w:p>
    <w:p w14:paraId="1214C162">
      <w:pPr>
        <w:spacing w:before="1" w:line="218"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）育肥楼养殖方案</w:t>
      </w:r>
    </w:p>
    <w:p w14:paraId="11CB690C">
      <w:pPr>
        <w:spacing w:before="168" w:line="361" w:lineRule="auto"/>
        <w:ind w:left="40" w:right="69" w:firstLine="480"/>
        <w:jc w:val="both"/>
        <w:rPr>
          <w:rFonts w:ascii="宋体" w:hAnsi="宋体" w:eastAsia="宋体" w:cs="宋体"/>
          <w:sz w:val="24"/>
          <w:szCs w:val="24"/>
        </w:rPr>
      </w:pPr>
      <w:r>
        <w:rPr>
          <w:rFonts w:ascii="宋体" w:hAnsi="宋体" w:eastAsia="宋体" w:cs="宋体"/>
          <w:spacing w:val="-7"/>
          <w:sz w:val="24"/>
          <w:szCs w:val="24"/>
        </w:rPr>
        <w:t>本项目建设</w:t>
      </w:r>
      <w:r>
        <w:rPr>
          <w:rFonts w:ascii="Times New Roman" w:hAnsi="Times New Roman" w:eastAsia="Times New Roman" w:cs="Times New Roman"/>
          <w:spacing w:val="-7"/>
          <w:sz w:val="24"/>
          <w:szCs w:val="24"/>
        </w:rPr>
        <w:t>1</w:t>
      </w:r>
      <w:r>
        <w:rPr>
          <w:rFonts w:ascii="宋体" w:hAnsi="宋体" w:eastAsia="宋体" w:cs="宋体"/>
          <w:spacing w:val="-7"/>
          <w:sz w:val="24"/>
          <w:szCs w:val="24"/>
        </w:rPr>
        <w:t>栋</w:t>
      </w:r>
      <w:r>
        <w:rPr>
          <w:rFonts w:ascii="Times New Roman" w:hAnsi="Times New Roman" w:eastAsia="Times New Roman" w:cs="Times New Roman"/>
          <w:spacing w:val="-7"/>
          <w:sz w:val="24"/>
          <w:szCs w:val="24"/>
        </w:rPr>
        <w:t>3</w:t>
      </w:r>
      <w:r>
        <w:rPr>
          <w:rFonts w:ascii="宋体" w:hAnsi="宋体" w:eastAsia="宋体" w:cs="宋体"/>
          <w:spacing w:val="-7"/>
          <w:sz w:val="24"/>
          <w:szCs w:val="24"/>
        </w:rPr>
        <w:t>层育肥楼，建筑面积</w:t>
      </w:r>
      <w:r>
        <w:rPr>
          <w:rFonts w:ascii="Times New Roman" w:hAnsi="Times New Roman" w:eastAsia="Times New Roman" w:cs="Times New Roman"/>
          <w:spacing w:val="-7"/>
          <w:sz w:val="24"/>
          <w:szCs w:val="24"/>
        </w:rPr>
        <w:t>45735m</w:t>
      </w:r>
      <w:r>
        <w:rPr>
          <w:rFonts w:ascii="Times New Roman" w:hAnsi="Times New Roman" w:eastAsia="Times New Roman" w:cs="Times New Roman"/>
          <w:spacing w:val="-7"/>
          <w:position w:val="10"/>
          <w:sz w:val="15"/>
          <w:szCs w:val="15"/>
        </w:rPr>
        <w:t>2</w:t>
      </w:r>
      <w:r>
        <w:rPr>
          <w:rFonts w:ascii="宋体" w:hAnsi="宋体" w:eastAsia="宋体" w:cs="宋体"/>
          <w:spacing w:val="-7"/>
          <w:sz w:val="24"/>
          <w:szCs w:val="24"/>
        </w:rPr>
        <w:t>，每层分隔为</w:t>
      </w:r>
      <w:r>
        <w:rPr>
          <w:rFonts w:ascii="Times New Roman" w:hAnsi="Times New Roman" w:eastAsia="Times New Roman" w:cs="Times New Roman"/>
          <w:spacing w:val="-7"/>
          <w:sz w:val="24"/>
          <w:szCs w:val="24"/>
        </w:rPr>
        <w:t>15</w:t>
      </w:r>
      <w:r>
        <w:rPr>
          <w:rFonts w:ascii="宋体" w:hAnsi="宋体" w:eastAsia="宋体" w:cs="宋体"/>
          <w:spacing w:val="-7"/>
          <w:sz w:val="24"/>
          <w:szCs w:val="24"/>
        </w:rPr>
        <w:t>个独立单元（约</w:t>
      </w:r>
      <w:r>
        <w:rPr>
          <w:rFonts w:ascii="Times New Roman" w:hAnsi="Times New Roman" w:eastAsia="Times New Roman" w:cs="Times New Roman"/>
          <w:spacing w:val="1"/>
          <w:sz w:val="24"/>
          <w:szCs w:val="24"/>
        </w:rPr>
        <w:t>1015m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sz w:val="24"/>
          <w:szCs w:val="24"/>
        </w:rPr>
        <w:t>/</w:t>
      </w:r>
      <w:r>
        <w:rPr>
          <w:rFonts w:ascii="宋体" w:hAnsi="宋体" w:eastAsia="宋体" w:cs="宋体"/>
          <w:spacing w:val="1"/>
          <w:sz w:val="24"/>
          <w:szCs w:val="24"/>
        </w:rPr>
        <w:t>单元</w:t>
      </w:r>
      <w:r>
        <w:rPr>
          <w:rFonts w:ascii="宋体" w:hAnsi="宋体" w:eastAsia="宋体" w:cs="宋体"/>
          <w:spacing w:val="2"/>
          <w:sz w:val="24"/>
          <w:szCs w:val="24"/>
        </w:rPr>
        <w:t>），</w:t>
      </w:r>
      <w:r>
        <w:rPr>
          <w:rFonts w:ascii="宋体" w:hAnsi="宋体" w:eastAsia="宋体" w:cs="宋体"/>
          <w:spacing w:val="1"/>
          <w:sz w:val="24"/>
          <w:szCs w:val="24"/>
        </w:rPr>
        <w:t>育肥楼共设</w:t>
      </w:r>
      <w:r>
        <w:rPr>
          <w:rFonts w:ascii="Times New Roman" w:hAnsi="Times New Roman" w:eastAsia="Times New Roman" w:cs="Times New Roman"/>
          <w:spacing w:val="1"/>
          <w:sz w:val="24"/>
          <w:szCs w:val="24"/>
        </w:rPr>
        <w:t>45</w:t>
      </w:r>
      <w:r>
        <w:rPr>
          <w:rFonts w:ascii="宋体" w:hAnsi="宋体" w:eastAsia="宋体" w:cs="宋体"/>
          <w:spacing w:val="1"/>
          <w:sz w:val="24"/>
          <w:szCs w:val="24"/>
        </w:rPr>
        <w:t>个单元，每个单元设计存栏</w:t>
      </w:r>
      <w:r>
        <w:rPr>
          <w:rFonts w:ascii="Times New Roman" w:hAnsi="Times New Roman" w:eastAsia="Times New Roman" w:cs="Times New Roman"/>
          <w:spacing w:val="1"/>
          <w:sz w:val="24"/>
          <w:szCs w:val="24"/>
        </w:rPr>
        <w:t>1000</w:t>
      </w:r>
      <w:r>
        <w:rPr>
          <w:rFonts w:ascii="宋体" w:hAnsi="宋体" w:eastAsia="宋体" w:cs="宋体"/>
          <w:spacing w:val="1"/>
          <w:sz w:val="24"/>
          <w:szCs w:val="24"/>
        </w:rPr>
        <w:t>头育肥猪，考虑</w:t>
      </w:r>
      <w:r>
        <w:rPr>
          <w:rFonts w:ascii="宋体" w:hAnsi="宋体" w:eastAsia="宋体" w:cs="宋体"/>
          <w:spacing w:val="-1"/>
          <w:sz w:val="24"/>
          <w:szCs w:val="24"/>
        </w:rPr>
        <w:t>保育猪成活率</w:t>
      </w:r>
      <w:r>
        <w:rPr>
          <w:rFonts w:ascii="Times New Roman" w:hAnsi="Times New Roman" w:eastAsia="Times New Roman" w:cs="Times New Roman"/>
          <w:spacing w:val="-1"/>
          <w:sz w:val="24"/>
          <w:szCs w:val="24"/>
        </w:rPr>
        <w:t>98%</w:t>
      </w:r>
      <w:r>
        <w:rPr>
          <w:rFonts w:ascii="宋体" w:hAnsi="宋体" w:eastAsia="宋体" w:cs="宋体"/>
          <w:spacing w:val="-1"/>
          <w:sz w:val="24"/>
          <w:szCs w:val="24"/>
        </w:rPr>
        <w:t>，则育肥楼每个单元实际存栏量为</w:t>
      </w:r>
      <w:r>
        <w:rPr>
          <w:rFonts w:ascii="Times New Roman" w:hAnsi="Times New Roman" w:eastAsia="Times New Roman" w:cs="Times New Roman"/>
          <w:spacing w:val="-1"/>
          <w:sz w:val="24"/>
          <w:szCs w:val="24"/>
        </w:rPr>
        <w:t>980</w:t>
      </w:r>
      <w:r>
        <w:rPr>
          <w:rFonts w:ascii="宋体" w:hAnsi="宋体" w:eastAsia="宋体" w:cs="宋体"/>
          <w:spacing w:val="-1"/>
          <w:sz w:val="24"/>
          <w:szCs w:val="24"/>
        </w:rPr>
        <w:t>头。</w:t>
      </w:r>
    </w:p>
    <w:p w14:paraId="0EB58605">
      <w:pPr>
        <w:spacing w:before="11" w:line="360" w:lineRule="auto"/>
        <w:ind w:left="39" w:right="66" w:firstLine="480"/>
        <w:jc w:val="both"/>
        <w:rPr>
          <w:rFonts w:ascii="宋体" w:hAnsi="宋体" w:eastAsia="宋体" w:cs="宋体"/>
          <w:sz w:val="24"/>
          <w:szCs w:val="24"/>
        </w:rPr>
      </w:pPr>
      <w:r>
        <w:rPr>
          <w:rFonts w:ascii="宋体" w:hAnsi="宋体" w:eastAsia="宋体" w:cs="宋体"/>
          <w:spacing w:val="-3"/>
          <w:sz w:val="24"/>
          <w:szCs w:val="24"/>
        </w:rPr>
        <w:t>本项目育肥楼与保育楼生产节奏同步，即保育楼每</w:t>
      </w:r>
      <w:r>
        <w:rPr>
          <w:rFonts w:ascii="Times New Roman" w:hAnsi="Times New Roman" w:eastAsia="Times New Roman" w:cs="Times New Roman"/>
          <w:spacing w:val="-3"/>
          <w:sz w:val="24"/>
          <w:szCs w:val="24"/>
        </w:rPr>
        <w:t>8</w:t>
      </w:r>
      <w:r>
        <w:rPr>
          <w:rFonts w:ascii="宋体" w:hAnsi="宋体" w:eastAsia="宋体" w:cs="宋体"/>
          <w:spacing w:val="-3"/>
          <w:sz w:val="24"/>
          <w:szCs w:val="24"/>
        </w:rPr>
        <w:t>天转栏</w:t>
      </w:r>
      <w:r>
        <w:rPr>
          <w:rFonts w:ascii="Times New Roman" w:hAnsi="Times New Roman" w:eastAsia="Times New Roman" w:cs="Times New Roman"/>
          <w:spacing w:val="-3"/>
          <w:sz w:val="24"/>
          <w:szCs w:val="24"/>
        </w:rPr>
        <w:t>1</w:t>
      </w:r>
      <w:r>
        <w:rPr>
          <w:rFonts w:ascii="宋体" w:hAnsi="宋体" w:eastAsia="宋体" w:cs="宋体"/>
          <w:spacing w:val="-3"/>
          <w:sz w:val="24"/>
          <w:szCs w:val="24"/>
        </w:rPr>
        <w:t>批次保育</w:t>
      </w:r>
      <w:r>
        <w:rPr>
          <w:rFonts w:ascii="宋体" w:hAnsi="宋体" w:eastAsia="宋体" w:cs="宋体"/>
          <w:spacing w:val="-4"/>
          <w:sz w:val="24"/>
          <w:szCs w:val="24"/>
        </w:rPr>
        <w:t>猪至育</w:t>
      </w:r>
      <w:r>
        <w:rPr>
          <w:rFonts w:ascii="宋体" w:hAnsi="宋体" w:eastAsia="宋体" w:cs="宋体"/>
          <w:sz w:val="24"/>
          <w:szCs w:val="24"/>
        </w:rPr>
        <w:t>肥楼，每批次转出</w:t>
      </w:r>
      <w:r>
        <w:rPr>
          <w:rFonts w:ascii="Times New Roman" w:hAnsi="Times New Roman" w:eastAsia="Times New Roman" w:cs="Times New Roman"/>
          <w:sz w:val="24"/>
          <w:szCs w:val="24"/>
        </w:rPr>
        <w:t>1</w:t>
      </w:r>
      <w:r>
        <w:rPr>
          <w:rFonts w:ascii="宋体" w:hAnsi="宋体" w:eastAsia="宋体" w:cs="宋体"/>
          <w:sz w:val="24"/>
          <w:szCs w:val="24"/>
        </w:rPr>
        <w:t>个单元，相应转至育肥楼的</w:t>
      </w:r>
      <w:r>
        <w:rPr>
          <w:rFonts w:ascii="Times New Roman" w:hAnsi="Times New Roman" w:eastAsia="Times New Roman" w:cs="Times New Roman"/>
          <w:sz w:val="24"/>
          <w:szCs w:val="24"/>
        </w:rPr>
        <w:t>3</w:t>
      </w:r>
      <w:r>
        <w:rPr>
          <w:rFonts w:ascii="宋体" w:hAnsi="宋体" w:eastAsia="宋体" w:cs="宋体"/>
          <w:sz w:val="24"/>
          <w:szCs w:val="24"/>
        </w:rPr>
        <w:t>个单元，育肥楼</w:t>
      </w:r>
      <w:r>
        <w:rPr>
          <w:rFonts w:ascii="Times New Roman" w:hAnsi="Times New Roman" w:eastAsia="Times New Roman" w:cs="Times New Roman"/>
          <w:sz w:val="24"/>
          <w:szCs w:val="24"/>
        </w:rPr>
        <w:t>3</w:t>
      </w:r>
      <w:r>
        <w:rPr>
          <w:rFonts w:ascii="宋体" w:hAnsi="宋体" w:eastAsia="宋体" w:cs="宋体"/>
          <w:sz w:val="24"/>
          <w:szCs w:val="24"/>
        </w:rPr>
        <w:t>个单元按顺序</w:t>
      </w:r>
      <w:r>
        <w:rPr>
          <w:rFonts w:ascii="宋体" w:hAnsi="宋体" w:eastAsia="宋体" w:cs="宋体"/>
          <w:spacing w:val="-8"/>
          <w:sz w:val="24"/>
          <w:szCs w:val="24"/>
        </w:rPr>
        <w:t>依次进猪。</w:t>
      </w:r>
    </w:p>
    <w:p w14:paraId="33A7160E">
      <w:pPr>
        <w:spacing w:before="5" w:line="359" w:lineRule="auto"/>
        <w:ind w:left="44" w:right="1" w:firstLine="477"/>
        <w:rPr>
          <w:rFonts w:ascii="宋体" w:hAnsi="宋体" w:eastAsia="宋体" w:cs="宋体"/>
          <w:sz w:val="24"/>
          <w:szCs w:val="24"/>
        </w:rPr>
      </w:pPr>
      <w:r>
        <w:rPr>
          <w:rFonts w:ascii="宋体" w:hAnsi="宋体" w:eastAsia="宋体" w:cs="宋体"/>
          <w:spacing w:val="-7"/>
          <w:sz w:val="24"/>
          <w:szCs w:val="24"/>
        </w:rPr>
        <w:t>生猪育肥饲养期为</w:t>
      </w:r>
      <w:r>
        <w:rPr>
          <w:rFonts w:ascii="Times New Roman" w:hAnsi="Times New Roman" w:eastAsia="Times New Roman" w:cs="Times New Roman"/>
          <w:spacing w:val="-7"/>
          <w:sz w:val="24"/>
          <w:szCs w:val="24"/>
        </w:rPr>
        <w:t>114</w:t>
      </w:r>
      <w:r>
        <w:rPr>
          <w:rFonts w:ascii="宋体" w:hAnsi="宋体" w:eastAsia="宋体" w:cs="宋体"/>
          <w:spacing w:val="-7"/>
          <w:sz w:val="24"/>
          <w:szCs w:val="24"/>
        </w:rPr>
        <w:t>天，育肥猪成活率</w:t>
      </w:r>
      <w:r>
        <w:rPr>
          <w:rFonts w:ascii="Times New Roman" w:hAnsi="Times New Roman" w:eastAsia="Times New Roman" w:cs="Times New Roman"/>
          <w:spacing w:val="-7"/>
          <w:sz w:val="24"/>
          <w:szCs w:val="24"/>
        </w:rPr>
        <w:t>99%</w:t>
      </w:r>
      <w:r>
        <w:rPr>
          <w:rFonts w:ascii="宋体" w:hAnsi="宋体" w:eastAsia="宋体" w:cs="宋体"/>
          <w:spacing w:val="-7"/>
          <w:sz w:val="24"/>
          <w:szCs w:val="24"/>
        </w:rPr>
        <w:t>，出栏及单元洗消时间共计</w:t>
      </w:r>
      <w:r>
        <w:rPr>
          <w:rFonts w:ascii="Times New Roman" w:hAnsi="Times New Roman" w:eastAsia="Times New Roman" w:cs="Times New Roman"/>
          <w:spacing w:val="-7"/>
          <w:sz w:val="24"/>
          <w:szCs w:val="24"/>
        </w:rPr>
        <w:t>6</w:t>
      </w:r>
      <w:r>
        <w:rPr>
          <w:rFonts w:ascii="宋体" w:hAnsi="宋体" w:eastAsia="宋体" w:cs="宋体"/>
          <w:spacing w:val="-7"/>
          <w:sz w:val="24"/>
          <w:szCs w:val="24"/>
        </w:rPr>
        <w:t>天，</w:t>
      </w:r>
      <w:r>
        <w:rPr>
          <w:rFonts w:ascii="宋体" w:hAnsi="宋体" w:eastAsia="宋体" w:cs="宋体"/>
          <w:spacing w:val="-3"/>
          <w:sz w:val="24"/>
          <w:szCs w:val="24"/>
        </w:rPr>
        <w:t>即育肥楼每个单元需</w:t>
      </w:r>
      <w:r>
        <w:rPr>
          <w:rFonts w:ascii="Times New Roman" w:hAnsi="Times New Roman" w:eastAsia="Times New Roman" w:cs="Times New Roman"/>
          <w:spacing w:val="-3"/>
          <w:sz w:val="24"/>
          <w:szCs w:val="24"/>
        </w:rPr>
        <w:t>120</w:t>
      </w:r>
      <w:r>
        <w:rPr>
          <w:rFonts w:ascii="宋体" w:hAnsi="宋体" w:eastAsia="宋体" w:cs="宋体"/>
          <w:spacing w:val="-3"/>
          <w:sz w:val="24"/>
          <w:szCs w:val="24"/>
        </w:rPr>
        <w:t>天后重新进猪。育肥楼通过</w:t>
      </w:r>
      <w:r>
        <w:rPr>
          <w:rFonts w:ascii="Times New Roman" w:hAnsi="Times New Roman" w:eastAsia="Times New Roman" w:cs="Times New Roman"/>
          <w:spacing w:val="-3"/>
          <w:sz w:val="24"/>
          <w:szCs w:val="24"/>
        </w:rPr>
        <w:t>45</w:t>
      </w:r>
      <w:r>
        <w:rPr>
          <w:rFonts w:ascii="宋体" w:hAnsi="宋体" w:eastAsia="宋体" w:cs="宋体"/>
          <w:spacing w:val="-3"/>
          <w:sz w:val="24"/>
          <w:szCs w:val="24"/>
        </w:rPr>
        <w:t>个单元交替运行，实现每</w:t>
      </w:r>
      <w:r>
        <w:rPr>
          <w:rFonts w:ascii="Times New Roman" w:hAnsi="Times New Roman" w:eastAsia="Times New Roman" w:cs="Times New Roman"/>
          <w:spacing w:val="-3"/>
          <w:sz w:val="24"/>
          <w:szCs w:val="24"/>
        </w:rPr>
        <w:t>8</w:t>
      </w:r>
      <w:r>
        <w:rPr>
          <w:rFonts w:ascii="宋体" w:hAnsi="宋体" w:eastAsia="宋体" w:cs="宋体"/>
          <w:spacing w:val="-7"/>
          <w:sz w:val="24"/>
          <w:szCs w:val="24"/>
        </w:rPr>
        <w:t>天出栏</w:t>
      </w:r>
      <w:r>
        <w:rPr>
          <w:rFonts w:ascii="Times New Roman" w:hAnsi="Times New Roman" w:eastAsia="Times New Roman" w:cs="Times New Roman"/>
          <w:spacing w:val="-7"/>
          <w:sz w:val="24"/>
          <w:szCs w:val="24"/>
        </w:rPr>
        <w:t>1</w:t>
      </w:r>
      <w:r>
        <w:rPr>
          <w:rFonts w:ascii="宋体" w:hAnsi="宋体" w:eastAsia="宋体" w:cs="宋体"/>
          <w:spacing w:val="-7"/>
          <w:sz w:val="24"/>
          <w:szCs w:val="24"/>
        </w:rPr>
        <w:t>批次（</w:t>
      </w:r>
      <w:r>
        <w:rPr>
          <w:rFonts w:ascii="宋体" w:hAnsi="宋体" w:eastAsia="宋体" w:cs="宋体"/>
          <w:b/>
          <w:bCs/>
          <w:spacing w:val="-7"/>
          <w:sz w:val="24"/>
          <w:szCs w:val="24"/>
        </w:rPr>
        <w:t>每批次出栏</w:t>
      </w:r>
      <w:r>
        <w:rPr>
          <w:rFonts w:ascii="Times New Roman" w:hAnsi="Times New Roman" w:eastAsia="Times New Roman" w:cs="Times New Roman"/>
          <w:b/>
          <w:bCs/>
          <w:spacing w:val="-7"/>
          <w:sz w:val="24"/>
          <w:szCs w:val="24"/>
        </w:rPr>
        <w:t>3</w:t>
      </w:r>
      <w:r>
        <w:rPr>
          <w:rFonts w:ascii="宋体" w:hAnsi="宋体" w:eastAsia="宋体" w:cs="宋体"/>
          <w:b/>
          <w:bCs/>
          <w:spacing w:val="-7"/>
          <w:sz w:val="24"/>
          <w:szCs w:val="24"/>
        </w:rPr>
        <w:t>个单元</w:t>
      </w:r>
      <w:r>
        <w:rPr>
          <w:rFonts w:ascii="宋体" w:hAnsi="宋体" w:eastAsia="宋体" w:cs="宋体"/>
          <w:spacing w:val="-58"/>
          <w:sz w:val="24"/>
          <w:szCs w:val="24"/>
        </w:rPr>
        <w:t>），</w:t>
      </w:r>
      <w:r>
        <w:rPr>
          <w:rFonts w:ascii="宋体" w:hAnsi="宋体" w:eastAsia="宋体" w:cs="宋体"/>
          <w:spacing w:val="-7"/>
          <w:sz w:val="24"/>
          <w:szCs w:val="24"/>
        </w:rPr>
        <w:t>达到全年连续、均衡、周期性出栏商品猪。</w:t>
      </w:r>
      <w:r>
        <w:rPr>
          <w:rFonts w:ascii="宋体" w:hAnsi="宋体" w:eastAsia="宋体" w:cs="宋体"/>
          <w:spacing w:val="-18"/>
          <w:sz w:val="24"/>
          <w:szCs w:val="24"/>
        </w:rPr>
        <w:t>则：</w:t>
      </w:r>
    </w:p>
    <w:p w14:paraId="4F49B845">
      <w:pPr>
        <w:spacing w:before="1" w:line="217" w:lineRule="auto"/>
        <w:ind w:left="518"/>
        <w:rPr>
          <w:rFonts w:ascii="宋体" w:hAnsi="宋体" w:eastAsia="宋体" w:cs="宋体"/>
          <w:sz w:val="24"/>
          <w:szCs w:val="24"/>
        </w:rPr>
      </w:pPr>
      <w:r>
        <w:rPr>
          <w:rFonts w:ascii="宋体" w:hAnsi="宋体" w:eastAsia="宋体" w:cs="宋体"/>
          <w:spacing w:val="-1"/>
          <w:sz w:val="24"/>
          <w:szCs w:val="24"/>
        </w:rPr>
        <w:t>①育肥猪实际存栏量：</w:t>
      </w:r>
      <w:r>
        <w:rPr>
          <w:rFonts w:ascii="Times New Roman" w:hAnsi="Times New Roman" w:eastAsia="Times New Roman" w:cs="Times New Roman"/>
          <w:spacing w:val="-1"/>
          <w:sz w:val="24"/>
          <w:szCs w:val="24"/>
        </w:rPr>
        <w:t>980</w:t>
      </w:r>
      <w:r>
        <w:rPr>
          <w:rFonts w:ascii="宋体" w:hAnsi="宋体" w:eastAsia="宋体" w:cs="宋体"/>
          <w:spacing w:val="-1"/>
          <w:sz w:val="24"/>
          <w:szCs w:val="24"/>
        </w:rPr>
        <w:t>头</w:t>
      </w:r>
      <w:r>
        <w:rPr>
          <w:rFonts w:ascii="Times New Roman" w:hAnsi="Times New Roman" w:eastAsia="Times New Roman" w:cs="Times New Roman"/>
          <w:spacing w:val="-1"/>
          <w:sz w:val="24"/>
          <w:szCs w:val="24"/>
        </w:rPr>
        <w:t>/</w:t>
      </w:r>
      <w:r>
        <w:rPr>
          <w:rFonts w:ascii="宋体" w:hAnsi="宋体" w:eastAsia="宋体" w:cs="宋体"/>
          <w:spacing w:val="-1"/>
          <w:sz w:val="24"/>
          <w:szCs w:val="24"/>
        </w:rPr>
        <w:t>单元</w:t>
      </w:r>
      <w:r>
        <w:rPr>
          <w:rFonts w:ascii="Times New Roman" w:hAnsi="Times New Roman" w:eastAsia="Times New Roman" w:cs="Times New Roman"/>
          <w:spacing w:val="-1"/>
          <w:sz w:val="24"/>
          <w:szCs w:val="24"/>
        </w:rPr>
        <w:t>×45</w:t>
      </w:r>
      <w:r>
        <w:rPr>
          <w:rFonts w:ascii="宋体" w:hAnsi="宋体" w:eastAsia="宋体" w:cs="宋体"/>
          <w:spacing w:val="-1"/>
          <w:sz w:val="24"/>
          <w:szCs w:val="24"/>
        </w:rPr>
        <w:t>单元</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44100</w:t>
      </w:r>
      <w:r>
        <w:rPr>
          <w:rFonts w:ascii="宋体" w:hAnsi="宋体" w:eastAsia="宋体" w:cs="宋体"/>
          <w:spacing w:val="-2"/>
          <w:sz w:val="24"/>
          <w:szCs w:val="24"/>
        </w:rPr>
        <w:t>头；</w:t>
      </w:r>
    </w:p>
    <w:p w14:paraId="6BAD6971">
      <w:pPr>
        <w:spacing w:before="186" w:line="217" w:lineRule="auto"/>
        <w:ind w:left="517"/>
        <w:rPr>
          <w:rFonts w:ascii="宋体" w:hAnsi="宋体" w:eastAsia="宋体" w:cs="宋体"/>
          <w:sz w:val="24"/>
          <w:szCs w:val="24"/>
        </w:rPr>
      </w:pPr>
      <w:r>
        <w:rPr>
          <w:rFonts w:ascii="宋体" w:hAnsi="宋体" w:eastAsia="宋体" w:cs="宋体"/>
          <w:spacing w:val="-1"/>
          <w:sz w:val="24"/>
          <w:szCs w:val="24"/>
        </w:rPr>
        <w:t>②全年出栏育肥猪批次：</w:t>
      </w:r>
      <w:r>
        <w:rPr>
          <w:rFonts w:ascii="Times New Roman" w:hAnsi="Times New Roman" w:eastAsia="Times New Roman" w:cs="Times New Roman"/>
          <w:spacing w:val="-1"/>
          <w:sz w:val="24"/>
          <w:szCs w:val="24"/>
        </w:rPr>
        <w:t>365</w:t>
      </w:r>
      <w:r>
        <w:rPr>
          <w:rFonts w:ascii="宋体" w:hAnsi="宋体" w:eastAsia="宋体" w:cs="宋体"/>
          <w:spacing w:val="-1"/>
          <w:sz w:val="24"/>
          <w:szCs w:val="24"/>
        </w:rPr>
        <w:t>天</w:t>
      </w:r>
      <w:r>
        <w:rPr>
          <w:rFonts w:ascii="Times New Roman" w:hAnsi="Times New Roman" w:eastAsia="Times New Roman" w:cs="Times New Roman"/>
          <w:spacing w:val="-1"/>
          <w:sz w:val="24"/>
          <w:szCs w:val="24"/>
        </w:rPr>
        <w:t>/</w:t>
      </w:r>
      <w:r>
        <w:rPr>
          <w:rFonts w:ascii="宋体" w:hAnsi="宋体" w:eastAsia="宋体" w:cs="宋体"/>
          <w:spacing w:val="-1"/>
          <w:sz w:val="24"/>
          <w:szCs w:val="24"/>
        </w:rPr>
        <w:t>年</w:t>
      </w:r>
      <w:r>
        <w:rPr>
          <w:rFonts w:ascii="Times New Roman" w:hAnsi="Times New Roman" w:eastAsia="Times New Roman" w:cs="Times New Roman"/>
          <w:spacing w:val="-1"/>
          <w:sz w:val="24"/>
          <w:szCs w:val="24"/>
        </w:rPr>
        <w:t>÷8</w:t>
      </w:r>
      <w:r>
        <w:rPr>
          <w:rFonts w:ascii="宋体" w:hAnsi="宋体" w:eastAsia="宋体" w:cs="宋体"/>
          <w:spacing w:val="-1"/>
          <w:sz w:val="24"/>
          <w:szCs w:val="24"/>
        </w:rPr>
        <w:t>天</w:t>
      </w:r>
      <w:r>
        <w:rPr>
          <w:rFonts w:ascii="Times New Roman" w:hAnsi="Times New Roman" w:eastAsia="Times New Roman" w:cs="Times New Roman"/>
          <w:spacing w:val="-1"/>
          <w:sz w:val="24"/>
          <w:szCs w:val="24"/>
        </w:rPr>
        <w:t>/</w:t>
      </w:r>
      <w:r>
        <w:rPr>
          <w:rFonts w:ascii="宋体" w:hAnsi="宋体" w:eastAsia="宋体" w:cs="宋体"/>
          <w:spacing w:val="-1"/>
          <w:sz w:val="24"/>
          <w:szCs w:val="24"/>
        </w:rPr>
        <w:t>批次</w:t>
      </w:r>
      <w:r>
        <w:rPr>
          <w:rFonts w:ascii="Times New Roman" w:hAnsi="Times New Roman" w:eastAsia="Times New Roman" w:cs="Times New Roman"/>
          <w:spacing w:val="-1"/>
          <w:sz w:val="24"/>
          <w:szCs w:val="24"/>
        </w:rPr>
        <w:t>=45.625</w:t>
      </w:r>
      <w:r>
        <w:rPr>
          <w:rFonts w:ascii="宋体" w:hAnsi="宋体" w:eastAsia="宋体" w:cs="宋体"/>
          <w:spacing w:val="-1"/>
          <w:sz w:val="24"/>
          <w:szCs w:val="24"/>
        </w:rPr>
        <w:t>批次</w:t>
      </w:r>
      <w:r>
        <w:rPr>
          <w:rFonts w:ascii="Times New Roman" w:hAnsi="Times New Roman" w:eastAsia="Times New Roman" w:cs="Times New Roman"/>
          <w:spacing w:val="-1"/>
          <w:sz w:val="24"/>
          <w:szCs w:val="24"/>
        </w:rPr>
        <w:t>/</w:t>
      </w:r>
      <w:r>
        <w:rPr>
          <w:rFonts w:ascii="宋体" w:hAnsi="宋体" w:eastAsia="宋体" w:cs="宋体"/>
          <w:spacing w:val="-1"/>
          <w:sz w:val="24"/>
          <w:szCs w:val="24"/>
        </w:rPr>
        <w:t>年；</w:t>
      </w:r>
    </w:p>
    <w:p w14:paraId="53D39B51">
      <w:pPr>
        <w:spacing w:before="185" w:line="360" w:lineRule="auto"/>
        <w:ind w:left="49" w:right="66" w:firstLine="468"/>
        <w:rPr>
          <w:rFonts w:ascii="宋体" w:hAnsi="宋体" w:eastAsia="宋体" w:cs="宋体"/>
          <w:sz w:val="24"/>
          <w:szCs w:val="24"/>
        </w:rPr>
      </w:pPr>
      <w:r>
        <w:rPr>
          <w:rFonts w:ascii="宋体" w:hAnsi="宋体" w:eastAsia="宋体" w:cs="宋体"/>
          <w:spacing w:val="11"/>
          <w:sz w:val="24"/>
          <w:szCs w:val="24"/>
        </w:rPr>
        <w:t>③全年出栏商品猪数量：</w:t>
      </w:r>
      <w:r>
        <w:rPr>
          <w:rFonts w:ascii="宋体" w:hAnsi="宋体" w:eastAsia="宋体" w:cs="宋体"/>
          <w:spacing w:val="103"/>
          <w:sz w:val="24"/>
          <w:szCs w:val="24"/>
        </w:rPr>
        <w:t xml:space="preserve"> </w:t>
      </w:r>
      <w:r>
        <w:rPr>
          <w:rFonts w:ascii="Times New Roman" w:hAnsi="Times New Roman" w:eastAsia="Times New Roman" w:cs="Times New Roman"/>
          <w:spacing w:val="11"/>
          <w:sz w:val="24"/>
          <w:szCs w:val="24"/>
        </w:rPr>
        <w:t>45.625</w:t>
      </w:r>
      <w:r>
        <w:rPr>
          <w:rFonts w:ascii="Times New Roman" w:hAnsi="Times New Roman" w:eastAsia="Times New Roman" w:cs="Times New Roman"/>
          <w:spacing w:val="-7"/>
          <w:sz w:val="24"/>
          <w:szCs w:val="24"/>
        </w:rPr>
        <w:t xml:space="preserve"> </w:t>
      </w:r>
      <w:r>
        <w:rPr>
          <w:rFonts w:ascii="宋体" w:hAnsi="宋体" w:eastAsia="宋体" w:cs="宋体"/>
          <w:spacing w:val="11"/>
          <w:sz w:val="24"/>
          <w:szCs w:val="24"/>
        </w:rPr>
        <w:t>批次</w:t>
      </w:r>
      <w:r>
        <w:rPr>
          <w:rFonts w:ascii="Times New Roman" w:hAnsi="Times New Roman" w:eastAsia="Times New Roman" w:cs="Times New Roman"/>
          <w:spacing w:val="10"/>
          <w:sz w:val="24"/>
          <w:szCs w:val="24"/>
        </w:rPr>
        <w:t xml:space="preserve">/ </w:t>
      </w:r>
      <w:r>
        <w:rPr>
          <w:rFonts w:ascii="宋体" w:hAnsi="宋体" w:eastAsia="宋体" w:cs="宋体"/>
          <w:spacing w:val="10"/>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i/>
          <w:iCs/>
          <w:spacing w:val="10"/>
          <w:sz w:val="24"/>
          <w:szCs w:val="24"/>
        </w:rPr>
        <w:t>×</w:t>
      </w:r>
      <w:r>
        <w:rPr>
          <w:rFonts w:ascii="Times New Roman" w:hAnsi="Times New Roman" w:eastAsia="Times New Roman" w:cs="Times New Roman"/>
          <w:spacing w:val="10"/>
          <w:sz w:val="24"/>
          <w:szCs w:val="24"/>
        </w:rPr>
        <w:t xml:space="preserve">3 </w:t>
      </w:r>
      <w:r>
        <w:rPr>
          <w:rFonts w:ascii="宋体" w:hAnsi="宋体" w:eastAsia="宋体" w:cs="宋体"/>
          <w:spacing w:val="10"/>
          <w:sz w:val="24"/>
          <w:szCs w:val="24"/>
        </w:rPr>
        <w:t>单元</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7"/>
          <w:sz w:val="24"/>
          <w:szCs w:val="24"/>
        </w:rPr>
        <w:t xml:space="preserve"> </w:t>
      </w:r>
      <w:r>
        <w:rPr>
          <w:rFonts w:ascii="宋体" w:hAnsi="宋体" w:eastAsia="宋体" w:cs="宋体"/>
          <w:spacing w:val="10"/>
          <w:sz w:val="24"/>
          <w:szCs w:val="24"/>
        </w:rPr>
        <w:t>批次</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 xml:space="preserve">×980 </w:t>
      </w:r>
      <w:r>
        <w:rPr>
          <w:rFonts w:ascii="宋体" w:hAnsi="宋体" w:eastAsia="宋体" w:cs="宋体"/>
          <w:spacing w:val="10"/>
          <w:sz w:val="24"/>
          <w:szCs w:val="24"/>
        </w:rPr>
        <w:t>头</w:t>
      </w:r>
      <w:r>
        <w:rPr>
          <w:rFonts w:ascii="Times New Roman" w:hAnsi="Times New Roman" w:eastAsia="Times New Roman" w:cs="Times New Roman"/>
          <w:spacing w:val="10"/>
          <w:sz w:val="24"/>
          <w:szCs w:val="24"/>
        </w:rPr>
        <w:t xml:space="preserve">/ </w:t>
      </w:r>
      <w:r>
        <w:rPr>
          <w:rFonts w:ascii="宋体" w:hAnsi="宋体" w:eastAsia="宋体" w:cs="宋体"/>
          <w:spacing w:val="10"/>
          <w:sz w:val="24"/>
          <w:szCs w:val="24"/>
        </w:rPr>
        <w:t>单元</w:t>
      </w:r>
      <w:r>
        <w:rPr>
          <w:rFonts w:ascii="Times New Roman" w:hAnsi="Times New Roman" w:eastAsia="Times New Roman" w:cs="Times New Roman"/>
          <w:spacing w:val="-3"/>
          <w:sz w:val="24"/>
          <w:szCs w:val="24"/>
        </w:rPr>
        <w:t>×99%=132796</w:t>
      </w:r>
      <w:r>
        <w:rPr>
          <w:rFonts w:ascii="宋体" w:hAnsi="宋体" w:eastAsia="宋体" w:cs="宋体"/>
          <w:spacing w:val="-3"/>
          <w:sz w:val="24"/>
          <w:szCs w:val="24"/>
        </w:rPr>
        <w:t>头</w:t>
      </w:r>
      <w:r>
        <w:rPr>
          <w:rFonts w:ascii="Times New Roman" w:hAnsi="Times New Roman" w:eastAsia="Times New Roman" w:cs="Times New Roman"/>
          <w:spacing w:val="-3"/>
          <w:sz w:val="24"/>
          <w:szCs w:val="24"/>
        </w:rPr>
        <w:t>/</w:t>
      </w:r>
      <w:r>
        <w:rPr>
          <w:rFonts w:ascii="宋体" w:hAnsi="宋体" w:eastAsia="宋体" w:cs="宋体"/>
          <w:spacing w:val="-3"/>
          <w:sz w:val="24"/>
          <w:szCs w:val="24"/>
        </w:rPr>
        <w:t>年。</w:t>
      </w:r>
    </w:p>
    <w:p w14:paraId="64602120">
      <w:pPr>
        <w:spacing w:before="1" w:line="219"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3</w:t>
      </w:r>
      <w:r>
        <w:rPr>
          <w:rFonts w:ascii="宋体" w:hAnsi="宋体" w:eastAsia="宋体" w:cs="宋体"/>
          <w:b/>
          <w:bCs/>
          <w:spacing w:val="-6"/>
          <w:sz w:val="24"/>
          <w:szCs w:val="24"/>
        </w:rPr>
        <w:t>）产品方案</w:t>
      </w:r>
    </w:p>
    <w:p w14:paraId="0B1D08C4">
      <w:pPr>
        <w:spacing w:before="182" w:line="219" w:lineRule="auto"/>
        <w:ind w:left="520"/>
        <w:rPr>
          <w:rFonts w:ascii="宋体" w:hAnsi="宋体" w:eastAsia="宋体" w:cs="宋体"/>
          <w:sz w:val="24"/>
          <w:szCs w:val="24"/>
        </w:rPr>
      </w:pPr>
      <w:r>
        <w:rPr>
          <w:rFonts w:ascii="宋体" w:hAnsi="宋体" w:eastAsia="宋体" w:cs="宋体"/>
          <w:spacing w:val="-2"/>
          <w:sz w:val="24"/>
          <w:szCs w:val="24"/>
        </w:rPr>
        <w:t>本项目产品方案为：实际年出栏商品猪约</w:t>
      </w:r>
      <w:r>
        <w:rPr>
          <w:rFonts w:ascii="Times New Roman" w:hAnsi="Times New Roman" w:eastAsia="Times New Roman" w:cs="Times New Roman"/>
          <w:spacing w:val="-2"/>
          <w:sz w:val="24"/>
          <w:szCs w:val="24"/>
        </w:rPr>
        <w:t>13.3</w:t>
      </w:r>
      <w:r>
        <w:rPr>
          <w:rFonts w:ascii="宋体" w:hAnsi="宋体" w:eastAsia="宋体" w:cs="宋体"/>
          <w:spacing w:val="-2"/>
          <w:sz w:val="24"/>
          <w:szCs w:val="24"/>
        </w:rPr>
        <w:t>万头。</w:t>
      </w:r>
    </w:p>
    <w:p w14:paraId="6903058D">
      <w:pPr>
        <w:spacing w:before="183"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4</w:t>
      </w:r>
      <w:r>
        <w:rPr>
          <w:rFonts w:ascii="宋体" w:hAnsi="宋体" w:eastAsia="宋体" w:cs="宋体"/>
          <w:b/>
          <w:bCs/>
          <w:spacing w:val="-4"/>
          <w:sz w:val="24"/>
          <w:szCs w:val="24"/>
        </w:rPr>
        <w:t>）折算存栏生猪量</w:t>
      </w:r>
    </w:p>
    <w:p w14:paraId="6C7B9DE1">
      <w:pPr>
        <w:spacing w:before="183" w:line="360" w:lineRule="auto"/>
        <w:ind w:left="44" w:firstLine="475"/>
        <w:jc w:val="both"/>
        <w:rPr>
          <w:rFonts w:ascii="宋体" w:hAnsi="宋体" w:eastAsia="宋体" w:cs="宋体"/>
          <w:sz w:val="24"/>
          <w:szCs w:val="24"/>
        </w:rPr>
      </w:pPr>
      <w:r>
        <w:rPr>
          <w:rFonts w:ascii="宋体" w:hAnsi="宋体" w:eastAsia="宋体" w:cs="宋体"/>
          <w:spacing w:val="1"/>
          <w:sz w:val="24"/>
          <w:szCs w:val="24"/>
        </w:rPr>
        <w:t>根据《排污许可证申请与核发技术规范 畜禽养殖行业》（</w:t>
      </w:r>
      <w:r>
        <w:rPr>
          <w:rFonts w:ascii="Times New Roman" w:hAnsi="Times New Roman" w:eastAsia="Times New Roman" w:cs="Times New Roman"/>
          <w:sz w:val="24"/>
          <w:szCs w:val="24"/>
        </w:rPr>
        <w:t>HJ1029-2019</w:t>
      </w:r>
      <w:r>
        <w:rPr>
          <w:rFonts w:ascii="宋体" w:hAnsi="宋体" w:eastAsia="宋体" w:cs="宋体"/>
          <w:spacing w:val="-26"/>
          <w:sz w:val="24"/>
          <w:szCs w:val="24"/>
        </w:rPr>
        <w:t>），</w:t>
      </w:r>
      <w:r>
        <w:rPr>
          <w:rFonts w:ascii="宋体" w:hAnsi="宋体" w:eastAsia="宋体" w:cs="宋体"/>
          <w:spacing w:val="-3"/>
          <w:sz w:val="24"/>
          <w:szCs w:val="24"/>
        </w:rPr>
        <w:t>出栏不同生长期生猪（仔猪除外）的规模化畜禽养殖场，其标准生猪养</w:t>
      </w:r>
      <w:r>
        <w:rPr>
          <w:rFonts w:ascii="宋体" w:hAnsi="宋体" w:eastAsia="宋体" w:cs="宋体"/>
          <w:spacing w:val="-4"/>
          <w:sz w:val="24"/>
          <w:szCs w:val="24"/>
        </w:rPr>
        <w:t>殖量按公</w:t>
      </w:r>
      <w:r>
        <w:rPr>
          <w:rFonts w:ascii="宋体" w:hAnsi="宋体" w:eastAsia="宋体" w:cs="宋体"/>
          <w:spacing w:val="-8"/>
          <w:sz w:val="24"/>
          <w:szCs w:val="24"/>
        </w:rPr>
        <w:t>式（</w:t>
      </w:r>
      <w:r>
        <w:rPr>
          <w:rFonts w:ascii="Times New Roman" w:hAnsi="Times New Roman" w:eastAsia="Times New Roman" w:cs="Times New Roman"/>
          <w:spacing w:val="-8"/>
          <w:sz w:val="24"/>
          <w:szCs w:val="24"/>
        </w:rPr>
        <w:t>1</w:t>
      </w:r>
      <w:r>
        <w:rPr>
          <w:rFonts w:ascii="宋体" w:hAnsi="宋体" w:eastAsia="宋体" w:cs="宋体"/>
          <w:spacing w:val="-8"/>
          <w:sz w:val="24"/>
          <w:szCs w:val="24"/>
        </w:rPr>
        <w:t>）折算：</w:t>
      </w:r>
    </w:p>
    <w:p w14:paraId="697A0CC8">
      <w:pPr>
        <w:spacing w:before="1" w:line="205" w:lineRule="auto"/>
        <w:ind w:left="2843"/>
        <w:rPr>
          <w:rFonts w:ascii="Times New Roman" w:hAnsi="Times New Roman" w:eastAsia="Times New Roman" w:cs="Times New Roman"/>
          <w:sz w:val="24"/>
          <w:szCs w:val="24"/>
        </w:rPr>
      </w:pPr>
      <w:r>
        <w:rPr>
          <w:rFonts w:ascii="Times New Roman" w:hAnsi="Times New Roman" w:eastAsia="Times New Roman" w:cs="Times New Roman"/>
          <w:i/>
          <w:iCs/>
          <w:spacing w:val="-3"/>
          <w:sz w:val="24"/>
          <w:szCs w:val="24"/>
        </w:rPr>
        <w:t>K=</w:t>
      </w:r>
      <w:r>
        <w:rPr>
          <w:rFonts w:ascii="宋体" w:hAnsi="宋体" w:eastAsia="宋体" w:cs="宋体"/>
          <w:i/>
          <w:iCs/>
          <w:spacing w:val="-3"/>
          <w:sz w:val="25"/>
          <w:szCs w:val="25"/>
        </w:rPr>
        <w:t>（</w:t>
      </w:r>
      <w:r>
        <w:rPr>
          <w:rFonts w:ascii="Times New Roman" w:hAnsi="Times New Roman" w:eastAsia="Times New Roman" w:cs="Times New Roman"/>
          <w:i/>
          <w:iCs/>
          <w:spacing w:val="-3"/>
          <w:sz w:val="24"/>
          <w:szCs w:val="24"/>
        </w:rPr>
        <w:t>m</w:t>
      </w:r>
      <w:r>
        <w:rPr>
          <w:rFonts w:ascii="Times New Roman" w:hAnsi="Times New Roman" w:eastAsia="Times New Roman" w:cs="Times New Roman"/>
          <w:i/>
          <w:iCs/>
          <w:spacing w:val="25"/>
          <w:sz w:val="24"/>
          <w:szCs w:val="24"/>
        </w:rPr>
        <w:t xml:space="preserve"> </w:t>
      </w:r>
      <w:r>
        <w:rPr>
          <w:rFonts w:ascii="宋体" w:hAnsi="宋体" w:eastAsia="宋体" w:cs="宋体"/>
          <w:spacing w:val="-3"/>
          <w:position w:val="-1"/>
          <w:sz w:val="12"/>
          <w:szCs w:val="12"/>
        </w:rPr>
        <w:t>出</w:t>
      </w:r>
      <w:r>
        <w:rPr>
          <w:rFonts w:ascii="Times New Roman" w:hAnsi="Times New Roman" w:eastAsia="Times New Roman" w:cs="Times New Roman"/>
          <w:i/>
          <w:iCs/>
          <w:spacing w:val="-3"/>
          <w:sz w:val="24"/>
          <w:szCs w:val="24"/>
        </w:rPr>
        <w:t xml:space="preserve">-m </w:t>
      </w:r>
      <w:r>
        <w:rPr>
          <w:rFonts w:ascii="宋体" w:hAnsi="宋体" w:eastAsia="宋体" w:cs="宋体"/>
          <w:spacing w:val="-3"/>
          <w:sz w:val="12"/>
          <w:szCs w:val="12"/>
        </w:rPr>
        <w:t>进</w:t>
      </w:r>
      <w:r>
        <w:rPr>
          <w:rFonts w:ascii="宋体" w:hAnsi="宋体" w:eastAsia="宋体" w:cs="宋体"/>
          <w:i/>
          <w:iCs/>
          <w:spacing w:val="-3"/>
          <w:sz w:val="25"/>
          <w:szCs w:val="25"/>
        </w:rPr>
        <w:t>）</w:t>
      </w:r>
      <w:r>
        <w:rPr>
          <w:rFonts w:ascii="Times New Roman" w:hAnsi="Times New Roman" w:eastAsia="Times New Roman" w:cs="Times New Roman"/>
          <w:i/>
          <w:iCs/>
          <w:spacing w:val="-3"/>
          <w:sz w:val="24"/>
          <w:szCs w:val="24"/>
        </w:rPr>
        <w:t>/M×L</w:t>
      </w:r>
      <w:r>
        <w:rPr>
          <w:rFonts w:ascii="Times New Roman" w:hAnsi="Times New Roman" w:eastAsia="Times New Roman" w:cs="Times New Roman"/>
          <w:i/>
          <w:iCs/>
          <w:sz w:val="24"/>
          <w:szCs w:val="24"/>
        </w:rPr>
        <w:t xml:space="preserve">                                        </w:t>
      </w:r>
      <w:r>
        <w:rPr>
          <w:rFonts w:ascii="宋体" w:hAnsi="宋体" w:eastAsia="宋体" w:cs="宋体"/>
          <w:spacing w:val="-3"/>
          <w:sz w:val="24"/>
          <w:szCs w:val="24"/>
        </w:rPr>
        <w:t>公式</w:t>
      </w:r>
      <w:r>
        <w:rPr>
          <w:rFonts w:ascii="Times New Roman" w:hAnsi="Times New Roman" w:eastAsia="Times New Roman" w:cs="Times New Roman"/>
          <w:spacing w:val="-3"/>
          <w:sz w:val="24"/>
          <w:szCs w:val="24"/>
        </w:rPr>
        <w:t>(1)</w:t>
      </w:r>
    </w:p>
    <w:p w14:paraId="02A8AA06">
      <w:pPr>
        <w:spacing w:before="189" w:line="220" w:lineRule="auto"/>
        <w:ind w:left="524"/>
        <w:rPr>
          <w:rFonts w:ascii="宋体" w:hAnsi="宋体" w:eastAsia="宋体" w:cs="宋体"/>
          <w:sz w:val="24"/>
          <w:szCs w:val="24"/>
        </w:rPr>
      </w:pPr>
      <w:r>
        <w:rPr>
          <w:rFonts w:ascii="宋体" w:hAnsi="宋体" w:eastAsia="宋体" w:cs="宋体"/>
          <w:spacing w:val="-4"/>
          <w:sz w:val="24"/>
          <w:szCs w:val="24"/>
        </w:rPr>
        <w:t>式中：</w:t>
      </w:r>
      <w:r>
        <w:rPr>
          <w:rFonts w:ascii="Times New Roman" w:hAnsi="Times New Roman" w:eastAsia="Times New Roman" w:cs="Times New Roman"/>
          <w:i/>
          <w:iCs/>
          <w:spacing w:val="-4"/>
          <w:sz w:val="24"/>
          <w:szCs w:val="24"/>
        </w:rPr>
        <w:t>K</w:t>
      </w:r>
      <w:r>
        <w:rPr>
          <w:rFonts w:ascii="Times New Roman" w:hAnsi="Times New Roman" w:eastAsia="Times New Roman" w:cs="Times New Roman"/>
          <w:spacing w:val="-4"/>
          <w:sz w:val="24"/>
          <w:szCs w:val="24"/>
        </w:rPr>
        <w:t>—</w:t>
      </w:r>
      <w:r>
        <w:rPr>
          <w:rFonts w:ascii="宋体" w:hAnsi="宋体" w:eastAsia="宋体" w:cs="宋体"/>
          <w:spacing w:val="-4"/>
          <w:sz w:val="24"/>
          <w:szCs w:val="24"/>
        </w:rPr>
        <w:t>排污单位折算标准生猪养殖量，头；</w:t>
      </w:r>
    </w:p>
    <w:p w14:paraId="79340086">
      <w:pPr>
        <w:spacing w:before="182" w:line="212" w:lineRule="auto"/>
        <w:ind w:left="1234"/>
        <w:rPr>
          <w:rFonts w:ascii="宋体" w:hAnsi="宋体" w:eastAsia="宋体" w:cs="宋体"/>
          <w:sz w:val="24"/>
          <w:szCs w:val="24"/>
        </w:rPr>
      </w:pPr>
      <w:r>
        <w:rPr>
          <w:rFonts w:ascii="Times New Roman" w:hAnsi="Times New Roman" w:eastAsia="Times New Roman" w:cs="Times New Roman"/>
          <w:i/>
          <w:iCs/>
          <w:spacing w:val="-1"/>
          <w:sz w:val="24"/>
          <w:szCs w:val="24"/>
        </w:rPr>
        <w:t>m</w:t>
      </w:r>
      <w:r>
        <w:rPr>
          <w:rFonts w:ascii="宋体" w:hAnsi="宋体" w:eastAsia="宋体" w:cs="宋体"/>
          <w:spacing w:val="-1"/>
          <w:position w:val="-2"/>
          <w:sz w:val="12"/>
          <w:szCs w:val="12"/>
        </w:rPr>
        <w:t>出</w:t>
      </w:r>
      <w:r>
        <w:rPr>
          <w:rFonts w:ascii="Times New Roman" w:hAnsi="Times New Roman" w:eastAsia="Times New Roman" w:cs="Times New Roman"/>
          <w:spacing w:val="-1"/>
          <w:sz w:val="24"/>
          <w:szCs w:val="24"/>
        </w:rPr>
        <w:t>—</w:t>
      </w:r>
      <w:r>
        <w:rPr>
          <w:rFonts w:ascii="宋体" w:hAnsi="宋体" w:eastAsia="宋体" w:cs="宋体"/>
          <w:spacing w:val="-1"/>
          <w:sz w:val="24"/>
          <w:szCs w:val="24"/>
        </w:rPr>
        <w:t>排污单位出栏某生长期生猪的体重，</w:t>
      </w:r>
      <w:r>
        <w:rPr>
          <w:rFonts w:ascii="Times New Roman" w:hAnsi="Times New Roman" w:eastAsia="Times New Roman" w:cs="Times New Roman"/>
          <w:spacing w:val="-1"/>
          <w:sz w:val="24"/>
          <w:szCs w:val="24"/>
        </w:rPr>
        <w:t>kg</w:t>
      </w:r>
      <w:r>
        <w:rPr>
          <w:rFonts w:ascii="宋体" w:hAnsi="宋体" w:eastAsia="宋体" w:cs="宋体"/>
          <w:spacing w:val="-1"/>
          <w:sz w:val="24"/>
          <w:szCs w:val="24"/>
        </w:rPr>
        <w:t>；</w:t>
      </w:r>
    </w:p>
    <w:p w14:paraId="7DDC1AAE">
      <w:pPr>
        <w:spacing w:before="193" w:line="212" w:lineRule="auto"/>
        <w:ind w:left="1234"/>
        <w:rPr>
          <w:rFonts w:ascii="宋体" w:hAnsi="宋体" w:eastAsia="宋体" w:cs="宋体"/>
          <w:sz w:val="24"/>
          <w:szCs w:val="24"/>
        </w:rPr>
      </w:pPr>
      <w:r>
        <w:rPr>
          <w:rFonts w:ascii="Times New Roman" w:hAnsi="Times New Roman" w:eastAsia="Times New Roman" w:cs="Times New Roman"/>
          <w:i/>
          <w:iCs/>
          <w:sz w:val="24"/>
          <w:szCs w:val="24"/>
        </w:rPr>
        <w:t>m</w:t>
      </w:r>
      <w:r>
        <w:rPr>
          <w:rFonts w:ascii="宋体" w:hAnsi="宋体" w:eastAsia="宋体" w:cs="宋体"/>
          <w:position w:val="-2"/>
          <w:sz w:val="12"/>
          <w:szCs w:val="12"/>
        </w:rPr>
        <w:t>进</w:t>
      </w:r>
      <w:r>
        <w:rPr>
          <w:rFonts w:ascii="Times New Roman" w:hAnsi="Times New Roman" w:eastAsia="Times New Roman" w:cs="Times New Roman"/>
          <w:sz w:val="24"/>
          <w:szCs w:val="24"/>
        </w:rPr>
        <w:t>—</w:t>
      </w:r>
      <w:r>
        <w:rPr>
          <w:rFonts w:ascii="宋体" w:hAnsi="宋体" w:eastAsia="宋体" w:cs="宋体"/>
          <w:sz w:val="24"/>
          <w:szCs w:val="24"/>
        </w:rPr>
        <w:t>排污单位出栏某生长期生猪进栏时的</w:t>
      </w:r>
      <w:r>
        <w:rPr>
          <w:rFonts w:ascii="宋体" w:hAnsi="宋体" w:eastAsia="宋体" w:cs="宋体"/>
          <w:spacing w:val="-1"/>
          <w:sz w:val="24"/>
          <w:szCs w:val="24"/>
        </w:rPr>
        <w:t>体重，</w:t>
      </w:r>
      <w:r>
        <w:rPr>
          <w:rFonts w:ascii="Times New Roman" w:hAnsi="Times New Roman" w:eastAsia="Times New Roman" w:cs="Times New Roman"/>
          <w:spacing w:val="-1"/>
          <w:sz w:val="24"/>
          <w:szCs w:val="24"/>
        </w:rPr>
        <w:t>kg</w:t>
      </w:r>
      <w:r>
        <w:rPr>
          <w:rFonts w:ascii="宋体" w:hAnsi="宋体" w:eastAsia="宋体" w:cs="宋体"/>
          <w:spacing w:val="-1"/>
          <w:sz w:val="24"/>
          <w:szCs w:val="24"/>
        </w:rPr>
        <w:t>；</w:t>
      </w:r>
    </w:p>
    <w:p w14:paraId="31B0D67E">
      <w:pPr>
        <w:spacing w:line="212" w:lineRule="auto"/>
        <w:rPr>
          <w:rFonts w:ascii="宋体" w:hAnsi="宋体" w:eastAsia="宋体" w:cs="宋体"/>
          <w:sz w:val="24"/>
          <w:szCs w:val="24"/>
        </w:rPr>
        <w:sectPr>
          <w:headerReference r:id="rId131" w:type="default"/>
          <w:footerReference r:id="rId132" w:type="default"/>
          <w:pgSz w:w="11905" w:h="16840"/>
          <w:pgMar w:top="1168" w:right="1731" w:bottom="1408" w:left="1770" w:header="828" w:footer="1244" w:gutter="0"/>
          <w:cols w:space="720" w:num="1"/>
        </w:sectPr>
      </w:pPr>
    </w:p>
    <w:p w14:paraId="19A39C15">
      <w:pPr>
        <w:pStyle w:val="2"/>
        <w:spacing w:line="306" w:lineRule="auto"/>
      </w:pPr>
    </w:p>
    <w:p w14:paraId="3E6E890B">
      <w:pPr>
        <w:spacing w:before="78" w:line="212" w:lineRule="auto"/>
        <w:ind w:left="1222"/>
        <w:rPr>
          <w:rFonts w:ascii="宋体" w:hAnsi="宋体" w:eastAsia="宋体" w:cs="宋体"/>
          <w:sz w:val="24"/>
          <w:szCs w:val="24"/>
        </w:rPr>
      </w:pPr>
      <w:r>
        <w:rPr>
          <w:rFonts w:ascii="Times New Roman" w:hAnsi="Times New Roman" w:eastAsia="Times New Roman" w:cs="Times New Roman"/>
          <w:i/>
          <w:iCs/>
          <w:sz w:val="24"/>
          <w:szCs w:val="24"/>
        </w:rPr>
        <w:t>M</w:t>
      </w:r>
      <w:r>
        <w:rPr>
          <w:rFonts w:ascii="Times New Roman" w:hAnsi="Times New Roman" w:eastAsia="Times New Roman" w:cs="Times New Roman"/>
          <w:sz w:val="24"/>
          <w:szCs w:val="24"/>
        </w:rPr>
        <w:t>—</w:t>
      </w:r>
      <w:r>
        <w:rPr>
          <w:rFonts w:ascii="宋体" w:hAnsi="宋体" w:eastAsia="宋体" w:cs="宋体"/>
          <w:sz w:val="24"/>
          <w:szCs w:val="24"/>
        </w:rPr>
        <w:t>正常情况下生猪出栏时的平均体重，生猪为</w:t>
      </w:r>
      <w:r>
        <w:rPr>
          <w:rFonts w:ascii="Times New Roman" w:hAnsi="Times New Roman" w:eastAsia="Times New Roman" w:cs="Times New Roman"/>
          <w:sz w:val="24"/>
          <w:szCs w:val="24"/>
        </w:rPr>
        <w:t>100kg</w:t>
      </w:r>
      <w:r>
        <w:rPr>
          <w:rFonts w:ascii="宋体" w:hAnsi="宋体" w:eastAsia="宋体" w:cs="宋体"/>
          <w:sz w:val="24"/>
          <w:szCs w:val="24"/>
        </w:rPr>
        <w:t>；</w:t>
      </w:r>
    </w:p>
    <w:p w14:paraId="1B696D01">
      <w:pPr>
        <w:spacing w:before="191" w:line="220" w:lineRule="auto"/>
        <w:ind w:left="1222"/>
        <w:rPr>
          <w:rFonts w:ascii="宋体" w:hAnsi="宋体" w:eastAsia="宋体" w:cs="宋体"/>
          <w:sz w:val="24"/>
          <w:szCs w:val="24"/>
        </w:rPr>
      </w:pPr>
      <w:r>
        <w:rPr>
          <w:rFonts w:ascii="Times New Roman" w:hAnsi="Times New Roman" w:eastAsia="Times New Roman" w:cs="Times New Roman"/>
          <w:i/>
          <w:iCs/>
          <w:spacing w:val="-2"/>
          <w:sz w:val="24"/>
          <w:szCs w:val="24"/>
        </w:rPr>
        <w:t>L</w:t>
      </w:r>
      <w:r>
        <w:rPr>
          <w:rFonts w:ascii="Times New Roman" w:hAnsi="Times New Roman" w:eastAsia="Times New Roman" w:cs="Times New Roman"/>
          <w:spacing w:val="-2"/>
          <w:sz w:val="24"/>
          <w:szCs w:val="24"/>
        </w:rPr>
        <w:t>—</w:t>
      </w:r>
      <w:r>
        <w:rPr>
          <w:rFonts w:ascii="宋体" w:hAnsi="宋体" w:eastAsia="宋体" w:cs="宋体"/>
          <w:spacing w:val="-2"/>
          <w:sz w:val="24"/>
          <w:szCs w:val="24"/>
        </w:rPr>
        <w:t>排污单位某生长期生猪实际出栏量，头。</w:t>
      </w:r>
    </w:p>
    <w:p w14:paraId="614AF3AD">
      <w:pPr>
        <w:spacing w:before="181" w:line="362" w:lineRule="auto"/>
        <w:ind w:left="39" w:firstLine="479"/>
        <w:jc w:val="both"/>
        <w:rPr>
          <w:rFonts w:ascii="宋体" w:hAnsi="宋体" w:eastAsia="宋体" w:cs="宋体"/>
          <w:sz w:val="24"/>
          <w:szCs w:val="24"/>
        </w:rPr>
      </w:pPr>
      <w:r>
        <w:rPr>
          <w:rFonts w:ascii="宋体" w:hAnsi="宋体" w:eastAsia="宋体" w:cs="宋体"/>
          <w:spacing w:val="1"/>
          <w:sz w:val="24"/>
          <w:szCs w:val="24"/>
        </w:rPr>
        <w:t>根据《排污许可证申请与核发技术规范 畜禽养殖行业》（</w:t>
      </w:r>
      <w:r>
        <w:rPr>
          <w:rFonts w:ascii="Times New Roman" w:hAnsi="Times New Roman" w:eastAsia="Times New Roman" w:cs="Times New Roman"/>
          <w:sz w:val="24"/>
          <w:szCs w:val="24"/>
        </w:rPr>
        <w:t>HJ1029-2019</w:t>
      </w:r>
      <w:r>
        <w:rPr>
          <w:rFonts w:ascii="宋体" w:hAnsi="宋体" w:eastAsia="宋体" w:cs="宋体"/>
          <w:spacing w:val="-26"/>
          <w:sz w:val="24"/>
          <w:szCs w:val="24"/>
        </w:rPr>
        <w:t>），</w:t>
      </w:r>
      <w:r>
        <w:rPr>
          <w:rFonts w:ascii="宋体" w:hAnsi="宋体" w:eastAsia="宋体" w:cs="宋体"/>
          <w:sz w:val="24"/>
          <w:szCs w:val="24"/>
        </w:rPr>
        <w:t>按出栏量统计养殖量的畜种按以下比例折算存栏量：年出栏</w:t>
      </w:r>
      <w:r>
        <w:rPr>
          <w:rFonts w:ascii="Times New Roman" w:hAnsi="Times New Roman" w:eastAsia="Times New Roman" w:cs="Times New Roman"/>
          <w:sz w:val="24"/>
          <w:szCs w:val="24"/>
        </w:rPr>
        <w:t>2</w:t>
      </w:r>
      <w:r>
        <w:rPr>
          <w:rFonts w:ascii="宋体" w:hAnsi="宋体" w:eastAsia="宋体" w:cs="宋体"/>
          <w:sz w:val="24"/>
          <w:szCs w:val="24"/>
        </w:rPr>
        <w:t>头猪</w:t>
      </w:r>
      <w:r>
        <w:rPr>
          <w:rFonts w:ascii="Times New Roman" w:hAnsi="Times New Roman" w:eastAsia="Times New Roman" w:cs="Times New Roman"/>
          <w:sz w:val="24"/>
          <w:szCs w:val="24"/>
        </w:rPr>
        <w:t>=</w:t>
      </w:r>
      <w:r>
        <w:rPr>
          <w:rFonts w:ascii="宋体" w:hAnsi="宋体" w:eastAsia="宋体" w:cs="宋体"/>
          <w:sz w:val="24"/>
          <w:szCs w:val="24"/>
        </w:rPr>
        <w:t>常年存栏</w:t>
      </w:r>
      <w:r>
        <w:rPr>
          <w:rFonts w:ascii="Times New Roman" w:hAnsi="Times New Roman" w:eastAsia="Times New Roman" w:cs="Times New Roman"/>
          <w:spacing w:val="-1"/>
          <w:sz w:val="24"/>
          <w:szCs w:val="24"/>
        </w:rPr>
        <w:t>1</w:t>
      </w:r>
      <w:r>
        <w:rPr>
          <w:rFonts w:ascii="宋体" w:hAnsi="宋体" w:eastAsia="宋体" w:cs="宋体"/>
          <w:spacing w:val="-1"/>
          <w:sz w:val="24"/>
          <w:szCs w:val="24"/>
        </w:rPr>
        <w:t>头</w:t>
      </w:r>
      <w:r>
        <w:rPr>
          <w:rFonts w:ascii="宋体" w:hAnsi="宋体" w:eastAsia="宋体" w:cs="宋体"/>
          <w:spacing w:val="-12"/>
          <w:sz w:val="24"/>
          <w:szCs w:val="24"/>
        </w:rPr>
        <w:t>猪。</w:t>
      </w:r>
    </w:p>
    <w:p w14:paraId="70B3DBEC">
      <w:pPr>
        <w:pStyle w:val="2"/>
        <w:spacing w:line="253" w:lineRule="auto"/>
      </w:pPr>
    </w:p>
    <w:p w14:paraId="0C2740BC">
      <w:pPr>
        <w:pStyle w:val="2"/>
        <w:spacing w:line="253" w:lineRule="auto"/>
      </w:pPr>
    </w:p>
    <w:p w14:paraId="3F5600D0">
      <w:pPr>
        <w:pStyle w:val="2"/>
        <w:spacing w:line="254" w:lineRule="auto"/>
      </w:pPr>
    </w:p>
    <w:p w14:paraId="758B33A5">
      <w:pPr>
        <w:pStyle w:val="2"/>
        <w:spacing w:line="254" w:lineRule="auto"/>
      </w:pPr>
    </w:p>
    <w:p w14:paraId="009AD11C">
      <w:pPr>
        <w:pStyle w:val="2"/>
        <w:spacing w:line="254" w:lineRule="auto"/>
      </w:pPr>
    </w:p>
    <w:p w14:paraId="6D76910C">
      <w:pPr>
        <w:pStyle w:val="2"/>
        <w:spacing w:line="254" w:lineRule="auto"/>
      </w:pPr>
    </w:p>
    <w:p w14:paraId="7986EDC3">
      <w:pPr>
        <w:pStyle w:val="2"/>
        <w:spacing w:line="254" w:lineRule="auto"/>
      </w:pPr>
    </w:p>
    <w:p w14:paraId="714EEBD8">
      <w:pPr>
        <w:spacing w:before="78" w:line="219" w:lineRule="auto"/>
        <w:ind w:left="524"/>
        <w:rPr>
          <w:rFonts w:ascii="宋体" w:hAnsi="宋体" w:eastAsia="宋体" w:cs="宋体"/>
          <w:sz w:val="24"/>
          <w:szCs w:val="24"/>
        </w:rPr>
      </w:pPr>
      <w:r>
        <w:rPr>
          <w:rFonts w:ascii="宋体" w:hAnsi="宋体" w:eastAsia="宋体" w:cs="宋体"/>
          <w:spacing w:val="-5"/>
          <w:sz w:val="24"/>
          <w:szCs w:val="24"/>
        </w:rPr>
        <w:t>则本项目养殖规模统计情况如下：</w:t>
      </w:r>
    </w:p>
    <w:p w14:paraId="2E94523C">
      <w:pPr>
        <w:spacing w:before="197" w:line="221" w:lineRule="auto"/>
        <w:ind w:left="287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2.1-1  </w:t>
      </w:r>
      <w:r>
        <w:rPr>
          <w:rFonts w:ascii="黑体" w:hAnsi="黑体" w:eastAsia="黑体" w:cs="黑体"/>
          <w:spacing w:val="-1"/>
          <w:sz w:val="21"/>
          <w:szCs w:val="21"/>
        </w:rPr>
        <w:t>本项目养殖规模量统计表</w:t>
      </w:r>
    </w:p>
    <w:p w14:paraId="00A7FDF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8"/>
        <w:gridCol w:w="2123"/>
        <w:gridCol w:w="1983"/>
        <w:gridCol w:w="2786"/>
      </w:tblGrid>
      <w:tr w14:paraId="0D67E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28" w:type="dxa"/>
            <w:vAlign w:val="top"/>
          </w:tcPr>
          <w:p w14:paraId="3CC80C6D">
            <w:pPr>
              <w:spacing w:before="68" w:line="220" w:lineRule="auto"/>
              <w:ind w:left="509"/>
              <w:rPr>
                <w:rFonts w:ascii="宋体" w:hAnsi="宋体" w:eastAsia="宋体" w:cs="宋体"/>
                <w:sz w:val="21"/>
                <w:szCs w:val="21"/>
              </w:rPr>
            </w:pPr>
            <w:r>
              <w:rPr>
                <w:rFonts w:ascii="宋体" w:hAnsi="宋体" w:eastAsia="宋体" w:cs="宋体"/>
                <w:spacing w:val="-3"/>
                <w:sz w:val="21"/>
                <w:szCs w:val="21"/>
              </w:rPr>
              <w:t>类别</w:t>
            </w:r>
          </w:p>
        </w:tc>
        <w:tc>
          <w:tcPr>
            <w:tcW w:w="2123" w:type="dxa"/>
            <w:vAlign w:val="top"/>
          </w:tcPr>
          <w:p w14:paraId="0F0E992F">
            <w:pPr>
              <w:spacing w:before="68" w:line="220" w:lineRule="auto"/>
              <w:ind w:left="232"/>
              <w:rPr>
                <w:rFonts w:ascii="宋体" w:hAnsi="宋体" w:eastAsia="宋体" w:cs="宋体"/>
                <w:sz w:val="21"/>
                <w:szCs w:val="21"/>
              </w:rPr>
            </w:pPr>
            <w:r>
              <w:rPr>
                <w:rFonts w:ascii="宋体" w:hAnsi="宋体" w:eastAsia="宋体" w:cs="宋体"/>
                <w:spacing w:val="-3"/>
                <w:sz w:val="21"/>
                <w:szCs w:val="21"/>
              </w:rPr>
              <w:t>实际存栏量（头）</w:t>
            </w:r>
          </w:p>
        </w:tc>
        <w:tc>
          <w:tcPr>
            <w:tcW w:w="1983" w:type="dxa"/>
            <w:vAlign w:val="top"/>
          </w:tcPr>
          <w:p w14:paraId="3AC26571">
            <w:pPr>
              <w:spacing w:before="68" w:line="220" w:lineRule="auto"/>
              <w:ind w:left="261"/>
              <w:rPr>
                <w:rFonts w:ascii="宋体" w:hAnsi="宋体" w:eastAsia="宋体" w:cs="宋体"/>
                <w:sz w:val="21"/>
                <w:szCs w:val="21"/>
              </w:rPr>
            </w:pPr>
            <w:r>
              <w:rPr>
                <w:rFonts w:ascii="宋体" w:hAnsi="宋体" w:eastAsia="宋体" w:cs="宋体"/>
                <w:spacing w:val="-3"/>
                <w:sz w:val="21"/>
                <w:szCs w:val="21"/>
              </w:rPr>
              <w:t>存栏时间（天）</w:t>
            </w:r>
          </w:p>
        </w:tc>
        <w:tc>
          <w:tcPr>
            <w:tcW w:w="2786" w:type="dxa"/>
            <w:vAlign w:val="top"/>
          </w:tcPr>
          <w:p w14:paraId="628143E9">
            <w:pPr>
              <w:spacing w:before="68" w:line="220" w:lineRule="auto"/>
              <w:ind w:left="139"/>
              <w:rPr>
                <w:rFonts w:ascii="宋体" w:hAnsi="宋体" w:eastAsia="宋体" w:cs="宋体"/>
                <w:sz w:val="21"/>
                <w:szCs w:val="21"/>
              </w:rPr>
            </w:pPr>
            <w:r>
              <w:rPr>
                <w:rFonts w:ascii="宋体" w:hAnsi="宋体" w:eastAsia="宋体" w:cs="宋体"/>
                <w:spacing w:val="-2"/>
                <w:sz w:val="21"/>
                <w:szCs w:val="21"/>
              </w:rPr>
              <w:t>折算常年存栏生猪量（头）</w:t>
            </w:r>
          </w:p>
        </w:tc>
      </w:tr>
      <w:tr w14:paraId="302B1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28" w:type="dxa"/>
            <w:vAlign w:val="top"/>
          </w:tcPr>
          <w:p w14:paraId="53E6CBD5">
            <w:pPr>
              <w:spacing w:before="65" w:line="220" w:lineRule="auto"/>
              <w:ind w:left="406"/>
              <w:rPr>
                <w:rFonts w:ascii="宋体" w:hAnsi="宋体" w:eastAsia="宋体" w:cs="宋体"/>
                <w:sz w:val="21"/>
                <w:szCs w:val="21"/>
              </w:rPr>
            </w:pPr>
            <w:r>
              <w:rPr>
                <w:rFonts w:ascii="宋体" w:hAnsi="宋体" w:eastAsia="宋体" w:cs="宋体"/>
                <w:spacing w:val="-3"/>
                <w:sz w:val="21"/>
                <w:szCs w:val="21"/>
              </w:rPr>
              <w:t>保育猪</w:t>
            </w:r>
          </w:p>
        </w:tc>
        <w:tc>
          <w:tcPr>
            <w:tcW w:w="2123" w:type="dxa"/>
            <w:vAlign w:val="top"/>
          </w:tcPr>
          <w:p w14:paraId="326E2E6C">
            <w:pPr>
              <w:pStyle w:val="6"/>
              <w:spacing w:before="102" w:line="188" w:lineRule="auto"/>
              <w:ind w:left="821"/>
            </w:pPr>
            <w:r>
              <w:rPr>
                <w:spacing w:val="-5"/>
              </w:rPr>
              <w:t>18000</w:t>
            </w:r>
          </w:p>
        </w:tc>
        <w:tc>
          <w:tcPr>
            <w:tcW w:w="1983" w:type="dxa"/>
            <w:vAlign w:val="top"/>
          </w:tcPr>
          <w:p w14:paraId="5CD3623D">
            <w:pPr>
              <w:pStyle w:val="6"/>
              <w:spacing w:before="103" w:line="188" w:lineRule="auto"/>
              <w:ind w:left="887"/>
            </w:pPr>
            <w:r>
              <w:rPr>
                <w:spacing w:val="-2"/>
              </w:rPr>
              <w:t>42</w:t>
            </w:r>
          </w:p>
        </w:tc>
        <w:tc>
          <w:tcPr>
            <w:tcW w:w="2786" w:type="dxa"/>
            <w:vAlign w:val="top"/>
          </w:tcPr>
          <w:p w14:paraId="0BDC9B95">
            <w:pPr>
              <w:pStyle w:val="6"/>
              <w:spacing w:before="102" w:line="188" w:lineRule="auto"/>
              <w:ind w:left="1192"/>
            </w:pPr>
            <w:r>
              <w:rPr>
                <w:spacing w:val="-4"/>
              </w:rPr>
              <w:t>8719</w:t>
            </w:r>
          </w:p>
        </w:tc>
      </w:tr>
      <w:tr w14:paraId="42009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28" w:type="dxa"/>
            <w:vAlign w:val="top"/>
          </w:tcPr>
          <w:p w14:paraId="50C5E247">
            <w:pPr>
              <w:spacing w:before="67" w:line="219" w:lineRule="auto"/>
              <w:ind w:left="413"/>
              <w:rPr>
                <w:rFonts w:ascii="宋体" w:hAnsi="宋体" w:eastAsia="宋体" w:cs="宋体"/>
                <w:sz w:val="21"/>
                <w:szCs w:val="21"/>
              </w:rPr>
            </w:pPr>
            <w:r>
              <w:rPr>
                <w:rFonts w:ascii="宋体" w:hAnsi="宋体" w:eastAsia="宋体" w:cs="宋体"/>
                <w:spacing w:val="-4"/>
                <w:sz w:val="21"/>
                <w:szCs w:val="21"/>
              </w:rPr>
              <w:t>育肥猪</w:t>
            </w:r>
          </w:p>
        </w:tc>
        <w:tc>
          <w:tcPr>
            <w:tcW w:w="2123" w:type="dxa"/>
            <w:vAlign w:val="top"/>
          </w:tcPr>
          <w:p w14:paraId="013E978D">
            <w:pPr>
              <w:pStyle w:val="6"/>
              <w:spacing w:before="104" w:line="188" w:lineRule="auto"/>
              <w:ind w:left="799"/>
            </w:pPr>
            <w:r>
              <w:rPr>
                <w:spacing w:val="-1"/>
              </w:rPr>
              <w:t>44100</w:t>
            </w:r>
          </w:p>
        </w:tc>
        <w:tc>
          <w:tcPr>
            <w:tcW w:w="1983" w:type="dxa"/>
            <w:vAlign w:val="top"/>
          </w:tcPr>
          <w:p w14:paraId="663FAC43">
            <w:pPr>
              <w:pStyle w:val="6"/>
              <w:spacing w:before="104" w:line="188" w:lineRule="auto"/>
              <w:ind w:left="859"/>
            </w:pPr>
            <w:r>
              <w:rPr>
                <w:spacing w:val="-11"/>
              </w:rPr>
              <w:t>114</w:t>
            </w:r>
          </w:p>
        </w:tc>
        <w:tc>
          <w:tcPr>
            <w:tcW w:w="2786" w:type="dxa"/>
            <w:vAlign w:val="top"/>
          </w:tcPr>
          <w:p w14:paraId="1EC6FAEA">
            <w:pPr>
              <w:pStyle w:val="6"/>
              <w:spacing w:before="104" w:line="188" w:lineRule="auto"/>
              <w:ind w:left="1131"/>
            </w:pPr>
            <w:r>
              <w:rPr>
                <w:spacing w:val="-1"/>
              </w:rPr>
              <w:t>44100</w:t>
            </w:r>
          </w:p>
        </w:tc>
      </w:tr>
      <w:tr w14:paraId="41A4D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534" w:type="dxa"/>
            <w:gridSpan w:val="3"/>
            <w:vAlign w:val="top"/>
          </w:tcPr>
          <w:p w14:paraId="73018934">
            <w:pPr>
              <w:spacing w:before="68" w:line="221" w:lineRule="auto"/>
              <w:ind w:left="2564"/>
              <w:rPr>
                <w:rFonts w:ascii="宋体" w:hAnsi="宋体" w:eastAsia="宋体" w:cs="宋体"/>
                <w:sz w:val="21"/>
                <w:szCs w:val="21"/>
              </w:rPr>
            </w:pPr>
            <w:r>
              <w:rPr>
                <w:rFonts w:ascii="宋体" w:hAnsi="宋体" w:eastAsia="宋体" w:cs="宋体"/>
                <w:spacing w:val="-3"/>
                <w:sz w:val="21"/>
                <w:szCs w:val="21"/>
              </w:rPr>
              <w:t>合计</w:t>
            </w:r>
          </w:p>
        </w:tc>
        <w:tc>
          <w:tcPr>
            <w:tcW w:w="2786" w:type="dxa"/>
            <w:vAlign w:val="top"/>
          </w:tcPr>
          <w:p w14:paraId="370DC7DD">
            <w:pPr>
              <w:pStyle w:val="6"/>
              <w:spacing w:before="105" w:line="188" w:lineRule="auto"/>
              <w:ind w:left="1138"/>
            </w:pPr>
            <w:r>
              <w:rPr>
                <w:spacing w:val="-3"/>
              </w:rPr>
              <w:t>52819</w:t>
            </w:r>
          </w:p>
        </w:tc>
      </w:tr>
    </w:tbl>
    <w:p w14:paraId="2065CC2C">
      <w:pPr>
        <w:spacing w:before="292" w:line="226" w:lineRule="auto"/>
        <w:ind w:left="36"/>
        <w:rPr>
          <w:rFonts w:ascii="宋体" w:hAnsi="宋体" w:eastAsia="宋体" w:cs="宋体"/>
          <w:sz w:val="27"/>
          <w:szCs w:val="27"/>
        </w:rPr>
      </w:pPr>
      <w:r>
        <w:rPr>
          <w:rFonts w:ascii="Times New Roman" w:hAnsi="Times New Roman" w:eastAsia="Times New Roman" w:cs="Times New Roman"/>
          <w:b/>
          <w:bCs/>
          <w:spacing w:val="3"/>
          <w:sz w:val="27"/>
          <w:szCs w:val="27"/>
        </w:rPr>
        <w:t>2.1.2.2</w:t>
      </w:r>
      <w:r>
        <w:rPr>
          <w:rFonts w:ascii="Times New Roman" w:hAnsi="Times New Roman" w:eastAsia="Times New Roman" w:cs="Times New Roman"/>
          <w:b/>
          <w:bCs/>
          <w:spacing w:val="20"/>
          <w:sz w:val="27"/>
          <w:szCs w:val="27"/>
        </w:rPr>
        <w:t xml:space="preserve"> </w:t>
      </w:r>
      <w:r>
        <w:rPr>
          <w:rFonts w:ascii="宋体" w:hAnsi="宋体" w:eastAsia="宋体" w:cs="宋体"/>
          <w:b/>
          <w:bCs/>
          <w:spacing w:val="3"/>
          <w:sz w:val="27"/>
          <w:szCs w:val="27"/>
        </w:rPr>
        <w:t>建设内容</w:t>
      </w:r>
    </w:p>
    <w:p w14:paraId="4D1E3B8E">
      <w:pPr>
        <w:spacing w:before="220" w:line="364" w:lineRule="auto"/>
        <w:ind w:left="39" w:right="67" w:firstLine="480"/>
        <w:jc w:val="both"/>
        <w:rPr>
          <w:rFonts w:ascii="宋体" w:hAnsi="宋体" w:eastAsia="宋体" w:cs="宋体"/>
          <w:sz w:val="24"/>
          <w:szCs w:val="24"/>
        </w:rPr>
      </w:pPr>
      <w:r>
        <w:rPr>
          <w:rFonts w:ascii="宋体" w:hAnsi="宋体" w:eastAsia="宋体" w:cs="宋体"/>
          <w:spacing w:val="1"/>
          <w:sz w:val="24"/>
          <w:szCs w:val="24"/>
        </w:rPr>
        <w:t>本项目总占地面积</w:t>
      </w:r>
      <w:r>
        <w:rPr>
          <w:rFonts w:ascii="Times New Roman" w:hAnsi="Times New Roman" w:eastAsia="Times New Roman" w:cs="Times New Roman"/>
          <w:spacing w:val="1"/>
          <w:sz w:val="24"/>
          <w:szCs w:val="24"/>
        </w:rPr>
        <w:t>84872m</w:t>
      </w:r>
      <w:r>
        <w:rPr>
          <w:rFonts w:ascii="Times New Roman" w:hAnsi="Times New Roman" w:eastAsia="Times New Roman" w:cs="Times New Roman"/>
          <w:spacing w:val="1"/>
          <w:position w:val="10"/>
          <w:sz w:val="15"/>
          <w:szCs w:val="15"/>
        </w:rPr>
        <w:t xml:space="preserve">2 </w:t>
      </w:r>
      <w:r>
        <w:rPr>
          <w:rFonts w:ascii="宋体" w:hAnsi="宋体" w:eastAsia="宋体" w:cs="宋体"/>
          <w:spacing w:val="1"/>
          <w:sz w:val="24"/>
          <w:szCs w:val="24"/>
        </w:rPr>
        <w:t>，建设</w:t>
      </w:r>
      <w:r>
        <w:rPr>
          <w:rFonts w:ascii="Times New Roman" w:hAnsi="Times New Roman" w:eastAsia="Times New Roman" w:cs="Times New Roman"/>
          <w:spacing w:val="1"/>
          <w:sz w:val="24"/>
          <w:szCs w:val="24"/>
        </w:rPr>
        <w:t>1</w:t>
      </w:r>
      <w:r>
        <w:rPr>
          <w:rFonts w:ascii="宋体" w:hAnsi="宋体" w:eastAsia="宋体" w:cs="宋体"/>
          <w:spacing w:val="1"/>
          <w:sz w:val="24"/>
          <w:szCs w:val="24"/>
        </w:rPr>
        <w:t>栋</w:t>
      </w:r>
      <w:r>
        <w:rPr>
          <w:rFonts w:ascii="Times New Roman" w:hAnsi="Times New Roman" w:eastAsia="Times New Roman" w:cs="Times New Roman"/>
          <w:spacing w:val="1"/>
          <w:sz w:val="24"/>
          <w:szCs w:val="24"/>
        </w:rPr>
        <w:t>3F</w:t>
      </w:r>
      <w:r>
        <w:rPr>
          <w:rFonts w:ascii="宋体" w:hAnsi="宋体" w:eastAsia="宋体" w:cs="宋体"/>
          <w:spacing w:val="1"/>
          <w:sz w:val="24"/>
          <w:szCs w:val="24"/>
        </w:rPr>
        <w:t>保育楼、</w:t>
      </w:r>
      <w:r>
        <w:rPr>
          <w:rFonts w:ascii="Times New Roman" w:hAnsi="Times New Roman" w:eastAsia="Times New Roman" w:cs="Times New Roman"/>
          <w:spacing w:val="1"/>
          <w:sz w:val="24"/>
          <w:szCs w:val="24"/>
        </w:rPr>
        <w:t>1</w:t>
      </w:r>
      <w:r>
        <w:rPr>
          <w:rFonts w:ascii="宋体" w:hAnsi="宋体" w:eastAsia="宋体" w:cs="宋体"/>
          <w:spacing w:val="1"/>
          <w:sz w:val="24"/>
          <w:szCs w:val="24"/>
        </w:rPr>
        <w:t>栋</w:t>
      </w:r>
      <w:r>
        <w:rPr>
          <w:rFonts w:ascii="Times New Roman" w:hAnsi="Times New Roman" w:eastAsia="Times New Roman" w:cs="Times New Roman"/>
          <w:spacing w:val="1"/>
          <w:sz w:val="24"/>
          <w:szCs w:val="24"/>
        </w:rPr>
        <w:t>3F</w:t>
      </w:r>
      <w:r>
        <w:rPr>
          <w:rFonts w:ascii="宋体" w:hAnsi="宋体" w:eastAsia="宋体" w:cs="宋体"/>
          <w:spacing w:val="1"/>
          <w:sz w:val="24"/>
          <w:szCs w:val="24"/>
        </w:rPr>
        <w:t>育肥楼</w:t>
      </w: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栋</w:t>
      </w:r>
      <w:r>
        <w:rPr>
          <w:rFonts w:ascii="Times New Roman" w:hAnsi="Times New Roman" w:eastAsia="Times New Roman" w:cs="Times New Roman"/>
          <w:sz w:val="24"/>
          <w:szCs w:val="24"/>
        </w:rPr>
        <w:t>1F</w:t>
      </w:r>
      <w:r>
        <w:rPr>
          <w:rFonts w:ascii="宋体" w:hAnsi="宋体" w:eastAsia="宋体" w:cs="宋体"/>
          <w:sz w:val="24"/>
          <w:szCs w:val="24"/>
        </w:rPr>
        <w:t>育肥</w:t>
      </w:r>
      <w:r>
        <w:rPr>
          <w:rFonts w:ascii="宋体" w:hAnsi="宋体" w:eastAsia="宋体" w:cs="宋体"/>
          <w:spacing w:val="-7"/>
          <w:sz w:val="24"/>
          <w:szCs w:val="24"/>
        </w:rPr>
        <w:t>猪转猪舍，并新建库房、办公生活区、外勤区等</w:t>
      </w:r>
      <w:r>
        <w:rPr>
          <w:rFonts w:ascii="宋体" w:hAnsi="宋体" w:eastAsia="宋体" w:cs="宋体"/>
          <w:spacing w:val="-8"/>
          <w:sz w:val="24"/>
          <w:szCs w:val="24"/>
        </w:rPr>
        <w:t>辅助设施，</w:t>
      </w:r>
      <w:r>
        <w:rPr>
          <w:rFonts w:ascii="宋体" w:hAnsi="宋体" w:eastAsia="宋体" w:cs="宋体"/>
          <w:spacing w:val="33"/>
          <w:sz w:val="24"/>
          <w:szCs w:val="24"/>
        </w:rPr>
        <w:t xml:space="preserve"> </w:t>
      </w:r>
      <w:r>
        <w:rPr>
          <w:rFonts w:ascii="宋体" w:hAnsi="宋体" w:eastAsia="宋体" w:cs="宋体"/>
          <w:spacing w:val="-8"/>
          <w:sz w:val="24"/>
          <w:szCs w:val="24"/>
        </w:rPr>
        <w:t>以及污水处理站、堆</w:t>
      </w:r>
      <w:r>
        <w:rPr>
          <w:rFonts w:ascii="宋体" w:hAnsi="宋体" w:eastAsia="宋体" w:cs="宋体"/>
          <w:spacing w:val="-2"/>
          <w:sz w:val="24"/>
          <w:szCs w:val="24"/>
        </w:rPr>
        <w:t>粪棚等配套环保设施。本项目不进行饲料生产和加工。</w:t>
      </w:r>
    </w:p>
    <w:p w14:paraId="33FA4691">
      <w:pPr>
        <w:spacing w:before="1" w:line="218" w:lineRule="auto"/>
        <w:ind w:left="520"/>
        <w:rPr>
          <w:rFonts w:ascii="宋体" w:hAnsi="宋体" w:eastAsia="宋体" w:cs="宋体"/>
          <w:sz w:val="24"/>
          <w:szCs w:val="24"/>
        </w:rPr>
      </w:pPr>
      <w:r>
        <w:rPr>
          <w:rFonts w:ascii="宋体" w:hAnsi="宋体" w:eastAsia="宋体" w:cs="宋体"/>
          <w:spacing w:val="-3"/>
          <w:sz w:val="24"/>
          <w:szCs w:val="24"/>
        </w:rPr>
        <w:t>本项目组成及主要环境问题见下表。</w:t>
      </w:r>
    </w:p>
    <w:p w14:paraId="4918713E">
      <w:pPr>
        <w:spacing w:before="197" w:line="222" w:lineRule="auto"/>
        <w:ind w:left="308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2.1-2  </w:t>
      </w:r>
      <w:r>
        <w:rPr>
          <w:rFonts w:ascii="黑体" w:hAnsi="黑体" w:eastAsia="黑体" w:cs="黑体"/>
          <w:spacing w:val="-1"/>
          <w:sz w:val="21"/>
          <w:szCs w:val="21"/>
        </w:rPr>
        <w:t>项目组成一览表</w:t>
      </w:r>
    </w:p>
    <w:p w14:paraId="067FA88B">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850"/>
        <w:gridCol w:w="4814"/>
        <w:gridCol w:w="896"/>
        <w:gridCol w:w="902"/>
      </w:tblGrid>
      <w:tr w14:paraId="67071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8" w:type="dxa"/>
            <w:vMerge w:val="restart"/>
            <w:tcBorders>
              <w:bottom w:val="nil"/>
            </w:tcBorders>
            <w:vAlign w:val="top"/>
          </w:tcPr>
          <w:p w14:paraId="392BD3F2">
            <w:pPr>
              <w:spacing w:before="243" w:line="220" w:lineRule="auto"/>
              <w:ind w:left="17"/>
              <w:rPr>
                <w:rFonts w:ascii="宋体" w:hAnsi="宋体" w:eastAsia="宋体" w:cs="宋体"/>
                <w:sz w:val="21"/>
                <w:szCs w:val="21"/>
              </w:rPr>
            </w:pPr>
            <w:r>
              <w:rPr>
                <w:rFonts w:ascii="宋体" w:hAnsi="宋体" w:eastAsia="宋体" w:cs="宋体"/>
                <w:spacing w:val="-3"/>
                <w:sz w:val="21"/>
                <w:szCs w:val="21"/>
              </w:rPr>
              <w:t>工程类别</w:t>
            </w:r>
          </w:p>
        </w:tc>
        <w:tc>
          <w:tcPr>
            <w:tcW w:w="850" w:type="dxa"/>
            <w:vMerge w:val="restart"/>
            <w:tcBorders>
              <w:bottom w:val="nil"/>
            </w:tcBorders>
            <w:vAlign w:val="top"/>
          </w:tcPr>
          <w:p w14:paraId="50F21205">
            <w:pPr>
              <w:spacing w:before="244" w:line="220" w:lineRule="auto"/>
              <w:jc w:val="right"/>
              <w:rPr>
                <w:rFonts w:ascii="宋体" w:hAnsi="宋体" w:eastAsia="宋体" w:cs="宋体"/>
                <w:sz w:val="21"/>
                <w:szCs w:val="21"/>
              </w:rPr>
            </w:pPr>
            <w:r>
              <w:rPr>
                <w:rFonts w:ascii="宋体" w:hAnsi="宋体" w:eastAsia="宋体" w:cs="宋体"/>
                <w:spacing w:val="-3"/>
                <w:sz w:val="21"/>
                <w:szCs w:val="21"/>
              </w:rPr>
              <w:t>工程名称</w:t>
            </w:r>
          </w:p>
        </w:tc>
        <w:tc>
          <w:tcPr>
            <w:tcW w:w="4814" w:type="dxa"/>
            <w:vMerge w:val="restart"/>
            <w:tcBorders>
              <w:bottom w:val="nil"/>
            </w:tcBorders>
            <w:vAlign w:val="top"/>
          </w:tcPr>
          <w:p w14:paraId="216AC335">
            <w:pPr>
              <w:spacing w:before="243" w:line="220" w:lineRule="auto"/>
              <w:ind w:left="1996"/>
              <w:rPr>
                <w:rFonts w:ascii="宋体" w:hAnsi="宋体" w:eastAsia="宋体" w:cs="宋体"/>
                <w:sz w:val="21"/>
                <w:szCs w:val="21"/>
              </w:rPr>
            </w:pPr>
            <w:r>
              <w:rPr>
                <w:rFonts w:ascii="宋体" w:hAnsi="宋体" w:eastAsia="宋体" w:cs="宋体"/>
                <w:spacing w:val="-3"/>
                <w:sz w:val="21"/>
                <w:szCs w:val="21"/>
              </w:rPr>
              <w:t>建设内容</w:t>
            </w:r>
          </w:p>
        </w:tc>
        <w:tc>
          <w:tcPr>
            <w:tcW w:w="1798" w:type="dxa"/>
            <w:gridSpan w:val="2"/>
            <w:vAlign w:val="top"/>
          </w:tcPr>
          <w:p w14:paraId="1885A45B">
            <w:pPr>
              <w:spacing w:before="69" w:line="220" w:lineRule="auto"/>
              <w:ind w:left="276"/>
              <w:rPr>
                <w:rFonts w:ascii="宋体" w:hAnsi="宋体" w:eastAsia="宋体" w:cs="宋体"/>
                <w:sz w:val="21"/>
                <w:szCs w:val="21"/>
              </w:rPr>
            </w:pPr>
            <w:r>
              <w:rPr>
                <w:rFonts w:ascii="宋体" w:hAnsi="宋体" w:eastAsia="宋体" w:cs="宋体"/>
                <w:spacing w:val="-2"/>
                <w:sz w:val="21"/>
                <w:szCs w:val="21"/>
              </w:rPr>
              <w:t>主要环境问题</w:t>
            </w:r>
          </w:p>
        </w:tc>
      </w:tr>
      <w:tr w14:paraId="3BDB7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tcBorders>
            <w:vAlign w:val="top"/>
          </w:tcPr>
          <w:p w14:paraId="77BAFE32">
            <w:pPr>
              <w:rPr>
                <w:rFonts w:ascii="Arial"/>
                <w:sz w:val="21"/>
              </w:rPr>
            </w:pPr>
          </w:p>
        </w:tc>
        <w:tc>
          <w:tcPr>
            <w:tcW w:w="850" w:type="dxa"/>
            <w:vMerge w:val="continue"/>
            <w:tcBorders>
              <w:top w:val="nil"/>
            </w:tcBorders>
            <w:vAlign w:val="top"/>
          </w:tcPr>
          <w:p w14:paraId="3BF58E44">
            <w:pPr>
              <w:rPr>
                <w:rFonts w:ascii="Arial"/>
                <w:sz w:val="21"/>
              </w:rPr>
            </w:pPr>
          </w:p>
        </w:tc>
        <w:tc>
          <w:tcPr>
            <w:tcW w:w="4814" w:type="dxa"/>
            <w:vMerge w:val="continue"/>
            <w:tcBorders>
              <w:top w:val="nil"/>
            </w:tcBorders>
            <w:vAlign w:val="top"/>
          </w:tcPr>
          <w:p w14:paraId="79BA51B3">
            <w:pPr>
              <w:rPr>
                <w:rFonts w:ascii="Arial"/>
                <w:sz w:val="21"/>
              </w:rPr>
            </w:pPr>
          </w:p>
        </w:tc>
        <w:tc>
          <w:tcPr>
            <w:tcW w:w="896" w:type="dxa"/>
            <w:vAlign w:val="top"/>
          </w:tcPr>
          <w:p w14:paraId="34DB1C58">
            <w:pPr>
              <w:spacing w:before="65" w:line="220" w:lineRule="auto"/>
              <w:ind w:left="139"/>
              <w:rPr>
                <w:rFonts w:ascii="宋体" w:hAnsi="宋体" w:eastAsia="宋体" w:cs="宋体"/>
                <w:sz w:val="21"/>
                <w:szCs w:val="21"/>
              </w:rPr>
            </w:pPr>
            <w:r>
              <w:rPr>
                <w:rFonts w:ascii="宋体" w:hAnsi="宋体" w:eastAsia="宋体" w:cs="宋体"/>
                <w:spacing w:val="-2"/>
                <w:sz w:val="21"/>
                <w:szCs w:val="21"/>
              </w:rPr>
              <w:t>施工期</w:t>
            </w:r>
          </w:p>
        </w:tc>
        <w:tc>
          <w:tcPr>
            <w:tcW w:w="902" w:type="dxa"/>
            <w:vAlign w:val="top"/>
          </w:tcPr>
          <w:p w14:paraId="3EA0D976">
            <w:pPr>
              <w:spacing w:before="65" w:line="220" w:lineRule="auto"/>
              <w:ind w:left="141"/>
              <w:rPr>
                <w:rFonts w:ascii="宋体" w:hAnsi="宋体" w:eastAsia="宋体" w:cs="宋体"/>
                <w:sz w:val="21"/>
                <w:szCs w:val="21"/>
              </w:rPr>
            </w:pPr>
            <w:r>
              <w:rPr>
                <w:rFonts w:ascii="宋体" w:hAnsi="宋体" w:eastAsia="宋体" w:cs="宋体"/>
                <w:spacing w:val="-2"/>
                <w:sz w:val="21"/>
                <w:szCs w:val="21"/>
              </w:rPr>
              <w:t>运营期</w:t>
            </w:r>
          </w:p>
        </w:tc>
      </w:tr>
      <w:tr w14:paraId="3B3CD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58" w:type="dxa"/>
            <w:vMerge w:val="restart"/>
            <w:tcBorders>
              <w:bottom w:val="nil"/>
            </w:tcBorders>
            <w:vAlign w:val="top"/>
          </w:tcPr>
          <w:p w14:paraId="0ADFE639">
            <w:pPr>
              <w:spacing w:line="259" w:lineRule="auto"/>
              <w:rPr>
                <w:rFonts w:ascii="Arial"/>
                <w:sz w:val="21"/>
              </w:rPr>
            </w:pPr>
          </w:p>
          <w:p w14:paraId="066CABAB">
            <w:pPr>
              <w:spacing w:line="259" w:lineRule="auto"/>
              <w:rPr>
                <w:rFonts w:ascii="Arial"/>
                <w:sz w:val="21"/>
              </w:rPr>
            </w:pPr>
          </w:p>
          <w:p w14:paraId="5C45375D">
            <w:pPr>
              <w:spacing w:line="260" w:lineRule="auto"/>
              <w:rPr>
                <w:rFonts w:ascii="Arial"/>
                <w:sz w:val="21"/>
              </w:rPr>
            </w:pPr>
          </w:p>
          <w:p w14:paraId="245B8225">
            <w:pPr>
              <w:spacing w:line="260" w:lineRule="auto"/>
              <w:rPr>
                <w:rFonts w:ascii="Arial"/>
                <w:sz w:val="21"/>
              </w:rPr>
            </w:pPr>
          </w:p>
          <w:p w14:paraId="13E6EF00">
            <w:pPr>
              <w:spacing w:line="260" w:lineRule="auto"/>
              <w:rPr>
                <w:rFonts w:ascii="Arial"/>
                <w:sz w:val="21"/>
              </w:rPr>
            </w:pPr>
          </w:p>
          <w:p w14:paraId="1F8821F1">
            <w:pPr>
              <w:spacing w:line="260" w:lineRule="auto"/>
              <w:rPr>
                <w:rFonts w:ascii="Arial"/>
                <w:sz w:val="21"/>
              </w:rPr>
            </w:pPr>
          </w:p>
          <w:p w14:paraId="5F049372">
            <w:pPr>
              <w:spacing w:before="69" w:line="220" w:lineRule="auto"/>
              <w:ind w:left="16"/>
              <w:rPr>
                <w:rFonts w:ascii="宋体" w:hAnsi="宋体" w:eastAsia="宋体" w:cs="宋体"/>
                <w:sz w:val="21"/>
                <w:szCs w:val="21"/>
              </w:rPr>
            </w:pPr>
            <w:r>
              <w:rPr>
                <w:rFonts w:ascii="宋体" w:hAnsi="宋体" w:eastAsia="宋体" w:cs="宋体"/>
                <w:spacing w:val="-2"/>
                <w:sz w:val="21"/>
                <w:szCs w:val="21"/>
              </w:rPr>
              <w:t>主体工程</w:t>
            </w:r>
          </w:p>
        </w:tc>
        <w:tc>
          <w:tcPr>
            <w:tcW w:w="850" w:type="dxa"/>
            <w:vAlign w:val="top"/>
          </w:tcPr>
          <w:p w14:paraId="5C2F4030">
            <w:pPr>
              <w:spacing w:line="301" w:lineRule="auto"/>
              <w:rPr>
                <w:rFonts w:ascii="Arial"/>
                <w:sz w:val="21"/>
              </w:rPr>
            </w:pPr>
          </w:p>
          <w:p w14:paraId="60B253A5">
            <w:pPr>
              <w:spacing w:line="302" w:lineRule="auto"/>
              <w:rPr>
                <w:rFonts w:ascii="Arial"/>
                <w:sz w:val="21"/>
              </w:rPr>
            </w:pPr>
          </w:p>
          <w:p w14:paraId="021FD75B">
            <w:pPr>
              <w:spacing w:before="69" w:line="220" w:lineRule="auto"/>
              <w:ind w:left="115"/>
              <w:rPr>
                <w:rFonts w:ascii="宋体" w:hAnsi="宋体" w:eastAsia="宋体" w:cs="宋体"/>
                <w:sz w:val="21"/>
                <w:szCs w:val="21"/>
              </w:rPr>
            </w:pPr>
            <w:r>
              <w:rPr>
                <w:rFonts w:ascii="宋体" w:hAnsi="宋体" w:eastAsia="宋体" w:cs="宋体"/>
                <w:spacing w:val="-3"/>
                <w:sz w:val="21"/>
                <w:szCs w:val="21"/>
              </w:rPr>
              <w:t>保育楼</w:t>
            </w:r>
          </w:p>
        </w:tc>
        <w:tc>
          <w:tcPr>
            <w:tcW w:w="4814" w:type="dxa"/>
            <w:vAlign w:val="top"/>
          </w:tcPr>
          <w:p w14:paraId="0E5A35B0">
            <w:pPr>
              <w:pStyle w:val="6"/>
              <w:spacing w:before="35" w:line="264" w:lineRule="auto"/>
              <w:ind w:left="9" w:firstLine="17"/>
              <w:jc w:val="both"/>
              <w:rPr>
                <w:rFonts w:ascii="宋体" w:hAnsi="宋体" w:eastAsia="宋体" w:cs="宋体"/>
              </w:rPr>
            </w:pPr>
            <w:r>
              <w:rPr>
                <w:spacing w:val="-5"/>
              </w:rPr>
              <w:t xml:space="preserve">1 </w:t>
            </w:r>
            <w:r>
              <w:rPr>
                <w:rFonts w:ascii="宋体" w:hAnsi="宋体" w:eastAsia="宋体" w:cs="宋体"/>
                <w:spacing w:val="-5"/>
              </w:rPr>
              <w:t>栋，位于场地东北侧，占地面积</w:t>
            </w:r>
            <w:r>
              <w:rPr>
                <w:rFonts w:ascii="宋体" w:hAnsi="宋体" w:eastAsia="宋体" w:cs="宋体"/>
                <w:spacing w:val="-32"/>
              </w:rPr>
              <w:t xml:space="preserve"> </w:t>
            </w:r>
            <w:r>
              <w:rPr>
                <w:spacing w:val="-5"/>
              </w:rPr>
              <w:t>3005.95m</w:t>
            </w:r>
            <w:r>
              <w:rPr>
                <w:spacing w:val="-5"/>
                <w:position w:val="9"/>
                <w:sz w:val="14"/>
                <w:szCs w:val="14"/>
              </w:rPr>
              <w:t>2</w:t>
            </w:r>
            <w:r>
              <w:rPr>
                <w:rFonts w:ascii="宋体" w:hAnsi="宋体" w:eastAsia="宋体" w:cs="宋体"/>
                <w:spacing w:val="-5"/>
              </w:rPr>
              <w:t>，东西向</w:t>
            </w:r>
            <w:r>
              <w:rPr>
                <w:rFonts w:ascii="宋体" w:hAnsi="宋体" w:eastAsia="宋体" w:cs="宋体"/>
                <w:spacing w:val="-4"/>
              </w:rPr>
              <w:t>布置，</w:t>
            </w:r>
            <w:r>
              <w:rPr>
                <w:spacing w:val="-4"/>
              </w:rPr>
              <w:t xml:space="preserve">3F </w:t>
            </w:r>
            <w:r>
              <w:rPr>
                <w:rFonts w:ascii="宋体" w:hAnsi="宋体" w:eastAsia="宋体" w:cs="宋体"/>
                <w:spacing w:val="-4"/>
              </w:rPr>
              <w:t>钢筋砼框架结构，每层栏位数量及平面布置</w:t>
            </w:r>
            <w:r>
              <w:rPr>
                <w:rFonts w:ascii="宋体" w:hAnsi="宋体" w:eastAsia="宋体" w:cs="宋体"/>
                <w:spacing w:val="-2"/>
              </w:rPr>
              <w:t>均一致，保育楼北侧设置升降平台，西侧设置坡道连</w:t>
            </w:r>
            <w:r>
              <w:rPr>
                <w:rFonts w:ascii="宋体" w:hAnsi="宋体" w:eastAsia="宋体" w:cs="宋体"/>
                <w:spacing w:val="-3"/>
              </w:rPr>
              <w:t>接</w:t>
            </w:r>
            <w:r>
              <w:rPr>
                <w:rFonts w:ascii="宋体" w:hAnsi="宋体" w:eastAsia="宋体" w:cs="宋体"/>
                <w:spacing w:val="-21"/>
              </w:rPr>
              <w:t xml:space="preserve"> </w:t>
            </w:r>
            <w:r>
              <w:rPr>
                <w:spacing w:val="-3"/>
              </w:rPr>
              <w:t>2F</w:t>
            </w:r>
            <w:r>
              <w:rPr>
                <w:spacing w:val="-30"/>
              </w:rPr>
              <w:t xml:space="preserve"> </w:t>
            </w:r>
            <w:r>
              <w:rPr>
                <w:rFonts w:ascii="宋体" w:hAnsi="宋体" w:eastAsia="宋体" w:cs="宋体"/>
                <w:spacing w:val="-3"/>
              </w:rPr>
              <w:t>、</w:t>
            </w:r>
            <w:r>
              <w:rPr>
                <w:spacing w:val="-3"/>
              </w:rPr>
              <w:t>3F</w:t>
            </w:r>
            <w:r>
              <w:rPr>
                <w:rFonts w:ascii="宋体" w:hAnsi="宋体" w:eastAsia="宋体" w:cs="宋体"/>
                <w:spacing w:val="-3"/>
              </w:rPr>
              <w:t xml:space="preserve">；保育楼高 </w:t>
            </w:r>
            <w:r>
              <w:rPr>
                <w:spacing w:val="-3"/>
              </w:rPr>
              <w:t>12.6m</w:t>
            </w:r>
            <w:r>
              <w:rPr>
                <w:rFonts w:ascii="宋体" w:hAnsi="宋体" w:eastAsia="宋体" w:cs="宋体"/>
                <w:spacing w:val="-3"/>
              </w:rPr>
              <w:t xml:space="preserve">，建筑面积 </w:t>
            </w:r>
            <w:r>
              <w:rPr>
                <w:spacing w:val="-3"/>
              </w:rPr>
              <w:t>8940m</w:t>
            </w:r>
            <w:r>
              <w:rPr>
                <w:spacing w:val="-3"/>
                <w:position w:val="9"/>
                <w:sz w:val="14"/>
                <w:szCs w:val="14"/>
              </w:rPr>
              <w:t>2</w:t>
            </w:r>
            <w:r>
              <w:rPr>
                <w:rFonts w:ascii="宋体" w:hAnsi="宋体" w:eastAsia="宋体" w:cs="宋体"/>
                <w:spacing w:val="-4"/>
              </w:rPr>
              <w:t>，共</w:t>
            </w:r>
            <w:r>
              <w:rPr>
                <w:rFonts w:ascii="宋体" w:hAnsi="宋体" w:eastAsia="宋体" w:cs="宋体"/>
                <w:spacing w:val="-3"/>
              </w:rPr>
              <w:t>分为</w:t>
            </w:r>
            <w:r>
              <w:rPr>
                <w:rFonts w:ascii="宋体" w:hAnsi="宋体" w:eastAsia="宋体" w:cs="宋体"/>
                <w:spacing w:val="-35"/>
              </w:rPr>
              <w:t xml:space="preserve"> </w:t>
            </w:r>
            <w:r>
              <w:rPr>
                <w:spacing w:val="-3"/>
              </w:rPr>
              <w:t xml:space="preserve">6 </w:t>
            </w:r>
            <w:r>
              <w:rPr>
                <w:rFonts w:ascii="宋体" w:hAnsi="宋体" w:eastAsia="宋体" w:cs="宋体"/>
                <w:spacing w:val="-3"/>
              </w:rPr>
              <w:t>个单元，用于断奶仔猪的保育。</w:t>
            </w:r>
          </w:p>
        </w:tc>
        <w:tc>
          <w:tcPr>
            <w:tcW w:w="896" w:type="dxa"/>
            <w:vMerge w:val="restart"/>
            <w:tcBorders>
              <w:bottom w:val="nil"/>
            </w:tcBorders>
            <w:vAlign w:val="top"/>
          </w:tcPr>
          <w:p w14:paraId="001807F5">
            <w:pPr>
              <w:spacing w:line="261" w:lineRule="auto"/>
              <w:rPr>
                <w:rFonts w:ascii="Arial"/>
                <w:sz w:val="21"/>
              </w:rPr>
            </w:pPr>
          </w:p>
          <w:p w14:paraId="17686903">
            <w:pPr>
              <w:spacing w:line="261" w:lineRule="auto"/>
              <w:rPr>
                <w:rFonts w:ascii="Arial"/>
                <w:sz w:val="21"/>
              </w:rPr>
            </w:pPr>
          </w:p>
          <w:p w14:paraId="59E090A8">
            <w:pPr>
              <w:spacing w:line="261" w:lineRule="auto"/>
              <w:rPr>
                <w:rFonts w:ascii="Arial"/>
                <w:sz w:val="21"/>
              </w:rPr>
            </w:pPr>
          </w:p>
          <w:p w14:paraId="0F246C52">
            <w:pPr>
              <w:spacing w:before="69" w:line="275" w:lineRule="auto"/>
              <w:ind w:left="34" w:right="23"/>
              <w:jc w:val="both"/>
              <w:rPr>
                <w:rFonts w:ascii="宋体" w:hAnsi="宋体" w:eastAsia="宋体" w:cs="宋体"/>
                <w:sz w:val="21"/>
                <w:szCs w:val="21"/>
              </w:rPr>
            </w:pPr>
            <w:r>
              <w:rPr>
                <w:rFonts w:ascii="宋体" w:hAnsi="宋体" w:eastAsia="宋体" w:cs="宋体"/>
                <w:spacing w:val="-2"/>
                <w:sz w:val="21"/>
                <w:szCs w:val="21"/>
              </w:rPr>
              <w:t>施工废水施工扬尘施工噪声建筑垃圾生活污水生活垃圾</w:t>
            </w:r>
          </w:p>
        </w:tc>
        <w:tc>
          <w:tcPr>
            <w:tcW w:w="902" w:type="dxa"/>
            <w:vMerge w:val="restart"/>
            <w:tcBorders>
              <w:bottom w:val="nil"/>
            </w:tcBorders>
            <w:vAlign w:val="top"/>
          </w:tcPr>
          <w:p w14:paraId="6CFA3170">
            <w:pPr>
              <w:spacing w:line="313" w:lineRule="auto"/>
              <w:rPr>
                <w:rFonts w:ascii="Arial"/>
                <w:sz w:val="21"/>
              </w:rPr>
            </w:pPr>
          </w:p>
          <w:p w14:paraId="74206CDB">
            <w:pPr>
              <w:spacing w:line="313" w:lineRule="auto"/>
              <w:rPr>
                <w:rFonts w:ascii="Arial"/>
                <w:sz w:val="21"/>
              </w:rPr>
            </w:pPr>
          </w:p>
          <w:p w14:paraId="10A56C7F">
            <w:pPr>
              <w:spacing w:line="313" w:lineRule="auto"/>
              <w:rPr>
                <w:rFonts w:ascii="Arial"/>
                <w:sz w:val="21"/>
              </w:rPr>
            </w:pPr>
          </w:p>
          <w:p w14:paraId="27B2D4F3">
            <w:pPr>
              <w:spacing w:before="69" w:line="275" w:lineRule="auto"/>
              <w:ind w:left="140" w:right="133" w:firstLine="106"/>
              <w:jc w:val="right"/>
              <w:rPr>
                <w:rFonts w:ascii="宋体" w:hAnsi="宋体" w:eastAsia="宋体" w:cs="宋体"/>
                <w:sz w:val="21"/>
                <w:szCs w:val="21"/>
              </w:rPr>
            </w:pPr>
            <w:r>
              <w:rPr>
                <w:rFonts w:ascii="宋体" w:hAnsi="宋体" w:eastAsia="宋体" w:cs="宋体"/>
                <w:spacing w:val="-5"/>
                <w:sz w:val="21"/>
                <w:szCs w:val="21"/>
              </w:rPr>
              <w:t>臭气</w:t>
            </w:r>
            <w:r>
              <w:rPr>
                <w:rFonts w:ascii="宋体" w:hAnsi="宋体" w:eastAsia="宋体" w:cs="宋体"/>
                <w:spacing w:val="49"/>
                <w:sz w:val="21"/>
                <w:szCs w:val="21"/>
              </w:rPr>
              <w:t>猪尿猪粪</w:t>
            </w:r>
            <w:r>
              <w:rPr>
                <w:rFonts w:ascii="宋体" w:hAnsi="宋体" w:eastAsia="宋体" w:cs="宋体"/>
                <w:spacing w:val="-3"/>
                <w:sz w:val="21"/>
                <w:szCs w:val="21"/>
              </w:rPr>
              <w:t>病死猪</w:t>
            </w:r>
            <w:r>
              <w:rPr>
                <w:rFonts w:ascii="宋体" w:hAnsi="宋体" w:eastAsia="宋体" w:cs="宋体"/>
                <w:spacing w:val="-5"/>
                <w:sz w:val="21"/>
                <w:szCs w:val="21"/>
              </w:rPr>
              <w:t>噪声</w:t>
            </w:r>
          </w:p>
        </w:tc>
      </w:tr>
      <w:tr w14:paraId="63AC8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858" w:type="dxa"/>
            <w:vMerge w:val="continue"/>
            <w:tcBorders>
              <w:top w:val="nil"/>
              <w:bottom w:val="nil"/>
            </w:tcBorders>
            <w:vAlign w:val="top"/>
          </w:tcPr>
          <w:p w14:paraId="1468A5E6">
            <w:pPr>
              <w:rPr>
                <w:rFonts w:ascii="Arial"/>
                <w:sz w:val="21"/>
              </w:rPr>
            </w:pPr>
          </w:p>
        </w:tc>
        <w:tc>
          <w:tcPr>
            <w:tcW w:w="850" w:type="dxa"/>
            <w:vAlign w:val="top"/>
          </w:tcPr>
          <w:p w14:paraId="209065CB">
            <w:pPr>
              <w:spacing w:line="302" w:lineRule="auto"/>
              <w:rPr>
                <w:rFonts w:ascii="Arial"/>
                <w:sz w:val="21"/>
              </w:rPr>
            </w:pPr>
          </w:p>
          <w:p w14:paraId="19F64A12">
            <w:pPr>
              <w:spacing w:line="302" w:lineRule="auto"/>
              <w:rPr>
                <w:rFonts w:ascii="Arial"/>
                <w:sz w:val="21"/>
              </w:rPr>
            </w:pPr>
          </w:p>
          <w:p w14:paraId="4E2DCC3F">
            <w:pPr>
              <w:spacing w:before="69" w:line="219" w:lineRule="auto"/>
              <w:ind w:left="122"/>
              <w:rPr>
                <w:rFonts w:ascii="宋体" w:hAnsi="宋体" w:eastAsia="宋体" w:cs="宋体"/>
                <w:sz w:val="21"/>
                <w:szCs w:val="21"/>
              </w:rPr>
            </w:pPr>
            <w:r>
              <w:rPr>
                <w:rFonts w:ascii="宋体" w:hAnsi="宋体" w:eastAsia="宋体" w:cs="宋体"/>
                <w:spacing w:val="-4"/>
                <w:sz w:val="21"/>
                <w:szCs w:val="21"/>
              </w:rPr>
              <w:t>育肥楼</w:t>
            </w:r>
          </w:p>
        </w:tc>
        <w:tc>
          <w:tcPr>
            <w:tcW w:w="4814" w:type="dxa"/>
            <w:vAlign w:val="top"/>
          </w:tcPr>
          <w:p w14:paraId="38DBEDB3">
            <w:pPr>
              <w:pStyle w:val="6"/>
              <w:spacing w:before="38" w:line="263" w:lineRule="auto"/>
              <w:ind w:left="9" w:firstLine="16"/>
              <w:jc w:val="both"/>
              <w:rPr>
                <w:rFonts w:ascii="宋体" w:hAnsi="宋体" w:eastAsia="宋体" w:cs="宋体"/>
              </w:rPr>
            </w:pPr>
            <w:r>
              <w:rPr>
                <w:spacing w:val="-4"/>
              </w:rPr>
              <w:t xml:space="preserve">1 </w:t>
            </w:r>
            <w:r>
              <w:rPr>
                <w:rFonts w:ascii="宋体" w:hAnsi="宋体" w:eastAsia="宋体" w:cs="宋体"/>
                <w:spacing w:val="-4"/>
              </w:rPr>
              <w:t>栋，位于场地中部，占地面积</w:t>
            </w:r>
            <w:r>
              <w:rPr>
                <w:rFonts w:ascii="宋体" w:hAnsi="宋体" w:eastAsia="宋体" w:cs="宋体"/>
                <w:spacing w:val="-26"/>
              </w:rPr>
              <w:t xml:space="preserve"> </w:t>
            </w:r>
            <w:r>
              <w:rPr>
                <w:spacing w:val="-4"/>
              </w:rPr>
              <w:t>15328.</w:t>
            </w:r>
            <w:r>
              <w:rPr>
                <w:spacing w:val="-5"/>
              </w:rPr>
              <w:t>38m</w:t>
            </w:r>
            <w:r>
              <w:rPr>
                <w:spacing w:val="-5"/>
                <w:position w:val="9"/>
                <w:sz w:val="14"/>
                <w:szCs w:val="14"/>
              </w:rPr>
              <w:t>2</w:t>
            </w:r>
            <w:r>
              <w:rPr>
                <w:rFonts w:ascii="宋体" w:hAnsi="宋体" w:eastAsia="宋体" w:cs="宋体"/>
                <w:spacing w:val="-5"/>
              </w:rPr>
              <w:t>，东西向</w:t>
            </w:r>
            <w:r>
              <w:rPr>
                <w:rFonts w:ascii="宋体" w:hAnsi="宋体" w:eastAsia="宋体" w:cs="宋体"/>
                <w:spacing w:val="-6"/>
              </w:rPr>
              <w:t>布置，</w:t>
            </w:r>
            <w:r>
              <w:rPr>
                <w:spacing w:val="-6"/>
              </w:rPr>
              <w:t xml:space="preserve">3F </w:t>
            </w:r>
            <w:r>
              <w:rPr>
                <w:rFonts w:ascii="宋体" w:hAnsi="宋体" w:eastAsia="宋体" w:cs="宋体"/>
                <w:spacing w:val="-6"/>
              </w:rPr>
              <w:t>钢筋砼框架结构，每层栏位数量及平</w:t>
            </w:r>
            <w:r>
              <w:rPr>
                <w:rFonts w:ascii="宋体" w:hAnsi="宋体" w:eastAsia="宋体" w:cs="宋体"/>
                <w:spacing w:val="-7"/>
              </w:rPr>
              <w:t>面布置</w:t>
            </w:r>
            <w:r>
              <w:rPr>
                <w:rFonts w:ascii="宋体" w:hAnsi="宋体" w:eastAsia="宋体" w:cs="宋体"/>
                <w:spacing w:val="-4"/>
              </w:rPr>
              <w:t>均一致，育肥楼南侧设置升降平台以及坡道</w:t>
            </w:r>
            <w:r>
              <w:rPr>
                <w:rFonts w:ascii="宋体" w:hAnsi="宋体" w:eastAsia="宋体" w:cs="宋体"/>
                <w:spacing w:val="-5"/>
              </w:rPr>
              <w:t>连接</w:t>
            </w:r>
            <w:r>
              <w:rPr>
                <w:rFonts w:ascii="宋体" w:hAnsi="宋体" w:eastAsia="宋体" w:cs="宋体"/>
                <w:spacing w:val="-48"/>
              </w:rPr>
              <w:t xml:space="preserve"> </w:t>
            </w:r>
            <w:r>
              <w:rPr>
                <w:spacing w:val="-5"/>
              </w:rPr>
              <w:t>2F</w:t>
            </w:r>
            <w:r>
              <w:rPr>
                <w:rFonts w:ascii="宋体" w:hAnsi="宋体" w:eastAsia="宋体" w:cs="宋体"/>
                <w:spacing w:val="-5"/>
              </w:rPr>
              <w:t>、</w:t>
            </w:r>
            <w:r>
              <w:rPr>
                <w:rFonts w:ascii="宋体" w:hAnsi="宋体" w:eastAsia="宋体" w:cs="宋体"/>
              </w:rPr>
              <w:t xml:space="preserve"> </w:t>
            </w:r>
            <w:r>
              <w:rPr>
                <w:spacing w:val="-5"/>
              </w:rPr>
              <w:t>3F</w:t>
            </w:r>
            <w:r>
              <w:rPr>
                <w:rFonts w:ascii="宋体" w:hAnsi="宋体" w:eastAsia="宋体" w:cs="宋体"/>
                <w:spacing w:val="-5"/>
              </w:rPr>
              <w:t>；育肥楼高</w:t>
            </w:r>
            <w:r>
              <w:rPr>
                <w:rFonts w:ascii="宋体" w:hAnsi="宋体" w:eastAsia="宋体" w:cs="宋体"/>
                <w:spacing w:val="-12"/>
              </w:rPr>
              <w:t xml:space="preserve"> </w:t>
            </w:r>
            <w:r>
              <w:rPr>
                <w:spacing w:val="-5"/>
              </w:rPr>
              <w:t>12.5m</w:t>
            </w:r>
            <w:r>
              <w:rPr>
                <w:rFonts w:ascii="宋体" w:hAnsi="宋体" w:eastAsia="宋体" w:cs="宋体"/>
                <w:spacing w:val="-5"/>
              </w:rPr>
              <w:t>，建筑面积</w:t>
            </w:r>
            <w:r>
              <w:rPr>
                <w:rFonts w:ascii="宋体" w:hAnsi="宋体" w:eastAsia="宋体" w:cs="宋体"/>
                <w:spacing w:val="-50"/>
              </w:rPr>
              <w:t xml:space="preserve"> </w:t>
            </w:r>
            <w:r>
              <w:rPr>
                <w:spacing w:val="-5"/>
              </w:rPr>
              <w:t>45735m</w:t>
            </w:r>
            <w:r>
              <w:rPr>
                <w:spacing w:val="-5"/>
                <w:position w:val="9"/>
                <w:sz w:val="14"/>
                <w:szCs w:val="14"/>
              </w:rPr>
              <w:t>2</w:t>
            </w:r>
            <w:r>
              <w:rPr>
                <w:spacing w:val="-9"/>
                <w:position w:val="9"/>
                <w:sz w:val="14"/>
                <w:szCs w:val="14"/>
              </w:rPr>
              <w:t xml:space="preserve"> </w:t>
            </w:r>
            <w:r>
              <w:rPr>
                <w:rFonts w:ascii="宋体" w:hAnsi="宋体" w:eastAsia="宋体" w:cs="宋体"/>
                <w:spacing w:val="-5"/>
              </w:rPr>
              <w:t>，共分为</w:t>
            </w:r>
            <w:r>
              <w:rPr>
                <w:rFonts w:ascii="宋体" w:hAnsi="宋体" w:eastAsia="宋体" w:cs="宋体"/>
                <w:spacing w:val="-50"/>
              </w:rPr>
              <w:t xml:space="preserve"> </w:t>
            </w:r>
            <w:r>
              <w:rPr>
                <w:spacing w:val="-5"/>
              </w:rPr>
              <w:t>45</w:t>
            </w:r>
            <w:r>
              <w:rPr>
                <w:rFonts w:ascii="宋体" w:hAnsi="宋体" w:eastAsia="宋体" w:cs="宋体"/>
                <w:spacing w:val="-5"/>
              </w:rPr>
              <w:t>个单元，用于保育猪的生长育肥。</w:t>
            </w:r>
          </w:p>
        </w:tc>
        <w:tc>
          <w:tcPr>
            <w:tcW w:w="896" w:type="dxa"/>
            <w:vMerge w:val="continue"/>
            <w:tcBorders>
              <w:top w:val="nil"/>
              <w:bottom w:val="nil"/>
            </w:tcBorders>
            <w:vAlign w:val="top"/>
          </w:tcPr>
          <w:p w14:paraId="527FE496">
            <w:pPr>
              <w:rPr>
                <w:rFonts w:ascii="Arial"/>
                <w:sz w:val="21"/>
              </w:rPr>
            </w:pPr>
          </w:p>
        </w:tc>
        <w:tc>
          <w:tcPr>
            <w:tcW w:w="902" w:type="dxa"/>
            <w:vMerge w:val="continue"/>
            <w:tcBorders>
              <w:top w:val="nil"/>
              <w:bottom w:val="nil"/>
            </w:tcBorders>
            <w:vAlign w:val="top"/>
          </w:tcPr>
          <w:p w14:paraId="507B902A">
            <w:pPr>
              <w:rPr>
                <w:rFonts w:ascii="Arial"/>
                <w:sz w:val="21"/>
              </w:rPr>
            </w:pPr>
          </w:p>
        </w:tc>
      </w:tr>
      <w:tr w14:paraId="07851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Merge w:val="continue"/>
            <w:tcBorders>
              <w:top w:val="nil"/>
            </w:tcBorders>
            <w:vAlign w:val="top"/>
          </w:tcPr>
          <w:p w14:paraId="27B67BBE">
            <w:pPr>
              <w:rPr>
                <w:rFonts w:ascii="Arial"/>
                <w:sz w:val="21"/>
              </w:rPr>
            </w:pPr>
          </w:p>
        </w:tc>
        <w:tc>
          <w:tcPr>
            <w:tcW w:w="850" w:type="dxa"/>
            <w:vAlign w:val="top"/>
          </w:tcPr>
          <w:p w14:paraId="0C1F7D8B">
            <w:pPr>
              <w:spacing w:before="69" w:line="219" w:lineRule="auto"/>
              <w:ind w:left="122"/>
              <w:rPr>
                <w:rFonts w:ascii="宋体" w:hAnsi="宋体" w:eastAsia="宋体" w:cs="宋体"/>
                <w:sz w:val="21"/>
                <w:szCs w:val="21"/>
              </w:rPr>
            </w:pPr>
            <w:r>
              <w:rPr>
                <w:rFonts w:ascii="宋体" w:hAnsi="宋体" w:eastAsia="宋体" w:cs="宋体"/>
                <w:spacing w:val="-4"/>
                <w:sz w:val="21"/>
                <w:szCs w:val="21"/>
              </w:rPr>
              <w:t>育肥猪</w:t>
            </w:r>
          </w:p>
        </w:tc>
        <w:tc>
          <w:tcPr>
            <w:tcW w:w="4814" w:type="dxa"/>
            <w:vAlign w:val="top"/>
          </w:tcPr>
          <w:p w14:paraId="4D56E269">
            <w:pPr>
              <w:pStyle w:val="6"/>
              <w:spacing w:before="69" w:line="220" w:lineRule="auto"/>
              <w:ind w:left="26"/>
              <w:rPr>
                <w:rFonts w:ascii="宋体" w:hAnsi="宋体" w:eastAsia="宋体" w:cs="宋体"/>
              </w:rPr>
            </w:pPr>
            <w:r>
              <w:rPr>
                <w:spacing w:val="-5"/>
              </w:rPr>
              <w:t xml:space="preserve">1 </w:t>
            </w:r>
            <w:r>
              <w:rPr>
                <w:rFonts w:ascii="宋体" w:hAnsi="宋体" w:eastAsia="宋体" w:cs="宋体"/>
                <w:spacing w:val="-5"/>
              </w:rPr>
              <w:t>栋，位于场地东南侧，</w:t>
            </w:r>
            <w:r>
              <w:rPr>
                <w:spacing w:val="-5"/>
              </w:rPr>
              <w:t xml:space="preserve">1F </w:t>
            </w:r>
            <w:r>
              <w:rPr>
                <w:rFonts w:ascii="宋体" w:hAnsi="宋体" w:eastAsia="宋体" w:cs="宋体"/>
                <w:spacing w:val="-5"/>
              </w:rPr>
              <w:t>砖混结构，高</w:t>
            </w:r>
            <w:r>
              <w:rPr>
                <w:rFonts w:ascii="宋体" w:hAnsi="宋体" w:eastAsia="宋体" w:cs="宋体"/>
                <w:spacing w:val="-40"/>
              </w:rPr>
              <w:t xml:space="preserve"> </w:t>
            </w:r>
            <w:r>
              <w:rPr>
                <w:spacing w:val="-5"/>
              </w:rPr>
              <w:t>2.5m</w:t>
            </w:r>
            <w:r>
              <w:rPr>
                <w:rFonts w:ascii="宋体" w:hAnsi="宋体" w:eastAsia="宋体" w:cs="宋体"/>
                <w:spacing w:val="-5"/>
              </w:rPr>
              <w:t>，建筑</w:t>
            </w:r>
          </w:p>
        </w:tc>
        <w:tc>
          <w:tcPr>
            <w:tcW w:w="896" w:type="dxa"/>
            <w:vMerge w:val="continue"/>
            <w:tcBorders>
              <w:top w:val="nil"/>
            </w:tcBorders>
            <w:vAlign w:val="top"/>
          </w:tcPr>
          <w:p w14:paraId="7EF7FB65">
            <w:pPr>
              <w:rPr>
                <w:rFonts w:ascii="Arial"/>
                <w:sz w:val="21"/>
              </w:rPr>
            </w:pPr>
          </w:p>
        </w:tc>
        <w:tc>
          <w:tcPr>
            <w:tcW w:w="902" w:type="dxa"/>
            <w:vMerge w:val="continue"/>
            <w:tcBorders>
              <w:top w:val="nil"/>
            </w:tcBorders>
            <w:vAlign w:val="top"/>
          </w:tcPr>
          <w:p w14:paraId="365807CB">
            <w:pPr>
              <w:rPr>
                <w:rFonts w:ascii="Arial"/>
                <w:sz w:val="21"/>
              </w:rPr>
            </w:pPr>
          </w:p>
        </w:tc>
      </w:tr>
    </w:tbl>
    <w:p w14:paraId="3C0DE529">
      <w:pPr>
        <w:pStyle w:val="2"/>
        <w:spacing w:line="138" w:lineRule="exact"/>
        <w:rPr>
          <w:sz w:val="12"/>
        </w:rPr>
      </w:pPr>
    </w:p>
    <w:p w14:paraId="0E4699DD">
      <w:pPr>
        <w:spacing w:line="138" w:lineRule="exact"/>
        <w:rPr>
          <w:sz w:val="12"/>
          <w:szCs w:val="12"/>
        </w:rPr>
        <w:sectPr>
          <w:headerReference r:id="rId133" w:type="default"/>
          <w:footerReference r:id="rId134" w:type="default"/>
          <w:pgSz w:w="11905" w:h="16840"/>
          <w:pgMar w:top="1168" w:right="1731" w:bottom="1409" w:left="1770" w:header="828" w:footer="1244" w:gutter="0"/>
          <w:cols w:space="720" w:num="1"/>
        </w:sectPr>
      </w:pPr>
    </w:p>
    <w:p w14:paraId="54A6E3C4">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850"/>
        <w:gridCol w:w="4814"/>
        <w:gridCol w:w="896"/>
        <w:gridCol w:w="902"/>
      </w:tblGrid>
      <w:tr w14:paraId="3A3BA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Merge w:val="restart"/>
            <w:tcBorders>
              <w:bottom w:val="nil"/>
            </w:tcBorders>
            <w:vAlign w:val="top"/>
          </w:tcPr>
          <w:p w14:paraId="3678146E">
            <w:pPr>
              <w:spacing w:before="243" w:line="220" w:lineRule="auto"/>
              <w:ind w:left="17"/>
              <w:rPr>
                <w:rFonts w:ascii="宋体" w:hAnsi="宋体" w:eastAsia="宋体" w:cs="宋体"/>
                <w:sz w:val="21"/>
                <w:szCs w:val="21"/>
              </w:rPr>
            </w:pPr>
            <w:r>
              <w:rPr>
                <w:rFonts w:ascii="宋体" w:hAnsi="宋体" w:eastAsia="宋体" w:cs="宋体"/>
                <w:spacing w:val="-3"/>
                <w:sz w:val="21"/>
                <w:szCs w:val="21"/>
              </w:rPr>
              <w:t>工程类别</w:t>
            </w:r>
          </w:p>
        </w:tc>
        <w:tc>
          <w:tcPr>
            <w:tcW w:w="850" w:type="dxa"/>
            <w:vMerge w:val="restart"/>
            <w:tcBorders>
              <w:bottom w:val="nil"/>
            </w:tcBorders>
            <w:vAlign w:val="top"/>
          </w:tcPr>
          <w:p w14:paraId="29FA5312">
            <w:pPr>
              <w:spacing w:before="244" w:line="220" w:lineRule="auto"/>
              <w:jc w:val="right"/>
              <w:rPr>
                <w:rFonts w:ascii="宋体" w:hAnsi="宋体" w:eastAsia="宋体" w:cs="宋体"/>
                <w:sz w:val="21"/>
                <w:szCs w:val="21"/>
              </w:rPr>
            </w:pPr>
            <w:r>
              <w:rPr>
                <w:rFonts w:ascii="宋体" w:hAnsi="宋体" w:eastAsia="宋体" w:cs="宋体"/>
                <w:spacing w:val="-3"/>
                <w:sz w:val="21"/>
                <w:szCs w:val="21"/>
              </w:rPr>
              <w:t>工程名称</w:t>
            </w:r>
          </w:p>
        </w:tc>
        <w:tc>
          <w:tcPr>
            <w:tcW w:w="4814" w:type="dxa"/>
            <w:vMerge w:val="restart"/>
            <w:tcBorders>
              <w:bottom w:val="nil"/>
            </w:tcBorders>
            <w:vAlign w:val="top"/>
          </w:tcPr>
          <w:p w14:paraId="62DD9B43">
            <w:pPr>
              <w:spacing w:before="243" w:line="220" w:lineRule="auto"/>
              <w:ind w:left="1996"/>
              <w:rPr>
                <w:rFonts w:ascii="宋体" w:hAnsi="宋体" w:eastAsia="宋体" w:cs="宋体"/>
                <w:sz w:val="21"/>
                <w:szCs w:val="21"/>
              </w:rPr>
            </w:pPr>
            <w:r>
              <w:rPr>
                <w:rFonts w:ascii="宋体" w:hAnsi="宋体" w:eastAsia="宋体" w:cs="宋体"/>
                <w:spacing w:val="-3"/>
                <w:sz w:val="21"/>
                <w:szCs w:val="21"/>
              </w:rPr>
              <w:t>建设内容</w:t>
            </w:r>
          </w:p>
        </w:tc>
        <w:tc>
          <w:tcPr>
            <w:tcW w:w="1798" w:type="dxa"/>
            <w:gridSpan w:val="2"/>
            <w:vAlign w:val="top"/>
          </w:tcPr>
          <w:p w14:paraId="4FAADD1B">
            <w:pPr>
              <w:spacing w:before="69" w:line="220" w:lineRule="auto"/>
              <w:ind w:left="276"/>
              <w:rPr>
                <w:rFonts w:ascii="宋体" w:hAnsi="宋体" w:eastAsia="宋体" w:cs="宋体"/>
                <w:sz w:val="21"/>
                <w:szCs w:val="21"/>
              </w:rPr>
            </w:pPr>
            <w:r>
              <w:rPr>
                <w:rFonts w:ascii="宋体" w:hAnsi="宋体" w:eastAsia="宋体" w:cs="宋体"/>
                <w:spacing w:val="-2"/>
                <w:sz w:val="21"/>
                <w:szCs w:val="21"/>
              </w:rPr>
              <w:t>主要环境问题</w:t>
            </w:r>
          </w:p>
        </w:tc>
      </w:tr>
      <w:tr w14:paraId="6A6FD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bottom w:val="nil"/>
            </w:tcBorders>
            <w:vAlign w:val="top"/>
          </w:tcPr>
          <w:p w14:paraId="788D6A90">
            <w:pPr>
              <w:rPr>
                <w:rFonts w:ascii="Arial"/>
                <w:sz w:val="21"/>
              </w:rPr>
            </w:pPr>
          </w:p>
        </w:tc>
        <w:tc>
          <w:tcPr>
            <w:tcW w:w="850" w:type="dxa"/>
            <w:vMerge w:val="continue"/>
            <w:tcBorders>
              <w:top w:val="nil"/>
            </w:tcBorders>
            <w:vAlign w:val="top"/>
          </w:tcPr>
          <w:p w14:paraId="7D583696">
            <w:pPr>
              <w:rPr>
                <w:rFonts w:ascii="Arial"/>
                <w:sz w:val="21"/>
              </w:rPr>
            </w:pPr>
          </w:p>
        </w:tc>
        <w:tc>
          <w:tcPr>
            <w:tcW w:w="4814" w:type="dxa"/>
            <w:vMerge w:val="continue"/>
            <w:tcBorders>
              <w:top w:val="nil"/>
            </w:tcBorders>
            <w:vAlign w:val="top"/>
          </w:tcPr>
          <w:p w14:paraId="72CA2AF8">
            <w:pPr>
              <w:rPr>
                <w:rFonts w:ascii="Arial"/>
                <w:sz w:val="21"/>
              </w:rPr>
            </w:pPr>
          </w:p>
        </w:tc>
        <w:tc>
          <w:tcPr>
            <w:tcW w:w="896" w:type="dxa"/>
            <w:vAlign w:val="top"/>
          </w:tcPr>
          <w:p w14:paraId="2772EBC4">
            <w:pPr>
              <w:spacing w:before="64" w:line="220" w:lineRule="auto"/>
              <w:ind w:left="139"/>
              <w:rPr>
                <w:rFonts w:ascii="宋体" w:hAnsi="宋体" w:eastAsia="宋体" w:cs="宋体"/>
                <w:sz w:val="21"/>
                <w:szCs w:val="21"/>
              </w:rPr>
            </w:pPr>
            <w:r>
              <w:rPr>
                <w:rFonts w:ascii="宋体" w:hAnsi="宋体" w:eastAsia="宋体" w:cs="宋体"/>
                <w:spacing w:val="-2"/>
                <w:sz w:val="21"/>
                <w:szCs w:val="21"/>
              </w:rPr>
              <w:t>施工期</w:t>
            </w:r>
          </w:p>
        </w:tc>
        <w:tc>
          <w:tcPr>
            <w:tcW w:w="902" w:type="dxa"/>
            <w:vAlign w:val="top"/>
          </w:tcPr>
          <w:p w14:paraId="3F332BAF">
            <w:pPr>
              <w:spacing w:before="64" w:line="220" w:lineRule="auto"/>
              <w:ind w:left="141"/>
              <w:rPr>
                <w:rFonts w:ascii="宋体" w:hAnsi="宋体" w:eastAsia="宋体" w:cs="宋体"/>
                <w:sz w:val="21"/>
                <w:szCs w:val="21"/>
              </w:rPr>
            </w:pPr>
            <w:r>
              <w:rPr>
                <w:rFonts w:ascii="宋体" w:hAnsi="宋体" w:eastAsia="宋体" w:cs="宋体"/>
                <w:spacing w:val="-2"/>
                <w:sz w:val="21"/>
                <w:szCs w:val="21"/>
              </w:rPr>
              <w:t>运营期</w:t>
            </w:r>
          </w:p>
        </w:tc>
      </w:tr>
      <w:tr w14:paraId="0EC89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continue"/>
            <w:tcBorders>
              <w:top w:val="nil"/>
            </w:tcBorders>
            <w:vAlign w:val="top"/>
          </w:tcPr>
          <w:p w14:paraId="79A41099">
            <w:pPr>
              <w:rPr>
                <w:rFonts w:ascii="Arial"/>
                <w:sz w:val="21"/>
              </w:rPr>
            </w:pPr>
          </w:p>
        </w:tc>
        <w:tc>
          <w:tcPr>
            <w:tcW w:w="850" w:type="dxa"/>
            <w:vAlign w:val="top"/>
          </w:tcPr>
          <w:p w14:paraId="44C0DEB7">
            <w:pPr>
              <w:spacing w:before="51" w:line="220" w:lineRule="auto"/>
              <w:ind w:left="115"/>
              <w:rPr>
                <w:rFonts w:ascii="宋体" w:hAnsi="宋体" w:eastAsia="宋体" w:cs="宋体"/>
                <w:sz w:val="21"/>
                <w:szCs w:val="21"/>
              </w:rPr>
            </w:pPr>
            <w:r>
              <w:rPr>
                <w:rFonts w:ascii="宋体" w:hAnsi="宋体" w:eastAsia="宋体" w:cs="宋体"/>
                <w:spacing w:val="-3"/>
                <w:sz w:val="21"/>
                <w:szCs w:val="21"/>
              </w:rPr>
              <w:t>转猪舍</w:t>
            </w:r>
          </w:p>
        </w:tc>
        <w:tc>
          <w:tcPr>
            <w:tcW w:w="4814" w:type="dxa"/>
            <w:vAlign w:val="top"/>
          </w:tcPr>
          <w:p w14:paraId="2E009A54">
            <w:pPr>
              <w:pStyle w:val="6"/>
              <w:spacing w:before="35" w:line="225" w:lineRule="auto"/>
              <w:ind w:left="10"/>
              <w:rPr>
                <w:rFonts w:ascii="宋体" w:hAnsi="宋体" w:eastAsia="宋体" w:cs="宋体"/>
              </w:rPr>
            </w:pPr>
            <w:r>
              <w:rPr>
                <w:rFonts w:ascii="宋体" w:hAnsi="宋体" w:eastAsia="宋体" w:cs="宋体"/>
                <w:spacing w:val="-2"/>
              </w:rPr>
              <w:t>面积</w:t>
            </w:r>
            <w:r>
              <w:rPr>
                <w:rFonts w:ascii="宋体" w:hAnsi="宋体" w:eastAsia="宋体" w:cs="宋体"/>
                <w:spacing w:val="-45"/>
              </w:rPr>
              <w:t xml:space="preserve"> </w:t>
            </w:r>
            <w:r>
              <w:rPr>
                <w:spacing w:val="-2"/>
              </w:rPr>
              <w:t>260.45m</w:t>
            </w:r>
            <w:r>
              <w:rPr>
                <w:spacing w:val="-2"/>
                <w:position w:val="9"/>
                <w:sz w:val="14"/>
                <w:szCs w:val="14"/>
              </w:rPr>
              <w:t>2</w:t>
            </w:r>
            <w:r>
              <w:rPr>
                <w:rFonts w:ascii="宋体" w:hAnsi="宋体" w:eastAsia="宋体" w:cs="宋体"/>
                <w:spacing w:val="-2"/>
              </w:rPr>
              <w:t>，用于出栏育肥猪装车销售。</w:t>
            </w:r>
          </w:p>
        </w:tc>
        <w:tc>
          <w:tcPr>
            <w:tcW w:w="896" w:type="dxa"/>
            <w:vMerge w:val="restart"/>
            <w:tcBorders>
              <w:bottom w:val="nil"/>
            </w:tcBorders>
            <w:vAlign w:val="top"/>
          </w:tcPr>
          <w:p w14:paraId="3B56EF06">
            <w:pPr>
              <w:rPr>
                <w:rFonts w:ascii="Arial"/>
                <w:sz w:val="21"/>
              </w:rPr>
            </w:pPr>
          </w:p>
        </w:tc>
        <w:tc>
          <w:tcPr>
            <w:tcW w:w="902" w:type="dxa"/>
            <w:vAlign w:val="top"/>
          </w:tcPr>
          <w:p w14:paraId="4032FB46">
            <w:pPr>
              <w:rPr>
                <w:rFonts w:ascii="Arial"/>
                <w:sz w:val="21"/>
              </w:rPr>
            </w:pPr>
          </w:p>
        </w:tc>
      </w:tr>
      <w:tr w14:paraId="714FF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58" w:type="dxa"/>
            <w:vMerge w:val="restart"/>
            <w:tcBorders>
              <w:bottom w:val="nil"/>
            </w:tcBorders>
            <w:vAlign w:val="top"/>
          </w:tcPr>
          <w:p w14:paraId="18D15FEF">
            <w:pPr>
              <w:spacing w:line="242" w:lineRule="auto"/>
              <w:rPr>
                <w:rFonts w:ascii="Arial"/>
                <w:sz w:val="21"/>
              </w:rPr>
            </w:pPr>
          </w:p>
          <w:p w14:paraId="6DA9B71C">
            <w:pPr>
              <w:spacing w:line="242" w:lineRule="auto"/>
              <w:rPr>
                <w:rFonts w:ascii="Arial"/>
                <w:sz w:val="21"/>
              </w:rPr>
            </w:pPr>
          </w:p>
          <w:p w14:paraId="0304F342">
            <w:pPr>
              <w:spacing w:line="242" w:lineRule="auto"/>
              <w:rPr>
                <w:rFonts w:ascii="Arial"/>
                <w:sz w:val="21"/>
              </w:rPr>
            </w:pPr>
          </w:p>
          <w:p w14:paraId="5DB70544">
            <w:pPr>
              <w:spacing w:line="242" w:lineRule="auto"/>
              <w:rPr>
                <w:rFonts w:ascii="Arial"/>
                <w:sz w:val="21"/>
              </w:rPr>
            </w:pPr>
          </w:p>
          <w:p w14:paraId="04318108">
            <w:pPr>
              <w:spacing w:line="242" w:lineRule="auto"/>
              <w:rPr>
                <w:rFonts w:ascii="Arial"/>
                <w:sz w:val="21"/>
              </w:rPr>
            </w:pPr>
          </w:p>
          <w:p w14:paraId="33EB5A4C">
            <w:pPr>
              <w:spacing w:line="242" w:lineRule="auto"/>
              <w:rPr>
                <w:rFonts w:ascii="Arial"/>
                <w:sz w:val="21"/>
              </w:rPr>
            </w:pPr>
          </w:p>
          <w:p w14:paraId="7D2DE036">
            <w:pPr>
              <w:spacing w:line="242" w:lineRule="auto"/>
              <w:rPr>
                <w:rFonts w:ascii="Arial"/>
                <w:sz w:val="21"/>
              </w:rPr>
            </w:pPr>
          </w:p>
          <w:p w14:paraId="259B820C">
            <w:pPr>
              <w:spacing w:line="242" w:lineRule="auto"/>
              <w:rPr>
                <w:rFonts w:ascii="Arial"/>
                <w:sz w:val="21"/>
              </w:rPr>
            </w:pPr>
          </w:p>
          <w:p w14:paraId="54CD3D82">
            <w:pPr>
              <w:spacing w:line="242" w:lineRule="auto"/>
              <w:rPr>
                <w:rFonts w:ascii="Arial"/>
                <w:sz w:val="21"/>
              </w:rPr>
            </w:pPr>
          </w:p>
          <w:p w14:paraId="506B4EE7">
            <w:pPr>
              <w:spacing w:line="242" w:lineRule="auto"/>
              <w:rPr>
                <w:rFonts w:ascii="Arial"/>
                <w:sz w:val="21"/>
              </w:rPr>
            </w:pPr>
          </w:p>
          <w:p w14:paraId="1A0E8289">
            <w:pPr>
              <w:spacing w:line="243" w:lineRule="auto"/>
              <w:rPr>
                <w:rFonts w:ascii="Arial"/>
                <w:sz w:val="21"/>
              </w:rPr>
            </w:pPr>
          </w:p>
          <w:p w14:paraId="3ABE965F">
            <w:pPr>
              <w:spacing w:line="243" w:lineRule="auto"/>
              <w:rPr>
                <w:rFonts w:ascii="Arial"/>
                <w:sz w:val="21"/>
              </w:rPr>
            </w:pPr>
          </w:p>
          <w:p w14:paraId="79DF80E0">
            <w:pPr>
              <w:spacing w:line="243" w:lineRule="auto"/>
              <w:rPr>
                <w:rFonts w:ascii="Arial"/>
                <w:sz w:val="21"/>
              </w:rPr>
            </w:pPr>
          </w:p>
          <w:p w14:paraId="64C01A30">
            <w:pPr>
              <w:spacing w:line="243" w:lineRule="auto"/>
              <w:rPr>
                <w:rFonts w:ascii="Arial"/>
                <w:sz w:val="21"/>
              </w:rPr>
            </w:pPr>
          </w:p>
          <w:p w14:paraId="40DA582F">
            <w:pPr>
              <w:spacing w:line="243" w:lineRule="auto"/>
              <w:rPr>
                <w:rFonts w:ascii="Arial"/>
                <w:sz w:val="21"/>
              </w:rPr>
            </w:pPr>
          </w:p>
          <w:p w14:paraId="165C8CD3">
            <w:pPr>
              <w:spacing w:line="243" w:lineRule="auto"/>
              <w:rPr>
                <w:rFonts w:ascii="Arial"/>
                <w:sz w:val="21"/>
              </w:rPr>
            </w:pPr>
          </w:p>
          <w:p w14:paraId="79C7C94B">
            <w:pPr>
              <w:spacing w:line="243" w:lineRule="auto"/>
              <w:rPr>
                <w:rFonts w:ascii="Arial"/>
                <w:sz w:val="21"/>
              </w:rPr>
            </w:pPr>
          </w:p>
          <w:p w14:paraId="422CD71D">
            <w:pPr>
              <w:spacing w:line="243" w:lineRule="auto"/>
              <w:rPr>
                <w:rFonts w:ascii="Arial"/>
                <w:sz w:val="21"/>
              </w:rPr>
            </w:pPr>
          </w:p>
          <w:p w14:paraId="057A88A9">
            <w:pPr>
              <w:spacing w:before="68" w:line="220" w:lineRule="auto"/>
              <w:ind w:left="16"/>
              <w:rPr>
                <w:rFonts w:ascii="宋体" w:hAnsi="宋体" w:eastAsia="宋体" w:cs="宋体"/>
                <w:sz w:val="21"/>
                <w:szCs w:val="21"/>
              </w:rPr>
            </w:pPr>
            <w:r>
              <w:rPr>
                <w:rFonts w:ascii="宋体" w:hAnsi="宋体" w:eastAsia="宋体" w:cs="宋体"/>
                <w:spacing w:val="-2"/>
                <w:sz w:val="21"/>
                <w:szCs w:val="21"/>
              </w:rPr>
              <w:t>辅助工程</w:t>
            </w:r>
          </w:p>
        </w:tc>
        <w:tc>
          <w:tcPr>
            <w:tcW w:w="850" w:type="dxa"/>
            <w:vAlign w:val="top"/>
          </w:tcPr>
          <w:p w14:paraId="582AF019">
            <w:pPr>
              <w:spacing w:line="292" w:lineRule="auto"/>
              <w:rPr>
                <w:rFonts w:ascii="Arial"/>
                <w:sz w:val="21"/>
              </w:rPr>
            </w:pPr>
          </w:p>
          <w:p w14:paraId="7DDFF522">
            <w:pPr>
              <w:spacing w:before="69" w:line="220" w:lineRule="auto"/>
              <w:ind w:left="114"/>
              <w:rPr>
                <w:rFonts w:ascii="宋体" w:hAnsi="宋体" w:eastAsia="宋体" w:cs="宋体"/>
                <w:sz w:val="21"/>
                <w:szCs w:val="21"/>
              </w:rPr>
            </w:pPr>
            <w:r>
              <w:rPr>
                <w:rFonts w:ascii="宋体" w:hAnsi="宋体" w:eastAsia="宋体" w:cs="宋体"/>
                <w:spacing w:val="-2"/>
                <w:sz w:val="21"/>
                <w:szCs w:val="21"/>
              </w:rPr>
              <w:t>配电房</w:t>
            </w:r>
          </w:p>
        </w:tc>
        <w:tc>
          <w:tcPr>
            <w:tcW w:w="4814" w:type="dxa"/>
            <w:vAlign w:val="top"/>
          </w:tcPr>
          <w:p w14:paraId="47267A05">
            <w:pPr>
              <w:pStyle w:val="6"/>
              <w:spacing w:before="51" w:line="255" w:lineRule="auto"/>
              <w:ind w:left="11" w:firstLine="14"/>
              <w:jc w:val="both"/>
              <w:rPr>
                <w:rFonts w:ascii="宋体" w:hAnsi="宋体" w:eastAsia="宋体" w:cs="宋体"/>
              </w:rPr>
            </w:pPr>
            <w:r>
              <w:rPr>
                <w:spacing w:val="-1"/>
              </w:rPr>
              <w:t>1</w:t>
            </w:r>
            <w:r>
              <w:rPr>
                <w:spacing w:val="14"/>
              </w:rPr>
              <w:t xml:space="preserve">  </w:t>
            </w:r>
            <w:r>
              <w:rPr>
                <w:rFonts w:ascii="宋体" w:hAnsi="宋体" w:eastAsia="宋体" w:cs="宋体"/>
                <w:spacing w:val="-1"/>
              </w:rPr>
              <w:t>间，位于办公生活区的西南侧，</w:t>
            </w:r>
            <w:r>
              <w:rPr>
                <w:rFonts w:ascii="宋体" w:hAnsi="宋体" w:eastAsia="宋体" w:cs="宋体"/>
                <w:spacing w:val="-61"/>
              </w:rPr>
              <w:t xml:space="preserve"> </w:t>
            </w:r>
            <w:r>
              <w:rPr>
                <w:spacing w:val="-1"/>
              </w:rPr>
              <w:t xml:space="preserve">1F  </w:t>
            </w:r>
            <w:r>
              <w:rPr>
                <w:rFonts w:ascii="宋体" w:hAnsi="宋体" w:eastAsia="宋体" w:cs="宋体"/>
                <w:spacing w:val="-1"/>
              </w:rPr>
              <w:t>砖混结</w:t>
            </w:r>
            <w:r>
              <w:rPr>
                <w:rFonts w:ascii="宋体" w:hAnsi="宋体" w:eastAsia="宋体" w:cs="宋体"/>
                <w:spacing w:val="-2"/>
              </w:rPr>
              <w:t>构，高</w:t>
            </w:r>
            <w:r>
              <w:rPr>
                <w:spacing w:val="-1"/>
              </w:rPr>
              <w:t>5.2m</w:t>
            </w:r>
            <w:r>
              <w:rPr>
                <w:rFonts w:ascii="宋体" w:hAnsi="宋体" w:eastAsia="宋体" w:cs="宋体"/>
                <w:spacing w:val="-1"/>
              </w:rPr>
              <w:t xml:space="preserve">，建筑面积 </w:t>
            </w:r>
            <w:r>
              <w:rPr>
                <w:spacing w:val="-1"/>
              </w:rPr>
              <w:t>165.8m</w:t>
            </w:r>
            <w:r>
              <w:rPr>
                <w:spacing w:val="-1"/>
                <w:position w:val="9"/>
                <w:sz w:val="14"/>
                <w:szCs w:val="14"/>
              </w:rPr>
              <w:t>2</w:t>
            </w:r>
            <w:r>
              <w:rPr>
                <w:rFonts w:ascii="宋体" w:hAnsi="宋体" w:eastAsia="宋体" w:cs="宋体"/>
                <w:spacing w:val="-1"/>
              </w:rPr>
              <w:t>，设配电间、发电机室、储</w:t>
            </w:r>
            <w:r>
              <w:rPr>
                <w:rFonts w:ascii="宋体" w:hAnsi="宋体" w:eastAsia="宋体" w:cs="宋体"/>
                <w:spacing w:val="-4"/>
              </w:rPr>
              <w:t>油间，发电机室设</w:t>
            </w:r>
            <w:r>
              <w:rPr>
                <w:rFonts w:ascii="宋体" w:hAnsi="宋体" w:eastAsia="宋体" w:cs="宋体"/>
                <w:spacing w:val="-30"/>
              </w:rPr>
              <w:t xml:space="preserve"> </w:t>
            </w:r>
            <w:r>
              <w:rPr>
                <w:spacing w:val="-4"/>
              </w:rPr>
              <w:t>2</w:t>
            </w:r>
            <w:r>
              <w:rPr>
                <w:spacing w:val="25"/>
                <w:w w:val="101"/>
              </w:rPr>
              <w:t xml:space="preserve"> </w:t>
            </w:r>
            <w:r>
              <w:rPr>
                <w:rFonts w:ascii="宋体" w:hAnsi="宋体" w:eastAsia="宋体" w:cs="宋体"/>
                <w:spacing w:val="-4"/>
              </w:rPr>
              <w:t>台</w:t>
            </w:r>
            <w:r>
              <w:rPr>
                <w:rFonts w:ascii="宋体" w:hAnsi="宋体" w:eastAsia="宋体" w:cs="宋体"/>
                <w:spacing w:val="-43"/>
              </w:rPr>
              <w:t xml:space="preserve"> </w:t>
            </w:r>
            <w:r>
              <w:rPr>
                <w:spacing w:val="-4"/>
              </w:rPr>
              <w:t xml:space="preserve">500kW </w:t>
            </w:r>
            <w:r>
              <w:rPr>
                <w:rFonts w:ascii="宋体" w:hAnsi="宋体" w:eastAsia="宋体" w:cs="宋体"/>
                <w:spacing w:val="-4"/>
              </w:rPr>
              <w:t>柴油发电机组。</w:t>
            </w:r>
          </w:p>
        </w:tc>
        <w:tc>
          <w:tcPr>
            <w:tcW w:w="896" w:type="dxa"/>
            <w:vMerge w:val="continue"/>
            <w:tcBorders>
              <w:top w:val="nil"/>
              <w:bottom w:val="nil"/>
            </w:tcBorders>
            <w:vAlign w:val="top"/>
          </w:tcPr>
          <w:p w14:paraId="1702B82C">
            <w:pPr>
              <w:rPr>
                <w:rFonts w:ascii="Arial"/>
                <w:sz w:val="21"/>
              </w:rPr>
            </w:pPr>
          </w:p>
        </w:tc>
        <w:tc>
          <w:tcPr>
            <w:tcW w:w="902" w:type="dxa"/>
            <w:vAlign w:val="top"/>
          </w:tcPr>
          <w:p w14:paraId="75A59D15">
            <w:pPr>
              <w:spacing w:before="50" w:line="220" w:lineRule="auto"/>
              <w:ind w:left="246"/>
              <w:rPr>
                <w:rFonts w:ascii="宋体" w:hAnsi="宋体" w:eastAsia="宋体" w:cs="宋体"/>
                <w:sz w:val="21"/>
                <w:szCs w:val="21"/>
              </w:rPr>
            </w:pPr>
            <w:r>
              <w:rPr>
                <w:rFonts w:ascii="宋体" w:hAnsi="宋体" w:eastAsia="宋体" w:cs="宋体"/>
                <w:spacing w:val="-2"/>
                <w:sz w:val="21"/>
                <w:szCs w:val="21"/>
              </w:rPr>
              <w:t>废气</w:t>
            </w:r>
          </w:p>
          <w:p w14:paraId="2BC9AE00">
            <w:pPr>
              <w:spacing w:before="61" w:line="220" w:lineRule="auto"/>
              <w:ind w:left="257"/>
              <w:rPr>
                <w:rFonts w:ascii="宋体" w:hAnsi="宋体" w:eastAsia="宋体" w:cs="宋体"/>
                <w:sz w:val="21"/>
                <w:szCs w:val="21"/>
              </w:rPr>
            </w:pPr>
            <w:r>
              <w:rPr>
                <w:rFonts w:ascii="宋体" w:hAnsi="宋体" w:eastAsia="宋体" w:cs="宋体"/>
                <w:spacing w:val="-5"/>
                <w:sz w:val="21"/>
                <w:szCs w:val="21"/>
              </w:rPr>
              <w:t>噪声</w:t>
            </w:r>
          </w:p>
          <w:p w14:paraId="367C70D3">
            <w:pPr>
              <w:spacing w:before="61" w:line="220" w:lineRule="auto"/>
              <w:ind w:left="37"/>
              <w:rPr>
                <w:rFonts w:ascii="宋体" w:hAnsi="宋体" w:eastAsia="宋体" w:cs="宋体"/>
                <w:sz w:val="21"/>
                <w:szCs w:val="21"/>
              </w:rPr>
            </w:pPr>
            <w:r>
              <w:rPr>
                <w:rFonts w:ascii="宋体" w:hAnsi="宋体" w:eastAsia="宋体" w:cs="宋体"/>
                <w:spacing w:val="-2"/>
                <w:sz w:val="21"/>
                <w:szCs w:val="21"/>
              </w:rPr>
              <w:t>环境风险</w:t>
            </w:r>
          </w:p>
        </w:tc>
      </w:tr>
      <w:tr w14:paraId="76E85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858" w:type="dxa"/>
            <w:vMerge w:val="continue"/>
            <w:tcBorders>
              <w:top w:val="nil"/>
              <w:bottom w:val="nil"/>
            </w:tcBorders>
            <w:vAlign w:val="top"/>
          </w:tcPr>
          <w:p w14:paraId="78550D98">
            <w:pPr>
              <w:rPr>
                <w:rFonts w:ascii="Arial"/>
                <w:sz w:val="21"/>
              </w:rPr>
            </w:pPr>
          </w:p>
        </w:tc>
        <w:tc>
          <w:tcPr>
            <w:tcW w:w="850" w:type="dxa"/>
            <w:vAlign w:val="top"/>
          </w:tcPr>
          <w:p w14:paraId="443CE9F1">
            <w:pPr>
              <w:spacing w:line="294" w:lineRule="auto"/>
              <w:rPr>
                <w:rFonts w:ascii="Arial"/>
                <w:sz w:val="21"/>
              </w:rPr>
            </w:pPr>
          </w:p>
          <w:p w14:paraId="1124ECD5">
            <w:pPr>
              <w:spacing w:before="68" w:line="221" w:lineRule="auto"/>
              <w:ind w:left="113"/>
              <w:rPr>
                <w:rFonts w:ascii="宋体" w:hAnsi="宋体" w:eastAsia="宋体" w:cs="宋体"/>
                <w:sz w:val="21"/>
                <w:szCs w:val="21"/>
              </w:rPr>
            </w:pPr>
            <w:r>
              <w:rPr>
                <w:rFonts w:ascii="宋体" w:hAnsi="宋体" w:eastAsia="宋体" w:cs="宋体"/>
                <w:spacing w:val="-2"/>
                <w:sz w:val="21"/>
                <w:szCs w:val="21"/>
              </w:rPr>
              <w:t>洗消区</w:t>
            </w:r>
          </w:p>
        </w:tc>
        <w:tc>
          <w:tcPr>
            <w:tcW w:w="4814" w:type="dxa"/>
            <w:vAlign w:val="top"/>
          </w:tcPr>
          <w:p w14:paraId="6F6C9C8F">
            <w:pPr>
              <w:pStyle w:val="6"/>
              <w:spacing w:before="51" w:line="258" w:lineRule="auto"/>
              <w:ind w:left="9" w:hanging="4"/>
              <w:jc w:val="both"/>
              <w:rPr>
                <w:rFonts w:ascii="宋体" w:hAnsi="宋体" w:eastAsia="宋体" w:cs="宋体"/>
              </w:rPr>
            </w:pPr>
            <w:r>
              <w:rPr>
                <w:spacing w:val="-5"/>
              </w:rPr>
              <w:t>4</w:t>
            </w:r>
            <w:r>
              <w:rPr>
                <w:spacing w:val="22"/>
              </w:rPr>
              <w:t xml:space="preserve"> </w:t>
            </w:r>
            <w:r>
              <w:rPr>
                <w:rFonts w:ascii="宋体" w:hAnsi="宋体" w:eastAsia="宋体" w:cs="宋体"/>
                <w:spacing w:val="-5"/>
              </w:rPr>
              <w:t>处，设集中洗消房</w:t>
            </w:r>
            <w:r>
              <w:rPr>
                <w:rFonts w:ascii="宋体" w:hAnsi="宋体" w:eastAsia="宋体" w:cs="宋体"/>
                <w:spacing w:val="-22"/>
              </w:rPr>
              <w:t xml:space="preserve"> </w:t>
            </w:r>
            <w:r>
              <w:rPr>
                <w:spacing w:val="-5"/>
              </w:rPr>
              <w:t>1</w:t>
            </w:r>
            <w:r>
              <w:rPr>
                <w:spacing w:val="19"/>
                <w:w w:val="101"/>
              </w:rPr>
              <w:t xml:space="preserve"> </w:t>
            </w:r>
            <w:r>
              <w:rPr>
                <w:rFonts w:ascii="宋体" w:hAnsi="宋体" w:eastAsia="宋体" w:cs="宋体"/>
                <w:spacing w:val="-5"/>
              </w:rPr>
              <w:t xml:space="preserve">处、车辆洗消间 </w:t>
            </w:r>
            <w:r>
              <w:rPr>
                <w:spacing w:val="-5"/>
              </w:rPr>
              <w:t>3</w:t>
            </w:r>
            <w:r>
              <w:rPr>
                <w:spacing w:val="19"/>
                <w:w w:val="101"/>
              </w:rPr>
              <w:t xml:space="preserve"> </w:t>
            </w:r>
            <w:r>
              <w:rPr>
                <w:rFonts w:ascii="宋体" w:hAnsi="宋体" w:eastAsia="宋体" w:cs="宋体"/>
                <w:spacing w:val="-5"/>
              </w:rPr>
              <w:t>处，分别位</w:t>
            </w:r>
            <w:r>
              <w:rPr>
                <w:rFonts w:ascii="宋体" w:hAnsi="宋体" w:eastAsia="宋体" w:cs="宋体"/>
                <w:spacing w:val="-2"/>
              </w:rPr>
              <w:t>于办公生活区人员通道处、外勤区、出猪通道处、饲料进场通道，用于人员、车辆及物资消毒。</w:t>
            </w:r>
          </w:p>
        </w:tc>
        <w:tc>
          <w:tcPr>
            <w:tcW w:w="896" w:type="dxa"/>
            <w:vMerge w:val="continue"/>
            <w:tcBorders>
              <w:top w:val="nil"/>
              <w:bottom w:val="nil"/>
            </w:tcBorders>
            <w:vAlign w:val="top"/>
          </w:tcPr>
          <w:p w14:paraId="4DCEB062">
            <w:pPr>
              <w:rPr>
                <w:rFonts w:ascii="Arial"/>
                <w:sz w:val="21"/>
              </w:rPr>
            </w:pPr>
          </w:p>
        </w:tc>
        <w:tc>
          <w:tcPr>
            <w:tcW w:w="902" w:type="dxa"/>
            <w:vAlign w:val="top"/>
          </w:tcPr>
          <w:p w14:paraId="2A731E59">
            <w:pPr>
              <w:spacing w:line="334" w:lineRule="auto"/>
              <w:rPr>
                <w:rFonts w:ascii="Arial"/>
                <w:sz w:val="21"/>
              </w:rPr>
            </w:pPr>
          </w:p>
          <w:p w14:paraId="3968E558">
            <w:pPr>
              <w:pStyle w:val="6"/>
              <w:spacing w:before="60" w:line="192" w:lineRule="auto"/>
              <w:ind w:left="419"/>
            </w:pPr>
            <w:r>
              <w:t>/</w:t>
            </w:r>
          </w:p>
        </w:tc>
      </w:tr>
      <w:tr w14:paraId="1E5BD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58" w:type="dxa"/>
            <w:vMerge w:val="continue"/>
            <w:tcBorders>
              <w:top w:val="nil"/>
              <w:bottom w:val="nil"/>
            </w:tcBorders>
            <w:vAlign w:val="top"/>
          </w:tcPr>
          <w:p w14:paraId="3D859A0F">
            <w:pPr>
              <w:rPr>
                <w:rFonts w:ascii="Arial"/>
                <w:sz w:val="21"/>
              </w:rPr>
            </w:pPr>
          </w:p>
        </w:tc>
        <w:tc>
          <w:tcPr>
            <w:tcW w:w="850" w:type="dxa"/>
            <w:vAlign w:val="top"/>
          </w:tcPr>
          <w:p w14:paraId="02F14ACB">
            <w:pPr>
              <w:spacing w:line="301" w:lineRule="auto"/>
              <w:rPr>
                <w:rFonts w:ascii="Arial"/>
                <w:sz w:val="21"/>
              </w:rPr>
            </w:pPr>
          </w:p>
          <w:p w14:paraId="573C290F">
            <w:pPr>
              <w:spacing w:line="302" w:lineRule="auto"/>
              <w:rPr>
                <w:rFonts w:ascii="Arial"/>
                <w:sz w:val="21"/>
              </w:rPr>
            </w:pPr>
          </w:p>
          <w:p w14:paraId="18C6C127">
            <w:pPr>
              <w:spacing w:before="68" w:line="220" w:lineRule="auto"/>
              <w:ind w:left="118"/>
              <w:rPr>
                <w:rFonts w:ascii="宋体" w:hAnsi="宋体" w:eastAsia="宋体" w:cs="宋体"/>
                <w:sz w:val="21"/>
                <w:szCs w:val="21"/>
              </w:rPr>
            </w:pPr>
            <w:r>
              <w:rPr>
                <w:rFonts w:ascii="宋体" w:hAnsi="宋体" w:eastAsia="宋体" w:cs="宋体"/>
                <w:spacing w:val="-3"/>
                <w:sz w:val="21"/>
                <w:szCs w:val="21"/>
              </w:rPr>
              <w:t>打料区</w:t>
            </w:r>
          </w:p>
        </w:tc>
        <w:tc>
          <w:tcPr>
            <w:tcW w:w="4814" w:type="dxa"/>
            <w:vAlign w:val="top"/>
          </w:tcPr>
          <w:p w14:paraId="3EBF3B4B">
            <w:pPr>
              <w:pStyle w:val="6"/>
              <w:spacing w:before="52" w:line="264" w:lineRule="auto"/>
              <w:ind w:left="9"/>
              <w:jc w:val="both"/>
              <w:rPr>
                <w:rFonts w:ascii="宋体" w:hAnsi="宋体" w:eastAsia="宋体" w:cs="宋体"/>
              </w:rPr>
            </w:pPr>
            <w:r>
              <w:rPr>
                <w:rFonts w:ascii="宋体" w:hAnsi="宋体" w:eastAsia="宋体" w:cs="宋体"/>
                <w:spacing w:val="-2"/>
              </w:rPr>
              <w:t>位于育肥楼西北侧，饲料车在打料区将颗粒饲料输送至料塔储存，共</w:t>
            </w:r>
            <w:r>
              <w:rPr>
                <w:rFonts w:ascii="宋体" w:hAnsi="宋体" w:eastAsia="宋体" w:cs="宋体"/>
                <w:spacing w:val="-23"/>
              </w:rPr>
              <w:t xml:space="preserve"> </w:t>
            </w:r>
            <w:r>
              <w:rPr>
                <w:spacing w:val="-2"/>
              </w:rPr>
              <w:t>21</w:t>
            </w:r>
            <w:r>
              <w:rPr>
                <w:spacing w:val="30"/>
              </w:rPr>
              <w:t xml:space="preserve"> </w:t>
            </w:r>
            <w:r>
              <w:rPr>
                <w:rFonts w:ascii="宋体" w:hAnsi="宋体" w:eastAsia="宋体" w:cs="宋体"/>
                <w:spacing w:val="-2"/>
              </w:rPr>
              <w:t>个料塔，打料区北侧设</w:t>
            </w:r>
            <w:r>
              <w:rPr>
                <w:rFonts w:ascii="宋体" w:hAnsi="宋体" w:eastAsia="宋体" w:cs="宋体"/>
                <w:spacing w:val="-23"/>
              </w:rPr>
              <w:t xml:space="preserve"> </w:t>
            </w:r>
            <w:r>
              <w:rPr>
                <w:spacing w:val="-2"/>
              </w:rPr>
              <w:t>6</w:t>
            </w:r>
            <w:r>
              <w:rPr>
                <w:spacing w:val="29"/>
                <w:w w:val="101"/>
              </w:rPr>
              <w:t xml:space="preserve"> </w:t>
            </w:r>
            <w:r>
              <w:rPr>
                <w:rFonts w:ascii="宋体" w:hAnsi="宋体" w:eastAsia="宋体" w:cs="宋体"/>
                <w:spacing w:val="-2"/>
              </w:rPr>
              <w:t>个保育</w:t>
            </w:r>
            <w:r>
              <w:rPr>
                <w:rFonts w:ascii="宋体" w:hAnsi="宋体" w:eastAsia="宋体" w:cs="宋体"/>
                <w:spacing w:val="-3"/>
              </w:rPr>
              <w:t>料塔，规格</w:t>
            </w:r>
            <w:r>
              <w:rPr>
                <w:rFonts w:ascii="宋体" w:hAnsi="宋体" w:eastAsia="宋体" w:cs="宋体"/>
                <w:spacing w:val="-39"/>
              </w:rPr>
              <w:t xml:space="preserve"> </w:t>
            </w:r>
            <w:r>
              <w:rPr>
                <w:spacing w:val="-3"/>
              </w:rPr>
              <w:t>20t</w:t>
            </w:r>
            <w:r>
              <w:rPr>
                <w:rFonts w:ascii="宋体" w:hAnsi="宋体" w:eastAsia="宋体" w:cs="宋体"/>
                <w:spacing w:val="-3"/>
              </w:rPr>
              <w:t>；打料区南侧设</w:t>
            </w:r>
            <w:r>
              <w:rPr>
                <w:rFonts w:ascii="宋体" w:hAnsi="宋体" w:eastAsia="宋体" w:cs="宋体"/>
                <w:spacing w:val="-28"/>
              </w:rPr>
              <w:t xml:space="preserve"> </w:t>
            </w:r>
            <w:r>
              <w:rPr>
                <w:spacing w:val="-3"/>
              </w:rPr>
              <w:t xml:space="preserve">15 </w:t>
            </w:r>
            <w:r>
              <w:rPr>
                <w:rFonts w:ascii="宋体" w:hAnsi="宋体" w:eastAsia="宋体" w:cs="宋体"/>
                <w:spacing w:val="-3"/>
              </w:rPr>
              <w:t>个育肥料塔，规格</w:t>
            </w:r>
            <w:r>
              <w:rPr>
                <w:spacing w:val="-4"/>
              </w:rPr>
              <w:t>32t</w:t>
            </w:r>
            <w:r>
              <w:rPr>
                <w:rFonts w:ascii="宋体" w:hAnsi="宋体" w:eastAsia="宋体" w:cs="宋体"/>
                <w:spacing w:val="-4"/>
              </w:rPr>
              <w:t>；通过电机、筛盘将料塔内的饲料输送至猪舍内各</w:t>
            </w:r>
            <w:r>
              <w:rPr>
                <w:rFonts w:ascii="宋体" w:hAnsi="宋体" w:eastAsia="宋体" w:cs="宋体"/>
                <w:spacing w:val="-8"/>
              </w:rPr>
              <w:t>个食槽。</w:t>
            </w:r>
          </w:p>
        </w:tc>
        <w:tc>
          <w:tcPr>
            <w:tcW w:w="896" w:type="dxa"/>
            <w:vMerge w:val="continue"/>
            <w:tcBorders>
              <w:top w:val="nil"/>
              <w:bottom w:val="nil"/>
            </w:tcBorders>
            <w:vAlign w:val="top"/>
          </w:tcPr>
          <w:p w14:paraId="69746DC5">
            <w:pPr>
              <w:rPr>
                <w:rFonts w:ascii="Arial"/>
                <w:sz w:val="21"/>
              </w:rPr>
            </w:pPr>
          </w:p>
        </w:tc>
        <w:tc>
          <w:tcPr>
            <w:tcW w:w="902" w:type="dxa"/>
            <w:vAlign w:val="top"/>
          </w:tcPr>
          <w:p w14:paraId="34CE37BD">
            <w:pPr>
              <w:spacing w:line="321" w:lineRule="auto"/>
              <w:rPr>
                <w:rFonts w:ascii="Arial"/>
                <w:sz w:val="21"/>
              </w:rPr>
            </w:pPr>
          </w:p>
          <w:p w14:paraId="4F47779F">
            <w:pPr>
              <w:spacing w:line="322" w:lineRule="auto"/>
              <w:rPr>
                <w:rFonts w:ascii="Arial"/>
                <w:sz w:val="21"/>
              </w:rPr>
            </w:pPr>
          </w:p>
          <w:p w14:paraId="5748CC44">
            <w:pPr>
              <w:pStyle w:val="6"/>
              <w:spacing w:before="60" w:line="192" w:lineRule="auto"/>
              <w:ind w:left="419"/>
            </w:pPr>
            <w:r>
              <w:t>/</w:t>
            </w:r>
          </w:p>
        </w:tc>
      </w:tr>
      <w:tr w14:paraId="584FC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8" w:type="dxa"/>
            <w:vMerge w:val="continue"/>
            <w:tcBorders>
              <w:top w:val="nil"/>
              <w:bottom w:val="nil"/>
            </w:tcBorders>
            <w:vAlign w:val="top"/>
          </w:tcPr>
          <w:p w14:paraId="055CA995">
            <w:pPr>
              <w:rPr>
                <w:rFonts w:ascii="Arial"/>
                <w:sz w:val="21"/>
              </w:rPr>
            </w:pPr>
          </w:p>
        </w:tc>
        <w:tc>
          <w:tcPr>
            <w:tcW w:w="850" w:type="dxa"/>
            <w:vAlign w:val="top"/>
          </w:tcPr>
          <w:p w14:paraId="0F2E82E0">
            <w:pPr>
              <w:spacing w:before="207" w:line="219" w:lineRule="auto"/>
              <w:ind w:left="118"/>
              <w:rPr>
                <w:rFonts w:ascii="宋体" w:hAnsi="宋体" w:eastAsia="宋体" w:cs="宋体"/>
                <w:sz w:val="21"/>
                <w:szCs w:val="21"/>
              </w:rPr>
            </w:pPr>
            <w:r>
              <w:rPr>
                <w:rFonts w:ascii="宋体" w:hAnsi="宋体" w:eastAsia="宋体" w:cs="宋体"/>
                <w:spacing w:val="-3"/>
                <w:sz w:val="21"/>
                <w:szCs w:val="21"/>
              </w:rPr>
              <w:t>外勤区</w:t>
            </w:r>
          </w:p>
        </w:tc>
        <w:tc>
          <w:tcPr>
            <w:tcW w:w="4814" w:type="dxa"/>
            <w:vAlign w:val="top"/>
          </w:tcPr>
          <w:p w14:paraId="1AA42D60">
            <w:pPr>
              <w:pStyle w:val="6"/>
              <w:spacing w:before="52" w:line="249" w:lineRule="auto"/>
              <w:ind w:left="13" w:firstLine="13"/>
              <w:rPr>
                <w:rFonts w:ascii="宋体" w:hAnsi="宋体" w:eastAsia="宋体" w:cs="宋体"/>
              </w:rPr>
            </w:pPr>
            <w:r>
              <w:rPr>
                <w:spacing w:val="-2"/>
              </w:rPr>
              <w:t>1</w:t>
            </w:r>
            <w:r>
              <w:rPr>
                <w:spacing w:val="50"/>
              </w:rPr>
              <w:t xml:space="preserve"> </w:t>
            </w:r>
            <w:r>
              <w:rPr>
                <w:rFonts w:ascii="宋体" w:hAnsi="宋体" w:eastAsia="宋体" w:cs="宋体"/>
                <w:spacing w:val="-2"/>
              </w:rPr>
              <w:t>处，位于场地外西北侧，设洗车房、休息间等，用于饲料车、仔猪运输车辆、进场人员及物资的消毒。</w:t>
            </w:r>
          </w:p>
        </w:tc>
        <w:tc>
          <w:tcPr>
            <w:tcW w:w="896" w:type="dxa"/>
            <w:vMerge w:val="continue"/>
            <w:tcBorders>
              <w:top w:val="nil"/>
              <w:bottom w:val="nil"/>
            </w:tcBorders>
            <w:vAlign w:val="top"/>
          </w:tcPr>
          <w:p w14:paraId="2F98433D">
            <w:pPr>
              <w:rPr>
                <w:rFonts w:ascii="Arial"/>
                <w:sz w:val="21"/>
              </w:rPr>
            </w:pPr>
          </w:p>
        </w:tc>
        <w:tc>
          <w:tcPr>
            <w:tcW w:w="902" w:type="dxa"/>
            <w:vAlign w:val="top"/>
          </w:tcPr>
          <w:p w14:paraId="33746938">
            <w:pPr>
              <w:pStyle w:val="6"/>
              <w:spacing w:before="240" w:line="192" w:lineRule="auto"/>
              <w:ind w:left="419"/>
            </w:pPr>
            <w:r>
              <w:t>/</w:t>
            </w:r>
          </w:p>
        </w:tc>
      </w:tr>
      <w:tr w14:paraId="6D463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58" w:type="dxa"/>
            <w:vMerge w:val="continue"/>
            <w:tcBorders>
              <w:top w:val="nil"/>
              <w:bottom w:val="nil"/>
            </w:tcBorders>
            <w:vAlign w:val="top"/>
          </w:tcPr>
          <w:p w14:paraId="26539413">
            <w:pPr>
              <w:rPr>
                <w:rFonts w:ascii="Arial"/>
                <w:sz w:val="21"/>
              </w:rPr>
            </w:pPr>
          </w:p>
        </w:tc>
        <w:tc>
          <w:tcPr>
            <w:tcW w:w="850" w:type="dxa"/>
            <w:vAlign w:val="top"/>
          </w:tcPr>
          <w:p w14:paraId="6612716D">
            <w:pPr>
              <w:spacing w:before="207" w:line="220" w:lineRule="auto"/>
              <w:ind w:left="221"/>
              <w:rPr>
                <w:rFonts w:ascii="宋体" w:hAnsi="宋体" w:eastAsia="宋体" w:cs="宋体"/>
                <w:sz w:val="21"/>
                <w:szCs w:val="21"/>
              </w:rPr>
            </w:pPr>
            <w:r>
              <w:rPr>
                <w:rFonts w:ascii="宋体" w:hAnsi="宋体" w:eastAsia="宋体" w:cs="宋体"/>
                <w:spacing w:val="-3"/>
                <w:sz w:val="21"/>
                <w:szCs w:val="21"/>
              </w:rPr>
              <w:t>库房</w:t>
            </w:r>
          </w:p>
        </w:tc>
        <w:tc>
          <w:tcPr>
            <w:tcW w:w="4814" w:type="dxa"/>
            <w:vAlign w:val="top"/>
          </w:tcPr>
          <w:p w14:paraId="3B4A1098">
            <w:pPr>
              <w:spacing w:before="53" w:line="249" w:lineRule="auto"/>
              <w:ind w:left="26" w:right="1" w:hanging="17"/>
              <w:rPr>
                <w:rFonts w:ascii="宋体" w:hAnsi="宋体" w:eastAsia="宋体" w:cs="宋体"/>
                <w:sz w:val="21"/>
                <w:szCs w:val="21"/>
              </w:rPr>
            </w:pPr>
            <w:r>
              <w:rPr>
                <w:rFonts w:ascii="宋体" w:hAnsi="宋体" w:eastAsia="宋体" w:cs="宋体"/>
                <w:spacing w:val="-2"/>
                <w:sz w:val="21"/>
                <w:szCs w:val="21"/>
              </w:rPr>
              <w:t>在洗消区设库房，在保育楼、育肥楼处均设物料储存</w:t>
            </w:r>
            <w:r>
              <w:rPr>
                <w:rFonts w:ascii="宋体" w:hAnsi="宋体" w:eastAsia="宋体" w:cs="宋体"/>
                <w:spacing w:val="-3"/>
                <w:sz w:val="21"/>
                <w:szCs w:val="21"/>
              </w:rPr>
              <w:t>间，用于储存药品、消毒器材及生产物资等。</w:t>
            </w:r>
          </w:p>
        </w:tc>
        <w:tc>
          <w:tcPr>
            <w:tcW w:w="896" w:type="dxa"/>
            <w:vMerge w:val="continue"/>
            <w:tcBorders>
              <w:top w:val="nil"/>
              <w:bottom w:val="nil"/>
            </w:tcBorders>
            <w:vAlign w:val="top"/>
          </w:tcPr>
          <w:p w14:paraId="2A2890DC">
            <w:pPr>
              <w:rPr>
                <w:rFonts w:ascii="Arial"/>
                <w:sz w:val="21"/>
              </w:rPr>
            </w:pPr>
          </w:p>
        </w:tc>
        <w:tc>
          <w:tcPr>
            <w:tcW w:w="902" w:type="dxa"/>
            <w:vAlign w:val="top"/>
          </w:tcPr>
          <w:p w14:paraId="28D62032">
            <w:pPr>
              <w:pStyle w:val="6"/>
              <w:spacing w:before="240" w:line="192" w:lineRule="auto"/>
              <w:ind w:left="419"/>
            </w:pPr>
            <w:r>
              <w:t>/</w:t>
            </w:r>
          </w:p>
        </w:tc>
      </w:tr>
      <w:tr w14:paraId="70E35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Merge w:val="continue"/>
            <w:tcBorders>
              <w:top w:val="nil"/>
              <w:bottom w:val="nil"/>
            </w:tcBorders>
            <w:vAlign w:val="top"/>
          </w:tcPr>
          <w:p w14:paraId="759702C1">
            <w:pPr>
              <w:rPr>
                <w:rFonts w:ascii="Arial"/>
                <w:sz w:val="21"/>
              </w:rPr>
            </w:pPr>
          </w:p>
        </w:tc>
        <w:tc>
          <w:tcPr>
            <w:tcW w:w="850" w:type="dxa"/>
            <w:vAlign w:val="top"/>
          </w:tcPr>
          <w:p w14:paraId="126A3C88">
            <w:pPr>
              <w:spacing w:before="206" w:line="220" w:lineRule="auto"/>
              <w:ind w:left="123"/>
              <w:rPr>
                <w:rFonts w:ascii="宋体" w:hAnsi="宋体" w:eastAsia="宋体" w:cs="宋体"/>
                <w:sz w:val="21"/>
                <w:szCs w:val="21"/>
              </w:rPr>
            </w:pPr>
            <w:r>
              <w:rPr>
                <w:rFonts w:ascii="宋体" w:hAnsi="宋体" w:eastAsia="宋体" w:cs="宋体"/>
                <w:spacing w:val="-4"/>
                <w:sz w:val="21"/>
                <w:szCs w:val="21"/>
              </w:rPr>
              <w:t>蓄水池</w:t>
            </w:r>
          </w:p>
        </w:tc>
        <w:tc>
          <w:tcPr>
            <w:tcW w:w="4814" w:type="dxa"/>
            <w:vAlign w:val="top"/>
          </w:tcPr>
          <w:p w14:paraId="6D9B07B2">
            <w:pPr>
              <w:pStyle w:val="6"/>
              <w:spacing w:before="35" w:line="252" w:lineRule="auto"/>
              <w:ind w:left="18" w:right="16" w:hanging="13"/>
              <w:rPr>
                <w:rFonts w:ascii="宋体" w:hAnsi="宋体" w:eastAsia="宋体" w:cs="宋体"/>
              </w:rPr>
            </w:pPr>
            <w:r>
              <w:rPr>
                <w:spacing w:val="-2"/>
              </w:rPr>
              <w:t>4</w:t>
            </w:r>
            <w:r>
              <w:rPr>
                <w:spacing w:val="39"/>
                <w:w w:val="101"/>
              </w:rPr>
              <w:t xml:space="preserve"> </w:t>
            </w:r>
            <w:r>
              <w:rPr>
                <w:rFonts w:ascii="宋体" w:hAnsi="宋体" w:eastAsia="宋体" w:cs="宋体"/>
                <w:spacing w:val="-2"/>
              </w:rPr>
              <w:t xml:space="preserve">座，位于场地北侧，容积 </w:t>
            </w:r>
            <w:r>
              <w:rPr>
                <w:spacing w:val="-2"/>
              </w:rPr>
              <w:t>600m</w:t>
            </w:r>
            <w:r>
              <w:rPr>
                <w:spacing w:val="-2"/>
                <w:position w:val="9"/>
                <w:sz w:val="14"/>
                <w:szCs w:val="14"/>
              </w:rPr>
              <w:t>3</w:t>
            </w:r>
            <w:r>
              <w:rPr>
                <w:rFonts w:ascii="宋体" w:hAnsi="宋体" w:eastAsia="宋体" w:cs="宋体"/>
                <w:spacing w:val="-2"/>
              </w:rPr>
              <w:t>，用于地下井</w:t>
            </w:r>
            <w:r>
              <w:rPr>
                <w:rFonts w:ascii="宋体" w:hAnsi="宋体" w:eastAsia="宋体" w:cs="宋体"/>
                <w:spacing w:val="-3"/>
              </w:rPr>
              <w:t>水的蓄水，作为场区养殖及生活用水。</w:t>
            </w:r>
          </w:p>
        </w:tc>
        <w:tc>
          <w:tcPr>
            <w:tcW w:w="896" w:type="dxa"/>
            <w:vMerge w:val="continue"/>
            <w:tcBorders>
              <w:top w:val="nil"/>
              <w:bottom w:val="nil"/>
            </w:tcBorders>
            <w:vAlign w:val="top"/>
          </w:tcPr>
          <w:p w14:paraId="13E35F11">
            <w:pPr>
              <w:rPr>
                <w:rFonts w:ascii="Arial"/>
                <w:sz w:val="21"/>
              </w:rPr>
            </w:pPr>
          </w:p>
        </w:tc>
        <w:tc>
          <w:tcPr>
            <w:tcW w:w="902" w:type="dxa"/>
            <w:vAlign w:val="top"/>
          </w:tcPr>
          <w:p w14:paraId="1C3E9847">
            <w:pPr>
              <w:pStyle w:val="6"/>
              <w:spacing w:before="239" w:line="192" w:lineRule="auto"/>
              <w:ind w:left="419"/>
            </w:pPr>
            <w:r>
              <w:t>/</w:t>
            </w:r>
          </w:p>
        </w:tc>
      </w:tr>
      <w:tr w14:paraId="5B162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58" w:type="dxa"/>
            <w:vMerge w:val="continue"/>
            <w:tcBorders>
              <w:top w:val="nil"/>
              <w:bottom w:val="nil"/>
            </w:tcBorders>
            <w:vAlign w:val="top"/>
          </w:tcPr>
          <w:p w14:paraId="5C35E5A7">
            <w:pPr>
              <w:rPr>
                <w:rFonts w:ascii="Arial"/>
                <w:sz w:val="21"/>
              </w:rPr>
            </w:pPr>
          </w:p>
        </w:tc>
        <w:tc>
          <w:tcPr>
            <w:tcW w:w="850" w:type="dxa"/>
            <w:vAlign w:val="top"/>
          </w:tcPr>
          <w:p w14:paraId="6C3B0BDA">
            <w:pPr>
              <w:spacing w:line="293" w:lineRule="auto"/>
              <w:rPr>
                <w:rFonts w:ascii="Arial"/>
                <w:sz w:val="21"/>
              </w:rPr>
            </w:pPr>
          </w:p>
          <w:p w14:paraId="79941561">
            <w:pPr>
              <w:spacing w:before="68" w:line="220" w:lineRule="auto"/>
              <w:ind w:left="115"/>
              <w:rPr>
                <w:rFonts w:ascii="宋体" w:hAnsi="宋体" w:eastAsia="宋体" w:cs="宋体"/>
                <w:sz w:val="21"/>
                <w:szCs w:val="21"/>
              </w:rPr>
            </w:pPr>
            <w:r>
              <w:rPr>
                <w:rFonts w:ascii="宋体" w:hAnsi="宋体" w:eastAsia="宋体" w:cs="宋体"/>
                <w:spacing w:val="-3"/>
                <w:sz w:val="21"/>
                <w:szCs w:val="21"/>
              </w:rPr>
              <w:t>堆粪棚</w:t>
            </w:r>
          </w:p>
        </w:tc>
        <w:tc>
          <w:tcPr>
            <w:tcW w:w="4814" w:type="dxa"/>
            <w:vAlign w:val="top"/>
          </w:tcPr>
          <w:p w14:paraId="58B40713">
            <w:pPr>
              <w:pStyle w:val="6"/>
              <w:spacing w:before="51" w:line="255" w:lineRule="auto"/>
              <w:ind w:left="8" w:firstLine="1"/>
              <w:jc w:val="both"/>
              <w:rPr>
                <w:rFonts w:ascii="宋体" w:hAnsi="宋体" w:eastAsia="宋体" w:cs="宋体"/>
              </w:rPr>
            </w:pPr>
            <w:r>
              <w:rPr>
                <w:rFonts w:ascii="宋体" w:hAnsi="宋体" w:eastAsia="宋体" w:cs="宋体"/>
                <w:spacing w:val="10"/>
              </w:rPr>
              <w:t>拟在育肥楼的西南侧设置</w:t>
            </w:r>
            <w:r>
              <w:rPr>
                <w:rFonts w:ascii="宋体" w:hAnsi="宋体" w:eastAsia="宋体" w:cs="宋体"/>
                <w:spacing w:val="53"/>
              </w:rPr>
              <w:t xml:space="preserve"> </w:t>
            </w:r>
            <w:r>
              <w:rPr>
                <w:spacing w:val="10"/>
              </w:rPr>
              <w:t xml:space="preserve">1  </w:t>
            </w:r>
            <w:r>
              <w:rPr>
                <w:rFonts w:ascii="宋体" w:hAnsi="宋体" w:eastAsia="宋体" w:cs="宋体"/>
                <w:spacing w:val="10"/>
              </w:rPr>
              <w:t>座堆粪棚，建筑面积</w:t>
            </w:r>
            <w:r>
              <w:rPr>
                <w:spacing w:val="2"/>
              </w:rPr>
              <w:t>300m</w:t>
            </w:r>
            <w:r>
              <w:rPr>
                <w:spacing w:val="2"/>
                <w:position w:val="9"/>
                <w:sz w:val="14"/>
                <w:szCs w:val="14"/>
              </w:rPr>
              <w:t>2</w:t>
            </w:r>
            <w:r>
              <w:rPr>
                <w:rFonts w:ascii="宋体" w:hAnsi="宋体" w:eastAsia="宋体" w:cs="宋体"/>
                <w:spacing w:val="2"/>
              </w:rPr>
              <w:t>，用于暂存经固液分离后的粪便、沼渣，及时</w:t>
            </w:r>
            <w:r>
              <w:rPr>
                <w:rFonts w:ascii="宋体" w:hAnsi="宋体" w:eastAsia="宋体" w:cs="宋体"/>
                <w:spacing w:val="-3"/>
              </w:rPr>
              <w:t>送有机肥料厂生产有机肥。</w:t>
            </w:r>
          </w:p>
        </w:tc>
        <w:tc>
          <w:tcPr>
            <w:tcW w:w="896" w:type="dxa"/>
            <w:vMerge w:val="continue"/>
            <w:tcBorders>
              <w:top w:val="nil"/>
              <w:bottom w:val="nil"/>
            </w:tcBorders>
            <w:vAlign w:val="top"/>
          </w:tcPr>
          <w:p w14:paraId="075B3BB2">
            <w:pPr>
              <w:rPr>
                <w:rFonts w:ascii="Arial"/>
                <w:sz w:val="21"/>
              </w:rPr>
            </w:pPr>
          </w:p>
        </w:tc>
        <w:tc>
          <w:tcPr>
            <w:tcW w:w="902" w:type="dxa"/>
            <w:vAlign w:val="top"/>
          </w:tcPr>
          <w:p w14:paraId="21D04ECF">
            <w:pPr>
              <w:spacing w:line="293" w:lineRule="auto"/>
              <w:rPr>
                <w:rFonts w:ascii="Arial"/>
                <w:sz w:val="21"/>
              </w:rPr>
            </w:pPr>
          </w:p>
          <w:p w14:paraId="75CB1F8C">
            <w:pPr>
              <w:spacing w:before="68" w:line="220" w:lineRule="auto"/>
              <w:ind w:left="247"/>
              <w:rPr>
                <w:rFonts w:ascii="宋体" w:hAnsi="宋体" w:eastAsia="宋体" w:cs="宋体"/>
                <w:sz w:val="21"/>
                <w:szCs w:val="21"/>
              </w:rPr>
            </w:pPr>
            <w:r>
              <w:rPr>
                <w:rFonts w:ascii="宋体" w:hAnsi="宋体" w:eastAsia="宋体" w:cs="宋体"/>
                <w:spacing w:val="-3"/>
                <w:sz w:val="21"/>
                <w:szCs w:val="21"/>
              </w:rPr>
              <w:t>臭气</w:t>
            </w:r>
          </w:p>
        </w:tc>
      </w:tr>
      <w:tr w14:paraId="507FC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9" w:hRule="atLeast"/>
        </w:trPr>
        <w:tc>
          <w:tcPr>
            <w:tcW w:w="858" w:type="dxa"/>
            <w:vMerge w:val="continue"/>
            <w:tcBorders>
              <w:top w:val="nil"/>
              <w:bottom w:val="nil"/>
            </w:tcBorders>
            <w:vAlign w:val="top"/>
          </w:tcPr>
          <w:p w14:paraId="469B9887">
            <w:pPr>
              <w:rPr>
                <w:rFonts w:ascii="Arial"/>
                <w:sz w:val="21"/>
              </w:rPr>
            </w:pPr>
          </w:p>
        </w:tc>
        <w:tc>
          <w:tcPr>
            <w:tcW w:w="850" w:type="dxa"/>
            <w:vAlign w:val="top"/>
          </w:tcPr>
          <w:p w14:paraId="57EFBFEB">
            <w:pPr>
              <w:spacing w:line="305" w:lineRule="auto"/>
              <w:rPr>
                <w:rFonts w:ascii="Arial"/>
                <w:sz w:val="21"/>
              </w:rPr>
            </w:pPr>
          </w:p>
          <w:p w14:paraId="68AC927B">
            <w:pPr>
              <w:spacing w:line="305" w:lineRule="auto"/>
              <w:rPr>
                <w:rFonts w:ascii="Arial"/>
                <w:sz w:val="21"/>
              </w:rPr>
            </w:pPr>
          </w:p>
          <w:p w14:paraId="765B96EE">
            <w:pPr>
              <w:spacing w:line="305" w:lineRule="auto"/>
              <w:rPr>
                <w:rFonts w:ascii="Arial"/>
                <w:sz w:val="21"/>
              </w:rPr>
            </w:pPr>
          </w:p>
          <w:p w14:paraId="5D90FAA5">
            <w:pPr>
              <w:spacing w:before="68" w:line="221" w:lineRule="auto"/>
              <w:ind w:left="118"/>
              <w:rPr>
                <w:rFonts w:ascii="宋体" w:hAnsi="宋体" w:eastAsia="宋体" w:cs="宋体"/>
                <w:sz w:val="21"/>
                <w:szCs w:val="21"/>
              </w:rPr>
            </w:pPr>
            <w:r>
              <w:rPr>
                <w:rFonts w:ascii="宋体" w:hAnsi="宋体" w:eastAsia="宋体" w:cs="宋体"/>
                <w:spacing w:val="-3"/>
                <w:sz w:val="21"/>
                <w:szCs w:val="21"/>
              </w:rPr>
              <w:t>消纳地</w:t>
            </w:r>
          </w:p>
        </w:tc>
        <w:tc>
          <w:tcPr>
            <w:tcW w:w="4814" w:type="dxa"/>
            <w:vAlign w:val="top"/>
          </w:tcPr>
          <w:p w14:paraId="5D674B2F">
            <w:pPr>
              <w:pStyle w:val="6"/>
              <w:spacing w:before="50" w:line="266" w:lineRule="auto"/>
              <w:ind w:left="8" w:firstLine="2"/>
              <w:jc w:val="both"/>
              <w:rPr>
                <w:rFonts w:ascii="宋体" w:hAnsi="宋体" w:eastAsia="宋体" w:cs="宋体"/>
              </w:rPr>
            </w:pPr>
            <w:r>
              <w:rPr>
                <w:rFonts w:ascii="宋体" w:hAnsi="宋体" w:eastAsia="宋体" w:cs="宋体"/>
                <w:spacing w:val="-1"/>
              </w:rPr>
              <w:t xml:space="preserve">本项目流转 </w:t>
            </w:r>
            <w:r>
              <w:rPr>
                <w:spacing w:val="-1"/>
              </w:rPr>
              <w:t>2060</w:t>
            </w:r>
            <w:r>
              <w:rPr>
                <w:spacing w:val="50"/>
                <w:w w:val="101"/>
              </w:rPr>
              <w:t xml:space="preserve"> </w:t>
            </w:r>
            <w:r>
              <w:rPr>
                <w:rFonts w:ascii="宋体" w:hAnsi="宋体" w:eastAsia="宋体" w:cs="宋体"/>
                <w:spacing w:val="-1"/>
              </w:rPr>
              <w:t>亩土地用作消纳地，</w:t>
            </w:r>
            <w:r>
              <w:rPr>
                <w:rFonts w:ascii="宋体" w:hAnsi="宋体" w:eastAsia="宋体" w:cs="宋体"/>
                <w:spacing w:val="-2"/>
              </w:rPr>
              <w:t>位于养殖场西侧—北侧，消纳土地经整治后用于旱作农业，全部种</w:t>
            </w:r>
            <w:r>
              <w:rPr>
                <w:rFonts w:ascii="宋体" w:hAnsi="宋体" w:eastAsia="宋体" w:cs="宋体"/>
                <w:spacing w:val="-9"/>
              </w:rPr>
              <w:t>植旱地农作物，种植天冬、大豆、玉米、油菜等，</w:t>
            </w:r>
            <w:r>
              <w:rPr>
                <w:rFonts w:ascii="宋体" w:hAnsi="宋体" w:eastAsia="宋体" w:cs="宋体"/>
                <w:spacing w:val="70"/>
              </w:rPr>
              <w:t xml:space="preserve"> </w:t>
            </w:r>
            <w:r>
              <w:rPr>
                <w:rFonts w:ascii="宋体" w:hAnsi="宋体" w:eastAsia="宋体" w:cs="宋体"/>
                <w:spacing w:val="-9"/>
              </w:rPr>
              <w:t>消</w:t>
            </w:r>
            <w:r>
              <w:rPr>
                <w:rFonts w:ascii="宋体" w:hAnsi="宋体" w:eastAsia="宋体" w:cs="宋体"/>
                <w:spacing w:val="-2"/>
              </w:rPr>
              <w:t>纳地为丘陵地形，在地势较高处布置</w:t>
            </w:r>
            <w:r>
              <w:rPr>
                <w:rFonts w:ascii="宋体" w:hAnsi="宋体" w:eastAsia="宋体" w:cs="宋体"/>
                <w:spacing w:val="-35"/>
              </w:rPr>
              <w:t xml:space="preserve"> </w:t>
            </w:r>
            <w:r>
              <w:rPr>
                <w:spacing w:val="-2"/>
              </w:rPr>
              <w:t xml:space="preserve">5 </w:t>
            </w:r>
            <w:r>
              <w:rPr>
                <w:rFonts w:ascii="宋体" w:hAnsi="宋体" w:eastAsia="宋体" w:cs="宋体"/>
                <w:spacing w:val="-2"/>
              </w:rPr>
              <w:t>座田间储存池</w:t>
            </w:r>
            <w:r>
              <w:rPr>
                <w:rFonts w:ascii="宋体" w:hAnsi="宋体" w:eastAsia="宋体" w:cs="宋体"/>
                <w:spacing w:val="-1"/>
              </w:rPr>
              <w:t>（容积均为</w:t>
            </w:r>
            <w:r>
              <w:rPr>
                <w:rFonts w:ascii="宋体" w:hAnsi="宋体" w:eastAsia="宋体" w:cs="宋体"/>
                <w:spacing w:val="-37"/>
              </w:rPr>
              <w:t xml:space="preserve"> </w:t>
            </w:r>
            <w:r>
              <w:rPr>
                <w:spacing w:val="-1"/>
              </w:rPr>
              <w:t>4500m</w:t>
            </w:r>
            <w:r>
              <w:rPr>
                <w:spacing w:val="-1"/>
                <w:position w:val="1"/>
                <w:sz w:val="14"/>
                <w:szCs w:val="14"/>
              </w:rPr>
              <w:t>3</w:t>
            </w:r>
            <w:r>
              <w:rPr>
                <w:rFonts w:ascii="宋体" w:hAnsi="宋体" w:eastAsia="宋体" w:cs="宋体"/>
                <w:spacing w:val="-55"/>
                <w:position w:val="1"/>
              </w:rPr>
              <w:t>）</w:t>
            </w:r>
            <w:r>
              <w:rPr>
                <w:rFonts w:ascii="宋体" w:hAnsi="宋体" w:eastAsia="宋体" w:cs="宋体"/>
                <w:spacing w:val="-55"/>
              </w:rPr>
              <w:t>，</w:t>
            </w:r>
            <w:r>
              <w:rPr>
                <w:rFonts w:ascii="宋体" w:hAnsi="宋体" w:eastAsia="宋体" w:cs="宋体"/>
                <w:spacing w:val="-1"/>
              </w:rPr>
              <w:t>并配套建设</w:t>
            </w:r>
            <w:r>
              <w:rPr>
                <w:rFonts w:ascii="宋体" w:hAnsi="宋体" w:eastAsia="宋体" w:cs="宋体"/>
                <w:spacing w:val="-41"/>
              </w:rPr>
              <w:t xml:space="preserve"> </w:t>
            </w:r>
            <w:r>
              <w:rPr>
                <w:spacing w:val="-1"/>
              </w:rPr>
              <w:t xml:space="preserve">5 </w:t>
            </w:r>
            <w:r>
              <w:rPr>
                <w:rFonts w:ascii="宋体" w:hAnsi="宋体" w:eastAsia="宋体" w:cs="宋体"/>
                <w:spacing w:val="-1"/>
              </w:rPr>
              <w:t>座泵站，消纳地灌溉系统由</w:t>
            </w:r>
            <w:r>
              <w:rPr>
                <w:rFonts w:ascii="宋体" w:hAnsi="宋体" w:eastAsia="宋体" w:cs="宋体"/>
                <w:spacing w:val="-42"/>
              </w:rPr>
              <w:t xml:space="preserve"> </w:t>
            </w:r>
            <w:r>
              <w:rPr>
                <w:spacing w:val="-1"/>
              </w:rPr>
              <w:t xml:space="preserve">DN110 </w:t>
            </w:r>
            <w:r>
              <w:rPr>
                <w:rFonts w:ascii="宋体" w:hAnsi="宋体" w:eastAsia="宋体" w:cs="宋体"/>
                <w:spacing w:val="-1"/>
              </w:rPr>
              <w:t>及</w:t>
            </w:r>
            <w:r>
              <w:rPr>
                <w:rFonts w:ascii="宋体" w:hAnsi="宋体" w:eastAsia="宋体" w:cs="宋体"/>
                <w:spacing w:val="-48"/>
              </w:rPr>
              <w:t xml:space="preserve"> </w:t>
            </w:r>
            <w:r>
              <w:rPr>
                <w:spacing w:val="-1"/>
              </w:rPr>
              <w:t xml:space="preserve">DN90PE </w:t>
            </w:r>
            <w:r>
              <w:rPr>
                <w:rFonts w:ascii="宋体" w:hAnsi="宋体" w:eastAsia="宋体" w:cs="宋体"/>
                <w:spacing w:val="-1"/>
              </w:rPr>
              <w:t>主管与</w:t>
            </w:r>
            <w:r>
              <w:rPr>
                <w:rFonts w:ascii="宋体" w:hAnsi="宋体" w:eastAsia="宋体" w:cs="宋体"/>
                <w:spacing w:val="-49"/>
              </w:rPr>
              <w:t xml:space="preserve"> </w:t>
            </w:r>
            <w:r>
              <w:rPr>
                <w:spacing w:val="-1"/>
              </w:rPr>
              <w:t xml:space="preserve">DN6.3PE </w:t>
            </w:r>
            <w:r>
              <w:rPr>
                <w:rFonts w:ascii="宋体" w:hAnsi="宋体" w:eastAsia="宋体" w:cs="宋体"/>
                <w:spacing w:val="-1"/>
              </w:rPr>
              <w:t>灌溉支管组成，灌溉管网长度约</w:t>
            </w:r>
            <w:r>
              <w:rPr>
                <w:rFonts w:ascii="宋体" w:hAnsi="宋体" w:eastAsia="宋体" w:cs="宋体"/>
                <w:spacing w:val="-43"/>
              </w:rPr>
              <w:t xml:space="preserve"> </w:t>
            </w:r>
            <w:r>
              <w:rPr>
                <w:spacing w:val="-1"/>
              </w:rPr>
              <w:t>20km</w:t>
            </w:r>
            <w:r>
              <w:rPr>
                <w:rFonts w:ascii="宋体" w:hAnsi="宋体" w:eastAsia="宋体" w:cs="宋体"/>
                <w:spacing w:val="-1"/>
              </w:rPr>
              <w:t>。</w:t>
            </w:r>
          </w:p>
        </w:tc>
        <w:tc>
          <w:tcPr>
            <w:tcW w:w="896" w:type="dxa"/>
            <w:vMerge w:val="continue"/>
            <w:tcBorders>
              <w:top w:val="nil"/>
              <w:bottom w:val="nil"/>
            </w:tcBorders>
            <w:vAlign w:val="top"/>
          </w:tcPr>
          <w:p w14:paraId="11694FB0">
            <w:pPr>
              <w:rPr>
                <w:rFonts w:ascii="Arial"/>
                <w:sz w:val="21"/>
              </w:rPr>
            </w:pPr>
          </w:p>
        </w:tc>
        <w:tc>
          <w:tcPr>
            <w:tcW w:w="902" w:type="dxa"/>
            <w:vAlign w:val="top"/>
          </w:tcPr>
          <w:p w14:paraId="1E940ED2">
            <w:pPr>
              <w:spacing w:line="253" w:lineRule="auto"/>
              <w:rPr>
                <w:rFonts w:ascii="Arial"/>
                <w:sz w:val="21"/>
              </w:rPr>
            </w:pPr>
          </w:p>
          <w:p w14:paraId="2D508726">
            <w:pPr>
              <w:spacing w:line="253" w:lineRule="auto"/>
              <w:rPr>
                <w:rFonts w:ascii="Arial"/>
                <w:sz w:val="21"/>
              </w:rPr>
            </w:pPr>
          </w:p>
          <w:p w14:paraId="535F3BA1">
            <w:pPr>
              <w:spacing w:line="254" w:lineRule="auto"/>
              <w:rPr>
                <w:rFonts w:ascii="Arial"/>
                <w:sz w:val="21"/>
              </w:rPr>
            </w:pPr>
          </w:p>
          <w:p w14:paraId="5D5E9330">
            <w:pPr>
              <w:spacing w:before="68" w:line="277" w:lineRule="auto"/>
              <w:ind w:left="247" w:right="133" w:hanging="106"/>
              <w:rPr>
                <w:rFonts w:ascii="宋体" w:hAnsi="宋体" w:eastAsia="宋体" w:cs="宋体"/>
                <w:sz w:val="21"/>
                <w:szCs w:val="21"/>
              </w:rPr>
            </w:pPr>
            <w:r>
              <w:rPr>
                <w:rFonts w:ascii="宋体" w:hAnsi="宋体" w:eastAsia="宋体" w:cs="宋体"/>
                <w:spacing w:val="-3"/>
                <w:sz w:val="21"/>
                <w:szCs w:val="21"/>
              </w:rPr>
              <w:t>地下水土壤</w:t>
            </w:r>
          </w:p>
        </w:tc>
      </w:tr>
      <w:tr w14:paraId="1BAE6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Merge w:val="continue"/>
            <w:tcBorders>
              <w:top w:val="nil"/>
            </w:tcBorders>
            <w:vAlign w:val="top"/>
          </w:tcPr>
          <w:p w14:paraId="6D865BCC">
            <w:pPr>
              <w:rPr>
                <w:rFonts w:ascii="Arial"/>
                <w:sz w:val="21"/>
              </w:rPr>
            </w:pPr>
          </w:p>
        </w:tc>
        <w:tc>
          <w:tcPr>
            <w:tcW w:w="850" w:type="dxa"/>
            <w:vAlign w:val="top"/>
          </w:tcPr>
          <w:p w14:paraId="62CA0F53">
            <w:pPr>
              <w:spacing w:before="208" w:line="220" w:lineRule="auto"/>
              <w:ind w:left="221"/>
              <w:rPr>
                <w:rFonts w:ascii="宋体" w:hAnsi="宋体" w:eastAsia="宋体" w:cs="宋体"/>
                <w:sz w:val="21"/>
                <w:szCs w:val="21"/>
              </w:rPr>
            </w:pPr>
            <w:r>
              <w:rPr>
                <w:rFonts w:ascii="宋体" w:hAnsi="宋体" w:eastAsia="宋体" w:cs="宋体"/>
                <w:spacing w:val="-3"/>
                <w:sz w:val="21"/>
                <w:szCs w:val="21"/>
              </w:rPr>
              <w:t>泵站</w:t>
            </w:r>
          </w:p>
        </w:tc>
        <w:tc>
          <w:tcPr>
            <w:tcW w:w="4814" w:type="dxa"/>
            <w:vAlign w:val="top"/>
          </w:tcPr>
          <w:p w14:paraId="75EED4C2">
            <w:pPr>
              <w:pStyle w:val="6"/>
              <w:spacing w:before="53" w:line="248" w:lineRule="auto"/>
              <w:ind w:left="10" w:firstLine="3"/>
              <w:rPr>
                <w:rFonts w:ascii="宋体" w:hAnsi="宋体" w:eastAsia="宋体" w:cs="宋体"/>
              </w:rPr>
            </w:pPr>
            <w:r>
              <w:rPr>
                <w:rFonts w:ascii="宋体" w:hAnsi="宋体" w:eastAsia="宋体" w:cs="宋体"/>
                <w:spacing w:val="-3"/>
              </w:rPr>
              <w:t>消纳地内每座田间储存池旁建设</w:t>
            </w:r>
            <w:r>
              <w:rPr>
                <w:rFonts w:ascii="宋体" w:hAnsi="宋体" w:eastAsia="宋体" w:cs="宋体"/>
                <w:spacing w:val="-25"/>
              </w:rPr>
              <w:t xml:space="preserve"> </w:t>
            </w:r>
            <w:r>
              <w:rPr>
                <w:spacing w:val="-3"/>
              </w:rPr>
              <w:t xml:space="preserve">1 </w:t>
            </w:r>
            <w:r>
              <w:rPr>
                <w:rFonts w:ascii="宋体" w:hAnsi="宋体" w:eastAsia="宋体" w:cs="宋体"/>
                <w:spacing w:val="-3"/>
              </w:rPr>
              <w:t>座泵站，共</w:t>
            </w:r>
            <w:r>
              <w:rPr>
                <w:rFonts w:ascii="宋体" w:hAnsi="宋体" w:eastAsia="宋体" w:cs="宋体"/>
                <w:spacing w:val="-42"/>
              </w:rPr>
              <w:t xml:space="preserve"> </w:t>
            </w:r>
            <w:r>
              <w:rPr>
                <w:spacing w:val="-3"/>
              </w:rPr>
              <w:t xml:space="preserve">5 </w:t>
            </w:r>
            <w:r>
              <w:rPr>
                <w:rFonts w:ascii="宋体" w:hAnsi="宋体" w:eastAsia="宋体" w:cs="宋体"/>
                <w:spacing w:val="-3"/>
              </w:rPr>
              <w:t>座泵</w:t>
            </w:r>
            <w:r>
              <w:rPr>
                <w:rFonts w:ascii="宋体" w:hAnsi="宋体" w:eastAsia="宋体" w:cs="宋体"/>
                <w:spacing w:val="-6"/>
              </w:rPr>
              <w:t>站，每座泵站内设</w:t>
            </w:r>
            <w:r>
              <w:rPr>
                <w:rFonts w:ascii="宋体" w:hAnsi="宋体" w:eastAsia="宋体" w:cs="宋体"/>
                <w:spacing w:val="-28"/>
              </w:rPr>
              <w:t xml:space="preserve"> </w:t>
            </w:r>
            <w:r>
              <w:rPr>
                <w:spacing w:val="-6"/>
              </w:rPr>
              <w:t>1</w:t>
            </w:r>
            <w:r>
              <w:rPr>
                <w:spacing w:val="26"/>
              </w:rPr>
              <w:t xml:space="preserve"> </w:t>
            </w:r>
            <w:r>
              <w:rPr>
                <w:rFonts w:ascii="宋体" w:hAnsi="宋体" w:eastAsia="宋体" w:cs="宋体"/>
                <w:spacing w:val="-6"/>
              </w:rPr>
              <w:t>台提升泵。</w:t>
            </w:r>
          </w:p>
        </w:tc>
        <w:tc>
          <w:tcPr>
            <w:tcW w:w="896" w:type="dxa"/>
            <w:vMerge w:val="continue"/>
            <w:tcBorders>
              <w:top w:val="nil"/>
              <w:bottom w:val="nil"/>
            </w:tcBorders>
            <w:vAlign w:val="top"/>
          </w:tcPr>
          <w:p w14:paraId="612546C5">
            <w:pPr>
              <w:rPr>
                <w:rFonts w:ascii="Arial"/>
                <w:sz w:val="21"/>
              </w:rPr>
            </w:pPr>
          </w:p>
        </w:tc>
        <w:tc>
          <w:tcPr>
            <w:tcW w:w="902" w:type="dxa"/>
            <w:vAlign w:val="top"/>
          </w:tcPr>
          <w:p w14:paraId="691802C1">
            <w:pPr>
              <w:spacing w:before="209" w:line="220" w:lineRule="auto"/>
              <w:ind w:left="257"/>
              <w:rPr>
                <w:rFonts w:ascii="宋体" w:hAnsi="宋体" w:eastAsia="宋体" w:cs="宋体"/>
                <w:sz w:val="21"/>
                <w:szCs w:val="21"/>
              </w:rPr>
            </w:pPr>
            <w:r>
              <w:rPr>
                <w:rFonts w:ascii="宋体" w:hAnsi="宋体" w:eastAsia="宋体" w:cs="宋体"/>
                <w:spacing w:val="-5"/>
                <w:sz w:val="21"/>
                <w:szCs w:val="21"/>
              </w:rPr>
              <w:t>噪声</w:t>
            </w:r>
          </w:p>
        </w:tc>
      </w:tr>
      <w:tr w14:paraId="3D5D6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58" w:type="dxa"/>
            <w:vAlign w:val="top"/>
          </w:tcPr>
          <w:p w14:paraId="6FEB4D5D">
            <w:pPr>
              <w:spacing w:before="208" w:line="277" w:lineRule="auto"/>
              <w:ind w:left="16" w:right="5" w:firstLine="106"/>
              <w:rPr>
                <w:rFonts w:ascii="宋体" w:hAnsi="宋体" w:eastAsia="宋体" w:cs="宋体"/>
                <w:sz w:val="21"/>
                <w:szCs w:val="21"/>
              </w:rPr>
            </w:pPr>
            <w:r>
              <w:rPr>
                <w:rFonts w:ascii="宋体" w:hAnsi="宋体" w:eastAsia="宋体" w:cs="宋体"/>
                <w:spacing w:val="-5"/>
                <w:sz w:val="21"/>
                <w:szCs w:val="21"/>
              </w:rPr>
              <w:t>办公及</w:t>
            </w:r>
            <w:r>
              <w:rPr>
                <w:rFonts w:ascii="宋体" w:hAnsi="宋体" w:eastAsia="宋体" w:cs="宋体"/>
                <w:spacing w:val="-3"/>
                <w:sz w:val="21"/>
                <w:szCs w:val="21"/>
              </w:rPr>
              <w:t>生活设施</w:t>
            </w:r>
          </w:p>
        </w:tc>
        <w:tc>
          <w:tcPr>
            <w:tcW w:w="850" w:type="dxa"/>
            <w:vAlign w:val="top"/>
          </w:tcPr>
          <w:p w14:paraId="2523281E">
            <w:pPr>
              <w:spacing w:line="294" w:lineRule="auto"/>
              <w:rPr>
                <w:rFonts w:ascii="Arial"/>
                <w:sz w:val="21"/>
              </w:rPr>
            </w:pPr>
          </w:p>
          <w:p w14:paraId="4914B818">
            <w:pPr>
              <w:spacing w:before="69" w:line="220" w:lineRule="auto"/>
              <w:jc w:val="right"/>
              <w:rPr>
                <w:rFonts w:ascii="宋体" w:hAnsi="宋体" w:eastAsia="宋体" w:cs="宋体"/>
                <w:sz w:val="21"/>
                <w:szCs w:val="21"/>
              </w:rPr>
            </w:pPr>
            <w:r>
              <w:rPr>
                <w:rFonts w:ascii="宋体" w:hAnsi="宋体" w:eastAsia="宋体" w:cs="宋体"/>
                <w:spacing w:val="-4"/>
                <w:sz w:val="21"/>
                <w:szCs w:val="21"/>
              </w:rPr>
              <w:t>管理用房</w:t>
            </w:r>
          </w:p>
        </w:tc>
        <w:tc>
          <w:tcPr>
            <w:tcW w:w="4814" w:type="dxa"/>
            <w:vAlign w:val="top"/>
          </w:tcPr>
          <w:p w14:paraId="2D003CFF">
            <w:pPr>
              <w:pStyle w:val="6"/>
              <w:spacing w:before="54" w:line="254" w:lineRule="auto"/>
              <w:ind w:left="10" w:hanging="1"/>
              <w:jc w:val="both"/>
              <w:rPr>
                <w:rFonts w:ascii="宋体" w:hAnsi="宋体" w:eastAsia="宋体" w:cs="宋体"/>
              </w:rPr>
            </w:pPr>
            <w:r>
              <w:rPr>
                <w:rFonts w:ascii="宋体" w:hAnsi="宋体" w:eastAsia="宋体" w:cs="宋体"/>
                <w:spacing w:val="-2"/>
              </w:rPr>
              <w:t>在办公生活区内设置</w:t>
            </w:r>
            <w:r>
              <w:rPr>
                <w:rFonts w:ascii="宋体" w:hAnsi="宋体" w:eastAsia="宋体" w:cs="宋体"/>
                <w:spacing w:val="43"/>
              </w:rPr>
              <w:t xml:space="preserve"> </w:t>
            </w:r>
            <w:r>
              <w:rPr>
                <w:spacing w:val="-2"/>
              </w:rPr>
              <w:t xml:space="preserve">1  </w:t>
            </w:r>
            <w:r>
              <w:rPr>
                <w:rFonts w:ascii="宋体" w:hAnsi="宋体" w:eastAsia="宋体" w:cs="宋体"/>
                <w:spacing w:val="-2"/>
              </w:rPr>
              <w:t xml:space="preserve">栋 </w:t>
            </w:r>
            <w:r>
              <w:rPr>
                <w:spacing w:val="-2"/>
              </w:rPr>
              <w:t xml:space="preserve">3F  </w:t>
            </w:r>
            <w:r>
              <w:rPr>
                <w:rFonts w:ascii="宋体" w:hAnsi="宋体" w:eastAsia="宋体" w:cs="宋体"/>
                <w:spacing w:val="-2"/>
              </w:rPr>
              <w:t>管理用房，建筑面积</w:t>
            </w:r>
            <w:r>
              <w:rPr>
                <w:spacing w:val="-11"/>
              </w:rPr>
              <w:t>960m</w:t>
            </w:r>
            <w:r>
              <w:rPr>
                <w:spacing w:val="-11"/>
                <w:position w:val="9"/>
                <w:sz w:val="14"/>
                <w:szCs w:val="14"/>
              </w:rPr>
              <w:t>2</w:t>
            </w:r>
            <w:r>
              <w:rPr>
                <w:rFonts w:ascii="宋体" w:hAnsi="宋体" w:eastAsia="宋体" w:cs="宋体"/>
                <w:spacing w:val="-11"/>
              </w:rPr>
              <w:t>，</w:t>
            </w:r>
            <w:r>
              <w:rPr>
                <w:spacing w:val="-11"/>
              </w:rPr>
              <w:t>1F</w:t>
            </w:r>
            <w:r>
              <w:rPr>
                <w:spacing w:val="10"/>
              </w:rPr>
              <w:t xml:space="preserve"> </w:t>
            </w:r>
            <w:r>
              <w:rPr>
                <w:rFonts w:ascii="宋体" w:hAnsi="宋体" w:eastAsia="宋体" w:cs="宋体"/>
                <w:spacing w:val="-11"/>
              </w:rPr>
              <w:t>为办公室、会议室等，</w:t>
            </w:r>
            <w:r>
              <w:rPr>
                <w:spacing w:val="-11"/>
              </w:rPr>
              <w:t>2F</w:t>
            </w:r>
            <w:r>
              <w:rPr>
                <w:rFonts w:ascii="宋体" w:hAnsi="宋体" w:eastAsia="宋体" w:cs="宋体"/>
                <w:spacing w:val="-11"/>
              </w:rPr>
              <w:t>、</w:t>
            </w:r>
            <w:r>
              <w:rPr>
                <w:spacing w:val="-11"/>
              </w:rPr>
              <w:t>3F</w:t>
            </w:r>
            <w:r>
              <w:rPr>
                <w:spacing w:val="10"/>
              </w:rPr>
              <w:t xml:space="preserve"> </w:t>
            </w:r>
            <w:r>
              <w:rPr>
                <w:rFonts w:ascii="宋体" w:hAnsi="宋体" w:eastAsia="宋体" w:cs="宋体"/>
                <w:spacing w:val="-11"/>
              </w:rPr>
              <w:t>为职工宿</w:t>
            </w:r>
            <w:r>
              <w:rPr>
                <w:rFonts w:ascii="宋体" w:hAnsi="宋体" w:eastAsia="宋体" w:cs="宋体"/>
                <w:spacing w:val="-12"/>
              </w:rPr>
              <w:t>舍。</w:t>
            </w:r>
            <w:r>
              <w:rPr>
                <w:rFonts w:ascii="宋体" w:hAnsi="宋体" w:eastAsia="宋体" w:cs="宋体"/>
                <w:spacing w:val="-5"/>
              </w:rPr>
              <w:t>项目不设食堂，依托场外餐饮单位配送。</w:t>
            </w:r>
          </w:p>
        </w:tc>
        <w:tc>
          <w:tcPr>
            <w:tcW w:w="896" w:type="dxa"/>
            <w:vMerge w:val="continue"/>
            <w:tcBorders>
              <w:top w:val="nil"/>
              <w:bottom w:val="nil"/>
            </w:tcBorders>
            <w:vAlign w:val="top"/>
          </w:tcPr>
          <w:p w14:paraId="7EBC7D47">
            <w:pPr>
              <w:rPr>
                <w:rFonts w:ascii="Arial"/>
                <w:sz w:val="21"/>
              </w:rPr>
            </w:pPr>
          </w:p>
        </w:tc>
        <w:tc>
          <w:tcPr>
            <w:tcW w:w="902" w:type="dxa"/>
            <w:vAlign w:val="top"/>
          </w:tcPr>
          <w:p w14:paraId="0EA42BE9">
            <w:pPr>
              <w:spacing w:before="208" w:line="277" w:lineRule="auto"/>
              <w:ind w:left="38" w:right="28"/>
              <w:rPr>
                <w:rFonts w:ascii="宋体" w:hAnsi="宋体" w:eastAsia="宋体" w:cs="宋体"/>
                <w:sz w:val="21"/>
                <w:szCs w:val="21"/>
              </w:rPr>
            </w:pPr>
            <w:r>
              <w:rPr>
                <w:rFonts w:ascii="宋体" w:hAnsi="宋体" w:eastAsia="宋体" w:cs="宋体"/>
                <w:spacing w:val="-3"/>
                <w:sz w:val="21"/>
                <w:szCs w:val="21"/>
              </w:rPr>
              <w:t>生活污水生活垃圾</w:t>
            </w:r>
          </w:p>
        </w:tc>
      </w:tr>
      <w:tr w14:paraId="7034C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58" w:type="dxa"/>
            <w:vMerge w:val="restart"/>
            <w:tcBorders>
              <w:bottom w:val="nil"/>
            </w:tcBorders>
            <w:vAlign w:val="top"/>
          </w:tcPr>
          <w:p w14:paraId="088AE77D">
            <w:pPr>
              <w:spacing w:line="274" w:lineRule="auto"/>
              <w:rPr>
                <w:rFonts w:ascii="Arial"/>
                <w:sz w:val="21"/>
              </w:rPr>
            </w:pPr>
          </w:p>
          <w:p w14:paraId="2CF02C18">
            <w:pPr>
              <w:spacing w:line="274" w:lineRule="auto"/>
              <w:rPr>
                <w:rFonts w:ascii="Arial"/>
                <w:sz w:val="21"/>
              </w:rPr>
            </w:pPr>
          </w:p>
          <w:p w14:paraId="60FA9770">
            <w:pPr>
              <w:spacing w:line="274" w:lineRule="auto"/>
              <w:rPr>
                <w:rFonts w:ascii="Arial"/>
                <w:sz w:val="21"/>
              </w:rPr>
            </w:pPr>
          </w:p>
          <w:p w14:paraId="0AEEAEDB">
            <w:pPr>
              <w:spacing w:line="274" w:lineRule="auto"/>
              <w:rPr>
                <w:rFonts w:ascii="Arial"/>
                <w:sz w:val="21"/>
              </w:rPr>
            </w:pPr>
          </w:p>
          <w:p w14:paraId="1374F807">
            <w:pPr>
              <w:spacing w:before="68" w:line="220" w:lineRule="auto"/>
              <w:ind w:right="2"/>
              <w:jc w:val="right"/>
              <w:rPr>
                <w:rFonts w:ascii="宋体" w:hAnsi="宋体" w:eastAsia="宋体" w:cs="宋体"/>
                <w:sz w:val="21"/>
                <w:szCs w:val="21"/>
              </w:rPr>
            </w:pPr>
            <w:r>
              <w:rPr>
                <w:rFonts w:ascii="宋体" w:hAnsi="宋体" w:eastAsia="宋体" w:cs="宋体"/>
                <w:spacing w:val="-3"/>
                <w:sz w:val="21"/>
                <w:szCs w:val="21"/>
              </w:rPr>
              <w:t>公用工程</w:t>
            </w:r>
          </w:p>
        </w:tc>
        <w:tc>
          <w:tcPr>
            <w:tcW w:w="850" w:type="dxa"/>
            <w:vAlign w:val="top"/>
          </w:tcPr>
          <w:p w14:paraId="5D9451BD">
            <w:pPr>
              <w:spacing w:before="211" w:line="219" w:lineRule="auto"/>
              <w:ind w:left="220"/>
              <w:rPr>
                <w:rFonts w:ascii="宋体" w:hAnsi="宋体" w:eastAsia="宋体" w:cs="宋体"/>
                <w:sz w:val="21"/>
                <w:szCs w:val="21"/>
              </w:rPr>
            </w:pPr>
            <w:r>
              <w:rPr>
                <w:rFonts w:ascii="宋体" w:hAnsi="宋体" w:eastAsia="宋体" w:cs="宋体"/>
                <w:spacing w:val="-3"/>
                <w:sz w:val="21"/>
                <w:szCs w:val="21"/>
              </w:rPr>
              <w:t>供水</w:t>
            </w:r>
          </w:p>
        </w:tc>
        <w:tc>
          <w:tcPr>
            <w:tcW w:w="4814" w:type="dxa"/>
            <w:vAlign w:val="top"/>
          </w:tcPr>
          <w:p w14:paraId="60640431">
            <w:pPr>
              <w:pStyle w:val="6"/>
              <w:spacing w:before="55" w:line="248" w:lineRule="auto"/>
              <w:ind w:left="9" w:right="7" w:firstLine="1"/>
              <w:rPr>
                <w:rFonts w:ascii="宋体" w:hAnsi="宋体" w:eastAsia="宋体" w:cs="宋体"/>
              </w:rPr>
            </w:pPr>
            <w:r>
              <w:rPr>
                <w:rFonts w:ascii="宋体" w:hAnsi="宋体" w:eastAsia="宋体" w:cs="宋体"/>
                <w:spacing w:val="-4"/>
              </w:rPr>
              <w:t>本项目取水拟采用机井抽取地下水，拟设</w:t>
            </w:r>
            <w:r>
              <w:rPr>
                <w:rFonts w:ascii="宋体" w:hAnsi="宋体" w:eastAsia="宋体" w:cs="宋体"/>
                <w:spacing w:val="-42"/>
              </w:rPr>
              <w:t xml:space="preserve"> </w:t>
            </w:r>
            <w:r>
              <w:rPr>
                <w:spacing w:val="-4"/>
              </w:rPr>
              <w:t>2</w:t>
            </w:r>
            <w:r>
              <w:rPr>
                <w:spacing w:val="41"/>
              </w:rPr>
              <w:t xml:space="preserve"> </w:t>
            </w:r>
            <w:r>
              <w:rPr>
                <w:rFonts w:ascii="宋体" w:hAnsi="宋体" w:eastAsia="宋体" w:cs="宋体"/>
                <w:spacing w:val="-4"/>
              </w:rPr>
              <w:t>口机井，</w:t>
            </w:r>
            <w:r>
              <w:rPr>
                <w:rFonts w:ascii="宋体" w:hAnsi="宋体" w:eastAsia="宋体" w:cs="宋体"/>
                <w:spacing w:val="-2"/>
              </w:rPr>
              <w:t>场内设</w:t>
            </w:r>
            <w:r>
              <w:rPr>
                <w:rFonts w:ascii="宋体" w:hAnsi="宋体" w:eastAsia="宋体" w:cs="宋体"/>
                <w:spacing w:val="-44"/>
              </w:rPr>
              <w:t xml:space="preserve"> </w:t>
            </w:r>
            <w:r>
              <w:rPr>
                <w:spacing w:val="-2"/>
              </w:rPr>
              <w:t xml:space="preserve">4 </w:t>
            </w:r>
            <w:r>
              <w:rPr>
                <w:rFonts w:ascii="宋体" w:hAnsi="宋体" w:eastAsia="宋体" w:cs="宋体"/>
                <w:spacing w:val="-2"/>
              </w:rPr>
              <w:t>座蓄水池蓄水，作为项目养殖及生活用水。</w:t>
            </w:r>
          </w:p>
        </w:tc>
        <w:tc>
          <w:tcPr>
            <w:tcW w:w="896" w:type="dxa"/>
            <w:vMerge w:val="continue"/>
            <w:tcBorders>
              <w:top w:val="nil"/>
              <w:bottom w:val="nil"/>
            </w:tcBorders>
            <w:vAlign w:val="top"/>
          </w:tcPr>
          <w:p w14:paraId="1C916CD6">
            <w:pPr>
              <w:rPr>
                <w:rFonts w:ascii="Arial"/>
                <w:sz w:val="21"/>
              </w:rPr>
            </w:pPr>
          </w:p>
        </w:tc>
        <w:tc>
          <w:tcPr>
            <w:tcW w:w="902" w:type="dxa"/>
            <w:vAlign w:val="top"/>
          </w:tcPr>
          <w:p w14:paraId="116C445E">
            <w:pPr>
              <w:pStyle w:val="6"/>
              <w:spacing w:before="243" w:line="192" w:lineRule="auto"/>
              <w:ind w:left="419"/>
            </w:pPr>
            <w:r>
              <w:t>/</w:t>
            </w:r>
          </w:p>
        </w:tc>
      </w:tr>
      <w:tr w14:paraId="0583C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58" w:type="dxa"/>
            <w:vMerge w:val="continue"/>
            <w:tcBorders>
              <w:top w:val="nil"/>
              <w:bottom w:val="nil"/>
            </w:tcBorders>
            <w:vAlign w:val="top"/>
          </w:tcPr>
          <w:p w14:paraId="4497AFBE">
            <w:pPr>
              <w:rPr>
                <w:rFonts w:ascii="Arial"/>
                <w:sz w:val="21"/>
              </w:rPr>
            </w:pPr>
          </w:p>
        </w:tc>
        <w:tc>
          <w:tcPr>
            <w:tcW w:w="850" w:type="dxa"/>
            <w:vAlign w:val="top"/>
          </w:tcPr>
          <w:p w14:paraId="2058FE78">
            <w:pPr>
              <w:spacing w:line="302" w:lineRule="auto"/>
              <w:rPr>
                <w:rFonts w:ascii="Arial"/>
                <w:sz w:val="21"/>
              </w:rPr>
            </w:pPr>
          </w:p>
          <w:p w14:paraId="7958DF6C">
            <w:pPr>
              <w:spacing w:line="303" w:lineRule="auto"/>
              <w:rPr>
                <w:rFonts w:ascii="Arial"/>
                <w:sz w:val="21"/>
              </w:rPr>
            </w:pPr>
          </w:p>
          <w:p w14:paraId="11E8187C">
            <w:pPr>
              <w:spacing w:before="68" w:line="220" w:lineRule="auto"/>
              <w:ind w:left="220"/>
              <w:rPr>
                <w:rFonts w:ascii="宋体" w:hAnsi="宋体" w:eastAsia="宋体" w:cs="宋体"/>
                <w:sz w:val="21"/>
                <w:szCs w:val="21"/>
              </w:rPr>
            </w:pPr>
            <w:r>
              <w:rPr>
                <w:rFonts w:ascii="宋体" w:hAnsi="宋体" w:eastAsia="宋体" w:cs="宋体"/>
                <w:spacing w:val="-3"/>
                <w:sz w:val="21"/>
                <w:szCs w:val="21"/>
              </w:rPr>
              <w:t>排水</w:t>
            </w:r>
          </w:p>
        </w:tc>
        <w:tc>
          <w:tcPr>
            <w:tcW w:w="4814" w:type="dxa"/>
            <w:vAlign w:val="top"/>
          </w:tcPr>
          <w:p w14:paraId="3F786053">
            <w:pPr>
              <w:spacing w:before="52" w:line="264" w:lineRule="auto"/>
              <w:ind w:left="8" w:firstLine="9"/>
              <w:jc w:val="both"/>
              <w:rPr>
                <w:rFonts w:ascii="宋体" w:hAnsi="宋体" w:eastAsia="宋体" w:cs="宋体"/>
                <w:sz w:val="21"/>
                <w:szCs w:val="21"/>
              </w:rPr>
            </w:pPr>
            <w:r>
              <w:rPr>
                <w:rFonts w:ascii="宋体" w:hAnsi="宋体" w:eastAsia="宋体" w:cs="宋体"/>
                <w:spacing w:val="-2"/>
                <w:sz w:val="21"/>
                <w:szCs w:val="21"/>
              </w:rPr>
              <w:t>雨污分流，雨水沟采用明渠、排污利用埋地管道。场区四周设置雨水沟，雨水由雨水沟排出场区；本项目养殖废水和生活污水（先经化粪池预处理）经管道输送至粪污处理区进行处理，处理达标后用于本项目消</w:t>
            </w:r>
            <w:r>
              <w:rPr>
                <w:rFonts w:ascii="宋体" w:hAnsi="宋体" w:eastAsia="宋体" w:cs="宋体"/>
                <w:spacing w:val="-4"/>
                <w:sz w:val="21"/>
                <w:szCs w:val="21"/>
              </w:rPr>
              <w:t>纳地农灌，不外排。</w:t>
            </w:r>
          </w:p>
        </w:tc>
        <w:tc>
          <w:tcPr>
            <w:tcW w:w="896" w:type="dxa"/>
            <w:vMerge w:val="continue"/>
            <w:tcBorders>
              <w:top w:val="nil"/>
              <w:bottom w:val="nil"/>
            </w:tcBorders>
            <w:vAlign w:val="top"/>
          </w:tcPr>
          <w:p w14:paraId="48B5934F">
            <w:pPr>
              <w:rPr>
                <w:rFonts w:ascii="Arial"/>
                <w:sz w:val="21"/>
              </w:rPr>
            </w:pPr>
          </w:p>
        </w:tc>
        <w:tc>
          <w:tcPr>
            <w:tcW w:w="902" w:type="dxa"/>
            <w:vAlign w:val="top"/>
          </w:tcPr>
          <w:p w14:paraId="56D181C4">
            <w:pPr>
              <w:spacing w:line="323" w:lineRule="auto"/>
              <w:rPr>
                <w:rFonts w:ascii="Arial"/>
                <w:sz w:val="21"/>
              </w:rPr>
            </w:pPr>
          </w:p>
          <w:p w14:paraId="4333BB2E">
            <w:pPr>
              <w:spacing w:line="323" w:lineRule="auto"/>
              <w:rPr>
                <w:rFonts w:ascii="Arial"/>
                <w:sz w:val="21"/>
              </w:rPr>
            </w:pPr>
          </w:p>
          <w:p w14:paraId="074662C9">
            <w:pPr>
              <w:pStyle w:val="6"/>
              <w:spacing w:before="60" w:line="192" w:lineRule="auto"/>
              <w:ind w:left="419"/>
            </w:pPr>
            <w:r>
              <w:t>/</w:t>
            </w:r>
          </w:p>
        </w:tc>
      </w:tr>
      <w:tr w14:paraId="41D16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Merge w:val="continue"/>
            <w:tcBorders>
              <w:top w:val="nil"/>
            </w:tcBorders>
            <w:vAlign w:val="top"/>
          </w:tcPr>
          <w:p w14:paraId="5CF1CCD9">
            <w:pPr>
              <w:rPr>
                <w:rFonts w:ascii="Arial"/>
                <w:sz w:val="21"/>
              </w:rPr>
            </w:pPr>
          </w:p>
        </w:tc>
        <w:tc>
          <w:tcPr>
            <w:tcW w:w="850" w:type="dxa"/>
            <w:vAlign w:val="top"/>
          </w:tcPr>
          <w:p w14:paraId="3D9958DB">
            <w:pPr>
              <w:spacing w:before="68" w:line="219" w:lineRule="auto"/>
              <w:ind w:left="220"/>
              <w:rPr>
                <w:rFonts w:ascii="宋体" w:hAnsi="宋体" w:eastAsia="宋体" w:cs="宋体"/>
                <w:sz w:val="21"/>
                <w:szCs w:val="21"/>
              </w:rPr>
            </w:pPr>
            <w:r>
              <w:rPr>
                <w:rFonts w:ascii="宋体" w:hAnsi="宋体" w:eastAsia="宋体" w:cs="宋体"/>
                <w:spacing w:val="-3"/>
                <w:sz w:val="21"/>
                <w:szCs w:val="21"/>
              </w:rPr>
              <w:t>供电</w:t>
            </w:r>
          </w:p>
        </w:tc>
        <w:tc>
          <w:tcPr>
            <w:tcW w:w="4814" w:type="dxa"/>
            <w:vAlign w:val="top"/>
          </w:tcPr>
          <w:p w14:paraId="7AC4EE05">
            <w:pPr>
              <w:pStyle w:val="6"/>
              <w:spacing w:before="68" w:line="219" w:lineRule="auto"/>
              <w:ind w:right="1"/>
              <w:jc w:val="right"/>
              <w:rPr>
                <w:rFonts w:ascii="宋体" w:hAnsi="宋体" w:eastAsia="宋体" w:cs="宋体"/>
              </w:rPr>
            </w:pPr>
            <w:r>
              <w:rPr>
                <w:rFonts w:ascii="宋体" w:hAnsi="宋体" w:eastAsia="宋体" w:cs="宋体"/>
                <w:spacing w:val="-3"/>
              </w:rPr>
              <w:t>市政供电，自备</w:t>
            </w:r>
            <w:r>
              <w:rPr>
                <w:rFonts w:ascii="宋体" w:hAnsi="宋体" w:eastAsia="宋体" w:cs="宋体"/>
                <w:spacing w:val="-15"/>
              </w:rPr>
              <w:t xml:space="preserve"> </w:t>
            </w:r>
            <w:r>
              <w:rPr>
                <w:spacing w:val="-3"/>
              </w:rPr>
              <w:t>2</w:t>
            </w:r>
            <w:r>
              <w:rPr>
                <w:spacing w:val="48"/>
              </w:rPr>
              <w:t xml:space="preserve"> </w:t>
            </w:r>
            <w:r>
              <w:rPr>
                <w:rFonts w:ascii="宋体" w:hAnsi="宋体" w:eastAsia="宋体" w:cs="宋体"/>
                <w:spacing w:val="-3"/>
              </w:rPr>
              <w:t>台</w:t>
            </w:r>
            <w:r>
              <w:rPr>
                <w:rFonts w:ascii="宋体" w:hAnsi="宋体" w:eastAsia="宋体" w:cs="宋体"/>
                <w:spacing w:val="-19"/>
              </w:rPr>
              <w:t xml:space="preserve"> </w:t>
            </w:r>
            <w:r>
              <w:rPr>
                <w:spacing w:val="-3"/>
              </w:rPr>
              <w:t>500kW</w:t>
            </w:r>
            <w:r>
              <w:rPr>
                <w:spacing w:val="31"/>
              </w:rPr>
              <w:t xml:space="preserve"> </w:t>
            </w:r>
            <w:r>
              <w:rPr>
                <w:rFonts w:ascii="宋体" w:hAnsi="宋体" w:eastAsia="宋体" w:cs="宋体"/>
                <w:spacing w:val="-3"/>
              </w:rPr>
              <w:t>柴油发电机作为应急电</w:t>
            </w:r>
          </w:p>
        </w:tc>
        <w:tc>
          <w:tcPr>
            <w:tcW w:w="896" w:type="dxa"/>
            <w:vMerge w:val="continue"/>
            <w:tcBorders>
              <w:top w:val="nil"/>
            </w:tcBorders>
            <w:vAlign w:val="top"/>
          </w:tcPr>
          <w:p w14:paraId="286EC51A">
            <w:pPr>
              <w:rPr>
                <w:rFonts w:ascii="Arial"/>
                <w:sz w:val="21"/>
              </w:rPr>
            </w:pPr>
          </w:p>
        </w:tc>
        <w:tc>
          <w:tcPr>
            <w:tcW w:w="902" w:type="dxa"/>
            <w:vAlign w:val="top"/>
          </w:tcPr>
          <w:p w14:paraId="58DC9784">
            <w:pPr>
              <w:spacing w:before="69" w:line="220" w:lineRule="auto"/>
              <w:ind w:left="246"/>
              <w:rPr>
                <w:rFonts w:ascii="宋体" w:hAnsi="宋体" w:eastAsia="宋体" w:cs="宋体"/>
                <w:sz w:val="21"/>
                <w:szCs w:val="21"/>
              </w:rPr>
            </w:pPr>
            <w:r>
              <w:rPr>
                <w:rFonts w:ascii="宋体" w:hAnsi="宋体" w:eastAsia="宋体" w:cs="宋体"/>
                <w:spacing w:val="-2"/>
                <w:sz w:val="21"/>
                <w:szCs w:val="21"/>
              </w:rPr>
              <w:t>废气</w:t>
            </w:r>
          </w:p>
        </w:tc>
      </w:tr>
    </w:tbl>
    <w:p w14:paraId="207451C7">
      <w:pPr>
        <w:pStyle w:val="2"/>
      </w:pPr>
    </w:p>
    <w:p w14:paraId="2E220707">
      <w:pPr>
        <w:sectPr>
          <w:headerReference r:id="rId135" w:type="default"/>
          <w:footerReference r:id="rId136" w:type="default"/>
          <w:pgSz w:w="11905" w:h="16840"/>
          <w:pgMar w:top="1168" w:right="1768" w:bottom="1408" w:left="1770" w:header="828" w:footer="1244" w:gutter="0"/>
          <w:cols w:space="720" w:num="1"/>
        </w:sectPr>
      </w:pPr>
    </w:p>
    <w:p w14:paraId="015CB9A0">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850"/>
        <w:gridCol w:w="4814"/>
        <w:gridCol w:w="896"/>
        <w:gridCol w:w="902"/>
      </w:tblGrid>
      <w:tr w14:paraId="74A1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Merge w:val="restart"/>
            <w:tcBorders>
              <w:bottom w:val="nil"/>
            </w:tcBorders>
            <w:vAlign w:val="top"/>
          </w:tcPr>
          <w:p w14:paraId="2BE3E4C5">
            <w:pPr>
              <w:spacing w:before="243" w:line="220" w:lineRule="auto"/>
              <w:ind w:left="17"/>
              <w:rPr>
                <w:rFonts w:ascii="宋体" w:hAnsi="宋体" w:eastAsia="宋体" w:cs="宋体"/>
                <w:sz w:val="21"/>
                <w:szCs w:val="21"/>
              </w:rPr>
            </w:pPr>
            <w:r>
              <w:rPr>
                <w:rFonts w:ascii="宋体" w:hAnsi="宋体" w:eastAsia="宋体" w:cs="宋体"/>
                <w:spacing w:val="-3"/>
                <w:sz w:val="21"/>
                <w:szCs w:val="21"/>
              </w:rPr>
              <w:t>工程类别</w:t>
            </w:r>
          </w:p>
        </w:tc>
        <w:tc>
          <w:tcPr>
            <w:tcW w:w="850" w:type="dxa"/>
            <w:vMerge w:val="restart"/>
            <w:tcBorders>
              <w:bottom w:val="nil"/>
            </w:tcBorders>
            <w:vAlign w:val="top"/>
          </w:tcPr>
          <w:p w14:paraId="6EFEBB02">
            <w:pPr>
              <w:spacing w:before="244" w:line="220" w:lineRule="auto"/>
              <w:jc w:val="right"/>
              <w:rPr>
                <w:rFonts w:ascii="宋体" w:hAnsi="宋体" w:eastAsia="宋体" w:cs="宋体"/>
                <w:sz w:val="21"/>
                <w:szCs w:val="21"/>
              </w:rPr>
            </w:pPr>
            <w:r>
              <w:rPr>
                <w:rFonts w:ascii="宋体" w:hAnsi="宋体" w:eastAsia="宋体" w:cs="宋体"/>
                <w:spacing w:val="-3"/>
                <w:sz w:val="21"/>
                <w:szCs w:val="21"/>
              </w:rPr>
              <w:t>工程名称</w:t>
            </w:r>
          </w:p>
        </w:tc>
        <w:tc>
          <w:tcPr>
            <w:tcW w:w="4814" w:type="dxa"/>
            <w:vMerge w:val="restart"/>
            <w:tcBorders>
              <w:bottom w:val="nil"/>
            </w:tcBorders>
            <w:vAlign w:val="top"/>
          </w:tcPr>
          <w:p w14:paraId="3729368C">
            <w:pPr>
              <w:spacing w:before="243" w:line="220" w:lineRule="auto"/>
              <w:ind w:left="1996"/>
              <w:rPr>
                <w:rFonts w:ascii="宋体" w:hAnsi="宋体" w:eastAsia="宋体" w:cs="宋体"/>
                <w:sz w:val="21"/>
                <w:szCs w:val="21"/>
              </w:rPr>
            </w:pPr>
            <w:r>
              <w:rPr>
                <w:rFonts w:ascii="宋体" w:hAnsi="宋体" w:eastAsia="宋体" w:cs="宋体"/>
                <w:spacing w:val="-3"/>
                <w:sz w:val="21"/>
                <w:szCs w:val="21"/>
              </w:rPr>
              <w:t>建设内容</w:t>
            </w:r>
          </w:p>
        </w:tc>
        <w:tc>
          <w:tcPr>
            <w:tcW w:w="1798" w:type="dxa"/>
            <w:gridSpan w:val="2"/>
            <w:vAlign w:val="top"/>
          </w:tcPr>
          <w:p w14:paraId="348F53AE">
            <w:pPr>
              <w:spacing w:before="69" w:line="220" w:lineRule="auto"/>
              <w:ind w:left="276"/>
              <w:rPr>
                <w:rFonts w:ascii="宋体" w:hAnsi="宋体" w:eastAsia="宋体" w:cs="宋体"/>
                <w:sz w:val="21"/>
                <w:szCs w:val="21"/>
              </w:rPr>
            </w:pPr>
            <w:r>
              <w:rPr>
                <w:rFonts w:ascii="宋体" w:hAnsi="宋体" w:eastAsia="宋体" w:cs="宋体"/>
                <w:spacing w:val="-2"/>
                <w:sz w:val="21"/>
                <w:szCs w:val="21"/>
              </w:rPr>
              <w:t>主要环境问题</w:t>
            </w:r>
          </w:p>
        </w:tc>
      </w:tr>
      <w:tr w14:paraId="7AEAC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bottom w:val="nil"/>
            </w:tcBorders>
            <w:vAlign w:val="top"/>
          </w:tcPr>
          <w:p w14:paraId="68495533">
            <w:pPr>
              <w:rPr>
                <w:rFonts w:ascii="Arial"/>
                <w:sz w:val="21"/>
              </w:rPr>
            </w:pPr>
          </w:p>
        </w:tc>
        <w:tc>
          <w:tcPr>
            <w:tcW w:w="850" w:type="dxa"/>
            <w:vMerge w:val="continue"/>
            <w:tcBorders>
              <w:top w:val="nil"/>
            </w:tcBorders>
            <w:vAlign w:val="top"/>
          </w:tcPr>
          <w:p w14:paraId="6D8D66C9">
            <w:pPr>
              <w:rPr>
                <w:rFonts w:ascii="Arial"/>
                <w:sz w:val="21"/>
              </w:rPr>
            </w:pPr>
          </w:p>
        </w:tc>
        <w:tc>
          <w:tcPr>
            <w:tcW w:w="4814" w:type="dxa"/>
            <w:vMerge w:val="continue"/>
            <w:tcBorders>
              <w:top w:val="nil"/>
            </w:tcBorders>
            <w:vAlign w:val="top"/>
          </w:tcPr>
          <w:p w14:paraId="22569D67">
            <w:pPr>
              <w:rPr>
                <w:rFonts w:ascii="Arial"/>
                <w:sz w:val="21"/>
              </w:rPr>
            </w:pPr>
          </w:p>
        </w:tc>
        <w:tc>
          <w:tcPr>
            <w:tcW w:w="896" w:type="dxa"/>
            <w:vAlign w:val="top"/>
          </w:tcPr>
          <w:p w14:paraId="477058CF">
            <w:pPr>
              <w:spacing w:before="64" w:line="220" w:lineRule="auto"/>
              <w:ind w:left="139"/>
              <w:rPr>
                <w:rFonts w:ascii="宋体" w:hAnsi="宋体" w:eastAsia="宋体" w:cs="宋体"/>
                <w:sz w:val="21"/>
                <w:szCs w:val="21"/>
              </w:rPr>
            </w:pPr>
            <w:r>
              <w:rPr>
                <w:rFonts w:ascii="宋体" w:hAnsi="宋体" w:eastAsia="宋体" w:cs="宋体"/>
                <w:spacing w:val="-2"/>
                <w:sz w:val="21"/>
                <w:szCs w:val="21"/>
              </w:rPr>
              <w:t>施工期</w:t>
            </w:r>
          </w:p>
        </w:tc>
        <w:tc>
          <w:tcPr>
            <w:tcW w:w="902" w:type="dxa"/>
            <w:vAlign w:val="top"/>
          </w:tcPr>
          <w:p w14:paraId="6426EEFC">
            <w:pPr>
              <w:spacing w:before="64" w:line="220" w:lineRule="auto"/>
              <w:ind w:left="141"/>
              <w:rPr>
                <w:rFonts w:ascii="宋体" w:hAnsi="宋体" w:eastAsia="宋体" w:cs="宋体"/>
                <w:sz w:val="21"/>
                <w:szCs w:val="21"/>
              </w:rPr>
            </w:pPr>
            <w:r>
              <w:rPr>
                <w:rFonts w:ascii="宋体" w:hAnsi="宋体" w:eastAsia="宋体" w:cs="宋体"/>
                <w:spacing w:val="-2"/>
                <w:sz w:val="21"/>
                <w:szCs w:val="21"/>
              </w:rPr>
              <w:t>运营期</w:t>
            </w:r>
          </w:p>
        </w:tc>
      </w:tr>
      <w:tr w14:paraId="7E6B0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continue"/>
            <w:tcBorders>
              <w:top w:val="nil"/>
              <w:bottom w:val="nil"/>
            </w:tcBorders>
            <w:vAlign w:val="top"/>
          </w:tcPr>
          <w:p w14:paraId="0789DA1B">
            <w:pPr>
              <w:rPr>
                <w:rFonts w:ascii="Arial"/>
                <w:sz w:val="21"/>
              </w:rPr>
            </w:pPr>
          </w:p>
        </w:tc>
        <w:tc>
          <w:tcPr>
            <w:tcW w:w="850" w:type="dxa"/>
            <w:vAlign w:val="top"/>
          </w:tcPr>
          <w:p w14:paraId="44BAB9F8">
            <w:pPr>
              <w:rPr>
                <w:rFonts w:ascii="Arial"/>
                <w:sz w:val="21"/>
              </w:rPr>
            </w:pPr>
          </w:p>
        </w:tc>
        <w:tc>
          <w:tcPr>
            <w:tcW w:w="4814" w:type="dxa"/>
            <w:vAlign w:val="top"/>
          </w:tcPr>
          <w:p w14:paraId="04AB17F7">
            <w:pPr>
              <w:spacing w:before="51" w:line="222" w:lineRule="auto"/>
              <w:ind w:left="9"/>
              <w:rPr>
                <w:rFonts w:ascii="宋体" w:hAnsi="宋体" w:eastAsia="宋体" w:cs="宋体"/>
                <w:sz w:val="21"/>
                <w:szCs w:val="21"/>
              </w:rPr>
            </w:pPr>
            <w:r>
              <w:rPr>
                <w:rFonts w:ascii="宋体" w:hAnsi="宋体" w:eastAsia="宋体" w:cs="宋体"/>
                <w:spacing w:val="-10"/>
                <w:sz w:val="21"/>
                <w:szCs w:val="21"/>
              </w:rPr>
              <w:t>源。</w:t>
            </w:r>
          </w:p>
        </w:tc>
        <w:tc>
          <w:tcPr>
            <w:tcW w:w="896" w:type="dxa"/>
            <w:vMerge w:val="restart"/>
            <w:tcBorders>
              <w:bottom w:val="nil"/>
            </w:tcBorders>
            <w:vAlign w:val="top"/>
          </w:tcPr>
          <w:p w14:paraId="4EB6CE53">
            <w:pPr>
              <w:rPr>
                <w:rFonts w:ascii="Arial"/>
                <w:sz w:val="21"/>
              </w:rPr>
            </w:pPr>
          </w:p>
        </w:tc>
        <w:tc>
          <w:tcPr>
            <w:tcW w:w="902" w:type="dxa"/>
            <w:vAlign w:val="top"/>
          </w:tcPr>
          <w:p w14:paraId="2BA07B78">
            <w:pPr>
              <w:spacing w:before="51" w:line="220" w:lineRule="auto"/>
              <w:ind w:left="257"/>
              <w:rPr>
                <w:rFonts w:ascii="宋体" w:hAnsi="宋体" w:eastAsia="宋体" w:cs="宋体"/>
                <w:sz w:val="21"/>
                <w:szCs w:val="21"/>
              </w:rPr>
            </w:pPr>
            <w:r>
              <w:rPr>
                <w:rFonts w:ascii="宋体" w:hAnsi="宋体" w:eastAsia="宋体" w:cs="宋体"/>
                <w:spacing w:val="-5"/>
                <w:sz w:val="21"/>
                <w:szCs w:val="21"/>
              </w:rPr>
              <w:t>噪声</w:t>
            </w:r>
          </w:p>
        </w:tc>
      </w:tr>
      <w:tr w14:paraId="11601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8" w:type="dxa"/>
            <w:vMerge w:val="continue"/>
            <w:tcBorders>
              <w:top w:val="nil"/>
            </w:tcBorders>
            <w:vAlign w:val="top"/>
          </w:tcPr>
          <w:p w14:paraId="63FE92FF">
            <w:pPr>
              <w:rPr>
                <w:rFonts w:ascii="Arial"/>
                <w:sz w:val="21"/>
              </w:rPr>
            </w:pPr>
          </w:p>
        </w:tc>
        <w:tc>
          <w:tcPr>
            <w:tcW w:w="850" w:type="dxa"/>
            <w:vAlign w:val="top"/>
          </w:tcPr>
          <w:p w14:paraId="2701B6C4">
            <w:pPr>
              <w:spacing w:before="206" w:line="219" w:lineRule="auto"/>
              <w:jc w:val="right"/>
              <w:rPr>
                <w:rFonts w:ascii="宋体" w:hAnsi="宋体" w:eastAsia="宋体" w:cs="宋体"/>
                <w:sz w:val="21"/>
                <w:szCs w:val="21"/>
              </w:rPr>
            </w:pPr>
            <w:r>
              <w:rPr>
                <w:rFonts w:ascii="宋体" w:hAnsi="宋体" w:eastAsia="宋体" w:cs="宋体"/>
                <w:spacing w:val="-2"/>
                <w:sz w:val="21"/>
                <w:szCs w:val="21"/>
              </w:rPr>
              <w:t>通风供热</w:t>
            </w:r>
          </w:p>
        </w:tc>
        <w:tc>
          <w:tcPr>
            <w:tcW w:w="4814" w:type="dxa"/>
            <w:vAlign w:val="top"/>
          </w:tcPr>
          <w:p w14:paraId="77C7F0DF">
            <w:pPr>
              <w:spacing w:before="50" w:line="250" w:lineRule="auto"/>
              <w:ind w:left="9"/>
              <w:rPr>
                <w:rFonts w:ascii="宋体" w:hAnsi="宋体" w:eastAsia="宋体" w:cs="宋体"/>
                <w:sz w:val="21"/>
                <w:szCs w:val="21"/>
              </w:rPr>
            </w:pPr>
            <w:r>
              <w:rPr>
                <w:rFonts w:ascii="宋体" w:hAnsi="宋体" w:eastAsia="宋体" w:cs="宋体"/>
                <w:spacing w:val="-5"/>
                <w:sz w:val="21"/>
                <w:szCs w:val="21"/>
              </w:rPr>
              <w:t>猪舍主要采用机械通风，夏季采用水帘降温并保持猪</w:t>
            </w:r>
            <w:r>
              <w:rPr>
                <w:rFonts w:ascii="宋体" w:hAnsi="宋体" w:eastAsia="宋体" w:cs="宋体"/>
                <w:spacing w:val="-10"/>
                <w:sz w:val="21"/>
                <w:szCs w:val="21"/>
              </w:rPr>
              <w:t>舍湿度、温度；猪舍冬季取暖主要采用电加热板</w:t>
            </w:r>
            <w:r>
              <w:rPr>
                <w:rFonts w:ascii="宋体" w:hAnsi="宋体" w:eastAsia="宋体" w:cs="宋体"/>
                <w:spacing w:val="-11"/>
                <w:sz w:val="21"/>
                <w:szCs w:val="21"/>
              </w:rPr>
              <w:t>供暖。</w:t>
            </w:r>
          </w:p>
        </w:tc>
        <w:tc>
          <w:tcPr>
            <w:tcW w:w="896" w:type="dxa"/>
            <w:vMerge w:val="continue"/>
            <w:tcBorders>
              <w:top w:val="nil"/>
              <w:bottom w:val="nil"/>
            </w:tcBorders>
            <w:vAlign w:val="top"/>
          </w:tcPr>
          <w:p w14:paraId="070B2397">
            <w:pPr>
              <w:rPr>
                <w:rFonts w:ascii="Arial"/>
                <w:sz w:val="21"/>
              </w:rPr>
            </w:pPr>
          </w:p>
        </w:tc>
        <w:tc>
          <w:tcPr>
            <w:tcW w:w="902" w:type="dxa"/>
            <w:vAlign w:val="top"/>
          </w:tcPr>
          <w:p w14:paraId="75088B77">
            <w:pPr>
              <w:pStyle w:val="6"/>
              <w:spacing w:before="239" w:line="192" w:lineRule="auto"/>
              <w:ind w:left="419"/>
            </w:pPr>
            <w:r>
              <w:t>/</w:t>
            </w:r>
          </w:p>
        </w:tc>
      </w:tr>
      <w:tr w14:paraId="72672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4" w:hRule="atLeast"/>
        </w:trPr>
        <w:tc>
          <w:tcPr>
            <w:tcW w:w="858" w:type="dxa"/>
            <w:vMerge w:val="restart"/>
            <w:tcBorders>
              <w:bottom w:val="nil"/>
            </w:tcBorders>
            <w:vAlign w:val="top"/>
          </w:tcPr>
          <w:p w14:paraId="379B5360">
            <w:pPr>
              <w:spacing w:line="245" w:lineRule="auto"/>
              <w:rPr>
                <w:rFonts w:ascii="Arial"/>
                <w:sz w:val="21"/>
              </w:rPr>
            </w:pPr>
          </w:p>
          <w:p w14:paraId="13B9D376">
            <w:pPr>
              <w:spacing w:line="245" w:lineRule="auto"/>
              <w:rPr>
                <w:rFonts w:ascii="Arial"/>
                <w:sz w:val="21"/>
              </w:rPr>
            </w:pPr>
          </w:p>
          <w:p w14:paraId="263BBB80">
            <w:pPr>
              <w:spacing w:line="245" w:lineRule="auto"/>
              <w:rPr>
                <w:rFonts w:ascii="Arial"/>
                <w:sz w:val="21"/>
              </w:rPr>
            </w:pPr>
          </w:p>
          <w:p w14:paraId="6394E7C4">
            <w:pPr>
              <w:spacing w:line="245" w:lineRule="auto"/>
              <w:rPr>
                <w:rFonts w:ascii="Arial"/>
                <w:sz w:val="21"/>
              </w:rPr>
            </w:pPr>
          </w:p>
          <w:p w14:paraId="1336B7E0">
            <w:pPr>
              <w:spacing w:line="245" w:lineRule="auto"/>
              <w:rPr>
                <w:rFonts w:ascii="Arial"/>
                <w:sz w:val="21"/>
              </w:rPr>
            </w:pPr>
          </w:p>
          <w:p w14:paraId="351A1D2A">
            <w:pPr>
              <w:spacing w:line="245" w:lineRule="auto"/>
              <w:rPr>
                <w:rFonts w:ascii="Arial"/>
                <w:sz w:val="21"/>
              </w:rPr>
            </w:pPr>
          </w:p>
          <w:p w14:paraId="7CF0D537">
            <w:pPr>
              <w:spacing w:line="245" w:lineRule="auto"/>
              <w:rPr>
                <w:rFonts w:ascii="Arial"/>
                <w:sz w:val="21"/>
              </w:rPr>
            </w:pPr>
          </w:p>
          <w:p w14:paraId="3BB2ABFD">
            <w:pPr>
              <w:spacing w:line="245" w:lineRule="auto"/>
              <w:rPr>
                <w:rFonts w:ascii="Arial"/>
                <w:sz w:val="21"/>
              </w:rPr>
            </w:pPr>
          </w:p>
          <w:p w14:paraId="5B62E9E5">
            <w:pPr>
              <w:spacing w:line="245" w:lineRule="auto"/>
              <w:rPr>
                <w:rFonts w:ascii="Arial"/>
                <w:sz w:val="21"/>
              </w:rPr>
            </w:pPr>
          </w:p>
          <w:p w14:paraId="46A8D6EC">
            <w:pPr>
              <w:spacing w:line="245" w:lineRule="auto"/>
              <w:rPr>
                <w:rFonts w:ascii="Arial"/>
                <w:sz w:val="21"/>
              </w:rPr>
            </w:pPr>
          </w:p>
          <w:p w14:paraId="00B529B7">
            <w:pPr>
              <w:spacing w:line="245" w:lineRule="auto"/>
              <w:rPr>
                <w:rFonts w:ascii="Arial"/>
                <w:sz w:val="21"/>
              </w:rPr>
            </w:pPr>
          </w:p>
          <w:p w14:paraId="2DBAF80B">
            <w:pPr>
              <w:spacing w:line="245" w:lineRule="auto"/>
              <w:rPr>
                <w:rFonts w:ascii="Arial"/>
                <w:sz w:val="21"/>
              </w:rPr>
            </w:pPr>
          </w:p>
          <w:p w14:paraId="36271443">
            <w:pPr>
              <w:spacing w:line="245" w:lineRule="auto"/>
              <w:rPr>
                <w:rFonts w:ascii="Arial"/>
                <w:sz w:val="21"/>
              </w:rPr>
            </w:pPr>
          </w:p>
          <w:p w14:paraId="75FDAB61">
            <w:pPr>
              <w:spacing w:line="245" w:lineRule="auto"/>
              <w:rPr>
                <w:rFonts w:ascii="Arial"/>
                <w:sz w:val="21"/>
              </w:rPr>
            </w:pPr>
          </w:p>
          <w:p w14:paraId="11FA5778">
            <w:pPr>
              <w:spacing w:line="245" w:lineRule="auto"/>
              <w:rPr>
                <w:rFonts w:ascii="Arial"/>
                <w:sz w:val="21"/>
              </w:rPr>
            </w:pPr>
          </w:p>
          <w:p w14:paraId="63D8738D">
            <w:pPr>
              <w:spacing w:line="246" w:lineRule="auto"/>
              <w:rPr>
                <w:rFonts w:ascii="Arial"/>
                <w:sz w:val="21"/>
              </w:rPr>
            </w:pPr>
          </w:p>
          <w:p w14:paraId="4FA3B9A7">
            <w:pPr>
              <w:spacing w:line="246" w:lineRule="auto"/>
              <w:rPr>
                <w:rFonts w:ascii="Arial"/>
                <w:sz w:val="21"/>
              </w:rPr>
            </w:pPr>
          </w:p>
          <w:p w14:paraId="4964E631">
            <w:pPr>
              <w:spacing w:line="246" w:lineRule="auto"/>
              <w:rPr>
                <w:rFonts w:ascii="Arial"/>
                <w:sz w:val="21"/>
              </w:rPr>
            </w:pPr>
          </w:p>
          <w:p w14:paraId="26CCE687">
            <w:pPr>
              <w:spacing w:line="246" w:lineRule="auto"/>
              <w:rPr>
                <w:rFonts w:ascii="Arial"/>
                <w:sz w:val="21"/>
              </w:rPr>
            </w:pPr>
          </w:p>
          <w:p w14:paraId="38B43AD8">
            <w:pPr>
              <w:spacing w:line="246" w:lineRule="auto"/>
              <w:rPr>
                <w:rFonts w:ascii="Arial"/>
                <w:sz w:val="21"/>
              </w:rPr>
            </w:pPr>
          </w:p>
          <w:p w14:paraId="020D978C">
            <w:pPr>
              <w:spacing w:line="246" w:lineRule="auto"/>
              <w:rPr>
                <w:rFonts w:ascii="Arial"/>
                <w:sz w:val="21"/>
              </w:rPr>
            </w:pPr>
          </w:p>
          <w:p w14:paraId="170C360F">
            <w:pPr>
              <w:spacing w:line="246" w:lineRule="auto"/>
              <w:rPr>
                <w:rFonts w:ascii="Arial"/>
                <w:sz w:val="21"/>
              </w:rPr>
            </w:pPr>
          </w:p>
          <w:p w14:paraId="2DAD279A">
            <w:pPr>
              <w:spacing w:line="246" w:lineRule="auto"/>
              <w:rPr>
                <w:rFonts w:ascii="Arial"/>
                <w:sz w:val="21"/>
              </w:rPr>
            </w:pPr>
          </w:p>
          <w:p w14:paraId="259FD54F">
            <w:pPr>
              <w:spacing w:line="246" w:lineRule="auto"/>
              <w:rPr>
                <w:rFonts w:ascii="Arial"/>
                <w:sz w:val="21"/>
              </w:rPr>
            </w:pPr>
          </w:p>
          <w:p w14:paraId="25240D47">
            <w:pPr>
              <w:spacing w:before="68" w:line="220" w:lineRule="auto"/>
              <w:ind w:left="15"/>
              <w:rPr>
                <w:rFonts w:ascii="宋体" w:hAnsi="宋体" w:eastAsia="宋体" w:cs="宋体"/>
                <w:sz w:val="21"/>
                <w:szCs w:val="21"/>
              </w:rPr>
            </w:pPr>
            <w:r>
              <w:rPr>
                <w:rFonts w:ascii="宋体" w:hAnsi="宋体" w:eastAsia="宋体" w:cs="宋体"/>
                <w:spacing w:val="-2"/>
                <w:sz w:val="21"/>
                <w:szCs w:val="21"/>
              </w:rPr>
              <w:t>环保工程</w:t>
            </w:r>
          </w:p>
        </w:tc>
        <w:tc>
          <w:tcPr>
            <w:tcW w:w="850" w:type="dxa"/>
            <w:vAlign w:val="top"/>
          </w:tcPr>
          <w:p w14:paraId="0543A755">
            <w:pPr>
              <w:spacing w:line="269" w:lineRule="auto"/>
              <w:rPr>
                <w:rFonts w:ascii="Arial"/>
                <w:sz w:val="21"/>
              </w:rPr>
            </w:pPr>
          </w:p>
          <w:p w14:paraId="09EC5717">
            <w:pPr>
              <w:spacing w:line="269" w:lineRule="auto"/>
              <w:rPr>
                <w:rFonts w:ascii="Arial"/>
                <w:sz w:val="21"/>
              </w:rPr>
            </w:pPr>
          </w:p>
          <w:p w14:paraId="13FF4E7C">
            <w:pPr>
              <w:spacing w:line="269" w:lineRule="auto"/>
              <w:rPr>
                <w:rFonts w:ascii="Arial"/>
                <w:sz w:val="21"/>
              </w:rPr>
            </w:pPr>
          </w:p>
          <w:p w14:paraId="24D2FD02">
            <w:pPr>
              <w:spacing w:line="269" w:lineRule="auto"/>
              <w:rPr>
                <w:rFonts w:ascii="Arial"/>
                <w:sz w:val="21"/>
              </w:rPr>
            </w:pPr>
          </w:p>
          <w:p w14:paraId="40430E27">
            <w:pPr>
              <w:spacing w:line="269" w:lineRule="auto"/>
              <w:rPr>
                <w:rFonts w:ascii="Arial"/>
                <w:sz w:val="21"/>
              </w:rPr>
            </w:pPr>
          </w:p>
          <w:p w14:paraId="6BB40E93">
            <w:pPr>
              <w:spacing w:line="269" w:lineRule="auto"/>
              <w:rPr>
                <w:rFonts w:ascii="Arial"/>
                <w:sz w:val="21"/>
              </w:rPr>
            </w:pPr>
          </w:p>
          <w:p w14:paraId="53AA13A7">
            <w:pPr>
              <w:spacing w:line="269" w:lineRule="auto"/>
              <w:rPr>
                <w:rFonts w:ascii="Arial"/>
                <w:sz w:val="21"/>
              </w:rPr>
            </w:pPr>
          </w:p>
          <w:p w14:paraId="4A706806">
            <w:pPr>
              <w:spacing w:line="270" w:lineRule="auto"/>
              <w:rPr>
                <w:rFonts w:ascii="Arial"/>
                <w:sz w:val="21"/>
              </w:rPr>
            </w:pPr>
          </w:p>
          <w:p w14:paraId="20676DF6">
            <w:pPr>
              <w:spacing w:before="68" w:line="220" w:lineRule="auto"/>
              <w:jc w:val="right"/>
              <w:rPr>
                <w:rFonts w:ascii="宋体" w:hAnsi="宋体" w:eastAsia="宋体" w:cs="宋体"/>
                <w:sz w:val="21"/>
                <w:szCs w:val="21"/>
              </w:rPr>
            </w:pPr>
            <w:r>
              <w:rPr>
                <w:rFonts w:ascii="宋体" w:hAnsi="宋体" w:eastAsia="宋体" w:cs="宋体"/>
                <w:spacing w:val="-2"/>
                <w:sz w:val="21"/>
                <w:szCs w:val="21"/>
              </w:rPr>
              <w:t>废水处理</w:t>
            </w:r>
          </w:p>
        </w:tc>
        <w:tc>
          <w:tcPr>
            <w:tcW w:w="4814" w:type="dxa"/>
            <w:vAlign w:val="top"/>
          </w:tcPr>
          <w:p w14:paraId="46C6FCFE">
            <w:pPr>
              <w:pStyle w:val="6"/>
              <w:spacing w:before="36" w:line="275" w:lineRule="auto"/>
              <w:ind w:left="9"/>
              <w:rPr>
                <w:rFonts w:ascii="宋体" w:hAnsi="宋体" w:eastAsia="宋体" w:cs="宋体"/>
              </w:rPr>
            </w:pPr>
            <w:r>
              <w:rPr>
                <w:rFonts w:ascii="宋体" w:hAnsi="宋体" w:eastAsia="宋体" w:cs="宋体"/>
                <w:spacing w:val="-6"/>
              </w:rPr>
              <w:t xml:space="preserve">①养殖废水：粪污处理区建设 </w:t>
            </w:r>
            <w:r>
              <w:rPr>
                <w:spacing w:val="-6"/>
              </w:rPr>
              <w:t>1</w:t>
            </w:r>
            <w:r>
              <w:rPr>
                <w:spacing w:val="33"/>
              </w:rPr>
              <w:t xml:space="preserve"> </w:t>
            </w:r>
            <w:r>
              <w:rPr>
                <w:rFonts w:ascii="宋体" w:hAnsi="宋体" w:eastAsia="宋体" w:cs="宋体"/>
                <w:spacing w:val="-6"/>
              </w:rPr>
              <w:t>座处理规模</w:t>
            </w:r>
            <w:r>
              <w:rPr>
                <w:rFonts w:ascii="宋体" w:hAnsi="宋体" w:eastAsia="宋体" w:cs="宋体"/>
                <w:spacing w:val="-27"/>
              </w:rPr>
              <w:t xml:space="preserve"> </w:t>
            </w:r>
            <w:r>
              <w:rPr>
                <w:spacing w:val="-6"/>
              </w:rPr>
              <w:t>500m</w:t>
            </w:r>
            <w:r>
              <w:rPr>
                <w:spacing w:val="-6"/>
                <w:position w:val="9"/>
                <w:sz w:val="14"/>
                <w:szCs w:val="14"/>
              </w:rPr>
              <w:t>3</w:t>
            </w:r>
            <w:r>
              <w:rPr>
                <w:spacing w:val="-6"/>
              </w:rPr>
              <w:t>/d</w:t>
            </w:r>
            <w:r>
              <w:rPr>
                <w:rFonts w:ascii="宋体" w:hAnsi="宋体" w:eastAsia="宋体" w:cs="宋体"/>
                <w:spacing w:val="-4"/>
              </w:rPr>
              <w:t>污水处理站，采用“格栅井</w:t>
            </w:r>
            <w:r>
              <w:rPr>
                <w:spacing w:val="-4"/>
              </w:rPr>
              <w:t>+</w:t>
            </w:r>
            <w:r>
              <w:rPr>
                <w:rFonts w:ascii="宋体" w:hAnsi="宋体" w:eastAsia="宋体" w:cs="宋体"/>
                <w:spacing w:val="-4"/>
              </w:rPr>
              <w:t>粪污收集池</w:t>
            </w:r>
            <w:r>
              <w:rPr>
                <w:spacing w:val="-4"/>
              </w:rPr>
              <w:t>+</w:t>
            </w:r>
            <w:r>
              <w:rPr>
                <w:spacing w:val="-16"/>
              </w:rPr>
              <w:t xml:space="preserve"> </w:t>
            </w:r>
            <w:r>
              <w:rPr>
                <w:rFonts w:ascii="宋体" w:hAnsi="宋体" w:eastAsia="宋体" w:cs="宋体"/>
                <w:spacing w:val="-4"/>
              </w:rPr>
              <w:t>固液分离</w:t>
            </w:r>
            <w:r>
              <w:rPr>
                <w:spacing w:val="-4"/>
              </w:rPr>
              <w:t>+</w:t>
            </w:r>
            <w:r>
              <w:rPr>
                <w:rFonts w:ascii="宋体" w:hAnsi="宋体" w:eastAsia="宋体" w:cs="宋体"/>
                <w:spacing w:val="-3"/>
              </w:rPr>
              <w:t>水解酸化池</w:t>
            </w:r>
            <w:r>
              <w:rPr>
                <w:spacing w:val="-3"/>
              </w:rPr>
              <w:t xml:space="preserve">+CSTR  </w:t>
            </w:r>
            <w:r>
              <w:rPr>
                <w:rFonts w:ascii="宋体" w:hAnsi="宋体" w:eastAsia="宋体" w:cs="宋体"/>
                <w:spacing w:val="-3"/>
              </w:rPr>
              <w:t>厌氧反应器</w:t>
            </w:r>
            <w:r>
              <w:rPr>
                <w:spacing w:val="-3"/>
              </w:rPr>
              <w:t>+</w:t>
            </w:r>
            <w:r>
              <w:rPr>
                <w:rFonts w:ascii="宋体" w:hAnsi="宋体" w:eastAsia="宋体" w:cs="宋体"/>
                <w:spacing w:val="-3"/>
              </w:rPr>
              <w:t>微生物曝氧塘</w:t>
            </w:r>
            <w:r>
              <w:rPr>
                <w:spacing w:val="-3"/>
              </w:rPr>
              <w:t>+</w:t>
            </w:r>
            <w:r>
              <w:rPr>
                <w:rFonts w:ascii="宋体" w:hAnsi="宋体" w:eastAsia="宋体" w:cs="宋体"/>
                <w:spacing w:val="-3"/>
              </w:rPr>
              <w:t>前置</w:t>
            </w:r>
            <w:r>
              <w:rPr>
                <w:rFonts w:ascii="宋体" w:hAnsi="宋体" w:eastAsia="宋体" w:cs="宋体"/>
                <w:spacing w:val="1"/>
              </w:rPr>
              <w:t>物化系统</w:t>
            </w:r>
            <w:r>
              <w:rPr>
                <w:spacing w:val="1"/>
              </w:rPr>
              <w:t>+</w:t>
            </w:r>
            <w:r>
              <w:rPr>
                <w:rFonts w:ascii="宋体" w:hAnsi="宋体" w:eastAsia="宋体" w:cs="宋体"/>
                <w:spacing w:val="1"/>
              </w:rPr>
              <w:t>一级缺氧池</w:t>
            </w:r>
            <w:r>
              <w:rPr>
                <w:spacing w:val="1"/>
              </w:rPr>
              <w:t>+</w:t>
            </w:r>
            <w:r>
              <w:rPr>
                <w:rFonts w:ascii="宋体" w:hAnsi="宋体" w:eastAsia="宋体" w:cs="宋体"/>
                <w:spacing w:val="1"/>
              </w:rPr>
              <w:t>一级好氧池</w:t>
            </w:r>
            <w:r>
              <w:rPr>
                <w:spacing w:val="1"/>
              </w:rPr>
              <w:t>+</w:t>
            </w:r>
            <w:r>
              <w:rPr>
                <w:rFonts w:ascii="宋体" w:hAnsi="宋体" w:eastAsia="宋体" w:cs="宋体"/>
                <w:spacing w:val="1"/>
              </w:rPr>
              <w:t>一级沉淀池</w:t>
            </w:r>
            <w:r>
              <w:rPr>
                <w:spacing w:val="1"/>
              </w:rPr>
              <w:t>+</w:t>
            </w:r>
            <w:r>
              <w:rPr>
                <w:rFonts w:ascii="宋体" w:hAnsi="宋体" w:eastAsia="宋体" w:cs="宋体"/>
                <w:spacing w:val="1"/>
              </w:rPr>
              <w:t>二级缺氧池</w:t>
            </w:r>
            <w:r>
              <w:rPr>
                <w:spacing w:val="1"/>
              </w:rPr>
              <w:t>+</w:t>
            </w:r>
            <w:r>
              <w:rPr>
                <w:rFonts w:ascii="宋体" w:hAnsi="宋体" w:eastAsia="宋体" w:cs="宋体"/>
                <w:spacing w:val="1"/>
              </w:rPr>
              <w:t>二级好氧池</w:t>
            </w:r>
            <w:r>
              <w:rPr>
                <w:spacing w:val="1"/>
              </w:rPr>
              <w:t>+</w:t>
            </w:r>
            <w:r>
              <w:rPr>
                <w:rFonts w:ascii="宋体" w:hAnsi="宋体" w:eastAsia="宋体" w:cs="宋体"/>
                <w:spacing w:val="1"/>
              </w:rPr>
              <w:t>二级沉淀池</w:t>
            </w:r>
            <w:r>
              <w:rPr>
                <w:spacing w:val="1"/>
              </w:rPr>
              <w:t>+</w:t>
            </w:r>
            <w:r>
              <w:rPr>
                <w:rFonts w:ascii="宋体" w:hAnsi="宋体" w:eastAsia="宋体" w:cs="宋体"/>
                <w:spacing w:val="1"/>
              </w:rPr>
              <w:t>混凝沉淀</w:t>
            </w:r>
            <w:r>
              <w:rPr>
                <w:spacing w:val="1"/>
              </w:rPr>
              <w:t>+</w:t>
            </w:r>
            <w:r>
              <w:rPr>
                <w:rFonts w:ascii="宋体" w:hAnsi="宋体" w:eastAsia="宋体" w:cs="宋体"/>
                <w:spacing w:val="1"/>
              </w:rPr>
              <w:t>消毒</w:t>
            </w:r>
            <w:r>
              <w:rPr>
                <w:rFonts w:ascii="宋体" w:hAnsi="宋体" w:eastAsia="宋体" w:cs="宋体"/>
                <w:spacing w:val="19"/>
              </w:rPr>
              <w:t>池”处理</w:t>
            </w:r>
            <w:r>
              <w:rPr>
                <w:rFonts w:ascii="宋体" w:hAnsi="宋体" w:eastAsia="宋体" w:cs="宋体"/>
                <w:spacing w:val="-53"/>
              </w:rPr>
              <w:t xml:space="preserve"> </w:t>
            </w:r>
            <w:r>
              <w:rPr>
                <w:rFonts w:ascii="宋体" w:hAnsi="宋体" w:eastAsia="宋体" w:cs="宋体"/>
                <w:spacing w:val="19"/>
              </w:rPr>
              <w:t>工艺，处</w:t>
            </w:r>
            <w:r>
              <w:rPr>
                <w:rFonts w:ascii="宋体" w:hAnsi="宋体" w:eastAsia="宋体" w:cs="宋体"/>
                <w:spacing w:val="-57"/>
              </w:rPr>
              <w:t xml:space="preserve"> </w:t>
            </w:r>
            <w:r>
              <w:rPr>
                <w:rFonts w:ascii="宋体" w:hAnsi="宋体" w:eastAsia="宋体" w:cs="宋体"/>
                <w:spacing w:val="19"/>
              </w:rPr>
              <w:t>理达《农</w:t>
            </w:r>
            <w:r>
              <w:rPr>
                <w:rFonts w:ascii="宋体" w:hAnsi="宋体" w:eastAsia="宋体" w:cs="宋体"/>
                <w:spacing w:val="-34"/>
              </w:rPr>
              <w:t xml:space="preserve"> </w:t>
            </w:r>
            <w:r>
              <w:rPr>
                <w:rFonts w:ascii="宋体" w:hAnsi="宋体" w:eastAsia="宋体" w:cs="宋体"/>
                <w:spacing w:val="19"/>
              </w:rPr>
              <w:t>田灌溉水</w:t>
            </w:r>
            <w:r>
              <w:rPr>
                <w:rFonts w:ascii="宋体" w:hAnsi="宋体" w:eastAsia="宋体" w:cs="宋体"/>
                <w:spacing w:val="-58"/>
              </w:rPr>
              <w:t xml:space="preserve"> </w:t>
            </w:r>
            <w:r>
              <w:rPr>
                <w:rFonts w:ascii="宋体" w:hAnsi="宋体" w:eastAsia="宋体" w:cs="宋体"/>
                <w:spacing w:val="19"/>
              </w:rPr>
              <w:t>质标准》</w:t>
            </w:r>
            <w:r>
              <w:rPr>
                <w:rFonts w:ascii="宋体" w:hAnsi="宋体" w:eastAsia="宋体" w:cs="宋体"/>
              </w:rPr>
              <w:t xml:space="preserve"> </w:t>
            </w:r>
            <w:r>
              <w:rPr>
                <w:rFonts w:ascii="宋体" w:hAnsi="宋体" w:eastAsia="宋体" w:cs="宋体"/>
                <w:spacing w:val="-5"/>
              </w:rPr>
              <w:t>（</w:t>
            </w:r>
            <w:r>
              <w:rPr>
                <w:spacing w:val="-5"/>
              </w:rPr>
              <w:t>GB5084-2021</w:t>
            </w:r>
            <w:r>
              <w:rPr>
                <w:rFonts w:ascii="宋体" w:hAnsi="宋体" w:eastAsia="宋体" w:cs="宋体"/>
                <w:spacing w:val="-5"/>
              </w:rPr>
              <w:t>）旱地作物限值后用于消纳地农灌。</w:t>
            </w:r>
          </w:p>
          <w:p w14:paraId="072CAA44">
            <w:pPr>
              <w:pStyle w:val="6"/>
              <w:spacing w:line="270" w:lineRule="auto"/>
              <w:ind w:left="12" w:right="1" w:hanging="4"/>
              <w:rPr>
                <w:rFonts w:ascii="宋体" w:hAnsi="宋体" w:eastAsia="宋体" w:cs="宋体"/>
              </w:rPr>
            </w:pPr>
            <w:r>
              <w:rPr>
                <w:rFonts w:ascii="宋体" w:hAnsi="宋体" w:eastAsia="宋体" w:cs="宋体"/>
                <w:spacing w:val="2"/>
              </w:rPr>
              <w:t>②生活污水：在办公生活区设置</w:t>
            </w:r>
            <w:r>
              <w:rPr>
                <w:rFonts w:ascii="宋体" w:hAnsi="宋体" w:eastAsia="宋体" w:cs="宋体"/>
                <w:spacing w:val="29"/>
              </w:rPr>
              <w:t xml:space="preserve"> </w:t>
            </w:r>
            <w:r>
              <w:rPr>
                <w:spacing w:val="2"/>
              </w:rPr>
              <w:t xml:space="preserve">1  </w:t>
            </w:r>
            <w:r>
              <w:rPr>
                <w:rFonts w:ascii="宋体" w:hAnsi="宋体" w:eastAsia="宋体" w:cs="宋体"/>
                <w:spacing w:val="2"/>
              </w:rPr>
              <w:t>座化粪</w:t>
            </w:r>
            <w:r>
              <w:rPr>
                <w:rFonts w:ascii="宋体" w:hAnsi="宋体" w:eastAsia="宋体" w:cs="宋体"/>
                <w:spacing w:val="1"/>
              </w:rPr>
              <w:t>池，容积</w:t>
            </w:r>
            <w:r>
              <w:rPr>
                <w:spacing w:val="-3"/>
              </w:rPr>
              <w:t>12m</w:t>
            </w:r>
            <w:r>
              <w:rPr>
                <w:spacing w:val="-3"/>
                <w:position w:val="9"/>
                <w:sz w:val="14"/>
                <w:szCs w:val="14"/>
              </w:rPr>
              <w:t>3</w:t>
            </w:r>
            <w:r>
              <w:rPr>
                <w:rFonts w:ascii="宋体" w:hAnsi="宋体" w:eastAsia="宋体" w:cs="宋体"/>
                <w:spacing w:val="-3"/>
              </w:rPr>
              <w:t>，生活污水先经化粪池预处理后，再进入粪污处</w:t>
            </w:r>
            <w:r>
              <w:rPr>
                <w:rFonts w:ascii="宋体" w:hAnsi="宋体" w:eastAsia="宋体" w:cs="宋体"/>
                <w:spacing w:val="-6"/>
              </w:rPr>
              <w:t>理区进行处理。</w:t>
            </w:r>
          </w:p>
          <w:p w14:paraId="5FB863B3">
            <w:pPr>
              <w:pStyle w:val="6"/>
              <w:spacing w:before="3" w:line="263" w:lineRule="auto"/>
              <w:ind w:left="5" w:firstLine="2"/>
              <w:rPr>
                <w:rFonts w:ascii="宋体" w:hAnsi="宋体" w:eastAsia="宋体" w:cs="宋体"/>
              </w:rPr>
            </w:pPr>
            <w:r>
              <w:rPr>
                <w:rFonts w:ascii="宋体" w:hAnsi="宋体" w:eastAsia="宋体" w:cs="宋体"/>
                <w:spacing w:val="-8"/>
              </w:rPr>
              <w:t>③田间储存池、泵站及灌溉系统： 废水经污水处理站</w:t>
            </w:r>
            <w:r>
              <w:rPr>
                <w:rFonts w:ascii="宋体" w:hAnsi="宋体" w:eastAsia="宋体" w:cs="宋体"/>
                <w:spacing w:val="-3"/>
              </w:rPr>
              <w:t>处理后，尾水泵至消纳地的田间储存池（</w:t>
            </w:r>
            <w:r>
              <w:rPr>
                <w:spacing w:val="-3"/>
              </w:rPr>
              <w:t>5</w:t>
            </w:r>
            <w:r>
              <w:rPr>
                <w:spacing w:val="45"/>
              </w:rPr>
              <w:t xml:space="preserve"> </w:t>
            </w:r>
            <w:r>
              <w:rPr>
                <w:rFonts w:ascii="宋体" w:hAnsi="宋体" w:eastAsia="宋体" w:cs="宋体"/>
                <w:spacing w:val="-3"/>
              </w:rPr>
              <w:t>座，容积</w:t>
            </w:r>
            <w:r>
              <w:rPr>
                <w:rFonts w:ascii="宋体" w:hAnsi="宋体" w:eastAsia="宋体" w:cs="宋体"/>
                <w:spacing w:val="-6"/>
              </w:rPr>
              <w:t>均为</w:t>
            </w:r>
            <w:r>
              <w:rPr>
                <w:rFonts w:ascii="宋体" w:hAnsi="宋体" w:eastAsia="宋体" w:cs="宋体"/>
                <w:spacing w:val="-49"/>
              </w:rPr>
              <w:t xml:space="preserve"> </w:t>
            </w:r>
            <w:r>
              <w:rPr>
                <w:spacing w:val="-6"/>
              </w:rPr>
              <w:t>4500m</w:t>
            </w:r>
            <w:r>
              <w:rPr>
                <w:spacing w:val="-6"/>
                <w:position w:val="9"/>
                <w:sz w:val="14"/>
                <w:szCs w:val="14"/>
              </w:rPr>
              <w:t>3</w:t>
            </w:r>
            <w:r>
              <w:rPr>
                <w:rFonts w:ascii="宋体" w:hAnsi="宋体" w:eastAsia="宋体" w:cs="宋体"/>
                <w:spacing w:val="-2"/>
              </w:rPr>
              <w:t>），</w:t>
            </w:r>
            <w:r>
              <w:rPr>
                <w:rFonts w:ascii="宋体" w:hAnsi="宋体" w:eastAsia="宋体" w:cs="宋体"/>
                <w:spacing w:val="-6"/>
              </w:rPr>
              <w:t xml:space="preserve">每座田间储存池配套 </w:t>
            </w:r>
            <w:r>
              <w:rPr>
                <w:spacing w:val="-6"/>
              </w:rPr>
              <w:t xml:space="preserve">1 </w:t>
            </w:r>
            <w:r>
              <w:rPr>
                <w:rFonts w:ascii="宋体" w:hAnsi="宋体" w:eastAsia="宋体" w:cs="宋体"/>
                <w:spacing w:val="-6"/>
              </w:rPr>
              <w:t>座提升泵站；</w:t>
            </w:r>
            <w:r>
              <w:rPr>
                <w:rFonts w:ascii="宋体" w:hAnsi="宋体" w:eastAsia="宋体" w:cs="宋体"/>
                <w:spacing w:val="7"/>
              </w:rPr>
              <w:t xml:space="preserve">消纳地田间灌溉系统由 </w:t>
            </w:r>
            <w:r>
              <w:t>DN</w:t>
            </w:r>
            <w:r>
              <w:rPr>
                <w:spacing w:val="7"/>
              </w:rPr>
              <w:t xml:space="preserve">110 </w:t>
            </w:r>
            <w:r>
              <w:rPr>
                <w:rFonts w:ascii="宋体" w:hAnsi="宋体" w:eastAsia="宋体" w:cs="宋体"/>
                <w:spacing w:val="7"/>
              </w:rPr>
              <w:t>、</w:t>
            </w:r>
            <w:r>
              <w:t>DN</w:t>
            </w:r>
            <w:r>
              <w:rPr>
                <w:spacing w:val="7"/>
              </w:rPr>
              <w:t>90</w:t>
            </w:r>
            <w:r>
              <w:t>PE</w:t>
            </w:r>
            <w:r>
              <w:rPr>
                <w:spacing w:val="13"/>
                <w:w w:val="101"/>
              </w:rPr>
              <w:t xml:space="preserve">  </w:t>
            </w:r>
            <w:r>
              <w:rPr>
                <w:rFonts w:ascii="宋体" w:hAnsi="宋体" w:eastAsia="宋体" w:cs="宋体"/>
                <w:spacing w:val="7"/>
              </w:rPr>
              <w:t>主管与</w:t>
            </w:r>
            <w:r>
              <w:rPr>
                <w:spacing w:val="-2"/>
              </w:rPr>
              <w:t xml:space="preserve">DN6.3PE </w:t>
            </w:r>
            <w:r>
              <w:rPr>
                <w:rFonts w:ascii="宋体" w:hAnsi="宋体" w:eastAsia="宋体" w:cs="宋体"/>
                <w:spacing w:val="-2"/>
              </w:rPr>
              <w:t>灌溉支管组成，灌溉管网总长约</w:t>
            </w:r>
            <w:r>
              <w:rPr>
                <w:rFonts w:ascii="宋体" w:hAnsi="宋体" w:eastAsia="宋体" w:cs="宋体"/>
                <w:spacing w:val="-47"/>
              </w:rPr>
              <w:t xml:space="preserve"> </w:t>
            </w:r>
            <w:r>
              <w:rPr>
                <w:spacing w:val="-2"/>
              </w:rPr>
              <w:t>20km</w:t>
            </w:r>
            <w:r>
              <w:rPr>
                <w:rFonts w:ascii="宋体" w:hAnsi="宋体" w:eastAsia="宋体" w:cs="宋体"/>
                <w:spacing w:val="-2"/>
              </w:rPr>
              <w:t>。</w:t>
            </w:r>
          </w:p>
        </w:tc>
        <w:tc>
          <w:tcPr>
            <w:tcW w:w="896" w:type="dxa"/>
            <w:vMerge w:val="continue"/>
            <w:tcBorders>
              <w:top w:val="nil"/>
            </w:tcBorders>
            <w:vAlign w:val="top"/>
          </w:tcPr>
          <w:p w14:paraId="35C12E2C">
            <w:pPr>
              <w:rPr>
                <w:rFonts w:ascii="Arial"/>
                <w:sz w:val="21"/>
              </w:rPr>
            </w:pPr>
          </w:p>
        </w:tc>
        <w:tc>
          <w:tcPr>
            <w:tcW w:w="902" w:type="dxa"/>
            <w:vAlign w:val="top"/>
          </w:tcPr>
          <w:p w14:paraId="4D0108F1">
            <w:pPr>
              <w:spacing w:line="241" w:lineRule="auto"/>
              <w:rPr>
                <w:rFonts w:ascii="Arial"/>
                <w:sz w:val="21"/>
              </w:rPr>
            </w:pPr>
          </w:p>
          <w:p w14:paraId="36ED81B0">
            <w:pPr>
              <w:spacing w:line="241" w:lineRule="auto"/>
              <w:rPr>
                <w:rFonts w:ascii="Arial"/>
                <w:sz w:val="21"/>
              </w:rPr>
            </w:pPr>
          </w:p>
          <w:p w14:paraId="069E8460">
            <w:pPr>
              <w:spacing w:line="241" w:lineRule="auto"/>
              <w:rPr>
                <w:rFonts w:ascii="Arial"/>
                <w:sz w:val="21"/>
              </w:rPr>
            </w:pPr>
          </w:p>
          <w:p w14:paraId="2EDE697D">
            <w:pPr>
              <w:spacing w:line="241" w:lineRule="auto"/>
              <w:rPr>
                <w:rFonts w:ascii="Arial"/>
                <w:sz w:val="21"/>
              </w:rPr>
            </w:pPr>
          </w:p>
          <w:p w14:paraId="71BD2E51">
            <w:pPr>
              <w:spacing w:line="241" w:lineRule="auto"/>
              <w:rPr>
                <w:rFonts w:ascii="Arial"/>
                <w:sz w:val="21"/>
              </w:rPr>
            </w:pPr>
          </w:p>
          <w:p w14:paraId="219139F5">
            <w:pPr>
              <w:spacing w:line="241" w:lineRule="auto"/>
              <w:rPr>
                <w:rFonts w:ascii="Arial"/>
                <w:sz w:val="21"/>
              </w:rPr>
            </w:pPr>
          </w:p>
          <w:p w14:paraId="615FEBFC">
            <w:pPr>
              <w:spacing w:line="242" w:lineRule="auto"/>
              <w:rPr>
                <w:rFonts w:ascii="Arial"/>
                <w:sz w:val="21"/>
              </w:rPr>
            </w:pPr>
          </w:p>
          <w:p w14:paraId="64A36B85">
            <w:pPr>
              <w:spacing w:before="68" w:line="276" w:lineRule="auto"/>
              <w:ind w:left="246" w:right="237"/>
              <w:jc w:val="both"/>
              <w:rPr>
                <w:rFonts w:ascii="宋体" w:hAnsi="宋体" w:eastAsia="宋体" w:cs="宋体"/>
                <w:sz w:val="21"/>
                <w:szCs w:val="21"/>
              </w:rPr>
            </w:pPr>
            <w:r>
              <w:rPr>
                <w:rFonts w:ascii="宋体" w:hAnsi="宋体" w:eastAsia="宋体" w:cs="宋体"/>
                <w:spacing w:val="-4"/>
                <w:sz w:val="21"/>
                <w:szCs w:val="21"/>
              </w:rPr>
              <w:t>废水</w:t>
            </w:r>
            <w:r>
              <w:rPr>
                <w:rFonts w:ascii="宋体" w:hAnsi="宋体" w:eastAsia="宋体" w:cs="宋体"/>
                <w:spacing w:val="-5"/>
                <w:sz w:val="21"/>
                <w:szCs w:val="21"/>
              </w:rPr>
              <w:t>臭气噪声污泥</w:t>
            </w:r>
          </w:p>
        </w:tc>
      </w:tr>
      <w:tr w14:paraId="785D8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2" w:hRule="atLeast"/>
        </w:trPr>
        <w:tc>
          <w:tcPr>
            <w:tcW w:w="858" w:type="dxa"/>
            <w:vMerge w:val="continue"/>
            <w:tcBorders>
              <w:top w:val="nil"/>
              <w:bottom w:val="nil"/>
            </w:tcBorders>
            <w:vAlign w:val="top"/>
          </w:tcPr>
          <w:p w14:paraId="31D6862D">
            <w:pPr>
              <w:rPr>
                <w:rFonts w:ascii="Arial"/>
                <w:sz w:val="21"/>
              </w:rPr>
            </w:pPr>
          </w:p>
        </w:tc>
        <w:tc>
          <w:tcPr>
            <w:tcW w:w="850" w:type="dxa"/>
            <w:vAlign w:val="top"/>
          </w:tcPr>
          <w:p w14:paraId="126E9806">
            <w:pPr>
              <w:spacing w:line="244" w:lineRule="auto"/>
              <w:rPr>
                <w:rFonts w:ascii="Arial"/>
                <w:sz w:val="21"/>
              </w:rPr>
            </w:pPr>
          </w:p>
          <w:p w14:paraId="22E4607B">
            <w:pPr>
              <w:spacing w:line="244" w:lineRule="auto"/>
              <w:rPr>
                <w:rFonts w:ascii="Arial"/>
                <w:sz w:val="21"/>
              </w:rPr>
            </w:pPr>
          </w:p>
          <w:p w14:paraId="638703F5">
            <w:pPr>
              <w:spacing w:line="244" w:lineRule="auto"/>
              <w:rPr>
                <w:rFonts w:ascii="Arial"/>
                <w:sz w:val="21"/>
              </w:rPr>
            </w:pPr>
          </w:p>
          <w:p w14:paraId="7BD5F912">
            <w:pPr>
              <w:spacing w:line="244" w:lineRule="auto"/>
              <w:rPr>
                <w:rFonts w:ascii="Arial"/>
                <w:sz w:val="21"/>
              </w:rPr>
            </w:pPr>
          </w:p>
          <w:p w14:paraId="361787FF">
            <w:pPr>
              <w:spacing w:line="244" w:lineRule="auto"/>
              <w:rPr>
                <w:rFonts w:ascii="Arial"/>
                <w:sz w:val="21"/>
              </w:rPr>
            </w:pPr>
          </w:p>
          <w:p w14:paraId="23BE492F">
            <w:pPr>
              <w:spacing w:line="244" w:lineRule="auto"/>
              <w:rPr>
                <w:rFonts w:ascii="Arial"/>
                <w:sz w:val="21"/>
              </w:rPr>
            </w:pPr>
          </w:p>
          <w:p w14:paraId="2FC68693">
            <w:pPr>
              <w:spacing w:line="244" w:lineRule="auto"/>
              <w:rPr>
                <w:rFonts w:ascii="Arial"/>
                <w:sz w:val="21"/>
              </w:rPr>
            </w:pPr>
          </w:p>
          <w:p w14:paraId="110F3503">
            <w:pPr>
              <w:spacing w:line="244" w:lineRule="auto"/>
              <w:rPr>
                <w:rFonts w:ascii="Arial"/>
                <w:sz w:val="21"/>
              </w:rPr>
            </w:pPr>
          </w:p>
          <w:p w14:paraId="37A85DD9">
            <w:pPr>
              <w:spacing w:line="244" w:lineRule="auto"/>
              <w:rPr>
                <w:rFonts w:ascii="Arial"/>
                <w:sz w:val="21"/>
              </w:rPr>
            </w:pPr>
          </w:p>
          <w:p w14:paraId="02F4089D">
            <w:pPr>
              <w:spacing w:line="244" w:lineRule="auto"/>
              <w:rPr>
                <w:rFonts w:ascii="Arial"/>
                <w:sz w:val="21"/>
              </w:rPr>
            </w:pPr>
          </w:p>
          <w:p w14:paraId="3A3266B7">
            <w:pPr>
              <w:spacing w:line="244" w:lineRule="auto"/>
              <w:rPr>
                <w:rFonts w:ascii="Arial"/>
                <w:sz w:val="21"/>
              </w:rPr>
            </w:pPr>
          </w:p>
          <w:p w14:paraId="40D1C6EB">
            <w:pPr>
              <w:spacing w:line="245" w:lineRule="auto"/>
              <w:rPr>
                <w:rFonts w:ascii="Arial"/>
                <w:sz w:val="21"/>
              </w:rPr>
            </w:pPr>
          </w:p>
          <w:p w14:paraId="3C98FC09">
            <w:pPr>
              <w:spacing w:before="69" w:line="220" w:lineRule="auto"/>
              <w:jc w:val="right"/>
              <w:rPr>
                <w:rFonts w:ascii="宋体" w:hAnsi="宋体" w:eastAsia="宋体" w:cs="宋体"/>
                <w:sz w:val="21"/>
                <w:szCs w:val="21"/>
              </w:rPr>
            </w:pPr>
            <w:r>
              <w:rPr>
                <w:rFonts w:ascii="宋体" w:hAnsi="宋体" w:eastAsia="宋体" w:cs="宋体"/>
                <w:spacing w:val="-2"/>
                <w:sz w:val="21"/>
                <w:szCs w:val="21"/>
              </w:rPr>
              <w:t>废气治理</w:t>
            </w:r>
          </w:p>
        </w:tc>
        <w:tc>
          <w:tcPr>
            <w:tcW w:w="4814" w:type="dxa"/>
            <w:vAlign w:val="top"/>
          </w:tcPr>
          <w:p w14:paraId="0F23E290">
            <w:pPr>
              <w:pStyle w:val="6"/>
              <w:spacing w:before="53" w:line="274" w:lineRule="auto"/>
              <w:ind w:left="9"/>
              <w:rPr>
                <w:rFonts w:ascii="宋体" w:hAnsi="宋体" w:eastAsia="宋体" w:cs="宋体"/>
              </w:rPr>
            </w:pPr>
            <w:r>
              <w:rPr>
                <w:rFonts w:ascii="宋体" w:hAnsi="宋体" w:eastAsia="宋体" w:cs="宋体"/>
                <w:spacing w:val="2"/>
              </w:rPr>
              <w:t>①恶臭：保育楼、育肥楼设置水帘</w:t>
            </w:r>
            <w:r>
              <w:rPr>
                <w:spacing w:val="2"/>
              </w:rPr>
              <w:t>+</w:t>
            </w:r>
            <w:r>
              <w:rPr>
                <w:rFonts w:ascii="宋体" w:hAnsi="宋体" w:eastAsia="宋体" w:cs="宋体"/>
                <w:spacing w:val="2"/>
              </w:rPr>
              <w:t>机械通风系统，</w:t>
            </w:r>
            <w:r>
              <w:rPr>
                <w:rFonts w:ascii="宋体" w:hAnsi="宋体" w:eastAsia="宋体" w:cs="宋体"/>
                <w:spacing w:val="-2"/>
              </w:rPr>
              <w:t>在出风口外侧设生物喷雾除臭；采用“原环保部认可的清粪工艺（同牧原清粪工艺，为原环保部认可具备干清粪工艺基本特征，环办函</w:t>
            </w:r>
            <w:r>
              <w:rPr>
                <w:spacing w:val="-2"/>
              </w:rPr>
              <w:t>[</w:t>
            </w:r>
            <w:r>
              <w:fldChar w:fldCharType="begin"/>
            </w:r>
            <w:r>
              <w:instrText xml:space="preserve"> HYPERLINK \l "bookmark140" </w:instrText>
            </w:r>
            <w:r>
              <w:fldChar w:fldCharType="separate"/>
            </w:r>
            <w:r>
              <w:rPr>
                <w:spacing w:val="-2"/>
              </w:rPr>
              <w:t>2015</w:t>
            </w:r>
            <w:r>
              <w:rPr>
                <w:spacing w:val="-2"/>
              </w:rPr>
              <w:fldChar w:fldCharType="end"/>
            </w:r>
            <w:r>
              <w:rPr>
                <w:spacing w:val="-2"/>
              </w:rPr>
              <w:t>]42</w:t>
            </w:r>
            <w:r>
              <w:rPr>
                <w:spacing w:val="-3"/>
              </w:rPr>
              <w:t xml:space="preserve">5  </w:t>
            </w:r>
            <w:r>
              <w:rPr>
                <w:rFonts w:ascii="宋体" w:hAnsi="宋体" w:eastAsia="宋体" w:cs="宋体"/>
                <w:spacing w:val="-3"/>
              </w:rPr>
              <w:t>号）”,及时</w:t>
            </w:r>
            <w:r>
              <w:rPr>
                <w:rFonts w:ascii="宋体" w:hAnsi="宋体" w:eastAsia="宋体" w:cs="宋体"/>
                <w:spacing w:val="-2"/>
              </w:rPr>
              <w:t>清理储存池粪污；科学饲喂，优化饲料结构；猪舍内</w:t>
            </w:r>
            <w:r>
              <w:rPr>
                <w:rFonts w:ascii="宋体" w:hAnsi="宋体" w:eastAsia="宋体" w:cs="宋体"/>
                <w:spacing w:val="-3"/>
              </w:rPr>
              <w:t>喷洒除臭剂，强化周边绿化。</w:t>
            </w:r>
          </w:p>
          <w:p w14:paraId="4C634C42">
            <w:pPr>
              <w:pStyle w:val="6"/>
              <w:spacing w:before="1" w:line="274" w:lineRule="auto"/>
              <w:ind w:left="10" w:hanging="2"/>
              <w:rPr>
                <w:rFonts w:ascii="宋体" w:hAnsi="宋体" w:eastAsia="宋体" w:cs="宋体"/>
              </w:rPr>
            </w:pPr>
            <w:r>
              <w:rPr>
                <w:rFonts w:ascii="宋体" w:hAnsi="宋体" w:eastAsia="宋体" w:cs="宋体"/>
                <w:spacing w:val="-2"/>
              </w:rPr>
              <w:t>②污水处理站恶臭：粪污收集池加盖、固液分离平台</w:t>
            </w:r>
            <w:r>
              <w:rPr>
                <w:rFonts w:ascii="宋体" w:hAnsi="宋体" w:eastAsia="宋体" w:cs="宋体"/>
                <w:spacing w:val="-1"/>
              </w:rPr>
              <w:t>密闭，</w:t>
            </w:r>
            <w:r>
              <w:rPr>
                <w:spacing w:val="-1"/>
              </w:rPr>
              <w:t>AO</w:t>
            </w:r>
            <w:r>
              <w:rPr>
                <w:spacing w:val="54"/>
              </w:rPr>
              <w:t xml:space="preserve"> </w:t>
            </w:r>
            <w:r>
              <w:rPr>
                <w:rFonts w:ascii="宋体" w:hAnsi="宋体" w:eastAsia="宋体" w:cs="宋体"/>
                <w:spacing w:val="-1"/>
              </w:rPr>
              <w:t>池、污泥浓缩池加盖密闭，污水处理站采</w:t>
            </w:r>
            <w:r>
              <w:rPr>
                <w:rFonts w:ascii="宋体" w:hAnsi="宋体" w:eastAsia="宋体" w:cs="宋体"/>
              </w:rPr>
              <w:t>取喷洒除臭剂</w:t>
            </w:r>
            <w:r>
              <w:t>+</w:t>
            </w:r>
            <w:r>
              <w:rPr>
                <w:rFonts w:ascii="宋体" w:hAnsi="宋体" w:eastAsia="宋体" w:cs="宋体"/>
              </w:rPr>
              <w:t>负压收集</w:t>
            </w:r>
            <w:r>
              <w:t>+</w:t>
            </w:r>
            <w:r>
              <w:rPr>
                <w:rFonts w:ascii="宋体" w:hAnsi="宋体" w:eastAsia="宋体" w:cs="宋体"/>
              </w:rPr>
              <w:t>生物滤池除臭后，由</w:t>
            </w:r>
            <w:r>
              <w:rPr>
                <w:rFonts w:ascii="宋体" w:hAnsi="宋体" w:eastAsia="宋体" w:cs="宋体"/>
                <w:spacing w:val="44"/>
              </w:rPr>
              <w:t xml:space="preserve"> </w:t>
            </w:r>
            <w:r>
              <w:t xml:space="preserve">1  </w:t>
            </w:r>
            <w:r>
              <w:rPr>
                <w:rFonts w:ascii="宋体" w:hAnsi="宋体" w:eastAsia="宋体" w:cs="宋体"/>
              </w:rPr>
              <w:t>根</w:t>
            </w:r>
            <w:r>
              <w:rPr>
                <w:spacing w:val="-3"/>
              </w:rPr>
              <w:t xml:space="preserve">15m </w:t>
            </w:r>
            <w:r>
              <w:rPr>
                <w:rFonts w:ascii="宋体" w:hAnsi="宋体" w:eastAsia="宋体" w:cs="宋体"/>
                <w:spacing w:val="-3"/>
              </w:rPr>
              <w:t>高排气筒达标排放。</w:t>
            </w:r>
          </w:p>
          <w:p w14:paraId="67B0DBE8">
            <w:pPr>
              <w:pStyle w:val="6"/>
              <w:spacing w:line="274" w:lineRule="auto"/>
              <w:ind w:left="10" w:hanging="2"/>
              <w:rPr>
                <w:rFonts w:ascii="宋体" w:hAnsi="宋体" w:eastAsia="宋体" w:cs="宋体"/>
              </w:rPr>
            </w:pPr>
            <w:r>
              <w:rPr>
                <w:rFonts w:ascii="宋体" w:hAnsi="宋体" w:eastAsia="宋体" w:cs="宋体"/>
                <w:spacing w:val="2"/>
              </w:rPr>
              <w:t>③堆粪棚恶臭：堆粪棚封闭，采取喷洒生物除臭剂</w:t>
            </w:r>
            <w:r>
              <w:rPr>
                <w:spacing w:val="2"/>
              </w:rPr>
              <w:t>+</w:t>
            </w:r>
            <w:r>
              <w:rPr>
                <w:rFonts w:ascii="宋体" w:hAnsi="宋体" w:eastAsia="宋体" w:cs="宋体"/>
                <w:spacing w:val="-3"/>
              </w:rPr>
              <w:t>负压收集</w:t>
            </w:r>
            <w:r>
              <w:rPr>
                <w:spacing w:val="-3"/>
              </w:rPr>
              <w:t>+</w:t>
            </w:r>
            <w:r>
              <w:rPr>
                <w:rFonts w:ascii="宋体" w:hAnsi="宋体" w:eastAsia="宋体" w:cs="宋体"/>
                <w:spacing w:val="-3"/>
              </w:rPr>
              <w:t>生物滤池除臭后，由</w:t>
            </w:r>
            <w:r>
              <w:rPr>
                <w:rFonts w:ascii="宋体" w:hAnsi="宋体" w:eastAsia="宋体" w:cs="宋体"/>
                <w:spacing w:val="-20"/>
              </w:rPr>
              <w:t xml:space="preserve"> </w:t>
            </w:r>
            <w:r>
              <w:rPr>
                <w:spacing w:val="-3"/>
              </w:rPr>
              <w:t xml:space="preserve">1 </w:t>
            </w:r>
            <w:r>
              <w:rPr>
                <w:rFonts w:ascii="宋体" w:hAnsi="宋体" w:eastAsia="宋体" w:cs="宋体"/>
                <w:spacing w:val="-3"/>
              </w:rPr>
              <w:t>根</w:t>
            </w:r>
            <w:r>
              <w:rPr>
                <w:rFonts w:ascii="宋体" w:hAnsi="宋体" w:eastAsia="宋体" w:cs="宋体"/>
                <w:spacing w:val="-25"/>
              </w:rPr>
              <w:t xml:space="preserve"> </w:t>
            </w:r>
            <w:r>
              <w:rPr>
                <w:spacing w:val="-3"/>
              </w:rPr>
              <w:t>15m</w:t>
            </w:r>
            <w:r>
              <w:rPr>
                <w:spacing w:val="14"/>
                <w:w w:val="101"/>
              </w:rPr>
              <w:t xml:space="preserve"> </w:t>
            </w:r>
            <w:r>
              <w:rPr>
                <w:rFonts w:ascii="宋体" w:hAnsi="宋体" w:eastAsia="宋体" w:cs="宋体"/>
                <w:spacing w:val="-3"/>
              </w:rPr>
              <w:t>高排气筒达</w:t>
            </w:r>
            <w:r>
              <w:rPr>
                <w:rFonts w:ascii="宋体" w:hAnsi="宋体" w:eastAsia="宋体" w:cs="宋体"/>
                <w:spacing w:val="-8"/>
              </w:rPr>
              <w:t>标排放。</w:t>
            </w:r>
          </w:p>
          <w:p w14:paraId="47D761F2">
            <w:pPr>
              <w:pStyle w:val="6"/>
              <w:spacing w:before="1" w:line="274" w:lineRule="auto"/>
              <w:ind w:left="13" w:hanging="5"/>
              <w:rPr>
                <w:rFonts w:ascii="宋体" w:hAnsi="宋体" w:eastAsia="宋体" w:cs="宋体"/>
              </w:rPr>
            </w:pPr>
            <w:r>
              <w:rPr>
                <w:rFonts w:ascii="宋体" w:hAnsi="宋体" w:eastAsia="宋体" w:cs="宋体"/>
                <w:spacing w:val="-2"/>
              </w:rPr>
              <w:t>④无害化处理间废气：无害化生物降解机处理废气经自带生物除臭装置净化处理后，再由负压收集至污水</w:t>
            </w:r>
            <w:r>
              <w:rPr>
                <w:rFonts w:ascii="宋体" w:hAnsi="宋体" w:eastAsia="宋体" w:cs="宋体"/>
                <w:spacing w:val="-3"/>
              </w:rPr>
              <w:t>处理站生物滤池处理后</w:t>
            </w:r>
            <w:r>
              <w:rPr>
                <w:rFonts w:ascii="宋体" w:hAnsi="宋体" w:eastAsia="宋体" w:cs="宋体"/>
                <w:spacing w:val="-11"/>
              </w:rPr>
              <w:t xml:space="preserve"> </w:t>
            </w:r>
            <w:r>
              <w:rPr>
                <w:spacing w:val="-3"/>
              </w:rPr>
              <w:t xml:space="preserve">15m </w:t>
            </w:r>
            <w:r>
              <w:rPr>
                <w:rFonts w:ascii="宋体" w:hAnsi="宋体" w:eastAsia="宋体" w:cs="宋体"/>
                <w:spacing w:val="-3"/>
              </w:rPr>
              <w:t>高空排放。</w:t>
            </w:r>
          </w:p>
          <w:p w14:paraId="769CDC9D">
            <w:pPr>
              <w:pStyle w:val="6"/>
              <w:spacing w:line="274" w:lineRule="auto"/>
              <w:ind w:left="11" w:right="1" w:hanging="3"/>
              <w:rPr>
                <w:rFonts w:ascii="宋体" w:hAnsi="宋体" w:eastAsia="宋体" w:cs="宋体"/>
              </w:rPr>
            </w:pPr>
            <w:r>
              <w:rPr>
                <w:rFonts w:ascii="宋体" w:hAnsi="宋体" w:eastAsia="宋体" w:cs="宋体"/>
                <w:spacing w:val="-3"/>
              </w:rPr>
              <w:t>⑤沼气：设沼气净化设施</w:t>
            </w:r>
            <w:r>
              <w:rPr>
                <w:rFonts w:ascii="宋体" w:hAnsi="宋体" w:eastAsia="宋体" w:cs="宋体"/>
                <w:spacing w:val="-12"/>
              </w:rPr>
              <w:t xml:space="preserve"> </w:t>
            </w:r>
            <w:r>
              <w:rPr>
                <w:spacing w:val="-3"/>
              </w:rPr>
              <w:t xml:space="preserve">1 </w:t>
            </w:r>
            <w:r>
              <w:rPr>
                <w:rFonts w:ascii="宋体" w:hAnsi="宋体" w:eastAsia="宋体" w:cs="宋体"/>
                <w:spacing w:val="-3"/>
              </w:rPr>
              <w:t>套，沼气经净化设施净化</w:t>
            </w:r>
            <w:r>
              <w:rPr>
                <w:rFonts w:ascii="宋体" w:hAnsi="宋体" w:eastAsia="宋体" w:cs="宋体"/>
                <w:spacing w:val="-4"/>
              </w:rPr>
              <w:t>后通过沼气火炬燃烧。</w:t>
            </w:r>
          </w:p>
          <w:p w14:paraId="5A93FB35">
            <w:pPr>
              <w:pStyle w:val="6"/>
              <w:spacing w:before="2" w:line="247" w:lineRule="auto"/>
              <w:ind w:left="9" w:hanging="1"/>
              <w:rPr>
                <w:rFonts w:ascii="宋体" w:hAnsi="宋体" w:eastAsia="宋体" w:cs="宋体"/>
              </w:rPr>
            </w:pPr>
            <w:r>
              <w:rPr>
                <w:rFonts w:ascii="宋体" w:hAnsi="宋体" w:eastAsia="宋体" w:cs="宋体"/>
                <w:spacing w:val="-4"/>
              </w:rPr>
              <w:t>⑥备用发电机尾气：仅在停电时使用，采用</w:t>
            </w:r>
            <w:r>
              <w:rPr>
                <w:rFonts w:ascii="宋体" w:hAnsi="宋体" w:eastAsia="宋体" w:cs="宋体"/>
                <w:spacing w:val="-40"/>
              </w:rPr>
              <w:t xml:space="preserve"> </w:t>
            </w:r>
            <w:r>
              <w:rPr>
                <w:spacing w:val="-4"/>
              </w:rPr>
              <w:t>0#</w:t>
            </w:r>
            <w:r>
              <w:rPr>
                <w:rFonts w:ascii="宋体" w:hAnsi="宋体" w:eastAsia="宋体" w:cs="宋体"/>
                <w:spacing w:val="-4"/>
              </w:rPr>
              <w:t>柴油，</w:t>
            </w:r>
            <w:r>
              <w:rPr>
                <w:rFonts w:ascii="宋体" w:hAnsi="宋体" w:eastAsia="宋体" w:cs="宋体"/>
                <w:spacing w:val="-3"/>
              </w:rPr>
              <w:t>尾气由发电机自带烟气净化装置处理后排放。</w:t>
            </w:r>
          </w:p>
        </w:tc>
        <w:tc>
          <w:tcPr>
            <w:tcW w:w="896" w:type="dxa"/>
            <w:vMerge w:val="restart"/>
            <w:tcBorders>
              <w:bottom w:val="nil"/>
            </w:tcBorders>
            <w:vAlign w:val="top"/>
          </w:tcPr>
          <w:p w14:paraId="4E78E08D">
            <w:pPr>
              <w:spacing w:line="253" w:lineRule="auto"/>
              <w:rPr>
                <w:rFonts w:ascii="Arial"/>
                <w:sz w:val="21"/>
              </w:rPr>
            </w:pPr>
          </w:p>
          <w:p w14:paraId="78B5D2AF">
            <w:pPr>
              <w:spacing w:line="253" w:lineRule="auto"/>
              <w:rPr>
                <w:rFonts w:ascii="Arial"/>
                <w:sz w:val="21"/>
              </w:rPr>
            </w:pPr>
          </w:p>
          <w:p w14:paraId="7CC12E28">
            <w:pPr>
              <w:spacing w:line="253" w:lineRule="auto"/>
              <w:rPr>
                <w:rFonts w:ascii="Arial"/>
                <w:sz w:val="21"/>
              </w:rPr>
            </w:pPr>
          </w:p>
          <w:p w14:paraId="4AD3BEF4">
            <w:pPr>
              <w:spacing w:line="253" w:lineRule="auto"/>
              <w:rPr>
                <w:rFonts w:ascii="Arial"/>
                <w:sz w:val="21"/>
              </w:rPr>
            </w:pPr>
          </w:p>
          <w:p w14:paraId="43B36014">
            <w:pPr>
              <w:spacing w:line="253" w:lineRule="auto"/>
              <w:rPr>
                <w:rFonts w:ascii="Arial"/>
                <w:sz w:val="21"/>
              </w:rPr>
            </w:pPr>
          </w:p>
          <w:p w14:paraId="3D7AC468">
            <w:pPr>
              <w:spacing w:line="253" w:lineRule="auto"/>
              <w:rPr>
                <w:rFonts w:ascii="Arial"/>
                <w:sz w:val="21"/>
              </w:rPr>
            </w:pPr>
          </w:p>
          <w:p w14:paraId="7544CA92">
            <w:pPr>
              <w:spacing w:line="253" w:lineRule="auto"/>
              <w:rPr>
                <w:rFonts w:ascii="Arial"/>
                <w:sz w:val="21"/>
              </w:rPr>
            </w:pPr>
          </w:p>
          <w:p w14:paraId="17F073C0">
            <w:pPr>
              <w:spacing w:line="253" w:lineRule="auto"/>
              <w:rPr>
                <w:rFonts w:ascii="Arial"/>
                <w:sz w:val="21"/>
              </w:rPr>
            </w:pPr>
          </w:p>
          <w:p w14:paraId="75555D4A">
            <w:pPr>
              <w:spacing w:line="253" w:lineRule="auto"/>
              <w:rPr>
                <w:rFonts w:ascii="Arial"/>
                <w:sz w:val="21"/>
              </w:rPr>
            </w:pPr>
          </w:p>
          <w:p w14:paraId="570F5E01">
            <w:pPr>
              <w:spacing w:line="253" w:lineRule="auto"/>
              <w:rPr>
                <w:rFonts w:ascii="Arial"/>
                <w:sz w:val="21"/>
              </w:rPr>
            </w:pPr>
          </w:p>
          <w:p w14:paraId="28B0DC1E">
            <w:pPr>
              <w:spacing w:line="254" w:lineRule="auto"/>
              <w:rPr>
                <w:rFonts w:ascii="Arial"/>
                <w:sz w:val="21"/>
              </w:rPr>
            </w:pPr>
          </w:p>
          <w:p w14:paraId="44592582">
            <w:pPr>
              <w:spacing w:before="69" w:line="275" w:lineRule="auto"/>
              <w:ind w:left="34" w:right="23"/>
              <w:jc w:val="both"/>
              <w:rPr>
                <w:rFonts w:ascii="宋体" w:hAnsi="宋体" w:eastAsia="宋体" w:cs="宋体"/>
                <w:sz w:val="21"/>
                <w:szCs w:val="21"/>
              </w:rPr>
            </w:pPr>
            <w:r>
              <w:rPr>
                <w:rFonts w:ascii="宋体" w:hAnsi="宋体" w:eastAsia="宋体" w:cs="宋体"/>
                <w:spacing w:val="-2"/>
                <w:sz w:val="21"/>
                <w:szCs w:val="21"/>
              </w:rPr>
              <w:t>施工废水施工扬尘施工噪声建筑垃圾生活污水生活垃圾</w:t>
            </w:r>
          </w:p>
        </w:tc>
        <w:tc>
          <w:tcPr>
            <w:tcW w:w="902" w:type="dxa"/>
            <w:vAlign w:val="top"/>
          </w:tcPr>
          <w:p w14:paraId="3D519BAA">
            <w:pPr>
              <w:spacing w:line="261" w:lineRule="auto"/>
              <w:rPr>
                <w:rFonts w:ascii="Arial"/>
                <w:sz w:val="21"/>
              </w:rPr>
            </w:pPr>
          </w:p>
          <w:p w14:paraId="3FEA90CE">
            <w:pPr>
              <w:spacing w:line="262" w:lineRule="auto"/>
              <w:rPr>
                <w:rFonts w:ascii="Arial"/>
                <w:sz w:val="21"/>
              </w:rPr>
            </w:pPr>
          </w:p>
          <w:p w14:paraId="2C582618">
            <w:pPr>
              <w:spacing w:line="262" w:lineRule="auto"/>
              <w:rPr>
                <w:rFonts w:ascii="Arial"/>
                <w:sz w:val="21"/>
              </w:rPr>
            </w:pPr>
          </w:p>
          <w:p w14:paraId="65A1E5EA">
            <w:pPr>
              <w:spacing w:line="262" w:lineRule="auto"/>
              <w:rPr>
                <w:rFonts w:ascii="Arial"/>
                <w:sz w:val="21"/>
              </w:rPr>
            </w:pPr>
          </w:p>
          <w:p w14:paraId="2E8AFC8B">
            <w:pPr>
              <w:spacing w:line="262" w:lineRule="auto"/>
              <w:rPr>
                <w:rFonts w:ascii="Arial"/>
                <w:sz w:val="21"/>
              </w:rPr>
            </w:pPr>
          </w:p>
          <w:p w14:paraId="6D9219BD">
            <w:pPr>
              <w:spacing w:line="262" w:lineRule="auto"/>
              <w:rPr>
                <w:rFonts w:ascii="Arial"/>
                <w:sz w:val="21"/>
              </w:rPr>
            </w:pPr>
          </w:p>
          <w:p w14:paraId="2D27394C">
            <w:pPr>
              <w:spacing w:line="262" w:lineRule="auto"/>
              <w:rPr>
                <w:rFonts w:ascii="Arial"/>
                <w:sz w:val="21"/>
              </w:rPr>
            </w:pPr>
          </w:p>
          <w:p w14:paraId="6CEA0A34">
            <w:pPr>
              <w:spacing w:line="262" w:lineRule="auto"/>
              <w:rPr>
                <w:rFonts w:ascii="Arial"/>
                <w:sz w:val="21"/>
              </w:rPr>
            </w:pPr>
          </w:p>
          <w:p w14:paraId="1E357E8C">
            <w:pPr>
              <w:spacing w:line="262" w:lineRule="auto"/>
              <w:rPr>
                <w:rFonts w:ascii="Arial"/>
                <w:sz w:val="21"/>
              </w:rPr>
            </w:pPr>
          </w:p>
          <w:p w14:paraId="34655254">
            <w:pPr>
              <w:spacing w:line="262" w:lineRule="auto"/>
              <w:rPr>
                <w:rFonts w:ascii="Arial"/>
                <w:sz w:val="21"/>
              </w:rPr>
            </w:pPr>
          </w:p>
          <w:p w14:paraId="3319686B">
            <w:pPr>
              <w:spacing w:before="68" w:line="220" w:lineRule="auto"/>
              <w:ind w:left="247"/>
              <w:rPr>
                <w:rFonts w:ascii="宋体" w:hAnsi="宋体" w:eastAsia="宋体" w:cs="宋体"/>
                <w:sz w:val="21"/>
                <w:szCs w:val="21"/>
              </w:rPr>
            </w:pPr>
            <w:r>
              <w:rPr>
                <w:rFonts w:ascii="宋体" w:hAnsi="宋体" w:eastAsia="宋体" w:cs="宋体"/>
                <w:spacing w:val="-3"/>
                <w:sz w:val="21"/>
                <w:szCs w:val="21"/>
              </w:rPr>
              <w:t>臭气</w:t>
            </w:r>
          </w:p>
          <w:p w14:paraId="6B905A68">
            <w:pPr>
              <w:spacing w:before="62" w:line="219" w:lineRule="auto"/>
              <w:ind w:left="37"/>
              <w:rPr>
                <w:rFonts w:ascii="宋体" w:hAnsi="宋体" w:eastAsia="宋体" w:cs="宋体"/>
                <w:sz w:val="21"/>
                <w:szCs w:val="21"/>
              </w:rPr>
            </w:pPr>
            <w:r>
              <w:rPr>
                <w:rFonts w:ascii="宋体" w:hAnsi="宋体" w:eastAsia="宋体" w:cs="宋体"/>
                <w:spacing w:val="-2"/>
                <w:sz w:val="21"/>
                <w:szCs w:val="21"/>
              </w:rPr>
              <w:t>柴油燃烧</w:t>
            </w:r>
          </w:p>
          <w:p w14:paraId="792CFA40">
            <w:pPr>
              <w:spacing w:before="63" w:line="221" w:lineRule="auto"/>
              <w:ind w:left="247"/>
              <w:rPr>
                <w:rFonts w:ascii="宋体" w:hAnsi="宋体" w:eastAsia="宋体" w:cs="宋体"/>
                <w:sz w:val="21"/>
                <w:szCs w:val="21"/>
              </w:rPr>
            </w:pPr>
            <w:r>
              <w:rPr>
                <w:rFonts w:ascii="宋体" w:hAnsi="宋体" w:eastAsia="宋体" w:cs="宋体"/>
                <w:spacing w:val="-3"/>
                <w:sz w:val="21"/>
                <w:szCs w:val="21"/>
              </w:rPr>
              <w:t>尾气</w:t>
            </w:r>
          </w:p>
        </w:tc>
      </w:tr>
      <w:tr w14:paraId="570E4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Merge w:val="continue"/>
            <w:tcBorders>
              <w:top w:val="nil"/>
              <w:bottom w:val="nil"/>
            </w:tcBorders>
            <w:vAlign w:val="top"/>
          </w:tcPr>
          <w:p w14:paraId="45F3DB96">
            <w:pPr>
              <w:rPr>
                <w:rFonts w:ascii="Arial"/>
                <w:sz w:val="21"/>
              </w:rPr>
            </w:pPr>
          </w:p>
        </w:tc>
        <w:tc>
          <w:tcPr>
            <w:tcW w:w="850" w:type="dxa"/>
            <w:vAlign w:val="top"/>
          </w:tcPr>
          <w:p w14:paraId="5AA2CA08">
            <w:pPr>
              <w:spacing w:before="210" w:line="220" w:lineRule="auto"/>
              <w:jc w:val="right"/>
              <w:rPr>
                <w:rFonts w:ascii="宋体" w:hAnsi="宋体" w:eastAsia="宋体" w:cs="宋体"/>
                <w:sz w:val="21"/>
                <w:szCs w:val="21"/>
              </w:rPr>
            </w:pPr>
            <w:r>
              <w:rPr>
                <w:rFonts w:ascii="宋体" w:hAnsi="宋体" w:eastAsia="宋体" w:cs="宋体"/>
                <w:spacing w:val="-5"/>
                <w:sz w:val="21"/>
                <w:szCs w:val="21"/>
              </w:rPr>
              <w:t>噪声控制</w:t>
            </w:r>
          </w:p>
        </w:tc>
        <w:tc>
          <w:tcPr>
            <w:tcW w:w="4814" w:type="dxa"/>
            <w:vAlign w:val="top"/>
          </w:tcPr>
          <w:p w14:paraId="198F64C4">
            <w:pPr>
              <w:spacing w:before="53" w:line="248" w:lineRule="auto"/>
              <w:ind w:left="10"/>
              <w:rPr>
                <w:rFonts w:ascii="宋体" w:hAnsi="宋体" w:eastAsia="宋体" w:cs="宋体"/>
                <w:sz w:val="21"/>
                <w:szCs w:val="21"/>
              </w:rPr>
            </w:pPr>
            <w:r>
              <w:rPr>
                <w:rFonts w:ascii="宋体" w:hAnsi="宋体" w:eastAsia="宋体" w:cs="宋体"/>
                <w:spacing w:val="-2"/>
                <w:sz w:val="21"/>
                <w:szCs w:val="21"/>
              </w:rPr>
              <w:t>合理布局，选用低噪声设备，设备基础减振，采取建</w:t>
            </w:r>
            <w:r>
              <w:rPr>
                <w:rFonts w:ascii="宋体" w:hAnsi="宋体" w:eastAsia="宋体" w:cs="宋体"/>
                <w:spacing w:val="-3"/>
                <w:sz w:val="21"/>
                <w:szCs w:val="21"/>
              </w:rPr>
              <w:t>筑及围墙隔声、加强绿化及猪场管理等。</w:t>
            </w:r>
          </w:p>
        </w:tc>
        <w:tc>
          <w:tcPr>
            <w:tcW w:w="896" w:type="dxa"/>
            <w:vMerge w:val="continue"/>
            <w:tcBorders>
              <w:top w:val="nil"/>
              <w:bottom w:val="nil"/>
            </w:tcBorders>
            <w:vAlign w:val="top"/>
          </w:tcPr>
          <w:p w14:paraId="1DCAE878">
            <w:pPr>
              <w:rPr>
                <w:rFonts w:ascii="Arial"/>
                <w:sz w:val="21"/>
              </w:rPr>
            </w:pPr>
          </w:p>
        </w:tc>
        <w:tc>
          <w:tcPr>
            <w:tcW w:w="902" w:type="dxa"/>
            <w:vAlign w:val="top"/>
          </w:tcPr>
          <w:p w14:paraId="72A73E5D">
            <w:pPr>
              <w:pStyle w:val="6"/>
              <w:spacing w:before="243" w:line="192" w:lineRule="auto"/>
              <w:ind w:left="419"/>
            </w:pPr>
            <w:r>
              <w:t>/</w:t>
            </w:r>
          </w:p>
        </w:tc>
      </w:tr>
      <w:tr w14:paraId="177CE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58" w:type="dxa"/>
            <w:vMerge w:val="continue"/>
            <w:tcBorders>
              <w:top w:val="nil"/>
            </w:tcBorders>
            <w:vAlign w:val="top"/>
          </w:tcPr>
          <w:p w14:paraId="624276C3">
            <w:pPr>
              <w:rPr>
                <w:rFonts w:ascii="Arial"/>
                <w:sz w:val="21"/>
              </w:rPr>
            </w:pPr>
          </w:p>
        </w:tc>
        <w:tc>
          <w:tcPr>
            <w:tcW w:w="850" w:type="dxa"/>
            <w:vAlign w:val="top"/>
          </w:tcPr>
          <w:p w14:paraId="42491B10">
            <w:pPr>
              <w:spacing w:before="212" w:line="220" w:lineRule="auto"/>
              <w:jc w:val="right"/>
              <w:rPr>
                <w:rFonts w:ascii="宋体" w:hAnsi="宋体" w:eastAsia="宋体" w:cs="宋体"/>
                <w:sz w:val="21"/>
                <w:szCs w:val="21"/>
              </w:rPr>
            </w:pPr>
            <w:r>
              <w:rPr>
                <w:rFonts w:ascii="宋体" w:hAnsi="宋体" w:eastAsia="宋体" w:cs="宋体"/>
                <w:spacing w:val="-7"/>
                <w:sz w:val="21"/>
                <w:szCs w:val="21"/>
              </w:rPr>
              <w:t>固废处置</w:t>
            </w:r>
          </w:p>
        </w:tc>
        <w:tc>
          <w:tcPr>
            <w:tcW w:w="4814" w:type="dxa"/>
            <w:vAlign w:val="top"/>
          </w:tcPr>
          <w:p w14:paraId="22C14F19">
            <w:pPr>
              <w:spacing w:before="57" w:line="249" w:lineRule="auto"/>
              <w:ind w:left="14" w:right="1" w:hanging="5"/>
              <w:rPr>
                <w:rFonts w:ascii="宋体" w:hAnsi="宋体" w:eastAsia="宋体" w:cs="宋体"/>
                <w:sz w:val="21"/>
                <w:szCs w:val="21"/>
              </w:rPr>
            </w:pPr>
            <w:r>
              <w:rPr>
                <w:rFonts w:ascii="宋体" w:hAnsi="宋体" w:eastAsia="宋体" w:cs="宋体"/>
                <w:spacing w:val="-2"/>
                <w:sz w:val="21"/>
                <w:szCs w:val="21"/>
              </w:rPr>
              <w:t>①粪渣：经固液分离后于堆粪棚内暂存，送四川正威</w:t>
            </w:r>
            <w:r>
              <w:rPr>
                <w:rFonts w:ascii="宋体" w:hAnsi="宋体" w:eastAsia="宋体" w:cs="宋体"/>
                <w:spacing w:val="-4"/>
                <w:sz w:val="21"/>
                <w:szCs w:val="21"/>
              </w:rPr>
              <w:t>实业有限公司生产有机肥。</w:t>
            </w:r>
          </w:p>
        </w:tc>
        <w:tc>
          <w:tcPr>
            <w:tcW w:w="896" w:type="dxa"/>
            <w:vMerge w:val="continue"/>
            <w:tcBorders>
              <w:top w:val="nil"/>
            </w:tcBorders>
            <w:vAlign w:val="top"/>
          </w:tcPr>
          <w:p w14:paraId="75471056">
            <w:pPr>
              <w:rPr>
                <w:rFonts w:ascii="Arial"/>
                <w:sz w:val="21"/>
              </w:rPr>
            </w:pPr>
          </w:p>
        </w:tc>
        <w:tc>
          <w:tcPr>
            <w:tcW w:w="902" w:type="dxa"/>
            <w:vAlign w:val="top"/>
          </w:tcPr>
          <w:p w14:paraId="343DD3C6">
            <w:pPr>
              <w:pStyle w:val="6"/>
              <w:spacing w:before="244" w:line="192" w:lineRule="auto"/>
              <w:ind w:left="419"/>
            </w:pPr>
            <w:r>
              <w:t>/</w:t>
            </w:r>
          </w:p>
        </w:tc>
      </w:tr>
    </w:tbl>
    <w:p w14:paraId="0FF10576">
      <w:pPr>
        <w:pStyle w:val="2"/>
        <w:spacing w:line="78" w:lineRule="exact"/>
        <w:rPr>
          <w:sz w:val="6"/>
        </w:rPr>
      </w:pPr>
    </w:p>
    <w:p w14:paraId="64DD5509">
      <w:pPr>
        <w:spacing w:line="78" w:lineRule="exact"/>
        <w:rPr>
          <w:sz w:val="6"/>
          <w:szCs w:val="6"/>
        </w:rPr>
        <w:sectPr>
          <w:footerReference r:id="rId137" w:type="default"/>
          <w:pgSz w:w="11905" w:h="16840"/>
          <w:pgMar w:top="1168" w:right="1768" w:bottom="1409" w:left="1770" w:header="828" w:footer="1244" w:gutter="0"/>
          <w:cols w:space="720" w:num="1"/>
        </w:sectPr>
      </w:pPr>
    </w:p>
    <w:p w14:paraId="50067151">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850"/>
        <w:gridCol w:w="4814"/>
        <w:gridCol w:w="896"/>
        <w:gridCol w:w="902"/>
      </w:tblGrid>
      <w:tr w14:paraId="04A6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Merge w:val="restart"/>
            <w:tcBorders>
              <w:bottom w:val="nil"/>
            </w:tcBorders>
            <w:vAlign w:val="top"/>
          </w:tcPr>
          <w:p w14:paraId="75496CCB">
            <w:pPr>
              <w:spacing w:before="243" w:line="220" w:lineRule="auto"/>
              <w:ind w:left="17"/>
              <w:rPr>
                <w:rFonts w:ascii="宋体" w:hAnsi="宋体" w:eastAsia="宋体" w:cs="宋体"/>
                <w:sz w:val="21"/>
                <w:szCs w:val="21"/>
              </w:rPr>
            </w:pPr>
            <w:r>
              <w:rPr>
                <w:rFonts w:ascii="宋体" w:hAnsi="宋体" w:eastAsia="宋体" w:cs="宋体"/>
                <w:spacing w:val="-3"/>
                <w:sz w:val="21"/>
                <w:szCs w:val="21"/>
              </w:rPr>
              <w:t>工程类别</w:t>
            </w:r>
          </w:p>
        </w:tc>
        <w:tc>
          <w:tcPr>
            <w:tcW w:w="850" w:type="dxa"/>
            <w:vMerge w:val="restart"/>
            <w:tcBorders>
              <w:bottom w:val="nil"/>
            </w:tcBorders>
            <w:vAlign w:val="top"/>
          </w:tcPr>
          <w:p w14:paraId="59309875">
            <w:pPr>
              <w:spacing w:before="244" w:line="220" w:lineRule="auto"/>
              <w:jc w:val="right"/>
              <w:rPr>
                <w:rFonts w:ascii="宋体" w:hAnsi="宋体" w:eastAsia="宋体" w:cs="宋体"/>
                <w:sz w:val="21"/>
                <w:szCs w:val="21"/>
              </w:rPr>
            </w:pPr>
            <w:r>
              <w:rPr>
                <w:rFonts w:ascii="宋体" w:hAnsi="宋体" w:eastAsia="宋体" w:cs="宋体"/>
                <w:spacing w:val="-3"/>
                <w:sz w:val="21"/>
                <w:szCs w:val="21"/>
              </w:rPr>
              <w:t>工程名称</w:t>
            </w:r>
          </w:p>
        </w:tc>
        <w:tc>
          <w:tcPr>
            <w:tcW w:w="4814" w:type="dxa"/>
            <w:vMerge w:val="restart"/>
            <w:tcBorders>
              <w:bottom w:val="nil"/>
            </w:tcBorders>
            <w:vAlign w:val="top"/>
          </w:tcPr>
          <w:p w14:paraId="1004A07E">
            <w:pPr>
              <w:spacing w:before="243" w:line="220" w:lineRule="auto"/>
              <w:ind w:left="1996"/>
              <w:rPr>
                <w:rFonts w:ascii="宋体" w:hAnsi="宋体" w:eastAsia="宋体" w:cs="宋体"/>
                <w:sz w:val="21"/>
                <w:szCs w:val="21"/>
              </w:rPr>
            </w:pPr>
            <w:r>
              <w:rPr>
                <w:rFonts w:ascii="宋体" w:hAnsi="宋体" w:eastAsia="宋体" w:cs="宋体"/>
                <w:spacing w:val="-3"/>
                <w:sz w:val="21"/>
                <w:szCs w:val="21"/>
              </w:rPr>
              <w:t>建设内容</w:t>
            </w:r>
          </w:p>
        </w:tc>
        <w:tc>
          <w:tcPr>
            <w:tcW w:w="1798" w:type="dxa"/>
            <w:gridSpan w:val="2"/>
            <w:vAlign w:val="top"/>
          </w:tcPr>
          <w:p w14:paraId="677E0D24">
            <w:pPr>
              <w:spacing w:before="69" w:line="220" w:lineRule="auto"/>
              <w:ind w:left="276"/>
              <w:rPr>
                <w:rFonts w:ascii="宋体" w:hAnsi="宋体" w:eastAsia="宋体" w:cs="宋体"/>
                <w:sz w:val="21"/>
                <w:szCs w:val="21"/>
              </w:rPr>
            </w:pPr>
            <w:r>
              <w:rPr>
                <w:rFonts w:ascii="宋体" w:hAnsi="宋体" w:eastAsia="宋体" w:cs="宋体"/>
                <w:spacing w:val="-2"/>
                <w:sz w:val="21"/>
                <w:szCs w:val="21"/>
              </w:rPr>
              <w:t>主要环境问题</w:t>
            </w:r>
          </w:p>
        </w:tc>
      </w:tr>
      <w:tr w14:paraId="2C049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bottom w:val="nil"/>
            </w:tcBorders>
            <w:vAlign w:val="top"/>
          </w:tcPr>
          <w:p w14:paraId="270684D0">
            <w:pPr>
              <w:rPr>
                <w:rFonts w:ascii="Arial"/>
                <w:sz w:val="21"/>
              </w:rPr>
            </w:pPr>
          </w:p>
        </w:tc>
        <w:tc>
          <w:tcPr>
            <w:tcW w:w="850" w:type="dxa"/>
            <w:vMerge w:val="continue"/>
            <w:tcBorders>
              <w:top w:val="nil"/>
            </w:tcBorders>
            <w:vAlign w:val="top"/>
          </w:tcPr>
          <w:p w14:paraId="1B763C1A">
            <w:pPr>
              <w:rPr>
                <w:rFonts w:ascii="Arial"/>
                <w:sz w:val="21"/>
              </w:rPr>
            </w:pPr>
          </w:p>
        </w:tc>
        <w:tc>
          <w:tcPr>
            <w:tcW w:w="4814" w:type="dxa"/>
            <w:vMerge w:val="continue"/>
            <w:tcBorders>
              <w:top w:val="nil"/>
            </w:tcBorders>
            <w:vAlign w:val="top"/>
          </w:tcPr>
          <w:p w14:paraId="1A394722">
            <w:pPr>
              <w:rPr>
                <w:rFonts w:ascii="Arial"/>
                <w:sz w:val="21"/>
              </w:rPr>
            </w:pPr>
          </w:p>
        </w:tc>
        <w:tc>
          <w:tcPr>
            <w:tcW w:w="896" w:type="dxa"/>
            <w:vAlign w:val="top"/>
          </w:tcPr>
          <w:p w14:paraId="5AFACE7A">
            <w:pPr>
              <w:spacing w:before="64" w:line="220" w:lineRule="auto"/>
              <w:ind w:left="139"/>
              <w:rPr>
                <w:rFonts w:ascii="宋体" w:hAnsi="宋体" w:eastAsia="宋体" w:cs="宋体"/>
                <w:sz w:val="21"/>
                <w:szCs w:val="21"/>
              </w:rPr>
            </w:pPr>
            <w:r>
              <w:rPr>
                <w:rFonts w:ascii="宋体" w:hAnsi="宋体" w:eastAsia="宋体" w:cs="宋体"/>
                <w:spacing w:val="-2"/>
                <w:sz w:val="21"/>
                <w:szCs w:val="21"/>
              </w:rPr>
              <w:t>施工期</w:t>
            </w:r>
          </w:p>
        </w:tc>
        <w:tc>
          <w:tcPr>
            <w:tcW w:w="902" w:type="dxa"/>
            <w:vAlign w:val="top"/>
          </w:tcPr>
          <w:p w14:paraId="2B246622">
            <w:pPr>
              <w:spacing w:before="64" w:line="220" w:lineRule="auto"/>
              <w:ind w:left="141"/>
              <w:rPr>
                <w:rFonts w:ascii="宋体" w:hAnsi="宋体" w:eastAsia="宋体" w:cs="宋体"/>
                <w:sz w:val="21"/>
                <w:szCs w:val="21"/>
              </w:rPr>
            </w:pPr>
            <w:r>
              <w:rPr>
                <w:rFonts w:ascii="宋体" w:hAnsi="宋体" w:eastAsia="宋体" w:cs="宋体"/>
                <w:spacing w:val="-2"/>
                <w:sz w:val="21"/>
                <w:szCs w:val="21"/>
              </w:rPr>
              <w:t>运营期</w:t>
            </w:r>
          </w:p>
        </w:tc>
      </w:tr>
      <w:tr w14:paraId="3A88D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858" w:type="dxa"/>
            <w:vMerge w:val="continue"/>
            <w:tcBorders>
              <w:top w:val="nil"/>
              <w:bottom w:val="nil"/>
            </w:tcBorders>
            <w:vAlign w:val="top"/>
          </w:tcPr>
          <w:p w14:paraId="72BE9474">
            <w:pPr>
              <w:rPr>
                <w:rFonts w:ascii="Arial"/>
                <w:sz w:val="21"/>
              </w:rPr>
            </w:pPr>
          </w:p>
        </w:tc>
        <w:tc>
          <w:tcPr>
            <w:tcW w:w="850" w:type="dxa"/>
            <w:vAlign w:val="top"/>
          </w:tcPr>
          <w:p w14:paraId="22367690">
            <w:pPr>
              <w:rPr>
                <w:rFonts w:ascii="Arial"/>
                <w:sz w:val="21"/>
              </w:rPr>
            </w:pPr>
          </w:p>
        </w:tc>
        <w:tc>
          <w:tcPr>
            <w:tcW w:w="4814" w:type="dxa"/>
            <w:vAlign w:val="top"/>
          </w:tcPr>
          <w:p w14:paraId="409C994F">
            <w:pPr>
              <w:spacing w:before="52" w:line="274" w:lineRule="auto"/>
              <w:ind w:left="9" w:hanging="1"/>
              <w:rPr>
                <w:rFonts w:ascii="宋体" w:hAnsi="宋体" w:eastAsia="宋体" w:cs="宋体"/>
                <w:sz w:val="21"/>
                <w:szCs w:val="21"/>
              </w:rPr>
            </w:pPr>
            <w:r>
              <w:rPr>
                <w:rFonts w:ascii="宋体" w:hAnsi="宋体" w:eastAsia="宋体" w:cs="宋体"/>
                <w:spacing w:val="-2"/>
                <w:sz w:val="21"/>
                <w:szCs w:val="21"/>
              </w:rPr>
              <w:t>②病死猪：病死猪暂存于无害化处理间，委托内江市环态动物无害化处置有限责任公司进行无害化处理，并设置一套无害化生物降解机应急备用，当发生重大疫情时为避免病死猪运输过程中交叉影响而启用。</w:t>
            </w:r>
          </w:p>
          <w:p w14:paraId="33877193">
            <w:pPr>
              <w:pStyle w:val="6"/>
              <w:spacing w:line="270" w:lineRule="auto"/>
              <w:ind w:left="14" w:hanging="6"/>
              <w:rPr>
                <w:rFonts w:ascii="宋体" w:hAnsi="宋体" w:eastAsia="宋体" w:cs="宋体"/>
              </w:rPr>
            </w:pPr>
            <w:r>
              <w:rPr>
                <w:rFonts w:ascii="宋体" w:hAnsi="宋体" w:eastAsia="宋体" w:cs="宋体"/>
                <w:spacing w:val="-7"/>
              </w:rPr>
              <w:t>③危险废物：设置</w:t>
            </w:r>
            <w:r>
              <w:rPr>
                <w:rFonts w:ascii="宋体" w:hAnsi="宋体" w:eastAsia="宋体" w:cs="宋体"/>
                <w:spacing w:val="-12"/>
              </w:rPr>
              <w:t xml:space="preserve"> </w:t>
            </w:r>
            <w:r>
              <w:rPr>
                <w:spacing w:val="-7"/>
              </w:rPr>
              <w:t>1</w:t>
            </w:r>
            <w:r>
              <w:rPr>
                <w:spacing w:val="24"/>
                <w:w w:val="101"/>
              </w:rPr>
              <w:t xml:space="preserve"> </w:t>
            </w:r>
            <w:r>
              <w:rPr>
                <w:rFonts w:ascii="宋体" w:hAnsi="宋体" w:eastAsia="宋体" w:cs="宋体"/>
                <w:spacing w:val="-7"/>
              </w:rPr>
              <w:t>间危废暂存间（位于无害化处理</w:t>
            </w:r>
            <w:r>
              <w:rPr>
                <w:rFonts w:ascii="宋体" w:hAnsi="宋体" w:eastAsia="宋体" w:cs="宋体"/>
                <w:spacing w:val="-10"/>
              </w:rPr>
              <w:t>间内</w:t>
            </w:r>
            <w:r>
              <w:rPr>
                <w:rFonts w:ascii="宋体" w:hAnsi="宋体" w:eastAsia="宋体" w:cs="宋体"/>
                <w:spacing w:val="-54"/>
              </w:rPr>
              <w:t>），</w:t>
            </w:r>
            <w:r>
              <w:rPr>
                <w:rFonts w:ascii="宋体" w:hAnsi="宋体" w:eastAsia="宋体" w:cs="宋体"/>
                <w:spacing w:val="-10"/>
              </w:rPr>
              <w:t>面积</w:t>
            </w:r>
            <w:r>
              <w:rPr>
                <w:rFonts w:ascii="宋体" w:hAnsi="宋体" w:eastAsia="宋体" w:cs="宋体"/>
                <w:spacing w:val="-28"/>
              </w:rPr>
              <w:t xml:space="preserve"> </w:t>
            </w:r>
            <w:r>
              <w:rPr>
                <w:spacing w:val="-10"/>
              </w:rPr>
              <w:t>15m</w:t>
            </w:r>
            <w:r>
              <w:rPr>
                <w:spacing w:val="-10"/>
                <w:position w:val="9"/>
                <w:sz w:val="14"/>
                <w:szCs w:val="14"/>
              </w:rPr>
              <w:t>2</w:t>
            </w:r>
            <w:r>
              <w:rPr>
                <w:rFonts w:ascii="宋体" w:hAnsi="宋体" w:eastAsia="宋体" w:cs="宋体"/>
                <w:spacing w:val="-10"/>
              </w:rPr>
              <w:t>，用于暂存本项目产生的危险废物，</w:t>
            </w:r>
            <w:r>
              <w:rPr>
                <w:rFonts w:ascii="宋体" w:hAnsi="宋体" w:eastAsia="宋体" w:cs="宋体"/>
                <w:spacing w:val="-5"/>
              </w:rPr>
              <w:t>定期交有危险废物处理资质的单位处置。</w:t>
            </w:r>
          </w:p>
          <w:p w14:paraId="034FEEDA">
            <w:pPr>
              <w:spacing w:before="6" w:line="274" w:lineRule="auto"/>
              <w:ind w:left="11" w:right="1" w:hanging="3"/>
              <w:rPr>
                <w:rFonts w:ascii="宋体" w:hAnsi="宋体" w:eastAsia="宋体" w:cs="宋体"/>
                <w:sz w:val="21"/>
                <w:szCs w:val="21"/>
              </w:rPr>
            </w:pPr>
            <w:r>
              <w:rPr>
                <w:rFonts w:ascii="宋体" w:hAnsi="宋体" w:eastAsia="宋体" w:cs="宋体"/>
                <w:spacing w:val="-2"/>
                <w:sz w:val="21"/>
                <w:szCs w:val="21"/>
              </w:rPr>
              <w:t>④生活垃圾：生活垃圾采用垃圾桶收集，定期运至喻家沟村垃圾收集点，交由环卫部门清运处理。</w:t>
            </w:r>
          </w:p>
          <w:p w14:paraId="4300E392">
            <w:pPr>
              <w:spacing w:line="217" w:lineRule="auto"/>
              <w:ind w:left="8"/>
              <w:rPr>
                <w:rFonts w:ascii="宋体" w:hAnsi="宋体" w:eastAsia="宋体" w:cs="宋体"/>
                <w:sz w:val="21"/>
                <w:szCs w:val="21"/>
              </w:rPr>
            </w:pPr>
            <w:r>
              <w:rPr>
                <w:rFonts w:ascii="宋体" w:hAnsi="宋体" w:eastAsia="宋体" w:cs="宋体"/>
                <w:spacing w:val="-2"/>
                <w:sz w:val="21"/>
                <w:szCs w:val="21"/>
              </w:rPr>
              <w:t>⑤废脱硫剂：由供应厂家进行定期更换并回收。</w:t>
            </w:r>
          </w:p>
        </w:tc>
        <w:tc>
          <w:tcPr>
            <w:tcW w:w="896" w:type="dxa"/>
            <w:vMerge w:val="restart"/>
            <w:tcBorders>
              <w:bottom w:val="nil"/>
            </w:tcBorders>
            <w:vAlign w:val="top"/>
          </w:tcPr>
          <w:p w14:paraId="4577A4F5">
            <w:pPr>
              <w:rPr>
                <w:rFonts w:ascii="Arial"/>
                <w:sz w:val="21"/>
              </w:rPr>
            </w:pPr>
          </w:p>
        </w:tc>
        <w:tc>
          <w:tcPr>
            <w:tcW w:w="902" w:type="dxa"/>
            <w:vAlign w:val="top"/>
          </w:tcPr>
          <w:p w14:paraId="4347BF7F">
            <w:pPr>
              <w:rPr>
                <w:rFonts w:ascii="Arial"/>
                <w:sz w:val="21"/>
              </w:rPr>
            </w:pPr>
          </w:p>
        </w:tc>
      </w:tr>
      <w:tr w14:paraId="22EF4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0" w:hRule="atLeast"/>
        </w:trPr>
        <w:tc>
          <w:tcPr>
            <w:tcW w:w="858" w:type="dxa"/>
            <w:vMerge w:val="continue"/>
            <w:tcBorders>
              <w:top w:val="nil"/>
              <w:bottom w:val="nil"/>
            </w:tcBorders>
            <w:vAlign w:val="top"/>
          </w:tcPr>
          <w:p w14:paraId="6D922966">
            <w:pPr>
              <w:rPr>
                <w:rFonts w:ascii="Arial"/>
                <w:sz w:val="21"/>
              </w:rPr>
            </w:pPr>
          </w:p>
        </w:tc>
        <w:tc>
          <w:tcPr>
            <w:tcW w:w="850" w:type="dxa"/>
            <w:vAlign w:val="top"/>
          </w:tcPr>
          <w:p w14:paraId="50AAB558">
            <w:pPr>
              <w:spacing w:line="263" w:lineRule="auto"/>
              <w:rPr>
                <w:rFonts w:ascii="Arial"/>
                <w:sz w:val="21"/>
              </w:rPr>
            </w:pPr>
          </w:p>
          <w:p w14:paraId="089F7CDF">
            <w:pPr>
              <w:spacing w:line="263" w:lineRule="auto"/>
              <w:rPr>
                <w:rFonts w:ascii="Arial"/>
                <w:sz w:val="21"/>
              </w:rPr>
            </w:pPr>
          </w:p>
          <w:p w14:paraId="1334A9DA">
            <w:pPr>
              <w:spacing w:line="263" w:lineRule="auto"/>
              <w:rPr>
                <w:rFonts w:ascii="Arial"/>
                <w:sz w:val="21"/>
              </w:rPr>
            </w:pPr>
          </w:p>
          <w:p w14:paraId="1671D4A8">
            <w:pPr>
              <w:spacing w:line="263" w:lineRule="auto"/>
              <w:rPr>
                <w:rFonts w:ascii="Arial"/>
                <w:sz w:val="21"/>
              </w:rPr>
            </w:pPr>
          </w:p>
          <w:p w14:paraId="100751F1">
            <w:pPr>
              <w:spacing w:line="263" w:lineRule="auto"/>
              <w:rPr>
                <w:rFonts w:ascii="Arial"/>
                <w:sz w:val="21"/>
              </w:rPr>
            </w:pPr>
          </w:p>
          <w:p w14:paraId="6B9F94AD">
            <w:pPr>
              <w:spacing w:line="264" w:lineRule="auto"/>
              <w:rPr>
                <w:rFonts w:ascii="Arial"/>
                <w:sz w:val="21"/>
              </w:rPr>
            </w:pPr>
          </w:p>
          <w:p w14:paraId="5F5B2810">
            <w:pPr>
              <w:spacing w:line="264" w:lineRule="auto"/>
              <w:rPr>
                <w:rFonts w:ascii="Arial"/>
                <w:sz w:val="21"/>
              </w:rPr>
            </w:pPr>
          </w:p>
          <w:p w14:paraId="515C67C2">
            <w:pPr>
              <w:spacing w:before="68" w:line="277" w:lineRule="auto"/>
              <w:ind w:left="232" w:right="108" w:hanging="118"/>
              <w:rPr>
                <w:rFonts w:ascii="宋体" w:hAnsi="宋体" w:eastAsia="宋体" w:cs="宋体"/>
                <w:sz w:val="21"/>
                <w:szCs w:val="21"/>
              </w:rPr>
            </w:pPr>
            <w:r>
              <w:rPr>
                <w:rFonts w:ascii="宋体" w:hAnsi="宋体" w:eastAsia="宋体" w:cs="宋体"/>
                <w:spacing w:val="-3"/>
                <w:sz w:val="21"/>
                <w:szCs w:val="21"/>
              </w:rPr>
              <w:t>地下水</w:t>
            </w:r>
            <w:r>
              <w:rPr>
                <w:rFonts w:ascii="宋体" w:hAnsi="宋体" w:eastAsia="宋体" w:cs="宋体"/>
                <w:spacing w:val="-6"/>
                <w:sz w:val="21"/>
                <w:szCs w:val="21"/>
              </w:rPr>
              <w:t>防渗</w:t>
            </w:r>
          </w:p>
        </w:tc>
        <w:tc>
          <w:tcPr>
            <w:tcW w:w="4814" w:type="dxa"/>
            <w:vAlign w:val="top"/>
          </w:tcPr>
          <w:p w14:paraId="41F9D0F5">
            <w:pPr>
              <w:pStyle w:val="6"/>
              <w:spacing w:before="52" w:line="274" w:lineRule="auto"/>
              <w:ind w:left="9" w:right="1"/>
              <w:rPr>
                <w:rFonts w:ascii="宋体" w:hAnsi="宋体" w:eastAsia="宋体" w:cs="宋体"/>
              </w:rPr>
            </w:pPr>
            <w:r>
              <w:rPr>
                <w:rFonts w:ascii="宋体" w:hAnsi="宋体" w:eastAsia="宋体" w:cs="宋体"/>
                <w:spacing w:val="-2"/>
              </w:rPr>
              <w:t>①污水管：场内粪污全部采用埋地管道密闭输送，管</w:t>
            </w:r>
            <w:r>
              <w:rPr>
                <w:rFonts w:ascii="宋体" w:hAnsi="宋体" w:eastAsia="宋体" w:cs="宋体"/>
                <w:spacing w:val="-1"/>
              </w:rPr>
              <w:t>道为</w:t>
            </w:r>
            <w:r>
              <w:rPr>
                <w:rFonts w:ascii="宋体" w:hAnsi="宋体" w:eastAsia="宋体" w:cs="宋体"/>
                <w:spacing w:val="-47"/>
              </w:rPr>
              <w:t xml:space="preserve"> </w:t>
            </w:r>
            <w:r>
              <w:rPr>
                <w:spacing w:val="-1"/>
              </w:rPr>
              <w:t xml:space="preserve">PE </w:t>
            </w:r>
            <w:r>
              <w:rPr>
                <w:rFonts w:ascii="宋体" w:hAnsi="宋体" w:eastAsia="宋体" w:cs="宋体"/>
                <w:spacing w:val="-1"/>
              </w:rPr>
              <w:t>材质，</w:t>
            </w:r>
            <w:r>
              <w:rPr>
                <w:spacing w:val="-1"/>
              </w:rPr>
              <w:t>DN160</w:t>
            </w:r>
            <w:r>
              <w:rPr>
                <w:rFonts w:ascii="宋体" w:hAnsi="宋体" w:eastAsia="宋体" w:cs="宋体"/>
                <w:spacing w:val="-1"/>
              </w:rPr>
              <w:t>。</w:t>
            </w:r>
          </w:p>
          <w:p w14:paraId="55E8E0E2">
            <w:pPr>
              <w:pStyle w:val="6"/>
              <w:spacing w:before="3" w:line="271" w:lineRule="auto"/>
              <w:ind w:left="8"/>
              <w:rPr>
                <w:rFonts w:ascii="宋体" w:hAnsi="宋体" w:eastAsia="宋体" w:cs="宋体"/>
              </w:rPr>
            </w:pPr>
            <w:r>
              <w:rPr>
                <w:rFonts w:ascii="宋体" w:hAnsi="宋体" w:eastAsia="宋体" w:cs="宋体"/>
                <w:spacing w:val="-4"/>
              </w:rPr>
              <w:t>②重点防渗：危废暂存间、堆粪棚、储油间、无害化</w:t>
            </w:r>
            <w:r>
              <w:rPr>
                <w:rFonts w:ascii="宋体" w:hAnsi="宋体" w:eastAsia="宋体" w:cs="宋体"/>
                <w:spacing w:val="-8"/>
              </w:rPr>
              <w:t>处理间、污水处理站等做重点防渗处理， 采取防渗混</w:t>
            </w:r>
            <w:r>
              <w:rPr>
                <w:rFonts w:ascii="宋体" w:hAnsi="宋体" w:eastAsia="宋体" w:cs="宋体"/>
              </w:rPr>
              <w:t>凝土</w:t>
            </w:r>
            <w:r>
              <w:t>+</w:t>
            </w:r>
            <w:r>
              <w:rPr>
                <w:rFonts w:ascii="宋体" w:hAnsi="宋体" w:eastAsia="宋体" w:cs="宋体"/>
              </w:rPr>
              <w:t>粘土防渗层，确保防渗性能达到等效黏土防渗</w:t>
            </w:r>
            <w:r>
              <w:rPr>
                <w:rFonts w:ascii="宋体" w:hAnsi="宋体" w:eastAsia="宋体" w:cs="宋体"/>
                <w:spacing w:val="-9"/>
              </w:rPr>
              <w:t>层</w:t>
            </w:r>
            <w:r>
              <w:rPr>
                <w:rFonts w:ascii="宋体" w:hAnsi="宋体" w:eastAsia="宋体" w:cs="宋体"/>
                <w:spacing w:val="-37"/>
              </w:rPr>
              <w:t xml:space="preserve"> </w:t>
            </w:r>
            <w:r>
              <w:rPr>
                <w:spacing w:val="-9"/>
              </w:rPr>
              <w:t>Mb</w:t>
            </w:r>
            <w:r>
              <w:rPr>
                <w:rFonts w:ascii="宋体" w:hAnsi="宋体" w:eastAsia="宋体" w:cs="宋体"/>
                <w:spacing w:val="-9"/>
              </w:rPr>
              <w:t>≥</w:t>
            </w:r>
            <w:r>
              <w:rPr>
                <w:spacing w:val="-9"/>
              </w:rPr>
              <w:t>6.0m</w:t>
            </w:r>
            <w:r>
              <w:rPr>
                <w:rFonts w:ascii="宋体" w:hAnsi="宋体" w:eastAsia="宋体" w:cs="宋体"/>
                <w:spacing w:val="-9"/>
              </w:rPr>
              <w:t>，</w:t>
            </w:r>
            <w:r>
              <w:rPr>
                <w:spacing w:val="-9"/>
              </w:rPr>
              <w:t>K</w:t>
            </w:r>
            <w:r>
              <w:rPr>
                <w:rFonts w:ascii="宋体" w:hAnsi="宋体" w:eastAsia="宋体" w:cs="宋体"/>
                <w:spacing w:val="-9"/>
              </w:rPr>
              <w:t>≤</w:t>
            </w:r>
            <w:r>
              <w:rPr>
                <w:spacing w:val="-9"/>
              </w:rPr>
              <w:t>1×10</w:t>
            </w:r>
            <w:r>
              <w:rPr>
                <w:spacing w:val="-9"/>
                <w:position w:val="9"/>
                <w:sz w:val="14"/>
                <w:szCs w:val="14"/>
              </w:rPr>
              <w:t>-7</w:t>
            </w:r>
            <w:r>
              <w:rPr>
                <w:spacing w:val="-9"/>
              </w:rPr>
              <w:t>cm/s</w:t>
            </w:r>
            <w:r>
              <w:rPr>
                <w:rFonts w:ascii="宋体" w:hAnsi="宋体" w:eastAsia="宋体" w:cs="宋体"/>
                <w:spacing w:val="-9"/>
              </w:rPr>
              <w:t>，或参照</w:t>
            </w:r>
            <w:r>
              <w:rPr>
                <w:rFonts w:ascii="宋体" w:hAnsi="宋体" w:eastAsia="宋体" w:cs="宋体"/>
                <w:spacing w:val="-46"/>
              </w:rPr>
              <w:t xml:space="preserve"> </w:t>
            </w:r>
            <w:r>
              <w:rPr>
                <w:spacing w:val="-9"/>
              </w:rPr>
              <w:t xml:space="preserve">GB18598 </w:t>
            </w:r>
            <w:r>
              <w:rPr>
                <w:rFonts w:ascii="宋体" w:hAnsi="宋体" w:eastAsia="宋体" w:cs="宋体"/>
                <w:spacing w:val="-9"/>
              </w:rPr>
              <w:t>执行；</w:t>
            </w:r>
            <w:r>
              <w:rPr>
                <w:rFonts w:ascii="宋体" w:hAnsi="宋体" w:eastAsia="宋体" w:cs="宋体"/>
                <w:spacing w:val="-2"/>
              </w:rPr>
              <w:t>危废暂存间采用防渗混凝土</w:t>
            </w:r>
            <w:r>
              <w:rPr>
                <w:spacing w:val="-2"/>
              </w:rPr>
              <w:t>+2mm</w:t>
            </w:r>
            <w:r>
              <w:rPr>
                <w:spacing w:val="18"/>
              </w:rPr>
              <w:t xml:space="preserve"> </w:t>
            </w:r>
            <w:r>
              <w:rPr>
                <w:rFonts w:ascii="宋体" w:hAnsi="宋体" w:eastAsia="宋体" w:cs="宋体"/>
                <w:spacing w:val="-2"/>
              </w:rPr>
              <w:t>人工材料防渗层，渗透系数</w:t>
            </w:r>
            <w:r>
              <w:rPr>
                <w:rFonts w:ascii="宋体" w:hAnsi="宋体" w:eastAsia="宋体" w:cs="宋体"/>
                <w:spacing w:val="-50"/>
              </w:rPr>
              <w:t xml:space="preserve"> </w:t>
            </w:r>
            <w:r>
              <w:rPr>
                <w:spacing w:val="-2"/>
              </w:rPr>
              <w:t>K</w:t>
            </w:r>
            <w:r>
              <w:rPr>
                <w:rFonts w:ascii="宋体" w:hAnsi="宋体" w:eastAsia="宋体" w:cs="宋体"/>
                <w:spacing w:val="-2"/>
              </w:rPr>
              <w:t>≤</w:t>
            </w:r>
            <w:r>
              <w:rPr>
                <w:spacing w:val="-2"/>
              </w:rPr>
              <w:t>1×10</w:t>
            </w:r>
            <w:r>
              <w:rPr>
                <w:spacing w:val="-2"/>
                <w:position w:val="9"/>
                <w:sz w:val="14"/>
                <w:szCs w:val="14"/>
              </w:rPr>
              <w:t xml:space="preserve">-10 </w:t>
            </w:r>
            <w:r>
              <w:rPr>
                <w:spacing w:val="-2"/>
              </w:rPr>
              <w:t>cm/s</w:t>
            </w:r>
            <w:r>
              <w:rPr>
                <w:rFonts w:ascii="宋体" w:hAnsi="宋体" w:eastAsia="宋体" w:cs="宋体"/>
                <w:spacing w:val="-2"/>
              </w:rPr>
              <w:t>。</w:t>
            </w:r>
          </w:p>
          <w:p w14:paraId="6337134C">
            <w:pPr>
              <w:pStyle w:val="6"/>
              <w:spacing w:before="2" w:line="272" w:lineRule="auto"/>
              <w:ind w:left="8"/>
              <w:rPr>
                <w:rFonts w:ascii="宋体" w:hAnsi="宋体" w:eastAsia="宋体" w:cs="宋体"/>
              </w:rPr>
            </w:pPr>
            <w:r>
              <w:rPr>
                <w:rFonts w:ascii="宋体" w:hAnsi="宋体" w:eastAsia="宋体" w:cs="宋体"/>
                <w:spacing w:val="-5"/>
              </w:rPr>
              <w:t>③一般防渗：猪舍、转猪舍、洗消区、发电机房、化粪池及田间储存池等采取一般防渗处理，采取防渗混</w:t>
            </w:r>
            <w:r>
              <w:rPr>
                <w:rFonts w:ascii="宋体" w:hAnsi="宋体" w:eastAsia="宋体" w:cs="宋体"/>
                <w:spacing w:val="-1"/>
              </w:rPr>
              <w:t>凝土</w:t>
            </w:r>
            <w:r>
              <w:rPr>
                <w:spacing w:val="-1"/>
              </w:rPr>
              <w:t>+</w:t>
            </w:r>
            <w:r>
              <w:rPr>
                <w:rFonts w:ascii="宋体" w:hAnsi="宋体" w:eastAsia="宋体" w:cs="宋体"/>
                <w:spacing w:val="-1"/>
              </w:rPr>
              <w:t>粘土防渗层，确保防渗性能达到等效黏土防渗</w:t>
            </w:r>
            <w:r>
              <w:rPr>
                <w:rFonts w:ascii="宋体" w:hAnsi="宋体" w:eastAsia="宋体" w:cs="宋体"/>
                <w:spacing w:val="-9"/>
              </w:rPr>
              <w:t>层</w:t>
            </w:r>
            <w:r>
              <w:rPr>
                <w:rFonts w:ascii="宋体" w:hAnsi="宋体" w:eastAsia="宋体" w:cs="宋体"/>
                <w:spacing w:val="-37"/>
              </w:rPr>
              <w:t xml:space="preserve"> </w:t>
            </w:r>
            <w:r>
              <w:rPr>
                <w:spacing w:val="-9"/>
              </w:rPr>
              <w:t>Mb</w:t>
            </w:r>
            <w:r>
              <w:rPr>
                <w:rFonts w:ascii="宋体" w:hAnsi="宋体" w:eastAsia="宋体" w:cs="宋体"/>
                <w:spacing w:val="-9"/>
              </w:rPr>
              <w:t>≥</w:t>
            </w:r>
            <w:r>
              <w:rPr>
                <w:spacing w:val="-9"/>
              </w:rPr>
              <w:t>1.5m</w:t>
            </w:r>
            <w:r>
              <w:rPr>
                <w:rFonts w:ascii="宋体" w:hAnsi="宋体" w:eastAsia="宋体" w:cs="宋体"/>
                <w:spacing w:val="-9"/>
              </w:rPr>
              <w:t>，</w:t>
            </w:r>
            <w:r>
              <w:rPr>
                <w:spacing w:val="-9"/>
              </w:rPr>
              <w:t>K</w:t>
            </w:r>
            <w:r>
              <w:rPr>
                <w:rFonts w:ascii="宋体" w:hAnsi="宋体" w:eastAsia="宋体" w:cs="宋体"/>
                <w:spacing w:val="-9"/>
              </w:rPr>
              <w:t>≤</w:t>
            </w:r>
            <w:r>
              <w:rPr>
                <w:spacing w:val="-9"/>
              </w:rPr>
              <w:t>1×10</w:t>
            </w:r>
            <w:r>
              <w:rPr>
                <w:spacing w:val="-9"/>
                <w:position w:val="9"/>
                <w:sz w:val="14"/>
                <w:szCs w:val="14"/>
              </w:rPr>
              <w:t>-7</w:t>
            </w:r>
            <w:r>
              <w:rPr>
                <w:spacing w:val="-9"/>
              </w:rPr>
              <w:t>cm/s</w:t>
            </w:r>
            <w:r>
              <w:rPr>
                <w:rFonts w:ascii="宋体" w:hAnsi="宋体" w:eastAsia="宋体" w:cs="宋体"/>
                <w:spacing w:val="-9"/>
              </w:rPr>
              <w:t>，或参照</w:t>
            </w:r>
            <w:r>
              <w:rPr>
                <w:rFonts w:ascii="宋体" w:hAnsi="宋体" w:eastAsia="宋体" w:cs="宋体"/>
                <w:spacing w:val="-46"/>
              </w:rPr>
              <w:t xml:space="preserve"> </w:t>
            </w:r>
            <w:r>
              <w:rPr>
                <w:spacing w:val="-9"/>
              </w:rPr>
              <w:t xml:space="preserve">GB16889 </w:t>
            </w:r>
            <w:r>
              <w:rPr>
                <w:rFonts w:ascii="宋体" w:hAnsi="宋体" w:eastAsia="宋体" w:cs="宋体"/>
                <w:spacing w:val="-9"/>
              </w:rPr>
              <w:t>执行。</w:t>
            </w:r>
          </w:p>
          <w:p w14:paraId="54FAB154">
            <w:pPr>
              <w:spacing w:before="2" w:line="247" w:lineRule="auto"/>
              <w:ind w:left="10" w:right="1" w:hanging="2"/>
              <w:rPr>
                <w:rFonts w:ascii="宋体" w:hAnsi="宋体" w:eastAsia="宋体" w:cs="宋体"/>
                <w:sz w:val="21"/>
                <w:szCs w:val="21"/>
              </w:rPr>
            </w:pPr>
            <w:r>
              <w:rPr>
                <w:rFonts w:ascii="宋体" w:hAnsi="宋体" w:eastAsia="宋体" w:cs="宋体"/>
                <w:spacing w:val="-2"/>
                <w:sz w:val="21"/>
                <w:szCs w:val="21"/>
              </w:rPr>
              <w:t>④简单防渗：办公生活区、场区道路等区域做简单防</w:t>
            </w:r>
            <w:r>
              <w:rPr>
                <w:rFonts w:ascii="宋体" w:hAnsi="宋体" w:eastAsia="宋体" w:cs="宋体"/>
                <w:spacing w:val="-4"/>
                <w:sz w:val="21"/>
                <w:szCs w:val="21"/>
              </w:rPr>
              <w:t>渗处理，一般水泥硬化。</w:t>
            </w:r>
          </w:p>
        </w:tc>
        <w:tc>
          <w:tcPr>
            <w:tcW w:w="896" w:type="dxa"/>
            <w:vMerge w:val="continue"/>
            <w:tcBorders>
              <w:top w:val="nil"/>
              <w:bottom w:val="nil"/>
            </w:tcBorders>
            <w:vAlign w:val="top"/>
          </w:tcPr>
          <w:p w14:paraId="6C3CE7C9">
            <w:pPr>
              <w:rPr>
                <w:rFonts w:ascii="Arial"/>
                <w:sz w:val="21"/>
              </w:rPr>
            </w:pPr>
          </w:p>
        </w:tc>
        <w:tc>
          <w:tcPr>
            <w:tcW w:w="902" w:type="dxa"/>
            <w:vAlign w:val="top"/>
          </w:tcPr>
          <w:p w14:paraId="7A7FEDF5">
            <w:pPr>
              <w:spacing w:line="254" w:lineRule="auto"/>
              <w:rPr>
                <w:rFonts w:ascii="Arial"/>
                <w:sz w:val="21"/>
              </w:rPr>
            </w:pPr>
          </w:p>
          <w:p w14:paraId="256A194B">
            <w:pPr>
              <w:spacing w:line="255" w:lineRule="auto"/>
              <w:rPr>
                <w:rFonts w:ascii="Arial"/>
                <w:sz w:val="21"/>
              </w:rPr>
            </w:pPr>
          </w:p>
          <w:p w14:paraId="29C4FBFF">
            <w:pPr>
              <w:spacing w:line="255" w:lineRule="auto"/>
              <w:rPr>
                <w:rFonts w:ascii="Arial"/>
                <w:sz w:val="21"/>
              </w:rPr>
            </w:pPr>
          </w:p>
          <w:p w14:paraId="0203A291">
            <w:pPr>
              <w:spacing w:line="255" w:lineRule="auto"/>
              <w:rPr>
                <w:rFonts w:ascii="Arial"/>
                <w:sz w:val="21"/>
              </w:rPr>
            </w:pPr>
          </w:p>
          <w:p w14:paraId="5A5F9939">
            <w:pPr>
              <w:spacing w:line="255" w:lineRule="auto"/>
              <w:rPr>
                <w:rFonts w:ascii="Arial"/>
                <w:sz w:val="21"/>
              </w:rPr>
            </w:pPr>
          </w:p>
          <w:p w14:paraId="67A8D43F">
            <w:pPr>
              <w:spacing w:line="255" w:lineRule="auto"/>
              <w:rPr>
                <w:rFonts w:ascii="Arial"/>
                <w:sz w:val="21"/>
              </w:rPr>
            </w:pPr>
          </w:p>
          <w:p w14:paraId="01D3F240">
            <w:pPr>
              <w:spacing w:line="255" w:lineRule="auto"/>
              <w:rPr>
                <w:rFonts w:ascii="Arial"/>
                <w:sz w:val="21"/>
              </w:rPr>
            </w:pPr>
          </w:p>
          <w:p w14:paraId="003A01C8">
            <w:pPr>
              <w:spacing w:line="255" w:lineRule="auto"/>
              <w:rPr>
                <w:rFonts w:ascii="Arial"/>
                <w:sz w:val="21"/>
              </w:rPr>
            </w:pPr>
          </w:p>
          <w:p w14:paraId="0BE4F2AE">
            <w:pPr>
              <w:pStyle w:val="6"/>
              <w:spacing w:before="60" w:line="192" w:lineRule="auto"/>
              <w:ind w:left="419"/>
            </w:pPr>
            <w:r>
              <w:t>/</w:t>
            </w:r>
          </w:p>
        </w:tc>
      </w:tr>
      <w:tr w14:paraId="552F5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858" w:type="dxa"/>
            <w:vMerge w:val="continue"/>
            <w:tcBorders>
              <w:top w:val="nil"/>
            </w:tcBorders>
            <w:vAlign w:val="top"/>
          </w:tcPr>
          <w:p w14:paraId="12DB02F4">
            <w:pPr>
              <w:rPr>
                <w:rFonts w:ascii="Arial"/>
                <w:sz w:val="21"/>
              </w:rPr>
            </w:pPr>
          </w:p>
        </w:tc>
        <w:tc>
          <w:tcPr>
            <w:tcW w:w="850" w:type="dxa"/>
            <w:vAlign w:val="top"/>
          </w:tcPr>
          <w:p w14:paraId="06444836">
            <w:pPr>
              <w:spacing w:line="451" w:lineRule="auto"/>
              <w:rPr>
                <w:rFonts w:ascii="Arial"/>
                <w:sz w:val="21"/>
              </w:rPr>
            </w:pPr>
          </w:p>
          <w:p w14:paraId="3AC43F50">
            <w:pPr>
              <w:spacing w:before="69" w:line="220" w:lineRule="auto"/>
              <w:jc w:val="right"/>
              <w:rPr>
                <w:rFonts w:ascii="宋体" w:hAnsi="宋体" w:eastAsia="宋体" w:cs="宋体"/>
                <w:sz w:val="21"/>
                <w:szCs w:val="21"/>
              </w:rPr>
            </w:pPr>
            <w:r>
              <w:rPr>
                <w:rFonts w:ascii="宋体" w:hAnsi="宋体" w:eastAsia="宋体" w:cs="宋体"/>
                <w:spacing w:val="-2"/>
                <w:sz w:val="21"/>
                <w:szCs w:val="21"/>
              </w:rPr>
              <w:t>风险防范</w:t>
            </w:r>
          </w:p>
        </w:tc>
        <w:tc>
          <w:tcPr>
            <w:tcW w:w="4814" w:type="dxa"/>
            <w:vAlign w:val="top"/>
          </w:tcPr>
          <w:p w14:paraId="3FA14B9A">
            <w:pPr>
              <w:spacing w:before="54" w:line="220" w:lineRule="auto"/>
              <w:ind w:left="13"/>
              <w:rPr>
                <w:rFonts w:ascii="宋体" w:hAnsi="宋体" w:eastAsia="宋体" w:cs="宋体"/>
                <w:sz w:val="21"/>
                <w:szCs w:val="21"/>
              </w:rPr>
            </w:pPr>
            <w:r>
              <w:rPr>
                <w:rFonts w:ascii="宋体" w:hAnsi="宋体" w:eastAsia="宋体" w:cs="宋体"/>
                <w:spacing w:val="-2"/>
                <w:sz w:val="21"/>
                <w:szCs w:val="21"/>
              </w:rPr>
              <w:t>设置沼气泄漏自动检测系统，严禁火种标识。</w:t>
            </w:r>
          </w:p>
          <w:p w14:paraId="688C9893">
            <w:pPr>
              <w:pStyle w:val="6"/>
              <w:spacing w:before="47" w:line="260" w:lineRule="auto"/>
              <w:ind w:left="11" w:firstLine="2"/>
              <w:rPr>
                <w:rFonts w:ascii="宋体" w:hAnsi="宋体" w:eastAsia="宋体" w:cs="宋体"/>
              </w:rPr>
            </w:pPr>
            <w:r>
              <w:rPr>
                <w:rFonts w:ascii="宋体" w:hAnsi="宋体" w:eastAsia="宋体" w:cs="宋体"/>
                <w:spacing w:val="-3"/>
              </w:rPr>
              <w:t>消纳地内设置</w:t>
            </w:r>
            <w:r>
              <w:rPr>
                <w:rFonts w:ascii="宋体" w:hAnsi="宋体" w:eastAsia="宋体" w:cs="宋体"/>
                <w:spacing w:val="-4"/>
              </w:rPr>
              <w:t xml:space="preserve"> </w:t>
            </w:r>
            <w:r>
              <w:rPr>
                <w:spacing w:val="-3"/>
              </w:rPr>
              <w:t>5</w:t>
            </w:r>
            <w:r>
              <w:rPr>
                <w:spacing w:val="34"/>
              </w:rPr>
              <w:t xml:space="preserve"> </w:t>
            </w:r>
            <w:r>
              <w:rPr>
                <w:rFonts w:ascii="宋体" w:hAnsi="宋体" w:eastAsia="宋体" w:cs="宋体"/>
                <w:spacing w:val="-3"/>
              </w:rPr>
              <w:t>座容积均为</w:t>
            </w:r>
            <w:r>
              <w:rPr>
                <w:rFonts w:ascii="宋体" w:hAnsi="宋体" w:eastAsia="宋体" w:cs="宋体"/>
                <w:spacing w:val="-27"/>
              </w:rPr>
              <w:t xml:space="preserve"> </w:t>
            </w:r>
            <w:r>
              <w:rPr>
                <w:spacing w:val="-3"/>
              </w:rPr>
              <w:t>4500m</w:t>
            </w:r>
            <w:r>
              <w:rPr>
                <w:spacing w:val="-3"/>
                <w:position w:val="9"/>
                <w:sz w:val="14"/>
                <w:szCs w:val="14"/>
              </w:rPr>
              <w:t xml:space="preserve">3  </w:t>
            </w:r>
            <w:r>
              <w:rPr>
                <w:rFonts w:ascii="宋体" w:hAnsi="宋体" w:eastAsia="宋体" w:cs="宋体"/>
                <w:spacing w:val="-3"/>
              </w:rPr>
              <w:t>田间储存池，污</w:t>
            </w:r>
            <w:r>
              <w:rPr>
                <w:rFonts w:ascii="宋体" w:hAnsi="宋体" w:eastAsia="宋体" w:cs="宋体"/>
                <w:spacing w:val="-2"/>
              </w:rPr>
              <w:t>水处理站设置回流管至微生物曝氧塘，污水处理站发</w:t>
            </w:r>
            <w:r>
              <w:rPr>
                <w:rFonts w:ascii="宋体" w:hAnsi="宋体" w:eastAsia="宋体" w:cs="宋体"/>
                <w:spacing w:val="-3"/>
              </w:rPr>
              <w:t>生故障时将出水回流至微生物曝氧塘暂存。</w:t>
            </w:r>
          </w:p>
        </w:tc>
        <w:tc>
          <w:tcPr>
            <w:tcW w:w="896" w:type="dxa"/>
            <w:vMerge w:val="continue"/>
            <w:tcBorders>
              <w:top w:val="nil"/>
            </w:tcBorders>
            <w:vAlign w:val="top"/>
          </w:tcPr>
          <w:p w14:paraId="17AC1BB9">
            <w:pPr>
              <w:rPr>
                <w:rFonts w:ascii="Arial"/>
                <w:sz w:val="21"/>
              </w:rPr>
            </w:pPr>
          </w:p>
        </w:tc>
        <w:tc>
          <w:tcPr>
            <w:tcW w:w="902" w:type="dxa"/>
            <w:vAlign w:val="top"/>
          </w:tcPr>
          <w:p w14:paraId="3D431A9A">
            <w:pPr>
              <w:spacing w:line="245" w:lineRule="auto"/>
              <w:rPr>
                <w:rFonts w:ascii="Arial"/>
                <w:sz w:val="21"/>
              </w:rPr>
            </w:pPr>
          </w:p>
          <w:p w14:paraId="2DDFBA15">
            <w:pPr>
              <w:spacing w:line="246" w:lineRule="auto"/>
              <w:rPr>
                <w:rFonts w:ascii="Arial"/>
                <w:sz w:val="21"/>
              </w:rPr>
            </w:pPr>
          </w:p>
          <w:p w14:paraId="54CEDEEB">
            <w:pPr>
              <w:pStyle w:val="6"/>
              <w:spacing w:before="61" w:line="192" w:lineRule="auto"/>
              <w:ind w:left="419"/>
            </w:pPr>
            <w:r>
              <w:t>/</w:t>
            </w:r>
          </w:p>
        </w:tc>
      </w:tr>
    </w:tbl>
    <w:p w14:paraId="3E532B5B">
      <w:pPr>
        <w:spacing w:before="281"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2.1.3  </w:t>
      </w:r>
      <w:r>
        <w:rPr>
          <w:rFonts w:ascii="宋体" w:hAnsi="宋体" w:eastAsia="宋体" w:cs="宋体"/>
          <w:b/>
          <w:bCs/>
          <w:spacing w:val="-2"/>
          <w:sz w:val="30"/>
          <w:szCs w:val="30"/>
        </w:rPr>
        <w:t>主要原辅料及能耗</w:t>
      </w:r>
    </w:p>
    <w:p w14:paraId="4C31C335">
      <w:pPr>
        <w:pStyle w:val="2"/>
        <w:spacing w:line="259" w:lineRule="auto"/>
      </w:pPr>
    </w:p>
    <w:p w14:paraId="257BDB09">
      <w:pPr>
        <w:spacing w:before="78" w:line="219" w:lineRule="auto"/>
        <w:ind w:left="520"/>
        <w:rPr>
          <w:rFonts w:ascii="宋体" w:hAnsi="宋体" w:eastAsia="宋体" w:cs="宋体"/>
          <w:sz w:val="24"/>
          <w:szCs w:val="24"/>
        </w:rPr>
      </w:pPr>
      <w:r>
        <w:rPr>
          <w:rFonts w:ascii="宋体" w:hAnsi="宋体" w:eastAsia="宋体" w:cs="宋体"/>
          <w:spacing w:val="-3"/>
          <w:sz w:val="24"/>
          <w:szCs w:val="24"/>
        </w:rPr>
        <w:t>本项目主要原辅料及能耗情况见下表。</w:t>
      </w:r>
    </w:p>
    <w:p w14:paraId="5EABF790">
      <w:pPr>
        <w:spacing w:before="197" w:line="222" w:lineRule="auto"/>
        <w:ind w:left="266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2.1-3  </w:t>
      </w:r>
      <w:r>
        <w:rPr>
          <w:rFonts w:ascii="黑体" w:hAnsi="黑体" w:eastAsia="黑体" w:cs="黑体"/>
          <w:spacing w:val="-1"/>
          <w:sz w:val="21"/>
          <w:szCs w:val="21"/>
        </w:rPr>
        <w:t>主要原辅料及能耗情况表</w:t>
      </w:r>
    </w:p>
    <w:p w14:paraId="3D51F0D3">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272"/>
        <w:gridCol w:w="1133"/>
        <w:gridCol w:w="3826"/>
        <w:gridCol w:w="1088"/>
      </w:tblGrid>
      <w:tr w14:paraId="5DA69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01" w:type="dxa"/>
            <w:vAlign w:val="top"/>
          </w:tcPr>
          <w:p w14:paraId="016DD5CC">
            <w:pPr>
              <w:spacing w:before="69" w:line="220" w:lineRule="auto"/>
              <w:ind w:left="299"/>
              <w:rPr>
                <w:rFonts w:ascii="宋体" w:hAnsi="宋体" w:eastAsia="宋体" w:cs="宋体"/>
                <w:sz w:val="21"/>
                <w:szCs w:val="21"/>
              </w:rPr>
            </w:pPr>
            <w:r>
              <w:rPr>
                <w:rFonts w:ascii="宋体" w:hAnsi="宋体" w:eastAsia="宋体" w:cs="宋体"/>
                <w:spacing w:val="-3"/>
                <w:sz w:val="21"/>
                <w:szCs w:val="21"/>
              </w:rPr>
              <w:t>项目</w:t>
            </w:r>
          </w:p>
        </w:tc>
        <w:tc>
          <w:tcPr>
            <w:tcW w:w="1272" w:type="dxa"/>
            <w:vAlign w:val="top"/>
          </w:tcPr>
          <w:p w14:paraId="00050C3F">
            <w:pPr>
              <w:spacing w:before="68" w:line="222" w:lineRule="auto"/>
              <w:ind w:left="432"/>
              <w:rPr>
                <w:rFonts w:ascii="宋体" w:hAnsi="宋体" w:eastAsia="宋体" w:cs="宋体"/>
                <w:sz w:val="21"/>
                <w:szCs w:val="21"/>
              </w:rPr>
            </w:pPr>
            <w:r>
              <w:rPr>
                <w:rFonts w:ascii="宋体" w:hAnsi="宋体" w:eastAsia="宋体" w:cs="宋体"/>
                <w:spacing w:val="-3"/>
                <w:sz w:val="21"/>
                <w:szCs w:val="21"/>
              </w:rPr>
              <w:t>名称</w:t>
            </w:r>
          </w:p>
        </w:tc>
        <w:tc>
          <w:tcPr>
            <w:tcW w:w="1133" w:type="dxa"/>
            <w:vAlign w:val="top"/>
          </w:tcPr>
          <w:p w14:paraId="041E5F9B">
            <w:pPr>
              <w:spacing w:before="68" w:line="220" w:lineRule="auto"/>
              <w:ind w:left="258"/>
              <w:rPr>
                <w:rFonts w:ascii="宋体" w:hAnsi="宋体" w:eastAsia="宋体" w:cs="宋体"/>
                <w:sz w:val="21"/>
                <w:szCs w:val="21"/>
              </w:rPr>
            </w:pPr>
            <w:r>
              <w:rPr>
                <w:rFonts w:ascii="宋体" w:hAnsi="宋体" w:eastAsia="宋体" w:cs="宋体"/>
                <w:spacing w:val="-3"/>
                <w:sz w:val="21"/>
                <w:szCs w:val="21"/>
              </w:rPr>
              <w:t>年耗量</w:t>
            </w:r>
          </w:p>
        </w:tc>
        <w:tc>
          <w:tcPr>
            <w:tcW w:w="3826" w:type="dxa"/>
            <w:vAlign w:val="top"/>
          </w:tcPr>
          <w:p w14:paraId="42B795D5">
            <w:pPr>
              <w:spacing w:before="69" w:line="220" w:lineRule="auto"/>
              <w:ind w:left="1292"/>
              <w:rPr>
                <w:rFonts w:ascii="宋体" w:hAnsi="宋体" w:eastAsia="宋体" w:cs="宋体"/>
                <w:sz w:val="21"/>
                <w:szCs w:val="21"/>
              </w:rPr>
            </w:pPr>
            <w:r>
              <w:rPr>
                <w:rFonts w:ascii="宋体" w:hAnsi="宋体" w:eastAsia="宋体" w:cs="宋体"/>
                <w:spacing w:val="-2"/>
                <w:sz w:val="21"/>
                <w:szCs w:val="21"/>
              </w:rPr>
              <w:t>主要化学成分</w:t>
            </w:r>
          </w:p>
        </w:tc>
        <w:tc>
          <w:tcPr>
            <w:tcW w:w="1088" w:type="dxa"/>
            <w:vAlign w:val="top"/>
          </w:tcPr>
          <w:p w14:paraId="14E9B3CF">
            <w:pPr>
              <w:spacing w:before="68" w:line="220" w:lineRule="auto"/>
              <w:ind w:left="340"/>
              <w:rPr>
                <w:rFonts w:ascii="宋体" w:hAnsi="宋体" w:eastAsia="宋体" w:cs="宋体"/>
                <w:sz w:val="21"/>
                <w:szCs w:val="21"/>
              </w:rPr>
            </w:pPr>
            <w:r>
              <w:rPr>
                <w:rFonts w:ascii="宋体" w:hAnsi="宋体" w:eastAsia="宋体" w:cs="宋体"/>
                <w:spacing w:val="-3"/>
                <w:sz w:val="21"/>
                <w:szCs w:val="21"/>
              </w:rPr>
              <w:t>来源</w:t>
            </w:r>
          </w:p>
        </w:tc>
      </w:tr>
      <w:tr w14:paraId="034DB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restart"/>
            <w:tcBorders>
              <w:bottom w:val="nil"/>
            </w:tcBorders>
            <w:vAlign w:val="top"/>
          </w:tcPr>
          <w:p w14:paraId="6742052D">
            <w:pPr>
              <w:spacing w:line="267" w:lineRule="auto"/>
              <w:rPr>
                <w:rFonts w:ascii="Arial"/>
                <w:sz w:val="21"/>
              </w:rPr>
            </w:pPr>
          </w:p>
          <w:p w14:paraId="4A1960A1">
            <w:pPr>
              <w:spacing w:line="267" w:lineRule="auto"/>
              <w:rPr>
                <w:rFonts w:ascii="Arial"/>
                <w:sz w:val="21"/>
              </w:rPr>
            </w:pPr>
          </w:p>
          <w:p w14:paraId="5CF438D3">
            <w:pPr>
              <w:spacing w:line="267" w:lineRule="auto"/>
              <w:rPr>
                <w:rFonts w:ascii="Arial"/>
                <w:sz w:val="21"/>
              </w:rPr>
            </w:pPr>
          </w:p>
          <w:p w14:paraId="243DDDA9">
            <w:pPr>
              <w:spacing w:before="68" w:line="220" w:lineRule="auto"/>
              <w:ind w:left="196"/>
              <w:rPr>
                <w:rFonts w:ascii="宋体" w:hAnsi="宋体" w:eastAsia="宋体" w:cs="宋体"/>
                <w:sz w:val="21"/>
                <w:szCs w:val="21"/>
              </w:rPr>
            </w:pPr>
            <w:r>
              <w:rPr>
                <w:rFonts w:ascii="宋体" w:hAnsi="宋体" w:eastAsia="宋体" w:cs="宋体"/>
                <w:spacing w:val="-3"/>
                <w:sz w:val="21"/>
                <w:szCs w:val="21"/>
              </w:rPr>
              <w:t>原辅料</w:t>
            </w:r>
          </w:p>
        </w:tc>
        <w:tc>
          <w:tcPr>
            <w:tcW w:w="1272" w:type="dxa"/>
            <w:vAlign w:val="top"/>
          </w:tcPr>
          <w:p w14:paraId="58774C40">
            <w:pPr>
              <w:spacing w:before="65" w:line="220" w:lineRule="auto"/>
              <w:ind w:left="221"/>
              <w:rPr>
                <w:rFonts w:ascii="宋体" w:hAnsi="宋体" w:eastAsia="宋体" w:cs="宋体"/>
                <w:sz w:val="21"/>
                <w:szCs w:val="21"/>
              </w:rPr>
            </w:pPr>
            <w:r>
              <w:rPr>
                <w:rFonts w:ascii="宋体" w:hAnsi="宋体" w:eastAsia="宋体" w:cs="宋体"/>
                <w:spacing w:val="-2"/>
                <w:sz w:val="21"/>
                <w:szCs w:val="21"/>
              </w:rPr>
              <w:t>成品饲料</w:t>
            </w:r>
          </w:p>
        </w:tc>
        <w:tc>
          <w:tcPr>
            <w:tcW w:w="1133" w:type="dxa"/>
            <w:vAlign w:val="top"/>
          </w:tcPr>
          <w:p w14:paraId="61EF8A06">
            <w:pPr>
              <w:pStyle w:val="6"/>
              <w:spacing w:before="101" w:line="188" w:lineRule="auto"/>
              <w:ind w:left="280"/>
            </w:pPr>
            <w:r>
              <w:rPr>
                <w:spacing w:val="-2"/>
              </w:rPr>
              <w:t>70628t</w:t>
            </w:r>
          </w:p>
        </w:tc>
        <w:tc>
          <w:tcPr>
            <w:tcW w:w="3826" w:type="dxa"/>
            <w:vAlign w:val="top"/>
          </w:tcPr>
          <w:p w14:paraId="3D5B9485">
            <w:pPr>
              <w:spacing w:before="64" w:line="220" w:lineRule="auto"/>
              <w:ind w:left="13"/>
              <w:rPr>
                <w:rFonts w:ascii="宋体" w:hAnsi="宋体" w:eastAsia="宋体" w:cs="宋体"/>
                <w:sz w:val="21"/>
                <w:szCs w:val="21"/>
              </w:rPr>
            </w:pPr>
            <w:r>
              <w:rPr>
                <w:rFonts w:ascii="宋体" w:hAnsi="宋体" w:eastAsia="宋体" w:cs="宋体"/>
                <w:spacing w:val="-3"/>
                <w:sz w:val="21"/>
                <w:szCs w:val="21"/>
              </w:rPr>
              <w:t>大豆、玉米、豆粕、柑桔、麸皮、等。</w:t>
            </w:r>
          </w:p>
        </w:tc>
        <w:tc>
          <w:tcPr>
            <w:tcW w:w="1088" w:type="dxa"/>
            <w:vAlign w:val="top"/>
          </w:tcPr>
          <w:p w14:paraId="0ABC6347">
            <w:pPr>
              <w:spacing w:before="65" w:line="220" w:lineRule="auto"/>
              <w:ind w:left="343"/>
              <w:rPr>
                <w:rFonts w:ascii="宋体" w:hAnsi="宋体" w:eastAsia="宋体" w:cs="宋体"/>
                <w:sz w:val="21"/>
                <w:szCs w:val="21"/>
              </w:rPr>
            </w:pPr>
            <w:r>
              <w:rPr>
                <w:rFonts w:ascii="宋体" w:hAnsi="宋体" w:eastAsia="宋体" w:cs="宋体"/>
                <w:spacing w:val="-4"/>
                <w:sz w:val="21"/>
                <w:szCs w:val="21"/>
              </w:rPr>
              <w:t>外购</w:t>
            </w:r>
          </w:p>
        </w:tc>
      </w:tr>
      <w:tr w14:paraId="0F6B1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7BC5A370">
            <w:pPr>
              <w:rPr>
                <w:rFonts w:ascii="Arial"/>
                <w:sz w:val="21"/>
              </w:rPr>
            </w:pPr>
          </w:p>
        </w:tc>
        <w:tc>
          <w:tcPr>
            <w:tcW w:w="1272" w:type="dxa"/>
            <w:vAlign w:val="top"/>
          </w:tcPr>
          <w:p w14:paraId="32370FC8">
            <w:pPr>
              <w:spacing w:before="66" w:line="220" w:lineRule="auto"/>
              <w:ind w:left="116"/>
              <w:rPr>
                <w:rFonts w:ascii="宋体" w:hAnsi="宋体" w:eastAsia="宋体" w:cs="宋体"/>
                <w:sz w:val="21"/>
                <w:szCs w:val="21"/>
              </w:rPr>
            </w:pPr>
            <w:r>
              <w:rPr>
                <w:rFonts w:ascii="宋体" w:hAnsi="宋体" w:eastAsia="宋体" w:cs="宋体"/>
                <w:spacing w:val="-2"/>
                <w:sz w:val="21"/>
                <w:szCs w:val="21"/>
              </w:rPr>
              <w:t>疫苗及兽药</w:t>
            </w:r>
          </w:p>
        </w:tc>
        <w:tc>
          <w:tcPr>
            <w:tcW w:w="1133" w:type="dxa"/>
            <w:vAlign w:val="top"/>
          </w:tcPr>
          <w:p w14:paraId="4A6B699D">
            <w:pPr>
              <w:pStyle w:val="6"/>
              <w:spacing w:before="99" w:line="192" w:lineRule="auto"/>
              <w:ind w:left="535"/>
            </w:pPr>
            <w:r>
              <w:t>/</w:t>
            </w:r>
          </w:p>
        </w:tc>
        <w:tc>
          <w:tcPr>
            <w:tcW w:w="3826" w:type="dxa"/>
            <w:vAlign w:val="top"/>
          </w:tcPr>
          <w:p w14:paraId="79C78A35">
            <w:pPr>
              <w:spacing w:before="66" w:line="220" w:lineRule="auto"/>
              <w:ind w:left="11"/>
              <w:rPr>
                <w:rFonts w:ascii="宋体" w:hAnsi="宋体" w:eastAsia="宋体" w:cs="宋体"/>
                <w:sz w:val="21"/>
                <w:szCs w:val="21"/>
              </w:rPr>
            </w:pPr>
            <w:r>
              <w:rPr>
                <w:rFonts w:ascii="宋体" w:hAnsi="宋体" w:eastAsia="宋体" w:cs="宋体"/>
                <w:spacing w:val="-1"/>
                <w:sz w:val="21"/>
                <w:szCs w:val="21"/>
              </w:rPr>
              <w:t>根据投产后实际情况定</w:t>
            </w:r>
          </w:p>
        </w:tc>
        <w:tc>
          <w:tcPr>
            <w:tcW w:w="1088" w:type="dxa"/>
            <w:vAlign w:val="top"/>
          </w:tcPr>
          <w:p w14:paraId="34D4E49B">
            <w:pPr>
              <w:spacing w:before="66" w:line="220" w:lineRule="auto"/>
              <w:ind w:left="37"/>
              <w:rPr>
                <w:rFonts w:ascii="宋体" w:hAnsi="宋体" w:eastAsia="宋体" w:cs="宋体"/>
                <w:sz w:val="21"/>
                <w:szCs w:val="21"/>
              </w:rPr>
            </w:pPr>
            <w:r>
              <w:rPr>
                <w:rFonts w:ascii="宋体" w:hAnsi="宋体" w:eastAsia="宋体" w:cs="宋体"/>
                <w:spacing w:val="-4"/>
                <w:sz w:val="21"/>
                <w:szCs w:val="21"/>
              </w:rPr>
              <w:t>当地防疫站</w:t>
            </w:r>
          </w:p>
        </w:tc>
      </w:tr>
      <w:tr w14:paraId="1280C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01" w:type="dxa"/>
            <w:vMerge w:val="continue"/>
            <w:tcBorders>
              <w:top w:val="nil"/>
              <w:bottom w:val="nil"/>
            </w:tcBorders>
            <w:vAlign w:val="top"/>
          </w:tcPr>
          <w:p w14:paraId="6B433BA2">
            <w:pPr>
              <w:rPr>
                <w:rFonts w:ascii="Arial"/>
                <w:sz w:val="21"/>
              </w:rPr>
            </w:pPr>
          </w:p>
        </w:tc>
        <w:tc>
          <w:tcPr>
            <w:tcW w:w="1272" w:type="dxa"/>
            <w:vAlign w:val="top"/>
          </w:tcPr>
          <w:p w14:paraId="64852D91">
            <w:pPr>
              <w:spacing w:before="208" w:line="219" w:lineRule="auto"/>
              <w:ind w:left="329"/>
              <w:rPr>
                <w:rFonts w:ascii="宋体" w:hAnsi="宋体" w:eastAsia="宋体" w:cs="宋体"/>
                <w:sz w:val="21"/>
                <w:szCs w:val="21"/>
              </w:rPr>
            </w:pPr>
            <w:r>
              <w:rPr>
                <w:rFonts w:ascii="宋体" w:hAnsi="宋体" w:eastAsia="宋体" w:cs="宋体"/>
                <w:spacing w:val="-3"/>
                <w:sz w:val="21"/>
                <w:szCs w:val="21"/>
              </w:rPr>
              <w:t>消毒剂</w:t>
            </w:r>
          </w:p>
        </w:tc>
        <w:tc>
          <w:tcPr>
            <w:tcW w:w="1133" w:type="dxa"/>
            <w:vAlign w:val="top"/>
          </w:tcPr>
          <w:p w14:paraId="201CE430">
            <w:pPr>
              <w:pStyle w:val="6"/>
              <w:spacing w:before="52" w:line="248" w:lineRule="auto"/>
              <w:ind w:left="117" w:right="115" w:firstLine="162"/>
              <w:rPr>
                <w:rFonts w:ascii="宋体" w:hAnsi="宋体" w:eastAsia="宋体" w:cs="宋体"/>
              </w:rPr>
            </w:pPr>
            <w:r>
              <w:rPr>
                <w:spacing w:val="-4"/>
              </w:rPr>
              <w:t>200</w:t>
            </w:r>
            <w:r>
              <w:rPr>
                <w:spacing w:val="11"/>
              </w:rPr>
              <w:t xml:space="preserve"> </w:t>
            </w:r>
            <w:r>
              <w:rPr>
                <w:rFonts w:ascii="宋体" w:hAnsi="宋体" w:eastAsia="宋体" w:cs="宋体"/>
                <w:spacing w:val="-4"/>
              </w:rPr>
              <w:t>桶</w:t>
            </w:r>
            <w:r>
              <w:rPr>
                <w:rFonts w:ascii="宋体" w:hAnsi="宋体" w:eastAsia="宋体" w:cs="宋体"/>
                <w:spacing w:val="-5"/>
              </w:rPr>
              <w:t>（</w:t>
            </w:r>
            <w:r>
              <w:rPr>
                <w:spacing w:val="-5"/>
              </w:rPr>
              <w:t>5L/</w:t>
            </w:r>
            <w:r>
              <w:rPr>
                <w:rFonts w:ascii="宋体" w:hAnsi="宋体" w:eastAsia="宋体" w:cs="宋体"/>
                <w:spacing w:val="-5"/>
              </w:rPr>
              <w:t>桶）</w:t>
            </w:r>
          </w:p>
        </w:tc>
        <w:tc>
          <w:tcPr>
            <w:tcW w:w="3826" w:type="dxa"/>
            <w:vAlign w:val="top"/>
          </w:tcPr>
          <w:p w14:paraId="72B7BA7E">
            <w:pPr>
              <w:pStyle w:val="6"/>
              <w:spacing w:before="52" w:line="248" w:lineRule="auto"/>
              <w:ind w:left="12" w:firstLine="2"/>
              <w:rPr>
                <w:rFonts w:ascii="宋体" w:hAnsi="宋体" w:eastAsia="宋体" w:cs="宋体"/>
              </w:rPr>
            </w:pPr>
            <w:r>
              <w:rPr>
                <w:spacing w:val="1"/>
              </w:rPr>
              <w:t>84</w:t>
            </w:r>
            <w:r>
              <w:rPr>
                <w:rFonts w:ascii="宋体" w:hAnsi="宋体" w:eastAsia="宋体" w:cs="宋体"/>
                <w:spacing w:val="1"/>
              </w:rPr>
              <w:t>消毒液、过氧乙酸、戊二醛苯扎溴铵溶</w:t>
            </w:r>
            <w:r>
              <w:rPr>
                <w:rFonts w:ascii="宋体" w:hAnsi="宋体" w:eastAsia="宋体" w:cs="宋体"/>
                <w:spacing w:val="-10"/>
              </w:rPr>
              <w:t>液等。</w:t>
            </w:r>
          </w:p>
        </w:tc>
        <w:tc>
          <w:tcPr>
            <w:tcW w:w="1088" w:type="dxa"/>
            <w:vAlign w:val="top"/>
          </w:tcPr>
          <w:p w14:paraId="618397D0">
            <w:pPr>
              <w:spacing w:before="208" w:line="220" w:lineRule="auto"/>
              <w:ind w:left="343"/>
              <w:rPr>
                <w:rFonts w:ascii="宋体" w:hAnsi="宋体" w:eastAsia="宋体" w:cs="宋体"/>
                <w:sz w:val="21"/>
                <w:szCs w:val="21"/>
              </w:rPr>
            </w:pPr>
            <w:r>
              <w:rPr>
                <w:rFonts w:ascii="宋体" w:hAnsi="宋体" w:eastAsia="宋体" w:cs="宋体"/>
                <w:spacing w:val="-4"/>
                <w:sz w:val="21"/>
                <w:szCs w:val="21"/>
              </w:rPr>
              <w:t>外购</w:t>
            </w:r>
          </w:p>
        </w:tc>
      </w:tr>
      <w:tr w14:paraId="14B1C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01" w:type="dxa"/>
            <w:vMerge w:val="continue"/>
            <w:tcBorders>
              <w:top w:val="nil"/>
            </w:tcBorders>
            <w:vAlign w:val="top"/>
          </w:tcPr>
          <w:p w14:paraId="2B78D302">
            <w:pPr>
              <w:rPr>
                <w:rFonts w:ascii="Arial"/>
                <w:sz w:val="21"/>
              </w:rPr>
            </w:pPr>
          </w:p>
        </w:tc>
        <w:tc>
          <w:tcPr>
            <w:tcW w:w="1272" w:type="dxa"/>
            <w:vAlign w:val="top"/>
          </w:tcPr>
          <w:p w14:paraId="5B5577E9">
            <w:pPr>
              <w:spacing w:before="209" w:line="219" w:lineRule="auto"/>
              <w:ind w:left="329"/>
              <w:rPr>
                <w:rFonts w:ascii="宋体" w:hAnsi="宋体" w:eastAsia="宋体" w:cs="宋体"/>
                <w:sz w:val="21"/>
                <w:szCs w:val="21"/>
              </w:rPr>
            </w:pPr>
            <w:r>
              <w:rPr>
                <w:rFonts w:ascii="宋体" w:hAnsi="宋体" w:eastAsia="宋体" w:cs="宋体"/>
                <w:spacing w:val="-3"/>
                <w:sz w:val="21"/>
                <w:szCs w:val="21"/>
              </w:rPr>
              <w:t>杀虫剂</w:t>
            </w:r>
          </w:p>
        </w:tc>
        <w:tc>
          <w:tcPr>
            <w:tcW w:w="1133" w:type="dxa"/>
            <w:vAlign w:val="top"/>
          </w:tcPr>
          <w:p w14:paraId="7122C849">
            <w:pPr>
              <w:pStyle w:val="6"/>
              <w:spacing w:before="246" w:line="188" w:lineRule="auto"/>
              <w:ind w:left="314"/>
            </w:pPr>
            <w:r>
              <w:rPr>
                <w:spacing w:val="-5"/>
              </w:rPr>
              <w:t>1000L</w:t>
            </w:r>
          </w:p>
        </w:tc>
        <w:tc>
          <w:tcPr>
            <w:tcW w:w="3826" w:type="dxa"/>
            <w:vAlign w:val="top"/>
          </w:tcPr>
          <w:p w14:paraId="5323875E">
            <w:pPr>
              <w:spacing w:before="54" w:line="250" w:lineRule="auto"/>
              <w:ind w:left="11" w:firstLine="1"/>
              <w:rPr>
                <w:rFonts w:ascii="宋体" w:hAnsi="宋体" w:eastAsia="宋体" w:cs="宋体"/>
                <w:sz w:val="21"/>
                <w:szCs w:val="21"/>
              </w:rPr>
            </w:pPr>
            <w:r>
              <w:rPr>
                <w:rFonts w:ascii="宋体" w:hAnsi="宋体" w:eastAsia="宋体" w:cs="宋体"/>
                <w:spacing w:val="-14"/>
                <w:sz w:val="21"/>
                <w:szCs w:val="21"/>
              </w:rPr>
              <w:t>主要为溴氰菊酯、双甲咪，</w:t>
            </w:r>
            <w:r>
              <w:rPr>
                <w:rFonts w:ascii="宋体" w:hAnsi="宋体" w:eastAsia="宋体" w:cs="宋体"/>
                <w:spacing w:val="-22"/>
                <w:sz w:val="21"/>
                <w:szCs w:val="21"/>
              </w:rPr>
              <w:t xml:space="preserve"> </w:t>
            </w:r>
            <w:r>
              <w:rPr>
                <w:rFonts w:ascii="宋体" w:hAnsi="宋体" w:eastAsia="宋体" w:cs="宋体"/>
                <w:spacing w:val="-14"/>
                <w:sz w:val="21"/>
                <w:szCs w:val="21"/>
              </w:rPr>
              <w:t>主要针对蚊蝇，</w:t>
            </w:r>
            <w:r>
              <w:rPr>
                <w:rFonts w:ascii="宋体" w:hAnsi="宋体" w:eastAsia="宋体" w:cs="宋体"/>
                <w:spacing w:val="-8"/>
                <w:sz w:val="21"/>
                <w:szCs w:val="21"/>
              </w:rPr>
              <w:t>夏秋季节使用。</w:t>
            </w:r>
          </w:p>
        </w:tc>
        <w:tc>
          <w:tcPr>
            <w:tcW w:w="1088" w:type="dxa"/>
            <w:vAlign w:val="top"/>
          </w:tcPr>
          <w:p w14:paraId="30B96A62">
            <w:pPr>
              <w:spacing w:before="210" w:line="220" w:lineRule="auto"/>
              <w:ind w:left="343"/>
              <w:rPr>
                <w:rFonts w:ascii="宋体" w:hAnsi="宋体" w:eastAsia="宋体" w:cs="宋体"/>
                <w:sz w:val="21"/>
                <w:szCs w:val="21"/>
              </w:rPr>
            </w:pPr>
            <w:r>
              <w:rPr>
                <w:rFonts w:ascii="宋体" w:hAnsi="宋体" w:eastAsia="宋体" w:cs="宋体"/>
                <w:spacing w:val="-4"/>
                <w:sz w:val="21"/>
                <w:szCs w:val="21"/>
              </w:rPr>
              <w:t>外购</w:t>
            </w:r>
          </w:p>
        </w:tc>
      </w:tr>
    </w:tbl>
    <w:p w14:paraId="4B2E1507">
      <w:pPr>
        <w:pStyle w:val="2"/>
      </w:pPr>
    </w:p>
    <w:p w14:paraId="15F723AB">
      <w:pPr>
        <w:sectPr>
          <w:footerReference r:id="rId138" w:type="default"/>
          <w:pgSz w:w="11905" w:h="16840"/>
          <w:pgMar w:top="1168" w:right="1768" w:bottom="1409" w:left="1770" w:header="828" w:footer="1244" w:gutter="0"/>
          <w:cols w:space="720" w:num="1"/>
        </w:sectPr>
      </w:pPr>
    </w:p>
    <w:p w14:paraId="13BA4EFF">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272"/>
        <w:gridCol w:w="1133"/>
        <w:gridCol w:w="3826"/>
        <w:gridCol w:w="1088"/>
      </w:tblGrid>
      <w:tr w14:paraId="44DC2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01" w:type="dxa"/>
            <w:vAlign w:val="top"/>
          </w:tcPr>
          <w:p w14:paraId="037753A3">
            <w:pPr>
              <w:spacing w:before="69" w:line="220" w:lineRule="auto"/>
              <w:ind w:left="299"/>
              <w:rPr>
                <w:rFonts w:ascii="宋体" w:hAnsi="宋体" w:eastAsia="宋体" w:cs="宋体"/>
                <w:sz w:val="21"/>
                <w:szCs w:val="21"/>
              </w:rPr>
            </w:pPr>
            <w:r>
              <w:rPr>
                <w:rFonts w:ascii="宋体" w:hAnsi="宋体" w:eastAsia="宋体" w:cs="宋体"/>
                <w:spacing w:val="-3"/>
                <w:sz w:val="21"/>
                <w:szCs w:val="21"/>
              </w:rPr>
              <w:t>项目</w:t>
            </w:r>
          </w:p>
        </w:tc>
        <w:tc>
          <w:tcPr>
            <w:tcW w:w="1272" w:type="dxa"/>
            <w:vAlign w:val="top"/>
          </w:tcPr>
          <w:p w14:paraId="4185890B">
            <w:pPr>
              <w:spacing w:before="68" w:line="222" w:lineRule="auto"/>
              <w:ind w:left="432"/>
              <w:rPr>
                <w:rFonts w:ascii="宋体" w:hAnsi="宋体" w:eastAsia="宋体" w:cs="宋体"/>
                <w:sz w:val="21"/>
                <w:szCs w:val="21"/>
              </w:rPr>
            </w:pPr>
            <w:r>
              <w:rPr>
                <w:rFonts w:ascii="宋体" w:hAnsi="宋体" w:eastAsia="宋体" w:cs="宋体"/>
                <w:spacing w:val="-3"/>
                <w:sz w:val="21"/>
                <w:szCs w:val="21"/>
              </w:rPr>
              <w:t>名称</w:t>
            </w:r>
          </w:p>
        </w:tc>
        <w:tc>
          <w:tcPr>
            <w:tcW w:w="1133" w:type="dxa"/>
            <w:vAlign w:val="top"/>
          </w:tcPr>
          <w:p w14:paraId="2CC8B8E9">
            <w:pPr>
              <w:spacing w:before="68" w:line="220" w:lineRule="auto"/>
              <w:ind w:left="258"/>
              <w:rPr>
                <w:rFonts w:ascii="宋体" w:hAnsi="宋体" w:eastAsia="宋体" w:cs="宋体"/>
                <w:sz w:val="21"/>
                <w:szCs w:val="21"/>
              </w:rPr>
            </w:pPr>
            <w:r>
              <w:rPr>
                <w:rFonts w:ascii="宋体" w:hAnsi="宋体" w:eastAsia="宋体" w:cs="宋体"/>
                <w:spacing w:val="-3"/>
                <w:sz w:val="21"/>
                <w:szCs w:val="21"/>
              </w:rPr>
              <w:t>年耗量</w:t>
            </w:r>
          </w:p>
        </w:tc>
        <w:tc>
          <w:tcPr>
            <w:tcW w:w="3826" w:type="dxa"/>
            <w:vAlign w:val="top"/>
          </w:tcPr>
          <w:p w14:paraId="04FB1F70">
            <w:pPr>
              <w:spacing w:before="69" w:line="220" w:lineRule="auto"/>
              <w:ind w:left="1292"/>
              <w:rPr>
                <w:rFonts w:ascii="宋体" w:hAnsi="宋体" w:eastAsia="宋体" w:cs="宋体"/>
                <w:sz w:val="21"/>
                <w:szCs w:val="21"/>
              </w:rPr>
            </w:pPr>
            <w:r>
              <w:rPr>
                <w:rFonts w:ascii="宋体" w:hAnsi="宋体" w:eastAsia="宋体" w:cs="宋体"/>
                <w:spacing w:val="-2"/>
                <w:sz w:val="21"/>
                <w:szCs w:val="21"/>
              </w:rPr>
              <w:t>主要化学成分</w:t>
            </w:r>
          </w:p>
        </w:tc>
        <w:tc>
          <w:tcPr>
            <w:tcW w:w="1088" w:type="dxa"/>
            <w:vAlign w:val="top"/>
          </w:tcPr>
          <w:p w14:paraId="3A0A9D05">
            <w:pPr>
              <w:spacing w:before="68" w:line="220" w:lineRule="auto"/>
              <w:ind w:left="340"/>
              <w:rPr>
                <w:rFonts w:ascii="宋体" w:hAnsi="宋体" w:eastAsia="宋体" w:cs="宋体"/>
                <w:sz w:val="21"/>
                <w:szCs w:val="21"/>
              </w:rPr>
            </w:pPr>
            <w:r>
              <w:rPr>
                <w:rFonts w:ascii="宋体" w:hAnsi="宋体" w:eastAsia="宋体" w:cs="宋体"/>
                <w:spacing w:val="-3"/>
                <w:sz w:val="21"/>
                <w:szCs w:val="21"/>
              </w:rPr>
              <w:t>来源</w:t>
            </w:r>
          </w:p>
        </w:tc>
      </w:tr>
      <w:tr w14:paraId="4DCC8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restart"/>
            <w:tcBorders>
              <w:bottom w:val="nil"/>
            </w:tcBorders>
            <w:vAlign w:val="top"/>
          </w:tcPr>
          <w:p w14:paraId="71B839CE">
            <w:pPr>
              <w:rPr>
                <w:rFonts w:ascii="Arial"/>
                <w:sz w:val="21"/>
              </w:rPr>
            </w:pPr>
          </w:p>
        </w:tc>
        <w:tc>
          <w:tcPr>
            <w:tcW w:w="1272" w:type="dxa"/>
            <w:vAlign w:val="top"/>
          </w:tcPr>
          <w:p w14:paraId="69EE5DD2">
            <w:pPr>
              <w:spacing w:before="65" w:line="219" w:lineRule="auto"/>
              <w:ind w:left="338"/>
              <w:rPr>
                <w:rFonts w:ascii="宋体" w:hAnsi="宋体" w:eastAsia="宋体" w:cs="宋体"/>
                <w:sz w:val="21"/>
                <w:szCs w:val="21"/>
              </w:rPr>
            </w:pPr>
            <w:r>
              <w:rPr>
                <w:rFonts w:ascii="宋体" w:hAnsi="宋体" w:eastAsia="宋体" w:cs="宋体"/>
                <w:spacing w:val="-5"/>
                <w:sz w:val="21"/>
                <w:szCs w:val="21"/>
              </w:rPr>
              <w:t>除臭剂</w:t>
            </w:r>
          </w:p>
        </w:tc>
        <w:tc>
          <w:tcPr>
            <w:tcW w:w="1133" w:type="dxa"/>
            <w:vAlign w:val="top"/>
          </w:tcPr>
          <w:p w14:paraId="5E2233E3">
            <w:pPr>
              <w:pStyle w:val="6"/>
              <w:spacing w:before="101" w:line="188" w:lineRule="auto"/>
              <w:ind w:left="454"/>
            </w:pPr>
            <w:r>
              <w:rPr>
                <w:spacing w:val="-7"/>
              </w:rPr>
              <w:t>12t</w:t>
            </w:r>
          </w:p>
        </w:tc>
        <w:tc>
          <w:tcPr>
            <w:tcW w:w="3826" w:type="dxa"/>
            <w:vAlign w:val="top"/>
          </w:tcPr>
          <w:p w14:paraId="4287F991">
            <w:pPr>
              <w:spacing w:before="64" w:line="220" w:lineRule="auto"/>
              <w:ind w:left="12"/>
              <w:rPr>
                <w:rFonts w:ascii="宋体" w:hAnsi="宋体" w:eastAsia="宋体" w:cs="宋体"/>
                <w:sz w:val="21"/>
                <w:szCs w:val="21"/>
              </w:rPr>
            </w:pPr>
            <w:r>
              <w:rPr>
                <w:rFonts w:ascii="宋体" w:hAnsi="宋体" w:eastAsia="宋体" w:cs="宋体"/>
                <w:spacing w:val="-4"/>
                <w:sz w:val="21"/>
                <w:szCs w:val="21"/>
              </w:rPr>
              <w:t>主要为复合微生物菌。</w:t>
            </w:r>
          </w:p>
        </w:tc>
        <w:tc>
          <w:tcPr>
            <w:tcW w:w="1088" w:type="dxa"/>
            <w:vAlign w:val="top"/>
          </w:tcPr>
          <w:p w14:paraId="132798B9">
            <w:pPr>
              <w:spacing w:before="65" w:line="220" w:lineRule="auto"/>
              <w:ind w:left="343"/>
              <w:rPr>
                <w:rFonts w:ascii="宋体" w:hAnsi="宋体" w:eastAsia="宋体" w:cs="宋体"/>
                <w:sz w:val="21"/>
                <w:szCs w:val="21"/>
              </w:rPr>
            </w:pPr>
            <w:r>
              <w:rPr>
                <w:rFonts w:ascii="宋体" w:hAnsi="宋体" w:eastAsia="宋体" w:cs="宋体"/>
                <w:spacing w:val="-4"/>
                <w:sz w:val="21"/>
                <w:szCs w:val="21"/>
              </w:rPr>
              <w:t>外购</w:t>
            </w:r>
          </w:p>
        </w:tc>
      </w:tr>
      <w:tr w14:paraId="440BE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296B2FDD">
            <w:pPr>
              <w:rPr>
                <w:rFonts w:ascii="Arial"/>
                <w:sz w:val="21"/>
              </w:rPr>
            </w:pPr>
          </w:p>
        </w:tc>
        <w:tc>
          <w:tcPr>
            <w:tcW w:w="1272" w:type="dxa"/>
            <w:vAlign w:val="top"/>
          </w:tcPr>
          <w:p w14:paraId="19E8DAA1">
            <w:pPr>
              <w:spacing w:before="65" w:line="221" w:lineRule="auto"/>
              <w:ind w:left="431"/>
              <w:rPr>
                <w:rFonts w:ascii="宋体" w:hAnsi="宋体" w:eastAsia="宋体" w:cs="宋体"/>
                <w:sz w:val="21"/>
                <w:szCs w:val="21"/>
              </w:rPr>
            </w:pPr>
            <w:r>
              <w:rPr>
                <w:rFonts w:ascii="宋体" w:hAnsi="宋体" w:eastAsia="宋体" w:cs="宋体"/>
                <w:spacing w:val="-3"/>
                <w:sz w:val="21"/>
                <w:szCs w:val="21"/>
              </w:rPr>
              <w:t>沸石</w:t>
            </w:r>
          </w:p>
        </w:tc>
        <w:tc>
          <w:tcPr>
            <w:tcW w:w="1133" w:type="dxa"/>
            <w:vAlign w:val="top"/>
          </w:tcPr>
          <w:p w14:paraId="1F821C2D">
            <w:pPr>
              <w:pStyle w:val="6"/>
              <w:spacing w:before="102" w:line="188" w:lineRule="auto"/>
              <w:ind w:left="390"/>
            </w:pPr>
            <w:r>
              <w:rPr>
                <w:spacing w:val="-3"/>
              </w:rPr>
              <w:t>800t</w:t>
            </w:r>
          </w:p>
        </w:tc>
        <w:tc>
          <w:tcPr>
            <w:tcW w:w="3826" w:type="dxa"/>
            <w:vMerge w:val="restart"/>
            <w:tcBorders>
              <w:bottom w:val="nil"/>
            </w:tcBorders>
            <w:vAlign w:val="top"/>
          </w:tcPr>
          <w:p w14:paraId="7929D4A7">
            <w:pPr>
              <w:spacing w:before="240" w:line="220" w:lineRule="auto"/>
              <w:ind w:left="13"/>
              <w:rPr>
                <w:rFonts w:ascii="宋体" w:hAnsi="宋体" w:eastAsia="宋体" w:cs="宋体"/>
                <w:sz w:val="21"/>
                <w:szCs w:val="21"/>
              </w:rPr>
            </w:pPr>
            <w:r>
              <w:rPr>
                <w:rFonts w:ascii="宋体" w:hAnsi="宋体" w:eastAsia="宋体" w:cs="宋体"/>
                <w:spacing w:val="-3"/>
                <w:sz w:val="21"/>
                <w:szCs w:val="21"/>
              </w:rPr>
              <w:t>混入饲料中，减少氨气产生。</w:t>
            </w:r>
          </w:p>
        </w:tc>
        <w:tc>
          <w:tcPr>
            <w:tcW w:w="1088" w:type="dxa"/>
            <w:vMerge w:val="restart"/>
            <w:tcBorders>
              <w:bottom w:val="nil"/>
            </w:tcBorders>
            <w:vAlign w:val="top"/>
          </w:tcPr>
          <w:p w14:paraId="0732DD2A">
            <w:pPr>
              <w:spacing w:before="241" w:line="220" w:lineRule="auto"/>
              <w:ind w:left="343"/>
              <w:rPr>
                <w:rFonts w:ascii="宋体" w:hAnsi="宋体" w:eastAsia="宋体" w:cs="宋体"/>
                <w:sz w:val="21"/>
                <w:szCs w:val="21"/>
              </w:rPr>
            </w:pPr>
            <w:r>
              <w:rPr>
                <w:rFonts w:ascii="宋体" w:hAnsi="宋体" w:eastAsia="宋体" w:cs="宋体"/>
                <w:spacing w:val="-4"/>
                <w:sz w:val="21"/>
                <w:szCs w:val="21"/>
              </w:rPr>
              <w:t>外购</w:t>
            </w:r>
          </w:p>
        </w:tc>
      </w:tr>
      <w:tr w14:paraId="3DF48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7329821B">
            <w:pPr>
              <w:rPr>
                <w:rFonts w:ascii="Arial"/>
                <w:sz w:val="21"/>
              </w:rPr>
            </w:pPr>
          </w:p>
        </w:tc>
        <w:tc>
          <w:tcPr>
            <w:tcW w:w="1272" w:type="dxa"/>
            <w:vAlign w:val="top"/>
          </w:tcPr>
          <w:p w14:paraId="146CF502">
            <w:pPr>
              <w:pStyle w:val="6"/>
              <w:spacing w:before="65" w:line="219" w:lineRule="auto"/>
              <w:ind w:left="242"/>
              <w:rPr>
                <w:rFonts w:ascii="宋体" w:hAnsi="宋体" w:eastAsia="宋体" w:cs="宋体"/>
              </w:rPr>
            </w:pPr>
            <w:r>
              <w:rPr>
                <w:spacing w:val="-3"/>
              </w:rPr>
              <w:t>EM</w:t>
            </w:r>
            <w:r>
              <w:rPr>
                <w:spacing w:val="12"/>
              </w:rPr>
              <w:t xml:space="preserve"> </w:t>
            </w:r>
            <w:r>
              <w:rPr>
                <w:rFonts w:ascii="宋体" w:hAnsi="宋体" w:eastAsia="宋体" w:cs="宋体"/>
                <w:spacing w:val="-3"/>
              </w:rPr>
              <w:t>制剂</w:t>
            </w:r>
          </w:p>
        </w:tc>
        <w:tc>
          <w:tcPr>
            <w:tcW w:w="1133" w:type="dxa"/>
            <w:vAlign w:val="top"/>
          </w:tcPr>
          <w:p w14:paraId="60D5C2F9">
            <w:pPr>
              <w:pStyle w:val="6"/>
              <w:spacing w:before="102" w:line="188" w:lineRule="auto"/>
              <w:ind w:left="333"/>
            </w:pPr>
            <w:r>
              <w:rPr>
                <w:spacing w:val="-2"/>
              </w:rPr>
              <w:t>3000t</w:t>
            </w:r>
          </w:p>
        </w:tc>
        <w:tc>
          <w:tcPr>
            <w:tcW w:w="3826" w:type="dxa"/>
            <w:vMerge w:val="continue"/>
            <w:tcBorders>
              <w:top w:val="nil"/>
            </w:tcBorders>
            <w:vAlign w:val="top"/>
          </w:tcPr>
          <w:p w14:paraId="28F6301A">
            <w:pPr>
              <w:rPr>
                <w:rFonts w:ascii="Arial"/>
                <w:sz w:val="21"/>
              </w:rPr>
            </w:pPr>
          </w:p>
        </w:tc>
        <w:tc>
          <w:tcPr>
            <w:tcW w:w="1088" w:type="dxa"/>
            <w:vMerge w:val="continue"/>
            <w:tcBorders>
              <w:top w:val="nil"/>
            </w:tcBorders>
            <w:vAlign w:val="top"/>
          </w:tcPr>
          <w:p w14:paraId="3B44A2CF">
            <w:pPr>
              <w:rPr>
                <w:rFonts w:ascii="Arial"/>
                <w:sz w:val="21"/>
              </w:rPr>
            </w:pPr>
          </w:p>
        </w:tc>
      </w:tr>
      <w:tr w14:paraId="7442D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continue"/>
            <w:tcBorders>
              <w:top w:val="nil"/>
              <w:bottom w:val="nil"/>
            </w:tcBorders>
            <w:vAlign w:val="top"/>
          </w:tcPr>
          <w:p w14:paraId="7EA64468">
            <w:pPr>
              <w:rPr>
                <w:rFonts w:ascii="Arial"/>
                <w:sz w:val="21"/>
              </w:rPr>
            </w:pPr>
          </w:p>
        </w:tc>
        <w:tc>
          <w:tcPr>
            <w:tcW w:w="1272" w:type="dxa"/>
            <w:vAlign w:val="top"/>
          </w:tcPr>
          <w:p w14:paraId="16C04CAB">
            <w:pPr>
              <w:spacing w:before="66" w:line="219" w:lineRule="auto"/>
              <w:ind w:left="326"/>
              <w:rPr>
                <w:rFonts w:ascii="宋体" w:hAnsi="宋体" w:eastAsia="宋体" w:cs="宋体"/>
                <w:sz w:val="21"/>
                <w:szCs w:val="21"/>
              </w:rPr>
            </w:pPr>
            <w:r>
              <w:rPr>
                <w:rFonts w:ascii="宋体" w:hAnsi="宋体" w:eastAsia="宋体" w:cs="宋体"/>
                <w:spacing w:val="-3"/>
                <w:sz w:val="21"/>
                <w:szCs w:val="21"/>
              </w:rPr>
              <w:t>脱硫剂</w:t>
            </w:r>
          </w:p>
        </w:tc>
        <w:tc>
          <w:tcPr>
            <w:tcW w:w="1133" w:type="dxa"/>
            <w:vAlign w:val="top"/>
          </w:tcPr>
          <w:p w14:paraId="59D225D5">
            <w:pPr>
              <w:pStyle w:val="6"/>
              <w:spacing w:before="102" w:line="188" w:lineRule="auto"/>
              <w:ind w:left="407"/>
            </w:pPr>
            <w:r>
              <w:rPr>
                <w:spacing w:val="-1"/>
              </w:rPr>
              <w:t>4.2t</w:t>
            </w:r>
          </w:p>
        </w:tc>
        <w:tc>
          <w:tcPr>
            <w:tcW w:w="3826" w:type="dxa"/>
            <w:vAlign w:val="top"/>
          </w:tcPr>
          <w:p w14:paraId="7F52BBFB">
            <w:pPr>
              <w:pStyle w:val="6"/>
              <w:spacing w:before="66" w:line="212" w:lineRule="auto"/>
              <w:ind w:left="6"/>
              <w:rPr>
                <w:rFonts w:ascii="宋体" w:hAnsi="宋体" w:eastAsia="宋体" w:cs="宋体"/>
              </w:rPr>
            </w:pPr>
            <w:r>
              <w:rPr>
                <w:spacing w:val="-2"/>
              </w:rPr>
              <w:t>Fe</w:t>
            </w:r>
            <w:r>
              <w:rPr>
                <w:spacing w:val="-2"/>
                <w:position w:val="-2"/>
                <w:sz w:val="14"/>
                <w:szCs w:val="14"/>
              </w:rPr>
              <w:t>2</w:t>
            </w:r>
            <w:r>
              <w:rPr>
                <w:spacing w:val="-2"/>
              </w:rPr>
              <w:t>O</w:t>
            </w:r>
            <w:r>
              <w:rPr>
                <w:spacing w:val="-2"/>
                <w:position w:val="-2"/>
                <w:sz w:val="14"/>
                <w:szCs w:val="14"/>
              </w:rPr>
              <w:t>3</w:t>
            </w:r>
            <w:r>
              <w:rPr>
                <w:rFonts w:ascii="宋体" w:hAnsi="宋体" w:eastAsia="宋体" w:cs="宋体"/>
                <w:spacing w:val="-2"/>
              </w:rPr>
              <w:t>屑</w:t>
            </w:r>
            <w:r>
              <w:rPr>
                <w:spacing w:val="-2"/>
              </w:rPr>
              <w:t>(</w:t>
            </w:r>
            <w:r>
              <w:rPr>
                <w:rFonts w:ascii="宋体" w:hAnsi="宋体" w:eastAsia="宋体" w:cs="宋体"/>
                <w:spacing w:val="-2"/>
              </w:rPr>
              <w:t>或粉</w:t>
            </w:r>
            <w:r>
              <w:rPr>
                <w:spacing w:val="-2"/>
              </w:rPr>
              <w:t>)</w:t>
            </w:r>
            <w:r>
              <w:rPr>
                <w:rFonts w:ascii="宋体" w:hAnsi="宋体" w:eastAsia="宋体" w:cs="宋体"/>
                <w:spacing w:val="-2"/>
              </w:rPr>
              <w:t>和木屑混合制成脱硫剂。</w:t>
            </w:r>
          </w:p>
        </w:tc>
        <w:tc>
          <w:tcPr>
            <w:tcW w:w="1088" w:type="dxa"/>
            <w:vAlign w:val="top"/>
          </w:tcPr>
          <w:p w14:paraId="6A7DAC5F">
            <w:pPr>
              <w:spacing w:before="66" w:line="219" w:lineRule="auto"/>
              <w:ind w:left="233"/>
              <w:rPr>
                <w:rFonts w:ascii="宋体" w:hAnsi="宋体" w:eastAsia="宋体" w:cs="宋体"/>
                <w:sz w:val="21"/>
                <w:szCs w:val="21"/>
              </w:rPr>
            </w:pPr>
            <w:r>
              <w:rPr>
                <w:rFonts w:ascii="宋体" w:hAnsi="宋体" w:eastAsia="宋体" w:cs="宋体"/>
                <w:spacing w:val="-2"/>
                <w:sz w:val="21"/>
                <w:szCs w:val="21"/>
              </w:rPr>
              <w:t>供应商</w:t>
            </w:r>
          </w:p>
        </w:tc>
      </w:tr>
      <w:tr w14:paraId="36490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tcBorders>
            <w:vAlign w:val="top"/>
          </w:tcPr>
          <w:p w14:paraId="761270B8">
            <w:pPr>
              <w:rPr>
                <w:rFonts w:ascii="Arial"/>
                <w:sz w:val="21"/>
              </w:rPr>
            </w:pPr>
          </w:p>
        </w:tc>
        <w:tc>
          <w:tcPr>
            <w:tcW w:w="1272" w:type="dxa"/>
            <w:vAlign w:val="top"/>
          </w:tcPr>
          <w:p w14:paraId="41C103C8">
            <w:pPr>
              <w:spacing w:before="66" w:line="219" w:lineRule="auto"/>
              <w:ind w:left="11"/>
              <w:rPr>
                <w:rFonts w:ascii="宋体" w:hAnsi="宋体" w:eastAsia="宋体" w:cs="宋体"/>
                <w:sz w:val="21"/>
                <w:szCs w:val="21"/>
              </w:rPr>
            </w:pPr>
            <w:r>
              <w:rPr>
                <w:rFonts w:ascii="宋体" w:hAnsi="宋体" w:eastAsia="宋体" w:cs="宋体"/>
                <w:spacing w:val="-2"/>
                <w:sz w:val="21"/>
                <w:szCs w:val="21"/>
              </w:rPr>
              <w:t>污水处理药剂</w:t>
            </w:r>
          </w:p>
        </w:tc>
        <w:tc>
          <w:tcPr>
            <w:tcW w:w="1133" w:type="dxa"/>
            <w:vAlign w:val="top"/>
          </w:tcPr>
          <w:p w14:paraId="2212F6B3">
            <w:pPr>
              <w:pStyle w:val="6"/>
              <w:spacing w:before="103" w:line="188" w:lineRule="auto"/>
              <w:ind w:left="434"/>
            </w:pPr>
            <w:r>
              <w:rPr>
                <w:spacing w:val="-1"/>
              </w:rPr>
              <w:t>20t</w:t>
            </w:r>
          </w:p>
        </w:tc>
        <w:tc>
          <w:tcPr>
            <w:tcW w:w="3826" w:type="dxa"/>
            <w:vAlign w:val="top"/>
          </w:tcPr>
          <w:p w14:paraId="7BE4638D">
            <w:pPr>
              <w:pStyle w:val="6"/>
              <w:spacing w:before="66" w:line="220" w:lineRule="auto"/>
              <w:ind w:left="1266"/>
              <w:rPr>
                <w:rFonts w:ascii="宋体" w:hAnsi="宋体" w:eastAsia="宋体" w:cs="宋体"/>
              </w:rPr>
            </w:pPr>
            <w:r>
              <w:rPr>
                <w:spacing w:val="-9"/>
              </w:rPr>
              <w:t>PAM</w:t>
            </w:r>
            <w:r>
              <w:rPr>
                <w:spacing w:val="-25"/>
              </w:rPr>
              <w:t xml:space="preserve"> </w:t>
            </w:r>
            <w:r>
              <w:rPr>
                <w:rFonts w:ascii="宋体" w:hAnsi="宋体" w:eastAsia="宋体" w:cs="宋体"/>
                <w:spacing w:val="-9"/>
              </w:rPr>
              <w:t>、</w:t>
            </w:r>
            <w:r>
              <w:rPr>
                <w:spacing w:val="-9"/>
              </w:rPr>
              <w:t>PAC</w:t>
            </w:r>
            <w:r>
              <w:rPr>
                <w:spacing w:val="10"/>
              </w:rPr>
              <w:t xml:space="preserve"> </w:t>
            </w:r>
            <w:r>
              <w:rPr>
                <w:rFonts w:ascii="宋体" w:hAnsi="宋体" w:eastAsia="宋体" w:cs="宋体"/>
                <w:spacing w:val="-9"/>
              </w:rPr>
              <w:t>等</w:t>
            </w:r>
          </w:p>
        </w:tc>
        <w:tc>
          <w:tcPr>
            <w:tcW w:w="1088" w:type="dxa"/>
            <w:vAlign w:val="top"/>
          </w:tcPr>
          <w:p w14:paraId="3401F80A">
            <w:pPr>
              <w:spacing w:before="66" w:line="220" w:lineRule="auto"/>
              <w:ind w:left="343"/>
              <w:rPr>
                <w:rFonts w:ascii="宋体" w:hAnsi="宋体" w:eastAsia="宋体" w:cs="宋体"/>
                <w:sz w:val="21"/>
                <w:szCs w:val="21"/>
              </w:rPr>
            </w:pPr>
            <w:r>
              <w:rPr>
                <w:rFonts w:ascii="宋体" w:hAnsi="宋体" w:eastAsia="宋体" w:cs="宋体"/>
                <w:spacing w:val="-4"/>
                <w:sz w:val="21"/>
                <w:szCs w:val="21"/>
              </w:rPr>
              <w:t>外购</w:t>
            </w:r>
          </w:p>
        </w:tc>
      </w:tr>
      <w:tr w14:paraId="53289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restart"/>
            <w:tcBorders>
              <w:bottom w:val="nil"/>
            </w:tcBorders>
            <w:vAlign w:val="top"/>
          </w:tcPr>
          <w:p w14:paraId="590EE5D8">
            <w:pPr>
              <w:spacing w:line="346" w:lineRule="auto"/>
              <w:rPr>
                <w:rFonts w:ascii="Arial"/>
                <w:sz w:val="21"/>
              </w:rPr>
            </w:pPr>
          </w:p>
          <w:p w14:paraId="13B25A91">
            <w:pPr>
              <w:spacing w:before="69" w:line="221" w:lineRule="auto"/>
              <w:ind w:left="304"/>
              <w:rPr>
                <w:rFonts w:ascii="宋体" w:hAnsi="宋体" w:eastAsia="宋体" w:cs="宋体"/>
                <w:sz w:val="21"/>
                <w:szCs w:val="21"/>
              </w:rPr>
            </w:pPr>
            <w:r>
              <w:rPr>
                <w:rFonts w:ascii="宋体" w:hAnsi="宋体" w:eastAsia="宋体" w:cs="宋体"/>
                <w:spacing w:val="-5"/>
                <w:sz w:val="21"/>
                <w:szCs w:val="21"/>
              </w:rPr>
              <w:t>能源</w:t>
            </w:r>
          </w:p>
        </w:tc>
        <w:tc>
          <w:tcPr>
            <w:tcW w:w="1272" w:type="dxa"/>
            <w:vAlign w:val="top"/>
          </w:tcPr>
          <w:p w14:paraId="32FFF847">
            <w:pPr>
              <w:spacing w:before="66" w:line="220" w:lineRule="auto"/>
              <w:ind w:left="538"/>
              <w:rPr>
                <w:rFonts w:ascii="宋体" w:hAnsi="宋体" w:eastAsia="宋体" w:cs="宋体"/>
                <w:sz w:val="21"/>
                <w:szCs w:val="21"/>
              </w:rPr>
            </w:pPr>
            <w:r>
              <w:rPr>
                <w:rFonts w:ascii="宋体" w:hAnsi="宋体" w:eastAsia="宋体" w:cs="宋体"/>
                <w:sz w:val="21"/>
                <w:szCs w:val="21"/>
              </w:rPr>
              <w:t>水</w:t>
            </w:r>
          </w:p>
        </w:tc>
        <w:tc>
          <w:tcPr>
            <w:tcW w:w="1133" w:type="dxa"/>
            <w:vAlign w:val="top"/>
          </w:tcPr>
          <w:p w14:paraId="05435CE5">
            <w:pPr>
              <w:pStyle w:val="6"/>
              <w:spacing w:before="51" w:line="215" w:lineRule="auto"/>
              <w:ind w:left="137"/>
              <w:rPr>
                <w:sz w:val="14"/>
                <w:szCs w:val="14"/>
              </w:rPr>
            </w:pPr>
            <w:r>
              <w:rPr>
                <w:spacing w:val="-1"/>
              </w:rPr>
              <w:t>203655m</w:t>
            </w:r>
            <w:r>
              <w:rPr>
                <w:spacing w:val="-1"/>
                <w:position w:val="9"/>
                <w:sz w:val="14"/>
                <w:szCs w:val="14"/>
              </w:rPr>
              <w:t>3</w:t>
            </w:r>
          </w:p>
        </w:tc>
        <w:tc>
          <w:tcPr>
            <w:tcW w:w="3826" w:type="dxa"/>
            <w:vAlign w:val="top"/>
          </w:tcPr>
          <w:p w14:paraId="2FB89C8D">
            <w:pPr>
              <w:pStyle w:val="6"/>
              <w:spacing w:before="103" w:line="198" w:lineRule="auto"/>
              <w:ind w:left="1728"/>
            </w:pPr>
            <w:r>
              <w:rPr>
                <w:spacing w:val="-2"/>
              </w:rPr>
              <w:t>H</w:t>
            </w:r>
            <w:r>
              <w:rPr>
                <w:spacing w:val="-2"/>
                <w:position w:val="-2"/>
                <w:sz w:val="14"/>
                <w:szCs w:val="14"/>
              </w:rPr>
              <w:t>2</w:t>
            </w:r>
            <w:r>
              <w:rPr>
                <w:spacing w:val="-2"/>
              </w:rPr>
              <w:t>O</w:t>
            </w:r>
          </w:p>
        </w:tc>
        <w:tc>
          <w:tcPr>
            <w:tcW w:w="1088" w:type="dxa"/>
            <w:vAlign w:val="top"/>
          </w:tcPr>
          <w:p w14:paraId="3CD985D0">
            <w:pPr>
              <w:spacing w:before="66" w:line="220" w:lineRule="auto"/>
              <w:ind w:left="233"/>
              <w:rPr>
                <w:rFonts w:ascii="宋体" w:hAnsi="宋体" w:eastAsia="宋体" w:cs="宋体"/>
                <w:sz w:val="21"/>
                <w:szCs w:val="21"/>
              </w:rPr>
            </w:pPr>
            <w:r>
              <w:rPr>
                <w:rFonts w:ascii="宋体" w:hAnsi="宋体" w:eastAsia="宋体" w:cs="宋体"/>
                <w:spacing w:val="-2"/>
                <w:sz w:val="21"/>
                <w:szCs w:val="21"/>
              </w:rPr>
              <w:t>地下水</w:t>
            </w:r>
          </w:p>
        </w:tc>
      </w:tr>
      <w:tr w14:paraId="02803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01" w:type="dxa"/>
            <w:vMerge w:val="continue"/>
            <w:tcBorders>
              <w:top w:val="nil"/>
              <w:bottom w:val="nil"/>
            </w:tcBorders>
            <w:vAlign w:val="top"/>
          </w:tcPr>
          <w:p w14:paraId="340E5881">
            <w:pPr>
              <w:rPr>
                <w:rFonts w:ascii="Arial"/>
                <w:sz w:val="21"/>
              </w:rPr>
            </w:pPr>
          </w:p>
        </w:tc>
        <w:tc>
          <w:tcPr>
            <w:tcW w:w="1272" w:type="dxa"/>
            <w:vAlign w:val="top"/>
          </w:tcPr>
          <w:p w14:paraId="440E789A">
            <w:pPr>
              <w:spacing w:before="67" w:line="225" w:lineRule="auto"/>
              <w:ind w:left="560"/>
              <w:rPr>
                <w:rFonts w:ascii="宋体" w:hAnsi="宋体" w:eastAsia="宋体" w:cs="宋体"/>
                <w:sz w:val="21"/>
                <w:szCs w:val="21"/>
              </w:rPr>
            </w:pPr>
            <w:r>
              <w:rPr>
                <w:rFonts w:ascii="宋体" w:hAnsi="宋体" w:eastAsia="宋体" w:cs="宋体"/>
                <w:sz w:val="21"/>
                <w:szCs w:val="21"/>
              </w:rPr>
              <w:t>电</w:t>
            </w:r>
          </w:p>
        </w:tc>
        <w:tc>
          <w:tcPr>
            <w:tcW w:w="1133" w:type="dxa"/>
            <w:vAlign w:val="top"/>
          </w:tcPr>
          <w:p w14:paraId="0CD44BA6">
            <w:pPr>
              <w:pStyle w:val="6"/>
              <w:spacing w:before="54" w:line="213" w:lineRule="auto"/>
              <w:ind w:left="116"/>
            </w:pPr>
            <w:r>
              <w:rPr>
                <w:spacing w:val="-1"/>
              </w:rPr>
              <w:t>7×10</w:t>
            </w:r>
            <w:r>
              <w:rPr>
                <w:spacing w:val="-1"/>
                <w:position w:val="9"/>
                <w:sz w:val="14"/>
                <w:szCs w:val="14"/>
              </w:rPr>
              <w:t>5</w:t>
            </w:r>
            <w:r>
              <w:rPr>
                <w:spacing w:val="-1"/>
              </w:rPr>
              <w:t>kWh</w:t>
            </w:r>
          </w:p>
        </w:tc>
        <w:tc>
          <w:tcPr>
            <w:tcW w:w="3826" w:type="dxa"/>
            <w:vAlign w:val="top"/>
          </w:tcPr>
          <w:p w14:paraId="7DE4C2FE">
            <w:pPr>
              <w:pStyle w:val="6"/>
              <w:spacing w:before="99" w:line="192" w:lineRule="auto"/>
              <w:ind w:left="1882"/>
            </w:pPr>
            <w:r>
              <w:t>/</w:t>
            </w:r>
          </w:p>
        </w:tc>
        <w:tc>
          <w:tcPr>
            <w:tcW w:w="1088" w:type="dxa"/>
            <w:vAlign w:val="top"/>
          </w:tcPr>
          <w:p w14:paraId="0E24530F">
            <w:pPr>
              <w:spacing w:before="66" w:line="225" w:lineRule="auto"/>
              <w:ind w:left="364"/>
              <w:rPr>
                <w:rFonts w:ascii="宋体" w:hAnsi="宋体" w:eastAsia="宋体" w:cs="宋体"/>
                <w:sz w:val="21"/>
                <w:szCs w:val="21"/>
              </w:rPr>
            </w:pPr>
            <w:r>
              <w:rPr>
                <w:rFonts w:ascii="宋体" w:hAnsi="宋体" w:eastAsia="宋体" w:cs="宋体"/>
                <w:spacing w:val="-9"/>
                <w:sz w:val="21"/>
                <w:szCs w:val="21"/>
              </w:rPr>
              <w:t>电网</w:t>
            </w:r>
          </w:p>
        </w:tc>
      </w:tr>
      <w:tr w14:paraId="3A4FB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01" w:type="dxa"/>
            <w:vMerge w:val="continue"/>
            <w:tcBorders>
              <w:top w:val="nil"/>
            </w:tcBorders>
            <w:vAlign w:val="top"/>
          </w:tcPr>
          <w:p w14:paraId="1D722C0F">
            <w:pPr>
              <w:rPr>
                <w:rFonts w:ascii="Arial"/>
                <w:sz w:val="21"/>
              </w:rPr>
            </w:pPr>
          </w:p>
        </w:tc>
        <w:tc>
          <w:tcPr>
            <w:tcW w:w="1272" w:type="dxa"/>
            <w:vAlign w:val="top"/>
          </w:tcPr>
          <w:p w14:paraId="27181663">
            <w:pPr>
              <w:spacing w:before="68" w:line="220" w:lineRule="auto"/>
              <w:ind w:left="430"/>
              <w:rPr>
                <w:rFonts w:ascii="宋体" w:hAnsi="宋体" w:eastAsia="宋体" w:cs="宋体"/>
                <w:sz w:val="21"/>
                <w:szCs w:val="21"/>
              </w:rPr>
            </w:pPr>
            <w:r>
              <w:rPr>
                <w:rFonts w:ascii="宋体" w:hAnsi="宋体" w:eastAsia="宋体" w:cs="宋体"/>
                <w:spacing w:val="-3"/>
                <w:sz w:val="21"/>
                <w:szCs w:val="21"/>
              </w:rPr>
              <w:t>柴油</w:t>
            </w:r>
          </w:p>
        </w:tc>
        <w:tc>
          <w:tcPr>
            <w:tcW w:w="1133" w:type="dxa"/>
            <w:vAlign w:val="top"/>
          </w:tcPr>
          <w:p w14:paraId="21B2BD16">
            <w:pPr>
              <w:pStyle w:val="6"/>
              <w:spacing w:before="105" w:line="188" w:lineRule="auto"/>
              <w:ind w:left="351"/>
            </w:pPr>
            <w:r>
              <w:rPr>
                <w:spacing w:val="-3"/>
              </w:rPr>
              <w:t>600L</w:t>
            </w:r>
          </w:p>
        </w:tc>
        <w:tc>
          <w:tcPr>
            <w:tcW w:w="3826" w:type="dxa"/>
            <w:vAlign w:val="top"/>
          </w:tcPr>
          <w:p w14:paraId="04665FCA">
            <w:pPr>
              <w:spacing w:before="68" w:line="220" w:lineRule="auto"/>
              <w:ind w:left="1603"/>
              <w:rPr>
                <w:rFonts w:ascii="宋体" w:hAnsi="宋体" w:eastAsia="宋体" w:cs="宋体"/>
                <w:sz w:val="21"/>
                <w:szCs w:val="21"/>
              </w:rPr>
            </w:pPr>
            <w:r>
              <w:rPr>
                <w:rFonts w:ascii="宋体" w:hAnsi="宋体" w:eastAsia="宋体" w:cs="宋体"/>
                <w:spacing w:val="-2"/>
                <w:sz w:val="21"/>
                <w:szCs w:val="21"/>
              </w:rPr>
              <w:t>矿物油</w:t>
            </w:r>
          </w:p>
        </w:tc>
        <w:tc>
          <w:tcPr>
            <w:tcW w:w="1088" w:type="dxa"/>
            <w:vAlign w:val="top"/>
          </w:tcPr>
          <w:p w14:paraId="132024EC">
            <w:pPr>
              <w:spacing w:before="68" w:line="220" w:lineRule="auto"/>
              <w:ind w:left="343"/>
              <w:rPr>
                <w:rFonts w:ascii="宋体" w:hAnsi="宋体" w:eastAsia="宋体" w:cs="宋体"/>
                <w:sz w:val="21"/>
                <w:szCs w:val="21"/>
              </w:rPr>
            </w:pPr>
            <w:r>
              <w:rPr>
                <w:rFonts w:ascii="宋体" w:hAnsi="宋体" w:eastAsia="宋体" w:cs="宋体"/>
                <w:spacing w:val="-4"/>
                <w:sz w:val="21"/>
                <w:szCs w:val="21"/>
              </w:rPr>
              <w:t>外购</w:t>
            </w:r>
          </w:p>
        </w:tc>
      </w:tr>
    </w:tbl>
    <w:p w14:paraId="62186132">
      <w:pPr>
        <w:spacing w:before="281"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2.1.4  </w:t>
      </w:r>
      <w:r>
        <w:rPr>
          <w:rFonts w:ascii="宋体" w:hAnsi="宋体" w:eastAsia="宋体" w:cs="宋体"/>
          <w:b/>
          <w:bCs/>
          <w:spacing w:val="-2"/>
          <w:sz w:val="30"/>
          <w:szCs w:val="30"/>
        </w:rPr>
        <w:t>主要生产设备</w:t>
      </w:r>
    </w:p>
    <w:p w14:paraId="546157B8">
      <w:pPr>
        <w:pStyle w:val="2"/>
        <w:spacing w:line="259" w:lineRule="auto"/>
      </w:pPr>
    </w:p>
    <w:p w14:paraId="71769A6E">
      <w:pPr>
        <w:spacing w:before="78" w:line="219" w:lineRule="auto"/>
        <w:ind w:left="520"/>
        <w:rPr>
          <w:rFonts w:ascii="宋体" w:hAnsi="宋体" w:eastAsia="宋体" w:cs="宋体"/>
          <w:sz w:val="24"/>
          <w:szCs w:val="24"/>
        </w:rPr>
      </w:pPr>
      <w:r>
        <w:rPr>
          <w:rFonts w:ascii="宋体" w:hAnsi="宋体" w:eastAsia="宋体" w:cs="宋体"/>
          <w:spacing w:val="-3"/>
          <w:sz w:val="24"/>
          <w:szCs w:val="24"/>
        </w:rPr>
        <w:t>本项目使用的主要生产设备见下表。</w:t>
      </w:r>
    </w:p>
    <w:p w14:paraId="6488C858">
      <w:pPr>
        <w:spacing w:before="196" w:line="222"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2.1-4  </w:t>
      </w:r>
      <w:r>
        <w:rPr>
          <w:rFonts w:ascii="黑体" w:hAnsi="黑体" w:eastAsia="黑体" w:cs="黑体"/>
          <w:spacing w:val="-1"/>
          <w:sz w:val="21"/>
          <w:szCs w:val="21"/>
        </w:rPr>
        <w:t>项目主要设备清单</w:t>
      </w:r>
    </w:p>
    <w:p w14:paraId="3A2D0E80">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0"/>
        <w:gridCol w:w="2360"/>
        <w:gridCol w:w="3088"/>
        <w:gridCol w:w="597"/>
        <w:gridCol w:w="1265"/>
      </w:tblGrid>
      <w:tr w14:paraId="026F6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370" w:type="dxa"/>
            <w:gridSpan w:val="2"/>
            <w:vAlign w:val="top"/>
          </w:tcPr>
          <w:p w14:paraId="41F7A9E3">
            <w:pPr>
              <w:spacing w:before="68" w:line="221" w:lineRule="auto"/>
              <w:ind w:left="1274"/>
              <w:rPr>
                <w:rFonts w:ascii="宋体" w:hAnsi="宋体" w:eastAsia="宋体" w:cs="宋体"/>
                <w:sz w:val="21"/>
                <w:szCs w:val="21"/>
              </w:rPr>
            </w:pPr>
            <w:r>
              <w:rPr>
                <w:rFonts w:ascii="宋体" w:hAnsi="宋体" w:eastAsia="宋体" w:cs="宋体"/>
                <w:spacing w:val="-3"/>
                <w:sz w:val="21"/>
                <w:szCs w:val="21"/>
              </w:rPr>
              <w:t>设备名称</w:t>
            </w:r>
          </w:p>
        </w:tc>
        <w:tc>
          <w:tcPr>
            <w:tcW w:w="3088" w:type="dxa"/>
            <w:vAlign w:val="top"/>
          </w:tcPr>
          <w:p w14:paraId="63DA5648">
            <w:pPr>
              <w:spacing w:before="68" w:line="220" w:lineRule="auto"/>
              <w:ind w:left="1130"/>
              <w:rPr>
                <w:rFonts w:ascii="宋体" w:hAnsi="宋体" w:eastAsia="宋体" w:cs="宋体"/>
                <w:sz w:val="21"/>
                <w:szCs w:val="21"/>
              </w:rPr>
            </w:pPr>
            <w:r>
              <w:rPr>
                <w:rFonts w:ascii="宋体" w:hAnsi="宋体" w:eastAsia="宋体" w:cs="宋体"/>
                <w:spacing w:val="-2"/>
                <w:sz w:val="21"/>
                <w:szCs w:val="21"/>
              </w:rPr>
              <w:t>规格型号</w:t>
            </w:r>
          </w:p>
        </w:tc>
        <w:tc>
          <w:tcPr>
            <w:tcW w:w="597" w:type="dxa"/>
            <w:vAlign w:val="top"/>
          </w:tcPr>
          <w:p w14:paraId="229F6870">
            <w:pPr>
              <w:spacing w:before="69" w:line="220" w:lineRule="auto"/>
              <w:ind w:left="97"/>
              <w:rPr>
                <w:rFonts w:ascii="宋体" w:hAnsi="宋体" w:eastAsia="宋体" w:cs="宋体"/>
                <w:sz w:val="21"/>
                <w:szCs w:val="21"/>
              </w:rPr>
            </w:pPr>
            <w:r>
              <w:rPr>
                <w:rFonts w:ascii="宋体" w:hAnsi="宋体" w:eastAsia="宋体" w:cs="宋体"/>
                <w:spacing w:val="-3"/>
                <w:sz w:val="21"/>
                <w:szCs w:val="21"/>
              </w:rPr>
              <w:t>单位</w:t>
            </w:r>
          </w:p>
        </w:tc>
        <w:tc>
          <w:tcPr>
            <w:tcW w:w="1265" w:type="dxa"/>
            <w:vAlign w:val="top"/>
          </w:tcPr>
          <w:p w14:paraId="5E82340E">
            <w:pPr>
              <w:spacing w:before="68" w:line="220" w:lineRule="auto"/>
              <w:ind w:left="429"/>
              <w:rPr>
                <w:rFonts w:ascii="宋体" w:hAnsi="宋体" w:eastAsia="宋体" w:cs="宋体"/>
                <w:sz w:val="21"/>
                <w:szCs w:val="21"/>
              </w:rPr>
            </w:pPr>
            <w:r>
              <w:rPr>
                <w:rFonts w:ascii="宋体" w:hAnsi="宋体" w:eastAsia="宋体" w:cs="宋体"/>
                <w:spacing w:val="-3"/>
                <w:sz w:val="21"/>
                <w:szCs w:val="21"/>
              </w:rPr>
              <w:t>数量</w:t>
            </w:r>
          </w:p>
        </w:tc>
      </w:tr>
      <w:tr w14:paraId="05817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20" w:type="dxa"/>
            <w:gridSpan w:val="5"/>
            <w:vAlign w:val="top"/>
          </w:tcPr>
          <w:p w14:paraId="5A867304">
            <w:pPr>
              <w:spacing w:before="63" w:line="220" w:lineRule="auto"/>
              <w:ind w:left="3640"/>
              <w:rPr>
                <w:rFonts w:ascii="宋体" w:hAnsi="宋体" w:eastAsia="宋体" w:cs="宋体"/>
                <w:sz w:val="21"/>
                <w:szCs w:val="21"/>
              </w:rPr>
            </w:pPr>
            <w:r>
              <w:rPr>
                <w:rFonts w:ascii="宋体" w:hAnsi="宋体" w:eastAsia="宋体" w:cs="宋体"/>
                <w:b/>
                <w:bCs/>
                <w:spacing w:val="-4"/>
                <w:sz w:val="21"/>
                <w:szCs w:val="21"/>
              </w:rPr>
              <w:t>养殖场设备</w:t>
            </w:r>
          </w:p>
        </w:tc>
      </w:tr>
      <w:tr w14:paraId="20788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restart"/>
            <w:tcBorders>
              <w:bottom w:val="nil"/>
            </w:tcBorders>
            <w:vAlign w:val="top"/>
          </w:tcPr>
          <w:p w14:paraId="1253ECE9">
            <w:pPr>
              <w:spacing w:line="267" w:lineRule="auto"/>
              <w:rPr>
                <w:rFonts w:ascii="Arial"/>
                <w:sz w:val="21"/>
              </w:rPr>
            </w:pPr>
          </w:p>
          <w:p w14:paraId="677E82DD">
            <w:pPr>
              <w:spacing w:line="268" w:lineRule="auto"/>
              <w:rPr>
                <w:rFonts w:ascii="Arial"/>
                <w:sz w:val="21"/>
              </w:rPr>
            </w:pPr>
          </w:p>
          <w:p w14:paraId="21CAD0F4">
            <w:pPr>
              <w:spacing w:line="268" w:lineRule="auto"/>
              <w:rPr>
                <w:rFonts w:ascii="Arial"/>
                <w:sz w:val="21"/>
              </w:rPr>
            </w:pPr>
          </w:p>
          <w:p w14:paraId="1B9C8D6C">
            <w:pPr>
              <w:spacing w:line="268" w:lineRule="auto"/>
              <w:rPr>
                <w:rFonts w:ascii="Arial"/>
                <w:sz w:val="21"/>
              </w:rPr>
            </w:pPr>
          </w:p>
          <w:p w14:paraId="0FB9049B">
            <w:pPr>
              <w:spacing w:line="268" w:lineRule="auto"/>
              <w:rPr>
                <w:rFonts w:ascii="Arial"/>
                <w:sz w:val="21"/>
              </w:rPr>
            </w:pPr>
          </w:p>
          <w:p w14:paraId="4DD0E790">
            <w:pPr>
              <w:spacing w:line="268" w:lineRule="auto"/>
              <w:rPr>
                <w:rFonts w:ascii="Arial"/>
                <w:sz w:val="21"/>
              </w:rPr>
            </w:pPr>
          </w:p>
          <w:p w14:paraId="5DB222D5">
            <w:pPr>
              <w:spacing w:line="268" w:lineRule="auto"/>
              <w:rPr>
                <w:rFonts w:ascii="Arial"/>
                <w:sz w:val="21"/>
              </w:rPr>
            </w:pPr>
          </w:p>
          <w:p w14:paraId="0BBDF7A6">
            <w:pPr>
              <w:spacing w:before="68" w:line="220" w:lineRule="auto"/>
              <w:ind w:left="196"/>
              <w:rPr>
                <w:rFonts w:ascii="宋体" w:hAnsi="宋体" w:eastAsia="宋体" w:cs="宋体"/>
                <w:sz w:val="21"/>
                <w:szCs w:val="21"/>
              </w:rPr>
            </w:pPr>
            <w:r>
              <w:rPr>
                <w:rFonts w:ascii="宋体" w:hAnsi="宋体" w:eastAsia="宋体" w:cs="宋体"/>
                <w:spacing w:val="-3"/>
                <w:sz w:val="21"/>
                <w:szCs w:val="21"/>
              </w:rPr>
              <w:t>保育舍</w:t>
            </w:r>
          </w:p>
        </w:tc>
        <w:tc>
          <w:tcPr>
            <w:tcW w:w="2360" w:type="dxa"/>
            <w:vAlign w:val="top"/>
          </w:tcPr>
          <w:p w14:paraId="0E372ED3">
            <w:pPr>
              <w:spacing w:before="64" w:line="220" w:lineRule="auto"/>
              <w:ind w:left="869"/>
              <w:rPr>
                <w:rFonts w:ascii="宋体" w:hAnsi="宋体" w:eastAsia="宋体" w:cs="宋体"/>
                <w:sz w:val="21"/>
                <w:szCs w:val="21"/>
              </w:rPr>
            </w:pPr>
            <w:r>
              <w:rPr>
                <w:rFonts w:ascii="宋体" w:hAnsi="宋体" w:eastAsia="宋体" w:cs="宋体"/>
                <w:spacing w:val="-3"/>
                <w:sz w:val="21"/>
                <w:szCs w:val="21"/>
              </w:rPr>
              <w:t>保育栏</w:t>
            </w:r>
          </w:p>
        </w:tc>
        <w:tc>
          <w:tcPr>
            <w:tcW w:w="3088" w:type="dxa"/>
            <w:vAlign w:val="top"/>
          </w:tcPr>
          <w:p w14:paraId="3C9AF54C">
            <w:pPr>
              <w:pStyle w:val="6"/>
              <w:spacing w:before="101" w:line="188" w:lineRule="auto"/>
              <w:ind w:left="902"/>
            </w:pPr>
            <w:r>
              <w:rPr>
                <w:spacing w:val="-1"/>
              </w:rPr>
              <w:t>4300×3600mm</w:t>
            </w:r>
          </w:p>
        </w:tc>
        <w:tc>
          <w:tcPr>
            <w:tcW w:w="597" w:type="dxa"/>
            <w:vAlign w:val="top"/>
          </w:tcPr>
          <w:p w14:paraId="2403EECB">
            <w:pPr>
              <w:spacing w:before="65"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23D8171B">
            <w:pPr>
              <w:pStyle w:val="6"/>
              <w:spacing w:before="101" w:line="188" w:lineRule="auto"/>
              <w:ind w:left="480"/>
            </w:pPr>
            <w:r>
              <w:rPr>
                <w:spacing w:val="-3"/>
              </w:rPr>
              <w:t>360</w:t>
            </w:r>
          </w:p>
        </w:tc>
      </w:tr>
      <w:tr w14:paraId="355D0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285C8AE1">
            <w:pPr>
              <w:rPr>
                <w:rFonts w:ascii="Arial"/>
                <w:sz w:val="21"/>
              </w:rPr>
            </w:pPr>
          </w:p>
        </w:tc>
        <w:tc>
          <w:tcPr>
            <w:tcW w:w="2360" w:type="dxa"/>
            <w:vAlign w:val="top"/>
          </w:tcPr>
          <w:p w14:paraId="143545D8">
            <w:pPr>
              <w:spacing w:before="65" w:line="220" w:lineRule="auto"/>
              <w:ind w:left="869"/>
              <w:rPr>
                <w:rFonts w:ascii="宋体" w:hAnsi="宋体" w:eastAsia="宋体" w:cs="宋体"/>
                <w:sz w:val="21"/>
                <w:szCs w:val="21"/>
              </w:rPr>
            </w:pPr>
            <w:r>
              <w:rPr>
                <w:rFonts w:ascii="宋体" w:hAnsi="宋体" w:eastAsia="宋体" w:cs="宋体"/>
                <w:spacing w:val="-3"/>
                <w:sz w:val="21"/>
                <w:szCs w:val="21"/>
              </w:rPr>
              <w:t>保温灯</w:t>
            </w:r>
          </w:p>
        </w:tc>
        <w:tc>
          <w:tcPr>
            <w:tcW w:w="3088" w:type="dxa"/>
            <w:vAlign w:val="top"/>
          </w:tcPr>
          <w:p w14:paraId="7199209C">
            <w:pPr>
              <w:pStyle w:val="6"/>
              <w:spacing w:before="101" w:line="188" w:lineRule="auto"/>
              <w:ind w:left="1289"/>
            </w:pPr>
            <w:r>
              <w:rPr>
                <w:spacing w:val="-1"/>
              </w:rPr>
              <w:t>250W</w:t>
            </w:r>
          </w:p>
        </w:tc>
        <w:tc>
          <w:tcPr>
            <w:tcW w:w="597" w:type="dxa"/>
            <w:vAlign w:val="top"/>
          </w:tcPr>
          <w:p w14:paraId="458C3E4D">
            <w:pPr>
              <w:spacing w:before="65"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28E10C75">
            <w:pPr>
              <w:pStyle w:val="6"/>
              <w:spacing w:before="101" w:line="188" w:lineRule="auto"/>
              <w:ind w:left="480"/>
            </w:pPr>
            <w:r>
              <w:rPr>
                <w:spacing w:val="-3"/>
              </w:rPr>
              <w:t>720</w:t>
            </w:r>
          </w:p>
        </w:tc>
      </w:tr>
      <w:tr w14:paraId="1B35F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0866BBBA">
            <w:pPr>
              <w:rPr>
                <w:rFonts w:ascii="Arial"/>
                <w:sz w:val="21"/>
              </w:rPr>
            </w:pPr>
          </w:p>
        </w:tc>
        <w:tc>
          <w:tcPr>
            <w:tcW w:w="2360" w:type="dxa"/>
            <w:vAlign w:val="top"/>
          </w:tcPr>
          <w:p w14:paraId="158C16D3">
            <w:pPr>
              <w:spacing w:before="65" w:line="220" w:lineRule="auto"/>
              <w:ind w:left="869"/>
              <w:rPr>
                <w:rFonts w:ascii="宋体" w:hAnsi="宋体" w:eastAsia="宋体" w:cs="宋体"/>
                <w:sz w:val="21"/>
                <w:szCs w:val="21"/>
              </w:rPr>
            </w:pPr>
            <w:r>
              <w:rPr>
                <w:rFonts w:ascii="宋体" w:hAnsi="宋体" w:eastAsia="宋体" w:cs="宋体"/>
                <w:spacing w:val="-3"/>
                <w:sz w:val="21"/>
                <w:szCs w:val="21"/>
              </w:rPr>
              <w:t>保温垫</w:t>
            </w:r>
          </w:p>
        </w:tc>
        <w:tc>
          <w:tcPr>
            <w:tcW w:w="3088" w:type="dxa"/>
            <w:vAlign w:val="top"/>
          </w:tcPr>
          <w:p w14:paraId="6FF78A59">
            <w:pPr>
              <w:pStyle w:val="6"/>
              <w:spacing w:before="101" w:line="188" w:lineRule="auto"/>
              <w:ind w:left="739"/>
            </w:pPr>
            <w:r>
              <w:rPr>
                <w:spacing w:val="-1"/>
              </w:rPr>
              <w:t>2000×1000×12mm</w:t>
            </w:r>
          </w:p>
        </w:tc>
        <w:tc>
          <w:tcPr>
            <w:tcW w:w="597" w:type="dxa"/>
            <w:vAlign w:val="top"/>
          </w:tcPr>
          <w:p w14:paraId="7EB0F4C7">
            <w:pPr>
              <w:spacing w:before="65" w:line="222" w:lineRule="auto"/>
              <w:ind w:left="205"/>
              <w:rPr>
                <w:rFonts w:ascii="宋体" w:hAnsi="宋体" w:eastAsia="宋体" w:cs="宋体"/>
                <w:sz w:val="21"/>
                <w:szCs w:val="21"/>
              </w:rPr>
            </w:pPr>
            <w:r>
              <w:rPr>
                <w:rFonts w:ascii="宋体" w:hAnsi="宋体" w:eastAsia="宋体" w:cs="宋体"/>
                <w:sz w:val="21"/>
                <w:szCs w:val="21"/>
              </w:rPr>
              <w:t>张</w:t>
            </w:r>
          </w:p>
        </w:tc>
        <w:tc>
          <w:tcPr>
            <w:tcW w:w="1265" w:type="dxa"/>
            <w:vAlign w:val="top"/>
          </w:tcPr>
          <w:p w14:paraId="25020381">
            <w:pPr>
              <w:pStyle w:val="6"/>
              <w:spacing w:before="101" w:line="188" w:lineRule="auto"/>
              <w:ind w:left="481"/>
            </w:pPr>
            <w:r>
              <w:rPr>
                <w:spacing w:val="-3"/>
              </w:rPr>
              <w:t>360</w:t>
            </w:r>
          </w:p>
        </w:tc>
      </w:tr>
      <w:tr w14:paraId="3949C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continue"/>
            <w:tcBorders>
              <w:top w:val="nil"/>
              <w:bottom w:val="nil"/>
            </w:tcBorders>
            <w:vAlign w:val="top"/>
          </w:tcPr>
          <w:p w14:paraId="077920D3">
            <w:pPr>
              <w:rPr>
                <w:rFonts w:ascii="Arial"/>
                <w:sz w:val="21"/>
              </w:rPr>
            </w:pPr>
          </w:p>
        </w:tc>
        <w:tc>
          <w:tcPr>
            <w:tcW w:w="2360" w:type="dxa"/>
            <w:vAlign w:val="top"/>
          </w:tcPr>
          <w:p w14:paraId="22F6B554">
            <w:pPr>
              <w:pStyle w:val="6"/>
              <w:spacing w:before="65" w:line="220" w:lineRule="auto"/>
              <w:ind w:left="501"/>
              <w:rPr>
                <w:rFonts w:ascii="宋体" w:hAnsi="宋体" w:eastAsia="宋体" w:cs="宋体"/>
              </w:rPr>
            </w:pPr>
            <w:r>
              <w:rPr>
                <w:rFonts w:ascii="宋体" w:hAnsi="宋体" w:eastAsia="宋体" w:cs="宋体"/>
                <w:spacing w:val="-5"/>
              </w:rPr>
              <w:t>双面</w:t>
            </w:r>
            <w:r>
              <w:rPr>
                <w:rFonts w:ascii="宋体" w:hAnsi="宋体" w:eastAsia="宋体" w:cs="宋体"/>
                <w:spacing w:val="-22"/>
              </w:rPr>
              <w:t xml:space="preserve"> </w:t>
            </w:r>
            <w:r>
              <w:rPr>
                <w:spacing w:val="-5"/>
              </w:rPr>
              <w:t xml:space="preserve">12 </w:t>
            </w:r>
            <w:r>
              <w:rPr>
                <w:rFonts w:ascii="宋体" w:hAnsi="宋体" w:eastAsia="宋体" w:cs="宋体"/>
                <w:spacing w:val="-5"/>
              </w:rPr>
              <w:t>孔食槽</w:t>
            </w:r>
          </w:p>
        </w:tc>
        <w:tc>
          <w:tcPr>
            <w:tcW w:w="3088" w:type="dxa"/>
            <w:vAlign w:val="top"/>
          </w:tcPr>
          <w:p w14:paraId="1BC23F32">
            <w:pPr>
              <w:pStyle w:val="6"/>
              <w:spacing w:before="65" w:line="220" w:lineRule="auto"/>
              <w:ind w:left="115"/>
              <w:rPr>
                <w:rFonts w:ascii="宋体" w:hAnsi="宋体" w:eastAsia="宋体" w:cs="宋体"/>
              </w:rPr>
            </w:pPr>
            <w:r>
              <w:rPr>
                <w:spacing w:val="-2"/>
              </w:rPr>
              <w:t>SUS304×1.0mm</w:t>
            </w:r>
            <w:r>
              <w:rPr>
                <w:rFonts w:ascii="宋体" w:hAnsi="宋体" w:eastAsia="宋体" w:cs="宋体"/>
                <w:spacing w:val="-2"/>
              </w:rPr>
              <w:t>，保育双面料槽</w:t>
            </w:r>
          </w:p>
        </w:tc>
        <w:tc>
          <w:tcPr>
            <w:tcW w:w="597" w:type="dxa"/>
            <w:vAlign w:val="top"/>
          </w:tcPr>
          <w:p w14:paraId="6C75241B">
            <w:pPr>
              <w:spacing w:before="66"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1BAFA786">
            <w:pPr>
              <w:pStyle w:val="6"/>
              <w:spacing w:before="102" w:line="188" w:lineRule="auto"/>
              <w:ind w:left="496"/>
            </w:pPr>
            <w:r>
              <w:rPr>
                <w:spacing w:val="-9"/>
              </w:rPr>
              <w:t>180</w:t>
            </w:r>
          </w:p>
        </w:tc>
      </w:tr>
      <w:tr w14:paraId="6EACB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467357AA">
            <w:pPr>
              <w:rPr>
                <w:rFonts w:ascii="Arial"/>
                <w:sz w:val="21"/>
              </w:rPr>
            </w:pPr>
          </w:p>
        </w:tc>
        <w:tc>
          <w:tcPr>
            <w:tcW w:w="2360" w:type="dxa"/>
            <w:vAlign w:val="top"/>
          </w:tcPr>
          <w:p w14:paraId="0B67FA92">
            <w:pPr>
              <w:pStyle w:val="6"/>
              <w:spacing w:before="65" w:line="220" w:lineRule="auto"/>
              <w:ind w:left="554"/>
              <w:rPr>
                <w:rFonts w:ascii="宋体" w:hAnsi="宋体" w:eastAsia="宋体" w:cs="宋体"/>
              </w:rPr>
            </w:pPr>
            <w:r>
              <w:rPr>
                <w:rFonts w:ascii="宋体" w:hAnsi="宋体" w:eastAsia="宋体" w:cs="宋体"/>
                <w:spacing w:val="-5"/>
              </w:rPr>
              <w:t>单面</w:t>
            </w:r>
            <w:r>
              <w:rPr>
                <w:rFonts w:ascii="宋体" w:hAnsi="宋体" w:eastAsia="宋体" w:cs="宋体"/>
                <w:spacing w:val="-43"/>
              </w:rPr>
              <w:t xml:space="preserve"> </w:t>
            </w:r>
            <w:r>
              <w:rPr>
                <w:spacing w:val="-5"/>
              </w:rPr>
              <w:t>6</w:t>
            </w:r>
            <w:r>
              <w:rPr>
                <w:spacing w:val="10"/>
              </w:rPr>
              <w:t xml:space="preserve"> </w:t>
            </w:r>
            <w:r>
              <w:rPr>
                <w:rFonts w:ascii="宋体" w:hAnsi="宋体" w:eastAsia="宋体" w:cs="宋体"/>
                <w:spacing w:val="-5"/>
              </w:rPr>
              <w:t>孔食槽</w:t>
            </w:r>
          </w:p>
        </w:tc>
        <w:tc>
          <w:tcPr>
            <w:tcW w:w="3088" w:type="dxa"/>
            <w:vAlign w:val="top"/>
          </w:tcPr>
          <w:p w14:paraId="2B19397B">
            <w:pPr>
              <w:pStyle w:val="6"/>
              <w:spacing w:before="65" w:line="220" w:lineRule="auto"/>
              <w:ind w:left="115"/>
              <w:rPr>
                <w:rFonts w:ascii="宋体" w:hAnsi="宋体" w:eastAsia="宋体" w:cs="宋体"/>
              </w:rPr>
            </w:pPr>
            <w:r>
              <w:rPr>
                <w:spacing w:val="-2"/>
              </w:rPr>
              <w:t>SUS304×1.0mm</w:t>
            </w:r>
            <w:r>
              <w:rPr>
                <w:rFonts w:ascii="宋体" w:hAnsi="宋体" w:eastAsia="宋体" w:cs="宋体"/>
                <w:spacing w:val="-2"/>
              </w:rPr>
              <w:t>，保育单面料槽</w:t>
            </w:r>
          </w:p>
        </w:tc>
        <w:tc>
          <w:tcPr>
            <w:tcW w:w="597" w:type="dxa"/>
            <w:vAlign w:val="top"/>
          </w:tcPr>
          <w:p w14:paraId="702E0381">
            <w:pPr>
              <w:spacing w:before="66"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3ABE0BD5">
            <w:pPr>
              <w:pStyle w:val="6"/>
              <w:spacing w:before="102" w:line="188" w:lineRule="auto"/>
              <w:ind w:left="534"/>
            </w:pPr>
            <w:r>
              <w:rPr>
                <w:spacing w:val="-5"/>
              </w:rPr>
              <w:t>60</w:t>
            </w:r>
          </w:p>
        </w:tc>
      </w:tr>
      <w:tr w14:paraId="7E2A0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336207B2">
            <w:pPr>
              <w:rPr>
                <w:rFonts w:ascii="Arial"/>
                <w:sz w:val="21"/>
              </w:rPr>
            </w:pPr>
          </w:p>
        </w:tc>
        <w:tc>
          <w:tcPr>
            <w:tcW w:w="2360" w:type="dxa"/>
            <w:vAlign w:val="top"/>
          </w:tcPr>
          <w:p w14:paraId="3209AD8D">
            <w:pPr>
              <w:spacing w:before="65" w:line="220" w:lineRule="auto"/>
              <w:ind w:left="658"/>
              <w:rPr>
                <w:rFonts w:ascii="宋体" w:hAnsi="宋体" w:eastAsia="宋体" w:cs="宋体"/>
                <w:sz w:val="21"/>
                <w:szCs w:val="21"/>
              </w:rPr>
            </w:pPr>
            <w:r>
              <w:rPr>
                <w:rFonts w:ascii="宋体" w:hAnsi="宋体" w:eastAsia="宋体" w:cs="宋体"/>
                <w:spacing w:val="-2"/>
                <w:sz w:val="21"/>
                <w:szCs w:val="21"/>
              </w:rPr>
              <w:t>节能饮水碗</w:t>
            </w:r>
          </w:p>
        </w:tc>
        <w:tc>
          <w:tcPr>
            <w:tcW w:w="3088" w:type="dxa"/>
            <w:vAlign w:val="top"/>
          </w:tcPr>
          <w:p w14:paraId="2DE73433">
            <w:pPr>
              <w:pStyle w:val="6"/>
              <w:spacing w:before="66" w:line="231" w:lineRule="auto"/>
              <w:ind w:left="673"/>
            </w:pPr>
            <w:r>
              <w:rPr>
                <w:spacing w:val="-7"/>
              </w:rPr>
              <w:t>SUS304</w:t>
            </w:r>
            <w:r>
              <w:rPr>
                <w:rFonts w:ascii="宋体" w:hAnsi="宋体" w:eastAsia="宋体" w:cs="宋体"/>
                <w:spacing w:val="-7"/>
              </w:rPr>
              <w:t>，φ</w:t>
            </w:r>
            <w:r>
              <w:rPr>
                <w:rFonts w:ascii="宋体" w:hAnsi="宋体" w:eastAsia="宋体" w:cs="宋体"/>
                <w:spacing w:val="-28"/>
              </w:rPr>
              <w:t xml:space="preserve"> </w:t>
            </w:r>
            <w:r>
              <w:rPr>
                <w:spacing w:val="-7"/>
              </w:rPr>
              <w:t>175mm</w:t>
            </w:r>
          </w:p>
        </w:tc>
        <w:tc>
          <w:tcPr>
            <w:tcW w:w="597" w:type="dxa"/>
            <w:vAlign w:val="top"/>
          </w:tcPr>
          <w:p w14:paraId="416B6DD1">
            <w:pPr>
              <w:spacing w:before="66"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246EC3C3">
            <w:pPr>
              <w:pStyle w:val="6"/>
              <w:spacing w:before="102" w:line="188" w:lineRule="auto"/>
              <w:ind w:left="481"/>
            </w:pPr>
            <w:r>
              <w:rPr>
                <w:spacing w:val="-3"/>
              </w:rPr>
              <w:t>360</w:t>
            </w:r>
          </w:p>
        </w:tc>
      </w:tr>
      <w:tr w14:paraId="69056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10" w:type="dxa"/>
            <w:vMerge w:val="continue"/>
            <w:tcBorders>
              <w:top w:val="nil"/>
              <w:bottom w:val="nil"/>
            </w:tcBorders>
            <w:vAlign w:val="top"/>
          </w:tcPr>
          <w:p w14:paraId="632D82A7">
            <w:pPr>
              <w:rPr>
                <w:rFonts w:ascii="Arial"/>
                <w:sz w:val="21"/>
              </w:rPr>
            </w:pPr>
          </w:p>
        </w:tc>
        <w:tc>
          <w:tcPr>
            <w:tcW w:w="2360" w:type="dxa"/>
            <w:vAlign w:val="top"/>
          </w:tcPr>
          <w:p w14:paraId="79D240E2">
            <w:pPr>
              <w:spacing w:before="207" w:line="220" w:lineRule="auto"/>
              <w:ind w:left="448"/>
              <w:rPr>
                <w:rFonts w:ascii="宋体" w:hAnsi="宋体" w:eastAsia="宋体" w:cs="宋体"/>
                <w:sz w:val="21"/>
                <w:szCs w:val="21"/>
              </w:rPr>
            </w:pPr>
            <w:r>
              <w:rPr>
                <w:rFonts w:ascii="宋体" w:hAnsi="宋体" w:eastAsia="宋体" w:cs="宋体"/>
                <w:spacing w:val="-2"/>
                <w:sz w:val="21"/>
                <w:szCs w:val="21"/>
              </w:rPr>
              <w:t>饮水杆及固定件</w:t>
            </w:r>
          </w:p>
        </w:tc>
        <w:tc>
          <w:tcPr>
            <w:tcW w:w="3088" w:type="dxa"/>
            <w:vAlign w:val="top"/>
          </w:tcPr>
          <w:p w14:paraId="35FF0B83">
            <w:pPr>
              <w:pStyle w:val="6"/>
              <w:spacing w:before="88" w:line="180" w:lineRule="auto"/>
              <w:jc w:val="right"/>
              <w:rPr>
                <w:rFonts w:ascii="宋体" w:hAnsi="宋体" w:eastAsia="宋体" w:cs="宋体"/>
              </w:rPr>
            </w:pPr>
            <w:r>
              <w:rPr>
                <w:spacing w:val="-12"/>
              </w:rPr>
              <w:t>SUS304</w:t>
            </w:r>
            <w:r>
              <w:rPr>
                <w:rFonts w:ascii="宋体" w:hAnsi="宋体" w:eastAsia="宋体" w:cs="宋体"/>
                <w:spacing w:val="-12"/>
              </w:rPr>
              <w:t>，</w:t>
            </w:r>
            <w:r>
              <w:rPr>
                <w:spacing w:val="-12"/>
              </w:rPr>
              <w:t>φ20×2.0mm</w:t>
            </w:r>
            <w:r>
              <w:rPr>
                <w:rFonts w:ascii="宋体" w:hAnsi="宋体" w:eastAsia="宋体" w:cs="宋体"/>
                <w:spacing w:val="-12"/>
              </w:rPr>
              <w:t>，</w:t>
            </w:r>
            <w:r>
              <w:rPr>
                <w:spacing w:val="-12"/>
              </w:rPr>
              <w:t>L=1000mm</w:t>
            </w:r>
            <w:r>
              <w:rPr>
                <w:rFonts w:ascii="宋体" w:hAnsi="宋体" w:eastAsia="宋体" w:cs="宋体"/>
                <w:spacing w:val="-12"/>
              </w:rPr>
              <w:t>，</w:t>
            </w:r>
          </w:p>
          <w:p w14:paraId="2BD8A6B5">
            <w:pPr>
              <w:spacing w:before="70" w:line="220" w:lineRule="auto"/>
              <w:ind w:left="1130"/>
              <w:rPr>
                <w:rFonts w:ascii="宋体" w:hAnsi="宋体" w:eastAsia="宋体" w:cs="宋体"/>
                <w:sz w:val="21"/>
                <w:szCs w:val="21"/>
              </w:rPr>
            </w:pPr>
            <w:r>
              <w:rPr>
                <w:rFonts w:ascii="宋体" w:hAnsi="宋体" w:eastAsia="宋体" w:cs="宋体"/>
                <w:spacing w:val="-2"/>
                <w:sz w:val="21"/>
                <w:szCs w:val="21"/>
              </w:rPr>
              <w:t>两头攻丝</w:t>
            </w:r>
          </w:p>
        </w:tc>
        <w:tc>
          <w:tcPr>
            <w:tcW w:w="597" w:type="dxa"/>
            <w:vAlign w:val="top"/>
          </w:tcPr>
          <w:p w14:paraId="438235F2">
            <w:pPr>
              <w:spacing w:before="207" w:line="220" w:lineRule="auto"/>
              <w:ind w:left="199"/>
              <w:rPr>
                <w:rFonts w:ascii="宋体" w:hAnsi="宋体" w:eastAsia="宋体" w:cs="宋体"/>
                <w:sz w:val="21"/>
                <w:szCs w:val="21"/>
              </w:rPr>
            </w:pPr>
            <w:r>
              <w:rPr>
                <w:rFonts w:ascii="宋体" w:hAnsi="宋体" w:eastAsia="宋体" w:cs="宋体"/>
                <w:sz w:val="21"/>
                <w:szCs w:val="21"/>
              </w:rPr>
              <w:t>件</w:t>
            </w:r>
          </w:p>
        </w:tc>
        <w:tc>
          <w:tcPr>
            <w:tcW w:w="1265" w:type="dxa"/>
            <w:vAlign w:val="top"/>
          </w:tcPr>
          <w:p w14:paraId="73F97295">
            <w:pPr>
              <w:pStyle w:val="6"/>
              <w:spacing w:before="244" w:line="188" w:lineRule="auto"/>
              <w:ind w:left="480"/>
            </w:pPr>
            <w:r>
              <w:rPr>
                <w:spacing w:val="-3"/>
              </w:rPr>
              <w:t>360</w:t>
            </w:r>
          </w:p>
        </w:tc>
      </w:tr>
      <w:tr w14:paraId="0F35F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675B115E">
            <w:pPr>
              <w:rPr>
                <w:rFonts w:ascii="Arial"/>
                <w:sz w:val="21"/>
              </w:rPr>
            </w:pPr>
          </w:p>
        </w:tc>
        <w:tc>
          <w:tcPr>
            <w:tcW w:w="2360" w:type="dxa"/>
            <w:vAlign w:val="top"/>
          </w:tcPr>
          <w:p w14:paraId="6EB47B03">
            <w:pPr>
              <w:spacing w:before="66" w:line="219" w:lineRule="auto"/>
              <w:ind w:left="662"/>
              <w:rPr>
                <w:rFonts w:ascii="宋体" w:hAnsi="宋体" w:eastAsia="宋体" w:cs="宋体"/>
                <w:sz w:val="21"/>
                <w:szCs w:val="21"/>
              </w:rPr>
            </w:pPr>
            <w:r>
              <w:rPr>
                <w:rFonts w:ascii="宋体" w:hAnsi="宋体" w:eastAsia="宋体" w:cs="宋体"/>
                <w:spacing w:val="-2"/>
                <w:sz w:val="21"/>
                <w:szCs w:val="21"/>
              </w:rPr>
              <w:t>玻璃钢风机</w:t>
            </w:r>
          </w:p>
        </w:tc>
        <w:tc>
          <w:tcPr>
            <w:tcW w:w="3088" w:type="dxa"/>
            <w:vAlign w:val="top"/>
          </w:tcPr>
          <w:p w14:paraId="572072EE">
            <w:pPr>
              <w:pStyle w:val="6"/>
              <w:spacing w:before="65" w:line="220" w:lineRule="auto"/>
              <w:ind w:left="1205"/>
              <w:rPr>
                <w:rFonts w:ascii="宋体" w:hAnsi="宋体" w:eastAsia="宋体" w:cs="宋体"/>
              </w:rPr>
            </w:pPr>
            <w:r>
              <w:rPr>
                <w:spacing w:val="-3"/>
              </w:rPr>
              <w:t>24</w:t>
            </w:r>
            <w:r>
              <w:rPr>
                <w:spacing w:val="12"/>
              </w:rPr>
              <w:t xml:space="preserve"> </w:t>
            </w:r>
            <w:r>
              <w:rPr>
                <w:rFonts w:ascii="宋体" w:hAnsi="宋体" w:eastAsia="宋体" w:cs="宋体"/>
                <w:spacing w:val="-3"/>
              </w:rPr>
              <w:t>英寸</w:t>
            </w:r>
          </w:p>
        </w:tc>
        <w:tc>
          <w:tcPr>
            <w:tcW w:w="597" w:type="dxa"/>
            <w:vAlign w:val="top"/>
          </w:tcPr>
          <w:p w14:paraId="59DB7D84">
            <w:pPr>
              <w:spacing w:before="66" w:line="222" w:lineRule="auto"/>
              <w:ind w:left="216"/>
              <w:rPr>
                <w:rFonts w:ascii="宋体" w:hAnsi="宋体" w:eastAsia="宋体" w:cs="宋体"/>
                <w:sz w:val="21"/>
                <w:szCs w:val="21"/>
              </w:rPr>
            </w:pPr>
            <w:r>
              <w:rPr>
                <w:rFonts w:ascii="宋体" w:hAnsi="宋体" w:eastAsia="宋体" w:cs="宋体"/>
                <w:sz w:val="21"/>
                <w:szCs w:val="21"/>
              </w:rPr>
              <w:t>台</w:t>
            </w:r>
          </w:p>
        </w:tc>
        <w:tc>
          <w:tcPr>
            <w:tcW w:w="1265" w:type="dxa"/>
            <w:vAlign w:val="top"/>
          </w:tcPr>
          <w:p w14:paraId="1EDE9235">
            <w:pPr>
              <w:pStyle w:val="6"/>
              <w:spacing w:before="102" w:line="188" w:lineRule="auto"/>
              <w:ind w:left="533"/>
            </w:pPr>
            <w:r>
              <w:rPr>
                <w:spacing w:val="-5"/>
              </w:rPr>
              <w:t>30</w:t>
            </w:r>
          </w:p>
        </w:tc>
      </w:tr>
      <w:tr w14:paraId="2025A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continue"/>
            <w:tcBorders>
              <w:top w:val="nil"/>
              <w:bottom w:val="nil"/>
            </w:tcBorders>
            <w:vAlign w:val="top"/>
          </w:tcPr>
          <w:p w14:paraId="0C938E50">
            <w:pPr>
              <w:rPr>
                <w:rFonts w:ascii="Arial"/>
                <w:sz w:val="21"/>
              </w:rPr>
            </w:pPr>
          </w:p>
        </w:tc>
        <w:tc>
          <w:tcPr>
            <w:tcW w:w="2360" w:type="dxa"/>
            <w:vAlign w:val="top"/>
          </w:tcPr>
          <w:p w14:paraId="1BB025A4">
            <w:pPr>
              <w:spacing w:before="66" w:line="219" w:lineRule="auto"/>
              <w:ind w:left="662"/>
              <w:rPr>
                <w:rFonts w:ascii="宋体" w:hAnsi="宋体" w:eastAsia="宋体" w:cs="宋体"/>
                <w:sz w:val="21"/>
                <w:szCs w:val="21"/>
              </w:rPr>
            </w:pPr>
            <w:r>
              <w:rPr>
                <w:rFonts w:ascii="宋体" w:hAnsi="宋体" w:eastAsia="宋体" w:cs="宋体"/>
                <w:spacing w:val="-2"/>
                <w:sz w:val="21"/>
                <w:szCs w:val="21"/>
              </w:rPr>
              <w:t>玻璃钢风机</w:t>
            </w:r>
          </w:p>
        </w:tc>
        <w:tc>
          <w:tcPr>
            <w:tcW w:w="3088" w:type="dxa"/>
            <w:vAlign w:val="top"/>
          </w:tcPr>
          <w:p w14:paraId="2B41E7A8">
            <w:pPr>
              <w:pStyle w:val="6"/>
              <w:spacing w:before="66" w:line="220" w:lineRule="auto"/>
              <w:ind w:left="1209"/>
              <w:rPr>
                <w:rFonts w:ascii="宋体" w:hAnsi="宋体" w:eastAsia="宋体" w:cs="宋体"/>
              </w:rPr>
            </w:pPr>
            <w:r>
              <w:rPr>
                <w:spacing w:val="-4"/>
              </w:rPr>
              <w:t>36</w:t>
            </w:r>
            <w:r>
              <w:rPr>
                <w:spacing w:val="12"/>
              </w:rPr>
              <w:t xml:space="preserve"> </w:t>
            </w:r>
            <w:r>
              <w:rPr>
                <w:rFonts w:ascii="宋体" w:hAnsi="宋体" w:eastAsia="宋体" w:cs="宋体"/>
                <w:spacing w:val="-4"/>
              </w:rPr>
              <w:t>英寸</w:t>
            </w:r>
          </w:p>
        </w:tc>
        <w:tc>
          <w:tcPr>
            <w:tcW w:w="597" w:type="dxa"/>
            <w:vAlign w:val="top"/>
          </w:tcPr>
          <w:p w14:paraId="092D2E19">
            <w:pPr>
              <w:spacing w:before="66" w:line="222" w:lineRule="auto"/>
              <w:ind w:left="216"/>
              <w:rPr>
                <w:rFonts w:ascii="宋体" w:hAnsi="宋体" w:eastAsia="宋体" w:cs="宋体"/>
                <w:sz w:val="21"/>
                <w:szCs w:val="21"/>
              </w:rPr>
            </w:pPr>
            <w:r>
              <w:rPr>
                <w:rFonts w:ascii="宋体" w:hAnsi="宋体" w:eastAsia="宋体" w:cs="宋体"/>
                <w:sz w:val="21"/>
                <w:szCs w:val="21"/>
              </w:rPr>
              <w:t>台</w:t>
            </w:r>
          </w:p>
        </w:tc>
        <w:tc>
          <w:tcPr>
            <w:tcW w:w="1265" w:type="dxa"/>
            <w:vAlign w:val="top"/>
          </w:tcPr>
          <w:p w14:paraId="1FECE26C">
            <w:pPr>
              <w:pStyle w:val="6"/>
              <w:spacing w:before="103" w:line="188" w:lineRule="auto"/>
              <w:ind w:left="528"/>
            </w:pPr>
            <w:r>
              <w:rPr>
                <w:spacing w:val="-2"/>
              </w:rPr>
              <w:t>48</w:t>
            </w:r>
          </w:p>
        </w:tc>
      </w:tr>
      <w:tr w14:paraId="389D2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0B571BF7">
            <w:pPr>
              <w:rPr>
                <w:rFonts w:ascii="Arial"/>
                <w:sz w:val="21"/>
              </w:rPr>
            </w:pPr>
          </w:p>
        </w:tc>
        <w:tc>
          <w:tcPr>
            <w:tcW w:w="2360" w:type="dxa"/>
            <w:vAlign w:val="top"/>
          </w:tcPr>
          <w:p w14:paraId="36B9C82C">
            <w:pPr>
              <w:spacing w:before="66" w:line="220" w:lineRule="auto"/>
              <w:ind w:left="554"/>
              <w:rPr>
                <w:rFonts w:ascii="宋体" w:hAnsi="宋体" w:eastAsia="宋体" w:cs="宋体"/>
                <w:sz w:val="21"/>
                <w:szCs w:val="21"/>
              </w:rPr>
            </w:pPr>
            <w:r>
              <w:rPr>
                <w:rFonts w:ascii="宋体" w:hAnsi="宋体" w:eastAsia="宋体" w:cs="宋体"/>
                <w:spacing w:val="-2"/>
                <w:sz w:val="21"/>
                <w:szCs w:val="21"/>
              </w:rPr>
              <w:t>无动力百叶窗</w:t>
            </w:r>
          </w:p>
        </w:tc>
        <w:tc>
          <w:tcPr>
            <w:tcW w:w="3088" w:type="dxa"/>
            <w:vAlign w:val="top"/>
          </w:tcPr>
          <w:p w14:paraId="13D69B93">
            <w:pPr>
              <w:pStyle w:val="6"/>
              <w:spacing w:before="66" w:line="221" w:lineRule="auto"/>
              <w:ind w:left="672"/>
            </w:pPr>
            <w:r>
              <w:rPr>
                <w:rFonts w:ascii="宋体" w:hAnsi="宋体" w:eastAsia="宋体" w:cs="宋体"/>
                <w:spacing w:val="-3"/>
              </w:rPr>
              <w:t>洞口</w:t>
            </w:r>
            <w:r>
              <w:rPr>
                <w:rFonts w:ascii="宋体" w:hAnsi="宋体" w:eastAsia="宋体" w:cs="宋体"/>
                <w:spacing w:val="-24"/>
              </w:rPr>
              <w:t xml:space="preserve"> </w:t>
            </w:r>
            <w:r>
              <w:rPr>
                <w:spacing w:val="-3"/>
              </w:rPr>
              <w:t>1055×1025mm</w:t>
            </w:r>
          </w:p>
        </w:tc>
        <w:tc>
          <w:tcPr>
            <w:tcW w:w="597" w:type="dxa"/>
            <w:vAlign w:val="top"/>
          </w:tcPr>
          <w:p w14:paraId="4A1035E5">
            <w:pPr>
              <w:pStyle w:val="6"/>
              <w:spacing w:before="51" w:line="215" w:lineRule="auto"/>
              <w:ind w:left="183"/>
              <w:rPr>
                <w:sz w:val="14"/>
                <w:szCs w:val="14"/>
              </w:rPr>
            </w:pPr>
            <w:r>
              <w:rPr>
                <w:spacing w:val="-1"/>
                <w:position w:val="-4"/>
              </w:rPr>
              <w:t>m</w:t>
            </w:r>
            <w:r>
              <w:rPr>
                <w:spacing w:val="-1"/>
                <w:position w:val="5"/>
                <w:sz w:val="14"/>
                <w:szCs w:val="14"/>
              </w:rPr>
              <w:t>2</w:t>
            </w:r>
          </w:p>
        </w:tc>
        <w:tc>
          <w:tcPr>
            <w:tcW w:w="1265" w:type="dxa"/>
            <w:vAlign w:val="top"/>
          </w:tcPr>
          <w:p w14:paraId="2CBFC716">
            <w:pPr>
              <w:pStyle w:val="6"/>
              <w:spacing w:before="103" w:line="188" w:lineRule="auto"/>
              <w:ind w:left="454"/>
            </w:pPr>
            <w:r>
              <w:rPr>
                <w:spacing w:val="-2"/>
              </w:rPr>
              <w:t>90.8</w:t>
            </w:r>
          </w:p>
        </w:tc>
      </w:tr>
      <w:tr w14:paraId="4A4E5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tcBorders>
            <w:vAlign w:val="top"/>
          </w:tcPr>
          <w:p w14:paraId="0EF51BB1">
            <w:pPr>
              <w:rPr>
                <w:rFonts w:ascii="Arial"/>
                <w:sz w:val="21"/>
              </w:rPr>
            </w:pPr>
          </w:p>
        </w:tc>
        <w:tc>
          <w:tcPr>
            <w:tcW w:w="2360" w:type="dxa"/>
            <w:vAlign w:val="top"/>
          </w:tcPr>
          <w:p w14:paraId="26C194EE">
            <w:pPr>
              <w:spacing w:before="67" w:line="220" w:lineRule="auto"/>
              <w:ind w:left="973"/>
              <w:rPr>
                <w:rFonts w:ascii="宋体" w:hAnsi="宋体" w:eastAsia="宋体" w:cs="宋体"/>
                <w:sz w:val="21"/>
                <w:szCs w:val="21"/>
              </w:rPr>
            </w:pPr>
            <w:r>
              <w:rPr>
                <w:rFonts w:ascii="宋体" w:hAnsi="宋体" w:eastAsia="宋体" w:cs="宋体"/>
                <w:spacing w:val="-3"/>
                <w:sz w:val="21"/>
                <w:szCs w:val="21"/>
              </w:rPr>
              <w:t>湿帘</w:t>
            </w:r>
          </w:p>
        </w:tc>
        <w:tc>
          <w:tcPr>
            <w:tcW w:w="3088" w:type="dxa"/>
            <w:vAlign w:val="top"/>
          </w:tcPr>
          <w:p w14:paraId="3466C62B">
            <w:pPr>
              <w:pStyle w:val="6"/>
              <w:spacing w:before="103" w:line="188" w:lineRule="auto"/>
              <w:ind w:left="1088"/>
            </w:pPr>
            <w:r>
              <w:rPr>
                <w:spacing w:val="-1"/>
              </w:rPr>
              <w:t>4.2×1.66m</w:t>
            </w:r>
          </w:p>
        </w:tc>
        <w:tc>
          <w:tcPr>
            <w:tcW w:w="597" w:type="dxa"/>
            <w:vAlign w:val="top"/>
          </w:tcPr>
          <w:p w14:paraId="2D51281C">
            <w:pPr>
              <w:pStyle w:val="6"/>
              <w:spacing w:before="52" w:line="215" w:lineRule="auto"/>
              <w:ind w:left="183"/>
              <w:rPr>
                <w:sz w:val="14"/>
                <w:szCs w:val="14"/>
              </w:rPr>
            </w:pPr>
            <w:r>
              <w:rPr>
                <w:spacing w:val="-1"/>
                <w:position w:val="-4"/>
              </w:rPr>
              <w:t>m</w:t>
            </w:r>
            <w:r>
              <w:rPr>
                <w:spacing w:val="-1"/>
                <w:position w:val="5"/>
                <w:sz w:val="14"/>
                <w:szCs w:val="14"/>
              </w:rPr>
              <w:t>2</w:t>
            </w:r>
          </w:p>
        </w:tc>
        <w:tc>
          <w:tcPr>
            <w:tcW w:w="1265" w:type="dxa"/>
            <w:vAlign w:val="top"/>
          </w:tcPr>
          <w:p w14:paraId="6AC0598E">
            <w:pPr>
              <w:pStyle w:val="6"/>
              <w:spacing w:before="103" w:line="188" w:lineRule="auto"/>
              <w:ind w:left="397"/>
            </w:pPr>
            <w:r>
              <w:rPr>
                <w:spacing w:val="-1"/>
              </w:rPr>
              <w:t>215.8</w:t>
            </w:r>
          </w:p>
        </w:tc>
      </w:tr>
      <w:tr w14:paraId="16C71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restart"/>
            <w:tcBorders>
              <w:bottom w:val="nil"/>
            </w:tcBorders>
            <w:vAlign w:val="top"/>
          </w:tcPr>
          <w:p w14:paraId="2B820F68">
            <w:pPr>
              <w:spacing w:line="243" w:lineRule="auto"/>
              <w:rPr>
                <w:rFonts w:ascii="Arial"/>
                <w:sz w:val="21"/>
              </w:rPr>
            </w:pPr>
          </w:p>
          <w:p w14:paraId="5BC97986">
            <w:pPr>
              <w:spacing w:line="243" w:lineRule="auto"/>
              <w:rPr>
                <w:rFonts w:ascii="Arial"/>
                <w:sz w:val="21"/>
              </w:rPr>
            </w:pPr>
          </w:p>
          <w:p w14:paraId="292E1893">
            <w:pPr>
              <w:spacing w:line="243" w:lineRule="auto"/>
              <w:rPr>
                <w:rFonts w:ascii="Arial"/>
                <w:sz w:val="21"/>
              </w:rPr>
            </w:pPr>
          </w:p>
          <w:p w14:paraId="7DE54278">
            <w:pPr>
              <w:spacing w:line="243" w:lineRule="auto"/>
              <w:rPr>
                <w:rFonts w:ascii="Arial"/>
                <w:sz w:val="21"/>
              </w:rPr>
            </w:pPr>
          </w:p>
          <w:p w14:paraId="087A3D6E">
            <w:pPr>
              <w:spacing w:line="244" w:lineRule="auto"/>
              <w:rPr>
                <w:rFonts w:ascii="Arial"/>
                <w:sz w:val="21"/>
              </w:rPr>
            </w:pPr>
          </w:p>
          <w:p w14:paraId="026ECF62">
            <w:pPr>
              <w:spacing w:line="244" w:lineRule="auto"/>
              <w:rPr>
                <w:rFonts w:ascii="Arial"/>
                <w:sz w:val="21"/>
              </w:rPr>
            </w:pPr>
          </w:p>
          <w:p w14:paraId="1FE5A423">
            <w:pPr>
              <w:spacing w:line="244" w:lineRule="auto"/>
              <w:rPr>
                <w:rFonts w:ascii="Arial"/>
                <w:sz w:val="21"/>
              </w:rPr>
            </w:pPr>
          </w:p>
          <w:p w14:paraId="1569EE33">
            <w:pPr>
              <w:spacing w:before="69" w:line="219" w:lineRule="auto"/>
              <w:ind w:left="203"/>
              <w:rPr>
                <w:rFonts w:ascii="宋体" w:hAnsi="宋体" w:eastAsia="宋体" w:cs="宋体"/>
                <w:sz w:val="21"/>
                <w:szCs w:val="21"/>
              </w:rPr>
            </w:pPr>
            <w:r>
              <w:rPr>
                <w:rFonts w:ascii="宋体" w:hAnsi="宋体" w:eastAsia="宋体" w:cs="宋体"/>
                <w:spacing w:val="-4"/>
                <w:sz w:val="21"/>
                <w:szCs w:val="21"/>
              </w:rPr>
              <w:t>育肥舍</w:t>
            </w:r>
          </w:p>
        </w:tc>
        <w:tc>
          <w:tcPr>
            <w:tcW w:w="2360" w:type="dxa"/>
            <w:vAlign w:val="top"/>
          </w:tcPr>
          <w:p w14:paraId="6644E1B4">
            <w:pPr>
              <w:spacing w:before="67" w:line="219" w:lineRule="auto"/>
              <w:ind w:left="771"/>
              <w:rPr>
                <w:rFonts w:ascii="宋体" w:hAnsi="宋体" w:eastAsia="宋体" w:cs="宋体"/>
                <w:sz w:val="21"/>
                <w:szCs w:val="21"/>
              </w:rPr>
            </w:pPr>
            <w:r>
              <w:rPr>
                <w:rFonts w:ascii="宋体" w:hAnsi="宋体" w:eastAsia="宋体" w:cs="宋体"/>
                <w:spacing w:val="-4"/>
                <w:sz w:val="21"/>
                <w:szCs w:val="21"/>
              </w:rPr>
              <w:t>育肥大栏</w:t>
            </w:r>
          </w:p>
        </w:tc>
        <w:tc>
          <w:tcPr>
            <w:tcW w:w="3088" w:type="dxa"/>
            <w:vAlign w:val="top"/>
          </w:tcPr>
          <w:p w14:paraId="2BCAB539">
            <w:pPr>
              <w:pStyle w:val="6"/>
              <w:spacing w:before="100" w:line="192" w:lineRule="auto"/>
              <w:ind w:left="403"/>
            </w:pPr>
            <w:r>
              <w:rPr>
                <w:spacing w:val="-1"/>
              </w:rPr>
              <w:t>8000×5300/8000×4500mm</w:t>
            </w:r>
          </w:p>
        </w:tc>
        <w:tc>
          <w:tcPr>
            <w:tcW w:w="597" w:type="dxa"/>
            <w:vAlign w:val="top"/>
          </w:tcPr>
          <w:p w14:paraId="419063D1">
            <w:pPr>
              <w:spacing w:before="68"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14330617">
            <w:pPr>
              <w:pStyle w:val="6"/>
              <w:spacing w:before="104" w:line="188" w:lineRule="auto"/>
              <w:ind w:left="480"/>
            </w:pPr>
            <w:r>
              <w:rPr>
                <w:spacing w:val="-3"/>
              </w:rPr>
              <w:t>900</w:t>
            </w:r>
          </w:p>
        </w:tc>
      </w:tr>
      <w:tr w14:paraId="52363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21EC77F1">
            <w:pPr>
              <w:rPr>
                <w:rFonts w:ascii="Arial"/>
                <w:sz w:val="21"/>
              </w:rPr>
            </w:pPr>
          </w:p>
        </w:tc>
        <w:tc>
          <w:tcPr>
            <w:tcW w:w="2360" w:type="dxa"/>
            <w:vAlign w:val="top"/>
          </w:tcPr>
          <w:p w14:paraId="7A39902C">
            <w:pPr>
              <w:pStyle w:val="6"/>
              <w:spacing w:before="67" w:line="220" w:lineRule="auto"/>
              <w:ind w:left="553"/>
              <w:rPr>
                <w:rFonts w:ascii="宋体" w:hAnsi="宋体" w:eastAsia="宋体" w:cs="宋体"/>
              </w:rPr>
            </w:pPr>
            <w:r>
              <w:rPr>
                <w:rFonts w:ascii="宋体" w:hAnsi="宋体" w:eastAsia="宋体" w:cs="宋体"/>
                <w:spacing w:val="-6"/>
              </w:rPr>
              <w:t>双面</w:t>
            </w:r>
            <w:r>
              <w:rPr>
                <w:rFonts w:ascii="宋体" w:hAnsi="宋体" w:eastAsia="宋体" w:cs="宋体"/>
                <w:spacing w:val="-35"/>
              </w:rPr>
              <w:t xml:space="preserve"> </w:t>
            </w:r>
            <w:r>
              <w:rPr>
                <w:spacing w:val="-6"/>
              </w:rPr>
              <w:t>8</w:t>
            </w:r>
            <w:r>
              <w:rPr>
                <w:spacing w:val="10"/>
              </w:rPr>
              <w:t xml:space="preserve"> </w:t>
            </w:r>
            <w:r>
              <w:rPr>
                <w:rFonts w:ascii="宋体" w:hAnsi="宋体" w:eastAsia="宋体" w:cs="宋体"/>
                <w:spacing w:val="-6"/>
              </w:rPr>
              <w:t>孔食槽</w:t>
            </w:r>
          </w:p>
        </w:tc>
        <w:tc>
          <w:tcPr>
            <w:tcW w:w="3088" w:type="dxa"/>
            <w:vAlign w:val="top"/>
          </w:tcPr>
          <w:p w14:paraId="1AB08C74">
            <w:pPr>
              <w:pStyle w:val="6"/>
              <w:spacing w:before="67" w:line="219" w:lineRule="auto"/>
              <w:ind w:left="325"/>
              <w:rPr>
                <w:rFonts w:ascii="宋体" w:hAnsi="宋体" w:eastAsia="宋体" w:cs="宋体"/>
              </w:rPr>
            </w:pPr>
            <w:r>
              <w:rPr>
                <w:spacing w:val="-2"/>
              </w:rPr>
              <w:t>SUS304×1.2mm</w:t>
            </w:r>
            <w:r>
              <w:rPr>
                <w:rFonts w:ascii="宋体" w:hAnsi="宋体" w:eastAsia="宋体" w:cs="宋体"/>
                <w:spacing w:val="-2"/>
              </w:rPr>
              <w:t>，育肥料槽</w:t>
            </w:r>
          </w:p>
        </w:tc>
        <w:tc>
          <w:tcPr>
            <w:tcW w:w="597" w:type="dxa"/>
            <w:vAlign w:val="top"/>
          </w:tcPr>
          <w:p w14:paraId="61DE33F0">
            <w:pPr>
              <w:spacing w:before="68"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0F11CB4F">
            <w:pPr>
              <w:pStyle w:val="6"/>
              <w:spacing w:before="104" w:line="188" w:lineRule="auto"/>
              <w:ind w:left="480"/>
            </w:pPr>
            <w:r>
              <w:rPr>
                <w:spacing w:val="-3"/>
              </w:rPr>
              <w:t>700</w:t>
            </w:r>
          </w:p>
        </w:tc>
      </w:tr>
      <w:tr w14:paraId="56194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7BAC71DF">
            <w:pPr>
              <w:rPr>
                <w:rFonts w:ascii="Arial"/>
                <w:sz w:val="21"/>
              </w:rPr>
            </w:pPr>
          </w:p>
        </w:tc>
        <w:tc>
          <w:tcPr>
            <w:tcW w:w="2360" w:type="dxa"/>
            <w:vAlign w:val="top"/>
          </w:tcPr>
          <w:p w14:paraId="0F71DD64">
            <w:pPr>
              <w:pStyle w:val="6"/>
              <w:spacing w:before="67" w:line="220" w:lineRule="auto"/>
              <w:ind w:left="554"/>
              <w:rPr>
                <w:rFonts w:ascii="宋体" w:hAnsi="宋体" w:eastAsia="宋体" w:cs="宋体"/>
              </w:rPr>
            </w:pPr>
            <w:r>
              <w:rPr>
                <w:rFonts w:ascii="宋体" w:hAnsi="宋体" w:eastAsia="宋体" w:cs="宋体"/>
                <w:spacing w:val="-4"/>
              </w:rPr>
              <w:t>单面</w:t>
            </w:r>
            <w:r>
              <w:rPr>
                <w:rFonts w:ascii="宋体" w:hAnsi="宋体" w:eastAsia="宋体" w:cs="宋体"/>
                <w:spacing w:val="-49"/>
              </w:rPr>
              <w:t xml:space="preserve"> </w:t>
            </w:r>
            <w:r>
              <w:rPr>
                <w:spacing w:val="-4"/>
              </w:rPr>
              <w:t>4</w:t>
            </w:r>
            <w:r>
              <w:rPr>
                <w:spacing w:val="10"/>
              </w:rPr>
              <w:t xml:space="preserve"> </w:t>
            </w:r>
            <w:r>
              <w:rPr>
                <w:rFonts w:ascii="宋体" w:hAnsi="宋体" w:eastAsia="宋体" w:cs="宋体"/>
                <w:spacing w:val="-4"/>
              </w:rPr>
              <w:t>孔食槽</w:t>
            </w:r>
          </w:p>
        </w:tc>
        <w:tc>
          <w:tcPr>
            <w:tcW w:w="3088" w:type="dxa"/>
            <w:vAlign w:val="top"/>
          </w:tcPr>
          <w:p w14:paraId="7E23AAA5">
            <w:pPr>
              <w:pStyle w:val="6"/>
              <w:spacing w:before="68" w:line="219" w:lineRule="auto"/>
              <w:ind w:left="325"/>
              <w:rPr>
                <w:rFonts w:ascii="宋体" w:hAnsi="宋体" w:eastAsia="宋体" w:cs="宋体"/>
              </w:rPr>
            </w:pPr>
            <w:r>
              <w:rPr>
                <w:spacing w:val="-2"/>
              </w:rPr>
              <w:t>SUS304×1.2mm</w:t>
            </w:r>
            <w:r>
              <w:rPr>
                <w:rFonts w:ascii="宋体" w:hAnsi="宋体" w:eastAsia="宋体" w:cs="宋体"/>
                <w:spacing w:val="-2"/>
              </w:rPr>
              <w:t>，育肥料槽</w:t>
            </w:r>
          </w:p>
        </w:tc>
        <w:tc>
          <w:tcPr>
            <w:tcW w:w="597" w:type="dxa"/>
            <w:vAlign w:val="top"/>
          </w:tcPr>
          <w:p w14:paraId="3A133F19">
            <w:pPr>
              <w:spacing w:before="68"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6B448630">
            <w:pPr>
              <w:pStyle w:val="6"/>
              <w:spacing w:before="104" w:line="188" w:lineRule="auto"/>
              <w:ind w:left="476"/>
            </w:pPr>
            <w:r>
              <w:rPr>
                <w:spacing w:val="-2"/>
              </w:rPr>
              <w:t>200</w:t>
            </w:r>
          </w:p>
        </w:tc>
      </w:tr>
      <w:tr w14:paraId="3BB34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continue"/>
            <w:tcBorders>
              <w:top w:val="nil"/>
              <w:bottom w:val="nil"/>
            </w:tcBorders>
            <w:vAlign w:val="top"/>
          </w:tcPr>
          <w:p w14:paraId="619ECD1E">
            <w:pPr>
              <w:rPr>
                <w:rFonts w:ascii="Arial"/>
                <w:sz w:val="21"/>
              </w:rPr>
            </w:pPr>
          </w:p>
        </w:tc>
        <w:tc>
          <w:tcPr>
            <w:tcW w:w="2360" w:type="dxa"/>
            <w:vAlign w:val="top"/>
          </w:tcPr>
          <w:p w14:paraId="69C87C40">
            <w:pPr>
              <w:spacing w:before="68" w:line="220" w:lineRule="auto"/>
              <w:ind w:left="868"/>
              <w:rPr>
                <w:rFonts w:ascii="宋体" w:hAnsi="宋体" w:eastAsia="宋体" w:cs="宋体"/>
                <w:sz w:val="21"/>
                <w:szCs w:val="21"/>
              </w:rPr>
            </w:pPr>
            <w:r>
              <w:rPr>
                <w:rFonts w:ascii="宋体" w:hAnsi="宋体" w:eastAsia="宋体" w:cs="宋体"/>
                <w:spacing w:val="-2"/>
                <w:sz w:val="21"/>
                <w:szCs w:val="21"/>
              </w:rPr>
              <w:t>饮水盘</w:t>
            </w:r>
          </w:p>
        </w:tc>
        <w:tc>
          <w:tcPr>
            <w:tcW w:w="3088" w:type="dxa"/>
            <w:vAlign w:val="top"/>
          </w:tcPr>
          <w:p w14:paraId="5FE6B8A6">
            <w:pPr>
              <w:pStyle w:val="6"/>
              <w:spacing w:before="105" w:line="188" w:lineRule="auto"/>
              <w:ind w:left="1204"/>
            </w:pPr>
            <w:r>
              <w:rPr>
                <w:spacing w:val="-3"/>
              </w:rPr>
              <w:t>SUS304</w:t>
            </w:r>
          </w:p>
        </w:tc>
        <w:tc>
          <w:tcPr>
            <w:tcW w:w="597" w:type="dxa"/>
            <w:vAlign w:val="top"/>
          </w:tcPr>
          <w:p w14:paraId="018FC84B">
            <w:pPr>
              <w:spacing w:before="69" w:line="220" w:lineRule="auto"/>
              <w:ind w:left="201"/>
              <w:rPr>
                <w:rFonts w:ascii="宋体" w:hAnsi="宋体" w:eastAsia="宋体" w:cs="宋体"/>
                <w:sz w:val="21"/>
                <w:szCs w:val="21"/>
              </w:rPr>
            </w:pPr>
            <w:r>
              <w:rPr>
                <w:rFonts w:ascii="宋体" w:hAnsi="宋体" w:eastAsia="宋体" w:cs="宋体"/>
                <w:sz w:val="21"/>
                <w:szCs w:val="21"/>
              </w:rPr>
              <w:t>套</w:t>
            </w:r>
          </w:p>
        </w:tc>
        <w:tc>
          <w:tcPr>
            <w:tcW w:w="1265" w:type="dxa"/>
            <w:vAlign w:val="top"/>
          </w:tcPr>
          <w:p w14:paraId="0BFD0FF6">
            <w:pPr>
              <w:pStyle w:val="6"/>
              <w:spacing w:before="105" w:line="188" w:lineRule="auto"/>
              <w:ind w:left="480"/>
            </w:pPr>
            <w:r>
              <w:rPr>
                <w:spacing w:val="-3"/>
              </w:rPr>
              <w:t>900</w:t>
            </w:r>
          </w:p>
        </w:tc>
      </w:tr>
      <w:tr w14:paraId="264B8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010" w:type="dxa"/>
            <w:vMerge w:val="continue"/>
            <w:tcBorders>
              <w:top w:val="nil"/>
              <w:bottom w:val="nil"/>
            </w:tcBorders>
            <w:vAlign w:val="top"/>
          </w:tcPr>
          <w:p w14:paraId="2FDD0086">
            <w:pPr>
              <w:rPr>
                <w:rFonts w:ascii="Arial"/>
                <w:sz w:val="21"/>
              </w:rPr>
            </w:pPr>
          </w:p>
        </w:tc>
        <w:tc>
          <w:tcPr>
            <w:tcW w:w="2360" w:type="dxa"/>
            <w:vAlign w:val="top"/>
          </w:tcPr>
          <w:p w14:paraId="4E85CC09">
            <w:pPr>
              <w:spacing w:before="211" w:line="220" w:lineRule="auto"/>
              <w:ind w:left="448"/>
              <w:rPr>
                <w:rFonts w:ascii="宋体" w:hAnsi="宋体" w:eastAsia="宋体" w:cs="宋体"/>
                <w:sz w:val="21"/>
                <w:szCs w:val="21"/>
              </w:rPr>
            </w:pPr>
            <w:r>
              <w:rPr>
                <w:rFonts w:ascii="宋体" w:hAnsi="宋体" w:eastAsia="宋体" w:cs="宋体"/>
                <w:spacing w:val="-2"/>
                <w:sz w:val="21"/>
                <w:szCs w:val="21"/>
              </w:rPr>
              <w:t>饮水杆及固定件</w:t>
            </w:r>
          </w:p>
        </w:tc>
        <w:tc>
          <w:tcPr>
            <w:tcW w:w="3088" w:type="dxa"/>
            <w:vAlign w:val="top"/>
          </w:tcPr>
          <w:p w14:paraId="473C9567">
            <w:pPr>
              <w:pStyle w:val="6"/>
              <w:spacing w:before="92" w:line="180" w:lineRule="auto"/>
              <w:jc w:val="right"/>
              <w:rPr>
                <w:rFonts w:ascii="宋体" w:hAnsi="宋体" w:eastAsia="宋体" w:cs="宋体"/>
              </w:rPr>
            </w:pPr>
            <w:r>
              <w:rPr>
                <w:spacing w:val="-12"/>
              </w:rPr>
              <w:t>SUS304</w:t>
            </w:r>
            <w:r>
              <w:rPr>
                <w:rFonts w:ascii="宋体" w:hAnsi="宋体" w:eastAsia="宋体" w:cs="宋体"/>
                <w:spacing w:val="-12"/>
              </w:rPr>
              <w:t>，</w:t>
            </w:r>
            <w:r>
              <w:rPr>
                <w:spacing w:val="-12"/>
              </w:rPr>
              <w:t>φ20×2.0mm</w:t>
            </w:r>
            <w:r>
              <w:rPr>
                <w:rFonts w:ascii="宋体" w:hAnsi="宋体" w:eastAsia="宋体" w:cs="宋体"/>
                <w:spacing w:val="-12"/>
              </w:rPr>
              <w:t>，</w:t>
            </w:r>
            <w:r>
              <w:rPr>
                <w:spacing w:val="-12"/>
              </w:rPr>
              <w:t>L=1000mm</w:t>
            </w:r>
            <w:r>
              <w:rPr>
                <w:rFonts w:ascii="宋体" w:hAnsi="宋体" w:eastAsia="宋体" w:cs="宋体"/>
                <w:spacing w:val="-12"/>
              </w:rPr>
              <w:t>，</w:t>
            </w:r>
          </w:p>
          <w:p w14:paraId="246DC4DC">
            <w:pPr>
              <w:spacing w:before="70" w:line="220" w:lineRule="auto"/>
              <w:ind w:left="1130"/>
              <w:rPr>
                <w:rFonts w:ascii="宋体" w:hAnsi="宋体" w:eastAsia="宋体" w:cs="宋体"/>
                <w:sz w:val="21"/>
                <w:szCs w:val="21"/>
              </w:rPr>
            </w:pPr>
            <w:r>
              <w:rPr>
                <w:rFonts w:ascii="宋体" w:hAnsi="宋体" w:eastAsia="宋体" w:cs="宋体"/>
                <w:spacing w:val="-2"/>
                <w:sz w:val="21"/>
                <w:szCs w:val="21"/>
              </w:rPr>
              <w:t>两头攻丝</w:t>
            </w:r>
          </w:p>
        </w:tc>
        <w:tc>
          <w:tcPr>
            <w:tcW w:w="597" w:type="dxa"/>
            <w:vAlign w:val="top"/>
          </w:tcPr>
          <w:p w14:paraId="286CE302">
            <w:pPr>
              <w:spacing w:before="211" w:line="220" w:lineRule="auto"/>
              <w:ind w:left="199"/>
              <w:rPr>
                <w:rFonts w:ascii="宋体" w:hAnsi="宋体" w:eastAsia="宋体" w:cs="宋体"/>
                <w:sz w:val="21"/>
                <w:szCs w:val="21"/>
              </w:rPr>
            </w:pPr>
            <w:r>
              <w:rPr>
                <w:rFonts w:ascii="宋体" w:hAnsi="宋体" w:eastAsia="宋体" w:cs="宋体"/>
                <w:sz w:val="21"/>
                <w:szCs w:val="21"/>
              </w:rPr>
              <w:t>件</w:t>
            </w:r>
          </w:p>
        </w:tc>
        <w:tc>
          <w:tcPr>
            <w:tcW w:w="1265" w:type="dxa"/>
            <w:vAlign w:val="top"/>
          </w:tcPr>
          <w:p w14:paraId="3C70EF82">
            <w:pPr>
              <w:pStyle w:val="6"/>
              <w:spacing w:before="248" w:line="188" w:lineRule="auto"/>
              <w:ind w:left="480"/>
            </w:pPr>
            <w:r>
              <w:rPr>
                <w:spacing w:val="-3"/>
              </w:rPr>
              <w:t>900</w:t>
            </w:r>
          </w:p>
        </w:tc>
      </w:tr>
      <w:tr w14:paraId="1F1E9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continue"/>
            <w:tcBorders>
              <w:top w:val="nil"/>
              <w:bottom w:val="nil"/>
            </w:tcBorders>
            <w:vAlign w:val="top"/>
          </w:tcPr>
          <w:p w14:paraId="61E7489E">
            <w:pPr>
              <w:rPr>
                <w:rFonts w:ascii="Arial"/>
                <w:sz w:val="21"/>
              </w:rPr>
            </w:pPr>
          </w:p>
        </w:tc>
        <w:tc>
          <w:tcPr>
            <w:tcW w:w="2360" w:type="dxa"/>
            <w:vAlign w:val="top"/>
          </w:tcPr>
          <w:p w14:paraId="4A2722A7">
            <w:pPr>
              <w:spacing w:before="68" w:line="219" w:lineRule="auto"/>
              <w:ind w:left="662"/>
              <w:rPr>
                <w:rFonts w:ascii="宋体" w:hAnsi="宋体" w:eastAsia="宋体" w:cs="宋体"/>
                <w:sz w:val="21"/>
                <w:szCs w:val="21"/>
              </w:rPr>
            </w:pPr>
            <w:r>
              <w:rPr>
                <w:rFonts w:ascii="宋体" w:hAnsi="宋体" w:eastAsia="宋体" w:cs="宋体"/>
                <w:spacing w:val="-2"/>
                <w:sz w:val="21"/>
                <w:szCs w:val="21"/>
              </w:rPr>
              <w:t>玻璃钢风机</w:t>
            </w:r>
          </w:p>
        </w:tc>
        <w:tc>
          <w:tcPr>
            <w:tcW w:w="3088" w:type="dxa"/>
            <w:vAlign w:val="top"/>
          </w:tcPr>
          <w:p w14:paraId="3E6FCAC3">
            <w:pPr>
              <w:pStyle w:val="6"/>
              <w:spacing w:before="68" w:line="220" w:lineRule="auto"/>
              <w:ind w:left="1209"/>
              <w:rPr>
                <w:rFonts w:ascii="宋体" w:hAnsi="宋体" w:eastAsia="宋体" w:cs="宋体"/>
              </w:rPr>
            </w:pPr>
            <w:r>
              <w:rPr>
                <w:spacing w:val="-4"/>
              </w:rPr>
              <w:t>36</w:t>
            </w:r>
            <w:r>
              <w:rPr>
                <w:spacing w:val="12"/>
              </w:rPr>
              <w:t xml:space="preserve"> </w:t>
            </w:r>
            <w:r>
              <w:rPr>
                <w:rFonts w:ascii="宋体" w:hAnsi="宋体" w:eastAsia="宋体" w:cs="宋体"/>
                <w:spacing w:val="-4"/>
              </w:rPr>
              <w:t>英寸</w:t>
            </w:r>
          </w:p>
        </w:tc>
        <w:tc>
          <w:tcPr>
            <w:tcW w:w="597" w:type="dxa"/>
            <w:vAlign w:val="top"/>
          </w:tcPr>
          <w:p w14:paraId="37DE7046">
            <w:pPr>
              <w:spacing w:before="68" w:line="222" w:lineRule="auto"/>
              <w:ind w:left="216"/>
              <w:rPr>
                <w:rFonts w:ascii="宋体" w:hAnsi="宋体" w:eastAsia="宋体" w:cs="宋体"/>
                <w:sz w:val="21"/>
                <w:szCs w:val="21"/>
              </w:rPr>
            </w:pPr>
            <w:r>
              <w:rPr>
                <w:rFonts w:ascii="宋体" w:hAnsi="宋体" w:eastAsia="宋体" w:cs="宋体"/>
                <w:sz w:val="21"/>
                <w:szCs w:val="21"/>
              </w:rPr>
              <w:t>台</w:t>
            </w:r>
          </w:p>
        </w:tc>
        <w:tc>
          <w:tcPr>
            <w:tcW w:w="1265" w:type="dxa"/>
            <w:vAlign w:val="top"/>
          </w:tcPr>
          <w:p w14:paraId="46432856">
            <w:pPr>
              <w:pStyle w:val="6"/>
              <w:spacing w:before="105" w:line="188" w:lineRule="auto"/>
              <w:ind w:left="528"/>
            </w:pPr>
            <w:r>
              <w:rPr>
                <w:spacing w:val="-2"/>
              </w:rPr>
              <w:t>45</w:t>
            </w:r>
          </w:p>
        </w:tc>
      </w:tr>
      <w:tr w14:paraId="43540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33CB33A2">
            <w:pPr>
              <w:rPr>
                <w:rFonts w:ascii="Arial"/>
                <w:sz w:val="21"/>
              </w:rPr>
            </w:pPr>
          </w:p>
        </w:tc>
        <w:tc>
          <w:tcPr>
            <w:tcW w:w="2360" w:type="dxa"/>
            <w:vAlign w:val="top"/>
          </w:tcPr>
          <w:p w14:paraId="453D116C">
            <w:pPr>
              <w:spacing w:before="68" w:line="219" w:lineRule="auto"/>
              <w:ind w:left="662"/>
              <w:rPr>
                <w:rFonts w:ascii="宋体" w:hAnsi="宋体" w:eastAsia="宋体" w:cs="宋体"/>
                <w:sz w:val="21"/>
                <w:szCs w:val="21"/>
              </w:rPr>
            </w:pPr>
            <w:r>
              <w:rPr>
                <w:rFonts w:ascii="宋体" w:hAnsi="宋体" w:eastAsia="宋体" w:cs="宋体"/>
                <w:spacing w:val="-2"/>
                <w:sz w:val="21"/>
                <w:szCs w:val="21"/>
              </w:rPr>
              <w:t>玻璃钢风机</w:t>
            </w:r>
          </w:p>
        </w:tc>
        <w:tc>
          <w:tcPr>
            <w:tcW w:w="3088" w:type="dxa"/>
            <w:vAlign w:val="top"/>
          </w:tcPr>
          <w:p w14:paraId="1352102C">
            <w:pPr>
              <w:pStyle w:val="6"/>
              <w:spacing w:before="68" w:line="220" w:lineRule="auto"/>
              <w:ind w:left="1210"/>
              <w:rPr>
                <w:rFonts w:ascii="宋体" w:hAnsi="宋体" w:eastAsia="宋体" w:cs="宋体"/>
              </w:rPr>
            </w:pPr>
            <w:r>
              <w:rPr>
                <w:spacing w:val="-4"/>
              </w:rPr>
              <w:t>51</w:t>
            </w:r>
            <w:r>
              <w:rPr>
                <w:spacing w:val="10"/>
              </w:rPr>
              <w:t xml:space="preserve"> </w:t>
            </w:r>
            <w:r>
              <w:rPr>
                <w:rFonts w:ascii="宋体" w:hAnsi="宋体" w:eastAsia="宋体" w:cs="宋体"/>
                <w:spacing w:val="-4"/>
              </w:rPr>
              <w:t>英寸</w:t>
            </w:r>
          </w:p>
        </w:tc>
        <w:tc>
          <w:tcPr>
            <w:tcW w:w="597" w:type="dxa"/>
            <w:vAlign w:val="top"/>
          </w:tcPr>
          <w:p w14:paraId="221FA27B">
            <w:pPr>
              <w:spacing w:before="68" w:line="222" w:lineRule="auto"/>
              <w:ind w:left="216"/>
              <w:rPr>
                <w:rFonts w:ascii="宋体" w:hAnsi="宋体" w:eastAsia="宋体" w:cs="宋体"/>
                <w:sz w:val="21"/>
                <w:szCs w:val="21"/>
              </w:rPr>
            </w:pPr>
            <w:r>
              <w:rPr>
                <w:rFonts w:ascii="宋体" w:hAnsi="宋体" w:eastAsia="宋体" w:cs="宋体"/>
                <w:sz w:val="21"/>
                <w:szCs w:val="21"/>
              </w:rPr>
              <w:t>台</w:t>
            </w:r>
          </w:p>
        </w:tc>
        <w:tc>
          <w:tcPr>
            <w:tcW w:w="1265" w:type="dxa"/>
            <w:vAlign w:val="top"/>
          </w:tcPr>
          <w:p w14:paraId="4EB2A7DE">
            <w:pPr>
              <w:pStyle w:val="6"/>
              <w:spacing w:before="105" w:line="188" w:lineRule="auto"/>
              <w:ind w:left="533"/>
            </w:pPr>
            <w:r>
              <w:rPr>
                <w:spacing w:val="-4"/>
              </w:rPr>
              <w:t>90</w:t>
            </w:r>
          </w:p>
        </w:tc>
      </w:tr>
      <w:tr w14:paraId="14F08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520EBAA7">
            <w:pPr>
              <w:rPr>
                <w:rFonts w:ascii="Arial"/>
                <w:sz w:val="21"/>
              </w:rPr>
            </w:pPr>
          </w:p>
        </w:tc>
        <w:tc>
          <w:tcPr>
            <w:tcW w:w="2360" w:type="dxa"/>
            <w:vAlign w:val="top"/>
          </w:tcPr>
          <w:p w14:paraId="754E4284">
            <w:pPr>
              <w:spacing w:before="69" w:line="219" w:lineRule="auto"/>
              <w:ind w:left="662"/>
              <w:rPr>
                <w:rFonts w:ascii="宋体" w:hAnsi="宋体" w:eastAsia="宋体" w:cs="宋体"/>
                <w:sz w:val="21"/>
                <w:szCs w:val="21"/>
              </w:rPr>
            </w:pPr>
            <w:r>
              <w:rPr>
                <w:rFonts w:ascii="宋体" w:hAnsi="宋体" w:eastAsia="宋体" w:cs="宋体"/>
                <w:spacing w:val="-2"/>
                <w:sz w:val="21"/>
                <w:szCs w:val="21"/>
              </w:rPr>
              <w:t>玻璃钢风机</w:t>
            </w:r>
          </w:p>
        </w:tc>
        <w:tc>
          <w:tcPr>
            <w:tcW w:w="3088" w:type="dxa"/>
            <w:vAlign w:val="top"/>
          </w:tcPr>
          <w:p w14:paraId="52496732">
            <w:pPr>
              <w:pStyle w:val="6"/>
              <w:spacing w:before="68" w:line="220" w:lineRule="auto"/>
              <w:ind w:left="1210"/>
              <w:rPr>
                <w:rFonts w:ascii="宋体" w:hAnsi="宋体" w:eastAsia="宋体" w:cs="宋体"/>
              </w:rPr>
            </w:pPr>
            <w:r>
              <w:rPr>
                <w:spacing w:val="-4"/>
              </w:rPr>
              <w:t>55</w:t>
            </w:r>
            <w:r>
              <w:rPr>
                <w:spacing w:val="10"/>
              </w:rPr>
              <w:t xml:space="preserve"> </w:t>
            </w:r>
            <w:r>
              <w:rPr>
                <w:rFonts w:ascii="宋体" w:hAnsi="宋体" w:eastAsia="宋体" w:cs="宋体"/>
                <w:spacing w:val="-4"/>
              </w:rPr>
              <w:t>英寸</w:t>
            </w:r>
          </w:p>
        </w:tc>
        <w:tc>
          <w:tcPr>
            <w:tcW w:w="597" w:type="dxa"/>
            <w:vAlign w:val="top"/>
          </w:tcPr>
          <w:p w14:paraId="7A7FFA20">
            <w:pPr>
              <w:spacing w:before="69" w:line="222" w:lineRule="auto"/>
              <w:ind w:left="216"/>
              <w:rPr>
                <w:rFonts w:ascii="宋体" w:hAnsi="宋体" w:eastAsia="宋体" w:cs="宋体"/>
                <w:sz w:val="21"/>
                <w:szCs w:val="21"/>
              </w:rPr>
            </w:pPr>
            <w:r>
              <w:rPr>
                <w:rFonts w:ascii="宋体" w:hAnsi="宋体" w:eastAsia="宋体" w:cs="宋体"/>
                <w:sz w:val="21"/>
                <w:szCs w:val="21"/>
              </w:rPr>
              <w:t>台</w:t>
            </w:r>
          </w:p>
        </w:tc>
        <w:tc>
          <w:tcPr>
            <w:tcW w:w="1265" w:type="dxa"/>
            <w:vAlign w:val="top"/>
          </w:tcPr>
          <w:p w14:paraId="5BAEEDF0">
            <w:pPr>
              <w:pStyle w:val="6"/>
              <w:spacing w:before="105" w:line="188" w:lineRule="auto"/>
              <w:ind w:left="496"/>
            </w:pPr>
            <w:r>
              <w:rPr>
                <w:spacing w:val="-9"/>
              </w:rPr>
              <w:t>180</w:t>
            </w:r>
          </w:p>
        </w:tc>
      </w:tr>
      <w:tr w14:paraId="7905C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continue"/>
            <w:tcBorders>
              <w:top w:val="nil"/>
              <w:bottom w:val="nil"/>
            </w:tcBorders>
            <w:vAlign w:val="top"/>
          </w:tcPr>
          <w:p w14:paraId="28FE17C4">
            <w:pPr>
              <w:rPr>
                <w:rFonts w:ascii="Arial"/>
                <w:sz w:val="21"/>
              </w:rPr>
            </w:pPr>
          </w:p>
        </w:tc>
        <w:tc>
          <w:tcPr>
            <w:tcW w:w="2360" w:type="dxa"/>
            <w:vAlign w:val="top"/>
          </w:tcPr>
          <w:p w14:paraId="154DC7BB">
            <w:pPr>
              <w:spacing w:before="69" w:line="220" w:lineRule="auto"/>
              <w:ind w:left="554"/>
              <w:rPr>
                <w:rFonts w:ascii="宋体" w:hAnsi="宋体" w:eastAsia="宋体" w:cs="宋体"/>
                <w:sz w:val="21"/>
                <w:szCs w:val="21"/>
              </w:rPr>
            </w:pPr>
            <w:r>
              <w:rPr>
                <w:rFonts w:ascii="宋体" w:hAnsi="宋体" w:eastAsia="宋体" w:cs="宋体"/>
                <w:spacing w:val="-2"/>
                <w:sz w:val="21"/>
                <w:szCs w:val="21"/>
              </w:rPr>
              <w:t>无动力百叶窗</w:t>
            </w:r>
          </w:p>
        </w:tc>
        <w:tc>
          <w:tcPr>
            <w:tcW w:w="3088" w:type="dxa"/>
            <w:vAlign w:val="top"/>
          </w:tcPr>
          <w:p w14:paraId="3591965B">
            <w:pPr>
              <w:pStyle w:val="6"/>
              <w:spacing w:before="69" w:line="221" w:lineRule="auto"/>
              <w:ind w:left="672"/>
            </w:pPr>
            <w:r>
              <w:rPr>
                <w:rFonts w:ascii="宋体" w:hAnsi="宋体" w:eastAsia="宋体" w:cs="宋体"/>
                <w:spacing w:val="-3"/>
              </w:rPr>
              <w:t>洞口</w:t>
            </w:r>
            <w:r>
              <w:rPr>
                <w:rFonts w:ascii="宋体" w:hAnsi="宋体" w:eastAsia="宋体" w:cs="宋体"/>
                <w:spacing w:val="-24"/>
              </w:rPr>
              <w:t xml:space="preserve"> </w:t>
            </w:r>
            <w:r>
              <w:rPr>
                <w:spacing w:val="-3"/>
              </w:rPr>
              <w:t>1055×1500mm</w:t>
            </w:r>
          </w:p>
        </w:tc>
        <w:tc>
          <w:tcPr>
            <w:tcW w:w="597" w:type="dxa"/>
            <w:vAlign w:val="top"/>
          </w:tcPr>
          <w:p w14:paraId="438FB513">
            <w:pPr>
              <w:pStyle w:val="6"/>
              <w:spacing w:before="54" w:line="215" w:lineRule="auto"/>
              <w:ind w:left="183"/>
              <w:rPr>
                <w:sz w:val="14"/>
                <w:szCs w:val="14"/>
              </w:rPr>
            </w:pPr>
            <w:r>
              <w:rPr>
                <w:spacing w:val="-1"/>
                <w:position w:val="-4"/>
              </w:rPr>
              <w:t>m</w:t>
            </w:r>
            <w:r>
              <w:rPr>
                <w:spacing w:val="-1"/>
                <w:position w:val="5"/>
                <w:sz w:val="14"/>
                <w:szCs w:val="14"/>
              </w:rPr>
              <w:t>2</w:t>
            </w:r>
          </w:p>
        </w:tc>
        <w:tc>
          <w:tcPr>
            <w:tcW w:w="1265" w:type="dxa"/>
            <w:vAlign w:val="top"/>
          </w:tcPr>
          <w:p w14:paraId="7CD34480">
            <w:pPr>
              <w:pStyle w:val="6"/>
              <w:spacing w:before="106" w:line="188" w:lineRule="auto"/>
              <w:ind w:left="400"/>
            </w:pPr>
            <w:r>
              <w:rPr>
                <w:spacing w:val="-2"/>
              </w:rPr>
              <w:t>712.1</w:t>
            </w:r>
          </w:p>
        </w:tc>
      </w:tr>
      <w:tr w14:paraId="5ACBF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10" w:type="dxa"/>
            <w:vMerge w:val="continue"/>
            <w:tcBorders>
              <w:top w:val="nil"/>
            </w:tcBorders>
            <w:vAlign w:val="top"/>
          </w:tcPr>
          <w:p w14:paraId="145FBB68">
            <w:pPr>
              <w:rPr>
                <w:rFonts w:ascii="Arial"/>
                <w:sz w:val="21"/>
              </w:rPr>
            </w:pPr>
          </w:p>
        </w:tc>
        <w:tc>
          <w:tcPr>
            <w:tcW w:w="2360" w:type="dxa"/>
            <w:vAlign w:val="top"/>
          </w:tcPr>
          <w:p w14:paraId="5B6CC5E4">
            <w:pPr>
              <w:spacing w:before="70" w:line="220" w:lineRule="auto"/>
              <w:ind w:left="973"/>
              <w:rPr>
                <w:rFonts w:ascii="宋体" w:hAnsi="宋体" w:eastAsia="宋体" w:cs="宋体"/>
                <w:sz w:val="21"/>
                <w:szCs w:val="21"/>
              </w:rPr>
            </w:pPr>
            <w:r>
              <w:rPr>
                <w:rFonts w:ascii="宋体" w:hAnsi="宋体" w:eastAsia="宋体" w:cs="宋体"/>
                <w:spacing w:val="-3"/>
                <w:sz w:val="21"/>
                <w:szCs w:val="21"/>
              </w:rPr>
              <w:t>湿帘</w:t>
            </w:r>
          </w:p>
        </w:tc>
        <w:tc>
          <w:tcPr>
            <w:tcW w:w="3088" w:type="dxa"/>
            <w:vAlign w:val="top"/>
          </w:tcPr>
          <w:p w14:paraId="6DF2EF84">
            <w:pPr>
              <w:pStyle w:val="6"/>
              <w:spacing w:before="102" w:line="192" w:lineRule="auto"/>
              <w:ind w:left="556"/>
            </w:pPr>
            <w:r>
              <w:rPr>
                <w:spacing w:val="-1"/>
              </w:rPr>
              <w:t>6.4×2.15m/2.81×2.15m</w:t>
            </w:r>
          </w:p>
        </w:tc>
        <w:tc>
          <w:tcPr>
            <w:tcW w:w="597" w:type="dxa"/>
            <w:vAlign w:val="top"/>
          </w:tcPr>
          <w:p w14:paraId="6CD4D0E8">
            <w:pPr>
              <w:pStyle w:val="6"/>
              <w:spacing w:before="54" w:line="215" w:lineRule="auto"/>
              <w:ind w:left="183"/>
              <w:rPr>
                <w:sz w:val="14"/>
                <w:szCs w:val="14"/>
              </w:rPr>
            </w:pPr>
            <w:r>
              <w:rPr>
                <w:spacing w:val="-1"/>
                <w:position w:val="-4"/>
              </w:rPr>
              <w:t>m</w:t>
            </w:r>
            <w:r>
              <w:rPr>
                <w:spacing w:val="-1"/>
                <w:position w:val="5"/>
                <w:sz w:val="14"/>
                <w:szCs w:val="14"/>
              </w:rPr>
              <w:t>2</w:t>
            </w:r>
          </w:p>
        </w:tc>
        <w:tc>
          <w:tcPr>
            <w:tcW w:w="1265" w:type="dxa"/>
            <w:vAlign w:val="top"/>
          </w:tcPr>
          <w:p w14:paraId="6741724E">
            <w:pPr>
              <w:pStyle w:val="6"/>
              <w:spacing w:before="106" w:line="188" w:lineRule="auto"/>
              <w:ind w:left="346"/>
            </w:pPr>
            <w:r>
              <w:rPr>
                <w:spacing w:val="-1"/>
              </w:rPr>
              <w:t>2748.7</w:t>
            </w:r>
          </w:p>
        </w:tc>
      </w:tr>
    </w:tbl>
    <w:p w14:paraId="137C6409">
      <w:pPr>
        <w:pStyle w:val="2"/>
      </w:pPr>
    </w:p>
    <w:p w14:paraId="3829B5A7">
      <w:pPr>
        <w:sectPr>
          <w:footerReference r:id="rId139" w:type="default"/>
          <w:pgSz w:w="11905" w:h="16840"/>
          <w:pgMar w:top="1168" w:right="1768" w:bottom="1409" w:left="1770" w:header="828" w:footer="1244" w:gutter="0"/>
          <w:cols w:space="720" w:num="1"/>
        </w:sectPr>
      </w:pPr>
    </w:p>
    <w:p w14:paraId="339F0AC6">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0"/>
        <w:gridCol w:w="700"/>
        <w:gridCol w:w="1660"/>
        <w:gridCol w:w="3090"/>
        <w:gridCol w:w="597"/>
        <w:gridCol w:w="1263"/>
      </w:tblGrid>
      <w:tr w14:paraId="0DAB2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370" w:type="dxa"/>
            <w:gridSpan w:val="3"/>
            <w:vAlign w:val="top"/>
          </w:tcPr>
          <w:p w14:paraId="46D4761A">
            <w:pPr>
              <w:spacing w:before="68" w:line="221" w:lineRule="auto"/>
              <w:ind w:left="1274"/>
              <w:rPr>
                <w:rFonts w:ascii="宋体" w:hAnsi="宋体" w:eastAsia="宋体" w:cs="宋体"/>
                <w:sz w:val="21"/>
                <w:szCs w:val="21"/>
              </w:rPr>
            </w:pPr>
            <w:r>
              <w:rPr>
                <w:rFonts w:ascii="宋体" w:hAnsi="宋体" w:eastAsia="宋体" w:cs="宋体"/>
                <w:spacing w:val="-3"/>
                <w:sz w:val="21"/>
                <w:szCs w:val="21"/>
              </w:rPr>
              <w:t>设备名称</w:t>
            </w:r>
          </w:p>
        </w:tc>
        <w:tc>
          <w:tcPr>
            <w:tcW w:w="3090" w:type="dxa"/>
            <w:vAlign w:val="top"/>
          </w:tcPr>
          <w:p w14:paraId="6F853436">
            <w:pPr>
              <w:spacing w:before="68" w:line="220" w:lineRule="auto"/>
              <w:ind w:left="1130"/>
              <w:rPr>
                <w:rFonts w:ascii="宋体" w:hAnsi="宋体" w:eastAsia="宋体" w:cs="宋体"/>
                <w:sz w:val="21"/>
                <w:szCs w:val="21"/>
              </w:rPr>
            </w:pPr>
            <w:r>
              <w:rPr>
                <w:rFonts w:ascii="宋体" w:hAnsi="宋体" w:eastAsia="宋体" w:cs="宋体"/>
                <w:spacing w:val="-2"/>
                <w:sz w:val="21"/>
                <w:szCs w:val="21"/>
              </w:rPr>
              <w:t>规格型号</w:t>
            </w:r>
          </w:p>
        </w:tc>
        <w:tc>
          <w:tcPr>
            <w:tcW w:w="597" w:type="dxa"/>
            <w:vAlign w:val="top"/>
          </w:tcPr>
          <w:p w14:paraId="16FECFF8">
            <w:pPr>
              <w:spacing w:before="69" w:line="220" w:lineRule="auto"/>
              <w:ind w:left="95"/>
              <w:rPr>
                <w:rFonts w:ascii="宋体" w:hAnsi="宋体" w:eastAsia="宋体" w:cs="宋体"/>
                <w:sz w:val="21"/>
                <w:szCs w:val="21"/>
              </w:rPr>
            </w:pPr>
            <w:r>
              <w:rPr>
                <w:rFonts w:ascii="宋体" w:hAnsi="宋体" w:eastAsia="宋体" w:cs="宋体"/>
                <w:spacing w:val="-3"/>
                <w:sz w:val="21"/>
                <w:szCs w:val="21"/>
              </w:rPr>
              <w:t>单位</w:t>
            </w:r>
          </w:p>
        </w:tc>
        <w:tc>
          <w:tcPr>
            <w:tcW w:w="1263" w:type="dxa"/>
            <w:vAlign w:val="top"/>
          </w:tcPr>
          <w:p w14:paraId="131B5C9E">
            <w:pPr>
              <w:spacing w:before="68" w:line="220" w:lineRule="auto"/>
              <w:ind w:left="427"/>
              <w:rPr>
                <w:rFonts w:ascii="宋体" w:hAnsi="宋体" w:eastAsia="宋体" w:cs="宋体"/>
                <w:sz w:val="21"/>
                <w:szCs w:val="21"/>
              </w:rPr>
            </w:pPr>
            <w:r>
              <w:rPr>
                <w:rFonts w:ascii="宋体" w:hAnsi="宋体" w:eastAsia="宋体" w:cs="宋体"/>
                <w:spacing w:val="-3"/>
                <w:sz w:val="21"/>
                <w:szCs w:val="21"/>
              </w:rPr>
              <w:t>数量</w:t>
            </w:r>
          </w:p>
        </w:tc>
      </w:tr>
      <w:tr w14:paraId="7ADC8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restart"/>
            <w:tcBorders>
              <w:bottom w:val="nil"/>
            </w:tcBorders>
            <w:vAlign w:val="top"/>
          </w:tcPr>
          <w:p w14:paraId="6CC4F04D">
            <w:pPr>
              <w:spacing w:line="283" w:lineRule="auto"/>
              <w:rPr>
                <w:rFonts w:ascii="Arial"/>
                <w:sz w:val="21"/>
              </w:rPr>
            </w:pPr>
          </w:p>
          <w:p w14:paraId="518185DE">
            <w:pPr>
              <w:spacing w:line="283" w:lineRule="auto"/>
              <w:rPr>
                <w:rFonts w:ascii="Arial"/>
                <w:sz w:val="21"/>
              </w:rPr>
            </w:pPr>
          </w:p>
          <w:p w14:paraId="45E177AA">
            <w:pPr>
              <w:spacing w:line="284" w:lineRule="auto"/>
              <w:rPr>
                <w:rFonts w:ascii="Arial"/>
                <w:sz w:val="21"/>
              </w:rPr>
            </w:pPr>
          </w:p>
          <w:p w14:paraId="315119AD">
            <w:pPr>
              <w:spacing w:before="68" w:line="277" w:lineRule="auto"/>
              <w:ind w:left="196" w:right="187" w:firstLine="7"/>
              <w:rPr>
                <w:rFonts w:ascii="宋体" w:hAnsi="宋体" w:eastAsia="宋体" w:cs="宋体"/>
                <w:sz w:val="21"/>
                <w:szCs w:val="21"/>
              </w:rPr>
            </w:pPr>
            <w:r>
              <w:rPr>
                <w:rFonts w:ascii="宋体" w:hAnsi="宋体" w:eastAsia="宋体" w:cs="宋体"/>
                <w:spacing w:val="-6"/>
                <w:sz w:val="21"/>
                <w:szCs w:val="21"/>
              </w:rPr>
              <w:t>育肥猪</w:t>
            </w:r>
            <w:r>
              <w:rPr>
                <w:rFonts w:ascii="宋体" w:hAnsi="宋体" w:eastAsia="宋体" w:cs="宋体"/>
                <w:spacing w:val="-4"/>
                <w:sz w:val="21"/>
                <w:szCs w:val="21"/>
              </w:rPr>
              <w:t>转猪舍</w:t>
            </w:r>
          </w:p>
        </w:tc>
        <w:tc>
          <w:tcPr>
            <w:tcW w:w="2360" w:type="dxa"/>
            <w:gridSpan w:val="2"/>
            <w:vAlign w:val="top"/>
          </w:tcPr>
          <w:p w14:paraId="05D870D4">
            <w:pPr>
              <w:spacing w:before="64" w:line="220" w:lineRule="auto"/>
              <w:ind w:left="975"/>
              <w:rPr>
                <w:rFonts w:ascii="宋体" w:hAnsi="宋体" w:eastAsia="宋体" w:cs="宋体"/>
                <w:sz w:val="21"/>
                <w:szCs w:val="21"/>
              </w:rPr>
            </w:pPr>
            <w:r>
              <w:rPr>
                <w:rFonts w:ascii="宋体" w:hAnsi="宋体" w:eastAsia="宋体" w:cs="宋体"/>
                <w:spacing w:val="-3"/>
                <w:sz w:val="21"/>
                <w:szCs w:val="21"/>
              </w:rPr>
              <w:t>大栏</w:t>
            </w:r>
          </w:p>
        </w:tc>
        <w:tc>
          <w:tcPr>
            <w:tcW w:w="3090" w:type="dxa"/>
            <w:vAlign w:val="top"/>
          </w:tcPr>
          <w:p w14:paraId="41761BA7">
            <w:pPr>
              <w:pStyle w:val="6"/>
              <w:spacing w:before="100" w:line="188" w:lineRule="auto"/>
              <w:ind w:left="909"/>
            </w:pPr>
            <w:r>
              <w:rPr>
                <w:spacing w:val="-1"/>
              </w:rPr>
              <w:t>5000×5000mm</w:t>
            </w:r>
          </w:p>
        </w:tc>
        <w:tc>
          <w:tcPr>
            <w:tcW w:w="597" w:type="dxa"/>
            <w:vAlign w:val="top"/>
          </w:tcPr>
          <w:p w14:paraId="1A1C35D5">
            <w:pPr>
              <w:spacing w:before="64"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0790FB7E">
            <w:pPr>
              <w:pStyle w:val="6"/>
              <w:spacing w:before="100" w:line="188" w:lineRule="auto"/>
              <w:ind w:left="588"/>
            </w:pPr>
            <w:r>
              <w:t>8</w:t>
            </w:r>
          </w:p>
        </w:tc>
      </w:tr>
      <w:tr w14:paraId="7C14E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22FCBC15">
            <w:pPr>
              <w:rPr>
                <w:rFonts w:ascii="Arial"/>
                <w:sz w:val="21"/>
              </w:rPr>
            </w:pPr>
          </w:p>
        </w:tc>
        <w:tc>
          <w:tcPr>
            <w:tcW w:w="2360" w:type="dxa"/>
            <w:gridSpan w:val="2"/>
            <w:vAlign w:val="top"/>
          </w:tcPr>
          <w:p w14:paraId="3DC820B5">
            <w:pPr>
              <w:spacing w:before="64" w:line="220" w:lineRule="auto"/>
              <w:ind w:left="868"/>
              <w:rPr>
                <w:rFonts w:ascii="宋体" w:hAnsi="宋体" w:eastAsia="宋体" w:cs="宋体"/>
                <w:sz w:val="21"/>
                <w:szCs w:val="21"/>
              </w:rPr>
            </w:pPr>
            <w:r>
              <w:rPr>
                <w:rFonts w:ascii="宋体" w:hAnsi="宋体" w:eastAsia="宋体" w:cs="宋体"/>
                <w:spacing w:val="-2"/>
                <w:sz w:val="21"/>
                <w:szCs w:val="21"/>
              </w:rPr>
              <w:t>饮水碗</w:t>
            </w:r>
          </w:p>
        </w:tc>
        <w:tc>
          <w:tcPr>
            <w:tcW w:w="3090" w:type="dxa"/>
            <w:vAlign w:val="top"/>
          </w:tcPr>
          <w:p w14:paraId="56E2385A">
            <w:pPr>
              <w:pStyle w:val="6"/>
              <w:spacing w:before="64" w:line="231" w:lineRule="auto"/>
              <w:ind w:left="673"/>
            </w:pPr>
            <w:r>
              <w:rPr>
                <w:spacing w:val="-7"/>
              </w:rPr>
              <w:t>SUS304</w:t>
            </w:r>
            <w:r>
              <w:rPr>
                <w:rFonts w:ascii="宋体" w:hAnsi="宋体" w:eastAsia="宋体" w:cs="宋体"/>
                <w:spacing w:val="-7"/>
              </w:rPr>
              <w:t>，φ</w:t>
            </w:r>
            <w:r>
              <w:rPr>
                <w:rFonts w:ascii="宋体" w:hAnsi="宋体" w:eastAsia="宋体" w:cs="宋体"/>
                <w:spacing w:val="-28"/>
              </w:rPr>
              <w:t xml:space="preserve"> </w:t>
            </w:r>
            <w:r>
              <w:rPr>
                <w:spacing w:val="-7"/>
              </w:rPr>
              <w:t>175mm</w:t>
            </w:r>
          </w:p>
        </w:tc>
        <w:tc>
          <w:tcPr>
            <w:tcW w:w="597" w:type="dxa"/>
            <w:vAlign w:val="top"/>
          </w:tcPr>
          <w:p w14:paraId="54857702">
            <w:pPr>
              <w:spacing w:before="64"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5B9617EE">
            <w:pPr>
              <w:pStyle w:val="6"/>
              <w:spacing w:before="101" w:line="188" w:lineRule="auto"/>
              <w:ind w:left="588"/>
            </w:pPr>
            <w:r>
              <w:t>8</w:t>
            </w:r>
          </w:p>
        </w:tc>
      </w:tr>
      <w:tr w14:paraId="79C2F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10" w:type="dxa"/>
            <w:vMerge w:val="continue"/>
            <w:tcBorders>
              <w:top w:val="nil"/>
              <w:bottom w:val="nil"/>
            </w:tcBorders>
            <w:vAlign w:val="top"/>
          </w:tcPr>
          <w:p w14:paraId="4064FFFB">
            <w:pPr>
              <w:rPr>
                <w:rFonts w:ascii="Arial"/>
                <w:sz w:val="21"/>
              </w:rPr>
            </w:pPr>
          </w:p>
        </w:tc>
        <w:tc>
          <w:tcPr>
            <w:tcW w:w="2360" w:type="dxa"/>
            <w:gridSpan w:val="2"/>
            <w:vAlign w:val="top"/>
          </w:tcPr>
          <w:p w14:paraId="288D03C4">
            <w:pPr>
              <w:spacing w:before="206" w:line="220" w:lineRule="auto"/>
              <w:ind w:left="448"/>
              <w:rPr>
                <w:rFonts w:ascii="宋体" w:hAnsi="宋体" w:eastAsia="宋体" w:cs="宋体"/>
                <w:sz w:val="21"/>
                <w:szCs w:val="21"/>
              </w:rPr>
            </w:pPr>
            <w:r>
              <w:rPr>
                <w:rFonts w:ascii="宋体" w:hAnsi="宋体" w:eastAsia="宋体" w:cs="宋体"/>
                <w:spacing w:val="-2"/>
                <w:sz w:val="21"/>
                <w:szCs w:val="21"/>
              </w:rPr>
              <w:t>饮水杆及固定件</w:t>
            </w:r>
          </w:p>
        </w:tc>
        <w:tc>
          <w:tcPr>
            <w:tcW w:w="3090" w:type="dxa"/>
            <w:vAlign w:val="top"/>
          </w:tcPr>
          <w:p w14:paraId="1E6B05A4">
            <w:pPr>
              <w:pStyle w:val="6"/>
              <w:spacing w:before="87" w:line="180" w:lineRule="auto"/>
              <w:jc w:val="right"/>
              <w:rPr>
                <w:rFonts w:ascii="宋体" w:hAnsi="宋体" w:eastAsia="宋体" w:cs="宋体"/>
              </w:rPr>
            </w:pPr>
            <w:r>
              <w:rPr>
                <w:spacing w:val="-12"/>
              </w:rPr>
              <w:t>SUS304</w:t>
            </w:r>
            <w:r>
              <w:rPr>
                <w:rFonts w:ascii="宋体" w:hAnsi="宋体" w:eastAsia="宋体" w:cs="宋体"/>
                <w:spacing w:val="-12"/>
              </w:rPr>
              <w:t>，</w:t>
            </w:r>
            <w:r>
              <w:rPr>
                <w:spacing w:val="-12"/>
              </w:rPr>
              <w:t>φ20×2.0mm</w:t>
            </w:r>
            <w:r>
              <w:rPr>
                <w:rFonts w:ascii="宋体" w:hAnsi="宋体" w:eastAsia="宋体" w:cs="宋体"/>
                <w:spacing w:val="-12"/>
              </w:rPr>
              <w:t>，</w:t>
            </w:r>
            <w:r>
              <w:rPr>
                <w:spacing w:val="-12"/>
              </w:rPr>
              <w:t>L=1000mm</w:t>
            </w:r>
            <w:r>
              <w:rPr>
                <w:rFonts w:ascii="宋体" w:hAnsi="宋体" w:eastAsia="宋体" w:cs="宋体"/>
                <w:spacing w:val="-12"/>
              </w:rPr>
              <w:t>，</w:t>
            </w:r>
          </w:p>
          <w:p w14:paraId="0EA9A439">
            <w:pPr>
              <w:spacing w:before="70" w:line="220" w:lineRule="auto"/>
              <w:ind w:left="1130"/>
              <w:rPr>
                <w:rFonts w:ascii="宋体" w:hAnsi="宋体" w:eastAsia="宋体" w:cs="宋体"/>
                <w:sz w:val="21"/>
                <w:szCs w:val="21"/>
              </w:rPr>
            </w:pPr>
            <w:r>
              <w:rPr>
                <w:rFonts w:ascii="宋体" w:hAnsi="宋体" w:eastAsia="宋体" w:cs="宋体"/>
                <w:spacing w:val="-2"/>
                <w:sz w:val="21"/>
                <w:szCs w:val="21"/>
              </w:rPr>
              <w:t>两头攻丝</w:t>
            </w:r>
          </w:p>
        </w:tc>
        <w:tc>
          <w:tcPr>
            <w:tcW w:w="597" w:type="dxa"/>
            <w:vAlign w:val="top"/>
          </w:tcPr>
          <w:p w14:paraId="23AC7874">
            <w:pPr>
              <w:spacing w:before="206" w:line="220" w:lineRule="auto"/>
              <w:ind w:left="197"/>
              <w:rPr>
                <w:rFonts w:ascii="宋体" w:hAnsi="宋体" w:eastAsia="宋体" w:cs="宋体"/>
                <w:sz w:val="21"/>
                <w:szCs w:val="21"/>
              </w:rPr>
            </w:pPr>
            <w:r>
              <w:rPr>
                <w:rFonts w:ascii="宋体" w:hAnsi="宋体" w:eastAsia="宋体" w:cs="宋体"/>
                <w:sz w:val="21"/>
                <w:szCs w:val="21"/>
              </w:rPr>
              <w:t>件</w:t>
            </w:r>
          </w:p>
        </w:tc>
        <w:tc>
          <w:tcPr>
            <w:tcW w:w="1263" w:type="dxa"/>
            <w:vAlign w:val="top"/>
          </w:tcPr>
          <w:p w14:paraId="73496D19">
            <w:pPr>
              <w:pStyle w:val="6"/>
              <w:spacing w:before="243" w:line="188" w:lineRule="auto"/>
              <w:ind w:left="588"/>
            </w:pPr>
            <w:r>
              <w:t>8</w:t>
            </w:r>
          </w:p>
        </w:tc>
      </w:tr>
      <w:tr w14:paraId="44CB3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0E7F1C10">
            <w:pPr>
              <w:rPr>
                <w:rFonts w:ascii="Arial"/>
                <w:sz w:val="21"/>
              </w:rPr>
            </w:pPr>
          </w:p>
        </w:tc>
        <w:tc>
          <w:tcPr>
            <w:tcW w:w="2360" w:type="dxa"/>
            <w:gridSpan w:val="2"/>
            <w:vAlign w:val="top"/>
          </w:tcPr>
          <w:p w14:paraId="02708CA1">
            <w:pPr>
              <w:spacing w:before="64" w:line="219" w:lineRule="auto"/>
              <w:ind w:left="662"/>
              <w:rPr>
                <w:rFonts w:ascii="宋体" w:hAnsi="宋体" w:eastAsia="宋体" w:cs="宋体"/>
                <w:sz w:val="21"/>
                <w:szCs w:val="21"/>
              </w:rPr>
            </w:pPr>
            <w:r>
              <w:rPr>
                <w:rFonts w:ascii="宋体" w:hAnsi="宋体" w:eastAsia="宋体" w:cs="宋体"/>
                <w:spacing w:val="-2"/>
                <w:sz w:val="21"/>
                <w:szCs w:val="21"/>
              </w:rPr>
              <w:t>玻璃钢风机</w:t>
            </w:r>
          </w:p>
        </w:tc>
        <w:tc>
          <w:tcPr>
            <w:tcW w:w="3090" w:type="dxa"/>
            <w:vAlign w:val="top"/>
          </w:tcPr>
          <w:p w14:paraId="2FEBCA15">
            <w:pPr>
              <w:pStyle w:val="6"/>
              <w:spacing w:before="64" w:line="220" w:lineRule="auto"/>
              <w:ind w:left="1209"/>
              <w:rPr>
                <w:rFonts w:ascii="宋体" w:hAnsi="宋体" w:eastAsia="宋体" w:cs="宋体"/>
              </w:rPr>
            </w:pPr>
            <w:r>
              <w:rPr>
                <w:spacing w:val="-4"/>
              </w:rPr>
              <w:t>36</w:t>
            </w:r>
            <w:r>
              <w:rPr>
                <w:spacing w:val="12"/>
              </w:rPr>
              <w:t xml:space="preserve"> </w:t>
            </w:r>
            <w:r>
              <w:rPr>
                <w:rFonts w:ascii="宋体" w:hAnsi="宋体" w:eastAsia="宋体" w:cs="宋体"/>
                <w:spacing w:val="-4"/>
              </w:rPr>
              <w:t>英寸</w:t>
            </w:r>
          </w:p>
        </w:tc>
        <w:tc>
          <w:tcPr>
            <w:tcW w:w="597" w:type="dxa"/>
            <w:vAlign w:val="top"/>
          </w:tcPr>
          <w:p w14:paraId="5F4DD013">
            <w:pPr>
              <w:spacing w:before="64" w:line="222" w:lineRule="auto"/>
              <w:ind w:left="214"/>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22BCAF32">
            <w:pPr>
              <w:pStyle w:val="6"/>
              <w:spacing w:before="101" w:line="188" w:lineRule="auto"/>
              <w:ind w:left="580"/>
            </w:pPr>
            <w:r>
              <w:t>2</w:t>
            </w:r>
          </w:p>
        </w:tc>
      </w:tr>
      <w:tr w14:paraId="1249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10" w:type="dxa"/>
            <w:vMerge w:val="continue"/>
            <w:tcBorders>
              <w:top w:val="nil"/>
              <w:bottom w:val="nil"/>
            </w:tcBorders>
            <w:vAlign w:val="top"/>
          </w:tcPr>
          <w:p w14:paraId="1A4119C3">
            <w:pPr>
              <w:rPr>
                <w:rFonts w:ascii="Arial"/>
                <w:sz w:val="21"/>
              </w:rPr>
            </w:pPr>
          </w:p>
        </w:tc>
        <w:tc>
          <w:tcPr>
            <w:tcW w:w="2360" w:type="dxa"/>
            <w:gridSpan w:val="2"/>
            <w:vAlign w:val="top"/>
          </w:tcPr>
          <w:p w14:paraId="5E16E2DC">
            <w:pPr>
              <w:spacing w:before="64" w:line="219" w:lineRule="auto"/>
              <w:ind w:left="662"/>
              <w:rPr>
                <w:rFonts w:ascii="宋体" w:hAnsi="宋体" w:eastAsia="宋体" w:cs="宋体"/>
                <w:sz w:val="21"/>
                <w:szCs w:val="21"/>
              </w:rPr>
            </w:pPr>
            <w:r>
              <w:rPr>
                <w:rFonts w:ascii="宋体" w:hAnsi="宋体" w:eastAsia="宋体" w:cs="宋体"/>
                <w:spacing w:val="-2"/>
                <w:sz w:val="21"/>
                <w:szCs w:val="21"/>
              </w:rPr>
              <w:t>玻璃钢风机</w:t>
            </w:r>
          </w:p>
        </w:tc>
        <w:tc>
          <w:tcPr>
            <w:tcW w:w="3090" w:type="dxa"/>
            <w:vAlign w:val="top"/>
          </w:tcPr>
          <w:p w14:paraId="7F3CBE92">
            <w:pPr>
              <w:pStyle w:val="6"/>
              <w:spacing w:before="64" w:line="220" w:lineRule="auto"/>
              <w:ind w:left="1210"/>
              <w:rPr>
                <w:rFonts w:ascii="宋体" w:hAnsi="宋体" w:eastAsia="宋体" w:cs="宋体"/>
              </w:rPr>
            </w:pPr>
            <w:r>
              <w:rPr>
                <w:spacing w:val="-4"/>
              </w:rPr>
              <w:t>51</w:t>
            </w:r>
            <w:r>
              <w:rPr>
                <w:spacing w:val="10"/>
              </w:rPr>
              <w:t xml:space="preserve"> </w:t>
            </w:r>
            <w:r>
              <w:rPr>
                <w:rFonts w:ascii="宋体" w:hAnsi="宋体" w:eastAsia="宋体" w:cs="宋体"/>
                <w:spacing w:val="-4"/>
              </w:rPr>
              <w:t>英寸</w:t>
            </w:r>
          </w:p>
        </w:tc>
        <w:tc>
          <w:tcPr>
            <w:tcW w:w="597" w:type="dxa"/>
            <w:vAlign w:val="top"/>
          </w:tcPr>
          <w:p w14:paraId="48B33011">
            <w:pPr>
              <w:spacing w:before="64" w:line="222" w:lineRule="auto"/>
              <w:ind w:left="214"/>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36A38208">
            <w:pPr>
              <w:pStyle w:val="6"/>
              <w:spacing w:before="101" w:line="188" w:lineRule="auto"/>
              <w:ind w:left="580"/>
            </w:pPr>
            <w:r>
              <w:t>2</w:t>
            </w:r>
          </w:p>
        </w:tc>
      </w:tr>
      <w:tr w14:paraId="5127F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10" w:type="dxa"/>
            <w:vMerge w:val="continue"/>
            <w:tcBorders>
              <w:top w:val="nil"/>
            </w:tcBorders>
            <w:vAlign w:val="top"/>
          </w:tcPr>
          <w:p w14:paraId="1CC2A823">
            <w:pPr>
              <w:rPr>
                <w:rFonts w:ascii="Arial"/>
                <w:sz w:val="21"/>
              </w:rPr>
            </w:pPr>
          </w:p>
        </w:tc>
        <w:tc>
          <w:tcPr>
            <w:tcW w:w="2360" w:type="dxa"/>
            <w:gridSpan w:val="2"/>
            <w:vAlign w:val="top"/>
          </w:tcPr>
          <w:p w14:paraId="250DF22C">
            <w:pPr>
              <w:spacing w:before="65" w:line="220" w:lineRule="auto"/>
              <w:ind w:left="973"/>
              <w:rPr>
                <w:rFonts w:ascii="宋体" w:hAnsi="宋体" w:eastAsia="宋体" w:cs="宋体"/>
                <w:sz w:val="21"/>
                <w:szCs w:val="21"/>
              </w:rPr>
            </w:pPr>
            <w:r>
              <w:rPr>
                <w:rFonts w:ascii="宋体" w:hAnsi="宋体" w:eastAsia="宋体" w:cs="宋体"/>
                <w:spacing w:val="-3"/>
                <w:sz w:val="21"/>
                <w:szCs w:val="21"/>
              </w:rPr>
              <w:t>湿帘</w:t>
            </w:r>
          </w:p>
        </w:tc>
        <w:tc>
          <w:tcPr>
            <w:tcW w:w="3090" w:type="dxa"/>
            <w:vAlign w:val="top"/>
          </w:tcPr>
          <w:p w14:paraId="3EE27CE1">
            <w:pPr>
              <w:pStyle w:val="6"/>
              <w:spacing w:before="101" w:line="188" w:lineRule="auto"/>
              <w:ind w:left="1088"/>
            </w:pPr>
            <w:r>
              <w:rPr>
                <w:spacing w:val="-1"/>
              </w:rPr>
              <w:t>4.0×2.16m</w:t>
            </w:r>
          </w:p>
        </w:tc>
        <w:tc>
          <w:tcPr>
            <w:tcW w:w="597" w:type="dxa"/>
            <w:vAlign w:val="top"/>
          </w:tcPr>
          <w:p w14:paraId="598697DF">
            <w:pPr>
              <w:pStyle w:val="6"/>
              <w:spacing w:before="50" w:line="215" w:lineRule="auto"/>
              <w:ind w:left="181"/>
              <w:rPr>
                <w:sz w:val="14"/>
                <w:szCs w:val="14"/>
              </w:rPr>
            </w:pPr>
            <w:r>
              <w:rPr>
                <w:spacing w:val="-1"/>
                <w:position w:val="-4"/>
              </w:rPr>
              <w:t>m</w:t>
            </w:r>
            <w:r>
              <w:rPr>
                <w:spacing w:val="-1"/>
                <w:position w:val="5"/>
                <w:sz w:val="14"/>
                <w:szCs w:val="14"/>
              </w:rPr>
              <w:t>2</w:t>
            </w:r>
          </w:p>
        </w:tc>
        <w:tc>
          <w:tcPr>
            <w:tcW w:w="1263" w:type="dxa"/>
            <w:vAlign w:val="top"/>
          </w:tcPr>
          <w:p w14:paraId="41966E24">
            <w:pPr>
              <w:pStyle w:val="6"/>
              <w:spacing w:before="101" w:line="188" w:lineRule="auto"/>
              <w:ind w:left="415"/>
            </w:pPr>
            <w:r>
              <w:rPr>
                <w:spacing w:val="-5"/>
              </w:rPr>
              <w:t>17.28</w:t>
            </w:r>
          </w:p>
        </w:tc>
      </w:tr>
      <w:tr w14:paraId="02A9B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5BC37495">
            <w:pPr>
              <w:spacing w:before="65" w:line="220" w:lineRule="auto"/>
              <w:ind w:left="1481"/>
              <w:rPr>
                <w:rFonts w:ascii="宋体" w:hAnsi="宋体" w:eastAsia="宋体" w:cs="宋体"/>
                <w:sz w:val="21"/>
                <w:szCs w:val="21"/>
              </w:rPr>
            </w:pPr>
            <w:r>
              <w:rPr>
                <w:rFonts w:ascii="宋体" w:hAnsi="宋体" w:eastAsia="宋体" w:cs="宋体"/>
                <w:spacing w:val="-3"/>
                <w:sz w:val="21"/>
                <w:szCs w:val="21"/>
              </w:rPr>
              <w:t>料塔</w:t>
            </w:r>
          </w:p>
        </w:tc>
        <w:tc>
          <w:tcPr>
            <w:tcW w:w="3090" w:type="dxa"/>
            <w:vAlign w:val="top"/>
          </w:tcPr>
          <w:p w14:paraId="1C736D86">
            <w:pPr>
              <w:pStyle w:val="6"/>
              <w:spacing w:before="102" w:line="188" w:lineRule="auto"/>
              <w:ind w:left="1411"/>
            </w:pPr>
            <w:r>
              <w:rPr>
                <w:spacing w:val="-1"/>
              </w:rPr>
              <w:t>20t</w:t>
            </w:r>
          </w:p>
        </w:tc>
        <w:tc>
          <w:tcPr>
            <w:tcW w:w="597" w:type="dxa"/>
            <w:vAlign w:val="top"/>
          </w:tcPr>
          <w:p w14:paraId="7A55A0C5">
            <w:pPr>
              <w:spacing w:before="65"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619D4199">
            <w:pPr>
              <w:pStyle w:val="6"/>
              <w:spacing w:before="102" w:line="188" w:lineRule="auto"/>
              <w:ind w:left="585"/>
            </w:pPr>
            <w:r>
              <w:t>6</w:t>
            </w:r>
          </w:p>
        </w:tc>
      </w:tr>
      <w:tr w14:paraId="2FE65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4B3B9963">
            <w:pPr>
              <w:spacing w:before="66" w:line="220" w:lineRule="auto"/>
              <w:ind w:left="1481"/>
              <w:rPr>
                <w:rFonts w:ascii="宋体" w:hAnsi="宋体" w:eastAsia="宋体" w:cs="宋体"/>
                <w:sz w:val="21"/>
                <w:szCs w:val="21"/>
              </w:rPr>
            </w:pPr>
            <w:r>
              <w:rPr>
                <w:rFonts w:ascii="宋体" w:hAnsi="宋体" w:eastAsia="宋体" w:cs="宋体"/>
                <w:spacing w:val="-3"/>
                <w:sz w:val="21"/>
                <w:szCs w:val="21"/>
              </w:rPr>
              <w:t>料塔</w:t>
            </w:r>
          </w:p>
        </w:tc>
        <w:tc>
          <w:tcPr>
            <w:tcW w:w="3090" w:type="dxa"/>
            <w:vAlign w:val="top"/>
          </w:tcPr>
          <w:p w14:paraId="38945385">
            <w:pPr>
              <w:pStyle w:val="6"/>
              <w:spacing w:before="102" w:line="188" w:lineRule="auto"/>
              <w:ind w:left="1415"/>
            </w:pPr>
            <w:r>
              <w:rPr>
                <w:spacing w:val="-2"/>
              </w:rPr>
              <w:t>32t</w:t>
            </w:r>
          </w:p>
        </w:tc>
        <w:tc>
          <w:tcPr>
            <w:tcW w:w="597" w:type="dxa"/>
            <w:vAlign w:val="top"/>
          </w:tcPr>
          <w:p w14:paraId="14C57633">
            <w:pPr>
              <w:spacing w:before="66"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2D39C651">
            <w:pPr>
              <w:pStyle w:val="6"/>
              <w:spacing w:before="102" w:line="188" w:lineRule="auto"/>
              <w:ind w:left="547"/>
            </w:pPr>
            <w:r>
              <w:rPr>
                <w:spacing w:val="-12"/>
              </w:rPr>
              <w:t>15</w:t>
            </w:r>
          </w:p>
        </w:tc>
      </w:tr>
      <w:tr w14:paraId="2CFDC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70" w:type="dxa"/>
            <w:gridSpan w:val="3"/>
            <w:vAlign w:val="top"/>
          </w:tcPr>
          <w:p w14:paraId="3966E72D">
            <w:pPr>
              <w:spacing w:before="66" w:line="219" w:lineRule="auto"/>
              <w:ind w:left="852"/>
              <w:rPr>
                <w:rFonts w:ascii="宋体" w:hAnsi="宋体" w:eastAsia="宋体" w:cs="宋体"/>
                <w:sz w:val="21"/>
                <w:szCs w:val="21"/>
              </w:rPr>
            </w:pPr>
            <w:r>
              <w:rPr>
                <w:rFonts w:ascii="宋体" w:hAnsi="宋体" w:eastAsia="宋体" w:cs="宋体"/>
                <w:spacing w:val="-1"/>
                <w:sz w:val="21"/>
                <w:szCs w:val="21"/>
              </w:rPr>
              <w:t>移动式高压清洗机</w:t>
            </w:r>
          </w:p>
        </w:tc>
        <w:tc>
          <w:tcPr>
            <w:tcW w:w="3090" w:type="dxa"/>
            <w:vAlign w:val="top"/>
          </w:tcPr>
          <w:p w14:paraId="39324222">
            <w:pPr>
              <w:pStyle w:val="6"/>
              <w:spacing w:before="98" w:line="192" w:lineRule="auto"/>
              <w:ind w:left="718"/>
            </w:pPr>
            <w:r>
              <w:rPr>
                <w:spacing w:val="-1"/>
              </w:rPr>
              <w:t>7.5KW/15L/25Mpa</w:t>
            </w:r>
          </w:p>
        </w:tc>
        <w:tc>
          <w:tcPr>
            <w:tcW w:w="597" w:type="dxa"/>
            <w:vAlign w:val="top"/>
          </w:tcPr>
          <w:p w14:paraId="43E0D1DC">
            <w:pPr>
              <w:spacing w:before="66"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678E5C0A">
            <w:pPr>
              <w:pStyle w:val="6"/>
              <w:spacing w:before="102" w:line="188" w:lineRule="auto"/>
              <w:ind w:left="584"/>
            </w:pPr>
            <w:r>
              <w:t>9</w:t>
            </w:r>
          </w:p>
        </w:tc>
      </w:tr>
      <w:tr w14:paraId="12C76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33F3B39D">
            <w:pPr>
              <w:spacing w:before="66" w:line="220" w:lineRule="auto"/>
              <w:ind w:left="1061"/>
              <w:rPr>
                <w:rFonts w:ascii="宋体" w:hAnsi="宋体" w:eastAsia="宋体" w:cs="宋体"/>
                <w:sz w:val="21"/>
                <w:szCs w:val="21"/>
              </w:rPr>
            </w:pPr>
            <w:r>
              <w:rPr>
                <w:rFonts w:ascii="宋体" w:hAnsi="宋体" w:eastAsia="宋体" w:cs="宋体"/>
                <w:spacing w:val="-2"/>
                <w:sz w:val="21"/>
                <w:szCs w:val="21"/>
              </w:rPr>
              <w:t>汽车洗消系统</w:t>
            </w:r>
          </w:p>
        </w:tc>
        <w:tc>
          <w:tcPr>
            <w:tcW w:w="3090" w:type="dxa"/>
            <w:vAlign w:val="top"/>
          </w:tcPr>
          <w:p w14:paraId="6FDEAB6B">
            <w:pPr>
              <w:rPr>
                <w:rFonts w:ascii="Arial"/>
                <w:sz w:val="21"/>
              </w:rPr>
            </w:pPr>
          </w:p>
        </w:tc>
        <w:tc>
          <w:tcPr>
            <w:tcW w:w="597" w:type="dxa"/>
            <w:vAlign w:val="top"/>
          </w:tcPr>
          <w:p w14:paraId="466EB084">
            <w:pPr>
              <w:spacing w:before="66"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11C2411D">
            <w:pPr>
              <w:pStyle w:val="6"/>
              <w:spacing w:before="103" w:line="188" w:lineRule="auto"/>
              <w:ind w:left="580"/>
            </w:pPr>
            <w:r>
              <w:t>2</w:t>
            </w:r>
          </w:p>
        </w:tc>
      </w:tr>
      <w:tr w14:paraId="2E435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744E748F">
            <w:pPr>
              <w:spacing w:before="66" w:line="219" w:lineRule="auto"/>
              <w:ind w:left="955"/>
              <w:rPr>
                <w:rFonts w:ascii="宋体" w:hAnsi="宋体" w:eastAsia="宋体" w:cs="宋体"/>
                <w:sz w:val="21"/>
                <w:szCs w:val="21"/>
              </w:rPr>
            </w:pPr>
            <w:r>
              <w:rPr>
                <w:rFonts w:ascii="宋体" w:hAnsi="宋体" w:eastAsia="宋体" w:cs="宋体"/>
                <w:spacing w:val="-2"/>
                <w:sz w:val="21"/>
                <w:szCs w:val="21"/>
              </w:rPr>
              <w:t>烘干区烘干设备</w:t>
            </w:r>
          </w:p>
        </w:tc>
        <w:tc>
          <w:tcPr>
            <w:tcW w:w="3090" w:type="dxa"/>
            <w:vAlign w:val="top"/>
          </w:tcPr>
          <w:p w14:paraId="59DF6A56">
            <w:pPr>
              <w:rPr>
                <w:rFonts w:ascii="Arial"/>
                <w:sz w:val="21"/>
              </w:rPr>
            </w:pPr>
          </w:p>
        </w:tc>
        <w:tc>
          <w:tcPr>
            <w:tcW w:w="597" w:type="dxa"/>
            <w:vAlign w:val="top"/>
          </w:tcPr>
          <w:p w14:paraId="1C765CF3">
            <w:pPr>
              <w:spacing w:before="67"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5272A652">
            <w:pPr>
              <w:pStyle w:val="6"/>
              <w:spacing w:before="103" w:line="188" w:lineRule="auto"/>
              <w:ind w:left="600"/>
            </w:pPr>
            <w:r>
              <w:t>1</w:t>
            </w:r>
          </w:p>
        </w:tc>
      </w:tr>
      <w:tr w14:paraId="2C33B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70" w:type="dxa"/>
            <w:gridSpan w:val="3"/>
            <w:vAlign w:val="top"/>
          </w:tcPr>
          <w:p w14:paraId="73264E51">
            <w:pPr>
              <w:spacing w:before="66" w:line="220" w:lineRule="auto"/>
              <w:ind w:left="1272"/>
              <w:rPr>
                <w:rFonts w:ascii="宋体" w:hAnsi="宋体" w:eastAsia="宋体" w:cs="宋体"/>
                <w:sz w:val="21"/>
                <w:szCs w:val="21"/>
              </w:rPr>
            </w:pPr>
            <w:r>
              <w:rPr>
                <w:rFonts w:ascii="宋体" w:hAnsi="宋体" w:eastAsia="宋体" w:cs="宋体"/>
                <w:spacing w:val="-2"/>
                <w:sz w:val="21"/>
                <w:szCs w:val="21"/>
              </w:rPr>
              <w:t>兽医器械</w:t>
            </w:r>
          </w:p>
        </w:tc>
        <w:tc>
          <w:tcPr>
            <w:tcW w:w="3090" w:type="dxa"/>
            <w:vAlign w:val="top"/>
          </w:tcPr>
          <w:p w14:paraId="212AE00D">
            <w:pPr>
              <w:pStyle w:val="6"/>
              <w:spacing w:before="99" w:line="192" w:lineRule="auto"/>
              <w:ind w:left="1512"/>
            </w:pPr>
            <w:r>
              <w:t>/</w:t>
            </w:r>
          </w:p>
        </w:tc>
        <w:tc>
          <w:tcPr>
            <w:tcW w:w="597" w:type="dxa"/>
            <w:vAlign w:val="top"/>
          </w:tcPr>
          <w:p w14:paraId="513F55CF">
            <w:pPr>
              <w:spacing w:before="67" w:line="222" w:lineRule="auto"/>
              <w:ind w:left="197"/>
              <w:rPr>
                <w:rFonts w:ascii="宋体" w:hAnsi="宋体" w:eastAsia="宋体" w:cs="宋体"/>
                <w:sz w:val="21"/>
                <w:szCs w:val="21"/>
              </w:rPr>
            </w:pPr>
            <w:r>
              <w:rPr>
                <w:rFonts w:ascii="宋体" w:hAnsi="宋体" w:eastAsia="宋体" w:cs="宋体"/>
                <w:sz w:val="21"/>
                <w:szCs w:val="21"/>
              </w:rPr>
              <w:t>批</w:t>
            </w:r>
          </w:p>
        </w:tc>
        <w:tc>
          <w:tcPr>
            <w:tcW w:w="1263" w:type="dxa"/>
            <w:vAlign w:val="top"/>
          </w:tcPr>
          <w:p w14:paraId="7AC09468">
            <w:pPr>
              <w:pStyle w:val="6"/>
              <w:spacing w:before="104" w:line="188" w:lineRule="auto"/>
              <w:ind w:left="600"/>
            </w:pPr>
            <w:r>
              <w:t>1</w:t>
            </w:r>
          </w:p>
        </w:tc>
      </w:tr>
      <w:tr w14:paraId="0B65B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04F1E7FA">
            <w:pPr>
              <w:spacing w:before="67" w:line="219" w:lineRule="auto"/>
              <w:ind w:left="958"/>
              <w:rPr>
                <w:rFonts w:ascii="宋体" w:hAnsi="宋体" w:eastAsia="宋体" w:cs="宋体"/>
                <w:sz w:val="21"/>
                <w:szCs w:val="21"/>
              </w:rPr>
            </w:pPr>
            <w:r>
              <w:rPr>
                <w:rFonts w:ascii="宋体" w:hAnsi="宋体" w:eastAsia="宋体" w:cs="宋体"/>
                <w:spacing w:val="-2"/>
                <w:sz w:val="21"/>
                <w:szCs w:val="21"/>
              </w:rPr>
              <w:t>备用柴油发电机</w:t>
            </w:r>
          </w:p>
        </w:tc>
        <w:tc>
          <w:tcPr>
            <w:tcW w:w="3090" w:type="dxa"/>
            <w:vAlign w:val="top"/>
          </w:tcPr>
          <w:p w14:paraId="39E5DD48">
            <w:pPr>
              <w:pStyle w:val="6"/>
              <w:spacing w:before="99" w:line="192" w:lineRule="auto"/>
              <w:ind w:left="1243"/>
            </w:pPr>
            <w:r>
              <w:rPr>
                <w:spacing w:val="-2"/>
              </w:rPr>
              <w:t>500kW</w:t>
            </w:r>
          </w:p>
        </w:tc>
        <w:tc>
          <w:tcPr>
            <w:tcW w:w="597" w:type="dxa"/>
            <w:vAlign w:val="top"/>
          </w:tcPr>
          <w:p w14:paraId="5CE2A786">
            <w:pPr>
              <w:spacing w:before="67" w:line="222" w:lineRule="auto"/>
              <w:ind w:left="214"/>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20973EDC">
            <w:pPr>
              <w:pStyle w:val="6"/>
              <w:spacing w:before="104" w:line="188" w:lineRule="auto"/>
              <w:ind w:left="580"/>
            </w:pPr>
            <w:r>
              <w:t>2</w:t>
            </w:r>
          </w:p>
        </w:tc>
      </w:tr>
      <w:tr w14:paraId="5B82E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4B5E82E8">
            <w:pPr>
              <w:spacing w:before="67" w:line="220" w:lineRule="auto"/>
              <w:ind w:left="1165"/>
              <w:rPr>
                <w:rFonts w:ascii="宋体" w:hAnsi="宋体" w:eastAsia="宋体" w:cs="宋体"/>
                <w:sz w:val="21"/>
                <w:szCs w:val="21"/>
              </w:rPr>
            </w:pPr>
            <w:r>
              <w:rPr>
                <w:rFonts w:ascii="宋体" w:hAnsi="宋体" w:eastAsia="宋体" w:cs="宋体"/>
                <w:spacing w:val="-2"/>
                <w:sz w:val="21"/>
                <w:szCs w:val="21"/>
              </w:rPr>
              <w:t>柴油储油罐</w:t>
            </w:r>
          </w:p>
        </w:tc>
        <w:tc>
          <w:tcPr>
            <w:tcW w:w="3090" w:type="dxa"/>
            <w:vAlign w:val="top"/>
          </w:tcPr>
          <w:p w14:paraId="6BC78888">
            <w:pPr>
              <w:pStyle w:val="6"/>
              <w:spacing w:before="104" w:line="188" w:lineRule="auto"/>
              <w:ind w:left="1329"/>
            </w:pPr>
            <w:r>
              <w:rPr>
                <w:spacing w:val="-2"/>
              </w:rPr>
              <w:t>300L</w:t>
            </w:r>
          </w:p>
        </w:tc>
        <w:tc>
          <w:tcPr>
            <w:tcW w:w="597" w:type="dxa"/>
            <w:vAlign w:val="top"/>
          </w:tcPr>
          <w:p w14:paraId="70A921B4">
            <w:pPr>
              <w:spacing w:before="67" w:line="220" w:lineRule="auto"/>
              <w:ind w:left="198"/>
              <w:rPr>
                <w:rFonts w:ascii="宋体" w:hAnsi="宋体" w:eastAsia="宋体" w:cs="宋体"/>
                <w:sz w:val="21"/>
                <w:szCs w:val="21"/>
              </w:rPr>
            </w:pPr>
            <w:r>
              <w:rPr>
                <w:rFonts w:ascii="宋体" w:hAnsi="宋体" w:eastAsia="宋体" w:cs="宋体"/>
                <w:sz w:val="21"/>
                <w:szCs w:val="21"/>
              </w:rPr>
              <w:t>个</w:t>
            </w:r>
          </w:p>
        </w:tc>
        <w:tc>
          <w:tcPr>
            <w:tcW w:w="1263" w:type="dxa"/>
            <w:vAlign w:val="top"/>
          </w:tcPr>
          <w:p w14:paraId="057C977F">
            <w:pPr>
              <w:pStyle w:val="6"/>
              <w:spacing w:before="104" w:line="188" w:lineRule="auto"/>
              <w:ind w:left="580"/>
            </w:pPr>
            <w:r>
              <w:t>2</w:t>
            </w:r>
          </w:p>
        </w:tc>
      </w:tr>
      <w:tr w14:paraId="31DFD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70" w:type="dxa"/>
            <w:gridSpan w:val="3"/>
            <w:vAlign w:val="top"/>
          </w:tcPr>
          <w:p w14:paraId="4E4558D4">
            <w:pPr>
              <w:spacing w:before="67" w:line="220" w:lineRule="auto"/>
              <w:ind w:left="1385"/>
              <w:rPr>
                <w:rFonts w:ascii="宋体" w:hAnsi="宋体" w:eastAsia="宋体" w:cs="宋体"/>
                <w:sz w:val="21"/>
                <w:szCs w:val="21"/>
              </w:rPr>
            </w:pPr>
            <w:r>
              <w:rPr>
                <w:rFonts w:ascii="宋体" w:hAnsi="宋体" w:eastAsia="宋体" w:cs="宋体"/>
                <w:spacing w:val="-4"/>
                <w:sz w:val="21"/>
                <w:szCs w:val="21"/>
              </w:rPr>
              <w:t>蓄水池</w:t>
            </w:r>
          </w:p>
        </w:tc>
        <w:tc>
          <w:tcPr>
            <w:tcW w:w="3090" w:type="dxa"/>
            <w:vAlign w:val="top"/>
          </w:tcPr>
          <w:p w14:paraId="71B1CB6B">
            <w:pPr>
              <w:pStyle w:val="6"/>
              <w:spacing w:before="53" w:line="215" w:lineRule="auto"/>
              <w:ind w:left="1292"/>
              <w:rPr>
                <w:sz w:val="14"/>
                <w:szCs w:val="14"/>
              </w:rPr>
            </w:pPr>
            <w:r>
              <w:rPr>
                <w:spacing w:val="-5"/>
                <w:position w:val="-1"/>
              </w:rPr>
              <w:t>100m</w:t>
            </w:r>
            <w:r>
              <w:rPr>
                <w:spacing w:val="-5"/>
                <w:position w:val="8"/>
                <w:sz w:val="14"/>
                <w:szCs w:val="14"/>
              </w:rPr>
              <w:t>3</w:t>
            </w:r>
          </w:p>
        </w:tc>
        <w:tc>
          <w:tcPr>
            <w:tcW w:w="597" w:type="dxa"/>
            <w:vAlign w:val="top"/>
          </w:tcPr>
          <w:p w14:paraId="797CEB3C">
            <w:pPr>
              <w:spacing w:before="68" w:line="222" w:lineRule="auto"/>
              <w:ind w:left="214"/>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3031C127">
            <w:pPr>
              <w:pStyle w:val="6"/>
              <w:spacing w:before="105" w:line="188" w:lineRule="auto"/>
              <w:ind w:left="579"/>
            </w:pPr>
            <w:r>
              <w:t>4</w:t>
            </w:r>
          </w:p>
        </w:tc>
      </w:tr>
      <w:tr w14:paraId="7E142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20" w:type="dxa"/>
            <w:gridSpan w:val="6"/>
            <w:vAlign w:val="top"/>
          </w:tcPr>
          <w:p w14:paraId="21322949">
            <w:pPr>
              <w:spacing w:before="68" w:line="220" w:lineRule="auto"/>
              <w:ind w:left="3743"/>
              <w:rPr>
                <w:rFonts w:ascii="宋体" w:hAnsi="宋体" w:eastAsia="宋体" w:cs="宋体"/>
                <w:sz w:val="21"/>
                <w:szCs w:val="21"/>
              </w:rPr>
            </w:pPr>
            <w:r>
              <w:rPr>
                <w:rFonts w:ascii="宋体" w:hAnsi="宋体" w:eastAsia="宋体" w:cs="宋体"/>
                <w:b/>
                <w:bCs/>
                <w:spacing w:val="-4"/>
                <w:sz w:val="21"/>
                <w:szCs w:val="21"/>
              </w:rPr>
              <w:t>环保设施</w:t>
            </w:r>
          </w:p>
        </w:tc>
      </w:tr>
      <w:tr w14:paraId="5521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1854E7D9">
            <w:pPr>
              <w:spacing w:before="68" w:line="220" w:lineRule="auto"/>
              <w:ind w:left="853"/>
              <w:rPr>
                <w:rFonts w:ascii="宋体" w:hAnsi="宋体" w:eastAsia="宋体" w:cs="宋体"/>
                <w:sz w:val="21"/>
                <w:szCs w:val="21"/>
              </w:rPr>
            </w:pPr>
            <w:r>
              <w:rPr>
                <w:rFonts w:ascii="宋体" w:hAnsi="宋体" w:eastAsia="宋体" w:cs="宋体"/>
                <w:spacing w:val="-2"/>
                <w:sz w:val="21"/>
                <w:szCs w:val="21"/>
              </w:rPr>
              <w:t>生物除臭净化系统</w:t>
            </w:r>
          </w:p>
        </w:tc>
        <w:tc>
          <w:tcPr>
            <w:tcW w:w="3090" w:type="dxa"/>
            <w:vAlign w:val="top"/>
          </w:tcPr>
          <w:p w14:paraId="2F3DF7A9">
            <w:pPr>
              <w:pStyle w:val="6"/>
              <w:spacing w:before="101" w:line="192" w:lineRule="auto"/>
              <w:ind w:left="1512"/>
            </w:pPr>
            <w:r>
              <w:t>/</w:t>
            </w:r>
          </w:p>
        </w:tc>
        <w:tc>
          <w:tcPr>
            <w:tcW w:w="597" w:type="dxa"/>
            <w:vAlign w:val="top"/>
          </w:tcPr>
          <w:p w14:paraId="3E045F32">
            <w:pPr>
              <w:spacing w:before="69" w:line="220" w:lineRule="auto"/>
              <w:ind w:left="199"/>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4817ADFC">
            <w:pPr>
              <w:pStyle w:val="6"/>
              <w:spacing w:before="105" w:line="188" w:lineRule="auto"/>
              <w:ind w:left="580"/>
            </w:pPr>
            <w:r>
              <w:t>2</w:t>
            </w:r>
          </w:p>
        </w:tc>
      </w:tr>
      <w:tr w14:paraId="2EBD6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20" w:type="dxa"/>
            <w:gridSpan w:val="6"/>
            <w:vAlign w:val="top"/>
          </w:tcPr>
          <w:p w14:paraId="3600277A">
            <w:pPr>
              <w:spacing w:before="69" w:line="221" w:lineRule="auto"/>
              <w:ind w:left="3853"/>
              <w:rPr>
                <w:rFonts w:ascii="宋体" w:hAnsi="宋体" w:eastAsia="宋体" w:cs="宋体"/>
                <w:sz w:val="21"/>
                <w:szCs w:val="21"/>
              </w:rPr>
            </w:pPr>
            <w:r>
              <w:rPr>
                <w:rFonts w:ascii="宋体" w:hAnsi="宋体" w:eastAsia="宋体" w:cs="宋体"/>
                <w:b/>
                <w:bCs/>
                <w:spacing w:val="-5"/>
                <w:sz w:val="21"/>
                <w:szCs w:val="21"/>
              </w:rPr>
              <w:t>消纳地</w:t>
            </w:r>
          </w:p>
        </w:tc>
      </w:tr>
      <w:tr w14:paraId="416B0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27B97F4B">
            <w:pPr>
              <w:spacing w:before="69" w:line="220" w:lineRule="auto"/>
              <w:ind w:left="1191"/>
              <w:rPr>
                <w:rFonts w:ascii="宋体" w:hAnsi="宋体" w:eastAsia="宋体" w:cs="宋体"/>
                <w:sz w:val="21"/>
                <w:szCs w:val="21"/>
              </w:rPr>
            </w:pPr>
            <w:r>
              <w:rPr>
                <w:rFonts w:ascii="宋体" w:hAnsi="宋体" w:eastAsia="宋体" w:cs="宋体"/>
                <w:spacing w:val="-6"/>
                <w:sz w:val="21"/>
                <w:szCs w:val="21"/>
              </w:rPr>
              <w:t>田间储存池</w:t>
            </w:r>
          </w:p>
        </w:tc>
        <w:tc>
          <w:tcPr>
            <w:tcW w:w="3090" w:type="dxa"/>
            <w:vAlign w:val="top"/>
          </w:tcPr>
          <w:p w14:paraId="0C623DD2">
            <w:pPr>
              <w:pStyle w:val="6"/>
              <w:spacing w:before="54" w:line="225" w:lineRule="auto"/>
              <w:ind w:left="468"/>
              <w:rPr>
                <w:sz w:val="14"/>
                <w:szCs w:val="14"/>
              </w:rPr>
            </w:pPr>
            <w:r>
              <w:rPr>
                <w:spacing w:val="-1"/>
              </w:rPr>
              <w:t>4500m</w:t>
            </w:r>
            <w:r>
              <w:rPr>
                <w:spacing w:val="-1"/>
                <w:position w:val="9"/>
                <w:sz w:val="14"/>
                <w:szCs w:val="14"/>
              </w:rPr>
              <w:t>3</w:t>
            </w:r>
            <w:r>
              <w:rPr>
                <w:spacing w:val="-1"/>
              </w:rPr>
              <w:t>/</w:t>
            </w:r>
            <w:r>
              <w:rPr>
                <w:rFonts w:ascii="宋体" w:hAnsi="宋体" w:eastAsia="宋体" w:cs="宋体"/>
                <w:spacing w:val="-1"/>
              </w:rPr>
              <w:t>座，共</w:t>
            </w:r>
            <w:r>
              <w:rPr>
                <w:rFonts w:ascii="宋体" w:hAnsi="宋体" w:eastAsia="宋体" w:cs="宋体"/>
                <w:spacing w:val="-40"/>
              </w:rPr>
              <w:t xml:space="preserve"> </w:t>
            </w:r>
            <w:r>
              <w:rPr>
                <w:spacing w:val="-1"/>
              </w:rPr>
              <w:t>22500m</w:t>
            </w:r>
            <w:r>
              <w:rPr>
                <w:spacing w:val="-1"/>
                <w:position w:val="9"/>
                <w:sz w:val="14"/>
                <w:szCs w:val="14"/>
              </w:rPr>
              <w:t>3</w:t>
            </w:r>
          </w:p>
        </w:tc>
        <w:tc>
          <w:tcPr>
            <w:tcW w:w="597" w:type="dxa"/>
            <w:vAlign w:val="top"/>
          </w:tcPr>
          <w:p w14:paraId="41596159">
            <w:pPr>
              <w:spacing w:before="69" w:line="222" w:lineRule="auto"/>
              <w:ind w:left="200"/>
              <w:rPr>
                <w:rFonts w:ascii="宋体" w:hAnsi="宋体" w:eastAsia="宋体" w:cs="宋体"/>
                <w:sz w:val="21"/>
                <w:szCs w:val="21"/>
              </w:rPr>
            </w:pPr>
            <w:r>
              <w:rPr>
                <w:rFonts w:ascii="宋体" w:hAnsi="宋体" w:eastAsia="宋体" w:cs="宋体"/>
                <w:sz w:val="21"/>
                <w:szCs w:val="21"/>
              </w:rPr>
              <w:t>座</w:t>
            </w:r>
          </w:p>
        </w:tc>
        <w:tc>
          <w:tcPr>
            <w:tcW w:w="1263" w:type="dxa"/>
            <w:vAlign w:val="top"/>
          </w:tcPr>
          <w:p w14:paraId="17B6CE71">
            <w:pPr>
              <w:pStyle w:val="6"/>
              <w:spacing w:before="109" w:line="185" w:lineRule="auto"/>
              <w:ind w:left="586"/>
            </w:pPr>
            <w:r>
              <w:t>5</w:t>
            </w:r>
          </w:p>
        </w:tc>
      </w:tr>
      <w:tr w14:paraId="17E0A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282F40A1">
            <w:pPr>
              <w:spacing w:before="70" w:line="220" w:lineRule="auto"/>
              <w:ind w:left="1191"/>
              <w:rPr>
                <w:rFonts w:ascii="宋体" w:hAnsi="宋体" w:eastAsia="宋体" w:cs="宋体"/>
                <w:sz w:val="21"/>
                <w:szCs w:val="21"/>
              </w:rPr>
            </w:pPr>
            <w:r>
              <w:rPr>
                <w:rFonts w:ascii="宋体" w:hAnsi="宋体" w:eastAsia="宋体" w:cs="宋体"/>
                <w:spacing w:val="-6"/>
                <w:sz w:val="21"/>
                <w:szCs w:val="21"/>
              </w:rPr>
              <w:t>田间分配池</w:t>
            </w:r>
          </w:p>
        </w:tc>
        <w:tc>
          <w:tcPr>
            <w:tcW w:w="3090" w:type="dxa"/>
            <w:vAlign w:val="top"/>
          </w:tcPr>
          <w:p w14:paraId="522DD8D7">
            <w:pPr>
              <w:pStyle w:val="6"/>
              <w:spacing w:before="54" w:line="228" w:lineRule="auto"/>
              <w:ind w:left="981"/>
              <w:rPr>
                <w:rFonts w:ascii="宋体" w:hAnsi="宋体" w:eastAsia="宋体" w:cs="宋体"/>
              </w:rPr>
            </w:pPr>
            <w:r>
              <w:rPr>
                <w:spacing w:val="-2"/>
              </w:rPr>
              <w:t>50~100m</w:t>
            </w:r>
            <w:r>
              <w:rPr>
                <w:spacing w:val="-2"/>
                <w:position w:val="9"/>
                <w:sz w:val="14"/>
                <w:szCs w:val="14"/>
              </w:rPr>
              <w:t>3</w:t>
            </w:r>
            <w:r>
              <w:rPr>
                <w:spacing w:val="-2"/>
              </w:rPr>
              <w:t>/</w:t>
            </w:r>
            <w:r>
              <w:rPr>
                <w:rFonts w:ascii="宋体" w:hAnsi="宋体" w:eastAsia="宋体" w:cs="宋体"/>
                <w:spacing w:val="-2"/>
              </w:rPr>
              <w:t>座</w:t>
            </w:r>
          </w:p>
        </w:tc>
        <w:tc>
          <w:tcPr>
            <w:tcW w:w="597" w:type="dxa"/>
            <w:vAlign w:val="top"/>
          </w:tcPr>
          <w:p w14:paraId="0A0C0EDA">
            <w:pPr>
              <w:spacing w:before="69" w:line="222" w:lineRule="auto"/>
              <w:ind w:left="200"/>
              <w:rPr>
                <w:rFonts w:ascii="宋体" w:hAnsi="宋体" w:eastAsia="宋体" w:cs="宋体"/>
                <w:sz w:val="21"/>
                <w:szCs w:val="21"/>
              </w:rPr>
            </w:pPr>
            <w:r>
              <w:rPr>
                <w:rFonts w:ascii="宋体" w:hAnsi="宋体" w:eastAsia="宋体" w:cs="宋体"/>
                <w:sz w:val="21"/>
                <w:szCs w:val="21"/>
              </w:rPr>
              <w:t>座</w:t>
            </w:r>
          </w:p>
        </w:tc>
        <w:tc>
          <w:tcPr>
            <w:tcW w:w="1263" w:type="dxa"/>
            <w:vAlign w:val="top"/>
          </w:tcPr>
          <w:p w14:paraId="47364671">
            <w:pPr>
              <w:spacing w:before="70" w:line="220" w:lineRule="auto"/>
              <w:ind w:left="28"/>
              <w:rPr>
                <w:rFonts w:ascii="宋体" w:hAnsi="宋体" w:eastAsia="宋体" w:cs="宋体"/>
                <w:sz w:val="21"/>
                <w:szCs w:val="21"/>
              </w:rPr>
            </w:pPr>
            <w:r>
              <w:rPr>
                <w:rFonts w:ascii="宋体" w:hAnsi="宋体" w:eastAsia="宋体" w:cs="宋体"/>
                <w:spacing w:val="-7"/>
                <w:sz w:val="21"/>
                <w:szCs w:val="21"/>
              </w:rPr>
              <w:t>视现场情况定</w:t>
            </w:r>
          </w:p>
        </w:tc>
      </w:tr>
      <w:tr w14:paraId="3DAC0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70" w:type="dxa"/>
            <w:gridSpan w:val="3"/>
            <w:vAlign w:val="top"/>
          </w:tcPr>
          <w:p w14:paraId="7B04D66D">
            <w:pPr>
              <w:spacing w:before="69" w:line="220" w:lineRule="auto"/>
              <w:ind w:left="1274"/>
              <w:rPr>
                <w:rFonts w:ascii="宋体" w:hAnsi="宋体" w:eastAsia="宋体" w:cs="宋体"/>
                <w:sz w:val="21"/>
                <w:szCs w:val="21"/>
              </w:rPr>
            </w:pPr>
            <w:r>
              <w:rPr>
                <w:rFonts w:ascii="宋体" w:hAnsi="宋体" w:eastAsia="宋体" w:cs="宋体"/>
                <w:spacing w:val="-3"/>
                <w:sz w:val="21"/>
                <w:szCs w:val="21"/>
              </w:rPr>
              <w:t>灌溉管网</w:t>
            </w:r>
          </w:p>
        </w:tc>
        <w:tc>
          <w:tcPr>
            <w:tcW w:w="3090" w:type="dxa"/>
            <w:vAlign w:val="top"/>
          </w:tcPr>
          <w:p w14:paraId="38DC8B2B">
            <w:pPr>
              <w:pStyle w:val="6"/>
              <w:spacing w:before="106" w:line="180" w:lineRule="auto"/>
              <w:ind w:left="793"/>
            </w:pPr>
            <w:r>
              <w:rPr>
                <w:spacing w:val="-5"/>
              </w:rPr>
              <w:t>DN110</w:t>
            </w:r>
            <w:r>
              <w:rPr>
                <w:spacing w:val="-26"/>
              </w:rPr>
              <w:t xml:space="preserve"> </w:t>
            </w:r>
            <w:r>
              <w:rPr>
                <w:rFonts w:ascii="宋体" w:hAnsi="宋体" w:eastAsia="宋体" w:cs="宋体"/>
                <w:spacing w:val="-5"/>
              </w:rPr>
              <w:t>、</w:t>
            </w:r>
            <w:r>
              <w:rPr>
                <w:spacing w:val="-5"/>
              </w:rPr>
              <w:t>90</w:t>
            </w:r>
            <w:r>
              <w:rPr>
                <w:spacing w:val="-31"/>
              </w:rPr>
              <w:t xml:space="preserve"> </w:t>
            </w:r>
            <w:r>
              <w:rPr>
                <w:rFonts w:ascii="宋体" w:hAnsi="宋体" w:eastAsia="宋体" w:cs="宋体"/>
                <w:spacing w:val="-5"/>
              </w:rPr>
              <w:t>、</w:t>
            </w:r>
            <w:r>
              <w:rPr>
                <w:spacing w:val="-5"/>
              </w:rPr>
              <w:t>6.3</w:t>
            </w:r>
          </w:p>
        </w:tc>
        <w:tc>
          <w:tcPr>
            <w:tcW w:w="597" w:type="dxa"/>
            <w:vAlign w:val="top"/>
          </w:tcPr>
          <w:p w14:paraId="500BC96D">
            <w:pPr>
              <w:pStyle w:val="6"/>
              <w:spacing w:before="103" w:line="192" w:lineRule="auto"/>
              <w:ind w:left="163"/>
            </w:pPr>
            <w:r>
              <w:t>km</w:t>
            </w:r>
          </w:p>
        </w:tc>
        <w:tc>
          <w:tcPr>
            <w:tcW w:w="1263" w:type="dxa"/>
            <w:vAlign w:val="top"/>
          </w:tcPr>
          <w:p w14:paraId="14762A48">
            <w:pPr>
              <w:pStyle w:val="6"/>
              <w:spacing w:before="106" w:line="188" w:lineRule="auto"/>
              <w:ind w:left="527"/>
            </w:pPr>
            <w:r>
              <w:rPr>
                <w:spacing w:val="-2"/>
              </w:rPr>
              <w:t>20</w:t>
            </w:r>
          </w:p>
        </w:tc>
      </w:tr>
      <w:tr w14:paraId="03905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0" w:type="dxa"/>
            <w:gridSpan w:val="3"/>
            <w:vAlign w:val="top"/>
          </w:tcPr>
          <w:p w14:paraId="74CBEA92">
            <w:pPr>
              <w:spacing w:before="70" w:line="220" w:lineRule="auto"/>
              <w:ind w:left="1376"/>
              <w:rPr>
                <w:rFonts w:ascii="宋体" w:hAnsi="宋体" w:eastAsia="宋体" w:cs="宋体"/>
                <w:sz w:val="21"/>
                <w:szCs w:val="21"/>
              </w:rPr>
            </w:pPr>
            <w:r>
              <w:rPr>
                <w:rFonts w:ascii="宋体" w:hAnsi="宋体" w:eastAsia="宋体" w:cs="宋体"/>
                <w:spacing w:val="-3"/>
                <w:sz w:val="21"/>
                <w:szCs w:val="21"/>
              </w:rPr>
              <w:t>提升泵</w:t>
            </w:r>
          </w:p>
        </w:tc>
        <w:tc>
          <w:tcPr>
            <w:tcW w:w="3090" w:type="dxa"/>
            <w:vAlign w:val="top"/>
          </w:tcPr>
          <w:p w14:paraId="33EBE8E8">
            <w:pPr>
              <w:pStyle w:val="6"/>
              <w:spacing w:before="55" w:line="215" w:lineRule="auto"/>
              <w:ind w:left="1110"/>
            </w:pPr>
            <w:r>
              <w:rPr>
                <w:spacing w:val="-1"/>
              </w:rPr>
              <w:t>Q=50m</w:t>
            </w:r>
            <w:r>
              <w:rPr>
                <w:spacing w:val="-1"/>
                <w:position w:val="9"/>
                <w:sz w:val="14"/>
                <w:szCs w:val="14"/>
              </w:rPr>
              <w:t>3</w:t>
            </w:r>
            <w:r>
              <w:rPr>
                <w:spacing w:val="-1"/>
              </w:rPr>
              <w:t>/h</w:t>
            </w:r>
          </w:p>
        </w:tc>
        <w:tc>
          <w:tcPr>
            <w:tcW w:w="597" w:type="dxa"/>
            <w:vAlign w:val="top"/>
          </w:tcPr>
          <w:p w14:paraId="3DC15573">
            <w:pPr>
              <w:spacing w:before="70" w:line="222" w:lineRule="auto"/>
              <w:ind w:left="214"/>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7829C454">
            <w:pPr>
              <w:pStyle w:val="6"/>
              <w:spacing w:before="110" w:line="185" w:lineRule="auto"/>
              <w:ind w:left="586"/>
            </w:pPr>
            <w:r>
              <w:t>5</w:t>
            </w:r>
          </w:p>
        </w:tc>
      </w:tr>
      <w:tr w14:paraId="24BAF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20" w:type="dxa"/>
            <w:gridSpan w:val="6"/>
            <w:vAlign w:val="top"/>
          </w:tcPr>
          <w:p w14:paraId="03C1A3FE">
            <w:pPr>
              <w:spacing w:before="70" w:line="220" w:lineRule="auto"/>
              <w:ind w:left="3535"/>
              <w:rPr>
                <w:rFonts w:ascii="宋体" w:hAnsi="宋体" w:eastAsia="宋体" w:cs="宋体"/>
                <w:sz w:val="21"/>
                <w:szCs w:val="21"/>
              </w:rPr>
            </w:pPr>
            <w:r>
              <w:rPr>
                <w:rFonts w:ascii="宋体" w:hAnsi="宋体" w:eastAsia="宋体" w:cs="宋体"/>
                <w:b/>
                <w:bCs/>
                <w:spacing w:val="-4"/>
                <w:sz w:val="21"/>
                <w:szCs w:val="21"/>
              </w:rPr>
              <w:t>污粪处理设施</w:t>
            </w:r>
          </w:p>
        </w:tc>
      </w:tr>
      <w:tr w14:paraId="14A9E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gridSpan w:val="2"/>
            <w:vMerge w:val="restart"/>
            <w:tcBorders>
              <w:bottom w:val="nil"/>
            </w:tcBorders>
            <w:vAlign w:val="top"/>
          </w:tcPr>
          <w:p w14:paraId="6315A73F">
            <w:pPr>
              <w:pStyle w:val="6"/>
              <w:spacing w:before="265" w:line="282" w:lineRule="auto"/>
              <w:ind w:left="246" w:right="246" w:firstLine="90"/>
              <w:rPr>
                <w:rFonts w:ascii="宋体" w:hAnsi="宋体" w:eastAsia="宋体" w:cs="宋体"/>
              </w:rPr>
            </w:pPr>
            <w:r>
              <w:rPr>
                <w:rFonts w:ascii="宋体" w:hAnsi="宋体" w:eastAsia="宋体" w:cs="宋体"/>
                <w:spacing w:val="-2"/>
              </w:rPr>
              <w:t>粪污收集池</w:t>
            </w:r>
            <w:r>
              <w:rPr>
                <w:rFonts w:ascii="宋体" w:hAnsi="宋体" w:eastAsia="宋体" w:cs="宋体"/>
                <w:spacing w:val="-4"/>
              </w:rPr>
              <w:t>（</w:t>
            </w:r>
            <w:r>
              <w:rPr>
                <w:spacing w:val="-4"/>
              </w:rPr>
              <w:t>6×10×5m</w:t>
            </w:r>
            <w:r>
              <w:rPr>
                <w:rFonts w:ascii="宋体" w:hAnsi="宋体" w:eastAsia="宋体" w:cs="宋体"/>
                <w:spacing w:val="-4"/>
              </w:rPr>
              <w:t>）</w:t>
            </w:r>
          </w:p>
        </w:tc>
        <w:tc>
          <w:tcPr>
            <w:tcW w:w="1660" w:type="dxa"/>
            <w:vAlign w:val="top"/>
          </w:tcPr>
          <w:p w14:paraId="1AA60A89">
            <w:pPr>
              <w:spacing w:before="71" w:line="219" w:lineRule="auto"/>
              <w:ind w:left="413"/>
              <w:rPr>
                <w:rFonts w:ascii="宋体" w:hAnsi="宋体" w:eastAsia="宋体" w:cs="宋体"/>
                <w:sz w:val="21"/>
                <w:szCs w:val="21"/>
              </w:rPr>
            </w:pPr>
            <w:r>
              <w:rPr>
                <w:rFonts w:ascii="宋体" w:hAnsi="宋体" w:eastAsia="宋体" w:cs="宋体"/>
                <w:spacing w:val="-2"/>
                <w:sz w:val="21"/>
                <w:szCs w:val="21"/>
              </w:rPr>
              <w:t>机械格珊</w:t>
            </w:r>
          </w:p>
        </w:tc>
        <w:tc>
          <w:tcPr>
            <w:tcW w:w="3090" w:type="dxa"/>
            <w:vAlign w:val="top"/>
          </w:tcPr>
          <w:p w14:paraId="036A0AE2">
            <w:pPr>
              <w:pStyle w:val="6"/>
              <w:spacing w:before="70" w:line="220" w:lineRule="auto"/>
              <w:ind w:left="387"/>
            </w:pPr>
            <w:r>
              <w:rPr>
                <w:rFonts w:ascii="宋体" w:hAnsi="宋体" w:eastAsia="宋体" w:cs="宋体"/>
                <w:spacing w:val="-5"/>
              </w:rPr>
              <w:t>渠宽</w:t>
            </w:r>
            <w:r>
              <w:rPr>
                <w:rFonts w:ascii="宋体" w:hAnsi="宋体" w:eastAsia="宋体" w:cs="宋体"/>
                <w:spacing w:val="-40"/>
              </w:rPr>
              <w:t xml:space="preserve"> </w:t>
            </w:r>
            <w:r>
              <w:rPr>
                <w:spacing w:val="-5"/>
              </w:rPr>
              <w:t>600mm</w:t>
            </w:r>
            <w:r>
              <w:rPr>
                <w:rFonts w:ascii="宋体" w:hAnsi="宋体" w:eastAsia="宋体" w:cs="宋体"/>
                <w:spacing w:val="-5"/>
              </w:rPr>
              <w:t xml:space="preserve">，间隙 </w:t>
            </w:r>
            <w:r>
              <w:rPr>
                <w:spacing w:val="-5"/>
              </w:rPr>
              <w:t>10mm</w:t>
            </w:r>
          </w:p>
        </w:tc>
        <w:tc>
          <w:tcPr>
            <w:tcW w:w="597" w:type="dxa"/>
            <w:vAlign w:val="top"/>
          </w:tcPr>
          <w:p w14:paraId="0BC96E84">
            <w:pPr>
              <w:spacing w:before="71" w:line="220" w:lineRule="auto"/>
              <w:ind w:left="207"/>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6E34C940">
            <w:pPr>
              <w:pStyle w:val="6"/>
              <w:spacing w:before="108" w:line="188" w:lineRule="auto"/>
              <w:ind w:left="604"/>
            </w:pPr>
            <w:r>
              <w:t>1</w:t>
            </w:r>
          </w:p>
        </w:tc>
      </w:tr>
      <w:tr w14:paraId="042D4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gridSpan w:val="2"/>
            <w:vMerge w:val="continue"/>
            <w:tcBorders>
              <w:top w:val="nil"/>
              <w:bottom w:val="nil"/>
            </w:tcBorders>
            <w:vAlign w:val="top"/>
          </w:tcPr>
          <w:p w14:paraId="47A00985">
            <w:pPr>
              <w:rPr>
                <w:rFonts w:ascii="Arial"/>
                <w:sz w:val="21"/>
              </w:rPr>
            </w:pPr>
          </w:p>
        </w:tc>
        <w:tc>
          <w:tcPr>
            <w:tcW w:w="1660" w:type="dxa"/>
            <w:vAlign w:val="top"/>
          </w:tcPr>
          <w:p w14:paraId="0920136B">
            <w:pPr>
              <w:spacing w:before="71" w:line="220" w:lineRule="auto"/>
              <w:ind w:left="520"/>
              <w:rPr>
                <w:rFonts w:ascii="宋体" w:hAnsi="宋体" w:eastAsia="宋体" w:cs="宋体"/>
                <w:sz w:val="21"/>
                <w:szCs w:val="21"/>
              </w:rPr>
            </w:pPr>
            <w:r>
              <w:rPr>
                <w:rFonts w:ascii="宋体" w:hAnsi="宋体" w:eastAsia="宋体" w:cs="宋体"/>
                <w:spacing w:val="-3"/>
                <w:sz w:val="21"/>
                <w:szCs w:val="21"/>
              </w:rPr>
              <w:t>提升泵</w:t>
            </w:r>
          </w:p>
        </w:tc>
        <w:tc>
          <w:tcPr>
            <w:tcW w:w="3090" w:type="dxa"/>
            <w:vAlign w:val="top"/>
          </w:tcPr>
          <w:p w14:paraId="6BEF3669">
            <w:pPr>
              <w:pStyle w:val="6"/>
              <w:spacing w:before="56" w:line="218" w:lineRule="auto"/>
              <w:ind w:left="165"/>
            </w:pPr>
            <w:r>
              <w:rPr>
                <w:spacing w:val="-3"/>
              </w:rPr>
              <w:t>Q=30m</w:t>
            </w:r>
            <w:r>
              <w:rPr>
                <w:spacing w:val="-3"/>
                <w:position w:val="9"/>
                <w:sz w:val="14"/>
                <w:szCs w:val="14"/>
              </w:rPr>
              <w:t>3</w:t>
            </w:r>
            <w:r>
              <w:rPr>
                <w:spacing w:val="-3"/>
              </w:rPr>
              <w:t>/h</w:t>
            </w:r>
            <w:r>
              <w:rPr>
                <w:spacing w:val="-17"/>
              </w:rPr>
              <w:t xml:space="preserve"> </w:t>
            </w:r>
            <w:r>
              <w:rPr>
                <w:rFonts w:ascii="宋体" w:hAnsi="宋体" w:eastAsia="宋体" w:cs="宋体"/>
                <w:spacing w:val="-3"/>
              </w:rPr>
              <w:t>，</w:t>
            </w:r>
            <w:r>
              <w:rPr>
                <w:spacing w:val="-3"/>
              </w:rPr>
              <w:t>H=13m</w:t>
            </w:r>
            <w:r>
              <w:rPr>
                <w:spacing w:val="-30"/>
              </w:rPr>
              <w:t xml:space="preserve"> </w:t>
            </w:r>
            <w:r>
              <w:rPr>
                <w:rFonts w:ascii="宋体" w:hAnsi="宋体" w:eastAsia="宋体" w:cs="宋体"/>
                <w:spacing w:val="-3"/>
              </w:rPr>
              <w:t>，</w:t>
            </w:r>
            <w:r>
              <w:rPr>
                <w:spacing w:val="-3"/>
              </w:rPr>
              <w:t>N=2.2kW</w:t>
            </w:r>
          </w:p>
        </w:tc>
        <w:tc>
          <w:tcPr>
            <w:tcW w:w="597" w:type="dxa"/>
            <w:vAlign w:val="top"/>
          </w:tcPr>
          <w:p w14:paraId="6FD28C1E">
            <w:pPr>
              <w:spacing w:before="71" w:line="222" w:lineRule="auto"/>
              <w:ind w:left="223"/>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638E04D9">
            <w:pPr>
              <w:pStyle w:val="6"/>
              <w:spacing w:before="108" w:line="188" w:lineRule="auto"/>
              <w:ind w:left="584"/>
            </w:pPr>
            <w:r>
              <w:t>2</w:t>
            </w:r>
          </w:p>
        </w:tc>
      </w:tr>
      <w:tr w14:paraId="0EE0F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gridSpan w:val="2"/>
            <w:vMerge w:val="continue"/>
            <w:tcBorders>
              <w:top w:val="nil"/>
            </w:tcBorders>
            <w:vAlign w:val="top"/>
          </w:tcPr>
          <w:p w14:paraId="48BE5014">
            <w:pPr>
              <w:rPr>
                <w:rFonts w:ascii="Arial"/>
                <w:sz w:val="21"/>
              </w:rPr>
            </w:pPr>
          </w:p>
        </w:tc>
        <w:tc>
          <w:tcPr>
            <w:tcW w:w="1660" w:type="dxa"/>
            <w:vAlign w:val="top"/>
          </w:tcPr>
          <w:p w14:paraId="109984A0">
            <w:pPr>
              <w:spacing w:before="71" w:line="219" w:lineRule="auto"/>
              <w:ind w:left="308"/>
              <w:rPr>
                <w:rFonts w:ascii="宋体" w:hAnsi="宋体" w:eastAsia="宋体" w:cs="宋体"/>
                <w:sz w:val="21"/>
                <w:szCs w:val="21"/>
              </w:rPr>
            </w:pPr>
            <w:r>
              <w:rPr>
                <w:rFonts w:ascii="宋体" w:hAnsi="宋体" w:eastAsia="宋体" w:cs="宋体"/>
                <w:spacing w:val="-2"/>
                <w:sz w:val="21"/>
                <w:szCs w:val="21"/>
              </w:rPr>
              <w:t>潜水搅拌机</w:t>
            </w:r>
          </w:p>
        </w:tc>
        <w:tc>
          <w:tcPr>
            <w:tcW w:w="3090" w:type="dxa"/>
            <w:vAlign w:val="top"/>
          </w:tcPr>
          <w:p w14:paraId="10B94D31">
            <w:pPr>
              <w:pStyle w:val="6"/>
              <w:spacing w:before="71" w:line="219" w:lineRule="auto"/>
              <w:ind w:left="584"/>
            </w:pPr>
            <w:r>
              <w:rPr>
                <w:rFonts w:ascii="宋体" w:hAnsi="宋体" w:eastAsia="宋体" w:cs="宋体"/>
                <w:spacing w:val="-1"/>
              </w:rPr>
              <w:t>立式搅拌机，</w:t>
            </w:r>
            <w:r>
              <w:rPr>
                <w:spacing w:val="-1"/>
              </w:rPr>
              <w:t>N=3kW</w:t>
            </w:r>
          </w:p>
        </w:tc>
        <w:tc>
          <w:tcPr>
            <w:tcW w:w="597" w:type="dxa"/>
            <w:vAlign w:val="top"/>
          </w:tcPr>
          <w:p w14:paraId="388DC8C4">
            <w:pPr>
              <w:spacing w:before="72" w:line="220" w:lineRule="auto"/>
              <w:ind w:left="207"/>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208CBF48">
            <w:pPr>
              <w:pStyle w:val="6"/>
              <w:spacing w:before="108" w:line="188" w:lineRule="auto"/>
              <w:ind w:left="583"/>
            </w:pPr>
            <w:r>
              <w:t>2</w:t>
            </w:r>
          </w:p>
        </w:tc>
      </w:tr>
      <w:tr w14:paraId="6D011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gridSpan w:val="2"/>
            <w:vAlign w:val="top"/>
          </w:tcPr>
          <w:p w14:paraId="5F2C19D3">
            <w:pPr>
              <w:pStyle w:val="6"/>
              <w:spacing w:before="57" w:line="247" w:lineRule="auto"/>
              <w:ind w:left="298" w:right="223" w:hanging="50"/>
              <w:rPr>
                <w:rFonts w:ascii="宋体" w:hAnsi="宋体" w:eastAsia="宋体" w:cs="宋体"/>
              </w:rPr>
            </w:pPr>
            <w:r>
              <w:rPr>
                <w:rFonts w:ascii="宋体" w:hAnsi="宋体" w:eastAsia="宋体" w:cs="宋体"/>
                <w:spacing w:val="-5"/>
              </w:rPr>
              <w:t>固液分离平台</w:t>
            </w:r>
            <w:r>
              <w:rPr>
                <w:rFonts w:ascii="宋体" w:hAnsi="宋体" w:eastAsia="宋体" w:cs="宋体"/>
                <w:spacing w:val="-2"/>
              </w:rPr>
              <w:t>（</w:t>
            </w:r>
            <w:r>
              <w:rPr>
                <w:spacing w:val="-2"/>
              </w:rPr>
              <w:t>5×6×3m</w:t>
            </w:r>
            <w:r>
              <w:rPr>
                <w:rFonts w:ascii="宋体" w:hAnsi="宋体" w:eastAsia="宋体" w:cs="宋体"/>
                <w:spacing w:val="-2"/>
              </w:rPr>
              <w:t>）</w:t>
            </w:r>
          </w:p>
        </w:tc>
        <w:tc>
          <w:tcPr>
            <w:tcW w:w="1660" w:type="dxa"/>
            <w:vAlign w:val="top"/>
          </w:tcPr>
          <w:p w14:paraId="65A308DF">
            <w:pPr>
              <w:spacing w:before="57" w:line="247" w:lineRule="auto"/>
              <w:ind w:left="728" w:right="94" w:hanging="630"/>
              <w:rPr>
                <w:rFonts w:ascii="宋体" w:hAnsi="宋体" w:eastAsia="宋体" w:cs="宋体"/>
                <w:sz w:val="21"/>
                <w:szCs w:val="21"/>
              </w:rPr>
            </w:pPr>
            <w:r>
              <w:rPr>
                <w:rFonts w:ascii="宋体" w:hAnsi="宋体" w:eastAsia="宋体" w:cs="宋体"/>
                <w:spacing w:val="-2"/>
                <w:sz w:val="21"/>
                <w:szCs w:val="21"/>
              </w:rPr>
              <w:t>斜筛式固液分离</w:t>
            </w:r>
            <w:r>
              <w:rPr>
                <w:rFonts w:ascii="宋体" w:hAnsi="宋体" w:eastAsia="宋体" w:cs="宋体"/>
                <w:sz w:val="21"/>
                <w:szCs w:val="21"/>
              </w:rPr>
              <w:t>机</w:t>
            </w:r>
          </w:p>
        </w:tc>
        <w:tc>
          <w:tcPr>
            <w:tcW w:w="3090" w:type="dxa"/>
            <w:vAlign w:val="top"/>
          </w:tcPr>
          <w:p w14:paraId="6B3FA3E5">
            <w:pPr>
              <w:pStyle w:val="6"/>
              <w:spacing w:before="198" w:line="218" w:lineRule="auto"/>
              <w:ind w:left="451"/>
            </w:pPr>
            <w:r>
              <w:rPr>
                <w:spacing w:val="-2"/>
              </w:rPr>
              <w:t>Q=20-30m</w:t>
            </w:r>
            <w:r>
              <w:rPr>
                <w:spacing w:val="-2"/>
                <w:position w:val="9"/>
                <w:sz w:val="14"/>
                <w:szCs w:val="14"/>
              </w:rPr>
              <w:t>3</w:t>
            </w:r>
            <w:r>
              <w:rPr>
                <w:spacing w:val="-2"/>
              </w:rPr>
              <w:t>/h</w:t>
            </w:r>
            <w:r>
              <w:rPr>
                <w:spacing w:val="-23"/>
              </w:rPr>
              <w:t xml:space="preserve"> </w:t>
            </w:r>
            <w:r>
              <w:rPr>
                <w:rFonts w:ascii="宋体" w:hAnsi="宋体" w:eastAsia="宋体" w:cs="宋体"/>
                <w:spacing w:val="-2"/>
              </w:rPr>
              <w:t>，</w:t>
            </w:r>
            <w:r>
              <w:rPr>
                <w:spacing w:val="-2"/>
              </w:rPr>
              <w:t>N=2.2kW</w:t>
            </w:r>
          </w:p>
        </w:tc>
        <w:tc>
          <w:tcPr>
            <w:tcW w:w="597" w:type="dxa"/>
            <w:vAlign w:val="top"/>
          </w:tcPr>
          <w:p w14:paraId="39A8EB34">
            <w:pPr>
              <w:spacing w:before="213" w:line="222" w:lineRule="auto"/>
              <w:ind w:left="223"/>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44CB2416">
            <w:pPr>
              <w:pStyle w:val="6"/>
              <w:spacing w:before="250" w:line="188" w:lineRule="auto"/>
              <w:ind w:left="584"/>
            </w:pPr>
            <w:r>
              <w:t>2</w:t>
            </w:r>
          </w:p>
        </w:tc>
      </w:tr>
      <w:tr w14:paraId="20627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gridSpan w:val="2"/>
            <w:vAlign w:val="top"/>
          </w:tcPr>
          <w:p w14:paraId="2A764F72">
            <w:pPr>
              <w:pStyle w:val="6"/>
              <w:spacing w:before="57" w:line="247" w:lineRule="auto"/>
              <w:ind w:left="246" w:right="246" w:firstLine="91"/>
              <w:rPr>
                <w:rFonts w:ascii="宋体" w:hAnsi="宋体" w:eastAsia="宋体" w:cs="宋体"/>
              </w:rPr>
            </w:pPr>
            <w:r>
              <w:rPr>
                <w:rFonts w:ascii="宋体" w:hAnsi="宋体" w:eastAsia="宋体" w:cs="宋体"/>
                <w:spacing w:val="-3"/>
              </w:rPr>
              <w:t>水解酸化池</w:t>
            </w:r>
            <w:r>
              <w:rPr>
                <w:rFonts w:ascii="宋体" w:hAnsi="宋体" w:eastAsia="宋体" w:cs="宋体"/>
                <w:spacing w:val="-4"/>
              </w:rPr>
              <w:t>（</w:t>
            </w:r>
            <w:r>
              <w:rPr>
                <w:spacing w:val="-4"/>
              </w:rPr>
              <w:t>9×10×5m</w:t>
            </w:r>
            <w:r>
              <w:rPr>
                <w:rFonts w:ascii="宋体" w:hAnsi="宋体" w:eastAsia="宋体" w:cs="宋体"/>
                <w:spacing w:val="-4"/>
              </w:rPr>
              <w:t>）</w:t>
            </w:r>
          </w:p>
        </w:tc>
        <w:tc>
          <w:tcPr>
            <w:tcW w:w="1660" w:type="dxa"/>
            <w:vAlign w:val="top"/>
          </w:tcPr>
          <w:p w14:paraId="28760A0B">
            <w:pPr>
              <w:spacing w:before="213" w:line="220" w:lineRule="auto"/>
              <w:ind w:left="520"/>
              <w:rPr>
                <w:rFonts w:ascii="宋体" w:hAnsi="宋体" w:eastAsia="宋体" w:cs="宋体"/>
                <w:sz w:val="21"/>
                <w:szCs w:val="21"/>
              </w:rPr>
            </w:pPr>
            <w:r>
              <w:rPr>
                <w:rFonts w:ascii="宋体" w:hAnsi="宋体" w:eastAsia="宋体" w:cs="宋体"/>
                <w:spacing w:val="-3"/>
                <w:sz w:val="21"/>
                <w:szCs w:val="21"/>
              </w:rPr>
              <w:t>提升泵</w:t>
            </w:r>
          </w:p>
        </w:tc>
        <w:tc>
          <w:tcPr>
            <w:tcW w:w="3090" w:type="dxa"/>
            <w:vAlign w:val="top"/>
          </w:tcPr>
          <w:p w14:paraId="6221E6DD">
            <w:pPr>
              <w:pStyle w:val="6"/>
              <w:spacing w:before="198" w:line="218" w:lineRule="auto"/>
              <w:ind w:left="243"/>
            </w:pPr>
            <w:r>
              <w:rPr>
                <w:spacing w:val="-3"/>
              </w:rPr>
              <w:t>Q=30m</w:t>
            </w:r>
            <w:r>
              <w:rPr>
                <w:spacing w:val="-3"/>
                <w:position w:val="9"/>
                <w:sz w:val="14"/>
                <w:szCs w:val="14"/>
              </w:rPr>
              <w:t>3</w:t>
            </w:r>
            <w:r>
              <w:rPr>
                <w:spacing w:val="-3"/>
              </w:rPr>
              <w:t>/h</w:t>
            </w:r>
            <w:r>
              <w:rPr>
                <w:spacing w:val="-23"/>
              </w:rPr>
              <w:t xml:space="preserve"> </w:t>
            </w:r>
            <w:r>
              <w:rPr>
                <w:rFonts w:ascii="宋体" w:hAnsi="宋体" w:eastAsia="宋体" w:cs="宋体"/>
                <w:spacing w:val="-3"/>
              </w:rPr>
              <w:t>，</w:t>
            </w:r>
            <w:r>
              <w:rPr>
                <w:spacing w:val="-3"/>
              </w:rPr>
              <w:t>H=25m</w:t>
            </w:r>
            <w:r>
              <w:rPr>
                <w:spacing w:val="-30"/>
              </w:rPr>
              <w:t xml:space="preserve"> </w:t>
            </w:r>
            <w:r>
              <w:rPr>
                <w:rFonts w:ascii="宋体" w:hAnsi="宋体" w:eastAsia="宋体" w:cs="宋体"/>
                <w:spacing w:val="-3"/>
              </w:rPr>
              <w:t>，</w:t>
            </w:r>
            <w:r>
              <w:rPr>
                <w:spacing w:val="-3"/>
              </w:rPr>
              <w:t>N=5kW</w:t>
            </w:r>
          </w:p>
        </w:tc>
        <w:tc>
          <w:tcPr>
            <w:tcW w:w="597" w:type="dxa"/>
            <w:vAlign w:val="top"/>
          </w:tcPr>
          <w:p w14:paraId="73DB34EF">
            <w:pPr>
              <w:spacing w:before="213" w:line="222" w:lineRule="auto"/>
              <w:ind w:left="223"/>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35B2E38F">
            <w:pPr>
              <w:pStyle w:val="6"/>
              <w:spacing w:before="250" w:line="188" w:lineRule="auto"/>
              <w:ind w:left="588"/>
            </w:pPr>
            <w:r>
              <w:t>3</w:t>
            </w:r>
          </w:p>
        </w:tc>
      </w:tr>
      <w:tr w14:paraId="77A57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gridSpan w:val="2"/>
            <w:vMerge w:val="restart"/>
            <w:tcBorders>
              <w:bottom w:val="nil"/>
            </w:tcBorders>
            <w:vAlign w:val="top"/>
          </w:tcPr>
          <w:p w14:paraId="0379458E">
            <w:pPr>
              <w:pStyle w:val="6"/>
              <w:spacing w:before="288" w:line="188" w:lineRule="auto"/>
              <w:ind w:left="596"/>
            </w:pPr>
            <w:r>
              <w:rPr>
                <w:spacing w:val="-2"/>
              </w:rPr>
              <w:t>CSTR</w:t>
            </w:r>
          </w:p>
          <w:p w14:paraId="420F3FF8">
            <w:pPr>
              <w:spacing w:before="86" w:line="219" w:lineRule="auto"/>
              <w:ind w:left="336"/>
              <w:rPr>
                <w:rFonts w:ascii="宋体" w:hAnsi="宋体" w:eastAsia="宋体" w:cs="宋体"/>
                <w:sz w:val="21"/>
                <w:szCs w:val="21"/>
              </w:rPr>
            </w:pPr>
            <w:r>
              <w:rPr>
                <w:rFonts w:ascii="宋体" w:hAnsi="宋体" w:eastAsia="宋体" w:cs="宋体"/>
                <w:spacing w:val="-2"/>
                <w:sz w:val="21"/>
                <w:szCs w:val="21"/>
              </w:rPr>
              <w:t>厌氧反应器</w:t>
            </w:r>
          </w:p>
          <w:p w14:paraId="754A2F29">
            <w:pPr>
              <w:pStyle w:val="6"/>
              <w:spacing w:before="63" w:line="222" w:lineRule="auto"/>
              <w:ind w:right="3"/>
              <w:jc w:val="right"/>
              <w:rPr>
                <w:rFonts w:ascii="宋体" w:hAnsi="宋体" w:eastAsia="宋体" w:cs="宋体"/>
              </w:rPr>
            </w:pPr>
            <w:r>
              <w:rPr>
                <w:rFonts w:ascii="宋体" w:hAnsi="宋体" w:eastAsia="宋体" w:cs="宋体"/>
                <w:spacing w:val="-1"/>
              </w:rPr>
              <w:t>(</w:t>
            </w:r>
            <w:r>
              <w:rPr>
                <w:spacing w:val="-1"/>
              </w:rPr>
              <w:t>Φ15.29×10.2m</w:t>
            </w:r>
            <w:r>
              <w:rPr>
                <w:rFonts w:ascii="宋体" w:hAnsi="宋体" w:eastAsia="宋体" w:cs="宋体"/>
                <w:spacing w:val="-1"/>
              </w:rPr>
              <w:t>）</w:t>
            </w:r>
          </w:p>
        </w:tc>
        <w:tc>
          <w:tcPr>
            <w:tcW w:w="1660" w:type="dxa"/>
            <w:vAlign w:val="top"/>
          </w:tcPr>
          <w:p w14:paraId="60BD60CA">
            <w:pPr>
              <w:spacing w:before="71" w:line="219" w:lineRule="auto"/>
              <w:ind w:left="310"/>
              <w:rPr>
                <w:rFonts w:ascii="宋体" w:hAnsi="宋体" w:eastAsia="宋体" w:cs="宋体"/>
                <w:sz w:val="21"/>
                <w:szCs w:val="21"/>
              </w:rPr>
            </w:pPr>
            <w:r>
              <w:rPr>
                <w:rFonts w:ascii="宋体" w:hAnsi="宋体" w:eastAsia="宋体" w:cs="宋体"/>
                <w:spacing w:val="-2"/>
                <w:sz w:val="21"/>
                <w:szCs w:val="21"/>
              </w:rPr>
              <w:t>厌氧发酵罐</w:t>
            </w:r>
          </w:p>
        </w:tc>
        <w:tc>
          <w:tcPr>
            <w:tcW w:w="3090" w:type="dxa"/>
            <w:vAlign w:val="top"/>
          </w:tcPr>
          <w:p w14:paraId="4A6E9BA8">
            <w:pPr>
              <w:pStyle w:val="6"/>
              <w:spacing w:before="108" w:line="188" w:lineRule="auto"/>
              <w:ind w:left="915"/>
            </w:pPr>
            <w:r>
              <w:rPr>
                <w:spacing w:val="-1"/>
              </w:rPr>
              <w:t>Φ15.29×10.2m</w:t>
            </w:r>
          </w:p>
        </w:tc>
        <w:tc>
          <w:tcPr>
            <w:tcW w:w="597" w:type="dxa"/>
            <w:vAlign w:val="top"/>
          </w:tcPr>
          <w:p w14:paraId="1F069C98">
            <w:pPr>
              <w:pStyle w:val="6"/>
              <w:spacing w:before="50" w:line="211" w:lineRule="auto"/>
              <w:ind w:left="188"/>
              <w:rPr>
                <w:sz w:val="14"/>
                <w:szCs w:val="14"/>
              </w:rPr>
            </w:pPr>
            <w:r>
              <w:rPr>
                <w:spacing w:val="-1"/>
                <w:position w:val="-5"/>
              </w:rPr>
              <w:t>m</w:t>
            </w:r>
            <w:r>
              <w:rPr>
                <w:spacing w:val="-1"/>
                <w:position w:val="5"/>
                <w:sz w:val="14"/>
                <w:szCs w:val="14"/>
              </w:rPr>
              <w:t>3</w:t>
            </w:r>
          </w:p>
        </w:tc>
        <w:tc>
          <w:tcPr>
            <w:tcW w:w="1263" w:type="dxa"/>
            <w:vAlign w:val="top"/>
          </w:tcPr>
          <w:p w14:paraId="29044863">
            <w:pPr>
              <w:pStyle w:val="6"/>
              <w:spacing w:before="108" w:line="188" w:lineRule="auto"/>
              <w:ind w:left="445"/>
            </w:pPr>
            <w:r>
              <w:rPr>
                <w:spacing w:val="-6"/>
              </w:rPr>
              <w:t>1872</w:t>
            </w:r>
          </w:p>
        </w:tc>
      </w:tr>
      <w:tr w14:paraId="6515B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10" w:type="dxa"/>
            <w:gridSpan w:val="2"/>
            <w:vMerge w:val="continue"/>
            <w:tcBorders>
              <w:top w:val="nil"/>
              <w:bottom w:val="nil"/>
            </w:tcBorders>
            <w:vAlign w:val="top"/>
          </w:tcPr>
          <w:p w14:paraId="25602E8D">
            <w:pPr>
              <w:rPr>
                <w:rFonts w:ascii="Arial"/>
                <w:sz w:val="21"/>
              </w:rPr>
            </w:pPr>
          </w:p>
        </w:tc>
        <w:tc>
          <w:tcPr>
            <w:tcW w:w="1660" w:type="dxa"/>
            <w:vAlign w:val="top"/>
          </w:tcPr>
          <w:p w14:paraId="15B1967A">
            <w:pPr>
              <w:spacing w:before="72" w:line="220" w:lineRule="auto"/>
              <w:ind w:left="518"/>
              <w:rPr>
                <w:rFonts w:ascii="宋体" w:hAnsi="宋体" w:eastAsia="宋体" w:cs="宋体"/>
                <w:sz w:val="21"/>
                <w:szCs w:val="21"/>
              </w:rPr>
            </w:pPr>
            <w:r>
              <w:rPr>
                <w:rFonts w:ascii="宋体" w:hAnsi="宋体" w:eastAsia="宋体" w:cs="宋体"/>
                <w:spacing w:val="-2"/>
                <w:sz w:val="21"/>
                <w:szCs w:val="21"/>
              </w:rPr>
              <w:t>储气柜</w:t>
            </w:r>
          </w:p>
        </w:tc>
        <w:tc>
          <w:tcPr>
            <w:tcW w:w="3090" w:type="dxa"/>
            <w:vAlign w:val="top"/>
          </w:tcPr>
          <w:p w14:paraId="49AD0223">
            <w:pPr>
              <w:spacing w:before="72" w:line="220" w:lineRule="auto"/>
              <w:ind w:left="1343"/>
              <w:rPr>
                <w:rFonts w:ascii="宋体" w:hAnsi="宋体" w:eastAsia="宋体" w:cs="宋体"/>
                <w:sz w:val="21"/>
                <w:szCs w:val="21"/>
              </w:rPr>
            </w:pPr>
            <w:r>
              <w:rPr>
                <w:rFonts w:ascii="宋体" w:hAnsi="宋体" w:eastAsia="宋体" w:cs="宋体"/>
                <w:spacing w:val="-3"/>
                <w:sz w:val="21"/>
                <w:szCs w:val="21"/>
              </w:rPr>
              <w:t>双膜</w:t>
            </w:r>
          </w:p>
        </w:tc>
        <w:tc>
          <w:tcPr>
            <w:tcW w:w="597" w:type="dxa"/>
            <w:vAlign w:val="top"/>
          </w:tcPr>
          <w:p w14:paraId="72F719EB">
            <w:pPr>
              <w:pStyle w:val="6"/>
              <w:spacing w:before="56" w:line="225" w:lineRule="auto"/>
              <w:ind w:left="188"/>
              <w:rPr>
                <w:sz w:val="14"/>
                <w:szCs w:val="14"/>
              </w:rPr>
            </w:pPr>
            <w:r>
              <w:rPr>
                <w:spacing w:val="-1"/>
                <w:position w:val="-4"/>
              </w:rPr>
              <w:t>m</w:t>
            </w:r>
            <w:r>
              <w:rPr>
                <w:spacing w:val="-1"/>
                <w:position w:val="4"/>
                <w:sz w:val="14"/>
                <w:szCs w:val="14"/>
              </w:rPr>
              <w:t>3</w:t>
            </w:r>
          </w:p>
        </w:tc>
        <w:tc>
          <w:tcPr>
            <w:tcW w:w="1263" w:type="dxa"/>
            <w:vAlign w:val="top"/>
          </w:tcPr>
          <w:p w14:paraId="29611965">
            <w:pPr>
              <w:pStyle w:val="6"/>
              <w:spacing w:before="108" w:line="188" w:lineRule="auto"/>
              <w:ind w:left="477"/>
            </w:pPr>
            <w:r>
              <w:rPr>
                <w:spacing w:val="-2"/>
              </w:rPr>
              <w:t>400</w:t>
            </w:r>
          </w:p>
        </w:tc>
      </w:tr>
      <w:tr w14:paraId="1D2F8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gridSpan w:val="2"/>
            <w:vMerge w:val="continue"/>
            <w:tcBorders>
              <w:top w:val="nil"/>
            </w:tcBorders>
            <w:vAlign w:val="top"/>
          </w:tcPr>
          <w:p w14:paraId="7B298268">
            <w:pPr>
              <w:rPr>
                <w:rFonts w:ascii="Arial"/>
                <w:sz w:val="21"/>
              </w:rPr>
            </w:pPr>
          </w:p>
        </w:tc>
        <w:tc>
          <w:tcPr>
            <w:tcW w:w="1660" w:type="dxa"/>
            <w:vAlign w:val="top"/>
          </w:tcPr>
          <w:p w14:paraId="60AC0E35">
            <w:pPr>
              <w:spacing w:before="212" w:line="220" w:lineRule="auto"/>
              <w:ind w:left="418"/>
              <w:rPr>
                <w:rFonts w:ascii="宋体" w:hAnsi="宋体" w:eastAsia="宋体" w:cs="宋体"/>
                <w:sz w:val="21"/>
                <w:szCs w:val="21"/>
              </w:rPr>
            </w:pPr>
            <w:r>
              <w:rPr>
                <w:rFonts w:ascii="宋体" w:hAnsi="宋体" w:eastAsia="宋体" w:cs="宋体"/>
                <w:spacing w:val="-3"/>
                <w:sz w:val="21"/>
                <w:szCs w:val="21"/>
              </w:rPr>
              <w:t>沼气火炬</w:t>
            </w:r>
          </w:p>
        </w:tc>
        <w:tc>
          <w:tcPr>
            <w:tcW w:w="3090" w:type="dxa"/>
            <w:vAlign w:val="top"/>
          </w:tcPr>
          <w:p w14:paraId="196EC5D2">
            <w:pPr>
              <w:pStyle w:val="6"/>
              <w:spacing w:before="57" w:line="247" w:lineRule="auto"/>
              <w:ind w:left="630" w:right="25" w:hanging="607"/>
            </w:pPr>
            <w:r>
              <w:rPr>
                <w:rFonts w:ascii="宋体" w:hAnsi="宋体" w:eastAsia="宋体" w:cs="宋体"/>
                <w:spacing w:val="-2"/>
              </w:rPr>
              <w:t>外燃式，φ</w:t>
            </w:r>
            <w:r>
              <w:rPr>
                <w:spacing w:val="-2"/>
              </w:rPr>
              <w:t>320mm</w:t>
            </w:r>
            <w:r>
              <w:rPr>
                <w:rFonts w:ascii="宋体" w:hAnsi="宋体" w:eastAsia="宋体" w:cs="宋体"/>
                <w:spacing w:val="-2"/>
              </w:rPr>
              <w:t>×</w:t>
            </w:r>
            <w:r>
              <w:rPr>
                <w:spacing w:val="-2"/>
              </w:rPr>
              <w:t>1000mm</w:t>
            </w:r>
            <w:r>
              <w:rPr>
                <w:rFonts w:ascii="宋体" w:hAnsi="宋体" w:eastAsia="宋体" w:cs="宋体"/>
                <w:spacing w:val="-2"/>
              </w:rPr>
              <w:t>，总</w:t>
            </w:r>
            <w:r>
              <w:rPr>
                <w:rFonts w:ascii="宋体" w:hAnsi="宋体" w:eastAsia="宋体" w:cs="宋体"/>
                <w:spacing w:val="-3"/>
              </w:rPr>
              <w:t>高：</w:t>
            </w:r>
            <w:r>
              <w:rPr>
                <w:spacing w:val="-3"/>
              </w:rPr>
              <w:t>2500mm</w:t>
            </w:r>
            <w:r>
              <w:rPr>
                <w:spacing w:val="-23"/>
              </w:rPr>
              <w:t xml:space="preserve"> </w:t>
            </w:r>
            <w:r>
              <w:rPr>
                <w:rFonts w:ascii="宋体" w:hAnsi="宋体" w:eastAsia="宋体" w:cs="宋体"/>
                <w:spacing w:val="-3"/>
              </w:rPr>
              <w:t>，</w:t>
            </w:r>
            <w:r>
              <w:rPr>
                <w:spacing w:val="-3"/>
              </w:rPr>
              <w:t>ss304</w:t>
            </w:r>
          </w:p>
        </w:tc>
        <w:tc>
          <w:tcPr>
            <w:tcW w:w="597" w:type="dxa"/>
            <w:vAlign w:val="top"/>
          </w:tcPr>
          <w:p w14:paraId="4F59649F">
            <w:pPr>
              <w:spacing w:before="213" w:line="220" w:lineRule="auto"/>
              <w:ind w:left="207"/>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02B83C29">
            <w:pPr>
              <w:pStyle w:val="6"/>
              <w:spacing w:before="249" w:line="188" w:lineRule="auto"/>
              <w:ind w:left="604"/>
            </w:pPr>
            <w:r>
              <w:t>1</w:t>
            </w:r>
          </w:p>
        </w:tc>
      </w:tr>
      <w:tr w14:paraId="23D35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10" w:type="dxa"/>
            <w:gridSpan w:val="2"/>
            <w:vMerge w:val="restart"/>
            <w:tcBorders>
              <w:bottom w:val="nil"/>
            </w:tcBorders>
            <w:vAlign w:val="top"/>
          </w:tcPr>
          <w:p w14:paraId="57EE7717">
            <w:pPr>
              <w:spacing w:line="336" w:lineRule="auto"/>
              <w:rPr>
                <w:rFonts w:ascii="Arial"/>
                <w:sz w:val="21"/>
              </w:rPr>
            </w:pPr>
          </w:p>
          <w:p w14:paraId="13535F89">
            <w:pPr>
              <w:pStyle w:val="6"/>
              <w:spacing w:before="68" w:line="265" w:lineRule="auto"/>
              <w:ind w:left="328" w:right="223" w:hanging="99"/>
              <w:rPr>
                <w:rFonts w:ascii="宋体" w:hAnsi="宋体" w:eastAsia="宋体" w:cs="宋体"/>
              </w:rPr>
            </w:pPr>
            <w:r>
              <w:rPr>
                <w:rFonts w:ascii="宋体" w:hAnsi="宋体" w:eastAsia="宋体" w:cs="宋体"/>
                <w:spacing w:val="-2"/>
              </w:rPr>
              <w:t>微生物曝氧塘（</w:t>
            </w:r>
            <w:r>
              <w:rPr>
                <w:spacing w:val="-2"/>
              </w:rPr>
              <w:t>8000m</w:t>
            </w:r>
            <w:r>
              <w:rPr>
                <w:spacing w:val="-2"/>
                <w:position w:val="1"/>
                <w:sz w:val="14"/>
                <w:szCs w:val="14"/>
              </w:rPr>
              <w:t>3</w:t>
            </w:r>
            <w:r>
              <w:rPr>
                <w:rFonts w:ascii="宋体" w:hAnsi="宋体" w:eastAsia="宋体" w:cs="宋体"/>
                <w:spacing w:val="-2"/>
                <w:position w:val="1"/>
              </w:rPr>
              <w:t>）</w:t>
            </w:r>
          </w:p>
        </w:tc>
        <w:tc>
          <w:tcPr>
            <w:tcW w:w="1660" w:type="dxa"/>
            <w:vAlign w:val="top"/>
          </w:tcPr>
          <w:p w14:paraId="150DD117">
            <w:pPr>
              <w:pStyle w:val="6"/>
              <w:spacing w:before="71" w:line="220" w:lineRule="auto"/>
              <w:ind w:left="424"/>
              <w:rPr>
                <w:rFonts w:ascii="宋体" w:hAnsi="宋体" w:eastAsia="宋体" w:cs="宋体"/>
              </w:rPr>
            </w:pPr>
            <w:r>
              <w:rPr>
                <w:spacing w:val="-1"/>
              </w:rPr>
              <w:t>HDPE</w:t>
            </w:r>
            <w:r>
              <w:rPr>
                <w:spacing w:val="7"/>
              </w:rPr>
              <w:t xml:space="preserve"> </w:t>
            </w:r>
            <w:r>
              <w:rPr>
                <w:rFonts w:ascii="宋体" w:hAnsi="宋体" w:eastAsia="宋体" w:cs="宋体"/>
                <w:spacing w:val="-1"/>
              </w:rPr>
              <w:t>膜</w:t>
            </w:r>
          </w:p>
        </w:tc>
        <w:tc>
          <w:tcPr>
            <w:tcW w:w="3090" w:type="dxa"/>
            <w:vAlign w:val="top"/>
          </w:tcPr>
          <w:p w14:paraId="62DB7239">
            <w:pPr>
              <w:pStyle w:val="6"/>
              <w:spacing w:before="107" w:line="188" w:lineRule="auto"/>
              <w:ind w:left="1275"/>
            </w:pPr>
            <w:r>
              <w:rPr>
                <w:spacing w:val="-5"/>
              </w:rPr>
              <w:t>1.5mm</w:t>
            </w:r>
          </w:p>
        </w:tc>
        <w:tc>
          <w:tcPr>
            <w:tcW w:w="597" w:type="dxa"/>
            <w:vAlign w:val="top"/>
          </w:tcPr>
          <w:p w14:paraId="698F2FA3">
            <w:pPr>
              <w:pStyle w:val="6"/>
              <w:spacing w:before="55" w:line="215" w:lineRule="auto"/>
              <w:ind w:left="188"/>
              <w:rPr>
                <w:sz w:val="14"/>
                <w:szCs w:val="14"/>
              </w:rPr>
            </w:pPr>
            <w:r>
              <w:rPr>
                <w:spacing w:val="-1"/>
                <w:position w:val="-4"/>
              </w:rPr>
              <w:t>m</w:t>
            </w:r>
            <w:r>
              <w:rPr>
                <w:spacing w:val="-1"/>
                <w:position w:val="5"/>
                <w:sz w:val="14"/>
                <w:szCs w:val="14"/>
              </w:rPr>
              <w:t>2</w:t>
            </w:r>
          </w:p>
        </w:tc>
        <w:tc>
          <w:tcPr>
            <w:tcW w:w="1263" w:type="dxa"/>
            <w:vAlign w:val="top"/>
          </w:tcPr>
          <w:p w14:paraId="7B7BEB8E">
            <w:pPr>
              <w:pStyle w:val="6"/>
              <w:spacing w:before="107" w:line="188" w:lineRule="auto"/>
              <w:ind w:left="424"/>
            </w:pPr>
            <w:r>
              <w:rPr>
                <w:spacing w:val="-1"/>
              </w:rPr>
              <w:t>4500</w:t>
            </w:r>
          </w:p>
        </w:tc>
      </w:tr>
      <w:tr w14:paraId="6114A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gridSpan w:val="2"/>
            <w:vMerge w:val="continue"/>
            <w:tcBorders>
              <w:top w:val="nil"/>
              <w:bottom w:val="nil"/>
            </w:tcBorders>
            <w:vAlign w:val="top"/>
          </w:tcPr>
          <w:p w14:paraId="1A928ABE">
            <w:pPr>
              <w:rPr>
                <w:rFonts w:ascii="Arial"/>
                <w:sz w:val="21"/>
              </w:rPr>
            </w:pPr>
          </w:p>
        </w:tc>
        <w:tc>
          <w:tcPr>
            <w:tcW w:w="1660" w:type="dxa"/>
            <w:vAlign w:val="top"/>
          </w:tcPr>
          <w:p w14:paraId="202E513F">
            <w:pPr>
              <w:spacing w:before="211" w:line="219" w:lineRule="auto"/>
              <w:ind w:left="310"/>
              <w:rPr>
                <w:rFonts w:ascii="宋体" w:hAnsi="宋体" w:eastAsia="宋体" w:cs="宋体"/>
                <w:sz w:val="21"/>
                <w:szCs w:val="21"/>
              </w:rPr>
            </w:pPr>
            <w:r>
              <w:rPr>
                <w:rFonts w:ascii="宋体" w:hAnsi="宋体" w:eastAsia="宋体" w:cs="宋体"/>
                <w:spacing w:val="-2"/>
                <w:sz w:val="21"/>
                <w:szCs w:val="21"/>
              </w:rPr>
              <w:t>罗茨鼓风机</w:t>
            </w:r>
          </w:p>
        </w:tc>
        <w:tc>
          <w:tcPr>
            <w:tcW w:w="3090" w:type="dxa"/>
            <w:vAlign w:val="top"/>
          </w:tcPr>
          <w:p w14:paraId="28D803B5">
            <w:pPr>
              <w:pStyle w:val="6"/>
              <w:spacing w:before="40" w:line="218" w:lineRule="auto"/>
              <w:jc w:val="right"/>
              <w:rPr>
                <w:rFonts w:ascii="宋体" w:hAnsi="宋体" w:eastAsia="宋体" w:cs="宋体"/>
              </w:rPr>
            </w:pPr>
            <w:r>
              <w:rPr>
                <w:spacing w:val="-9"/>
              </w:rPr>
              <w:t>Q=5.</w:t>
            </w:r>
            <w:r>
              <w:rPr>
                <w:spacing w:val="-13"/>
              </w:rPr>
              <w:t xml:space="preserve"> </w:t>
            </w:r>
            <w:r>
              <w:rPr>
                <w:spacing w:val="-9"/>
              </w:rPr>
              <w:t>12m</w:t>
            </w:r>
            <w:r>
              <w:rPr>
                <w:spacing w:val="-9"/>
                <w:position w:val="9"/>
                <w:sz w:val="14"/>
                <w:szCs w:val="14"/>
              </w:rPr>
              <w:t>3</w:t>
            </w:r>
            <w:r>
              <w:rPr>
                <w:spacing w:val="-9"/>
              </w:rPr>
              <w:t>/min</w:t>
            </w:r>
            <w:r>
              <w:rPr>
                <w:rFonts w:ascii="宋体" w:hAnsi="宋体" w:eastAsia="宋体" w:cs="宋体"/>
                <w:spacing w:val="-9"/>
              </w:rPr>
              <w:t>；</w:t>
            </w:r>
            <w:r>
              <w:rPr>
                <w:spacing w:val="-9"/>
              </w:rPr>
              <w:t>P=44kPa</w:t>
            </w:r>
            <w:r>
              <w:rPr>
                <w:rFonts w:ascii="宋体" w:hAnsi="宋体" w:eastAsia="宋体" w:cs="宋体"/>
                <w:spacing w:val="-9"/>
              </w:rPr>
              <w:t>；</w:t>
            </w:r>
            <w:r>
              <w:rPr>
                <w:spacing w:val="-9"/>
              </w:rPr>
              <w:t>N=7kw</w:t>
            </w:r>
            <w:r>
              <w:rPr>
                <w:rFonts w:ascii="宋体" w:hAnsi="宋体" w:eastAsia="宋体" w:cs="宋体"/>
                <w:spacing w:val="-9"/>
              </w:rPr>
              <w:t>；</w:t>
            </w:r>
          </w:p>
          <w:p w14:paraId="5D77F618">
            <w:pPr>
              <w:spacing w:before="70" w:line="219" w:lineRule="auto"/>
              <w:ind w:left="817"/>
              <w:rPr>
                <w:rFonts w:ascii="宋体" w:hAnsi="宋体" w:eastAsia="宋体" w:cs="宋体"/>
                <w:sz w:val="21"/>
                <w:szCs w:val="21"/>
              </w:rPr>
            </w:pPr>
            <w:r>
              <w:rPr>
                <w:rFonts w:ascii="宋体" w:hAnsi="宋体" w:eastAsia="宋体" w:cs="宋体"/>
                <w:spacing w:val="-1"/>
                <w:sz w:val="21"/>
                <w:szCs w:val="21"/>
              </w:rPr>
              <w:t>输送介质：空气</w:t>
            </w:r>
          </w:p>
        </w:tc>
        <w:tc>
          <w:tcPr>
            <w:tcW w:w="597" w:type="dxa"/>
            <w:vAlign w:val="top"/>
          </w:tcPr>
          <w:p w14:paraId="14DF42C3">
            <w:pPr>
              <w:spacing w:before="211" w:line="222" w:lineRule="auto"/>
              <w:ind w:left="223"/>
              <w:rPr>
                <w:rFonts w:ascii="宋体" w:hAnsi="宋体" w:eastAsia="宋体" w:cs="宋体"/>
                <w:sz w:val="21"/>
                <w:szCs w:val="21"/>
              </w:rPr>
            </w:pPr>
            <w:r>
              <w:rPr>
                <w:rFonts w:ascii="宋体" w:hAnsi="宋体" w:eastAsia="宋体" w:cs="宋体"/>
                <w:sz w:val="21"/>
                <w:szCs w:val="21"/>
              </w:rPr>
              <w:t>台</w:t>
            </w:r>
          </w:p>
        </w:tc>
        <w:tc>
          <w:tcPr>
            <w:tcW w:w="1263" w:type="dxa"/>
            <w:vAlign w:val="top"/>
          </w:tcPr>
          <w:p w14:paraId="0816AF6D">
            <w:pPr>
              <w:pStyle w:val="6"/>
              <w:spacing w:before="248" w:line="188" w:lineRule="auto"/>
              <w:ind w:left="583"/>
            </w:pPr>
            <w:r>
              <w:t>2</w:t>
            </w:r>
          </w:p>
        </w:tc>
      </w:tr>
      <w:tr w14:paraId="0A537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10" w:type="dxa"/>
            <w:gridSpan w:val="2"/>
            <w:vMerge w:val="continue"/>
            <w:tcBorders>
              <w:top w:val="nil"/>
            </w:tcBorders>
            <w:vAlign w:val="top"/>
          </w:tcPr>
          <w:p w14:paraId="0E3D8897">
            <w:pPr>
              <w:rPr>
                <w:rFonts w:ascii="Arial"/>
                <w:sz w:val="21"/>
              </w:rPr>
            </w:pPr>
          </w:p>
        </w:tc>
        <w:tc>
          <w:tcPr>
            <w:tcW w:w="1660" w:type="dxa"/>
            <w:vAlign w:val="top"/>
          </w:tcPr>
          <w:p w14:paraId="07A9692B">
            <w:pPr>
              <w:spacing w:before="69" w:line="220" w:lineRule="auto"/>
              <w:ind w:left="310"/>
              <w:rPr>
                <w:rFonts w:ascii="宋体" w:hAnsi="宋体" w:eastAsia="宋体" w:cs="宋体"/>
                <w:sz w:val="21"/>
                <w:szCs w:val="21"/>
              </w:rPr>
            </w:pPr>
            <w:r>
              <w:rPr>
                <w:rFonts w:ascii="宋体" w:hAnsi="宋体" w:eastAsia="宋体" w:cs="宋体"/>
                <w:spacing w:val="-2"/>
                <w:sz w:val="21"/>
                <w:szCs w:val="21"/>
              </w:rPr>
              <w:t>纳米曝气盘</w:t>
            </w:r>
          </w:p>
        </w:tc>
        <w:tc>
          <w:tcPr>
            <w:tcW w:w="3090" w:type="dxa"/>
            <w:vAlign w:val="top"/>
          </w:tcPr>
          <w:p w14:paraId="583F3888">
            <w:pPr>
              <w:pStyle w:val="6"/>
              <w:spacing w:before="69" w:line="220" w:lineRule="auto"/>
              <w:jc w:val="right"/>
              <w:rPr>
                <w:rFonts w:ascii="宋体" w:hAnsi="宋体" w:eastAsia="宋体" w:cs="宋体"/>
              </w:rPr>
            </w:pPr>
            <w:r>
              <w:rPr>
                <w:rFonts w:ascii="宋体" w:hAnsi="宋体" w:eastAsia="宋体" w:cs="宋体"/>
                <w:spacing w:val="-5"/>
              </w:rPr>
              <w:t>Φ</w:t>
            </w:r>
            <w:r>
              <w:rPr>
                <w:spacing w:val="-5"/>
              </w:rPr>
              <w:t>80cm</w:t>
            </w:r>
            <w:r>
              <w:rPr>
                <w:rFonts w:ascii="宋体" w:hAnsi="宋体" w:eastAsia="宋体" w:cs="宋体"/>
                <w:spacing w:val="-5"/>
              </w:rPr>
              <w:t>，</w:t>
            </w:r>
            <w:r>
              <w:rPr>
                <w:spacing w:val="-5"/>
              </w:rPr>
              <w:t>M16</w:t>
            </w:r>
            <w:r>
              <w:rPr>
                <w:rFonts w:ascii="宋体" w:hAnsi="宋体" w:eastAsia="宋体" w:cs="宋体"/>
                <w:spacing w:val="-5"/>
              </w:rPr>
              <w:t>×</w:t>
            </w:r>
            <w:r>
              <w:rPr>
                <w:spacing w:val="-5"/>
              </w:rPr>
              <w:t xml:space="preserve">10mm </w:t>
            </w:r>
            <w:r>
              <w:rPr>
                <w:rFonts w:ascii="宋体" w:hAnsi="宋体" w:eastAsia="宋体" w:cs="宋体"/>
                <w:spacing w:val="-5"/>
              </w:rPr>
              <w:t>纳米曝气管</w:t>
            </w:r>
          </w:p>
        </w:tc>
        <w:tc>
          <w:tcPr>
            <w:tcW w:w="597" w:type="dxa"/>
            <w:vAlign w:val="top"/>
          </w:tcPr>
          <w:p w14:paraId="59F58A4B">
            <w:pPr>
              <w:spacing w:before="70" w:line="220" w:lineRule="auto"/>
              <w:ind w:left="207"/>
              <w:rPr>
                <w:rFonts w:ascii="宋体" w:hAnsi="宋体" w:eastAsia="宋体" w:cs="宋体"/>
                <w:sz w:val="21"/>
                <w:szCs w:val="21"/>
              </w:rPr>
            </w:pPr>
            <w:r>
              <w:rPr>
                <w:rFonts w:ascii="宋体" w:hAnsi="宋体" w:eastAsia="宋体" w:cs="宋体"/>
                <w:sz w:val="21"/>
                <w:szCs w:val="21"/>
              </w:rPr>
              <w:t>套</w:t>
            </w:r>
          </w:p>
        </w:tc>
        <w:tc>
          <w:tcPr>
            <w:tcW w:w="1263" w:type="dxa"/>
            <w:vAlign w:val="top"/>
          </w:tcPr>
          <w:p w14:paraId="1CF2BE8B">
            <w:pPr>
              <w:pStyle w:val="6"/>
              <w:spacing w:before="106" w:line="188" w:lineRule="auto"/>
              <w:ind w:left="539"/>
            </w:pPr>
            <w:r>
              <w:rPr>
                <w:spacing w:val="-7"/>
              </w:rPr>
              <w:t>80</w:t>
            </w:r>
          </w:p>
        </w:tc>
      </w:tr>
    </w:tbl>
    <w:p w14:paraId="631E3FA2">
      <w:pPr>
        <w:pStyle w:val="2"/>
      </w:pPr>
    </w:p>
    <w:p w14:paraId="47E67730">
      <w:pPr>
        <w:sectPr>
          <w:footerReference r:id="rId140" w:type="default"/>
          <w:pgSz w:w="11905" w:h="16840"/>
          <w:pgMar w:top="1168" w:right="1768" w:bottom="1409" w:left="1770" w:header="828" w:footer="1244" w:gutter="0"/>
          <w:cols w:space="720" w:num="1"/>
        </w:sectPr>
      </w:pPr>
    </w:p>
    <w:p w14:paraId="3A1D18C8">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0"/>
        <w:gridCol w:w="1660"/>
        <w:gridCol w:w="3095"/>
        <w:gridCol w:w="597"/>
        <w:gridCol w:w="1258"/>
      </w:tblGrid>
      <w:tr w14:paraId="232AC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370" w:type="dxa"/>
            <w:gridSpan w:val="2"/>
            <w:vAlign w:val="top"/>
          </w:tcPr>
          <w:p w14:paraId="712C5B3A">
            <w:pPr>
              <w:spacing w:before="68" w:line="221" w:lineRule="auto"/>
              <w:ind w:left="1274"/>
              <w:rPr>
                <w:rFonts w:ascii="宋体" w:hAnsi="宋体" w:eastAsia="宋体" w:cs="宋体"/>
                <w:sz w:val="21"/>
                <w:szCs w:val="21"/>
              </w:rPr>
            </w:pPr>
            <w:r>
              <w:rPr>
                <w:rFonts w:ascii="宋体" w:hAnsi="宋体" w:eastAsia="宋体" w:cs="宋体"/>
                <w:spacing w:val="-3"/>
                <w:sz w:val="21"/>
                <w:szCs w:val="21"/>
              </w:rPr>
              <w:t>设备名称</w:t>
            </w:r>
          </w:p>
        </w:tc>
        <w:tc>
          <w:tcPr>
            <w:tcW w:w="3095" w:type="dxa"/>
            <w:vAlign w:val="top"/>
          </w:tcPr>
          <w:p w14:paraId="273B4059">
            <w:pPr>
              <w:spacing w:before="68" w:line="220" w:lineRule="auto"/>
              <w:ind w:left="1130"/>
              <w:rPr>
                <w:rFonts w:ascii="宋体" w:hAnsi="宋体" w:eastAsia="宋体" w:cs="宋体"/>
                <w:sz w:val="21"/>
                <w:szCs w:val="21"/>
              </w:rPr>
            </w:pPr>
            <w:r>
              <w:rPr>
                <w:rFonts w:ascii="宋体" w:hAnsi="宋体" w:eastAsia="宋体" w:cs="宋体"/>
                <w:spacing w:val="-2"/>
                <w:sz w:val="21"/>
                <w:szCs w:val="21"/>
              </w:rPr>
              <w:t>规格型号</w:t>
            </w:r>
          </w:p>
        </w:tc>
        <w:tc>
          <w:tcPr>
            <w:tcW w:w="597" w:type="dxa"/>
            <w:vAlign w:val="top"/>
          </w:tcPr>
          <w:p w14:paraId="75531B4D">
            <w:pPr>
              <w:spacing w:before="69" w:line="220" w:lineRule="auto"/>
              <w:ind w:left="90"/>
              <w:rPr>
                <w:rFonts w:ascii="宋体" w:hAnsi="宋体" w:eastAsia="宋体" w:cs="宋体"/>
                <w:sz w:val="21"/>
                <w:szCs w:val="21"/>
              </w:rPr>
            </w:pPr>
            <w:r>
              <w:rPr>
                <w:rFonts w:ascii="宋体" w:hAnsi="宋体" w:eastAsia="宋体" w:cs="宋体"/>
                <w:spacing w:val="-3"/>
                <w:sz w:val="21"/>
                <w:szCs w:val="21"/>
              </w:rPr>
              <w:t>单位</w:t>
            </w:r>
          </w:p>
        </w:tc>
        <w:tc>
          <w:tcPr>
            <w:tcW w:w="1258" w:type="dxa"/>
            <w:vAlign w:val="top"/>
          </w:tcPr>
          <w:p w14:paraId="6E1D31C0">
            <w:pPr>
              <w:spacing w:before="68" w:line="220" w:lineRule="auto"/>
              <w:ind w:left="422"/>
              <w:rPr>
                <w:rFonts w:ascii="宋体" w:hAnsi="宋体" w:eastAsia="宋体" w:cs="宋体"/>
                <w:sz w:val="21"/>
                <w:szCs w:val="21"/>
              </w:rPr>
            </w:pPr>
            <w:r>
              <w:rPr>
                <w:rFonts w:ascii="宋体" w:hAnsi="宋体" w:eastAsia="宋体" w:cs="宋体"/>
                <w:spacing w:val="-3"/>
                <w:sz w:val="21"/>
                <w:szCs w:val="21"/>
              </w:rPr>
              <w:t>数量</w:t>
            </w:r>
          </w:p>
        </w:tc>
      </w:tr>
      <w:tr w14:paraId="63A6B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restart"/>
            <w:tcBorders>
              <w:bottom w:val="nil"/>
            </w:tcBorders>
            <w:vAlign w:val="top"/>
          </w:tcPr>
          <w:p w14:paraId="7D1F6118">
            <w:pPr>
              <w:rPr>
                <w:rFonts w:ascii="Arial"/>
                <w:sz w:val="21"/>
              </w:rPr>
            </w:pPr>
          </w:p>
        </w:tc>
        <w:tc>
          <w:tcPr>
            <w:tcW w:w="1660" w:type="dxa"/>
            <w:vAlign w:val="top"/>
          </w:tcPr>
          <w:p w14:paraId="27E91AC7">
            <w:pPr>
              <w:spacing w:before="64" w:line="220" w:lineRule="auto"/>
              <w:ind w:left="423"/>
              <w:rPr>
                <w:rFonts w:ascii="宋体" w:hAnsi="宋体" w:eastAsia="宋体" w:cs="宋体"/>
                <w:sz w:val="21"/>
                <w:szCs w:val="21"/>
              </w:rPr>
            </w:pPr>
            <w:r>
              <w:rPr>
                <w:rFonts w:ascii="宋体" w:hAnsi="宋体" w:eastAsia="宋体" w:cs="宋体"/>
                <w:spacing w:val="-4"/>
                <w:sz w:val="21"/>
                <w:szCs w:val="21"/>
              </w:rPr>
              <w:t>曝气系统</w:t>
            </w:r>
          </w:p>
        </w:tc>
        <w:tc>
          <w:tcPr>
            <w:tcW w:w="3095" w:type="dxa"/>
            <w:vAlign w:val="top"/>
          </w:tcPr>
          <w:p w14:paraId="53B4F89C">
            <w:pPr>
              <w:pStyle w:val="6"/>
              <w:spacing w:before="100" w:line="180" w:lineRule="auto"/>
              <w:ind w:left="852"/>
            </w:pPr>
            <w:r>
              <w:rPr>
                <w:spacing w:val="-3"/>
              </w:rPr>
              <w:t>UPVC</w:t>
            </w:r>
            <w:r>
              <w:rPr>
                <w:spacing w:val="-25"/>
              </w:rPr>
              <w:t xml:space="preserve"> </w:t>
            </w:r>
            <w:r>
              <w:rPr>
                <w:rFonts w:ascii="宋体" w:hAnsi="宋体" w:eastAsia="宋体" w:cs="宋体"/>
                <w:spacing w:val="-3"/>
              </w:rPr>
              <w:t>，</w:t>
            </w:r>
            <w:r>
              <w:rPr>
                <w:spacing w:val="-3"/>
              </w:rPr>
              <w:t>DN100</w:t>
            </w:r>
          </w:p>
        </w:tc>
        <w:tc>
          <w:tcPr>
            <w:tcW w:w="597" w:type="dxa"/>
            <w:vAlign w:val="top"/>
          </w:tcPr>
          <w:p w14:paraId="78D630B2">
            <w:pPr>
              <w:spacing w:before="64"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6B350107">
            <w:pPr>
              <w:pStyle w:val="6"/>
              <w:spacing w:before="101" w:line="188" w:lineRule="auto"/>
              <w:ind w:left="599"/>
            </w:pPr>
            <w:r>
              <w:t>1</w:t>
            </w:r>
          </w:p>
        </w:tc>
      </w:tr>
      <w:tr w14:paraId="35098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tcBorders>
            <w:vAlign w:val="top"/>
          </w:tcPr>
          <w:p w14:paraId="1E05A510">
            <w:pPr>
              <w:rPr>
                <w:rFonts w:ascii="Arial"/>
                <w:sz w:val="21"/>
              </w:rPr>
            </w:pPr>
          </w:p>
        </w:tc>
        <w:tc>
          <w:tcPr>
            <w:tcW w:w="1660" w:type="dxa"/>
            <w:vAlign w:val="top"/>
          </w:tcPr>
          <w:p w14:paraId="57C665B1">
            <w:pPr>
              <w:spacing w:before="64" w:line="220" w:lineRule="auto"/>
              <w:ind w:left="520"/>
              <w:rPr>
                <w:rFonts w:ascii="宋体" w:hAnsi="宋体" w:eastAsia="宋体" w:cs="宋体"/>
                <w:sz w:val="21"/>
                <w:szCs w:val="21"/>
              </w:rPr>
            </w:pPr>
            <w:r>
              <w:rPr>
                <w:rFonts w:ascii="宋体" w:hAnsi="宋体" w:eastAsia="宋体" w:cs="宋体"/>
                <w:spacing w:val="-3"/>
                <w:sz w:val="21"/>
                <w:szCs w:val="21"/>
              </w:rPr>
              <w:t>提升泵</w:t>
            </w:r>
          </w:p>
        </w:tc>
        <w:tc>
          <w:tcPr>
            <w:tcW w:w="3095" w:type="dxa"/>
            <w:vAlign w:val="top"/>
          </w:tcPr>
          <w:p w14:paraId="6363DF31">
            <w:pPr>
              <w:pStyle w:val="6"/>
              <w:spacing w:before="85" w:line="194" w:lineRule="auto"/>
              <w:ind w:left="249"/>
            </w:pPr>
            <w:r>
              <w:rPr>
                <w:spacing w:val="-3"/>
              </w:rPr>
              <w:t>Q=15m</w:t>
            </w:r>
            <w:r>
              <w:rPr>
                <w:rFonts w:ascii="宋体" w:hAnsi="宋体" w:eastAsia="宋体" w:cs="宋体"/>
                <w:spacing w:val="-3"/>
              </w:rPr>
              <w:t>³</w:t>
            </w:r>
            <w:r>
              <w:rPr>
                <w:spacing w:val="-3"/>
              </w:rPr>
              <w:t>/h</w:t>
            </w:r>
            <w:r>
              <w:rPr>
                <w:spacing w:val="-23"/>
              </w:rPr>
              <w:t xml:space="preserve"> </w:t>
            </w:r>
            <w:r>
              <w:rPr>
                <w:rFonts w:ascii="宋体" w:hAnsi="宋体" w:eastAsia="宋体" w:cs="宋体"/>
                <w:spacing w:val="-3"/>
              </w:rPr>
              <w:t>，</w:t>
            </w:r>
            <w:r>
              <w:rPr>
                <w:spacing w:val="-3"/>
              </w:rPr>
              <w:t>H=15m</w:t>
            </w:r>
            <w:r>
              <w:rPr>
                <w:spacing w:val="-30"/>
              </w:rPr>
              <w:t xml:space="preserve"> </w:t>
            </w:r>
            <w:r>
              <w:rPr>
                <w:rFonts w:ascii="宋体" w:hAnsi="宋体" w:eastAsia="宋体" w:cs="宋体"/>
                <w:spacing w:val="-3"/>
              </w:rPr>
              <w:t>，</w:t>
            </w:r>
            <w:r>
              <w:rPr>
                <w:spacing w:val="-3"/>
              </w:rPr>
              <w:t>N=3kw</w:t>
            </w:r>
          </w:p>
        </w:tc>
        <w:tc>
          <w:tcPr>
            <w:tcW w:w="597" w:type="dxa"/>
            <w:vAlign w:val="top"/>
          </w:tcPr>
          <w:p w14:paraId="4EF14435">
            <w:pPr>
              <w:spacing w:before="64"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2BB43E6E">
            <w:pPr>
              <w:pStyle w:val="6"/>
              <w:spacing w:before="101" w:line="188" w:lineRule="auto"/>
              <w:ind w:left="579"/>
            </w:pPr>
            <w:r>
              <w:t>2</w:t>
            </w:r>
          </w:p>
        </w:tc>
      </w:tr>
      <w:tr w14:paraId="7AD9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21CB8D7C">
            <w:pPr>
              <w:spacing w:line="331" w:lineRule="auto"/>
              <w:rPr>
                <w:rFonts w:ascii="Arial"/>
                <w:sz w:val="21"/>
              </w:rPr>
            </w:pPr>
          </w:p>
          <w:p w14:paraId="4EB99FE8">
            <w:pPr>
              <w:pStyle w:val="6"/>
              <w:spacing w:before="69" w:line="282" w:lineRule="auto"/>
              <w:ind w:left="297" w:right="223" w:hanging="64"/>
              <w:rPr>
                <w:rFonts w:ascii="宋体" w:hAnsi="宋体" w:eastAsia="宋体" w:cs="宋体"/>
              </w:rPr>
            </w:pPr>
            <w:r>
              <w:rPr>
                <w:rFonts w:ascii="宋体" w:hAnsi="宋体" w:eastAsia="宋体" w:cs="宋体"/>
                <w:spacing w:val="-2"/>
              </w:rPr>
              <w:t>前置物化系统（</w:t>
            </w:r>
            <w:r>
              <w:rPr>
                <w:spacing w:val="-2"/>
              </w:rPr>
              <w:t>8×5×5m</w:t>
            </w:r>
            <w:r>
              <w:rPr>
                <w:rFonts w:ascii="宋体" w:hAnsi="宋体" w:eastAsia="宋体" w:cs="宋体"/>
                <w:spacing w:val="-2"/>
              </w:rPr>
              <w:t>）</w:t>
            </w:r>
          </w:p>
        </w:tc>
        <w:tc>
          <w:tcPr>
            <w:tcW w:w="1660" w:type="dxa"/>
            <w:vAlign w:val="top"/>
          </w:tcPr>
          <w:p w14:paraId="03B66F45">
            <w:pPr>
              <w:spacing w:before="65" w:line="220" w:lineRule="auto"/>
              <w:ind w:left="423"/>
              <w:rPr>
                <w:rFonts w:ascii="宋体" w:hAnsi="宋体" w:eastAsia="宋体" w:cs="宋体"/>
                <w:sz w:val="21"/>
                <w:szCs w:val="21"/>
              </w:rPr>
            </w:pPr>
            <w:r>
              <w:rPr>
                <w:rFonts w:ascii="宋体" w:hAnsi="宋体" w:eastAsia="宋体" w:cs="宋体"/>
                <w:spacing w:val="-4"/>
                <w:sz w:val="21"/>
                <w:szCs w:val="21"/>
              </w:rPr>
              <w:t>曝气系统</w:t>
            </w:r>
          </w:p>
        </w:tc>
        <w:tc>
          <w:tcPr>
            <w:tcW w:w="3095" w:type="dxa"/>
            <w:vAlign w:val="top"/>
          </w:tcPr>
          <w:p w14:paraId="3D184345">
            <w:pPr>
              <w:pStyle w:val="6"/>
              <w:spacing w:before="101" w:line="180" w:lineRule="auto"/>
              <w:ind w:left="905"/>
            </w:pPr>
            <w:r>
              <w:rPr>
                <w:spacing w:val="-4"/>
              </w:rPr>
              <w:t>UPVC</w:t>
            </w:r>
            <w:r>
              <w:rPr>
                <w:spacing w:val="-19"/>
              </w:rPr>
              <w:t xml:space="preserve"> </w:t>
            </w:r>
            <w:r>
              <w:rPr>
                <w:rFonts w:ascii="宋体" w:hAnsi="宋体" w:eastAsia="宋体" w:cs="宋体"/>
                <w:spacing w:val="-4"/>
              </w:rPr>
              <w:t>，</w:t>
            </w:r>
            <w:r>
              <w:rPr>
                <w:spacing w:val="-4"/>
              </w:rPr>
              <w:t>DN25</w:t>
            </w:r>
          </w:p>
        </w:tc>
        <w:tc>
          <w:tcPr>
            <w:tcW w:w="597" w:type="dxa"/>
            <w:vAlign w:val="top"/>
          </w:tcPr>
          <w:p w14:paraId="1A3FB178">
            <w:pPr>
              <w:spacing w:before="65"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1062176C">
            <w:pPr>
              <w:pStyle w:val="6"/>
              <w:spacing w:before="101" w:line="188" w:lineRule="auto"/>
              <w:ind w:left="599"/>
            </w:pPr>
            <w:r>
              <w:t>1</w:t>
            </w:r>
          </w:p>
        </w:tc>
      </w:tr>
      <w:tr w14:paraId="233DE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vMerge w:val="continue"/>
            <w:tcBorders>
              <w:top w:val="nil"/>
              <w:bottom w:val="nil"/>
            </w:tcBorders>
            <w:vAlign w:val="top"/>
          </w:tcPr>
          <w:p w14:paraId="3E7D0402">
            <w:pPr>
              <w:rPr>
                <w:rFonts w:ascii="Arial"/>
                <w:sz w:val="21"/>
              </w:rPr>
            </w:pPr>
          </w:p>
        </w:tc>
        <w:tc>
          <w:tcPr>
            <w:tcW w:w="1660" w:type="dxa"/>
            <w:vAlign w:val="top"/>
          </w:tcPr>
          <w:p w14:paraId="238586A8">
            <w:pPr>
              <w:spacing w:before="206" w:line="220" w:lineRule="auto"/>
              <w:ind w:left="310"/>
              <w:rPr>
                <w:rFonts w:ascii="宋体" w:hAnsi="宋体" w:eastAsia="宋体" w:cs="宋体"/>
                <w:sz w:val="21"/>
                <w:szCs w:val="21"/>
              </w:rPr>
            </w:pPr>
            <w:r>
              <w:rPr>
                <w:rFonts w:ascii="宋体" w:hAnsi="宋体" w:eastAsia="宋体" w:cs="宋体"/>
                <w:spacing w:val="-2"/>
                <w:sz w:val="21"/>
                <w:szCs w:val="21"/>
              </w:rPr>
              <w:t>污泥回流泵</w:t>
            </w:r>
          </w:p>
        </w:tc>
        <w:tc>
          <w:tcPr>
            <w:tcW w:w="3095" w:type="dxa"/>
            <w:vAlign w:val="top"/>
          </w:tcPr>
          <w:p w14:paraId="10F09D58">
            <w:pPr>
              <w:pStyle w:val="6"/>
              <w:spacing w:before="34" w:line="253" w:lineRule="auto"/>
              <w:ind w:left="334" w:right="202" w:hanging="168"/>
            </w:pPr>
            <w:r>
              <w:rPr>
                <w:rFonts w:ascii="宋体" w:hAnsi="宋体" w:eastAsia="宋体" w:cs="宋体"/>
                <w:spacing w:val="-5"/>
              </w:rPr>
              <w:t>离心泵，</w:t>
            </w:r>
            <w:r>
              <w:rPr>
                <w:spacing w:val="-5"/>
              </w:rPr>
              <w:t>Q=25m</w:t>
            </w:r>
            <w:r>
              <w:rPr>
                <w:spacing w:val="-5"/>
                <w:position w:val="9"/>
                <w:sz w:val="14"/>
                <w:szCs w:val="14"/>
              </w:rPr>
              <w:t>3</w:t>
            </w:r>
            <w:r>
              <w:rPr>
                <w:spacing w:val="-5"/>
              </w:rPr>
              <w:t>/h</w:t>
            </w:r>
            <w:r>
              <w:rPr>
                <w:spacing w:val="-18"/>
              </w:rPr>
              <w:t xml:space="preserve"> </w:t>
            </w:r>
            <w:r>
              <w:rPr>
                <w:rFonts w:ascii="宋体" w:hAnsi="宋体" w:eastAsia="宋体" w:cs="宋体"/>
                <w:spacing w:val="-5"/>
              </w:rPr>
              <w:t>，</w:t>
            </w:r>
            <w:r>
              <w:rPr>
                <w:spacing w:val="-5"/>
              </w:rPr>
              <w:t>H=15m</w:t>
            </w:r>
            <w:r>
              <w:rPr>
                <w:rFonts w:ascii="宋体" w:hAnsi="宋体" w:eastAsia="宋体" w:cs="宋体"/>
                <w:spacing w:val="-5"/>
              </w:rPr>
              <w:t>，</w:t>
            </w:r>
            <w:r>
              <w:rPr>
                <w:rFonts w:ascii="宋体" w:hAnsi="宋体" w:eastAsia="宋体" w:cs="宋体"/>
              </w:rPr>
              <w:t xml:space="preserve"> </w:t>
            </w:r>
            <w:r>
              <w:t>N=3kW</w:t>
            </w:r>
            <w:r>
              <w:rPr>
                <w:rFonts w:ascii="宋体" w:hAnsi="宋体" w:eastAsia="宋体" w:cs="宋体"/>
              </w:rPr>
              <w:t>，过流部件：</w:t>
            </w:r>
            <w:r>
              <w:t>ss304</w:t>
            </w:r>
          </w:p>
        </w:tc>
        <w:tc>
          <w:tcPr>
            <w:tcW w:w="597" w:type="dxa"/>
            <w:vAlign w:val="top"/>
          </w:tcPr>
          <w:p w14:paraId="5E23778F">
            <w:pPr>
              <w:spacing w:before="206"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0D6C42AF">
            <w:pPr>
              <w:pStyle w:val="6"/>
              <w:spacing w:before="243" w:line="188" w:lineRule="auto"/>
              <w:ind w:left="579"/>
            </w:pPr>
            <w:r>
              <w:t>2</w:t>
            </w:r>
          </w:p>
        </w:tc>
      </w:tr>
      <w:tr w14:paraId="5589A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tcBorders>
            <w:vAlign w:val="top"/>
          </w:tcPr>
          <w:p w14:paraId="5E12BC47">
            <w:pPr>
              <w:rPr>
                <w:rFonts w:ascii="Arial"/>
                <w:sz w:val="21"/>
              </w:rPr>
            </w:pPr>
          </w:p>
        </w:tc>
        <w:tc>
          <w:tcPr>
            <w:tcW w:w="1660" w:type="dxa"/>
            <w:vAlign w:val="top"/>
          </w:tcPr>
          <w:p w14:paraId="4E3117C9">
            <w:pPr>
              <w:spacing w:before="64" w:line="220" w:lineRule="auto"/>
              <w:ind w:left="414"/>
              <w:rPr>
                <w:rFonts w:ascii="宋体" w:hAnsi="宋体" w:eastAsia="宋体" w:cs="宋体"/>
                <w:sz w:val="21"/>
                <w:szCs w:val="21"/>
              </w:rPr>
            </w:pPr>
            <w:r>
              <w:rPr>
                <w:rFonts w:ascii="宋体" w:hAnsi="宋体" w:eastAsia="宋体" w:cs="宋体"/>
                <w:spacing w:val="-2"/>
                <w:sz w:val="21"/>
                <w:szCs w:val="21"/>
              </w:rPr>
              <w:t>排泥管道</w:t>
            </w:r>
          </w:p>
        </w:tc>
        <w:tc>
          <w:tcPr>
            <w:tcW w:w="3095" w:type="dxa"/>
            <w:vAlign w:val="top"/>
          </w:tcPr>
          <w:p w14:paraId="045D86F4">
            <w:pPr>
              <w:pStyle w:val="6"/>
              <w:spacing w:before="101" w:line="180" w:lineRule="auto"/>
              <w:ind w:left="905"/>
            </w:pPr>
            <w:r>
              <w:rPr>
                <w:spacing w:val="-4"/>
              </w:rPr>
              <w:t>UPVC</w:t>
            </w:r>
            <w:r>
              <w:rPr>
                <w:spacing w:val="-19"/>
              </w:rPr>
              <w:t xml:space="preserve"> </w:t>
            </w:r>
            <w:r>
              <w:rPr>
                <w:rFonts w:ascii="宋体" w:hAnsi="宋体" w:eastAsia="宋体" w:cs="宋体"/>
                <w:spacing w:val="-4"/>
              </w:rPr>
              <w:t>，</w:t>
            </w:r>
            <w:r>
              <w:rPr>
                <w:spacing w:val="-4"/>
              </w:rPr>
              <w:t>DN65</w:t>
            </w:r>
          </w:p>
        </w:tc>
        <w:tc>
          <w:tcPr>
            <w:tcW w:w="597" w:type="dxa"/>
            <w:vAlign w:val="top"/>
          </w:tcPr>
          <w:p w14:paraId="7F5675C3">
            <w:pPr>
              <w:spacing w:before="64" w:line="222" w:lineRule="auto"/>
              <w:ind w:left="200"/>
              <w:rPr>
                <w:rFonts w:ascii="宋体" w:hAnsi="宋体" w:eastAsia="宋体" w:cs="宋体"/>
                <w:sz w:val="21"/>
                <w:szCs w:val="21"/>
              </w:rPr>
            </w:pPr>
            <w:r>
              <w:rPr>
                <w:rFonts w:ascii="宋体" w:hAnsi="宋体" w:eastAsia="宋体" w:cs="宋体"/>
                <w:sz w:val="21"/>
                <w:szCs w:val="21"/>
              </w:rPr>
              <w:t>批</w:t>
            </w:r>
          </w:p>
        </w:tc>
        <w:tc>
          <w:tcPr>
            <w:tcW w:w="1258" w:type="dxa"/>
            <w:vAlign w:val="top"/>
          </w:tcPr>
          <w:p w14:paraId="7C6B1322">
            <w:pPr>
              <w:pStyle w:val="6"/>
              <w:spacing w:before="101" w:line="188" w:lineRule="auto"/>
              <w:ind w:left="599"/>
            </w:pPr>
            <w:r>
              <w:t>1</w:t>
            </w:r>
          </w:p>
        </w:tc>
      </w:tr>
      <w:tr w14:paraId="34780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vAlign w:val="top"/>
          </w:tcPr>
          <w:p w14:paraId="0041D094">
            <w:pPr>
              <w:pStyle w:val="6"/>
              <w:spacing w:before="50" w:line="265" w:lineRule="auto"/>
              <w:ind w:left="379" w:right="327" w:hanging="41"/>
            </w:pPr>
            <w:r>
              <w:rPr>
                <w:rFonts w:ascii="宋体" w:hAnsi="宋体" w:eastAsia="宋体" w:cs="宋体"/>
                <w:spacing w:val="-3"/>
              </w:rPr>
              <w:t>一级缺氧池</w:t>
            </w:r>
            <w:r>
              <w:rPr>
                <w:spacing w:val="-1"/>
              </w:rPr>
              <w:t>(9×10×5m)</w:t>
            </w:r>
          </w:p>
        </w:tc>
        <w:tc>
          <w:tcPr>
            <w:tcW w:w="1660" w:type="dxa"/>
            <w:vAlign w:val="top"/>
          </w:tcPr>
          <w:p w14:paraId="39EA1282">
            <w:pPr>
              <w:spacing w:before="206" w:line="219" w:lineRule="auto"/>
              <w:ind w:left="308"/>
              <w:rPr>
                <w:rFonts w:ascii="宋体" w:hAnsi="宋体" w:eastAsia="宋体" w:cs="宋体"/>
                <w:sz w:val="21"/>
                <w:szCs w:val="21"/>
              </w:rPr>
            </w:pPr>
            <w:r>
              <w:rPr>
                <w:rFonts w:ascii="宋体" w:hAnsi="宋体" w:eastAsia="宋体" w:cs="宋体"/>
                <w:spacing w:val="-2"/>
                <w:sz w:val="21"/>
                <w:szCs w:val="21"/>
              </w:rPr>
              <w:t>潜水搅拌机</w:t>
            </w:r>
          </w:p>
        </w:tc>
        <w:tc>
          <w:tcPr>
            <w:tcW w:w="3095" w:type="dxa"/>
            <w:vAlign w:val="top"/>
          </w:tcPr>
          <w:p w14:paraId="03A25793">
            <w:pPr>
              <w:pStyle w:val="6"/>
              <w:spacing w:before="239" w:line="192" w:lineRule="auto"/>
              <w:ind w:left="1226"/>
            </w:pPr>
            <w:r>
              <w:rPr>
                <w:spacing w:val="1"/>
              </w:rPr>
              <w:t>N=3</w:t>
            </w:r>
            <w:r>
              <w:t>kw</w:t>
            </w:r>
          </w:p>
        </w:tc>
        <w:tc>
          <w:tcPr>
            <w:tcW w:w="597" w:type="dxa"/>
            <w:vAlign w:val="top"/>
          </w:tcPr>
          <w:p w14:paraId="5E5F8ACD">
            <w:pPr>
              <w:spacing w:before="206"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0CD3D651">
            <w:pPr>
              <w:pStyle w:val="6"/>
              <w:spacing w:before="243" w:line="188" w:lineRule="auto"/>
              <w:ind w:left="577"/>
            </w:pPr>
            <w:r>
              <w:t>4</w:t>
            </w:r>
          </w:p>
        </w:tc>
      </w:tr>
      <w:tr w14:paraId="305AA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1D83A465">
            <w:pPr>
              <w:pStyle w:val="6"/>
              <w:spacing w:before="259" w:line="296" w:lineRule="auto"/>
              <w:ind w:left="332" w:right="324" w:firstLine="6"/>
            </w:pPr>
            <w:r>
              <w:rPr>
                <w:rFonts w:ascii="宋体" w:hAnsi="宋体" w:eastAsia="宋体" w:cs="宋体"/>
                <w:spacing w:val="-3"/>
              </w:rPr>
              <w:t>一级好氧池</w:t>
            </w:r>
            <w:r>
              <w:rPr>
                <w:spacing w:val="-2"/>
              </w:rPr>
              <w:t>(11×10×5m)</w:t>
            </w:r>
          </w:p>
        </w:tc>
        <w:tc>
          <w:tcPr>
            <w:tcW w:w="1660" w:type="dxa"/>
            <w:vAlign w:val="top"/>
          </w:tcPr>
          <w:p w14:paraId="35B70C9B">
            <w:pPr>
              <w:spacing w:before="65" w:line="220" w:lineRule="auto"/>
              <w:ind w:left="528"/>
              <w:rPr>
                <w:rFonts w:ascii="宋体" w:hAnsi="宋体" w:eastAsia="宋体" w:cs="宋体"/>
                <w:sz w:val="21"/>
                <w:szCs w:val="21"/>
              </w:rPr>
            </w:pPr>
            <w:r>
              <w:rPr>
                <w:rFonts w:ascii="宋体" w:hAnsi="宋体" w:eastAsia="宋体" w:cs="宋体"/>
                <w:spacing w:val="-4"/>
                <w:sz w:val="21"/>
                <w:szCs w:val="21"/>
              </w:rPr>
              <w:t>曝气盘</w:t>
            </w:r>
          </w:p>
        </w:tc>
        <w:tc>
          <w:tcPr>
            <w:tcW w:w="3095" w:type="dxa"/>
            <w:vAlign w:val="top"/>
          </w:tcPr>
          <w:p w14:paraId="25DF0348">
            <w:pPr>
              <w:pStyle w:val="6"/>
              <w:spacing w:before="64" w:line="220" w:lineRule="auto"/>
              <w:ind w:left="726"/>
            </w:pPr>
            <w:r>
              <w:rPr>
                <w:rFonts w:ascii="宋体" w:hAnsi="宋体" w:eastAsia="宋体" w:cs="宋体"/>
                <w:spacing w:val="-3"/>
              </w:rPr>
              <w:t>规格Φ</w:t>
            </w:r>
            <w:r>
              <w:rPr>
                <w:rFonts w:ascii="宋体" w:hAnsi="宋体" w:eastAsia="宋体" w:cs="宋体"/>
                <w:spacing w:val="-78"/>
              </w:rPr>
              <w:t xml:space="preserve"> </w:t>
            </w:r>
            <w:r>
              <w:rPr>
                <w:spacing w:val="-3"/>
              </w:rPr>
              <w:t>180-200mm</w:t>
            </w:r>
          </w:p>
        </w:tc>
        <w:tc>
          <w:tcPr>
            <w:tcW w:w="597" w:type="dxa"/>
            <w:vAlign w:val="top"/>
          </w:tcPr>
          <w:p w14:paraId="23136316">
            <w:pPr>
              <w:spacing w:before="65"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6761C675">
            <w:pPr>
              <w:pStyle w:val="6"/>
              <w:spacing w:before="101" w:line="188" w:lineRule="auto"/>
              <w:ind w:left="476"/>
            </w:pPr>
            <w:r>
              <w:rPr>
                <w:spacing w:val="-3"/>
              </w:rPr>
              <w:t>700</w:t>
            </w:r>
          </w:p>
        </w:tc>
      </w:tr>
      <w:tr w14:paraId="326FA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continue"/>
            <w:tcBorders>
              <w:top w:val="nil"/>
              <w:bottom w:val="nil"/>
            </w:tcBorders>
            <w:vAlign w:val="top"/>
          </w:tcPr>
          <w:p w14:paraId="5D7C87EF">
            <w:pPr>
              <w:rPr>
                <w:rFonts w:ascii="Arial"/>
                <w:sz w:val="21"/>
              </w:rPr>
            </w:pPr>
          </w:p>
        </w:tc>
        <w:tc>
          <w:tcPr>
            <w:tcW w:w="1660" w:type="dxa"/>
            <w:vAlign w:val="top"/>
          </w:tcPr>
          <w:p w14:paraId="2B1FC874">
            <w:pPr>
              <w:spacing w:before="65" w:line="219" w:lineRule="auto"/>
              <w:ind w:left="310"/>
              <w:rPr>
                <w:rFonts w:ascii="宋体" w:hAnsi="宋体" w:eastAsia="宋体" w:cs="宋体"/>
                <w:sz w:val="21"/>
                <w:szCs w:val="21"/>
              </w:rPr>
            </w:pPr>
            <w:r>
              <w:rPr>
                <w:rFonts w:ascii="宋体" w:hAnsi="宋体" w:eastAsia="宋体" w:cs="宋体"/>
                <w:spacing w:val="-2"/>
                <w:sz w:val="21"/>
                <w:szCs w:val="21"/>
              </w:rPr>
              <w:t>罗茨鼓风机</w:t>
            </w:r>
          </w:p>
        </w:tc>
        <w:tc>
          <w:tcPr>
            <w:tcW w:w="3095" w:type="dxa"/>
            <w:vAlign w:val="top"/>
          </w:tcPr>
          <w:p w14:paraId="38575D73">
            <w:pPr>
              <w:pStyle w:val="6"/>
              <w:spacing w:before="38" w:line="215" w:lineRule="auto"/>
              <w:ind w:left="399"/>
            </w:pPr>
            <w:r>
              <w:rPr>
                <w:spacing w:val="-2"/>
              </w:rPr>
              <w:t>Q=24.23m</w:t>
            </w:r>
            <w:r>
              <w:rPr>
                <w:spacing w:val="-2"/>
                <w:position w:val="10"/>
                <w:sz w:val="14"/>
                <w:szCs w:val="14"/>
              </w:rPr>
              <w:t>3</w:t>
            </w:r>
            <w:r>
              <w:rPr>
                <w:spacing w:val="-2"/>
              </w:rPr>
              <w:t>/min</w:t>
            </w:r>
            <w:r>
              <w:rPr>
                <w:spacing w:val="-20"/>
              </w:rPr>
              <w:t xml:space="preserve"> </w:t>
            </w:r>
            <w:r>
              <w:rPr>
                <w:rFonts w:ascii="宋体" w:hAnsi="宋体" w:eastAsia="宋体" w:cs="宋体"/>
                <w:spacing w:val="-2"/>
              </w:rPr>
              <w:t>，</w:t>
            </w:r>
            <w:r>
              <w:rPr>
                <w:spacing w:val="-2"/>
              </w:rPr>
              <w:t>N=30kw</w:t>
            </w:r>
          </w:p>
        </w:tc>
        <w:tc>
          <w:tcPr>
            <w:tcW w:w="597" w:type="dxa"/>
            <w:vAlign w:val="top"/>
          </w:tcPr>
          <w:p w14:paraId="31DF8E46">
            <w:pPr>
              <w:spacing w:before="65"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1EA082CF">
            <w:pPr>
              <w:pStyle w:val="6"/>
              <w:spacing w:before="101" w:line="188" w:lineRule="auto"/>
              <w:ind w:left="583"/>
            </w:pPr>
            <w:r>
              <w:t>3</w:t>
            </w:r>
          </w:p>
        </w:tc>
      </w:tr>
      <w:tr w14:paraId="1178A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tcBorders>
            <w:vAlign w:val="top"/>
          </w:tcPr>
          <w:p w14:paraId="08C9B01A">
            <w:pPr>
              <w:rPr>
                <w:rFonts w:ascii="Arial"/>
                <w:sz w:val="21"/>
              </w:rPr>
            </w:pPr>
          </w:p>
        </w:tc>
        <w:tc>
          <w:tcPr>
            <w:tcW w:w="1660" w:type="dxa"/>
            <w:vAlign w:val="top"/>
          </w:tcPr>
          <w:p w14:paraId="3A5598AE">
            <w:pPr>
              <w:spacing w:before="65" w:line="220" w:lineRule="auto"/>
              <w:ind w:left="206"/>
              <w:rPr>
                <w:rFonts w:ascii="宋体" w:hAnsi="宋体" w:eastAsia="宋体" w:cs="宋体"/>
                <w:sz w:val="21"/>
                <w:szCs w:val="21"/>
              </w:rPr>
            </w:pPr>
            <w:r>
              <w:rPr>
                <w:rFonts w:ascii="宋体" w:hAnsi="宋体" w:eastAsia="宋体" w:cs="宋体"/>
                <w:spacing w:val="-2"/>
                <w:sz w:val="21"/>
                <w:szCs w:val="21"/>
              </w:rPr>
              <w:t>硝化液回流泵</w:t>
            </w:r>
          </w:p>
        </w:tc>
        <w:tc>
          <w:tcPr>
            <w:tcW w:w="3095" w:type="dxa"/>
            <w:vAlign w:val="top"/>
          </w:tcPr>
          <w:p w14:paraId="22F8F67B">
            <w:pPr>
              <w:pStyle w:val="6"/>
              <w:spacing w:before="38" w:line="215" w:lineRule="auto"/>
              <w:ind w:left="693"/>
            </w:pPr>
            <w:r>
              <w:rPr>
                <w:spacing w:val="-3"/>
              </w:rPr>
              <w:t>Q=40m</w:t>
            </w:r>
            <w:r>
              <w:rPr>
                <w:spacing w:val="-3"/>
                <w:position w:val="10"/>
                <w:sz w:val="14"/>
                <w:szCs w:val="14"/>
              </w:rPr>
              <w:t>3</w:t>
            </w:r>
            <w:r>
              <w:rPr>
                <w:spacing w:val="-3"/>
              </w:rPr>
              <w:t>/h</w:t>
            </w:r>
            <w:r>
              <w:rPr>
                <w:spacing w:val="-18"/>
              </w:rPr>
              <w:t xml:space="preserve"> </w:t>
            </w:r>
            <w:r>
              <w:rPr>
                <w:rFonts w:ascii="宋体" w:hAnsi="宋体" w:eastAsia="宋体" w:cs="宋体"/>
                <w:spacing w:val="-3"/>
              </w:rPr>
              <w:t>，</w:t>
            </w:r>
            <w:r>
              <w:rPr>
                <w:spacing w:val="-3"/>
              </w:rPr>
              <w:t>N=3kw</w:t>
            </w:r>
          </w:p>
        </w:tc>
        <w:tc>
          <w:tcPr>
            <w:tcW w:w="597" w:type="dxa"/>
            <w:vAlign w:val="top"/>
          </w:tcPr>
          <w:p w14:paraId="6D575B77">
            <w:pPr>
              <w:spacing w:before="65"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37E768DA">
            <w:pPr>
              <w:pStyle w:val="6"/>
              <w:spacing w:before="102" w:line="188" w:lineRule="auto"/>
              <w:ind w:left="579"/>
            </w:pPr>
            <w:r>
              <w:t>2</w:t>
            </w:r>
          </w:p>
        </w:tc>
      </w:tr>
      <w:tr w14:paraId="7A8B3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0883A2A9">
            <w:pPr>
              <w:pStyle w:val="6"/>
              <w:spacing w:before="85" w:line="279" w:lineRule="auto"/>
              <w:ind w:left="432" w:right="327" w:hanging="94"/>
            </w:pPr>
            <w:r>
              <w:rPr>
                <w:rFonts w:ascii="宋体" w:hAnsi="宋体" w:eastAsia="宋体" w:cs="宋体"/>
                <w:spacing w:val="-3"/>
              </w:rPr>
              <w:t>一级沉淀池</w:t>
            </w:r>
            <w:r>
              <w:rPr>
                <w:spacing w:val="-2"/>
              </w:rPr>
              <w:t>(4×4×5m)</w:t>
            </w:r>
          </w:p>
        </w:tc>
        <w:tc>
          <w:tcPr>
            <w:tcW w:w="1660" w:type="dxa"/>
            <w:vAlign w:val="top"/>
          </w:tcPr>
          <w:p w14:paraId="47025AED">
            <w:pPr>
              <w:spacing w:before="65" w:line="220" w:lineRule="auto"/>
              <w:ind w:left="310"/>
              <w:rPr>
                <w:rFonts w:ascii="宋体" w:hAnsi="宋体" w:eastAsia="宋体" w:cs="宋体"/>
                <w:sz w:val="21"/>
                <w:szCs w:val="21"/>
              </w:rPr>
            </w:pPr>
            <w:r>
              <w:rPr>
                <w:rFonts w:ascii="宋体" w:hAnsi="宋体" w:eastAsia="宋体" w:cs="宋体"/>
                <w:spacing w:val="-2"/>
                <w:sz w:val="21"/>
                <w:szCs w:val="21"/>
              </w:rPr>
              <w:t>污泥回流泵</w:t>
            </w:r>
          </w:p>
        </w:tc>
        <w:tc>
          <w:tcPr>
            <w:tcW w:w="3095" w:type="dxa"/>
            <w:vAlign w:val="top"/>
          </w:tcPr>
          <w:p w14:paraId="58CB40C1">
            <w:pPr>
              <w:pStyle w:val="6"/>
              <w:spacing w:before="50" w:line="218" w:lineRule="auto"/>
              <w:ind w:left="85"/>
            </w:pPr>
            <w:r>
              <w:rPr>
                <w:spacing w:val="-2"/>
              </w:rPr>
              <w:t>Q=20m</w:t>
            </w:r>
            <w:r>
              <w:rPr>
                <w:spacing w:val="-2"/>
                <w:position w:val="9"/>
                <w:sz w:val="14"/>
                <w:szCs w:val="14"/>
              </w:rPr>
              <w:t>3</w:t>
            </w:r>
            <w:r>
              <w:rPr>
                <w:spacing w:val="-2"/>
              </w:rPr>
              <w:t>/h</w:t>
            </w:r>
            <w:r>
              <w:rPr>
                <w:spacing w:val="-27"/>
              </w:rPr>
              <w:t xml:space="preserve"> </w:t>
            </w:r>
            <w:r>
              <w:rPr>
                <w:rFonts w:ascii="宋体" w:hAnsi="宋体" w:eastAsia="宋体" w:cs="宋体"/>
                <w:spacing w:val="-2"/>
              </w:rPr>
              <w:t>，</w:t>
            </w:r>
            <w:r>
              <w:rPr>
                <w:spacing w:val="-2"/>
              </w:rPr>
              <w:t>H=10.2m</w:t>
            </w:r>
            <w:r>
              <w:rPr>
                <w:spacing w:val="-30"/>
              </w:rPr>
              <w:t xml:space="preserve"> </w:t>
            </w:r>
            <w:r>
              <w:rPr>
                <w:rFonts w:ascii="宋体" w:hAnsi="宋体" w:eastAsia="宋体" w:cs="宋体"/>
                <w:spacing w:val="-2"/>
              </w:rPr>
              <w:t>，</w:t>
            </w:r>
            <w:r>
              <w:rPr>
                <w:spacing w:val="-2"/>
              </w:rPr>
              <w:t>N=1.</w:t>
            </w:r>
            <w:r>
              <w:rPr>
                <w:spacing w:val="-3"/>
              </w:rPr>
              <w:t>5kW</w:t>
            </w:r>
          </w:p>
        </w:tc>
        <w:tc>
          <w:tcPr>
            <w:tcW w:w="597" w:type="dxa"/>
            <w:vAlign w:val="top"/>
          </w:tcPr>
          <w:p w14:paraId="0AF6F783">
            <w:pPr>
              <w:spacing w:before="65"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4BFDA148">
            <w:pPr>
              <w:pStyle w:val="6"/>
              <w:spacing w:before="102" w:line="188" w:lineRule="auto"/>
              <w:ind w:left="578"/>
            </w:pPr>
            <w:r>
              <w:t>2</w:t>
            </w:r>
          </w:p>
        </w:tc>
      </w:tr>
      <w:tr w14:paraId="1E6F0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continue"/>
            <w:tcBorders>
              <w:top w:val="nil"/>
            </w:tcBorders>
            <w:vAlign w:val="top"/>
          </w:tcPr>
          <w:p w14:paraId="207A0C76">
            <w:pPr>
              <w:rPr>
                <w:rFonts w:ascii="Arial"/>
                <w:sz w:val="21"/>
              </w:rPr>
            </w:pPr>
          </w:p>
        </w:tc>
        <w:tc>
          <w:tcPr>
            <w:tcW w:w="1660" w:type="dxa"/>
            <w:vAlign w:val="top"/>
          </w:tcPr>
          <w:p w14:paraId="1C567BBD">
            <w:pPr>
              <w:spacing w:before="65" w:line="220" w:lineRule="auto"/>
              <w:ind w:left="537"/>
              <w:rPr>
                <w:rFonts w:ascii="宋体" w:hAnsi="宋体" w:eastAsia="宋体" w:cs="宋体"/>
                <w:sz w:val="21"/>
                <w:szCs w:val="21"/>
              </w:rPr>
            </w:pPr>
            <w:r>
              <w:rPr>
                <w:rFonts w:ascii="宋体" w:hAnsi="宋体" w:eastAsia="宋体" w:cs="宋体"/>
                <w:spacing w:val="-6"/>
                <w:sz w:val="21"/>
                <w:szCs w:val="21"/>
              </w:rPr>
              <w:t>出水堰</w:t>
            </w:r>
          </w:p>
        </w:tc>
        <w:tc>
          <w:tcPr>
            <w:tcW w:w="3095" w:type="dxa"/>
            <w:vAlign w:val="top"/>
          </w:tcPr>
          <w:p w14:paraId="1704C88E">
            <w:pPr>
              <w:pStyle w:val="6"/>
              <w:spacing w:before="102" w:line="188" w:lineRule="auto"/>
              <w:ind w:left="1207"/>
            </w:pPr>
            <w:r>
              <w:rPr>
                <w:spacing w:val="-3"/>
              </w:rPr>
              <w:t>SUS304</w:t>
            </w:r>
          </w:p>
        </w:tc>
        <w:tc>
          <w:tcPr>
            <w:tcW w:w="597" w:type="dxa"/>
            <w:vAlign w:val="top"/>
          </w:tcPr>
          <w:p w14:paraId="451851BA">
            <w:pPr>
              <w:pStyle w:val="6"/>
              <w:spacing w:before="148" w:line="144" w:lineRule="exact"/>
              <w:ind w:left="217"/>
            </w:pPr>
            <w:r>
              <w:rPr>
                <w:position w:val="-1"/>
              </w:rPr>
              <w:t>m</w:t>
            </w:r>
          </w:p>
        </w:tc>
        <w:tc>
          <w:tcPr>
            <w:tcW w:w="1258" w:type="dxa"/>
            <w:vAlign w:val="top"/>
          </w:tcPr>
          <w:p w14:paraId="7E86B3EF">
            <w:pPr>
              <w:pStyle w:val="6"/>
              <w:spacing w:before="102" w:line="188" w:lineRule="auto"/>
              <w:ind w:left="499"/>
            </w:pPr>
            <w:r>
              <w:rPr>
                <w:spacing w:val="-1"/>
              </w:rPr>
              <w:t>2.5</w:t>
            </w:r>
          </w:p>
        </w:tc>
      </w:tr>
      <w:tr w14:paraId="71467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710" w:type="dxa"/>
            <w:vAlign w:val="top"/>
          </w:tcPr>
          <w:p w14:paraId="7CECC3DE">
            <w:pPr>
              <w:pStyle w:val="6"/>
              <w:spacing w:before="54" w:line="264" w:lineRule="auto"/>
              <w:ind w:left="379" w:right="327" w:hanging="41"/>
            </w:pPr>
            <w:r>
              <w:rPr>
                <w:rFonts w:ascii="宋体" w:hAnsi="宋体" w:eastAsia="宋体" w:cs="宋体"/>
                <w:spacing w:val="-3"/>
              </w:rPr>
              <w:t>二级缺氧池</w:t>
            </w:r>
            <w:r>
              <w:rPr>
                <w:spacing w:val="-1"/>
              </w:rPr>
              <w:t>(8×15×5m)</w:t>
            </w:r>
          </w:p>
        </w:tc>
        <w:tc>
          <w:tcPr>
            <w:tcW w:w="1660" w:type="dxa"/>
            <w:vAlign w:val="top"/>
          </w:tcPr>
          <w:p w14:paraId="38257ABB">
            <w:pPr>
              <w:spacing w:before="209" w:line="219" w:lineRule="auto"/>
              <w:ind w:left="308"/>
              <w:rPr>
                <w:rFonts w:ascii="宋体" w:hAnsi="宋体" w:eastAsia="宋体" w:cs="宋体"/>
                <w:sz w:val="21"/>
                <w:szCs w:val="21"/>
              </w:rPr>
            </w:pPr>
            <w:r>
              <w:rPr>
                <w:rFonts w:ascii="宋体" w:hAnsi="宋体" w:eastAsia="宋体" w:cs="宋体"/>
                <w:spacing w:val="-2"/>
                <w:sz w:val="21"/>
                <w:szCs w:val="21"/>
              </w:rPr>
              <w:t>潜水搅拌机</w:t>
            </w:r>
          </w:p>
        </w:tc>
        <w:tc>
          <w:tcPr>
            <w:tcW w:w="3095" w:type="dxa"/>
            <w:vAlign w:val="top"/>
          </w:tcPr>
          <w:p w14:paraId="4B912D2A">
            <w:pPr>
              <w:pStyle w:val="6"/>
              <w:spacing w:before="241" w:line="192" w:lineRule="auto"/>
              <w:ind w:left="1226"/>
            </w:pPr>
            <w:r>
              <w:rPr>
                <w:spacing w:val="1"/>
              </w:rPr>
              <w:t>N=3</w:t>
            </w:r>
            <w:r>
              <w:t>kw</w:t>
            </w:r>
          </w:p>
        </w:tc>
        <w:tc>
          <w:tcPr>
            <w:tcW w:w="597" w:type="dxa"/>
            <w:vAlign w:val="top"/>
          </w:tcPr>
          <w:p w14:paraId="67307E2A">
            <w:pPr>
              <w:spacing w:before="209"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4E6077C0">
            <w:pPr>
              <w:pStyle w:val="6"/>
              <w:spacing w:before="246" w:line="188" w:lineRule="auto"/>
              <w:ind w:left="577"/>
            </w:pPr>
            <w:r>
              <w:t>4</w:t>
            </w:r>
          </w:p>
        </w:tc>
      </w:tr>
      <w:tr w14:paraId="35240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restart"/>
            <w:tcBorders>
              <w:bottom w:val="nil"/>
            </w:tcBorders>
            <w:vAlign w:val="top"/>
          </w:tcPr>
          <w:p w14:paraId="3A29BEB1">
            <w:pPr>
              <w:pStyle w:val="6"/>
              <w:spacing w:before="83" w:line="280" w:lineRule="auto"/>
              <w:ind w:left="327" w:right="320" w:firstLine="11"/>
            </w:pPr>
            <w:r>
              <w:rPr>
                <w:rFonts w:ascii="宋体" w:hAnsi="宋体" w:eastAsia="宋体" w:cs="宋体"/>
                <w:spacing w:val="-3"/>
              </w:rPr>
              <w:t>二级好氧池</w:t>
            </w:r>
            <w:r>
              <w:rPr>
                <w:spacing w:val="-1"/>
              </w:rPr>
              <w:t>(10×15×5m)</w:t>
            </w:r>
          </w:p>
        </w:tc>
        <w:tc>
          <w:tcPr>
            <w:tcW w:w="1660" w:type="dxa"/>
            <w:vAlign w:val="top"/>
          </w:tcPr>
          <w:p w14:paraId="08065B22">
            <w:pPr>
              <w:spacing w:before="66" w:line="220" w:lineRule="auto"/>
              <w:ind w:left="528"/>
              <w:rPr>
                <w:rFonts w:ascii="宋体" w:hAnsi="宋体" w:eastAsia="宋体" w:cs="宋体"/>
                <w:sz w:val="21"/>
                <w:szCs w:val="21"/>
              </w:rPr>
            </w:pPr>
            <w:r>
              <w:rPr>
                <w:rFonts w:ascii="宋体" w:hAnsi="宋体" w:eastAsia="宋体" w:cs="宋体"/>
                <w:spacing w:val="-4"/>
                <w:sz w:val="21"/>
                <w:szCs w:val="21"/>
              </w:rPr>
              <w:t>曝气盘</w:t>
            </w:r>
          </w:p>
        </w:tc>
        <w:tc>
          <w:tcPr>
            <w:tcW w:w="3095" w:type="dxa"/>
            <w:vAlign w:val="top"/>
          </w:tcPr>
          <w:p w14:paraId="39EF6C77">
            <w:pPr>
              <w:pStyle w:val="6"/>
              <w:spacing w:before="65" w:line="220" w:lineRule="auto"/>
              <w:ind w:left="892"/>
            </w:pPr>
            <w:r>
              <w:rPr>
                <w:rFonts w:ascii="宋体" w:hAnsi="宋体" w:eastAsia="宋体" w:cs="宋体"/>
                <w:spacing w:val="-1"/>
              </w:rPr>
              <w:t>规格Φ</w:t>
            </w:r>
            <w:r>
              <w:rPr>
                <w:spacing w:val="-1"/>
              </w:rPr>
              <w:t>260 mm</w:t>
            </w:r>
          </w:p>
        </w:tc>
        <w:tc>
          <w:tcPr>
            <w:tcW w:w="597" w:type="dxa"/>
            <w:vAlign w:val="top"/>
          </w:tcPr>
          <w:p w14:paraId="1065BE39">
            <w:pPr>
              <w:spacing w:before="66"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33729D30">
            <w:pPr>
              <w:pStyle w:val="6"/>
              <w:spacing w:before="102" w:line="188" w:lineRule="auto"/>
              <w:ind w:left="479"/>
            </w:pPr>
            <w:r>
              <w:rPr>
                <w:spacing w:val="-4"/>
              </w:rPr>
              <w:t>500</w:t>
            </w:r>
          </w:p>
        </w:tc>
      </w:tr>
      <w:tr w14:paraId="0D54B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tcBorders>
            <w:vAlign w:val="top"/>
          </w:tcPr>
          <w:p w14:paraId="6B5A79E2">
            <w:pPr>
              <w:rPr>
                <w:rFonts w:ascii="Arial"/>
                <w:sz w:val="21"/>
              </w:rPr>
            </w:pPr>
          </w:p>
        </w:tc>
        <w:tc>
          <w:tcPr>
            <w:tcW w:w="1660" w:type="dxa"/>
            <w:vAlign w:val="top"/>
          </w:tcPr>
          <w:p w14:paraId="24C99897">
            <w:pPr>
              <w:spacing w:before="66" w:line="220" w:lineRule="auto"/>
              <w:ind w:left="206"/>
              <w:rPr>
                <w:rFonts w:ascii="宋体" w:hAnsi="宋体" w:eastAsia="宋体" w:cs="宋体"/>
                <w:sz w:val="21"/>
                <w:szCs w:val="21"/>
              </w:rPr>
            </w:pPr>
            <w:r>
              <w:rPr>
                <w:rFonts w:ascii="宋体" w:hAnsi="宋体" w:eastAsia="宋体" w:cs="宋体"/>
                <w:spacing w:val="-2"/>
                <w:sz w:val="21"/>
                <w:szCs w:val="21"/>
              </w:rPr>
              <w:t>硝化液回流泵</w:t>
            </w:r>
          </w:p>
        </w:tc>
        <w:tc>
          <w:tcPr>
            <w:tcW w:w="3095" w:type="dxa"/>
            <w:vAlign w:val="top"/>
          </w:tcPr>
          <w:p w14:paraId="3F43CCF5">
            <w:pPr>
              <w:pStyle w:val="6"/>
              <w:spacing w:before="39" w:line="215" w:lineRule="auto"/>
              <w:ind w:left="693"/>
            </w:pPr>
            <w:r>
              <w:rPr>
                <w:spacing w:val="-3"/>
              </w:rPr>
              <w:t>Q=40m</w:t>
            </w:r>
            <w:r>
              <w:rPr>
                <w:spacing w:val="-3"/>
                <w:position w:val="10"/>
                <w:sz w:val="14"/>
                <w:szCs w:val="14"/>
              </w:rPr>
              <w:t>3</w:t>
            </w:r>
            <w:r>
              <w:rPr>
                <w:spacing w:val="-3"/>
              </w:rPr>
              <w:t>/h</w:t>
            </w:r>
            <w:r>
              <w:rPr>
                <w:spacing w:val="-18"/>
              </w:rPr>
              <w:t xml:space="preserve"> </w:t>
            </w:r>
            <w:r>
              <w:rPr>
                <w:rFonts w:ascii="宋体" w:hAnsi="宋体" w:eastAsia="宋体" w:cs="宋体"/>
                <w:spacing w:val="-3"/>
              </w:rPr>
              <w:t>，</w:t>
            </w:r>
            <w:r>
              <w:rPr>
                <w:spacing w:val="-3"/>
              </w:rPr>
              <w:t>N=3kw</w:t>
            </w:r>
          </w:p>
        </w:tc>
        <w:tc>
          <w:tcPr>
            <w:tcW w:w="597" w:type="dxa"/>
            <w:vAlign w:val="top"/>
          </w:tcPr>
          <w:p w14:paraId="5FBCE7FF">
            <w:pPr>
              <w:spacing w:before="66"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542EFCFD">
            <w:pPr>
              <w:pStyle w:val="6"/>
              <w:spacing w:before="103" w:line="188" w:lineRule="auto"/>
              <w:ind w:left="579"/>
            </w:pPr>
            <w:r>
              <w:t>2</w:t>
            </w:r>
          </w:p>
        </w:tc>
      </w:tr>
      <w:tr w14:paraId="43DB1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71F97521">
            <w:pPr>
              <w:pStyle w:val="6"/>
              <w:spacing w:before="85" w:line="279" w:lineRule="auto"/>
              <w:ind w:left="432" w:right="327" w:hanging="94"/>
            </w:pPr>
            <w:r>
              <w:rPr>
                <w:rFonts w:ascii="宋体" w:hAnsi="宋体" w:eastAsia="宋体" w:cs="宋体"/>
                <w:spacing w:val="-3"/>
              </w:rPr>
              <w:t>二级沉淀池</w:t>
            </w:r>
            <w:r>
              <w:rPr>
                <w:spacing w:val="-2"/>
              </w:rPr>
              <w:t>(4×4×5m)</w:t>
            </w:r>
          </w:p>
        </w:tc>
        <w:tc>
          <w:tcPr>
            <w:tcW w:w="1660" w:type="dxa"/>
            <w:vAlign w:val="top"/>
          </w:tcPr>
          <w:p w14:paraId="7E8F4386">
            <w:pPr>
              <w:spacing w:before="66" w:line="220" w:lineRule="auto"/>
              <w:ind w:left="310"/>
              <w:rPr>
                <w:rFonts w:ascii="宋体" w:hAnsi="宋体" w:eastAsia="宋体" w:cs="宋体"/>
                <w:sz w:val="21"/>
                <w:szCs w:val="21"/>
              </w:rPr>
            </w:pPr>
            <w:r>
              <w:rPr>
                <w:rFonts w:ascii="宋体" w:hAnsi="宋体" w:eastAsia="宋体" w:cs="宋体"/>
                <w:spacing w:val="-2"/>
                <w:sz w:val="21"/>
                <w:szCs w:val="21"/>
              </w:rPr>
              <w:t>污泥回流泵</w:t>
            </w:r>
          </w:p>
        </w:tc>
        <w:tc>
          <w:tcPr>
            <w:tcW w:w="3095" w:type="dxa"/>
            <w:vAlign w:val="top"/>
          </w:tcPr>
          <w:p w14:paraId="73B47203">
            <w:pPr>
              <w:pStyle w:val="6"/>
              <w:spacing w:before="51" w:line="218" w:lineRule="auto"/>
              <w:ind w:left="85"/>
            </w:pPr>
            <w:r>
              <w:rPr>
                <w:spacing w:val="-2"/>
              </w:rPr>
              <w:t>Q=20m</w:t>
            </w:r>
            <w:r>
              <w:rPr>
                <w:spacing w:val="-2"/>
                <w:position w:val="9"/>
                <w:sz w:val="14"/>
                <w:szCs w:val="14"/>
              </w:rPr>
              <w:t>3</w:t>
            </w:r>
            <w:r>
              <w:rPr>
                <w:spacing w:val="-2"/>
              </w:rPr>
              <w:t>/h</w:t>
            </w:r>
            <w:r>
              <w:rPr>
                <w:spacing w:val="-27"/>
              </w:rPr>
              <w:t xml:space="preserve"> </w:t>
            </w:r>
            <w:r>
              <w:rPr>
                <w:rFonts w:ascii="宋体" w:hAnsi="宋体" w:eastAsia="宋体" w:cs="宋体"/>
                <w:spacing w:val="-2"/>
              </w:rPr>
              <w:t>，</w:t>
            </w:r>
            <w:r>
              <w:rPr>
                <w:spacing w:val="-2"/>
              </w:rPr>
              <w:t>H=10.2m</w:t>
            </w:r>
            <w:r>
              <w:rPr>
                <w:spacing w:val="-30"/>
              </w:rPr>
              <w:t xml:space="preserve"> </w:t>
            </w:r>
            <w:r>
              <w:rPr>
                <w:rFonts w:ascii="宋体" w:hAnsi="宋体" w:eastAsia="宋体" w:cs="宋体"/>
                <w:spacing w:val="-2"/>
              </w:rPr>
              <w:t>，</w:t>
            </w:r>
            <w:r>
              <w:rPr>
                <w:spacing w:val="-2"/>
              </w:rPr>
              <w:t>N=1.</w:t>
            </w:r>
            <w:r>
              <w:rPr>
                <w:spacing w:val="-3"/>
              </w:rPr>
              <w:t>5kW</w:t>
            </w:r>
          </w:p>
        </w:tc>
        <w:tc>
          <w:tcPr>
            <w:tcW w:w="597" w:type="dxa"/>
            <w:vAlign w:val="top"/>
          </w:tcPr>
          <w:p w14:paraId="0B4CB3FC">
            <w:pPr>
              <w:spacing w:before="66"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4322248E">
            <w:pPr>
              <w:pStyle w:val="6"/>
              <w:spacing w:before="103" w:line="188" w:lineRule="auto"/>
              <w:ind w:left="578"/>
            </w:pPr>
            <w:r>
              <w:t>2</w:t>
            </w:r>
          </w:p>
        </w:tc>
      </w:tr>
      <w:tr w14:paraId="1BCA1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continue"/>
            <w:tcBorders>
              <w:top w:val="nil"/>
            </w:tcBorders>
            <w:vAlign w:val="top"/>
          </w:tcPr>
          <w:p w14:paraId="1AEF3CC9">
            <w:pPr>
              <w:rPr>
                <w:rFonts w:ascii="Arial"/>
                <w:sz w:val="21"/>
              </w:rPr>
            </w:pPr>
          </w:p>
        </w:tc>
        <w:tc>
          <w:tcPr>
            <w:tcW w:w="1660" w:type="dxa"/>
            <w:vAlign w:val="top"/>
          </w:tcPr>
          <w:p w14:paraId="2F144116">
            <w:pPr>
              <w:spacing w:before="66" w:line="220" w:lineRule="auto"/>
              <w:ind w:left="537"/>
              <w:rPr>
                <w:rFonts w:ascii="宋体" w:hAnsi="宋体" w:eastAsia="宋体" w:cs="宋体"/>
                <w:sz w:val="21"/>
                <w:szCs w:val="21"/>
              </w:rPr>
            </w:pPr>
            <w:r>
              <w:rPr>
                <w:rFonts w:ascii="宋体" w:hAnsi="宋体" w:eastAsia="宋体" w:cs="宋体"/>
                <w:spacing w:val="-6"/>
                <w:sz w:val="21"/>
                <w:szCs w:val="21"/>
              </w:rPr>
              <w:t>出水堰</w:t>
            </w:r>
          </w:p>
        </w:tc>
        <w:tc>
          <w:tcPr>
            <w:tcW w:w="3095" w:type="dxa"/>
            <w:vAlign w:val="top"/>
          </w:tcPr>
          <w:p w14:paraId="07227840">
            <w:pPr>
              <w:pStyle w:val="6"/>
              <w:spacing w:before="103" w:line="188" w:lineRule="auto"/>
              <w:ind w:left="1207"/>
            </w:pPr>
            <w:r>
              <w:rPr>
                <w:spacing w:val="-3"/>
              </w:rPr>
              <w:t>SUS304</w:t>
            </w:r>
          </w:p>
        </w:tc>
        <w:tc>
          <w:tcPr>
            <w:tcW w:w="597" w:type="dxa"/>
            <w:vAlign w:val="top"/>
          </w:tcPr>
          <w:p w14:paraId="06053F29">
            <w:pPr>
              <w:pStyle w:val="6"/>
              <w:spacing w:before="149" w:line="144" w:lineRule="exact"/>
              <w:ind w:left="217"/>
            </w:pPr>
            <w:r>
              <w:rPr>
                <w:position w:val="-1"/>
              </w:rPr>
              <w:t>m</w:t>
            </w:r>
          </w:p>
        </w:tc>
        <w:tc>
          <w:tcPr>
            <w:tcW w:w="1258" w:type="dxa"/>
            <w:vAlign w:val="top"/>
          </w:tcPr>
          <w:p w14:paraId="401E3EFE">
            <w:pPr>
              <w:pStyle w:val="6"/>
              <w:spacing w:before="103" w:line="188" w:lineRule="auto"/>
              <w:ind w:left="582"/>
            </w:pPr>
            <w:r>
              <w:t>3</w:t>
            </w:r>
          </w:p>
        </w:tc>
      </w:tr>
      <w:tr w14:paraId="0E8C7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703F823E">
            <w:pPr>
              <w:spacing w:line="367" w:lineRule="auto"/>
              <w:rPr>
                <w:rFonts w:ascii="Arial"/>
                <w:sz w:val="21"/>
              </w:rPr>
            </w:pPr>
          </w:p>
          <w:p w14:paraId="2BA4C624">
            <w:pPr>
              <w:pStyle w:val="6"/>
              <w:spacing w:before="69" w:line="282" w:lineRule="auto"/>
              <w:ind w:left="298" w:right="300" w:firstLine="40"/>
              <w:rPr>
                <w:rFonts w:ascii="宋体" w:hAnsi="宋体" w:eastAsia="宋体" w:cs="宋体"/>
              </w:rPr>
            </w:pPr>
            <w:r>
              <w:rPr>
                <w:rFonts w:ascii="宋体" w:hAnsi="宋体" w:eastAsia="宋体" w:cs="宋体"/>
                <w:spacing w:val="-3"/>
              </w:rPr>
              <w:t>混凝沉淀池</w:t>
            </w:r>
            <w:r>
              <w:rPr>
                <w:rFonts w:ascii="宋体" w:hAnsi="宋体" w:eastAsia="宋体" w:cs="宋体"/>
                <w:spacing w:val="-4"/>
              </w:rPr>
              <w:t>（</w:t>
            </w:r>
            <w:r>
              <w:rPr>
                <w:spacing w:val="-4"/>
              </w:rPr>
              <w:t>8×5×5m</w:t>
            </w:r>
            <w:r>
              <w:rPr>
                <w:rFonts w:ascii="宋体" w:hAnsi="宋体" w:eastAsia="宋体" w:cs="宋体"/>
                <w:spacing w:val="-4"/>
              </w:rPr>
              <w:t>）</w:t>
            </w:r>
          </w:p>
        </w:tc>
        <w:tc>
          <w:tcPr>
            <w:tcW w:w="1660" w:type="dxa"/>
            <w:vAlign w:val="top"/>
          </w:tcPr>
          <w:p w14:paraId="226657C5">
            <w:pPr>
              <w:spacing w:before="67" w:line="219" w:lineRule="auto"/>
              <w:ind w:left="518"/>
              <w:rPr>
                <w:rFonts w:ascii="宋体" w:hAnsi="宋体" w:eastAsia="宋体" w:cs="宋体"/>
                <w:sz w:val="21"/>
                <w:szCs w:val="21"/>
              </w:rPr>
            </w:pPr>
            <w:r>
              <w:rPr>
                <w:rFonts w:ascii="宋体" w:hAnsi="宋体" w:eastAsia="宋体" w:cs="宋体"/>
                <w:spacing w:val="-2"/>
                <w:sz w:val="21"/>
                <w:szCs w:val="21"/>
              </w:rPr>
              <w:t>搅拌机</w:t>
            </w:r>
          </w:p>
        </w:tc>
        <w:tc>
          <w:tcPr>
            <w:tcW w:w="3095" w:type="dxa"/>
            <w:vAlign w:val="top"/>
          </w:tcPr>
          <w:p w14:paraId="5003330F">
            <w:pPr>
              <w:pStyle w:val="6"/>
              <w:spacing w:before="99" w:line="192" w:lineRule="auto"/>
              <w:ind w:left="1124"/>
            </w:pPr>
            <w:r>
              <w:t>N=1.5kW</w:t>
            </w:r>
          </w:p>
        </w:tc>
        <w:tc>
          <w:tcPr>
            <w:tcW w:w="597" w:type="dxa"/>
            <w:vAlign w:val="top"/>
          </w:tcPr>
          <w:p w14:paraId="67A530DC">
            <w:pPr>
              <w:spacing w:before="67"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0B7C4B51">
            <w:pPr>
              <w:pStyle w:val="6"/>
              <w:spacing w:before="104" w:line="188" w:lineRule="auto"/>
              <w:ind w:left="599"/>
            </w:pPr>
            <w:r>
              <w:t>1</w:t>
            </w:r>
          </w:p>
        </w:tc>
      </w:tr>
      <w:tr w14:paraId="64B7F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bottom w:val="nil"/>
            </w:tcBorders>
            <w:vAlign w:val="top"/>
          </w:tcPr>
          <w:p w14:paraId="6EC4BC51">
            <w:pPr>
              <w:rPr>
                <w:rFonts w:ascii="Arial"/>
                <w:sz w:val="21"/>
              </w:rPr>
            </w:pPr>
          </w:p>
        </w:tc>
        <w:tc>
          <w:tcPr>
            <w:tcW w:w="1660" w:type="dxa"/>
            <w:vAlign w:val="top"/>
          </w:tcPr>
          <w:p w14:paraId="2E77DB34">
            <w:pPr>
              <w:spacing w:before="67" w:line="220" w:lineRule="auto"/>
              <w:ind w:left="319"/>
              <w:rPr>
                <w:rFonts w:ascii="宋体" w:hAnsi="宋体" w:eastAsia="宋体" w:cs="宋体"/>
                <w:sz w:val="21"/>
                <w:szCs w:val="21"/>
              </w:rPr>
            </w:pPr>
            <w:r>
              <w:rPr>
                <w:rFonts w:ascii="宋体" w:hAnsi="宋体" w:eastAsia="宋体" w:cs="宋体"/>
                <w:spacing w:val="-4"/>
                <w:sz w:val="21"/>
                <w:szCs w:val="21"/>
              </w:rPr>
              <w:t>穿孔曝气管</w:t>
            </w:r>
          </w:p>
        </w:tc>
        <w:tc>
          <w:tcPr>
            <w:tcW w:w="3095" w:type="dxa"/>
            <w:vAlign w:val="top"/>
          </w:tcPr>
          <w:p w14:paraId="0F5693EB">
            <w:pPr>
              <w:pStyle w:val="6"/>
              <w:spacing w:before="104" w:line="188" w:lineRule="auto"/>
              <w:ind w:left="1266"/>
            </w:pPr>
            <w:r>
              <w:rPr>
                <w:spacing w:val="-1"/>
              </w:rPr>
              <w:t>UPVC</w:t>
            </w:r>
          </w:p>
        </w:tc>
        <w:tc>
          <w:tcPr>
            <w:tcW w:w="597" w:type="dxa"/>
            <w:vAlign w:val="top"/>
          </w:tcPr>
          <w:p w14:paraId="61003E67">
            <w:pPr>
              <w:spacing w:before="68"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5DAFBA9C">
            <w:pPr>
              <w:pStyle w:val="6"/>
              <w:spacing w:before="104" w:line="188" w:lineRule="auto"/>
              <w:ind w:left="599"/>
            </w:pPr>
            <w:r>
              <w:t>1</w:t>
            </w:r>
          </w:p>
        </w:tc>
      </w:tr>
      <w:tr w14:paraId="5156D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continue"/>
            <w:tcBorders>
              <w:top w:val="nil"/>
              <w:bottom w:val="nil"/>
            </w:tcBorders>
            <w:vAlign w:val="top"/>
          </w:tcPr>
          <w:p w14:paraId="60586044">
            <w:pPr>
              <w:rPr>
                <w:rFonts w:ascii="Arial"/>
                <w:sz w:val="21"/>
              </w:rPr>
            </w:pPr>
          </w:p>
        </w:tc>
        <w:tc>
          <w:tcPr>
            <w:tcW w:w="1660" w:type="dxa"/>
            <w:vAlign w:val="top"/>
          </w:tcPr>
          <w:p w14:paraId="4D5F6009">
            <w:pPr>
              <w:spacing w:before="67" w:line="220" w:lineRule="auto"/>
              <w:ind w:left="519"/>
              <w:rPr>
                <w:rFonts w:ascii="宋体" w:hAnsi="宋体" w:eastAsia="宋体" w:cs="宋体"/>
                <w:sz w:val="21"/>
                <w:szCs w:val="21"/>
              </w:rPr>
            </w:pPr>
            <w:r>
              <w:rPr>
                <w:rFonts w:ascii="宋体" w:hAnsi="宋体" w:eastAsia="宋体" w:cs="宋体"/>
                <w:spacing w:val="-2"/>
                <w:sz w:val="21"/>
                <w:szCs w:val="21"/>
              </w:rPr>
              <w:t>排泥泵</w:t>
            </w:r>
          </w:p>
        </w:tc>
        <w:tc>
          <w:tcPr>
            <w:tcW w:w="3095" w:type="dxa"/>
            <w:vAlign w:val="top"/>
          </w:tcPr>
          <w:p w14:paraId="7FFC5B54">
            <w:pPr>
              <w:pStyle w:val="6"/>
              <w:spacing w:before="52" w:line="218" w:lineRule="auto"/>
              <w:ind w:left="193"/>
            </w:pPr>
            <w:r>
              <w:rPr>
                <w:rFonts w:ascii="宋体" w:hAnsi="宋体" w:eastAsia="宋体" w:cs="宋体"/>
                <w:spacing w:val="-2"/>
              </w:rPr>
              <w:t>离心泵，</w:t>
            </w:r>
            <w:r>
              <w:rPr>
                <w:spacing w:val="-2"/>
              </w:rPr>
              <w:t>Q=28m</w:t>
            </w:r>
            <w:r>
              <w:rPr>
                <w:spacing w:val="-2"/>
                <w:position w:val="9"/>
                <w:sz w:val="14"/>
                <w:szCs w:val="14"/>
              </w:rPr>
              <w:t>3</w:t>
            </w:r>
            <w:r>
              <w:rPr>
                <w:spacing w:val="-2"/>
              </w:rPr>
              <w:t>/h</w:t>
            </w:r>
            <w:r>
              <w:rPr>
                <w:spacing w:val="-24"/>
              </w:rPr>
              <w:t xml:space="preserve"> </w:t>
            </w:r>
            <w:r>
              <w:rPr>
                <w:rFonts w:ascii="宋体" w:hAnsi="宋体" w:eastAsia="宋体" w:cs="宋体"/>
                <w:spacing w:val="-2"/>
              </w:rPr>
              <w:t>，</w:t>
            </w:r>
            <w:r>
              <w:rPr>
                <w:spacing w:val="-2"/>
              </w:rPr>
              <w:t>H=10.2m</w:t>
            </w:r>
          </w:p>
        </w:tc>
        <w:tc>
          <w:tcPr>
            <w:tcW w:w="597" w:type="dxa"/>
            <w:vAlign w:val="top"/>
          </w:tcPr>
          <w:p w14:paraId="308AC3B1">
            <w:pPr>
              <w:spacing w:before="68"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0F85ABF8">
            <w:pPr>
              <w:pStyle w:val="6"/>
              <w:spacing w:before="105" w:line="188" w:lineRule="auto"/>
              <w:ind w:left="579"/>
            </w:pPr>
            <w:r>
              <w:t>2</w:t>
            </w:r>
          </w:p>
        </w:tc>
      </w:tr>
      <w:tr w14:paraId="6C464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tcBorders>
            <w:vAlign w:val="top"/>
          </w:tcPr>
          <w:p w14:paraId="730FAF4B">
            <w:pPr>
              <w:rPr>
                <w:rFonts w:ascii="Arial"/>
                <w:sz w:val="21"/>
              </w:rPr>
            </w:pPr>
          </w:p>
        </w:tc>
        <w:tc>
          <w:tcPr>
            <w:tcW w:w="1660" w:type="dxa"/>
            <w:vAlign w:val="top"/>
          </w:tcPr>
          <w:p w14:paraId="34B7E4F6">
            <w:pPr>
              <w:spacing w:before="68" w:line="220" w:lineRule="auto"/>
              <w:ind w:left="537"/>
              <w:rPr>
                <w:rFonts w:ascii="宋体" w:hAnsi="宋体" w:eastAsia="宋体" w:cs="宋体"/>
                <w:sz w:val="21"/>
                <w:szCs w:val="21"/>
              </w:rPr>
            </w:pPr>
            <w:r>
              <w:rPr>
                <w:rFonts w:ascii="宋体" w:hAnsi="宋体" w:eastAsia="宋体" w:cs="宋体"/>
                <w:spacing w:val="-6"/>
                <w:sz w:val="21"/>
                <w:szCs w:val="21"/>
              </w:rPr>
              <w:t>出水堰</w:t>
            </w:r>
          </w:p>
        </w:tc>
        <w:tc>
          <w:tcPr>
            <w:tcW w:w="3095" w:type="dxa"/>
            <w:vAlign w:val="top"/>
          </w:tcPr>
          <w:p w14:paraId="7434C3D8">
            <w:pPr>
              <w:pStyle w:val="6"/>
              <w:spacing w:before="105" w:line="188" w:lineRule="auto"/>
              <w:ind w:left="1207"/>
            </w:pPr>
            <w:r>
              <w:rPr>
                <w:spacing w:val="-3"/>
              </w:rPr>
              <w:t>SUS304</w:t>
            </w:r>
          </w:p>
        </w:tc>
        <w:tc>
          <w:tcPr>
            <w:tcW w:w="597" w:type="dxa"/>
            <w:vAlign w:val="top"/>
          </w:tcPr>
          <w:p w14:paraId="4E1FEF9F">
            <w:pPr>
              <w:pStyle w:val="6"/>
              <w:spacing w:before="150" w:line="144" w:lineRule="exact"/>
              <w:ind w:left="217"/>
            </w:pPr>
            <w:r>
              <w:rPr>
                <w:position w:val="-1"/>
              </w:rPr>
              <w:t>m</w:t>
            </w:r>
          </w:p>
        </w:tc>
        <w:tc>
          <w:tcPr>
            <w:tcW w:w="1258" w:type="dxa"/>
            <w:vAlign w:val="top"/>
          </w:tcPr>
          <w:p w14:paraId="19D075EF">
            <w:pPr>
              <w:pStyle w:val="6"/>
              <w:spacing w:before="105" w:line="188" w:lineRule="auto"/>
              <w:ind w:left="546"/>
            </w:pPr>
            <w:r>
              <w:rPr>
                <w:spacing w:val="-7"/>
              </w:rPr>
              <w:t>18</w:t>
            </w:r>
          </w:p>
        </w:tc>
      </w:tr>
      <w:tr w14:paraId="74414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vAlign w:val="top"/>
          </w:tcPr>
          <w:p w14:paraId="4D63E838">
            <w:pPr>
              <w:pStyle w:val="6"/>
              <w:spacing w:before="54" w:line="248" w:lineRule="auto"/>
              <w:ind w:left="298" w:right="300" w:firstLine="251"/>
              <w:rPr>
                <w:rFonts w:ascii="宋体" w:hAnsi="宋体" w:eastAsia="宋体" w:cs="宋体"/>
              </w:rPr>
            </w:pPr>
            <w:r>
              <w:rPr>
                <w:rFonts w:ascii="宋体" w:hAnsi="宋体" w:eastAsia="宋体" w:cs="宋体"/>
                <w:spacing w:val="-5"/>
              </w:rPr>
              <w:t>消毒池</w:t>
            </w:r>
            <w:r>
              <w:rPr>
                <w:rFonts w:ascii="宋体" w:hAnsi="宋体" w:eastAsia="宋体" w:cs="宋体"/>
              </w:rPr>
              <w:t xml:space="preserve"> </w:t>
            </w:r>
            <w:r>
              <w:rPr>
                <w:rFonts w:ascii="宋体" w:hAnsi="宋体" w:eastAsia="宋体" w:cs="宋体"/>
                <w:spacing w:val="-4"/>
              </w:rPr>
              <w:t>（</w:t>
            </w:r>
            <w:r>
              <w:rPr>
                <w:spacing w:val="-4"/>
              </w:rPr>
              <w:t>6×4×5m</w:t>
            </w:r>
            <w:r>
              <w:rPr>
                <w:rFonts w:ascii="宋体" w:hAnsi="宋体" w:eastAsia="宋体" w:cs="宋体"/>
                <w:spacing w:val="-4"/>
              </w:rPr>
              <w:t>）</w:t>
            </w:r>
          </w:p>
        </w:tc>
        <w:tc>
          <w:tcPr>
            <w:tcW w:w="1660" w:type="dxa"/>
            <w:vAlign w:val="top"/>
          </w:tcPr>
          <w:p w14:paraId="0E2A8F39">
            <w:pPr>
              <w:spacing w:before="210" w:line="220" w:lineRule="auto"/>
              <w:ind w:left="423"/>
              <w:rPr>
                <w:rFonts w:ascii="宋体" w:hAnsi="宋体" w:eastAsia="宋体" w:cs="宋体"/>
                <w:sz w:val="21"/>
                <w:szCs w:val="21"/>
              </w:rPr>
            </w:pPr>
            <w:r>
              <w:rPr>
                <w:rFonts w:ascii="宋体" w:hAnsi="宋体" w:eastAsia="宋体" w:cs="宋体"/>
                <w:spacing w:val="-4"/>
                <w:sz w:val="21"/>
                <w:szCs w:val="21"/>
              </w:rPr>
              <w:t>曝气管道</w:t>
            </w:r>
          </w:p>
        </w:tc>
        <w:tc>
          <w:tcPr>
            <w:tcW w:w="3095" w:type="dxa"/>
            <w:vAlign w:val="top"/>
          </w:tcPr>
          <w:p w14:paraId="5F8365FC">
            <w:pPr>
              <w:pStyle w:val="6"/>
              <w:spacing w:before="247" w:line="188" w:lineRule="auto"/>
              <w:ind w:left="1266"/>
            </w:pPr>
            <w:r>
              <w:rPr>
                <w:spacing w:val="-1"/>
              </w:rPr>
              <w:t>UPVC</w:t>
            </w:r>
          </w:p>
        </w:tc>
        <w:tc>
          <w:tcPr>
            <w:tcW w:w="597" w:type="dxa"/>
            <w:vAlign w:val="top"/>
          </w:tcPr>
          <w:p w14:paraId="381FA8AC">
            <w:pPr>
              <w:spacing w:before="210"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69AA714C">
            <w:pPr>
              <w:pStyle w:val="6"/>
              <w:spacing w:before="247" w:line="188" w:lineRule="auto"/>
              <w:ind w:left="599"/>
            </w:pPr>
            <w:r>
              <w:t>1</w:t>
            </w:r>
          </w:p>
        </w:tc>
      </w:tr>
      <w:tr w14:paraId="398A6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21037EEA">
            <w:pPr>
              <w:spacing w:line="341" w:lineRule="auto"/>
              <w:rPr>
                <w:rFonts w:ascii="Arial"/>
                <w:sz w:val="21"/>
              </w:rPr>
            </w:pPr>
          </w:p>
          <w:p w14:paraId="370A2C68">
            <w:pPr>
              <w:spacing w:line="342" w:lineRule="auto"/>
              <w:rPr>
                <w:rFonts w:ascii="Arial"/>
                <w:sz w:val="21"/>
              </w:rPr>
            </w:pPr>
          </w:p>
          <w:p w14:paraId="56013EE2">
            <w:pPr>
              <w:pStyle w:val="6"/>
              <w:spacing w:before="68" w:line="282" w:lineRule="auto"/>
              <w:ind w:left="298" w:right="300" w:firstLine="39"/>
              <w:rPr>
                <w:rFonts w:ascii="宋体" w:hAnsi="宋体" w:eastAsia="宋体" w:cs="宋体"/>
              </w:rPr>
            </w:pPr>
            <w:r>
              <w:rPr>
                <w:rFonts w:ascii="宋体" w:hAnsi="宋体" w:eastAsia="宋体" w:cs="宋体"/>
                <w:spacing w:val="-2"/>
              </w:rPr>
              <w:t>污泥浓缩池</w:t>
            </w:r>
            <w:r>
              <w:rPr>
                <w:rFonts w:ascii="宋体" w:hAnsi="宋体" w:eastAsia="宋体" w:cs="宋体"/>
                <w:spacing w:val="-4"/>
              </w:rPr>
              <w:t>（</w:t>
            </w:r>
            <w:r>
              <w:rPr>
                <w:spacing w:val="-4"/>
              </w:rPr>
              <w:t>6×4×5m</w:t>
            </w:r>
            <w:r>
              <w:rPr>
                <w:rFonts w:ascii="宋体" w:hAnsi="宋体" w:eastAsia="宋体" w:cs="宋体"/>
                <w:spacing w:val="-4"/>
              </w:rPr>
              <w:t>）</w:t>
            </w:r>
          </w:p>
        </w:tc>
        <w:tc>
          <w:tcPr>
            <w:tcW w:w="1660" w:type="dxa"/>
            <w:vAlign w:val="top"/>
          </w:tcPr>
          <w:p w14:paraId="44135B6F">
            <w:pPr>
              <w:spacing w:before="68" w:line="220" w:lineRule="auto"/>
              <w:ind w:left="519"/>
              <w:rPr>
                <w:rFonts w:ascii="宋体" w:hAnsi="宋体" w:eastAsia="宋体" w:cs="宋体"/>
                <w:sz w:val="21"/>
                <w:szCs w:val="21"/>
              </w:rPr>
            </w:pPr>
            <w:r>
              <w:rPr>
                <w:rFonts w:ascii="宋体" w:hAnsi="宋体" w:eastAsia="宋体" w:cs="宋体"/>
                <w:spacing w:val="-2"/>
                <w:sz w:val="21"/>
                <w:szCs w:val="21"/>
              </w:rPr>
              <w:t>排泥泵</w:t>
            </w:r>
          </w:p>
        </w:tc>
        <w:tc>
          <w:tcPr>
            <w:tcW w:w="3095" w:type="dxa"/>
            <w:vAlign w:val="top"/>
          </w:tcPr>
          <w:p w14:paraId="3E238EF9">
            <w:pPr>
              <w:pStyle w:val="6"/>
              <w:spacing w:before="68" w:line="220" w:lineRule="auto"/>
              <w:ind w:left="725"/>
              <w:rPr>
                <w:rFonts w:ascii="宋体" w:hAnsi="宋体" w:eastAsia="宋体" w:cs="宋体"/>
              </w:rPr>
            </w:pPr>
            <w:r>
              <w:rPr>
                <w:rFonts w:ascii="宋体" w:hAnsi="宋体" w:eastAsia="宋体" w:cs="宋体"/>
                <w:spacing w:val="-4"/>
              </w:rPr>
              <w:t>隔膜泵，口径</w:t>
            </w:r>
            <w:r>
              <w:rPr>
                <w:rFonts w:ascii="宋体" w:hAnsi="宋体" w:eastAsia="宋体" w:cs="宋体"/>
                <w:spacing w:val="-42"/>
              </w:rPr>
              <w:t xml:space="preserve"> </w:t>
            </w:r>
            <w:r>
              <w:rPr>
                <w:spacing w:val="-4"/>
              </w:rPr>
              <w:t>3</w:t>
            </w:r>
            <w:r>
              <w:rPr>
                <w:spacing w:val="12"/>
              </w:rPr>
              <w:t xml:space="preserve"> </w:t>
            </w:r>
            <w:r>
              <w:rPr>
                <w:rFonts w:ascii="宋体" w:hAnsi="宋体" w:eastAsia="宋体" w:cs="宋体"/>
                <w:spacing w:val="-4"/>
              </w:rPr>
              <w:t>寸</w:t>
            </w:r>
          </w:p>
        </w:tc>
        <w:tc>
          <w:tcPr>
            <w:tcW w:w="597" w:type="dxa"/>
            <w:vAlign w:val="top"/>
          </w:tcPr>
          <w:p w14:paraId="50988BB2">
            <w:pPr>
              <w:spacing w:before="68"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552C65D4">
            <w:pPr>
              <w:pStyle w:val="6"/>
              <w:spacing w:before="105" w:line="188" w:lineRule="auto"/>
              <w:ind w:left="579"/>
            </w:pPr>
            <w:r>
              <w:t>2</w:t>
            </w:r>
          </w:p>
        </w:tc>
      </w:tr>
      <w:tr w14:paraId="1A37F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10" w:type="dxa"/>
            <w:vMerge w:val="continue"/>
            <w:tcBorders>
              <w:top w:val="nil"/>
              <w:bottom w:val="nil"/>
            </w:tcBorders>
            <w:vAlign w:val="top"/>
          </w:tcPr>
          <w:p w14:paraId="408D10AD">
            <w:pPr>
              <w:rPr>
                <w:rFonts w:ascii="Arial"/>
                <w:sz w:val="21"/>
              </w:rPr>
            </w:pPr>
          </w:p>
        </w:tc>
        <w:tc>
          <w:tcPr>
            <w:tcW w:w="1660" w:type="dxa"/>
            <w:vAlign w:val="top"/>
          </w:tcPr>
          <w:p w14:paraId="6017F277">
            <w:pPr>
              <w:spacing w:before="68" w:line="219" w:lineRule="auto"/>
              <w:ind w:left="525"/>
              <w:rPr>
                <w:rFonts w:ascii="宋体" w:hAnsi="宋体" w:eastAsia="宋体" w:cs="宋体"/>
                <w:sz w:val="21"/>
                <w:szCs w:val="21"/>
              </w:rPr>
            </w:pPr>
            <w:r>
              <w:rPr>
                <w:rFonts w:ascii="宋体" w:hAnsi="宋体" w:eastAsia="宋体" w:cs="宋体"/>
                <w:spacing w:val="-4"/>
                <w:sz w:val="21"/>
                <w:szCs w:val="21"/>
              </w:rPr>
              <w:t>空压机</w:t>
            </w:r>
          </w:p>
        </w:tc>
        <w:tc>
          <w:tcPr>
            <w:tcW w:w="3095" w:type="dxa"/>
            <w:vAlign w:val="top"/>
          </w:tcPr>
          <w:p w14:paraId="36C627FB">
            <w:pPr>
              <w:pStyle w:val="6"/>
              <w:spacing w:before="101" w:line="192" w:lineRule="auto"/>
              <w:ind w:left="1147"/>
            </w:pPr>
            <w:r>
              <w:t>N=7.5kw</w:t>
            </w:r>
          </w:p>
        </w:tc>
        <w:tc>
          <w:tcPr>
            <w:tcW w:w="597" w:type="dxa"/>
            <w:vAlign w:val="top"/>
          </w:tcPr>
          <w:p w14:paraId="01AD8654">
            <w:pPr>
              <w:spacing w:before="68" w:line="222" w:lineRule="auto"/>
              <w:ind w:left="218"/>
              <w:rPr>
                <w:rFonts w:ascii="宋体" w:hAnsi="宋体" w:eastAsia="宋体" w:cs="宋体"/>
                <w:sz w:val="21"/>
                <w:szCs w:val="21"/>
              </w:rPr>
            </w:pPr>
            <w:r>
              <w:rPr>
                <w:rFonts w:ascii="宋体" w:hAnsi="宋体" w:eastAsia="宋体" w:cs="宋体"/>
                <w:sz w:val="21"/>
                <w:szCs w:val="21"/>
              </w:rPr>
              <w:t>台</w:t>
            </w:r>
          </w:p>
        </w:tc>
        <w:tc>
          <w:tcPr>
            <w:tcW w:w="1258" w:type="dxa"/>
            <w:vAlign w:val="top"/>
          </w:tcPr>
          <w:p w14:paraId="307E4E72">
            <w:pPr>
              <w:pStyle w:val="6"/>
              <w:spacing w:before="105" w:line="188" w:lineRule="auto"/>
              <w:ind w:left="599"/>
            </w:pPr>
            <w:r>
              <w:t>1</w:t>
            </w:r>
          </w:p>
        </w:tc>
      </w:tr>
      <w:tr w14:paraId="5B2FC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continue"/>
            <w:tcBorders>
              <w:top w:val="nil"/>
              <w:bottom w:val="nil"/>
            </w:tcBorders>
            <w:vAlign w:val="top"/>
          </w:tcPr>
          <w:p w14:paraId="726B4760">
            <w:pPr>
              <w:rPr>
                <w:rFonts w:ascii="Arial"/>
                <w:sz w:val="21"/>
              </w:rPr>
            </w:pPr>
          </w:p>
        </w:tc>
        <w:tc>
          <w:tcPr>
            <w:tcW w:w="1660" w:type="dxa"/>
            <w:vAlign w:val="top"/>
          </w:tcPr>
          <w:p w14:paraId="1D844522">
            <w:pPr>
              <w:spacing w:before="67" w:line="220" w:lineRule="auto"/>
              <w:ind w:left="518"/>
              <w:rPr>
                <w:rFonts w:ascii="宋体" w:hAnsi="宋体" w:eastAsia="宋体" w:cs="宋体"/>
                <w:sz w:val="21"/>
                <w:szCs w:val="21"/>
              </w:rPr>
            </w:pPr>
            <w:r>
              <w:rPr>
                <w:rFonts w:ascii="宋体" w:hAnsi="宋体" w:eastAsia="宋体" w:cs="宋体"/>
                <w:spacing w:val="-2"/>
                <w:sz w:val="21"/>
                <w:szCs w:val="21"/>
              </w:rPr>
              <w:t>储气罐</w:t>
            </w:r>
          </w:p>
        </w:tc>
        <w:tc>
          <w:tcPr>
            <w:tcW w:w="3095" w:type="dxa"/>
            <w:vAlign w:val="top"/>
          </w:tcPr>
          <w:p w14:paraId="7A942E8A">
            <w:pPr>
              <w:pStyle w:val="6"/>
              <w:spacing w:before="47" w:line="211" w:lineRule="auto"/>
              <w:ind w:left="1305"/>
              <w:rPr>
                <w:sz w:val="14"/>
                <w:szCs w:val="14"/>
              </w:rPr>
            </w:pPr>
            <w:r>
              <w:rPr>
                <w:spacing w:val="-2"/>
                <w:position w:val="-1"/>
              </w:rPr>
              <w:t>0.6m</w:t>
            </w:r>
            <w:r>
              <w:rPr>
                <w:spacing w:val="-2"/>
                <w:position w:val="9"/>
                <w:sz w:val="14"/>
                <w:szCs w:val="14"/>
              </w:rPr>
              <w:t>3</w:t>
            </w:r>
          </w:p>
        </w:tc>
        <w:tc>
          <w:tcPr>
            <w:tcW w:w="597" w:type="dxa"/>
            <w:vAlign w:val="top"/>
          </w:tcPr>
          <w:p w14:paraId="24602926">
            <w:pPr>
              <w:spacing w:before="68"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03423FA4">
            <w:pPr>
              <w:pStyle w:val="6"/>
              <w:spacing w:before="105" w:line="188" w:lineRule="auto"/>
              <w:ind w:left="599"/>
            </w:pPr>
            <w:r>
              <w:t>1</w:t>
            </w:r>
          </w:p>
        </w:tc>
      </w:tr>
      <w:tr w14:paraId="50FE6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bottom w:val="nil"/>
            </w:tcBorders>
            <w:vAlign w:val="top"/>
          </w:tcPr>
          <w:p w14:paraId="6BB9EDE6">
            <w:pPr>
              <w:rPr>
                <w:rFonts w:ascii="Arial"/>
                <w:sz w:val="21"/>
              </w:rPr>
            </w:pPr>
          </w:p>
        </w:tc>
        <w:tc>
          <w:tcPr>
            <w:tcW w:w="1660" w:type="dxa"/>
            <w:vAlign w:val="top"/>
          </w:tcPr>
          <w:p w14:paraId="7FBEDFD3">
            <w:pPr>
              <w:spacing w:before="68" w:line="219" w:lineRule="auto"/>
              <w:ind w:left="523"/>
              <w:rPr>
                <w:rFonts w:ascii="宋体" w:hAnsi="宋体" w:eastAsia="宋体" w:cs="宋体"/>
                <w:sz w:val="21"/>
                <w:szCs w:val="21"/>
              </w:rPr>
            </w:pPr>
            <w:r>
              <w:rPr>
                <w:rFonts w:ascii="宋体" w:hAnsi="宋体" w:eastAsia="宋体" w:cs="宋体"/>
                <w:spacing w:val="-3"/>
                <w:sz w:val="21"/>
                <w:szCs w:val="21"/>
              </w:rPr>
              <w:t>叠螺机</w:t>
            </w:r>
          </w:p>
        </w:tc>
        <w:tc>
          <w:tcPr>
            <w:tcW w:w="3095" w:type="dxa"/>
            <w:vAlign w:val="top"/>
          </w:tcPr>
          <w:p w14:paraId="457332E1">
            <w:pPr>
              <w:pStyle w:val="6"/>
              <w:spacing w:before="105" w:line="188" w:lineRule="auto"/>
              <w:ind w:left="1256"/>
            </w:pPr>
            <w:r>
              <w:rPr>
                <w:spacing w:val="-1"/>
              </w:rPr>
              <w:t>KS351</w:t>
            </w:r>
          </w:p>
        </w:tc>
        <w:tc>
          <w:tcPr>
            <w:tcW w:w="597" w:type="dxa"/>
            <w:vAlign w:val="top"/>
          </w:tcPr>
          <w:p w14:paraId="75437C4A">
            <w:pPr>
              <w:spacing w:before="68"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61CF4F1D">
            <w:pPr>
              <w:pStyle w:val="6"/>
              <w:spacing w:before="105" w:line="188" w:lineRule="auto"/>
              <w:ind w:left="599"/>
            </w:pPr>
            <w:r>
              <w:t>1</w:t>
            </w:r>
          </w:p>
        </w:tc>
      </w:tr>
      <w:tr w14:paraId="752C9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10" w:type="dxa"/>
            <w:vMerge w:val="continue"/>
            <w:tcBorders>
              <w:top w:val="nil"/>
            </w:tcBorders>
            <w:vAlign w:val="top"/>
          </w:tcPr>
          <w:p w14:paraId="5BE5B91F">
            <w:pPr>
              <w:rPr>
                <w:rFonts w:ascii="Arial"/>
                <w:sz w:val="21"/>
              </w:rPr>
            </w:pPr>
          </w:p>
        </w:tc>
        <w:tc>
          <w:tcPr>
            <w:tcW w:w="1660" w:type="dxa"/>
            <w:vAlign w:val="top"/>
          </w:tcPr>
          <w:p w14:paraId="40744969">
            <w:pPr>
              <w:spacing w:before="210" w:line="220" w:lineRule="auto"/>
              <w:ind w:left="414"/>
              <w:rPr>
                <w:rFonts w:ascii="宋体" w:hAnsi="宋体" w:eastAsia="宋体" w:cs="宋体"/>
                <w:sz w:val="21"/>
                <w:szCs w:val="21"/>
              </w:rPr>
            </w:pPr>
            <w:r>
              <w:rPr>
                <w:rFonts w:ascii="宋体" w:hAnsi="宋体" w:eastAsia="宋体" w:cs="宋体"/>
                <w:spacing w:val="-2"/>
                <w:sz w:val="21"/>
                <w:szCs w:val="21"/>
              </w:rPr>
              <w:t>加药装置</w:t>
            </w:r>
          </w:p>
        </w:tc>
        <w:tc>
          <w:tcPr>
            <w:tcW w:w="3095" w:type="dxa"/>
            <w:vAlign w:val="top"/>
          </w:tcPr>
          <w:p w14:paraId="236CAC6F">
            <w:pPr>
              <w:pStyle w:val="6"/>
              <w:spacing w:before="54" w:line="248" w:lineRule="auto"/>
              <w:ind w:left="634" w:right="60" w:hanging="580"/>
              <w:rPr>
                <w:rFonts w:ascii="宋体" w:hAnsi="宋体" w:eastAsia="宋体" w:cs="宋体"/>
              </w:rPr>
            </w:pPr>
            <w:r>
              <w:rPr>
                <w:rFonts w:ascii="宋体" w:hAnsi="宋体" w:eastAsia="宋体" w:cs="宋体"/>
                <w:spacing w:val="-3"/>
              </w:rPr>
              <w:t>配备</w:t>
            </w:r>
            <w:r>
              <w:rPr>
                <w:rFonts w:ascii="宋体" w:hAnsi="宋体" w:eastAsia="宋体" w:cs="宋体"/>
                <w:spacing w:val="-23"/>
              </w:rPr>
              <w:t xml:space="preserve"> </w:t>
            </w:r>
            <w:r>
              <w:rPr>
                <w:spacing w:val="-3"/>
              </w:rPr>
              <w:t xml:space="preserve">1500L </w:t>
            </w:r>
            <w:r>
              <w:rPr>
                <w:rFonts w:ascii="宋体" w:hAnsi="宋体" w:eastAsia="宋体" w:cs="宋体"/>
                <w:spacing w:val="-3"/>
              </w:rPr>
              <w:t>加药桶，</w:t>
            </w:r>
            <w:r>
              <w:rPr>
                <w:spacing w:val="-3"/>
              </w:rPr>
              <w:t>PE</w:t>
            </w:r>
            <w:r>
              <w:rPr>
                <w:rFonts w:ascii="宋体" w:hAnsi="宋体" w:eastAsia="宋体" w:cs="宋体"/>
                <w:spacing w:val="-3"/>
              </w:rPr>
              <w:t>；含离心</w:t>
            </w:r>
            <w:r>
              <w:rPr>
                <w:rFonts w:ascii="宋体" w:hAnsi="宋体" w:eastAsia="宋体" w:cs="宋体"/>
                <w:spacing w:val="-1"/>
              </w:rPr>
              <w:t>泵</w:t>
            </w:r>
            <w:r>
              <w:rPr>
                <w:rFonts w:ascii="宋体" w:hAnsi="宋体" w:eastAsia="宋体" w:cs="宋体"/>
                <w:spacing w:val="-47"/>
              </w:rPr>
              <w:t xml:space="preserve"> </w:t>
            </w:r>
            <w:r>
              <w:rPr>
                <w:spacing w:val="-1"/>
              </w:rPr>
              <w:t xml:space="preserve">N=0.55kw </w:t>
            </w:r>
            <w:r>
              <w:rPr>
                <w:rFonts w:ascii="宋体" w:hAnsi="宋体" w:eastAsia="宋体" w:cs="宋体"/>
                <w:spacing w:val="-1"/>
              </w:rPr>
              <w:t>搅拌机</w:t>
            </w:r>
          </w:p>
        </w:tc>
        <w:tc>
          <w:tcPr>
            <w:tcW w:w="597" w:type="dxa"/>
            <w:vAlign w:val="top"/>
          </w:tcPr>
          <w:p w14:paraId="7F98BD63">
            <w:pPr>
              <w:spacing w:before="210"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0E603B24">
            <w:pPr>
              <w:pStyle w:val="6"/>
              <w:spacing w:before="247" w:line="188" w:lineRule="auto"/>
              <w:ind w:left="599"/>
            </w:pPr>
            <w:r>
              <w:t>1</w:t>
            </w:r>
          </w:p>
        </w:tc>
      </w:tr>
      <w:tr w14:paraId="4BDDE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5AF8CDD5">
            <w:pPr>
              <w:spacing w:line="275" w:lineRule="auto"/>
              <w:rPr>
                <w:rFonts w:ascii="Arial"/>
                <w:sz w:val="21"/>
              </w:rPr>
            </w:pPr>
          </w:p>
          <w:p w14:paraId="4BB86A8D">
            <w:pPr>
              <w:spacing w:line="275" w:lineRule="auto"/>
              <w:rPr>
                <w:rFonts w:ascii="Arial"/>
                <w:sz w:val="21"/>
              </w:rPr>
            </w:pPr>
          </w:p>
          <w:p w14:paraId="3F4DA882">
            <w:pPr>
              <w:spacing w:line="276" w:lineRule="auto"/>
              <w:rPr>
                <w:rFonts w:ascii="Arial"/>
                <w:sz w:val="21"/>
              </w:rPr>
            </w:pPr>
          </w:p>
          <w:p w14:paraId="137056D4">
            <w:pPr>
              <w:spacing w:line="276" w:lineRule="auto"/>
              <w:rPr>
                <w:rFonts w:ascii="Arial"/>
                <w:sz w:val="21"/>
              </w:rPr>
            </w:pPr>
          </w:p>
          <w:p w14:paraId="3A05E7C6">
            <w:pPr>
              <w:pStyle w:val="6"/>
              <w:spacing w:before="68" w:line="282" w:lineRule="auto"/>
              <w:ind w:left="246" w:right="246" w:firstLine="302"/>
              <w:rPr>
                <w:rFonts w:ascii="宋体" w:hAnsi="宋体" w:eastAsia="宋体" w:cs="宋体"/>
              </w:rPr>
            </w:pPr>
            <w:r>
              <w:rPr>
                <w:rFonts w:ascii="宋体" w:hAnsi="宋体" w:eastAsia="宋体" w:cs="宋体"/>
                <w:spacing w:val="-4"/>
              </w:rPr>
              <w:t>设备房</w:t>
            </w:r>
            <w:r>
              <w:rPr>
                <w:rFonts w:ascii="宋体" w:hAnsi="宋体" w:eastAsia="宋体" w:cs="宋体"/>
              </w:rPr>
              <w:t xml:space="preserve"> </w:t>
            </w:r>
            <w:r>
              <w:rPr>
                <w:rFonts w:ascii="宋体" w:hAnsi="宋体" w:eastAsia="宋体" w:cs="宋体"/>
                <w:spacing w:val="-4"/>
              </w:rPr>
              <w:t>（</w:t>
            </w:r>
            <w:r>
              <w:rPr>
                <w:spacing w:val="-4"/>
              </w:rPr>
              <w:t>20×6×3m</w:t>
            </w:r>
            <w:r>
              <w:rPr>
                <w:rFonts w:ascii="宋体" w:hAnsi="宋体" w:eastAsia="宋体" w:cs="宋体"/>
                <w:spacing w:val="-4"/>
              </w:rPr>
              <w:t>）</w:t>
            </w:r>
          </w:p>
        </w:tc>
        <w:tc>
          <w:tcPr>
            <w:tcW w:w="1660" w:type="dxa"/>
            <w:vAlign w:val="top"/>
          </w:tcPr>
          <w:p w14:paraId="19936907">
            <w:pPr>
              <w:spacing w:before="68" w:line="219" w:lineRule="auto"/>
              <w:ind w:left="414"/>
              <w:rPr>
                <w:rFonts w:ascii="宋体" w:hAnsi="宋体" w:eastAsia="宋体" w:cs="宋体"/>
                <w:sz w:val="21"/>
                <w:szCs w:val="21"/>
              </w:rPr>
            </w:pPr>
            <w:r>
              <w:rPr>
                <w:rFonts w:ascii="宋体" w:hAnsi="宋体" w:eastAsia="宋体" w:cs="宋体"/>
                <w:spacing w:val="-2"/>
                <w:sz w:val="21"/>
                <w:szCs w:val="21"/>
              </w:rPr>
              <w:t>轴流风机</w:t>
            </w:r>
          </w:p>
        </w:tc>
        <w:tc>
          <w:tcPr>
            <w:tcW w:w="3095" w:type="dxa"/>
            <w:vAlign w:val="top"/>
          </w:tcPr>
          <w:p w14:paraId="46851344">
            <w:pPr>
              <w:pStyle w:val="6"/>
              <w:spacing w:before="49" w:line="206" w:lineRule="auto"/>
              <w:jc w:val="right"/>
            </w:pPr>
            <w:r>
              <w:rPr>
                <w:spacing w:val="-7"/>
              </w:rPr>
              <w:t>Q=380</w:t>
            </w:r>
            <w:r>
              <w:rPr>
                <w:spacing w:val="-6"/>
              </w:rPr>
              <w:t>0m</w:t>
            </w:r>
            <w:r>
              <w:rPr>
                <w:rFonts w:ascii="Calibri" w:hAnsi="Calibri" w:eastAsia="Calibri" w:cs="Calibri"/>
                <w:spacing w:val="-6"/>
                <w:position w:val="10"/>
                <w:sz w:val="14"/>
                <w:szCs w:val="14"/>
              </w:rPr>
              <w:t>3</w:t>
            </w:r>
            <w:r>
              <w:rPr>
                <w:spacing w:val="-6"/>
              </w:rPr>
              <w:t>/h</w:t>
            </w:r>
            <w:r>
              <w:rPr>
                <w:rFonts w:ascii="宋体" w:hAnsi="宋体" w:eastAsia="宋体" w:cs="宋体"/>
                <w:spacing w:val="-6"/>
              </w:rPr>
              <w:t>，</w:t>
            </w:r>
            <w:r>
              <w:rPr>
                <w:spacing w:val="-6"/>
              </w:rPr>
              <w:t>H=189Pa</w:t>
            </w:r>
            <w:r>
              <w:rPr>
                <w:rFonts w:ascii="宋体" w:hAnsi="宋体" w:eastAsia="宋体" w:cs="宋体"/>
                <w:spacing w:val="-6"/>
              </w:rPr>
              <w:t>，</w:t>
            </w:r>
            <w:r>
              <w:rPr>
                <w:spacing w:val="-6"/>
              </w:rPr>
              <w:t>N=0.37</w:t>
            </w:r>
            <w:r>
              <w:rPr>
                <w:spacing w:val="-7"/>
              </w:rPr>
              <w:t>k</w:t>
            </w:r>
            <w:r>
              <w:rPr>
                <w:spacing w:val="-2"/>
              </w:rPr>
              <w:t>W</w:t>
            </w:r>
          </w:p>
        </w:tc>
        <w:tc>
          <w:tcPr>
            <w:tcW w:w="597" w:type="dxa"/>
            <w:vAlign w:val="top"/>
          </w:tcPr>
          <w:p w14:paraId="402EA158">
            <w:pPr>
              <w:spacing w:before="68"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737BB3FF">
            <w:pPr>
              <w:pStyle w:val="6"/>
              <w:spacing w:before="105" w:line="188" w:lineRule="auto"/>
              <w:ind w:left="583"/>
            </w:pPr>
            <w:r>
              <w:t>3</w:t>
            </w:r>
          </w:p>
        </w:tc>
      </w:tr>
      <w:tr w14:paraId="64214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10" w:type="dxa"/>
            <w:vMerge w:val="continue"/>
            <w:tcBorders>
              <w:top w:val="nil"/>
              <w:bottom w:val="nil"/>
            </w:tcBorders>
            <w:vAlign w:val="top"/>
          </w:tcPr>
          <w:p w14:paraId="513BBC2C">
            <w:pPr>
              <w:rPr>
                <w:rFonts w:ascii="Arial"/>
                <w:sz w:val="21"/>
              </w:rPr>
            </w:pPr>
          </w:p>
        </w:tc>
        <w:tc>
          <w:tcPr>
            <w:tcW w:w="1660" w:type="dxa"/>
            <w:vAlign w:val="top"/>
          </w:tcPr>
          <w:p w14:paraId="0FB671C5">
            <w:pPr>
              <w:spacing w:line="296" w:lineRule="auto"/>
              <w:rPr>
                <w:rFonts w:ascii="Arial"/>
                <w:sz w:val="21"/>
              </w:rPr>
            </w:pPr>
          </w:p>
          <w:p w14:paraId="6551EBCA">
            <w:pPr>
              <w:pStyle w:val="6"/>
              <w:spacing w:before="69" w:line="220" w:lineRule="auto"/>
              <w:ind w:left="189"/>
              <w:rPr>
                <w:rFonts w:ascii="宋体" w:hAnsi="宋体" w:eastAsia="宋体" w:cs="宋体"/>
              </w:rPr>
            </w:pPr>
            <w:r>
              <w:rPr>
                <w:spacing w:val="-3"/>
              </w:rPr>
              <w:t xml:space="preserve">PAC </w:t>
            </w:r>
            <w:r>
              <w:rPr>
                <w:rFonts w:ascii="宋体" w:hAnsi="宋体" w:eastAsia="宋体" w:cs="宋体"/>
                <w:spacing w:val="-3"/>
              </w:rPr>
              <w:t>加药装置</w:t>
            </w:r>
          </w:p>
        </w:tc>
        <w:tc>
          <w:tcPr>
            <w:tcW w:w="3095" w:type="dxa"/>
            <w:vAlign w:val="top"/>
          </w:tcPr>
          <w:p w14:paraId="20C90D71">
            <w:pPr>
              <w:pStyle w:val="6"/>
              <w:spacing w:before="54" w:line="220" w:lineRule="auto"/>
              <w:ind w:left="54"/>
              <w:rPr>
                <w:rFonts w:ascii="宋体" w:hAnsi="宋体" w:eastAsia="宋体" w:cs="宋体"/>
              </w:rPr>
            </w:pPr>
            <w:r>
              <w:rPr>
                <w:rFonts w:ascii="宋体" w:hAnsi="宋体" w:eastAsia="宋体" w:cs="宋体"/>
                <w:spacing w:val="-2"/>
              </w:rPr>
              <w:t>配备</w:t>
            </w:r>
            <w:r>
              <w:rPr>
                <w:rFonts w:ascii="宋体" w:hAnsi="宋体" w:eastAsia="宋体" w:cs="宋体"/>
                <w:spacing w:val="-37"/>
              </w:rPr>
              <w:t xml:space="preserve"> </w:t>
            </w:r>
            <w:r>
              <w:rPr>
                <w:spacing w:val="-2"/>
              </w:rPr>
              <w:t xml:space="preserve">2000L </w:t>
            </w:r>
            <w:r>
              <w:rPr>
                <w:rFonts w:ascii="宋体" w:hAnsi="宋体" w:eastAsia="宋体" w:cs="宋体"/>
                <w:spacing w:val="-2"/>
              </w:rPr>
              <w:t>加药桶，</w:t>
            </w:r>
            <w:r>
              <w:rPr>
                <w:spacing w:val="-2"/>
              </w:rPr>
              <w:t>PE</w:t>
            </w:r>
            <w:r>
              <w:rPr>
                <w:rFonts w:ascii="宋体" w:hAnsi="宋体" w:eastAsia="宋体" w:cs="宋体"/>
                <w:spacing w:val="-2"/>
              </w:rPr>
              <w:t>；含离心</w:t>
            </w:r>
          </w:p>
          <w:p w14:paraId="531C39C2">
            <w:pPr>
              <w:pStyle w:val="6"/>
              <w:spacing w:before="35" w:line="215" w:lineRule="auto"/>
              <w:ind w:left="120"/>
              <w:rPr>
                <w:rFonts w:ascii="宋体" w:hAnsi="宋体" w:eastAsia="宋体" w:cs="宋体"/>
              </w:rPr>
            </w:pPr>
            <w:r>
              <w:rPr>
                <w:rFonts w:ascii="宋体" w:hAnsi="宋体" w:eastAsia="宋体" w:cs="宋体"/>
                <w:spacing w:val="-2"/>
              </w:rPr>
              <w:t>泵（</w:t>
            </w:r>
            <w:r>
              <w:rPr>
                <w:spacing w:val="-2"/>
              </w:rPr>
              <w:t>Q=1-3m</w:t>
            </w:r>
            <w:r>
              <w:rPr>
                <w:spacing w:val="-2"/>
                <w:position w:val="10"/>
                <w:sz w:val="14"/>
                <w:szCs w:val="14"/>
              </w:rPr>
              <w:t>3</w:t>
            </w:r>
            <w:r>
              <w:rPr>
                <w:spacing w:val="-2"/>
              </w:rPr>
              <w:t>/h</w:t>
            </w:r>
            <w:r>
              <w:rPr>
                <w:spacing w:val="-16"/>
              </w:rPr>
              <w:t xml:space="preserve"> </w:t>
            </w:r>
            <w:r>
              <w:rPr>
                <w:rFonts w:ascii="宋体" w:hAnsi="宋体" w:eastAsia="宋体" w:cs="宋体"/>
                <w:spacing w:val="-2"/>
              </w:rPr>
              <w:t>，</w:t>
            </w:r>
            <w:r>
              <w:rPr>
                <w:spacing w:val="-2"/>
              </w:rPr>
              <w:t>H=10.5-13m</w:t>
            </w:r>
            <w:r>
              <w:rPr>
                <w:rFonts w:ascii="宋体" w:hAnsi="宋体" w:eastAsia="宋体" w:cs="宋体"/>
                <w:spacing w:val="-2"/>
              </w:rPr>
              <w:t>，</w:t>
            </w:r>
          </w:p>
          <w:p w14:paraId="0B8AFEFF">
            <w:pPr>
              <w:pStyle w:val="6"/>
              <w:spacing w:before="75" w:line="221" w:lineRule="auto"/>
              <w:ind w:left="967"/>
              <w:rPr>
                <w:rFonts w:ascii="宋体" w:hAnsi="宋体" w:eastAsia="宋体" w:cs="宋体"/>
              </w:rPr>
            </w:pPr>
            <w:r>
              <w:t>N=0.35kW</w:t>
            </w:r>
            <w:r>
              <w:rPr>
                <w:rFonts w:ascii="宋体" w:hAnsi="宋体" w:eastAsia="宋体" w:cs="宋体"/>
              </w:rPr>
              <w:t>）</w:t>
            </w:r>
          </w:p>
        </w:tc>
        <w:tc>
          <w:tcPr>
            <w:tcW w:w="597" w:type="dxa"/>
            <w:vAlign w:val="top"/>
          </w:tcPr>
          <w:p w14:paraId="3C5CFAC2">
            <w:pPr>
              <w:spacing w:line="296" w:lineRule="auto"/>
              <w:rPr>
                <w:rFonts w:ascii="Arial"/>
                <w:sz w:val="21"/>
              </w:rPr>
            </w:pPr>
          </w:p>
          <w:p w14:paraId="7E063490">
            <w:pPr>
              <w:spacing w:before="69"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55AEEEBE">
            <w:pPr>
              <w:spacing w:line="340" w:lineRule="auto"/>
              <w:rPr>
                <w:rFonts w:ascii="Arial"/>
                <w:sz w:val="21"/>
              </w:rPr>
            </w:pPr>
          </w:p>
          <w:p w14:paraId="43DF0DD5">
            <w:pPr>
              <w:pStyle w:val="6"/>
              <w:spacing w:before="61" w:line="188" w:lineRule="auto"/>
              <w:ind w:left="599"/>
            </w:pPr>
            <w:r>
              <w:t>1</w:t>
            </w:r>
          </w:p>
        </w:tc>
      </w:tr>
      <w:tr w14:paraId="0CAC1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710" w:type="dxa"/>
            <w:vMerge w:val="continue"/>
            <w:tcBorders>
              <w:top w:val="nil"/>
              <w:bottom w:val="nil"/>
            </w:tcBorders>
            <w:vAlign w:val="top"/>
          </w:tcPr>
          <w:p w14:paraId="204BDE9D">
            <w:pPr>
              <w:rPr>
                <w:rFonts w:ascii="Arial"/>
                <w:sz w:val="21"/>
              </w:rPr>
            </w:pPr>
          </w:p>
        </w:tc>
        <w:tc>
          <w:tcPr>
            <w:tcW w:w="1660" w:type="dxa"/>
            <w:vAlign w:val="top"/>
          </w:tcPr>
          <w:p w14:paraId="4F20B9DD">
            <w:pPr>
              <w:spacing w:line="298" w:lineRule="auto"/>
              <w:rPr>
                <w:rFonts w:ascii="Arial"/>
                <w:sz w:val="21"/>
              </w:rPr>
            </w:pPr>
          </w:p>
          <w:p w14:paraId="1931BD29">
            <w:pPr>
              <w:pStyle w:val="6"/>
              <w:spacing w:before="68" w:line="220" w:lineRule="auto"/>
              <w:ind w:left="165"/>
              <w:rPr>
                <w:rFonts w:ascii="宋体" w:hAnsi="宋体" w:eastAsia="宋体" w:cs="宋体"/>
              </w:rPr>
            </w:pPr>
            <w:r>
              <w:rPr>
                <w:spacing w:val="-3"/>
              </w:rPr>
              <w:t xml:space="preserve">PAM </w:t>
            </w:r>
            <w:r>
              <w:rPr>
                <w:rFonts w:ascii="宋体" w:hAnsi="宋体" w:eastAsia="宋体" w:cs="宋体"/>
                <w:spacing w:val="-3"/>
              </w:rPr>
              <w:t>加药装置</w:t>
            </w:r>
          </w:p>
        </w:tc>
        <w:tc>
          <w:tcPr>
            <w:tcW w:w="3095" w:type="dxa"/>
            <w:vAlign w:val="top"/>
          </w:tcPr>
          <w:p w14:paraId="2C47778A">
            <w:pPr>
              <w:pStyle w:val="6"/>
              <w:spacing w:before="55" w:line="220" w:lineRule="auto"/>
              <w:ind w:left="54"/>
              <w:rPr>
                <w:rFonts w:ascii="宋体" w:hAnsi="宋体" w:eastAsia="宋体" w:cs="宋体"/>
              </w:rPr>
            </w:pPr>
            <w:r>
              <w:rPr>
                <w:rFonts w:ascii="宋体" w:hAnsi="宋体" w:eastAsia="宋体" w:cs="宋体"/>
                <w:spacing w:val="-2"/>
              </w:rPr>
              <w:t>配备</w:t>
            </w:r>
            <w:r>
              <w:rPr>
                <w:rFonts w:ascii="宋体" w:hAnsi="宋体" w:eastAsia="宋体" w:cs="宋体"/>
                <w:spacing w:val="-33"/>
              </w:rPr>
              <w:t xml:space="preserve"> </w:t>
            </w:r>
            <w:r>
              <w:rPr>
                <w:spacing w:val="-2"/>
              </w:rPr>
              <w:t xml:space="preserve">2000L </w:t>
            </w:r>
            <w:r>
              <w:rPr>
                <w:rFonts w:ascii="宋体" w:hAnsi="宋体" w:eastAsia="宋体" w:cs="宋体"/>
                <w:spacing w:val="-2"/>
              </w:rPr>
              <w:t>加药桶，</w:t>
            </w:r>
            <w:r>
              <w:rPr>
                <w:spacing w:val="-2"/>
              </w:rPr>
              <w:t>PE</w:t>
            </w:r>
            <w:r>
              <w:rPr>
                <w:rFonts w:ascii="宋体" w:hAnsi="宋体" w:eastAsia="宋体" w:cs="宋体"/>
                <w:spacing w:val="-2"/>
              </w:rPr>
              <w:t>；含计量</w:t>
            </w:r>
          </w:p>
          <w:p w14:paraId="584CEAB6">
            <w:pPr>
              <w:pStyle w:val="6"/>
              <w:spacing w:before="62" w:line="208" w:lineRule="auto"/>
              <w:jc w:val="right"/>
              <w:rPr>
                <w:rFonts w:ascii="宋体" w:hAnsi="宋体" w:eastAsia="宋体" w:cs="宋体"/>
              </w:rPr>
            </w:pPr>
            <w:r>
              <w:rPr>
                <w:rFonts w:ascii="宋体" w:hAnsi="宋体" w:eastAsia="宋体" w:cs="宋体"/>
                <w:spacing w:val="-15"/>
              </w:rPr>
              <w:t>泵（</w:t>
            </w:r>
            <w:r>
              <w:rPr>
                <w:spacing w:val="-15"/>
              </w:rPr>
              <w:t>PVC</w:t>
            </w:r>
            <w:r>
              <w:rPr>
                <w:spacing w:val="22"/>
              </w:rPr>
              <w:t xml:space="preserve"> </w:t>
            </w:r>
            <w:r>
              <w:rPr>
                <w:rFonts w:ascii="宋体" w:hAnsi="宋体" w:eastAsia="宋体" w:cs="宋体"/>
                <w:spacing w:val="-15"/>
              </w:rPr>
              <w:t>泵头，</w:t>
            </w:r>
            <w:r>
              <w:rPr>
                <w:spacing w:val="-15"/>
              </w:rPr>
              <w:t>Q=258L/h</w:t>
            </w:r>
            <w:r>
              <w:rPr>
                <w:rFonts w:ascii="宋体" w:hAnsi="宋体" w:eastAsia="宋体" w:cs="宋体"/>
                <w:spacing w:val="-15"/>
              </w:rPr>
              <w:t>，</w:t>
            </w:r>
            <w:r>
              <w:rPr>
                <w:spacing w:val="-15"/>
              </w:rPr>
              <w:t>P=4bar</w:t>
            </w:r>
            <w:r>
              <w:rPr>
                <w:rFonts w:ascii="宋体" w:hAnsi="宋体" w:eastAsia="宋体" w:cs="宋体"/>
                <w:spacing w:val="-15"/>
              </w:rPr>
              <w:t>，</w:t>
            </w:r>
          </w:p>
          <w:p w14:paraId="1DD36471">
            <w:pPr>
              <w:pStyle w:val="6"/>
              <w:spacing w:before="75" w:line="221" w:lineRule="auto"/>
              <w:ind w:left="967"/>
              <w:rPr>
                <w:rFonts w:ascii="宋体" w:hAnsi="宋体" w:eastAsia="宋体" w:cs="宋体"/>
              </w:rPr>
            </w:pPr>
            <w:r>
              <w:t>N=0.18kW</w:t>
            </w:r>
            <w:r>
              <w:rPr>
                <w:rFonts w:ascii="宋体" w:hAnsi="宋体" w:eastAsia="宋体" w:cs="宋体"/>
              </w:rPr>
              <w:t>）</w:t>
            </w:r>
          </w:p>
        </w:tc>
        <w:tc>
          <w:tcPr>
            <w:tcW w:w="597" w:type="dxa"/>
            <w:vAlign w:val="top"/>
          </w:tcPr>
          <w:p w14:paraId="78E7CE8A">
            <w:pPr>
              <w:spacing w:line="298" w:lineRule="auto"/>
              <w:rPr>
                <w:rFonts w:ascii="Arial"/>
                <w:sz w:val="21"/>
              </w:rPr>
            </w:pPr>
          </w:p>
          <w:p w14:paraId="3530E2E6">
            <w:pPr>
              <w:spacing w:before="68"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689F675E">
            <w:pPr>
              <w:spacing w:line="342" w:lineRule="auto"/>
              <w:rPr>
                <w:rFonts w:ascii="Arial"/>
                <w:sz w:val="21"/>
              </w:rPr>
            </w:pPr>
          </w:p>
          <w:p w14:paraId="190A2C1E">
            <w:pPr>
              <w:pStyle w:val="6"/>
              <w:spacing w:before="60" w:line="188" w:lineRule="auto"/>
              <w:ind w:left="599"/>
            </w:pPr>
            <w:r>
              <w:t>1</w:t>
            </w:r>
          </w:p>
        </w:tc>
      </w:tr>
      <w:tr w14:paraId="5BC39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10" w:type="dxa"/>
            <w:vMerge w:val="continue"/>
            <w:tcBorders>
              <w:top w:val="nil"/>
            </w:tcBorders>
            <w:vAlign w:val="top"/>
          </w:tcPr>
          <w:p w14:paraId="5E1D37EF">
            <w:pPr>
              <w:rPr>
                <w:rFonts w:ascii="Arial"/>
                <w:sz w:val="21"/>
              </w:rPr>
            </w:pPr>
          </w:p>
        </w:tc>
        <w:tc>
          <w:tcPr>
            <w:tcW w:w="1660" w:type="dxa"/>
            <w:vAlign w:val="top"/>
          </w:tcPr>
          <w:p w14:paraId="4BA1E727">
            <w:pPr>
              <w:spacing w:before="54" w:line="250" w:lineRule="auto"/>
              <w:ind w:left="726" w:right="93" w:hanging="622"/>
              <w:rPr>
                <w:rFonts w:ascii="宋体" w:hAnsi="宋体" w:eastAsia="宋体" w:cs="宋体"/>
                <w:sz w:val="21"/>
                <w:szCs w:val="21"/>
              </w:rPr>
            </w:pPr>
            <w:r>
              <w:rPr>
                <w:rFonts w:ascii="宋体" w:hAnsi="宋体" w:eastAsia="宋体" w:cs="宋体"/>
                <w:spacing w:val="-2"/>
                <w:sz w:val="21"/>
                <w:szCs w:val="21"/>
              </w:rPr>
              <w:t>次氯酸钠加药装</w:t>
            </w:r>
            <w:r>
              <w:rPr>
                <w:rFonts w:ascii="宋体" w:hAnsi="宋体" w:eastAsia="宋体" w:cs="宋体"/>
                <w:sz w:val="21"/>
                <w:szCs w:val="21"/>
              </w:rPr>
              <w:t>置</w:t>
            </w:r>
          </w:p>
        </w:tc>
        <w:tc>
          <w:tcPr>
            <w:tcW w:w="3095" w:type="dxa"/>
            <w:vAlign w:val="top"/>
          </w:tcPr>
          <w:p w14:paraId="0C0DF951">
            <w:pPr>
              <w:pStyle w:val="6"/>
              <w:spacing w:before="54" w:line="250" w:lineRule="auto"/>
              <w:ind w:left="10" w:firstLine="42"/>
              <w:rPr>
                <w:rFonts w:ascii="宋体" w:hAnsi="宋体" w:eastAsia="宋体" w:cs="宋体"/>
              </w:rPr>
            </w:pPr>
            <w:r>
              <w:rPr>
                <w:rFonts w:ascii="宋体" w:hAnsi="宋体" w:eastAsia="宋体" w:cs="宋体"/>
                <w:spacing w:val="-5"/>
              </w:rPr>
              <w:t>配备</w:t>
            </w:r>
            <w:r>
              <w:rPr>
                <w:rFonts w:ascii="宋体" w:hAnsi="宋体" w:eastAsia="宋体" w:cs="宋体"/>
                <w:spacing w:val="-36"/>
              </w:rPr>
              <w:t xml:space="preserve"> </w:t>
            </w:r>
            <w:r>
              <w:rPr>
                <w:spacing w:val="-5"/>
              </w:rPr>
              <w:t xml:space="preserve">2000L </w:t>
            </w:r>
            <w:r>
              <w:rPr>
                <w:rFonts w:ascii="宋体" w:hAnsi="宋体" w:eastAsia="宋体" w:cs="宋体"/>
                <w:spacing w:val="-5"/>
              </w:rPr>
              <w:t>加药桶，</w:t>
            </w:r>
            <w:r>
              <w:rPr>
                <w:spacing w:val="-5"/>
              </w:rPr>
              <w:t>PE</w:t>
            </w:r>
            <w:r>
              <w:rPr>
                <w:rFonts w:ascii="宋体" w:hAnsi="宋体" w:eastAsia="宋体" w:cs="宋体"/>
                <w:spacing w:val="-5"/>
              </w:rPr>
              <w:t>；含计量</w:t>
            </w:r>
            <w:r>
              <w:rPr>
                <w:rFonts w:ascii="宋体" w:hAnsi="宋体" w:eastAsia="宋体" w:cs="宋体"/>
                <w:spacing w:val="-15"/>
              </w:rPr>
              <w:t>泵（</w:t>
            </w:r>
            <w:r>
              <w:rPr>
                <w:spacing w:val="-15"/>
              </w:rPr>
              <w:t>PVC</w:t>
            </w:r>
            <w:r>
              <w:rPr>
                <w:spacing w:val="22"/>
              </w:rPr>
              <w:t xml:space="preserve"> </w:t>
            </w:r>
            <w:r>
              <w:rPr>
                <w:rFonts w:ascii="宋体" w:hAnsi="宋体" w:eastAsia="宋体" w:cs="宋体"/>
                <w:spacing w:val="-15"/>
              </w:rPr>
              <w:t>泵头，</w:t>
            </w:r>
            <w:r>
              <w:rPr>
                <w:spacing w:val="-15"/>
              </w:rPr>
              <w:t>Q=258L/h</w:t>
            </w:r>
            <w:r>
              <w:rPr>
                <w:rFonts w:ascii="宋体" w:hAnsi="宋体" w:eastAsia="宋体" w:cs="宋体"/>
                <w:spacing w:val="-15"/>
              </w:rPr>
              <w:t>，</w:t>
            </w:r>
            <w:r>
              <w:rPr>
                <w:spacing w:val="-15"/>
              </w:rPr>
              <w:t>P=4bar</w:t>
            </w:r>
            <w:r>
              <w:rPr>
                <w:rFonts w:ascii="宋体" w:hAnsi="宋体" w:eastAsia="宋体" w:cs="宋体"/>
                <w:spacing w:val="-15"/>
              </w:rPr>
              <w:t>，</w:t>
            </w:r>
          </w:p>
        </w:tc>
        <w:tc>
          <w:tcPr>
            <w:tcW w:w="597" w:type="dxa"/>
            <w:vAlign w:val="top"/>
          </w:tcPr>
          <w:p w14:paraId="7CBBAEF3">
            <w:pPr>
              <w:spacing w:before="211" w:line="220" w:lineRule="auto"/>
              <w:ind w:left="202"/>
              <w:rPr>
                <w:rFonts w:ascii="宋体" w:hAnsi="宋体" w:eastAsia="宋体" w:cs="宋体"/>
                <w:sz w:val="21"/>
                <w:szCs w:val="21"/>
              </w:rPr>
            </w:pPr>
            <w:r>
              <w:rPr>
                <w:rFonts w:ascii="宋体" w:hAnsi="宋体" w:eastAsia="宋体" w:cs="宋体"/>
                <w:sz w:val="21"/>
                <w:szCs w:val="21"/>
              </w:rPr>
              <w:t>套</w:t>
            </w:r>
          </w:p>
        </w:tc>
        <w:tc>
          <w:tcPr>
            <w:tcW w:w="1258" w:type="dxa"/>
            <w:vAlign w:val="top"/>
          </w:tcPr>
          <w:p w14:paraId="4C652748">
            <w:pPr>
              <w:pStyle w:val="6"/>
              <w:spacing w:before="247" w:line="188" w:lineRule="auto"/>
              <w:ind w:left="599"/>
            </w:pPr>
            <w:r>
              <w:t>1</w:t>
            </w:r>
          </w:p>
        </w:tc>
      </w:tr>
    </w:tbl>
    <w:p w14:paraId="56EE9E50">
      <w:pPr>
        <w:pStyle w:val="2"/>
        <w:spacing w:line="224" w:lineRule="exact"/>
        <w:rPr>
          <w:sz w:val="19"/>
        </w:rPr>
      </w:pPr>
    </w:p>
    <w:p w14:paraId="0E240F1F">
      <w:pPr>
        <w:spacing w:line="224" w:lineRule="exact"/>
        <w:rPr>
          <w:sz w:val="19"/>
          <w:szCs w:val="19"/>
        </w:rPr>
        <w:sectPr>
          <w:footerReference r:id="rId141" w:type="default"/>
          <w:pgSz w:w="11905" w:h="16840"/>
          <w:pgMar w:top="1168" w:right="1768" w:bottom="1409" w:left="1770" w:header="828" w:footer="1244" w:gutter="0"/>
          <w:cols w:space="720" w:num="1"/>
        </w:sectPr>
      </w:pPr>
    </w:p>
    <w:p w14:paraId="7A9C2069">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1"/>
        <w:gridCol w:w="1661"/>
        <w:gridCol w:w="3094"/>
        <w:gridCol w:w="595"/>
        <w:gridCol w:w="1259"/>
      </w:tblGrid>
      <w:tr w14:paraId="2AEDE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372" w:type="dxa"/>
            <w:gridSpan w:val="2"/>
            <w:vAlign w:val="top"/>
          </w:tcPr>
          <w:p w14:paraId="1804B878">
            <w:pPr>
              <w:spacing w:before="68" w:line="221" w:lineRule="auto"/>
              <w:ind w:left="1274"/>
              <w:rPr>
                <w:rFonts w:ascii="宋体" w:hAnsi="宋体" w:eastAsia="宋体" w:cs="宋体"/>
                <w:sz w:val="21"/>
                <w:szCs w:val="21"/>
              </w:rPr>
            </w:pPr>
            <w:r>
              <w:rPr>
                <w:rFonts w:ascii="宋体" w:hAnsi="宋体" w:eastAsia="宋体" w:cs="宋体"/>
                <w:spacing w:val="-3"/>
                <w:sz w:val="21"/>
                <w:szCs w:val="21"/>
              </w:rPr>
              <w:t>设备名称</w:t>
            </w:r>
          </w:p>
        </w:tc>
        <w:tc>
          <w:tcPr>
            <w:tcW w:w="3094" w:type="dxa"/>
            <w:vAlign w:val="top"/>
          </w:tcPr>
          <w:p w14:paraId="342F2FE4">
            <w:pPr>
              <w:spacing w:before="68" w:line="220" w:lineRule="auto"/>
              <w:ind w:left="1128"/>
              <w:rPr>
                <w:rFonts w:ascii="宋体" w:hAnsi="宋体" w:eastAsia="宋体" w:cs="宋体"/>
                <w:sz w:val="21"/>
                <w:szCs w:val="21"/>
              </w:rPr>
            </w:pPr>
            <w:r>
              <w:rPr>
                <w:rFonts w:ascii="宋体" w:hAnsi="宋体" w:eastAsia="宋体" w:cs="宋体"/>
                <w:spacing w:val="-2"/>
                <w:sz w:val="21"/>
                <w:szCs w:val="21"/>
              </w:rPr>
              <w:t>规格型号</w:t>
            </w:r>
          </w:p>
        </w:tc>
        <w:tc>
          <w:tcPr>
            <w:tcW w:w="595" w:type="dxa"/>
            <w:vAlign w:val="top"/>
          </w:tcPr>
          <w:p w14:paraId="360783F8">
            <w:pPr>
              <w:spacing w:before="69" w:line="220" w:lineRule="auto"/>
              <w:ind w:left="89"/>
              <w:rPr>
                <w:rFonts w:ascii="宋体" w:hAnsi="宋体" w:eastAsia="宋体" w:cs="宋体"/>
                <w:sz w:val="21"/>
                <w:szCs w:val="21"/>
              </w:rPr>
            </w:pPr>
            <w:r>
              <w:rPr>
                <w:rFonts w:ascii="宋体" w:hAnsi="宋体" w:eastAsia="宋体" w:cs="宋体"/>
                <w:spacing w:val="-3"/>
                <w:sz w:val="21"/>
                <w:szCs w:val="21"/>
              </w:rPr>
              <w:t>单位</w:t>
            </w:r>
          </w:p>
        </w:tc>
        <w:tc>
          <w:tcPr>
            <w:tcW w:w="1259" w:type="dxa"/>
            <w:vAlign w:val="top"/>
          </w:tcPr>
          <w:p w14:paraId="1056A9EE">
            <w:pPr>
              <w:spacing w:before="68" w:line="220" w:lineRule="auto"/>
              <w:ind w:left="423"/>
              <w:rPr>
                <w:rFonts w:ascii="宋体" w:hAnsi="宋体" w:eastAsia="宋体" w:cs="宋体"/>
                <w:sz w:val="21"/>
                <w:szCs w:val="21"/>
              </w:rPr>
            </w:pPr>
            <w:r>
              <w:rPr>
                <w:rFonts w:ascii="宋体" w:hAnsi="宋体" w:eastAsia="宋体" w:cs="宋体"/>
                <w:spacing w:val="-3"/>
                <w:sz w:val="21"/>
                <w:szCs w:val="21"/>
              </w:rPr>
              <w:t>数量</w:t>
            </w:r>
          </w:p>
        </w:tc>
      </w:tr>
      <w:tr w14:paraId="707D6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1" w:type="dxa"/>
            <w:vMerge w:val="restart"/>
            <w:tcBorders>
              <w:bottom w:val="nil"/>
            </w:tcBorders>
            <w:vAlign w:val="top"/>
          </w:tcPr>
          <w:p w14:paraId="7C6B46B2">
            <w:pPr>
              <w:rPr>
                <w:rFonts w:ascii="Arial"/>
                <w:sz w:val="21"/>
              </w:rPr>
            </w:pPr>
          </w:p>
        </w:tc>
        <w:tc>
          <w:tcPr>
            <w:tcW w:w="1661" w:type="dxa"/>
            <w:vAlign w:val="top"/>
          </w:tcPr>
          <w:p w14:paraId="575ABACF">
            <w:pPr>
              <w:rPr>
                <w:rFonts w:ascii="Arial"/>
                <w:sz w:val="21"/>
              </w:rPr>
            </w:pPr>
          </w:p>
        </w:tc>
        <w:tc>
          <w:tcPr>
            <w:tcW w:w="3094" w:type="dxa"/>
            <w:vAlign w:val="top"/>
          </w:tcPr>
          <w:p w14:paraId="48288A21">
            <w:pPr>
              <w:pStyle w:val="6"/>
              <w:spacing w:before="50" w:line="232" w:lineRule="auto"/>
              <w:ind w:left="965"/>
              <w:rPr>
                <w:rFonts w:ascii="宋体" w:hAnsi="宋体" w:eastAsia="宋体" w:cs="宋体"/>
              </w:rPr>
            </w:pPr>
            <w:r>
              <w:t>N=0.18kW</w:t>
            </w:r>
            <w:r>
              <w:rPr>
                <w:rFonts w:ascii="宋体" w:hAnsi="宋体" w:eastAsia="宋体" w:cs="宋体"/>
              </w:rPr>
              <w:t>）</w:t>
            </w:r>
          </w:p>
        </w:tc>
        <w:tc>
          <w:tcPr>
            <w:tcW w:w="595" w:type="dxa"/>
            <w:vAlign w:val="top"/>
          </w:tcPr>
          <w:p w14:paraId="66F34D65">
            <w:pPr>
              <w:rPr>
                <w:rFonts w:ascii="Arial"/>
                <w:sz w:val="21"/>
              </w:rPr>
            </w:pPr>
          </w:p>
        </w:tc>
        <w:tc>
          <w:tcPr>
            <w:tcW w:w="1259" w:type="dxa"/>
            <w:vAlign w:val="top"/>
          </w:tcPr>
          <w:p w14:paraId="4895DE3B">
            <w:pPr>
              <w:rPr>
                <w:rFonts w:ascii="Arial"/>
                <w:sz w:val="21"/>
              </w:rPr>
            </w:pPr>
          </w:p>
        </w:tc>
      </w:tr>
      <w:tr w14:paraId="780FE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11" w:type="dxa"/>
            <w:vMerge w:val="continue"/>
            <w:tcBorders>
              <w:top w:val="nil"/>
            </w:tcBorders>
            <w:vAlign w:val="top"/>
          </w:tcPr>
          <w:p w14:paraId="04027FE9">
            <w:pPr>
              <w:rPr>
                <w:rFonts w:ascii="Arial"/>
                <w:sz w:val="21"/>
              </w:rPr>
            </w:pPr>
          </w:p>
        </w:tc>
        <w:tc>
          <w:tcPr>
            <w:tcW w:w="1661" w:type="dxa"/>
            <w:vAlign w:val="top"/>
          </w:tcPr>
          <w:p w14:paraId="6BC46216">
            <w:pPr>
              <w:spacing w:line="294" w:lineRule="auto"/>
              <w:rPr>
                <w:rFonts w:ascii="Arial"/>
                <w:sz w:val="21"/>
              </w:rPr>
            </w:pPr>
          </w:p>
          <w:p w14:paraId="6999718F">
            <w:pPr>
              <w:spacing w:before="68" w:line="220" w:lineRule="auto"/>
              <w:ind w:left="206"/>
              <w:rPr>
                <w:rFonts w:ascii="宋体" w:hAnsi="宋体" w:eastAsia="宋体" w:cs="宋体"/>
                <w:sz w:val="21"/>
                <w:szCs w:val="21"/>
              </w:rPr>
            </w:pPr>
            <w:r>
              <w:rPr>
                <w:rFonts w:ascii="宋体" w:hAnsi="宋体" w:eastAsia="宋体" w:cs="宋体"/>
                <w:spacing w:val="-2"/>
                <w:sz w:val="21"/>
                <w:szCs w:val="21"/>
              </w:rPr>
              <w:t>备用加药装置</w:t>
            </w:r>
          </w:p>
        </w:tc>
        <w:tc>
          <w:tcPr>
            <w:tcW w:w="3094" w:type="dxa"/>
            <w:vAlign w:val="top"/>
          </w:tcPr>
          <w:p w14:paraId="55464EA9">
            <w:pPr>
              <w:pStyle w:val="6"/>
              <w:spacing w:before="51" w:line="220" w:lineRule="auto"/>
              <w:ind w:left="52"/>
              <w:rPr>
                <w:rFonts w:ascii="宋体" w:hAnsi="宋体" w:eastAsia="宋体" w:cs="宋体"/>
              </w:rPr>
            </w:pPr>
            <w:r>
              <w:rPr>
                <w:rFonts w:ascii="宋体" w:hAnsi="宋体" w:eastAsia="宋体" w:cs="宋体"/>
                <w:spacing w:val="-2"/>
              </w:rPr>
              <w:t>配备</w:t>
            </w:r>
            <w:r>
              <w:rPr>
                <w:rFonts w:ascii="宋体" w:hAnsi="宋体" w:eastAsia="宋体" w:cs="宋体"/>
                <w:spacing w:val="-33"/>
              </w:rPr>
              <w:t xml:space="preserve"> </w:t>
            </w:r>
            <w:r>
              <w:rPr>
                <w:spacing w:val="-2"/>
              </w:rPr>
              <w:t xml:space="preserve">2000L </w:t>
            </w:r>
            <w:r>
              <w:rPr>
                <w:rFonts w:ascii="宋体" w:hAnsi="宋体" w:eastAsia="宋体" w:cs="宋体"/>
                <w:spacing w:val="-2"/>
              </w:rPr>
              <w:t>加药桶，</w:t>
            </w:r>
            <w:r>
              <w:rPr>
                <w:spacing w:val="-2"/>
              </w:rPr>
              <w:t>PE</w:t>
            </w:r>
            <w:r>
              <w:rPr>
                <w:rFonts w:ascii="宋体" w:hAnsi="宋体" w:eastAsia="宋体" w:cs="宋体"/>
                <w:spacing w:val="-2"/>
              </w:rPr>
              <w:t>；含计量</w:t>
            </w:r>
          </w:p>
          <w:p w14:paraId="56D245F4">
            <w:pPr>
              <w:pStyle w:val="6"/>
              <w:spacing w:before="62" w:line="208" w:lineRule="auto"/>
              <w:jc w:val="right"/>
              <w:rPr>
                <w:rFonts w:ascii="宋体" w:hAnsi="宋体" w:eastAsia="宋体" w:cs="宋体"/>
              </w:rPr>
            </w:pPr>
            <w:r>
              <w:rPr>
                <w:rFonts w:ascii="宋体" w:hAnsi="宋体" w:eastAsia="宋体" w:cs="宋体"/>
                <w:spacing w:val="-15"/>
              </w:rPr>
              <w:t>泵（</w:t>
            </w:r>
            <w:r>
              <w:rPr>
                <w:spacing w:val="-15"/>
              </w:rPr>
              <w:t>PVC</w:t>
            </w:r>
            <w:r>
              <w:rPr>
                <w:spacing w:val="23"/>
              </w:rPr>
              <w:t xml:space="preserve"> </w:t>
            </w:r>
            <w:r>
              <w:rPr>
                <w:rFonts w:ascii="宋体" w:hAnsi="宋体" w:eastAsia="宋体" w:cs="宋体"/>
                <w:spacing w:val="-15"/>
              </w:rPr>
              <w:t>泵头，</w:t>
            </w:r>
            <w:r>
              <w:rPr>
                <w:spacing w:val="-15"/>
              </w:rPr>
              <w:t>Q=258L/h</w:t>
            </w:r>
            <w:r>
              <w:rPr>
                <w:rFonts w:ascii="宋体" w:hAnsi="宋体" w:eastAsia="宋体" w:cs="宋体"/>
                <w:spacing w:val="-15"/>
              </w:rPr>
              <w:t>，</w:t>
            </w:r>
            <w:r>
              <w:rPr>
                <w:spacing w:val="-15"/>
              </w:rPr>
              <w:t>P=4bar</w:t>
            </w:r>
            <w:r>
              <w:rPr>
                <w:rFonts w:ascii="宋体" w:hAnsi="宋体" w:eastAsia="宋体" w:cs="宋体"/>
                <w:spacing w:val="-15"/>
              </w:rPr>
              <w:t>，</w:t>
            </w:r>
          </w:p>
          <w:p w14:paraId="55134A80">
            <w:pPr>
              <w:pStyle w:val="6"/>
              <w:spacing w:before="75" w:line="223" w:lineRule="auto"/>
              <w:ind w:left="965"/>
              <w:rPr>
                <w:rFonts w:ascii="宋体" w:hAnsi="宋体" w:eastAsia="宋体" w:cs="宋体"/>
              </w:rPr>
            </w:pPr>
            <w:r>
              <w:t>N=0.18kW</w:t>
            </w:r>
            <w:r>
              <w:rPr>
                <w:rFonts w:ascii="宋体" w:hAnsi="宋体" w:eastAsia="宋体" w:cs="宋体"/>
              </w:rPr>
              <w:t>）</w:t>
            </w:r>
          </w:p>
        </w:tc>
        <w:tc>
          <w:tcPr>
            <w:tcW w:w="595" w:type="dxa"/>
            <w:vAlign w:val="top"/>
          </w:tcPr>
          <w:p w14:paraId="04966CD0">
            <w:pPr>
              <w:spacing w:line="294" w:lineRule="auto"/>
              <w:rPr>
                <w:rFonts w:ascii="Arial"/>
                <w:sz w:val="21"/>
              </w:rPr>
            </w:pPr>
          </w:p>
          <w:p w14:paraId="4F9F3D28">
            <w:pPr>
              <w:spacing w:before="68" w:line="220" w:lineRule="auto"/>
              <w:ind w:left="201"/>
              <w:rPr>
                <w:rFonts w:ascii="宋体" w:hAnsi="宋体" w:eastAsia="宋体" w:cs="宋体"/>
                <w:sz w:val="21"/>
                <w:szCs w:val="21"/>
              </w:rPr>
            </w:pPr>
            <w:r>
              <w:rPr>
                <w:rFonts w:ascii="宋体" w:hAnsi="宋体" w:eastAsia="宋体" w:cs="宋体"/>
                <w:sz w:val="21"/>
                <w:szCs w:val="21"/>
              </w:rPr>
              <w:t>套</w:t>
            </w:r>
          </w:p>
        </w:tc>
        <w:tc>
          <w:tcPr>
            <w:tcW w:w="1259" w:type="dxa"/>
            <w:vAlign w:val="top"/>
          </w:tcPr>
          <w:p w14:paraId="1E3CAF8E">
            <w:pPr>
              <w:spacing w:line="338" w:lineRule="auto"/>
              <w:rPr>
                <w:rFonts w:ascii="Arial"/>
                <w:sz w:val="21"/>
              </w:rPr>
            </w:pPr>
          </w:p>
          <w:p w14:paraId="3EE18A88">
            <w:pPr>
              <w:pStyle w:val="6"/>
              <w:spacing w:before="60" w:line="188" w:lineRule="auto"/>
              <w:ind w:left="600"/>
            </w:pPr>
            <w:r>
              <w:t>1</w:t>
            </w:r>
          </w:p>
        </w:tc>
      </w:tr>
      <w:tr w14:paraId="16C89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72" w:type="dxa"/>
            <w:gridSpan w:val="2"/>
            <w:vAlign w:val="top"/>
          </w:tcPr>
          <w:p w14:paraId="3DB80041">
            <w:pPr>
              <w:spacing w:before="66" w:line="220" w:lineRule="auto"/>
              <w:ind w:left="1482"/>
              <w:rPr>
                <w:rFonts w:ascii="宋体" w:hAnsi="宋体" w:eastAsia="宋体" w:cs="宋体"/>
                <w:sz w:val="21"/>
                <w:szCs w:val="21"/>
              </w:rPr>
            </w:pPr>
            <w:r>
              <w:rPr>
                <w:rFonts w:ascii="宋体" w:hAnsi="宋体" w:eastAsia="宋体" w:cs="宋体"/>
                <w:spacing w:val="-3"/>
                <w:sz w:val="21"/>
                <w:szCs w:val="21"/>
              </w:rPr>
              <w:t>铲车</w:t>
            </w:r>
          </w:p>
        </w:tc>
        <w:tc>
          <w:tcPr>
            <w:tcW w:w="3094" w:type="dxa"/>
            <w:vAlign w:val="top"/>
          </w:tcPr>
          <w:p w14:paraId="1399ECE9">
            <w:pPr>
              <w:pStyle w:val="6"/>
              <w:spacing w:before="99" w:line="192" w:lineRule="auto"/>
              <w:ind w:left="1514"/>
            </w:pPr>
            <w:r>
              <w:t>/</w:t>
            </w:r>
          </w:p>
        </w:tc>
        <w:tc>
          <w:tcPr>
            <w:tcW w:w="595" w:type="dxa"/>
            <w:vAlign w:val="top"/>
          </w:tcPr>
          <w:p w14:paraId="6FC3FA2A">
            <w:pPr>
              <w:spacing w:before="66" w:line="220" w:lineRule="auto"/>
              <w:ind w:left="199"/>
              <w:rPr>
                <w:rFonts w:ascii="宋体" w:hAnsi="宋体" w:eastAsia="宋体" w:cs="宋体"/>
                <w:sz w:val="21"/>
                <w:szCs w:val="21"/>
              </w:rPr>
            </w:pPr>
            <w:r>
              <w:rPr>
                <w:rFonts w:ascii="宋体" w:hAnsi="宋体" w:eastAsia="宋体" w:cs="宋体"/>
                <w:sz w:val="21"/>
                <w:szCs w:val="21"/>
              </w:rPr>
              <w:t>辆</w:t>
            </w:r>
          </w:p>
        </w:tc>
        <w:tc>
          <w:tcPr>
            <w:tcW w:w="1259" w:type="dxa"/>
            <w:vAlign w:val="top"/>
          </w:tcPr>
          <w:p w14:paraId="1E362F00">
            <w:pPr>
              <w:pStyle w:val="6"/>
              <w:spacing w:before="104" w:line="188" w:lineRule="auto"/>
              <w:ind w:left="600"/>
            </w:pPr>
            <w:r>
              <w:t>1</w:t>
            </w:r>
          </w:p>
        </w:tc>
      </w:tr>
      <w:tr w14:paraId="38AEE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372" w:type="dxa"/>
            <w:gridSpan w:val="2"/>
            <w:vAlign w:val="top"/>
          </w:tcPr>
          <w:p w14:paraId="1A400133">
            <w:pPr>
              <w:spacing w:before="67" w:line="220" w:lineRule="auto"/>
              <w:ind w:left="1375"/>
              <w:rPr>
                <w:rFonts w:ascii="宋体" w:hAnsi="宋体" w:eastAsia="宋体" w:cs="宋体"/>
                <w:sz w:val="21"/>
                <w:szCs w:val="21"/>
              </w:rPr>
            </w:pPr>
            <w:r>
              <w:rPr>
                <w:rFonts w:ascii="宋体" w:hAnsi="宋体" w:eastAsia="宋体" w:cs="宋体"/>
                <w:spacing w:val="-2"/>
                <w:sz w:val="21"/>
                <w:szCs w:val="21"/>
              </w:rPr>
              <w:t>运粪车</w:t>
            </w:r>
          </w:p>
        </w:tc>
        <w:tc>
          <w:tcPr>
            <w:tcW w:w="3094" w:type="dxa"/>
            <w:vAlign w:val="top"/>
          </w:tcPr>
          <w:p w14:paraId="0FE3E8A6">
            <w:pPr>
              <w:pStyle w:val="6"/>
              <w:spacing w:before="100" w:line="192" w:lineRule="auto"/>
              <w:ind w:left="1514"/>
            </w:pPr>
            <w:r>
              <w:t>/</w:t>
            </w:r>
          </w:p>
        </w:tc>
        <w:tc>
          <w:tcPr>
            <w:tcW w:w="595" w:type="dxa"/>
            <w:vAlign w:val="top"/>
          </w:tcPr>
          <w:p w14:paraId="179B98B7">
            <w:pPr>
              <w:spacing w:before="67" w:line="220" w:lineRule="auto"/>
              <w:ind w:left="199"/>
              <w:rPr>
                <w:rFonts w:ascii="宋体" w:hAnsi="宋体" w:eastAsia="宋体" w:cs="宋体"/>
                <w:sz w:val="21"/>
                <w:szCs w:val="21"/>
              </w:rPr>
            </w:pPr>
            <w:r>
              <w:rPr>
                <w:rFonts w:ascii="宋体" w:hAnsi="宋体" w:eastAsia="宋体" w:cs="宋体"/>
                <w:sz w:val="21"/>
                <w:szCs w:val="21"/>
              </w:rPr>
              <w:t>辆</w:t>
            </w:r>
          </w:p>
        </w:tc>
        <w:tc>
          <w:tcPr>
            <w:tcW w:w="1259" w:type="dxa"/>
            <w:vAlign w:val="top"/>
          </w:tcPr>
          <w:p w14:paraId="3F35CFAC">
            <w:pPr>
              <w:pStyle w:val="6"/>
              <w:spacing w:before="104" w:line="188" w:lineRule="auto"/>
              <w:ind w:left="600"/>
            </w:pPr>
            <w:r>
              <w:t>1</w:t>
            </w:r>
          </w:p>
        </w:tc>
      </w:tr>
      <w:tr w14:paraId="1D625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372" w:type="dxa"/>
            <w:gridSpan w:val="2"/>
            <w:vAlign w:val="top"/>
          </w:tcPr>
          <w:p w14:paraId="719D3FD4">
            <w:pPr>
              <w:spacing w:before="67" w:line="219" w:lineRule="auto"/>
              <w:ind w:left="853"/>
              <w:rPr>
                <w:rFonts w:ascii="宋体" w:hAnsi="宋体" w:eastAsia="宋体" w:cs="宋体"/>
                <w:sz w:val="21"/>
                <w:szCs w:val="21"/>
              </w:rPr>
            </w:pPr>
            <w:r>
              <w:rPr>
                <w:rFonts w:ascii="宋体" w:hAnsi="宋体" w:eastAsia="宋体" w:cs="宋体"/>
                <w:spacing w:val="-2"/>
                <w:sz w:val="21"/>
                <w:szCs w:val="21"/>
              </w:rPr>
              <w:t>无害化降解处理机</w:t>
            </w:r>
          </w:p>
        </w:tc>
        <w:tc>
          <w:tcPr>
            <w:tcW w:w="3094" w:type="dxa"/>
            <w:vAlign w:val="top"/>
          </w:tcPr>
          <w:p w14:paraId="4AE33485">
            <w:pPr>
              <w:pStyle w:val="6"/>
              <w:spacing w:before="100" w:line="192" w:lineRule="auto"/>
              <w:ind w:left="1514"/>
            </w:pPr>
            <w:r>
              <w:t>/</w:t>
            </w:r>
          </w:p>
        </w:tc>
        <w:tc>
          <w:tcPr>
            <w:tcW w:w="595" w:type="dxa"/>
            <w:vAlign w:val="top"/>
          </w:tcPr>
          <w:p w14:paraId="2FE57259">
            <w:pPr>
              <w:spacing w:before="67" w:line="222" w:lineRule="auto"/>
              <w:ind w:left="217"/>
              <w:rPr>
                <w:rFonts w:ascii="宋体" w:hAnsi="宋体" w:eastAsia="宋体" w:cs="宋体"/>
                <w:sz w:val="21"/>
                <w:szCs w:val="21"/>
              </w:rPr>
            </w:pPr>
            <w:r>
              <w:rPr>
                <w:rFonts w:ascii="宋体" w:hAnsi="宋体" w:eastAsia="宋体" w:cs="宋体"/>
                <w:sz w:val="21"/>
                <w:szCs w:val="21"/>
              </w:rPr>
              <w:t>台</w:t>
            </w:r>
          </w:p>
        </w:tc>
        <w:tc>
          <w:tcPr>
            <w:tcW w:w="1259" w:type="dxa"/>
            <w:vAlign w:val="top"/>
          </w:tcPr>
          <w:p w14:paraId="4710D903">
            <w:pPr>
              <w:pStyle w:val="6"/>
              <w:spacing w:before="104" w:line="188" w:lineRule="auto"/>
              <w:ind w:left="600"/>
            </w:pPr>
            <w:r>
              <w:t>1</w:t>
            </w:r>
          </w:p>
        </w:tc>
      </w:tr>
    </w:tbl>
    <w:p w14:paraId="1E719F34">
      <w:pPr>
        <w:spacing w:before="282" w:line="220" w:lineRule="auto"/>
        <w:ind w:left="37"/>
        <w:rPr>
          <w:rFonts w:ascii="宋体" w:hAnsi="宋体" w:eastAsia="宋体" w:cs="宋体"/>
          <w:sz w:val="30"/>
          <w:szCs w:val="30"/>
        </w:rPr>
      </w:pPr>
      <w:r>
        <w:rPr>
          <w:rFonts w:ascii="Times New Roman" w:hAnsi="Times New Roman" w:eastAsia="Times New Roman" w:cs="Times New Roman"/>
          <w:b/>
          <w:bCs/>
          <w:spacing w:val="-4"/>
          <w:sz w:val="30"/>
          <w:szCs w:val="30"/>
        </w:rPr>
        <w:t>2.1.5</w:t>
      </w:r>
      <w:r>
        <w:rPr>
          <w:rFonts w:ascii="Times New Roman" w:hAnsi="Times New Roman" w:eastAsia="Times New Roman" w:cs="Times New Roman"/>
          <w:b/>
          <w:bCs/>
          <w:spacing w:val="11"/>
          <w:sz w:val="30"/>
          <w:szCs w:val="30"/>
        </w:rPr>
        <w:t xml:space="preserve">  </w:t>
      </w:r>
      <w:r>
        <w:rPr>
          <w:rFonts w:ascii="宋体" w:hAnsi="宋体" w:eastAsia="宋体" w:cs="宋体"/>
          <w:b/>
          <w:bCs/>
          <w:spacing w:val="-4"/>
          <w:sz w:val="30"/>
          <w:szCs w:val="30"/>
        </w:rPr>
        <w:t>公辅设施</w:t>
      </w:r>
    </w:p>
    <w:p w14:paraId="608C625F">
      <w:pPr>
        <w:pStyle w:val="2"/>
        <w:spacing w:line="305" w:lineRule="auto"/>
      </w:pPr>
    </w:p>
    <w:p w14:paraId="5105DE56">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2.1.5.1 </w:t>
      </w:r>
      <w:r>
        <w:rPr>
          <w:rFonts w:ascii="宋体" w:hAnsi="宋体" w:eastAsia="宋体" w:cs="宋体"/>
          <w:b/>
          <w:bCs/>
          <w:spacing w:val="4"/>
          <w:sz w:val="27"/>
          <w:szCs w:val="27"/>
        </w:rPr>
        <w:t>给排水</w:t>
      </w:r>
    </w:p>
    <w:p w14:paraId="0D3763C4">
      <w:pPr>
        <w:spacing w:before="235"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）给水</w:t>
      </w:r>
    </w:p>
    <w:p w14:paraId="065F7208">
      <w:pPr>
        <w:spacing w:before="180" w:line="360" w:lineRule="auto"/>
        <w:ind w:left="42" w:right="28" w:firstLine="478"/>
        <w:rPr>
          <w:rFonts w:ascii="宋体" w:hAnsi="宋体" w:eastAsia="宋体" w:cs="宋体"/>
          <w:sz w:val="24"/>
          <w:szCs w:val="24"/>
        </w:rPr>
      </w:pPr>
      <w:r>
        <w:rPr>
          <w:rFonts w:ascii="宋体" w:hAnsi="宋体" w:eastAsia="宋体" w:cs="宋体"/>
          <w:sz w:val="24"/>
          <w:szCs w:val="24"/>
        </w:rPr>
        <w:t>本项目位于内江市东兴区白合镇喻家沟村</w:t>
      </w: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12</w:t>
      </w:r>
      <w:r>
        <w:rPr>
          <w:rFonts w:ascii="宋体" w:hAnsi="宋体" w:eastAsia="宋体" w:cs="宋体"/>
          <w:sz w:val="24"/>
          <w:szCs w:val="24"/>
        </w:rPr>
        <w:t>组，</w:t>
      </w:r>
      <w:r>
        <w:rPr>
          <w:rFonts w:ascii="宋体" w:hAnsi="宋体" w:eastAsia="宋体" w:cs="宋体"/>
          <w:spacing w:val="-1"/>
          <w:sz w:val="24"/>
          <w:szCs w:val="24"/>
        </w:rPr>
        <w:t>根据当地供水情况，项</w:t>
      </w:r>
      <w:r>
        <w:rPr>
          <w:rFonts w:ascii="宋体" w:hAnsi="宋体" w:eastAsia="宋体" w:cs="宋体"/>
          <w:sz w:val="24"/>
          <w:szCs w:val="24"/>
        </w:rPr>
        <w:t>目拟取用地下水，拟设</w:t>
      </w:r>
      <w:r>
        <w:rPr>
          <w:rFonts w:ascii="Times New Roman" w:hAnsi="Times New Roman" w:eastAsia="Times New Roman" w:cs="Times New Roman"/>
          <w:sz w:val="24"/>
          <w:szCs w:val="24"/>
        </w:rPr>
        <w:t>1</w:t>
      </w:r>
      <w:r>
        <w:rPr>
          <w:rFonts w:ascii="宋体" w:hAnsi="宋体" w:eastAsia="宋体" w:cs="宋体"/>
          <w:sz w:val="24"/>
          <w:szCs w:val="24"/>
        </w:rPr>
        <w:t>口机井抽取地下水，机井初步定在项目西北侧，取水含水层拟为承压含水层，取水量不小于</w:t>
      </w:r>
      <w:r>
        <w:rPr>
          <w:rFonts w:ascii="Times New Roman" w:hAnsi="Times New Roman" w:eastAsia="Times New Roman" w:cs="Times New Roman"/>
          <w:sz w:val="24"/>
          <w:szCs w:val="24"/>
        </w:rPr>
        <w:t>650m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。在养殖场内设置</w:t>
      </w:r>
      <w:r>
        <w:rPr>
          <w:rFonts w:ascii="Times New Roman" w:hAnsi="Times New Roman" w:eastAsia="Times New Roman" w:cs="Times New Roman"/>
          <w:sz w:val="24"/>
          <w:szCs w:val="24"/>
        </w:rPr>
        <w:t>4</w:t>
      </w:r>
      <w:r>
        <w:rPr>
          <w:rFonts w:ascii="宋体" w:hAnsi="宋体" w:eastAsia="宋体" w:cs="宋体"/>
          <w:sz w:val="24"/>
          <w:szCs w:val="24"/>
        </w:rPr>
        <w:t>个</w:t>
      </w:r>
      <w:r>
        <w:rPr>
          <w:rFonts w:ascii="Times New Roman" w:hAnsi="Times New Roman" w:eastAsia="Times New Roman" w:cs="Times New Roman"/>
          <w:sz w:val="24"/>
          <w:szCs w:val="24"/>
        </w:rPr>
        <w:t>150m</w:t>
      </w:r>
      <w:r>
        <w:rPr>
          <w:rFonts w:ascii="Times New Roman" w:hAnsi="Times New Roman" w:eastAsia="Times New Roman" w:cs="Times New Roman"/>
          <w:position w:val="10"/>
          <w:sz w:val="15"/>
          <w:szCs w:val="15"/>
        </w:rPr>
        <w:t>3</w:t>
      </w:r>
      <w:r>
        <w:rPr>
          <w:rFonts w:ascii="Times New Roman" w:hAnsi="Times New Roman" w:eastAsia="Times New Roman" w:cs="Times New Roman"/>
          <w:spacing w:val="-14"/>
          <w:position w:val="10"/>
          <w:sz w:val="15"/>
          <w:szCs w:val="15"/>
        </w:rPr>
        <w:t xml:space="preserve"> </w:t>
      </w:r>
      <w:r>
        <w:rPr>
          <w:rFonts w:ascii="宋体" w:hAnsi="宋体" w:eastAsia="宋体" w:cs="宋体"/>
          <w:sz w:val="24"/>
          <w:szCs w:val="24"/>
        </w:rPr>
        <w:t>蓄水池</w:t>
      </w:r>
      <w:r>
        <w:rPr>
          <w:rFonts w:ascii="宋体" w:hAnsi="宋体" w:eastAsia="宋体" w:cs="宋体"/>
          <w:spacing w:val="-3"/>
          <w:sz w:val="24"/>
          <w:szCs w:val="24"/>
        </w:rPr>
        <w:t>暂存井水，各猪舍均设自动饮水器，保证猪饮用水卫生和充足。取水管</w:t>
      </w:r>
      <w:r>
        <w:rPr>
          <w:rFonts w:ascii="宋体" w:hAnsi="宋体" w:eastAsia="宋体" w:cs="宋体"/>
          <w:spacing w:val="-4"/>
          <w:sz w:val="24"/>
          <w:szCs w:val="24"/>
        </w:rPr>
        <w:t>、室外给</w:t>
      </w:r>
      <w:r>
        <w:rPr>
          <w:rFonts w:ascii="宋体" w:hAnsi="宋体" w:eastAsia="宋体" w:cs="宋体"/>
          <w:spacing w:val="-3"/>
          <w:sz w:val="24"/>
          <w:szCs w:val="24"/>
        </w:rPr>
        <w:t>水管、室内管均采用</w:t>
      </w:r>
      <w:r>
        <w:rPr>
          <w:rFonts w:ascii="Times New Roman" w:hAnsi="Times New Roman" w:eastAsia="Times New Roman" w:cs="Times New Roman"/>
          <w:spacing w:val="-3"/>
          <w:sz w:val="24"/>
          <w:szCs w:val="24"/>
        </w:rPr>
        <w:t>PE</w:t>
      </w:r>
      <w:r>
        <w:rPr>
          <w:rFonts w:ascii="宋体" w:hAnsi="宋体" w:eastAsia="宋体" w:cs="宋体"/>
          <w:spacing w:val="-3"/>
          <w:sz w:val="24"/>
          <w:szCs w:val="24"/>
        </w:rPr>
        <w:t>塑料给水管。</w:t>
      </w:r>
    </w:p>
    <w:p w14:paraId="265DD363">
      <w:pPr>
        <w:spacing w:before="3" w:line="359" w:lineRule="auto"/>
        <w:ind w:left="31" w:right="31" w:firstLine="491"/>
        <w:jc w:val="both"/>
        <w:rPr>
          <w:rFonts w:ascii="楷体" w:hAnsi="楷体" w:eastAsia="楷体" w:cs="楷体"/>
          <w:sz w:val="24"/>
          <w:szCs w:val="24"/>
        </w:rPr>
      </w:pPr>
      <w:r>
        <w:rPr>
          <w:rFonts w:ascii="楷体" w:hAnsi="楷体" w:eastAsia="楷体" w:cs="楷体"/>
          <w:b/>
          <w:bCs/>
          <w:spacing w:val="1"/>
          <w:sz w:val="24"/>
          <w:szCs w:val="24"/>
        </w:rPr>
        <w:t>建设单位应按照《中华人民共和国水法》、《地下水管理条例》等法规要</w:t>
      </w:r>
      <w:r>
        <w:rPr>
          <w:rFonts w:ascii="楷体" w:hAnsi="楷体" w:eastAsia="楷体" w:cs="楷体"/>
          <w:b/>
          <w:bCs/>
          <w:spacing w:val="2"/>
          <w:sz w:val="24"/>
          <w:szCs w:val="24"/>
        </w:rPr>
        <w:t>求，向当地人民政府水行政主管部门申请取水，取</w:t>
      </w:r>
      <w:r>
        <w:rPr>
          <w:rFonts w:ascii="楷体" w:hAnsi="楷体" w:eastAsia="楷体" w:cs="楷体"/>
          <w:b/>
          <w:bCs/>
          <w:spacing w:val="1"/>
          <w:sz w:val="24"/>
          <w:szCs w:val="24"/>
        </w:rPr>
        <w:t>水申请经批准后兴建取水工</w:t>
      </w:r>
      <w:r>
        <w:rPr>
          <w:rFonts w:ascii="楷体" w:hAnsi="楷体" w:eastAsia="楷体" w:cs="楷体"/>
          <w:b/>
          <w:bCs/>
          <w:spacing w:val="2"/>
          <w:sz w:val="24"/>
          <w:szCs w:val="24"/>
        </w:rPr>
        <w:t>程或者设施，同时安装计量设施。取水工程或者设</w:t>
      </w:r>
      <w:r>
        <w:rPr>
          <w:rFonts w:ascii="楷体" w:hAnsi="楷体" w:eastAsia="楷体" w:cs="楷体"/>
          <w:b/>
          <w:bCs/>
          <w:spacing w:val="1"/>
          <w:sz w:val="24"/>
          <w:szCs w:val="24"/>
        </w:rPr>
        <w:t>施竣工后，申请人应当按照</w:t>
      </w:r>
      <w:r>
        <w:rPr>
          <w:rFonts w:ascii="楷体" w:hAnsi="楷体" w:eastAsia="楷体" w:cs="楷体"/>
          <w:b/>
          <w:bCs/>
          <w:spacing w:val="2"/>
          <w:sz w:val="24"/>
          <w:szCs w:val="24"/>
        </w:rPr>
        <w:t>国务院水行政主管部门的规定，向取水审批机关报</w:t>
      </w:r>
      <w:r>
        <w:rPr>
          <w:rFonts w:ascii="楷体" w:hAnsi="楷体" w:eastAsia="楷体" w:cs="楷体"/>
          <w:b/>
          <w:bCs/>
          <w:spacing w:val="1"/>
          <w:sz w:val="24"/>
          <w:szCs w:val="24"/>
        </w:rPr>
        <w:t>送取水工程或者设施运行情</w:t>
      </w:r>
      <w:r>
        <w:rPr>
          <w:rFonts w:ascii="楷体" w:hAnsi="楷体" w:eastAsia="楷体" w:cs="楷体"/>
          <w:b/>
          <w:bCs/>
          <w:spacing w:val="-3"/>
          <w:sz w:val="24"/>
          <w:szCs w:val="24"/>
        </w:rPr>
        <w:t>况等相关资料，经验收合格的，由审批机关核发取水许可证。</w:t>
      </w:r>
    </w:p>
    <w:p w14:paraId="2003E62F">
      <w:pPr>
        <w:spacing w:before="6" w:line="223" w:lineRule="auto"/>
        <w:ind w:left="517"/>
        <w:rPr>
          <w:rFonts w:ascii="楷体" w:hAnsi="楷体" w:eastAsia="楷体" w:cs="楷体"/>
          <w:sz w:val="24"/>
          <w:szCs w:val="24"/>
        </w:rPr>
      </w:pPr>
      <w:r>
        <w:rPr>
          <w:rFonts w:ascii="楷体" w:hAnsi="楷体" w:eastAsia="楷体" w:cs="楷体"/>
          <w:b/>
          <w:bCs/>
          <w:spacing w:val="-3"/>
          <w:sz w:val="24"/>
          <w:szCs w:val="24"/>
        </w:rPr>
        <w:t>在《建设项目水资源论证管理办法》对申请取水许可证办理手续</w:t>
      </w:r>
      <w:r>
        <w:rPr>
          <w:rFonts w:ascii="楷体" w:hAnsi="楷体" w:eastAsia="楷体" w:cs="楷体"/>
          <w:b/>
          <w:bCs/>
          <w:spacing w:val="-4"/>
          <w:sz w:val="24"/>
          <w:szCs w:val="24"/>
        </w:rPr>
        <w:t>规定：</w:t>
      </w:r>
    </w:p>
    <w:p w14:paraId="4ACB85BC">
      <w:pPr>
        <w:spacing w:before="176" w:line="359" w:lineRule="auto"/>
        <w:ind w:left="41" w:right="31" w:firstLine="493"/>
        <w:rPr>
          <w:rFonts w:ascii="楷体" w:hAnsi="楷体" w:eastAsia="楷体" w:cs="楷体"/>
          <w:sz w:val="24"/>
          <w:szCs w:val="24"/>
        </w:rPr>
      </w:pPr>
      <w:r>
        <w:rPr>
          <w:rFonts w:ascii="楷体" w:hAnsi="楷体" w:eastAsia="楷体" w:cs="楷体"/>
          <w:b/>
          <w:bCs/>
          <w:spacing w:val="-3"/>
          <w:sz w:val="24"/>
          <w:szCs w:val="24"/>
        </w:rPr>
        <w:t>第二条</w:t>
      </w:r>
      <w:r>
        <w:rPr>
          <w:rFonts w:ascii="楷体" w:hAnsi="楷体" w:eastAsia="楷体" w:cs="楷体"/>
          <w:spacing w:val="-3"/>
          <w:sz w:val="24"/>
          <w:szCs w:val="24"/>
        </w:rPr>
        <w:t xml:space="preserve"> </w:t>
      </w:r>
      <w:r>
        <w:rPr>
          <w:rFonts w:ascii="楷体" w:hAnsi="楷体" w:eastAsia="楷体" w:cs="楷体"/>
          <w:b/>
          <w:bCs/>
          <w:spacing w:val="-3"/>
          <w:sz w:val="24"/>
          <w:szCs w:val="24"/>
        </w:rPr>
        <w:t>对于直接从江河、湖泊或地下取水并需申请取水许可证的新建、改</w:t>
      </w:r>
      <w:r>
        <w:rPr>
          <w:rFonts w:ascii="楷体" w:hAnsi="楷体" w:eastAsia="楷体" w:cs="楷体"/>
          <w:b/>
          <w:bCs/>
          <w:spacing w:val="1"/>
          <w:sz w:val="24"/>
          <w:szCs w:val="24"/>
        </w:rPr>
        <w:t>建、扩建的建设项目，建设项目业主单位应当按照本办法的规定进行建设项目</w:t>
      </w:r>
      <w:r>
        <w:rPr>
          <w:rFonts w:ascii="楷体" w:hAnsi="楷体" w:eastAsia="楷体" w:cs="楷体"/>
          <w:b/>
          <w:bCs/>
          <w:spacing w:val="-4"/>
          <w:sz w:val="24"/>
          <w:szCs w:val="24"/>
        </w:rPr>
        <w:t>水资源论证，编制建设项目水资源论证报告书。</w:t>
      </w:r>
    </w:p>
    <w:p w14:paraId="62D63AF6">
      <w:pPr>
        <w:spacing w:before="6" w:line="220" w:lineRule="auto"/>
        <w:ind w:left="534"/>
        <w:rPr>
          <w:rFonts w:ascii="楷体" w:hAnsi="楷体" w:eastAsia="楷体" w:cs="楷体"/>
          <w:sz w:val="24"/>
          <w:szCs w:val="24"/>
        </w:rPr>
      </w:pPr>
      <w:r>
        <w:rPr>
          <w:rFonts w:ascii="楷体" w:hAnsi="楷体" w:eastAsia="楷体" w:cs="楷体"/>
          <w:b/>
          <w:bCs/>
          <w:spacing w:val="-4"/>
          <w:sz w:val="24"/>
          <w:szCs w:val="24"/>
        </w:rPr>
        <w:t>第六条</w:t>
      </w:r>
      <w:r>
        <w:rPr>
          <w:rFonts w:ascii="楷体" w:hAnsi="楷体" w:eastAsia="楷体" w:cs="楷体"/>
          <w:spacing w:val="-4"/>
          <w:sz w:val="24"/>
          <w:szCs w:val="24"/>
        </w:rPr>
        <w:t xml:space="preserve">  </w:t>
      </w:r>
      <w:r>
        <w:rPr>
          <w:rFonts w:ascii="楷体" w:hAnsi="楷体" w:eastAsia="楷体" w:cs="楷体"/>
          <w:b/>
          <w:bCs/>
          <w:spacing w:val="-4"/>
          <w:sz w:val="24"/>
          <w:szCs w:val="24"/>
        </w:rPr>
        <w:t>建设项目水资源论证报告书，应当包括下列主要内容：</w:t>
      </w:r>
    </w:p>
    <w:p w14:paraId="47A39900">
      <w:pPr>
        <w:spacing w:before="182" w:line="229" w:lineRule="auto"/>
        <w:ind w:left="537"/>
        <w:rPr>
          <w:rFonts w:ascii="楷体" w:hAnsi="楷体" w:eastAsia="楷体" w:cs="楷体"/>
          <w:sz w:val="24"/>
          <w:szCs w:val="24"/>
        </w:rPr>
      </w:pPr>
      <w:r>
        <w:rPr>
          <w:rFonts w:ascii="楷体" w:hAnsi="楷体" w:eastAsia="楷体" w:cs="楷体"/>
          <w:b/>
          <w:bCs/>
          <w:spacing w:val="-8"/>
          <w:sz w:val="24"/>
          <w:szCs w:val="24"/>
        </w:rPr>
        <w:t>（一）建设项目概况；</w:t>
      </w:r>
    </w:p>
    <w:p w14:paraId="25DC7EE4">
      <w:pPr>
        <w:spacing w:before="170" w:line="229" w:lineRule="auto"/>
        <w:ind w:left="537"/>
        <w:rPr>
          <w:rFonts w:ascii="楷体" w:hAnsi="楷体" w:eastAsia="楷体" w:cs="楷体"/>
          <w:sz w:val="24"/>
          <w:szCs w:val="24"/>
        </w:rPr>
      </w:pPr>
      <w:r>
        <w:rPr>
          <w:rFonts w:ascii="楷体" w:hAnsi="楷体" w:eastAsia="楷体" w:cs="楷体"/>
          <w:b/>
          <w:bCs/>
          <w:spacing w:val="-8"/>
          <w:sz w:val="24"/>
          <w:szCs w:val="24"/>
        </w:rPr>
        <w:t>（二）取水水源论证；</w:t>
      </w:r>
    </w:p>
    <w:p w14:paraId="5D5FD8DD">
      <w:pPr>
        <w:spacing w:before="171" w:line="228" w:lineRule="auto"/>
        <w:ind w:left="537"/>
        <w:rPr>
          <w:rFonts w:ascii="楷体" w:hAnsi="楷体" w:eastAsia="楷体" w:cs="楷体"/>
          <w:sz w:val="24"/>
          <w:szCs w:val="24"/>
        </w:rPr>
      </w:pPr>
      <w:r>
        <w:rPr>
          <w:rFonts w:ascii="楷体" w:hAnsi="楷体" w:eastAsia="楷体" w:cs="楷体"/>
          <w:b/>
          <w:bCs/>
          <w:spacing w:val="-8"/>
          <w:sz w:val="24"/>
          <w:szCs w:val="24"/>
        </w:rPr>
        <w:t>（三）用水合理性论证；</w:t>
      </w:r>
    </w:p>
    <w:p w14:paraId="7C6D9AD0">
      <w:pPr>
        <w:spacing w:before="171" w:line="223" w:lineRule="auto"/>
        <w:ind w:left="537"/>
        <w:rPr>
          <w:rFonts w:ascii="楷体" w:hAnsi="楷体" w:eastAsia="楷体" w:cs="楷体"/>
          <w:sz w:val="24"/>
          <w:szCs w:val="24"/>
        </w:rPr>
      </w:pPr>
      <w:r>
        <w:rPr>
          <w:rFonts w:ascii="楷体" w:hAnsi="楷体" w:eastAsia="楷体" w:cs="楷体"/>
          <w:b/>
          <w:bCs/>
          <w:spacing w:val="-5"/>
          <w:sz w:val="24"/>
          <w:szCs w:val="24"/>
        </w:rPr>
        <w:t>（四）退（排）水情况及其对水环境影响分析；</w:t>
      </w:r>
    </w:p>
    <w:p w14:paraId="0A240DA8">
      <w:pPr>
        <w:spacing w:line="223" w:lineRule="auto"/>
        <w:rPr>
          <w:rFonts w:ascii="楷体" w:hAnsi="楷体" w:eastAsia="楷体" w:cs="楷体"/>
          <w:sz w:val="24"/>
          <w:szCs w:val="24"/>
        </w:rPr>
        <w:sectPr>
          <w:footerReference r:id="rId142" w:type="default"/>
          <w:pgSz w:w="11905" w:h="16840"/>
          <w:pgMar w:top="1168" w:right="1768" w:bottom="1409" w:left="1770" w:header="828" w:footer="1244" w:gutter="0"/>
          <w:cols w:space="720" w:num="1"/>
        </w:sectPr>
      </w:pPr>
    </w:p>
    <w:p w14:paraId="33EB915A">
      <w:pPr>
        <w:pStyle w:val="2"/>
        <w:spacing w:line="306" w:lineRule="auto"/>
      </w:pPr>
    </w:p>
    <w:p w14:paraId="2E5DD5F4">
      <w:pPr>
        <w:spacing w:before="78" w:line="223" w:lineRule="auto"/>
        <w:ind w:left="537"/>
        <w:rPr>
          <w:rFonts w:ascii="楷体" w:hAnsi="楷体" w:eastAsia="楷体" w:cs="楷体"/>
          <w:sz w:val="24"/>
          <w:szCs w:val="24"/>
        </w:rPr>
      </w:pPr>
      <w:bookmarkStart w:id="26" w:name="bookmark141"/>
      <w:bookmarkEnd w:id="26"/>
      <w:r>
        <w:rPr>
          <w:rFonts w:ascii="楷体" w:hAnsi="楷体" w:eastAsia="楷体" w:cs="楷体"/>
          <w:b/>
          <w:bCs/>
          <w:spacing w:val="-6"/>
          <w:sz w:val="24"/>
          <w:szCs w:val="24"/>
        </w:rPr>
        <w:t>（五）对其他用水户权益的影响分析；</w:t>
      </w:r>
    </w:p>
    <w:p w14:paraId="096A7CCB">
      <w:pPr>
        <w:spacing w:before="177" w:line="225" w:lineRule="auto"/>
        <w:ind w:left="537"/>
        <w:rPr>
          <w:rFonts w:ascii="楷体" w:hAnsi="楷体" w:eastAsia="楷体" w:cs="楷体"/>
          <w:sz w:val="24"/>
          <w:szCs w:val="24"/>
        </w:rPr>
      </w:pPr>
      <w:r>
        <w:rPr>
          <w:rFonts w:ascii="楷体" w:hAnsi="楷体" w:eastAsia="楷体" w:cs="楷体"/>
          <w:b/>
          <w:bCs/>
          <w:spacing w:val="-8"/>
          <w:sz w:val="24"/>
          <w:szCs w:val="24"/>
        </w:rPr>
        <w:t>（六）其他事项。</w:t>
      </w:r>
    </w:p>
    <w:p w14:paraId="37BA596D">
      <w:pPr>
        <w:spacing w:before="176" w:line="359" w:lineRule="auto"/>
        <w:ind w:left="43" w:right="188" w:firstLine="476"/>
        <w:rPr>
          <w:rFonts w:ascii="楷体" w:hAnsi="楷体" w:eastAsia="楷体" w:cs="楷体"/>
          <w:sz w:val="24"/>
          <w:szCs w:val="24"/>
        </w:rPr>
      </w:pPr>
      <w:r>
        <w:rPr>
          <w:rFonts w:ascii="楷体" w:hAnsi="楷体" w:eastAsia="楷体" w:cs="楷体"/>
          <w:b/>
          <w:bCs/>
          <w:spacing w:val="2"/>
          <w:sz w:val="24"/>
          <w:szCs w:val="24"/>
        </w:rPr>
        <w:t>据了解，建设单位已经委托第三方机构编制本项</w:t>
      </w:r>
      <w:r>
        <w:rPr>
          <w:rFonts w:ascii="楷体" w:hAnsi="楷体" w:eastAsia="楷体" w:cs="楷体"/>
          <w:b/>
          <w:bCs/>
          <w:spacing w:val="1"/>
          <w:sz w:val="24"/>
          <w:szCs w:val="24"/>
        </w:rPr>
        <w:t>目水资源论证报告书，目</w:t>
      </w:r>
      <w:r>
        <w:rPr>
          <w:rFonts w:ascii="楷体" w:hAnsi="楷体" w:eastAsia="楷体" w:cs="楷体"/>
          <w:b/>
          <w:bCs/>
          <w:spacing w:val="-5"/>
          <w:sz w:val="24"/>
          <w:szCs w:val="24"/>
        </w:rPr>
        <w:t>前正在进行前期资料收集工作。</w:t>
      </w:r>
    </w:p>
    <w:p w14:paraId="6BB2951F">
      <w:pPr>
        <w:spacing w:before="1"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）排水</w:t>
      </w:r>
    </w:p>
    <w:p w14:paraId="5E764251">
      <w:pPr>
        <w:spacing w:before="182" w:line="219" w:lineRule="auto"/>
        <w:ind w:left="520"/>
        <w:rPr>
          <w:rFonts w:ascii="宋体" w:hAnsi="宋体" w:eastAsia="宋体" w:cs="宋体"/>
          <w:sz w:val="24"/>
          <w:szCs w:val="24"/>
        </w:rPr>
      </w:pPr>
      <w:r>
        <w:rPr>
          <w:rFonts w:ascii="宋体" w:hAnsi="宋体" w:eastAsia="宋体" w:cs="宋体"/>
          <w:spacing w:val="-3"/>
          <w:sz w:val="24"/>
          <w:szCs w:val="24"/>
        </w:rPr>
        <w:t>本项目内实行雨污分流排水体制。</w:t>
      </w:r>
    </w:p>
    <w:p w14:paraId="5F00CA83">
      <w:pPr>
        <w:spacing w:before="183" w:line="360" w:lineRule="auto"/>
        <w:ind w:left="38" w:right="186" w:firstLine="484"/>
        <w:rPr>
          <w:rFonts w:ascii="宋体" w:hAnsi="宋体" w:eastAsia="宋体" w:cs="宋体"/>
          <w:sz w:val="24"/>
          <w:szCs w:val="24"/>
        </w:rPr>
      </w:pPr>
      <w:r>
        <w:rPr>
          <w:rFonts w:ascii="宋体" w:hAnsi="宋体" w:eastAsia="宋体" w:cs="宋体"/>
          <w:spacing w:val="-3"/>
          <w:sz w:val="24"/>
          <w:szCs w:val="24"/>
        </w:rPr>
        <w:t>项目场地内雨水经雨水收集沟收集后，利用场地地形高</w:t>
      </w:r>
      <w:r>
        <w:rPr>
          <w:rFonts w:ascii="宋体" w:hAnsi="宋体" w:eastAsia="宋体" w:cs="宋体"/>
          <w:spacing w:val="-4"/>
          <w:sz w:val="24"/>
          <w:szCs w:val="24"/>
        </w:rPr>
        <w:t>差排至项目区外，流</w:t>
      </w:r>
      <w:r>
        <w:rPr>
          <w:rFonts w:ascii="宋体" w:hAnsi="宋体" w:eastAsia="宋体" w:cs="宋体"/>
          <w:spacing w:val="-6"/>
          <w:sz w:val="24"/>
          <w:szCs w:val="24"/>
        </w:rPr>
        <w:t>入南侧石核河。</w:t>
      </w:r>
    </w:p>
    <w:p w14:paraId="2A1F03A4">
      <w:pPr>
        <w:spacing w:before="6" w:line="360" w:lineRule="auto"/>
        <w:ind w:left="39" w:firstLine="480"/>
        <w:jc w:val="both"/>
        <w:rPr>
          <w:rFonts w:ascii="宋体" w:hAnsi="宋体" w:eastAsia="宋体" w:cs="宋体"/>
          <w:sz w:val="24"/>
          <w:szCs w:val="24"/>
        </w:rPr>
      </w:pPr>
      <w:r>
        <w:rPr>
          <w:rFonts w:ascii="宋体" w:hAnsi="宋体" w:eastAsia="宋体" w:cs="宋体"/>
          <w:spacing w:val="-5"/>
          <w:sz w:val="24"/>
          <w:szCs w:val="24"/>
        </w:rPr>
        <w:t>本项目生活污水进入化粪池，与养殖废水经埋地管道自流至污水处理站处理，</w:t>
      </w:r>
      <w:r>
        <w:rPr>
          <w:rFonts w:ascii="宋体" w:hAnsi="宋体" w:eastAsia="宋体" w:cs="宋体"/>
          <w:spacing w:val="1"/>
          <w:sz w:val="24"/>
          <w:szCs w:val="24"/>
        </w:rPr>
        <w:t>经“隔栅井</w:t>
      </w:r>
      <w:r>
        <w:rPr>
          <w:rFonts w:ascii="Times New Roman" w:hAnsi="Times New Roman" w:eastAsia="Times New Roman" w:cs="Times New Roman"/>
          <w:spacing w:val="1"/>
          <w:sz w:val="24"/>
          <w:szCs w:val="24"/>
        </w:rPr>
        <w:t>+</w:t>
      </w:r>
      <w:r>
        <w:rPr>
          <w:rFonts w:ascii="宋体" w:hAnsi="宋体" w:eastAsia="宋体" w:cs="宋体"/>
          <w:spacing w:val="1"/>
          <w:sz w:val="24"/>
          <w:szCs w:val="24"/>
        </w:rPr>
        <w:t>粪污收集池</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固液分离</w:t>
      </w:r>
      <w:r>
        <w:rPr>
          <w:rFonts w:ascii="Times New Roman" w:hAnsi="Times New Roman" w:eastAsia="Times New Roman" w:cs="Times New Roman"/>
          <w:spacing w:val="1"/>
          <w:sz w:val="24"/>
          <w:szCs w:val="24"/>
        </w:rPr>
        <w:t>+</w:t>
      </w:r>
      <w:r>
        <w:rPr>
          <w:rFonts w:ascii="宋体" w:hAnsi="宋体" w:eastAsia="宋体" w:cs="宋体"/>
          <w:spacing w:val="1"/>
          <w:sz w:val="24"/>
          <w:szCs w:val="24"/>
        </w:rPr>
        <w:t>水解酸化池</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CSTR</w:t>
      </w:r>
      <w:r>
        <w:rPr>
          <w:rFonts w:ascii="宋体" w:hAnsi="宋体" w:eastAsia="宋体" w:cs="宋体"/>
          <w:spacing w:val="1"/>
          <w:sz w:val="24"/>
          <w:szCs w:val="24"/>
        </w:rPr>
        <w:t>厌氧</w:t>
      </w:r>
      <w:r>
        <w:rPr>
          <w:rFonts w:ascii="宋体" w:hAnsi="宋体" w:eastAsia="宋体" w:cs="宋体"/>
          <w:sz w:val="24"/>
          <w:szCs w:val="24"/>
        </w:rPr>
        <w:t>反应器</w:t>
      </w:r>
      <w:r>
        <w:rPr>
          <w:rFonts w:ascii="Times New Roman" w:hAnsi="Times New Roman" w:eastAsia="Times New Roman" w:cs="Times New Roman"/>
          <w:sz w:val="24"/>
          <w:szCs w:val="24"/>
        </w:rPr>
        <w:t>+</w:t>
      </w:r>
      <w:r>
        <w:rPr>
          <w:rFonts w:ascii="宋体" w:hAnsi="宋体" w:eastAsia="宋体" w:cs="宋体"/>
          <w:sz w:val="24"/>
          <w:szCs w:val="24"/>
        </w:rPr>
        <w:t>微生物曝氧</w:t>
      </w:r>
      <w:r>
        <w:rPr>
          <w:rFonts w:ascii="宋体" w:hAnsi="宋体" w:eastAsia="宋体" w:cs="宋体"/>
          <w:spacing w:val="1"/>
          <w:sz w:val="24"/>
          <w:szCs w:val="24"/>
        </w:rPr>
        <w:t>塘</w:t>
      </w:r>
      <w:r>
        <w:rPr>
          <w:rFonts w:ascii="Times New Roman" w:hAnsi="Times New Roman" w:eastAsia="Times New Roman" w:cs="Times New Roman"/>
          <w:spacing w:val="1"/>
          <w:sz w:val="24"/>
          <w:szCs w:val="24"/>
        </w:rPr>
        <w:t>+</w:t>
      </w:r>
      <w:r>
        <w:rPr>
          <w:rFonts w:ascii="宋体" w:hAnsi="宋体" w:eastAsia="宋体" w:cs="宋体"/>
          <w:spacing w:val="1"/>
          <w:sz w:val="24"/>
          <w:szCs w:val="24"/>
        </w:rPr>
        <w:t>前置物化系统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二级好氧</w:t>
      </w:r>
      <w:r>
        <w:rPr>
          <w:rFonts w:ascii="宋体" w:hAnsi="宋体" w:eastAsia="宋体" w:cs="宋体"/>
          <w:spacing w:val="-2"/>
          <w:sz w:val="24"/>
          <w:szCs w:val="24"/>
        </w:rPr>
        <w:t>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消毒池”污水处理工艺处理达到</w:t>
      </w:r>
      <w:r>
        <w:rPr>
          <w:rFonts w:ascii="宋体" w:hAnsi="宋体" w:eastAsia="宋体" w:cs="宋体"/>
          <w:spacing w:val="-3"/>
          <w:sz w:val="24"/>
          <w:szCs w:val="24"/>
        </w:rPr>
        <w:t>《农田灌溉水质标准》</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5084-2021</w:t>
      </w:r>
      <w:r>
        <w:rPr>
          <w:rFonts w:ascii="宋体" w:hAnsi="宋体" w:eastAsia="宋体" w:cs="宋体"/>
          <w:spacing w:val="2"/>
          <w:sz w:val="24"/>
          <w:szCs w:val="24"/>
        </w:rPr>
        <w:t>）表</w:t>
      </w:r>
      <w:r>
        <w:rPr>
          <w:rFonts w:ascii="Times New Roman" w:hAnsi="Times New Roman" w:eastAsia="Times New Roman" w:cs="Times New Roman"/>
          <w:spacing w:val="2"/>
          <w:sz w:val="24"/>
          <w:szCs w:val="24"/>
        </w:rPr>
        <w:t>1</w:t>
      </w:r>
      <w:r>
        <w:rPr>
          <w:rFonts w:ascii="宋体" w:hAnsi="宋体" w:eastAsia="宋体" w:cs="宋体"/>
          <w:spacing w:val="2"/>
          <w:sz w:val="24"/>
          <w:szCs w:val="24"/>
        </w:rPr>
        <w:t>旱地作物限值后，作为农田灌溉用水用于消纳地农灌，全</w:t>
      </w:r>
      <w:r>
        <w:rPr>
          <w:rFonts w:ascii="宋体" w:hAnsi="宋体" w:eastAsia="宋体" w:cs="宋体"/>
          <w:spacing w:val="-4"/>
          <w:sz w:val="24"/>
          <w:szCs w:val="24"/>
        </w:rPr>
        <w:t>部综合利用，不外排。</w:t>
      </w:r>
    </w:p>
    <w:p w14:paraId="1AB068EB">
      <w:pPr>
        <w:spacing w:before="52" w:line="225"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2.1.5.2 </w:t>
      </w:r>
      <w:r>
        <w:rPr>
          <w:rFonts w:ascii="宋体" w:hAnsi="宋体" w:eastAsia="宋体" w:cs="宋体"/>
          <w:b/>
          <w:bCs/>
          <w:spacing w:val="4"/>
          <w:sz w:val="27"/>
          <w:szCs w:val="27"/>
        </w:rPr>
        <w:t>供配电</w:t>
      </w:r>
    </w:p>
    <w:p w14:paraId="61EC8DB9">
      <w:pPr>
        <w:spacing w:before="239" w:line="361" w:lineRule="auto"/>
        <w:ind w:left="40" w:right="186" w:firstLine="480"/>
        <w:jc w:val="both"/>
        <w:rPr>
          <w:rFonts w:ascii="宋体" w:hAnsi="宋体" w:eastAsia="宋体" w:cs="宋体"/>
          <w:sz w:val="24"/>
          <w:szCs w:val="24"/>
        </w:rPr>
      </w:pPr>
      <w:r>
        <w:rPr>
          <w:rFonts w:ascii="宋体" w:hAnsi="宋体" w:eastAsia="宋体" w:cs="宋体"/>
          <w:spacing w:val="1"/>
          <w:sz w:val="24"/>
          <w:szCs w:val="24"/>
        </w:rPr>
        <w:t>本项目由市政电网供电，场区内设配电室供电，并配置</w:t>
      </w:r>
      <w:r>
        <w:rPr>
          <w:rFonts w:ascii="Times New Roman" w:hAnsi="Times New Roman" w:eastAsia="Times New Roman" w:cs="Times New Roman"/>
          <w:spacing w:val="1"/>
          <w:sz w:val="24"/>
          <w:szCs w:val="24"/>
        </w:rPr>
        <w:t>2</w:t>
      </w:r>
      <w:r>
        <w:rPr>
          <w:rFonts w:ascii="宋体" w:hAnsi="宋体" w:eastAsia="宋体" w:cs="宋体"/>
          <w:spacing w:val="1"/>
          <w:sz w:val="24"/>
          <w:szCs w:val="24"/>
        </w:rPr>
        <w:t>台</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00kW</w:t>
      </w:r>
      <w:r>
        <w:rPr>
          <w:rFonts w:ascii="宋体" w:hAnsi="宋体" w:eastAsia="宋体" w:cs="宋体"/>
          <w:sz w:val="24"/>
          <w:szCs w:val="24"/>
        </w:rPr>
        <w:t>备用柴油</w:t>
      </w:r>
      <w:r>
        <w:rPr>
          <w:rFonts w:ascii="宋体" w:hAnsi="宋体" w:eastAsia="宋体" w:cs="宋体"/>
          <w:spacing w:val="-6"/>
          <w:sz w:val="24"/>
          <w:szCs w:val="24"/>
        </w:rPr>
        <w:t>发电机，供停电时使用。柴油发电机组使用的柴油采用储油箱</w:t>
      </w:r>
      <w:r>
        <w:rPr>
          <w:rFonts w:ascii="宋体" w:hAnsi="宋体" w:eastAsia="宋体" w:cs="宋体"/>
          <w:spacing w:val="-7"/>
          <w:sz w:val="24"/>
          <w:szCs w:val="24"/>
        </w:rPr>
        <w:t>储存， 置于发电机</w:t>
      </w:r>
      <w:r>
        <w:rPr>
          <w:rFonts w:ascii="宋体" w:hAnsi="宋体" w:eastAsia="宋体" w:cs="宋体"/>
          <w:spacing w:val="-1"/>
          <w:sz w:val="24"/>
          <w:szCs w:val="24"/>
        </w:rPr>
        <w:t>房的储油间内，柴油储存量为</w:t>
      </w:r>
      <w:r>
        <w:rPr>
          <w:rFonts w:ascii="Times New Roman" w:hAnsi="Times New Roman" w:eastAsia="Times New Roman" w:cs="Times New Roman"/>
          <w:spacing w:val="-1"/>
          <w:sz w:val="24"/>
          <w:szCs w:val="24"/>
        </w:rPr>
        <w:t>600L</w:t>
      </w:r>
      <w:r>
        <w:rPr>
          <w:rFonts w:ascii="宋体" w:hAnsi="宋体" w:eastAsia="宋体" w:cs="宋体"/>
          <w:spacing w:val="-1"/>
          <w:sz w:val="24"/>
          <w:szCs w:val="24"/>
        </w:rPr>
        <w:t>。</w:t>
      </w:r>
    </w:p>
    <w:p w14:paraId="4EA67722">
      <w:pPr>
        <w:spacing w:before="5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2.1.5.3 </w:t>
      </w:r>
      <w:r>
        <w:rPr>
          <w:rFonts w:ascii="宋体" w:hAnsi="宋体" w:eastAsia="宋体" w:cs="宋体"/>
          <w:b/>
          <w:bCs/>
          <w:spacing w:val="5"/>
          <w:sz w:val="27"/>
          <w:szCs w:val="27"/>
        </w:rPr>
        <w:t>通风降温及保温</w:t>
      </w:r>
    </w:p>
    <w:p w14:paraId="4721165C">
      <w:pPr>
        <w:spacing w:before="236"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）保温</w:t>
      </w:r>
    </w:p>
    <w:p w14:paraId="665852F4">
      <w:pPr>
        <w:spacing w:before="182" w:line="360" w:lineRule="auto"/>
        <w:ind w:left="38" w:right="186" w:firstLine="480"/>
        <w:rPr>
          <w:rFonts w:ascii="宋体" w:hAnsi="宋体" w:eastAsia="宋体" w:cs="宋体"/>
          <w:sz w:val="24"/>
          <w:szCs w:val="24"/>
        </w:rPr>
      </w:pPr>
      <w:r>
        <w:rPr>
          <w:rFonts w:ascii="宋体" w:hAnsi="宋体" w:eastAsia="宋体" w:cs="宋体"/>
          <w:spacing w:val="-3"/>
          <w:sz w:val="24"/>
          <w:szCs w:val="24"/>
        </w:rPr>
        <w:t>①猪舍采用单元式建筑，缩小空间有利于保温；在猪舍的外围护结</w:t>
      </w:r>
      <w:r>
        <w:rPr>
          <w:rFonts w:ascii="宋体" w:hAnsi="宋体" w:eastAsia="宋体" w:cs="宋体"/>
          <w:spacing w:val="-4"/>
          <w:sz w:val="24"/>
          <w:szCs w:val="24"/>
        </w:rPr>
        <w:t>构中，失</w:t>
      </w:r>
      <w:r>
        <w:rPr>
          <w:rFonts w:ascii="宋体" w:hAnsi="宋体" w:eastAsia="宋体" w:cs="宋体"/>
          <w:spacing w:val="-3"/>
          <w:sz w:val="24"/>
          <w:szCs w:val="24"/>
        </w:rPr>
        <w:t>热最多的是屋顶，铺设在天棚上的保温材料热阻值要高，且要达到足够的厚度并压紧压实；墙壁的失热仅次于屋顶，用空心砖或加气混凝土块代替普通红砖，或</w:t>
      </w:r>
      <w:r>
        <w:rPr>
          <w:rFonts w:ascii="宋体" w:hAnsi="宋体" w:eastAsia="宋体" w:cs="宋体"/>
          <w:spacing w:val="-2"/>
          <w:sz w:val="24"/>
          <w:szCs w:val="24"/>
        </w:rPr>
        <w:t>在墙体内夹一层泡沫塑料等隔热材料，可提高猪舍的防寒保温能力。</w:t>
      </w:r>
    </w:p>
    <w:p w14:paraId="28FEB29D">
      <w:pPr>
        <w:spacing w:line="217" w:lineRule="auto"/>
        <w:ind w:left="517"/>
        <w:rPr>
          <w:rFonts w:ascii="宋体" w:hAnsi="宋体" w:eastAsia="宋体" w:cs="宋体"/>
          <w:sz w:val="24"/>
          <w:szCs w:val="24"/>
        </w:rPr>
      </w:pPr>
      <w:r>
        <w:rPr>
          <w:rFonts w:ascii="宋体" w:hAnsi="宋体" w:eastAsia="宋体" w:cs="宋体"/>
          <w:spacing w:val="-2"/>
          <w:sz w:val="24"/>
          <w:szCs w:val="24"/>
        </w:rPr>
        <w:t>②冬季猪舍设置保温设施，采用电加热板等方式保持猪舍室温。</w:t>
      </w:r>
    </w:p>
    <w:p w14:paraId="3607ABE4">
      <w:pPr>
        <w:spacing w:before="185"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）夏季降温</w:t>
      </w:r>
    </w:p>
    <w:p w14:paraId="5E72B338">
      <w:pPr>
        <w:spacing w:before="182" w:line="219" w:lineRule="auto"/>
        <w:ind w:left="520"/>
        <w:rPr>
          <w:rFonts w:ascii="宋体" w:hAnsi="宋体" w:eastAsia="宋体" w:cs="宋体"/>
          <w:sz w:val="24"/>
          <w:szCs w:val="24"/>
        </w:rPr>
      </w:pPr>
      <w:r>
        <w:rPr>
          <w:rFonts w:ascii="宋体" w:hAnsi="宋体" w:eastAsia="宋体" w:cs="宋体"/>
          <w:spacing w:val="-3"/>
          <w:sz w:val="24"/>
          <w:szCs w:val="24"/>
        </w:rPr>
        <w:t>本项目猪舍采用水帘风机降温。</w:t>
      </w:r>
    </w:p>
    <w:p w14:paraId="2243EB6B">
      <w:pPr>
        <w:spacing w:before="184" w:line="353" w:lineRule="auto"/>
        <w:ind w:left="40" w:right="101" w:firstLine="481"/>
        <w:rPr>
          <w:rFonts w:ascii="宋体" w:hAnsi="宋体" w:eastAsia="宋体" w:cs="宋体"/>
          <w:sz w:val="24"/>
          <w:szCs w:val="24"/>
        </w:rPr>
      </w:pPr>
      <w:r>
        <w:rPr>
          <w:rFonts w:ascii="宋体" w:hAnsi="宋体" w:eastAsia="宋体" w:cs="宋体"/>
          <w:spacing w:val="-3"/>
          <w:sz w:val="24"/>
          <w:szCs w:val="24"/>
        </w:rPr>
        <w:t>水帘风机降温主要原理：水帘降温系统由水帘、循环水路</w:t>
      </w:r>
      <w:r>
        <w:rPr>
          <w:rFonts w:ascii="宋体" w:hAnsi="宋体" w:eastAsia="宋体" w:cs="宋体"/>
          <w:spacing w:val="-4"/>
          <w:sz w:val="24"/>
          <w:szCs w:val="24"/>
        </w:rPr>
        <w:t>、抽风机和温度控</w:t>
      </w:r>
      <w:r>
        <w:rPr>
          <w:rFonts w:ascii="宋体" w:hAnsi="宋体" w:eastAsia="宋体" w:cs="宋体"/>
          <w:spacing w:val="-7"/>
          <w:sz w:val="24"/>
          <w:szCs w:val="24"/>
        </w:rPr>
        <w:t>制装置组成。水帘用波纹状纤维纸粘结而成，在制作的原料中添</w:t>
      </w:r>
      <w:r>
        <w:rPr>
          <w:rFonts w:ascii="宋体" w:hAnsi="宋体" w:eastAsia="宋体" w:cs="宋体"/>
          <w:spacing w:val="-8"/>
          <w:sz w:val="24"/>
          <w:szCs w:val="24"/>
        </w:rPr>
        <w:t>加了不会随水流、</w:t>
      </w:r>
    </w:p>
    <w:p w14:paraId="7CBEB239">
      <w:pPr>
        <w:spacing w:line="353" w:lineRule="auto"/>
        <w:rPr>
          <w:rFonts w:ascii="宋体" w:hAnsi="宋体" w:eastAsia="宋体" w:cs="宋体"/>
          <w:sz w:val="24"/>
          <w:szCs w:val="24"/>
        </w:rPr>
        <w:sectPr>
          <w:headerReference r:id="rId143" w:type="default"/>
          <w:footerReference r:id="rId144" w:type="default"/>
          <w:pgSz w:w="11905" w:h="16840"/>
          <w:pgMar w:top="1168" w:right="1611" w:bottom="1409" w:left="1770" w:header="828" w:footer="1244" w:gutter="0"/>
          <w:cols w:space="720" w:num="1"/>
        </w:sectPr>
      </w:pPr>
    </w:p>
    <w:p w14:paraId="5FDFA262">
      <w:pPr>
        <w:pStyle w:val="2"/>
        <w:spacing w:line="306" w:lineRule="auto"/>
      </w:pPr>
    </w:p>
    <w:p w14:paraId="5BF120DA">
      <w:pPr>
        <w:spacing w:before="78" w:line="360" w:lineRule="auto"/>
        <w:ind w:left="38" w:right="186" w:firstLine="1"/>
        <w:jc w:val="both"/>
        <w:rPr>
          <w:rFonts w:ascii="宋体" w:hAnsi="宋体" w:eastAsia="宋体" w:cs="宋体"/>
          <w:sz w:val="24"/>
          <w:szCs w:val="24"/>
        </w:rPr>
      </w:pPr>
      <w:r>
        <w:rPr>
          <w:rFonts w:ascii="宋体" w:hAnsi="宋体" w:eastAsia="宋体" w:cs="宋体"/>
          <w:spacing w:val="-3"/>
          <w:sz w:val="24"/>
          <w:szCs w:val="24"/>
        </w:rPr>
        <w:t>气流的作用而分解的特殊化学成分，具有耐腐蚀、使用时间长等特点。在封闭式的猪舍内，一端的水泵将蓄水池中的水送至喷水管，把水喷向反水板，水均匀地从反水板上流下淋湿整个水帘，水在水槽和水帘间循环，从而保证空气与完全湿透的水帘表面接触。另一端安装负压风机向外排风，猪舍内形成负压区，舍外空气穿过水帘被吸入舍内，带着猪舍内的热量经风机排出室外，从而达到降温的目</w:t>
      </w:r>
      <w:r>
        <w:rPr>
          <w:rFonts w:ascii="宋体" w:hAnsi="宋体" w:eastAsia="宋体" w:cs="宋体"/>
          <w:spacing w:val="-11"/>
          <w:sz w:val="24"/>
          <w:szCs w:val="24"/>
        </w:rPr>
        <w:t>的。</w:t>
      </w:r>
    </w:p>
    <w:p w14:paraId="5536F6BD">
      <w:pPr>
        <w:spacing w:before="3" w:line="359" w:lineRule="auto"/>
        <w:ind w:left="38" w:right="99" w:firstLine="483"/>
        <w:jc w:val="both"/>
        <w:rPr>
          <w:rFonts w:ascii="宋体" w:hAnsi="宋体" w:eastAsia="宋体" w:cs="宋体"/>
          <w:sz w:val="24"/>
          <w:szCs w:val="24"/>
        </w:rPr>
      </w:pPr>
      <w:r>
        <w:rPr>
          <w:rFonts w:ascii="宋体" w:hAnsi="宋体" w:eastAsia="宋体" w:cs="宋体"/>
          <w:spacing w:val="-1"/>
          <w:sz w:val="24"/>
          <w:szCs w:val="24"/>
        </w:rPr>
        <w:t>水帘风机降温系统的所有的温控全部由电脑程序自动控制，包括空气过滤、</w:t>
      </w:r>
      <w:r>
        <w:rPr>
          <w:rFonts w:ascii="宋体" w:hAnsi="宋体" w:eastAsia="宋体" w:cs="宋体"/>
          <w:spacing w:val="-6"/>
          <w:sz w:val="24"/>
          <w:szCs w:val="24"/>
        </w:rPr>
        <w:t>风机开启、自动湿度调节等， 该系统旨在给生猪提供一个温度</w:t>
      </w:r>
      <w:r>
        <w:rPr>
          <w:rFonts w:ascii="宋体" w:hAnsi="宋体" w:eastAsia="宋体" w:cs="宋体"/>
          <w:spacing w:val="-7"/>
          <w:sz w:val="24"/>
          <w:szCs w:val="24"/>
        </w:rPr>
        <w:t>适宜、湿度适中的饲养环境。</w:t>
      </w:r>
    </w:p>
    <w:p w14:paraId="00F96B9A">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）通风设施</w:t>
      </w:r>
    </w:p>
    <w:p w14:paraId="2FA22B92">
      <w:pPr>
        <w:spacing w:before="183" w:line="329" w:lineRule="auto"/>
        <w:ind w:left="38" w:firstLine="479"/>
        <w:rPr>
          <w:rFonts w:ascii="宋体" w:hAnsi="宋体" w:eastAsia="宋体" w:cs="宋体"/>
          <w:sz w:val="24"/>
          <w:szCs w:val="24"/>
        </w:rPr>
      </w:pPr>
      <w:r>
        <w:rPr>
          <w:rFonts w:ascii="宋体" w:hAnsi="宋体" w:eastAsia="宋体" w:cs="宋体"/>
          <w:spacing w:val="-5"/>
          <w:sz w:val="24"/>
          <w:szCs w:val="24"/>
        </w:rPr>
        <w:t>场区内建筑通风采用自然通风与机械通风相结合的方式，猪舍采用机械通风，</w:t>
      </w:r>
      <w:r>
        <w:rPr>
          <w:rFonts w:ascii="宋体" w:hAnsi="宋体" w:eastAsia="宋体" w:cs="宋体"/>
          <w:spacing w:val="-3"/>
          <w:sz w:val="24"/>
          <w:szCs w:val="24"/>
        </w:rPr>
        <w:t>选用轴流风机进行负压通风，把猪舍内气体排出舍外，让舍外的新鲜空气进入舍</w:t>
      </w:r>
      <w:r>
        <w:rPr>
          <w:rFonts w:ascii="宋体" w:hAnsi="宋体" w:eastAsia="宋体" w:cs="宋体"/>
          <w:spacing w:val="-2"/>
          <w:sz w:val="24"/>
          <w:szCs w:val="24"/>
        </w:rPr>
        <w:t>内，降低舍内有害气体的含量。场区内其他设施以自然通风为主。</w:t>
      </w:r>
    </w:p>
    <w:p w14:paraId="40AF7735">
      <w:pPr>
        <w:spacing w:line="2193" w:lineRule="exact"/>
        <w:ind w:firstLine="942"/>
      </w:pPr>
      <w:r>
        <w:rPr>
          <w:position w:val="-43"/>
        </w:rPr>
        <w:drawing>
          <wp:inline distT="0" distB="0" distL="0" distR="0">
            <wp:extent cx="4119880" cy="139255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45"/>
                    <a:stretch>
                      <a:fillRect/>
                    </a:stretch>
                  </pic:blipFill>
                  <pic:spPr>
                    <a:xfrm>
                      <a:off x="0" y="0"/>
                      <a:ext cx="4120133" cy="1392935"/>
                    </a:xfrm>
                    <a:prstGeom prst="rect">
                      <a:avLst/>
                    </a:prstGeom>
                  </pic:spPr>
                </pic:pic>
              </a:graphicData>
            </a:graphic>
          </wp:inline>
        </w:drawing>
      </w:r>
    </w:p>
    <w:p w14:paraId="7ABD68B2">
      <w:pPr>
        <w:spacing w:before="123" w:line="221" w:lineRule="auto"/>
        <w:ind w:left="966"/>
        <w:rPr>
          <w:rFonts w:ascii="黑体" w:hAnsi="黑体" w:eastAsia="黑体" w:cs="黑体"/>
          <w:sz w:val="21"/>
          <w:szCs w:val="21"/>
        </w:rPr>
      </w:pPr>
      <w:r>
        <w:rPr>
          <w:rFonts w:ascii="黑体" w:hAnsi="黑体" w:eastAsia="黑体" w:cs="黑体"/>
          <w:spacing w:val="-1"/>
          <w:sz w:val="21"/>
          <w:szCs w:val="21"/>
        </w:rPr>
        <w:t>图</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2.1-1  </w:t>
      </w:r>
      <w:r>
        <w:rPr>
          <w:rFonts w:ascii="黑体" w:hAnsi="黑体" w:eastAsia="黑体" w:cs="黑体"/>
          <w:spacing w:val="-1"/>
          <w:sz w:val="21"/>
          <w:szCs w:val="21"/>
        </w:rPr>
        <w:t>猪舍水帘—风机降温示意图（本项</w:t>
      </w:r>
      <w:r>
        <w:rPr>
          <w:rFonts w:ascii="黑体" w:hAnsi="黑体" w:eastAsia="黑体" w:cs="黑体"/>
          <w:spacing w:val="-2"/>
          <w:sz w:val="21"/>
          <w:szCs w:val="21"/>
        </w:rPr>
        <w:t>目采用横向水帘降温系统）</w:t>
      </w:r>
    </w:p>
    <w:p w14:paraId="5855F3AA">
      <w:pPr>
        <w:spacing w:before="260" w:line="228"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2.1.5.4 </w:t>
      </w:r>
      <w:r>
        <w:rPr>
          <w:rFonts w:ascii="宋体" w:hAnsi="宋体" w:eastAsia="宋体" w:cs="宋体"/>
          <w:b/>
          <w:bCs/>
          <w:spacing w:val="4"/>
          <w:sz w:val="27"/>
          <w:szCs w:val="27"/>
        </w:rPr>
        <w:t>饲喂系统</w:t>
      </w:r>
    </w:p>
    <w:p w14:paraId="0A236D0D">
      <w:pPr>
        <w:spacing w:before="234"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）上料系统</w:t>
      </w:r>
    </w:p>
    <w:p w14:paraId="726F8321">
      <w:pPr>
        <w:spacing w:before="182" w:line="360" w:lineRule="auto"/>
        <w:ind w:left="40" w:right="120" w:firstLine="482"/>
        <w:rPr>
          <w:rFonts w:ascii="宋体" w:hAnsi="宋体" w:eastAsia="宋体" w:cs="宋体"/>
          <w:sz w:val="24"/>
          <w:szCs w:val="24"/>
        </w:rPr>
      </w:pPr>
      <w:r>
        <w:rPr>
          <w:rFonts w:ascii="宋体" w:hAnsi="宋体" w:eastAsia="宋体" w:cs="宋体"/>
          <w:spacing w:val="-8"/>
          <w:sz w:val="24"/>
          <w:szCs w:val="24"/>
        </w:rPr>
        <w:t>项目采用全自动配送上料系统和限位猪槽，机械化操作</w:t>
      </w:r>
      <w:r>
        <w:rPr>
          <w:rFonts w:ascii="宋体" w:hAnsi="宋体" w:eastAsia="宋体" w:cs="宋体"/>
          <w:spacing w:val="-9"/>
          <w:sz w:val="24"/>
          <w:szCs w:val="24"/>
        </w:rPr>
        <w:t>，定时定量供应饲料，</w:t>
      </w:r>
      <w:r>
        <w:rPr>
          <w:rFonts w:ascii="宋体" w:hAnsi="宋体" w:eastAsia="宋体" w:cs="宋体"/>
          <w:spacing w:val="-1"/>
          <w:sz w:val="24"/>
          <w:szCs w:val="24"/>
        </w:rPr>
        <w:t>保证生猪饮食需求，同时减少浪费，节约人力和</w:t>
      </w:r>
      <w:r>
        <w:rPr>
          <w:rFonts w:ascii="宋体" w:hAnsi="宋体" w:eastAsia="宋体" w:cs="宋体"/>
          <w:spacing w:val="-2"/>
          <w:sz w:val="24"/>
          <w:szCs w:val="24"/>
        </w:rPr>
        <w:t>饲料用量，降低生产成本。</w:t>
      </w:r>
    </w:p>
    <w:p w14:paraId="6DC86584">
      <w:pPr>
        <w:spacing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）饮水系统</w:t>
      </w:r>
    </w:p>
    <w:p w14:paraId="3A7B04FE">
      <w:pPr>
        <w:spacing w:before="182" w:line="361" w:lineRule="auto"/>
        <w:ind w:left="39" w:right="186" w:firstLine="483"/>
        <w:rPr>
          <w:rFonts w:ascii="宋体" w:hAnsi="宋体" w:eastAsia="宋体" w:cs="宋体"/>
          <w:sz w:val="24"/>
          <w:szCs w:val="24"/>
        </w:rPr>
      </w:pPr>
      <w:r>
        <w:rPr>
          <w:rFonts w:ascii="宋体" w:hAnsi="宋体" w:eastAsia="宋体" w:cs="宋体"/>
          <w:spacing w:val="-1"/>
          <w:sz w:val="24"/>
          <w:szCs w:val="24"/>
        </w:rPr>
        <w:t>项目采用自动化饮水器，水盘饮水器的底部槽体液面始终</w:t>
      </w:r>
      <w:r>
        <w:rPr>
          <w:rFonts w:ascii="宋体" w:hAnsi="宋体" w:eastAsia="宋体" w:cs="宋体"/>
          <w:spacing w:val="-2"/>
          <w:sz w:val="24"/>
          <w:szCs w:val="24"/>
        </w:rPr>
        <w:t>维持在</w:t>
      </w:r>
      <w:r>
        <w:rPr>
          <w:rFonts w:ascii="Times New Roman" w:hAnsi="Times New Roman" w:eastAsia="Times New Roman" w:cs="Times New Roman"/>
          <w:spacing w:val="-2"/>
          <w:sz w:val="24"/>
          <w:szCs w:val="24"/>
        </w:rPr>
        <w:t>2cm</w:t>
      </w:r>
      <w:r>
        <w:rPr>
          <w:rFonts w:ascii="宋体" w:hAnsi="宋体" w:eastAsia="宋体" w:cs="宋体"/>
          <w:spacing w:val="-2"/>
          <w:sz w:val="24"/>
          <w:szCs w:val="24"/>
        </w:rPr>
        <w:t>的液面</w:t>
      </w:r>
      <w:r>
        <w:rPr>
          <w:rFonts w:ascii="宋体" w:hAnsi="宋体" w:eastAsia="宋体" w:cs="宋体"/>
          <w:spacing w:val="-3"/>
          <w:sz w:val="24"/>
          <w:szCs w:val="24"/>
        </w:rPr>
        <w:t>高度，在此液面高度时，饮水器与外界空气形成负压，当生猪喝水时，饮水器与</w:t>
      </w:r>
      <w:r>
        <w:rPr>
          <w:rFonts w:ascii="宋体" w:hAnsi="宋体" w:eastAsia="宋体" w:cs="宋体"/>
          <w:spacing w:val="-1"/>
          <w:sz w:val="24"/>
          <w:szCs w:val="24"/>
        </w:rPr>
        <w:t>空气接触，内部压力大于外部压力，水自动地从管内流出直至液面高度在</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cm</w:t>
      </w:r>
      <w:r>
        <w:rPr>
          <w:rFonts w:ascii="宋体" w:hAnsi="宋体" w:eastAsia="宋体" w:cs="宋体"/>
          <w:spacing w:val="-2"/>
          <w:sz w:val="24"/>
          <w:szCs w:val="24"/>
        </w:rPr>
        <w:t>时</w:t>
      </w:r>
      <w:r>
        <w:rPr>
          <w:rFonts w:ascii="宋体" w:hAnsi="宋体" w:eastAsia="宋体" w:cs="宋体"/>
          <w:spacing w:val="-3"/>
          <w:sz w:val="24"/>
          <w:szCs w:val="24"/>
        </w:rPr>
        <w:t>饮水器自动停止供水，能保证生猪随时饮用新鲜水，同时避免不必要的浪费，节</w:t>
      </w:r>
      <w:r>
        <w:rPr>
          <w:rFonts w:ascii="宋体" w:hAnsi="宋体" w:eastAsia="宋体" w:cs="宋体"/>
          <w:spacing w:val="-8"/>
          <w:sz w:val="24"/>
          <w:szCs w:val="24"/>
        </w:rPr>
        <w:t>约水资源。</w:t>
      </w:r>
    </w:p>
    <w:p w14:paraId="7BCC1300">
      <w:pPr>
        <w:spacing w:line="361" w:lineRule="auto"/>
        <w:rPr>
          <w:rFonts w:ascii="宋体" w:hAnsi="宋体" w:eastAsia="宋体" w:cs="宋体"/>
          <w:sz w:val="24"/>
          <w:szCs w:val="24"/>
        </w:rPr>
        <w:sectPr>
          <w:headerReference r:id="rId145" w:type="default"/>
          <w:footerReference r:id="rId146" w:type="default"/>
          <w:pgSz w:w="11905" w:h="16840"/>
          <w:pgMar w:top="1168" w:right="1611" w:bottom="1409" w:left="1770" w:header="828" w:footer="1244" w:gutter="0"/>
          <w:cols w:space="720" w:num="1"/>
        </w:sectPr>
      </w:pPr>
    </w:p>
    <w:p w14:paraId="6865C0EA">
      <w:pPr>
        <w:pStyle w:val="2"/>
        <w:spacing w:line="353" w:lineRule="auto"/>
      </w:pPr>
    </w:p>
    <w:p w14:paraId="670A02A4">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2.1.5.5 </w:t>
      </w:r>
      <w:r>
        <w:rPr>
          <w:rFonts w:ascii="宋体" w:hAnsi="宋体" w:eastAsia="宋体" w:cs="宋体"/>
          <w:b/>
          <w:bCs/>
          <w:spacing w:val="5"/>
          <w:sz w:val="27"/>
          <w:szCs w:val="27"/>
        </w:rPr>
        <w:t>猪舍防疫及消毒措施</w:t>
      </w:r>
    </w:p>
    <w:p w14:paraId="51F936D0">
      <w:pPr>
        <w:spacing w:before="235"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）消毒措施</w:t>
      </w:r>
    </w:p>
    <w:p w14:paraId="6B0E1221">
      <w:pPr>
        <w:spacing w:before="182" w:line="360" w:lineRule="auto"/>
        <w:ind w:left="44" w:right="68" w:firstLine="475"/>
        <w:rPr>
          <w:rFonts w:ascii="宋体" w:hAnsi="宋体" w:eastAsia="宋体" w:cs="宋体"/>
          <w:sz w:val="24"/>
          <w:szCs w:val="24"/>
        </w:rPr>
      </w:pPr>
      <w:r>
        <w:rPr>
          <w:rFonts w:ascii="宋体" w:hAnsi="宋体" w:eastAsia="宋体" w:cs="宋体"/>
          <w:spacing w:val="-7"/>
          <w:sz w:val="24"/>
          <w:szCs w:val="24"/>
        </w:rPr>
        <w:t>做好日常消毒。定期对猪舍、道路、环境进行消毒， 同时要严格诊疗器械的</w:t>
      </w:r>
      <w:r>
        <w:rPr>
          <w:rFonts w:ascii="宋体" w:hAnsi="宋体" w:eastAsia="宋体" w:cs="宋体"/>
          <w:spacing w:val="-8"/>
          <w:sz w:val="24"/>
          <w:szCs w:val="24"/>
        </w:rPr>
        <w:t>消毒工作。</w:t>
      </w:r>
    </w:p>
    <w:p w14:paraId="4DA1608B">
      <w:pPr>
        <w:spacing w:before="5" w:line="359" w:lineRule="auto"/>
        <w:ind w:left="38" w:right="67" w:firstLine="480"/>
        <w:jc w:val="both"/>
        <w:rPr>
          <w:rFonts w:ascii="宋体" w:hAnsi="宋体" w:eastAsia="宋体" w:cs="宋体"/>
          <w:sz w:val="24"/>
          <w:szCs w:val="24"/>
        </w:rPr>
      </w:pPr>
      <w:r>
        <w:rPr>
          <w:rFonts w:ascii="宋体" w:hAnsi="宋体" w:eastAsia="宋体" w:cs="宋体"/>
          <w:spacing w:val="-7"/>
          <w:sz w:val="24"/>
          <w:szCs w:val="24"/>
        </w:rPr>
        <w:t>加强终末消毒。出栏后， 应对空舍的单元、饲养用具等进行全方位的彻底清</w:t>
      </w:r>
      <w:r>
        <w:rPr>
          <w:rFonts w:ascii="宋体" w:hAnsi="宋体" w:eastAsia="宋体" w:cs="宋体"/>
          <w:spacing w:val="-6"/>
          <w:sz w:val="24"/>
          <w:szCs w:val="24"/>
        </w:rPr>
        <w:t>洗和消毒。或在周围地区发生国家规定的一、二类疫病流行初期，</w:t>
      </w:r>
      <w:r>
        <w:rPr>
          <w:rFonts w:ascii="宋体" w:hAnsi="宋体" w:eastAsia="宋体" w:cs="宋体"/>
          <w:spacing w:val="-7"/>
          <w:sz w:val="24"/>
          <w:szCs w:val="24"/>
        </w:rPr>
        <w:t xml:space="preserve"> 或在本场发生</w:t>
      </w:r>
      <w:r>
        <w:rPr>
          <w:rFonts w:ascii="宋体" w:hAnsi="宋体" w:eastAsia="宋体" w:cs="宋体"/>
          <w:spacing w:val="-5"/>
          <w:sz w:val="24"/>
          <w:szCs w:val="24"/>
        </w:rPr>
        <w:t>国家规定的一、二类疫病流行平息后，</w:t>
      </w:r>
      <w:r>
        <w:rPr>
          <w:rFonts w:ascii="宋体" w:hAnsi="宋体" w:eastAsia="宋体" w:cs="宋体"/>
          <w:spacing w:val="-48"/>
          <w:sz w:val="24"/>
          <w:szCs w:val="24"/>
        </w:rPr>
        <w:t xml:space="preserve"> </w:t>
      </w:r>
      <w:r>
        <w:rPr>
          <w:rFonts w:ascii="宋体" w:hAnsi="宋体" w:eastAsia="宋体" w:cs="宋体"/>
          <w:spacing w:val="-5"/>
          <w:sz w:val="24"/>
          <w:szCs w:val="24"/>
        </w:rPr>
        <w:t>解除封锁前均应对全场进行彻底清洗和消</w:t>
      </w:r>
      <w:r>
        <w:rPr>
          <w:rFonts w:ascii="宋体" w:hAnsi="宋体" w:eastAsia="宋体" w:cs="宋体"/>
          <w:spacing w:val="-11"/>
          <w:sz w:val="24"/>
          <w:szCs w:val="24"/>
        </w:rPr>
        <w:t>毒。</w:t>
      </w:r>
    </w:p>
    <w:p w14:paraId="61477BDE">
      <w:pPr>
        <w:spacing w:before="2" w:line="359" w:lineRule="auto"/>
        <w:ind w:left="40" w:right="66" w:firstLine="479"/>
        <w:rPr>
          <w:rFonts w:ascii="宋体" w:hAnsi="宋体" w:eastAsia="宋体" w:cs="宋体"/>
          <w:sz w:val="24"/>
          <w:szCs w:val="24"/>
        </w:rPr>
      </w:pPr>
      <w:r>
        <w:rPr>
          <w:rFonts w:ascii="宋体" w:hAnsi="宋体" w:eastAsia="宋体" w:cs="宋体"/>
          <w:sz w:val="24"/>
          <w:szCs w:val="24"/>
        </w:rPr>
        <w:t>每周使用</w:t>
      </w:r>
      <w:r>
        <w:rPr>
          <w:rFonts w:ascii="Times New Roman" w:hAnsi="Times New Roman" w:eastAsia="Times New Roman" w:cs="Times New Roman"/>
          <w:sz w:val="24"/>
          <w:szCs w:val="24"/>
        </w:rPr>
        <w:t>84</w:t>
      </w:r>
      <w:r>
        <w:rPr>
          <w:rFonts w:ascii="宋体" w:hAnsi="宋体" w:eastAsia="宋体" w:cs="宋体"/>
          <w:sz w:val="24"/>
          <w:szCs w:val="24"/>
        </w:rPr>
        <w:t>消毒液喷雾对猪消毒</w:t>
      </w:r>
      <w:r>
        <w:rPr>
          <w:rFonts w:ascii="Times New Roman" w:hAnsi="Times New Roman" w:eastAsia="Times New Roman" w:cs="Times New Roman"/>
          <w:sz w:val="24"/>
          <w:szCs w:val="24"/>
        </w:rPr>
        <w:t>1</w:t>
      </w:r>
      <w:r>
        <w:rPr>
          <w:rFonts w:ascii="宋体" w:hAnsi="宋体" w:eastAsia="宋体" w:cs="宋体"/>
          <w:sz w:val="24"/>
          <w:szCs w:val="24"/>
        </w:rPr>
        <w:t>次；出栏后猪舍彻底清扫并冲洗后，使用</w:t>
      </w:r>
      <w:r>
        <w:rPr>
          <w:rFonts w:ascii="宋体" w:hAnsi="宋体" w:eastAsia="宋体" w:cs="宋体"/>
          <w:spacing w:val="-1"/>
          <w:sz w:val="24"/>
          <w:szCs w:val="24"/>
        </w:rPr>
        <w:t>过氧乙酸、戊二醛苯扎溴铵溶液等消毒液喷洒消毒，间隔</w:t>
      </w:r>
      <w:r>
        <w:rPr>
          <w:rFonts w:ascii="Times New Roman" w:hAnsi="Times New Roman" w:eastAsia="Times New Roman" w:cs="Times New Roman"/>
          <w:spacing w:val="-1"/>
          <w:sz w:val="24"/>
          <w:szCs w:val="24"/>
        </w:rPr>
        <w:t>1</w:t>
      </w:r>
      <w:r>
        <w:rPr>
          <w:rFonts w:ascii="宋体" w:hAnsi="宋体" w:eastAsia="宋体" w:cs="宋体"/>
          <w:spacing w:val="-1"/>
          <w:sz w:val="24"/>
          <w:szCs w:val="24"/>
        </w:rPr>
        <w:t>天后重复进行一次。</w:t>
      </w:r>
    </w:p>
    <w:p w14:paraId="49C29B4F">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）防疫措施</w:t>
      </w:r>
    </w:p>
    <w:p w14:paraId="3461427C">
      <w:pPr>
        <w:spacing w:before="182" w:line="217" w:lineRule="auto"/>
        <w:ind w:left="518"/>
        <w:rPr>
          <w:rFonts w:ascii="宋体" w:hAnsi="宋体" w:eastAsia="宋体" w:cs="宋体"/>
          <w:sz w:val="24"/>
          <w:szCs w:val="24"/>
        </w:rPr>
      </w:pPr>
      <w:r>
        <w:rPr>
          <w:rFonts w:ascii="宋体" w:hAnsi="宋体" w:eastAsia="宋体" w:cs="宋体"/>
          <w:spacing w:val="-1"/>
          <w:sz w:val="24"/>
          <w:szCs w:val="24"/>
        </w:rPr>
        <w:t>①引种要严格检疫</w:t>
      </w:r>
    </w:p>
    <w:p w14:paraId="56BF2C68">
      <w:pPr>
        <w:spacing w:before="186" w:line="360" w:lineRule="auto"/>
        <w:ind w:left="41" w:right="69" w:firstLine="478"/>
        <w:rPr>
          <w:rFonts w:ascii="宋体" w:hAnsi="宋体" w:eastAsia="宋体" w:cs="宋体"/>
          <w:sz w:val="24"/>
          <w:szCs w:val="24"/>
        </w:rPr>
      </w:pPr>
      <w:r>
        <w:rPr>
          <w:rFonts w:ascii="宋体" w:hAnsi="宋体" w:eastAsia="宋体" w:cs="宋体"/>
          <w:spacing w:val="-7"/>
          <w:sz w:val="24"/>
          <w:szCs w:val="24"/>
        </w:rPr>
        <w:t>每批猪出栏后，猪舍应进行彻底清洗、消毒， 杀灭病原，防止连续感染和交</w:t>
      </w:r>
      <w:r>
        <w:rPr>
          <w:rFonts w:ascii="宋体" w:hAnsi="宋体" w:eastAsia="宋体" w:cs="宋体"/>
          <w:spacing w:val="-2"/>
          <w:sz w:val="24"/>
          <w:szCs w:val="24"/>
        </w:rPr>
        <w:t>叉感染。猪场小猪引入控制严格，优先引用本地猪只。</w:t>
      </w:r>
    </w:p>
    <w:p w14:paraId="397E51C5">
      <w:pPr>
        <w:spacing w:line="217" w:lineRule="auto"/>
        <w:ind w:left="517"/>
        <w:rPr>
          <w:rFonts w:ascii="宋体" w:hAnsi="宋体" w:eastAsia="宋体" w:cs="宋体"/>
          <w:sz w:val="24"/>
          <w:szCs w:val="24"/>
        </w:rPr>
      </w:pPr>
      <w:r>
        <w:rPr>
          <w:rFonts w:ascii="宋体" w:hAnsi="宋体" w:eastAsia="宋体" w:cs="宋体"/>
          <w:spacing w:val="-2"/>
          <w:sz w:val="24"/>
          <w:szCs w:val="24"/>
        </w:rPr>
        <w:t>②合理布局</w:t>
      </w:r>
    </w:p>
    <w:p w14:paraId="030180D9">
      <w:pPr>
        <w:spacing w:before="186" w:line="360" w:lineRule="auto"/>
        <w:ind w:left="38" w:right="78" w:firstLine="479"/>
        <w:rPr>
          <w:rFonts w:ascii="宋体" w:hAnsi="宋体" w:eastAsia="宋体" w:cs="宋体"/>
          <w:sz w:val="24"/>
          <w:szCs w:val="24"/>
        </w:rPr>
      </w:pPr>
      <w:r>
        <w:rPr>
          <w:rFonts w:ascii="宋体" w:hAnsi="宋体" w:eastAsia="宋体" w:cs="宋体"/>
          <w:spacing w:val="-12"/>
          <w:sz w:val="24"/>
          <w:szCs w:val="24"/>
        </w:rPr>
        <w:t>平面布置结合农业部《标准化规模养猪场建</w:t>
      </w:r>
      <w:r>
        <w:rPr>
          <w:rFonts w:ascii="宋体" w:hAnsi="宋体" w:eastAsia="宋体" w:cs="宋体"/>
          <w:spacing w:val="-13"/>
          <w:sz w:val="24"/>
          <w:szCs w:val="24"/>
        </w:rPr>
        <w:t>设规范》（</w:t>
      </w:r>
      <w:r>
        <w:rPr>
          <w:rFonts w:ascii="Times New Roman" w:hAnsi="Times New Roman" w:eastAsia="Times New Roman" w:cs="Times New Roman"/>
          <w:spacing w:val="-13"/>
          <w:sz w:val="24"/>
          <w:szCs w:val="24"/>
        </w:rPr>
        <w:t>NY/T1568-2007</w:t>
      </w:r>
      <w:r>
        <w:rPr>
          <w:rFonts w:ascii="宋体" w:hAnsi="宋体" w:eastAsia="宋体" w:cs="宋体"/>
          <w:spacing w:val="-13"/>
          <w:sz w:val="24"/>
          <w:szCs w:val="24"/>
        </w:rPr>
        <w:t>）、《规</w:t>
      </w:r>
      <w:r>
        <w:rPr>
          <w:rFonts w:ascii="宋体" w:hAnsi="宋体" w:eastAsia="宋体" w:cs="宋体"/>
          <w:spacing w:val="-1"/>
          <w:sz w:val="24"/>
          <w:szCs w:val="24"/>
        </w:rPr>
        <w:t>模猪场建设》（</w:t>
      </w:r>
      <w:r>
        <w:rPr>
          <w:rFonts w:ascii="Times New Roman" w:hAnsi="Times New Roman" w:eastAsia="Times New Roman" w:cs="Times New Roman"/>
          <w:spacing w:val="-1"/>
          <w:sz w:val="24"/>
          <w:szCs w:val="24"/>
        </w:rPr>
        <w:t>GB/T17824.1-2022</w:t>
      </w:r>
      <w:r>
        <w:rPr>
          <w:rFonts w:ascii="宋体" w:hAnsi="宋体" w:eastAsia="宋体" w:cs="宋体"/>
          <w:spacing w:val="-2"/>
          <w:sz w:val="24"/>
          <w:szCs w:val="24"/>
        </w:rPr>
        <w:t>）进行设计建设。</w:t>
      </w:r>
    </w:p>
    <w:p w14:paraId="0BC3332A">
      <w:pPr>
        <w:spacing w:line="217" w:lineRule="auto"/>
        <w:ind w:left="517"/>
        <w:rPr>
          <w:rFonts w:ascii="宋体" w:hAnsi="宋体" w:eastAsia="宋体" w:cs="宋体"/>
          <w:sz w:val="24"/>
          <w:szCs w:val="24"/>
        </w:rPr>
      </w:pPr>
      <w:r>
        <w:rPr>
          <w:rFonts w:ascii="宋体" w:hAnsi="宋体" w:eastAsia="宋体" w:cs="宋体"/>
          <w:spacing w:val="-1"/>
          <w:sz w:val="24"/>
          <w:szCs w:val="24"/>
        </w:rPr>
        <w:t>③制定正确、合理的免疫程序和制度</w:t>
      </w:r>
    </w:p>
    <w:p w14:paraId="2A488FCE">
      <w:pPr>
        <w:spacing w:before="185" w:line="219" w:lineRule="auto"/>
        <w:ind w:left="521"/>
        <w:rPr>
          <w:rFonts w:ascii="宋体" w:hAnsi="宋体" w:eastAsia="宋体" w:cs="宋体"/>
          <w:sz w:val="24"/>
          <w:szCs w:val="24"/>
        </w:rPr>
      </w:pPr>
      <w:r>
        <w:rPr>
          <w:rFonts w:ascii="宋体" w:hAnsi="宋体" w:eastAsia="宋体" w:cs="宋体"/>
          <w:spacing w:val="-1"/>
          <w:sz w:val="24"/>
          <w:szCs w:val="24"/>
        </w:rPr>
        <w:t>依据猪场的实际情况，要制定相应的免疫计划，不能千篇一</w:t>
      </w:r>
      <w:r>
        <w:rPr>
          <w:rFonts w:ascii="宋体" w:hAnsi="宋体" w:eastAsia="宋体" w:cs="宋体"/>
          <w:spacing w:val="-2"/>
          <w:sz w:val="24"/>
          <w:szCs w:val="24"/>
        </w:rPr>
        <w:t>律。</w:t>
      </w:r>
    </w:p>
    <w:p w14:paraId="1DD98E05">
      <w:pPr>
        <w:spacing w:before="184" w:line="360" w:lineRule="auto"/>
        <w:ind w:left="38" w:firstLine="481"/>
        <w:rPr>
          <w:rFonts w:ascii="宋体" w:hAnsi="宋体" w:eastAsia="宋体" w:cs="宋体"/>
          <w:sz w:val="24"/>
          <w:szCs w:val="24"/>
        </w:rPr>
      </w:pPr>
      <w:r>
        <w:rPr>
          <w:rFonts w:ascii="宋体" w:hAnsi="宋体" w:eastAsia="宋体" w:cs="宋体"/>
          <w:spacing w:val="-1"/>
          <w:sz w:val="24"/>
          <w:szCs w:val="24"/>
        </w:rPr>
        <w:t>严格免疫操作规程，冻干苗应在低温冷冻条件下保存，严禁反复</w:t>
      </w:r>
      <w:r>
        <w:rPr>
          <w:rFonts w:ascii="宋体" w:hAnsi="宋体" w:eastAsia="宋体" w:cs="宋体"/>
          <w:spacing w:val="-2"/>
          <w:sz w:val="24"/>
          <w:szCs w:val="24"/>
        </w:rPr>
        <w:t>冷冻使用，</w:t>
      </w:r>
      <w:r>
        <w:rPr>
          <w:rFonts w:ascii="宋体" w:hAnsi="宋体" w:eastAsia="宋体" w:cs="宋体"/>
          <w:spacing w:val="-6"/>
          <w:sz w:val="24"/>
          <w:szCs w:val="24"/>
        </w:rPr>
        <w:t>油剂或水剂严防冻结，应在</w:t>
      </w:r>
      <w:r>
        <w:rPr>
          <w:rFonts w:ascii="Times New Roman" w:hAnsi="Times New Roman" w:eastAsia="Times New Roman" w:cs="Times New Roman"/>
          <w:spacing w:val="-6"/>
          <w:sz w:val="24"/>
          <w:szCs w:val="24"/>
        </w:rPr>
        <w:t>4</w:t>
      </w:r>
      <w:r>
        <w:rPr>
          <w:rFonts w:ascii="宋体" w:hAnsi="宋体" w:eastAsia="宋体" w:cs="宋体"/>
          <w:spacing w:val="-6"/>
          <w:sz w:val="24"/>
          <w:szCs w:val="24"/>
        </w:rPr>
        <w:t>～</w:t>
      </w:r>
      <w:r>
        <w:rPr>
          <w:rFonts w:ascii="Times New Roman" w:hAnsi="Times New Roman" w:eastAsia="Times New Roman" w:cs="Times New Roman"/>
          <w:spacing w:val="-6"/>
          <w:sz w:val="24"/>
          <w:szCs w:val="24"/>
        </w:rPr>
        <w:t>8</w:t>
      </w:r>
      <w:r>
        <w:rPr>
          <w:rFonts w:ascii="宋体" w:hAnsi="宋体" w:eastAsia="宋体" w:cs="宋体"/>
          <w:spacing w:val="-6"/>
          <w:sz w:val="24"/>
          <w:szCs w:val="24"/>
        </w:rPr>
        <w:t>℃条件保存。冻干苗按要求的方法进行稀释， 稀</w:t>
      </w:r>
      <w:r>
        <w:rPr>
          <w:rFonts w:ascii="宋体" w:hAnsi="宋体" w:eastAsia="宋体" w:cs="宋体"/>
          <w:spacing w:val="-5"/>
          <w:sz w:val="24"/>
          <w:szCs w:val="24"/>
        </w:rPr>
        <w:t>释后的疫苗应按规定的方法保存和规定时间内使用。保证疫苗注射剂量，</w:t>
      </w:r>
      <w:r>
        <w:rPr>
          <w:rFonts w:ascii="宋体" w:hAnsi="宋体" w:eastAsia="宋体" w:cs="宋体"/>
          <w:spacing w:val="-48"/>
          <w:sz w:val="24"/>
          <w:szCs w:val="24"/>
        </w:rPr>
        <w:t xml:space="preserve"> </w:t>
      </w:r>
      <w:r>
        <w:rPr>
          <w:rFonts w:ascii="宋体" w:hAnsi="宋体" w:eastAsia="宋体" w:cs="宋体"/>
          <w:spacing w:val="-5"/>
          <w:sz w:val="24"/>
          <w:szCs w:val="24"/>
        </w:rPr>
        <w:t>注射器</w:t>
      </w:r>
      <w:r>
        <w:rPr>
          <w:rFonts w:ascii="宋体" w:hAnsi="宋体" w:eastAsia="宋体" w:cs="宋体"/>
          <w:spacing w:val="-2"/>
          <w:sz w:val="24"/>
          <w:szCs w:val="24"/>
        </w:rPr>
        <w:t>械和注射部位严格消毒，保证一畜一个针头，防止交叉感染。</w:t>
      </w:r>
    </w:p>
    <w:p w14:paraId="58E79445">
      <w:pPr>
        <w:spacing w:line="361" w:lineRule="auto"/>
        <w:ind w:left="37" w:right="67" w:firstLine="482"/>
        <w:jc w:val="both"/>
        <w:rPr>
          <w:rFonts w:ascii="宋体" w:hAnsi="宋体" w:eastAsia="宋体" w:cs="宋体"/>
          <w:sz w:val="24"/>
          <w:szCs w:val="24"/>
        </w:rPr>
      </w:pPr>
      <w:r>
        <w:rPr>
          <w:rFonts w:ascii="宋体" w:hAnsi="宋体" w:eastAsia="宋体" w:cs="宋体"/>
          <w:spacing w:val="-3"/>
          <w:sz w:val="24"/>
          <w:szCs w:val="24"/>
        </w:rPr>
        <w:t>兽医人员应定期对生猪群进行系统检查，观察生猪群健康状况</w:t>
      </w:r>
      <w:r>
        <w:rPr>
          <w:rFonts w:ascii="宋体" w:hAnsi="宋体" w:eastAsia="宋体" w:cs="宋体"/>
          <w:spacing w:val="-4"/>
          <w:sz w:val="24"/>
          <w:szCs w:val="24"/>
        </w:rPr>
        <w:t>，做好检查记</w:t>
      </w:r>
      <w:r>
        <w:rPr>
          <w:rFonts w:ascii="宋体" w:hAnsi="宋体" w:eastAsia="宋体" w:cs="宋体"/>
          <w:spacing w:val="-6"/>
          <w:sz w:val="24"/>
          <w:szCs w:val="24"/>
        </w:rPr>
        <w:t>录。如有疫病发生， 进一步调查原因，作出初步判断，提出相应</w:t>
      </w:r>
      <w:r>
        <w:rPr>
          <w:rFonts w:ascii="宋体" w:hAnsi="宋体" w:eastAsia="宋体" w:cs="宋体"/>
          <w:spacing w:val="-7"/>
          <w:sz w:val="24"/>
          <w:szCs w:val="24"/>
        </w:rPr>
        <w:t>预防措施，防止</w:t>
      </w:r>
      <w:r>
        <w:rPr>
          <w:rFonts w:ascii="宋体" w:hAnsi="宋体" w:eastAsia="宋体" w:cs="宋体"/>
          <w:spacing w:val="-3"/>
          <w:sz w:val="24"/>
          <w:szCs w:val="24"/>
        </w:rPr>
        <w:t>疫病扩散蔓延，并按规定将疫情情况报告当地动物防疫监督机构。严禁迟报、瞒</w:t>
      </w:r>
      <w:r>
        <w:rPr>
          <w:rFonts w:ascii="宋体" w:hAnsi="宋体" w:eastAsia="宋体" w:cs="宋体"/>
          <w:spacing w:val="-6"/>
          <w:sz w:val="24"/>
          <w:szCs w:val="24"/>
        </w:rPr>
        <w:t>报动物疫情。</w:t>
      </w:r>
    </w:p>
    <w:p w14:paraId="296FD457">
      <w:pPr>
        <w:spacing w:before="162"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2.1.6  </w:t>
      </w:r>
      <w:r>
        <w:rPr>
          <w:rFonts w:ascii="宋体" w:hAnsi="宋体" w:eastAsia="宋体" w:cs="宋体"/>
          <w:b/>
          <w:bCs/>
          <w:spacing w:val="-2"/>
          <w:sz w:val="30"/>
          <w:szCs w:val="30"/>
        </w:rPr>
        <w:t>劳动定员及工作制度</w:t>
      </w:r>
    </w:p>
    <w:p w14:paraId="5D917A90">
      <w:pPr>
        <w:spacing w:line="220" w:lineRule="auto"/>
        <w:rPr>
          <w:rFonts w:ascii="宋体" w:hAnsi="宋体" w:eastAsia="宋体" w:cs="宋体"/>
          <w:sz w:val="30"/>
          <w:szCs w:val="30"/>
        </w:rPr>
        <w:sectPr>
          <w:headerReference r:id="rId147" w:type="default"/>
          <w:footerReference r:id="rId148" w:type="default"/>
          <w:pgSz w:w="11905" w:h="16840"/>
          <w:pgMar w:top="1168" w:right="1730" w:bottom="1409" w:left="1770" w:header="828" w:footer="1244" w:gutter="0"/>
          <w:cols w:space="720" w:num="1"/>
        </w:sectPr>
      </w:pPr>
    </w:p>
    <w:p w14:paraId="3BD62BFA">
      <w:pPr>
        <w:pStyle w:val="2"/>
        <w:spacing w:line="305" w:lineRule="auto"/>
      </w:pPr>
    </w:p>
    <w:p w14:paraId="72F09566">
      <w:pPr>
        <w:spacing w:before="78" w:line="220" w:lineRule="auto"/>
        <w:ind w:left="52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）劳动定员</w:t>
      </w:r>
    </w:p>
    <w:p w14:paraId="340DE318">
      <w:pPr>
        <w:spacing w:before="182" w:line="219" w:lineRule="auto"/>
        <w:ind w:left="520"/>
        <w:rPr>
          <w:rFonts w:ascii="宋体" w:hAnsi="宋体" w:eastAsia="宋体" w:cs="宋体"/>
          <w:sz w:val="24"/>
          <w:szCs w:val="24"/>
        </w:rPr>
      </w:pPr>
      <w:r>
        <w:rPr>
          <w:rFonts w:ascii="宋体" w:hAnsi="宋体" w:eastAsia="宋体" w:cs="宋体"/>
          <w:spacing w:val="-3"/>
          <w:sz w:val="24"/>
          <w:szCs w:val="24"/>
        </w:rPr>
        <w:t>本项目场区劳动定员</w:t>
      </w:r>
      <w:r>
        <w:rPr>
          <w:rFonts w:ascii="Times New Roman" w:hAnsi="Times New Roman" w:eastAsia="Times New Roman" w:cs="Times New Roman"/>
          <w:spacing w:val="-3"/>
          <w:sz w:val="24"/>
          <w:szCs w:val="24"/>
        </w:rPr>
        <w:t>60</w:t>
      </w:r>
      <w:r>
        <w:rPr>
          <w:rFonts w:ascii="宋体" w:hAnsi="宋体" w:eastAsia="宋体" w:cs="宋体"/>
          <w:spacing w:val="-3"/>
          <w:sz w:val="24"/>
          <w:szCs w:val="24"/>
        </w:rPr>
        <w:t>人。</w:t>
      </w:r>
    </w:p>
    <w:p w14:paraId="6C0A43F1">
      <w:pPr>
        <w:spacing w:before="183"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）工作制度</w:t>
      </w:r>
    </w:p>
    <w:p w14:paraId="63B16B2F">
      <w:pPr>
        <w:spacing w:before="180" w:line="362" w:lineRule="auto"/>
        <w:ind w:left="39" w:right="83" w:firstLine="483"/>
        <w:rPr>
          <w:rFonts w:ascii="宋体" w:hAnsi="宋体" w:eastAsia="宋体" w:cs="宋体"/>
          <w:sz w:val="24"/>
          <w:szCs w:val="24"/>
        </w:rPr>
      </w:pPr>
      <w:r>
        <w:rPr>
          <w:rFonts w:ascii="宋体" w:hAnsi="宋体" w:eastAsia="宋体" w:cs="宋体"/>
          <w:sz w:val="24"/>
          <w:szCs w:val="24"/>
        </w:rPr>
        <w:t>项目年工作</w:t>
      </w:r>
      <w:r>
        <w:rPr>
          <w:rFonts w:ascii="Times New Roman" w:hAnsi="Times New Roman" w:eastAsia="Times New Roman" w:cs="Times New Roman"/>
          <w:sz w:val="24"/>
          <w:szCs w:val="24"/>
        </w:rPr>
        <w:t>365</w:t>
      </w:r>
      <w:r>
        <w:rPr>
          <w:rFonts w:ascii="宋体" w:hAnsi="宋体" w:eastAsia="宋体" w:cs="宋体"/>
          <w:sz w:val="24"/>
          <w:szCs w:val="24"/>
        </w:rPr>
        <w:t>天，工人均为</w:t>
      </w:r>
      <w:r>
        <w:rPr>
          <w:rFonts w:ascii="Times New Roman" w:hAnsi="Times New Roman" w:eastAsia="Times New Roman" w:cs="Times New Roman"/>
          <w:sz w:val="24"/>
          <w:szCs w:val="24"/>
        </w:rPr>
        <w:t>3</w:t>
      </w:r>
      <w:r>
        <w:rPr>
          <w:rFonts w:ascii="宋体" w:hAnsi="宋体" w:eastAsia="宋体" w:cs="宋体"/>
          <w:sz w:val="24"/>
          <w:szCs w:val="24"/>
        </w:rPr>
        <w:t>班制，每班</w:t>
      </w:r>
      <w:r>
        <w:rPr>
          <w:rFonts w:ascii="Times New Roman" w:hAnsi="Times New Roman" w:eastAsia="Times New Roman" w:cs="Times New Roman"/>
          <w:sz w:val="24"/>
          <w:szCs w:val="24"/>
        </w:rPr>
        <w:t>8</w:t>
      </w:r>
      <w:r>
        <w:rPr>
          <w:rFonts w:ascii="宋体" w:hAnsi="宋体" w:eastAsia="宋体" w:cs="宋体"/>
          <w:sz w:val="24"/>
          <w:szCs w:val="24"/>
        </w:rPr>
        <w:t>小时；管理人员为日班工作制，每班</w:t>
      </w:r>
      <w:r>
        <w:rPr>
          <w:rFonts w:ascii="Times New Roman" w:hAnsi="Times New Roman" w:eastAsia="Times New Roman" w:cs="Times New Roman"/>
          <w:sz w:val="24"/>
          <w:szCs w:val="24"/>
        </w:rPr>
        <w:t>8</w:t>
      </w:r>
      <w:r>
        <w:rPr>
          <w:rFonts w:ascii="宋体" w:hAnsi="宋体" w:eastAsia="宋体" w:cs="宋体"/>
          <w:sz w:val="24"/>
          <w:szCs w:val="24"/>
        </w:rPr>
        <w:t>小时。所有员工均在养殖场内住宿，场内不设食堂，员工就餐由场外餐饮</w:t>
      </w:r>
      <w:r>
        <w:rPr>
          <w:rFonts w:ascii="宋体" w:hAnsi="宋体" w:eastAsia="宋体" w:cs="宋体"/>
          <w:spacing w:val="-8"/>
          <w:sz w:val="24"/>
          <w:szCs w:val="24"/>
        </w:rPr>
        <w:t>单位配送。</w:t>
      </w:r>
    </w:p>
    <w:p w14:paraId="12730D13">
      <w:pPr>
        <w:spacing w:before="161" w:line="219" w:lineRule="auto"/>
        <w:ind w:left="37"/>
        <w:rPr>
          <w:rFonts w:ascii="宋体" w:hAnsi="宋体" w:eastAsia="宋体" w:cs="宋体"/>
          <w:sz w:val="30"/>
          <w:szCs w:val="30"/>
        </w:rPr>
      </w:pPr>
      <w:r>
        <w:rPr>
          <w:rFonts w:ascii="Times New Roman" w:hAnsi="Times New Roman" w:eastAsia="Times New Roman" w:cs="Times New Roman"/>
          <w:b/>
          <w:bCs/>
          <w:spacing w:val="-4"/>
          <w:sz w:val="30"/>
          <w:szCs w:val="30"/>
        </w:rPr>
        <w:t>2.1.7</w:t>
      </w:r>
      <w:r>
        <w:rPr>
          <w:rFonts w:ascii="Times New Roman" w:hAnsi="Times New Roman" w:eastAsia="Times New Roman" w:cs="Times New Roman"/>
          <w:b/>
          <w:bCs/>
          <w:spacing w:val="12"/>
          <w:sz w:val="30"/>
          <w:szCs w:val="30"/>
        </w:rPr>
        <w:t xml:space="preserve">  </w:t>
      </w:r>
      <w:r>
        <w:rPr>
          <w:rFonts w:ascii="宋体" w:hAnsi="宋体" w:eastAsia="宋体" w:cs="宋体"/>
          <w:b/>
          <w:bCs/>
          <w:spacing w:val="-4"/>
          <w:sz w:val="30"/>
          <w:szCs w:val="30"/>
        </w:rPr>
        <w:t>总平面布置</w:t>
      </w:r>
    </w:p>
    <w:p w14:paraId="6E5B06B4">
      <w:pPr>
        <w:pStyle w:val="2"/>
        <w:spacing w:line="260" w:lineRule="auto"/>
      </w:pPr>
    </w:p>
    <w:p w14:paraId="3A13223D">
      <w:pPr>
        <w:spacing w:before="79"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）总平面设计原则及依据</w:t>
      </w:r>
    </w:p>
    <w:p w14:paraId="6D985E34">
      <w:pPr>
        <w:spacing w:before="183" w:line="360" w:lineRule="auto"/>
        <w:ind w:left="39" w:right="83" w:firstLine="479"/>
        <w:rPr>
          <w:rFonts w:ascii="宋体" w:hAnsi="宋体" w:eastAsia="宋体" w:cs="宋体"/>
          <w:sz w:val="24"/>
          <w:szCs w:val="24"/>
        </w:rPr>
      </w:pPr>
      <w:r>
        <w:rPr>
          <w:rFonts w:ascii="宋体" w:hAnsi="宋体" w:eastAsia="宋体" w:cs="宋体"/>
          <w:spacing w:val="-3"/>
          <w:sz w:val="24"/>
          <w:szCs w:val="24"/>
        </w:rPr>
        <w:t>①总体布局应在满足生产工艺要求的前提下，做到节约用地。总</w:t>
      </w:r>
      <w:r>
        <w:rPr>
          <w:rFonts w:ascii="宋体" w:hAnsi="宋体" w:eastAsia="宋体" w:cs="宋体"/>
          <w:spacing w:val="-4"/>
          <w:sz w:val="24"/>
          <w:szCs w:val="24"/>
        </w:rPr>
        <w:t>体布局应从</w:t>
      </w:r>
      <w:r>
        <w:rPr>
          <w:rFonts w:ascii="宋体" w:hAnsi="宋体" w:eastAsia="宋体" w:cs="宋体"/>
          <w:spacing w:val="-2"/>
          <w:sz w:val="24"/>
          <w:szCs w:val="24"/>
        </w:rPr>
        <w:t>清洁生产着手，并全面考虑粪便和污水的处理及利用。</w:t>
      </w:r>
    </w:p>
    <w:p w14:paraId="047CB5A7">
      <w:pPr>
        <w:spacing w:before="4" w:line="359" w:lineRule="auto"/>
        <w:ind w:left="39" w:firstLine="478"/>
        <w:rPr>
          <w:rFonts w:ascii="宋体" w:hAnsi="宋体" w:eastAsia="宋体" w:cs="宋体"/>
          <w:sz w:val="24"/>
          <w:szCs w:val="24"/>
        </w:rPr>
      </w:pPr>
      <w:r>
        <w:rPr>
          <w:rFonts w:ascii="宋体" w:hAnsi="宋体" w:eastAsia="宋体" w:cs="宋体"/>
          <w:spacing w:val="-3"/>
          <w:sz w:val="24"/>
          <w:szCs w:val="24"/>
        </w:rPr>
        <w:t>②根据饲养工艺要求，按功能不同采用分区布置。养殖场内划分为</w:t>
      </w:r>
      <w:r>
        <w:rPr>
          <w:rFonts w:ascii="宋体" w:hAnsi="宋体" w:eastAsia="宋体" w:cs="宋体"/>
          <w:spacing w:val="-4"/>
          <w:sz w:val="24"/>
          <w:szCs w:val="24"/>
        </w:rPr>
        <w:t>办公生活</w:t>
      </w:r>
      <w:r>
        <w:rPr>
          <w:rFonts w:ascii="宋体" w:hAnsi="宋体" w:eastAsia="宋体" w:cs="宋体"/>
          <w:spacing w:val="-6"/>
          <w:sz w:val="24"/>
          <w:szCs w:val="24"/>
        </w:rPr>
        <w:t>区、生产区、粪污处理区。在进行总体布局时， 从人畜保</w:t>
      </w:r>
      <w:r>
        <w:rPr>
          <w:rFonts w:ascii="宋体" w:hAnsi="宋体" w:eastAsia="宋体" w:cs="宋体"/>
          <w:spacing w:val="-7"/>
          <w:sz w:val="24"/>
          <w:szCs w:val="24"/>
        </w:rPr>
        <w:t>护的角度出发，根据生</w:t>
      </w:r>
      <w:r>
        <w:rPr>
          <w:rFonts w:ascii="宋体" w:hAnsi="宋体" w:eastAsia="宋体" w:cs="宋体"/>
          <w:spacing w:val="-1"/>
          <w:sz w:val="24"/>
          <w:szCs w:val="24"/>
        </w:rPr>
        <w:t>产工艺流程进行分区，建立最佳生产联系和卫生防疫条件，合理安排各区位置。</w:t>
      </w:r>
    </w:p>
    <w:p w14:paraId="397BA449">
      <w:pPr>
        <w:spacing w:before="3" w:line="359" w:lineRule="auto"/>
        <w:ind w:left="78" w:right="83" w:firstLine="438"/>
        <w:rPr>
          <w:rFonts w:ascii="宋体" w:hAnsi="宋体" w:eastAsia="宋体" w:cs="宋体"/>
          <w:sz w:val="24"/>
          <w:szCs w:val="24"/>
        </w:rPr>
      </w:pPr>
      <w:r>
        <w:rPr>
          <w:rFonts w:ascii="宋体" w:hAnsi="宋体" w:eastAsia="宋体" w:cs="宋体"/>
          <w:spacing w:val="-3"/>
          <w:sz w:val="24"/>
          <w:szCs w:val="24"/>
        </w:rPr>
        <w:t>③平面布置力求紧凑合理，饲料贮运路线短捷，管理及饲喂方便，</w:t>
      </w:r>
      <w:r>
        <w:rPr>
          <w:rFonts w:ascii="宋体" w:hAnsi="宋体" w:eastAsia="宋体" w:cs="宋体"/>
          <w:spacing w:val="-4"/>
          <w:sz w:val="24"/>
          <w:szCs w:val="24"/>
        </w:rPr>
        <w:t>尽量缩小</w:t>
      </w:r>
      <w:r>
        <w:rPr>
          <w:rFonts w:ascii="宋体" w:hAnsi="宋体" w:eastAsia="宋体" w:cs="宋体"/>
          <w:spacing w:val="-6"/>
          <w:sz w:val="24"/>
          <w:szCs w:val="24"/>
        </w:rPr>
        <w:t>占地面积，减少土石方工程。</w:t>
      </w:r>
    </w:p>
    <w:p w14:paraId="34A88FEF">
      <w:pPr>
        <w:spacing w:before="1" w:line="218"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）场区总平面布置情况</w:t>
      </w:r>
    </w:p>
    <w:p w14:paraId="66E29E4A">
      <w:pPr>
        <w:spacing w:before="183" w:line="360" w:lineRule="auto"/>
        <w:ind w:left="39" w:right="83" w:firstLine="480"/>
        <w:rPr>
          <w:rFonts w:ascii="宋体" w:hAnsi="宋体" w:eastAsia="宋体" w:cs="宋体"/>
          <w:sz w:val="24"/>
          <w:szCs w:val="24"/>
        </w:rPr>
      </w:pPr>
      <w:r>
        <w:rPr>
          <w:rFonts w:ascii="宋体" w:hAnsi="宋体" w:eastAsia="宋体" w:cs="宋体"/>
          <w:spacing w:val="-3"/>
          <w:sz w:val="24"/>
          <w:szCs w:val="24"/>
        </w:rPr>
        <w:t>本项目用地为不规则形地块，场区原始地貌属丘陵地貌，整个</w:t>
      </w:r>
      <w:r>
        <w:rPr>
          <w:rFonts w:ascii="宋体" w:hAnsi="宋体" w:eastAsia="宋体" w:cs="宋体"/>
          <w:spacing w:val="-4"/>
          <w:sz w:val="24"/>
          <w:szCs w:val="24"/>
        </w:rPr>
        <w:t>场区地势相对</w:t>
      </w:r>
      <w:r>
        <w:rPr>
          <w:rFonts w:ascii="宋体" w:hAnsi="宋体" w:eastAsia="宋体" w:cs="宋体"/>
          <w:spacing w:val="-2"/>
          <w:sz w:val="24"/>
          <w:szCs w:val="24"/>
        </w:rPr>
        <w:t>较高，根据选址处自然条件及工艺流程，进行场区总平面布置设计。</w:t>
      </w:r>
    </w:p>
    <w:p w14:paraId="0837B82C">
      <w:pPr>
        <w:spacing w:before="1" w:line="217" w:lineRule="auto"/>
        <w:ind w:left="518"/>
        <w:rPr>
          <w:rFonts w:ascii="宋体" w:hAnsi="宋体" w:eastAsia="宋体" w:cs="宋体"/>
          <w:sz w:val="24"/>
          <w:szCs w:val="24"/>
        </w:rPr>
      </w:pPr>
      <w:r>
        <w:rPr>
          <w:rFonts w:ascii="宋体" w:hAnsi="宋体" w:eastAsia="宋体" w:cs="宋体"/>
          <w:spacing w:val="-2"/>
          <w:sz w:val="24"/>
          <w:szCs w:val="24"/>
        </w:rPr>
        <w:t>①饲养分区</w:t>
      </w:r>
    </w:p>
    <w:p w14:paraId="622F5012">
      <w:pPr>
        <w:spacing w:before="185" w:line="360" w:lineRule="auto"/>
        <w:ind w:left="63" w:right="83" w:firstLine="455"/>
        <w:rPr>
          <w:rFonts w:ascii="宋体" w:hAnsi="宋体" w:eastAsia="宋体" w:cs="宋体"/>
          <w:sz w:val="24"/>
          <w:szCs w:val="24"/>
        </w:rPr>
      </w:pPr>
      <w:r>
        <w:rPr>
          <w:rFonts w:ascii="宋体" w:hAnsi="宋体" w:eastAsia="宋体" w:cs="宋体"/>
          <w:spacing w:val="-3"/>
          <w:sz w:val="24"/>
          <w:szCs w:val="24"/>
        </w:rPr>
        <w:t>猪场按照饲养分区的要求，办公生活区位于养殖场西北部，处于</w:t>
      </w:r>
      <w:r>
        <w:rPr>
          <w:rFonts w:ascii="宋体" w:hAnsi="宋体" w:eastAsia="宋体" w:cs="宋体"/>
          <w:spacing w:val="-4"/>
          <w:sz w:val="24"/>
          <w:szCs w:val="24"/>
        </w:rPr>
        <w:t>当地主导风</w:t>
      </w:r>
      <w:r>
        <w:rPr>
          <w:rFonts w:ascii="宋体" w:hAnsi="宋体" w:eastAsia="宋体" w:cs="宋体"/>
          <w:spacing w:val="-3"/>
          <w:sz w:val="24"/>
          <w:szCs w:val="24"/>
        </w:rPr>
        <w:t>向上风向，办公生活区紧邻生产区，方便场区管理。</w:t>
      </w:r>
    </w:p>
    <w:p w14:paraId="0F9C2B1D">
      <w:pPr>
        <w:spacing w:line="360" w:lineRule="auto"/>
        <w:ind w:left="40" w:right="83" w:firstLine="480"/>
        <w:rPr>
          <w:rFonts w:ascii="宋体" w:hAnsi="宋体" w:eastAsia="宋体" w:cs="宋体"/>
          <w:sz w:val="24"/>
          <w:szCs w:val="24"/>
        </w:rPr>
      </w:pPr>
      <w:r>
        <w:rPr>
          <w:rFonts w:ascii="宋体" w:hAnsi="宋体" w:eastAsia="宋体" w:cs="宋体"/>
          <w:spacing w:val="-10"/>
          <w:sz w:val="24"/>
          <w:szCs w:val="24"/>
        </w:rPr>
        <w:t>生产区位于场区的中部，主要包括</w:t>
      </w:r>
      <w:r>
        <w:rPr>
          <w:rFonts w:ascii="Times New Roman" w:hAnsi="Times New Roman" w:eastAsia="Times New Roman" w:cs="Times New Roman"/>
          <w:spacing w:val="-10"/>
          <w:sz w:val="24"/>
          <w:szCs w:val="24"/>
        </w:rPr>
        <w:t>1</w:t>
      </w:r>
      <w:r>
        <w:rPr>
          <w:rFonts w:ascii="宋体" w:hAnsi="宋体" w:eastAsia="宋体" w:cs="宋体"/>
          <w:spacing w:val="-10"/>
          <w:sz w:val="24"/>
          <w:szCs w:val="24"/>
        </w:rPr>
        <w:t>栋保育楼、</w:t>
      </w:r>
      <w:r>
        <w:rPr>
          <w:rFonts w:ascii="Times New Roman" w:hAnsi="Times New Roman" w:eastAsia="Times New Roman" w:cs="Times New Roman"/>
          <w:spacing w:val="-10"/>
          <w:sz w:val="24"/>
          <w:szCs w:val="24"/>
        </w:rPr>
        <w:t>1</w:t>
      </w:r>
      <w:r>
        <w:rPr>
          <w:rFonts w:ascii="宋体" w:hAnsi="宋体" w:eastAsia="宋体" w:cs="宋体"/>
          <w:spacing w:val="-10"/>
          <w:sz w:val="24"/>
          <w:szCs w:val="24"/>
        </w:rPr>
        <w:t>栋育肥楼，均呈东西向布置。</w:t>
      </w:r>
      <w:r>
        <w:rPr>
          <w:rFonts w:ascii="宋体" w:hAnsi="宋体" w:eastAsia="宋体" w:cs="宋体"/>
          <w:spacing w:val="-3"/>
          <w:sz w:val="24"/>
          <w:szCs w:val="24"/>
        </w:rPr>
        <w:t>育肥猪转猪舍位于养猪场的东南部，与生产区分开布置，通过场内道路与生产区</w:t>
      </w:r>
      <w:r>
        <w:rPr>
          <w:rFonts w:ascii="宋体" w:hAnsi="宋体" w:eastAsia="宋体" w:cs="宋体"/>
          <w:spacing w:val="-5"/>
          <w:sz w:val="24"/>
          <w:szCs w:val="24"/>
        </w:rPr>
        <w:t>连接，满足防疫需求。</w:t>
      </w:r>
    </w:p>
    <w:p w14:paraId="7548A449">
      <w:pPr>
        <w:spacing w:line="360" w:lineRule="auto"/>
        <w:ind w:left="37" w:right="83" w:firstLine="483"/>
        <w:rPr>
          <w:rFonts w:ascii="宋体" w:hAnsi="宋体" w:eastAsia="宋体" w:cs="宋体"/>
          <w:sz w:val="24"/>
          <w:szCs w:val="24"/>
        </w:rPr>
      </w:pPr>
      <w:r>
        <w:rPr>
          <w:rFonts w:ascii="宋体" w:hAnsi="宋体" w:eastAsia="宋体" w:cs="宋体"/>
          <w:spacing w:val="-3"/>
          <w:sz w:val="24"/>
          <w:szCs w:val="24"/>
        </w:rPr>
        <w:t>粪污处理区位于养殖场的南部，处于当地主导风向的侧风向</w:t>
      </w:r>
      <w:r>
        <w:rPr>
          <w:rFonts w:ascii="宋体" w:hAnsi="宋体" w:eastAsia="宋体" w:cs="宋体"/>
          <w:spacing w:val="-4"/>
          <w:sz w:val="24"/>
          <w:szCs w:val="24"/>
        </w:rPr>
        <w:t>，粪污处理区设</w:t>
      </w:r>
      <w:r>
        <w:rPr>
          <w:rFonts w:ascii="宋体" w:hAnsi="宋体" w:eastAsia="宋体" w:cs="宋体"/>
          <w:spacing w:val="-2"/>
          <w:sz w:val="24"/>
          <w:szCs w:val="24"/>
        </w:rPr>
        <w:t>置有专用出入口，且与外部乡村道路相连，交通方便。</w:t>
      </w:r>
    </w:p>
    <w:p w14:paraId="2033A461">
      <w:pPr>
        <w:spacing w:before="1" w:line="218" w:lineRule="auto"/>
        <w:ind w:left="524"/>
        <w:rPr>
          <w:rFonts w:ascii="宋体" w:hAnsi="宋体" w:eastAsia="宋体" w:cs="宋体"/>
          <w:sz w:val="24"/>
          <w:szCs w:val="24"/>
        </w:rPr>
      </w:pPr>
      <w:r>
        <w:rPr>
          <w:rFonts w:ascii="宋体" w:hAnsi="宋体" w:eastAsia="宋体" w:cs="宋体"/>
          <w:spacing w:val="-2"/>
          <w:sz w:val="24"/>
          <w:szCs w:val="24"/>
        </w:rPr>
        <w:t>外勤区位于养殖区的西北侧，用于进场人员及车辆的洗消、隔离。</w:t>
      </w:r>
    </w:p>
    <w:p w14:paraId="6FBF8BC4">
      <w:pPr>
        <w:spacing w:before="184" w:line="217" w:lineRule="auto"/>
        <w:ind w:left="517"/>
        <w:rPr>
          <w:rFonts w:ascii="宋体" w:hAnsi="宋体" w:eastAsia="宋体" w:cs="宋体"/>
          <w:sz w:val="24"/>
          <w:szCs w:val="24"/>
        </w:rPr>
      </w:pPr>
      <w:r>
        <w:rPr>
          <w:rFonts w:ascii="宋体" w:hAnsi="宋体" w:eastAsia="宋体" w:cs="宋体"/>
          <w:spacing w:val="-2"/>
          <w:sz w:val="24"/>
          <w:szCs w:val="24"/>
        </w:rPr>
        <w:t>②场区道路</w:t>
      </w:r>
    </w:p>
    <w:p w14:paraId="6038331A">
      <w:pPr>
        <w:spacing w:before="185" w:line="219" w:lineRule="auto"/>
        <w:ind w:left="520"/>
        <w:rPr>
          <w:rFonts w:ascii="宋体" w:hAnsi="宋体" w:eastAsia="宋体" w:cs="宋体"/>
          <w:sz w:val="24"/>
          <w:szCs w:val="24"/>
        </w:rPr>
      </w:pPr>
      <w:r>
        <w:rPr>
          <w:rFonts w:ascii="宋体" w:hAnsi="宋体" w:eastAsia="宋体" w:cs="宋体"/>
          <w:spacing w:val="-3"/>
          <w:sz w:val="24"/>
          <w:szCs w:val="24"/>
        </w:rPr>
        <w:t>本项目养殖场场区道路主要功能是运入和运出生产原料和产品，以及生产过</w:t>
      </w:r>
    </w:p>
    <w:p w14:paraId="54F74FC3">
      <w:pPr>
        <w:spacing w:line="219" w:lineRule="auto"/>
        <w:rPr>
          <w:rFonts w:ascii="宋体" w:hAnsi="宋体" w:eastAsia="宋体" w:cs="宋体"/>
          <w:sz w:val="24"/>
          <w:szCs w:val="24"/>
        </w:rPr>
        <w:sectPr>
          <w:headerReference r:id="rId149" w:type="default"/>
          <w:footerReference r:id="rId150" w:type="default"/>
          <w:pgSz w:w="11905" w:h="16840"/>
          <w:pgMar w:top="1168" w:right="1714" w:bottom="1409" w:left="1770" w:header="828" w:footer="1244" w:gutter="0"/>
          <w:cols w:space="720" w:num="1"/>
        </w:sectPr>
      </w:pPr>
    </w:p>
    <w:p w14:paraId="600EF976">
      <w:pPr>
        <w:pStyle w:val="2"/>
        <w:spacing w:line="306" w:lineRule="auto"/>
      </w:pPr>
    </w:p>
    <w:p w14:paraId="125B0F0E">
      <w:pPr>
        <w:spacing w:before="78" w:line="360" w:lineRule="auto"/>
        <w:ind w:left="38" w:right="85"/>
        <w:jc w:val="both"/>
        <w:rPr>
          <w:rFonts w:ascii="宋体" w:hAnsi="宋体" w:eastAsia="宋体" w:cs="宋体"/>
          <w:sz w:val="24"/>
          <w:szCs w:val="24"/>
        </w:rPr>
      </w:pPr>
      <w:r>
        <w:rPr>
          <w:rFonts w:ascii="宋体" w:hAnsi="宋体" w:eastAsia="宋体" w:cs="宋体"/>
          <w:spacing w:val="-5"/>
          <w:sz w:val="24"/>
          <w:szCs w:val="24"/>
        </w:rPr>
        <w:t>程中产生的废弃物等。根据生产工艺需要和卫生防疫要求，</w:t>
      </w:r>
      <w:r>
        <w:rPr>
          <w:rFonts w:ascii="宋体" w:hAnsi="宋体" w:eastAsia="宋体" w:cs="宋体"/>
          <w:spacing w:val="-49"/>
          <w:sz w:val="24"/>
          <w:szCs w:val="24"/>
        </w:rPr>
        <w:t xml:space="preserve"> </w:t>
      </w:r>
      <w:r>
        <w:rPr>
          <w:rFonts w:ascii="宋体" w:hAnsi="宋体" w:eastAsia="宋体" w:cs="宋体"/>
          <w:spacing w:val="-5"/>
          <w:sz w:val="24"/>
          <w:szCs w:val="24"/>
        </w:rPr>
        <w:t>养殖场内道路可分为</w:t>
      </w:r>
      <w:r>
        <w:rPr>
          <w:rFonts w:ascii="宋体" w:hAnsi="宋体" w:eastAsia="宋体" w:cs="宋体"/>
          <w:spacing w:val="-6"/>
          <w:sz w:val="24"/>
          <w:szCs w:val="24"/>
        </w:rPr>
        <w:t>清洁道路和污染道路两种，两种道路没有交叉。清洁道路为猪舍</w:t>
      </w:r>
      <w:r>
        <w:rPr>
          <w:rFonts w:ascii="宋体" w:hAnsi="宋体" w:eastAsia="宋体" w:cs="宋体"/>
          <w:spacing w:val="-7"/>
          <w:sz w:val="24"/>
          <w:szCs w:val="24"/>
        </w:rPr>
        <w:t>内连廊， 主要与</w:t>
      </w:r>
      <w:r>
        <w:rPr>
          <w:rFonts w:ascii="宋体" w:hAnsi="宋体" w:eastAsia="宋体" w:cs="宋体"/>
          <w:spacing w:val="-6"/>
          <w:sz w:val="24"/>
          <w:szCs w:val="24"/>
        </w:rPr>
        <w:t>生产区、办公生活区道路相连； 污染道路包括赶猪通道、生产</w:t>
      </w:r>
      <w:r>
        <w:rPr>
          <w:rFonts w:ascii="宋体" w:hAnsi="宋体" w:eastAsia="宋体" w:cs="宋体"/>
          <w:spacing w:val="-7"/>
          <w:sz w:val="24"/>
          <w:szCs w:val="24"/>
        </w:rPr>
        <w:t>区与粪污处理区直</w:t>
      </w:r>
      <w:r>
        <w:rPr>
          <w:rFonts w:ascii="宋体" w:hAnsi="宋体" w:eastAsia="宋体" w:cs="宋体"/>
          <w:spacing w:val="-1"/>
          <w:sz w:val="24"/>
          <w:szCs w:val="24"/>
        </w:rPr>
        <w:t>接相连的道路，以及粪污处理区内道路等。场地内所</w:t>
      </w:r>
      <w:r>
        <w:rPr>
          <w:rFonts w:ascii="宋体" w:hAnsi="宋体" w:eastAsia="宋体" w:cs="宋体"/>
          <w:spacing w:val="-2"/>
          <w:sz w:val="24"/>
          <w:szCs w:val="24"/>
        </w:rPr>
        <w:t>有道路均为水泥路面。</w:t>
      </w:r>
    </w:p>
    <w:p w14:paraId="16E89104">
      <w:pPr>
        <w:spacing w:line="360" w:lineRule="auto"/>
        <w:ind w:left="41" w:right="109" w:firstLine="479"/>
        <w:rPr>
          <w:rFonts w:ascii="宋体" w:hAnsi="宋体" w:eastAsia="宋体" w:cs="宋体"/>
          <w:sz w:val="24"/>
          <w:szCs w:val="24"/>
        </w:rPr>
      </w:pPr>
      <w:r>
        <w:rPr>
          <w:rFonts w:ascii="宋体" w:hAnsi="宋体" w:eastAsia="宋体" w:cs="宋体"/>
          <w:spacing w:val="-11"/>
          <w:sz w:val="24"/>
          <w:szCs w:val="24"/>
        </w:rPr>
        <w:t>本项目粪污处理区位于养殖场的南部，处于常年主导风向的侧风向，符合《畜</w:t>
      </w:r>
      <w:r>
        <w:rPr>
          <w:rFonts w:ascii="宋体" w:hAnsi="宋体" w:eastAsia="宋体" w:cs="宋体"/>
          <w:spacing w:val="-5"/>
          <w:sz w:val="24"/>
          <w:szCs w:val="24"/>
        </w:rPr>
        <w:t>禽养殖业污染防治技术规范》（</w:t>
      </w:r>
      <w:r>
        <w:rPr>
          <w:rFonts w:ascii="Times New Roman" w:hAnsi="Times New Roman" w:eastAsia="Times New Roman" w:cs="Times New Roman"/>
          <w:spacing w:val="-5"/>
          <w:sz w:val="24"/>
          <w:szCs w:val="24"/>
        </w:rPr>
        <w:t>HJ/T81-2001</w:t>
      </w:r>
      <w:r>
        <w:rPr>
          <w:rFonts w:ascii="宋体" w:hAnsi="宋体" w:eastAsia="宋体" w:cs="宋体"/>
          <w:spacing w:val="-6"/>
          <w:sz w:val="24"/>
          <w:szCs w:val="24"/>
        </w:rPr>
        <w:t>）规定要求。</w:t>
      </w:r>
    </w:p>
    <w:p w14:paraId="13944A4F">
      <w:pPr>
        <w:spacing w:line="361" w:lineRule="auto"/>
        <w:ind w:left="38" w:firstLine="483"/>
        <w:jc w:val="both"/>
        <w:rPr>
          <w:rFonts w:ascii="宋体" w:hAnsi="宋体" w:eastAsia="宋体" w:cs="宋体"/>
          <w:sz w:val="24"/>
          <w:szCs w:val="24"/>
        </w:rPr>
      </w:pPr>
      <w:r>
        <w:rPr>
          <w:rFonts w:ascii="宋体" w:hAnsi="宋体" w:eastAsia="宋体" w:cs="宋体"/>
          <w:spacing w:val="-3"/>
          <w:sz w:val="24"/>
          <w:szCs w:val="24"/>
        </w:rPr>
        <w:t>综上，评价认为本项目根据现代养猪生产工艺流程技术</w:t>
      </w:r>
      <w:r>
        <w:rPr>
          <w:rFonts w:ascii="宋体" w:hAnsi="宋体" w:eastAsia="宋体" w:cs="宋体"/>
          <w:spacing w:val="-4"/>
          <w:sz w:val="24"/>
          <w:szCs w:val="24"/>
        </w:rPr>
        <w:t>要求，进行了合理规</w:t>
      </w:r>
      <w:r>
        <w:rPr>
          <w:rFonts w:ascii="宋体" w:hAnsi="宋体" w:eastAsia="宋体" w:cs="宋体"/>
          <w:spacing w:val="-3"/>
          <w:sz w:val="24"/>
          <w:szCs w:val="24"/>
        </w:rPr>
        <w:t>划布局，总平面布置功能分区清晰，工艺流程顺畅，物流短捷，人流、物流互不</w:t>
      </w:r>
      <w:r>
        <w:rPr>
          <w:rFonts w:ascii="宋体" w:hAnsi="宋体" w:eastAsia="宋体" w:cs="宋体"/>
          <w:spacing w:val="-7"/>
          <w:sz w:val="24"/>
          <w:szCs w:val="24"/>
        </w:rPr>
        <w:t>交叉干扰，协调了生产和环境保护的关系，从环境保护角度分析其平</w:t>
      </w:r>
      <w:r>
        <w:rPr>
          <w:rFonts w:ascii="宋体" w:hAnsi="宋体" w:eastAsia="宋体" w:cs="宋体"/>
          <w:spacing w:val="-8"/>
          <w:sz w:val="24"/>
          <w:szCs w:val="24"/>
        </w:rPr>
        <w:t>面布局合理。</w:t>
      </w:r>
    </w:p>
    <w:p w14:paraId="0B6FE41C">
      <w:pPr>
        <w:spacing w:before="152" w:line="220" w:lineRule="auto"/>
        <w:ind w:left="37"/>
        <w:outlineLvl w:val="1"/>
        <w:rPr>
          <w:rFonts w:ascii="宋体" w:hAnsi="宋体" w:eastAsia="宋体" w:cs="宋体"/>
          <w:sz w:val="32"/>
          <w:szCs w:val="32"/>
        </w:rPr>
      </w:pPr>
      <w:bookmarkStart w:id="27" w:name="bookmark17"/>
      <w:bookmarkEnd w:id="27"/>
      <w:r>
        <w:rPr>
          <w:rFonts w:ascii="Times New Roman" w:hAnsi="Times New Roman" w:eastAsia="Times New Roman" w:cs="Times New Roman"/>
          <w:b/>
          <w:bCs/>
          <w:spacing w:val="-5"/>
          <w:sz w:val="32"/>
          <w:szCs w:val="32"/>
        </w:rPr>
        <w:t>2.2</w:t>
      </w:r>
      <w:r>
        <w:rPr>
          <w:rFonts w:ascii="Times New Roman" w:hAnsi="Times New Roman" w:eastAsia="Times New Roman" w:cs="Times New Roman"/>
          <w:b/>
          <w:bCs/>
          <w:spacing w:val="10"/>
          <w:sz w:val="32"/>
          <w:szCs w:val="32"/>
        </w:rPr>
        <w:t xml:space="preserve">  </w:t>
      </w:r>
      <w:r>
        <w:rPr>
          <w:rFonts w:ascii="宋体" w:hAnsi="宋体" w:eastAsia="宋体" w:cs="宋体"/>
          <w:b/>
          <w:bCs/>
          <w:spacing w:val="-5"/>
          <w:sz w:val="32"/>
          <w:szCs w:val="32"/>
        </w:rPr>
        <w:t>工程分析</w:t>
      </w:r>
    </w:p>
    <w:p w14:paraId="756EEFFB">
      <w:pPr>
        <w:pStyle w:val="2"/>
        <w:spacing w:line="274" w:lineRule="auto"/>
      </w:pPr>
    </w:p>
    <w:p w14:paraId="3E2AAE4C">
      <w:pPr>
        <w:spacing w:before="98"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2.2.1  </w:t>
      </w:r>
      <w:r>
        <w:rPr>
          <w:rFonts w:ascii="宋体" w:hAnsi="宋体" w:eastAsia="宋体" w:cs="宋体"/>
          <w:b/>
          <w:bCs/>
          <w:spacing w:val="-2"/>
          <w:sz w:val="30"/>
          <w:szCs w:val="30"/>
        </w:rPr>
        <w:t>施工期工程分析</w:t>
      </w:r>
    </w:p>
    <w:p w14:paraId="4D4A715B">
      <w:pPr>
        <w:pStyle w:val="2"/>
        <w:spacing w:line="305" w:lineRule="auto"/>
      </w:pPr>
    </w:p>
    <w:p w14:paraId="12D0B14C">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2.2.1.1 </w:t>
      </w:r>
      <w:r>
        <w:rPr>
          <w:rFonts w:ascii="宋体" w:hAnsi="宋体" w:eastAsia="宋体" w:cs="宋体"/>
          <w:b/>
          <w:bCs/>
          <w:spacing w:val="5"/>
          <w:sz w:val="27"/>
          <w:szCs w:val="27"/>
        </w:rPr>
        <w:t>工艺流程及产污节点</w:t>
      </w:r>
    </w:p>
    <w:p w14:paraId="381711AA">
      <w:pPr>
        <w:spacing w:before="235" w:line="335" w:lineRule="auto"/>
        <w:ind w:left="38" w:right="85" w:firstLine="481"/>
        <w:rPr>
          <w:rFonts w:ascii="宋体" w:hAnsi="宋体" w:eastAsia="宋体" w:cs="宋体"/>
          <w:sz w:val="24"/>
          <w:szCs w:val="24"/>
        </w:rPr>
      </w:pPr>
      <w:r>
        <w:rPr>
          <w:rFonts w:ascii="宋体" w:hAnsi="宋体" w:eastAsia="宋体" w:cs="宋体"/>
          <w:spacing w:val="-11"/>
          <w:sz w:val="24"/>
          <w:szCs w:val="24"/>
        </w:rPr>
        <w:t>本项目施工期包括场地清理及平整、主体工程、装饰工程、设</w:t>
      </w:r>
      <w:r>
        <w:rPr>
          <w:rFonts w:ascii="宋体" w:hAnsi="宋体" w:eastAsia="宋体" w:cs="宋体"/>
          <w:spacing w:val="-12"/>
          <w:sz w:val="24"/>
          <w:szCs w:val="24"/>
        </w:rPr>
        <w:t>备安装等过程。</w:t>
      </w:r>
      <w:r>
        <w:rPr>
          <w:rFonts w:ascii="宋体" w:hAnsi="宋体" w:eastAsia="宋体" w:cs="宋体"/>
          <w:spacing w:val="-6"/>
          <w:sz w:val="24"/>
          <w:szCs w:val="24"/>
        </w:rPr>
        <w:t>施工期会产生扬尘、噪声、固体废弃物和废水等污染物， 其排</w:t>
      </w:r>
      <w:r>
        <w:rPr>
          <w:rFonts w:ascii="宋体" w:hAnsi="宋体" w:eastAsia="宋体" w:cs="宋体"/>
          <w:spacing w:val="-7"/>
          <w:sz w:val="24"/>
          <w:szCs w:val="24"/>
        </w:rPr>
        <w:t>放量随工期和施工</w:t>
      </w:r>
      <w:r>
        <w:rPr>
          <w:rFonts w:ascii="宋体" w:hAnsi="宋体" w:eastAsia="宋体" w:cs="宋体"/>
          <w:spacing w:val="-4"/>
          <w:sz w:val="24"/>
          <w:szCs w:val="24"/>
        </w:rPr>
        <w:t>强度不同而有所变化。</w:t>
      </w:r>
    </w:p>
    <w:p w14:paraId="58044CDD">
      <w:pPr>
        <w:spacing w:line="5499" w:lineRule="exact"/>
        <w:ind w:firstLine="61"/>
      </w:pPr>
      <w:r>
        <w:rPr>
          <w:position w:val="-109"/>
        </w:rPr>
        <w:drawing>
          <wp:inline distT="0" distB="0" distL="0" distR="0">
            <wp:extent cx="5233035" cy="349186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46"/>
                    <a:stretch>
                      <a:fillRect/>
                    </a:stretch>
                  </pic:blipFill>
                  <pic:spPr>
                    <a:xfrm>
                      <a:off x="0" y="0"/>
                      <a:ext cx="5233415" cy="3491972"/>
                    </a:xfrm>
                    <a:prstGeom prst="rect">
                      <a:avLst/>
                    </a:prstGeom>
                  </pic:spPr>
                </pic:pic>
              </a:graphicData>
            </a:graphic>
          </wp:inline>
        </w:drawing>
      </w:r>
    </w:p>
    <w:p w14:paraId="317559BB">
      <w:pPr>
        <w:spacing w:before="229" w:line="221" w:lineRule="auto"/>
        <w:ind w:left="2540"/>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4"/>
          <w:sz w:val="21"/>
          <w:szCs w:val="21"/>
        </w:rPr>
        <w:t xml:space="preserve"> </w:t>
      </w:r>
      <w:r>
        <w:rPr>
          <w:rFonts w:ascii="Times New Roman" w:hAnsi="Times New Roman" w:eastAsia="Times New Roman" w:cs="Times New Roman"/>
          <w:spacing w:val="-2"/>
          <w:sz w:val="21"/>
          <w:szCs w:val="21"/>
        </w:rPr>
        <w:t xml:space="preserve">2.2-1  </w:t>
      </w:r>
      <w:r>
        <w:rPr>
          <w:rFonts w:ascii="黑体" w:hAnsi="黑体" w:eastAsia="黑体" w:cs="黑体"/>
          <w:spacing w:val="-2"/>
          <w:sz w:val="21"/>
          <w:szCs w:val="21"/>
        </w:rPr>
        <w:t>施工期工艺流程及产污节点</w:t>
      </w:r>
    </w:p>
    <w:p w14:paraId="20EB2CB6">
      <w:pPr>
        <w:spacing w:line="221" w:lineRule="auto"/>
        <w:rPr>
          <w:rFonts w:ascii="黑体" w:hAnsi="黑体" w:eastAsia="黑体" w:cs="黑体"/>
          <w:sz w:val="21"/>
          <w:szCs w:val="21"/>
        </w:rPr>
        <w:sectPr>
          <w:headerReference r:id="rId151" w:type="default"/>
          <w:footerReference r:id="rId152" w:type="default"/>
          <w:pgSz w:w="11905" w:h="16840"/>
          <w:pgMar w:top="1168" w:right="1712" w:bottom="1409" w:left="1770" w:header="828" w:footer="1244" w:gutter="0"/>
          <w:cols w:space="720" w:num="1"/>
        </w:sectPr>
      </w:pPr>
    </w:p>
    <w:p w14:paraId="7C142E71">
      <w:pPr>
        <w:pStyle w:val="2"/>
        <w:spacing w:line="306" w:lineRule="auto"/>
      </w:pPr>
    </w:p>
    <w:p w14:paraId="29E06AB5">
      <w:pPr>
        <w:spacing w:before="78" w:line="219" w:lineRule="auto"/>
        <w:ind w:left="524"/>
        <w:rPr>
          <w:rFonts w:ascii="宋体" w:hAnsi="宋体" w:eastAsia="宋体" w:cs="宋体"/>
          <w:sz w:val="24"/>
          <w:szCs w:val="24"/>
        </w:rPr>
      </w:pPr>
      <w:r>
        <w:rPr>
          <w:rFonts w:ascii="宋体" w:hAnsi="宋体" w:eastAsia="宋体" w:cs="宋体"/>
          <w:b/>
          <w:bCs/>
          <w:spacing w:val="-11"/>
          <w:sz w:val="24"/>
          <w:szCs w:val="24"/>
        </w:rPr>
        <w:t>工艺流程简述：</w:t>
      </w:r>
    </w:p>
    <w:p w14:paraId="4A4DD12F">
      <w:pPr>
        <w:spacing w:before="183"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）场地平整</w:t>
      </w:r>
    </w:p>
    <w:p w14:paraId="36AEA536">
      <w:pPr>
        <w:spacing w:before="181" w:line="360" w:lineRule="auto"/>
        <w:ind w:left="38" w:right="29" w:firstLine="480"/>
        <w:rPr>
          <w:rFonts w:ascii="宋体" w:hAnsi="宋体" w:eastAsia="宋体" w:cs="宋体"/>
          <w:sz w:val="24"/>
          <w:szCs w:val="24"/>
        </w:rPr>
      </w:pPr>
      <w:r>
        <w:rPr>
          <w:rFonts w:ascii="宋体" w:hAnsi="宋体" w:eastAsia="宋体" w:cs="宋体"/>
          <w:spacing w:val="-7"/>
          <w:sz w:val="24"/>
          <w:szCs w:val="24"/>
        </w:rPr>
        <w:t>在场地平整时，由于挖掘机、填土机、运土卡车等施工机械的运行， 将产生</w:t>
      </w:r>
      <w:r>
        <w:rPr>
          <w:rFonts w:ascii="宋体" w:hAnsi="宋体" w:eastAsia="宋体" w:cs="宋体"/>
          <w:spacing w:val="-3"/>
          <w:sz w:val="24"/>
          <w:szCs w:val="24"/>
        </w:rPr>
        <w:t>一定的噪声；同时产生施工扬尘，不同条件下，扬尘对环境的影响不同；场地平整及基础开挖引起原有土地利用类型的改变，会造成生态环境变化并引起一定程</w:t>
      </w:r>
      <w:r>
        <w:rPr>
          <w:rFonts w:ascii="宋体" w:hAnsi="宋体" w:eastAsia="宋体" w:cs="宋体"/>
          <w:spacing w:val="-2"/>
          <w:sz w:val="24"/>
          <w:szCs w:val="24"/>
        </w:rPr>
        <w:t>度的水土流失；该工序还会产生一定的施工固体废物。</w:t>
      </w:r>
    </w:p>
    <w:p w14:paraId="46D078DA">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）主体工程</w:t>
      </w:r>
    </w:p>
    <w:p w14:paraId="6BB6B44E">
      <w:pPr>
        <w:spacing w:before="181" w:line="360" w:lineRule="auto"/>
        <w:ind w:left="38" w:right="29" w:firstLine="483"/>
        <w:rPr>
          <w:rFonts w:ascii="宋体" w:hAnsi="宋体" w:eastAsia="宋体" w:cs="宋体"/>
          <w:sz w:val="24"/>
          <w:szCs w:val="24"/>
        </w:rPr>
      </w:pPr>
      <w:r>
        <w:rPr>
          <w:rFonts w:ascii="宋体" w:hAnsi="宋体" w:eastAsia="宋体" w:cs="宋体"/>
          <w:spacing w:val="-3"/>
          <w:sz w:val="24"/>
          <w:szCs w:val="24"/>
        </w:rPr>
        <w:t>混凝土搅拌机、挖掘机、打夯机、装载汽车、卷扬机</w:t>
      </w:r>
      <w:r>
        <w:rPr>
          <w:rFonts w:ascii="宋体" w:hAnsi="宋体" w:eastAsia="宋体" w:cs="宋体"/>
          <w:spacing w:val="-4"/>
          <w:sz w:val="24"/>
          <w:szCs w:val="24"/>
        </w:rPr>
        <w:t>、钢筋切割机等运行时</w:t>
      </w:r>
      <w:r>
        <w:rPr>
          <w:rFonts w:ascii="宋体" w:hAnsi="宋体" w:eastAsia="宋体" w:cs="宋体"/>
          <w:spacing w:val="-6"/>
          <w:sz w:val="24"/>
          <w:szCs w:val="24"/>
        </w:rPr>
        <w:t>会产生噪声，同时还会产生扬尘。此外， 还有一些原材料的废弃</w:t>
      </w:r>
      <w:r>
        <w:rPr>
          <w:rFonts w:ascii="宋体" w:hAnsi="宋体" w:eastAsia="宋体" w:cs="宋体"/>
          <w:spacing w:val="-7"/>
          <w:sz w:val="24"/>
          <w:szCs w:val="24"/>
        </w:rPr>
        <w:t>料以及生活污水</w:t>
      </w:r>
      <w:r>
        <w:rPr>
          <w:rFonts w:ascii="宋体" w:hAnsi="宋体" w:eastAsia="宋体" w:cs="宋体"/>
          <w:spacing w:val="-10"/>
          <w:sz w:val="24"/>
          <w:szCs w:val="24"/>
        </w:rPr>
        <w:t>产生。</w:t>
      </w:r>
    </w:p>
    <w:p w14:paraId="13C16894">
      <w:pPr>
        <w:spacing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）装饰工程及设备安装工程</w:t>
      </w:r>
    </w:p>
    <w:p w14:paraId="1378FF8E">
      <w:pPr>
        <w:spacing w:before="182" w:line="360" w:lineRule="auto"/>
        <w:ind w:left="42" w:right="31" w:firstLine="476"/>
        <w:rPr>
          <w:rFonts w:ascii="宋体" w:hAnsi="宋体" w:eastAsia="宋体" w:cs="宋体"/>
          <w:sz w:val="24"/>
          <w:szCs w:val="24"/>
        </w:rPr>
      </w:pPr>
      <w:r>
        <w:rPr>
          <w:rFonts w:ascii="宋体" w:hAnsi="宋体" w:eastAsia="宋体" w:cs="宋体"/>
          <w:spacing w:val="-10"/>
          <w:sz w:val="24"/>
          <w:szCs w:val="24"/>
        </w:rPr>
        <w:t>对构筑物的室内外进行装修（如表面粉刷、喷涂</w:t>
      </w:r>
      <w:r>
        <w:rPr>
          <w:rFonts w:ascii="宋体" w:hAnsi="宋体" w:eastAsia="宋体" w:cs="宋体"/>
          <w:spacing w:val="-11"/>
          <w:sz w:val="24"/>
          <w:szCs w:val="24"/>
        </w:rPr>
        <w:t>、裱糊等</w:t>
      </w:r>
      <w:r>
        <w:rPr>
          <w:rFonts w:ascii="宋体" w:hAnsi="宋体" w:eastAsia="宋体" w:cs="宋体"/>
          <w:spacing w:val="-7"/>
          <w:sz w:val="24"/>
          <w:szCs w:val="24"/>
        </w:rPr>
        <w:t>），</w:t>
      </w:r>
      <w:r>
        <w:rPr>
          <w:rFonts w:ascii="宋体" w:hAnsi="宋体" w:eastAsia="宋体" w:cs="宋体"/>
          <w:spacing w:val="-11"/>
          <w:sz w:val="24"/>
          <w:szCs w:val="24"/>
        </w:rPr>
        <w:t>同时安装水电、</w:t>
      </w:r>
      <w:r>
        <w:rPr>
          <w:rFonts w:ascii="宋体" w:hAnsi="宋体" w:eastAsia="宋体" w:cs="宋体"/>
          <w:spacing w:val="-6"/>
          <w:sz w:val="24"/>
          <w:szCs w:val="24"/>
        </w:rPr>
        <w:t xml:space="preserve">设备设施等。施工使用的钻机、电锤等产生噪声， </w:t>
      </w:r>
      <w:r>
        <w:rPr>
          <w:rFonts w:ascii="宋体" w:hAnsi="宋体" w:eastAsia="宋体" w:cs="宋体"/>
          <w:spacing w:val="-7"/>
          <w:sz w:val="24"/>
          <w:szCs w:val="24"/>
        </w:rPr>
        <w:t>喷涂产生废气、废弃物料及污</w:t>
      </w:r>
      <w:r>
        <w:rPr>
          <w:rFonts w:ascii="宋体" w:hAnsi="宋体" w:eastAsia="宋体" w:cs="宋体"/>
          <w:spacing w:val="-12"/>
          <w:sz w:val="24"/>
          <w:szCs w:val="24"/>
        </w:rPr>
        <w:t>水。</w:t>
      </w:r>
    </w:p>
    <w:p w14:paraId="51009177">
      <w:pPr>
        <w:spacing w:before="1"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）工程验收</w:t>
      </w:r>
    </w:p>
    <w:p w14:paraId="275D7E31">
      <w:pPr>
        <w:spacing w:before="182" w:line="220" w:lineRule="auto"/>
        <w:ind w:left="534"/>
        <w:rPr>
          <w:rFonts w:ascii="宋体" w:hAnsi="宋体" w:eastAsia="宋体" w:cs="宋体"/>
          <w:sz w:val="24"/>
          <w:szCs w:val="24"/>
        </w:rPr>
      </w:pPr>
      <w:r>
        <w:rPr>
          <w:rFonts w:ascii="宋体" w:hAnsi="宋体" w:eastAsia="宋体" w:cs="宋体"/>
          <w:spacing w:val="-4"/>
          <w:sz w:val="24"/>
          <w:szCs w:val="24"/>
        </w:rPr>
        <w:t>当施工完成验收合格后，方可投入使用。</w:t>
      </w:r>
    </w:p>
    <w:p w14:paraId="784CDC45">
      <w:pPr>
        <w:spacing w:before="183" w:line="362" w:lineRule="auto"/>
        <w:ind w:left="40" w:right="31" w:firstLine="480"/>
        <w:rPr>
          <w:rFonts w:ascii="宋体" w:hAnsi="宋体" w:eastAsia="宋体" w:cs="宋体"/>
          <w:sz w:val="24"/>
          <w:szCs w:val="24"/>
        </w:rPr>
      </w:pPr>
      <w:r>
        <w:rPr>
          <w:rFonts w:ascii="宋体" w:hAnsi="宋体" w:eastAsia="宋体" w:cs="宋体"/>
          <w:spacing w:val="-3"/>
          <w:sz w:val="24"/>
          <w:szCs w:val="24"/>
        </w:rPr>
        <w:t>本项目在施工期以施工噪声、施工扬尘、废弃物料（建筑垃</w:t>
      </w:r>
      <w:r>
        <w:rPr>
          <w:rFonts w:ascii="宋体" w:hAnsi="宋体" w:eastAsia="宋体" w:cs="宋体"/>
          <w:spacing w:val="-4"/>
          <w:sz w:val="24"/>
          <w:szCs w:val="24"/>
        </w:rPr>
        <w:t>圾）和废水为主</w:t>
      </w:r>
      <w:r>
        <w:rPr>
          <w:rFonts w:ascii="宋体" w:hAnsi="宋体" w:eastAsia="宋体" w:cs="宋体"/>
          <w:spacing w:val="-8"/>
          <w:sz w:val="24"/>
          <w:szCs w:val="24"/>
        </w:rPr>
        <w:t>要污染物。</w:t>
      </w:r>
    </w:p>
    <w:p w14:paraId="4E96B476">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2.2.1.2 </w:t>
      </w:r>
      <w:r>
        <w:rPr>
          <w:rFonts w:ascii="宋体" w:hAnsi="宋体" w:eastAsia="宋体" w:cs="宋体"/>
          <w:b/>
          <w:bCs/>
          <w:spacing w:val="5"/>
          <w:sz w:val="27"/>
          <w:szCs w:val="27"/>
        </w:rPr>
        <w:t>施工期污染源强分析</w:t>
      </w:r>
    </w:p>
    <w:p w14:paraId="5494995E">
      <w:pPr>
        <w:spacing w:before="235"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）废水污染源</w:t>
      </w:r>
    </w:p>
    <w:p w14:paraId="5CA27AF4">
      <w:pPr>
        <w:spacing w:before="182" w:line="220" w:lineRule="auto"/>
        <w:ind w:left="518"/>
        <w:rPr>
          <w:rFonts w:ascii="宋体" w:hAnsi="宋体" w:eastAsia="宋体" w:cs="宋体"/>
          <w:sz w:val="24"/>
          <w:szCs w:val="24"/>
        </w:rPr>
      </w:pPr>
      <w:r>
        <w:rPr>
          <w:rFonts w:ascii="宋体" w:hAnsi="宋体" w:eastAsia="宋体" w:cs="宋体"/>
          <w:spacing w:val="-2"/>
          <w:sz w:val="24"/>
          <w:szCs w:val="24"/>
        </w:rPr>
        <w:t>施工期的废水排放主要来自于施工人员的生活污水、施工废水。</w:t>
      </w:r>
    </w:p>
    <w:p w14:paraId="07E92632">
      <w:pPr>
        <w:spacing w:before="183" w:line="217" w:lineRule="auto"/>
        <w:ind w:left="518"/>
        <w:rPr>
          <w:rFonts w:ascii="宋体" w:hAnsi="宋体" w:eastAsia="宋体" w:cs="宋体"/>
          <w:sz w:val="24"/>
          <w:szCs w:val="24"/>
        </w:rPr>
      </w:pPr>
      <w:r>
        <w:rPr>
          <w:rFonts w:ascii="宋体" w:hAnsi="宋体" w:eastAsia="宋体" w:cs="宋体"/>
          <w:spacing w:val="-2"/>
          <w:sz w:val="24"/>
          <w:szCs w:val="24"/>
        </w:rPr>
        <w:t>①生活污水</w:t>
      </w:r>
    </w:p>
    <w:p w14:paraId="240A1143">
      <w:pPr>
        <w:spacing w:before="184" w:line="357" w:lineRule="auto"/>
        <w:ind w:left="27" w:right="44" w:firstLine="491"/>
        <w:rPr>
          <w:rFonts w:ascii="宋体" w:hAnsi="宋体" w:eastAsia="宋体" w:cs="宋体"/>
          <w:sz w:val="24"/>
          <w:szCs w:val="24"/>
        </w:rPr>
      </w:pPr>
      <w:r>
        <w:rPr>
          <w:rFonts w:ascii="宋体" w:hAnsi="宋体" w:eastAsia="宋体" w:cs="宋体"/>
          <w:spacing w:val="-8"/>
          <w:sz w:val="24"/>
          <w:szCs w:val="24"/>
        </w:rPr>
        <w:t>施工期间施工人员最多</w:t>
      </w:r>
      <w:r>
        <w:rPr>
          <w:rFonts w:ascii="Times New Roman" w:hAnsi="Times New Roman" w:eastAsia="Times New Roman" w:cs="Times New Roman"/>
          <w:spacing w:val="-8"/>
          <w:sz w:val="24"/>
          <w:szCs w:val="24"/>
        </w:rPr>
        <w:t>50</w:t>
      </w:r>
      <w:r>
        <w:rPr>
          <w:rFonts w:ascii="宋体" w:hAnsi="宋体" w:eastAsia="宋体" w:cs="宋体"/>
          <w:spacing w:val="-8"/>
          <w:sz w:val="24"/>
          <w:szCs w:val="24"/>
        </w:rPr>
        <w:t>人，根据《四川省用水定额</w:t>
      </w:r>
      <w:r>
        <w:rPr>
          <w:rFonts w:ascii="宋体" w:hAnsi="宋体" w:eastAsia="宋体" w:cs="宋体"/>
          <w:spacing w:val="-9"/>
          <w:sz w:val="24"/>
          <w:szCs w:val="24"/>
        </w:rPr>
        <w:t>》（川府函</w:t>
      </w:r>
      <w:r>
        <w:rPr>
          <w:rFonts w:ascii="Times New Roman" w:hAnsi="Times New Roman" w:eastAsia="Times New Roman" w:cs="Times New Roman"/>
          <w:spacing w:val="-9"/>
          <w:sz w:val="24"/>
          <w:szCs w:val="24"/>
        </w:rPr>
        <w:t>[</w:t>
      </w:r>
      <w:r>
        <w:fldChar w:fldCharType="begin"/>
      </w:r>
      <w:r>
        <w:instrText xml:space="preserve"> HYPERLINK \l "bookmark142" </w:instrText>
      </w:r>
      <w:r>
        <w:fldChar w:fldCharType="separate"/>
      </w:r>
      <w:r>
        <w:rPr>
          <w:rFonts w:ascii="Times New Roman" w:hAnsi="Times New Roman" w:eastAsia="Times New Roman" w:cs="Times New Roman"/>
          <w:spacing w:val="-9"/>
          <w:sz w:val="24"/>
          <w:szCs w:val="24"/>
        </w:rPr>
        <w:t>2021</w:t>
      </w:r>
      <w:r>
        <w:rPr>
          <w:rFonts w:ascii="Times New Roman" w:hAnsi="Times New Roman" w:eastAsia="Times New Roman" w:cs="Times New Roman"/>
          <w:spacing w:val="-9"/>
          <w:sz w:val="24"/>
          <w:szCs w:val="24"/>
        </w:rPr>
        <w:fldChar w:fldCharType="end"/>
      </w:r>
      <w:r>
        <w:rPr>
          <w:rFonts w:ascii="Times New Roman" w:hAnsi="Times New Roman" w:eastAsia="Times New Roman" w:cs="Times New Roman"/>
          <w:spacing w:val="-9"/>
          <w:sz w:val="24"/>
          <w:szCs w:val="24"/>
        </w:rPr>
        <w:t>]8</w:t>
      </w:r>
      <w:r>
        <w:rPr>
          <w:rFonts w:ascii="宋体" w:hAnsi="宋体" w:eastAsia="宋体" w:cs="宋体"/>
          <w:spacing w:val="-9"/>
          <w:sz w:val="24"/>
          <w:szCs w:val="24"/>
        </w:rPr>
        <w:t>号</w:t>
      </w:r>
      <w:r>
        <w:rPr>
          <w:rFonts w:ascii="宋体" w:hAnsi="宋体" w:eastAsia="宋体" w:cs="宋体"/>
          <w:spacing w:val="-45"/>
          <w:sz w:val="24"/>
          <w:szCs w:val="24"/>
        </w:rPr>
        <w:t>），</w:t>
      </w:r>
      <w:r>
        <w:rPr>
          <w:rFonts w:ascii="宋体" w:hAnsi="宋体" w:eastAsia="宋体" w:cs="宋体"/>
          <w:spacing w:val="-2"/>
          <w:sz w:val="24"/>
          <w:szCs w:val="24"/>
        </w:rPr>
        <w:t>结合项目实际情况，用水定额按</w:t>
      </w:r>
      <w:r>
        <w:rPr>
          <w:rFonts w:ascii="Times New Roman" w:hAnsi="Times New Roman" w:eastAsia="Times New Roman" w:cs="Times New Roman"/>
          <w:spacing w:val="-2"/>
          <w:sz w:val="24"/>
          <w:szCs w:val="24"/>
        </w:rPr>
        <w:t>50L/dꞏ</w:t>
      </w:r>
      <w:r>
        <w:rPr>
          <w:rFonts w:ascii="宋体" w:hAnsi="宋体" w:eastAsia="宋体" w:cs="宋体"/>
          <w:spacing w:val="-2"/>
          <w:sz w:val="24"/>
          <w:szCs w:val="24"/>
        </w:rPr>
        <w:t>人计，则用水量为</w:t>
      </w:r>
      <w:r>
        <w:rPr>
          <w:rFonts w:ascii="Times New Roman" w:hAnsi="Times New Roman" w:eastAsia="Times New Roman" w:cs="Times New Roman"/>
          <w:spacing w:val="-2"/>
          <w:sz w:val="24"/>
          <w:szCs w:val="24"/>
        </w:rPr>
        <w:t>2.5m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，污水产生量按</w:t>
      </w:r>
      <w:r>
        <w:rPr>
          <w:rFonts w:ascii="宋体" w:hAnsi="宋体" w:eastAsia="宋体" w:cs="宋体"/>
          <w:spacing w:val="-8"/>
          <w:sz w:val="24"/>
          <w:szCs w:val="24"/>
        </w:rPr>
        <w:t>用水量的</w:t>
      </w:r>
      <w:r>
        <w:rPr>
          <w:rFonts w:ascii="Times New Roman" w:hAnsi="Times New Roman" w:eastAsia="Times New Roman" w:cs="Times New Roman"/>
          <w:spacing w:val="-8"/>
          <w:sz w:val="24"/>
          <w:szCs w:val="24"/>
        </w:rPr>
        <w:t>80%</w:t>
      </w:r>
      <w:r>
        <w:rPr>
          <w:rFonts w:ascii="宋体" w:hAnsi="宋体" w:eastAsia="宋体" w:cs="宋体"/>
          <w:spacing w:val="-8"/>
          <w:sz w:val="24"/>
          <w:szCs w:val="24"/>
        </w:rPr>
        <w:t>计，则生活污水产生量为</w:t>
      </w:r>
      <w:r>
        <w:rPr>
          <w:rFonts w:ascii="Times New Roman" w:hAnsi="Times New Roman" w:eastAsia="Times New Roman" w:cs="Times New Roman"/>
          <w:spacing w:val="-8"/>
          <w:sz w:val="24"/>
          <w:szCs w:val="24"/>
        </w:rPr>
        <w:t>2.0m</w:t>
      </w:r>
      <w:r>
        <w:rPr>
          <w:rFonts w:ascii="Times New Roman" w:hAnsi="Times New Roman" w:eastAsia="Times New Roman" w:cs="Times New Roman"/>
          <w:spacing w:val="-8"/>
          <w:position w:val="10"/>
          <w:sz w:val="15"/>
          <w:szCs w:val="15"/>
        </w:rPr>
        <w:t>3</w:t>
      </w:r>
      <w:r>
        <w:rPr>
          <w:rFonts w:ascii="Times New Roman" w:hAnsi="Times New Roman" w:eastAsia="Times New Roman" w:cs="Times New Roman"/>
          <w:spacing w:val="-8"/>
          <w:sz w:val="24"/>
          <w:szCs w:val="24"/>
        </w:rPr>
        <w:t>/d</w:t>
      </w:r>
      <w:r>
        <w:rPr>
          <w:rFonts w:ascii="宋体" w:hAnsi="宋体" w:eastAsia="宋体" w:cs="宋体"/>
          <w:spacing w:val="-8"/>
          <w:sz w:val="24"/>
          <w:szCs w:val="24"/>
        </w:rPr>
        <w:t>，主要污染物为</w:t>
      </w:r>
      <w:r>
        <w:rPr>
          <w:rFonts w:ascii="Times New Roman" w:hAnsi="Times New Roman" w:eastAsia="Times New Roman" w:cs="Times New Roman"/>
          <w:spacing w:val="-8"/>
          <w:sz w:val="24"/>
          <w:szCs w:val="24"/>
        </w:rPr>
        <w:t>CODcr</w:t>
      </w:r>
      <w:r>
        <w:rPr>
          <w:rFonts w:ascii="宋体" w:hAnsi="宋体" w:eastAsia="宋体" w:cs="宋体"/>
          <w:spacing w:val="-8"/>
          <w:sz w:val="24"/>
          <w:szCs w:val="24"/>
        </w:rPr>
        <w:t>、</w:t>
      </w:r>
      <w:r>
        <w:rPr>
          <w:rFonts w:ascii="Times New Roman" w:hAnsi="Times New Roman" w:eastAsia="Times New Roman" w:cs="Times New Roman"/>
          <w:spacing w:val="-8"/>
          <w:sz w:val="24"/>
          <w:szCs w:val="24"/>
        </w:rPr>
        <w:t>SS</w:t>
      </w:r>
      <w:r>
        <w:rPr>
          <w:rFonts w:ascii="宋体" w:hAnsi="宋体" w:eastAsia="宋体" w:cs="宋体"/>
          <w:spacing w:val="-24"/>
          <w:w w:val="98"/>
          <w:sz w:val="24"/>
          <w:szCs w:val="24"/>
        </w:rPr>
        <w:t>、</w:t>
      </w:r>
      <w:r>
        <w:rPr>
          <w:rFonts w:ascii="Times New Roman" w:hAnsi="Times New Roman" w:eastAsia="Times New Roman" w:cs="Times New Roman"/>
          <w:spacing w:val="-24"/>
          <w:w w:val="98"/>
          <w:sz w:val="24"/>
          <w:szCs w:val="24"/>
        </w:rPr>
        <w:t>BOD</w:t>
      </w:r>
      <w:r>
        <w:rPr>
          <w:rFonts w:ascii="Times New Roman" w:hAnsi="Times New Roman" w:eastAsia="Times New Roman" w:cs="Times New Roman"/>
          <w:spacing w:val="-3"/>
          <w:position w:val="-3"/>
          <w:sz w:val="15"/>
          <w:szCs w:val="15"/>
        </w:rPr>
        <w:t>5</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等。</w:t>
      </w:r>
    </w:p>
    <w:p w14:paraId="0487353A">
      <w:pPr>
        <w:spacing w:before="17" w:line="360" w:lineRule="auto"/>
        <w:ind w:left="39" w:right="29" w:firstLine="485"/>
        <w:rPr>
          <w:rFonts w:ascii="宋体" w:hAnsi="宋体" w:eastAsia="宋体" w:cs="宋体"/>
          <w:sz w:val="24"/>
          <w:szCs w:val="24"/>
        </w:rPr>
      </w:pPr>
      <w:r>
        <w:rPr>
          <w:rFonts w:ascii="宋体" w:hAnsi="宋体" w:eastAsia="宋体" w:cs="宋体"/>
          <w:spacing w:val="-3"/>
          <w:sz w:val="24"/>
          <w:szCs w:val="24"/>
        </w:rPr>
        <w:t>治理措施：施工人员不在现场食宿，生活污水依托</w:t>
      </w:r>
      <w:r>
        <w:rPr>
          <w:rFonts w:ascii="宋体" w:hAnsi="宋体" w:eastAsia="宋体" w:cs="宋体"/>
          <w:spacing w:val="-4"/>
          <w:sz w:val="24"/>
          <w:szCs w:val="24"/>
        </w:rPr>
        <w:t>周围农户旱厕收集后用作</w:t>
      </w:r>
      <w:r>
        <w:rPr>
          <w:rFonts w:ascii="宋体" w:hAnsi="宋体" w:eastAsia="宋体" w:cs="宋体"/>
          <w:spacing w:val="-6"/>
          <w:sz w:val="24"/>
          <w:szCs w:val="24"/>
        </w:rPr>
        <w:t>农肥，不外排。</w:t>
      </w:r>
    </w:p>
    <w:p w14:paraId="535D50AE">
      <w:pPr>
        <w:spacing w:line="217" w:lineRule="auto"/>
        <w:ind w:left="517"/>
        <w:rPr>
          <w:rFonts w:ascii="宋体" w:hAnsi="宋体" w:eastAsia="宋体" w:cs="宋体"/>
          <w:sz w:val="24"/>
          <w:szCs w:val="24"/>
        </w:rPr>
      </w:pPr>
      <w:r>
        <w:rPr>
          <w:rFonts w:ascii="宋体" w:hAnsi="宋体" w:eastAsia="宋体" w:cs="宋体"/>
          <w:spacing w:val="-2"/>
          <w:sz w:val="24"/>
          <w:szCs w:val="24"/>
        </w:rPr>
        <w:t>②施工废水</w:t>
      </w:r>
    </w:p>
    <w:p w14:paraId="4E647899">
      <w:pPr>
        <w:spacing w:line="217" w:lineRule="auto"/>
        <w:rPr>
          <w:rFonts w:ascii="宋体" w:hAnsi="宋体" w:eastAsia="宋体" w:cs="宋体"/>
          <w:sz w:val="24"/>
          <w:szCs w:val="24"/>
        </w:rPr>
        <w:sectPr>
          <w:headerReference r:id="rId153" w:type="default"/>
          <w:footerReference r:id="rId154" w:type="default"/>
          <w:pgSz w:w="11905" w:h="16840"/>
          <w:pgMar w:top="1168" w:right="1768" w:bottom="1409" w:left="1770" w:header="828" w:footer="1244" w:gutter="0"/>
          <w:cols w:space="720" w:num="1"/>
        </w:sectPr>
      </w:pPr>
    </w:p>
    <w:p w14:paraId="61C0D07E">
      <w:pPr>
        <w:pStyle w:val="2"/>
        <w:spacing w:line="306" w:lineRule="auto"/>
      </w:pPr>
    </w:p>
    <w:p w14:paraId="556C6A55">
      <w:pPr>
        <w:spacing w:before="78" w:line="360" w:lineRule="auto"/>
        <w:ind w:left="39" w:right="62" w:firstLine="480"/>
        <w:rPr>
          <w:rFonts w:ascii="宋体" w:hAnsi="宋体" w:eastAsia="宋体" w:cs="宋体"/>
          <w:sz w:val="24"/>
          <w:szCs w:val="24"/>
        </w:rPr>
      </w:pPr>
      <w:r>
        <w:rPr>
          <w:rFonts w:ascii="宋体" w:hAnsi="宋体" w:eastAsia="宋体" w:cs="宋体"/>
          <w:spacing w:val="-6"/>
          <w:sz w:val="24"/>
          <w:szCs w:val="24"/>
        </w:rPr>
        <w:t>本项目施工期施工废水主要来自施工机械、车辆冲洗废水等，</w:t>
      </w:r>
      <w:r>
        <w:rPr>
          <w:rFonts w:ascii="宋体" w:hAnsi="宋体" w:eastAsia="宋体" w:cs="宋体"/>
          <w:spacing w:val="-27"/>
          <w:sz w:val="24"/>
          <w:szCs w:val="24"/>
        </w:rPr>
        <w:t xml:space="preserve"> </w:t>
      </w:r>
      <w:r>
        <w:rPr>
          <w:rFonts w:ascii="宋体" w:hAnsi="宋体" w:eastAsia="宋体" w:cs="宋体"/>
          <w:spacing w:val="-6"/>
          <w:sz w:val="24"/>
          <w:szCs w:val="24"/>
        </w:rPr>
        <w:t>该类废水含大</w:t>
      </w:r>
      <w:r>
        <w:rPr>
          <w:rFonts w:ascii="宋体" w:hAnsi="宋体" w:eastAsia="宋体" w:cs="宋体"/>
          <w:spacing w:val="-1"/>
          <w:sz w:val="24"/>
          <w:szCs w:val="24"/>
        </w:rPr>
        <w:t>量泥砂，一般</w:t>
      </w:r>
      <w:r>
        <w:rPr>
          <w:rFonts w:ascii="Times New Roman" w:hAnsi="Times New Roman" w:eastAsia="Times New Roman" w:cs="Times New Roman"/>
          <w:spacing w:val="-1"/>
          <w:sz w:val="24"/>
          <w:szCs w:val="24"/>
        </w:rPr>
        <w:t>pH</w:t>
      </w:r>
      <w:r>
        <w:rPr>
          <w:rFonts w:ascii="宋体" w:hAnsi="宋体" w:eastAsia="宋体" w:cs="宋体"/>
          <w:spacing w:val="-1"/>
          <w:sz w:val="24"/>
          <w:szCs w:val="24"/>
        </w:rPr>
        <w:t>值呈弱碱性，废水中污染物为</w:t>
      </w:r>
      <w:r>
        <w:rPr>
          <w:rFonts w:ascii="Times New Roman" w:hAnsi="Times New Roman" w:eastAsia="Times New Roman" w:cs="Times New Roman"/>
          <w:spacing w:val="-1"/>
          <w:sz w:val="24"/>
          <w:szCs w:val="24"/>
        </w:rPr>
        <w:t>SS</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SS</w:t>
      </w:r>
      <w:r>
        <w:rPr>
          <w:rFonts w:ascii="宋体" w:hAnsi="宋体" w:eastAsia="宋体" w:cs="宋体"/>
          <w:spacing w:val="-1"/>
          <w:sz w:val="24"/>
          <w:szCs w:val="24"/>
        </w:rPr>
        <w:t>浓度约</w:t>
      </w:r>
      <w:r>
        <w:rPr>
          <w:rFonts w:ascii="Times New Roman" w:hAnsi="Times New Roman" w:eastAsia="Times New Roman" w:cs="Times New Roman"/>
          <w:spacing w:val="-1"/>
          <w:sz w:val="24"/>
          <w:szCs w:val="24"/>
        </w:rPr>
        <w:t>1000mg/</w:t>
      </w:r>
      <w:r>
        <w:rPr>
          <w:rFonts w:ascii="Times New Roman" w:hAnsi="Times New Roman" w:eastAsia="Times New Roman" w:cs="Times New Roman"/>
          <w:spacing w:val="-2"/>
          <w:sz w:val="24"/>
          <w:szCs w:val="24"/>
        </w:rPr>
        <w:t>L</w:t>
      </w:r>
      <w:r>
        <w:rPr>
          <w:rFonts w:ascii="宋体" w:hAnsi="宋体" w:eastAsia="宋体" w:cs="宋体"/>
          <w:spacing w:val="-2"/>
          <w:sz w:val="24"/>
          <w:szCs w:val="24"/>
        </w:rPr>
        <w:t>。</w:t>
      </w:r>
    </w:p>
    <w:p w14:paraId="0B5833E2">
      <w:pPr>
        <w:spacing w:line="360" w:lineRule="auto"/>
        <w:ind w:left="41" w:right="62" w:firstLine="483"/>
        <w:jc w:val="both"/>
        <w:rPr>
          <w:rFonts w:ascii="宋体" w:hAnsi="宋体" w:eastAsia="宋体" w:cs="宋体"/>
          <w:sz w:val="24"/>
          <w:szCs w:val="24"/>
        </w:rPr>
      </w:pPr>
      <w:r>
        <w:rPr>
          <w:rFonts w:ascii="宋体" w:hAnsi="宋体" w:eastAsia="宋体" w:cs="宋体"/>
          <w:spacing w:val="-3"/>
          <w:sz w:val="24"/>
          <w:szCs w:val="24"/>
        </w:rPr>
        <w:t>治理措施：针对项目施工生产废水特点，评价要求</w:t>
      </w:r>
      <w:r>
        <w:rPr>
          <w:rFonts w:ascii="宋体" w:hAnsi="宋体" w:eastAsia="宋体" w:cs="宋体"/>
          <w:spacing w:val="-4"/>
          <w:sz w:val="24"/>
          <w:szCs w:val="24"/>
        </w:rPr>
        <w:t>施工单位在施工场地修建</w:t>
      </w:r>
      <w:r>
        <w:rPr>
          <w:rFonts w:ascii="宋体" w:hAnsi="宋体" w:eastAsia="宋体" w:cs="宋体"/>
          <w:spacing w:val="-3"/>
          <w:sz w:val="24"/>
          <w:szCs w:val="24"/>
        </w:rPr>
        <w:t>临时沉淀池对施工废水进行收集沉淀处理，经沉淀处理后的施工废水回用于施工车辆冲洗及场地洒水抑尘，严禁外排。</w:t>
      </w:r>
    </w:p>
    <w:p w14:paraId="2A70EB7A">
      <w:pPr>
        <w:spacing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）废气污染源</w:t>
      </w:r>
    </w:p>
    <w:p w14:paraId="35DA2281">
      <w:pPr>
        <w:spacing w:before="181" w:line="360" w:lineRule="auto"/>
        <w:ind w:left="39" w:right="62" w:firstLine="480"/>
        <w:rPr>
          <w:rFonts w:ascii="宋体" w:hAnsi="宋体" w:eastAsia="宋体" w:cs="宋体"/>
          <w:sz w:val="24"/>
          <w:szCs w:val="24"/>
        </w:rPr>
      </w:pPr>
      <w:r>
        <w:rPr>
          <w:rFonts w:ascii="宋体" w:hAnsi="宋体" w:eastAsia="宋体" w:cs="宋体"/>
          <w:spacing w:val="-3"/>
          <w:sz w:val="24"/>
          <w:szCs w:val="24"/>
        </w:rPr>
        <w:t>本项目施工期产生的主要废气污染物是施工扬尘、施工机械废</w:t>
      </w:r>
      <w:r>
        <w:rPr>
          <w:rFonts w:ascii="宋体" w:hAnsi="宋体" w:eastAsia="宋体" w:cs="宋体"/>
          <w:spacing w:val="-4"/>
          <w:sz w:val="24"/>
          <w:szCs w:val="24"/>
        </w:rPr>
        <w:t>气及少量装修</w:t>
      </w:r>
      <w:r>
        <w:rPr>
          <w:rFonts w:ascii="宋体" w:hAnsi="宋体" w:eastAsia="宋体" w:cs="宋体"/>
          <w:spacing w:val="-8"/>
          <w:sz w:val="24"/>
          <w:szCs w:val="24"/>
        </w:rPr>
        <w:t>装饰废气。</w:t>
      </w:r>
    </w:p>
    <w:p w14:paraId="04D40F5D">
      <w:pPr>
        <w:spacing w:line="221" w:lineRule="auto"/>
        <w:ind w:left="538"/>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）施工扬尘</w:t>
      </w:r>
    </w:p>
    <w:p w14:paraId="47D5FFFA">
      <w:pPr>
        <w:spacing w:before="179" w:line="360" w:lineRule="auto"/>
        <w:ind w:left="39" w:right="62" w:firstLine="480"/>
        <w:rPr>
          <w:rFonts w:ascii="宋体" w:hAnsi="宋体" w:eastAsia="宋体" w:cs="宋体"/>
          <w:sz w:val="24"/>
          <w:szCs w:val="24"/>
        </w:rPr>
      </w:pPr>
      <w:r>
        <w:rPr>
          <w:rFonts w:ascii="宋体" w:hAnsi="宋体" w:eastAsia="宋体" w:cs="宋体"/>
          <w:spacing w:val="-3"/>
          <w:sz w:val="24"/>
          <w:szCs w:val="24"/>
        </w:rPr>
        <w:t>本项目施工扬尘主要来自前期基础工程，包括场地清理及场地</w:t>
      </w:r>
      <w:r>
        <w:rPr>
          <w:rFonts w:ascii="宋体" w:hAnsi="宋体" w:eastAsia="宋体" w:cs="宋体"/>
          <w:spacing w:val="-4"/>
          <w:sz w:val="24"/>
          <w:szCs w:val="24"/>
        </w:rPr>
        <w:t>平整等，进入</w:t>
      </w:r>
      <w:r>
        <w:rPr>
          <w:rFonts w:ascii="宋体" w:hAnsi="宋体" w:eastAsia="宋体" w:cs="宋体"/>
          <w:spacing w:val="-3"/>
          <w:sz w:val="24"/>
          <w:szCs w:val="24"/>
        </w:rPr>
        <w:t>后续阶段扬尘产生量较少，后续阶段主要为垃圾堆放、建材堆放、混凝土搅拌及</w:t>
      </w:r>
      <w:r>
        <w:rPr>
          <w:rFonts w:ascii="宋体" w:hAnsi="宋体" w:eastAsia="宋体" w:cs="宋体"/>
          <w:sz w:val="24"/>
          <w:szCs w:val="24"/>
        </w:rPr>
        <w:t>运输车辆扬尘。经类比分析，施工场地扬尘浓度平均值约为</w:t>
      </w:r>
      <w:r>
        <w:rPr>
          <w:rFonts w:ascii="Times New Roman" w:hAnsi="Times New Roman" w:eastAsia="Times New Roman" w:cs="Times New Roman"/>
          <w:sz w:val="24"/>
          <w:szCs w:val="24"/>
        </w:rPr>
        <w:t>4.</w:t>
      </w:r>
      <w:r>
        <w:rPr>
          <w:rFonts w:ascii="Times New Roman" w:hAnsi="Times New Roman" w:eastAsia="Times New Roman" w:cs="Times New Roman"/>
          <w:spacing w:val="-1"/>
          <w:sz w:val="24"/>
          <w:szCs w:val="24"/>
        </w:rPr>
        <w:t>5mg/m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w:t>
      </w:r>
    </w:p>
    <w:p w14:paraId="6C2FD32F">
      <w:pPr>
        <w:spacing w:line="360" w:lineRule="auto"/>
        <w:ind w:left="40" w:right="64" w:firstLine="484"/>
        <w:jc w:val="both"/>
        <w:rPr>
          <w:rFonts w:ascii="宋体" w:hAnsi="宋体" w:eastAsia="宋体" w:cs="宋体"/>
          <w:sz w:val="24"/>
          <w:szCs w:val="24"/>
        </w:rPr>
      </w:pPr>
      <w:r>
        <w:rPr>
          <w:rFonts w:ascii="宋体" w:hAnsi="宋体" w:eastAsia="宋体" w:cs="宋体"/>
          <w:sz w:val="24"/>
          <w:szCs w:val="24"/>
        </w:rPr>
        <w:t>治理措施：项目施工期须严格按照《四川省</w:t>
      </w:r>
      <w:r>
        <w:rPr>
          <w:rFonts w:ascii="Times New Roman" w:hAnsi="Times New Roman" w:eastAsia="Times New Roman" w:cs="Times New Roman"/>
          <w:sz w:val="24"/>
          <w:szCs w:val="24"/>
        </w:rPr>
        <w:t>&lt;</w:t>
      </w:r>
      <w:r>
        <w:rPr>
          <w:rFonts w:ascii="宋体" w:hAnsi="宋体" w:eastAsia="宋体" w:cs="宋体"/>
          <w:sz w:val="24"/>
          <w:szCs w:val="24"/>
        </w:rPr>
        <w:t>中华人民共</w:t>
      </w:r>
      <w:r>
        <w:rPr>
          <w:rFonts w:ascii="宋体" w:hAnsi="宋体" w:eastAsia="宋体" w:cs="宋体"/>
          <w:spacing w:val="-1"/>
          <w:sz w:val="24"/>
          <w:szCs w:val="24"/>
        </w:rPr>
        <w:t>和国大气污染防治</w:t>
      </w:r>
      <w:r>
        <w:rPr>
          <w:rFonts w:ascii="宋体" w:hAnsi="宋体" w:eastAsia="宋体" w:cs="宋体"/>
          <w:spacing w:val="-13"/>
          <w:sz w:val="24"/>
          <w:szCs w:val="24"/>
        </w:rPr>
        <w:t>法</w:t>
      </w:r>
      <w:r>
        <w:rPr>
          <w:rFonts w:ascii="Times New Roman" w:hAnsi="Times New Roman" w:eastAsia="Times New Roman" w:cs="Times New Roman"/>
          <w:spacing w:val="-13"/>
          <w:sz w:val="24"/>
          <w:szCs w:val="24"/>
        </w:rPr>
        <w:t>&gt;</w:t>
      </w:r>
      <w:r>
        <w:rPr>
          <w:rFonts w:ascii="宋体" w:hAnsi="宋体" w:eastAsia="宋体" w:cs="宋体"/>
          <w:spacing w:val="-13"/>
          <w:sz w:val="24"/>
          <w:szCs w:val="24"/>
        </w:rPr>
        <w:t>实施办法》、《四川省打赢蓝天保卫战实施方案》、《</w:t>
      </w:r>
      <w:r>
        <w:rPr>
          <w:rFonts w:ascii="宋体" w:hAnsi="宋体" w:eastAsia="宋体" w:cs="宋体"/>
          <w:spacing w:val="-14"/>
          <w:sz w:val="24"/>
          <w:szCs w:val="24"/>
        </w:rPr>
        <w:t>四川省施工场地扬尘排放</w:t>
      </w:r>
      <w:r>
        <w:rPr>
          <w:rFonts w:ascii="宋体" w:hAnsi="宋体" w:eastAsia="宋体" w:cs="宋体"/>
          <w:spacing w:val="-4"/>
          <w:sz w:val="24"/>
          <w:szCs w:val="24"/>
        </w:rPr>
        <w:t>标准》（</w:t>
      </w:r>
      <w:r>
        <w:rPr>
          <w:rFonts w:ascii="Times New Roman" w:hAnsi="Times New Roman" w:eastAsia="Times New Roman" w:cs="Times New Roman"/>
          <w:spacing w:val="-4"/>
          <w:sz w:val="24"/>
          <w:szCs w:val="24"/>
        </w:rPr>
        <w:t>DB51/2682-2020</w:t>
      </w:r>
      <w:r>
        <w:rPr>
          <w:rFonts w:ascii="宋体" w:hAnsi="宋体" w:eastAsia="宋体" w:cs="宋体"/>
          <w:spacing w:val="-4"/>
          <w:sz w:val="24"/>
          <w:szCs w:val="24"/>
        </w:rPr>
        <w:t>）中对施工场地的相关要求</w:t>
      </w:r>
      <w:r>
        <w:rPr>
          <w:rFonts w:ascii="宋体" w:hAnsi="宋体" w:eastAsia="宋体" w:cs="宋体"/>
          <w:spacing w:val="-5"/>
          <w:sz w:val="24"/>
          <w:szCs w:val="24"/>
        </w:rPr>
        <w:t>采取扬尘治理措施。</w:t>
      </w:r>
    </w:p>
    <w:p w14:paraId="1A85B6BC">
      <w:pPr>
        <w:spacing w:before="3" w:line="359" w:lineRule="auto"/>
        <w:ind w:left="37" w:right="62" w:firstLine="480"/>
        <w:rPr>
          <w:rFonts w:ascii="宋体" w:hAnsi="宋体" w:eastAsia="宋体" w:cs="宋体"/>
          <w:sz w:val="24"/>
          <w:szCs w:val="24"/>
        </w:rPr>
      </w:pPr>
      <w:r>
        <w:rPr>
          <w:rFonts w:ascii="宋体" w:hAnsi="宋体" w:eastAsia="宋体" w:cs="宋体"/>
          <w:spacing w:val="-3"/>
          <w:sz w:val="24"/>
          <w:szCs w:val="24"/>
        </w:rPr>
        <w:t>①在施工现场出入口公示施工负责人、扬尘污染控制措施、主管</w:t>
      </w:r>
      <w:r>
        <w:rPr>
          <w:rFonts w:ascii="宋体" w:hAnsi="宋体" w:eastAsia="宋体" w:cs="宋体"/>
          <w:spacing w:val="-4"/>
          <w:sz w:val="24"/>
          <w:szCs w:val="24"/>
        </w:rPr>
        <w:t>部门以及举</w:t>
      </w:r>
      <w:r>
        <w:rPr>
          <w:rFonts w:ascii="宋体" w:hAnsi="宋体" w:eastAsia="宋体" w:cs="宋体"/>
          <w:spacing w:val="-5"/>
          <w:sz w:val="24"/>
          <w:szCs w:val="24"/>
        </w:rPr>
        <w:t>报电话等信息，接受社会监督；</w:t>
      </w:r>
    </w:p>
    <w:p w14:paraId="62559FF5">
      <w:pPr>
        <w:spacing w:before="1" w:line="217" w:lineRule="auto"/>
        <w:ind w:left="517"/>
        <w:rPr>
          <w:rFonts w:ascii="宋体" w:hAnsi="宋体" w:eastAsia="宋体" w:cs="宋体"/>
          <w:sz w:val="24"/>
          <w:szCs w:val="24"/>
        </w:rPr>
      </w:pPr>
      <w:r>
        <w:rPr>
          <w:rFonts w:ascii="宋体" w:hAnsi="宋体" w:eastAsia="宋体" w:cs="宋体"/>
          <w:spacing w:val="-3"/>
          <w:sz w:val="24"/>
          <w:szCs w:val="24"/>
        </w:rPr>
        <w:t>②施工工地设置围墙或者硬质密闭围挡，并对围挡进行维护；</w:t>
      </w:r>
    </w:p>
    <w:p w14:paraId="380FEC5F">
      <w:pPr>
        <w:spacing w:before="185" w:line="360" w:lineRule="auto"/>
        <w:ind w:left="38" w:right="117" w:firstLine="479"/>
        <w:rPr>
          <w:rFonts w:ascii="宋体" w:hAnsi="宋体" w:eastAsia="宋体" w:cs="宋体"/>
          <w:sz w:val="24"/>
          <w:szCs w:val="24"/>
        </w:rPr>
      </w:pPr>
      <w:r>
        <w:rPr>
          <w:rFonts w:ascii="宋体" w:hAnsi="宋体" w:eastAsia="宋体" w:cs="宋体"/>
          <w:spacing w:val="-12"/>
          <w:sz w:val="24"/>
          <w:szCs w:val="24"/>
        </w:rPr>
        <w:t>③对施工现场进出口通道、场内道路，材料存放区、加工区等场所地坪硬化，</w:t>
      </w:r>
      <w:r>
        <w:rPr>
          <w:rFonts w:ascii="宋体" w:hAnsi="宋体" w:eastAsia="宋体" w:cs="宋体"/>
          <w:spacing w:val="-2"/>
          <w:sz w:val="24"/>
          <w:szCs w:val="24"/>
        </w:rPr>
        <w:t>对其他场地进行覆盖或者临时绿化，对临时堆放土方按照规范覆盖或者固化；</w:t>
      </w:r>
    </w:p>
    <w:p w14:paraId="6C5C59BC">
      <w:pPr>
        <w:spacing w:line="360" w:lineRule="auto"/>
        <w:ind w:left="40" w:right="62" w:firstLine="477"/>
        <w:rPr>
          <w:rFonts w:ascii="宋体" w:hAnsi="宋体" w:eastAsia="宋体" w:cs="宋体"/>
          <w:sz w:val="24"/>
          <w:szCs w:val="24"/>
        </w:rPr>
      </w:pPr>
      <w:r>
        <w:rPr>
          <w:rFonts w:ascii="宋体" w:hAnsi="宋体" w:eastAsia="宋体" w:cs="宋体"/>
          <w:spacing w:val="-3"/>
          <w:sz w:val="24"/>
          <w:szCs w:val="24"/>
        </w:rPr>
        <w:t>④施工现场出入口应当设置车辆冲洗设施，施工及运输车辆经除泥</w:t>
      </w:r>
      <w:r>
        <w:rPr>
          <w:rFonts w:ascii="宋体" w:hAnsi="宋体" w:eastAsia="宋体" w:cs="宋体"/>
          <w:spacing w:val="-4"/>
          <w:sz w:val="24"/>
          <w:szCs w:val="24"/>
        </w:rPr>
        <w:t>、冲洗后</w:t>
      </w:r>
      <w:r>
        <w:rPr>
          <w:rFonts w:ascii="宋体" w:hAnsi="宋体" w:eastAsia="宋体" w:cs="宋体"/>
          <w:spacing w:val="-5"/>
          <w:sz w:val="24"/>
          <w:szCs w:val="24"/>
        </w:rPr>
        <w:t>方能驶出工地，不得带泥上路；</w:t>
      </w:r>
    </w:p>
    <w:p w14:paraId="46696E8E">
      <w:pPr>
        <w:spacing w:line="360" w:lineRule="auto"/>
        <w:ind w:left="39" w:firstLine="478"/>
        <w:rPr>
          <w:rFonts w:ascii="宋体" w:hAnsi="宋体" w:eastAsia="宋体" w:cs="宋体"/>
          <w:sz w:val="24"/>
          <w:szCs w:val="24"/>
        </w:rPr>
      </w:pPr>
      <w:r>
        <w:rPr>
          <w:rFonts w:ascii="宋体" w:hAnsi="宋体" w:eastAsia="宋体" w:cs="宋体"/>
          <w:spacing w:val="-3"/>
          <w:sz w:val="24"/>
          <w:szCs w:val="24"/>
        </w:rPr>
        <w:t>⑤露天堆放的河沙、石粉、水泥、灰浆等易产生扬尘的物料以及不</w:t>
      </w:r>
      <w:r>
        <w:rPr>
          <w:rFonts w:ascii="宋体" w:hAnsi="宋体" w:eastAsia="宋体" w:cs="宋体"/>
          <w:spacing w:val="-4"/>
          <w:sz w:val="24"/>
          <w:szCs w:val="24"/>
        </w:rPr>
        <w:t>能及时清</w:t>
      </w:r>
      <w:r>
        <w:rPr>
          <w:rFonts w:ascii="宋体" w:hAnsi="宋体" w:eastAsia="宋体" w:cs="宋体"/>
          <w:spacing w:val="-1"/>
          <w:sz w:val="24"/>
          <w:szCs w:val="24"/>
        </w:rPr>
        <w:t>运的建筑垃圾，应当设置不低于堆放高度的密闭围栏，并对堆放</w:t>
      </w:r>
      <w:r>
        <w:rPr>
          <w:rFonts w:ascii="宋体" w:hAnsi="宋体" w:eastAsia="宋体" w:cs="宋体"/>
          <w:spacing w:val="-2"/>
          <w:sz w:val="24"/>
          <w:szCs w:val="24"/>
        </w:rPr>
        <w:t>物品予以覆盖；</w:t>
      </w:r>
    </w:p>
    <w:p w14:paraId="50ED6E3D">
      <w:pPr>
        <w:spacing w:line="360" w:lineRule="auto"/>
        <w:ind w:left="48" w:right="63" w:firstLine="468"/>
        <w:rPr>
          <w:rFonts w:ascii="宋体" w:hAnsi="宋体" w:eastAsia="宋体" w:cs="宋体"/>
          <w:sz w:val="24"/>
          <w:szCs w:val="24"/>
        </w:rPr>
      </w:pPr>
      <w:r>
        <w:rPr>
          <w:rFonts w:ascii="宋体" w:hAnsi="宋体" w:eastAsia="宋体" w:cs="宋体"/>
          <w:spacing w:val="-7"/>
          <w:sz w:val="24"/>
          <w:szCs w:val="24"/>
        </w:rPr>
        <w:t>⑥土方施工、主体施工、装饰装修及拆除、切割作业时， 应当使用洒水或者</w:t>
      </w:r>
      <w:r>
        <w:rPr>
          <w:rFonts w:ascii="宋体" w:hAnsi="宋体" w:eastAsia="宋体" w:cs="宋体"/>
          <w:spacing w:val="-9"/>
          <w:sz w:val="24"/>
          <w:szCs w:val="24"/>
        </w:rPr>
        <w:t>喷淋等降尘措施；</w:t>
      </w:r>
    </w:p>
    <w:p w14:paraId="2B4077E6">
      <w:pPr>
        <w:spacing w:before="2" w:line="361" w:lineRule="auto"/>
        <w:ind w:left="40" w:right="73" w:firstLine="477"/>
        <w:rPr>
          <w:rFonts w:ascii="宋体" w:hAnsi="宋体" w:eastAsia="宋体" w:cs="宋体"/>
          <w:sz w:val="24"/>
          <w:szCs w:val="24"/>
        </w:rPr>
      </w:pPr>
      <w:r>
        <w:rPr>
          <w:rFonts w:ascii="宋体" w:hAnsi="宋体" w:eastAsia="宋体" w:cs="宋体"/>
          <w:spacing w:val="-11"/>
          <w:sz w:val="24"/>
          <w:szCs w:val="24"/>
        </w:rPr>
        <w:t>⑦严格落实“六必须”（必须围档作业、必须硬化道路、必须设置</w:t>
      </w:r>
      <w:r>
        <w:rPr>
          <w:rFonts w:ascii="宋体" w:hAnsi="宋体" w:eastAsia="宋体" w:cs="宋体"/>
          <w:spacing w:val="-12"/>
          <w:sz w:val="24"/>
          <w:szCs w:val="24"/>
        </w:rPr>
        <w:t>冲洗设施、</w:t>
      </w:r>
      <w:r>
        <w:rPr>
          <w:rFonts w:ascii="宋体" w:hAnsi="宋体" w:eastAsia="宋体" w:cs="宋体"/>
          <w:spacing w:val="-4"/>
          <w:sz w:val="24"/>
          <w:szCs w:val="24"/>
        </w:rPr>
        <w:t>必须及时洒水作业、必须落实保洁人员、必须定时清扫施工现场</w:t>
      </w:r>
      <w:r>
        <w:rPr>
          <w:rFonts w:ascii="宋体" w:hAnsi="宋体" w:eastAsia="宋体" w:cs="宋体"/>
          <w:spacing w:val="8"/>
          <w:sz w:val="24"/>
          <w:szCs w:val="24"/>
        </w:rPr>
        <w:t>），</w:t>
      </w:r>
      <w:r>
        <w:rPr>
          <w:rFonts w:ascii="宋体" w:hAnsi="宋体" w:eastAsia="宋体" w:cs="宋体"/>
          <w:spacing w:val="-4"/>
          <w:sz w:val="24"/>
          <w:szCs w:val="24"/>
        </w:rPr>
        <w:t>在重污染天</w:t>
      </w:r>
      <w:r>
        <w:rPr>
          <w:rFonts w:ascii="宋体" w:hAnsi="宋体" w:eastAsia="宋体" w:cs="宋体"/>
          <w:spacing w:val="-3"/>
          <w:sz w:val="24"/>
          <w:szCs w:val="24"/>
        </w:rPr>
        <w:t>气环境应急预案启动时，停止施工作业。</w:t>
      </w:r>
    </w:p>
    <w:p w14:paraId="194465F3">
      <w:pPr>
        <w:spacing w:line="361" w:lineRule="auto"/>
        <w:rPr>
          <w:rFonts w:ascii="宋体" w:hAnsi="宋体" w:eastAsia="宋体" w:cs="宋体"/>
          <w:sz w:val="24"/>
          <w:szCs w:val="24"/>
        </w:rPr>
        <w:sectPr>
          <w:headerReference r:id="rId155" w:type="default"/>
          <w:footerReference r:id="rId156" w:type="default"/>
          <w:pgSz w:w="11905" w:h="16840"/>
          <w:pgMar w:top="1168" w:right="1735" w:bottom="1409" w:left="1770" w:header="828" w:footer="1244" w:gutter="0"/>
          <w:cols w:space="720" w:num="1"/>
        </w:sectPr>
      </w:pPr>
    </w:p>
    <w:p w14:paraId="17FB813E">
      <w:pPr>
        <w:pStyle w:val="2"/>
        <w:spacing w:line="306" w:lineRule="auto"/>
      </w:pPr>
    </w:p>
    <w:p w14:paraId="7ABF8738">
      <w:pPr>
        <w:spacing w:before="78" w:line="360" w:lineRule="auto"/>
        <w:ind w:left="38" w:right="21" w:firstLine="479"/>
        <w:rPr>
          <w:rFonts w:ascii="宋体" w:hAnsi="宋体" w:eastAsia="宋体" w:cs="宋体"/>
          <w:sz w:val="24"/>
          <w:szCs w:val="24"/>
        </w:rPr>
      </w:pPr>
      <w:r>
        <w:rPr>
          <w:rFonts w:ascii="宋体" w:hAnsi="宋体" w:eastAsia="宋体" w:cs="宋体"/>
          <w:spacing w:val="-3"/>
          <w:sz w:val="24"/>
          <w:szCs w:val="24"/>
        </w:rPr>
        <w:t>⑧施工工地必须贯彻执行内江市人民政府办</w:t>
      </w:r>
      <w:r>
        <w:rPr>
          <w:rFonts w:ascii="宋体" w:hAnsi="宋体" w:eastAsia="宋体" w:cs="宋体"/>
          <w:spacing w:val="-4"/>
          <w:sz w:val="24"/>
          <w:szCs w:val="24"/>
        </w:rPr>
        <w:t>公室关于印发《内江市大气污染</w:t>
      </w:r>
      <w:r>
        <w:rPr>
          <w:rFonts w:ascii="宋体" w:hAnsi="宋体" w:eastAsia="宋体" w:cs="宋体"/>
          <w:spacing w:val="1"/>
          <w:sz w:val="24"/>
          <w:szCs w:val="24"/>
        </w:rPr>
        <w:t>防治行动计划实施细则</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年度实施计划》</w:t>
      </w:r>
      <w:r>
        <w:rPr>
          <w:rFonts w:ascii="宋体" w:hAnsi="宋体" w:eastAsia="宋体" w:cs="宋体"/>
          <w:sz w:val="24"/>
          <w:szCs w:val="24"/>
        </w:rPr>
        <w:t>的通知（内府办发</w:t>
      </w:r>
      <w:r>
        <w:rPr>
          <w:rFonts w:ascii="Times New Roman" w:hAnsi="Times New Roman" w:eastAsia="Times New Roman" w:cs="Times New Roman"/>
          <w:sz w:val="24"/>
          <w:szCs w:val="24"/>
        </w:rPr>
        <w:t>[</w:t>
      </w:r>
      <w:r>
        <w:fldChar w:fldCharType="begin"/>
      </w:r>
      <w:r>
        <w:instrText xml:space="preserve"> HYPERLINK \l "bookmark143" </w:instrText>
      </w:r>
      <w:r>
        <w:fldChar w:fldCharType="separate"/>
      </w:r>
      <w:r>
        <w:rPr>
          <w:rFonts w:ascii="Times New Roman" w:hAnsi="Times New Roman" w:eastAsia="Times New Roman" w:cs="Times New Roman"/>
          <w:sz w:val="24"/>
          <w:szCs w:val="24"/>
        </w:rPr>
        <w:t>2017</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]49</w:t>
      </w:r>
      <w:r>
        <w:rPr>
          <w:rFonts w:ascii="宋体" w:hAnsi="宋体" w:eastAsia="宋体" w:cs="宋体"/>
          <w:sz w:val="24"/>
          <w:szCs w:val="24"/>
        </w:rPr>
        <w:t>号</w:t>
      </w:r>
      <w:r>
        <w:rPr>
          <w:rFonts w:ascii="宋体" w:hAnsi="宋体" w:eastAsia="宋体" w:cs="宋体"/>
          <w:spacing w:val="-31"/>
          <w:sz w:val="24"/>
          <w:szCs w:val="24"/>
        </w:rPr>
        <w:t>），</w:t>
      </w:r>
      <w:r>
        <w:rPr>
          <w:rFonts w:ascii="宋体" w:hAnsi="宋体" w:eastAsia="宋体" w:cs="宋体"/>
          <w:sz w:val="24"/>
          <w:szCs w:val="24"/>
        </w:rPr>
        <w:t>加</w:t>
      </w:r>
      <w:r>
        <w:rPr>
          <w:rFonts w:ascii="宋体" w:hAnsi="宋体" w:eastAsia="宋体" w:cs="宋体"/>
          <w:spacing w:val="-6"/>
          <w:sz w:val="24"/>
          <w:szCs w:val="24"/>
        </w:rPr>
        <w:t>强建设工程扬尘网格化、精细化管理， 推行绿色施工，制定</w:t>
      </w:r>
      <w:r>
        <w:rPr>
          <w:rFonts w:ascii="宋体" w:hAnsi="宋体" w:eastAsia="宋体" w:cs="宋体"/>
          <w:spacing w:val="-7"/>
          <w:sz w:val="24"/>
          <w:szCs w:val="24"/>
        </w:rPr>
        <w:t>、完善和严格执行建</w:t>
      </w:r>
      <w:r>
        <w:rPr>
          <w:rFonts w:ascii="宋体" w:hAnsi="宋体" w:eastAsia="宋体" w:cs="宋体"/>
          <w:spacing w:val="-1"/>
          <w:sz w:val="24"/>
          <w:szCs w:val="24"/>
        </w:rPr>
        <w:t>设施工管理制度，全面推行现场标准化管理；严格落实施工现场六个百</w:t>
      </w:r>
      <w:r>
        <w:rPr>
          <w:rFonts w:ascii="宋体" w:hAnsi="宋体" w:eastAsia="宋体" w:cs="宋体"/>
          <w:spacing w:val="-2"/>
          <w:sz w:val="24"/>
          <w:szCs w:val="24"/>
        </w:rPr>
        <w:t>分之百；</w:t>
      </w:r>
      <w:r>
        <w:rPr>
          <w:rFonts w:ascii="宋体" w:hAnsi="宋体" w:eastAsia="宋体" w:cs="宋体"/>
          <w:spacing w:val="-6"/>
          <w:sz w:val="24"/>
          <w:szCs w:val="24"/>
        </w:rPr>
        <w:t>加强建设工地监督检查，落实降尘、压尘和抑尘措施。在运输</w:t>
      </w:r>
      <w:r>
        <w:rPr>
          <w:rFonts w:ascii="宋体" w:hAnsi="宋体" w:eastAsia="宋体" w:cs="宋体"/>
          <w:spacing w:val="-7"/>
          <w:sz w:val="24"/>
          <w:szCs w:val="24"/>
        </w:rPr>
        <w:t>过程中， 应限制车</w:t>
      </w:r>
      <w:r>
        <w:rPr>
          <w:rFonts w:ascii="宋体" w:hAnsi="宋体" w:eastAsia="宋体" w:cs="宋体"/>
          <w:spacing w:val="4"/>
          <w:sz w:val="24"/>
          <w:szCs w:val="24"/>
        </w:rPr>
        <w:t>辆运输速度(≤</w:t>
      </w:r>
      <w:r>
        <w:rPr>
          <w:rFonts w:ascii="Times New Roman" w:hAnsi="Times New Roman" w:eastAsia="Times New Roman" w:cs="Times New Roman"/>
          <w:spacing w:val="4"/>
          <w:sz w:val="24"/>
          <w:szCs w:val="24"/>
        </w:rPr>
        <w:t>40</w:t>
      </w:r>
      <w:r>
        <w:rPr>
          <w:rFonts w:ascii="Times New Roman" w:hAnsi="Times New Roman" w:eastAsia="Times New Roman" w:cs="Times New Roman"/>
          <w:sz w:val="24"/>
          <w:szCs w:val="24"/>
        </w:rPr>
        <w:t>km</w:t>
      </w:r>
      <w:r>
        <w:rPr>
          <w:rFonts w:ascii="Times New Roman" w:hAnsi="Times New Roman" w:eastAsia="Times New Roman" w:cs="Times New Roman"/>
          <w:spacing w:val="4"/>
          <w:sz w:val="24"/>
          <w:szCs w:val="24"/>
        </w:rPr>
        <w:t>/h</w:t>
      </w:r>
      <w:r>
        <w:rPr>
          <w:rFonts w:ascii="宋体" w:hAnsi="宋体" w:eastAsia="宋体" w:cs="宋体"/>
          <w:spacing w:val="-62"/>
          <w:w w:val="97"/>
          <w:sz w:val="24"/>
          <w:szCs w:val="24"/>
        </w:rPr>
        <w:t>）；</w:t>
      </w:r>
      <w:r>
        <w:rPr>
          <w:rFonts w:ascii="宋体" w:hAnsi="宋体" w:eastAsia="宋体" w:cs="宋体"/>
          <w:spacing w:val="4"/>
          <w:sz w:val="24"/>
          <w:szCs w:val="24"/>
        </w:rPr>
        <w:t>通过强化城市环境综合管理，最</w:t>
      </w:r>
      <w:r>
        <w:rPr>
          <w:rFonts w:ascii="宋体" w:hAnsi="宋体" w:eastAsia="宋体" w:cs="宋体"/>
          <w:spacing w:val="3"/>
          <w:sz w:val="24"/>
          <w:szCs w:val="24"/>
        </w:rPr>
        <w:t>大程度降低施工期对</w:t>
      </w:r>
      <w:r>
        <w:rPr>
          <w:rFonts w:ascii="宋体" w:hAnsi="宋体" w:eastAsia="宋体" w:cs="宋体"/>
          <w:spacing w:val="-4"/>
          <w:sz w:val="24"/>
          <w:szCs w:val="24"/>
        </w:rPr>
        <w:t>周围大气环境的影响。</w:t>
      </w:r>
    </w:p>
    <w:p w14:paraId="2689D2F9">
      <w:pPr>
        <w:spacing w:before="1" w:line="218" w:lineRule="auto"/>
        <w:ind w:left="51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）施工车辆及机械运行排放的尾气</w:t>
      </w:r>
    </w:p>
    <w:p w14:paraId="23352079">
      <w:pPr>
        <w:spacing w:before="183" w:line="360" w:lineRule="auto"/>
        <w:ind w:left="39" w:right="85" w:firstLine="479"/>
        <w:jc w:val="both"/>
        <w:rPr>
          <w:rFonts w:ascii="宋体" w:hAnsi="宋体" w:eastAsia="宋体" w:cs="宋体"/>
          <w:sz w:val="24"/>
          <w:szCs w:val="24"/>
        </w:rPr>
      </w:pPr>
      <w:r>
        <w:rPr>
          <w:rFonts w:ascii="宋体" w:hAnsi="宋体" w:eastAsia="宋体" w:cs="宋体"/>
          <w:spacing w:val="-3"/>
          <w:sz w:val="24"/>
          <w:szCs w:val="24"/>
        </w:rPr>
        <w:t>施工期间，使用机动车运送原材料、设备和建筑机械设备的运转</w:t>
      </w:r>
      <w:r>
        <w:rPr>
          <w:rFonts w:ascii="宋体" w:hAnsi="宋体" w:eastAsia="宋体" w:cs="宋体"/>
          <w:spacing w:val="-4"/>
          <w:sz w:val="24"/>
          <w:szCs w:val="24"/>
        </w:rPr>
        <w:t>均会排放一</w:t>
      </w:r>
      <w:r>
        <w:rPr>
          <w:rFonts w:ascii="宋体" w:hAnsi="宋体" w:eastAsia="宋体" w:cs="宋体"/>
          <w:spacing w:val="-1"/>
          <w:sz w:val="24"/>
          <w:szCs w:val="24"/>
        </w:rPr>
        <w:t>定量的</w:t>
      </w:r>
      <w:r>
        <w:rPr>
          <w:rFonts w:ascii="Times New Roman" w:hAnsi="Times New Roman" w:eastAsia="Times New Roman" w:cs="Times New Roman"/>
          <w:spacing w:val="-1"/>
          <w:sz w:val="24"/>
          <w:szCs w:val="24"/>
        </w:rPr>
        <w:t>CO</w:t>
      </w:r>
      <w:r>
        <w:rPr>
          <w:rFonts w:ascii="宋体" w:hAnsi="宋体" w:eastAsia="宋体" w:cs="宋体"/>
          <w:spacing w:val="-1"/>
          <w:sz w:val="24"/>
          <w:szCs w:val="24"/>
        </w:rPr>
        <w:t>、</w:t>
      </w:r>
      <w:r>
        <w:rPr>
          <w:rFonts w:ascii="Times New Roman" w:hAnsi="Times New Roman" w:eastAsia="Times New Roman" w:cs="Times New Roman"/>
          <w:spacing w:val="-1"/>
          <w:sz w:val="24"/>
          <w:szCs w:val="24"/>
        </w:rPr>
        <w:t>NOx</w:t>
      </w:r>
      <w:r>
        <w:rPr>
          <w:rFonts w:ascii="宋体" w:hAnsi="宋体" w:eastAsia="宋体" w:cs="宋体"/>
          <w:spacing w:val="-1"/>
          <w:sz w:val="24"/>
          <w:szCs w:val="24"/>
        </w:rPr>
        <w:t>以及未完全燃烧的</w:t>
      </w:r>
      <w:r>
        <w:rPr>
          <w:rFonts w:ascii="Times New Roman" w:hAnsi="Times New Roman" w:eastAsia="Times New Roman" w:cs="Times New Roman"/>
          <w:spacing w:val="-1"/>
          <w:sz w:val="24"/>
          <w:szCs w:val="24"/>
        </w:rPr>
        <w:t>HC</w:t>
      </w:r>
      <w:r>
        <w:rPr>
          <w:rFonts w:ascii="宋体" w:hAnsi="宋体" w:eastAsia="宋体" w:cs="宋体"/>
          <w:spacing w:val="-1"/>
          <w:sz w:val="24"/>
          <w:szCs w:val="24"/>
        </w:rPr>
        <w:t>等，其特点是排放量小，属间断性无</w:t>
      </w:r>
      <w:r>
        <w:rPr>
          <w:rFonts w:ascii="宋体" w:hAnsi="宋体" w:eastAsia="宋体" w:cs="宋体"/>
          <w:spacing w:val="-2"/>
          <w:sz w:val="24"/>
          <w:szCs w:val="24"/>
        </w:rPr>
        <w:t>组织</w:t>
      </w:r>
      <w:r>
        <w:rPr>
          <w:rFonts w:ascii="宋体" w:hAnsi="宋体" w:eastAsia="宋体" w:cs="宋体"/>
          <w:spacing w:val="-10"/>
          <w:sz w:val="24"/>
          <w:szCs w:val="24"/>
        </w:rPr>
        <w:t>排放。</w:t>
      </w:r>
    </w:p>
    <w:p w14:paraId="10BB58B3">
      <w:pPr>
        <w:spacing w:line="360" w:lineRule="auto"/>
        <w:ind w:left="39" w:right="85" w:firstLine="485"/>
        <w:jc w:val="both"/>
        <w:rPr>
          <w:rFonts w:ascii="宋体" w:hAnsi="宋体" w:eastAsia="宋体" w:cs="宋体"/>
          <w:sz w:val="24"/>
          <w:szCs w:val="24"/>
        </w:rPr>
      </w:pPr>
      <w:r>
        <w:rPr>
          <w:rFonts w:ascii="宋体" w:hAnsi="宋体" w:eastAsia="宋体" w:cs="宋体"/>
          <w:spacing w:val="-3"/>
          <w:sz w:val="24"/>
          <w:szCs w:val="24"/>
        </w:rPr>
        <w:t>治理措施：施工期内注意施工机械及设备的维护，</w:t>
      </w:r>
      <w:r>
        <w:rPr>
          <w:rFonts w:ascii="宋体" w:hAnsi="宋体" w:eastAsia="宋体" w:cs="宋体"/>
          <w:spacing w:val="-4"/>
          <w:sz w:val="24"/>
          <w:szCs w:val="24"/>
        </w:rPr>
        <w:t>使其能够正常的运行，同</w:t>
      </w:r>
      <w:r>
        <w:rPr>
          <w:rFonts w:ascii="宋体" w:hAnsi="宋体" w:eastAsia="宋体" w:cs="宋体"/>
          <w:spacing w:val="-3"/>
          <w:sz w:val="24"/>
          <w:szCs w:val="24"/>
        </w:rPr>
        <w:t>时采用优质燃料，做好施工现场的交通组织，避免因施工造成的交通阻塞，减少运输车辆怠速产生的废气排放。</w:t>
      </w:r>
    </w:p>
    <w:p w14:paraId="628EE69B">
      <w:pPr>
        <w:spacing w:line="219" w:lineRule="auto"/>
        <w:ind w:left="519"/>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）装修装饰废气</w:t>
      </w:r>
    </w:p>
    <w:p w14:paraId="4EEDA3CC">
      <w:pPr>
        <w:spacing w:before="182" w:line="360" w:lineRule="auto"/>
        <w:ind w:left="39" w:right="85" w:firstLine="480"/>
        <w:rPr>
          <w:rFonts w:ascii="宋体" w:hAnsi="宋体" w:eastAsia="宋体" w:cs="宋体"/>
          <w:sz w:val="24"/>
          <w:szCs w:val="24"/>
        </w:rPr>
      </w:pPr>
      <w:r>
        <w:rPr>
          <w:rFonts w:ascii="宋体" w:hAnsi="宋体" w:eastAsia="宋体" w:cs="宋体"/>
          <w:spacing w:val="-3"/>
          <w:sz w:val="24"/>
          <w:szCs w:val="24"/>
        </w:rPr>
        <w:t>装修装饰废气主要来自于办公生活区建筑装修阶段，该废气的排</w:t>
      </w:r>
      <w:r>
        <w:rPr>
          <w:rFonts w:ascii="宋体" w:hAnsi="宋体" w:eastAsia="宋体" w:cs="宋体"/>
          <w:spacing w:val="-4"/>
          <w:sz w:val="24"/>
          <w:szCs w:val="24"/>
        </w:rPr>
        <w:t>放属无组织</w:t>
      </w:r>
      <w:r>
        <w:rPr>
          <w:rFonts w:ascii="宋体" w:hAnsi="宋体" w:eastAsia="宋体" w:cs="宋体"/>
          <w:spacing w:val="-11"/>
          <w:sz w:val="24"/>
          <w:szCs w:val="24"/>
        </w:rPr>
        <w:t>排放，其主要污染因子为二甲苯和甲苯，此外还有极少量的汽油、丁醇和丙醇等。</w:t>
      </w:r>
    </w:p>
    <w:p w14:paraId="30E8BF86">
      <w:pPr>
        <w:spacing w:line="360" w:lineRule="auto"/>
        <w:ind w:left="39" w:firstLine="485"/>
        <w:rPr>
          <w:rFonts w:ascii="宋体" w:hAnsi="宋体" w:eastAsia="宋体" w:cs="宋体"/>
          <w:sz w:val="24"/>
          <w:szCs w:val="24"/>
        </w:rPr>
      </w:pPr>
      <w:r>
        <w:rPr>
          <w:rFonts w:ascii="宋体" w:hAnsi="宋体" w:eastAsia="宋体" w:cs="宋体"/>
          <w:spacing w:val="-3"/>
          <w:sz w:val="24"/>
          <w:szCs w:val="24"/>
        </w:rPr>
        <w:t>治理措施：由于油漆废气的排放时间和部位不能十</w:t>
      </w:r>
      <w:r>
        <w:rPr>
          <w:rFonts w:ascii="宋体" w:hAnsi="宋体" w:eastAsia="宋体" w:cs="宋体"/>
          <w:spacing w:val="-4"/>
          <w:sz w:val="24"/>
          <w:szCs w:val="24"/>
        </w:rPr>
        <w:t>分明确，并且装修阶段的</w:t>
      </w:r>
      <w:r>
        <w:rPr>
          <w:rFonts w:ascii="宋体" w:hAnsi="宋体" w:eastAsia="宋体" w:cs="宋体"/>
          <w:spacing w:val="-1"/>
          <w:sz w:val="24"/>
          <w:szCs w:val="24"/>
        </w:rPr>
        <w:t>油漆废气排放周期短，且作业量较小。因此，要求施工单位在采用环保型涂料、</w:t>
      </w:r>
      <w:r>
        <w:rPr>
          <w:rFonts w:ascii="宋体" w:hAnsi="宋体" w:eastAsia="宋体" w:cs="宋体"/>
          <w:spacing w:val="-3"/>
          <w:sz w:val="24"/>
          <w:szCs w:val="24"/>
        </w:rPr>
        <w:t>加强室内通风换气，项目所在场地扩散条件较好，装修施工产生的废气可实现达</w:t>
      </w:r>
      <w:r>
        <w:rPr>
          <w:rFonts w:ascii="宋体" w:hAnsi="宋体" w:eastAsia="宋体" w:cs="宋体"/>
          <w:spacing w:val="-9"/>
          <w:sz w:val="24"/>
          <w:szCs w:val="24"/>
        </w:rPr>
        <w:t>标排放。</w:t>
      </w:r>
    </w:p>
    <w:p w14:paraId="329B1B3C">
      <w:pPr>
        <w:spacing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）噪声污染源</w:t>
      </w:r>
    </w:p>
    <w:p w14:paraId="23D8E20E">
      <w:pPr>
        <w:spacing w:before="181" w:line="361" w:lineRule="auto"/>
        <w:ind w:left="40" w:right="85" w:firstLine="478"/>
        <w:jc w:val="both"/>
        <w:rPr>
          <w:rFonts w:ascii="宋体" w:hAnsi="宋体" w:eastAsia="宋体" w:cs="宋体"/>
          <w:sz w:val="24"/>
          <w:szCs w:val="24"/>
        </w:rPr>
      </w:pPr>
      <w:r>
        <w:rPr>
          <w:rFonts w:ascii="宋体" w:hAnsi="宋体" w:eastAsia="宋体" w:cs="宋体"/>
          <w:spacing w:val="-3"/>
          <w:sz w:val="24"/>
          <w:szCs w:val="24"/>
        </w:rPr>
        <w:t>施工期的噪声主要来源于施工现场的各类机械设备噪声，由于各施</w:t>
      </w:r>
      <w:r>
        <w:rPr>
          <w:rFonts w:ascii="宋体" w:hAnsi="宋体" w:eastAsia="宋体" w:cs="宋体"/>
          <w:spacing w:val="-4"/>
          <w:sz w:val="24"/>
          <w:szCs w:val="24"/>
        </w:rPr>
        <w:t>工阶段均</w:t>
      </w:r>
      <w:r>
        <w:rPr>
          <w:rFonts w:ascii="宋体" w:hAnsi="宋体" w:eastAsia="宋体" w:cs="宋体"/>
          <w:spacing w:val="-3"/>
          <w:sz w:val="24"/>
          <w:szCs w:val="24"/>
        </w:rPr>
        <w:t>有大量设备交互作业，这些设备在场地内的位置以及使用率均有较大变化，因此很难计算其确切的施工场界噪声。在《环境噪声与振动控制工程技术导则》附录</w:t>
      </w:r>
      <w:r>
        <w:rPr>
          <w:rFonts w:ascii="宋体" w:hAnsi="宋体" w:eastAsia="宋体" w:cs="宋体"/>
          <w:spacing w:val="-2"/>
          <w:sz w:val="24"/>
          <w:szCs w:val="24"/>
        </w:rPr>
        <w:t>中给出的常见施工机械设备噪声源情况，详见下表。</w:t>
      </w:r>
    </w:p>
    <w:p w14:paraId="4CA198A0">
      <w:pPr>
        <w:spacing w:before="9" w:line="212" w:lineRule="auto"/>
        <w:ind w:left="1791"/>
        <w:rPr>
          <w:rFonts w:ascii="Times New Roman" w:hAnsi="Times New Roman" w:eastAsia="Times New Roman" w:cs="Times New Roman"/>
          <w:sz w:val="21"/>
          <w:szCs w:val="21"/>
        </w:rPr>
      </w:pPr>
      <w:r>
        <w:rPr>
          <w:rFonts w:ascii="黑体" w:hAnsi="黑体" w:eastAsia="黑体" w:cs="黑体"/>
          <w:spacing w:val="-1"/>
          <w:sz w:val="21"/>
          <w:szCs w:val="21"/>
        </w:rPr>
        <w:t>表</w:t>
      </w:r>
      <w:r>
        <w:rPr>
          <w:rFonts w:ascii="黑体" w:hAnsi="黑体" w:eastAsia="黑体" w:cs="黑体"/>
          <w:spacing w:val="-35"/>
          <w:sz w:val="21"/>
          <w:szCs w:val="21"/>
        </w:rPr>
        <w:t xml:space="preserve"> </w:t>
      </w:r>
      <w:r>
        <w:rPr>
          <w:rFonts w:ascii="Times New Roman" w:hAnsi="Times New Roman" w:eastAsia="Times New Roman" w:cs="Times New Roman"/>
          <w:spacing w:val="-1"/>
          <w:sz w:val="21"/>
          <w:szCs w:val="21"/>
        </w:rPr>
        <w:t xml:space="preserve">2.2-1  </w:t>
      </w:r>
      <w:r>
        <w:rPr>
          <w:rFonts w:ascii="黑体" w:hAnsi="黑体" w:eastAsia="黑体" w:cs="黑体"/>
          <w:spacing w:val="-1"/>
          <w:sz w:val="21"/>
          <w:szCs w:val="21"/>
        </w:rPr>
        <w:t>部分施工机械设备噪声声压级 单位：</w:t>
      </w:r>
      <w:r>
        <w:rPr>
          <w:rFonts w:ascii="Times New Roman" w:hAnsi="Times New Roman" w:eastAsia="Times New Roman" w:cs="Times New Roman"/>
          <w:spacing w:val="-1"/>
          <w:sz w:val="21"/>
          <w:szCs w:val="21"/>
        </w:rPr>
        <w:t>dB(A)</w:t>
      </w:r>
    </w:p>
    <w:p w14:paraId="3954F101">
      <w:pPr>
        <w:spacing w:line="9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0"/>
        <w:gridCol w:w="2301"/>
        <w:gridCol w:w="2380"/>
        <w:gridCol w:w="2389"/>
      </w:tblGrid>
      <w:tr w14:paraId="0ED85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50" w:type="dxa"/>
            <w:vAlign w:val="top"/>
          </w:tcPr>
          <w:p w14:paraId="7B3B4513">
            <w:pPr>
              <w:spacing w:before="68" w:line="221" w:lineRule="auto"/>
              <w:ind w:left="419"/>
              <w:rPr>
                <w:rFonts w:ascii="宋体" w:hAnsi="宋体" w:eastAsia="宋体" w:cs="宋体"/>
                <w:sz w:val="21"/>
                <w:szCs w:val="21"/>
              </w:rPr>
            </w:pPr>
            <w:r>
              <w:rPr>
                <w:rFonts w:ascii="宋体" w:hAnsi="宋体" w:eastAsia="宋体" w:cs="宋体"/>
                <w:spacing w:val="-2"/>
                <w:sz w:val="21"/>
                <w:szCs w:val="21"/>
              </w:rPr>
              <w:t>序号</w:t>
            </w:r>
          </w:p>
        </w:tc>
        <w:tc>
          <w:tcPr>
            <w:tcW w:w="2301" w:type="dxa"/>
            <w:vAlign w:val="top"/>
          </w:tcPr>
          <w:p w14:paraId="47DB29D6">
            <w:pPr>
              <w:spacing w:before="68" w:line="221" w:lineRule="auto"/>
              <w:ind w:left="732"/>
              <w:rPr>
                <w:rFonts w:ascii="宋体" w:hAnsi="宋体" w:eastAsia="宋体" w:cs="宋体"/>
                <w:sz w:val="21"/>
                <w:szCs w:val="21"/>
              </w:rPr>
            </w:pPr>
            <w:r>
              <w:rPr>
                <w:rFonts w:ascii="宋体" w:hAnsi="宋体" w:eastAsia="宋体" w:cs="宋体"/>
                <w:spacing w:val="-3"/>
                <w:sz w:val="21"/>
                <w:szCs w:val="21"/>
              </w:rPr>
              <w:t>设备名称</w:t>
            </w:r>
          </w:p>
        </w:tc>
        <w:tc>
          <w:tcPr>
            <w:tcW w:w="2380" w:type="dxa"/>
            <w:vAlign w:val="top"/>
          </w:tcPr>
          <w:p w14:paraId="310EB0CA">
            <w:pPr>
              <w:pStyle w:val="6"/>
              <w:spacing w:before="69" w:line="220" w:lineRule="auto"/>
              <w:ind w:left="609"/>
            </w:pPr>
            <w:r>
              <w:rPr>
                <w:rFonts w:ascii="宋体" w:hAnsi="宋体" w:eastAsia="宋体" w:cs="宋体"/>
                <w:spacing w:val="-2"/>
              </w:rPr>
              <w:t>距离声源</w:t>
            </w:r>
            <w:r>
              <w:rPr>
                <w:rFonts w:ascii="宋体" w:hAnsi="宋体" w:eastAsia="宋体" w:cs="宋体"/>
                <w:spacing w:val="-43"/>
              </w:rPr>
              <w:t xml:space="preserve"> </w:t>
            </w:r>
            <w:r>
              <w:rPr>
                <w:spacing w:val="-2"/>
              </w:rPr>
              <w:t>5m</w:t>
            </w:r>
          </w:p>
        </w:tc>
        <w:tc>
          <w:tcPr>
            <w:tcW w:w="2389" w:type="dxa"/>
            <w:vAlign w:val="top"/>
          </w:tcPr>
          <w:p w14:paraId="56975CB7">
            <w:pPr>
              <w:pStyle w:val="6"/>
              <w:spacing w:before="69" w:line="220" w:lineRule="auto"/>
              <w:ind w:left="560"/>
            </w:pPr>
            <w:r>
              <w:rPr>
                <w:rFonts w:ascii="宋体" w:hAnsi="宋体" w:eastAsia="宋体" w:cs="宋体"/>
                <w:spacing w:val="-5"/>
              </w:rPr>
              <w:t>距离声源</w:t>
            </w:r>
            <w:r>
              <w:rPr>
                <w:rFonts w:ascii="宋体" w:hAnsi="宋体" w:eastAsia="宋体" w:cs="宋体"/>
                <w:spacing w:val="-26"/>
              </w:rPr>
              <w:t xml:space="preserve"> </w:t>
            </w:r>
            <w:r>
              <w:rPr>
                <w:spacing w:val="-5"/>
              </w:rPr>
              <w:t>10m</w:t>
            </w:r>
          </w:p>
        </w:tc>
      </w:tr>
      <w:tr w14:paraId="747BF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250" w:type="dxa"/>
            <w:vAlign w:val="top"/>
          </w:tcPr>
          <w:p w14:paraId="15EA1002">
            <w:pPr>
              <w:pStyle w:val="6"/>
              <w:spacing w:before="103" w:line="188" w:lineRule="auto"/>
              <w:ind w:left="594"/>
            </w:pPr>
            <w:r>
              <w:t>1</w:t>
            </w:r>
          </w:p>
        </w:tc>
        <w:tc>
          <w:tcPr>
            <w:tcW w:w="2301" w:type="dxa"/>
            <w:vAlign w:val="top"/>
          </w:tcPr>
          <w:p w14:paraId="3A2471B4">
            <w:pPr>
              <w:spacing w:before="66" w:line="219" w:lineRule="auto"/>
              <w:ind w:left="625"/>
              <w:rPr>
                <w:rFonts w:ascii="宋体" w:hAnsi="宋体" w:eastAsia="宋体" w:cs="宋体"/>
                <w:sz w:val="21"/>
                <w:szCs w:val="21"/>
              </w:rPr>
            </w:pPr>
            <w:r>
              <w:rPr>
                <w:rFonts w:ascii="宋体" w:hAnsi="宋体" w:eastAsia="宋体" w:cs="宋体"/>
                <w:spacing w:val="-2"/>
                <w:sz w:val="21"/>
                <w:szCs w:val="21"/>
              </w:rPr>
              <w:t>液压挖掘机</w:t>
            </w:r>
          </w:p>
        </w:tc>
        <w:tc>
          <w:tcPr>
            <w:tcW w:w="2380" w:type="dxa"/>
            <w:vAlign w:val="top"/>
          </w:tcPr>
          <w:p w14:paraId="4BFC4ACB">
            <w:pPr>
              <w:pStyle w:val="6"/>
              <w:spacing w:before="102" w:line="188" w:lineRule="auto"/>
              <w:ind w:left="928"/>
            </w:pPr>
            <w:r>
              <w:rPr>
                <w:spacing w:val="-3"/>
              </w:rPr>
              <w:t>82~90</w:t>
            </w:r>
          </w:p>
        </w:tc>
        <w:tc>
          <w:tcPr>
            <w:tcW w:w="2389" w:type="dxa"/>
            <w:vAlign w:val="top"/>
          </w:tcPr>
          <w:p w14:paraId="39A20AFC">
            <w:pPr>
              <w:pStyle w:val="6"/>
              <w:spacing w:before="102" w:line="188" w:lineRule="auto"/>
              <w:ind w:left="927"/>
            </w:pPr>
            <w:r>
              <w:rPr>
                <w:spacing w:val="-2"/>
              </w:rPr>
              <w:t>78~86</w:t>
            </w:r>
          </w:p>
        </w:tc>
      </w:tr>
      <w:tr w14:paraId="33907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50" w:type="dxa"/>
            <w:vAlign w:val="top"/>
          </w:tcPr>
          <w:p w14:paraId="47C67D83">
            <w:pPr>
              <w:pStyle w:val="6"/>
              <w:spacing w:before="104" w:line="188" w:lineRule="auto"/>
              <w:ind w:left="574"/>
            </w:pPr>
            <w:r>
              <w:t>2</w:t>
            </w:r>
          </w:p>
        </w:tc>
        <w:tc>
          <w:tcPr>
            <w:tcW w:w="2301" w:type="dxa"/>
            <w:vAlign w:val="top"/>
          </w:tcPr>
          <w:p w14:paraId="66F07A52">
            <w:pPr>
              <w:spacing w:before="67" w:line="219" w:lineRule="auto"/>
              <w:ind w:left="648"/>
              <w:rPr>
                <w:rFonts w:ascii="宋体" w:hAnsi="宋体" w:eastAsia="宋体" w:cs="宋体"/>
                <w:sz w:val="21"/>
                <w:szCs w:val="21"/>
              </w:rPr>
            </w:pPr>
            <w:r>
              <w:rPr>
                <w:rFonts w:ascii="宋体" w:hAnsi="宋体" w:eastAsia="宋体" w:cs="宋体"/>
                <w:spacing w:val="-6"/>
                <w:sz w:val="21"/>
                <w:szCs w:val="21"/>
              </w:rPr>
              <w:t>电动挖掘机</w:t>
            </w:r>
          </w:p>
        </w:tc>
        <w:tc>
          <w:tcPr>
            <w:tcW w:w="2380" w:type="dxa"/>
            <w:vAlign w:val="top"/>
          </w:tcPr>
          <w:p w14:paraId="3FF7CE5E">
            <w:pPr>
              <w:pStyle w:val="6"/>
              <w:spacing w:before="104" w:line="188" w:lineRule="auto"/>
              <w:ind w:left="928"/>
            </w:pPr>
            <w:r>
              <w:rPr>
                <w:spacing w:val="-3"/>
              </w:rPr>
              <w:t>80~86</w:t>
            </w:r>
          </w:p>
        </w:tc>
        <w:tc>
          <w:tcPr>
            <w:tcW w:w="2389" w:type="dxa"/>
            <w:vAlign w:val="top"/>
          </w:tcPr>
          <w:p w14:paraId="1162A662">
            <w:pPr>
              <w:pStyle w:val="6"/>
              <w:spacing w:before="104" w:line="188" w:lineRule="auto"/>
              <w:ind w:left="927"/>
            </w:pPr>
            <w:r>
              <w:rPr>
                <w:spacing w:val="-2"/>
              </w:rPr>
              <w:t>75~83</w:t>
            </w:r>
          </w:p>
        </w:tc>
      </w:tr>
    </w:tbl>
    <w:p w14:paraId="490E13F1">
      <w:pPr>
        <w:pStyle w:val="2"/>
      </w:pPr>
    </w:p>
    <w:p w14:paraId="79AFE5B7">
      <w:pPr>
        <w:sectPr>
          <w:headerReference r:id="rId157" w:type="default"/>
          <w:footerReference r:id="rId158" w:type="default"/>
          <w:pgSz w:w="11905" w:h="16840"/>
          <w:pgMar w:top="1168" w:right="1712" w:bottom="1409" w:left="1770" w:header="828" w:footer="1244" w:gutter="0"/>
          <w:cols w:space="720" w:num="1"/>
        </w:sectPr>
      </w:pPr>
    </w:p>
    <w:p w14:paraId="0432948B">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0"/>
        <w:gridCol w:w="2301"/>
        <w:gridCol w:w="2380"/>
        <w:gridCol w:w="2389"/>
      </w:tblGrid>
      <w:tr w14:paraId="30E31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50" w:type="dxa"/>
            <w:vAlign w:val="top"/>
          </w:tcPr>
          <w:p w14:paraId="68255FFE">
            <w:pPr>
              <w:spacing w:before="68" w:line="221" w:lineRule="auto"/>
              <w:ind w:left="419"/>
              <w:rPr>
                <w:rFonts w:ascii="宋体" w:hAnsi="宋体" w:eastAsia="宋体" w:cs="宋体"/>
                <w:sz w:val="21"/>
                <w:szCs w:val="21"/>
              </w:rPr>
            </w:pPr>
            <w:r>
              <w:rPr>
                <w:rFonts w:ascii="宋体" w:hAnsi="宋体" w:eastAsia="宋体" w:cs="宋体"/>
                <w:spacing w:val="-2"/>
                <w:sz w:val="21"/>
                <w:szCs w:val="21"/>
              </w:rPr>
              <w:t>序号</w:t>
            </w:r>
          </w:p>
        </w:tc>
        <w:tc>
          <w:tcPr>
            <w:tcW w:w="2301" w:type="dxa"/>
            <w:vAlign w:val="top"/>
          </w:tcPr>
          <w:p w14:paraId="49425FE6">
            <w:pPr>
              <w:spacing w:before="68" w:line="221" w:lineRule="auto"/>
              <w:ind w:left="732"/>
              <w:rPr>
                <w:rFonts w:ascii="宋体" w:hAnsi="宋体" w:eastAsia="宋体" w:cs="宋体"/>
                <w:sz w:val="21"/>
                <w:szCs w:val="21"/>
              </w:rPr>
            </w:pPr>
            <w:r>
              <w:rPr>
                <w:rFonts w:ascii="宋体" w:hAnsi="宋体" w:eastAsia="宋体" w:cs="宋体"/>
                <w:spacing w:val="-3"/>
                <w:sz w:val="21"/>
                <w:szCs w:val="21"/>
              </w:rPr>
              <w:t>设备名称</w:t>
            </w:r>
          </w:p>
        </w:tc>
        <w:tc>
          <w:tcPr>
            <w:tcW w:w="2380" w:type="dxa"/>
            <w:vAlign w:val="top"/>
          </w:tcPr>
          <w:p w14:paraId="1FE095E8">
            <w:pPr>
              <w:pStyle w:val="6"/>
              <w:spacing w:before="69" w:line="220" w:lineRule="auto"/>
              <w:ind w:left="609"/>
            </w:pPr>
            <w:r>
              <w:rPr>
                <w:rFonts w:ascii="宋体" w:hAnsi="宋体" w:eastAsia="宋体" w:cs="宋体"/>
                <w:spacing w:val="-2"/>
              </w:rPr>
              <w:t>距离声源</w:t>
            </w:r>
            <w:r>
              <w:rPr>
                <w:rFonts w:ascii="宋体" w:hAnsi="宋体" w:eastAsia="宋体" w:cs="宋体"/>
                <w:spacing w:val="-43"/>
              </w:rPr>
              <w:t xml:space="preserve"> </w:t>
            </w:r>
            <w:r>
              <w:rPr>
                <w:spacing w:val="-2"/>
              </w:rPr>
              <w:t>5m</w:t>
            </w:r>
          </w:p>
        </w:tc>
        <w:tc>
          <w:tcPr>
            <w:tcW w:w="2389" w:type="dxa"/>
            <w:vAlign w:val="top"/>
          </w:tcPr>
          <w:p w14:paraId="53AF459D">
            <w:pPr>
              <w:pStyle w:val="6"/>
              <w:spacing w:before="69" w:line="220" w:lineRule="auto"/>
              <w:ind w:left="560"/>
            </w:pPr>
            <w:r>
              <w:rPr>
                <w:rFonts w:ascii="宋体" w:hAnsi="宋体" w:eastAsia="宋体" w:cs="宋体"/>
                <w:spacing w:val="-5"/>
              </w:rPr>
              <w:t>距离声源</w:t>
            </w:r>
            <w:r>
              <w:rPr>
                <w:rFonts w:ascii="宋体" w:hAnsi="宋体" w:eastAsia="宋体" w:cs="宋体"/>
                <w:spacing w:val="-26"/>
              </w:rPr>
              <w:t xml:space="preserve"> </w:t>
            </w:r>
            <w:r>
              <w:rPr>
                <w:spacing w:val="-5"/>
              </w:rPr>
              <w:t>10m</w:t>
            </w:r>
          </w:p>
        </w:tc>
      </w:tr>
      <w:tr w14:paraId="64C6F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50" w:type="dxa"/>
            <w:vAlign w:val="top"/>
          </w:tcPr>
          <w:p w14:paraId="6B4092F3">
            <w:pPr>
              <w:pStyle w:val="6"/>
              <w:spacing w:before="101" w:line="188" w:lineRule="auto"/>
              <w:ind w:left="578"/>
            </w:pPr>
            <w:r>
              <w:t>3</w:t>
            </w:r>
          </w:p>
        </w:tc>
        <w:tc>
          <w:tcPr>
            <w:tcW w:w="2301" w:type="dxa"/>
            <w:vAlign w:val="top"/>
          </w:tcPr>
          <w:p w14:paraId="35972885">
            <w:pPr>
              <w:spacing w:before="65" w:line="219" w:lineRule="auto"/>
              <w:ind w:left="623"/>
              <w:rPr>
                <w:rFonts w:ascii="宋体" w:hAnsi="宋体" w:eastAsia="宋体" w:cs="宋体"/>
                <w:sz w:val="21"/>
                <w:szCs w:val="21"/>
              </w:rPr>
            </w:pPr>
            <w:r>
              <w:rPr>
                <w:rFonts w:ascii="宋体" w:hAnsi="宋体" w:eastAsia="宋体" w:cs="宋体"/>
                <w:spacing w:val="-2"/>
                <w:sz w:val="21"/>
                <w:szCs w:val="21"/>
              </w:rPr>
              <w:t>轮式装载机</w:t>
            </w:r>
          </w:p>
        </w:tc>
        <w:tc>
          <w:tcPr>
            <w:tcW w:w="2380" w:type="dxa"/>
            <w:vAlign w:val="top"/>
          </w:tcPr>
          <w:p w14:paraId="668A567A">
            <w:pPr>
              <w:pStyle w:val="6"/>
              <w:spacing w:before="101" w:line="188" w:lineRule="auto"/>
              <w:ind w:left="923"/>
            </w:pPr>
            <w:r>
              <w:rPr>
                <w:spacing w:val="-2"/>
              </w:rPr>
              <w:t>90~95</w:t>
            </w:r>
          </w:p>
        </w:tc>
        <w:tc>
          <w:tcPr>
            <w:tcW w:w="2389" w:type="dxa"/>
            <w:vAlign w:val="top"/>
          </w:tcPr>
          <w:p w14:paraId="034157C9">
            <w:pPr>
              <w:pStyle w:val="6"/>
              <w:spacing w:before="101" w:line="188" w:lineRule="auto"/>
              <w:ind w:left="932"/>
            </w:pPr>
            <w:r>
              <w:rPr>
                <w:spacing w:val="-3"/>
              </w:rPr>
              <w:t>85~91</w:t>
            </w:r>
          </w:p>
        </w:tc>
      </w:tr>
      <w:tr w14:paraId="0FD6B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14:paraId="28181782">
            <w:pPr>
              <w:pStyle w:val="6"/>
              <w:spacing w:before="102" w:line="188" w:lineRule="auto"/>
              <w:ind w:left="573"/>
            </w:pPr>
            <w:r>
              <w:t>4</w:t>
            </w:r>
          </w:p>
        </w:tc>
        <w:tc>
          <w:tcPr>
            <w:tcW w:w="2301" w:type="dxa"/>
            <w:vAlign w:val="top"/>
          </w:tcPr>
          <w:p w14:paraId="1BC13E06">
            <w:pPr>
              <w:spacing w:before="65" w:line="219" w:lineRule="auto"/>
              <w:ind w:left="833"/>
              <w:rPr>
                <w:rFonts w:ascii="宋体" w:hAnsi="宋体" w:eastAsia="宋体" w:cs="宋体"/>
                <w:sz w:val="21"/>
                <w:szCs w:val="21"/>
              </w:rPr>
            </w:pPr>
            <w:r>
              <w:rPr>
                <w:rFonts w:ascii="宋体" w:hAnsi="宋体" w:eastAsia="宋体" w:cs="宋体"/>
                <w:spacing w:val="-2"/>
                <w:sz w:val="21"/>
                <w:szCs w:val="21"/>
              </w:rPr>
              <w:t>推土机</w:t>
            </w:r>
          </w:p>
        </w:tc>
        <w:tc>
          <w:tcPr>
            <w:tcW w:w="2380" w:type="dxa"/>
            <w:vAlign w:val="top"/>
          </w:tcPr>
          <w:p w14:paraId="42311705">
            <w:pPr>
              <w:pStyle w:val="6"/>
              <w:spacing w:before="102" w:line="188" w:lineRule="auto"/>
              <w:ind w:left="928"/>
            </w:pPr>
            <w:r>
              <w:rPr>
                <w:spacing w:val="-3"/>
              </w:rPr>
              <w:t>83~88</w:t>
            </w:r>
          </w:p>
        </w:tc>
        <w:tc>
          <w:tcPr>
            <w:tcW w:w="2389" w:type="dxa"/>
            <w:vAlign w:val="top"/>
          </w:tcPr>
          <w:p w14:paraId="69DE5989">
            <w:pPr>
              <w:pStyle w:val="6"/>
              <w:spacing w:before="102" w:line="188" w:lineRule="auto"/>
              <w:ind w:left="932"/>
            </w:pPr>
            <w:r>
              <w:rPr>
                <w:spacing w:val="-3"/>
              </w:rPr>
              <w:t>80~85</w:t>
            </w:r>
          </w:p>
        </w:tc>
      </w:tr>
      <w:tr w14:paraId="33ED7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14:paraId="020179F3">
            <w:pPr>
              <w:pStyle w:val="6"/>
              <w:spacing w:before="105" w:line="185" w:lineRule="auto"/>
              <w:ind w:left="579"/>
            </w:pPr>
            <w:r>
              <w:t>5</w:t>
            </w:r>
          </w:p>
        </w:tc>
        <w:tc>
          <w:tcPr>
            <w:tcW w:w="2301" w:type="dxa"/>
            <w:vAlign w:val="top"/>
          </w:tcPr>
          <w:p w14:paraId="1F4DD71E">
            <w:pPr>
              <w:spacing w:before="65" w:line="220" w:lineRule="auto"/>
              <w:ind w:left="624"/>
              <w:rPr>
                <w:rFonts w:ascii="宋体" w:hAnsi="宋体" w:eastAsia="宋体" w:cs="宋体"/>
                <w:sz w:val="21"/>
                <w:szCs w:val="21"/>
              </w:rPr>
            </w:pPr>
            <w:r>
              <w:rPr>
                <w:rFonts w:ascii="宋体" w:hAnsi="宋体" w:eastAsia="宋体" w:cs="宋体"/>
                <w:spacing w:val="-2"/>
                <w:sz w:val="21"/>
                <w:szCs w:val="21"/>
              </w:rPr>
              <w:t>重型运输车</w:t>
            </w:r>
          </w:p>
        </w:tc>
        <w:tc>
          <w:tcPr>
            <w:tcW w:w="2380" w:type="dxa"/>
            <w:vAlign w:val="top"/>
          </w:tcPr>
          <w:p w14:paraId="547D8C74">
            <w:pPr>
              <w:pStyle w:val="6"/>
              <w:spacing w:before="102" w:line="188" w:lineRule="auto"/>
              <w:ind w:left="928"/>
            </w:pPr>
            <w:r>
              <w:rPr>
                <w:spacing w:val="-3"/>
              </w:rPr>
              <w:t>82~90</w:t>
            </w:r>
          </w:p>
        </w:tc>
        <w:tc>
          <w:tcPr>
            <w:tcW w:w="2389" w:type="dxa"/>
            <w:vAlign w:val="top"/>
          </w:tcPr>
          <w:p w14:paraId="1162F4AD">
            <w:pPr>
              <w:pStyle w:val="6"/>
              <w:spacing w:before="102" w:line="188" w:lineRule="auto"/>
              <w:ind w:left="927"/>
            </w:pPr>
            <w:r>
              <w:rPr>
                <w:spacing w:val="-2"/>
              </w:rPr>
              <w:t>78~86</w:t>
            </w:r>
          </w:p>
        </w:tc>
      </w:tr>
      <w:tr w14:paraId="75590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50" w:type="dxa"/>
            <w:vAlign w:val="top"/>
          </w:tcPr>
          <w:p w14:paraId="2421AE2B">
            <w:pPr>
              <w:pStyle w:val="6"/>
              <w:spacing w:before="102" w:line="188" w:lineRule="auto"/>
              <w:ind w:left="578"/>
            </w:pPr>
            <w:r>
              <w:t>6</w:t>
            </w:r>
          </w:p>
        </w:tc>
        <w:tc>
          <w:tcPr>
            <w:tcW w:w="2301" w:type="dxa"/>
            <w:vAlign w:val="top"/>
          </w:tcPr>
          <w:p w14:paraId="581CB638">
            <w:pPr>
              <w:spacing w:before="66" w:line="220" w:lineRule="auto"/>
              <w:ind w:left="730"/>
              <w:rPr>
                <w:rFonts w:ascii="宋体" w:hAnsi="宋体" w:eastAsia="宋体" w:cs="宋体"/>
                <w:sz w:val="21"/>
                <w:szCs w:val="21"/>
              </w:rPr>
            </w:pPr>
            <w:r>
              <w:rPr>
                <w:rFonts w:ascii="宋体" w:hAnsi="宋体" w:eastAsia="宋体" w:cs="宋体"/>
                <w:spacing w:val="-2"/>
                <w:sz w:val="21"/>
                <w:szCs w:val="21"/>
              </w:rPr>
              <w:t>木工电锯</w:t>
            </w:r>
          </w:p>
        </w:tc>
        <w:tc>
          <w:tcPr>
            <w:tcW w:w="2380" w:type="dxa"/>
            <w:vAlign w:val="top"/>
          </w:tcPr>
          <w:p w14:paraId="360C08AB">
            <w:pPr>
              <w:pStyle w:val="6"/>
              <w:spacing w:before="102" w:line="188" w:lineRule="auto"/>
              <w:ind w:left="923"/>
            </w:pPr>
            <w:r>
              <w:rPr>
                <w:spacing w:val="-2"/>
              </w:rPr>
              <w:t>93~99</w:t>
            </w:r>
          </w:p>
        </w:tc>
        <w:tc>
          <w:tcPr>
            <w:tcW w:w="2389" w:type="dxa"/>
            <w:vAlign w:val="top"/>
          </w:tcPr>
          <w:p w14:paraId="1E2EB3A2">
            <w:pPr>
              <w:pStyle w:val="6"/>
              <w:spacing w:before="102" w:line="188" w:lineRule="auto"/>
              <w:ind w:left="928"/>
            </w:pPr>
            <w:r>
              <w:rPr>
                <w:spacing w:val="-2"/>
              </w:rPr>
              <w:t>93~99</w:t>
            </w:r>
          </w:p>
        </w:tc>
      </w:tr>
      <w:tr w14:paraId="6F614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14:paraId="2D4F960A">
            <w:pPr>
              <w:pStyle w:val="6"/>
              <w:spacing w:before="106" w:line="185" w:lineRule="auto"/>
              <w:ind w:left="577"/>
            </w:pPr>
            <w:r>
              <w:t>7</w:t>
            </w:r>
          </w:p>
        </w:tc>
        <w:tc>
          <w:tcPr>
            <w:tcW w:w="2301" w:type="dxa"/>
            <w:vAlign w:val="top"/>
          </w:tcPr>
          <w:p w14:paraId="3CAD3CF0">
            <w:pPr>
              <w:spacing w:before="66" w:line="225" w:lineRule="auto"/>
              <w:ind w:left="964"/>
              <w:rPr>
                <w:rFonts w:ascii="宋体" w:hAnsi="宋体" w:eastAsia="宋体" w:cs="宋体"/>
                <w:sz w:val="21"/>
                <w:szCs w:val="21"/>
              </w:rPr>
            </w:pPr>
            <w:r>
              <w:rPr>
                <w:rFonts w:ascii="宋体" w:hAnsi="宋体" w:eastAsia="宋体" w:cs="宋体"/>
                <w:spacing w:val="-9"/>
                <w:sz w:val="21"/>
                <w:szCs w:val="21"/>
              </w:rPr>
              <w:t>电锤</w:t>
            </w:r>
          </w:p>
        </w:tc>
        <w:tc>
          <w:tcPr>
            <w:tcW w:w="2380" w:type="dxa"/>
            <w:vAlign w:val="top"/>
          </w:tcPr>
          <w:p w14:paraId="43A4617F">
            <w:pPr>
              <w:pStyle w:val="6"/>
              <w:spacing w:before="103" w:line="188" w:lineRule="auto"/>
              <w:ind w:left="870"/>
            </w:pPr>
            <w:r>
              <w:rPr>
                <w:spacing w:val="-2"/>
              </w:rPr>
              <w:t>95~100</w:t>
            </w:r>
          </w:p>
        </w:tc>
        <w:tc>
          <w:tcPr>
            <w:tcW w:w="2389" w:type="dxa"/>
            <w:vAlign w:val="top"/>
          </w:tcPr>
          <w:p w14:paraId="72E48C30">
            <w:pPr>
              <w:pStyle w:val="6"/>
              <w:spacing w:before="103" w:line="188" w:lineRule="auto"/>
              <w:ind w:left="928"/>
            </w:pPr>
            <w:r>
              <w:rPr>
                <w:spacing w:val="-2"/>
              </w:rPr>
              <w:t>95~99</w:t>
            </w:r>
          </w:p>
        </w:tc>
      </w:tr>
      <w:tr w14:paraId="3398D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14:paraId="1C840DC1">
            <w:pPr>
              <w:pStyle w:val="6"/>
              <w:spacing w:before="103" w:line="188" w:lineRule="auto"/>
              <w:ind w:left="582"/>
            </w:pPr>
            <w:r>
              <w:t>8</w:t>
            </w:r>
          </w:p>
        </w:tc>
        <w:tc>
          <w:tcPr>
            <w:tcW w:w="2301" w:type="dxa"/>
            <w:vAlign w:val="top"/>
          </w:tcPr>
          <w:p w14:paraId="78B29CAC">
            <w:pPr>
              <w:spacing w:before="67" w:line="220" w:lineRule="auto"/>
              <w:ind w:left="728"/>
              <w:rPr>
                <w:rFonts w:ascii="宋体" w:hAnsi="宋体" w:eastAsia="宋体" w:cs="宋体"/>
                <w:sz w:val="21"/>
                <w:szCs w:val="21"/>
              </w:rPr>
            </w:pPr>
            <w:r>
              <w:rPr>
                <w:rFonts w:ascii="宋体" w:hAnsi="宋体" w:eastAsia="宋体" w:cs="宋体"/>
                <w:spacing w:val="-2"/>
                <w:sz w:val="21"/>
                <w:szCs w:val="21"/>
              </w:rPr>
              <w:t>振动夯锤</w:t>
            </w:r>
          </w:p>
        </w:tc>
        <w:tc>
          <w:tcPr>
            <w:tcW w:w="2380" w:type="dxa"/>
            <w:vAlign w:val="top"/>
          </w:tcPr>
          <w:p w14:paraId="455B5249">
            <w:pPr>
              <w:pStyle w:val="6"/>
              <w:spacing w:before="103" w:line="188" w:lineRule="auto"/>
              <w:ind w:left="870"/>
            </w:pPr>
            <w:r>
              <w:rPr>
                <w:spacing w:val="-2"/>
              </w:rPr>
              <w:t>92~100</w:t>
            </w:r>
          </w:p>
        </w:tc>
        <w:tc>
          <w:tcPr>
            <w:tcW w:w="2389" w:type="dxa"/>
            <w:vAlign w:val="top"/>
          </w:tcPr>
          <w:p w14:paraId="3FC86926">
            <w:pPr>
              <w:pStyle w:val="6"/>
              <w:spacing w:before="103" w:line="188" w:lineRule="auto"/>
              <w:ind w:left="932"/>
            </w:pPr>
            <w:r>
              <w:rPr>
                <w:spacing w:val="-3"/>
              </w:rPr>
              <w:t>86~94</w:t>
            </w:r>
          </w:p>
        </w:tc>
      </w:tr>
      <w:tr w14:paraId="65A68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50" w:type="dxa"/>
            <w:vAlign w:val="top"/>
          </w:tcPr>
          <w:p w14:paraId="47903740">
            <w:pPr>
              <w:pStyle w:val="6"/>
              <w:spacing w:before="103" w:line="188" w:lineRule="auto"/>
              <w:ind w:left="578"/>
            </w:pPr>
            <w:r>
              <w:t>9</w:t>
            </w:r>
          </w:p>
        </w:tc>
        <w:tc>
          <w:tcPr>
            <w:tcW w:w="2301" w:type="dxa"/>
            <w:vAlign w:val="top"/>
          </w:tcPr>
          <w:p w14:paraId="683FE638">
            <w:pPr>
              <w:spacing w:before="67" w:line="219" w:lineRule="auto"/>
              <w:ind w:left="624"/>
              <w:rPr>
                <w:rFonts w:ascii="宋体" w:hAnsi="宋体" w:eastAsia="宋体" w:cs="宋体"/>
                <w:sz w:val="21"/>
                <w:szCs w:val="21"/>
              </w:rPr>
            </w:pPr>
            <w:r>
              <w:rPr>
                <w:rFonts w:ascii="宋体" w:hAnsi="宋体" w:eastAsia="宋体" w:cs="宋体"/>
                <w:spacing w:val="-2"/>
                <w:sz w:val="21"/>
                <w:szCs w:val="21"/>
              </w:rPr>
              <w:t>静力压桩机</w:t>
            </w:r>
          </w:p>
        </w:tc>
        <w:tc>
          <w:tcPr>
            <w:tcW w:w="2380" w:type="dxa"/>
            <w:vAlign w:val="top"/>
          </w:tcPr>
          <w:p w14:paraId="637C0FB7">
            <w:pPr>
              <w:pStyle w:val="6"/>
              <w:spacing w:before="103" w:line="188" w:lineRule="auto"/>
              <w:ind w:left="922"/>
            </w:pPr>
            <w:r>
              <w:rPr>
                <w:spacing w:val="-2"/>
              </w:rPr>
              <w:t>70~75</w:t>
            </w:r>
          </w:p>
        </w:tc>
        <w:tc>
          <w:tcPr>
            <w:tcW w:w="2389" w:type="dxa"/>
            <w:vAlign w:val="top"/>
          </w:tcPr>
          <w:p w14:paraId="424D4704">
            <w:pPr>
              <w:pStyle w:val="6"/>
              <w:spacing w:before="103" w:line="188" w:lineRule="auto"/>
              <w:ind w:left="928"/>
            </w:pPr>
            <w:r>
              <w:rPr>
                <w:spacing w:val="-2"/>
              </w:rPr>
              <w:t>68~73</w:t>
            </w:r>
          </w:p>
        </w:tc>
      </w:tr>
      <w:tr w14:paraId="30AB5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50" w:type="dxa"/>
            <w:vAlign w:val="top"/>
          </w:tcPr>
          <w:p w14:paraId="403E1AF1">
            <w:pPr>
              <w:pStyle w:val="6"/>
              <w:spacing w:before="104" w:line="188" w:lineRule="auto"/>
              <w:ind w:left="541"/>
            </w:pPr>
            <w:r>
              <w:rPr>
                <w:spacing w:val="-6"/>
              </w:rPr>
              <w:t>10</w:t>
            </w:r>
          </w:p>
        </w:tc>
        <w:tc>
          <w:tcPr>
            <w:tcW w:w="2301" w:type="dxa"/>
            <w:vAlign w:val="top"/>
          </w:tcPr>
          <w:p w14:paraId="4AE1155A">
            <w:pPr>
              <w:spacing w:before="67" w:line="220" w:lineRule="auto"/>
              <w:ind w:left="522"/>
              <w:rPr>
                <w:rFonts w:ascii="宋体" w:hAnsi="宋体" w:eastAsia="宋体" w:cs="宋体"/>
                <w:sz w:val="21"/>
                <w:szCs w:val="21"/>
              </w:rPr>
            </w:pPr>
            <w:r>
              <w:rPr>
                <w:rFonts w:ascii="宋体" w:hAnsi="宋体" w:eastAsia="宋体" w:cs="宋体"/>
                <w:spacing w:val="-2"/>
                <w:sz w:val="21"/>
                <w:szCs w:val="21"/>
              </w:rPr>
              <w:t>混凝土振捣器</w:t>
            </w:r>
          </w:p>
        </w:tc>
        <w:tc>
          <w:tcPr>
            <w:tcW w:w="2380" w:type="dxa"/>
            <w:vAlign w:val="top"/>
          </w:tcPr>
          <w:p w14:paraId="7D8A2FAA">
            <w:pPr>
              <w:pStyle w:val="6"/>
              <w:spacing w:before="104" w:line="188" w:lineRule="auto"/>
              <w:ind w:left="928"/>
            </w:pPr>
            <w:r>
              <w:rPr>
                <w:spacing w:val="-3"/>
              </w:rPr>
              <w:t>80~88</w:t>
            </w:r>
          </w:p>
        </w:tc>
        <w:tc>
          <w:tcPr>
            <w:tcW w:w="2389" w:type="dxa"/>
            <w:vAlign w:val="top"/>
          </w:tcPr>
          <w:p w14:paraId="656E0DD7">
            <w:pPr>
              <w:pStyle w:val="6"/>
              <w:spacing w:before="104" w:line="188" w:lineRule="auto"/>
              <w:ind w:left="927"/>
            </w:pPr>
            <w:r>
              <w:rPr>
                <w:spacing w:val="-2"/>
              </w:rPr>
              <w:t>75~84</w:t>
            </w:r>
          </w:p>
        </w:tc>
      </w:tr>
      <w:tr w14:paraId="31516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50" w:type="dxa"/>
            <w:vAlign w:val="top"/>
          </w:tcPr>
          <w:p w14:paraId="798B4283">
            <w:pPr>
              <w:pStyle w:val="6"/>
              <w:spacing w:before="104" w:line="188" w:lineRule="auto"/>
              <w:ind w:left="541"/>
            </w:pPr>
            <w:r>
              <w:rPr>
                <w:spacing w:val="-6"/>
              </w:rPr>
              <w:t>11</w:t>
            </w:r>
          </w:p>
        </w:tc>
        <w:tc>
          <w:tcPr>
            <w:tcW w:w="2301" w:type="dxa"/>
            <w:vAlign w:val="top"/>
          </w:tcPr>
          <w:p w14:paraId="270D296D">
            <w:pPr>
              <w:spacing w:before="67" w:line="219" w:lineRule="auto"/>
              <w:ind w:left="840"/>
              <w:rPr>
                <w:rFonts w:ascii="宋体" w:hAnsi="宋体" w:eastAsia="宋体" w:cs="宋体"/>
                <w:sz w:val="21"/>
                <w:szCs w:val="21"/>
              </w:rPr>
            </w:pPr>
            <w:r>
              <w:rPr>
                <w:rFonts w:ascii="宋体" w:hAnsi="宋体" w:eastAsia="宋体" w:cs="宋体"/>
                <w:spacing w:val="-4"/>
                <w:sz w:val="21"/>
                <w:szCs w:val="21"/>
              </w:rPr>
              <w:t>空压机</w:t>
            </w:r>
          </w:p>
        </w:tc>
        <w:tc>
          <w:tcPr>
            <w:tcW w:w="2380" w:type="dxa"/>
            <w:vAlign w:val="top"/>
          </w:tcPr>
          <w:p w14:paraId="0A01996F">
            <w:pPr>
              <w:pStyle w:val="6"/>
              <w:spacing w:before="104" w:line="188" w:lineRule="auto"/>
              <w:ind w:left="928"/>
            </w:pPr>
            <w:r>
              <w:rPr>
                <w:spacing w:val="-3"/>
              </w:rPr>
              <w:t>88~92</w:t>
            </w:r>
          </w:p>
        </w:tc>
        <w:tc>
          <w:tcPr>
            <w:tcW w:w="2389" w:type="dxa"/>
            <w:vAlign w:val="top"/>
          </w:tcPr>
          <w:p w14:paraId="45AEA136">
            <w:pPr>
              <w:pStyle w:val="6"/>
              <w:spacing w:before="104" w:line="188" w:lineRule="auto"/>
              <w:ind w:left="932"/>
            </w:pPr>
            <w:r>
              <w:rPr>
                <w:spacing w:val="-3"/>
              </w:rPr>
              <w:t>83~88</w:t>
            </w:r>
          </w:p>
        </w:tc>
      </w:tr>
    </w:tbl>
    <w:p w14:paraId="5B7459B7">
      <w:pPr>
        <w:spacing w:before="234" w:line="360" w:lineRule="auto"/>
        <w:ind w:left="39" w:right="66" w:firstLine="479"/>
        <w:jc w:val="both"/>
        <w:rPr>
          <w:rFonts w:ascii="宋体" w:hAnsi="宋体" w:eastAsia="宋体" w:cs="宋体"/>
          <w:sz w:val="24"/>
          <w:szCs w:val="24"/>
        </w:rPr>
      </w:pPr>
      <w:r>
        <w:rPr>
          <w:rFonts w:ascii="宋体" w:hAnsi="宋体" w:eastAsia="宋体" w:cs="宋体"/>
          <w:spacing w:val="-5"/>
          <w:sz w:val="24"/>
          <w:szCs w:val="24"/>
        </w:rPr>
        <w:t>施工期间产生的噪声具有阶段性、临时性和不固</w:t>
      </w:r>
      <w:r>
        <w:rPr>
          <w:rFonts w:ascii="宋体" w:hAnsi="宋体" w:eastAsia="宋体" w:cs="宋体"/>
          <w:spacing w:val="-6"/>
          <w:sz w:val="24"/>
          <w:szCs w:val="24"/>
        </w:rPr>
        <w:t>定性，</w:t>
      </w:r>
      <w:r>
        <w:rPr>
          <w:rFonts w:ascii="宋体" w:hAnsi="宋体" w:eastAsia="宋体" w:cs="宋体"/>
          <w:spacing w:val="-47"/>
          <w:sz w:val="24"/>
          <w:szCs w:val="24"/>
        </w:rPr>
        <w:t xml:space="preserve"> </w:t>
      </w:r>
      <w:r>
        <w:rPr>
          <w:rFonts w:ascii="宋体" w:hAnsi="宋体" w:eastAsia="宋体" w:cs="宋体"/>
          <w:spacing w:val="-6"/>
          <w:sz w:val="24"/>
          <w:szCs w:val="24"/>
        </w:rPr>
        <w:t>工程施工尽可能地安</w:t>
      </w:r>
      <w:r>
        <w:rPr>
          <w:rFonts w:ascii="宋体" w:hAnsi="宋体" w:eastAsia="宋体" w:cs="宋体"/>
          <w:spacing w:val="-3"/>
          <w:sz w:val="24"/>
          <w:szCs w:val="24"/>
        </w:rPr>
        <w:t>排在白天进行，以减少噪声扰民的程度。由于本项目四周及运输路线分布有散居</w:t>
      </w:r>
      <w:r>
        <w:rPr>
          <w:rFonts w:ascii="宋体" w:hAnsi="宋体" w:eastAsia="宋体" w:cs="宋体"/>
          <w:spacing w:val="-6"/>
          <w:sz w:val="24"/>
          <w:szCs w:val="24"/>
        </w:rPr>
        <w:t>农户，本项目施工会对其造成一定影响。因此， 评价要求施工</w:t>
      </w:r>
      <w:r>
        <w:rPr>
          <w:rFonts w:ascii="宋体" w:hAnsi="宋体" w:eastAsia="宋体" w:cs="宋体"/>
          <w:spacing w:val="-7"/>
          <w:sz w:val="24"/>
          <w:szCs w:val="24"/>
        </w:rPr>
        <w:t>单位采取以下降噪</w:t>
      </w:r>
      <w:r>
        <w:rPr>
          <w:rFonts w:ascii="宋体" w:hAnsi="宋体" w:eastAsia="宋体" w:cs="宋体"/>
          <w:spacing w:val="-15"/>
          <w:sz w:val="24"/>
          <w:szCs w:val="24"/>
        </w:rPr>
        <w:t>措施：</w:t>
      </w:r>
    </w:p>
    <w:p w14:paraId="04291195">
      <w:pPr>
        <w:spacing w:before="2" w:line="359" w:lineRule="auto"/>
        <w:ind w:left="41" w:right="66" w:firstLine="477"/>
        <w:rPr>
          <w:rFonts w:ascii="宋体" w:hAnsi="宋体" w:eastAsia="宋体" w:cs="宋体"/>
          <w:sz w:val="24"/>
          <w:szCs w:val="24"/>
        </w:rPr>
      </w:pPr>
      <w:r>
        <w:rPr>
          <w:rFonts w:ascii="宋体" w:hAnsi="宋体" w:eastAsia="宋体" w:cs="宋体"/>
          <w:spacing w:val="-3"/>
          <w:sz w:val="24"/>
          <w:szCs w:val="24"/>
        </w:rPr>
        <w:t>①合理布置施工总平面图，将高噪声的作业点布置在施工场地中央</w:t>
      </w:r>
      <w:r>
        <w:rPr>
          <w:rFonts w:ascii="宋体" w:hAnsi="宋体" w:eastAsia="宋体" w:cs="宋体"/>
          <w:spacing w:val="-4"/>
          <w:sz w:val="24"/>
          <w:szCs w:val="24"/>
        </w:rPr>
        <w:t>，有效利</w:t>
      </w:r>
      <w:r>
        <w:rPr>
          <w:rFonts w:ascii="宋体" w:hAnsi="宋体" w:eastAsia="宋体" w:cs="宋体"/>
          <w:spacing w:val="-2"/>
          <w:sz w:val="24"/>
          <w:szCs w:val="24"/>
        </w:rPr>
        <w:t>用噪声传播距离衰减作用减轻施工噪声对周围农户的影响。</w:t>
      </w:r>
    </w:p>
    <w:p w14:paraId="150A270A">
      <w:pPr>
        <w:spacing w:before="3" w:line="359" w:lineRule="auto"/>
        <w:ind w:left="38" w:right="66" w:firstLine="479"/>
        <w:rPr>
          <w:rFonts w:ascii="宋体" w:hAnsi="宋体" w:eastAsia="宋体" w:cs="宋体"/>
          <w:sz w:val="24"/>
          <w:szCs w:val="24"/>
        </w:rPr>
      </w:pPr>
      <w:r>
        <w:rPr>
          <w:rFonts w:ascii="宋体" w:hAnsi="宋体" w:eastAsia="宋体" w:cs="宋体"/>
          <w:spacing w:val="-3"/>
          <w:sz w:val="24"/>
          <w:szCs w:val="24"/>
        </w:rPr>
        <w:t>②合理安排施工时间，土石方开挖等强噪声施工作业安排在昼间进</w:t>
      </w:r>
      <w:r>
        <w:rPr>
          <w:rFonts w:ascii="宋体" w:hAnsi="宋体" w:eastAsia="宋体" w:cs="宋体"/>
          <w:spacing w:val="-4"/>
          <w:sz w:val="24"/>
          <w:szCs w:val="24"/>
        </w:rPr>
        <w:t>行，禁止</w:t>
      </w:r>
      <w:r>
        <w:rPr>
          <w:rFonts w:ascii="宋体" w:hAnsi="宋体" w:eastAsia="宋体" w:cs="宋体"/>
          <w:spacing w:val="-7"/>
          <w:sz w:val="24"/>
          <w:szCs w:val="24"/>
        </w:rPr>
        <w:t>在夜间（时间为</w:t>
      </w:r>
      <w:r>
        <w:rPr>
          <w:rFonts w:ascii="Times New Roman" w:hAnsi="Times New Roman" w:eastAsia="Times New Roman" w:cs="Times New Roman"/>
          <w:spacing w:val="-7"/>
          <w:sz w:val="24"/>
          <w:szCs w:val="24"/>
        </w:rPr>
        <w:t>22</w:t>
      </w:r>
      <w:r>
        <w:rPr>
          <w:rFonts w:ascii="宋体" w:hAnsi="宋体" w:eastAsia="宋体" w:cs="宋体"/>
          <w:spacing w:val="-7"/>
          <w:sz w:val="24"/>
          <w:szCs w:val="24"/>
        </w:rPr>
        <w:t>：</w:t>
      </w:r>
      <w:r>
        <w:rPr>
          <w:rFonts w:ascii="Times New Roman" w:hAnsi="Times New Roman" w:eastAsia="Times New Roman" w:cs="Times New Roman"/>
          <w:spacing w:val="-7"/>
          <w:sz w:val="24"/>
          <w:szCs w:val="24"/>
        </w:rPr>
        <w:t>00~6</w:t>
      </w:r>
      <w:r>
        <w:rPr>
          <w:rFonts w:ascii="宋体" w:hAnsi="宋体" w:eastAsia="宋体" w:cs="宋体"/>
          <w:spacing w:val="-7"/>
          <w:sz w:val="24"/>
          <w:szCs w:val="24"/>
        </w:rPr>
        <w:t>：</w:t>
      </w:r>
      <w:r>
        <w:rPr>
          <w:rFonts w:ascii="Times New Roman" w:hAnsi="Times New Roman" w:eastAsia="Times New Roman" w:cs="Times New Roman"/>
          <w:spacing w:val="-7"/>
          <w:sz w:val="24"/>
          <w:szCs w:val="24"/>
        </w:rPr>
        <w:t>00</w:t>
      </w:r>
      <w:r>
        <w:rPr>
          <w:rFonts w:ascii="宋体" w:hAnsi="宋体" w:eastAsia="宋体" w:cs="宋体"/>
          <w:spacing w:val="-7"/>
          <w:sz w:val="24"/>
          <w:szCs w:val="24"/>
        </w:rPr>
        <w:t>）施工。在施工过程中，</w:t>
      </w:r>
      <w:r>
        <w:rPr>
          <w:rFonts w:ascii="宋体" w:hAnsi="宋体" w:eastAsia="宋体" w:cs="宋体"/>
          <w:spacing w:val="47"/>
          <w:sz w:val="24"/>
          <w:szCs w:val="24"/>
        </w:rPr>
        <w:t xml:space="preserve"> </w:t>
      </w:r>
      <w:r>
        <w:rPr>
          <w:rFonts w:ascii="宋体" w:hAnsi="宋体" w:eastAsia="宋体" w:cs="宋体"/>
          <w:spacing w:val="-7"/>
          <w:sz w:val="24"/>
          <w:szCs w:val="24"/>
        </w:rPr>
        <w:t>尽量减少</w:t>
      </w:r>
      <w:r>
        <w:rPr>
          <w:rFonts w:ascii="宋体" w:hAnsi="宋体" w:eastAsia="宋体" w:cs="宋体"/>
          <w:spacing w:val="-8"/>
          <w:sz w:val="24"/>
          <w:szCs w:val="24"/>
        </w:rPr>
        <w:t>运行动力机械设</w:t>
      </w:r>
      <w:r>
        <w:rPr>
          <w:rFonts w:ascii="宋体" w:hAnsi="宋体" w:eastAsia="宋体" w:cs="宋体"/>
          <w:spacing w:val="-2"/>
          <w:sz w:val="24"/>
          <w:szCs w:val="24"/>
        </w:rPr>
        <w:t>备的数量，尽可能使动力机械设备比较均匀地使用。</w:t>
      </w:r>
    </w:p>
    <w:p w14:paraId="169BFB12">
      <w:pPr>
        <w:spacing w:line="360" w:lineRule="auto"/>
        <w:ind w:left="50" w:right="66" w:firstLine="466"/>
        <w:rPr>
          <w:rFonts w:ascii="宋体" w:hAnsi="宋体" w:eastAsia="宋体" w:cs="宋体"/>
          <w:sz w:val="24"/>
          <w:szCs w:val="24"/>
        </w:rPr>
      </w:pPr>
      <w:r>
        <w:rPr>
          <w:rFonts w:ascii="宋体" w:hAnsi="宋体" w:eastAsia="宋体" w:cs="宋体"/>
          <w:spacing w:val="-3"/>
          <w:sz w:val="24"/>
          <w:szCs w:val="24"/>
        </w:rPr>
        <w:t>③选用低噪声设备，加强施工机械及设备的维护和操作管理；对空</w:t>
      </w:r>
      <w:r>
        <w:rPr>
          <w:rFonts w:ascii="宋体" w:hAnsi="宋体" w:eastAsia="宋体" w:cs="宋体"/>
          <w:spacing w:val="-4"/>
          <w:sz w:val="24"/>
          <w:szCs w:val="24"/>
        </w:rPr>
        <w:t>压机等高</w:t>
      </w:r>
      <w:r>
        <w:rPr>
          <w:rFonts w:ascii="宋体" w:hAnsi="宋体" w:eastAsia="宋体" w:cs="宋体"/>
          <w:spacing w:val="-3"/>
          <w:sz w:val="24"/>
          <w:szCs w:val="24"/>
        </w:rPr>
        <w:t>噪声设备，采取基础设置减振垫，四周设置围挡。</w:t>
      </w:r>
    </w:p>
    <w:p w14:paraId="7D7136B3">
      <w:pPr>
        <w:spacing w:before="2" w:line="359" w:lineRule="auto"/>
        <w:ind w:left="39" w:right="66" w:firstLine="478"/>
        <w:rPr>
          <w:rFonts w:ascii="宋体" w:hAnsi="宋体" w:eastAsia="宋体" w:cs="宋体"/>
          <w:sz w:val="24"/>
          <w:szCs w:val="24"/>
        </w:rPr>
      </w:pPr>
      <w:r>
        <w:rPr>
          <w:rFonts w:ascii="宋体" w:hAnsi="宋体" w:eastAsia="宋体" w:cs="宋体"/>
          <w:spacing w:val="-3"/>
          <w:sz w:val="24"/>
          <w:szCs w:val="24"/>
        </w:rPr>
        <w:t>④文明施工，建立健全控制人为噪声管理制度；运输材料和设备时</w:t>
      </w:r>
      <w:r>
        <w:rPr>
          <w:rFonts w:ascii="宋体" w:hAnsi="宋体" w:eastAsia="宋体" w:cs="宋体"/>
          <w:spacing w:val="-4"/>
          <w:sz w:val="24"/>
          <w:szCs w:val="24"/>
        </w:rPr>
        <w:t>，轻拿轻</w:t>
      </w:r>
      <w:r>
        <w:rPr>
          <w:rFonts w:ascii="宋体" w:hAnsi="宋体" w:eastAsia="宋体" w:cs="宋体"/>
          <w:spacing w:val="-2"/>
          <w:sz w:val="24"/>
          <w:szCs w:val="24"/>
        </w:rPr>
        <w:t>放，严禁野蛮装卸，尽量减少车辆鸣笛次数及汽车启动频率。</w:t>
      </w:r>
    </w:p>
    <w:p w14:paraId="67BC581A">
      <w:pPr>
        <w:spacing w:line="360" w:lineRule="auto"/>
        <w:ind w:left="51" w:right="66" w:firstLine="465"/>
        <w:rPr>
          <w:rFonts w:ascii="宋体" w:hAnsi="宋体" w:eastAsia="宋体" w:cs="宋体"/>
          <w:sz w:val="24"/>
          <w:szCs w:val="24"/>
        </w:rPr>
      </w:pPr>
      <w:r>
        <w:rPr>
          <w:rFonts w:ascii="宋体" w:hAnsi="宋体" w:eastAsia="宋体" w:cs="宋体"/>
          <w:spacing w:val="-7"/>
          <w:sz w:val="24"/>
          <w:szCs w:val="24"/>
        </w:rPr>
        <w:t>⑤建材、施工机械运输选择影响最小的路线， 途径敏感点时减速慢行，严禁</w:t>
      </w:r>
      <w:r>
        <w:rPr>
          <w:rFonts w:ascii="宋体" w:hAnsi="宋体" w:eastAsia="宋体" w:cs="宋体"/>
          <w:spacing w:val="-13"/>
          <w:sz w:val="24"/>
          <w:szCs w:val="24"/>
        </w:rPr>
        <w:t>鸣笛。</w:t>
      </w:r>
    </w:p>
    <w:p w14:paraId="204F2A1D">
      <w:pPr>
        <w:spacing w:before="1"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4</w:t>
      </w:r>
      <w:r>
        <w:rPr>
          <w:rFonts w:ascii="宋体" w:hAnsi="宋体" w:eastAsia="宋体" w:cs="宋体"/>
          <w:b/>
          <w:bCs/>
          <w:spacing w:val="-6"/>
          <w:sz w:val="24"/>
          <w:szCs w:val="24"/>
        </w:rPr>
        <w:t>）施工固废</w:t>
      </w:r>
    </w:p>
    <w:p w14:paraId="1C37E1E7">
      <w:pPr>
        <w:spacing w:before="181" w:line="219" w:lineRule="auto"/>
        <w:ind w:left="520"/>
        <w:rPr>
          <w:rFonts w:ascii="宋体" w:hAnsi="宋体" w:eastAsia="宋体" w:cs="宋体"/>
          <w:sz w:val="24"/>
          <w:szCs w:val="24"/>
        </w:rPr>
      </w:pPr>
      <w:r>
        <w:rPr>
          <w:rFonts w:ascii="宋体" w:hAnsi="宋体" w:eastAsia="宋体" w:cs="宋体"/>
          <w:spacing w:val="-1"/>
          <w:sz w:val="24"/>
          <w:szCs w:val="24"/>
        </w:rPr>
        <w:t>本项目施工期固废主要包括开挖土石方、建</w:t>
      </w:r>
      <w:r>
        <w:rPr>
          <w:rFonts w:ascii="宋体" w:hAnsi="宋体" w:eastAsia="宋体" w:cs="宋体"/>
          <w:spacing w:val="-2"/>
          <w:sz w:val="24"/>
          <w:szCs w:val="24"/>
        </w:rPr>
        <w:t>筑垃圾及施工人员生活垃圾。</w:t>
      </w:r>
    </w:p>
    <w:p w14:paraId="3A973F84">
      <w:pPr>
        <w:spacing w:before="184" w:line="221" w:lineRule="auto"/>
        <w:ind w:left="538"/>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）开挖土石方</w:t>
      </w:r>
    </w:p>
    <w:p w14:paraId="44114B2F">
      <w:pPr>
        <w:spacing w:before="180" w:line="360" w:lineRule="auto"/>
        <w:ind w:left="38" w:firstLine="481"/>
        <w:rPr>
          <w:rFonts w:ascii="宋体" w:hAnsi="宋体" w:eastAsia="宋体" w:cs="宋体"/>
          <w:sz w:val="24"/>
          <w:szCs w:val="24"/>
        </w:rPr>
      </w:pPr>
      <w:r>
        <w:rPr>
          <w:rFonts w:ascii="宋体" w:hAnsi="宋体" w:eastAsia="宋体" w:cs="宋体"/>
          <w:spacing w:val="-8"/>
          <w:sz w:val="24"/>
          <w:szCs w:val="24"/>
        </w:rPr>
        <w:t>本项目用地属丘陵地貌，根据现场踏勘，本项目养殖场用地现</w:t>
      </w:r>
      <w:r>
        <w:rPr>
          <w:rFonts w:ascii="宋体" w:hAnsi="宋体" w:eastAsia="宋体" w:cs="宋体"/>
          <w:spacing w:val="-9"/>
          <w:sz w:val="24"/>
          <w:szCs w:val="24"/>
        </w:rPr>
        <w:t>状已基本平整，</w:t>
      </w:r>
      <w:r>
        <w:rPr>
          <w:rFonts w:ascii="宋体" w:hAnsi="宋体" w:eastAsia="宋体" w:cs="宋体"/>
          <w:spacing w:val="-3"/>
          <w:sz w:val="24"/>
          <w:szCs w:val="24"/>
        </w:rPr>
        <w:t>建筑地基开挖土石方可用于粪污处理区（现状为水塘）填方使用，整体于场地内</w:t>
      </w:r>
      <w:r>
        <w:rPr>
          <w:rFonts w:ascii="宋体" w:hAnsi="宋体" w:eastAsia="宋体" w:cs="宋体"/>
          <w:spacing w:val="-5"/>
          <w:sz w:val="24"/>
          <w:szCs w:val="24"/>
        </w:rPr>
        <w:t>平衡，无弃方外运。</w:t>
      </w:r>
    </w:p>
    <w:p w14:paraId="55DAA003">
      <w:pPr>
        <w:spacing w:line="218" w:lineRule="auto"/>
        <w:ind w:left="519"/>
        <w:rPr>
          <w:rFonts w:ascii="宋体" w:hAnsi="宋体" w:eastAsia="宋体" w:cs="宋体"/>
          <w:sz w:val="24"/>
          <w:szCs w:val="24"/>
        </w:rPr>
      </w:pPr>
      <w:r>
        <w:rPr>
          <w:rFonts w:ascii="宋体" w:hAnsi="宋体" w:eastAsia="宋体" w:cs="宋体"/>
          <w:spacing w:val="-3"/>
          <w:sz w:val="24"/>
          <w:szCs w:val="24"/>
        </w:rPr>
        <w:t>针对土石方开挖过程中产生的环境问题，评价要求如下：</w:t>
      </w:r>
    </w:p>
    <w:p w14:paraId="093B0B9F">
      <w:pPr>
        <w:spacing w:line="218" w:lineRule="auto"/>
        <w:rPr>
          <w:rFonts w:ascii="宋体" w:hAnsi="宋体" w:eastAsia="宋体" w:cs="宋体"/>
          <w:sz w:val="24"/>
          <w:szCs w:val="24"/>
        </w:rPr>
        <w:sectPr>
          <w:headerReference r:id="rId159" w:type="default"/>
          <w:footerReference r:id="rId160" w:type="default"/>
          <w:pgSz w:w="11905" w:h="16840"/>
          <w:pgMar w:top="1168" w:right="1731" w:bottom="1409" w:left="1770" w:header="828" w:footer="1244" w:gutter="0"/>
          <w:cols w:space="720" w:num="1"/>
        </w:sectPr>
      </w:pPr>
    </w:p>
    <w:p w14:paraId="7B1C527E">
      <w:pPr>
        <w:pStyle w:val="2"/>
        <w:spacing w:line="306" w:lineRule="auto"/>
      </w:pPr>
    </w:p>
    <w:p w14:paraId="4F0E3E0D">
      <w:pPr>
        <w:spacing w:before="78" w:line="360" w:lineRule="auto"/>
        <w:ind w:left="38" w:right="46" w:firstLine="480"/>
        <w:rPr>
          <w:rFonts w:ascii="宋体" w:hAnsi="宋体" w:eastAsia="宋体" w:cs="宋体"/>
          <w:sz w:val="24"/>
          <w:szCs w:val="24"/>
        </w:rPr>
      </w:pPr>
      <w:r>
        <w:rPr>
          <w:rFonts w:ascii="宋体" w:hAnsi="宋体" w:eastAsia="宋体" w:cs="宋体"/>
          <w:spacing w:val="-1"/>
          <w:sz w:val="24"/>
          <w:szCs w:val="24"/>
        </w:rPr>
        <w:t>①采用局部开挖的方式，开挖时将表土进行剥离，用于后期场地</w:t>
      </w:r>
      <w:r>
        <w:rPr>
          <w:rFonts w:ascii="宋体" w:hAnsi="宋体" w:eastAsia="宋体" w:cs="宋体"/>
          <w:spacing w:val="-2"/>
          <w:sz w:val="24"/>
          <w:szCs w:val="24"/>
        </w:rPr>
        <w:t>绿化覆土；</w:t>
      </w:r>
      <w:r>
        <w:rPr>
          <w:rFonts w:ascii="宋体" w:hAnsi="宋体" w:eastAsia="宋体" w:cs="宋体"/>
          <w:spacing w:val="-3"/>
          <w:sz w:val="24"/>
          <w:szCs w:val="24"/>
        </w:rPr>
        <w:t>在进行开挖土石方作业时，应在施工场地周围设置排水沟及沉淀池，并且在雨季</w:t>
      </w:r>
      <w:r>
        <w:rPr>
          <w:rFonts w:ascii="宋体" w:hAnsi="宋体" w:eastAsia="宋体" w:cs="宋体"/>
          <w:spacing w:val="-2"/>
          <w:sz w:val="24"/>
          <w:szCs w:val="24"/>
        </w:rPr>
        <w:t>不进行开挖作业或只进行小规模作业，以减少水土流失现象。</w:t>
      </w:r>
    </w:p>
    <w:p w14:paraId="67690C21">
      <w:pPr>
        <w:spacing w:line="217" w:lineRule="auto"/>
        <w:ind w:left="517"/>
        <w:rPr>
          <w:rFonts w:ascii="宋体" w:hAnsi="宋体" w:eastAsia="宋体" w:cs="宋体"/>
          <w:sz w:val="24"/>
          <w:szCs w:val="24"/>
        </w:rPr>
      </w:pPr>
      <w:r>
        <w:rPr>
          <w:rFonts w:ascii="宋体" w:hAnsi="宋体" w:eastAsia="宋体" w:cs="宋体"/>
          <w:spacing w:val="-1"/>
          <w:sz w:val="24"/>
          <w:szCs w:val="24"/>
        </w:rPr>
        <w:t>②开挖的土石方应加强围栏，表面遮蔽或播撒草籽</w:t>
      </w:r>
      <w:r>
        <w:rPr>
          <w:rFonts w:ascii="宋体" w:hAnsi="宋体" w:eastAsia="宋体" w:cs="宋体"/>
          <w:spacing w:val="-2"/>
          <w:sz w:val="24"/>
          <w:szCs w:val="24"/>
        </w:rPr>
        <w:t>绿化，避免水土流失。</w:t>
      </w:r>
    </w:p>
    <w:p w14:paraId="7F1DB567">
      <w:pPr>
        <w:spacing w:before="185" w:line="220" w:lineRule="auto"/>
        <w:ind w:left="515"/>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）建筑垃圾</w:t>
      </w:r>
    </w:p>
    <w:p w14:paraId="3608873D">
      <w:pPr>
        <w:spacing w:before="181" w:line="360" w:lineRule="auto"/>
        <w:ind w:left="39" w:firstLine="479"/>
        <w:jc w:val="both"/>
        <w:rPr>
          <w:rFonts w:ascii="宋体" w:hAnsi="宋体" w:eastAsia="宋体" w:cs="宋体"/>
          <w:sz w:val="24"/>
          <w:szCs w:val="24"/>
        </w:rPr>
      </w:pPr>
      <w:r>
        <w:rPr>
          <w:rFonts w:ascii="宋体" w:hAnsi="宋体" w:eastAsia="宋体" w:cs="宋体"/>
          <w:sz w:val="24"/>
          <w:szCs w:val="24"/>
        </w:rPr>
        <w:t>施工期产生的建筑垃圾应按照《中华人民共和国固体废物污染环境防治法》</w:t>
      </w:r>
      <w:r>
        <w:rPr>
          <w:rFonts w:ascii="宋体" w:hAnsi="宋体" w:eastAsia="宋体" w:cs="宋体"/>
          <w:spacing w:val="-3"/>
          <w:sz w:val="24"/>
          <w:szCs w:val="24"/>
        </w:rPr>
        <w:t>相关规定，在施工现场设置临时建筑废物堆放场所并进行密闭处理，建筑垃圾除部分回收外售废品收购站，剩余部分堆放达一定量时应及时清运到东兴区相关职能部门指定的建筑垃圾场处理，严禁随意倾倒、填埋。运输建筑垃圾的车辆应随车携带《建筑垃圾准运证》和《建筑垃圾处置许可证》，</w:t>
      </w:r>
      <w:r>
        <w:rPr>
          <w:rFonts w:ascii="宋体" w:hAnsi="宋体" w:eastAsia="宋体" w:cs="宋体"/>
          <w:spacing w:val="-4"/>
          <w:sz w:val="24"/>
          <w:szCs w:val="24"/>
        </w:rPr>
        <w:t>保持车厢完好、有效遮盖，运输过程中不得撒漏。</w:t>
      </w:r>
    </w:p>
    <w:p w14:paraId="018A8738">
      <w:pPr>
        <w:spacing w:line="220" w:lineRule="auto"/>
        <w:ind w:left="519"/>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）生活垃圾</w:t>
      </w:r>
    </w:p>
    <w:p w14:paraId="1DC778F9">
      <w:pPr>
        <w:spacing w:before="183" w:line="354" w:lineRule="auto"/>
        <w:ind w:left="41" w:right="110" w:firstLine="479"/>
        <w:rPr>
          <w:rFonts w:ascii="宋体" w:hAnsi="宋体" w:eastAsia="宋体" w:cs="宋体"/>
          <w:sz w:val="24"/>
          <w:szCs w:val="24"/>
        </w:rPr>
      </w:pPr>
      <w:r>
        <w:rPr>
          <w:rFonts w:ascii="宋体" w:hAnsi="宋体" w:eastAsia="宋体" w:cs="宋体"/>
          <w:spacing w:val="2"/>
          <w:sz w:val="24"/>
          <w:szCs w:val="24"/>
        </w:rPr>
        <w:t>本项目施工高峰期施工人员为</w:t>
      </w:r>
      <w:r>
        <w:rPr>
          <w:rFonts w:ascii="Times New Roman" w:hAnsi="Times New Roman" w:eastAsia="Times New Roman" w:cs="Times New Roman"/>
          <w:spacing w:val="2"/>
          <w:sz w:val="24"/>
          <w:szCs w:val="24"/>
        </w:rPr>
        <w:t>50</w:t>
      </w:r>
      <w:r>
        <w:rPr>
          <w:rFonts w:ascii="宋体" w:hAnsi="宋体" w:eastAsia="宋体" w:cs="宋体"/>
          <w:spacing w:val="2"/>
          <w:sz w:val="24"/>
          <w:szCs w:val="24"/>
        </w:rPr>
        <w:t>人，按</w:t>
      </w:r>
      <w:r>
        <w:rPr>
          <w:rFonts w:ascii="Times New Roman" w:hAnsi="Times New Roman" w:eastAsia="Times New Roman" w:cs="Times New Roman"/>
          <w:spacing w:val="2"/>
          <w:sz w:val="24"/>
          <w:szCs w:val="24"/>
        </w:rPr>
        <w:t>0.5</w:t>
      </w:r>
      <w:r>
        <w:rPr>
          <w:rFonts w:ascii="Times New Roman" w:hAnsi="Times New Roman" w:eastAsia="Times New Roman" w:cs="Times New Roman"/>
          <w:sz w:val="24"/>
          <w:szCs w:val="24"/>
        </w:rPr>
        <w:t>kg</w:t>
      </w:r>
      <w:r>
        <w:rPr>
          <w:rFonts w:ascii="Times New Roman" w:hAnsi="Times New Roman" w:eastAsia="Times New Roman" w:cs="Times New Roman"/>
          <w:spacing w:val="2"/>
          <w:sz w:val="24"/>
          <w:szCs w:val="24"/>
        </w:rPr>
        <w:t>/d.</w:t>
      </w:r>
      <w:r>
        <w:rPr>
          <w:rFonts w:ascii="宋体" w:hAnsi="宋体" w:eastAsia="宋体" w:cs="宋体"/>
          <w:spacing w:val="2"/>
          <w:sz w:val="24"/>
          <w:szCs w:val="24"/>
        </w:rPr>
        <w:t>人计算，施工期生活</w:t>
      </w:r>
      <w:r>
        <w:rPr>
          <w:rFonts w:ascii="宋体" w:hAnsi="宋体" w:eastAsia="宋体" w:cs="宋体"/>
          <w:spacing w:val="1"/>
          <w:sz w:val="24"/>
          <w:szCs w:val="24"/>
        </w:rPr>
        <w:t>垃圾产</w:t>
      </w:r>
      <w:r>
        <w:rPr>
          <w:rFonts w:ascii="宋体" w:hAnsi="宋体" w:eastAsia="宋体" w:cs="宋体"/>
          <w:spacing w:val="-1"/>
          <w:sz w:val="24"/>
          <w:szCs w:val="24"/>
        </w:rPr>
        <w:t>生量为</w:t>
      </w:r>
      <w:r>
        <w:rPr>
          <w:rFonts w:ascii="Times New Roman" w:hAnsi="Times New Roman" w:eastAsia="Times New Roman" w:cs="Times New Roman"/>
          <w:spacing w:val="-1"/>
          <w:sz w:val="24"/>
          <w:szCs w:val="24"/>
        </w:rPr>
        <w:t>25kg/d</w:t>
      </w:r>
      <w:r>
        <w:rPr>
          <w:rFonts w:ascii="宋体" w:hAnsi="宋体" w:eastAsia="宋体" w:cs="宋体"/>
          <w:spacing w:val="-1"/>
          <w:sz w:val="24"/>
          <w:szCs w:val="24"/>
        </w:rPr>
        <w:t>，生活垃圾经袋装收集后，统一</w:t>
      </w:r>
      <w:r>
        <w:rPr>
          <w:rFonts w:ascii="宋体" w:hAnsi="宋体" w:eastAsia="宋体" w:cs="宋体"/>
          <w:spacing w:val="-2"/>
          <w:sz w:val="24"/>
          <w:szCs w:val="24"/>
        </w:rPr>
        <w:t>送至喻家沟村垃圾收集点，由环卫</w:t>
      </w:r>
      <w:r>
        <w:rPr>
          <w:rFonts w:ascii="宋体" w:hAnsi="宋体" w:eastAsia="宋体" w:cs="宋体"/>
          <w:spacing w:val="-5"/>
          <w:sz w:val="24"/>
          <w:szCs w:val="24"/>
        </w:rPr>
        <w:t>部门统一清运处理。</w:t>
      </w:r>
    </w:p>
    <w:p w14:paraId="35F21839">
      <w:pPr>
        <w:spacing w:before="22"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5</w:t>
      </w:r>
      <w:r>
        <w:rPr>
          <w:rFonts w:ascii="宋体" w:hAnsi="宋体" w:eastAsia="宋体" w:cs="宋体"/>
          <w:b/>
          <w:bCs/>
          <w:spacing w:val="-5"/>
          <w:sz w:val="24"/>
          <w:szCs w:val="24"/>
        </w:rPr>
        <w:t>）生态环境</w:t>
      </w:r>
    </w:p>
    <w:p w14:paraId="529494FA">
      <w:pPr>
        <w:spacing w:before="182" w:line="221" w:lineRule="auto"/>
        <w:ind w:left="538"/>
        <w:rPr>
          <w:rFonts w:ascii="宋体" w:hAnsi="宋体" w:eastAsia="宋体" w:cs="宋体"/>
          <w:sz w:val="24"/>
          <w:szCs w:val="24"/>
        </w:rPr>
      </w:pPr>
      <w:r>
        <w:rPr>
          <w:rFonts w:ascii="Times New Roman" w:hAnsi="Times New Roman" w:eastAsia="Times New Roman" w:cs="Times New Roman"/>
          <w:spacing w:val="-9"/>
          <w:sz w:val="24"/>
          <w:szCs w:val="24"/>
        </w:rPr>
        <w:t>1</w:t>
      </w:r>
      <w:r>
        <w:rPr>
          <w:rFonts w:ascii="宋体" w:hAnsi="宋体" w:eastAsia="宋体" w:cs="宋体"/>
          <w:spacing w:val="-9"/>
          <w:sz w:val="24"/>
          <w:szCs w:val="24"/>
        </w:rPr>
        <w:t>）土地利用</w:t>
      </w:r>
    </w:p>
    <w:p w14:paraId="45564D6D">
      <w:pPr>
        <w:spacing w:before="167" w:line="364" w:lineRule="auto"/>
        <w:ind w:left="45" w:right="144" w:firstLine="475"/>
        <w:rPr>
          <w:rFonts w:ascii="宋体" w:hAnsi="宋体" w:eastAsia="宋体" w:cs="宋体"/>
          <w:sz w:val="24"/>
          <w:szCs w:val="24"/>
        </w:rPr>
      </w:pPr>
      <w:r>
        <w:rPr>
          <w:rFonts w:ascii="宋体" w:hAnsi="宋体" w:eastAsia="宋体" w:cs="宋体"/>
          <w:spacing w:val="-3"/>
          <w:sz w:val="24"/>
          <w:szCs w:val="24"/>
        </w:rPr>
        <w:t>本项目位于东兴区白合镇喻家沟</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组，占地</w:t>
      </w:r>
      <w:r>
        <w:rPr>
          <w:rFonts w:ascii="Times New Roman" w:hAnsi="Times New Roman" w:eastAsia="Times New Roman" w:cs="Times New Roman"/>
          <w:spacing w:val="-3"/>
          <w:sz w:val="24"/>
          <w:szCs w:val="24"/>
        </w:rPr>
        <w:t>8.4872hm</w:t>
      </w:r>
      <w:r>
        <w:rPr>
          <w:rFonts w:ascii="Times New Roman" w:hAnsi="Times New Roman" w:eastAsia="Times New Roman" w:cs="Times New Roman"/>
          <w:spacing w:val="-4"/>
          <w:position w:val="10"/>
          <w:sz w:val="15"/>
          <w:szCs w:val="15"/>
        </w:rPr>
        <w:t>2</w:t>
      </w:r>
      <w:r>
        <w:rPr>
          <w:rFonts w:ascii="宋体" w:hAnsi="宋体" w:eastAsia="宋体" w:cs="宋体"/>
          <w:spacing w:val="-4"/>
          <w:sz w:val="24"/>
          <w:szCs w:val="24"/>
        </w:rPr>
        <w:t>，项目用地范围内</w:t>
      </w:r>
      <w:r>
        <w:rPr>
          <w:rFonts w:ascii="宋体" w:hAnsi="宋体" w:eastAsia="宋体" w:cs="宋体"/>
          <w:spacing w:val="-10"/>
          <w:sz w:val="24"/>
          <w:szCs w:val="24"/>
        </w:rPr>
        <w:t>原为耕地（一般农田）、林地及水域等。</w:t>
      </w:r>
    </w:p>
    <w:p w14:paraId="09FCF79F">
      <w:pPr>
        <w:spacing w:before="3" w:line="360" w:lineRule="auto"/>
        <w:ind w:left="41" w:right="112" w:firstLine="479"/>
        <w:jc w:val="both"/>
        <w:rPr>
          <w:rFonts w:ascii="宋体" w:hAnsi="宋体" w:eastAsia="宋体" w:cs="宋体"/>
          <w:sz w:val="24"/>
          <w:szCs w:val="24"/>
        </w:rPr>
      </w:pPr>
      <w:r>
        <w:rPr>
          <w:rFonts w:ascii="宋体" w:hAnsi="宋体" w:eastAsia="宋体" w:cs="宋体"/>
          <w:spacing w:val="-7"/>
          <w:sz w:val="24"/>
          <w:szCs w:val="24"/>
        </w:rPr>
        <w:t>本项目的建设改变了土地利用的现状格局、类别， 但项目建成后，整个项目</w:t>
      </w:r>
      <w:r>
        <w:rPr>
          <w:rFonts w:ascii="宋体" w:hAnsi="宋体" w:eastAsia="宋体" w:cs="宋体"/>
          <w:spacing w:val="-6"/>
          <w:sz w:val="24"/>
          <w:szCs w:val="24"/>
        </w:rPr>
        <w:t>区除了建构筑物、道路外， 其余几乎均为绿化植物覆盖，</w:t>
      </w:r>
      <w:r>
        <w:rPr>
          <w:rFonts w:ascii="宋体" w:hAnsi="宋体" w:eastAsia="宋体" w:cs="宋体"/>
          <w:spacing w:val="-7"/>
          <w:sz w:val="24"/>
          <w:szCs w:val="24"/>
        </w:rPr>
        <w:t>可视为一定程度的生态</w:t>
      </w:r>
      <w:r>
        <w:rPr>
          <w:rFonts w:ascii="宋体" w:hAnsi="宋体" w:eastAsia="宋体" w:cs="宋体"/>
          <w:spacing w:val="-6"/>
          <w:sz w:val="24"/>
          <w:szCs w:val="24"/>
        </w:rPr>
        <w:t>恢复补偿措施。</w:t>
      </w:r>
    </w:p>
    <w:p w14:paraId="1CCDE7B4">
      <w:pPr>
        <w:spacing w:before="1" w:line="219" w:lineRule="auto"/>
        <w:ind w:left="515"/>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）植被、动物影响</w:t>
      </w:r>
    </w:p>
    <w:p w14:paraId="2FAFDAB8">
      <w:pPr>
        <w:spacing w:before="183" w:line="360" w:lineRule="auto"/>
        <w:ind w:left="39" w:right="28" w:firstLine="483"/>
        <w:rPr>
          <w:rFonts w:ascii="宋体" w:hAnsi="宋体" w:eastAsia="宋体" w:cs="宋体"/>
          <w:sz w:val="24"/>
          <w:szCs w:val="24"/>
        </w:rPr>
      </w:pPr>
      <w:r>
        <w:rPr>
          <w:rFonts w:ascii="宋体" w:hAnsi="宋体" w:eastAsia="宋体" w:cs="宋体"/>
          <w:spacing w:val="4"/>
          <w:sz w:val="24"/>
          <w:szCs w:val="24"/>
        </w:rPr>
        <w:t>项目建设永久占地将完全改变土地利用形态，建设占地内植被将被全部清</w:t>
      </w:r>
      <w:r>
        <w:rPr>
          <w:rFonts w:ascii="宋体" w:hAnsi="宋体" w:eastAsia="宋体" w:cs="宋体"/>
          <w:spacing w:val="-3"/>
          <w:sz w:val="24"/>
          <w:szCs w:val="24"/>
        </w:rPr>
        <w:t>除，但其影响并非是永久性的、不可逆的。评价区的植被类型由于长期受人类活</w:t>
      </w:r>
      <w:r>
        <w:rPr>
          <w:rFonts w:ascii="宋体" w:hAnsi="宋体" w:eastAsia="宋体" w:cs="宋体"/>
          <w:spacing w:val="-6"/>
          <w:sz w:val="24"/>
          <w:szCs w:val="24"/>
        </w:rPr>
        <w:t>动的影响，原生植被已不存在。项目评价范围内无珍稀濒危野生</w:t>
      </w:r>
      <w:r>
        <w:rPr>
          <w:rFonts w:ascii="宋体" w:hAnsi="宋体" w:eastAsia="宋体" w:cs="宋体"/>
          <w:spacing w:val="-7"/>
          <w:sz w:val="24"/>
          <w:szCs w:val="24"/>
        </w:rPr>
        <w:t>动植物存在， 不</w:t>
      </w:r>
      <w:r>
        <w:rPr>
          <w:rFonts w:ascii="宋体" w:hAnsi="宋体" w:eastAsia="宋体" w:cs="宋体"/>
          <w:spacing w:val="-5"/>
          <w:sz w:val="24"/>
          <w:szCs w:val="24"/>
        </w:rPr>
        <w:t>属于重要保护动物的栖息地。评价区内由于人为活动影响，</w:t>
      </w:r>
      <w:r>
        <w:rPr>
          <w:rFonts w:ascii="宋体" w:hAnsi="宋体" w:eastAsia="宋体" w:cs="宋体"/>
          <w:spacing w:val="-49"/>
          <w:sz w:val="24"/>
          <w:szCs w:val="24"/>
        </w:rPr>
        <w:t xml:space="preserve"> </w:t>
      </w:r>
      <w:r>
        <w:rPr>
          <w:rFonts w:ascii="宋体" w:hAnsi="宋体" w:eastAsia="宋体" w:cs="宋体"/>
          <w:spacing w:val="-5"/>
          <w:sz w:val="24"/>
          <w:szCs w:val="24"/>
        </w:rPr>
        <w:t>野生动物的种类及数</w:t>
      </w:r>
      <w:r>
        <w:rPr>
          <w:rFonts w:ascii="宋体" w:hAnsi="宋体" w:eastAsia="宋体" w:cs="宋体"/>
          <w:spacing w:val="-1"/>
          <w:sz w:val="24"/>
          <w:szCs w:val="24"/>
        </w:rPr>
        <w:t>量均较少。项目施工期对动物的影响是有限的，不会对某一物种产生大的影响。</w:t>
      </w:r>
    </w:p>
    <w:p w14:paraId="212A625E">
      <w:pPr>
        <w:spacing w:line="220" w:lineRule="auto"/>
        <w:ind w:left="525"/>
        <w:rPr>
          <w:rFonts w:ascii="宋体" w:hAnsi="宋体" w:eastAsia="宋体" w:cs="宋体"/>
          <w:sz w:val="24"/>
          <w:szCs w:val="24"/>
        </w:rPr>
      </w:pPr>
      <w:r>
        <w:rPr>
          <w:rFonts w:ascii="宋体" w:hAnsi="宋体" w:eastAsia="宋体" w:cs="宋体"/>
          <w:spacing w:val="-12"/>
          <w:sz w:val="24"/>
          <w:szCs w:val="24"/>
        </w:rPr>
        <w:t>治理措施：</w:t>
      </w:r>
    </w:p>
    <w:p w14:paraId="2137B73A">
      <w:pPr>
        <w:spacing w:line="220" w:lineRule="auto"/>
        <w:rPr>
          <w:rFonts w:ascii="宋体" w:hAnsi="宋体" w:eastAsia="宋体" w:cs="宋体"/>
          <w:sz w:val="24"/>
          <w:szCs w:val="24"/>
        </w:rPr>
        <w:sectPr>
          <w:headerReference r:id="rId161" w:type="default"/>
          <w:footerReference r:id="rId162" w:type="default"/>
          <w:pgSz w:w="11905" w:h="16840"/>
          <w:pgMar w:top="1168" w:right="1685" w:bottom="1409" w:left="1770" w:header="828" w:footer="1244" w:gutter="0"/>
          <w:cols w:space="720" w:num="1"/>
        </w:sectPr>
      </w:pPr>
    </w:p>
    <w:p w14:paraId="1DD4CF15">
      <w:pPr>
        <w:pStyle w:val="2"/>
        <w:spacing w:line="306" w:lineRule="auto"/>
      </w:pPr>
    </w:p>
    <w:p w14:paraId="5286B2D9">
      <w:pPr>
        <w:spacing w:before="78" w:line="360" w:lineRule="auto"/>
        <w:ind w:left="42" w:right="29" w:firstLine="476"/>
        <w:rPr>
          <w:rFonts w:ascii="宋体" w:hAnsi="宋体" w:eastAsia="宋体" w:cs="宋体"/>
          <w:sz w:val="24"/>
          <w:szCs w:val="24"/>
        </w:rPr>
      </w:pPr>
      <w:r>
        <w:rPr>
          <w:rFonts w:ascii="宋体" w:hAnsi="宋体" w:eastAsia="宋体" w:cs="宋体"/>
          <w:spacing w:val="-3"/>
          <w:sz w:val="24"/>
          <w:szCs w:val="24"/>
        </w:rPr>
        <w:t>①在施工作业过程中，不得随意开挖，强化生态环境保护意识，严</w:t>
      </w:r>
      <w:r>
        <w:rPr>
          <w:rFonts w:ascii="宋体" w:hAnsi="宋体" w:eastAsia="宋体" w:cs="宋体"/>
          <w:spacing w:val="-4"/>
          <w:sz w:val="24"/>
          <w:szCs w:val="24"/>
        </w:rPr>
        <w:t>格控制施</w:t>
      </w:r>
      <w:r>
        <w:rPr>
          <w:rFonts w:ascii="宋体" w:hAnsi="宋体" w:eastAsia="宋体" w:cs="宋体"/>
          <w:spacing w:val="-2"/>
          <w:sz w:val="24"/>
          <w:szCs w:val="24"/>
        </w:rPr>
        <w:t>工作业区，不得随意扩大范围，尽量减少对植被的破坏。</w:t>
      </w:r>
    </w:p>
    <w:p w14:paraId="0AF2B0DF">
      <w:pPr>
        <w:spacing w:line="217" w:lineRule="auto"/>
        <w:ind w:left="517"/>
        <w:rPr>
          <w:rFonts w:ascii="宋体" w:hAnsi="宋体" w:eastAsia="宋体" w:cs="宋体"/>
          <w:sz w:val="24"/>
          <w:szCs w:val="24"/>
        </w:rPr>
      </w:pPr>
      <w:r>
        <w:rPr>
          <w:rFonts w:ascii="宋体" w:hAnsi="宋体" w:eastAsia="宋体" w:cs="宋体"/>
          <w:spacing w:val="-1"/>
          <w:sz w:val="24"/>
          <w:szCs w:val="24"/>
        </w:rPr>
        <w:t>②项目实施后，对场区内进行绿化，种植花草树木</w:t>
      </w:r>
      <w:r>
        <w:rPr>
          <w:rFonts w:ascii="宋体" w:hAnsi="宋体" w:eastAsia="宋体" w:cs="宋体"/>
          <w:spacing w:val="-2"/>
          <w:sz w:val="24"/>
          <w:szCs w:val="24"/>
        </w:rPr>
        <w:t>，尽快恢复区域绿化。</w:t>
      </w:r>
    </w:p>
    <w:p w14:paraId="5BC54DFB">
      <w:pPr>
        <w:spacing w:before="184" w:line="220" w:lineRule="auto"/>
        <w:ind w:left="519"/>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）水土流失</w:t>
      </w:r>
    </w:p>
    <w:p w14:paraId="79A57448">
      <w:pPr>
        <w:spacing w:before="182" w:line="360" w:lineRule="auto"/>
        <w:ind w:left="38" w:right="29" w:firstLine="484"/>
        <w:jc w:val="both"/>
        <w:rPr>
          <w:rFonts w:ascii="宋体" w:hAnsi="宋体" w:eastAsia="宋体" w:cs="宋体"/>
          <w:sz w:val="24"/>
          <w:szCs w:val="24"/>
        </w:rPr>
      </w:pPr>
      <w:r>
        <w:rPr>
          <w:rFonts w:ascii="宋体" w:hAnsi="宋体" w:eastAsia="宋体" w:cs="宋体"/>
          <w:spacing w:val="-3"/>
          <w:sz w:val="24"/>
          <w:szCs w:val="24"/>
        </w:rPr>
        <w:t>项目施工期对生态环境产生的影响主要是水土流失，若</w:t>
      </w:r>
      <w:r>
        <w:rPr>
          <w:rFonts w:ascii="宋体" w:hAnsi="宋体" w:eastAsia="宋体" w:cs="宋体"/>
          <w:spacing w:val="-4"/>
          <w:sz w:val="24"/>
          <w:szCs w:val="24"/>
        </w:rPr>
        <w:t>不采取一定的防治措</w:t>
      </w:r>
      <w:r>
        <w:rPr>
          <w:rFonts w:ascii="宋体" w:hAnsi="宋体" w:eastAsia="宋体" w:cs="宋体"/>
          <w:spacing w:val="-3"/>
          <w:sz w:val="24"/>
          <w:szCs w:val="24"/>
        </w:rPr>
        <w:t>施，可能导致区域内水土流失加剧，影响区域生态环境，也有可能对主体工程施</w:t>
      </w:r>
      <w:r>
        <w:rPr>
          <w:rFonts w:ascii="宋体" w:hAnsi="宋体" w:eastAsia="宋体" w:cs="宋体"/>
          <w:spacing w:val="-6"/>
          <w:sz w:val="24"/>
          <w:szCs w:val="24"/>
        </w:rPr>
        <w:t>工造成影响。</w:t>
      </w:r>
    </w:p>
    <w:p w14:paraId="2355D637">
      <w:pPr>
        <w:spacing w:line="220" w:lineRule="auto"/>
        <w:ind w:left="525"/>
        <w:rPr>
          <w:rFonts w:ascii="宋体" w:hAnsi="宋体" w:eastAsia="宋体" w:cs="宋体"/>
          <w:sz w:val="24"/>
          <w:szCs w:val="24"/>
        </w:rPr>
      </w:pPr>
      <w:r>
        <w:rPr>
          <w:rFonts w:ascii="宋体" w:hAnsi="宋体" w:eastAsia="宋体" w:cs="宋体"/>
          <w:spacing w:val="-12"/>
          <w:sz w:val="24"/>
          <w:szCs w:val="24"/>
        </w:rPr>
        <w:t>治理措施：</w:t>
      </w:r>
    </w:p>
    <w:p w14:paraId="4AE8E67B">
      <w:pPr>
        <w:spacing w:before="182" w:line="217" w:lineRule="auto"/>
        <w:ind w:left="518"/>
        <w:rPr>
          <w:rFonts w:ascii="宋体" w:hAnsi="宋体" w:eastAsia="宋体" w:cs="宋体"/>
          <w:sz w:val="24"/>
          <w:szCs w:val="24"/>
        </w:rPr>
      </w:pPr>
      <w:r>
        <w:rPr>
          <w:rFonts w:ascii="宋体" w:hAnsi="宋体" w:eastAsia="宋体" w:cs="宋体"/>
          <w:spacing w:val="-4"/>
          <w:sz w:val="24"/>
          <w:szCs w:val="24"/>
        </w:rPr>
        <w:t>①整个施工过程中尽可能避开雨天开挖施工；</w:t>
      </w:r>
    </w:p>
    <w:p w14:paraId="319F5203">
      <w:pPr>
        <w:spacing w:before="186" w:line="360" w:lineRule="auto"/>
        <w:ind w:left="52" w:right="29" w:firstLine="464"/>
        <w:rPr>
          <w:rFonts w:ascii="宋体" w:hAnsi="宋体" w:eastAsia="宋体" w:cs="宋体"/>
          <w:sz w:val="24"/>
          <w:szCs w:val="24"/>
        </w:rPr>
      </w:pPr>
      <w:r>
        <w:rPr>
          <w:rFonts w:ascii="宋体" w:hAnsi="宋体" w:eastAsia="宋体" w:cs="宋体"/>
          <w:spacing w:val="-3"/>
          <w:sz w:val="24"/>
          <w:szCs w:val="24"/>
        </w:rPr>
        <w:t>②在施工作业过程中，强化生态环境保护意识，严格控制施工作业</w:t>
      </w:r>
      <w:r>
        <w:rPr>
          <w:rFonts w:ascii="宋体" w:hAnsi="宋体" w:eastAsia="宋体" w:cs="宋体"/>
          <w:spacing w:val="-4"/>
          <w:sz w:val="24"/>
          <w:szCs w:val="24"/>
        </w:rPr>
        <w:t>区，不得</w:t>
      </w:r>
      <w:r>
        <w:rPr>
          <w:rFonts w:ascii="宋体" w:hAnsi="宋体" w:eastAsia="宋体" w:cs="宋体"/>
          <w:spacing w:val="-3"/>
          <w:sz w:val="24"/>
          <w:szCs w:val="24"/>
        </w:rPr>
        <w:t>随意扩大范围，尽量减少对植被的破坏，保护水土资</w:t>
      </w:r>
      <w:r>
        <w:rPr>
          <w:rFonts w:ascii="宋体" w:hAnsi="宋体" w:eastAsia="宋体" w:cs="宋体"/>
          <w:spacing w:val="-4"/>
          <w:sz w:val="24"/>
          <w:szCs w:val="24"/>
        </w:rPr>
        <w:t>源；</w:t>
      </w:r>
    </w:p>
    <w:p w14:paraId="6B050F86">
      <w:pPr>
        <w:spacing w:line="362" w:lineRule="auto"/>
        <w:ind w:left="50" w:right="29" w:firstLine="466"/>
        <w:rPr>
          <w:rFonts w:ascii="宋体" w:hAnsi="宋体" w:eastAsia="宋体" w:cs="宋体"/>
          <w:sz w:val="24"/>
          <w:szCs w:val="24"/>
        </w:rPr>
      </w:pPr>
      <w:r>
        <w:rPr>
          <w:rFonts w:ascii="宋体" w:hAnsi="宋体" w:eastAsia="宋体" w:cs="宋体"/>
          <w:spacing w:val="-3"/>
          <w:sz w:val="24"/>
          <w:szCs w:val="24"/>
        </w:rPr>
        <w:t>③施工场地四周设置雨水排水沟，防止雨水冲刷场地，并在排水沟</w:t>
      </w:r>
      <w:r>
        <w:rPr>
          <w:rFonts w:ascii="宋体" w:hAnsi="宋体" w:eastAsia="宋体" w:cs="宋体"/>
          <w:spacing w:val="-4"/>
          <w:sz w:val="24"/>
          <w:szCs w:val="24"/>
        </w:rPr>
        <w:t>出口设临</w:t>
      </w:r>
      <w:r>
        <w:rPr>
          <w:rFonts w:ascii="宋体" w:hAnsi="宋体" w:eastAsia="宋体" w:cs="宋体"/>
          <w:spacing w:val="-2"/>
          <w:sz w:val="24"/>
          <w:szCs w:val="24"/>
        </w:rPr>
        <w:t>时沉淀池，使雨水经沉淀后排放，尽量减少施工期水土流失。</w:t>
      </w:r>
    </w:p>
    <w:p w14:paraId="407074D1">
      <w:pPr>
        <w:spacing w:before="163"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2.2.2  </w:t>
      </w:r>
      <w:r>
        <w:rPr>
          <w:rFonts w:ascii="宋体" w:hAnsi="宋体" w:eastAsia="宋体" w:cs="宋体"/>
          <w:b/>
          <w:bCs/>
          <w:spacing w:val="-2"/>
          <w:sz w:val="30"/>
          <w:szCs w:val="30"/>
        </w:rPr>
        <w:t>运营期工程分析</w:t>
      </w:r>
    </w:p>
    <w:p w14:paraId="2C985E80">
      <w:pPr>
        <w:pStyle w:val="2"/>
        <w:spacing w:line="305" w:lineRule="auto"/>
      </w:pPr>
    </w:p>
    <w:p w14:paraId="776017ED">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2.2.2.1</w:t>
      </w:r>
      <w:r>
        <w:rPr>
          <w:rFonts w:ascii="Times New Roman" w:hAnsi="Times New Roman" w:eastAsia="Times New Roman" w:cs="Times New Roman"/>
          <w:b/>
          <w:bCs/>
          <w:spacing w:val="26"/>
          <w:sz w:val="27"/>
          <w:szCs w:val="27"/>
        </w:rPr>
        <w:t xml:space="preserve"> </w:t>
      </w:r>
      <w:r>
        <w:rPr>
          <w:rFonts w:ascii="宋体" w:hAnsi="宋体" w:eastAsia="宋体" w:cs="宋体"/>
          <w:b/>
          <w:bCs/>
          <w:spacing w:val="4"/>
          <w:sz w:val="27"/>
          <w:szCs w:val="27"/>
        </w:rPr>
        <w:t>总体生产工艺流程</w:t>
      </w:r>
    </w:p>
    <w:p w14:paraId="343EF2B9">
      <w:pPr>
        <w:spacing w:before="236" w:line="357" w:lineRule="auto"/>
        <w:ind w:left="38" w:right="29" w:firstLine="481"/>
        <w:jc w:val="both"/>
        <w:rPr>
          <w:rFonts w:ascii="宋体" w:hAnsi="宋体" w:eastAsia="宋体" w:cs="宋体"/>
          <w:sz w:val="24"/>
          <w:szCs w:val="24"/>
        </w:rPr>
      </w:pPr>
      <w:r>
        <w:rPr>
          <w:rFonts w:ascii="宋体" w:hAnsi="宋体" w:eastAsia="宋体" w:cs="宋体"/>
          <w:spacing w:val="-7"/>
          <w:sz w:val="24"/>
          <w:szCs w:val="24"/>
        </w:rPr>
        <w:t>本项目是对断奶仔猪进行保育、育肥， 不涉及配种妊娠阶段的饲养。仔猪来</w:t>
      </w:r>
      <w:r>
        <w:rPr>
          <w:rFonts w:ascii="宋体" w:hAnsi="宋体" w:eastAsia="宋体" w:cs="宋体"/>
          <w:sz w:val="24"/>
          <w:szCs w:val="24"/>
        </w:rPr>
        <w:t>源为宇和泽农业有限公司旗下其他种猪养殖场，进场断奶仔猪体重</w:t>
      </w:r>
      <w:r>
        <w:rPr>
          <w:rFonts w:ascii="Times New Roman" w:hAnsi="Times New Roman" w:eastAsia="Times New Roman" w:cs="Times New Roman"/>
          <w:sz w:val="24"/>
          <w:szCs w:val="24"/>
        </w:rPr>
        <w:t>7kg</w:t>
      </w:r>
      <w:r>
        <w:rPr>
          <w:rFonts w:ascii="宋体" w:hAnsi="宋体" w:eastAsia="宋体" w:cs="宋体"/>
          <w:sz w:val="24"/>
          <w:szCs w:val="24"/>
        </w:rPr>
        <w:t>，</w:t>
      </w:r>
      <w:r>
        <w:rPr>
          <w:rFonts w:ascii="宋体" w:hAnsi="宋体" w:eastAsia="宋体" w:cs="宋体"/>
          <w:spacing w:val="-1"/>
          <w:sz w:val="24"/>
          <w:szCs w:val="24"/>
        </w:rPr>
        <w:t>在保育楼饲养</w:t>
      </w:r>
      <w:r>
        <w:rPr>
          <w:rFonts w:ascii="Times New Roman" w:hAnsi="Times New Roman" w:eastAsia="Times New Roman" w:cs="Times New Roman"/>
          <w:spacing w:val="-1"/>
          <w:sz w:val="24"/>
          <w:szCs w:val="24"/>
        </w:rPr>
        <w:t>42d</w:t>
      </w:r>
      <w:r>
        <w:rPr>
          <w:rFonts w:ascii="宋体" w:hAnsi="宋体" w:eastAsia="宋体" w:cs="宋体"/>
          <w:spacing w:val="-1"/>
          <w:sz w:val="24"/>
          <w:szCs w:val="24"/>
        </w:rPr>
        <w:t>后，转栏至育肥楼继续饲养</w:t>
      </w:r>
      <w:r>
        <w:rPr>
          <w:rFonts w:ascii="Times New Roman" w:hAnsi="Times New Roman" w:eastAsia="Times New Roman" w:cs="Times New Roman"/>
          <w:spacing w:val="-1"/>
          <w:sz w:val="24"/>
          <w:szCs w:val="24"/>
        </w:rPr>
        <w:t>114d</w:t>
      </w:r>
      <w:r>
        <w:rPr>
          <w:rFonts w:ascii="宋体" w:hAnsi="宋体" w:eastAsia="宋体" w:cs="宋体"/>
          <w:spacing w:val="-1"/>
          <w:sz w:val="24"/>
          <w:szCs w:val="24"/>
        </w:rPr>
        <w:t>，至体重</w:t>
      </w:r>
      <w:r>
        <w:rPr>
          <w:rFonts w:ascii="Times New Roman" w:hAnsi="Times New Roman" w:eastAsia="Times New Roman" w:cs="Times New Roman"/>
          <w:spacing w:val="-1"/>
          <w:sz w:val="24"/>
          <w:szCs w:val="24"/>
        </w:rPr>
        <w:t>120kg</w:t>
      </w:r>
      <w:r>
        <w:rPr>
          <w:rFonts w:ascii="宋体" w:hAnsi="宋体" w:eastAsia="宋体" w:cs="宋体"/>
          <w:spacing w:val="-1"/>
          <w:sz w:val="24"/>
          <w:szCs w:val="24"/>
        </w:rPr>
        <w:t>后作为商品猪出售。</w:t>
      </w:r>
    </w:p>
    <w:p w14:paraId="00F5FD61">
      <w:pPr>
        <w:spacing w:before="12" w:line="219" w:lineRule="auto"/>
        <w:ind w:left="520"/>
        <w:rPr>
          <w:rFonts w:ascii="宋体" w:hAnsi="宋体" w:eastAsia="宋体" w:cs="宋体"/>
          <w:sz w:val="24"/>
          <w:szCs w:val="24"/>
        </w:rPr>
      </w:pPr>
      <w:r>
        <w:rPr>
          <w:rFonts w:ascii="宋体" w:hAnsi="宋体" w:eastAsia="宋体" w:cs="宋体"/>
          <w:spacing w:val="-1"/>
          <w:sz w:val="24"/>
          <w:szCs w:val="24"/>
        </w:rPr>
        <w:t>本项目运营期总体生产工艺流程图见图</w:t>
      </w:r>
      <w:r>
        <w:rPr>
          <w:rFonts w:ascii="Times New Roman" w:hAnsi="Times New Roman" w:eastAsia="Times New Roman" w:cs="Times New Roman"/>
          <w:spacing w:val="-1"/>
          <w:sz w:val="24"/>
          <w:szCs w:val="24"/>
        </w:rPr>
        <w:t>2.2-2</w:t>
      </w:r>
      <w:r>
        <w:rPr>
          <w:rFonts w:ascii="宋体" w:hAnsi="宋体" w:eastAsia="宋体" w:cs="宋体"/>
          <w:spacing w:val="-1"/>
          <w:sz w:val="24"/>
          <w:szCs w:val="24"/>
        </w:rPr>
        <w:t>。</w:t>
      </w:r>
    </w:p>
    <w:p w14:paraId="7AD0FE4F">
      <w:pPr>
        <w:spacing w:before="24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2.2.2.2 </w:t>
      </w:r>
      <w:r>
        <w:rPr>
          <w:rFonts w:ascii="宋体" w:hAnsi="宋体" w:eastAsia="宋体" w:cs="宋体"/>
          <w:b/>
          <w:bCs/>
          <w:spacing w:val="5"/>
          <w:sz w:val="27"/>
          <w:szCs w:val="27"/>
        </w:rPr>
        <w:t>养殖工艺流程</w:t>
      </w:r>
    </w:p>
    <w:p w14:paraId="03CF7818">
      <w:pPr>
        <w:spacing w:before="235" w:line="220"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）保育</w:t>
      </w:r>
    </w:p>
    <w:p w14:paraId="13D37F09">
      <w:pPr>
        <w:spacing w:before="183" w:line="360" w:lineRule="auto"/>
        <w:ind w:left="39" w:right="29" w:firstLine="489"/>
        <w:rPr>
          <w:rFonts w:ascii="宋体" w:hAnsi="宋体" w:eastAsia="宋体" w:cs="宋体"/>
          <w:sz w:val="24"/>
          <w:szCs w:val="24"/>
        </w:rPr>
      </w:pPr>
      <w:r>
        <w:rPr>
          <w:rFonts w:ascii="宋体" w:hAnsi="宋体" w:eastAsia="宋体" w:cs="宋体"/>
          <w:spacing w:val="-4"/>
          <w:sz w:val="24"/>
          <w:szCs w:val="24"/>
        </w:rPr>
        <w:t>断奶仔猪入场后，营养来源由吃奶供给转变为仔猪独立采食饲料，这种环境</w:t>
      </w:r>
      <w:r>
        <w:rPr>
          <w:rFonts w:ascii="宋体" w:hAnsi="宋体" w:eastAsia="宋体" w:cs="宋体"/>
          <w:spacing w:val="-10"/>
          <w:sz w:val="24"/>
          <w:szCs w:val="24"/>
        </w:rPr>
        <w:t>的变化，对仔猪是一个应激。因此，保育阶段的主要任务是创造条件，减少应激，</w:t>
      </w:r>
      <w:r>
        <w:rPr>
          <w:rFonts w:ascii="宋体" w:hAnsi="宋体" w:eastAsia="宋体" w:cs="宋体"/>
          <w:spacing w:val="-3"/>
          <w:sz w:val="24"/>
          <w:szCs w:val="24"/>
        </w:rPr>
        <w:t>缩短适应期，保持快速生长，防止拉痢掉膘。</w:t>
      </w:r>
    </w:p>
    <w:p w14:paraId="0CFCB131">
      <w:pPr>
        <w:spacing w:before="4" w:line="360" w:lineRule="auto"/>
        <w:ind w:left="40" w:right="29" w:firstLine="480"/>
        <w:jc w:val="both"/>
        <w:rPr>
          <w:rFonts w:ascii="宋体" w:hAnsi="宋体" w:eastAsia="宋体" w:cs="宋体"/>
          <w:sz w:val="24"/>
          <w:szCs w:val="24"/>
        </w:rPr>
      </w:pPr>
      <w:r>
        <w:rPr>
          <w:rFonts w:ascii="宋体" w:hAnsi="宋体" w:eastAsia="宋体" w:cs="宋体"/>
          <w:spacing w:val="-2"/>
          <w:sz w:val="24"/>
          <w:szCs w:val="24"/>
        </w:rPr>
        <w:t>保育舍的适宜温度和相对湿度控制在</w:t>
      </w:r>
      <w:r>
        <w:rPr>
          <w:rFonts w:ascii="Times New Roman" w:hAnsi="Times New Roman" w:eastAsia="Times New Roman" w:cs="Times New Roman"/>
          <w:spacing w:val="-2"/>
          <w:sz w:val="24"/>
          <w:szCs w:val="24"/>
        </w:rPr>
        <w:t>20</w:t>
      </w:r>
      <w:r>
        <w:rPr>
          <w:rFonts w:ascii="宋体" w:hAnsi="宋体" w:eastAsia="宋体" w:cs="宋体"/>
          <w:spacing w:val="-2"/>
          <w:sz w:val="24"/>
          <w:szCs w:val="24"/>
        </w:rPr>
        <w:t>～</w:t>
      </w:r>
      <w:r>
        <w:rPr>
          <w:rFonts w:ascii="Times New Roman" w:hAnsi="Times New Roman" w:eastAsia="Times New Roman" w:cs="Times New Roman"/>
          <w:spacing w:val="-2"/>
          <w:sz w:val="24"/>
          <w:szCs w:val="24"/>
        </w:rPr>
        <w:t>25</w:t>
      </w:r>
      <w:r>
        <w:rPr>
          <w:rFonts w:ascii="宋体" w:hAnsi="宋体" w:eastAsia="宋体" w:cs="宋体"/>
          <w:spacing w:val="-2"/>
          <w:sz w:val="24"/>
          <w:szCs w:val="24"/>
        </w:rPr>
        <w:t>℃、</w:t>
      </w:r>
      <w:r>
        <w:rPr>
          <w:rFonts w:ascii="Times New Roman" w:hAnsi="Times New Roman" w:eastAsia="Times New Roman" w:cs="Times New Roman"/>
          <w:spacing w:val="-2"/>
          <w:sz w:val="24"/>
          <w:szCs w:val="24"/>
        </w:rPr>
        <w:t>60</w:t>
      </w:r>
      <w:r>
        <w:rPr>
          <w:rFonts w:ascii="宋体" w:hAnsi="宋体" w:eastAsia="宋体" w:cs="宋体"/>
          <w:spacing w:val="-2"/>
          <w:sz w:val="24"/>
          <w:szCs w:val="24"/>
        </w:rPr>
        <w:t>～</w:t>
      </w:r>
      <w:r>
        <w:rPr>
          <w:rFonts w:ascii="Times New Roman" w:hAnsi="Times New Roman" w:eastAsia="Times New Roman" w:cs="Times New Roman"/>
          <w:spacing w:val="-2"/>
          <w:sz w:val="24"/>
          <w:szCs w:val="24"/>
        </w:rPr>
        <w:t>70%</w:t>
      </w:r>
      <w:r>
        <w:rPr>
          <w:rFonts w:ascii="宋体" w:hAnsi="宋体" w:eastAsia="宋体" w:cs="宋体"/>
          <w:spacing w:val="-2"/>
          <w:sz w:val="24"/>
          <w:szCs w:val="24"/>
        </w:rPr>
        <w:t>，并注意良好的通</w:t>
      </w:r>
      <w:r>
        <w:rPr>
          <w:rFonts w:ascii="宋体" w:hAnsi="宋体" w:eastAsia="宋体" w:cs="宋体"/>
          <w:sz w:val="24"/>
          <w:szCs w:val="24"/>
        </w:rPr>
        <w:t>风换气，保持猪舍清洁、干燥，饮水充足。进入保育舍的仔猪，</w:t>
      </w:r>
      <w:r>
        <w:rPr>
          <w:rFonts w:ascii="Times New Roman" w:hAnsi="Times New Roman" w:eastAsia="Times New Roman" w:cs="Times New Roman"/>
          <w:sz w:val="24"/>
          <w:szCs w:val="24"/>
        </w:rPr>
        <w:t>7</w:t>
      </w:r>
      <w:r>
        <w:rPr>
          <w:rFonts w:ascii="宋体" w:hAnsi="宋体" w:eastAsia="宋体" w:cs="宋体"/>
          <w:sz w:val="24"/>
          <w:szCs w:val="24"/>
        </w:rPr>
        <w:t>～</w:t>
      </w:r>
      <w:r>
        <w:rPr>
          <w:rFonts w:ascii="Times New Roman" w:hAnsi="Times New Roman" w:eastAsia="Times New Roman" w:cs="Times New Roman"/>
          <w:sz w:val="24"/>
          <w:szCs w:val="24"/>
        </w:rPr>
        <w:t>10</w:t>
      </w:r>
      <w:r>
        <w:rPr>
          <w:rFonts w:ascii="宋体" w:hAnsi="宋体" w:eastAsia="宋体" w:cs="宋体"/>
          <w:sz w:val="24"/>
          <w:szCs w:val="24"/>
        </w:rPr>
        <w:t>日内应保</w:t>
      </w:r>
      <w:r>
        <w:rPr>
          <w:rFonts w:ascii="宋体" w:hAnsi="宋体" w:eastAsia="宋体" w:cs="宋体"/>
          <w:spacing w:val="-3"/>
          <w:sz w:val="24"/>
          <w:szCs w:val="24"/>
        </w:rPr>
        <w:t>持原来的乳猪饲料，并严格控制采食量，由自由采食改为日喂</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餐，投料量为</w:t>
      </w:r>
      <w:r>
        <w:rPr>
          <w:rFonts w:ascii="宋体" w:hAnsi="宋体" w:eastAsia="宋体" w:cs="宋体"/>
          <w:sz w:val="24"/>
          <w:szCs w:val="24"/>
        </w:rPr>
        <w:t>自由采食的</w:t>
      </w:r>
      <w:r>
        <w:rPr>
          <w:rFonts w:ascii="Times New Roman" w:hAnsi="Times New Roman" w:eastAsia="Times New Roman" w:cs="Times New Roman"/>
          <w:sz w:val="24"/>
          <w:szCs w:val="24"/>
        </w:rPr>
        <w:t>70%</w:t>
      </w:r>
      <w:r>
        <w:rPr>
          <w:rFonts w:ascii="宋体" w:hAnsi="宋体" w:eastAsia="宋体" w:cs="宋体"/>
          <w:sz w:val="24"/>
          <w:szCs w:val="24"/>
        </w:rPr>
        <w:t>，以后逐渐过渡到仔猪料。</w:t>
      </w:r>
      <w:r>
        <w:rPr>
          <w:rFonts w:ascii="宋体" w:hAnsi="宋体" w:eastAsia="宋体" w:cs="宋体"/>
          <w:spacing w:val="-1"/>
          <w:sz w:val="24"/>
          <w:szCs w:val="24"/>
        </w:rPr>
        <w:t>仔猪保育周期约</w:t>
      </w:r>
      <w:r>
        <w:rPr>
          <w:rFonts w:ascii="Times New Roman" w:hAnsi="Times New Roman" w:eastAsia="Times New Roman" w:cs="Times New Roman"/>
          <w:spacing w:val="-1"/>
          <w:sz w:val="24"/>
          <w:szCs w:val="24"/>
        </w:rPr>
        <w:t>42d</w:t>
      </w:r>
      <w:r>
        <w:rPr>
          <w:rFonts w:ascii="宋体" w:hAnsi="宋体" w:eastAsia="宋体" w:cs="宋体"/>
          <w:spacing w:val="-1"/>
          <w:sz w:val="24"/>
          <w:szCs w:val="24"/>
        </w:rPr>
        <w:t>。</w:t>
      </w:r>
    </w:p>
    <w:p w14:paraId="064ECA60">
      <w:pPr>
        <w:spacing w:line="360" w:lineRule="auto"/>
        <w:rPr>
          <w:rFonts w:ascii="宋体" w:hAnsi="宋体" w:eastAsia="宋体" w:cs="宋体"/>
          <w:sz w:val="24"/>
          <w:szCs w:val="24"/>
        </w:rPr>
        <w:sectPr>
          <w:headerReference r:id="rId163" w:type="default"/>
          <w:footerReference r:id="rId164" w:type="default"/>
          <w:pgSz w:w="11905" w:h="16840"/>
          <w:pgMar w:top="1168" w:right="1768" w:bottom="1409" w:left="1770" w:header="828" w:footer="1244" w:gutter="0"/>
          <w:cols w:space="720" w:num="1"/>
        </w:sectPr>
      </w:pPr>
    </w:p>
    <w:p w14:paraId="21AAAC89">
      <w:pPr>
        <w:pStyle w:val="2"/>
        <w:spacing w:line="388" w:lineRule="auto"/>
      </w:pPr>
    </w:p>
    <w:p w14:paraId="0801D3D6">
      <w:pPr>
        <w:spacing w:line="6189" w:lineRule="exact"/>
        <w:ind w:firstLine="61"/>
      </w:pPr>
      <w:r>
        <w:pict>
          <v:shape id="_x0000_s1042" o:spid="_x0000_s1042" style="position:absolute;left:0pt;margin-left:27.4pt;margin-top:108.9pt;height:0.25pt;width:363.7pt;z-index:251660288;mso-width-relative:page;mso-height-relative:page;" filled="f" stroked="t" coordsize="7274,5" path="m3394,2l2,2m3394,2l7271,2e">
            <v:fill on="f" focussize="0,0"/>
            <v:stroke weight="0.2pt" color="#000000" miterlimit="10" dashstyle="dash" endcap="round"/>
            <v:imagedata o:title=""/>
            <o:lock v:ext="edit"/>
          </v:shape>
        </w:pict>
      </w:r>
      <w:r>
        <w:rPr>
          <w:position w:val="-123"/>
        </w:rPr>
        <w:drawing>
          <wp:inline distT="0" distB="0" distL="0" distR="0">
            <wp:extent cx="5234305" cy="393001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47"/>
                    <a:stretch>
                      <a:fillRect/>
                    </a:stretch>
                  </pic:blipFill>
                  <pic:spPr>
                    <a:xfrm>
                      <a:off x="0" y="0"/>
                      <a:ext cx="5234495" cy="3930173"/>
                    </a:xfrm>
                    <a:prstGeom prst="rect">
                      <a:avLst/>
                    </a:prstGeom>
                  </pic:spPr>
                </pic:pic>
              </a:graphicData>
            </a:graphic>
          </wp:inline>
        </w:drawing>
      </w:r>
    </w:p>
    <w:p w14:paraId="328B5FF0">
      <w:pPr>
        <w:pStyle w:val="2"/>
        <w:spacing w:line="301" w:lineRule="auto"/>
      </w:pPr>
    </w:p>
    <w:p w14:paraId="4940C43D">
      <w:pPr>
        <w:spacing w:before="68" w:line="221" w:lineRule="auto"/>
        <w:ind w:left="2252"/>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 xml:space="preserve">2.2-2  </w:t>
      </w:r>
      <w:r>
        <w:rPr>
          <w:rFonts w:ascii="黑体" w:hAnsi="黑体" w:eastAsia="黑体" w:cs="黑体"/>
          <w:spacing w:val="-1"/>
          <w:sz w:val="21"/>
          <w:szCs w:val="21"/>
        </w:rPr>
        <w:t>运营期总生产工艺流程及产污节点</w:t>
      </w:r>
    </w:p>
    <w:p w14:paraId="1A99332E">
      <w:pPr>
        <w:spacing w:before="202" w:line="219"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）育肥</w:t>
      </w:r>
    </w:p>
    <w:p w14:paraId="54220961">
      <w:pPr>
        <w:spacing w:before="183" w:line="360" w:lineRule="auto"/>
        <w:ind w:left="38" w:right="29" w:firstLine="480"/>
        <w:rPr>
          <w:rFonts w:ascii="宋体" w:hAnsi="宋体" w:eastAsia="宋体" w:cs="宋体"/>
          <w:sz w:val="24"/>
          <w:szCs w:val="24"/>
        </w:rPr>
      </w:pPr>
      <w:r>
        <w:rPr>
          <w:rFonts w:ascii="宋体" w:hAnsi="宋体" w:eastAsia="宋体" w:cs="宋体"/>
          <w:spacing w:val="-3"/>
          <w:sz w:val="24"/>
          <w:szCs w:val="24"/>
        </w:rPr>
        <w:t>仔猪保育期过后进入生长育肥阶段，本阶段的主要任务是让猪充</w:t>
      </w:r>
      <w:r>
        <w:rPr>
          <w:rFonts w:ascii="宋体" w:hAnsi="宋体" w:eastAsia="宋体" w:cs="宋体"/>
          <w:spacing w:val="-4"/>
          <w:sz w:val="24"/>
          <w:szCs w:val="24"/>
        </w:rPr>
        <w:t>分生长，提</w:t>
      </w:r>
      <w:r>
        <w:rPr>
          <w:rFonts w:ascii="宋体" w:hAnsi="宋体" w:eastAsia="宋体" w:cs="宋体"/>
          <w:spacing w:val="-6"/>
          <w:sz w:val="24"/>
          <w:szCs w:val="24"/>
        </w:rPr>
        <w:t>高猪的饲料利用率。育肥舍进猪前应进行彻底清洗、消毒， 进</w:t>
      </w:r>
      <w:r>
        <w:rPr>
          <w:rFonts w:ascii="宋体" w:hAnsi="宋体" w:eastAsia="宋体" w:cs="宋体"/>
          <w:spacing w:val="-7"/>
          <w:sz w:val="24"/>
          <w:szCs w:val="24"/>
        </w:rPr>
        <w:t>猪后保持育肥舍内清洁、干燥、通风良好、饮水充足， 育肥舍温度控制在</w:t>
      </w:r>
      <w:r>
        <w:rPr>
          <w:rFonts w:ascii="Times New Roman" w:hAnsi="Times New Roman" w:eastAsia="Times New Roman" w:cs="Times New Roman"/>
          <w:spacing w:val="-7"/>
          <w:sz w:val="24"/>
          <w:szCs w:val="24"/>
        </w:rPr>
        <w:t>15</w:t>
      </w:r>
      <w:r>
        <w:rPr>
          <w:rFonts w:ascii="宋体" w:hAnsi="宋体" w:eastAsia="宋体" w:cs="宋体"/>
          <w:spacing w:val="-7"/>
          <w:sz w:val="24"/>
          <w:szCs w:val="24"/>
        </w:rPr>
        <w:t>～</w:t>
      </w:r>
      <w:r>
        <w:rPr>
          <w:rFonts w:ascii="Times New Roman" w:hAnsi="Times New Roman" w:eastAsia="Times New Roman" w:cs="Times New Roman"/>
          <w:spacing w:val="-7"/>
          <w:sz w:val="24"/>
          <w:szCs w:val="24"/>
        </w:rPr>
        <w:t>23</w:t>
      </w:r>
      <w:r>
        <w:rPr>
          <w:rFonts w:ascii="宋体" w:hAnsi="宋体" w:eastAsia="宋体" w:cs="宋体"/>
          <w:spacing w:val="-7"/>
          <w:sz w:val="24"/>
          <w:szCs w:val="24"/>
        </w:rPr>
        <w:t>℃,</w:t>
      </w:r>
      <w:r>
        <w:rPr>
          <w:rFonts w:ascii="宋体" w:hAnsi="宋体" w:eastAsia="宋体" w:cs="宋体"/>
          <w:spacing w:val="44"/>
          <w:sz w:val="24"/>
          <w:szCs w:val="24"/>
        </w:rPr>
        <w:t xml:space="preserve"> </w:t>
      </w:r>
      <w:r>
        <w:rPr>
          <w:rFonts w:ascii="宋体" w:hAnsi="宋体" w:eastAsia="宋体" w:cs="宋体"/>
          <w:spacing w:val="-7"/>
          <w:sz w:val="24"/>
          <w:szCs w:val="24"/>
        </w:rPr>
        <w:t>夏季注</w:t>
      </w:r>
      <w:r>
        <w:rPr>
          <w:rFonts w:ascii="宋体" w:hAnsi="宋体" w:eastAsia="宋体" w:cs="宋体"/>
          <w:spacing w:val="-8"/>
          <w:sz w:val="24"/>
          <w:szCs w:val="24"/>
        </w:rPr>
        <w:t>意防暑</w:t>
      </w:r>
      <w:r>
        <w:rPr>
          <w:rFonts w:ascii="宋体" w:hAnsi="宋体" w:eastAsia="宋体" w:cs="宋体"/>
          <w:spacing w:val="-6"/>
          <w:sz w:val="24"/>
          <w:szCs w:val="24"/>
        </w:rPr>
        <w:t>降温、冬季注意防寒保温。每月要定期称重， 以检查饲喂效</w:t>
      </w:r>
      <w:r>
        <w:rPr>
          <w:rFonts w:ascii="宋体" w:hAnsi="宋体" w:eastAsia="宋体" w:cs="宋体"/>
          <w:spacing w:val="-7"/>
          <w:sz w:val="24"/>
          <w:szCs w:val="24"/>
        </w:rPr>
        <w:t>果。经常检查猪群的</w:t>
      </w:r>
      <w:r>
        <w:rPr>
          <w:rFonts w:ascii="宋体" w:hAnsi="宋体" w:eastAsia="宋体" w:cs="宋体"/>
          <w:spacing w:val="-6"/>
          <w:sz w:val="24"/>
          <w:szCs w:val="24"/>
        </w:rPr>
        <w:t>采食、发育等情况， 及时调整饲料配方，发现疫病及时报告</w:t>
      </w:r>
      <w:r>
        <w:rPr>
          <w:rFonts w:ascii="宋体" w:hAnsi="宋体" w:eastAsia="宋体" w:cs="宋体"/>
          <w:spacing w:val="-7"/>
          <w:sz w:val="24"/>
          <w:szCs w:val="24"/>
        </w:rPr>
        <w:t>，采取有效措施进行</w:t>
      </w:r>
      <w:r>
        <w:rPr>
          <w:rFonts w:ascii="宋体" w:hAnsi="宋体" w:eastAsia="宋体" w:cs="宋体"/>
          <w:spacing w:val="-1"/>
          <w:sz w:val="24"/>
          <w:szCs w:val="24"/>
        </w:rPr>
        <w:t>治疗和处理。育肥期约</w:t>
      </w:r>
      <w:r>
        <w:rPr>
          <w:rFonts w:ascii="Times New Roman" w:hAnsi="Times New Roman" w:eastAsia="Times New Roman" w:cs="Times New Roman"/>
          <w:spacing w:val="-1"/>
          <w:sz w:val="24"/>
          <w:szCs w:val="24"/>
        </w:rPr>
        <w:t>114d</w:t>
      </w:r>
      <w:r>
        <w:rPr>
          <w:rFonts w:ascii="宋体" w:hAnsi="宋体" w:eastAsia="宋体" w:cs="宋体"/>
          <w:spacing w:val="-1"/>
          <w:sz w:val="24"/>
          <w:szCs w:val="24"/>
        </w:rPr>
        <w:t>，在饲养至体重约</w:t>
      </w:r>
      <w:r>
        <w:rPr>
          <w:rFonts w:ascii="Times New Roman" w:hAnsi="Times New Roman" w:eastAsia="Times New Roman" w:cs="Times New Roman"/>
          <w:spacing w:val="-1"/>
          <w:sz w:val="24"/>
          <w:szCs w:val="24"/>
        </w:rPr>
        <w:t>120k</w:t>
      </w:r>
      <w:r>
        <w:rPr>
          <w:rFonts w:ascii="Times New Roman" w:hAnsi="Times New Roman" w:eastAsia="Times New Roman" w:cs="Times New Roman"/>
          <w:spacing w:val="-2"/>
          <w:sz w:val="24"/>
          <w:szCs w:val="24"/>
        </w:rPr>
        <w:t>g</w:t>
      </w:r>
      <w:r>
        <w:rPr>
          <w:rFonts w:ascii="宋体" w:hAnsi="宋体" w:eastAsia="宋体" w:cs="宋体"/>
          <w:spacing w:val="-2"/>
          <w:sz w:val="24"/>
          <w:szCs w:val="24"/>
        </w:rPr>
        <w:t>时可出栏。</w:t>
      </w:r>
    </w:p>
    <w:p w14:paraId="072A5325">
      <w:pPr>
        <w:spacing w:before="1" w:line="362" w:lineRule="auto"/>
        <w:ind w:left="40" w:right="31" w:firstLine="481"/>
        <w:rPr>
          <w:rFonts w:ascii="宋体" w:hAnsi="宋体" w:eastAsia="宋体" w:cs="宋体"/>
          <w:sz w:val="24"/>
          <w:szCs w:val="24"/>
        </w:rPr>
      </w:pPr>
      <w:r>
        <w:rPr>
          <w:rFonts w:ascii="宋体" w:hAnsi="宋体" w:eastAsia="宋体" w:cs="宋体"/>
          <w:b/>
          <w:bCs/>
          <w:spacing w:val="-5"/>
          <w:sz w:val="24"/>
          <w:szCs w:val="24"/>
        </w:rPr>
        <w:t>产污节点</w:t>
      </w:r>
      <w:r>
        <w:rPr>
          <w:rFonts w:ascii="宋体" w:hAnsi="宋体" w:eastAsia="宋体" w:cs="宋体"/>
          <w:spacing w:val="-5"/>
          <w:sz w:val="24"/>
          <w:szCs w:val="24"/>
        </w:rPr>
        <w:t>：猪饲养过程中产生的废气（恶臭</w:t>
      </w:r>
      <w:r>
        <w:rPr>
          <w:rFonts w:ascii="宋体" w:hAnsi="宋体" w:eastAsia="宋体" w:cs="宋体"/>
          <w:spacing w:val="-6"/>
          <w:sz w:val="24"/>
          <w:szCs w:val="24"/>
        </w:rPr>
        <w:t>气体）、废水（尿液、转栏</w:t>
      </w:r>
      <w:r>
        <w:rPr>
          <w:rFonts w:ascii="Times New Roman" w:hAnsi="Times New Roman" w:eastAsia="Times New Roman" w:cs="Times New Roman"/>
          <w:spacing w:val="-6"/>
          <w:sz w:val="24"/>
          <w:szCs w:val="24"/>
        </w:rPr>
        <w:t>/</w:t>
      </w:r>
      <w:r>
        <w:rPr>
          <w:rFonts w:ascii="宋体" w:hAnsi="宋体" w:eastAsia="宋体" w:cs="宋体"/>
          <w:spacing w:val="-6"/>
          <w:sz w:val="24"/>
          <w:szCs w:val="24"/>
        </w:rPr>
        <w:t>出栏</w:t>
      </w:r>
      <w:r>
        <w:rPr>
          <w:rFonts w:ascii="宋体" w:hAnsi="宋体" w:eastAsia="宋体" w:cs="宋体"/>
          <w:spacing w:val="-10"/>
          <w:sz w:val="24"/>
          <w:szCs w:val="24"/>
        </w:rPr>
        <w:t>冲洗废水）、固废（猪粪、病死猪、防疫废物）、噪声（猪叫声、设备噪声）。</w:t>
      </w:r>
    </w:p>
    <w:p w14:paraId="2B65186B">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2.2.2.3 </w:t>
      </w:r>
      <w:r>
        <w:rPr>
          <w:rFonts w:ascii="宋体" w:hAnsi="宋体" w:eastAsia="宋体" w:cs="宋体"/>
          <w:b/>
          <w:bCs/>
          <w:spacing w:val="5"/>
          <w:sz w:val="27"/>
          <w:szCs w:val="27"/>
        </w:rPr>
        <w:t>饲喂工艺流程</w:t>
      </w:r>
    </w:p>
    <w:p w14:paraId="36464F0F">
      <w:pPr>
        <w:spacing w:before="235" w:line="220" w:lineRule="auto"/>
        <w:ind w:left="519"/>
        <w:rPr>
          <w:rFonts w:ascii="宋体" w:hAnsi="宋体" w:eastAsia="宋体" w:cs="宋体"/>
          <w:sz w:val="24"/>
          <w:szCs w:val="24"/>
        </w:rPr>
      </w:pPr>
      <w:r>
        <w:rPr>
          <w:rFonts w:ascii="宋体" w:hAnsi="宋体" w:eastAsia="宋体" w:cs="宋体"/>
          <w:spacing w:val="-2"/>
          <w:sz w:val="24"/>
          <w:szCs w:val="24"/>
        </w:rPr>
        <w:t>猪只饲料喂养工艺流程主要包括饲料装卸、储运、使用等环节。</w:t>
      </w:r>
    </w:p>
    <w:p w14:paraId="7463F8A2">
      <w:pPr>
        <w:spacing w:before="182"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）上料系统工艺说明</w:t>
      </w:r>
    </w:p>
    <w:p w14:paraId="6B519B66">
      <w:pPr>
        <w:spacing w:before="182" w:line="362" w:lineRule="auto"/>
        <w:ind w:left="50" w:right="29" w:firstLine="469"/>
        <w:rPr>
          <w:rFonts w:ascii="宋体" w:hAnsi="宋体" w:eastAsia="宋体" w:cs="宋体"/>
          <w:sz w:val="24"/>
          <w:szCs w:val="24"/>
        </w:rPr>
      </w:pPr>
      <w:r>
        <w:rPr>
          <w:rFonts w:ascii="宋体" w:hAnsi="宋体" w:eastAsia="宋体" w:cs="宋体"/>
          <w:spacing w:val="-3"/>
          <w:sz w:val="24"/>
          <w:szCs w:val="24"/>
        </w:rPr>
        <w:t>本项目自动喂料系统选用技术先进、质量性能可靠、输料</w:t>
      </w:r>
      <w:r>
        <w:rPr>
          <w:rFonts w:ascii="宋体" w:hAnsi="宋体" w:eastAsia="宋体" w:cs="宋体"/>
          <w:spacing w:val="-4"/>
          <w:sz w:val="24"/>
          <w:szCs w:val="24"/>
        </w:rPr>
        <w:t>平稳、噪音小、定</w:t>
      </w:r>
      <w:r>
        <w:rPr>
          <w:rFonts w:ascii="宋体" w:hAnsi="宋体" w:eastAsia="宋体" w:cs="宋体"/>
          <w:spacing w:val="-3"/>
          <w:sz w:val="24"/>
          <w:szCs w:val="24"/>
        </w:rPr>
        <w:t>时定量自动饲喂设备，可以较大提高劳动生产效率，饲</w:t>
      </w:r>
      <w:r>
        <w:rPr>
          <w:rFonts w:ascii="宋体" w:hAnsi="宋体" w:eastAsia="宋体" w:cs="宋体"/>
          <w:spacing w:val="-4"/>
          <w:sz w:val="24"/>
          <w:szCs w:val="24"/>
        </w:rPr>
        <w:t>料由饲料厂生产好直接打</w:t>
      </w:r>
    </w:p>
    <w:p w14:paraId="4AEC490B">
      <w:pPr>
        <w:spacing w:line="362" w:lineRule="auto"/>
        <w:rPr>
          <w:rFonts w:ascii="宋体" w:hAnsi="宋体" w:eastAsia="宋体" w:cs="宋体"/>
          <w:sz w:val="24"/>
          <w:szCs w:val="24"/>
        </w:rPr>
        <w:sectPr>
          <w:footerReference r:id="rId165" w:type="default"/>
          <w:pgSz w:w="11905" w:h="16840"/>
          <w:pgMar w:top="1168" w:right="1768" w:bottom="1409" w:left="1770" w:header="828" w:footer="1244" w:gutter="0"/>
          <w:cols w:space="720" w:num="1"/>
        </w:sectPr>
      </w:pPr>
    </w:p>
    <w:p w14:paraId="7E53A6BF">
      <w:pPr>
        <w:pStyle w:val="2"/>
        <w:spacing w:line="306" w:lineRule="auto"/>
      </w:pPr>
    </w:p>
    <w:p w14:paraId="440D175E">
      <w:pPr>
        <w:spacing w:before="78" w:line="360" w:lineRule="auto"/>
        <w:ind w:left="38"/>
        <w:jc w:val="both"/>
        <w:rPr>
          <w:rFonts w:ascii="宋体" w:hAnsi="宋体" w:eastAsia="宋体" w:cs="宋体"/>
          <w:sz w:val="24"/>
          <w:szCs w:val="24"/>
        </w:rPr>
      </w:pPr>
      <w:r>
        <w:rPr>
          <w:rFonts w:ascii="宋体" w:hAnsi="宋体" w:eastAsia="宋体" w:cs="宋体"/>
          <w:spacing w:val="-1"/>
          <w:sz w:val="24"/>
          <w:szCs w:val="24"/>
        </w:rPr>
        <w:t>入罐装料车，饲料车直接运送至养殖场，饲料车经洗消后不进入养殖场生产</w:t>
      </w:r>
      <w:r>
        <w:rPr>
          <w:rFonts w:ascii="宋体" w:hAnsi="宋体" w:eastAsia="宋体" w:cs="宋体"/>
          <w:spacing w:val="-2"/>
          <w:sz w:val="24"/>
          <w:szCs w:val="24"/>
        </w:rPr>
        <w:t>区，</w:t>
      </w:r>
      <w:r>
        <w:rPr>
          <w:rFonts w:ascii="宋体" w:hAnsi="宋体" w:eastAsia="宋体" w:cs="宋体"/>
          <w:spacing w:val="-3"/>
          <w:sz w:val="24"/>
          <w:szCs w:val="24"/>
        </w:rPr>
        <w:t>在生产区防疫隔离围网外将饲料通过伸缩臂直接输送至料塔内，再通过电机、筛</w:t>
      </w:r>
      <w:r>
        <w:rPr>
          <w:rFonts w:ascii="宋体" w:hAnsi="宋体" w:eastAsia="宋体" w:cs="宋体"/>
          <w:spacing w:val="-1"/>
          <w:sz w:val="24"/>
          <w:szCs w:val="24"/>
        </w:rPr>
        <w:t>盘等将料塔内的饲料输送至猪舍各个食槽，输送的时间和数量可根据不同阶段、</w:t>
      </w:r>
      <w:r>
        <w:rPr>
          <w:rFonts w:ascii="宋体" w:hAnsi="宋体" w:eastAsia="宋体" w:cs="宋体"/>
          <w:spacing w:val="-3"/>
          <w:sz w:val="24"/>
          <w:szCs w:val="24"/>
        </w:rPr>
        <w:t>不同体重对饲料的特异性要求而设定。</w:t>
      </w:r>
    </w:p>
    <w:p w14:paraId="5783BC36">
      <w:pPr>
        <w:spacing w:line="360" w:lineRule="auto"/>
        <w:ind w:left="39" w:right="85" w:firstLine="483"/>
        <w:rPr>
          <w:rFonts w:ascii="宋体" w:hAnsi="宋体" w:eastAsia="宋体" w:cs="宋体"/>
          <w:sz w:val="24"/>
          <w:szCs w:val="24"/>
        </w:rPr>
      </w:pPr>
      <w:r>
        <w:rPr>
          <w:rFonts w:ascii="宋体" w:hAnsi="宋体" w:eastAsia="宋体" w:cs="宋体"/>
          <w:spacing w:val="-3"/>
          <w:sz w:val="24"/>
          <w:szCs w:val="24"/>
        </w:rPr>
        <w:t>项目所用饲料为外购成品饲料，不需进行场内二次加工</w:t>
      </w:r>
      <w:r>
        <w:rPr>
          <w:rFonts w:ascii="宋体" w:hAnsi="宋体" w:eastAsia="宋体" w:cs="宋体"/>
          <w:spacing w:val="-4"/>
          <w:sz w:val="24"/>
          <w:szCs w:val="24"/>
        </w:rPr>
        <w:t>，饲料主要成分为玉</w:t>
      </w:r>
      <w:r>
        <w:rPr>
          <w:rFonts w:ascii="宋体" w:hAnsi="宋体" w:eastAsia="宋体" w:cs="宋体"/>
          <w:spacing w:val="-1"/>
          <w:sz w:val="24"/>
          <w:szCs w:val="24"/>
        </w:rPr>
        <w:t>米、豆饼，还含有少量维生素添加剂、微量元素添</w:t>
      </w:r>
      <w:r>
        <w:rPr>
          <w:rFonts w:ascii="宋体" w:hAnsi="宋体" w:eastAsia="宋体" w:cs="宋体"/>
          <w:spacing w:val="-2"/>
          <w:sz w:val="24"/>
          <w:szCs w:val="24"/>
        </w:rPr>
        <w:t>加剂、氨基酸添加剂等。</w:t>
      </w:r>
    </w:p>
    <w:p w14:paraId="70FB1366">
      <w:pPr>
        <w:spacing w:line="331" w:lineRule="auto"/>
        <w:ind w:left="38" w:right="111" w:firstLine="483"/>
        <w:rPr>
          <w:rFonts w:ascii="宋体" w:hAnsi="宋体" w:eastAsia="宋体" w:cs="宋体"/>
          <w:sz w:val="24"/>
          <w:szCs w:val="24"/>
        </w:rPr>
      </w:pPr>
      <w:r>
        <w:rPr>
          <w:rFonts w:ascii="宋体" w:hAnsi="宋体" w:eastAsia="宋体" w:cs="宋体"/>
          <w:b/>
          <w:bCs/>
          <w:spacing w:val="-12"/>
          <w:sz w:val="24"/>
          <w:szCs w:val="24"/>
        </w:rPr>
        <w:t>产污节点</w:t>
      </w:r>
      <w:r>
        <w:rPr>
          <w:rFonts w:ascii="宋体" w:hAnsi="宋体" w:eastAsia="宋体" w:cs="宋体"/>
          <w:spacing w:val="-12"/>
          <w:sz w:val="24"/>
          <w:szCs w:val="24"/>
        </w:rPr>
        <w:t>：废气（饲料卸料粉尘）、噪声（机械噪声</w:t>
      </w:r>
      <w:r>
        <w:rPr>
          <w:rFonts w:ascii="宋体" w:hAnsi="宋体" w:eastAsia="宋体" w:cs="宋体"/>
          <w:sz w:val="24"/>
          <w:szCs w:val="24"/>
        </w:rPr>
        <w:t>），</w:t>
      </w:r>
      <w:r>
        <w:rPr>
          <w:rFonts w:ascii="宋体" w:hAnsi="宋体" w:eastAsia="宋体" w:cs="宋体"/>
          <w:spacing w:val="-12"/>
          <w:sz w:val="24"/>
          <w:szCs w:val="24"/>
        </w:rPr>
        <w:t>项目使用饲料为成品</w:t>
      </w:r>
      <w:r>
        <w:rPr>
          <w:rFonts w:ascii="宋体" w:hAnsi="宋体" w:eastAsia="宋体" w:cs="宋体"/>
          <w:spacing w:val="-1"/>
          <w:sz w:val="24"/>
          <w:szCs w:val="24"/>
        </w:rPr>
        <w:t>饲料，</w:t>
      </w:r>
      <w:r>
        <w:rPr>
          <w:rFonts w:ascii="Times New Roman" w:hAnsi="Times New Roman" w:eastAsia="Times New Roman" w:cs="Times New Roman"/>
          <w:spacing w:val="-1"/>
          <w:sz w:val="24"/>
          <w:szCs w:val="24"/>
        </w:rPr>
        <w:t>3</w:t>
      </w:r>
      <w:r>
        <w:rPr>
          <w:rFonts w:ascii="宋体" w:hAnsi="宋体" w:eastAsia="宋体" w:cs="宋体"/>
          <w:spacing w:val="-1"/>
          <w:sz w:val="24"/>
          <w:szCs w:val="24"/>
        </w:rPr>
        <w:t>～</w:t>
      </w:r>
      <w:r>
        <w:rPr>
          <w:rFonts w:ascii="Times New Roman" w:hAnsi="Times New Roman" w:eastAsia="Times New Roman" w:cs="Times New Roman"/>
          <w:spacing w:val="-1"/>
          <w:sz w:val="24"/>
          <w:szCs w:val="24"/>
        </w:rPr>
        <w:t>5mm</w:t>
      </w:r>
      <w:r>
        <w:rPr>
          <w:rFonts w:ascii="宋体" w:hAnsi="宋体" w:eastAsia="宋体" w:cs="宋体"/>
          <w:spacing w:val="-1"/>
          <w:sz w:val="24"/>
          <w:szCs w:val="24"/>
        </w:rPr>
        <w:t>粒状形式，含水率</w:t>
      </w:r>
      <w:r>
        <w:rPr>
          <w:rFonts w:ascii="Times New Roman" w:hAnsi="Times New Roman" w:eastAsia="Times New Roman" w:cs="Times New Roman"/>
          <w:spacing w:val="-1"/>
          <w:sz w:val="24"/>
          <w:szCs w:val="24"/>
        </w:rPr>
        <w:t>8%</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，产</w:t>
      </w:r>
      <w:r>
        <w:rPr>
          <w:rFonts w:ascii="宋体" w:hAnsi="宋体" w:eastAsia="宋体" w:cs="宋体"/>
          <w:spacing w:val="-2"/>
          <w:sz w:val="24"/>
          <w:szCs w:val="24"/>
        </w:rPr>
        <w:t>尘量较小忽略不计。</w:t>
      </w:r>
    </w:p>
    <w:p w14:paraId="65FE916C">
      <w:pPr>
        <w:spacing w:line="5253" w:lineRule="exact"/>
        <w:ind w:firstLine="273"/>
      </w:pPr>
      <w:r>
        <w:rPr>
          <w:position w:val="-105"/>
        </w:rPr>
        <w:drawing>
          <wp:inline distT="0" distB="0" distL="0" distR="0">
            <wp:extent cx="4979670" cy="333565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48"/>
                    <a:stretch>
                      <a:fillRect/>
                    </a:stretch>
                  </pic:blipFill>
                  <pic:spPr>
                    <a:xfrm>
                      <a:off x="0" y="0"/>
                      <a:ext cx="4979670" cy="3336034"/>
                    </a:xfrm>
                    <a:prstGeom prst="rect">
                      <a:avLst/>
                    </a:prstGeom>
                  </pic:spPr>
                </pic:pic>
              </a:graphicData>
            </a:graphic>
          </wp:inline>
        </w:drawing>
      </w:r>
    </w:p>
    <w:p w14:paraId="0E902D97">
      <w:pPr>
        <w:spacing w:before="138" w:line="221" w:lineRule="auto"/>
        <w:ind w:left="2646"/>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6"/>
          <w:sz w:val="21"/>
          <w:szCs w:val="21"/>
        </w:rPr>
        <w:t xml:space="preserve"> </w:t>
      </w:r>
      <w:r>
        <w:rPr>
          <w:rFonts w:ascii="Times New Roman" w:hAnsi="Times New Roman" w:eastAsia="Times New Roman" w:cs="Times New Roman"/>
          <w:spacing w:val="-2"/>
          <w:sz w:val="21"/>
          <w:szCs w:val="21"/>
        </w:rPr>
        <w:t xml:space="preserve">2.2-3  </w:t>
      </w:r>
      <w:r>
        <w:rPr>
          <w:rFonts w:ascii="黑体" w:hAnsi="黑体" w:eastAsia="黑体" w:cs="黑体"/>
          <w:spacing w:val="-2"/>
          <w:sz w:val="21"/>
          <w:szCs w:val="21"/>
        </w:rPr>
        <w:t>养殖自动喂料系统示意图</w:t>
      </w:r>
    </w:p>
    <w:p w14:paraId="38AF1FA7">
      <w:pPr>
        <w:spacing w:before="202"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）饮水系统工艺说明</w:t>
      </w:r>
    </w:p>
    <w:p w14:paraId="7702A2D6">
      <w:pPr>
        <w:spacing w:before="183" w:line="219" w:lineRule="auto"/>
        <w:ind w:left="520"/>
        <w:rPr>
          <w:rFonts w:ascii="宋体" w:hAnsi="宋体" w:eastAsia="宋体" w:cs="宋体"/>
          <w:sz w:val="24"/>
          <w:szCs w:val="24"/>
        </w:rPr>
      </w:pPr>
      <w:r>
        <w:rPr>
          <w:rFonts w:ascii="宋体" w:hAnsi="宋体" w:eastAsia="宋体" w:cs="宋体"/>
          <w:spacing w:val="-1"/>
          <w:sz w:val="24"/>
          <w:szCs w:val="24"/>
        </w:rPr>
        <w:t>本项目采用先进的限位饮水器，限位饮水器底部槽体液面始终保持</w:t>
      </w:r>
      <w:r>
        <w:rPr>
          <w:rFonts w:ascii="宋体" w:hAnsi="宋体" w:eastAsia="宋体" w:cs="宋体"/>
          <w:spacing w:val="-2"/>
          <w:sz w:val="24"/>
          <w:szCs w:val="24"/>
        </w:rPr>
        <w:t>在</w:t>
      </w:r>
      <w:r>
        <w:rPr>
          <w:rFonts w:ascii="Times New Roman" w:hAnsi="Times New Roman" w:eastAsia="Times New Roman" w:cs="Times New Roman"/>
          <w:spacing w:val="-2"/>
          <w:sz w:val="24"/>
          <w:szCs w:val="24"/>
        </w:rPr>
        <w:t>2cm</w:t>
      </w:r>
      <w:r>
        <w:rPr>
          <w:rFonts w:ascii="宋体" w:hAnsi="宋体" w:eastAsia="宋体" w:cs="宋体"/>
          <w:spacing w:val="-2"/>
          <w:sz w:val="24"/>
          <w:szCs w:val="24"/>
        </w:rPr>
        <w:t>的</w:t>
      </w:r>
    </w:p>
    <w:p w14:paraId="577B23B5">
      <w:pPr>
        <w:spacing w:before="183" w:line="360" w:lineRule="auto"/>
        <w:ind w:left="35" w:right="84" w:firstLine="6"/>
        <w:jc w:val="both"/>
        <w:rPr>
          <w:rFonts w:ascii="宋体" w:hAnsi="宋体" w:eastAsia="宋体" w:cs="宋体"/>
          <w:sz w:val="24"/>
          <w:szCs w:val="24"/>
        </w:rPr>
      </w:pPr>
      <w:r>
        <w:rPr>
          <w:rFonts w:ascii="宋体" w:hAnsi="宋体" w:eastAsia="宋体" w:cs="宋体"/>
          <w:spacing w:val="-3"/>
          <w:sz w:val="24"/>
          <w:szCs w:val="24"/>
        </w:rPr>
        <w:t>液面高度，在此液面高度时，饮水器与外界空气形成负压，当猪只喝水时，</w:t>
      </w:r>
      <w:r>
        <w:rPr>
          <w:rFonts w:ascii="宋体" w:hAnsi="宋体" w:eastAsia="宋体" w:cs="宋体"/>
          <w:spacing w:val="-4"/>
          <w:sz w:val="24"/>
          <w:szCs w:val="24"/>
        </w:rPr>
        <w:t>饮水</w:t>
      </w:r>
      <w:r>
        <w:rPr>
          <w:rFonts w:ascii="宋体" w:hAnsi="宋体" w:eastAsia="宋体" w:cs="宋体"/>
          <w:spacing w:val="4"/>
          <w:sz w:val="24"/>
          <w:szCs w:val="24"/>
        </w:rPr>
        <w:t>器与空气接触，内部压力大于外部压力，水自动地从管内流出直至液面高度在</w:t>
      </w:r>
      <w:r>
        <w:rPr>
          <w:rFonts w:ascii="Times New Roman" w:hAnsi="Times New Roman" w:eastAsia="Times New Roman" w:cs="Times New Roman"/>
          <w:spacing w:val="-6"/>
          <w:sz w:val="24"/>
          <w:szCs w:val="24"/>
        </w:rPr>
        <w:t>2cm</w:t>
      </w:r>
      <w:r>
        <w:rPr>
          <w:rFonts w:ascii="宋体" w:hAnsi="宋体" w:eastAsia="宋体" w:cs="宋体"/>
          <w:spacing w:val="-6"/>
          <w:sz w:val="24"/>
          <w:szCs w:val="24"/>
        </w:rPr>
        <w:t>时饮水器自动停止供水。能保证猪只随时饮用新鲜水</w:t>
      </w:r>
      <w:r>
        <w:rPr>
          <w:rFonts w:ascii="宋体" w:hAnsi="宋体" w:eastAsia="宋体" w:cs="宋体"/>
          <w:spacing w:val="-7"/>
          <w:sz w:val="24"/>
          <w:szCs w:val="24"/>
        </w:rPr>
        <w:t>，</w:t>
      </w:r>
      <w:r>
        <w:rPr>
          <w:rFonts w:ascii="宋体" w:hAnsi="宋体" w:eastAsia="宋体" w:cs="宋体"/>
          <w:spacing w:val="73"/>
          <w:sz w:val="24"/>
          <w:szCs w:val="24"/>
        </w:rPr>
        <w:t xml:space="preserve"> </w:t>
      </w:r>
      <w:r>
        <w:rPr>
          <w:rFonts w:ascii="宋体" w:hAnsi="宋体" w:eastAsia="宋体" w:cs="宋体"/>
          <w:spacing w:val="-7"/>
          <w:sz w:val="24"/>
          <w:szCs w:val="24"/>
        </w:rPr>
        <w:t>同时避免不必要的浪</w:t>
      </w:r>
      <w:r>
        <w:rPr>
          <w:rFonts w:ascii="宋体" w:hAnsi="宋体" w:eastAsia="宋体" w:cs="宋体"/>
          <w:spacing w:val="-5"/>
          <w:sz w:val="24"/>
          <w:szCs w:val="24"/>
        </w:rPr>
        <w:t>费，节约水资源。</w:t>
      </w:r>
    </w:p>
    <w:p w14:paraId="4A7165B2">
      <w:pPr>
        <w:spacing w:before="1" w:line="218" w:lineRule="auto"/>
        <w:ind w:left="520"/>
        <w:rPr>
          <w:rFonts w:ascii="宋体" w:hAnsi="宋体" w:eastAsia="宋体" w:cs="宋体"/>
          <w:sz w:val="24"/>
          <w:szCs w:val="24"/>
        </w:rPr>
      </w:pPr>
      <w:r>
        <w:rPr>
          <w:rFonts w:ascii="宋体" w:hAnsi="宋体" w:eastAsia="宋体" w:cs="宋体"/>
          <w:spacing w:val="-4"/>
          <w:sz w:val="24"/>
          <w:szCs w:val="24"/>
        </w:rPr>
        <w:t>本项目所用养殖模式节水方式如下：</w:t>
      </w:r>
    </w:p>
    <w:p w14:paraId="1012D6E9">
      <w:pPr>
        <w:spacing w:before="184" w:line="217" w:lineRule="auto"/>
        <w:ind w:left="518"/>
        <w:rPr>
          <w:rFonts w:ascii="宋体" w:hAnsi="宋体" w:eastAsia="宋体" w:cs="宋体"/>
          <w:sz w:val="24"/>
          <w:szCs w:val="24"/>
        </w:rPr>
      </w:pPr>
      <w:r>
        <w:rPr>
          <w:rFonts w:ascii="宋体" w:hAnsi="宋体" w:eastAsia="宋体" w:cs="宋体"/>
          <w:spacing w:val="-1"/>
          <w:sz w:val="24"/>
          <w:szCs w:val="24"/>
        </w:rPr>
        <w:t>①漏缝地板减少冲洗猪舍用水</w:t>
      </w:r>
    </w:p>
    <w:p w14:paraId="66719A60">
      <w:pPr>
        <w:spacing w:before="185" w:line="219" w:lineRule="auto"/>
        <w:jc w:val="right"/>
        <w:rPr>
          <w:rFonts w:ascii="宋体" w:hAnsi="宋体" w:eastAsia="宋体" w:cs="宋体"/>
          <w:sz w:val="24"/>
          <w:szCs w:val="24"/>
        </w:rPr>
      </w:pPr>
      <w:r>
        <w:rPr>
          <w:rFonts w:ascii="宋体" w:hAnsi="宋体" w:eastAsia="宋体" w:cs="宋体"/>
          <w:spacing w:val="-8"/>
          <w:sz w:val="24"/>
          <w:szCs w:val="24"/>
        </w:rPr>
        <w:t>按照本项目养殖工艺，每个单元从进栏到出栏仅冲洗一次，平常不进行冲洗。</w:t>
      </w:r>
    </w:p>
    <w:p w14:paraId="331AF4FD">
      <w:pPr>
        <w:spacing w:line="219" w:lineRule="auto"/>
        <w:rPr>
          <w:rFonts w:ascii="宋体" w:hAnsi="宋体" w:eastAsia="宋体" w:cs="宋体"/>
          <w:sz w:val="24"/>
          <w:szCs w:val="24"/>
        </w:rPr>
        <w:sectPr>
          <w:headerReference r:id="rId166" w:type="default"/>
          <w:footerReference r:id="rId167" w:type="default"/>
          <w:pgSz w:w="11905" w:h="16840"/>
          <w:pgMar w:top="1168" w:right="1712" w:bottom="1409" w:left="1770" w:header="828" w:footer="1244" w:gutter="0"/>
          <w:cols w:space="720" w:num="1"/>
        </w:sectPr>
      </w:pPr>
    </w:p>
    <w:p w14:paraId="4A11CEA7">
      <w:pPr>
        <w:pStyle w:val="2"/>
        <w:spacing w:line="306" w:lineRule="auto"/>
      </w:pPr>
    </w:p>
    <w:p w14:paraId="2EB280AD">
      <w:pPr>
        <w:spacing w:before="78" w:line="217" w:lineRule="auto"/>
        <w:ind w:left="517"/>
        <w:rPr>
          <w:rFonts w:ascii="宋体" w:hAnsi="宋体" w:eastAsia="宋体" w:cs="宋体"/>
          <w:sz w:val="24"/>
          <w:szCs w:val="24"/>
        </w:rPr>
      </w:pPr>
      <w:r>
        <w:rPr>
          <w:rFonts w:ascii="宋体" w:hAnsi="宋体" w:eastAsia="宋体" w:cs="宋体"/>
          <w:spacing w:val="-1"/>
          <w:sz w:val="24"/>
          <w:szCs w:val="24"/>
        </w:rPr>
        <w:t>②利用限位式饮水器，严格控制养猪的耗水量</w:t>
      </w:r>
    </w:p>
    <w:p w14:paraId="1F0204F0">
      <w:pPr>
        <w:spacing w:before="185" w:line="360" w:lineRule="auto"/>
        <w:ind w:left="40" w:right="186" w:firstLine="481"/>
        <w:rPr>
          <w:rFonts w:ascii="宋体" w:hAnsi="宋体" w:eastAsia="宋体" w:cs="宋体"/>
          <w:sz w:val="24"/>
          <w:szCs w:val="24"/>
        </w:rPr>
      </w:pPr>
      <w:r>
        <w:rPr>
          <w:rFonts w:ascii="宋体" w:hAnsi="宋体" w:eastAsia="宋体" w:cs="宋体"/>
          <w:spacing w:val="-3"/>
          <w:sz w:val="24"/>
          <w:szCs w:val="24"/>
        </w:rPr>
        <w:t>为了更好的节约用水，项目采用限位式饮水器，生猪需饮</w:t>
      </w:r>
      <w:r>
        <w:rPr>
          <w:rFonts w:ascii="宋体" w:hAnsi="宋体" w:eastAsia="宋体" w:cs="宋体"/>
          <w:spacing w:val="-4"/>
          <w:sz w:val="24"/>
          <w:szCs w:val="24"/>
        </w:rPr>
        <w:t>水时，饮水器与空</w:t>
      </w:r>
      <w:r>
        <w:rPr>
          <w:rFonts w:ascii="宋体" w:hAnsi="宋体" w:eastAsia="宋体" w:cs="宋体"/>
          <w:spacing w:val="-1"/>
          <w:sz w:val="24"/>
          <w:szCs w:val="24"/>
        </w:rPr>
        <w:t>气接触，内部压力大于外部压力，水自动地从管内流出直至液面高度在</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cm</w:t>
      </w:r>
      <w:r>
        <w:rPr>
          <w:rFonts w:ascii="宋体" w:hAnsi="宋体" w:eastAsia="宋体" w:cs="宋体"/>
          <w:spacing w:val="-2"/>
          <w:sz w:val="24"/>
          <w:szCs w:val="24"/>
        </w:rPr>
        <w:t>时饮</w:t>
      </w:r>
      <w:r>
        <w:rPr>
          <w:rFonts w:ascii="宋体" w:hAnsi="宋体" w:eastAsia="宋体" w:cs="宋体"/>
          <w:spacing w:val="-5"/>
          <w:sz w:val="24"/>
          <w:szCs w:val="24"/>
        </w:rPr>
        <w:t>水器自动停止供水。限位式饮水器能保证生猪随时饮用新鲜水，</w:t>
      </w:r>
      <w:r>
        <w:rPr>
          <w:rFonts w:ascii="宋体" w:hAnsi="宋体" w:eastAsia="宋体" w:cs="宋体"/>
          <w:spacing w:val="-50"/>
          <w:sz w:val="24"/>
          <w:szCs w:val="24"/>
        </w:rPr>
        <w:t xml:space="preserve"> </w:t>
      </w:r>
      <w:r>
        <w:rPr>
          <w:rFonts w:ascii="宋体" w:hAnsi="宋体" w:eastAsia="宋体" w:cs="宋体"/>
          <w:spacing w:val="-5"/>
          <w:sz w:val="24"/>
          <w:szCs w:val="24"/>
        </w:rPr>
        <w:t>避免不必要的浪</w:t>
      </w:r>
      <w:r>
        <w:rPr>
          <w:rFonts w:ascii="宋体" w:hAnsi="宋体" w:eastAsia="宋体" w:cs="宋体"/>
          <w:spacing w:val="-2"/>
          <w:sz w:val="24"/>
          <w:szCs w:val="24"/>
        </w:rPr>
        <w:t>费，节约水资源，经实践验证，对比传统的挤压式饮水器可减少</w:t>
      </w:r>
      <w:r>
        <w:rPr>
          <w:rFonts w:ascii="Times New Roman" w:hAnsi="Times New Roman" w:eastAsia="Times New Roman" w:cs="Times New Roman"/>
          <w:spacing w:val="-2"/>
          <w:sz w:val="24"/>
          <w:szCs w:val="24"/>
        </w:rPr>
        <w:t>60%</w:t>
      </w:r>
      <w:r>
        <w:rPr>
          <w:rFonts w:ascii="宋体" w:hAnsi="宋体" w:eastAsia="宋体" w:cs="宋体"/>
          <w:spacing w:val="-2"/>
          <w:sz w:val="24"/>
          <w:szCs w:val="24"/>
        </w:rPr>
        <w:t>左右的饮用水用量，且该饮水器可保持猪舍地面相对干爽，有利于猪舍保温。</w:t>
      </w:r>
    </w:p>
    <w:p w14:paraId="3369D735">
      <w:pPr>
        <w:spacing w:line="217" w:lineRule="auto"/>
        <w:ind w:left="517"/>
        <w:rPr>
          <w:rFonts w:ascii="宋体" w:hAnsi="宋体" w:eastAsia="宋体" w:cs="宋体"/>
          <w:sz w:val="24"/>
          <w:szCs w:val="24"/>
        </w:rPr>
      </w:pPr>
      <w:r>
        <w:rPr>
          <w:rFonts w:ascii="宋体" w:hAnsi="宋体" w:eastAsia="宋体" w:cs="宋体"/>
          <w:spacing w:val="-1"/>
          <w:sz w:val="24"/>
          <w:szCs w:val="24"/>
        </w:rPr>
        <w:t>③电脑控制单元降温用水，减少水量浪费</w:t>
      </w:r>
    </w:p>
    <w:p w14:paraId="0E73F6A3">
      <w:pPr>
        <w:spacing w:before="185" w:line="217" w:lineRule="auto"/>
        <w:ind w:left="517"/>
        <w:rPr>
          <w:rFonts w:ascii="宋体" w:hAnsi="宋体" w:eastAsia="宋体" w:cs="宋体"/>
          <w:sz w:val="24"/>
          <w:szCs w:val="24"/>
        </w:rPr>
      </w:pPr>
      <w:r>
        <w:rPr>
          <w:rFonts w:ascii="宋体" w:hAnsi="宋体" w:eastAsia="宋体" w:cs="宋体"/>
          <w:spacing w:val="-1"/>
          <w:sz w:val="24"/>
          <w:szCs w:val="24"/>
        </w:rPr>
        <w:t>④各单元安装水表，实行绩效管理，定量控制用水量</w:t>
      </w:r>
    </w:p>
    <w:p w14:paraId="4076B286">
      <w:pPr>
        <w:spacing w:before="185" w:line="360" w:lineRule="auto"/>
        <w:ind w:left="39" w:right="186" w:firstLine="482"/>
        <w:rPr>
          <w:rFonts w:ascii="宋体" w:hAnsi="宋体" w:eastAsia="宋体" w:cs="宋体"/>
          <w:sz w:val="24"/>
          <w:szCs w:val="24"/>
        </w:rPr>
      </w:pPr>
      <w:r>
        <w:rPr>
          <w:rFonts w:ascii="宋体" w:hAnsi="宋体" w:eastAsia="宋体" w:cs="宋体"/>
          <w:spacing w:val="-8"/>
          <w:sz w:val="24"/>
          <w:szCs w:val="24"/>
        </w:rPr>
        <w:t>各个猪舍单元都安装有水表，选用优质阀门，减少</w:t>
      </w:r>
      <w:r>
        <w:rPr>
          <w:rFonts w:ascii="宋体" w:hAnsi="宋体" w:eastAsia="宋体" w:cs="宋体"/>
          <w:spacing w:val="-9"/>
          <w:sz w:val="24"/>
          <w:szCs w:val="24"/>
        </w:rPr>
        <w:t>饱、冒、滴、漏，</w:t>
      </w:r>
      <w:r>
        <w:rPr>
          <w:rFonts w:ascii="宋体" w:hAnsi="宋体" w:eastAsia="宋体" w:cs="宋体"/>
          <w:spacing w:val="48"/>
          <w:sz w:val="24"/>
          <w:szCs w:val="24"/>
        </w:rPr>
        <w:t xml:space="preserve"> </w:t>
      </w:r>
      <w:r>
        <w:rPr>
          <w:rFonts w:ascii="宋体" w:hAnsi="宋体" w:eastAsia="宋体" w:cs="宋体"/>
          <w:spacing w:val="-9"/>
          <w:sz w:val="24"/>
          <w:szCs w:val="24"/>
        </w:rPr>
        <w:t>计量到</w:t>
      </w:r>
      <w:r>
        <w:rPr>
          <w:rFonts w:ascii="宋体" w:hAnsi="宋体" w:eastAsia="宋体" w:cs="宋体"/>
          <w:spacing w:val="-2"/>
          <w:sz w:val="24"/>
          <w:szCs w:val="24"/>
        </w:rPr>
        <w:t>每个饲养员，严格定量控制用水量，达到节约用水的目的。</w:t>
      </w:r>
    </w:p>
    <w:p w14:paraId="17FCF8B9">
      <w:pPr>
        <w:spacing w:before="1" w:line="217" w:lineRule="auto"/>
        <w:ind w:left="517"/>
        <w:rPr>
          <w:rFonts w:ascii="宋体" w:hAnsi="宋体" w:eastAsia="宋体" w:cs="宋体"/>
          <w:sz w:val="24"/>
          <w:szCs w:val="24"/>
        </w:rPr>
      </w:pPr>
      <w:r>
        <w:rPr>
          <w:rFonts w:ascii="宋体" w:hAnsi="宋体" w:eastAsia="宋体" w:cs="宋体"/>
          <w:spacing w:val="-1"/>
          <w:sz w:val="24"/>
          <w:szCs w:val="24"/>
        </w:rPr>
        <w:t>⑤高压水枪冲洗猪舍，减少转栏</w:t>
      </w:r>
      <w:r>
        <w:rPr>
          <w:rFonts w:ascii="Times New Roman" w:hAnsi="Times New Roman" w:eastAsia="Times New Roman" w:cs="Times New Roman"/>
          <w:spacing w:val="-1"/>
          <w:sz w:val="24"/>
          <w:szCs w:val="24"/>
        </w:rPr>
        <w:t>/</w:t>
      </w:r>
      <w:r>
        <w:rPr>
          <w:rFonts w:ascii="宋体" w:hAnsi="宋体" w:eastAsia="宋体" w:cs="宋体"/>
          <w:spacing w:val="-1"/>
          <w:sz w:val="24"/>
          <w:szCs w:val="24"/>
        </w:rPr>
        <w:t>出栏单元冲洗水</w:t>
      </w:r>
    </w:p>
    <w:p w14:paraId="2E5D9CBD">
      <w:pPr>
        <w:spacing w:before="185" w:line="360" w:lineRule="auto"/>
        <w:ind w:left="40" w:right="186" w:firstLine="477"/>
        <w:rPr>
          <w:rFonts w:ascii="宋体" w:hAnsi="宋体" w:eastAsia="宋体" w:cs="宋体"/>
          <w:sz w:val="24"/>
          <w:szCs w:val="24"/>
        </w:rPr>
      </w:pPr>
      <w:r>
        <w:rPr>
          <w:rFonts w:ascii="宋体" w:hAnsi="宋体" w:eastAsia="宋体" w:cs="宋体"/>
          <w:spacing w:val="-3"/>
          <w:sz w:val="24"/>
          <w:szCs w:val="24"/>
        </w:rPr>
        <w:t>⑥自动化饲喂系统，可有效降低饲料搅拌过程用水量和饲料输送过</w:t>
      </w:r>
      <w:r>
        <w:rPr>
          <w:rFonts w:ascii="宋体" w:hAnsi="宋体" w:eastAsia="宋体" w:cs="宋体"/>
          <w:spacing w:val="-4"/>
          <w:sz w:val="24"/>
          <w:szCs w:val="24"/>
        </w:rPr>
        <w:t>程水分损</w:t>
      </w:r>
      <w:r>
        <w:rPr>
          <w:rFonts w:ascii="宋体" w:hAnsi="宋体" w:eastAsia="宋体" w:cs="宋体"/>
          <w:spacing w:val="-5"/>
          <w:sz w:val="24"/>
          <w:szCs w:val="24"/>
        </w:rPr>
        <w:t>耗，其节水效果明显。</w:t>
      </w:r>
    </w:p>
    <w:p w14:paraId="4AE5B4FB">
      <w:pPr>
        <w:spacing w:before="1" w:line="362" w:lineRule="auto"/>
        <w:ind w:left="44" w:right="186" w:firstLine="504"/>
        <w:rPr>
          <w:rFonts w:ascii="宋体" w:hAnsi="宋体" w:eastAsia="宋体" w:cs="宋体"/>
          <w:sz w:val="24"/>
          <w:szCs w:val="24"/>
        </w:rPr>
      </w:pPr>
      <w:r>
        <w:rPr>
          <w:rFonts w:ascii="宋体" w:hAnsi="宋体" w:eastAsia="宋体" w:cs="宋体"/>
          <w:spacing w:val="-4"/>
          <w:sz w:val="24"/>
          <w:szCs w:val="24"/>
        </w:rPr>
        <w:t>由上述各种节水方式可以看出，本项目所使用的养殖模式具有明显的节</w:t>
      </w:r>
      <w:r>
        <w:rPr>
          <w:rFonts w:ascii="宋体" w:hAnsi="宋体" w:eastAsia="宋体" w:cs="宋体"/>
          <w:spacing w:val="-5"/>
          <w:sz w:val="24"/>
          <w:szCs w:val="24"/>
        </w:rPr>
        <w:t>水效</w:t>
      </w:r>
      <w:r>
        <w:rPr>
          <w:rFonts w:ascii="宋体" w:hAnsi="宋体" w:eastAsia="宋体" w:cs="宋体"/>
          <w:spacing w:val="-13"/>
          <w:sz w:val="24"/>
          <w:szCs w:val="24"/>
        </w:rPr>
        <w:t>果。</w:t>
      </w:r>
    </w:p>
    <w:p w14:paraId="78FC7A93">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2.2.2.4 </w:t>
      </w:r>
      <w:r>
        <w:rPr>
          <w:rFonts w:ascii="宋体" w:hAnsi="宋体" w:eastAsia="宋体" w:cs="宋体"/>
          <w:b/>
          <w:bCs/>
          <w:spacing w:val="5"/>
          <w:sz w:val="27"/>
          <w:szCs w:val="27"/>
        </w:rPr>
        <w:t>猪粪清理工艺流程</w:t>
      </w:r>
    </w:p>
    <w:p w14:paraId="713F9D59">
      <w:pPr>
        <w:spacing w:before="236"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）本项目清粪工艺</w:t>
      </w:r>
    </w:p>
    <w:p w14:paraId="5E116421">
      <w:pPr>
        <w:spacing w:before="184" w:line="360" w:lineRule="auto"/>
        <w:ind w:left="45" w:right="198" w:firstLine="475"/>
        <w:rPr>
          <w:rFonts w:ascii="宋体" w:hAnsi="宋体" w:eastAsia="宋体" w:cs="宋体"/>
          <w:sz w:val="24"/>
          <w:szCs w:val="24"/>
        </w:rPr>
      </w:pPr>
      <w:r>
        <w:rPr>
          <w:rFonts w:ascii="宋体" w:hAnsi="宋体" w:eastAsia="宋体" w:cs="宋体"/>
          <w:spacing w:val="-4"/>
          <w:sz w:val="24"/>
          <w:szCs w:val="24"/>
        </w:rPr>
        <w:t>本项目采用“原环保部认可的清粪工艺”（同牧原食品股份有限公司清粪工</w:t>
      </w:r>
      <w:r>
        <w:rPr>
          <w:rFonts w:ascii="宋体" w:hAnsi="宋体" w:eastAsia="宋体" w:cs="宋体"/>
          <w:spacing w:val="-3"/>
          <w:sz w:val="24"/>
          <w:szCs w:val="24"/>
        </w:rPr>
        <w:t>艺，为原环保部认可具备干清粪工艺基本特征，环办函</w:t>
      </w:r>
      <w:r>
        <w:rPr>
          <w:rFonts w:ascii="Times New Roman" w:hAnsi="Times New Roman" w:eastAsia="Times New Roman" w:cs="Times New Roman"/>
          <w:spacing w:val="-3"/>
          <w:sz w:val="24"/>
          <w:szCs w:val="24"/>
        </w:rPr>
        <w:t>[</w:t>
      </w:r>
      <w:r>
        <w:fldChar w:fldCharType="begin"/>
      </w:r>
      <w:r>
        <w:instrText xml:space="preserve"> HYPERLINK \l "bookmark144" </w:instrText>
      </w:r>
      <w:r>
        <w:fldChar w:fldCharType="separate"/>
      </w:r>
      <w:r>
        <w:rPr>
          <w:rFonts w:ascii="Times New Roman" w:hAnsi="Times New Roman" w:eastAsia="Times New Roman" w:cs="Times New Roman"/>
          <w:spacing w:val="-3"/>
          <w:sz w:val="24"/>
          <w:szCs w:val="24"/>
        </w:rPr>
        <w:t>2015</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]425</w:t>
      </w:r>
      <w:r>
        <w:rPr>
          <w:rFonts w:ascii="宋体" w:hAnsi="宋体" w:eastAsia="宋体" w:cs="宋体"/>
          <w:spacing w:val="-3"/>
          <w:sz w:val="24"/>
          <w:szCs w:val="24"/>
        </w:rPr>
        <w:t>号）。</w:t>
      </w:r>
    </w:p>
    <w:p w14:paraId="001B69C9">
      <w:pPr>
        <w:spacing w:line="360" w:lineRule="auto"/>
        <w:ind w:left="39" w:right="186" w:firstLine="480"/>
        <w:jc w:val="both"/>
        <w:rPr>
          <w:rFonts w:ascii="宋体" w:hAnsi="宋体" w:eastAsia="宋体" w:cs="宋体"/>
          <w:sz w:val="24"/>
          <w:szCs w:val="24"/>
        </w:rPr>
      </w:pPr>
      <w:r>
        <w:rPr>
          <w:rFonts w:ascii="宋体" w:hAnsi="宋体" w:eastAsia="宋体" w:cs="宋体"/>
          <w:spacing w:val="-3"/>
          <w:sz w:val="24"/>
          <w:szCs w:val="24"/>
        </w:rPr>
        <w:t>猪生活在改良型全漏缝地板上，猪粪由于猪的踩踏及重力作用离</w:t>
      </w:r>
      <w:r>
        <w:rPr>
          <w:rFonts w:ascii="宋体" w:hAnsi="宋体" w:eastAsia="宋体" w:cs="宋体"/>
          <w:spacing w:val="-4"/>
          <w:sz w:val="24"/>
          <w:szCs w:val="24"/>
        </w:rPr>
        <w:t>开猪舍进入</w:t>
      </w:r>
      <w:r>
        <w:rPr>
          <w:rFonts w:ascii="宋体" w:hAnsi="宋体" w:eastAsia="宋体" w:cs="宋体"/>
          <w:spacing w:val="-3"/>
          <w:sz w:val="24"/>
          <w:szCs w:val="24"/>
        </w:rPr>
        <w:t>猪舍底部的粪污储存池，储存池底部设计成一端高、一端低的倾斜结构，排粪塞</w:t>
      </w:r>
      <w:r>
        <w:rPr>
          <w:rFonts w:ascii="宋体" w:hAnsi="宋体" w:eastAsia="宋体" w:cs="宋体"/>
          <w:spacing w:val="-7"/>
          <w:sz w:val="24"/>
          <w:szCs w:val="24"/>
        </w:rPr>
        <w:t>位于最低端。</w:t>
      </w:r>
    </w:p>
    <w:p w14:paraId="02F35FCA">
      <w:pPr>
        <w:spacing w:before="4" w:line="360" w:lineRule="auto"/>
        <w:ind w:left="37" w:firstLine="481"/>
        <w:jc w:val="both"/>
        <w:rPr>
          <w:rFonts w:ascii="宋体" w:hAnsi="宋体" w:eastAsia="宋体" w:cs="宋体"/>
          <w:sz w:val="24"/>
          <w:szCs w:val="24"/>
        </w:rPr>
      </w:pPr>
      <w:r>
        <w:rPr>
          <w:rFonts w:ascii="宋体" w:hAnsi="宋体" w:eastAsia="宋体" w:cs="宋体"/>
          <w:spacing w:val="-5"/>
          <w:sz w:val="24"/>
          <w:szCs w:val="24"/>
        </w:rPr>
        <w:t>猪舍底部储存池的粪尿应及时清理（清粪周期以粪污储存池的粪便形态判断，</w:t>
      </w:r>
      <w:r>
        <w:rPr>
          <w:rFonts w:ascii="宋体" w:hAnsi="宋体" w:eastAsia="宋体" w:cs="宋体"/>
          <w:spacing w:val="-3"/>
          <w:sz w:val="24"/>
          <w:szCs w:val="24"/>
        </w:rPr>
        <w:t>粘稠的粪便经过浸泡后呈分散状态，能够随尿液流动以方便后端排出时，才可以</w:t>
      </w:r>
      <w:r>
        <w:rPr>
          <w:rFonts w:ascii="宋体" w:hAnsi="宋体" w:eastAsia="宋体" w:cs="宋体"/>
          <w:sz w:val="24"/>
          <w:szCs w:val="24"/>
        </w:rPr>
        <w:t>进行清粪，根据宇和泽农业有限公司的养殖经验，养殖场清粪周期最短为</w:t>
      </w:r>
      <w:r>
        <w:rPr>
          <w:rFonts w:ascii="Times New Roman" w:hAnsi="Times New Roman" w:eastAsia="Times New Roman" w:cs="Times New Roman"/>
          <w:sz w:val="24"/>
          <w:szCs w:val="24"/>
        </w:rPr>
        <w:t>5~7</w:t>
      </w:r>
      <w:r>
        <w:rPr>
          <w:rFonts w:ascii="宋体" w:hAnsi="宋体" w:eastAsia="宋体" w:cs="宋体"/>
          <w:sz w:val="24"/>
          <w:szCs w:val="24"/>
        </w:rPr>
        <w:t>天</w:t>
      </w:r>
      <w:r>
        <w:rPr>
          <w:rFonts w:ascii="宋体" w:hAnsi="宋体" w:eastAsia="宋体" w:cs="宋体"/>
          <w:spacing w:val="-6"/>
          <w:sz w:val="24"/>
          <w:szCs w:val="24"/>
        </w:rPr>
        <w:t>进行一次，低于</w:t>
      </w:r>
      <w:r>
        <w:rPr>
          <w:rFonts w:ascii="Times New Roman" w:hAnsi="Times New Roman" w:eastAsia="Times New Roman" w:cs="Times New Roman"/>
          <w:spacing w:val="-6"/>
          <w:sz w:val="24"/>
          <w:szCs w:val="24"/>
        </w:rPr>
        <w:t>5</w:t>
      </w:r>
      <w:r>
        <w:rPr>
          <w:rFonts w:ascii="宋体" w:hAnsi="宋体" w:eastAsia="宋体" w:cs="宋体"/>
          <w:spacing w:val="-6"/>
          <w:sz w:val="24"/>
          <w:szCs w:val="24"/>
        </w:rPr>
        <w:t>天时粪便为固态粘稠状不易排出</w:t>
      </w:r>
      <w:r>
        <w:rPr>
          <w:rFonts w:ascii="宋体" w:hAnsi="宋体" w:eastAsia="宋体" w:cs="宋体"/>
          <w:spacing w:val="-8"/>
          <w:sz w:val="24"/>
          <w:szCs w:val="24"/>
        </w:rPr>
        <w:t>），</w:t>
      </w:r>
      <w:r>
        <w:rPr>
          <w:rFonts w:ascii="宋体" w:hAnsi="宋体" w:eastAsia="宋体" w:cs="宋体"/>
          <w:spacing w:val="-6"/>
          <w:sz w:val="24"/>
          <w:szCs w:val="24"/>
        </w:rPr>
        <w:t>排空粪污储存池时，</w:t>
      </w:r>
      <w:r>
        <w:rPr>
          <w:rFonts w:ascii="宋体" w:hAnsi="宋体" w:eastAsia="宋体" w:cs="宋体"/>
          <w:spacing w:val="-7"/>
          <w:sz w:val="24"/>
          <w:szCs w:val="24"/>
        </w:rPr>
        <w:t>工人用</w:t>
      </w:r>
      <w:r>
        <w:rPr>
          <w:rFonts w:ascii="宋体" w:hAnsi="宋体" w:eastAsia="宋体" w:cs="宋体"/>
          <w:spacing w:val="-3"/>
          <w:sz w:val="24"/>
          <w:szCs w:val="24"/>
        </w:rPr>
        <w:t>钩子提起排粪塞，随着排粪塞的打开，粪尿通过虹吸作用由储存池有序排出，再由埋地管道密闭输送至粪污处理站的粪污收集池，通过固液分离机对收集的粪尿</w:t>
      </w:r>
      <w:r>
        <w:rPr>
          <w:rFonts w:ascii="宋体" w:hAnsi="宋体" w:eastAsia="宋体" w:cs="宋体"/>
          <w:spacing w:val="-5"/>
          <w:sz w:val="24"/>
          <w:szCs w:val="24"/>
        </w:rPr>
        <w:t>立即进行干湿分离。</w:t>
      </w:r>
    </w:p>
    <w:p w14:paraId="3581B1E2">
      <w:pPr>
        <w:spacing w:line="360" w:lineRule="auto"/>
        <w:rPr>
          <w:rFonts w:ascii="宋体" w:hAnsi="宋体" w:eastAsia="宋体" w:cs="宋体"/>
          <w:sz w:val="24"/>
          <w:szCs w:val="24"/>
        </w:rPr>
        <w:sectPr>
          <w:headerReference r:id="rId168" w:type="default"/>
          <w:footerReference r:id="rId169" w:type="default"/>
          <w:pgSz w:w="11905" w:h="16840"/>
          <w:pgMar w:top="1168" w:right="1611" w:bottom="1409" w:left="1770" w:header="828" w:footer="1244" w:gutter="0"/>
          <w:cols w:space="720" w:num="1"/>
        </w:sectPr>
      </w:pPr>
    </w:p>
    <w:p w14:paraId="6CF6935E">
      <w:pPr>
        <w:pStyle w:val="2"/>
        <w:spacing w:line="305" w:lineRule="auto"/>
      </w:pPr>
    </w:p>
    <w:p w14:paraId="6B904941">
      <w:pPr>
        <w:spacing w:before="78" w:line="352" w:lineRule="auto"/>
        <w:ind w:left="41" w:firstLine="480"/>
        <w:jc w:val="both"/>
        <w:rPr>
          <w:rFonts w:ascii="宋体" w:hAnsi="宋体" w:eastAsia="宋体" w:cs="宋体"/>
          <w:sz w:val="24"/>
          <w:szCs w:val="24"/>
        </w:rPr>
      </w:pPr>
      <w:r>
        <w:rPr>
          <w:rFonts w:ascii="宋体" w:hAnsi="宋体" w:eastAsia="宋体" w:cs="宋体"/>
          <w:spacing w:val="-3"/>
          <w:sz w:val="24"/>
          <w:szCs w:val="24"/>
        </w:rPr>
        <w:t>分离出的固体猪粪运至堆粪棚内暂存，及时送有机肥料</w:t>
      </w:r>
      <w:r>
        <w:rPr>
          <w:rFonts w:ascii="宋体" w:hAnsi="宋体" w:eastAsia="宋体" w:cs="宋体"/>
          <w:spacing w:val="-4"/>
          <w:sz w:val="24"/>
          <w:szCs w:val="24"/>
        </w:rPr>
        <w:t>厂生产有机肥；分离</w:t>
      </w:r>
      <w:r>
        <w:rPr>
          <w:rFonts w:ascii="宋体" w:hAnsi="宋体" w:eastAsia="宋体" w:cs="宋体"/>
          <w:spacing w:val="-3"/>
          <w:sz w:val="24"/>
          <w:szCs w:val="24"/>
        </w:rPr>
        <w:t>出的液体则由污水处理站进行处理，处理达标后用于周边消纳地农灌。本项</w:t>
      </w:r>
      <w:r>
        <w:rPr>
          <w:rFonts w:ascii="宋体" w:hAnsi="宋体" w:eastAsia="宋体" w:cs="宋体"/>
          <w:spacing w:val="-4"/>
          <w:sz w:val="24"/>
          <w:szCs w:val="24"/>
        </w:rPr>
        <w:t>目粪</w:t>
      </w:r>
      <w:r>
        <w:rPr>
          <w:rFonts w:ascii="宋体" w:hAnsi="宋体" w:eastAsia="宋体" w:cs="宋体"/>
          <w:spacing w:val="-1"/>
          <w:sz w:val="24"/>
          <w:szCs w:val="24"/>
        </w:rPr>
        <w:t>污可以实现粪污离开粪污储存池即进行干湿分离和无害化并全部实现综</w:t>
      </w:r>
      <w:r>
        <w:rPr>
          <w:rFonts w:ascii="宋体" w:hAnsi="宋体" w:eastAsia="宋体" w:cs="宋体"/>
          <w:spacing w:val="-2"/>
          <w:sz w:val="24"/>
          <w:szCs w:val="24"/>
        </w:rPr>
        <w:t>合利用，</w:t>
      </w:r>
      <w:r>
        <w:rPr>
          <w:rFonts w:ascii="宋体" w:hAnsi="宋体" w:eastAsia="宋体" w:cs="宋体"/>
          <w:spacing w:val="-7"/>
          <w:sz w:val="24"/>
          <w:szCs w:val="24"/>
        </w:rPr>
        <w:t>不混合排出。</w:t>
      </w:r>
    </w:p>
    <w:p w14:paraId="3A35E081">
      <w:pPr>
        <w:spacing w:line="3272" w:lineRule="exact"/>
        <w:ind w:firstLine="213"/>
      </w:pPr>
      <w:r>
        <w:rPr>
          <w:position w:val="-65"/>
        </w:rPr>
        <w:drawing>
          <wp:inline distT="0" distB="0" distL="0" distR="0">
            <wp:extent cx="5045075" cy="207772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49"/>
                    <a:stretch>
                      <a:fillRect/>
                    </a:stretch>
                  </pic:blipFill>
                  <pic:spPr>
                    <a:xfrm>
                      <a:off x="0" y="0"/>
                      <a:ext cx="5045202" cy="2077973"/>
                    </a:xfrm>
                    <a:prstGeom prst="rect">
                      <a:avLst/>
                    </a:prstGeom>
                  </pic:spPr>
                </pic:pic>
              </a:graphicData>
            </a:graphic>
          </wp:inline>
        </w:drawing>
      </w:r>
    </w:p>
    <w:p w14:paraId="2EDE1EF0">
      <w:pPr>
        <w:spacing w:before="215" w:line="222" w:lineRule="auto"/>
        <w:ind w:left="3066"/>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43"/>
          <w:sz w:val="21"/>
          <w:szCs w:val="21"/>
        </w:rPr>
        <w:t xml:space="preserve"> </w:t>
      </w:r>
      <w:r>
        <w:rPr>
          <w:rFonts w:ascii="Times New Roman" w:hAnsi="Times New Roman" w:eastAsia="Times New Roman" w:cs="Times New Roman"/>
          <w:spacing w:val="-2"/>
          <w:sz w:val="21"/>
          <w:szCs w:val="21"/>
        </w:rPr>
        <w:t xml:space="preserve">2.2-4  </w:t>
      </w:r>
      <w:r>
        <w:rPr>
          <w:rFonts w:ascii="黑体" w:hAnsi="黑体" w:eastAsia="黑体" w:cs="黑体"/>
          <w:spacing w:val="-2"/>
          <w:sz w:val="21"/>
          <w:szCs w:val="21"/>
        </w:rPr>
        <w:t>猪舍结构示意图</w:t>
      </w:r>
    </w:p>
    <w:p w14:paraId="4644E7F0">
      <w:pPr>
        <w:spacing w:before="199" w:line="4758" w:lineRule="exact"/>
        <w:ind w:firstLine="628"/>
      </w:pPr>
      <w:r>
        <w:rPr>
          <w:position w:val="-95"/>
        </w:rPr>
        <w:drawing>
          <wp:inline distT="0" distB="0" distL="0" distR="0">
            <wp:extent cx="4518025" cy="302069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50"/>
                    <a:stretch>
                      <a:fillRect/>
                    </a:stretch>
                  </pic:blipFill>
                  <pic:spPr>
                    <a:xfrm>
                      <a:off x="0" y="0"/>
                      <a:ext cx="4518659" cy="3021329"/>
                    </a:xfrm>
                    <a:prstGeom prst="rect">
                      <a:avLst/>
                    </a:prstGeom>
                  </pic:spPr>
                </pic:pic>
              </a:graphicData>
            </a:graphic>
          </wp:inline>
        </w:drawing>
      </w:r>
    </w:p>
    <w:p w14:paraId="0AC053D9">
      <w:pPr>
        <w:spacing w:before="249" w:line="222" w:lineRule="auto"/>
        <w:ind w:left="2856"/>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9"/>
          <w:sz w:val="21"/>
          <w:szCs w:val="21"/>
        </w:rPr>
        <w:t xml:space="preserve"> </w:t>
      </w:r>
      <w:r>
        <w:rPr>
          <w:rFonts w:ascii="Times New Roman" w:hAnsi="Times New Roman" w:eastAsia="Times New Roman" w:cs="Times New Roman"/>
          <w:spacing w:val="-2"/>
          <w:sz w:val="21"/>
          <w:szCs w:val="21"/>
        </w:rPr>
        <w:t xml:space="preserve">2.2-5  </w:t>
      </w:r>
      <w:r>
        <w:rPr>
          <w:rFonts w:ascii="黑体" w:hAnsi="黑体" w:eastAsia="黑体" w:cs="黑体"/>
          <w:spacing w:val="-2"/>
          <w:sz w:val="21"/>
          <w:szCs w:val="21"/>
        </w:rPr>
        <w:t>项目清粪工艺示意图</w:t>
      </w:r>
    </w:p>
    <w:p w14:paraId="755F381F">
      <w:pPr>
        <w:spacing w:before="200" w:line="361" w:lineRule="auto"/>
        <w:ind w:left="39" w:right="67" w:firstLine="479"/>
        <w:jc w:val="both"/>
        <w:rPr>
          <w:rFonts w:ascii="宋体" w:hAnsi="宋体" w:eastAsia="宋体" w:cs="宋体"/>
          <w:sz w:val="24"/>
          <w:szCs w:val="24"/>
        </w:rPr>
      </w:pPr>
      <w:r>
        <w:rPr>
          <w:rFonts w:ascii="宋体" w:hAnsi="宋体" w:eastAsia="宋体" w:cs="宋体"/>
          <w:spacing w:val="-3"/>
          <w:sz w:val="24"/>
          <w:szCs w:val="24"/>
        </w:rPr>
        <w:t>通过对比牧原食品建设养殖场环评报告书发现，本项目拟采用</w:t>
      </w:r>
      <w:r>
        <w:rPr>
          <w:rFonts w:ascii="宋体" w:hAnsi="宋体" w:eastAsia="宋体" w:cs="宋体"/>
          <w:spacing w:val="-4"/>
          <w:sz w:val="24"/>
          <w:szCs w:val="24"/>
        </w:rPr>
        <w:t>的清粪工艺与</w:t>
      </w:r>
      <w:r>
        <w:rPr>
          <w:rFonts w:ascii="宋体" w:hAnsi="宋体" w:eastAsia="宋体" w:cs="宋体"/>
          <w:spacing w:val="-3"/>
          <w:sz w:val="24"/>
          <w:szCs w:val="24"/>
        </w:rPr>
        <w:t>牧原食品在全国推广、批量复制建设的养殖场清粪工艺基本一致，</w:t>
      </w:r>
      <w:r>
        <w:rPr>
          <w:rFonts w:ascii="宋体" w:hAnsi="宋体" w:eastAsia="宋体" w:cs="宋体"/>
          <w:spacing w:val="-4"/>
          <w:sz w:val="24"/>
          <w:szCs w:val="24"/>
        </w:rPr>
        <w:t>区别在于</w:t>
      </w:r>
      <w:r>
        <w:rPr>
          <w:rFonts w:ascii="宋体" w:hAnsi="宋体" w:eastAsia="宋体" w:cs="宋体"/>
          <w:b/>
          <w:bCs/>
          <w:spacing w:val="-4"/>
          <w:sz w:val="24"/>
          <w:szCs w:val="24"/>
        </w:rPr>
        <w:t>牧原</w:t>
      </w:r>
      <w:r>
        <w:rPr>
          <w:rFonts w:ascii="宋体" w:hAnsi="宋体" w:eastAsia="宋体" w:cs="宋体"/>
          <w:b/>
          <w:bCs/>
          <w:spacing w:val="1"/>
          <w:sz w:val="24"/>
          <w:szCs w:val="24"/>
        </w:rPr>
        <w:t>食品养殖场主要采取的是在生猪养殖期间，粪污储存池不进行排空，仅在转栏或出栏时，才对转栏或出栏的猪舍储存池进行排空（即保育期进行一次、育肥</w:t>
      </w:r>
      <w:r>
        <w:rPr>
          <w:rFonts w:ascii="宋体" w:hAnsi="宋体" w:eastAsia="宋体" w:cs="宋体"/>
          <w:b/>
          <w:bCs/>
          <w:spacing w:val="-3"/>
          <w:sz w:val="24"/>
          <w:szCs w:val="24"/>
        </w:rPr>
        <w:t>期进行一次</w:t>
      </w:r>
      <w:r>
        <w:rPr>
          <w:rFonts w:ascii="宋体" w:hAnsi="宋体" w:eastAsia="宋体" w:cs="宋体"/>
          <w:b/>
          <w:bCs/>
          <w:spacing w:val="-25"/>
          <w:sz w:val="24"/>
          <w:szCs w:val="24"/>
        </w:rPr>
        <w:t>），</w:t>
      </w:r>
      <w:r>
        <w:rPr>
          <w:rFonts w:ascii="宋体" w:hAnsi="宋体" w:eastAsia="宋体" w:cs="宋体"/>
          <w:b/>
          <w:bCs/>
          <w:spacing w:val="-3"/>
          <w:sz w:val="24"/>
          <w:szCs w:val="24"/>
        </w:rPr>
        <w:t>对猪舍进行冲洗及消毒。</w:t>
      </w:r>
      <w:r>
        <w:rPr>
          <w:rFonts w:ascii="宋体" w:hAnsi="宋体" w:eastAsia="宋体" w:cs="宋体"/>
          <w:spacing w:val="-3"/>
          <w:sz w:val="24"/>
          <w:szCs w:val="24"/>
        </w:rPr>
        <w:t>本项目猪舍的粪污储存池计划</w:t>
      </w:r>
      <w:r>
        <w:rPr>
          <w:rFonts w:ascii="宋体" w:hAnsi="宋体" w:eastAsia="宋体" w:cs="宋体"/>
          <w:spacing w:val="-4"/>
          <w:sz w:val="24"/>
          <w:szCs w:val="24"/>
        </w:rPr>
        <w:t>及时清理</w:t>
      </w:r>
    </w:p>
    <w:p w14:paraId="53C65C31">
      <w:pPr>
        <w:spacing w:line="361" w:lineRule="auto"/>
        <w:rPr>
          <w:rFonts w:ascii="宋体" w:hAnsi="宋体" w:eastAsia="宋体" w:cs="宋体"/>
          <w:sz w:val="24"/>
          <w:szCs w:val="24"/>
        </w:rPr>
        <w:sectPr>
          <w:headerReference r:id="rId170" w:type="default"/>
          <w:footerReference r:id="rId171" w:type="default"/>
          <w:pgSz w:w="11905" w:h="16840"/>
          <w:pgMar w:top="1168" w:right="1731" w:bottom="1409" w:left="1770" w:header="828" w:footer="1244" w:gutter="0"/>
          <w:cols w:space="720" w:num="1"/>
        </w:sectPr>
      </w:pPr>
    </w:p>
    <w:p w14:paraId="59D3EE17">
      <w:pPr>
        <w:pStyle w:val="2"/>
        <w:spacing w:line="306" w:lineRule="auto"/>
      </w:pPr>
    </w:p>
    <w:p w14:paraId="43C01B51">
      <w:pPr>
        <w:spacing w:before="78" w:line="360" w:lineRule="auto"/>
        <w:ind w:left="60" w:right="51" w:hanging="15"/>
        <w:rPr>
          <w:rFonts w:ascii="宋体" w:hAnsi="宋体" w:eastAsia="宋体" w:cs="宋体"/>
          <w:sz w:val="24"/>
          <w:szCs w:val="24"/>
        </w:rPr>
      </w:pPr>
      <w:r>
        <w:rPr>
          <w:rFonts w:ascii="宋体" w:hAnsi="宋体" w:eastAsia="宋体" w:cs="宋体"/>
          <w:spacing w:val="-8"/>
          <w:sz w:val="24"/>
          <w:szCs w:val="24"/>
        </w:rPr>
        <w:t>（清粪周期在</w:t>
      </w:r>
      <w:r>
        <w:rPr>
          <w:rFonts w:ascii="Times New Roman" w:hAnsi="Times New Roman" w:eastAsia="Times New Roman" w:cs="Times New Roman"/>
          <w:spacing w:val="-8"/>
          <w:sz w:val="24"/>
          <w:szCs w:val="24"/>
        </w:rPr>
        <w:t>5~7</w:t>
      </w:r>
      <w:r>
        <w:rPr>
          <w:rFonts w:ascii="宋体" w:hAnsi="宋体" w:eastAsia="宋体" w:cs="宋体"/>
          <w:spacing w:val="-8"/>
          <w:sz w:val="24"/>
          <w:szCs w:val="24"/>
        </w:rPr>
        <w:t>天进行一次</w:t>
      </w:r>
      <w:r>
        <w:rPr>
          <w:rFonts w:ascii="宋体" w:hAnsi="宋体" w:eastAsia="宋体" w:cs="宋体"/>
          <w:spacing w:val="-39"/>
          <w:sz w:val="24"/>
          <w:szCs w:val="24"/>
        </w:rPr>
        <w:t>），</w:t>
      </w:r>
      <w:r>
        <w:rPr>
          <w:rFonts w:ascii="宋体" w:hAnsi="宋体" w:eastAsia="宋体" w:cs="宋体"/>
          <w:spacing w:val="-8"/>
          <w:sz w:val="24"/>
          <w:szCs w:val="24"/>
        </w:rPr>
        <w:t>养殖期间内需定期、多次排空粪污储存池，</w:t>
      </w:r>
      <w:r>
        <w:rPr>
          <w:rFonts w:ascii="宋体" w:hAnsi="宋体" w:eastAsia="宋体" w:cs="宋体"/>
          <w:spacing w:val="-25"/>
          <w:sz w:val="24"/>
          <w:szCs w:val="24"/>
        </w:rPr>
        <w:t xml:space="preserve"> </w:t>
      </w:r>
      <w:r>
        <w:rPr>
          <w:rFonts w:ascii="宋体" w:hAnsi="宋体" w:eastAsia="宋体" w:cs="宋体"/>
          <w:spacing w:val="-8"/>
          <w:sz w:val="24"/>
          <w:szCs w:val="24"/>
        </w:rPr>
        <w:t>减少</w:t>
      </w:r>
      <w:r>
        <w:rPr>
          <w:rFonts w:ascii="宋体" w:hAnsi="宋体" w:eastAsia="宋体" w:cs="宋体"/>
          <w:spacing w:val="-5"/>
          <w:sz w:val="24"/>
          <w:szCs w:val="24"/>
        </w:rPr>
        <w:t>了粪尿在粪污储存池的停留时间。</w:t>
      </w:r>
    </w:p>
    <w:p w14:paraId="04808D8B">
      <w:pPr>
        <w:spacing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2</w:t>
      </w:r>
      <w:r>
        <w:rPr>
          <w:rFonts w:ascii="宋体" w:hAnsi="宋体" w:eastAsia="宋体" w:cs="宋体"/>
          <w:b/>
          <w:bCs/>
          <w:spacing w:val="-6"/>
          <w:sz w:val="24"/>
          <w:szCs w:val="24"/>
        </w:rPr>
        <w:t>）相关规定</w:t>
      </w:r>
    </w:p>
    <w:p w14:paraId="01E3506C">
      <w:pPr>
        <w:spacing w:before="182" w:line="359" w:lineRule="auto"/>
        <w:ind w:left="38" w:right="29" w:firstLine="480"/>
        <w:jc w:val="both"/>
        <w:rPr>
          <w:rFonts w:ascii="宋体" w:hAnsi="宋体" w:eastAsia="宋体" w:cs="宋体"/>
          <w:sz w:val="24"/>
          <w:szCs w:val="24"/>
        </w:rPr>
      </w:pPr>
      <w:r>
        <w:rPr>
          <w:rFonts w:ascii="宋体" w:hAnsi="宋体" w:eastAsia="宋体" w:cs="宋体"/>
          <w:spacing w:val="-8"/>
          <w:sz w:val="24"/>
          <w:szCs w:val="24"/>
        </w:rPr>
        <w:t>根据《畜禽养殖业污染治理工程技术规范》（</w:t>
      </w:r>
      <w:r>
        <w:rPr>
          <w:rFonts w:ascii="Times New Roman" w:hAnsi="Times New Roman" w:eastAsia="Times New Roman" w:cs="Times New Roman"/>
          <w:spacing w:val="-9"/>
          <w:sz w:val="24"/>
          <w:szCs w:val="24"/>
        </w:rPr>
        <w:t>HJ497-2009</w:t>
      </w:r>
      <w:r>
        <w:rPr>
          <w:rFonts w:ascii="宋体" w:hAnsi="宋体" w:eastAsia="宋体" w:cs="宋体"/>
          <w:spacing w:val="-9"/>
          <w:sz w:val="24"/>
          <w:szCs w:val="24"/>
        </w:rPr>
        <w:t>）、农业部办公厅关</w:t>
      </w:r>
      <w:r>
        <w:rPr>
          <w:rFonts w:ascii="宋体" w:hAnsi="宋体" w:eastAsia="宋体" w:cs="宋体"/>
          <w:spacing w:val="-3"/>
          <w:sz w:val="24"/>
          <w:szCs w:val="24"/>
        </w:rPr>
        <w:t>于印发《畜禽规模养殖场粪污资源化利用设施建设规</w:t>
      </w:r>
      <w:r>
        <w:rPr>
          <w:rFonts w:ascii="宋体" w:hAnsi="宋体" w:eastAsia="宋体" w:cs="宋体"/>
          <w:spacing w:val="-4"/>
          <w:sz w:val="24"/>
          <w:szCs w:val="24"/>
        </w:rPr>
        <w:t>范（试行）》的通知（农办</w:t>
      </w:r>
      <w:r>
        <w:rPr>
          <w:rFonts w:ascii="宋体" w:hAnsi="宋体" w:eastAsia="宋体" w:cs="宋体"/>
          <w:spacing w:val="3"/>
          <w:sz w:val="24"/>
          <w:szCs w:val="24"/>
        </w:rPr>
        <w:t>牧</w:t>
      </w:r>
      <w:r>
        <w:rPr>
          <w:rFonts w:ascii="Times New Roman" w:hAnsi="Times New Roman" w:eastAsia="Times New Roman" w:cs="Times New Roman"/>
          <w:spacing w:val="3"/>
          <w:sz w:val="24"/>
          <w:szCs w:val="24"/>
        </w:rPr>
        <w:t>[</w:t>
      </w:r>
      <w:r>
        <w:fldChar w:fldCharType="begin"/>
      </w:r>
      <w:r>
        <w:instrText xml:space="preserve"> HYPERLINK \l "bookmark145" </w:instrText>
      </w:r>
      <w:r>
        <w:fldChar w:fldCharType="separate"/>
      </w:r>
      <w:r>
        <w:rPr>
          <w:rFonts w:ascii="Times New Roman" w:hAnsi="Times New Roman" w:eastAsia="Times New Roman" w:cs="Times New Roman"/>
          <w:spacing w:val="3"/>
          <w:sz w:val="24"/>
          <w:szCs w:val="24"/>
        </w:rPr>
        <w:t>2018</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]2</w:t>
      </w:r>
      <w:r>
        <w:rPr>
          <w:rFonts w:ascii="宋体" w:hAnsi="宋体" w:eastAsia="宋体" w:cs="宋体"/>
          <w:spacing w:val="3"/>
          <w:sz w:val="24"/>
          <w:szCs w:val="24"/>
        </w:rPr>
        <w:t>号）要求：新建、改建、扩建</w:t>
      </w:r>
      <w:r>
        <w:rPr>
          <w:rFonts w:ascii="宋体" w:hAnsi="宋体" w:eastAsia="宋体" w:cs="宋体"/>
          <w:spacing w:val="2"/>
          <w:sz w:val="24"/>
          <w:szCs w:val="24"/>
        </w:rPr>
        <w:t>的畜禽养殖场宜采用干清粪工艺；现有</w:t>
      </w:r>
      <w:r>
        <w:rPr>
          <w:rFonts w:ascii="宋体" w:hAnsi="宋体" w:eastAsia="宋体" w:cs="宋体"/>
          <w:spacing w:val="-2"/>
          <w:sz w:val="24"/>
          <w:szCs w:val="24"/>
        </w:rPr>
        <w:t>采用水冲粪、水泡粪清粪工艺的养殖场，应逐步改为干清粪工艺。</w:t>
      </w:r>
    </w:p>
    <w:p w14:paraId="11D8927F">
      <w:pPr>
        <w:spacing w:before="6" w:line="350" w:lineRule="auto"/>
        <w:ind w:left="39" w:right="29" w:firstLine="479"/>
        <w:jc w:val="both"/>
        <w:rPr>
          <w:rFonts w:ascii="宋体" w:hAnsi="宋体" w:eastAsia="宋体" w:cs="宋体"/>
          <w:sz w:val="24"/>
          <w:szCs w:val="24"/>
        </w:rPr>
      </w:pPr>
      <w:r>
        <w:rPr>
          <w:rFonts w:ascii="宋体" w:hAnsi="宋体" w:eastAsia="宋体" w:cs="宋体"/>
          <w:spacing w:val="-3"/>
          <w:sz w:val="24"/>
          <w:szCs w:val="24"/>
        </w:rPr>
        <w:t>根据原环保部办公厅“关于牧原食品股份有限公司部分养殖场清</w:t>
      </w:r>
      <w:r>
        <w:rPr>
          <w:rFonts w:ascii="宋体" w:hAnsi="宋体" w:eastAsia="宋体" w:cs="宋体"/>
          <w:spacing w:val="-4"/>
          <w:sz w:val="24"/>
          <w:szCs w:val="24"/>
        </w:rPr>
        <w:t>粪工艺问题</w:t>
      </w:r>
      <w:r>
        <w:rPr>
          <w:rFonts w:ascii="宋体" w:hAnsi="宋体" w:eastAsia="宋体" w:cs="宋体"/>
          <w:spacing w:val="-5"/>
          <w:sz w:val="24"/>
          <w:szCs w:val="24"/>
        </w:rPr>
        <w:t>的复函”（环办函</w:t>
      </w:r>
      <w:r>
        <w:rPr>
          <w:rFonts w:ascii="宋体" w:hAnsi="宋体" w:eastAsia="宋体" w:cs="宋体"/>
          <w:spacing w:val="-65"/>
          <w:sz w:val="24"/>
          <w:szCs w:val="24"/>
        </w:rPr>
        <w:t xml:space="preserve"> </w:t>
      </w:r>
      <w:r>
        <w:rPr>
          <w:rFonts w:ascii="Times New Roman" w:hAnsi="Times New Roman" w:eastAsia="Times New Roman" w:cs="Times New Roman"/>
          <w:spacing w:val="-5"/>
          <w:sz w:val="24"/>
          <w:szCs w:val="24"/>
        </w:rPr>
        <w:t>[</w:t>
      </w:r>
      <w:r>
        <w:fldChar w:fldCharType="begin"/>
      </w:r>
      <w:r>
        <w:instrText xml:space="preserve"> HYPERLINK \l "bookmark146" </w:instrText>
      </w:r>
      <w:r>
        <w:fldChar w:fldCharType="separate"/>
      </w:r>
      <w:r>
        <w:rPr>
          <w:rFonts w:ascii="Times New Roman" w:hAnsi="Times New Roman" w:eastAsia="Times New Roman" w:cs="Times New Roman"/>
          <w:spacing w:val="-5"/>
          <w:sz w:val="24"/>
          <w:szCs w:val="24"/>
        </w:rPr>
        <w:t>2015</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]425</w:t>
      </w:r>
      <w:r>
        <w:rPr>
          <w:rFonts w:ascii="宋体" w:hAnsi="宋体" w:eastAsia="宋体" w:cs="宋体"/>
          <w:spacing w:val="-5"/>
          <w:sz w:val="24"/>
          <w:szCs w:val="24"/>
        </w:rPr>
        <w:t>号）明确指出：“牧原食品股份有限公司部分养殖场</w:t>
      </w:r>
      <w:r>
        <w:rPr>
          <w:rFonts w:ascii="宋体" w:hAnsi="宋体" w:eastAsia="宋体" w:cs="宋体"/>
          <w:spacing w:val="-3"/>
          <w:sz w:val="24"/>
          <w:szCs w:val="24"/>
        </w:rPr>
        <w:t>所采用的清粪工艺不将清水用于圈舍粪尿日常清理，粪尿产生即依靠重力离开圈舍进入暂存池，大大减少了粪污产生量，并实现粪尿及时清理；粪污离开暂存池即进行干湿分离和无害化并全部实现综合利用，没有混合排出。我部认为该清粪</w:t>
      </w:r>
      <w:r>
        <w:rPr>
          <w:rFonts w:ascii="宋体" w:hAnsi="宋体" w:eastAsia="宋体" w:cs="宋体"/>
          <w:spacing w:val="-1"/>
          <w:sz w:val="24"/>
          <w:szCs w:val="24"/>
        </w:rPr>
        <w:t>工艺具备干清粪工艺基本特征，符合相关技术规范的要求。”</w:t>
      </w:r>
    </w:p>
    <w:p w14:paraId="3CAE1E80">
      <w:pPr>
        <w:spacing w:line="5882" w:lineRule="exact"/>
        <w:ind w:firstLine="258"/>
      </w:pPr>
      <w:r>
        <w:rPr>
          <w:position w:val="-117"/>
        </w:rPr>
        <w:drawing>
          <wp:inline distT="0" distB="0" distL="0" distR="0">
            <wp:extent cx="4999990" cy="373507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551"/>
                    <a:stretch>
                      <a:fillRect/>
                    </a:stretch>
                  </pic:blipFill>
                  <pic:spPr>
                    <a:xfrm>
                      <a:off x="0" y="0"/>
                      <a:ext cx="5000244" cy="3735323"/>
                    </a:xfrm>
                    <a:prstGeom prst="rect">
                      <a:avLst/>
                    </a:prstGeom>
                  </pic:spPr>
                </pic:pic>
              </a:graphicData>
            </a:graphic>
          </wp:inline>
        </w:drawing>
      </w:r>
    </w:p>
    <w:p w14:paraId="758058A1">
      <w:pPr>
        <w:spacing w:before="134" w:line="222" w:lineRule="auto"/>
        <w:ind w:left="2120"/>
        <w:rPr>
          <w:rFonts w:ascii="黑体" w:hAnsi="黑体" w:eastAsia="黑体" w:cs="黑体"/>
          <w:sz w:val="21"/>
          <w:szCs w:val="21"/>
        </w:rPr>
      </w:pPr>
      <w:r>
        <w:rPr>
          <w:rFonts w:ascii="黑体" w:hAnsi="黑体" w:eastAsia="黑体" w:cs="黑体"/>
          <w:spacing w:val="-1"/>
          <w:sz w:val="21"/>
          <w:szCs w:val="21"/>
        </w:rPr>
        <w:t>图</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2.2-6  </w:t>
      </w:r>
      <w:r>
        <w:rPr>
          <w:rFonts w:ascii="黑体" w:hAnsi="黑体" w:eastAsia="黑体" w:cs="黑体"/>
          <w:spacing w:val="-1"/>
          <w:sz w:val="21"/>
          <w:szCs w:val="21"/>
        </w:rPr>
        <w:t>原环保部关于牧原清粪工艺问题</w:t>
      </w:r>
      <w:r>
        <w:rPr>
          <w:rFonts w:ascii="黑体" w:hAnsi="黑体" w:eastAsia="黑体" w:cs="黑体"/>
          <w:spacing w:val="-2"/>
          <w:sz w:val="21"/>
          <w:szCs w:val="21"/>
        </w:rPr>
        <w:t>复函</w:t>
      </w:r>
    </w:p>
    <w:p w14:paraId="71E2CC69">
      <w:pPr>
        <w:spacing w:before="202" w:line="220" w:lineRule="auto"/>
        <w:ind w:left="520"/>
        <w:rPr>
          <w:rFonts w:ascii="宋体" w:hAnsi="宋体" w:eastAsia="宋体" w:cs="宋体"/>
          <w:sz w:val="24"/>
          <w:szCs w:val="24"/>
        </w:rPr>
      </w:pPr>
      <w:r>
        <w:rPr>
          <w:rFonts w:ascii="宋体" w:hAnsi="宋体" w:eastAsia="宋体" w:cs="宋体"/>
          <w:spacing w:val="-5"/>
          <w:sz w:val="24"/>
          <w:szCs w:val="24"/>
        </w:rPr>
        <w:t>这种清粪工艺具有以下特点：</w:t>
      </w:r>
    </w:p>
    <w:p w14:paraId="69BEB80E">
      <w:pPr>
        <w:spacing w:before="182" w:line="353" w:lineRule="auto"/>
        <w:ind w:left="50" w:right="29" w:firstLine="467"/>
        <w:rPr>
          <w:rFonts w:ascii="宋体" w:hAnsi="宋体" w:eastAsia="宋体" w:cs="宋体"/>
          <w:sz w:val="24"/>
          <w:szCs w:val="24"/>
        </w:rPr>
      </w:pPr>
      <w:r>
        <w:rPr>
          <w:rFonts w:ascii="宋体" w:hAnsi="宋体" w:eastAsia="宋体" w:cs="宋体"/>
          <w:spacing w:val="-3"/>
          <w:sz w:val="24"/>
          <w:szCs w:val="24"/>
        </w:rPr>
        <w:t>①养殖舍不注入清水，也不将清水用于圈舍粪尿日常清理，仅在转</w:t>
      </w:r>
      <w:r>
        <w:rPr>
          <w:rFonts w:ascii="宋体" w:hAnsi="宋体" w:eastAsia="宋体" w:cs="宋体"/>
          <w:spacing w:val="-4"/>
          <w:sz w:val="24"/>
          <w:szCs w:val="24"/>
        </w:rPr>
        <w:t>栏或出栏</w:t>
      </w:r>
      <w:r>
        <w:rPr>
          <w:rFonts w:ascii="宋体" w:hAnsi="宋体" w:eastAsia="宋体" w:cs="宋体"/>
          <w:spacing w:val="-3"/>
          <w:sz w:val="24"/>
          <w:szCs w:val="24"/>
        </w:rPr>
        <w:t>时用高压水枪进行冲洗，大大减少了粪污产生量。</w:t>
      </w:r>
    </w:p>
    <w:p w14:paraId="68B60B61">
      <w:pPr>
        <w:spacing w:line="353" w:lineRule="auto"/>
        <w:rPr>
          <w:rFonts w:ascii="宋体" w:hAnsi="宋体" w:eastAsia="宋体" w:cs="宋体"/>
          <w:sz w:val="24"/>
          <w:szCs w:val="24"/>
        </w:rPr>
        <w:sectPr>
          <w:headerReference r:id="rId172" w:type="default"/>
          <w:footerReference r:id="rId173" w:type="default"/>
          <w:pgSz w:w="11905" w:h="16840"/>
          <w:pgMar w:top="1168" w:right="1768" w:bottom="1409" w:left="1770" w:header="828" w:footer="1244" w:gutter="0"/>
          <w:cols w:space="720" w:num="1"/>
        </w:sectPr>
      </w:pPr>
    </w:p>
    <w:p w14:paraId="1E93C21E">
      <w:pPr>
        <w:pStyle w:val="2"/>
        <w:spacing w:line="306" w:lineRule="auto"/>
      </w:pPr>
    </w:p>
    <w:p w14:paraId="7FAB0099">
      <w:pPr>
        <w:spacing w:before="78" w:line="360" w:lineRule="auto"/>
        <w:ind w:left="38" w:right="185" w:firstLine="479"/>
        <w:rPr>
          <w:rFonts w:ascii="宋体" w:hAnsi="宋体" w:eastAsia="宋体" w:cs="宋体"/>
          <w:sz w:val="24"/>
          <w:szCs w:val="24"/>
        </w:rPr>
      </w:pPr>
      <w:r>
        <w:rPr>
          <w:rFonts w:ascii="宋体" w:hAnsi="宋体" w:eastAsia="宋体" w:cs="宋体"/>
          <w:spacing w:val="4"/>
          <w:sz w:val="24"/>
          <w:szCs w:val="24"/>
        </w:rPr>
        <w:t>②养殖舍内粪尿产生即依靠重力经漏缝地板离开猪舍进入猪舍下部粪污储</w:t>
      </w:r>
      <w:r>
        <w:rPr>
          <w:rFonts w:ascii="宋体" w:hAnsi="宋体" w:eastAsia="宋体" w:cs="宋体"/>
          <w:spacing w:val="-6"/>
          <w:sz w:val="24"/>
          <w:szCs w:val="24"/>
        </w:rPr>
        <w:t>存池，粪污在储存池内可做到厌氧杀菌、适度降低有机物浓度，</w:t>
      </w:r>
      <w:r>
        <w:rPr>
          <w:rFonts w:ascii="宋体" w:hAnsi="宋体" w:eastAsia="宋体" w:cs="宋体"/>
          <w:spacing w:val="-7"/>
          <w:sz w:val="24"/>
          <w:szCs w:val="24"/>
        </w:rPr>
        <w:t xml:space="preserve"> 避免在施用农田</w:t>
      </w:r>
      <w:r>
        <w:rPr>
          <w:rFonts w:ascii="宋体" w:hAnsi="宋体" w:eastAsia="宋体" w:cs="宋体"/>
          <w:spacing w:val="-2"/>
          <w:sz w:val="24"/>
          <w:szCs w:val="24"/>
        </w:rPr>
        <w:t>过程中出现二次发酵的现象，储存池内粪污及时清理。</w:t>
      </w:r>
    </w:p>
    <w:p w14:paraId="674337B0">
      <w:pPr>
        <w:spacing w:before="5" w:line="359" w:lineRule="auto"/>
        <w:ind w:left="40" w:firstLine="477"/>
        <w:rPr>
          <w:rFonts w:ascii="宋体" w:hAnsi="宋体" w:eastAsia="宋体" w:cs="宋体"/>
          <w:sz w:val="24"/>
          <w:szCs w:val="24"/>
        </w:rPr>
      </w:pPr>
      <w:r>
        <w:rPr>
          <w:rFonts w:ascii="宋体" w:hAnsi="宋体" w:eastAsia="宋体" w:cs="宋体"/>
          <w:spacing w:val="-3"/>
          <w:sz w:val="24"/>
          <w:szCs w:val="24"/>
        </w:rPr>
        <w:t>③圈舍粪污通过管道输送至粪污收集池进行干湿分离，分离后的固</w:t>
      </w:r>
      <w:r>
        <w:rPr>
          <w:rFonts w:ascii="宋体" w:hAnsi="宋体" w:eastAsia="宋体" w:cs="宋体"/>
          <w:spacing w:val="-4"/>
          <w:sz w:val="24"/>
          <w:szCs w:val="24"/>
        </w:rPr>
        <w:t>体粪便在</w:t>
      </w:r>
      <w:r>
        <w:rPr>
          <w:rFonts w:ascii="宋体" w:hAnsi="宋体" w:eastAsia="宋体" w:cs="宋体"/>
          <w:spacing w:val="-3"/>
          <w:sz w:val="24"/>
          <w:szCs w:val="24"/>
        </w:rPr>
        <w:t>堆粪棚内暂存，之后送有机肥料厂生产有机肥；液体粪污进入污水处理站进行处</w:t>
      </w:r>
      <w:r>
        <w:rPr>
          <w:rFonts w:ascii="宋体" w:hAnsi="宋体" w:eastAsia="宋体" w:cs="宋体"/>
          <w:spacing w:val="-4"/>
          <w:sz w:val="24"/>
          <w:szCs w:val="24"/>
        </w:rPr>
        <w:t>理，可以实现粪污离开粪污储存池即进行干湿分</w:t>
      </w:r>
      <w:r>
        <w:rPr>
          <w:rFonts w:ascii="宋体" w:hAnsi="宋体" w:eastAsia="宋体" w:cs="宋体"/>
          <w:spacing w:val="-5"/>
          <w:sz w:val="24"/>
          <w:szCs w:val="24"/>
        </w:rPr>
        <w:t>离和无害化并全部实现综合利用，</w:t>
      </w:r>
      <w:r>
        <w:rPr>
          <w:rFonts w:ascii="宋体" w:hAnsi="宋体" w:eastAsia="宋体" w:cs="宋体"/>
          <w:spacing w:val="-7"/>
          <w:sz w:val="24"/>
          <w:szCs w:val="24"/>
        </w:rPr>
        <w:t>不混合排出。</w:t>
      </w:r>
    </w:p>
    <w:p w14:paraId="2BE7E6AF">
      <w:pPr>
        <w:spacing w:before="2" w:line="359" w:lineRule="auto"/>
        <w:ind w:left="42" w:right="118" w:firstLine="477"/>
        <w:rPr>
          <w:rFonts w:ascii="宋体" w:hAnsi="宋体" w:eastAsia="宋体" w:cs="宋体"/>
          <w:sz w:val="24"/>
          <w:szCs w:val="24"/>
        </w:rPr>
      </w:pPr>
      <w:r>
        <w:rPr>
          <w:rFonts w:ascii="宋体" w:hAnsi="宋体" w:eastAsia="宋体" w:cs="宋体"/>
          <w:spacing w:val="-1"/>
          <w:sz w:val="24"/>
          <w:szCs w:val="24"/>
        </w:rPr>
        <w:t>根据原环保部、农业部多次组织专家对牧原公司所采用模式的考察</w:t>
      </w:r>
      <w:r>
        <w:rPr>
          <w:rFonts w:ascii="宋体" w:hAnsi="宋体" w:eastAsia="宋体" w:cs="宋体"/>
          <w:spacing w:val="-2"/>
          <w:sz w:val="24"/>
          <w:szCs w:val="24"/>
        </w:rPr>
        <w:t>、论证，最终认定该模式具备干清粪工艺基本特征，符合相关技术规范的要求。</w:t>
      </w:r>
    </w:p>
    <w:p w14:paraId="6833CFED">
      <w:pPr>
        <w:spacing w:before="3" w:line="359" w:lineRule="auto"/>
        <w:ind w:left="43" w:right="184" w:firstLine="502"/>
        <w:jc w:val="both"/>
        <w:rPr>
          <w:rFonts w:ascii="宋体" w:hAnsi="宋体" w:eastAsia="宋体" w:cs="宋体"/>
          <w:sz w:val="24"/>
          <w:szCs w:val="24"/>
        </w:rPr>
      </w:pPr>
      <w:r>
        <w:rPr>
          <w:rFonts w:ascii="宋体" w:hAnsi="宋体" w:eastAsia="宋体" w:cs="宋体"/>
          <w:b/>
          <w:bCs/>
          <w:spacing w:val="1"/>
          <w:sz w:val="24"/>
          <w:szCs w:val="24"/>
        </w:rPr>
        <w:t>同时，评价单位对本项目所采用的清粪工艺在生态环境部部长</w:t>
      </w:r>
      <w:r>
        <w:rPr>
          <w:rFonts w:ascii="宋体" w:hAnsi="宋体" w:eastAsia="宋体" w:cs="宋体"/>
          <w:b/>
          <w:bCs/>
          <w:sz w:val="24"/>
          <w:szCs w:val="24"/>
        </w:rPr>
        <w:t>信箱进行了</w:t>
      </w:r>
      <w:r>
        <w:rPr>
          <w:rFonts w:ascii="宋体" w:hAnsi="宋体" w:eastAsia="宋体" w:cs="宋体"/>
          <w:b/>
          <w:bCs/>
          <w:spacing w:val="1"/>
          <w:sz w:val="24"/>
          <w:szCs w:val="24"/>
        </w:rPr>
        <w:t>咨询，</w:t>
      </w:r>
      <w:r>
        <w:rPr>
          <w:rFonts w:ascii="Times New Roman" w:hAnsi="Times New Roman" w:eastAsia="Times New Roman" w:cs="Times New Roman"/>
          <w:b/>
          <w:bCs/>
          <w:spacing w:val="1"/>
          <w:sz w:val="24"/>
          <w:szCs w:val="24"/>
        </w:rPr>
        <w:t>2023</w:t>
      </w:r>
      <w:r>
        <w:rPr>
          <w:rFonts w:ascii="宋体" w:hAnsi="宋体" w:eastAsia="宋体" w:cs="宋体"/>
          <w:b/>
          <w:bCs/>
          <w:spacing w:val="1"/>
          <w:sz w:val="24"/>
          <w:szCs w:val="24"/>
        </w:rPr>
        <w:t>年</w:t>
      </w:r>
      <w:r>
        <w:rPr>
          <w:rFonts w:ascii="Times New Roman" w:hAnsi="Times New Roman" w:eastAsia="Times New Roman" w:cs="Times New Roman"/>
          <w:b/>
          <w:bCs/>
          <w:spacing w:val="1"/>
          <w:sz w:val="24"/>
          <w:szCs w:val="24"/>
        </w:rPr>
        <w:t>3</w:t>
      </w:r>
      <w:r>
        <w:rPr>
          <w:rFonts w:ascii="宋体" w:hAnsi="宋体" w:eastAsia="宋体" w:cs="宋体"/>
          <w:b/>
          <w:bCs/>
          <w:spacing w:val="1"/>
          <w:sz w:val="24"/>
          <w:szCs w:val="24"/>
        </w:rPr>
        <w:t>月</w:t>
      </w:r>
      <w:r>
        <w:rPr>
          <w:rFonts w:ascii="Times New Roman" w:hAnsi="Times New Roman" w:eastAsia="Times New Roman" w:cs="Times New Roman"/>
          <w:b/>
          <w:bCs/>
          <w:spacing w:val="1"/>
          <w:sz w:val="24"/>
          <w:szCs w:val="24"/>
        </w:rPr>
        <w:t>1</w:t>
      </w:r>
      <w:r>
        <w:rPr>
          <w:rFonts w:ascii="宋体" w:hAnsi="宋体" w:eastAsia="宋体" w:cs="宋体"/>
          <w:b/>
          <w:bCs/>
          <w:spacing w:val="1"/>
          <w:sz w:val="24"/>
          <w:szCs w:val="24"/>
        </w:rPr>
        <w:t>日收到生态环境部回复，根据回复：本项目清粪工艺与《关</w:t>
      </w:r>
      <w:r>
        <w:rPr>
          <w:rFonts w:ascii="宋体" w:hAnsi="宋体" w:eastAsia="宋体" w:cs="宋体"/>
          <w:b/>
          <w:bCs/>
          <w:sz w:val="24"/>
          <w:szCs w:val="24"/>
        </w:rPr>
        <w:t>于牧原食品股份有限公司部分养殖场清粪工艺问题的复函》（环办函</w:t>
      </w:r>
      <w:r>
        <w:rPr>
          <w:rFonts w:ascii="Times New Roman" w:hAnsi="Times New Roman" w:eastAsia="Times New Roman" w:cs="Times New Roman"/>
          <w:b/>
          <w:bCs/>
          <w:sz w:val="24"/>
          <w:szCs w:val="24"/>
        </w:rPr>
        <w:t>[</w:t>
      </w:r>
      <w:r>
        <w:fldChar w:fldCharType="begin"/>
      </w:r>
      <w:r>
        <w:instrText xml:space="preserve"> HYPERLINK \l "bookmark147" </w:instrText>
      </w:r>
      <w:r>
        <w:fldChar w:fldCharType="separate"/>
      </w:r>
      <w:r>
        <w:rPr>
          <w:rFonts w:ascii="Times New Roman" w:hAnsi="Times New Roman" w:eastAsia="Times New Roman" w:cs="Times New Roman"/>
          <w:b/>
          <w:bCs/>
          <w:sz w:val="24"/>
          <w:szCs w:val="24"/>
        </w:rPr>
        <w:t>2015</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]425</w:t>
      </w:r>
      <w:r>
        <w:rPr>
          <w:rFonts w:ascii="宋体" w:hAnsi="宋体" w:eastAsia="宋体" w:cs="宋体"/>
          <w:b/>
          <w:bCs/>
          <w:spacing w:val="-5"/>
          <w:sz w:val="24"/>
          <w:szCs w:val="24"/>
        </w:rPr>
        <w:t>号）中的清粪工艺一致，属于干清粪。</w:t>
      </w:r>
    </w:p>
    <w:p w14:paraId="533961DB">
      <w:pPr>
        <w:spacing w:before="1"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）转猪舍清粪方式</w:t>
      </w:r>
    </w:p>
    <w:p w14:paraId="1A153D42">
      <w:pPr>
        <w:spacing w:before="182" w:line="360" w:lineRule="auto"/>
        <w:ind w:left="41" w:right="186" w:firstLine="479"/>
        <w:jc w:val="both"/>
        <w:rPr>
          <w:rFonts w:ascii="宋体" w:hAnsi="宋体" w:eastAsia="宋体" w:cs="宋体"/>
          <w:sz w:val="24"/>
          <w:szCs w:val="24"/>
        </w:rPr>
      </w:pPr>
      <w:r>
        <w:rPr>
          <w:rFonts w:ascii="宋体" w:hAnsi="宋体" w:eastAsia="宋体" w:cs="宋体"/>
          <w:spacing w:val="-3"/>
          <w:sz w:val="24"/>
          <w:szCs w:val="24"/>
        </w:rPr>
        <w:t>本项目设置一座育肥猪转猪舍，仅在育肥猪出栏时使用，其余</w:t>
      </w:r>
      <w:r>
        <w:rPr>
          <w:rFonts w:ascii="宋体" w:hAnsi="宋体" w:eastAsia="宋体" w:cs="宋体"/>
          <w:spacing w:val="-4"/>
          <w:sz w:val="24"/>
          <w:szCs w:val="24"/>
        </w:rPr>
        <w:t>时间转猪舍内</w:t>
      </w:r>
      <w:r>
        <w:rPr>
          <w:rFonts w:ascii="宋体" w:hAnsi="宋体" w:eastAsia="宋体" w:cs="宋体"/>
          <w:spacing w:val="-6"/>
          <w:sz w:val="24"/>
          <w:szCs w:val="24"/>
        </w:rPr>
        <w:t>无生猪。育肥猪装车外运均安排在白天时段， 夜间不进行</w:t>
      </w:r>
      <w:r>
        <w:rPr>
          <w:rFonts w:ascii="宋体" w:hAnsi="宋体" w:eastAsia="宋体" w:cs="宋体"/>
          <w:spacing w:val="-7"/>
          <w:sz w:val="24"/>
          <w:szCs w:val="24"/>
        </w:rPr>
        <w:t>出猪，并且每批次出猪</w:t>
      </w:r>
      <w:r>
        <w:rPr>
          <w:rFonts w:ascii="宋体" w:hAnsi="宋体" w:eastAsia="宋体" w:cs="宋体"/>
          <w:spacing w:val="-3"/>
          <w:sz w:val="24"/>
          <w:szCs w:val="24"/>
        </w:rPr>
        <w:t>时间较短，不会超过</w:t>
      </w:r>
      <w:r>
        <w:rPr>
          <w:rFonts w:ascii="Times New Roman" w:hAnsi="Times New Roman" w:eastAsia="Times New Roman" w:cs="Times New Roman"/>
          <w:spacing w:val="-3"/>
          <w:sz w:val="24"/>
          <w:szCs w:val="24"/>
        </w:rPr>
        <w:t>8</w:t>
      </w:r>
      <w:r>
        <w:rPr>
          <w:rFonts w:ascii="宋体" w:hAnsi="宋体" w:eastAsia="宋体" w:cs="宋体"/>
          <w:spacing w:val="-3"/>
          <w:sz w:val="24"/>
          <w:szCs w:val="24"/>
        </w:rPr>
        <w:t>小时。</w:t>
      </w:r>
    </w:p>
    <w:p w14:paraId="2E0EFB82">
      <w:pPr>
        <w:spacing w:line="360" w:lineRule="auto"/>
        <w:ind w:left="40" w:right="186" w:firstLine="480"/>
        <w:jc w:val="both"/>
        <w:rPr>
          <w:rFonts w:ascii="宋体" w:hAnsi="宋体" w:eastAsia="宋体" w:cs="宋体"/>
          <w:sz w:val="24"/>
          <w:szCs w:val="24"/>
        </w:rPr>
      </w:pPr>
      <w:r>
        <w:rPr>
          <w:rFonts w:ascii="宋体" w:hAnsi="宋体" w:eastAsia="宋体" w:cs="宋体"/>
          <w:spacing w:val="-3"/>
          <w:sz w:val="24"/>
          <w:szCs w:val="24"/>
        </w:rPr>
        <w:t>转猪舍内不设计饲喂系统，不采用漏缝地板，为水泥地面。出</w:t>
      </w:r>
      <w:r>
        <w:rPr>
          <w:rFonts w:ascii="宋体" w:hAnsi="宋体" w:eastAsia="宋体" w:cs="宋体"/>
          <w:spacing w:val="-4"/>
          <w:sz w:val="24"/>
          <w:szCs w:val="24"/>
        </w:rPr>
        <w:t>栏育肥猪在应</w:t>
      </w:r>
      <w:r>
        <w:rPr>
          <w:rFonts w:ascii="宋体" w:hAnsi="宋体" w:eastAsia="宋体" w:cs="宋体"/>
          <w:spacing w:val="-3"/>
          <w:sz w:val="24"/>
          <w:szCs w:val="24"/>
        </w:rPr>
        <w:t>急时会有排泄现象，对于转猪舍内产生的粪污，采取人工先清理粪便，然后用高</w:t>
      </w:r>
      <w:r>
        <w:rPr>
          <w:rFonts w:ascii="宋体" w:hAnsi="宋体" w:eastAsia="宋体" w:cs="宋体"/>
          <w:spacing w:val="-5"/>
          <w:sz w:val="24"/>
          <w:szCs w:val="24"/>
        </w:rPr>
        <w:t>压水枪进行冲洗和消杀。粪便运至粪污处理区进行干湿分离，</w:t>
      </w:r>
      <w:r>
        <w:rPr>
          <w:rFonts w:ascii="宋体" w:hAnsi="宋体" w:eastAsia="宋体" w:cs="宋体"/>
          <w:spacing w:val="-50"/>
          <w:sz w:val="24"/>
          <w:szCs w:val="24"/>
        </w:rPr>
        <w:t xml:space="preserve"> </w:t>
      </w:r>
      <w:r>
        <w:rPr>
          <w:rFonts w:ascii="宋体" w:hAnsi="宋体" w:eastAsia="宋体" w:cs="宋体"/>
          <w:spacing w:val="-5"/>
          <w:sz w:val="24"/>
          <w:szCs w:val="24"/>
        </w:rPr>
        <w:t>尿液及冲洗废水采</w:t>
      </w:r>
      <w:r>
        <w:rPr>
          <w:rFonts w:ascii="宋体" w:hAnsi="宋体" w:eastAsia="宋体" w:cs="宋体"/>
          <w:spacing w:val="-3"/>
          <w:sz w:val="24"/>
          <w:szCs w:val="24"/>
        </w:rPr>
        <w:t>用管道输送至污水处理站进行处理。</w:t>
      </w:r>
    </w:p>
    <w:p w14:paraId="117405BE">
      <w:pPr>
        <w:spacing w:before="1" w:line="218"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）干湿分离方式</w:t>
      </w:r>
    </w:p>
    <w:p w14:paraId="16A00F3A">
      <w:pPr>
        <w:spacing w:before="183" w:line="360" w:lineRule="auto"/>
        <w:ind w:left="38" w:right="186" w:firstLine="481"/>
        <w:jc w:val="both"/>
        <w:rPr>
          <w:rFonts w:ascii="宋体" w:hAnsi="宋体" w:eastAsia="宋体" w:cs="宋体"/>
          <w:sz w:val="24"/>
          <w:szCs w:val="24"/>
        </w:rPr>
      </w:pPr>
      <w:r>
        <w:rPr>
          <w:rFonts w:ascii="宋体" w:hAnsi="宋体" w:eastAsia="宋体" w:cs="宋体"/>
          <w:spacing w:val="-3"/>
          <w:sz w:val="24"/>
          <w:szCs w:val="24"/>
        </w:rPr>
        <w:t>本项目粪尿在固液分离平台进行干湿分离，固液分离系统主要</w:t>
      </w:r>
      <w:r>
        <w:rPr>
          <w:rFonts w:ascii="宋体" w:hAnsi="宋体" w:eastAsia="宋体" w:cs="宋体"/>
          <w:spacing w:val="-4"/>
          <w:sz w:val="24"/>
          <w:szCs w:val="24"/>
        </w:rPr>
        <w:t>包含固液分离</w:t>
      </w:r>
      <w:r>
        <w:rPr>
          <w:rFonts w:ascii="宋体" w:hAnsi="宋体" w:eastAsia="宋体" w:cs="宋体"/>
          <w:spacing w:val="-3"/>
          <w:sz w:val="24"/>
          <w:szCs w:val="24"/>
        </w:rPr>
        <w:t>及搅拌系统，该系统采用全自动固液分离机，该装置是规模化畜禽养殖场粪污处</w:t>
      </w:r>
      <w:r>
        <w:rPr>
          <w:rFonts w:ascii="宋体" w:hAnsi="宋体" w:eastAsia="宋体" w:cs="宋体"/>
          <w:spacing w:val="-2"/>
          <w:sz w:val="24"/>
          <w:szCs w:val="24"/>
        </w:rPr>
        <w:t>理固液分离的专用设备。处理后的粪渣含水率可达</w:t>
      </w:r>
      <w:r>
        <w:rPr>
          <w:rFonts w:ascii="Times New Roman" w:hAnsi="Times New Roman" w:eastAsia="Times New Roman" w:cs="Times New Roman"/>
          <w:spacing w:val="-2"/>
          <w:sz w:val="24"/>
          <w:szCs w:val="24"/>
        </w:rPr>
        <w:t>60%</w:t>
      </w:r>
      <w:r>
        <w:rPr>
          <w:rFonts w:ascii="宋体" w:hAnsi="宋体" w:eastAsia="宋体" w:cs="宋体"/>
          <w:spacing w:val="-2"/>
          <w:sz w:val="24"/>
          <w:szCs w:val="24"/>
        </w:rPr>
        <w:t>以下，杂质去除率设计不小于</w:t>
      </w:r>
      <w:r>
        <w:rPr>
          <w:rFonts w:ascii="Times New Roman" w:hAnsi="Times New Roman" w:eastAsia="Times New Roman" w:cs="Times New Roman"/>
          <w:spacing w:val="-2"/>
          <w:sz w:val="24"/>
          <w:szCs w:val="24"/>
        </w:rPr>
        <w:t>97%</w:t>
      </w:r>
      <w:r>
        <w:rPr>
          <w:rFonts w:ascii="宋体" w:hAnsi="宋体" w:eastAsia="宋体" w:cs="宋体"/>
          <w:spacing w:val="-2"/>
          <w:sz w:val="24"/>
          <w:szCs w:val="24"/>
        </w:rPr>
        <w:t>。</w:t>
      </w:r>
    </w:p>
    <w:p w14:paraId="07A00511">
      <w:pPr>
        <w:spacing w:before="1" w:line="362" w:lineRule="auto"/>
        <w:ind w:left="41" w:right="194" w:firstLine="480"/>
        <w:rPr>
          <w:rFonts w:ascii="宋体" w:hAnsi="宋体" w:eastAsia="宋体" w:cs="宋体"/>
          <w:sz w:val="24"/>
          <w:szCs w:val="24"/>
        </w:rPr>
      </w:pPr>
      <w:r>
        <w:rPr>
          <w:rFonts w:ascii="宋体" w:hAnsi="宋体" w:eastAsia="宋体" w:cs="宋体"/>
          <w:b/>
          <w:bCs/>
          <w:spacing w:val="-11"/>
          <w:sz w:val="24"/>
          <w:szCs w:val="24"/>
        </w:rPr>
        <w:t>产污节点</w:t>
      </w:r>
      <w:r>
        <w:rPr>
          <w:rFonts w:ascii="宋体" w:hAnsi="宋体" w:eastAsia="宋体" w:cs="宋体"/>
          <w:spacing w:val="-11"/>
          <w:sz w:val="24"/>
          <w:szCs w:val="24"/>
        </w:rPr>
        <w:t>：废水（尿液）、废气（恶臭气体）、噪声（设备噪声）、固废（猪</w:t>
      </w:r>
      <w:r>
        <w:rPr>
          <w:rFonts w:ascii="宋体" w:hAnsi="宋体" w:eastAsia="宋体" w:cs="宋体"/>
          <w:spacing w:val="-33"/>
          <w:sz w:val="24"/>
          <w:szCs w:val="24"/>
        </w:rPr>
        <w:t>粪）。</w:t>
      </w:r>
    </w:p>
    <w:p w14:paraId="57940867">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2.2.2.5 </w:t>
      </w:r>
      <w:r>
        <w:rPr>
          <w:rFonts w:ascii="宋体" w:hAnsi="宋体" w:eastAsia="宋体" w:cs="宋体"/>
          <w:b/>
          <w:bCs/>
          <w:spacing w:val="5"/>
          <w:sz w:val="27"/>
          <w:szCs w:val="27"/>
        </w:rPr>
        <w:t>粪渣处理工艺</w:t>
      </w:r>
    </w:p>
    <w:p w14:paraId="52799559">
      <w:pPr>
        <w:spacing w:line="226" w:lineRule="auto"/>
        <w:rPr>
          <w:rFonts w:ascii="宋体" w:hAnsi="宋体" w:eastAsia="宋体" w:cs="宋体"/>
          <w:sz w:val="27"/>
          <w:szCs w:val="27"/>
        </w:rPr>
        <w:sectPr>
          <w:headerReference r:id="rId174" w:type="default"/>
          <w:footerReference r:id="rId175" w:type="default"/>
          <w:pgSz w:w="11905" w:h="16840"/>
          <w:pgMar w:top="1168" w:right="1611" w:bottom="1409" w:left="1770" w:header="828" w:footer="1244" w:gutter="0"/>
          <w:cols w:space="720" w:num="1"/>
        </w:sectPr>
      </w:pPr>
    </w:p>
    <w:p w14:paraId="5786DA93">
      <w:pPr>
        <w:pStyle w:val="2"/>
        <w:spacing w:line="306" w:lineRule="auto"/>
      </w:pPr>
    </w:p>
    <w:p w14:paraId="352C6D3F">
      <w:pPr>
        <w:spacing w:before="78" w:line="360" w:lineRule="auto"/>
        <w:ind w:left="39" w:right="28" w:firstLine="480"/>
        <w:jc w:val="both"/>
        <w:rPr>
          <w:rFonts w:ascii="宋体" w:hAnsi="宋体" w:eastAsia="宋体" w:cs="宋体"/>
          <w:sz w:val="24"/>
          <w:szCs w:val="24"/>
        </w:rPr>
      </w:pPr>
      <w:r>
        <w:rPr>
          <w:rFonts w:ascii="宋体" w:hAnsi="宋体" w:eastAsia="宋体" w:cs="宋体"/>
          <w:sz w:val="24"/>
          <w:szCs w:val="24"/>
        </w:rPr>
        <w:t>本项目在育肥舍的西南侧设置</w:t>
      </w:r>
      <w:r>
        <w:rPr>
          <w:rFonts w:ascii="Times New Roman" w:hAnsi="Times New Roman" w:eastAsia="Times New Roman" w:cs="Times New Roman"/>
          <w:sz w:val="24"/>
          <w:szCs w:val="24"/>
        </w:rPr>
        <w:t>1</w:t>
      </w:r>
      <w:r>
        <w:rPr>
          <w:rFonts w:ascii="宋体" w:hAnsi="宋体" w:eastAsia="宋体" w:cs="宋体"/>
          <w:sz w:val="24"/>
          <w:szCs w:val="24"/>
        </w:rPr>
        <w:t>座堆粪棚，采用钢筋混凝土结构，全封闭建</w:t>
      </w:r>
      <w:r>
        <w:rPr>
          <w:rFonts w:ascii="宋体" w:hAnsi="宋体" w:eastAsia="宋体" w:cs="宋体"/>
          <w:spacing w:val="-5"/>
          <w:sz w:val="24"/>
          <w:szCs w:val="24"/>
        </w:rPr>
        <w:t>筑并设置顶棚。干湿分离出的固体粪渣全部暂存于堆粪棚，</w:t>
      </w:r>
      <w:r>
        <w:rPr>
          <w:rFonts w:ascii="宋体" w:hAnsi="宋体" w:eastAsia="宋体" w:cs="宋体"/>
          <w:spacing w:val="-45"/>
          <w:sz w:val="24"/>
          <w:szCs w:val="24"/>
        </w:rPr>
        <w:t xml:space="preserve"> </w:t>
      </w:r>
      <w:r>
        <w:rPr>
          <w:rFonts w:ascii="宋体" w:hAnsi="宋体" w:eastAsia="宋体" w:cs="宋体"/>
          <w:spacing w:val="-5"/>
          <w:sz w:val="24"/>
          <w:szCs w:val="24"/>
        </w:rPr>
        <w:t>不在堆粪棚</w:t>
      </w:r>
      <w:r>
        <w:rPr>
          <w:rFonts w:ascii="宋体" w:hAnsi="宋体" w:eastAsia="宋体" w:cs="宋体"/>
          <w:spacing w:val="-6"/>
          <w:sz w:val="24"/>
          <w:szCs w:val="24"/>
        </w:rPr>
        <w:t>内进行堆</w:t>
      </w:r>
      <w:r>
        <w:rPr>
          <w:rFonts w:ascii="宋体" w:hAnsi="宋体" w:eastAsia="宋体" w:cs="宋体"/>
          <w:spacing w:val="-2"/>
          <w:sz w:val="24"/>
          <w:szCs w:val="24"/>
        </w:rPr>
        <w:t>肥，粪渣日产日清，及时交四川正威实业有限公司生产有机肥。</w:t>
      </w:r>
    </w:p>
    <w:p w14:paraId="2B458BDE">
      <w:pPr>
        <w:spacing w:line="361" w:lineRule="auto"/>
        <w:ind w:left="38" w:right="29" w:firstLine="480"/>
        <w:jc w:val="both"/>
        <w:rPr>
          <w:rFonts w:ascii="宋体" w:hAnsi="宋体" w:eastAsia="宋体" w:cs="宋体"/>
          <w:sz w:val="24"/>
          <w:szCs w:val="24"/>
        </w:rPr>
      </w:pPr>
      <w:r>
        <w:rPr>
          <w:rFonts w:ascii="宋体" w:hAnsi="宋体" w:eastAsia="宋体" w:cs="宋体"/>
          <w:spacing w:val="-3"/>
          <w:sz w:val="24"/>
          <w:szCs w:val="24"/>
        </w:rPr>
        <w:t>根据建设单位与四川正威实业有限公司签订的粪污处理协议，建</w:t>
      </w:r>
      <w:r>
        <w:rPr>
          <w:rFonts w:ascii="宋体" w:hAnsi="宋体" w:eastAsia="宋体" w:cs="宋体"/>
          <w:spacing w:val="-4"/>
          <w:sz w:val="24"/>
          <w:szCs w:val="24"/>
        </w:rPr>
        <w:t>设单位需要</w:t>
      </w:r>
      <w:r>
        <w:rPr>
          <w:rFonts w:ascii="宋体" w:hAnsi="宋体" w:eastAsia="宋体" w:cs="宋体"/>
          <w:spacing w:val="-2"/>
          <w:sz w:val="24"/>
          <w:szCs w:val="24"/>
        </w:rPr>
        <w:t>对粪渣进行干湿分离处理至含水率在</w:t>
      </w:r>
      <w:r>
        <w:rPr>
          <w:rFonts w:ascii="Times New Roman" w:hAnsi="Times New Roman" w:eastAsia="Times New Roman" w:cs="Times New Roman"/>
          <w:spacing w:val="-2"/>
          <w:sz w:val="24"/>
          <w:szCs w:val="24"/>
        </w:rPr>
        <w:t>60%</w:t>
      </w:r>
      <w:r>
        <w:rPr>
          <w:rFonts w:ascii="宋体" w:hAnsi="宋体" w:eastAsia="宋体" w:cs="宋体"/>
          <w:spacing w:val="-2"/>
          <w:sz w:val="24"/>
          <w:szCs w:val="24"/>
        </w:rPr>
        <w:t>以下，方可交四川正威实业有限公司处理。本项目粪渣干湿分离后的含水率为</w:t>
      </w:r>
      <w:r>
        <w:rPr>
          <w:rFonts w:ascii="Times New Roman" w:hAnsi="Times New Roman" w:eastAsia="Times New Roman" w:cs="Times New Roman"/>
          <w:spacing w:val="-2"/>
          <w:sz w:val="24"/>
          <w:szCs w:val="24"/>
        </w:rPr>
        <w:t>60%</w:t>
      </w:r>
      <w:r>
        <w:rPr>
          <w:rFonts w:ascii="宋体" w:hAnsi="宋体" w:eastAsia="宋体" w:cs="宋体"/>
          <w:spacing w:val="-2"/>
          <w:sz w:val="24"/>
          <w:szCs w:val="24"/>
        </w:rPr>
        <w:t>，满足四川正威实业有限公司收购畜禽粪便含水率要求，无需在堆粪棚内进行发酵处理。</w:t>
      </w:r>
    </w:p>
    <w:p w14:paraId="118A5608">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2.2.2.6 </w:t>
      </w:r>
      <w:r>
        <w:rPr>
          <w:rFonts w:ascii="宋体" w:hAnsi="宋体" w:eastAsia="宋体" w:cs="宋体"/>
          <w:b/>
          <w:bCs/>
          <w:spacing w:val="5"/>
          <w:sz w:val="27"/>
          <w:szCs w:val="27"/>
        </w:rPr>
        <w:t>病死猪处置方式</w:t>
      </w:r>
    </w:p>
    <w:p w14:paraId="030C4497">
      <w:pPr>
        <w:spacing w:before="235" w:line="360" w:lineRule="auto"/>
        <w:ind w:left="39" w:right="28"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）疫猪处理：一旦发现疫猪，应第一时间向当地兽医卫生监督部门或其</w:t>
      </w:r>
      <w:r>
        <w:rPr>
          <w:rFonts w:ascii="宋体" w:hAnsi="宋体" w:eastAsia="宋体" w:cs="宋体"/>
          <w:spacing w:val="-3"/>
          <w:sz w:val="24"/>
          <w:szCs w:val="24"/>
        </w:rPr>
        <w:t>他上级主管部门报告并封闭全场，由主管部门按照《重大动物疫情应急条例》的</w:t>
      </w:r>
      <w:r>
        <w:rPr>
          <w:rFonts w:ascii="宋体" w:hAnsi="宋体" w:eastAsia="宋体" w:cs="宋体"/>
          <w:spacing w:val="-4"/>
          <w:sz w:val="24"/>
          <w:szCs w:val="24"/>
        </w:rPr>
        <w:t>相关规定进行处理和处置。</w:t>
      </w:r>
    </w:p>
    <w:p w14:paraId="69648127">
      <w:pPr>
        <w:spacing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）病猪处置：病猪在猪舍内设有专门的隔离区进行注射治疗。</w:t>
      </w:r>
    </w:p>
    <w:p w14:paraId="2B98898F">
      <w:pPr>
        <w:spacing w:before="182" w:line="360" w:lineRule="auto"/>
        <w:ind w:left="39" w:right="28"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）病死猪处理：建设单位与内江市环态动物无害化处置有限责任公司签</w:t>
      </w:r>
      <w:r>
        <w:rPr>
          <w:rFonts w:ascii="宋体" w:hAnsi="宋体" w:eastAsia="宋体" w:cs="宋体"/>
          <w:spacing w:val="-3"/>
          <w:sz w:val="24"/>
          <w:szCs w:val="24"/>
        </w:rPr>
        <w:t>订协议，运营期产生的病死猪交由其进行无害化处理，符合畜禽养殖业污染防治</w:t>
      </w:r>
      <w:r>
        <w:rPr>
          <w:rFonts w:ascii="宋体" w:hAnsi="宋体" w:eastAsia="宋体" w:cs="宋体"/>
          <w:spacing w:val="-4"/>
          <w:sz w:val="24"/>
          <w:szCs w:val="24"/>
        </w:rPr>
        <w:t>措施相关要求，去向明确。</w:t>
      </w:r>
    </w:p>
    <w:p w14:paraId="1B25D476">
      <w:pPr>
        <w:spacing w:line="360" w:lineRule="auto"/>
        <w:ind w:left="37" w:right="31" w:firstLine="478"/>
        <w:jc w:val="both"/>
        <w:rPr>
          <w:rFonts w:ascii="楷体" w:hAnsi="楷体" w:eastAsia="楷体" w:cs="楷体"/>
          <w:sz w:val="24"/>
          <w:szCs w:val="24"/>
        </w:rPr>
      </w:pPr>
      <w:r>
        <w:rPr>
          <w:rFonts w:ascii="楷体" w:hAnsi="楷体" w:eastAsia="楷体" w:cs="楷体"/>
          <w:b/>
          <w:bCs/>
          <w:spacing w:val="2"/>
          <w:sz w:val="24"/>
          <w:szCs w:val="24"/>
        </w:rPr>
        <w:t>根据规定，病死畜禽和病害畜禽产品无害化处理以集中</w:t>
      </w:r>
      <w:r>
        <w:rPr>
          <w:rFonts w:ascii="楷体" w:hAnsi="楷体" w:eastAsia="楷体" w:cs="楷体"/>
          <w:b/>
          <w:bCs/>
          <w:spacing w:val="1"/>
          <w:sz w:val="24"/>
          <w:szCs w:val="24"/>
        </w:rPr>
        <w:t>处理为主，自行处</w:t>
      </w:r>
      <w:r>
        <w:rPr>
          <w:rFonts w:ascii="楷体" w:hAnsi="楷体" w:eastAsia="楷体" w:cs="楷体"/>
          <w:b/>
          <w:bCs/>
          <w:spacing w:val="-8"/>
          <w:sz w:val="24"/>
          <w:szCs w:val="24"/>
        </w:rPr>
        <w:t>理为补充。本项目在粪污处理区内设置无害化处理间，</w:t>
      </w:r>
      <w:r>
        <w:rPr>
          <w:rFonts w:ascii="楷体" w:hAnsi="楷体" w:eastAsia="楷体" w:cs="楷体"/>
          <w:spacing w:val="91"/>
          <w:sz w:val="24"/>
          <w:szCs w:val="24"/>
        </w:rPr>
        <w:t xml:space="preserve"> </w:t>
      </w:r>
      <w:r>
        <w:rPr>
          <w:rFonts w:ascii="楷体" w:hAnsi="楷体" w:eastAsia="楷体" w:cs="楷体"/>
          <w:b/>
          <w:bCs/>
          <w:spacing w:val="-8"/>
          <w:sz w:val="24"/>
          <w:szCs w:val="24"/>
        </w:rPr>
        <w:t>内设</w:t>
      </w:r>
      <w:r>
        <w:rPr>
          <w:rFonts w:ascii="Times New Roman" w:hAnsi="Times New Roman" w:eastAsia="Times New Roman" w:cs="Times New Roman"/>
          <w:b/>
          <w:bCs/>
          <w:spacing w:val="-8"/>
          <w:sz w:val="24"/>
          <w:szCs w:val="24"/>
        </w:rPr>
        <w:t>1</w:t>
      </w:r>
      <w:r>
        <w:rPr>
          <w:rFonts w:ascii="楷体" w:hAnsi="楷体" w:eastAsia="楷体" w:cs="楷体"/>
          <w:b/>
          <w:bCs/>
          <w:spacing w:val="-8"/>
          <w:sz w:val="24"/>
          <w:szCs w:val="24"/>
        </w:rPr>
        <w:t>套无害化降解处理</w:t>
      </w:r>
      <w:r>
        <w:rPr>
          <w:rFonts w:ascii="楷体" w:hAnsi="楷体" w:eastAsia="楷体" w:cs="楷体"/>
          <w:b/>
          <w:bCs/>
          <w:spacing w:val="1"/>
          <w:sz w:val="24"/>
          <w:szCs w:val="24"/>
        </w:rPr>
        <w:t>机作应急备用，当发生重大疫情为避免运输过程中交叉影响时启动。病死猪经无害化降解处理机处理后的残渣与粪渣一并作为有机肥原料交有机肥料厂生产</w:t>
      </w:r>
      <w:r>
        <w:rPr>
          <w:rFonts w:ascii="楷体" w:hAnsi="楷体" w:eastAsia="楷体" w:cs="楷体"/>
          <w:b/>
          <w:bCs/>
          <w:spacing w:val="-10"/>
          <w:sz w:val="24"/>
          <w:szCs w:val="24"/>
        </w:rPr>
        <w:t>有机肥。</w:t>
      </w:r>
    </w:p>
    <w:p w14:paraId="0E6F947D">
      <w:pPr>
        <w:spacing w:before="1" w:line="218"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）无害化生物降解机简介</w:t>
      </w:r>
    </w:p>
    <w:p w14:paraId="60F6135E">
      <w:pPr>
        <w:spacing w:before="187" w:line="360" w:lineRule="auto"/>
        <w:ind w:left="38" w:right="28" w:firstLine="481"/>
        <w:rPr>
          <w:rFonts w:ascii="宋体" w:hAnsi="宋体" w:eastAsia="宋体" w:cs="宋体"/>
          <w:sz w:val="24"/>
          <w:szCs w:val="24"/>
        </w:rPr>
      </w:pPr>
      <w:r>
        <w:rPr>
          <w:rFonts w:ascii="宋体" w:hAnsi="宋体" w:eastAsia="宋体" w:cs="宋体"/>
          <w:sz w:val="24"/>
          <w:szCs w:val="24"/>
        </w:rPr>
        <w:t>本项目拟设</w:t>
      </w:r>
      <w:r>
        <w:rPr>
          <w:rFonts w:ascii="Times New Roman" w:hAnsi="Times New Roman" w:eastAsia="Times New Roman" w:cs="Times New Roman"/>
          <w:sz w:val="24"/>
          <w:szCs w:val="24"/>
        </w:rPr>
        <w:t>1</w:t>
      </w:r>
      <w:r>
        <w:rPr>
          <w:rFonts w:ascii="宋体" w:hAnsi="宋体" w:eastAsia="宋体" w:cs="宋体"/>
          <w:sz w:val="24"/>
          <w:szCs w:val="24"/>
        </w:rPr>
        <w:t>套广东益康生环保科技有限公司专利产品无害化降解处理机处</w:t>
      </w:r>
      <w:r>
        <w:rPr>
          <w:rFonts w:ascii="宋体" w:hAnsi="宋体" w:eastAsia="宋体" w:cs="宋体"/>
          <w:spacing w:val="-3"/>
          <w:sz w:val="24"/>
          <w:szCs w:val="24"/>
        </w:rPr>
        <w:t>理病死猪。目前该专利已在</w:t>
      </w:r>
      <w:r>
        <w:rPr>
          <w:rFonts w:ascii="Times New Roman" w:hAnsi="Times New Roman" w:eastAsia="Times New Roman" w:cs="Times New Roman"/>
          <w:spacing w:val="-3"/>
          <w:sz w:val="24"/>
          <w:szCs w:val="24"/>
        </w:rPr>
        <w:t>50</w:t>
      </w:r>
      <w:r>
        <w:rPr>
          <w:rFonts w:ascii="宋体" w:hAnsi="宋体" w:eastAsia="宋体" w:cs="宋体"/>
          <w:spacing w:val="-3"/>
          <w:sz w:val="24"/>
          <w:szCs w:val="24"/>
        </w:rPr>
        <w:t>余家单位成功应用，取得优异的处理效果。同时无</w:t>
      </w:r>
      <w:r>
        <w:rPr>
          <w:rFonts w:ascii="宋体" w:hAnsi="宋体" w:eastAsia="宋体" w:cs="宋体"/>
          <w:spacing w:val="4"/>
          <w:sz w:val="24"/>
          <w:szCs w:val="24"/>
        </w:rPr>
        <w:t>害化处理机处理过程中产生的恶臭气体经广东益康生环保科技有限公司专利产</w:t>
      </w:r>
      <w:r>
        <w:rPr>
          <w:rFonts w:ascii="宋体" w:hAnsi="宋体" w:eastAsia="宋体" w:cs="宋体"/>
          <w:spacing w:val="-3"/>
          <w:sz w:val="24"/>
          <w:szCs w:val="24"/>
        </w:rPr>
        <w:t>品恶臭气体净化装置处理后，再经堆粪棚废气收集系统一并收集至生物滤池处理</w:t>
      </w:r>
      <w:r>
        <w:rPr>
          <w:rFonts w:ascii="宋体" w:hAnsi="宋体" w:eastAsia="宋体" w:cs="宋体"/>
          <w:spacing w:val="-1"/>
          <w:sz w:val="24"/>
          <w:szCs w:val="24"/>
        </w:rPr>
        <w:t>后由</w:t>
      </w:r>
      <w:r>
        <w:rPr>
          <w:rFonts w:ascii="Times New Roman" w:hAnsi="Times New Roman" w:eastAsia="Times New Roman" w:cs="Times New Roman"/>
          <w:spacing w:val="-1"/>
          <w:sz w:val="24"/>
          <w:szCs w:val="24"/>
        </w:rPr>
        <w:t>15m</w:t>
      </w:r>
      <w:r>
        <w:rPr>
          <w:rFonts w:ascii="宋体" w:hAnsi="宋体" w:eastAsia="宋体" w:cs="宋体"/>
          <w:spacing w:val="-1"/>
          <w:sz w:val="24"/>
          <w:szCs w:val="24"/>
        </w:rPr>
        <w:t>高空达标排放。根据中国广州分析测试</w:t>
      </w:r>
      <w:r>
        <w:rPr>
          <w:rFonts w:ascii="宋体" w:hAnsi="宋体" w:eastAsia="宋体" w:cs="宋体"/>
          <w:spacing w:val="-2"/>
          <w:sz w:val="24"/>
          <w:szCs w:val="24"/>
        </w:rPr>
        <w:t>中心对该专利产品废气排放口及</w:t>
      </w:r>
      <w:r>
        <w:rPr>
          <w:rFonts w:ascii="宋体" w:hAnsi="宋体" w:eastAsia="宋体" w:cs="宋体"/>
          <w:spacing w:val="2"/>
          <w:sz w:val="24"/>
          <w:szCs w:val="24"/>
        </w:rPr>
        <w:t>其下风向</w:t>
      </w:r>
      <w:r>
        <w:rPr>
          <w:rFonts w:ascii="Times New Roman" w:hAnsi="Times New Roman" w:eastAsia="Times New Roman" w:cs="Times New Roman"/>
          <w:spacing w:val="2"/>
          <w:sz w:val="24"/>
          <w:szCs w:val="24"/>
        </w:rPr>
        <w:t>5m</w:t>
      </w:r>
      <w:r>
        <w:rPr>
          <w:rFonts w:ascii="宋体" w:hAnsi="宋体" w:eastAsia="宋体" w:cs="宋体"/>
          <w:spacing w:val="2"/>
          <w:sz w:val="24"/>
          <w:szCs w:val="24"/>
        </w:rPr>
        <w:t>监测报告数据可知，该专利产品排放的废气能够达到《恶臭污染物</w:t>
      </w:r>
      <w:r>
        <w:rPr>
          <w:rFonts w:ascii="宋体" w:hAnsi="宋体" w:eastAsia="宋体" w:cs="宋体"/>
          <w:spacing w:val="-1"/>
          <w:sz w:val="24"/>
          <w:szCs w:val="24"/>
        </w:rPr>
        <w:t>排放标准》（</w:t>
      </w:r>
      <w:r>
        <w:rPr>
          <w:rFonts w:ascii="Times New Roman" w:hAnsi="Times New Roman" w:eastAsia="Times New Roman" w:cs="Times New Roman"/>
          <w:spacing w:val="-1"/>
          <w:sz w:val="24"/>
          <w:szCs w:val="24"/>
        </w:rPr>
        <w:t>GB14554-93</w:t>
      </w:r>
      <w:r>
        <w:rPr>
          <w:rFonts w:ascii="宋体" w:hAnsi="宋体" w:eastAsia="宋体" w:cs="宋体"/>
          <w:spacing w:val="-60"/>
          <w:sz w:val="24"/>
          <w:szCs w:val="24"/>
        </w:rPr>
        <w:t>），</w:t>
      </w:r>
      <w:r>
        <w:rPr>
          <w:rFonts w:ascii="宋体" w:hAnsi="宋体" w:eastAsia="宋体" w:cs="宋体"/>
          <w:spacing w:val="-1"/>
          <w:sz w:val="24"/>
          <w:szCs w:val="24"/>
        </w:rPr>
        <w:t>符合环保要求。同时根据广东出入境检验检疫局检</w:t>
      </w:r>
      <w:r>
        <w:rPr>
          <w:rFonts w:ascii="宋体" w:hAnsi="宋体" w:eastAsia="宋体" w:cs="宋体"/>
          <w:spacing w:val="-3"/>
          <w:sz w:val="24"/>
          <w:szCs w:val="24"/>
        </w:rPr>
        <w:t>验检疫技术中心卫生检疫实验室对该专利生物安全效果验证报告数据可知，该专</w:t>
      </w:r>
    </w:p>
    <w:p w14:paraId="44D100A1">
      <w:pPr>
        <w:spacing w:line="360" w:lineRule="auto"/>
        <w:rPr>
          <w:rFonts w:ascii="宋体" w:hAnsi="宋体" w:eastAsia="宋体" w:cs="宋体"/>
          <w:sz w:val="24"/>
          <w:szCs w:val="24"/>
        </w:rPr>
        <w:sectPr>
          <w:headerReference r:id="rId176" w:type="default"/>
          <w:footerReference r:id="rId177" w:type="default"/>
          <w:pgSz w:w="11905" w:h="16840"/>
          <w:pgMar w:top="1168" w:right="1768" w:bottom="1409" w:left="1770" w:header="828" w:footer="1244" w:gutter="0"/>
          <w:cols w:space="720" w:num="1"/>
        </w:sectPr>
      </w:pPr>
    </w:p>
    <w:p w14:paraId="15506A0A">
      <w:pPr>
        <w:pStyle w:val="2"/>
        <w:spacing w:line="306" w:lineRule="auto"/>
      </w:pPr>
    </w:p>
    <w:p w14:paraId="0CC9733E">
      <w:pPr>
        <w:spacing w:before="78" w:line="360" w:lineRule="auto"/>
        <w:ind w:left="42" w:right="85" w:hanging="2"/>
        <w:rPr>
          <w:rFonts w:ascii="宋体" w:hAnsi="宋体" w:eastAsia="宋体" w:cs="宋体"/>
          <w:sz w:val="24"/>
          <w:szCs w:val="24"/>
        </w:rPr>
      </w:pPr>
      <w:r>
        <w:rPr>
          <w:rFonts w:ascii="宋体" w:hAnsi="宋体" w:eastAsia="宋体" w:cs="宋体"/>
          <w:spacing w:val="-3"/>
          <w:sz w:val="24"/>
          <w:szCs w:val="24"/>
        </w:rPr>
        <w:t>利废气排放口无病毒和细菌产生，符合生物安全相关要求。本项目无害化处理机</w:t>
      </w:r>
      <w:r>
        <w:rPr>
          <w:rFonts w:ascii="宋体" w:hAnsi="宋体" w:eastAsia="宋体" w:cs="宋体"/>
          <w:spacing w:val="-1"/>
          <w:sz w:val="24"/>
          <w:szCs w:val="24"/>
        </w:rPr>
        <w:t>设计处理规模为</w:t>
      </w:r>
      <w:r>
        <w:rPr>
          <w:rFonts w:ascii="Times New Roman" w:hAnsi="Times New Roman" w:eastAsia="Times New Roman" w:cs="Times New Roman"/>
          <w:spacing w:val="-1"/>
          <w:sz w:val="24"/>
          <w:szCs w:val="24"/>
        </w:rPr>
        <w:t>1t/d</w:t>
      </w:r>
      <w:r>
        <w:rPr>
          <w:rFonts w:ascii="宋体" w:hAnsi="宋体" w:eastAsia="宋体" w:cs="宋体"/>
          <w:spacing w:val="-1"/>
          <w:sz w:val="24"/>
          <w:szCs w:val="24"/>
        </w:rPr>
        <w:t>。</w:t>
      </w:r>
    </w:p>
    <w:p w14:paraId="623A2271">
      <w:pPr>
        <w:spacing w:before="9" w:line="359" w:lineRule="auto"/>
        <w:ind w:left="38" w:right="85" w:firstLine="479"/>
        <w:rPr>
          <w:rFonts w:ascii="宋体" w:hAnsi="宋体" w:eastAsia="宋体" w:cs="宋体"/>
          <w:sz w:val="24"/>
          <w:szCs w:val="24"/>
        </w:rPr>
      </w:pPr>
      <w:r>
        <w:rPr>
          <w:rFonts w:ascii="宋体" w:hAnsi="宋体" w:eastAsia="宋体" w:cs="宋体"/>
          <w:spacing w:val="-4"/>
          <w:sz w:val="24"/>
          <w:szCs w:val="24"/>
        </w:rPr>
        <w:t>①无害化降解处理机原理：采用高温生物发酵技术原理（高温化制和生物降</w:t>
      </w:r>
      <w:r>
        <w:rPr>
          <w:rFonts w:ascii="宋体" w:hAnsi="宋体" w:eastAsia="宋体" w:cs="宋体"/>
          <w:spacing w:val="-5"/>
          <w:sz w:val="24"/>
          <w:szCs w:val="24"/>
        </w:rPr>
        <w:t>解结合起来的新技术</w:t>
      </w:r>
      <w:r>
        <w:rPr>
          <w:rFonts w:ascii="宋体" w:hAnsi="宋体" w:eastAsia="宋体" w:cs="宋体"/>
          <w:spacing w:val="-18"/>
          <w:sz w:val="24"/>
          <w:szCs w:val="24"/>
        </w:rPr>
        <w:t>），</w:t>
      </w:r>
      <w:r>
        <w:rPr>
          <w:rFonts w:ascii="宋体" w:hAnsi="宋体" w:eastAsia="宋体" w:cs="宋体"/>
          <w:spacing w:val="-5"/>
          <w:sz w:val="24"/>
          <w:szCs w:val="24"/>
        </w:rPr>
        <w:t>利用设备产生的连续</w:t>
      </w:r>
      <w:r>
        <w:rPr>
          <w:rFonts w:ascii="Times New Roman" w:hAnsi="Times New Roman" w:eastAsia="Times New Roman" w:cs="Times New Roman"/>
          <w:spacing w:val="-5"/>
          <w:sz w:val="24"/>
          <w:szCs w:val="24"/>
        </w:rPr>
        <w:t>24h</w:t>
      </w:r>
      <w:r>
        <w:rPr>
          <w:rFonts w:ascii="宋体" w:hAnsi="宋体" w:eastAsia="宋体" w:cs="宋体"/>
          <w:spacing w:val="-6"/>
          <w:sz w:val="24"/>
          <w:szCs w:val="24"/>
        </w:rPr>
        <w:t>的高温环境实现灭活病原体，技术工艺应符合《病死及病害动物无害化处理技术规范》要求，</w:t>
      </w:r>
      <w:r>
        <w:rPr>
          <w:rFonts w:ascii="宋体" w:hAnsi="宋体" w:eastAsia="宋体" w:cs="宋体"/>
          <w:spacing w:val="-7"/>
          <w:sz w:val="24"/>
          <w:szCs w:val="24"/>
        </w:rPr>
        <w:t xml:space="preserve"> 即常压状态下，维</w:t>
      </w:r>
      <w:r>
        <w:rPr>
          <w:rFonts w:ascii="宋体" w:hAnsi="宋体" w:eastAsia="宋体" w:cs="宋体"/>
          <w:spacing w:val="4"/>
          <w:sz w:val="24"/>
          <w:szCs w:val="24"/>
        </w:rPr>
        <w:t>持容器内部温度≥</w:t>
      </w:r>
      <w:r>
        <w:rPr>
          <w:rFonts w:ascii="Times New Roman" w:hAnsi="Times New Roman" w:eastAsia="Times New Roman" w:cs="Times New Roman"/>
          <w:spacing w:val="4"/>
          <w:sz w:val="24"/>
          <w:szCs w:val="24"/>
        </w:rPr>
        <w:t>180</w:t>
      </w:r>
      <w:r>
        <w:rPr>
          <w:rFonts w:ascii="宋体" w:hAnsi="宋体" w:eastAsia="宋体" w:cs="宋体"/>
          <w:spacing w:val="4"/>
          <w:sz w:val="24"/>
          <w:szCs w:val="24"/>
        </w:rPr>
        <w:t>℃,持续时间≥</w:t>
      </w:r>
      <w:r>
        <w:rPr>
          <w:rFonts w:ascii="Times New Roman" w:hAnsi="Times New Roman" w:eastAsia="Times New Roman" w:cs="Times New Roman"/>
          <w:spacing w:val="4"/>
          <w:sz w:val="24"/>
          <w:szCs w:val="24"/>
        </w:rPr>
        <w:t>2.5h</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（具体处理时间随处理物种类和体积</w:t>
      </w:r>
      <w:r>
        <w:rPr>
          <w:rFonts w:ascii="宋体" w:hAnsi="宋体" w:eastAsia="宋体" w:cs="宋体"/>
          <w:spacing w:val="-3"/>
          <w:sz w:val="24"/>
          <w:szCs w:val="24"/>
        </w:rPr>
        <w:t>大小而设定）。利用芽孢杆菌分解的脂肪酶、蛋白质酶降解有机</w:t>
      </w:r>
      <w:r>
        <w:rPr>
          <w:rFonts w:ascii="宋体" w:hAnsi="宋体" w:eastAsia="宋体" w:cs="宋体"/>
          <w:spacing w:val="-4"/>
          <w:sz w:val="24"/>
          <w:szCs w:val="24"/>
        </w:rPr>
        <w:t>物的特性，实现</w:t>
      </w:r>
      <w:r>
        <w:rPr>
          <w:rFonts w:ascii="宋体" w:hAnsi="宋体" w:eastAsia="宋体" w:cs="宋体"/>
          <w:spacing w:val="-3"/>
          <w:sz w:val="24"/>
          <w:szCs w:val="24"/>
        </w:rPr>
        <w:t>动物尸体无害化降解处理。同时该设备综合分切、绞碎、发酵、杀菌、干燥等多</w:t>
      </w:r>
      <w:r>
        <w:rPr>
          <w:rFonts w:ascii="宋体" w:hAnsi="宋体" w:eastAsia="宋体" w:cs="宋体"/>
          <w:spacing w:val="-2"/>
          <w:sz w:val="24"/>
          <w:szCs w:val="24"/>
        </w:rPr>
        <w:t>个同步环节，把畜禽尸体等废弃物快速降解处理为有机肥原料。</w:t>
      </w:r>
    </w:p>
    <w:p w14:paraId="7F8E601D">
      <w:pPr>
        <w:spacing w:line="341" w:lineRule="auto"/>
        <w:ind w:left="34" w:firstLine="483"/>
        <w:rPr>
          <w:rFonts w:ascii="宋体" w:hAnsi="宋体" w:eastAsia="宋体" w:cs="宋体"/>
          <w:sz w:val="24"/>
          <w:szCs w:val="24"/>
        </w:rPr>
      </w:pPr>
      <w:r>
        <w:rPr>
          <w:rFonts w:ascii="宋体" w:hAnsi="宋体" w:eastAsia="宋体" w:cs="宋体"/>
          <w:spacing w:val="-2"/>
          <w:sz w:val="24"/>
          <w:szCs w:val="24"/>
        </w:rPr>
        <w:t>②恶臭气体净化装置原理：采用紫外线光束照射</w:t>
      </w:r>
      <w:r>
        <w:rPr>
          <w:rFonts w:ascii="宋体" w:hAnsi="宋体" w:eastAsia="宋体" w:cs="宋体"/>
          <w:spacing w:val="-3"/>
          <w:sz w:val="24"/>
          <w:szCs w:val="24"/>
        </w:rPr>
        <w:t>和</w:t>
      </w:r>
      <w:r>
        <w:rPr>
          <w:rFonts w:ascii="Times New Roman" w:hAnsi="Times New Roman" w:eastAsia="Times New Roman" w:cs="Times New Roman"/>
          <w:spacing w:val="-3"/>
          <w:sz w:val="24"/>
          <w:szCs w:val="24"/>
        </w:rPr>
        <w:t>TiO</w:t>
      </w:r>
      <w:r>
        <w:rPr>
          <w:rFonts w:ascii="Times New Roman" w:hAnsi="Times New Roman" w:eastAsia="Times New Roman" w:cs="Times New Roman"/>
          <w:spacing w:val="-3"/>
          <w:position w:val="-2"/>
          <w:sz w:val="15"/>
          <w:szCs w:val="15"/>
        </w:rPr>
        <w:t>2</w:t>
      </w:r>
      <w:r>
        <w:rPr>
          <w:rFonts w:ascii="宋体" w:hAnsi="宋体" w:eastAsia="宋体" w:cs="宋体"/>
          <w:spacing w:val="-3"/>
          <w:sz w:val="24"/>
          <w:szCs w:val="24"/>
        </w:rPr>
        <w:t>催化法裂解恶臭气体</w:t>
      </w:r>
      <w:r>
        <w:rPr>
          <w:rFonts w:ascii="宋体" w:hAnsi="宋体" w:eastAsia="宋体" w:cs="宋体"/>
          <w:spacing w:val="-1"/>
          <w:sz w:val="24"/>
          <w:szCs w:val="24"/>
        </w:rPr>
        <w:t>（如三甲胺、硫化氢、甲硫氢、甲硫醇、二甲二硫</w:t>
      </w:r>
      <w:r>
        <w:rPr>
          <w:rFonts w:ascii="宋体" w:hAnsi="宋体" w:eastAsia="宋体" w:cs="宋体"/>
          <w:spacing w:val="-2"/>
          <w:sz w:val="24"/>
          <w:szCs w:val="24"/>
        </w:rPr>
        <w:t xml:space="preserve">、二硫化碳和苯乙烯、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r>
        <w:rPr>
          <w:rFonts w:ascii="宋体" w:hAnsi="宋体" w:eastAsia="宋体" w:cs="宋体"/>
          <w:spacing w:val="-3"/>
          <w:sz w:val="24"/>
          <w:szCs w:val="24"/>
        </w:rPr>
        <w:t>氨、苯、甲苯、二甲苯）。本项目恶臭气体净化装置使有机或无机</w:t>
      </w:r>
      <w:r>
        <w:rPr>
          <w:rFonts w:ascii="宋体" w:hAnsi="宋体" w:eastAsia="宋体" w:cs="宋体"/>
          <w:spacing w:val="-4"/>
          <w:sz w:val="24"/>
          <w:szCs w:val="24"/>
        </w:rPr>
        <w:t>高分子化合物</w:t>
      </w:r>
      <w:r>
        <w:rPr>
          <w:rFonts w:ascii="宋体" w:hAnsi="宋体" w:eastAsia="宋体" w:cs="宋体"/>
          <w:spacing w:val="2"/>
          <w:sz w:val="24"/>
          <w:szCs w:val="24"/>
        </w:rPr>
        <w:t>分子链，在紫外线和</w:t>
      </w:r>
      <w:r>
        <w:rPr>
          <w:rFonts w:ascii="Times New Roman" w:hAnsi="Times New Roman" w:eastAsia="Times New Roman" w:cs="Times New Roman"/>
          <w:sz w:val="24"/>
          <w:szCs w:val="24"/>
        </w:rPr>
        <w:t>TiO</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1"/>
          <w:position w:val="-2"/>
          <w:sz w:val="15"/>
          <w:szCs w:val="15"/>
        </w:rPr>
        <w:t xml:space="preserve"> </w:t>
      </w:r>
      <w:r>
        <w:rPr>
          <w:rFonts w:ascii="宋体" w:hAnsi="宋体" w:eastAsia="宋体" w:cs="宋体"/>
          <w:spacing w:val="2"/>
          <w:sz w:val="24"/>
          <w:szCs w:val="24"/>
        </w:rPr>
        <w:t>光催化剂作用下，降解转变为低分子化</w:t>
      </w:r>
      <w:r>
        <w:rPr>
          <w:rFonts w:ascii="宋体" w:hAnsi="宋体" w:eastAsia="宋体" w:cs="宋体"/>
          <w:spacing w:val="1"/>
          <w:sz w:val="24"/>
          <w:szCs w:val="24"/>
        </w:rPr>
        <w:t>合物，如</w:t>
      </w:r>
      <w:r>
        <w:rPr>
          <w:rFonts w:ascii="Times New Roman" w:hAnsi="Times New Roman" w:eastAsia="Times New Roman" w:cs="Times New Roman"/>
          <w:sz w:val="24"/>
          <w:szCs w:val="24"/>
        </w:rPr>
        <w:t>CO</w:t>
      </w:r>
      <w:r>
        <w:rPr>
          <w:rFonts w:ascii="Times New Roman" w:hAnsi="Times New Roman" w:eastAsia="Times New Roman" w:cs="Times New Roman"/>
          <w:spacing w:val="1"/>
          <w:position w:val="-2"/>
          <w:sz w:val="15"/>
          <w:szCs w:val="15"/>
        </w:rPr>
        <w:t>2</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
          <w:sz w:val="24"/>
          <w:szCs w:val="24"/>
        </w:rPr>
        <w:t>O</w:t>
      </w:r>
      <w:r>
        <w:rPr>
          <w:rFonts w:ascii="宋体" w:hAnsi="宋体" w:eastAsia="宋体" w:cs="宋体"/>
          <w:spacing w:val="-2"/>
          <w:sz w:val="24"/>
          <w:szCs w:val="24"/>
        </w:rPr>
        <w:t>等，从而达到高效除臭的目的。</w:t>
      </w:r>
    </w:p>
    <w:p w14:paraId="528DEA6E">
      <w:pPr>
        <w:spacing w:line="2224" w:lineRule="exact"/>
        <w:ind w:firstLine="205"/>
      </w:pPr>
      <w:r>
        <w:rPr>
          <w:position w:val="-44"/>
        </w:rPr>
        <w:drawing>
          <wp:inline distT="0" distB="0" distL="0" distR="0">
            <wp:extent cx="5050155" cy="141224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552"/>
                    <a:stretch>
                      <a:fillRect/>
                    </a:stretch>
                  </pic:blipFill>
                  <pic:spPr>
                    <a:xfrm>
                      <a:off x="0" y="0"/>
                      <a:ext cx="5050535" cy="1412747"/>
                    </a:xfrm>
                    <a:prstGeom prst="rect">
                      <a:avLst/>
                    </a:prstGeom>
                  </pic:spPr>
                </pic:pic>
              </a:graphicData>
            </a:graphic>
          </wp:inline>
        </w:drawing>
      </w:r>
    </w:p>
    <w:p w14:paraId="740E21DC">
      <w:pPr>
        <w:spacing w:before="157" w:line="221" w:lineRule="auto"/>
        <w:ind w:left="2120"/>
        <w:rPr>
          <w:rFonts w:ascii="黑体" w:hAnsi="黑体" w:eastAsia="黑体" w:cs="黑体"/>
          <w:sz w:val="21"/>
          <w:szCs w:val="21"/>
        </w:rPr>
      </w:pPr>
      <w:r>
        <w:rPr>
          <w:rFonts w:ascii="黑体" w:hAnsi="黑体" w:eastAsia="黑体" w:cs="黑体"/>
          <w:spacing w:val="-1"/>
          <w:sz w:val="21"/>
          <w:szCs w:val="21"/>
        </w:rPr>
        <w:t>图</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2.2-7  </w:t>
      </w:r>
      <w:r>
        <w:rPr>
          <w:rFonts w:ascii="黑体" w:hAnsi="黑体" w:eastAsia="黑体" w:cs="黑体"/>
          <w:spacing w:val="-1"/>
          <w:sz w:val="21"/>
          <w:szCs w:val="21"/>
        </w:rPr>
        <w:t>动物尸体无害化降解处理工艺流</w:t>
      </w:r>
      <w:r>
        <w:rPr>
          <w:rFonts w:ascii="黑体" w:hAnsi="黑体" w:eastAsia="黑体" w:cs="黑体"/>
          <w:spacing w:val="-2"/>
          <w:sz w:val="21"/>
          <w:szCs w:val="21"/>
        </w:rPr>
        <w:t>程图</w:t>
      </w:r>
    </w:p>
    <w:p w14:paraId="5289FEB8">
      <w:pPr>
        <w:spacing w:before="160" w:line="222" w:lineRule="auto"/>
        <w:ind w:left="221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2"/>
          <w:sz w:val="21"/>
          <w:szCs w:val="21"/>
        </w:rPr>
        <w:t xml:space="preserve"> </w:t>
      </w:r>
      <w:r>
        <w:rPr>
          <w:rFonts w:ascii="Times New Roman" w:hAnsi="Times New Roman" w:eastAsia="Times New Roman" w:cs="Times New Roman"/>
          <w:spacing w:val="-1"/>
          <w:sz w:val="21"/>
          <w:szCs w:val="21"/>
        </w:rPr>
        <w:t xml:space="preserve">2.2-2  </w:t>
      </w:r>
      <w:r>
        <w:rPr>
          <w:rFonts w:ascii="黑体" w:hAnsi="黑体" w:eastAsia="黑体" w:cs="黑体"/>
          <w:spacing w:val="-1"/>
          <w:sz w:val="21"/>
          <w:szCs w:val="21"/>
        </w:rPr>
        <w:t>无害化降解处理机设备参数一览表</w:t>
      </w:r>
    </w:p>
    <w:p w14:paraId="261DE698">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1"/>
        <w:gridCol w:w="5339"/>
      </w:tblGrid>
      <w:tr w14:paraId="6CCC2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981" w:type="dxa"/>
            <w:vAlign w:val="top"/>
          </w:tcPr>
          <w:p w14:paraId="5CD764CA">
            <w:pPr>
              <w:spacing w:before="54" w:line="221" w:lineRule="auto"/>
              <w:ind w:left="1293"/>
              <w:rPr>
                <w:rFonts w:ascii="宋体" w:hAnsi="宋体" w:eastAsia="宋体" w:cs="宋体"/>
                <w:sz w:val="21"/>
                <w:szCs w:val="21"/>
              </w:rPr>
            </w:pPr>
            <w:r>
              <w:rPr>
                <w:rFonts w:ascii="宋体" w:hAnsi="宋体" w:eastAsia="宋体" w:cs="宋体"/>
                <w:spacing w:val="-4"/>
                <w:sz w:val="21"/>
                <w:szCs w:val="21"/>
              </w:rPr>
              <w:t>型号</w:t>
            </w:r>
          </w:p>
        </w:tc>
        <w:tc>
          <w:tcPr>
            <w:tcW w:w="5339" w:type="dxa"/>
            <w:vAlign w:val="top"/>
          </w:tcPr>
          <w:p w14:paraId="7DED9F82">
            <w:pPr>
              <w:pStyle w:val="6"/>
              <w:spacing w:before="91" w:line="188" w:lineRule="auto"/>
              <w:ind w:left="2092"/>
            </w:pPr>
            <w:r>
              <w:rPr>
                <w:spacing w:val="-3"/>
              </w:rPr>
              <w:t>11FDJQ-1000</w:t>
            </w:r>
          </w:p>
        </w:tc>
      </w:tr>
      <w:tr w14:paraId="2E6FB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5F3E72A0">
            <w:pPr>
              <w:spacing w:before="49" w:line="220" w:lineRule="auto"/>
              <w:ind w:left="1288"/>
              <w:rPr>
                <w:rFonts w:ascii="宋体" w:hAnsi="宋体" w:eastAsia="宋体" w:cs="宋体"/>
                <w:sz w:val="21"/>
                <w:szCs w:val="21"/>
              </w:rPr>
            </w:pPr>
            <w:r>
              <w:rPr>
                <w:rFonts w:ascii="宋体" w:hAnsi="宋体" w:eastAsia="宋体" w:cs="宋体"/>
                <w:spacing w:val="-3"/>
                <w:sz w:val="21"/>
                <w:szCs w:val="21"/>
              </w:rPr>
              <w:t>规格</w:t>
            </w:r>
          </w:p>
        </w:tc>
        <w:tc>
          <w:tcPr>
            <w:tcW w:w="5339" w:type="dxa"/>
            <w:vAlign w:val="top"/>
          </w:tcPr>
          <w:p w14:paraId="78618679">
            <w:pPr>
              <w:pStyle w:val="6"/>
              <w:spacing w:before="49" w:line="220" w:lineRule="auto"/>
              <w:ind w:left="720"/>
            </w:pPr>
            <w:r>
              <w:rPr>
                <w:spacing w:val="-5"/>
              </w:rPr>
              <w:t>4000</w:t>
            </w:r>
            <w:r>
              <w:rPr>
                <w:rFonts w:ascii="宋体" w:hAnsi="宋体" w:eastAsia="宋体" w:cs="宋体"/>
                <w:spacing w:val="-5"/>
              </w:rPr>
              <w:t>（长）</w:t>
            </w:r>
            <w:r>
              <w:rPr>
                <w:rFonts w:ascii="宋体" w:hAnsi="宋体" w:eastAsia="宋体" w:cs="宋体"/>
                <w:spacing w:val="-68"/>
              </w:rPr>
              <w:t xml:space="preserve"> </w:t>
            </w:r>
            <w:r>
              <w:rPr>
                <w:rFonts w:ascii="宋体" w:hAnsi="宋体" w:eastAsia="宋体" w:cs="宋体"/>
                <w:spacing w:val="-5"/>
              </w:rPr>
              <w:t>×</w:t>
            </w:r>
            <w:r>
              <w:rPr>
                <w:rFonts w:ascii="宋体" w:hAnsi="宋体" w:eastAsia="宋体" w:cs="宋体"/>
                <w:spacing w:val="-80"/>
              </w:rPr>
              <w:t xml:space="preserve"> </w:t>
            </w:r>
            <w:r>
              <w:rPr>
                <w:spacing w:val="-5"/>
              </w:rPr>
              <w:t>1300</w:t>
            </w:r>
            <w:r>
              <w:rPr>
                <w:rFonts w:ascii="宋体" w:hAnsi="宋体" w:eastAsia="宋体" w:cs="宋体"/>
                <w:spacing w:val="-5"/>
              </w:rPr>
              <w:t>（宽）×</w:t>
            </w:r>
            <w:r>
              <w:rPr>
                <w:rFonts w:ascii="宋体" w:hAnsi="宋体" w:eastAsia="宋体" w:cs="宋体"/>
                <w:spacing w:val="-39"/>
              </w:rPr>
              <w:t xml:space="preserve"> </w:t>
            </w:r>
            <w:r>
              <w:rPr>
                <w:spacing w:val="-5"/>
              </w:rPr>
              <w:t>190</w:t>
            </w:r>
            <w:r>
              <w:rPr>
                <w:spacing w:val="-6"/>
              </w:rPr>
              <w:t>0</w:t>
            </w:r>
            <w:r>
              <w:rPr>
                <w:rFonts w:ascii="宋体" w:hAnsi="宋体" w:eastAsia="宋体" w:cs="宋体"/>
                <w:spacing w:val="-6"/>
              </w:rPr>
              <w:t>（高）</w:t>
            </w:r>
            <w:r>
              <w:rPr>
                <w:spacing w:val="-6"/>
              </w:rPr>
              <w:t>mm</w:t>
            </w:r>
          </w:p>
        </w:tc>
      </w:tr>
      <w:tr w14:paraId="0A02D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1295AE48">
            <w:pPr>
              <w:spacing w:before="50" w:line="219" w:lineRule="auto"/>
              <w:ind w:left="868"/>
              <w:rPr>
                <w:rFonts w:ascii="宋体" w:hAnsi="宋体" w:eastAsia="宋体" w:cs="宋体"/>
                <w:sz w:val="21"/>
                <w:szCs w:val="21"/>
              </w:rPr>
            </w:pPr>
            <w:r>
              <w:rPr>
                <w:rFonts w:ascii="宋体" w:hAnsi="宋体" w:eastAsia="宋体" w:cs="宋体"/>
                <w:spacing w:val="-2"/>
                <w:sz w:val="21"/>
                <w:szCs w:val="21"/>
              </w:rPr>
              <w:t>整机最大功率</w:t>
            </w:r>
          </w:p>
        </w:tc>
        <w:tc>
          <w:tcPr>
            <w:tcW w:w="5339" w:type="dxa"/>
            <w:vAlign w:val="top"/>
          </w:tcPr>
          <w:p w14:paraId="7E54AAD1">
            <w:pPr>
              <w:pStyle w:val="6"/>
              <w:spacing w:before="83" w:line="192" w:lineRule="auto"/>
              <w:ind w:left="2354"/>
            </w:pPr>
            <w:r>
              <w:rPr>
                <w:spacing w:val="-4"/>
              </w:rPr>
              <w:t>19.4kW</w:t>
            </w:r>
          </w:p>
        </w:tc>
      </w:tr>
      <w:tr w14:paraId="33A49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981" w:type="dxa"/>
            <w:vAlign w:val="top"/>
          </w:tcPr>
          <w:p w14:paraId="7357A31C">
            <w:pPr>
              <w:spacing w:before="51" w:line="219" w:lineRule="auto"/>
              <w:ind w:left="866"/>
              <w:rPr>
                <w:rFonts w:ascii="宋体" w:hAnsi="宋体" w:eastAsia="宋体" w:cs="宋体"/>
                <w:sz w:val="21"/>
                <w:szCs w:val="21"/>
              </w:rPr>
            </w:pPr>
            <w:r>
              <w:rPr>
                <w:rFonts w:ascii="宋体" w:hAnsi="宋体" w:eastAsia="宋体" w:cs="宋体"/>
                <w:spacing w:val="-2"/>
                <w:sz w:val="21"/>
                <w:szCs w:val="21"/>
              </w:rPr>
              <w:t>搅拌电机功率</w:t>
            </w:r>
          </w:p>
        </w:tc>
        <w:tc>
          <w:tcPr>
            <w:tcW w:w="5339" w:type="dxa"/>
            <w:vAlign w:val="top"/>
          </w:tcPr>
          <w:p w14:paraId="39459BA3">
            <w:pPr>
              <w:pStyle w:val="6"/>
              <w:spacing w:before="83" w:line="192" w:lineRule="auto"/>
              <w:ind w:left="2392"/>
            </w:pPr>
            <w:r>
              <w:rPr>
                <w:spacing w:val="-2"/>
              </w:rPr>
              <w:t>5.5kW</w:t>
            </w:r>
          </w:p>
        </w:tc>
      </w:tr>
      <w:tr w14:paraId="249D5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031E48E7">
            <w:pPr>
              <w:spacing w:before="50" w:line="220" w:lineRule="auto"/>
              <w:ind w:left="869"/>
              <w:rPr>
                <w:rFonts w:ascii="宋体" w:hAnsi="宋体" w:eastAsia="宋体" w:cs="宋体"/>
                <w:sz w:val="21"/>
                <w:szCs w:val="21"/>
              </w:rPr>
            </w:pPr>
            <w:r>
              <w:rPr>
                <w:rFonts w:ascii="宋体" w:hAnsi="宋体" w:eastAsia="宋体" w:cs="宋体"/>
                <w:spacing w:val="-2"/>
                <w:sz w:val="21"/>
                <w:szCs w:val="21"/>
              </w:rPr>
              <w:t>最大加热功率</w:t>
            </w:r>
          </w:p>
        </w:tc>
        <w:tc>
          <w:tcPr>
            <w:tcW w:w="5339" w:type="dxa"/>
            <w:vAlign w:val="top"/>
          </w:tcPr>
          <w:p w14:paraId="3A94A1A9">
            <w:pPr>
              <w:pStyle w:val="6"/>
              <w:spacing w:before="82" w:line="192" w:lineRule="auto"/>
              <w:ind w:left="2354"/>
            </w:pPr>
            <w:r>
              <w:rPr>
                <w:spacing w:val="-4"/>
              </w:rPr>
              <w:t>13.6kW</w:t>
            </w:r>
          </w:p>
        </w:tc>
      </w:tr>
      <w:tr w14:paraId="69AE1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1C4A8C4B">
            <w:pPr>
              <w:spacing w:before="51" w:line="219" w:lineRule="auto"/>
              <w:ind w:left="1078"/>
              <w:rPr>
                <w:rFonts w:ascii="宋体" w:hAnsi="宋体" w:eastAsia="宋体" w:cs="宋体"/>
                <w:sz w:val="21"/>
                <w:szCs w:val="21"/>
              </w:rPr>
            </w:pPr>
            <w:r>
              <w:rPr>
                <w:rFonts w:ascii="宋体" w:hAnsi="宋体" w:eastAsia="宋体" w:cs="宋体"/>
                <w:spacing w:val="-2"/>
                <w:sz w:val="21"/>
                <w:szCs w:val="21"/>
              </w:rPr>
              <w:t>整机重量</w:t>
            </w:r>
          </w:p>
        </w:tc>
        <w:tc>
          <w:tcPr>
            <w:tcW w:w="5339" w:type="dxa"/>
            <w:vAlign w:val="top"/>
          </w:tcPr>
          <w:p w14:paraId="08208F99">
            <w:pPr>
              <w:pStyle w:val="6"/>
              <w:spacing w:before="84" w:line="192" w:lineRule="auto"/>
              <w:ind w:left="2359"/>
            </w:pPr>
            <w:r>
              <w:rPr>
                <w:spacing w:val="-2"/>
              </w:rPr>
              <w:t>3000kg</w:t>
            </w:r>
          </w:p>
        </w:tc>
      </w:tr>
      <w:tr w14:paraId="3854E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981" w:type="dxa"/>
            <w:vAlign w:val="top"/>
          </w:tcPr>
          <w:p w14:paraId="45209F66">
            <w:pPr>
              <w:spacing w:before="52" w:line="220" w:lineRule="auto"/>
              <w:ind w:left="1079"/>
              <w:rPr>
                <w:rFonts w:ascii="宋体" w:hAnsi="宋体" w:eastAsia="宋体" w:cs="宋体"/>
                <w:sz w:val="21"/>
                <w:szCs w:val="21"/>
              </w:rPr>
            </w:pPr>
            <w:r>
              <w:rPr>
                <w:rFonts w:ascii="宋体" w:hAnsi="宋体" w:eastAsia="宋体" w:cs="宋体"/>
                <w:spacing w:val="-3"/>
                <w:sz w:val="21"/>
                <w:szCs w:val="21"/>
              </w:rPr>
              <w:t>工作电压</w:t>
            </w:r>
          </w:p>
        </w:tc>
        <w:tc>
          <w:tcPr>
            <w:tcW w:w="5339" w:type="dxa"/>
            <w:vAlign w:val="top"/>
          </w:tcPr>
          <w:p w14:paraId="67E5896E">
            <w:pPr>
              <w:pStyle w:val="6"/>
              <w:spacing w:before="89" w:line="188" w:lineRule="auto"/>
              <w:ind w:left="2440"/>
            </w:pPr>
            <w:r>
              <w:rPr>
                <w:spacing w:val="-3"/>
              </w:rPr>
              <w:t>380V</w:t>
            </w:r>
          </w:p>
        </w:tc>
      </w:tr>
      <w:tr w14:paraId="2F25C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6AA0F325">
            <w:pPr>
              <w:spacing w:before="52" w:line="220" w:lineRule="auto"/>
              <w:ind w:left="868"/>
              <w:rPr>
                <w:rFonts w:ascii="宋体" w:hAnsi="宋体" w:eastAsia="宋体" w:cs="宋体"/>
                <w:sz w:val="21"/>
                <w:szCs w:val="21"/>
              </w:rPr>
            </w:pPr>
            <w:r>
              <w:rPr>
                <w:rFonts w:ascii="宋体" w:hAnsi="宋体" w:eastAsia="宋体" w:cs="宋体"/>
                <w:spacing w:val="-2"/>
                <w:sz w:val="21"/>
                <w:szCs w:val="21"/>
              </w:rPr>
              <w:t>有效处理容积</w:t>
            </w:r>
          </w:p>
        </w:tc>
        <w:tc>
          <w:tcPr>
            <w:tcW w:w="5339" w:type="dxa"/>
            <w:vAlign w:val="top"/>
          </w:tcPr>
          <w:p w14:paraId="73C1B994">
            <w:pPr>
              <w:pStyle w:val="6"/>
              <w:spacing w:before="35" w:line="215" w:lineRule="auto"/>
              <w:ind w:left="2422"/>
              <w:rPr>
                <w:sz w:val="14"/>
                <w:szCs w:val="14"/>
              </w:rPr>
            </w:pPr>
            <w:r>
              <w:rPr>
                <w:spacing w:val="-1"/>
                <w:position w:val="-1"/>
              </w:rPr>
              <w:t>2.4m</w:t>
            </w:r>
            <w:r>
              <w:rPr>
                <w:spacing w:val="-1"/>
                <w:position w:val="8"/>
                <w:sz w:val="14"/>
                <w:szCs w:val="14"/>
              </w:rPr>
              <w:t>3</w:t>
            </w:r>
          </w:p>
        </w:tc>
      </w:tr>
      <w:tr w14:paraId="52657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20DE1F01">
            <w:pPr>
              <w:spacing w:before="53" w:line="220" w:lineRule="auto"/>
              <w:ind w:left="1081"/>
              <w:rPr>
                <w:rFonts w:ascii="宋体" w:hAnsi="宋体" w:eastAsia="宋体" w:cs="宋体"/>
                <w:sz w:val="21"/>
                <w:szCs w:val="21"/>
              </w:rPr>
            </w:pPr>
            <w:r>
              <w:rPr>
                <w:rFonts w:ascii="宋体" w:hAnsi="宋体" w:eastAsia="宋体" w:cs="宋体"/>
                <w:spacing w:val="-3"/>
                <w:sz w:val="21"/>
                <w:szCs w:val="21"/>
              </w:rPr>
              <w:t>处理范围</w:t>
            </w:r>
          </w:p>
        </w:tc>
        <w:tc>
          <w:tcPr>
            <w:tcW w:w="5339" w:type="dxa"/>
            <w:vAlign w:val="top"/>
          </w:tcPr>
          <w:p w14:paraId="547761F9">
            <w:pPr>
              <w:spacing w:before="52" w:line="220" w:lineRule="auto"/>
              <w:ind w:left="2161"/>
              <w:rPr>
                <w:rFonts w:ascii="宋体" w:hAnsi="宋体" w:eastAsia="宋体" w:cs="宋体"/>
                <w:sz w:val="21"/>
                <w:szCs w:val="21"/>
              </w:rPr>
            </w:pPr>
            <w:r>
              <w:rPr>
                <w:rFonts w:ascii="宋体" w:hAnsi="宋体" w:eastAsia="宋体" w:cs="宋体"/>
                <w:spacing w:val="-4"/>
                <w:sz w:val="21"/>
                <w:szCs w:val="21"/>
              </w:rPr>
              <w:t>畜类、禽类</w:t>
            </w:r>
          </w:p>
        </w:tc>
      </w:tr>
      <w:tr w14:paraId="14B54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981" w:type="dxa"/>
            <w:vAlign w:val="top"/>
          </w:tcPr>
          <w:p w14:paraId="7D78A0BE">
            <w:pPr>
              <w:spacing w:before="53" w:line="220" w:lineRule="auto"/>
              <w:ind w:left="763"/>
              <w:rPr>
                <w:rFonts w:ascii="宋体" w:hAnsi="宋体" w:eastAsia="宋体" w:cs="宋体"/>
                <w:sz w:val="21"/>
                <w:szCs w:val="21"/>
              </w:rPr>
            </w:pPr>
            <w:r>
              <w:rPr>
                <w:rFonts w:ascii="宋体" w:hAnsi="宋体" w:eastAsia="宋体" w:cs="宋体"/>
                <w:spacing w:val="-2"/>
                <w:sz w:val="21"/>
                <w:szCs w:val="21"/>
              </w:rPr>
              <w:t>单次最大处理量</w:t>
            </w:r>
          </w:p>
        </w:tc>
        <w:tc>
          <w:tcPr>
            <w:tcW w:w="5339" w:type="dxa"/>
            <w:vAlign w:val="top"/>
          </w:tcPr>
          <w:p w14:paraId="4DD7C5C1">
            <w:pPr>
              <w:pStyle w:val="6"/>
              <w:spacing w:before="53" w:line="212" w:lineRule="auto"/>
              <w:ind w:left="2240"/>
              <w:rPr>
                <w:rFonts w:ascii="宋体" w:hAnsi="宋体" w:eastAsia="宋体" w:cs="宋体"/>
              </w:rPr>
            </w:pPr>
            <w:r>
              <w:rPr>
                <w:spacing w:val="-3"/>
              </w:rPr>
              <w:t>1000kg/</w:t>
            </w:r>
            <w:r>
              <w:rPr>
                <w:rFonts w:ascii="宋体" w:hAnsi="宋体" w:eastAsia="宋体" w:cs="宋体"/>
                <w:spacing w:val="-3"/>
              </w:rPr>
              <w:t>批</w:t>
            </w:r>
          </w:p>
        </w:tc>
      </w:tr>
      <w:tr w14:paraId="5594A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2C906161">
            <w:pPr>
              <w:spacing w:before="52" w:line="220" w:lineRule="auto"/>
              <w:ind w:left="868"/>
              <w:rPr>
                <w:rFonts w:ascii="宋体" w:hAnsi="宋体" w:eastAsia="宋体" w:cs="宋体"/>
                <w:sz w:val="21"/>
                <w:szCs w:val="21"/>
              </w:rPr>
            </w:pPr>
            <w:r>
              <w:rPr>
                <w:rFonts w:ascii="宋体" w:hAnsi="宋体" w:eastAsia="宋体" w:cs="宋体"/>
                <w:spacing w:val="-2"/>
                <w:sz w:val="21"/>
                <w:szCs w:val="21"/>
              </w:rPr>
              <w:t>单次处理周期</w:t>
            </w:r>
          </w:p>
        </w:tc>
        <w:tc>
          <w:tcPr>
            <w:tcW w:w="5339" w:type="dxa"/>
            <w:vAlign w:val="top"/>
          </w:tcPr>
          <w:p w14:paraId="4034547B">
            <w:pPr>
              <w:pStyle w:val="6"/>
              <w:spacing w:before="84" w:line="192" w:lineRule="auto"/>
              <w:ind w:left="2512"/>
            </w:pPr>
            <w:r>
              <w:rPr>
                <w:spacing w:val="-2"/>
              </w:rPr>
              <w:t>24h</w:t>
            </w:r>
          </w:p>
        </w:tc>
      </w:tr>
      <w:tr w14:paraId="7C825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1" w:type="dxa"/>
            <w:vAlign w:val="top"/>
          </w:tcPr>
          <w:p w14:paraId="2569CA2A">
            <w:pPr>
              <w:spacing w:before="54" w:line="220" w:lineRule="auto"/>
              <w:ind w:left="1077"/>
              <w:rPr>
                <w:rFonts w:ascii="宋体" w:hAnsi="宋体" w:eastAsia="宋体" w:cs="宋体"/>
                <w:sz w:val="21"/>
                <w:szCs w:val="21"/>
              </w:rPr>
            </w:pPr>
            <w:r>
              <w:rPr>
                <w:rFonts w:ascii="宋体" w:hAnsi="宋体" w:eastAsia="宋体" w:cs="宋体"/>
                <w:spacing w:val="-2"/>
                <w:sz w:val="21"/>
                <w:szCs w:val="21"/>
              </w:rPr>
              <w:t>适用场所</w:t>
            </w:r>
          </w:p>
        </w:tc>
        <w:tc>
          <w:tcPr>
            <w:tcW w:w="5339" w:type="dxa"/>
            <w:vAlign w:val="top"/>
          </w:tcPr>
          <w:p w14:paraId="7B03CFCF">
            <w:pPr>
              <w:spacing w:before="53" w:line="220" w:lineRule="auto"/>
              <w:ind w:left="1309"/>
              <w:rPr>
                <w:rFonts w:ascii="宋体" w:hAnsi="宋体" w:eastAsia="宋体" w:cs="宋体"/>
                <w:sz w:val="21"/>
                <w:szCs w:val="21"/>
              </w:rPr>
            </w:pPr>
            <w:r>
              <w:rPr>
                <w:rFonts w:ascii="宋体" w:hAnsi="宋体" w:eastAsia="宋体" w:cs="宋体"/>
                <w:spacing w:val="-1"/>
                <w:sz w:val="21"/>
                <w:szCs w:val="21"/>
              </w:rPr>
              <w:t>规模化猪场、区域处理中心等</w:t>
            </w:r>
          </w:p>
        </w:tc>
      </w:tr>
      <w:tr w14:paraId="09DC9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981" w:type="dxa"/>
            <w:vAlign w:val="top"/>
          </w:tcPr>
          <w:p w14:paraId="56C0837D">
            <w:pPr>
              <w:spacing w:before="54" w:line="220" w:lineRule="auto"/>
              <w:ind w:left="867"/>
              <w:rPr>
                <w:rFonts w:ascii="宋体" w:hAnsi="宋体" w:eastAsia="宋体" w:cs="宋体"/>
                <w:sz w:val="21"/>
                <w:szCs w:val="21"/>
              </w:rPr>
            </w:pPr>
            <w:r>
              <w:rPr>
                <w:rFonts w:ascii="宋体" w:hAnsi="宋体" w:eastAsia="宋体" w:cs="宋体"/>
                <w:spacing w:val="-2"/>
                <w:sz w:val="21"/>
                <w:szCs w:val="21"/>
              </w:rPr>
              <w:t>物料处理温度</w:t>
            </w:r>
          </w:p>
        </w:tc>
        <w:tc>
          <w:tcPr>
            <w:tcW w:w="5339" w:type="dxa"/>
            <w:vAlign w:val="top"/>
          </w:tcPr>
          <w:p w14:paraId="2E73BFB2">
            <w:pPr>
              <w:spacing w:before="54" w:line="220" w:lineRule="auto"/>
              <w:ind w:left="364"/>
              <w:rPr>
                <w:rFonts w:ascii="宋体" w:hAnsi="宋体" w:eastAsia="宋体" w:cs="宋体"/>
                <w:sz w:val="21"/>
                <w:szCs w:val="21"/>
              </w:rPr>
            </w:pPr>
            <w:r>
              <w:rPr>
                <w:rFonts w:ascii="宋体" w:hAnsi="宋体" w:eastAsia="宋体" w:cs="宋体"/>
                <w:spacing w:val="-1"/>
                <w:sz w:val="21"/>
                <w:szCs w:val="21"/>
              </w:rPr>
              <w:t>符合《病死及病害动物无害化处理技术规范》要求</w:t>
            </w:r>
          </w:p>
        </w:tc>
      </w:tr>
    </w:tbl>
    <w:p w14:paraId="47754457">
      <w:pPr>
        <w:pStyle w:val="2"/>
        <w:spacing w:line="106" w:lineRule="exact"/>
        <w:rPr>
          <w:sz w:val="9"/>
        </w:rPr>
      </w:pPr>
    </w:p>
    <w:p w14:paraId="6E478BCE">
      <w:pPr>
        <w:spacing w:line="106" w:lineRule="exact"/>
        <w:rPr>
          <w:sz w:val="9"/>
          <w:szCs w:val="9"/>
        </w:rPr>
        <w:sectPr>
          <w:headerReference r:id="rId178" w:type="default"/>
          <w:footerReference r:id="rId179" w:type="default"/>
          <w:pgSz w:w="11905" w:h="16840"/>
          <w:pgMar w:top="1168" w:right="1712" w:bottom="1409" w:left="1770" w:header="828" w:footer="1244" w:gutter="0"/>
          <w:cols w:space="720" w:num="1"/>
        </w:sectPr>
      </w:pPr>
    </w:p>
    <w:p w14:paraId="16DC1349">
      <w:pPr>
        <w:pStyle w:val="2"/>
        <w:spacing w:line="304" w:lineRule="auto"/>
      </w:pPr>
    </w:p>
    <w:p w14:paraId="553A172C">
      <w:pPr>
        <w:spacing w:before="78" w:line="360" w:lineRule="auto"/>
        <w:ind w:left="35" w:right="113" w:firstLine="488"/>
        <w:rPr>
          <w:rFonts w:ascii="楷体" w:hAnsi="楷体" w:eastAsia="楷体" w:cs="楷体"/>
          <w:sz w:val="24"/>
          <w:szCs w:val="24"/>
        </w:rPr>
      </w:pPr>
      <w:r>
        <w:rPr>
          <w:rFonts w:ascii="楷体" w:hAnsi="楷体" w:eastAsia="楷体" w:cs="楷体"/>
          <w:b/>
          <w:bCs/>
          <w:spacing w:val="1"/>
          <w:sz w:val="24"/>
          <w:szCs w:val="24"/>
        </w:rPr>
        <w:t>评价要求，在没有发生重大疫情时，病死猪应及时送无害化处理中心（内江市环态动物无害化处置有限责任公司）进行处理。项目内设病死猪无害化降解处理机作应急备用，当发生重大疫情时，为避</w:t>
      </w:r>
      <w:r>
        <w:rPr>
          <w:rFonts w:ascii="楷体" w:hAnsi="楷体" w:eastAsia="楷体" w:cs="楷体"/>
          <w:b/>
          <w:bCs/>
          <w:sz w:val="24"/>
          <w:szCs w:val="24"/>
        </w:rPr>
        <w:t>免运输过程中交叉影响启动。</w:t>
      </w:r>
      <w:r>
        <w:rPr>
          <w:rFonts w:ascii="楷体" w:hAnsi="楷体" w:eastAsia="楷体" w:cs="楷体"/>
          <w:b/>
          <w:bCs/>
          <w:spacing w:val="1"/>
          <w:sz w:val="24"/>
          <w:szCs w:val="24"/>
        </w:rPr>
        <w:t>病死猪经无害化降解处理机处理后与粪渣一起作为有机肥原料交有机肥企业生</w:t>
      </w:r>
      <w:r>
        <w:rPr>
          <w:rFonts w:ascii="楷体" w:hAnsi="楷体" w:eastAsia="楷体" w:cs="楷体"/>
          <w:b/>
          <w:bCs/>
          <w:spacing w:val="-8"/>
          <w:sz w:val="24"/>
          <w:szCs w:val="24"/>
        </w:rPr>
        <w:t>产有机肥。</w:t>
      </w:r>
    </w:p>
    <w:p w14:paraId="485C2E6D">
      <w:pPr>
        <w:spacing w:before="2" w:line="217" w:lineRule="auto"/>
        <w:ind w:left="517"/>
        <w:rPr>
          <w:rFonts w:ascii="宋体" w:hAnsi="宋体" w:eastAsia="宋体" w:cs="宋体"/>
          <w:sz w:val="24"/>
          <w:szCs w:val="24"/>
        </w:rPr>
      </w:pPr>
      <w:r>
        <w:rPr>
          <w:rFonts w:ascii="宋体" w:hAnsi="宋体" w:eastAsia="宋体" w:cs="宋体"/>
          <w:spacing w:val="-2"/>
          <w:sz w:val="24"/>
          <w:szCs w:val="24"/>
        </w:rPr>
        <w:t>③相关要求</w:t>
      </w:r>
    </w:p>
    <w:p w14:paraId="7FD606C0">
      <w:pPr>
        <w:spacing w:before="185" w:line="360" w:lineRule="auto"/>
        <w:ind w:left="40" w:right="123" w:firstLine="480"/>
        <w:rPr>
          <w:rFonts w:ascii="宋体" w:hAnsi="宋体" w:eastAsia="宋体" w:cs="宋体"/>
          <w:sz w:val="24"/>
          <w:szCs w:val="24"/>
        </w:rPr>
      </w:pPr>
      <w:r>
        <w:rPr>
          <w:rFonts w:ascii="宋体" w:hAnsi="宋体" w:eastAsia="宋体" w:cs="宋体"/>
          <w:spacing w:val="-4"/>
          <w:sz w:val="24"/>
          <w:szCs w:val="24"/>
        </w:rPr>
        <w:t>本项目产生的病死猪收集转运要求要符合《病死及病害动物无害化处理技术</w:t>
      </w:r>
      <w:r>
        <w:rPr>
          <w:rFonts w:ascii="宋体" w:hAnsi="宋体" w:eastAsia="宋体" w:cs="宋体"/>
          <w:spacing w:val="-5"/>
          <w:sz w:val="24"/>
          <w:szCs w:val="24"/>
        </w:rPr>
        <w:t>规范》（农医发</w:t>
      </w:r>
      <w:r>
        <w:rPr>
          <w:rFonts w:ascii="Times New Roman" w:hAnsi="Times New Roman" w:eastAsia="Times New Roman" w:cs="Times New Roman"/>
          <w:spacing w:val="-5"/>
          <w:sz w:val="24"/>
          <w:szCs w:val="24"/>
        </w:rPr>
        <w:t>[</w:t>
      </w:r>
      <w:r>
        <w:fldChar w:fldCharType="begin"/>
      </w:r>
      <w:r>
        <w:instrText xml:space="preserve"> HYPERLINK \l "bookmark148" </w:instrText>
      </w:r>
      <w:r>
        <w:fldChar w:fldCharType="separate"/>
      </w:r>
      <w:r>
        <w:rPr>
          <w:rFonts w:ascii="Times New Roman" w:hAnsi="Times New Roman" w:eastAsia="Times New Roman" w:cs="Times New Roman"/>
          <w:spacing w:val="-5"/>
          <w:sz w:val="24"/>
          <w:szCs w:val="24"/>
        </w:rPr>
        <w:t>2017</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]25</w:t>
      </w:r>
      <w:r>
        <w:rPr>
          <w:rFonts w:ascii="宋体" w:hAnsi="宋体" w:eastAsia="宋体" w:cs="宋体"/>
          <w:spacing w:val="-5"/>
          <w:sz w:val="24"/>
          <w:szCs w:val="24"/>
        </w:rPr>
        <w:t>号）的要求，包装、暂存及转运具体</w:t>
      </w:r>
      <w:r>
        <w:rPr>
          <w:rFonts w:ascii="宋体" w:hAnsi="宋体" w:eastAsia="宋体" w:cs="宋体"/>
          <w:spacing w:val="-6"/>
          <w:sz w:val="24"/>
          <w:szCs w:val="24"/>
        </w:rPr>
        <w:t>要求如下：</w:t>
      </w:r>
    </w:p>
    <w:p w14:paraId="7FFF625D">
      <w:pPr>
        <w:spacing w:line="220" w:lineRule="auto"/>
        <w:ind w:left="515"/>
        <w:rPr>
          <w:rFonts w:ascii="宋体" w:hAnsi="宋体" w:eastAsia="宋体" w:cs="宋体"/>
          <w:sz w:val="24"/>
          <w:szCs w:val="24"/>
        </w:rPr>
      </w:pPr>
      <w:r>
        <w:rPr>
          <w:rFonts w:ascii="Times New Roman" w:hAnsi="Times New Roman" w:eastAsia="Times New Roman" w:cs="Times New Roman"/>
          <w:spacing w:val="-4"/>
          <w:sz w:val="24"/>
          <w:szCs w:val="24"/>
        </w:rPr>
        <w:t>I</w:t>
      </w:r>
      <w:r>
        <w:rPr>
          <w:rFonts w:ascii="宋体" w:hAnsi="宋体" w:eastAsia="宋体" w:cs="宋体"/>
          <w:spacing w:val="-4"/>
          <w:sz w:val="24"/>
          <w:szCs w:val="24"/>
        </w:rPr>
        <w:t>、包装</w:t>
      </w:r>
    </w:p>
    <w:p w14:paraId="36A08E2F">
      <w:pPr>
        <w:spacing w:before="181" w:line="360" w:lineRule="auto"/>
        <w:ind w:left="39" w:right="48" w:firstLine="480"/>
        <w:rPr>
          <w:rFonts w:ascii="宋体" w:hAnsi="宋体" w:eastAsia="宋体" w:cs="宋体"/>
          <w:sz w:val="24"/>
          <w:szCs w:val="24"/>
        </w:rPr>
      </w:pPr>
      <w:r>
        <w:rPr>
          <w:rFonts w:ascii="宋体" w:hAnsi="宋体" w:eastAsia="宋体" w:cs="宋体"/>
          <w:spacing w:val="-7"/>
          <w:sz w:val="24"/>
          <w:szCs w:val="24"/>
        </w:rPr>
        <w:t>包装材料应符合密闭、防水、防渗、防破损、耐腐蚀等要求； 包装材料的容</w:t>
      </w:r>
      <w:r>
        <w:rPr>
          <w:rFonts w:ascii="宋体" w:hAnsi="宋体" w:eastAsia="宋体" w:cs="宋体"/>
          <w:spacing w:val="-8"/>
          <w:sz w:val="24"/>
          <w:szCs w:val="24"/>
        </w:rPr>
        <w:t>积、尺寸和数量应与需处理病死及病害动物和相关动物产品的体积、数量相匹配；</w:t>
      </w:r>
      <w:r>
        <w:rPr>
          <w:rFonts w:ascii="宋体" w:hAnsi="宋体" w:eastAsia="宋体" w:cs="宋体"/>
          <w:spacing w:val="-3"/>
          <w:sz w:val="24"/>
          <w:szCs w:val="24"/>
        </w:rPr>
        <w:t>包装后应进行密封；使用后，一次性包装材料应作销毁处理，可循环使用的包装</w:t>
      </w:r>
      <w:r>
        <w:rPr>
          <w:rFonts w:ascii="宋体" w:hAnsi="宋体" w:eastAsia="宋体" w:cs="宋体"/>
          <w:spacing w:val="-4"/>
          <w:sz w:val="24"/>
          <w:szCs w:val="24"/>
        </w:rPr>
        <w:t>材料应进行清洗消毒。</w:t>
      </w:r>
    </w:p>
    <w:p w14:paraId="3747CDC5">
      <w:pPr>
        <w:spacing w:line="219" w:lineRule="auto"/>
        <w:ind w:left="515"/>
        <w:rPr>
          <w:rFonts w:ascii="宋体" w:hAnsi="宋体" w:eastAsia="宋体" w:cs="宋体"/>
          <w:sz w:val="24"/>
          <w:szCs w:val="24"/>
        </w:rPr>
      </w:pPr>
      <w:r>
        <w:rPr>
          <w:rFonts w:ascii="Times New Roman" w:hAnsi="Times New Roman" w:eastAsia="Times New Roman" w:cs="Times New Roman"/>
          <w:spacing w:val="-3"/>
          <w:sz w:val="24"/>
          <w:szCs w:val="24"/>
        </w:rPr>
        <w:t>II</w:t>
      </w:r>
      <w:r>
        <w:rPr>
          <w:rFonts w:ascii="宋体" w:hAnsi="宋体" w:eastAsia="宋体" w:cs="宋体"/>
          <w:spacing w:val="-3"/>
          <w:sz w:val="24"/>
          <w:szCs w:val="24"/>
        </w:rPr>
        <w:t>、暂存</w:t>
      </w:r>
    </w:p>
    <w:p w14:paraId="6CCA599F">
      <w:pPr>
        <w:spacing w:before="183" w:line="360" w:lineRule="auto"/>
        <w:ind w:left="61" w:right="113" w:firstLine="464"/>
        <w:rPr>
          <w:rFonts w:ascii="宋体" w:hAnsi="宋体" w:eastAsia="宋体" w:cs="宋体"/>
          <w:sz w:val="24"/>
          <w:szCs w:val="24"/>
        </w:rPr>
      </w:pPr>
      <w:r>
        <w:rPr>
          <w:rFonts w:ascii="宋体" w:hAnsi="宋体" w:eastAsia="宋体" w:cs="宋体"/>
          <w:spacing w:val="-7"/>
          <w:sz w:val="24"/>
          <w:szCs w:val="24"/>
        </w:rPr>
        <w:t>暂存场所应能防水、防渗、防鼠、防盗， 易于清洗和消毒；暂存场所应设置</w:t>
      </w:r>
      <w:r>
        <w:rPr>
          <w:rFonts w:ascii="宋体" w:hAnsi="宋体" w:eastAsia="宋体" w:cs="宋体"/>
          <w:spacing w:val="-3"/>
          <w:sz w:val="24"/>
          <w:szCs w:val="24"/>
        </w:rPr>
        <w:t>明显警示标识；应定期对暂存场所及周边环境进行清洗消毒。</w:t>
      </w:r>
    </w:p>
    <w:p w14:paraId="11EEFC07">
      <w:pPr>
        <w:spacing w:line="220" w:lineRule="auto"/>
        <w:ind w:left="515"/>
        <w:rPr>
          <w:rFonts w:ascii="宋体" w:hAnsi="宋体" w:eastAsia="宋体" w:cs="宋体"/>
          <w:sz w:val="24"/>
          <w:szCs w:val="24"/>
        </w:rPr>
      </w:pPr>
      <w:r>
        <w:rPr>
          <w:rFonts w:ascii="Times New Roman" w:hAnsi="Times New Roman" w:eastAsia="Times New Roman" w:cs="Times New Roman"/>
          <w:spacing w:val="-2"/>
          <w:sz w:val="24"/>
          <w:szCs w:val="24"/>
        </w:rPr>
        <w:t>III</w:t>
      </w:r>
      <w:r>
        <w:rPr>
          <w:rFonts w:ascii="宋体" w:hAnsi="宋体" w:eastAsia="宋体" w:cs="宋体"/>
          <w:spacing w:val="-2"/>
          <w:sz w:val="24"/>
          <w:szCs w:val="24"/>
        </w:rPr>
        <w:t>、转运</w:t>
      </w:r>
    </w:p>
    <w:p w14:paraId="310598D6">
      <w:pPr>
        <w:spacing w:before="180" w:line="361" w:lineRule="auto"/>
        <w:ind w:left="39" w:right="112" w:firstLine="479"/>
        <w:rPr>
          <w:rFonts w:ascii="宋体" w:hAnsi="宋体" w:eastAsia="宋体" w:cs="宋体"/>
          <w:sz w:val="24"/>
          <w:szCs w:val="24"/>
        </w:rPr>
      </w:pPr>
      <w:r>
        <w:rPr>
          <w:rFonts w:ascii="宋体" w:hAnsi="宋体" w:eastAsia="宋体" w:cs="宋体"/>
          <w:spacing w:val="-2"/>
          <w:sz w:val="24"/>
          <w:szCs w:val="24"/>
        </w:rPr>
        <w:t>选择符合</w:t>
      </w:r>
      <w:r>
        <w:rPr>
          <w:rFonts w:ascii="Times New Roman" w:hAnsi="Times New Roman" w:eastAsia="Times New Roman" w:cs="Times New Roman"/>
          <w:spacing w:val="-2"/>
          <w:sz w:val="24"/>
          <w:szCs w:val="24"/>
        </w:rPr>
        <w:t>GB19217</w:t>
      </w:r>
      <w:r>
        <w:rPr>
          <w:rFonts w:ascii="宋体" w:hAnsi="宋体" w:eastAsia="宋体" w:cs="宋体"/>
          <w:spacing w:val="-2"/>
          <w:sz w:val="24"/>
          <w:szCs w:val="24"/>
        </w:rPr>
        <w:t>条件的车辆或专用封闭厢式运载车辆，车厢</w:t>
      </w:r>
      <w:r>
        <w:rPr>
          <w:rFonts w:ascii="宋体" w:hAnsi="宋体" w:eastAsia="宋体" w:cs="宋体"/>
          <w:spacing w:val="-3"/>
          <w:sz w:val="24"/>
          <w:szCs w:val="24"/>
        </w:rPr>
        <w:t>四壁及底部应使用耐腐蚀材料，并采取防渗措施；专用转运车辆应加施明显标识，并加装车载</w:t>
      </w:r>
      <w:r>
        <w:rPr>
          <w:rFonts w:ascii="宋体" w:hAnsi="宋体" w:eastAsia="宋体" w:cs="宋体"/>
          <w:spacing w:val="-6"/>
          <w:sz w:val="24"/>
          <w:szCs w:val="24"/>
        </w:rPr>
        <w:t>定位系统，记录转运时间和路径等信息；车辆驶离暂存、养</w:t>
      </w:r>
      <w:r>
        <w:rPr>
          <w:rFonts w:ascii="宋体" w:hAnsi="宋体" w:eastAsia="宋体" w:cs="宋体"/>
          <w:spacing w:val="-7"/>
          <w:sz w:val="24"/>
          <w:szCs w:val="24"/>
        </w:rPr>
        <w:t>殖等场所前， 应对车</w:t>
      </w:r>
      <w:r>
        <w:rPr>
          <w:rFonts w:ascii="宋体" w:hAnsi="宋体" w:eastAsia="宋体" w:cs="宋体"/>
          <w:spacing w:val="-3"/>
          <w:sz w:val="24"/>
          <w:szCs w:val="24"/>
        </w:rPr>
        <w:t>轮及车厢外部进行消毒；转运车辆应尽量避免进入人口密集区；若转运途中发生</w:t>
      </w:r>
      <w:r>
        <w:rPr>
          <w:rFonts w:ascii="宋体" w:hAnsi="宋体" w:eastAsia="宋体" w:cs="宋体"/>
          <w:spacing w:val="-6"/>
          <w:sz w:val="24"/>
          <w:szCs w:val="24"/>
        </w:rPr>
        <w:t>渗漏，应重新包装、消毒后运输； 卸载后，应对转运车辆</w:t>
      </w:r>
      <w:r>
        <w:rPr>
          <w:rFonts w:ascii="宋体" w:hAnsi="宋体" w:eastAsia="宋体" w:cs="宋体"/>
          <w:spacing w:val="-7"/>
          <w:sz w:val="24"/>
          <w:szCs w:val="24"/>
        </w:rPr>
        <w:t>及相关工具等进行彻底清洗、消毒。</w:t>
      </w:r>
    </w:p>
    <w:p w14:paraId="393055C5">
      <w:pPr>
        <w:spacing w:before="5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2.2.2.7 </w:t>
      </w:r>
      <w:r>
        <w:rPr>
          <w:rFonts w:ascii="宋体" w:hAnsi="宋体" w:eastAsia="宋体" w:cs="宋体"/>
          <w:b/>
          <w:bCs/>
          <w:spacing w:val="5"/>
          <w:sz w:val="27"/>
          <w:szCs w:val="27"/>
        </w:rPr>
        <w:t>猪舍防疫及消毒</w:t>
      </w:r>
    </w:p>
    <w:p w14:paraId="416E7B62">
      <w:pPr>
        <w:spacing w:before="236"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）未发生疫情时的预防措施</w:t>
      </w:r>
    </w:p>
    <w:p w14:paraId="028429B8">
      <w:pPr>
        <w:spacing w:before="182" w:line="360" w:lineRule="auto"/>
        <w:ind w:left="39" w:right="112" w:firstLine="479"/>
        <w:rPr>
          <w:rFonts w:ascii="宋体" w:hAnsi="宋体" w:eastAsia="宋体" w:cs="宋体"/>
          <w:sz w:val="24"/>
          <w:szCs w:val="24"/>
        </w:rPr>
      </w:pPr>
      <w:r>
        <w:rPr>
          <w:rFonts w:ascii="宋体" w:hAnsi="宋体" w:eastAsia="宋体" w:cs="宋体"/>
          <w:spacing w:val="-3"/>
          <w:sz w:val="24"/>
          <w:szCs w:val="24"/>
        </w:rPr>
        <w:t>①建立兽医卫生防疫制度和承包责任制度，由主管兽医负责监督</w:t>
      </w:r>
      <w:r>
        <w:rPr>
          <w:rFonts w:ascii="宋体" w:hAnsi="宋体" w:eastAsia="宋体" w:cs="宋体"/>
          <w:spacing w:val="-4"/>
          <w:sz w:val="24"/>
          <w:szCs w:val="24"/>
        </w:rPr>
        <w:t>执行，建立猪舍日记、疫情报告制度等。</w:t>
      </w:r>
    </w:p>
    <w:p w14:paraId="75BFDBF3">
      <w:pPr>
        <w:spacing w:line="217" w:lineRule="auto"/>
        <w:ind w:left="517"/>
        <w:rPr>
          <w:rFonts w:ascii="宋体" w:hAnsi="宋体" w:eastAsia="宋体" w:cs="宋体"/>
          <w:sz w:val="24"/>
          <w:szCs w:val="24"/>
        </w:rPr>
      </w:pPr>
      <w:r>
        <w:rPr>
          <w:rFonts w:ascii="宋体" w:hAnsi="宋体" w:eastAsia="宋体" w:cs="宋体"/>
          <w:spacing w:val="-2"/>
          <w:sz w:val="24"/>
          <w:szCs w:val="24"/>
        </w:rPr>
        <w:t>②生产区大门设专职门卫，负责来往人员、车辆的消毒工作。</w:t>
      </w:r>
    </w:p>
    <w:p w14:paraId="6F856699">
      <w:pPr>
        <w:spacing w:before="186" w:line="217" w:lineRule="auto"/>
        <w:jc w:val="right"/>
        <w:rPr>
          <w:rFonts w:ascii="宋体" w:hAnsi="宋体" w:eastAsia="宋体" w:cs="宋体"/>
          <w:sz w:val="24"/>
          <w:szCs w:val="24"/>
        </w:rPr>
      </w:pPr>
      <w:r>
        <w:rPr>
          <w:rFonts w:ascii="宋体" w:hAnsi="宋体" w:eastAsia="宋体" w:cs="宋体"/>
          <w:sz w:val="24"/>
          <w:szCs w:val="24"/>
        </w:rPr>
        <w:t>③平面布置结合农业部《标准化规模养猪场建设规范》及《规模猪场建设》</w:t>
      </w:r>
    </w:p>
    <w:p w14:paraId="6C8E109B">
      <w:pPr>
        <w:spacing w:line="217" w:lineRule="auto"/>
        <w:rPr>
          <w:rFonts w:ascii="宋体" w:hAnsi="宋体" w:eastAsia="宋体" w:cs="宋体"/>
          <w:sz w:val="24"/>
          <w:szCs w:val="24"/>
        </w:rPr>
        <w:sectPr>
          <w:headerReference r:id="rId180" w:type="default"/>
          <w:footerReference r:id="rId181" w:type="default"/>
          <w:pgSz w:w="11905" w:h="16840"/>
          <w:pgMar w:top="1168" w:right="1685" w:bottom="1409" w:left="1770" w:header="828" w:footer="1244" w:gutter="0"/>
          <w:cols w:space="720" w:num="1"/>
        </w:sectPr>
      </w:pPr>
    </w:p>
    <w:p w14:paraId="2EB8FDBA">
      <w:pPr>
        <w:pStyle w:val="2"/>
        <w:spacing w:line="306" w:lineRule="auto"/>
      </w:pPr>
    </w:p>
    <w:p w14:paraId="6D0A5093">
      <w:pPr>
        <w:spacing w:before="78" w:line="360" w:lineRule="auto"/>
        <w:ind w:left="37" w:right="18"/>
        <w:jc w:val="both"/>
        <w:rPr>
          <w:rFonts w:ascii="宋体" w:hAnsi="宋体" w:eastAsia="宋体" w:cs="宋体"/>
          <w:sz w:val="24"/>
          <w:szCs w:val="24"/>
        </w:rPr>
      </w:pPr>
      <w:r>
        <w:rPr>
          <w:rFonts w:ascii="宋体" w:hAnsi="宋体" w:eastAsia="宋体" w:cs="宋体"/>
          <w:spacing w:val="-6"/>
          <w:sz w:val="24"/>
          <w:szCs w:val="24"/>
        </w:rPr>
        <w:t>进行设计建设。建立隔离区， 严禁场内兽医人员在场外兼职，严</w:t>
      </w:r>
      <w:r>
        <w:rPr>
          <w:rFonts w:ascii="宋体" w:hAnsi="宋体" w:eastAsia="宋体" w:cs="宋体"/>
          <w:spacing w:val="-7"/>
          <w:sz w:val="24"/>
          <w:szCs w:val="24"/>
        </w:rPr>
        <w:t>禁场外兽医进入</w:t>
      </w:r>
      <w:r>
        <w:rPr>
          <w:rFonts w:ascii="宋体" w:hAnsi="宋体" w:eastAsia="宋体" w:cs="宋体"/>
          <w:spacing w:val="-8"/>
          <w:sz w:val="24"/>
          <w:szCs w:val="24"/>
        </w:rPr>
        <w:t>生产区诊治疾病，确因需要必须从场外请进的兽医，进入隔离区应更换服装鞋帽，</w:t>
      </w:r>
      <w:r>
        <w:rPr>
          <w:rFonts w:ascii="宋体" w:hAnsi="宋体" w:eastAsia="宋体" w:cs="宋体"/>
          <w:spacing w:val="-3"/>
          <w:sz w:val="24"/>
          <w:szCs w:val="24"/>
        </w:rPr>
        <w:t>进行严格消毒后，方可进入生产区。</w:t>
      </w:r>
    </w:p>
    <w:p w14:paraId="187805E4">
      <w:pPr>
        <w:spacing w:before="2" w:line="359" w:lineRule="auto"/>
        <w:ind w:left="41" w:right="85" w:firstLine="476"/>
        <w:rPr>
          <w:rFonts w:ascii="宋体" w:hAnsi="宋体" w:eastAsia="宋体" w:cs="宋体"/>
          <w:sz w:val="24"/>
          <w:szCs w:val="24"/>
        </w:rPr>
      </w:pPr>
      <w:r>
        <w:rPr>
          <w:rFonts w:ascii="宋体" w:hAnsi="宋体" w:eastAsia="宋体" w:cs="宋体"/>
          <w:spacing w:val="-3"/>
          <w:sz w:val="24"/>
          <w:szCs w:val="24"/>
        </w:rPr>
        <w:t>④饲养人员要坚守岗位，不得串舍。用具和所有设备都必须固定在</w:t>
      </w:r>
      <w:r>
        <w:rPr>
          <w:rFonts w:ascii="宋体" w:hAnsi="宋体" w:eastAsia="宋体" w:cs="宋体"/>
          <w:spacing w:val="-4"/>
          <w:sz w:val="24"/>
          <w:szCs w:val="24"/>
        </w:rPr>
        <w:t>本舍内使</w:t>
      </w:r>
      <w:r>
        <w:rPr>
          <w:rFonts w:ascii="宋体" w:hAnsi="宋体" w:eastAsia="宋体" w:cs="宋体"/>
          <w:spacing w:val="-2"/>
          <w:sz w:val="24"/>
          <w:szCs w:val="24"/>
        </w:rPr>
        <w:t>用。要经常搞好舍内外卫生，定期做好消毒工作。</w:t>
      </w:r>
    </w:p>
    <w:p w14:paraId="624D4AAA">
      <w:pPr>
        <w:spacing w:before="2" w:line="359" w:lineRule="auto"/>
        <w:ind w:left="38" w:right="85" w:firstLine="479"/>
        <w:rPr>
          <w:rFonts w:ascii="宋体" w:hAnsi="宋体" w:eastAsia="宋体" w:cs="宋体"/>
          <w:sz w:val="24"/>
          <w:szCs w:val="24"/>
        </w:rPr>
      </w:pPr>
      <w:r>
        <w:rPr>
          <w:rFonts w:ascii="宋体" w:hAnsi="宋体" w:eastAsia="宋体" w:cs="宋体"/>
          <w:spacing w:val="-3"/>
          <w:sz w:val="24"/>
          <w:szCs w:val="24"/>
        </w:rPr>
        <w:t>⑤猪舍保持通风良好，光线充足，室内干燥；猪舍内外每天清扫一</w:t>
      </w:r>
      <w:r>
        <w:rPr>
          <w:rFonts w:ascii="宋体" w:hAnsi="宋体" w:eastAsia="宋体" w:cs="宋体"/>
          <w:spacing w:val="-4"/>
          <w:sz w:val="24"/>
          <w:szCs w:val="24"/>
        </w:rPr>
        <w:t>次，所用</w:t>
      </w:r>
      <w:r>
        <w:rPr>
          <w:rFonts w:ascii="宋体" w:hAnsi="宋体" w:eastAsia="宋体" w:cs="宋体"/>
          <w:spacing w:val="-3"/>
          <w:sz w:val="24"/>
          <w:szCs w:val="24"/>
        </w:rPr>
        <w:t>饲养用具应定期清洗消毒，经常保持清洁。</w:t>
      </w:r>
    </w:p>
    <w:p w14:paraId="7BD7909E">
      <w:pPr>
        <w:spacing w:line="217" w:lineRule="auto"/>
        <w:ind w:left="517"/>
        <w:rPr>
          <w:rFonts w:ascii="宋体" w:hAnsi="宋体" w:eastAsia="宋体" w:cs="宋体"/>
          <w:sz w:val="24"/>
          <w:szCs w:val="24"/>
        </w:rPr>
      </w:pPr>
      <w:r>
        <w:rPr>
          <w:rFonts w:ascii="宋体" w:hAnsi="宋体" w:eastAsia="宋体" w:cs="宋体"/>
          <w:spacing w:val="-2"/>
          <w:sz w:val="24"/>
          <w:szCs w:val="24"/>
        </w:rPr>
        <w:t>⑥每年进行</w:t>
      </w:r>
      <w:r>
        <w:rPr>
          <w:rFonts w:ascii="Times New Roman" w:hAnsi="Times New Roman" w:eastAsia="Times New Roman" w:cs="Times New Roman"/>
          <w:spacing w:val="-2"/>
          <w:sz w:val="24"/>
          <w:szCs w:val="24"/>
        </w:rPr>
        <w:t>1~2</w:t>
      </w:r>
      <w:r>
        <w:rPr>
          <w:rFonts w:ascii="宋体" w:hAnsi="宋体" w:eastAsia="宋体" w:cs="宋体"/>
          <w:spacing w:val="-2"/>
          <w:sz w:val="24"/>
          <w:szCs w:val="24"/>
        </w:rPr>
        <w:t>次猪体内、外寄生虫病的驱虫工作。</w:t>
      </w:r>
    </w:p>
    <w:p w14:paraId="11641973">
      <w:pPr>
        <w:spacing w:before="185" w:line="360" w:lineRule="auto"/>
        <w:ind w:left="41" w:right="85" w:firstLine="476"/>
        <w:rPr>
          <w:rFonts w:ascii="宋体" w:hAnsi="宋体" w:eastAsia="宋体" w:cs="宋体"/>
          <w:sz w:val="24"/>
          <w:szCs w:val="24"/>
        </w:rPr>
      </w:pPr>
      <w:r>
        <w:rPr>
          <w:rFonts w:ascii="宋体" w:hAnsi="宋体" w:eastAsia="宋体" w:cs="宋体"/>
          <w:spacing w:val="-7"/>
          <w:sz w:val="24"/>
          <w:szCs w:val="24"/>
        </w:rPr>
        <w:t>⑦猪舍和用具每年至少进行春、秋两次大清扫、消毒， 每月进行一次一般消</w:t>
      </w:r>
      <w:r>
        <w:rPr>
          <w:rFonts w:ascii="宋体" w:hAnsi="宋体" w:eastAsia="宋体" w:cs="宋体"/>
          <w:spacing w:val="-3"/>
          <w:sz w:val="24"/>
          <w:szCs w:val="24"/>
        </w:rPr>
        <w:t>毒。饲养用具消毒后再用清水洗涤晒干后使用。单元猪舍采取“全进全出”的消</w:t>
      </w:r>
      <w:r>
        <w:rPr>
          <w:rFonts w:ascii="宋体" w:hAnsi="宋体" w:eastAsia="宋体" w:cs="宋体"/>
          <w:spacing w:val="-2"/>
          <w:sz w:val="24"/>
          <w:szCs w:val="24"/>
        </w:rPr>
        <w:t>毒方法；每批猪转栏或出栏后彻底大消毒后方可进猪。</w:t>
      </w:r>
    </w:p>
    <w:p w14:paraId="59C8F120">
      <w:pPr>
        <w:spacing w:line="360" w:lineRule="auto"/>
        <w:ind w:left="37" w:right="85" w:firstLine="480"/>
        <w:rPr>
          <w:rFonts w:ascii="宋体" w:hAnsi="宋体" w:eastAsia="宋体" w:cs="宋体"/>
          <w:sz w:val="24"/>
          <w:szCs w:val="24"/>
        </w:rPr>
      </w:pPr>
      <w:r>
        <w:rPr>
          <w:rFonts w:ascii="宋体" w:hAnsi="宋体" w:eastAsia="宋体" w:cs="宋体"/>
          <w:spacing w:val="-5"/>
          <w:sz w:val="24"/>
          <w:szCs w:val="24"/>
        </w:rPr>
        <w:t>⑧兽医人员和饲养人员在工作期间必须穿工作服和工作鞋</w:t>
      </w:r>
      <w:r>
        <w:rPr>
          <w:rFonts w:ascii="宋体" w:hAnsi="宋体" w:eastAsia="宋体" w:cs="宋体"/>
          <w:spacing w:val="-6"/>
          <w:sz w:val="24"/>
          <w:szCs w:val="24"/>
        </w:rPr>
        <w:t>。工作结束，</w:t>
      </w:r>
      <w:r>
        <w:rPr>
          <w:rFonts w:ascii="宋体" w:hAnsi="宋体" w:eastAsia="宋体" w:cs="宋体"/>
          <w:spacing w:val="-50"/>
          <w:sz w:val="24"/>
          <w:szCs w:val="24"/>
        </w:rPr>
        <w:t xml:space="preserve"> </w:t>
      </w:r>
      <w:r>
        <w:rPr>
          <w:rFonts w:ascii="宋体" w:hAnsi="宋体" w:eastAsia="宋体" w:cs="宋体"/>
          <w:spacing w:val="-6"/>
          <w:sz w:val="24"/>
          <w:szCs w:val="24"/>
        </w:rPr>
        <w:t>立即将工作服和工作鞋先留在更衣室内，严禁带出场外，工作服、鞋</w:t>
      </w:r>
      <w:r>
        <w:rPr>
          <w:rFonts w:ascii="宋体" w:hAnsi="宋体" w:eastAsia="宋体" w:cs="宋体"/>
          <w:spacing w:val="-7"/>
          <w:sz w:val="24"/>
          <w:szCs w:val="24"/>
        </w:rPr>
        <w:t>要经常消毒， 保</w:t>
      </w:r>
      <w:r>
        <w:rPr>
          <w:rFonts w:ascii="宋体" w:hAnsi="宋体" w:eastAsia="宋体" w:cs="宋体"/>
          <w:spacing w:val="-8"/>
          <w:sz w:val="24"/>
          <w:szCs w:val="24"/>
        </w:rPr>
        <w:t>持清洁。</w:t>
      </w:r>
    </w:p>
    <w:p w14:paraId="1E717188">
      <w:pPr>
        <w:spacing w:line="360" w:lineRule="auto"/>
        <w:ind w:left="39" w:firstLine="478"/>
        <w:rPr>
          <w:rFonts w:ascii="宋体" w:hAnsi="宋体" w:eastAsia="宋体" w:cs="宋体"/>
          <w:sz w:val="24"/>
          <w:szCs w:val="24"/>
        </w:rPr>
      </w:pPr>
      <w:r>
        <w:rPr>
          <w:rFonts w:ascii="宋体" w:hAnsi="宋体" w:eastAsia="宋体" w:cs="宋体"/>
          <w:spacing w:val="-7"/>
          <w:sz w:val="24"/>
          <w:szCs w:val="24"/>
        </w:rPr>
        <w:t>⑨为确保猪场安全、防止疫病传入， 进场仔猪经当地兽医部门检疫，并签发检疫证明书。进入本场时全身喷雾消毒后方可入舍饲养，并经兽医</w:t>
      </w:r>
      <w:r>
        <w:rPr>
          <w:rFonts w:ascii="宋体" w:hAnsi="宋体" w:eastAsia="宋体" w:cs="宋体"/>
          <w:spacing w:val="-8"/>
          <w:sz w:val="24"/>
          <w:szCs w:val="24"/>
        </w:rPr>
        <w:t>跟踪检验检疫。</w:t>
      </w:r>
    </w:p>
    <w:p w14:paraId="73C4282C">
      <w:pPr>
        <w:spacing w:before="1" w:line="356" w:lineRule="auto"/>
        <w:ind w:left="38" w:right="83" w:firstLine="479"/>
        <w:rPr>
          <w:rFonts w:ascii="宋体" w:hAnsi="宋体" w:eastAsia="宋体" w:cs="宋体"/>
          <w:sz w:val="24"/>
          <w:szCs w:val="24"/>
        </w:rPr>
      </w:pPr>
      <w:r>
        <w:rPr>
          <w:rFonts w:ascii="宋体" w:hAnsi="宋体" w:eastAsia="宋体" w:cs="宋体"/>
          <w:spacing w:val="1"/>
          <w:sz w:val="24"/>
          <w:szCs w:val="24"/>
        </w:rPr>
        <w:t>⑩每周使用</w:t>
      </w:r>
      <w:r>
        <w:rPr>
          <w:rFonts w:ascii="Times New Roman" w:hAnsi="Times New Roman" w:eastAsia="Times New Roman" w:cs="Times New Roman"/>
          <w:spacing w:val="1"/>
          <w:sz w:val="24"/>
          <w:szCs w:val="24"/>
        </w:rPr>
        <w:t>84</w:t>
      </w:r>
      <w:r>
        <w:rPr>
          <w:rFonts w:ascii="宋体" w:hAnsi="宋体" w:eastAsia="宋体" w:cs="宋体"/>
          <w:spacing w:val="1"/>
          <w:sz w:val="24"/>
          <w:szCs w:val="24"/>
        </w:rPr>
        <w:t>消毒液喷雾消毒</w:t>
      </w:r>
      <w:r>
        <w:rPr>
          <w:rFonts w:ascii="Times New Roman" w:hAnsi="Times New Roman" w:eastAsia="Times New Roman" w:cs="Times New Roman"/>
          <w:spacing w:val="1"/>
          <w:sz w:val="24"/>
          <w:szCs w:val="24"/>
        </w:rPr>
        <w:t>1</w:t>
      </w:r>
      <w:r>
        <w:rPr>
          <w:rFonts w:ascii="宋体" w:hAnsi="宋体" w:eastAsia="宋体" w:cs="宋体"/>
          <w:spacing w:val="1"/>
          <w:sz w:val="24"/>
          <w:szCs w:val="24"/>
        </w:rPr>
        <w:t>次；转栏</w:t>
      </w:r>
      <w:r>
        <w:rPr>
          <w:rFonts w:ascii="宋体" w:hAnsi="宋体" w:eastAsia="宋体" w:cs="宋体"/>
          <w:sz w:val="24"/>
          <w:szCs w:val="24"/>
        </w:rPr>
        <w:t>、出栏后的猪舍单元彻底清扫并冲</w:t>
      </w:r>
      <w:r>
        <w:rPr>
          <w:rFonts w:ascii="宋体" w:hAnsi="宋体" w:eastAsia="宋体" w:cs="宋体"/>
          <w:spacing w:val="-1"/>
          <w:sz w:val="24"/>
          <w:szCs w:val="24"/>
        </w:rPr>
        <w:t>洗后，使用过氧乙酸、次氯酸钠等消毒液喷洒消毒，间隔</w:t>
      </w:r>
      <w:r>
        <w:rPr>
          <w:rFonts w:ascii="Times New Roman" w:hAnsi="Times New Roman" w:eastAsia="Times New Roman" w:cs="Times New Roman"/>
          <w:spacing w:val="-1"/>
          <w:sz w:val="24"/>
          <w:szCs w:val="24"/>
        </w:rPr>
        <w:t>1</w:t>
      </w:r>
      <w:r>
        <w:rPr>
          <w:rFonts w:ascii="宋体" w:hAnsi="宋体" w:eastAsia="宋体" w:cs="宋体"/>
          <w:spacing w:val="-1"/>
          <w:sz w:val="24"/>
          <w:szCs w:val="24"/>
        </w:rPr>
        <w:t>天后重复进行</w:t>
      </w:r>
      <w:r>
        <w:rPr>
          <w:rFonts w:ascii="Times New Roman" w:hAnsi="Times New Roman" w:eastAsia="Times New Roman" w:cs="Times New Roman"/>
          <w:spacing w:val="-1"/>
          <w:sz w:val="24"/>
          <w:szCs w:val="24"/>
        </w:rPr>
        <w:t>1</w:t>
      </w:r>
      <w:r>
        <w:rPr>
          <w:rFonts w:ascii="宋体" w:hAnsi="宋体" w:eastAsia="宋体" w:cs="宋体"/>
          <w:spacing w:val="-1"/>
          <w:sz w:val="24"/>
          <w:szCs w:val="24"/>
        </w:rPr>
        <w:t>次。</w:t>
      </w:r>
    </w:p>
    <w:p w14:paraId="6BD8B553">
      <w:pPr>
        <w:spacing w:before="1" w:line="355" w:lineRule="auto"/>
        <w:ind w:left="39" w:right="84" w:firstLine="482"/>
        <w:rPr>
          <w:rFonts w:ascii="宋体" w:hAnsi="宋体" w:eastAsia="宋体" w:cs="宋体"/>
          <w:sz w:val="24"/>
          <w:szCs w:val="24"/>
        </w:rPr>
      </w:pPr>
      <w:r>
        <w:rPr>
          <w:rFonts w:ascii="Cambria" w:hAnsi="Cambria" w:eastAsia="Cambria" w:cs="Cambria"/>
          <w:spacing w:val="1"/>
          <w:sz w:val="28"/>
          <w:szCs w:val="28"/>
        </w:rPr>
        <w:t>⑩</w:t>
      </w:r>
      <w:r>
        <w:rPr>
          <w:rFonts w:ascii="宋体" w:hAnsi="宋体" w:eastAsia="宋体" w:cs="宋体"/>
          <w:spacing w:val="1"/>
          <w:sz w:val="24"/>
          <w:szCs w:val="24"/>
        </w:rPr>
        <w:t>依据猪场的实际情况，要制定相应的免疫计划，不能千篇一律。严格免</w:t>
      </w:r>
      <w:r>
        <w:rPr>
          <w:rFonts w:ascii="宋体" w:hAnsi="宋体" w:eastAsia="宋体" w:cs="宋体"/>
          <w:spacing w:val="-3"/>
          <w:sz w:val="24"/>
          <w:szCs w:val="24"/>
        </w:rPr>
        <w:t>疫操作规程冻干疫苗应在低温冷冻条件下保存，严禁反复冷冻使用，油剂或水剂</w:t>
      </w:r>
      <w:r>
        <w:rPr>
          <w:rFonts w:ascii="宋体" w:hAnsi="宋体" w:eastAsia="宋体" w:cs="宋体"/>
          <w:spacing w:val="-2"/>
          <w:sz w:val="24"/>
          <w:szCs w:val="24"/>
        </w:rPr>
        <w:t>严防冻结，应在</w:t>
      </w: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条件保存。冻干疫</w:t>
      </w:r>
      <w:r>
        <w:rPr>
          <w:rFonts w:ascii="宋体" w:hAnsi="宋体" w:eastAsia="宋体" w:cs="宋体"/>
          <w:spacing w:val="-3"/>
          <w:sz w:val="24"/>
          <w:szCs w:val="24"/>
        </w:rPr>
        <w:t>苗按要求的方法进行稀释，</w:t>
      </w:r>
      <w:r>
        <w:rPr>
          <w:rFonts w:ascii="宋体" w:hAnsi="宋体" w:eastAsia="宋体" w:cs="宋体"/>
          <w:spacing w:val="-27"/>
          <w:sz w:val="24"/>
          <w:szCs w:val="24"/>
        </w:rPr>
        <w:t xml:space="preserve"> </w:t>
      </w:r>
      <w:r>
        <w:rPr>
          <w:rFonts w:ascii="宋体" w:hAnsi="宋体" w:eastAsia="宋体" w:cs="宋体"/>
          <w:spacing w:val="-3"/>
          <w:sz w:val="24"/>
          <w:szCs w:val="24"/>
        </w:rPr>
        <w:t>稀释后的疫苗应按规定的方法保存和规定时间内使用；保证疫苗注射剂量；注射器械和注</w:t>
      </w:r>
      <w:r>
        <w:rPr>
          <w:rFonts w:ascii="宋体" w:hAnsi="宋体" w:eastAsia="宋体" w:cs="宋体"/>
          <w:spacing w:val="-2"/>
          <w:sz w:val="24"/>
          <w:szCs w:val="24"/>
        </w:rPr>
        <w:t>射部位严格消毒，保证一畜一个针头，防止交叉感染。</w:t>
      </w:r>
    </w:p>
    <w:p w14:paraId="1CBE61BF">
      <w:pPr>
        <w:spacing w:before="2" w:line="355" w:lineRule="auto"/>
        <w:ind w:left="42" w:firstLine="479"/>
        <w:rPr>
          <w:rFonts w:ascii="宋体" w:hAnsi="宋体" w:eastAsia="宋体" w:cs="宋体"/>
          <w:sz w:val="24"/>
          <w:szCs w:val="24"/>
        </w:rPr>
      </w:pPr>
      <w:r>
        <w:rPr>
          <w:rFonts w:ascii="Cambria" w:hAnsi="Cambria" w:eastAsia="Cambria" w:cs="Cambria"/>
          <w:spacing w:val="1"/>
          <w:sz w:val="28"/>
          <w:szCs w:val="28"/>
        </w:rPr>
        <w:t>⑩</w:t>
      </w:r>
      <w:r>
        <w:rPr>
          <w:rFonts w:ascii="宋体" w:hAnsi="宋体" w:eastAsia="宋体" w:cs="宋体"/>
          <w:spacing w:val="1"/>
          <w:sz w:val="24"/>
          <w:szCs w:val="24"/>
        </w:rPr>
        <w:t>兽医人员应定期对生猪群进行系统检查，观察生猪群健康状况，做好检</w:t>
      </w:r>
      <w:r>
        <w:rPr>
          <w:rFonts w:ascii="宋体" w:hAnsi="宋体" w:eastAsia="宋体" w:cs="宋体"/>
          <w:spacing w:val="-1"/>
          <w:sz w:val="24"/>
          <w:szCs w:val="24"/>
        </w:rPr>
        <w:t>查记录。如有疫病发生，进一步调查原因，作出初步判断，提出相应预防措施，</w:t>
      </w:r>
      <w:r>
        <w:rPr>
          <w:rFonts w:ascii="宋体" w:hAnsi="宋体" w:eastAsia="宋体" w:cs="宋体"/>
          <w:spacing w:val="-7"/>
          <w:sz w:val="24"/>
          <w:szCs w:val="24"/>
        </w:rPr>
        <w:t>防止疫病扩散蔓延，并按规定将疫情情况报告当地动物防疫</w:t>
      </w:r>
      <w:r>
        <w:rPr>
          <w:rFonts w:ascii="宋体" w:hAnsi="宋体" w:eastAsia="宋体" w:cs="宋体"/>
          <w:spacing w:val="-8"/>
          <w:sz w:val="24"/>
          <w:szCs w:val="24"/>
        </w:rPr>
        <w:t>监督机构。严禁迟报、</w:t>
      </w:r>
      <w:r>
        <w:rPr>
          <w:rFonts w:ascii="宋体" w:hAnsi="宋体" w:eastAsia="宋体" w:cs="宋体"/>
          <w:spacing w:val="-6"/>
          <w:sz w:val="24"/>
          <w:szCs w:val="24"/>
        </w:rPr>
        <w:t>瞒报动物疫情。</w:t>
      </w:r>
    </w:p>
    <w:p w14:paraId="20EC38F9">
      <w:pPr>
        <w:spacing w:before="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）发生疫情时的预防措施</w:t>
      </w:r>
    </w:p>
    <w:p w14:paraId="3AAEE294">
      <w:pPr>
        <w:spacing w:before="182" w:line="217" w:lineRule="auto"/>
        <w:ind w:right="14"/>
        <w:jc w:val="right"/>
        <w:rPr>
          <w:rFonts w:ascii="宋体" w:hAnsi="宋体" w:eastAsia="宋体" w:cs="宋体"/>
          <w:sz w:val="24"/>
          <w:szCs w:val="24"/>
        </w:rPr>
      </w:pPr>
      <w:r>
        <w:rPr>
          <w:rFonts w:ascii="宋体" w:hAnsi="宋体" w:eastAsia="宋体" w:cs="宋体"/>
          <w:spacing w:val="-1"/>
          <w:sz w:val="24"/>
          <w:szCs w:val="24"/>
        </w:rPr>
        <w:t>①尽快确诊，并及时上报兽医和监督机关，建立疫情报告制度和报告网络，</w:t>
      </w:r>
    </w:p>
    <w:p w14:paraId="77E0ABEE">
      <w:pPr>
        <w:spacing w:line="217" w:lineRule="auto"/>
        <w:rPr>
          <w:rFonts w:ascii="宋体" w:hAnsi="宋体" w:eastAsia="宋体" w:cs="宋体"/>
          <w:sz w:val="24"/>
          <w:szCs w:val="24"/>
        </w:rPr>
        <w:sectPr>
          <w:headerReference r:id="rId182" w:type="default"/>
          <w:footerReference r:id="rId183" w:type="default"/>
          <w:pgSz w:w="11905" w:h="16840"/>
          <w:pgMar w:top="1168" w:right="1712" w:bottom="1409" w:left="1770" w:header="828" w:footer="1244" w:gutter="0"/>
          <w:cols w:space="720" w:num="1"/>
        </w:sectPr>
      </w:pPr>
    </w:p>
    <w:p w14:paraId="588C2497">
      <w:pPr>
        <w:pStyle w:val="2"/>
        <w:spacing w:line="305" w:lineRule="auto"/>
      </w:pPr>
    </w:p>
    <w:p w14:paraId="72007C66">
      <w:pPr>
        <w:spacing w:before="78" w:line="220" w:lineRule="auto"/>
        <w:ind w:left="41"/>
        <w:rPr>
          <w:rFonts w:ascii="宋体" w:hAnsi="宋体" w:eastAsia="宋体" w:cs="宋体"/>
          <w:sz w:val="24"/>
          <w:szCs w:val="24"/>
        </w:rPr>
      </w:pPr>
      <w:r>
        <w:rPr>
          <w:rFonts w:ascii="宋体" w:hAnsi="宋体" w:eastAsia="宋体" w:cs="宋体"/>
          <w:spacing w:val="-3"/>
          <w:sz w:val="24"/>
          <w:szCs w:val="24"/>
        </w:rPr>
        <w:t>按国家有关法规，对病疫进行防治。</w:t>
      </w:r>
    </w:p>
    <w:p w14:paraId="1F9AAECC">
      <w:pPr>
        <w:spacing w:before="182" w:line="360" w:lineRule="auto"/>
        <w:ind w:left="41" w:right="108" w:firstLine="476"/>
        <w:rPr>
          <w:rFonts w:ascii="宋体" w:hAnsi="宋体" w:eastAsia="宋体" w:cs="宋体"/>
          <w:sz w:val="24"/>
          <w:szCs w:val="24"/>
        </w:rPr>
      </w:pPr>
      <w:r>
        <w:rPr>
          <w:rFonts w:ascii="宋体" w:hAnsi="宋体" w:eastAsia="宋体" w:cs="宋体"/>
          <w:spacing w:val="-3"/>
          <w:sz w:val="24"/>
          <w:szCs w:val="24"/>
        </w:rPr>
        <w:t>②及时扑杀病畜和同群猪只，在兽医人员的严格监督下，对病猪扑</w:t>
      </w:r>
      <w:r>
        <w:rPr>
          <w:rFonts w:ascii="宋体" w:hAnsi="宋体" w:eastAsia="宋体" w:cs="宋体"/>
          <w:spacing w:val="-4"/>
          <w:sz w:val="24"/>
          <w:szCs w:val="24"/>
        </w:rPr>
        <w:t>杀和尸体</w:t>
      </w:r>
      <w:r>
        <w:rPr>
          <w:rFonts w:ascii="宋体" w:hAnsi="宋体" w:eastAsia="宋体" w:cs="宋体"/>
          <w:spacing w:val="-7"/>
          <w:sz w:val="24"/>
          <w:szCs w:val="24"/>
        </w:rPr>
        <w:t>无害化处理。</w:t>
      </w:r>
    </w:p>
    <w:p w14:paraId="59079A39">
      <w:pPr>
        <w:spacing w:before="2" w:line="359" w:lineRule="auto"/>
        <w:ind w:left="37" w:right="109" w:firstLine="480"/>
        <w:rPr>
          <w:rFonts w:ascii="宋体" w:hAnsi="宋体" w:eastAsia="宋体" w:cs="宋体"/>
          <w:sz w:val="24"/>
          <w:szCs w:val="24"/>
        </w:rPr>
      </w:pPr>
      <w:r>
        <w:rPr>
          <w:rFonts w:ascii="宋体" w:hAnsi="宋体" w:eastAsia="宋体" w:cs="宋体"/>
          <w:spacing w:val="-3"/>
          <w:sz w:val="24"/>
          <w:szCs w:val="24"/>
        </w:rPr>
        <w:t>③严格封锁疫点疫区，消灭疫源，杜绝疫病向外散播，场内应定期</w:t>
      </w:r>
      <w:r>
        <w:rPr>
          <w:rFonts w:ascii="宋体" w:hAnsi="宋体" w:eastAsia="宋体" w:cs="宋体"/>
          <w:spacing w:val="-4"/>
          <w:sz w:val="24"/>
          <w:szCs w:val="24"/>
        </w:rPr>
        <w:t>的、全面</w:t>
      </w:r>
      <w:r>
        <w:rPr>
          <w:rFonts w:ascii="宋体" w:hAnsi="宋体" w:eastAsia="宋体" w:cs="宋体"/>
          <w:spacing w:val="-7"/>
          <w:sz w:val="24"/>
          <w:szCs w:val="24"/>
        </w:rPr>
        <w:t>进行消毒。</w:t>
      </w:r>
    </w:p>
    <w:p w14:paraId="6D883E5D">
      <w:pPr>
        <w:spacing w:before="1" w:line="361" w:lineRule="auto"/>
        <w:ind w:left="41" w:right="160" w:firstLine="476"/>
        <w:rPr>
          <w:rFonts w:ascii="宋体" w:hAnsi="宋体" w:eastAsia="宋体" w:cs="宋体"/>
          <w:sz w:val="24"/>
          <w:szCs w:val="24"/>
        </w:rPr>
      </w:pPr>
      <w:r>
        <w:rPr>
          <w:rFonts w:ascii="宋体" w:hAnsi="宋体" w:eastAsia="宋体" w:cs="宋体"/>
          <w:spacing w:val="-1"/>
          <w:sz w:val="24"/>
          <w:szCs w:val="24"/>
        </w:rPr>
        <w:t>④疫区内最后</w:t>
      </w:r>
      <w:r>
        <w:rPr>
          <w:rFonts w:ascii="Times New Roman" w:hAnsi="Times New Roman" w:eastAsia="Times New Roman" w:cs="Times New Roman"/>
          <w:spacing w:val="-1"/>
          <w:sz w:val="24"/>
          <w:szCs w:val="24"/>
        </w:rPr>
        <w:t>1</w:t>
      </w:r>
      <w:r>
        <w:rPr>
          <w:rFonts w:ascii="宋体" w:hAnsi="宋体" w:eastAsia="宋体" w:cs="宋体"/>
          <w:spacing w:val="-1"/>
          <w:sz w:val="24"/>
          <w:szCs w:val="24"/>
        </w:rPr>
        <w:t>头病畜扑杀后，经一个潜伏期的观察，再未发现新病畜时，</w:t>
      </w:r>
      <w:r>
        <w:rPr>
          <w:rFonts w:ascii="宋体" w:hAnsi="宋体" w:eastAsia="宋体" w:cs="宋体"/>
          <w:spacing w:val="-3"/>
          <w:sz w:val="24"/>
          <w:szCs w:val="24"/>
        </w:rPr>
        <w:t>经彻底消毒，报有关单位批准，才能解除封锁。</w:t>
      </w:r>
    </w:p>
    <w:p w14:paraId="008126B6">
      <w:pPr>
        <w:spacing w:before="53"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2.2.2.8 </w:t>
      </w:r>
      <w:r>
        <w:rPr>
          <w:rFonts w:ascii="宋体" w:hAnsi="宋体" w:eastAsia="宋体" w:cs="宋体"/>
          <w:b/>
          <w:bCs/>
          <w:spacing w:val="5"/>
          <w:sz w:val="27"/>
          <w:szCs w:val="27"/>
        </w:rPr>
        <w:t>运营期污染因素分析</w:t>
      </w:r>
    </w:p>
    <w:p w14:paraId="3C6A008B">
      <w:pPr>
        <w:spacing w:before="236" w:line="219" w:lineRule="auto"/>
        <w:ind w:left="520"/>
        <w:rPr>
          <w:rFonts w:ascii="宋体" w:hAnsi="宋体" w:eastAsia="宋体" w:cs="宋体"/>
          <w:sz w:val="24"/>
          <w:szCs w:val="24"/>
        </w:rPr>
      </w:pPr>
      <w:r>
        <w:rPr>
          <w:rFonts w:ascii="宋体" w:hAnsi="宋体" w:eastAsia="宋体" w:cs="宋体"/>
          <w:spacing w:val="-4"/>
          <w:sz w:val="24"/>
          <w:szCs w:val="24"/>
        </w:rPr>
        <w:t>本项目运营期主要污染工序见下表：</w:t>
      </w:r>
    </w:p>
    <w:p w14:paraId="2C8B47BE">
      <w:pPr>
        <w:spacing w:before="197" w:line="222" w:lineRule="auto"/>
        <w:ind w:left="234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2.2-3  </w:t>
      </w:r>
      <w:r>
        <w:rPr>
          <w:rFonts w:ascii="黑体" w:hAnsi="黑体" w:eastAsia="黑体" w:cs="黑体"/>
          <w:spacing w:val="-1"/>
          <w:sz w:val="21"/>
          <w:szCs w:val="21"/>
        </w:rPr>
        <w:t>项目运营期主要污染工序一览表</w:t>
      </w:r>
    </w:p>
    <w:p w14:paraId="02CC7FAE">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3"/>
        <w:gridCol w:w="1982"/>
        <w:gridCol w:w="2123"/>
        <w:gridCol w:w="3072"/>
      </w:tblGrid>
      <w:tr w14:paraId="7EA32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43" w:type="dxa"/>
            <w:vAlign w:val="top"/>
          </w:tcPr>
          <w:p w14:paraId="15AA53DC">
            <w:pPr>
              <w:spacing w:before="68" w:line="220" w:lineRule="auto"/>
              <w:ind w:left="158"/>
              <w:rPr>
                <w:rFonts w:ascii="宋体" w:hAnsi="宋体" w:eastAsia="宋体" w:cs="宋体"/>
                <w:sz w:val="21"/>
                <w:szCs w:val="21"/>
              </w:rPr>
            </w:pPr>
            <w:r>
              <w:rPr>
                <w:rFonts w:ascii="宋体" w:hAnsi="宋体" w:eastAsia="宋体" w:cs="宋体"/>
                <w:spacing w:val="-2"/>
                <w:sz w:val="21"/>
                <w:szCs w:val="21"/>
              </w:rPr>
              <w:t>污染类别</w:t>
            </w:r>
          </w:p>
        </w:tc>
        <w:tc>
          <w:tcPr>
            <w:tcW w:w="1982" w:type="dxa"/>
            <w:vAlign w:val="top"/>
          </w:tcPr>
          <w:p w14:paraId="4D6467FE">
            <w:pPr>
              <w:spacing w:before="68" w:line="220" w:lineRule="auto"/>
              <w:ind w:left="575"/>
              <w:rPr>
                <w:rFonts w:ascii="宋体" w:hAnsi="宋体" w:eastAsia="宋体" w:cs="宋体"/>
                <w:sz w:val="21"/>
                <w:szCs w:val="21"/>
              </w:rPr>
            </w:pPr>
            <w:r>
              <w:rPr>
                <w:rFonts w:ascii="宋体" w:hAnsi="宋体" w:eastAsia="宋体" w:cs="宋体"/>
                <w:spacing w:val="-2"/>
                <w:sz w:val="21"/>
                <w:szCs w:val="21"/>
              </w:rPr>
              <w:t>产生部位</w:t>
            </w:r>
          </w:p>
        </w:tc>
        <w:tc>
          <w:tcPr>
            <w:tcW w:w="2123" w:type="dxa"/>
            <w:vAlign w:val="top"/>
          </w:tcPr>
          <w:p w14:paraId="7B8C9FAE">
            <w:pPr>
              <w:spacing w:before="69" w:line="220" w:lineRule="auto"/>
              <w:ind w:left="753"/>
              <w:rPr>
                <w:rFonts w:ascii="宋体" w:hAnsi="宋体" w:eastAsia="宋体" w:cs="宋体"/>
                <w:sz w:val="21"/>
                <w:szCs w:val="21"/>
              </w:rPr>
            </w:pPr>
            <w:r>
              <w:rPr>
                <w:rFonts w:ascii="宋体" w:hAnsi="宋体" w:eastAsia="宋体" w:cs="宋体"/>
                <w:spacing w:val="-3"/>
                <w:sz w:val="21"/>
                <w:szCs w:val="21"/>
              </w:rPr>
              <w:t>污染物</w:t>
            </w:r>
          </w:p>
        </w:tc>
        <w:tc>
          <w:tcPr>
            <w:tcW w:w="3072" w:type="dxa"/>
            <w:vAlign w:val="top"/>
          </w:tcPr>
          <w:p w14:paraId="74E20173">
            <w:pPr>
              <w:spacing w:before="69" w:line="220" w:lineRule="auto"/>
              <w:ind w:left="1122"/>
              <w:rPr>
                <w:rFonts w:ascii="宋体" w:hAnsi="宋体" w:eastAsia="宋体" w:cs="宋体"/>
                <w:sz w:val="21"/>
                <w:szCs w:val="21"/>
              </w:rPr>
            </w:pPr>
            <w:r>
              <w:rPr>
                <w:rFonts w:ascii="宋体" w:hAnsi="宋体" w:eastAsia="宋体" w:cs="宋体"/>
                <w:spacing w:val="-2"/>
                <w:sz w:val="21"/>
                <w:szCs w:val="21"/>
              </w:rPr>
              <w:t>污染因子</w:t>
            </w:r>
          </w:p>
        </w:tc>
      </w:tr>
      <w:tr w14:paraId="028A0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43" w:type="dxa"/>
            <w:vMerge w:val="restart"/>
            <w:tcBorders>
              <w:bottom w:val="nil"/>
            </w:tcBorders>
            <w:vAlign w:val="top"/>
          </w:tcPr>
          <w:p w14:paraId="67EF8F2F">
            <w:pPr>
              <w:spacing w:line="311" w:lineRule="auto"/>
              <w:rPr>
                <w:rFonts w:ascii="Arial"/>
                <w:sz w:val="21"/>
              </w:rPr>
            </w:pPr>
          </w:p>
          <w:p w14:paraId="155B56A8">
            <w:pPr>
              <w:spacing w:before="68" w:line="220" w:lineRule="auto"/>
              <w:ind w:left="365"/>
              <w:rPr>
                <w:rFonts w:ascii="宋体" w:hAnsi="宋体" w:eastAsia="宋体" w:cs="宋体"/>
                <w:sz w:val="21"/>
                <w:szCs w:val="21"/>
              </w:rPr>
            </w:pPr>
            <w:r>
              <w:rPr>
                <w:rFonts w:ascii="宋体" w:hAnsi="宋体" w:eastAsia="宋体" w:cs="宋体"/>
                <w:spacing w:val="-2"/>
                <w:sz w:val="21"/>
                <w:szCs w:val="21"/>
              </w:rPr>
              <w:t>废气</w:t>
            </w:r>
          </w:p>
        </w:tc>
        <w:tc>
          <w:tcPr>
            <w:tcW w:w="1982" w:type="dxa"/>
            <w:vAlign w:val="top"/>
          </w:tcPr>
          <w:p w14:paraId="54769A1C">
            <w:pPr>
              <w:spacing w:before="49" w:line="250" w:lineRule="auto"/>
              <w:ind w:left="679" w:right="150" w:hanging="525"/>
              <w:rPr>
                <w:rFonts w:ascii="宋体" w:hAnsi="宋体" w:eastAsia="宋体" w:cs="宋体"/>
                <w:sz w:val="21"/>
                <w:szCs w:val="21"/>
              </w:rPr>
            </w:pPr>
            <w:r>
              <w:rPr>
                <w:rFonts w:ascii="宋体" w:hAnsi="宋体" w:eastAsia="宋体" w:cs="宋体"/>
                <w:spacing w:val="-2"/>
                <w:sz w:val="21"/>
                <w:szCs w:val="21"/>
              </w:rPr>
              <w:t>猪舍、粪污处理区</w:t>
            </w:r>
            <w:r>
              <w:rPr>
                <w:rFonts w:ascii="宋体" w:hAnsi="宋体" w:eastAsia="宋体" w:cs="宋体"/>
                <w:spacing w:val="-3"/>
                <w:sz w:val="21"/>
                <w:szCs w:val="21"/>
              </w:rPr>
              <w:t>堆粪棚</w:t>
            </w:r>
          </w:p>
        </w:tc>
        <w:tc>
          <w:tcPr>
            <w:tcW w:w="2123" w:type="dxa"/>
            <w:vAlign w:val="top"/>
          </w:tcPr>
          <w:p w14:paraId="796598A4">
            <w:pPr>
              <w:spacing w:before="205" w:line="220" w:lineRule="auto"/>
              <w:ind w:left="858"/>
              <w:rPr>
                <w:rFonts w:ascii="宋体" w:hAnsi="宋体" w:eastAsia="宋体" w:cs="宋体"/>
                <w:sz w:val="21"/>
                <w:szCs w:val="21"/>
              </w:rPr>
            </w:pPr>
            <w:r>
              <w:rPr>
                <w:rFonts w:ascii="宋体" w:hAnsi="宋体" w:eastAsia="宋体" w:cs="宋体"/>
                <w:spacing w:val="-3"/>
                <w:sz w:val="21"/>
                <w:szCs w:val="21"/>
              </w:rPr>
              <w:t>恶臭</w:t>
            </w:r>
          </w:p>
        </w:tc>
        <w:tc>
          <w:tcPr>
            <w:tcW w:w="3072" w:type="dxa"/>
            <w:vAlign w:val="top"/>
          </w:tcPr>
          <w:p w14:paraId="590EFADE">
            <w:pPr>
              <w:pStyle w:val="6"/>
              <w:spacing w:before="205" w:line="221" w:lineRule="auto"/>
              <w:ind w:left="544"/>
              <w:rPr>
                <w:rFonts w:ascii="宋体" w:hAnsi="宋体" w:eastAsia="宋体" w:cs="宋体"/>
              </w:rPr>
            </w:pPr>
            <w:r>
              <w:rPr>
                <w:spacing w:val="-3"/>
              </w:rPr>
              <w:t>NH</w:t>
            </w:r>
            <w:r>
              <w:rPr>
                <w:spacing w:val="-3"/>
                <w:position w:val="-2"/>
                <w:sz w:val="14"/>
                <w:szCs w:val="14"/>
              </w:rPr>
              <w:t>3</w:t>
            </w:r>
            <w:r>
              <w:rPr>
                <w:spacing w:val="-8"/>
                <w:position w:val="-2"/>
                <w:sz w:val="14"/>
                <w:szCs w:val="14"/>
              </w:rPr>
              <w:t xml:space="preserve"> </w:t>
            </w:r>
            <w:r>
              <w:rPr>
                <w:rFonts w:ascii="宋体" w:hAnsi="宋体" w:eastAsia="宋体" w:cs="宋体"/>
                <w:spacing w:val="-3"/>
              </w:rPr>
              <w:t>、</w:t>
            </w:r>
            <w:r>
              <w:rPr>
                <w:spacing w:val="-3"/>
              </w:rPr>
              <w:t>H</w:t>
            </w:r>
            <w:r>
              <w:rPr>
                <w:spacing w:val="-3"/>
                <w:position w:val="-2"/>
                <w:sz w:val="14"/>
                <w:szCs w:val="14"/>
              </w:rPr>
              <w:t>2</w:t>
            </w:r>
            <w:r>
              <w:rPr>
                <w:spacing w:val="-3"/>
              </w:rPr>
              <w:t>S</w:t>
            </w:r>
            <w:r>
              <w:rPr>
                <w:rFonts w:ascii="宋体" w:hAnsi="宋体" w:eastAsia="宋体" w:cs="宋体"/>
                <w:spacing w:val="-3"/>
              </w:rPr>
              <w:t>、臭气浓度</w:t>
            </w:r>
          </w:p>
        </w:tc>
      </w:tr>
      <w:tr w14:paraId="08672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3" w:type="dxa"/>
            <w:vMerge w:val="continue"/>
            <w:tcBorders>
              <w:top w:val="nil"/>
            </w:tcBorders>
            <w:vAlign w:val="top"/>
          </w:tcPr>
          <w:p w14:paraId="6E8ABE9E">
            <w:pPr>
              <w:rPr>
                <w:rFonts w:ascii="Arial"/>
                <w:sz w:val="21"/>
              </w:rPr>
            </w:pPr>
          </w:p>
        </w:tc>
        <w:tc>
          <w:tcPr>
            <w:tcW w:w="1982" w:type="dxa"/>
            <w:vAlign w:val="top"/>
          </w:tcPr>
          <w:p w14:paraId="550B8764">
            <w:pPr>
              <w:spacing w:before="64" w:line="220" w:lineRule="auto"/>
              <w:ind w:left="786"/>
              <w:rPr>
                <w:rFonts w:ascii="宋体" w:hAnsi="宋体" w:eastAsia="宋体" w:cs="宋体"/>
                <w:sz w:val="21"/>
                <w:szCs w:val="21"/>
              </w:rPr>
            </w:pPr>
            <w:r>
              <w:rPr>
                <w:rFonts w:ascii="宋体" w:hAnsi="宋体" w:eastAsia="宋体" w:cs="宋体"/>
                <w:spacing w:val="-3"/>
                <w:sz w:val="21"/>
                <w:szCs w:val="21"/>
              </w:rPr>
              <w:t>火炬</w:t>
            </w:r>
          </w:p>
        </w:tc>
        <w:tc>
          <w:tcPr>
            <w:tcW w:w="2123" w:type="dxa"/>
            <w:vAlign w:val="top"/>
          </w:tcPr>
          <w:p w14:paraId="425FDC36">
            <w:pPr>
              <w:spacing w:before="64" w:line="219" w:lineRule="auto"/>
              <w:ind w:left="441"/>
              <w:rPr>
                <w:rFonts w:ascii="宋体" w:hAnsi="宋体" w:eastAsia="宋体" w:cs="宋体"/>
                <w:sz w:val="21"/>
                <w:szCs w:val="21"/>
              </w:rPr>
            </w:pPr>
            <w:r>
              <w:rPr>
                <w:rFonts w:ascii="宋体" w:hAnsi="宋体" w:eastAsia="宋体" w:cs="宋体"/>
                <w:spacing w:val="-2"/>
                <w:sz w:val="21"/>
                <w:szCs w:val="21"/>
              </w:rPr>
              <w:t>沼气燃烧废气</w:t>
            </w:r>
          </w:p>
        </w:tc>
        <w:tc>
          <w:tcPr>
            <w:tcW w:w="3072" w:type="dxa"/>
            <w:vAlign w:val="top"/>
          </w:tcPr>
          <w:p w14:paraId="6039447B">
            <w:pPr>
              <w:pStyle w:val="6"/>
              <w:spacing w:before="101" w:line="189" w:lineRule="auto"/>
              <w:ind w:left="1067"/>
            </w:pPr>
            <w:r>
              <w:rPr>
                <w:spacing w:val="-6"/>
              </w:rPr>
              <w:t>SO</w:t>
            </w:r>
            <w:r>
              <w:rPr>
                <w:spacing w:val="-6"/>
                <w:position w:val="-2"/>
                <w:sz w:val="14"/>
                <w:szCs w:val="14"/>
              </w:rPr>
              <w:t>2</w:t>
            </w:r>
            <w:r>
              <w:rPr>
                <w:spacing w:val="-9"/>
                <w:position w:val="-2"/>
                <w:sz w:val="14"/>
                <w:szCs w:val="14"/>
              </w:rPr>
              <w:t xml:space="preserve"> </w:t>
            </w:r>
            <w:r>
              <w:rPr>
                <w:rFonts w:ascii="宋体" w:hAnsi="宋体" w:eastAsia="宋体" w:cs="宋体"/>
                <w:spacing w:val="-6"/>
              </w:rPr>
              <w:t>、</w:t>
            </w:r>
            <w:r>
              <w:rPr>
                <w:spacing w:val="-6"/>
              </w:rPr>
              <w:t>NOx</w:t>
            </w:r>
          </w:p>
        </w:tc>
      </w:tr>
      <w:tr w14:paraId="11BE1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3" w:type="dxa"/>
            <w:vMerge w:val="restart"/>
            <w:tcBorders>
              <w:bottom w:val="nil"/>
            </w:tcBorders>
            <w:vAlign w:val="top"/>
          </w:tcPr>
          <w:p w14:paraId="1F1BDD57">
            <w:pPr>
              <w:spacing w:before="238" w:line="220" w:lineRule="auto"/>
              <w:ind w:left="365"/>
              <w:rPr>
                <w:rFonts w:ascii="宋体" w:hAnsi="宋体" w:eastAsia="宋体" w:cs="宋体"/>
                <w:sz w:val="21"/>
                <w:szCs w:val="21"/>
              </w:rPr>
            </w:pPr>
            <w:r>
              <w:rPr>
                <w:rFonts w:ascii="宋体" w:hAnsi="宋体" w:eastAsia="宋体" w:cs="宋体"/>
                <w:spacing w:val="-2"/>
                <w:sz w:val="21"/>
                <w:szCs w:val="21"/>
              </w:rPr>
              <w:t>废水</w:t>
            </w:r>
          </w:p>
        </w:tc>
        <w:tc>
          <w:tcPr>
            <w:tcW w:w="1982" w:type="dxa"/>
            <w:vAlign w:val="top"/>
          </w:tcPr>
          <w:p w14:paraId="719751F3">
            <w:pPr>
              <w:spacing w:before="64" w:line="220" w:lineRule="auto"/>
              <w:ind w:left="473"/>
              <w:rPr>
                <w:rFonts w:ascii="宋体" w:hAnsi="宋体" w:eastAsia="宋体" w:cs="宋体"/>
                <w:sz w:val="21"/>
                <w:szCs w:val="21"/>
              </w:rPr>
            </w:pPr>
            <w:r>
              <w:rPr>
                <w:rFonts w:ascii="宋体" w:hAnsi="宋体" w:eastAsia="宋体" w:cs="宋体"/>
                <w:spacing w:val="-2"/>
                <w:sz w:val="21"/>
                <w:szCs w:val="21"/>
              </w:rPr>
              <w:t>办公生活区</w:t>
            </w:r>
          </w:p>
        </w:tc>
        <w:tc>
          <w:tcPr>
            <w:tcW w:w="2123" w:type="dxa"/>
            <w:vAlign w:val="top"/>
          </w:tcPr>
          <w:p w14:paraId="46C921A6">
            <w:pPr>
              <w:spacing w:before="64" w:line="220" w:lineRule="auto"/>
              <w:ind w:left="649"/>
              <w:rPr>
                <w:rFonts w:ascii="宋体" w:hAnsi="宋体" w:eastAsia="宋体" w:cs="宋体"/>
                <w:sz w:val="21"/>
                <w:szCs w:val="21"/>
              </w:rPr>
            </w:pPr>
            <w:r>
              <w:rPr>
                <w:rFonts w:ascii="宋体" w:hAnsi="宋体" w:eastAsia="宋体" w:cs="宋体"/>
                <w:spacing w:val="-2"/>
                <w:sz w:val="21"/>
                <w:szCs w:val="21"/>
              </w:rPr>
              <w:t>生活污水</w:t>
            </w:r>
          </w:p>
        </w:tc>
        <w:tc>
          <w:tcPr>
            <w:tcW w:w="3072" w:type="dxa"/>
            <w:vAlign w:val="top"/>
          </w:tcPr>
          <w:p w14:paraId="5E00F4A5">
            <w:pPr>
              <w:pStyle w:val="6"/>
              <w:spacing w:before="101" w:line="189" w:lineRule="auto"/>
              <w:ind w:left="554"/>
            </w:pPr>
            <w:r>
              <w:rPr>
                <w:spacing w:val="-4"/>
              </w:rPr>
              <w:t>COD</w:t>
            </w:r>
            <w:r>
              <w:rPr>
                <w:spacing w:val="-30"/>
              </w:rPr>
              <w:t xml:space="preserve"> </w:t>
            </w:r>
            <w:r>
              <w:rPr>
                <w:rFonts w:ascii="宋体" w:hAnsi="宋体" w:eastAsia="宋体" w:cs="宋体"/>
                <w:spacing w:val="-4"/>
              </w:rPr>
              <w:t>、</w:t>
            </w:r>
            <w:r>
              <w:rPr>
                <w:spacing w:val="-4"/>
              </w:rPr>
              <w:t>BOD</w:t>
            </w:r>
            <w:r>
              <w:rPr>
                <w:spacing w:val="-4"/>
                <w:position w:val="-2"/>
                <w:sz w:val="14"/>
                <w:szCs w:val="14"/>
              </w:rPr>
              <w:t>5</w:t>
            </w:r>
            <w:r>
              <w:rPr>
                <w:spacing w:val="-11"/>
                <w:position w:val="-2"/>
                <w:sz w:val="14"/>
                <w:szCs w:val="14"/>
              </w:rPr>
              <w:t xml:space="preserve"> </w:t>
            </w:r>
            <w:r>
              <w:rPr>
                <w:rFonts w:ascii="宋体" w:hAnsi="宋体" w:eastAsia="宋体" w:cs="宋体"/>
                <w:spacing w:val="-4"/>
              </w:rPr>
              <w:t>、</w:t>
            </w:r>
            <w:r>
              <w:rPr>
                <w:spacing w:val="-4"/>
              </w:rPr>
              <w:t>NH</w:t>
            </w:r>
            <w:r>
              <w:rPr>
                <w:spacing w:val="-4"/>
                <w:position w:val="-2"/>
                <w:sz w:val="14"/>
                <w:szCs w:val="14"/>
              </w:rPr>
              <w:t>3</w:t>
            </w:r>
            <w:r>
              <w:rPr>
                <w:spacing w:val="-4"/>
              </w:rPr>
              <w:t>-N</w:t>
            </w:r>
          </w:p>
        </w:tc>
      </w:tr>
      <w:tr w14:paraId="10509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3" w:type="dxa"/>
            <w:vMerge w:val="continue"/>
            <w:tcBorders>
              <w:top w:val="nil"/>
            </w:tcBorders>
            <w:vAlign w:val="top"/>
          </w:tcPr>
          <w:p w14:paraId="35FE9669">
            <w:pPr>
              <w:rPr>
                <w:rFonts w:ascii="Arial"/>
                <w:sz w:val="21"/>
              </w:rPr>
            </w:pPr>
          </w:p>
        </w:tc>
        <w:tc>
          <w:tcPr>
            <w:tcW w:w="1982" w:type="dxa"/>
            <w:vAlign w:val="top"/>
          </w:tcPr>
          <w:p w14:paraId="6DABFEEC">
            <w:pPr>
              <w:spacing w:before="65" w:line="220" w:lineRule="auto"/>
              <w:ind w:left="784"/>
              <w:rPr>
                <w:rFonts w:ascii="宋体" w:hAnsi="宋体" w:eastAsia="宋体" w:cs="宋体"/>
                <w:sz w:val="21"/>
                <w:szCs w:val="21"/>
              </w:rPr>
            </w:pPr>
            <w:r>
              <w:rPr>
                <w:rFonts w:ascii="宋体" w:hAnsi="宋体" w:eastAsia="宋体" w:cs="宋体"/>
                <w:spacing w:val="-3"/>
                <w:sz w:val="21"/>
                <w:szCs w:val="21"/>
              </w:rPr>
              <w:t>猪舍</w:t>
            </w:r>
          </w:p>
        </w:tc>
        <w:tc>
          <w:tcPr>
            <w:tcW w:w="2123" w:type="dxa"/>
            <w:vAlign w:val="top"/>
          </w:tcPr>
          <w:p w14:paraId="35B77FF5">
            <w:pPr>
              <w:spacing w:before="65" w:line="220" w:lineRule="auto"/>
              <w:ind w:left="120"/>
              <w:rPr>
                <w:rFonts w:ascii="宋体" w:hAnsi="宋体" w:eastAsia="宋体" w:cs="宋体"/>
                <w:sz w:val="21"/>
                <w:szCs w:val="21"/>
              </w:rPr>
            </w:pPr>
            <w:r>
              <w:rPr>
                <w:rFonts w:ascii="宋体" w:hAnsi="宋体" w:eastAsia="宋体" w:cs="宋体"/>
                <w:spacing w:val="-1"/>
                <w:sz w:val="21"/>
                <w:szCs w:val="21"/>
              </w:rPr>
              <w:t>尿液、猪舍冲洗废水</w:t>
            </w:r>
          </w:p>
        </w:tc>
        <w:tc>
          <w:tcPr>
            <w:tcW w:w="3072" w:type="dxa"/>
            <w:vAlign w:val="top"/>
          </w:tcPr>
          <w:p w14:paraId="6EB1B853">
            <w:pPr>
              <w:pStyle w:val="6"/>
              <w:spacing w:before="101" w:line="189" w:lineRule="auto"/>
              <w:ind w:left="105"/>
            </w:pPr>
            <w:r>
              <w:rPr>
                <w:spacing w:val="-5"/>
              </w:rPr>
              <w:t>COD</w:t>
            </w:r>
            <w:r>
              <w:rPr>
                <w:spacing w:val="-28"/>
              </w:rPr>
              <w:t xml:space="preserve"> </w:t>
            </w:r>
            <w:r>
              <w:rPr>
                <w:rFonts w:ascii="宋体" w:hAnsi="宋体" w:eastAsia="宋体" w:cs="宋体"/>
                <w:spacing w:val="-5"/>
              </w:rPr>
              <w:t>、</w:t>
            </w:r>
            <w:r>
              <w:rPr>
                <w:spacing w:val="-5"/>
              </w:rPr>
              <w:t>BOD</w:t>
            </w:r>
            <w:r>
              <w:rPr>
                <w:spacing w:val="-5"/>
                <w:position w:val="-2"/>
                <w:sz w:val="14"/>
                <w:szCs w:val="14"/>
              </w:rPr>
              <w:t>5</w:t>
            </w:r>
            <w:r>
              <w:rPr>
                <w:spacing w:val="-11"/>
                <w:position w:val="-2"/>
                <w:sz w:val="14"/>
                <w:szCs w:val="14"/>
              </w:rPr>
              <w:t xml:space="preserve"> </w:t>
            </w:r>
            <w:r>
              <w:rPr>
                <w:rFonts w:ascii="宋体" w:hAnsi="宋体" w:eastAsia="宋体" w:cs="宋体"/>
                <w:spacing w:val="-5"/>
              </w:rPr>
              <w:t>、</w:t>
            </w:r>
            <w:r>
              <w:rPr>
                <w:spacing w:val="-5"/>
              </w:rPr>
              <w:t>NH</w:t>
            </w:r>
            <w:r>
              <w:rPr>
                <w:spacing w:val="-5"/>
                <w:position w:val="-2"/>
                <w:sz w:val="14"/>
                <w:szCs w:val="14"/>
              </w:rPr>
              <w:t>3</w:t>
            </w:r>
            <w:r>
              <w:rPr>
                <w:spacing w:val="-5"/>
              </w:rPr>
              <w:t>-N</w:t>
            </w:r>
            <w:r>
              <w:rPr>
                <w:spacing w:val="-30"/>
              </w:rPr>
              <w:t xml:space="preserve"> </w:t>
            </w:r>
            <w:r>
              <w:rPr>
                <w:rFonts w:ascii="宋体" w:hAnsi="宋体" w:eastAsia="宋体" w:cs="宋体"/>
                <w:spacing w:val="-5"/>
              </w:rPr>
              <w:t>、</w:t>
            </w:r>
            <w:r>
              <w:rPr>
                <w:spacing w:val="-5"/>
              </w:rPr>
              <w:t>SS</w:t>
            </w:r>
            <w:r>
              <w:rPr>
                <w:spacing w:val="-30"/>
              </w:rPr>
              <w:t xml:space="preserve"> </w:t>
            </w:r>
            <w:r>
              <w:rPr>
                <w:rFonts w:ascii="宋体" w:hAnsi="宋体" w:eastAsia="宋体" w:cs="宋体"/>
                <w:spacing w:val="-5"/>
              </w:rPr>
              <w:t>、</w:t>
            </w:r>
            <w:r>
              <w:rPr>
                <w:spacing w:val="-5"/>
              </w:rPr>
              <w:t>TP</w:t>
            </w:r>
          </w:p>
        </w:tc>
      </w:tr>
      <w:tr w14:paraId="39BC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3" w:type="dxa"/>
            <w:vMerge w:val="restart"/>
            <w:tcBorders>
              <w:bottom w:val="nil"/>
            </w:tcBorders>
            <w:vAlign w:val="top"/>
          </w:tcPr>
          <w:p w14:paraId="61816EFF">
            <w:pPr>
              <w:spacing w:before="241" w:line="220" w:lineRule="auto"/>
              <w:ind w:left="376"/>
              <w:rPr>
                <w:rFonts w:ascii="宋体" w:hAnsi="宋体" w:eastAsia="宋体" w:cs="宋体"/>
                <w:sz w:val="21"/>
                <w:szCs w:val="21"/>
              </w:rPr>
            </w:pPr>
            <w:r>
              <w:rPr>
                <w:rFonts w:ascii="宋体" w:hAnsi="宋体" w:eastAsia="宋体" w:cs="宋体"/>
                <w:spacing w:val="-5"/>
                <w:sz w:val="21"/>
                <w:szCs w:val="21"/>
              </w:rPr>
              <w:t>噪声</w:t>
            </w:r>
          </w:p>
        </w:tc>
        <w:tc>
          <w:tcPr>
            <w:tcW w:w="1982" w:type="dxa"/>
            <w:vAlign w:val="top"/>
          </w:tcPr>
          <w:p w14:paraId="36BEA9BE">
            <w:pPr>
              <w:spacing w:before="65" w:line="219" w:lineRule="auto"/>
              <w:ind w:left="574"/>
              <w:rPr>
                <w:rFonts w:ascii="宋体" w:hAnsi="宋体" w:eastAsia="宋体" w:cs="宋体"/>
                <w:sz w:val="21"/>
                <w:szCs w:val="21"/>
              </w:rPr>
            </w:pPr>
            <w:r>
              <w:rPr>
                <w:rFonts w:ascii="宋体" w:hAnsi="宋体" w:eastAsia="宋体" w:cs="宋体"/>
                <w:spacing w:val="-2"/>
                <w:sz w:val="21"/>
                <w:szCs w:val="21"/>
              </w:rPr>
              <w:t>机械设备</w:t>
            </w:r>
          </w:p>
        </w:tc>
        <w:tc>
          <w:tcPr>
            <w:tcW w:w="2123" w:type="dxa"/>
            <w:vAlign w:val="top"/>
          </w:tcPr>
          <w:p w14:paraId="53E16E90">
            <w:pPr>
              <w:spacing w:before="66" w:line="220" w:lineRule="auto"/>
              <w:ind w:left="650"/>
              <w:rPr>
                <w:rFonts w:ascii="宋体" w:hAnsi="宋体" w:eastAsia="宋体" w:cs="宋体"/>
                <w:sz w:val="21"/>
                <w:szCs w:val="21"/>
              </w:rPr>
            </w:pPr>
            <w:r>
              <w:rPr>
                <w:rFonts w:ascii="宋体" w:hAnsi="宋体" w:eastAsia="宋体" w:cs="宋体"/>
                <w:spacing w:val="-3"/>
                <w:sz w:val="21"/>
                <w:szCs w:val="21"/>
              </w:rPr>
              <w:t>设备噪声</w:t>
            </w:r>
          </w:p>
        </w:tc>
        <w:tc>
          <w:tcPr>
            <w:tcW w:w="3072" w:type="dxa"/>
            <w:vAlign w:val="top"/>
          </w:tcPr>
          <w:p w14:paraId="62C4DFDB">
            <w:pPr>
              <w:spacing w:before="66" w:line="220" w:lineRule="auto"/>
              <w:ind w:left="1341"/>
              <w:rPr>
                <w:rFonts w:ascii="宋体" w:hAnsi="宋体" w:eastAsia="宋体" w:cs="宋体"/>
                <w:sz w:val="21"/>
                <w:szCs w:val="21"/>
              </w:rPr>
            </w:pPr>
            <w:r>
              <w:rPr>
                <w:rFonts w:ascii="宋体" w:hAnsi="宋体" w:eastAsia="宋体" w:cs="宋体"/>
                <w:spacing w:val="-5"/>
                <w:sz w:val="21"/>
                <w:szCs w:val="21"/>
              </w:rPr>
              <w:t>噪声</w:t>
            </w:r>
          </w:p>
        </w:tc>
      </w:tr>
      <w:tr w14:paraId="2A9C1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3" w:type="dxa"/>
            <w:vMerge w:val="continue"/>
            <w:tcBorders>
              <w:top w:val="nil"/>
            </w:tcBorders>
            <w:vAlign w:val="top"/>
          </w:tcPr>
          <w:p w14:paraId="47D83A7E">
            <w:pPr>
              <w:rPr>
                <w:rFonts w:ascii="Arial"/>
                <w:sz w:val="21"/>
              </w:rPr>
            </w:pPr>
          </w:p>
        </w:tc>
        <w:tc>
          <w:tcPr>
            <w:tcW w:w="1982" w:type="dxa"/>
            <w:vAlign w:val="top"/>
          </w:tcPr>
          <w:p w14:paraId="2850EA96">
            <w:pPr>
              <w:spacing w:before="66" w:line="220" w:lineRule="auto"/>
              <w:ind w:left="784"/>
              <w:rPr>
                <w:rFonts w:ascii="宋体" w:hAnsi="宋体" w:eastAsia="宋体" w:cs="宋体"/>
                <w:sz w:val="21"/>
                <w:szCs w:val="21"/>
              </w:rPr>
            </w:pPr>
            <w:r>
              <w:rPr>
                <w:rFonts w:ascii="宋体" w:hAnsi="宋体" w:eastAsia="宋体" w:cs="宋体"/>
                <w:spacing w:val="-3"/>
                <w:sz w:val="21"/>
                <w:szCs w:val="21"/>
              </w:rPr>
              <w:t>猪舍</w:t>
            </w:r>
          </w:p>
        </w:tc>
        <w:tc>
          <w:tcPr>
            <w:tcW w:w="2123" w:type="dxa"/>
            <w:vAlign w:val="top"/>
          </w:tcPr>
          <w:p w14:paraId="2B2AEE35">
            <w:pPr>
              <w:spacing w:before="66" w:line="220" w:lineRule="auto"/>
              <w:ind w:left="751"/>
              <w:rPr>
                <w:rFonts w:ascii="宋体" w:hAnsi="宋体" w:eastAsia="宋体" w:cs="宋体"/>
                <w:sz w:val="21"/>
                <w:szCs w:val="21"/>
              </w:rPr>
            </w:pPr>
            <w:r>
              <w:rPr>
                <w:rFonts w:ascii="宋体" w:hAnsi="宋体" w:eastAsia="宋体" w:cs="宋体"/>
                <w:spacing w:val="-2"/>
                <w:sz w:val="21"/>
                <w:szCs w:val="21"/>
              </w:rPr>
              <w:t>猪叫声</w:t>
            </w:r>
          </w:p>
        </w:tc>
        <w:tc>
          <w:tcPr>
            <w:tcW w:w="3072" w:type="dxa"/>
            <w:vAlign w:val="top"/>
          </w:tcPr>
          <w:p w14:paraId="3072373F">
            <w:pPr>
              <w:spacing w:before="66" w:line="220" w:lineRule="auto"/>
              <w:ind w:left="1341"/>
              <w:rPr>
                <w:rFonts w:ascii="宋体" w:hAnsi="宋体" w:eastAsia="宋体" w:cs="宋体"/>
                <w:sz w:val="21"/>
                <w:szCs w:val="21"/>
              </w:rPr>
            </w:pPr>
            <w:r>
              <w:rPr>
                <w:rFonts w:ascii="宋体" w:hAnsi="宋体" w:eastAsia="宋体" w:cs="宋体"/>
                <w:spacing w:val="-5"/>
                <w:sz w:val="21"/>
                <w:szCs w:val="21"/>
              </w:rPr>
              <w:t>噪声</w:t>
            </w:r>
          </w:p>
        </w:tc>
      </w:tr>
      <w:tr w14:paraId="780A2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3" w:type="dxa"/>
            <w:vMerge w:val="restart"/>
            <w:tcBorders>
              <w:bottom w:val="nil"/>
            </w:tcBorders>
            <w:vAlign w:val="top"/>
          </w:tcPr>
          <w:p w14:paraId="1B5A534B">
            <w:pPr>
              <w:spacing w:line="278" w:lineRule="auto"/>
              <w:rPr>
                <w:rFonts w:ascii="Arial"/>
                <w:sz w:val="21"/>
              </w:rPr>
            </w:pPr>
          </w:p>
          <w:p w14:paraId="423D4EDE">
            <w:pPr>
              <w:spacing w:line="278" w:lineRule="auto"/>
              <w:rPr>
                <w:rFonts w:ascii="Arial"/>
                <w:sz w:val="21"/>
              </w:rPr>
            </w:pPr>
          </w:p>
          <w:p w14:paraId="78DF3ED2">
            <w:pPr>
              <w:spacing w:line="279" w:lineRule="auto"/>
              <w:rPr>
                <w:rFonts w:ascii="Arial"/>
                <w:sz w:val="21"/>
              </w:rPr>
            </w:pPr>
          </w:p>
          <w:p w14:paraId="62064F21">
            <w:pPr>
              <w:spacing w:before="69" w:line="220" w:lineRule="auto"/>
              <w:ind w:left="174"/>
              <w:rPr>
                <w:rFonts w:ascii="宋体" w:hAnsi="宋体" w:eastAsia="宋体" w:cs="宋体"/>
                <w:sz w:val="21"/>
                <w:szCs w:val="21"/>
              </w:rPr>
            </w:pPr>
            <w:r>
              <w:rPr>
                <w:rFonts w:ascii="宋体" w:hAnsi="宋体" w:eastAsia="宋体" w:cs="宋体"/>
                <w:spacing w:val="-5"/>
                <w:sz w:val="21"/>
                <w:szCs w:val="21"/>
              </w:rPr>
              <w:t>固体废物</w:t>
            </w:r>
          </w:p>
        </w:tc>
        <w:tc>
          <w:tcPr>
            <w:tcW w:w="1982" w:type="dxa"/>
            <w:vMerge w:val="restart"/>
            <w:tcBorders>
              <w:bottom w:val="nil"/>
            </w:tcBorders>
            <w:vAlign w:val="top"/>
          </w:tcPr>
          <w:p w14:paraId="1A3543D4">
            <w:pPr>
              <w:spacing w:line="313" w:lineRule="auto"/>
              <w:rPr>
                <w:rFonts w:ascii="Arial"/>
                <w:sz w:val="21"/>
              </w:rPr>
            </w:pPr>
          </w:p>
          <w:p w14:paraId="329ADA36">
            <w:pPr>
              <w:spacing w:before="68" w:line="220" w:lineRule="auto"/>
              <w:ind w:left="784"/>
              <w:rPr>
                <w:rFonts w:ascii="宋体" w:hAnsi="宋体" w:eastAsia="宋体" w:cs="宋体"/>
                <w:sz w:val="21"/>
                <w:szCs w:val="21"/>
              </w:rPr>
            </w:pPr>
            <w:r>
              <w:rPr>
                <w:rFonts w:ascii="宋体" w:hAnsi="宋体" w:eastAsia="宋体" w:cs="宋体"/>
                <w:spacing w:val="-3"/>
                <w:sz w:val="21"/>
                <w:szCs w:val="21"/>
              </w:rPr>
              <w:t>猪舍</w:t>
            </w:r>
          </w:p>
        </w:tc>
        <w:tc>
          <w:tcPr>
            <w:tcW w:w="2123" w:type="dxa"/>
            <w:vAlign w:val="top"/>
          </w:tcPr>
          <w:p w14:paraId="4B68943A">
            <w:pPr>
              <w:spacing w:before="66" w:line="220" w:lineRule="auto"/>
              <w:ind w:left="646"/>
              <w:rPr>
                <w:rFonts w:ascii="宋体" w:hAnsi="宋体" w:eastAsia="宋体" w:cs="宋体"/>
                <w:sz w:val="21"/>
                <w:szCs w:val="21"/>
              </w:rPr>
            </w:pPr>
            <w:r>
              <w:rPr>
                <w:rFonts w:ascii="宋体" w:hAnsi="宋体" w:eastAsia="宋体" w:cs="宋体"/>
                <w:spacing w:val="-2"/>
                <w:sz w:val="21"/>
                <w:szCs w:val="21"/>
              </w:rPr>
              <w:t>废矿物油</w:t>
            </w:r>
          </w:p>
        </w:tc>
        <w:tc>
          <w:tcPr>
            <w:tcW w:w="3072" w:type="dxa"/>
            <w:vAlign w:val="top"/>
          </w:tcPr>
          <w:p w14:paraId="4E62BFBF">
            <w:pPr>
              <w:spacing w:before="66" w:line="220" w:lineRule="auto"/>
              <w:ind w:left="1123"/>
              <w:rPr>
                <w:rFonts w:ascii="宋体" w:hAnsi="宋体" w:eastAsia="宋体" w:cs="宋体"/>
                <w:sz w:val="21"/>
                <w:szCs w:val="21"/>
              </w:rPr>
            </w:pPr>
            <w:r>
              <w:rPr>
                <w:rFonts w:ascii="宋体" w:hAnsi="宋体" w:eastAsia="宋体" w:cs="宋体"/>
                <w:spacing w:val="-3"/>
                <w:sz w:val="21"/>
                <w:szCs w:val="21"/>
              </w:rPr>
              <w:t>危险废物</w:t>
            </w:r>
          </w:p>
        </w:tc>
      </w:tr>
      <w:tr w14:paraId="08CED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43" w:type="dxa"/>
            <w:vMerge w:val="continue"/>
            <w:tcBorders>
              <w:top w:val="nil"/>
              <w:bottom w:val="nil"/>
            </w:tcBorders>
            <w:vAlign w:val="top"/>
          </w:tcPr>
          <w:p w14:paraId="7FCD8875">
            <w:pPr>
              <w:rPr>
                <w:rFonts w:ascii="Arial"/>
                <w:sz w:val="21"/>
              </w:rPr>
            </w:pPr>
          </w:p>
        </w:tc>
        <w:tc>
          <w:tcPr>
            <w:tcW w:w="1982" w:type="dxa"/>
            <w:vMerge w:val="continue"/>
            <w:tcBorders>
              <w:top w:val="nil"/>
            </w:tcBorders>
            <w:vAlign w:val="top"/>
          </w:tcPr>
          <w:p w14:paraId="1EEB7E2D">
            <w:pPr>
              <w:rPr>
                <w:rFonts w:ascii="Arial"/>
                <w:sz w:val="21"/>
              </w:rPr>
            </w:pPr>
          </w:p>
        </w:tc>
        <w:tc>
          <w:tcPr>
            <w:tcW w:w="2123" w:type="dxa"/>
            <w:vAlign w:val="top"/>
          </w:tcPr>
          <w:p w14:paraId="7B6BE9F2">
            <w:pPr>
              <w:spacing w:before="52" w:line="220" w:lineRule="auto"/>
              <w:ind w:left="17"/>
              <w:rPr>
                <w:rFonts w:ascii="宋体" w:hAnsi="宋体" w:eastAsia="宋体" w:cs="宋体"/>
                <w:sz w:val="21"/>
                <w:szCs w:val="21"/>
              </w:rPr>
            </w:pPr>
            <w:r>
              <w:rPr>
                <w:rFonts w:ascii="宋体" w:hAnsi="宋体" w:eastAsia="宋体" w:cs="宋体"/>
                <w:spacing w:val="-1"/>
                <w:sz w:val="21"/>
                <w:szCs w:val="21"/>
              </w:rPr>
              <w:t>猪粪、病死猪、诊疗废</w:t>
            </w:r>
          </w:p>
          <w:p w14:paraId="03C1D1A8">
            <w:pPr>
              <w:spacing w:before="61" w:line="220" w:lineRule="auto"/>
              <w:ind w:left="860"/>
              <w:rPr>
                <w:rFonts w:ascii="宋体" w:hAnsi="宋体" w:eastAsia="宋体" w:cs="宋体"/>
                <w:sz w:val="21"/>
                <w:szCs w:val="21"/>
              </w:rPr>
            </w:pPr>
            <w:r>
              <w:rPr>
                <w:rFonts w:ascii="宋体" w:hAnsi="宋体" w:eastAsia="宋体" w:cs="宋体"/>
                <w:spacing w:val="-3"/>
                <w:sz w:val="21"/>
                <w:szCs w:val="21"/>
              </w:rPr>
              <w:t>弃物</w:t>
            </w:r>
          </w:p>
        </w:tc>
        <w:tc>
          <w:tcPr>
            <w:tcW w:w="3072" w:type="dxa"/>
            <w:vMerge w:val="restart"/>
            <w:tcBorders>
              <w:bottom w:val="nil"/>
            </w:tcBorders>
            <w:vAlign w:val="top"/>
          </w:tcPr>
          <w:p w14:paraId="33963348">
            <w:pPr>
              <w:spacing w:line="244" w:lineRule="auto"/>
              <w:rPr>
                <w:rFonts w:ascii="Arial"/>
                <w:sz w:val="21"/>
              </w:rPr>
            </w:pPr>
          </w:p>
          <w:p w14:paraId="3B6B0B1B">
            <w:pPr>
              <w:spacing w:line="244" w:lineRule="auto"/>
              <w:rPr>
                <w:rFonts w:ascii="Arial"/>
                <w:sz w:val="21"/>
              </w:rPr>
            </w:pPr>
          </w:p>
          <w:p w14:paraId="7337735C">
            <w:pPr>
              <w:spacing w:before="68" w:line="220" w:lineRule="auto"/>
              <w:ind w:left="914"/>
              <w:rPr>
                <w:rFonts w:ascii="宋体" w:hAnsi="宋体" w:eastAsia="宋体" w:cs="宋体"/>
                <w:sz w:val="21"/>
                <w:szCs w:val="21"/>
              </w:rPr>
            </w:pPr>
            <w:r>
              <w:rPr>
                <w:rFonts w:ascii="宋体" w:hAnsi="宋体" w:eastAsia="宋体" w:cs="宋体"/>
                <w:spacing w:val="-2"/>
                <w:sz w:val="21"/>
                <w:szCs w:val="21"/>
              </w:rPr>
              <w:t>一般固体废物</w:t>
            </w:r>
          </w:p>
        </w:tc>
      </w:tr>
      <w:tr w14:paraId="1907F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3" w:type="dxa"/>
            <w:vMerge w:val="continue"/>
            <w:tcBorders>
              <w:top w:val="nil"/>
              <w:bottom w:val="nil"/>
            </w:tcBorders>
            <w:vAlign w:val="top"/>
          </w:tcPr>
          <w:p w14:paraId="13B968BE">
            <w:pPr>
              <w:rPr>
                <w:rFonts w:ascii="Arial"/>
                <w:sz w:val="21"/>
              </w:rPr>
            </w:pPr>
          </w:p>
        </w:tc>
        <w:tc>
          <w:tcPr>
            <w:tcW w:w="1982" w:type="dxa"/>
            <w:vAlign w:val="top"/>
          </w:tcPr>
          <w:p w14:paraId="7E114597">
            <w:pPr>
              <w:spacing w:before="67" w:line="220" w:lineRule="auto"/>
              <w:ind w:left="471"/>
              <w:rPr>
                <w:rFonts w:ascii="宋体" w:hAnsi="宋体" w:eastAsia="宋体" w:cs="宋体"/>
                <w:sz w:val="21"/>
                <w:szCs w:val="21"/>
              </w:rPr>
            </w:pPr>
            <w:r>
              <w:rPr>
                <w:rFonts w:ascii="宋体" w:hAnsi="宋体" w:eastAsia="宋体" w:cs="宋体"/>
                <w:spacing w:val="-2"/>
                <w:sz w:val="21"/>
                <w:szCs w:val="21"/>
              </w:rPr>
              <w:t>粪污处理区</w:t>
            </w:r>
          </w:p>
        </w:tc>
        <w:tc>
          <w:tcPr>
            <w:tcW w:w="2123" w:type="dxa"/>
            <w:vAlign w:val="top"/>
          </w:tcPr>
          <w:p w14:paraId="38FD7AD0">
            <w:pPr>
              <w:spacing w:before="67" w:line="220" w:lineRule="auto"/>
              <w:ind w:left="349"/>
              <w:rPr>
                <w:rFonts w:ascii="宋体" w:hAnsi="宋体" w:eastAsia="宋体" w:cs="宋体"/>
                <w:sz w:val="21"/>
                <w:szCs w:val="21"/>
              </w:rPr>
            </w:pPr>
            <w:r>
              <w:rPr>
                <w:rFonts w:ascii="宋体" w:hAnsi="宋体" w:eastAsia="宋体" w:cs="宋体"/>
                <w:spacing w:val="-4"/>
                <w:sz w:val="21"/>
                <w:szCs w:val="21"/>
              </w:rPr>
              <w:t>固体粪便、沼渣</w:t>
            </w:r>
          </w:p>
        </w:tc>
        <w:tc>
          <w:tcPr>
            <w:tcW w:w="3072" w:type="dxa"/>
            <w:vMerge w:val="continue"/>
            <w:tcBorders>
              <w:top w:val="nil"/>
              <w:bottom w:val="nil"/>
            </w:tcBorders>
            <w:vAlign w:val="top"/>
          </w:tcPr>
          <w:p w14:paraId="78D41629">
            <w:pPr>
              <w:rPr>
                <w:rFonts w:ascii="Arial"/>
                <w:sz w:val="21"/>
              </w:rPr>
            </w:pPr>
          </w:p>
        </w:tc>
      </w:tr>
      <w:tr w14:paraId="2C9D5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43" w:type="dxa"/>
            <w:vMerge w:val="continue"/>
            <w:tcBorders>
              <w:top w:val="nil"/>
              <w:bottom w:val="nil"/>
            </w:tcBorders>
            <w:vAlign w:val="top"/>
          </w:tcPr>
          <w:p w14:paraId="081D7758">
            <w:pPr>
              <w:rPr>
                <w:rFonts w:ascii="Arial"/>
                <w:sz w:val="21"/>
              </w:rPr>
            </w:pPr>
          </w:p>
        </w:tc>
        <w:tc>
          <w:tcPr>
            <w:tcW w:w="1982" w:type="dxa"/>
            <w:vAlign w:val="top"/>
          </w:tcPr>
          <w:p w14:paraId="6ABBD0D0">
            <w:pPr>
              <w:spacing w:before="68" w:line="220" w:lineRule="auto"/>
              <w:ind w:left="369"/>
              <w:rPr>
                <w:rFonts w:ascii="宋体" w:hAnsi="宋体" w:eastAsia="宋体" w:cs="宋体"/>
                <w:sz w:val="21"/>
                <w:szCs w:val="21"/>
              </w:rPr>
            </w:pPr>
            <w:r>
              <w:rPr>
                <w:rFonts w:ascii="宋体" w:hAnsi="宋体" w:eastAsia="宋体" w:cs="宋体"/>
                <w:spacing w:val="-2"/>
                <w:sz w:val="21"/>
                <w:szCs w:val="21"/>
              </w:rPr>
              <w:t>沼气净化装置</w:t>
            </w:r>
          </w:p>
        </w:tc>
        <w:tc>
          <w:tcPr>
            <w:tcW w:w="2123" w:type="dxa"/>
            <w:vAlign w:val="top"/>
          </w:tcPr>
          <w:p w14:paraId="40EECB65">
            <w:pPr>
              <w:spacing w:before="67" w:line="219" w:lineRule="auto"/>
              <w:ind w:left="646"/>
              <w:rPr>
                <w:rFonts w:ascii="宋体" w:hAnsi="宋体" w:eastAsia="宋体" w:cs="宋体"/>
                <w:sz w:val="21"/>
                <w:szCs w:val="21"/>
              </w:rPr>
            </w:pPr>
            <w:r>
              <w:rPr>
                <w:rFonts w:ascii="宋体" w:hAnsi="宋体" w:eastAsia="宋体" w:cs="宋体"/>
                <w:spacing w:val="-2"/>
                <w:sz w:val="21"/>
                <w:szCs w:val="21"/>
              </w:rPr>
              <w:t>废脱硫剂</w:t>
            </w:r>
          </w:p>
        </w:tc>
        <w:tc>
          <w:tcPr>
            <w:tcW w:w="3072" w:type="dxa"/>
            <w:vMerge w:val="continue"/>
            <w:tcBorders>
              <w:top w:val="nil"/>
            </w:tcBorders>
            <w:vAlign w:val="top"/>
          </w:tcPr>
          <w:p w14:paraId="0B7691FD">
            <w:pPr>
              <w:rPr>
                <w:rFonts w:ascii="Arial"/>
                <w:sz w:val="21"/>
              </w:rPr>
            </w:pPr>
          </w:p>
        </w:tc>
      </w:tr>
      <w:tr w14:paraId="37157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43" w:type="dxa"/>
            <w:vMerge w:val="continue"/>
            <w:tcBorders>
              <w:top w:val="nil"/>
            </w:tcBorders>
            <w:vAlign w:val="top"/>
          </w:tcPr>
          <w:p w14:paraId="444C9C0D">
            <w:pPr>
              <w:rPr>
                <w:rFonts w:ascii="Arial"/>
                <w:sz w:val="21"/>
              </w:rPr>
            </w:pPr>
          </w:p>
        </w:tc>
        <w:tc>
          <w:tcPr>
            <w:tcW w:w="1982" w:type="dxa"/>
            <w:vAlign w:val="top"/>
          </w:tcPr>
          <w:p w14:paraId="622FDEAB">
            <w:pPr>
              <w:spacing w:before="67" w:line="220" w:lineRule="auto"/>
              <w:ind w:left="473"/>
              <w:rPr>
                <w:rFonts w:ascii="宋体" w:hAnsi="宋体" w:eastAsia="宋体" w:cs="宋体"/>
                <w:sz w:val="21"/>
                <w:szCs w:val="21"/>
              </w:rPr>
            </w:pPr>
            <w:r>
              <w:rPr>
                <w:rFonts w:ascii="宋体" w:hAnsi="宋体" w:eastAsia="宋体" w:cs="宋体"/>
                <w:spacing w:val="-2"/>
                <w:sz w:val="21"/>
                <w:szCs w:val="21"/>
              </w:rPr>
              <w:t>办公生活区</w:t>
            </w:r>
          </w:p>
        </w:tc>
        <w:tc>
          <w:tcPr>
            <w:tcW w:w="2123" w:type="dxa"/>
            <w:vAlign w:val="top"/>
          </w:tcPr>
          <w:p w14:paraId="13538044">
            <w:pPr>
              <w:spacing w:before="68" w:line="220" w:lineRule="auto"/>
              <w:ind w:left="649"/>
              <w:rPr>
                <w:rFonts w:ascii="宋体" w:hAnsi="宋体" w:eastAsia="宋体" w:cs="宋体"/>
                <w:sz w:val="21"/>
                <w:szCs w:val="21"/>
              </w:rPr>
            </w:pPr>
            <w:r>
              <w:rPr>
                <w:rFonts w:ascii="宋体" w:hAnsi="宋体" w:eastAsia="宋体" w:cs="宋体"/>
                <w:spacing w:val="-2"/>
                <w:sz w:val="21"/>
                <w:szCs w:val="21"/>
              </w:rPr>
              <w:t>生活垃圾</w:t>
            </w:r>
          </w:p>
        </w:tc>
        <w:tc>
          <w:tcPr>
            <w:tcW w:w="3072" w:type="dxa"/>
            <w:vAlign w:val="top"/>
          </w:tcPr>
          <w:p w14:paraId="0EA44AD4">
            <w:pPr>
              <w:spacing w:before="68" w:line="220" w:lineRule="auto"/>
              <w:ind w:left="1122"/>
              <w:rPr>
                <w:rFonts w:ascii="宋体" w:hAnsi="宋体" w:eastAsia="宋体" w:cs="宋体"/>
                <w:sz w:val="21"/>
                <w:szCs w:val="21"/>
              </w:rPr>
            </w:pPr>
            <w:r>
              <w:rPr>
                <w:rFonts w:ascii="宋体" w:hAnsi="宋体" w:eastAsia="宋体" w:cs="宋体"/>
                <w:spacing w:val="-2"/>
                <w:sz w:val="21"/>
                <w:szCs w:val="21"/>
              </w:rPr>
              <w:t>生活垃圾</w:t>
            </w:r>
          </w:p>
        </w:tc>
      </w:tr>
    </w:tbl>
    <w:p w14:paraId="15C33A43">
      <w:pPr>
        <w:spacing w:before="281" w:line="220" w:lineRule="auto"/>
        <w:ind w:left="37"/>
        <w:rPr>
          <w:rFonts w:ascii="宋体" w:hAnsi="宋体" w:eastAsia="宋体" w:cs="宋体"/>
          <w:sz w:val="30"/>
          <w:szCs w:val="30"/>
        </w:rPr>
      </w:pPr>
      <w:r>
        <w:rPr>
          <w:rFonts w:ascii="Times New Roman" w:hAnsi="Times New Roman" w:eastAsia="Times New Roman" w:cs="Times New Roman"/>
          <w:b/>
          <w:bCs/>
          <w:spacing w:val="-4"/>
          <w:sz w:val="30"/>
          <w:szCs w:val="30"/>
        </w:rPr>
        <w:t>2.2.3</w:t>
      </w:r>
      <w:r>
        <w:rPr>
          <w:rFonts w:ascii="Times New Roman" w:hAnsi="Times New Roman" w:eastAsia="Times New Roman" w:cs="Times New Roman"/>
          <w:b/>
          <w:bCs/>
          <w:spacing w:val="10"/>
          <w:sz w:val="30"/>
          <w:szCs w:val="30"/>
        </w:rPr>
        <w:t xml:space="preserve">  </w:t>
      </w:r>
      <w:r>
        <w:rPr>
          <w:rFonts w:ascii="宋体" w:hAnsi="宋体" w:eastAsia="宋体" w:cs="宋体"/>
          <w:b/>
          <w:bCs/>
          <w:spacing w:val="-4"/>
          <w:sz w:val="30"/>
          <w:szCs w:val="30"/>
        </w:rPr>
        <w:t>水平衡</w:t>
      </w:r>
    </w:p>
    <w:p w14:paraId="578A0444">
      <w:pPr>
        <w:pStyle w:val="2"/>
        <w:spacing w:line="306" w:lineRule="auto"/>
      </w:pPr>
    </w:p>
    <w:p w14:paraId="0F3A767E">
      <w:pPr>
        <w:spacing w:before="89"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2.2.3.1 </w:t>
      </w:r>
      <w:r>
        <w:rPr>
          <w:rFonts w:ascii="宋体" w:hAnsi="宋体" w:eastAsia="宋体" w:cs="宋体"/>
          <w:b/>
          <w:bCs/>
          <w:spacing w:val="4"/>
          <w:sz w:val="27"/>
          <w:szCs w:val="27"/>
        </w:rPr>
        <w:t>用水情况</w:t>
      </w:r>
    </w:p>
    <w:p w14:paraId="3413327B">
      <w:pPr>
        <w:spacing w:before="237" w:line="359" w:lineRule="auto"/>
        <w:ind w:left="41" w:firstLine="479"/>
        <w:jc w:val="both"/>
        <w:rPr>
          <w:rFonts w:ascii="宋体" w:hAnsi="宋体" w:eastAsia="宋体" w:cs="宋体"/>
          <w:sz w:val="24"/>
          <w:szCs w:val="24"/>
        </w:rPr>
      </w:pPr>
      <w:r>
        <w:rPr>
          <w:rFonts w:ascii="宋体" w:hAnsi="宋体" w:eastAsia="宋体" w:cs="宋体"/>
          <w:spacing w:val="-5"/>
          <w:sz w:val="24"/>
          <w:szCs w:val="24"/>
        </w:rPr>
        <w:t>本项目运营期生产、生活及绿化用水均使用地</w:t>
      </w:r>
      <w:r>
        <w:rPr>
          <w:rFonts w:ascii="宋体" w:hAnsi="宋体" w:eastAsia="宋体" w:cs="宋体"/>
          <w:spacing w:val="-6"/>
          <w:sz w:val="24"/>
          <w:szCs w:val="24"/>
        </w:rPr>
        <w:t>下水，</w:t>
      </w:r>
      <w:r>
        <w:rPr>
          <w:rFonts w:ascii="宋体" w:hAnsi="宋体" w:eastAsia="宋体" w:cs="宋体"/>
          <w:spacing w:val="-47"/>
          <w:sz w:val="24"/>
          <w:szCs w:val="24"/>
        </w:rPr>
        <w:t xml:space="preserve"> </w:t>
      </w:r>
      <w:r>
        <w:rPr>
          <w:rFonts w:ascii="宋体" w:hAnsi="宋体" w:eastAsia="宋体" w:cs="宋体"/>
          <w:spacing w:val="-6"/>
          <w:sz w:val="24"/>
          <w:szCs w:val="24"/>
        </w:rPr>
        <w:t>生产用水主要包括猪饮</w:t>
      </w:r>
      <w:r>
        <w:rPr>
          <w:rFonts w:ascii="宋体" w:hAnsi="宋体" w:eastAsia="宋体" w:cs="宋体"/>
          <w:spacing w:val="-7"/>
          <w:sz w:val="24"/>
          <w:szCs w:val="24"/>
        </w:rPr>
        <w:t>用水、出栏猪舍冲洗用水、水帘循环补充用水等。根据《建筑给水排水设计规范》</w:t>
      </w:r>
      <w:r>
        <w:rPr>
          <w:rFonts w:ascii="宋体" w:hAnsi="宋体" w:eastAsia="宋体" w:cs="宋体"/>
          <w:spacing w:val="15"/>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GB50015-2019</w:t>
      </w:r>
      <w:r>
        <w:rPr>
          <w:rFonts w:ascii="宋体" w:hAnsi="宋体" w:eastAsia="宋体" w:cs="宋体"/>
          <w:spacing w:val="-4"/>
          <w:sz w:val="24"/>
          <w:szCs w:val="24"/>
        </w:rPr>
        <w:t>）的要求，并结合《四川</w:t>
      </w:r>
      <w:r>
        <w:rPr>
          <w:rFonts w:ascii="宋体" w:hAnsi="宋体" w:eastAsia="宋体" w:cs="宋体"/>
          <w:spacing w:val="-5"/>
          <w:sz w:val="24"/>
          <w:szCs w:val="24"/>
        </w:rPr>
        <w:t>省用水定额》（川府函</w:t>
      </w:r>
      <w:r>
        <w:rPr>
          <w:rFonts w:ascii="Times New Roman" w:hAnsi="Times New Roman" w:eastAsia="Times New Roman" w:cs="Times New Roman"/>
          <w:spacing w:val="-5"/>
          <w:sz w:val="24"/>
          <w:szCs w:val="24"/>
        </w:rPr>
        <w:t>[</w:t>
      </w:r>
      <w:r>
        <w:fldChar w:fldCharType="begin"/>
      </w:r>
      <w:r>
        <w:instrText xml:space="preserve"> HYPERLINK \l "bookmark149" </w:instrText>
      </w:r>
      <w:r>
        <w:fldChar w:fldCharType="separate"/>
      </w:r>
      <w:r>
        <w:rPr>
          <w:rFonts w:ascii="Times New Roman" w:hAnsi="Times New Roman" w:eastAsia="Times New Roman" w:cs="Times New Roman"/>
          <w:spacing w:val="-5"/>
          <w:sz w:val="24"/>
          <w:szCs w:val="24"/>
        </w:rPr>
        <w:t>2021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]8</w:t>
      </w:r>
      <w:r>
        <w:rPr>
          <w:rFonts w:ascii="宋体" w:hAnsi="宋体" w:eastAsia="宋体" w:cs="宋体"/>
          <w:spacing w:val="-5"/>
          <w:sz w:val="24"/>
          <w:szCs w:val="24"/>
        </w:rPr>
        <w:t>号）以及</w:t>
      </w:r>
      <w:r>
        <w:rPr>
          <w:rFonts w:ascii="宋体" w:hAnsi="宋体" w:eastAsia="宋体" w:cs="宋体"/>
          <w:spacing w:val="-3"/>
          <w:sz w:val="24"/>
          <w:szCs w:val="24"/>
        </w:rPr>
        <w:t>行业种猪养殖经验，核算本项目用水情况如</w:t>
      </w:r>
      <w:r>
        <w:rPr>
          <w:rFonts w:ascii="宋体" w:hAnsi="宋体" w:eastAsia="宋体" w:cs="宋体"/>
          <w:spacing w:val="-4"/>
          <w:sz w:val="24"/>
          <w:szCs w:val="24"/>
        </w:rPr>
        <w:t>下：</w:t>
      </w:r>
    </w:p>
    <w:p w14:paraId="3A84CA68">
      <w:pPr>
        <w:spacing w:before="4"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）生产用水</w:t>
      </w:r>
    </w:p>
    <w:p w14:paraId="484659A2">
      <w:pPr>
        <w:spacing w:before="183" w:line="217" w:lineRule="auto"/>
        <w:ind w:left="518"/>
        <w:rPr>
          <w:rFonts w:ascii="宋体" w:hAnsi="宋体" w:eastAsia="宋体" w:cs="宋体"/>
          <w:sz w:val="24"/>
          <w:szCs w:val="24"/>
        </w:rPr>
      </w:pPr>
      <w:r>
        <w:rPr>
          <w:rFonts w:ascii="宋体" w:hAnsi="宋体" w:eastAsia="宋体" w:cs="宋体"/>
          <w:spacing w:val="-2"/>
          <w:sz w:val="24"/>
          <w:szCs w:val="24"/>
        </w:rPr>
        <w:t>①猪饮用水</w:t>
      </w:r>
    </w:p>
    <w:p w14:paraId="445A5565">
      <w:pPr>
        <w:spacing w:line="217" w:lineRule="auto"/>
        <w:rPr>
          <w:rFonts w:ascii="宋体" w:hAnsi="宋体" w:eastAsia="宋体" w:cs="宋体"/>
          <w:sz w:val="24"/>
          <w:szCs w:val="24"/>
        </w:rPr>
        <w:sectPr>
          <w:headerReference r:id="rId184" w:type="default"/>
          <w:footerReference r:id="rId185" w:type="default"/>
          <w:pgSz w:w="11905" w:h="16840"/>
          <w:pgMar w:top="1168" w:right="1689" w:bottom="1409" w:left="1770" w:header="828" w:footer="1244" w:gutter="0"/>
          <w:cols w:space="720" w:num="1"/>
        </w:sectPr>
      </w:pPr>
    </w:p>
    <w:p w14:paraId="6FE9D61C">
      <w:pPr>
        <w:pStyle w:val="2"/>
        <w:spacing w:line="310" w:lineRule="auto"/>
      </w:pPr>
    </w:p>
    <w:p w14:paraId="51449B6B">
      <w:pPr>
        <w:spacing w:before="78" w:line="358" w:lineRule="auto"/>
        <w:ind w:left="33" w:right="28" w:firstLine="485"/>
        <w:rPr>
          <w:rFonts w:ascii="宋体" w:hAnsi="宋体" w:eastAsia="宋体" w:cs="宋体"/>
          <w:sz w:val="24"/>
          <w:szCs w:val="24"/>
        </w:rPr>
      </w:pPr>
      <w:r>
        <w:rPr>
          <w:rFonts w:ascii="宋体" w:hAnsi="宋体" w:eastAsia="宋体" w:cs="宋体"/>
          <w:spacing w:val="-10"/>
          <w:sz w:val="24"/>
          <w:szCs w:val="24"/>
        </w:rPr>
        <w:t>猪的饮水量与猪的日龄、外界温度、气候变化、水温、供水方式、饲料</w:t>
      </w:r>
      <w:r>
        <w:rPr>
          <w:rFonts w:ascii="宋体" w:hAnsi="宋体" w:eastAsia="宋体" w:cs="宋体"/>
          <w:spacing w:val="-11"/>
          <w:sz w:val="24"/>
          <w:szCs w:val="24"/>
        </w:rPr>
        <w:t>种类、</w:t>
      </w:r>
      <w:r>
        <w:rPr>
          <w:rFonts w:ascii="宋体" w:hAnsi="宋体" w:eastAsia="宋体" w:cs="宋体"/>
          <w:spacing w:val="1"/>
          <w:sz w:val="24"/>
          <w:szCs w:val="24"/>
        </w:rPr>
        <w:t>饲喂方法及猪的活动量等有关。由于《排污许可</w:t>
      </w:r>
      <w:r>
        <w:rPr>
          <w:rFonts w:ascii="宋体" w:hAnsi="宋体" w:eastAsia="宋体" w:cs="宋体"/>
          <w:sz w:val="24"/>
          <w:szCs w:val="24"/>
        </w:rPr>
        <w:t>证申请与核发技术规范 畜禽养</w:t>
      </w:r>
      <w:r>
        <w:rPr>
          <w:rFonts w:ascii="宋体" w:hAnsi="宋体" w:eastAsia="宋体" w:cs="宋体"/>
          <w:spacing w:val="-5"/>
          <w:sz w:val="24"/>
          <w:szCs w:val="24"/>
        </w:rPr>
        <w:t>殖行业》（</w:t>
      </w:r>
      <w:r>
        <w:rPr>
          <w:rFonts w:ascii="Times New Roman" w:hAnsi="Times New Roman" w:eastAsia="Times New Roman" w:cs="Times New Roman"/>
          <w:spacing w:val="-5"/>
          <w:sz w:val="24"/>
          <w:szCs w:val="24"/>
        </w:rPr>
        <w:t>HJ1029-2019</w:t>
      </w:r>
      <w:r>
        <w:rPr>
          <w:rFonts w:ascii="宋体" w:hAnsi="宋体" w:eastAsia="宋体" w:cs="宋体"/>
          <w:spacing w:val="-5"/>
          <w:sz w:val="24"/>
          <w:szCs w:val="24"/>
        </w:rPr>
        <w:t>）中没有关于养殖行业用水量的</w:t>
      </w:r>
      <w:r>
        <w:rPr>
          <w:rFonts w:ascii="宋体" w:hAnsi="宋体" w:eastAsia="宋体" w:cs="宋体"/>
          <w:spacing w:val="-6"/>
          <w:sz w:val="24"/>
          <w:szCs w:val="24"/>
        </w:rPr>
        <w:t>核算方法，参照《环境评</w:t>
      </w:r>
      <w:r>
        <w:rPr>
          <w:rFonts w:ascii="宋体" w:hAnsi="宋体" w:eastAsia="宋体" w:cs="宋体"/>
          <w:spacing w:val="-10"/>
          <w:sz w:val="24"/>
          <w:szCs w:val="24"/>
        </w:rPr>
        <w:t>价工程师实用手册》（环境保护部环境工程评估中心编）、《不同阶段猪的饮水量</w:t>
      </w:r>
      <w:r>
        <w:rPr>
          <w:rFonts w:ascii="宋体" w:hAnsi="宋体" w:eastAsia="宋体" w:cs="宋体"/>
          <w:spacing w:val="-9"/>
          <w:sz w:val="24"/>
          <w:szCs w:val="24"/>
        </w:rPr>
        <w:t>特点及其主要影响因素》（雷燕、吕继蓉、张克英，《饲料工业》</w:t>
      </w:r>
      <w:r>
        <w:rPr>
          <w:rFonts w:ascii="Times New Roman" w:hAnsi="Times New Roman" w:eastAsia="Times New Roman" w:cs="Times New Roman"/>
          <w:spacing w:val="-9"/>
          <w:sz w:val="24"/>
          <w:szCs w:val="24"/>
        </w:rPr>
        <w:t>2011</w:t>
      </w:r>
      <w:r>
        <w:rPr>
          <w:rFonts w:ascii="宋体" w:hAnsi="宋体" w:eastAsia="宋体" w:cs="宋体"/>
          <w:spacing w:val="-9"/>
          <w:sz w:val="24"/>
          <w:szCs w:val="24"/>
        </w:rPr>
        <w:t>年第</w:t>
      </w:r>
      <w:r>
        <w:rPr>
          <w:rFonts w:ascii="Times New Roman" w:hAnsi="Times New Roman" w:eastAsia="Times New Roman" w:cs="Times New Roman"/>
          <w:spacing w:val="-9"/>
          <w:sz w:val="24"/>
          <w:szCs w:val="24"/>
        </w:rPr>
        <w:t>32</w:t>
      </w:r>
      <w:r>
        <w:rPr>
          <w:rFonts w:ascii="宋体" w:hAnsi="宋体" w:eastAsia="宋体" w:cs="宋体"/>
          <w:spacing w:val="-9"/>
          <w:sz w:val="24"/>
          <w:szCs w:val="24"/>
        </w:rPr>
        <w:t>卷第</w:t>
      </w:r>
      <w:r>
        <w:rPr>
          <w:rFonts w:ascii="Times New Roman" w:hAnsi="Times New Roman" w:eastAsia="Times New Roman" w:cs="Times New Roman"/>
          <w:spacing w:val="1"/>
          <w:sz w:val="24"/>
          <w:szCs w:val="24"/>
        </w:rPr>
        <w:t>4</w:t>
      </w:r>
      <w:r>
        <w:rPr>
          <w:rFonts w:ascii="宋体" w:hAnsi="宋体" w:eastAsia="宋体" w:cs="宋体"/>
          <w:spacing w:val="1"/>
          <w:sz w:val="24"/>
          <w:szCs w:val="24"/>
        </w:rPr>
        <w:t>期）中相关资料，并结合建设单位所在集团内</w:t>
      </w:r>
      <w:r>
        <w:rPr>
          <w:rFonts w:ascii="宋体" w:hAnsi="宋体" w:eastAsia="宋体" w:cs="宋体"/>
          <w:sz w:val="24"/>
          <w:szCs w:val="24"/>
        </w:rPr>
        <w:t>其他养殖场数据，本项目各阶段</w:t>
      </w:r>
      <w:r>
        <w:rPr>
          <w:rFonts w:ascii="宋体" w:hAnsi="宋体" w:eastAsia="宋体" w:cs="宋体"/>
          <w:spacing w:val="-2"/>
          <w:sz w:val="24"/>
          <w:szCs w:val="24"/>
        </w:rPr>
        <w:t>猪的饮用水情况如表</w:t>
      </w:r>
      <w:r>
        <w:rPr>
          <w:rFonts w:ascii="Times New Roman" w:hAnsi="Times New Roman" w:eastAsia="Times New Roman" w:cs="Times New Roman"/>
          <w:spacing w:val="-2"/>
          <w:sz w:val="24"/>
          <w:szCs w:val="24"/>
        </w:rPr>
        <w:t>2.2-4</w:t>
      </w:r>
      <w:r>
        <w:rPr>
          <w:rFonts w:ascii="宋体" w:hAnsi="宋体" w:eastAsia="宋体" w:cs="宋体"/>
          <w:spacing w:val="-2"/>
          <w:sz w:val="24"/>
          <w:szCs w:val="24"/>
        </w:rPr>
        <w:t>所示。</w:t>
      </w:r>
    </w:p>
    <w:p w14:paraId="3B8075E2">
      <w:pPr>
        <w:spacing w:line="353" w:lineRule="auto"/>
        <w:ind w:left="33" w:right="43" w:firstLine="487"/>
        <w:rPr>
          <w:rFonts w:ascii="宋体" w:hAnsi="宋体" w:eastAsia="宋体" w:cs="宋体"/>
          <w:sz w:val="24"/>
          <w:szCs w:val="24"/>
        </w:rPr>
      </w:pPr>
      <w:r>
        <w:rPr>
          <w:rFonts w:ascii="宋体" w:hAnsi="宋体" w:eastAsia="宋体" w:cs="宋体"/>
          <w:spacing w:val="-1"/>
          <w:sz w:val="24"/>
          <w:szCs w:val="24"/>
        </w:rPr>
        <w:t>经计算，本项目猪只饮用水为</w:t>
      </w:r>
      <w:r>
        <w:rPr>
          <w:rFonts w:ascii="Times New Roman" w:hAnsi="Times New Roman" w:eastAsia="Times New Roman" w:cs="Times New Roman"/>
          <w:spacing w:val="-1"/>
          <w:sz w:val="24"/>
          <w:szCs w:val="24"/>
        </w:rPr>
        <w:t>177214.5m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，其中夏季</w:t>
      </w:r>
      <w:r>
        <w:rPr>
          <w:rFonts w:ascii="Times New Roman" w:hAnsi="Times New Roman" w:eastAsia="Times New Roman" w:cs="Times New Roman"/>
          <w:spacing w:val="-1"/>
          <w:sz w:val="24"/>
          <w:szCs w:val="24"/>
        </w:rPr>
        <w:t>549.0m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、其他季节</w:t>
      </w:r>
      <w:r>
        <w:rPr>
          <w:rFonts w:ascii="Times New Roman" w:hAnsi="Times New Roman" w:eastAsia="Times New Roman" w:cs="Times New Roman"/>
          <w:sz w:val="24"/>
          <w:szCs w:val="24"/>
        </w:rPr>
        <w:t>463.50m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w:t>
      </w:r>
    </w:p>
    <w:p w14:paraId="28991F82">
      <w:pPr>
        <w:spacing w:before="45" w:line="221" w:lineRule="auto"/>
        <w:ind w:left="276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2.2-4  </w:t>
      </w:r>
      <w:r>
        <w:rPr>
          <w:rFonts w:ascii="黑体" w:hAnsi="黑体" w:eastAsia="黑体" w:cs="黑体"/>
          <w:spacing w:val="-1"/>
          <w:sz w:val="21"/>
          <w:szCs w:val="21"/>
        </w:rPr>
        <w:t>养殖场猪只饮用水量表</w:t>
      </w:r>
    </w:p>
    <w:p w14:paraId="3B28E6D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990"/>
        <w:gridCol w:w="991"/>
        <w:gridCol w:w="1274"/>
        <w:gridCol w:w="1275"/>
        <w:gridCol w:w="1414"/>
        <w:gridCol w:w="1374"/>
      </w:tblGrid>
      <w:tr w14:paraId="108FC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02" w:type="dxa"/>
            <w:vMerge w:val="restart"/>
            <w:tcBorders>
              <w:bottom w:val="nil"/>
            </w:tcBorders>
            <w:vAlign w:val="top"/>
          </w:tcPr>
          <w:p w14:paraId="5CA2ACAA">
            <w:pPr>
              <w:spacing w:before="243" w:line="220" w:lineRule="auto"/>
              <w:ind w:left="87"/>
              <w:rPr>
                <w:rFonts w:ascii="宋体" w:hAnsi="宋体" w:eastAsia="宋体" w:cs="宋体"/>
                <w:sz w:val="21"/>
                <w:szCs w:val="21"/>
              </w:rPr>
            </w:pPr>
            <w:r>
              <w:rPr>
                <w:rFonts w:ascii="宋体" w:hAnsi="宋体" w:eastAsia="宋体" w:cs="宋体"/>
                <w:spacing w:val="-2"/>
                <w:sz w:val="21"/>
                <w:szCs w:val="21"/>
              </w:rPr>
              <w:t>猪只类型</w:t>
            </w:r>
          </w:p>
        </w:tc>
        <w:tc>
          <w:tcPr>
            <w:tcW w:w="1981" w:type="dxa"/>
            <w:gridSpan w:val="2"/>
            <w:vAlign w:val="top"/>
          </w:tcPr>
          <w:p w14:paraId="7C0A7EF6">
            <w:pPr>
              <w:pStyle w:val="6"/>
              <w:spacing w:before="68" w:line="220" w:lineRule="auto"/>
              <w:ind w:left="79"/>
              <w:rPr>
                <w:rFonts w:ascii="宋体" w:hAnsi="宋体" w:eastAsia="宋体" w:cs="宋体"/>
              </w:rPr>
            </w:pPr>
            <w:r>
              <w:rPr>
                <w:rFonts w:ascii="宋体" w:hAnsi="宋体" w:eastAsia="宋体" w:cs="宋体"/>
                <w:spacing w:val="-1"/>
              </w:rPr>
              <w:t>用水系数（</w:t>
            </w:r>
            <w:r>
              <w:rPr>
                <w:spacing w:val="-1"/>
              </w:rPr>
              <w:t>L/</w:t>
            </w:r>
            <w:r>
              <w:rPr>
                <w:rFonts w:ascii="宋体" w:hAnsi="宋体" w:eastAsia="宋体" w:cs="宋体"/>
                <w:spacing w:val="-1"/>
              </w:rPr>
              <w:t>头</w:t>
            </w:r>
            <w:r>
              <w:rPr>
                <w:spacing w:val="-1"/>
              </w:rPr>
              <w:t>•d</w:t>
            </w:r>
            <w:r>
              <w:rPr>
                <w:rFonts w:ascii="宋体" w:hAnsi="宋体" w:eastAsia="宋体" w:cs="宋体"/>
                <w:spacing w:val="-1"/>
              </w:rPr>
              <w:t>）</w:t>
            </w:r>
          </w:p>
        </w:tc>
        <w:tc>
          <w:tcPr>
            <w:tcW w:w="1274" w:type="dxa"/>
            <w:vMerge w:val="restart"/>
            <w:tcBorders>
              <w:bottom w:val="nil"/>
            </w:tcBorders>
            <w:vAlign w:val="top"/>
          </w:tcPr>
          <w:p w14:paraId="7325D231">
            <w:pPr>
              <w:spacing w:before="87" w:line="220" w:lineRule="auto"/>
              <w:ind w:left="122"/>
              <w:rPr>
                <w:rFonts w:ascii="宋体" w:hAnsi="宋体" w:eastAsia="宋体" w:cs="宋体"/>
                <w:sz w:val="21"/>
                <w:szCs w:val="21"/>
              </w:rPr>
            </w:pPr>
            <w:r>
              <w:rPr>
                <w:rFonts w:ascii="宋体" w:hAnsi="宋体" w:eastAsia="宋体" w:cs="宋体"/>
                <w:spacing w:val="-3"/>
                <w:sz w:val="21"/>
                <w:szCs w:val="21"/>
              </w:rPr>
              <w:t>实际存栏量</w:t>
            </w:r>
          </w:p>
          <w:p w14:paraId="6C0DFB93">
            <w:pPr>
              <w:spacing w:before="61" w:line="220" w:lineRule="auto"/>
              <w:ind w:left="333"/>
              <w:rPr>
                <w:rFonts w:ascii="宋体" w:hAnsi="宋体" w:eastAsia="宋体" w:cs="宋体"/>
                <w:sz w:val="21"/>
                <w:szCs w:val="21"/>
              </w:rPr>
            </w:pPr>
            <w:r>
              <w:rPr>
                <w:rFonts w:ascii="宋体" w:hAnsi="宋体" w:eastAsia="宋体" w:cs="宋体"/>
                <w:spacing w:val="-7"/>
                <w:sz w:val="21"/>
                <w:szCs w:val="21"/>
              </w:rPr>
              <w:t>（头）</w:t>
            </w:r>
          </w:p>
        </w:tc>
        <w:tc>
          <w:tcPr>
            <w:tcW w:w="2689" w:type="dxa"/>
            <w:gridSpan w:val="2"/>
            <w:vAlign w:val="top"/>
          </w:tcPr>
          <w:p w14:paraId="78E3FD50">
            <w:pPr>
              <w:pStyle w:val="6"/>
              <w:spacing w:before="54" w:line="225" w:lineRule="auto"/>
              <w:ind w:left="629"/>
              <w:rPr>
                <w:rFonts w:ascii="宋体" w:hAnsi="宋体" w:eastAsia="宋体" w:cs="宋体"/>
              </w:rPr>
            </w:pPr>
            <w:r>
              <w:rPr>
                <w:rFonts w:ascii="宋体" w:hAnsi="宋体" w:eastAsia="宋体" w:cs="宋体"/>
                <w:spacing w:val="-2"/>
              </w:rPr>
              <w:t>用水量（</w:t>
            </w:r>
            <w:r>
              <w:rPr>
                <w:spacing w:val="-2"/>
              </w:rPr>
              <w:t>m</w:t>
            </w:r>
            <w:r>
              <w:rPr>
                <w:spacing w:val="-2"/>
                <w:position w:val="9"/>
                <w:sz w:val="14"/>
                <w:szCs w:val="14"/>
              </w:rPr>
              <w:t>3</w:t>
            </w:r>
            <w:r>
              <w:rPr>
                <w:spacing w:val="-2"/>
              </w:rPr>
              <w:t>/d</w:t>
            </w:r>
            <w:r>
              <w:rPr>
                <w:rFonts w:ascii="宋体" w:hAnsi="宋体" w:eastAsia="宋体" w:cs="宋体"/>
                <w:spacing w:val="-2"/>
              </w:rPr>
              <w:t>）</w:t>
            </w:r>
          </w:p>
        </w:tc>
        <w:tc>
          <w:tcPr>
            <w:tcW w:w="1374" w:type="dxa"/>
            <w:vMerge w:val="restart"/>
            <w:tcBorders>
              <w:bottom w:val="nil"/>
            </w:tcBorders>
            <w:vAlign w:val="top"/>
          </w:tcPr>
          <w:p w14:paraId="33B2A7D9">
            <w:pPr>
              <w:pStyle w:val="6"/>
              <w:spacing w:before="89" w:line="259" w:lineRule="auto"/>
              <w:ind w:left="294" w:right="265" w:hanging="22"/>
              <w:rPr>
                <w:rFonts w:ascii="宋体" w:hAnsi="宋体" w:eastAsia="宋体" w:cs="宋体"/>
              </w:rPr>
            </w:pPr>
            <w:r>
              <w:rPr>
                <w:rFonts w:ascii="宋体" w:hAnsi="宋体" w:eastAsia="宋体" w:cs="宋体"/>
                <w:spacing w:val="-3"/>
              </w:rPr>
              <w:t>年用水量（</w:t>
            </w:r>
            <w:r>
              <w:rPr>
                <w:spacing w:val="-3"/>
              </w:rPr>
              <w:t>m</w:t>
            </w:r>
            <w:r>
              <w:rPr>
                <w:spacing w:val="-3"/>
                <w:position w:val="9"/>
                <w:sz w:val="14"/>
                <w:szCs w:val="14"/>
              </w:rPr>
              <w:t>3</w:t>
            </w:r>
            <w:r>
              <w:rPr>
                <w:spacing w:val="-3"/>
              </w:rPr>
              <w:t>/a</w:t>
            </w:r>
            <w:r>
              <w:rPr>
                <w:rFonts w:ascii="宋体" w:hAnsi="宋体" w:eastAsia="宋体" w:cs="宋体"/>
                <w:spacing w:val="-3"/>
              </w:rPr>
              <w:t>）</w:t>
            </w:r>
          </w:p>
        </w:tc>
      </w:tr>
      <w:tr w14:paraId="43B6B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02" w:type="dxa"/>
            <w:vMerge w:val="continue"/>
            <w:tcBorders>
              <w:top w:val="nil"/>
            </w:tcBorders>
            <w:vAlign w:val="top"/>
          </w:tcPr>
          <w:p w14:paraId="4FF239FC">
            <w:pPr>
              <w:rPr>
                <w:rFonts w:ascii="Arial"/>
                <w:sz w:val="21"/>
              </w:rPr>
            </w:pPr>
          </w:p>
        </w:tc>
        <w:tc>
          <w:tcPr>
            <w:tcW w:w="990" w:type="dxa"/>
            <w:vAlign w:val="top"/>
          </w:tcPr>
          <w:p w14:paraId="425C4BB1">
            <w:pPr>
              <w:spacing w:before="64" w:line="220" w:lineRule="auto"/>
              <w:ind w:left="289"/>
              <w:rPr>
                <w:rFonts w:ascii="宋体" w:hAnsi="宋体" w:eastAsia="宋体" w:cs="宋体"/>
                <w:sz w:val="21"/>
                <w:szCs w:val="21"/>
              </w:rPr>
            </w:pPr>
            <w:r>
              <w:rPr>
                <w:rFonts w:ascii="宋体" w:hAnsi="宋体" w:eastAsia="宋体" w:cs="宋体"/>
                <w:spacing w:val="-3"/>
                <w:sz w:val="21"/>
                <w:szCs w:val="21"/>
              </w:rPr>
              <w:t>夏季</w:t>
            </w:r>
          </w:p>
        </w:tc>
        <w:tc>
          <w:tcPr>
            <w:tcW w:w="991" w:type="dxa"/>
            <w:vAlign w:val="top"/>
          </w:tcPr>
          <w:p w14:paraId="6D9DC44F">
            <w:pPr>
              <w:spacing w:before="64" w:line="220" w:lineRule="auto"/>
              <w:ind w:left="82"/>
              <w:rPr>
                <w:rFonts w:ascii="宋体" w:hAnsi="宋体" w:eastAsia="宋体" w:cs="宋体"/>
                <w:sz w:val="21"/>
                <w:szCs w:val="21"/>
              </w:rPr>
            </w:pPr>
            <w:r>
              <w:rPr>
                <w:rFonts w:ascii="宋体" w:hAnsi="宋体" w:eastAsia="宋体" w:cs="宋体"/>
                <w:spacing w:val="-2"/>
                <w:sz w:val="21"/>
                <w:szCs w:val="21"/>
              </w:rPr>
              <w:t>其他季节</w:t>
            </w:r>
          </w:p>
        </w:tc>
        <w:tc>
          <w:tcPr>
            <w:tcW w:w="1274" w:type="dxa"/>
            <w:vMerge w:val="continue"/>
            <w:tcBorders>
              <w:top w:val="nil"/>
            </w:tcBorders>
            <w:vAlign w:val="top"/>
          </w:tcPr>
          <w:p w14:paraId="50218CF4">
            <w:pPr>
              <w:rPr>
                <w:rFonts w:ascii="Arial"/>
                <w:sz w:val="21"/>
              </w:rPr>
            </w:pPr>
          </w:p>
        </w:tc>
        <w:tc>
          <w:tcPr>
            <w:tcW w:w="1275" w:type="dxa"/>
            <w:vAlign w:val="top"/>
          </w:tcPr>
          <w:p w14:paraId="161D519B">
            <w:pPr>
              <w:spacing w:before="64" w:line="220" w:lineRule="auto"/>
              <w:ind w:left="433"/>
              <w:rPr>
                <w:rFonts w:ascii="宋体" w:hAnsi="宋体" w:eastAsia="宋体" w:cs="宋体"/>
                <w:sz w:val="21"/>
                <w:szCs w:val="21"/>
              </w:rPr>
            </w:pPr>
            <w:r>
              <w:rPr>
                <w:rFonts w:ascii="宋体" w:hAnsi="宋体" w:eastAsia="宋体" w:cs="宋体"/>
                <w:spacing w:val="-3"/>
                <w:sz w:val="21"/>
                <w:szCs w:val="21"/>
              </w:rPr>
              <w:t>夏季</w:t>
            </w:r>
          </w:p>
        </w:tc>
        <w:tc>
          <w:tcPr>
            <w:tcW w:w="1414" w:type="dxa"/>
            <w:vAlign w:val="top"/>
          </w:tcPr>
          <w:p w14:paraId="48B826F5">
            <w:pPr>
              <w:spacing w:before="64" w:line="220" w:lineRule="auto"/>
              <w:ind w:left="294"/>
              <w:rPr>
                <w:rFonts w:ascii="宋体" w:hAnsi="宋体" w:eastAsia="宋体" w:cs="宋体"/>
                <w:sz w:val="21"/>
                <w:szCs w:val="21"/>
              </w:rPr>
            </w:pPr>
            <w:r>
              <w:rPr>
                <w:rFonts w:ascii="宋体" w:hAnsi="宋体" w:eastAsia="宋体" w:cs="宋体"/>
                <w:spacing w:val="-2"/>
                <w:sz w:val="21"/>
                <w:szCs w:val="21"/>
              </w:rPr>
              <w:t>其他季节</w:t>
            </w:r>
          </w:p>
        </w:tc>
        <w:tc>
          <w:tcPr>
            <w:tcW w:w="1374" w:type="dxa"/>
            <w:vMerge w:val="continue"/>
            <w:tcBorders>
              <w:top w:val="nil"/>
            </w:tcBorders>
            <w:vAlign w:val="top"/>
          </w:tcPr>
          <w:p w14:paraId="54846F6C">
            <w:pPr>
              <w:rPr>
                <w:rFonts w:ascii="Arial"/>
                <w:sz w:val="21"/>
              </w:rPr>
            </w:pPr>
          </w:p>
        </w:tc>
      </w:tr>
      <w:tr w14:paraId="17C19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2" w:type="dxa"/>
            <w:vAlign w:val="top"/>
          </w:tcPr>
          <w:p w14:paraId="24B51D41">
            <w:pPr>
              <w:spacing w:before="66" w:line="220" w:lineRule="auto"/>
              <w:ind w:left="192"/>
              <w:rPr>
                <w:rFonts w:ascii="宋体" w:hAnsi="宋体" w:eastAsia="宋体" w:cs="宋体"/>
                <w:sz w:val="21"/>
                <w:szCs w:val="21"/>
              </w:rPr>
            </w:pPr>
            <w:r>
              <w:rPr>
                <w:rFonts w:ascii="宋体" w:hAnsi="宋体" w:eastAsia="宋体" w:cs="宋体"/>
                <w:spacing w:val="-3"/>
                <w:sz w:val="21"/>
                <w:szCs w:val="21"/>
              </w:rPr>
              <w:t>保育猪</w:t>
            </w:r>
          </w:p>
        </w:tc>
        <w:tc>
          <w:tcPr>
            <w:tcW w:w="990" w:type="dxa"/>
            <w:vAlign w:val="top"/>
          </w:tcPr>
          <w:p w14:paraId="109E86C7">
            <w:pPr>
              <w:pStyle w:val="6"/>
              <w:spacing w:before="106" w:line="185" w:lineRule="auto"/>
              <w:ind w:left="369"/>
            </w:pPr>
            <w:r>
              <w:rPr>
                <w:spacing w:val="-3"/>
              </w:rPr>
              <w:t>5.5</w:t>
            </w:r>
          </w:p>
        </w:tc>
        <w:tc>
          <w:tcPr>
            <w:tcW w:w="991" w:type="dxa"/>
            <w:vAlign w:val="top"/>
          </w:tcPr>
          <w:p w14:paraId="0C102356">
            <w:pPr>
              <w:pStyle w:val="6"/>
              <w:spacing w:before="103" w:line="188" w:lineRule="auto"/>
              <w:ind w:left="364"/>
            </w:pPr>
            <w:r>
              <w:rPr>
                <w:spacing w:val="-1"/>
              </w:rPr>
              <w:t>4.5</w:t>
            </w:r>
          </w:p>
        </w:tc>
        <w:tc>
          <w:tcPr>
            <w:tcW w:w="1274" w:type="dxa"/>
            <w:vAlign w:val="top"/>
          </w:tcPr>
          <w:p w14:paraId="6FFC7489">
            <w:pPr>
              <w:pStyle w:val="6"/>
              <w:spacing w:before="103" w:line="188" w:lineRule="auto"/>
              <w:ind w:left="396"/>
            </w:pPr>
            <w:r>
              <w:rPr>
                <w:spacing w:val="-5"/>
              </w:rPr>
              <w:t>18000</w:t>
            </w:r>
          </w:p>
        </w:tc>
        <w:tc>
          <w:tcPr>
            <w:tcW w:w="1275" w:type="dxa"/>
            <w:vAlign w:val="top"/>
          </w:tcPr>
          <w:p w14:paraId="027C9BE5">
            <w:pPr>
              <w:pStyle w:val="6"/>
              <w:spacing w:before="103" w:line="188" w:lineRule="auto"/>
              <w:ind w:left="407"/>
            </w:pPr>
            <w:r>
              <w:rPr>
                <w:spacing w:val="-2"/>
              </w:rPr>
              <w:t>99.00</w:t>
            </w:r>
          </w:p>
        </w:tc>
        <w:tc>
          <w:tcPr>
            <w:tcW w:w="1414" w:type="dxa"/>
            <w:vAlign w:val="top"/>
          </w:tcPr>
          <w:p w14:paraId="6D0B42CC">
            <w:pPr>
              <w:pStyle w:val="6"/>
              <w:spacing w:before="103" w:line="188" w:lineRule="auto"/>
              <w:ind w:left="481"/>
            </w:pPr>
            <w:r>
              <w:rPr>
                <w:spacing w:val="-3"/>
              </w:rPr>
              <w:t>81.00</w:t>
            </w:r>
          </w:p>
        </w:tc>
        <w:tc>
          <w:tcPr>
            <w:tcW w:w="1374" w:type="dxa"/>
            <w:vAlign w:val="top"/>
          </w:tcPr>
          <w:p w14:paraId="1ED7F24D">
            <w:pPr>
              <w:pStyle w:val="6"/>
              <w:spacing w:before="103" w:line="188" w:lineRule="auto"/>
              <w:ind w:left="352"/>
            </w:pPr>
            <w:r>
              <w:rPr>
                <w:spacing w:val="-2"/>
              </w:rPr>
              <w:t>50760.0</w:t>
            </w:r>
          </w:p>
        </w:tc>
      </w:tr>
      <w:tr w14:paraId="721B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Align w:val="top"/>
          </w:tcPr>
          <w:p w14:paraId="1424BD77">
            <w:pPr>
              <w:spacing w:before="67" w:line="219" w:lineRule="auto"/>
              <w:ind w:left="199"/>
              <w:rPr>
                <w:rFonts w:ascii="宋体" w:hAnsi="宋体" w:eastAsia="宋体" w:cs="宋体"/>
                <w:sz w:val="21"/>
                <w:szCs w:val="21"/>
              </w:rPr>
            </w:pPr>
            <w:r>
              <w:rPr>
                <w:rFonts w:ascii="宋体" w:hAnsi="宋体" w:eastAsia="宋体" w:cs="宋体"/>
                <w:spacing w:val="-4"/>
                <w:sz w:val="21"/>
                <w:szCs w:val="21"/>
              </w:rPr>
              <w:t>育肥猪</w:t>
            </w:r>
          </w:p>
        </w:tc>
        <w:tc>
          <w:tcPr>
            <w:tcW w:w="990" w:type="dxa"/>
            <w:vAlign w:val="top"/>
          </w:tcPr>
          <w:p w14:paraId="7F834708">
            <w:pPr>
              <w:pStyle w:val="6"/>
              <w:spacing w:before="104" w:line="188" w:lineRule="auto"/>
              <w:ind w:left="410"/>
            </w:pPr>
            <w:r>
              <w:rPr>
                <w:spacing w:val="-12"/>
              </w:rPr>
              <w:t>10</w:t>
            </w:r>
          </w:p>
        </w:tc>
        <w:tc>
          <w:tcPr>
            <w:tcW w:w="991" w:type="dxa"/>
            <w:vAlign w:val="top"/>
          </w:tcPr>
          <w:p w14:paraId="26C3F610">
            <w:pPr>
              <w:pStyle w:val="6"/>
              <w:spacing w:before="104" w:line="188" w:lineRule="auto"/>
              <w:ind w:left="373"/>
            </w:pPr>
            <w:r>
              <w:rPr>
                <w:spacing w:val="-3"/>
              </w:rPr>
              <w:t>8.5</w:t>
            </w:r>
          </w:p>
        </w:tc>
        <w:tc>
          <w:tcPr>
            <w:tcW w:w="1274" w:type="dxa"/>
            <w:vAlign w:val="top"/>
          </w:tcPr>
          <w:p w14:paraId="335F14B0">
            <w:pPr>
              <w:pStyle w:val="6"/>
              <w:spacing w:before="104" w:line="188" w:lineRule="auto"/>
              <w:ind w:left="375"/>
            </w:pPr>
            <w:r>
              <w:rPr>
                <w:spacing w:val="-1"/>
              </w:rPr>
              <w:t>44100</w:t>
            </w:r>
          </w:p>
        </w:tc>
        <w:tc>
          <w:tcPr>
            <w:tcW w:w="1275" w:type="dxa"/>
            <w:vAlign w:val="top"/>
          </w:tcPr>
          <w:p w14:paraId="717C1D50">
            <w:pPr>
              <w:pStyle w:val="6"/>
              <w:spacing w:before="104" w:line="188" w:lineRule="auto"/>
              <w:ind w:left="350"/>
            </w:pPr>
            <w:r>
              <w:rPr>
                <w:spacing w:val="-1"/>
              </w:rPr>
              <w:t>441.00</w:t>
            </w:r>
          </w:p>
        </w:tc>
        <w:tc>
          <w:tcPr>
            <w:tcW w:w="1414" w:type="dxa"/>
            <w:vAlign w:val="top"/>
          </w:tcPr>
          <w:p w14:paraId="4AFD5A72">
            <w:pPr>
              <w:pStyle w:val="6"/>
              <w:spacing w:before="104" w:line="188" w:lineRule="auto"/>
              <w:ind w:left="426"/>
            </w:pPr>
            <w:r>
              <w:rPr>
                <w:spacing w:val="-2"/>
              </w:rPr>
              <w:t>374.85</w:t>
            </w:r>
          </w:p>
        </w:tc>
        <w:tc>
          <w:tcPr>
            <w:tcW w:w="1374" w:type="dxa"/>
            <w:vAlign w:val="top"/>
          </w:tcPr>
          <w:p w14:paraId="713F550F">
            <w:pPr>
              <w:pStyle w:val="6"/>
              <w:spacing w:before="104" w:line="188" w:lineRule="auto"/>
              <w:ind w:left="314"/>
            </w:pPr>
            <w:r>
              <w:rPr>
                <w:spacing w:val="-3"/>
              </w:rPr>
              <w:t>123535.4</w:t>
            </w:r>
          </w:p>
        </w:tc>
      </w:tr>
      <w:tr w14:paraId="7F8CA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257" w:type="dxa"/>
            <w:gridSpan w:val="4"/>
            <w:vAlign w:val="top"/>
          </w:tcPr>
          <w:p w14:paraId="26C61DD3">
            <w:pPr>
              <w:spacing w:before="68" w:line="221" w:lineRule="auto"/>
              <w:ind w:left="1926"/>
              <w:rPr>
                <w:rFonts w:ascii="宋体" w:hAnsi="宋体" w:eastAsia="宋体" w:cs="宋体"/>
                <w:sz w:val="21"/>
                <w:szCs w:val="21"/>
              </w:rPr>
            </w:pPr>
            <w:r>
              <w:rPr>
                <w:rFonts w:ascii="宋体" w:hAnsi="宋体" w:eastAsia="宋体" w:cs="宋体"/>
                <w:spacing w:val="-3"/>
                <w:sz w:val="21"/>
                <w:szCs w:val="21"/>
              </w:rPr>
              <w:t>合计</w:t>
            </w:r>
          </w:p>
        </w:tc>
        <w:tc>
          <w:tcPr>
            <w:tcW w:w="1275" w:type="dxa"/>
            <w:vAlign w:val="top"/>
          </w:tcPr>
          <w:p w14:paraId="65C78D35">
            <w:pPr>
              <w:pStyle w:val="6"/>
              <w:spacing w:before="104" w:line="188" w:lineRule="auto"/>
              <w:ind w:left="357"/>
            </w:pPr>
            <w:r>
              <w:rPr>
                <w:spacing w:val="-2"/>
              </w:rPr>
              <w:t>540.00</w:t>
            </w:r>
          </w:p>
        </w:tc>
        <w:tc>
          <w:tcPr>
            <w:tcW w:w="1414" w:type="dxa"/>
            <w:vAlign w:val="top"/>
          </w:tcPr>
          <w:p w14:paraId="051B02FA">
            <w:pPr>
              <w:pStyle w:val="6"/>
              <w:spacing w:before="104" w:line="188" w:lineRule="auto"/>
              <w:ind w:left="421"/>
            </w:pPr>
            <w:r>
              <w:rPr>
                <w:spacing w:val="-1"/>
              </w:rPr>
              <w:t>455.85</w:t>
            </w:r>
          </w:p>
        </w:tc>
        <w:tc>
          <w:tcPr>
            <w:tcW w:w="1374" w:type="dxa"/>
            <w:vAlign w:val="top"/>
          </w:tcPr>
          <w:p w14:paraId="30EFEF1B">
            <w:pPr>
              <w:pStyle w:val="6"/>
              <w:spacing w:before="104" w:line="188" w:lineRule="auto"/>
              <w:ind w:left="314"/>
            </w:pPr>
            <w:r>
              <w:rPr>
                <w:spacing w:val="-3"/>
              </w:rPr>
              <w:t>174295.4</w:t>
            </w:r>
          </w:p>
        </w:tc>
      </w:tr>
    </w:tbl>
    <w:p w14:paraId="68CF42B7">
      <w:pPr>
        <w:spacing w:before="55" w:line="222" w:lineRule="auto"/>
        <w:ind w:left="48"/>
        <w:rPr>
          <w:rFonts w:ascii="仿宋" w:hAnsi="仿宋" w:eastAsia="仿宋" w:cs="仿宋"/>
          <w:sz w:val="20"/>
          <w:szCs w:val="20"/>
        </w:rPr>
      </w:pPr>
      <w:r>
        <w:rPr>
          <w:rFonts w:ascii="仿宋" w:hAnsi="仿宋" w:eastAsia="仿宋" w:cs="仿宋"/>
          <w:spacing w:val="-2"/>
          <w:sz w:val="20"/>
          <w:szCs w:val="20"/>
        </w:rPr>
        <w:t>注：夏季</w:t>
      </w:r>
      <w:r>
        <w:rPr>
          <w:rFonts w:ascii="Times New Roman" w:hAnsi="Times New Roman" w:eastAsia="Times New Roman" w:cs="Times New Roman"/>
          <w:spacing w:val="-2"/>
          <w:sz w:val="20"/>
          <w:szCs w:val="20"/>
        </w:rPr>
        <w:t>94</w:t>
      </w:r>
      <w:r>
        <w:rPr>
          <w:rFonts w:ascii="仿宋" w:hAnsi="仿宋" w:eastAsia="仿宋" w:cs="仿宋"/>
          <w:spacing w:val="-2"/>
          <w:sz w:val="20"/>
          <w:szCs w:val="20"/>
        </w:rPr>
        <w:t>天，其他季节合计</w:t>
      </w:r>
      <w:r>
        <w:rPr>
          <w:rFonts w:ascii="Times New Roman" w:hAnsi="Times New Roman" w:eastAsia="Times New Roman" w:cs="Times New Roman"/>
          <w:spacing w:val="-2"/>
          <w:sz w:val="20"/>
          <w:szCs w:val="20"/>
        </w:rPr>
        <w:t>271</w:t>
      </w:r>
      <w:r>
        <w:rPr>
          <w:rFonts w:ascii="仿宋" w:hAnsi="仿宋" w:eastAsia="仿宋" w:cs="仿宋"/>
          <w:spacing w:val="-2"/>
          <w:sz w:val="20"/>
          <w:szCs w:val="20"/>
        </w:rPr>
        <w:t>天。</w:t>
      </w:r>
    </w:p>
    <w:p w14:paraId="00F26447">
      <w:pPr>
        <w:spacing w:before="251" w:line="217" w:lineRule="auto"/>
        <w:ind w:left="517"/>
        <w:rPr>
          <w:rFonts w:ascii="宋体" w:hAnsi="宋体" w:eastAsia="宋体" w:cs="宋体"/>
          <w:sz w:val="24"/>
          <w:szCs w:val="24"/>
        </w:rPr>
      </w:pPr>
      <w:r>
        <w:rPr>
          <w:rFonts w:ascii="宋体" w:hAnsi="宋体" w:eastAsia="宋体" w:cs="宋体"/>
          <w:spacing w:val="-1"/>
          <w:sz w:val="24"/>
          <w:szCs w:val="24"/>
        </w:rPr>
        <w:t>②出栏猪舍清洗水</w:t>
      </w:r>
    </w:p>
    <w:p w14:paraId="46C2CEB2">
      <w:pPr>
        <w:spacing w:before="183" w:line="360" w:lineRule="auto"/>
        <w:ind w:left="38" w:right="29" w:firstLine="481"/>
        <w:rPr>
          <w:rFonts w:ascii="宋体" w:hAnsi="宋体" w:eastAsia="宋体" w:cs="宋体"/>
          <w:sz w:val="24"/>
          <w:szCs w:val="24"/>
        </w:rPr>
      </w:pPr>
      <w:r>
        <w:rPr>
          <w:rFonts w:ascii="宋体" w:hAnsi="宋体" w:eastAsia="宋体" w:cs="宋体"/>
          <w:spacing w:val="-4"/>
          <w:sz w:val="24"/>
          <w:szCs w:val="24"/>
        </w:rPr>
        <w:t>本项目猪舍采用“原环保部认可的清粪工艺”（同牧原食品股份有限公司清</w:t>
      </w:r>
      <w:r>
        <w:rPr>
          <w:rFonts w:ascii="宋体" w:hAnsi="宋体" w:eastAsia="宋体" w:cs="宋体"/>
          <w:spacing w:val="-2"/>
          <w:sz w:val="24"/>
          <w:szCs w:val="24"/>
        </w:rPr>
        <w:t>粪工艺，为原环保部认可具备干清粪工艺基本特征，环办函</w:t>
      </w:r>
      <w:r>
        <w:rPr>
          <w:rFonts w:ascii="Times New Roman" w:hAnsi="Times New Roman" w:eastAsia="Times New Roman" w:cs="Times New Roman"/>
          <w:spacing w:val="-2"/>
          <w:sz w:val="24"/>
          <w:szCs w:val="24"/>
        </w:rPr>
        <w:t>[</w:t>
      </w:r>
      <w:r>
        <w:fldChar w:fldCharType="begin"/>
      </w:r>
      <w:r>
        <w:instrText xml:space="preserve"> HYPERLINK \l "bookmark150" </w:instrText>
      </w:r>
      <w:r>
        <w:fldChar w:fldCharType="separate"/>
      </w:r>
      <w:r>
        <w:rPr>
          <w:rFonts w:ascii="Times New Roman" w:hAnsi="Times New Roman" w:eastAsia="Times New Roman" w:cs="Times New Roman"/>
          <w:spacing w:val="-2"/>
          <w:sz w:val="24"/>
          <w:szCs w:val="24"/>
        </w:rPr>
        <w:t>2015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]425</w:t>
      </w:r>
      <w:r>
        <w:rPr>
          <w:rFonts w:ascii="宋体" w:hAnsi="宋体" w:eastAsia="宋体" w:cs="宋体"/>
          <w:spacing w:val="-2"/>
          <w:sz w:val="24"/>
          <w:szCs w:val="24"/>
        </w:rPr>
        <w:t>号</w:t>
      </w:r>
      <w:r>
        <w:rPr>
          <w:rFonts w:ascii="宋体" w:hAnsi="宋体" w:eastAsia="宋体" w:cs="宋体"/>
          <w:spacing w:val="-35"/>
          <w:sz w:val="24"/>
          <w:szCs w:val="24"/>
        </w:rPr>
        <w:t>），</w:t>
      </w:r>
      <w:r>
        <w:rPr>
          <w:rFonts w:ascii="宋体" w:hAnsi="宋体" w:eastAsia="宋体" w:cs="宋体"/>
          <w:spacing w:val="-2"/>
          <w:sz w:val="24"/>
          <w:szCs w:val="24"/>
        </w:rPr>
        <w:t>平常</w:t>
      </w:r>
      <w:r>
        <w:rPr>
          <w:rFonts w:ascii="宋体" w:hAnsi="宋体" w:eastAsia="宋体" w:cs="宋体"/>
          <w:spacing w:val="-3"/>
          <w:sz w:val="24"/>
          <w:szCs w:val="24"/>
        </w:rPr>
        <w:t>不对猪舍进行冲洗，节约用水，并保持猪舍清洁和干燥。为满足猪舍清洁和消毒</w:t>
      </w:r>
      <w:r>
        <w:rPr>
          <w:rFonts w:ascii="宋体" w:hAnsi="宋体" w:eastAsia="宋体" w:cs="宋体"/>
          <w:spacing w:val="-6"/>
          <w:sz w:val="24"/>
          <w:szCs w:val="24"/>
        </w:rPr>
        <w:t>防疫要求，保育猪转栏、育肥猪出栏后均需对单元猪舍进行</w:t>
      </w:r>
      <w:r>
        <w:rPr>
          <w:rFonts w:ascii="宋体" w:hAnsi="宋体" w:eastAsia="宋体" w:cs="宋体"/>
          <w:spacing w:val="-7"/>
          <w:sz w:val="24"/>
          <w:szCs w:val="24"/>
        </w:rPr>
        <w:t>彻底清洗、消杀， 冲</w:t>
      </w:r>
      <w:r>
        <w:rPr>
          <w:rFonts w:ascii="宋体" w:hAnsi="宋体" w:eastAsia="宋体" w:cs="宋体"/>
          <w:spacing w:val="-3"/>
          <w:sz w:val="24"/>
          <w:szCs w:val="24"/>
        </w:rPr>
        <w:t>洗采用高压冲洗方式，用水量小。</w:t>
      </w:r>
    </w:p>
    <w:p w14:paraId="2CE7CBCF">
      <w:pPr>
        <w:spacing w:before="2" w:line="360" w:lineRule="auto"/>
        <w:ind w:left="41" w:right="28" w:firstLine="479"/>
        <w:jc w:val="both"/>
        <w:rPr>
          <w:rFonts w:ascii="宋体" w:hAnsi="宋体" w:eastAsia="宋体" w:cs="宋体"/>
          <w:sz w:val="24"/>
          <w:szCs w:val="24"/>
        </w:rPr>
      </w:pPr>
      <w:r>
        <w:rPr>
          <w:rFonts w:ascii="宋体" w:hAnsi="宋体" w:eastAsia="宋体" w:cs="宋体"/>
          <w:sz w:val="24"/>
          <w:szCs w:val="24"/>
        </w:rPr>
        <w:t>本项目设置</w:t>
      </w:r>
      <w:r>
        <w:rPr>
          <w:rFonts w:ascii="Times New Roman" w:hAnsi="Times New Roman" w:eastAsia="Times New Roman" w:cs="Times New Roman"/>
          <w:sz w:val="24"/>
          <w:szCs w:val="24"/>
        </w:rPr>
        <w:t>1</w:t>
      </w:r>
      <w:r>
        <w:rPr>
          <w:rFonts w:ascii="宋体" w:hAnsi="宋体" w:eastAsia="宋体" w:cs="宋体"/>
          <w:sz w:val="24"/>
          <w:szCs w:val="24"/>
        </w:rPr>
        <w:t>间育肥猪转猪舍，对外售生猪进行装车外运，转猪舍仅在出栏</w:t>
      </w:r>
      <w:r>
        <w:rPr>
          <w:rFonts w:ascii="宋体" w:hAnsi="宋体" w:eastAsia="宋体" w:cs="宋体"/>
          <w:spacing w:val="-6"/>
          <w:sz w:val="24"/>
          <w:szCs w:val="24"/>
        </w:rPr>
        <w:t>时使用，平时无存栏，转猪舍内不设取食设施。在每批</w:t>
      </w:r>
      <w:r>
        <w:rPr>
          <w:rFonts w:ascii="宋体" w:hAnsi="宋体" w:eastAsia="宋体" w:cs="宋体"/>
          <w:spacing w:val="-7"/>
          <w:sz w:val="24"/>
          <w:szCs w:val="24"/>
        </w:rPr>
        <w:t>次育肥猪装车外运后， 采</w:t>
      </w:r>
      <w:r>
        <w:rPr>
          <w:rFonts w:ascii="宋体" w:hAnsi="宋体" w:eastAsia="宋体" w:cs="宋体"/>
          <w:spacing w:val="-2"/>
          <w:sz w:val="24"/>
          <w:szCs w:val="24"/>
        </w:rPr>
        <w:t>用人工清扫转猪舍的猪粪，之后采用高压水枪进行彻底清洗、消杀。</w:t>
      </w:r>
    </w:p>
    <w:p w14:paraId="684C277E">
      <w:pPr>
        <w:spacing w:before="1" w:line="219" w:lineRule="auto"/>
        <w:ind w:left="540"/>
        <w:rPr>
          <w:rFonts w:ascii="宋体" w:hAnsi="宋体" w:eastAsia="宋体" w:cs="宋体"/>
          <w:sz w:val="24"/>
          <w:szCs w:val="24"/>
        </w:rPr>
      </w:pPr>
      <w:r>
        <w:rPr>
          <w:rFonts w:ascii="宋体" w:hAnsi="宋体" w:eastAsia="宋体" w:cs="宋体"/>
          <w:spacing w:val="-5"/>
          <w:sz w:val="24"/>
          <w:szCs w:val="24"/>
        </w:rPr>
        <w:t>出栏猪舍清洗用水量计算见下表。</w:t>
      </w:r>
    </w:p>
    <w:p w14:paraId="1F7E818A">
      <w:pPr>
        <w:spacing w:before="196" w:line="222" w:lineRule="auto"/>
        <w:ind w:left="287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2.2-5  </w:t>
      </w:r>
      <w:r>
        <w:rPr>
          <w:rFonts w:ascii="黑体" w:hAnsi="黑体" w:eastAsia="黑体" w:cs="黑体"/>
          <w:spacing w:val="-1"/>
          <w:sz w:val="21"/>
          <w:szCs w:val="21"/>
        </w:rPr>
        <w:t>猪舍清洗用水情况表</w:t>
      </w:r>
    </w:p>
    <w:p w14:paraId="11341FD9">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5"/>
        <w:gridCol w:w="1180"/>
        <w:gridCol w:w="1182"/>
        <w:gridCol w:w="1183"/>
        <w:gridCol w:w="2360"/>
      </w:tblGrid>
      <w:tr w14:paraId="17994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415" w:type="dxa"/>
            <w:vAlign w:val="top"/>
          </w:tcPr>
          <w:p w14:paraId="7D1C6353">
            <w:pPr>
              <w:spacing w:before="68" w:line="220" w:lineRule="auto"/>
              <w:ind w:left="1007"/>
              <w:rPr>
                <w:rFonts w:ascii="宋体" w:hAnsi="宋体" w:eastAsia="宋体" w:cs="宋体"/>
                <w:sz w:val="21"/>
                <w:szCs w:val="21"/>
              </w:rPr>
            </w:pPr>
            <w:r>
              <w:rPr>
                <w:rFonts w:ascii="宋体" w:hAnsi="宋体" w:eastAsia="宋体" w:cs="宋体"/>
                <w:spacing w:val="-3"/>
                <w:sz w:val="21"/>
                <w:szCs w:val="21"/>
              </w:rPr>
              <w:t>项目</w:t>
            </w:r>
          </w:p>
        </w:tc>
        <w:tc>
          <w:tcPr>
            <w:tcW w:w="1180" w:type="dxa"/>
            <w:vAlign w:val="top"/>
          </w:tcPr>
          <w:p w14:paraId="2B71F0DA">
            <w:pPr>
              <w:spacing w:before="67" w:line="220" w:lineRule="auto"/>
              <w:ind w:left="280"/>
              <w:rPr>
                <w:rFonts w:ascii="宋体" w:hAnsi="宋体" w:eastAsia="宋体" w:cs="宋体"/>
                <w:sz w:val="21"/>
                <w:szCs w:val="21"/>
              </w:rPr>
            </w:pPr>
            <w:r>
              <w:rPr>
                <w:rFonts w:ascii="宋体" w:hAnsi="宋体" w:eastAsia="宋体" w:cs="宋体"/>
                <w:spacing w:val="-3"/>
                <w:sz w:val="21"/>
                <w:szCs w:val="21"/>
              </w:rPr>
              <w:t>保育楼</w:t>
            </w:r>
          </w:p>
        </w:tc>
        <w:tc>
          <w:tcPr>
            <w:tcW w:w="1182" w:type="dxa"/>
            <w:vAlign w:val="top"/>
          </w:tcPr>
          <w:p w14:paraId="1BDBFFB9">
            <w:pPr>
              <w:spacing w:before="67" w:line="219" w:lineRule="auto"/>
              <w:ind w:left="289"/>
              <w:rPr>
                <w:rFonts w:ascii="宋体" w:hAnsi="宋体" w:eastAsia="宋体" w:cs="宋体"/>
                <w:sz w:val="21"/>
                <w:szCs w:val="21"/>
              </w:rPr>
            </w:pPr>
            <w:r>
              <w:rPr>
                <w:rFonts w:ascii="宋体" w:hAnsi="宋体" w:eastAsia="宋体" w:cs="宋体"/>
                <w:spacing w:val="-4"/>
                <w:sz w:val="21"/>
                <w:szCs w:val="21"/>
              </w:rPr>
              <w:t>育肥楼</w:t>
            </w:r>
          </w:p>
        </w:tc>
        <w:tc>
          <w:tcPr>
            <w:tcW w:w="1183" w:type="dxa"/>
            <w:vAlign w:val="top"/>
          </w:tcPr>
          <w:p w14:paraId="5C6571BA">
            <w:pPr>
              <w:spacing w:before="68" w:line="220" w:lineRule="auto"/>
              <w:ind w:left="283"/>
              <w:rPr>
                <w:rFonts w:ascii="宋体" w:hAnsi="宋体" w:eastAsia="宋体" w:cs="宋体"/>
                <w:sz w:val="21"/>
                <w:szCs w:val="21"/>
              </w:rPr>
            </w:pPr>
            <w:r>
              <w:rPr>
                <w:rFonts w:ascii="宋体" w:hAnsi="宋体" w:eastAsia="宋体" w:cs="宋体"/>
                <w:spacing w:val="-3"/>
                <w:sz w:val="21"/>
                <w:szCs w:val="21"/>
              </w:rPr>
              <w:t>转猪舍</w:t>
            </w:r>
          </w:p>
        </w:tc>
        <w:tc>
          <w:tcPr>
            <w:tcW w:w="2360" w:type="dxa"/>
            <w:vAlign w:val="top"/>
          </w:tcPr>
          <w:p w14:paraId="7AA4C728">
            <w:pPr>
              <w:spacing w:before="67" w:line="221" w:lineRule="auto"/>
              <w:ind w:left="978"/>
              <w:rPr>
                <w:rFonts w:ascii="宋体" w:hAnsi="宋体" w:eastAsia="宋体" w:cs="宋体"/>
                <w:sz w:val="21"/>
                <w:szCs w:val="21"/>
              </w:rPr>
            </w:pPr>
            <w:r>
              <w:rPr>
                <w:rFonts w:ascii="宋体" w:hAnsi="宋体" w:eastAsia="宋体" w:cs="宋体"/>
                <w:spacing w:val="-3"/>
                <w:sz w:val="21"/>
                <w:szCs w:val="21"/>
              </w:rPr>
              <w:t>备注</w:t>
            </w:r>
          </w:p>
        </w:tc>
      </w:tr>
      <w:tr w14:paraId="6024D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15" w:type="dxa"/>
            <w:vAlign w:val="top"/>
          </w:tcPr>
          <w:p w14:paraId="66702B33">
            <w:pPr>
              <w:pStyle w:val="6"/>
              <w:spacing w:before="64" w:line="220" w:lineRule="auto"/>
              <w:ind w:left="304"/>
              <w:rPr>
                <w:rFonts w:ascii="宋体" w:hAnsi="宋体" w:eastAsia="宋体" w:cs="宋体"/>
              </w:rPr>
            </w:pPr>
            <w:r>
              <w:rPr>
                <w:rFonts w:ascii="宋体" w:hAnsi="宋体" w:eastAsia="宋体" w:cs="宋体"/>
                <w:spacing w:val="-2"/>
              </w:rPr>
              <w:t>总清圈次数（次</w:t>
            </w:r>
            <w:r>
              <w:rPr>
                <w:spacing w:val="-2"/>
              </w:rPr>
              <w:t>/a</w:t>
            </w:r>
            <w:r>
              <w:rPr>
                <w:rFonts w:ascii="宋体" w:hAnsi="宋体" w:eastAsia="宋体" w:cs="宋体"/>
                <w:spacing w:val="-2"/>
              </w:rPr>
              <w:t>）</w:t>
            </w:r>
          </w:p>
        </w:tc>
        <w:tc>
          <w:tcPr>
            <w:tcW w:w="1180" w:type="dxa"/>
            <w:vAlign w:val="top"/>
          </w:tcPr>
          <w:p w14:paraId="685FF303">
            <w:pPr>
              <w:pStyle w:val="6"/>
              <w:spacing w:before="101" w:line="188" w:lineRule="auto"/>
              <w:ind w:left="301"/>
            </w:pPr>
            <w:r>
              <w:rPr>
                <w:spacing w:val="-1"/>
              </w:rPr>
              <w:t>45.625</w:t>
            </w:r>
          </w:p>
        </w:tc>
        <w:tc>
          <w:tcPr>
            <w:tcW w:w="1182" w:type="dxa"/>
            <w:vAlign w:val="top"/>
          </w:tcPr>
          <w:p w14:paraId="76E035CA">
            <w:pPr>
              <w:pStyle w:val="6"/>
              <w:spacing w:before="101" w:line="188" w:lineRule="auto"/>
              <w:ind w:left="303"/>
            </w:pPr>
            <w:r>
              <w:rPr>
                <w:spacing w:val="-1"/>
              </w:rPr>
              <w:t>45.625</w:t>
            </w:r>
          </w:p>
        </w:tc>
        <w:tc>
          <w:tcPr>
            <w:tcW w:w="1183" w:type="dxa"/>
            <w:vAlign w:val="top"/>
          </w:tcPr>
          <w:p w14:paraId="3DFE5EB5">
            <w:pPr>
              <w:pStyle w:val="6"/>
              <w:spacing w:before="101" w:line="188" w:lineRule="auto"/>
              <w:ind w:left="304"/>
            </w:pPr>
            <w:r>
              <w:rPr>
                <w:spacing w:val="-1"/>
              </w:rPr>
              <w:t>45.625</w:t>
            </w:r>
          </w:p>
        </w:tc>
        <w:tc>
          <w:tcPr>
            <w:tcW w:w="2360" w:type="dxa"/>
            <w:vAlign w:val="top"/>
          </w:tcPr>
          <w:p w14:paraId="5E66B3F0">
            <w:pPr>
              <w:pStyle w:val="6"/>
              <w:spacing w:before="65" w:line="220" w:lineRule="auto"/>
              <w:ind w:left="316"/>
              <w:rPr>
                <w:rFonts w:ascii="宋体" w:hAnsi="宋体" w:eastAsia="宋体" w:cs="宋体"/>
              </w:rPr>
            </w:pPr>
            <w:r>
              <w:rPr>
                <w:rFonts w:ascii="宋体" w:hAnsi="宋体" w:eastAsia="宋体" w:cs="宋体"/>
                <w:spacing w:val="-4"/>
              </w:rPr>
              <w:t>转栏、出栏</w:t>
            </w:r>
            <w:r>
              <w:rPr>
                <w:rFonts w:ascii="宋体" w:hAnsi="宋体" w:eastAsia="宋体" w:cs="宋体"/>
                <w:spacing w:val="-39"/>
              </w:rPr>
              <w:t xml:space="preserve"> </w:t>
            </w:r>
            <w:r>
              <w:rPr>
                <w:spacing w:val="-4"/>
              </w:rPr>
              <w:t>8</w:t>
            </w:r>
            <w:r>
              <w:rPr>
                <w:spacing w:val="14"/>
              </w:rPr>
              <w:t xml:space="preserve"> </w:t>
            </w:r>
            <w:r>
              <w:rPr>
                <w:rFonts w:ascii="宋体" w:hAnsi="宋体" w:eastAsia="宋体" w:cs="宋体"/>
                <w:spacing w:val="-4"/>
              </w:rPr>
              <w:t>天</w:t>
            </w:r>
            <w:r>
              <w:rPr>
                <w:spacing w:val="-4"/>
              </w:rPr>
              <w:t>/</w:t>
            </w:r>
            <w:r>
              <w:rPr>
                <w:rFonts w:ascii="宋体" w:hAnsi="宋体" w:eastAsia="宋体" w:cs="宋体"/>
                <w:spacing w:val="-4"/>
              </w:rPr>
              <w:t>批</w:t>
            </w:r>
          </w:p>
        </w:tc>
      </w:tr>
      <w:tr w14:paraId="00B42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15" w:type="dxa"/>
            <w:vAlign w:val="top"/>
          </w:tcPr>
          <w:p w14:paraId="2C59C935">
            <w:pPr>
              <w:pStyle w:val="6"/>
              <w:spacing w:before="49" w:line="225" w:lineRule="auto"/>
              <w:ind w:left="334"/>
              <w:rPr>
                <w:rFonts w:ascii="宋体" w:hAnsi="宋体" w:eastAsia="宋体" w:cs="宋体"/>
              </w:rPr>
            </w:pPr>
            <w:r>
              <w:rPr>
                <w:rFonts w:ascii="宋体" w:hAnsi="宋体" w:eastAsia="宋体" w:cs="宋体"/>
                <w:spacing w:val="-2"/>
              </w:rPr>
              <w:t>冲洗用水（</w:t>
            </w:r>
            <w:r>
              <w:rPr>
                <w:spacing w:val="-2"/>
              </w:rPr>
              <w:t>m</w:t>
            </w:r>
            <w:r>
              <w:rPr>
                <w:spacing w:val="-2"/>
                <w:position w:val="9"/>
                <w:sz w:val="14"/>
                <w:szCs w:val="14"/>
              </w:rPr>
              <w:t>3</w:t>
            </w:r>
            <w:r>
              <w:rPr>
                <w:spacing w:val="-2"/>
              </w:rPr>
              <w:t>/</w:t>
            </w:r>
            <w:r>
              <w:rPr>
                <w:rFonts w:ascii="宋体" w:hAnsi="宋体" w:eastAsia="宋体" w:cs="宋体"/>
                <w:spacing w:val="-2"/>
              </w:rPr>
              <w:t>次）</w:t>
            </w:r>
          </w:p>
        </w:tc>
        <w:tc>
          <w:tcPr>
            <w:tcW w:w="1180" w:type="dxa"/>
            <w:vAlign w:val="top"/>
          </w:tcPr>
          <w:p w14:paraId="3B729A00">
            <w:pPr>
              <w:pStyle w:val="6"/>
              <w:spacing w:before="100" w:line="188" w:lineRule="auto"/>
              <w:ind w:left="506"/>
            </w:pPr>
            <w:r>
              <w:rPr>
                <w:spacing w:val="-12"/>
              </w:rPr>
              <w:t>15</w:t>
            </w:r>
          </w:p>
        </w:tc>
        <w:tc>
          <w:tcPr>
            <w:tcW w:w="1182" w:type="dxa"/>
            <w:vAlign w:val="top"/>
          </w:tcPr>
          <w:p w14:paraId="4F7C5E6E">
            <w:pPr>
              <w:pStyle w:val="6"/>
              <w:spacing w:before="100" w:line="188" w:lineRule="auto"/>
              <w:ind w:left="492"/>
            </w:pPr>
            <w:r>
              <w:rPr>
                <w:spacing w:val="-5"/>
              </w:rPr>
              <w:t>30</w:t>
            </w:r>
          </w:p>
        </w:tc>
        <w:tc>
          <w:tcPr>
            <w:tcW w:w="1183" w:type="dxa"/>
            <w:vAlign w:val="top"/>
          </w:tcPr>
          <w:p w14:paraId="5A6CE8B4">
            <w:pPr>
              <w:pStyle w:val="6"/>
              <w:spacing w:before="103" w:line="185" w:lineRule="auto"/>
              <w:ind w:left="547"/>
            </w:pPr>
            <w:r>
              <w:t>5</w:t>
            </w:r>
          </w:p>
        </w:tc>
        <w:tc>
          <w:tcPr>
            <w:tcW w:w="2360" w:type="dxa"/>
            <w:vAlign w:val="top"/>
          </w:tcPr>
          <w:p w14:paraId="6742C086">
            <w:pPr>
              <w:rPr>
                <w:rFonts w:ascii="Arial"/>
                <w:sz w:val="21"/>
              </w:rPr>
            </w:pPr>
          </w:p>
        </w:tc>
      </w:tr>
      <w:tr w14:paraId="328CE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15" w:type="dxa"/>
            <w:vAlign w:val="top"/>
          </w:tcPr>
          <w:p w14:paraId="574C6F41">
            <w:pPr>
              <w:pStyle w:val="6"/>
              <w:spacing w:before="50" w:line="225" w:lineRule="auto"/>
              <w:ind w:left="287"/>
              <w:rPr>
                <w:rFonts w:ascii="宋体" w:hAnsi="宋体" w:eastAsia="宋体" w:cs="宋体"/>
              </w:rPr>
            </w:pPr>
            <w:r>
              <w:rPr>
                <w:rFonts w:ascii="宋体" w:hAnsi="宋体" w:eastAsia="宋体" w:cs="宋体"/>
                <w:spacing w:val="-1"/>
              </w:rPr>
              <w:t>冲洗用水量（</w:t>
            </w:r>
            <w:r>
              <w:rPr>
                <w:spacing w:val="-1"/>
              </w:rPr>
              <w:t>m</w:t>
            </w:r>
            <w:r>
              <w:rPr>
                <w:spacing w:val="-1"/>
                <w:position w:val="9"/>
                <w:sz w:val="14"/>
                <w:szCs w:val="14"/>
              </w:rPr>
              <w:t>3</w:t>
            </w:r>
            <w:r>
              <w:rPr>
                <w:spacing w:val="-1"/>
              </w:rPr>
              <w:t>/a</w:t>
            </w:r>
            <w:r>
              <w:rPr>
                <w:rFonts w:ascii="宋体" w:hAnsi="宋体" w:eastAsia="宋体" w:cs="宋体"/>
                <w:spacing w:val="-1"/>
              </w:rPr>
              <w:t>）</w:t>
            </w:r>
          </w:p>
        </w:tc>
        <w:tc>
          <w:tcPr>
            <w:tcW w:w="1180" w:type="dxa"/>
            <w:vAlign w:val="top"/>
          </w:tcPr>
          <w:p w14:paraId="0664925E">
            <w:pPr>
              <w:pStyle w:val="6"/>
              <w:spacing w:before="102" w:line="188" w:lineRule="auto"/>
              <w:ind w:left="359"/>
            </w:pPr>
            <w:r>
              <w:rPr>
                <w:spacing w:val="-2"/>
              </w:rPr>
              <w:t>684.4</w:t>
            </w:r>
          </w:p>
        </w:tc>
        <w:tc>
          <w:tcPr>
            <w:tcW w:w="1182" w:type="dxa"/>
            <w:vAlign w:val="top"/>
          </w:tcPr>
          <w:p w14:paraId="50BEFB82">
            <w:pPr>
              <w:pStyle w:val="6"/>
              <w:spacing w:before="102" w:line="188" w:lineRule="auto"/>
              <w:ind w:left="324"/>
            </w:pPr>
            <w:r>
              <w:rPr>
                <w:spacing w:val="-4"/>
              </w:rPr>
              <w:t>1368.8</w:t>
            </w:r>
          </w:p>
        </w:tc>
        <w:tc>
          <w:tcPr>
            <w:tcW w:w="1183" w:type="dxa"/>
            <w:vAlign w:val="top"/>
          </w:tcPr>
          <w:p w14:paraId="61ACD600">
            <w:pPr>
              <w:pStyle w:val="6"/>
              <w:spacing w:before="102" w:line="188" w:lineRule="auto"/>
              <w:ind w:left="357"/>
            </w:pPr>
            <w:r>
              <w:rPr>
                <w:spacing w:val="-1"/>
              </w:rPr>
              <w:t>228.1</w:t>
            </w:r>
          </w:p>
        </w:tc>
        <w:tc>
          <w:tcPr>
            <w:tcW w:w="2360" w:type="dxa"/>
            <w:vAlign w:val="top"/>
          </w:tcPr>
          <w:p w14:paraId="75B81368">
            <w:pPr>
              <w:spacing w:before="66" w:line="220" w:lineRule="auto"/>
              <w:ind w:left="30"/>
              <w:rPr>
                <w:rFonts w:ascii="宋体" w:hAnsi="宋体" w:eastAsia="宋体" w:cs="宋体"/>
                <w:sz w:val="21"/>
                <w:szCs w:val="21"/>
              </w:rPr>
            </w:pPr>
            <w:r>
              <w:rPr>
                <w:rFonts w:ascii="宋体" w:hAnsi="宋体" w:eastAsia="宋体" w:cs="宋体"/>
                <w:spacing w:val="-1"/>
                <w:sz w:val="21"/>
                <w:szCs w:val="21"/>
              </w:rPr>
              <w:t>转栏及出栏单元、转猪舍</w:t>
            </w:r>
          </w:p>
        </w:tc>
      </w:tr>
      <w:tr w14:paraId="2BB38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415" w:type="dxa"/>
            <w:vAlign w:val="top"/>
          </w:tcPr>
          <w:p w14:paraId="41981D08">
            <w:pPr>
              <w:spacing w:before="67" w:line="220" w:lineRule="auto"/>
              <w:ind w:left="479"/>
              <w:rPr>
                <w:rFonts w:ascii="宋体" w:hAnsi="宋体" w:eastAsia="宋体" w:cs="宋体"/>
                <w:sz w:val="21"/>
                <w:szCs w:val="21"/>
              </w:rPr>
            </w:pPr>
            <w:r>
              <w:rPr>
                <w:rFonts w:ascii="宋体" w:hAnsi="宋体" w:eastAsia="宋体" w:cs="宋体"/>
                <w:spacing w:val="-2"/>
                <w:sz w:val="21"/>
                <w:szCs w:val="21"/>
              </w:rPr>
              <w:t>冲洗用水量合计</w:t>
            </w:r>
          </w:p>
        </w:tc>
        <w:tc>
          <w:tcPr>
            <w:tcW w:w="3545" w:type="dxa"/>
            <w:gridSpan w:val="3"/>
            <w:vAlign w:val="top"/>
          </w:tcPr>
          <w:p w14:paraId="6E061DAB">
            <w:pPr>
              <w:pStyle w:val="6"/>
              <w:spacing w:before="52" w:line="231" w:lineRule="auto"/>
              <w:ind w:left="570"/>
              <w:rPr>
                <w:rFonts w:ascii="宋体" w:hAnsi="宋体" w:eastAsia="宋体" w:cs="宋体"/>
              </w:rPr>
            </w:pPr>
            <w:r>
              <w:rPr>
                <w:spacing w:val="-2"/>
              </w:rPr>
              <w:t>2281.3m</w:t>
            </w:r>
            <w:r>
              <w:rPr>
                <w:spacing w:val="-2"/>
                <w:position w:val="9"/>
                <w:sz w:val="14"/>
                <w:szCs w:val="14"/>
              </w:rPr>
              <w:t>3</w:t>
            </w:r>
            <w:r>
              <w:rPr>
                <w:spacing w:val="-2"/>
              </w:rPr>
              <w:t>/a</w:t>
            </w:r>
            <w:r>
              <w:rPr>
                <w:rFonts w:ascii="宋体" w:hAnsi="宋体" w:eastAsia="宋体" w:cs="宋体"/>
                <w:spacing w:val="-2"/>
              </w:rPr>
              <w:t>（约</w:t>
            </w:r>
            <w:r>
              <w:rPr>
                <w:rFonts w:ascii="宋体" w:hAnsi="宋体" w:eastAsia="宋体" w:cs="宋体"/>
                <w:spacing w:val="-16"/>
              </w:rPr>
              <w:t xml:space="preserve"> </w:t>
            </w:r>
            <w:r>
              <w:rPr>
                <w:spacing w:val="-2"/>
              </w:rPr>
              <w:t>6.25m</w:t>
            </w:r>
            <w:r>
              <w:rPr>
                <w:spacing w:val="-2"/>
                <w:position w:val="9"/>
                <w:sz w:val="14"/>
                <w:szCs w:val="14"/>
              </w:rPr>
              <w:t>3</w:t>
            </w:r>
            <w:r>
              <w:rPr>
                <w:spacing w:val="-2"/>
              </w:rPr>
              <w:t>/d</w:t>
            </w:r>
            <w:r>
              <w:rPr>
                <w:rFonts w:ascii="宋体" w:hAnsi="宋体" w:eastAsia="宋体" w:cs="宋体"/>
                <w:spacing w:val="-2"/>
              </w:rPr>
              <w:t>）</w:t>
            </w:r>
          </w:p>
        </w:tc>
        <w:tc>
          <w:tcPr>
            <w:tcW w:w="2360" w:type="dxa"/>
            <w:vAlign w:val="top"/>
          </w:tcPr>
          <w:p w14:paraId="600326F2">
            <w:pPr>
              <w:rPr>
                <w:rFonts w:ascii="Arial"/>
                <w:sz w:val="21"/>
              </w:rPr>
            </w:pPr>
          </w:p>
        </w:tc>
      </w:tr>
    </w:tbl>
    <w:p w14:paraId="26C60D16">
      <w:pPr>
        <w:pStyle w:val="2"/>
        <w:spacing w:line="200" w:lineRule="exact"/>
        <w:rPr>
          <w:sz w:val="17"/>
        </w:rPr>
      </w:pPr>
    </w:p>
    <w:p w14:paraId="47A5DD48">
      <w:pPr>
        <w:spacing w:line="200" w:lineRule="exact"/>
        <w:rPr>
          <w:sz w:val="17"/>
          <w:szCs w:val="17"/>
        </w:rPr>
        <w:sectPr>
          <w:headerReference r:id="rId186" w:type="default"/>
          <w:footerReference r:id="rId187" w:type="default"/>
          <w:pgSz w:w="11905" w:h="16840"/>
          <w:pgMar w:top="1168" w:right="1768" w:bottom="1409" w:left="1770" w:header="828" w:footer="1244" w:gutter="0"/>
          <w:cols w:space="720" w:num="1"/>
        </w:sectPr>
      </w:pPr>
    </w:p>
    <w:p w14:paraId="5FA42ABE">
      <w:pPr>
        <w:pStyle w:val="2"/>
        <w:spacing w:line="293" w:lineRule="auto"/>
      </w:pPr>
    </w:p>
    <w:p w14:paraId="5AA8FAEA">
      <w:pPr>
        <w:spacing w:before="78" w:line="229" w:lineRule="auto"/>
        <w:jc w:val="right"/>
        <w:rPr>
          <w:rFonts w:ascii="宋体" w:hAnsi="宋体" w:eastAsia="宋体" w:cs="宋体"/>
          <w:sz w:val="24"/>
          <w:szCs w:val="24"/>
        </w:rPr>
      </w:pPr>
      <w:r>
        <w:rPr>
          <w:rFonts w:ascii="宋体" w:hAnsi="宋体" w:eastAsia="宋体" w:cs="宋体"/>
          <w:spacing w:val="-4"/>
          <w:sz w:val="24"/>
          <w:szCs w:val="24"/>
        </w:rPr>
        <w:t>本项目全场转栏及出栏单元及转猪舍冲洗用水量为</w:t>
      </w:r>
      <w:r>
        <w:rPr>
          <w:rFonts w:ascii="Times New Roman" w:hAnsi="Times New Roman" w:eastAsia="Times New Roman" w:cs="Times New Roman"/>
          <w:spacing w:val="-4"/>
          <w:sz w:val="24"/>
          <w:szCs w:val="24"/>
        </w:rPr>
        <w:t>2281.3m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sz w:val="24"/>
          <w:szCs w:val="24"/>
        </w:rPr>
        <w:t>/a</w:t>
      </w:r>
      <w:r>
        <w:rPr>
          <w:rFonts w:ascii="宋体" w:hAnsi="宋体" w:eastAsia="宋体" w:cs="宋体"/>
          <w:spacing w:val="-4"/>
          <w:sz w:val="24"/>
          <w:szCs w:val="24"/>
        </w:rPr>
        <w:t>（约</w:t>
      </w:r>
      <w:r>
        <w:rPr>
          <w:rFonts w:ascii="Times New Roman" w:hAnsi="Times New Roman" w:eastAsia="Times New Roman" w:cs="Times New Roman"/>
          <w:spacing w:val="-4"/>
          <w:sz w:val="24"/>
          <w:szCs w:val="24"/>
        </w:rPr>
        <w:t>6.2</w:t>
      </w:r>
      <w:r>
        <w:rPr>
          <w:rFonts w:ascii="Times New Roman" w:hAnsi="Times New Roman" w:eastAsia="Times New Roman" w:cs="Times New Roman"/>
          <w:spacing w:val="-5"/>
          <w:sz w:val="24"/>
          <w:szCs w:val="24"/>
        </w:rPr>
        <w:t>5m</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pacing w:val="-5"/>
          <w:sz w:val="24"/>
          <w:szCs w:val="24"/>
        </w:rPr>
        <w:t>/d</w:t>
      </w:r>
      <w:r>
        <w:rPr>
          <w:rFonts w:ascii="宋体" w:hAnsi="宋体" w:eastAsia="宋体" w:cs="宋体"/>
          <w:spacing w:val="-5"/>
          <w:sz w:val="24"/>
          <w:szCs w:val="24"/>
        </w:rPr>
        <w:t>）。</w:t>
      </w:r>
    </w:p>
    <w:p w14:paraId="75329BCC">
      <w:pPr>
        <w:spacing w:before="184" w:line="217" w:lineRule="auto"/>
        <w:ind w:left="517"/>
        <w:rPr>
          <w:rFonts w:ascii="宋体" w:hAnsi="宋体" w:eastAsia="宋体" w:cs="宋体"/>
          <w:sz w:val="24"/>
          <w:szCs w:val="24"/>
        </w:rPr>
      </w:pPr>
      <w:r>
        <w:rPr>
          <w:rFonts w:ascii="宋体" w:hAnsi="宋体" w:eastAsia="宋体" w:cs="宋体"/>
          <w:spacing w:val="-1"/>
          <w:sz w:val="24"/>
          <w:szCs w:val="24"/>
        </w:rPr>
        <w:t>③车辆洗消用水</w:t>
      </w:r>
    </w:p>
    <w:p w14:paraId="34A687D1">
      <w:pPr>
        <w:spacing w:before="169" w:line="364" w:lineRule="auto"/>
        <w:ind w:left="45" w:right="203" w:firstLine="474"/>
        <w:rPr>
          <w:rFonts w:ascii="宋体" w:hAnsi="宋体" w:eastAsia="宋体" w:cs="宋体"/>
          <w:sz w:val="24"/>
          <w:szCs w:val="24"/>
        </w:rPr>
      </w:pPr>
      <w:r>
        <w:rPr>
          <w:rFonts w:ascii="宋体" w:hAnsi="宋体" w:eastAsia="宋体" w:cs="宋体"/>
          <w:spacing w:val="-12"/>
          <w:sz w:val="24"/>
          <w:szCs w:val="24"/>
        </w:rPr>
        <w:t>养殖场需对进出车辆（饲料、猪只运输等）</w:t>
      </w:r>
      <w:r>
        <w:rPr>
          <w:rFonts w:ascii="宋体" w:hAnsi="宋体" w:eastAsia="宋体" w:cs="宋体"/>
          <w:spacing w:val="-26"/>
          <w:sz w:val="24"/>
          <w:szCs w:val="24"/>
        </w:rPr>
        <w:t xml:space="preserve"> </w:t>
      </w:r>
      <w:r>
        <w:rPr>
          <w:rFonts w:ascii="宋体" w:hAnsi="宋体" w:eastAsia="宋体" w:cs="宋体"/>
          <w:spacing w:val="-12"/>
          <w:sz w:val="24"/>
          <w:szCs w:val="24"/>
        </w:rPr>
        <w:t>进行清洗、消毒，</w:t>
      </w:r>
      <w:r>
        <w:rPr>
          <w:rFonts w:ascii="宋体" w:hAnsi="宋体" w:eastAsia="宋体" w:cs="宋体"/>
          <w:spacing w:val="-53"/>
          <w:sz w:val="24"/>
          <w:szCs w:val="24"/>
        </w:rPr>
        <w:t xml:space="preserve"> </w:t>
      </w:r>
      <w:r>
        <w:rPr>
          <w:rFonts w:ascii="宋体" w:hAnsi="宋体" w:eastAsia="宋体" w:cs="宋体"/>
          <w:spacing w:val="-12"/>
          <w:sz w:val="24"/>
          <w:szCs w:val="24"/>
        </w:rPr>
        <w:t>用水量约</w:t>
      </w:r>
      <w:r>
        <w:rPr>
          <w:rFonts w:ascii="Times New Roman" w:hAnsi="Times New Roman" w:eastAsia="Times New Roman" w:cs="Times New Roman"/>
          <w:spacing w:val="-12"/>
          <w:sz w:val="24"/>
          <w:szCs w:val="24"/>
        </w:rPr>
        <w:t>0.2m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w:t>
      </w:r>
      <w:r>
        <w:rPr>
          <w:rFonts w:ascii="宋体" w:hAnsi="宋体" w:eastAsia="宋体" w:cs="宋体"/>
          <w:spacing w:val="14"/>
          <w:sz w:val="24"/>
          <w:szCs w:val="24"/>
        </w:rPr>
        <w:t>台</w:t>
      </w:r>
      <w:r>
        <w:rPr>
          <w:rFonts w:ascii="Times New Roman" w:hAnsi="Times New Roman" w:eastAsia="Times New Roman" w:cs="Times New Roman"/>
          <w:spacing w:val="14"/>
          <w:sz w:val="24"/>
          <w:szCs w:val="24"/>
        </w:rPr>
        <w:t>.</w:t>
      </w:r>
      <w:r>
        <w:rPr>
          <w:rFonts w:ascii="宋体" w:hAnsi="宋体" w:eastAsia="宋体" w:cs="宋体"/>
          <w:spacing w:val="14"/>
          <w:sz w:val="24"/>
          <w:szCs w:val="24"/>
        </w:rPr>
        <w:t>次，养殖场日均进场车辆按</w:t>
      </w:r>
      <w:r>
        <w:rPr>
          <w:rFonts w:ascii="Times New Roman" w:hAnsi="Times New Roman" w:eastAsia="Times New Roman" w:cs="Times New Roman"/>
          <w:spacing w:val="14"/>
          <w:sz w:val="24"/>
          <w:szCs w:val="24"/>
        </w:rPr>
        <w:t>20</w:t>
      </w:r>
      <w:r>
        <w:rPr>
          <w:rFonts w:ascii="宋体" w:hAnsi="宋体" w:eastAsia="宋体" w:cs="宋体"/>
          <w:spacing w:val="14"/>
          <w:sz w:val="24"/>
          <w:szCs w:val="24"/>
        </w:rPr>
        <w:t>辆计算，则车辆冲洗消毒</w:t>
      </w:r>
      <w:r>
        <w:rPr>
          <w:rFonts w:ascii="宋体" w:hAnsi="宋体" w:eastAsia="宋体" w:cs="宋体"/>
          <w:spacing w:val="13"/>
          <w:sz w:val="24"/>
          <w:szCs w:val="24"/>
        </w:rPr>
        <w:t>用水量约</w:t>
      </w:r>
      <w:r>
        <w:rPr>
          <w:rFonts w:ascii="Times New Roman" w:hAnsi="Times New Roman" w:eastAsia="Times New Roman" w:cs="Times New Roman"/>
          <w:spacing w:val="13"/>
          <w:sz w:val="24"/>
          <w:szCs w:val="24"/>
        </w:rPr>
        <w:t>4.0m</w:t>
      </w:r>
      <w:r>
        <w:rPr>
          <w:rFonts w:ascii="Times New Roman" w:hAnsi="Times New Roman" w:eastAsia="Times New Roman" w:cs="Times New Roman"/>
          <w:spacing w:val="13"/>
          <w:position w:val="10"/>
          <w:sz w:val="15"/>
          <w:szCs w:val="15"/>
        </w:rPr>
        <w:t>3</w:t>
      </w:r>
      <w:r>
        <w:rPr>
          <w:rFonts w:ascii="Times New Roman" w:hAnsi="Times New Roman" w:eastAsia="Times New Roman" w:cs="Times New Roman"/>
          <w:spacing w:val="13"/>
          <w:sz w:val="24"/>
          <w:szCs w:val="24"/>
        </w:rPr>
        <w:t>/d</w:t>
      </w:r>
      <w:r>
        <w:rPr>
          <w:rFonts w:ascii="Times New Roman" w:hAnsi="Times New Roman" w:eastAsia="Times New Roman" w:cs="Times New Roman"/>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1460m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/a</w:t>
      </w:r>
      <w:r>
        <w:rPr>
          <w:rFonts w:ascii="宋体" w:hAnsi="宋体" w:eastAsia="宋体" w:cs="宋体"/>
          <w:spacing w:val="-41"/>
          <w:sz w:val="24"/>
          <w:szCs w:val="24"/>
        </w:rPr>
        <w:t>）。</w:t>
      </w:r>
    </w:p>
    <w:p w14:paraId="4043F299">
      <w:pPr>
        <w:spacing w:line="217" w:lineRule="auto"/>
        <w:ind w:left="517"/>
        <w:rPr>
          <w:rFonts w:ascii="宋体" w:hAnsi="宋体" w:eastAsia="宋体" w:cs="宋体"/>
          <w:sz w:val="24"/>
          <w:szCs w:val="24"/>
        </w:rPr>
      </w:pPr>
      <w:r>
        <w:rPr>
          <w:rFonts w:ascii="宋体" w:hAnsi="宋体" w:eastAsia="宋体" w:cs="宋体"/>
          <w:spacing w:val="-1"/>
          <w:sz w:val="24"/>
          <w:szCs w:val="24"/>
        </w:rPr>
        <w:t>④猪具清洗用水</w:t>
      </w:r>
    </w:p>
    <w:p w14:paraId="191A5F3C">
      <w:pPr>
        <w:spacing w:before="186" w:line="358" w:lineRule="auto"/>
        <w:ind w:left="40" w:right="205" w:firstLine="482"/>
        <w:rPr>
          <w:rFonts w:ascii="宋体" w:hAnsi="宋体" w:eastAsia="宋体" w:cs="宋体"/>
          <w:sz w:val="24"/>
          <w:szCs w:val="24"/>
        </w:rPr>
      </w:pPr>
      <w:r>
        <w:rPr>
          <w:rFonts w:ascii="宋体" w:hAnsi="宋体" w:eastAsia="宋体" w:cs="宋体"/>
          <w:spacing w:val="-3"/>
          <w:sz w:val="24"/>
          <w:szCs w:val="24"/>
        </w:rPr>
        <w:t>项目配备自动化的饲料供给系统，管理较为轻松，所需</w:t>
      </w:r>
      <w:r>
        <w:rPr>
          <w:rFonts w:ascii="宋体" w:hAnsi="宋体" w:eastAsia="宋体" w:cs="宋体"/>
          <w:spacing w:val="-4"/>
          <w:sz w:val="24"/>
          <w:szCs w:val="24"/>
        </w:rPr>
        <w:t>要人工清洗的生猪饲</w:t>
      </w:r>
      <w:r>
        <w:rPr>
          <w:rFonts w:ascii="宋体" w:hAnsi="宋体" w:eastAsia="宋体" w:cs="宋体"/>
          <w:spacing w:val="3"/>
          <w:sz w:val="24"/>
          <w:szCs w:val="24"/>
        </w:rPr>
        <w:t>养工具也相对少。根据项目建设单位提供的经验数据，猪具清洗用水</w:t>
      </w:r>
      <w:r>
        <w:rPr>
          <w:rFonts w:ascii="宋体" w:hAnsi="宋体" w:eastAsia="宋体" w:cs="宋体"/>
          <w:spacing w:val="2"/>
          <w:sz w:val="24"/>
          <w:szCs w:val="24"/>
        </w:rPr>
        <w:t>约</w:t>
      </w:r>
      <w:r>
        <w:rPr>
          <w:rFonts w:ascii="Times New Roman" w:hAnsi="Times New Roman" w:eastAsia="Times New Roman" w:cs="Times New Roman"/>
          <w:spacing w:val="2"/>
          <w:sz w:val="24"/>
          <w:szCs w:val="24"/>
        </w:rPr>
        <w:t>5.0m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z w:val="24"/>
          <w:szCs w:val="24"/>
        </w:rPr>
        <w:t xml:space="preserve"> </w:t>
      </w:r>
      <w:r>
        <w:rPr>
          <w:rFonts w:ascii="宋体" w:hAnsi="宋体" w:eastAsia="宋体" w:cs="宋体"/>
          <w:spacing w:val="-6"/>
          <w:sz w:val="24"/>
          <w:szCs w:val="24"/>
        </w:rPr>
        <w:t>（折合约</w:t>
      </w:r>
      <w:r>
        <w:rPr>
          <w:rFonts w:ascii="Times New Roman" w:hAnsi="Times New Roman" w:eastAsia="Times New Roman" w:cs="Times New Roman"/>
          <w:spacing w:val="-6"/>
          <w:sz w:val="24"/>
          <w:szCs w:val="24"/>
        </w:rPr>
        <w:t>1825.0m</w:t>
      </w:r>
      <w:r>
        <w:rPr>
          <w:rFonts w:ascii="Times New Roman" w:hAnsi="Times New Roman" w:eastAsia="Times New Roman" w:cs="Times New Roman"/>
          <w:spacing w:val="-6"/>
          <w:position w:val="10"/>
          <w:sz w:val="15"/>
          <w:szCs w:val="15"/>
        </w:rPr>
        <w:t>3</w:t>
      </w:r>
      <w:r>
        <w:rPr>
          <w:rFonts w:ascii="Times New Roman" w:hAnsi="Times New Roman" w:eastAsia="Times New Roman" w:cs="Times New Roman"/>
          <w:spacing w:val="-6"/>
          <w:sz w:val="24"/>
          <w:szCs w:val="24"/>
        </w:rPr>
        <w:t>/a</w:t>
      </w:r>
      <w:r>
        <w:rPr>
          <w:rFonts w:ascii="宋体" w:hAnsi="宋体" w:eastAsia="宋体" w:cs="宋体"/>
          <w:spacing w:val="-6"/>
          <w:sz w:val="24"/>
          <w:szCs w:val="24"/>
        </w:rPr>
        <w:t>）。</w:t>
      </w:r>
    </w:p>
    <w:p w14:paraId="35422D32">
      <w:pPr>
        <w:spacing w:before="7" w:line="217" w:lineRule="auto"/>
        <w:ind w:left="517"/>
        <w:rPr>
          <w:rFonts w:ascii="宋体" w:hAnsi="宋体" w:eastAsia="宋体" w:cs="宋体"/>
          <w:sz w:val="24"/>
          <w:szCs w:val="24"/>
        </w:rPr>
      </w:pPr>
      <w:r>
        <w:rPr>
          <w:rFonts w:ascii="宋体" w:hAnsi="宋体" w:eastAsia="宋体" w:cs="宋体"/>
          <w:spacing w:val="-1"/>
          <w:sz w:val="24"/>
          <w:szCs w:val="24"/>
        </w:rPr>
        <w:t>⑤夏季降温用水</w:t>
      </w:r>
    </w:p>
    <w:p w14:paraId="23FED3AF">
      <w:pPr>
        <w:spacing w:before="186" w:line="359" w:lineRule="auto"/>
        <w:ind w:left="35" w:right="202" w:firstLine="484"/>
        <w:rPr>
          <w:rFonts w:ascii="宋体" w:hAnsi="宋体" w:eastAsia="宋体" w:cs="宋体"/>
          <w:sz w:val="24"/>
          <w:szCs w:val="24"/>
        </w:rPr>
      </w:pPr>
      <w:r>
        <w:rPr>
          <w:rFonts w:ascii="宋体" w:hAnsi="宋体" w:eastAsia="宋体" w:cs="宋体"/>
          <w:spacing w:val="-3"/>
          <w:sz w:val="24"/>
          <w:szCs w:val="24"/>
        </w:rPr>
        <w:t>夏天温度高时，为防止猪只中暑，需要对保育楼及育肥楼进行降</w:t>
      </w:r>
      <w:r>
        <w:rPr>
          <w:rFonts w:ascii="宋体" w:hAnsi="宋体" w:eastAsia="宋体" w:cs="宋体"/>
          <w:spacing w:val="-4"/>
          <w:sz w:val="24"/>
          <w:szCs w:val="24"/>
        </w:rPr>
        <w:t>温，降温系</w:t>
      </w:r>
      <w:r>
        <w:rPr>
          <w:rFonts w:ascii="宋体" w:hAnsi="宋体" w:eastAsia="宋体" w:cs="宋体"/>
          <w:spacing w:val="7"/>
          <w:sz w:val="24"/>
          <w:szCs w:val="24"/>
        </w:rPr>
        <w:t>统使用“负压风机</w:t>
      </w:r>
      <w:r>
        <w:rPr>
          <w:rFonts w:ascii="Times New Roman" w:hAnsi="Times New Roman" w:eastAsia="Times New Roman" w:cs="Times New Roman"/>
          <w:spacing w:val="7"/>
          <w:sz w:val="24"/>
          <w:szCs w:val="24"/>
        </w:rPr>
        <w:t>+</w:t>
      </w:r>
      <w:r>
        <w:rPr>
          <w:rFonts w:ascii="宋体" w:hAnsi="宋体" w:eastAsia="宋体" w:cs="宋体"/>
          <w:spacing w:val="7"/>
          <w:sz w:val="24"/>
          <w:szCs w:val="24"/>
        </w:rPr>
        <w:t>水帘”系统，根据建设单位提供的资料，育肥楼水帘面积</w:t>
      </w:r>
      <w:r>
        <w:rPr>
          <w:rFonts w:ascii="Times New Roman" w:hAnsi="Times New Roman" w:eastAsia="Times New Roman" w:cs="Times New Roman"/>
          <w:spacing w:val="-2"/>
          <w:sz w:val="24"/>
          <w:szCs w:val="24"/>
        </w:rPr>
        <w:t>2749m</w:t>
      </w:r>
      <w:r>
        <w:rPr>
          <w:rFonts w:ascii="Times New Roman" w:hAnsi="Times New Roman" w:eastAsia="Times New Roman" w:cs="Times New Roman"/>
          <w:spacing w:val="-2"/>
          <w:position w:val="10"/>
          <w:sz w:val="15"/>
          <w:szCs w:val="15"/>
        </w:rPr>
        <w:t>2</w:t>
      </w:r>
      <w:r>
        <w:rPr>
          <w:rFonts w:ascii="Times New Roman" w:hAnsi="Times New Roman" w:eastAsia="Times New Roman" w:cs="Times New Roman"/>
          <w:spacing w:val="-8"/>
          <w:position w:val="10"/>
          <w:sz w:val="15"/>
          <w:szCs w:val="15"/>
        </w:rPr>
        <w:t xml:space="preserve"> </w:t>
      </w:r>
      <w:r>
        <w:rPr>
          <w:rFonts w:ascii="宋体" w:hAnsi="宋体" w:eastAsia="宋体" w:cs="宋体"/>
          <w:spacing w:val="-2"/>
          <w:sz w:val="24"/>
          <w:szCs w:val="24"/>
        </w:rPr>
        <w:t>，保育楼水帘面积</w:t>
      </w:r>
      <w:r>
        <w:rPr>
          <w:rFonts w:ascii="Times New Roman" w:hAnsi="Times New Roman" w:eastAsia="Times New Roman" w:cs="Times New Roman"/>
          <w:spacing w:val="-2"/>
          <w:sz w:val="24"/>
          <w:szCs w:val="24"/>
        </w:rPr>
        <w:t>216m</w:t>
      </w:r>
      <w:r>
        <w:rPr>
          <w:rFonts w:ascii="Times New Roman" w:hAnsi="Times New Roman" w:eastAsia="Times New Roman" w:cs="Times New Roman"/>
          <w:spacing w:val="-2"/>
          <w:position w:val="10"/>
          <w:sz w:val="15"/>
          <w:szCs w:val="15"/>
        </w:rPr>
        <w:t>2</w:t>
      </w:r>
      <w:r>
        <w:rPr>
          <w:rFonts w:ascii="Times New Roman" w:hAnsi="Times New Roman" w:eastAsia="Times New Roman" w:cs="Times New Roman"/>
          <w:spacing w:val="-7"/>
          <w:position w:val="10"/>
          <w:sz w:val="15"/>
          <w:szCs w:val="15"/>
        </w:rPr>
        <w:t xml:space="preserve"> </w:t>
      </w:r>
      <w:r>
        <w:rPr>
          <w:rFonts w:ascii="宋体" w:hAnsi="宋体" w:eastAsia="宋体" w:cs="宋体"/>
          <w:spacing w:val="-2"/>
          <w:sz w:val="24"/>
          <w:szCs w:val="24"/>
        </w:rPr>
        <w:t>，水帘机使用循环水系统，循环水帘每天</w:t>
      </w:r>
      <w:r>
        <w:rPr>
          <w:rFonts w:ascii="宋体" w:hAnsi="宋体" w:eastAsia="宋体" w:cs="宋体"/>
          <w:spacing w:val="-3"/>
          <w:sz w:val="24"/>
          <w:szCs w:val="24"/>
        </w:rPr>
        <w:t>都会有</w:t>
      </w:r>
      <w:r>
        <w:rPr>
          <w:rFonts w:ascii="宋体" w:hAnsi="宋体" w:eastAsia="宋体" w:cs="宋体"/>
          <w:spacing w:val="-1"/>
          <w:sz w:val="24"/>
          <w:szCs w:val="24"/>
        </w:rPr>
        <w:t>水分损失，根据建设单位运营经验，湿帘补充用水量约为</w:t>
      </w:r>
      <w:r>
        <w:rPr>
          <w:rFonts w:ascii="Times New Roman" w:hAnsi="Times New Roman" w:eastAsia="Times New Roman" w:cs="Times New Roman"/>
          <w:spacing w:val="-1"/>
          <w:sz w:val="24"/>
          <w:szCs w:val="24"/>
        </w:rPr>
        <w:t>10L/m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sz w:val="24"/>
          <w:szCs w:val="24"/>
        </w:rPr>
        <w:t>.d</w:t>
      </w:r>
      <w:r>
        <w:rPr>
          <w:rFonts w:ascii="宋体" w:hAnsi="宋体" w:eastAsia="宋体" w:cs="宋体"/>
          <w:spacing w:val="-1"/>
          <w:sz w:val="24"/>
          <w:szCs w:val="24"/>
        </w:rPr>
        <w:t>计，则运营期</w:t>
      </w:r>
      <w:r>
        <w:rPr>
          <w:rFonts w:ascii="宋体" w:hAnsi="宋体" w:eastAsia="宋体" w:cs="宋体"/>
          <w:spacing w:val="16"/>
          <w:sz w:val="24"/>
          <w:szCs w:val="24"/>
        </w:rPr>
        <w:t>猪舍湿帘补充用水量为</w:t>
      </w:r>
      <w:r>
        <w:rPr>
          <w:rFonts w:ascii="Times New Roman" w:hAnsi="Times New Roman" w:eastAsia="Times New Roman" w:cs="Times New Roman"/>
          <w:spacing w:val="16"/>
          <w:sz w:val="24"/>
          <w:szCs w:val="24"/>
        </w:rPr>
        <w:t>29.65m</w:t>
      </w:r>
      <w:r>
        <w:rPr>
          <w:rFonts w:ascii="Times New Roman" w:hAnsi="Times New Roman" w:eastAsia="Times New Roman" w:cs="Times New Roman"/>
          <w:spacing w:val="16"/>
          <w:position w:val="10"/>
          <w:sz w:val="15"/>
          <w:szCs w:val="15"/>
        </w:rPr>
        <w:t>3</w:t>
      </w:r>
      <w:r>
        <w:rPr>
          <w:rFonts w:ascii="Times New Roman" w:hAnsi="Times New Roman" w:eastAsia="Times New Roman" w:cs="Times New Roman"/>
          <w:spacing w:val="16"/>
          <w:sz w:val="24"/>
          <w:szCs w:val="24"/>
        </w:rPr>
        <w:t>/d</w:t>
      </w:r>
      <w:r>
        <w:rPr>
          <w:rFonts w:ascii="宋体" w:hAnsi="宋体" w:eastAsia="宋体" w:cs="宋体"/>
          <w:spacing w:val="16"/>
          <w:sz w:val="24"/>
          <w:szCs w:val="24"/>
        </w:rPr>
        <w:t>，当地夏季</w:t>
      </w:r>
      <w:r>
        <w:rPr>
          <w:rFonts w:ascii="宋体" w:hAnsi="宋体" w:eastAsia="宋体" w:cs="宋体"/>
          <w:spacing w:val="15"/>
          <w:sz w:val="24"/>
          <w:szCs w:val="24"/>
        </w:rPr>
        <w:t>按</w:t>
      </w:r>
      <w:r>
        <w:rPr>
          <w:rFonts w:ascii="Times New Roman" w:hAnsi="Times New Roman" w:eastAsia="Times New Roman" w:cs="Times New Roman"/>
          <w:spacing w:val="15"/>
          <w:sz w:val="24"/>
          <w:szCs w:val="24"/>
        </w:rPr>
        <w:t>94</w:t>
      </w:r>
      <w:r>
        <w:rPr>
          <w:rFonts w:ascii="宋体" w:hAnsi="宋体" w:eastAsia="宋体" w:cs="宋体"/>
          <w:spacing w:val="15"/>
          <w:sz w:val="24"/>
          <w:szCs w:val="24"/>
        </w:rPr>
        <w:t>天计，则全年补充水量为</w:t>
      </w:r>
      <w:r>
        <w:rPr>
          <w:rFonts w:ascii="Times New Roman" w:hAnsi="Times New Roman" w:eastAsia="Times New Roman" w:cs="Times New Roman"/>
          <w:spacing w:val="-2"/>
          <w:sz w:val="24"/>
          <w:szCs w:val="24"/>
        </w:rPr>
        <w:t>2787.</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2"/>
          <w:sz w:val="24"/>
          <w:szCs w:val="24"/>
        </w:rPr>
        <w:t>1m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。本项目通风降温系统用水为循环使用，不排放。</w:t>
      </w:r>
    </w:p>
    <w:p w14:paraId="385FC69A">
      <w:pPr>
        <w:spacing w:before="7" w:line="217" w:lineRule="auto"/>
        <w:ind w:left="517"/>
        <w:rPr>
          <w:rFonts w:ascii="宋体" w:hAnsi="宋体" w:eastAsia="宋体" w:cs="宋体"/>
          <w:sz w:val="24"/>
          <w:szCs w:val="24"/>
        </w:rPr>
      </w:pPr>
      <w:r>
        <w:rPr>
          <w:rFonts w:ascii="宋体" w:hAnsi="宋体" w:eastAsia="宋体" w:cs="宋体"/>
          <w:spacing w:val="-1"/>
          <w:sz w:val="24"/>
          <w:szCs w:val="24"/>
        </w:rPr>
        <w:t>⑥猪舍生物喷雾除臭循环池用水</w:t>
      </w:r>
    </w:p>
    <w:p w14:paraId="2C65BEBB">
      <w:pPr>
        <w:spacing w:before="183" w:line="358" w:lineRule="auto"/>
        <w:ind w:left="38" w:right="136" w:firstLine="481"/>
        <w:rPr>
          <w:rFonts w:ascii="宋体" w:hAnsi="宋体" w:eastAsia="宋体" w:cs="宋体"/>
          <w:sz w:val="24"/>
          <w:szCs w:val="24"/>
        </w:rPr>
      </w:pPr>
      <w:r>
        <w:rPr>
          <w:rFonts w:ascii="宋体" w:hAnsi="宋体" w:eastAsia="宋体" w:cs="宋体"/>
          <w:spacing w:val="-3"/>
          <w:sz w:val="24"/>
          <w:szCs w:val="24"/>
        </w:rPr>
        <w:t>本项目拟在保育楼、育肥楼出风一侧设置双层高压喷雾除臭网</w:t>
      </w:r>
      <w:r>
        <w:rPr>
          <w:rFonts w:ascii="宋体" w:hAnsi="宋体" w:eastAsia="宋体" w:cs="宋体"/>
          <w:spacing w:val="-4"/>
          <w:sz w:val="24"/>
          <w:szCs w:val="24"/>
        </w:rPr>
        <w:t>，根据建设单</w:t>
      </w:r>
      <w:r>
        <w:rPr>
          <w:rFonts w:ascii="宋体" w:hAnsi="宋体" w:eastAsia="宋体" w:cs="宋体"/>
          <w:spacing w:val="1"/>
          <w:sz w:val="24"/>
          <w:szCs w:val="24"/>
        </w:rPr>
        <w:t>位提供的设计资料，除臭网面积共约</w:t>
      </w:r>
      <w:r>
        <w:rPr>
          <w:rFonts w:ascii="Times New Roman" w:hAnsi="Times New Roman" w:eastAsia="Times New Roman" w:cs="Times New Roman"/>
          <w:spacing w:val="1"/>
          <w:sz w:val="24"/>
          <w:szCs w:val="24"/>
        </w:rPr>
        <w:t>3822m</w:t>
      </w:r>
      <w:r>
        <w:rPr>
          <w:rFonts w:ascii="Times New Roman" w:hAnsi="Times New Roman" w:eastAsia="Times New Roman" w:cs="Times New Roman"/>
          <w:spacing w:val="1"/>
          <w:position w:val="10"/>
          <w:sz w:val="15"/>
          <w:szCs w:val="15"/>
        </w:rPr>
        <w:t xml:space="preserve">2 </w:t>
      </w:r>
      <w:r>
        <w:rPr>
          <w:rFonts w:ascii="宋体" w:hAnsi="宋体" w:eastAsia="宋体" w:cs="宋体"/>
          <w:spacing w:val="1"/>
          <w:sz w:val="24"/>
          <w:szCs w:val="24"/>
        </w:rPr>
        <w:t>，使用水和植物精油除臭剂除臭。</w:t>
      </w:r>
      <w:r>
        <w:rPr>
          <w:rFonts w:ascii="宋体" w:hAnsi="宋体" w:eastAsia="宋体" w:cs="宋体"/>
          <w:spacing w:val="2"/>
          <w:sz w:val="24"/>
          <w:szCs w:val="24"/>
        </w:rPr>
        <w:t>高压喷雾除臭装置单个雾化喷嘴有效控制面积为</w:t>
      </w:r>
      <w:r>
        <w:rPr>
          <w:rFonts w:ascii="Times New Roman" w:hAnsi="Times New Roman" w:eastAsia="Times New Roman" w:cs="Times New Roman"/>
          <w:spacing w:val="2"/>
          <w:sz w:val="24"/>
          <w:szCs w:val="24"/>
        </w:rPr>
        <w:t>10m</w:t>
      </w:r>
      <w:r>
        <w:rPr>
          <w:rFonts w:ascii="Times New Roman" w:hAnsi="Times New Roman" w:eastAsia="Times New Roman" w:cs="Times New Roman"/>
          <w:spacing w:val="2"/>
          <w:position w:val="10"/>
          <w:sz w:val="15"/>
          <w:szCs w:val="15"/>
        </w:rPr>
        <w:t xml:space="preserve">2 </w:t>
      </w:r>
      <w:r>
        <w:rPr>
          <w:rFonts w:ascii="宋体" w:hAnsi="宋体" w:eastAsia="宋体" w:cs="宋体"/>
          <w:spacing w:val="2"/>
          <w:sz w:val="24"/>
          <w:szCs w:val="24"/>
        </w:rPr>
        <w:t>，喷嘴采</w:t>
      </w:r>
      <w:r>
        <w:rPr>
          <w:rFonts w:ascii="宋体" w:hAnsi="宋体" w:eastAsia="宋体" w:cs="宋体"/>
          <w:spacing w:val="1"/>
          <w:sz w:val="24"/>
          <w:szCs w:val="24"/>
        </w:rPr>
        <w:t>用自动控制系统</w:t>
      </w:r>
      <w:r>
        <w:rPr>
          <w:rFonts w:ascii="宋体" w:hAnsi="宋体" w:eastAsia="宋体" w:cs="宋体"/>
          <w:sz w:val="24"/>
          <w:szCs w:val="24"/>
        </w:rPr>
        <w:t>控制，每连续喷雾</w:t>
      </w:r>
      <w:r>
        <w:rPr>
          <w:rFonts w:ascii="Times New Roman" w:hAnsi="Times New Roman" w:eastAsia="Times New Roman" w:cs="Times New Roman"/>
          <w:sz w:val="24"/>
          <w:szCs w:val="24"/>
        </w:rPr>
        <w:t>10min</w:t>
      </w:r>
      <w:r>
        <w:rPr>
          <w:rFonts w:ascii="宋体" w:hAnsi="宋体" w:eastAsia="宋体" w:cs="宋体"/>
          <w:sz w:val="24"/>
          <w:szCs w:val="24"/>
        </w:rPr>
        <w:t>后间歇</w:t>
      </w:r>
      <w:r>
        <w:rPr>
          <w:rFonts w:ascii="Times New Roman" w:hAnsi="Times New Roman" w:eastAsia="Times New Roman" w:cs="Times New Roman"/>
          <w:sz w:val="24"/>
          <w:szCs w:val="24"/>
        </w:rPr>
        <w:t>10min</w:t>
      </w:r>
      <w:r>
        <w:rPr>
          <w:rFonts w:ascii="宋体" w:hAnsi="宋体" w:eastAsia="宋体" w:cs="宋体"/>
          <w:spacing w:val="-1"/>
          <w:sz w:val="24"/>
          <w:szCs w:val="24"/>
        </w:rPr>
        <w:t>后再作业，每天运行</w:t>
      </w:r>
      <w:r>
        <w:rPr>
          <w:rFonts w:ascii="Times New Roman" w:hAnsi="Times New Roman" w:eastAsia="Times New Roman" w:cs="Times New Roman"/>
          <w:spacing w:val="-1"/>
          <w:sz w:val="24"/>
          <w:szCs w:val="24"/>
        </w:rPr>
        <w:t>24h</w:t>
      </w:r>
      <w:r>
        <w:rPr>
          <w:rFonts w:ascii="宋体" w:hAnsi="宋体" w:eastAsia="宋体" w:cs="宋体"/>
          <w:spacing w:val="-1"/>
          <w:sz w:val="24"/>
          <w:szCs w:val="24"/>
        </w:rPr>
        <w:t>，每个喷嘴耗水量</w:t>
      </w:r>
      <w:r>
        <w:rPr>
          <w:rFonts w:ascii="宋体" w:hAnsi="宋体" w:eastAsia="宋体" w:cs="宋体"/>
          <w:spacing w:val="-2"/>
          <w:sz w:val="24"/>
          <w:szCs w:val="24"/>
        </w:rPr>
        <w:t>约为</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2"/>
          <w:sz w:val="24"/>
          <w:szCs w:val="24"/>
        </w:rPr>
        <w:t>145L/min</w:t>
      </w:r>
      <w:r>
        <w:rPr>
          <w:rFonts w:ascii="宋体" w:hAnsi="宋体" w:eastAsia="宋体" w:cs="宋体"/>
          <w:spacing w:val="-2"/>
          <w:sz w:val="24"/>
          <w:szCs w:val="24"/>
        </w:rPr>
        <w:t>。经计算，喷雾除臭用水量为</w:t>
      </w:r>
      <w:r>
        <w:rPr>
          <w:rFonts w:ascii="Times New Roman" w:hAnsi="Times New Roman" w:eastAsia="Times New Roman" w:cs="Times New Roman"/>
          <w:spacing w:val="-2"/>
          <w:sz w:val="24"/>
          <w:szCs w:val="24"/>
        </w:rPr>
        <w:t>39.90m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，喷雾除臭液通过管沟收</w:t>
      </w:r>
      <w:r>
        <w:rPr>
          <w:rFonts w:ascii="宋体" w:hAnsi="宋体" w:eastAsia="宋体" w:cs="宋体"/>
          <w:spacing w:val="1"/>
          <w:sz w:val="24"/>
          <w:szCs w:val="24"/>
        </w:rPr>
        <w:t>集至循环池循环使用，循环水利用率约为</w:t>
      </w:r>
      <w:r>
        <w:rPr>
          <w:rFonts w:ascii="Times New Roman" w:hAnsi="Times New Roman" w:eastAsia="Times New Roman" w:cs="Times New Roman"/>
          <w:spacing w:val="1"/>
          <w:sz w:val="24"/>
          <w:szCs w:val="24"/>
        </w:rPr>
        <w:t>60%</w:t>
      </w:r>
      <w:r>
        <w:rPr>
          <w:rFonts w:ascii="宋体" w:hAnsi="宋体" w:eastAsia="宋体" w:cs="宋体"/>
          <w:spacing w:val="1"/>
          <w:sz w:val="24"/>
          <w:szCs w:val="24"/>
        </w:rPr>
        <w:t>，即每天补充水为循环水的</w:t>
      </w:r>
      <w:r>
        <w:rPr>
          <w:rFonts w:ascii="Times New Roman" w:hAnsi="Times New Roman" w:eastAsia="Times New Roman" w:cs="Times New Roman"/>
          <w:spacing w:val="1"/>
          <w:sz w:val="24"/>
          <w:szCs w:val="24"/>
        </w:rPr>
        <w:t>40%</w:t>
      </w:r>
      <w:r>
        <w:rPr>
          <w:rFonts w:ascii="宋体" w:hAnsi="宋体" w:eastAsia="宋体" w:cs="宋体"/>
          <w:spacing w:val="1"/>
          <w:sz w:val="24"/>
          <w:szCs w:val="24"/>
        </w:rPr>
        <w:t>，</w:t>
      </w:r>
      <w:r>
        <w:rPr>
          <w:rFonts w:ascii="宋体" w:hAnsi="宋体" w:eastAsia="宋体" w:cs="宋体"/>
          <w:spacing w:val="-1"/>
          <w:sz w:val="24"/>
          <w:szCs w:val="24"/>
        </w:rPr>
        <w:t>即</w:t>
      </w:r>
      <w:r>
        <w:rPr>
          <w:rFonts w:ascii="Times New Roman" w:hAnsi="Times New Roman" w:eastAsia="Times New Roman" w:cs="Times New Roman"/>
          <w:spacing w:val="-1"/>
          <w:sz w:val="24"/>
          <w:szCs w:val="24"/>
        </w:rPr>
        <w:t>39.90m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/d×40%=15.96m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。同时每</w:t>
      </w:r>
      <w:r>
        <w:rPr>
          <w:rFonts w:ascii="Times New Roman" w:hAnsi="Times New Roman" w:eastAsia="Times New Roman" w:cs="Times New Roman"/>
          <w:spacing w:val="-1"/>
          <w:sz w:val="24"/>
          <w:szCs w:val="24"/>
        </w:rPr>
        <w:t>10d</w:t>
      </w:r>
      <w:r>
        <w:rPr>
          <w:rFonts w:ascii="宋体" w:hAnsi="宋体" w:eastAsia="宋体" w:cs="宋体"/>
          <w:spacing w:val="-1"/>
          <w:sz w:val="24"/>
          <w:szCs w:val="24"/>
        </w:rPr>
        <w:t>左右循环池（循</w:t>
      </w:r>
      <w:r>
        <w:rPr>
          <w:rFonts w:ascii="宋体" w:hAnsi="宋体" w:eastAsia="宋体" w:cs="宋体"/>
          <w:spacing w:val="-2"/>
          <w:sz w:val="24"/>
          <w:szCs w:val="24"/>
        </w:rPr>
        <w:t>环池蓄水量共</w:t>
      </w:r>
      <w:r>
        <w:rPr>
          <w:rFonts w:ascii="Times New Roman" w:hAnsi="Times New Roman" w:eastAsia="Times New Roman" w:cs="Times New Roman"/>
          <w:spacing w:val="-2"/>
          <w:sz w:val="24"/>
          <w:szCs w:val="24"/>
        </w:rPr>
        <w:t>18m</w:t>
      </w:r>
      <w:r>
        <w:rPr>
          <w:rFonts w:ascii="Times New Roman" w:hAnsi="Times New Roman" w:eastAsia="Times New Roman" w:cs="Times New Roman"/>
          <w:spacing w:val="-2"/>
          <w:position w:val="10"/>
          <w:sz w:val="15"/>
          <w:szCs w:val="15"/>
        </w:rPr>
        <w:t>3</w:t>
      </w:r>
      <w:r>
        <w:rPr>
          <w:rFonts w:ascii="宋体" w:hAnsi="宋体" w:eastAsia="宋体" w:cs="宋体"/>
          <w:spacing w:val="-2"/>
          <w:sz w:val="24"/>
          <w:szCs w:val="24"/>
        </w:rPr>
        <w:t>）饱</w:t>
      </w:r>
      <w:r>
        <w:rPr>
          <w:rFonts w:ascii="宋体" w:hAnsi="宋体" w:eastAsia="宋体" w:cs="宋体"/>
          <w:sz w:val="24"/>
          <w:szCs w:val="24"/>
        </w:rPr>
        <w:t>和水经中和预处理后统一排放至污水处理站进行处理，即每</w:t>
      </w:r>
      <w:r>
        <w:rPr>
          <w:rFonts w:ascii="Times New Roman" w:hAnsi="Times New Roman" w:eastAsia="Times New Roman" w:cs="Times New Roman"/>
          <w:sz w:val="24"/>
          <w:szCs w:val="24"/>
        </w:rPr>
        <w:t>10d</w:t>
      </w:r>
      <w:r>
        <w:rPr>
          <w:rFonts w:ascii="宋体" w:hAnsi="宋体" w:eastAsia="宋体" w:cs="宋体"/>
          <w:sz w:val="24"/>
          <w:szCs w:val="24"/>
        </w:rPr>
        <w:t>更换一次，全年更换用水量</w:t>
      </w:r>
      <w:r>
        <w:rPr>
          <w:rFonts w:ascii="Times New Roman" w:hAnsi="Times New Roman" w:eastAsia="Times New Roman" w:cs="Times New Roman"/>
          <w:sz w:val="24"/>
          <w:szCs w:val="24"/>
        </w:rPr>
        <w:t>657m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/a</w:t>
      </w:r>
      <w:r>
        <w:rPr>
          <w:rFonts w:ascii="宋体" w:hAnsi="宋体" w:eastAsia="宋体" w:cs="宋体"/>
          <w:sz w:val="24"/>
          <w:szCs w:val="24"/>
        </w:rPr>
        <w:t>（合</w:t>
      </w:r>
      <w:r>
        <w:rPr>
          <w:rFonts w:ascii="Times New Roman" w:hAnsi="Times New Roman" w:eastAsia="Times New Roman" w:cs="Times New Roman"/>
          <w:sz w:val="24"/>
          <w:szCs w:val="24"/>
        </w:rPr>
        <w:t>1.8m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）。则生物喷雾除臭循环池用水量为</w:t>
      </w:r>
      <w:r>
        <w:rPr>
          <w:rFonts w:ascii="Times New Roman" w:hAnsi="Times New Roman" w:eastAsia="Times New Roman" w:cs="Times New Roman"/>
          <w:sz w:val="24"/>
          <w:szCs w:val="24"/>
        </w:rPr>
        <w:t>17.76m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 </w:t>
      </w:r>
      <w:r>
        <w:rPr>
          <w:rFonts w:ascii="Times New Roman" w:hAnsi="Times New Roman" w:eastAsia="Times New Roman" w:cs="Times New Roman"/>
          <w:spacing w:val="-1"/>
          <w:sz w:val="24"/>
          <w:szCs w:val="24"/>
        </w:rPr>
        <w:t>6482.6m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24B5449E">
      <w:pPr>
        <w:spacing w:before="29" w:line="217" w:lineRule="auto"/>
        <w:ind w:left="517"/>
        <w:rPr>
          <w:rFonts w:ascii="宋体" w:hAnsi="宋体" w:eastAsia="宋体" w:cs="宋体"/>
          <w:sz w:val="24"/>
          <w:szCs w:val="24"/>
        </w:rPr>
      </w:pPr>
      <w:r>
        <w:rPr>
          <w:rFonts w:ascii="宋体" w:hAnsi="宋体" w:eastAsia="宋体" w:cs="宋体"/>
          <w:spacing w:val="-1"/>
          <w:sz w:val="24"/>
          <w:szCs w:val="24"/>
        </w:rPr>
        <w:t>⑦生物滤池用水</w:t>
      </w:r>
    </w:p>
    <w:p w14:paraId="0C4C1068">
      <w:pPr>
        <w:spacing w:before="185" w:line="219" w:lineRule="auto"/>
        <w:ind w:left="520"/>
        <w:rPr>
          <w:rFonts w:ascii="宋体" w:hAnsi="宋体" w:eastAsia="宋体" w:cs="宋体"/>
          <w:sz w:val="24"/>
          <w:szCs w:val="24"/>
        </w:rPr>
      </w:pPr>
      <w:r>
        <w:rPr>
          <w:rFonts w:ascii="宋体" w:hAnsi="宋体" w:eastAsia="宋体" w:cs="宋体"/>
          <w:spacing w:val="-5"/>
          <w:sz w:val="24"/>
          <w:szCs w:val="24"/>
        </w:rPr>
        <w:t>本项目实施后采用生物滤池处理堆粪棚、污水处理站等产生的恶臭气体</w:t>
      </w:r>
      <w:r>
        <w:rPr>
          <w:rFonts w:ascii="宋体" w:hAnsi="宋体" w:eastAsia="宋体" w:cs="宋体"/>
          <w:spacing w:val="-6"/>
          <w:sz w:val="24"/>
          <w:szCs w:val="24"/>
        </w:rPr>
        <w:t>，</w:t>
      </w:r>
      <w:r>
        <w:rPr>
          <w:rFonts w:ascii="宋体" w:hAnsi="宋体" w:eastAsia="宋体" w:cs="宋体"/>
          <w:spacing w:val="-50"/>
          <w:sz w:val="24"/>
          <w:szCs w:val="24"/>
        </w:rPr>
        <w:t xml:space="preserve"> </w:t>
      </w:r>
      <w:r>
        <w:rPr>
          <w:rFonts w:ascii="宋体" w:hAnsi="宋体" w:eastAsia="宋体" w:cs="宋体"/>
          <w:spacing w:val="-6"/>
          <w:sz w:val="24"/>
          <w:szCs w:val="24"/>
        </w:rPr>
        <w:t>废</w:t>
      </w:r>
    </w:p>
    <w:p w14:paraId="125A2C9C">
      <w:pPr>
        <w:spacing w:line="219" w:lineRule="auto"/>
        <w:rPr>
          <w:rFonts w:ascii="宋体" w:hAnsi="宋体" w:eastAsia="宋体" w:cs="宋体"/>
          <w:sz w:val="24"/>
          <w:szCs w:val="24"/>
        </w:rPr>
        <w:sectPr>
          <w:headerReference r:id="rId188" w:type="default"/>
          <w:footerReference r:id="rId189" w:type="default"/>
          <w:pgSz w:w="11905" w:h="16840"/>
          <w:pgMar w:top="1168" w:right="1592" w:bottom="1409" w:left="1770" w:header="828" w:footer="1244" w:gutter="0"/>
          <w:cols w:space="720" w:num="1"/>
        </w:sectPr>
      </w:pPr>
    </w:p>
    <w:p w14:paraId="1F719FE2">
      <w:pPr>
        <w:pStyle w:val="2"/>
        <w:spacing w:line="303" w:lineRule="auto"/>
      </w:pPr>
    </w:p>
    <w:p w14:paraId="43B72C5A">
      <w:pPr>
        <w:spacing w:before="78" w:line="359" w:lineRule="auto"/>
        <w:ind w:left="38" w:right="67" w:firstLine="1"/>
        <w:jc w:val="both"/>
        <w:rPr>
          <w:rFonts w:ascii="宋体" w:hAnsi="宋体" w:eastAsia="宋体" w:cs="宋体"/>
          <w:sz w:val="24"/>
          <w:szCs w:val="24"/>
        </w:rPr>
      </w:pPr>
      <w:r>
        <w:rPr>
          <w:rFonts w:ascii="宋体" w:hAnsi="宋体" w:eastAsia="宋体" w:cs="宋体"/>
          <w:spacing w:val="-3"/>
          <w:sz w:val="24"/>
          <w:szCs w:val="24"/>
        </w:rPr>
        <w:t>气进入生物滤池前需经增湿器增湿，内置喷淋系统及循环水泵，其中堆粪棚生物</w:t>
      </w:r>
      <w:r>
        <w:rPr>
          <w:rFonts w:ascii="宋体" w:hAnsi="宋体" w:eastAsia="宋体" w:cs="宋体"/>
          <w:spacing w:val="-1"/>
          <w:sz w:val="24"/>
          <w:szCs w:val="24"/>
        </w:rPr>
        <w:t>滤池风量为</w:t>
      </w:r>
      <w:r>
        <w:rPr>
          <w:rFonts w:ascii="Times New Roman" w:hAnsi="Times New Roman" w:eastAsia="Times New Roman" w:cs="Times New Roman"/>
          <w:spacing w:val="-1"/>
          <w:sz w:val="24"/>
          <w:szCs w:val="24"/>
        </w:rPr>
        <w:t>6000m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、污水处理站及无害化处理风量为</w:t>
      </w:r>
      <w:r>
        <w:rPr>
          <w:rFonts w:ascii="Times New Roman" w:hAnsi="Times New Roman" w:eastAsia="Times New Roman" w:cs="Times New Roman"/>
          <w:spacing w:val="-1"/>
          <w:sz w:val="24"/>
          <w:szCs w:val="24"/>
        </w:rPr>
        <w:t>6000m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，系统总风量为</w:t>
      </w:r>
      <w:r>
        <w:rPr>
          <w:rFonts w:ascii="Times New Roman" w:hAnsi="Times New Roman" w:eastAsia="Times New Roman" w:cs="Times New Roman"/>
          <w:spacing w:val="-3"/>
          <w:sz w:val="24"/>
          <w:szCs w:val="24"/>
        </w:rPr>
        <w:t>12000m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/h</w:t>
      </w:r>
      <w:r>
        <w:rPr>
          <w:rFonts w:ascii="宋体" w:hAnsi="宋体" w:eastAsia="宋体" w:cs="宋体"/>
          <w:spacing w:val="-3"/>
          <w:sz w:val="24"/>
          <w:szCs w:val="24"/>
        </w:rPr>
        <w:t>，根据《环保设计手册》气液比选用</w:t>
      </w:r>
      <w:r>
        <w:rPr>
          <w:rFonts w:ascii="Times New Roman" w:hAnsi="Times New Roman" w:eastAsia="Times New Roman" w:cs="Times New Roman"/>
          <w:spacing w:val="-3"/>
          <w:sz w:val="24"/>
          <w:szCs w:val="24"/>
        </w:rPr>
        <w:t>G/L=500</w:t>
      </w:r>
      <w:r>
        <w:rPr>
          <w:rFonts w:ascii="宋体" w:hAnsi="宋体" w:eastAsia="宋体" w:cs="宋体"/>
          <w:spacing w:val="-3"/>
          <w:sz w:val="24"/>
          <w:szCs w:val="24"/>
        </w:rPr>
        <w:t>，参照《化工工艺设计手册》，额定流量取正常流量的</w:t>
      </w:r>
      <w:r>
        <w:rPr>
          <w:rFonts w:ascii="Times New Roman" w:hAnsi="Times New Roman" w:eastAsia="Times New Roman" w:cs="Times New Roman"/>
          <w:spacing w:val="-3"/>
          <w:sz w:val="24"/>
          <w:szCs w:val="24"/>
        </w:rPr>
        <w:t>1.0~1.1</w:t>
      </w:r>
      <w:r>
        <w:rPr>
          <w:rFonts w:ascii="宋体" w:hAnsi="宋体" w:eastAsia="宋体" w:cs="宋体"/>
          <w:spacing w:val="-3"/>
          <w:sz w:val="24"/>
          <w:szCs w:val="24"/>
        </w:rPr>
        <w:t>倍。因此，本项目生物滤池喷淋用水气液比</w:t>
      </w:r>
      <w:r>
        <w:rPr>
          <w:rFonts w:ascii="Times New Roman" w:hAnsi="Times New Roman" w:eastAsia="Times New Roman" w:cs="Times New Roman"/>
          <w:spacing w:val="-2"/>
          <w:sz w:val="24"/>
          <w:szCs w:val="24"/>
        </w:rPr>
        <w:t>G/L=550</w:t>
      </w:r>
      <w:r>
        <w:rPr>
          <w:rFonts w:ascii="宋体" w:hAnsi="宋体" w:eastAsia="宋体" w:cs="宋体"/>
          <w:spacing w:val="-2"/>
          <w:sz w:val="24"/>
          <w:szCs w:val="24"/>
        </w:rPr>
        <w:t>，则用水量为</w:t>
      </w:r>
      <w:r>
        <w:rPr>
          <w:rFonts w:ascii="Times New Roman" w:hAnsi="Times New Roman" w:eastAsia="Times New Roman" w:cs="Times New Roman"/>
          <w:spacing w:val="-2"/>
          <w:sz w:val="24"/>
          <w:szCs w:val="24"/>
        </w:rPr>
        <w:t>21.82m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/h</w:t>
      </w:r>
      <w:r>
        <w:rPr>
          <w:rFonts w:ascii="宋体" w:hAnsi="宋体" w:eastAsia="宋体" w:cs="宋体"/>
          <w:spacing w:val="-2"/>
          <w:sz w:val="24"/>
          <w:szCs w:val="24"/>
        </w:rPr>
        <w:t>，每天运行</w:t>
      </w:r>
      <w:r>
        <w:rPr>
          <w:rFonts w:ascii="Times New Roman" w:hAnsi="Times New Roman" w:eastAsia="Times New Roman" w:cs="Times New Roman"/>
          <w:spacing w:val="-2"/>
          <w:sz w:val="24"/>
          <w:szCs w:val="24"/>
        </w:rPr>
        <w:t>24h</w:t>
      </w:r>
      <w:r>
        <w:rPr>
          <w:rFonts w:ascii="宋体" w:hAnsi="宋体" w:eastAsia="宋体" w:cs="宋体"/>
          <w:spacing w:val="-2"/>
          <w:sz w:val="24"/>
          <w:szCs w:val="24"/>
        </w:rPr>
        <w:t>，则循环水量为</w:t>
      </w:r>
      <w:r>
        <w:rPr>
          <w:rFonts w:ascii="Times New Roman" w:hAnsi="Times New Roman" w:eastAsia="Times New Roman" w:cs="Times New Roman"/>
          <w:spacing w:val="-2"/>
          <w:sz w:val="24"/>
          <w:szCs w:val="24"/>
        </w:rPr>
        <w:t>523.64m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，损耗</w:t>
      </w:r>
      <w:r>
        <w:rPr>
          <w:rFonts w:ascii="宋体" w:hAnsi="宋体" w:eastAsia="宋体" w:cs="宋体"/>
          <w:sz w:val="24"/>
          <w:szCs w:val="24"/>
        </w:rPr>
        <w:t>量按循环水量的</w:t>
      </w:r>
      <w:r>
        <w:rPr>
          <w:rFonts w:ascii="Times New Roman" w:hAnsi="Times New Roman" w:eastAsia="Times New Roman" w:cs="Times New Roman"/>
          <w:sz w:val="24"/>
          <w:szCs w:val="24"/>
        </w:rPr>
        <w:t>5%</w:t>
      </w:r>
      <w:r>
        <w:rPr>
          <w:rFonts w:ascii="宋体" w:hAnsi="宋体" w:eastAsia="宋体" w:cs="宋体"/>
          <w:sz w:val="24"/>
          <w:szCs w:val="24"/>
        </w:rPr>
        <w:t>考虑，则补充新水量为</w:t>
      </w:r>
      <w:r>
        <w:rPr>
          <w:rFonts w:ascii="Times New Roman" w:hAnsi="Times New Roman" w:eastAsia="Times New Roman" w:cs="Times New Roman"/>
          <w:sz w:val="24"/>
          <w:szCs w:val="24"/>
        </w:rPr>
        <w:t>26.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18m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。喷淋</w:t>
      </w:r>
      <w:r>
        <w:rPr>
          <w:rFonts w:ascii="宋体" w:hAnsi="宋体" w:eastAsia="宋体" w:cs="宋体"/>
          <w:spacing w:val="-1"/>
          <w:sz w:val="24"/>
          <w:szCs w:val="24"/>
        </w:rPr>
        <w:t>过程由于补充新水量</w:t>
      </w:r>
      <w:r>
        <w:rPr>
          <w:rFonts w:ascii="宋体" w:hAnsi="宋体" w:eastAsia="宋体" w:cs="宋体"/>
          <w:spacing w:val="-2"/>
          <w:sz w:val="24"/>
          <w:szCs w:val="24"/>
        </w:rPr>
        <w:t>较大，可循环使用不外排，此过程无废水产生。</w:t>
      </w:r>
    </w:p>
    <w:p w14:paraId="27856E1F">
      <w:pPr>
        <w:spacing w:before="12" w:line="217" w:lineRule="auto"/>
        <w:ind w:left="517"/>
        <w:rPr>
          <w:rFonts w:ascii="宋体" w:hAnsi="宋体" w:eastAsia="宋体" w:cs="宋体"/>
          <w:sz w:val="24"/>
          <w:szCs w:val="24"/>
        </w:rPr>
      </w:pPr>
      <w:r>
        <w:rPr>
          <w:rFonts w:ascii="宋体" w:hAnsi="宋体" w:eastAsia="宋体" w:cs="宋体"/>
          <w:spacing w:val="-2"/>
          <w:sz w:val="24"/>
          <w:szCs w:val="24"/>
        </w:rPr>
        <w:t>⑧初期雨水</w:t>
      </w:r>
    </w:p>
    <w:p w14:paraId="0446EC96">
      <w:pPr>
        <w:spacing w:before="185" w:line="360" w:lineRule="auto"/>
        <w:ind w:left="38" w:right="65" w:firstLine="484"/>
        <w:rPr>
          <w:rFonts w:ascii="宋体" w:hAnsi="宋体" w:eastAsia="宋体" w:cs="宋体"/>
          <w:sz w:val="24"/>
          <w:szCs w:val="24"/>
        </w:rPr>
      </w:pPr>
      <w:r>
        <w:rPr>
          <w:rFonts w:ascii="宋体" w:hAnsi="宋体" w:eastAsia="宋体" w:cs="宋体"/>
          <w:spacing w:val="-3"/>
          <w:sz w:val="24"/>
          <w:szCs w:val="24"/>
        </w:rPr>
        <w:t>非转猪区域雨水经场地内雨水收集沟收集后排至项目区</w:t>
      </w:r>
      <w:r>
        <w:rPr>
          <w:rFonts w:ascii="宋体" w:hAnsi="宋体" w:eastAsia="宋体" w:cs="宋体"/>
          <w:spacing w:val="-4"/>
          <w:sz w:val="24"/>
          <w:szCs w:val="24"/>
        </w:rPr>
        <w:t>外，本项目地表径流</w:t>
      </w:r>
      <w:r>
        <w:rPr>
          <w:rFonts w:ascii="宋体" w:hAnsi="宋体" w:eastAsia="宋体" w:cs="宋体"/>
          <w:spacing w:val="-3"/>
          <w:sz w:val="24"/>
          <w:szCs w:val="24"/>
        </w:rPr>
        <w:t>朝东南方向流入石核河，并最终汇入大清流河。项目区内设置人、物出入口和生</w:t>
      </w:r>
      <w:r>
        <w:rPr>
          <w:rFonts w:ascii="宋体" w:hAnsi="宋体" w:eastAsia="宋体" w:cs="宋体"/>
          <w:spacing w:val="-6"/>
          <w:sz w:val="24"/>
          <w:szCs w:val="24"/>
        </w:rPr>
        <w:t>猪出入口，含污染性物质的初期雨水主要是转猪道路、育肥猪转</w:t>
      </w:r>
      <w:r>
        <w:rPr>
          <w:rFonts w:ascii="宋体" w:hAnsi="宋体" w:eastAsia="宋体" w:cs="宋体"/>
          <w:spacing w:val="-7"/>
          <w:sz w:val="24"/>
          <w:szCs w:val="24"/>
        </w:rPr>
        <w:t>猪舍等， 此区域</w:t>
      </w:r>
      <w:r>
        <w:rPr>
          <w:rFonts w:ascii="宋体" w:hAnsi="宋体" w:eastAsia="宋体" w:cs="宋体"/>
          <w:spacing w:val="4"/>
          <w:sz w:val="24"/>
          <w:szCs w:val="24"/>
        </w:rPr>
        <w:t>初期雨水经雨水收集地沟收集后与场内废水一同经污水处理站处理后用于周边</w:t>
      </w:r>
      <w:r>
        <w:rPr>
          <w:rFonts w:ascii="宋体" w:hAnsi="宋体" w:eastAsia="宋体" w:cs="宋体"/>
          <w:spacing w:val="-6"/>
          <w:sz w:val="24"/>
          <w:szCs w:val="24"/>
        </w:rPr>
        <w:t>消纳地农灌。</w:t>
      </w:r>
    </w:p>
    <w:p w14:paraId="672B1A3F">
      <w:pPr>
        <w:spacing w:before="2" w:line="359" w:lineRule="auto"/>
        <w:ind w:left="40" w:right="67" w:firstLine="479"/>
        <w:jc w:val="both"/>
        <w:rPr>
          <w:rFonts w:ascii="宋体" w:hAnsi="宋体" w:eastAsia="宋体" w:cs="宋体"/>
          <w:sz w:val="24"/>
          <w:szCs w:val="24"/>
        </w:rPr>
      </w:pPr>
      <w:r>
        <w:rPr>
          <w:rFonts w:ascii="宋体" w:hAnsi="宋体" w:eastAsia="宋体" w:cs="宋体"/>
          <w:spacing w:val="-3"/>
          <w:sz w:val="24"/>
          <w:szCs w:val="24"/>
        </w:rPr>
        <w:t>根据场区总平面布置，本项目建成后，转猪道路、育肥猪转猪舍</w:t>
      </w:r>
      <w:r>
        <w:rPr>
          <w:rFonts w:ascii="宋体" w:hAnsi="宋体" w:eastAsia="宋体" w:cs="宋体"/>
          <w:spacing w:val="-4"/>
          <w:sz w:val="24"/>
          <w:szCs w:val="24"/>
        </w:rPr>
        <w:t>和污水处理</w:t>
      </w:r>
      <w:r>
        <w:rPr>
          <w:rFonts w:ascii="宋体" w:hAnsi="宋体" w:eastAsia="宋体" w:cs="宋体"/>
          <w:spacing w:val="-1"/>
          <w:sz w:val="24"/>
          <w:szCs w:val="24"/>
        </w:rPr>
        <w:t>站等集雨面积约</w:t>
      </w:r>
      <w:r>
        <w:rPr>
          <w:rFonts w:ascii="Times New Roman" w:hAnsi="Times New Roman" w:eastAsia="Times New Roman" w:cs="Times New Roman"/>
          <w:spacing w:val="-1"/>
          <w:sz w:val="24"/>
          <w:szCs w:val="24"/>
        </w:rPr>
        <w:t>2500m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8"/>
          <w:position w:val="10"/>
          <w:sz w:val="15"/>
          <w:szCs w:val="15"/>
        </w:rPr>
        <w:t xml:space="preserve"> </w:t>
      </w:r>
      <w:r>
        <w:rPr>
          <w:rFonts w:ascii="宋体" w:hAnsi="宋体" w:eastAsia="宋体" w:cs="宋体"/>
          <w:spacing w:val="-1"/>
          <w:sz w:val="24"/>
          <w:szCs w:val="24"/>
        </w:rPr>
        <w:t>，考虑初期雨水达到</w:t>
      </w:r>
      <w:r>
        <w:rPr>
          <w:rFonts w:ascii="Times New Roman" w:hAnsi="Times New Roman" w:eastAsia="Times New Roman" w:cs="Times New Roman"/>
          <w:spacing w:val="-1"/>
          <w:sz w:val="24"/>
          <w:szCs w:val="24"/>
        </w:rPr>
        <w:t>15mm</w:t>
      </w:r>
      <w:r>
        <w:rPr>
          <w:rFonts w:ascii="宋体" w:hAnsi="宋体" w:eastAsia="宋体" w:cs="宋体"/>
          <w:spacing w:val="-1"/>
          <w:sz w:val="24"/>
          <w:szCs w:val="24"/>
        </w:rPr>
        <w:t>径</w:t>
      </w:r>
      <w:r>
        <w:rPr>
          <w:rFonts w:ascii="宋体" w:hAnsi="宋体" w:eastAsia="宋体" w:cs="宋体"/>
          <w:spacing w:val="-2"/>
          <w:sz w:val="24"/>
          <w:szCs w:val="24"/>
        </w:rPr>
        <w:t>流深后，地面污染物基本被</w:t>
      </w:r>
      <w:r>
        <w:rPr>
          <w:rFonts w:ascii="宋体" w:hAnsi="宋体" w:eastAsia="宋体" w:cs="宋体"/>
          <w:sz w:val="24"/>
          <w:szCs w:val="24"/>
        </w:rPr>
        <w:t>冲刷殆尽，本次环评取</w:t>
      </w:r>
      <w:r>
        <w:rPr>
          <w:rFonts w:ascii="Times New Roman" w:hAnsi="Times New Roman" w:eastAsia="Times New Roman" w:cs="Times New Roman"/>
          <w:sz w:val="24"/>
          <w:szCs w:val="24"/>
        </w:rPr>
        <w:t>15mm</w:t>
      </w:r>
      <w:r>
        <w:rPr>
          <w:rFonts w:ascii="宋体" w:hAnsi="宋体" w:eastAsia="宋体" w:cs="宋体"/>
          <w:sz w:val="24"/>
          <w:szCs w:val="24"/>
        </w:rPr>
        <w:t>径流深估算初期雨水量。经计算，上述区域在暴雨</w:t>
      </w:r>
      <w:r>
        <w:rPr>
          <w:rFonts w:ascii="宋体" w:hAnsi="宋体" w:eastAsia="宋体" w:cs="宋体"/>
          <w:spacing w:val="-5"/>
          <w:sz w:val="24"/>
          <w:szCs w:val="24"/>
        </w:rPr>
        <w:t>期间集雨量为</w:t>
      </w:r>
      <w:r>
        <w:rPr>
          <w:rFonts w:ascii="Times New Roman" w:hAnsi="Times New Roman" w:eastAsia="Times New Roman" w:cs="Times New Roman"/>
          <w:spacing w:val="-5"/>
          <w:sz w:val="24"/>
          <w:szCs w:val="24"/>
        </w:rPr>
        <w:t>37.5m</w:t>
      </w:r>
      <w:r>
        <w:rPr>
          <w:rFonts w:ascii="Times New Roman" w:hAnsi="Times New Roman" w:eastAsia="Times New Roman" w:cs="Times New Roman"/>
          <w:spacing w:val="-5"/>
          <w:position w:val="10"/>
          <w:sz w:val="15"/>
          <w:szCs w:val="15"/>
        </w:rPr>
        <w:t>3</w:t>
      </w:r>
      <w:r>
        <w:rPr>
          <w:rFonts w:ascii="宋体" w:hAnsi="宋体" w:eastAsia="宋体" w:cs="宋体"/>
          <w:spacing w:val="-5"/>
          <w:sz w:val="24"/>
          <w:szCs w:val="24"/>
        </w:rPr>
        <w:t>。由于该部分初期雨水产生量小， 污染物浓度低且产生频次</w:t>
      </w:r>
      <w:r>
        <w:rPr>
          <w:rFonts w:ascii="宋体" w:hAnsi="宋体" w:eastAsia="宋体" w:cs="宋体"/>
          <w:spacing w:val="-9"/>
          <w:sz w:val="24"/>
          <w:szCs w:val="24"/>
        </w:rPr>
        <w:t>不高、不固定， 可进入水解酸化池后再进行后续处</w:t>
      </w:r>
      <w:r>
        <w:rPr>
          <w:rFonts w:ascii="宋体" w:hAnsi="宋体" w:eastAsia="宋体" w:cs="宋体"/>
          <w:spacing w:val="-10"/>
          <w:sz w:val="24"/>
          <w:szCs w:val="24"/>
        </w:rPr>
        <w:t>理。因此， 本次环评不将初期</w:t>
      </w:r>
      <w:r>
        <w:rPr>
          <w:rFonts w:ascii="宋体" w:hAnsi="宋体" w:eastAsia="宋体" w:cs="宋体"/>
          <w:spacing w:val="-4"/>
          <w:sz w:val="24"/>
          <w:szCs w:val="24"/>
        </w:rPr>
        <w:t>雨水量计入场区废水量计算。</w:t>
      </w:r>
    </w:p>
    <w:p w14:paraId="50951F8B">
      <w:pPr>
        <w:spacing w:before="4"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2</w:t>
      </w:r>
      <w:r>
        <w:rPr>
          <w:rFonts w:ascii="宋体" w:hAnsi="宋体" w:eastAsia="宋体" w:cs="宋体"/>
          <w:b/>
          <w:bCs/>
          <w:spacing w:val="-6"/>
          <w:sz w:val="24"/>
          <w:szCs w:val="24"/>
        </w:rPr>
        <w:t>）生活用水</w:t>
      </w:r>
    </w:p>
    <w:p w14:paraId="23557135">
      <w:pPr>
        <w:spacing w:before="186" w:line="359" w:lineRule="auto"/>
        <w:ind w:left="40" w:firstLine="479"/>
        <w:rPr>
          <w:rFonts w:ascii="宋体" w:hAnsi="宋体" w:eastAsia="宋体" w:cs="宋体"/>
          <w:sz w:val="24"/>
          <w:szCs w:val="24"/>
        </w:rPr>
      </w:pPr>
      <w:r>
        <w:rPr>
          <w:rFonts w:ascii="宋体" w:hAnsi="宋体" w:eastAsia="宋体" w:cs="宋体"/>
          <w:spacing w:val="1"/>
          <w:sz w:val="24"/>
          <w:szCs w:val="24"/>
        </w:rPr>
        <w:t>本项目建成后，在办公生活区内设置管理用房（</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F</w:t>
      </w:r>
      <w:r>
        <w:rPr>
          <w:rFonts w:ascii="宋体" w:hAnsi="宋体" w:eastAsia="宋体" w:cs="宋体"/>
          <w:sz w:val="24"/>
          <w:szCs w:val="24"/>
        </w:rPr>
        <w:t>办公、</w:t>
      </w:r>
      <w:r>
        <w:rPr>
          <w:rFonts w:ascii="Times New Roman" w:hAnsi="Times New Roman" w:eastAsia="Times New Roman" w:cs="Times New Roman"/>
          <w:sz w:val="24"/>
          <w:szCs w:val="24"/>
        </w:rPr>
        <w:t>2~3F</w:t>
      </w:r>
      <w:r>
        <w:rPr>
          <w:rFonts w:ascii="宋体" w:hAnsi="宋体" w:eastAsia="宋体" w:cs="宋体"/>
          <w:sz w:val="24"/>
          <w:szCs w:val="24"/>
        </w:rPr>
        <w:t>员工宿舍</w:t>
      </w:r>
      <w:r>
        <w:rPr>
          <w:rFonts w:ascii="宋体" w:hAnsi="宋体" w:eastAsia="宋体" w:cs="宋体"/>
          <w:spacing w:val="-49"/>
          <w:sz w:val="24"/>
          <w:szCs w:val="24"/>
        </w:rPr>
        <w:t>），</w:t>
      </w:r>
      <w:r>
        <w:rPr>
          <w:rFonts w:ascii="宋体" w:hAnsi="宋体" w:eastAsia="宋体" w:cs="宋体"/>
          <w:spacing w:val="-9"/>
          <w:sz w:val="24"/>
          <w:szCs w:val="24"/>
        </w:rPr>
        <w:t>本项目职工进出养殖场，必须洗澡更衣；职工休假前后进出猪</w:t>
      </w:r>
      <w:r>
        <w:rPr>
          <w:rFonts w:ascii="宋体" w:hAnsi="宋体" w:eastAsia="宋体" w:cs="宋体"/>
          <w:spacing w:val="-10"/>
          <w:sz w:val="24"/>
          <w:szCs w:val="24"/>
        </w:rPr>
        <w:t>场，必须洗澡更衣。本项目劳动定员</w:t>
      </w:r>
      <w:r>
        <w:rPr>
          <w:rFonts w:ascii="Times New Roman" w:hAnsi="Times New Roman" w:eastAsia="Times New Roman" w:cs="Times New Roman"/>
          <w:spacing w:val="-10"/>
          <w:sz w:val="24"/>
          <w:szCs w:val="24"/>
        </w:rPr>
        <w:t>60</w:t>
      </w:r>
      <w:r>
        <w:rPr>
          <w:rFonts w:ascii="宋体" w:hAnsi="宋体" w:eastAsia="宋体" w:cs="宋体"/>
          <w:spacing w:val="-10"/>
          <w:sz w:val="24"/>
          <w:szCs w:val="24"/>
        </w:rPr>
        <w:t>人，办公生活用水参照《四川省用水定额》（川府函</w:t>
      </w:r>
      <w:r>
        <w:rPr>
          <w:rFonts w:ascii="Times New Roman" w:hAnsi="Times New Roman" w:eastAsia="Times New Roman" w:cs="Times New Roman"/>
          <w:spacing w:val="-10"/>
          <w:sz w:val="24"/>
          <w:szCs w:val="24"/>
        </w:rPr>
        <w:t>[</w:t>
      </w:r>
      <w:r>
        <w:fldChar w:fldCharType="begin"/>
      </w:r>
      <w:r>
        <w:instrText xml:space="preserve"> HYPERLINK \l "bookmark151" </w:instrText>
      </w:r>
      <w:r>
        <w:fldChar w:fldCharType="separate"/>
      </w:r>
      <w:r>
        <w:rPr>
          <w:rFonts w:ascii="Times New Roman" w:hAnsi="Times New Roman" w:eastAsia="Times New Roman" w:cs="Times New Roman"/>
          <w:spacing w:val="-10"/>
          <w:sz w:val="24"/>
          <w:szCs w:val="24"/>
        </w:rPr>
        <w:t>2021</w:t>
      </w:r>
      <w:r>
        <w:rPr>
          <w:rFonts w:ascii="Times New Roman" w:hAnsi="Times New Roman" w:eastAsia="Times New Roman" w:cs="Times New Roman"/>
          <w:spacing w:val="-10"/>
          <w:sz w:val="24"/>
          <w:szCs w:val="24"/>
        </w:rPr>
        <w:fldChar w:fldCharType="end"/>
      </w:r>
      <w:r>
        <w:rPr>
          <w:rFonts w:ascii="Times New Roman" w:hAnsi="Times New Roman" w:eastAsia="Times New Roman" w:cs="Times New Roman"/>
          <w:spacing w:val="-10"/>
          <w:sz w:val="24"/>
          <w:szCs w:val="24"/>
        </w:rPr>
        <w:t>]8</w:t>
      </w:r>
      <w:r>
        <w:rPr>
          <w:rFonts w:ascii="宋体" w:hAnsi="宋体" w:eastAsia="宋体" w:cs="宋体"/>
          <w:spacing w:val="-10"/>
          <w:sz w:val="24"/>
          <w:szCs w:val="24"/>
        </w:rPr>
        <w:t>号）</w:t>
      </w:r>
      <w:r>
        <w:rPr>
          <w:rFonts w:ascii="宋体" w:hAnsi="宋体" w:eastAsia="宋体" w:cs="宋体"/>
          <w:spacing w:val="1"/>
          <w:sz w:val="24"/>
          <w:szCs w:val="24"/>
        </w:rPr>
        <w:t>中“东部盆地区”农村居民用水定额</w:t>
      </w:r>
      <w:r>
        <w:rPr>
          <w:rFonts w:ascii="Times New Roman" w:hAnsi="Times New Roman" w:eastAsia="Times New Roman" w:cs="Times New Roman"/>
          <w:spacing w:val="1"/>
          <w:sz w:val="24"/>
          <w:szCs w:val="24"/>
        </w:rPr>
        <w:t>130L/</w:t>
      </w:r>
      <w:r>
        <w:rPr>
          <w:rFonts w:ascii="宋体" w:hAnsi="宋体" w:eastAsia="宋体" w:cs="宋体"/>
          <w:spacing w:val="1"/>
          <w:sz w:val="24"/>
          <w:szCs w:val="24"/>
        </w:rPr>
        <w:t>人</w:t>
      </w:r>
      <w:r>
        <w:rPr>
          <w:rFonts w:ascii="Times New Roman" w:hAnsi="Times New Roman" w:eastAsia="Times New Roman" w:cs="Times New Roman"/>
          <w:spacing w:val="1"/>
          <w:sz w:val="24"/>
          <w:szCs w:val="24"/>
        </w:rPr>
        <w:t>.d</w:t>
      </w:r>
      <w:r>
        <w:rPr>
          <w:rFonts w:ascii="宋体" w:hAnsi="宋体" w:eastAsia="宋体" w:cs="宋体"/>
          <w:spacing w:val="1"/>
          <w:sz w:val="24"/>
          <w:szCs w:val="24"/>
        </w:rPr>
        <w:t>，则生活用水量</w:t>
      </w:r>
      <w:r>
        <w:rPr>
          <w:rFonts w:ascii="Times New Roman" w:hAnsi="Times New Roman" w:eastAsia="Times New Roman" w:cs="Times New Roman"/>
          <w:spacing w:val="1"/>
          <w:sz w:val="24"/>
          <w:szCs w:val="24"/>
        </w:rPr>
        <w:t>7.8m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，产污系</w:t>
      </w:r>
      <w:r>
        <w:rPr>
          <w:rFonts w:ascii="宋体" w:hAnsi="宋体" w:eastAsia="宋体" w:cs="宋体"/>
          <w:sz w:val="24"/>
          <w:szCs w:val="24"/>
        </w:rPr>
        <w:t>数按</w:t>
      </w:r>
      <w:r>
        <w:rPr>
          <w:rFonts w:ascii="Times New Roman" w:hAnsi="Times New Roman" w:eastAsia="Times New Roman" w:cs="Times New Roman"/>
          <w:sz w:val="24"/>
          <w:szCs w:val="24"/>
        </w:rPr>
        <w:t>0.85</w:t>
      </w:r>
      <w:r>
        <w:rPr>
          <w:rFonts w:ascii="宋体" w:hAnsi="宋体" w:eastAsia="宋体" w:cs="宋体"/>
          <w:sz w:val="24"/>
          <w:szCs w:val="24"/>
        </w:rPr>
        <w:t>计，则生活污水产生量为</w:t>
      </w:r>
      <w:r>
        <w:rPr>
          <w:rFonts w:ascii="Times New Roman" w:hAnsi="Times New Roman" w:eastAsia="Times New Roman" w:cs="Times New Roman"/>
          <w:sz w:val="24"/>
          <w:szCs w:val="24"/>
        </w:rPr>
        <w:t>6.6</w:t>
      </w:r>
      <w:r>
        <w:rPr>
          <w:rFonts w:ascii="Times New Roman" w:hAnsi="Times New Roman" w:eastAsia="Times New Roman" w:cs="Times New Roman"/>
          <w:spacing w:val="-1"/>
          <w:sz w:val="24"/>
          <w:szCs w:val="24"/>
        </w:rPr>
        <w:t>3m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716F816A">
      <w:pPr>
        <w:spacing w:before="2"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3</w:t>
      </w:r>
      <w:r>
        <w:rPr>
          <w:rFonts w:ascii="宋体" w:hAnsi="宋体" w:eastAsia="宋体" w:cs="宋体"/>
          <w:b/>
          <w:bCs/>
          <w:spacing w:val="-6"/>
          <w:sz w:val="24"/>
          <w:szCs w:val="24"/>
        </w:rPr>
        <w:t>）绿化用水</w:t>
      </w:r>
    </w:p>
    <w:p w14:paraId="0E23908D">
      <w:pPr>
        <w:spacing w:before="169" w:line="361" w:lineRule="auto"/>
        <w:ind w:left="40" w:right="67" w:firstLine="480"/>
        <w:jc w:val="both"/>
        <w:rPr>
          <w:rFonts w:ascii="宋体" w:hAnsi="宋体" w:eastAsia="宋体" w:cs="宋体"/>
          <w:sz w:val="24"/>
          <w:szCs w:val="24"/>
        </w:rPr>
      </w:pPr>
      <w:r>
        <w:rPr>
          <w:rFonts w:ascii="宋体" w:hAnsi="宋体" w:eastAsia="宋体" w:cs="宋体"/>
          <w:spacing w:val="-2"/>
          <w:sz w:val="24"/>
          <w:szCs w:val="24"/>
        </w:rPr>
        <w:t>本项目绿化面积约</w:t>
      </w:r>
      <w:r>
        <w:rPr>
          <w:rFonts w:ascii="Times New Roman" w:hAnsi="Times New Roman" w:eastAsia="Times New Roman" w:cs="Times New Roman"/>
          <w:spacing w:val="-2"/>
          <w:sz w:val="24"/>
          <w:szCs w:val="24"/>
        </w:rPr>
        <w:t>2000m</w:t>
      </w:r>
      <w:r>
        <w:rPr>
          <w:rFonts w:ascii="Times New Roman" w:hAnsi="Times New Roman" w:eastAsia="Times New Roman" w:cs="Times New Roman"/>
          <w:spacing w:val="-2"/>
          <w:position w:val="10"/>
          <w:sz w:val="15"/>
          <w:szCs w:val="15"/>
        </w:rPr>
        <w:t>2</w:t>
      </w:r>
      <w:r>
        <w:rPr>
          <w:rFonts w:ascii="宋体" w:hAnsi="宋体" w:eastAsia="宋体" w:cs="宋体"/>
          <w:spacing w:val="-2"/>
          <w:sz w:val="24"/>
          <w:szCs w:val="24"/>
        </w:rPr>
        <w:t>，绿化用水量按</w:t>
      </w:r>
      <w:r>
        <w:rPr>
          <w:rFonts w:ascii="Times New Roman" w:hAnsi="Times New Roman" w:eastAsia="Times New Roman" w:cs="Times New Roman"/>
          <w:spacing w:val="-2"/>
          <w:sz w:val="24"/>
          <w:szCs w:val="24"/>
        </w:rPr>
        <w:t>1L/m</w:t>
      </w:r>
      <w:r>
        <w:rPr>
          <w:rFonts w:ascii="Times New Roman" w:hAnsi="Times New Roman" w:eastAsia="Times New Roman" w:cs="Times New Roman"/>
          <w:spacing w:val="-2"/>
          <w:position w:val="10"/>
          <w:sz w:val="15"/>
          <w:szCs w:val="15"/>
        </w:rPr>
        <w:t>2</w:t>
      </w:r>
      <w:r>
        <w:rPr>
          <w:rFonts w:ascii="Times New Roman" w:hAnsi="Times New Roman" w:eastAsia="Times New Roman" w:cs="Times New Roman"/>
          <w:spacing w:val="-2"/>
          <w:sz w:val="24"/>
          <w:szCs w:val="24"/>
        </w:rPr>
        <w:t>.</w:t>
      </w:r>
      <w:r>
        <w:rPr>
          <w:rFonts w:ascii="宋体" w:hAnsi="宋体" w:eastAsia="宋体" w:cs="宋体"/>
          <w:spacing w:val="-2"/>
          <w:sz w:val="24"/>
          <w:szCs w:val="24"/>
        </w:rPr>
        <w:t>次计，考虑降雨日因素，综合平均约每周浇水一次，全年</w:t>
      </w:r>
      <w:r>
        <w:rPr>
          <w:rFonts w:ascii="Times New Roman" w:hAnsi="Times New Roman" w:eastAsia="Times New Roman" w:cs="Times New Roman"/>
          <w:spacing w:val="-2"/>
          <w:sz w:val="24"/>
          <w:szCs w:val="24"/>
        </w:rPr>
        <w:t>52</w:t>
      </w:r>
      <w:r>
        <w:rPr>
          <w:rFonts w:ascii="宋体" w:hAnsi="宋体" w:eastAsia="宋体" w:cs="宋体"/>
          <w:spacing w:val="-2"/>
          <w:sz w:val="24"/>
          <w:szCs w:val="24"/>
        </w:rPr>
        <w:t>次，则用水量为</w:t>
      </w:r>
      <w:r>
        <w:rPr>
          <w:rFonts w:ascii="Times New Roman" w:hAnsi="Times New Roman" w:eastAsia="Times New Roman" w:cs="Times New Roman"/>
          <w:spacing w:val="-2"/>
          <w:sz w:val="24"/>
          <w:szCs w:val="24"/>
        </w:rPr>
        <w:t>2.0m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w:t>
      </w:r>
      <w:r>
        <w:rPr>
          <w:rFonts w:ascii="宋体" w:hAnsi="宋体" w:eastAsia="宋体" w:cs="宋体"/>
          <w:spacing w:val="-2"/>
          <w:sz w:val="24"/>
          <w:szCs w:val="24"/>
        </w:rPr>
        <w:t>次、</w:t>
      </w:r>
      <w:r>
        <w:rPr>
          <w:rFonts w:ascii="Times New Roman" w:hAnsi="Times New Roman" w:eastAsia="Times New Roman" w:cs="Times New Roman"/>
          <w:spacing w:val="-2"/>
          <w:sz w:val="24"/>
          <w:szCs w:val="24"/>
        </w:rPr>
        <w:t>104m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。绿化</w:t>
      </w:r>
      <w:r>
        <w:rPr>
          <w:rFonts w:ascii="宋体" w:hAnsi="宋体" w:eastAsia="宋体" w:cs="宋体"/>
          <w:spacing w:val="-3"/>
          <w:sz w:val="24"/>
          <w:szCs w:val="24"/>
        </w:rPr>
        <w:t>用水全</w:t>
      </w:r>
      <w:r>
        <w:rPr>
          <w:rFonts w:ascii="宋体" w:hAnsi="宋体" w:eastAsia="宋体" w:cs="宋体"/>
          <w:spacing w:val="-9"/>
          <w:sz w:val="24"/>
          <w:szCs w:val="24"/>
        </w:rPr>
        <w:t>部蒸发。</w:t>
      </w:r>
    </w:p>
    <w:p w14:paraId="6B0AB022">
      <w:pPr>
        <w:spacing w:line="361" w:lineRule="auto"/>
        <w:rPr>
          <w:rFonts w:ascii="宋体" w:hAnsi="宋体" w:eastAsia="宋体" w:cs="宋体"/>
          <w:sz w:val="24"/>
          <w:szCs w:val="24"/>
        </w:rPr>
        <w:sectPr>
          <w:headerReference r:id="rId190" w:type="default"/>
          <w:footerReference r:id="rId191" w:type="default"/>
          <w:pgSz w:w="11905" w:h="16840"/>
          <w:pgMar w:top="1168" w:right="1730" w:bottom="1409" w:left="1770" w:header="828" w:footer="1244" w:gutter="0"/>
          <w:cols w:space="720" w:num="1"/>
        </w:sectPr>
      </w:pPr>
    </w:p>
    <w:p w14:paraId="255B57B2">
      <w:pPr>
        <w:pStyle w:val="2"/>
        <w:spacing w:line="305" w:lineRule="auto"/>
      </w:pPr>
    </w:p>
    <w:p w14:paraId="7928A42A">
      <w:pPr>
        <w:spacing w:before="78"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）未预见用水</w:t>
      </w:r>
    </w:p>
    <w:p w14:paraId="1C606C3A">
      <w:pPr>
        <w:spacing w:before="184" w:line="356" w:lineRule="auto"/>
        <w:ind w:left="39" w:right="110" w:firstLine="483"/>
        <w:jc w:val="both"/>
        <w:rPr>
          <w:rFonts w:ascii="宋体" w:hAnsi="宋体" w:eastAsia="宋体" w:cs="宋体"/>
          <w:sz w:val="24"/>
          <w:szCs w:val="24"/>
        </w:rPr>
      </w:pPr>
      <w:r>
        <w:rPr>
          <w:rFonts w:ascii="宋体" w:hAnsi="宋体" w:eastAsia="宋体" w:cs="宋体"/>
          <w:spacing w:val="-6"/>
          <w:sz w:val="24"/>
          <w:szCs w:val="24"/>
        </w:rPr>
        <w:t>项目未预见用水包括道路控尘用水、管道漏损等，</w:t>
      </w:r>
      <w:r>
        <w:rPr>
          <w:rFonts w:ascii="宋体" w:hAnsi="宋体" w:eastAsia="宋体" w:cs="宋体"/>
          <w:spacing w:val="-30"/>
          <w:sz w:val="24"/>
          <w:szCs w:val="24"/>
        </w:rPr>
        <w:t xml:space="preserve"> </w:t>
      </w:r>
      <w:r>
        <w:rPr>
          <w:rFonts w:ascii="宋体" w:hAnsi="宋体" w:eastAsia="宋体" w:cs="宋体"/>
          <w:spacing w:val="-6"/>
          <w:sz w:val="24"/>
          <w:szCs w:val="24"/>
        </w:rPr>
        <w:t>未预见用水量按上述用水</w:t>
      </w:r>
      <w:r>
        <w:rPr>
          <w:rFonts w:ascii="宋体" w:hAnsi="宋体" w:eastAsia="宋体" w:cs="宋体"/>
          <w:spacing w:val="3"/>
          <w:sz w:val="24"/>
          <w:szCs w:val="24"/>
        </w:rPr>
        <w:t>量的</w:t>
      </w:r>
      <w:r>
        <w:rPr>
          <w:rFonts w:ascii="Times New Roman" w:hAnsi="Times New Roman" w:eastAsia="Times New Roman" w:cs="Times New Roman"/>
          <w:spacing w:val="3"/>
          <w:sz w:val="24"/>
          <w:szCs w:val="24"/>
        </w:rPr>
        <w:t>1%</w:t>
      </w:r>
      <w:r>
        <w:rPr>
          <w:rFonts w:ascii="宋体" w:hAnsi="宋体" w:eastAsia="宋体" w:cs="宋体"/>
          <w:spacing w:val="3"/>
          <w:sz w:val="24"/>
          <w:szCs w:val="24"/>
        </w:rPr>
        <w:t>计，则本项目夏季未预见用水量为</w:t>
      </w:r>
      <w:r>
        <w:rPr>
          <w:rFonts w:ascii="Times New Roman" w:hAnsi="Times New Roman" w:eastAsia="Times New Roman" w:cs="Times New Roman"/>
          <w:spacing w:val="3"/>
          <w:sz w:val="24"/>
          <w:szCs w:val="24"/>
        </w:rPr>
        <w:t>6.39m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、其他季节未预见用水量为</w:t>
      </w:r>
      <w:r>
        <w:rPr>
          <w:rFonts w:ascii="Times New Roman" w:hAnsi="Times New Roman" w:eastAsia="Times New Roman" w:cs="Times New Roman"/>
          <w:spacing w:val="-3"/>
          <w:sz w:val="24"/>
          <w:szCs w:val="24"/>
        </w:rPr>
        <w:t>5.25m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，全部蒸发损耗。</w:t>
      </w:r>
    </w:p>
    <w:p w14:paraId="7EC562E3">
      <w:pPr>
        <w:spacing w:line="361" w:lineRule="auto"/>
        <w:ind w:left="40" w:right="146" w:firstLine="481"/>
        <w:rPr>
          <w:rFonts w:ascii="宋体" w:hAnsi="宋体" w:eastAsia="宋体" w:cs="宋体"/>
          <w:sz w:val="24"/>
          <w:szCs w:val="24"/>
        </w:rPr>
      </w:pPr>
      <w:r>
        <w:rPr>
          <w:rFonts w:ascii="宋体" w:hAnsi="宋体" w:eastAsia="宋体" w:cs="宋体"/>
          <w:spacing w:val="1"/>
          <w:sz w:val="24"/>
          <w:szCs w:val="24"/>
        </w:rPr>
        <w:t>综上，本项目运营期用水量为</w:t>
      </w:r>
      <w:r>
        <w:rPr>
          <w:rFonts w:ascii="Times New Roman" w:hAnsi="Times New Roman" w:eastAsia="Times New Roman" w:cs="Times New Roman"/>
          <w:spacing w:val="1"/>
          <w:sz w:val="24"/>
          <w:szCs w:val="24"/>
        </w:rPr>
        <w:t>203655.2m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，其中夏季用水量</w:t>
      </w:r>
      <w:r>
        <w:rPr>
          <w:rFonts w:ascii="Times New Roman" w:hAnsi="Times New Roman" w:eastAsia="Times New Roman" w:cs="Times New Roman"/>
          <w:spacing w:val="1"/>
          <w:sz w:val="24"/>
          <w:szCs w:val="24"/>
        </w:rPr>
        <w:t>645.03m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宋体" w:hAnsi="宋体" w:eastAsia="宋体" w:cs="宋体"/>
          <w:spacing w:val="-1"/>
          <w:sz w:val="24"/>
          <w:szCs w:val="24"/>
        </w:rPr>
        <w:t>其他季节用水量为</w:t>
      </w:r>
      <w:r>
        <w:rPr>
          <w:rFonts w:ascii="Times New Roman" w:hAnsi="Times New Roman" w:eastAsia="Times New Roman" w:cs="Times New Roman"/>
          <w:spacing w:val="-1"/>
          <w:sz w:val="24"/>
          <w:szCs w:val="24"/>
        </w:rPr>
        <w:t>530.09m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2566DAC7">
      <w:pPr>
        <w:spacing w:before="67"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2.2.3.2 </w:t>
      </w:r>
      <w:r>
        <w:rPr>
          <w:rFonts w:ascii="宋体" w:hAnsi="宋体" w:eastAsia="宋体" w:cs="宋体"/>
          <w:b/>
          <w:bCs/>
          <w:spacing w:val="4"/>
          <w:sz w:val="27"/>
          <w:szCs w:val="27"/>
        </w:rPr>
        <w:t>排水情况</w:t>
      </w:r>
    </w:p>
    <w:p w14:paraId="090866AE">
      <w:pPr>
        <w:spacing w:before="236" w:line="358" w:lineRule="auto"/>
        <w:ind w:left="49" w:right="146" w:firstLine="478"/>
        <w:rPr>
          <w:rFonts w:ascii="楷体" w:hAnsi="楷体" w:eastAsia="楷体" w:cs="楷体"/>
          <w:sz w:val="24"/>
          <w:szCs w:val="24"/>
        </w:rPr>
      </w:pPr>
      <w:r>
        <w:rPr>
          <w:rFonts w:ascii="楷体" w:hAnsi="楷体" w:eastAsia="楷体" w:cs="楷体"/>
          <w:spacing w:val="-11"/>
          <w:sz w:val="24"/>
          <w:szCs w:val="24"/>
        </w:rPr>
        <w:t>本项目养殖场猪舍消毒用水、猪舍降温用水</w:t>
      </w:r>
      <w:r>
        <w:rPr>
          <w:rFonts w:ascii="楷体" w:hAnsi="楷体" w:eastAsia="楷体" w:cs="楷体"/>
          <w:spacing w:val="-12"/>
          <w:sz w:val="24"/>
          <w:szCs w:val="24"/>
        </w:rPr>
        <w:t>、生物滤池除臭用水、绿化用水、</w:t>
      </w:r>
      <w:r>
        <w:rPr>
          <w:rFonts w:ascii="楷体" w:hAnsi="楷体" w:eastAsia="楷体" w:cs="楷体"/>
          <w:spacing w:val="-3"/>
          <w:sz w:val="24"/>
          <w:szCs w:val="24"/>
        </w:rPr>
        <w:t>未预见用水均挥发或蒸发损耗，不产生废水。</w:t>
      </w:r>
    </w:p>
    <w:p w14:paraId="43F5BDB4">
      <w:pPr>
        <w:spacing w:before="5"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）养殖废水产生量</w:t>
      </w:r>
    </w:p>
    <w:p w14:paraId="024F2DCD">
      <w:pPr>
        <w:spacing w:before="183" w:line="217" w:lineRule="auto"/>
        <w:ind w:left="518"/>
        <w:rPr>
          <w:rFonts w:ascii="宋体" w:hAnsi="宋体" w:eastAsia="宋体" w:cs="宋体"/>
          <w:sz w:val="24"/>
          <w:szCs w:val="24"/>
        </w:rPr>
      </w:pPr>
      <w:r>
        <w:rPr>
          <w:rFonts w:ascii="宋体" w:hAnsi="宋体" w:eastAsia="宋体" w:cs="宋体"/>
          <w:spacing w:val="-2"/>
          <w:sz w:val="24"/>
          <w:szCs w:val="24"/>
        </w:rPr>
        <w:t>①猪尿的产生量</w:t>
      </w:r>
    </w:p>
    <w:p w14:paraId="315F6794">
      <w:pPr>
        <w:spacing w:before="183" w:line="361" w:lineRule="auto"/>
        <w:ind w:left="39" w:right="109" w:firstLine="480"/>
        <w:jc w:val="both"/>
        <w:rPr>
          <w:rFonts w:ascii="宋体" w:hAnsi="宋体" w:eastAsia="宋体" w:cs="宋体"/>
          <w:sz w:val="24"/>
          <w:szCs w:val="24"/>
        </w:rPr>
      </w:pPr>
      <w:r>
        <w:rPr>
          <w:rFonts w:ascii="宋体" w:hAnsi="宋体" w:eastAsia="宋体" w:cs="宋体"/>
          <w:spacing w:val="-3"/>
          <w:sz w:val="24"/>
          <w:szCs w:val="24"/>
        </w:rPr>
        <w:t>猪饮水一部分为体能生长消耗，一部分形成尿，一部分进入猪粪</w:t>
      </w:r>
      <w:r>
        <w:rPr>
          <w:rFonts w:ascii="宋体" w:hAnsi="宋体" w:eastAsia="宋体" w:cs="宋体"/>
          <w:spacing w:val="-4"/>
          <w:sz w:val="24"/>
          <w:szCs w:val="24"/>
        </w:rPr>
        <w:t>。由于养猪</w:t>
      </w:r>
      <w:r>
        <w:rPr>
          <w:rFonts w:ascii="宋体" w:hAnsi="宋体" w:eastAsia="宋体" w:cs="宋体"/>
          <w:spacing w:val="-10"/>
          <w:sz w:val="24"/>
          <w:szCs w:val="24"/>
        </w:rPr>
        <w:t>方式、季节、猪群构成的不同，各猪场粪尿产生量会有一定差异。本项目采用“环</w:t>
      </w:r>
      <w:r>
        <w:rPr>
          <w:rFonts w:ascii="宋体" w:hAnsi="宋体" w:eastAsia="宋体" w:cs="宋体"/>
          <w:spacing w:val="-2"/>
          <w:sz w:val="24"/>
          <w:szCs w:val="24"/>
        </w:rPr>
        <w:t>保部认可的清粪工艺”（同牧原食品股份有限公司清粪工艺</w:t>
      </w:r>
      <w:r>
        <w:rPr>
          <w:rFonts w:ascii="宋体" w:hAnsi="宋体" w:eastAsia="宋体" w:cs="宋体"/>
          <w:spacing w:val="-19"/>
          <w:sz w:val="24"/>
          <w:szCs w:val="24"/>
        </w:rPr>
        <w:t>），</w:t>
      </w:r>
      <w:r>
        <w:rPr>
          <w:rFonts w:ascii="宋体" w:hAnsi="宋体" w:eastAsia="宋体" w:cs="宋体"/>
          <w:spacing w:val="-2"/>
          <w:sz w:val="24"/>
          <w:szCs w:val="24"/>
        </w:rPr>
        <w:t>本项目猪尿的排</w:t>
      </w:r>
      <w:r>
        <w:rPr>
          <w:rFonts w:ascii="宋体" w:hAnsi="宋体" w:eastAsia="宋体" w:cs="宋体"/>
          <w:spacing w:val="-4"/>
          <w:sz w:val="24"/>
          <w:szCs w:val="24"/>
        </w:rPr>
        <w:t>泄量参照《畜禽养殖业污染治理工程技术规范》（</w:t>
      </w:r>
      <w:r>
        <w:rPr>
          <w:rFonts w:ascii="Times New Roman" w:hAnsi="Times New Roman" w:eastAsia="Times New Roman" w:cs="Times New Roman"/>
          <w:spacing w:val="-4"/>
          <w:sz w:val="24"/>
          <w:szCs w:val="24"/>
        </w:rPr>
        <w:t>HJ497-2009</w:t>
      </w:r>
      <w:r>
        <w:rPr>
          <w:rFonts w:ascii="宋体" w:hAnsi="宋体" w:eastAsia="宋体" w:cs="宋体"/>
          <w:spacing w:val="-4"/>
          <w:sz w:val="24"/>
          <w:szCs w:val="24"/>
        </w:rPr>
        <w:t>）附录</w:t>
      </w:r>
      <w:r>
        <w:rPr>
          <w:rFonts w:ascii="Times New Roman" w:hAnsi="Times New Roman" w:eastAsia="Times New Roman" w:cs="Times New Roman"/>
          <w:spacing w:val="-4"/>
          <w:sz w:val="24"/>
          <w:szCs w:val="24"/>
        </w:rPr>
        <w:t>A</w:t>
      </w:r>
      <w:r>
        <w:rPr>
          <w:rFonts w:ascii="宋体" w:hAnsi="宋体" w:eastAsia="宋体" w:cs="宋体"/>
          <w:spacing w:val="-4"/>
          <w:sz w:val="24"/>
          <w:szCs w:val="24"/>
        </w:rPr>
        <w:t>中表</w:t>
      </w:r>
      <w:r>
        <w:rPr>
          <w:rFonts w:ascii="Times New Roman" w:hAnsi="Times New Roman" w:eastAsia="Times New Roman" w:cs="Times New Roman"/>
          <w:spacing w:val="-4"/>
          <w:sz w:val="24"/>
          <w:szCs w:val="24"/>
        </w:rPr>
        <w:t>A.2</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w:t>
      </w:r>
      <w:r>
        <w:rPr>
          <w:rFonts w:ascii="宋体" w:hAnsi="宋体" w:eastAsia="宋体" w:cs="宋体"/>
          <w:spacing w:val="2"/>
          <w:sz w:val="24"/>
          <w:szCs w:val="24"/>
        </w:rPr>
        <w:t>夏季按参照值增加</w:t>
      </w:r>
      <w:r>
        <w:rPr>
          <w:rFonts w:ascii="Times New Roman" w:hAnsi="Times New Roman" w:eastAsia="Times New Roman" w:cs="Times New Roman"/>
          <w:spacing w:val="2"/>
          <w:sz w:val="24"/>
          <w:szCs w:val="24"/>
        </w:rPr>
        <w:t>20%</w:t>
      </w:r>
      <w:r>
        <w:rPr>
          <w:rFonts w:ascii="宋体" w:hAnsi="宋体" w:eastAsia="宋体" w:cs="宋体"/>
          <w:spacing w:val="2"/>
          <w:sz w:val="24"/>
          <w:szCs w:val="24"/>
        </w:rPr>
        <w:t>计。本项目折算标</w:t>
      </w:r>
      <w:r>
        <w:rPr>
          <w:rFonts w:ascii="宋体" w:hAnsi="宋体" w:eastAsia="宋体" w:cs="宋体"/>
          <w:spacing w:val="1"/>
          <w:sz w:val="24"/>
          <w:szCs w:val="24"/>
        </w:rPr>
        <w:t>准年生猪存栏量为</w:t>
      </w:r>
      <w:r>
        <w:rPr>
          <w:rFonts w:ascii="Times New Roman" w:hAnsi="Times New Roman" w:eastAsia="Times New Roman" w:cs="Times New Roman"/>
          <w:spacing w:val="1"/>
          <w:sz w:val="24"/>
          <w:szCs w:val="24"/>
        </w:rPr>
        <w:t>52819</w:t>
      </w:r>
      <w:r>
        <w:rPr>
          <w:rFonts w:ascii="宋体" w:hAnsi="宋体" w:eastAsia="宋体" w:cs="宋体"/>
          <w:spacing w:val="1"/>
          <w:sz w:val="24"/>
          <w:szCs w:val="24"/>
        </w:rPr>
        <w:t>头，猪尿液产</w:t>
      </w:r>
      <w:r>
        <w:rPr>
          <w:rFonts w:ascii="宋体" w:hAnsi="宋体" w:eastAsia="宋体" w:cs="宋体"/>
          <w:spacing w:val="-7"/>
          <w:sz w:val="24"/>
          <w:szCs w:val="24"/>
        </w:rPr>
        <w:t>生量见下表。</w:t>
      </w:r>
    </w:p>
    <w:p w14:paraId="38438CEF">
      <w:pPr>
        <w:spacing w:before="8" w:line="221" w:lineRule="auto"/>
        <w:ind w:left="266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2.2-6  </w:t>
      </w:r>
      <w:r>
        <w:rPr>
          <w:rFonts w:ascii="黑体" w:hAnsi="黑体" w:eastAsia="黑体" w:cs="黑体"/>
          <w:spacing w:val="-1"/>
          <w:sz w:val="21"/>
          <w:szCs w:val="21"/>
        </w:rPr>
        <w:t>养殖场猪尿液产生情况表</w:t>
      </w:r>
    </w:p>
    <w:p w14:paraId="056034B4">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7"/>
        <w:gridCol w:w="1192"/>
        <w:gridCol w:w="1559"/>
        <w:gridCol w:w="1557"/>
        <w:gridCol w:w="1132"/>
        <w:gridCol w:w="1132"/>
        <w:gridCol w:w="1231"/>
      </w:tblGrid>
      <w:tr w14:paraId="01917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17" w:type="dxa"/>
            <w:vMerge w:val="restart"/>
            <w:tcBorders>
              <w:bottom w:val="nil"/>
            </w:tcBorders>
            <w:vAlign w:val="top"/>
          </w:tcPr>
          <w:p w14:paraId="2AC7E734">
            <w:pPr>
              <w:spacing w:before="244" w:line="221" w:lineRule="auto"/>
              <w:ind w:left="52"/>
              <w:rPr>
                <w:rFonts w:ascii="宋体" w:hAnsi="宋体" w:eastAsia="宋体" w:cs="宋体"/>
                <w:sz w:val="21"/>
                <w:szCs w:val="21"/>
              </w:rPr>
            </w:pPr>
            <w:r>
              <w:rPr>
                <w:rFonts w:ascii="宋体" w:hAnsi="宋体" w:eastAsia="宋体" w:cs="宋体"/>
                <w:spacing w:val="-2"/>
                <w:sz w:val="21"/>
                <w:szCs w:val="21"/>
              </w:rPr>
              <w:t>序号</w:t>
            </w:r>
          </w:p>
        </w:tc>
        <w:tc>
          <w:tcPr>
            <w:tcW w:w="1192" w:type="dxa"/>
            <w:vMerge w:val="restart"/>
            <w:tcBorders>
              <w:bottom w:val="nil"/>
            </w:tcBorders>
            <w:vAlign w:val="top"/>
          </w:tcPr>
          <w:p w14:paraId="4F38119E">
            <w:pPr>
              <w:spacing w:before="243" w:line="220" w:lineRule="auto"/>
              <w:ind w:left="390"/>
              <w:rPr>
                <w:rFonts w:ascii="宋体" w:hAnsi="宋体" w:eastAsia="宋体" w:cs="宋体"/>
                <w:sz w:val="21"/>
                <w:szCs w:val="21"/>
              </w:rPr>
            </w:pPr>
            <w:r>
              <w:rPr>
                <w:rFonts w:ascii="宋体" w:hAnsi="宋体" w:eastAsia="宋体" w:cs="宋体"/>
                <w:spacing w:val="-3"/>
                <w:sz w:val="21"/>
                <w:szCs w:val="21"/>
              </w:rPr>
              <w:t>季节</w:t>
            </w:r>
          </w:p>
        </w:tc>
        <w:tc>
          <w:tcPr>
            <w:tcW w:w="1559" w:type="dxa"/>
            <w:vMerge w:val="restart"/>
            <w:tcBorders>
              <w:bottom w:val="nil"/>
            </w:tcBorders>
            <w:vAlign w:val="top"/>
          </w:tcPr>
          <w:p w14:paraId="4FA791F9">
            <w:pPr>
              <w:spacing w:before="88" w:line="263" w:lineRule="auto"/>
              <w:ind w:left="153" w:right="43" w:hanging="103"/>
              <w:rPr>
                <w:rFonts w:ascii="宋体" w:hAnsi="宋体" w:eastAsia="宋体" w:cs="宋体"/>
                <w:sz w:val="21"/>
                <w:szCs w:val="21"/>
              </w:rPr>
            </w:pPr>
            <w:r>
              <w:rPr>
                <w:rFonts w:ascii="宋体" w:hAnsi="宋体" w:eastAsia="宋体" w:cs="宋体"/>
                <w:spacing w:val="-2"/>
                <w:sz w:val="21"/>
                <w:szCs w:val="21"/>
              </w:rPr>
              <w:t>折算标准年生猪</w:t>
            </w:r>
            <w:r>
              <w:rPr>
                <w:rFonts w:ascii="宋体" w:hAnsi="宋体" w:eastAsia="宋体" w:cs="宋体"/>
                <w:spacing w:val="-3"/>
                <w:sz w:val="21"/>
                <w:szCs w:val="21"/>
              </w:rPr>
              <w:t>存栏量（头）</w:t>
            </w:r>
          </w:p>
        </w:tc>
        <w:tc>
          <w:tcPr>
            <w:tcW w:w="1557" w:type="dxa"/>
            <w:vMerge w:val="restart"/>
            <w:tcBorders>
              <w:bottom w:val="nil"/>
            </w:tcBorders>
            <w:vAlign w:val="top"/>
          </w:tcPr>
          <w:p w14:paraId="7EDDC7B0">
            <w:pPr>
              <w:pStyle w:val="6"/>
              <w:spacing w:before="88" w:line="263" w:lineRule="auto"/>
              <w:ind w:left="182" w:right="146" w:hanging="28"/>
              <w:rPr>
                <w:rFonts w:ascii="宋体" w:hAnsi="宋体" w:eastAsia="宋体" w:cs="宋体"/>
              </w:rPr>
            </w:pPr>
            <w:r>
              <w:rPr>
                <w:rFonts w:ascii="宋体" w:hAnsi="宋体" w:eastAsia="宋体" w:cs="宋体"/>
                <w:spacing w:val="-2"/>
              </w:rPr>
              <w:t>猪尿排泄系数（</w:t>
            </w:r>
            <w:r>
              <w:rPr>
                <w:spacing w:val="-2"/>
              </w:rPr>
              <w:t>kg/(</w:t>
            </w:r>
            <w:r>
              <w:rPr>
                <w:rFonts w:ascii="宋体" w:hAnsi="宋体" w:eastAsia="宋体" w:cs="宋体"/>
                <w:spacing w:val="-2"/>
              </w:rPr>
              <w:t>头</w:t>
            </w:r>
            <w:r>
              <w:rPr>
                <w:spacing w:val="-2"/>
              </w:rPr>
              <w:t>ꞏd)</w:t>
            </w:r>
            <w:r>
              <w:rPr>
                <w:rFonts w:ascii="宋体" w:hAnsi="宋体" w:eastAsia="宋体" w:cs="宋体"/>
                <w:spacing w:val="-2"/>
              </w:rPr>
              <w:t>）</w:t>
            </w:r>
          </w:p>
        </w:tc>
        <w:tc>
          <w:tcPr>
            <w:tcW w:w="2264" w:type="dxa"/>
            <w:gridSpan w:val="2"/>
            <w:vAlign w:val="top"/>
          </w:tcPr>
          <w:p w14:paraId="0912F175">
            <w:pPr>
              <w:spacing w:before="68" w:line="220" w:lineRule="auto"/>
              <w:ind w:left="508"/>
              <w:rPr>
                <w:rFonts w:ascii="宋体" w:hAnsi="宋体" w:eastAsia="宋体" w:cs="宋体"/>
                <w:sz w:val="21"/>
                <w:szCs w:val="21"/>
              </w:rPr>
            </w:pPr>
            <w:r>
              <w:rPr>
                <w:rFonts w:ascii="宋体" w:hAnsi="宋体" w:eastAsia="宋体" w:cs="宋体"/>
                <w:spacing w:val="-2"/>
                <w:sz w:val="21"/>
                <w:szCs w:val="21"/>
              </w:rPr>
              <w:t>猪尿液产生量</w:t>
            </w:r>
          </w:p>
        </w:tc>
        <w:tc>
          <w:tcPr>
            <w:tcW w:w="1231" w:type="dxa"/>
            <w:vMerge w:val="restart"/>
            <w:tcBorders>
              <w:bottom w:val="nil"/>
            </w:tcBorders>
            <w:vAlign w:val="top"/>
          </w:tcPr>
          <w:p w14:paraId="110BAA79">
            <w:pPr>
              <w:pStyle w:val="6"/>
              <w:spacing w:before="89" w:line="259" w:lineRule="auto"/>
              <w:ind w:left="223" w:right="225" w:firstLine="188"/>
              <w:rPr>
                <w:rFonts w:ascii="宋体" w:hAnsi="宋体" w:eastAsia="宋体" w:cs="宋体"/>
              </w:rPr>
            </w:pPr>
            <w:r>
              <w:rPr>
                <w:rFonts w:ascii="宋体" w:hAnsi="宋体" w:eastAsia="宋体" w:cs="宋体"/>
                <w:spacing w:val="-5"/>
              </w:rPr>
              <w:t>合计（</w:t>
            </w:r>
            <w:r>
              <w:rPr>
                <w:spacing w:val="-5"/>
              </w:rPr>
              <w:t>m</w:t>
            </w:r>
            <w:r>
              <w:rPr>
                <w:spacing w:val="-5"/>
                <w:position w:val="9"/>
                <w:sz w:val="14"/>
                <w:szCs w:val="14"/>
              </w:rPr>
              <w:t>3</w:t>
            </w:r>
            <w:r>
              <w:rPr>
                <w:spacing w:val="-5"/>
              </w:rPr>
              <w:t>/a</w:t>
            </w:r>
            <w:r>
              <w:rPr>
                <w:rFonts w:ascii="宋体" w:hAnsi="宋体" w:eastAsia="宋体" w:cs="宋体"/>
                <w:spacing w:val="-5"/>
              </w:rPr>
              <w:t>）</w:t>
            </w:r>
          </w:p>
        </w:tc>
      </w:tr>
      <w:tr w14:paraId="6C421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17" w:type="dxa"/>
            <w:vMerge w:val="continue"/>
            <w:tcBorders>
              <w:top w:val="nil"/>
            </w:tcBorders>
            <w:vAlign w:val="top"/>
          </w:tcPr>
          <w:p w14:paraId="04AD2A51">
            <w:pPr>
              <w:rPr>
                <w:rFonts w:ascii="Arial"/>
                <w:sz w:val="21"/>
              </w:rPr>
            </w:pPr>
          </w:p>
        </w:tc>
        <w:tc>
          <w:tcPr>
            <w:tcW w:w="1192" w:type="dxa"/>
            <w:vMerge w:val="continue"/>
            <w:tcBorders>
              <w:top w:val="nil"/>
            </w:tcBorders>
            <w:vAlign w:val="top"/>
          </w:tcPr>
          <w:p w14:paraId="6AB20D08">
            <w:pPr>
              <w:rPr>
                <w:rFonts w:ascii="Arial"/>
                <w:sz w:val="21"/>
              </w:rPr>
            </w:pPr>
          </w:p>
        </w:tc>
        <w:tc>
          <w:tcPr>
            <w:tcW w:w="1559" w:type="dxa"/>
            <w:vMerge w:val="continue"/>
            <w:tcBorders>
              <w:top w:val="nil"/>
            </w:tcBorders>
            <w:vAlign w:val="top"/>
          </w:tcPr>
          <w:p w14:paraId="252FEB7B">
            <w:pPr>
              <w:rPr>
                <w:rFonts w:ascii="Arial"/>
                <w:sz w:val="21"/>
              </w:rPr>
            </w:pPr>
          </w:p>
        </w:tc>
        <w:tc>
          <w:tcPr>
            <w:tcW w:w="1557" w:type="dxa"/>
            <w:vMerge w:val="continue"/>
            <w:tcBorders>
              <w:top w:val="nil"/>
            </w:tcBorders>
            <w:vAlign w:val="top"/>
          </w:tcPr>
          <w:p w14:paraId="5FB355E7">
            <w:pPr>
              <w:rPr>
                <w:rFonts w:ascii="Arial"/>
                <w:sz w:val="21"/>
              </w:rPr>
            </w:pPr>
          </w:p>
        </w:tc>
        <w:tc>
          <w:tcPr>
            <w:tcW w:w="1132" w:type="dxa"/>
            <w:vAlign w:val="top"/>
          </w:tcPr>
          <w:p w14:paraId="7F938771">
            <w:pPr>
              <w:pStyle w:val="6"/>
              <w:spacing w:before="50" w:line="215" w:lineRule="auto"/>
              <w:ind w:left="366"/>
            </w:pPr>
            <w:r>
              <w:rPr>
                <w:spacing w:val="-1"/>
                <w:position w:val="-1"/>
              </w:rPr>
              <w:t>m</w:t>
            </w:r>
            <w:r>
              <w:rPr>
                <w:spacing w:val="-1"/>
                <w:position w:val="8"/>
                <w:sz w:val="14"/>
                <w:szCs w:val="14"/>
              </w:rPr>
              <w:t>3</w:t>
            </w:r>
            <w:r>
              <w:rPr>
                <w:spacing w:val="-1"/>
                <w:position w:val="-1"/>
              </w:rPr>
              <w:t>/d</w:t>
            </w:r>
          </w:p>
        </w:tc>
        <w:tc>
          <w:tcPr>
            <w:tcW w:w="1132" w:type="dxa"/>
            <w:vAlign w:val="top"/>
          </w:tcPr>
          <w:p w14:paraId="15F2D258">
            <w:pPr>
              <w:pStyle w:val="6"/>
              <w:spacing w:before="50" w:line="215" w:lineRule="auto"/>
              <w:ind w:left="373"/>
            </w:pPr>
            <w:r>
              <w:rPr>
                <w:spacing w:val="-1"/>
                <w:position w:val="-1"/>
              </w:rPr>
              <w:t>m</w:t>
            </w:r>
            <w:r>
              <w:rPr>
                <w:spacing w:val="-1"/>
                <w:position w:val="8"/>
                <w:sz w:val="14"/>
                <w:szCs w:val="14"/>
              </w:rPr>
              <w:t>3</w:t>
            </w:r>
            <w:r>
              <w:rPr>
                <w:spacing w:val="-1"/>
                <w:position w:val="-1"/>
              </w:rPr>
              <w:t>/a</w:t>
            </w:r>
          </w:p>
        </w:tc>
        <w:tc>
          <w:tcPr>
            <w:tcW w:w="1231" w:type="dxa"/>
            <w:vMerge w:val="continue"/>
            <w:tcBorders>
              <w:top w:val="nil"/>
            </w:tcBorders>
            <w:vAlign w:val="top"/>
          </w:tcPr>
          <w:p w14:paraId="5C7D091C">
            <w:pPr>
              <w:rPr>
                <w:rFonts w:ascii="Arial"/>
                <w:sz w:val="21"/>
              </w:rPr>
            </w:pPr>
          </w:p>
        </w:tc>
      </w:tr>
      <w:tr w14:paraId="76C21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17" w:type="dxa"/>
            <w:vAlign w:val="top"/>
          </w:tcPr>
          <w:p w14:paraId="098428DD">
            <w:pPr>
              <w:pStyle w:val="6"/>
              <w:spacing w:before="103" w:line="188" w:lineRule="auto"/>
              <w:ind w:left="227"/>
            </w:pPr>
            <w:r>
              <w:t>1</w:t>
            </w:r>
          </w:p>
        </w:tc>
        <w:tc>
          <w:tcPr>
            <w:tcW w:w="1192" w:type="dxa"/>
            <w:vAlign w:val="top"/>
          </w:tcPr>
          <w:p w14:paraId="01FF4372">
            <w:pPr>
              <w:spacing w:before="66" w:line="220" w:lineRule="auto"/>
              <w:ind w:left="389"/>
              <w:rPr>
                <w:rFonts w:ascii="宋体" w:hAnsi="宋体" w:eastAsia="宋体" w:cs="宋体"/>
                <w:sz w:val="21"/>
                <w:szCs w:val="21"/>
              </w:rPr>
            </w:pPr>
            <w:r>
              <w:rPr>
                <w:rFonts w:ascii="宋体" w:hAnsi="宋体" w:eastAsia="宋体" w:cs="宋体"/>
                <w:spacing w:val="-3"/>
                <w:sz w:val="21"/>
                <w:szCs w:val="21"/>
              </w:rPr>
              <w:t>夏季</w:t>
            </w:r>
          </w:p>
        </w:tc>
        <w:tc>
          <w:tcPr>
            <w:tcW w:w="1559" w:type="dxa"/>
            <w:vMerge w:val="restart"/>
            <w:tcBorders>
              <w:bottom w:val="nil"/>
            </w:tcBorders>
            <w:vAlign w:val="top"/>
          </w:tcPr>
          <w:p w14:paraId="720074E1">
            <w:pPr>
              <w:pStyle w:val="6"/>
              <w:spacing w:before="278" w:line="188" w:lineRule="auto"/>
              <w:ind w:left="523"/>
            </w:pPr>
            <w:r>
              <w:rPr>
                <w:spacing w:val="-2"/>
              </w:rPr>
              <w:t>52819</w:t>
            </w:r>
          </w:p>
        </w:tc>
        <w:tc>
          <w:tcPr>
            <w:tcW w:w="1557" w:type="dxa"/>
            <w:vAlign w:val="top"/>
          </w:tcPr>
          <w:p w14:paraId="0867E85C">
            <w:pPr>
              <w:pStyle w:val="6"/>
              <w:spacing w:before="103" w:line="188" w:lineRule="auto"/>
              <w:ind w:left="600"/>
            </w:pPr>
            <w:r>
              <w:rPr>
                <w:spacing w:val="-3"/>
              </w:rPr>
              <w:t>3.66</w:t>
            </w:r>
          </w:p>
        </w:tc>
        <w:tc>
          <w:tcPr>
            <w:tcW w:w="1132" w:type="dxa"/>
            <w:vAlign w:val="top"/>
          </w:tcPr>
          <w:p w14:paraId="6959D223">
            <w:pPr>
              <w:pStyle w:val="6"/>
              <w:spacing w:before="103" w:line="188" w:lineRule="auto"/>
              <w:ind w:left="299"/>
            </w:pPr>
            <w:r>
              <w:rPr>
                <w:spacing w:val="-5"/>
              </w:rPr>
              <w:t>193.32</w:t>
            </w:r>
          </w:p>
        </w:tc>
        <w:tc>
          <w:tcPr>
            <w:tcW w:w="1132" w:type="dxa"/>
            <w:vAlign w:val="top"/>
          </w:tcPr>
          <w:p w14:paraId="766BDC84">
            <w:pPr>
              <w:pStyle w:val="6"/>
              <w:spacing w:before="103" w:line="188" w:lineRule="auto"/>
              <w:ind w:left="247"/>
            </w:pPr>
            <w:r>
              <w:rPr>
                <w:spacing w:val="-4"/>
              </w:rPr>
              <w:t>18171.8</w:t>
            </w:r>
          </w:p>
        </w:tc>
        <w:tc>
          <w:tcPr>
            <w:tcW w:w="1231" w:type="dxa"/>
            <w:vMerge w:val="restart"/>
            <w:tcBorders>
              <w:bottom w:val="nil"/>
            </w:tcBorders>
            <w:vAlign w:val="top"/>
          </w:tcPr>
          <w:p w14:paraId="3C763E76">
            <w:pPr>
              <w:pStyle w:val="6"/>
              <w:spacing w:before="278" w:line="188" w:lineRule="auto"/>
              <w:ind w:left="279"/>
            </w:pPr>
            <w:r>
              <w:rPr>
                <w:spacing w:val="-2"/>
              </w:rPr>
              <w:t>65407.8</w:t>
            </w:r>
          </w:p>
        </w:tc>
      </w:tr>
      <w:tr w14:paraId="0EDB2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17" w:type="dxa"/>
            <w:vAlign w:val="top"/>
          </w:tcPr>
          <w:p w14:paraId="00A32CCA">
            <w:pPr>
              <w:pStyle w:val="6"/>
              <w:spacing w:before="104" w:line="188" w:lineRule="auto"/>
              <w:ind w:left="207"/>
            </w:pPr>
            <w:r>
              <w:t>2</w:t>
            </w:r>
          </w:p>
        </w:tc>
        <w:tc>
          <w:tcPr>
            <w:tcW w:w="1192" w:type="dxa"/>
            <w:vAlign w:val="top"/>
          </w:tcPr>
          <w:p w14:paraId="0C23FE08">
            <w:pPr>
              <w:spacing w:before="67" w:line="220" w:lineRule="auto"/>
              <w:ind w:left="180"/>
              <w:rPr>
                <w:rFonts w:ascii="宋体" w:hAnsi="宋体" w:eastAsia="宋体" w:cs="宋体"/>
                <w:sz w:val="21"/>
                <w:szCs w:val="21"/>
              </w:rPr>
            </w:pPr>
            <w:r>
              <w:rPr>
                <w:rFonts w:ascii="宋体" w:hAnsi="宋体" w:eastAsia="宋体" w:cs="宋体"/>
                <w:spacing w:val="-2"/>
                <w:sz w:val="21"/>
                <w:szCs w:val="21"/>
              </w:rPr>
              <w:t>其他季节</w:t>
            </w:r>
          </w:p>
        </w:tc>
        <w:tc>
          <w:tcPr>
            <w:tcW w:w="1559" w:type="dxa"/>
            <w:vMerge w:val="continue"/>
            <w:tcBorders>
              <w:top w:val="nil"/>
            </w:tcBorders>
            <w:vAlign w:val="top"/>
          </w:tcPr>
          <w:p w14:paraId="7A3DC034">
            <w:pPr>
              <w:rPr>
                <w:rFonts w:ascii="Arial"/>
                <w:sz w:val="21"/>
              </w:rPr>
            </w:pPr>
          </w:p>
        </w:tc>
        <w:tc>
          <w:tcPr>
            <w:tcW w:w="1557" w:type="dxa"/>
            <w:vAlign w:val="top"/>
          </w:tcPr>
          <w:p w14:paraId="4ACB0768">
            <w:pPr>
              <w:pStyle w:val="6"/>
              <w:spacing w:before="104" w:line="188" w:lineRule="auto"/>
              <w:ind w:left="652"/>
            </w:pPr>
            <w:r>
              <w:rPr>
                <w:spacing w:val="-3"/>
              </w:rPr>
              <w:t>3.3</w:t>
            </w:r>
          </w:p>
        </w:tc>
        <w:tc>
          <w:tcPr>
            <w:tcW w:w="1132" w:type="dxa"/>
            <w:vAlign w:val="top"/>
          </w:tcPr>
          <w:p w14:paraId="3818A6A6">
            <w:pPr>
              <w:pStyle w:val="6"/>
              <w:spacing w:before="104" w:line="188" w:lineRule="auto"/>
              <w:ind w:left="299"/>
            </w:pPr>
            <w:r>
              <w:rPr>
                <w:spacing w:val="-4"/>
              </w:rPr>
              <w:t>174.30</w:t>
            </w:r>
          </w:p>
        </w:tc>
        <w:tc>
          <w:tcPr>
            <w:tcW w:w="1132" w:type="dxa"/>
            <w:vAlign w:val="top"/>
          </w:tcPr>
          <w:p w14:paraId="0192606A">
            <w:pPr>
              <w:pStyle w:val="6"/>
              <w:spacing w:before="104" w:line="188" w:lineRule="auto"/>
              <w:ind w:left="226"/>
            </w:pPr>
            <w:r>
              <w:rPr>
                <w:spacing w:val="-1"/>
              </w:rPr>
              <w:t>47236.0</w:t>
            </w:r>
          </w:p>
        </w:tc>
        <w:tc>
          <w:tcPr>
            <w:tcW w:w="1231" w:type="dxa"/>
            <w:vMerge w:val="continue"/>
            <w:tcBorders>
              <w:top w:val="nil"/>
            </w:tcBorders>
            <w:vAlign w:val="top"/>
          </w:tcPr>
          <w:p w14:paraId="4BBF1AB8">
            <w:pPr>
              <w:rPr>
                <w:rFonts w:ascii="Arial"/>
                <w:sz w:val="21"/>
              </w:rPr>
            </w:pPr>
          </w:p>
        </w:tc>
      </w:tr>
    </w:tbl>
    <w:p w14:paraId="08310E7F">
      <w:pPr>
        <w:spacing w:before="56" w:line="222" w:lineRule="auto"/>
        <w:ind w:left="48"/>
        <w:rPr>
          <w:rFonts w:ascii="仿宋" w:hAnsi="仿宋" w:eastAsia="仿宋" w:cs="仿宋"/>
          <w:sz w:val="20"/>
          <w:szCs w:val="20"/>
        </w:rPr>
      </w:pPr>
      <w:r>
        <w:rPr>
          <w:rFonts w:ascii="仿宋" w:hAnsi="仿宋" w:eastAsia="仿宋" w:cs="仿宋"/>
          <w:spacing w:val="-2"/>
          <w:sz w:val="20"/>
          <w:szCs w:val="20"/>
        </w:rPr>
        <w:t>注：夏季</w:t>
      </w:r>
      <w:r>
        <w:rPr>
          <w:rFonts w:ascii="Times New Roman" w:hAnsi="Times New Roman" w:eastAsia="Times New Roman" w:cs="Times New Roman"/>
          <w:spacing w:val="-2"/>
          <w:sz w:val="20"/>
          <w:szCs w:val="20"/>
        </w:rPr>
        <w:t>94</w:t>
      </w:r>
      <w:r>
        <w:rPr>
          <w:rFonts w:ascii="仿宋" w:hAnsi="仿宋" w:eastAsia="仿宋" w:cs="仿宋"/>
          <w:spacing w:val="-2"/>
          <w:sz w:val="20"/>
          <w:szCs w:val="20"/>
        </w:rPr>
        <w:t>天，其他季节合计</w:t>
      </w:r>
      <w:r>
        <w:rPr>
          <w:rFonts w:ascii="Times New Roman" w:hAnsi="Times New Roman" w:eastAsia="Times New Roman" w:cs="Times New Roman"/>
          <w:spacing w:val="-2"/>
          <w:sz w:val="20"/>
          <w:szCs w:val="20"/>
        </w:rPr>
        <w:t>271</w:t>
      </w:r>
      <w:r>
        <w:rPr>
          <w:rFonts w:ascii="仿宋" w:hAnsi="仿宋" w:eastAsia="仿宋" w:cs="仿宋"/>
          <w:spacing w:val="-2"/>
          <w:sz w:val="20"/>
          <w:szCs w:val="20"/>
        </w:rPr>
        <w:t>天。</w:t>
      </w:r>
    </w:p>
    <w:p w14:paraId="1A84CF36">
      <w:pPr>
        <w:spacing w:before="116" w:line="361" w:lineRule="auto"/>
        <w:ind w:left="41" w:right="124" w:firstLine="479"/>
        <w:rPr>
          <w:rFonts w:ascii="宋体" w:hAnsi="宋体" w:eastAsia="宋体" w:cs="宋体"/>
          <w:sz w:val="24"/>
          <w:szCs w:val="24"/>
        </w:rPr>
      </w:pPr>
      <w:r>
        <w:rPr>
          <w:rFonts w:ascii="宋体" w:hAnsi="宋体" w:eastAsia="宋体" w:cs="宋体"/>
          <w:spacing w:val="-3"/>
          <w:sz w:val="24"/>
          <w:szCs w:val="24"/>
        </w:rPr>
        <w:t>经计算，本项目全年养殖过程猪尿液产生量为</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4"/>
          <w:sz w:val="24"/>
          <w:szCs w:val="24"/>
        </w:rPr>
        <w:t>5407.8m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sz w:val="24"/>
          <w:szCs w:val="24"/>
        </w:rPr>
        <w:t>/a</w:t>
      </w:r>
      <w:r>
        <w:rPr>
          <w:rFonts w:ascii="宋体" w:hAnsi="宋体" w:eastAsia="宋体" w:cs="宋体"/>
          <w:spacing w:val="-4"/>
          <w:sz w:val="24"/>
          <w:szCs w:val="24"/>
        </w:rPr>
        <w:t>，其中夏季尿液产</w:t>
      </w:r>
      <w:r>
        <w:rPr>
          <w:rFonts w:ascii="宋体" w:hAnsi="宋体" w:eastAsia="宋体" w:cs="宋体"/>
          <w:sz w:val="24"/>
          <w:szCs w:val="24"/>
        </w:rPr>
        <w:t>生量为</w:t>
      </w:r>
      <w:r>
        <w:rPr>
          <w:rFonts w:ascii="Times New Roman" w:hAnsi="Times New Roman" w:eastAsia="Times New Roman" w:cs="Times New Roman"/>
          <w:sz w:val="24"/>
          <w:szCs w:val="24"/>
        </w:rPr>
        <w:t>193.32m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、其他季节尿液产生量为</w:t>
      </w:r>
      <w:r>
        <w:rPr>
          <w:rFonts w:ascii="Times New Roman" w:hAnsi="Times New Roman" w:eastAsia="Times New Roman" w:cs="Times New Roman"/>
          <w:sz w:val="24"/>
          <w:szCs w:val="24"/>
        </w:rPr>
        <w:t>174.30m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4D96DEB4">
      <w:pPr>
        <w:spacing w:before="12" w:line="217" w:lineRule="auto"/>
        <w:ind w:left="517"/>
        <w:rPr>
          <w:rFonts w:ascii="宋体" w:hAnsi="宋体" w:eastAsia="宋体" w:cs="宋体"/>
          <w:sz w:val="24"/>
          <w:szCs w:val="24"/>
        </w:rPr>
      </w:pPr>
      <w:r>
        <w:rPr>
          <w:rFonts w:ascii="宋体" w:hAnsi="宋体" w:eastAsia="宋体" w:cs="宋体"/>
          <w:spacing w:val="-1"/>
          <w:sz w:val="24"/>
          <w:szCs w:val="24"/>
        </w:rPr>
        <w:t>②进入废水的猪粪滤液</w:t>
      </w:r>
    </w:p>
    <w:p w14:paraId="740960E5">
      <w:pPr>
        <w:spacing w:before="186" w:line="359" w:lineRule="auto"/>
        <w:ind w:left="41" w:firstLine="479"/>
        <w:rPr>
          <w:rFonts w:ascii="宋体" w:hAnsi="宋体" w:eastAsia="宋体" w:cs="宋体"/>
          <w:sz w:val="24"/>
          <w:szCs w:val="24"/>
        </w:rPr>
      </w:pPr>
      <w:r>
        <w:rPr>
          <w:rFonts w:ascii="宋体" w:hAnsi="宋体" w:eastAsia="宋体" w:cs="宋体"/>
          <w:spacing w:val="-5"/>
          <w:sz w:val="24"/>
          <w:szCs w:val="24"/>
        </w:rPr>
        <w:t>本项目猪粪的排泄量参照《排污许可证申请与核发技术规范</w:t>
      </w:r>
      <w:r>
        <w:rPr>
          <w:rFonts w:ascii="宋体" w:hAnsi="宋体" w:eastAsia="宋体" w:cs="宋体"/>
          <w:spacing w:val="50"/>
          <w:sz w:val="24"/>
          <w:szCs w:val="24"/>
        </w:rPr>
        <w:t xml:space="preserve"> </w:t>
      </w:r>
      <w:r>
        <w:rPr>
          <w:rFonts w:ascii="宋体" w:hAnsi="宋体" w:eastAsia="宋体" w:cs="宋体"/>
          <w:spacing w:val="-5"/>
          <w:sz w:val="24"/>
          <w:szCs w:val="24"/>
        </w:rPr>
        <w:t>畜禽养殖行业》</w:t>
      </w:r>
      <w:r>
        <w:rPr>
          <w:rFonts w:ascii="宋体" w:hAnsi="宋体" w:eastAsia="宋体" w:cs="宋体"/>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HJ1029-2019</w:t>
      </w:r>
      <w:r>
        <w:rPr>
          <w:rFonts w:ascii="宋体" w:hAnsi="宋体" w:eastAsia="宋体" w:cs="宋体"/>
          <w:spacing w:val="-6"/>
          <w:sz w:val="24"/>
          <w:szCs w:val="24"/>
        </w:rPr>
        <w:t>）、《关于印发</w:t>
      </w:r>
      <w:r>
        <w:rPr>
          <w:rFonts w:ascii="Times New Roman" w:hAnsi="Times New Roman" w:eastAsia="Times New Roman" w:cs="Times New Roman"/>
          <w:spacing w:val="-6"/>
          <w:sz w:val="24"/>
          <w:szCs w:val="24"/>
        </w:rPr>
        <w:t>&lt;</w:t>
      </w:r>
      <w:r>
        <w:rPr>
          <w:rFonts w:ascii="宋体" w:hAnsi="宋体" w:eastAsia="宋体" w:cs="宋体"/>
          <w:spacing w:val="-6"/>
          <w:sz w:val="24"/>
          <w:szCs w:val="24"/>
        </w:rPr>
        <w:t>四川</w:t>
      </w:r>
      <w:r>
        <w:rPr>
          <w:rFonts w:ascii="宋体" w:hAnsi="宋体" w:eastAsia="宋体" w:cs="宋体"/>
          <w:spacing w:val="-7"/>
          <w:sz w:val="24"/>
          <w:szCs w:val="24"/>
        </w:rPr>
        <w:t>省畜禽养殖污染防治技术指南（试行）</w:t>
      </w:r>
      <w:r>
        <w:rPr>
          <w:rFonts w:ascii="Times New Roman" w:hAnsi="Times New Roman" w:eastAsia="Times New Roman" w:cs="Times New Roman"/>
          <w:spacing w:val="-7"/>
          <w:sz w:val="24"/>
          <w:szCs w:val="24"/>
        </w:rPr>
        <w:t>&gt;</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的通</w:t>
      </w:r>
      <w:r>
        <w:rPr>
          <w:rFonts w:ascii="宋体" w:hAnsi="宋体" w:eastAsia="宋体" w:cs="宋体"/>
          <w:spacing w:val="2"/>
          <w:sz w:val="24"/>
          <w:szCs w:val="24"/>
        </w:rPr>
        <w:t>知》（川农业函</w:t>
      </w:r>
      <w:r>
        <w:rPr>
          <w:rFonts w:ascii="Times New Roman" w:hAnsi="Times New Roman" w:eastAsia="Times New Roman" w:cs="Times New Roman"/>
          <w:spacing w:val="2"/>
          <w:sz w:val="24"/>
          <w:szCs w:val="24"/>
        </w:rPr>
        <w:t>[</w:t>
      </w:r>
      <w:r>
        <w:fldChar w:fldCharType="begin"/>
      </w:r>
      <w:r>
        <w:instrText xml:space="preserve"> HYPERLINK \l "bookmark152" </w:instrText>
      </w:r>
      <w:r>
        <w:fldChar w:fldCharType="separate"/>
      </w:r>
      <w:r>
        <w:rPr>
          <w:rFonts w:ascii="Times New Roman" w:hAnsi="Times New Roman" w:eastAsia="Times New Roman" w:cs="Times New Roman"/>
          <w:spacing w:val="2"/>
          <w:sz w:val="24"/>
          <w:szCs w:val="24"/>
        </w:rPr>
        <w:t>2017</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]647</w:t>
      </w:r>
      <w:r>
        <w:rPr>
          <w:rFonts w:ascii="宋体" w:hAnsi="宋体" w:eastAsia="宋体" w:cs="宋体"/>
          <w:spacing w:val="2"/>
          <w:sz w:val="24"/>
          <w:szCs w:val="24"/>
        </w:rPr>
        <w:t>号</w:t>
      </w:r>
      <w:r>
        <w:rPr>
          <w:rFonts w:ascii="宋体" w:hAnsi="宋体" w:eastAsia="宋体" w:cs="宋体"/>
          <w:spacing w:val="10"/>
          <w:sz w:val="24"/>
          <w:szCs w:val="24"/>
        </w:rPr>
        <w:t>），</w:t>
      </w:r>
      <w:r>
        <w:rPr>
          <w:rFonts w:ascii="宋体" w:hAnsi="宋体" w:eastAsia="宋体" w:cs="宋体"/>
          <w:spacing w:val="2"/>
          <w:sz w:val="24"/>
          <w:szCs w:val="24"/>
        </w:rPr>
        <w:t>同时类比牧原食品股份有限公司部分养殖场猪</w:t>
      </w:r>
      <w:r>
        <w:rPr>
          <w:rFonts w:ascii="宋体" w:hAnsi="宋体" w:eastAsia="宋体" w:cs="宋体"/>
          <w:spacing w:val="-5"/>
          <w:sz w:val="24"/>
          <w:szCs w:val="24"/>
        </w:rPr>
        <w:t>粪含水率数据，新鲜猪粪的含水率取</w:t>
      </w:r>
      <w:r>
        <w:rPr>
          <w:rFonts w:ascii="Times New Roman" w:hAnsi="Times New Roman" w:eastAsia="Times New Roman" w:cs="Times New Roman"/>
          <w:spacing w:val="-5"/>
          <w:sz w:val="24"/>
          <w:szCs w:val="24"/>
        </w:rPr>
        <w:t>80%</w:t>
      </w:r>
      <w:r>
        <w:rPr>
          <w:rFonts w:ascii="宋体" w:hAnsi="宋体" w:eastAsia="宋体" w:cs="宋体"/>
          <w:spacing w:val="-5"/>
          <w:sz w:val="24"/>
          <w:szCs w:val="24"/>
        </w:rPr>
        <w:t>。由前文分析可知， 本项目猪粪经干湿</w:t>
      </w:r>
    </w:p>
    <w:p w14:paraId="6D9793AC">
      <w:pPr>
        <w:spacing w:line="359" w:lineRule="auto"/>
        <w:rPr>
          <w:rFonts w:ascii="宋体" w:hAnsi="宋体" w:eastAsia="宋体" w:cs="宋体"/>
          <w:sz w:val="24"/>
          <w:szCs w:val="24"/>
        </w:rPr>
        <w:sectPr>
          <w:headerReference r:id="rId192" w:type="default"/>
          <w:footerReference r:id="rId193" w:type="default"/>
          <w:pgSz w:w="11905" w:h="16840"/>
          <w:pgMar w:top="1168" w:right="1687" w:bottom="1409" w:left="1770" w:header="828" w:footer="1244" w:gutter="0"/>
          <w:cols w:space="720" w:num="1"/>
        </w:sectPr>
      </w:pPr>
    </w:p>
    <w:p w14:paraId="1222AD1C">
      <w:pPr>
        <w:pStyle w:val="2"/>
        <w:spacing w:line="306" w:lineRule="auto"/>
      </w:pPr>
    </w:p>
    <w:p w14:paraId="0D3F8792">
      <w:pPr>
        <w:spacing w:before="78" w:line="219" w:lineRule="auto"/>
        <w:ind w:left="42"/>
        <w:rPr>
          <w:rFonts w:ascii="宋体" w:hAnsi="宋体" w:eastAsia="宋体" w:cs="宋体"/>
          <w:sz w:val="24"/>
          <w:szCs w:val="24"/>
        </w:rPr>
      </w:pPr>
      <w:r>
        <w:rPr>
          <w:rFonts w:ascii="宋体" w:hAnsi="宋体" w:eastAsia="宋体" w:cs="宋体"/>
          <w:spacing w:val="-2"/>
          <w:sz w:val="24"/>
          <w:szCs w:val="24"/>
        </w:rPr>
        <w:t>分离机脱水后的粪渣含水量为</w:t>
      </w:r>
      <w:r>
        <w:rPr>
          <w:rFonts w:ascii="Times New Roman" w:hAnsi="Times New Roman" w:eastAsia="Times New Roman" w:cs="Times New Roman"/>
          <w:spacing w:val="-2"/>
          <w:sz w:val="24"/>
          <w:szCs w:val="24"/>
        </w:rPr>
        <w:t>60%</w:t>
      </w:r>
      <w:r>
        <w:rPr>
          <w:rFonts w:ascii="宋体" w:hAnsi="宋体" w:eastAsia="宋体" w:cs="宋体"/>
          <w:spacing w:val="-2"/>
          <w:sz w:val="24"/>
          <w:szCs w:val="24"/>
        </w:rPr>
        <w:t>，则猪粪的脱水量及干粪量如下。</w:t>
      </w:r>
    </w:p>
    <w:p w14:paraId="13FA5159">
      <w:pPr>
        <w:spacing w:before="197" w:line="221" w:lineRule="auto"/>
        <w:ind w:left="234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2.2-7  </w:t>
      </w:r>
      <w:r>
        <w:rPr>
          <w:rFonts w:ascii="黑体" w:hAnsi="黑体" w:eastAsia="黑体" w:cs="黑体"/>
          <w:spacing w:val="-1"/>
          <w:sz w:val="21"/>
          <w:szCs w:val="21"/>
        </w:rPr>
        <w:t>猪粪脱水量及干粪量产生情况表</w:t>
      </w:r>
    </w:p>
    <w:p w14:paraId="61FC6BB5">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1467"/>
        <w:gridCol w:w="1032"/>
        <w:gridCol w:w="1034"/>
        <w:gridCol w:w="885"/>
        <w:gridCol w:w="886"/>
        <w:gridCol w:w="934"/>
        <w:gridCol w:w="940"/>
      </w:tblGrid>
      <w:tr w14:paraId="46B3F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42" w:type="dxa"/>
            <w:vMerge w:val="restart"/>
            <w:tcBorders>
              <w:bottom w:val="nil"/>
            </w:tcBorders>
            <w:vAlign w:val="top"/>
          </w:tcPr>
          <w:p w14:paraId="0FB508BA">
            <w:pPr>
              <w:spacing w:before="73" w:line="220" w:lineRule="auto"/>
              <w:ind w:left="52"/>
              <w:rPr>
                <w:rFonts w:ascii="宋体" w:hAnsi="宋体" w:eastAsia="宋体" w:cs="宋体"/>
                <w:sz w:val="21"/>
                <w:szCs w:val="21"/>
              </w:rPr>
            </w:pPr>
            <w:r>
              <w:rPr>
                <w:rFonts w:ascii="宋体" w:hAnsi="宋体" w:eastAsia="宋体" w:cs="宋体"/>
                <w:spacing w:val="-2"/>
                <w:sz w:val="21"/>
                <w:szCs w:val="21"/>
              </w:rPr>
              <w:t>折算年标准</w:t>
            </w:r>
          </w:p>
          <w:p w14:paraId="2D8B5D46">
            <w:pPr>
              <w:spacing w:before="61" w:line="220" w:lineRule="auto"/>
              <w:ind w:left="52"/>
              <w:rPr>
                <w:rFonts w:ascii="宋体" w:hAnsi="宋体" w:eastAsia="宋体" w:cs="宋体"/>
                <w:sz w:val="21"/>
                <w:szCs w:val="21"/>
              </w:rPr>
            </w:pPr>
            <w:r>
              <w:rPr>
                <w:rFonts w:ascii="宋体" w:hAnsi="宋体" w:eastAsia="宋体" w:cs="宋体"/>
                <w:spacing w:val="-2"/>
                <w:sz w:val="21"/>
                <w:szCs w:val="21"/>
              </w:rPr>
              <w:t>生猪存栏量</w:t>
            </w:r>
          </w:p>
          <w:p w14:paraId="6A256EF2">
            <w:pPr>
              <w:spacing w:before="61" w:line="220" w:lineRule="auto"/>
              <w:ind w:left="266"/>
              <w:rPr>
                <w:rFonts w:ascii="宋体" w:hAnsi="宋体" w:eastAsia="宋体" w:cs="宋体"/>
                <w:sz w:val="21"/>
                <w:szCs w:val="21"/>
              </w:rPr>
            </w:pPr>
            <w:r>
              <w:rPr>
                <w:rFonts w:ascii="宋体" w:hAnsi="宋体" w:eastAsia="宋体" w:cs="宋体"/>
                <w:spacing w:val="-7"/>
                <w:sz w:val="21"/>
                <w:szCs w:val="21"/>
              </w:rPr>
              <w:t>（头）</w:t>
            </w:r>
          </w:p>
        </w:tc>
        <w:tc>
          <w:tcPr>
            <w:tcW w:w="1467" w:type="dxa"/>
            <w:vMerge w:val="restart"/>
            <w:tcBorders>
              <w:bottom w:val="nil"/>
            </w:tcBorders>
            <w:vAlign w:val="top"/>
          </w:tcPr>
          <w:p w14:paraId="059EBB18">
            <w:pPr>
              <w:pStyle w:val="6"/>
              <w:spacing w:before="230" w:line="272" w:lineRule="auto"/>
              <w:ind w:left="193" w:right="103" w:hanging="87"/>
              <w:rPr>
                <w:rFonts w:ascii="宋体" w:hAnsi="宋体" w:eastAsia="宋体" w:cs="宋体"/>
              </w:rPr>
            </w:pPr>
            <w:r>
              <w:rPr>
                <w:rFonts w:ascii="宋体" w:hAnsi="宋体" w:eastAsia="宋体" w:cs="宋体"/>
                <w:spacing w:val="-2"/>
              </w:rPr>
              <w:t>猪粪排泄系数</w:t>
            </w:r>
            <w:r>
              <w:t>kg</w:t>
            </w:r>
            <w:r>
              <w:rPr>
                <w:spacing w:val="2"/>
              </w:rPr>
              <w:t>/</w:t>
            </w:r>
            <w:r>
              <w:rPr>
                <w:rFonts w:ascii="宋体" w:hAnsi="宋体" w:eastAsia="宋体" w:cs="宋体"/>
                <w:spacing w:val="2"/>
              </w:rPr>
              <w:t>（头</w:t>
            </w:r>
            <w:r>
              <w:rPr>
                <w:spacing w:val="2"/>
              </w:rPr>
              <w:t>.d</w:t>
            </w:r>
            <w:r>
              <w:rPr>
                <w:rFonts w:ascii="宋体" w:hAnsi="宋体" w:eastAsia="宋体" w:cs="宋体"/>
                <w:spacing w:val="2"/>
              </w:rPr>
              <w:t>）</w:t>
            </w:r>
          </w:p>
        </w:tc>
        <w:tc>
          <w:tcPr>
            <w:tcW w:w="2066" w:type="dxa"/>
            <w:gridSpan w:val="2"/>
            <w:vAlign w:val="top"/>
          </w:tcPr>
          <w:p w14:paraId="7D1454F0">
            <w:pPr>
              <w:pStyle w:val="6"/>
              <w:spacing w:before="54" w:line="249" w:lineRule="auto"/>
              <w:ind w:left="221" w:right="222" w:firstLine="291"/>
              <w:rPr>
                <w:rFonts w:ascii="宋体" w:hAnsi="宋体" w:eastAsia="宋体" w:cs="宋体"/>
              </w:rPr>
            </w:pPr>
            <w:r>
              <w:rPr>
                <w:rFonts w:ascii="宋体" w:hAnsi="宋体" w:eastAsia="宋体" w:cs="宋体"/>
                <w:spacing w:val="-2"/>
              </w:rPr>
              <w:t>猪粪产生量</w:t>
            </w:r>
            <w:r>
              <w:rPr>
                <w:rFonts w:ascii="宋体" w:hAnsi="宋体" w:eastAsia="宋体" w:cs="宋体"/>
              </w:rPr>
              <w:t xml:space="preserve"> </w:t>
            </w:r>
            <w:r>
              <w:rPr>
                <w:rFonts w:ascii="宋体" w:hAnsi="宋体" w:eastAsia="宋体" w:cs="宋体"/>
                <w:spacing w:val="-4"/>
              </w:rPr>
              <w:t>（</w:t>
            </w:r>
            <w:r>
              <w:rPr>
                <w:spacing w:val="-4"/>
              </w:rPr>
              <w:t>80%</w:t>
            </w:r>
            <w:r>
              <w:rPr>
                <w:rFonts w:ascii="宋体" w:hAnsi="宋体" w:eastAsia="宋体" w:cs="宋体"/>
                <w:spacing w:val="-4"/>
              </w:rPr>
              <w:t>的含水率）</w:t>
            </w:r>
          </w:p>
        </w:tc>
        <w:tc>
          <w:tcPr>
            <w:tcW w:w="1771" w:type="dxa"/>
            <w:gridSpan w:val="2"/>
            <w:vAlign w:val="top"/>
          </w:tcPr>
          <w:p w14:paraId="783BBCBA">
            <w:pPr>
              <w:spacing w:before="210" w:line="219" w:lineRule="auto"/>
              <w:ind w:left="263"/>
              <w:rPr>
                <w:rFonts w:ascii="宋体" w:hAnsi="宋体" w:eastAsia="宋体" w:cs="宋体"/>
                <w:sz w:val="21"/>
                <w:szCs w:val="21"/>
              </w:rPr>
            </w:pPr>
            <w:r>
              <w:rPr>
                <w:rFonts w:ascii="宋体" w:hAnsi="宋体" w:eastAsia="宋体" w:cs="宋体"/>
                <w:spacing w:val="-2"/>
                <w:sz w:val="21"/>
                <w:szCs w:val="21"/>
              </w:rPr>
              <w:t>分离机脱水量</w:t>
            </w:r>
          </w:p>
        </w:tc>
        <w:tc>
          <w:tcPr>
            <w:tcW w:w="1874" w:type="dxa"/>
            <w:gridSpan w:val="2"/>
            <w:vAlign w:val="top"/>
          </w:tcPr>
          <w:p w14:paraId="65A9A2B4">
            <w:pPr>
              <w:spacing w:before="54" w:line="219" w:lineRule="auto"/>
              <w:ind w:left="626"/>
              <w:rPr>
                <w:rFonts w:ascii="宋体" w:hAnsi="宋体" w:eastAsia="宋体" w:cs="宋体"/>
                <w:sz w:val="21"/>
                <w:szCs w:val="21"/>
              </w:rPr>
            </w:pPr>
            <w:r>
              <w:rPr>
                <w:rFonts w:ascii="宋体" w:hAnsi="宋体" w:eastAsia="宋体" w:cs="宋体"/>
                <w:spacing w:val="-2"/>
                <w:sz w:val="21"/>
                <w:szCs w:val="21"/>
              </w:rPr>
              <w:t>干粪量</w:t>
            </w:r>
          </w:p>
          <w:p w14:paraId="08A1FEC7">
            <w:pPr>
              <w:pStyle w:val="6"/>
              <w:spacing w:before="62" w:line="220" w:lineRule="auto"/>
              <w:ind w:left="125"/>
              <w:rPr>
                <w:rFonts w:ascii="宋体" w:hAnsi="宋体" w:eastAsia="宋体" w:cs="宋体"/>
              </w:rPr>
            </w:pPr>
            <w:r>
              <w:rPr>
                <w:rFonts w:ascii="宋体" w:hAnsi="宋体" w:eastAsia="宋体" w:cs="宋体"/>
                <w:spacing w:val="-3"/>
              </w:rPr>
              <w:t>（</w:t>
            </w:r>
            <w:r>
              <w:rPr>
                <w:spacing w:val="-3"/>
              </w:rPr>
              <w:t>60%</w:t>
            </w:r>
            <w:r>
              <w:rPr>
                <w:rFonts w:ascii="宋体" w:hAnsi="宋体" w:eastAsia="宋体" w:cs="宋体"/>
                <w:spacing w:val="-3"/>
              </w:rPr>
              <w:t>的含水率）</w:t>
            </w:r>
          </w:p>
        </w:tc>
      </w:tr>
      <w:tr w14:paraId="5ACF7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2" w:type="dxa"/>
            <w:vMerge w:val="continue"/>
            <w:tcBorders>
              <w:top w:val="nil"/>
            </w:tcBorders>
            <w:vAlign w:val="top"/>
          </w:tcPr>
          <w:p w14:paraId="0C0D6F33">
            <w:pPr>
              <w:rPr>
                <w:rFonts w:ascii="Arial"/>
                <w:sz w:val="21"/>
              </w:rPr>
            </w:pPr>
          </w:p>
        </w:tc>
        <w:tc>
          <w:tcPr>
            <w:tcW w:w="1467" w:type="dxa"/>
            <w:vMerge w:val="continue"/>
            <w:tcBorders>
              <w:top w:val="nil"/>
            </w:tcBorders>
            <w:vAlign w:val="top"/>
          </w:tcPr>
          <w:p w14:paraId="6695416B">
            <w:pPr>
              <w:rPr>
                <w:rFonts w:ascii="Arial"/>
                <w:sz w:val="21"/>
              </w:rPr>
            </w:pPr>
          </w:p>
        </w:tc>
        <w:tc>
          <w:tcPr>
            <w:tcW w:w="1032" w:type="dxa"/>
            <w:vAlign w:val="top"/>
          </w:tcPr>
          <w:p w14:paraId="465A7864">
            <w:pPr>
              <w:pStyle w:val="6"/>
              <w:spacing w:before="99" w:line="192" w:lineRule="auto"/>
              <w:ind w:left="402"/>
            </w:pPr>
            <w:r>
              <w:rPr>
                <w:spacing w:val="-1"/>
              </w:rPr>
              <w:t>t/d</w:t>
            </w:r>
          </w:p>
        </w:tc>
        <w:tc>
          <w:tcPr>
            <w:tcW w:w="1034" w:type="dxa"/>
            <w:vAlign w:val="top"/>
          </w:tcPr>
          <w:p w14:paraId="740B03B7">
            <w:pPr>
              <w:pStyle w:val="6"/>
              <w:spacing w:before="99" w:line="192" w:lineRule="auto"/>
              <w:ind w:left="410"/>
            </w:pPr>
            <w:r>
              <w:rPr>
                <w:spacing w:val="-1"/>
              </w:rPr>
              <w:t>t/a</w:t>
            </w:r>
          </w:p>
        </w:tc>
        <w:tc>
          <w:tcPr>
            <w:tcW w:w="885" w:type="dxa"/>
            <w:vAlign w:val="top"/>
          </w:tcPr>
          <w:p w14:paraId="2024E4D4">
            <w:pPr>
              <w:pStyle w:val="6"/>
              <w:spacing w:before="99" w:line="192" w:lineRule="auto"/>
              <w:ind w:left="331"/>
            </w:pPr>
            <w:r>
              <w:rPr>
                <w:spacing w:val="-1"/>
              </w:rPr>
              <w:t>t/d</w:t>
            </w:r>
          </w:p>
        </w:tc>
        <w:tc>
          <w:tcPr>
            <w:tcW w:w="886" w:type="dxa"/>
            <w:vAlign w:val="top"/>
          </w:tcPr>
          <w:p w14:paraId="0B737784">
            <w:pPr>
              <w:pStyle w:val="6"/>
              <w:spacing w:before="99" w:line="192" w:lineRule="auto"/>
              <w:ind w:left="337"/>
            </w:pPr>
            <w:r>
              <w:rPr>
                <w:spacing w:val="-1"/>
              </w:rPr>
              <w:t>t/a</w:t>
            </w:r>
          </w:p>
        </w:tc>
        <w:tc>
          <w:tcPr>
            <w:tcW w:w="934" w:type="dxa"/>
            <w:vAlign w:val="top"/>
          </w:tcPr>
          <w:p w14:paraId="0B01A0E5">
            <w:pPr>
              <w:pStyle w:val="6"/>
              <w:spacing w:before="99" w:line="192" w:lineRule="auto"/>
              <w:ind w:left="357"/>
            </w:pPr>
            <w:r>
              <w:rPr>
                <w:spacing w:val="-1"/>
              </w:rPr>
              <w:t>t/d</w:t>
            </w:r>
          </w:p>
        </w:tc>
        <w:tc>
          <w:tcPr>
            <w:tcW w:w="940" w:type="dxa"/>
            <w:vAlign w:val="top"/>
          </w:tcPr>
          <w:p w14:paraId="786FDC0A">
            <w:pPr>
              <w:pStyle w:val="6"/>
              <w:spacing w:before="99" w:line="192" w:lineRule="auto"/>
              <w:ind w:left="364"/>
            </w:pPr>
            <w:r>
              <w:rPr>
                <w:spacing w:val="-1"/>
              </w:rPr>
              <w:t>t/a</w:t>
            </w:r>
          </w:p>
        </w:tc>
      </w:tr>
      <w:tr w14:paraId="22913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42" w:type="dxa"/>
            <w:vAlign w:val="top"/>
          </w:tcPr>
          <w:p w14:paraId="7C23DD68">
            <w:pPr>
              <w:pStyle w:val="6"/>
              <w:spacing w:before="104" w:line="188" w:lineRule="auto"/>
              <w:ind w:left="315"/>
            </w:pPr>
            <w:r>
              <w:rPr>
                <w:spacing w:val="-2"/>
              </w:rPr>
              <w:t>52819</w:t>
            </w:r>
          </w:p>
        </w:tc>
        <w:tc>
          <w:tcPr>
            <w:tcW w:w="1467" w:type="dxa"/>
            <w:vAlign w:val="top"/>
          </w:tcPr>
          <w:p w14:paraId="0DD2378D">
            <w:pPr>
              <w:pStyle w:val="6"/>
              <w:spacing w:before="104" w:line="188" w:lineRule="auto"/>
              <w:ind w:left="569"/>
            </w:pPr>
            <w:r>
              <w:rPr>
                <w:spacing w:val="-6"/>
              </w:rPr>
              <w:t>1.24</w:t>
            </w:r>
          </w:p>
        </w:tc>
        <w:tc>
          <w:tcPr>
            <w:tcW w:w="1032" w:type="dxa"/>
            <w:vAlign w:val="top"/>
          </w:tcPr>
          <w:p w14:paraId="4B2B73AD">
            <w:pPr>
              <w:pStyle w:val="6"/>
              <w:spacing w:before="104" w:line="188" w:lineRule="auto"/>
              <w:ind w:left="284"/>
            </w:pPr>
            <w:r>
              <w:rPr>
                <w:spacing w:val="-2"/>
              </w:rPr>
              <w:t>65.50</w:t>
            </w:r>
          </w:p>
        </w:tc>
        <w:tc>
          <w:tcPr>
            <w:tcW w:w="1034" w:type="dxa"/>
            <w:vAlign w:val="top"/>
          </w:tcPr>
          <w:p w14:paraId="7D66BD78">
            <w:pPr>
              <w:pStyle w:val="6"/>
              <w:spacing w:before="104" w:line="188" w:lineRule="auto"/>
              <w:ind w:left="176"/>
            </w:pPr>
            <w:r>
              <w:rPr>
                <w:spacing w:val="-1"/>
              </w:rPr>
              <w:t>23905.9</w:t>
            </w:r>
          </w:p>
        </w:tc>
        <w:tc>
          <w:tcPr>
            <w:tcW w:w="885" w:type="dxa"/>
            <w:vAlign w:val="top"/>
          </w:tcPr>
          <w:p w14:paraId="31D10E92">
            <w:pPr>
              <w:pStyle w:val="6"/>
              <w:spacing w:before="104" w:line="188" w:lineRule="auto"/>
              <w:ind w:left="213"/>
            </w:pPr>
            <w:r>
              <w:rPr>
                <w:spacing w:val="-2"/>
              </w:rPr>
              <w:t>32.75</w:t>
            </w:r>
          </w:p>
        </w:tc>
        <w:tc>
          <w:tcPr>
            <w:tcW w:w="886" w:type="dxa"/>
            <w:vAlign w:val="top"/>
          </w:tcPr>
          <w:p w14:paraId="17905BEB">
            <w:pPr>
              <w:pStyle w:val="6"/>
              <w:spacing w:before="104" w:line="188" w:lineRule="auto"/>
              <w:ind w:left="127"/>
            </w:pPr>
            <w:r>
              <w:rPr>
                <w:spacing w:val="-5"/>
              </w:rPr>
              <w:t>11952.9</w:t>
            </w:r>
          </w:p>
        </w:tc>
        <w:tc>
          <w:tcPr>
            <w:tcW w:w="934" w:type="dxa"/>
            <w:vAlign w:val="top"/>
          </w:tcPr>
          <w:p w14:paraId="10300502">
            <w:pPr>
              <w:pStyle w:val="6"/>
              <w:spacing w:before="104" w:line="188" w:lineRule="auto"/>
              <w:ind w:left="238"/>
            </w:pPr>
            <w:r>
              <w:rPr>
                <w:spacing w:val="-2"/>
              </w:rPr>
              <w:t>32.75</w:t>
            </w:r>
          </w:p>
        </w:tc>
        <w:tc>
          <w:tcPr>
            <w:tcW w:w="940" w:type="dxa"/>
            <w:vAlign w:val="top"/>
          </w:tcPr>
          <w:p w14:paraId="7D0434C4">
            <w:pPr>
              <w:pStyle w:val="6"/>
              <w:spacing w:before="104" w:line="188" w:lineRule="auto"/>
              <w:ind w:left="154"/>
            </w:pPr>
            <w:r>
              <w:rPr>
                <w:spacing w:val="-5"/>
              </w:rPr>
              <w:t>11952.9</w:t>
            </w:r>
          </w:p>
        </w:tc>
      </w:tr>
    </w:tbl>
    <w:p w14:paraId="5AD51989">
      <w:pPr>
        <w:spacing w:before="234" w:line="217" w:lineRule="auto"/>
        <w:ind w:left="517"/>
        <w:rPr>
          <w:rFonts w:ascii="宋体" w:hAnsi="宋体" w:eastAsia="宋体" w:cs="宋体"/>
          <w:sz w:val="24"/>
          <w:szCs w:val="24"/>
        </w:rPr>
      </w:pPr>
      <w:r>
        <w:rPr>
          <w:rFonts w:ascii="宋体" w:hAnsi="宋体" w:eastAsia="宋体" w:cs="宋体"/>
          <w:spacing w:val="-1"/>
          <w:sz w:val="24"/>
          <w:szCs w:val="24"/>
        </w:rPr>
        <w:t>③出栏猪舍清洗废水</w:t>
      </w:r>
    </w:p>
    <w:p w14:paraId="2CB3A055">
      <w:pPr>
        <w:spacing w:before="184" w:line="356" w:lineRule="auto"/>
        <w:ind w:left="58" w:right="51" w:firstLine="481"/>
        <w:rPr>
          <w:rFonts w:ascii="宋体" w:hAnsi="宋体" w:eastAsia="宋体" w:cs="宋体"/>
          <w:sz w:val="24"/>
          <w:szCs w:val="24"/>
        </w:rPr>
      </w:pPr>
      <w:r>
        <w:rPr>
          <w:rFonts w:ascii="宋体" w:hAnsi="宋体" w:eastAsia="宋体" w:cs="宋体"/>
          <w:spacing w:val="6"/>
          <w:sz w:val="24"/>
          <w:szCs w:val="24"/>
        </w:rPr>
        <w:t>出栏猪舍冲洗废水产生量按用水量的</w:t>
      </w:r>
      <w:r>
        <w:rPr>
          <w:rFonts w:ascii="Times New Roman" w:hAnsi="Times New Roman" w:eastAsia="Times New Roman" w:cs="Times New Roman"/>
          <w:spacing w:val="6"/>
          <w:sz w:val="24"/>
          <w:szCs w:val="24"/>
        </w:rPr>
        <w:t>85%</w:t>
      </w:r>
      <w:r>
        <w:rPr>
          <w:rFonts w:ascii="宋体" w:hAnsi="宋体" w:eastAsia="宋体" w:cs="宋体"/>
          <w:spacing w:val="6"/>
          <w:sz w:val="24"/>
          <w:szCs w:val="24"/>
        </w:rPr>
        <w:t>计，即</w:t>
      </w:r>
      <w:r>
        <w:rPr>
          <w:rFonts w:ascii="Times New Roman" w:hAnsi="Times New Roman" w:eastAsia="Times New Roman" w:cs="Times New Roman"/>
          <w:spacing w:val="6"/>
          <w:sz w:val="24"/>
          <w:szCs w:val="24"/>
        </w:rPr>
        <w:t>6.25t/d×0.85=5</w:t>
      </w:r>
      <w:r>
        <w:rPr>
          <w:rFonts w:ascii="Times New Roman" w:hAnsi="Times New Roman" w:eastAsia="Times New Roman" w:cs="Times New Roman"/>
          <w:spacing w:val="5"/>
          <w:sz w:val="24"/>
          <w:szCs w:val="24"/>
        </w:rPr>
        <w:t>.31t/d</w:t>
      </w:r>
      <w:r>
        <w:rPr>
          <w:rFonts w:ascii="宋体" w:hAnsi="宋体" w:eastAsia="宋体" w:cs="宋体"/>
          <w:spacing w:val="5"/>
          <w:sz w:val="24"/>
          <w:szCs w:val="24"/>
        </w:rPr>
        <w:t>，约</w:t>
      </w:r>
      <w:r>
        <w:rPr>
          <w:rFonts w:ascii="Times New Roman" w:hAnsi="Times New Roman" w:eastAsia="Times New Roman" w:cs="Times New Roman"/>
          <w:spacing w:val="-6"/>
          <w:sz w:val="24"/>
          <w:szCs w:val="24"/>
        </w:rPr>
        <w:t>1939.</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6"/>
          <w:sz w:val="24"/>
          <w:szCs w:val="24"/>
        </w:rPr>
        <w:t>1t/a</w:t>
      </w:r>
      <w:r>
        <w:rPr>
          <w:rFonts w:ascii="宋体" w:hAnsi="宋体" w:eastAsia="宋体" w:cs="宋体"/>
          <w:spacing w:val="-6"/>
          <w:sz w:val="24"/>
          <w:szCs w:val="24"/>
        </w:rPr>
        <w:t>。</w:t>
      </w:r>
    </w:p>
    <w:p w14:paraId="0C921652">
      <w:pPr>
        <w:spacing w:before="11" w:line="217" w:lineRule="auto"/>
        <w:ind w:left="517"/>
        <w:rPr>
          <w:rFonts w:ascii="宋体" w:hAnsi="宋体" w:eastAsia="宋体" w:cs="宋体"/>
          <w:sz w:val="24"/>
          <w:szCs w:val="24"/>
        </w:rPr>
      </w:pPr>
      <w:r>
        <w:rPr>
          <w:rFonts w:ascii="宋体" w:hAnsi="宋体" w:eastAsia="宋体" w:cs="宋体"/>
          <w:spacing w:val="-1"/>
          <w:sz w:val="24"/>
          <w:szCs w:val="24"/>
        </w:rPr>
        <w:t>④车辆洗消废水</w:t>
      </w:r>
    </w:p>
    <w:p w14:paraId="3DED4F65">
      <w:pPr>
        <w:spacing w:before="172" w:line="230" w:lineRule="auto"/>
        <w:ind w:left="521"/>
        <w:rPr>
          <w:rFonts w:ascii="宋体" w:hAnsi="宋体" w:eastAsia="宋体" w:cs="宋体"/>
          <w:sz w:val="24"/>
          <w:szCs w:val="24"/>
        </w:rPr>
      </w:pPr>
      <w:r>
        <w:rPr>
          <w:rFonts w:ascii="宋体" w:hAnsi="宋体" w:eastAsia="宋体" w:cs="宋体"/>
          <w:spacing w:val="-2"/>
          <w:sz w:val="24"/>
          <w:szCs w:val="24"/>
        </w:rPr>
        <w:t>车辆洗消废水产生量按用水量的</w:t>
      </w:r>
      <w:r>
        <w:rPr>
          <w:rFonts w:ascii="Times New Roman" w:hAnsi="Times New Roman" w:eastAsia="Times New Roman" w:cs="Times New Roman"/>
          <w:spacing w:val="-2"/>
          <w:sz w:val="24"/>
          <w:szCs w:val="24"/>
        </w:rPr>
        <w:t>85%</w:t>
      </w:r>
      <w:r>
        <w:rPr>
          <w:rFonts w:ascii="宋体" w:hAnsi="宋体" w:eastAsia="宋体" w:cs="宋体"/>
          <w:spacing w:val="-2"/>
          <w:sz w:val="24"/>
          <w:szCs w:val="24"/>
        </w:rPr>
        <w:t>计，即</w:t>
      </w:r>
      <w:r>
        <w:rPr>
          <w:rFonts w:ascii="Times New Roman" w:hAnsi="Times New Roman" w:eastAsia="Times New Roman" w:cs="Times New Roman"/>
          <w:spacing w:val="-2"/>
          <w:sz w:val="24"/>
          <w:szCs w:val="24"/>
        </w:rPr>
        <w:t>3.40m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r>
        <w:rPr>
          <w:rFonts w:ascii="Times New Roman" w:hAnsi="Times New Roman" w:eastAsia="Times New Roman" w:cs="Times New Roman"/>
          <w:spacing w:val="-2"/>
          <w:sz w:val="24"/>
          <w:szCs w:val="24"/>
        </w:rPr>
        <w:t>1241.</w:t>
      </w:r>
      <w:r>
        <w:rPr>
          <w:rFonts w:ascii="Times New Roman" w:hAnsi="Times New Roman" w:eastAsia="Times New Roman" w:cs="Times New Roman"/>
          <w:spacing w:val="-3"/>
          <w:sz w:val="24"/>
          <w:szCs w:val="24"/>
        </w:rPr>
        <w:t>0m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p>
    <w:p w14:paraId="4C067EEE">
      <w:pPr>
        <w:spacing w:before="183" w:line="217" w:lineRule="auto"/>
        <w:ind w:left="517"/>
        <w:rPr>
          <w:rFonts w:ascii="宋体" w:hAnsi="宋体" w:eastAsia="宋体" w:cs="宋体"/>
          <w:sz w:val="24"/>
          <w:szCs w:val="24"/>
        </w:rPr>
      </w:pPr>
      <w:r>
        <w:rPr>
          <w:rFonts w:ascii="宋体" w:hAnsi="宋体" w:eastAsia="宋体" w:cs="宋体"/>
          <w:spacing w:val="-1"/>
          <w:sz w:val="24"/>
          <w:szCs w:val="24"/>
        </w:rPr>
        <w:t>⑤猪具清洗废水</w:t>
      </w:r>
    </w:p>
    <w:p w14:paraId="10DEBE16">
      <w:pPr>
        <w:spacing w:before="172" w:line="230" w:lineRule="auto"/>
        <w:ind w:left="519"/>
        <w:rPr>
          <w:rFonts w:ascii="宋体" w:hAnsi="宋体" w:eastAsia="宋体" w:cs="宋体"/>
          <w:sz w:val="24"/>
          <w:szCs w:val="24"/>
        </w:rPr>
      </w:pPr>
      <w:r>
        <w:rPr>
          <w:rFonts w:ascii="宋体" w:hAnsi="宋体" w:eastAsia="宋体" w:cs="宋体"/>
          <w:spacing w:val="-2"/>
          <w:sz w:val="24"/>
          <w:szCs w:val="24"/>
        </w:rPr>
        <w:t>猪具清洗废水产生量按用水量的</w:t>
      </w:r>
      <w:r>
        <w:rPr>
          <w:rFonts w:ascii="Times New Roman" w:hAnsi="Times New Roman" w:eastAsia="Times New Roman" w:cs="Times New Roman"/>
          <w:spacing w:val="-2"/>
          <w:sz w:val="24"/>
          <w:szCs w:val="24"/>
        </w:rPr>
        <w:t>85%</w:t>
      </w:r>
      <w:r>
        <w:rPr>
          <w:rFonts w:ascii="宋体" w:hAnsi="宋体" w:eastAsia="宋体" w:cs="宋体"/>
          <w:spacing w:val="-2"/>
          <w:sz w:val="24"/>
          <w:szCs w:val="24"/>
        </w:rPr>
        <w:t>计，即</w:t>
      </w:r>
      <w:r>
        <w:rPr>
          <w:rFonts w:ascii="Times New Roman" w:hAnsi="Times New Roman" w:eastAsia="Times New Roman" w:cs="Times New Roman"/>
          <w:spacing w:val="-2"/>
          <w:sz w:val="24"/>
          <w:szCs w:val="24"/>
        </w:rPr>
        <w:t>4.25m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r>
        <w:rPr>
          <w:rFonts w:ascii="Times New Roman" w:hAnsi="Times New Roman" w:eastAsia="Times New Roman" w:cs="Times New Roman"/>
          <w:spacing w:val="-2"/>
          <w:sz w:val="24"/>
          <w:szCs w:val="24"/>
        </w:rPr>
        <w:t>1551.3m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p>
    <w:p w14:paraId="4B622D40">
      <w:pPr>
        <w:spacing w:before="183" w:line="217" w:lineRule="auto"/>
        <w:ind w:left="517"/>
        <w:rPr>
          <w:rFonts w:ascii="宋体" w:hAnsi="宋体" w:eastAsia="宋体" w:cs="宋体"/>
          <w:sz w:val="24"/>
          <w:szCs w:val="24"/>
        </w:rPr>
      </w:pPr>
      <w:r>
        <w:rPr>
          <w:rFonts w:ascii="宋体" w:hAnsi="宋体" w:eastAsia="宋体" w:cs="宋体"/>
          <w:spacing w:val="-1"/>
          <w:sz w:val="24"/>
          <w:szCs w:val="24"/>
        </w:rPr>
        <w:t>⑥生物喷雾除臭系统废水</w:t>
      </w:r>
    </w:p>
    <w:p w14:paraId="1DA1B6AE">
      <w:pPr>
        <w:spacing w:before="172" w:line="230" w:lineRule="auto"/>
        <w:ind w:left="521"/>
        <w:rPr>
          <w:rFonts w:ascii="宋体" w:hAnsi="宋体" w:eastAsia="宋体" w:cs="宋体"/>
          <w:sz w:val="24"/>
          <w:szCs w:val="24"/>
        </w:rPr>
      </w:pPr>
      <w:r>
        <w:rPr>
          <w:rFonts w:ascii="宋体" w:hAnsi="宋体" w:eastAsia="宋体" w:cs="宋体"/>
          <w:spacing w:val="-2"/>
          <w:sz w:val="24"/>
          <w:szCs w:val="24"/>
        </w:rPr>
        <w:t>生物喷雾除臭系统每</w:t>
      </w:r>
      <w:r>
        <w:rPr>
          <w:rFonts w:ascii="Times New Roman" w:hAnsi="Times New Roman" w:eastAsia="Times New Roman" w:cs="Times New Roman"/>
          <w:spacing w:val="-2"/>
          <w:sz w:val="24"/>
          <w:szCs w:val="24"/>
        </w:rPr>
        <w:t>10d</w:t>
      </w:r>
      <w:r>
        <w:rPr>
          <w:rFonts w:ascii="宋体" w:hAnsi="宋体" w:eastAsia="宋体" w:cs="宋体"/>
          <w:spacing w:val="-2"/>
          <w:sz w:val="24"/>
          <w:szCs w:val="24"/>
        </w:rPr>
        <w:t>排一次，即</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8m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w:t>
      </w:r>
      <w:r>
        <w:rPr>
          <w:rFonts w:ascii="Times New Roman" w:hAnsi="Times New Roman" w:eastAsia="Times New Roman" w:cs="Times New Roman"/>
          <w:spacing w:val="-3"/>
          <w:sz w:val="24"/>
          <w:szCs w:val="24"/>
        </w:rPr>
        <w:t>657.0m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p>
    <w:p w14:paraId="3722DF9E">
      <w:pPr>
        <w:spacing w:before="182"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）生活污水产生量</w:t>
      </w:r>
    </w:p>
    <w:p w14:paraId="656CF0F0">
      <w:pPr>
        <w:spacing w:before="169" w:line="229" w:lineRule="auto"/>
        <w:ind w:left="520"/>
        <w:rPr>
          <w:rFonts w:ascii="宋体" w:hAnsi="宋体" w:eastAsia="宋体" w:cs="宋体"/>
          <w:sz w:val="24"/>
          <w:szCs w:val="24"/>
        </w:rPr>
      </w:pPr>
      <w:r>
        <w:rPr>
          <w:rFonts w:ascii="宋体" w:hAnsi="宋体" w:eastAsia="宋体" w:cs="宋体"/>
          <w:spacing w:val="-3"/>
          <w:sz w:val="24"/>
          <w:szCs w:val="24"/>
        </w:rPr>
        <w:t>本项目生活污水产生量为</w:t>
      </w:r>
      <w:r>
        <w:rPr>
          <w:rFonts w:ascii="Times New Roman" w:hAnsi="Times New Roman" w:eastAsia="Times New Roman" w:cs="Times New Roman"/>
          <w:spacing w:val="-3"/>
          <w:sz w:val="24"/>
          <w:szCs w:val="24"/>
        </w:rPr>
        <w:t>6.63m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w:t>
      </w:r>
      <w:r>
        <w:rPr>
          <w:rFonts w:ascii="Times New Roman" w:hAnsi="Times New Roman" w:eastAsia="Times New Roman" w:cs="Times New Roman"/>
          <w:spacing w:val="-3"/>
          <w:sz w:val="24"/>
          <w:szCs w:val="24"/>
        </w:rPr>
        <w:t>2420.0m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p>
    <w:p w14:paraId="193348E4">
      <w:pPr>
        <w:spacing w:before="241" w:line="226" w:lineRule="auto"/>
        <w:ind w:left="36"/>
        <w:rPr>
          <w:rFonts w:ascii="宋体" w:hAnsi="宋体" w:eastAsia="宋体" w:cs="宋体"/>
          <w:sz w:val="27"/>
          <w:szCs w:val="27"/>
        </w:rPr>
      </w:pPr>
      <w:r>
        <w:rPr>
          <w:rFonts w:ascii="Times New Roman" w:hAnsi="Times New Roman" w:eastAsia="Times New Roman" w:cs="Times New Roman"/>
          <w:b/>
          <w:bCs/>
          <w:spacing w:val="2"/>
          <w:sz w:val="27"/>
          <w:szCs w:val="27"/>
        </w:rPr>
        <w:t>2.2.3.3</w:t>
      </w:r>
      <w:r>
        <w:rPr>
          <w:rFonts w:ascii="Times New Roman" w:hAnsi="Times New Roman" w:eastAsia="Times New Roman" w:cs="Times New Roman"/>
          <w:b/>
          <w:bCs/>
          <w:spacing w:val="25"/>
          <w:sz w:val="27"/>
          <w:szCs w:val="27"/>
        </w:rPr>
        <w:t xml:space="preserve"> </w:t>
      </w:r>
      <w:r>
        <w:rPr>
          <w:rFonts w:ascii="宋体" w:hAnsi="宋体" w:eastAsia="宋体" w:cs="宋体"/>
          <w:b/>
          <w:bCs/>
          <w:spacing w:val="2"/>
          <w:sz w:val="27"/>
          <w:szCs w:val="27"/>
        </w:rPr>
        <w:t>水平衡</w:t>
      </w:r>
    </w:p>
    <w:p w14:paraId="78F05209">
      <w:pPr>
        <w:spacing w:before="237" w:line="362" w:lineRule="auto"/>
        <w:ind w:left="43" w:right="30" w:firstLine="477"/>
        <w:rPr>
          <w:rFonts w:ascii="宋体" w:hAnsi="宋体" w:eastAsia="宋体" w:cs="宋体"/>
          <w:sz w:val="24"/>
          <w:szCs w:val="24"/>
        </w:rPr>
      </w:pPr>
      <w:r>
        <w:rPr>
          <w:rFonts w:ascii="宋体" w:hAnsi="宋体" w:eastAsia="宋体" w:cs="宋体"/>
          <w:spacing w:val="-3"/>
          <w:sz w:val="24"/>
          <w:szCs w:val="24"/>
        </w:rPr>
        <w:t>本项目用水及废水产生情况见表</w:t>
      </w:r>
      <w:r>
        <w:rPr>
          <w:rFonts w:ascii="Times New Roman" w:hAnsi="Times New Roman" w:eastAsia="Times New Roman" w:cs="Times New Roman"/>
          <w:spacing w:val="-3"/>
          <w:sz w:val="24"/>
          <w:szCs w:val="24"/>
        </w:rPr>
        <w:t>2.2-8</w:t>
      </w:r>
      <w:r>
        <w:rPr>
          <w:rFonts w:ascii="宋体" w:hAnsi="宋体" w:eastAsia="宋体" w:cs="宋体"/>
          <w:spacing w:val="-4"/>
          <w:sz w:val="24"/>
          <w:szCs w:val="24"/>
        </w:rPr>
        <w:t>，本项目夏季及其他季节水平衡图分别</w:t>
      </w:r>
      <w:r>
        <w:rPr>
          <w:rFonts w:ascii="宋体" w:hAnsi="宋体" w:eastAsia="宋体" w:cs="宋体"/>
          <w:spacing w:val="-1"/>
          <w:sz w:val="24"/>
          <w:szCs w:val="24"/>
        </w:rPr>
        <w:t>见图</w:t>
      </w:r>
      <w:r>
        <w:rPr>
          <w:rFonts w:ascii="Times New Roman" w:hAnsi="Times New Roman" w:eastAsia="Times New Roman" w:cs="Times New Roman"/>
          <w:spacing w:val="-1"/>
          <w:sz w:val="24"/>
          <w:szCs w:val="24"/>
        </w:rPr>
        <w:t>2.2-8</w:t>
      </w:r>
      <w:r>
        <w:rPr>
          <w:rFonts w:ascii="宋体" w:hAnsi="宋体" w:eastAsia="宋体" w:cs="宋体"/>
          <w:spacing w:val="-1"/>
          <w:sz w:val="24"/>
          <w:szCs w:val="24"/>
        </w:rPr>
        <w:t>、图</w:t>
      </w:r>
      <w:r>
        <w:rPr>
          <w:rFonts w:ascii="Times New Roman" w:hAnsi="Times New Roman" w:eastAsia="Times New Roman" w:cs="Times New Roman"/>
          <w:spacing w:val="-1"/>
          <w:sz w:val="24"/>
          <w:szCs w:val="24"/>
        </w:rPr>
        <w:t>2.2-9</w:t>
      </w:r>
      <w:r>
        <w:rPr>
          <w:rFonts w:ascii="宋体" w:hAnsi="宋体" w:eastAsia="宋体" w:cs="宋体"/>
          <w:spacing w:val="-1"/>
          <w:sz w:val="24"/>
          <w:szCs w:val="24"/>
        </w:rPr>
        <w:t>。</w:t>
      </w:r>
    </w:p>
    <w:p w14:paraId="2B977491">
      <w:pPr>
        <w:spacing w:before="8" w:line="222" w:lineRule="auto"/>
        <w:ind w:left="245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2.2-8  </w:t>
      </w:r>
      <w:r>
        <w:rPr>
          <w:rFonts w:ascii="黑体" w:hAnsi="黑体" w:eastAsia="黑体" w:cs="黑体"/>
          <w:spacing w:val="-1"/>
          <w:sz w:val="21"/>
          <w:szCs w:val="21"/>
        </w:rPr>
        <w:t>项目用水、废水产生量一览表</w:t>
      </w:r>
    </w:p>
    <w:p w14:paraId="1A5AD348">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0"/>
        <w:gridCol w:w="1133"/>
        <w:gridCol w:w="1133"/>
        <w:gridCol w:w="1121"/>
        <w:gridCol w:w="1093"/>
        <w:gridCol w:w="1093"/>
        <w:gridCol w:w="1037"/>
      </w:tblGrid>
      <w:tr w14:paraId="365AC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10" w:type="dxa"/>
            <w:vMerge w:val="restart"/>
            <w:tcBorders>
              <w:bottom w:val="nil"/>
            </w:tcBorders>
            <w:vAlign w:val="top"/>
          </w:tcPr>
          <w:p w14:paraId="5DFA4EB6">
            <w:pPr>
              <w:spacing w:before="243" w:line="220" w:lineRule="auto"/>
              <w:ind w:left="441"/>
              <w:rPr>
                <w:rFonts w:ascii="宋体" w:hAnsi="宋体" w:eastAsia="宋体" w:cs="宋体"/>
                <w:sz w:val="21"/>
                <w:szCs w:val="21"/>
              </w:rPr>
            </w:pPr>
            <w:r>
              <w:rPr>
                <w:rFonts w:ascii="宋体" w:hAnsi="宋体" w:eastAsia="宋体" w:cs="宋体"/>
                <w:spacing w:val="-2"/>
                <w:sz w:val="21"/>
                <w:szCs w:val="21"/>
              </w:rPr>
              <w:t>用水项目</w:t>
            </w:r>
          </w:p>
        </w:tc>
        <w:tc>
          <w:tcPr>
            <w:tcW w:w="2266" w:type="dxa"/>
            <w:gridSpan w:val="2"/>
            <w:vAlign w:val="top"/>
          </w:tcPr>
          <w:p w14:paraId="2071F494">
            <w:pPr>
              <w:spacing w:before="68" w:line="220" w:lineRule="auto"/>
              <w:ind w:left="819"/>
              <w:rPr>
                <w:rFonts w:ascii="宋体" w:hAnsi="宋体" w:eastAsia="宋体" w:cs="宋体"/>
                <w:sz w:val="21"/>
                <w:szCs w:val="21"/>
              </w:rPr>
            </w:pPr>
            <w:r>
              <w:rPr>
                <w:rFonts w:ascii="宋体" w:hAnsi="宋体" w:eastAsia="宋体" w:cs="宋体"/>
                <w:spacing w:val="-3"/>
                <w:sz w:val="21"/>
                <w:szCs w:val="21"/>
              </w:rPr>
              <w:t>用水量</w:t>
            </w:r>
          </w:p>
        </w:tc>
        <w:tc>
          <w:tcPr>
            <w:tcW w:w="2214" w:type="dxa"/>
            <w:gridSpan w:val="2"/>
            <w:vAlign w:val="top"/>
          </w:tcPr>
          <w:p w14:paraId="70F31C93">
            <w:pPr>
              <w:spacing w:before="68" w:line="220" w:lineRule="auto"/>
              <w:ind w:left="687"/>
              <w:rPr>
                <w:rFonts w:ascii="宋体" w:hAnsi="宋体" w:eastAsia="宋体" w:cs="宋体"/>
                <w:sz w:val="21"/>
                <w:szCs w:val="21"/>
              </w:rPr>
            </w:pPr>
            <w:r>
              <w:rPr>
                <w:rFonts w:ascii="宋体" w:hAnsi="宋体" w:eastAsia="宋体" w:cs="宋体"/>
                <w:spacing w:val="-2"/>
                <w:sz w:val="21"/>
                <w:szCs w:val="21"/>
              </w:rPr>
              <w:t>循环水量</w:t>
            </w:r>
          </w:p>
        </w:tc>
        <w:tc>
          <w:tcPr>
            <w:tcW w:w="2130" w:type="dxa"/>
            <w:gridSpan w:val="2"/>
            <w:vAlign w:val="top"/>
          </w:tcPr>
          <w:p w14:paraId="5F2D3BEA">
            <w:pPr>
              <w:spacing w:before="68" w:line="221" w:lineRule="auto"/>
              <w:ind w:left="750"/>
              <w:rPr>
                <w:rFonts w:ascii="宋体" w:hAnsi="宋体" w:eastAsia="宋体" w:cs="宋体"/>
                <w:sz w:val="21"/>
                <w:szCs w:val="21"/>
              </w:rPr>
            </w:pPr>
            <w:r>
              <w:rPr>
                <w:rFonts w:ascii="宋体" w:hAnsi="宋体" w:eastAsia="宋体" w:cs="宋体"/>
                <w:spacing w:val="-2"/>
                <w:sz w:val="21"/>
                <w:szCs w:val="21"/>
              </w:rPr>
              <w:t>排放量</w:t>
            </w:r>
          </w:p>
        </w:tc>
      </w:tr>
      <w:tr w14:paraId="3CBAD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continue"/>
            <w:tcBorders>
              <w:top w:val="nil"/>
            </w:tcBorders>
            <w:vAlign w:val="top"/>
          </w:tcPr>
          <w:p w14:paraId="1C5044BD">
            <w:pPr>
              <w:rPr>
                <w:rFonts w:ascii="Arial"/>
                <w:sz w:val="21"/>
              </w:rPr>
            </w:pPr>
          </w:p>
        </w:tc>
        <w:tc>
          <w:tcPr>
            <w:tcW w:w="1133" w:type="dxa"/>
            <w:vAlign w:val="top"/>
          </w:tcPr>
          <w:p w14:paraId="0C14894D">
            <w:pPr>
              <w:pStyle w:val="6"/>
              <w:spacing w:before="49" w:line="218" w:lineRule="auto"/>
              <w:ind w:left="186"/>
            </w:pPr>
            <w:r>
              <w:rPr>
                <w:spacing w:val="-1"/>
              </w:rPr>
              <w:t>m</w:t>
            </w:r>
            <w:r>
              <w:rPr>
                <w:spacing w:val="-1"/>
                <w:position w:val="9"/>
                <w:sz w:val="14"/>
                <w:szCs w:val="14"/>
              </w:rPr>
              <w:t>3</w:t>
            </w:r>
            <w:r>
              <w:rPr>
                <w:spacing w:val="-1"/>
              </w:rPr>
              <w:t>/d(</w:t>
            </w:r>
            <w:r>
              <w:rPr>
                <w:rFonts w:ascii="宋体" w:hAnsi="宋体" w:eastAsia="宋体" w:cs="宋体"/>
                <w:spacing w:val="-1"/>
              </w:rPr>
              <w:t>次</w:t>
            </w:r>
            <w:r>
              <w:rPr>
                <w:spacing w:val="-1"/>
              </w:rPr>
              <w:t>)</w:t>
            </w:r>
          </w:p>
        </w:tc>
        <w:tc>
          <w:tcPr>
            <w:tcW w:w="1133" w:type="dxa"/>
            <w:vAlign w:val="top"/>
          </w:tcPr>
          <w:p w14:paraId="0596919A">
            <w:pPr>
              <w:pStyle w:val="6"/>
              <w:spacing w:before="50" w:line="215" w:lineRule="auto"/>
              <w:ind w:left="368"/>
            </w:pPr>
            <w:r>
              <w:rPr>
                <w:spacing w:val="-1"/>
                <w:position w:val="-1"/>
              </w:rPr>
              <w:t>m</w:t>
            </w:r>
            <w:r>
              <w:rPr>
                <w:spacing w:val="-1"/>
                <w:position w:val="8"/>
                <w:sz w:val="14"/>
                <w:szCs w:val="14"/>
              </w:rPr>
              <w:t>3</w:t>
            </w:r>
            <w:r>
              <w:rPr>
                <w:spacing w:val="-1"/>
                <w:position w:val="-1"/>
              </w:rPr>
              <w:t>/a</w:t>
            </w:r>
          </w:p>
        </w:tc>
        <w:tc>
          <w:tcPr>
            <w:tcW w:w="1121" w:type="dxa"/>
            <w:vAlign w:val="top"/>
          </w:tcPr>
          <w:p w14:paraId="6AD25513">
            <w:pPr>
              <w:pStyle w:val="6"/>
              <w:spacing w:before="49" w:line="218" w:lineRule="auto"/>
              <w:ind w:left="181"/>
            </w:pPr>
            <w:r>
              <w:rPr>
                <w:spacing w:val="-1"/>
              </w:rPr>
              <w:t>m</w:t>
            </w:r>
            <w:r>
              <w:rPr>
                <w:spacing w:val="-1"/>
                <w:position w:val="9"/>
                <w:sz w:val="14"/>
                <w:szCs w:val="14"/>
              </w:rPr>
              <w:t>3</w:t>
            </w:r>
            <w:r>
              <w:rPr>
                <w:spacing w:val="-1"/>
              </w:rPr>
              <w:t>/d(</w:t>
            </w:r>
            <w:r>
              <w:rPr>
                <w:rFonts w:ascii="宋体" w:hAnsi="宋体" w:eastAsia="宋体" w:cs="宋体"/>
                <w:spacing w:val="-1"/>
              </w:rPr>
              <w:t>次</w:t>
            </w:r>
            <w:r>
              <w:rPr>
                <w:spacing w:val="-1"/>
              </w:rPr>
              <w:t>)</w:t>
            </w:r>
          </w:p>
        </w:tc>
        <w:tc>
          <w:tcPr>
            <w:tcW w:w="1093" w:type="dxa"/>
            <w:vAlign w:val="top"/>
          </w:tcPr>
          <w:p w14:paraId="1E79B27A">
            <w:pPr>
              <w:pStyle w:val="6"/>
              <w:spacing w:before="50" w:line="215" w:lineRule="auto"/>
              <w:ind w:left="348"/>
            </w:pPr>
            <w:r>
              <w:rPr>
                <w:spacing w:val="-1"/>
                <w:position w:val="-1"/>
              </w:rPr>
              <w:t>m</w:t>
            </w:r>
            <w:r>
              <w:rPr>
                <w:spacing w:val="-1"/>
                <w:position w:val="8"/>
                <w:sz w:val="14"/>
                <w:szCs w:val="14"/>
              </w:rPr>
              <w:t>3</w:t>
            </w:r>
            <w:r>
              <w:rPr>
                <w:spacing w:val="-1"/>
                <w:position w:val="-1"/>
              </w:rPr>
              <w:t>/a</w:t>
            </w:r>
          </w:p>
        </w:tc>
        <w:tc>
          <w:tcPr>
            <w:tcW w:w="1093" w:type="dxa"/>
            <w:vAlign w:val="top"/>
          </w:tcPr>
          <w:p w14:paraId="549C907D">
            <w:pPr>
              <w:pStyle w:val="6"/>
              <w:spacing w:before="49" w:line="218" w:lineRule="auto"/>
              <w:ind w:left="169"/>
            </w:pPr>
            <w:r>
              <w:rPr>
                <w:spacing w:val="-1"/>
              </w:rPr>
              <w:t>m</w:t>
            </w:r>
            <w:r>
              <w:rPr>
                <w:spacing w:val="-1"/>
                <w:position w:val="9"/>
                <w:sz w:val="14"/>
                <w:szCs w:val="14"/>
              </w:rPr>
              <w:t>3</w:t>
            </w:r>
            <w:r>
              <w:rPr>
                <w:spacing w:val="-1"/>
              </w:rPr>
              <w:t>/d(</w:t>
            </w:r>
            <w:r>
              <w:rPr>
                <w:rFonts w:ascii="宋体" w:hAnsi="宋体" w:eastAsia="宋体" w:cs="宋体"/>
                <w:spacing w:val="-1"/>
              </w:rPr>
              <w:t>次</w:t>
            </w:r>
            <w:r>
              <w:rPr>
                <w:spacing w:val="-1"/>
              </w:rPr>
              <w:t>)</w:t>
            </w:r>
          </w:p>
        </w:tc>
        <w:tc>
          <w:tcPr>
            <w:tcW w:w="1037" w:type="dxa"/>
            <w:vAlign w:val="top"/>
          </w:tcPr>
          <w:p w14:paraId="6D21B4B5">
            <w:pPr>
              <w:pStyle w:val="6"/>
              <w:spacing w:before="50" w:line="215" w:lineRule="auto"/>
              <w:ind w:left="319"/>
            </w:pPr>
            <w:r>
              <w:rPr>
                <w:spacing w:val="-1"/>
                <w:position w:val="-1"/>
              </w:rPr>
              <w:t>m</w:t>
            </w:r>
            <w:r>
              <w:rPr>
                <w:spacing w:val="-1"/>
                <w:position w:val="8"/>
                <w:sz w:val="14"/>
                <w:szCs w:val="14"/>
              </w:rPr>
              <w:t>3</w:t>
            </w:r>
            <w:r>
              <w:rPr>
                <w:spacing w:val="-1"/>
                <w:position w:val="-1"/>
              </w:rPr>
              <w:t>/a</w:t>
            </w:r>
          </w:p>
        </w:tc>
      </w:tr>
      <w:tr w14:paraId="22CB4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Align w:val="top"/>
          </w:tcPr>
          <w:p w14:paraId="385C9D5B">
            <w:pPr>
              <w:spacing w:before="65" w:line="220" w:lineRule="auto"/>
              <w:ind w:left="441"/>
              <w:rPr>
                <w:rFonts w:ascii="宋体" w:hAnsi="宋体" w:eastAsia="宋体" w:cs="宋体"/>
                <w:sz w:val="21"/>
                <w:szCs w:val="21"/>
              </w:rPr>
            </w:pPr>
            <w:r>
              <w:rPr>
                <w:rFonts w:ascii="宋体" w:hAnsi="宋体" w:eastAsia="宋体" w:cs="宋体"/>
                <w:spacing w:val="-2"/>
                <w:sz w:val="21"/>
                <w:szCs w:val="21"/>
              </w:rPr>
              <w:t>生活用水</w:t>
            </w:r>
          </w:p>
        </w:tc>
        <w:tc>
          <w:tcPr>
            <w:tcW w:w="1133" w:type="dxa"/>
            <w:vAlign w:val="top"/>
          </w:tcPr>
          <w:p w14:paraId="6CD64B0E">
            <w:pPr>
              <w:pStyle w:val="6"/>
              <w:spacing w:before="102" w:line="188" w:lineRule="auto"/>
              <w:ind w:left="434"/>
            </w:pPr>
            <w:r>
              <w:rPr>
                <w:spacing w:val="-3"/>
              </w:rPr>
              <w:t>7.8</w:t>
            </w:r>
          </w:p>
        </w:tc>
        <w:tc>
          <w:tcPr>
            <w:tcW w:w="1133" w:type="dxa"/>
            <w:vAlign w:val="top"/>
          </w:tcPr>
          <w:p w14:paraId="3FF1BC81">
            <w:pPr>
              <w:pStyle w:val="6"/>
              <w:spacing w:before="102" w:line="188" w:lineRule="auto"/>
              <w:ind w:left="352"/>
            </w:pPr>
            <w:r>
              <w:rPr>
                <w:spacing w:val="-1"/>
              </w:rPr>
              <w:t>2847</w:t>
            </w:r>
          </w:p>
        </w:tc>
        <w:tc>
          <w:tcPr>
            <w:tcW w:w="1121" w:type="dxa"/>
            <w:vAlign w:val="top"/>
          </w:tcPr>
          <w:p w14:paraId="13C649E2">
            <w:pPr>
              <w:pStyle w:val="6"/>
              <w:spacing w:before="102" w:line="188" w:lineRule="auto"/>
              <w:ind w:left="507"/>
            </w:pPr>
            <w:r>
              <w:t>0</w:t>
            </w:r>
          </w:p>
        </w:tc>
        <w:tc>
          <w:tcPr>
            <w:tcW w:w="1093" w:type="dxa"/>
            <w:vAlign w:val="top"/>
          </w:tcPr>
          <w:p w14:paraId="3117168C">
            <w:pPr>
              <w:pStyle w:val="6"/>
              <w:spacing w:before="102" w:line="188" w:lineRule="auto"/>
              <w:ind w:left="494"/>
            </w:pPr>
            <w:r>
              <w:t>0</w:t>
            </w:r>
          </w:p>
        </w:tc>
        <w:tc>
          <w:tcPr>
            <w:tcW w:w="1093" w:type="dxa"/>
            <w:vAlign w:val="top"/>
          </w:tcPr>
          <w:p w14:paraId="484B7A3F">
            <w:pPr>
              <w:pStyle w:val="6"/>
              <w:spacing w:before="102" w:line="188" w:lineRule="auto"/>
              <w:ind w:left="365"/>
            </w:pPr>
            <w:r>
              <w:rPr>
                <w:spacing w:val="-3"/>
              </w:rPr>
              <w:t>6.63</w:t>
            </w:r>
          </w:p>
        </w:tc>
        <w:tc>
          <w:tcPr>
            <w:tcW w:w="1037" w:type="dxa"/>
            <w:vAlign w:val="top"/>
          </w:tcPr>
          <w:p w14:paraId="778EFE11">
            <w:pPr>
              <w:pStyle w:val="6"/>
              <w:spacing w:before="102" w:line="188" w:lineRule="auto"/>
              <w:ind w:left="225"/>
            </w:pPr>
            <w:r>
              <w:rPr>
                <w:spacing w:val="-1"/>
              </w:rPr>
              <w:t>2420.0</w:t>
            </w:r>
          </w:p>
        </w:tc>
      </w:tr>
      <w:tr w14:paraId="588D1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35153635">
            <w:pPr>
              <w:spacing w:before="240" w:line="220" w:lineRule="auto"/>
              <w:ind w:left="439"/>
              <w:rPr>
                <w:rFonts w:ascii="宋体" w:hAnsi="宋体" w:eastAsia="宋体" w:cs="宋体"/>
                <w:sz w:val="21"/>
                <w:szCs w:val="21"/>
              </w:rPr>
            </w:pPr>
            <w:r>
              <w:rPr>
                <w:rFonts w:ascii="宋体" w:hAnsi="宋体" w:eastAsia="宋体" w:cs="宋体"/>
                <w:spacing w:val="-2"/>
                <w:sz w:val="21"/>
                <w:szCs w:val="21"/>
              </w:rPr>
              <w:t>猪饮用水</w:t>
            </w:r>
          </w:p>
        </w:tc>
        <w:tc>
          <w:tcPr>
            <w:tcW w:w="1133" w:type="dxa"/>
            <w:vAlign w:val="top"/>
          </w:tcPr>
          <w:p w14:paraId="31768841">
            <w:pPr>
              <w:pStyle w:val="6"/>
              <w:spacing w:before="102" w:line="188" w:lineRule="auto"/>
              <w:ind w:left="278"/>
            </w:pPr>
            <w:r>
              <w:rPr>
                <w:spacing w:val="-2"/>
              </w:rPr>
              <w:t>540.00</w:t>
            </w:r>
          </w:p>
        </w:tc>
        <w:tc>
          <w:tcPr>
            <w:tcW w:w="1133" w:type="dxa"/>
            <w:vMerge w:val="restart"/>
            <w:tcBorders>
              <w:bottom w:val="nil"/>
            </w:tcBorders>
            <w:vAlign w:val="top"/>
          </w:tcPr>
          <w:p w14:paraId="079414AD">
            <w:pPr>
              <w:pStyle w:val="6"/>
              <w:spacing w:before="277" w:line="188" w:lineRule="auto"/>
              <w:ind w:left="194"/>
            </w:pPr>
            <w:r>
              <w:rPr>
                <w:spacing w:val="-3"/>
              </w:rPr>
              <w:t>174295.4</w:t>
            </w:r>
          </w:p>
        </w:tc>
        <w:tc>
          <w:tcPr>
            <w:tcW w:w="1121" w:type="dxa"/>
            <w:vMerge w:val="restart"/>
            <w:tcBorders>
              <w:bottom w:val="nil"/>
            </w:tcBorders>
            <w:vAlign w:val="top"/>
          </w:tcPr>
          <w:p w14:paraId="2240441A">
            <w:pPr>
              <w:pStyle w:val="6"/>
              <w:spacing w:before="277" w:line="188" w:lineRule="auto"/>
              <w:ind w:left="514"/>
            </w:pPr>
            <w:r>
              <w:t>0</w:t>
            </w:r>
          </w:p>
        </w:tc>
        <w:tc>
          <w:tcPr>
            <w:tcW w:w="1093" w:type="dxa"/>
            <w:vMerge w:val="restart"/>
            <w:tcBorders>
              <w:bottom w:val="nil"/>
            </w:tcBorders>
            <w:vAlign w:val="top"/>
          </w:tcPr>
          <w:p w14:paraId="48524F4B">
            <w:pPr>
              <w:pStyle w:val="6"/>
              <w:spacing w:before="277" w:line="188" w:lineRule="auto"/>
              <w:ind w:left="501"/>
            </w:pPr>
            <w:r>
              <w:t>0</w:t>
            </w:r>
          </w:p>
        </w:tc>
        <w:tc>
          <w:tcPr>
            <w:tcW w:w="1093" w:type="dxa"/>
            <w:vAlign w:val="top"/>
          </w:tcPr>
          <w:p w14:paraId="78697B55">
            <w:pPr>
              <w:pStyle w:val="6"/>
              <w:spacing w:before="102" w:line="188" w:lineRule="auto"/>
              <w:ind w:left="275"/>
            </w:pPr>
            <w:r>
              <w:rPr>
                <w:spacing w:val="-4"/>
              </w:rPr>
              <w:t>193.32</w:t>
            </w:r>
          </w:p>
        </w:tc>
        <w:tc>
          <w:tcPr>
            <w:tcW w:w="1037" w:type="dxa"/>
            <w:vMerge w:val="restart"/>
            <w:tcBorders>
              <w:bottom w:val="nil"/>
            </w:tcBorders>
            <w:vAlign w:val="top"/>
          </w:tcPr>
          <w:p w14:paraId="559DCD14">
            <w:pPr>
              <w:pStyle w:val="6"/>
              <w:spacing w:before="277" w:line="188" w:lineRule="auto"/>
              <w:ind w:left="182"/>
            </w:pPr>
            <w:r>
              <w:rPr>
                <w:spacing w:val="-2"/>
              </w:rPr>
              <w:t>65407.8</w:t>
            </w:r>
          </w:p>
        </w:tc>
      </w:tr>
      <w:tr w14:paraId="45F25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continue"/>
            <w:tcBorders>
              <w:top w:val="nil"/>
            </w:tcBorders>
            <w:vAlign w:val="top"/>
          </w:tcPr>
          <w:p w14:paraId="29E9CB1C">
            <w:pPr>
              <w:rPr>
                <w:rFonts w:ascii="Arial"/>
                <w:sz w:val="21"/>
              </w:rPr>
            </w:pPr>
          </w:p>
        </w:tc>
        <w:tc>
          <w:tcPr>
            <w:tcW w:w="1133" w:type="dxa"/>
            <w:vAlign w:val="top"/>
          </w:tcPr>
          <w:p w14:paraId="6854041C">
            <w:pPr>
              <w:pStyle w:val="6"/>
              <w:spacing w:before="102" w:line="188" w:lineRule="auto"/>
              <w:ind w:left="273"/>
            </w:pPr>
            <w:r>
              <w:rPr>
                <w:spacing w:val="-1"/>
              </w:rPr>
              <w:t>455.85</w:t>
            </w:r>
          </w:p>
        </w:tc>
        <w:tc>
          <w:tcPr>
            <w:tcW w:w="1133" w:type="dxa"/>
            <w:vMerge w:val="continue"/>
            <w:tcBorders>
              <w:top w:val="nil"/>
            </w:tcBorders>
            <w:vAlign w:val="top"/>
          </w:tcPr>
          <w:p w14:paraId="2600080D">
            <w:pPr>
              <w:rPr>
                <w:rFonts w:ascii="Arial"/>
                <w:sz w:val="21"/>
              </w:rPr>
            </w:pPr>
          </w:p>
        </w:tc>
        <w:tc>
          <w:tcPr>
            <w:tcW w:w="1121" w:type="dxa"/>
            <w:vMerge w:val="continue"/>
            <w:tcBorders>
              <w:top w:val="nil"/>
            </w:tcBorders>
            <w:vAlign w:val="top"/>
          </w:tcPr>
          <w:p w14:paraId="72E335A4">
            <w:pPr>
              <w:rPr>
                <w:rFonts w:ascii="Arial"/>
                <w:sz w:val="21"/>
              </w:rPr>
            </w:pPr>
          </w:p>
        </w:tc>
        <w:tc>
          <w:tcPr>
            <w:tcW w:w="1093" w:type="dxa"/>
            <w:vMerge w:val="continue"/>
            <w:tcBorders>
              <w:top w:val="nil"/>
            </w:tcBorders>
            <w:vAlign w:val="top"/>
          </w:tcPr>
          <w:p w14:paraId="16593829">
            <w:pPr>
              <w:rPr>
                <w:rFonts w:ascii="Arial"/>
                <w:sz w:val="21"/>
              </w:rPr>
            </w:pPr>
          </w:p>
        </w:tc>
        <w:tc>
          <w:tcPr>
            <w:tcW w:w="1093" w:type="dxa"/>
            <w:vAlign w:val="top"/>
          </w:tcPr>
          <w:p w14:paraId="41CE80B5">
            <w:pPr>
              <w:pStyle w:val="6"/>
              <w:spacing w:before="102" w:line="188" w:lineRule="auto"/>
              <w:ind w:left="276"/>
            </w:pPr>
            <w:r>
              <w:rPr>
                <w:spacing w:val="-4"/>
              </w:rPr>
              <w:t>174.30</w:t>
            </w:r>
          </w:p>
        </w:tc>
        <w:tc>
          <w:tcPr>
            <w:tcW w:w="1037" w:type="dxa"/>
            <w:vMerge w:val="continue"/>
            <w:tcBorders>
              <w:top w:val="nil"/>
            </w:tcBorders>
            <w:vAlign w:val="top"/>
          </w:tcPr>
          <w:p w14:paraId="0B9F930E">
            <w:pPr>
              <w:rPr>
                <w:rFonts w:ascii="Arial"/>
                <w:sz w:val="21"/>
              </w:rPr>
            </w:pPr>
          </w:p>
        </w:tc>
      </w:tr>
      <w:tr w14:paraId="5E1FB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Align w:val="top"/>
          </w:tcPr>
          <w:p w14:paraId="4EAC47E3">
            <w:pPr>
              <w:spacing w:before="66" w:line="220" w:lineRule="auto"/>
              <w:ind w:left="335"/>
              <w:rPr>
                <w:rFonts w:ascii="宋体" w:hAnsi="宋体" w:eastAsia="宋体" w:cs="宋体"/>
                <w:sz w:val="21"/>
                <w:szCs w:val="21"/>
              </w:rPr>
            </w:pPr>
            <w:r>
              <w:rPr>
                <w:rFonts w:ascii="宋体" w:hAnsi="宋体" w:eastAsia="宋体" w:cs="宋体"/>
                <w:spacing w:val="-2"/>
                <w:sz w:val="21"/>
                <w:szCs w:val="21"/>
              </w:rPr>
              <w:t>猪舍清洗水</w:t>
            </w:r>
          </w:p>
        </w:tc>
        <w:tc>
          <w:tcPr>
            <w:tcW w:w="1133" w:type="dxa"/>
            <w:vAlign w:val="top"/>
          </w:tcPr>
          <w:p w14:paraId="1E7D7E37">
            <w:pPr>
              <w:pStyle w:val="6"/>
              <w:spacing w:before="103" w:line="188" w:lineRule="auto"/>
              <w:ind w:left="383"/>
            </w:pPr>
            <w:r>
              <w:rPr>
                <w:spacing w:val="-3"/>
              </w:rPr>
              <w:t>6.25</w:t>
            </w:r>
          </w:p>
        </w:tc>
        <w:tc>
          <w:tcPr>
            <w:tcW w:w="1133" w:type="dxa"/>
            <w:vAlign w:val="top"/>
          </w:tcPr>
          <w:p w14:paraId="381F78E0">
            <w:pPr>
              <w:pStyle w:val="6"/>
              <w:spacing w:before="103" w:line="188" w:lineRule="auto"/>
              <w:ind w:left="274"/>
            </w:pPr>
            <w:r>
              <w:rPr>
                <w:spacing w:val="-1"/>
              </w:rPr>
              <w:t>2281.3</w:t>
            </w:r>
          </w:p>
        </w:tc>
        <w:tc>
          <w:tcPr>
            <w:tcW w:w="1121" w:type="dxa"/>
            <w:vAlign w:val="top"/>
          </w:tcPr>
          <w:p w14:paraId="15855EAA">
            <w:pPr>
              <w:pStyle w:val="6"/>
              <w:spacing w:before="103" w:line="188" w:lineRule="auto"/>
              <w:ind w:left="507"/>
            </w:pPr>
            <w:r>
              <w:t>0</w:t>
            </w:r>
          </w:p>
        </w:tc>
        <w:tc>
          <w:tcPr>
            <w:tcW w:w="1093" w:type="dxa"/>
            <w:vAlign w:val="top"/>
          </w:tcPr>
          <w:p w14:paraId="53BF38CF">
            <w:pPr>
              <w:pStyle w:val="6"/>
              <w:spacing w:before="103" w:line="188" w:lineRule="auto"/>
              <w:ind w:left="494"/>
            </w:pPr>
            <w:r>
              <w:t>0</w:t>
            </w:r>
          </w:p>
        </w:tc>
        <w:tc>
          <w:tcPr>
            <w:tcW w:w="1093" w:type="dxa"/>
            <w:vAlign w:val="top"/>
          </w:tcPr>
          <w:p w14:paraId="736F4507">
            <w:pPr>
              <w:pStyle w:val="6"/>
              <w:spacing w:before="103" w:line="188" w:lineRule="auto"/>
              <w:ind w:left="366"/>
            </w:pPr>
            <w:r>
              <w:rPr>
                <w:spacing w:val="-3"/>
              </w:rPr>
              <w:t>5.31</w:t>
            </w:r>
          </w:p>
        </w:tc>
        <w:tc>
          <w:tcPr>
            <w:tcW w:w="1037" w:type="dxa"/>
            <w:vAlign w:val="top"/>
          </w:tcPr>
          <w:p w14:paraId="20753E7A">
            <w:pPr>
              <w:pStyle w:val="6"/>
              <w:spacing w:before="103" w:line="188" w:lineRule="auto"/>
              <w:ind w:left="245"/>
            </w:pPr>
            <w:r>
              <w:rPr>
                <w:spacing w:val="-4"/>
              </w:rPr>
              <w:t>1939.1</w:t>
            </w:r>
          </w:p>
        </w:tc>
      </w:tr>
      <w:tr w14:paraId="58606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Align w:val="top"/>
          </w:tcPr>
          <w:p w14:paraId="2C1CDF91">
            <w:pPr>
              <w:spacing w:before="67" w:line="220" w:lineRule="auto"/>
              <w:ind w:left="458"/>
              <w:rPr>
                <w:rFonts w:ascii="宋体" w:hAnsi="宋体" w:eastAsia="宋体" w:cs="宋体"/>
                <w:sz w:val="21"/>
                <w:szCs w:val="21"/>
              </w:rPr>
            </w:pPr>
            <w:r>
              <w:rPr>
                <w:rFonts w:ascii="宋体" w:hAnsi="宋体" w:eastAsia="宋体" w:cs="宋体"/>
                <w:spacing w:val="-5"/>
                <w:sz w:val="21"/>
                <w:szCs w:val="21"/>
              </w:rPr>
              <w:t>固液分离</w:t>
            </w:r>
          </w:p>
        </w:tc>
        <w:tc>
          <w:tcPr>
            <w:tcW w:w="1133" w:type="dxa"/>
            <w:vAlign w:val="top"/>
          </w:tcPr>
          <w:p w14:paraId="12D86476">
            <w:pPr>
              <w:pStyle w:val="6"/>
              <w:spacing w:before="103" w:line="188" w:lineRule="auto"/>
              <w:ind w:left="513"/>
            </w:pPr>
            <w:r>
              <w:t>0</w:t>
            </w:r>
          </w:p>
        </w:tc>
        <w:tc>
          <w:tcPr>
            <w:tcW w:w="1133" w:type="dxa"/>
            <w:vAlign w:val="top"/>
          </w:tcPr>
          <w:p w14:paraId="0305F761">
            <w:pPr>
              <w:pStyle w:val="6"/>
              <w:spacing w:before="103" w:line="188" w:lineRule="auto"/>
              <w:ind w:left="514"/>
            </w:pPr>
            <w:r>
              <w:t>0</w:t>
            </w:r>
          </w:p>
        </w:tc>
        <w:tc>
          <w:tcPr>
            <w:tcW w:w="1121" w:type="dxa"/>
            <w:vAlign w:val="top"/>
          </w:tcPr>
          <w:p w14:paraId="4C100BA5">
            <w:pPr>
              <w:pStyle w:val="6"/>
              <w:spacing w:before="103" w:line="188" w:lineRule="auto"/>
              <w:ind w:left="508"/>
            </w:pPr>
            <w:r>
              <w:t>0</w:t>
            </w:r>
          </w:p>
        </w:tc>
        <w:tc>
          <w:tcPr>
            <w:tcW w:w="1093" w:type="dxa"/>
            <w:vAlign w:val="top"/>
          </w:tcPr>
          <w:p w14:paraId="5B67BA34">
            <w:pPr>
              <w:pStyle w:val="6"/>
              <w:spacing w:before="103" w:line="188" w:lineRule="auto"/>
              <w:ind w:left="495"/>
            </w:pPr>
            <w:r>
              <w:t>0</w:t>
            </w:r>
          </w:p>
        </w:tc>
        <w:tc>
          <w:tcPr>
            <w:tcW w:w="1093" w:type="dxa"/>
            <w:vAlign w:val="top"/>
          </w:tcPr>
          <w:p w14:paraId="1BACE81B">
            <w:pPr>
              <w:pStyle w:val="6"/>
              <w:spacing w:before="103" w:line="188" w:lineRule="auto"/>
              <w:ind w:left="312"/>
            </w:pPr>
            <w:r>
              <w:rPr>
                <w:spacing w:val="-2"/>
              </w:rPr>
              <w:t>32.75</w:t>
            </w:r>
          </w:p>
        </w:tc>
        <w:tc>
          <w:tcPr>
            <w:tcW w:w="1037" w:type="dxa"/>
            <w:vAlign w:val="top"/>
          </w:tcPr>
          <w:p w14:paraId="5AA80C27">
            <w:pPr>
              <w:pStyle w:val="6"/>
              <w:spacing w:before="103" w:line="188" w:lineRule="auto"/>
              <w:ind w:left="193"/>
            </w:pPr>
            <w:r>
              <w:rPr>
                <w:spacing w:val="-4"/>
              </w:rPr>
              <w:t>11952.9</w:t>
            </w:r>
          </w:p>
        </w:tc>
      </w:tr>
      <w:tr w14:paraId="42BD6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Align w:val="top"/>
          </w:tcPr>
          <w:p w14:paraId="4A07742E">
            <w:pPr>
              <w:spacing w:before="66" w:line="220" w:lineRule="auto"/>
              <w:ind w:left="441"/>
              <w:rPr>
                <w:rFonts w:ascii="宋体" w:hAnsi="宋体" w:eastAsia="宋体" w:cs="宋体"/>
                <w:sz w:val="21"/>
                <w:szCs w:val="21"/>
              </w:rPr>
            </w:pPr>
            <w:r>
              <w:rPr>
                <w:rFonts w:ascii="宋体" w:hAnsi="宋体" w:eastAsia="宋体" w:cs="宋体"/>
                <w:spacing w:val="-2"/>
                <w:sz w:val="21"/>
                <w:szCs w:val="21"/>
              </w:rPr>
              <w:t>车辆清洗</w:t>
            </w:r>
          </w:p>
        </w:tc>
        <w:tc>
          <w:tcPr>
            <w:tcW w:w="1133" w:type="dxa"/>
            <w:vAlign w:val="top"/>
          </w:tcPr>
          <w:p w14:paraId="7E8624D8">
            <w:pPr>
              <w:pStyle w:val="6"/>
              <w:spacing w:before="104" w:line="188" w:lineRule="auto"/>
              <w:ind w:left="509"/>
            </w:pPr>
            <w:r>
              <w:t>4</w:t>
            </w:r>
          </w:p>
        </w:tc>
        <w:tc>
          <w:tcPr>
            <w:tcW w:w="1133" w:type="dxa"/>
            <w:vAlign w:val="top"/>
          </w:tcPr>
          <w:p w14:paraId="599A540D">
            <w:pPr>
              <w:pStyle w:val="6"/>
              <w:spacing w:before="103" w:line="188" w:lineRule="auto"/>
              <w:ind w:left="373"/>
            </w:pPr>
            <w:r>
              <w:rPr>
                <w:spacing w:val="-6"/>
              </w:rPr>
              <w:t>1460</w:t>
            </w:r>
          </w:p>
        </w:tc>
        <w:tc>
          <w:tcPr>
            <w:tcW w:w="1121" w:type="dxa"/>
            <w:vAlign w:val="top"/>
          </w:tcPr>
          <w:p w14:paraId="10E2FA47">
            <w:pPr>
              <w:pStyle w:val="6"/>
              <w:spacing w:before="103" w:line="188" w:lineRule="auto"/>
              <w:ind w:left="508"/>
            </w:pPr>
            <w:r>
              <w:t>0</w:t>
            </w:r>
          </w:p>
        </w:tc>
        <w:tc>
          <w:tcPr>
            <w:tcW w:w="1093" w:type="dxa"/>
            <w:vAlign w:val="top"/>
          </w:tcPr>
          <w:p w14:paraId="0B39240B">
            <w:pPr>
              <w:pStyle w:val="6"/>
              <w:spacing w:before="103" w:line="188" w:lineRule="auto"/>
              <w:ind w:left="495"/>
            </w:pPr>
            <w:r>
              <w:t>0</w:t>
            </w:r>
          </w:p>
        </w:tc>
        <w:tc>
          <w:tcPr>
            <w:tcW w:w="1093" w:type="dxa"/>
            <w:vAlign w:val="top"/>
          </w:tcPr>
          <w:p w14:paraId="4E8F7C6A">
            <w:pPr>
              <w:pStyle w:val="6"/>
              <w:spacing w:before="103" w:line="188" w:lineRule="auto"/>
              <w:ind w:left="365"/>
            </w:pPr>
            <w:r>
              <w:rPr>
                <w:spacing w:val="-3"/>
              </w:rPr>
              <w:t>3.40</w:t>
            </w:r>
          </w:p>
        </w:tc>
        <w:tc>
          <w:tcPr>
            <w:tcW w:w="1037" w:type="dxa"/>
            <w:vAlign w:val="top"/>
          </w:tcPr>
          <w:p w14:paraId="009EE16D">
            <w:pPr>
              <w:pStyle w:val="6"/>
              <w:spacing w:before="103" w:line="188" w:lineRule="auto"/>
              <w:ind w:left="246"/>
            </w:pPr>
            <w:r>
              <w:rPr>
                <w:spacing w:val="-4"/>
              </w:rPr>
              <w:t>1241.0</w:t>
            </w:r>
          </w:p>
        </w:tc>
      </w:tr>
      <w:tr w14:paraId="697FE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51BB146A">
            <w:pPr>
              <w:spacing w:before="242" w:line="220" w:lineRule="auto"/>
              <w:ind w:left="229"/>
              <w:rPr>
                <w:rFonts w:ascii="宋体" w:hAnsi="宋体" w:eastAsia="宋体" w:cs="宋体"/>
                <w:sz w:val="21"/>
                <w:szCs w:val="21"/>
              </w:rPr>
            </w:pPr>
            <w:r>
              <w:rPr>
                <w:rFonts w:ascii="宋体" w:hAnsi="宋体" w:eastAsia="宋体" w:cs="宋体"/>
                <w:spacing w:val="-2"/>
                <w:sz w:val="21"/>
                <w:szCs w:val="21"/>
              </w:rPr>
              <w:t>猪舍降温用水</w:t>
            </w:r>
          </w:p>
        </w:tc>
        <w:tc>
          <w:tcPr>
            <w:tcW w:w="1133" w:type="dxa"/>
            <w:vAlign w:val="top"/>
          </w:tcPr>
          <w:p w14:paraId="650BFDB9">
            <w:pPr>
              <w:pStyle w:val="6"/>
              <w:spacing w:before="104" w:line="188" w:lineRule="auto"/>
              <w:ind w:left="325"/>
            </w:pPr>
            <w:r>
              <w:rPr>
                <w:spacing w:val="-1"/>
              </w:rPr>
              <w:t>29.65</w:t>
            </w:r>
          </w:p>
        </w:tc>
        <w:tc>
          <w:tcPr>
            <w:tcW w:w="1133" w:type="dxa"/>
            <w:vMerge w:val="restart"/>
            <w:tcBorders>
              <w:bottom w:val="nil"/>
            </w:tcBorders>
            <w:vAlign w:val="top"/>
          </w:tcPr>
          <w:p w14:paraId="3FFA6C47">
            <w:pPr>
              <w:pStyle w:val="6"/>
              <w:spacing w:before="279" w:line="188" w:lineRule="auto"/>
              <w:ind w:left="278"/>
            </w:pPr>
            <w:r>
              <w:rPr>
                <w:spacing w:val="-1"/>
              </w:rPr>
              <w:t>2787.1</w:t>
            </w:r>
          </w:p>
        </w:tc>
        <w:tc>
          <w:tcPr>
            <w:tcW w:w="1121" w:type="dxa"/>
            <w:vAlign w:val="top"/>
          </w:tcPr>
          <w:p w14:paraId="268FACF2">
            <w:pPr>
              <w:pStyle w:val="6"/>
              <w:spacing w:before="104" w:line="188" w:lineRule="auto"/>
              <w:ind w:left="289"/>
            </w:pPr>
            <w:r>
              <w:rPr>
                <w:spacing w:val="-4"/>
              </w:rPr>
              <w:t>148.25</w:t>
            </w:r>
          </w:p>
        </w:tc>
        <w:tc>
          <w:tcPr>
            <w:tcW w:w="1093" w:type="dxa"/>
            <w:vMerge w:val="restart"/>
            <w:tcBorders>
              <w:bottom w:val="nil"/>
            </w:tcBorders>
            <w:vAlign w:val="top"/>
          </w:tcPr>
          <w:p w14:paraId="0A4F1243">
            <w:pPr>
              <w:pStyle w:val="6"/>
              <w:spacing w:before="279" w:line="188" w:lineRule="auto"/>
              <w:ind w:left="228"/>
            </w:pPr>
            <w:r>
              <w:rPr>
                <w:spacing w:val="-4"/>
              </w:rPr>
              <w:t>13935.5</w:t>
            </w:r>
          </w:p>
        </w:tc>
        <w:tc>
          <w:tcPr>
            <w:tcW w:w="1093" w:type="dxa"/>
            <w:vAlign w:val="top"/>
          </w:tcPr>
          <w:p w14:paraId="01C988AA">
            <w:pPr>
              <w:pStyle w:val="6"/>
              <w:spacing w:before="104" w:line="188" w:lineRule="auto"/>
              <w:ind w:left="495"/>
            </w:pPr>
            <w:r>
              <w:t>0</w:t>
            </w:r>
          </w:p>
        </w:tc>
        <w:tc>
          <w:tcPr>
            <w:tcW w:w="1037" w:type="dxa"/>
            <w:vAlign w:val="top"/>
          </w:tcPr>
          <w:p w14:paraId="0C240B4B">
            <w:pPr>
              <w:pStyle w:val="6"/>
              <w:spacing w:before="104" w:line="188" w:lineRule="auto"/>
              <w:ind w:left="465"/>
            </w:pPr>
            <w:r>
              <w:t>0</w:t>
            </w:r>
          </w:p>
        </w:tc>
      </w:tr>
      <w:tr w14:paraId="49D05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tcBorders>
            <w:vAlign w:val="top"/>
          </w:tcPr>
          <w:p w14:paraId="60D250C3">
            <w:pPr>
              <w:rPr>
                <w:rFonts w:ascii="Arial"/>
                <w:sz w:val="21"/>
              </w:rPr>
            </w:pPr>
          </w:p>
        </w:tc>
        <w:tc>
          <w:tcPr>
            <w:tcW w:w="1133" w:type="dxa"/>
            <w:vAlign w:val="top"/>
          </w:tcPr>
          <w:p w14:paraId="67AB21D9">
            <w:pPr>
              <w:pStyle w:val="6"/>
              <w:spacing w:before="104" w:line="188" w:lineRule="auto"/>
              <w:ind w:left="513"/>
            </w:pPr>
            <w:r>
              <w:t>0</w:t>
            </w:r>
          </w:p>
        </w:tc>
        <w:tc>
          <w:tcPr>
            <w:tcW w:w="1133" w:type="dxa"/>
            <w:vMerge w:val="continue"/>
            <w:tcBorders>
              <w:top w:val="nil"/>
            </w:tcBorders>
            <w:vAlign w:val="top"/>
          </w:tcPr>
          <w:p w14:paraId="739F8CCC">
            <w:pPr>
              <w:rPr>
                <w:rFonts w:ascii="Arial"/>
                <w:sz w:val="21"/>
              </w:rPr>
            </w:pPr>
          </w:p>
        </w:tc>
        <w:tc>
          <w:tcPr>
            <w:tcW w:w="1121" w:type="dxa"/>
            <w:vAlign w:val="top"/>
          </w:tcPr>
          <w:p w14:paraId="6F5ABB0D">
            <w:pPr>
              <w:pStyle w:val="6"/>
              <w:spacing w:before="104" w:line="188" w:lineRule="auto"/>
              <w:ind w:left="508"/>
            </w:pPr>
            <w:r>
              <w:t>0</w:t>
            </w:r>
          </w:p>
        </w:tc>
        <w:tc>
          <w:tcPr>
            <w:tcW w:w="1093" w:type="dxa"/>
            <w:vMerge w:val="continue"/>
            <w:tcBorders>
              <w:top w:val="nil"/>
            </w:tcBorders>
            <w:vAlign w:val="top"/>
          </w:tcPr>
          <w:p w14:paraId="3D2FFA76">
            <w:pPr>
              <w:rPr>
                <w:rFonts w:ascii="Arial"/>
                <w:sz w:val="21"/>
              </w:rPr>
            </w:pPr>
          </w:p>
        </w:tc>
        <w:tc>
          <w:tcPr>
            <w:tcW w:w="1093" w:type="dxa"/>
            <w:vAlign w:val="top"/>
          </w:tcPr>
          <w:p w14:paraId="51AF29A9">
            <w:pPr>
              <w:pStyle w:val="6"/>
              <w:spacing w:before="104" w:line="188" w:lineRule="auto"/>
              <w:ind w:left="495"/>
            </w:pPr>
            <w:r>
              <w:t>0</w:t>
            </w:r>
          </w:p>
        </w:tc>
        <w:tc>
          <w:tcPr>
            <w:tcW w:w="1037" w:type="dxa"/>
            <w:vAlign w:val="top"/>
          </w:tcPr>
          <w:p w14:paraId="31833AD1">
            <w:pPr>
              <w:pStyle w:val="6"/>
              <w:spacing w:before="104" w:line="188" w:lineRule="auto"/>
              <w:ind w:left="465"/>
            </w:pPr>
            <w:r>
              <w:t>0</w:t>
            </w:r>
          </w:p>
        </w:tc>
      </w:tr>
      <w:tr w14:paraId="6751A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Align w:val="top"/>
          </w:tcPr>
          <w:p w14:paraId="2552B7B0">
            <w:pPr>
              <w:spacing w:before="68" w:line="220" w:lineRule="auto"/>
              <w:ind w:left="439"/>
              <w:rPr>
                <w:rFonts w:ascii="宋体" w:hAnsi="宋体" w:eastAsia="宋体" w:cs="宋体"/>
                <w:sz w:val="21"/>
                <w:szCs w:val="21"/>
              </w:rPr>
            </w:pPr>
            <w:r>
              <w:rPr>
                <w:rFonts w:ascii="宋体" w:hAnsi="宋体" w:eastAsia="宋体" w:cs="宋体"/>
                <w:spacing w:val="-2"/>
                <w:sz w:val="21"/>
                <w:szCs w:val="21"/>
              </w:rPr>
              <w:t>猪具清洗</w:t>
            </w:r>
          </w:p>
        </w:tc>
        <w:tc>
          <w:tcPr>
            <w:tcW w:w="1133" w:type="dxa"/>
            <w:vAlign w:val="top"/>
          </w:tcPr>
          <w:p w14:paraId="52BA7184">
            <w:pPr>
              <w:pStyle w:val="6"/>
              <w:spacing w:before="107" w:line="185" w:lineRule="auto"/>
              <w:ind w:left="516"/>
            </w:pPr>
            <w:r>
              <w:t>5</w:t>
            </w:r>
          </w:p>
        </w:tc>
        <w:tc>
          <w:tcPr>
            <w:tcW w:w="1133" w:type="dxa"/>
            <w:vAlign w:val="top"/>
          </w:tcPr>
          <w:p w14:paraId="7DC1ABE7">
            <w:pPr>
              <w:pStyle w:val="6"/>
              <w:spacing w:before="104" w:line="188" w:lineRule="auto"/>
              <w:ind w:left="373"/>
            </w:pPr>
            <w:r>
              <w:rPr>
                <w:spacing w:val="-6"/>
              </w:rPr>
              <w:t>1825</w:t>
            </w:r>
          </w:p>
        </w:tc>
        <w:tc>
          <w:tcPr>
            <w:tcW w:w="1121" w:type="dxa"/>
            <w:vAlign w:val="top"/>
          </w:tcPr>
          <w:p w14:paraId="3C93D54A">
            <w:pPr>
              <w:pStyle w:val="6"/>
              <w:spacing w:before="104" w:line="188" w:lineRule="auto"/>
              <w:ind w:left="508"/>
            </w:pPr>
            <w:r>
              <w:t>0</w:t>
            </w:r>
          </w:p>
        </w:tc>
        <w:tc>
          <w:tcPr>
            <w:tcW w:w="1093" w:type="dxa"/>
            <w:vAlign w:val="top"/>
          </w:tcPr>
          <w:p w14:paraId="376FCF1A">
            <w:pPr>
              <w:pStyle w:val="6"/>
              <w:spacing w:before="104" w:line="188" w:lineRule="auto"/>
              <w:ind w:left="495"/>
            </w:pPr>
            <w:r>
              <w:t>0</w:t>
            </w:r>
          </w:p>
        </w:tc>
        <w:tc>
          <w:tcPr>
            <w:tcW w:w="1093" w:type="dxa"/>
            <w:vAlign w:val="top"/>
          </w:tcPr>
          <w:p w14:paraId="71DE33EA">
            <w:pPr>
              <w:pStyle w:val="6"/>
              <w:spacing w:before="104" w:line="188" w:lineRule="auto"/>
              <w:ind w:left="359"/>
            </w:pPr>
            <w:r>
              <w:rPr>
                <w:spacing w:val="-1"/>
              </w:rPr>
              <w:t>4.25</w:t>
            </w:r>
          </w:p>
        </w:tc>
        <w:tc>
          <w:tcPr>
            <w:tcW w:w="1037" w:type="dxa"/>
            <w:vAlign w:val="top"/>
          </w:tcPr>
          <w:p w14:paraId="05A2E0CC">
            <w:pPr>
              <w:pStyle w:val="6"/>
              <w:spacing w:before="104" w:line="188" w:lineRule="auto"/>
              <w:ind w:left="246"/>
            </w:pPr>
            <w:r>
              <w:rPr>
                <w:spacing w:val="-4"/>
              </w:rPr>
              <w:t>1551.3</w:t>
            </w:r>
          </w:p>
        </w:tc>
      </w:tr>
      <w:tr w14:paraId="4231C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10" w:type="dxa"/>
            <w:vAlign w:val="top"/>
          </w:tcPr>
          <w:p w14:paraId="0A86E113">
            <w:pPr>
              <w:spacing w:before="68" w:line="220" w:lineRule="auto"/>
              <w:ind w:left="231"/>
              <w:rPr>
                <w:rFonts w:ascii="宋体" w:hAnsi="宋体" w:eastAsia="宋体" w:cs="宋体"/>
                <w:sz w:val="21"/>
                <w:szCs w:val="21"/>
              </w:rPr>
            </w:pPr>
            <w:r>
              <w:rPr>
                <w:rFonts w:ascii="宋体" w:hAnsi="宋体" w:eastAsia="宋体" w:cs="宋体"/>
                <w:spacing w:val="-2"/>
                <w:sz w:val="21"/>
                <w:szCs w:val="21"/>
              </w:rPr>
              <w:t>生物滤池用水</w:t>
            </w:r>
          </w:p>
        </w:tc>
        <w:tc>
          <w:tcPr>
            <w:tcW w:w="1133" w:type="dxa"/>
            <w:vAlign w:val="top"/>
          </w:tcPr>
          <w:p w14:paraId="68CD2990">
            <w:pPr>
              <w:pStyle w:val="6"/>
              <w:spacing w:before="105" w:line="188" w:lineRule="auto"/>
              <w:ind w:left="325"/>
            </w:pPr>
            <w:r>
              <w:rPr>
                <w:spacing w:val="-1"/>
              </w:rPr>
              <w:t>26.18</w:t>
            </w:r>
          </w:p>
        </w:tc>
        <w:tc>
          <w:tcPr>
            <w:tcW w:w="1133" w:type="dxa"/>
            <w:vAlign w:val="top"/>
          </w:tcPr>
          <w:p w14:paraId="100B41AC">
            <w:pPr>
              <w:pStyle w:val="6"/>
              <w:spacing w:before="105" w:line="188" w:lineRule="auto"/>
              <w:ind w:left="279"/>
            </w:pPr>
            <w:r>
              <w:rPr>
                <w:spacing w:val="-2"/>
              </w:rPr>
              <w:t>9556.4</w:t>
            </w:r>
          </w:p>
        </w:tc>
        <w:tc>
          <w:tcPr>
            <w:tcW w:w="1121" w:type="dxa"/>
            <w:vAlign w:val="top"/>
          </w:tcPr>
          <w:p w14:paraId="502FCFF5">
            <w:pPr>
              <w:pStyle w:val="6"/>
              <w:spacing w:before="105" w:line="188" w:lineRule="auto"/>
              <w:ind w:left="274"/>
            </w:pPr>
            <w:r>
              <w:rPr>
                <w:spacing w:val="-2"/>
              </w:rPr>
              <w:t>523.64</w:t>
            </w:r>
          </w:p>
        </w:tc>
        <w:tc>
          <w:tcPr>
            <w:tcW w:w="1093" w:type="dxa"/>
            <w:vAlign w:val="top"/>
          </w:tcPr>
          <w:p w14:paraId="2F80C517">
            <w:pPr>
              <w:pStyle w:val="6"/>
              <w:spacing w:before="105" w:line="188" w:lineRule="auto"/>
              <w:ind w:left="171"/>
            </w:pPr>
            <w:r>
              <w:rPr>
                <w:spacing w:val="-3"/>
              </w:rPr>
              <w:t>191128.6</w:t>
            </w:r>
          </w:p>
        </w:tc>
        <w:tc>
          <w:tcPr>
            <w:tcW w:w="1093" w:type="dxa"/>
            <w:vAlign w:val="top"/>
          </w:tcPr>
          <w:p w14:paraId="6D6D92EA">
            <w:pPr>
              <w:pStyle w:val="6"/>
              <w:spacing w:before="105" w:line="188" w:lineRule="auto"/>
              <w:ind w:left="495"/>
            </w:pPr>
            <w:r>
              <w:t>0</w:t>
            </w:r>
          </w:p>
        </w:tc>
        <w:tc>
          <w:tcPr>
            <w:tcW w:w="1037" w:type="dxa"/>
            <w:vAlign w:val="top"/>
          </w:tcPr>
          <w:p w14:paraId="094182DE">
            <w:pPr>
              <w:pStyle w:val="6"/>
              <w:spacing w:before="105" w:line="188" w:lineRule="auto"/>
              <w:ind w:left="465"/>
            </w:pPr>
            <w:r>
              <w:t>0</w:t>
            </w:r>
          </w:p>
        </w:tc>
      </w:tr>
    </w:tbl>
    <w:p w14:paraId="5BE74904">
      <w:pPr>
        <w:pStyle w:val="2"/>
        <w:spacing w:line="194" w:lineRule="exact"/>
        <w:rPr>
          <w:sz w:val="16"/>
        </w:rPr>
      </w:pPr>
    </w:p>
    <w:p w14:paraId="37D07160">
      <w:pPr>
        <w:spacing w:line="194" w:lineRule="exact"/>
        <w:rPr>
          <w:sz w:val="16"/>
          <w:szCs w:val="16"/>
        </w:rPr>
        <w:sectPr>
          <w:headerReference r:id="rId194" w:type="default"/>
          <w:footerReference r:id="rId195" w:type="default"/>
          <w:pgSz w:w="11905" w:h="16840"/>
          <w:pgMar w:top="1168" w:right="1768" w:bottom="1409" w:left="1770" w:header="828" w:footer="1244" w:gutter="0"/>
          <w:cols w:space="720" w:num="1"/>
        </w:sectPr>
      </w:pPr>
    </w:p>
    <w:p w14:paraId="30666593">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0"/>
        <w:gridCol w:w="1133"/>
        <w:gridCol w:w="1133"/>
        <w:gridCol w:w="1121"/>
        <w:gridCol w:w="1093"/>
        <w:gridCol w:w="1093"/>
        <w:gridCol w:w="1037"/>
      </w:tblGrid>
      <w:tr w14:paraId="28FB2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10" w:type="dxa"/>
            <w:vMerge w:val="restart"/>
            <w:tcBorders>
              <w:bottom w:val="nil"/>
            </w:tcBorders>
            <w:vAlign w:val="top"/>
          </w:tcPr>
          <w:p w14:paraId="071819F8">
            <w:pPr>
              <w:spacing w:before="243" w:line="220" w:lineRule="auto"/>
              <w:ind w:left="441"/>
              <w:rPr>
                <w:rFonts w:ascii="宋体" w:hAnsi="宋体" w:eastAsia="宋体" w:cs="宋体"/>
                <w:sz w:val="21"/>
                <w:szCs w:val="21"/>
              </w:rPr>
            </w:pPr>
            <w:r>
              <w:rPr>
                <w:rFonts w:ascii="宋体" w:hAnsi="宋体" w:eastAsia="宋体" w:cs="宋体"/>
                <w:spacing w:val="-2"/>
                <w:sz w:val="21"/>
                <w:szCs w:val="21"/>
              </w:rPr>
              <w:t>用水项目</w:t>
            </w:r>
          </w:p>
        </w:tc>
        <w:tc>
          <w:tcPr>
            <w:tcW w:w="2266" w:type="dxa"/>
            <w:gridSpan w:val="2"/>
            <w:vAlign w:val="top"/>
          </w:tcPr>
          <w:p w14:paraId="0F91FEC2">
            <w:pPr>
              <w:spacing w:before="68" w:line="220" w:lineRule="auto"/>
              <w:ind w:left="819"/>
              <w:rPr>
                <w:rFonts w:ascii="宋体" w:hAnsi="宋体" w:eastAsia="宋体" w:cs="宋体"/>
                <w:sz w:val="21"/>
                <w:szCs w:val="21"/>
              </w:rPr>
            </w:pPr>
            <w:r>
              <w:rPr>
                <w:rFonts w:ascii="宋体" w:hAnsi="宋体" w:eastAsia="宋体" w:cs="宋体"/>
                <w:spacing w:val="-3"/>
                <w:sz w:val="21"/>
                <w:szCs w:val="21"/>
              </w:rPr>
              <w:t>用水量</w:t>
            </w:r>
          </w:p>
        </w:tc>
        <w:tc>
          <w:tcPr>
            <w:tcW w:w="2214" w:type="dxa"/>
            <w:gridSpan w:val="2"/>
            <w:vAlign w:val="top"/>
          </w:tcPr>
          <w:p w14:paraId="67A34051">
            <w:pPr>
              <w:spacing w:before="68" w:line="220" w:lineRule="auto"/>
              <w:ind w:left="687"/>
              <w:rPr>
                <w:rFonts w:ascii="宋体" w:hAnsi="宋体" w:eastAsia="宋体" w:cs="宋体"/>
                <w:sz w:val="21"/>
                <w:szCs w:val="21"/>
              </w:rPr>
            </w:pPr>
            <w:r>
              <w:rPr>
                <w:rFonts w:ascii="宋体" w:hAnsi="宋体" w:eastAsia="宋体" w:cs="宋体"/>
                <w:spacing w:val="-2"/>
                <w:sz w:val="21"/>
                <w:szCs w:val="21"/>
              </w:rPr>
              <w:t>循环水量</w:t>
            </w:r>
          </w:p>
        </w:tc>
        <w:tc>
          <w:tcPr>
            <w:tcW w:w="2130" w:type="dxa"/>
            <w:gridSpan w:val="2"/>
            <w:vAlign w:val="top"/>
          </w:tcPr>
          <w:p w14:paraId="0F230CBC">
            <w:pPr>
              <w:spacing w:before="68" w:line="221" w:lineRule="auto"/>
              <w:ind w:left="750"/>
              <w:rPr>
                <w:rFonts w:ascii="宋体" w:hAnsi="宋体" w:eastAsia="宋体" w:cs="宋体"/>
                <w:sz w:val="21"/>
                <w:szCs w:val="21"/>
              </w:rPr>
            </w:pPr>
            <w:r>
              <w:rPr>
                <w:rFonts w:ascii="宋体" w:hAnsi="宋体" w:eastAsia="宋体" w:cs="宋体"/>
                <w:spacing w:val="-2"/>
                <w:sz w:val="21"/>
                <w:szCs w:val="21"/>
              </w:rPr>
              <w:t>排放量</w:t>
            </w:r>
          </w:p>
        </w:tc>
      </w:tr>
      <w:tr w14:paraId="1E8DC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10" w:type="dxa"/>
            <w:vMerge w:val="continue"/>
            <w:tcBorders>
              <w:top w:val="nil"/>
            </w:tcBorders>
            <w:vAlign w:val="top"/>
          </w:tcPr>
          <w:p w14:paraId="3091DF92">
            <w:pPr>
              <w:rPr>
                <w:rFonts w:ascii="Arial"/>
                <w:sz w:val="21"/>
              </w:rPr>
            </w:pPr>
          </w:p>
        </w:tc>
        <w:tc>
          <w:tcPr>
            <w:tcW w:w="1133" w:type="dxa"/>
            <w:vAlign w:val="top"/>
          </w:tcPr>
          <w:p w14:paraId="092A8D5A">
            <w:pPr>
              <w:pStyle w:val="6"/>
              <w:spacing w:before="49" w:line="218" w:lineRule="auto"/>
              <w:ind w:left="186"/>
            </w:pPr>
            <w:r>
              <w:rPr>
                <w:spacing w:val="-1"/>
              </w:rPr>
              <w:t>m</w:t>
            </w:r>
            <w:r>
              <w:rPr>
                <w:spacing w:val="-1"/>
                <w:position w:val="9"/>
                <w:sz w:val="14"/>
                <w:szCs w:val="14"/>
              </w:rPr>
              <w:t>3</w:t>
            </w:r>
            <w:r>
              <w:rPr>
                <w:spacing w:val="-1"/>
              </w:rPr>
              <w:t>/d(</w:t>
            </w:r>
            <w:r>
              <w:rPr>
                <w:rFonts w:ascii="宋体" w:hAnsi="宋体" w:eastAsia="宋体" w:cs="宋体"/>
                <w:spacing w:val="-1"/>
              </w:rPr>
              <w:t>次</w:t>
            </w:r>
            <w:r>
              <w:rPr>
                <w:spacing w:val="-1"/>
              </w:rPr>
              <w:t>)</w:t>
            </w:r>
          </w:p>
        </w:tc>
        <w:tc>
          <w:tcPr>
            <w:tcW w:w="1133" w:type="dxa"/>
            <w:vAlign w:val="top"/>
          </w:tcPr>
          <w:p w14:paraId="13A38634">
            <w:pPr>
              <w:pStyle w:val="6"/>
              <w:spacing w:before="50" w:line="215" w:lineRule="auto"/>
              <w:ind w:left="368"/>
            </w:pPr>
            <w:r>
              <w:rPr>
                <w:spacing w:val="-1"/>
                <w:position w:val="-1"/>
              </w:rPr>
              <w:t>m</w:t>
            </w:r>
            <w:r>
              <w:rPr>
                <w:spacing w:val="-1"/>
                <w:position w:val="8"/>
                <w:sz w:val="14"/>
                <w:szCs w:val="14"/>
              </w:rPr>
              <w:t>3</w:t>
            </w:r>
            <w:r>
              <w:rPr>
                <w:spacing w:val="-1"/>
                <w:position w:val="-1"/>
              </w:rPr>
              <w:t>/a</w:t>
            </w:r>
          </w:p>
        </w:tc>
        <w:tc>
          <w:tcPr>
            <w:tcW w:w="1121" w:type="dxa"/>
            <w:vAlign w:val="top"/>
          </w:tcPr>
          <w:p w14:paraId="53AE389C">
            <w:pPr>
              <w:pStyle w:val="6"/>
              <w:spacing w:before="49" w:line="218" w:lineRule="auto"/>
              <w:ind w:left="181"/>
            </w:pPr>
            <w:r>
              <w:rPr>
                <w:spacing w:val="-1"/>
              </w:rPr>
              <w:t>m</w:t>
            </w:r>
            <w:r>
              <w:rPr>
                <w:spacing w:val="-1"/>
                <w:position w:val="9"/>
                <w:sz w:val="14"/>
                <w:szCs w:val="14"/>
              </w:rPr>
              <w:t>3</w:t>
            </w:r>
            <w:r>
              <w:rPr>
                <w:spacing w:val="-1"/>
              </w:rPr>
              <w:t>/d(</w:t>
            </w:r>
            <w:r>
              <w:rPr>
                <w:rFonts w:ascii="宋体" w:hAnsi="宋体" w:eastAsia="宋体" w:cs="宋体"/>
                <w:spacing w:val="-1"/>
              </w:rPr>
              <w:t>次</w:t>
            </w:r>
            <w:r>
              <w:rPr>
                <w:spacing w:val="-1"/>
              </w:rPr>
              <w:t>)</w:t>
            </w:r>
          </w:p>
        </w:tc>
        <w:tc>
          <w:tcPr>
            <w:tcW w:w="1093" w:type="dxa"/>
            <w:vAlign w:val="top"/>
          </w:tcPr>
          <w:p w14:paraId="03575DF3">
            <w:pPr>
              <w:pStyle w:val="6"/>
              <w:spacing w:before="50" w:line="215" w:lineRule="auto"/>
              <w:ind w:left="348"/>
            </w:pPr>
            <w:r>
              <w:rPr>
                <w:spacing w:val="-1"/>
                <w:position w:val="-1"/>
              </w:rPr>
              <w:t>m</w:t>
            </w:r>
            <w:r>
              <w:rPr>
                <w:spacing w:val="-1"/>
                <w:position w:val="8"/>
                <w:sz w:val="14"/>
                <w:szCs w:val="14"/>
              </w:rPr>
              <w:t>3</w:t>
            </w:r>
            <w:r>
              <w:rPr>
                <w:spacing w:val="-1"/>
                <w:position w:val="-1"/>
              </w:rPr>
              <w:t>/a</w:t>
            </w:r>
          </w:p>
        </w:tc>
        <w:tc>
          <w:tcPr>
            <w:tcW w:w="1093" w:type="dxa"/>
            <w:vAlign w:val="top"/>
          </w:tcPr>
          <w:p w14:paraId="1AF7D5E6">
            <w:pPr>
              <w:pStyle w:val="6"/>
              <w:spacing w:before="49" w:line="218" w:lineRule="auto"/>
              <w:ind w:left="169"/>
            </w:pPr>
            <w:r>
              <w:rPr>
                <w:spacing w:val="-1"/>
              </w:rPr>
              <w:t>m</w:t>
            </w:r>
            <w:r>
              <w:rPr>
                <w:spacing w:val="-1"/>
                <w:position w:val="9"/>
                <w:sz w:val="14"/>
                <w:szCs w:val="14"/>
              </w:rPr>
              <w:t>3</w:t>
            </w:r>
            <w:r>
              <w:rPr>
                <w:spacing w:val="-1"/>
              </w:rPr>
              <w:t>/d(</w:t>
            </w:r>
            <w:r>
              <w:rPr>
                <w:rFonts w:ascii="宋体" w:hAnsi="宋体" w:eastAsia="宋体" w:cs="宋体"/>
                <w:spacing w:val="-1"/>
              </w:rPr>
              <w:t>次</w:t>
            </w:r>
            <w:r>
              <w:rPr>
                <w:spacing w:val="-1"/>
              </w:rPr>
              <w:t>)</w:t>
            </w:r>
          </w:p>
        </w:tc>
        <w:tc>
          <w:tcPr>
            <w:tcW w:w="1037" w:type="dxa"/>
            <w:vAlign w:val="top"/>
          </w:tcPr>
          <w:p w14:paraId="44DB6DCC">
            <w:pPr>
              <w:pStyle w:val="6"/>
              <w:spacing w:before="50" w:line="215" w:lineRule="auto"/>
              <w:ind w:left="319"/>
            </w:pPr>
            <w:r>
              <w:rPr>
                <w:spacing w:val="-1"/>
                <w:position w:val="-1"/>
              </w:rPr>
              <w:t>m</w:t>
            </w:r>
            <w:r>
              <w:rPr>
                <w:spacing w:val="-1"/>
                <w:position w:val="8"/>
                <w:sz w:val="14"/>
                <w:szCs w:val="14"/>
              </w:rPr>
              <w:t>3</w:t>
            </w:r>
            <w:r>
              <w:rPr>
                <w:spacing w:val="-1"/>
                <w:position w:val="-1"/>
              </w:rPr>
              <w:t>/a</w:t>
            </w:r>
          </w:p>
        </w:tc>
      </w:tr>
      <w:tr w14:paraId="43294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Align w:val="top"/>
          </w:tcPr>
          <w:p w14:paraId="6E509BC0">
            <w:pPr>
              <w:spacing w:before="66" w:line="220" w:lineRule="auto"/>
              <w:ind w:left="19"/>
              <w:rPr>
                <w:rFonts w:ascii="宋体" w:hAnsi="宋体" w:eastAsia="宋体" w:cs="宋体"/>
                <w:sz w:val="21"/>
                <w:szCs w:val="21"/>
              </w:rPr>
            </w:pPr>
            <w:r>
              <w:rPr>
                <w:rFonts w:ascii="宋体" w:hAnsi="宋体" w:eastAsia="宋体" w:cs="宋体"/>
                <w:spacing w:val="-1"/>
                <w:sz w:val="21"/>
                <w:szCs w:val="21"/>
              </w:rPr>
              <w:t>猪舍生物喷雾用水</w:t>
            </w:r>
          </w:p>
        </w:tc>
        <w:tc>
          <w:tcPr>
            <w:tcW w:w="1133" w:type="dxa"/>
            <w:vAlign w:val="top"/>
          </w:tcPr>
          <w:p w14:paraId="5F39D02A">
            <w:pPr>
              <w:pStyle w:val="6"/>
              <w:spacing w:before="103" w:line="188" w:lineRule="auto"/>
              <w:ind w:left="345"/>
            </w:pPr>
            <w:r>
              <w:rPr>
                <w:spacing w:val="-5"/>
              </w:rPr>
              <w:t>17.76</w:t>
            </w:r>
          </w:p>
        </w:tc>
        <w:tc>
          <w:tcPr>
            <w:tcW w:w="1133" w:type="dxa"/>
            <w:vAlign w:val="top"/>
          </w:tcPr>
          <w:p w14:paraId="1B213F6B">
            <w:pPr>
              <w:pStyle w:val="6"/>
              <w:spacing w:before="103" w:line="188" w:lineRule="auto"/>
              <w:ind w:left="279"/>
            </w:pPr>
            <w:r>
              <w:rPr>
                <w:spacing w:val="-2"/>
              </w:rPr>
              <w:t>6482.6</w:t>
            </w:r>
          </w:p>
        </w:tc>
        <w:tc>
          <w:tcPr>
            <w:tcW w:w="1121" w:type="dxa"/>
            <w:vAlign w:val="top"/>
          </w:tcPr>
          <w:p w14:paraId="69E5A4E4">
            <w:pPr>
              <w:pStyle w:val="6"/>
              <w:spacing w:before="103" w:line="188" w:lineRule="auto"/>
              <w:ind w:left="324"/>
            </w:pPr>
            <w:r>
              <w:rPr>
                <w:spacing w:val="-2"/>
              </w:rPr>
              <w:t>39.90</w:t>
            </w:r>
          </w:p>
        </w:tc>
        <w:tc>
          <w:tcPr>
            <w:tcW w:w="1093" w:type="dxa"/>
            <w:vAlign w:val="top"/>
          </w:tcPr>
          <w:p w14:paraId="6EBCF8BA">
            <w:pPr>
              <w:pStyle w:val="6"/>
              <w:spacing w:before="103" w:line="188" w:lineRule="auto"/>
              <w:ind w:left="222"/>
            </w:pPr>
            <w:r>
              <w:rPr>
                <w:spacing w:val="-4"/>
              </w:rPr>
              <w:t>14564.1</w:t>
            </w:r>
          </w:p>
        </w:tc>
        <w:tc>
          <w:tcPr>
            <w:tcW w:w="1093" w:type="dxa"/>
            <w:vAlign w:val="top"/>
          </w:tcPr>
          <w:p w14:paraId="77861C45">
            <w:pPr>
              <w:pStyle w:val="6"/>
              <w:spacing w:before="103" w:line="188" w:lineRule="auto"/>
              <w:ind w:left="381"/>
            </w:pPr>
            <w:r>
              <w:rPr>
                <w:spacing w:val="-6"/>
              </w:rPr>
              <w:t>1.80</w:t>
            </w:r>
          </w:p>
        </w:tc>
        <w:tc>
          <w:tcPr>
            <w:tcW w:w="1037" w:type="dxa"/>
            <w:vAlign w:val="top"/>
          </w:tcPr>
          <w:p w14:paraId="352ED9CC">
            <w:pPr>
              <w:pStyle w:val="6"/>
              <w:spacing w:before="103" w:line="188" w:lineRule="auto"/>
              <w:ind w:left="283"/>
            </w:pPr>
            <w:r>
              <w:rPr>
                <w:spacing w:val="-2"/>
              </w:rPr>
              <w:t>657.0</w:t>
            </w:r>
          </w:p>
        </w:tc>
      </w:tr>
      <w:tr w14:paraId="140E1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Align w:val="top"/>
          </w:tcPr>
          <w:p w14:paraId="162113CF">
            <w:pPr>
              <w:spacing w:before="66" w:line="220" w:lineRule="auto"/>
              <w:ind w:left="441"/>
              <w:rPr>
                <w:rFonts w:ascii="宋体" w:hAnsi="宋体" w:eastAsia="宋体" w:cs="宋体"/>
                <w:sz w:val="21"/>
                <w:szCs w:val="21"/>
              </w:rPr>
            </w:pPr>
            <w:r>
              <w:rPr>
                <w:rFonts w:ascii="宋体" w:hAnsi="宋体" w:eastAsia="宋体" w:cs="宋体"/>
                <w:spacing w:val="-2"/>
                <w:sz w:val="21"/>
                <w:szCs w:val="21"/>
              </w:rPr>
              <w:t>绿化用水</w:t>
            </w:r>
          </w:p>
        </w:tc>
        <w:tc>
          <w:tcPr>
            <w:tcW w:w="1133" w:type="dxa"/>
            <w:vAlign w:val="top"/>
          </w:tcPr>
          <w:p w14:paraId="3E770B3D">
            <w:pPr>
              <w:pStyle w:val="6"/>
              <w:spacing w:before="103" w:line="188" w:lineRule="auto"/>
              <w:ind w:left="510"/>
            </w:pPr>
            <w:r>
              <w:t>2</w:t>
            </w:r>
          </w:p>
        </w:tc>
        <w:tc>
          <w:tcPr>
            <w:tcW w:w="1133" w:type="dxa"/>
            <w:vAlign w:val="top"/>
          </w:tcPr>
          <w:p w14:paraId="7643B9AE">
            <w:pPr>
              <w:pStyle w:val="6"/>
              <w:spacing w:before="103" w:line="188" w:lineRule="auto"/>
              <w:ind w:left="426"/>
            </w:pPr>
            <w:r>
              <w:rPr>
                <w:spacing w:val="-9"/>
              </w:rPr>
              <w:t>104</w:t>
            </w:r>
          </w:p>
        </w:tc>
        <w:tc>
          <w:tcPr>
            <w:tcW w:w="1121" w:type="dxa"/>
            <w:vAlign w:val="top"/>
          </w:tcPr>
          <w:p w14:paraId="5CE8F6FD">
            <w:pPr>
              <w:pStyle w:val="6"/>
              <w:spacing w:before="103" w:line="188" w:lineRule="auto"/>
              <w:ind w:left="508"/>
            </w:pPr>
            <w:r>
              <w:t>0</w:t>
            </w:r>
          </w:p>
        </w:tc>
        <w:tc>
          <w:tcPr>
            <w:tcW w:w="1093" w:type="dxa"/>
            <w:vAlign w:val="top"/>
          </w:tcPr>
          <w:p w14:paraId="01E26A88">
            <w:pPr>
              <w:pStyle w:val="6"/>
              <w:spacing w:before="103" w:line="188" w:lineRule="auto"/>
              <w:ind w:left="495"/>
            </w:pPr>
            <w:r>
              <w:t>0</w:t>
            </w:r>
          </w:p>
        </w:tc>
        <w:tc>
          <w:tcPr>
            <w:tcW w:w="1093" w:type="dxa"/>
            <w:vAlign w:val="top"/>
          </w:tcPr>
          <w:p w14:paraId="622CE04D">
            <w:pPr>
              <w:pStyle w:val="6"/>
              <w:spacing w:before="103" w:line="188" w:lineRule="auto"/>
              <w:ind w:left="495"/>
            </w:pPr>
            <w:r>
              <w:t>0</w:t>
            </w:r>
          </w:p>
        </w:tc>
        <w:tc>
          <w:tcPr>
            <w:tcW w:w="1037" w:type="dxa"/>
            <w:vAlign w:val="top"/>
          </w:tcPr>
          <w:p w14:paraId="1B5EC4D3">
            <w:pPr>
              <w:pStyle w:val="6"/>
              <w:spacing w:before="103" w:line="188" w:lineRule="auto"/>
              <w:ind w:left="465"/>
            </w:pPr>
            <w:r>
              <w:t>0</w:t>
            </w:r>
          </w:p>
        </w:tc>
      </w:tr>
      <w:tr w14:paraId="57B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10" w:type="dxa"/>
            <w:vMerge w:val="restart"/>
            <w:tcBorders>
              <w:bottom w:val="nil"/>
            </w:tcBorders>
            <w:vAlign w:val="top"/>
          </w:tcPr>
          <w:p w14:paraId="061C5E4D">
            <w:pPr>
              <w:spacing w:before="240" w:line="220" w:lineRule="auto"/>
              <w:ind w:left="338"/>
              <w:rPr>
                <w:rFonts w:ascii="宋体" w:hAnsi="宋体" w:eastAsia="宋体" w:cs="宋体"/>
                <w:sz w:val="21"/>
                <w:szCs w:val="21"/>
              </w:rPr>
            </w:pPr>
            <w:r>
              <w:rPr>
                <w:rFonts w:ascii="宋体" w:hAnsi="宋体" w:eastAsia="宋体" w:cs="宋体"/>
                <w:spacing w:val="-2"/>
                <w:sz w:val="21"/>
                <w:szCs w:val="21"/>
              </w:rPr>
              <w:t>未预见用水</w:t>
            </w:r>
          </w:p>
        </w:tc>
        <w:tc>
          <w:tcPr>
            <w:tcW w:w="1133" w:type="dxa"/>
            <w:vAlign w:val="top"/>
          </w:tcPr>
          <w:p w14:paraId="4134EF08">
            <w:pPr>
              <w:pStyle w:val="6"/>
              <w:spacing w:before="103" w:line="188" w:lineRule="auto"/>
              <w:ind w:left="383"/>
            </w:pPr>
            <w:r>
              <w:rPr>
                <w:spacing w:val="-3"/>
              </w:rPr>
              <w:t>6.39</w:t>
            </w:r>
          </w:p>
        </w:tc>
        <w:tc>
          <w:tcPr>
            <w:tcW w:w="1133" w:type="dxa"/>
            <w:vMerge w:val="restart"/>
            <w:tcBorders>
              <w:bottom w:val="nil"/>
            </w:tcBorders>
            <w:vAlign w:val="top"/>
          </w:tcPr>
          <w:p w14:paraId="1B6FCF1F">
            <w:pPr>
              <w:pStyle w:val="6"/>
              <w:spacing w:before="277" w:line="188" w:lineRule="auto"/>
              <w:ind w:left="278"/>
            </w:pPr>
            <w:r>
              <w:rPr>
                <w:spacing w:val="-1"/>
              </w:rPr>
              <w:t>2016.4</w:t>
            </w:r>
          </w:p>
        </w:tc>
        <w:tc>
          <w:tcPr>
            <w:tcW w:w="1121" w:type="dxa"/>
            <w:vAlign w:val="top"/>
          </w:tcPr>
          <w:p w14:paraId="71549BA6">
            <w:pPr>
              <w:pStyle w:val="6"/>
              <w:spacing w:before="103" w:line="188" w:lineRule="auto"/>
              <w:ind w:left="508"/>
            </w:pPr>
            <w:r>
              <w:t>0</w:t>
            </w:r>
          </w:p>
        </w:tc>
        <w:tc>
          <w:tcPr>
            <w:tcW w:w="1093" w:type="dxa"/>
            <w:vAlign w:val="top"/>
          </w:tcPr>
          <w:p w14:paraId="58C74D36">
            <w:pPr>
              <w:pStyle w:val="6"/>
              <w:spacing w:before="103" w:line="188" w:lineRule="auto"/>
              <w:ind w:left="495"/>
            </w:pPr>
            <w:r>
              <w:t>0</w:t>
            </w:r>
          </w:p>
        </w:tc>
        <w:tc>
          <w:tcPr>
            <w:tcW w:w="1093" w:type="dxa"/>
            <w:vAlign w:val="top"/>
          </w:tcPr>
          <w:p w14:paraId="395C9564">
            <w:pPr>
              <w:pStyle w:val="6"/>
              <w:spacing w:before="103" w:line="188" w:lineRule="auto"/>
              <w:ind w:left="495"/>
            </w:pPr>
            <w:r>
              <w:t>0</w:t>
            </w:r>
          </w:p>
        </w:tc>
        <w:tc>
          <w:tcPr>
            <w:tcW w:w="1037" w:type="dxa"/>
            <w:vAlign w:val="top"/>
          </w:tcPr>
          <w:p w14:paraId="16DB89E6">
            <w:pPr>
              <w:pStyle w:val="6"/>
              <w:spacing w:before="103" w:line="188" w:lineRule="auto"/>
              <w:ind w:left="465"/>
            </w:pPr>
            <w:r>
              <w:t>0</w:t>
            </w:r>
          </w:p>
        </w:tc>
      </w:tr>
      <w:tr w14:paraId="7B699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continue"/>
            <w:tcBorders>
              <w:top w:val="nil"/>
            </w:tcBorders>
            <w:vAlign w:val="top"/>
          </w:tcPr>
          <w:p w14:paraId="63C84058">
            <w:pPr>
              <w:rPr>
                <w:rFonts w:ascii="Arial"/>
                <w:sz w:val="21"/>
              </w:rPr>
            </w:pPr>
          </w:p>
        </w:tc>
        <w:tc>
          <w:tcPr>
            <w:tcW w:w="1133" w:type="dxa"/>
            <w:vAlign w:val="top"/>
          </w:tcPr>
          <w:p w14:paraId="0BF99AB1">
            <w:pPr>
              <w:pStyle w:val="6"/>
              <w:spacing w:before="104" w:line="188" w:lineRule="auto"/>
              <w:ind w:left="384"/>
            </w:pPr>
            <w:r>
              <w:rPr>
                <w:spacing w:val="-3"/>
              </w:rPr>
              <w:t>5.25</w:t>
            </w:r>
          </w:p>
        </w:tc>
        <w:tc>
          <w:tcPr>
            <w:tcW w:w="1133" w:type="dxa"/>
            <w:vMerge w:val="continue"/>
            <w:tcBorders>
              <w:top w:val="nil"/>
            </w:tcBorders>
            <w:vAlign w:val="top"/>
          </w:tcPr>
          <w:p w14:paraId="79D45996">
            <w:pPr>
              <w:rPr>
                <w:rFonts w:ascii="Arial"/>
                <w:sz w:val="21"/>
              </w:rPr>
            </w:pPr>
          </w:p>
        </w:tc>
        <w:tc>
          <w:tcPr>
            <w:tcW w:w="1121" w:type="dxa"/>
            <w:vAlign w:val="top"/>
          </w:tcPr>
          <w:p w14:paraId="14D99AAE">
            <w:pPr>
              <w:pStyle w:val="6"/>
              <w:spacing w:before="104" w:line="188" w:lineRule="auto"/>
              <w:ind w:left="508"/>
            </w:pPr>
            <w:r>
              <w:t>0</w:t>
            </w:r>
          </w:p>
        </w:tc>
        <w:tc>
          <w:tcPr>
            <w:tcW w:w="1093" w:type="dxa"/>
            <w:vAlign w:val="top"/>
          </w:tcPr>
          <w:p w14:paraId="2FD25F6C">
            <w:pPr>
              <w:pStyle w:val="6"/>
              <w:spacing w:before="104" w:line="188" w:lineRule="auto"/>
              <w:ind w:left="495"/>
            </w:pPr>
            <w:r>
              <w:t>0</w:t>
            </w:r>
          </w:p>
        </w:tc>
        <w:tc>
          <w:tcPr>
            <w:tcW w:w="1093" w:type="dxa"/>
            <w:vAlign w:val="top"/>
          </w:tcPr>
          <w:p w14:paraId="1A0D33C2">
            <w:pPr>
              <w:pStyle w:val="6"/>
              <w:spacing w:before="104" w:line="188" w:lineRule="auto"/>
              <w:ind w:left="495"/>
            </w:pPr>
            <w:r>
              <w:t>0</w:t>
            </w:r>
          </w:p>
        </w:tc>
        <w:tc>
          <w:tcPr>
            <w:tcW w:w="1037" w:type="dxa"/>
            <w:vAlign w:val="top"/>
          </w:tcPr>
          <w:p w14:paraId="571D4471">
            <w:pPr>
              <w:pStyle w:val="6"/>
              <w:spacing w:before="104" w:line="188" w:lineRule="auto"/>
              <w:ind w:left="465"/>
            </w:pPr>
            <w:r>
              <w:t>0</w:t>
            </w:r>
          </w:p>
        </w:tc>
      </w:tr>
      <w:tr w14:paraId="22071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10" w:type="dxa"/>
            <w:vMerge w:val="restart"/>
            <w:tcBorders>
              <w:bottom w:val="nil"/>
            </w:tcBorders>
            <w:vAlign w:val="top"/>
          </w:tcPr>
          <w:p w14:paraId="0744FDF3">
            <w:pPr>
              <w:spacing w:before="243" w:line="221" w:lineRule="auto"/>
              <w:ind w:left="650"/>
              <w:rPr>
                <w:rFonts w:ascii="宋体" w:hAnsi="宋体" w:eastAsia="宋体" w:cs="宋体"/>
                <w:sz w:val="21"/>
                <w:szCs w:val="21"/>
              </w:rPr>
            </w:pPr>
            <w:r>
              <w:rPr>
                <w:rFonts w:ascii="宋体" w:hAnsi="宋体" w:eastAsia="宋体" w:cs="宋体"/>
                <w:spacing w:val="-3"/>
                <w:sz w:val="21"/>
                <w:szCs w:val="21"/>
              </w:rPr>
              <w:t>合计</w:t>
            </w:r>
          </w:p>
        </w:tc>
        <w:tc>
          <w:tcPr>
            <w:tcW w:w="1133" w:type="dxa"/>
            <w:vAlign w:val="top"/>
          </w:tcPr>
          <w:p w14:paraId="6478DC6B">
            <w:pPr>
              <w:pStyle w:val="6"/>
              <w:spacing w:before="104" w:line="188" w:lineRule="auto"/>
              <w:ind w:left="277"/>
            </w:pPr>
            <w:r>
              <w:rPr>
                <w:spacing w:val="-2"/>
              </w:rPr>
              <w:t>645.03</w:t>
            </w:r>
          </w:p>
        </w:tc>
        <w:tc>
          <w:tcPr>
            <w:tcW w:w="1133" w:type="dxa"/>
            <w:vMerge w:val="restart"/>
            <w:tcBorders>
              <w:bottom w:val="nil"/>
            </w:tcBorders>
            <w:vAlign w:val="top"/>
          </w:tcPr>
          <w:p w14:paraId="276DDAC1">
            <w:pPr>
              <w:pStyle w:val="6"/>
              <w:spacing w:before="279" w:line="188" w:lineRule="auto"/>
              <w:ind w:left="174"/>
            </w:pPr>
            <w:r>
              <w:rPr>
                <w:spacing w:val="-1"/>
              </w:rPr>
              <w:t>203655.2</w:t>
            </w:r>
          </w:p>
        </w:tc>
        <w:tc>
          <w:tcPr>
            <w:tcW w:w="1121" w:type="dxa"/>
            <w:vAlign w:val="top"/>
          </w:tcPr>
          <w:p w14:paraId="00F21CD6">
            <w:pPr>
              <w:pStyle w:val="6"/>
              <w:spacing w:before="104" w:line="188" w:lineRule="auto"/>
              <w:ind w:left="272"/>
            </w:pPr>
            <w:r>
              <w:rPr>
                <w:spacing w:val="-2"/>
              </w:rPr>
              <w:t>711.79</w:t>
            </w:r>
          </w:p>
        </w:tc>
        <w:tc>
          <w:tcPr>
            <w:tcW w:w="1093" w:type="dxa"/>
            <w:vMerge w:val="restart"/>
            <w:tcBorders>
              <w:bottom w:val="nil"/>
            </w:tcBorders>
            <w:vAlign w:val="top"/>
          </w:tcPr>
          <w:p w14:paraId="65BC9007">
            <w:pPr>
              <w:pStyle w:val="6"/>
              <w:spacing w:before="279" w:line="188" w:lineRule="auto"/>
              <w:ind w:left="157"/>
            </w:pPr>
            <w:r>
              <w:rPr>
                <w:spacing w:val="-1"/>
              </w:rPr>
              <w:t>219628.2</w:t>
            </w:r>
          </w:p>
        </w:tc>
        <w:tc>
          <w:tcPr>
            <w:tcW w:w="1093" w:type="dxa"/>
            <w:vAlign w:val="top"/>
          </w:tcPr>
          <w:p w14:paraId="7038E2AE">
            <w:pPr>
              <w:pStyle w:val="6"/>
              <w:spacing w:before="104" w:line="188" w:lineRule="auto"/>
              <w:ind w:left="255"/>
            </w:pPr>
            <w:r>
              <w:rPr>
                <w:spacing w:val="-1"/>
              </w:rPr>
              <w:t>247.46</w:t>
            </w:r>
          </w:p>
        </w:tc>
        <w:tc>
          <w:tcPr>
            <w:tcW w:w="1037" w:type="dxa"/>
            <w:vMerge w:val="restart"/>
            <w:tcBorders>
              <w:bottom w:val="nil"/>
            </w:tcBorders>
            <w:vAlign w:val="top"/>
          </w:tcPr>
          <w:p w14:paraId="7213DE9C">
            <w:pPr>
              <w:pStyle w:val="6"/>
              <w:spacing w:before="279" w:line="188" w:lineRule="auto"/>
              <w:ind w:left="186"/>
            </w:pPr>
            <w:r>
              <w:rPr>
                <w:spacing w:val="-2"/>
              </w:rPr>
              <w:t>85169.1</w:t>
            </w:r>
          </w:p>
        </w:tc>
      </w:tr>
      <w:tr w14:paraId="0E85C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10" w:type="dxa"/>
            <w:vMerge w:val="continue"/>
            <w:tcBorders>
              <w:top w:val="nil"/>
            </w:tcBorders>
            <w:vAlign w:val="top"/>
          </w:tcPr>
          <w:p w14:paraId="1B9A0BD2">
            <w:pPr>
              <w:rPr>
                <w:rFonts w:ascii="Arial"/>
                <w:sz w:val="21"/>
              </w:rPr>
            </w:pPr>
          </w:p>
        </w:tc>
        <w:tc>
          <w:tcPr>
            <w:tcW w:w="1133" w:type="dxa"/>
            <w:vAlign w:val="top"/>
          </w:tcPr>
          <w:p w14:paraId="19F1182B">
            <w:pPr>
              <w:pStyle w:val="6"/>
              <w:spacing w:before="104" w:line="188" w:lineRule="auto"/>
              <w:ind w:left="278"/>
            </w:pPr>
            <w:r>
              <w:rPr>
                <w:spacing w:val="-2"/>
              </w:rPr>
              <w:t>530.09</w:t>
            </w:r>
          </w:p>
        </w:tc>
        <w:tc>
          <w:tcPr>
            <w:tcW w:w="1133" w:type="dxa"/>
            <w:vMerge w:val="continue"/>
            <w:tcBorders>
              <w:top w:val="nil"/>
            </w:tcBorders>
            <w:vAlign w:val="top"/>
          </w:tcPr>
          <w:p w14:paraId="1007784A">
            <w:pPr>
              <w:rPr>
                <w:rFonts w:ascii="Arial"/>
                <w:sz w:val="21"/>
              </w:rPr>
            </w:pPr>
          </w:p>
        </w:tc>
        <w:tc>
          <w:tcPr>
            <w:tcW w:w="1121" w:type="dxa"/>
            <w:vAlign w:val="top"/>
          </w:tcPr>
          <w:p w14:paraId="03BD492B">
            <w:pPr>
              <w:pStyle w:val="6"/>
              <w:spacing w:before="104" w:line="188" w:lineRule="auto"/>
              <w:ind w:left="273"/>
            </w:pPr>
            <w:r>
              <w:rPr>
                <w:spacing w:val="-2"/>
              </w:rPr>
              <w:t>563.54</w:t>
            </w:r>
          </w:p>
        </w:tc>
        <w:tc>
          <w:tcPr>
            <w:tcW w:w="1093" w:type="dxa"/>
            <w:vMerge w:val="continue"/>
            <w:tcBorders>
              <w:top w:val="nil"/>
            </w:tcBorders>
            <w:vAlign w:val="top"/>
          </w:tcPr>
          <w:p w14:paraId="0AAD023C">
            <w:pPr>
              <w:rPr>
                <w:rFonts w:ascii="Arial"/>
                <w:sz w:val="21"/>
              </w:rPr>
            </w:pPr>
          </w:p>
        </w:tc>
        <w:tc>
          <w:tcPr>
            <w:tcW w:w="1093" w:type="dxa"/>
            <w:vAlign w:val="top"/>
          </w:tcPr>
          <w:p w14:paraId="2500F6B3">
            <w:pPr>
              <w:pStyle w:val="6"/>
              <w:spacing w:before="104" w:line="188" w:lineRule="auto"/>
              <w:ind w:left="255"/>
            </w:pPr>
            <w:r>
              <w:rPr>
                <w:spacing w:val="-1"/>
              </w:rPr>
              <w:t>228.44</w:t>
            </w:r>
          </w:p>
        </w:tc>
        <w:tc>
          <w:tcPr>
            <w:tcW w:w="1037" w:type="dxa"/>
            <w:vMerge w:val="continue"/>
            <w:tcBorders>
              <w:top w:val="nil"/>
            </w:tcBorders>
            <w:vAlign w:val="top"/>
          </w:tcPr>
          <w:p w14:paraId="1BF01652">
            <w:pPr>
              <w:rPr>
                <w:rFonts w:ascii="Arial"/>
                <w:sz w:val="21"/>
              </w:rPr>
            </w:pPr>
          </w:p>
        </w:tc>
      </w:tr>
    </w:tbl>
    <w:p w14:paraId="7EA38C8D">
      <w:pPr>
        <w:spacing w:before="56" w:line="221" w:lineRule="auto"/>
        <w:ind w:left="48"/>
        <w:rPr>
          <w:rFonts w:ascii="仿宋" w:hAnsi="仿宋" w:eastAsia="仿宋" w:cs="仿宋"/>
          <w:sz w:val="20"/>
          <w:szCs w:val="20"/>
        </w:rPr>
      </w:pPr>
      <w:r>
        <w:rPr>
          <w:rFonts w:ascii="仿宋" w:hAnsi="仿宋" w:eastAsia="仿宋" w:cs="仿宋"/>
          <w:spacing w:val="-1"/>
          <w:sz w:val="20"/>
          <w:szCs w:val="20"/>
        </w:rPr>
        <w:t>注：同一用水项目中如有分行，第一行为夏季数据，第二行为其他</w:t>
      </w:r>
      <w:r>
        <w:rPr>
          <w:rFonts w:ascii="仿宋" w:hAnsi="仿宋" w:eastAsia="仿宋" w:cs="仿宋"/>
          <w:spacing w:val="-2"/>
          <w:sz w:val="20"/>
          <w:szCs w:val="20"/>
        </w:rPr>
        <w:t>季节数据。</w:t>
      </w:r>
    </w:p>
    <w:p w14:paraId="1C4F4BDD">
      <w:pPr>
        <w:pStyle w:val="2"/>
        <w:spacing w:line="336" w:lineRule="auto"/>
      </w:pPr>
    </w:p>
    <w:p w14:paraId="0987843F">
      <w:pPr>
        <w:pStyle w:val="2"/>
        <w:spacing w:line="9007" w:lineRule="exact"/>
        <w:ind w:firstLine="51"/>
      </w:pPr>
      <w:r>
        <w:rPr>
          <w:position w:val="-180"/>
        </w:rPr>
        <w:pict>
          <v:group id="_x0000_s1043" o:spid="_x0000_s1043" o:spt="203" style="height:450.35pt;width:413.1pt;" coordsize="8262,9007">
            <o:lock v:ext="edit"/>
            <v:shape id="_x0000_s1044" o:spid="_x0000_s1044" o:spt="75" type="#_x0000_t75" style="position:absolute;left:0;top:79;height:8927;width:8262;" filled="f" stroked="f" coordsize="21600,21600">
              <v:path/>
              <v:fill on="f" focussize="0,0"/>
              <v:stroke on="f"/>
              <v:imagedata r:id="rId553" o:title=""/>
              <o:lock v:ext="edit" aspectratio="t"/>
            </v:shape>
            <v:shape id="_x0000_s1045" o:spid="_x0000_s1045" o:spt="202" type="#_x0000_t202" style="position:absolute;left:3038;top:2926;height:5970;width:3896;" filled="f" stroked="f" coordsize="21600,21600">
              <v:path/>
              <v:fill on="f" focussize="0,0"/>
              <v:stroke on="f"/>
              <v:imagedata o:title=""/>
              <o:lock v:ext="edit" aspectratio="f"/>
              <v:textbox inset="0mm,0mm,0mm,0mm">
                <w:txbxContent>
                  <w:p w14:paraId="55CBC1A0">
                    <w:pPr>
                      <w:spacing w:before="19" w:line="466" w:lineRule="auto"/>
                      <w:ind w:left="2505" w:right="28" w:hanging="1792"/>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 xml:space="preserve">5.00                   </w:t>
                    </w:r>
                    <w:r>
                      <w:rPr>
                        <w:rFonts w:ascii="宋体" w:hAnsi="宋体" w:eastAsia="宋体" w:cs="宋体"/>
                        <w:spacing w:val="-1"/>
                        <w:sz w:val="15"/>
                        <w:szCs w:val="15"/>
                      </w:rPr>
                      <w:t xml:space="preserve">猪具清洗用水              </w:t>
                    </w:r>
                    <w:r>
                      <w:rPr>
                        <w:rFonts w:ascii="Times New Roman" w:hAnsi="Times New Roman" w:eastAsia="Times New Roman" w:cs="Times New Roman"/>
                        <w:spacing w:val="-1"/>
                        <w:sz w:val="15"/>
                        <w:szCs w:val="15"/>
                      </w:rPr>
                      <w:t>4.25</w:t>
                    </w: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15.96</w:t>
                    </w:r>
                  </w:p>
                  <w:p w14:paraId="15B743AA">
                    <w:pPr>
                      <w:spacing w:before="70" w:line="220" w:lineRule="auto"/>
                      <w:ind w:right="20"/>
                      <w:jc w:val="right"/>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 xml:space="preserve">17.76          </w:t>
                    </w:r>
                    <w:r>
                      <w:rPr>
                        <w:rFonts w:ascii="宋体" w:hAnsi="宋体" w:eastAsia="宋体" w:cs="宋体"/>
                        <w:spacing w:val="-2"/>
                        <w:sz w:val="15"/>
                        <w:szCs w:val="15"/>
                      </w:rPr>
                      <w:t>猪舍生物喷雾除臭用水</w:t>
                    </w:r>
                    <w:r>
                      <w:rPr>
                        <w:rFonts w:ascii="宋体" w:hAnsi="宋体" w:eastAsia="宋体" w:cs="宋体"/>
                        <w:spacing w:val="1"/>
                        <w:sz w:val="15"/>
                        <w:szCs w:val="15"/>
                      </w:rPr>
                      <w:t xml:space="preserve">          </w:t>
                    </w:r>
                    <w:r>
                      <w:rPr>
                        <w:rFonts w:ascii="Times New Roman" w:hAnsi="Times New Roman" w:eastAsia="Times New Roman" w:cs="Times New Roman"/>
                        <w:spacing w:val="-2"/>
                        <w:sz w:val="15"/>
                        <w:szCs w:val="15"/>
                      </w:rPr>
                      <w:t>1.80</w:t>
                    </w:r>
                  </w:p>
                  <w:p w14:paraId="57B63418">
                    <w:pPr>
                      <w:spacing w:before="218" w:line="220" w:lineRule="auto"/>
                      <w:ind w:left="2362"/>
                      <w:rPr>
                        <w:rFonts w:ascii="Times New Roman" w:hAnsi="Times New Roman" w:eastAsia="Times New Roman" w:cs="Times New Roman"/>
                        <w:sz w:val="15"/>
                        <w:szCs w:val="15"/>
                      </w:rPr>
                    </w:pPr>
                    <w:r>
                      <w:rPr>
                        <w:rFonts w:ascii="宋体" w:hAnsi="宋体" w:eastAsia="宋体" w:cs="宋体"/>
                        <w:spacing w:val="-1"/>
                        <w:sz w:val="15"/>
                        <w:szCs w:val="15"/>
                      </w:rPr>
                      <w:t>循环水量</w:t>
                    </w:r>
                    <w:r>
                      <w:rPr>
                        <w:rFonts w:ascii="Times New Roman" w:hAnsi="Times New Roman" w:eastAsia="Times New Roman" w:cs="Times New Roman"/>
                        <w:spacing w:val="-1"/>
                        <w:sz w:val="15"/>
                        <w:szCs w:val="15"/>
                      </w:rPr>
                      <w:t>39.90</w:t>
                    </w:r>
                  </w:p>
                  <w:p w14:paraId="5076F946">
                    <w:pPr>
                      <w:spacing w:before="171" w:line="220" w:lineRule="auto"/>
                      <w:ind w:left="2653"/>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29.65</w:t>
                    </w:r>
                  </w:p>
                  <w:p w14:paraId="4F73A303">
                    <w:pPr>
                      <w:spacing w:before="239" w:line="220" w:lineRule="auto"/>
                      <w:ind w:left="674"/>
                      <w:rPr>
                        <w:rFonts w:ascii="宋体" w:hAnsi="宋体" w:eastAsia="宋体" w:cs="宋体"/>
                        <w:sz w:val="15"/>
                        <w:szCs w:val="15"/>
                      </w:rPr>
                    </w:pPr>
                    <w:r>
                      <w:rPr>
                        <w:rFonts w:ascii="Times New Roman" w:hAnsi="Times New Roman" w:eastAsia="Times New Roman" w:cs="Times New Roman"/>
                        <w:spacing w:val="-1"/>
                        <w:sz w:val="15"/>
                        <w:szCs w:val="15"/>
                      </w:rPr>
                      <w:t xml:space="preserve">29.65              </w:t>
                    </w:r>
                    <w:r>
                      <w:rPr>
                        <w:rFonts w:ascii="宋体" w:hAnsi="宋体" w:eastAsia="宋体" w:cs="宋体"/>
                        <w:spacing w:val="-1"/>
                        <w:sz w:val="15"/>
                        <w:szCs w:val="15"/>
                      </w:rPr>
                      <w:t>夏季猪舍降温用水</w:t>
                    </w:r>
                  </w:p>
                  <w:p w14:paraId="0A2AF09E">
                    <w:pPr>
                      <w:spacing w:before="218" w:line="220" w:lineRule="auto"/>
                      <w:ind w:left="2320"/>
                      <w:rPr>
                        <w:rFonts w:ascii="Times New Roman" w:hAnsi="Times New Roman" w:eastAsia="Times New Roman" w:cs="Times New Roman"/>
                        <w:sz w:val="15"/>
                        <w:szCs w:val="15"/>
                      </w:rPr>
                    </w:pPr>
                    <w:r>
                      <w:rPr>
                        <w:rFonts w:ascii="宋体" w:hAnsi="宋体" w:eastAsia="宋体" w:cs="宋体"/>
                        <w:spacing w:val="-1"/>
                        <w:sz w:val="15"/>
                        <w:szCs w:val="15"/>
                      </w:rPr>
                      <w:t>循环水量</w:t>
                    </w:r>
                    <w:r>
                      <w:rPr>
                        <w:rFonts w:ascii="Times New Roman" w:hAnsi="Times New Roman" w:eastAsia="Times New Roman" w:cs="Times New Roman"/>
                        <w:spacing w:val="-1"/>
                        <w:sz w:val="15"/>
                        <w:szCs w:val="15"/>
                      </w:rPr>
                      <w:t>148.25</w:t>
                    </w:r>
                  </w:p>
                  <w:p w14:paraId="13C9F92B">
                    <w:pPr>
                      <w:spacing w:before="125" w:line="220" w:lineRule="auto"/>
                      <w:ind w:left="2653"/>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26.18</w:t>
                    </w:r>
                  </w:p>
                  <w:p w14:paraId="47394C5E">
                    <w:pPr>
                      <w:spacing w:before="239" w:line="220" w:lineRule="auto"/>
                      <w:ind w:left="674"/>
                      <w:rPr>
                        <w:rFonts w:ascii="宋体" w:hAnsi="宋体" w:eastAsia="宋体" w:cs="宋体"/>
                        <w:sz w:val="15"/>
                        <w:szCs w:val="15"/>
                      </w:rPr>
                    </w:pPr>
                    <w:r>
                      <w:rPr>
                        <w:rFonts w:ascii="Times New Roman" w:hAnsi="Times New Roman" w:eastAsia="Times New Roman" w:cs="Times New Roman"/>
                        <w:spacing w:val="-1"/>
                        <w:sz w:val="15"/>
                        <w:szCs w:val="15"/>
                      </w:rPr>
                      <w:t xml:space="preserve">26.18                  </w:t>
                    </w:r>
                    <w:r>
                      <w:rPr>
                        <w:rFonts w:ascii="宋体" w:hAnsi="宋体" w:eastAsia="宋体" w:cs="宋体"/>
                        <w:spacing w:val="-1"/>
                        <w:sz w:val="15"/>
                        <w:szCs w:val="15"/>
                      </w:rPr>
                      <w:t>生物滤池用水</w:t>
                    </w:r>
                  </w:p>
                  <w:p w14:paraId="6ED919DA">
                    <w:pPr>
                      <w:spacing w:before="218" w:line="220" w:lineRule="auto"/>
                      <w:ind w:left="2320"/>
                      <w:rPr>
                        <w:rFonts w:ascii="Times New Roman" w:hAnsi="Times New Roman" w:eastAsia="Times New Roman" w:cs="Times New Roman"/>
                        <w:sz w:val="15"/>
                        <w:szCs w:val="15"/>
                      </w:rPr>
                    </w:pPr>
                    <w:r>
                      <w:rPr>
                        <w:rFonts w:ascii="宋体" w:hAnsi="宋体" w:eastAsia="宋体" w:cs="宋体"/>
                        <w:spacing w:val="-1"/>
                        <w:sz w:val="15"/>
                        <w:szCs w:val="15"/>
                      </w:rPr>
                      <w:t>循环水量</w:t>
                    </w:r>
                    <w:r>
                      <w:rPr>
                        <w:rFonts w:ascii="Times New Roman" w:hAnsi="Times New Roman" w:eastAsia="Times New Roman" w:cs="Times New Roman"/>
                        <w:spacing w:val="-1"/>
                        <w:sz w:val="15"/>
                        <w:szCs w:val="15"/>
                      </w:rPr>
                      <w:t>523.64</w:t>
                    </w:r>
                  </w:p>
                  <w:p w14:paraId="7884DAC3">
                    <w:pPr>
                      <w:spacing w:before="255" w:line="220" w:lineRule="auto"/>
                      <w:ind w:left="20"/>
                      <w:rPr>
                        <w:rFonts w:ascii="Times New Roman" w:hAnsi="Times New Roman" w:eastAsia="Times New Roman" w:cs="Times New Roman"/>
                        <w:sz w:val="15"/>
                        <w:szCs w:val="15"/>
                      </w:rPr>
                    </w:pPr>
                    <w:r>
                      <w:rPr>
                        <w:rFonts w:ascii="宋体" w:hAnsi="宋体" w:eastAsia="宋体" w:cs="宋体"/>
                        <w:spacing w:val="-2"/>
                        <w:sz w:val="15"/>
                        <w:szCs w:val="15"/>
                      </w:rPr>
                      <w:t>损耗</w:t>
                    </w:r>
                    <w:r>
                      <w:rPr>
                        <w:rFonts w:ascii="Times New Roman" w:hAnsi="Times New Roman" w:eastAsia="Times New Roman" w:cs="Times New Roman"/>
                        <w:spacing w:val="-2"/>
                        <w:sz w:val="15"/>
                        <w:szCs w:val="15"/>
                      </w:rPr>
                      <w:t>1.17</w:t>
                    </w:r>
                  </w:p>
                  <w:p w14:paraId="6F19D29F">
                    <w:pPr>
                      <w:spacing w:line="275" w:lineRule="auto"/>
                      <w:rPr>
                        <w:rFonts w:ascii="Arial"/>
                        <w:sz w:val="21"/>
                      </w:rPr>
                    </w:pPr>
                  </w:p>
                  <w:p w14:paraId="53BF7711">
                    <w:pPr>
                      <w:spacing w:before="44" w:line="188" w:lineRule="auto"/>
                      <w:ind w:left="2211"/>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6.63</w:t>
                    </w:r>
                  </w:p>
                  <w:p w14:paraId="551F4F83">
                    <w:pPr>
                      <w:spacing w:line="249" w:lineRule="auto"/>
                      <w:rPr>
                        <w:rFonts w:ascii="Arial"/>
                        <w:sz w:val="21"/>
                      </w:rPr>
                    </w:pPr>
                  </w:p>
                  <w:p w14:paraId="17787C57">
                    <w:pPr>
                      <w:spacing w:line="250" w:lineRule="auto"/>
                      <w:rPr>
                        <w:rFonts w:ascii="Arial"/>
                        <w:sz w:val="21"/>
                      </w:rPr>
                    </w:pPr>
                  </w:p>
                  <w:p w14:paraId="1B839552">
                    <w:pPr>
                      <w:spacing w:before="49" w:line="220" w:lineRule="auto"/>
                      <w:ind w:left="547"/>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2.0</w:t>
                    </w:r>
                  </w:p>
                  <w:p w14:paraId="6DED5B3F">
                    <w:pPr>
                      <w:spacing w:line="421" w:lineRule="auto"/>
                      <w:rPr>
                        <w:rFonts w:ascii="Arial"/>
                        <w:sz w:val="21"/>
                      </w:rPr>
                    </w:pPr>
                  </w:p>
                  <w:p w14:paraId="17E62E0E">
                    <w:pPr>
                      <w:spacing w:before="49" w:line="220" w:lineRule="auto"/>
                      <w:ind w:left="547"/>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6.39</w:t>
                    </w:r>
                  </w:p>
                </w:txbxContent>
              </v:textbox>
            </v:shape>
            <v:shape id="_x0000_s1046" o:spid="_x0000_s1046" o:spt="202" type="#_x0000_t202" style="position:absolute;left:184;top:2941;height:5932;width:1410;" filled="f" stroked="f" coordsize="21600,21600">
              <v:path/>
              <v:fill on="f" focussize="0,0"/>
              <v:stroke on="f"/>
              <v:imagedata o:title=""/>
              <o:lock v:ext="edit" aspectratio="f"/>
              <v:textbox inset="0mm,0mm,0mm,0mm">
                <w:txbxContent>
                  <w:p w14:paraId="3AE4391F">
                    <w:pPr>
                      <w:spacing w:before="20" w:line="188" w:lineRule="auto"/>
                      <w:ind w:right="20"/>
                      <w:jc w:val="right"/>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628.84</w:t>
                    </w:r>
                  </w:p>
                  <w:p w14:paraId="668A53A5">
                    <w:pPr>
                      <w:spacing w:line="241" w:lineRule="auto"/>
                      <w:rPr>
                        <w:rFonts w:ascii="Arial"/>
                        <w:sz w:val="21"/>
                      </w:rPr>
                    </w:pPr>
                  </w:p>
                  <w:p w14:paraId="4827C124">
                    <w:pPr>
                      <w:spacing w:line="241" w:lineRule="auto"/>
                      <w:rPr>
                        <w:rFonts w:ascii="Arial"/>
                        <w:sz w:val="21"/>
                      </w:rPr>
                    </w:pPr>
                  </w:p>
                  <w:p w14:paraId="6A036904">
                    <w:pPr>
                      <w:spacing w:line="241" w:lineRule="auto"/>
                      <w:rPr>
                        <w:rFonts w:ascii="Arial"/>
                        <w:sz w:val="21"/>
                      </w:rPr>
                    </w:pPr>
                  </w:p>
                  <w:p w14:paraId="3F6847F1">
                    <w:pPr>
                      <w:spacing w:line="241" w:lineRule="auto"/>
                      <w:rPr>
                        <w:rFonts w:ascii="Arial"/>
                        <w:sz w:val="21"/>
                      </w:rPr>
                    </w:pPr>
                  </w:p>
                  <w:p w14:paraId="33D0884A">
                    <w:pPr>
                      <w:spacing w:line="241" w:lineRule="auto"/>
                      <w:rPr>
                        <w:rFonts w:ascii="Arial"/>
                        <w:sz w:val="21"/>
                      </w:rPr>
                    </w:pPr>
                  </w:p>
                  <w:p w14:paraId="4DD69907">
                    <w:pPr>
                      <w:spacing w:line="242" w:lineRule="auto"/>
                      <w:rPr>
                        <w:rFonts w:ascii="Arial"/>
                        <w:sz w:val="21"/>
                      </w:rPr>
                    </w:pPr>
                  </w:p>
                  <w:p w14:paraId="2A524742">
                    <w:pPr>
                      <w:spacing w:before="43" w:line="261" w:lineRule="auto"/>
                      <w:ind w:left="20" w:right="947" w:firstLine="19"/>
                      <w:rPr>
                        <w:rFonts w:ascii="宋体" w:hAnsi="宋体" w:eastAsia="宋体" w:cs="宋体"/>
                        <w:sz w:val="15"/>
                        <w:szCs w:val="15"/>
                      </w:rPr>
                    </w:pPr>
                    <w:r>
                      <w:rPr>
                        <w:rFonts w:ascii="Times New Roman" w:hAnsi="Times New Roman" w:eastAsia="Times New Roman" w:cs="Times New Roman"/>
                        <w:spacing w:val="-2"/>
                        <w:sz w:val="15"/>
                        <w:szCs w:val="15"/>
                      </w:rPr>
                      <w:t>645.03</w:t>
                    </w:r>
                    <w:r>
                      <w:rPr>
                        <w:rFonts w:ascii="宋体" w:hAnsi="宋体" w:eastAsia="宋体" w:cs="宋体"/>
                        <w:spacing w:val="-3"/>
                        <w:sz w:val="15"/>
                        <w:szCs w:val="15"/>
                      </w:rPr>
                      <w:t>地下水</w:t>
                    </w:r>
                  </w:p>
                  <w:p w14:paraId="6D98262C">
                    <w:pPr>
                      <w:spacing w:line="259" w:lineRule="auto"/>
                      <w:rPr>
                        <w:rFonts w:ascii="Arial"/>
                        <w:sz w:val="21"/>
                      </w:rPr>
                    </w:pPr>
                  </w:p>
                  <w:p w14:paraId="2092EBD2">
                    <w:pPr>
                      <w:spacing w:line="259" w:lineRule="auto"/>
                      <w:rPr>
                        <w:rFonts w:ascii="Arial"/>
                        <w:sz w:val="21"/>
                      </w:rPr>
                    </w:pPr>
                  </w:p>
                  <w:p w14:paraId="610608A9">
                    <w:pPr>
                      <w:spacing w:line="259" w:lineRule="auto"/>
                      <w:rPr>
                        <w:rFonts w:ascii="Arial"/>
                        <w:sz w:val="21"/>
                      </w:rPr>
                    </w:pPr>
                  </w:p>
                  <w:p w14:paraId="2584F3C6">
                    <w:pPr>
                      <w:spacing w:line="259" w:lineRule="auto"/>
                      <w:rPr>
                        <w:rFonts w:ascii="Arial"/>
                        <w:sz w:val="21"/>
                      </w:rPr>
                    </w:pPr>
                  </w:p>
                  <w:p w14:paraId="77203E6D">
                    <w:pPr>
                      <w:spacing w:line="259" w:lineRule="auto"/>
                      <w:rPr>
                        <w:rFonts w:ascii="Arial"/>
                        <w:sz w:val="21"/>
                      </w:rPr>
                    </w:pPr>
                  </w:p>
                  <w:p w14:paraId="2AE6BD14">
                    <w:pPr>
                      <w:spacing w:line="259" w:lineRule="auto"/>
                      <w:rPr>
                        <w:rFonts w:ascii="Arial"/>
                        <w:sz w:val="21"/>
                      </w:rPr>
                    </w:pPr>
                  </w:p>
                  <w:p w14:paraId="3AA3D9F4">
                    <w:pPr>
                      <w:spacing w:line="259" w:lineRule="auto"/>
                      <w:rPr>
                        <w:rFonts w:ascii="Arial"/>
                        <w:sz w:val="21"/>
                      </w:rPr>
                    </w:pPr>
                  </w:p>
                  <w:p w14:paraId="51744234">
                    <w:pPr>
                      <w:spacing w:line="260" w:lineRule="auto"/>
                      <w:rPr>
                        <w:rFonts w:ascii="Arial"/>
                        <w:sz w:val="21"/>
                      </w:rPr>
                    </w:pPr>
                  </w:p>
                  <w:p w14:paraId="10E0835B">
                    <w:pPr>
                      <w:spacing w:line="260" w:lineRule="auto"/>
                      <w:rPr>
                        <w:rFonts w:ascii="Arial"/>
                        <w:sz w:val="21"/>
                      </w:rPr>
                    </w:pPr>
                  </w:p>
                  <w:p w14:paraId="4B2A1F12">
                    <w:pPr>
                      <w:spacing w:before="43" w:line="188" w:lineRule="auto"/>
                      <w:ind w:left="106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7.80</w:t>
                    </w:r>
                  </w:p>
                  <w:p w14:paraId="184AF97F">
                    <w:pPr>
                      <w:spacing w:line="263" w:lineRule="auto"/>
                      <w:rPr>
                        <w:rFonts w:ascii="Arial"/>
                        <w:sz w:val="21"/>
                      </w:rPr>
                    </w:pPr>
                  </w:p>
                  <w:p w14:paraId="4297D64E">
                    <w:pPr>
                      <w:spacing w:line="263" w:lineRule="auto"/>
                      <w:rPr>
                        <w:rFonts w:ascii="Arial"/>
                        <w:sz w:val="21"/>
                      </w:rPr>
                    </w:pPr>
                  </w:p>
                  <w:p w14:paraId="137306FB">
                    <w:pPr>
                      <w:spacing w:before="43" w:line="188" w:lineRule="auto"/>
                      <w:ind w:left="1094"/>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2.0</w:t>
                    </w:r>
                  </w:p>
                  <w:p w14:paraId="6867349E">
                    <w:pPr>
                      <w:spacing w:line="471" w:lineRule="auto"/>
                      <w:rPr>
                        <w:rFonts w:ascii="Arial"/>
                        <w:sz w:val="21"/>
                      </w:rPr>
                    </w:pPr>
                  </w:p>
                  <w:p w14:paraId="5F61ED9D">
                    <w:pPr>
                      <w:spacing w:before="44" w:line="188" w:lineRule="auto"/>
                      <w:ind w:left="1053"/>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6.39</w:t>
                    </w:r>
                  </w:p>
                </w:txbxContent>
              </v:textbox>
            </v:shape>
            <v:shape id="_x0000_s1047" o:spid="_x0000_s1047" o:spt="202" type="#_x0000_t202" style="position:absolute;left:2122;top:2918;height:5977;width:780;" filled="f" stroked="f" coordsize="21600,21600">
              <v:path/>
              <v:fill on="f" focussize="0,0"/>
              <v:stroke on="f"/>
              <v:imagedata o:title=""/>
              <o:lock v:ext="edit" aspectratio="f"/>
              <v:textbox inset="0mm,0mm,0mm,0mm">
                <w:txbxContent>
                  <w:p w14:paraId="734B880B">
                    <w:pPr>
                      <w:spacing w:before="19" w:line="220" w:lineRule="auto"/>
                      <w:ind w:left="100"/>
                      <w:rPr>
                        <w:rFonts w:ascii="宋体" w:hAnsi="宋体" w:eastAsia="宋体" w:cs="宋体"/>
                        <w:sz w:val="15"/>
                        <w:szCs w:val="15"/>
                      </w:rPr>
                    </w:pPr>
                    <w:r>
                      <w:rPr>
                        <w:rFonts w:ascii="宋体" w:hAnsi="宋体" w:eastAsia="宋体" w:cs="宋体"/>
                        <w:spacing w:val="-3"/>
                        <w:sz w:val="15"/>
                        <w:szCs w:val="15"/>
                      </w:rPr>
                      <w:t>生产用水</w:t>
                    </w:r>
                  </w:p>
                  <w:p w14:paraId="7570F4AF">
                    <w:pPr>
                      <w:spacing w:line="245" w:lineRule="auto"/>
                      <w:rPr>
                        <w:rFonts w:ascii="Arial"/>
                        <w:sz w:val="21"/>
                      </w:rPr>
                    </w:pPr>
                  </w:p>
                  <w:p w14:paraId="1A7D304A">
                    <w:pPr>
                      <w:spacing w:line="245" w:lineRule="auto"/>
                      <w:rPr>
                        <w:rFonts w:ascii="Arial"/>
                        <w:sz w:val="21"/>
                      </w:rPr>
                    </w:pPr>
                  </w:p>
                  <w:p w14:paraId="47002209">
                    <w:pPr>
                      <w:spacing w:line="245" w:lineRule="auto"/>
                      <w:rPr>
                        <w:rFonts w:ascii="Arial"/>
                        <w:sz w:val="21"/>
                      </w:rPr>
                    </w:pPr>
                  </w:p>
                  <w:p w14:paraId="3F335A33">
                    <w:pPr>
                      <w:spacing w:line="245" w:lineRule="auto"/>
                      <w:rPr>
                        <w:rFonts w:ascii="Arial"/>
                        <w:sz w:val="21"/>
                      </w:rPr>
                    </w:pPr>
                  </w:p>
                  <w:p w14:paraId="5AE01599">
                    <w:pPr>
                      <w:spacing w:line="245" w:lineRule="auto"/>
                      <w:rPr>
                        <w:rFonts w:ascii="Arial"/>
                        <w:sz w:val="21"/>
                      </w:rPr>
                    </w:pPr>
                  </w:p>
                  <w:p w14:paraId="335E58D5">
                    <w:pPr>
                      <w:spacing w:line="245" w:lineRule="auto"/>
                      <w:rPr>
                        <w:rFonts w:ascii="Arial"/>
                        <w:sz w:val="21"/>
                      </w:rPr>
                    </w:pPr>
                  </w:p>
                  <w:p w14:paraId="2F8AF9C1">
                    <w:pPr>
                      <w:spacing w:line="245" w:lineRule="auto"/>
                      <w:rPr>
                        <w:rFonts w:ascii="Arial"/>
                        <w:sz w:val="21"/>
                      </w:rPr>
                    </w:pPr>
                  </w:p>
                  <w:p w14:paraId="4465CBB1">
                    <w:pPr>
                      <w:spacing w:line="245" w:lineRule="auto"/>
                      <w:rPr>
                        <w:rFonts w:ascii="Arial"/>
                        <w:sz w:val="21"/>
                      </w:rPr>
                    </w:pPr>
                  </w:p>
                  <w:p w14:paraId="49D8F918">
                    <w:pPr>
                      <w:spacing w:line="245" w:lineRule="auto"/>
                      <w:rPr>
                        <w:rFonts w:ascii="Arial"/>
                        <w:sz w:val="21"/>
                      </w:rPr>
                    </w:pPr>
                  </w:p>
                  <w:p w14:paraId="20835C09">
                    <w:pPr>
                      <w:spacing w:line="246" w:lineRule="auto"/>
                      <w:rPr>
                        <w:rFonts w:ascii="Arial"/>
                        <w:sz w:val="21"/>
                      </w:rPr>
                    </w:pPr>
                  </w:p>
                  <w:p w14:paraId="746B431B">
                    <w:pPr>
                      <w:spacing w:line="246" w:lineRule="auto"/>
                      <w:rPr>
                        <w:rFonts w:ascii="Arial"/>
                        <w:sz w:val="21"/>
                      </w:rPr>
                    </w:pPr>
                  </w:p>
                  <w:p w14:paraId="20B81323">
                    <w:pPr>
                      <w:spacing w:line="246" w:lineRule="auto"/>
                      <w:rPr>
                        <w:rFonts w:ascii="Arial"/>
                        <w:sz w:val="21"/>
                      </w:rPr>
                    </w:pPr>
                  </w:p>
                  <w:p w14:paraId="71DA6AD0">
                    <w:pPr>
                      <w:spacing w:line="246" w:lineRule="auto"/>
                      <w:rPr>
                        <w:rFonts w:ascii="Arial"/>
                        <w:sz w:val="21"/>
                      </w:rPr>
                    </w:pPr>
                  </w:p>
                  <w:p w14:paraId="3269822C">
                    <w:pPr>
                      <w:spacing w:line="246" w:lineRule="auto"/>
                      <w:rPr>
                        <w:rFonts w:ascii="Arial"/>
                        <w:sz w:val="21"/>
                      </w:rPr>
                    </w:pPr>
                  </w:p>
                  <w:p w14:paraId="73540304">
                    <w:pPr>
                      <w:spacing w:line="246" w:lineRule="auto"/>
                      <w:rPr>
                        <w:rFonts w:ascii="Arial"/>
                        <w:sz w:val="21"/>
                      </w:rPr>
                    </w:pPr>
                  </w:p>
                  <w:p w14:paraId="495FB0DA">
                    <w:pPr>
                      <w:spacing w:line="246" w:lineRule="auto"/>
                      <w:rPr>
                        <w:rFonts w:ascii="Arial"/>
                        <w:sz w:val="21"/>
                      </w:rPr>
                    </w:pPr>
                  </w:p>
                  <w:p w14:paraId="44977FA7">
                    <w:pPr>
                      <w:spacing w:line="246" w:lineRule="auto"/>
                      <w:rPr>
                        <w:rFonts w:ascii="Arial"/>
                        <w:sz w:val="21"/>
                      </w:rPr>
                    </w:pPr>
                  </w:p>
                  <w:p w14:paraId="59949FF1">
                    <w:pPr>
                      <w:spacing w:before="49" w:line="220" w:lineRule="auto"/>
                      <w:ind w:left="100"/>
                      <w:rPr>
                        <w:rFonts w:ascii="宋体" w:hAnsi="宋体" w:eastAsia="宋体" w:cs="宋体"/>
                        <w:sz w:val="15"/>
                        <w:szCs w:val="15"/>
                      </w:rPr>
                    </w:pPr>
                    <w:r>
                      <w:rPr>
                        <w:rFonts w:ascii="宋体" w:hAnsi="宋体" w:eastAsia="宋体" w:cs="宋体"/>
                        <w:spacing w:val="-3"/>
                        <w:sz w:val="15"/>
                        <w:szCs w:val="15"/>
                      </w:rPr>
                      <w:t>生活用水</w:t>
                    </w:r>
                  </w:p>
                  <w:p w14:paraId="0497C3FA">
                    <w:pPr>
                      <w:spacing w:line="477" w:lineRule="auto"/>
                      <w:rPr>
                        <w:rFonts w:ascii="Arial"/>
                        <w:sz w:val="21"/>
                      </w:rPr>
                    </w:pPr>
                  </w:p>
                  <w:p w14:paraId="4EABBA83">
                    <w:pPr>
                      <w:spacing w:before="49" w:line="220" w:lineRule="auto"/>
                      <w:ind w:left="100"/>
                      <w:rPr>
                        <w:rFonts w:ascii="宋体" w:hAnsi="宋体" w:eastAsia="宋体" w:cs="宋体"/>
                        <w:sz w:val="15"/>
                        <w:szCs w:val="15"/>
                      </w:rPr>
                    </w:pPr>
                    <w:r>
                      <w:rPr>
                        <w:rFonts w:ascii="宋体" w:hAnsi="宋体" w:eastAsia="宋体" w:cs="宋体"/>
                        <w:spacing w:val="-3"/>
                        <w:sz w:val="15"/>
                        <w:szCs w:val="15"/>
                      </w:rPr>
                      <w:t>绿化用水</w:t>
                    </w:r>
                  </w:p>
                  <w:p w14:paraId="02BBDE51">
                    <w:pPr>
                      <w:spacing w:line="421" w:lineRule="auto"/>
                      <w:rPr>
                        <w:rFonts w:ascii="Arial"/>
                        <w:sz w:val="21"/>
                      </w:rPr>
                    </w:pPr>
                  </w:p>
                  <w:p w14:paraId="3113C7DC">
                    <w:pPr>
                      <w:spacing w:before="49" w:line="220" w:lineRule="auto"/>
                      <w:ind w:left="20"/>
                      <w:rPr>
                        <w:rFonts w:ascii="宋体" w:hAnsi="宋体" w:eastAsia="宋体" w:cs="宋体"/>
                        <w:sz w:val="15"/>
                        <w:szCs w:val="15"/>
                      </w:rPr>
                    </w:pPr>
                    <w:r>
                      <w:rPr>
                        <w:rFonts w:ascii="宋体" w:hAnsi="宋体" w:eastAsia="宋体" w:cs="宋体"/>
                        <w:spacing w:val="-2"/>
                        <w:sz w:val="15"/>
                        <w:szCs w:val="15"/>
                      </w:rPr>
                      <w:t>未预见用水</w:t>
                    </w:r>
                  </w:p>
                </w:txbxContent>
              </v:textbox>
            </v:shape>
            <v:shape id="_x0000_s1048" o:spid="_x0000_s1048" o:spt="202" type="#_x0000_t202" style="position:absolute;left:5583;top:-20;height:1443;width:1425;" filled="f" stroked="f" coordsize="21600,21600">
              <v:path/>
              <v:fill on="f" focussize="0,0"/>
              <v:stroke on="f"/>
              <v:imagedata o:title=""/>
              <o:lock v:ext="edit" aspectratio="f"/>
              <v:textbox inset="0mm,0mm,0mm,0mm">
                <w:txbxContent>
                  <w:p w14:paraId="59F1489B">
                    <w:pPr>
                      <w:spacing w:before="19" w:line="220" w:lineRule="auto"/>
                      <w:ind w:left="20"/>
                      <w:rPr>
                        <w:rFonts w:ascii="Times New Roman" w:hAnsi="Times New Roman" w:eastAsia="Times New Roman" w:cs="Times New Roman"/>
                        <w:sz w:val="15"/>
                        <w:szCs w:val="15"/>
                      </w:rPr>
                    </w:pPr>
                    <w:r>
                      <w:rPr>
                        <w:rFonts w:ascii="宋体" w:hAnsi="宋体" w:eastAsia="宋体" w:cs="宋体"/>
                        <w:spacing w:val="-1"/>
                        <w:sz w:val="15"/>
                        <w:szCs w:val="15"/>
                      </w:rPr>
                      <w:t>生长消耗等</w:t>
                    </w:r>
                    <w:r>
                      <w:rPr>
                        <w:rFonts w:ascii="Times New Roman" w:hAnsi="Times New Roman" w:eastAsia="Times New Roman" w:cs="Times New Roman"/>
                        <w:spacing w:val="-1"/>
                        <w:sz w:val="15"/>
                        <w:szCs w:val="15"/>
                      </w:rPr>
                      <w:t>313.93</w:t>
                    </w:r>
                  </w:p>
                  <w:p w14:paraId="335900DE">
                    <w:pPr>
                      <w:spacing w:line="248" w:lineRule="auto"/>
                      <w:rPr>
                        <w:rFonts w:ascii="Arial"/>
                        <w:sz w:val="21"/>
                      </w:rPr>
                    </w:pPr>
                  </w:p>
                  <w:p w14:paraId="31EAA8ED">
                    <w:pPr>
                      <w:spacing w:before="43" w:line="540" w:lineRule="auto"/>
                      <w:ind w:left="42" w:right="20" w:firstLine="95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226.07</w:t>
                    </w:r>
                    <w:r>
                      <w:rPr>
                        <w:rFonts w:ascii="宋体" w:hAnsi="宋体" w:eastAsia="宋体" w:cs="宋体"/>
                        <w:spacing w:val="-2"/>
                        <w:sz w:val="15"/>
                        <w:szCs w:val="15"/>
                      </w:rPr>
                      <w:t>损耗</w:t>
                    </w:r>
                    <w:r>
                      <w:rPr>
                        <w:rFonts w:ascii="Times New Roman" w:hAnsi="Times New Roman" w:eastAsia="Times New Roman" w:cs="Times New Roman"/>
                        <w:spacing w:val="-2"/>
                        <w:sz w:val="15"/>
                        <w:szCs w:val="15"/>
                      </w:rPr>
                      <w:t>0.94</w:t>
                    </w:r>
                  </w:p>
                  <w:p w14:paraId="0108C021">
                    <w:pPr>
                      <w:spacing w:line="188" w:lineRule="auto"/>
                      <w:ind w:left="107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5.31</w:t>
                    </w:r>
                  </w:p>
                </w:txbxContent>
              </v:textbox>
            </v:shape>
            <v:shape id="_x0000_s1049" o:spid="_x0000_s1049" o:spt="202" type="#_x0000_t202" style="position:absolute;left:4700;top:1661;height:1005;width:1730;" filled="f" stroked="f" coordsize="21600,21600">
              <v:path/>
              <v:fill on="f" focussize="0,0"/>
              <v:stroke on="f"/>
              <v:imagedata o:title=""/>
              <o:lock v:ext="edit" aspectratio="f"/>
              <v:textbox inset="0mm,0mm,0mm,0mm">
                <w:txbxContent>
                  <w:p w14:paraId="0AFBFD95">
                    <w:pPr>
                      <w:spacing w:before="20" w:line="501" w:lineRule="auto"/>
                      <w:ind w:left="20" w:right="20" w:firstLine="838"/>
                      <w:rPr>
                        <w:rFonts w:ascii="宋体" w:hAnsi="宋体" w:eastAsia="宋体" w:cs="宋体"/>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0.60</w:t>
                    </w:r>
                    <w:r>
                      <w:rPr>
                        <w:rFonts w:ascii="宋体" w:hAnsi="宋体" w:eastAsia="宋体" w:cs="宋体"/>
                        <w:spacing w:val="-2"/>
                        <w:sz w:val="15"/>
                        <w:szCs w:val="15"/>
                      </w:rPr>
                      <w:t>车辆洗消用水</w:t>
                    </w:r>
                  </w:p>
                  <w:p w14:paraId="34D39994">
                    <w:pPr>
                      <w:spacing w:line="219" w:lineRule="auto"/>
                      <w:ind w:right="21"/>
                      <w:jc w:val="right"/>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0.75</w:t>
                    </w:r>
                  </w:p>
                </w:txbxContent>
              </v:textbox>
            </v:shape>
            <v:shape id="_x0000_s1050" o:spid="_x0000_s1050" o:spt="202" type="#_x0000_t202" style="position:absolute;left:7007;top:7624;height:1230;width:1190;" filled="f" stroked="f" coordsize="21600,21600">
              <v:path/>
              <v:fill on="f" focussize="0,0"/>
              <v:stroke on="f"/>
              <v:imagedata o:title=""/>
              <o:lock v:ext="edit" aspectratio="f"/>
              <v:textbox inset="0mm,0mm,0mm,0mm">
                <w:txbxContent>
                  <w:p w14:paraId="1BF3B5B1">
                    <w:pPr>
                      <w:spacing w:before="20" w:line="591" w:lineRule="auto"/>
                      <w:ind w:left="149" w:right="137" w:firstLine="495"/>
                      <w:rPr>
                        <w:rFonts w:ascii="宋体" w:hAnsi="宋体" w:eastAsia="宋体" w:cs="宋体"/>
                        <w:sz w:val="15"/>
                        <w:szCs w:val="15"/>
                      </w:rPr>
                    </w:pPr>
                    <w:r>
                      <w:rPr>
                        <w:rFonts w:ascii="Times New Roman" w:hAnsi="Times New Roman" w:eastAsia="Times New Roman" w:cs="Times New Roman"/>
                        <w:spacing w:val="-1"/>
                        <w:sz w:val="15"/>
                        <w:szCs w:val="15"/>
                      </w:rPr>
                      <w:t>247.46</w:t>
                    </w:r>
                    <w:r>
                      <w:rPr>
                        <w:rFonts w:ascii="宋体" w:hAnsi="宋体" w:eastAsia="宋体" w:cs="宋体"/>
                        <w:spacing w:val="-2"/>
                        <w:sz w:val="15"/>
                        <w:szCs w:val="15"/>
                      </w:rPr>
                      <w:t>污水处理系统</w:t>
                    </w:r>
                  </w:p>
                  <w:p w14:paraId="4FA5C8CA">
                    <w:pPr>
                      <w:spacing w:before="135" w:line="220" w:lineRule="auto"/>
                      <w:ind w:left="20"/>
                      <w:rPr>
                        <w:rFonts w:ascii="Times New Roman" w:hAnsi="Times New Roman" w:eastAsia="Times New Roman" w:cs="Times New Roman"/>
                        <w:sz w:val="15"/>
                        <w:szCs w:val="15"/>
                      </w:rPr>
                    </w:pPr>
                    <w:r>
                      <w:rPr>
                        <w:rFonts w:ascii="宋体" w:hAnsi="宋体" w:eastAsia="宋体" w:cs="宋体"/>
                        <w:spacing w:val="-2"/>
                        <w:sz w:val="15"/>
                        <w:szCs w:val="15"/>
                      </w:rPr>
                      <w:t>消纳地农灌</w:t>
                    </w:r>
                    <w:r>
                      <w:rPr>
                        <w:rFonts w:ascii="Times New Roman" w:hAnsi="Times New Roman" w:eastAsia="Times New Roman" w:cs="Times New Roman"/>
                        <w:spacing w:val="-2"/>
                        <w:sz w:val="15"/>
                        <w:szCs w:val="15"/>
                      </w:rPr>
                      <w:t>247.46</w:t>
                    </w:r>
                  </w:p>
                </w:txbxContent>
              </v:textbox>
            </v:shape>
            <v:shape id="_x0000_s1051" o:spid="_x0000_s1051" o:spt="202" type="#_x0000_t202" style="position:absolute;left:4774;top:430;height:1016;width:781;" filled="f" stroked="f" coordsize="21600,21600">
              <v:path/>
              <v:fill on="f" focussize="0,0"/>
              <v:stroke on="f"/>
              <v:imagedata o:title=""/>
              <o:lock v:ext="edit" aspectratio="f"/>
              <v:textbox inset="0mm,0mm,0mm,0mm">
                <w:txbxContent>
                  <w:p w14:paraId="2A5293D5">
                    <w:pPr>
                      <w:spacing w:before="19" w:line="220" w:lineRule="auto"/>
                      <w:ind w:left="94"/>
                      <w:rPr>
                        <w:rFonts w:ascii="宋体" w:hAnsi="宋体" w:eastAsia="宋体" w:cs="宋体"/>
                        <w:sz w:val="15"/>
                        <w:szCs w:val="15"/>
                      </w:rPr>
                    </w:pPr>
                    <w:r>
                      <w:rPr>
                        <w:rFonts w:ascii="宋体" w:hAnsi="宋体" w:eastAsia="宋体" w:cs="宋体"/>
                        <w:spacing w:val="-2"/>
                        <w:sz w:val="15"/>
                        <w:szCs w:val="15"/>
                      </w:rPr>
                      <w:t>猪饮用水</w:t>
                    </w:r>
                  </w:p>
                  <w:p w14:paraId="2F071408">
                    <w:pPr>
                      <w:spacing w:line="297" w:lineRule="auto"/>
                      <w:rPr>
                        <w:rFonts w:ascii="Arial"/>
                        <w:sz w:val="21"/>
                      </w:rPr>
                    </w:pPr>
                  </w:p>
                  <w:p w14:paraId="7B1D7458">
                    <w:pPr>
                      <w:spacing w:line="298" w:lineRule="auto"/>
                      <w:rPr>
                        <w:rFonts w:ascii="Arial"/>
                        <w:sz w:val="21"/>
                      </w:rPr>
                    </w:pPr>
                  </w:p>
                  <w:p w14:paraId="4559A697">
                    <w:pPr>
                      <w:spacing w:before="49" w:line="220" w:lineRule="auto"/>
                      <w:ind w:left="20"/>
                      <w:rPr>
                        <w:rFonts w:ascii="宋体" w:hAnsi="宋体" w:eastAsia="宋体" w:cs="宋体"/>
                        <w:sz w:val="15"/>
                        <w:szCs w:val="15"/>
                      </w:rPr>
                    </w:pPr>
                    <w:r>
                      <w:rPr>
                        <w:rFonts w:ascii="宋体" w:hAnsi="宋体" w:eastAsia="宋体" w:cs="宋体"/>
                        <w:spacing w:val="-2"/>
                        <w:sz w:val="15"/>
                        <w:szCs w:val="15"/>
                      </w:rPr>
                      <w:t>猪舍清洗水</w:t>
                    </w:r>
                  </w:p>
                </w:txbxContent>
              </v:textbox>
            </v:shape>
            <v:shape id="_x0000_s1052" o:spid="_x0000_s1052" o:spt="202" type="#_x0000_t202" style="position:absolute;left:3660;top:451;height:1828;width:444;" filled="f" stroked="f" coordsize="21600,21600">
              <v:path/>
              <v:fill on="f" focussize="0,0"/>
              <v:stroke on="f"/>
              <v:imagedata o:title=""/>
              <o:lock v:ext="edit" aspectratio="f"/>
              <v:textbox inset="0mm,0mm,0mm,0mm">
                <w:txbxContent>
                  <w:p w14:paraId="324407BD">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540.00</w:t>
                    </w:r>
                  </w:p>
                  <w:p w14:paraId="3CDFC3F3">
                    <w:pPr>
                      <w:spacing w:line="322" w:lineRule="auto"/>
                      <w:rPr>
                        <w:rFonts w:ascii="Arial"/>
                        <w:sz w:val="21"/>
                      </w:rPr>
                    </w:pPr>
                  </w:p>
                  <w:p w14:paraId="3F0D224D">
                    <w:pPr>
                      <w:spacing w:line="322" w:lineRule="auto"/>
                      <w:rPr>
                        <w:rFonts w:ascii="Arial"/>
                        <w:sz w:val="21"/>
                      </w:rPr>
                    </w:pPr>
                  </w:p>
                  <w:p w14:paraId="694E6B4A">
                    <w:pPr>
                      <w:spacing w:before="43" w:line="188" w:lineRule="auto"/>
                      <w:ind w:left="93"/>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6.25</w:t>
                    </w:r>
                  </w:p>
                  <w:p w14:paraId="49F04266">
                    <w:pPr>
                      <w:spacing w:line="336" w:lineRule="auto"/>
                      <w:rPr>
                        <w:rFonts w:ascii="Arial"/>
                        <w:sz w:val="21"/>
                      </w:rPr>
                    </w:pPr>
                  </w:p>
                  <w:p w14:paraId="1309725D">
                    <w:pPr>
                      <w:spacing w:line="337" w:lineRule="auto"/>
                      <w:rPr>
                        <w:rFonts w:ascii="Arial"/>
                        <w:sz w:val="21"/>
                      </w:rPr>
                    </w:pPr>
                  </w:p>
                  <w:p w14:paraId="4F657CC0">
                    <w:pPr>
                      <w:spacing w:before="43" w:line="188" w:lineRule="auto"/>
                      <w:ind w:left="89"/>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4.00</w:t>
                    </w:r>
                  </w:p>
                </w:txbxContent>
              </v:textbox>
            </v:shape>
            <v:shape id="_x0000_s1053" o:spid="_x0000_s1053" o:spt="202" type="#_x0000_t202" style="position:absolute;left:6632;top:2133;height:145;width:295;" filled="f" stroked="f" coordsize="21600,21600">
              <v:path/>
              <v:fill on="f" focussize="0,0"/>
              <v:stroke on="f"/>
              <v:imagedata o:title=""/>
              <o:lock v:ext="edit" aspectratio="f"/>
              <v:textbox inset="0mm,0mm,0mm,0mm">
                <w:txbxContent>
                  <w:p w14:paraId="3A25A732">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3.40</w:t>
                    </w:r>
                  </w:p>
                </w:txbxContent>
              </v:textbox>
            </v:shape>
            <w10:wrap type="none"/>
            <w10:anchorlock/>
          </v:group>
        </w:pict>
      </w:r>
    </w:p>
    <w:p w14:paraId="1D8A2E63">
      <w:pPr>
        <w:spacing w:before="263" w:line="228" w:lineRule="auto"/>
        <w:ind w:left="2238"/>
        <w:rPr>
          <w:rFonts w:ascii="黑体" w:hAnsi="黑体" w:eastAsia="黑体" w:cs="黑体"/>
          <w:sz w:val="21"/>
          <w:szCs w:val="21"/>
        </w:rPr>
      </w:pPr>
      <w:r>
        <w:rPr>
          <w:rFonts w:ascii="黑体" w:hAnsi="黑体" w:eastAsia="黑体" w:cs="黑体"/>
          <w:spacing w:val="-1"/>
          <w:sz w:val="21"/>
          <w:szCs w:val="21"/>
        </w:rPr>
        <w:t>图</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2.2-8  </w:t>
      </w:r>
      <w:r>
        <w:rPr>
          <w:rFonts w:ascii="黑体" w:hAnsi="黑体" w:eastAsia="黑体" w:cs="黑体"/>
          <w:spacing w:val="-1"/>
          <w:sz w:val="21"/>
          <w:szCs w:val="21"/>
        </w:rPr>
        <w:t>项目夏季水平衡图（单位：</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4"/>
          <w:szCs w:val="14"/>
        </w:rPr>
        <w:t>3</w:t>
      </w:r>
      <w:r>
        <w:rPr>
          <w:rFonts w:ascii="Times New Roman" w:hAnsi="Times New Roman" w:eastAsia="Times New Roman" w:cs="Times New Roman"/>
          <w:spacing w:val="-1"/>
          <w:sz w:val="21"/>
          <w:szCs w:val="21"/>
        </w:rPr>
        <w:t>/d</w:t>
      </w:r>
      <w:r>
        <w:rPr>
          <w:rFonts w:ascii="黑体" w:hAnsi="黑体" w:eastAsia="黑体" w:cs="黑体"/>
          <w:spacing w:val="-1"/>
          <w:sz w:val="21"/>
          <w:szCs w:val="21"/>
        </w:rPr>
        <w:t>）</w:t>
      </w:r>
    </w:p>
    <w:p w14:paraId="36600D27">
      <w:pPr>
        <w:spacing w:line="228" w:lineRule="auto"/>
        <w:rPr>
          <w:rFonts w:ascii="黑体" w:hAnsi="黑体" w:eastAsia="黑体" w:cs="黑体"/>
          <w:sz w:val="21"/>
          <w:szCs w:val="21"/>
        </w:rPr>
        <w:sectPr>
          <w:footerReference r:id="rId196" w:type="default"/>
          <w:pgSz w:w="11905" w:h="16840"/>
          <w:pgMar w:top="1168" w:right="1768" w:bottom="1408" w:left="1770" w:header="828" w:footer="1244" w:gutter="0"/>
          <w:cols w:space="720" w:num="1"/>
        </w:sectPr>
      </w:pPr>
    </w:p>
    <w:p w14:paraId="09146EA6">
      <w:pPr>
        <w:pStyle w:val="2"/>
        <w:spacing w:line="402" w:lineRule="auto"/>
      </w:pPr>
    </w:p>
    <w:p w14:paraId="2B5706B8">
      <w:pPr>
        <w:pStyle w:val="2"/>
        <w:spacing w:line="7898" w:lineRule="exact"/>
        <w:ind w:firstLine="51"/>
      </w:pPr>
      <w:r>
        <w:rPr>
          <w:position w:val="-157"/>
        </w:rPr>
        <w:pict>
          <v:group id="_x0000_s1054" o:spid="_x0000_s1054" o:spt="203" style="height:394.95pt;width:413.15pt;" coordsize="8262,7899">
            <o:lock v:ext="edit"/>
            <v:shape id="_x0000_s1055" o:spid="_x0000_s1055" o:spt="75" type="#_x0000_t75" style="position:absolute;left:0;top:79;height:7820;width:8262;" filled="f" stroked="f" coordsize="21600,21600">
              <v:path/>
              <v:fill on="f" focussize="0,0"/>
              <v:stroke on="f"/>
              <v:imagedata r:id="rId554" o:title=""/>
              <o:lock v:ext="edit" aspectratio="t"/>
            </v:shape>
            <v:shape id="_x0000_s1056" o:spid="_x0000_s1056" o:spt="202" type="#_x0000_t202" style="position:absolute;left:3038;top:4512;height:3276;width:3600;" filled="f" stroked="f" coordsize="21600,21600">
              <v:path/>
              <v:fill on="f" focussize="0,0"/>
              <v:stroke on="f"/>
              <v:imagedata o:title=""/>
              <o:lock v:ext="edit" aspectratio="f"/>
              <v:textbox inset="0mm,0mm,0mm,0mm">
                <w:txbxContent>
                  <w:p w14:paraId="3CB4B900">
                    <w:pPr>
                      <w:spacing w:before="19" w:line="220" w:lineRule="auto"/>
                      <w:ind w:right="19"/>
                      <w:jc w:val="right"/>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26.18</w:t>
                    </w:r>
                  </w:p>
                  <w:p w14:paraId="70E938DE">
                    <w:pPr>
                      <w:spacing w:before="238" w:line="220" w:lineRule="auto"/>
                      <w:ind w:left="674"/>
                      <w:rPr>
                        <w:rFonts w:ascii="宋体" w:hAnsi="宋体" w:eastAsia="宋体" w:cs="宋体"/>
                        <w:sz w:val="15"/>
                        <w:szCs w:val="15"/>
                      </w:rPr>
                    </w:pPr>
                    <w:r>
                      <w:rPr>
                        <w:rFonts w:ascii="Times New Roman" w:hAnsi="Times New Roman" w:eastAsia="Times New Roman" w:cs="Times New Roman"/>
                        <w:spacing w:val="-1"/>
                        <w:sz w:val="15"/>
                        <w:szCs w:val="15"/>
                      </w:rPr>
                      <w:t xml:space="preserve">26.18                  </w:t>
                    </w:r>
                    <w:r>
                      <w:rPr>
                        <w:rFonts w:ascii="宋体" w:hAnsi="宋体" w:eastAsia="宋体" w:cs="宋体"/>
                        <w:spacing w:val="-1"/>
                        <w:sz w:val="15"/>
                        <w:szCs w:val="15"/>
                      </w:rPr>
                      <w:t>生物滤池用水</w:t>
                    </w:r>
                  </w:p>
                  <w:p w14:paraId="0A53890B">
                    <w:pPr>
                      <w:spacing w:before="218" w:line="220" w:lineRule="auto"/>
                      <w:ind w:left="2320"/>
                      <w:rPr>
                        <w:rFonts w:ascii="Times New Roman" w:hAnsi="Times New Roman" w:eastAsia="Times New Roman" w:cs="Times New Roman"/>
                        <w:sz w:val="15"/>
                        <w:szCs w:val="15"/>
                      </w:rPr>
                    </w:pPr>
                    <w:r>
                      <w:rPr>
                        <w:rFonts w:ascii="宋体" w:hAnsi="宋体" w:eastAsia="宋体" w:cs="宋体"/>
                        <w:spacing w:val="-1"/>
                        <w:sz w:val="15"/>
                        <w:szCs w:val="15"/>
                      </w:rPr>
                      <w:t>循环水量</w:t>
                    </w:r>
                    <w:r>
                      <w:rPr>
                        <w:rFonts w:ascii="Times New Roman" w:hAnsi="Times New Roman" w:eastAsia="Times New Roman" w:cs="Times New Roman"/>
                        <w:spacing w:val="-1"/>
                        <w:sz w:val="15"/>
                        <w:szCs w:val="15"/>
                      </w:rPr>
                      <w:t>523.64</w:t>
                    </w:r>
                  </w:p>
                  <w:p w14:paraId="4F3C7E94">
                    <w:pPr>
                      <w:spacing w:before="254" w:line="220" w:lineRule="auto"/>
                      <w:ind w:left="20"/>
                      <w:rPr>
                        <w:rFonts w:ascii="Times New Roman" w:hAnsi="Times New Roman" w:eastAsia="Times New Roman" w:cs="Times New Roman"/>
                        <w:sz w:val="15"/>
                        <w:szCs w:val="15"/>
                      </w:rPr>
                    </w:pPr>
                    <w:r>
                      <w:rPr>
                        <w:rFonts w:ascii="宋体" w:hAnsi="宋体" w:eastAsia="宋体" w:cs="宋体"/>
                        <w:spacing w:val="-2"/>
                        <w:sz w:val="15"/>
                        <w:szCs w:val="15"/>
                      </w:rPr>
                      <w:t>损耗</w:t>
                    </w:r>
                    <w:r>
                      <w:rPr>
                        <w:rFonts w:ascii="Times New Roman" w:hAnsi="Times New Roman" w:eastAsia="Times New Roman" w:cs="Times New Roman"/>
                        <w:spacing w:val="-2"/>
                        <w:sz w:val="15"/>
                        <w:szCs w:val="15"/>
                      </w:rPr>
                      <w:t>1.17</w:t>
                    </w:r>
                  </w:p>
                  <w:p w14:paraId="153C3DE1">
                    <w:pPr>
                      <w:spacing w:line="275" w:lineRule="auto"/>
                      <w:rPr>
                        <w:rFonts w:ascii="Arial"/>
                        <w:sz w:val="21"/>
                      </w:rPr>
                    </w:pPr>
                  </w:p>
                  <w:p w14:paraId="6CFFA347">
                    <w:pPr>
                      <w:spacing w:before="44" w:line="188" w:lineRule="auto"/>
                      <w:ind w:left="2211"/>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6.63</w:t>
                    </w:r>
                  </w:p>
                  <w:p w14:paraId="2D3C2301">
                    <w:pPr>
                      <w:spacing w:line="249" w:lineRule="auto"/>
                      <w:rPr>
                        <w:rFonts w:ascii="Arial"/>
                        <w:sz w:val="21"/>
                      </w:rPr>
                    </w:pPr>
                  </w:p>
                  <w:p w14:paraId="7F184CCB">
                    <w:pPr>
                      <w:spacing w:line="250" w:lineRule="auto"/>
                      <w:rPr>
                        <w:rFonts w:ascii="Arial"/>
                        <w:sz w:val="21"/>
                      </w:rPr>
                    </w:pPr>
                  </w:p>
                  <w:p w14:paraId="7A34B6B3">
                    <w:pPr>
                      <w:spacing w:before="49" w:line="220" w:lineRule="auto"/>
                      <w:ind w:left="547"/>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2.0</w:t>
                    </w:r>
                  </w:p>
                  <w:p w14:paraId="5959AFA9">
                    <w:pPr>
                      <w:spacing w:line="421" w:lineRule="auto"/>
                      <w:rPr>
                        <w:rFonts w:ascii="Arial"/>
                        <w:sz w:val="21"/>
                      </w:rPr>
                    </w:pPr>
                  </w:p>
                  <w:p w14:paraId="1CF93409">
                    <w:pPr>
                      <w:spacing w:before="49" w:line="220" w:lineRule="auto"/>
                      <w:ind w:left="547"/>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5.25</w:t>
                    </w:r>
                  </w:p>
                </w:txbxContent>
              </v:textbox>
            </v:shape>
            <v:shape id="_x0000_s1057" o:spid="_x0000_s1057" o:spt="202" type="#_x0000_t202" style="position:absolute;left:184;top:2954;height:4810;width:1410;" filled="f" stroked="f" coordsize="21600,21600">
              <v:path/>
              <v:fill on="f" focussize="0,0"/>
              <v:stroke on="f"/>
              <v:imagedata o:title=""/>
              <o:lock v:ext="edit" aspectratio="f"/>
              <v:textbox inset="0mm,0mm,0mm,0mm">
                <w:txbxContent>
                  <w:p w14:paraId="6C1B3AAB">
                    <w:pPr>
                      <w:spacing w:before="20" w:line="188" w:lineRule="auto"/>
                      <w:ind w:right="20"/>
                      <w:jc w:val="right"/>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515.04</w:t>
                    </w:r>
                  </w:p>
                  <w:p w14:paraId="5D57C990">
                    <w:pPr>
                      <w:spacing w:line="266" w:lineRule="auto"/>
                      <w:rPr>
                        <w:rFonts w:ascii="Arial"/>
                        <w:sz w:val="21"/>
                      </w:rPr>
                    </w:pPr>
                  </w:p>
                  <w:p w14:paraId="6C0B0FCD">
                    <w:pPr>
                      <w:spacing w:line="266" w:lineRule="auto"/>
                      <w:rPr>
                        <w:rFonts w:ascii="Arial"/>
                        <w:sz w:val="21"/>
                      </w:rPr>
                    </w:pPr>
                  </w:p>
                  <w:p w14:paraId="7635CBCB">
                    <w:pPr>
                      <w:spacing w:line="267" w:lineRule="auto"/>
                      <w:rPr>
                        <w:rFonts w:ascii="Arial"/>
                        <w:sz w:val="21"/>
                      </w:rPr>
                    </w:pPr>
                  </w:p>
                  <w:p w14:paraId="6B8FB3F9">
                    <w:pPr>
                      <w:spacing w:line="267" w:lineRule="auto"/>
                      <w:rPr>
                        <w:rFonts w:ascii="Arial"/>
                        <w:sz w:val="21"/>
                      </w:rPr>
                    </w:pPr>
                  </w:p>
                  <w:p w14:paraId="3C98594B">
                    <w:pPr>
                      <w:spacing w:before="43" w:line="261" w:lineRule="auto"/>
                      <w:ind w:left="20" w:right="947" w:firstLine="20"/>
                      <w:rPr>
                        <w:rFonts w:ascii="宋体" w:hAnsi="宋体" w:eastAsia="宋体" w:cs="宋体"/>
                        <w:sz w:val="15"/>
                        <w:szCs w:val="15"/>
                      </w:rPr>
                    </w:pPr>
                    <w:r>
                      <w:rPr>
                        <w:rFonts w:ascii="Times New Roman" w:hAnsi="Times New Roman" w:eastAsia="Times New Roman" w:cs="Times New Roman"/>
                        <w:spacing w:val="-2"/>
                        <w:sz w:val="15"/>
                        <w:szCs w:val="15"/>
                      </w:rPr>
                      <w:t>530.09</w:t>
                    </w:r>
                    <w:r>
                      <w:rPr>
                        <w:rFonts w:ascii="宋体" w:hAnsi="宋体" w:eastAsia="宋体" w:cs="宋体"/>
                        <w:spacing w:val="-3"/>
                        <w:sz w:val="15"/>
                        <w:szCs w:val="15"/>
                      </w:rPr>
                      <w:t>地下水</w:t>
                    </w:r>
                  </w:p>
                  <w:p w14:paraId="78E15E27">
                    <w:pPr>
                      <w:spacing w:line="266" w:lineRule="auto"/>
                      <w:rPr>
                        <w:rFonts w:ascii="Arial"/>
                        <w:sz w:val="21"/>
                      </w:rPr>
                    </w:pPr>
                  </w:p>
                  <w:p w14:paraId="68338A77">
                    <w:pPr>
                      <w:spacing w:line="267" w:lineRule="auto"/>
                      <w:rPr>
                        <w:rFonts w:ascii="Arial"/>
                        <w:sz w:val="21"/>
                      </w:rPr>
                    </w:pPr>
                  </w:p>
                  <w:p w14:paraId="1ABB811A">
                    <w:pPr>
                      <w:spacing w:line="267" w:lineRule="auto"/>
                      <w:rPr>
                        <w:rFonts w:ascii="Arial"/>
                        <w:sz w:val="21"/>
                      </w:rPr>
                    </w:pPr>
                  </w:p>
                  <w:p w14:paraId="2FD84A9E">
                    <w:pPr>
                      <w:spacing w:line="267" w:lineRule="auto"/>
                      <w:rPr>
                        <w:rFonts w:ascii="Arial"/>
                        <w:sz w:val="21"/>
                      </w:rPr>
                    </w:pPr>
                  </w:p>
                  <w:p w14:paraId="0D70F09F">
                    <w:pPr>
                      <w:spacing w:line="267" w:lineRule="auto"/>
                      <w:rPr>
                        <w:rFonts w:ascii="Arial"/>
                        <w:sz w:val="21"/>
                      </w:rPr>
                    </w:pPr>
                  </w:p>
                  <w:p w14:paraId="66D1A889">
                    <w:pPr>
                      <w:spacing w:line="267" w:lineRule="auto"/>
                      <w:rPr>
                        <w:rFonts w:ascii="Arial"/>
                        <w:sz w:val="21"/>
                      </w:rPr>
                    </w:pPr>
                  </w:p>
                  <w:p w14:paraId="7E169311">
                    <w:pPr>
                      <w:spacing w:before="43" w:line="188" w:lineRule="auto"/>
                      <w:ind w:left="106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7.80</w:t>
                    </w:r>
                  </w:p>
                  <w:p w14:paraId="48854050">
                    <w:pPr>
                      <w:spacing w:line="263" w:lineRule="auto"/>
                      <w:rPr>
                        <w:rFonts w:ascii="Arial"/>
                        <w:sz w:val="21"/>
                      </w:rPr>
                    </w:pPr>
                  </w:p>
                  <w:p w14:paraId="5B8E6615">
                    <w:pPr>
                      <w:spacing w:line="263" w:lineRule="auto"/>
                      <w:rPr>
                        <w:rFonts w:ascii="Arial"/>
                        <w:sz w:val="21"/>
                      </w:rPr>
                    </w:pPr>
                  </w:p>
                  <w:p w14:paraId="1FFFF2AE">
                    <w:pPr>
                      <w:spacing w:before="43" w:line="188" w:lineRule="auto"/>
                      <w:ind w:left="1094"/>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2.0</w:t>
                    </w:r>
                  </w:p>
                  <w:p w14:paraId="5208F547">
                    <w:pPr>
                      <w:spacing w:line="470" w:lineRule="auto"/>
                      <w:rPr>
                        <w:rFonts w:ascii="Arial"/>
                        <w:sz w:val="21"/>
                      </w:rPr>
                    </w:pPr>
                  </w:p>
                  <w:p w14:paraId="12E300BC">
                    <w:pPr>
                      <w:spacing w:before="43" w:line="188" w:lineRule="auto"/>
                      <w:ind w:left="1054"/>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5.25</w:t>
                    </w:r>
                  </w:p>
                </w:txbxContent>
              </v:textbox>
            </v:shape>
            <v:shape id="_x0000_s1058" o:spid="_x0000_s1058" o:spt="202" type="#_x0000_t202" style="position:absolute;left:3712;top:2926;height:1416;width:2780;" filled="f" stroked="f" coordsize="21600,21600">
              <v:path/>
              <v:fill on="f" focussize="0,0"/>
              <v:stroke on="f"/>
              <v:imagedata o:title=""/>
              <o:lock v:ext="edit" aspectratio="f"/>
              <v:textbox inset="0mm,0mm,0mm,0mm">
                <w:txbxContent>
                  <w:p w14:paraId="7D244F47">
                    <w:pPr>
                      <w:spacing w:before="19" w:line="220" w:lineRule="auto"/>
                      <w:ind w:left="39"/>
                      <w:rPr>
                        <w:rFonts w:ascii="宋体" w:hAnsi="宋体" w:eastAsia="宋体" w:cs="宋体"/>
                        <w:sz w:val="15"/>
                        <w:szCs w:val="15"/>
                      </w:rPr>
                    </w:pPr>
                    <w:r>
                      <w:rPr>
                        <w:rFonts w:ascii="Times New Roman" w:hAnsi="Times New Roman" w:eastAsia="Times New Roman" w:cs="Times New Roman"/>
                        <w:spacing w:val="-1"/>
                        <w:sz w:val="15"/>
                        <w:szCs w:val="15"/>
                      </w:rPr>
                      <w:t xml:space="preserve">5.00                   </w:t>
                    </w:r>
                    <w:r>
                      <w:rPr>
                        <w:rFonts w:ascii="宋体" w:hAnsi="宋体" w:eastAsia="宋体" w:cs="宋体"/>
                        <w:spacing w:val="-1"/>
                        <w:sz w:val="15"/>
                        <w:szCs w:val="15"/>
                      </w:rPr>
                      <w:t>猪具清洗用水</w:t>
                    </w:r>
                  </w:p>
                  <w:p w14:paraId="35396A22">
                    <w:pPr>
                      <w:spacing w:before="198" w:line="220" w:lineRule="auto"/>
                      <w:ind w:right="20"/>
                      <w:jc w:val="right"/>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15.96</w:t>
                    </w:r>
                  </w:p>
                  <w:p w14:paraId="0CD950C5">
                    <w:pPr>
                      <w:spacing w:before="272" w:line="220" w:lineRule="auto"/>
                      <w:ind w:left="20"/>
                      <w:rPr>
                        <w:rFonts w:ascii="宋体" w:hAnsi="宋体" w:eastAsia="宋体" w:cs="宋体"/>
                        <w:sz w:val="15"/>
                        <w:szCs w:val="15"/>
                      </w:rPr>
                    </w:pPr>
                    <w:r>
                      <w:rPr>
                        <w:rFonts w:ascii="Times New Roman" w:hAnsi="Times New Roman" w:eastAsia="Times New Roman" w:cs="Times New Roman"/>
                        <w:spacing w:val="-1"/>
                        <w:sz w:val="15"/>
                        <w:szCs w:val="15"/>
                      </w:rPr>
                      <w:t xml:space="preserve">17.76          </w:t>
                    </w:r>
                    <w:r>
                      <w:rPr>
                        <w:rFonts w:ascii="宋体" w:hAnsi="宋体" w:eastAsia="宋体" w:cs="宋体"/>
                        <w:spacing w:val="-1"/>
                        <w:sz w:val="15"/>
                        <w:szCs w:val="15"/>
                      </w:rPr>
                      <w:t>猪舍生物</w:t>
                    </w:r>
                    <w:r>
                      <w:rPr>
                        <w:rFonts w:ascii="宋体" w:hAnsi="宋体" w:eastAsia="宋体" w:cs="宋体"/>
                        <w:spacing w:val="-2"/>
                        <w:sz w:val="15"/>
                        <w:szCs w:val="15"/>
                      </w:rPr>
                      <w:t>喷雾除臭用水</w:t>
                    </w:r>
                  </w:p>
                  <w:p w14:paraId="42D9D615">
                    <w:pPr>
                      <w:spacing w:before="218" w:line="220" w:lineRule="auto"/>
                      <w:ind w:left="1688"/>
                      <w:rPr>
                        <w:rFonts w:ascii="Times New Roman" w:hAnsi="Times New Roman" w:eastAsia="Times New Roman" w:cs="Times New Roman"/>
                        <w:sz w:val="15"/>
                        <w:szCs w:val="15"/>
                      </w:rPr>
                    </w:pPr>
                    <w:r>
                      <w:rPr>
                        <w:rFonts w:ascii="宋体" w:hAnsi="宋体" w:eastAsia="宋体" w:cs="宋体"/>
                        <w:spacing w:val="-1"/>
                        <w:sz w:val="15"/>
                        <w:szCs w:val="15"/>
                      </w:rPr>
                      <w:t>循环水量</w:t>
                    </w:r>
                    <w:r>
                      <w:rPr>
                        <w:rFonts w:ascii="Times New Roman" w:hAnsi="Times New Roman" w:eastAsia="Times New Roman" w:cs="Times New Roman"/>
                        <w:spacing w:val="-1"/>
                        <w:sz w:val="15"/>
                        <w:szCs w:val="15"/>
                      </w:rPr>
                      <w:t>39.90</w:t>
                    </w:r>
                  </w:p>
                </w:txbxContent>
              </v:textbox>
            </v:shape>
            <v:shape id="_x0000_s1059" o:spid="_x0000_s1059" o:spt="202" type="#_x0000_t202" style="position:absolute;left:2122;top:2932;height:4856;width:780;" filled="f" stroked="f" coordsize="21600,21600">
              <v:path/>
              <v:fill on="f" focussize="0,0"/>
              <v:stroke on="f"/>
              <v:imagedata o:title=""/>
              <o:lock v:ext="edit" aspectratio="f"/>
              <v:textbox inset="0mm,0mm,0mm,0mm">
                <w:txbxContent>
                  <w:p w14:paraId="6EB7ECDA">
                    <w:pPr>
                      <w:spacing w:before="19" w:line="220" w:lineRule="auto"/>
                      <w:ind w:left="100"/>
                      <w:rPr>
                        <w:rFonts w:ascii="宋体" w:hAnsi="宋体" w:eastAsia="宋体" w:cs="宋体"/>
                        <w:sz w:val="15"/>
                        <w:szCs w:val="15"/>
                      </w:rPr>
                    </w:pPr>
                    <w:r>
                      <w:rPr>
                        <w:rFonts w:ascii="宋体" w:hAnsi="宋体" w:eastAsia="宋体" w:cs="宋体"/>
                        <w:spacing w:val="-3"/>
                        <w:sz w:val="15"/>
                        <w:szCs w:val="15"/>
                      </w:rPr>
                      <w:t>生产用水</w:t>
                    </w:r>
                  </w:p>
                  <w:p w14:paraId="18DDEDFB">
                    <w:pPr>
                      <w:spacing w:line="254" w:lineRule="auto"/>
                      <w:rPr>
                        <w:rFonts w:ascii="Arial"/>
                        <w:sz w:val="21"/>
                      </w:rPr>
                    </w:pPr>
                  </w:p>
                  <w:p w14:paraId="2E807866">
                    <w:pPr>
                      <w:spacing w:line="254" w:lineRule="auto"/>
                      <w:rPr>
                        <w:rFonts w:ascii="Arial"/>
                        <w:sz w:val="21"/>
                      </w:rPr>
                    </w:pPr>
                  </w:p>
                  <w:p w14:paraId="594EB7F6">
                    <w:pPr>
                      <w:spacing w:line="255" w:lineRule="auto"/>
                      <w:rPr>
                        <w:rFonts w:ascii="Arial"/>
                        <w:sz w:val="21"/>
                      </w:rPr>
                    </w:pPr>
                  </w:p>
                  <w:p w14:paraId="390FFB86">
                    <w:pPr>
                      <w:spacing w:line="255" w:lineRule="auto"/>
                      <w:rPr>
                        <w:rFonts w:ascii="Arial"/>
                        <w:sz w:val="21"/>
                      </w:rPr>
                    </w:pPr>
                  </w:p>
                  <w:p w14:paraId="2B463ABB">
                    <w:pPr>
                      <w:spacing w:line="255" w:lineRule="auto"/>
                      <w:rPr>
                        <w:rFonts w:ascii="Arial"/>
                        <w:sz w:val="21"/>
                      </w:rPr>
                    </w:pPr>
                  </w:p>
                  <w:p w14:paraId="1EABAEB2">
                    <w:pPr>
                      <w:spacing w:line="255" w:lineRule="auto"/>
                      <w:rPr>
                        <w:rFonts w:ascii="Arial"/>
                        <w:sz w:val="21"/>
                      </w:rPr>
                    </w:pPr>
                  </w:p>
                  <w:p w14:paraId="0F92F376">
                    <w:pPr>
                      <w:spacing w:line="255" w:lineRule="auto"/>
                      <w:rPr>
                        <w:rFonts w:ascii="Arial"/>
                        <w:sz w:val="21"/>
                      </w:rPr>
                    </w:pPr>
                  </w:p>
                  <w:p w14:paraId="304BB49D">
                    <w:pPr>
                      <w:spacing w:line="255" w:lineRule="auto"/>
                      <w:rPr>
                        <w:rFonts w:ascii="Arial"/>
                        <w:sz w:val="21"/>
                      </w:rPr>
                    </w:pPr>
                  </w:p>
                  <w:p w14:paraId="14A47FC6">
                    <w:pPr>
                      <w:spacing w:line="255" w:lineRule="auto"/>
                      <w:rPr>
                        <w:rFonts w:ascii="Arial"/>
                        <w:sz w:val="21"/>
                      </w:rPr>
                    </w:pPr>
                  </w:p>
                  <w:p w14:paraId="72EA17A2">
                    <w:pPr>
                      <w:spacing w:line="255" w:lineRule="auto"/>
                      <w:rPr>
                        <w:rFonts w:ascii="Arial"/>
                        <w:sz w:val="21"/>
                      </w:rPr>
                    </w:pPr>
                  </w:p>
                  <w:p w14:paraId="47896C53">
                    <w:pPr>
                      <w:spacing w:line="255" w:lineRule="auto"/>
                      <w:rPr>
                        <w:rFonts w:ascii="Arial"/>
                        <w:sz w:val="21"/>
                      </w:rPr>
                    </w:pPr>
                  </w:p>
                  <w:p w14:paraId="4BF401CD">
                    <w:pPr>
                      <w:spacing w:line="255" w:lineRule="auto"/>
                      <w:rPr>
                        <w:rFonts w:ascii="Arial"/>
                        <w:sz w:val="21"/>
                      </w:rPr>
                    </w:pPr>
                  </w:p>
                  <w:p w14:paraId="6B76EC54">
                    <w:pPr>
                      <w:spacing w:before="49" w:line="220" w:lineRule="auto"/>
                      <w:ind w:left="100"/>
                      <w:rPr>
                        <w:rFonts w:ascii="宋体" w:hAnsi="宋体" w:eastAsia="宋体" w:cs="宋体"/>
                        <w:sz w:val="15"/>
                        <w:szCs w:val="15"/>
                      </w:rPr>
                    </w:pPr>
                    <w:r>
                      <w:rPr>
                        <w:rFonts w:ascii="宋体" w:hAnsi="宋体" w:eastAsia="宋体" w:cs="宋体"/>
                        <w:spacing w:val="-3"/>
                        <w:sz w:val="15"/>
                        <w:szCs w:val="15"/>
                      </w:rPr>
                      <w:t>生活用水</w:t>
                    </w:r>
                  </w:p>
                  <w:p w14:paraId="4D1C3979">
                    <w:pPr>
                      <w:spacing w:line="478" w:lineRule="auto"/>
                      <w:rPr>
                        <w:rFonts w:ascii="Arial"/>
                        <w:sz w:val="21"/>
                      </w:rPr>
                    </w:pPr>
                  </w:p>
                  <w:p w14:paraId="2E1FBED6">
                    <w:pPr>
                      <w:spacing w:before="49" w:line="220" w:lineRule="auto"/>
                      <w:ind w:left="100"/>
                      <w:rPr>
                        <w:rFonts w:ascii="宋体" w:hAnsi="宋体" w:eastAsia="宋体" w:cs="宋体"/>
                        <w:sz w:val="15"/>
                        <w:szCs w:val="15"/>
                      </w:rPr>
                    </w:pPr>
                    <w:r>
                      <w:rPr>
                        <w:rFonts w:ascii="宋体" w:hAnsi="宋体" w:eastAsia="宋体" w:cs="宋体"/>
                        <w:spacing w:val="-3"/>
                        <w:sz w:val="15"/>
                        <w:szCs w:val="15"/>
                      </w:rPr>
                      <w:t>绿化用水</w:t>
                    </w:r>
                  </w:p>
                  <w:p w14:paraId="265DB87D">
                    <w:pPr>
                      <w:spacing w:line="421" w:lineRule="auto"/>
                      <w:rPr>
                        <w:rFonts w:ascii="Arial"/>
                        <w:sz w:val="21"/>
                      </w:rPr>
                    </w:pPr>
                  </w:p>
                  <w:p w14:paraId="5AC7EB7E">
                    <w:pPr>
                      <w:spacing w:before="49" w:line="220" w:lineRule="auto"/>
                      <w:ind w:left="20"/>
                      <w:rPr>
                        <w:rFonts w:ascii="宋体" w:hAnsi="宋体" w:eastAsia="宋体" w:cs="宋体"/>
                        <w:sz w:val="15"/>
                        <w:szCs w:val="15"/>
                      </w:rPr>
                    </w:pPr>
                    <w:r>
                      <w:rPr>
                        <w:rFonts w:ascii="宋体" w:hAnsi="宋体" w:eastAsia="宋体" w:cs="宋体"/>
                        <w:spacing w:val="-2"/>
                        <w:sz w:val="15"/>
                        <w:szCs w:val="15"/>
                      </w:rPr>
                      <w:t>未预见用水</w:t>
                    </w:r>
                  </w:p>
                </w:txbxContent>
              </v:textbox>
            </v:shape>
            <v:shape id="_x0000_s1060" o:spid="_x0000_s1060" o:spt="202" type="#_x0000_t202" style="position:absolute;left:5583;top:-20;height:1443;width:1425;" filled="f" stroked="f" coordsize="21600,21600">
              <v:path/>
              <v:fill on="f" focussize="0,0"/>
              <v:stroke on="f"/>
              <v:imagedata o:title=""/>
              <o:lock v:ext="edit" aspectratio="f"/>
              <v:textbox inset="0mm,0mm,0mm,0mm">
                <w:txbxContent>
                  <w:p w14:paraId="0751B0EB">
                    <w:pPr>
                      <w:spacing w:before="19" w:line="220" w:lineRule="auto"/>
                      <w:ind w:left="20"/>
                      <w:rPr>
                        <w:rFonts w:ascii="Times New Roman" w:hAnsi="Times New Roman" w:eastAsia="Times New Roman" w:cs="Times New Roman"/>
                        <w:sz w:val="15"/>
                        <w:szCs w:val="15"/>
                      </w:rPr>
                    </w:pPr>
                    <w:r>
                      <w:rPr>
                        <w:rFonts w:ascii="宋体" w:hAnsi="宋体" w:eastAsia="宋体" w:cs="宋体"/>
                        <w:spacing w:val="-1"/>
                        <w:sz w:val="15"/>
                        <w:szCs w:val="15"/>
                      </w:rPr>
                      <w:t>生长消耗等</w:t>
                    </w:r>
                    <w:r>
                      <w:rPr>
                        <w:rFonts w:ascii="Times New Roman" w:hAnsi="Times New Roman" w:eastAsia="Times New Roman" w:cs="Times New Roman"/>
                        <w:spacing w:val="-1"/>
                        <w:sz w:val="15"/>
                        <w:szCs w:val="15"/>
                      </w:rPr>
                      <w:t>248.80</w:t>
                    </w:r>
                  </w:p>
                  <w:p w14:paraId="18D50585">
                    <w:pPr>
                      <w:spacing w:line="249" w:lineRule="auto"/>
                      <w:rPr>
                        <w:rFonts w:ascii="Arial"/>
                        <w:sz w:val="21"/>
                      </w:rPr>
                    </w:pPr>
                  </w:p>
                  <w:p w14:paraId="0D52C11A">
                    <w:pPr>
                      <w:spacing w:before="43" w:line="539" w:lineRule="auto"/>
                      <w:ind w:left="42" w:right="20" w:firstLine="953"/>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207.05</w:t>
                    </w:r>
                    <w:r>
                      <w:rPr>
                        <w:rFonts w:ascii="宋体" w:hAnsi="宋体" w:eastAsia="宋体" w:cs="宋体"/>
                        <w:spacing w:val="-2"/>
                        <w:sz w:val="15"/>
                        <w:szCs w:val="15"/>
                      </w:rPr>
                      <w:t>损耗</w:t>
                    </w:r>
                    <w:r>
                      <w:rPr>
                        <w:rFonts w:ascii="Times New Roman" w:hAnsi="Times New Roman" w:eastAsia="Times New Roman" w:cs="Times New Roman"/>
                        <w:spacing w:val="-2"/>
                        <w:sz w:val="15"/>
                        <w:szCs w:val="15"/>
                      </w:rPr>
                      <w:t>0.94</w:t>
                    </w:r>
                  </w:p>
                  <w:p w14:paraId="5995044D">
                    <w:pPr>
                      <w:spacing w:line="188" w:lineRule="auto"/>
                      <w:ind w:left="1071"/>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5.31</w:t>
                    </w:r>
                  </w:p>
                </w:txbxContent>
              </v:textbox>
            </v:shape>
            <v:shape id="_x0000_s1061" o:spid="_x0000_s1061" o:spt="202" type="#_x0000_t202" style="position:absolute;left:4701;top:1661;height:1005;width:1730;" filled="f" stroked="f" coordsize="21600,21600">
              <v:path/>
              <v:fill on="f" focussize="0,0"/>
              <v:stroke on="f"/>
              <v:imagedata o:title=""/>
              <o:lock v:ext="edit" aspectratio="f"/>
              <v:textbox inset="0mm,0mm,0mm,0mm">
                <w:txbxContent>
                  <w:p w14:paraId="63EA29E4">
                    <w:pPr>
                      <w:spacing w:before="20" w:line="501" w:lineRule="auto"/>
                      <w:ind w:left="20" w:right="20" w:firstLine="837"/>
                      <w:rPr>
                        <w:rFonts w:ascii="宋体" w:hAnsi="宋体" w:eastAsia="宋体" w:cs="宋体"/>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0.60</w:t>
                    </w:r>
                    <w:r>
                      <w:rPr>
                        <w:rFonts w:ascii="宋体" w:hAnsi="宋体" w:eastAsia="宋体" w:cs="宋体"/>
                        <w:spacing w:val="-2"/>
                        <w:sz w:val="15"/>
                        <w:szCs w:val="15"/>
                      </w:rPr>
                      <w:t>车辆洗消用水</w:t>
                    </w:r>
                  </w:p>
                  <w:p w14:paraId="06F6D3B3">
                    <w:pPr>
                      <w:spacing w:line="219" w:lineRule="auto"/>
                      <w:ind w:right="23"/>
                      <w:jc w:val="right"/>
                      <w:rPr>
                        <w:rFonts w:ascii="Times New Roman" w:hAnsi="Times New Roman" w:eastAsia="Times New Roman" w:cs="Times New Roman"/>
                        <w:sz w:val="15"/>
                        <w:szCs w:val="15"/>
                      </w:rPr>
                    </w:pPr>
                    <w:r>
                      <w:rPr>
                        <w:rFonts w:ascii="宋体" w:hAnsi="宋体" w:eastAsia="宋体" w:cs="宋体"/>
                        <w:spacing w:val="-2"/>
                        <w:sz w:val="15"/>
                        <w:szCs w:val="15"/>
                      </w:rPr>
                      <w:t>蒸发损耗</w:t>
                    </w:r>
                    <w:r>
                      <w:rPr>
                        <w:rFonts w:ascii="Times New Roman" w:hAnsi="Times New Roman" w:eastAsia="Times New Roman" w:cs="Times New Roman"/>
                        <w:spacing w:val="-2"/>
                        <w:sz w:val="15"/>
                        <w:szCs w:val="15"/>
                      </w:rPr>
                      <w:t>0.75</w:t>
                    </w:r>
                  </w:p>
                </w:txbxContent>
              </v:textbox>
            </v:shape>
            <v:shape id="_x0000_s1062" o:spid="_x0000_s1062" o:spt="202" type="#_x0000_t202" style="position:absolute;left:7007;top:6517;height:1230;width:1190;" filled="f" stroked="f" coordsize="21600,21600">
              <v:path/>
              <v:fill on="f" focussize="0,0"/>
              <v:stroke on="f"/>
              <v:imagedata o:title=""/>
              <o:lock v:ext="edit" aspectratio="f"/>
              <v:textbox inset="0mm,0mm,0mm,0mm">
                <w:txbxContent>
                  <w:p w14:paraId="09501397">
                    <w:pPr>
                      <w:spacing w:before="20" w:line="591" w:lineRule="auto"/>
                      <w:ind w:left="149" w:right="136" w:firstLine="496"/>
                      <w:rPr>
                        <w:rFonts w:ascii="宋体" w:hAnsi="宋体" w:eastAsia="宋体" w:cs="宋体"/>
                        <w:sz w:val="15"/>
                        <w:szCs w:val="15"/>
                      </w:rPr>
                    </w:pPr>
                    <w:r>
                      <w:rPr>
                        <w:rFonts w:ascii="Times New Roman" w:hAnsi="Times New Roman" w:eastAsia="Times New Roman" w:cs="Times New Roman"/>
                        <w:spacing w:val="-1"/>
                        <w:sz w:val="15"/>
                        <w:szCs w:val="15"/>
                      </w:rPr>
                      <w:t>228.44</w:t>
                    </w:r>
                    <w:r>
                      <w:rPr>
                        <w:rFonts w:ascii="宋体" w:hAnsi="宋体" w:eastAsia="宋体" w:cs="宋体"/>
                        <w:spacing w:val="-2"/>
                        <w:sz w:val="15"/>
                        <w:szCs w:val="15"/>
                      </w:rPr>
                      <w:t>污水处理系统</w:t>
                    </w:r>
                  </w:p>
                  <w:p w14:paraId="6514FFA6">
                    <w:pPr>
                      <w:spacing w:before="134" w:line="220" w:lineRule="auto"/>
                      <w:ind w:left="20"/>
                      <w:rPr>
                        <w:rFonts w:ascii="Times New Roman" w:hAnsi="Times New Roman" w:eastAsia="Times New Roman" w:cs="Times New Roman"/>
                        <w:sz w:val="15"/>
                        <w:szCs w:val="15"/>
                      </w:rPr>
                    </w:pPr>
                    <w:r>
                      <w:rPr>
                        <w:rFonts w:ascii="宋体" w:hAnsi="宋体" w:eastAsia="宋体" w:cs="宋体"/>
                        <w:spacing w:val="-2"/>
                        <w:sz w:val="15"/>
                        <w:szCs w:val="15"/>
                      </w:rPr>
                      <w:t>消纳地农灌</w:t>
                    </w:r>
                    <w:r>
                      <w:rPr>
                        <w:rFonts w:ascii="Times New Roman" w:hAnsi="Times New Roman" w:eastAsia="Times New Roman" w:cs="Times New Roman"/>
                        <w:spacing w:val="-2"/>
                        <w:sz w:val="15"/>
                        <w:szCs w:val="15"/>
                      </w:rPr>
                      <w:t>228.44</w:t>
                    </w:r>
                  </w:p>
                </w:txbxContent>
              </v:textbox>
            </v:shape>
            <v:shape id="_x0000_s1063" o:spid="_x0000_s1063" o:spt="202" type="#_x0000_t202" style="position:absolute;left:3655;top:452;height:1826;width:449;" filled="f" stroked="f" coordsize="21600,21600">
              <v:path/>
              <v:fill on="f" focussize="0,0"/>
              <v:stroke on="f"/>
              <v:imagedata o:title=""/>
              <o:lock v:ext="edit" aspectratio="f"/>
              <v:textbox inset="0mm,0mm,0mm,0mm">
                <w:txbxContent>
                  <w:p w14:paraId="3A00CBBE">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455.85</w:t>
                    </w:r>
                  </w:p>
                  <w:p w14:paraId="61A09881">
                    <w:pPr>
                      <w:spacing w:line="321" w:lineRule="auto"/>
                      <w:rPr>
                        <w:rFonts w:ascii="Arial"/>
                        <w:sz w:val="21"/>
                      </w:rPr>
                    </w:pPr>
                  </w:p>
                  <w:p w14:paraId="34D63AEB">
                    <w:pPr>
                      <w:spacing w:line="322" w:lineRule="auto"/>
                      <w:rPr>
                        <w:rFonts w:ascii="Arial"/>
                        <w:sz w:val="21"/>
                      </w:rPr>
                    </w:pPr>
                  </w:p>
                  <w:p w14:paraId="24E802BB">
                    <w:pPr>
                      <w:spacing w:before="43" w:line="188" w:lineRule="auto"/>
                      <w:ind w:left="98"/>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6.25</w:t>
                    </w:r>
                  </w:p>
                  <w:p w14:paraId="39B63C79">
                    <w:pPr>
                      <w:spacing w:line="336" w:lineRule="auto"/>
                      <w:rPr>
                        <w:rFonts w:ascii="Arial"/>
                        <w:sz w:val="21"/>
                      </w:rPr>
                    </w:pPr>
                  </w:p>
                  <w:p w14:paraId="0FEDBB2C">
                    <w:pPr>
                      <w:spacing w:line="337" w:lineRule="auto"/>
                      <w:rPr>
                        <w:rFonts w:ascii="Arial"/>
                        <w:sz w:val="21"/>
                      </w:rPr>
                    </w:pPr>
                  </w:p>
                  <w:p w14:paraId="626D820C">
                    <w:pPr>
                      <w:spacing w:before="43" w:line="188" w:lineRule="auto"/>
                      <w:ind w:left="94"/>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4.00</w:t>
                    </w:r>
                  </w:p>
                </w:txbxContent>
              </v:textbox>
            </v:shape>
            <v:shape id="_x0000_s1064" o:spid="_x0000_s1064" o:spt="202" type="#_x0000_t202" style="position:absolute;left:4774;top:430;height:1016;width:781;" filled="f" stroked="f" coordsize="21600,21600">
              <v:path/>
              <v:fill on="f" focussize="0,0"/>
              <v:stroke on="f"/>
              <v:imagedata o:title=""/>
              <o:lock v:ext="edit" aspectratio="f"/>
              <v:textbox inset="0mm,0mm,0mm,0mm">
                <w:txbxContent>
                  <w:p w14:paraId="7D3C2A32">
                    <w:pPr>
                      <w:spacing w:before="19" w:line="220" w:lineRule="auto"/>
                      <w:ind w:left="94"/>
                      <w:rPr>
                        <w:rFonts w:ascii="宋体" w:hAnsi="宋体" w:eastAsia="宋体" w:cs="宋体"/>
                        <w:sz w:val="15"/>
                        <w:szCs w:val="15"/>
                      </w:rPr>
                    </w:pPr>
                    <w:r>
                      <w:rPr>
                        <w:rFonts w:ascii="宋体" w:hAnsi="宋体" w:eastAsia="宋体" w:cs="宋体"/>
                        <w:spacing w:val="-2"/>
                        <w:sz w:val="15"/>
                        <w:szCs w:val="15"/>
                      </w:rPr>
                      <w:t>猪饮用水</w:t>
                    </w:r>
                  </w:p>
                  <w:p w14:paraId="3803CC0D">
                    <w:pPr>
                      <w:spacing w:line="297" w:lineRule="auto"/>
                      <w:rPr>
                        <w:rFonts w:ascii="Arial"/>
                        <w:sz w:val="21"/>
                      </w:rPr>
                    </w:pPr>
                  </w:p>
                  <w:p w14:paraId="27F83B4B">
                    <w:pPr>
                      <w:spacing w:line="298" w:lineRule="auto"/>
                      <w:rPr>
                        <w:rFonts w:ascii="Arial"/>
                        <w:sz w:val="21"/>
                      </w:rPr>
                    </w:pPr>
                  </w:p>
                  <w:p w14:paraId="1D059960">
                    <w:pPr>
                      <w:spacing w:before="49" w:line="220" w:lineRule="auto"/>
                      <w:ind w:left="20"/>
                      <w:rPr>
                        <w:rFonts w:ascii="宋体" w:hAnsi="宋体" w:eastAsia="宋体" w:cs="宋体"/>
                        <w:sz w:val="15"/>
                        <w:szCs w:val="15"/>
                      </w:rPr>
                    </w:pPr>
                    <w:r>
                      <w:rPr>
                        <w:rFonts w:ascii="宋体" w:hAnsi="宋体" w:eastAsia="宋体" w:cs="宋体"/>
                        <w:spacing w:val="-2"/>
                        <w:sz w:val="15"/>
                        <w:szCs w:val="15"/>
                      </w:rPr>
                      <w:t>猪舍清洗水</w:t>
                    </w:r>
                  </w:p>
                </w:txbxContent>
              </v:textbox>
            </v:shape>
            <v:shape id="_x0000_s1065" o:spid="_x0000_s1065" o:spt="202" type="#_x0000_t202" style="position:absolute;left:6626;top:2947;height:973;width:307;" filled="f" stroked="f" coordsize="21600,21600">
              <v:path/>
              <v:fill on="f" focussize="0,0"/>
              <v:stroke on="f"/>
              <v:imagedata o:title=""/>
              <o:lock v:ext="edit" aspectratio="f"/>
              <v:textbox inset="0mm,0mm,0mm,0mm">
                <w:txbxContent>
                  <w:p w14:paraId="71EBF047">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4.25</w:t>
                    </w:r>
                  </w:p>
                  <w:p w14:paraId="38FB6208">
                    <w:pPr>
                      <w:spacing w:line="322" w:lineRule="auto"/>
                      <w:rPr>
                        <w:rFonts w:ascii="Arial"/>
                        <w:sz w:val="21"/>
                      </w:rPr>
                    </w:pPr>
                  </w:p>
                  <w:p w14:paraId="2B81407F">
                    <w:pPr>
                      <w:spacing w:line="323" w:lineRule="auto"/>
                      <w:rPr>
                        <w:rFonts w:ascii="Arial"/>
                        <w:sz w:val="21"/>
                      </w:rPr>
                    </w:pPr>
                  </w:p>
                  <w:p w14:paraId="4BE01D63">
                    <w:pPr>
                      <w:spacing w:before="43" w:line="188" w:lineRule="auto"/>
                      <w:ind w:left="42"/>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1.80</w:t>
                    </w:r>
                  </w:p>
                </w:txbxContent>
              </v:textbox>
            </v:shape>
            <v:shape id="_x0000_s1066" o:spid="_x0000_s1066" o:spt="202" type="#_x0000_t202" style="position:absolute;left:6632;top:2133;height:145;width:297;" filled="f" stroked="f" coordsize="21600,21600">
              <v:path/>
              <v:fill on="f" focussize="0,0"/>
              <v:stroke on="f"/>
              <v:imagedata o:title=""/>
              <o:lock v:ext="edit" aspectratio="f"/>
              <v:textbox inset="0mm,0mm,0mm,0mm">
                <w:txbxContent>
                  <w:p w14:paraId="06815547">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3.40</w:t>
                    </w:r>
                  </w:p>
                </w:txbxContent>
              </v:textbox>
            </v:shape>
            <w10:wrap type="none"/>
            <w10:anchorlock/>
          </v:group>
        </w:pict>
      </w:r>
    </w:p>
    <w:p w14:paraId="2FFB11A9">
      <w:pPr>
        <w:spacing w:before="192" w:line="228" w:lineRule="auto"/>
        <w:ind w:left="2132"/>
        <w:rPr>
          <w:rFonts w:ascii="黑体" w:hAnsi="黑体" w:eastAsia="黑体" w:cs="黑体"/>
          <w:sz w:val="21"/>
          <w:szCs w:val="21"/>
        </w:rPr>
      </w:pPr>
      <w:r>
        <w:rPr>
          <w:rFonts w:ascii="黑体" w:hAnsi="黑体" w:eastAsia="黑体" w:cs="黑体"/>
          <w:spacing w:val="-1"/>
          <w:sz w:val="21"/>
          <w:szCs w:val="21"/>
        </w:rPr>
        <w:t>图</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2.2-9  </w:t>
      </w:r>
      <w:r>
        <w:rPr>
          <w:rFonts w:ascii="黑体" w:hAnsi="黑体" w:eastAsia="黑体" w:cs="黑体"/>
          <w:spacing w:val="-1"/>
          <w:sz w:val="21"/>
          <w:szCs w:val="21"/>
        </w:rPr>
        <w:t>项目非夏季水平衡图（单位：</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4"/>
          <w:szCs w:val="14"/>
        </w:rPr>
        <w:t>3</w:t>
      </w:r>
      <w:r>
        <w:rPr>
          <w:rFonts w:ascii="Times New Roman" w:hAnsi="Times New Roman" w:eastAsia="Times New Roman" w:cs="Times New Roman"/>
          <w:spacing w:val="-1"/>
          <w:sz w:val="21"/>
          <w:szCs w:val="21"/>
        </w:rPr>
        <w:t>/d</w:t>
      </w:r>
      <w:r>
        <w:rPr>
          <w:rFonts w:ascii="黑体" w:hAnsi="黑体" w:eastAsia="黑体" w:cs="黑体"/>
          <w:spacing w:val="-1"/>
          <w:sz w:val="21"/>
          <w:szCs w:val="21"/>
        </w:rPr>
        <w:t>）</w:t>
      </w:r>
    </w:p>
    <w:p w14:paraId="5E9CCC15">
      <w:pPr>
        <w:pStyle w:val="2"/>
        <w:spacing w:line="270" w:lineRule="auto"/>
      </w:pPr>
    </w:p>
    <w:p w14:paraId="05112244">
      <w:pPr>
        <w:spacing w:before="97"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2.2.4  </w:t>
      </w:r>
      <w:r>
        <w:rPr>
          <w:rFonts w:ascii="宋体" w:hAnsi="宋体" w:eastAsia="宋体" w:cs="宋体"/>
          <w:b/>
          <w:bCs/>
          <w:spacing w:val="-2"/>
          <w:sz w:val="30"/>
          <w:szCs w:val="30"/>
        </w:rPr>
        <w:t>运营期污染源强核算</w:t>
      </w:r>
    </w:p>
    <w:p w14:paraId="3A28BA81">
      <w:pPr>
        <w:pStyle w:val="2"/>
        <w:spacing w:line="306" w:lineRule="auto"/>
      </w:pPr>
    </w:p>
    <w:p w14:paraId="04FBFDF5">
      <w:pPr>
        <w:spacing w:before="88" w:line="227"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2.2.4.1 </w:t>
      </w:r>
      <w:r>
        <w:rPr>
          <w:rFonts w:ascii="宋体" w:hAnsi="宋体" w:eastAsia="宋体" w:cs="宋体"/>
          <w:b/>
          <w:bCs/>
          <w:spacing w:val="4"/>
          <w:sz w:val="27"/>
          <w:szCs w:val="27"/>
        </w:rPr>
        <w:t>废气污染物</w:t>
      </w:r>
    </w:p>
    <w:p w14:paraId="07DABB55">
      <w:pPr>
        <w:spacing w:before="235" w:line="360" w:lineRule="auto"/>
        <w:ind w:left="40" w:firstLine="480"/>
        <w:jc w:val="both"/>
        <w:rPr>
          <w:rFonts w:ascii="宋体" w:hAnsi="宋体" w:eastAsia="宋体" w:cs="宋体"/>
          <w:sz w:val="24"/>
          <w:szCs w:val="24"/>
        </w:rPr>
      </w:pPr>
      <w:r>
        <w:rPr>
          <w:rFonts w:ascii="宋体" w:hAnsi="宋体" w:eastAsia="宋体" w:cs="宋体"/>
          <w:spacing w:val="-3"/>
          <w:sz w:val="24"/>
          <w:szCs w:val="24"/>
        </w:rPr>
        <w:t>本项目运营期废气污染源来自于养殖区的猪舍、转猪舍、堆粪</w:t>
      </w:r>
      <w:r>
        <w:rPr>
          <w:rFonts w:ascii="宋体" w:hAnsi="宋体" w:eastAsia="宋体" w:cs="宋体"/>
          <w:spacing w:val="-4"/>
          <w:sz w:val="24"/>
          <w:szCs w:val="24"/>
        </w:rPr>
        <w:t>棚、污水处理</w:t>
      </w:r>
      <w:r>
        <w:rPr>
          <w:rFonts w:ascii="宋体" w:hAnsi="宋体" w:eastAsia="宋体" w:cs="宋体"/>
          <w:spacing w:val="-1"/>
          <w:sz w:val="24"/>
          <w:szCs w:val="24"/>
        </w:rPr>
        <w:t>站，废气污染物主要有猪舍、转猪舍、污水处理站、堆粪棚等产生的恶臭</w:t>
      </w:r>
      <w:r>
        <w:rPr>
          <w:rFonts w:ascii="宋体" w:hAnsi="宋体" w:eastAsia="宋体" w:cs="宋体"/>
          <w:spacing w:val="-2"/>
          <w:sz w:val="24"/>
          <w:szCs w:val="24"/>
        </w:rPr>
        <w:t>气体，沼气燃烧废气，备用柴油发电机产生的少量废气等。</w:t>
      </w:r>
    </w:p>
    <w:p w14:paraId="2006B7B9">
      <w:pPr>
        <w:spacing w:before="1"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）恶臭气体</w:t>
      </w:r>
    </w:p>
    <w:p w14:paraId="37B68B5A">
      <w:pPr>
        <w:spacing w:before="183" w:line="361" w:lineRule="auto"/>
        <w:ind w:left="40" w:right="67" w:firstLine="480"/>
        <w:jc w:val="both"/>
        <w:rPr>
          <w:rFonts w:ascii="宋体" w:hAnsi="宋体" w:eastAsia="宋体" w:cs="宋体"/>
          <w:sz w:val="24"/>
          <w:szCs w:val="24"/>
        </w:rPr>
      </w:pPr>
      <w:r>
        <w:rPr>
          <w:rFonts w:ascii="宋体" w:hAnsi="宋体" w:eastAsia="宋体" w:cs="宋体"/>
          <w:spacing w:val="-3"/>
          <w:sz w:val="24"/>
          <w:szCs w:val="24"/>
        </w:rPr>
        <w:t>生猪养殖场工艺废气主要来自猪舍的猪粪和猪尿等散发的恶</w:t>
      </w:r>
      <w:r>
        <w:rPr>
          <w:rFonts w:ascii="宋体" w:hAnsi="宋体" w:eastAsia="宋体" w:cs="宋体"/>
          <w:spacing w:val="-4"/>
          <w:sz w:val="24"/>
          <w:szCs w:val="24"/>
        </w:rPr>
        <w:t>臭气体，这种臭</w:t>
      </w:r>
      <w:r>
        <w:rPr>
          <w:rFonts w:ascii="宋体" w:hAnsi="宋体" w:eastAsia="宋体" w:cs="宋体"/>
          <w:spacing w:val="-3"/>
          <w:sz w:val="24"/>
          <w:szCs w:val="24"/>
        </w:rPr>
        <w:t>气通常来自粪便管理不当；另外，养殖场中还有两种</w:t>
      </w:r>
      <w:r>
        <w:rPr>
          <w:rFonts w:ascii="宋体" w:hAnsi="宋体" w:eastAsia="宋体" w:cs="宋体"/>
          <w:spacing w:val="-4"/>
          <w:sz w:val="24"/>
          <w:szCs w:val="24"/>
        </w:rPr>
        <w:t>非粪便臭源，即饲料（尤其</w:t>
      </w:r>
      <w:r>
        <w:rPr>
          <w:rFonts w:ascii="宋体" w:hAnsi="宋体" w:eastAsia="宋体" w:cs="宋体"/>
          <w:spacing w:val="-11"/>
          <w:sz w:val="24"/>
          <w:szCs w:val="24"/>
        </w:rPr>
        <w:t>是浪费掉的，发酵的和变质的饲料）和死亡的动物。任何物体表面若覆盖</w:t>
      </w:r>
      <w:r>
        <w:rPr>
          <w:rFonts w:ascii="宋体" w:hAnsi="宋体" w:eastAsia="宋体" w:cs="宋体"/>
          <w:spacing w:val="-12"/>
          <w:sz w:val="24"/>
          <w:szCs w:val="24"/>
        </w:rPr>
        <w:t>着粪便，</w:t>
      </w:r>
      <w:r>
        <w:rPr>
          <w:rFonts w:ascii="宋体" w:hAnsi="宋体" w:eastAsia="宋体" w:cs="宋体"/>
          <w:spacing w:val="-3"/>
          <w:sz w:val="24"/>
          <w:szCs w:val="24"/>
        </w:rPr>
        <w:t>都是一个主要的臭源，这样的表面愈大，发出臭气的能力也愈强。这些恶臭臭气</w:t>
      </w:r>
    </w:p>
    <w:p w14:paraId="7DD3DD12">
      <w:pPr>
        <w:spacing w:line="361" w:lineRule="auto"/>
        <w:rPr>
          <w:rFonts w:ascii="宋体" w:hAnsi="宋体" w:eastAsia="宋体" w:cs="宋体"/>
          <w:sz w:val="24"/>
          <w:szCs w:val="24"/>
        </w:rPr>
        <w:sectPr>
          <w:headerReference r:id="rId197" w:type="default"/>
          <w:footerReference r:id="rId198" w:type="default"/>
          <w:pgSz w:w="11905" w:h="16840"/>
          <w:pgMar w:top="1168" w:right="1730" w:bottom="1409" w:left="1770" w:header="828" w:footer="1244" w:gutter="0"/>
          <w:cols w:space="720" w:num="1"/>
        </w:sectPr>
      </w:pPr>
    </w:p>
    <w:p w14:paraId="61126C96">
      <w:pPr>
        <w:pStyle w:val="2"/>
        <w:spacing w:line="306" w:lineRule="auto"/>
      </w:pPr>
    </w:p>
    <w:p w14:paraId="4476EC1F">
      <w:pPr>
        <w:spacing w:before="78" w:line="360" w:lineRule="auto"/>
        <w:ind w:left="39" w:right="85" w:firstLine="3"/>
        <w:jc w:val="both"/>
        <w:rPr>
          <w:rFonts w:ascii="宋体" w:hAnsi="宋体" w:eastAsia="宋体" w:cs="宋体"/>
          <w:sz w:val="24"/>
          <w:szCs w:val="24"/>
        </w:rPr>
      </w:pPr>
      <w:r>
        <w:rPr>
          <w:rFonts w:ascii="宋体" w:hAnsi="宋体" w:eastAsia="宋体" w:cs="宋体"/>
          <w:spacing w:val="-6"/>
          <w:sz w:val="24"/>
          <w:szCs w:val="24"/>
        </w:rPr>
        <w:t>是许多单一臭气物质相互作用的产物。目前，已鉴定出在猪粪尿中有恶</w:t>
      </w:r>
      <w:r>
        <w:rPr>
          <w:rFonts w:ascii="宋体" w:hAnsi="宋体" w:eastAsia="宋体" w:cs="宋体"/>
          <w:spacing w:val="-7"/>
          <w:sz w:val="24"/>
          <w:szCs w:val="24"/>
        </w:rPr>
        <w:t>臭成分</w:t>
      </w:r>
      <w:r>
        <w:rPr>
          <w:rFonts w:ascii="Times New Roman" w:hAnsi="Times New Roman" w:eastAsia="Times New Roman" w:cs="Times New Roman"/>
          <w:spacing w:val="-7"/>
          <w:sz w:val="24"/>
          <w:szCs w:val="24"/>
        </w:rPr>
        <w:t>220</w:t>
      </w:r>
      <w:r>
        <w:rPr>
          <w:rFonts w:ascii="宋体" w:hAnsi="宋体" w:eastAsia="宋体" w:cs="宋体"/>
          <w:spacing w:val="-3"/>
          <w:sz w:val="24"/>
          <w:szCs w:val="24"/>
        </w:rPr>
        <w:t>种，这些物质都是产生生化反应的中间产物或终端产物，其中包括了多种挥发性有机酸、醇类物质、醛类物质、酯类物质、胺类物质、硫化物、硫醇以及含氮杂环类物质等。在粪尿中还发现</w:t>
      </w:r>
      <w:r>
        <w:rPr>
          <w:rFonts w:ascii="Times New Roman" w:hAnsi="Times New Roman" w:eastAsia="Times New Roman" w:cs="Times New Roman"/>
          <w:spacing w:val="-3"/>
          <w:sz w:val="24"/>
          <w:szCs w:val="24"/>
        </w:rPr>
        <w:t>80</w:t>
      </w:r>
      <w:r>
        <w:rPr>
          <w:rFonts w:ascii="宋体" w:hAnsi="宋体" w:eastAsia="宋体" w:cs="宋体"/>
          <w:spacing w:val="-3"/>
          <w:sz w:val="24"/>
          <w:szCs w:val="24"/>
        </w:rPr>
        <w:t>多种含氮化合物，其中有</w:t>
      </w:r>
      <w:r>
        <w:rPr>
          <w:rFonts w:ascii="Times New Roman" w:hAnsi="Times New Roman" w:eastAsia="Times New Roman" w:cs="Times New Roman"/>
          <w:spacing w:val="-3"/>
          <w:sz w:val="24"/>
          <w:szCs w:val="24"/>
        </w:rPr>
        <w:t>10</w:t>
      </w:r>
      <w:r>
        <w:rPr>
          <w:rFonts w:ascii="宋体" w:hAnsi="宋体" w:eastAsia="宋体" w:cs="宋体"/>
          <w:spacing w:val="-3"/>
          <w:sz w:val="24"/>
          <w:szCs w:val="24"/>
        </w:rPr>
        <w:t>种与恶臭味有关。其中对环境危害较大的是氨气、硫化氢等。</w:t>
      </w:r>
    </w:p>
    <w:p w14:paraId="69B77436">
      <w:pPr>
        <w:spacing w:line="218" w:lineRule="auto"/>
        <w:ind w:left="520"/>
        <w:rPr>
          <w:rFonts w:ascii="宋体" w:hAnsi="宋体" w:eastAsia="宋体" w:cs="宋体"/>
          <w:sz w:val="24"/>
          <w:szCs w:val="24"/>
        </w:rPr>
      </w:pPr>
      <w:r>
        <w:rPr>
          <w:rFonts w:ascii="宋体" w:hAnsi="宋体" w:eastAsia="宋体" w:cs="宋体"/>
          <w:spacing w:val="-3"/>
          <w:sz w:val="24"/>
          <w:szCs w:val="24"/>
        </w:rPr>
        <w:t>本评价选取</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Times New Roman" w:hAnsi="Times New Roman" w:eastAsia="Times New Roman" w:cs="Times New Roman"/>
          <w:spacing w:val="-1"/>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3"/>
          <w:sz w:val="24"/>
          <w:szCs w:val="24"/>
        </w:rPr>
        <w:t>S</w:t>
      </w:r>
      <w:r>
        <w:rPr>
          <w:rFonts w:ascii="宋体" w:hAnsi="宋体" w:eastAsia="宋体" w:cs="宋体"/>
          <w:spacing w:val="-3"/>
          <w:sz w:val="24"/>
          <w:szCs w:val="24"/>
        </w:rPr>
        <w:t>作为本项目恶臭气体的预测评价因子。</w:t>
      </w:r>
    </w:p>
    <w:p w14:paraId="4252AA33">
      <w:pPr>
        <w:spacing w:before="183" w:line="220" w:lineRule="auto"/>
        <w:ind w:left="528"/>
        <w:rPr>
          <w:rFonts w:ascii="宋体" w:hAnsi="宋体" w:eastAsia="宋体" w:cs="宋体"/>
          <w:sz w:val="24"/>
          <w:szCs w:val="24"/>
        </w:rPr>
      </w:pP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）恶臭源强分析</w:t>
      </w:r>
    </w:p>
    <w:p w14:paraId="5FE43428">
      <w:pPr>
        <w:spacing w:before="183" w:line="217" w:lineRule="auto"/>
        <w:ind w:left="520"/>
        <w:rPr>
          <w:rFonts w:ascii="宋体" w:hAnsi="宋体" w:eastAsia="宋体" w:cs="宋体"/>
          <w:sz w:val="24"/>
          <w:szCs w:val="24"/>
        </w:rPr>
      </w:pPr>
      <w:r>
        <w:rPr>
          <w:rFonts w:ascii="宋体" w:hAnsi="宋体" w:eastAsia="宋体" w:cs="宋体"/>
          <w:b/>
          <w:bCs/>
          <w:spacing w:val="-4"/>
          <w:sz w:val="24"/>
          <w:szCs w:val="24"/>
        </w:rPr>
        <w:t>①猪舍恶臭</w:t>
      </w:r>
    </w:p>
    <w:p w14:paraId="64A9F3F3">
      <w:pPr>
        <w:spacing w:before="185" w:line="360" w:lineRule="auto"/>
        <w:ind w:left="38" w:right="85" w:firstLine="480"/>
        <w:jc w:val="both"/>
        <w:rPr>
          <w:rFonts w:ascii="宋体" w:hAnsi="宋体" w:eastAsia="宋体" w:cs="宋体"/>
          <w:sz w:val="24"/>
          <w:szCs w:val="24"/>
        </w:rPr>
      </w:pPr>
      <w:r>
        <w:rPr>
          <w:rFonts w:ascii="宋体" w:hAnsi="宋体" w:eastAsia="宋体" w:cs="宋体"/>
          <w:spacing w:val="-3"/>
          <w:sz w:val="24"/>
          <w:szCs w:val="24"/>
        </w:rPr>
        <w:t>猪舍恶臭主要来自于粪便及尿液，由于猪场臭气产生量与气温、</w:t>
      </w:r>
      <w:r>
        <w:rPr>
          <w:rFonts w:ascii="宋体" w:hAnsi="宋体" w:eastAsia="宋体" w:cs="宋体"/>
          <w:spacing w:val="-4"/>
          <w:sz w:val="24"/>
          <w:szCs w:val="24"/>
        </w:rPr>
        <w:t>猪场清洁条</w:t>
      </w:r>
      <w:r>
        <w:rPr>
          <w:rFonts w:ascii="宋体" w:hAnsi="宋体" w:eastAsia="宋体" w:cs="宋体"/>
          <w:spacing w:val="-6"/>
          <w:sz w:val="24"/>
          <w:szCs w:val="24"/>
        </w:rPr>
        <w:t>件、饲料等有关， 且属于面源污染，无组织扩散，目前较难</w:t>
      </w:r>
      <w:r>
        <w:rPr>
          <w:rFonts w:ascii="宋体" w:hAnsi="宋体" w:eastAsia="宋体" w:cs="宋体"/>
          <w:spacing w:val="-7"/>
          <w:sz w:val="24"/>
          <w:szCs w:val="24"/>
        </w:rPr>
        <w:t>统计出较准确的产生</w:t>
      </w:r>
      <w:r>
        <w:rPr>
          <w:rFonts w:ascii="宋体" w:hAnsi="宋体" w:eastAsia="宋体" w:cs="宋体"/>
          <w:spacing w:val="-2"/>
          <w:sz w:val="24"/>
          <w:szCs w:val="24"/>
        </w:rPr>
        <w:t>量。因此，本次评价根据猪粪、尿产生量，粗略判断臭气产排情况。</w:t>
      </w:r>
    </w:p>
    <w:p w14:paraId="47E6EEF5">
      <w:pPr>
        <w:spacing w:before="9" w:line="359" w:lineRule="auto"/>
        <w:ind w:left="39" w:right="84" w:firstLine="480"/>
        <w:jc w:val="both"/>
        <w:rPr>
          <w:rFonts w:ascii="宋体" w:hAnsi="宋体" w:eastAsia="宋体" w:cs="宋体"/>
          <w:sz w:val="24"/>
          <w:szCs w:val="24"/>
        </w:rPr>
      </w:pPr>
      <w:r>
        <w:rPr>
          <w:rFonts w:ascii="宋体" w:hAnsi="宋体" w:eastAsia="宋体" w:cs="宋体"/>
          <w:spacing w:val="-5"/>
          <w:sz w:val="24"/>
          <w:szCs w:val="24"/>
        </w:rPr>
        <w:t>根据前文小节分析可知，项目产生的猪粪量约</w:t>
      </w:r>
      <w:r>
        <w:rPr>
          <w:rFonts w:ascii="Times New Roman" w:hAnsi="Times New Roman" w:eastAsia="Times New Roman" w:cs="Times New Roman"/>
          <w:spacing w:val="-5"/>
          <w:sz w:val="24"/>
          <w:szCs w:val="24"/>
        </w:rPr>
        <w:t>65.50</w:t>
      </w:r>
      <w:r>
        <w:rPr>
          <w:rFonts w:ascii="Times New Roman" w:hAnsi="Times New Roman" w:eastAsia="Times New Roman" w:cs="Times New Roman"/>
          <w:spacing w:val="-6"/>
          <w:sz w:val="24"/>
          <w:szCs w:val="24"/>
        </w:rPr>
        <w:t>t/d</w:t>
      </w:r>
      <w:r>
        <w:rPr>
          <w:rFonts w:ascii="宋体" w:hAnsi="宋体" w:eastAsia="宋体" w:cs="宋体"/>
          <w:spacing w:val="-6"/>
          <w:sz w:val="24"/>
          <w:szCs w:val="24"/>
        </w:rPr>
        <w:t>（</w:t>
      </w:r>
      <w:r>
        <w:rPr>
          <w:rFonts w:ascii="Times New Roman" w:hAnsi="Times New Roman" w:eastAsia="Times New Roman" w:cs="Times New Roman"/>
          <w:spacing w:val="-6"/>
          <w:sz w:val="24"/>
          <w:szCs w:val="24"/>
        </w:rPr>
        <w:t>23905.9t/a</w:t>
      </w:r>
      <w:r>
        <w:rPr>
          <w:rFonts w:ascii="宋体" w:hAnsi="宋体" w:eastAsia="宋体" w:cs="宋体"/>
          <w:spacing w:val="-6"/>
          <w:sz w:val="24"/>
          <w:szCs w:val="24"/>
        </w:rPr>
        <w:t>）、猪尿液</w:t>
      </w:r>
      <w:r>
        <w:rPr>
          <w:rFonts w:ascii="宋体" w:hAnsi="宋体" w:eastAsia="宋体" w:cs="宋体"/>
          <w:spacing w:val="-3"/>
          <w:sz w:val="24"/>
          <w:szCs w:val="24"/>
        </w:rPr>
        <w:t>量约</w:t>
      </w:r>
      <w:r>
        <w:rPr>
          <w:rFonts w:ascii="Times New Roman" w:hAnsi="Times New Roman" w:eastAsia="Times New Roman" w:cs="Times New Roman"/>
          <w:spacing w:val="-3"/>
          <w:sz w:val="24"/>
          <w:szCs w:val="24"/>
        </w:rPr>
        <w:t>179.20t/d</w:t>
      </w:r>
      <w:r>
        <w:rPr>
          <w:rFonts w:ascii="宋体" w:hAnsi="宋体" w:eastAsia="宋体" w:cs="宋体"/>
          <w:spacing w:val="-3"/>
          <w:sz w:val="24"/>
          <w:szCs w:val="24"/>
        </w:rPr>
        <w:t>（</w:t>
      </w:r>
      <w:r>
        <w:rPr>
          <w:rFonts w:ascii="Times New Roman" w:hAnsi="Times New Roman" w:eastAsia="Times New Roman" w:cs="Times New Roman"/>
          <w:spacing w:val="-3"/>
          <w:sz w:val="24"/>
          <w:szCs w:val="24"/>
        </w:rPr>
        <w:t>65407.9t/a</w:t>
      </w:r>
      <w:r>
        <w:rPr>
          <w:rFonts w:ascii="宋体" w:hAnsi="宋体" w:eastAsia="宋体" w:cs="宋体"/>
          <w:spacing w:val="-3"/>
          <w:sz w:val="24"/>
          <w:szCs w:val="24"/>
        </w:rPr>
        <w:t>）。根据《畜禽养殖排污系数表》可知，每吨猪尿含氮量约为</w:t>
      </w:r>
      <w:r>
        <w:rPr>
          <w:rFonts w:ascii="Times New Roman" w:hAnsi="Times New Roman" w:eastAsia="Times New Roman" w:cs="Times New Roman"/>
          <w:spacing w:val="-3"/>
          <w:sz w:val="24"/>
          <w:szCs w:val="24"/>
        </w:rPr>
        <w:t>3.3kg</w:t>
      </w:r>
      <w:r>
        <w:rPr>
          <w:rFonts w:ascii="宋体" w:hAnsi="宋体" w:eastAsia="宋体" w:cs="宋体"/>
          <w:spacing w:val="-3"/>
          <w:sz w:val="24"/>
          <w:szCs w:val="24"/>
        </w:rPr>
        <w:t>，则项目猪尿中含氮量为</w:t>
      </w:r>
      <w:r>
        <w:rPr>
          <w:rFonts w:ascii="Times New Roman" w:hAnsi="Times New Roman" w:eastAsia="Times New Roman" w:cs="Times New Roman"/>
          <w:spacing w:val="-3"/>
          <w:sz w:val="24"/>
          <w:szCs w:val="24"/>
        </w:rPr>
        <w:t>591.36kg/d</w:t>
      </w:r>
      <w:r>
        <w:rPr>
          <w:rFonts w:ascii="宋体" w:hAnsi="宋体" w:eastAsia="宋体" w:cs="宋体"/>
          <w:spacing w:val="-3"/>
          <w:sz w:val="24"/>
          <w:szCs w:val="24"/>
        </w:rPr>
        <w:t>。根据《恶臭的评价与分析》</w:t>
      </w:r>
      <w:r>
        <w:rPr>
          <w:rFonts w:ascii="Times New Roman" w:hAnsi="Times New Roman" w:eastAsia="Times New Roman" w:cs="Times New Roman"/>
          <w:spacing w:val="-3"/>
          <w:sz w:val="24"/>
          <w:szCs w:val="24"/>
        </w:rPr>
        <w:t>(</w:t>
      </w:r>
      <w:r>
        <w:rPr>
          <w:rFonts w:ascii="宋体" w:hAnsi="宋体" w:eastAsia="宋体" w:cs="宋体"/>
          <w:spacing w:val="-3"/>
          <w:sz w:val="24"/>
          <w:szCs w:val="24"/>
        </w:rPr>
        <w:t>沈</w:t>
      </w:r>
      <w:r>
        <w:rPr>
          <w:rFonts w:ascii="宋体" w:hAnsi="宋体" w:eastAsia="宋体" w:cs="宋体"/>
          <w:spacing w:val="-1"/>
          <w:sz w:val="24"/>
          <w:szCs w:val="24"/>
        </w:rPr>
        <w:t>培明、陈正夫、张东平等</w:t>
      </w:r>
      <w:r>
        <w:rPr>
          <w:rFonts w:ascii="Times New Roman" w:hAnsi="Times New Roman" w:eastAsia="Times New Roman" w:cs="Times New Roman"/>
          <w:spacing w:val="-1"/>
          <w:sz w:val="24"/>
          <w:szCs w:val="24"/>
        </w:rPr>
        <w:t>)(</w:t>
      </w:r>
      <w:r>
        <w:rPr>
          <w:rFonts w:ascii="宋体" w:hAnsi="宋体" w:eastAsia="宋体" w:cs="宋体"/>
          <w:spacing w:val="-1"/>
          <w:sz w:val="24"/>
          <w:szCs w:val="24"/>
        </w:rPr>
        <w:t>第一版</w:t>
      </w:r>
      <w:r>
        <w:rPr>
          <w:rFonts w:ascii="Times New Roman" w:hAnsi="Times New Roman" w:eastAsia="Times New Roman" w:cs="Times New Roman"/>
          <w:spacing w:val="-1"/>
          <w:sz w:val="24"/>
          <w:szCs w:val="24"/>
        </w:rPr>
        <w:t>)</w:t>
      </w:r>
      <w:r>
        <w:rPr>
          <w:rFonts w:ascii="宋体" w:hAnsi="宋体" w:eastAsia="宋体" w:cs="宋体"/>
          <w:spacing w:val="-1"/>
          <w:sz w:val="24"/>
          <w:szCs w:val="24"/>
        </w:rPr>
        <w:t>，猪粪中含氮量</w:t>
      </w:r>
      <w:r>
        <w:rPr>
          <w:rFonts w:ascii="Times New Roman" w:hAnsi="Times New Roman" w:eastAsia="Times New Roman" w:cs="Times New Roman"/>
          <w:spacing w:val="-1"/>
          <w:sz w:val="24"/>
          <w:szCs w:val="24"/>
        </w:rPr>
        <w:t>0.6%</w:t>
      </w:r>
      <w:r>
        <w:rPr>
          <w:rFonts w:ascii="宋体" w:hAnsi="宋体" w:eastAsia="宋体" w:cs="宋体"/>
          <w:spacing w:val="-1"/>
          <w:sz w:val="24"/>
          <w:szCs w:val="24"/>
        </w:rPr>
        <w:t>，含</w:t>
      </w:r>
      <w:r>
        <w:rPr>
          <w:rFonts w:ascii="宋体" w:hAnsi="宋体" w:eastAsia="宋体" w:cs="宋体"/>
          <w:spacing w:val="-2"/>
          <w:sz w:val="24"/>
          <w:szCs w:val="24"/>
        </w:rPr>
        <w:t>硫量</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，则项目</w:t>
      </w:r>
      <w:r>
        <w:rPr>
          <w:rFonts w:ascii="宋体" w:hAnsi="宋体" w:eastAsia="宋体" w:cs="宋体"/>
          <w:sz w:val="24"/>
          <w:szCs w:val="24"/>
        </w:rPr>
        <w:t>猪粪中固体部分含氮量</w:t>
      </w:r>
      <w:r>
        <w:rPr>
          <w:rFonts w:ascii="Times New Roman" w:hAnsi="Times New Roman" w:eastAsia="Times New Roman" w:cs="Times New Roman"/>
          <w:sz w:val="24"/>
          <w:szCs w:val="24"/>
        </w:rPr>
        <w:t>78.59kg/d</w:t>
      </w:r>
      <w:r>
        <w:rPr>
          <w:rFonts w:ascii="宋体" w:hAnsi="宋体" w:eastAsia="宋体" w:cs="宋体"/>
          <w:sz w:val="24"/>
          <w:szCs w:val="24"/>
        </w:rPr>
        <w:t>、液体含氮量</w:t>
      </w:r>
      <w:r>
        <w:rPr>
          <w:rFonts w:ascii="Times New Roman" w:hAnsi="Times New Roman" w:eastAsia="Times New Roman" w:cs="Times New Roman"/>
          <w:sz w:val="24"/>
          <w:szCs w:val="24"/>
        </w:rPr>
        <w:t>108.07kg/d</w:t>
      </w:r>
      <w:r>
        <w:rPr>
          <w:rFonts w:ascii="宋体" w:hAnsi="宋体" w:eastAsia="宋体" w:cs="宋体"/>
          <w:spacing w:val="-1"/>
          <w:sz w:val="24"/>
          <w:szCs w:val="24"/>
        </w:rPr>
        <w:t>，含硫量</w:t>
      </w:r>
      <w:r>
        <w:rPr>
          <w:rFonts w:ascii="Times New Roman" w:hAnsi="Times New Roman" w:eastAsia="Times New Roman" w:cs="Times New Roman"/>
          <w:spacing w:val="-1"/>
          <w:sz w:val="24"/>
          <w:szCs w:val="24"/>
        </w:rPr>
        <w:t>19.65kg/d</w:t>
      </w:r>
      <w:r>
        <w:rPr>
          <w:rFonts w:ascii="宋体" w:hAnsi="宋体" w:eastAsia="宋体" w:cs="宋体"/>
          <w:spacing w:val="-1"/>
          <w:sz w:val="24"/>
          <w:szCs w:val="24"/>
        </w:rPr>
        <w:t>。合</w:t>
      </w:r>
      <w:r>
        <w:rPr>
          <w:rFonts w:ascii="宋体" w:hAnsi="宋体" w:eastAsia="宋体" w:cs="宋体"/>
          <w:spacing w:val="-3"/>
          <w:sz w:val="24"/>
          <w:szCs w:val="24"/>
        </w:rPr>
        <w:t>计项目生猪粪污排泄产生的总氮量为</w:t>
      </w:r>
      <w:r>
        <w:rPr>
          <w:rFonts w:ascii="Times New Roman" w:hAnsi="Times New Roman" w:eastAsia="Times New Roman" w:cs="Times New Roman"/>
          <w:spacing w:val="-3"/>
          <w:sz w:val="24"/>
          <w:szCs w:val="24"/>
        </w:rPr>
        <w:t>778.02kg/d</w:t>
      </w:r>
      <w:r>
        <w:rPr>
          <w:rFonts w:ascii="宋体" w:hAnsi="宋体" w:eastAsia="宋体" w:cs="宋体"/>
          <w:spacing w:val="-3"/>
          <w:sz w:val="24"/>
          <w:szCs w:val="24"/>
        </w:rPr>
        <w:t>（</w:t>
      </w:r>
      <w:r>
        <w:rPr>
          <w:rFonts w:ascii="Times New Roman" w:hAnsi="Times New Roman" w:eastAsia="Times New Roman" w:cs="Times New Roman"/>
          <w:spacing w:val="-4"/>
          <w:sz w:val="24"/>
          <w:szCs w:val="24"/>
        </w:rPr>
        <w:t>283.98t/a</w:t>
      </w:r>
      <w:r>
        <w:rPr>
          <w:rFonts w:ascii="宋体" w:hAnsi="宋体" w:eastAsia="宋体" w:cs="宋体"/>
          <w:spacing w:val="-4"/>
          <w:sz w:val="24"/>
          <w:szCs w:val="24"/>
        </w:rPr>
        <w:t>）、总硫量为</w:t>
      </w:r>
      <w:r>
        <w:rPr>
          <w:rFonts w:ascii="Times New Roman" w:hAnsi="Times New Roman" w:eastAsia="Times New Roman" w:cs="Times New Roman"/>
          <w:spacing w:val="-4"/>
          <w:sz w:val="24"/>
          <w:szCs w:val="24"/>
        </w:rPr>
        <w:t>19.65kg/d</w:t>
      </w:r>
      <w:r>
        <w:rPr>
          <w:rFonts w:ascii="Times New Roman" w:hAnsi="Times New Roman" w:eastAsia="Times New Roman" w:cs="Times New Roman"/>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7.</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3"/>
          <w:sz w:val="24"/>
          <w:szCs w:val="24"/>
        </w:rPr>
        <w:t>17t/a</w:t>
      </w:r>
      <w:r>
        <w:rPr>
          <w:rFonts w:ascii="宋体" w:hAnsi="宋体" w:eastAsia="宋体" w:cs="宋体"/>
          <w:spacing w:val="-13"/>
          <w:sz w:val="24"/>
          <w:szCs w:val="24"/>
        </w:rPr>
        <w:t>）。</w:t>
      </w:r>
    </w:p>
    <w:p w14:paraId="1E89110C">
      <w:pPr>
        <w:spacing w:line="360" w:lineRule="auto"/>
        <w:ind w:left="40" w:right="85" w:firstLine="479"/>
        <w:jc w:val="both"/>
        <w:rPr>
          <w:rFonts w:ascii="宋体" w:hAnsi="宋体" w:eastAsia="宋体" w:cs="宋体"/>
          <w:sz w:val="24"/>
          <w:szCs w:val="24"/>
        </w:rPr>
      </w:pPr>
      <w:r>
        <w:rPr>
          <w:rFonts w:ascii="宋体" w:hAnsi="宋体" w:eastAsia="宋体" w:cs="宋体"/>
          <w:spacing w:val="-7"/>
          <w:sz w:val="24"/>
          <w:szCs w:val="24"/>
        </w:rPr>
        <w:t>类比本地同类项目，饲料选用合理、猪舍管理得当时， 预计项目总氮、总硫</w:t>
      </w:r>
      <w:r>
        <w:rPr>
          <w:rFonts w:ascii="宋体" w:hAnsi="宋体" w:eastAsia="宋体" w:cs="宋体"/>
          <w:spacing w:val="14"/>
          <w:sz w:val="24"/>
          <w:szCs w:val="24"/>
        </w:rPr>
        <w:t>转化成</w:t>
      </w:r>
      <w:r>
        <w:rPr>
          <w:rFonts w:ascii="Times New Roman" w:hAnsi="Times New Roman" w:eastAsia="Times New Roman" w:cs="Times New Roman"/>
          <w:sz w:val="24"/>
          <w:szCs w:val="24"/>
        </w:rPr>
        <w:t>NH</w:t>
      </w:r>
      <w:r>
        <w:rPr>
          <w:rFonts w:ascii="Times New Roman" w:hAnsi="Times New Roman" w:eastAsia="Times New Roman" w:cs="Times New Roman"/>
          <w:spacing w:val="14"/>
          <w:position w:val="-2"/>
          <w:sz w:val="15"/>
          <w:szCs w:val="15"/>
        </w:rPr>
        <w:t xml:space="preserve">3 </w:t>
      </w:r>
      <w:r>
        <w:rPr>
          <w:rFonts w:ascii="宋体" w:hAnsi="宋体" w:eastAsia="宋体" w:cs="宋体"/>
          <w:spacing w:val="14"/>
          <w:sz w:val="24"/>
          <w:szCs w:val="24"/>
        </w:rPr>
        <w:t>、</w:t>
      </w:r>
      <w:r>
        <w:rPr>
          <w:rFonts w:ascii="Times New Roman" w:hAnsi="Times New Roman" w:eastAsia="Times New Roman" w:cs="Times New Roman"/>
          <w:spacing w:val="14"/>
          <w:sz w:val="24"/>
          <w:szCs w:val="24"/>
        </w:rPr>
        <w:t>H</w:t>
      </w:r>
      <w:r>
        <w:rPr>
          <w:rFonts w:ascii="Times New Roman" w:hAnsi="Times New Roman" w:eastAsia="Times New Roman" w:cs="Times New Roman"/>
          <w:spacing w:val="14"/>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4"/>
          <w:sz w:val="24"/>
          <w:szCs w:val="24"/>
        </w:rPr>
        <w:t>S</w:t>
      </w:r>
      <w:r>
        <w:rPr>
          <w:rFonts w:ascii="宋体" w:hAnsi="宋体" w:eastAsia="宋体" w:cs="宋体"/>
          <w:spacing w:val="14"/>
          <w:sz w:val="24"/>
          <w:szCs w:val="24"/>
        </w:rPr>
        <w:t>量可控制在</w:t>
      </w:r>
      <w:r>
        <w:rPr>
          <w:rFonts w:ascii="Times New Roman" w:hAnsi="Times New Roman" w:eastAsia="Times New Roman" w:cs="Times New Roman"/>
          <w:spacing w:val="14"/>
          <w:sz w:val="24"/>
          <w:szCs w:val="24"/>
        </w:rPr>
        <w:t>2%</w:t>
      </w:r>
      <w:r>
        <w:rPr>
          <w:rFonts w:ascii="宋体" w:hAnsi="宋体" w:eastAsia="宋体" w:cs="宋体"/>
          <w:spacing w:val="14"/>
          <w:sz w:val="24"/>
          <w:szCs w:val="24"/>
        </w:rPr>
        <w:t>左右，则相应</w:t>
      </w:r>
      <w:r>
        <w:rPr>
          <w:rFonts w:ascii="Times New Roman" w:hAnsi="Times New Roman" w:eastAsia="Times New Roman" w:cs="Times New Roman"/>
          <w:sz w:val="24"/>
          <w:szCs w:val="24"/>
        </w:rPr>
        <w:t>NH</w:t>
      </w:r>
      <w:r>
        <w:rPr>
          <w:rFonts w:ascii="Times New Roman" w:hAnsi="Times New Roman" w:eastAsia="Times New Roman" w:cs="Times New Roman"/>
          <w:spacing w:val="14"/>
          <w:position w:val="-2"/>
          <w:sz w:val="15"/>
          <w:szCs w:val="15"/>
        </w:rPr>
        <w:t xml:space="preserve">3 </w:t>
      </w:r>
      <w:r>
        <w:rPr>
          <w:rFonts w:ascii="宋体" w:hAnsi="宋体" w:eastAsia="宋体" w:cs="宋体"/>
          <w:spacing w:val="14"/>
          <w:sz w:val="24"/>
          <w:szCs w:val="24"/>
        </w:rPr>
        <w:t>、</w:t>
      </w:r>
      <w:r>
        <w:rPr>
          <w:rFonts w:ascii="Times New Roman" w:hAnsi="Times New Roman" w:eastAsia="Times New Roman" w:cs="Times New Roman"/>
          <w:spacing w:val="14"/>
          <w:sz w:val="24"/>
          <w:szCs w:val="24"/>
        </w:rPr>
        <w:t>H</w:t>
      </w:r>
      <w:r>
        <w:rPr>
          <w:rFonts w:ascii="Times New Roman" w:hAnsi="Times New Roman" w:eastAsia="Times New Roman" w:cs="Times New Roman"/>
          <w:spacing w:val="14"/>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14"/>
          <w:sz w:val="24"/>
          <w:szCs w:val="24"/>
        </w:rPr>
        <w:t>S</w:t>
      </w:r>
      <w:r>
        <w:rPr>
          <w:rFonts w:ascii="宋体" w:hAnsi="宋体" w:eastAsia="宋体" w:cs="宋体"/>
          <w:spacing w:val="14"/>
          <w:sz w:val="24"/>
          <w:szCs w:val="24"/>
        </w:rPr>
        <w:t>最大产生</w:t>
      </w:r>
      <w:r>
        <w:rPr>
          <w:rFonts w:ascii="宋体" w:hAnsi="宋体" w:eastAsia="宋体" w:cs="宋体"/>
          <w:spacing w:val="13"/>
          <w:sz w:val="24"/>
          <w:szCs w:val="24"/>
        </w:rPr>
        <w:t>量分别为</w:t>
      </w:r>
      <w:r>
        <w:rPr>
          <w:rFonts w:ascii="Times New Roman" w:hAnsi="Times New Roman" w:eastAsia="Times New Roman" w:cs="Times New Roman"/>
          <w:spacing w:val="-5"/>
          <w:sz w:val="24"/>
          <w:szCs w:val="24"/>
        </w:rPr>
        <w:t>5679.56kg/a</w:t>
      </w:r>
      <w:r>
        <w:rPr>
          <w:rFonts w:ascii="宋体" w:hAnsi="宋体" w:eastAsia="宋体" w:cs="宋体"/>
          <w:spacing w:val="-5"/>
          <w:sz w:val="24"/>
          <w:szCs w:val="24"/>
        </w:rPr>
        <w:t>（</w:t>
      </w:r>
      <w:r>
        <w:rPr>
          <w:rFonts w:ascii="Times New Roman" w:hAnsi="Times New Roman" w:eastAsia="Times New Roman" w:cs="Times New Roman"/>
          <w:spacing w:val="-5"/>
          <w:sz w:val="24"/>
          <w:szCs w:val="24"/>
        </w:rPr>
        <w:t>0.6484kg/h</w:t>
      </w:r>
      <w:r>
        <w:rPr>
          <w:rFonts w:ascii="宋体" w:hAnsi="宋体" w:eastAsia="宋体" w:cs="宋体"/>
          <w:spacing w:val="-5"/>
          <w:sz w:val="24"/>
          <w:szCs w:val="24"/>
        </w:rPr>
        <w:t>）、</w:t>
      </w:r>
      <w:r>
        <w:rPr>
          <w:rFonts w:ascii="Times New Roman" w:hAnsi="Times New Roman" w:eastAsia="Times New Roman" w:cs="Times New Roman"/>
          <w:spacing w:val="-5"/>
          <w:sz w:val="24"/>
          <w:szCs w:val="24"/>
        </w:rPr>
        <w:t>143.44kg/a</w:t>
      </w:r>
      <w:r>
        <w:rPr>
          <w:rFonts w:ascii="宋体" w:hAnsi="宋体" w:eastAsia="宋体" w:cs="宋体"/>
          <w:spacing w:val="-5"/>
          <w:sz w:val="24"/>
          <w:szCs w:val="24"/>
        </w:rPr>
        <w:t>（</w:t>
      </w:r>
      <w:r>
        <w:rPr>
          <w:rFonts w:ascii="Times New Roman" w:hAnsi="Times New Roman" w:eastAsia="Times New Roman" w:cs="Times New Roman"/>
          <w:spacing w:val="-5"/>
          <w:sz w:val="24"/>
          <w:szCs w:val="24"/>
        </w:rPr>
        <w:t>0.0164kg/h</w:t>
      </w:r>
      <w:r>
        <w:rPr>
          <w:rFonts w:ascii="宋体" w:hAnsi="宋体" w:eastAsia="宋体" w:cs="宋体"/>
          <w:spacing w:val="-5"/>
          <w:sz w:val="24"/>
          <w:szCs w:val="24"/>
        </w:rPr>
        <w:t>）。</w:t>
      </w:r>
    </w:p>
    <w:p w14:paraId="68D73F4A">
      <w:pPr>
        <w:spacing w:line="217" w:lineRule="auto"/>
        <w:ind w:left="519"/>
        <w:rPr>
          <w:rFonts w:ascii="宋体" w:hAnsi="宋体" w:eastAsia="宋体" w:cs="宋体"/>
          <w:sz w:val="24"/>
          <w:szCs w:val="24"/>
        </w:rPr>
      </w:pPr>
      <w:r>
        <w:rPr>
          <w:rFonts w:ascii="宋体" w:hAnsi="宋体" w:eastAsia="宋体" w:cs="宋体"/>
          <w:b/>
          <w:bCs/>
          <w:spacing w:val="-4"/>
          <w:sz w:val="24"/>
          <w:szCs w:val="24"/>
        </w:rPr>
        <w:t>②转猪舍</w:t>
      </w:r>
    </w:p>
    <w:p w14:paraId="799D3A79">
      <w:pPr>
        <w:spacing w:before="185" w:line="360" w:lineRule="auto"/>
        <w:ind w:left="39" w:firstLine="480"/>
        <w:jc w:val="both"/>
        <w:rPr>
          <w:rFonts w:ascii="宋体" w:hAnsi="宋体" w:eastAsia="宋体" w:cs="宋体"/>
          <w:sz w:val="24"/>
          <w:szCs w:val="24"/>
        </w:rPr>
      </w:pPr>
      <w:r>
        <w:rPr>
          <w:rFonts w:ascii="宋体" w:hAnsi="宋体" w:eastAsia="宋体" w:cs="宋体"/>
          <w:sz w:val="24"/>
          <w:szCs w:val="24"/>
        </w:rPr>
        <w:t>本项目设置</w:t>
      </w:r>
      <w:r>
        <w:rPr>
          <w:rFonts w:ascii="Times New Roman" w:hAnsi="Times New Roman" w:eastAsia="Times New Roman" w:cs="Times New Roman"/>
          <w:sz w:val="24"/>
          <w:szCs w:val="24"/>
        </w:rPr>
        <w:t>1</w:t>
      </w:r>
      <w:r>
        <w:rPr>
          <w:rFonts w:ascii="宋体" w:hAnsi="宋体" w:eastAsia="宋体" w:cs="宋体"/>
          <w:sz w:val="24"/>
          <w:szCs w:val="24"/>
        </w:rPr>
        <w:t>栋育肥猪转猪舍，用于出栏育肥猪装车外运，转猪舍仅在每批</w:t>
      </w:r>
      <w:r>
        <w:rPr>
          <w:rFonts w:ascii="宋体" w:hAnsi="宋体" w:eastAsia="宋体" w:cs="宋体"/>
          <w:spacing w:val="-3"/>
          <w:sz w:val="24"/>
          <w:szCs w:val="24"/>
        </w:rPr>
        <w:t>次猪只出栏时使用，仅白天出猪，其余时间无猪只暂存。生猪在转猪舍会产生应</w:t>
      </w:r>
      <w:r>
        <w:rPr>
          <w:rFonts w:ascii="宋体" w:hAnsi="宋体" w:eastAsia="宋体" w:cs="宋体"/>
          <w:spacing w:val="-1"/>
          <w:sz w:val="24"/>
          <w:szCs w:val="24"/>
        </w:rPr>
        <w:t>急排泄，由于转猪舍不设饲喂系统，排泄量按前文“</w:t>
      </w:r>
      <w:r>
        <w:fldChar w:fldCharType="begin"/>
      </w:r>
      <w:r>
        <w:instrText xml:space="preserve"> HYPERLINK "2.2.3.2" </w:instrText>
      </w:r>
      <w:r>
        <w:fldChar w:fldCharType="separate"/>
      </w:r>
      <w:r>
        <w:rPr>
          <w:rFonts w:ascii="Times New Roman" w:hAnsi="Times New Roman" w:eastAsia="Times New Roman" w:cs="Times New Roman"/>
          <w:spacing w:val="-2"/>
          <w:sz w:val="24"/>
          <w:szCs w:val="24"/>
        </w:rPr>
        <w:t>2.2.3.2</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”节系数的</w:t>
      </w:r>
      <w:r>
        <w:rPr>
          <w:rFonts w:ascii="Times New Roman" w:hAnsi="Times New Roman" w:eastAsia="Times New Roman" w:cs="Times New Roman"/>
          <w:spacing w:val="-2"/>
          <w:sz w:val="24"/>
          <w:szCs w:val="24"/>
        </w:rPr>
        <w:t>1/5</w:t>
      </w:r>
      <w:r>
        <w:rPr>
          <w:rFonts w:ascii="宋体" w:hAnsi="宋体" w:eastAsia="宋体" w:cs="宋体"/>
          <w:spacing w:val="-2"/>
          <w:sz w:val="24"/>
          <w:szCs w:val="24"/>
        </w:rPr>
        <w:t>考虑。</w:t>
      </w:r>
      <w:r>
        <w:rPr>
          <w:rFonts w:ascii="宋体" w:hAnsi="宋体" w:eastAsia="宋体" w:cs="宋体"/>
          <w:spacing w:val="-9"/>
          <w:sz w:val="24"/>
          <w:szCs w:val="24"/>
        </w:rPr>
        <w:t>计算暂存舍产生的猪粪量</w:t>
      </w:r>
      <w:r>
        <w:rPr>
          <w:rFonts w:ascii="Times New Roman" w:hAnsi="Times New Roman" w:eastAsia="Times New Roman" w:cs="Times New Roman"/>
          <w:spacing w:val="-9"/>
          <w:sz w:val="24"/>
          <w:szCs w:val="24"/>
        </w:rPr>
        <w:t>0.36t/d</w:t>
      </w:r>
      <w:r>
        <w:rPr>
          <w:rFonts w:ascii="宋体" w:hAnsi="宋体" w:eastAsia="宋体" w:cs="宋体"/>
          <w:spacing w:val="-9"/>
          <w:sz w:val="24"/>
          <w:szCs w:val="24"/>
        </w:rPr>
        <w:t>、猪尿液量</w:t>
      </w:r>
      <w:r>
        <w:rPr>
          <w:rFonts w:ascii="Times New Roman" w:hAnsi="Times New Roman" w:eastAsia="Times New Roman" w:cs="Times New Roman"/>
          <w:spacing w:val="-9"/>
          <w:sz w:val="24"/>
          <w:szCs w:val="24"/>
        </w:rPr>
        <w:t>0.96t/d</w:t>
      </w:r>
      <w:r>
        <w:rPr>
          <w:rFonts w:ascii="宋体" w:hAnsi="宋体" w:eastAsia="宋体" w:cs="宋体"/>
          <w:spacing w:val="-9"/>
          <w:sz w:val="24"/>
          <w:szCs w:val="24"/>
        </w:rPr>
        <w:t>，结合《畜禽养殖排污系数表》、</w:t>
      </w:r>
      <w:r>
        <w:rPr>
          <w:rFonts w:ascii="宋体" w:hAnsi="宋体" w:eastAsia="宋体" w:cs="宋体"/>
          <w:sz w:val="24"/>
          <w:szCs w:val="24"/>
        </w:rPr>
        <w:t xml:space="preserve"> 《恶臭的评价与分析》等相关参数，可计算出转猪舍</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3</w:t>
      </w:r>
      <w:r>
        <w:rPr>
          <w:rFonts w:ascii="Times New Roman" w:hAnsi="Times New Roman" w:eastAsia="Times New Roman" w:cs="Times New Roman"/>
          <w:spacing w:val="-3"/>
          <w:position w:val="-2"/>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z w:val="24"/>
          <w:szCs w:val="24"/>
        </w:rPr>
        <w:t>S</w:t>
      </w:r>
      <w:r>
        <w:rPr>
          <w:rFonts w:ascii="宋体" w:hAnsi="宋体" w:eastAsia="宋体" w:cs="宋体"/>
          <w:sz w:val="24"/>
          <w:szCs w:val="24"/>
        </w:rPr>
        <w:t>最大产生量分别</w:t>
      </w:r>
      <w:r>
        <w:rPr>
          <w:rFonts w:ascii="宋体" w:hAnsi="宋体" w:eastAsia="宋体" w:cs="宋体"/>
          <w:spacing w:val="-5"/>
          <w:sz w:val="24"/>
          <w:szCs w:val="24"/>
        </w:rPr>
        <w:t>为</w:t>
      </w:r>
      <w:r>
        <w:rPr>
          <w:rFonts w:ascii="Times New Roman" w:hAnsi="Times New Roman" w:eastAsia="Times New Roman" w:cs="Times New Roman"/>
          <w:spacing w:val="-5"/>
          <w:sz w:val="24"/>
          <w:szCs w:val="24"/>
        </w:rPr>
        <w:t>26.30kg/a</w:t>
      </w:r>
      <w:r>
        <w:rPr>
          <w:rFonts w:ascii="宋体" w:hAnsi="宋体" w:eastAsia="宋体" w:cs="宋体"/>
          <w:spacing w:val="-5"/>
          <w:sz w:val="24"/>
          <w:szCs w:val="24"/>
        </w:rPr>
        <w:t>（</w:t>
      </w:r>
      <w:r>
        <w:rPr>
          <w:rFonts w:ascii="Times New Roman" w:hAnsi="Times New Roman" w:eastAsia="Times New Roman" w:cs="Times New Roman"/>
          <w:spacing w:val="-5"/>
          <w:sz w:val="24"/>
          <w:szCs w:val="24"/>
        </w:rPr>
        <w:t>0.0180kg/h</w:t>
      </w:r>
      <w:r>
        <w:rPr>
          <w:rFonts w:ascii="宋体" w:hAnsi="宋体" w:eastAsia="宋体" w:cs="宋体"/>
          <w:spacing w:val="-5"/>
          <w:sz w:val="24"/>
          <w:szCs w:val="24"/>
        </w:rPr>
        <w:t>）、</w:t>
      </w:r>
      <w:r>
        <w:rPr>
          <w:rFonts w:ascii="Times New Roman" w:hAnsi="Times New Roman" w:eastAsia="Times New Roman" w:cs="Times New Roman"/>
          <w:spacing w:val="-5"/>
          <w:sz w:val="24"/>
          <w:szCs w:val="24"/>
        </w:rPr>
        <w:t>0.79kg/a</w:t>
      </w:r>
      <w:r>
        <w:rPr>
          <w:rFonts w:ascii="宋体" w:hAnsi="宋体" w:eastAsia="宋体" w:cs="宋体"/>
          <w:spacing w:val="-5"/>
          <w:sz w:val="24"/>
          <w:szCs w:val="24"/>
        </w:rPr>
        <w:t>（</w:t>
      </w:r>
      <w:r>
        <w:rPr>
          <w:rFonts w:ascii="Times New Roman" w:hAnsi="Times New Roman" w:eastAsia="Times New Roman" w:cs="Times New Roman"/>
          <w:spacing w:val="-5"/>
          <w:sz w:val="24"/>
          <w:szCs w:val="24"/>
        </w:rPr>
        <w:t>0.0005kg/h</w:t>
      </w:r>
      <w:r>
        <w:rPr>
          <w:rFonts w:ascii="宋体" w:hAnsi="宋体" w:eastAsia="宋体" w:cs="宋体"/>
          <w:spacing w:val="-5"/>
          <w:sz w:val="24"/>
          <w:szCs w:val="24"/>
        </w:rPr>
        <w:t>）。</w:t>
      </w:r>
    </w:p>
    <w:p w14:paraId="36AADD71">
      <w:pPr>
        <w:spacing w:before="1" w:line="217" w:lineRule="auto"/>
        <w:ind w:left="519"/>
        <w:rPr>
          <w:rFonts w:ascii="宋体" w:hAnsi="宋体" w:eastAsia="宋体" w:cs="宋体"/>
          <w:sz w:val="24"/>
          <w:szCs w:val="24"/>
        </w:rPr>
      </w:pPr>
      <w:r>
        <w:rPr>
          <w:rFonts w:ascii="宋体" w:hAnsi="宋体" w:eastAsia="宋体" w:cs="宋体"/>
          <w:b/>
          <w:bCs/>
          <w:spacing w:val="-4"/>
          <w:sz w:val="24"/>
          <w:szCs w:val="24"/>
        </w:rPr>
        <w:t>③堆粪棚</w:t>
      </w:r>
    </w:p>
    <w:p w14:paraId="6B1E72CC">
      <w:pPr>
        <w:spacing w:line="217" w:lineRule="auto"/>
        <w:rPr>
          <w:rFonts w:ascii="宋体" w:hAnsi="宋体" w:eastAsia="宋体" w:cs="宋体"/>
          <w:sz w:val="24"/>
          <w:szCs w:val="24"/>
        </w:rPr>
        <w:sectPr>
          <w:headerReference r:id="rId199" w:type="default"/>
          <w:footerReference r:id="rId200" w:type="default"/>
          <w:pgSz w:w="11905" w:h="16840"/>
          <w:pgMar w:top="1168" w:right="1712" w:bottom="1409" w:left="1770" w:header="828" w:footer="1244" w:gutter="0"/>
          <w:cols w:space="720" w:num="1"/>
        </w:sectPr>
      </w:pPr>
    </w:p>
    <w:p w14:paraId="3CCB3A03">
      <w:pPr>
        <w:pStyle w:val="2"/>
        <w:spacing w:line="303" w:lineRule="auto"/>
      </w:pPr>
    </w:p>
    <w:p w14:paraId="4B957E1B">
      <w:pPr>
        <w:spacing w:before="78" w:line="358" w:lineRule="auto"/>
        <w:ind w:left="33" w:right="64" w:firstLine="486"/>
        <w:jc w:val="both"/>
        <w:rPr>
          <w:rFonts w:ascii="宋体" w:hAnsi="宋体" w:eastAsia="宋体" w:cs="宋体"/>
          <w:sz w:val="24"/>
          <w:szCs w:val="24"/>
        </w:rPr>
      </w:pPr>
      <w:r>
        <w:rPr>
          <w:rFonts w:ascii="宋体" w:hAnsi="宋体" w:eastAsia="宋体" w:cs="宋体"/>
          <w:sz w:val="24"/>
          <w:szCs w:val="24"/>
        </w:rPr>
        <w:t>本项目在育肥楼西南侧设置</w:t>
      </w:r>
      <w:r>
        <w:rPr>
          <w:rFonts w:ascii="Times New Roman" w:hAnsi="Times New Roman" w:eastAsia="Times New Roman" w:cs="Times New Roman"/>
          <w:sz w:val="24"/>
          <w:szCs w:val="24"/>
        </w:rPr>
        <w:t>1</w:t>
      </w:r>
      <w:r>
        <w:rPr>
          <w:rFonts w:ascii="宋体" w:hAnsi="宋体" w:eastAsia="宋体" w:cs="宋体"/>
          <w:sz w:val="24"/>
          <w:szCs w:val="24"/>
        </w:rPr>
        <w:t>座堆粪棚，堆粪棚的恶臭主要来自于猪粪、沼</w:t>
      </w:r>
      <w:r>
        <w:rPr>
          <w:rFonts w:ascii="宋体" w:hAnsi="宋体" w:eastAsia="宋体" w:cs="宋体"/>
          <w:spacing w:val="4"/>
          <w:sz w:val="24"/>
          <w:szCs w:val="24"/>
        </w:rPr>
        <w:t>渣暂存过程，堆粪棚内猪粪每天外运。根据中国环境科学学会学术年会论文集</w:t>
      </w:r>
      <w:r>
        <w:rPr>
          <w:rFonts w:ascii="宋体" w:hAnsi="宋体" w:eastAsia="宋体" w:cs="宋体"/>
          <w:spacing w:val="-3"/>
          <w:sz w:val="24"/>
          <w:szCs w:val="24"/>
        </w:rPr>
        <w:t>（</w:t>
      </w:r>
      <w:r>
        <w:rPr>
          <w:rFonts w:ascii="Times New Roman" w:hAnsi="Times New Roman" w:eastAsia="Times New Roman" w:cs="Times New Roman"/>
          <w:spacing w:val="-3"/>
          <w:sz w:val="24"/>
          <w:szCs w:val="24"/>
        </w:rPr>
        <w:t>2010</w:t>
      </w:r>
      <w:r>
        <w:rPr>
          <w:rFonts w:ascii="宋体" w:hAnsi="宋体" w:eastAsia="宋体" w:cs="宋体"/>
          <w:spacing w:val="-3"/>
          <w:sz w:val="24"/>
          <w:szCs w:val="24"/>
        </w:rPr>
        <w:t>）中的《养猪场恶臭影响量化分析及控制对策研究》（天津市环境影响评</w:t>
      </w:r>
      <w:r>
        <w:rPr>
          <w:rFonts w:ascii="宋体" w:hAnsi="宋体" w:eastAsia="宋体" w:cs="宋体"/>
          <w:spacing w:val="-1"/>
          <w:sz w:val="24"/>
          <w:szCs w:val="24"/>
        </w:rPr>
        <w:t>价中心，孙艳青、张潞、李万庆</w:t>
      </w:r>
      <w:r>
        <w:rPr>
          <w:rFonts w:ascii="宋体" w:hAnsi="宋体" w:eastAsia="宋体" w:cs="宋体"/>
          <w:spacing w:val="-2"/>
          <w:sz w:val="24"/>
          <w:szCs w:val="24"/>
        </w:rPr>
        <w:t>）：</w:t>
      </w:r>
      <w:r>
        <w:rPr>
          <w:rFonts w:ascii="宋体" w:hAnsi="宋体" w:eastAsia="宋体" w:cs="宋体"/>
          <w:spacing w:val="-1"/>
          <w:sz w:val="24"/>
          <w:szCs w:val="24"/>
        </w:rPr>
        <w:t>养殖场猪粪堆场监测的相关统计资</w:t>
      </w:r>
      <w:r>
        <w:rPr>
          <w:rFonts w:ascii="宋体" w:hAnsi="宋体" w:eastAsia="宋体" w:cs="宋体"/>
          <w:spacing w:val="-2"/>
          <w:sz w:val="24"/>
          <w:szCs w:val="24"/>
        </w:rPr>
        <w:t>料，</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宋体" w:hAnsi="宋体" w:eastAsia="宋体" w:cs="宋体"/>
          <w:spacing w:val="2"/>
          <w:sz w:val="24"/>
          <w:szCs w:val="24"/>
        </w:rPr>
        <w:t>的平均排放量是</w:t>
      </w:r>
      <w:r>
        <w:rPr>
          <w:rFonts w:ascii="Times New Roman" w:hAnsi="Times New Roman" w:eastAsia="Times New Roman" w:cs="Times New Roman"/>
          <w:spacing w:val="2"/>
          <w:sz w:val="24"/>
          <w:szCs w:val="24"/>
        </w:rPr>
        <w:t>4.35g/(m</w:t>
      </w:r>
      <w:r>
        <w:rPr>
          <w:rFonts w:ascii="Times New Roman" w:hAnsi="Times New Roman" w:eastAsia="Times New Roman" w:cs="Times New Roman"/>
          <w:spacing w:val="2"/>
          <w:position w:val="10"/>
          <w:sz w:val="15"/>
          <w:szCs w:val="15"/>
        </w:rPr>
        <w:t>2</w:t>
      </w:r>
      <w:r>
        <w:rPr>
          <w:rFonts w:ascii="Times New Roman" w:hAnsi="Times New Roman" w:eastAsia="Times New Roman" w:cs="Times New Roman"/>
          <w:spacing w:val="2"/>
          <w:sz w:val="24"/>
          <w:szCs w:val="24"/>
        </w:rPr>
        <w:t>ꞏd)</w:t>
      </w:r>
      <w:r>
        <w:rPr>
          <w:rFonts w:ascii="宋体" w:hAnsi="宋体" w:eastAsia="宋体" w:cs="宋体"/>
          <w:spacing w:val="2"/>
          <w:sz w:val="24"/>
          <w:szCs w:val="24"/>
        </w:rPr>
        <w:t>，且恶臭排放量随着处置方式的改变而改变，在没</w:t>
      </w:r>
      <w:r>
        <w:rPr>
          <w:rFonts w:ascii="宋体" w:hAnsi="宋体" w:eastAsia="宋体" w:cs="宋体"/>
          <w:spacing w:val="1"/>
          <w:sz w:val="24"/>
          <w:szCs w:val="24"/>
        </w:rPr>
        <w:t>有任何掩盖以及猪粪没有结皮的情况下，</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3"/>
          <w:sz w:val="15"/>
          <w:szCs w:val="15"/>
        </w:rPr>
        <w:t>3</w:t>
      </w:r>
      <w:r>
        <w:rPr>
          <w:rFonts w:ascii="宋体" w:hAnsi="宋体" w:eastAsia="宋体" w:cs="宋体"/>
          <w:spacing w:val="1"/>
          <w:sz w:val="24"/>
          <w:szCs w:val="24"/>
        </w:rPr>
        <w:t>排放强度为</w:t>
      </w:r>
      <w:r>
        <w:rPr>
          <w:rFonts w:ascii="Times New Roman" w:hAnsi="Times New Roman" w:eastAsia="Times New Roman" w:cs="Times New Roman"/>
          <w:spacing w:val="1"/>
          <w:sz w:val="24"/>
          <w:szCs w:val="24"/>
        </w:rPr>
        <w:t>5.2g/(m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sz w:val="24"/>
          <w:szCs w:val="24"/>
        </w:rPr>
        <w:t>ꞏd)</w:t>
      </w:r>
      <w:r>
        <w:rPr>
          <w:rFonts w:ascii="宋体" w:hAnsi="宋体" w:eastAsia="宋体" w:cs="宋体"/>
          <w:spacing w:val="1"/>
          <w:sz w:val="24"/>
          <w:szCs w:val="24"/>
        </w:rPr>
        <w:t>，若是结皮（</w:t>
      </w:r>
      <w:r>
        <w:rPr>
          <w:rFonts w:ascii="Times New Roman" w:hAnsi="Times New Roman" w:eastAsia="Times New Roman" w:cs="Times New Roman"/>
          <w:spacing w:val="1"/>
          <w:sz w:val="24"/>
          <w:szCs w:val="24"/>
        </w:rPr>
        <w:t>16~30</w:t>
      </w:r>
      <w:r>
        <w:rPr>
          <w:rFonts w:ascii="Times New Roman" w:hAnsi="Times New Roman" w:eastAsia="Times New Roman" w:cs="Times New Roman"/>
          <w:sz w:val="24"/>
          <w:szCs w:val="24"/>
        </w:rPr>
        <w:t>cm</w:t>
      </w:r>
      <w:r>
        <w:rPr>
          <w:rFonts w:ascii="宋体" w:hAnsi="宋体" w:eastAsia="宋体" w:cs="宋体"/>
          <w:spacing w:val="1"/>
          <w:sz w:val="24"/>
          <w:szCs w:val="24"/>
        </w:rPr>
        <w:t>）后则为</w:t>
      </w:r>
      <w:r>
        <w:rPr>
          <w:rFonts w:ascii="Times New Roman" w:hAnsi="Times New Roman" w:eastAsia="Times New Roman" w:cs="Times New Roman"/>
          <w:spacing w:val="1"/>
          <w:sz w:val="24"/>
          <w:szCs w:val="24"/>
        </w:rPr>
        <w:t>0.6~1.8g/(m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sz w:val="24"/>
          <w:szCs w:val="24"/>
        </w:rPr>
        <w:t>ꞏd)</w:t>
      </w:r>
      <w:r>
        <w:rPr>
          <w:rFonts w:ascii="宋体" w:hAnsi="宋体" w:eastAsia="宋体" w:cs="宋体"/>
          <w:spacing w:val="1"/>
          <w:sz w:val="24"/>
          <w:szCs w:val="24"/>
        </w:rPr>
        <w:t>，若再覆以稻草（</w:t>
      </w:r>
      <w:r>
        <w:rPr>
          <w:rFonts w:ascii="Times New Roman" w:hAnsi="Times New Roman" w:eastAsia="Times New Roman" w:cs="Times New Roman"/>
          <w:spacing w:val="1"/>
          <w:sz w:val="24"/>
          <w:szCs w:val="24"/>
        </w:rPr>
        <w:t>15~23</w:t>
      </w:r>
      <w:r>
        <w:rPr>
          <w:rFonts w:ascii="Times New Roman" w:hAnsi="Times New Roman" w:eastAsia="Times New Roman" w:cs="Times New Roman"/>
          <w:sz w:val="24"/>
          <w:szCs w:val="24"/>
        </w:rPr>
        <w:t>cm</w:t>
      </w:r>
      <w:r>
        <w:rPr>
          <w:rFonts w:ascii="宋体" w:hAnsi="宋体" w:eastAsia="宋体" w:cs="宋体"/>
          <w:spacing w:val="-61"/>
          <w:w w:val="97"/>
          <w:sz w:val="24"/>
          <w:szCs w:val="24"/>
        </w:rPr>
        <w:t>），</w:t>
      </w:r>
      <w:r>
        <w:rPr>
          <w:rFonts w:ascii="宋体" w:hAnsi="宋体" w:eastAsia="宋体" w:cs="宋体"/>
          <w:sz w:val="24"/>
          <w:szCs w:val="24"/>
        </w:rPr>
        <w:t>则氨气排放强</w:t>
      </w:r>
      <w:r>
        <w:rPr>
          <w:rFonts w:ascii="宋体" w:hAnsi="宋体" w:eastAsia="宋体" w:cs="宋体"/>
          <w:spacing w:val="-1"/>
          <w:sz w:val="24"/>
          <w:szCs w:val="24"/>
        </w:rPr>
        <w:t>度为</w:t>
      </w:r>
      <w:r>
        <w:rPr>
          <w:rFonts w:ascii="Times New Roman" w:hAnsi="Times New Roman" w:eastAsia="Times New Roman" w:cs="Times New Roman"/>
          <w:spacing w:val="-1"/>
          <w:sz w:val="24"/>
          <w:szCs w:val="24"/>
        </w:rPr>
        <w:t>0.3~1.2g/(m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sz w:val="24"/>
          <w:szCs w:val="24"/>
        </w:rPr>
        <w:t>ꞏd)</w:t>
      </w:r>
      <w:r>
        <w:rPr>
          <w:rFonts w:ascii="宋体" w:hAnsi="宋体" w:eastAsia="宋体" w:cs="宋体"/>
          <w:spacing w:val="-1"/>
          <w:sz w:val="24"/>
          <w:szCs w:val="24"/>
        </w:rPr>
        <w:t>。本项目堆粪</w:t>
      </w:r>
      <w:r>
        <w:rPr>
          <w:rFonts w:ascii="宋体" w:hAnsi="宋体" w:eastAsia="宋体" w:cs="宋体"/>
          <w:spacing w:val="-2"/>
          <w:sz w:val="24"/>
          <w:szCs w:val="24"/>
        </w:rPr>
        <w:t>棚建筑面积</w:t>
      </w:r>
      <w:r>
        <w:rPr>
          <w:rFonts w:ascii="Times New Roman" w:hAnsi="Times New Roman" w:eastAsia="Times New Roman" w:cs="Times New Roman"/>
          <w:spacing w:val="-2"/>
          <w:sz w:val="24"/>
          <w:szCs w:val="24"/>
        </w:rPr>
        <w:t>300m</w:t>
      </w:r>
      <w:r>
        <w:rPr>
          <w:rFonts w:ascii="Times New Roman" w:hAnsi="Times New Roman" w:eastAsia="Times New Roman" w:cs="Times New Roman"/>
          <w:spacing w:val="-2"/>
          <w:position w:val="10"/>
          <w:sz w:val="15"/>
          <w:szCs w:val="15"/>
        </w:rPr>
        <w:t>2</w:t>
      </w:r>
      <w:r>
        <w:rPr>
          <w:rFonts w:ascii="宋体" w:hAnsi="宋体" w:eastAsia="宋体" w:cs="宋体"/>
          <w:spacing w:val="-2"/>
          <w:sz w:val="24"/>
          <w:szCs w:val="24"/>
        </w:rPr>
        <w:t>，评价按</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3"/>
          <w:sz w:val="15"/>
          <w:szCs w:val="15"/>
        </w:rPr>
        <w:t>3</w:t>
      </w:r>
      <w:r>
        <w:rPr>
          <w:rFonts w:ascii="Times New Roman" w:hAnsi="Times New Roman" w:eastAsia="Times New Roman" w:cs="Times New Roman"/>
          <w:spacing w:val="-8"/>
          <w:position w:val="-3"/>
          <w:sz w:val="15"/>
          <w:szCs w:val="15"/>
        </w:rPr>
        <w:t xml:space="preserve"> </w:t>
      </w:r>
      <w:r>
        <w:rPr>
          <w:rFonts w:ascii="宋体" w:hAnsi="宋体" w:eastAsia="宋体" w:cs="宋体"/>
          <w:spacing w:val="-2"/>
          <w:sz w:val="24"/>
          <w:szCs w:val="24"/>
        </w:rPr>
        <w:t>的平均排放量是</w:t>
      </w:r>
      <w:r>
        <w:rPr>
          <w:rFonts w:ascii="Times New Roman" w:hAnsi="Times New Roman" w:eastAsia="Times New Roman" w:cs="Times New Roman"/>
          <w:spacing w:val="-3"/>
          <w:sz w:val="24"/>
          <w:szCs w:val="24"/>
        </w:rPr>
        <w:t>4.35g/(m</w:t>
      </w:r>
      <w:r>
        <w:rPr>
          <w:rFonts w:ascii="Times New Roman" w:hAnsi="Times New Roman" w:eastAsia="Times New Roman" w:cs="Times New Roman"/>
          <w:spacing w:val="-3"/>
          <w:position w:val="10"/>
          <w:sz w:val="15"/>
          <w:szCs w:val="15"/>
        </w:rPr>
        <w:t>2</w:t>
      </w:r>
      <w:r>
        <w:rPr>
          <w:rFonts w:ascii="Times New Roman" w:hAnsi="Times New Roman" w:eastAsia="Times New Roman" w:cs="Times New Roman"/>
          <w:spacing w:val="-3"/>
          <w:sz w:val="24"/>
          <w:szCs w:val="24"/>
        </w:rPr>
        <w:t>ꞏd)</w:t>
      </w:r>
      <w:r>
        <w:rPr>
          <w:rFonts w:ascii="宋体" w:hAnsi="宋体" w:eastAsia="宋体" w:cs="宋体"/>
          <w:spacing w:val="-3"/>
          <w:sz w:val="24"/>
          <w:szCs w:val="24"/>
        </w:rPr>
        <w:t>，根据《规模化畜禽养殖场排泄物污</w:t>
      </w:r>
      <w:r>
        <w:rPr>
          <w:rFonts w:ascii="宋体" w:hAnsi="宋体" w:eastAsia="宋体" w:cs="宋体"/>
          <w:spacing w:val="-4"/>
          <w:sz w:val="24"/>
          <w:szCs w:val="24"/>
        </w:rPr>
        <w:t>染治理状况分析与对策》（医学</w:t>
      </w:r>
      <w:r>
        <w:rPr>
          <w:rFonts w:ascii="宋体" w:hAnsi="宋体" w:eastAsia="宋体" w:cs="宋体"/>
          <w:spacing w:val="1"/>
          <w:sz w:val="24"/>
          <w:szCs w:val="24"/>
        </w:rPr>
        <w:t>动物防制</w:t>
      </w:r>
      <w:r>
        <w:rPr>
          <w:rFonts w:ascii="Times New Roman" w:hAnsi="Times New Roman" w:eastAsia="Times New Roman" w:cs="Times New Roman"/>
          <w:spacing w:val="1"/>
          <w:sz w:val="24"/>
          <w:szCs w:val="24"/>
        </w:rPr>
        <w:t>2009</w:t>
      </w:r>
      <w:r>
        <w:rPr>
          <w:rFonts w:ascii="宋体" w:hAnsi="宋体" w:eastAsia="宋体" w:cs="宋体"/>
          <w:spacing w:val="1"/>
          <w:sz w:val="24"/>
          <w:szCs w:val="24"/>
        </w:rPr>
        <w:t>，王志斌）可知，一个年出栏</w:t>
      </w:r>
      <w:r>
        <w:rPr>
          <w:rFonts w:ascii="Times New Roman" w:hAnsi="Times New Roman" w:eastAsia="Times New Roman" w:cs="Times New Roman"/>
          <w:spacing w:val="1"/>
          <w:sz w:val="24"/>
          <w:szCs w:val="24"/>
        </w:rPr>
        <w:t>10</w:t>
      </w:r>
      <w:r>
        <w:rPr>
          <w:rFonts w:ascii="宋体" w:hAnsi="宋体" w:eastAsia="宋体" w:cs="宋体"/>
          <w:spacing w:val="1"/>
          <w:sz w:val="24"/>
          <w:szCs w:val="24"/>
        </w:rPr>
        <w:t>万头的猪场排放的</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和</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9"/>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比例</w:t>
      </w:r>
      <w:r>
        <w:rPr>
          <w:rFonts w:ascii="宋体" w:hAnsi="宋体" w:eastAsia="宋体" w:cs="宋体"/>
          <w:spacing w:val="-1"/>
          <w:sz w:val="24"/>
          <w:szCs w:val="24"/>
        </w:rPr>
        <w:t>约为</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，则养殖场堆粪棚</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3"/>
          <w:sz w:val="15"/>
          <w:szCs w:val="15"/>
        </w:rPr>
        <w:t>2</w:t>
      </w:r>
      <w:r>
        <w:rPr>
          <w:rFonts w:ascii="Times New Roman" w:hAnsi="Times New Roman" w:eastAsia="Times New Roman" w:cs="Times New Roman"/>
          <w:spacing w:val="-21"/>
          <w:position w:val="-3"/>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排放强度以</w:t>
      </w:r>
      <w:r>
        <w:rPr>
          <w:rFonts w:ascii="Times New Roman" w:hAnsi="Times New Roman" w:eastAsia="Times New Roman" w:cs="Times New Roman"/>
          <w:spacing w:val="-1"/>
          <w:sz w:val="24"/>
          <w:szCs w:val="24"/>
        </w:rPr>
        <w:t>0.44g/(m</w:t>
      </w:r>
      <w:r>
        <w:rPr>
          <w:rFonts w:ascii="Times New Roman" w:hAnsi="Times New Roman" w:eastAsia="Times New Roman" w:cs="Times New Roman"/>
          <w:spacing w:val="-1"/>
          <w:position w:val="11"/>
          <w:sz w:val="15"/>
          <w:szCs w:val="15"/>
        </w:rPr>
        <w:t>2</w:t>
      </w:r>
      <w:r>
        <w:rPr>
          <w:rFonts w:ascii="Times New Roman" w:hAnsi="Times New Roman" w:eastAsia="Times New Roman" w:cs="Times New Roman"/>
          <w:spacing w:val="-1"/>
          <w:sz w:val="24"/>
          <w:szCs w:val="24"/>
        </w:rPr>
        <w:t>ꞏd)</w:t>
      </w:r>
      <w:r>
        <w:rPr>
          <w:rFonts w:ascii="宋体" w:hAnsi="宋体" w:eastAsia="宋体" w:cs="宋体"/>
          <w:spacing w:val="-1"/>
          <w:sz w:val="24"/>
          <w:szCs w:val="24"/>
        </w:rPr>
        <w:t>计，则堆粪棚</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3"/>
          <w:sz w:val="15"/>
          <w:szCs w:val="15"/>
        </w:rPr>
        <w:t>3</w:t>
      </w:r>
      <w:r>
        <w:rPr>
          <w:rFonts w:ascii="Times New Roman" w:hAnsi="Times New Roman" w:eastAsia="Times New Roman" w:cs="Times New Roman"/>
          <w:spacing w:val="-11"/>
          <w:position w:val="-3"/>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3"/>
          <w:sz w:val="15"/>
          <w:szCs w:val="15"/>
        </w:rPr>
        <w:t>2</w:t>
      </w:r>
      <w:r>
        <w:rPr>
          <w:rFonts w:ascii="Times New Roman" w:hAnsi="Times New Roman" w:eastAsia="Times New Roman" w:cs="Times New Roman"/>
          <w:spacing w:val="-21"/>
          <w:position w:val="-3"/>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4"/>
          <w:sz w:val="24"/>
          <w:szCs w:val="24"/>
        </w:rPr>
        <w:t>最大产生量分别为</w:t>
      </w:r>
      <w:r>
        <w:rPr>
          <w:rFonts w:ascii="Times New Roman" w:hAnsi="Times New Roman" w:eastAsia="Times New Roman" w:cs="Times New Roman"/>
          <w:spacing w:val="-4"/>
          <w:sz w:val="24"/>
          <w:szCs w:val="24"/>
        </w:rPr>
        <w:t>0.476t/a</w:t>
      </w:r>
      <w:r>
        <w:rPr>
          <w:rFonts w:ascii="宋体" w:hAnsi="宋体" w:eastAsia="宋体" w:cs="宋体"/>
          <w:spacing w:val="-4"/>
          <w:sz w:val="24"/>
          <w:szCs w:val="24"/>
        </w:rPr>
        <w:t>（</w:t>
      </w:r>
      <w:r>
        <w:rPr>
          <w:rFonts w:ascii="Times New Roman" w:hAnsi="Times New Roman" w:eastAsia="Times New Roman" w:cs="Times New Roman"/>
          <w:spacing w:val="-4"/>
          <w:sz w:val="24"/>
          <w:szCs w:val="24"/>
        </w:rPr>
        <w:t>0.0544kg/h</w:t>
      </w:r>
      <w:r>
        <w:rPr>
          <w:rFonts w:ascii="宋体" w:hAnsi="宋体" w:eastAsia="宋体" w:cs="宋体"/>
          <w:spacing w:val="-4"/>
          <w:sz w:val="24"/>
          <w:szCs w:val="24"/>
        </w:rPr>
        <w:t>）、</w:t>
      </w:r>
      <w:r>
        <w:rPr>
          <w:rFonts w:ascii="Times New Roman" w:hAnsi="Times New Roman" w:eastAsia="Times New Roman" w:cs="Times New Roman"/>
          <w:spacing w:val="-4"/>
          <w:sz w:val="24"/>
          <w:szCs w:val="24"/>
        </w:rPr>
        <w:t>0.048t/a</w:t>
      </w:r>
      <w:r>
        <w:rPr>
          <w:rFonts w:ascii="宋体" w:hAnsi="宋体" w:eastAsia="宋体" w:cs="宋体"/>
          <w:spacing w:val="-4"/>
          <w:sz w:val="24"/>
          <w:szCs w:val="24"/>
        </w:rPr>
        <w:t>（</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5"/>
          <w:sz w:val="24"/>
          <w:szCs w:val="24"/>
        </w:rPr>
        <w:t>.0055kg/h</w:t>
      </w:r>
      <w:r>
        <w:rPr>
          <w:rFonts w:ascii="宋体" w:hAnsi="宋体" w:eastAsia="宋体" w:cs="宋体"/>
          <w:spacing w:val="-5"/>
          <w:sz w:val="24"/>
          <w:szCs w:val="24"/>
        </w:rPr>
        <w:t>）。</w:t>
      </w:r>
    </w:p>
    <w:p w14:paraId="4BCE9BC0">
      <w:pPr>
        <w:spacing w:before="26" w:line="217" w:lineRule="auto"/>
        <w:ind w:left="519"/>
        <w:rPr>
          <w:rFonts w:ascii="宋体" w:hAnsi="宋体" w:eastAsia="宋体" w:cs="宋体"/>
          <w:sz w:val="24"/>
          <w:szCs w:val="24"/>
        </w:rPr>
      </w:pPr>
      <w:r>
        <w:rPr>
          <w:rFonts w:ascii="宋体" w:hAnsi="宋体" w:eastAsia="宋体" w:cs="宋体"/>
          <w:b/>
          <w:bCs/>
          <w:spacing w:val="-3"/>
          <w:sz w:val="24"/>
          <w:szCs w:val="24"/>
        </w:rPr>
        <w:t>④污水处理站恶臭</w:t>
      </w:r>
    </w:p>
    <w:p w14:paraId="7E593B6A">
      <w:pPr>
        <w:spacing w:before="183" w:line="357" w:lineRule="auto"/>
        <w:ind w:left="39" w:firstLine="480"/>
        <w:jc w:val="both"/>
        <w:rPr>
          <w:rFonts w:ascii="宋体" w:hAnsi="宋体" w:eastAsia="宋体" w:cs="宋体"/>
          <w:sz w:val="24"/>
          <w:szCs w:val="24"/>
        </w:rPr>
      </w:pPr>
      <w:r>
        <w:rPr>
          <w:rFonts w:ascii="宋体" w:hAnsi="宋体" w:eastAsia="宋体" w:cs="宋体"/>
          <w:sz w:val="24"/>
          <w:szCs w:val="24"/>
        </w:rPr>
        <w:t>本次评价参考美国</w:t>
      </w:r>
      <w:r>
        <w:rPr>
          <w:rFonts w:ascii="Times New Roman" w:hAnsi="Times New Roman" w:eastAsia="Times New Roman" w:cs="Times New Roman"/>
          <w:sz w:val="24"/>
          <w:szCs w:val="24"/>
        </w:rPr>
        <w:t>EPA</w:t>
      </w:r>
      <w:r>
        <w:rPr>
          <w:rFonts w:ascii="宋体" w:hAnsi="宋体" w:eastAsia="宋体" w:cs="宋体"/>
          <w:sz w:val="24"/>
          <w:szCs w:val="24"/>
        </w:rPr>
        <w:t>对城市污水处理厂恶</w:t>
      </w:r>
      <w:r>
        <w:rPr>
          <w:rFonts w:ascii="宋体" w:hAnsi="宋体" w:eastAsia="宋体" w:cs="宋体"/>
          <w:spacing w:val="-1"/>
          <w:sz w:val="24"/>
          <w:szCs w:val="24"/>
        </w:rPr>
        <w:t>臭污染物产生情况的研究结果，</w:t>
      </w:r>
      <w:r>
        <w:rPr>
          <w:rFonts w:ascii="宋体" w:hAnsi="宋体" w:eastAsia="宋体" w:cs="宋体"/>
          <w:sz w:val="24"/>
          <w:szCs w:val="24"/>
        </w:rPr>
        <w:t>每处理</w:t>
      </w:r>
      <w:r>
        <w:rPr>
          <w:rFonts w:ascii="Times New Roman" w:hAnsi="Times New Roman" w:eastAsia="Times New Roman" w:cs="Times New Roman"/>
          <w:sz w:val="24"/>
          <w:szCs w:val="24"/>
        </w:rPr>
        <w:t>1g</w:t>
      </w:r>
      <w:r>
        <w:rPr>
          <w:rFonts w:ascii="宋体" w:hAnsi="宋体" w:eastAsia="宋体" w:cs="宋体"/>
          <w:sz w:val="24"/>
          <w:szCs w:val="24"/>
        </w:rPr>
        <w:t>的</w:t>
      </w:r>
      <w:r>
        <w:rPr>
          <w:rFonts w:ascii="Times New Roman" w:hAnsi="Times New Roman" w:eastAsia="Times New Roman" w:cs="Times New Roman"/>
          <w:sz w:val="24"/>
          <w:szCs w:val="24"/>
        </w:rPr>
        <w:t>BOD</w:t>
      </w:r>
      <w:r>
        <w:rPr>
          <w:rFonts w:ascii="Times New Roman" w:hAnsi="Times New Roman" w:eastAsia="Times New Roman" w:cs="Times New Roman"/>
          <w:position w:val="-2"/>
          <w:sz w:val="15"/>
          <w:szCs w:val="15"/>
        </w:rPr>
        <w:t>5</w:t>
      </w:r>
      <w:r>
        <w:rPr>
          <w:rFonts w:ascii="宋体" w:hAnsi="宋体" w:eastAsia="宋体" w:cs="宋体"/>
          <w:sz w:val="24"/>
          <w:szCs w:val="24"/>
        </w:rPr>
        <w:t>产生</w:t>
      </w:r>
      <w:r>
        <w:rPr>
          <w:rFonts w:ascii="Times New Roman" w:hAnsi="Times New Roman" w:eastAsia="Times New Roman" w:cs="Times New Roman"/>
          <w:sz w:val="24"/>
          <w:szCs w:val="24"/>
        </w:rPr>
        <w:t>0.0031gNH</w:t>
      </w:r>
      <w:r>
        <w:rPr>
          <w:rFonts w:ascii="Times New Roman" w:hAnsi="Times New Roman" w:eastAsia="Times New Roman" w:cs="Times New Roman"/>
          <w:position w:val="-2"/>
          <w:sz w:val="15"/>
          <w:szCs w:val="15"/>
        </w:rPr>
        <w:t>3</w:t>
      </w:r>
      <w:r>
        <w:rPr>
          <w:rFonts w:ascii="Times New Roman" w:hAnsi="Times New Roman" w:eastAsia="Times New Roman" w:cs="Times New Roman"/>
          <w:spacing w:val="-21"/>
          <w:position w:val="-2"/>
          <w:sz w:val="15"/>
          <w:szCs w:val="15"/>
        </w:rPr>
        <w:t xml:space="preserve"> </w:t>
      </w:r>
      <w:r>
        <w:rPr>
          <w:rFonts w:ascii="宋体" w:hAnsi="宋体" w:eastAsia="宋体" w:cs="宋体"/>
          <w:sz w:val="24"/>
          <w:szCs w:val="24"/>
        </w:rPr>
        <w:t>和</w:t>
      </w:r>
      <w:r>
        <w:rPr>
          <w:rFonts w:ascii="Times New Roman" w:hAnsi="Times New Roman" w:eastAsia="Times New Roman" w:cs="Times New Roman"/>
          <w:sz w:val="24"/>
          <w:szCs w:val="24"/>
        </w:rPr>
        <w:t>0.00012gH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z w:val="24"/>
          <w:szCs w:val="24"/>
        </w:rPr>
        <w:t>S</w:t>
      </w:r>
      <w:r>
        <w:rPr>
          <w:rFonts w:ascii="宋体" w:hAnsi="宋体" w:eastAsia="宋体" w:cs="宋体"/>
          <w:sz w:val="24"/>
          <w:szCs w:val="24"/>
        </w:rPr>
        <w:t>。本项目</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2"/>
          <w:sz w:val="15"/>
          <w:szCs w:val="15"/>
        </w:rPr>
        <w:t>5</w:t>
      </w:r>
      <w:r>
        <w:rPr>
          <w:rFonts w:ascii="Times New Roman" w:hAnsi="Times New Roman" w:eastAsia="Times New Roman" w:cs="Times New Roman"/>
          <w:spacing w:val="-19"/>
          <w:position w:val="-2"/>
          <w:sz w:val="15"/>
          <w:szCs w:val="15"/>
        </w:rPr>
        <w:t xml:space="preserve"> </w:t>
      </w:r>
      <w:r>
        <w:rPr>
          <w:rFonts w:ascii="宋体" w:hAnsi="宋体" w:eastAsia="宋体" w:cs="宋体"/>
          <w:spacing w:val="-1"/>
          <w:sz w:val="24"/>
          <w:szCs w:val="24"/>
        </w:rPr>
        <w:t>处理量为</w:t>
      </w:r>
      <w:r>
        <w:rPr>
          <w:rFonts w:ascii="Times New Roman" w:hAnsi="Times New Roman" w:eastAsia="Times New Roman" w:cs="Times New Roman"/>
          <w:spacing w:val="-1"/>
          <w:sz w:val="24"/>
          <w:szCs w:val="24"/>
        </w:rPr>
        <w:t>654t/a</w:t>
      </w:r>
      <w:r>
        <w:rPr>
          <w:rFonts w:ascii="宋体" w:hAnsi="宋体" w:eastAsia="宋体" w:cs="宋体"/>
          <w:spacing w:val="-1"/>
          <w:sz w:val="24"/>
          <w:szCs w:val="24"/>
        </w:rPr>
        <w:t>，</w:t>
      </w:r>
      <w:r>
        <w:rPr>
          <w:rFonts w:ascii="宋体" w:hAnsi="宋体" w:eastAsia="宋体" w:cs="宋体"/>
          <w:sz w:val="24"/>
          <w:szCs w:val="24"/>
        </w:rPr>
        <w:t>则本项目污水处理站</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3</w:t>
      </w:r>
      <w:r>
        <w:rPr>
          <w:rFonts w:ascii="Times New Roman" w:hAnsi="Times New Roman" w:eastAsia="Times New Roman" w:cs="Times New Roman"/>
          <w:spacing w:val="-6"/>
          <w:position w:val="-2"/>
          <w:sz w:val="15"/>
          <w:szCs w:val="15"/>
        </w:rPr>
        <w:t xml:space="preserve"> </w:t>
      </w:r>
      <w:r>
        <w:rPr>
          <w:rFonts w:ascii="宋体" w:hAnsi="宋体" w:eastAsia="宋体" w:cs="宋体"/>
          <w:sz w:val="24"/>
          <w:szCs w:val="24"/>
        </w:rPr>
        <w:t>产生量为</w:t>
      </w:r>
      <w:r>
        <w:rPr>
          <w:rFonts w:ascii="Times New Roman" w:hAnsi="Times New Roman" w:eastAsia="Times New Roman" w:cs="Times New Roman"/>
          <w:sz w:val="24"/>
          <w:szCs w:val="24"/>
        </w:rPr>
        <w:t>2.027t/a</w:t>
      </w:r>
      <w:r>
        <w:rPr>
          <w:rFonts w:ascii="宋体" w:hAnsi="宋体" w:eastAsia="宋体" w:cs="宋体"/>
          <w:sz w:val="24"/>
          <w:szCs w:val="24"/>
        </w:rPr>
        <w:t>（</w:t>
      </w:r>
      <w:r>
        <w:rPr>
          <w:rFonts w:ascii="Times New Roman" w:hAnsi="Times New Roman" w:eastAsia="Times New Roman" w:cs="Times New Roman"/>
          <w:sz w:val="24"/>
          <w:szCs w:val="24"/>
        </w:rPr>
        <w:t>0.2314kg/h</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z w:val="24"/>
          <w:szCs w:val="24"/>
        </w:rPr>
        <w:t>S</w:t>
      </w:r>
      <w:r>
        <w:rPr>
          <w:rFonts w:ascii="宋体" w:hAnsi="宋体" w:eastAsia="宋体" w:cs="宋体"/>
          <w:sz w:val="24"/>
          <w:szCs w:val="24"/>
        </w:rPr>
        <w:t>产生量为</w:t>
      </w:r>
      <w:r>
        <w:rPr>
          <w:rFonts w:ascii="Times New Roman" w:hAnsi="Times New Roman" w:eastAsia="Times New Roman" w:cs="Times New Roman"/>
          <w:sz w:val="24"/>
          <w:szCs w:val="24"/>
        </w:rPr>
        <w:t xml:space="preserve">0.078t/a </w:t>
      </w:r>
      <w:r>
        <w:rPr>
          <w:rFonts w:ascii="宋体" w:hAnsi="宋体" w:eastAsia="宋体" w:cs="宋体"/>
          <w:spacing w:val="-8"/>
          <w:sz w:val="24"/>
          <w:szCs w:val="24"/>
        </w:rPr>
        <w:t>（</w:t>
      </w:r>
      <w:r>
        <w:rPr>
          <w:rFonts w:ascii="Times New Roman" w:hAnsi="Times New Roman" w:eastAsia="Times New Roman" w:cs="Times New Roman"/>
          <w:spacing w:val="-8"/>
          <w:sz w:val="24"/>
          <w:szCs w:val="24"/>
        </w:rPr>
        <w:t>0.0090kg/h</w:t>
      </w:r>
      <w:r>
        <w:rPr>
          <w:rFonts w:ascii="宋体" w:hAnsi="宋体" w:eastAsia="宋体" w:cs="宋体"/>
          <w:spacing w:val="-8"/>
          <w:sz w:val="24"/>
          <w:szCs w:val="24"/>
        </w:rPr>
        <w:t>）。</w:t>
      </w:r>
    </w:p>
    <w:p w14:paraId="1278F478">
      <w:pPr>
        <w:spacing w:before="17" w:line="217" w:lineRule="auto"/>
        <w:ind w:left="519"/>
        <w:rPr>
          <w:rFonts w:ascii="宋体" w:hAnsi="宋体" w:eastAsia="宋体" w:cs="宋体"/>
          <w:sz w:val="24"/>
          <w:szCs w:val="24"/>
        </w:rPr>
      </w:pPr>
      <w:r>
        <w:rPr>
          <w:rFonts w:ascii="宋体" w:hAnsi="宋体" w:eastAsia="宋体" w:cs="宋体"/>
          <w:b/>
          <w:bCs/>
          <w:spacing w:val="-3"/>
          <w:sz w:val="24"/>
          <w:szCs w:val="24"/>
        </w:rPr>
        <w:t>⑤无害化处理间恶臭</w:t>
      </w:r>
    </w:p>
    <w:p w14:paraId="325A3CE4">
      <w:pPr>
        <w:spacing w:before="184" w:line="360" w:lineRule="auto"/>
        <w:ind w:left="38" w:right="65" w:firstLine="481"/>
        <w:jc w:val="both"/>
        <w:rPr>
          <w:rFonts w:ascii="宋体" w:hAnsi="宋体" w:eastAsia="宋体" w:cs="宋体"/>
          <w:sz w:val="24"/>
          <w:szCs w:val="24"/>
        </w:rPr>
      </w:pPr>
      <w:r>
        <w:rPr>
          <w:rFonts w:ascii="宋体" w:hAnsi="宋体" w:eastAsia="宋体" w:cs="宋体"/>
          <w:sz w:val="24"/>
          <w:szCs w:val="24"/>
        </w:rPr>
        <w:t>本项目粪污处理区内设置</w:t>
      </w:r>
      <w:r>
        <w:rPr>
          <w:rFonts w:ascii="Times New Roman" w:hAnsi="Times New Roman" w:eastAsia="Times New Roman" w:cs="Times New Roman"/>
          <w:sz w:val="24"/>
          <w:szCs w:val="24"/>
        </w:rPr>
        <w:t>1</w:t>
      </w:r>
      <w:r>
        <w:rPr>
          <w:rFonts w:ascii="宋体" w:hAnsi="宋体" w:eastAsia="宋体" w:cs="宋体"/>
          <w:sz w:val="24"/>
          <w:szCs w:val="24"/>
        </w:rPr>
        <w:t>台无害化降解处理机，无害化降解处理机在密闭</w:t>
      </w:r>
      <w:r>
        <w:rPr>
          <w:rFonts w:ascii="宋体" w:hAnsi="宋体" w:eastAsia="宋体" w:cs="宋体"/>
          <w:spacing w:val="-3"/>
          <w:sz w:val="24"/>
          <w:szCs w:val="24"/>
        </w:rPr>
        <w:t>环境下，完成破碎、加热、搅拌、发酵和烘干工序。根据中国广州分析测试中心</w:t>
      </w:r>
      <w:r>
        <w:rPr>
          <w:rFonts w:ascii="宋体" w:hAnsi="宋体" w:eastAsia="宋体" w:cs="宋体"/>
          <w:spacing w:val="2"/>
          <w:sz w:val="24"/>
          <w:szCs w:val="24"/>
        </w:rPr>
        <w:t>对该专利产品废气排放口及其下风向</w:t>
      </w:r>
      <w:r>
        <w:rPr>
          <w:rFonts w:ascii="Times New Roman" w:hAnsi="Times New Roman" w:eastAsia="Times New Roman" w:cs="Times New Roman"/>
          <w:spacing w:val="2"/>
          <w:sz w:val="24"/>
          <w:szCs w:val="24"/>
        </w:rPr>
        <w:t>5m</w:t>
      </w:r>
      <w:r>
        <w:rPr>
          <w:rFonts w:ascii="宋体" w:hAnsi="宋体" w:eastAsia="宋体" w:cs="宋体"/>
          <w:spacing w:val="2"/>
          <w:sz w:val="24"/>
          <w:szCs w:val="24"/>
        </w:rPr>
        <w:t>监测报告数据可知（监测工况为：无害</w:t>
      </w:r>
      <w:r>
        <w:rPr>
          <w:rFonts w:ascii="宋体" w:hAnsi="宋体" w:eastAsia="宋体" w:cs="宋体"/>
          <w:spacing w:val="-1"/>
          <w:sz w:val="24"/>
          <w:szCs w:val="24"/>
        </w:rPr>
        <w:t>化处理机处理量为</w:t>
      </w:r>
      <w:r>
        <w:rPr>
          <w:rFonts w:ascii="Times New Roman" w:hAnsi="Times New Roman" w:eastAsia="Times New Roman" w:cs="Times New Roman"/>
          <w:spacing w:val="-1"/>
          <w:sz w:val="24"/>
          <w:szCs w:val="24"/>
        </w:rPr>
        <w:t>1t</w:t>
      </w:r>
      <w:r>
        <w:rPr>
          <w:rFonts w:ascii="宋体" w:hAnsi="宋体" w:eastAsia="宋体" w:cs="宋体"/>
          <w:spacing w:val="-64"/>
          <w:sz w:val="24"/>
          <w:szCs w:val="24"/>
        </w:rPr>
        <w:t>），</w:t>
      </w:r>
      <w:r>
        <w:rPr>
          <w:rFonts w:ascii="宋体" w:hAnsi="宋体" w:eastAsia="宋体" w:cs="宋体"/>
          <w:spacing w:val="-1"/>
          <w:sz w:val="24"/>
          <w:szCs w:val="24"/>
        </w:rPr>
        <w:t>在无组织排放的废气在下风向</w:t>
      </w:r>
      <w:r>
        <w:rPr>
          <w:rFonts w:ascii="Times New Roman" w:hAnsi="Times New Roman" w:eastAsia="Times New Roman" w:cs="Times New Roman"/>
          <w:spacing w:val="-1"/>
          <w:sz w:val="24"/>
          <w:szCs w:val="24"/>
        </w:rPr>
        <w:t>5m</w:t>
      </w:r>
      <w:r>
        <w:rPr>
          <w:rFonts w:ascii="宋体" w:hAnsi="宋体" w:eastAsia="宋体" w:cs="宋体"/>
          <w:spacing w:val="-1"/>
          <w:sz w:val="24"/>
          <w:szCs w:val="24"/>
        </w:rPr>
        <w:t>就能够达标排放。</w:t>
      </w:r>
    </w:p>
    <w:p w14:paraId="35F148D6">
      <w:pPr>
        <w:spacing w:line="218" w:lineRule="auto"/>
        <w:ind w:left="755"/>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2.2-9  </w:t>
      </w:r>
      <w:r>
        <w:rPr>
          <w:rFonts w:ascii="黑体" w:hAnsi="黑体" w:eastAsia="黑体" w:cs="黑体"/>
          <w:spacing w:val="-1"/>
          <w:sz w:val="21"/>
          <w:szCs w:val="21"/>
        </w:rPr>
        <w:t>无害化降解处理机废气监测结果 单位：</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4"/>
          <w:szCs w:val="14"/>
        </w:rPr>
        <w:t>3</w:t>
      </w:r>
      <w:r>
        <w:rPr>
          <w:rFonts w:ascii="黑体" w:hAnsi="黑体" w:eastAsia="黑体" w:cs="黑体"/>
          <w:spacing w:val="-1"/>
          <w:sz w:val="21"/>
          <w:szCs w:val="21"/>
        </w:rPr>
        <w:t>（臭气浓度无量纲）</w:t>
      </w:r>
    </w:p>
    <w:p w14:paraId="35273816">
      <w:pPr>
        <w:spacing w:line="9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1583"/>
        <w:gridCol w:w="515"/>
        <w:gridCol w:w="513"/>
        <w:gridCol w:w="513"/>
        <w:gridCol w:w="709"/>
        <w:gridCol w:w="705"/>
        <w:gridCol w:w="706"/>
        <w:gridCol w:w="706"/>
        <w:gridCol w:w="896"/>
        <w:gridCol w:w="897"/>
      </w:tblGrid>
      <w:tr w14:paraId="67E38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77" w:type="dxa"/>
            <w:vMerge w:val="restart"/>
            <w:tcBorders>
              <w:bottom w:val="nil"/>
            </w:tcBorders>
            <w:vAlign w:val="top"/>
          </w:tcPr>
          <w:p w14:paraId="3A22F8DB">
            <w:pPr>
              <w:spacing w:before="242" w:line="220" w:lineRule="auto"/>
              <w:ind w:left="85"/>
              <w:rPr>
                <w:rFonts w:ascii="宋体" w:hAnsi="宋体" w:eastAsia="宋体" w:cs="宋体"/>
                <w:sz w:val="21"/>
                <w:szCs w:val="21"/>
              </w:rPr>
            </w:pPr>
            <w:r>
              <w:rPr>
                <w:rFonts w:ascii="宋体" w:hAnsi="宋体" w:eastAsia="宋体" w:cs="宋体"/>
                <w:spacing w:val="-3"/>
                <w:sz w:val="21"/>
                <w:szCs w:val="21"/>
              </w:rPr>
              <w:t>编号</w:t>
            </w:r>
          </w:p>
        </w:tc>
        <w:tc>
          <w:tcPr>
            <w:tcW w:w="1583" w:type="dxa"/>
            <w:vMerge w:val="restart"/>
            <w:tcBorders>
              <w:bottom w:val="nil"/>
            </w:tcBorders>
            <w:vAlign w:val="top"/>
          </w:tcPr>
          <w:p w14:paraId="2274DA0D">
            <w:pPr>
              <w:spacing w:before="242" w:line="219" w:lineRule="auto"/>
              <w:ind w:left="374"/>
              <w:rPr>
                <w:rFonts w:ascii="宋体" w:hAnsi="宋体" w:eastAsia="宋体" w:cs="宋体"/>
                <w:sz w:val="21"/>
                <w:szCs w:val="21"/>
              </w:rPr>
            </w:pPr>
            <w:r>
              <w:rPr>
                <w:rFonts w:ascii="宋体" w:hAnsi="宋体" w:eastAsia="宋体" w:cs="宋体"/>
                <w:spacing w:val="-2"/>
                <w:sz w:val="21"/>
                <w:szCs w:val="21"/>
              </w:rPr>
              <w:t>采样位置</w:t>
            </w:r>
          </w:p>
        </w:tc>
        <w:tc>
          <w:tcPr>
            <w:tcW w:w="6160" w:type="dxa"/>
            <w:gridSpan w:val="9"/>
            <w:vAlign w:val="top"/>
          </w:tcPr>
          <w:p w14:paraId="155316E5">
            <w:pPr>
              <w:spacing w:before="68" w:line="220" w:lineRule="auto"/>
              <w:ind w:left="2350"/>
              <w:rPr>
                <w:rFonts w:ascii="宋体" w:hAnsi="宋体" w:eastAsia="宋体" w:cs="宋体"/>
                <w:sz w:val="21"/>
                <w:szCs w:val="21"/>
              </w:rPr>
            </w:pPr>
            <w:r>
              <w:rPr>
                <w:rFonts w:ascii="宋体" w:hAnsi="宋体" w:eastAsia="宋体" w:cs="宋体"/>
                <w:spacing w:val="-2"/>
                <w:sz w:val="21"/>
                <w:szCs w:val="21"/>
              </w:rPr>
              <w:t>监测项目及结果</w:t>
            </w:r>
          </w:p>
        </w:tc>
      </w:tr>
      <w:tr w14:paraId="7D2AC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7" w:type="dxa"/>
            <w:vMerge w:val="continue"/>
            <w:tcBorders>
              <w:top w:val="nil"/>
            </w:tcBorders>
            <w:vAlign w:val="top"/>
          </w:tcPr>
          <w:p w14:paraId="443B3C9F">
            <w:pPr>
              <w:rPr>
                <w:rFonts w:ascii="Arial"/>
                <w:sz w:val="21"/>
              </w:rPr>
            </w:pPr>
          </w:p>
        </w:tc>
        <w:tc>
          <w:tcPr>
            <w:tcW w:w="1583" w:type="dxa"/>
            <w:vMerge w:val="continue"/>
            <w:tcBorders>
              <w:top w:val="nil"/>
            </w:tcBorders>
            <w:vAlign w:val="top"/>
          </w:tcPr>
          <w:p w14:paraId="01D1A025">
            <w:pPr>
              <w:rPr>
                <w:rFonts w:ascii="Arial"/>
                <w:sz w:val="21"/>
              </w:rPr>
            </w:pPr>
          </w:p>
        </w:tc>
        <w:tc>
          <w:tcPr>
            <w:tcW w:w="515" w:type="dxa"/>
            <w:vAlign w:val="top"/>
          </w:tcPr>
          <w:p w14:paraId="6C001D1B">
            <w:pPr>
              <w:pStyle w:val="6"/>
              <w:spacing w:before="102" w:line="195" w:lineRule="auto"/>
              <w:ind w:left="64"/>
              <w:rPr>
                <w:sz w:val="14"/>
                <w:szCs w:val="14"/>
              </w:rPr>
            </w:pPr>
            <w:r>
              <w:t>NH</w:t>
            </w:r>
            <w:r>
              <w:rPr>
                <w:spacing w:val="1"/>
                <w:position w:val="-2"/>
                <w:sz w:val="14"/>
                <w:szCs w:val="14"/>
              </w:rPr>
              <w:t>3</w:t>
            </w:r>
          </w:p>
        </w:tc>
        <w:tc>
          <w:tcPr>
            <w:tcW w:w="513" w:type="dxa"/>
            <w:vAlign w:val="top"/>
          </w:tcPr>
          <w:p w14:paraId="7CCB059A">
            <w:pPr>
              <w:pStyle w:val="6"/>
              <w:spacing w:before="99" w:line="198" w:lineRule="auto"/>
              <w:ind w:left="87"/>
            </w:pPr>
            <w:r>
              <w:rPr>
                <w:spacing w:val="-2"/>
              </w:rPr>
              <w:t>H</w:t>
            </w:r>
            <w:r>
              <w:rPr>
                <w:spacing w:val="-2"/>
                <w:position w:val="-2"/>
                <w:sz w:val="14"/>
                <w:szCs w:val="14"/>
              </w:rPr>
              <w:t>2</w:t>
            </w:r>
            <w:r>
              <w:rPr>
                <w:spacing w:val="-2"/>
              </w:rPr>
              <w:t>S</w:t>
            </w:r>
          </w:p>
        </w:tc>
        <w:tc>
          <w:tcPr>
            <w:tcW w:w="513" w:type="dxa"/>
            <w:vAlign w:val="top"/>
          </w:tcPr>
          <w:p w14:paraId="2427C6D1">
            <w:pPr>
              <w:pStyle w:val="6"/>
              <w:spacing w:before="99" w:line="198" w:lineRule="auto"/>
              <w:ind w:left="97"/>
              <w:rPr>
                <w:sz w:val="14"/>
                <w:szCs w:val="14"/>
              </w:rPr>
            </w:pPr>
            <w:r>
              <w:rPr>
                <w:spacing w:val="-5"/>
              </w:rPr>
              <w:t>SO</w:t>
            </w:r>
            <w:r>
              <w:rPr>
                <w:spacing w:val="-5"/>
                <w:position w:val="-2"/>
                <w:sz w:val="14"/>
                <w:szCs w:val="14"/>
              </w:rPr>
              <w:t>2</w:t>
            </w:r>
          </w:p>
        </w:tc>
        <w:tc>
          <w:tcPr>
            <w:tcW w:w="709" w:type="dxa"/>
            <w:vAlign w:val="top"/>
          </w:tcPr>
          <w:p w14:paraId="17DF8A30">
            <w:pPr>
              <w:spacing w:before="62" w:line="219" w:lineRule="auto"/>
              <w:ind w:left="46"/>
              <w:rPr>
                <w:rFonts w:ascii="宋体" w:hAnsi="宋体" w:eastAsia="宋体" w:cs="宋体"/>
                <w:sz w:val="21"/>
                <w:szCs w:val="21"/>
              </w:rPr>
            </w:pPr>
            <w:r>
              <w:rPr>
                <w:rFonts w:ascii="宋体" w:hAnsi="宋体" w:eastAsia="宋体" w:cs="宋体"/>
                <w:spacing w:val="-3"/>
                <w:sz w:val="21"/>
                <w:szCs w:val="21"/>
              </w:rPr>
              <w:t>苯乙烯</w:t>
            </w:r>
          </w:p>
        </w:tc>
        <w:tc>
          <w:tcPr>
            <w:tcW w:w="705" w:type="dxa"/>
            <w:vAlign w:val="top"/>
          </w:tcPr>
          <w:p w14:paraId="15E88581">
            <w:pPr>
              <w:spacing w:before="62" w:line="222" w:lineRule="auto"/>
              <w:ind w:left="42"/>
              <w:rPr>
                <w:rFonts w:ascii="宋体" w:hAnsi="宋体" w:eastAsia="宋体" w:cs="宋体"/>
                <w:sz w:val="21"/>
                <w:szCs w:val="21"/>
              </w:rPr>
            </w:pPr>
            <w:r>
              <w:rPr>
                <w:rFonts w:ascii="宋体" w:hAnsi="宋体" w:eastAsia="宋体" w:cs="宋体"/>
                <w:spacing w:val="-2"/>
                <w:sz w:val="21"/>
                <w:szCs w:val="21"/>
              </w:rPr>
              <w:t>三甲胺</w:t>
            </w:r>
          </w:p>
        </w:tc>
        <w:tc>
          <w:tcPr>
            <w:tcW w:w="706" w:type="dxa"/>
            <w:vAlign w:val="top"/>
          </w:tcPr>
          <w:p w14:paraId="4196A66C">
            <w:pPr>
              <w:spacing w:before="63" w:line="220" w:lineRule="auto"/>
              <w:ind w:left="71"/>
              <w:rPr>
                <w:rFonts w:ascii="宋体" w:hAnsi="宋体" w:eastAsia="宋体" w:cs="宋体"/>
                <w:sz w:val="21"/>
                <w:szCs w:val="21"/>
              </w:rPr>
            </w:pPr>
            <w:r>
              <w:rPr>
                <w:rFonts w:ascii="宋体" w:hAnsi="宋体" w:eastAsia="宋体" w:cs="宋体"/>
                <w:spacing w:val="-8"/>
                <w:sz w:val="21"/>
                <w:szCs w:val="21"/>
              </w:rPr>
              <w:t>甲硫醇</w:t>
            </w:r>
          </w:p>
        </w:tc>
        <w:tc>
          <w:tcPr>
            <w:tcW w:w="706" w:type="dxa"/>
            <w:vAlign w:val="top"/>
          </w:tcPr>
          <w:p w14:paraId="3430EA35">
            <w:pPr>
              <w:spacing w:before="62" w:line="222" w:lineRule="auto"/>
              <w:ind w:left="72"/>
              <w:rPr>
                <w:rFonts w:ascii="宋体" w:hAnsi="宋体" w:eastAsia="宋体" w:cs="宋体"/>
                <w:sz w:val="21"/>
                <w:szCs w:val="21"/>
              </w:rPr>
            </w:pPr>
            <w:r>
              <w:rPr>
                <w:rFonts w:ascii="宋体" w:hAnsi="宋体" w:eastAsia="宋体" w:cs="宋体"/>
                <w:spacing w:val="-8"/>
                <w:sz w:val="21"/>
                <w:szCs w:val="21"/>
              </w:rPr>
              <w:t>甲硫醚</w:t>
            </w:r>
          </w:p>
        </w:tc>
        <w:tc>
          <w:tcPr>
            <w:tcW w:w="896" w:type="dxa"/>
            <w:vAlign w:val="top"/>
          </w:tcPr>
          <w:p w14:paraId="13058D70">
            <w:pPr>
              <w:spacing w:before="62" w:line="222" w:lineRule="auto"/>
              <w:ind w:left="38"/>
              <w:rPr>
                <w:rFonts w:ascii="宋体" w:hAnsi="宋体" w:eastAsia="宋体" w:cs="宋体"/>
                <w:sz w:val="21"/>
                <w:szCs w:val="21"/>
              </w:rPr>
            </w:pPr>
            <w:r>
              <w:rPr>
                <w:rFonts w:ascii="宋体" w:hAnsi="宋体" w:eastAsia="宋体" w:cs="宋体"/>
                <w:spacing w:val="-3"/>
                <w:sz w:val="21"/>
                <w:szCs w:val="21"/>
              </w:rPr>
              <w:t>二甲二硫</w:t>
            </w:r>
          </w:p>
        </w:tc>
        <w:tc>
          <w:tcPr>
            <w:tcW w:w="897" w:type="dxa"/>
            <w:vAlign w:val="top"/>
          </w:tcPr>
          <w:p w14:paraId="0DC619C8">
            <w:pPr>
              <w:spacing w:before="62" w:line="220" w:lineRule="auto"/>
              <w:ind w:left="34"/>
              <w:rPr>
                <w:rFonts w:ascii="宋体" w:hAnsi="宋体" w:eastAsia="宋体" w:cs="宋体"/>
                <w:sz w:val="21"/>
                <w:szCs w:val="21"/>
              </w:rPr>
            </w:pPr>
            <w:r>
              <w:rPr>
                <w:rFonts w:ascii="宋体" w:hAnsi="宋体" w:eastAsia="宋体" w:cs="宋体"/>
                <w:spacing w:val="-2"/>
                <w:sz w:val="21"/>
                <w:szCs w:val="21"/>
              </w:rPr>
              <w:t>臭气浓度</w:t>
            </w:r>
          </w:p>
        </w:tc>
      </w:tr>
      <w:tr w14:paraId="36C99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7" w:type="dxa"/>
            <w:vAlign w:val="top"/>
          </w:tcPr>
          <w:p w14:paraId="0891EBF4">
            <w:pPr>
              <w:pStyle w:val="6"/>
              <w:spacing w:before="101" w:line="188" w:lineRule="auto"/>
              <w:ind w:left="257"/>
            </w:pPr>
            <w:r>
              <w:t>1</w:t>
            </w:r>
          </w:p>
        </w:tc>
        <w:tc>
          <w:tcPr>
            <w:tcW w:w="1583" w:type="dxa"/>
            <w:vAlign w:val="top"/>
          </w:tcPr>
          <w:p w14:paraId="19CDBDC1">
            <w:pPr>
              <w:spacing w:before="64" w:line="220" w:lineRule="auto"/>
              <w:ind w:left="270"/>
              <w:rPr>
                <w:rFonts w:ascii="宋体" w:hAnsi="宋体" w:eastAsia="宋体" w:cs="宋体"/>
                <w:sz w:val="21"/>
                <w:szCs w:val="21"/>
              </w:rPr>
            </w:pPr>
            <w:r>
              <w:rPr>
                <w:rFonts w:ascii="宋体" w:hAnsi="宋体" w:eastAsia="宋体" w:cs="宋体"/>
                <w:spacing w:val="-2"/>
                <w:sz w:val="21"/>
                <w:szCs w:val="21"/>
              </w:rPr>
              <w:t>废气排放口</w:t>
            </w:r>
          </w:p>
        </w:tc>
        <w:tc>
          <w:tcPr>
            <w:tcW w:w="515" w:type="dxa"/>
            <w:vAlign w:val="top"/>
          </w:tcPr>
          <w:p w14:paraId="39620C0C">
            <w:pPr>
              <w:pStyle w:val="6"/>
              <w:spacing w:before="101" w:line="188" w:lineRule="auto"/>
              <w:ind w:left="78"/>
            </w:pPr>
            <w:r>
              <w:rPr>
                <w:spacing w:val="-2"/>
              </w:rPr>
              <w:t>0.13</w:t>
            </w:r>
          </w:p>
        </w:tc>
        <w:tc>
          <w:tcPr>
            <w:tcW w:w="513" w:type="dxa"/>
            <w:vAlign w:val="top"/>
          </w:tcPr>
          <w:p w14:paraId="25392C24">
            <w:pPr>
              <w:pStyle w:val="6"/>
              <w:spacing w:before="101" w:line="188" w:lineRule="auto"/>
              <w:ind w:left="23"/>
            </w:pPr>
            <w:r>
              <w:rPr>
                <w:spacing w:val="-2"/>
              </w:rPr>
              <w:t>0.004</w:t>
            </w:r>
          </w:p>
        </w:tc>
        <w:tc>
          <w:tcPr>
            <w:tcW w:w="513" w:type="dxa"/>
            <w:vAlign w:val="top"/>
          </w:tcPr>
          <w:p w14:paraId="71052DDB">
            <w:pPr>
              <w:pStyle w:val="6"/>
              <w:spacing w:before="101" w:line="188" w:lineRule="auto"/>
              <w:ind w:left="77"/>
            </w:pPr>
            <w:r>
              <w:rPr>
                <w:spacing w:val="-2"/>
              </w:rPr>
              <w:t>0.13</w:t>
            </w:r>
          </w:p>
        </w:tc>
        <w:tc>
          <w:tcPr>
            <w:tcW w:w="709" w:type="dxa"/>
            <w:vAlign w:val="top"/>
          </w:tcPr>
          <w:p w14:paraId="1BC066E4">
            <w:pPr>
              <w:pStyle w:val="6"/>
              <w:spacing w:before="104" w:line="185" w:lineRule="auto"/>
              <w:ind w:left="195"/>
            </w:pPr>
            <w:r>
              <w:rPr>
                <w:spacing w:val="1"/>
              </w:rPr>
              <w:t>ND</w:t>
            </w:r>
          </w:p>
        </w:tc>
        <w:tc>
          <w:tcPr>
            <w:tcW w:w="705" w:type="dxa"/>
            <w:vAlign w:val="top"/>
          </w:tcPr>
          <w:p w14:paraId="5154CE86">
            <w:pPr>
              <w:pStyle w:val="6"/>
              <w:spacing w:before="104" w:line="185" w:lineRule="auto"/>
              <w:ind w:left="194"/>
            </w:pPr>
            <w:r>
              <w:rPr>
                <w:spacing w:val="1"/>
              </w:rPr>
              <w:t>ND</w:t>
            </w:r>
          </w:p>
        </w:tc>
        <w:tc>
          <w:tcPr>
            <w:tcW w:w="706" w:type="dxa"/>
            <w:vAlign w:val="top"/>
          </w:tcPr>
          <w:p w14:paraId="2D60D338">
            <w:pPr>
              <w:pStyle w:val="6"/>
              <w:spacing w:before="104" w:line="185" w:lineRule="auto"/>
              <w:ind w:left="196"/>
            </w:pPr>
            <w:r>
              <w:rPr>
                <w:spacing w:val="1"/>
              </w:rPr>
              <w:t>ND</w:t>
            </w:r>
          </w:p>
        </w:tc>
        <w:tc>
          <w:tcPr>
            <w:tcW w:w="706" w:type="dxa"/>
            <w:vAlign w:val="top"/>
          </w:tcPr>
          <w:p w14:paraId="55A7E70B">
            <w:pPr>
              <w:pStyle w:val="6"/>
              <w:spacing w:before="104" w:line="185" w:lineRule="auto"/>
              <w:ind w:left="196"/>
            </w:pPr>
            <w:r>
              <w:rPr>
                <w:spacing w:val="1"/>
              </w:rPr>
              <w:t>ND</w:t>
            </w:r>
          </w:p>
        </w:tc>
        <w:tc>
          <w:tcPr>
            <w:tcW w:w="896" w:type="dxa"/>
            <w:vAlign w:val="top"/>
          </w:tcPr>
          <w:p w14:paraId="1304BF80">
            <w:pPr>
              <w:pStyle w:val="6"/>
              <w:spacing w:before="104" w:line="185" w:lineRule="auto"/>
              <w:ind w:left="291"/>
            </w:pPr>
            <w:r>
              <w:rPr>
                <w:spacing w:val="1"/>
              </w:rPr>
              <w:t>ND</w:t>
            </w:r>
          </w:p>
        </w:tc>
        <w:tc>
          <w:tcPr>
            <w:tcW w:w="897" w:type="dxa"/>
            <w:vAlign w:val="top"/>
          </w:tcPr>
          <w:p w14:paraId="34CF12CB">
            <w:pPr>
              <w:pStyle w:val="6"/>
              <w:spacing w:before="101" w:line="188" w:lineRule="auto"/>
              <w:ind w:left="312"/>
            </w:pPr>
            <w:r>
              <w:rPr>
                <w:spacing w:val="-9"/>
              </w:rPr>
              <w:t>153</w:t>
            </w:r>
          </w:p>
        </w:tc>
      </w:tr>
      <w:tr w14:paraId="5C964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77" w:type="dxa"/>
            <w:vAlign w:val="top"/>
          </w:tcPr>
          <w:p w14:paraId="47682D8A">
            <w:pPr>
              <w:pStyle w:val="6"/>
              <w:spacing w:before="203" w:line="188" w:lineRule="auto"/>
              <w:ind w:left="237"/>
            </w:pPr>
            <w:r>
              <w:t>2</w:t>
            </w:r>
          </w:p>
        </w:tc>
        <w:tc>
          <w:tcPr>
            <w:tcW w:w="1583" w:type="dxa"/>
            <w:vAlign w:val="top"/>
          </w:tcPr>
          <w:p w14:paraId="3F675BAC">
            <w:pPr>
              <w:pStyle w:val="6"/>
              <w:spacing w:before="30" w:line="223" w:lineRule="auto"/>
              <w:ind w:left="171" w:right="160" w:firstLine="98"/>
              <w:rPr>
                <w:rFonts w:ascii="宋体" w:hAnsi="宋体" w:eastAsia="宋体" w:cs="宋体"/>
              </w:rPr>
            </w:pPr>
            <w:r>
              <w:rPr>
                <w:rFonts w:ascii="宋体" w:hAnsi="宋体" w:eastAsia="宋体" w:cs="宋体"/>
                <w:spacing w:val="-2"/>
              </w:rPr>
              <w:t>废气排放口</w:t>
            </w:r>
            <w:r>
              <w:rPr>
                <w:rFonts w:ascii="宋体" w:hAnsi="宋体" w:eastAsia="宋体" w:cs="宋体"/>
                <w:spacing w:val="-4"/>
              </w:rPr>
              <w:t>下风向</w:t>
            </w:r>
            <w:r>
              <w:rPr>
                <w:rFonts w:ascii="宋体" w:hAnsi="宋体" w:eastAsia="宋体" w:cs="宋体"/>
                <w:spacing w:val="-41"/>
              </w:rPr>
              <w:t xml:space="preserve"> </w:t>
            </w:r>
            <w:r>
              <w:rPr>
                <w:spacing w:val="-4"/>
              </w:rPr>
              <w:t xml:space="preserve">5 </w:t>
            </w:r>
            <w:r>
              <w:rPr>
                <w:rFonts w:ascii="宋体" w:hAnsi="宋体" w:eastAsia="宋体" w:cs="宋体"/>
                <w:spacing w:val="-4"/>
              </w:rPr>
              <w:t>米处</w:t>
            </w:r>
          </w:p>
        </w:tc>
        <w:tc>
          <w:tcPr>
            <w:tcW w:w="515" w:type="dxa"/>
            <w:vAlign w:val="top"/>
          </w:tcPr>
          <w:p w14:paraId="3C1665EA">
            <w:pPr>
              <w:pStyle w:val="6"/>
              <w:spacing w:before="203" w:line="188" w:lineRule="auto"/>
              <w:ind w:left="129"/>
            </w:pPr>
            <w:r>
              <w:rPr>
                <w:spacing w:val="-3"/>
              </w:rPr>
              <w:t>0.1</w:t>
            </w:r>
          </w:p>
        </w:tc>
        <w:tc>
          <w:tcPr>
            <w:tcW w:w="513" w:type="dxa"/>
            <w:vAlign w:val="top"/>
          </w:tcPr>
          <w:p w14:paraId="6089212A">
            <w:pPr>
              <w:pStyle w:val="6"/>
              <w:spacing w:before="206" w:line="185" w:lineRule="auto"/>
              <w:ind w:left="97"/>
            </w:pPr>
            <w:r>
              <w:t>ND</w:t>
            </w:r>
          </w:p>
        </w:tc>
        <w:tc>
          <w:tcPr>
            <w:tcW w:w="513" w:type="dxa"/>
            <w:vAlign w:val="top"/>
          </w:tcPr>
          <w:p w14:paraId="654F077E">
            <w:pPr>
              <w:pStyle w:val="6"/>
              <w:spacing w:before="206" w:line="185" w:lineRule="auto"/>
              <w:ind w:left="98"/>
            </w:pPr>
            <w:r>
              <w:rPr>
                <w:spacing w:val="1"/>
              </w:rPr>
              <w:t>ND</w:t>
            </w:r>
          </w:p>
        </w:tc>
        <w:tc>
          <w:tcPr>
            <w:tcW w:w="709" w:type="dxa"/>
            <w:vAlign w:val="top"/>
          </w:tcPr>
          <w:p w14:paraId="4BD9027C">
            <w:pPr>
              <w:pStyle w:val="6"/>
              <w:spacing w:before="206" w:line="185" w:lineRule="auto"/>
              <w:ind w:left="196"/>
            </w:pPr>
            <w:r>
              <w:rPr>
                <w:spacing w:val="1"/>
              </w:rPr>
              <w:t>ND</w:t>
            </w:r>
          </w:p>
        </w:tc>
        <w:tc>
          <w:tcPr>
            <w:tcW w:w="705" w:type="dxa"/>
            <w:vAlign w:val="top"/>
          </w:tcPr>
          <w:p w14:paraId="6A6BC14F">
            <w:pPr>
              <w:pStyle w:val="6"/>
              <w:spacing w:before="206" w:line="185" w:lineRule="auto"/>
              <w:ind w:left="195"/>
            </w:pPr>
            <w:r>
              <w:t>ND</w:t>
            </w:r>
          </w:p>
        </w:tc>
        <w:tc>
          <w:tcPr>
            <w:tcW w:w="706" w:type="dxa"/>
            <w:vAlign w:val="top"/>
          </w:tcPr>
          <w:p w14:paraId="7EF18A83">
            <w:pPr>
              <w:pStyle w:val="6"/>
              <w:spacing w:before="206" w:line="185" w:lineRule="auto"/>
              <w:ind w:left="196"/>
            </w:pPr>
            <w:r>
              <w:rPr>
                <w:spacing w:val="1"/>
              </w:rPr>
              <w:t>ND</w:t>
            </w:r>
          </w:p>
        </w:tc>
        <w:tc>
          <w:tcPr>
            <w:tcW w:w="706" w:type="dxa"/>
            <w:vAlign w:val="top"/>
          </w:tcPr>
          <w:p w14:paraId="474318CA">
            <w:pPr>
              <w:pStyle w:val="6"/>
              <w:spacing w:before="206" w:line="185" w:lineRule="auto"/>
              <w:ind w:left="197"/>
            </w:pPr>
            <w:r>
              <w:t>ND</w:t>
            </w:r>
          </w:p>
        </w:tc>
        <w:tc>
          <w:tcPr>
            <w:tcW w:w="896" w:type="dxa"/>
            <w:vAlign w:val="top"/>
          </w:tcPr>
          <w:p w14:paraId="3CED52D7">
            <w:pPr>
              <w:pStyle w:val="6"/>
              <w:spacing w:before="206" w:line="185" w:lineRule="auto"/>
              <w:ind w:left="291"/>
            </w:pPr>
            <w:r>
              <w:rPr>
                <w:spacing w:val="1"/>
              </w:rPr>
              <w:t>ND</w:t>
            </w:r>
          </w:p>
        </w:tc>
        <w:tc>
          <w:tcPr>
            <w:tcW w:w="897" w:type="dxa"/>
            <w:vAlign w:val="top"/>
          </w:tcPr>
          <w:p w14:paraId="67EBB304">
            <w:pPr>
              <w:pStyle w:val="6"/>
              <w:spacing w:before="203" w:line="188" w:lineRule="auto"/>
              <w:ind w:left="364"/>
            </w:pPr>
            <w:r>
              <w:rPr>
                <w:spacing w:val="-12"/>
              </w:rPr>
              <w:t>12</w:t>
            </w:r>
          </w:p>
        </w:tc>
      </w:tr>
      <w:tr w14:paraId="67613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160" w:type="dxa"/>
            <w:gridSpan w:val="2"/>
            <w:vAlign w:val="top"/>
          </w:tcPr>
          <w:p w14:paraId="42068723">
            <w:pPr>
              <w:pStyle w:val="6"/>
              <w:spacing w:before="30" w:line="223" w:lineRule="auto"/>
              <w:ind w:left="66" w:right="20" w:hanging="25"/>
              <w:rPr>
                <w:rFonts w:ascii="宋体" w:hAnsi="宋体" w:eastAsia="宋体" w:cs="宋体"/>
              </w:rPr>
            </w:pPr>
            <w:r>
              <w:rPr>
                <w:rFonts w:ascii="宋体" w:hAnsi="宋体" w:eastAsia="宋体" w:cs="宋体"/>
                <w:spacing w:val="-20"/>
              </w:rPr>
              <w:t>《畜禽养殖业污染物排放</w:t>
            </w:r>
            <w:r>
              <w:rPr>
                <w:rFonts w:ascii="宋体" w:hAnsi="宋体" w:eastAsia="宋体" w:cs="宋体"/>
                <w:spacing w:val="-18"/>
              </w:rPr>
              <w:t>标准》（</w:t>
            </w:r>
            <w:r>
              <w:rPr>
                <w:spacing w:val="-18"/>
              </w:rPr>
              <w:t>GB18596-2001</w:t>
            </w:r>
            <w:r>
              <w:rPr>
                <w:rFonts w:ascii="宋体" w:hAnsi="宋体" w:eastAsia="宋体" w:cs="宋体"/>
                <w:spacing w:val="-18"/>
              </w:rPr>
              <w:t>）</w:t>
            </w:r>
          </w:p>
        </w:tc>
        <w:tc>
          <w:tcPr>
            <w:tcW w:w="515" w:type="dxa"/>
            <w:vAlign w:val="top"/>
          </w:tcPr>
          <w:p w14:paraId="59AAFAA6">
            <w:pPr>
              <w:pStyle w:val="6"/>
              <w:spacing w:before="200" w:line="192" w:lineRule="auto"/>
              <w:ind w:left="224"/>
            </w:pPr>
            <w:r>
              <w:t>/</w:t>
            </w:r>
          </w:p>
        </w:tc>
        <w:tc>
          <w:tcPr>
            <w:tcW w:w="513" w:type="dxa"/>
            <w:vAlign w:val="top"/>
          </w:tcPr>
          <w:p w14:paraId="23EA11BD">
            <w:pPr>
              <w:pStyle w:val="6"/>
              <w:spacing w:before="200" w:line="192" w:lineRule="auto"/>
              <w:ind w:left="223"/>
            </w:pPr>
            <w:r>
              <w:t>/</w:t>
            </w:r>
          </w:p>
        </w:tc>
        <w:tc>
          <w:tcPr>
            <w:tcW w:w="513" w:type="dxa"/>
            <w:vAlign w:val="top"/>
          </w:tcPr>
          <w:p w14:paraId="3433A7FE">
            <w:pPr>
              <w:pStyle w:val="6"/>
              <w:spacing w:before="200" w:line="192" w:lineRule="auto"/>
              <w:ind w:left="223"/>
            </w:pPr>
            <w:r>
              <w:t>/</w:t>
            </w:r>
          </w:p>
        </w:tc>
        <w:tc>
          <w:tcPr>
            <w:tcW w:w="709" w:type="dxa"/>
            <w:vAlign w:val="top"/>
          </w:tcPr>
          <w:p w14:paraId="060F68A5">
            <w:pPr>
              <w:pStyle w:val="6"/>
              <w:spacing w:before="200" w:line="192" w:lineRule="auto"/>
              <w:ind w:left="321"/>
            </w:pPr>
            <w:r>
              <w:t>/</w:t>
            </w:r>
          </w:p>
        </w:tc>
        <w:tc>
          <w:tcPr>
            <w:tcW w:w="705" w:type="dxa"/>
            <w:vAlign w:val="top"/>
          </w:tcPr>
          <w:p w14:paraId="76281DAA">
            <w:pPr>
              <w:pStyle w:val="6"/>
              <w:spacing w:before="200" w:line="192" w:lineRule="auto"/>
              <w:ind w:left="320"/>
            </w:pPr>
            <w:r>
              <w:t>/</w:t>
            </w:r>
          </w:p>
        </w:tc>
        <w:tc>
          <w:tcPr>
            <w:tcW w:w="706" w:type="dxa"/>
            <w:vAlign w:val="top"/>
          </w:tcPr>
          <w:p w14:paraId="2B869606">
            <w:pPr>
              <w:pStyle w:val="6"/>
              <w:spacing w:before="200" w:line="192" w:lineRule="auto"/>
              <w:ind w:left="322"/>
            </w:pPr>
            <w:r>
              <w:t>/</w:t>
            </w:r>
          </w:p>
        </w:tc>
        <w:tc>
          <w:tcPr>
            <w:tcW w:w="706" w:type="dxa"/>
            <w:vAlign w:val="top"/>
          </w:tcPr>
          <w:p w14:paraId="0624EA24">
            <w:pPr>
              <w:pStyle w:val="6"/>
              <w:spacing w:before="200" w:line="192" w:lineRule="auto"/>
              <w:ind w:left="323"/>
            </w:pPr>
            <w:r>
              <w:t>/</w:t>
            </w:r>
          </w:p>
        </w:tc>
        <w:tc>
          <w:tcPr>
            <w:tcW w:w="896" w:type="dxa"/>
            <w:vAlign w:val="top"/>
          </w:tcPr>
          <w:p w14:paraId="00162540">
            <w:pPr>
              <w:pStyle w:val="6"/>
              <w:spacing w:before="200" w:line="192" w:lineRule="auto"/>
              <w:ind w:left="417"/>
            </w:pPr>
            <w:r>
              <w:t>/</w:t>
            </w:r>
          </w:p>
        </w:tc>
        <w:tc>
          <w:tcPr>
            <w:tcW w:w="897" w:type="dxa"/>
            <w:vAlign w:val="top"/>
          </w:tcPr>
          <w:p w14:paraId="4A26323B">
            <w:pPr>
              <w:pStyle w:val="6"/>
              <w:spacing w:before="204" w:line="188" w:lineRule="auto"/>
              <w:ind w:left="349"/>
            </w:pPr>
            <w:r>
              <w:rPr>
                <w:spacing w:val="-2"/>
              </w:rPr>
              <w:t>70</w:t>
            </w:r>
          </w:p>
        </w:tc>
      </w:tr>
      <w:tr w14:paraId="5D1A9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160" w:type="dxa"/>
            <w:gridSpan w:val="2"/>
            <w:vAlign w:val="top"/>
          </w:tcPr>
          <w:p w14:paraId="116F46B7">
            <w:pPr>
              <w:pStyle w:val="6"/>
              <w:spacing w:before="34" w:line="224" w:lineRule="auto"/>
              <w:ind w:left="171" w:right="140" w:hanging="29"/>
              <w:rPr>
                <w:rFonts w:ascii="宋体" w:hAnsi="宋体" w:eastAsia="宋体" w:cs="宋体"/>
              </w:rPr>
            </w:pPr>
            <w:r>
              <w:rPr>
                <w:rFonts w:ascii="宋体" w:hAnsi="宋体" w:eastAsia="宋体" w:cs="宋体"/>
                <w:spacing w:val="-2"/>
              </w:rPr>
              <w:t>《恶臭污染物排放标</w:t>
            </w:r>
            <w:r>
              <w:rPr>
                <w:rFonts w:ascii="宋体" w:hAnsi="宋体" w:eastAsia="宋体" w:cs="宋体"/>
                <w:spacing w:val="-9"/>
              </w:rPr>
              <w:t>准》（</w:t>
            </w:r>
            <w:r>
              <w:rPr>
                <w:spacing w:val="-9"/>
              </w:rPr>
              <w:t>GB14554-93</w:t>
            </w:r>
            <w:r>
              <w:rPr>
                <w:rFonts w:ascii="宋体" w:hAnsi="宋体" w:eastAsia="宋体" w:cs="宋体"/>
                <w:spacing w:val="-9"/>
              </w:rPr>
              <w:t>）</w:t>
            </w:r>
          </w:p>
        </w:tc>
        <w:tc>
          <w:tcPr>
            <w:tcW w:w="515" w:type="dxa"/>
            <w:vAlign w:val="top"/>
          </w:tcPr>
          <w:p w14:paraId="3EEC164D">
            <w:pPr>
              <w:pStyle w:val="6"/>
              <w:spacing w:before="206" w:line="188" w:lineRule="auto"/>
              <w:ind w:left="146"/>
            </w:pPr>
            <w:r>
              <w:rPr>
                <w:spacing w:val="-5"/>
              </w:rPr>
              <w:t>1.5</w:t>
            </w:r>
          </w:p>
        </w:tc>
        <w:tc>
          <w:tcPr>
            <w:tcW w:w="513" w:type="dxa"/>
            <w:vAlign w:val="top"/>
          </w:tcPr>
          <w:p w14:paraId="3EC58C8E">
            <w:pPr>
              <w:pStyle w:val="6"/>
              <w:spacing w:before="206" w:line="188" w:lineRule="auto"/>
              <w:ind w:left="76"/>
            </w:pPr>
            <w:r>
              <w:rPr>
                <w:spacing w:val="-2"/>
              </w:rPr>
              <w:t>0.06</w:t>
            </w:r>
          </w:p>
        </w:tc>
        <w:tc>
          <w:tcPr>
            <w:tcW w:w="513" w:type="dxa"/>
            <w:vAlign w:val="top"/>
          </w:tcPr>
          <w:p w14:paraId="6DA659DE">
            <w:pPr>
              <w:pStyle w:val="6"/>
              <w:spacing w:before="206" w:line="188" w:lineRule="auto"/>
              <w:ind w:left="129"/>
            </w:pPr>
            <w:r>
              <w:rPr>
                <w:spacing w:val="-2"/>
              </w:rPr>
              <w:t>3.0</w:t>
            </w:r>
          </w:p>
        </w:tc>
        <w:tc>
          <w:tcPr>
            <w:tcW w:w="709" w:type="dxa"/>
            <w:vAlign w:val="top"/>
          </w:tcPr>
          <w:p w14:paraId="62F773B2">
            <w:pPr>
              <w:pStyle w:val="6"/>
              <w:spacing w:before="206" w:line="188" w:lineRule="auto"/>
              <w:ind w:left="229"/>
            </w:pPr>
            <w:r>
              <w:rPr>
                <w:spacing w:val="-4"/>
              </w:rPr>
              <w:t>5.0</w:t>
            </w:r>
          </w:p>
        </w:tc>
        <w:tc>
          <w:tcPr>
            <w:tcW w:w="705" w:type="dxa"/>
            <w:vAlign w:val="top"/>
          </w:tcPr>
          <w:p w14:paraId="72CEF079">
            <w:pPr>
              <w:pStyle w:val="6"/>
              <w:spacing w:before="206" w:line="188" w:lineRule="auto"/>
              <w:ind w:left="172"/>
            </w:pPr>
            <w:r>
              <w:rPr>
                <w:spacing w:val="-2"/>
              </w:rPr>
              <w:t>0.08</w:t>
            </w:r>
          </w:p>
        </w:tc>
        <w:tc>
          <w:tcPr>
            <w:tcW w:w="706" w:type="dxa"/>
            <w:vAlign w:val="top"/>
          </w:tcPr>
          <w:p w14:paraId="30B9862C">
            <w:pPr>
              <w:pStyle w:val="6"/>
              <w:spacing w:before="206" w:line="188" w:lineRule="auto"/>
              <w:ind w:left="122"/>
            </w:pPr>
            <w:r>
              <w:rPr>
                <w:spacing w:val="-2"/>
              </w:rPr>
              <w:t>0.007</w:t>
            </w:r>
          </w:p>
        </w:tc>
        <w:tc>
          <w:tcPr>
            <w:tcW w:w="706" w:type="dxa"/>
            <w:vAlign w:val="top"/>
          </w:tcPr>
          <w:p w14:paraId="66278629">
            <w:pPr>
              <w:pStyle w:val="6"/>
              <w:spacing w:before="206" w:line="188" w:lineRule="auto"/>
              <w:ind w:left="175"/>
            </w:pPr>
            <w:r>
              <w:rPr>
                <w:spacing w:val="-2"/>
              </w:rPr>
              <w:t>0.07</w:t>
            </w:r>
          </w:p>
        </w:tc>
        <w:tc>
          <w:tcPr>
            <w:tcW w:w="896" w:type="dxa"/>
            <w:vAlign w:val="top"/>
          </w:tcPr>
          <w:p w14:paraId="26308C93">
            <w:pPr>
              <w:pStyle w:val="6"/>
              <w:spacing w:before="206" w:line="188" w:lineRule="auto"/>
              <w:ind w:left="271"/>
            </w:pPr>
            <w:r>
              <w:rPr>
                <w:spacing w:val="-2"/>
              </w:rPr>
              <w:t>0.06</w:t>
            </w:r>
          </w:p>
        </w:tc>
        <w:tc>
          <w:tcPr>
            <w:tcW w:w="897" w:type="dxa"/>
            <w:vAlign w:val="top"/>
          </w:tcPr>
          <w:p w14:paraId="5EA18E02">
            <w:pPr>
              <w:pStyle w:val="6"/>
              <w:spacing w:before="202" w:line="192" w:lineRule="auto"/>
              <w:ind w:left="416"/>
            </w:pPr>
            <w:r>
              <w:t>/</w:t>
            </w:r>
          </w:p>
        </w:tc>
      </w:tr>
    </w:tbl>
    <w:p w14:paraId="0745FFA4">
      <w:pPr>
        <w:pStyle w:val="2"/>
      </w:pPr>
    </w:p>
    <w:p w14:paraId="561DB1C6">
      <w:pPr>
        <w:sectPr>
          <w:headerReference r:id="rId201" w:type="default"/>
          <w:footerReference r:id="rId202" w:type="default"/>
          <w:pgSz w:w="11905" w:h="16840"/>
          <w:pgMar w:top="1168" w:right="1731" w:bottom="1408" w:left="1770" w:header="828" w:footer="1244" w:gutter="0"/>
          <w:cols w:space="720" w:num="1"/>
        </w:sectPr>
      </w:pPr>
    </w:p>
    <w:p w14:paraId="32E9CA1B">
      <w:pPr>
        <w:pStyle w:val="2"/>
        <w:spacing w:line="306" w:lineRule="auto"/>
      </w:pPr>
    </w:p>
    <w:p w14:paraId="2D0E3A4C">
      <w:pPr>
        <w:spacing w:before="78" w:line="360" w:lineRule="auto"/>
        <w:ind w:left="38" w:right="64" w:firstLine="510"/>
        <w:jc w:val="both"/>
        <w:rPr>
          <w:rFonts w:ascii="宋体" w:hAnsi="宋体" w:eastAsia="宋体" w:cs="宋体"/>
          <w:sz w:val="24"/>
          <w:szCs w:val="24"/>
        </w:rPr>
      </w:pPr>
      <w:r>
        <w:rPr>
          <w:rFonts w:ascii="宋体" w:hAnsi="宋体" w:eastAsia="宋体" w:cs="宋体"/>
          <w:spacing w:val="-4"/>
          <w:sz w:val="24"/>
          <w:szCs w:val="24"/>
        </w:rPr>
        <w:t>由于本项目设置的无害化降解处理机仅作应急备用，仅在当地发生重大疫情</w:t>
      </w:r>
      <w:r>
        <w:rPr>
          <w:rFonts w:ascii="宋体" w:hAnsi="宋体" w:eastAsia="宋体" w:cs="宋体"/>
          <w:spacing w:val="-3"/>
          <w:sz w:val="24"/>
          <w:szCs w:val="24"/>
        </w:rPr>
        <w:t>时，内江市病害动物无害化处理中心处理能力紧张且为避免运输过程中交叉影响时才启动；在没有发生重大疫情时，病死猪送内江市环态动物无害化处置有限责</w:t>
      </w:r>
      <w:r>
        <w:rPr>
          <w:rFonts w:ascii="宋体" w:hAnsi="宋体" w:eastAsia="宋体" w:cs="宋体"/>
          <w:spacing w:val="-6"/>
          <w:sz w:val="24"/>
          <w:szCs w:val="24"/>
        </w:rPr>
        <w:t>任公司进行处理，无害化降解处理机不运行。因此， 正常情况时</w:t>
      </w:r>
      <w:r>
        <w:rPr>
          <w:rFonts w:ascii="宋体" w:hAnsi="宋体" w:eastAsia="宋体" w:cs="宋体"/>
          <w:spacing w:val="-7"/>
          <w:sz w:val="24"/>
          <w:szCs w:val="24"/>
        </w:rPr>
        <w:t>无害化处理机不产生恶臭。</w:t>
      </w:r>
    </w:p>
    <w:p w14:paraId="4C9127B4">
      <w:pPr>
        <w:spacing w:line="217" w:lineRule="auto"/>
        <w:ind w:left="519"/>
        <w:rPr>
          <w:rFonts w:ascii="宋体" w:hAnsi="宋体" w:eastAsia="宋体" w:cs="宋体"/>
          <w:sz w:val="24"/>
          <w:szCs w:val="24"/>
        </w:rPr>
      </w:pPr>
      <w:r>
        <w:rPr>
          <w:rFonts w:ascii="宋体" w:hAnsi="宋体" w:eastAsia="宋体" w:cs="宋体"/>
          <w:b/>
          <w:bCs/>
          <w:spacing w:val="-3"/>
          <w:sz w:val="24"/>
          <w:szCs w:val="24"/>
        </w:rPr>
        <w:t>⑥田间储存池恶臭</w:t>
      </w:r>
    </w:p>
    <w:p w14:paraId="7A24CA8B">
      <w:pPr>
        <w:spacing w:before="187" w:line="359" w:lineRule="auto"/>
        <w:ind w:left="35" w:right="64" w:firstLine="485"/>
        <w:jc w:val="both"/>
        <w:rPr>
          <w:rFonts w:ascii="宋体" w:hAnsi="宋体" w:eastAsia="宋体" w:cs="宋体"/>
          <w:sz w:val="24"/>
          <w:szCs w:val="24"/>
        </w:rPr>
      </w:pPr>
      <w:r>
        <w:rPr>
          <w:rFonts w:ascii="宋体" w:hAnsi="宋体" w:eastAsia="宋体" w:cs="宋体"/>
          <w:spacing w:val="16"/>
          <w:sz w:val="24"/>
          <w:szCs w:val="24"/>
        </w:rPr>
        <w:t>本项目拟在配套消纳地内共设置</w:t>
      </w:r>
      <w:r>
        <w:rPr>
          <w:rFonts w:ascii="Times New Roman" w:hAnsi="Times New Roman" w:eastAsia="Times New Roman" w:cs="Times New Roman"/>
          <w:spacing w:val="16"/>
          <w:sz w:val="24"/>
          <w:szCs w:val="24"/>
        </w:rPr>
        <w:t>5</w:t>
      </w:r>
      <w:r>
        <w:rPr>
          <w:rFonts w:ascii="宋体" w:hAnsi="宋体" w:eastAsia="宋体" w:cs="宋体"/>
          <w:spacing w:val="16"/>
          <w:sz w:val="24"/>
          <w:szCs w:val="24"/>
        </w:rPr>
        <w:t>座田间储存池，田间储存池总</w:t>
      </w:r>
      <w:r>
        <w:rPr>
          <w:rFonts w:ascii="宋体" w:hAnsi="宋体" w:eastAsia="宋体" w:cs="宋体"/>
          <w:spacing w:val="15"/>
          <w:sz w:val="24"/>
          <w:szCs w:val="24"/>
        </w:rPr>
        <w:t>容积为</w:t>
      </w:r>
      <w:r>
        <w:rPr>
          <w:rFonts w:ascii="Times New Roman" w:hAnsi="Times New Roman" w:eastAsia="Times New Roman" w:cs="Times New Roman"/>
          <w:sz w:val="24"/>
          <w:szCs w:val="24"/>
        </w:rPr>
        <w:t>22500m</w:t>
      </w:r>
      <w:r>
        <w:rPr>
          <w:rFonts w:ascii="Times New Roman" w:hAnsi="Times New Roman" w:eastAsia="Times New Roman" w:cs="Times New Roman"/>
          <w:position w:val="10"/>
          <w:sz w:val="15"/>
          <w:szCs w:val="15"/>
        </w:rPr>
        <w:t>3</w:t>
      </w:r>
      <w:r>
        <w:rPr>
          <w:rFonts w:ascii="宋体" w:hAnsi="宋体" w:eastAsia="宋体" w:cs="宋体"/>
          <w:sz w:val="24"/>
          <w:szCs w:val="24"/>
        </w:rPr>
        <w:t>，用于非施肥季节暂存废水。田间储存池暂存</w:t>
      </w:r>
      <w:r>
        <w:rPr>
          <w:rFonts w:ascii="宋体" w:hAnsi="宋体" w:eastAsia="宋体" w:cs="宋体"/>
          <w:spacing w:val="-1"/>
          <w:sz w:val="24"/>
          <w:szCs w:val="24"/>
        </w:rPr>
        <w:t>废水为污水处理站处理达</w:t>
      </w:r>
      <w:r>
        <w:rPr>
          <w:rFonts w:ascii="宋体" w:hAnsi="宋体" w:eastAsia="宋体" w:cs="宋体"/>
          <w:spacing w:val="-3"/>
          <w:sz w:val="24"/>
          <w:szCs w:val="24"/>
        </w:rPr>
        <w:t>标后的农田灌溉用水，产生的恶臭源强非常轻微，并且田间储存池分布于消纳地</w:t>
      </w:r>
      <w:r>
        <w:rPr>
          <w:rFonts w:ascii="宋体" w:hAnsi="宋体" w:eastAsia="宋体" w:cs="宋体"/>
          <w:spacing w:val="-2"/>
          <w:sz w:val="24"/>
          <w:szCs w:val="24"/>
        </w:rPr>
        <w:t>中，扩散条件良好，对消纳区环境空气影响轻微。</w:t>
      </w:r>
    </w:p>
    <w:p w14:paraId="7E112952">
      <w:pPr>
        <w:spacing w:before="2" w:line="220" w:lineRule="auto"/>
        <w:ind w:left="518"/>
        <w:rPr>
          <w:rFonts w:ascii="宋体" w:hAnsi="宋体" w:eastAsia="宋体" w:cs="宋体"/>
          <w:sz w:val="24"/>
          <w:szCs w:val="24"/>
        </w:rPr>
      </w:pP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）恶臭治理措施</w:t>
      </w:r>
    </w:p>
    <w:p w14:paraId="1E037B21">
      <w:pPr>
        <w:spacing w:before="182" w:line="219" w:lineRule="auto"/>
        <w:ind w:left="520"/>
        <w:rPr>
          <w:rFonts w:ascii="宋体" w:hAnsi="宋体" w:eastAsia="宋体" w:cs="宋体"/>
          <w:sz w:val="24"/>
          <w:szCs w:val="24"/>
        </w:rPr>
      </w:pPr>
      <w:r>
        <w:rPr>
          <w:rFonts w:ascii="宋体" w:hAnsi="宋体" w:eastAsia="宋体" w:cs="宋体"/>
          <w:spacing w:val="-1"/>
          <w:sz w:val="24"/>
          <w:szCs w:val="24"/>
        </w:rPr>
        <w:t>本项目拟采用“源头减量、过程控制和终端</w:t>
      </w:r>
      <w:r>
        <w:rPr>
          <w:rFonts w:ascii="宋体" w:hAnsi="宋体" w:eastAsia="宋体" w:cs="宋体"/>
          <w:spacing w:val="-2"/>
          <w:sz w:val="24"/>
          <w:szCs w:val="24"/>
        </w:rPr>
        <w:t>处理”综合措施来治理恶臭。</w:t>
      </w:r>
    </w:p>
    <w:p w14:paraId="1AA7D57B">
      <w:pPr>
        <w:spacing w:before="184" w:line="217" w:lineRule="auto"/>
        <w:ind w:left="520"/>
        <w:rPr>
          <w:rFonts w:ascii="宋体" w:hAnsi="宋体" w:eastAsia="宋体" w:cs="宋体"/>
          <w:sz w:val="24"/>
          <w:szCs w:val="24"/>
        </w:rPr>
      </w:pPr>
      <w:r>
        <w:rPr>
          <w:rFonts w:ascii="宋体" w:hAnsi="宋体" w:eastAsia="宋体" w:cs="宋体"/>
          <w:b/>
          <w:bCs/>
          <w:spacing w:val="-4"/>
          <w:sz w:val="24"/>
          <w:szCs w:val="24"/>
        </w:rPr>
        <w:t>①源头控制</w:t>
      </w:r>
    </w:p>
    <w:p w14:paraId="77131BDD">
      <w:pPr>
        <w:spacing w:before="184" w:line="220" w:lineRule="auto"/>
        <w:ind w:left="516"/>
        <w:rPr>
          <w:rFonts w:ascii="宋体" w:hAnsi="宋体" w:eastAsia="宋体" w:cs="宋体"/>
          <w:sz w:val="24"/>
          <w:szCs w:val="24"/>
        </w:rPr>
      </w:pPr>
      <w:r>
        <w:rPr>
          <w:rFonts w:ascii="Times New Roman" w:hAnsi="Times New Roman" w:eastAsia="Times New Roman" w:cs="Times New Roman"/>
          <w:spacing w:val="-2"/>
          <w:sz w:val="24"/>
          <w:szCs w:val="24"/>
        </w:rPr>
        <w:t>Ⅰ.</w:t>
      </w:r>
      <w:r>
        <w:rPr>
          <w:rFonts w:ascii="宋体" w:hAnsi="宋体" w:eastAsia="宋体" w:cs="宋体"/>
          <w:spacing w:val="-2"/>
          <w:sz w:val="24"/>
          <w:szCs w:val="24"/>
        </w:rPr>
        <w:t>通过控制饲养密度，并保持舍内通风，及时清理猪舍。</w:t>
      </w:r>
    </w:p>
    <w:p w14:paraId="3FF056B2">
      <w:pPr>
        <w:spacing w:before="183" w:line="360" w:lineRule="auto"/>
        <w:ind w:left="61" w:right="66" w:firstLine="454"/>
        <w:rPr>
          <w:rFonts w:ascii="宋体" w:hAnsi="宋体" w:eastAsia="宋体" w:cs="宋体"/>
          <w:sz w:val="24"/>
          <w:szCs w:val="24"/>
        </w:rPr>
      </w:pPr>
      <w:r>
        <w:rPr>
          <w:rFonts w:ascii="Times New Roman" w:hAnsi="Times New Roman" w:eastAsia="Times New Roman" w:cs="Times New Roman"/>
          <w:spacing w:val="-2"/>
          <w:sz w:val="24"/>
          <w:szCs w:val="24"/>
        </w:rPr>
        <w:t>Ⅱ.</w:t>
      </w:r>
      <w:r>
        <w:rPr>
          <w:rFonts w:ascii="宋体" w:hAnsi="宋体" w:eastAsia="宋体" w:cs="宋体"/>
          <w:spacing w:val="-2"/>
          <w:sz w:val="24"/>
          <w:szCs w:val="24"/>
        </w:rPr>
        <w:t>设计日粮组成提高饲料利用率，尤其是氮的利用率，</w:t>
      </w:r>
      <w:r>
        <w:rPr>
          <w:rFonts w:ascii="宋体" w:hAnsi="宋体" w:eastAsia="宋体" w:cs="宋体"/>
          <w:spacing w:val="-3"/>
          <w:sz w:val="24"/>
          <w:szCs w:val="24"/>
        </w:rPr>
        <w:t>同时可降低猪排泄物</w:t>
      </w:r>
      <w:r>
        <w:rPr>
          <w:rFonts w:ascii="宋体" w:hAnsi="宋体" w:eastAsia="宋体" w:cs="宋体"/>
          <w:spacing w:val="-5"/>
          <w:sz w:val="24"/>
          <w:szCs w:val="24"/>
        </w:rPr>
        <w:t>中氮的含量及恶臭气体的排放。</w:t>
      </w:r>
    </w:p>
    <w:p w14:paraId="24EA876E">
      <w:pPr>
        <w:spacing w:line="360" w:lineRule="auto"/>
        <w:ind w:left="45" w:right="63" w:firstLine="470"/>
        <w:rPr>
          <w:rFonts w:ascii="宋体" w:hAnsi="宋体" w:eastAsia="宋体" w:cs="宋体"/>
          <w:sz w:val="24"/>
          <w:szCs w:val="24"/>
        </w:rPr>
      </w:pPr>
      <w:r>
        <w:rPr>
          <w:rFonts w:ascii="Times New Roman" w:hAnsi="Times New Roman" w:eastAsia="Times New Roman" w:cs="Times New Roman"/>
          <w:spacing w:val="3"/>
          <w:sz w:val="24"/>
          <w:szCs w:val="24"/>
        </w:rPr>
        <w:t>Ⅲ.</w:t>
      </w:r>
      <w:r>
        <w:rPr>
          <w:rFonts w:ascii="宋体" w:hAnsi="宋体" w:eastAsia="宋体" w:cs="宋体"/>
          <w:spacing w:val="3"/>
          <w:sz w:val="24"/>
          <w:szCs w:val="24"/>
        </w:rPr>
        <w:t>选择低的蛋白质日粮，补充合成氨基酸，提高蛋白</w:t>
      </w:r>
      <w:r>
        <w:rPr>
          <w:rFonts w:ascii="宋体" w:hAnsi="宋体" w:eastAsia="宋体" w:cs="宋体"/>
          <w:spacing w:val="2"/>
          <w:sz w:val="24"/>
          <w:szCs w:val="24"/>
        </w:rPr>
        <w:t>质及其他营养的吸收</w:t>
      </w:r>
      <w:r>
        <w:rPr>
          <w:rFonts w:ascii="宋体" w:hAnsi="宋体" w:eastAsia="宋体" w:cs="宋体"/>
          <w:spacing w:val="-3"/>
          <w:sz w:val="24"/>
          <w:szCs w:val="24"/>
        </w:rPr>
        <w:t>效率，减少氨气排放量和粪便的产生量。</w:t>
      </w:r>
    </w:p>
    <w:p w14:paraId="6A655C16">
      <w:pPr>
        <w:spacing w:before="12" w:line="359" w:lineRule="auto"/>
        <w:ind w:left="38" w:right="64" w:firstLine="477"/>
        <w:rPr>
          <w:rFonts w:ascii="宋体" w:hAnsi="宋体" w:eastAsia="宋体" w:cs="宋体"/>
          <w:sz w:val="24"/>
          <w:szCs w:val="24"/>
        </w:rPr>
      </w:pPr>
      <w:r>
        <w:rPr>
          <w:rFonts w:ascii="Times New Roman" w:hAnsi="Times New Roman" w:eastAsia="Times New Roman" w:cs="Times New Roman"/>
          <w:spacing w:val="2"/>
          <w:sz w:val="24"/>
          <w:szCs w:val="24"/>
        </w:rPr>
        <w:t>Ⅳ.</w:t>
      </w:r>
      <w:r>
        <w:rPr>
          <w:rFonts w:ascii="宋体" w:hAnsi="宋体" w:eastAsia="宋体" w:cs="宋体"/>
          <w:spacing w:val="2"/>
          <w:sz w:val="24"/>
          <w:szCs w:val="24"/>
        </w:rPr>
        <w:t>饲料中合理添加</w:t>
      </w:r>
      <w:r>
        <w:rPr>
          <w:rFonts w:ascii="Times New Roman" w:hAnsi="Times New Roman" w:eastAsia="Times New Roman" w:cs="Times New Roman"/>
          <w:sz w:val="24"/>
          <w:szCs w:val="24"/>
        </w:rPr>
        <w:t>EM</w:t>
      </w:r>
      <w:r>
        <w:rPr>
          <w:rFonts w:ascii="宋体" w:hAnsi="宋体" w:eastAsia="宋体" w:cs="宋体"/>
          <w:spacing w:val="2"/>
          <w:sz w:val="24"/>
          <w:szCs w:val="24"/>
        </w:rPr>
        <w:t>制剂，</w:t>
      </w:r>
      <w:r>
        <w:rPr>
          <w:rFonts w:ascii="Times New Roman" w:hAnsi="Times New Roman" w:eastAsia="Times New Roman" w:cs="Times New Roman"/>
          <w:sz w:val="24"/>
          <w:szCs w:val="24"/>
        </w:rPr>
        <w:t>EM</w:t>
      </w:r>
      <w:r>
        <w:rPr>
          <w:rFonts w:ascii="宋体" w:hAnsi="宋体" w:eastAsia="宋体" w:cs="宋体"/>
          <w:spacing w:val="2"/>
          <w:sz w:val="24"/>
          <w:szCs w:val="24"/>
        </w:rPr>
        <w:t>制剂是新型复合微生物菌剂，含有光合细</w:t>
      </w:r>
      <w:r>
        <w:rPr>
          <w:rFonts w:ascii="宋体" w:hAnsi="宋体" w:eastAsia="宋体" w:cs="宋体"/>
          <w:spacing w:val="-6"/>
          <w:sz w:val="24"/>
          <w:szCs w:val="24"/>
        </w:rPr>
        <w:t>菌群。光合细菌群作为有益菌群， 一方面抑制了腐败细菌的生长</w:t>
      </w:r>
      <w:r>
        <w:rPr>
          <w:rFonts w:ascii="宋体" w:hAnsi="宋体" w:eastAsia="宋体" w:cs="宋体"/>
          <w:spacing w:val="-7"/>
          <w:sz w:val="24"/>
          <w:szCs w:val="24"/>
        </w:rPr>
        <w:t>，改善有机物的</w:t>
      </w:r>
      <w:r>
        <w:rPr>
          <w:rFonts w:ascii="宋体" w:hAnsi="宋体" w:eastAsia="宋体" w:cs="宋体"/>
          <w:spacing w:val="-3"/>
          <w:sz w:val="24"/>
          <w:szCs w:val="24"/>
        </w:rPr>
        <w:t>分解途径，减少</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宋体" w:hAnsi="宋体" w:eastAsia="宋体" w:cs="宋体"/>
          <w:spacing w:val="-3"/>
          <w:sz w:val="24"/>
          <w:szCs w:val="24"/>
        </w:rPr>
        <w:t>和</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3"/>
          <w:sz w:val="24"/>
          <w:szCs w:val="24"/>
        </w:rPr>
        <w:t>S</w:t>
      </w:r>
      <w:r>
        <w:rPr>
          <w:rFonts w:ascii="宋体" w:hAnsi="宋体" w:eastAsia="宋体" w:cs="宋体"/>
          <w:spacing w:val="-3"/>
          <w:sz w:val="24"/>
          <w:szCs w:val="24"/>
        </w:rPr>
        <w:t>的释放量和胺类物质的产生；另一方面它又可利</w:t>
      </w:r>
      <w:r>
        <w:rPr>
          <w:rFonts w:ascii="宋体" w:hAnsi="宋体" w:eastAsia="宋体" w:cs="宋体"/>
          <w:spacing w:val="-4"/>
          <w:sz w:val="24"/>
          <w:szCs w:val="24"/>
        </w:rPr>
        <w:t>用</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4"/>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4"/>
          <w:sz w:val="24"/>
          <w:szCs w:val="24"/>
        </w:rPr>
        <w:t>S</w:t>
      </w:r>
      <w:r>
        <w:rPr>
          <w:rFonts w:ascii="宋体" w:hAnsi="宋体" w:eastAsia="宋体" w:cs="宋体"/>
          <w:spacing w:val="1"/>
          <w:sz w:val="24"/>
          <w:szCs w:val="24"/>
        </w:rPr>
        <w:t>作氢的受体，消耗</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，从而减少恶臭量。根据《畜牧业》</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2001</w:t>
      </w:r>
      <w:r>
        <w:rPr>
          <w:rFonts w:ascii="宋体" w:hAnsi="宋体" w:eastAsia="宋体" w:cs="宋体"/>
          <w:sz w:val="24"/>
          <w:szCs w:val="24"/>
        </w:rPr>
        <w:t>年第</w:t>
      </w:r>
      <w:r>
        <w:rPr>
          <w:rFonts w:ascii="Times New Roman" w:hAnsi="Times New Roman" w:eastAsia="Times New Roman" w:cs="Times New Roman"/>
          <w:sz w:val="24"/>
          <w:szCs w:val="24"/>
        </w:rPr>
        <w:t>2</w:t>
      </w:r>
      <w:r>
        <w:rPr>
          <w:rFonts w:ascii="宋体" w:hAnsi="宋体" w:eastAsia="宋体" w:cs="宋体"/>
          <w:sz w:val="24"/>
          <w:szCs w:val="24"/>
        </w:rPr>
        <w:t>期发布的</w:t>
      </w:r>
      <w:r>
        <w:rPr>
          <w:rFonts w:ascii="宋体" w:hAnsi="宋体" w:eastAsia="宋体" w:cs="宋体"/>
          <w:spacing w:val="-9"/>
          <w:sz w:val="24"/>
          <w:szCs w:val="24"/>
        </w:rPr>
        <w:t>《规模化养猪场中的恶臭及其控制措施》（黄雪泉、黄锦</w:t>
      </w:r>
      <w:r>
        <w:rPr>
          <w:rFonts w:ascii="宋体" w:hAnsi="宋体" w:eastAsia="宋体" w:cs="宋体"/>
          <w:spacing w:val="-10"/>
          <w:sz w:val="24"/>
          <w:szCs w:val="24"/>
        </w:rPr>
        <w:t>华） 可知，</w:t>
      </w:r>
      <w:r>
        <w:rPr>
          <w:rFonts w:ascii="Times New Roman" w:hAnsi="Times New Roman" w:eastAsia="Times New Roman" w:cs="Times New Roman"/>
          <w:spacing w:val="-10"/>
          <w:sz w:val="24"/>
          <w:szCs w:val="24"/>
        </w:rPr>
        <w:t>EM</w:t>
      </w:r>
      <w:r>
        <w:rPr>
          <w:rFonts w:ascii="宋体" w:hAnsi="宋体" w:eastAsia="宋体" w:cs="宋体"/>
          <w:spacing w:val="-10"/>
          <w:sz w:val="24"/>
          <w:szCs w:val="24"/>
        </w:rPr>
        <w:t>制剂是一</w:t>
      </w:r>
      <w:r>
        <w:rPr>
          <w:rFonts w:ascii="宋体" w:hAnsi="宋体" w:eastAsia="宋体" w:cs="宋体"/>
          <w:spacing w:val="-3"/>
          <w:sz w:val="24"/>
          <w:szCs w:val="24"/>
        </w:rPr>
        <w:t>种新型的复合微生物制剂，其可增加猪消化道内有益微生物的数量，调节体内的微生物生态平衡</w:t>
      </w:r>
      <w:r>
        <w:rPr>
          <w:rFonts w:ascii="MS Gothic" w:hAnsi="MS Gothic" w:eastAsia="MS Gothic" w:cs="MS Gothic"/>
          <w:spacing w:val="-3"/>
          <w:sz w:val="24"/>
          <w:szCs w:val="24"/>
        </w:rPr>
        <w:t>、</w:t>
      </w:r>
      <w:r>
        <w:rPr>
          <w:rFonts w:ascii="宋体" w:hAnsi="宋体" w:eastAsia="宋体" w:cs="宋体"/>
          <w:spacing w:val="-3"/>
          <w:sz w:val="24"/>
          <w:szCs w:val="24"/>
        </w:rPr>
        <w:t>防治猪只下痢，促进生长发育，提高猪的饲料转化率，减少肠道内氨</w:t>
      </w:r>
      <w:r>
        <w:rPr>
          <w:rFonts w:ascii="MS Gothic" w:hAnsi="MS Gothic" w:eastAsia="MS Gothic" w:cs="MS Gothic"/>
          <w:spacing w:val="-3"/>
          <w:sz w:val="24"/>
          <w:szCs w:val="24"/>
        </w:rPr>
        <w:t>、</w:t>
      </w:r>
      <w:r>
        <w:rPr>
          <w:rFonts w:ascii="宋体" w:hAnsi="宋体" w:eastAsia="宋体" w:cs="宋体"/>
          <w:spacing w:val="-3"/>
          <w:sz w:val="24"/>
          <w:szCs w:val="24"/>
        </w:rPr>
        <w:t>吲哚等恶臭物质的产生</w:t>
      </w:r>
      <w:r>
        <w:rPr>
          <w:rFonts w:ascii="MS Gothic" w:hAnsi="MS Gothic" w:eastAsia="MS Gothic" w:cs="MS Gothic"/>
          <w:spacing w:val="-3"/>
          <w:sz w:val="24"/>
          <w:szCs w:val="24"/>
        </w:rPr>
        <w:t>｡</w:t>
      </w:r>
      <w:r>
        <w:rPr>
          <w:rFonts w:ascii="宋体" w:hAnsi="宋体" w:eastAsia="宋体" w:cs="宋体"/>
          <w:spacing w:val="-3"/>
          <w:sz w:val="24"/>
          <w:szCs w:val="24"/>
        </w:rPr>
        <w:t>据北京市环境保护监测中心对</w:t>
      </w:r>
      <w:r>
        <w:rPr>
          <w:rFonts w:ascii="Times New Roman" w:hAnsi="Times New Roman" w:eastAsia="Times New Roman" w:cs="Times New Roman"/>
          <w:spacing w:val="-3"/>
          <w:sz w:val="24"/>
          <w:szCs w:val="24"/>
        </w:rPr>
        <w:t>EM</w:t>
      </w:r>
      <w:r>
        <w:rPr>
          <w:rFonts w:ascii="宋体" w:hAnsi="宋体" w:eastAsia="宋体" w:cs="宋体"/>
          <w:spacing w:val="-3"/>
          <w:sz w:val="24"/>
          <w:szCs w:val="24"/>
        </w:rPr>
        <w:t>除臭效果进行</w:t>
      </w:r>
      <w:r>
        <w:rPr>
          <w:rFonts w:ascii="宋体" w:hAnsi="宋体" w:eastAsia="宋体" w:cs="宋体"/>
          <w:sz w:val="24"/>
          <w:szCs w:val="24"/>
        </w:rPr>
        <w:t>测试的结果表明使用</w:t>
      </w:r>
      <w:r>
        <w:rPr>
          <w:rFonts w:ascii="Times New Roman" w:hAnsi="Times New Roman" w:eastAsia="Times New Roman" w:cs="Times New Roman"/>
          <w:sz w:val="24"/>
          <w:szCs w:val="24"/>
        </w:rPr>
        <w:t>EM</w:t>
      </w:r>
      <w:r>
        <w:rPr>
          <w:rFonts w:ascii="宋体" w:hAnsi="宋体" w:eastAsia="宋体" w:cs="宋体"/>
          <w:sz w:val="24"/>
          <w:szCs w:val="24"/>
        </w:rPr>
        <w:t>一个月后，恶臭浓</w:t>
      </w:r>
      <w:r>
        <w:rPr>
          <w:rFonts w:ascii="宋体" w:hAnsi="宋体" w:eastAsia="宋体" w:cs="宋体"/>
          <w:spacing w:val="-1"/>
          <w:sz w:val="24"/>
          <w:szCs w:val="24"/>
        </w:rPr>
        <w:t>度下降了</w:t>
      </w:r>
      <w:r>
        <w:rPr>
          <w:rFonts w:ascii="Times New Roman" w:hAnsi="Times New Roman" w:eastAsia="Times New Roman" w:cs="Times New Roman"/>
          <w:spacing w:val="-1"/>
          <w:sz w:val="24"/>
          <w:szCs w:val="24"/>
        </w:rPr>
        <w:t>97.7%</w:t>
      </w:r>
      <w:r>
        <w:rPr>
          <w:rFonts w:ascii="宋体" w:hAnsi="宋体" w:eastAsia="宋体" w:cs="宋体"/>
          <w:spacing w:val="-1"/>
          <w:sz w:val="24"/>
          <w:szCs w:val="24"/>
        </w:rPr>
        <w:t>。</w:t>
      </w:r>
    </w:p>
    <w:p w14:paraId="7A2DE716">
      <w:pPr>
        <w:spacing w:line="217" w:lineRule="auto"/>
        <w:ind w:left="519"/>
        <w:rPr>
          <w:rFonts w:ascii="宋体" w:hAnsi="宋体" w:eastAsia="宋体" w:cs="宋体"/>
          <w:sz w:val="24"/>
          <w:szCs w:val="24"/>
        </w:rPr>
      </w:pPr>
      <w:r>
        <w:rPr>
          <w:rFonts w:ascii="宋体" w:hAnsi="宋体" w:eastAsia="宋体" w:cs="宋体"/>
          <w:b/>
          <w:bCs/>
          <w:spacing w:val="-3"/>
          <w:sz w:val="24"/>
          <w:szCs w:val="24"/>
        </w:rPr>
        <w:t>②过程控制</w:t>
      </w:r>
    </w:p>
    <w:p w14:paraId="3177DC96">
      <w:pPr>
        <w:spacing w:before="185" w:line="219" w:lineRule="auto"/>
        <w:jc w:val="right"/>
        <w:rPr>
          <w:rFonts w:ascii="宋体" w:hAnsi="宋体" w:eastAsia="宋体" w:cs="宋体"/>
          <w:sz w:val="24"/>
          <w:szCs w:val="24"/>
        </w:rPr>
      </w:pPr>
      <w:r>
        <w:rPr>
          <w:rFonts w:ascii="Times New Roman" w:hAnsi="Times New Roman" w:eastAsia="Times New Roman" w:cs="Times New Roman"/>
          <w:spacing w:val="-12"/>
          <w:sz w:val="24"/>
          <w:szCs w:val="24"/>
        </w:rPr>
        <w:t>Ⅰ.</w:t>
      </w:r>
      <w:r>
        <w:rPr>
          <w:rFonts w:ascii="宋体" w:hAnsi="宋体" w:eastAsia="宋体" w:cs="宋体"/>
          <w:spacing w:val="-12"/>
          <w:sz w:val="24"/>
          <w:szCs w:val="24"/>
        </w:rPr>
        <w:t>项目采用“原环保部认可的清粪工艺”（同牧原食品股份有限公司清粪工艺，</w:t>
      </w:r>
    </w:p>
    <w:p w14:paraId="32CA263E">
      <w:pPr>
        <w:spacing w:line="219" w:lineRule="auto"/>
        <w:rPr>
          <w:rFonts w:ascii="宋体" w:hAnsi="宋体" w:eastAsia="宋体" w:cs="宋体"/>
          <w:sz w:val="24"/>
          <w:szCs w:val="24"/>
        </w:rPr>
        <w:sectPr>
          <w:headerReference r:id="rId203" w:type="default"/>
          <w:footerReference r:id="rId204" w:type="default"/>
          <w:pgSz w:w="11905" w:h="16840"/>
          <w:pgMar w:top="1168" w:right="1733" w:bottom="1408" w:left="1770" w:header="828" w:footer="1244" w:gutter="0"/>
          <w:cols w:space="720" w:num="1"/>
        </w:sectPr>
      </w:pPr>
    </w:p>
    <w:p w14:paraId="188AC0D9">
      <w:pPr>
        <w:pStyle w:val="2"/>
        <w:spacing w:line="306" w:lineRule="auto"/>
      </w:pPr>
    </w:p>
    <w:p w14:paraId="3E176BA8">
      <w:pPr>
        <w:spacing w:before="78" w:line="360" w:lineRule="auto"/>
        <w:ind w:left="39" w:right="186" w:firstLine="2"/>
        <w:jc w:val="both"/>
        <w:rPr>
          <w:rFonts w:ascii="宋体" w:hAnsi="宋体" w:eastAsia="宋体" w:cs="宋体"/>
          <w:sz w:val="24"/>
          <w:szCs w:val="24"/>
        </w:rPr>
      </w:pPr>
      <w:r>
        <w:rPr>
          <w:rFonts w:ascii="宋体" w:hAnsi="宋体" w:eastAsia="宋体" w:cs="宋体"/>
          <w:spacing w:val="-3"/>
          <w:sz w:val="24"/>
          <w:szCs w:val="24"/>
        </w:rPr>
        <w:t>为原环保部认可具备干清粪工艺基本特征，环办函</w:t>
      </w:r>
      <w:r>
        <w:rPr>
          <w:rFonts w:ascii="Times New Roman" w:hAnsi="Times New Roman" w:eastAsia="Times New Roman" w:cs="Times New Roman"/>
          <w:spacing w:val="-3"/>
          <w:sz w:val="24"/>
          <w:szCs w:val="24"/>
        </w:rPr>
        <w:t>[</w:t>
      </w:r>
      <w:r>
        <w:fldChar w:fldCharType="begin"/>
      </w:r>
      <w:r>
        <w:instrText xml:space="preserve"> HYPERLINK \l "bookmark153" </w:instrText>
      </w:r>
      <w:r>
        <w:fldChar w:fldCharType="separate"/>
      </w:r>
      <w:r>
        <w:rPr>
          <w:rFonts w:ascii="Times New Roman" w:hAnsi="Times New Roman" w:eastAsia="Times New Roman" w:cs="Times New Roman"/>
          <w:spacing w:val="-3"/>
          <w:sz w:val="24"/>
          <w:szCs w:val="24"/>
        </w:rPr>
        <w:t>2015</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]425</w:t>
      </w:r>
      <w:r>
        <w:rPr>
          <w:rFonts w:ascii="宋体" w:hAnsi="宋体" w:eastAsia="宋体" w:cs="宋体"/>
          <w:spacing w:val="-3"/>
          <w:sz w:val="24"/>
          <w:szCs w:val="24"/>
        </w:rPr>
        <w:t>号</w:t>
      </w:r>
      <w:r>
        <w:rPr>
          <w:rFonts w:ascii="宋体" w:hAnsi="宋体" w:eastAsia="宋体" w:cs="宋体"/>
          <w:spacing w:val="-17"/>
          <w:sz w:val="24"/>
          <w:szCs w:val="24"/>
        </w:rPr>
        <w:t>），</w:t>
      </w:r>
      <w:r>
        <w:rPr>
          <w:rFonts w:ascii="宋体" w:hAnsi="宋体" w:eastAsia="宋体" w:cs="宋体"/>
          <w:spacing w:val="-3"/>
          <w:sz w:val="24"/>
          <w:szCs w:val="24"/>
        </w:rPr>
        <w:t>仅在转栏及出栏时利用高压水枪对猪舍清洗消毒，夏季加强猪舍通风，猪舍采用通风机进行换</w:t>
      </w:r>
      <w:r>
        <w:rPr>
          <w:rFonts w:ascii="宋体" w:hAnsi="宋体" w:eastAsia="宋体" w:cs="宋体"/>
          <w:spacing w:val="-6"/>
          <w:sz w:val="24"/>
          <w:szCs w:val="24"/>
        </w:rPr>
        <w:t>气通风，降低舍内有害气体浓度。产生的粪渣及时运至堆粪棚暂</w:t>
      </w:r>
      <w:r>
        <w:rPr>
          <w:rFonts w:ascii="宋体" w:hAnsi="宋体" w:eastAsia="宋体" w:cs="宋体"/>
          <w:spacing w:val="-7"/>
          <w:sz w:val="24"/>
          <w:szCs w:val="24"/>
        </w:rPr>
        <w:t>存， 粪渣日产日</w:t>
      </w:r>
      <w:r>
        <w:rPr>
          <w:rFonts w:ascii="宋体" w:hAnsi="宋体" w:eastAsia="宋体" w:cs="宋体"/>
          <w:spacing w:val="-5"/>
          <w:sz w:val="24"/>
          <w:szCs w:val="24"/>
        </w:rPr>
        <w:t>清，以减少污染。</w:t>
      </w:r>
    </w:p>
    <w:p w14:paraId="59FE7FCD">
      <w:pPr>
        <w:spacing w:line="360" w:lineRule="auto"/>
        <w:ind w:left="39" w:right="186" w:firstLine="476"/>
        <w:rPr>
          <w:rFonts w:ascii="宋体" w:hAnsi="宋体" w:eastAsia="宋体" w:cs="宋体"/>
          <w:sz w:val="24"/>
          <w:szCs w:val="24"/>
        </w:rPr>
      </w:pPr>
      <w:r>
        <w:rPr>
          <w:rFonts w:ascii="Times New Roman" w:hAnsi="Times New Roman" w:eastAsia="Times New Roman" w:cs="Times New Roman"/>
          <w:spacing w:val="-2"/>
          <w:sz w:val="24"/>
          <w:szCs w:val="24"/>
        </w:rPr>
        <w:t>Ⅱ.</w:t>
      </w:r>
      <w:r>
        <w:rPr>
          <w:rFonts w:ascii="宋体" w:hAnsi="宋体" w:eastAsia="宋体" w:cs="宋体"/>
          <w:spacing w:val="-2"/>
          <w:sz w:val="24"/>
          <w:szCs w:val="24"/>
        </w:rPr>
        <w:t>加强布置并按功能区进行相应划分，各构筑物之间可</w:t>
      </w:r>
      <w:r>
        <w:rPr>
          <w:rFonts w:ascii="宋体" w:hAnsi="宋体" w:eastAsia="宋体" w:cs="宋体"/>
          <w:spacing w:val="-3"/>
          <w:sz w:val="24"/>
          <w:szCs w:val="24"/>
        </w:rPr>
        <w:t>设绿化隔离带，利用绿色植物的吸收作用，减少恶臭气体的逸散，减轻恶臭对周围环境的影响。建议</w:t>
      </w:r>
      <w:r>
        <w:rPr>
          <w:rFonts w:ascii="宋体" w:hAnsi="宋体" w:eastAsia="宋体" w:cs="宋体"/>
          <w:spacing w:val="-6"/>
          <w:sz w:val="24"/>
          <w:szCs w:val="24"/>
        </w:rPr>
        <w:t>绿化植物应选择高大、枝叶茂盛、除臭能力强， 净化空气</w:t>
      </w:r>
      <w:r>
        <w:rPr>
          <w:rFonts w:ascii="宋体" w:hAnsi="宋体" w:eastAsia="宋体" w:cs="宋体"/>
          <w:spacing w:val="-7"/>
          <w:sz w:val="24"/>
          <w:szCs w:val="24"/>
        </w:rPr>
        <w:t>好的植物，如泡桐、槐</w:t>
      </w:r>
      <w:r>
        <w:rPr>
          <w:rFonts w:ascii="宋体" w:hAnsi="宋体" w:eastAsia="宋体" w:cs="宋体"/>
          <w:spacing w:val="-10"/>
          <w:sz w:val="24"/>
          <w:szCs w:val="24"/>
        </w:rPr>
        <w:t>树等。</w:t>
      </w:r>
    </w:p>
    <w:p w14:paraId="61C9BAA9">
      <w:pPr>
        <w:spacing w:before="2" w:line="359" w:lineRule="auto"/>
        <w:ind w:left="59" w:right="184" w:firstLine="456"/>
        <w:rPr>
          <w:rFonts w:ascii="宋体" w:hAnsi="宋体" w:eastAsia="宋体" w:cs="宋体"/>
          <w:sz w:val="24"/>
          <w:szCs w:val="24"/>
        </w:rPr>
      </w:pPr>
      <w:r>
        <w:rPr>
          <w:rFonts w:ascii="Times New Roman" w:hAnsi="Times New Roman" w:eastAsia="Times New Roman" w:cs="Times New Roman"/>
          <w:spacing w:val="3"/>
          <w:sz w:val="24"/>
          <w:szCs w:val="24"/>
        </w:rPr>
        <w:t>Ⅲ.</w:t>
      </w:r>
      <w:r>
        <w:rPr>
          <w:rFonts w:ascii="宋体" w:hAnsi="宋体" w:eastAsia="宋体" w:cs="宋体"/>
          <w:spacing w:val="3"/>
          <w:sz w:val="24"/>
          <w:szCs w:val="24"/>
        </w:rPr>
        <w:t>合理布局，调整猪舍排风口朝向，将猪舍排风口尽</w:t>
      </w:r>
      <w:r>
        <w:rPr>
          <w:rFonts w:ascii="宋体" w:hAnsi="宋体" w:eastAsia="宋体" w:cs="宋体"/>
          <w:spacing w:val="2"/>
          <w:sz w:val="24"/>
          <w:szCs w:val="24"/>
        </w:rPr>
        <w:t>量布置于敏感点较少</w:t>
      </w:r>
      <w:r>
        <w:rPr>
          <w:rFonts w:ascii="宋体" w:hAnsi="宋体" w:eastAsia="宋体" w:cs="宋体"/>
          <w:spacing w:val="-5"/>
          <w:sz w:val="24"/>
          <w:szCs w:val="24"/>
        </w:rPr>
        <w:t>的方向，减少对外环境的影响。</w:t>
      </w:r>
    </w:p>
    <w:p w14:paraId="66ABFEEE">
      <w:pPr>
        <w:spacing w:before="7" w:line="354" w:lineRule="auto"/>
        <w:ind w:left="39" w:right="186" w:firstLine="476"/>
        <w:rPr>
          <w:rFonts w:ascii="宋体" w:hAnsi="宋体" w:eastAsia="宋体" w:cs="宋体"/>
          <w:sz w:val="24"/>
          <w:szCs w:val="24"/>
        </w:rPr>
      </w:pPr>
      <w:r>
        <w:rPr>
          <w:rFonts w:ascii="Times New Roman" w:hAnsi="Times New Roman" w:eastAsia="Times New Roman" w:cs="Times New Roman"/>
          <w:spacing w:val="2"/>
          <w:sz w:val="24"/>
          <w:szCs w:val="24"/>
        </w:rPr>
        <w:t>Ⅳ.</w:t>
      </w:r>
      <w:r>
        <w:rPr>
          <w:rFonts w:ascii="宋体" w:hAnsi="宋体" w:eastAsia="宋体" w:cs="宋体"/>
          <w:spacing w:val="2"/>
          <w:sz w:val="24"/>
          <w:szCs w:val="24"/>
        </w:rPr>
        <w:t>对猪舍、堆粪棚、粪污处理区的恶臭单元喷洒复合微生物除臭剂，利用</w:t>
      </w:r>
      <w:r>
        <w:rPr>
          <w:rFonts w:ascii="宋体" w:hAnsi="宋体" w:eastAsia="宋体" w:cs="宋体"/>
          <w:spacing w:val="-5"/>
          <w:sz w:val="24"/>
          <w:szCs w:val="24"/>
        </w:rPr>
        <w:t>能够转化或者降解恶臭物质的特殊微生物的高效吸附、吸收和降解作用，</w:t>
      </w:r>
      <w:r>
        <w:rPr>
          <w:rFonts w:ascii="宋体" w:hAnsi="宋体" w:eastAsia="宋体" w:cs="宋体"/>
          <w:spacing w:val="-49"/>
          <w:sz w:val="24"/>
          <w:szCs w:val="24"/>
        </w:rPr>
        <w:t xml:space="preserve"> </w:t>
      </w:r>
      <w:r>
        <w:rPr>
          <w:rFonts w:ascii="宋体" w:hAnsi="宋体" w:eastAsia="宋体" w:cs="宋体"/>
          <w:spacing w:val="-5"/>
          <w:sz w:val="24"/>
          <w:szCs w:val="24"/>
        </w:rPr>
        <w:t>对产生</w:t>
      </w:r>
      <w:r>
        <w:rPr>
          <w:rFonts w:ascii="宋体" w:hAnsi="宋体" w:eastAsia="宋体" w:cs="宋体"/>
          <w:sz w:val="24"/>
          <w:szCs w:val="24"/>
        </w:rPr>
        <w:t>的恶臭气体进行净化。根据农业工程学报第</w:t>
      </w:r>
      <w:r>
        <w:rPr>
          <w:rFonts w:ascii="Times New Roman" w:hAnsi="Times New Roman" w:eastAsia="Times New Roman" w:cs="Times New Roman"/>
          <w:sz w:val="24"/>
          <w:szCs w:val="24"/>
        </w:rPr>
        <w:t>24</w:t>
      </w:r>
      <w:r>
        <w:rPr>
          <w:rFonts w:ascii="宋体" w:hAnsi="宋体" w:eastAsia="宋体" w:cs="宋体"/>
          <w:sz w:val="24"/>
          <w:szCs w:val="24"/>
        </w:rPr>
        <w:t>卷第</w:t>
      </w:r>
      <w:r>
        <w:rPr>
          <w:rFonts w:ascii="Times New Roman" w:hAnsi="Times New Roman" w:eastAsia="Times New Roman" w:cs="Times New Roman"/>
          <w:sz w:val="24"/>
          <w:szCs w:val="24"/>
        </w:rPr>
        <w:t>8</w:t>
      </w:r>
      <w:r>
        <w:rPr>
          <w:rFonts w:ascii="宋体" w:hAnsi="宋体" w:eastAsia="宋体" w:cs="宋体"/>
          <w:sz w:val="24"/>
          <w:szCs w:val="24"/>
        </w:rPr>
        <w:t>期中《复合微生物吸附除臭</w:t>
      </w:r>
      <w:r>
        <w:rPr>
          <w:rFonts w:ascii="宋体" w:hAnsi="宋体" w:eastAsia="宋体" w:cs="宋体"/>
          <w:spacing w:val="-3"/>
          <w:sz w:val="24"/>
          <w:szCs w:val="24"/>
        </w:rPr>
        <w:t>剂的制备及其除臭应用》（叶芬霞、朱瑞芬、叶央芳）</w:t>
      </w:r>
      <w:r>
        <w:rPr>
          <w:rFonts w:ascii="宋体" w:hAnsi="宋体" w:eastAsia="宋体" w:cs="宋体"/>
          <w:spacing w:val="-4"/>
          <w:sz w:val="24"/>
          <w:szCs w:val="24"/>
        </w:rPr>
        <w:t>的研究结果可知，吸附除</w:t>
      </w:r>
      <w:r>
        <w:rPr>
          <w:rFonts w:ascii="宋体" w:hAnsi="宋体" w:eastAsia="宋体" w:cs="宋体"/>
          <w:sz w:val="24"/>
          <w:szCs w:val="24"/>
        </w:rPr>
        <w:t>臭剂对堆放</w:t>
      </w:r>
      <w:r>
        <w:rPr>
          <w:rFonts w:ascii="Times New Roman" w:hAnsi="Times New Roman" w:eastAsia="Times New Roman" w:cs="Times New Roman"/>
          <w:sz w:val="24"/>
          <w:szCs w:val="24"/>
        </w:rPr>
        <w:t>5</w:t>
      </w:r>
      <w:r>
        <w:rPr>
          <w:rFonts w:ascii="宋体" w:hAnsi="宋体" w:eastAsia="宋体" w:cs="宋体"/>
          <w:sz w:val="24"/>
          <w:szCs w:val="24"/>
        </w:rPr>
        <w:t>天后场内</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 xml:space="preserve">3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z w:val="24"/>
          <w:szCs w:val="24"/>
        </w:rPr>
        <w:t>S</w:t>
      </w:r>
      <w:r>
        <w:rPr>
          <w:rFonts w:ascii="宋体" w:hAnsi="宋体" w:eastAsia="宋体" w:cs="宋体"/>
          <w:sz w:val="24"/>
          <w:szCs w:val="24"/>
        </w:rPr>
        <w:t>、臭气浓度的去除率平均为</w:t>
      </w:r>
      <w:r>
        <w:rPr>
          <w:rFonts w:ascii="Times New Roman" w:hAnsi="Times New Roman" w:eastAsia="Times New Roman" w:cs="Times New Roman"/>
          <w:sz w:val="24"/>
          <w:szCs w:val="24"/>
        </w:rPr>
        <w:t>84.3</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62.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88.46%</w:t>
      </w:r>
      <w:r>
        <w:rPr>
          <w:rFonts w:ascii="宋体" w:hAnsi="宋体" w:eastAsia="宋体" w:cs="宋体"/>
          <w:spacing w:val="-2"/>
          <w:sz w:val="24"/>
          <w:szCs w:val="24"/>
        </w:rPr>
        <w:t>。</w:t>
      </w:r>
    </w:p>
    <w:p w14:paraId="7B1AD77C">
      <w:pPr>
        <w:spacing w:before="39" w:line="217" w:lineRule="auto"/>
        <w:ind w:left="519"/>
        <w:rPr>
          <w:rFonts w:ascii="宋体" w:hAnsi="宋体" w:eastAsia="宋体" w:cs="宋体"/>
          <w:sz w:val="24"/>
          <w:szCs w:val="24"/>
        </w:rPr>
      </w:pPr>
      <w:r>
        <w:rPr>
          <w:rFonts w:ascii="宋体" w:hAnsi="宋体" w:eastAsia="宋体" w:cs="宋体"/>
          <w:b/>
          <w:bCs/>
          <w:spacing w:val="-3"/>
          <w:sz w:val="24"/>
          <w:szCs w:val="24"/>
        </w:rPr>
        <w:t>③终端控制</w:t>
      </w:r>
    </w:p>
    <w:p w14:paraId="67725B4B">
      <w:pPr>
        <w:spacing w:before="185" w:line="360" w:lineRule="auto"/>
        <w:ind w:left="39" w:right="186" w:firstLine="476"/>
        <w:rPr>
          <w:rFonts w:ascii="宋体" w:hAnsi="宋体" w:eastAsia="宋体" w:cs="宋体"/>
          <w:sz w:val="24"/>
          <w:szCs w:val="24"/>
        </w:rPr>
      </w:pPr>
      <w:r>
        <w:rPr>
          <w:rFonts w:ascii="Times New Roman" w:hAnsi="Times New Roman" w:eastAsia="Times New Roman" w:cs="Times New Roman"/>
          <w:sz w:val="24"/>
          <w:szCs w:val="24"/>
        </w:rPr>
        <w:t>Ⅰ.</w:t>
      </w:r>
      <w:r>
        <w:rPr>
          <w:rFonts w:ascii="宋体" w:hAnsi="宋体" w:eastAsia="宋体" w:cs="宋体"/>
          <w:sz w:val="24"/>
          <w:szCs w:val="24"/>
        </w:rPr>
        <w:t>猪舍恶臭处理措施：本项目设计对猪舍恶臭源采取设置喷雾除臭网进行除</w:t>
      </w:r>
      <w:r>
        <w:rPr>
          <w:rFonts w:ascii="宋体" w:hAnsi="宋体" w:eastAsia="宋体" w:cs="宋体"/>
          <w:spacing w:val="-6"/>
          <w:sz w:val="24"/>
          <w:szCs w:val="24"/>
        </w:rPr>
        <w:t>臭。猪舍采取负压机械通风的方式， 猪舍进风一侧为水帘，在</w:t>
      </w:r>
      <w:r>
        <w:rPr>
          <w:rFonts w:ascii="宋体" w:hAnsi="宋体" w:eastAsia="宋体" w:cs="宋体"/>
          <w:spacing w:val="-7"/>
          <w:sz w:val="24"/>
          <w:szCs w:val="24"/>
        </w:rPr>
        <w:t>猪舍一侧安装负压</w:t>
      </w:r>
      <w:r>
        <w:rPr>
          <w:rFonts w:ascii="宋体" w:hAnsi="宋体" w:eastAsia="宋体" w:cs="宋体"/>
          <w:spacing w:val="-3"/>
          <w:sz w:val="24"/>
          <w:szCs w:val="24"/>
        </w:rPr>
        <w:t>通风机，会使整个猪舍形成微负压，猪舍外的空气被吸入猪舍中，带着猪舍内的气体经风机排出猪舍外，猪舍产生的恶臭污染物亦随气流由风机排出，排出的恶臭污染物经出风口处设置的生物喷雾除臭网处理后无</w:t>
      </w:r>
      <w:r>
        <w:rPr>
          <w:rFonts w:ascii="宋体" w:hAnsi="宋体" w:eastAsia="宋体" w:cs="宋体"/>
          <w:spacing w:val="-4"/>
          <w:sz w:val="24"/>
          <w:szCs w:val="24"/>
        </w:rPr>
        <w:t>组织排放（具体措施分析见</w:t>
      </w:r>
      <w:r>
        <w:rPr>
          <w:rFonts w:ascii="宋体" w:hAnsi="宋体" w:eastAsia="宋体" w:cs="宋体"/>
          <w:spacing w:val="-10"/>
          <w:sz w:val="24"/>
          <w:szCs w:val="24"/>
        </w:rPr>
        <w:t>第</w:t>
      </w:r>
      <w:r>
        <w:rPr>
          <w:rFonts w:ascii="Times New Roman" w:hAnsi="Times New Roman" w:eastAsia="Times New Roman" w:cs="Times New Roman"/>
          <w:spacing w:val="-10"/>
          <w:sz w:val="24"/>
          <w:szCs w:val="24"/>
        </w:rPr>
        <w:t>5.2.1</w:t>
      </w:r>
      <w:r>
        <w:rPr>
          <w:rFonts w:ascii="宋体" w:hAnsi="宋体" w:eastAsia="宋体" w:cs="宋体"/>
          <w:spacing w:val="-10"/>
          <w:sz w:val="24"/>
          <w:szCs w:val="24"/>
        </w:rPr>
        <w:t>章节）。</w:t>
      </w:r>
    </w:p>
    <w:p w14:paraId="7EFB7E90">
      <w:pPr>
        <w:spacing w:line="360" w:lineRule="auto"/>
        <w:ind w:left="39" w:firstLine="479"/>
        <w:jc w:val="both"/>
        <w:rPr>
          <w:rFonts w:ascii="宋体" w:hAnsi="宋体" w:eastAsia="宋体" w:cs="宋体"/>
          <w:sz w:val="24"/>
          <w:szCs w:val="24"/>
        </w:rPr>
      </w:pPr>
      <w:r>
        <w:rPr>
          <w:rFonts w:ascii="宋体" w:hAnsi="宋体" w:eastAsia="宋体" w:cs="宋体"/>
          <w:spacing w:val="-7"/>
          <w:sz w:val="24"/>
          <w:szCs w:val="24"/>
        </w:rPr>
        <w:t>在采取上述①源头控制、②过程控制措施后，对</w:t>
      </w:r>
      <w:r>
        <w:rPr>
          <w:rFonts w:ascii="Times New Roman" w:hAnsi="Times New Roman" w:eastAsia="Times New Roman" w:cs="Times New Roman"/>
          <w:spacing w:val="-7"/>
          <w:sz w:val="24"/>
          <w:szCs w:val="24"/>
        </w:rPr>
        <w:t>N</w:t>
      </w:r>
      <w:r>
        <w:rPr>
          <w:rFonts w:ascii="Times New Roman" w:hAnsi="Times New Roman" w:eastAsia="Times New Roman" w:cs="Times New Roman"/>
          <w:spacing w:val="-8"/>
          <w:sz w:val="24"/>
          <w:szCs w:val="24"/>
        </w:rPr>
        <w:t>H</w:t>
      </w:r>
      <w:r>
        <w:rPr>
          <w:rFonts w:ascii="Times New Roman" w:hAnsi="Times New Roman" w:eastAsia="Times New Roman" w:cs="Times New Roman"/>
          <w:spacing w:val="-8"/>
          <w:position w:val="-2"/>
          <w:sz w:val="15"/>
          <w:szCs w:val="15"/>
        </w:rPr>
        <w:t>3</w:t>
      </w:r>
      <w:r>
        <w:rPr>
          <w:rFonts w:ascii="宋体" w:hAnsi="宋体" w:eastAsia="宋体" w:cs="宋体"/>
          <w:spacing w:val="-8"/>
          <w:sz w:val="24"/>
          <w:szCs w:val="24"/>
        </w:rPr>
        <w:t>、</w:t>
      </w:r>
      <w:r>
        <w:rPr>
          <w:rFonts w:ascii="Times New Roman" w:hAnsi="Times New Roman" w:eastAsia="Times New Roman" w:cs="Times New Roman"/>
          <w:spacing w:val="-8"/>
          <w:sz w:val="24"/>
          <w:szCs w:val="24"/>
        </w:rPr>
        <w:t>H</w:t>
      </w:r>
      <w:r>
        <w:rPr>
          <w:rFonts w:ascii="Times New Roman" w:hAnsi="Times New Roman" w:eastAsia="Times New Roman" w:cs="Times New Roman"/>
          <w:spacing w:val="-8"/>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8"/>
          <w:sz w:val="24"/>
          <w:szCs w:val="24"/>
        </w:rPr>
        <w:t>S</w:t>
      </w:r>
      <w:r>
        <w:rPr>
          <w:rFonts w:ascii="宋体" w:hAnsi="宋体" w:eastAsia="宋体" w:cs="宋体"/>
          <w:spacing w:val="-8"/>
          <w:sz w:val="24"/>
          <w:szCs w:val="24"/>
        </w:rPr>
        <w:t>的去除效率约</w:t>
      </w:r>
      <w:r>
        <w:rPr>
          <w:rFonts w:ascii="Times New Roman" w:hAnsi="Times New Roman" w:eastAsia="Times New Roman" w:cs="Times New Roman"/>
          <w:spacing w:val="-8"/>
          <w:sz w:val="24"/>
          <w:szCs w:val="24"/>
        </w:rPr>
        <w:t>60%</w:t>
      </w:r>
      <w:r>
        <w:rPr>
          <w:rFonts w:ascii="Times New Roman" w:hAnsi="Times New Roman" w:eastAsia="Times New Roman" w:cs="Times New Roman"/>
          <w:spacing w:val="-26"/>
          <w:sz w:val="24"/>
          <w:szCs w:val="24"/>
        </w:rPr>
        <w:t xml:space="preserve"> </w:t>
      </w:r>
      <w:r>
        <w:rPr>
          <w:rFonts w:ascii="宋体" w:hAnsi="宋体" w:eastAsia="宋体" w:cs="宋体"/>
          <w:spacing w:val="-8"/>
          <w:sz w:val="24"/>
          <w:szCs w:val="24"/>
        </w:rPr>
        <w:t>。</w:t>
      </w:r>
      <w:r>
        <w:rPr>
          <w:rFonts w:ascii="宋体" w:hAnsi="宋体" w:eastAsia="宋体" w:cs="宋体"/>
          <w:spacing w:val="-4"/>
          <w:sz w:val="24"/>
          <w:szCs w:val="24"/>
        </w:rPr>
        <w:t>根据建设单位提供的设计资料，采取生物喷雾除臭</w:t>
      </w:r>
      <w:r>
        <w:rPr>
          <w:rFonts w:ascii="宋体" w:hAnsi="宋体" w:eastAsia="宋体" w:cs="宋体"/>
          <w:spacing w:val="-5"/>
          <w:sz w:val="24"/>
          <w:szCs w:val="24"/>
        </w:rPr>
        <w:t>网主要对氨有显著的去除效果，</w:t>
      </w:r>
      <w:r>
        <w:rPr>
          <w:rFonts w:ascii="宋体" w:hAnsi="宋体" w:eastAsia="宋体" w:cs="宋体"/>
          <w:sz w:val="24"/>
          <w:szCs w:val="24"/>
        </w:rPr>
        <w:t>生物喷雾除臭网氨去除效率约为</w:t>
      </w:r>
      <w:r>
        <w:rPr>
          <w:rFonts w:ascii="Times New Roman" w:hAnsi="Times New Roman" w:eastAsia="Times New Roman" w:cs="Times New Roman"/>
          <w:sz w:val="24"/>
          <w:szCs w:val="24"/>
        </w:rPr>
        <w:t>65%</w:t>
      </w:r>
      <w:r>
        <w:rPr>
          <w:rFonts w:ascii="宋体" w:hAnsi="宋体" w:eastAsia="宋体" w:cs="宋体"/>
          <w:sz w:val="24"/>
          <w:szCs w:val="24"/>
        </w:rPr>
        <w:t>，对硫化氢</w:t>
      </w:r>
      <w:r>
        <w:rPr>
          <w:rFonts w:ascii="宋体" w:hAnsi="宋体" w:eastAsia="宋体" w:cs="宋体"/>
          <w:spacing w:val="-1"/>
          <w:sz w:val="24"/>
          <w:szCs w:val="24"/>
        </w:rPr>
        <w:t>的去除率约为</w:t>
      </w:r>
      <w:r>
        <w:rPr>
          <w:rFonts w:ascii="Times New Roman" w:hAnsi="Times New Roman" w:eastAsia="Times New Roman" w:cs="Times New Roman"/>
          <w:spacing w:val="-1"/>
          <w:sz w:val="24"/>
          <w:szCs w:val="24"/>
        </w:rPr>
        <w:t>45%</w:t>
      </w:r>
      <w:r>
        <w:rPr>
          <w:rFonts w:ascii="宋体" w:hAnsi="宋体" w:eastAsia="宋体" w:cs="宋体"/>
          <w:spacing w:val="-1"/>
          <w:sz w:val="24"/>
          <w:szCs w:val="24"/>
        </w:rPr>
        <w:t>。</w:t>
      </w:r>
    </w:p>
    <w:p w14:paraId="0ACA9D48">
      <w:pPr>
        <w:spacing w:before="1" w:line="219" w:lineRule="auto"/>
        <w:ind w:left="519"/>
        <w:rPr>
          <w:rFonts w:ascii="宋体" w:hAnsi="宋体" w:eastAsia="宋体" w:cs="宋体"/>
          <w:sz w:val="24"/>
          <w:szCs w:val="24"/>
        </w:rPr>
      </w:pPr>
      <w:r>
        <w:rPr>
          <w:rFonts w:ascii="宋体" w:hAnsi="宋体" w:eastAsia="宋体" w:cs="宋体"/>
          <w:spacing w:val="-4"/>
          <w:sz w:val="24"/>
          <w:szCs w:val="24"/>
        </w:rPr>
        <w:t>猪舍恶臭气体收集及处理措施如下：</w:t>
      </w:r>
    </w:p>
    <w:p w14:paraId="03A21BE7">
      <w:pPr>
        <w:spacing w:line="219" w:lineRule="auto"/>
        <w:rPr>
          <w:rFonts w:ascii="宋体" w:hAnsi="宋体" w:eastAsia="宋体" w:cs="宋体"/>
          <w:sz w:val="24"/>
          <w:szCs w:val="24"/>
        </w:rPr>
        <w:sectPr>
          <w:headerReference r:id="rId205" w:type="default"/>
          <w:footerReference r:id="rId206" w:type="default"/>
          <w:pgSz w:w="11905" w:h="16840"/>
          <w:pgMar w:top="1168" w:right="1611" w:bottom="1409" w:left="1770" w:header="828" w:footer="1244" w:gutter="0"/>
          <w:cols w:space="720" w:num="1"/>
        </w:sectPr>
      </w:pPr>
    </w:p>
    <w:p w14:paraId="53BD2C20">
      <w:pPr>
        <w:pStyle w:val="2"/>
        <w:spacing w:line="414" w:lineRule="auto"/>
      </w:pPr>
    </w:p>
    <w:p w14:paraId="23E9658F">
      <w:pPr>
        <w:spacing w:line="1235" w:lineRule="exact"/>
        <w:ind w:firstLine="2469"/>
      </w:pPr>
      <w:r>
        <w:rPr>
          <w:position w:val="-24"/>
        </w:rPr>
        <w:drawing>
          <wp:inline distT="0" distB="0" distL="0" distR="0">
            <wp:extent cx="2344420" cy="78359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555"/>
                    <a:stretch>
                      <a:fillRect/>
                    </a:stretch>
                  </pic:blipFill>
                  <pic:spPr>
                    <a:xfrm>
                      <a:off x="0" y="0"/>
                      <a:ext cx="2344801" cy="784097"/>
                    </a:xfrm>
                    <a:prstGeom prst="rect">
                      <a:avLst/>
                    </a:prstGeom>
                  </pic:spPr>
                </pic:pic>
              </a:graphicData>
            </a:graphic>
          </wp:inline>
        </w:drawing>
      </w:r>
    </w:p>
    <w:p w14:paraId="2F8EFF9A">
      <w:pPr>
        <w:spacing w:before="307" w:line="222" w:lineRule="auto"/>
        <w:ind w:left="2593"/>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4"/>
          <w:sz w:val="21"/>
          <w:szCs w:val="21"/>
        </w:rPr>
        <w:t xml:space="preserve"> </w:t>
      </w:r>
      <w:r>
        <w:rPr>
          <w:rFonts w:ascii="Times New Roman" w:hAnsi="Times New Roman" w:eastAsia="Times New Roman" w:cs="Times New Roman"/>
          <w:spacing w:val="-2"/>
          <w:sz w:val="21"/>
          <w:szCs w:val="21"/>
        </w:rPr>
        <w:t xml:space="preserve">2.2-10  </w:t>
      </w:r>
      <w:r>
        <w:rPr>
          <w:rFonts w:ascii="黑体" w:hAnsi="黑体" w:eastAsia="黑体" w:cs="黑体"/>
          <w:spacing w:val="-2"/>
          <w:sz w:val="21"/>
          <w:szCs w:val="21"/>
        </w:rPr>
        <w:t>猪舍恶臭气体处理示意图</w:t>
      </w:r>
    </w:p>
    <w:p w14:paraId="6BFB8510">
      <w:pPr>
        <w:spacing w:before="202" w:line="360" w:lineRule="auto"/>
        <w:ind w:left="39" w:right="30" w:firstLine="476"/>
        <w:rPr>
          <w:rFonts w:ascii="宋体" w:hAnsi="宋体" w:eastAsia="宋体" w:cs="宋体"/>
          <w:sz w:val="24"/>
          <w:szCs w:val="24"/>
        </w:rPr>
      </w:pPr>
      <w:r>
        <w:rPr>
          <w:rFonts w:ascii="Times New Roman" w:hAnsi="Times New Roman" w:eastAsia="Times New Roman" w:cs="Times New Roman"/>
          <w:spacing w:val="-1"/>
          <w:sz w:val="24"/>
          <w:szCs w:val="24"/>
        </w:rPr>
        <w:t>Ⅱ.</w:t>
      </w:r>
      <w:r>
        <w:rPr>
          <w:rFonts w:ascii="宋体" w:hAnsi="宋体" w:eastAsia="宋体" w:cs="宋体"/>
          <w:spacing w:val="-1"/>
          <w:sz w:val="24"/>
          <w:szCs w:val="24"/>
        </w:rPr>
        <w:t>污水处理站采用“粪污收集池</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固液分离</w:t>
      </w:r>
      <w:r>
        <w:rPr>
          <w:rFonts w:ascii="Times New Roman" w:hAnsi="Times New Roman" w:eastAsia="Times New Roman" w:cs="Times New Roman"/>
          <w:spacing w:val="-1"/>
          <w:sz w:val="24"/>
          <w:szCs w:val="24"/>
        </w:rPr>
        <w:t>+</w:t>
      </w:r>
      <w:r>
        <w:rPr>
          <w:rFonts w:ascii="宋体" w:hAnsi="宋体" w:eastAsia="宋体" w:cs="宋体"/>
          <w:spacing w:val="-1"/>
          <w:sz w:val="24"/>
          <w:szCs w:val="24"/>
        </w:rPr>
        <w:t>水解酸化池</w:t>
      </w:r>
      <w:r>
        <w:rPr>
          <w:rFonts w:ascii="Times New Roman" w:hAnsi="Times New Roman" w:eastAsia="Times New Roman" w:cs="Times New Roman"/>
          <w:spacing w:val="-2"/>
          <w:sz w:val="24"/>
          <w:szCs w:val="24"/>
        </w:rPr>
        <w:t>+CSTR</w:t>
      </w:r>
      <w:r>
        <w:rPr>
          <w:rFonts w:ascii="宋体" w:hAnsi="宋体" w:eastAsia="宋体" w:cs="宋体"/>
          <w:spacing w:val="-2"/>
          <w:sz w:val="24"/>
          <w:szCs w:val="24"/>
        </w:rPr>
        <w:t>厌氧反应器</w:t>
      </w:r>
      <w:r>
        <w:rPr>
          <w:rFonts w:ascii="Times New Roman" w:hAnsi="Times New Roman" w:eastAsia="Times New Roman" w:cs="Times New Roman"/>
          <w:spacing w:val="-2"/>
          <w:sz w:val="24"/>
          <w:szCs w:val="24"/>
        </w:rPr>
        <w:t>+</w:t>
      </w:r>
      <w:r>
        <w:rPr>
          <w:rFonts w:ascii="宋体" w:hAnsi="宋体" w:eastAsia="宋体" w:cs="宋体"/>
          <w:spacing w:val="5"/>
          <w:sz w:val="24"/>
          <w:szCs w:val="24"/>
        </w:rPr>
        <w:t>微生物曝氧塘</w:t>
      </w:r>
      <w:r>
        <w:rPr>
          <w:rFonts w:ascii="Times New Roman" w:hAnsi="Times New Roman" w:eastAsia="Times New Roman" w:cs="Times New Roman"/>
          <w:spacing w:val="5"/>
          <w:sz w:val="24"/>
          <w:szCs w:val="24"/>
        </w:rPr>
        <w:t>+</w:t>
      </w:r>
      <w:r>
        <w:rPr>
          <w:rFonts w:ascii="宋体" w:hAnsi="宋体" w:eastAsia="宋体" w:cs="宋体"/>
          <w:spacing w:val="5"/>
          <w:sz w:val="24"/>
          <w:szCs w:val="24"/>
        </w:rPr>
        <w:t>前置物化系统</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一级缺氧池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一级好氧池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一级沉淀池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二级</w:t>
      </w:r>
      <w:r>
        <w:rPr>
          <w:rFonts w:ascii="宋体" w:hAnsi="宋体" w:eastAsia="宋体" w:cs="宋体"/>
          <w:spacing w:val="4"/>
          <w:sz w:val="24"/>
          <w:szCs w:val="24"/>
        </w:rPr>
        <w:t>缺氧</w:t>
      </w:r>
      <w:r>
        <w:rPr>
          <w:rFonts w:ascii="宋体" w:hAnsi="宋体" w:eastAsia="宋体" w:cs="宋体"/>
          <w:spacing w:val="-1"/>
          <w:sz w:val="24"/>
          <w:szCs w:val="24"/>
        </w:rPr>
        <w:t>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混凝沉淀</w:t>
      </w:r>
      <w:r>
        <w:rPr>
          <w:rFonts w:ascii="Times New Roman" w:hAnsi="Times New Roman" w:eastAsia="Times New Roman" w:cs="Times New Roman"/>
          <w:spacing w:val="-1"/>
          <w:sz w:val="24"/>
          <w:szCs w:val="24"/>
        </w:rPr>
        <w:t>+</w:t>
      </w:r>
      <w:r>
        <w:rPr>
          <w:rFonts w:ascii="宋体" w:hAnsi="宋体" w:eastAsia="宋体" w:cs="宋体"/>
          <w:spacing w:val="-1"/>
          <w:sz w:val="24"/>
          <w:szCs w:val="24"/>
        </w:rPr>
        <w:t>消毒池”处理工艺，其中</w:t>
      </w:r>
      <w:r>
        <w:rPr>
          <w:rFonts w:ascii="Times New Roman" w:hAnsi="Times New Roman" w:eastAsia="Times New Roman" w:cs="Times New Roman"/>
          <w:spacing w:val="-2"/>
          <w:sz w:val="24"/>
          <w:szCs w:val="24"/>
        </w:rPr>
        <w:t>CSTR</w:t>
      </w:r>
      <w:r>
        <w:rPr>
          <w:rFonts w:ascii="宋体" w:hAnsi="宋体" w:eastAsia="宋体" w:cs="宋体"/>
          <w:spacing w:val="-2"/>
          <w:sz w:val="24"/>
          <w:szCs w:val="24"/>
        </w:rPr>
        <w:t>厌氧反应</w:t>
      </w:r>
      <w:r>
        <w:rPr>
          <w:rFonts w:ascii="宋体" w:hAnsi="宋体" w:eastAsia="宋体" w:cs="宋体"/>
          <w:spacing w:val="1"/>
          <w:sz w:val="24"/>
          <w:szCs w:val="24"/>
        </w:rPr>
        <w:t>器为全密闭式，臭气不会外泄。两级</w:t>
      </w:r>
      <w:r>
        <w:rPr>
          <w:rFonts w:ascii="Times New Roman" w:hAnsi="Times New Roman" w:eastAsia="Times New Roman" w:cs="Times New Roman"/>
          <w:spacing w:val="1"/>
          <w:sz w:val="24"/>
          <w:szCs w:val="24"/>
        </w:rPr>
        <w:t>A/O</w:t>
      </w:r>
      <w:r>
        <w:rPr>
          <w:rFonts w:ascii="宋体" w:hAnsi="宋体" w:eastAsia="宋体" w:cs="宋体"/>
          <w:spacing w:val="1"/>
          <w:sz w:val="24"/>
          <w:szCs w:val="24"/>
        </w:rPr>
        <w:t>池中</w:t>
      </w:r>
      <w:r>
        <w:rPr>
          <w:rFonts w:ascii="Times New Roman" w:hAnsi="Times New Roman" w:eastAsia="Times New Roman" w:cs="Times New Roman"/>
          <w:spacing w:val="1"/>
          <w:sz w:val="24"/>
          <w:szCs w:val="24"/>
        </w:rPr>
        <w:t>A</w:t>
      </w:r>
      <w:r>
        <w:rPr>
          <w:rFonts w:ascii="宋体" w:hAnsi="宋体" w:eastAsia="宋体" w:cs="宋体"/>
          <w:spacing w:val="1"/>
          <w:sz w:val="24"/>
          <w:szCs w:val="24"/>
        </w:rPr>
        <w:t>池主要是厌氧</w:t>
      </w:r>
      <w:r>
        <w:rPr>
          <w:rFonts w:ascii="宋体" w:hAnsi="宋体" w:eastAsia="宋体" w:cs="宋体"/>
          <w:sz w:val="24"/>
          <w:szCs w:val="24"/>
        </w:rPr>
        <w:t>反应，会产生一定</w:t>
      </w:r>
      <w:r>
        <w:rPr>
          <w:rFonts w:ascii="宋体" w:hAnsi="宋体" w:eastAsia="宋体" w:cs="宋体"/>
          <w:spacing w:val="-3"/>
          <w:sz w:val="24"/>
          <w:szCs w:val="24"/>
        </w:rPr>
        <w:t>量的恶臭，需加盖密闭收集。污水处理站产生恶臭污染物的处理单元主要是粪污</w:t>
      </w:r>
      <w:r>
        <w:rPr>
          <w:rFonts w:ascii="宋体" w:hAnsi="宋体" w:eastAsia="宋体" w:cs="宋体"/>
          <w:spacing w:val="-2"/>
          <w:sz w:val="24"/>
          <w:szCs w:val="24"/>
        </w:rPr>
        <w:t>收集池、固液分离平台、两级</w:t>
      </w:r>
      <w:r>
        <w:rPr>
          <w:rFonts w:ascii="Times New Roman" w:hAnsi="Times New Roman" w:eastAsia="Times New Roman" w:cs="Times New Roman"/>
          <w:spacing w:val="-2"/>
          <w:sz w:val="24"/>
          <w:szCs w:val="24"/>
        </w:rPr>
        <w:t>A/O</w:t>
      </w:r>
      <w:r>
        <w:rPr>
          <w:rFonts w:ascii="宋体" w:hAnsi="宋体" w:eastAsia="宋体" w:cs="宋体"/>
          <w:spacing w:val="-2"/>
          <w:sz w:val="24"/>
          <w:szCs w:val="24"/>
        </w:rPr>
        <w:t>池、污泥池等。</w:t>
      </w:r>
    </w:p>
    <w:p w14:paraId="4217D049">
      <w:pPr>
        <w:spacing w:line="360" w:lineRule="auto"/>
        <w:ind w:left="42" w:right="28" w:firstLine="473"/>
        <w:rPr>
          <w:rFonts w:ascii="宋体" w:hAnsi="宋体" w:eastAsia="宋体" w:cs="宋体"/>
          <w:sz w:val="24"/>
          <w:szCs w:val="24"/>
        </w:rPr>
      </w:pPr>
      <w:r>
        <w:rPr>
          <w:rFonts w:ascii="Times New Roman" w:hAnsi="Times New Roman" w:eastAsia="Times New Roman" w:cs="Times New Roman"/>
          <w:spacing w:val="3"/>
          <w:sz w:val="24"/>
          <w:szCs w:val="24"/>
        </w:rPr>
        <w:t>Ⅲ.</w:t>
      </w:r>
      <w:r>
        <w:rPr>
          <w:rFonts w:ascii="宋体" w:hAnsi="宋体" w:eastAsia="宋体" w:cs="宋体"/>
          <w:spacing w:val="3"/>
          <w:sz w:val="24"/>
          <w:szCs w:val="24"/>
        </w:rPr>
        <w:t>本项目无害化处理间与污水处理站在粪污处理区内</w:t>
      </w:r>
      <w:r>
        <w:rPr>
          <w:rFonts w:ascii="宋体" w:hAnsi="宋体" w:eastAsia="宋体" w:cs="宋体"/>
          <w:spacing w:val="2"/>
          <w:sz w:val="24"/>
          <w:szCs w:val="24"/>
        </w:rPr>
        <w:t>集中布置，无害化处</w:t>
      </w:r>
      <w:r>
        <w:rPr>
          <w:rFonts w:ascii="宋体" w:hAnsi="宋体" w:eastAsia="宋体" w:cs="宋体"/>
          <w:spacing w:val="-1"/>
          <w:sz w:val="24"/>
          <w:szCs w:val="24"/>
        </w:rPr>
        <w:t>理间、粪污收集池及固液分离平台、两级</w:t>
      </w:r>
      <w:r>
        <w:rPr>
          <w:rFonts w:ascii="Times New Roman" w:hAnsi="Times New Roman" w:eastAsia="Times New Roman" w:cs="Times New Roman"/>
          <w:spacing w:val="-1"/>
          <w:sz w:val="24"/>
          <w:szCs w:val="24"/>
        </w:rPr>
        <w:t>A/O</w:t>
      </w:r>
      <w:r>
        <w:rPr>
          <w:rFonts w:ascii="宋体" w:hAnsi="宋体" w:eastAsia="宋体" w:cs="宋体"/>
          <w:spacing w:val="-1"/>
          <w:sz w:val="24"/>
          <w:szCs w:val="24"/>
        </w:rPr>
        <w:t>池、污泥池等单元的</w:t>
      </w:r>
      <w:r>
        <w:rPr>
          <w:rFonts w:ascii="宋体" w:hAnsi="宋体" w:eastAsia="宋体" w:cs="宋体"/>
          <w:spacing w:val="-2"/>
          <w:sz w:val="24"/>
          <w:szCs w:val="24"/>
        </w:rPr>
        <w:t>恶臭污染物经</w:t>
      </w:r>
      <w:r>
        <w:rPr>
          <w:rFonts w:ascii="宋体" w:hAnsi="宋体" w:eastAsia="宋体" w:cs="宋体"/>
          <w:spacing w:val="-1"/>
          <w:sz w:val="24"/>
          <w:szCs w:val="24"/>
        </w:rPr>
        <w:t>负压收集至</w:t>
      </w:r>
      <w:r>
        <w:rPr>
          <w:rFonts w:ascii="Times New Roman" w:hAnsi="Times New Roman" w:eastAsia="Times New Roman" w:cs="Times New Roman"/>
          <w:spacing w:val="-1"/>
          <w:sz w:val="24"/>
          <w:szCs w:val="24"/>
        </w:rPr>
        <w:t>1</w:t>
      </w:r>
      <w:r>
        <w:rPr>
          <w:rFonts w:ascii="宋体" w:hAnsi="宋体" w:eastAsia="宋体" w:cs="宋体"/>
          <w:spacing w:val="-1"/>
          <w:sz w:val="24"/>
          <w:szCs w:val="24"/>
        </w:rPr>
        <w:t>套生物滤池处理后，由</w:t>
      </w:r>
      <w:r>
        <w:rPr>
          <w:rFonts w:ascii="Times New Roman" w:hAnsi="Times New Roman" w:eastAsia="Times New Roman" w:cs="Times New Roman"/>
          <w:spacing w:val="-1"/>
          <w:sz w:val="24"/>
          <w:szCs w:val="24"/>
        </w:rPr>
        <w:t>1</w:t>
      </w:r>
      <w:r>
        <w:rPr>
          <w:rFonts w:ascii="宋体" w:hAnsi="宋体" w:eastAsia="宋体" w:cs="宋体"/>
          <w:spacing w:val="-1"/>
          <w:sz w:val="24"/>
          <w:szCs w:val="24"/>
        </w:rPr>
        <w:t>根</w:t>
      </w:r>
      <w:r>
        <w:rPr>
          <w:rFonts w:ascii="Times New Roman" w:hAnsi="Times New Roman" w:eastAsia="Times New Roman" w:cs="Times New Roman"/>
          <w:spacing w:val="-1"/>
          <w:sz w:val="24"/>
          <w:szCs w:val="24"/>
        </w:rPr>
        <w:t>15m</w:t>
      </w:r>
      <w:r>
        <w:rPr>
          <w:rFonts w:ascii="宋体" w:hAnsi="宋体" w:eastAsia="宋体" w:cs="宋体"/>
          <w:spacing w:val="-1"/>
          <w:sz w:val="24"/>
          <w:szCs w:val="24"/>
        </w:rPr>
        <w:t>排气筒（</w:t>
      </w:r>
      <w:r>
        <w:rPr>
          <w:rFonts w:ascii="Times New Roman" w:hAnsi="Times New Roman" w:eastAsia="Times New Roman" w:cs="Times New Roman"/>
          <w:spacing w:val="-1"/>
          <w:sz w:val="24"/>
          <w:szCs w:val="24"/>
        </w:rPr>
        <w:t>DA001</w:t>
      </w:r>
      <w:r>
        <w:rPr>
          <w:rFonts w:ascii="宋体" w:hAnsi="宋体" w:eastAsia="宋体" w:cs="宋体"/>
          <w:spacing w:val="-1"/>
          <w:sz w:val="24"/>
          <w:szCs w:val="24"/>
        </w:rPr>
        <w:t>）排放，风机风</w:t>
      </w:r>
      <w:r>
        <w:rPr>
          <w:rFonts w:ascii="宋体" w:hAnsi="宋体" w:eastAsia="宋体" w:cs="宋体"/>
          <w:spacing w:val="-2"/>
          <w:sz w:val="24"/>
          <w:szCs w:val="24"/>
        </w:rPr>
        <w:t>量定</w:t>
      </w:r>
      <w:r>
        <w:rPr>
          <w:rFonts w:ascii="宋体" w:hAnsi="宋体" w:eastAsia="宋体" w:cs="宋体"/>
          <w:spacing w:val="-1"/>
          <w:sz w:val="24"/>
          <w:szCs w:val="24"/>
        </w:rPr>
        <w:t>为</w:t>
      </w:r>
      <w:r>
        <w:rPr>
          <w:rFonts w:ascii="Times New Roman" w:hAnsi="Times New Roman" w:eastAsia="Times New Roman" w:cs="Times New Roman"/>
          <w:spacing w:val="-1"/>
          <w:sz w:val="24"/>
          <w:szCs w:val="24"/>
        </w:rPr>
        <w:t>6000m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w:t>
      </w:r>
    </w:p>
    <w:p w14:paraId="1B858970">
      <w:pPr>
        <w:spacing w:before="3" w:line="357" w:lineRule="auto"/>
        <w:ind w:left="38" w:right="29" w:firstLine="477"/>
        <w:rPr>
          <w:rFonts w:ascii="宋体" w:hAnsi="宋体" w:eastAsia="宋体" w:cs="宋体"/>
          <w:sz w:val="24"/>
          <w:szCs w:val="24"/>
        </w:rPr>
      </w:pPr>
      <w:r>
        <w:rPr>
          <w:rFonts w:ascii="Times New Roman" w:hAnsi="Times New Roman" w:eastAsia="Times New Roman" w:cs="Times New Roman"/>
          <w:spacing w:val="2"/>
          <w:sz w:val="24"/>
          <w:szCs w:val="24"/>
        </w:rPr>
        <w:t xml:space="preserve">Ⅳ.  </w:t>
      </w:r>
      <w:r>
        <w:rPr>
          <w:rFonts w:ascii="宋体" w:hAnsi="宋体" w:eastAsia="宋体" w:cs="宋体"/>
          <w:spacing w:val="2"/>
          <w:sz w:val="24"/>
          <w:szCs w:val="24"/>
        </w:rPr>
        <w:t>本项目堆粪棚为全封闭式，恶臭污染物经负压收集至</w:t>
      </w:r>
      <w:r>
        <w:rPr>
          <w:rFonts w:ascii="Times New Roman" w:hAnsi="Times New Roman" w:eastAsia="Times New Roman" w:cs="Times New Roman"/>
          <w:spacing w:val="2"/>
          <w:sz w:val="24"/>
          <w:szCs w:val="24"/>
        </w:rPr>
        <w:t>1</w:t>
      </w:r>
      <w:r>
        <w:rPr>
          <w:rFonts w:ascii="宋体" w:hAnsi="宋体" w:eastAsia="宋体" w:cs="宋体"/>
          <w:spacing w:val="2"/>
          <w:sz w:val="24"/>
          <w:szCs w:val="24"/>
        </w:rPr>
        <w:t>套生物滤</w:t>
      </w:r>
      <w:r>
        <w:rPr>
          <w:rFonts w:ascii="宋体" w:hAnsi="宋体" w:eastAsia="宋体" w:cs="宋体"/>
          <w:spacing w:val="1"/>
          <w:sz w:val="24"/>
          <w:szCs w:val="24"/>
        </w:rPr>
        <w:t>池处理</w:t>
      </w:r>
      <w:r>
        <w:rPr>
          <w:rFonts w:ascii="宋体" w:hAnsi="宋体" w:eastAsia="宋体" w:cs="宋体"/>
          <w:sz w:val="24"/>
          <w:szCs w:val="24"/>
        </w:rPr>
        <w:t>后，由</w:t>
      </w:r>
      <w:r>
        <w:rPr>
          <w:rFonts w:ascii="Times New Roman" w:hAnsi="Times New Roman" w:eastAsia="Times New Roman" w:cs="Times New Roman"/>
          <w:sz w:val="24"/>
          <w:szCs w:val="24"/>
        </w:rPr>
        <w:t>1</w:t>
      </w:r>
      <w:r>
        <w:rPr>
          <w:rFonts w:ascii="宋体" w:hAnsi="宋体" w:eastAsia="宋体" w:cs="宋体"/>
          <w:sz w:val="24"/>
          <w:szCs w:val="24"/>
        </w:rPr>
        <w:t>根</w:t>
      </w:r>
      <w:r>
        <w:rPr>
          <w:rFonts w:ascii="Times New Roman" w:hAnsi="Times New Roman" w:eastAsia="Times New Roman" w:cs="Times New Roman"/>
          <w:sz w:val="24"/>
          <w:szCs w:val="24"/>
        </w:rPr>
        <w:t>15m</w:t>
      </w:r>
      <w:r>
        <w:rPr>
          <w:rFonts w:ascii="宋体" w:hAnsi="宋体" w:eastAsia="宋体" w:cs="宋体"/>
          <w:sz w:val="24"/>
          <w:szCs w:val="24"/>
        </w:rPr>
        <w:t>排气筒（</w:t>
      </w:r>
      <w:r>
        <w:rPr>
          <w:rFonts w:ascii="Times New Roman" w:hAnsi="Times New Roman" w:eastAsia="Times New Roman" w:cs="Times New Roman"/>
          <w:sz w:val="24"/>
          <w:szCs w:val="24"/>
        </w:rPr>
        <w:t>DA002</w:t>
      </w:r>
      <w:r>
        <w:rPr>
          <w:rFonts w:ascii="宋体" w:hAnsi="宋体" w:eastAsia="宋体" w:cs="宋体"/>
          <w:sz w:val="24"/>
          <w:szCs w:val="24"/>
        </w:rPr>
        <w:t>）排放，堆粪棚密闭区域约</w:t>
      </w:r>
      <w:r>
        <w:rPr>
          <w:rFonts w:ascii="Times New Roman" w:hAnsi="Times New Roman" w:eastAsia="Times New Roman" w:cs="Times New Roman"/>
          <w:sz w:val="24"/>
          <w:szCs w:val="24"/>
        </w:rPr>
        <w:t>1000m</w:t>
      </w:r>
      <w:r>
        <w:rPr>
          <w:rFonts w:ascii="Times New Roman" w:hAnsi="Times New Roman" w:eastAsia="Times New Roman" w:cs="Times New Roman"/>
          <w:position w:val="10"/>
          <w:sz w:val="15"/>
          <w:szCs w:val="15"/>
        </w:rPr>
        <w:t xml:space="preserve">3 </w:t>
      </w:r>
      <w:r>
        <w:rPr>
          <w:rFonts w:ascii="宋体" w:hAnsi="宋体" w:eastAsia="宋体" w:cs="宋体"/>
          <w:sz w:val="24"/>
          <w:szCs w:val="24"/>
        </w:rPr>
        <w:t>，换气次数不低于</w:t>
      </w:r>
      <w:r>
        <w:rPr>
          <w:rFonts w:ascii="Times New Roman" w:hAnsi="Times New Roman" w:eastAsia="Times New Roman" w:cs="Times New Roman"/>
          <w:sz w:val="24"/>
          <w:szCs w:val="24"/>
        </w:rPr>
        <w:t>6</w:t>
      </w:r>
      <w:r>
        <w:rPr>
          <w:rFonts w:ascii="宋体" w:hAnsi="宋体" w:eastAsia="宋体" w:cs="宋体"/>
          <w:sz w:val="24"/>
          <w:szCs w:val="24"/>
        </w:rPr>
        <w:t>次</w:t>
      </w:r>
      <w:r>
        <w:rPr>
          <w:rFonts w:ascii="Times New Roman" w:hAnsi="Times New Roman" w:eastAsia="Times New Roman" w:cs="Times New Roman"/>
          <w:sz w:val="24"/>
          <w:szCs w:val="24"/>
        </w:rPr>
        <w:t>/h</w:t>
      </w:r>
      <w:r>
        <w:rPr>
          <w:rFonts w:ascii="宋体" w:hAnsi="宋体" w:eastAsia="宋体" w:cs="宋体"/>
          <w:sz w:val="24"/>
          <w:szCs w:val="24"/>
        </w:rPr>
        <w:t>，则堆粪棚废气收集风量为</w:t>
      </w:r>
      <w:r>
        <w:rPr>
          <w:rFonts w:ascii="Times New Roman" w:hAnsi="Times New Roman" w:eastAsia="Times New Roman" w:cs="Times New Roman"/>
          <w:sz w:val="24"/>
          <w:szCs w:val="24"/>
        </w:rPr>
        <w:t>6000m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w:t>
      </w:r>
    </w:p>
    <w:p w14:paraId="3D0A6C0F">
      <w:pPr>
        <w:spacing w:before="9" w:line="361" w:lineRule="auto"/>
        <w:ind w:left="39" w:right="30" w:firstLine="503"/>
        <w:jc w:val="both"/>
        <w:rPr>
          <w:rFonts w:ascii="宋体" w:hAnsi="宋体" w:eastAsia="宋体" w:cs="宋体"/>
          <w:sz w:val="24"/>
          <w:szCs w:val="24"/>
        </w:rPr>
      </w:pPr>
      <w:r>
        <w:rPr>
          <w:rFonts w:ascii="宋体" w:hAnsi="宋体" w:eastAsia="宋体" w:cs="宋体"/>
          <w:spacing w:val="-1"/>
          <w:sz w:val="24"/>
          <w:szCs w:val="24"/>
        </w:rPr>
        <w:t>同时，堆粪棚、污水处理站产臭单元喷洒复合微生物除臭剂，对</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7"/>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的去除效率约</w:t>
      </w:r>
      <w:r>
        <w:rPr>
          <w:rFonts w:ascii="Times New Roman" w:hAnsi="Times New Roman" w:eastAsia="Times New Roman" w:cs="Times New Roman"/>
          <w:spacing w:val="-1"/>
          <w:sz w:val="24"/>
          <w:szCs w:val="24"/>
        </w:rPr>
        <w:t>60%</w:t>
      </w:r>
      <w:r>
        <w:rPr>
          <w:rFonts w:ascii="宋体" w:hAnsi="宋体" w:eastAsia="宋体" w:cs="宋体"/>
          <w:spacing w:val="-1"/>
          <w:sz w:val="24"/>
          <w:szCs w:val="24"/>
        </w:rPr>
        <w:t>，堆粪棚、污水处理站的废气收集效率按</w:t>
      </w:r>
      <w:r>
        <w:rPr>
          <w:rFonts w:ascii="Times New Roman" w:hAnsi="Times New Roman" w:eastAsia="Times New Roman" w:cs="Times New Roman"/>
          <w:spacing w:val="-1"/>
          <w:sz w:val="24"/>
          <w:szCs w:val="24"/>
        </w:rPr>
        <w:t>95%</w:t>
      </w:r>
      <w:r>
        <w:rPr>
          <w:rFonts w:ascii="宋体" w:hAnsi="宋体" w:eastAsia="宋体" w:cs="宋体"/>
          <w:spacing w:val="-1"/>
          <w:sz w:val="24"/>
          <w:szCs w:val="24"/>
        </w:rPr>
        <w:t>计，生物滤池除</w:t>
      </w:r>
      <w:r>
        <w:rPr>
          <w:rFonts w:ascii="宋体" w:hAnsi="宋体" w:eastAsia="宋体" w:cs="宋体"/>
          <w:spacing w:val="-2"/>
          <w:sz w:val="24"/>
          <w:szCs w:val="24"/>
        </w:rPr>
        <w:t>臭效率为</w:t>
      </w:r>
      <w:r>
        <w:rPr>
          <w:rFonts w:ascii="Times New Roman" w:hAnsi="Times New Roman" w:eastAsia="Times New Roman" w:cs="Times New Roman"/>
          <w:spacing w:val="-2"/>
          <w:sz w:val="24"/>
          <w:szCs w:val="24"/>
        </w:rPr>
        <w:t>90%</w:t>
      </w:r>
      <w:r>
        <w:rPr>
          <w:rFonts w:ascii="宋体" w:hAnsi="宋体" w:eastAsia="宋体" w:cs="宋体"/>
          <w:spacing w:val="-2"/>
          <w:sz w:val="24"/>
          <w:szCs w:val="24"/>
        </w:rPr>
        <w:t>。</w:t>
      </w:r>
    </w:p>
    <w:p w14:paraId="5FA14132">
      <w:pPr>
        <w:spacing w:before="20" w:line="456" w:lineRule="exact"/>
        <w:ind w:firstLine="1204"/>
      </w:pPr>
      <w:r>
        <w:rPr>
          <w:position w:val="-9"/>
        </w:rPr>
        <w:drawing>
          <wp:inline distT="0" distB="0" distL="0" distR="0">
            <wp:extent cx="3783330" cy="28956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556"/>
                    <a:stretch>
                      <a:fillRect/>
                    </a:stretch>
                  </pic:blipFill>
                  <pic:spPr>
                    <a:xfrm>
                      <a:off x="0" y="0"/>
                      <a:ext cx="3783545" cy="289776"/>
                    </a:xfrm>
                    <a:prstGeom prst="rect">
                      <a:avLst/>
                    </a:prstGeom>
                  </pic:spPr>
                </pic:pic>
              </a:graphicData>
            </a:graphic>
          </wp:inline>
        </w:drawing>
      </w:r>
    </w:p>
    <w:p w14:paraId="3010933B">
      <w:pPr>
        <w:pStyle w:val="2"/>
        <w:spacing w:line="285" w:lineRule="auto"/>
      </w:pPr>
    </w:p>
    <w:p w14:paraId="5F8DEF33">
      <w:pPr>
        <w:spacing w:before="1" w:line="456" w:lineRule="exact"/>
        <w:ind w:firstLine="1204"/>
      </w:pPr>
      <w:r>
        <w:rPr>
          <w:position w:val="-9"/>
        </w:rPr>
        <w:drawing>
          <wp:inline distT="0" distB="0" distL="0" distR="0">
            <wp:extent cx="3783330" cy="28956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557"/>
                    <a:stretch>
                      <a:fillRect/>
                    </a:stretch>
                  </pic:blipFill>
                  <pic:spPr>
                    <a:xfrm>
                      <a:off x="0" y="0"/>
                      <a:ext cx="3783545" cy="289775"/>
                    </a:xfrm>
                    <a:prstGeom prst="rect">
                      <a:avLst/>
                    </a:prstGeom>
                  </pic:spPr>
                </pic:pic>
              </a:graphicData>
            </a:graphic>
          </wp:inline>
        </w:drawing>
      </w:r>
    </w:p>
    <w:p w14:paraId="07381E4E">
      <w:pPr>
        <w:spacing w:before="156" w:line="222" w:lineRule="auto"/>
        <w:ind w:left="2803"/>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7"/>
          <w:sz w:val="21"/>
          <w:szCs w:val="21"/>
        </w:rPr>
        <w:t xml:space="preserve"> </w:t>
      </w:r>
      <w:r>
        <w:rPr>
          <w:rFonts w:ascii="Times New Roman" w:hAnsi="Times New Roman" w:eastAsia="Times New Roman" w:cs="Times New Roman"/>
          <w:spacing w:val="-2"/>
          <w:sz w:val="21"/>
          <w:szCs w:val="21"/>
        </w:rPr>
        <w:t xml:space="preserve">2.2-11  </w:t>
      </w:r>
      <w:r>
        <w:rPr>
          <w:rFonts w:ascii="黑体" w:hAnsi="黑体" w:eastAsia="黑体" w:cs="黑体"/>
          <w:spacing w:val="-2"/>
          <w:sz w:val="21"/>
          <w:szCs w:val="21"/>
        </w:rPr>
        <w:t>恶臭气体处理示意图</w:t>
      </w:r>
    </w:p>
    <w:p w14:paraId="53C9FF2B">
      <w:pPr>
        <w:spacing w:before="201" w:line="220" w:lineRule="auto"/>
        <w:ind w:left="516"/>
        <w:rPr>
          <w:rFonts w:ascii="宋体" w:hAnsi="宋体" w:eastAsia="宋体" w:cs="宋体"/>
          <w:sz w:val="24"/>
          <w:szCs w:val="24"/>
        </w:rPr>
      </w:pP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）污染物产排情况</w:t>
      </w:r>
    </w:p>
    <w:p w14:paraId="2832377E">
      <w:pPr>
        <w:spacing w:before="183" w:line="219" w:lineRule="auto"/>
        <w:ind w:left="520"/>
        <w:rPr>
          <w:rFonts w:ascii="宋体" w:hAnsi="宋体" w:eastAsia="宋体" w:cs="宋体"/>
          <w:sz w:val="24"/>
          <w:szCs w:val="24"/>
        </w:rPr>
      </w:pPr>
      <w:r>
        <w:rPr>
          <w:rFonts w:ascii="宋体" w:hAnsi="宋体" w:eastAsia="宋体" w:cs="宋体"/>
          <w:spacing w:val="-3"/>
          <w:sz w:val="24"/>
          <w:szCs w:val="24"/>
        </w:rPr>
        <w:t>本项目恶臭污染物产排情况见下表。</w:t>
      </w:r>
    </w:p>
    <w:p w14:paraId="6E57DC1E">
      <w:pPr>
        <w:spacing w:line="219" w:lineRule="auto"/>
        <w:rPr>
          <w:rFonts w:ascii="宋体" w:hAnsi="宋体" w:eastAsia="宋体" w:cs="宋体"/>
          <w:sz w:val="24"/>
          <w:szCs w:val="24"/>
        </w:rPr>
        <w:sectPr>
          <w:headerReference r:id="rId207" w:type="default"/>
          <w:footerReference r:id="rId208" w:type="default"/>
          <w:pgSz w:w="11905" w:h="16840"/>
          <w:pgMar w:top="1168" w:right="1768" w:bottom="1408" w:left="1770" w:header="828" w:footer="1244" w:gutter="0"/>
          <w:cols w:space="720" w:num="1"/>
        </w:sectPr>
      </w:pPr>
    </w:p>
    <w:p w14:paraId="1C398C53">
      <w:pPr>
        <w:pStyle w:val="2"/>
        <w:spacing w:line="329" w:lineRule="auto"/>
      </w:pPr>
    </w:p>
    <w:p w14:paraId="6390AFD0">
      <w:pPr>
        <w:spacing w:before="68" w:line="222" w:lineRule="auto"/>
        <w:ind w:left="261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2.2-10  </w:t>
      </w:r>
      <w:r>
        <w:rPr>
          <w:rFonts w:ascii="黑体" w:hAnsi="黑体" w:eastAsia="黑体" w:cs="黑体"/>
          <w:spacing w:val="-1"/>
          <w:sz w:val="21"/>
          <w:szCs w:val="21"/>
        </w:rPr>
        <w:t>项目恶臭污染产排情况表</w:t>
      </w:r>
    </w:p>
    <w:p w14:paraId="350AB80D">
      <w:pPr>
        <w:spacing w:line="87" w:lineRule="exact"/>
      </w:pPr>
    </w:p>
    <w:tbl>
      <w:tblPr>
        <w:tblStyle w:val="5"/>
        <w:tblW w:w="8330"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705"/>
        <w:gridCol w:w="579"/>
        <w:gridCol w:w="2974"/>
        <w:gridCol w:w="707"/>
        <w:gridCol w:w="850"/>
        <w:gridCol w:w="746"/>
        <w:gridCol w:w="907"/>
      </w:tblGrid>
      <w:tr w14:paraId="259CD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62" w:type="dxa"/>
            <w:vMerge w:val="restart"/>
            <w:tcBorders>
              <w:bottom w:val="nil"/>
            </w:tcBorders>
            <w:vAlign w:val="top"/>
          </w:tcPr>
          <w:p w14:paraId="2DADADD8">
            <w:pPr>
              <w:spacing w:line="315" w:lineRule="auto"/>
              <w:rPr>
                <w:rFonts w:ascii="Arial"/>
                <w:sz w:val="21"/>
              </w:rPr>
            </w:pPr>
          </w:p>
          <w:p w14:paraId="1EE21EC8">
            <w:pPr>
              <w:spacing w:before="68" w:line="220" w:lineRule="auto"/>
              <w:ind w:left="122"/>
              <w:rPr>
                <w:rFonts w:ascii="宋体" w:hAnsi="宋体" w:eastAsia="宋体" w:cs="宋体"/>
                <w:sz w:val="21"/>
                <w:szCs w:val="21"/>
              </w:rPr>
            </w:pPr>
            <w:r>
              <w:rPr>
                <w:rFonts w:ascii="宋体" w:hAnsi="宋体" w:eastAsia="宋体" w:cs="宋体"/>
                <w:spacing w:val="-3"/>
                <w:sz w:val="21"/>
                <w:szCs w:val="21"/>
              </w:rPr>
              <w:t>恶臭源</w:t>
            </w:r>
          </w:p>
        </w:tc>
        <w:tc>
          <w:tcPr>
            <w:tcW w:w="705" w:type="dxa"/>
            <w:vMerge w:val="restart"/>
            <w:tcBorders>
              <w:bottom w:val="nil"/>
            </w:tcBorders>
            <w:vAlign w:val="top"/>
          </w:tcPr>
          <w:p w14:paraId="564A5AEE">
            <w:pPr>
              <w:spacing w:line="315" w:lineRule="auto"/>
              <w:rPr>
                <w:rFonts w:ascii="Arial"/>
                <w:sz w:val="21"/>
              </w:rPr>
            </w:pPr>
          </w:p>
          <w:p w14:paraId="03C0B532">
            <w:pPr>
              <w:spacing w:before="69" w:line="220" w:lineRule="auto"/>
              <w:ind w:left="42"/>
              <w:rPr>
                <w:rFonts w:ascii="宋体" w:hAnsi="宋体" w:eastAsia="宋体" w:cs="宋体"/>
                <w:sz w:val="21"/>
                <w:szCs w:val="21"/>
              </w:rPr>
            </w:pPr>
            <w:r>
              <w:rPr>
                <w:rFonts w:ascii="宋体" w:hAnsi="宋体" w:eastAsia="宋体" w:cs="宋体"/>
                <w:spacing w:val="-3"/>
                <w:sz w:val="21"/>
                <w:szCs w:val="21"/>
              </w:rPr>
              <w:t>污染物</w:t>
            </w:r>
          </w:p>
        </w:tc>
        <w:tc>
          <w:tcPr>
            <w:tcW w:w="579" w:type="dxa"/>
            <w:vMerge w:val="restart"/>
            <w:tcBorders>
              <w:bottom w:val="nil"/>
            </w:tcBorders>
            <w:vAlign w:val="top"/>
          </w:tcPr>
          <w:p w14:paraId="3D87B45E">
            <w:pPr>
              <w:spacing w:before="73" w:line="220" w:lineRule="auto"/>
              <w:ind w:left="83"/>
              <w:rPr>
                <w:rFonts w:ascii="宋体" w:hAnsi="宋体" w:eastAsia="宋体" w:cs="宋体"/>
                <w:sz w:val="21"/>
                <w:szCs w:val="21"/>
              </w:rPr>
            </w:pPr>
            <w:r>
              <w:rPr>
                <w:rFonts w:ascii="宋体" w:hAnsi="宋体" w:eastAsia="宋体" w:cs="宋体"/>
                <w:spacing w:val="-3"/>
                <w:sz w:val="21"/>
                <w:szCs w:val="21"/>
              </w:rPr>
              <w:t>产生</w:t>
            </w:r>
          </w:p>
          <w:p w14:paraId="41FEB5A6">
            <w:pPr>
              <w:pStyle w:val="6"/>
              <w:spacing w:before="62" w:line="274" w:lineRule="auto"/>
              <w:ind w:left="118" w:right="78" w:hanging="34"/>
            </w:pPr>
            <w:r>
              <w:rPr>
                <w:rFonts w:ascii="宋体" w:hAnsi="宋体" w:eastAsia="宋体" w:cs="宋体"/>
                <w:spacing w:val="-5"/>
              </w:rPr>
              <w:t>情况</w:t>
            </w:r>
            <w:r>
              <w:rPr>
                <w:spacing w:val="-2"/>
              </w:rPr>
              <w:t>(t/a)</w:t>
            </w:r>
          </w:p>
        </w:tc>
        <w:tc>
          <w:tcPr>
            <w:tcW w:w="2974" w:type="dxa"/>
            <w:vMerge w:val="restart"/>
            <w:tcBorders>
              <w:bottom w:val="nil"/>
            </w:tcBorders>
            <w:vAlign w:val="top"/>
          </w:tcPr>
          <w:p w14:paraId="7E2FDC0D">
            <w:pPr>
              <w:spacing w:line="315" w:lineRule="auto"/>
              <w:rPr>
                <w:rFonts w:ascii="Arial"/>
                <w:sz w:val="21"/>
              </w:rPr>
            </w:pPr>
          </w:p>
          <w:p w14:paraId="14FAFD02">
            <w:pPr>
              <w:spacing w:before="69" w:line="220" w:lineRule="auto"/>
              <w:ind w:left="1078"/>
              <w:rPr>
                <w:rFonts w:ascii="宋体" w:hAnsi="宋体" w:eastAsia="宋体" w:cs="宋体"/>
                <w:sz w:val="21"/>
                <w:szCs w:val="21"/>
              </w:rPr>
            </w:pPr>
            <w:r>
              <w:rPr>
                <w:rFonts w:ascii="宋体" w:hAnsi="宋体" w:eastAsia="宋体" w:cs="宋体"/>
                <w:spacing w:val="-3"/>
                <w:sz w:val="21"/>
                <w:szCs w:val="21"/>
              </w:rPr>
              <w:t>治理措施</w:t>
            </w:r>
          </w:p>
        </w:tc>
        <w:tc>
          <w:tcPr>
            <w:tcW w:w="1557" w:type="dxa"/>
            <w:gridSpan w:val="2"/>
            <w:vAlign w:val="top"/>
          </w:tcPr>
          <w:p w14:paraId="6235BD8C">
            <w:pPr>
              <w:spacing w:before="69" w:line="220" w:lineRule="auto"/>
              <w:ind w:left="472"/>
              <w:rPr>
                <w:rFonts w:ascii="宋体" w:hAnsi="宋体" w:eastAsia="宋体" w:cs="宋体"/>
                <w:sz w:val="21"/>
                <w:szCs w:val="21"/>
              </w:rPr>
            </w:pPr>
            <w:r>
              <w:rPr>
                <w:rFonts w:ascii="宋体" w:hAnsi="宋体" w:eastAsia="宋体" w:cs="宋体"/>
                <w:spacing w:val="-3"/>
                <w:sz w:val="21"/>
                <w:szCs w:val="21"/>
              </w:rPr>
              <w:t>有组织</w:t>
            </w:r>
          </w:p>
        </w:tc>
        <w:tc>
          <w:tcPr>
            <w:tcW w:w="1653" w:type="dxa"/>
            <w:gridSpan w:val="2"/>
            <w:vAlign w:val="top"/>
          </w:tcPr>
          <w:p w14:paraId="3BAA32AD">
            <w:pPr>
              <w:spacing w:before="69" w:line="220" w:lineRule="auto"/>
              <w:ind w:left="518"/>
              <w:rPr>
                <w:rFonts w:ascii="宋体" w:hAnsi="宋体" w:eastAsia="宋体" w:cs="宋体"/>
                <w:sz w:val="21"/>
                <w:szCs w:val="21"/>
              </w:rPr>
            </w:pPr>
            <w:r>
              <w:rPr>
                <w:rFonts w:ascii="宋体" w:hAnsi="宋体" w:eastAsia="宋体" w:cs="宋体"/>
                <w:spacing w:val="-3"/>
                <w:sz w:val="21"/>
                <w:szCs w:val="21"/>
              </w:rPr>
              <w:t>无组织</w:t>
            </w:r>
          </w:p>
        </w:tc>
      </w:tr>
      <w:tr w14:paraId="782C9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2" w:type="dxa"/>
            <w:vMerge w:val="continue"/>
            <w:tcBorders>
              <w:top w:val="nil"/>
            </w:tcBorders>
            <w:vAlign w:val="top"/>
          </w:tcPr>
          <w:p w14:paraId="5E8C9E4A">
            <w:pPr>
              <w:rPr>
                <w:rFonts w:ascii="Arial"/>
                <w:sz w:val="21"/>
              </w:rPr>
            </w:pPr>
          </w:p>
        </w:tc>
        <w:tc>
          <w:tcPr>
            <w:tcW w:w="705" w:type="dxa"/>
            <w:vMerge w:val="continue"/>
            <w:tcBorders>
              <w:top w:val="nil"/>
            </w:tcBorders>
            <w:vAlign w:val="top"/>
          </w:tcPr>
          <w:p w14:paraId="1FAE37C3">
            <w:pPr>
              <w:rPr>
                <w:rFonts w:ascii="Arial"/>
                <w:sz w:val="21"/>
              </w:rPr>
            </w:pPr>
          </w:p>
        </w:tc>
        <w:tc>
          <w:tcPr>
            <w:tcW w:w="579" w:type="dxa"/>
            <w:vMerge w:val="continue"/>
            <w:tcBorders>
              <w:top w:val="nil"/>
            </w:tcBorders>
            <w:vAlign w:val="top"/>
          </w:tcPr>
          <w:p w14:paraId="6631E39F">
            <w:pPr>
              <w:rPr>
                <w:rFonts w:ascii="Arial"/>
                <w:sz w:val="21"/>
              </w:rPr>
            </w:pPr>
          </w:p>
        </w:tc>
        <w:tc>
          <w:tcPr>
            <w:tcW w:w="2974" w:type="dxa"/>
            <w:vMerge w:val="continue"/>
            <w:tcBorders>
              <w:top w:val="nil"/>
            </w:tcBorders>
            <w:vAlign w:val="top"/>
          </w:tcPr>
          <w:p w14:paraId="6CDA162F">
            <w:pPr>
              <w:rPr>
                <w:rFonts w:ascii="Arial"/>
                <w:sz w:val="21"/>
              </w:rPr>
            </w:pPr>
          </w:p>
        </w:tc>
        <w:tc>
          <w:tcPr>
            <w:tcW w:w="707" w:type="dxa"/>
            <w:vAlign w:val="top"/>
          </w:tcPr>
          <w:p w14:paraId="5B5B9806">
            <w:pPr>
              <w:pStyle w:val="6"/>
              <w:spacing w:before="49" w:line="265" w:lineRule="auto"/>
              <w:ind w:left="185" w:right="34" w:hanging="140"/>
            </w:pPr>
            <w:r>
              <w:rPr>
                <w:rFonts w:ascii="宋体" w:hAnsi="宋体" w:eastAsia="宋体" w:cs="宋体"/>
                <w:spacing w:val="-3"/>
              </w:rPr>
              <w:t>排放量</w:t>
            </w:r>
            <w:r>
              <w:rPr>
                <w:spacing w:val="-2"/>
              </w:rPr>
              <w:t>(t/a)</w:t>
            </w:r>
          </w:p>
        </w:tc>
        <w:tc>
          <w:tcPr>
            <w:tcW w:w="850" w:type="dxa"/>
            <w:vAlign w:val="top"/>
          </w:tcPr>
          <w:p w14:paraId="42F506F2">
            <w:pPr>
              <w:pStyle w:val="6"/>
              <w:spacing w:before="49" w:line="265" w:lineRule="auto"/>
              <w:ind w:left="174" w:right="1" w:hanging="163"/>
            </w:pPr>
            <w:r>
              <w:rPr>
                <w:rFonts w:ascii="宋体" w:hAnsi="宋体" w:eastAsia="宋体" w:cs="宋体"/>
                <w:spacing w:val="-3"/>
              </w:rPr>
              <w:t>排放速率</w:t>
            </w:r>
            <w:r>
              <w:rPr>
                <w:spacing w:val="-2"/>
              </w:rPr>
              <w:t>(kg/h)</w:t>
            </w:r>
          </w:p>
        </w:tc>
        <w:tc>
          <w:tcPr>
            <w:tcW w:w="746" w:type="dxa"/>
            <w:vAlign w:val="top"/>
          </w:tcPr>
          <w:p w14:paraId="26BCBE9D">
            <w:pPr>
              <w:pStyle w:val="6"/>
              <w:spacing w:before="49" w:line="265" w:lineRule="auto"/>
              <w:ind w:left="205" w:right="53" w:hanging="140"/>
            </w:pPr>
            <w:r>
              <w:rPr>
                <w:rFonts w:ascii="宋体" w:hAnsi="宋体" w:eastAsia="宋体" w:cs="宋体"/>
                <w:spacing w:val="-3"/>
              </w:rPr>
              <w:t>排放量</w:t>
            </w:r>
            <w:r>
              <w:rPr>
                <w:spacing w:val="-2"/>
              </w:rPr>
              <w:t>(t/a)</w:t>
            </w:r>
          </w:p>
        </w:tc>
        <w:tc>
          <w:tcPr>
            <w:tcW w:w="907" w:type="dxa"/>
            <w:vAlign w:val="top"/>
          </w:tcPr>
          <w:p w14:paraId="74668759">
            <w:pPr>
              <w:pStyle w:val="6"/>
              <w:spacing w:before="49" w:line="265" w:lineRule="auto"/>
              <w:ind w:left="202" w:right="30" w:hanging="163"/>
            </w:pPr>
            <w:r>
              <w:rPr>
                <w:rFonts w:ascii="宋体" w:hAnsi="宋体" w:eastAsia="宋体" w:cs="宋体"/>
                <w:spacing w:val="-3"/>
              </w:rPr>
              <w:t>排放速率</w:t>
            </w:r>
            <w:r>
              <w:rPr>
                <w:spacing w:val="-2"/>
              </w:rPr>
              <w:t>(kg/h)</w:t>
            </w:r>
          </w:p>
        </w:tc>
      </w:tr>
      <w:tr w14:paraId="4A377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862" w:type="dxa"/>
            <w:vMerge w:val="restart"/>
            <w:tcBorders>
              <w:bottom w:val="nil"/>
            </w:tcBorders>
            <w:vAlign w:val="top"/>
          </w:tcPr>
          <w:p w14:paraId="5CC8F783">
            <w:pPr>
              <w:spacing w:line="447" w:lineRule="auto"/>
              <w:rPr>
                <w:rFonts w:ascii="Arial"/>
                <w:sz w:val="21"/>
              </w:rPr>
            </w:pPr>
          </w:p>
          <w:p w14:paraId="106BD0A9">
            <w:pPr>
              <w:spacing w:before="69" w:line="220" w:lineRule="auto"/>
              <w:ind w:left="226"/>
              <w:rPr>
                <w:rFonts w:ascii="宋体" w:hAnsi="宋体" w:eastAsia="宋体" w:cs="宋体"/>
                <w:sz w:val="21"/>
                <w:szCs w:val="21"/>
              </w:rPr>
            </w:pPr>
            <w:r>
              <w:rPr>
                <w:rFonts w:ascii="宋体" w:hAnsi="宋体" w:eastAsia="宋体" w:cs="宋体"/>
                <w:spacing w:val="-3"/>
                <w:sz w:val="21"/>
                <w:szCs w:val="21"/>
              </w:rPr>
              <w:t>猪舍</w:t>
            </w:r>
          </w:p>
        </w:tc>
        <w:tc>
          <w:tcPr>
            <w:tcW w:w="705" w:type="dxa"/>
            <w:vAlign w:val="top"/>
          </w:tcPr>
          <w:p w14:paraId="70796572">
            <w:pPr>
              <w:pStyle w:val="6"/>
              <w:spacing w:before="204" w:line="195" w:lineRule="auto"/>
              <w:ind w:left="158"/>
              <w:rPr>
                <w:sz w:val="14"/>
                <w:szCs w:val="14"/>
              </w:rPr>
            </w:pPr>
            <w:r>
              <w:t>NH</w:t>
            </w:r>
            <w:r>
              <w:rPr>
                <w:spacing w:val="1"/>
                <w:position w:val="-2"/>
                <w:sz w:val="14"/>
                <w:szCs w:val="14"/>
              </w:rPr>
              <w:t>3</w:t>
            </w:r>
          </w:p>
        </w:tc>
        <w:tc>
          <w:tcPr>
            <w:tcW w:w="579" w:type="dxa"/>
            <w:vAlign w:val="top"/>
          </w:tcPr>
          <w:p w14:paraId="31D7F63A">
            <w:pPr>
              <w:pStyle w:val="6"/>
              <w:spacing w:before="201" w:line="188" w:lineRule="auto"/>
              <w:ind w:left="59"/>
            </w:pPr>
            <w:r>
              <w:rPr>
                <w:spacing w:val="-2"/>
              </w:rPr>
              <w:t>5.680</w:t>
            </w:r>
          </w:p>
        </w:tc>
        <w:tc>
          <w:tcPr>
            <w:tcW w:w="2974" w:type="dxa"/>
            <w:vMerge w:val="restart"/>
            <w:tcBorders>
              <w:bottom w:val="nil"/>
            </w:tcBorders>
            <w:vAlign w:val="top"/>
          </w:tcPr>
          <w:p w14:paraId="7B526F15">
            <w:pPr>
              <w:pStyle w:val="6"/>
              <w:spacing w:before="49" w:line="262" w:lineRule="auto"/>
              <w:ind w:left="9"/>
              <w:jc w:val="both"/>
              <w:rPr>
                <w:rFonts w:ascii="宋体" w:hAnsi="宋体" w:eastAsia="宋体" w:cs="宋体"/>
              </w:rPr>
            </w:pPr>
            <w:r>
              <w:rPr>
                <w:rFonts w:ascii="宋体" w:hAnsi="宋体" w:eastAsia="宋体" w:cs="宋体"/>
                <w:spacing w:val="-1"/>
              </w:rPr>
              <w:t>猪舍喷洒除臭剂</w:t>
            </w:r>
            <w:r>
              <w:rPr>
                <w:spacing w:val="-1"/>
              </w:rPr>
              <w:t>+</w:t>
            </w:r>
            <w:r>
              <w:rPr>
                <w:rFonts w:ascii="宋体" w:hAnsi="宋体" w:eastAsia="宋体" w:cs="宋体"/>
                <w:spacing w:val="-1"/>
              </w:rPr>
              <w:t>优化养殖饲料</w:t>
            </w:r>
            <w:r>
              <w:rPr>
                <w:spacing w:val="-1"/>
              </w:rPr>
              <w:t>+</w:t>
            </w:r>
            <w:r>
              <w:rPr>
                <w:rFonts w:ascii="宋体" w:hAnsi="宋体" w:eastAsia="宋体" w:cs="宋体"/>
                <w:spacing w:val="7"/>
              </w:rPr>
              <w:t>猪舍水帘通风</w:t>
            </w:r>
            <w:r>
              <w:rPr>
                <w:spacing w:val="7"/>
              </w:rPr>
              <w:t>+</w:t>
            </w:r>
            <w:r>
              <w:rPr>
                <w:rFonts w:ascii="宋体" w:hAnsi="宋体" w:eastAsia="宋体" w:cs="宋体"/>
                <w:spacing w:val="7"/>
              </w:rPr>
              <w:t>猪舍出风口生物喷雾除臭，</w:t>
            </w:r>
            <w:r>
              <w:rPr>
                <w:rFonts w:ascii="宋体" w:hAnsi="宋体" w:eastAsia="宋体" w:cs="宋体"/>
                <w:spacing w:val="-17"/>
              </w:rPr>
              <w:t xml:space="preserve"> </w:t>
            </w:r>
            <w:r>
              <w:t>NH</w:t>
            </w:r>
            <w:r>
              <w:rPr>
                <w:spacing w:val="7"/>
                <w:position w:val="-2"/>
                <w:sz w:val="14"/>
                <w:szCs w:val="14"/>
              </w:rPr>
              <w:t>3</w:t>
            </w:r>
            <w:r>
              <w:rPr>
                <w:spacing w:val="15"/>
                <w:w w:val="102"/>
                <w:position w:val="-2"/>
                <w:sz w:val="14"/>
                <w:szCs w:val="14"/>
              </w:rPr>
              <w:t xml:space="preserve">  </w:t>
            </w:r>
            <w:r>
              <w:rPr>
                <w:rFonts w:ascii="宋体" w:hAnsi="宋体" w:eastAsia="宋体" w:cs="宋体"/>
                <w:spacing w:val="7"/>
              </w:rPr>
              <w:t>综合去除效率</w:t>
            </w:r>
            <w:r>
              <w:rPr>
                <w:spacing w:val="-3"/>
              </w:rPr>
              <w:t>86%</w:t>
            </w:r>
            <w:r>
              <w:rPr>
                <w:spacing w:val="-16"/>
              </w:rPr>
              <w:t xml:space="preserve"> </w:t>
            </w:r>
            <w:r>
              <w:rPr>
                <w:rFonts w:ascii="宋体" w:hAnsi="宋体" w:eastAsia="宋体" w:cs="宋体"/>
                <w:spacing w:val="-3"/>
              </w:rPr>
              <w:t>、</w:t>
            </w:r>
            <w:r>
              <w:rPr>
                <w:spacing w:val="-3"/>
              </w:rPr>
              <w:t>H</w:t>
            </w:r>
            <w:r>
              <w:rPr>
                <w:spacing w:val="-3"/>
                <w:position w:val="-2"/>
                <w:sz w:val="14"/>
                <w:szCs w:val="14"/>
              </w:rPr>
              <w:t>2</w:t>
            </w:r>
            <w:r>
              <w:rPr>
                <w:spacing w:val="-3"/>
              </w:rPr>
              <w:t xml:space="preserve">S </w:t>
            </w:r>
            <w:r>
              <w:rPr>
                <w:rFonts w:ascii="宋体" w:hAnsi="宋体" w:eastAsia="宋体" w:cs="宋体"/>
                <w:spacing w:val="-3"/>
              </w:rPr>
              <w:t>综合去除效率</w:t>
            </w:r>
            <w:r>
              <w:rPr>
                <w:rFonts w:ascii="宋体" w:hAnsi="宋体" w:eastAsia="宋体" w:cs="宋体"/>
                <w:spacing w:val="-44"/>
              </w:rPr>
              <w:t xml:space="preserve"> </w:t>
            </w:r>
            <w:r>
              <w:rPr>
                <w:spacing w:val="-3"/>
              </w:rPr>
              <w:t>78%</w:t>
            </w:r>
            <w:r>
              <w:rPr>
                <w:rFonts w:ascii="宋体" w:hAnsi="宋体" w:eastAsia="宋体" w:cs="宋体"/>
                <w:spacing w:val="-3"/>
              </w:rPr>
              <w:t>。</w:t>
            </w:r>
          </w:p>
        </w:tc>
        <w:tc>
          <w:tcPr>
            <w:tcW w:w="707" w:type="dxa"/>
            <w:vAlign w:val="top"/>
          </w:tcPr>
          <w:p w14:paraId="4F0557A7">
            <w:pPr>
              <w:pStyle w:val="6"/>
              <w:spacing w:before="197" w:line="192" w:lineRule="auto"/>
              <w:ind w:left="323"/>
            </w:pPr>
            <w:r>
              <w:t>/</w:t>
            </w:r>
          </w:p>
        </w:tc>
        <w:tc>
          <w:tcPr>
            <w:tcW w:w="850" w:type="dxa"/>
            <w:vAlign w:val="top"/>
          </w:tcPr>
          <w:p w14:paraId="2FC253FB">
            <w:pPr>
              <w:pStyle w:val="6"/>
              <w:spacing w:before="197" w:line="192" w:lineRule="auto"/>
              <w:ind w:left="395"/>
            </w:pPr>
            <w:r>
              <w:t>/</w:t>
            </w:r>
          </w:p>
        </w:tc>
        <w:tc>
          <w:tcPr>
            <w:tcW w:w="746" w:type="dxa"/>
            <w:vAlign w:val="top"/>
          </w:tcPr>
          <w:p w14:paraId="0BD904DF">
            <w:pPr>
              <w:pStyle w:val="6"/>
              <w:spacing w:before="201" w:line="188" w:lineRule="auto"/>
              <w:ind w:left="142"/>
            </w:pPr>
            <w:r>
              <w:rPr>
                <w:spacing w:val="-2"/>
              </w:rPr>
              <w:t>0.795</w:t>
            </w:r>
          </w:p>
        </w:tc>
        <w:tc>
          <w:tcPr>
            <w:tcW w:w="907" w:type="dxa"/>
            <w:vAlign w:val="top"/>
          </w:tcPr>
          <w:p w14:paraId="2E8609FA">
            <w:pPr>
              <w:pStyle w:val="6"/>
              <w:spacing w:before="201" w:line="188" w:lineRule="auto"/>
              <w:ind w:left="169"/>
            </w:pPr>
            <w:r>
              <w:rPr>
                <w:spacing w:val="-2"/>
              </w:rPr>
              <w:t>0.0908</w:t>
            </w:r>
          </w:p>
        </w:tc>
      </w:tr>
      <w:tr w14:paraId="06A7A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62" w:type="dxa"/>
            <w:vMerge w:val="continue"/>
            <w:tcBorders>
              <w:top w:val="nil"/>
            </w:tcBorders>
            <w:vAlign w:val="top"/>
          </w:tcPr>
          <w:p w14:paraId="522CEF8B">
            <w:pPr>
              <w:rPr>
                <w:rFonts w:ascii="Arial"/>
                <w:sz w:val="21"/>
              </w:rPr>
            </w:pPr>
          </w:p>
        </w:tc>
        <w:tc>
          <w:tcPr>
            <w:tcW w:w="705" w:type="dxa"/>
            <w:vAlign w:val="top"/>
          </w:tcPr>
          <w:p w14:paraId="3F746722">
            <w:pPr>
              <w:pStyle w:val="6"/>
              <w:spacing w:before="281" w:line="198" w:lineRule="auto"/>
              <w:ind w:left="182"/>
            </w:pPr>
            <w:r>
              <w:rPr>
                <w:spacing w:val="-2"/>
              </w:rPr>
              <w:t>H</w:t>
            </w:r>
            <w:r>
              <w:rPr>
                <w:spacing w:val="-2"/>
                <w:position w:val="-2"/>
                <w:sz w:val="14"/>
                <w:szCs w:val="14"/>
              </w:rPr>
              <w:t>2</w:t>
            </w:r>
            <w:r>
              <w:rPr>
                <w:spacing w:val="-2"/>
              </w:rPr>
              <w:t>S</w:t>
            </w:r>
          </w:p>
        </w:tc>
        <w:tc>
          <w:tcPr>
            <w:tcW w:w="579" w:type="dxa"/>
            <w:vAlign w:val="top"/>
          </w:tcPr>
          <w:p w14:paraId="04353713">
            <w:pPr>
              <w:pStyle w:val="6"/>
              <w:spacing w:before="281" w:line="188" w:lineRule="auto"/>
              <w:ind w:left="56"/>
            </w:pPr>
            <w:r>
              <w:rPr>
                <w:spacing w:val="-2"/>
              </w:rPr>
              <w:t>0.143</w:t>
            </w:r>
          </w:p>
        </w:tc>
        <w:tc>
          <w:tcPr>
            <w:tcW w:w="2974" w:type="dxa"/>
            <w:vMerge w:val="continue"/>
            <w:tcBorders>
              <w:top w:val="nil"/>
            </w:tcBorders>
            <w:vAlign w:val="top"/>
          </w:tcPr>
          <w:p w14:paraId="6459CB54">
            <w:pPr>
              <w:rPr>
                <w:rFonts w:ascii="Arial"/>
                <w:sz w:val="21"/>
              </w:rPr>
            </w:pPr>
          </w:p>
        </w:tc>
        <w:tc>
          <w:tcPr>
            <w:tcW w:w="707" w:type="dxa"/>
            <w:vAlign w:val="top"/>
          </w:tcPr>
          <w:p w14:paraId="56D562CF">
            <w:pPr>
              <w:pStyle w:val="6"/>
              <w:spacing w:before="277" w:line="192" w:lineRule="auto"/>
              <w:ind w:left="323"/>
            </w:pPr>
            <w:r>
              <w:t>/</w:t>
            </w:r>
          </w:p>
        </w:tc>
        <w:tc>
          <w:tcPr>
            <w:tcW w:w="850" w:type="dxa"/>
            <w:vAlign w:val="top"/>
          </w:tcPr>
          <w:p w14:paraId="0D50A568">
            <w:pPr>
              <w:pStyle w:val="6"/>
              <w:spacing w:before="277" w:line="192" w:lineRule="auto"/>
              <w:ind w:left="395"/>
            </w:pPr>
            <w:r>
              <w:t>/</w:t>
            </w:r>
          </w:p>
        </w:tc>
        <w:tc>
          <w:tcPr>
            <w:tcW w:w="746" w:type="dxa"/>
            <w:vAlign w:val="top"/>
          </w:tcPr>
          <w:p w14:paraId="6413E208">
            <w:pPr>
              <w:pStyle w:val="6"/>
              <w:spacing w:before="281" w:line="188" w:lineRule="auto"/>
              <w:ind w:left="142"/>
            </w:pPr>
            <w:r>
              <w:rPr>
                <w:spacing w:val="-2"/>
              </w:rPr>
              <w:t>0.032</w:t>
            </w:r>
          </w:p>
        </w:tc>
        <w:tc>
          <w:tcPr>
            <w:tcW w:w="907" w:type="dxa"/>
            <w:vAlign w:val="top"/>
          </w:tcPr>
          <w:p w14:paraId="237D235F">
            <w:pPr>
              <w:pStyle w:val="6"/>
              <w:spacing w:before="281" w:line="188" w:lineRule="auto"/>
              <w:ind w:left="169"/>
            </w:pPr>
            <w:r>
              <w:rPr>
                <w:spacing w:val="-2"/>
              </w:rPr>
              <w:t>0.0036</w:t>
            </w:r>
          </w:p>
        </w:tc>
      </w:tr>
      <w:tr w14:paraId="43D71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62" w:type="dxa"/>
            <w:vMerge w:val="restart"/>
            <w:tcBorders>
              <w:bottom w:val="nil"/>
            </w:tcBorders>
            <w:vAlign w:val="top"/>
          </w:tcPr>
          <w:p w14:paraId="5E714CC9">
            <w:pPr>
              <w:spacing w:line="449" w:lineRule="auto"/>
              <w:rPr>
                <w:rFonts w:ascii="Arial"/>
                <w:sz w:val="21"/>
              </w:rPr>
            </w:pPr>
          </w:p>
          <w:p w14:paraId="7C0AB208">
            <w:pPr>
              <w:spacing w:before="68" w:line="220" w:lineRule="auto"/>
              <w:ind w:left="122"/>
              <w:rPr>
                <w:rFonts w:ascii="宋体" w:hAnsi="宋体" w:eastAsia="宋体" w:cs="宋体"/>
                <w:sz w:val="21"/>
                <w:szCs w:val="21"/>
              </w:rPr>
            </w:pPr>
            <w:r>
              <w:rPr>
                <w:rFonts w:ascii="宋体" w:hAnsi="宋体" w:eastAsia="宋体" w:cs="宋体"/>
                <w:spacing w:val="-3"/>
                <w:sz w:val="21"/>
                <w:szCs w:val="21"/>
              </w:rPr>
              <w:t>转猪舍</w:t>
            </w:r>
          </w:p>
        </w:tc>
        <w:tc>
          <w:tcPr>
            <w:tcW w:w="705" w:type="dxa"/>
            <w:vAlign w:val="top"/>
          </w:tcPr>
          <w:p w14:paraId="5AAAC342">
            <w:pPr>
              <w:pStyle w:val="6"/>
              <w:spacing w:before="205" w:line="195" w:lineRule="auto"/>
              <w:ind w:left="158"/>
              <w:rPr>
                <w:sz w:val="14"/>
                <w:szCs w:val="14"/>
              </w:rPr>
            </w:pPr>
            <w:r>
              <w:t>NH</w:t>
            </w:r>
            <w:r>
              <w:rPr>
                <w:spacing w:val="1"/>
                <w:position w:val="-2"/>
                <w:sz w:val="14"/>
                <w:szCs w:val="14"/>
              </w:rPr>
              <w:t>3</w:t>
            </w:r>
          </w:p>
        </w:tc>
        <w:tc>
          <w:tcPr>
            <w:tcW w:w="579" w:type="dxa"/>
            <w:vAlign w:val="top"/>
          </w:tcPr>
          <w:p w14:paraId="7EEA6B97">
            <w:pPr>
              <w:pStyle w:val="6"/>
              <w:spacing w:before="202" w:line="188" w:lineRule="auto"/>
              <w:ind w:left="56"/>
            </w:pPr>
            <w:r>
              <w:rPr>
                <w:spacing w:val="-2"/>
              </w:rPr>
              <w:t>0.026</w:t>
            </w:r>
          </w:p>
        </w:tc>
        <w:tc>
          <w:tcPr>
            <w:tcW w:w="2974" w:type="dxa"/>
            <w:vMerge w:val="restart"/>
            <w:tcBorders>
              <w:bottom w:val="nil"/>
            </w:tcBorders>
            <w:vAlign w:val="top"/>
          </w:tcPr>
          <w:p w14:paraId="048E7509">
            <w:pPr>
              <w:pStyle w:val="6"/>
              <w:spacing w:before="50" w:line="262" w:lineRule="auto"/>
              <w:ind w:left="9" w:firstLine="1"/>
              <w:jc w:val="both"/>
              <w:rPr>
                <w:rFonts w:ascii="宋体" w:hAnsi="宋体" w:eastAsia="宋体" w:cs="宋体"/>
              </w:rPr>
            </w:pPr>
            <w:r>
              <w:rPr>
                <w:rFonts w:ascii="宋体" w:hAnsi="宋体" w:eastAsia="宋体" w:cs="宋体"/>
                <w:spacing w:val="-3"/>
              </w:rPr>
              <w:t>转猪舍喷洒除臭剂</w:t>
            </w:r>
            <w:r>
              <w:rPr>
                <w:spacing w:val="-3"/>
              </w:rPr>
              <w:t>+</w:t>
            </w:r>
            <w:r>
              <w:rPr>
                <w:rFonts w:ascii="宋体" w:hAnsi="宋体" w:eastAsia="宋体" w:cs="宋体"/>
                <w:spacing w:val="-3"/>
              </w:rPr>
              <w:t>水帘通风</w:t>
            </w:r>
            <w:r>
              <w:rPr>
                <w:spacing w:val="-3"/>
              </w:rPr>
              <w:t>+</w:t>
            </w:r>
            <w:r>
              <w:rPr>
                <w:spacing w:val="-18"/>
              </w:rPr>
              <w:t xml:space="preserve"> </w:t>
            </w:r>
            <w:r>
              <w:rPr>
                <w:rFonts w:ascii="宋体" w:hAnsi="宋体" w:eastAsia="宋体" w:cs="宋体"/>
                <w:spacing w:val="-3"/>
              </w:rPr>
              <w:t>出</w:t>
            </w:r>
            <w:r>
              <w:rPr>
                <w:rFonts w:ascii="宋体" w:hAnsi="宋体" w:eastAsia="宋体" w:cs="宋体"/>
                <w:spacing w:val="-2"/>
              </w:rPr>
              <w:t>风口生物喷雾除臭，</w:t>
            </w:r>
            <w:r>
              <w:rPr>
                <w:spacing w:val="-2"/>
              </w:rPr>
              <w:t>NH</w:t>
            </w:r>
            <w:r>
              <w:rPr>
                <w:spacing w:val="-2"/>
                <w:position w:val="-2"/>
                <w:sz w:val="14"/>
                <w:szCs w:val="14"/>
              </w:rPr>
              <w:t>3</w:t>
            </w:r>
            <w:r>
              <w:rPr>
                <w:spacing w:val="21"/>
                <w:w w:val="102"/>
                <w:position w:val="-2"/>
                <w:sz w:val="14"/>
                <w:szCs w:val="14"/>
              </w:rPr>
              <w:t xml:space="preserve"> </w:t>
            </w:r>
            <w:r>
              <w:rPr>
                <w:rFonts w:ascii="宋体" w:hAnsi="宋体" w:eastAsia="宋体" w:cs="宋体"/>
                <w:spacing w:val="-2"/>
              </w:rPr>
              <w:t>综合去</w:t>
            </w:r>
            <w:r>
              <w:rPr>
                <w:rFonts w:ascii="宋体" w:hAnsi="宋体" w:eastAsia="宋体" w:cs="宋体"/>
                <w:spacing w:val="-3"/>
              </w:rPr>
              <w:t>除效率</w:t>
            </w:r>
            <w:r>
              <w:rPr>
                <w:rFonts w:ascii="宋体" w:hAnsi="宋体" w:eastAsia="宋体" w:cs="宋体"/>
                <w:spacing w:val="-33"/>
              </w:rPr>
              <w:t xml:space="preserve"> </w:t>
            </w:r>
            <w:r>
              <w:rPr>
                <w:spacing w:val="-3"/>
              </w:rPr>
              <w:t>86%</w:t>
            </w:r>
            <w:r>
              <w:rPr>
                <w:spacing w:val="-31"/>
              </w:rPr>
              <w:t xml:space="preserve"> </w:t>
            </w:r>
            <w:r>
              <w:rPr>
                <w:rFonts w:ascii="宋体" w:hAnsi="宋体" w:eastAsia="宋体" w:cs="宋体"/>
                <w:spacing w:val="-3"/>
              </w:rPr>
              <w:t>、</w:t>
            </w:r>
            <w:r>
              <w:rPr>
                <w:spacing w:val="-3"/>
              </w:rPr>
              <w:t>H</w:t>
            </w:r>
            <w:r>
              <w:rPr>
                <w:spacing w:val="-3"/>
                <w:position w:val="-2"/>
                <w:sz w:val="14"/>
                <w:szCs w:val="14"/>
              </w:rPr>
              <w:t>2</w:t>
            </w:r>
            <w:r>
              <w:rPr>
                <w:spacing w:val="-3"/>
              </w:rPr>
              <w:t xml:space="preserve">S </w:t>
            </w:r>
            <w:r>
              <w:rPr>
                <w:rFonts w:ascii="宋体" w:hAnsi="宋体" w:eastAsia="宋体" w:cs="宋体"/>
                <w:spacing w:val="-3"/>
              </w:rPr>
              <w:t>综合去除效率</w:t>
            </w:r>
            <w:r>
              <w:rPr>
                <w:spacing w:val="-2"/>
              </w:rPr>
              <w:t>78%</w:t>
            </w:r>
            <w:r>
              <w:rPr>
                <w:rFonts w:ascii="宋体" w:hAnsi="宋体" w:eastAsia="宋体" w:cs="宋体"/>
                <w:spacing w:val="-2"/>
              </w:rPr>
              <w:t>。</w:t>
            </w:r>
          </w:p>
        </w:tc>
        <w:tc>
          <w:tcPr>
            <w:tcW w:w="707" w:type="dxa"/>
            <w:vAlign w:val="top"/>
          </w:tcPr>
          <w:p w14:paraId="01A6B3A7">
            <w:pPr>
              <w:pStyle w:val="6"/>
              <w:spacing w:before="198" w:line="192" w:lineRule="auto"/>
              <w:ind w:left="323"/>
            </w:pPr>
            <w:r>
              <w:t>/</w:t>
            </w:r>
          </w:p>
        </w:tc>
        <w:tc>
          <w:tcPr>
            <w:tcW w:w="850" w:type="dxa"/>
            <w:vAlign w:val="top"/>
          </w:tcPr>
          <w:p w14:paraId="1F8AF85C">
            <w:pPr>
              <w:pStyle w:val="6"/>
              <w:spacing w:before="198" w:line="192" w:lineRule="auto"/>
              <w:ind w:left="395"/>
            </w:pPr>
            <w:r>
              <w:t>/</w:t>
            </w:r>
          </w:p>
        </w:tc>
        <w:tc>
          <w:tcPr>
            <w:tcW w:w="746" w:type="dxa"/>
            <w:vAlign w:val="top"/>
          </w:tcPr>
          <w:p w14:paraId="63AF24E6">
            <w:pPr>
              <w:pStyle w:val="6"/>
              <w:spacing w:before="202" w:line="188" w:lineRule="auto"/>
              <w:ind w:left="142"/>
            </w:pPr>
            <w:r>
              <w:rPr>
                <w:spacing w:val="-2"/>
              </w:rPr>
              <w:t>0.004</w:t>
            </w:r>
          </w:p>
        </w:tc>
        <w:tc>
          <w:tcPr>
            <w:tcW w:w="907" w:type="dxa"/>
            <w:vAlign w:val="top"/>
          </w:tcPr>
          <w:p w14:paraId="7E52495B">
            <w:pPr>
              <w:pStyle w:val="6"/>
              <w:spacing w:before="202" w:line="188" w:lineRule="auto"/>
              <w:ind w:left="169"/>
            </w:pPr>
            <w:r>
              <w:rPr>
                <w:spacing w:val="-2"/>
              </w:rPr>
              <w:t>0.0025</w:t>
            </w:r>
          </w:p>
        </w:tc>
      </w:tr>
      <w:tr w14:paraId="4EEC1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62" w:type="dxa"/>
            <w:vMerge w:val="continue"/>
            <w:tcBorders>
              <w:top w:val="nil"/>
            </w:tcBorders>
            <w:vAlign w:val="top"/>
          </w:tcPr>
          <w:p w14:paraId="52EC057F">
            <w:pPr>
              <w:rPr>
                <w:rFonts w:ascii="Arial"/>
                <w:sz w:val="21"/>
              </w:rPr>
            </w:pPr>
          </w:p>
        </w:tc>
        <w:tc>
          <w:tcPr>
            <w:tcW w:w="705" w:type="dxa"/>
            <w:vAlign w:val="top"/>
          </w:tcPr>
          <w:p w14:paraId="1327B8D2">
            <w:pPr>
              <w:pStyle w:val="6"/>
              <w:spacing w:before="281" w:line="198" w:lineRule="auto"/>
              <w:ind w:left="182"/>
            </w:pPr>
            <w:r>
              <w:rPr>
                <w:spacing w:val="-2"/>
              </w:rPr>
              <w:t>H</w:t>
            </w:r>
            <w:r>
              <w:rPr>
                <w:spacing w:val="-2"/>
                <w:position w:val="-2"/>
                <w:sz w:val="14"/>
                <w:szCs w:val="14"/>
              </w:rPr>
              <w:t>2</w:t>
            </w:r>
            <w:r>
              <w:rPr>
                <w:spacing w:val="-2"/>
              </w:rPr>
              <w:t>S</w:t>
            </w:r>
          </w:p>
        </w:tc>
        <w:tc>
          <w:tcPr>
            <w:tcW w:w="579" w:type="dxa"/>
            <w:vAlign w:val="top"/>
          </w:tcPr>
          <w:p w14:paraId="37AB5ACC">
            <w:pPr>
              <w:pStyle w:val="6"/>
              <w:spacing w:before="281" w:line="188" w:lineRule="auto"/>
              <w:ind w:left="56"/>
            </w:pPr>
            <w:r>
              <w:rPr>
                <w:spacing w:val="-2"/>
              </w:rPr>
              <w:t>0.001</w:t>
            </w:r>
          </w:p>
        </w:tc>
        <w:tc>
          <w:tcPr>
            <w:tcW w:w="2974" w:type="dxa"/>
            <w:vMerge w:val="continue"/>
            <w:tcBorders>
              <w:top w:val="nil"/>
            </w:tcBorders>
            <w:vAlign w:val="top"/>
          </w:tcPr>
          <w:p w14:paraId="6F429279">
            <w:pPr>
              <w:rPr>
                <w:rFonts w:ascii="Arial"/>
                <w:sz w:val="21"/>
              </w:rPr>
            </w:pPr>
          </w:p>
        </w:tc>
        <w:tc>
          <w:tcPr>
            <w:tcW w:w="707" w:type="dxa"/>
            <w:vAlign w:val="top"/>
          </w:tcPr>
          <w:p w14:paraId="7729D1FC">
            <w:pPr>
              <w:pStyle w:val="6"/>
              <w:spacing w:before="277" w:line="192" w:lineRule="auto"/>
              <w:ind w:left="323"/>
            </w:pPr>
            <w:r>
              <w:t>/</w:t>
            </w:r>
          </w:p>
        </w:tc>
        <w:tc>
          <w:tcPr>
            <w:tcW w:w="850" w:type="dxa"/>
            <w:vAlign w:val="top"/>
          </w:tcPr>
          <w:p w14:paraId="55B6212E">
            <w:pPr>
              <w:pStyle w:val="6"/>
              <w:spacing w:before="277" w:line="192" w:lineRule="auto"/>
              <w:ind w:left="395"/>
            </w:pPr>
            <w:r>
              <w:t>/</w:t>
            </w:r>
          </w:p>
        </w:tc>
        <w:tc>
          <w:tcPr>
            <w:tcW w:w="746" w:type="dxa"/>
            <w:vAlign w:val="top"/>
          </w:tcPr>
          <w:p w14:paraId="44CAA133">
            <w:pPr>
              <w:pStyle w:val="6"/>
              <w:spacing w:before="281" w:line="188" w:lineRule="auto"/>
              <w:ind w:left="90"/>
            </w:pPr>
            <w:r>
              <w:rPr>
                <w:spacing w:val="-2"/>
              </w:rPr>
              <w:t>0.0002</w:t>
            </w:r>
          </w:p>
        </w:tc>
        <w:tc>
          <w:tcPr>
            <w:tcW w:w="907" w:type="dxa"/>
            <w:vAlign w:val="top"/>
          </w:tcPr>
          <w:p w14:paraId="67A016B0">
            <w:pPr>
              <w:pStyle w:val="6"/>
              <w:spacing w:before="281" w:line="188" w:lineRule="auto"/>
              <w:ind w:left="169"/>
            </w:pPr>
            <w:r>
              <w:rPr>
                <w:spacing w:val="-2"/>
              </w:rPr>
              <w:t>0.0001</w:t>
            </w:r>
          </w:p>
        </w:tc>
      </w:tr>
      <w:tr w14:paraId="1AD02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62" w:type="dxa"/>
            <w:vMerge w:val="restart"/>
            <w:tcBorders>
              <w:bottom w:val="nil"/>
            </w:tcBorders>
            <w:vAlign w:val="top"/>
          </w:tcPr>
          <w:p w14:paraId="22F2158B">
            <w:pPr>
              <w:spacing w:line="301" w:lineRule="auto"/>
              <w:rPr>
                <w:rFonts w:ascii="Arial"/>
                <w:sz w:val="21"/>
              </w:rPr>
            </w:pPr>
          </w:p>
          <w:p w14:paraId="7E621907">
            <w:pPr>
              <w:spacing w:line="302" w:lineRule="auto"/>
              <w:rPr>
                <w:rFonts w:ascii="Arial"/>
                <w:sz w:val="21"/>
              </w:rPr>
            </w:pPr>
          </w:p>
          <w:p w14:paraId="2DFC7F0C">
            <w:pPr>
              <w:spacing w:before="68" w:line="278" w:lineRule="auto"/>
              <w:ind w:left="332" w:right="8" w:hanging="314"/>
              <w:rPr>
                <w:rFonts w:ascii="宋体" w:hAnsi="宋体" w:eastAsia="宋体" w:cs="宋体"/>
                <w:sz w:val="21"/>
                <w:szCs w:val="21"/>
              </w:rPr>
            </w:pPr>
            <w:r>
              <w:rPr>
                <w:rFonts w:ascii="宋体" w:hAnsi="宋体" w:eastAsia="宋体" w:cs="宋体"/>
                <w:spacing w:val="-3"/>
                <w:sz w:val="21"/>
                <w:szCs w:val="21"/>
              </w:rPr>
              <w:t>污水处理</w:t>
            </w:r>
            <w:r>
              <w:rPr>
                <w:rFonts w:ascii="宋体" w:hAnsi="宋体" w:eastAsia="宋体" w:cs="宋体"/>
                <w:sz w:val="21"/>
                <w:szCs w:val="21"/>
              </w:rPr>
              <w:t>站</w:t>
            </w:r>
          </w:p>
        </w:tc>
        <w:tc>
          <w:tcPr>
            <w:tcW w:w="705" w:type="dxa"/>
            <w:vAlign w:val="top"/>
          </w:tcPr>
          <w:p w14:paraId="0A5A89E8">
            <w:pPr>
              <w:spacing w:line="279" w:lineRule="auto"/>
              <w:rPr>
                <w:rFonts w:ascii="Arial"/>
                <w:sz w:val="21"/>
              </w:rPr>
            </w:pPr>
          </w:p>
          <w:p w14:paraId="624A616F">
            <w:pPr>
              <w:pStyle w:val="6"/>
              <w:spacing w:before="60" w:line="195" w:lineRule="auto"/>
              <w:ind w:left="158"/>
              <w:rPr>
                <w:sz w:val="14"/>
                <w:szCs w:val="14"/>
              </w:rPr>
            </w:pPr>
            <w:r>
              <w:t>NH</w:t>
            </w:r>
            <w:r>
              <w:rPr>
                <w:spacing w:val="1"/>
                <w:position w:val="-2"/>
                <w:sz w:val="14"/>
                <w:szCs w:val="14"/>
              </w:rPr>
              <w:t>3</w:t>
            </w:r>
          </w:p>
        </w:tc>
        <w:tc>
          <w:tcPr>
            <w:tcW w:w="579" w:type="dxa"/>
            <w:vAlign w:val="top"/>
          </w:tcPr>
          <w:p w14:paraId="3472217D">
            <w:pPr>
              <w:spacing w:line="276" w:lineRule="auto"/>
              <w:rPr>
                <w:rFonts w:ascii="Arial"/>
                <w:sz w:val="21"/>
              </w:rPr>
            </w:pPr>
          </w:p>
          <w:p w14:paraId="1CD44F5C">
            <w:pPr>
              <w:pStyle w:val="6"/>
              <w:spacing w:before="60" w:line="188" w:lineRule="auto"/>
              <w:ind w:left="53"/>
            </w:pPr>
            <w:r>
              <w:rPr>
                <w:spacing w:val="-1"/>
              </w:rPr>
              <w:t>2.027</w:t>
            </w:r>
          </w:p>
        </w:tc>
        <w:tc>
          <w:tcPr>
            <w:tcW w:w="2974" w:type="dxa"/>
            <w:vMerge w:val="restart"/>
            <w:tcBorders>
              <w:bottom w:val="nil"/>
            </w:tcBorders>
            <w:vAlign w:val="top"/>
          </w:tcPr>
          <w:p w14:paraId="508F6C97">
            <w:pPr>
              <w:pStyle w:val="6"/>
              <w:spacing w:before="49" w:line="266" w:lineRule="auto"/>
              <w:ind w:left="10" w:firstLine="7"/>
              <w:jc w:val="both"/>
              <w:rPr>
                <w:rFonts w:ascii="宋体" w:hAnsi="宋体" w:eastAsia="宋体" w:cs="宋体"/>
              </w:rPr>
            </w:pPr>
            <w:r>
              <w:rPr>
                <w:rFonts w:ascii="宋体" w:hAnsi="宋体" w:eastAsia="宋体" w:cs="宋体"/>
                <w:spacing w:val="-4"/>
              </w:rPr>
              <w:t>喷洒除臭剂、废水管道设置为地</w:t>
            </w:r>
            <w:r>
              <w:rPr>
                <w:rFonts w:ascii="宋体" w:hAnsi="宋体" w:eastAsia="宋体" w:cs="宋体"/>
                <w:spacing w:val="-3"/>
              </w:rPr>
              <w:t>埋式，污水处理站恶臭单元加盖密闭，污水处理站臭气与无害化处理间臭气一并至生物滤池处理</w:t>
            </w:r>
            <w:r>
              <w:rPr>
                <w:rFonts w:ascii="宋体" w:hAnsi="宋体" w:eastAsia="宋体" w:cs="宋体"/>
                <w:spacing w:val="-14"/>
              </w:rPr>
              <w:t>后由</w:t>
            </w:r>
            <w:r>
              <w:rPr>
                <w:rFonts w:ascii="宋体" w:hAnsi="宋体" w:eastAsia="宋体" w:cs="宋体"/>
                <w:spacing w:val="-26"/>
              </w:rPr>
              <w:t xml:space="preserve"> </w:t>
            </w:r>
            <w:r>
              <w:rPr>
                <w:spacing w:val="-14"/>
              </w:rPr>
              <w:t xml:space="preserve">15m </w:t>
            </w:r>
            <w:r>
              <w:rPr>
                <w:rFonts w:ascii="宋体" w:hAnsi="宋体" w:eastAsia="宋体" w:cs="宋体"/>
                <w:spacing w:val="-14"/>
              </w:rPr>
              <w:t>排气筒（</w:t>
            </w:r>
            <w:r>
              <w:rPr>
                <w:spacing w:val="-14"/>
              </w:rPr>
              <w:t>DA001</w:t>
            </w:r>
            <w:r>
              <w:rPr>
                <w:rFonts w:ascii="宋体" w:hAnsi="宋体" w:eastAsia="宋体" w:cs="宋体"/>
                <w:spacing w:val="-14"/>
              </w:rPr>
              <w:t>）排放，</w:t>
            </w:r>
            <w:r>
              <w:rPr>
                <w:rFonts w:ascii="宋体" w:hAnsi="宋体" w:eastAsia="宋体" w:cs="宋体"/>
                <w:spacing w:val="-6"/>
              </w:rPr>
              <w:t>收集率</w:t>
            </w:r>
            <w:r>
              <w:rPr>
                <w:rFonts w:ascii="宋体" w:hAnsi="宋体" w:eastAsia="宋体" w:cs="宋体"/>
                <w:spacing w:val="-41"/>
              </w:rPr>
              <w:t xml:space="preserve"> </w:t>
            </w:r>
            <w:r>
              <w:rPr>
                <w:spacing w:val="-6"/>
              </w:rPr>
              <w:t>95%</w:t>
            </w:r>
            <w:r>
              <w:rPr>
                <w:rFonts w:ascii="宋体" w:hAnsi="宋体" w:eastAsia="宋体" w:cs="宋体"/>
                <w:spacing w:val="-6"/>
              </w:rPr>
              <w:t>，处理率</w:t>
            </w:r>
            <w:r>
              <w:rPr>
                <w:rFonts w:ascii="宋体" w:hAnsi="宋体" w:eastAsia="宋体" w:cs="宋体"/>
                <w:spacing w:val="-36"/>
              </w:rPr>
              <w:t xml:space="preserve"> </w:t>
            </w:r>
            <w:r>
              <w:rPr>
                <w:spacing w:val="-6"/>
              </w:rPr>
              <w:t>90%</w:t>
            </w:r>
            <w:r>
              <w:rPr>
                <w:rFonts w:ascii="宋体" w:hAnsi="宋体" w:eastAsia="宋体" w:cs="宋体"/>
                <w:spacing w:val="-6"/>
              </w:rPr>
              <w:t>。</w:t>
            </w:r>
          </w:p>
        </w:tc>
        <w:tc>
          <w:tcPr>
            <w:tcW w:w="707" w:type="dxa"/>
            <w:vAlign w:val="top"/>
          </w:tcPr>
          <w:p w14:paraId="55371B69">
            <w:pPr>
              <w:spacing w:line="276" w:lineRule="auto"/>
              <w:rPr>
                <w:rFonts w:ascii="Arial"/>
                <w:sz w:val="21"/>
              </w:rPr>
            </w:pPr>
          </w:p>
          <w:p w14:paraId="670E5F70">
            <w:pPr>
              <w:pStyle w:val="6"/>
              <w:spacing w:before="60" w:line="188" w:lineRule="auto"/>
              <w:ind w:left="124"/>
            </w:pPr>
            <w:r>
              <w:rPr>
                <w:spacing w:val="-2"/>
              </w:rPr>
              <w:t>0.077</w:t>
            </w:r>
          </w:p>
        </w:tc>
        <w:tc>
          <w:tcPr>
            <w:tcW w:w="850" w:type="dxa"/>
            <w:vAlign w:val="top"/>
          </w:tcPr>
          <w:p w14:paraId="2281AD44">
            <w:pPr>
              <w:spacing w:line="276" w:lineRule="auto"/>
              <w:rPr>
                <w:rFonts w:ascii="Arial"/>
                <w:sz w:val="21"/>
              </w:rPr>
            </w:pPr>
          </w:p>
          <w:p w14:paraId="45472D87">
            <w:pPr>
              <w:pStyle w:val="6"/>
              <w:spacing w:before="60" w:line="188" w:lineRule="auto"/>
              <w:ind w:left="143"/>
            </w:pPr>
            <w:r>
              <w:rPr>
                <w:spacing w:val="-2"/>
              </w:rPr>
              <w:t>0.0088</w:t>
            </w:r>
          </w:p>
        </w:tc>
        <w:tc>
          <w:tcPr>
            <w:tcW w:w="746" w:type="dxa"/>
            <w:vAlign w:val="top"/>
          </w:tcPr>
          <w:p w14:paraId="75DA6A45">
            <w:pPr>
              <w:spacing w:line="276" w:lineRule="auto"/>
              <w:rPr>
                <w:rFonts w:ascii="Arial"/>
                <w:sz w:val="21"/>
              </w:rPr>
            </w:pPr>
          </w:p>
          <w:p w14:paraId="6FED1A62">
            <w:pPr>
              <w:pStyle w:val="6"/>
              <w:spacing w:before="60" w:line="188" w:lineRule="auto"/>
              <w:ind w:left="143"/>
            </w:pPr>
            <w:r>
              <w:rPr>
                <w:spacing w:val="-2"/>
              </w:rPr>
              <w:t>0.041</w:t>
            </w:r>
          </w:p>
        </w:tc>
        <w:tc>
          <w:tcPr>
            <w:tcW w:w="907" w:type="dxa"/>
            <w:vAlign w:val="top"/>
          </w:tcPr>
          <w:p w14:paraId="04797B3A">
            <w:pPr>
              <w:spacing w:line="276" w:lineRule="auto"/>
              <w:rPr>
                <w:rFonts w:ascii="Arial"/>
                <w:sz w:val="21"/>
              </w:rPr>
            </w:pPr>
          </w:p>
          <w:p w14:paraId="4D4A0686">
            <w:pPr>
              <w:pStyle w:val="6"/>
              <w:spacing w:before="60" w:line="188" w:lineRule="auto"/>
              <w:ind w:left="169"/>
            </w:pPr>
            <w:r>
              <w:rPr>
                <w:spacing w:val="-2"/>
              </w:rPr>
              <w:t>0.0046</w:t>
            </w:r>
          </w:p>
        </w:tc>
      </w:tr>
      <w:tr w14:paraId="11DCE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862" w:type="dxa"/>
            <w:vMerge w:val="continue"/>
            <w:tcBorders>
              <w:top w:val="nil"/>
            </w:tcBorders>
            <w:vAlign w:val="top"/>
          </w:tcPr>
          <w:p w14:paraId="4DC39C2A">
            <w:pPr>
              <w:rPr>
                <w:rFonts w:ascii="Arial"/>
                <w:sz w:val="21"/>
              </w:rPr>
            </w:pPr>
          </w:p>
        </w:tc>
        <w:tc>
          <w:tcPr>
            <w:tcW w:w="705" w:type="dxa"/>
            <w:vAlign w:val="top"/>
          </w:tcPr>
          <w:p w14:paraId="024E83CA">
            <w:pPr>
              <w:spacing w:line="395" w:lineRule="auto"/>
              <w:rPr>
                <w:rFonts w:ascii="Arial"/>
                <w:sz w:val="21"/>
              </w:rPr>
            </w:pPr>
          </w:p>
          <w:p w14:paraId="730EF71D">
            <w:pPr>
              <w:pStyle w:val="6"/>
              <w:spacing w:before="60" w:line="198" w:lineRule="auto"/>
              <w:ind w:left="182"/>
            </w:pPr>
            <w:r>
              <w:rPr>
                <w:spacing w:val="-2"/>
              </w:rPr>
              <w:t>H</w:t>
            </w:r>
            <w:r>
              <w:rPr>
                <w:spacing w:val="-2"/>
                <w:position w:val="-2"/>
                <w:sz w:val="14"/>
                <w:szCs w:val="14"/>
              </w:rPr>
              <w:t>2</w:t>
            </w:r>
            <w:r>
              <w:rPr>
                <w:spacing w:val="-2"/>
              </w:rPr>
              <w:t>S</w:t>
            </w:r>
          </w:p>
        </w:tc>
        <w:tc>
          <w:tcPr>
            <w:tcW w:w="579" w:type="dxa"/>
            <w:vAlign w:val="top"/>
          </w:tcPr>
          <w:p w14:paraId="5D29C307">
            <w:pPr>
              <w:spacing w:line="395" w:lineRule="auto"/>
              <w:rPr>
                <w:rFonts w:ascii="Arial"/>
                <w:sz w:val="21"/>
              </w:rPr>
            </w:pPr>
          </w:p>
          <w:p w14:paraId="5A9BDCA8">
            <w:pPr>
              <w:pStyle w:val="6"/>
              <w:spacing w:before="60" w:line="188" w:lineRule="auto"/>
              <w:ind w:left="56"/>
            </w:pPr>
            <w:r>
              <w:rPr>
                <w:spacing w:val="-2"/>
              </w:rPr>
              <w:t>0.078</w:t>
            </w:r>
          </w:p>
        </w:tc>
        <w:tc>
          <w:tcPr>
            <w:tcW w:w="2974" w:type="dxa"/>
            <w:vMerge w:val="continue"/>
            <w:tcBorders>
              <w:top w:val="nil"/>
            </w:tcBorders>
            <w:vAlign w:val="top"/>
          </w:tcPr>
          <w:p w14:paraId="50E6D2E0">
            <w:pPr>
              <w:rPr>
                <w:rFonts w:ascii="Arial"/>
                <w:sz w:val="21"/>
              </w:rPr>
            </w:pPr>
          </w:p>
        </w:tc>
        <w:tc>
          <w:tcPr>
            <w:tcW w:w="707" w:type="dxa"/>
            <w:vAlign w:val="top"/>
          </w:tcPr>
          <w:p w14:paraId="309F2D13">
            <w:pPr>
              <w:spacing w:line="395" w:lineRule="auto"/>
              <w:rPr>
                <w:rFonts w:ascii="Arial"/>
                <w:sz w:val="21"/>
              </w:rPr>
            </w:pPr>
          </w:p>
          <w:p w14:paraId="5B93278B">
            <w:pPr>
              <w:pStyle w:val="6"/>
              <w:spacing w:before="60" w:line="188" w:lineRule="auto"/>
              <w:ind w:left="124"/>
            </w:pPr>
            <w:r>
              <w:rPr>
                <w:spacing w:val="-2"/>
              </w:rPr>
              <w:t>0.003</w:t>
            </w:r>
          </w:p>
        </w:tc>
        <w:tc>
          <w:tcPr>
            <w:tcW w:w="850" w:type="dxa"/>
            <w:vAlign w:val="top"/>
          </w:tcPr>
          <w:p w14:paraId="0B0E5330">
            <w:pPr>
              <w:spacing w:line="395" w:lineRule="auto"/>
              <w:rPr>
                <w:rFonts w:ascii="Arial"/>
                <w:sz w:val="21"/>
              </w:rPr>
            </w:pPr>
          </w:p>
          <w:p w14:paraId="0BB75C4A">
            <w:pPr>
              <w:pStyle w:val="6"/>
              <w:spacing w:before="60" w:line="188" w:lineRule="auto"/>
              <w:ind w:left="143"/>
            </w:pPr>
            <w:r>
              <w:rPr>
                <w:spacing w:val="-2"/>
              </w:rPr>
              <w:t>0.0003</w:t>
            </w:r>
          </w:p>
        </w:tc>
        <w:tc>
          <w:tcPr>
            <w:tcW w:w="746" w:type="dxa"/>
            <w:vAlign w:val="top"/>
          </w:tcPr>
          <w:p w14:paraId="59BE908A">
            <w:pPr>
              <w:spacing w:line="395" w:lineRule="auto"/>
              <w:rPr>
                <w:rFonts w:ascii="Arial"/>
                <w:sz w:val="21"/>
              </w:rPr>
            </w:pPr>
          </w:p>
          <w:p w14:paraId="6AEAB994">
            <w:pPr>
              <w:pStyle w:val="6"/>
              <w:spacing w:before="60" w:line="188" w:lineRule="auto"/>
              <w:ind w:left="90"/>
            </w:pPr>
            <w:r>
              <w:rPr>
                <w:spacing w:val="-2"/>
              </w:rPr>
              <w:t>0.0016</w:t>
            </w:r>
          </w:p>
        </w:tc>
        <w:tc>
          <w:tcPr>
            <w:tcW w:w="907" w:type="dxa"/>
            <w:vAlign w:val="top"/>
          </w:tcPr>
          <w:p w14:paraId="5BE843D9">
            <w:pPr>
              <w:spacing w:line="395" w:lineRule="auto"/>
              <w:rPr>
                <w:rFonts w:ascii="Arial"/>
                <w:sz w:val="21"/>
              </w:rPr>
            </w:pPr>
          </w:p>
          <w:p w14:paraId="3FBF80A8">
            <w:pPr>
              <w:pStyle w:val="6"/>
              <w:spacing w:before="60" w:line="188" w:lineRule="auto"/>
              <w:ind w:left="169"/>
            </w:pPr>
            <w:r>
              <w:rPr>
                <w:spacing w:val="-2"/>
              </w:rPr>
              <w:t>0.0002</w:t>
            </w:r>
          </w:p>
        </w:tc>
      </w:tr>
      <w:tr w14:paraId="13AC2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62" w:type="dxa"/>
            <w:vMerge w:val="restart"/>
            <w:tcBorders>
              <w:bottom w:val="nil"/>
            </w:tcBorders>
            <w:vAlign w:val="top"/>
          </w:tcPr>
          <w:p w14:paraId="6CE1C9C6">
            <w:pPr>
              <w:spacing w:line="253" w:lineRule="auto"/>
              <w:rPr>
                <w:rFonts w:ascii="Arial"/>
                <w:sz w:val="21"/>
              </w:rPr>
            </w:pPr>
          </w:p>
          <w:p w14:paraId="48F3F8BB">
            <w:pPr>
              <w:spacing w:line="254" w:lineRule="auto"/>
              <w:rPr>
                <w:rFonts w:ascii="Arial"/>
                <w:sz w:val="21"/>
              </w:rPr>
            </w:pPr>
          </w:p>
          <w:p w14:paraId="440ED90A">
            <w:pPr>
              <w:spacing w:before="68" w:line="220" w:lineRule="auto"/>
              <w:ind w:left="122"/>
              <w:rPr>
                <w:rFonts w:ascii="宋体" w:hAnsi="宋体" w:eastAsia="宋体" w:cs="宋体"/>
                <w:sz w:val="21"/>
                <w:szCs w:val="21"/>
              </w:rPr>
            </w:pPr>
            <w:r>
              <w:rPr>
                <w:rFonts w:ascii="宋体" w:hAnsi="宋体" w:eastAsia="宋体" w:cs="宋体"/>
                <w:spacing w:val="-3"/>
                <w:sz w:val="21"/>
                <w:szCs w:val="21"/>
              </w:rPr>
              <w:t>堆粪棚</w:t>
            </w:r>
          </w:p>
        </w:tc>
        <w:tc>
          <w:tcPr>
            <w:tcW w:w="705" w:type="dxa"/>
            <w:vAlign w:val="top"/>
          </w:tcPr>
          <w:p w14:paraId="3035987D">
            <w:pPr>
              <w:pStyle w:val="6"/>
              <w:spacing w:before="275" w:line="195" w:lineRule="auto"/>
              <w:ind w:left="158"/>
              <w:rPr>
                <w:sz w:val="14"/>
                <w:szCs w:val="14"/>
              </w:rPr>
            </w:pPr>
            <w:r>
              <w:t>NH</w:t>
            </w:r>
            <w:r>
              <w:rPr>
                <w:spacing w:val="1"/>
                <w:position w:val="-2"/>
                <w:sz w:val="14"/>
                <w:szCs w:val="14"/>
              </w:rPr>
              <w:t>3</w:t>
            </w:r>
          </w:p>
        </w:tc>
        <w:tc>
          <w:tcPr>
            <w:tcW w:w="579" w:type="dxa"/>
            <w:vAlign w:val="top"/>
          </w:tcPr>
          <w:p w14:paraId="49CB4CE1">
            <w:pPr>
              <w:pStyle w:val="6"/>
              <w:spacing w:before="272" w:line="188" w:lineRule="auto"/>
              <w:ind w:left="56"/>
            </w:pPr>
            <w:r>
              <w:rPr>
                <w:spacing w:val="-2"/>
              </w:rPr>
              <w:t>0.476</w:t>
            </w:r>
          </w:p>
        </w:tc>
        <w:tc>
          <w:tcPr>
            <w:tcW w:w="2974" w:type="dxa"/>
            <w:vMerge w:val="restart"/>
            <w:tcBorders>
              <w:bottom w:val="nil"/>
            </w:tcBorders>
            <w:vAlign w:val="top"/>
          </w:tcPr>
          <w:p w14:paraId="2285A713">
            <w:pPr>
              <w:pStyle w:val="6"/>
              <w:spacing w:before="109" w:line="274" w:lineRule="auto"/>
              <w:ind w:left="9" w:firstLine="4"/>
              <w:jc w:val="both"/>
              <w:rPr>
                <w:rFonts w:ascii="宋体" w:hAnsi="宋体" w:eastAsia="宋体" w:cs="宋体"/>
              </w:rPr>
            </w:pPr>
            <w:r>
              <w:rPr>
                <w:rFonts w:ascii="宋体" w:hAnsi="宋体" w:eastAsia="宋体" w:cs="宋体"/>
              </w:rPr>
              <w:t>系统封闭、喷洒除臭剂，堆粪棚</w:t>
            </w:r>
            <w:r>
              <w:rPr>
                <w:rFonts w:ascii="宋体" w:hAnsi="宋体" w:eastAsia="宋体" w:cs="宋体"/>
                <w:spacing w:val="1"/>
              </w:rPr>
              <w:t>臭气负压收集至生物滤池处理后</w:t>
            </w:r>
            <w:r>
              <w:rPr>
                <w:rFonts w:ascii="宋体" w:hAnsi="宋体" w:eastAsia="宋体" w:cs="宋体"/>
                <w:spacing w:val="-3"/>
              </w:rPr>
              <w:t>由</w:t>
            </w:r>
            <w:r>
              <w:rPr>
                <w:rFonts w:ascii="宋体" w:hAnsi="宋体" w:eastAsia="宋体" w:cs="宋体"/>
                <w:spacing w:val="-28"/>
              </w:rPr>
              <w:t xml:space="preserve"> </w:t>
            </w:r>
            <w:r>
              <w:rPr>
                <w:spacing w:val="-3"/>
              </w:rPr>
              <w:t xml:space="preserve">15m </w:t>
            </w:r>
            <w:r>
              <w:rPr>
                <w:rFonts w:ascii="宋体" w:hAnsi="宋体" w:eastAsia="宋体" w:cs="宋体"/>
                <w:spacing w:val="-3"/>
              </w:rPr>
              <w:t>排气筒（</w:t>
            </w:r>
            <w:r>
              <w:rPr>
                <w:spacing w:val="-3"/>
              </w:rPr>
              <w:t>DA002</w:t>
            </w:r>
            <w:r>
              <w:rPr>
                <w:rFonts w:ascii="宋体" w:hAnsi="宋体" w:eastAsia="宋体" w:cs="宋体"/>
                <w:spacing w:val="-3"/>
              </w:rPr>
              <w:t>）排放，收集率</w:t>
            </w:r>
            <w:r>
              <w:rPr>
                <w:rFonts w:ascii="宋体" w:hAnsi="宋体" w:eastAsia="宋体" w:cs="宋体"/>
                <w:spacing w:val="-40"/>
              </w:rPr>
              <w:t xml:space="preserve"> </w:t>
            </w:r>
            <w:r>
              <w:rPr>
                <w:spacing w:val="-3"/>
              </w:rPr>
              <w:t>95%</w:t>
            </w:r>
            <w:r>
              <w:rPr>
                <w:rFonts w:ascii="宋体" w:hAnsi="宋体" w:eastAsia="宋体" w:cs="宋体"/>
                <w:spacing w:val="-3"/>
              </w:rPr>
              <w:t>，处理率</w:t>
            </w:r>
            <w:r>
              <w:rPr>
                <w:rFonts w:ascii="宋体" w:hAnsi="宋体" w:eastAsia="宋体" w:cs="宋体"/>
                <w:spacing w:val="-34"/>
              </w:rPr>
              <w:t xml:space="preserve"> </w:t>
            </w:r>
            <w:r>
              <w:rPr>
                <w:spacing w:val="-3"/>
              </w:rPr>
              <w:t>90%</w:t>
            </w:r>
            <w:r>
              <w:rPr>
                <w:rFonts w:ascii="宋体" w:hAnsi="宋体" w:eastAsia="宋体" w:cs="宋体"/>
                <w:spacing w:val="-3"/>
              </w:rPr>
              <w:t>。</w:t>
            </w:r>
          </w:p>
        </w:tc>
        <w:tc>
          <w:tcPr>
            <w:tcW w:w="707" w:type="dxa"/>
            <w:vAlign w:val="top"/>
          </w:tcPr>
          <w:p w14:paraId="74302CBE">
            <w:pPr>
              <w:pStyle w:val="6"/>
              <w:spacing w:before="272" w:line="188" w:lineRule="auto"/>
              <w:ind w:left="124"/>
            </w:pPr>
            <w:r>
              <w:rPr>
                <w:spacing w:val="-2"/>
              </w:rPr>
              <w:t>0.018</w:t>
            </w:r>
          </w:p>
        </w:tc>
        <w:tc>
          <w:tcPr>
            <w:tcW w:w="850" w:type="dxa"/>
            <w:vAlign w:val="top"/>
          </w:tcPr>
          <w:p w14:paraId="76E9A5D6">
            <w:pPr>
              <w:pStyle w:val="6"/>
              <w:spacing w:before="272" w:line="188" w:lineRule="auto"/>
              <w:ind w:left="143"/>
            </w:pPr>
            <w:r>
              <w:rPr>
                <w:spacing w:val="-2"/>
              </w:rPr>
              <w:t>0.0021</w:t>
            </w:r>
          </w:p>
        </w:tc>
        <w:tc>
          <w:tcPr>
            <w:tcW w:w="746" w:type="dxa"/>
            <w:vAlign w:val="top"/>
          </w:tcPr>
          <w:p w14:paraId="5DD030DF">
            <w:pPr>
              <w:pStyle w:val="6"/>
              <w:spacing w:before="272" w:line="188" w:lineRule="auto"/>
              <w:ind w:left="142"/>
            </w:pPr>
            <w:r>
              <w:rPr>
                <w:spacing w:val="-2"/>
              </w:rPr>
              <w:t>0.010</w:t>
            </w:r>
          </w:p>
        </w:tc>
        <w:tc>
          <w:tcPr>
            <w:tcW w:w="907" w:type="dxa"/>
            <w:vAlign w:val="top"/>
          </w:tcPr>
          <w:p w14:paraId="77A8F5E9">
            <w:pPr>
              <w:pStyle w:val="6"/>
              <w:spacing w:before="272" w:line="188" w:lineRule="auto"/>
              <w:ind w:left="173"/>
            </w:pPr>
            <w:r>
              <w:rPr>
                <w:spacing w:val="-2"/>
              </w:rPr>
              <w:t>0.0011</w:t>
            </w:r>
          </w:p>
        </w:tc>
      </w:tr>
      <w:tr w14:paraId="014F5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62" w:type="dxa"/>
            <w:vMerge w:val="continue"/>
            <w:tcBorders>
              <w:top w:val="nil"/>
            </w:tcBorders>
            <w:vAlign w:val="top"/>
          </w:tcPr>
          <w:p w14:paraId="16F4BF0C">
            <w:pPr>
              <w:rPr>
                <w:rFonts w:ascii="Arial"/>
                <w:sz w:val="21"/>
              </w:rPr>
            </w:pPr>
          </w:p>
        </w:tc>
        <w:tc>
          <w:tcPr>
            <w:tcW w:w="705" w:type="dxa"/>
            <w:vAlign w:val="top"/>
          </w:tcPr>
          <w:p w14:paraId="41CB8953">
            <w:pPr>
              <w:pStyle w:val="6"/>
              <w:spacing w:before="272" w:line="198" w:lineRule="auto"/>
              <w:ind w:left="182"/>
            </w:pPr>
            <w:r>
              <w:rPr>
                <w:spacing w:val="-2"/>
              </w:rPr>
              <w:t>H</w:t>
            </w:r>
            <w:r>
              <w:rPr>
                <w:spacing w:val="-2"/>
                <w:position w:val="-2"/>
                <w:sz w:val="14"/>
                <w:szCs w:val="14"/>
              </w:rPr>
              <w:t>2</w:t>
            </w:r>
            <w:r>
              <w:rPr>
                <w:spacing w:val="-2"/>
              </w:rPr>
              <w:t>S</w:t>
            </w:r>
          </w:p>
        </w:tc>
        <w:tc>
          <w:tcPr>
            <w:tcW w:w="579" w:type="dxa"/>
            <w:vAlign w:val="top"/>
          </w:tcPr>
          <w:p w14:paraId="7B6883BE">
            <w:pPr>
              <w:pStyle w:val="6"/>
              <w:spacing w:before="272" w:line="188" w:lineRule="auto"/>
              <w:ind w:left="56"/>
            </w:pPr>
            <w:r>
              <w:rPr>
                <w:spacing w:val="-2"/>
              </w:rPr>
              <w:t>0.048</w:t>
            </w:r>
          </w:p>
        </w:tc>
        <w:tc>
          <w:tcPr>
            <w:tcW w:w="2974" w:type="dxa"/>
            <w:vMerge w:val="continue"/>
            <w:tcBorders>
              <w:top w:val="nil"/>
            </w:tcBorders>
            <w:vAlign w:val="top"/>
          </w:tcPr>
          <w:p w14:paraId="29691A81">
            <w:pPr>
              <w:rPr>
                <w:rFonts w:ascii="Arial"/>
                <w:sz w:val="21"/>
              </w:rPr>
            </w:pPr>
          </w:p>
        </w:tc>
        <w:tc>
          <w:tcPr>
            <w:tcW w:w="707" w:type="dxa"/>
            <w:vAlign w:val="top"/>
          </w:tcPr>
          <w:p w14:paraId="226732EE">
            <w:pPr>
              <w:pStyle w:val="6"/>
              <w:spacing w:before="272" w:line="188" w:lineRule="auto"/>
              <w:ind w:left="124"/>
            </w:pPr>
            <w:r>
              <w:rPr>
                <w:spacing w:val="-2"/>
              </w:rPr>
              <w:t>0.002</w:t>
            </w:r>
          </w:p>
        </w:tc>
        <w:tc>
          <w:tcPr>
            <w:tcW w:w="850" w:type="dxa"/>
            <w:vAlign w:val="top"/>
          </w:tcPr>
          <w:p w14:paraId="715F2B8A">
            <w:pPr>
              <w:pStyle w:val="6"/>
              <w:spacing w:before="272" w:line="188" w:lineRule="auto"/>
              <w:ind w:left="143"/>
            </w:pPr>
            <w:r>
              <w:rPr>
                <w:spacing w:val="-2"/>
              </w:rPr>
              <w:t>0.0002</w:t>
            </w:r>
          </w:p>
        </w:tc>
        <w:tc>
          <w:tcPr>
            <w:tcW w:w="746" w:type="dxa"/>
            <w:vAlign w:val="top"/>
          </w:tcPr>
          <w:p w14:paraId="11211ED4">
            <w:pPr>
              <w:pStyle w:val="6"/>
              <w:spacing w:before="272" w:line="188" w:lineRule="auto"/>
              <w:ind w:left="90"/>
            </w:pPr>
            <w:r>
              <w:rPr>
                <w:spacing w:val="-2"/>
              </w:rPr>
              <w:t>0.0010</w:t>
            </w:r>
          </w:p>
        </w:tc>
        <w:tc>
          <w:tcPr>
            <w:tcW w:w="907" w:type="dxa"/>
            <w:vAlign w:val="top"/>
          </w:tcPr>
          <w:p w14:paraId="7D5F0CEF">
            <w:pPr>
              <w:pStyle w:val="6"/>
              <w:spacing w:before="272" w:line="188" w:lineRule="auto"/>
              <w:ind w:left="169"/>
            </w:pPr>
            <w:r>
              <w:rPr>
                <w:spacing w:val="-2"/>
              </w:rPr>
              <w:t>0.0001</w:t>
            </w:r>
          </w:p>
        </w:tc>
      </w:tr>
      <w:tr w14:paraId="09173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2" w:type="dxa"/>
            <w:vMerge w:val="restart"/>
            <w:tcBorders>
              <w:bottom w:val="nil"/>
            </w:tcBorders>
            <w:vAlign w:val="top"/>
          </w:tcPr>
          <w:p w14:paraId="794413A6">
            <w:pPr>
              <w:spacing w:before="243" w:line="221" w:lineRule="auto"/>
              <w:ind w:left="227"/>
              <w:rPr>
                <w:rFonts w:ascii="宋体" w:hAnsi="宋体" w:eastAsia="宋体" w:cs="宋体"/>
                <w:sz w:val="21"/>
                <w:szCs w:val="21"/>
              </w:rPr>
            </w:pPr>
            <w:r>
              <w:rPr>
                <w:rFonts w:ascii="宋体" w:hAnsi="宋体" w:eastAsia="宋体" w:cs="宋体"/>
                <w:spacing w:val="-3"/>
                <w:sz w:val="21"/>
                <w:szCs w:val="21"/>
              </w:rPr>
              <w:t>合计</w:t>
            </w:r>
          </w:p>
        </w:tc>
        <w:tc>
          <w:tcPr>
            <w:tcW w:w="705" w:type="dxa"/>
            <w:vAlign w:val="top"/>
          </w:tcPr>
          <w:p w14:paraId="7D274A18">
            <w:pPr>
              <w:pStyle w:val="6"/>
              <w:spacing w:before="108" w:line="195" w:lineRule="auto"/>
              <w:ind w:left="158"/>
              <w:rPr>
                <w:sz w:val="14"/>
                <w:szCs w:val="14"/>
              </w:rPr>
            </w:pPr>
            <w:r>
              <w:t>NH</w:t>
            </w:r>
            <w:r>
              <w:rPr>
                <w:spacing w:val="1"/>
                <w:position w:val="-2"/>
                <w:sz w:val="14"/>
                <w:szCs w:val="14"/>
              </w:rPr>
              <w:t>3</w:t>
            </w:r>
          </w:p>
        </w:tc>
        <w:tc>
          <w:tcPr>
            <w:tcW w:w="579" w:type="dxa"/>
            <w:vAlign w:val="top"/>
          </w:tcPr>
          <w:p w14:paraId="0206E2FA">
            <w:pPr>
              <w:pStyle w:val="6"/>
              <w:spacing w:before="105" w:line="188" w:lineRule="auto"/>
              <w:ind w:left="62"/>
            </w:pPr>
            <w:r>
              <w:rPr>
                <w:spacing w:val="-3"/>
              </w:rPr>
              <w:t>8.209</w:t>
            </w:r>
          </w:p>
        </w:tc>
        <w:tc>
          <w:tcPr>
            <w:tcW w:w="2974" w:type="dxa"/>
            <w:vMerge w:val="restart"/>
            <w:tcBorders>
              <w:bottom w:val="nil"/>
            </w:tcBorders>
            <w:vAlign w:val="top"/>
          </w:tcPr>
          <w:p w14:paraId="4FEEF6CD">
            <w:pPr>
              <w:pStyle w:val="6"/>
              <w:spacing w:before="276" w:line="192" w:lineRule="auto"/>
              <w:ind w:left="1456"/>
            </w:pPr>
            <w:r>
              <w:t>/</w:t>
            </w:r>
          </w:p>
        </w:tc>
        <w:tc>
          <w:tcPr>
            <w:tcW w:w="707" w:type="dxa"/>
            <w:vAlign w:val="top"/>
          </w:tcPr>
          <w:p w14:paraId="439D07E5">
            <w:pPr>
              <w:pStyle w:val="6"/>
              <w:spacing w:before="105" w:line="188" w:lineRule="auto"/>
              <w:ind w:left="124"/>
            </w:pPr>
            <w:r>
              <w:rPr>
                <w:spacing w:val="-2"/>
              </w:rPr>
              <w:t>0.095</w:t>
            </w:r>
          </w:p>
        </w:tc>
        <w:tc>
          <w:tcPr>
            <w:tcW w:w="850" w:type="dxa"/>
            <w:vAlign w:val="top"/>
          </w:tcPr>
          <w:p w14:paraId="5A9A3FCD">
            <w:pPr>
              <w:pStyle w:val="6"/>
              <w:spacing w:before="105" w:line="188" w:lineRule="auto"/>
              <w:ind w:left="143"/>
            </w:pPr>
            <w:r>
              <w:rPr>
                <w:spacing w:val="-2"/>
              </w:rPr>
              <w:t>0.0109</w:t>
            </w:r>
          </w:p>
        </w:tc>
        <w:tc>
          <w:tcPr>
            <w:tcW w:w="746" w:type="dxa"/>
            <w:vAlign w:val="top"/>
          </w:tcPr>
          <w:p w14:paraId="34B8CAED">
            <w:pPr>
              <w:pStyle w:val="6"/>
              <w:spacing w:before="105" w:line="188" w:lineRule="auto"/>
              <w:ind w:left="142"/>
            </w:pPr>
            <w:r>
              <w:rPr>
                <w:spacing w:val="-2"/>
              </w:rPr>
              <w:t>0.849</w:t>
            </w:r>
          </w:p>
        </w:tc>
        <w:tc>
          <w:tcPr>
            <w:tcW w:w="907" w:type="dxa"/>
            <w:vAlign w:val="top"/>
          </w:tcPr>
          <w:p w14:paraId="0FFB9F81">
            <w:pPr>
              <w:pStyle w:val="6"/>
              <w:spacing w:before="105" w:line="188" w:lineRule="auto"/>
              <w:ind w:left="169"/>
            </w:pPr>
            <w:r>
              <w:rPr>
                <w:spacing w:val="-2"/>
              </w:rPr>
              <w:t>0.0990</w:t>
            </w:r>
          </w:p>
        </w:tc>
      </w:tr>
      <w:tr w14:paraId="61696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62" w:type="dxa"/>
            <w:vMerge w:val="continue"/>
            <w:tcBorders>
              <w:top w:val="nil"/>
            </w:tcBorders>
            <w:vAlign w:val="top"/>
          </w:tcPr>
          <w:p w14:paraId="277D7C8A">
            <w:pPr>
              <w:rPr>
                <w:rFonts w:ascii="Arial"/>
                <w:sz w:val="21"/>
              </w:rPr>
            </w:pPr>
          </w:p>
        </w:tc>
        <w:tc>
          <w:tcPr>
            <w:tcW w:w="705" w:type="dxa"/>
            <w:vAlign w:val="top"/>
          </w:tcPr>
          <w:p w14:paraId="099D7388">
            <w:pPr>
              <w:pStyle w:val="6"/>
              <w:spacing w:before="105" w:line="198" w:lineRule="auto"/>
              <w:ind w:left="182"/>
            </w:pPr>
            <w:r>
              <w:rPr>
                <w:spacing w:val="-2"/>
              </w:rPr>
              <w:t>H</w:t>
            </w:r>
            <w:r>
              <w:rPr>
                <w:spacing w:val="-2"/>
                <w:position w:val="-2"/>
                <w:sz w:val="14"/>
                <w:szCs w:val="14"/>
              </w:rPr>
              <w:t>2</w:t>
            </w:r>
            <w:r>
              <w:rPr>
                <w:spacing w:val="-2"/>
              </w:rPr>
              <w:t>S</w:t>
            </w:r>
          </w:p>
        </w:tc>
        <w:tc>
          <w:tcPr>
            <w:tcW w:w="579" w:type="dxa"/>
            <w:vAlign w:val="top"/>
          </w:tcPr>
          <w:p w14:paraId="57F66791">
            <w:pPr>
              <w:pStyle w:val="6"/>
              <w:spacing w:before="105" w:line="188" w:lineRule="auto"/>
              <w:ind w:left="56"/>
            </w:pPr>
            <w:r>
              <w:rPr>
                <w:spacing w:val="-2"/>
              </w:rPr>
              <w:t>0.270</w:t>
            </w:r>
          </w:p>
        </w:tc>
        <w:tc>
          <w:tcPr>
            <w:tcW w:w="2974" w:type="dxa"/>
            <w:vMerge w:val="continue"/>
            <w:tcBorders>
              <w:top w:val="nil"/>
            </w:tcBorders>
            <w:vAlign w:val="top"/>
          </w:tcPr>
          <w:p w14:paraId="30CC7CCC">
            <w:pPr>
              <w:rPr>
                <w:rFonts w:ascii="Arial"/>
                <w:sz w:val="21"/>
              </w:rPr>
            </w:pPr>
          </w:p>
        </w:tc>
        <w:tc>
          <w:tcPr>
            <w:tcW w:w="707" w:type="dxa"/>
            <w:vAlign w:val="top"/>
          </w:tcPr>
          <w:p w14:paraId="790E4E76">
            <w:pPr>
              <w:pStyle w:val="6"/>
              <w:spacing w:before="105" w:line="188" w:lineRule="auto"/>
              <w:ind w:left="124"/>
            </w:pPr>
            <w:r>
              <w:rPr>
                <w:spacing w:val="-2"/>
              </w:rPr>
              <w:t>0.005</w:t>
            </w:r>
          </w:p>
        </w:tc>
        <w:tc>
          <w:tcPr>
            <w:tcW w:w="850" w:type="dxa"/>
            <w:vAlign w:val="top"/>
          </w:tcPr>
          <w:p w14:paraId="7F5355BE">
            <w:pPr>
              <w:pStyle w:val="6"/>
              <w:spacing w:before="105" w:line="188" w:lineRule="auto"/>
              <w:ind w:left="90"/>
            </w:pPr>
            <w:r>
              <w:rPr>
                <w:spacing w:val="-2"/>
              </w:rPr>
              <w:t>0.00055</w:t>
            </w:r>
          </w:p>
        </w:tc>
        <w:tc>
          <w:tcPr>
            <w:tcW w:w="746" w:type="dxa"/>
            <w:vAlign w:val="top"/>
          </w:tcPr>
          <w:p w14:paraId="516D2E5D">
            <w:pPr>
              <w:pStyle w:val="6"/>
              <w:spacing w:before="105" w:line="188" w:lineRule="auto"/>
              <w:ind w:left="141"/>
            </w:pPr>
            <w:r>
              <w:rPr>
                <w:spacing w:val="-2"/>
              </w:rPr>
              <w:t>0.034</w:t>
            </w:r>
          </w:p>
        </w:tc>
        <w:tc>
          <w:tcPr>
            <w:tcW w:w="907" w:type="dxa"/>
            <w:vAlign w:val="top"/>
          </w:tcPr>
          <w:p w14:paraId="0DF6F462">
            <w:pPr>
              <w:pStyle w:val="6"/>
              <w:spacing w:before="105" w:line="188" w:lineRule="auto"/>
              <w:ind w:left="168"/>
            </w:pPr>
            <w:r>
              <w:rPr>
                <w:spacing w:val="-2"/>
              </w:rPr>
              <w:t>0.0040</w:t>
            </w:r>
          </w:p>
        </w:tc>
      </w:tr>
    </w:tbl>
    <w:p w14:paraId="0DCCD751">
      <w:pPr>
        <w:spacing w:before="233"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）备用柴油发电机废气</w:t>
      </w:r>
    </w:p>
    <w:p w14:paraId="5593AF51">
      <w:pPr>
        <w:spacing w:before="183" w:line="360" w:lineRule="auto"/>
        <w:ind w:left="38" w:firstLine="481"/>
        <w:jc w:val="both"/>
        <w:rPr>
          <w:rFonts w:ascii="宋体" w:hAnsi="宋体" w:eastAsia="宋体" w:cs="宋体"/>
          <w:sz w:val="24"/>
          <w:szCs w:val="24"/>
        </w:rPr>
      </w:pPr>
      <w:r>
        <w:rPr>
          <w:rFonts w:ascii="宋体" w:hAnsi="宋体" w:eastAsia="宋体" w:cs="宋体"/>
          <w:spacing w:val="-4"/>
          <w:sz w:val="24"/>
          <w:szCs w:val="24"/>
        </w:rPr>
        <w:t>本项目设置</w:t>
      </w:r>
      <w:r>
        <w:rPr>
          <w:rFonts w:ascii="Times New Roman" w:hAnsi="Times New Roman" w:eastAsia="Times New Roman" w:cs="Times New Roman"/>
          <w:spacing w:val="-4"/>
          <w:sz w:val="24"/>
          <w:szCs w:val="24"/>
        </w:rPr>
        <w:t>2</w:t>
      </w:r>
      <w:r>
        <w:rPr>
          <w:rFonts w:ascii="宋体" w:hAnsi="宋体" w:eastAsia="宋体" w:cs="宋体"/>
          <w:spacing w:val="-4"/>
          <w:sz w:val="24"/>
          <w:szCs w:val="24"/>
        </w:rPr>
        <w:t>台</w:t>
      </w:r>
      <w:r>
        <w:rPr>
          <w:rFonts w:ascii="Times New Roman" w:hAnsi="Times New Roman" w:eastAsia="Times New Roman" w:cs="Times New Roman"/>
          <w:spacing w:val="-4"/>
          <w:sz w:val="24"/>
          <w:szCs w:val="24"/>
        </w:rPr>
        <w:t>500kW</w:t>
      </w:r>
      <w:r>
        <w:rPr>
          <w:rFonts w:ascii="宋体" w:hAnsi="宋体" w:eastAsia="宋体" w:cs="宋体"/>
          <w:spacing w:val="-4"/>
          <w:sz w:val="24"/>
          <w:szCs w:val="24"/>
        </w:rPr>
        <w:t>备用柴油发电机组作为应急电源，当供电系统停电时，</w:t>
      </w:r>
      <w:r>
        <w:rPr>
          <w:rFonts w:ascii="宋体" w:hAnsi="宋体" w:eastAsia="宋体" w:cs="宋体"/>
          <w:spacing w:val="1"/>
          <w:sz w:val="24"/>
          <w:szCs w:val="24"/>
        </w:rPr>
        <w:t>柴油发电机组</w:t>
      </w:r>
      <w:r>
        <w:rPr>
          <w:rFonts w:ascii="Times New Roman" w:hAnsi="Times New Roman" w:eastAsia="Times New Roman" w:cs="Times New Roman"/>
          <w:spacing w:val="1"/>
          <w:sz w:val="24"/>
          <w:szCs w:val="24"/>
        </w:rPr>
        <w:t>15s</w:t>
      </w:r>
      <w:r>
        <w:rPr>
          <w:rFonts w:ascii="宋体" w:hAnsi="宋体" w:eastAsia="宋体" w:cs="宋体"/>
          <w:spacing w:val="1"/>
          <w:sz w:val="24"/>
          <w:szCs w:val="24"/>
        </w:rPr>
        <w:t>内自动启动，以保证全场供电。柴油发电机设置在柴油发电机</w:t>
      </w:r>
      <w:r>
        <w:rPr>
          <w:rFonts w:ascii="宋体" w:hAnsi="宋体" w:eastAsia="宋体" w:cs="宋体"/>
          <w:spacing w:val="-6"/>
          <w:sz w:val="24"/>
          <w:szCs w:val="24"/>
        </w:rPr>
        <w:t>房内，位于养殖区南侧。柴油发电机在使用过程中会产生发电机烟</w:t>
      </w:r>
      <w:r>
        <w:rPr>
          <w:rFonts w:ascii="宋体" w:hAnsi="宋体" w:eastAsia="宋体" w:cs="宋体"/>
          <w:spacing w:val="-7"/>
          <w:sz w:val="24"/>
          <w:szCs w:val="24"/>
        </w:rPr>
        <w:t>气， 其主要成分为</w:t>
      </w:r>
      <w:r>
        <w:rPr>
          <w:rFonts w:ascii="Times New Roman" w:hAnsi="Times New Roman" w:eastAsia="Times New Roman" w:cs="Times New Roman"/>
          <w:spacing w:val="-7"/>
          <w:sz w:val="24"/>
          <w:szCs w:val="24"/>
        </w:rPr>
        <w:t>CO</w:t>
      </w:r>
      <w:r>
        <w:rPr>
          <w:rFonts w:ascii="Times New Roman" w:hAnsi="Times New Roman" w:eastAsia="Times New Roman" w:cs="Times New Roman"/>
          <w:spacing w:val="-35"/>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HC</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NOx</w:t>
      </w:r>
      <w:r>
        <w:rPr>
          <w:rFonts w:ascii="宋体" w:hAnsi="宋体" w:eastAsia="宋体" w:cs="宋体"/>
          <w:spacing w:val="-7"/>
          <w:sz w:val="24"/>
          <w:szCs w:val="24"/>
        </w:rPr>
        <w:t>，发电机房采用机械送、排风的形</w:t>
      </w:r>
      <w:r>
        <w:rPr>
          <w:rFonts w:ascii="宋体" w:hAnsi="宋体" w:eastAsia="宋体" w:cs="宋体"/>
          <w:spacing w:val="-8"/>
          <w:sz w:val="24"/>
          <w:szCs w:val="24"/>
        </w:rPr>
        <w:t>式，</w:t>
      </w:r>
      <w:r>
        <w:rPr>
          <w:rFonts w:ascii="宋体" w:hAnsi="宋体" w:eastAsia="宋体" w:cs="宋体"/>
          <w:spacing w:val="61"/>
          <w:sz w:val="24"/>
          <w:szCs w:val="24"/>
        </w:rPr>
        <w:t xml:space="preserve"> </w:t>
      </w:r>
      <w:r>
        <w:rPr>
          <w:rFonts w:ascii="宋体" w:hAnsi="宋体" w:eastAsia="宋体" w:cs="宋体"/>
          <w:spacing w:val="-8"/>
          <w:sz w:val="24"/>
          <w:szCs w:val="24"/>
        </w:rPr>
        <w:t>发电机房内保持良好</w:t>
      </w:r>
      <w:r>
        <w:rPr>
          <w:rFonts w:ascii="宋体" w:hAnsi="宋体" w:eastAsia="宋体" w:cs="宋体"/>
          <w:spacing w:val="-3"/>
          <w:sz w:val="24"/>
          <w:szCs w:val="24"/>
        </w:rPr>
        <w:t>的通风性，柴油发电机产生的废气先由自身携带的废气净化装置处理，处理后经</w:t>
      </w:r>
      <w:r>
        <w:rPr>
          <w:rFonts w:ascii="宋体" w:hAnsi="宋体" w:eastAsia="宋体" w:cs="宋体"/>
          <w:spacing w:val="-4"/>
          <w:sz w:val="24"/>
          <w:szCs w:val="24"/>
        </w:rPr>
        <w:t>抽排风系统抽至房顶排放。</w:t>
      </w:r>
    </w:p>
    <w:p w14:paraId="795038F6">
      <w:pPr>
        <w:spacing w:line="360" w:lineRule="auto"/>
        <w:ind w:left="42" w:right="66" w:firstLine="506"/>
        <w:jc w:val="both"/>
        <w:rPr>
          <w:rFonts w:ascii="宋体" w:hAnsi="宋体" w:eastAsia="宋体" w:cs="宋体"/>
          <w:sz w:val="24"/>
          <w:szCs w:val="24"/>
        </w:rPr>
      </w:pPr>
      <w:r>
        <w:rPr>
          <w:rFonts w:ascii="宋体" w:hAnsi="宋体" w:eastAsia="宋体" w:cs="宋体"/>
          <w:spacing w:val="-4"/>
          <w:sz w:val="24"/>
          <w:szCs w:val="24"/>
        </w:rPr>
        <w:t>由于备用柴油发电机只有在停电时使用，使用的频率很小、排放量少、排放</w:t>
      </w:r>
      <w:r>
        <w:rPr>
          <w:rFonts w:ascii="宋体" w:hAnsi="宋体" w:eastAsia="宋体" w:cs="宋体"/>
          <w:spacing w:val="-11"/>
          <w:sz w:val="24"/>
          <w:szCs w:val="24"/>
        </w:rPr>
        <w:t>间断性强，采用上述措施后完全能够做到达标排放，对周围环境影响</w:t>
      </w:r>
      <w:r>
        <w:rPr>
          <w:rFonts w:ascii="宋体" w:hAnsi="宋体" w:eastAsia="宋体" w:cs="宋体"/>
          <w:spacing w:val="-12"/>
          <w:sz w:val="24"/>
          <w:szCs w:val="24"/>
        </w:rPr>
        <w:t>很小。同时，</w:t>
      </w:r>
      <w:r>
        <w:rPr>
          <w:rFonts w:ascii="宋体" w:hAnsi="宋体" w:eastAsia="宋体" w:cs="宋体"/>
          <w:spacing w:val="-3"/>
          <w:sz w:val="24"/>
          <w:szCs w:val="24"/>
        </w:rPr>
        <w:t>建设单位使用轻质柴油，其燃烧产生的废气污染物较少，可进一步降低对外</w:t>
      </w:r>
      <w:r>
        <w:rPr>
          <w:rFonts w:ascii="宋体" w:hAnsi="宋体" w:eastAsia="宋体" w:cs="宋体"/>
          <w:spacing w:val="-4"/>
          <w:sz w:val="24"/>
          <w:szCs w:val="24"/>
        </w:rPr>
        <w:t>环境</w:t>
      </w:r>
      <w:r>
        <w:rPr>
          <w:rFonts w:ascii="宋体" w:hAnsi="宋体" w:eastAsia="宋体" w:cs="宋体"/>
          <w:spacing w:val="-7"/>
          <w:sz w:val="24"/>
          <w:szCs w:val="24"/>
        </w:rPr>
        <w:t>的不良影响。</w:t>
      </w:r>
    </w:p>
    <w:p w14:paraId="5FBAAA27">
      <w:pPr>
        <w:spacing w:before="1" w:line="218"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）沼气燃烧废气</w:t>
      </w:r>
    </w:p>
    <w:p w14:paraId="2F8A3A92">
      <w:pPr>
        <w:spacing w:line="218" w:lineRule="auto"/>
        <w:rPr>
          <w:rFonts w:ascii="宋体" w:hAnsi="宋体" w:eastAsia="宋体" w:cs="宋体"/>
          <w:sz w:val="24"/>
          <w:szCs w:val="24"/>
        </w:rPr>
        <w:sectPr>
          <w:headerReference r:id="rId209" w:type="default"/>
          <w:footerReference r:id="rId210" w:type="default"/>
          <w:pgSz w:w="11905" w:h="16840"/>
          <w:pgMar w:top="1168" w:right="1731" w:bottom="1409" w:left="1770" w:header="828" w:footer="1244" w:gutter="0"/>
          <w:cols w:space="720" w:num="1"/>
        </w:sectPr>
      </w:pPr>
    </w:p>
    <w:p w14:paraId="656326D0">
      <w:pPr>
        <w:pStyle w:val="2"/>
        <w:spacing w:line="305" w:lineRule="auto"/>
      </w:pPr>
    </w:p>
    <w:p w14:paraId="4C317D37">
      <w:pPr>
        <w:spacing w:before="78" w:line="220" w:lineRule="auto"/>
        <w:ind w:left="528"/>
        <w:rPr>
          <w:rFonts w:ascii="宋体" w:hAnsi="宋体" w:eastAsia="宋体" w:cs="宋体"/>
          <w:sz w:val="24"/>
          <w:szCs w:val="24"/>
        </w:rPr>
      </w:pP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）沼气产生情况</w:t>
      </w:r>
    </w:p>
    <w:p w14:paraId="404557E5">
      <w:pPr>
        <w:spacing w:before="183" w:line="217" w:lineRule="auto"/>
        <w:ind w:left="520"/>
        <w:rPr>
          <w:rFonts w:ascii="宋体" w:hAnsi="宋体" w:eastAsia="宋体" w:cs="宋体"/>
          <w:sz w:val="24"/>
          <w:szCs w:val="24"/>
        </w:rPr>
      </w:pPr>
      <w:r>
        <w:rPr>
          <w:rFonts w:ascii="宋体" w:hAnsi="宋体" w:eastAsia="宋体" w:cs="宋体"/>
          <w:b/>
          <w:bCs/>
          <w:spacing w:val="-4"/>
          <w:sz w:val="24"/>
          <w:szCs w:val="24"/>
        </w:rPr>
        <w:t>①沼气成分</w:t>
      </w:r>
    </w:p>
    <w:p w14:paraId="19A3BCAF">
      <w:pPr>
        <w:spacing w:before="187" w:line="361" w:lineRule="auto"/>
        <w:ind w:left="38" w:firstLine="481"/>
        <w:jc w:val="both"/>
        <w:rPr>
          <w:rFonts w:ascii="宋体" w:hAnsi="宋体" w:eastAsia="宋体" w:cs="宋体"/>
          <w:sz w:val="24"/>
          <w:szCs w:val="24"/>
        </w:rPr>
      </w:pPr>
      <w:r>
        <w:rPr>
          <w:rFonts w:ascii="宋体" w:hAnsi="宋体" w:eastAsia="宋体" w:cs="宋体"/>
          <w:sz w:val="24"/>
          <w:szCs w:val="24"/>
        </w:rPr>
        <w:t>本项目废水厌氧发酵采用</w:t>
      </w:r>
      <w:r>
        <w:rPr>
          <w:rFonts w:ascii="Times New Roman" w:hAnsi="Times New Roman" w:eastAsia="Times New Roman" w:cs="Times New Roman"/>
          <w:sz w:val="24"/>
          <w:szCs w:val="24"/>
        </w:rPr>
        <w:t>CSTR</w:t>
      </w:r>
      <w:r>
        <w:rPr>
          <w:rFonts w:ascii="宋体" w:hAnsi="宋体" w:eastAsia="宋体" w:cs="宋体"/>
          <w:sz w:val="24"/>
          <w:szCs w:val="24"/>
        </w:rPr>
        <w:t>厌氧反应器，废水经厌氧发酵处理后产生沼气。沼气是有机物质在一定的温度、湿度、酸度条件下，隔绝空气（厌氧环境）</w:t>
      </w:r>
      <w:r>
        <w:rPr>
          <w:rFonts w:ascii="宋体" w:hAnsi="宋体" w:eastAsia="宋体" w:cs="宋体"/>
          <w:spacing w:val="-2"/>
          <w:sz w:val="24"/>
          <w:szCs w:val="24"/>
        </w:rPr>
        <w:t>经微生物作用（发酵）而产生的可燃性气体，其主要成分为</w:t>
      </w:r>
      <w:r>
        <w:rPr>
          <w:rFonts w:ascii="Times New Roman" w:hAnsi="Times New Roman" w:eastAsia="Times New Roman" w:cs="Times New Roman"/>
          <w:spacing w:val="-2"/>
          <w:sz w:val="24"/>
          <w:szCs w:val="24"/>
        </w:rPr>
        <w:t>CH</w:t>
      </w:r>
      <w:r>
        <w:rPr>
          <w:rFonts w:ascii="Times New Roman" w:hAnsi="Times New Roman" w:eastAsia="Times New Roman" w:cs="Times New Roman"/>
          <w:spacing w:val="-2"/>
          <w:position w:val="-2"/>
          <w:sz w:val="15"/>
          <w:szCs w:val="15"/>
        </w:rPr>
        <w:t>4</w:t>
      </w:r>
      <w:r>
        <w:rPr>
          <w:rFonts w:ascii="Times New Roman" w:hAnsi="Times New Roman" w:eastAsia="Times New Roman" w:cs="Times New Roman"/>
          <w:spacing w:val="3"/>
          <w:position w:val="-2"/>
          <w:sz w:val="15"/>
          <w:szCs w:val="15"/>
        </w:rPr>
        <w:t xml:space="preserve"> </w:t>
      </w:r>
      <w:r>
        <w:rPr>
          <w:rFonts w:ascii="宋体" w:hAnsi="宋体" w:eastAsia="宋体" w:cs="宋体"/>
          <w:spacing w:val="-2"/>
          <w:sz w:val="24"/>
          <w:szCs w:val="24"/>
        </w:rPr>
        <w:t>，沼气成分见下</w:t>
      </w:r>
      <w:r>
        <w:rPr>
          <w:rFonts w:ascii="宋体" w:hAnsi="宋体" w:eastAsia="宋体" w:cs="宋体"/>
          <w:spacing w:val="-11"/>
          <w:sz w:val="24"/>
          <w:szCs w:val="24"/>
        </w:rPr>
        <w:t>表。</w:t>
      </w:r>
    </w:p>
    <w:p w14:paraId="7408CDD1">
      <w:pPr>
        <w:spacing w:before="6" w:line="222" w:lineRule="auto"/>
        <w:ind w:left="303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2.2-11  </w:t>
      </w:r>
      <w:r>
        <w:rPr>
          <w:rFonts w:ascii="黑体" w:hAnsi="黑体" w:eastAsia="黑体" w:cs="黑体"/>
          <w:spacing w:val="-1"/>
          <w:sz w:val="21"/>
          <w:szCs w:val="21"/>
        </w:rPr>
        <w:t>沼气成分一览表</w:t>
      </w:r>
    </w:p>
    <w:p w14:paraId="21F53E72">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0"/>
        <w:gridCol w:w="1205"/>
        <w:gridCol w:w="1206"/>
        <w:gridCol w:w="1005"/>
        <w:gridCol w:w="1004"/>
        <w:gridCol w:w="1005"/>
        <w:gridCol w:w="1185"/>
      </w:tblGrid>
      <w:tr w14:paraId="40A7D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10" w:type="dxa"/>
            <w:vAlign w:val="top"/>
          </w:tcPr>
          <w:p w14:paraId="05A8658C">
            <w:pPr>
              <w:spacing w:before="69" w:line="220" w:lineRule="auto"/>
              <w:ind w:left="651"/>
              <w:rPr>
                <w:rFonts w:ascii="宋体" w:hAnsi="宋体" w:eastAsia="宋体" w:cs="宋体"/>
                <w:sz w:val="21"/>
                <w:szCs w:val="21"/>
              </w:rPr>
            </w:pPr>
            <w:r>
              <w:rPr>
                <w:rFonts w:ascii="宋体" w:hAnsi="宋体" w:eastAsia="宋体" w:cs="宋体"/>
                <w:spacing w:val="-3"/>
                <w:sz w:val="21"/>
                <w:szCs w:val="21"/>
              </w:rPr>
              <w:t>成分</w:t>
            </w:r>
          </w:p>
        </w:tc>
        <w:tc>
          <w:tcPr>
            <w:tcW w:w="1205" w:type="dxa"/>
            <w:vAlign w:val="top"/>
          </w:tcPr>
          <w:p w14:paraId="44F1BCF4">
            <w:pPr>
              <w:pStyle w:val="6"/>
              <w:spacing w:before="105" w:line="198" w:lineRule="auto"/>
              <w:ind w:left="426"/>
              <w:rPr>
                <w:sz w:val="14"/>
                <w:szCs w:val="14"/>
              </w:rPr>
            </w:pPr>
            <w:r>
              <w:rPr>
                <w:spacing w:val="-3"/>
              </w:rPr>
              <w:t>CH</w:t>
            </w:r>
            <w:r>
              <w:rPr>
                <w:spacing w:val="-3"/>
                <w:position w:val="-2"/>
                <w:sz w:val="14"/>
                <w:szCs w:val="14"/>
              </w:rPr>
              <w:t>4</w:t>
            </w:r>
          </w:p>
        </w:tc>
        <w:tc>
          <w:tcPr>
            <w:tcW w:w="1206" w:type="dxa"/>
            <w:vAlign w:val="top"/>
          </w:tcPr>
          <w:p w14:paraId="5CD52133">
            <w:pPr>
              <w:pStyle w:val="6"/>
              <w:spacing w:before="105" w:line="198" w:lineRule="auto"/>
              <w:ind w:left="427"/>
              <w:rPr>
                <w:sz w:val="14"/>
                <w:szCs w:val="14"/>
              </w:rPr>
            </w:pPr>
            <w:r>
              <w:rPr>
                <w:spacing w:val="-3"/>
              </w:rPr>
              <w:t>CO</w:t>
            </w:r>
            <w:r>
              <w:rPr>
                <w:spacing w:val="-3"/>
                <w:position w:val="-2"/>
                <w:sz w:val="14"/>
                <w:szCs w:val="14"/>
              </w:rPr>
              <w:t>2</w:t>
            </w:r>
          </w:p>
        </w:tc>
        <w:tc>
          <w:tcPr>
            <w:tcW w:w="1005" w:type="dxa"/>
            <w:vAlign w:val="top"/>
          </w:tcPr>
          <w:p w14:paraId="61C81CEC">
            <w:pPr>
              <w:pStyle w:val="6"/>
              <w:spacing w:before="108" w:line="195" w:lineRule="auto"/>
              <w:ind w:left="387"/>
              <w:rPr>
                <w:sz w:val="14"/>
                <w:szCs w:val="14"/>
              </w:rPr>
            </w:pPr>
            <w:r>
              <w:rPr>
                <w:spacing w:val="1"/>
              </w:rPr>
              <w:t>N</w:t>
            </w:r>
            <w:r>
              <w:rPr>
                <w:spacing w:val="1"/>
                <w:position w:val="-2"/>
                <w:sz w:val="14"/>
                <w:szCs w:val="14"/>
              </w:rPr>
              <w:t>2</w:t>
            </w:r>
          </w:p>
        </w:tc>
        <w:tc>
          <w:tcPr>
            <w:tcW w:w="1004" w:type="dxa"/>
            <w:vAlign w:val="top"/>
          </w:tcPr>
          <w:p w14:paraId="0D36D7AF">
            <w:pPr>
              <w:pStyle w:val="6"/>
              <w:spacing w:before="108" w:line="195" w:lineRule="auto"/>
              <w:ind w:left="393"/>
              <w:rPr>
                <w:sz w:val="14"/>
                <w:szCs w:val="14"/>
              </w:rPr>
            </w:pPr>
            <w:r>
              <w:rPr>
                <w:spacing w:val="-2"/>
              </w:rPr>
              <w:t>H</w:t>
            </w:r>
            <w:r>
              <w:rPr>
                <w:spacing w:val="-2"/>
                <w:position w:val="-2"/>
                <w:sz w:val="14"/>
                <w:szCs w:val="14"/>
              </w:rPr>
              <w:t>2</w:t>
            </w:r>
          </w:p>
        </w:tc>
        <w:tc>
          <w:tcPr>
            <w:tcW w:w="1005" w:type="dxa"/>
            <w:vAlign w:val="top"/>
          </w:tcPr>
          <w:p w14:paraId="27020BE0">
            <w:pPr>
              <w:pStyle w:val="6"/>
              <w:spacing w:before="105" w:line="198" w:lineRule="auto"/>
              <w:ind w:left="397"/>
              <w:rPr>
                <w:sz w:val="14"/>
                <w:szCs w:val="14"/>
              </w:rPr>
            </w:pPr>
            <w:r>
              <w:rPr>
                <w:spacing w:val="-4"/>
              </w:rPr>
              <w:t>O</w:t>
            </w:r>
            <w:r>
              <w:rPr>
                <w:spacing w:val="-4"/>
                <w:position w:val="-2"/>
                <w:sz w:val="14"/>
                <w:szCs w:val="14"/>
              </w:rPr>
              <w:t>2</w:t>
            </w:r>
          </w:p>
        </w:tc>
        <w:tc>
          <w:tcPr>
            <w:tcW w:w="1185" w:type="dxa"/>
            <w:vAlign w:val="top"/>
          </w:tcPr>
          <w:p w14:paraId="72C1BFD9">
            <w:pPr>
              <w:pStyle w:val="6"/>
              <w:spacing w:before="105" w:line="198" w:lineRule="auto"/>
              <w:ind w:left="424"/>
            </w:pPr>
            <w:r>
              <w:rPr>
                <w:spacing w:val="-2"/>
              </w:rPr>
              <w:t>H</w:t>
            </w:r>
            <w:r>
              <w:rPr>
                <w:spacing w:val="-2"/>
                <w:position w:val="-2"/>
                <w:sz w:val="14"/>
                <w:szCs w:val="14"/>
              </w:rPr>
              <w:t>2</w:t>
            </w:r>
            <w:r>
              <w:rPr>
                <w:spacing w:val="-2"/>
              </w:rPr>
              <w:t>S</w:t>
            </w:r>
          </w:p>
        </w:tc>
      </w:tr>
      <w:tr w14:paraId="27375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10" w:type="dxa"/>
            <w:vAlign w:val="top"/>
          </w:tcPr>
          <w:p w14:paraId="288187A1">
            <w:pPr>
              <w:spacing w:before="66" w:line="220" w:lineRule="auto"/>
              <w:ind w:left="19"/>
              <w:rPr>
                <w:rFonts w:ascii="宋体" w:hAnsi="宋体" w:eastAsia="宋体" w:cs="宋体"/>
                <w:sz w:val="21"/>
                <w:szCs w:val="21"/>
              </w:rPr>
            </w:pPr>
            <w:r>
              <w:rPr>
                <w:rFonts w:ascii="宋体" w:hAnsi="宋体" w:eastAsia="宋体" w:cs="宋体"/>
                <w:spacing w:val="-3"/>
                <w:sz w:val="21"/>
                <w:szCs w:val="21"/>
              </w:rPr>
              <w:t>含量（体积分数）</w:t>
            </w:r>
          </w:p>
        </w:tc>
        <w:tc>
          <w:tcPr>
            <w:tcW w:w="1205" w:type="dxa"/>
            <w:vAlign w:val="top"/>
          </w:tcPr>
          <w:p w14:paraId="01ED4F8B">
            <w:pPr>
              <w:pStyle w:val="6"/>
              <w:spacing w:before="103" w:line="188" w:lineRule="auto"/>
              <w:ind w:left="168"/>
            </w:pPr>
            <w:r>
              <w:rPr>
                <w:spacing w:val="-2"/>
              </w:rPr>
              <w:t>50%~80%</w:t>
            </w:r>
          </w:p>
        </w:tc>
        <w:tc>
          <w:tcPr>
            <w:tcW w:w="1206" w:type="dxa"/>
            <w:vAlign w:val="top"/>
          </w:tcPr>
          <w:p w14:paraId="2EB24ED4">
            <w:pPr>
              <w:pStyle w:val="6"/>
              <w:spacing w:before="103" w:line="188" w:lineRule="auto"/>
              <w:ind w:left="163"/>
            </w:pPr>
            <w:r>
              <w:rPr>
                <w:spacing w:val="-1"/>
              </w:rPr>
              <w:t>20%~40%</w:t>
            </w:r>
          </w:p>
        </w:tc>
        <w:tc>
          <w:tcPr>
            <w:tcW w:w="1005" w:type="dxa"/>
            <w:vAlign w:val="top"/>
          </w:tcPr>
          <w:p w14:paraId="0B9A6CBB">
            <w:pPr>
              <w:pStyle w:val="6"/>
              <w:spacing w:before="103" w:line="188" w:lineRule="auto"/>
              <w:ind w:left="304"/>
            </w:pPr>
            <w:r>
              <w:rPr>
                <w:spacing w:val="-1"/>
              </w:rPr>
              <w:t>&lt;5%</w:t>
            </w:r>
          </w:p>
        </w:tc>
        <w:tc>
          <w:tcPr>
            <w:tcW w:w="1004" w:type="dxa"/>
            <w:vAlign w:val="top"/>
          </w:tcPr>
          <w:p w14:paraId="74264E1E">
            <w:pPr>
              <w:pStyle w:val="6"/>
              <w:spacing w:before="103" w:line="188" w:lineRule="auto"/>
              <w:ind w:left="305"/>
            </w:pPr>
            <w:r>
              <w:rPr>
                <w:spacing w:val="-1"/>
              </w:rPr>
              <w:t>&lt;1%</w:t>
            </w:r>
          </w:p>
        </w:tc>
        <w:tc>
          <w:tcPr>
            <w:tcW w:w="1005" w:type="dxa"/>
            <w:vAlign w:val="top"/>
          </w:tcPr>
          <w:p w14:paraId="058CD0FE">
            <w:pPr>
              <w:pStyle w:val="6"/>
              <w:spacing w:before="103" w:line="188" w:lineRule="auto"/>
              <w:ind w:left="227"/>
            </w:pPr>
            <w:r>
              <w:rPr>
                <w:spacing w:val="-1"/>
              </w:rPr>
              <w:t>&lt;0.4%</w:t>
            </w:r>
          </w:p>
        </w:tc>
        <w:tc>
          <w:tcPr>
            <w:tcW w:w="1185" w:type="dxa"/>
            <w:vAlign w:val="top"/>
          </w:tcPr>
          <w:p w14:paraId="2AB61FBA">
            <w:pPr>
              <w:pStyle w:val="6"/>
              <w:spacing w:before="103" w:line="188" w:lineRule="auto"/>
              <w:ind w:left="50"/>
            </w:pPr>
            <w:r>
              <w:rPr>
                <w:spacing w:val="-1"/>
              </w:rPr>
              <w:t>0.05%~0.1%</w:t>
            </w:r>
          </w:p>
        </w:tc>
      </w:tr>
    </w:tbl>
    <w:p w14:paraId="30240A96">
      <w:pPr>
        <w:spacing w:before="234" w:line="217" w:lineRule="auto"/>
        <w:ind w:left="519"/>
        <w:rPr>
          <w:rFonts w:ascii="宋体" w:hAnsi="宋体" w:eastAsia="宋体" w:cs="宋体"/>
          <w:sz w:val="24"/>
          <w:szCs w:val="24"/>
        </w:rPr>
      </w:pPr>
      <w:r>
        <w:rPr>
          <w:rFonts w:ascii="宋体" w:hAnsi="宋体" w:eastAsia="宋体" w:cs="宋体"/>
          <w:b/>
          <w:bCs/>
          <w:spacing w:val="-3"/>
          <w:sz w:val="24"/>
          <w:szCs w:val="24"/>
        </w:rPr>
        <w:t>②沼气产生量</w:t>
      </w:r>
    </w:p>
    <w:p w14:paraId="29E17031">
      <w:pPr>
        <w:spacing w:before="187" w:line="353" w:lineRule="auto"/>
        <w:ind w:left="40" w:right="104" w:firstLine="479"/>
        <w:rPr>
          <w:rFonts w:ascii="宋体" w:hAnsi="宋体" w:eastAsia="宋体" w:cs="宋体"/>
          <w:sz w:val="24"/>
          <w:szCs w:val="24"/>
        </w:rPr>
      </w:pPr>
      <w:r>
        <w:rPr>
          <w:rFonts w:ascii="宋体" w:hAnsi="宋体" w:eastAsia="宋体" w:cs="宋体"/>
          <w:spacing w:val="-4"/>
          <w:sz w:val="24"/>
          <w:szCs w:val="24"/>
        </w:rPr>
        <w:t>根据《规模化畜禽养殖场沼气工程设计规范》（</w:t>
      </w:r>
      <w:r>
        <w:rPr>
          <w:rFonts w:ascii="Times New Roman" w:hAnsi="Times New Roman" w:eastAsia="Times New Roman" w:cs="Times New Roman"/>
          <w:spacing w:val="-4"/>
          <w:sz w:val="24"/>
          <w:szCs w:val="24"/>
        </w:rPr>
        <w:t>NY/T1222-2006</w:t>
      </w:r>
      <w:r>
        <w:rPr>
          <w:rFonts w:ascii="宋体" w:hAnsi="宋体" w:eastAsia="宋体" w:cs="宋体"/>
          <w:spacing w:val="-56"/>
          <w:sz w:val="24"/>
          <w:szCs w:val="24"/>
        </w:rPr>
        <w:t>），</w:t>
      </w:r>
      <w:r>
        <w:rPr>
          <w:rFonts w:ascii="宋体" w:hAnsi="宋体" w:eastAsia="宋体" w:cs="宋体"/>
          <w:spacing w:val="-4"/>
          <w:sz w:val="24"/>
          <w:szCs w:val="24"/>
        </w:rPr>
        <w:t>一般情况</w:t>
      </w:r>
      <w:r>
        <w:rPr>
          <w:rFonts w:ascii="宋体" w:hAnsi="宋体" w:eastAsia="宋体" w:cs="宋体"/>
          <w:spacing w:val="-6"/>
          <w:sz w:val="24"/>
          <w:szCs w:val="24"/>
        </w:rPr>
        <w:t>下，厌氧工艺段每去除</w:t>
      </w:r>
      <w:r>
        <w:rPr>
          <w:rFonts w:ascii="Times New Roman" w:hAnsi="Times New Roman" w:eastAsia="Times New Roman" w:cs="Times New Roman"/>
          <w:spacing w:val="-6"/>
          <w:sz w:val="24"/>
          <w:szCs w:val="24"/>
        </w:rPr>
        <w:t>1kgCOD</w:t>
      </w:r>
      <w:r>
        <w:rPr>
          <w:rFonts w:ascii="宋体" w:hAnsi="宋体" w:eastAsia="宋体" w:cs="宋体"/>
          <w:spacing w:val="-6"/>
          <w:sz w:val="24"/>
          <w:szCs w:val="24"/>
        </w:rPr>
        <w:t>可产生</w:t>
      </w:r>
      <w:r>
        <w:rPr>
          <w:rFonts w:ascii="Times New Roman" w:hAnsi="Times New Roman" w:eastAsia="Times New Roman" w:cs="Times New Roman"/>
          <w:spacing w:val="-6"/>
          <w:sz w:val="24"/>
          <w:szCs w:val="24"/>
        </w:rPr>
        <w:t>0.35m</w:t>
      </w:r>
      <w:r>
        <w:rPr>
          <w:rFonts w:ascii="Times New Roman" w:hAnsi="Times New Roman" w:eastAsia="Times New Roman" w:cs="Times New Roman"/>
          <w:spacing w:val="-6"/>
          <w:position w:val="10"/>
          <w:sz w:val="15"/>
          <w:szCs w:val="15"/>
        </w:rPr>
        <w:t xml:space="preserve">3 </w:t>
      </w:r>
      <w:r>
        <w:rPr>
          <w:rFonts w:ascii="宋体" w:hAnsi="宋体" w:eastAsia="宋体" w:cs="宋体"/>
          <w:spacing w:val="-6"/>
          <w:sz w:val="24"/>
          <w:szCs w:val="24"/>
        </w:rPr>
        <w:t>甲烷，沼气中甲烷含量约</w:t>
      </w:r>
      <w:r>
        <w:rPr>
          <w:rFonts w:ascii="Times New Roman" w:hAnsi="Times New Roman" w:eastAsia="Times New Roman" w:cs="Times New Roman"/>
          <w:spacing w:val="-6"/>
          <w:sz w:val="24"/>
          <w:szCs w:val="24"/>
        </w:rPr>
        <w:t>70%</w:t>
      </w:r>
      <w:r>
        <w:rPr>
          <w:rFonts w:ascii="宋体" w:hAnsi="宋体" w:eastAsia="宋体" w:cs="宋体"/>
          <w:spacing w:val="-6"/>
          <w:sz w:val="24"/>
          <w:szCs w:val="24"/>
        </w:rPr>
        <w:t>左右。</w:t>
      </w:r>
      <w:r>
        <w:rPr>
          <w:rFonts w:ascii="宋体" w:hAnsi="宋体" w:eastAsia="宋体" w:cs="宋体"/>
          <w:spacing w:val="22"/>
          <w:sz w:val="24"/>
          <w:szCs w:val="24"/>
        </w:rPr>
        <w:t>本项目厌氧发酵处理工序</w:t>
      </w:r>
      <w:r>
        <w:rPr>
          <w:rFonts w:ascii="Times New Roman" w:hAnsi="Times New Roman" w:eastAsia="Times New Roman" w:cs="Times New Roman"/>
          <w:sz w:val="24"/>
          <w:szCs w:val="24"/>
        </w:rPr>
        <w:t>COD</w:t>
      </w:r>
      <w:r>
        <w:rPr>
          <w:rFonts w:ascii="Times New Roman" w:hAnsi="Times New Roman" w:eastAsia="Times New Roman" w:cs="Times New Roman"/>
          <w:spacing w:val="-16"/>
          <w:sz w:val="24"/>
          <w:szCs w:val="24"/>
        </w:rPr>
        <w:t xml:space="preserve"> </w:t>
      </w:r>
      <w:r>
        <w:rPr>
          <w:rFonts w:ascii="宋体" w:hAnsi="宋体" w:eastAsia="宋体" w:cs="宋体"/>
          <w:spacing w:val="22"/>
          <w:sz w:val="24"/>
          <w:szCs w:val="24"/>
        </w:rPr>
        <w:t>设计去除量约为</w:t>
      </w:r>
      <w:r>
        <w:rPr>
          <w:rFonts w:ascii="宋体" w:hAnsi="宋体" w:eastAsia="宋体" w:cs="宋体"/>
          <w:spacing w:val="-61"/>
          <w:sz w:val="24"/>
          <w:szCs w:val="24"/>
        </w:rPr>
        <w:t xml:space="preserve"> </w:t>
      </w:r>
      <w:r>
        <w:rPr>
          <w:rFonts w:ascii="Times New Roman" w:hAnsi="Times New Roman" w:eastAsia="Times New Roman" w:cs="Times New Roman"/>
          <w:spacing w:val="22"/>
          <w:sz w:val="24"/>
          <w:szCs w:val="24"/>
        </w:rPr>
        <w:t>103</w:t>
      </w:r>
      <w:r>
        <w:rPr>
          <w:rFonts w:ascii="Times New Roman" w:hAnsi="Times New Roman" w:eastAsia="Times New Roman" w:cs="Times New Roman"/>
          <w:spacing w:val="21"/>
          <w:sz w:val="24"/>
          <w:szCs w:val="24"/>
        </w:rPr>
        <w:t>0t/a</w:t>
      </w:r>
      <w:r>
        <w:rPr>
          <w:rFonts w:ascii="宋体" w:hAnsi="宋体" w:eastAsia="宋体" w:cs="宋体"/>
          <w:spacing w:val="21"/>
          <w:sz w:val="24"/>
          <w:szCs w:val="24"/>
        </w:rPr>
        <w:t>，则沼气产生量为</w:t>
      </w:r>
      <w:r>
        <w:rPr>
          <w:rFonts w:ascii="Times New Roman" w:hAnsi="Times New Roman" w:eastAsia="Times New Roman" w:cs="Times New Roman"/>
          <w:spacing w:val="-1"/>
          <w:sz w:val="24"/>
          <w:szCs w:val="24"/>
        </w:rPr>
        <w:t>515105m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5048DBF6">
      <w:pPr>
        <w:spacing w:before="35" w:line="219" w:lineRule="auto"/>
        <w:ind w:left="518"/>
        <w:rPr>
          <w:rFonts w:ascii="宋体" w:hAnsi="宋体" w:eastAsia="宋体" w:cs="宋体"/>
          <w:sz w:val="24"/>
          <w:szCs w:val="24"/>
        </w:rPr>
      </w:pP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）沼气燃烧处理及废气</w:t>
      </w:r>
    </w:p>
    <w:p w14:paraId="641D3170">
      <w:pPr>
        <w:spacing w:before="184" w:line="360" w:lineRule="auto"/>
        <w:ind w:left="41" w:right="104" w:firstLine="478"/>
        <w:jc w:val="both"/>
        <w:rPr>
          <w:rFonts w:ascii="宋体" w:hAnsi="宋体" w:eastAsia="宋体" w:cs="宋体"/>
          <w:sz w:val="24"/>
          <w:szCs w:val="24"/>
        </w:rPr>
      </w:pPr>
      <w:r>
        <w:rPr>
          <w:rFonts w:ascii="宋体" w:hAnsi="宋体" w:eastAsia="宋体" w:cs="宋体"/>
          <w:spacing w:val="-3"/>
          <w:sz w:val="24"/>
          <w:szCs w:val="24"/>
        </w:rPr>
        <w:t>根据《畜禽养殖业污染治理工程技术规范》（</w:t>
      </w:r>
      <w:r>
        <w:rPr>
          <w:rFonts w:ascii="Times New Roman" w:hAnsi="Times New Roman" w:eastAsia="Times New Roman" w:cs="Times New Roman"/>
          <w:spacing w:val="-3"/>
          <w:sz w:val="24"/>
          <w:szCs w:val="24"/>
        </w:rPr>
        <w:t>HJ497-2009</w:t>
      </w:r>
      <w:r>
        <w:rPr>
          <w:rFonts w:ascii="宋体" w:hAnsi="宋体" w:eastAsia="宋体" w:cs="宋体"/>
          <w:spacing w:val="-3"/>
          <w:sz w:val="24"/>
          <w:szCs w:val="24"/>
        </w:rPr>
        <w:t>）中规定：厌氧处理产生的沼气须完全利用，不得直接向环境排放。经净化处理后通过输配气系统可用于居民生活用气、锅炉燃烧、沼气发电等。</w:t>
      </w:r>
    </w:p>
    <w:p w14:paraId="56E52922">
      <w:pPr>
        <w:spacing w:line="360" w:lineRule="auto"/>
        <w:ind w:left="38" w:right="104" w:firstLine="510"/>
        <w:jc w:val="both"/>
        <w:rPr>
          <w:rFonts w:ascii="宋体" w:hAnsi="宋体" w:eastAsia="宋体" w:cs="宋体"/>
          <w:sz w:val="24"/>
          <w:szCs w:val="24"/>
        </w:rPr>
      </w:pPr>
      <w:r>
        <w:rPr>
          <w:rFonts w:ascii="宋体" w:hAnsi="宋体" w:eastAsia="宋体" w:cs="宋体"/>
          <w:spacing w:val="-4"/>
          <w:sz w:val="24"/>
          <w:szCs w:val="24"/>
        </w:rPr>
        <w:t>由前文分析知，本项目内不设置食堂，不设置锅炉及沼气发电机，项目</w:t>
      </w:r>
      <w:r>
        <w:rPr>
          <w:rFonts w:ascii="宋体" w:hAnsi="宋体" w:eastAsia="宋体" w:cs="宋体"/>
          <w:spacing w:val="-5"/>
          <w:sz w:val="24"/>
          <w:szCs w:val="24"/>
        </w:rPr>
        <w:t>内可</w:t>
      </w:r>
      <w:r>
        <w:rPr>
          <w:rFonts w:ascii="宋体" w:hAnsi="宋体" w:eastAsia="宋体" w:cs="宋体"/>
          <w:spacing w:val="-3"/>
          <w:sz w:val="24"/>
          <w:szCs w:val="24"/>
        </w:rPr>
        <w:t>能利用沼气在于员工洗澡用热水器，而其消耗量较小，远不能消化厌氧所产生的</w:t>
      </w:r>
      <w:r>
        <w:rPr>
          <w:rFonts w:ascii="宋体" w:hAnsi="宋体" w:eastAsia="宋体" w:cs="宋体"/>
          <w:sz w:val="24"/>
          <w:szCs w:val="24"/>
        </w:rPr>
        <w:t>沼气量。为防止沼气排放可能导致的环境污染及环境风险问题，本项目</w:t>
      </w:r>
      <w:r>
        <w:rPr>
          <w:rFonts w:ascii="Times New Roman" w:hAnsi="Times New Roman" w:eastAsia="Times New Roman" w:cs="Times New Roman"/>
          <w:sz w:val="24"/>
          <w:szCs w:val="24"/>
        </w:rPr>
        <w:t>CSTR</w:t>
      </w:r>
      <w:r>
        <w:rPr>
          <w:rFonts w:ascii="宋体" w:hAnsi="宋体" w:eastAsia="宋体" w:cs="宋体"/>
          <w:sz w:val="24"/>
          <w:szCs w:val="24"/>
        </w:rPr>
        <w:t>厌</w:t>
      </w:r>
      <w:r>
        <w:rPr>
          <w:rFonts w:ascii="宋体" w:hAnsi="宋体" w:eastAsia="宋体" w:cs="宋体"/>
          <w:spacing w:val="-3"/>
          <w:sz w:val="24"/>
          <w:szCs w:val="24"/>
        </w:rPr>
        <w:t>氧反应器产生的沼气经脱水脱硫净化后，拟通过沼气燃烧火炬燃烧处理，评价建议建设单位后期加强对同类养猪场沼气能利用的调研，尽量实现资源化利用。根</w:t>
      </w:r>
      <w:r>
        <w:rPr>
          <w:rFonts w:ascii="宋体" w:hAnsi="宋体" w:eastAsia="宋体" w:cs="宋体"/>
          <w:spacing w:val="1"/>
          <w:sz w:val="24"/>
          <w:szCs w:val="24"/>
        </w:rPr>
        <w:t>据建设单位提供的资料，本项目拟设沼气火炬燃烧量</w:t>
      </w:r>
      <w:r>
        <w:rPr>
          <w:rFonts w:ascii="Times New Roman" w:hAnsi="Times New Roman" w:eastAsia="Times New Roman" w:cs="Times New Roman"/>
          <w:spacing w:val="1"/>
          <w:sz w:val="24"/>
          <w:szCs w:val="24"/>
        </w:rPr>
        <w:t>100m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，能够完</w:t>
      </w:r>
      <w:r>
        <w:rPr>
          <w:rFonts w:ascii="宋体" w:hAnsi="宋体" w:eastAsia="宋体" w:cs="宋体"/>
          <w:sz w:val="24"/>
          <w:szCs w:val="24"/>
        </w:rPr>
        <w:t>全消耗本</w:t>
      </w:r>
      <w:r>
        <w:rPr>
          <w:rFonts w:ascii="宋体" w:hAnsi="宋体" w:eastAsia="宋体" w:cs="宋体"/>
          <w:spacing w:val="-5"/>
          <w:sz w:val="24"/>
          <w:szCs w:val="24"/>
        </w:rPr>
        <w:t>项目产生的沼气。</w:t>
      </w:r>
    </w:p>
    <w:p w14:paraId="503F2B92">
      <w:pPr>
        <w:spacing w:before="2" w:line="349" w:lineRule="auto"/>
        <w:ind w:left="39" w:right="105" w:firstLine="483"/>
        <w:jc w:val="both"/>
        <w:rPr>
          <w:rFonts w:ascii="宋体" w:hAnsi="宋体" w:eastAsia="宋体" w:cs="宋体"/>
          <w:sz w:val="24"/>
          <w:szCs w:val="24"/>
        </w:rPr>
      </w:pPr>
      <w:r>
        <w:rPr>
          <w:rFonts w:ascii="宋体" w:hAnsi="宋体" w:eastAsia="宋体" w:cs="宋体"/>
          <w:spacing w:val="-4"/>
          <w:sz w:val="24"/>
          <w:szCs w:val="24"/>
        </w:rPr>
        <w:t>项目产生的沼气经气水分离和活性氧化铁吸附柱脱硫除臭（脱硫除臭效率为</w:t>
      </w:r>
      <w:r>
        <w:rPr>
          <w:rFonts w:ascii="Times New Roman" w:hAnsi="Times New Roman" w:eastAsia="Times New Roman" w:cs="Times New Roman"/>
          <w:sz w:val="24"/>
          <w:szCs w:val="24"/>
        </w:rPr>
        <w:t>99.2%</w:t>
      </w:r>
      <w:r>
        <w:rPr>
          <w:rFonts w:ascii="宋体" w:hAnsi="宋体" w:eastAsia="宋体" w:cs="宋体"/>
          <w:sz w:val="24"/>
          <w:szCs w:val="24"/>
        </w:rPr>
        <w:t>）后，进入火炬，火炬内设置可燃气体感应器，一旦感应到可</w:t>
      </w:r>
      <w:r>
        <w:rPr>
          <w:rFonts w:ascii="宋体" w:hAnsi="宋体" w:eastAsia="宋体" w:cs="宋体"/>
          <w:spacing w:val="-1"/>
          <w:sz w:val="24"/>
          <w:szCs w:val="24"/>
        </w:rPr>
        <w:t>燃气体即自</w:t>
      </w:r>
      <w:r>
        <w:rPr>
          <w:rFonts w:ascii="宋体" w:hAnsi="宋体" w:eastAsia="宋体" w:cs="宋体"/>
          <w:sz w:val="24"/>
          <w:szCs w:val="24"/>
        </w:rPr>
        <w:t>动点火，使沼气燃烧，沼气属于清洁能源，燃烧后主要产生</w:t>
      </w:r>
      <w:r>
        <w:rPr>
          <w:rFonts w:ascii="Times New Roman" w:hAnsi="Times New Roman" w:eastAsia="Times New Roman" w:cs="Times New Roman"/>
          <w:sz w:val="24"/>
          <w:szCs w:val="24"/>
        </w:rPr>
        <w:t>CO</w:t>
      </w:r>
      <w:r>
        <w:rPr>
          <w:rFonts w:ascii="Times New Roman" w:hAnsi="Times New Roman" w:eastAsia="Times New Roman" w:cs="Times New Roman"/>
          <w:sz w:val="15"/>
          <w:szCs w:val="15"/>
        </w:rPr>
        <w:t>2</w:t>
      </w:r>
      <w:r>
        <w:rPr>
          <w:rFonts w:ascii="宋体" w:hAnsi="宋体" w:eastAsia="宋体" w:cs="宋体"/>
          <w:sz w:val="24"/>
          <w:szCs w:val="24"/>
        </w:rPr>
        <w:t>和</w:t>
      </w:r>
      <w:r>
        <w:rPr>
          <w:rFonts w:ascii="Times New Roman" w:hAnsi="Times New Roman" w:eastAsia="Times New Roman" w:cs="Times New Roman"/>
          <w:sz w:val="24"/>
          <w:szCs w:val="24"/>
        </w:rPr>
        <w:t>H</w:t>
      </w:r>
      <w:r>
        <w:rPr>
          <w:rFonts w:ascii="Times New Roman" w:hAnsi="Times New Roman" w:eastAsia="Times New Roman" w:cs="Times New Roman"/>
          <w:sz w:val="15"/>
          <w:szCs w:val="15"/>
        </w:rPr>
        <w:t>2</w:t>
      </w:r>
      <w:r>
        <w:rPr>
          <w:rFonts w:ascii="Times New Roman" w:hAnsi="Times New Roman" w:eastAsia="Times New Roman" w:cs="Times New Roman"/>
          <w:sz w:val="24"/>
          <w:szCs w:val="24"/>
        </w:rPr>
        <w:t>O</w:t>
      </w:r>
      <w:r>
        <w:rPr>
          <w:rFonts w:ascii="宋体" w:hAnsi="宋体" w:eastAsia="宋体" w:cs="宋体"/>
          <w:sz w:val="24"/>
          <w:szCs w:val="24"/>
        </w:rPr>
        <w:t>，但沼气</w:t>
      </w:r>
      <w:r>
        <w:rPr>
          <w:rFonts w:ascii="宋体" w:hAnsi="宋体" w:eastAsia="宋体" w:cs="宋体"/>
          <w:spacing w:val="-2"/>
          <w:sz w:val="24"/>
          <w:szCs w:val="24"/>
        </w:rPr>
        <w:t>中含有少量的</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1"/>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成分，</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燃烧会产生一定量的</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sz w:val="15"/>
          <w:szCs w:val="15"/>
        </w:rPr>
        <w:t>2</w:t>
      </w:r>
      <w:r>
        <w:rPr>
          <w:rFonts w:ascii="宋体" w:hAnsi="宋体" w:eastAsia="宋体" w:cs="宋体"/>
          <w:spacing w:val="-2"/>
          <w:sz w:val="24"/>
          <w:szCs w:val="24"/>
        </w:rPr>
        <w:t>，此外沼气燃烧还</w:t>
      </w:r>
      <w:r>
        <w:rPr>
          <w:rFonts w:ascii="宋体" w:hAnsi="宋体" w:eastAsia="宋体" w:cs="宋体"/>
          <w:spacing w:val="-3"/>
          <w:sz w:val="24"/>
          <w:szCs w:val="24"/>
        </w:rPr>
        <w:t>会产生少</w:t>
      </w:r>
      <w:r>
        <w:rPr>
          <w:rFonts w:ascii="宋体" w:hAnsi="宋体" w:eastAsia="宋体" w:cs="宋体"/>
          <w:spacing w:val="-1"/>
          <w:sz w:val="24"/>
          <w:szCs w:val="24"/>
        </w:rPr>
        <w:t>量</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sz w:val="15"/>
          <w:szCs w:val="15"/>
        </w:rPr>
        <w:t>X</w:t>
      </w:r>
      <w:r>
        <w:rPr>
          <w:rFonts w:ascii="宋体" w:hAnsi="宋体" w:eastAsia="宋体" w:cs="宋体"/>
          <w:spacing w:val="-1"/>
          <w:sz w:val="24"/>
          <w:szCs w:val="24"/>
        </w:rPr>
        <w:t>。</w:t>
      </w:r>
    </w:p>
    <w:p w14:paraId="4C8D9316">
      <w:pPr>
        <w:spacing w:line="349" w:lineRule="auto"/>
        <w:rPr>
          <w:rFonts w:ascii="宋体" w:hAnsi="宋体" w:eastAsia="宋体" w:cs="宋体"/>
          <w:sz w:val="24"/>
          <w:szCs w:val="24"/>
        </w:rPr>
        <w:sectPr>
          <w:headerReference r:id="rId211" w:type="default"/>
          <w:footerReference r:id="rId212" w:type="default"/>
          <w:pgSz w:w="11905" w:h="16840"/>
          <w:pgMar w:top="1168" w:right="1693" w:bottom="1409" w:left="1770" w:header="828" w:footer="1244" w:gutter="0"/>
          <w:cols w:space="720" w:num="1"/>
        </w:sectPr>
      </w:pPr>
    </w:p>
    <w:p w14:paraId="2251B56D">
      <w:pPr>
        <w:pStyle w:val="2"/>
        <w:spacing w:line="306" w:lineRule="auto"/>
      </w:pPr>
    </w:p>
    <w:p w14:paraId="0250013B">
      <w:pPr>
        <w:spacing w:before="78" w:line="359" w:lineRule="auto"/>
        <w:ind w:left="35" w:right="29" w:firstLine="484"/>
        <w:rPr>
          <w:rFonts w:ascii="宋体" w:hAnsi="宋体" w:eastAsia="宋体" w:cs="宋体"/>
          <w:sz w:val="24"/>
          <w:szCs w:val="24"/>
        </w:rPr>
      </w:pPr>
      <w:r>
        <w:rPr>
          <w:rFonts w:ascii="宋体" w:hAnsi="宋体" w:eastAsia="宋体" w:cs="宋体"/>
          <w:spacing w:val="19"/>
          <w:sz w:val="24"/>
          <w:szCs w:val="24"/>
        </w:rPr>
        <w:t>根据《沼气脱硫技术研究》（来自《化学工程</w:t>
      </w:r>
      <w:r>
        <w:rPr>
          <w:rFonts w:ascii="宋体" w:hAnsi="宋体" w:eastAsia="宋体" w:cs="宋体"/>
          <w:spacing w:val="18"/>
          <w:sz w:val="24"/>
          <w:szCs w:val="24"/>
        </w:rPr>
        <w:t>师》杂志，文章编号：</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1002-1124 </w:t>
      </w:r>
      <w:r>
        <w:rPr>
          <w:rFonts w:ascii="宋体" w:hAnsi="宋体" w:eastAsia="宋体" w:cs="宋体"/>
          <w:spacing w:val="-1"/>
          <w:sz w:val="24"/>
          <w:szCs w:val="24"/>
        </w:rPr>
        <w:t>(</w:t>
      </w:r>
      <w:r>
        <w:rPr>
          <w:rFonts w:ascii="Times New Roman" w:hAnsi="Times New Roman" w:eastAsia="Times New Roman" w:cs="Times New Roman"/>
          <w:spacing w:val="-1"/>
          <w:sz w:val="24"/>
          <w:szCs w:val="24"/>
        </w:rPr>
        <w:t>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01-0032</w:t>
      </w:r>
      <w:r>
        <w:rPr>
          <w:rFonts w:ascii="Times New Roman" w:hAnsi="Times New Roman" w:eastAsia="Times New Roman" w:cs="Times New Roman"/>
          <w:spacing w:val="-2"/>
          <w:sz w:val="24"/>
          <w:szCs w:val="24"/>
        </w:rPr>
        <w:t>-03</w:t>
      </w:r>
      <w:r>
        <w:rPr>
          <w:rFonts w:ascii="宋体" w:hAnsi="宋体" w:eastAsia="宋体" w:cs="宋体"/>
          <w:spacing w:val="-2"/>
          <w:sz w:val="24"/>
          <w:szCs w:val="24"/>
        </w:rPr>
        <w:t>，王钢）一文，类比确定项目沼气中</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质量浓度为</w:t>
      </w:r>
      <w:r>
        <w:rPr>
          <w:rFonts w:ascii="Times New Roman" w:hAnsi="Times New Roman" w:eastAsia="Times New Roman" w:cs="Times New Roman"/>
          <w:spacing w:val="-3"/>
          <w:sz w:val="24"/>
          <w:szCs w:val="24"/>
        </w:rPr>
        <w:t>2g/m</w:t>
      </w:r>
      <w:r>
        <w:rPr>
          <w:rFonts w:ascii="Times New Roman" w:hAnsi="Times New Roman" w:eastAsia="Times New Roman" w:cs="Times New Roman"/>
          <w:spacing w:val="-3"/>
          <w:position w:val="10"/>
          <w:sz w:val="15"/>
          <w:szCs w:val="15"/>
        </w:rPr>
        <w:t>3</w:t>
      </w:r>
      <w:r>
        <w:rPr>
          <w:rFonts w:ascii="宋体" w:hAnsi="宋体" w:eastAsia="宋体" w:cs="宋体"/>
          <w:spacing w:val="-3"/>
          <w:sz w:val="24"/>
          <w:szCs w:val="24"/>
        </w:rPr>
        <w:t>，经脱硫设备处理后（脱硫效率可达</w:t>
      </w:r>
      <w:r>
        <w:rPr>
          <w:rFonts w:ascii="Times New Roman" w:hAnsi="Times New Roman" w:eastAsia="Times New Roman" w:cs="Times New Roman"/>
          <w:spacing w:val="-3"/>
          <w:sz w:val="24"/>
          <w:szCs w:val="24"/>
        </w:rPr>
        <w:t>99.2%</w:t>
      </w:r>
      <w:r>
        <w:rPr>
          <w:rFonts w:ascii="宋体" w:hAnsi="宋体" w:eastAsia="宋体" w:cs="宋体"/>
          <w:spacing w:val="-31"/>
          <w:sz w:val="24"/>
          <w:szCs w:val="24"/>
        </w:rPr>
        <w:t>），</w:t>
      </w:r>
      <w:r>
        <w:rPr>
          <w:rFonts w:ascii="宋体" w:hAnsi="宋体" w:eastAsia="宋体" w:cs="宋体"/>
          <w:spacing w:val="-3"/>
          <w:sz w:val="24"/>
          <w:szCs w:val="24"/>
        </w:rPr>
        <w:t>沼气中</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sz w:val="15"/>
          <w:szCs w:val="15"/>
        </w:rPr>
        <w:t>2</w:t>
      </w:r>
      <w:r>
        <w:rPr>
          <w:rFonts w:ascii="Times New Roman" w:hAnsi="Times New Roman" w:eastAsia="Times New Roman" w:cs="Times New Roman"/>
          <w:spacing w:val="-21"/>
          <w:sz w:val="15"/>
          <w:szCs w:val="15"/>
        </w:rPr>
        <w:t xml:space="preserve"> </w:t>
      </w:r>
      <w:r>
        <w:rPr>
          <w:rFonts w:ascii="Times New Roman" w:hAnsi="Times New Roman" w:eastAsia="Times New Roman" w:cs="Times New Roman"/>
          <w:spacing w:val="-3"/>
          <w:sz w:val="24"/>
          <w:szCs w:val="24"/>
        </w:rPr>
        <w:t>S</w:t>
      </w:r>
      <w:r>
        <w:rPr>
          <w:rFonts w:ascii="宋体" w:hAnsi="宋体" w:eastAsia="宋体" w:cs="宋体"/>
          <w:spacing w:val="-3"/>
          <w:sz w:val="24"/>
          <w:szCs w:val="24"/>
        </w:rPr>
        <w:t>含量为</w:t>
      </w:r>
      <w:r>
        <w:rPr>
          <w:rFonts w:ascii="Times New Roman" w:hAnsi="Times New Roman" w:eastAsia="Times New Roman" w:cs="Times New Roman"/>
          <w:spacing w:val="-3"/>
          <w:sz w:val="24"/>
          <w:szCs w:val="24"/>
        </w:rPr>
        <w:t>16mg/m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8"/>
          <w:position w:val="10"/>
          <w:sz w:val="15"/>
          <w:szCs w:val="15"/>
        </w:rPr>
        <w:t xml:space="preserve"> </w:t>
      </w:r>
      <w:r>
        <w:rPr>
          <w:rFonts w:ascii="宋体" w:hAnsi="宋体" w:eastAsia="宋体" w:cs="宋体"/>
          <w:spacing w:val="-3"/>
          <w:sz w:val="24"/>
          <w:szCs w:val="24"/>
        </w:rPr>
        <w:t>，</w:t>
      </w:r>
      <w:r>
        <w:rPr>
          <w:rFonts w:ascii="宋体" w:hAnsi="宋体" w:eastAsia="宋体" w:cs="宋体"/>
          <w:sz w:val="24"/>
          <w:szCs w:val="24"/>
        </w:rPr>
        <w:t>能够满足《规模化畜禽养殖场沼气工程设计规范</w:t>
      </w:r>
      <w:r>
        <w:rPr>
          <w:rFonts w:ascii="宋体" w:hAnsi="宋体" w:eastAsia="宋体" w:cs="宋体"/>
          <w:spacing w:val="-1"/>
          <w:sz w:val="24"/>
          <w:szCs w:val="24"/>
        </w:rPr>
        <w:t>》（</w:t>
      </w:r>
      <w:r>
        <w:rPr>
          <w:rFonts w:ascii="Times New Roman" w:hAnsi="Times New Roman" w:eastAsia="Times New Roman" w:cs="Times New Roman"/>
          <w:spacing w:val="-1"/>
          <w:sz w:val="24"/>
          <w:szCs w:val="24"/>
        </w:rPr>
        <w:t>NY/T1222-2006</w:t>
      </w:r>
      <w:r>
        <w:rPr>
          <w:rFonts w:ascii="宋体" w:hAnsi="宋体" w:eastAsia="宋体" w:cs="宋体"/>
          <w:spacing w:val="-1"/>
          <w:sz w:val="24"/>
          <w:szCs w:val="24"/>
        </w:rPr>
        <w:t>）中关于沼</w:t>
      </w:r>
      <w:r>
        <w:rPr>
          <w:rFonts w:ascii="宋体" w:hAnsi="宋体" w:eastAsia="宋体" w:cs="宋体"/>
          <w:spacing w:val="-2"/>
          <w:sz w:val="24"/>
          <w:szCs w:val="24"/>
        </w:rPr>
        <w:t>气净化系统处理后的硫化氢小于</w:t>
      </w:r>
      <w:r>
        <w:rPr>
          <w:rFonts w:ascii="Times New Roman" w:hAnsi="Times New Roman" w:eastAsia="Times New Roman" w:cs="Times New Roman"/>
          <w:spacing w:val="-2"/>
          <w:sz w:val="24"/>
          <w:szCs w:val="24"/>
        </w:rPr>
        <w:t>20mg/m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8"/>
          <w:position w:val="10"/>
          <w:sz w:val="15"/>
          <w:szCs w:val="15"/>
        </w:rPr>
        <w:t xml:space="preserve"> </w:t>
      </w:r>
      <w:r>
        <w:rPr>
          <w:rFonts w:ascii="宋体" w:hAnsi="宋体" w:eastAsia="宋体" w:cs="宋体"/>
          <w:spacing w:val="-2"/>
          <w:sz w:val="24"/>
          <w:szCs w:val="24"/>
        </w:rPr>
        <w:t>的要求。</w:t>
      </w:r>
    </w:p>
    <w:p w14:paraId="6386595C">
      <w:pPr>
        <w:spacing w:before="5" w:line="350" w:lineRule="auto"/>
        <w:ind w:left="38" w:right="29" w:firstLine="481"/>
        <w:jc w:val="both"/>
        <w:rPr>
          <w:rFonts w:ascii="宋体" w:hAnsi="宋体" w:eastAsia="宋体" w:cs="宋体"/>
          <w:sz w:val="24"/>
          <w:szCs w:val="24"/>
        </w:rPr>
      </w:pPr>
      <w:r>
        <w:rPr>
          <w:rFonts w:ascii="宋体" w:hAnsi="宋体" w:eastAsia="宋体" w:cs="宋体"/>
          <w:spacing w:val="-3"/>
          <w:sz w:val="24"/>
          <w:szCs w:val="24"/>
        </w:rPr>
        <w:t>烟气量根据《第一次全国污染源普查工业产排污系数手册》的</w:t>
      </w:r>
      <w:r>
        <w:rPr>
          <w:rFonts w:ascii="宋体" w:hAnsi="宋体" w:eastAsia="宋体" w:cs="宋体"/>
          <w:spacing w:val="-4"/>
          <w:sz w:val="24"/>
          <w:szCs w:val="24"/>
        </w:rPr>
        <w:t>产生系数核算</w:t>
      </w:r>
      <w:r>
        <w:rPr>
          <w:rFonts w:ascii="宋体" w:hAnsi="宋体" w:eastAsia="宋体" w:cs="宋体"/>
          <w:spacing w:val="9"/>
          <w:sz w:val="24"/>
          <w:szCs w:val="24"/>
        </w:rPr>
        <w:t>（</w:t>
      </w:r>
      <w:r>
        <w:rPr>
          <w:rFonts w:ascii="宋体" w:hAnsi="宋体" w:eastAsia="宋体" w:cs="宋体"/>
          <w:spacing w:val="-43"/>
          <w:sz w:val="24"/>
          <w:szCs w:val="24"/>
        </w:rPr>
        <w:t xml:space="preserve"> </w:t>
      </w:r>
      <w:r>
        <w:rPr>
          <w:rFonts w:ascii="Times New Roman" w:hAnsi="Times New Roman" w:eastAsia="Times New Roman" w:cs="Times New Roman"/>
          <w:spacing w:val="9"/>
          <w:sz w:val="24"/>
          <w:szCs w:val="24"/>
        </w:rPr>
        <w:t>136259.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9"/>
          <w:sz w:val="24"/>
          <w:szCs w:val="24"/>
        </w:rPr>
        <w:t>17m</w:t>
      </w:r>
      <w:r>
        <w:rPr>
          <w:rFonts w:ascii="Times New Roman" w:hAnsi="Times New Roman" w:eastAsia="Times New Roman" w:cs="Times New Roman"/>
          <w:spacing w:val="9"/>
          <w:position w:val="10"/>
          <w:sz w:val="15"/>
          <w:szCs w:val="15"/>
        </w:rPr>
        <w:t>3</w:t>
      </w:r>
      <w:r>
        <w:rPr>
          <w:rFonts w:ascii="Times New Roman" w:hAnsi="Times New Roman" w:eastAsia="Times New Roman" w:cs="Times New Roman"/>
          <w:spacing w:val="9"/>
          <w:sz w:val="24"/>
          <w:szCs w:val="24"/>
        </w:rPr>
        <w:t xml:space="preserve">/ </w:t>
      </w:r>
      <w:r>
        <w:rPr>
          <w:rFonts w:ascii="宋体" w:hAnsi="宋体" w:eastAsia="宋体" w:cs="宋体"/>
          <w:spacing w:val="9"/>
          <w:sz w:val="24"/>
          <w:szCs w:val="24"/>
        </w:rPr>
        <w:t>万</w:t>
      </w:r>
      <w:r>
        <w:rPr>
          <w:rFonts w:ascii="宋体" w:hAnsi="宋体" w:eastAsia="宋体" w:cs="宋体"/>
          <w:spacing w:val="-70"/>
          <w:sz w:val="24"/>
          <w:szCs w:val="24"/>
        </w:rPr>
        <w:t xml:space="preserve"> </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10"/>
          <w:sz w:val="15"/>
          <w:szCs w:val="15"/>
        </w:rPr>
        <w:t>3</w:t>
      </w:r>
      <w:r>
        <w:rPr>
          <w:rFonts w:ascii="Times New Roman" w:hAnsi="Times New Roman" w:eastAsia="Times New Roman" w:cs="Times New Roman"/>
          <w:spacing w:val="9"/>
          <w:sz w:val="24"/>
          <w:szCs w:val="24"/>
        </w:rPr>
        <w:t xml:space="preserve">- </w:t>
      </w:r>
      <w:r>
        <w:rPr>
          <w:rFonts w:ascii="宋体" w:hAnsi="宋体" w:eastAsia="宋体" w:cs="宋体"/>
          <w:spacing w:val="9"/>
          <w:sz w:val="24"/>
          <w:szCs w:val="24"/>
        </w:rPr>
        <w:t>原料</w:t>
      </w:r>
      <w:r>
        <w:rPr>
          <w:rFonts w:ascii="宋体" w:hAnsi="宋体" w:eastAsia="宋体" w:cs="宋体"/>
          <w:spacing w:val="37"/>
          <w:sz w:val="24"/>
          <w:szCs w:val="24"/>
        </w:rPr>
        <w:t>），</w:t>
      </w:r>
      <w:r>
        <w:rPr>
          <w:rFonts w:ascii="宋体" w:hAnsi="宋体" w:eastAsia="宋体" w:cs="宋体"/>
          <w:spacing w:val="9"/>
          <w:sz w:val="24"/>
          <w:szCs w:val="24"/>
        </w:rPr>
        <w:t>项目产沼气量为</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515105m</w:t>
      </w:r>
      <w:r>
        <w:rPr>
          <w:rFonts w:ascii="Times New Roman" w:hAnsi="Times New Roman" w:eastAsia="Times New Roman" w:cs="Times New Roman"/>
          <w:spacing w:val="9"/>
          <w:position w:val="10"/>
          <w:sz w:val="15"/>
          <w:szCs w:val="15"/>
        </w:rPr>
        <w:t>3</w:t>
      </w:r>
      <w:r>
        <w:rPr>
          <w:rFonts w:ascii="Times New Roman" w:hAnsi="Times New Roman" w:eastAsia="Times New Roman" w:cs="Times New Roman"/>
          <w:spacing w:val="9"/>
          <w:sz w:val="24"/>
          <w:szCs w:val="24"/>
        </w:rPr>
        <w:t>/a</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，则烟气量为</w:t>
      </w:r>
      <w:r>
        <w:rPr>
          <w:rFonts w:ascii="Times New Roman" w:hAnsi="Times New Roman" w:eastAsia="Times New Roman" w:cs="Times New Roman"/>
          <w:position w:val="-1"/>
          <w:sz w:val="24"/>
          <w:szCs w:val="24"/>
        </w:rPr>
        <w:t>7.02×10</w:t>
      </w:r>
      <w:r>
        <w:rPr>
          <w:rFonts w:ascii="Times New Roman" w:hAnsi="Times New Roman" w:eastAsia="Times New Roman" w:cs="Times New Roman"/>
          <w:position w:val="10"/>
          <w:sz w:val="15"/>
          <w:szCs w:val="15"/>
        </w:rPr>
        <w:t>6</w:t>
      </w:r>
      <w:r>
        <w:rPr>
          <w:rFonts w:ascii="Times New Roman" w:hAnsi="Times New Roman" w:eastAsia="Times New Roman" w:cs="Times New Roman"/>
          <w:position w:val="-1"/>
          <w:sz w:val="24"/>
          <w:szCs w:val="24"/>
        </w:rPr>
        <w:t>m</w:t>
      </w:r>
      <w:r>
        <w:rPr>
          <w:rFonts w:ascii="Times New Roman" w:hAnsi="Times New Roman" w:eastAsia="Times New Roman" w:cs="Times New Roman"/>
          <w:position w:val="10"/>
          <w:sz w:val="15"/>
          <w:szCs w:val="15"/>
        </w:rPr>
        <w:t>3</w:t>
      </w:r>
      <w:r>
        <w:rPr>
          <w:rFonts w:ascii="Times New Roman" w:hAnsi="Times New Roman" w:eastAsia="Times New Roman" w:cs="Times New Roman"/>
          <w:position w:val="-1"/>
          <w:sz w:val="24"/>
          <w:szCs w:val="24"/>
        </w:rPr>
        <w:t>/a</w:t>
      </w:r>
      <w:r>
        <w:rPr>
          <w:rFonts w:ascii="宋体" w:hAnsi="宋体" w:eastAsia="宋体" w:cs="宋体"/>
          <w:position w:val="-1"/>
          <w:sz w:val="24"/>
          <w:szCs w:val="24"/>
        </w:rPr>
        <w:t>。</w:t>
      </w:r>
    </w:p>
    <w:p w14:paraId="45A97E31">
      <w:pPr>
        <w:spacing w:before="33" w:line="356" w:lineRule="auto"/>
        <w:ind w:left="38" w:right="29" w:firstLine="480"/>
        <w:jc w:val="both"/>
        <w:rPr>
          <w:rFonts w:ascii="宋体" w:hAnsi="宋体" w:eastAsia="宋体" w:cs="宋体"/>
          <w:sz w:val="24"/>
          <w:szCs w:val="24"/>
        </w:rPr>
      </w:pPr>
      <w:r>
        <w:rPr>
          <w:rFonts w:ascii="宋体" w:hAnsi="宋体" w:eastAsia="宋体" w:cs="宋体"/>
          <w:spacing w:val="2"/>
          <w:sz w:val="24"/>
          <w:szCs w:val="24"/>
        </w:rPr>
        <w:t>考虑沼气中</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完全燃烧，则</w:t>
      </w:r>
      <w:r>
        <w:rPr>
          <w:rFonts w:ascii="Times New Roman" w:hAnsi="Times New Roman" w:eastAsia="Times New Roman" w:cs="Times New Roman"/>
          <w:sz w:val="24"/>
          <w:szCs w:val="24"/>
        </w:rPr>
        <w:t>SO</w:t>
      </w:r>
      <w:r>
        <w:rPr>
          <w:rFonts w:ascii="Times New Roman" w:hAnsi="Times New Roman" w:eastAsia="Times New Roman" w:cs="Times New Roman"/>
          <w:spacing w:val="2"/>
          <w:position w:val="-2"/>
          <w:sz w:val="15"/>
          <w:szCs w:val="15"/>
        </w:rPr>
        <w:t>2</w:t>
      </w:r>
      <w:r>
        <w:rPr>
          <w:rFonts w:ascii="宋体" w:hAnsi="宋体" w:eastAsia="宋体" w:cs="宋体"/>
          <w:spacing w:val="2"/>
          <w:sz w:val="24"/>
          <w:szCs w:val="24"/>
        </w:rPr>
        <w:t>排放量</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产生量</w:t>
      </w:r>
      <w:r>
        <w:rPr>
          <w:rFonts w:ascii="Times New Roman" w:hAnsi="Times New Roman" w:eastAsia="Times New Roman" w:cs="Times New Roman"/>
          <w:spacing w:val="2"/>
          <w:sz w:val="24"/>
          <w:szCs w:val="24"/>
        </w:rPr>
        <w:t>/34×64</w:t>
      </w:r>
      <w:r>
        <w:rPr>
          <w:rFonts w:ascii="宋体" w:hAnsi="宋体" w:eastAsia="宋体" w:cs="宋体"/>
          <w:spacing w:val="1"/>
          <w:sz w:val="24"/>
          <w:szCs w:val="24"/>
        </w:rPr>
        <w:t>，本项目沼气燃</w:t>
      </w:r>
      <w:r>
        <w:rPr>
          <w:rFonts w:ascii="宋体" w:hAnsi="宋体" w:eastAsia="宋体" w:cs="宋体"/>
          <w:spacing w:val="-2"/>
          <w:sz w:val="24"/>
          <w:szCs w:val="24"/>
        </w:rPr>
        <w:t>烧排放</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3"/>
          <w:sz w:val="15"/>
          <w:szCs w:val="15"/>
        </w:rPr>
        <w:t>2</w:t>
      </w:r>
      <w:r>
        <w:rPr>
          <w:rFonts w:ascii="宋体" w:hAnsi="宋体" w:eastAsia="宋体" w:cs="宋体"/>
          <w:spacing w:val="-2"/>
          <w:sz w:val="24"/>
          <w:szCs w:val="24"/>
        </w:rPr>
        <w:t>量为：</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15×10</w:t>
      </w:r>
      <w:r>
        <w:rPr>
          <w:rFonts w:ascii="Times New Roman" w:hAnsi="Times New Roman" w:eastAsia="Times New Roman" w:cs="Times New Roman"/>
          <w:spacing w:val="-2"/>
          <w:position w:val="10"/>
          <w:sz w:val="15"/>
          <w:szCs w:val="15"/>
        </w:rPr>
        <w:t>5</w:t>
      </w:r>
      <w:r>
        <w:rPr>
          <w:rFonts w:ascii="Times New Roman" w:hAnsi="Times New Roman" w:eastAsia="Times New Roman" w:cs="Times New Roman"/>
          <w:spacing w:val="-17"/>
          <w:position w:val="10"/>
          <w:sz w:val="15"/>
          <w:szCs w:val="15"/>
        </w:rPr>
        <w:t xml:space="preserve"> </w:t>
      </w:r>
      <w:r>
        <w:rPr>
          <w:rFonts w:ascii="Times New Roman" w:hAnsi="Times New Roman" w:eastAsia="Times New Roman" w:cs="Times New Roman"/>
          <w:spacing w:val="-2"/>
          <w:sz w:val="24"/>
          <w:szCs w:val="24"/>
        </w:rPr>
        <w:t>×16×10</w:t>
      </w:r>
      <w:r>
        <w:rPr>
          <w:rFonts w:ascii="Times New Roman" w:hAnsi="Times New Roman" w:eastAsia="Times New Roman" w:cs="Times New Roman"/>
          <w:spacing w:val="-2"/>
          <w:position w:val="10"/>
          <w:sz w:val="15"/>
          <w:szCs w:val="15"/>
        </w:rPr>
        <w:t>-6</w:t>
      </w:r>
      <w:r>
        <w:rPr>
          <w:rFonts w:ascii="Times New Roman" w:hAnsi="Times New Roman" w:eastAsia="Times New Roman" w:cs="Times New Roman"/>
          <w:spacing w:val="-17"/>
          <w:position w:val="10"/>
          <w:sz w:val="15"/>
          <w:szCs w:val="15"/>
        </w:rPr>
        <w:t xml:space="preserve"> </w:t>
      </w:r>
      <w:r>
        <w:rPr>
          <w:rFonts w:ascii="Times New Roman" w:hAnsi="Times New Roman" w:eastAsia="Times New Roman" w:cs="Times New Roman"/>
          <w:spacing w:val="-2"/>
          <w:sz w:val="24"/>
          <w:szCs w:val="24"/>
        </w:rPr>
        <w:t>×64÷34=15.51kg/a</w:t>
      </w:r>
      <w:r>
        <w:rPr>
          <w:rFonts w:ascii="宋体" w:hAnsi="宋体" w:eastAsia="宋体" w:cs="宋体"/>
          <w:spacing w:val="-2"/>
          <w:sz w:val="24"/>
          <w:szCs w:val="24"/>
        </w:rPr>
        <w:t>，</w:t>
      </w:r>
      <w:r>
        <w:rPr>
          <w:rFonts w:ascii="宋体" w:hAnsi="宋体" w:eastAsia="宋体" w:cs="宋体"/>
          <w:spacing w:val="-3"/>
          <w:sz w:val="24"/>
          <w:szCs w:val="24"/>
        </w:rPr>
        <w:t>即</w:t>
      </w:r>
      <w:r>
        <w:rPr>
          <w:rFonts w:ascii="Times New Roman" w:hAnsi="Times New Roman" w:eastAsia="Times New Roman" w:cs="Times New Roman"/>
          <w:spacing w:val="-3"/>
          <w:sz w:val="24"/>
          <w:szCs w:val="24"/>
        </w:rPr>
        <w:t>0.016t/a</w:t>
      </w:r>
      <w:r>
        <w:rPr>
          <w:rFonts w:ascii="宋体" w:hAnsi="宋体" w:eastAsia="宋体" w:cs="宋体"/>
          <w:spacing w:val="-3"/>
          <w:sz w:val="24"/>
          <w:szCs w:val="24"/>
        </w:rPr>
        <w:t>；烟尘参考《第一次全国污染源普查城镇生活污染源产排污系数手册》管道天然气产污系数经验</w:t>
      </w:r>
      <w:r>
        <w:rPr>
          <w:rFonts w:ascii="宋体" w:hAnsi="宋体" w:eastAsia="宋体" w:cs="宋体"/>
          <w:sz w:val="24"/>
          <w:szCs w:val="24"/>
        </w:rPr>
        <w:t>数据为</w:t>
      </w:r>
      <w:r>
        <w:rPr>
          <w:rFonts w:ascii="Times New Roman" w:hAnsi="Times New Roman" w:eastAsia="Times New Roman" w:cs="Times New Roman"/>
          <w:sz w:val="24"/>
          <w:szCs w:val="24"/>
        </w:rPr>
        <w:t>10g/</w:t>
      </w:r>
      <w:r>
        <w:rPr>
          <w:rFonts w:ascii="宋体" w:hAnsi="宋体" w:eastAsia="宋体" w:cs="宋体"/>
          <w:sz w:val="24"/>
          <w:szCs w:val="24"/>
        </w:rPr>
        <w:t>万</w:t>
      </w:r>
      <w:r>
        <w:rPr>
          <w:rFonts w:ascii="Times New Roman" w:hAnsi="Times New Roman" w:eastAsia="Times New Roman" w:cs="Times New Roman"/>
          <w:sz w:val="24"/>
          <w:szCs w:val="24"/>
        </w:rPr>
        <w:t>m</w:t>
      </w:r>
      <w:r>
        <w:rPr>
          <w:rFonts w:ascii="Times New Roman" w:hAnsi="Times New Roman" w:eastAsia="Times New Roman" w:cs="Times New Roman"/>
          <w:position w:val="10"/>
          <w:sz w:val="15"/>
          <w:szCs w:val="15"/>
        </w:rPr>
        <w:t>3</w:t>
      </w:r>
      <w:r>
        <w:rPr>
          <w:rFonts w:ascii="宋体" w:hAnsi="宋体" w:eastAsia="宋体" w:cs="宋体"/>
          <w:sz w:val="24"/>
          <w:szCs w:val="24"/>
        </w:rPr>
        <w:t>天然气；氮氧化物外排浓度限值确定为</w:t>
      </w:r>
      <w:r>
        <w:rPr>
          <w:rFonts w:ascii="Times New Roman" w:hAnsi="Times New Roman" w:eastAsia="Times New Roman" w:cs="Times New Roman"/>
          <w:sz w:val="24"/>
          <w:szCs w:val="24"/>
        </w:rPr>
        <w:t>30mg/m</w:t>
      </w:r>
      <w:r>
        <w:rPr>
          <w:rFonts w:ascii="Times New Roman" w:hAnsi="Times New Roman" w:eastAsia="Times New Roman" w:cs="Times New Roman"/>
          <w:position w:val="10"/>
          <w:sz w:val="15"/>
          <w:szCs w:val="15"/>
        </w:rPr>
        <w:t>3</w:t>
      </w:r>
      <w:r>
        <w:rPr>
          <w:rFonts w:ascii="宋体" w:hAnsi="宋体" w:eastAsia="宋体" w:cs="宋体"/>
          <w:sz w:val="24"/>
          <w:szCs w:val="24"/>
        </w:rPr>
        <w:t>。则本项目沼气</w:t>
      </w:r>
      <w:r>
        <w:rPr>
          <w:rFonts w:ascii="宋体" w:hAnsi="宋体" w:eastAsia="宋体" w:cs="宋体"/>
          <w:spacing w:val="-7"/>
          <w:sz w:val="24"/>
          <w:szCs w:val="24"/>
        </w:rPr>
        <w:t>燃烧产排情况如下：</w:t>
      </w:r>
    </w:p>
    <w:p w14:paraId="0EB164C8">
      <w:pPr>
        <w:spacing w:before="37" w:line="220" w:lineRule="auto"/>
        <w:ind w:left="198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2.2-12  </w:t>
      </w:r>
      <w:r>
        <w:rPr>
          <w:rFonts w:ascii="黑体" w:hAnsi="黑体" w:eastAsia="黑体" w:cs="黑体"/>
          <w:spacing w:val="-1"/>
          <w:sz w:val="21"/>
          <w:szCs w:val="21"/>
        </w:rPr>
        <w:t>沼气燃烧火炬燃烧废气产排情况一览表</w:t>
      </w:r>
    </w:p>
    <w:p w14:paraId="5C205056">
      <w:pPr>
        <w:spacing w:line="90"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2"/>
        <w:gridCol w:w="2078"/>
        <w:gridCol w:w="2077"/>
        <w:gridCol w:w="2083"/>
      </w:tblGrid>
      <w:tr w14:paraId="767EB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2" w:type="dxa"/>
            <w:vAlign w:val="top"/>
          </w:tcPr>
          <w:p w14:paraId="33AFE406">
            <w:pPr>
              <w:spacing w:before="69" w:line="220" w:lineRule="auto"/>
              <w:ind w:left="733"/>
              <w:rPr>
                <w:rFonts w:ascii="宋体" w:hAnsi="宋体" w:eastAsia="宋体" w:cs="宋体"/>
                <w:sz w:val="21"/>
                <w:szCs w:val="21"/>
              </w:rPr>
            </w:pPr>
            <w:r>
              <w:rPr>
                <w:rFonts w:ascii="宋体" w:hAnsi="宋体" w:eastAsia="宋体" w:cs="宋体"/>
                <w:spacing w:val="-3"/>
                <w:sz w:val="21"/>
                <w:szCs w:val="21"/>
              </w:rPr>
              <w:t>污染源</w:t>
            </w:r>
          </w:p>
        </w:tc>
        <w:tc>
          <w:tcPr>
            <w:tcW w:w="2078" w:type="dxa"/>
            <w:vAlign w:val="top"/>
          </w:tcPr>
          <w:p w14:paraId="4CED29DA">
            <w:pPr>
              <w:spacing w:before="69" w:line="220" w:lineRule="auto"/>
              <w:ind w:left="625"/>
              <w:rPr>
                <w:rFonts w:ascii="宋体" w:hAnsi="宋体" w:eastAsia="宋体" w:cs="宋体"/>
                <w:sz w:val="21"/>
                <w:szCs w:val="21"/>
              </w:rPr>
            </w:pPr>
            <w:r>
              <w:rPr>
                <w:rFonts w:ascii="宋体" w:hAnsi="宋体" w:eastAsia="宋体" w:cs="宋体"/>
                <w:spacing w:val="-2"/>
                <w:sz w:val="21"/>
                <w:szCs w:val="21"/>
              </w:rPr>
              <w:t>污染因子</w:t>
            </w:r>
          </w:p>
        </w:tc>
        <w:tc>
          <w:tcPr>
            <w:tcW w:w="2077" w:type="dxa"/>
            <w:vAlign w:val="top"/>
          </w:tcPr>
          <w:p w14:paraId="750B0424">
            <w:pPr>
              <w:pStyle w:val="6"/>
              <w:spacing w:before="53" w:line="227" w:lineRule="auto"/>
              <w:ind w:left="538"/>
            </w:pPr>
            <w:r>
              <w:rPr>
                <w:rFonts w:ascii="宋体" w:hAnsi="宋体" w:eastAsia="宋体" w:cs="宋体"/>
                <w:spacing w:val="-2"/>
              </w:rPr>
              <w:t>烟气量</w:t>
            </w:r>
            <w:r>
              <w:rPr>
                <w:spacing w:val="-2"/>
              </w:rPr>
              <w:t>m</w:t>
            </w:r>
            <w:r>
              <w:rPr>
                <w:spacing w:val="-2"/>
                <w:position w:val="9"/>
                <w:sz w:val="14"/>
                <w:szCs w:val="14"/>
              </w:rPr>
              <w:t>3</w:t>
            </w:r>
            <w:r>
              <w:rPr>
                <w:spacing w:val="-2"/>
              </w:rPr>
              <w:t>/a</w:t>
            </w:r>
          </w:p>
        </w:tc>
        <w:tc>
          <w:tcPr>
            <w:tcW w:w="2083" w:type="dxa"/>
            <w:vAlign w:val="top"/>
          </w:tcPr>
          <w:p w14:paraId="4664C0B6">
            <w:pPr>
              <w:pStyle w:val="6"/>
              <w:spacing w:before="68" w:line="221" w:lineRule="auto"/>
              <w:ind w:left="627"/>
            </w:pPr>
            <w:r>
              <w:rPr>
                <w:rFonts w:ascii="宋体" w:hAnsi="宋体" w:eastAsia="宋体" w:cs="宋体"/>
                <w:spacing w:val="-2"/>
              </w:rPr>
              <w:t>排放量</w:t>
            </w:r>
            <w:r>
              <w:rPr>
                <w:spacing w:val="-2"/>
              </w:rPr>
              <w:t>t/a</w:t>
            </w:r>
          </w:p>
        </w:tc>
      </w:tr>
      <w:tr w14:paraId="3D0E2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082" w:type="dxa"/>
            <w:vMerge w:val="restart"/>
            <w:tcBorders>
              <w:bottom w:val="nil"/>
            </w:tcBorders>
            <w:vAlign w:val="top"/>
          </w:tcPr>
          <w:p w14:paraId="148B7B25">
            <w:pPr>
              <w:spacing w:line="344" w:lineRule="auto"/>
              <w:rPr>
                <w:rFonts w:ascii="Arial"/>
                <w:sz w:val="21"/>
              </w:rPr>
            </w:pPr>
          </w:p>
          <w:p w14:paraId="57F2D12A">
            <w:pPr>
              <w:spacing w:before="68" w:line="221" w:lineRule="auto"/>
              <w:ind w:left="841"/>
              <w:rPr>
                <w:rFonts w:ascii="宋体" w:hAnsi="宋体" w:eastAsia="宋体" w:cs="宋体"/>
                <w:sz w:val="21"/>
                <w:szCs w:val="21"/>
              </w:rPr>
            </w:pPr>
            <w:r>
              <w:rPr>
                <w:rFonts w:ascii="宋体" w:hAnsi="宋体" w:eastAsia="宋体" w:cs="宋体"/>
                <w:spacing w:val="-4"/>
                <w:sz w:val="21"/>
                <w:szCs w:val="21"/>
              </w:rPr>
              <w:t>沼气</w:t>
            </w:r>
          </w:p>
        </w:tc>
        <w:tc>
          <w:tcPr>
            <w:tcW w:w="2078" w:type="dxa"/>
            <w:vAlign w:val="top"/>
          </w:tcPr>
          <w:p w14:paraId="2A11FB94">
            <w:pPr>
              <w:pStyle w:val="6"/>
              <w:spacing w:before="101" w:line="198" w:lineRule="auto"/>
              <w:ind w:left="879"/>
              <w:rPr>
                <w:sz w:val="14"/>
                <w:szCs w:val="14"/>
              </w:rPr>
            </w:pPr>
            <w:r>
              <w:rPr>
                <w:spacing w:val="-5"/>
              </w:rPr>
              <w:t>SO</w:t>
            </w:r>
            <w:r>
              <w:rPr>
                <w:spacing w:val="-5"/>
                <w:position w:val="-2"/>
                <w:sz w:val="14"/>
                <w:szCs w:val="14"/>
              </w:rPr>
              <w:t>2</w:t>
            </w:r>
          </w:p>
        </w:tc>
        <w:tc>
          <w:tcPr>
            <w:tcW w:w="2077" w:type="dxa"/>
            <w:vMerge w:val="restart"/>
            <w:tcBorders>
              <w:bottom w:val="nil"/>
            </w:tcBorders>
            <w:vAlign w:val="top"/>
          </w:tcPr>
          <w:p w14:paraId="18B8406C">
            <w:pPr>
              <w:spacing w:line="336" w:lineRule="auto"/>
              <w:rPr>
                <w:rFonts w:ascii="Arial"/>
                <w:sz w:val="21"/>
              </w:rPr>
            </w:pPr>
          </w:p>
          <w:p w14:paraId="341EE136">
            <w:pPr>
              <w:pStyle w:val="6"/>
              <w:spacing w:before="61" w:line="215" w:lineRule="auto"/>
              <w:ind w:left="661"/>
              <w:rPr>
                <w:sz w:val="14"/>
                <w:szCs w:val="14"/>
              </w:rPr>
            </w:pPr>
            <w:r>
              <w:rPr>
                <w:spacing w:val="-1"/>
              </w:rPr>
              <w:t>7.02×10</w:t>
            </w:r>
            <w:r>
              <w:rPr>
                <w:spacing w:val="-1"/>
                <w:position w:val="9"/>
                <w:sz w:val="14"/>
                <w:szCs w:val="14"/>
              </w:rPr>
              <w:t>6</w:t>
            </w:r>
          </w:p>
        </w:tc>
        <w:tc>
          <w:tcPr>
            <w:tcW w:w="2083" w:type="dxa"/>
            <w:vAlign w:val="top"/>
          </w:tcPr>
          <w:p w14:paraId="5AAF8043">
            <w:pPr>
              <w:pStyle w:val="6"/>
              <w:spacing w:before="101" w:line="188" w:lineRule="auto"/>
              <w:ind w:left="810"/>
            </w:pPr>
            <w:r>
              <w:rPr>
                <w:spacing w:val="-2"/>
              </w:rPr>
              <w:t>0.016</w:t>
            </w:r>
          </w:p>
        </w:tc>
      </w:tr>
      <w:tr w14:paraId="518E6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2" w:type="dxa"/>
            <w:vMerge w:val="continue"/>
            <w:tcBorders>
              <w:top w:val="nil"/>
              <w:bottom w:val="nil"/>
            </w:tcBorders>
            <w:vAlign w:val="top"/>
          </w:tcPr>
          <w:p w14:paraId="531C240A">
            <w:pPr>
              <w:rPr>
                <w:rFonts w:ascii="Arial"/>
                <w:sz w:val="21"/>
              </w:rPr>
            </w:pPr>
          </w:p>
        </w:tc>
        <w:tc>
          <w:tcPr>
            <w:tcW w:w="2078" w:type="dxa"/>
            <w:vAlign w:val="top"/>
          </w:tcPr>
          <w:p w14:paraId="5AF3C764">
            <w:pPr>
              <w:pStyle w:val="6"/>
              <w:spacing w:before="103" w:line="188" w:lineRule="auto"/>
              <w:ind w:left="828"/>
            </w:pPr>
            <w:r>
              <w:t>NOx</w:t>
            </w:r>
          </w:p>
        </w:tc>
        <w:tc>
          <w:tcPr>
            <w:tcW w:w="2077" w:type="dxa"/>
            <w:vMerge w:val="continue"/>
            <w:tcBorders>
              <w:top w:val="nil"/>
              <w:bottom w:val="nil"/>
            </w:tcBorders>
            <w:vAlign w:val="top"/>
          </w:tcPr>
          <w:p w14:paraId="0B32434D">
            <w:pPr>
              <w:rPr>
                <w:rFonts w:ascii="Arial"/>
                <w:sz w:val="21"/>
              </w:rPr>
            </w:pPr>
          </w:p>
        </w:tc>
        <w:tc>
          <w:tcPr>
            <w:tcW w:w="2083" w:type="dxa"/>
            <w:vAlign w:val="top"/>
          </w:tcPr>
          <w:p w14:paraId="38CF32C8">
            <w:pPr>
              <w:pStyle w:val="6"/>
              <w:spacing w:before="103" w:line="188" w:lineRule="auto"/>
              <w:ind w:left="814"/>
            </w:pPr>
            <w:r>
              <w:rPr>
                <w:spacing w:val="-2"/>
              </w:rPr>
              <w:t>0.211</w:t>
            </w:r>
          </w:p>
        </w:tc>
      </w:tr>
      <w:tr w14:paraId="38149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2" w:type="dxa"/>
            <w:vMerge w:val="continue"/>
            <w:tcBorders>
              <w:top w:val="nil"/>
            </w:tcBorders>
            <w:vAlign w:val="top"/>
          </w:tcPr>
          <w:p w14:paraId="6E36CA0E">
            <w:pPr>
              <w:rPr>
                <w:rFonts w:ascii="Arial"/>
                <w:sz w:val="21"/>
              </w:rPr>
            </w:pPr>
          </w:p>
        </w:tc>
        <w:tc>
          <w:tcPr>
            <w:tcW w:w="2078" w:type="dxa"/>
            <w:vAlign w:val="top"/>
          </w:tcPr>
          <w:p w14:paraId="3A93753E">
            <w:pPr>
              <w:spacing w:before="67" w:line="221" w:lineRule="auto"/>
              <w:ind w:left="834"/>
              <w:rPr>
                <w:rFonts w:ascii="宋体" w:hAnsi="宋体" w:eastAsia="宋体" w:cs="宋体"/>
                <w:sz w:val="21"/>
                <w:szCs w:val="21"/>
              </w:rPr>
            </w:pPr>
            <w:r>
              <w:rPr>
                <w:rFonts w:ascii="宋体" w:hAnsi="宋体" w:eastAsia="宋体" w:cs="宋体"/>
                <w:spacing w:val="-3"/>
                <w:sz w:val="21"/>
                <w:szCs w:val="21"/>
              </w:rPr>
              <w:t>烟尘</w:t>
            </w:r>
          </w:p>
        </w:tc>
        <w:tc>
          <w:tcPr>
            <w:tcW w:w="2077" w:type="dxa"/>
            <w:vMerge w:val="continue"/>
            <w:tcBorders>
              <w:top w:val="nil"/>
            </w:tcBorders>
            <w:vAlign w:val="top"/>
          </w:tcPr>
          <w:p w14:paraId="32AD70FE">
            <w:pPr>
              <w:rPr>
                <w:rFonts w:ascii="Arial"/>
                <w:sz w:val="21"/>
              </w:rPr>
            </w:pPr>
          </w:p>
        </w:tc>
        <w:tc>
          <w:tcPr>
            <w:tcW w:w="2083" w:type="dxa"/>
            <w:vAlign w:val="top"/>
          </w:tcPr>
          <w:p w14:paraId="6B539445">
            <w:pPr>
              <w:pStyle w:val="6"/>
              <w:spacing w:before="104" w:line="188" w:lineRule="auto"/>
              <w:ind w:left="757"/>
            </w:pPr>
            <w:r>
              <w:rPr>
                <w:spacing w:val="-2"/>
              </w:rPr>
              <w:t>0.0005</w:t>
            </w:r>
          </w:p>
        </w:tc>
      </w:tr>
    </w:tbl>
    <w:p w14:paraId="4408A013">
      <w:pPr>
        <w:spacing w:before="234" w:line="360" w:lineRule="auto"/>
        <w:ind w:left="45" w:right="29" w:firstLine="473"/>
        <w:rPr>
          <w:rFonts w:ascii="宋体" w:hAnsi="宋体" w:eastAsia="宋体" w:cs="宋体"/>
          <w:sz w:val="24"/>
          <w:szCs w:val="24"/>
        </w:rPr>
      </w:pPr>
      <w:r>
        <w:rPr>
          <w:rFonts w:ascii="宋体" w:hAnsi="宋体" w:eastAsia="宋体" w:cs="宋体"/>
          <w:spacing w:val="-3"/>
          <w:sz w:val="24"/>
          <w:szCs w:val="24"/>
        </w:rPr>
        <w:t>根据以上分析，本项目沼气燃烧后二氧化硫、氮氧化物、烟尘的</w:t>
      </w:r>
      <w:r>
        <w:rPr>
          <w:rFonts w:ascii="宋体" w:hAnsi="宋体" w:eastAsia="宋体" w:cs="宋体"/>
          <w:spacing w:val="-4"/>
          <w:sz w:val="24"/>
          <w:szCs w:val="24"/>
        </w:rPr>
        <w:t>排放量均很小，对环境空气影响甚微。</w:t>
      </w:r>
    </w:p>
    <w:p w14:paraId="7CB48E13">
      <w:pPr>
        <w:spacing w:before="1"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）废气污染物产排情况汇总</w:t>
      </w:r>
    </w:p>
    <w:p w14:paraId="025DB980">
      <w:pPr>
        <w:spacing w:before="182" w:line="219" w:lineRule="auto"/>
        <w:ind w:left="520"/>
        <w:rPr>
          <w:rFonts w:ascii="宋体" w:hAnsi="宋体" w:eastAsia="宋体" w:cs="宋体"/>
          <w:sz w:val="24"/>
          <w:szCs w:val="24"/>
        </w:rPr>
      </w:pPr>
      <w:r>
        <w:rPr>
          <w:rFonts w:ascii="宋体" w:hAnsi="宋体" w:eastAsia="宋体" w:cs="宋体"/>
          <w:spacing w:val="-3"/>
          <w:sz w:val="24"/>
          <w:szCs w:val="24"/>
        </w:rPr>
        <w:t>本项目废气污染物产排情况汇总详见下表。</w:t>
      </w:r>
    </w:p>
    <w:p w14:paraId="3EA12176">
      <w:pPr>
        <w:spacing w:line="219" w:lineRule="auto"/>
        <w:rPr>
          <w:rFonts w:ascii="宋体" w:hAnsi="宋体" w:eastAsia="宋体" w:cs="宋体"/>
          <w:sz w:val="24"/>
          <w:szCs w:val="24"/>
        </w:rPr>
        <w:sectPr>
          <w:headerReference r:id="rId213" w:type="default"/>
          <w:footerReference r:id="rId214" w:type="default"/>
          <w:pgSz w:w="11905" w:h="16840"/>
          <w:pgMar w:top="1168" w:right="1768" w:bottom="1409" w:left="1770" w:header="828" w:footer="1244" w:gutter="0"/>
          <w:cols w:space="720" w:num="1"/>
        </w:sectPr>
      </w:pPr>
    </w:p>
    <w:p w14:paraId="340AA25E">
      <w:pPr>
        <w:pStyle w:val="2"/>
        <w:spacing w:line="342" w:lineRule="auto"/>
      </w:pPr>
    </w:p>
    <w:p w14:paraId="682D277F">
      <w:pPr>
        <w:pStyle w:val="2"/>
        <w:spacing w:line="342" w:lineRule="auto"/>
      </w:pPr>
    </w:p>
    <w:p w14:paraId="093DD40E">
      <w:pPr>
        <w:spacing w:before="68" w:line="222" w:lineRule="auto"/>
        <w:ind w:left="480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2.2-13  </w:t>
      </w:r>
      <w:r>
        <w:rPr>
          <w:rFonts w:ascii="黑体" w:hAnsi="黑体" w:eastAsia="黑体" w:cs="黑体"/>
          <w:spacing w:val="-1"/>
          <w:sz w:val="21"/>
          <w:szCs w:val="21"/>
        </w:rPr>
        <w:t>项目运营期废气污染物产排情况一览表</w:t>
      </w:r>
    </w:p>
    <w:p w14:paraId="4E277777">
      <w:pPr>
        <w:spacing w:line="86" w:lineRule="exact"/>
      </w:pPr>
    </w:p>
    <w:tbl>
      <w:tblPr>
        <w:tblStyle w:val="5"/>
        <w:tblW w:w="14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776"/>
        <w:gridCol w:w="1093"/>
        <w:gridCol w:w="753"/>
        <w:gridCol w:w="709"/>
        <w:gridCol w:w="1137"/>
        <w:gridCol w:w="919"/>
        <w:gridCol w:w="936"/>
        <w:gridCol w:w="1997"/>
        <w:gridCol w:w="568"/>
        <w:gridCol w:w="712"/>
        <w:gridCol w:w="1134"/>
        <w:gridCol w:w="852"/>
        <w:gridCol w:w="860"/>
        <w:gridCol w:w="632"/>
      </w:tblGrid>
      <w:tr w14:paraId="2FAC5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36" w:type="dxa"/>
            <w:vMerge w:val="restart"/>
            <w:tcBorders>
              <w:bottom w:val="nil"/>
            </w:tcBorders>
            <w:vAlign w:val="top"/>
          </w:tcPr>
          <w:p w14:paraId="58594212">
            <w:pPr>
              <w:spacing w:line="276" w:lineRule="auto"/>
              <w:rPr>
                <w:rFonts w:ascii="Arial"/>
                <w:sz w:val="21"/>
              </w:rPr>
            </w:pPr>
          </w:p>
          <w:p w14:paraId="669FFD19">
            <w:pPr>
              <w:spacing w:before="68" w:line="221" w:lineRule="auto"/>
              <w:ind w:left="266"/>
              <w:rPr>
                <w:rFonts w:ascii="宋体" w:hAnsi="宋体" w:eastAsia="宋体" w:cs="宋体"/>
                <w:sz w:val="21"/>
                <w:szCs w:val="21"/>
              </w:rPr>
            </w:pPr>
            <w:r>
              <w:rPr>
                <w:rFonts w:ascii="宋体" w:hAnsi="宋体" w:eastAsia="宋体" w:cs="宋体"/>
                <w:spacing w:val="-3"/>
                <w:sz w:val="21"/>
                <w:szCs w:val="21"/>
              </w:rPr>
              <w:t>工序</w:t>
            </w:r>
          </w:p>
        </w:tc>
        <w:tc>
          <w:tcPr>
            <w:tcW w:w="776" w:type="dxa"/>
            <w:vMerge w:val="restart"/>
            <w:tcBorders>
              <w:bottom w:val="nil"/>
            </w:tcBorders>
            <w:vAlign w:val="top"/>
          </w:tcPr>
          <w:p w14:paraId="20CEEE51">
            <w:pPr>
              <w:spacing w:line="276" w:lineRule="auto"/>
              <w:rPr>
                <w:rFonts w:ascii="Arial"/>
                <w:sz w:val="21"/>
              </w:rPr>
            </w:pPr>
          </w:p>
          <w:p w14:paraId="5C5E15E8">
            <w:pPr>
              <w:spacing w:before="68" w:line="220" w:lineRule="auto"/>
              <w:ind w:left="180"/>
              <w:rPr>
                <w:rFonts w:ascii="宋体" w:hAnsi="宋体" w:eastAsia="宋体" w:cs="宋体"/>
                <w:sz w:val="21"/>
                <w:szCs w:val="21"/>
              </w:rPr>
            </w:pPr>
            <w:r>
              <w:rPr>
                <w:rFonts w:ascii="宋体" w:hAnsi="宋体" w:eastAsia="宋体" w:cs="宋体"/>
                <w:spacing w:val="-3"/>
                <w:sz w:val="21"/>
                <w:szCs w:val="21"/>
              </w:rPr>
              <w:t>装置</w:t>
            </w:r>
          </w:p>
        </w:tc>
        <w:tc>
          <w:tcPr>
            <w:tcW w:w="1093" w:type="dxa"/>
            <w:vMerge w:val="restart"/>
            <w:tcBorders>
              <w:bottom w:val="nil"/>
            </w:tcBorders>
            <w:vAlign w:val="top"/>
          </w:tcPr>
          <w:p w14:paraId="436A2EF9">
            <w:pPr>
              <w:spacing w:line="276" w:lineRule="auto"/>
              <w:rPr>
                <w:rFonts w:ascii="Arial"/>
                <w:sz w:val="21"/>
              </w:rPr>
            </w:pPr>
          </w:p>
          <w:p w14:paraId="5751F468">
            <w:pPr>
              <w:spacing w:before="68" w:line="220" w:lineRule="auto"/>
              <w:ind w:left="235"/>
              <w:rPr>
                <w:rFonts w:ascii="宋体" w:hAnsi="宋体" w:eastAsia="宋体" w:cs="宋体"/>
                <w:sz w:val="21"/>
                <w:szCs w:val="21"/>
              </w:rPr>
            </w:pPr>
            <w:r>
              <w:rPr>
                <w:rFonts w:ascii="宋体" w:hAnsi="宋体" w:eastAsia="宋体" w:cs="宋体"/>
                <w:spacing w:val="-3"/>
                <w:sz w:val="21"/>
                <w:szCs w:val="21"/>
              </w:rPr>
              <w:t>污染源</w:t>
            </w:r>
          </w:p>
        </w:tc>
        <w:tc>
          <w:tcPr>
            <w:tcW w:w="753" w:type="dxa"/>
            <w:vMerge w:val="restart"/>
            <w:tcBorders>
              <w:bottom w:val="nil"/>
            </w:tcBorders>
            <w:vAlign w:val="top"/>
          </w:tcPr>
          <w:p w14:paraId="0CA083CD">
            <w:pPr>
              <w:spacing w:line="276" w:lineRule="auto"/>
              <w:rPr>
                <w:rFonts w:ascii="Arial"/>
                <w:sz w:val="21"/>
              </w:rPr>
            </w:pPr>
          </w:p>
          <w:p w14:paraId="06BFD7CE">
            <w:pPr>
              <w:spacing w:before="68" w:line="220" w:lineRule="auto"/>
              <w:ind w:left="66"/>
              <w:rPr>
                <w:rFonts w:ascii="宋体" w:hAnsi="宋体" w:eastAsia="宋体" w:cs="宋体"/>
                <w:sz w:val="21"/>
                <w:szCs w:val="21"/>
              </w:rPr>
            </w:pPr>
            <w:r>
              <w:rPr>
                <w:rFonts w:ascii="宋体" w:hAnsi="宋体" w:eastAsia="宋体" w:cs="宋体"/>
                <w:spacing w:val="-3"/>
                <w:sz w:val="21"/>
                <w:szCs w:val="21"/>
              </w:rPr>
              <w:t>污染物</w:t>
            </w:r>
          </w:p>
        </w:tc>
        <w:tc>
          <w:tcPr>
            <w:tcW w:w="3701" w:type="dxa"/>
            <w:gridSpan w:val="4"/>
            <w:vAlign w:val="top"/>
          </w:tcPr>
          <w:p w14:paraId="5FFA9CED">
            <w:pPr>
              <w:spacing w:before="68" w:line="220" w:lineRule="auto"/>
              <w:ind w:left="1332"/>
              <w:rPr>
                <w:rFonts w:ascii="宋体" w:hAnsi="宋体" w:eastAsia="宋体" w:cs="宋体"/>
                <w:sz w:val="21"/>
                <w:szCs w:val="21"/>
              </w:rPr>
            </w:pPr>
            <w:r>
              <w:rPr>
                <w:rFonts w:ascii="宋体" w:hAnsi="宋体" w:eastAsia="宋体" w:cs="宋体"/>
                <w:spacing w:val="-2"/>
                <w:sz w:val="21"/>
                <w:szCs w:val="21"/>
              </w:rPr>
              <w:t>污染物产生</w:t>
            </w:r>
          </w:p>
        </w:tc>
        <w:tc>
          <w:tcPr>
            <w:tcW w:w="2565" w:type="dxa"/>
            <w:gridSpan w:val="2"/>
            <w:vAlign w:val="top"/>
          </w:tcPr>
          <w:p w14:paraId="135E0C18">
            <w:pPr>
              <w:spacing w:before="69" w:line="220" w:lineRule="auto"/>
              <w:ind w:left="873"/>
              <w:rPr>
                <w:rFonts w:ascii="宋体" w:hAnsi="宋体" w:eastAsia="宋体" w:cs="宋体"/>
                <w:sz w:val="21"/>
                <w:szCs w:val="21"/>
              </w:rPr>
            </w:pPr>
            <w:r>
              <w:rPr>
                <w:rFonts w:ascii="宋体" w:hAnsi="宋体" w:eastAsia="宋体" w:cs="宋体"/>
                <w:spacing w:val="-3"/>
                <w:sz w:val="21"/>
                <w:szCs w:val="21"/>
              </w:rPr>
              <w:t>治理措施</w:t>
            </w:r>
          </w:p>
        </w:tc>
        <w:tc>
          <w:tcPr>
            <w:tcW w:w="3558" w:type="dxa"/>
            <w:gridSpan w:val="4"/>
            <w:vAlign w:val="top"/>
          </w:tcPr>
          <w:p w14:paraId="2BECE417">
            <w:pPr>
              <w:spacing w:before="69" w:line="220" w:lineRule="auto"/>
              <w:ind w:left="1262"/>
              <w:rPr>
                <w:rFonts w:ascii="宋体" w:hAnsi="宋体" w:eastAsia="宋体" w:cs="宋体"/>
                <w:sz w:val="21"/>
                <w:szCs w:val="21"/>
              </w:rPr>
            </w:pPr>
            <w:r>
              <w:rPr>
                <w:rFonts w:ascii="宋体" w:hAnsi="宋体" w:eastAsia="宋体" w:cs="宋体"/>
                <w:spacing w:val="-2"/>
                <w:sz w:val="21"/>
                <w:szCs w:val="21"/>
              </w:rPr>
              <w:t>污染物排放</w:t>
            </w:r>
          </w:p>
        </w:tc>
        <w:tc>
          <w:tcPr>
            <w:tcW w:w="632" w:type="dxa"/>
            <w:vMerge w:val="restart"/>
            <w:tcBorders>
              <w:bottom w:val="nil"/>
            </w:tcBorders>
            <w:vAlign w:val="top"/>
          </w:tcPr>
          <w:p w14:paraId="0C0E9098">
            <w:pPr>
              <w:spacing w:before="89" w:line="221" w:lineRule="auto"/>
              <w:ind w:left="111"/>
              <w:rPr>
                <w:rFonts w:ascii="宋体" w:hAnsi="宋体" w:eastAsia="宋体" w:cs="宋体"/>
                <w:sz w:val="21"/>
                <w:szCs w:val="21"/>
              </w:rPr>
            </w:pPr>
            <w:r>
              <w:rPr>
                <w:rFonts w:ascii="宋体" w:hAnsi="宋体" w:eastAsia="宋体" w:cs="宋体"/>
                <w:spacing w:val="-3"/>
                <w:sz w:val="21"/>
                <w:szCs w:val="21"/>
              </w:rPr>
              <w:t>排放</w:t>
            </w:r>
          </w:p>
          <w:p w14:paraId="6B2994C4">
            <w:pPr>
              <w:pStyle w:val="6"/>
              <w:spacing w:before="20" w:line="248" w:lineRule="auto"/>
              <w:ind w:left="262" w:right="103" w:hanging="141"/>
            </w:pPr>
            <w:r>
              <w:rPr>
                <w:rFonts w:ascii="宋体" w:hAnsi="宋体" w:eastAsia="宋体" w:cs="宋体"/>
                <w:spacing w:val="-10"/>
              </w:rPr>
              <w:t>时间</w:t>
            </w:r>
            <w:r>
              <w:t>h</w:t>
            </w:r>
          </w:p>
        </w:tc>
      </w:tr>
      <w:tr w14:paraId="3D1F2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36" w:type="dxa"/>
            <w:vMerge w:val="continue"/>
            <w:tcBorders>
              <w:top w:val="nil"/>
            </w:tcBorders>
            <w:vAlign w:val="top"/>
          </w:tcPr>
          <w:p w14:paraId="444F80FD">
            <w:pPr>
              <w:rPr>
                <w:rFonts w:ascii="Arial"/>
                <w:sz w:val="21"/>
              </w:rPr>
            </w:pPr>
          </w:p>
        </w:tc>
        <w:tc>
          <w:tcPr>
            <w:tcW w:w="776" w:type="dxa"/>
            <w:vMerge w:val="continue"/>
            <w:tcBorders>
              <w:top w:val="nil"/>
            </w:tcBorders>
            <w:vAlign w:val="top"/>
          </w:tcPr>
          <w:p w14:paraId="0D64B1CE">
            <w:pPr>
              <w:rPr>
                <w:rFonts w:ascii="Arial"/>
                <w:sz w:val="21"/>
              </w:rPr>
            </w:pPr>
          </w:p>
        </w:tc>
        <w:tc>
          <w:tcPr>
            <w:tcW w:w="1093" w:type="dxa"/>
            <w:vMerge w:val="continue"/>
            <w:tcBorders>
              <w:top w:val="nil"/>
            </w:tcBorders>
            <w:vAlign w:val="top"/>
          </w:tcPr>
          <w:p w14:paraId="7048A3EF">
            <w:pPr>
              <w:rPr>
                <w:rFonts w:ascii="Arial"/>
                <w:sz w:val="21"/>
              </w:rPr>
            </w:pPr>
          </w:p>
        </w:tc>
        <w:tc>
          <w:tcPr>
            <w:tcW w:w="753" w:type="dxa"/>
            <w:vMerge w:val="continue"/>
            <w:tcBorders>
              <w:top w:val="nil"/>
            </w:tcBorders>
            <w:vAlign w:val="top"/>
          </w:tcPr>
          <w:p w14:paraId="537150E4">
            <w:pPr>
              <w:rPr>
                <w:rFonts w:ascii="Arial"/>
                <w:sz w:val="21"/>
              </w:rPr>
            </w:pPr>
          </w:p>
        </w:tc>
        <w:tc>
          <w:tcPr>
            <w:tcW w:w="709" w:type="dxa"/>
            <w:vAlign w:val="top"/>
          </w:tcPr>
          <w:p w14:paraId="749BE2B9">
            <w:pPr>
              <w:spacing w:before="29" w:line="220" w:lineRule="auto"/>
              <w:ind w:left="150"/>
              <w:rPr>
                <w:rFonts w:ascii="宋体" w:hAnsi="宋体" w:eastAsia="宋体" w:cs="宋体"/>
                <w:sz w:val="21"/>
                <w:szCs w:val="21"/>
              </w:rPr>
            </w:pPr>
            <w:r>
              <w:rPr>
                <w:rFonts w:ascii="宋体" w:hAnsi="宋体" w:eastAsia="宋体" w:cs="宋体"/>
                <w:spacing w:val="-3"/>
                <w:sz w:val="21"/>
                <w:szCs w:val="21"/>
              </w:rPr>
              <w:t>核算</w:t>
            </w:r>
          </w:p>
          <w:p w14:paraId="4D7DA931">
            <w:pPr>
              <w:spacing w:before="23" w:line="208" w:lineRule="auto"/>
              <w:ind w:left="149"/>
              <w:rPr>
                <w:rFonts w:ascii="宋体" w:hAnsi="宋体" w:eastAsia="宋体" w:cs="宋体"/>
                <w:sz w:val="21"/>
                <w:szCs w:val="21"/>
              </w:rPr>
            </w:pPr>
            <w:r>
              <w:rPr>
                <w:rFonts w:ascii="宋体" w:hAnsi="宋体" w:eastAsia="宋体" w:cs="宋体"/>
                <w:spacing w:val="-3"/>
                <w:sz w:val="21"/>
                <w:szCs w:val="21"/>
              </w:rPr>
              <w:t>方法</w:t>
            </w:r>
          </w:p>
        </w:tc>
        <w:tc>
          <w:tcPr>
            <w:tcW w:w="1137" w:type="dxa"/>
            <w:vAlign w:val="top"/>
          </w:tcPr>
          <w:p w14:paraId="50B75CAF">
            <w:pPr>
              <w:pStyle w:val="6"/>
              <w:spacing w:before="44" w:line="214" w:lineRule="auto"/>
              <w:ind w:left="366" w:right="42" w:hanging="320"/>
            </w:pPr>
            <w:r>
              <w:rPr>
                <w:rFonts w:ascii="宋体" w:hAnsi="宋体" w:eastAsia="宋体" w:cs="宋体"/>
                <w:spacing w:val="-2"/>
              </w:rPr>
              <w:t>废气产生量</w:t>
            </w:r>
            <w:r>
              <w:rPr>
                <w:spacing w:val="-1"/>
                <w:position w:val="-1"/>
              </w:rPr>
              <w:t>m</w:t>
            </w:r>
            <w:r>
              <w:rPr>
                <w:spacing w:val="-1"/>
                <w:position w:val="8"/>
                <w:sz w:val="14"/>
                <w:szCs w:val="14"/>
              </w:rPr>
              <w:t>3</w:t>
            </w:r>
            <w:r>
              <w:rPr>
                <w:spacing w:val="-1"/>
                <w:position w:val="-1"/>
              </w:rPr>
              <w:t>/h</w:t>
            </w:r>
          </w:p>
        </w:tc>
        <w:tc>
          <w:tcPr>
            <w:tcW w:w="919" w:type="dxa"/>
            <w:vAlign w:val="top"/>
          </w:tcPr>
          <w:p w14:paraId="23A536DD">
            <w:pPr>
              <w:spacing w:before="45" w:line="212" w:lineRule="auto"/>
              <w:ind w:left="43"/>
              <w:rPr>
                <w:rFonts w:ascii="宋体" w:hAnsi="宋体" w:eastAsia="宋体" w:cs="宋体"/>
                <w:sz w:val="21"/>
                <w:szCs w:val="21"/>
              </w:rPr>
            </w:pPr>
            <w:r>
              <w:rPr>
                <w:rFonts w:ascii="宋体" w:hAnsi="宋体" w:eastAsia="宋体" w:cs="宋体"/>
                <w:spacing w:val="-2"/>
                <w:sz w:val="21"/>
                <w:szCs w:val="21"/>
              </w:rPr>
              <w:t>产生浓度</w:t>
            </w:r>
          </w:p>
          <w:p w14:paraId="00E08BAD">
            <w:pPr>
              <w:pStyle w:val="6"/>
              <w:spacing w:before="1" w:line="143" w:lineRule="auto"/>
              <w:ind w:left="177" w:right="179" w:firstLine="492"/>
            </w:pPr>
            <w:r>
              <w:rPr>
                <w:spacing w:val="-6"/>
                <w:sz w:val="14"/>
                <w:szCs w:val="14"/>
              </w:rPr>
              <w:t>3</w:t>
            </w:r>
            <w:r>
              <w:rPr>
                <w:sz w:val="14"/>
                <w:szCs w:val="14"/>
              </w:rPr>
              <w:t xml:space="preserve"> </w:t>
            </w:r>
            <w:r>
              <w:rPr>
                <w:spacing w:val="-1"/>
              </w:rPr>
              <w:t>mg/m</w:t>
            </w:r>
          </w:p>
        </w:tc>
        <w:tc>
          <w:tcPr>
            <w:tcW w:w="936" w:type="dxa"/>
            <w:vAlign w:val="top"/>
          </w:tcPr>
          <w:p w14:paraId="19391E21">
            <w:pPr>
              <w:spacing w:before="44" w:line="220" w:lineRule="auto"/>
              <w:ind w:left="53"/>
              <w:rPr>
                <w:rFonts w:ascii="宋体" w:hAnsi="宋体" w:eastAsia="宋体" w:cs="宋体"/>
                <w:sz w:val="21"/>
                <w:szCs w:val="21"/>
              </w:rPr>
            </w:pPr>
            <w:r>
              <w:rPr>
                <w:rFonts w:ascii="宋体" w:hAnsi="宋体" w:eastAsia="宋体" w:cs="宋体"/>
                <w:spacing w:val="-2"/>
                <w:sz w:val="21"/>
                <w:szCs w:val="21"/>
              </w:rPr>
              <w:t>产生速率</w:t>
            </w:r>
          </w:p>
          <w:p w14:paraId="0B1B8EE8">
            <w:pPr>
              <w:pStyle w:val="6"/>
              <w:spacing w:before="39" w:line="192" w:lineRule="auto"/>
              <w:ind w:left="279"/>
            </w:pPr>
            <w:r>
              <w:rPr>
                <w:spacing w:val="-1"/>
              </w:rPr>
              <w:t>kg/h</w:t>
            </w:r>
          </w:p>
        </w:tc>
        <w:tc>
          <w:tcPr>
            <w:tcW w:w="1997" w:type="dxa"/>
            <w:vAlign w:val="top"/>
          </w:tcPr>
          <w:p w14:paraId="04DBB180">
            <w:pPr>
              <w:spacing w:before="165" w:line="230" w:lineRule="auto"/>
              <w:ind w:left="796"/>
              <w:rPr>
                <w:rFonts w:ascii="宋体" w:hAnsi="宋体" w:eastAsia="宋体" w:cs="宋体"/>
                <w:sz w:val="21"/>
                <w:szCs w:val="21"/>
              </w:rPr>
            </w:pPr>
            <w:r>
              <w:rPr>
                <w:rFonts w:ascii="宋体" w:hAnsi="宋体" w:eastAsia="宋体" w:cs="宋体"/>
                <w:spacing w:val="-3"/>
                <w:sz w:val="21"/>
                <w:szCs w:val="21"/>
              </w:rPr>
              <w:t>工艺</w:t>
            </w:r>
          </w:p>
        </w:tc>
        <w:tc>
          <w:tcPr>
            <w:tcW w:w="568" w:type="dxa"/>
            <w:vAlign w:val="top"/>
          </w:tcPr>
          <w:p w14:paraId="16C40F9B">
            <w:pPr>
              <w:spacing w:before="165" w:line="220" w:lineRule="auto"/>
              <w:ind w:left="85"/>
              <w:rPr>
                <w:rFonts w:ascii="宋体" w:hAnsi="宋体" w:eastAsia="宋体" w:cs="宋体"/>
                <w:sz w:val="21"/>
                <w:szCs w:val="21"/>
              </w:rPr>
            </w:pPr>
            <w:r>
              <w:rPr>
                <w:rFonts w:ascii="宋体" w:hAnsi="宋体" w:eastAsia="宋体" w:cs="宋体"/>
                <w:spacing w:val="-4"/>
                <w:sz w:val="21"/>
                <w:szCs w:val="21"/>
              </w:rPr>
              <w:t>效率</w:t>
            </w:r>
          </w:p>
        </w:tc>
        <w:tc>
          <w:tcPr>
            <w:tcW w:w="712" w:type="dxa"/>
            <w:vAlign w:val="top"/>
          </w:tcPr>
          <w:p w14:paraId="0FDC2336">
            <w:pPr>
              <w:spacing w:before="29" w:line="220" w:lineRule="auto"/>
              <w:ind w:left="154"/>
              <w:rPr>
                <w:rFonts w:ascii="宋体" w:hAnsi="宋体" w:eastAsia="宋体" w:cs="宋体"/>
                <w:sz w:val="21"/>
                <w:szCs w:val="21"/>
              </w:rPr>
            </w:pPr>
            <w:r>
              <w:rPr>
                <w:rFonts w:ascii="宋体" w:hAnsi="宋体" w:eastAsia="宋体" w:cs="宋体"/>
                <w:spacing w:val="-3"/>
                <w:sz w:val="21"/>
                <w:szCs w:val="21"/>
              </w:rPr>
              <w:t>核算</w:t>
            </w:r>
          </w:p>
          <w:p w14:paraId="1CB0D5CA">
            <w:pPr>
              <w:spacing w:before="23" w:line="208" w:lineRule="auto"/>
              <w:ind w:left="153"/>
              <w:rPr>
                <w:rFonts w:ascii="宋体" w:hAnsi="宋体" w:eastAsia="宋体" w:cs="宋体"/>
                <w:sz w:val="21"/>
                <w:szCs w:val="21"/>
              </w:rPr>
            </w:pPr>
            <w:r>
              <w:rPr>
                <w:rFonts w:ascii="宋体" w:hAnsi="宋体" w:eastAsia="宋体" w:cs="宋体"/>
                <w:spacing w:val="-3"/>
                <w:sz w:val="21"/>
                <w:szCs w:val="21"/>
              </w:rPr>
              <w:t>方法</w:t>
            </w:r>
          </w:p>
        </w:tc>
        <w:tc>
          <w:tcPr>
            <w:tcW w:w="1134" w:type="dxa"/>
            <w:vAlign w:val="top"/>
          </w:tcPr>
          <w:p w14:paraId="2D5200BB">
            <w:pPr>
              <w:pStyle w:val="6"/>
              <w:spacing w:before="44" w:line="214" w:lineRule="auto"/>
              <w:ind w:left="369" w:right="37" w:hanging="320"/>
            </w:pPr>
            <w:r>
              <w:rPr>
                <w:rFonts w:ascii="宋体" w:hAnsi="宋体" w:eastAsia="宋体" w:cs="宋体"/>
                <w:spacing w:val="-2"/>
              </w:rPr>
              <w:t>废气排放量</w:t>
            </w:r>
            <w:r>
              <w:rPr>
                <w:spacing w:val="-1"/>
                <w:position w:val="-1"/>
              </w:rPr>
              <w:t>m</w:t>
            </w:r>
            <w:r>
              <w:rPr>
                <w:spacing w:val="-1"/>
                <w:position w:val="8"/>
                <w:sz w:val="14"/>
                <w:szCs w:val="14"/>
              </w:rPr>
              <w:t>3</w:t>
            </w:r>
            <w:r>
              <w:rPr>
                <w:spacing w:val="-1"/>
                <w:position w:val="-1"/>
              </w:rPr>
              <w:t>/h</w:t>
            </w:r>
          </w:p>
        </w:tc>
        <w:tc>
          <w:tcPr>
            <w:tcW w:w="852" w:type="dxa"/>
            <w:vAlign w:val="top"/>
          </w:tcPr>
          <w:p w14:paraId="37545272">
            <w:pPr>
              <w:spacing w:before="45" w:line="212" w:lineRule="auto"/>
              <w:jc w:val="right"/>
              <w:rPr>
                <w:rFonts w:ascii="宋体" w:hAnsi="宋体" w:eastAsia="宋体" w:cs="宋体"/>
                <w:sz w:val="21"/>
                <w:szCs w:val="21"/>
              </w:rPr>
            </w:pPr>
            <w:r>
              <w:rPr>
                <w:rFonts w:ascii="宋体" w:hAnsi="宋体" w:eastAsia="宋体" w:cs="宋体"/>
                <w:spacing w:val="-3"/>
                <w:sz w:val="21"/>
                <w:szCs w:val="21"/>
              </w:rPr>
              <w:t>排放浓度</w:t>
            </w:r>
          </w:p>
          <w:p w14:paraId="45E28412">
            <w:pPr>
              <w:pStyle w:val="6"/>
              <w:spacing w:before="1" w:line="143" w:lineRule="auto"/>
              <w:ind w:left="146" w:right="143" w:firstLine="492"/>
            </w:pPr>
            <w:r>
              <w:rPr>
                <w:spacing w:val="-6"/>
                <w:sz w:val="14"/>
                <w:szCs w:val="14"/>
              </w:rPr>
              <w:t>3</w:t>
            </w:r>
            <w:r>
              <w:rPr>
                <w:sz w:val="14"/>
                <w:szCs w:val="14"/>
              </w:rPr>
              <w:t xml:space="preserve"> </w:t>
            </w:r>
            <w:r>
              <w:rPr>
                <w:spacing w:val="-1"/>
              </w:rPr>
              <w:t>mg/m</w:t>
            </w:r>
          </w:p>
        </w:tc>
        <w:tc>
          <w:tcPr>
            <w:tcW w:w="860" w:type="dxa"/>
            <w:vAlign w:val="top"/>
          </w:tcPr>
          <w:p w14:paraId="4FE8750A">
            <w:pPr>
              <w:spacing w:before="44" w:line="220" w:lineRule="auto"/>
              <w:ind w:right="2"/>
              <w:jc w:val="right"/>
              <w:rPr>
                <w:rFonts w:ascii="宋体" w:hAnsi="宋体" w:eastAsia="宋体" w:cs="宋体"/>
                <w:sz w:val="21"/>
                <w:szCs w:val="21"/>
              </w:rPr>
            </w:pPr>
            <w:r>
              <w:rPr>
                <w:rFonts w:ascii="宋体" w:hAnsi="宋体" w:eastAsia="宋体" w:cs="宋体"/>
                <w:spacing w:val="-2"/>
                <w:sz w:val="21"/>
                <w:szCs w:val="21"/>
              </w:rPr>
              <w:t>排放速率</w:t>
            </w:r>
          </w:p>
          <w:p w14:paraId="42D80ADF">
            <w:pPr>
              <w:pStyle w:val="6"/>
              <w:spacing w:before="39" w:line="192" w:lineRule="auto"/>
              <w:ind w:left="245"/>
            </w:pPr>
            <w:r>
              <w:rPr>
                <w:spacing w:val="-1"/>
              </w:rPr>
              <w:t>kg/h</w:t>
            </w:r>
          </w:p>
        </w:tc>
        <w:tc>
          <w:tcPr>
            <w:tcW w:w="632" w:type="dxa"/>
            <w:vMerge w:val="continue"/>
            <w:tcBorders>
              <w:top w:val="nil"/>
            </w:tcBorders>
            <w:vAlign w:val="top"/>
          </w:tcPr>
          <w:p w14:paraId="301EB5A7">
            <w:pPr>
              <w:rPr>
                <w:rFonts w:ascii="Arial"/>
                <w:sz w:val="21"/>
              </w:rPr>
            </w:pPr>
          </w:p>
        </w:tc>
      </w:tr>
      <w:tr w14:paraId="6C333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6" w:type="dxa"/>
            <w:vMerge w:val="restart"/>
            <w:tcBorders>
              <w:bottom w:val="nil"/>
            </w:tcBorders>
            <w:vAlign w:val="top"/>
          </w:tcPr>
          <w:p w14:paraId="6695D85F">
            <w:pPr>
              <w:spacing w:line="368" w:lineRule="auto"/>
              <w:rPr>
                <w:rFonts w:ascii="Arial"/>
                <w:sz w:val="21"/>
              </w:rPr>
            </w:pPr>
          </w:p>
          <w:p w14:paraId="57FF2CC3">
            <w:pPr>
              <w:spacing w:before="68" w:line="220" w:lineRule="auto"/>
              <w:ind w:left="264"/>
              <w:rPr>
                <w:rFonts w:ascii="宋体" w:hAnsi="宋体" w:eastAsia="宋体" w:cs="宋体"/>
                <w:sz w:val="21"/>
                <w:szCs w:val="21"/>
              </w:rPr>
            </w:pPr>
            <w:r>
              <w:rPr>
                <w:rFonts w:ascii="宋体" w:hAnsi="宋体" w:eastAsia="宋体" w:cs="宋体"/>
                <w:spacing w:val="-3"/>
                <w:sz w:val="21"/>
                <w:szCs w:val="21"/>
              </w:rPr>
              <w:t>养殖</w:t>
            </w:r>
          </w:p>
        </w:tc>
        <w:tc>
          <w:tcPr>
            <w:tcW w:w="776" w:type="dxa"/>
            <w:vMerge w:val="restart"/>
            <w:tcBorders>
              <w:bottom w:val="nil"/>
            </w:tcBorders>
            <w:vAlign w:val="top"/>
          </w:tcPr>
          <w:p w14:paraId="215964D6">
            <w:pPr>
              <w:spacing w:line="368" w:lineRule="auto"/>
              <w:rPr>
                <w:rFonts w:ascii="Arial"/>
                <w:sz w:val="21"/>
              </w:rPr>
            </w:pPr>
          </w:p>
          <w:p w14:paraId="248D0F26">
            <w:pPr>
              <w:spacing w:before="69" w:line="220" w:lineRule="auto"/>
              <w:ind w:left="180"/>
              <w:rPr>
                <w:rFonts w:ascii="宋体" w:hAnsi="宋体" w:eastAsia="宋体" w:cs="宋体"/>
                <w:sz w:val="21"/>
                <w:szCs w:val="21"/>
              </w:rPr>
            </w:pPr>
            <w:r>
              <w:rPr>
                <w:rFonts w:ascii="宋体" w:hAnsi="宋体" w:eastAsia="宋体" w:cs="宋体"/>
                <w:spacing w:val="-3"/>
                <w:sz w:val="21"/>
                <w:szCs w:val="21"/>
              </w:rPr>
              <w:t>猪舍</w:t>
            </w:r>
          </w:p>
        </w:tc>
        <w:tc>
          <w:tcPr>
            <w:tcW w:w="1093" w:type="dxa"/>
            <w:vMerge w:val="restart"/>
            <w:tcBorders>
              <w:bottom w:val="nil"/>
            </w:tcBorders>
            <w:vAlign w:val="top"/>
          </w:tcPr>
          <w:p w14:paraId="41D74AC9">
            <w:pPr>
              <w:spacing w:line="368" w:lineRule="auto"/>
              <w:rPr>
                <w:rFonts w:ascii="Arial"/>
                <w:sz w:val="21"/>
              </w:rPr>
            </w:pPr>
          </w:p>
          <w:p w14:paraId="0DA16790">
            <w:pPr>
              <w:spacing w:before="69" w:line="220" w:lineRule="auto"/>
              <w:ind w:left="25"/>
              <w:rPr>
                <w:rFonts w:ascii="宋体" w:hAnsi="宋体" w:eastAsia="宋体" w:cs="宋体"/>
                <w:sz w:val="21"/>
                <w:szCs w:val="21"/>
              </w:rPr>
            </w:pPr>
            <w:r>
              <w:rPr>
                <w:rFonts w:ascii="宋体" w:hAnsi="宋体" w:eastAsia="宋体" w:cs="宋体"/>
                <w:spacing w:val="-2"/>
                <w:sz w:val="21"/>
                <w:szCs w:val="21"/>
              </w:rPr>
              <w:t>无组织排放</w:t>
            </w:r>
          </w:p>
        </w:tc>
        <w:tc>
          <w:tcPr>
            <w:tcW w:w="753" w:type="dxa"/>
            <w:vAlign w:val="top"/>
          </w:tcPr>
          <w:p w14:paraId="32D784CA">
            <w:pPr>
              <w:pStyle w:val="6"/>
              <w:spacing w:before="104" w:line="195" w:lineRule="auto"/>
              <w:ind w:left="182"/>
              <w:rPr>
                <w:sz w:val="14"/>
                <w:szCs w:val="14"/>
              </w:rPr>
            </w:pPr>
            <w:r>
              <w:t>NH</w:t>
            </w:r>
            <w:r>
              <w:rPr>
                <w:spacing w:val="1"/>
                <w:position w:val="-2"/>
                <w:sz w:val="14"/>
                <w:szCs w:val="14"/>
              </w:rPr>
              <w:t>3</w:t>
            </w:r>
          </w:p>
        </w:tc>
        <w:tc>
          <w:tcPr>
            <w:tcW w:w="709" w:type="dxa"/>
            <w:vMerge w:val="restart"/>
            <w:tcBorders>
              <w:bottom w:val="nil"/>
            </w:tcBorders>
            <w:vAlign w:val="top"/>
          </w:tcPr>
          <w:p w14:paraId="2D702439">
            <w:pPr>
              <w:spacing w:line="368" w:lineRule="auto"/>
              <w:rPr>
                <w:rFonts w:ascii="Arial"/>
                <w:sz w:val="21"/>
              </w:rPr>
            </w:pPr>
          </w:p>
          <w:p w14:paraId="074D2594">
            <w:pPr>
              <w:spacing w:before="68" w:line="220" w:lineRule="auto"/>
              <w:ind w:left="148"/>
              <w:rPr>
                <w:rFonts w:ascii="宋体" w:hAnsi="宋体" w:eastAsia="宋体" w:cs="宋体"/>
                <w:sz w:val="21"/>
                <w:szCs w:val="21"/>
              </w:rPr>
            </w:pPr>
            <w:r>
              <w:rPr>
                <w:rFonts w:ascii="宋体" w:hAnsi="宋体" w:eastAsia="宋体" w:cs="宋体"/>
                <w:spacing w:val="-3"/>
                <w:sz w:val="21"/>
                <w:szCs w:val="21"/>
              </w:rPr>
              <w:t>类比</w:t>
            </w:r>
          </w:p>
        </w:tc>
        <w:tc>
          <w:tcPr>
            <w:tcW w:w="1137" w:type="dxa"/>
            <w:vAlign w:val="top"/>
          </w:tcPr>
          <w:p w14:paraId="2848C019">
            <w:pPr>
              <w:pStyle w:val="6"/>
              <w:spacing w:before="97" w:line="192" w:lineRule="auto"/>
              <w:ind w:left="535"/>
            </w:pPr>
            <w:r>
              <w:t>/</w:t>
            </w:r>
          </w:p>
        </w:tc>
        <w:tc>
          <w:tcPr>
            <w:tcW w:w="919" w:type="dxa"/>
            <w:vAlign w:val="top"/>
          </w:tcPr>
          <w:p w14:paraId="78BEEF60">
            <w:pPr>
              <w:pStyle w:val="6"/>
              <w:spacing w:before="97" w:line="192" w:lineRule="auto"/>
              <w:ind w:left="426"/>
            </w:pPr>
            <w:r>
              <w:t>/</w:t>
            </w:r>
          </w:p>
        </w:tc>
        <w:tc>
          <w:tcPr>
            <w:tcW w:w="936" w:type="dxa"/>
            <w:vAlign w:val="top"/>
          </w:tcPr>
          <w:p w14:paraId="752775A4">
            <w:pPr>
              <w:pStyle w:val="6"/>
              <w:spacing w:before="101" w:line="188" w:lineRule="auto"/>
              <w:ind w:left="183"/>
            </w:pPr>
            <w:r>
              <w:rPr>
                <w:spacing w:val="-2"/>
              </w:rPr>
              <w:t>0.6484</w:t>
            </w:r>
          </w:p>
        </w:tc>
        <w:tc>
          <w:tcPr>
            <w:tcW w:w="1997" w:type="dxa"/>
            <w:vMerge w:val="restart"/>
            <w:tcBorders>
              <w:bottom w:val="nil"/>
            </w:tcBorders>
            <w:vAlign w:val="top"/>
          </w:tcPr>
          <w:p w14:paraId="0EA6EB92">
            <w:pPr>
              <w:pStyle w:val="6"/>
              <w:spacing w:before="29" w:line="232" w:lineRule="auto"/>
              <w:ind w:left="11" w:firstLine="7"/>
              <w:jc w:val="both"/>
              <w:rPr>
                <w:rFonts w:ascii="宋体" w:hAnsi="宋体" w:eastAsia="宋体" w:cs="宋体"/>
              </w:rPr>
            </w:pPr>
            <w:r>
              <w:rPr>
                <w:rFonts w:ascii="宋体" w:hAnsi="宋体" w:eastAsia="宋体" w:cs="宋体"/>
                <w:spacing w:val="15"/>
              </w:rPr>
              <w:t>喷洒除臭剂</w:t>
            </w:r>
            <w:r>
              <w:rPr>
                <w:spacing w:val="15"/>
              </w:rPr>
              <w:t>+</w:t>
            </w:r>
            <w:r>
              <w:rPr>
                <w:spacing w:val="-14"/>
              </w:rPr>
              <w:t xml:space="preserve"> </w:t>
            </w:r>
            <w:r>
              <w:rPr>
                <w:rFonts w:ascii="宋体" w:hAnsi="宋体" w:eastAsia="宋体" w:cs="宋体"/>
                <w:spacing w:val="15"/>
              </w:rPr>
              <w:t>优化养</w:t>
            </w:r>
            <w:r>
              <w:rPr>
                <w:rFonts w:ascii="宋体" w:hAnsi="宋体" w:eastAsia="宋体" w:cs="宋体"/>
                <w:spacing w:val="16"/>
              </w:rPr>
              <w:t>殖饲料</w:t>
            </w:r>
            <w:r>
              <w:rPr>
                <w:spacing w:val="16"/>
              </w:rPr>
              <w:t>+</w:t>
            </w:r>
            <w:r>
              <w:rPr>
                <w:spacing w:val="-17"/>
              </w:rPr>
              <w:t xml:space="preserve"> </w:t>
            </w:r>
            <w:r>
              <w:rPr>
                <w:rFonts w:ascii="宋体" w:hAnsi="宋体" w:eastAsia="宋体" w:cs="宋体"/>
                <w:spacing w:val="16"/>
              </w:rPr>
              <w:t>猪舍水帘通</w:t>
            </w:r>
            <w:r>
              <w:rPr>
                <w:rFonts w:ascii="宋体" w:hAnsi="宋体" w:eastAsia="宋体" w:cs="宋体"/>
                <w:spacing w:val="11"/>
              </w:rPr>
              <w:t>风</w:t>
            </w:r>
            <w:r>
              <w:rPr>
                <w:spacing w:val="11"/>
              </w:rPr>
              <w:t>+</w:t>
            </w:r>
            <w:r>
              <w:rPr>
                <w:spacing w:val="-20"/>
              </w:rPr>
              <w:t xml:space="preserve"> </w:t>
            </w:r>
            <w:r>
              <w:rPr>
                <w:rFonts w:ascii="宋体" w:hAnsi="宋体" w:eastAsia="宋体" w:cs="宋体"/>
                <w:spacing w:val="11"/>
              </w:rPr>
              <w:t>猪舍</w:t>
            </w:r>
            <w:r>
              <w:rPr>
                <w:rFonts w:ascii="宋体" w:hAnsi="宋体" w:eastAsia="宋体" w:cs="宋体"/>
                <w:spacing w:val="-56"/>
              </w:rPr>
              <w:t xml:space="preserve"> </w:t>
            </w:r>
            <w:r>
              <w:rPr>
                <w:rFonts w:ascii="宋体" w:hAnsi="宋体" w:eastAsia="宋体" w:cs="宋体"/>
                <w:spacing w:val="11"/>
              </w:rPr>
              <w:t>出风口生物</w:t>
            </w:r>
            <w:r>
              <w:rPr>
                <w:rFonts w:ascii="宋体" w:hAnsi="宋体" w:eastAsia="宋体" w:cs="宋体"/>
                <w:spacing w:val="-4"/>
              </w:rPr>
              <w:t>喷雾除臭加强绿化。</w:t>
            </w:r>
          </w:p>
        </w:tc>
        <w:tc>
          <w:tcPr>
            <w:tcW w:w="568" w:type="dxa"/>
            <w:vAlign w:val="top"/>
          </w:tcPr>
          <w:p w14:paraId="524901EB">
            <w:pPr>
              <w:pStyle w:val="6"/>
              <w:spacing w:before="101" w:line="188" w:lineRule="auto"/>
              <w:ind w:left="102"/>
            </w:pPr>
            <w:r>
              <w:rPr>
                <w:spacing w:val="-3"/>
              </w:rPr>
              <w:t>86%</w:t>
            </w:r>
          </w:p>
        </w:tc>
        <w:tc>
          <w:tcPr>
            <w:tcW w:w="712" w:type="dxa"/>
            <w:vMerge w:val="restart"/>
            <w:tcBorders>
              <w:bottom w:val="nil"/>
            </w:tcBorders>
            <w:vAlign w:val="top"/>
          </w:tcPr>
          <w:p w14:paraId="45CA9D70">
            <w:pPr>
              <w:spacing w:line="368" w:lineRule="auto"/>
              <w:rPr>
                <w:rFonts w:ascii="Arial"/>
                <w:sz w:val="21"/>
              </w:rPr>
            </w:pPr>
          </w:p>
          <w:p w14:paraId="368E32F6">
            <w:pPr>
              <w:spacing w:before="68" w:line="220" w:lineRule="auto"/>
              <w:ind w:left="52"/>
              <w:rPr>
                <w:rFonts w:ascii="宋体" w:hAnsi="宋体" w:eastAsia="宋体" w:cs="宋体"/>
                <w:sz w:val="21"/>
                <w:szCs w:val="21"/>
              </w:rPr>
            </w:pPr>
            <w:r>
              <w:rPr>
                <w:rFonts w:ascii="宋体" w:hAnsi="宋体" w:eastAsia="宋体" w:cs="宋体"/>
                <w:spacing w:val="-3"/>
                <w:sz w:val="21"/>
                <w:szCs w:val="21"/>
              </w:rPr>
              <w:t>系数法</w:t>
            </w:r>
          </w:p>
        </w:tc>
        <w:tc>
          <w:tcPr>
            <w:tcW w:w="1134" w:type="dxa"/>
            <w:vAlign w:val="top"/>
          </w:tcPr>
          <w:p w14:paraId="6F911141">
            <w:pPr>
              <w:pStyle w:val="6"/>
              <w:spacing w:before="97" w:line="192" w:lineRule="auto"/>
              <w:ind w:left="537"/>
            </w:pPr>
            <w:r>
              <w:t>/</w:t>
            </w:r>
          </w:p>
        </w:tc>
        <w:tc>
          <w:tcPr>
            <w:tcW w:w="852" w:type="dxa"/>
            <w:vAlign w:val="top"/>
          </w:tcPr>
          <w:p w14:paraId="0CBB82CA">
            <w:pPr>
              <w:pStyle w:val="6"/>
              <w:spacing w:before="97" w:line="192" w:lineRule="auto"/>
              <w:ind w:left="396"/>
            </w:pPr>
            <w:r>
              <w:t>/</w:t>
            </w:r>
          </w:p>
        </w:tc>
        <w:tc>
          <w:tcPr>
            <w:tcW w:w="860" w:type="dxa"/>
            <w:vAlign w:val="top"/>
          </w:tcPr>
          <w:p w14:paraId="42171C71">
            <w:pPr>
              <w:pStyle w:val="6"/>
              <w:spacing w:before="101" w:line="188" w:lineRule="auto"/>
              <w:ind w:left="149"/>
            </w:pPr>
            <w:r>
              <w:rPr>
                <w:spacing w:val="-2"/>
              </w:rPr>
              <w:t>0.0908</w:t>
            </w:r>
          </w:p>
        </w:tc>
        <w:tc>
          <w:tcPr>
            <w:tcW w:w="632" w:type="dxa"/>
            <w:vAlign w:val="top"/>
          </w:tcPr>
          <w:p w14:paraId="190ED49E">
            <w:pPr>
              <w:pStyle w:val="6"/>
              <w:spacing w:before="101" w:line="188" w:lineRule="auto"/>
              <w:ind w:left="116"/>
            </w:pPr>
            <w:r>
              <w:rPr>
                <w:spacing w:val="-4"/>
              </w:rPr>
              <w:t>8760</w:t>
            </w:r>
          </w:p>
        </w:tc>
      </w:tr>
      <w:tr w14:paraId="7943B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936" w:type="dxa"/>
            <w:vMerge w:val="continue"/>
            <w:tcBorders>
              <w:top w:val="nil"/>
            </w:tcBorders>
            <w:vAlign w:val="top"/>
          </w:tcPr>
          <w:p w14:paraId="3CAAAE88">
            <w:pPr>
              <w:rPr>
                <w:rFonts w:ascii="Arial"/>
                <w:sz w:val="21"/>
              </w:rPr>
            </w:pPr>
          </w:p>
        </w:tc>
        <w:tc>
          <w:tcPr>
            <w:tcW w:w="776" w:type="dxa"/>
            <w:vMerge w:val="continue"/>
            <w:tcBorders>
              <w:top w:val="nil"/>
            </w:tcBorders>
            <w:vAlign w:val="top"/>
          </w:tcPr>
          <w:p w14:paraId="68231119">
            <w:pPr>
              <w:rPr>
                <w:rFonts w:ascii="Arial"/>
                <w:sz w:val="21"/>
              </w:rPr>
            </w:pPr>
          </w:p>
        </w:tc>
        <w:tc>
          <w:tcPr>
            <w:tcW w:w="1093" w:type="dxa"/>
            <w:vMerge w:val="continue"/>
            <w:tcBorders>
              <w:top w:val="nil"/>
            </w:tcBorders>
            <w:vAlign w:val="top"/>
          </w:tcPr>
          <w:p w14:paraId="3AE426D2">
            <w:pPr>
              <w:rPr>
                <w:rFonts w:ascii="Arial"/>
                <w:sz w:val="21"/>
              </w:rPr>
            </w:pPr>
          </w:p>
        </w:tc>
        <w:tc>
          <w:tcPr>
            <w:tcW w:w="753" w:type="dxa"/>
            <w:vAlign w:val="top"/>
          </w:tcPr>
          <w:p w14:paraId="117A34BB">
            <w:pPr>
              <w:pStyle w:val="6"/>
              <w:spacing w:before="301" w:line="198" w:lineRule="auto"/>
              <w:ind w:left="206"/>
            </w:pPr>
            <w:r>
              <w:rPr>
                <w:spacing w:val="-2"/>
              </w:rPr>
              <w:t>H</w:t>
            </w:r>
            <w:r>
              <w:rPr>
                <w:spacing w:val="-2"/>
                <w:position w:val="-2"/>
                <w:sz w:val="14"/>
                <w:szCs w:val="14"/>
              </w:rPr>
              <w:t>2</w:t>
            </w:r>
            <w:r>
              <w:rPr>
                <w:spacing w:val="-2"/>
              </w:rPr>
              <w:t>S</w:t>
            </w:r>
          </w:p>
        </w:tc>
        <w:tc>
          <w:tcPr>
            <w:tcW w:w="709" w:type="dxa"/>
            <w:vMerge w:val="continue"/>
            <w:tcBorders>
              <w:top w:val="nil"/>
            </w:tcBorders>
            <w:vAlign w:val="top"/>
          </w:tcPr>
          <w:p w14:paraId="185C2579">
            <w:pPr>
              <w:rPr>
                <w:rFonts w:ascii="Arial"/>
                <w:sz w:val="21"/>
              </w:rPr>
            </w:pPr>
          </w:p>
        </w:tc>
        <w:tc>
          <w:tcPr>
            <w:tcW w:w="1137" w:type="dxa"/>
            <w:vAlign w:val="top"/>
          </w:tcPr>
          <w:p w14:paraId="4E074771">
            <w:pPr>
              <w:pStyle w:val="6"/>
              <w:spacing w:before="296" w:line="192" w:lineRule="auto"/>
              <w:ind w:left="536"/>
            </w:pPr>
            <w:r>
              <w:t>/</w:t>
            </w:r>
          </w:p>
        </w:tc>
        <w:tc>
          <w:tcPr>
            <w:tcW w:w="919" w:type="dxa"/>
            <w:vAlign w:val="top"/>
          </w:tcPr>
          <w:p w14:paraId="7A936EEA">
            <w:pPr>
              <w:pStyle w:val="6"/>
              <w:spacing w:before="296" w:line="192" w:lineRule="auto"/>
              <w:ind w:left="427"/>
            </w:pPr>
            <w:r>
              <w:t>/</w:t>
            </w:r>
          </w:p>
        </w:tc>
        <w:tc>
          <w:tcPr>
            <w:tcW w:w="936" w:type="dxa"/>
            <w:vAlign w:val="top"/>
          </w:tcPr>
          <w:p w14:paraId="7E4D07CC">
            <w:pPr>
              <w:pStyle w:val="6"/>
              <w:spacing w:before="300" w:line="188" w:lineRule="auto"/>
              <w:ind w:left="184"/>
            </w:pPr>
            <w:r>
              <w:rPr>
                <w:spacing w:val="-2"/>
              </w:rPr>
              <w:t>0.0164</w:t>
            </w:r>
          </w:p>
        </w:tc>
        <w:tc>
          <w:tcPr>
            <w:tcW w:w="1997" w:type="dxa"/>
            <w:vMerge w:val="continue"/>
            <w:tcBorders>
              <w:top w:val="nil"/>
            </w:tcBorders>
            <w:vAlign w:val="top"/>
          </w:tcPr>
          <w:p w14:paraId="5FDC3935">
            <w:pPr>
              <w:rPr>
                <w:rFonts w:ascii="Arial"/>
                <w:sz w:val="21"/>
              </w:rPr>
            </w:pPr>
          </w:p>
        </w:tc>
        <w:tc>
          <w:tcPr>
            <w:tcW w:w="568" w:type="dxa"/>
            <w:vAlign w:val="top"/>
          </w:tcPr>
          <w:p w14:paraId="278990AE">
            <w:pPr>
              <w:pStyle w:val="6"/>
              <w:spacing w:before="300" w:line="188" w:lineRule="auto"/>
              <w:ind w:left="97"/>
            </w:pPr>
            <w:r>
              <w:rPr>
                <w:spacing w:val="-2"/>
              </w:rPr>
              <w:t>78%</w:t>
            </w:r>
          </w:p>
        </w:tc>
        <w:tc>
          <w:tcPr>
            <w:tcW w:w="712" w:type="dxa"/>
            <w:vMerge w:val="continue"/>
            <w:tcBorders>
              <w:top w:val="nil"/>
            </w:tcBorders>
            <w:vAlign w:val="top"/>
          </w:tcPr>
          <w:p w14:paraId="17D2E1E3">
            <w:pPr>
              <w:rPr>
                <w:rFonts w:ascii="Arial"/>
                <w:sz w:val="21"/>
              </w:rPr>
            </w:pPr>
          </w:p>
        </w:tc>
        <w:tc>
          <w:tcPr>
            <w:tcW w:w="1134" w:type="dxa"/>
            <w:vAlign w:val="top"/>
          </w:tcPr>
          <w:p w14:paraId="0243BFF2">
            <w:pPr>
              <w:pStyle w:val="6"/>
              <w:spacing w:before="296" w:line="192" w:lineRule="auto"/>
              <w:ind w:left="537"/>
            </w:pPr>
            <w:r>
              <w:t>/</w:t>
            </w:r>
          </w:p>
        </w:tc>
        <w:tc>
          <w:tcPr>
            <w:tcW w:w="852" w:type="dxa"/>
            <w:vAlign w:val="top"/>
          </w:tcPr>
          <w:p w14:paraId="155963E1">
            <w:pPr>
              <w:pStyle w:val="6"/>
              <w:spacing w:before="296" w:line="192" w:lineRule="auto"/>
              <w:ind w:left="396"/>
            </w:pPr>
            <w:r>
              <w:t>/</w:t>
            </w:r>
          </w:p>
        </w:tc>
        <w:tc>
          <w:tcPr>
            <w:tcW w:w="860" w:type="dxa"/>
            <w:vAlign w:val="top"/>
          </w:tcPr>
          <w:p w14:paraId="7DF2474C">
            <w:pPr>
              <w:pStyle w:val="6"/>
              <w:spacing w:before="300" w:line="188" w:lineRule="auto"/>
              <w:ind w:left="149"/>
            </w:pPr>
            <w:r>
              <w:rPr>
                <w:spacing w:val="-2"/>
              </w:rPr>
              <w:t>0.0036</w:t>
            </w:r>
          </w:p>
        </w:tc>
        <w:tc>
          <w:tcPr>
            <w:tcW w:w="632" w:type="dxa"/>
            <w:vAlign w:val="top"/>
          </w:tcPr>
          <w:p w14:paraId="0853D369">
            <w:pPr>
              <w:pStyle w:val="6"/>
              <w:spacing w:before="300" w:line="188" w:lineRule="auto"/>
              <w:ind w:left="116"/>
            </w:pPr>
            <w:r>
              <w:rPr>
                <w:spacing w:val="-4"/>
              </w:rPr>
              <w:t>8760</w:t>
            </w:r>
          </w:p>
        </w:tc>
      </w:tr>
      <w:tr w14:paraId="0293E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36" w:type="dxa"/>
            <w:vMerge w:val="restart"/>
            <w:tcBorders>
              <w:bottom w:val="nil"/>
            </w:tcBorders>
            <w:vAlign w:val="top"/>
          </w:tcPr>
          <w:p w14:paraId="724D3C05">
            <w:pPr>
              <w:spacing w:before="303" w:line="220" w:lineRule="auto"/>
              <w:ind w:left="281"/>
              <w:rPr>
                <w:rFonts w:ascii="宋体" w:hAnsi="宋体" w:eastAsia="宋体" w:cs="宋体"/>
                <w:sz w:val="21"/>
                <w:szCs w:val="21"/>
              </w:rPr>
            </w:pPr>
            <w:r>
              <w:rPr>
                <w:rFonts w:ascii="宋体" w:hAnsi="宋体" w:eastAsia="宋体" w:cs="宋体"/>
                <w:spacing w:val="-7"/>
                <w:sz w:val="21"/>
                <w:szCs w:val="21"/>
              </w:rPr>
              <w:t>出猪</w:t>
            </w:r>
          </w:p>
        </w:tc>
        <w:tc>
          <w:tcPr>
            <w:tcW w:w="776" w:type="dxa"/>
            <w:vMerge w:val="restart"/>
            <w:tcBorders>
              <w:bottom w:val="nil"/>
            </w:tcBorders>
            <w:vAlign w:val="top"/>
          </w:tcPr>
          <w:p w14:paraId="34ECB77E">
            <w:pPr>
              <w:spacing w:before="303" w:line="220" w:lineRule="auto"/>
              <w:ind w:left="76"/>
              <w:rPr>
                <w:rFonts w:ascii="宋体" w:hAnsi="宋体" w:eastAsia="宋体" w:cs="宋体"/>
                <w:sz w:val="21"/>
                <w:szCs w:val="21"/>
              </w:rPr>
            </w:pPr>
            <w:r>
              <w:rPr>
                <w:rFonts w:ascii="宋体" w:hAnsi="宋体" w:eastAsia="宋体" w:cs="宋体"/>
                <w:spacing w:val="-3"/>
                <w:sz w:val="21"/>
                <w:szCs w:val="21"/>
              </w:rPr>
              <w:t>转猪舍</w:t>
            </w:r>
          </w:p>
        </w:tc>
        <w:tc>
          <w:tcPr>
            <w:tcW w:w="1093" w:type="dxa"/>
            <w:vMerge w:val="restart"/>
            <w:tcBorders>
              <w:bottom w:val="nil"/>
            </w:tcBorders>
            <w:vAlign w:val="top"/>
          </w:tcPr>
          <w:p w14:paraId="4E0E7B34">
            <w:pPr>
              <w:spacing w:before="303" w:line="220" w:lineRule="auto"/>
              <w:ind w:left="25"/>
              <w:rPr>
                <w:rFonts w:ascii="宋体" w:hAnsi="宋体" w:eastAsia="宋体" w:cs="宋体"/>
                <w:sz w:val="21"/>
                <w:szCs w:val="21"/>
              </w:rPr>
            </w:pPr>
            <w:r>
              <w:rPr>
                <w:rFonts w:ascii="宋体" w:hAnsi="宋体" w:eastAsia="宋体" w:cs="宋体"/>
                <w:spacing w:val="-2"/>
                <w:sz w:val="21"/>
                <w:szCs w:val="21"/>
              </w:rPr>
              <w:t>无组织排放</w:t>
            </w:r>
          </w:p>
        </w:tc>
        <w:tc>
          <w:tcPr>
            <w:tcW w:w="753" w:type="dxa"/>
            <w:vAlign w:val="top"/>
          </w:tcPr>
          <w:p w14:paraId="2015CEDE">
            <w:pPr>
              <w:pStyle w:val="6"/>
              <w:spacing w:before="103" w:line="195" w:lineRule="auto"/>
              <w:ind w:left="182"/>
              <w:rPr>
                <w:sz w:val="14"/>
                <w:szCs w:val="14"/>
              </w:rPr>
            </w:pPr>
            <w:r>
              <w:t>NH</w:t>
            </w:r>
            <w:r>
              <w:rPr>
                <w:spacing w:val="1"/>
                <w:position w:val="-2"/>
                <w:sz w:val="14"/>
                <w:szCs w:val="14"/>
              </w:rPr>
              <w:t>3</w:t>
            </w:r>
          </w:p>
        </w:tc>
        <w:tc>
          <w:tcPr>
            <w:tcW w:w="709" w:type="dxa"/>
            <w:vMerge w:val="restart"/>
            <w:tcBorders>
              <w:bottom w:val="nil"/>
            </w:tcBorders>
            <w:vAlign w:val="top"/>
          </w:tcPr>
          <w:p w14:paraId="7AF8B043">
            <w:pPr>
              <w:spacing w:before="302" w:line="220" w:lineRule="auto"/>
              <w:ind w:left="148"/>
              <w:rPr>
                <w:rFonts w:ascii="宋体" w:hAnsi="宋体" w:eastAsia="宋体" w:cs="宋体"/>
                <w:sz w:val="21"/>
                <w:szCs w:val="21"/>
              </w:rPr>
            </w:pPr>
            <w:r>
              <w:rPr>
                <w:rFonts w:ascii="宋体" w:hAnsi="宋体" w:eastAsia="宋体" w:cs="宋体"/>
                <w:spacing w:val="-3"/>
                <w:sz w:val="21"/>
                <w:szCs w:val="21"/>
              </w:rPr>
              <w:t>类比</w:t>
            </w:r>
          </w:p>
        </w:tc>
        <w:tc>
          <w:tcPr>
            <w:tcW w:w="1137" w:type="dxa"/>
            <w:vAlign w:val="top"/>
          </w:tcPr>
          <w:p w14:paraId="44E2C410">
            <w:pPr>
              <w:pStyle w:val="6"/>
              <w:spacing w:before="96" w:line="192" w:lineRule="auto"/>
              <w:ind w:left="535"/>
            </w:pPr>
            <w:r>
              <w:t>/</w:t>
            </w:r>
          </w:p>
        </w:tc>
        <w:tc>
          <w:tcPr>
            <w:tcW w:w="919" w:type="dxa"/>
            <w:vAlign w:val="top"/>
          </w:tcPr>
          <w:p w14:paraId="33FFD9B3">
            <w:pPr>
              <w:pStyle w:val="6"/>
              <w:spacing w:before="96" w:line="192" w:lineRule="auto"/>
              <w:ind w:left="426"/>
            </w:pPr>
            <w:r>
              <w:t>/</w:t>
            </w:r>
          </w:p>
        </w:tc>
        <w:tc>
          <w:tcPr>
            <w:tcW w:w="936" w:type="dxa"/>
            <w:vAlign w:val="top"/>
          </w:tcPr>
          <w:p w14:paraId="619A7D4A">
            <w:pPr>
              <w:pStyle w:val="6"/>
              <w:spacing w:before="100" w:line="188" w:lineRule="auto"/>
              <w:ind w:left="183"/>
            </w:pPr>
            <w:r>
              <w:rPr>
                <w:spacing w:val="-2"/>
              </w:rPr>
              <w:t>0.0180</w:t>
            </w:r>
          </w:p>
        </w:tc>
        <w:tc>
          <w:tcPr>
            <w:tcW w:w="1997" w:type="dxa"/>
            <w:vMerge w:val="restart"/>
            <w:tcBorders>
              <w:bottom w:val="nil"/>
            </w:tcBorders>
            <w:vAlign w:val="top"/>
          </w:tcPr>
          <w:p w14:paraId="1329593F">
            <w:pPr>
              <w:pStyle w:val="6"/>
              <w:spacing w:before="29" w:line="229" w:lineRule="auto"/>
              <w:ind w:left="11" w:firstLine="7"/>
              <w:jc w:val="both"/>
              <w:rPr>
                <w:rFonts w:ascii="宋体" w:hAnsi="宋体" w:eastAsia="宋体" w:cs="宋体"/>
              </w:rPr>
            </w:pPr>
            <w:r>
              <w:rPr>
                <w:rFonts w:ascii="宋体" w:hAnsi="宋体" w:eastAsia="宋体" w:cs="宋体"/>
                <w:spacing w:val="15"/>
              </w:rPr>
              <w:t>喷洒除臭剂</w:t>
            </w:r>
            <w:r>
              <w:rPr>
                <w:spacing w:val="15"/>
              </w:rPr>
              <w:t>+</w:t>
            </w:r>
            <w:r>
              <w:rPr>
                <w:spacing w:val="-14"/>
              </w:rPr>
              <w:t xml:space="preserve"> </w:t>
            </w:r>
            <w:r>
              <w:rPr>
                <w:rFonts w:ascii="宋体" w:hAnsi="宋体" w:eastAsia="宋体" w:cs="宋体"/>
                <w:spacing w:val="15"/>
              </w:rPr>
              <w:t>水帘通</w:t>
            </w:r>
            <w:r>
              <w:rPr>
                <w:rFonts w:ascii="宋体" w:hAnsi="宋体" w:eastAsia="宋体" w:cs="宋体"/>
                <w:spacing w:val="6"/>
              </w:rPr>
              <w:t>风</w:t>
            </w:r>
            <w:r>
              <w:rPr>
                <w:spacing w:val="6"/>
              </w:rPr>
              <w:t xml:space="preserve">+ </w:t>
            </w:r>
            <w:r>
              <w:rPr>
                <w:rFonts w:ascii="宋体" w:hAnsi="宋体" w:eastAsia="宋体" w:cs="宋体"/>
                <w:spacing w:val="6"/>
              </w:rPr>
              <w:t>出风</w:t>
            </w:r>
            <w:r>
              <w:rPr>
                <w:rFonts w:ascii="宋体" w:hAnsi="宋体" w:eastAsia="宋体" w:cs="宋体"/>
                <w:spacing w:val="-38"/>
              </w:rPr>
              <w:t xml:space="preserve"> </w:t>
            </w:r>
            <w:r>
              <w:rPr>
                <w:rFonts w:ascii="宋体" w:hAnsi="宋体" w:eastAsia="宋体" w:cs="宋体"/>
                <w:spacing w:val="6"/>
              </w:rPr>
              <w:t>口生物喷雾</w:t>
            </w:r>
            <w:r>
              <w:rPr>
                <w:rFonts w:ascii="宋体" w:hAnsi="宋体" w:eastAsia="宋体" w:cs="宋体"/>
                <w:spacing w:val="-9"/>
              </w:rPr>
              <w:t>除臭。</w:t>
            </w:r>
          </w:p>
        </w:tc>
        <w:tc>
          <w:tcPr>
            <w:tcW w:w="568" w:type="dxa"/>
            <w:vAlign w:val="top"/>
          </w:tcPr>
          <w:p w14:paraId="2E2021D4">
            <w:pPr>
              <w:pStyle w:val="6"/>
              <w:spacing w:before="100" w:line="188" w:lineRule="auto"/>
              <w:ind w:left="102"/>
            </w:pPr>
            <w:r>
              <w:rPr>
                <w:spacing w:val="-3"/>
              </w:rPr>
              <w:t>86%</w:t>
            </w:r>
          </w:p>
        </w:tc>
        <w:tc>
          <w:tcPr>
            <w:tcW w:w="712" w:type="dxa"/>
            <w:vMerge w:val="restart"/>
            <w:tcBorders>
              <w:bottom w:val="nil"/>
            </w:tcBorders>
            <w:vAlign w:val="top"/>
          </w:tcPr>
          <w:p w14:paraId="465CE8D3">
            <w:pPr>
              <w:spacing w:before="302" w:line="220" w:lineRule="auto"/>
              <w:ind w:left="52"/>
              <w:rPr>
                <w:rFonts w:ascii="宋体" w:hAnsi="宋体" w:eastAsia="宋体" w:cs="宋体"/>
                <w:sz w:val="21"/>
                <w:szCs w:val="21"/>
              </w:rPr>
            </w:pPr>
            <w:r>
              <w:rPr>
                <w:rFonts w:ascii="宋体" w:hAnsi="宋体" w:eastAsia="宋体" w:cs="宋体"/>
                <w:spacing w:val="-3"/>
                <w:sz w:val="21"/>
                <w:szCs w:val="21"/>
              </w:rPr>
              <w:t>系数法</w:t>
            </w:r>
          </w:p>
        </w:tc>
        <w:tc>
          <w:tcPr>
            <w:tcW w:w="1134" w:type="dxa"/>
            <w:vAlign w:val="top"/>
          </w:tcPr>
          <w:p w14:paraId="69C917CA">
            <w:pPr>
              <w:pStyle w:val="6"/>
              <w:spacing w:before="96" w:line="192" w:lineRule="auto"/>
              <w:ind w:left="537"/>
            </w:pPr>
            <w:r>
              <w:t>/</w:t>
            </w:r>
          </w:p>
        </w:tc>
        <w:tc>
          <w:tcPr>
            <w:tcW w:w="852" w:type="dxa"/>
            <w:vAlign w:val="top"/>
          </w:tcPr>
          <w:p w14:paraId="2818DC35">
            <w:pPr>
              <w:pStyle w:val="6"/>
              <w:spacing w:before="96" w:line="192" w:lineRule="auto"/>
              <w:ind w:left="396"/>
            </w:pPr>
            <w:r>
              <w:t>/</w:t>
            </w:r>
          </w:p>
        </w:tc>
        <w:tc>
          <w:tcPr>
            <w:tcW w:w="860" w:type="dxa"/>
            <w:vAlign w:val="top"/>
          </w:tcPr>
          <w:p w14:paraId="5AC18D8A">
            <w:pPr>
              <w:pStyle w:val="6"/>
              <w:spacing w:before="100" w:line="188" w:lineRule="auto"/>
              <w:ind w:left="149"/>
            </w:pPr>
            <w:r>
              <w:rPr>
                <w:spacing w:val="-2"/>
              </w:rPr>
              <w:t>0.0025</w:t>
            </w:r>
          </w:p>
        </w:tc>
        <w:tc>
          <w:tcPr>
            <w:tcW w:w="632" w:type="dxa"/>
            <w:vAlign w:val="top"/>
          </w:tcPr>
          <w:p w14:paraId="5945985F">
            <w:pPr>
              <w:pStyle w:val="6"/>
              <w:spacing w:before="100" w:line="188" w:lineRule="auto"/>
              <w:ind w:left="128"/>
            </w:pPr>
            <w:r>
              <w:rPr>
                <w:spacing w:val="-7"/>
              </w:rPr>
              <w:t>1460</w:t>
            </w:r>
          </w:p>
        </w:tc>
      </w:tr>
      <w:tr w14:paraId="5B90F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36" w:type="dxa"/>
            <w:vMerge w:val="continue"/>
            <w:tcBorders>
              <w:top w:val="nil"/>
            </w:tcBorders>
            <w:vAlign w:val="top"/>
          </w:tcPr>
          <w:p w14:paraId="7550E51E">
            <w:pPr>
              <w:rPr>
                <w:rFonts w:ascii="Arial"/>
                <w:sz w:val="21"/>
              </w:rPr>
            </w:pPr>
          </w:p>
        </w:tc>
        <w:tc>
          <w:tcPr>
            <w:tcW w:w="776" w:type="dxa"/>
            <w:vMerge w:val="continue"/>
            <w:tcBorders>
              <w:top w:val="nil"/>
            </w:tcBorders>
            <w:vAlign w:val="top"/>
          </w:tcPr>
          <w:p w14:paraId="6C39FF62">
            <w:pPr>
              <w:rPr>
                <w:rFonts w:ascii="Arial"/>
                <w:sz w:val="21"/>
              </w:rPr>
            </w:pPr>
          </w:p>
        </w:tc>
        <w:tc>
          <w:tcPr>
            <w:tcW w:w="1093" w:type="dxa"/>
            <w:vMerge w:val="continue"/>
            <w:tcBorders>
              <w:top w:val="nil"/>
            </w:tcBorders>
            <w:vAlign w:val="top"/>
          </w:tcPr>
          <w:p w14:paraId="39C0B60D">
            <w:pPr>
              <w:rPr>
                <w:rFonts w:ascii="Arial"/>
                <w:sz w:val="21"/>
              </w:rPr>
            </w:pPr>
          </w:p>
        </w:tc>
        <w:tc>
          <w:tcPr>
            <w:tcW w:w="753" w:type="dxa"/>
            <w:vAlign w:val="top"/>
          </w:tcPr>
          <w:p w14:paraId="1F60673A">
            <w:pPr>
              <w:pStyle w:val="6"/>
              <w:spacing w:before="165" w:line="198" w:lineRule="auto"/>
              <w:ind w:left="206"/>
            </w:pPr>
            <w:r>
              <w:rPr>
                <w:spacing w:val="-2"/>
              </w:rPr>
              <w:t>H</w:t>
            </w:r>
            <w:r>
              <w:rPr>
                <w:spacing w:val="-2"/>
                <w:position w:val="-2"/>
                <w:sz w:val="14"/>
                <w:szCs w:val="14"/>
              </w:rPr>
              <w:t>2</w:t>
            </w:r>
            <w:r>
              <w:rPr>
                <w:spacing w:val="-2"/>
              </w:rPr>
              <w:t>S</w:t>
            </w:r>
          </w:p>
        </w:tc>
        <w:tc>
          <w:tcPr>
            <w:tcW w:w="709" w:type="dxa"/>
            <w:vMerge w:val="continue"/>
            <w:tcBorders>
              <w:top w:val="nil"/>
            </w:tcBorders>
            <w:vAlign w:val="top"/>
          </w:tcPr>
          <w:p w14:paraId="54300D1D">
            <w:pPr>
              <w:rPr>
                <w:rFonts w:ascii="Arial"/>
                <w:sz w:val="21"/>
              </w:rPr>
            </w:pPr>
          </w:p>
        </w:tc>
        <w:tc>
          <w:tcPr>
            <w:tcW w:w="1137" w:type="dxa"/>
            <w:vAlign w:val="top"/>
          </w:tcPr>
          <w:p w14:paraId="4FFA9B90">
            <w:pPr>
              <w:pStyle w:val="6"/>
              <w:spacing w:before="161" w:line="192" w:lineRule="auto"/>
              <w:ind w:left="536"/>
            </w:pPr>
            <w:r>
              <w:t>/</w:t>
            </w:r>
          </w:p>
        </w:tc>
        <w:tc>
          <w:tcPr>
            <w:tcW w:w="919" w:type="dxa"/>
            <w:vAlign w:val="top"/>
          </w:tcPr>
          <w:p w14:paraId="6E3B05D7">
            <w:pPr>
              <w:pStyle w:val="6"/>
              <w:spacing w:before="161" w:line="192" w:lineRule="auto"/>
              <w:ind w:left="427"/>
            </w:pPr>
            <w:r>
              <w:t>/</w:t>
            </w:r>
          </w:p>
        </w:tc>
        <w:tc>
          <w:tcPr>
            <w:tcW w:w="936" w:type="dxa"/>
            <w:vAlign w:val="top"/>
          </w:tcPr>
          <w:p w14:paraId="1F2AE220">
            <w:pPr>
              <w:pStyle w:val="6"/>
              <w:spacing w:before="165" w:line="188" w:lineRule="auto"/>
              <w:ind w:left="184"/>
            </w:pPr>
            <w:r>
              <w:rPr>
                <w:spacing w:val="-2"/>
              </w:rPr>
              <w:t>0.0005</w:t>
            </w:r>
          </w:p>
        </w:tc>
        <w:tc>
          <w:tcPr>
            <w:tcW w:w="1997" w:type="dxa"/>
            <w:vMerge w:val="continue"/>
            <w:tcBorders>
              <w:top w:val="nil"/>
            </w:tcBorders>
            <w:vAlign w:val="top"/>
          </w:tcPr>
          <w:p w14:paraId="6A73D40B">
            <w:pPr>
              <w:rPr>
                <w:rFonts w:ascii="Arial"/>
                <w:sz w:val="21"/>
              </w:rPr>
            </w:pPr>
          </w:p>
        </w:tc>
        <w:tc>
          <w:tcPr>
            <w:tcW w:w="568" w:type="dxa"/>
            <w:vAlign w:val="top"/>
          </w:tcPr>
          <w:p w14:paraId="5D02A861">
            <w:pPr>
              <w:pStyle w:val="6"/>
              <w:spacing w:before="165" w:line="188" w:lineRule="auto"/>
              <w:ind w:left="97"/>
            </w:pPr>
            <w:r>
              <w:rPr>
                <w:spacing w:val="-2"/>
              </w:rPr>
              <w:t>78%</w:t>
            </w:r>
          </w:p>
        </w:tc>
        <w:tc>
          <w:tcPr>
            <w:tcW w:w="712" w:type="dxa"/>
            <w:vMerge w:val="continue"/>
            <w:tcBorders>
              <w:top w:val="nil"/>
            </w:tcBorders>
            <w:vAlign w:val="top"/>
          </w:tcPr>
          <w:p w14:paraId="54A458FA">
            <w:pPr>
              <w:rPr>
                <w:rFonts w:ascii="Arial"/>
                <w:sz w:val="21"/>
              </w:rPr>
            </w:pPr>
          </w:p>
        </w:tc>
        <w:tc>
          <w:tcPr>
            <w:tcW w:w="1134" w:type="dxa"/>
            <w:vAlign w:val="top"/>
          </w:tcPr>
          <w:p w14:paraId="07E06076">
            <w:pPr>
              <w:pStyle w:val="6"/>
              <w:spacing w:before="161" w:line="192" w:lineRule="auto"/>
              <w:ind w:left="537"/>
            </w:pPr>
            <w:r>
              <w:t>/</w:t>
            </w:r>
          </w:p>
        </w:tc>
        <w:tc>
          <w:tcPr>
            <w:tcW w:w="852" w:type="dxa"/>
            <w:vAlign w:val="top"/>
          </w:tcPr>
          <w:p w14:paraId="69FEA3FA">
            <w:pPr>
              <w:pStyle w:val="6"/>
              <w:spacing w:before="161" w:line="192" w:lineRule="auto"/>
              <w:ind w:left="396"/>
            </w:pPr>
            <w:r>
              <w:t>/</w:t>
            </w:r>
          </w:p>
        </w:tc>
        <w:tc>
          <w:tcPr>
            <w:tcW w:w="860" w:type="dxa"/>
            <w:vAlign w:val="top"/>
          </w:tcPr>
          <w:p w14:paraId="51756D67">
            <w:pPr>
              <w:pStyle w:val="6"/>
              <w:spacing w:before="165" w:line="188" w:lineRule="auto"/>
              <w:ind w:left="149"/>
            </w:pPr>
            <w:r>
              <w:rPr>
                <w:spacing w:val="-2"/>
              </w:rPr>
              <w:t>0.0001</w:t>
            </w:r>
          </w:p>
        </w:tc>
        <w:tc>
          <w:tcPr>
            <w:tcW w:w="632" w:type="dxa"/>
            <w:vAlign w:val="top"/>
          </w:tcPr>
          <w:p w14:paraId="4FAA94C5">
            <w:pPr>
              <w:pStyle w:val="6"/>
              <w:spacing w:before="165" w:line="188" w:lineRule="auto"/>
              <w:ind w:left="128"/>
            </w:pPr>
            <w:r>
              <w:rPr>
                <w:spacing w:val="-7"/>
              </w:rPr>
              <w:t>1460</w:t>
            </w:r>
          </w:p>
        </w:tc>
      </w:tr>
      <w:tr w14:paraId="4D51F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36" w:type="dxa"/>
            <w:vMerge w:val="restart"/>
            <w:tcBorders>
              <w:bottom w:val="nil"/>
            </w:tcBorders>
            <w:vAlign w:val="top"/>
          </w:tcPr>
          <w:p w14:paraId="7E36C702">
            <w:pPr>
              <w:spacing w:line="279" w:lineRule="auto"/>
              <w:rPr>
                <w:rFonts w:ascii="Arial"/>
                <w:sz w:val="21"/>
              </w:rPr>
            </w:pPr>
          </w:p>
          <w:p w14:paraId="5E503483">
            <w:pPr>
              <w:spacing w:line="279" w:lineRule="auto"/>
              <w:rPr>
                <w:rFonts w:ascii="Arial"/>
                <w:sz w:val="21"/>
              </w:rPr>
            </w:pPr>
          </w:p>
          <w:p w14:paraId="1CF203B4">
            <w:pPr>
              <w:spacing w:line="279" w:lineRule="auto"/>
              <w:rPr>
                <w:rFonts w:ascii="Arial"/>
                <w:sz w:val="21"/>
              </w:rPr>
            </w:pPr>
          </w:p>
          <w:p w14:paraId="3E030F16">
            <w:pPr>
              <w:spacing w:line="279" w:lineRule="auto"/>
              <w:rPr>
                <w:rFonts w:ascii="Arial"/>
                <w:sz w:val="21"/>
              </w:rPr>
            </w:pPr>
          </w:p>
          <w:p w14:paraId="0EEB2B9E">
            <w:pPr>
              <w:spacing w:line="279" w:lineRule="auto"/>
              <w:rPr>
                <w:rFonts w:ascii="Arial"/>
                <w:sz w:val="21"/>
              </w:rPr>
            </w:pPr>
          </w:p>
          <w:p w14:paraId="1A5459C4">
            <w:pPr>
              <w:spacing w:line="279" w:lineRule="auto"/>
              <w:rPr>
                <w:rFonts w:ascii="Arial"/>
                <w:sz w:val="21"/>
              </w:rPr>
            </w:pPr>
          </w:p>
          <w:p w14:paraId="5648C4F2">
            <w:pPr>
              <w:spacing w:before="68" w:line="220" w:lineRule="auto"/>
              <w:ind w:left="55"/>
              <w:rPr>
                <w:rFonts w:ascii="宋体" w:hAnsi="宋体" w:eastAsia="宋体" w:cs="宋体"/>
                <w:sz w:val="21"/>
                <w:szCs w:val="21"/>
              </w:rPr>
            </w:pPr>
            <w:r>
              <w:rPr>
                <w:rFonts w:ascii="宋体" w:hAnsi="宋体" w:eastAsia="宋体" w:cs="宋体"/>
                <w:spacing w:val="-2"/>
                <w:sz w:val="21"/>
                <w:szCs w:val="21"/>
              </w:rPr>
              <w:t>粪污处理</w:t>
            </w:r>
          </w:p>
        </w:tc>
        <w:tc>
          <w:tcPr>
            <w:tcW w:w="776" w:type="dxa"/>
            <w:vMerge w:val="restart"/>
            <w:tcBorders>
              <w:bottom w:val="nil"/>
            </w:tcBorders>
            <w:vAlign w:val="top"/>
          </w:tcPr>
          <w:p w14:paraId="6C9FE3EC">
            <w:pPr>
              <w:spacing w:before="104" w:line="243" w:lineRule="auto"/>
              <w:ind w:left="79" w:right="74" w:firstLine="103"/>
              <w:rPr>
                <w:rFonts w:ascii="宋体" w:hAnsi="宋体" w:eastAsia="宋体" w:cs="宋体"/>
                <w:sz w:val="21"/>
                <w:szCs w:val="21"/>
              </w:rPr>
            </w:pPr>
            <w:r>
              <w:rPr>
                <w:rFonts w:ascii="宋体" w:hAnsi="宋体" w:eastAsia="宋体" w:cs="宋体"/>
                <w:spacing w:val="-5"/>
                <w:sz w:val="21"/>
                <w:szCs w:val="21"/>
              </w:rPr>
              <w:t>污水处理站</w:t>
            </w:r>
          </w:p>
        </w:tc>
        <w:tc>
          <w:tcPr>
            <w:tcW w:w="1093" w:type="dxa"/>
            <w:vMerge w:val="restart"/>
            <w:tcBorders>
              <w:bottom w:val="nil"/>
            </w:tcBorders>
            <w:vAlign w:val="top"/>
          </w:tcPr>
          <w:p w14:paraId="4574FD45">
            <w:pPr>
              <w:spacing w:before="240" w:line="220" w:lineRule="auto"/>
              <w:ind w:left="25"/>
              <w:rPr>
                <w:rFonts w:ascii="宋体" w:hAnsi="宋体" w:eastAsia="宋体" w:cs="宋体"/>
                <w:sz w:val="21"/>
                <w:szCs w:val="21"/>
              </w:rPr>
            </w:pPr>
            <w:r>
              <w:rPr>
                <w:rFonts w:ascii="宋体" w:hAnsi="宋体" w:eastAsia="宋体" w:cs="宋体"/>
                <w:spacing w:val="-2"/>
                <w:sz w:val="21"/>
                <w:szCs w:val="21"/>
              </w:rPr>
              <w:t>无组织排放</w:t>
            </w:r>
          </w:p>
        </w:tc>
        <w:tc>
          <w:tcPr>
            <w:tcW w:w="753" w:type="dxa"/>
            <w:vAlign w:val="top"/>
          </w:tcPr>
          <w:p w14:paraId="291BA40D">
            <w:pPr>
              <w:pStyle w:val="6"/>
              <w:spacing w:before="104" w:line="195" w:lineRule="auto"/>
              <w:ind w:left="182"/>
              <w:rPr>
                <w:sz w:val="14"/>
                <w:szCs w:val="14"/>
              </w:rPr>
            </w:pPr>
            <w:r>
              <w:t>NH</w:t>
            </w:r>
            <w:r>
              <w:rPr>
                <w:spacing w:val="1"/>
                <w:position w:val="-2"/>
                <w:sz w:val="14"/>
                <w:szCs w:val="14"/>
              </w:rPr>
              <w:t>3</w:t>
            </w:r>
          </w:p>
        </w:tc>
        <w:tc>
          <w:tcPr>
            <w:tcW w:w="709" w:type="dxa"/>
            <w:vMerge w:val="restart"/>
            <w:tcBorders>
              <w:bottom w:val="nil"/>
            </w:tcBorders>
            <w:vAlign w:val="top"/>
          </w:tcPr>
          <w:p w14:paraId="4C0FC77D">
            <w:pPr>
              <w:spacing w:before="239" w:line="220" w:lineRule="auto"/>
              <w:ind w:left="148"/>
              <w:rPr>
                <w:rFonts w:ascii="宋体" w:hAnsi="宋体" w:eastAsia="宋体" w:cs="宋体"/>
                <w:sz w:val="21"/>
                <w:szCs w:val="21"/>
              </w:rPr>
            </w:pPr>
            <w:r>
              <w:rPr>
                <w:rFonts w:ascii="宋体" w:hAnsi="宋体" w:eastAsia="宋体" w:cs="宋体"/>
                <w:spacing w:val="-3"/>
                <w:sz w:val="21"/>
                <w:szCs w:val="21"/>
              </w:rPr>
              <w:t>类比</w:t>
            </w:r>
          </w:p>
        </w:tc>
        <w:tc>
          <w:tcPr>
            <w:tcW w:w="1137" w:type="dxa"/>
            <w:vAlign w:val="top"/>
          </w:tcPr>
          <w:p w14:paraId="013A7A4F">
            <w:pPr>
              <w:pStyle w:val="6"/>
              <w:spacing w:before="97" w:line="192" w:lineRule="auto"/>
              <w:ind w:left="535"/>
            </w:pPr>
            <w:r>
              <w:t>/</w:t>
            </w:r>
          </w:p>
        </w:tc>
        <w:tc>
          <w:tcPr>
            <w:tcW w:w="919" w:type="dxa"/>
            <w:vAlign w:val="top"/>
          </w:tcPr>
          <w:p w14:paraId="6D6512EA">
            <w:pPr>
              <w:pStyle w:val="6"/>
              <w:spacing w:before="97" w:line="192" w:lineRule="auto"/>
              <w:ind w:left="426"/>
            </w:pPr>
            <w:r>
              <w:t>/</w:t>
            </w:r>
          </w:p>
        </w:tc>
        <w:tc>
          <w:tcPr>
            <w:tcW w:w="936" w:type="dxa"/>
            <w:vAlign w:val="top"/>
          </w:tcPr>
          <w:p w14:paraId="474EA4F6">
            <w:pPr>
              <w:pStyle w:val="6"/>
              <w:spacing w:before="101" w:line="188" w:lineRule="auto"/>
              <w:ind w:left="187"/>
            </w:pPr>
            <w:r>
              <w:rPr>
                <w:spacing w:val="-2"/>
              </w:rPr>
              <w:t>0.0116</w:t>
            </w:r>
          </w:p>
        </w:tc>
        <w:tc>
          <w:tcPr>
            <w:tcW w:w="1997" w:type="dxa"/>
            <w:vMerge w:val="restart"/>
            <w:tcBorders>
              <w:bottom w:val="nil"/>
            </w:tcBorders>
            <w:vAlign w:val="top"/>
          </w:tcPr>
          <w:p w14:paraId="765C4403">
            <w:pPr>
              <w:spacing w:before="104" w:line="241" w:lineRule="auto"/>
              <w:ind w:left="11" w:right="2"/>
              <w:rPr>
                <w:rFonts w:ascii="宋体" w:hAnsi="宋体" w:eastAsia="宋体" w:cs="宋体"/>
                <w:sz w:val="21"/>
                <w:szCs w:val="21"/>
              </w:rPr>
            </w:pPr>
            <w:r>
              <w:rPr>
                <w:rFonts w:ascii="宋体" w:hAnsi="宋体" w:eastAsia="宋体" w:cs="宋体"/>
                <w:spacing w:val="9"/>
                <w:sz w:val="21"/>
                <w:szCs w:val="21"/>
              </w:rPr>
              <w:t>污水处理站恶臭单元</w:t>
            </w:r>
            <w:r>
              <w:rPr>
                <w:rFonts w:ascii="宋体" w:hAnsi="宋体" w:eastAsia="宋体" w:cs="宋体"/>
                <w:spacing w:val="-4"/>
                <w:sz w:val="21"/>
                <w:szCs w:val="21"/>
              </w:rPr>
              <w:t>密闭，喷洒除臭剂。</w:t>
            </w:r>
          </w:p>
        </w:tc>
        <w:tc>
          <w:tcPr>
            <w:tcW w:w="568" w:type="dxa"/>
            <w:vMerge w:val="restart"/>
            <w:tcBorders>
              <w:bottom w:val="nil"/>
            </w:tcBorders>
            <w:vAlign w:val="top"/>
          </w:tcPr>
          <w:p w14:paraId="4B0C42FA">
            <w:pPr>
              <w:pStyle w:val="6"/>
              <w:spacing w:before="276" w:line="188" w:lineRule="auto"/>
              <w:ind w:left="98"/>
            </w:pPr>
            <w:r>
              <w:rPr>
                <w:spacing w:val="-2"/>
              </w:rPr>
              <w:t>60%</w:t>
            </w:r>
          </w:p>
        </w:tc>
        <w:tc>
          <w:tcPr>
            <w:tcW w:w="712" w:type="dxa"/>
            <w:vMerge w:val="restart"/>
            <w:tcBorders>
              <w:bottom w:val="nil"/>
            </w:tcBorders>
            <w:vAlign w:val="top"/>
          </w:tcPr>
          <w:p w14:paraId="6E525F13">
            <w:pPr>
              <w:spacing w:before="239" w:line="220" w:lineRule="auto"/>
              <w:ind w:left="52"/>
              <w:rPr>
                <w:rFonts w:ascii="宋体" w:hAnsi="宋体" w:eastAsia="宋体" w:cs="宋体"/>
                <w:sz w:val="21"/>
                <w:szCs w:val="21"/>
              </w:rPr>
            </w:pPr>
            <w:r>
              <w:rPr>
                <w:rFonts w:ascii="宋体" w:hAnsi="宋体" w:eastAsia="宋体" w:cs="宋体"/>
                <w:spacing w:val="-3"/>
                <w:sz w:val="21"/>
                <w:szCs w:val="21"/>
              </w:rPr>
              <w:t>系数法</w:t>
            </w:r>
          </w:p>
        </w:tc>
        <w:tc>
          <w:tcPr>
            <w:tcW w:w="1134" w:type="dxa"/>
            <w:vAlign w:val="top"/>
          </w:tcPr>
          <w:p w14:paraId="05B6FAE0">
            <w:pPr>
              <w:pStyle w:val="6"/>
              <w:spacing w:before="97" w:line="192" w:lineRule="auto"/>
              <w:ind w:left="537"/>
            </w:pPr>
            <w:r>
              <w:t>/</w:t>
            </w:r>
          </w:p>
        </w:tc>
        <w:tc>
          <w:tcPr>
            <w:tcW w:w="852" w:type="dxa"/>
            <w:vAlign w:val="top"/>
          </w:tcPr>
          <w:p w14:paraId="32F2CCC8">
            <w:pPr>
              <w:pStyle w:val="6"/>
              <w:spacing w:before="97" w:line="192" w:lineRule="auto"/>
              <w:ind w:left="396"/>
            </w:pPr>
            <w:r>
              <w:t>/</w:t>
            </w:r>
          </w:p>
        </w:tc>
        <w:tc>
          <w:tcPr>
            <w:tcW w:w="860" w:type="dxa"/>
            <w:vAlign w:val="top"/>
          </w:tcPr>
          <w:p w14:paraId="252D6289">
            <w:pPr>
              <w:pStyle w:val="6"/>
              <w:spacing w:before="101" w:line="188" w:lineRule="auto"/>
              <w:ind w:left="149"/>
            </w:pPr>
            <w:r>
              <w:rPr>
                <w:spacing w:val="-2"/>
              </w:rPr>
              <w:t>0.0046</w:t>
            </w:r>
          </w:p>
        </w:tc>
        <w:tc>
          <w:tcPr>
            <w:tcW w:w="632" w:type="dxa"/>
            <w:vAlign w:val="top"/>
          </w:tcPr>
          <w:p w14:paraId="2A52F078">
            <w:pPr>
              <w:pStyle w:val="6"/>
              <w:spacing w:before="101" w:line="188" w:lineRule="auto"/>
              <w:ind w:left="116"/>
            </w:pPr>
            <w:r>
              <w:rPr>
                <w:spacing w:val="-4"/>
              </w:rPr>
              <w:t>8760</w:t>
            </w:r>
          </w:p>
        </w:tc>
      </w:tr>
      <w:tr w14:paraId="0D21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6" w:type="dxa"/>
            <w:vMerge w:val="continue"/>
            <w:tcBorders>
              <w:top w:val="nil"/>
              <w:bottom w:val="nil"/>
            </w:tcBorders>
            <w:vAlign w:val="top"/>
          </w:tcPr>
          <w:p w14:paraId="27CD36AD">
            <w:pPr>
              <w:rPr>
                <w:rFonts w:ascii="Arial"/>
                <w:sz w:val="21"/>
              </w:rPr>
            </w:pPr>
          </w:p>
        </w:tc>
        <w:tc>
          <w:tcPr>
            <w:tcW w:w="776" w:type="dxa"/>
            <w:vMerge w:val="continue"/>
            <w:tcBorders>
              <w:top w:val="nil"/>
            </w:tcBorders>
            <w:vAlign w:val="top"/>
          </w:tcPr>
          <w:p w14:paraId="56823C63">
            <w:pPr>
              <w:rPr>
                <w:rFonts w:ascii="Arial"/>
                <w:sz w:val="21"/>
              </w:rPr>
            </w:pPr>
          </w:p>
        </w:tc>
        <w:tc>
          <w:tcPr>
            <w:tcW w:w="1093" w:type="dxa"/>
            <w:vMerge w:val="continue"/>
            <w:tcBorders>
              <w:top w:val="nil"/>
            </w:tcBorders>
            <w:vAlign w:val="top"/>
          </w:tcPr>
          <w:p w14:paraId="202A72D7">
            <w:pPr>
              <w:rPr>
                <w:rFonts w:ascii="Arial"/>
                <w:sz w:val="21"/>
              </w:rPr>
            </w:pPr>
          </w:p>
        </w:tc>
        <w:tc>
          <w:tcPr>
            <w:tcW w:w="753" w:type="dxa"/>
            <w:vAlign w:val="top"/>
          </w:tcPr>
          <w:p w14:paraId="0DABF942">
            <w:pPr>
              <w:pStyle w:val="6"/>
              <w:spacing w:before="102" w:line="198" w:lineRule="auto"/>
              <w:ind w:left="206"/>
            </w:pPr>
            <w:r>
              <w:rPr>
                <w:spacing w:val="-2"/>
              </w:rPr>
              <w:t>H</w:t>
            </w:r>
            <w:r>
              <w:rPr>
                <w:spacing w:val="-2"/>
                <w:position w:val="-2"/>
                <w:sz w:val="14"/>
                <w:szCs w:val="14"/>
              </w:rPr>
              <w:t>2</w:t>
            </w:r>
            <w:r>
              <w:rPr>
                <w:spacing w:val="-2"/>
              </w:rPr>
              <w:t>S</w:t>
            </w:r>
          </w:p>
        </w:tc>
        <w:tc>
          <w:tcPr>
            <w:tcW w:w="709" w:type="dxa"/>
            <w:vMerge w:val="continue"/>
            <w:tcBorders>
              <w:top w:val="nil"/>
            </w:tcBorders>
            <w:vAlign w:val="top"/>
          </w:tcPr>
          <w:p w14:paraId="33A368EB">
            <w:pPr>
              <w:rPr>
                <w:rFonts w:ascii="Arial"/>
                <w:sz w:val="21"/>
              </w:rPr>
            </w:pPr>
          </w:p>
        </w:tc>
        <w:tc>
          <w:tcPr>
            <w:tcW w:w="1137" w:type="dxa"/>
            <w:vAlign w:val="top"/>
          </w:tcPr>
          <w:p w14:paraId="24617EC5">
            <w:pPr>
              <w:pStyle w:val="6"/>
              <w:spacing w:before="98" w:line="192" w:lineRule="auto"/>
              <w:ind w:left="536"/>
            </w:pPr>
            <w:r>
              <w:t>/</w:t>
            </w:r>
          </w:p>
        </w:tc>
        <w:tc>
          <w:tcPr>
            <w:tcW w:w="919" w:type="dxa"/>
            <w:vAlign w:val="top"/>
          </w:tcPr>
          <w:p w14:paraId="758596A1">
            <w:pPr>
              <w:pStyle w:val="6"/>
              <w:spacing w:before="98" w:line="192" w:lineRule="auto"/>
              <w:ind w:left="427"/>
            </w:pPr>
            <w:r>
              <w:t>/</w:t>
            </w:r>
          </w:p>
        </w:tc>
        <w:tc>
          <w:tcPr>
            <w:tcW w:w="936" w:type="dxa"/>
            <w:vAlign w:val="top"/>
          </w:tcPr>
          <w:p w14:paraId="19824D67">
            <w:pPr>
              <w:pStyle w:val="6"/>
              <w:spacing w:before="102" w:line="188" w:lineRule="auto"/>
              <w:ind w:left="184"/>
            </w:pPr>
            <w:r>
              <w:rPr>
                <w:spacing w:val="-2"/>
              </w:rPr>
              <w:t>0.0004</w:t>
            </w:r>
          </w:p>
        </w:tc>
        <w:tc>
          <w:tcPr>
            <w:tcW w:w="1997" w:type="dxa"/>
            <w:vMerge w:val="continue"/>
            <w:tcBorders>
              <w:top w:val="nil"/>
            </w:tcBorders>
            <w:vAlign w:val="top"/>
          </w:tcPr>
          <w:p w14:paraId="32C0463D">
            <w:pPr>
              <w:rPr>
                <w:rFonts w:ascii="Arial"/>
                <w:sz w:val="21"/>
              </w:rPr>
            </w:pPr>
          </w:p>
        </w:tc>
        <w:tc>
          <w:tcPr>
            <w:tcW w:w="568" w:type="dxa"/>
            <w:vMerge w:val="continue"/>
            <w:tcBorders>
              <w:top w:val="nil"/>
            </w:tcBorders>
            <w:vAlign w:val="top"/>
          </w:tcPr>
          <w:p w14:paraId="7C5B9F74">
            <w:pPr>
              <w:rPr>
                <w:rFonts w:ascii="Arial"/>
                <w:sz w:val="21"/>
              </w:rPr>
            </w:pPr>
          </w:p>
        </w:tc>
        <w:tc>
          <w:tcPr>
            <w:tcW w:w="712" w:type="dxa"/>
            <w:vMerge w:val="continue"/>
            <w:tcBorders>
              <w:top w:val="nil"/>
            </w:tcBorders>
            <w:vAlign w:val="top"/>
          </w:tcPr>
          <w:p w14:paraId="7D910F76">
            <w:pPr>
              <w:rPr>
                <w:rFonts w:ascii="Arial"/>
                <w:sz w:val="21"/>
              </w:rPr>
            </w:pPr>
          </w:p>
        </w:tc>
        <w:tc>
          <w:tcPr>
            <w:tcW w:w="1134" w:type="dxa"/>
            <w:vAlign w:val="top"/>
          </w:tcPr>
          <w:p w14:paraId="78ECAC28">
            <w:pPr>
              <w:pStyle w:val="6"/>
              <w:spacing w:before="98" w:line="192" w:lineRule="auto"/>
              <w:ind w:left="538"/>
            </w:pPr>
            <w:r>
              <w:t>/</w:t>
            </w:r>
          </w:p>
        </w:tc>
        <w:tc>
          <w:tcPr>
            <w:tcW w:w="852" w:type="dxa"/>
            <w:vAlign w:val="top"/>
          </w:tcPr>
          <w:p w14:paraId="4F8BB88B">
            <w:pPr>
              <w:pStyle w:val="6"/>
              <w:spacing w:before="98" w:line="192" w:lineRule="auto"/>
              <w:ind w:left="396"/>
            </w:pPr>
            <w:r>
              <w:t>/</w:t>
            </w:r>
          </w:p>
        </w:tc>
        <w:tc>
          <w:tcPr>
            <w:tcW w:w="860" w:type="dxa"/>
            <w:vAlign w:val="top"/>
          </w:tcPr>
          <w:p w14:paraId="2F6F1D6E">
            <w:pPr>
              <w:pStyle w:val="6"/>
              <w:spacing w:before="102" w:line="188" w:lineRule="auto"/>
              <w:ind w:left="149"/>
            </w:pPr>
            <w:r>
              <w:rPr>
                <w:spacing w:val="-2"/>
              </w:rPr>
              <w:t>0.0002</w:t>
            </w:r>
          </w:p>
        </w:tc>
        <w:tc>
          <w:tcPr>
            <w:tcW w:w="632" w:type="dxa"/>
            <w:vAlign w:val="top"/>
          </w:tcPr>
          <w:p w14:paraId="2A83A4ED">
            <w:pPr>
              <w:pStyle w:val="6"/>
              <w:spacing w:before="102" w:line="188" w:lineRule="auto"/>
              <w:ind w:left="116"/>
            </w:pPr>
            <w:r>
              <w:rPr>
                <w:spacing w:val="-4"/>
              </w:rPr>
              <w:t>8760</w:t>
            </w:r>
          </w:p>
        </w:tc>
      </w:tr>
      <w:tr w14:paraId="54FEE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6" w:type="dxa"/>
            <w:vMerge w:val="continue"/>
            <w:tcBorders>
              <w:top w:val="nil"/>
              <w:bottom w:val="nil"/>
            </w:tcBorders>
            <w:vAlign w:val="top"/>
          </w:tcPr>
          <w:p w14:paraId="7430576C">
            <w:pPr>
              <w:rPr>
                <w:rFonts w:ascii="Arial"/>
                <w:sz w:val="21"/>
              </w:rPr>
            </w:pPr>
          </w:p>
        </w:tc>
        <w:tc>
          <w:tcPr>
            <w:tcW w:w="776" w:type="dxa"/>
            <w:vMerge w:val="restart"/>
            <w:tcBorders>
              <w:bottom w:val="nil"/>
            </w:tcBorders>
            <w:vAlign w:val="top"/>
          </w:tcPr>
          <w:p w14:paraId="615BD34B">
            <w:pPr>
              <w:spacing w:line="370" w:lineRule="auto"/>
              <w:rPr>
                <w:rFonts w:ascii="Arial"/>
                <w:sz w:val="21"/>
              </w:rPr>
            </w:pPr>
          </w:p>
          <w:p w14:paraId="4783BDCE">
            <w:pPr>
              <w:spacing w:before="68" w:line="243" w:lineRule="auto"/>
              <w:ind w:left="79" w:right="74" w:firstLine="103"/>
              <w:rPr>
                <w:rFonts w:ascii="宋体" w:hAnsi="宋体" w:eastAsia="宋体" w:cs="宋体"/>
                <w:sz w:val="21"/>
                <w:szCs w:val="21"/>
              </w:rPr>
            </w:pPr>
            <w:r>
              <w:rPr>
                <w:rFonts w:ascii="宋体" w:hAnsi="宋体" w:eastAsia="宋体" w:cs="宋体"/>
                <w:spacing w:val="-5"/>
                <w:sz w:val="21"/>
                <w:szCs w:val="21"/>
              </w:rPr>
              <w:t>污水处理站</w:t>
            </w:r>
          </w:p>
        </w:tc>
        <w:tc>
          <w:tcPr>
            <w:tcW w:w="1093" w:type="dxa"/>
            <w:vMerge w:val="restart"/>
            <w:tcBorders>
              <w:bottom w:val="nil"/>
            </w:tcBorders>
            <w:vAlign w:val="top"/>
          </w:tcPr>
          <w:p w14:paraId="036091ED">
            <w:pPr>
              <w:spacing w:line="413" w:lineRule="auto"/>
              <w:rPr>
                <w:rFonts w:ascii="Arial"/>
                <w:sz w:val="21"/>
              </w:rPr>
            </w:pPr>
          </w:p>
          <w:p w14:paraId="0B08DF3C">
            <w:pPr>
              <w:pStyle w:val="6"/>
              <w:spacing w:before="60" w:line="241" w:lineRule="auto"/>
              <w:ind w:left="233" w:right="232" w:firstLine="1"/>
              <w:rPr>
                <w:rFonts w:ascii="宋体" w:hAnsi="宋体" w:eastAsia="宋体" w:cs="宋体"/>
              </w:rPr>
            </w:pPr>
            <w:r>
              <w:rPr>
                <w:spacing w:val="-1"/>
              </w:rPr>
              <w:t>DA001</w:t>
            </w:r>
            <w:r>
              <w:rPr>
                <w:rFonts w:ascii="宋体" w:hAnsi="宋体" w:eastAsia="宋体" w:cs="宋体"/>
                <w:spacing w:val="-3"/>
              </w:rPr>
              <w:t>排气筒</w:t>
            </w:r>
          </w:p>
        </w:tc>
        <w:tc>
          <w:tcPr>
            <w:tcW w:w="753" w:type="dxa"/>
            <w:vAlign w:val="top"/>
          </w:tcPr>
          <w:p w14:paraId="25F6D97F">
            <w:pPr>
              <w:pStyle w:val="6"/>
              <w:spacing w:before="104" w:line="195" w:lineRule="auto"/>
              <w:ind w:left="182"/>
              <w:rPr>
                <w:sz w:val="14"/>
                <w:szCs w:val="14"/>
              </w:rPr>
            </w:pPr>
            <w:r>
              <w:t>NH</w:t>
            </w:r>
            <w:r>
              <w:rPr>
                <w:spacing w:val="1"/>
                <w:position w:val="-2"/>
                <w:sz w:val="14"/>
                <w:szCs w:val="14"/>
              </w:rPr>
              <w:t>3</w:t>
            </w:r>
          </w:p>
        </w:tc>
        <w:tc>
          <w:tcPr>
            <w:tcW w:w="709" w:type="dxa"/>
            <w:vMerge w:val="restart"/>
            <w:tcBorders>
              <w:bottom w:val="nil"/>
            </w:tcBorders>
            <w:vAlign w:val="top"/>
          </w:tcPr>
          <w:p w14:paraId="4971EBD3">
            <w:pPr>
              <w:spacing w:line="252" w:lineRule="auto"/>
              <w:rPr>
                <w:rFonts w:ascii="Arial"/>
                <w:sz w:val="21"/>
              </w:rPr>
            </w:pPr>
          </w:p>
          <w:p w14:paraId="67335D36">
            <w:pPr>
              <w:spacing w:line="252" w:lineRule="auto"/>
              <w:rPr>
                <w:rFonts w:ascii="Arial"/>
                <w:sz w:val="21"/>
              </w:rPr>
            </w:pPr>
          </w:p>
          <w:p w14:paraId="671F9A58">
            <w:pPr>
              <w:spacing w:before="68" w:line="220" w:lineRule="auto"/>
              <w:ind w:left="148"/>
              <w:rPr>
                <w:rFonts w:ascii="宋体" w:hAnsi="宋体" w:eastAsia="宋体" w:cs="宋体"/>
                <w:sz w:val="21"/>
                <w:szCs w:val="21"/>
              </w:rPr>
            </w:pPr>
            <w:r>
              <w:rPr>
                <w:rFonts w:ascii="宋体" w:hAnsi="宋体" w:eastAsia="宋体" w:cs="宋体"/>
                <w:spacing w:val="-3"/>
                <w:sz w:val="21"/>
                <w:szCs w:val="21"/>
              </w:rPr>
              <w:t>类比</w:t>
            </w:r>
          </w:p>
        </w:tc>
        <w:tc>
          <w:tcPr>
            <w:tcW w:w="1137" w:type="dxa"/>
            <w:vMerge w:val="restart"/>
            <w:tcBorders>
              <w:bottom w:val="nil"/>
            </w:tcBorders>
            <w:vAlign w:val="top"/>
          </w:tcPr>
          <w:p w14:paraId="15CED6A0">
            <w:pPr>
              <w:spacing w:line="274" w:lineRule="auto"/>
              <w:rPr>
                <w:rFonts w:ascii="Arial"/>
                <w:sz w:val="21"/>
              </w:rPr>
            </w:pPr>
          </w:p>
          <w:p w14:paraId="41896625">
            <w:pPr>
              <w:spacing w:line="275" w:lineRule="auto"/>
              <w:rPr>
                <w:rFonts w:ascii="Arial"/>
                <w:sz w:val="21"/>
              </w:rPr>
            </w:pPr>
          </w:p>
          <w:p w14:paraId="78FCD2D9">
            <w:pPr>
              <w:pStyle w:val="6"/>
              <w:spacing w:before="60" w:line="188" w:lineRule="auto"/>
              <w:ind w:left="364"/>
            </w:pPr>
            <w:r>
              <w:rPr>
                <w:spacing w:val="-3"/>
              </w:rPr>
              <w:t>6000</w:t>
            </w:r>
          </w:p>
        </w:tc>
        <w:tc>
          <w:tcPr>
            <w:tcW w:w="919" w:type="dxa"/>
            <w:vAlign w:val="top"/>
          </w:tcPr>
          <w:p w14:paraId="2CA5131A">
            <w:pPr>
              <w:pStyle w:val="6"/>
              <w:spacing w:before="101" w:line="188" w:lineRule="auto"/>
              <w:ind w:left="243"/>
            </w:pPr>
            <w:r>
              <w:rPr>
                <w:spacing w:val="-5"/>
              </w:rPr>
              <w:t>14.65</w:t>
            </w:r>
          </w:p>
        </w:tc>
        <w:tc>
          <w:tcPr>
            <w:tcW w:w="936" w:type="dxa"/>
            <w:vAlign w:val="top"/>
          </w:tcPr>
          <w:p w14:paraId="716101FD">
            <w:pPr>
              <w:pStyle w:val="6"/>
              <w:spacing w:before="101" w:line="188" w:lineRule="auto"/>
              <w:ind w:left="183"/>
            </w:pPr>
            <w:r>
              <w:rPr>
                <w:spacing w:val="-2"/>
              </w:rPr>
              <w:t>0.0879</w:t>
            </w:r>
          </w:p>
        </w:tc>
        <w:tc>
          <w:tcPr>
            <w:tcW w:w="1997" w:type="dxa"/>
            <w:vMerge w:val="restart"/>
            <w:tcBorders>
              <w:bottom w:val="nil"/>
            </w:tcBorders>
            <w:vAlign w:val="top"/>
          </w:tcPr>
          <w:p w14:paraId="3BE657F2">
            <w:pPr>
              <w:pStyle w:val="6"/>
              <w:spacing w:before="30" w:line="233" w:lineRule="auto"/>
              <w:ind w:left="10" w:right="1" w:firstLine="1"/>
              <w:rPr>
                <w:rFonts w:ascii="宋体" w:hAnsi="宋体" w:eastAsia="宋体" w:cs="宋体"/>
              </w:rPr>
            </w:pPr>
            <w:r>
              <w:rPr>
                <w:rFonts w:ascii="宋体" w:hAnsi="宋体" w:eastAsia="宋体" w:cs="宋体"/>
                <w:spacing w:val="-4"/>
              </w:rPr>
              <w:t>粪污收集池、</w:t>
            </w:r>
            <w:r>
              <w:rPr>
                <w:spacing w:val="-4"/>
              </w:rPr>
              <w:t>AO</w:t>
            </w:r>
            <w:r>
              <w:rPr>
                <w:rFonts w:ascii="宋体" w:hAnsi="宋体" w:eastAsia="宋体" w:cs="宋体"/>
                <w:spacing w:val="-4"/>
              </w:rPr>
              <w:t>池、</w:t>
            </w:r>
            <w:r>
              <w:rPr>
                <w:rFonts w:ascii="宋体" w:hAnsi="宋体" w:eastAsia="宋体" w:cs="宋体"/>
                <w:spacing w:val="9"/>
              </w:rPr>
              <w:t>污泥池、固液分离平台废气一并收集至生</w:t>
            </w:r>
            <w:r>
              <w:rPr>
                <w:rFonts w:ascii="宋体" w:hAnsi="宋体" w:eastAsia="宋体" w:cs="宋体"/>
                <w:spacing w:val="12"/>
              </w:rPr>
              <w:t>物滤池处理后由</w:t>
            </w:r>
            <w:r>
              <w:rPr>
                <w:rFonts w:ascii="宋体" w:hAnsi="宋体" w:eastAsia="宋体" w:cs="宋体"/>
                <w:spacing w:val="-53"/>
              </w:rPr>
              <w:t xml:space="preserve"> </w:t>
            </w:r>
            <w:r>
              <w:rPr>
                <w:spacing w:val="12"/>
              </w:rPr>
              <w:t>1</w:t>
            </w:r>
            <w:r>
              <w:rPr>
                <w:spacing w:val="-19"/>
              </w:rPr>
              <w:t xml:space="preserve"> </w:t>
            </w:r>
            <w:r>
              <w:rPr>
                <w:rFonts w:ascii="宋体" w:hAnsi="宋体" w:eastAsia="宋体" w:cs="宋体"/>
                <w:spacing w:val="12"/>
              </w:rPr>
              <w:t>根</w:t>
            </w:r>
            <w:r>
              <w:rPr>
                <w:spacing w:val="-3"/>
              </w:rPr>
              <w:t>15m</w:t>
            </w:r>
            <w:r>
              <w:rPr>
                <w:rFonts w:ascii="宋体" w:hAnsi="宋体" w:eastAsia="宋体" w:cs="宋体"/>
                <w:spacing w:val="-3"/>
              </w:rPr>
              <w:t>高排气筒排放。</w:t>
            </w:r>
          </w:p>
        </w:tc>
        <w:tc>
          <w:tcPr>
            <w:tcW w:w="568" w:type="dxa"/>
            <w:vMerge w:val="restart"/>
            <w:tcBorders>
              <w:bottom w:val="nil"/>
            </w:tcBorders>
            <w:vAlign w:val="top"/>
          </w:tcPr>
          <w:p w14:paraId="28D3CBA9">
            <w:pPr>
              <w:spacing w:line="274" w:lineRule="auto"/>
              <w:rPr>
                <w:rFonts w:ascii="Arial"/>
                <w:sz w:val="21"/>
              </w:rPr>
            </w:pPr>
          </w:p>
          <w:p w14:paraId="4CE924BF">
            <w:pPr>
              <w:spacing w:line="275" w:lineRule="auto"/>
              <w:rPr>
                <w:rFonts w:ascii="Arial"/>
                <w:sz w:val="21"/>
              </w:rPr>
            </w:pPr>
          </w:p>
          <w:p w14:paraId="19E0C70D">
            <w:pPr>
              <w:pStyle w:val="6"/>
              <w:spacing w:before="60" w:line="188" w:lineRule="auto"/>
              <w:ind w:left="97"/>
            </w:pPr>
            <w:r>
              <w:rPr>
                <w:spacing w:val="-2"/>
              </w:rPr>
              <w:t>90%</w:t>
            </w:r>
          </w:p>
        </w:tc>
        <w:tc>
          <w:tcPr>
            <w:tcW w:w="712" w:type="dxa"/>
            <w:vMerge w:val="restart"/>
            <w:tcBorders>
              <w:bottom w:val="nil"/>
            </w:tcBorders>
            <w:vAlign w:val="top"/>
          </w:tcPr>
          <w:p w14:paraId="4837800A">
            <w:pPr>
              <w:spacing w:line="252" w:lineRule="auto"/>
              <w:rPr>
                <w:rFonts w:ascii="Arial"/>
                <w:sz w:val="21"/>
              </w:rPr>
            </w:pPr>
          </w:p>
          <w:p w14:paraId="2B1C3F11">
            <w:pPr>
              <w:spacing w:line="252" w:lineRule="auto"/>
              <w:rPr>
                <w:rFonts w:ascii="Arial"/>
                <w:sz w:val="21"/>
              </w:rPr>
            </w:pPr>
          </w:p>
          <w:p w14:paraId="47297154">
            <w:pPr>
              <w:spacing w:before="68" w:line="220" w:lineRule="auto"/>
              <w:ind w:left="52"/>
              <w:rPr>
                <w:rFonts w:ascii="宋体" w:hAnsi="宋体" w:eastAsia="宋体" w:cs="宋体"/>
                <w:sz w:val="21"/>
                <w:szCs w:val="21"/>
              </w:rPr>
            </w:pPr>
            <w:r>
              <w:rPr>
                <w:rFonts w:ascii="宋体" w:hAnsi="宋体" w:eastAsia="宋体" w:cs="宋体"/>
                <w:spacing w:val="-3"/>
                <w:sz w:val="21"/>
                <w:szCs w:val="21"/>
              </w:rPr>
              <w:t>系数法</w:t>
            </w:r>
          </w:p>
        </w:tc>
        <w:tc>
          <w:tcPr>
            <w:tcW w:w="1134" w:type="dxa"/>
            <w:vMerge w:val="restart"/>
            <w:tcBorders>
              <w:bottom w:val="nil"/>
            </w:tcBorders>
            <w:vAlign w:val="top"/>
          </w:tcPr>
          <w:p w14:paraId="66DFC10D">
            <w:pPr>
              <w:spacing w:line="274" w:lineRule="auto"/>
              <w:rPr>
                <w:rFonts w:ascii="Arial"/>
                <w:sz w:val="21"/>
              </w:rPr>
            </w:pPr>
          </w:p>
          <w:p w14:paraId="6C217611">
            <w:pPr>
              <w:spacing w:line="275" w:lineRule="auto"/>
              <w:rPr>
                <w:rFonts w:ascii="Arial"/>
                <w:sz w:val="21"/>
              </w:rPr>
            </w:pPr>
          </w:p>
          <w:p w14:paraId="5E2AF8EB">
            <w:pPr>
              <w:pStyle w:val="6"/>
              <w:spacing w:before="60" w:line="188" w:lineRule="auto"/>
              <w:ind w:left="366"/>
            </w:pPr>
            <w:r>
              <w:rPr>
                <w:spacing w:val="-3"/>
              </w:rPr>
              <w:t>6000</w:t>
            </w:r>
          </w:p>
        </w:tc>
        <w:tc>
          <w:tcPr>
            <w:tcW w:w="852" w:type="dxa"/>
            <w:vAlign w:val="top"/>
          </w:tcPr>
          <w:p w14:paraId="3C1C8308">
            <w:pPr>
              <w:pStyle w:val="6"/>
              <w:spacing w:before="101" w:line="188" w:lineRule="auto"/>
              <w:ind w:left="265"/>
            </w:pPr>
            <w:r>
              <w:rPr>
                <w:spacing w:val="-7"/>
              </w:rPr>
              <w:t>1.47</w:t>
            </w:r>
          </w:p>
        </w:tc>
        <w:tc>
          <w:tcPr>
            <w:tcW w:w="860" w:type="dxa"/>
            <w:vAlign w:val="top"/>
          </w:tcPr>
          <w:p w14:paraId="2335CF85">
            <w:pPr>
              <w:pStyle w:val="6"/>
              <w:spacing w:before="101" w:line="188" w:lineRule="auto"/>
              <w:ind w:left="149"/>
            </w:pPr>
            <w:r>
              <w:rPr>
                <w:spacing w:val="-2"/>
              </w:rPr>
              <w:t>0.0088</w:t>
            </w:r>
          </w:p>
        </w:tc>
        <w:tc>
          <w:tcPr>
            <w:tcW w:w="632" w:type="dxa"/>
            <w:vAlign w:val="top"/>
          </w:tcPr>
          <w:p w14:paraId="547A67BB">
            <w:pPr>
              <w:pStyle w:val="6"/>
              <w:spacing w:before="101" w:line="188" w:lineRule="auto"/>
              <w:ind w:left="115"/>
            </w:pPr>
            <w:r>
              <w:rPr>
                <w:spacing w:val="-4"/>
              </w:rPr>
              <w:t>8760</w:t>
            </w:r>
          </w:p>
        </w:tc>
      </w:tr>
      <w:tr w14:paraId="015EB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936" w:type="dxa"/>
            <w:vMerge w:val="continue"/>
            <w:tcBorders>
              <w:top w:val="nil"/>
              <w:bottom w:val="nil"/>
            </w:tcBorders>
            <w:vAlign w:val="top"/>
          </w:tcPr>
          <w:p w14:paraId="3FC04513">
            <w:pPr>
              <w:rPr>
                <w:rFonts w:ascii="Arial"/>
                <w:sz w:val="21"/>
              </w:rPr>
            </w:pPr>
          </w:p>
        </w:tc>
        <w:tc>
          <w:tcPr>
            <w:tcW w:w="776" w:type="dxa"/>
            <w:vMerge w:val="continue"/>
            <w:tcBorders>
              <w:top w:val="nil"/>
            </w:tcBorders>
            <w:vAlign w:val="top"/>
          </w:tcPr>
          <w:p w14:paraId="13937554">
            <w:pPr>
              <w:rPr>
                <w:rFonts w:ascii="Arial"/>
                <w:sz w:val="21"/>
              </w:rPr>
            </w:pPr>
          </w:p>
        </w:tc>
        <w:tc>
          <w:tcPr>
            <w:tcW w:w="1093" w:type="dxa"/>
            <w:vMerge w:val="continue"/>
            <w:tcBorders>
              <w:top w:val="nil"/>
            </w:tcBorders>
            <w:vAlign w:val="top"/>
          </w:tcPr>
          <w:p w14:paraId="6EABB9C3">
            <w:pPr>
              <w:rPr>
                <w:rFonts w:ascii="Arial"/>
                <w:sz w:val="21"/>
              </w:rPr>
            </w:pPr>
          </w:p>
        </w:tc>
        <w:tc>
          <w:tcPr>
            <w:tcW w:w="753" w:type="dxa"/>
            <w:vAlign w:val="top"/>
          </w:tcPr>
          <w:p w14:paraId="6E75C52B">
            <w:pPr>
              <w:spacing w:line="375" w:lineRule="auto"/>
              <w:rPr>
                <w:rFonts w:ascii="Arial"/>
                <w:sz w:val="21"/>
              </w:rPr>
            </w:pPr>
          </w:p>
          <w:p w14:paraId="1DDCFA1B">
            <w:pPr>
              <w:pStyle w:val="6"/>
              <w:spacing w:before="61" w:line="198" w:lineRule="auto"/>
              <w:ind w:left="206"/>
            </w:pPr>
            <w:r>
              <w:rPr>
                <w:spacing w:val="-2"/>
              </w:rPr>
              <w:t>H</w:t>
            </w:r>
            <w:r>
              <w:rPr>
                <w:spacing w:val="-2"/>
                <w:position w:val="-2"/>
                <w:sz w:val="14"/>
                <w:szCs w:val="14"/>
              </w:rPr>
              <w:t>2</w:t>
            </w:r>
            <w:r>
              <w:rPr>
                <w:spacing w:val="-2"/>
              </w:rPr>
              <w:t>S</w:t>
            </w:r>
          </w:p>
        </w:tc>
        <w:tc>
          <w:tcPr>
            <w:tcW w:w="709" w:type="dxa"/>
            <w:vMerge w:val="continue"/>
            <w:tcBorders>
              <w:top w:val="nil"/>
            </w:tcBorders>
            <w:vAlign w:val="top"/>
          </w:tcPr>
          <w:p w14:paraId="50AFFB2B">
            <w:pPr>
              <w:rPr>
                <w:rFonts w:ascii="Arial"/>
                <w:sz w:val="21"/>
              </w:rPr>
            </w:pPr>
          </w:p>
        </w:tc>
        <w:tc>
          <w:tcPr>
            <w:tcW w:w="1137" w:type="dxa"/>
            <w:vMerge w:val="continue"/>
            <w:tcBorders>
              <w:top w:val="nil"/>
            </w:tcBorders>
            <w:vAlign w:val="top"/>
          </w:tcPr>
          <w:p w14:paraId="6D11AE29">
            <w:pPr>
              <w:rPr>
                <w:rFonts w:ascii="Arial"/>
                <w:sz w:val="21"/>
              </w:rPr>
            </w:pPr>
          </w:p>
        </w:tc>
        <w:tc>
          <w:tcPr>
            <w:tcW w:w="919" w:type="dxa"/>
            <w:vAlign w:val="top"/>
          </w:tcPr>
          <w:p w14:paraId="135B8BF0">
            <w:pPr>
              <w:spacing w:line="375" w:lineRule="auto"/>
              <w:rPr>
                <w:rFonts w:ascii="Arial"/>
                <w:sz w:val="21"/>
              </w:rPr>
            </w:pPr>
          </w:p>
          <w:p w14:paraId="547D3CD7">
            <w:pPr>
              <w:pStyle w:val="6"/>
              <w:spacing w:before="61" w:line="188" w:lineRule="auto"/>
              <w:ind w:left="280"/>
            </w:pPr>
            <w:r>
              <w:rPr>
                <w:spacing w:val="-2"/>
              </w:rPr>
              <w:t>0.56</w:t>
            </w:r>
          </w:p>
        </w:tc>
        <w:tc>
          <w:tcPr>
            <w:tcW w:w="936" w:type="dxa"/>
            <w:vAlign w:val="top"/>
          </w:tcPr>
          <w:p w14:paraId="1743A243">
            <w:pPr>
              <w:spacing w:line="375" w:lineRule="auto"/>
              <w:rPr>
                <w:rFonts w:ascii="Arial"/>
                <w:sz w:val="21"/>
              </w:rPr>
            </w:pPr>
          </w:p>
          <w:p w14:paraId="1E994CC9">
            <w:pPr>
              <w:pStyle w:val="6"/>
              <w:spacing w:before="61" w:line="188" w:lineRule="auto"/>
              <w:ind w:left="184"/>
            </w:pPr>
            <w:r>
              <w:rPr>
                <w:spacing w:val="-2"/>
              </w:rPr>
              <w:t>0.0034</w:t>
            </w:r>
          </w:p>
        </w:tc>
        <w:tc>
          <w:tcPr>
            <w:tcW w:w="1997" w:type="dxa"/>
            <w:vMerge w:val="continue"/>
            <w:tcBorders>
              <w:top w:val="nil"/>
            </w:tcBorders>
            <w:vAlign w:val="top"/>
          </w:tcPr>
          <w:p w14:paraId="7B5B79AA">
            <w:pPr>
              <w:rPr>
                <w:rFonts w:ascii="Arial"/>
                <w:sz w:val="21"/>
              </w:rPr>
            </w:pPr>
          </w:p>
        </w:tc>
        <w:tc>
          <w:tcPr>
            <w:tcW w:w="568" w:type="dxa"/>
            <w:vMerge w:val="continue"/>
            <w:tcBorders>
              <w:top w:val="nil"/>
            </w:tcBorders>
            <w:vAlign w:val="top"/>
          </w:tcPr>
          <w:p w14:paraId="755B7838">
            <w:pPr>
              <w:rPr>
                <w:rFonts w:ascii="Arial"/>
                <w:sz w:val="21"/>
              </w:rPr>
            </w:pPr>
          </w:p>
        </w:tc>
        <w:tc>
          <w:tcPr>
            <w:tcW w:w="712" w:type="dxa"/>
            <w:vMerge w:val="continue"/>
            <w:tcBorders>
              <w:top w:val="nil"/>
            </w:tcBorders>
            <w:vAlign w:val="top"/>
          </w:tcPr>
          <w:p w14:paraId="25417478">
            <w:pPr>
              <w:rPr>
                <w:rFonts w:ascii="Arial"/>
                <w:sz w:val="21"/>
              </w:rPr>
            </w:pPr>
          </w:p>
        </w:tc>
        <w:tc>
          <w:tcPr>
            <w:tcW w:w="1134" w:type="dxa"/>
            <w:vMerge w:val="continue"/>
            <w:tcBorders>
              <w:top w:val="nil"/>
            </w:tcBorders>
            <w:vAlign w:val="top"/>
          </w:tcPr>
          <w:p w14:paraId="185D034F">
            <w:pPr>
              <w:rPr>
                <w:rFonts w:ascii="Arial"/>
                <w:sz w:val="21"/>
              </w:rPr>
            </w:pPr>
          </w:p>
        </w:tc>
        <w:tc>
          <w:tcPr>
            <w:tcW w:w="852" w:type="dxa"/>
            <w:vAlign w:val="top"/>
          </w:tcPr>
          <w:p w14:paraId="33765AA3">
            <w:pPr>
              <w:spacing w:line="375" w:lineRule="auto"/>
              <w:rPr>
                <w:rFonts w:ascii="Arial"/>
                <w:sz w:val="21"/>
              </w:rPr>
            </w:pPr>
          </w:p>
          <w:p w14:paraId="6BBA3BAA">
            <w:pPr>
              <w:pStyle w:val="6"/>
              <w:spacing w:before="61" w:line="188" w:lineRule="auto"/>
              <w:ind w:left="249"/>
            </w:pPr>
            <w:r>
              <w:rPr>
                <w:spacing w:val="-2"/>
              </w:rPr>
              <w:t>0.06</w:t>
            </w:r>
          </w:p>
        </w:tc>
        <w:tc>
          <w:tcPr>
            <w:tcW w:w="860" w:type="dxa"/>
            <w:vAlign w:val="top"/>
          </w:tcPr>
          <w:p w14:paraId="570CD38C">
            <w:pPr>
              <w:spacing w:line="375" w:lineRule="auto"/>
              <w:rPr>
                <w:rFonts w:ascii="Arial"/>
                <w:sz w:val="21"/>
              </w:rPr>
            </w:pPr>
          </w:p>
          <w:p w14:paraId="57C6E88B">
            <w:pPr>
              <w:pStyle w:val="6"/>
              <w:spacing w:before="61" w:line="188" w:lineRule="auto"/>
              <w:ind w:left="149"/>
            </w:pPr>
            <w:r>
              <w:rPr>
                <w:spacing w:val="-2"/>
              </w:rPr>
              <w:t>0.0003</w:t>
            </w:r>
          </w:p>
        </w:tc>
        <w:tc>
          <w:tcPr>
            <w:tcW w:w="632" w:type="dxa"/>
            <w:vAlign w:val="top"/>
          </w:tcPr>
          <w:p w14:paraId="2588DBF7">
            <w:pPr>
              <w:spacing w:line="375" w:lineRule="auto"/>
              <w:rPr>
                <w:rFonts w:ascii="Arial"/>
                <w:sz w:val="21"/>
              </w:rPr>
            </w:pPr>
          </w:p>
          <w:p w14:paraId="402AFD91">
            <w:pPr>
              <w:pStyle w:val="6"/>
              <w:spacing w:before="61" w:line="188" w:lineRule="auto"/>
              <w:ind w:left="116"/>
            </w:pPr>
            <w:r>
              <w:rPr>
                <w:spacing w:val="-4"/>
              </w:rPr>
              <w:t>8760</w:t>
            </w:r>
          </w:p>
        </w:tc>
      </w:tr>
      <w:tr w14:paraId="3A29A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6" w:type="dxa"/>
            <w:vMerge w:val="continue"/>
            <w:tcBorders>
              <w:top w:val="nil"/>
              <w:bottom w:val="nil"/>
            </w:tcBorders>
            <w:vAlign w:val="top"/>
          </w:tcPr>
          <w:p w14:paraId="4488D436">
            <w:pPr>
              <w:rPr>
                <w:rFonts w:ascii="Arial"/>
                <w:sz w:val="21"/>
              </w:rPr>
            </w:pPr>
          </w:p>
        </w:tc>
        <w:tc>
          <w:tcPr>
            <w:tcW w:w="776" w:type="dxa"/>
            <w:vMerge w:val="restart"/>
            <w:tcBorders>
              <w:bottom w:val="nil"/>
            </w:tcBorders>
            <w:vAlign w:val="top"/>
          </w:tcPr>
          <w:p w14:paraId="3287EBEA">
            <w:pPr>
              <w:spacing w:before="304" w:line="220" w:lineRule="auto"/>
              <w:ind w:left="76"/>
              <w:rPr>
                <w:rFonts w:ascii="宋体" w:hAnsi="宋体" w:eastAsia="宋体" w:cs="宋体"/>
                <w:sz w:val="21"/>
                <w:szCs w:val="21"/>
              </w:rPr>
            </w:pPr>
            <w:r>
              <w:rPr>
                <w:rFonts w:ascii="宋体" w:hAnsi="宋体" w:eastAsia="宋体" w:cs="宋体"/>
                <w:spacing w:val="-3"/>
                <w:sz w:val="21"/>
                <w:szCs w:val="21"/>
              </w:rPr>
              <w:t>堆粪棚</w:t>
            </w:r>
          </w:p>
        </w:tc>
        <w:tc>
          <w:tcPr>
            <w:tcW w:w="1093" w:type="dxa"/>
            <w:vMerge w:val="restart"/>
            <w:tcBorders>
              <w:bottom w:val="nil"/>
            </w:tcBorders>
            <w:vAlign w:val="top"/>
          </w:tcPr>
          <w:p w14:paraId="5A30BA07">
            <w:pPr>
              <w:pStyle w:val="6"/>
              <w:spacing w:before="204" w:line="241" w:lineRule="auto"/>
              <w:ind w:left="233" w:right="232" w:firstLine="1"/>
              <w:rPr>
                <w:rFonts w:ascii="宋体" w:hAnsi="宋体" w:eastAsia="宋体" w:cs="宋体"/>
              </w:rPr>
            </w:pPr>
            <w:r>
              <w:rPr>
                <w:spacing w:val="-1"/>
              </w:rPr>
              <w:t>DA002</w:t>
            </w:r>
            <w:r>
              <w:rPr>
                <w:rFonts w:ascii="宋体" w:hAnsi="宋体" w:eastAsia="宋体" w:cs="宋体"/>
                <w:spacing w:val="-3"/>
              </w:rPr>
              <w:t>排气筒</w:t>
            </w:r>
          </w:p>
        </w:tc>
        <w:tc>
          <w:tcPr>
            <w:tcW w:w="753" w:type="dxa"/>
            <w:vAlign w:val="top"/>
          </w:tcPr>
          <w:p w14:paraId="7AB2C977">
            <w:pPr>
              <w:pStyle w:val="6"/>
              <w:spacing w:before="106" w:line="195" w:lineRule="auto"/>
              <w:ind w:left="182"/>
              <w:rPr>
                <w:sz w:val="14"/>
                <w:szCs w:val="14"/>
              </w:rPr>
            </w:pPr>
            <w:r>
              <w:t>NH</w:t>
            </w:r>
            <w:r>
              <w:rPr>
                <w:spacing w:val="1"/>
                <w:position w:val="-2"/>
                <w:sz w:val="14"/>
                <w:szCs w:val="14"/>
              </w:rPr>
              <w:t>3</w:t>
            </w:r>
          </w:p>
        </w:tc>
        <w:tc>
          <w:tcPr>
            <w:tcW w:w="709" w:type="dxa"/>
            <w:vMerge w:val="restart"/>
            <w:tcBorders>
              <w:bottom w:val="nil"/>
            </w:tcBorders>
            <w:vAlign w:val="top"/>
          </w:tcPr>
          <w:p w14:paraId="56D93BB4">
            <w:pPr>
              <w:spacing w:before="304" w:line="220" w:lineRule="auto"/>
              <w:ind w:left="148"/>
              <w:rPr>
                <w:rFonts w:ascii="宋体" w:hAnsi="宋体" w:eastAsia="宋体" w:cs="宋体"/>
                <w:sz w:val="21"/>
                <w:szCs w:val="21"/>
              </w:rPr>
            </w:pPr>
            <w:r>
              <w:rPr>
                <w:rFonts w:ascii="宋体" w:hAnsi="宋体" w:eastAsia="宋体" w:cs="宋体"/>
                <w:spacing w:val="-3"/>
                <w:sz w:val="21"/>
                <w:szCs w:val="21"/>
              </w:rPr>
              <w:t>类比</w:t>
            </w:r>
          </w:p>
        </w:tc>
        <w:tc>
          <w:tcPr>
            <w:tcW w:w="1137" w:type="dxa"/>
            <w:vMerge w:val="restart"/>
            <w:tcBorders>
              <w:bottom w:val="nil"/>
            </w:tcBorders>
            <w:vAlign w:val="top"/>
          </w:tcPr>
          <w:p w14:paraId="14A67E04">
            <w:pPr>
              <w:spacing w:line="279" w:lineRule="auto"/>
              <w:rPr>
                <w:rFonts w:ascii="Arial"/>
                <w:sz w:val="21"/>
              </w:rPr>
            </w:pPr>
          </w:p>
          <w:p w14:paraId="7B648E3F">
            <w:pPr>
              <w:pStyle w:val="6"/>
              <w:spacing w:before="60" w:line="188" w:lineRule="auto"/>
              <w:ind w:left="364"/>
            </w:pPr>
            <w:r>
              <w:rPr>
                <w:spacing w:val="-3"/>
              </w:rPr>
              <w:t>6000</w:t>
            </w:r>
          </w:p>
        </w:tc>
        <w:tc>
          <w:tcPr>
            <w:tcW w:w="919" w:type="dxa"/>
            <w:vAlign w:val="top"/>
          </w:tcPr>
          <w:p w14:paraId="3C72568B">
            <w:pPr>
              <w:pStyle w:val="6"/>
              <w:spacing w:before="103" w:line="188" w:lineRule="auto"/>
              <w:ind w:left="280"/>
            </w:pPr>
            <w:r>
              <w:rPr>
                <w:spacing w:val="-2"/>
              </w:rPr>
              <w:t>3.44</w:t>
            </w:r>
          </w:p>
        </w:tc>
        <w:tc>
          <w:tcPr>
            <w:tcW w:w="936" w:type="dxa"/>
            <w:vAlign w:val="top"/>
          </w:tcPr>
          <w:p w14:paraId="2C5B0387">
            <w:pPr>
              <w:pStyle w:val="6"/>
              <w:spacing w:before="103" w:line="188" w:lineRule="auto"/>
              <w:ind w:left="183"/>
            </w:pPr>
            <w:r>
              <w:rPr>
                <w:spacing w:val="-2"/>
              </w:rPr>
              <w:t>0.0206</w:t>
            </w:r>
          </w:p>
        </w:tc>
        <w:tc>
          <w:tcPr>
            <w:tcW w:w="1997" w:type="dxa"/>
            <w:vMerge w:val="restart"/>
            <w:tcBorders>
              <w:bottom w:val="nil"/>
            </w:tcBorders>
            <w:vAlign w:val="top"/>
          </w:tcPr>
          <w:p w14:paraId="2318D392">
            <w:pPr>
              <w:pStyle w:val="6"/>
              <w:spacing w:before="32" w:line="228" w:lineRule="auto"/>
              <w:ind w:left="10" w:right="1"/>
              <w:jc w:val="both"/>
              <w:rPr>
                <w:rFonts w:ascii="宋体" w:hAnsi="宋体" w:eastAsia="宋体" w:cs="宋体"/>
              </w:rPr>
            </w:pPr>
            <w:r>
              <w:rPr>
                <w:rFonts w:ascii="宋体" w:hAnsi="宋体" w:eastAsia="宋体" w:cs="宋体"/>
                <w:spacing w:val="9"/>
              </w:rPr>
              <w:t>堆粪棚废气收集至生</w:t>
            </w:r>
            <w:r>
              <w:rPr>
                <w:rFonts w:ascii="宋体" w:hAnsi="宋体" w:eastAsia="宋体" w:cs="宋体"/>
                <w:spacing w:val="12"/>
              </w:rPr>
              <w:t>物滤池处理后由</w:t>
            </w:r>
            <w:r>
              <w:rPr>
                <w:rFonts w:ascii="宋体" w:hAnsi="宋体" w:eastAsia="宋体" w:cs="宋体"/>
                <w:spacing w:val="-53"/>
              </w:rPr>
              <w:t xml:space="preserve"> </w:t>
            </w:r>
            <w:r>
              <w:rPr>
                <w:spacing w:val="12"/>
              </w:rPr>
              <w:t>1</w:t>
            </w:r>
            <w:r>
              <w:rPr>
                <w:spacing w:val="-19"/>
              </w:rPr>
              <w:t xml:space="preserve"> </w:t>
            </w:r>
            <w:r>
              <w:rPr>
                <w:rFonts w:ascii="宋体" w:hAnsi="宋体" w:eastAsia="宋体" w:cs="宋体"/>
                <w:spacing w:val="12"/>
              </w:rPr>
              <w:t>根</w:t>
            </w:r>
            <w:r>
              <w:rPr>
                <w:spacing w:val="-3"/>
              </w:rPr>
              <w:t>15m</w:t>
            </w:r>
            <w:r>
              <w:rPr>
                <w:rFonts w:ascii="宋体" w:hAnsi="宋体" w:eastAsia="宋体" w:cs="宋体"/>
                <w:spacing w:val="-3"/>
              </w:rPr>
              <w:t>高排气筒排放。</w:t>
            </w:r>
          </w:p>
        </w:tc>
        <w:tc>
          <w:tcPr>
            <w:tcW w:w="568" w:type="dxa"/>
            <w:vMerge w:val="restart"/>
            <w:tcBorders>
              <w:bottom w:val="nil"/>
            </w:tcBorders>
            <w:vAlign w:val="top"/>
          </w:tcPr>
          <w:p w14:paraId="3864770D">
            <w:pPr>
              <w:spacing w:line="279" w:lineRule="auto"/>
              <w:rPr>
                <w:rFonts w:ascii="Arial"/>
                <w:sz w:val="21"/>
              </w:rPr>
            </w:pPr>
          </w:p>
          <w:p w14:paraId="2282C5C8">
            <w:pPr>
              <w:pStyle w:val="6"/>
              <w:spacing w:before="60" w:line="188" w:lineRule="auto"/>
              <w:ind w:left="97"/>
            </w:pPr>
            <w:r>
              <w:rPr>
                <w:spacing w:val="-2"/>
              </w:rPr>
              <w:t>90%</w:t>
            </w:r>
          </w:p>
        </w:tc>
        <w:tc>
          <w:tcPr>
            <w:tcW w:w="712" w:type="dxa"/>
            <w:vMerge w:val="restart"/>
            <w:tcBorders>
              <w:bottom w:val="nil"/>
            </w:tcBorders>
            <w:vAlign w:val="top"/>
          </w:tcPr>
          <w:p w14:paraId="507F79DD">
            <w:pPr>
              <w:spacing w:before="304" w:line="220" w:lineRule="auto"/>
              <w:ind w:left="52"/>
              <w:rPr>
                <w:rFonts w:ascii="宋体" w:hAnsi="宋体" w:eastAsia="宋体" w:cs="宋体"/>
                <w:sz w:val="21"/>
                <w:szCs w:val="21"/>
              </w:rPr>
            </w:pPr>
            <w:r>
              <w:rPr>
                <w:rFonts w:ascii="宋体" w:hAnsi="宋体" w:eastAsia="宋体" w:cs="宋体"/>
                <w:spacing w:val="-3"/>
                <w:sz w:val="21"/>
                <w:szCs w:val="21"/>
              </w:rPr>
              <w:t>系数法</w:t>
            </w:r>
          </w:p>
        </w:tc>
        <w:tc>
          <w:tcPr>
            <w:tcW w:w="1134" w:type="dxa"/>
            <w:vMerge w:val="restart"/>
            <w:tcBorders>
              <w:bottom w:val="nil"/>
            </w:tcBorders>
            <w:vAlign w:val="top"/>
          </w:tcPr>
          <w:p w14:paraId="5FEAC123">
            <w:pPr>
              <w:spacing w:line="279" w:lineRule="auto"/>
              <w:rPr>
                <w:rFonts w:ascii="Arial"/>
                <w:sz w:val="21"/>
              </w:rPr>
            </w:pPr>
          </w:p>
          <w:p w14:paraId="1F2EF23C">
            <w:pPr>
              <w:pStyle w:val="6"/>
              <w:spacing w:before="60" w:line="188" w:lineRule="auto"/>
              <w:ind w:left="366"/>
            </w:pPr>
            <w:r>
              <w:rPr>
                <w:spacing w:val="-3"/>
              </w:rPr>
              <w:t>6000</w:t>
            </w:r>
          </w:p>
        </w:tc>
        <w:tc>
          <w:tcPr>
            <w:tcW w:w="852" w:type="dxa"/>
            <w:vAlign w:val="top"/>
          </w:tcPr>
          <w:p w14:paraId="70C14336">
            <w:pPr>
              <w:pStyle w:val="6"/>
              <w:spacing w:before="103" w:line="188" w:lineRule="auto"/>
              <w:ind w:left="248"/>
            </w:pPr>
            <w:r>
              <w:rPr>
                <w:spacing w:val="-2"/>
              </w:rPr>
              <w:t>0.34</w:t>
            </w:r>
          </w:p>
        </w:tc>
        <w:tc>
          <w:tcPr>
            <w:tcW w:w="860" w:type="dxa"/>
            <w:vAlign w:val="top"/>
          </w:tcPr>
          <w:p w14:paraId="0309B69E">
            <w:pPr>
              <w:pStyle w:val="6"/>
              <w:spacing w:before="103" w:line="188" w:lineRule="auto"/>
              <w:ind w:left="149"/>
            </w:pPr>
            <w:r>
              <w:rPr>
                <w:spacing w:val="-2"/>
              </w:rPr>
              <w:t>0.0021</w:t>
            </w:r>
          </w:p>
        </w:tc>
        <w:tc>
          <w:tcPr>
            <w:tcW w:w="632" w:type="dxa"/>
            <w:vAlign w:val="top"/>
          </w:tcPr>
          <w:p w14:paraId="3E9635E8">
            <w:pPr>
              <w:pStyle w:val="6"/>
              <w:spacing w:before="103" w:line="188" w:lineRule="auto"/>
              <w:ind w:left="115"/>
            </w:pPr>
            <w:r>
              <w:rPr>
                <w:spacing w:val="-4"/>
              </w:rPr>
              <w:t>8760</w:t>
            </w:r>
          </w:p>
        </w:tc>
      </w:tr>
      <w:tr w14:paraId="29C4B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36" w:type="dxa"/>
            <w:vMerge w:val="continue"/>
            <w:tcBorders>
              <w:top w:val="nil"/>
              <w:bottom w:val="nil"/>
            </w:tcBorders>
            <w:vAlign w:val="top"/>
          </w:tcPr>
          <w:p w14:paraId="34D645E2">
            <w:pPr>
              <w:rPr>
                <w:rFonts w:ascii="Arial"/>
                <w:sz w:val="21"/>
              </w:rPr>
            </w:pPr>
          </w:p>
        </w:tc>
        <w:tc>
          <w:tcPr>
            <w:tcW w:w="776" w:type="dxa"/>
            <w:vMerge w:val="continue"/>
            <w:tcBorders>
              <w:top w:val="nil"/>
            </w:tcBorders>
            <w:vAlign w:val="top"/>
          </w:tcPr>
          <w:p w14:paraId="5DB98F06">
            <w:pPr>
              <w:rPr>
                <w:rFonts w:ascii="Arial"/>
                <w:sz w:val="21"/>
              </w:rPr>
            </w:pPr>
          </w:p>
        </w:tc>
        <w:tc>
          <w:tcPr>
            <w:tcW w:w="1093" w:type="dxa"/>
            <w:vMerge w:val="continue"/>
            <w:tcBorders>
              <w:top w:val="nil"/>
            </w:tcBorders>
            <w:vAlign w:val="top"/>
          </w:tcPr>
          <w:p w14:paraId="0B36D2B2">
            <w:pPr>
              <w:rPr>
                <w:rFonts w:ascii="Arial"/>
                <w:sz w:val="21"/>
              </w:rPr>
            </w:pPr>
          </w:p>
        </w:tc>
        <w:tc>
          <w:tcPr>
            <w:tcW w:w="753" w:type="dxa"/>
            <w:vAlign w:val="top"/>
          </w:tcPr>
          <w:p w14:paraId="2FE865DC">
            <w:pPr>
              <w:pStyle w:val="6"/>
              <w:spacing w:before="166" w:line="198" w:lineRule="auto"/>
              <w:ind w:left="206"/>
            </w:pPr>
            <w:r>
              <w:rPr>
                <w:spacing w:val="-2"/>
              </w:rPr>
              <w:t>H</w:t>
            </w:r>
            <w:r>
              <w:rPr>
                <w:spacing w:val="-2"/>
                <w:position w:val="-2"/>
                <w:sz w:val="14"/>
                <w:szCs w:val="14"/>
              </w:rPr>
              <w:t>2</w:t>
            </w:r>
            <w:r>
              <w:rPr>
                <w:spacing w:val="-2"/>
              </w:rPr>
              <w:t>S</w:t>
            </w:r>
          </w:p>
        </w:tc>
        <w:tc>
          <w:tcPr>
            <w:tcW w:w="709" w:type="dxa"/>
            <w:vMerge w:val="continue"/>
            <w:tcBorders>
              <w:top w:val="nil"/>
            </w:tcBorders>
            <w:vAlign w:val="top"/>
          </w:tcPr>
          <w:p w14:paraId="124DF0ED">
            <w:pPr>
              <w:rPr>
                <w:rFonts w:ascii="Arial"/>
                <w:sz w:val="21"/>
              </w:rPr>
            </w:pPr>
          </w:p>
        </w:tc>
        <w:tc>
          <w:tcPr>
            <w:tcW w:w="1137" w:type="dxa"/>
            <w:vMerge w:val="continue"/>
            <w:tcBorders>
              <w:top w:val="nil"/>
            </w:tcBorders>
            <w:vAlign w:val="top"/>
          </w:tcPr>
          <w:p w14:paraId="58D9D825">
            <w:pPr>
              <w:rPr>
                <w:rFonts w:ascii="Arial"/>
                <w:sz w:val="21"/>
              </w:rPr>
            </w:pPr>
          </w:p>
        </w:tc>
        <w:tc>
          <w:tcPr>
            <w:tcW w:w="919" w:type="dxa"/>
            <w:vAlign w:val="top"/>
          </w:tcPr>
          <w:p w14:paraId="50B638EB">
            <w:pPr>
              <w:pStyle w:val="6"/>
              <w:spacing w:before="166" w:line="188" w:lineRule="auto"/>
              <w:ind w:left="280"/>
            </w:pPr>
            <w:r>
              <w:rPr>
                <w:spacing w:val="-2"/>
              </w:rPr>
              <w:t>0.35</w:t>
            </w:r>
          </w:p>
        </w:tc>
        <w:tc>
          <w:tcPr>
            <w:tcW w:w="936" w:type="dxa"/>
            <w:vAlign w:val="top"/>
          </w:tcPr>
          <w:p w14:paraId="66135E6F">
            <w:pPr>
              <w:pStyle w:val="6"/>
              <w:spacing w:before="166" w:line="188" w:lineRule="auto"/>
              <w:ind w:left="184"/>
            </w:pPr>
            <w:r>
              <w:rPr>
                <w:spacing w:val="-2"/>
              </w:rPr>
              <w:t>0.0021</w:t>
            </w:r>
          </w:p>
        </w:tc>
        <w:tc>
          <w:tcPr>
            <w:tcW w:w="1997" w:type="dxa"/>
            <w:vMerge w:val="continue"/>
            <w:tcBorders>
              <w:top w:val="nil"/>
            </w:tcBorders>
            <w:vAlign w:val="top"/>
          </w:tcPr>
          <w:p w14:paraId="72CF2FE8">
            <w:pPr>
              <w:rPr>
                <w:rFonts w:ascii="Arial"/>
                <w:sz w:val="21"/>
              </w:rPr>
            </w:pPr>
          </w:p>
        </w:tc>
        <w:tc>
          <w:tcPr>
            <w:tcW w:w="568" w:type="dxa"/>
            <w:vMerge w:val="continue"/>
            <w:tcBorders>
              <w:top w:val="nil"/>
            </w:tcBorders>
            <w:vAlign w:val="top"/>
          </w:tcPr>
          <w:p w14:paraId="0F2B3AEF">
            <w:pPr>
              <w:rPr>
                <w:rFonts w:ascii="Arial"/>
                <w:sz w:val="21"/>
              </w:rPr>
            </w:pPr>
          </w:p>
        </w:tc>
        <w:tc>
          <w:tcPr>
            <w:tcW w:w="712" w:type="dxa"/>
            <w:vMerge w:val="continue"/>
            <w:tcBorders>
              <w:top w:val="nil"/>
            </w:tcBorders>
            <w:vAlign w:val="top"/>
          </w:tcPr>
          <w:p w14:paraId="301A02F3">
            <w:pPr>
              <w:rPr>
                <w:rFonts w:ascii="Arial"/>
                <w:sz w:val="21"/>
              </w:rPr>
            </w:pPr>
          </w:p>
        </w:tc>
        <w:tc>
          <w:tcPr>
            <w:tcW w:w="1134" w:type="dxa"/>
            <w:vMerge w:val="continue"/>
            <w:tcBorders>
              <w:top w:val="nil"/>
            </w:tcBorders>
            <w:vAlign w:val="top"/>
          </w:tcPr>
          <w:p w14:paraId="080D0D9B">
            <w:pPr>
              <w:rPr>
                <w:rFonts w:ascii="Arial"/>
                <w:sz w:val="21"/>
              </w:rPr>
            </w:pPr>
          </w:p>
        </w:tc>
        <w:tc>
          <w:tcPr>
            <w:tcW w:w="852" w:type="dxa"/>
            <w:vAlign w:val="top"/>
          </w:tcPr>
          <w:p w14:paraId="616A5BE5">
            <w:pPr>
              <w:pStyle w:val="6"/>
              <w:spacing w:before="166" w:line="188" w:lineRule="auto"/>
              <w:ind w:left="249"/>
            </w:pPr>
            <w:r>
              <w:rPr>
                <w:spacing w:val="-2"/>
              </w:rPr>
              <w:t>0.03</w:t>
            </w:r>
          </w:p>
        </w:tc>
        <w:tc>
          <w:tcPr>
            <w:tcW w:w="860" w:type="dxa"/>
            <w:vAlign w:val="top"/>
          </w:tcPr>
          <w:p w14:paraId="4EF2BF34">
            <w:pPr>
              <w:pStyle w:val="6"/>
              <w:spacing w:before="166" w:line="188" w:lineRule="auto"/>
              <w:ind w:left="149"/>
            </w:pPr>
            <w:r>
              <w:rPr>
                <w:spacing w:val="-2"/>
              </w:rPr>
              <w:t>0.0002</w:t>
            </w:r>
          </w:p>
        </w:tc>
        <w:tc>
          <w:tcPr>
            <w:tcW w:w="632" w:type="dxa"/>
            <w:vAlign w:val="top"/>
          </w:tcPr>
          <w:p w14:paraId="3D400089">
            <w:pPr>
              <w:pStyle w:val="6"/>
              <w:spacing w:before="166" w:line="188" w:lineRule="auto"/>
              <w:ind w:left="116"/>
            </w:pPr>
            <w:r>
              <w:rPr>
                <w:spacing w:val="-4"/>
              </w:rPr>
              <w:t>8760</w:t>
            </w:r>
          </w:p>
        </w:tc>
      </w:tr>
      <w:tr w14:paraId="7C783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6" w:type="dxa"/>
            <w:vMerge w:val="continue"/>
            <w:tcBorders>
              <w:top w:val="nil"/>
              <w:bottom w:val="nil"/>
            </w:tcBorders>
            <w:vAlign w:val="top"/>
          </w:tcPr>
          <w:p w14:paraId="51988F06">
            <w:pPr>
              <w:rPr>
                <w:rFonts w:ascii="Arial"/>
                <w:sz w:val="21"/>
              </w:rPr>
            </w:pPr>
          </w:p>
        </w:tc>
        <w:tc>
          <w:tcPr>
            <w:tcW w:w="776" w:type="dxa"/>
            <w:vMerge w:val="restart"/>
            <w:tcBorders>
              <w:bottom w:val="nil"/>
            </w:tcBorders>
            <w:vAlign w:val="top"/>
          </w:tcPr>
          <w:p w14:paraId="33BB5A0A">
            <w:pPr>
              <w:spacing w:before="306" w:line="220" w:lineRule="auto"/>
              <w:ind w:left="76"/>
              <w:rPr>
                <w:rFonts w:ascii="宋体" w:hAnsi="宋体" w:eastAsia="宋体" w:cs="宋体"/>
                <w:sz w:val="21"/>
                <w:szCs w:val="21"/>
              </w:rPr>
            </w:pPr>
            <w:r>
              <w:rPr>
                <w:rFonts w:ascii="宋体" w:hAnsi="宋体" w:eastAsia="宋体" w:cs="宋体"/>
                <w:spacing w:val="-3"/>
                <w:sz w:val="21"/>
                <w:szCs w:val="21"/>
              </w:rPr>
              <w:t>堆粪棚</w:t>
            </w:r>
          </w:p>
        </w:tc>
        <w:tc>
          <w:tcPr>
            <w:tcW w:w="1093" w:type="dxa"/>
            <w:vMerge w:val="restart"/>
            <w:tcBorders>
              <w:bottom w:val="nil"/>
            </w:tcBorders>
            <w:vAlign w:val="top"/>
          </w:tcPr>
          <w:p w14:paraId="2D900860">
            <w:pPr>
              <w:spacing w:before="307" w:line="220" w:lineRule="auto"/>
              <w:ind w:left="25"/>
              <w:rPr>
                <w:rFonts w:ascii="宋体" w:hAnsi="宋体" w:eastAsia="宋体" w:cs="宋体"/>
                <w:sz w:val="21"/>
                <w:szCs w:val="21"/>
              </w:rPr>
            </w:pPr>
            <w:r>
              <w:rPr>
                <w:rFonts w:ascii="宋体" w:hAnsi="宋体" w:eastAsia="宋体" w:cs="宋体"/>
                <w:spacing w:val="-2"/>
                <w:sz w:val="21"/>
                <w:szCs w:val="21"/>
              </w:rPr>
              <w:t>无组织排放</w:t>
            </w:r>
          </w:p>
        </w:tc>
        <w:tc>
          <w:tcPr>
            <w:tcW w:w="753" w:type="dxa"/>
            <w:vAlign w:val="top"/>
          </w:tcPr>
          <w:p w14:paraId="08C0D7A4">
            <w:pPr>
              <w:pStyle w:val="6"/>
              <w:spacing w:before="107" w:line="195" w:lineRule="auto"/>
              <w:ind w:left="182"/>
              <w:rPr>
                <w:sz w:val="14"/>
                <w:szCs w:val="14"/>
              </w:rPr>
            </w:pPr>
            <w:r>
              <w:t>NH</w:t>
            </w:r>
            <w:r>
              <w:rPr>
                <w:spacing w:val="1"/>
                <w:position w:val="-2"/>
                <w:sz w:val="14"/>
                <w:szCs w:val="14"/>
              </w:rPr>
              <w:t>3</w:t>
            </w:r>
          </w:p>
        </w:tc>
        <w:tc>
          <w:tcPr>
            <w:tcW w:w="709" w:type="dxa"/>
            <w:vMerge w:val="restart"/>
            <w:tcBorders>
              <w:bottom w:val="nil"/>
            </w:tcBorders>
            <w:vAlign w:val="top"/>
          </w:tcPr>
          <w:p w14:paraId="6F22A76D">
            <w:pPr>
              <w:spacing w:before="306" w:line="220" w:lineRule="auto"/>
              <w:ind w:left="148"/>
              <w:rPr>
                <w:rFonts w:ascii="宋体" w:hAnsi="宋体" w:eastAsia="宋体" w:cs="宋体"/>
                <w:sz w:val="21"/>
                <w:szCs w:val="21"/>
              </w:rPr>
            </w:pPr>
            <w:r>
              <w:rPr>
                <w:rFonts w:ascii="宋体" w:hAnsi="宋体" w:eastAsia="宋体" w:cs="宋体"/>
                <w:spacing w:val="-3"/>
                <w:sz w:val="21"/>
                <w:szCs w:val="21"/>
              </w:rPr>
              <w:t>类比</w:t>
            </w:r>
          </w:p>
        </w:tc>
        <w:tc>
          <w:tcPr>
            <w:tcW w:w="1137" w:type="dxa"/>
            <w:vAlign w:val="top"/>
          </w:tcPr>
          <w:p w14:paraId="64997A28">
            <w:pPr>
              <w:pStyle w:val="6"/>
              <w:spacing w:before="100" w:line="192" w:lineRule="auto"/>
              <w:ind w:left="535"/>
            </w:pPr>
            <w:r>
              <w:t>/</w:t>
            </w:r>
          </w:p>
        </w:tc>
        <w:tc>
          <w:tcPr>
            <w:tcW w:w="919" w:type="dxa"/>
            <w:vAlign w:val="top"/>
          </w:tcPr>
          <w:p w14:paraId="38CF0A38">
            <w:pPr>
              <w:pStyle w:val="6"/>
              <w:spacing w:before="100" w:line="192" w:lineRule="auto"/>
              <w:ind w:left="426"/>
            </w:pPr>
            <w:r>
              <w:t>/</w:t>
            </w:r>
          </w:p>
        </w:tc>
        <w:tc>
          <w:tcPr>
            <w:tcW w:w="936" w:type="dxa"/>
            <w:vAlign w:val="top"/>
          </w:tcPr>
          <w:p w14:paraId="52963030">
            <w:pPr>
              <w:pStyle w:val="6"/>
              <w:spacing w:before="104" w:line="188" w:lineRule="auto"/>
              <w:ind w:left="183"/>
            </w:pPr>
            <w:r>
              <w:rPr>
                <w:spacing w:val="-2"/>
              </w:rPr>
              <w:t>0.0027</w:t>
            </w:r>
          </w:p>
        </w:tc>
        <w:tc>
          <w:tcPr>
            <w:tcW w:w="1997" w:type="dxa"/>
            <w:vMerge w:val="restart"/>
            <w:tcBorders>
              <w:bottom w:val="nil"/>
            </w:tcBorders>
            <w:vAlign w:val="top"/>
          </w:tcPr>
          <w:p w14:paraId="7F199B64">
            <w:pPr>
              <w:spacing w:before="33" w:line="228" w:lineRule="auto"/>
              <w:ind w:left="11" w:right="2"/>
              <w:jc w:val="both"/>
              <w:rPr>
                <w:rFonts w:ascii="宋体" w:hAnsi="宋体" w:eastAsia="宋体" w:cs="宋体"/>
                <w:sz w:val="21"/>
                <w:szCs w:val="21"/>
              </w:rPr>
            </w:pPr>
            <w:r>
              <w:rPr>
                <w:rFonts w:ascii="宋体" w:hAnsi="宋体" w:eastAsia="宋体" w:cs="宋体"/>
                <w:spacing w:val="9"/>
                <w:sz w:val="21"/>
                <w:szCs w:val="21"/>
              </w:rPr>
              <w:t>污水处理站恶臭单元</w:t>
            </w:r>
            <w:r>
              <w:rPr>
                <w:rFonts w:ascii="宋体" w:hAnsi="宋体" w:eastAsia="宋体" w:cs="宋体"/>
                <w:spacing w:val="4"/>
                <w:sz w:val="21"/>
                <w:szCs w:val="21"/>
              </w:rPr>
              <w:t>密闭，喷洒除臭剂，</w:t>
            </w:r>
            <w:r>
              <w:rPr>
                <w:rFonts w:ascii="宋体" w:hAnsi="宋体" w:eastAsia="宋体" w:cs="宋体"/>
                <w:spacing w:val="-5"/>
                <w:sz w:val="21"/>
                <w:szCs w:val="21"/>
              </w:rPr>
              <w:t>污泥及时清运。</w:t>
            </w:r>
          </w:p>
        </w:tc>
        <w:tc>
          <w:tcPr>
            <w:tcW w:w="568" w:type="dxa"/>
            <w:vMerge w:val="restart"/>
            <w:tcBorders>
              <w:bottom w:val="nil"/>
            </w:tcBorders>
            <w:vAlign w:val="top"/>
          </w:tcPr>
          <w:p w14:paraId="5FE78A37">
            <w:pPr>
              <w:spacing w:line="281" w:lineRule="auto"/>
              <w:rPr>
                <w:rFonts w:ascii="Arial"/>
                <w:sz w:val="21"/>
              </w:rPr>
            </w:pPr>
          </w:p>
          <w:p w14:paraId="5B9BB471">
            <w:pPr>
              <w:pStyle w:val="6"/>
              <w:spacing w:before="60" w:line="188" w:lineRule="auto"/>
              <w:ind w:left="98"/>
            </w:pPr>
            <w:r>
              <w:rPr>
                <w:spacing w:val="-2"/>
              </w:rPr>
              <w:t>60%</w:t>
            </w:r>
          </w:p>
        </w:tc>
        <w:tc>
          <w:tcPr>
            <w:tcW w:w="712" w:type="dxa"/>
            <w:vMerge w:val="restart"/>
            <w:tcBorders>
              <w:bottom w:val="nil"/>
            </w:tcBorders>
            <w:vAlign w:val="top"/>
          </w:tcPr>
          <w:p w14:paraId="1B0215F8">
            <w:pPr>
              <w:spacing w:before="306" w:line="220" w:lineRule="auto"/>
              <w:ind w:left="52"/>
              <w:rPr>
                <w:rFonts w:ascii="宋体" w:hAnsi="宋体" w:eastAsia="宋体" w:cs="宋体"/>
                <w:sz w:val="21"/>
                <w:szCs w:val="21"/>
              </w:rPr>
            </w:pPr>
            <w:r>
              <w:rPr>
                <w:rFonts w:ascii="宋体" w:hAnsi="宋体" w:eastAsia="宋体" w:cs="宋体"/>
                <w:spacing w:val="-3"/>
                <w:sz w:val="21"/>
                <w:szCs w:val="21"/>
              </w:rPr>
              <w:t>系数法</w:t>
            </w:r>
          </w:p>
        </w:tc>
        <w:tc>
          <w:tcPr>
            <w:tcW w:w="1134" w:type="dxa"/>
            <w:vAlign w:val="top"/>
          </w:tcPr>
          <w:p w14:paraId="4878BFCC">
            <w:pPr>
              <w:pStyle w:val="6"/>
              <w:spacing w:before="100" w:line="192" w:lineRule="auto"/>
              <w:ind w:left="537"/>
            </w:pPr>
            <w:r>
              <w:t>/</w:t>
            </w:r>
          </w:p>
        </w:tc>
        <w:tc>
          <w:tcPr>
            <w:tcW w:w="852" w:type="dxa"/>
            <w:vAlign w:val="top"/>
          </w:tcPr>
          <w:p w14:paraId="044A689E">
            <w:pPr>
              <w:pStyle w:val="6"/>
              <w:spacing w:before="100" w:line="192" w:lineRule="auto"/>
              <w:ind w:left="396"/>
            </w:pPr>
            <w:r>
              <w:t>/</w:t>
            </w:r>
          </w:p>
        </w:tc>
        <w:tc>
          <w:tcPr>
            <w:tcW w:w="860" w:type="dxa"/>
            <w:vAlign w:val="top"/>
          </w:tcPr>
          <w:p w14:paraId="24E21C2B">
            <w:pPr>
              <w:pStyle w:val="6"/>
              <w:spacing w:before="104" w:line="188" w:lineRule="auto"/>
              <w:ind w:left="152"/>
            </w:pPr>
            <w:r>
              <w:rPr>
                <w:spacing w:val="-2"/>
              </w:rPr>
              <w:t>0.0011</w:t>
            </w:r>
          </w:p>
        </w:tc>
        <w:tc>
          <w:tcPr>
            <w:tcW w:w="632" w:type="dxa"/>
            <w:vAlign w:val="top"/>
          </w:tcPr>
          <w:p w14:paraId="1D5167A2">
            <w:pPr>
              <w:pStyle w:val="6"/>
              <w:spacing w:before="104" w:line="188" w:lineRule="auto"/>
              <w:ind w:left="116"/>
            </w:pPr>
            <w:r>
              <w:rPr>
                <w:spacing w:val="-4"/>
              </w:rPr>
              <w:t>8760</w:t>
            </w:r>
          </w:p>
        </w:tc>
      </w:tr>
      <w:tr w14:paraId="1186C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36" w:type="dxa"/>
            <w:vMerge w:val="continue"/>
            <w:tcBorders>
              <w:top w:val="nil"/>
            </w:tcBorders>
            <w:vAlign w:val="top"/>
          </w:tcPr>
          <w:p w14:paraId="3022AFA1">
            <w:pPr>
              <w:rPr>
                <w:rFonts w:ascii="Arial"/>
                <w:sz w:val="21"/>
              </w:rPr>
            </w:pPr>
          </w:p>
        </w:tc>
        <w:tc>
          <w:tcPr>
            <w:tcW w:w="776" w:type="dxa"/>
            <w:vMerge w:val="continue"/>
            <w:tcBorders>
              <w:top w:val="nil"/>
            </w:tcBorders>
            <w:vAlign w:val="top"/>
          </w:tcPr>
          <w:p w14:paraId="51EEE0D0">
            <w:pPr>
              <w:rPr>
                <w:rFonts w:ascii="Arial"/>
                <w:sz w:val="21"/>
              </w:rPr>
            </w:pPr>
          </w:p>
        </w:tc>
        <w:tc>
          <w:tcPr>
            <w:tcW w:w="1093" w:type="dxa"/>
            <w:vMerge w:val="continue"/>
            <w:tcBorders>
              <w:top w:val="nil"/>
            </w:tcBorders>
            <w:vAlign w:val="top"/>
          </w:tcPr>
          <w:p w14:paraId="321218C1">
            <w:pPr>
              <w:rPr>
                <w:rFonts w:ascii="Arial"/>
                <w:sz w:val="21"/>
              </w:rPr>
            </w:pPr>
          </w:p>
        </w:tc>
        <w:tc>
          <w:tcPr>
            <w:tcW w:w="753" w:type="dxa"/>
            <w:vAlign w:val="top"/>
          </w:tcPr>
          <w:p w14:paraId="48941D1D">
            <w:pPr>
              <w:pStyle w:val="6"/>
              <w:spacing w:before="167" w:line="198" w:lineRule="auto"/>
              <w:ind w:left="206"/>
            </w:pPr>
            <w:r>
              <w:rPr>
                <w:spacing w:val="-2"/>
              </w:rPr>
              <w:t>H</w:t>
            </w:r>
            <w:r>
              <w:rPr>
                <w:spacing w:val="-2"/>
                <w:position w:val="-2"/>
                <w:sz w:val="14"/>
                <w:szCs w:val="14"/>
              </w:rPr>
              <w:t>2</w:t>
            </w:r>
            <w:r>
              <w:rPr>
                <w:spacing w:val="-2"/>
              </w:rPr>
              <w:t>S</w:t>
            </w:r>
          </w:p>
        </w:tc>
        <w:tc>
          <w:tcPr>
            <w:tcW w:w="709" w:type="dxa"/>
            <w:vMerge w:val="continue"/>
            <w:tcBorders>
              <w:top w:val="nil"/>
            </w:tcBorders>
            <w:vAlign w:val="top"/>
          </w:tcPr>
          <w:p w14:paraId="62CE7895">
            <w:pPr>
              <w:rPr>
                <w:rFonts w:ascii="Arial"/>
                <w:sz w:val="21"/>
              </w:rPr>
            </w:pPr>
          </w:p>
        </w:tc>
        <w:tc>
          <w:tcPr>
            <w:tcW w:w="1137" w:type="dxa"/>
            <w:vAlign w:val="top"/>
          </w:tcPr>
          <w:p w14:paraId="4918253D">
            <w:pPr>
              <w:pStyle w:val="6"/>
              <w:spacing w:before="163" w:line="192" w:lineRule="auto"/>
              <w:ind w:left="536"/>
            </w:pPr>
            <w:r>
              <w:t>/</w:t>
            </w:r>
          </w:p>
        </w:tc>
        <w:tc>
          <w:tcPr>
            <w:tcW w:w="919" w:type="dxa"/>
            <w:vAlign w:val="top"/>
          </w:tcPr>
          <w:p w14:paraId="326ED227">
            <w:pPr>
              <w:pStyle w:val="6"/>
              <w:spacing w:before="163" w:line="192" w:lineRule="auto"/>
              <w:ind w:left="427"/>
            </w:pPr>
            <w:r>
              <w:t>/</w:t>
            </w:r>
          </w:p>
        </w:tc>
        <w:tc>
          <w:tcPr>
            <w:tcW w:w="936" w:type="dxa"/>
            <w:vAlign w:val="top"/>
          </w:tcPr>
          <w:p w14:paraId="525F9710">
            <w:pPr>
              <w:pStyle w:val="6"/>
              <w:spacing w:before="167" w:line="188" w:lineRule="auto"/>
              <w:ind w:left="184"/>
            </w:pPr>
            <w:r>
              <w:rPr>
                <w:spacing w:val="-2"/>
              </w:rPr>
              <w:t>0.0003</w:t>
            </w:r>
          </w:p>
        </w:tc>
        <w:tc>
          <w:tcPr>
            <w:tcW w:w="1997" w:type="dxa"/>
            <w:vMerge w:val="continue"/>
            <w:tcBorders>
              <w:top w:val="nil"/>
            </w:tcBorders>
            <w:vAlign w:val="top"/>
          </w:tcPr>
          <w:p w14:paraId="5686A95E">
            <w:pPr>
              <w:rPr>
                <w:rFonts w:ascii="Arial"/>
                <w:sz w:val="21"/>
              </w:rPr>
            </w:pPr>
          </w:p>
        </w:tc>
        <w:tc>
          <w:tcPr>
            <w:tcW w:w="568" w:type="dxa"/>
            <w:vMerge w:val="continue"/>
            <w:tcBorders>
              <w:top w:val="nil"/>
            </w:tcBorders>
            <w:vAlign w:val="top"/>
          </w:tcPr>
          <w:p w14:paraId="46DD822A">
            <w:pPr>
              <w:rPr>
                <w:rFonts w:ascii="Arial"/>
                <w:sz w:val="21"/>
              </w:rPr>
            </w:pPr>
          </w:p>
        </w:tc>
        <w:tc>
          <w:tcPr>
            <w:tcW w:w="712" w:type="dxa"/>
            <w:vMerge w:val="continue"/>
            <w:tcBorders>
              <w:top w:val="nil"/>
            </w:tcBorders>
            <w:vAlign w:val="top"/>
          </w:tcPr>
          <w:p w14:paraId="5A5D310C">
            <w:pPr>
              <w:rPr>
                <w:rFonts w:ascii="Arial"/>
                <w:sz w:val="21"/>
              </w:rPr>
            </w:pPr>
          </w:p>
        </w:tc>
        <w:tc>
          <w:tcPr>
            <w:tcW w:w="1134" w:type="dxa"/>
            <w:vAlign w:val="top"/>
          </w:tcPr>
          <w:p w14:paraId="172B894D">
            <w:pPr>
              <w:pStyle w:val="6"/>
              <w:spacing w:before="163" w:line="192" w:lineRule="auto"/>
              <w:ind w:left="538"/>
            </w:pPr>
            <w:r>
              <w:t>/</w:t>
            </w:r>
          </w:p>
        </w:tc>
        <w:tc>
          <w:tcPr>
            <w:tcW w:w="852" w:type="dxa"/>
            <w:vAlign w:val="top"/>
          </w:tcPr>
          <w:p w14:paraId="6C888519">
            <w:pPr>
              <w:pStyle w:val="6"/>
              <w:spacing w:before="163" w:line="192" w:lineRule="auto"/>
              <w:ind w:left="396"/>
            </w:pPr>
            <w:r>
              <w:t>/</w:t>
            </w:r>
          </w:p>
        </w:tc>
        <w:tc>
          <w:tcPr>
            <w:tcW w:w="860" w:type="dxa"/>
            <w:vAlign w:val="top"/>
          </w:tcPr>
          <w:p w14:paraId="5EC48A95">
            <w:pPr>
              <w:pStyle w:val="6"/>
              <w:spacing w:before="167" w:line="188" w:lineRule="auto"/>
              <w:ind w:left="149"/>
            </w:pPr>
            <w:r>
              <w:rPr>
                <w:spacing w:val="-2"/>
              </w:rPr>
              <w:t>0.0001</w:t>
            </w:r>
          </w:p>
        </w:tc>
        <w:tc>
          <w:tcPr>
            <w:tcW w:w="632" w:type="dxa"/>
            <w:vAlign w:val="top"/>
          </w:tcPr>
          <w:p w14:paraId="4BBF4E69">
            <w:pPr>
              <w:pStyle w:val="6"/>
              <w:spacing w:before="167" w:line="188" w:lineRule="auto"/>
              <w:ind w:left="116"/>
            </w:pPr>
            <w:r>
              <w:rPr>
                <w:spacing w:val="-4"/>
              </w:rPr>
              <w:t>8760</w:t>
            </w:r>
          </w:p>
        </w:tc>
      </w:tr>
      <w:tr w14:paraId="52BC3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36" w:type="dxa"/>
            <w:vMerge w:val="restart"/>
            <w:tcBorders>
              <w:bottom w:val="nil"/>
            </w:tcBorders>
            <w:vAlign w:val="top"/>
          </w:tcPr>
          <w:p w14:paraId="55060613">
            <w:pPr>
              <w:spacing w:line="347" w:lineRule="auto"/>
              <w:rPr>
                <w:rFonts w:ascii="Arial"/>
                <w:sz w:val="21"/>
              </w:rPr>
            </w:pPr>
          </w:p>
          <w:p w14:paraId="4E537B74">
            <w:pPr>
              <w:spacing w:before="68" w:line="219" w:lineRule="auto"/>
              <w:ind w:left="57"/>
              <w:rPr>
                <w:rFonts w:ascii="宋体" w:hAnsi="宋体" w:eastAsia="宋体" w:cs="宋体"/>
                <w:sz w:val="21"/>
                <w:szCs w:val="21"/>
              </w:rPr>
            </w:pPr>
            <w:r>
              <w:rPr>
                <w:rFonts w:ascii="宋体" w:hAnsi="宋体" w:eastAsia="宋体" w:cs="宋体"/>
                <w:spacing w:val="-3"/>
                <w:sz w:val="21"/>
                <w:szCs w:val="21"/>
              </w:rPr>
              <w:t>沼气燃烧</w:t>
            </w:r>
          </w:p>
        </w:tc>
        <w:tc>
          <w:tcPr>
            <w:tcW w:w="776" w:type="dxa"/>
            <w:vMerge w:val="restart"/>
            <w:tcBorders>
              <w:bottom w:val="nil"/>
            </w:tcBorders>
            <w:vAlign w:val="top"/>
          </w:tcPr>
          <w:p w14:paraId="3F632036">
            <w:pPr>
              <w:spacing w:line="347" w:lineRule="auto"/>
              <w:rPr>
                <w:rFonts w:ascii="Arial"/>
                <w:sz w:val="21"/>
              </w:rPr>
            </w:pPr>
          </w:p>
          <w:p w14:paraId="29BBC8B4">
            <w:pPr>
              <w:spacing w:before="68" w:line="220" w:lineRule="auto"/>
              <w:ind w:left="182"/>
              <w:rPr>
                <w:rFonts w:ascii="宋体" w:hAnsi="宋体" w:eastAsia="宋体" w:cs="宋体"/>
                <w:sz w:val="21"/>
                <w:szCs w:val="21"/>
              </w:rPr>
            </w:pPr>
            <w:r>
              <w:rPr>
                <w:rFonts w:ascii="宋体" w:hAnsi="宋体" w:eastAsia="宋体" w:cs="宋体"/>
                <w:spacing w:val="-3"/>
                <w:sz w:val="21"/>
                <w:szCs w:val="21"/>
              </w:rPr>
              <w:t>火炬</w:t>
            </w:r>
          </w:p>
        </w:tc>
        <w:tc>
          <w:tcPr>
            <w:tcW w:w="1093" w:type="dxa"/>
            <w:vMerge w:val="restart"/>
            <w:tcBorders>
              <w:bottom w:val="nil"/>
            </w:tcBorders>
            <w:vAlign w:val="top"/>
          </w:tcPr>
          <w:p w14:paraId="60587298">
            <w:pPr>
              <w:spacing w:before="280" w:line="242" w:lineRule="auto"/>
              <w:ind w:left="233" w:right="126" w:hanging="102"/>
              <w:rPr>
                <w:rFonts w:ascii="宋体" w:hAnsi="宋体" w:eastAsia="宋体" w:cs="宋体"/>
                <w:sz w:val="21"/>
                <w:szCs w:val="21"/>
              </w:rPr>
            </w:pPr>
            <w:r>
              <w:rPr>
                <w:rFonts w:ascii="宋体" w:hAnsi="宋体" w:eastAsia="宋体" w:cs="宋体"/>
                <w:spacing w:val="-3"/>
                <w:sz w:val="21"/>
                <w:szCs w:val="21"/>
              </w:rPr>
              <w:t>火炬燃烧</w:t>
            </w:r>
            <w:r>
              <w:rPr>
                <w:rFonts w:ascii="宋体" w:hAnsi="宋体" w:eastAsia="宋体" w:cs="宋体"/>
                <w:spacing w:val="-2"/>
                <w:sz w:val="21"/>
                <w:szCs w:val="21"/>
              </w:rPr>
              <w:t>排气筒</w:t>
            </w:r>
          </w:p>
        </w:tc>
        <w:tc>
          <w:tcPr>
            <w:tcW w:w="753" w:type="dxa"/>
            <w:vAlign w:val="top"/>
          </w:tcPr>
          <w:p w14:paraId="68C6FA23">
            <w:pPr>
              <w:pStyle w:val="6"/>
              <w:spacing w:before="104" w:line="198" w:lineRule="auto"/>
              <w:ind w:left="216"/>
              <w:rPr>
                <w:sz w:val="14"/>
                <w:szCs w:val="14"/>
              </w:rPr>
            </w:pPr>
            <w:r>
              <w:rPr>
                <w:spacing w:val="-5"/>
              </w:rPr>
              <w:t>SO</w:t>
            </w:r>
            <w:r>
              <w:rPr>
                <w:spacing w:val="-5"/>
                <w:position w:val="-2"/>
                <w:sz w:val="14"/>
                <w:szCs w:val="14"/>
              </w:rPr>
              <w:t>2</w:t>
            </w:r>
          </w:p>
        </w:tc>
        <w:tc>
          <w:tcPr>
            <w:tcW w:w="709" w:type="dxa"/>
            <w:vMerge w:val="restart"/>
            <w:tcBorders>
              <w:bottom w:val="nil"/>
            </w:tcBorders>
            <w:vAlign w:val="top"/>
          </w:tcPr>
          <w:p w14:paraId="71C33626">
            <w:pPr>
              <w:spacing w:line="347" w:lineRule="auto"/>
              <w:rPr>
                <w:rFonts w:ascii="Arial"/>
                <w:sz w:val="21"/>
              </w:rPr>
            </w:pPr>
          </w:p>
          <w:p w14:paraId="20F299CD">
            <w:pPr>
              <w:spacing w:before="68" w:line="220" w:lineRule="auto"/>
              <w:ind w:left="46"/>
              <w:rPr>
                <w:rFonts w:ascii="宋体" w:hAnsi="宋体" w:eastAsia="宋体" w:cs="宋体"/>
                <w:sz w:val="21"/>
                <w:szCs w:val="21"/>
              </w:rPr>
            </w:pPr>
            <w:r>
              <w:rPr>
                <w:rFonts w:ascii="宋体" w:hAnsi="宋体" w:eastAsia="宋体" w:cs="宋体"/>
                <w:spacing w:val="-3"/>
                <w:sz w:val="21"/>
                <w:szCs w:val="21"/>
              </w:rPr>
              <w:t>系数法</w:t>
            </w:r>
          </w:p>
        </w:tc>
        <w:tc>
          <w:tcPr>
            <w:tcW w:w="1137" w:type="dxa"/>
            <w:vMerge w:val="restart"/>
            <w:tcBorders>
              <w:bottom w:val="nil"/>
            </w:tcBorders>
            <w:vAlign w:val="top"/>
          </w:tcPr>
          <w:p w14:paraId="74F1C802">
            <w:pPr>
              <w:spacing w:line="391" w:lineRule="auto"/>
              <w:rPr>
                <w:rFonts w:ascii="Arial"/>
                <w:sz w:val="21"/>
              </w:rPr>
            </w:pPr>
          </w:p>
          <w:p w14:paraId="6468AF9D">
            <w:pPr>
              <w:pStyle w:val="6"/>
              <w:spacing w:before="61" w:line="188" w:lineRule="auto"/>
              <w:ind w:left="420"/>
            </w:pPr>
            <w:r>
              <w:rPr>
                <w:spacing w:val="-5"/>
              </w:rPr>
              <w:t>801</w:t>
            </w:r>
          </w:p>
        </w:tc>
        <w:tc>
          <w:tcPr>
            <w:tcW w:w="919" w:type="dxa"/>
            <w:vAlign w:val="top"/>
          </w:tcPr>
          <w:p w14:paraId="204C93DF">
            <w:pPr>
              <w:pStyle w:val="6"/>
              <w:spacing w:before="104" w:line="188" w:lineRule="auto"/>
              <w:ind w:left="276"/>
            </w:pPr>
            <w:r>
              <w:rPr>
                <w:spacing w:val="-1"/>
              </w:rPr>
              <w:t>2.21</w:t>
            </w:r>
          </w:p>
        </w:tc>
        <w:tc>
          <w:tcPr>
            <w:tcW w:w="936" w:type="dxa"/>
            <w:vAlign w:val="top"/>
          </w:tcPr>
          <w:p w14:paraId="0B85117A">
            <w:pPr>
              <w:pStyle w:val="6"/>
              <w:spacing w:before="104" w:line="188" w:lineRule="auto"/>
              <w:ind w:left="183"/>
            </w:pPr>
            <w:r>
              <w:rPr>
                <w:spacing w:val="-2"/>
              </w:rPr>
              <w:t>0.0018</w:t>
            </w:r>
          </w:p>
        </w:tc>
        <w:tc>
          <w:tcPr>
            <w:tcW w:w="1997" w:type="dxa"/>
            <w:vMerge w:val="restart"/>
            <w:tcBorders>
              <w:bottom w:val="nil"/>
            </w:tcBorders>
            <w:vAlign w:val="top"/>
          </w:tcPr>
          <w:p w14:paraId="0C7C351E">
            <w:pPr>
              <w:spacing w:line="347" w:lineRule="auto"/>
              <w:rPr>
                <w:rFonts w:ascii="Arial"/>
                <w:sz w:val="21"/>
              </w:rPr>
            </w:pPr>
          </w:p>
          <w:p w14:paraId="6B30B57C">
            <w:pPr>
              <w:spacing w:before="68" w:line="219" w:lineRule="auto"/>
              <w:ind w:left="375"/>
              <w:rPr>
                <w:rFonts w:ascii="宋体" w:hAnsi="宋体" w:eastAsia="宋体" w:cs="宋体"/>
                <w:sz w:val="21"/>
                <w:szCs w:val="21"/>
              </w:rPr>
            </w:pPr>
            <w:r>
              <w:rPr>
                <w:rFonts w:ascii="宋体" w:hAnsi="宋体" w:eastAsia="宋体" w:cs="宋体"/>
                <w:spacing w:val="-2"/>
                <w:sz w:val="21"/>
                <w:szCs w:val="21"/>
              </w:rPr>
              <w:t>火炬燃烧处理</w:t>
            </w:r>
          </w:p>
        </w:tc>
        <w:tc>
          <w:tcPr>
            <w:tcW w:w="568" w:type="dxa"/>
            <w:vMerge w:val="restart"/>
            <w:tcBorders>
              <w:bottom w:val="nil"/>
            </w:tcBorders>
            <w:vAlign w:val="top"/>
          </w:tcPr>
          <w:p w14:paraId="5E0E1177">
            <w:pPr>
              <w:spacing w:line="391" w:lineRule="auto"/>
              <w:rPr>
                <w:rFonts w:ascii="Arial"/>
                <w:sz w:val="21"/>
              </w:rPr>
            </w:pPr>
          </w:p>
          <w:p w14:paraId="367984AC">
            <w:pPr>
              <w:pStyle w:val="6"/>
              <w:spacing w:before="61" w:line="188" w:lineRule="auto"/>
              <w:ind w:left="237"/>
            </w:pPr>
            <w:r>
              <w:t>0</w:t>
            </w:r>
          </w:p>
        </w:tc>
        <w:tc>
          <w:tcPr>
            <w:tcW w:w="712" w:type="dxa"/>
            <w:vMerge w:val="restart"/>
            <w:tcBorders>
              <w:bottom w:val="nil"/>
            </w:tcBorders>
            <w:vAlign w:val="top"/>
          </w:tcPr>
          <w:p w14:paraId="0B9D31D2">
            <w:pPr>
              <w:spacing w:line="347" w:lineRule="auto"/>
              <w:rPr>
                <w:rFonts w:ascii="Arial"/>
                <w:sz w:val="21"/>
              </w:rPr>
            </w:pPr>
          </w:p>
          <w:p w14:paraId="04375CA2">
            <w:pPr>
              <w:spacing w:before="68" w:line="220" w:lineRule="auto"/>
              <w:ind w:left="52"/>
              <w:rPr>
                <w:rFonts w:ascii="宋体" w:hAnsi="宋体" w:eastAsia="宋体" w:cs="宋体"/>
                <w:sz w:val="21"/>
                <w:szCs w:val="21"/>
              </w:rPr>
            </w:pPr>
            <w:r>
              <w:rPr>
                <w:rFonts w:ascii="宋体" w:hAnsi="宋体" w:eastAsia="宋体" w:cs="宋体"/>
                <w:spacing w:val="-3"/>
                <w:sz w:val="21"/>
                <w:szCs w:val="21"/>
              </w:rPr>
              <w:t>系数法</w:t>
            </w:r>
          </w:p>
        </w:tc>
        <w:tc>
          <w:tcPr>
            <w:tcW w:w="1134" w:type="dxa"/>
            <w:vMerge w:val="restart"/>
            <w:tcBorders>
              <w:bottom w:val="nil"/>
            </w:tcBorders>
            <w:vAlign w:val="top"/>
          </w:tcPr>
          <w:p w14:paraId="72228A96">
            <w:pPr>
              <w:spacing w:line="391" w:lineRule="auto"/>
              <w:rPr>
                <w:rFonts w:ascii="Arial"/>
                <w:sz w:val="21"/>
              </w:rPr>
            </w:pPr>
          </w:p>
          <w:p w14:paraId="3E59C7F3">
            <w:pPr>
              <w:pStyle w:val="6"/>
              <w:spacing w:before="61" w:line="188" w:lineRule="auto"/>
              <w:ind w:left="423"/>
            </w:pPr>
            <w:r>
              <w:rPr>
                <w:spacing w:val="-5"/>
              </w:rPr>
              <w:t>801</w:t>
            </w:r>
          </w:p>
        </w:tc>
        <w:tc>
          <w:tcPr>
            <w:tcW w:w="852" w:type="dxa"/>
            <w:vAlign w:val="top"/>
          </w:tcPr>
          <w:p w14:paraId="4CE8C050">
            <w:pPr>
              <w:pStyle w:val="6"/>
              <w:spacing w:before="104" w:line="188" w:lineRule="auto"/>
              <w:ind w:left="246"/>
            </w:pPr>
            <w:r>
              <w:rPr>
                <w:spacing w:val="-1"/>
              </w:rPr>
              <w:t>2.21</w:t>
            </w:r>
          </w:p>
        </w:tc>
        <w:tc>
          <w:tcPr>
            <w:tcW w:w="860" w:type="dxa"/>
            <w:vAlign w:val="top"/>
          </w:tcPr>
          <w:p w14:paraId="257965A1">
            <w:pPr>
              <w:pStyle w:val="6"/>
              <w:spacing w:before="104" w:line="188" w:lineRule="auto"/>
              <w:ind w:left="149"/>
            </w:pPr>
            <w:r>
              <w:rPr>
                <w:spacing w:val="-2"/>
              </w:rPr>
              <w:t>0.0018</w:t>
            </w:r>
          </w:p>
        </w:tc>
        <w:tc>
          <w:tcPr>
            <w:tcW w:w="632" w:type="dxa"/>
            <w:vAlign w:val="top"/>
          </w:tcPr>
          <w:p w14:paraId="548BAFAA">
            <w:pPr>
              <w:pStyle w:val="6"/>
              <w:spacing w:before="104" w:line="188" w:lineRule="auto"/>
              <w:ind w:left="116"/>
            </w:pPr>
            <w:r>
              <w:rPr>
                <w:spacing w:val="-4"/>
              </w:rPr>
              <w:t>8760</w:t>
            </w:r>
          </w:p>
        </w:tc>
      </w:tr>
      <w:tr w14:paraId="737F6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6" w:type="dxa"/>
            <w:vMerge w:val="continue"/>
            <w:tcBorders>
              <w:top w:val="nil"/>
              <w:bottom w:val="nil"/>
            </w:tcBorders>
            <w:vAlign w:val="top"/>
          </w:tcPr>
          <w:p w14:paraId="4FABD75C">
            <w:pPr>
              <w:rPr>
                <w:rFonts w:ascii="Arial"/>
                <w:sz w:val="21"/>
              </w:rPr>
            </w:pPr>
          </w:p>
        </w:tc>
        <w:tc>
          <w:tcPr>
            <w:tcW w:w="776" w:type="dxa"/>
            <w:vMerge w:val="continue"/>
            <w:tcBorders>
              <w:top w:val="nil"/>
              <w:bottom w:val="nil"/>
            </w:tcBorders>
            <w:vAlign w:val="top"/>
          </w:tcPr>
          <w:p w14:paraId="558AEDBB">
            <w:pPr>
              <w:rPr>
                <w:rFonts w:ascii="Arial"/>
                <w:sz w:val="21"/>
              </w:rPr>
            </w:pPr>
          </w:p>
        </w:tc>
        <w:tc>
          <w:tcPr>
            <w:tcW w:w="1093" w:type="dxa"/>
            <w:vMerge w:val="continue"/>
            <w:tcBorders>
              <w:top w:val="nil"/>
              <w:bottom w:val="nil"/>
            </w:tcBorders>
            <w:vAlign w:val="top"/>
          </w:tcPr>
          <w:p w14:paraId="6A2B9BB6">
            <w:pPr>
              <w:rPr>
                <w:rFonts w:ascii="Arial"/>
                <w:sz w:val="21"/>
              </w:rPr>
            </w:pPr>
          </w:p>
        </w:tc>
        <w:tc>
          <w:tcPr>
            <w:tcW w:w="753" w:type="dxa"/>
            <w:vAlign w:val="top"/>
          </w:tcPr>
          <w:p w14:paraId="59C8C8CF">
            <w:pPr>
              <w:pStyle w:val="6"/>
              <w:spacing w:before="105" w:line="188" w:lineRule="auto"/>
              <w:ind w:left="165"/>
            </w:pPr>
            <w:r>
              <w:t>NOx</w:t>
            </w:r>
          </w:p>
        </w:tc>
        <w:tc>
          <w:tcPr>
            <w:tcW w:w="709" w:type="dxa"/>
            <w:vMerge w:val="continue"/>
            <w:tcBorders>
              <w:top w:val="nil"/>
              <w:bottom w:val="nil"/>
            </w:tcBorders>
            <w:vAlign w:val="top"/>
          </w:tcPr>
          <w:p w14:paraId="47F64EAC">
            <w:pPr>
              <w:rPr>
                <w:rFonts w:ascii="Arial"/>
                <w:sz w:val="21"/>
              </w:rPr>
            </w:pPr>
          </w:p>
        </w:tc>
        <w:tc>
          <w:tcPr>
            <w:tcW w:w="1137" w:type="dxa"/>
            <w:vMerge w:val="continue"/>
            <w:tcBorders>
              <w:top w:val="nil"/>
              <w:bottom w:val="nil"/>
            </w:tcBorders>
            <w:vAlign w:val="top"/>
          </w:tcPr>
          <w:p w14:paraId="13698A3F">
            <w:pPr>
              <w:rPr>
                <w:rFonts w:ascii="Arial"/>
                <w:sz w:val="21"/>
              </w:rPr>
            </w:pPr>
          </w:p>
        </w:tc>
        <w:tc>
          <w:tcPr>
            <w:tcW w:w="919" w:type="dxa"/>
            <w:vAlign w:val="top"/>
          </w:tcPr>
          <w:p w14:paraId="5D722AF7">
            <w:pPr>
              <w:pStyle w:val="6"/>
              <w:spacing w:before="105" w:line="188" w:lineRule="auto"/>
              <w:ind w:left="280"/>
            </w:pPr>
            <w:r>
              <w:rPr>
                <w:spacing w:val="-2"/>
              </w:rPr>
              <w:t>30.0</w:t>
            </w:r>
          </w:p>
        </w:tc>
        <w:tc>
          <w:tcPr>
            <w:tcW w:w="936" w:type="dxa"/>
            <w:vAlign w:val="top"/>
          </w:tcPr>
          <w:p w14:paraId="0137C0E7">
            <w:pPr>
              <w:pStyle w:val="6"/>
              <w:spacing w:before="105" w:line="188" w:lineRule="auto"/>
              <w:ind w:left="183"/>
            </w:pPr>
            <w:r>
              <w:rPr>
                <w:spacing w:val="-2"/>
              </w:rPr>
              <w:t>0.0240</w:t>
            </w:r>
          </w:p>
        </w:tc>
        <w:tc>
          <w:tcPr>
            <w:tcW w:w="1997" w:type="dxa"/>
            <w:vMerge w:val="continue"/>
            <w:tcBorders>
              <w:top w:val="nil"/>
              <w:bottom w:val="nil"/>
            </w:tcBorders>
            <w:vAlign w:val="top"/>
          </w:tcPr>
          <w:p w14:paraId="5FC56F1B">
            <w:pPr>
              <w:rPr>
                <w:rFonts w:ascii="Arial"/>
                <w:sz w:val="21"/>
              </w:rPr>
            </w:pPr>
          </w:p>
        </w:tc>
        <w:tc>
          <w:tcPr>
            <w:tcW w:w="568" w:type="dxa"/>
            <w:vMerge w:val="continue"/>
            <w:tcBorders>
              <w:top w:val="nil"/>
              <w:bottom w:val="nil"/>
            </w:tcBorders>
            <w:vAlign w:val="top"/>
          </w:tcPr>
          <w:p w14:paraId="4F455FFA">
            <w:pPr>
              <w:rPr>
                <w:rFonts w:ascii="Arial"/>
                <w:sz w:val="21"/>
              </w:rPr>
            </w:pPr>
          </w:p>
        </w:tc>
        <w:tc>
          <w:tcPr>
            <w:tcW w:w="712" w:type="dxa"/>
            <w:vMerge w:val="continue"/>
            <w:tcBorders>
              <w:top w:val="nil"/>
              <w:bottom w:val="nil"/>
            </w:tcBorders>
            <w:vAlign w:val="top"/>
          </w:tcPr>
          <w:p w14:paraId="0D86B4B3">
            <w:pPr>
              <w:rPr>
                <w:rFonts w:ascii="Arial"/>
                <w:sz w:val="21"/>
              </w:rPr>
            </w:pPr>
          </w:p>
        </w:tc>
        <w:tc>
          <w:tcPr>
            <w:tcW w:w="1134" w:type="dxa"/>
            <w:vMerge w:val="continue"/>
            <w:tcBorders>
              <w:top w:val="nil"/>
              <w:bottom w:val="nil"/>
            </w:tcBorders>
            <w:vAlign w:val="top"/>
          </w:tcPr>
          <w:p w14:paraId="23FE3A3B">
            <w:pPr>
              <w:rPr>
                <w:rFonts w:ascii="Arial"/>
                <w:sz w:val="21"/>
              </w:rPr>
            </w:pPr>
          </w:p>
        </w:tc>
        <w:tc>
          <w:tcPr>
            <w:tcW w:w="852" w:type="dxa"/>
            <w:vAlign w:val="top"/>
          </w:tcPr>
          <w:p w14:paraId="5F4BAB13">
            <w:pPr>
              <w:pStyle w:val="6"/>
              <w:spacing w:before="105" w:line="188" w:lineRule="auto"/>
              <w:ind w:left="250"/>
            </w:pPr>
            <w:r>
              <w:rPr>
                <w:spacing w:val="-2"/>
              </w:rPr>
              <w:t>30.0</w:t>
            </w:r>
          </w:p>
        </w:tc>
        <w:tc>
          <w:tcPr>
            <w:tcW w:w="860" w:type="dxa"/>
            <w:vAlign w:val="top"/>
          </w:tcPr>
          <w:p w14:paraId="3B3A84FE">
            <w:pPr>
              <w:pStyle w:val="6"/>
              <w:spacing w:before="105" w:line="188" w:lineRule="auto"/>
              <w:ind w:left="148"/>
            </w:pPr>
            <w:r>
              <w:rPr>
                <w:spacing w:val="-2"/>
              </w:rPr>
              <w:t>0.0240</w:t>
            </w:r>
          </w:p>
        </w:tc>
        <w:tc>
          <w:tcPr>
            <w:tcW w:w="632" w:type="dxa"/>
            <w:vAlign w:val="top"/>
          </w:tcPr>
          <w:p w14:paraId="27C53B4E">
            <w:pPr>
              <w:pStyle w:val="6"/>
              <w:spacing w:before="105" w:line="188" w:lineRule="auto"/>
              <w:ind w:left="116"/>
            </w:pPr>
            <w:r>
              <w:rPr>
                <w:spacing w:val="-4"/>
              </w:rPr>
              <w:t>8760</w:t>
            </w:r>
          </w:p>
        </w:tc>
      </w:tr>
      <w:tr w14:paraId="1B3CF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36" w:type="dxa"/>
            <w:vMerge w:val="continue"/>
            <w:tcBorders>
              <w:top w:val="nil"/>
            </w:tcBorders>
            <w:vAlign w:val="top"/>
          </w:tcPr>
          <w:p w14:paraId="11DAED2D">
            <w:pPr>
              <w:rPr>
                <w:rFonts w:ascii="Arial"/>
                <w:sz w:val="21"/>
              </w:rPr>
            </w:pPr>
          </w:p>
        </w:tc>
        <w:tc>
          <w:tcPr>
            <w:tcW w:w="776" w:type="dxa"/>
            <w:vMerge w:val="continue"/>
            <w:tcBorders>
              <w:top w:val="nil"/>
            </w:tcBorders>
            <w:vAlign w:val="top"/>
          </w:tcPr>
          <w:p w14:paraId="397A6B42">
            <w:pPr>
              <w:rPr>
                <w:rFonts w:ascii="Arial"/>
                <w:sz w:val="21"/>
              </w:rPr>
            </w:pPr>
          </w:p>
        </w:tc>
        <w:tc>
          <w:tcPr>
            <w:tcW w:w="1093" w:type="dxa"/>
            <w:vMerge w:val="continue"/>
            <w:tcBorders>
              <w:top w:val="nil"/>
            </w:tcBorders>
            <w:vAlign w:val="top"/>
          </w:tcPr>
          <w:p w14:paraId="0886D7A2">
            <w:pPr>
              <w:rPr>
                <w:rFonts w:ascii="Arial"/>
                <w:sz w:val="21"/>
              </w:rPr>
            </w:pPr>
          </w:p>
        </w:tc>
        <w:tc>
          <w:tcPr>
            <w:tcW w:w="753" w:type="dxa"/>
            <w:vAlign w:val="top"/>
          </w:tcPr>
          <w:p w14:paraId="7A44EC1B">
            <w:pPr>
              <w:spacing w:before="68" w:line="221" w:lineRule="auto"/>
              <w:ind w:left="171"/>
              <w:rPr>
                <w:rFonts w:ascii="宋体" w:hAnsi="宋体" w:eastAsia="宋体" w:cs="宋体"/>
                <w:sz w:val="21"/>
                <w:szCs w:val="21"/>
              </w:rPr>
            </w:pPr>
            <w:r>
              <w:rPr>
                <w:rFonts w:ascii="宋体" w:hAnsi="宋体" w:eastAsia="宋体" w:cs="宋体"/>
                <w:spacing w:val="-3"/>
                <w:sz w:val="21"/>
                <w:szCs w:val="21"/>
              </w:rPr>
              <w:t>烟尘</w:t>
            </w:r>
          </w:p>
        </w:tc>
        <w:tc>
          <w:tcPr>
            <w:tcW w:w="709" w:type="dxa"/>
            <w:vMerge w:val="continue"/>
            <w:tcBorders>
              <w:top w:val="nil"/>
            </w:tcBorders>
            <w:vAlign w:val="top"/>
          </w:tcPr>
          <w:p w14:paraId="0B1F72F0">
            <w:pPr>
              <w:rPr>
                <w:rFonts w:ascii="Arial"/>
                <w:sz w:val="21"/>
              </w:rPr>
            </w:pPr>
          </w:p>
        </w:tc>
        <w:tc>
          <w:tcPr>
            <w:tcW w:w="1137" w:type="dxa"/>
            <w:vMerge w:val="continue"/>
            <w:tcBorders>
              <w:top w:val="nil"/>
            </w:tcBorders>
            <w:vAlign w:val="top"/>
          </w:tcPr>
          <w:p w14:paraId="3793A4DE">
            <w:pPr>
              <w:rPr>
                <w:rFonts w:ascii="Arial"/>
                <w:sz w:val="21"/>
              </w:rPr>
            </w:pPr>
          </w:p>
        </w:tc>
        <w:tc>
          <w:tcPr>
            <w:tcW w:w="919" w:type="dxa"/>
            <w:vAlign w:val="top"/>
          </w:tcPr>
          <w:p w14:paraId="310F3993">
            <w:pPr>
              <w:pStyle w:val="6"/>
              <w:spacing w:before="100" w:line="192" w:lineRule="auto"/>
              <w:ind w:left="426"/>
            </w:pPr>
            <w:r>
              <w:t>/</w:t>
            </w:r>
          </w:p>
        </w:tc>
        <w:tc>
          <w:tcPr>
            <w:tcW w:w="936" w:type="dxa"/>
            <w:vAlign w:val="top"/>
          </w:tcPr>
          <w:p w14:paraId="59C49219">
            <w:pPr>
              <w:pStyle w:val="6"/>
              <w:spacing w:before="100" w:line="192" w:lineRule="auto"/>
              <w:ind w:left="435"/>
            </w:pPr>
            <w:r>
              <w:t>/</w:t>
            </w:r>
          </w:p>
        </w:tc>
        <w:tc>
          <w:tcPr>
            <w:tcW w:w="1997" w:type="dxa"/>
            <w:vMerge w:val="continue"/>
            <w:tcBorders>
              <w:top w:val="nil"/>
            </w:tcBorders>
            <w:vAlign w:val="top"/>
          </w:tcPr>
          <w:p w14:paraId="0126C7E7">
            <w:pPr>
              <w:rPr>
                <w:rFonts w:ascii="Arial"/>
                <w:sz w:val="21"/>
              </w:rPr>
            </w:pPr>
          </w:p>
        </w:tc>
        <w:tc>
          <w:tcPr>
            <w:tcW w:w="568" w:type="dxa"/>
            <w:vMerge w:val="continue"/>
            <w:tcBorders>
              <w:top w:val="nil"/>
            </w:tcBorders>
            <w:vAlign w:val="top"/>
          </w:tcPr>
          <w:p w14:paraId="71168743">
            <w:pPr>
              <w:rPr>
                <w:rFonts w:ascii="Arial"/>
                <w:sz w:val="21"/>
              </w:rPr>
            </w:pPr>
          </w:p>
        </w:tc>
        <w:tc>
          <w:tcPr>
            <w:tcW w:w="712" w:type="dxa"/>
            <w:vMerge w:val="continue"/>
            <w:tcBorders>
              <w:top w:val="nil"/>
            </w:tcBorders>
            <w:vAlign w:val="top"/>
          </w:tcPr>
          <w:p w14:paraId="6F94A5FF">
            <w:pPr>
              <w:rPr>
                <w:rFonts w:ascii="Arial"/>
                <w:sz w:val="21"/>
              </w:rPr>
            </w:pPr>
          </w:p>
        </w:tc>
        <w:tc>
          <w:tcPr>
            <w:tcW w:w="1134" w:type="dxa"/>
            <w:vMerge w:val="continue"/>
            <w:tcBorders>
              <w:top w:val="nil"/>
            </w:tcBorders>
            <w:vAlign w:val="top"/>
          </w:tcPr>
          <w:p w14:paraId="4D377C3C">
            <w:pPr>
              <w:rPr>
                <w:rFonts w:ascii="Arial"/>
                <w:sz w:val="21"/>
              </w:rPr>
            </w:pPr>
          </w:p>
        </w:tc>
        <w:tc>
          <w:tcPr>
            <w:tcW w:w="852" w:type="dxa"/>
            <w:vAlign w:val="top"/>
          </w:tcPr>
          <w:p w14:paraId="740D24D6">
            <w:pPr>
              <w:pStyle w:val="6"/>
              <w:spacing w:before="100" w:line="192" w:lineRule="auto"/>
              <w:ind w:left="396"/>
            </w:pPr>
            <w:r>
              <w:t>/</w:t>
            </w:r>
          </w:p>
        </w:tc>
        <w:tc>
          <w:tcPr>
            <w:tcW w:w="860" w:type="dxa"/>
            <w:vAlign w:val="top"/>
          </w:tcPr>
          <w:p w14:paraId="21564437">
            <w:pPr>
              <w:pStyle w:val="6"/>
              <w:spacing w:before="100" w:line="192" w:lineRule="auto"/>
              <w:ind w:left="400"/>
            </w:pPr>
            <w:r>
              <w:t>/</w:t>
            </w:r>
          </w:p>
        </w:tc>
        <w:tc>
          <w:tcPr>
            <w:tcW w:w="632" w:type="dxa"/>
            <w:vAlign w:val="top"/>
          </w:tcPr>
          <w:p w14:paraId="5984E653">
            <w:pPr>
              <w:pStyle w:val="6"/>
              <w:spacing w:before="104" w:line="188" w:lineRule="auto"/>
              <w:ind w:left="116"/>
            </w:pPr>
            <w:r>
              <w:rPr>
                <w:spacing w:val="-4"/>
              </w:rPr>
              <w:t>8760</w:t>
            </w:r>
          </w:p>
        </w:tc>
      </w:tr>
    </w:tbl>
    <w:p w14:paraId="66F0C015">
      <w:pPr>
        <w:pStyle w:val="2"/>
      </w:pPr>
    </w:p>
    <w:p w14:paraId="07AFDBC0">
      <w:pPr>
        <w:sectPr>
          <w:headerReference r:id="rId215" w:type="default"/>
          <w:footerReference r:id="rId216" w:type="default"/>
          <w:pgSz w:w="16840" w:h="11905"/>
          <w:pgMar w:top="1168" w:right="1411" w:bottom="1357" w:left="1408" w:header="828" w:footer="1191" w:gutter="0"/>
          <w:cols w:space="720" w:num="1"/>
        </w:sectPr>
      </w:pPr>
    </w:p>
    <w:p w14:paraId="340C4CDD">
      <w:pPr>
        <w:pStyle w:val="2"/>
        <w:spacing w:line="353" w:lineRule="auto"/>
      </w:pPr>
    </w:p>
    <w:p w14:paraId="425B8D94">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2.2.4.2 </w:t>
      </w:r>
      <w:r>
        <w:rPr>
          <w:rFonts w:ascii="宋体" w:hAnsi="宋体" w:eastAsia="宋体" w:cs="宋体"/>
          <w:b/>
          <w:bCs/>
          <w:spacing w:val="4"/>
          <w:sz w:val="27"/>
          <w:szCs w:val="27"/>
        </w:rPr>
        <w:t>废水污染物</w:t>
      </w:r>
    </w:p>
    <w:p w14:paraId="26A1A541">
      <w:pPr>
        <w:spacing w:before="236" w:line="360" w:lineRule="auto"/>
        <w:ind w:left="39" w:right="85" w:firstLine="480"/>
        <w:rPr>
          <w:rFonts w:ascii="宋体" w:hAnsi="宋体" w:eastAsia="宋体" w:cs="宋体"/>
          <w:sz w:val="24"/>
          <w:szCs w:val="24"/>
        </w:rPr>
      </w:pPr>
      <w:r>
        <w:rPr>
          <w:rFonts w:ascii="宋体" w:hAnsi="宋体" w:eastAsia="宋体" w:cs="宋体"/>
          <w:spacing w:val="-3"/>
          <w:sz w:val="24"/>
          <w:szCs w:val="24"/>
        </w:rPr>
        <w:t>根据水平衡分析，本项目运营期产生的废水主要包括生产废水（</w:t>
      </w:r>
      <w:r>
        <w:rPr>
          <w:rFonts w:ascii="宋体" w:hAnsi="宋体" w:eastAsia="宋体" w:cs="宋体"/>
          <w:spacing w:val="-4"/>
          <w:sz w:val="24"/>
          <w:szCs w:val="24"/>
        </w:rPr>
        <w:t>猪尿液、出</w:t>
      </w:r>
      <w:r>
        <w:rPr>
          <w:rFonts w:ascii="宋体" w:hAnsi="宋体" w:eastAsia="宋体" w:cs="宋体"/>
          <w:spacing w:val="-2"/>
          <w:sz w:val="24"/>
          <w:szCs w:val="24"/>
        </w:rPr>
        <w:t>栏猪舍冲洗废水、固液分离机的废水）、员工办公生活污水。</w:t>
      </w:r>
    </w:p>
    <w:p w14:paraId="1641F858">
      <w:pPr>
        <w:spacing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）废水污染物源强</w:t>
      </w:r>
    </w:p>
    <w:p w14:paraId="5B4B1AA3">
      <w:pPr>
        <w:spacing w:before="169" w:line="361" w:lineRule="auto"/>
        <w:ind w:left="44" w:right="97" w:firstLine="474"/>
        <w:rPr>
          <w:rFonts w:ascii="宋体" w:hAnsi="宋体" w:eastAsia="宋体" w:cs="宋体"/>
          <w:sz w:val="24"/>
          <w:szCs w:val="24"/>
        </w:rPr>
      </w:pPr>
      <w:r>
        <w:rPr>
          <w:rFonts w:ascii="宋体" w:hAnsi="宋体" w:eastAsia="宋体" w:cs="宋体"/>
          <w:spacing w:val="17"/>
          <w:sz w:val="24"/>
          <w:szCs w:val="24"/>
        </w:rPr>
        <w:t>根据水平衡分析，本项目废水产生量为</w:t>
      </w:r>
      <w:r>
        <w:rPr>
          <w:rFonts w:ascii="宋体" w:hAnsi="宋体" w:eastAsia="宋体" w:cs="宋体"/>
          <w:spacing w:val="-54"/>
          <w:sz w:val="24"/>
          <w:szCs w:val="24"/>
        </w:rPr>
        <w:t xml:space="preserve"> </w:t>
      </w:r>
      <w:r>
        <w:rPr>
          <w:rFonts w:ascii="Times New Roman" w:hAnsi="Times New Roman" w:eastAsia="Times New Roman" w:cs="Times New Roman"/>
          <w:spacing w:val="17"/>
          <w:sz w:val="24"/>
          <w:szCs w:val="24"/>
        </w:rPr>
        <w:t>85169.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7"/>
          <w:sz w:val="24"/>
          <w:szCs w:val="24"/>
        </w:rPr>
        <w:t>1m</w:t>
      </w:r>
      <w:r>
        <w:rPr>
          <w:rFonts w:ascii="Times New Roman" w:hAnsi="Times New Roman" w:eastAsia="Times New Roman" w:cs="Times New Roman"/>
          <w:spacing w:val="17"/>
          <w:position w:val="10"/>
          <w:sz w:val="15"/>
          <w:szCs w:val="15"/>
        </w:rPr>
        <w:t>3</w:t>
      </w:r>
      <w:r>
        <w:rPr>
          <w:rFonts w:ascii="Times New Roman" w:hAnsi="Times New Roman" w:eastAsia="Times New Roman" w:cs="Times New Roman"/>
          <w:spacing w:val="17"/>
          <w:sz w:val="24"/>
          <w:szCs w:val="24"/>
        </w:rPr>
        <w:t xml:space="preserve">/a </w:t>
      </w:r>
      <w:r>
        <w:rPr>
          <w:rFonts w:ascii="宋体" w:hAnsi="宋体" w:eastAsia="宋体" w:cs="宋体"/>
          <w:spacing w:val="17"/>
          <w:sz w:val="24"/>
          <w:szCs w:val="24"/>
        </w:rPr>
        <w:t>，其中养殖废</w:t>
      </w:r>
      <w:r>
        <w:rPr>
          <w:rFonts w:ascii="宋体" w:hAnsi="宋体" w:eastAsia="宋体" w:cs="宋体"/>
          <w:spacing w:val="-58"/>
          <w:sz w:val="24"/>
          <w:szCs w:val="24"/>
        </w:rPr>
        <w:t xml:space="preserve"> </w:t>
      </w:r>
      <w:r>
        <w:rPr>
          <w:rFonts w:ascii="宋体" w:hAnsi="宋体" w:eastAsia="宋体" w:cs="宋体"/>
          <w:spacing w:val="17"/>
          <w:sz w:val="24"/>
          <w:szCs w:val="24"/>
        </w:rPr>
        <w:t>水</w:t>
      </w:r>
      <w:r>
        <w:rPr>
          <w:rFonts w:ascii="Times New Roman" w:hAnsi="Times New Roman" w:eastAsia="Times New Roman" w:cs="Times New Roman"/>
          <w:spacing w:val="-2"/>
          <w:sz w:val="24"/>
          <w:szCs w:val="24"/>
        </w:rPr>
        <w:t>82749.</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2"/>
          <w:sz w:val="24"/>
          <w:szCs w:val="24"/>
        </w:rPr>
        <w:t>1m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、生活污水</w:t>
      </w:r>
      <w:r>
        <w:rPr>
          <w:rFonts w:ascii="Times New Roman" w:hAnsi="Times New Roman" w:eastAsia="Times New Roman" w:cs="Times New Roman"/>
          <w:spacing w:val="-2"/>
          <w:sz w:val="24"/>
          <w:szCs w:val="24"/>
        </w:rPr>
        <w:t>2420m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p>
    <w:p w14:paraId="4ABBE91F">
      <w:pPr>
        <w:spacing w:before="11" w:line="217" w:lineRule="auto"/>
        <w:ind w:left="520"/>
        <w:rPr>
          <w:rFonts w:ascii="宋体" w:hAnsi="宋体" w:eastAsia="宋体" w:cs="宋体"/>
          <w:sz w:val="24"/>
          <w:szCs w:val="24"/>
        </w:rPr>
      </w:pPr>
      <w:r>
        <w:rPr>
          <w:rFonts w:ascii="宋体" w:hAnsi="宋体" w:eastAsia="宋体" w:cs="宋体"/>
          <w:b/>
          <w:bCs/>
          <w:spacing w:val="-4"/>
          <w:sz w:val="24"/>
          <w:szCs w:val="24"/>
        </w:rPr>
        <w:t>①养殖废水</w:t>
      </w:r>
    </w:p>
    <w:p w14:paraId="74137E60">
      <w:pPr>
        <w:spacing w:before="185" w:line="360" w:lineRule="auto"/>
        <w:ind w:left="45" w:right="1" w:firstLine="475"/>
        <w:jc w:val="both"/>
        <w:rPr>
          <w:rFonts w:ascii="宋体" w:hAnsi="宋体" w:eastAsia="宋体" w:cs="宋体"/>
          <w:sz w:val="24"/>
          <w:szCs w:val="24"/>
        </w:rPr>
      </w:pPr>
      <w:r>
        <w:rPr>
          <w:rFonts w:ascii="宋体" w:hAnsi="宋体" w:eastAsia="宋体" w:cs="宋体"/>
          <w:spacing w:val="-4"/>
          <w:sz w:val="24"/>
          <w:szCs w:val="24"/>
        </w:rPr>
        <w:t>本项目采用“原环保部认可的清粪工艺”（同牧原食品股份有限公司清粪工</w:t>
      </w:r>
      <w:r>
        <w:rPr>
          <w:rFonts w:ascii="宋体" w:hAnsi="宋体" w:eastAsia="宋体" w:cs="宋体"/>
          <w:spacing w:val="-9"/>
          <w:sz w:val="24"/>
          <w:szCs w:val="24"/>
        </w:rPr>
        <w:t>艺，为原环保部认可具备干清粪工艺基本特征</w:t>
      </w:r>
      <w:r>
        <w:rPr>
          <w:rFonts w:ascii="宋体" w:hAnsi="宋体" w:eastAsia="宋体" w:cs="宋体"/>
          <w:spacing w:val="-61"/>
          <w:w w:val="97"/>
          <w:sz w:val="24"/>
          <w:szCs w:val="24"/>
        </w:rPr>
        <w:t>），</w:t>
      </w:r>
      <w:r>
        <w:rPr>
          <w:rFonts w:ascii="宋体" w:hAnsi="宋体" w:eastAsia="宋体" w:cs="宋体"/>
          <w:spacing w:val="-9"/>
          <w:sz w:val="24"/>
          <w:szCs w:val="24"/>
        </w:rPr>
        <w:t>废水主要污</w:t>
      </w:r>
      <w:r>
        <w:rPr>
          <w:rFonts w:ascii="宋体" w:hAnsi="宋体" w:eastAsia="宋体" w:cs="宋体"/>
          <w:spacing w:val="-10"/>
          <w:sz w:val="24"/>
          <w:szCs w:val="24"/>
        </w:rPr>
        <w:t>染物为</w:t>
      </w:r>
      <w:r>
        <w:rPr>
          <w:rFonts w:ascii="Times New Roman" w:hAnsi="Times New Roman" w:eastAsia="Times New Roman" w:cs="Times New Roman"/>
          <w:spacing w:val="-10"/>
          <w:sz w:val="24"/>
          <w:szCs w:val="24"/>
        </w:rPr>
        <w:t>COD</w:t>
      </w:r>
      <w:r>
        <w:rPr>
          <w:rFonts w:ascii="宋体" w:hAnsi="宋体" w:eastAsia="宋体" w:cs="宋体"/>
          <w:spacing w:val="-10"/>
          <w:sz w:val="24"/>
          <w:szCs w:val="24"/>
        </w:rPr>
        <w:t>、</w:t>
      </w:r>
      <w:r>
        <w:rPr>
          <w:rFonts w:ascii="Times New Roman" w:hAnsi="Times New Roman" w:eastAsia="Times New Roman" w:cs="Times New Roman"/>
          <w:spacing w:val="-10"/>
          <w:sz w:val="24"/>
          <w:szCs w:val="24"/>
        </w:rPr>
        <w:t>NH</w:t>
      </w:r>
      <w:r>
        <w:rPr>
          <w:rFonts w:ascii="Times New Roman" w:hAnsi="Times New Roman" w:eastAsia="Times New Roman" w:cs="Times New Roman"/>
          <w:spacing w:val="-10"/>
          <w:position w:val="-2"/>
          <w:sz w:val="15"/>
          <w:szCs w:val="15"/>
        </w:rPr>
        <w:t>3</w:t>
      </w:r>
      <w:r>
        <w:rPr>
          <w:rFonts w:ascii="Times New Roman" w:hAnsi="Times New Roman" w:eastAsia="Times New Roman" w:cs="Times New Roman"/>
          <w:spacing w:val="-10"/>
          <w:sz w:val="24"/>
          <w:szCs w:val="24"/>
        </w:rPr>
        <w:t>-N</w:t>
      </w:r>
      <w:r>
        <w:rPr>
          <w:rFonts w:ascii="宋体" w:hAnsi="宋体" w:eastAsia="宋体" w:cs="宋体"/>
          <w:spacing w:val="-10"/>
          <w:sz w:val="24"/>
          <w:szCs w:val="24"/>
        </w:rPr>
        <w:t>、</w:t>
      </w:r>
      <w:r>
        <w:rPr>
          <w:rFonts w:ascii="宋体" w:hAnsi="宋体" w:eastAsia="宋体" w:cs="宋体"/>
          <w:spacing w:val="4"/>
          <w:sz w:val="24"/>
          <w:szCs w:val="24"/>
        </w:rPr>
        <w:t xml:space="preserve"> </w:t>
      </w:r>
      <w:r>
        <w:rPr>
          <w:rFonts w:ascii="Times New Roman" w:hAnsi="Times New Roman" w:eastAsia="Times New Roman" w:cs="Times New Roman"/>
          <w:spacing w:val="-9"/>
          <w:sz w:val="24"/>
          <w:szCs w:val="24"/>
        </w:rPr>
        <w:t>SS</w:t>
      </w:r>
      <w:r>
        <w:rPr>
          <w:rFonts w:ascii="Times New Roman" w:hAnsi="Times New Roman" w:eastAsia="Times New Roman" w:cs="Times New Roman"/>
          <w:spacing w:val="-31"/>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TP</w:t>
      </w:r>
      <w:r>
        <w:rPr>
          <w:rFonts w:ascii="宋体" w:hAnsi="宋体" w:eastAsia="宋体" w:cs="宋体"/>
          <w:spacing w:val="-9"/>
          <w:sz w:val="24"/>
          <w:szCs w:val="24"/>
        </w:rPr>
        <w:t>等。</w:t>
      </w:r>
    </w:p>
    <w:p w14:paraId="755131AF">
      <w:pPr>
        <w:spacing w:line="358" w:lineRule="auto"/>
        <w:ind w:left="27" w:right="1" w:firstLine="492"/>
        <w:jc w:val="both"/>
        <w:rPr>
          <w:rFonts w:ascii="宋体" w:hAnsi="宋体" w:eastAsia="宋体" w:cs="宋体"/>
          <w:sz w:val="24"/>
          <w:szCs w:val="24"/>
        </w:rPr>
      </w:pPr>
      <w:r>
        <w:rPr>
          <w:rFonts w:ascii="宋体" w:hAnsi="宋体" w:eastAsia="宋体" w:cs="宋体"/>
          <w:spacing w:val="-3"/>
          <w:sz w:val="24"/>
          <w:szCs w:val="24"/>
        </w:rPr>
        <w:t>根据查阅牧原食品股份有限公司近年在全国建设的养殖场环评报</w:t>
      </w:r>
      <w:r>
        <w:rPr>
          <w:rFonts w:ascii="宋体" w:hAnsi="宋体" w:eastAsia="宋体" w:cs="宋体"/>
          <w:spacing w:val="-4"/>
          <w:sz w:val="24"/>
          <w:szCs w:val="24"/>
        </w:rPr>
        <w:t>告书，其养</w:t>
      </w:r>
      <w:r>
        <w:rPr>
          <w:rFonts w:ascii="宋体" w:hAnsi="宋体" w:eastAsia="宋体" w:cs="宋体"/>
          <w:spacing w:val="2"/>
          <w:sz w:val="24"/>
          <w:szCs w:val="24"/>
        </w:rPr>
        <w:t>殖废水污染物浓度取值有一定波动（例如</w:t>
      </w:r>
      <w:r>
        <w:rPr>
          <w:rFonts w:ascii="Times New Roman" w:hAnsi="Times New Roman" w:eastAsia="Times New Roman" w:cs="Times New Roman"/>
          <w:sz w:val="24"/>
          <w:szCs w:val="24"/>
        </w:rPr>
        <w:t>COD</w:t>
      </w:r>
      <w:r>
        <w:rPr>
          <w:rFonts w:ascii="宋体" w:hAnsi="宋体" w:eastAsia="宋体" w:cs="宋体"/>
          <w:spacing w:val="2"/>
          <w:sz w:val="24"/>
          <w:szCs w:val="24"/>
        </w:rPr>
        <w:t>浓度从</w:t>
      </w:r>
      <w:r>
        <w:rPr>
          <w:rFonts w:ascii="Times New Roman" w:hAnsi="Times New Roman" w:eastAsia="Times New Roman" w:cs="Times New Roman"/>
          <w:spacing w:val="2"/>
          <w:sz w:val="24"/>
          <w:szCs w:val="24"/>
        </w:rPr>
        <w:t>800</w:t>
      </w:r>
      <w:r>
        <w:rPr>
          <w:rFonts w:ascii="Times New Roman" w:hAnsi="Times New Roman" w:eastAsia="Times New Roman" w:cs="Times New Roman"/>
          <w:spacing w:val="1"/>
          <w:sz w:val="24"/>
          <w:szCs w:val="24"/>
        </w:rPr>
        <w:t>0~28000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宋体" w:hAnsi="宋体" w:eastAsia="宋体" w:cs="宋体"/>
          <w:sz w:val="24"/>
          <w:szCs w:val="24"/>
        </w:rPr>
        <w:t>），</w:t>
      </w:r>
      <w:r>
        <w:rPr>
          <w:rFonts w:ascii="宋体" w:hAnsi="宋体" w:eastAsia="宋体" w:cs="宋体"/>
          <w:spacing w:val="1"/>
          <w:sz w:val="24"/>
          <w:szCs w:val="24"/>
        </w:rPr>
        <w:t>但大</w:t>
      </w:r>
      <w:r>
        <w:rPr>
          <w:rFonts w:ascii="宋体" w:hAnsi="宋体" w:eastAsia="宋体" w:cs="宋体"/>
          <w:spacing w:val="-5"/>
          <w:sz w:val="24"/>
          <w:szCs w:val="24"/>
        </w:rPr>
        <w:t>多数项目采用的养殖废水污染物浓度取值为：</w:t>
      </w:r>
      <w:r>
        <w:rPr>
          <w:rFonts w:ascii="Times New Roman" w:hAnsi="Times New Roman" w:eastAsia="Times New Roman" w:cs="Times New Roman"/>
          <w:spacing w:val="-5"/>
          <w:sz w:val="24"/>
          <w:szCs w:val="24"/>
        </w:rPr>
        <w:t>COD</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5"/>
          <w:sz w:val="24"/>
          <w:szCs w:val="24"/>
        </w:rPr>
        <w:t>19500</w:t>
      </w:r>
      <w:r>
        <w:rPr>
          <w:rFonts w:ascii="Times New Roman" w:hAnsi="Times New Roman" w:eastAsia="Times New Roman" w:cs="Times New Roman"/>
          <w:spacing w:val="-6"/>
          <w:sz w:val="24"/>
          <w:szCs w:val="24"/>
        </w:rPr>
        <w:t>mg/L</w:t>
      </w:r>
      <w:r>
        <w:rPr>
          <w:rFonts w:ascii="宋体" w:hAnsi="宋体" w:eastAsia="宋体" w:cs="宋体"/>
          <w:spacing w:val="-6"/>
          <w:sz w:val="24"/>
          <w:szCs w:val="24"/>
        </w:rPr>
        <w:t>、</w:t>
      </w:r>
      <w:r>
        <w:rPr>
          <w:rFonts w:ascii="Times New Roman" w:hAnsi="Times New Roman" w:eastAsia="Times New Roman" w:cs="Times New Roman"/>
          <w:spacing w:val="-6"/>
          <w:sz w:val="24"/>
          <w:szCs w:val="24"/>
        </w:rPr>
        <w:t>BOD</w:t>
      </w:r>
      <w:r>
        <w:rPr>
          <w:rFonts w:ascii="Times New Roman" w:hAnsi="Times New Roman" w:eastAsia="Times New Roman" w:cs="Times New Roman"/>
          <w:spacing w:val="-6"/>
          <w:position w:val="-2"/>
          <w:sz w:val="15"/>
          <w:szCs w:val="15"/>
        </w:rPr>
        <w:t xml:space="preserve">5  </w:t>
      </w:r>
      <w:r>
        <w:rPr>
          <w:rFonts w:ascii="Times New Roman" w:hAnsi="Times New Roman" w:eastAsia="Times New Roman" w:cs="Times New Roman"/>
          <w:spacing w:val="-6"/>
          <w:sz w:val="24"/>
          <w:szCs w:val="24"/>
        </w:rPr>
        <w:t>8000mg/L</w:t>
      </w:r>
      <w:r>
        <w:rPr>
          <w:rFonts w:ascii="宋体" w:hAnsi="宋体" w:eastAsia="宋体" w:cs="宋体"/>
          <w:spacing w:val="-6"/>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6"/>
          <w:position w:val="-2"/>
          <w:sz w:val="15"/>
          <w:szCs w:val="15"/>
        </w:rPr>
        <w:t>3</w:t>
      </w:r>
      <w:r>
        <w:rPr>
          <w:rFonts w:ascii="Times New Roman" w:hAnsi="Times New Roman" w:eastAsia="Times New Roman" w:cs="Times New Roman"/>
          <w:spacing w:val="6"/>
          <w:sz w:val="24"/>
          <w:szCs w:val="24"/>
        </w:rPr>
        <w:t>-N</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6"/>
          <w:sz w:val="24"/>
          <w:szCs w:val="24"/>
        </w:rPr>
        <w:t>1200</w:t>
      </w:r>
      <w:r>
        <w:rPr>
          <w:rFonts w:ascii="Times New Roman" w:hAnsi="Times New Roman" w:eastAsia="Times New Roman" w:cs="Times New Roman"/>
          <w:sz w:val="24"/>
          <w:szCs w:val="24"/>
        </w:rPr>
        <w:t>mg</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z w:val="24"/>
          <w:szCs w:val="24"/>
        </w:rPr>
        <w:t>TP</w:t>
      </w:r>
      <w:r>
        <w:rPr>
          <w:rFonts w:ascii="Times New Roman" w:hAnsi="Times New Roman" w:eastAsia="Times New Roman" w:cs="Times New Roman"/>
          <w:spacing w:val="6"/>
          <w:sz w:val="24"/>
          <w:szCs w:val="24"/>
        </w:rPr>
        <w:t xml:space="preserve">  50</w:t>
      </w:r>
      <w:r>
        <w:rPr>
          <w:rFonts w:ascii="Times New Roman" w:hAnsi="Times New Roman" w:eastAsia="Times New Roman" w:cs="Times New Roman"/>
          <w:sz w:val="24"/>
          <w:szCs w:val="24"/>
        </w:rPr>
        <w:t>mg</w:t>
      </w:r>
      <w:r>
        <w:rPr>
          <w:rFonts w:ascii="Times New Roman" w:hAnsi="Times New Roman" w:eastAsia="Times New Roman" w:cs="Times New Roman"/>
          <w:spacing w:val="6"/>
          <w:sz w:val="24"/>
          <w:szCs w:val="24"/>
        </w:rPr>
        <w:t>/L</w:t>
      </w:r>
      <w:r>
        <w:rPr>
          <w:rFonts w:ascii="宋体" w:hAnsi="宋体" w:eastAsia="宋体" w:cs="宋体"/>
          <w:spacing w:val="6"/>
          <w:sz w:val="24"/>
          <w:szCs w:val="24"/>
        </w:rPr>
        <w:t>，对照《畜禽养殖业污染治理工程技术规范》</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497-2009</w:t>
      </w:r>
      <w:r>
        <w:rPr>
          <w:rFonts w:ascii="宋体" w:hAnsi="宋体" w:eastAsia="宋体" w:cs="宋体"/>
          <w:spacing w:val="1"/>
          <w:sz w:val="24"/>
          <w:szCs w:val="24"/>
        </w:rPr>
        <w:t>）表</w:t>
      </w:r>
      <w:r>
        <w:rPr>
          <w:rFonts w:ascii="Times New Roman" w:hAnsi="Times New Roman" w:eastAsia="Times New Roman" w:cs="Times New Roman"/>
          <w:spacing w:val="1"/>
          <w:sz w:val="24"/>
          <w:szCs w:val="24"/>
        </w:rPr>
        <w:t>A.1</w:t>
      </w:r>
      <w:r>
        <w:rPr>
          <w:rFonts w:ascii="宋体" w:hAnsi="宋体" w:eastAsia="宋体" w:cs="宋体"/>
          <w:spacing w:val="1"/>
          <w:sz w:val="24"/>
          <w:szCs w:val="24"/>
        </w:rPr>
        <w:t>，发现牧原食品股份有限公司建设项目所采取的污</w:t>
      </w:r>
      <w:r>
        <w:rPr>
          <w:rFonts w:ascii="宋体" w:hAnsi="宋体" w:eastAsia="宋体" w:cs="宋体"/>
          <w:sz w:val="24"/>
          <w:szCs w:val="24"/>
        </w:rPr>
        <w:t>染物浓</w:t>
      </w:r>
      <w:r>
        <w:rPr>
          <w:rFonts w:ascii="宋体" w:hAnsi="宋体" w:eastAsia="宋体" w:cs="宋体"/>
          <w:spacing w:val="-3"/>
          <w:sz w:val="24"/>
          <w:szCs w:val="24"/>
        </w:rPr>
        <w:t>度介于水冲粪浓度值范围内。</w:t>
      </w:r>
    </w:p>
    <w:p w14:paraId="70C5D43C">
      <w:pPr>
        <w:spacing w:before="14" w:line="359" w:lineRule="auto"/>
        <w:ind w:left="40" w:right="85" w:firstLine="502"/>
        <w:jc w:val="both"/>
        <w:rPr>
          <w:rFonts w:ascii="宋体" w:hAnsi="宋体" w:eastAsia="宋体" w:cs="宋体"/>
          <w:sz w:val="24"/>
          <w:szCs w:val="24"/>
        </w:rPr>
      </w:pPr>
      <w:r>
        <w:rPr>
          <w:rFonts w:ascii="宋体" w:hAnsi="宋体" w:eastAsia="宋体" w:cs="宋体"/>
          <w:spacing w:val="-4"/>
          <w:sz w:val="24"/>
          <w:szCs w:val="24"/>
        </w:rPr>
        <w:t>同时，建设单位所在集团遂宁育肥猪养殖场曾对污水处理站收集池废水进行</w:t>
      </w:r>
      <w:r>
        <w:rPr>
          <w:rFonts w:ascii="宋体" w:hAnsi="宋体" w:eastAsia="宋体" w:cs="宋体"/>
          <w:spacing w:val="-1"/>
          <w:sz w:val="24"/>
          <w:szCs w:val="24"/>
        </w:rPr>
        <w:t>了监测，监测浓度：</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35"/>
          <w:w w:val="101"/>
          <w:sz w:val="24"/>
          <w:szCs w:val="24"/>
        </w:rPr>
        <w:t xml:space="preserve"> </w:t>
      </w:r>
      <w:r>
        <w:rPr>
          <w:rFonts w:ascii="Times New Roman" w:hAnsi="Times New Roman" w:eastAsia="Times New Roman" w:cs="Times New Roman"/>
          <w:spacing w:val="-1"/>
          <w:sz w:val="24"/>
          <w:szCs w:val="24"/>
        </w:rPr>
        <w:t>20700~31000mg/L</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41"/>
          <w:w w:val="101"/>
          <w:sz w:val="24"/>
          <w:szCs w:val="24"/>
        </w:rPr>
        <w:t xml:space="preserve"> </w:t>
      </w:r>
      <w:r>
        <w:rPr>
          <w:rFonts w:ascii="Times New Roman" w:hAnsi="Times New Roman" w:eastAsia="Times New Roman" w:cs="Times New Roman"/>
          <w:spacing w:val="-1"/>
          <w:sz w:val="24"/>
          <w:szCs w:val="24"/>
        </w:rPr>
        <w:t>538~1</w:t>
      </w:r>
      <w:r>
        <w:rPr>
          <w:rFonts w:ascii="Times New Roman" w:hAnsi="Times New Roman" w:eastAsia="Times New Roman" w:cs="Times New Roman"/>
          <w:spacing w:val="-2"/>
          <w:sz w:val="24"/>
          <w:szCs w:val="24"/>
        </w:rPr>
        <w:t>070mg/L</w:t>
      </w:r>
      <w:r>
        <w:rPr>
          <w:rFonts w:ascii="宋体" w:hAnsi="宋体" w:eastAsia="宋体" w:cs="宋体"/>
          <w:spacing w:val="-2"/>
          <w:sz w:val="24"/>
          <w:szCs w:val="24"/>
        </w:rPr>
        <w:t>，集团内养</w:t>
      </w:r>
      <w:r>
        <w:rPr>
          <w:rFonts w:ascii="宋体" w:hAnsi="宋体" w:eastAsia="宋体" w:cs="宋体"/>
          <w:sz w:val="24"/>
          <w:szCs w:val="24"/>
        </w:rPr>
        <w:t>殖场所采取的清粪工艺均一致，该养猪场清粪时间在</w:t>
      </w:r>
      <w:r>
        <w:rPr>
          <w:rFonts w:ascii="Times New Roman" w:hAnsi="Times New Roman" w:eastAsia="Times New Roman" w:cs="Times New Roman"/>
          <w:sz w:val="24"/>
          <w:szCs w:val="24"/>
        </w:rPr>
        <w:t>10~15</w:t>
      </w:r>
      <w:r>
        <w:rPr>
          <w:rFonts w:ascii="宋体" w:hAnsi="宋体" w:eastAsia="宋体" w:cs="宋体"/>
          <w:sz w:val="24"/>
          <w:szCs w:val="24"/>
        </w:rPr>
        <w:t>天。本项目为育肥猪</w:t>
      </w:r>
      <w:r>
        <w:rPr>
          <w:rFonts w:ascii="宋体" w:hAnsi="宋体" w:eastAsia="宋体" w:cs="宋体"/>
          <w:spacing w:val="-1"/>
          <w:sz w:val="24"/>
          <w:szCs w:val="24"/>
        </w:rPr>
        <w:t>养殖场，具有类比性，本项目清粪时间在</w:t>
      </w:r>
      <w:r>
        <w:rPr>
          <w:rFonts w:ascii="Times New Roman" w:hAnsi="Times New Roman" w:eastAsia="Times New Roman" w:cs="Times New Roman"/>
          <w:spacing w:val="-1"/>
          <w:sz w:val="24"/>
          <w:szCs w:val="24"/>
        </w:rPr>
        <w:t>5~7</w:t>
      </w:r>
      <w:r>
        <w:rPr>
          <w:rFonts w:ascii="宋体" w:hAnsi="宋体" w:eastAsia="宋体" w:cs="宋体"/>
          <w:spacing w:val="-1"/>
          <w:sz w:val="24"/>
          <w:szCs w:val="24"/>
        </w:rPr>
        <w:t>天，产污浓</w:t>
      </w:r>
      <w:r>
        <w:rPr>
          <w:rFonts w:ascii="宋体" w:hAnsi="宋体" w:eastAsia="宋体" w:cs="宋体"/>
          <w:spacing w:val="-2"/>
          <w:sz w:val="24"/>
          <w:szCs w:val="24"/>
        </w:rPr>
        <w:t>度较该养殖场要低。</w:t>
      </w:r>
    </w:p>
    <w:p w14:paraId="03A47FD2">
      <w:pPr>
        <w:spacing w:before="8" w:line="356" w:lineRule="auto"/>
        <w:ind w:left="34" w:firstLine="488"/>
        <w:jc w:val="both"/>
        <w:rPr>
          <w:rFonts w:ascii="宋体" w:hAnsi="宋体" w:eastAsia="宋体" w:cs="宋体"/>
          <w:sz w:val="24"/>
          <w:szCs w:val="24"/>
        </w:rPr>
      </w:pPr>
      <w:r>
        <w:rPr>
          <w:rFonts w:ascii="宋体" w:hAnsi="宋体" w:eastAsia="宋体" w:cs="宋体"/>
          <w:spacing w:val="-4"/>
          <w:sz w:val="24"/>
          <w:szCs w:val="24"/>
        </w:rPr>
        <w:t>综合上述两点内容，本评价养殖废水污染物参照《畜禽养殖业污染治理工程</w:t>
      </w:r>
      <w:r>
        <w:rPr>
          <w:rFonts w:ascii="宋体" w:hAnsi="宋体" w:eastAsia="宋体" w:cs="宋体"/>
          <w:spacing w:val="-12"/>
          <w:sz w:val="24"/>
          <w:szCs w:val="24"/>
        </w:rPr>
        <w:t>技术规范》（</w:t>
      </w:r>
      <w:r>
        <w:rPr>
          <w:rFonts w:ascii="Times New Roman" w:hAnsi="Times New Roman" w:eastAsia="Times New Roman" w:cs="Times New Roman"/>
          <w:spacing w:val="-12"/>
          <w:sz w:val="24"/>
          <w:szCs w:val="24"/>
        </w:rPr>
        <w:t>HJ497-2009</w:t>
      </w:r>
      <w:r>
        <w:rPr>
          <w:rFonts w:ascii="宋体" w:hAnsi="宋体" w:eastAsia="宋体" w:cs="宋体"/>
          <w:spacing w:val="-12"/>
          <w:sz w:val="24"/>
          <w:szCs w:val="24"/>
        </w:rPr>
        <w:t>）表</w:t>
      </w:r>
      <w:r>
        <w:rPr>
          <w:rFonts w:ascii="Times New Roman" w:hAnsi="Times New Roman" w:eastAsia="Times New Roman" w:cs="Times New Roman"/>
          <w:spacing w:val="-12"/>
          <w:sz w:val="24"/>
          <w:szCs w:val="24"/>
        </w:rPr>
        <w:t>A.</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2"/>
          <w:sz w:val="24"/>
          <w:szCs w:val="24"/>
        </w:rPr>
        <w:t>1</w:t>
      </w:r>
      <w:r>
        <w:rPr>
          <w:rFonts w:ascii="宋体" w:hAnsi="宋体" w:eastAsia="宋体" w:cs="宋体"/>
          <w:spacing w:val="-12"/>
          <w:sz w:val="24"/>
          <w:szCs w:val="24"/>
        </w:rPr>
        <w:t>浓</w:t>
      </w:r>
      <w:r>
        <w:rPr>
          <w:rFonts w:ascii="宋体" w:hAnsi="宋体" w:eastAsia="宋体" w:cs="宋体"/>
          <w:spacing w:val="-13"/>
          <w:sz w:val="24"/>
          <w:szCs w:val="24"/>
        </w:rPr>
        <w:t>度值，即污染物浓度平均值为：</w:t>
      </w:r>
      <w:r>
        <w:rPr>
          <w:rFonts w:ascii="Times New Roman" w:hAnsi="Times New Roman" w:eastAsia="Times New Roman" w:cs="Times New Roman"/>
          <w:spacing w:val="-13"/>
          <w:sz w:val="24"/>
          <w:szCs w:val="24"/>
        </w:rPr>
        <w:t>COD 21600mg/L</w:t>
      </w:r>
      <w:r>
        <w:rPr>
          <w:rFonts w:ascii="宋体" w:hAnsi="宋体" w:eastAsia="宋体" w:cs="宋体"/>
          <w:spacing w:val="-13"/>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2"/>
          <w:sz w:val="15"/>
          <w:szCs w:val="15"/>
        </w:rPr>
        <w:t xml:space="preserve">5  </w:t>
      </w:r>
      <w:r>
        <w:rPr>
          <w:rFonts w:ascii="Times New Roman" w:hAnsi="Times New Roman" w:eastAsia="Times New Roman" w:cs="Times New Roman"/>
          <w:spacing w:val="-2"/>
          <w:sz w:val="24"/>
          <w:szCs w:val="24"/>
        </w:rPr>
        <w:t>8000mg/L</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2"/>
          <w:sz w:val="24"/>
          <w:szCs w:val="24"/>
        </w:rPr>
        <w:t>-N 590mg/L</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TP</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3"/>
          <w:sz w:val="24"/>
          <w:szCs w:val="24"/>
        </w:rPr>
        <w:t>127mg/L</w:t>
      </w:r>
      <w:r>
        <w:rPr>
          <w:rFonts w:ascii="宋体" w:hAnsi="宋体" w:eastAsia="宋体" w:cs="宋体"/>
          <w:spacing w:val="-3"/>
          <w:sz w:val="24"/>
          <w:szCs w:val="24"/>
        </w:rPr>
        <w:t>。</w:t>
      </w:r>
    </w:p>
    <w:p w14:paraId="67C9AE6C">
      <w:pPr>
        <w:spacing w:before="14" w:line="217" w:lineRule="auto"/>
        <w:ind w:left="519"/>
        <w:rPr>
          <w:rFonts w:ascii="宋体" w:hAnsi="宋体" w:eastAsia="宋体" w:cs="宋体"/>
          <w:sz w:val="24"/>
          <w:szCs w:val="24"/>
        </w:rPr>
      </w:pPr>
      <w:r>
        <w:rPr>
          <w:rFonts w:ascii="宋体" w:hAnsi="宋体" w:eastAsia="宋体" w:cs="宋体"/>
          <w:b/>
          <w:bCs/>
          <w:spacing w:val="-3"/>
          <w:sz w:val="24"/>
          <w:szCs w:val="24"/>
        </w:rPr>
        <w:t>②生活污水</w:t>
      </w:r>
    </w:p>
    <w:p w14:paraId="3C196970">
      <w:pPr>
        <w:spacing w:before="188" w:line="356" w:lineRule="auto"/>
        <w:ind w:left="35" w:right="98" w:firstLine="486"/>
        <w:rPr>
          <w:rFonts w:ascii="宋体" w:hAnsi="宋体" w:eastAsia="宋体" w:cs="宋体"/>
          <w:sz w:val="24"/>
          <w:szCs w:val="24"/>
        </w:rPr>
      </w:pPr>
      <w:r>
        <w:rPr>
          <w:rFonts w:ascii="宋体" w:hAnsi="宋体" w:eastAsia="宋体" w:cs="宋体"/>
          <w:spacing w:val="-3"/>
          <w:sz w:val="24"/>
          <w:szCs w:val="24"/>
        </w:rPr>
        <w:t>生活污水的主要污染物为</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2"/>
          <w:sz w:val="15"/>
          <w:szCs w:val="15"/>
        </w:rPr>
        <w:t>5</w:t>
      </w:r>
      <w:r>
        <w:rPr>
          <w:rFonts w:ascii="Times New Roman" w:hAnsi="Times New Roman" w:eastAsia="Times New Roman" w:cs="Times New Roman"/>
          <w:spacing w:val="-10"/>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4"/>
          <w:position w:val="-2"/>
          <w:sz w:val="15"/>
          <w:szCs w:val="15"/>
        </w:rPr>
        <w:t>3</w:t>
      </w:r>
      <w:r>
        <w:rPr>
          <w:rFonts w:ascii="Times New Roman" w:hAnsi="Times New Roman" w:eastAsia="Times New Roman" w:cs="Times New Roman"/>
          <w:spacing w:val="-4"/>
          <w:sz w:val="24"/>
          <w:szCs w:val="24"/>
        </w:rPr>
        <w:t>-N</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SS</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TP</w:t>
      </w:r>
      <w:r>
        <w:rPr>
          <w:rFonts w:ascii="宋体" w:hAnsi="宋体" w:eastAsia="宋体" w:cs="宋体"/>
          <w:spacing w:val="-4"/>
          <w:sz w:val="24"/>
          <w:szCs w:val="24"/>
        </w:rPr>
        <w:t>，类比常见生活污</w:t>
      </w:r>
      <w:r>
        <w:rPr>
          <w:rFonts w:ascii="宋体" w:hAnsi="宋体" w:eastAsia="宋体" w:cs="宋体"/>
          <w:sz w:val="24"/>
          <w:szCs w:val="24"/>
        </w:rPr>
        <w:t>水的水质情况，其污染物浓度分别为</w:t>
      </w:r>
      <w:r>
        <w:rPr>
          <w:rFonts w:ascii="Times New Roman" w:hAnsi="Times New Roman" w:eastAsia="Times New Roman" w:cs="Times New Roman"/>
          <w:sz w:val="24"/>
          <w:szCs w:val="24"/>
        </w:rPr>
        <w:t>350mg/L</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220mg/L</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45mg/L</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200mg/L</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20mg/L</w:t>
      </w:r>
      <w:r>
        <w:rPr>
          <w:rFonts w:ascii="宋体" w:hAnsi="宋体" w:eastAsia="宋体" w:cs="宋体"/>
          <w:spacing w:val="-1"/>
          <w:sz w:val="24"/>
          <w:szCs w:val="24"/>
        </w:rPr>
        <w:t>。</w:t>
      </w:r>
    </w:p>
    <w:p w14:paraId="0D6D281B">
      <w:pPr>
        <w:spacing w:before="13" w:line="362" w:lineRule="auto"/>
        <w:ind w:left="41" w:right="85" w:firstLine="479"/>
        <w:rPr>
          <w:rFonts w:ascii="宋体" w:hAnsi="宋体" w:eastAsia="宋体" w:cs="宋体"/>
          <w:sz w:val="24"/>
          <w:szCs w:val="24"/>
        </w:rPr>
      </w:pPr>
      <w:r>
        <w:rPr>
          <w:rFonts w:ascii="宋体" w:hAnsi="宋体" w:eastAsia="宋体" w:cs="宋体"/>
          <w:spacing w:val="-3"/>
          <w:sz w:val="24"/>
          <w:szCs w:val="24"/>
        </w:rPr>
        <w:t>本项目生活污水经化粪池收集后进入污水处理站处理；养殖废</w:t>
      </w:r>
      <w:r>
        <w:rPr>
          <w:rFonts w:ascii="宋体" w:hAnsi="宋体" w:eastAsia="宋体" w:cs="宋体"/>
          <w:spacing w:val="-4"/>
          <w:sz w:val="24"/>
          <w:szCs w:val="24"/>
        </w:rPr>
        <w:t>水经管道进入</w:t>
      </w:r>
      <w:r>
        <w:rPr>
          <w:rFonts w:ascii="宋体" w:hAnsi="宋体" w:eastAsia="宋体" w:cs="宋体"/>
          <w:spacing w:val="-3"/>
          <w:sz w:val="24"/>
          <w:szCs w:val="24"/>
        </w:rPr>
        <w:t>污水处理站粪污收集池，经固液分离机进行固液分离，分离出的液体经污水处理</w:t>
      </w:r>
    </w:p>
    <w:p w14:paraId="421088AA">
      <w:pPr>
        <w:spacing w:line="362" w:lineRule="auto"/>
        <w:rPr>
          <w:rFonts w:ascii="宋体" w:hAnsi="宋体" w:eastAsia="宋体" w:cs="宋体"/>
          <w:sz w:val="24"/>
          <w:szCs w:val="24"/>
        </w:rPr>
        <w:sectPr>
          <w:headerReference r:id="rId217" w:type="default"/>
          <w:footerReference r:id="rId218" w:type="default"/>
          <w:pgSz w:w="11905" w:h="16840"/>
          <w:pgMar w:top="1168" w:right="1712" w:bottom="1360" w:left="1770" w:header="828" w:footer="1195" w:gutter="0"/>
          <w:cols w:space="720" w:num="1"/>
        </w:sectPr>
      </w:pPr>
    </w:p>
    <w:p w14:paraId="4BB5BE8A">
      <w:pPr>
        <w:pStyle w:val="2"/>
        <w:spacing w:line="306" w:lineRule="auto"/>
      </w:pPr>
    </w:p>
    <w:p w14:paraId="08B885FA">
      <w:pPr>
        <w:spacing w:before="78" w:line="360" w:lineRule="auto"/>
        <w:ind w:left="42" w:right="359" w:hanging="2"/>
        <w:rPr>
          <w:rFonts w:ascii="宋体" w:hAnsi="宋体" w:eastAsia="宋体" w:cs="宋体"/>
          <w:sz w:val="24"/>
          <w:szCs w:val="24"/>
        </w:rPr>
      </w:pPr>
      <w:r>
        <w:rPr>
          <w:rFonts w:ascii="宋体" w:hAnsi="宋体" w:eastAsia="宋体" w:cs="宋体"/>
          <w:spacing w:val="2"/>
          <w:sz w:val="24"/>
          <w:szCs w:val="24"/>
        </w:rPr>
        <w:t>站处理达《农田灌溉水质标准》（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5084-2021</w:t>
      </w:r>
      <w:r>
        <w:rPr>
          <w:rFonts w:ascii="宋体" w:hAnsi="宋体" w:eastAsia="宋体" w:cs="宋体"/>
          <w:spacing w:val="2"/>
          <w:sz w:val="24"/>
          <w:szCs w:val="24"/>
        </w:rPr>
        <w:t>）表</w:t>
      </w:r>
      <w:r>
        <w:rPr>
          <w:rFonts w:ascii="Times New Roman" w:hAnsi="Times New Roman" w:eastAsia="Times New Roman" w:cs="Times New Roman"/>
          <w:spacing w:val="2"/>
          <w:sz w:val="24"/>
          <w:szCs w:val="24"/>
        </w:rPr>
        <w:t>1</w:t>
      </w:r>
      <w:r>
        <w:rPr>
          <w:rFonts w:ascii="宋体" w:hAnsi="宋体" w:eastAsia="宋体" w:cs="宋体"/>
          <w:spacing w:val="2"/>
          <w:sz w:val="24"/>
          <w:szCs w:val="24"/>
        </w:rPr>
        <w:t>旱地作物限值后，全部用</w:t>
      </w:r>
      <w:r>
        <w:rPr>
          <w:rFonts w:ascii="宋体" w:hAnsi="宋体" w:eastAsia="宋体" w:cs="宋体"/>
          <w:spacing w:val="-4"/>
          <w:sz w:val="24"/>
          <w:szCs w:val="24"/>
        </w:rPr>
        <w:t>于消纳地农灌，不外排。</w:t>
      </w:r>
    </w:p>
    <w:p w14:paraId="0D6B2F5E">
      <w:pPr>
        <w:spacing w:line="362" w:lineRule="auto"/>
        <w:ind w:left="38" w:right="359" w:firstLine="481"/>
        <w:rPr>
          <w:rFonts w:ascii="宋体" w:hAnsi="宋体" w:eastAsia="宋体" w:cs="宋体"/>
          <w:sz w:val="24"/>
          <w:szCs w:val="24"/>
        </w:rPr>
      </w:pPr>
      <w:r>
        <w:rPr>
          <w:rFonts w:ascii="宋体" w:hAnsi="宋体" w:eastAsia="宋体" w:cs="宋体"/>
          <w:spacing w:val="-5"/>
          <w:sz w:val="24"/>
          <w:szCs w:val="24"/>
        </w:rPr>
        <w:t>本项目养殖废水、生活污水及综合废水的污染物</w:t>
      </w:r>
      <w:r>
        <w:rPr>
          <w:rFonts w:ascii="宋体" w:hAnsi="宋体" w:eastAsia="宋体" w:cs="宋体"/>
          <w:spacing w:val="-6"/>
          <w:sz w:val="24"/>
          <w:szCs w:val="24"/>
        </w:rPr>
        <w:t>产排情况见下表，</w:t>
      </w:r>
      <w:r>
        <w:rPr>
          <w:rFonts w:ascii="宋体" w:hAnsi="宋体" w:eastAsia="宋体" w:cs="宋体"/>
          <w:spacing w:val="-48"/>
          <w:sz w:val="24"/>
          <w:szCs w:val="24"/>
        </w:rPr>
        <w:t xml:space="preserve"> </w:t>
      </w:r>
      <w:r>
        <w:rPr>
          <w:rFonts w:ascii="宋体" w:hAnsi="宋体" w:eastAsia="宋体" w:cs="宋体"/>
          <w:spacing w:val="-6"/>
          <w:sz w:val="24"/>
          <w:szCs w:val="24"/>
        </w:rPr>
        <w:t>其中综合</w:t>
      </w:r>
      <w:r>
        <w:rPr>
          <w:rFonts w:ascii="宋体" w:hAnsi="宋体" w:eastAsia="宋体" w:cs="宋体"/>
          <w:spacing w:val="-1"/>
          <w:sz w:val="24"/>
          <w:szCs w:val="24"/>
        </w:rPr>
        <w:t>废水的污染物产生浓度由养殖废水和生活污水的污染</w:t>
      </w:r>
      <w:r>
        <w:rPr>
          <w:rFonts w:ascii="宋体" w:hAnsi="宋体" w:eastAsia="宋体" w:cs="宋体"/>
          <w:spacing w:val="-2"/>
          <w:sz w:val="24"/>
          <w:szCs w:val="24"/>
        </w:rPr>
        <w:t>物浓度物理加权而得。</w:t>
      </w:r>
    </w:p>
    <w:p w14:paraId="41B3354D">
      <w:pPr>
        <w:spacing w:before="7" w:line="222" w:lineRule="auto"/>
        <w:ind w:left="229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2.2-14  </w:t>
      </w:r>
      <w:r>
        <w:rPr>
          <w:rFonts w:ascii="黑体" w:hAnsi="黑体" w:eastAsia="黑体" w:cs="黑体"/>
          <w:spacing w:val="-1"/>
          <w:sz w:val="21"/>
          <w:szCs w:val="21"/>
        </w:rPr>
        <w:t>项目废水污染物产排情况一览表</w:t>
      </w:r>
    </w:p>
    <w:p w14:paraId="7F15235A">
      <w:pPr>
        <w:spacing w:line="87" w:lineRule="exact"/>
      </w:pPr>
    </w:p>
    <w:tbl>
      <w:tblPr>
        <w:tblStyle w:val="5"/>
        <w:tblW w:w="8338"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8"/>
        <w:gridCol w:w="929"/>
        <w:gridCol w:w="1421"/>
        <w:gridCol w:w="705"/>
        <w:gridCol w:w="872"/>
        <w:gridCol w:w="872"/>
        <w:gridCol w:w="873"/>
        <w:gridCol w:w="872"/>
        <w:gridCol w:w="866"/>
      </w:tblGrid>
      <w:tr w14:paraId="1B664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28" w:type="dxa"/>
            <w:vAlign w:val="top"/>
          </w:tcPr>
          <w:p w14:paraId="5C1FFDE6">
            <w:pPr>
              <w:spacing w:before="68" w:line="220" w:lineRule="auto"/>
              <w:ind w:left="50"/>
              <w:rPr>
                <w:rFonts w:ascii="宋体" w:hAnsi="宋体" w:eastAsia="宋体" w:cs="宋体"/>
                <w:sz w:val="21"/>
                <w:szCs w:val="21"/>
              </w:rPr>
            </w:pPr>
            <w:r>
              <w:rPr>
                <w:rFonts w:ascii="宋体" w:hAnsi="宋体" w:eastAsia="宋体" w:cs="宋体"/>
                <w:spacing w:val="-2"/>
                <w:sz w:val="21"/>
                <w:szCs w:val="21"/>
              </w:rPr>
              <w:t>废水种类</w:t>
            </w:r>
          </w:p>
        </w:tc>
        <w:tc>
          <w:tcPr>
            <w:tcW w:w="929" w:type="dxa"/>
            <w:vAlign w:val="top"/>
          </w:tcPr>
          <w:p w14:paraId="7826227F">
            <w:pPr>
              <w:pStyle w:val="6"/>
              <w:spacing w:before="54" w:line="225" w:lineRule="auto"/>
              <w:ind w:left="68"/>
            </w:pPr>
            <w:r>
              <w:rPr>
                <w:rFonts w:ascii="宋体" w:hAnsi="宋体" w:eastAsia="宋体" w:cs="宋体"/>
                <w:spacing w:val="-2"/>
              </w:rPr>
              <w:t>水量</w:t>
            </w:r>
            <w:r>
              <w:rPr>
                <w:spacing w:val="-2"/>
              </w:rPr>
              <w:t>m</w:t>
            </w:r>
            <w:r>
              <w:rPr>
                <w:spacing w:val="-2"/>
                <w:position w:val="9"/>
                <w:sz w:val="14"/>
                <w:szCs w:val="14"/>
              </w:rPr>
              <w:t>3</w:t>
            </w:r>
            <w:r>
              <w:rPr>
                <w:spacing w:val="-2"/>
              </w:rPr>
              <w:t>/a</w:t>
            </w:r>
          </w:p>
        </w:tc>
        <w:tc>
          <w:tcPr>
            <w:tcW w:w="1421" w:type="dxa"/>
            <w:vAlign w:val="top"/>
          </w:tcPr>
          <w:p w14:paraId="590DDD71">
            <w:pPr>
              <w:spacing w:before="69" w:line="220" w:lineRule="auto"/>
              <w:ind w:left="508"/>
              <w:rPr>
                <w:rFonts w:ascii="宋体" w:hAnsi="宋体" w:eastAsia="宋体" w:cs="宋体"/>
                <w:sz w:val="21"/>
                <w:szCs w:val="21"/>
              </w:rPr>
            </w:pPr>
            <w:r>
              <w:rPr>
                <w:rFonts w:ascii="宋体" w:hAnsi="宋体" w:eastAsia="宋体" w:cs="宋体"/>
                <w:spacing w:val="-3"/>
                <w:sz w:val="21"/>
                <w:szCs w:val="21"/>
              </w:rPr>
              <w:t>项目</w:t>
            </w:r>
          </w:p>
        </w:tc>
        <w:tc>
          <w:tcPr>
            <w:tcW w:w="705" w:type="dxa"/>
            <w:vAlign w:val="top"/>
          </w:tcPr>
          <w:p w14:paraId="42024CC2">
            <w:pPr>
              <w:pStyle w:val="6"/>
              <w:spacing w:before="108" w:line="185" w:lineRule="auto"/>
              <w:ind w:left="221"/>
            </w:pPr>
            <w:r>
              <w:t>pH</w:t>
            </w:r>
          </w:p>
        </w:tc>
        <w:tc>
          <w:tcPr>
            <w:tcW w:w="872" w:type="dxa"/>
            <w:vAlign w:val="top"/>
          </w:tcPr>
          <w:p w14:paraId="7ADC177D">
            <w:pPr>
              <w:pStyle w:val="6"/>
              <w:spacing w:before="105" w:line="188" w:lineRule="auto"/>
              <w:ind w:left="219"/>
            </w:pPr>
            <w:r>
              <w:rPr>
                <w:spacing w:val="-2"/>
              </w:rPr>
              <w:t>COD</w:t>
            </w:r>
          </w:p>
        </w:tc>
        <w:tc>
          <w:tcPr>
            <w:tcW w:w="872" w:type="dxa"/>
            <w:vAlign w:val="top"/>
          </w:tcPr>
          <w:p w14:paraId="6A541FF5">
            <w:pPr>
              <w:pStyle w:val="6"/>
              <w:spacing w:before="105" w:line="198" w:lineRule="auto"/>
              <w:ind w:left="181"/>
              <w:rPr>
                <w:sz w:val="14"/>
                <w:szCs w:val="14"/>
              </w:rPr>
            </w:pPr>
            <w:r>
              <w:rPr>
                <w:spacing w:val="-1"/>
              </w:rPr>
              <w:t>BOD</w:t>
            </w:r>
            <w:r>
              <w:rPr>
                <w:spacing w:val="-1"/>
                <w:position w:val="-2"/>
                <w:sz w:val="14"/>
                <w:szCs w:val="14"/>
              </w:rPr>
              <w:t>5</w:t>
            </w:r>
          </w:p>
        </w:tc>
        <w:tc>
          <w:tcPr>
            <w:tcW w:w="873" w:type="dxa"/>
            <w:vAlign w:val="top"/>
          </w:tcPr>
          <w:p w14:paraId="30887514">
            <w:pPr>
              <w:pStyle w:val="6"/>
              <w:spacing w:before="108" w:line="195" w:lineRule="auto"/>
              <w:ind w:left="134"/>
            </w:pPr>
            <w:r>
              <w:t>NH</w:t>
            </w:r>
            <w:r>
              <w:rPr>
                <w:position w:val="-2"/>
                <w:sz w:val="14"/>
                <w:szCs w:val="14"/>
              </w:rPr>
              <w:t>3</w:t>
            </w:r>
            <w:r>
              <w:t>-N</w:t>
            </w:r>
          </w:p>
        </w:tc>
        <w:tc>
          <w:tcPr>
            <w:tcW w:w="872" w:type="dxa"/>
            <w:vAlign w:val="top"/>
          </w:tcPr>
          <w:p w14:paraId="07E39705">
            <w:pPr>
              <w:pStyle w:val="6"/>
              <w:spacing w:before="105" w:line="188" w:lineRule="auto"/>
              <w:ind w:left="332"/>
            </w:pPr>
            <w:r>
              <w:rPr>
                <w:spacing w:val="-4"/>
              </w:rPr>
              <w:t>SS</w:t>
            </w:r>
          </w:p>
        </w:tc>
        <w:tc>
          <w:tcPr>
            <w:tcW w:w="866" w:type="dxa"/>
            <w:vAlign w:val="top"/>
          </w:tcPr>
          <w:p w14:paraId="75E29E7C">
            <w:pPr>
              <w:pStyle w:val="6"/>
              <w:spacing w:before="108" w:line="185" w:lineRule="auto"/>
              <w:ind w:left="314"/>
            </w:pPr>
            <w:r>
              <w:rPr>
                <w:spacing w:val="-4"/>
              </w:rPr>
              <w:t>TP</w:t>
            </w:r>
          </w:p>
        </w:tc>
      </w:tr>
      <w:tr w14:paraId="0A8B6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28" w:type="dxa"/>
            <w:vMerge w:val="restart"/>
            <w:tcBorders>
              <w:bottom w:val="nil"/>
            </w:tcBorders>
            <w:vAlign w:val="top"/>
          </w:tcPr>
          <w:p w14:paraId="33D05227">
            <w:pPr>
              <w:spacing w:before="238" w:line="220" w:lineRule="auto"/>
              <w:ind w:left="52"/>
              <w:rPr>
                <w:rFonts w:ascii="宋体" w:hAnsi="宋体" w:eastAsia="宋体" w:cs="宋体"/>
                <w:sz w:val="21"/>
                <w:szCs w:val="21"/>
              </w:rPr>
            </w:pPr>
            <w:r>
              <w:rPr>
                <w:rFonts w:ascii="宋体" w:hAnsi="宋体" w:eastAsia="宋体" w:cs="宋体"/>
                <w:spacing w:val="-2"/>
                <w:sz w:val="21"/>
                <w:szCs w:val="21"/>
              </w:rPr>
              <w:t>养殖废水</w:t>
            </w:r>
          </w:p>
        </w:tc>
        <w:tc>
          <w:tcPr>
            <w:tcW w:w="929" w:type="dxa"/>
            <w:vMerge w:val="restart"/>
            <w:tcBorders>
              <w:bottom w:val="nil"/>
            </w:tcBorders>
            <w:vAlign w:val="top"/>
          </w:tcPr>
          <w:p w14:paraId="06D76C2F">
            <w:pPr>
              <w:pStyle w:val="6"/>
              <w:spacing w:before="275" w:line="188" w:lineRule="auto"/>
              <w:ind w:left="132"/>
            </w:pPr>
            <w:r>
              <w:rPr>
                <w:spacing w:val="-2"/>
              </w:rPr>
              <w:t>82749.1</w:t>
            </w:r>
          </w:p>
        </w:tc>
        <w:tc>
          <w:tcPr>
            <w:tcW w:w="1421" w:type="dxa"/>
            <w:vAlign w:val="top"/>
          </w:tcPr>
          <w:p w14:paraId="4344ACEA">
            <w:pPr>
              <w:pStyle w:val="6"/>
              <w:spacing w:before="65" w:line="212" w:lineRule="auto"/>
              <w:ind w:left="68"/>
            </w:pPr>
            <w:r>
              <w:rPr>
                <w:rFonts w:ascii="宋体" w:hAnsi="宋体" w:eastAsia="宋体" w:cs="宋体"/>
                <w:spacing w:val="-2"/>
              </w:rPr>
              <w:t>产生浓度</w:t>
            </w:r>
            <w:r>
              <w:rPr>
                <w:spacing w:val="-2"/>
              </w:rPr>
              <w:t>mg/L</w:t>
            </w:r>
          </w:p>
        </w:tc>
        <w:tc>
          <w:tcPr>
            <w:tcW w:w="705" w:type="dxa"/>
            <w:vAlign w:val="top"/>
          </w:tcPr>
          <w:p w14:paraId="1E44C371">
            <w:pPr>
              <w:pStyle w:val="6"/>
              <w:spacing w:before="101" w:line="188" w:lineRule="auto"/>
              <w:ind w:left="62"/>
            </w:pPr>
            <w:r>
              <w:rPr>
                <w:spacing w:val="-2"/>
              </w:rPr>
              <w:t>6.3-7.5</w:t>
            </w:r>
          </w:p>
        </w:tc>
        <w:tc>
          <w:tcPr>
            <w:tcW w:w="872" w:type="dxa"/>
            <w:vAlign w:val="top"/>
          </w:tcPr>
          <w:p w14:paraId="2DB7A373">
            <w:pPr>
              <w:pStyle w:val="6"/>
              <w:spacing w:before="101" w:line="188" w:lineRule="auto"/>
              <w:ind w:left="176"/>
            </w:pPr>
            <w:r>
              <w:rPr>
                <w:spacing w:val="-1"/>
              </w:rPr>
              <w:t>21600</w:t>
            </w:r>
          </w:p>
        </w:tc>
        <w:tc>
          <w:tcPr>
            <w:tcW w:w="872" w:type="dxa"/>
            <w:vAlign w:val="top"/>
          </w:tcPr>
          <w:p w14:paraId="55855CA7">
            <w:pPr>
              <w:pStyle w:val="6"/>
              <w:spacing w:before="101" w:line="188" w:lineRule="auto"/>
              <w:ind w:left="238"/>
            </w:pPr>
            <w:r>
              <w:rPr>
                <w:spacing w:val="-4"/>
              </w:rPr>
              <w:t>8000</w:t>
            </w:r>
          </w:p>
        </w:tc>
        <w:tc>
          <w:tcPr>
            <w:tcW w:w="873" w:type="dxa"/>
            <w:vAlign w:val="top"/>
          </w:tcPr>
          <w:p w14:paraId="2F0F9B69">
            <w:pPr>
              <w:pStyle w:val="6"/>
              <w:spacing w:before="101" w:line="188" w:lineRule="auto"/>
              <w:ind w:left="288"/>
            </w:pPr>
            <w:r>
              <w:rPr>
                <w:spacing w:val="-4"/>
              </w:rPr>
              <w:t>590</w:t>
            </w:r>
          </w:p>
        </w:tc>
        <w:tc>
          <w:tcPr>
            <w:tcW w:w="872" w:type="dxa"/>
            <w:vAlign w:val="top"/>
          </w:tcPr>
          <w:p w14:paraId="1610F606">
            <w:pPr>
              <w:pStyle w:val="6"/>
              <w:spacing w:before="101" w:line="188" w:lineRule="auto"/>
              <w:ind w:left="229"/>
            </w:pPr>
            <w:r>
              <w:rPr>
                <w:spacing w:val="-1"/>
              </w:rPr>
              <w:t>4000</w:t>
            </w:r>
          </w:p>
        </w:tc>
        <w:tc>
          <w:tcPr>
            <w:tcW w:w="866" w:type="dxa"/>
            <w:vAlign w:val="top"/>
          </w:tcPr>
          <w:p w14:paraId="3F075D52">
            <w:pPr>
              <w:pStyle w:val="6"/>
              <w:spacing w:before="101" w:line="188" w:lineRule="auto"/>
              <w:ind w:left="298"/>
            </w:pPr>
            <w:r>
              <w:rPr>
                <w:spacing w:val="-8"/>
              </w:rPr>
              <w:t>127</w:t>
            </w:r>
          </w:p>
        </w:tc>
      </w:tr>
      <w:tr w14:paraId="3C767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8" w:type="dxa"/>
            <w:vMerge w:val="continue"/>
            <w:tcBorders>
              <w:top w:val="nil"/>
            </w:tcBorders>
            <w:vAlign w:val="top"/>
          </w:tcPr>
          <w:p w14:paraId="431123B7">
            <w:pPr>
              <w:rPr>
                <w:rFonts w:ascii="Arial"/>
                <w:sz w:val="21"/>
              </w:rPr>
            </w:pPr>
          </w:p>
        </w:tc>
        <w:tc>
          <w:tcPr>
            <w:tcW w:w="929" w:type="dxa"/>
            <w:vMerge w:val="continue"/>
            <w:tcBorders>
              <w:top w:val="nil"/>
            </w:tcBorders>
            <w:vAlign w:val="top"/>
          </w:tcPr>
          <w:p w14:paraId="5EE47768">
            <w:pPr>
              <w:rPr>
                <w:rFonts w:ascii="Arial"/>
                <w:sz w:val="21"/>
              </w:rPr>
            </w:pPr>
          </w:p>
        </w:tc>
        <w:tc>
          <w:tcPr>
            <w:tcW w:w="1421" w:type="dxa"/>
            <w:vAlign w:val="top"/>
          </w:tcPr>
          <w:p w14:paraId="3292A5F7">
            <w:pPr>
              <w:pStyle w:val="6"/>
              <w:spacing w:before="66" w:line="220" w:lineRule="auto"/>
              <w:ind w:left="295"/>
            </w:pPr>
            <w:r>
              <w:rPr>
                <w:rFonts w:ascii="宋体" w:hAnsi="宋体" w:eastAsia="宋体" w:cs="宋体"/>
                <w:spacing w:val="-2"/>
              </w:rPr>
              <w:t>产生量</w:t>
            </w:r>
            <w:r>
              <w:rPr>
                <w:spacing w:val="-2"/>
              </w:rPr>
              <w:t>t/a</w:t>
            </w:r>
          </w:p>
        </w:tc>
        <w:tc>
          <w:tcPr>
            <w:tcW w:w="705" w:type="dxa"/>
            <w:vAlign w:val="top"/>
          </w:tcPr>
          <w:p w14:paraId="3244C08B">
            <w:pPr>
              <w:pStyle w:val="6"/>
              <w:spacing w:before="99" w:line="192" w:lineRule="auto"/>
              <w:ind w:left="322"/>
            </w:pPr>
            <w:r>
              <w:t>/</w:t>
            </w:r>
          </w:p>
        </w:tc>
        <w:tc>
          <w:tcPr>
            <w:tcW w:w="872" w:type="dxa"/>
            <w:vAlign w:val="top"/>
          </w:tcPr>
          <w:p w14:paraId="145D6EF5">
            <w:pPr>
              <w:pStyle w:val="6"/>
              <w:spacing w:before="103" w:line="188" w:lineRule="auto"/>
              <w:ind w:left="116"/>
            </w:pPr>
            <w:r>
              <w:rPr>
                <w:spacing w:val="-4"/>
              </w:rPr>
              <w:t>1787.38</w:t>
            </w:r>
          </w:p>
        </w:tc>
        <w:tc>
          <w:tcPr>
            <w:tcW w:w="872" w:type="dxa"/>
            <w:vAlign w:val="top"/>
          </w:tcPr>
          <w:p w14:paraId="7DB22DFF">
            <w:pPr>
              <w:pStyle w:val="6"/>
              <w:spacing w:before="103" w:line="188" w:lineRule="auto"/>
              <w:ind w:left="155"/>
            </w:pPr>
            <w:r>
              <w:rPr>
                <w:spacing w:val="-2"/>
              </w:rPr>
              <w:t>661.99</w:t>
            </w:r>
          </w:p>
        </w:tc>
        <w:tc>
          <w:tcPr>
            <w:tcW w:w="873" w:type="dxa"/>
            <w:vAlign w:val="top"/>
          </w:tcPr>
          <w:p w14:paraId="171F6606">
            <w:pPr>
              <w:pStyle w:val="6"/>
              <w:spacing w:before="103" w:line="188" w:lineRule="auto"/>
              <w:ind w:left="202"/>
            </w:pPr>
            <w:r>
              <w:rPr>
                <w:spacing w:val="-1"/>
              </w:rPr>
              <w:t>48.82</w:t>
            </w:r>
          </w:p>
        </w:tc>
        <w:tc>
          <w:tcPr>
            <w:tcW w:w="872" w:type="dxa"/>
            <w:vAlign w:val="top"/>
          </w:tcPr>
          <w:p w14:paraId="3A6A1079">
            <w:pPr>
              <w:pStyle w:val="6"/>
              <w:spacing w:before="103" w:line="188" w:lineRule="auto"/>
              <w:ind w:left="156"/>
            </w:pPr>
            <w:r>
              <w:rPr>
                <w:spacing w:val="-2"/>
              </w:rPr>
              <w:t>331.00</w:t>
            </w:r>
          </w:p>
        </w:tc>
        <w:tc>
          <w:tcPr>
            <w:tcW w:w="866" w:type="dxa"/>
            <w:vAlign w:val="top"/>
          </w:tcPr>
          <w:p w14:paraId="7375BFF1">
            <w:pPr>
              <w:pStyle w:val="6"/>
              <w:spacing w:before="103" w:line="188" w:lineRule="auto"/>
              <w:ind w:left="219"/>
            </w:pPr>
            <w:r>
              <w:rPr>
                <w:spacing w:val="-5"/>
              </w:rPr>
              <w:t>10.51</w:t>
            </w:r>
          </w:p>
        </w:tc>
      </w:tr>
      <w:tr w14:paraId="6EA0F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8" w:type="dxa"/>
            <w:vMerge w:val="restart"/>
            <w:tcBorders>
              <w:bottom w:val="nil"/>
            </w:tcBorders>
            <w:vAlign w:val="top"/>
          </w:tcPr>
          <w:p w14:paraId="211FABAF">
            <w:pPr>
              <w:spacing w:before="241" w:line="220" w:lineRule="auto"/>
              <w:ind w:left="52"/>
              <w:rPr>
                <w:rFonts w:ascii="宋体" w:hAnsi="宋体" w:eastAsia="宋体" w:cs="宋体"/>
                <w:sz w:val="21"/>
                <w:szCs w:val="21"/>
              </w:rPr>
            </w:pPr>
            <w:r>
              <w:rPr>
                <w:rFonts w:ascii="宋体" w:hAnsi="宋体" w:eastAsia="宋体" w:cs="宋体"/>
                <w:spacing w:val="-2"/>
                <w:sz w:val="21"/>
                <w:szCs w:val="21"/>
              </w:rPr>
              <w:t>生活污水</w:t>
            </w:r>
          </w:p>
        </w:tc>
        <w:tc>
          <w:tcPr>
            <w:tcW w:w="929" w:type="dxa"/>
            <w:vMerge w:val="restart"/>
            <w:tcBorders>
              <w:bottom w:val="nil"/>
            </w:tcBorders>
            <w:vAlign w:val="top"/>
          </w:tcPr>
          <w:p w14:paraId="389971D7">
            <w:pPr>
              <w:pStyle w:val="6"/>
              <w:spacing w:before="278" w:line="188" w:lineRule="auto"/>
              <w:ind w:left="176"/>
            </w:pPr>
            <w:r>
              <w:rPr>
                <w:spacing w:val="-1"/>
              </w:rPr>
              <w:t>2420.0</w:t>
            </w:r>
          </w:p>
        </w:tc>
        <w:tc>
          <w:tcPr>
            <w:tcW w:w="1421" w:type="dxa"/>
            <w:vAlign w:val="top"/>
          </w:tcPr>
          <w:p w14:paraId="13ED6D9C">
            <w:pPr>
              <w:pStyle w:val="6"/>
              <w:spacing w:before="67" w:line="212" w:lineRule="auto"/>
              <w:ind w:left="68"/>
            </w:pPr>
            <w:r>
              <w:rPr>
                <w:rFonts w:ascii="宋体" w:hAnsi="宋体" w:eastAsia="宋体" w:cs="宋体"/>
                <w:spacing w:val="-2"/>
              </w:rPr>
              <w:t>产生浓度</w:t>
            </w:r>
            <w:r>
              <w:rPr>
                <w:spacing w:val="-2"/>
              </w:rPr>
              <w:t>mg/L</w:t>
            </w:r>
          </w:p>
        </w:tc>
        <w:tc>
          <w:tcPr>
            <w:tcW w:w="705" w:type="dxa"/>
            <w:vAlign w:val="top"/>
          </w:tcPr>
          <w:p w14:paraId="4125D427">
            <w:pPr>
              <w:pStyle w:val="6"/>
              <w:spacing w:before="103" w:line="188" w:lineRule="auto"/>
              <w:ind w:left="220"/>
            </w:pPr>
            <w:r>
              <w:rPr>
                <w:spacing w:val="-3"/>
              </w:rPr>
              <w:t>6-9</w:t>
            </w:r>
          </w:p>
        </w:tc>
        <w:tc>
          <w:tcPr>
            <w:tcW w:w="872" w:type="dxa"/>
            <w:vAlign w:val="top"/>
          </w:tcPr>
          <w:p w14:paraId="2C59C6E7">
            <w:pPr>
              <w:pStyle w:val="6"/>
              <w:spacing w:before="103" w:line="188" w:lineRule="auto"/>
              <w:ind w:left="285"/>
            </w:pPr>
            <w:r>
              <w:rPr>
                <w:spacing w:val="-3"/>
              </w:rPr>
              <w:t>350</w:t>
            </w:r>
          </w:p>
        </w:tc>
        <w:tc>
          <w:tcPr>
            <w:tcW w:w="872" w:type="dxa"/>
            <w:vAlign w:val="top"/>
          </w:tcPr>
          <w:p w14:paraId="0DFDF675">
            <w:pPr>
              <w:pStyle w:val="6"/>
              <w:spacing w:before="103" w:line="188" w:lineRule="auto"/>
              <w:ind w:left="281"/>
            </w:pPr>
            <w:r>
              <w:rPr>
                <w:spacing w:val="-2"/>
              </w:rPr>
              <w:t>220</w:t>
            </w:r>
          </w:p>
        </w:tc>
        <w:tc>
          <w:tcPr>
            <w:tcW w:w="873" w:type="dxa"/>
            <w:vAlign w:val="top"/>
          </w:tcPr>
          <w:p w14:paraId="78587B77">
            <w:pPr>
              <w:pStyle w:val="6"/>
              <w:spacing w:before="103" w:line="188" w:lineRule="auto"/>
              <w:ind w:left="333"/>
            </w:pPr>
            <w:r>
              <w:rPr>
                <w:spacing w:val="-2"/>
              </w:rPr>
              <w:t>45</w:t>
            </w:r>
          </w:p>
        </w:tc>
        <w:tc>
          <w:tcPr>
            <w:tcW w:w="872" w:type="dxa"/>
            <w:vAlign w:val="top"/>
          </w:tcPr>
          <w:p w14:paraId="6D4ACFD1">
            <w:pPr>
              <w:pStyle w:val="6"/>
              <w:spacing w:before="103" w:line="188" w:lineRule="auto"/>
              <w:ind w:left="282"/>
            </w:pPr>
            <w:r>
              <w:rPr>
                <w:spacing w:val="-2"/>
              </w:rPr>
              <w:t>200</w:t>
            </w:r>
          </w:p>
        </w:tc>
        <w:tc>
          <w:tcPr>
            <w:tcW w:w="866" w:type="dxa"/>
            <w:vAlign w:val="top"/>
          </w:tcPr>
          <w:p w14:paraId="198C5F63">
            <w:pPr>
              <w:pStyle w:val="6"/>
              <w:spacing w:before="103" w:line="188" w:lineRule="auto"/>
              <w:ind w:left="329"/>
            </w:pPr>
            <w:r>
              <w:rPr>
                <w:spacing w:val="-2"/>
              </w:rPr>
              <w:t>20</w:t>
            </w:r>
          </w:p>
        </w:tc>
      </w:tr>
      <w:tr w14:paraId="3685C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28" w:type="dxa"/>
            <w:vMerge w:val="continue"/>
            <w:tcBorders>
              <w:top w:val="nil"/>
            </w:tcBorders>
            <w:vAlign w:val="top"/>
          </w:tcPr>
          <w:p w14:paraId="3B7FF669">
            <w:pPr>
              <w:rPr>
                <w:rFonts w:ascii="Arial"/>
                <w:sz w:val="21"/>
              </w:rPr>
            </w:pPr>
          </w:p>
        </w:tc>
        <w:tc>
          <w:tcPr>
            <w:tcW w:w="929" w:type="dxa"/>
            <w:vMerge w:val="continue"/>
            <w:tcBorders>
              <w:top w:val="nil"/>
            </w:tcBorders>
            <w:vAlign w:val="top"/>
          </w:tcPr>
          <w:p w14:paraId="3D64712E">
            <w:pPr>
              <w:rPr>
                <w:rFonts w:ascii="Arial"/>
                <w:sz w:val="21"/>
              </w:rPr>
            </w:pPr>
          </w:p>
        </w:tc>
        <w:tc>
          <w:tcPr>
            <w:tcW w:w="1421" w:type="dxa"/>
            <w:vAlign w:val="top"/>
          </w:tcPr>
          <w:p w14:paraId="283774F7">
            <w:pPr>
              <w:pStyle w:val="6"/>
              <w:spacing w:before="66" w:line="220" w:lineRule="auto"/>
              <w:ind w:left="295"/>
            </w:pPr>
            <w:r>
              <w:rPr>
                <w:rFonts w:ascii="宋体" w:hAnsi="宋体" w:eastAsia="宋体" w:cs="宋体"/>
                <w:spacing w:val="-2"/>
              </w:rPr>
              <w:t>产生量</w:t>
            </w:r>
            <w:r>
              <w:rPr>
                <w:spacing w:val="-2"/>
              </w:rPr>
              <w:t>t/a</w:t>
            </w:r>
          </w:p>
        </w:tc>
        <w:tc>
          <w:tcPr>
            <w:tcW w:w="705" w:type="dxa"/>
            <w:vAlign w:val="top"/>
          </w:tcPr>
          <w:p w14:paraId="5DFAAD5B">
            <w:pPr>
              <w:pStyle w:val="6"/>
              <w:spacing w:before="99" w:line="192" w:lineRule="auto"/>
              <w:ind w:left="322"/>
            </w:pPr>
            <w:r>
              <w:t>/</w:t>
            </w:r>
          </w:p>
        </w:tc>
        <w:tc>
          <w:tcPr>
            <w:tcW w:w="872" w:type="dxa"/>
            <w:vAlign w:val="top"/>
          </w:tcPr>
          <w:p w14:paraId="6FAF37E7">
            <w:pPr>
              <w:pStyle w:val="6"/>
              <w:spacing w:before="103" w:line="188" w:lineRule="auto"/>
              <w:ind w:left="258"/>
            </w:pPr>
            <w:r>
              <w:rPr>
                <w:spacing w:val="-2"/>
              </w:rPr>
              <w:t>0.85</w:t>
            </w:r>
          </w:p>
        </w:tc>
        <w:tc>
          <w:tcPr>
            <w:tcW w:w="872" w:type="dxa"/>
            <w:vAlign w:val="top"/>
          </w:tcPr>
          <w:p w14:paraId="56282F20">
            <w:pPr>
              <w:pStyle w:val="6"/>
              <w:spacing w:before="103" w:line="188" w:lineRule="auto"/>
              <w:ind w:left="257"/>
            </w:pPr>
            <w:r>
              <w:rPr>
                <w:spacing w:val="-2"/>
              </w:rPr>
              <w:t>0.53</w:t>
            </w:r>
          </w:p>
        </w:tc>
        <w:tc>
          <w:tcPr>
            <w:tcW w:w="873" w:type="dxa"/>
            <w:vAlign w:val="top"/>
          </w:tcPr>
          <w:p w14:paraId="65677164">
            <w:pPr>
              <w:pStyle w:val="6"/>
              <w:spacing w:before="103" w:line="188" w:lineRule="auto"/>
              <w:ind w:left="262"/>
            </w:pPr>
            <w:r>
              <w:rPr>
                <w:spacing w:val="-2"/>
              </w:rPr>
              <w:t>0.11</w:t>
            </w:r>
          </w:p>
        </w:tc>
        <w:tc>
          <w:tcPr>
            <w:tcW w:w="872" w:type="dxa"/>
            <w:vAlign w:val="top"/>
          </w:tcPr>
          <w:p w14:paraId="713B7093">
            <w:pPr>
              <w:pStyle w:val="6"/>
              <w:spacing w:before="103" w:line="188" w:lineRule="auto"/>
              <w:ind w:left="259"/>
            </w:pPr>
            <w:r>
              <w:rPr>
                <w:spacing w:val="-2"/>
              </w:rPr>
              <w:t>0.48</w:t>
            </w:r>
          </w:p>
        </w:tc>
        <w:tc>
          <w:tcPr>
            <w:tcW w:w="866" w:type="dxa"/>
            <w:vAlign w:val="top"/>
          </w:tcPr>
          <w:p w14:paraId="5651E401">
            <w:pPr>
              <w:pStyle w:val="6"/>
              <w:spacing w:before="103" w:line="188" w:lineRule="auto"/>
              <w:ind w:left="254"/>
            </w:pPr>
            <w:r>
              <w:rPr>
                <w:spacing w:val="-2"/>
              </w:rPr>
              <w:t>0.05</w:t>
            </w:r>
          </w:p>
        </w:tc>
      </w:tr>
      <w:tr w14:paraId="2D5C4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8" w:type="dxa"/>
            <w:vMerge w:val="restart"/>
            <w:tcBorders>
              <w:bottom w:val="nil"/>
            </w:tcBorders>
            <w:vAlign w:val="top"/>
          </w:tcPr>
          <w:p w14:paraId="4141AB6B">
            <w:pPr>
              <w:spacing w:line="260" w:lineRule="auto"/>
              <w:rPr>
                <w:rFonts w:ascii="Arial"/>
                <w:sz w:val="21"/>
              </w:rPr>
            </w:pPr>
          </w:p>
          <w:p w14:paraId="4E17E077">
            <w:pPr>
              <w:spacing w:line="261" w:lineRule="auto"/>
              <w:rPr>
                <w:rFonts w:ascii="Arial"/>
                <w:sz w:val="21"/>
              </w:rPr>
            </w:pPr>
          </w:p>
          <w:p w14:paraId="25D37259">
            <w:pPr>
              <w:spacing w:before="68" w:line="220" w:lineRule="auto"/>
              <w:ind w:left="53"/>
              <w:rPr>
                <w:rFonts w:ascii="宋体" w:hAnsi="宋体" w:eastAsia="宋体" w:cs="宋体"/>
                <w:sz w:val="21"/>
                <w:szCs w:val="21"/>
              </w:rPr>
            </w:pPr>
            <w:r>
              <w:rPr>
                <w:rFonts w:ascii="宋体" w:hAnsi="宋体" w:eastAsia="宋体" w:cs="宋体"/>
                <w:spacing w:val="-3"/>
                <w:sz w:val="21"/>
                <w:szCs w:val="21"/>
              </w:rPr>
              <w:t>综合废水</w:t>
            </w:r>
          </w:p>
        </w:tc>
        <w:tc>
          <w:tcPr>
            <w:tcW w:w="929" w:type="dxa"/>
            <w:vMerge w:val="restart"/>
            <w:tcBorders>
              <w:bottom w:val="nil"/>
            </w:tcBorders>
            <w:vAlign w:val="top"/>
          </w:tcPr>
          <w:p w14:paraId="08E5DB85">
            <w:pPr>
              <w:spacing w:line="282" w:lineRule="auto"/>
              <w:rPr>
                <w:rFonts w:ascii="Arial"/>
                <w:sz w:val="21"/>
              </w:rPr>
            </w:pPr>
          </w:p>
          <w:p w14:paraId="14E1FFD7">
            <w:pPr>
              <w:spacing w:line="283" w:lineRule="auto"/>
              <w:rPr>
                <w:rFonts w:ascii="Arial"/>
                <w:sz w:val="21"/>
              </w:rPr>
            </w:pPr>
          </w:p>
          <w:p w14:paraId="78414F08">
            <w:pPr>
              <w:pStyle w:val="6"/>
              <w:spacing w:before="61" w:line="188" w:lineRule="auto"/>
              <w:ind w:left="132"/>
            </w:pPr>
            <w:r>
              <w:rPr>
                <w:spacing w:val="-2"/>
              </w:rPr>
              <w:t>85169.1</w:t>
            </w:r>
          </w:p>
        </w:tc>
        <w:tc>
          <w:tcPr>
            <w:tcW w:w="1421" w:type="dxa"/>
            <w:vAlign w:val="top"/>
          </w:tcPr>
          <w:p w14:paraId="206CD0FE">
            <w:pPr>
              <w:pStyle w:val="6"/>
              <w:spacing w:before="67" w:line="212" w:lineRule="auto"/>
              <w:ind w:left="68"/>
            </w:pPr>
            <w:r>
              <w:rPr>
                <w:rFonts w:ascii="宋体" w:hAnsi="宋体" w:eastAsia="宋体" w:cs="宋体"/>
                <w:spacing w:val="-2"/>
              </w:rPr>
              <w:t>产生浓度</w:t>
            </w:r>
            <w:r>
              <w:rPr>
                <w:spacing w:val="-2"/>
              </w:rPr>
              <w:t>mg/L</w:t>
            </w:r>
          </w:p>
        </w:tc>
        <w:tc>
          <w:tcPr>
            <w:tcW w:w="705" w:type="dxa"/>
            <w:vAlign w:val="top"/>
          </w:tcPr>
          <w:p w14:paraId="0D7FA1B0">
            <w:pPr>
              <w:pStyle w:val="6"/>
              <w:spacing w:before="104" w:line="188" w:lineRule="auto"/>
              <w:ind w:left="63"/>
            </w:pPr>
            <w:r>
              <w:rPr>
                <w:spacing w:val="-2"/>
              </w:rPr>
              <w:t>5.5-8.5</w:t>
            </w:r>
          </w:p>
        </w:tc>
        <w:tc>
          <w:tcPr>
            <w:tcW w:w="872" w:type="dxa"/>
            <w:vAlign w:val="top"/>
          </w:tcPr>
          <w:p w14:paraId="02AF99C6">
            <w:pPr>
              <w:pStyle w:val="6"/>
              <w:spacing w:before="104" w:line="188" w:lineRule="auto"/>
              <w:ind w:left="97"/>
            </w:pPr>
            <w:r>
              <w:rPr>
                <w:spacing w:val="-1"/>
              </w:rPr>
              <w:t>20996.2</w:t>
            </w:r>
          </w:p>
        </w:tc>
        <w:tc>
          <w:tcPr>
            <w:tcW w:w="872" w:type="dxa"/>
            <w:vAlign w:val="top"/>
          </w:tcPr>
          <w:p w14:paraId="48DC8E05">
            <w:pPr>
              <w:pStyle w:val="6"/>
              <w:spacing w:before="104" w:line="188" w:lineRule="auto"/>
              <w:ind w:left="155"/>
            </w:pPr>
            <w:r>
              <w:rPr>
                <w:spacing w:val="-2"/>
              </w:rPr>
              <w:t>7778.9</w:t>
            </w:r>
          </w:p>
        </w:tc>
        <w:tc>
          <w:tcPr>
            <w:tcW w:w="873" w:type="dxa"/>
            <w:vAlign w:val="top"/>
          </w:tcPr>
          <w:p w14:paraId="7AF8108D">
            <w:pPr>
              <w:pStyle w:val="6"/>
              <w:spacing w:before="104" w:line="188" w:lineRule="auto"/>
              <w:ind w:left="208"/>
            </w:pPr>
            <w:r>
              <w:rPr>
                <w:spacing w:val="-2"/>
              </w:rPr>
              <w:t>574.5</w:t>
            </w:r>
          </w:p>
        </w:tc>
        <w:tc>
          <w:tcPr>
            <w:tcW w:w="872" w:type="dxa"/>
            <w:vAlign w:val="top"/>
          </w:tcPr>
          <w:p w14:paraId="71E33C9C">
            <w:pPr>
              <w:pStyle w:val="6"/>
              <w:spacing w:before="104" w:line="188" w:lineRule="auto"/>
              <w:ind w:left="156"/>
            </w:pPr>
            <w:r>
              <w:rPr>
                <w:spacing w:val="-2"/>
              </w:rPr>
              <w:t>3892.0</w:t>
            </w:r>
          </w:p>
        </w:tc>
        <w:tc>
          <w:tcPr>
            <w:tcW w:w="866" w:type="dxa"/>
            <w:vAlign w:val="top"/>
          </w:tcPr>
          <w:p w14:paraId="0E1F3C39">
            <w:pPr>
              <w:pStyle w:val="6"/>
              <w:spacing w:before="104" w:line="188" w:lineRule="auto"/>
              <w:ind w:left="219"/>
            </w:pPr>
            <w:r>
              <w:rPr>
                <w:spacing w:val="-5"/>
              </w:rPr>
              <w:t>124.0</w:t>
            </w:r>
          </w:p>
        </w:tc>
      </w:tr>
      <w:tr w14:paraId="39251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8" w:type="dxa"/>
            <w:vMerge w:val="continue"/>
            <w:tcBorders>
              <w:top w:val="nil"/>
              <w:bottom w:val="nil"/>
            </w:tcBorders>
            <w:vAlign w:val="top"/>
          </w:tcPr>
          <w:p w14:paraId="51A7A04F">
            <w:pPr>
              <w:rPr>
                <w:rFonts w:ascii="Arial"/>
                <w:sz w:val="21"/>
              </w:rPr>
            </w:pPr>
          </w:p>
        </w:tc>
        <w:tc>
          <w:tcPr>
            <w:tcW w:w="929" w:type="dxa"/>
            <w:vMerge w:val="continue"/>
            <w:tcBorders>
              <w:top w:val="nil"/>
              <w:bottom w:val="nil"/>
            </w:tcBorders>
            <w:vAlign w:val="top"/>
          </w:tcPr>
          <w:p w14:paraId="40D09E8B">
            <w:pPr>
              <w:rPr>
                <w:rFonts w:ascii="Arial"/>
                <w:sz w:val="21"/>
              </w:rPr>
            </w:pPr>
          </w:p>
        </w:tc>
        <w:tc>
          <w:tcPr>
            <w:tcW w:w="1421" w:type="dxa"/>
            <w:vAlign w:val="top"/>
          </w:tcPr>
          <w:p w14:paraId="0BAC9710">
            <w:pPr>
              <w:pStyle w:val="6"/>
              <w:spacing w:before="67" w:line="220" w:lineRule="auto"/>
              <w:ind w:left="295"/>
            </w:pPr>
            <w:r>
              <w:rPr>
                <w:rFonts w:ascii="宋体" w:hAnsi="宋体" w:eastAsia="宋体" w:cs="宋体"/>
                <w:spacing w:val="-2"/>
              </w:rPr>
              <w:t>产生量</w:t>
            </w:r>
            <w:r>
              <w:rPr>
                <w:spacing w:val="-2"/>
              </w:rPr>
              <w:t>t/a</w:t>
            </w:r>
          </w:p>
        </w:tc>
        <w:tc>
          <w:tcPr>
            <w:tcW w:w="705" w:type="dxa"/>
            <w:vAlign w:val="top"/>
          </w:tcPr>
          <w:p w14:paraId="0015BEF7">
            <w:pPr>
              <w:pStyle w:val="6"/>
              <w:spacing w:before="100" w:line="192" w:lineRule="auto"/>
              <w:ind w:left="322"/>
            </w:pPr>
            <w:r>
              <w:t>/</w:t>
            </w:r>
          </w:p>
        </w:tc>
        <w:tc>
          <w:tcPr>
            <w:tcW w:w="872" w:type="dxa"/>
            <w:vAlign w:val="top"/>
          </w:tcPr>
          <w:p w14:paraId="25801B1B">
            <w:pPr>
              <w:pStyle w:val="6"/>
              <w:spacing w:before="104" w:line="188" w:lineRule="auto"/>
              <w:ind w:left="116"/>
            </w:pPr>
            <w:r>
              <w:rPr>
                <w:spacing w:val="-4"/>
              </w:rPr>
              <w:t>1788.23</w:t>
            </w:r>
          </w:p>
        </w:tc>
        <w:tc>
          <w:tcPr>
            <w:tcW w:w="872" w:type="dxa"/>
            <w:vAlign w:val="top"/>
          </w:tcPr>
          <w:p w14:paraId="1FDC2220">
            <w:pPr>
              <w:pStyle w:val="6"/>
              <w:spacing w:before="104" w:line="188" w:lineRule="auto"/>
              <w:ind w:left="155"/>
            </w:pPr>
            <w:r>
              <w:rPr>
                <w:spacing w:val="-2"/>
              </w:rPr>
              <w:t>662.53</w:t>
            </w:r>
          </w:p>
        </w:tc>
        <w:tc>
          <w:tcPr>
            <w:tcW w:w="873" w:type="dxa"/>
            <w:vAlign w:val="top"/>
          </w:tcPr>
          <w:p w14:paraId="63805A4E">
            <w:pPr>
              <w:pStyle w:val="6"/>
              <w:spacing w:before="104" w:line="188" w:lineRule="auto"/>
              <w:ind w:left="202"/>
            </w:pPr>
            <w:r>
              <w:rPr>
                <w:spacing w:val="-1"/>
              </w:rPr>
              <w:t>48.93</w:t>
            </w:r>
          </w:p>
        </w:tc>
        <w:tc>
          <w:tcPr>
            <w:tcW w:w="872" w:type="dxa"/>
            <w:vAlign w:val="top"/>
          </w:tcPr>
          <w:p w14:paraId="6773B2E3">
            <w:pPr>
              <w:pStyle w:val="6"/>
              <w:spacing w:before="104" w:line="188" w:lineRule="auto"/>
              <w:ind w:left="156"/>
            </w:pPr>
            <w:r>
              <w:rPr>
                <w:spacing w:val="-2"/>
              </w:rPr>
              <w:t>331.48</w:t>
            </w:r>
          </w:p>
        </w:tc>
        <w:tc>
          <w:tcPr>
            <w:tcW w:w="866" w:type="dxa"/>
            <w:vAlign w:val="top"/>
          </w:tcPr>
          <w:p w14:paraId="1229580E">
            <w:pPr>
              <w:pStyle w:val="6"/>
              <w:spacing w:before="104" w:line="188" w:lineRule="auto"/>
              <w:ind w:left="219"/>
            </w:pPr>
            <w:r>
              <w:rPr>
                <w:spacing w:val="-5"/>
              </w:rPr>
              <w:t>10.56</w:t>
            </w:r>
          </w:p>
        </w:tc>
      </w:tr>
      <w:tr w14:paraId="28876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28" w:type="dxa"/>
            <w:vMerge w:val="continue"/>
            <w:tcBorders>
              <w:top w:val="nil"/>
              <w:bottom w:val="nil"/>
            </w:tcBorders>
            <w:vAlign w:val="top"/>
          </w:tcPr>
          <w:p w14:paraId="6E39BE65">
            <w:pPr>
              <w:rPr>
                <w:rFonts w:ascii="Arial"/>
                <w:sz w:val="21"/>
              </w:rPr>
            </w:pPr>
          </w:p>
        </w:tc>
        <w:tc>
          <w:tcPr>
            <w:tcW w:w="929" w:type="dxa"/>
            <w:vMerge w:val="continue"/>
            <w:tcBorders>
              <w:top w:val="nil"/>
              <w:bottom w:val="nil"/>
            </w:tcBorders>
            <w:vAlign w:val="top"/>
          </w:tcPr>
          <w:p w14:paraId="57CFFD2C">
            <w:pPr>
              <w:rPr>
                <w:rFonts w:ascii="Arial"/>
                <w:sz w:val="21"/>
              </w:rPr>
            </w:pPr>
          </w:p>
        </w:tc>
        <w:tc>
          <w:tcPr>
            <w:tcW w:w="1421" w:type="dxa"/>
            <w:vAlign w:val="top"/>
          </w:tcPr>
          <w:p w14:paraId="3C8E8583">
            <w:pPr>
              <w:pStyle w:val="6"/>
              <w:spacing w:before="68" w:line="212" w:lineRule="auto"/>
              <w:ind w:left="86"/>
            </w:pPr>
            <w:r>
              <w:rPr>
                <w:rFonts w:ascii="宋体" w:hAnsi="宋体" w:eastAsia="宋体" w:cs="宋体"/>
                <w:spacing w:val="-4"/>
              </w:rPr>
              <w:t>出水浓度</w:t>
            </w:r>
            <w:r>
              <w:rPr>
                <w:spacing w:val="-4"/>
              </w:rPr>
              <w:t>mg/L</w:t>
            </w:r>
          </w:p>
        </w:tc>
        <w:tc>
          <w:tcPr>
            <w:tcW w:w="705" w:type="dxa"/>
            <w:vAlign w:val="top"/>
          </w:tcPr>
          <w:p w14:paraId="3FCB7F05">
            <w:pPr>
              <w:pStyle w:val="6"/>
              <w:spacing w:before="104" w:line="188" w:lineRule="auto"/>
              <w:ind w:left="63"/>
            </w:pPr>
            <w:r>
              <w:rPr>
                <w:spacing w:val="-2"/>
              </w:rPr>
              <w:t>5.5-8.5</w:t>
            </w:r>
          </w:p>
        </w:tc>
        <w:tc>
          <w:tcPr>
            <w:tcW w:w="872" w:type="dxa"/>
            <w:vAlign w:val="top"/>
          </w:tcPr>
          <w:p w14:paraId="7DF9277C">
            <w:pPr>
              <w:pStyle w:val="6"/>
              <w:spacing w:before="104" w:line="188" w:lineRule="auto"/>
              <w:ind w:left="280"/>
            </w:pPr>
            <w:r>
              <w:rPr>
                <w:spacing w:val="-2"/>
              </w:rPr>
              <w:t>200</w:t>
            </w:r>
          </w:p>
        </w:tc>
        <w:tc>
          <w:tcPr>
            <w:tcW w:w="872" w:type="dxa"/>
            <w:vAlign w:val="top"/>
          </w:tcPr>
          <w:p w14:paraId="44C7BEF7">
            <w:pPr>
              <w:pStyle w:val="6"/>
              <w:spacing w:before="104" w:line="188" w:lineRule="auto"/>
              <w:ind w:left="301"/>
            </w:pPr>
            <w:r>
              <w:rPr>
                <w:spacing w:val="-9"/>
              </w:rPr>
              <w:t>100</w:t>
            </w:r>
          </w:p>
        </w:tc>
        <w:tc>
          <w:tcPr>
            <w:tcW w:w="873" w:type="dxa"/>
            <w:vAlign w:val="top"/>
          </w:tcPr>
          <w:p w14:paraId="2D4F7EC3">
            <w:pPr>
              <w:pStyle w:val="6"/>
              <w:spacing w:before="104" w:line="188" w:lineRule="auto"/>
              <w:ind w:left="342"/>
            </w:pPr>
            <w:r>
              <w:rPr>
                <w:spacing w:val="-7"/>
              </w:rPr>
              <w:t>80</w:t>
            </w:r>
          </w:p>
        </w:tc>
        <w:tc>
          <w:tcPr>
            <w:tcW w:w="872" w:type="dxa"/>
            <w:vAlign w:val="top"/>
          </w:tcPr>
          <w:p w14:paraId="191CA5E4">
            <w:pPr>
              <w:pStyle w:val="6"/>
              <w:spacing w:before="104" w:line="188" w:lineRule="auto"/>
              <w:ind w:left="302"/>
            </w:pPr>
            <w:r>
              <w:rPr>
                <w:spacing w:val="-9"/>
              </w:rPr>
              <w:t>100</w:t>
            </w:r>
          </w:p>
        </w:tc>
        <w:tc>
          <w:tcPr>
            <w:tcW w:w="866" w:type="dxa"/>
            <w:vAlign w:val="top"/>
          </w:tcPr>
          <w:p w14:paraId="7710868E">
            <w:pPr>
              <w:pStyle w:val="6"/>
              <w:spacing w:before="104" w:line="188" w:lineRule="auto"/>
              <w:ind w:left="390"/>
            </w:pPr>
            <w:r>
              <w:t>8</w:t>
            </w:r>
          </w:p>
        </w:tc>
      </w:tr>
      <w:tr w14:paraId="65983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28" w:type="dxa"/>
            <w:vMerge w:val="continue"/>
            <w:tcBorders>
              <w:top w:val="nil"/>
            </w:tcBorders>
            <w:vAlign w:val="top"/>
          </w:tcPr>
          <w:p w14:paraId="1DB47DAE">
            <w:pPr>
              <w:rPr>
                <w:rFonts w:ascii="Arial"/>
                <w:sz w:val="21"/>
              </w:rPr>
            </w:pPr>
          </w:p>
        </w:tc>
        <w:tc>
          <w:tcPr>
            <w:tcW w:w="929" w:type="dxa"/>
            <w:vMerge w:val="continue"/>
            <w:tcBorders>
              <w:top w:val="nil"/>
            </w:tcBorders>
            <w:vAlign w:val="top"/>
          </w:tcPr>
          <w:p w14:paraId="2F4187D9">
            <w:pPr>
              <w:rPr>
                <w:rFonts w:ascii="Arial"/>
                <w:sz w:val="21"/>
              </w:rPr>
            </w:pPr>
          </w:p>
        </w:tc>
        <w:tc>
          <w:tcPr>
            <w:tcW w:w="1421" w:type="dxa"/>
            <w:vAlign w:val="top"/>
          </w:tcPr>
          <w:p w14:paraId="6C34DAEA">
            <w:pPr>
              <w:pStyle w:val="6"/>
              <w:spacing w:before="68" w:line="220" w:lineRule="auto"/>
              <w:ind w:left="192"/>
            </w:pPr>
            <w:r>
              <w:rPr>
                <w:rFonts w:ascii="宋体" w:hAnsi="宋体" w:eastAsia="宋体" w:cs="宋体"/>
                <w:spacing w:val="-2"/>
              </w:rPr>
              <w:t>污染物量</w:t>
            </w:r>
            <w:r>
              <w:rPr>
                <w:spacing w:val="-2"/>
              </w:rPr>
              <w:t>t/a</w:t>
            </w:r>
          </w:p>
        </w:tc>
        <w:tc>
          <w:tcPr>
            <w:tcW w:w="705" w:type="dxa"/>
            <w:vAlign w:val="top"/>
          </w:tcPr>
          <w:p w14:paraId="7C8475DD">
            <w:pPr>
              <w:pStyle w:val="6"/>
              <w:spacing w:before="101" w:line="192" w:lineRule="auto"/>
              <w:ind w:left="322"/>
            </w:pPr>
            <w:r>
              <w:t>/</w:t>
            </w:r>
          </w:p>
        </w:tc>
        <w:tc>
          <w:tcPr>
            <w:tcW w:w="872" w:type="dxa"/>
            <w:vAlign w:val="top"/>
          </w:tcPr>
          <w:p w14:paraId="2740180B">
            <w:pPr>
              <w:pStyle w:val="6"/>
              <w:spacing w:before="105" w:line="188" w:lineRule="auto"/>
              <w:ind w:left="222"/>
            </w:pPr>
            <w:r>
              <w:rPr>
                <w:spacing w:val="-5"/>
              </w:rPr>
              <w:t>17.03</w:t>
            </w:r>
          </w:p>
        </w:tc>
        <w:tc>
          <w:tcPr>
            <w:tcW w:w="872" w:type="dxa"/>
            <w:vAlign w:val="top"/>
          </w:tcPr>
          <w:p w14:paraId="480FFD14">
            <w:pPr>
              <w:pStyle w:val="6"/>
              <w:spacing w:before="105" w:line="188" w:lineRule="auto"/>
              <w:ind w:left="263"/>
            </w:pPr>
            <w:r>
              <w:rPr>
                <w:spacing w:val="-4"/>
              </w:rPr>
              <w:t>8.52</w:t>
            </w:r>
          </w:p>
        </w:tc>
        <w:tc>
          <w:tcPr>
            <w:tcW w:w="873" w:type="dxa"/>
            <w:vAlign w:val="top"/>
          </w:tcPr>
          <w:p w14:paraId="1F04805C">
            <w:pPr>
              <w:pStyle w:val="6"/>
              <w:spacing w:before="105" w:line="188" w:lineRule="auto"/>
              <w:ind w:left="259"/>
            </w:pPr>
            <w:r>
              <w:rPr>
                <w:spacing w:val="-3"/>
              </w:rPr>
              <w:t>6.81</w:t>
            </w:r>
          </w:p>
        </w:tc>
        <w:tc>
          <w:tcPr>
            <w:tcW w:w="872" w:type="dxa"/>
            <w:vAlign w:val="top"/>
          </w:tcPr>
          <w:p w14:paraId="0AE5A23A">
            <w:pPr>
              <w:pStyle w:val="6"/>
              <w:spacing w:before="105" w:line="188" w:lineRule="auto"/>
              <w:ind w:left="264"/>
            </w:pPr>
            <w:r>
              <w:rPr>
                <w:spacing w:val="-4"/>
              </w:rPr>
              <w:t>8.52</w:t>
            </w:r>
          </w:p>
        </w:tc>
        <w:tc>
          <w:tcPr>
            <w:tcW w:w="866" w:type="dxa"/>
            <w:vAlign w:val="top"/>
          </w:tcPr>
          <w:p w14:paraId="7DC42683">
            <w:pPr>
              <w:pStyle w:val="6"/>
              <w:spacing w:before="105" w:line="188" w:lineRule="auto"/>
              <w:ind w:left="254"/>
            </w:pPr>
            <w:r>
              <w:rPr>
                <w:spacing w:val="-2"/>
              </w:rPr>
              <w:t>0.68</w:t>
            </w:r>
          </w:p>
        </w:tc>
      </w:tr>
    </w:tbl>
    <w:p w14:paraId="05951E28">
      <w:pPr>
        <w:spacing w:before="56" w:line="221" w:lineRule="auto"/>
        <w:ind w:left="48"/>
        <w:rPr>
          <w:rFonts w:ascii="仿宋" w:hAnsi="仿宋" w:eastAsia="仿宋" w:cs="仿宋"/>
          <w:sz w:val="20"/>
          <w:szCs w:val="20"/>
        </w:rPr>
      </w:pPr>
      <w:r>
        <w:rPr>
          <w:rFonts w:ascii="仿宋" w:hAnsi="仿宋" w:eastAsia="仿宋" w:cs="仿宋"/>
          <w:spacing w:val="-1"/>
          <w:sz w:val="20"/>
          <w:szCs w:val="20"/>
        </w:rPr>
        <w:t>注：</w:t>
      </w:r>
      <w:r>
        <w:rPr>
          <w:rFonts w:ascii="Times New Roman" w:hAnsi="Times New Roman" w:eastAsia="Times New Roman" w:cs="Times New Roman"/>
          <w:spacing w:val="-1"/>
          <w:sz w:val="20"/>
          <w:szCs w:val="20"/>
        </w:rPr>
        <w:t>NH</w:t>
      </w:r>
      <w:r>
        <w:rPr>
          <w:rFonts w:ascii="Times New Roman" w:hAnsi="Times New Roman" w:eastAsia="Times New Roman" w:cs="Times New Roman"/>
          <w:spacing w:val="-1"/>
          <w:position w:val="-2"/>
          <w:sz w:val="12"/>
          <w:szCs w:val="12"/>
        </w:rPr>
        <w:t>3</w:t>
      </w:r>
      <w:r>
        <w:rPr>
          <w:rFonts w:ascii="Times New Roman" w:hAnsi="Times New Roman" w:eastAsia="Times New Roman" w:cs="Times New Roman"/>
          <w:spacing w:val="-1"/>
          <w:sz w:val="20"/>
          <w:szCs w:val="20"/>
        </w:rPr>
        <w:t>-N</w:t>
      </w:r>
      <w:r>
        <w:rPr>
          <w:rFonts w:ascii="Times New Roman" w:hAnsi="Times New Roman" w:eastAsia="Times New Roman" w:cs="Times New Roman"/>
          <w:spacing w:val="-22"/>
          <w:sz w:val="20"/>
          <w:szCs w:val="20"/>
        </w:rPr>
        <w:t xml:space="preserve"> </w:t>
      </w:r>
      <w:r>
        <w:rPr>
          <w:rFonts w:ascii="仿宋" w:hAnsi="仿宋" w:eastAsia="仿宋" w:cs="仿宋"/>
          <w:spacing w:val="-1"/>
          <w:sz w:val="20"/>
          <w:szCs w:val="20"/>
        </w:rPr>
        <w:t>、</w:t>
      </w:r>
      <w:r>
        <w:rPr>
          <w:rFonts w:ascii="Times New Roman" w:hAnsi="Times New Roman" w:eastAsia="Times New Roman" w:cs="Times New Roman"/>
          <w:spacing w:val="-1"/>
          <w:sz w:val="20"/>
          <w:szCs w:val="20"/>
        </w:rPr>
        <w:t>TP</w:t>
      </w:r>
      <w:r>
        <w:rPr>
          <w:rFonts w:ascii="仿宋" w:hAnsi="仿宋" w:eastAsia="仿宋" w:cs="仿宋"/>
          <w:spacing w:val="-1"/>
          <w:sz w:val="20"/>
          <w:szCs w:val="20"/>
        </w:rPr>
        <w:t>参照执行《畜禽养殖业污染物排放标准》（</w:t>
      </w:r>
      <w:r>
        <w:rPr>
          <w:rFonts w:ascii="Times New Roman" w:hAnsi="Times New Roman" w:eastAsia="Times New Roman" w:cs="Times New Roman"/>
          <w:spacing w:val="-2"/>
          <w:sz w:val="20"/>
          <w:szCs w:val="20"/>
        </w:rPr>
        <w:t>GB18596-2001</w:t>
      </w:r>
      <w:r>
        <w:rPr>
          <w:rFonts w:ascii="仿宋" w:hAnsi="仿宋" w:eastAsia="仿宋" w:cs="仿宋"/>
          <w:spacing w:val="-2"/>
          <w:sz w:val="20"/>
          <w:szCs w:val="20"/>
        </w:rPr>
        <w:t>）。</w:t>
      </w:r>
    </w:p>
    <w:p w14:paraId="7C6520E5">
      <w:pPr>
        <w:spacing w:before="250"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）废水处理措施</w:t>
      </w:r>
    </w:p>
    <w:p w14:paraId="057A86A3">
      <w:pPr>
        <w:spacing w:before="169" w:line="229" w:lineRule="auto"/>
        <w:ind w:left="520"/>
        <w:rPr>
          <w:rFonts w:ascii="宋体" w:hAnsi="宋体" w:eastAsia="宋体" w:cs="宋体"/>
          <w:sz w:val="24"/>
          <w:szCs w:val="24"/>
        </w:rPr>
      </w:pPr>
      <w:r>
        <w:rPr>
          <w:rFonts w:ascii="宋体" w:hAnsi="宋体" w:eastAsia="宋体" w:cs="宋体"/>
          <w:spacing w:val="-1"/>
          <w:sz w:val="24"/>
          <w:szCs w:val="24"/>
        </w:rPr>
        <w:t>本项目在粪污处理区内设置</w:t>
      </w:r>
      <w:r>
        <w:rPr>
          <w:rFonts w:ascii="Times New Roman" w:hAnsi="Times New Roman" w:eastAsia="Times New Roman" w:cs="Times New Roman"/>
          <w:spacing w:val="-1"/>
          <w:sz w:val="24"/>
          <w:szCs w:val="24"/>
        </w:rPr>
        <w:t>1</w:t>
      </w:r>
      <w:r>
        <w:rPr>
          <w:rFonts w:ascii="宋体" w:hAnsi="宋体" w:eastAsia="宋体" w:cs="宋体"/>
          <w:spacing w:val="-1"/>
          <w:sz w:val="24"/>
          <w:szCs w:val="24"/>
        </w:rPr>
        <w:t>座污水处理站（处理能力</w:t>
      </w:r>
      <w:r>
        <w:rPr>
          <w:rFonts w:ascii="Times New Roman" w:hAnsi="Times New Roman" w:eastAsia="Times New Roman" w:cs="Times New Roman"/>
          <w:spacing w:val="-1"/>
          <w:sz w:val="24"/>
          <w:szCs w:val="24"/>
        </w:rPr>
        <w:t>500</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19"/>
          <w:sz w:val="24"/>
          <w:szCs w:val="24"/>
        </w:rPr>
        <w:t>），</w:t>
      </w:r>
      <w:r>
        <w:rPr>
          <w:rFonts w:ascii="宋体" w:hAnsi="宋体" w:eastAsia="宋体" w:cs="宋体"/>
          <w:spacing w:val="-2"/>
          <w:sz w:val="24"/>
          <w:szCs w:val="24"/>
        </w:rPr>
        <w:t>针对养殖</w:t>
      </w:r>
    </w:p>
    <w:p w14:paraId="6738959F">
      <w:pPr>
        <w:spacing w:before="184" w:line="219" w:lineRule="auto"/>
        <w:ind w:left="38"/>
        <w:rPr>
          <w:rFonts w:ascii="宋体" w:hAnsi="宋体" w:eastAsia="宋体" w:cs="宋体"/>
          <w:sz w:val="24"/>
          <w:szCs w:val="24"/>
        </w:rPr>
      </w:pPr>
      <w:r>
        <w:rPr>
          <w:rFonts w:ascii="宋体" w:hAnsi="宋体" w:eastAsia="宋体" w:cs="宋体"/>
          <w:spacing w:val="2"/>
          <w:sz w:val="24"/>
          <w:szCs w:val="24"/>
        </w:rPr>
        <w:t>废水污染物浓度高、易生化的特点，设计采用“粪污收集池</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固液分离</w:t>
      </w:r>
      <w:r>
        <w:rPr>
          <w:rFonts w:ascii="Times New Roman" w:hAnsi="Times New Roman" w:eastAsia="Times New Roman" w:cs="Times New Roman"/>
          <w:spacing w:val="2"/>
          <w:sz w:val="24"/>
          <w:szCs w:val="24"/>
        </w:rPr>
        <w:t>+</w:t>
      </w:r>
      <w:r>
        <w:rPr>
          <w:rFonts w:ascii="宋体" w:hAnsi="宋体" w:eastAsia="宋体" w:cs="宋体"/>
          <w:spacing w:val="2"/>
          <w:sz w:val="24"/>
          <w:szCs w:val="24"/>
        </w:rPr>
        <w:t>水解酸</w:t>
      </w:r>
    </w:p>
    <w:p w14:paraId="3C2585D2">
      <w:pPr>
        <w:spacing w:before="183" w:line="219" w:lineRule="auto"/>
        <w:ind w:left="40"/>
        <w:rPr>
          <w:rFonts w:ascii="宋体" w:hAnsi="宋体" w:eastAsia="宋体" w:cs="宋体"/>
          <w:sz w:val="24"/>
          <w:szCs w:val="24"/>
        </w:rPr>
      </w:pPr>
      <w:r>
        <w:rPr>
          <w:rFonts w:ascii="宋体" w:hAnsi="宋体" w:eastAsia="宋体" w:cs="宋体"/>
          <w:spacing w:val="2"/>
          <w:sz w:val="24"/>
          <w:szCs w:val="24"/>
        </w:rPr>
        <w:t>化池</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CSTR</w:t>
      </w:r>
      <w:r>
        <w:rPr>
          <w:rFonts w:ascii="宋体" w:hAnsi="宋体" w:eastAsia="宋体" w:cs="宋体"/>
          <w:spacing w:val="2"/>
          <w:sz w:val="24"/>
          <w:szCs w:val="24"/>
        </w:rPr>
        <w:t>厌氧反应器</w:t>
      </w:r>
      <w:r>
        <w:rPr>
          <w:rFonts w:ascii="Times New Roman" w:hAnsi="Times New Roman" w:eastAsia="Times New Roman" w:cs="Times New Roman"/>
          <w:spacing w:val="2"/>
          <w:sz w:val="24"/>
          <w:szCs w:val="24"/>
        </w:rPr>
        <w:t>+</w:t>
      </w:r>
      <w:r>
        <w:rPr>
          <w:rFonts w:ascii="宋体" w:hAnsi="宋体" w:eastAsia="宋体" w:cs="宋体"/>
          <w:spacing w:val="2"/>
          <w:sz w:val="24"/>
          <w:szCs w:val="24"/>
        </w:rPr>
        <w:t>微生物曝氧塘</w:t>
      </w:r>
      <w:r>
        <w:rPr>
          <w:rFonts w:ascii="Times New Roman" w:hAnsi="Times New Roman" w:eastAsia="Times New Roman" w:cs="Times New Roman"/>
          <w:spacing w:val="2"/>
          <w:sz w:val="24"/>
          <w:szCs w:val="24"/>
        </w:rPr>
        <w:t>+</w:t>
      </w:r>
      <w:r>
        <w:rPr>
          <w:rFonts w:ascii="宋体" w:hAnsi="宋体" w:eastAsia="宋体" w:cs="宋体"/>
          <w:spacing w:val="2"/>
          <w:sz w:val="24"/>
          <w:szCs w:val="24"/>
        </w:rPr>
        <w:t>前置物化系统</w:t>
      </w:r>
      <w:r>
        <w:rPr>
          <w:rFonts w:ascii="Times New Roman" w:hAnsi="Times New Roman" w:eastAsia="Times New Roman" w:cs="Times New Roman"/>
          <w:spacing w:val="2"/>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p>
    <w:p w14:paraId="318A6465">
      <w:pPr>
        <w:spacing w:before="184" w:line="360" w:lineRule="auto"/>
        <w:ind w:left="40" w:hanging="6"/>
        <w:rPr>
          <w:rFonts w:ascii="宋体" w:hAnsi="宋体" w:eastAsia="宋体" w:cs="宋体"/>
          <w:sz w:val="24"/>
          <w:szCs w:val="24"/>
        </w:rPr>
      </w:pPr>
      <w:r>
        <w:rPr>
          <w:rFonts w:ascii="Times New Roman" w:hAnsi="Times New Roman" w:eastAsia="Times New Roman" w:cs="Times New Roman"/>
          <w:spacing w:val="4"/>
          <w:sz w:val="24"/>
          <w:szCs w:val="24"/>
        </w:rPr>
        <w:t>+</w:t>
      </w:r>
      <w:r>
        <w:rPr>
          <w:rFonts w:ascii="宋体" w:hAnsi="宋体" w:eastAsia="宋体" w:cs="宋体"/>
          <w:spacing w:val="4"/>
          <w:sz w:val="24"/>
          <w:szCs w:val="24"/>
        </w:rPr>
        <w:t>一级生化沉淀池</w:t>
      </w:r>
      <w:r>
        <w:rPr>
          <w:rFonts w:ascii="Times New Roman" w:hAnsi="Times New Roman" w:eastAsia="Times New Roman" w:cs="Times New Roman"/>
          <w:spacing w:val="4"/>
          <w:sz w:val="24"/>
          <w:szCs w:val="24"/>
        </w:rPr>
        <w:t>+</w:t>
      </w:r>
      <w:r>
        <w:rPr>
          <w:rFonts w:ascii="宋体" w:hAnsi="宋体" w:eastAsia="宋体" w:cs="宋体"/>
          <w:spacing w:val="4"/>
          <w:sz w:val="24"/>
          <w:szCs w:val="24"/>
        </w:rPr>
        <w:t>二级缺氧池</w:t>
      </w:r>
      <w:r>
        <w:rPr>
          <w:rFonts w:ascii="Times New Roman" w:hAnsi="Times New Roman" w:eastAsia="Times New Roman" w:cs="Times New Roman"/>
          <w:spacing w:val="4"/>
          <w:sz w:val="24"/>
          <w:szCs w:val="24"/>
        </w:rPr>
        <w:t>+</w:t>
      </w:r>
      <w:r>
        <w:rPr>
          <w:rFonts w:ascii="宋体" w:hAnsi="宋体" w:eastAsia="宋体" w:cs="宋体"/>
          <w:spacing w:val="4"/>
          <w:sz w:val="24"/>
          <w:szCs w:val="24"/>
        </w:rPr>
        <w:t>二级好氧池</w:t>
      </w:r>
      <w:r>
        <w:rPr>
          <w:rFonts w:ascii="Times New Roman" w:hAnsi="Times New Roman" w:eastAsia="Times New Roman" w:cs="Times New Roman"/>
          <w:spacing w:val="4"/>
          <w:sz w:val="24"/>
          <w:szCs w:val="24"/>
        </w:rPr>
        <w:t>+</w:t>
      </w:r>
      <w:r>
        <w:rPr>
          <w:rFonts w:ascii="宋体" w:hAnsi="宋体" w:eastAsia="宋体" w:cs="宋体"/>
          <w:spacing w:val="4"/>
          <w:sz w:val="24"/>
          <w:szCs w:val="24"/>
        </w:rPr>
        <w:t>二级生化沉淀池</w:t>
      </w:r>
      <w:r>
        <w:rPr>
          <w:rFonts w:ascii="Times New Roman" w:hAnsi="Times New Roman" w:eastAsia="Times New Roman" w:cs="Times New Roman"/>
          <w:spacing w:val="4"/>
          <w:sz w:val="24"/>
          <w:szCs w:val="24"/>
        </w:rPr>
        <w:t>+</w:t>
      </w:r>
      <w:r>
        <w:rPr>
          <w:rFonts w:ascii="宋体" w:hAnsi="宋体" w:eastAsia="宋体" w:cs="宋体"/>
          <w:spacing w:val="4"/>
          <w:sz w:val="24"/>
          <w:szCs w:val="24"/>
        </w:rPr>
        <w:t>混凝沉淀</w:t>
      </w:r>
      <w:r>
        <w:rPr>
          <w:rFonts w:ascii="Times New Roman" w:hAnsi="Times New Roman" w:eastAsia="Times New Roman" w:cs="Times New Roman"/>
          <w:spacing w:val="4"/>
          <w:sz w:val="24"/>
          <w:szCs w:val="24"/>
        </w:rPr>
        <w:t>+</w:t>
      </w:r>
      <w:r>
        <w:rPr>
          <w:rFonts w:ascii="宋体" w:hAnsi="宋体" w:eastAsia="宋体" w:cs="宋体"/>
          <w:spacing w:val="4"/>
          <w:sz w:val="24"/>
          <w:szCs w:val="24"/>
        </w:rPr>
        <w:t>消毒池”</w:t>
      </w:r>
      <w:r>
        <w:rPr>
          <w:rFonts w:ascii="宋体" w:hAnsi="宋体" w:eastAsia="宋体" w:cs="宋体"/>
          <w:spacing w:val="-2"/>
          <w:sz w:val="24"/>
          <w:szCs w:val="24"/>
        </w:rPr>
        <w:t>污水处理工艺，与《畜禽养殖业污染治理工程技术规范》（</w:t>
      </w:r>
      <w:r>
        <w:rPr>
          <w:rFonts w:ascii="Times New Roman" w:hAnsi="Times New Roman" w:eastAsia="Times New Roman" w:cs="Times New Roman"/>
          <w:spacing w:val="-2"/>
          <w:sz w:val="24"/>
          <w:szCs w:val="24"/>
        </w:rPr>
        <w:t>HJ497-2009</w:t>
      </w:r>
      <w:r>
        <w:rPr>
          <w:rFonts w:ascii="宋体" w:hAnsi="宋体" w:eastAsia="宋体" w:cs="宋体"/>
          <w:spacing w:val="-2"/>
          <w:sz w:val="24"/>
          <w:szCs w:val="24"/>
        </w:rPr>
        <w:t>）中</w:t>
      </w:r>
      <w:r>
        <w:rPr>
          <w:rFonts w:ascii="宋体" w:hAnsi="宋体" w:eastAsia="宋体" w:cs="宋体"/>
          <w:spacing w:val="-3"/>
          <w:sz w:val="24"/>
          <w:szCs w:val="24"/>
        </w:rPr>
        <w:t>“粪</w:t>
      </w:r>
    </w:p>
    <w:p w14:paraId="3C90460D">
      <w:pPr>
        <w:spacing w:before="1" w:line="218" w:lineRule="auto"/>
        <w:ind w:left="41"/>
        <w:rPr>
          <w:rFonts w:ascii="宋体" w:hAnsi="宋体" w:eastAsia="宋体" w:cs="宋体"/>
          <w:sz w:val="24"/>
          <w:szCs w:val="24"/>
        </w:rPr>
      </w:pPr>
      <w:r>
        <w:rPr>
          <w:rFonts w:ascii="宋体" w:hAnsi="宋体" w:eastAsia="宋体" w:cs="宋体"/>
          <w:spacing w:val="-3"/>
          <w:sz w:val="24"/>
          <w:szCs w:val="24"/>
        </w:rPr>
        <w:t>污处理基本工艺模式—模式Ⅲ”相符。</w:t>
      </w:r>
    </w:p>
    <w:p w14:paraId="713A6EE5">
      <w:pPr>
        <w:spacing w:before="185" w:line="356" w:lineRule="auto"/>
        <w:ind w:left="42" w:right="359" w:firstLine="478"/>
        <w:jc w:val="both"/>
        <w:rPr>
          <w:rFonts w:ascii="宋体" w:hAnsi="宋体" w:eastAsia="宋体" w:cs="宋体"/>
          <w:sz w:val="24"/>
          <w:szCs w:val="24"/>
        </w:rPr>
      </w:pPr>
      <w:r>
        <w:rPr>
          <w:rFonts w:ascii="宋体" w:hAnsi="宋体" w:eastAsia="宋体" w:cs="宋体"/>
          <w:spacing w:val="-3"/>
          <w:sz w:val="24"/>
          <w:szCs w:val="24"/>
        </w:rPr>
        <w:t>本项目养殖废水与生活污水排入污水处理站的粪污收集池，经</w:t>
      </w:r>
      <w:r>
        <w:rPr>
          <w:rFonts w:ascii="宋体" w:hAnsi="宋体" w:eastAsia="宋体" w:cs="宋体"/>
          <w:spacing w:val="-4"/>
          <w:sz w:val="24"/>
          <w:szCs w:val="24"/>
        </w:rPr>
        <w:t>污水处理站处</w:t>
      </w:r>
      <w:r>
        <w:rPr>
          <w:rFonts w:ascii="宋体" w:hAnsi="宋体" w:eastAsia="宋体" w:cs="宋体"/>
          <w:spacing w:val="2"/>
          <w:sz w:val="24"/>
          <w:szCs w:val="24"/>
        </w:rPr>
        <w:t>理达《农田灌溉水质标准》（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5084-2021</w:t>
      </w:r>
      <w:r>
        <w:rPr>
          <w:rFonts w:ascii="宋体" w:hAnsi="宋体" w:eastAsia="宋体" w:cs="宋体"/>
          <w:spacing w:val="2"/>
          <w:sz w:val="24"/>
          <w:szCs w:val="24"/>
        </w:rPr>
        <w:t>）表</w:t>
      </w:r>
      <w:r>
        <w:rPr>
          <w:rFonts w:ascii="Times New Roman" w:hAnsi="Times New Roman" w:eastAsia="Times New Roman" w:cs="Times New Roman"/>
          <w:spacing w:val="2"/>
          <w:sz w:val="24"/>
          <w:szCs w:val="24"/>
        </w:rPr>
        <w:t>1</w:t>
      </w:r>
      <w:r>
        <w:rPr>
          <w:rFonts w:ascii="宋体" w:hAnsi="宋体" w:eastAsia="宋体" w:cs="宋体"/>
          <w:spacing w:val="2"/>
          <w:sz w:val="24"/>
          <w:szCs w:val="24"/>
        </w:rPr>
        <w:t>旱地作物限值，全部用于周围</w:t>
      </w:r>
      <w:r>
        <w:rPr>
          <w:rFonts w:ascii="宋体" w:hAnsi="宋体" w:eastAsia="宋体" w:cs="宋体"/>
          <w:spacing w:val="-5"/>
          <w:sz w:val="24"/>
          <w:szCs w:val="24"/>
        </w:rPr>
        <w:t>消纳地农灌，不外排。</w:t>
      </w:r>
    </w:p>
    <w:p w14:paraId="23BB6B41">
      <w:pPr>
        <w:spacing w:before="2" w:line="360" w:lineRule="auto"/>
        <w:ind w:left="42" w:right="369" w:firstLine="506"/>
        <w:rPr>
          <w:rFonts w:ascii="宋体" w:hAnsi="宋体" w:eastAsia="宋体" w:cs="宋体"/>
          <w:sz w:val="24"/>
          <w:szCs w:val="24"/>
        </w:rPr>
      </w:pPr>
      <w:r>
        <w:rPr>
          <w:rFonts w:ascii="宋体" w:hAnsi="宋体" w:eastAsia="宋体" w:cs="宋体"/>
          <w:spacing w:val="-1"/>
          <w:sz w:val="24"/>
          <w:szCs w:val="24"/>
        </w:rPr>
        <w:t>由水平衡可知，本项目夏季废水产生量为</w:t>
      </w:r>
      <w:r>
        <w:rPr>
          <w:rFonts w:ascii="Times New Roman" w:hAnsi="Times New Roman" w:eastAsia="Times New Roman" w:cs="Times New Roman"/>
          <w:spacing w:val="-1"/>
          <w:sz w:val="24"/>
          <w:szCs w:val="24"/>
        </w:rPr>
        <w:t>247.46m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，其他季节废水产生量</w:t>
      </w:r>
      <w:r>
        <w:rPr>
          <w:rFonts w:ascii="宋体" w:hAnsi="宋体" w:eastAsia="宋体" w:cs="宋体"/>
          <w:spacing w:val="-1"/>
          <w:sz w:val="24"/>
          <w:szCs w:val="24"/>
        </w:rPr>
        <w:t>为</w:t>
      </w:r>
      <w:r>
        <w:rPr>
          <w:rFonts w:ascii="Times New Roman" w:hAnsi="Times New Roman" w:eastAsia="Times New Roman" w:cs="Times New Roman"/>
          <w:spacing w:val="-1"/>
          <w:sz w:val="24"/>
          <w:szCs w:val="24"/>
        </w:rPr>
        <w:t>228.44m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，污水处理站设计规模能够满足本项目</w:t>
      </w:r>
      <w:r>
        <w:rPr>
          <w:rFonts w:ascii="宋体" w:hAnsi="宋体" w:eastAsia="宋体" w:cs="宋体"/>
          <w:spacing w:val="-2"/>
          <w:sz w:val="24"/>
          <w:szCs w:val="24"/>
        </w:rPr>
        <w:t>废水处理要求。</w:t>
      </w:r>
    </w:p>
    <w:p w14:paraId="32B3ED0A">
      <w:pPr>
        <w:spacing w:before="69" w:line="227" w:lineRule="auto"/>
        <w:ind w:left="36"/>
        <w:rPr>
          <w:rFonts w:ascii="宋体" w:hAnsi="宋体" w:eastAsia="宋体" w:cs="宋体"/>
          <w:sz w:val="27"/>
          <w:szCs w:val="27"/>
        </w:rPr>
      </w:pPr>
      <w:r>
        <w:rPr>
          <w:rFonts w:ascii="Times New Roman" w:hAnsi="Times New Roman" w:eastAsia="Times New Roman" w:cs="Times New Roman"/>
          <w:b/>
          <w:bCs/>
          <w:spacing w:val="1"/>
          <w:sz w:val="27"/>
          <w:szCs w:val="27"/>
        </w:rPr>
        <w:t>2.2.4.3</w:t>
      </w:r>
      <w:r>
        <w:rPr>
          <w:rFonts w:ascii="Times New Roman" w:hAnsi="Times New Roman" w:eastAsia="Times New Roman" w:cs="Times New Roman"/>
          <w:b/>
          <w:bCs/>
          <w:spacing w:val="30"/>
          <w:sz w:val="27"/>
          <w:szCs w:val="27"/>
        </w:rPr>
        <w:t xml:space="preserve"> </w:t>
      </w:r>
      <w:r>
        <w:rPr>
          <w:rFonts w:ascii="宋体" w:hAnsi="宋体" w:eastAsia="宋体" w:cs="宋体"/>
          <w:b/>
          <w:bCs/>
          <w:spacing w:val="1"/>
          <w:sz w:val="27"/>
          <w:szCs w:val="27"/>
        </w:rPr>
        <w:t>噪声</w:t>
      </w:r>
    </w:p>
    <w:p w14:paraId="79AF1F46">
      <w:pPr>
        <w:spacing w:before="235"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）噪声源强</w:t>
      </w:r>
    </w:p>
    <w:p w14:paraId="7C1CFF3D">
      <w:pPr>
        <w:spacing w:before="182" w:line="361" w:lineRule="auto"/>
        <w:ind w:left="50" w:right="291" w:firstLine="469"/>
        <w:rPr>
          <w:rFonts w:ascii="宋体" w:hAnsi="宋体" w:eastAsia="宋体" w:cs="宋体"/>
          <w:sz w:val="24"/>
          <w:szCs w:val="24"/>
        </w:rPr>
      </w:pPr>
      <w:r>
        <w:rPr>
          <w:rFonts w:ascii="宋体" w:hAnsi="宋体" w:eastAsia="宋体" w:cs="宋体"/>
          <w:spacing w:val="-1"/>
          <w:sz w:val="24"/>
          <w:szCs w:val="24"/>
        </w:rPr>
        <w:t>本项目噪声主要为猪群叫声、猪舍通风机、水泵、固液分离机和</w:t>
      </w:r>
      <w:r>
        <w:rPr>
          <w:rFonts w:ascii="宋体" w:hAnsi="宋体" w:eastAsia="宋体" w:cs="宋体"/>
          <w:spacing w:val="-2"/>
          <w:sz w:val="24"/>
          <w:szCs w:val="24"/>
        </w:rPr>
        <w:t>发电机等，噪声值约</w:t>
      </w:r>
      <w:r>
        <w:rPr>
          <w:rFonts w:ascii="Times New Roman" w:hAnsi="Times New Roman" w:eastAsia="Times New Roman" w:cs="Times New Roman"/>
          <w:spacing w:val="-2"/>
          <w:sz w:val="24"/>
          <w:szCs w:val="24"/>
        </w:rPr>
        <w:t>65</w:t>
      </w:r>
      <w:r>
        <w:rPr>
          <w:rFonts w:ascii="宋体" w:hAnsi="宋体" w:eastAsia="宋体" w:cs="宋体"/>
          <w:spacing w:val="-2"/>
          <w:sz w:val="24"/>
          <w:szCs w:val="24"/>
        </w:rPr>
        <w:t>～</w:t>
      </w:r>
      <w:r>
        <w:rPr>
          <w:rFonts w:ascii="Times New Roman" w:hAnsi="Times New Roman" w:eastAsia="Times New Roman" w:cs="Times New Roman"/>
          <w:spacing w:val="-2"/>
          <w:sz w:val="24"/>
          <w:szCs w:val="24"/>
        </w:rPr>
        <w:t>90dB(A)</w:t>
      </w:r>
      <w:r>
        <w:rPr>
          <w:rFonts w:ascii="宋体" w:hAnsi="宋体" w:eastAsia="宋体" w:cs="宋体"/>
          <w:spacing w:val="-2"/>
          <w:sz w:val="24"/>
          <w:szCs w:val="24"/>
        </w:rPr>
        <w:t>。其中，水泵为潜水安装，猪舍通风机安装在猪舍墙壁，</w:t>
      </w:r>
    </w:p>
    <w:p w14:paraId="27733BBC">
      <w:pPr>
        <w:spacing w:line="361" w:lineRule="auto"/>
        <w:rPr>
          <w:rFonts w:ascii="宋体" w:hAnsi="宋体" w:eastAsia="宋体" w:cs="宋体"/>
          <w:sz w:val="24"/>
          <w:szCs w:val="24"/>
        </w:rPr>
        <w:sectPr>
          <w:headerReference r:id="rId219" w:type="default"/>
          <w:footerReference r:id="rId220" w:type="default"/>
          <w:pgSz w:w="11905" w:h="16840"/>
          <w:pgMar w:top="1168" w:right="1438" w:bottom="1409" w:left="1770" w:header="828" w:footer="1244" w:gutter="0"/>
          <w:cols w:space="720" w:num="1"/>
        </w:sectPr>
      </w:pPr>
    </w:p>
    <w:p w14:paraId="0BD73DEC">
      <w:pPr>
        <w:pStyle w:val="2"/>
        <w:spacing w:line="305" w:lineRule="auto"/>
      </w:pPr>
    </w:p>
    <w:p w14:paraId="6DE913D7">
      <w:pPr>
        <w:spacing w:before="78" w:line="220" w:lineRule="auto"/>
        <w:ind w:left="40"/>
        <w:rPr>
          <w:rFonts w:ascii="宋体" w:hAnsi="宋体" w:eastAsia="宋体" w:cs="宋体"/>
          <w:sz w:val="24"/>
          <w:szCs w:val="24"/>
        </w:rPr>
      </w:pPr>
      <w:r>
        <w:rPr>
          <w:rFonts w:ascii="宋体" w:hAnsi="宋体" w:eastAsia="宋体" w:cs="宋体"/>
          <w:spacing w:val="-4"/>
          <w:sz w:val="24"/>
          <w:szCs w:val="24"/>
        </w:rPr>
        <w:t>其余噪声源设备均在室内。</w:t>
      </w:r>
    </w:p>
    <w:p w14:paraId="7C676ABF">
      <w:pPr>
        <w:spacing w:before="196" w:line="212" w:lineRule="auto"/>
        <w:ind w:left="1870"/>
        <w:rPr>
          <w:rFonts w:ascii="Times New Roman" w:hAnsi="Times New Roman" w:eastAsia="Times New Roman" w:cs="Times New Roman"/>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2.2-15  </w:t>
      </w:r>
      <w:r>
        <w:rPr>
          <w:rFonts w:ascii="黑体" w:hAnsi="黑体" w:eastAsia="黑体" w:cs="黑体"/>
          <w:spacing w:val="-1"/>
          <w:sz w:val="21"/>
          <w:szCs w:val="21"/>
        </w:rPr>
        <w:t>项目噪声源源强及控制措施 单位：</w:t>
      </w:r>
      <w:r>
        <w:rPr>
          <w:rFonts w:ascii="Times New Roman" w:hAnsi="Times New Roman" w:eastAsia="Times New Roman" w:cs="Times New Roman"/>
          <w:spacing w:val="-1"/>
          <w:sz w:val="21"/>
          <w:szCs w:val="21"/>
        </w:rPr>
        <w:t>dB(A)</w:t>
      </w:r>
    </w:p>
    <w:p w14:paraId="09176CE3">
      <w:pPr>
        <w:spacing w:line="9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947"/>
        <w:gridCol w:w="709"/>
        <w:gridCol w:w="612"/>
        <w:gridCol w:w="757"/>
        <w:gridCol w:w="754"/>
        <w:gridCol w:w="849"/>
        <w:gridCol w:w="663"/>
        <w:gridCol w:w="755"/>
        <w:gridCol w:w="756"/>
        <w:gridCol w:w="758"/>
      </w:tblGrid>
      <w:tr w14:paraId="79E83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60" w:type="dxa"/>
            <w:vMerge w:val="restart"/>
            <w:tcBorders>
              <w:bottom w:val="nil"/>
            </w:tcBorders>
            <w:vAlign w:val="top"/>
          </w:tcPr>
          <w:p w14:paraId="70CF57AC">
            <w:pPr>
              <w:spacing w:line="315" w:lineRule="auto"/>
              <w:rPr>
                <w:rFonts w:ascii="Arial"/>
                <w:sz w:val="21"/>
              </w:rPr>
            </w:pPr>
          </w:p>
          <w:p w14:paraId="503B190C">
            <w:pPr>
              <w:spacing w:before="68" w:line="230" w:lineRule="auto"/>
              <w:ind w:left="178"/>
              <w:rPr>
                <w:rFonts w:ascii="宋体" w:hAnsi="宋体" w:eastAsia="宋体" w:cs="宋体"/>
                <w:sz w:val="21"/>
                <w:szCs w:val="21"/>
              </w:rPr>
            </w:pPr>
            <w:r>
              <w:rPr>
                <w:rFonts w:ascii="宋体" w:hAnsi="宋体" w:eastAsia="宋体" w:cs="宋体"/>
                <w:spacing w:val="-3"/>
                <w:sz w:val="21"/>
                <w:szCs w:val="21"/>
              </w:rPr>
              <w:t>工艺</w:t>
            </w:r>
          </w:p>
        </w:tc>
        <w:tc>
          <w:tcPr>
            <w:tcW w:w="947" w:type="dxa"/>
            <w:vMerge w:val="restart"/>
            <w:tcBorders>
              <w:bottom w:val="nil"/>
            </w:tcBorders>
            <w:vAlign w:val="top"/>
          </w:tcPr>
          <w:p w14:paraId="79C35AC1">
            <w:pPr>
              <w:spacing w:line="315" w:lineRule="auto"/>
              <w:rPr>
                <w:rFonts w:ascii="Arial"/>
                <w:sz w:val="21"/>
              </w:rPr>
            </w:pPr>
          </w:p>
          <w:p w14:paraId="41BAF3AF">
            <w:pPr>
              <w:spacing w:before="68" w:line="221" w:lineRule="auto"/>
              <w:ind w:left="271"/>
              <w:rPr>
                <w:rFonts w:ascii="宋体" w:hAnsi="宋体" w:eastAsia="宋体" w:cs="宋体"/>
                <w:sz w:val="21"/>
                <w:szCs w:val="21"/>
              </w:rPr>
            </w:pPr>
            <w:r>
              <w:rPr>
                <w:rFonts w:ascii="宋体" w:hAnsi="宋体" w:eastAsia="宋体" w:cs="宋体"/>
                <w:spacing w:val="-3"/>
                <w:sz w:val="21"/>
                <w:szCs w:val="21"/>
              </w:rPr>
              <w:t>设施</w:t>
            </w:r>
          </w:p>
        </w:tc>
        <w:tc>
          <w:tcPr>
            <w:tcW w:w="709" w:type="dxa"/>
            <w:vMerge w:val="restart"/>
            <w:tcBorders>
              <w:bottom w:val="nil"/>
            </w:tcBorders>
            <w:vAlign w:val="top"/>
          </w:tcPr>
          <w:p w14:paraId="7AC1B2E6">
            <w:pPr>
              <w:spacing w:line="315" w:lineRule="auto"/>
              <w:rPr>
                <w:rFonts w:ascii="Arial"/>
                <w:sz w:val="21"/>
              </w:rPr>
            </w:pPr>
          </w:p>
          <w:p w14:paraId="0242435F">
            <w:pPr>
              <w:spacing w:before="69" w:line="220" w:lineRule="auto"/>
              <w:ind w:left="53"/>
              <w:rPr>
                <w:rFonts w:ascii="宋体" w:hAnsi="宋体" w:eastAsia="宋体" w:cs="宋体"/>
                <w:sz w:val="21"/>
                <w:szCs w:val="21"/>
              </w:rPr>
            </w:pPr>
            <w:r>
              <w:rPr>
                <w:rFonts w:ascii="宋体" w:hAnsi="宋体" w:eastAsia="宋体" w:cs="宋体"/>
                <w:spacing w:val="-5"/>
                <w:sz w:val="21"/>
                <w:szCs w:val="21"/>
              </w:rPr>
              <w:t>噪声源</w:t>
            </w:r>
          </w:p>
        </w:tc>
        <w:tc>
          <w:tcPr>
            <w:tcW w:w="612" w:type="dxa"/>
            <w:vMerge w:val="restart"/>
            <w:tcBorders>
              <w:bottom w:val="nil"/>
            </w:tcBorders>
            <w:vAlign w:val="top"/>
          </w:tcPr>
          <w:p w14:paraId="13128804">
            <w:pPr>
              <w:spacing w:before="230" w:line="276" w:lineRule="auto"/>
              <w:ind w:left="101" w:right="94" w:firstLine="9"/>
              <w:rPr>
                <w:rFonts w:ascii="宋体" w:hAnsi="宋体" w:eastAsia="宋体" w:cs="宋体"/>
                <w:sz w:val="21"/>
                <w:szCs w:val="21"/>
              </w:rPr>
            </w:pPr>
            <w:r>
              <w:rPr>
                <w:rFonts w:ascii="宋体" w:hAnsi="宋体" w:eastAsia="宋体" w:cs="宋体"/>
                <w:spacing w:val="-10"/>
                <w:sz w:val="21"/>
                <w:szCs w:val="21"/>
              </w:rPr>
              <w:t>噪声</w:t>
            </w:r>
            <w:r>
              <w:rPr>
                <w:rFonts w:ascii="宋体" w:hAnsi="宋体" w:eastAsia="宋体" w:cs="宋体"/>
                <w:spacing w:val="-5"/>
                <w:sz w:val="21"/>
                <w:szCs w:val="21"/>
              </w:rPr>
              <w:t>类型</w:t>
            </w:r>
          </w:p>
        </w:tc>
        <w:tc>
          <w:tcPr>
            <w:tcW w:w="1511" w:type="dxa"/>
            <w:gridSpan w:val="2"/>
            <w:vAlign w:val="top"/>
          </w:tcPr>
          <w:p w14:paraId="188605F8">
            <w:pPr>
              <w:spacing w:before="69" w:line="220" w:lineRule="auto"/>
              <w:ind w:left="351"/>
              <w:rPr>
                <w:rFonts w:ascii="宋体" w:hAnsi="宋体" w:eastAsia="宋体" w:cs="宋体"/>
                <w:sz w:val="21"/>
                <w:szCs w:val="21"/>
              </w:rPr>
            </w:pPr>
            <w:r>
              <w:rPr>
                <w:rFonts w:ascii="宋体" w:hAnsi="宋体" w:eastAsia="宋体" w:cs="宋体"/>
                <w:spacing w:val="-4"/>
                <w:sz w:val="21"/>
                <w:szCs w:val="21"/>
              </w:rPr>
              <w:t>噪声源强</w:t>
            </w:r>
          </w:p>
        </w:tc>
        <w:tc>
          <w:tcPr>
            <w:tcW w:w="1512" w:type="dxa"/>
            <w:gridSpan w:val="2"/>
            <w:vAlign w:val="top"/>
          </w:tcPr>
          <w:p w14:paraId="0288B7AE">
            <w:pPr>
              <w:spacing w:before="68" w:line="220" w:lineRule="auto"/>
              <w:ind w:left="358"/>
              <w:rPr>
                <w:rFonts w:ascii="宋体" w:hAnsi="宋体" w:eastAsia="宋体" w:cs="宋体"/>
                <w:sz w:val="21"/>
                <w:szCs w:val="21"/>
              </w:rPr>
            </w:pPr>
            <w:r>
              <w:rPr>
                <w:rFonts w:ascii="宋体" w:hAnsi="宋体" w:eastAsia="宋体" w:cs="宋体"/>
                <w:spacing w:val="-5"/>
                <w:sz w:val="21"/>
                <w:szCs w:val="21"/>
              </w:rPr>
              <w:t>降噪措施</w:t>
            </w:r>
          </w:p>
        </w:tc>
        <w:tc>
          <w:tcPr>
            <w:tcW w:w="1511" w:type="dxa"/>
            <w:gridSpan w:val="2"/>
            <w:vAlign w:val="top"/>
          </w:tcPr>
          <w:p w14:paraId="7C713E0C">
            <w:pPr>
              <w:spacing w:before="69" w:line="220" w:lineRule="auto"/>
              <w:ind w:left="354"/>
              <w:rPr>
                <w:rFonts w:ascii="宋体" w:hAnsi="宋体" w:eastAsia="宋体" w:cs="宋体"/>
                <w:sz w:val="21"/>
                <w:szCs w:val="21"/>
              </w:rPr>
            </w:pPr>
            <w:r>
              <w:rPr>
                <w:rFonts w:ascii="宋体" w:hAnsi="宋体" w:eastAsia="宋体" w:cs="宋体"/>
                <w:spacing w:val="-4"/>
                <w:sz w:val="21"/>
                <w:szCs w:val="21"/>
              </w:rPr>
              <w:t>噪声排放</w:t>
            </w:r>
          </w:p>
        </w:tc>
        <w:tc>
          <w:tcPr>
            <w:tcW w:w="758" w:type="dxa"/>
            <w:vMerge w:val="restart"/>
            <w:tcBorders>
              <w:bottom w:val="nil"/>
            </w:tcBorders>
            <w:vAlign w:val="top"/>
          </w:tcPr>
          <w:p w14:paraId="4716F7FE">
            <w:pPr>
              <w:spacing w:before="73" w:line="221" w:lineRule="auto"/>
              <w:ind w:left="173"/>
              <w:rPr>
                <w:rFonts w:ascii="宋体" w:hAnsi="宋体" w:eastAsia="宋体" w:cs="宋体"/>
                <w:sz w:val="21"/>
                <w:szCs w:val="21"/>
              </w:rPr>
            </w:pPr>
            <w:r>
              <w:rPr>
                <w:rFonts w:ascii="宋体" w:hAnsi="宋体" w:eastAsia="宋体" w:cs="宋体"/>
                <w:spacing w:val="-3"/>
                <w:sz w:val="21"/>
                <w:szCs w:val="21"/>
              </w:rPr>
              <w:t>排放</w:t>
            </w:r>
          </w:p>
          <w:p w14:paraId="4EFB8759">
            <w:pPr>
              <w:spacing w:before="60" w:line="222" w:lineRule="auto"/>
              <w:ind w:left="183"/>
              <w:rPr>
                <w:rFonts w:ascii="宋体" w:hAnsi="宋体" w:eastAsia="宋体" w:cs="宋体"/>
                <w:sz w:val="21"/>
                <w:szCs w:val="21"/>
              </w:rPr>
            </w:pPr>
            <w:r>
              <w:rPr>
                <w:rFonts w:ascii="宋体" w:hAnsi="宋体" w:eastAsia="宋体" w:cs="宋体"/>
                <w:spacing w:val="-5"/>
                <w:sz w:val="21"/>
                <w:szCs w:val="21"/>
              </w:rPr>
              <w:t>时间</w:t>
            </w:r>
          </w:p>
          <w:p w14:paraId="01200C6C">
            <w:pPr>
              <w:pStyle w:val="6"/>
              <w:spacing w:before="92" w:line="192" w:lineRule="auto"/>
              <w:ind w:left="294"/>
            </w:pPr>
            <w:r>
              <w:t>/h</w:t>
            </w:r>
          </w:p>
        </w:tc>
      </w:tr>
      <w:tr w14:paraId="5E06B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0" w:type="dxa"/>
            <w:vMerge w:val="continue"/>
            <w:tcBorders>
              <w:top w:val="nil"/>
            </w:tcBorders>
            <w:vAlign w:val="top"/>
          </w:tcPr>
          <w:p w14:paraId="236D9B2B">
            <w:pPr>
              <w:rPr>
                <w:rFonts w:ascii="Arial"/>
                <w:sz w:val="21"/>
              </w:rPr>
            </w:pPr>
          </w:p>
        </w:tc>
        <w:tc>
          <w:tcPr>
            <w:tcW w:w="947" w:type="dxa"/>
            <w:vMerge w:val="continue"/>
            <w:tcBorders>
              <w:top w:val="nil"/>
            </w:tcBorders>
            <w:vAlign w:val="top"/>
          </w:tcPr>
          <w:p w14:paraId="3604BB4C">
            <w:pPr>
              <w:rPr>
                <w:rFonts w:ascii="Arial"/>
                <w:sz w:val="21"/>
              </w:rPr>
            </w:pPr>
          </w:p>
        </w:tc>
        <w:tc>
          <w:tcPr>
            <w:tcW w:w="709" w:type="dxa"/>
            <w:vMerge w:val="continue"/>
            <w:tcBorders>
              <w:top w:val="nil"/>
            </w:tcBorders>
            <w:vAlign w:val="top"/>
          </w:tcPr>
          <w:p w14:paraId="1B2C4AC9">
            <w:pPr>
              <w:rPr>
                <w:rFonts w:ascii="Arial"/>
                <w:sz w:val="21"/>
              </w:rPr>
            </w:pPr>
          </w:p>
        </w:tc>
        <w:tc>
          <w:tcPr>
            <w:tcW w:w="612" w:type="dxa"/>
            <w:vMerge w:val="continue"/>
            <w:tcBorders>
              <w:top w:val="nil"/>
            </w:tcBorders>
            <w:vAlign w:val="top"/>
          </w:tcPr>
          <w:p w14:paraId="2357107B">
            <w:pPr>
              <w:rPr>
                <w:rFonts w:ascii="Arial"/>
                <w:sz w:val="21"/>
              </w:rPr>
            </w:pPr>
          </w:p>
        </w:tc>
        <w:tc>
          <w:tcPr>
            <w:tcW w:w="757" w:type="dxa"/>
            <w:vAlign w:val="top"/>
          </w:tcPr>
          <w:p w14:paraId="1A43DB2E">
            <w:pPr>
              <w:spacing w:before="49" w:line="220" w:lineRule="auto"/>
              <w:ind w:left="175"/>
              <w:rPr>
                <w:rFonts w:ascii="宋体" w:hAnsi="宋体" w:eastAsia="宋体" w:cs="宋体"/>
                <w:sz w:val="21"/>
                <w:szCs w:val="21"/>
              </w:rPr>
            </w:pPr>
            <w:r>
              <w:rPr>
                <w:rFonts w:ascii="宋体" w:hAnsi="宋体" w:eastAsia="宋体" w:cs="宋体"/>
                <w:spacing w:val="-3"/>
                <w:sz w:val="21"/>
                <w:szCs w:val="21"/>
              </w:rPr>
              <w:t>核算</w:t>
            </w:r>
          </w:p>
          <w:p w14:paraId="304A6524">
            <w:pPr>
              <w:spacing w:before="62" w:line="221" w:lineRule="auto"/>
              <w:ind w:left="174"/>
              <w:rPr>
                <w:rFonts w:ascii="宋体" w:hAnsi="宋体" w:eastAsia="宋体" w:cs="宋体"/>
                <w:sz w:val="21"/>
                <w:szCs w:val="21"/>
              </w:rPr>
            </w:pPr>
            <w:r>
              <w:rPr>
                <w:rFonts w:ascii="宋体" w:hAnsi="宋体" w:eastAsia="宋体" w:cs="宋体"/>
                <w:spacing w:val="-3"/>
                <w:sz w:val="21"/>
                <w:szCs w:val="21"/>
              </w:rPr>
              <w:t>方法</w:t>
            </w:r>
          </w:p>
        </w:tc>
        <w:tc>
          <w:tcPr>
            <w:tcW w:w="754" w:type="dxa"/>
            <w:vAlign w:val="top"/>
          </w:tcPr>
          <w:p w14:paraId="43C1E883">
            <w:pPr>
              <w:spacing w:before="205" w:line="220" w:lineRule="auto"/>
              <w:ind w:left="77"/>
              <w:rPr>
                <w:rFonts w:ascii="宋体" w:hAnsi="宋体" w:eastAsia="宋体" w:cs="宋体"/>
                <w:sz w:val="21"/>
                <w:szCs w:val="21"/>
              </w:rPr>
            </w:pPr>
            <w:r>
              <w:rPr>
                <w:rFonts w:ascii="宋体" w:hAnsi="宋体" w:eastAsia="宋体" w:cs="宋体"/>
                <w:spacing w:val="-5"/>
                <w:sz w:val="21"/>
                <w:szCs w:val="21"/>
              </w:rPr>
              <w:t>噪声值</w:t>
            </w:r>
          </w:p>
        </w:tc>
        <w:tc>
          <w:tcPr>
            <w:tcW w:w="849" w:type="dxa"/>
            <w:vAlign w:val="top"/>
          </w:tcPr>
          <w:p w14:paraId="5E0C612A">
            <w:pPr>
              <w:spacing w:before="205" w:line="230" w:lineRule="auto"/>
              <w:ind w:left="223"/>
              <w:rPr>
                <w:rFonts w:ascii="宋体" w:hAnsi="宋体" w:eastAsia="宋体" w:cs="宋体"/>
                <w:sz w:val="21"/>
                <w:szCs w:val="21"/>
              </w:rPr>
            </w:pPr>
            <w:r>
              <w:rPr>
                <w:rFonts w:ascii="宋体" w:hAnsi="宋体" w:eastAsia="宋体" w:cs="宋体"/>
                <w:spacing w:val="-3"/>
                <w:sz w:val="21"/>
                <w:szCs w:val="21"/>
              </w:rPr>
              <w:t>工艺</w:t>
            </w:r>
          </w:p>
        </w:tc>
        <w:tc>
          <w:tcPr>
            <w:tcW w:w="663" w:type="dxa"/>
            <w:vAlign w:val="top"/>
          </w:tcPr>
          <w:p w14:paraId="12F2D8F0">
            <w:pPr>
              <w:spacing w:before="49" w:line="220" w:lineRule="auto"/>
              <w:ind w:left="144"/>
              <w:rPr>
                <w:rFonts w:ascii="宋体" w:hAnsi="宋体" w:eastAsia="宋体" w:cs="宋体"/>
                <w:sz w:val="21"/>
                <w:szCs w:val="21"/>
              </w:rPr>
            </w:pPr>
            <w:r>
              <w:rPr>
                <w:rFonts w:ascii="宋体" w:hAnsi="宋体" w:eastAsia="宋体" w:cs="宋体"/>
                <w:spacing w:val="-7"/>
                <w:sz w:val="21"/>
                <w:szCs w:val="21"/>
              </w:rPr>
              <w:t>降噪</w:t>
            </w:r>
          </w:p>
          <w:p w14:paraId="359715A3">
            <w:pPr>
              <w:spacing w:before="62" w:line="220" w:lineRule="auto"/>
              <w:ind w:left="133"/>
              <w:rPr>
                <w:rFonts w:ascii="宋体" w:hAnsi="宋体" w:eastAsia="宋体" w:cs="宋体"/>
                <w:sz w:val="21"/>
                <w:szCs w:val="21"/>
              </w:rPr>
            </w:pPr>
            <w:r>
              <w:rPr>
                <w:rFonts w:ascii="宋体" w:hAnsi="宋体" w:eastAsia="宋体" w:cs="宋体"/>
                <w:spacing w:val="-4"/>
                <w:sz w:val="21"/>
                <w:szCs w:val="21"/>
              </w:rPr>
              <w:t>效果</w:t>
            </w:r>
          </w:p>
        </w:tc>
        <w:tc>
          <w:tcPr>
            <w:tcW w:w="755" w:type="dxa"/>
            <w:vAlign w:val="top"/>
          </w:tcPr>
          <w:p w14:paraId="4D573703">
            <w:pPr>
              <w:spacing w:before="49" w:line="220" w:lineRule="auto"/>
              <w:ind w:left="177"/>
              <w:rPr>
                <w:rFonts w:ascii="宋体" w:hAnsi="宋体" w:eastAsia="宋体" w:cs="宋体"/>
                <w:sz w:val="21"/>
                <w:szCs w:val="21"/>
              </w:rPr>
            </w:pPr>
            <w:r>
              <w:rPr>
                <w:rFonts w:ascii="宋体" w:hAnsi="宋体" w:eastAsia="宋体" w:cs="宋体"/>
                <w:spacing w:val="-3"/>
                <w:sz w:val="21"/>
                <w:szCs w:val="21"/>
              </w:rPr>
              <w:t>核算</w:t>
            </w:r>
          </w:p>
          <w:p w14:paraId="59154872">
            <w:pPr>
              <w:spacing w:before="62" w:line="221" w:lineRule="auto"/>
              <w:ind w:left="176"/>
              <w:rPr>
                <w:rFonts w:ascii="宋体" w:hAnsi="宋体" w:eastAsia="宋体" w:cs="宋体"/>
                <w:sz w:val="21"/>
                <w:szCs w:val="21"/>
              </w:rPr>
            </w:pPr>
            <w:r>
              <w:rPr>
                <w:rFonts w:ascii="宋体" w:hAnsi="宋体" w:eastAsia="宋体" w:cs="宋体"/>
                <w:spacing w:val="-3"/>
                <w:sz w:val="21"/>
                <w:szCs w:val="21"/>
              </w:rPr>
              <w:t>方法</w:t>
            </w:r>
          </w:p>
        </w:tc>
        <w:tc>
          <w:tcPr>
            <w:tcW w:w="756" w:type="dxa"/>
            <w:vAlign w:val="top"/>
          </w:tcPr>
          <w:p w14:paraId="1607E76A">
            <w:pPr>
              <w:spacing w:before="205" w:line="220" w:lineRule="auto"/>
              <w:ind w:left="81"/>
              <w:rPr>
                <w:rFonts w:ascii="宋体" w:hAnsi="宋体" w:eastAsia="宋体" w:cs="宋体"/>
                <w:sz w:val="21"/>
                <w:szCs w:val="21"/>
              </w:rPr>
            </w:pPr>
            <w:r>
              <w:rPr>
                <w:rFonts w:ascii="宋体" w:hAnsi="宋体" w:eastAsia="宋体" w:cs="宋体"/>
                <w:spacing w:val="-5"/>
                <w:sz w:val="21"/>
                <w:szCs w:val="21"/>
              </w:rPr>
              <w:t>噪声值</w:t>
            </w:r>
          </w:p>
        </w:tc>
        <w:tc>
          <w:tcPr>
            <w:tcW w:w="758" w:type="dxa"/>
            <w:vMerge w:val="continue"/>
            <w:tcBorders>
              <w:top w:val="nil"/>
            </w:tcBorders>
            <w:vAlign w:val="top"/>
          </w:tcPr>
          <w:p w14:paraId="02D7A160">
            <w:pPr>
              <w:rPr>
                <w:rFonts w:ascii="Arial"/>
                <w:sz w:val="21"/>
              </w:rPr>
            </w:pPr>
          </w:p>
        </w:tc>
      </w:tr>
      <w:tr w14:paraId="56BBC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0" w:type="dxa"/>
            <w:vMerge w:val="restart"/>
            <w:tcBorders>
              <w:bottom w:val="nil"/>
            </w:tcBorders>
            <w:vAlign w:val="top"/>
          </w:tcPr>
          <w:p w14:paraId="360FCB5B">
            <w:pPr>
              <w:spacing w:line="312" w:lineRule="auto"/>
              <w:rPr>
                <w:rFonts w:ascii="Arial"/>
                <w:sz w:val="21"/>
              </w:rPr>
            </w:pPr>
          </w:p>
          <w:p w14:paraId="2CAEEBC4">
            <w:pPr>
              <w:spacing w:line="313" w:lineRule="auto"/>
              <w:rPr>
                <w:rFonts w:ascii="Arial"/>
                <w:sz w:val="21"/>
              </w:rPr>
            </w:pPr>
          </w:p>
          <w:p w14:paraId="56CFC590">
            <w:pPr>
              <w:spacing w:before="69" w:line="220" w:lineRule="auto"/>
              <w:ind w:left="176"/>
              <w:rPr>
                <w:rFonts w:ascii="宋体" w:hAnsi="宋体" w:eastAsia="宋体" w:cs="宋体"/>
                <w:sz w:val="21"/>
                <w:szCs w:val="21"/>
              </w:rPr>
            </w:pPr>
            <w:r>
              <w:rPr>
                <w:rFonts w:ascii="宋体" w:hAnsi="宋体" w:eastAsia="宋体" w:cs="宋体"/>
                <w:spacing w:val="-3"/>
                <w:sz w:val="21"/>
                <w:szCs w:val="21"/>
              </w:rPr>
              <w:t>养殖</w:t>
            </w:r>
          </w:p>
        </w:tc>
        <w:tc>
          <w:tcPr>
            <w:tcW w:w="947" w:type="dxa"/>
            <w:vMerge w:val="restart"/>
            <w:tcBorders>
              <w:bottom w:val="nil"/>
            </w:tcBorders>
            <w:vAlign w:val="top"/>
          </w:tcPr>
          <w:p w14:paraId="2A2505EB">
            <w:pPr>
              <w:spacing w:line="313" w:lineRule="auto"/>
              <w:rPr>
                <w:rFonts w:ascii="Arial"/>
                <w:sz w:val="21"/>
              </w:rPr>
            </w:pPr>
          </w:p>
          <w:p w14:paraId="727A8D81">
            <w:pPr>
              <w:spacing w:line="313" w:lineRule="auto"/>
              <w:rPr>
                <w:rFonts w:ascii="Arial"/>
                <w:sz w:val="21"/>
              </w:rPr>
            </w:pPr>
          </w:p>
          <w:p w14:paraId="3BBECDCB">
            <w:pPr>
              <w:spacing w:before="69" w:line="220" w:lineRule="auto"/>
              <w:ind w:left="267"/>
              <w:rPr>
                <w:rFonts w:ascii="宋体" w:hAnsi="宋体" w:eastAsia="宋体" w:cs="宋体"/>
                <w:sz w:val="21"/>
                <w:szCs w:val="21"/>
              </w:rPr>
            </w:pPr>
            <w:r>
              <w:rPr>
                <w:rFonts w:ascii="宋体" w:hAnsi="宋体" w:eastAsia="宋体" w:cs="宋体"/>
                <w:spacing w:val="-3"/>
                <w:sz w:val="21"/>
                <w:szCs w:val="21"/>
              </w:rPr>
              <w:t>猪舍</w:t>
            </w:r>
          </w:p>
        </w:tc>
        <w:tc>
          <w:tcPr>
            <w:tcW w:w="709" w:type="dxa"/>
            <w:vAlign w:val="top"/>
          </w:tcPr>
          <w:p w14:paraId="4C4C5533">
            <w:pPr>
              <w:spacing w:before="206" w:line="220" w:lineRule="auto"/>
              <w:ind w:left="148"/>
              <w:rPr>
                <w:rFonts w:ascii="宋体" w:hAnsi="宋体" w:eastAsia="宋体" w:cs="宋体"/>
                <w:sz w:val="21"/>
                <w:szCs w:val="21"/>
              </w:rPr>
            </w:pPr>
            <w:r>
              <w:rPr>
                <w:rFonts w:ascii="宋体" w:hAnsi="宋体" w:eastAsia="宋体" w:cs="宋体"/>
                <w:spacing w:val="-3"/>
                <w:sz w:val="21"/>
                <w:szCs w:val="21"/>
              </w:rPr>
              <w:t>猪叫</w:t>
            </w:r>
          </w:p>
        </w:tc>
        <w:tc>
          <w:tcPr>
            <w:tcW w:w="612" w:type="dxa"/>
            <w:vAlign w:val="top"/>
          </w:tcPr>
          <w:p w14:paraId="5BAFCAEA">
            <w:pPr>
              <w:spacing w:before="206" w:line="220" w:lineRule="auto"/>
              <w:ind w:left="102"/>
              <w:rPr>
                <w:rFonts w:ascii="宋体" w:hAnsi="宋体" w:eastAsia="宋体" w:cs="宋体"/>
                <w:sz w:val="21"/>
                <w:szCs w:val="21"/>
              </w:rPr>
            </w:pPr>
            <w:r>
              <w:rPr>
                <w:rFonts w:ascii="宋体" w:hAnsi="宋体" w:eastAsia="宋体" w:cs="宋体"/>
                <w:spacing w:val="-3"/>
                <w:sz w:val="21"/>
                <w:szCs w:val="21"/>
              </w:rPr>
              <w:t>频发</w:t>
            </w:r>
          </w:p>
        </w:tc>
        <w:tc>
          <w:tcPr>
            <w:tcW w:w="757" w:type="dxa"/>
            <w:vAlign w:val="top"/>
          </w:tcPr>
          <w:p w14:paraId="0A28241F">
            <w:pPr>
              <w:spacing w:before="206"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3157DB77">
            <w:pPr>
              <w:pStyle w:val="6"/>
              <w:spacing w:before="243" w:line="188" w:lineRule="auto"/>
              <w:ind w:left="139"/>
            </w:pPr>
            <w:r>
              <w:rPr>
                <w:spacing w:val="-2"/>
              </w:rPr>
              <w:t>50-70</w:t>
            </w:r>
          </w:p>
        </w:tc>
        <w:tc>
          <w:tcPr>
            <w:tcW w:w="849" w:type="dxa"/>
            <w:vAlign w:val="top"/>
          </w:tcPr>
          <w:p w14:paraId="5B854639">
            <w:pPr>
              <w:spacing w:before="50" w:line="220" w:lineRule="auto"/>
              <w:jc w:val="right"/>
              <w:rPr>
                <w:rFonts w:ascii="宋体" w:hAnsi="宋体" w:eastAsia="宋体" w:cs="宋体"/>
                <w:sz w:val="21"/>
                <w:szCs w:val="21"/>
              </w:rPr>
            </w:pPr>
            <w:r>
              <w:rPr>
                <w:rFonts w:ascii="宋体" w:hAnsi="宋体" w:eastAsia="宋体" w:cs="宋体"/>
                <w:spacing w:val="-3"/>
                <w:sz w:val="21"/>
                <w:szCs w:val="21"/>
              </w:rPr>
              <w:t>加强管理</w:t>
            </w:r>
          </w:p>
          <w:p w14:paraId="05B37BA5">
            <w:pPr>
              <w:spacing w:before="62" w:line="220" w:lineRule="auto"/>
              <w:jc w:val="right"/>
              <w:rPr>
                <w:rFonts w:ascii="宋体" w:hAnsi="宋体" w:eastAsia="宋体" w:cs="宋体"/>
                <w:sz w:val="21"/>
                <w:szCs w:val="21"/>
              </w:rPr>
            </w:pPr>
            <w:r>
              <w:rPr>
                <w:rFonts w:ascii="宋体" w:hAnsi="宋体" w:eastAsia="宋体" w:cs="宋体"/>
                <w:spacing w:val="-3"/>
                <w:sz w:val="21"/>
                <w:szCs w:val="21"/>
              </w:rPr>
              <w:t>墙体隔声</w:t>
            </w:r>
          </w:p>
        </w:tc>
        <w:tc>
          <w:tcPr>
            <w:tcW w:w="663" w:type="dxa"/>
            <w:vAlign w:val="top"/>
          </w:tcPr>
          <w:p w14:paraId="64DCF558">
            <w:pPr>
              <w:pStyle w:val="6"/>
              <w:spacing w:before="243" w:line="188" w:lineRule="auto"/>
              <w:ind w:left="249"/>
            </w:pPr>
            <w:r>
              <w:rPr>
                <w:spacing w:val="-6"/>
              </w:rPr>
              <w:t>15</w:t>
            </w:r>
          </w:p>
        </w:tc>
        <w:tc>
          <w:tcPr>
            <w:tcW w:w="755" w:type="dxa"/>
            <w:vAlign w:val="top"/>
          </w:tcPr>
          <w:p w14:paraId="69C0C21C">
            <w:pPr>
              <w:spacing w:before="206"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0FC6F8B1">
            <w:pPr>
              <w:pStyle w:val="6"/>
              <w:spacing w:before="246" w:line="185" w:lineRule="auto"/>
              <w:ind w:left="218"/>
            </w:pPr>
            <w:r>
              <w:rPr>
                <w:spacing w:val="-1"/>
              </w:rPr>
              <w:t>~55</w:t>
            </w:r>
          </w:p>
        </w:tc>
        <w:tc>
          <w:tcPr>
            <w:tcW w:w="758" w:type="dxa"/>
            <w:vAlign w:val="top"/>
          </w:tcPr>
          <w:p w14:paraId="257ED6DD">
            <w:pPr>
              <w:pStyle w:val="6"/>
              <w:spacing w:before="243" w:line="188" w:lineRule="auto"/>
              <w:ind w:left="178"/>
            </w:pPr>
            <w:r>
              <w:rPr>
                <w:spacing w:val="-4"/>
              </w:rPr>
              <w:t>8760</w:t>
            </w:r>
          </w:p>
        </w:tc>
      </w:tr>
      <w:tr w14:paraId="7375A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0" w:type="dxa"/>
            <w:vMerge w:val="continue"/>
            <w:tcBorders>
              <w:top w:val="nil"/>
              <w:bottom w:val="nil"/>
            </w:tcBorders>
            <w:vAlign w:val="top"/>
          </w:tcPr>
          <w:p w14:paraId="2DC33665">
            <w:pPr>
              <w:rPr>
                <w:rFonts w:ascii="Arial"/>
                <w:sz w:val="21"/>
              </w:rPr>
            </w:pPr>
          </w:p>
        </w:tc>
        <w:tc>
          <w:tcPr>
            <w:tcW w:w="947" w:type="dxa"/>
            <w:vMerge w:val="continue"/>
            <w:tcBorders>
              <w:top w:val="nil"/>
              <w:bottom w:val="nil"/>
            </w:tcBorders>
            <w:vAlign w:val="top"/>
          </w:tcPr>
          <w:p w14:paraId="4341EAC0">
            <w:pPr>
              <w:rPr>
                <w:rFonts w:ascii="Arial"/>
                <w:sz w:val="21"/>
              </w:rPr>
            </w:pPr>
          </w:p>
        </w:tc>
        <w:tc>
          <w:tcPr>
            <w:tcW w:w="709" w:type="dxa"/>
            <w:vAlign w:val="top"/>
          </w:tcPr>
          <w:p w14:paraId="3B189454">
            <w:pPr>
              <w:spacing w:before="208" w:line="219" w:lineRule="auto"/>
              <w:ind w:left="43"/>
              <w:rPr>
                <w:rFonts w:ascii="宋体" w:hAnsi="宋体" w:eastAsia="宋体" w:cs="宋体"/>
                <w:sz w:val="21"/>
                <w:szCs w:val="21"/>
              </w:rPr>
            </w:pPr>
            <w:r>
              <w:rPr>
                <w:rFonts w:ascii="宋体" w:hAnsi="宋体" w:eastAsia="宋体" w:cs="宋体"/>
                <w:spacing w:val="-2"/>
                <w:sz w:val="21"/>
                <w:szCs w:val="21"/>
              </w:rPr>
              <w:t>通风机</w:t>
            </w:r>
          </w:p>
        </w:tc>
        <w:tc>
          <w:tcPr>
            <w:tcW w:w="612" w:type="dxa"/>
            <w:vAlign w:val="top"/>
          </w:tcPr>
          <w:p w14:paraId="7A46D594">
            <w:pPr>
              <w:spacing w:before="208" w:line="220" w:lineRule="auto"/>
              <w:ind w:left="102"/>
              <w:rPr>
                <w:rFonts w:ascii="宋体" w:hAnsi="宋体" w:eastAsia="宋体" w:cs="宋体"/>
                <w:sz w:val="21"/>
                <w:szCs w:val="21"/>
              </w:rPr>
            </w:pPr>
            <w:r>
              <w:rPr>
                <w:rFonts w:ascii="宋体" w:hAnsi="宋体" w:eastAsia="宋体" w:cs="宋体"/>
                <w:spacing w:val="-3"/>
                <w:sz w:val="21"/>
                <w:szCs w:val="21"/>
              </w:rPr>
              <w:t>频发</w:t>
            </w:r>
          </w:p>
        </w:tc>
        <w:tc>
          <w:tcPr>
            <w:tcW w:w="757" w:type="dxa"/>
            <w:vAlign w:val="top"/>
          </w:tcPr>
          <w:p w14:paraId="10F7384A">
            <w:pPr>
              <w:spacing w:before="207"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2322950B">
            <w:pPr>
              <w:pStyle w:val="6"/>
              <w:spacing w:before="244" w:line="188" w:lineRule="auto"/>
              <w:ind w:left="138"/>
            </w:pPr>
            <w:r>
              <w:rPr>
                <w:spacing w:val="-2"/>
              </w:rPr>
              <w:t>60-75</w:t>
            </w:r>
          </w:p>
        </w:tc>
        <w:tc>
          <w:tcPr>
            <w:tcW w:w="849" w:type="dxa"/>
            <w:vAlign w:val="top"/>
          </w:tcPr>
          <w:p w14:paraId="55766A36">
            <w:pPr>
              <w:spacing w:before="52" w:line="221" w:lineRule="auto"/>
              <w:jc w:val="right"/>
              <w:rPr>
                <w:rFonts w:ascii="宋体" w:hAnsi="宋体" w:eastAsia="宋体" w:cs="宋体"/>
                <w:sz w:val="21"/>
                <w:szCs w:val="21"/>
              </w:rPr>
            </w:pPr>
            <w:r>
              <w:rPr>
                <w:rFonts w:ascii="宋体" w:hAnsi="宋体" w:eastAsia="宋体" w:cs="宋体"/>
                <w:spacing w:val="-2"/>
                <w:sz w:val="21"/>
                <w:szCs w:val="21"/>
              </w:rPr>
              <w:t>低噪设备</w:t>
            </w:r>
          </w:p>
          <w:p w14:paraId="2A0C54BD">
            <w:pPr>
              <w:spacing w:before="60" w:line="220" w:lineRule="auto"/>
              <w:jc w:val="right"/>
              <w:rPr>
                <w:rFonts w:ascii="宋体" w:hAnsi="宋体" w:eastAsia="宋体" w:cs="宋体"/>
                <w:sz w:val="21"/>
                <w:szCs w:val="21"/>
              </w:rPr>
            </w:pPr>
            <w:r>
              <w:rPr>
                <w:rFonts w:ascii="宋体" w:hAnsi="宋体" w:eastAsia="宋体" w:cs="宋体"/>
                <w:spacing w:val="-3"/>
                <w:sz w:val="21"/>
                <w:szCs w:val="21"/>
              </w:rPr>
              <w:t>墙体隔声</w:t>
            </w:r>
          </w:p>
        </w:tc>
        <w:tc>
          <w:tcPr>
            <w:tcW w:w="663" w:type="dxa"/>
            <w:vAlign w:val="top"/>
          </w:tcPr>
          <w:p w14:paraId="0ECBD644">
            <w:pPr>
              <w:pStyle w:val="6"/>
              <w:spacing w:before="244" w:line="188" w:lineRule="auto"/>
              <w:ind w:left="249"/>
            </w:pPr>
            <w:r>
              <w:rPr>
                <w:spacing w:val="-6"/>
              </w:rPr>
              <w:t>10</w:t>
            </w:r>
          </w:p>
        </w:tc>
        <w:tc>
          <w:tcPr>
            <w:tcW w:w="755" w:type="dxa"/>
            <w:vAlign w:val="top"/>
          </w:tcPr>
          <w:p w14:paraId="0243C18D">
            <w:pPr>
              <w:spacing w:before="207"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6DB60268">
            <w:pPr>
              <w:pStyle w:val="6"/>
              <w:spacing w:before="244" w:line="188" w:lineRule="auto"/>
              <w:ind w:left="143"/>
            </w:pPr>
            <w:r>
              <w:rPr>
                <w:spacing w:val="-2"/>
              </w:rPr>
              <w:t>55-65</w:t>
            </w:r>
          </w:p>
        </w:tc>
        <w:tc>
          <w:tcPr>
            <w:tcW w:w="758" w:type="dxa"/>
            <w:vAlign w:val="top"/>
          </w:tcPr>
          <w:p w14:paraId="2CA1D59F">
            <w:pPr>
              <w:pStyle w:val="6"/>
              <w:spacing w:before="244" w:line="188" w:lineRule="auto"/>
              <w:ind w:left="190"/>
            </w:pPr>
            <w:r>
              <w:rPr>
                <w:spacing w:val="-7"/>
              </w:rPr>
              <w:t>1775</w:t>
            </w:r>
          </w:p>
        </w:tc>
      </w:tr>
      <w:tr w14:paraId="3B919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60" w:type="dxa"/>
            <w:vMerge w:val="continue"/>
            <w:tcBorders>
              <w:top w:val="nil"/>
            </w:tcBorders>
            <w:vAlign w:val="top"/>
          </w:tcPr>
          <w:p w14:paraId="4CB11803">
            <w:pPr>
              <w:rPr>
                <w:rFonts w:ascii="Arial"/>
                <w:sz w:val="21"/>
              </w:rPr>
            </w:pPr>
          </w:p>
        </w:tc>
        <w:tc>
          <w:tcPr>
            <w:tcW w:w="947" w:type="dxa"/>
            <w:vMerge w:val="continue"/>
            <w:tcBorders>
              <w:top w:val="nil"/>
            </w:tcBorders>
            <w:vAlign w:val="top"/>
          </w:tcPr>
          <w:p w14:paraId="5A461C28">
            <w:pPr>
              <w:rPr>
                <w:rFonts w:ascii="Arial"/>
                <w:sz w:val="21"/>
              </w:rPr>
            </w:pPr>
          </w:p>
        </w:tc>
        <w:tc>
          <w:tcPr>
            <w:tcW w:w="709" w:type="dxa"/>
            <w:vAlign w:val="top"/>
          </w:tcPr>
          <w:p w14:paraId="72BBC15F">
            <w:pPr>
              <w:spacing w:before="66" w:line="219" w:lineRule="auto"/>
              <w:ind w:left="43"/>
              <w:rPr>
                <w:rFonts w:ascii="宋体" w:hAnsi="宋体" w:eastAsia="宋体" w:cs="宋体"/>
                <w:sz w:val="21"/>
                <w:szCs w:val="21"/>
              </w:rPr>
            </w:pPr>
            <w:r>
              <w:rPr>
                <w:rFonts w:ascii="宋体" w:hAnsi="宋体" w:eastAsia="宋体" w:cs="宋体"/>
                <w:spacing w:val="-2"/>
                <w:sz w:val="21"/>
                <w:szCs w:val="21"/>
              </w:rPr>
              <w:t>供水泵</w:t>
            </w:r>
          </w:p>
        </w:tc>
        <w:tc>
          <w:tcPr>
            <w:tcW w:w="612" w:type="dxa"/>
            <w:vAlign w:val="top"/>
          </w:tcPr>
          <w:p w14:paraId="623D95FC">
            <w:pPr>
              <w:spacing w:before="66" w:line="220" w:lineRule="auto"/>
              <w:ind w:left="102"/>
              <w:rPr>
                <w:rFonts w:ascii="宋体" w:hAnsi="宋体" w:eastAsia="宋体" w:cs="宋体"/>
                <w:sz w:val="21"/>
                <w:szCs w:val="21"/>
              </w:rPr>
            </w:pPr>
            <w:r>
              <w:rPr>
                <w:rFonts w:ascii="宋体" w:hAnsi="宋体" w:eastAsia="宋体" w:cs="宋体"/>
                <w:spacing w:val="-3"/>
                <w:sz w:val="21"/>
                <w:szCs w:val="21"/>
              </w:rPr>
              <w:t>频发</w:t>
            </w:r>
          </w:p>
        </w:tc>
        <w:tc>
          <w:tcPr>
            <w:tcW w:w="757" w:type="dxa"/>
            <w:vAlign w:val="top"/>
          </w:tcPr>
          <w:p w14:paraId="6B3E25C1">
            <w:pPr>
              <w:spacing w:before="65"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59E7130E">
            <w:pPr>
              <w:pStyle w:val="6"/>
              <w:spacing w:before="102" w:line="188" w:lineRule="auto"/>
              <w:ind w:left="282"/>
            </w:pPr>
            <w:r>
              <w:rPr>
                <w:spacing w:val="-4"/>
              </w:rPr>
              <w:t>85</w:t>
            </w:r>
          </w:p>
        </w:tc>
        <w:tc>
          <w:tcPr>
            <w:tcW w:w="849" w:type="dxa"/>
            <w:vAlign w:val="top"/>
          </w:tcPr>
          <w:p w14:paraId="40228944">
            <w:pPr>
              <w:spacing w:before="65" w:line="220" w:lineRule="auto"/>
              <w:jc w:val="right"/>
              <w:rPr>
                <w:rFonts w:ascii="宋体" w:hAnsi="宋体" w:eastAsia="宋体" w:cs="宋体"/>
                <w:sz w:val="21"/>
                <w:szCs w:val="21"/>
              </w:rPr>
            </w:pPr>
            <w:r>
              <w:rPr>
                <w:rFonts w:ascii="宋体" w:hAnsi="宋体" w:eastAsia="宋体" w:cs="宋体"/>
                <w:spacing w:val="-2"/>
                <w:sz w:val="21"/>
                <w:szCs w:val="21"/>
              </w:rPr>
              <w:t>潜水安装</w:t>
            </w:r>
          </w:p>
        </w:tc>
        <w:tc>
          <w:tcPr>
            <w:tcW w:w="663" w:type="dxa"/>
            <w:vAlign w:val="top"/>
          </w:tcPr>
          <w:p w14:paraId="2CD54338">
            <w:pPr>
              <w:pStyle w:val="6"/>
              <w:spacing w:before="102" w:line="188" w:lineRule="auto"/>
              <w:ind w:left="249"/>
            </w:pPr>
            <w:r>
              <w:rPr>
                <w:spacing w:val="-6"/>
              </w:rPr>
              <w:t>15</w:t>
            </w:r>
          </w:p>
        </w:tc>
        <w:tc>
          <w:tcPr>
            <w:tcW w:w="755" w:type="dxa"/>
            <w:vAlign w:val="top"/>
          </w:tcPr>
          <w:p w14:paraId="4260030C">
            <w:pPr>
              <w:spacing w:before="65"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5FC978D9">
            <w:pPr>
              <w:pStyle w:val="6"/>
              <w:spacing w:before="102" w:line="188" w:lineRule="auto"/>
              <w:ind w:left="281"/>
            </w:pPr>
            <w:r>
              <w:rPr>
                <w:spacing w:val="-4"/>
              </w:rPr>
              <w:t>70</w:t>
            </w:r>
          </w:p>
        </w:tc>
        <w:tc>
          <w:tcPr>
            <w:tcW w:w="758" w:type="dxa"/>
            <w:vAlign w:val="top"/>
          </w:tcPr>
          <w:p w14:paraId="19B8B9BD">
            <w:pPr>
              <w:pStyle w:val="6"/>
              <w:spacing w:before="102" w:line="188" w:lineRule="auto"/>
              <w:ind w:left="178"/>
            </w:pPr>
            <w:r>
              <w:rPr>
                <w:spacing w:val="-4"/>
              </w:rPr>
              <w:t>8760</w:t>
            </w:r>
          </w:p>
        </w:tc>
      </w:tr>
      <w:tr w14:paraId="6F679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0" w:type="dxa"/>
            <w:vMerge w:val="restart"/>
            <w:tcBorders>
              <w:bottom w:val="nil"/>
            </w:tcBorders>
            <w:vAlign w:val="top"/>
          </w:tcPr>
          <w:p w14:paraId="5DA563AE">
            <w:pPr>
              <w:spacing w:line="262" w:lineRule="auto"/>
              <w:rPr>
                <w:rFonts w:ascii="Arial"/>
                <w:sz w:val="21"/>
              </w:rPr>
            </w:pPr>
          </w:p>
          <w:p w14:paraId="78A46FF4">
            <w:pPr>
              <w:spacing w:line="262" w:lineRule="auto"/>
              <w:rPr>
                <w:rFonts w:ascii="Arial"/>
                <w:sz w:val="21"/>
              </w:rPr>
            </w:pPr>
          </w:p>
          <w:p w14:paraId="3B7393B1">
            <w:pPr>
              <w:spacing w:line="263" w:lineRule="auto"/>
              <w:rPr>
                <w:rFonts w:ascii="Arial"/>
                <w:sz w:val="21"/>
              </w:rPr>
            </w:pPr>
          </w:p>
          <w:p w14:paraId="165D5184">
            <w:pPr>
              <w:spacing w:before="69" w:line="279" w:lineRule="auto"/>
              <w:ind w:left="179" w:right="167" w:hanging="2"/>
              <w:rPr>
                <w:rFonts w:ascii="宋体" w:hAnsi="宋体" w:eastAsia="宋体" w:cs="宋体"/>
                <w:sz w:val="21"/>
                <w:szCs w:val="21"/>
              </w:rPr>
            </w:pPr>
            <w:r>
              <w:rPr>
                <w:rFonts w:ascii="宋体" w:hAnsi="宋体" w:eastAsia="宋体" w:cs="宋体"/>
                <w:spacing w:val="-5"/>
                <w:sz w:val="21"/>
                <w:szCs w:val="21"/>
              </w:rPr>
              <w:t>粪污</w:t>
            </w:r>
            <w:r>
              <w:rPr>
                <w:rFonts w:ascii="宋体" w:hAnsi="宋体" w:eastAsia="宋体" w:cs="宋体"/>
                <w:spacing w:val="-7"/>
                <w:sz w:val="21"/>
                <w:szCs w:val="21"/>
              </w:rPr>
              <w:t>处理</w:t>
            </w:r>
          </w:p>
        </w:tc>
        <w:tc>
          <w:tcPr>
            <w:tcW w:w="947" w:type="dxa"/>
            <w:vAlign w:val="top"/>
          </w:tcPr>
          <w:p w14:paraId="0CAC0222">
            <w:pPr>
              <w:spacing w:before="208" w:line="220" w:lineRule="auto"/>
              <w:ind w:left="59"/>
              <w:rPr>
                <w:rFonts w:ascii="宋体" w:hAnsi="宋体" w:eastAsia="宋体" w:cs="宋体"/>
                <w:sz w:val="21"/>
                <w:szCs w:val="21"/>
              </w:rPr>
            </w:pPr>
            <w:r>
              <w:rPr>
                <w:rFonts w:ascii="宋体" w:hAnsi="宋体" w:eastAsia="宋体" w:cs="宋体"/>
                <w:spacing w:val="-2"/>
                <w:sz w:val="21"/>
                <w:szCs w:val="21"/>
              </w:rPr>
              <w:t>污水处理</w:t>
            </w:r>
          </w:p>
        </w:tc>
        <w:tc>
          <w:tcPr>
            <w:tcW w:w="709" w:type="dxa"/>
            <w:vAlign w:val="top"/>
          </w:tcPr>
          <w:p w14:paraId="21E7D1F5">
            <w:pPr>
              <w:spacing w:before="208" w:line="220" w:lineRule="auto"/>
              <w:ind w:left="151"/>
              <w:rPr>
                <w:rFonts w:ascii="宋体" w:hAnsi="宋体" w:eastAsia="宋体" w:cs="宋体"/>
                <w:sz w:val="21"/>
                <w:szCs w:val="21"/>
              </w:rPr>
            </w:pPr>
            <w:r>
              <w:rPr>
                <w:rFonts w:ascii="宋体" w:hAnsi="宋体" w:eastAsia="宋体" w:cs="宋体"/>
                <w:spacing w:val="-3"/>
                <w:sz w:val="21"/>
                <w:szCs w:val="21"/>
              </w:rPr>
              <w:t>水泵</w:t>
            </w:r>
          </w:p>
        </w:tc>
        <w:tc>
          <w:tcPr>
            <w:tcW w:w="612" w:type="dxa"/>
            <w:vAlign w:val="top"/>
          </w:tcPr>
          <w:p w14:paraId="215CE29C">
            <w:pPr>
              <w:spacing w:before="209" w:line="220" w:lineRule="auto"/>
              <w:ind w:left="102"/>
              <w:rPr>
                <w:rFonts w:ascii="宋体" w:hAnsi="宋体" w:eastAsia="宋体" w:cs="宋体"/>
                <w:sz w:val="21"/>
                <w:szCs w:val="21"/>
              </w:rPr>
            </w:pPr>
            <w:r>
              <w:rPr>
                <w:rFonts w:ascii="宋体" w:hAnsi="宋体" w:eastAsia="宋体" w:cs="宋体"/>
                <w:spacing w:val="-3"/>
                <w:sz w:val="21"/>
                <w:szCs w:val="21"/>
              </w:rPr>
              <w:t>频发</w:t>
            </w:r>
          </w:p>
        </w:tc>
        <w:tc>
          <w:tcPr>
            <w:tcW w:w="757" w:type="dxa"/>
            <w:vAlign w:val="top"/>
          </w:tcPr>
          <w:p w14:paraId="2DCFA7AE">
            <w:pPr>
              <w:spacing w:before="208"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0FEB448A">
            <w:pPr>
              <w:pStyle w:val="6"/>
              <w:spacing w:before="245" w:line="188" w:lineRule="auto"/>
              <w:ind w:left="136"/>
            </w:pPr>
            <w:r>
              <w:rPr>
                <w:spacing w:val="-2"/>
              </w:rPr>
              <w:t>75-85</w:t>
            </w:r>
          </w:p>
        </w:tc>
        <w:tc>
          <w:tcPr>
            <w:tcW w:w="849" w:type="dxa"/>
            <w:vAlign w:val="top"/>
          </w:tcPr>
          <w:p w14:paraId="0121723D">
            <w:pPr>
              <w:spacing w:before="53" w:line="221" w:lineRule="auto"/>
              <w:jc w:val="right"/>
              <w:rPr>
                <w:rFonts w:ascii="宋体" w:hAnsi="宋体" w:eastAsia="宋体" w:cs="宋体"/>
                <w:sz w:val="21"/>
                <w:szCs w:val="21"/>
              </w:rPr>
            </w:pPr>
            <w:r>
              <w:rPr>
                <w:rFonts w:ascii="宋体" w:hAnsi="宋体" w:eastAsia="宋体" w:cs="宋体"/>
                <w:spacing w:val="-2"/>
                <w:sz w:val="21"/>
                <w:szCs w:val="21"/>
              </w:rPr>
              <w:t>低噪设备</w:t>
            </w:r>
          </w:p>
          <w:p w14:paraId="151C279C">
            <w:pPr>
              <w:spacing w:before="60" w:line="220" w:lineRule="auto"/>
              <w:jc w:val="right"/>
              <w:rPr>
                <w:rFonts w:ascii="宋体" w:hAnsi="宋体" w:eastAsia="宋体" w:cs="宋体"/>
                <w:sz w:val="21"/>
                <w:szCs w:val="21"/>
              </w:rPr>
            </w:pPr>
            <w:r>
              <w:rPr>
                <w:rFonts w:ascii="宋体" w:hAnsi="宋体" w:eastAsia="宋体" w:cs="宋体"/>
                <w:spacing w:val="-2"/>
                <w:sz w:val="21"/>
                <w:szCs w:val="21"/>
              </w:rPr>
              <w:t>潜水安装</w:t>
            </w:r>
          </w:p>
        </w:tc>
        <w:tc>
          <w:tcPr>
            <w:tcW w:w="663" w:type="dxa"/>
            <w:vAlign w:val="top"/>
          </w:tcPr>
          <w:p w14:paraId="3CFB2339">
            <w:pPr>
              <w:pStyle w:val="6"/>
              <w:spacing w:before="245" w:line="188" w:lineRule="auto"/>
              <w:ind w:left="249"/>
            </w:pPr>
            <w:r>
              <w:rPr>
                <w:spacing w:val="-6"/>
              </w:rPr>
              <w:t>15</w:t>
            </w:r>
          </w:p>
        </w:tc>
        <w:tc>
          <w:tcPr>
            <w:tcW w:w="755" w:type="dxa"/>
            <w:vAlign w:val="top"/>
          </w:tcPr>
          <w:p w14:paraId="47430BEE">
            <w:pPr>
              <w:spacing w:before="208"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15779EC3">
            <w:pPr>
              <w:pStyle w:val="6"/>
              <w:spacing w:before="245" w:line="188" w:lineRule="auto"/>
              <w:ind w:left="281"/>
            </w:pPr>
            <w:r>
              <w:rPr>
                <w:spacing w:val="-4"/>
              </w:rPr>
              <w:t>70</w:t>
            </w:r>
          </w:p>
        </w:tc>
        <w:tc>
          <w:tcPr>
            <w:tcW w:w="758" w:type="dxa"/>
            <w:vAlign w:val="top"/>
          </w:tcPr>
          <w:p w14:paraId="2BF7400A">
            <w:pPr>
              <w:pStyle w:val="6"/>
              <w:spacing w:before="245" w:line="188" w:lineRule="auto"/>
              <w:ind w:left="178"/>
            </w:pPr>
            <w:r>
              <w:rPr>
                <w:spacing w:val="-4"/>
              </w:rPr>
              <w:t>8760</w:t>
            </w:r>
          </w:p>
        </w:tc>
      </w:tr>
      <w:tr w14:paraId="5A9F3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0" w:type="dxa"/>
            <w:vMerge w:val="continue"/>
            <w:tcBorders>
              <w:top w:val="nil"/>
              <w:bottom w:val="nil"/>
            </w:tcBorders>
            <w:vAlign w:val="top"/>
          </w:tcPr>
          <w:p w14:paraId="767B6A12">
            <w:pPr>
              <w:rPr>
                <w:rFonts w:ascii="Arial"/>
                <w:sz w:val="21"/>
              </w:rPr>
            </w:pPr>
          </w:p>
        </w:tc>
        <w:tc>
          <w:tcPr>
            <w:tcW w:w="947" w:type="dxa"/>
            <w:vAlign w:val="top"/>
          </w:tcPr>
          <w:p w14:paraId="59E0CCAF">
            <w:pPr>
              <w:spacing w:before="208" w:line="219" w:lineRule="auto"/>
              <w:ind w:left="59"/>
              <w:rPr>
                <w:rFonts w:ascii="宋体" w:hAnsi="宋体" w:eastAsia="宋体" w:cs="宋体"/>
                <w:sz w:val="21"/>
                <w:szCs w:val="21"/>
              </w:rPr>
            </w:pPr>
            <w:r>
              <w:rPr>
                <w:rFonts w:ascii="宋体" w:hAnsi="宋体" w:eastAsia="宋体" w:cs="宋体"/>
                <w:spacing w:val="-2"/>
                <w:sz w:val="21"/>
                <w:szCs w:val="21"/>
              </w:rPr>
              <w:t>粪肥处理</w:t>
            </w:r>
          </w:p>
        </w:tc>
        <w:tc>
          <w:tcPr>
            <w:tcW w:w="709" w:type="dxa"/>
            <w:vAlign w:val="top"/>
          </w:tcPr>
          <w:p w14:paraId="2816F2A4">
            <w:pPr>
              <w:spacing w:before="53" w:line="248" w:lineRule="auto"/>
              <w:ind w:left="151" w:right="38" w:hanging="90"/>
              <w:rPr>
                <w:rFonts w:ascii="宋体" w:hAnsi="宋体" w:eastAsia="宋体" w:cs="宋体"/>
                <w:sz w:val="21"/>
                <w:szCs w:val="21"/>
              </w:rPr>
            </w:pPr>
            <w:r>
              <w:rPr>
                <w:rFonts w:ascii="宋体" w:hAnsi="宋体" w:eastAsia="宋体" w:cs="宋体"/>
                <w:spacing w:val="-9"/>
                <w:sz w:val="21"/>
                <w:szCs w:val="21"/>
              </w:rPr>
              <w:t>固液分</w:t>
            </w:r>
            <w:r>
              <w:rPr>
                <w:rFonts w:ascii="宋体" w:hAnsi="宋体" w:eastAsia="宋体" w:cs="宋体"/>
                <w:spacing w:val="-3"/>
                <w:sz w:val="21"/>
                <w:szCs w:val="21"/>
              </w:rPr>
              <w:t>离机</w:t>
            </w:r>
          </w:p>
        </w:tc>
        <w:tc>
          <w:tcPr>
            <w:tcW w:w="612" w:type="dxa"/>
            <w:vAlign w:val="top"/>
          </w:tcPr>
          <w:p w14:paraId="4A79A9A6">
            <w:pPr>
              <w:spacing w:before="209" w:line="220" w:lineRule="auto"/>
              <w:ind w:left="102"/>
              <w:rPr>
                <w:rFonts w:ascii="宋体" w:hAnsi="宋体" w:eastAsia="宋体" w:cs="宋体"/>
                <w:sz w:val="21"/>
                <w:szCs w:val="21"/>
              </w:rPr>
            </w:pPr>
            <w:r>
              <w:rPr>
                <w:rFonts w:ascii="宋体" w:hAnsi="宋体" w:eastAsia="宋体" w:cs="宋体"/>
                <w:spacing w:val="-3"/>
                <w:sz w:val="21"/>
                <w:szCs w:val="21"/>
              </w:rPr>
              <w:t>频发</w:t>
            </w:r>
          </w:p>
        </w:tc>
        <w:tc>
          <w:tcPr>
            <w:tcW w:w="757" w:type="dxa"/>
            <w:vAlign w:val="top"/>
          </w:tcPr>
          <w:p w14:paraId="2314A9DB">
            <w:pPr>
              <w:spacing w:before="208"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0C31AF64">
            <w:pPr>
              <w:pStyle w:val="6"/>
              <w:spacing w:before="245" w:line="188" w:lineRule="auto"/>
              <w:ind w:left="136"/>
            </w:pPr>
            <w:r>
              <w:rPr>
                <w:spacing w:val="-2"/>
              </w:rPr>
              <w:t>75-85</w:t>
            </w:r>
          </w:p>
        </w:tc>
        <w:tc>
          <w:tcPr>
            <w:tcW w:w="849" w:type="dxa"/>
            <w:vAlign w:val="top"/>
          </w:tcPr>
          <w:p w14:paraId="36454BC2">
            <w:pPr>
              <w:spacing w:before="52" w:line="221" w:lineRule="auto"/>
              <w:jc w:val="right"/>
              <w:rPr>
                <w:rFonts w:ascii="宋体" w:hAnsi="宋体" w:eastAsia="宋体" w:cs="宋体"/>
                <w:sz w:val="21"/>
                <w:szCs w:val="21"/>
              </w:rPr>
            </w:pPr>
            <w:r>
              <w:rPr>
                <w:rFonts w:ascii="宋体" w:hAnsi="宋体" w:eastAsia="宋体" w:cs="宋体"/>
                <w:spacing w:val="-2"/>
                <w:sz w:val="21"/>
                <w:szCs w:val="21"/>
              </w:rPr>
              <w:t>低噪设备</w:t>
            </w:r>
          </w:p>
          <w:p w14:paraId="6058DC6B">
            <w:pPr>
              <w:spacing w:before="60" w:line="220" w:lineRule="auto"/>
              <w:jc w:val="right"/>
              <w:rPr>
                <w:rFonts w:ascii="宋体" w:hAnsi="宋体" w:eastAsia="宋体" w:cs="宋体"/>
                <w:sz w:val="21"/>
                <w:szCs w:val="21"/>
              </w:rPr>
            </w:pPr>
            <w:r>
              <w:rPr>
                <w:rFonts w:ascii="宋体" w:hAnsi="宋体" w:eastAsia="宋体" w:cs="宋体"/>
                <w:spacing w:val="-3"/>
                <w:sz w:val="21"/>
                <w:szCs w:val="21"/>
              </w:rPr>
              <w:t>墙体隔声</w:t>
            </w:r>
          </w:p>
        </w:tc>
        <w:tc>
          <w:tcPr>
            <w:tcW w:w="663" w:type="dxa"/>
            <w:vAlign w:val="top"/>
          </w:tcPr>
          <w:p w14:paraId="683AC2CE">
            <w:pPr>
              <w:pStyle w:val="6"/>
              <w:spacing w:before="245" w:line="188" w:lineRule="auto"/>
              <w:ind w:left="249"/>
            </w:pPr>
            <w:r>
              <w:rPr>
                <w:spacing w:val="-6"/>
              </w:rPr>
              <w:t>15</w:t>
            </w:r>
          </w:p>
        </w:tc>
        <w:tc>
          <w:tcPr>
            <w:tcW w:w="755" w:type="dxa"/>
            <w:vAlign w:val="top"/>
          </w:tcPr>
          <w:p w14:paraId="3359B98C">
            <w:pPr>
              <w:spacing w:before="208"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6DCDC5BC">
            <w:pPr>
              <w:pStyle w:val="6"/>
              <w:spacing w:before="245" w:line="188" w:lineRule="auto"/>
              <w:ind w:left="281"/>
            </w:pPr>
            <w:r>
              <w:rPr>
                <w:spacing w:val="-4"/>
              </w:rPr>
              <w:t>70</w:t>
            </w:r>
          </w:p>
        </w:tc>
        <w:tc>
          <w:tcPr>
            <w:tcW w:w="758" w:type="dxa"/>
            <w:vAlign w:val="top"/>
          </w:tcPr>
          <w:p w14:paraId="5134A5BF">
            <w:pPr>
              <w:pStyle w:val="6"/>
              <w:spacing w:before="245" w:line="188" w:lineRule="auto"/>
              <w:ind w:left="178"/>
            </w:pPr>
            <w:r>
              <w:rPr>
                <w:spacing w:val="-4"/>
              </w:rPr>
              <w:t>8760</w:t>
            </w:r>
          </w:p>
        </w:tc>
      </w:tr>
      <w:tr w14:paraId="1BA3D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0" w:type="dxa"/>
            <w:vMerge w:val="continue"/>
            <w:tcBorders>
              <w:top w:val="nil"/>
              <w:bottom w:val="nil"/>
            </w:tcBorders>
            <w:vAlign w:val="top"/>
          </w:tcPr>
          <w:p w14:paraId="5D5B71DB">
            <w:pPr>
              <w:rPr>
                <w:rFonts w:ascii="Arial"/>
                <w:sz w:val="21"/>
              </w:rPr>
            </w:pPr>
          </w:p>
        </w:tc>
        <w:tc>
          <w:tcPr>
            <w:tcW w:w="947" w:type="dxa"/>
            <w:vAlign w:val="top"/>
          </w:tcPr>
          <w:p w14:paraId="15A54650">
            <w:pPr>
              <w:spacing w:before="209" w:line="220" w:lineRule="auto"/>
              <w:ind w:left="59"/>
              <w:rPr>
                <w:rFonts w:ascii="宋体" w:hAnsi="宋体" w:eastAsia="宋体" w:cs="宋体"/>
                <w:sz w:val="21"/>
                <w:szCs w:val="21"/>
              </w:rPr>
            </w:pPr>
            <w:r>
              <w:rPr>
                <w:rFonts w:ascii="宋体" w:hAnsi="宋体" w:eastAsia="宋体" w:cs="宋体"/>
                <w:spacing w:val="-2"/>
                <w:sz w:val="21"/>
                <w:szCs w:val="21"/>
              </w:rPr>
              <w:t>生物除臭</w:t>
            </w:r>
          </w:p>
        </w:tc>
        <w:tc>
          <w:tcPr>
            <w:tcW w:w="709" w:type="dxa"/>
            <w:vAlign w:val="top"/>
          </w:tcPr>
          <w:p w14:paraId="1131A132">
            <w:pPr>
              <w:spacing w:before="209" w:line="219" w:lineRule="auto"/>
              <w:ind w:left="149"/>
              <w:rPr>
                <w:rFonts w:ascii="宋体" w:hAnsi="宋体" w:eastAsia="宋体" w:cs="宋体"/>
                <w:sz w:val="21"/>
                <w:szCs w:val="21"/>
              </w:rPr>
            </w:pPr>
            <w:r>
              <w:rPr>
                <w:rFonts w:ascii="宋体" w:hAnsi="宋体" w:eastAsia="宋体" w:cs="宋体"/>
                <w:spacing w:val="-3"/>
                <w:sz w:val="21"/>
                <w:szCs w:val="21"/>
              </w:rPr>
              <w:t>风机</w:t>
            </w:r>
          </w:p>
        </w:tc>
        <w:tc>
          <w:tcPr>
            <w:tcW w:w="612" w:type="dxa"/>
            <w:vAlign w:val="top"/>
          </w:tcPr>
          <w:p w14:paraId="1059CC42">
            <w:pPr>
              <w:spacing w:before="209" w:line="220" w:lineRule="auto"/>
              <w:ind w:left="102"/>
              <w:rPr>
                <w:rFonts w:ascii="宋体" w:hAnsi="宋体" w:eastAsia="宋体" w:cs="宋体"/>
                <w:sz w:val="21"/>
                <w:szCs w:val="21"/>
              </w:rPr>
            </w:pPr>
            <w:r>
              <w:rPr>
                <w:rFonts w:ascii="宋体" w:hAnsi="宋体" w:eastAsia="宋体" w:cs="宋体"/>
                <w:spacing w:val="-3"/>
                <w:sz w:val="21"/>
                <w:szCs w:val="21"/>
              </w:rPr>
              <w:t>频发</w:t>
            </w:r>
          </w:p>
        </w:tc>
        <w:tc>
          <w:tcPr>
            <w:tcW w:w="757" w:type="dxa"/>
            <w:vAlign w:val="top"/>
          </w:tcPr>
          <w:p w14:paraId="6CF3F65D">
            <w:pPr>
              <w:spacing w:before="209"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5D6E1DA5">
            <w:pPr>
              <w:pStyle w:val="6"/>
              <w:spacing w:before="246" w:line="188" w:lineRule="auto"/>
              <w:ind w:left="278"/>
            </w:pPr>
            <w:r>
              <w:rPr>
                <w:spacing w:val="-2"/>
              </w:rPr>
              <w:t>90</w:t>
            </w:r>
          </w:p>
        </w:tc>
        <w:tc>
          <w:tcPr>
            <w:tcW w:w="849" w:type="dxa"/>
            <w:vAlign w:val="top"/>
          </w:tcPr>
          <w:p w14:paraId="59D1F7E3">
            <w:pPr>
              <w:spacing w:before="53" w:line="220" w:lineRule="auto"/>
              <w:jc w:val="right"/>
              <w:rPr>
                <w:rFonts w:ascii="宋体" w:hAnsi="宋体" w:eastAsia="宋体" w:cs="宋体"/>
                <w:sz w:val="21"/>
                <w:szCs w:val="21"/>
              </w:rPr>
            </w:pPr>
            <w:r>
              <w:rPr>
                <w:rFonts w:ascii="宋体" w:hAnsi="宋体" w:eastAsia="宋体" w:cs="宋体"/>
                <w:spacing w:val="-3"/>
                <w:sz w:val="21"/>
                <w:szCs w:val="21"/>
              </w:rPr>
              <w:t>减震基础</w:t>
            </w:r>
          </w:p>
          <w:p w14:paraId="1EDB6CC5">
            <w:pPr>
              <w:spacing w:before="61" w:line="220" w:lineRule="auto"/>
              <w:jc w:val="right"/>
              <w:rPr>
                <w:rFonts w:ascii="宋体" w:hAnsi="宋体" w:eastAsia="宋体" w:cs="宋体"/>
                <w:sz w:val="21"/>
                <w:szCs w:val="21"/>
              </w:rPr>
            </w:pPr>
            <w:r>
              <w:rPr>
                <w:rFonts w:ascii="宋体" w:hAnsi="宋体" w:eastAsia="宋体" w:cs="宋体"/>
                <w:spacing w:val="-3"/>
                <w:sz w:val="21"/>
                <w:szCs w:val="21"/>
              </w:rPr>
              <w:t>设消声器</w:t>
            </w:r>
          </w:p>
        </w:tc>
        <w:tc>
          <w:tcPr>
            <w:tcW w:w="663" w:type="dxa"/>
            <w:vAlign w:val="top"/>
          </w:tcPr>
          <w:p w14:paraId="690C99B4">
            <w:pPr>
              <w:pStyle w:val="6"/>
              <w:spacing w:before="246" w:line="188" w:lineRule="auto"/>
              <w:ind w:left="249"/>
            </w:pPr>
            <w:r>
              <w:rPr>
                <w:spacing w:val="-6"/>
              </w:rPr>
              <w:t>15</w:t>
            </w:r>
          </w:p>
        </w:tc>
        <w:tc>
          <w:tcPr>
            <w:tcW w:w="755" w:type="dxa"/>
            <w:vAlign w:val="top"/>
          </w:tcPr>
          <w:p w14:paraId="0044B26D">
            <w:pPr>
              <w:spacing w:before="209"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141FD7D9">
            <w:pPr>
              <w:pStyle w:val="6"/>
              <w:spacing w:before="249" w:line="185" w:lineRule="auto"/>
              <w:ind w:left="281"/>
            </w:pPr>
            <w:r>
              <w:rPr>
                <w:spacing w:val="-4"/>
              </w:rPr>
              <w:t>75</w:t>
            </w:r>
          </w:p>
        </w:tc>
        <w:tc>
          <w:tcPr>
            <w:tcW w:w="758" w:type="dxa"/>
            <w:vAlign w:val="top"/>
          </w:tcPr>
          <w:p w14:paraId="7AC633DD">
            <w:pPr>
              <w:pStyle w:val="6"/>
              <w:spacing w:before="246" w:line="188" w:lineRule="auto"/>
              <w:ind w:left="178"/>
            </w:pPr>
            <w:r>
              <w:rPr>
                <w:spacing w:val="-4"/>
              </w:rPr>
              <w:t>8760</w:t>
            </w:r>
          </w:p>
        </w:tc>
      </w:tr>
      <w:tr w14:paraId="3B697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Merge w:val="continue"/>
            <w:tcBorders>
              <w:top w:val="nil"/>
            </w:tcBorders>
            <w:vAlign w:val="top"/>
          </w:tcPr>
          <w:p w14:paraId="12D3EACF">
            <w:pPr>
              <w:rPr>
                <w:rFonts w:ascii="Arial"/>
                <w:sz w:val="21"/>
              </w:rPr>
            </w:pPr>
          </w:p>
        </w:tc>
        <w:tc>
          <w:tcPr>
            <w:tcW w:w="947" w:type="dxa"/>
            <w:vAlign w:val="top"/>
          </w:tcPr>
          <w:p w14:paraId="175D0C42">
            <w:pPr>
              <w:spacing w:before="68" w:line="221" w:lineRule="auto"/>
              <w:ind w:left="166"/>
              <w:rPr>
                <w:rFonts w:ascii="宋体" w:hAnsi="宋体" w:eastAsia="宋体" w:cs="宋体"/>
                <w:sz w:val="21"/>
                <w:szCs w:val="21"/>
              </w:rPr>
            </w:pPr>
            <w:r>
              <w:rPr>
                <w:rFonts w:ascii="宋体" w:hAnsi="宋体" w:eastAsia="宋体" w:cs="宋体"/>
                <w:spacing w:val="-3"/>
                <w:sz w:val="21"/>
                <w:szCs w:val="21"/>
              </w:rPr>
              <w:t>消纳地</w:t>
            </w:r>
          </w:p>
        </w:tc>
        <w:tc>
          <w:tcPr>
            <w:tcW w:w="709" w:type="dxa"/>
            <w:vAlign w:val="top"/>
          </w:tcPr>
          <w:p w14:paraId="59EC9A98">
            <w:pPr>
              <w:spacing w:before="68" w:line="220" w:lineRule="auto"/>
              <w:ind w:left="151"/>
              <w:rPr>
                <w:rFonts w:ascii="宋体" w:hAnsi="宋体" w:eastAsia="宋体" w:cs="宋体"/>
                <w:sz w:val="21"/>
                <w:szCs w:val="21"/>
              </w:rPr>
            </w:pPr>
            <w:r>
              <w:rPr>
                <w:rFonts w:ascii="宋体" w:hAnsi="宋体" w:eastAsia="宋体" w:cs="宋体"/>
                <w:spacing w:val="-3"/>
                <w:sz w:val="21"/>
                <w:szCs w:val="21"/>
              </w:rPr>
              <w:t>水泵</w:t>
            </w:r>
          </w:p>
        </w:tc>
        <w:tc>
          <w:tcPr>
            <w:tcW w:w="612" w:type="dxa"/>
            <w:vAlign w:val="top"/>
          </w:tcPr>
          <w:p w14:paraId="0CAAC06C">
            <w:pPr>
              <w:spacing w:before="68" w:line="220" w:lineRule="auto"/>
              <w:ind w:left="102"/>
              <w:rPr>
                <w:rFonts w:ascii="宋体" w:hAnsi="宋体" w:eastAsia="宋体" w:cs="宋体"/>
                <w:sz w:val="21"/>
                <w:szCs w:val="21"/>
              </w:rPr>
            </w:pPr>
            <w:r>
              <w:rPr>
                <w:rFonts w:ascii="宋体" w:hAnsi="宋体" w:eastAsia="宋体" w:cs="宋体"/>
                <w:spacing w:val="-3"/>
                <w:sz w:val="21"/>
                <w:szCs w:val="21"/>
              </w:rPr>
              <w:t>频发</w:t>
            </w:r>
          </w:p>
        </w:tc>
        <w:tc>
          <w:tcPr>
            <w:tcW w:w="757" w:type="dxa"/>
            <w:vAlign w:val="top"/>
          </w:tcPr>
          <w:p w14:paraId="5F65AC97">
            <w:pPr>
              <w:spacing w:before="68"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35D7CCAD">
            <w:pPr>
              <w:pStyle w:val="6"/>
              <w:spacing w:before="105" w:line="188" w:lineRule="auto"/>
              <w:ind w:left="278"/>
            </w:pPr>
            <w:r>
              <w:rPr>
                <w:spacing w:val="-2"/>
              </w:rPr>
              <w:t>90</w:t>
            </w:r>
          </w:p>
        </w:tc>
        <w:tc>
          <w:tcPr>
            <w:tcW w:w="849" w:type="dxa"/>
            <w:vAlign w:val="top"/>
          </w:tcPr>
          <w:p w14:paraId="16336982">
            <w:pPr>
              <w:spacing w:before="68" w:line="221" w:lineRule="auto"/>
              <w:jc w:val="right"/>
              <w:rPr>
                <w:rFonts w:ascii="宋体" w:hAnsi="宋体" w:eastAsia="宋体" w:cs="宋体"/>
                <w:sz w:val="21"/>
                <w:szCs w:val="21"/>
              </w:rPr>
            </w:pPr>
            <w:r>
              <w:rPr>
                <w:rFonts w:ascii="宋体" w:hAnsi="宋体" w:eastAsia="宋体" w:cs="宋体"/>
                <w:spacing w:val="-2"/>
                <w:sz w:val="21"/>
                <w:szCs w:val="21"/>
              </w:rPr>
              <w:t>低噪设备</w:t>
            </w:r>
          </w:p>
        </w:tc>
        <w:tc>
          <w:tcPr>
            <w:tcW w:w="663" w:type="dxa"/>
            <w:vAlign w:val="top"/>
          </w:tcPr>
          <w:p w14:paraId="2B0199E5">
            <w:pPr>
              <w:pStyle w:val="6"/>
              <w:spacing w:before="105" w:line="188" w:lineRule="auto"/>
              <w:ind w:left="249"/>
            </w:pPr>
            <w:r>
              <w:rPr>
                <w:spacing w:val="-6"/>
              </w:rPr>
              <w:t>10</w:t>
            </w:r>
          </w:p>
        </w:tc>
        <w:tc>
          <w:tcPr>
            <w:tcW w:w="755" w:type="dxa"/>
            <w:vAlign w:val="top"/>
          </w:tcPr>
          <w:p w14:paraId="5F881A7F">
            <w:pPr>
              <w:spacing w:before="68"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2B4470A1">
            <w:pPr>
              <w:pStyle w:val="6"/>
              <w:spacing w:before="105" w:line="188" w:lineRule="auto"/>
              <w:ind w:left="286"/>
            </w:pPr>
            <w:r>
              <w:rPr>
                <w:spacing w:val="-7"/>
              </w:rPr>
              <w:t>80</w:t>
            </w:r>
          </w:p>
        </w:tc>
        <w:tc>
          <w:tcPr>
            <w:tcW w:w="758" w:type="dxa"/>
            <w:vAlign w:val="top"/>
          </w:tcPr>
          <w:p w14:paraId="2E52DA59">
            <w:pPr>
              <w:pStyle w:val="6"/>
              <w:spacing w:before="105" w:line="188" w:lineRule="auto"/>
              <w:ind w:left="169"/>
            </w:pPr>
            <w:r>
              <w:rPr>
                <w:spacing w:val="-1"/>
              </w:rPr>
              <w:t>4380</w:t>
            </w:r>
          </w:p>
        </w:tc>
      </w:tr>
      <w:tr w14:paraId="7EC1D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0" w:type="dxa"/>
            <w:vAlign w:val="top"/>
          </w:tcPr>
          <w:p w14:paraId="53D2CDF6">
            <w:pPr>
              <w:spacing w:before="54" w:line="222" w:lineRule="auto"/>
              <w:ind w:left="175"/>
              <w:rPr>
                <w:rFonts w:ascii="宋体" w:hAnsi="宋体" w:eastAsia="宋体" w:cs="宋体"/>
                <w:sz w:val="21"/>
                <w:szCs w:val="21"/>
              </w:rPr>
            </w:pPr>
            <w:r>
              <w:rPr>
                <w:rFonts w:ascii="宋体" w:hAnsi="宋体" w:eastAsia="宋体" w:cs="宋体"/>
                <w:spacing w:val="-3"/>
                <w:sz w:val="21"/>
                <w:szCs w:val="21"/>
              </w:rPr>
              <w:t>应急</w:t>
            </w:r>
          </w:p>
          <w:p w14:paraId="4FEB3737">
            <w:pPr>
              <w:spacing w:before="60" w:line="220" w:lineRule="auto"/>
              <w:ind w:left="179"/>
              <w:rPr>
                <w:rFonts w:ascii="宋体" w:hAnsi="宋体" w:eastAsia="宋体" w:cs="宋体"/>
                <w:sz w:val="21"/>
                <w:szCs w:val="21"/>
              </w:rPr>
            </w:pPr>
            <w:r>
              <w:rPr>
                <w:rFonts w:ascii="宋体" w:hAnsi="宋体" w:eastAsia="宋体" w:cs="宋体"/>
                <w:spacing w:val="-3"/>
                <w:sz w:val="21"/>
                <w:szCs w:val="21"/>
              </w:rPr>
              <w:t>发电</w:t>
            </w:r>
          </w:p>
        </w:tc>
        <w:tc>
          <w:tcPr>
            <w:tcW w:w="947" w:type="dxa"/>
            <w:vAlign w:val="top"/>
          </w:tcPr>
          <w:p w14:paraId="7EA1EAAA">
            <w:pPr>
              <w:spacing w:before="210" w:line="219" w:lineRule="auto"/>
              <w:ind w:left="61"/>
              <w:rPr>
                <w:rFonts w:ascii="宋体" w:hAnsi="宋体" w:eastAsia="宋体" w:cs="宋体"/>
                <w:sz w:val="21"/>
                <w:szCs w:val="21"/>
              </w:rPr>
            </w:pPr>
            <w:r>
              <w:rPr>
                <w:rFonts w:ascii="宋体" w:hAnsi="宋体" w:eastAsia="宋体" w:cs="宋体"/>
                <w:spacing w:val="-3"/>
                <w:sz w:val="21"/>
                <w:szCs w:val="21"/>
              </w:rPr>
              <w:t>发电机房</w:t>
            </w:r>
          </w:p>
        </w:tc>
        <w:tc>
          <w:tcPr>
            <w:tcW w:w="709" w:type="dxa"/>
            <w:vAlign w:val="top"/>
          </w:tcPr>
          <w:p w14:paraId="6674B908">
            <w:pPr>
              <w:spacing w:before="210" w:line="219" w:lineRule="auto"/>
              <w:ind w:left="46"/>
              <w:rPr>
                <w:rFonts w:ascii="宋体" w:hAnsi="宋体" w:eastAsia="宋体" w:cs="宋体"/>
                <w:sz w:val="21"/>
                <w:szCs w:val="21"/>
              </w:rPr>
            </w:pPr>
            <w:r>
              <w:rPr>
                <w:rFonts w:ascii="宋体" w:hAnsi="宋体" w:eastAsia="宋体" w:cs="宋体"/>
                <w:spacing w:val="-3"/>
                <w:sz w:val="21"/>
                <w:szCs w:val="21"/>
              </w:rPr>
              <w:t>发电机</w:t>
            </w:r>
          </w:p>
        </w:tc>
        <w:tc>
          <w:tcPr>
            <w:tcW w:w="612" w:type="dxa"/>
            <w:vAlign w:val="top"/>
          </w:tcPr>
          <w:p w14:paraId="32495D02">
            <w:pPr>
              <w:spacing w:before="210" w:line="219" w:lineRule="auto"/>
              <w:ind w:left="102"/>
              <w:rPr>
                <w:rFonts w:ascii="宋体" w:hAnsi="宋体" w:eastAsia="宋体" w:cs="宋体"/>
                <w:sz w:val="21"/>
                <w:szCs w:val="21"/>
              </w:rPr>
            </w:pPr>
            <w:r>
              <w:rPr>
                <w:rFonts w:ascii="宋体" w:hAnsi="宋体" w:eastAsia="宋体" w:cs="宋体"/>
                <w:spacing w:val="-3"/>
                <w:sz w:val="21"/>
                <w:szCs w:val="21"/>
              </w:rPr>
              <w:t>偶发</w:t>
            </w:r>
          </w:p>
        </w:tc>
        <w:tc>
          <w:tcPr>
            <w:tcW w:w="757" w:type="dxa"/>
            <w:vAlign w:val="top"/>
          </w:tcPr>
          <w:p w14:paraId="14989FDC">
            <w:pPr>
              <w:spacing w:before="210"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0B33592F">
            <w:pPr>
              <w:pStyle w:val="6"/>
              <w:spacing w:before="247" w:line="188" w:lineRule="auto"/>
              <w:ind w:left="277"/>
            </w:pPr>
            <w:r>
              <w:rPr>
                <w:spacing w:val="-2"/>
              </w:rPr>
              <w:t>90</w:t>
            </w:r>
          </w:p>
        </w:tc>
        <w:tc>
          <w:tcPr>
            <w:tcW w:w="849" w:type="dxa"/>
            <w:vAlign w:val="top"/>
          </w:tcPr>
          <w:p w14:paraId="500CCB0B">
            <w:pPr>
              <w:spacing w:before="54" w:line="220" w:lineRule="auto"/>
              <w:jc w:val="right"/>
              <w:rPr>
                <w:rFonts w:ascii="宋体" w:hAnsi="宋体" w:eastAsia="宋体" w:cs="宋体"/>
                <w:sz w:val="21"/>
                <w:szCs w:val="21"/>
              </w:rPr>
            </w:pPr>
            <w:r>
              <w:rPr>
                <w:rFonts w:ascii="宋体" w:hAnsi="宋体" w:eastAsia="宋体" w:cs="宋体"/>
                <w:spacing w:val="-3"/>
                <w:sz w:val="21"/>
                <w:szCs w:val="21"/>
              </w:rPr>
              <w:t>减震消声</w:t>
            </w:r>
          </w:p>
          <w:p w14:paraId="31994C03">
            <w:pPr>
              <w:spacing w:before="61" w:line="220" w:lineRule="auto"/>
              <w:jc w:val="right"/>
              <w:rPr>
                <w:rFonts w:ascii="宋体" w:hAnsi="宋体" w:eastAsia="宋体" w:cs="宋体"/>
                <w:sz w:val="21"/>
                <w:szCs w:val="21"/>
              </w:rPr>
            </w:pPr>
            <w:r>
              <w:rPr>
                <w:rFonts w:ascii="宋体" w:hAnsi="宋体" w:eastAsia="宋体" w:cs="宋体"/>
                <w:spacing w:val="-3"/>
                <w:sz w:val="21"/>
                <w:szCs w:val="21"/>
              </w:rPr>
              <w:t>墙体隔声</w:t>
            </w:r>
          </w:p>
        </w:tc>
        <w:tc>
          <w:tcPr>
            <w:tcW w:w="663" w:type="dxa"/>
            <w:vAlign w:val="top"/>
          </w:tcPr>
          <w:p w14:paraId="6E1EDE80">
            <w:pPr>
              <w:pStyle w:val="6"/>
              <w:spacing w:before="247" w:line="188" w:lineRule="auto"/>
              <w:ind w:left="249"/>
            </w:pPr>
            <w:r>
              <w:rPr>
                <w:spacing w:val="-6"/>
              </w:rPr>
              <w:t>15</w:t>
            </w:r>
          </w:p>
        </w:tc>
        <w:tc>
          <w:tcPr>
            <w:tcW w:w="755" w:type="dxa"/>
            <w:vAlign w:val="top"/>
          </w:tcPr>
          <w:p w14:paraId="79EECECB">
            <w:pPr>
              <w:spacing w:before="210"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56685C10">
            <w:pPr>
              <w:pStyle w:val="6"/>
              <w:spacing w:before="250" w:line="185" w:lineRule="auto"/>
              <w:ind w:left="281"/>
            </w:pPr>
            <w:r>
              <w:rPr>
                <w:spacing w:val="-4"/>
              </w:rPr>
              <w:t>75</w:t>
            </w:r>
          </w:p>
        </w:tc>
        <w:tc>
          <w:tcPr>
            <w:tcW w:w="758" w:type="dxa"/>
            <w:vAlign w:val="top"/>
          </w:tcPr>
          <w:p w14:paraId="32150603">
            <w:pPr>
              <w:pStyle w:val="6"/>
              <w:spacing w:before="247" w:line="188" w:lineRule="auto"/>
              <w:ind w:left="284"/>
            </w:pPr>
            <w:r>
              <w:rPr>
                <w:spacing w:val="-7"/>
              </w:rPr>
              <w:t>80</w:t>
            </w:r>
          </w:p>
        </w:tc>
      </w:tr>
      <w:tr w14:paraId="0BA0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60" w:type="dxa"/>
            <w:vAlign w:val="top"/>
          </w:tcPr>
          <w:p w14:paraId="7301F483">
            <w:pPr>
              <w:spacing w:before="69" w:line="220" w:lineRule="auto"/>
              <w:ind w:left="175"/>
              <w:rPr>
                <w:rFonts w:ascii="宋体" w:hAnsi="宋体" w:eastAsia="宋体" w:cs="宋体"/>
                <w:sz w:val="21"/>
                <w:szCs w:val="21"/>
              </w:rPr>
            </w:pPr>
            <w:r>
              <w:rPr>
                <w:rFonts w:ascii="宋体" w:hAnsi="宋体" w:eastAsia="宋体" w:cs="宋体"/>
                <w:spacing w:val="-3"/>
                <w:sz w:val="21"/>
                <w:szCs w:val="21"/>
              </w:rPr>
              <w:t>运输</w:t>
            </w:r>
          </w:p>
        </w:tc>
        <w:tc>
          <w:tcPr>
            <w:tcW w:w="947" w:type="dxa"/>
            <w:vAlign w:val="top"/>
          </w:tcPr>
          <w:p w14:paraId="6A5D591F">
            <w:pPr>
              <w:spacing w:before="69" w:line="220" w:lineRule="auto"/>
              <w:ind w:left="57"/>
              <w:rPr>
                <w:rFonts w:ascii="宋体" w:hAnsi="宋体" w:eastAsia="宋体" w:cs="宋体"/>
                <w:sz w:val="21"/>
                <w:szCs w:val="21"/>
              </w:rPr>
            </w:pPr>
            <w:r>
              <w:rPr>
                <w:rFonts w:ascii="宋体" w:hAnsi="宋体" w:eastAsia="宋体" w:cs="宋体"/>
                <w:spacing w:val="-2"/>
                <w:sz w:val="21"/>
                <w:szCs w:val="21"/>
              </w:rPr>
              <w:t>场内道路</w:t>
            </w:r>
          </w:p>
        </w:tc>
        <w:tc>
          <w:tcPr>
            <w:tcW w:w="709" w:type="dxa"/>
            <w:vAlign w:val="top"/>
          </w:tcPr>
          <w:p w14:paraId="3A4E0D84">
            <w:pPr>
              <w:spacing w:before="69" w:line="220" w:lineRule="auto"/>
              <w:ind w:left="148"/>
              <w:rPr>
                <w:rFonts w:ascii="宋体" w:hAnsi="宋体" w:eastAsia="宋体" w:cs="宋体"/>
                <w:sz w:val="21"/>
                <w:szCs w:val="21"/>
              </w:rPr>
            </w:pPr>
            <w:r>
              <w:rPr>
                <w:rFonts w:ascii="宋体" w:hAnsi="宋体" w:eastAsia="宋体" w:cs="宋体"/>
                <w:spacing w:val="-3"/>
                <w:sz w:val="21"/>
                <w:szCs w:val="21"/>
              </w:rPr>
              <w:t>汽车</w:t>
            </w:r>
          </w:p>
        </w:tc>
        <w:tc>
          <w:tcPr>
            <w:tcW w:w="612" w:type="dxa"/>
            <w:vAlign w:val="top"/>
          </w:tcPr>
          <w:p w14:paraId="3D3AE84F">
            <w:pPr>
              <w:spacing w:before="69" w:line="219" w:lineRule="auto"/>
              <w:ind w:left="102"/>
              <w:rPr>
                <w:rFonts w:ascii="宋体" w:hAnsi="宋体" w:eastAsia="宋体" w:cs="宋体"/>
                <w:sz w:val="21"/>
                <w:szCs w:val="21"/>
              </w:rPr>
            </w:pPr>
            <w:r>
              <w:rPr>
                <w:rFonts w:ascii="宋体" w:hAnsi="宋体" w:eastAsia="宋体" w:cs="宋体"/>
                <w:spacing w:val="-3"/>
                <w:sz w:val="21"/>
                <w:szCs w:val="21"/>
              </w:rPr>
              <w:t>偶发</w:t>
            </w:r>
          </w:p>
        </w:tc>
        <w:tc>
          <w:tcPr>
            <w:tcW w:w="757" w:type="dxa"/>
            <w:vAlign w:val="top"/>
          </w:tcPr>
          <w:p w14:paraId="388ADF22">
            <w:pPr>
              <w:spacing w:before="69" w:line="220" w:lineRule="auto"/>
              <w:ind w:left="173"/>
              <w:rPr>
                <w:rFonts w:ascii="宋体" w:hAnsi="宋体" w:eastAsia="宋体" w:cs="宋体"/>
                <w:sz w:val="21"/>
                <w:szCs w:val="21"/>
              </w:rPr>
            </w:pPr>
            <w:r>
              <w:rPr>
                <w:rFonts w:ascii="宋体" w:hAnsi="宋体" w:eastAsia="宋体" w:cs="宋体"/>
                <w:spacing w:val="-3"/>
                <w:sz w:val="21"/>
                <w:szCs w:val="21"/>
              </w:rPr>
              <w:t>类比</w:t>
            </w:r>
          </w:p>
        </w:tc>
        <w:tc>
          <w:tcPr>
            <w:tcW w:w="754" w:type="dxa"/>
            <w:vAlign w:val="top"/>
          </w:tcPr>
          <w:p w14:paraId="22FA919F">
            <w:pPr>
              <w:pStyle w:val="6"/>
              <w:spacing w:before="106" w:line="188" w:lineRule="auto"/>
              <w:ind w:left="138"/>
            </w:pPr>
            <w:r>
              <w:rPr>
                <w:spacing w:val="-2"/>
              </w:rPr>
              <w:t>65-75</w:t>
            </w:r>
          </w:p>
        </w:tc>
        <w:tc>
          <w:tcPr>
            <w:tcW w:w="849" w:type="dxa"/>
            <w:vAlign w:val="top"/>
          </w:tcPr>
          <w:p w14:paraId="6E213A38">
            <w:pPr>
              <w:spacing w:before="69" w:line="220" w:lineRule="auto"/>
              <w:jc w:val="right"/>
              <w:rPr>
                <w:rFonts w:ascii="宋体" w:hAnsi="宋体" w:eastAsia="宋体" w:cs="宋体"/>
                <w:sz w:val="21"/>
                <w:szCs w:val="21"/>
              </w:rPr>
            </w:pPr>
            <w:r>
              <w:rPr>
                <w:rFonts w:ascii="宋体" w:hAnsi="宋体" w:eastAsia="宋体" w:cs="宋体"/>
                <w:spacing w:val="-6"/>
                <w:sz w:val="21"/>
                <w:szCs w:val="21"/>
              </w:rPr>
              <w:t>限速禁鸣</w:t>
            </w:r>
          </w:p>
        </w:tc>
        <w:tc>
          <w:tcPr>
            <w:tcW w:w="663" w:type="dxa"/>
            <w:vAlign w:val="top"/>
          </w:tcPr>
          <w:p w14:paraId="4EFF4B18">
            <w:pPr>
              <w:pStyle w:val="6"/>
              <w:spacing w:before="106" w:line="188" w:lineRule="auto"/>
              <w:ind w:left="285"/>
            </w:pPr>
            <w:r>
              <w:t>0</w:t>
            </w:r>
          </w:p>
        </w:tc>
        <w:tc>
          <w:tcPr>
            <w:tcW w:w="755" w:type="dxa"/>
            <w:vAlign w:val="top"/>
          </w:tcPr>
          <w:p w14:paraId="7D149CF2">
            <w:pPr>
              <w:spacing w:before="69" w:line="220" w:lineRule="auto"/>
              <w:ind w:left="175"/>
              <w:rPr>
                <w:rFonts w:ascii="宋体" w:hAnsi="宋体" w:eastAsia="宋体" w:cs="宋体"/>
                <w:sz w:val="21"/>
                <w:szCs w:val="21"/>
              </w:rPr>
            </w:pPr>
            <w:r>
              <w:rPr>
                <w:rFonts w:ascii="宋体" w:hAnsi="宋体" w:eastAsia="宋体" w:cs="宋体"/>
                <w:spacing w:val="-3"/>
                <w:sz w:val="21"/>
                <w:szCs w:val="21"/>
              </w:rPr>
              <w:t>类比</w:t>
            </w:r>
          </w:p>
        </w:tc>
        <w:tc>
          <w:tcPr>
            <w:tcW w:w="756" w:type="dxa"/>
            <w:vAlign w:val="top"/>
          </w:tcPr>
          <w:p w14:paraId="6E461448">
            <w:pPr>
              <w:pStyle w:val="6"/>
              <w:spacing w:before="106" w:line="188" w:lineRule="auto"/>
              <w:ind w:left="142"/>
            </w:pPr>
            <w:r>
              <w:rPr>
                <w:spacing w:val="-2"/>
              </w:rPr>
              <w:t>65-75</w:t>
            </w:r>
          </w:p>
        </w:tc>
        <w:tc>
          <w:tcPr>
            <w:tcW w:w="758" w:type="dxa"/>
            <w:vAlign w:val="top"/>
          </w:tcPr>
          <w:p w14:paraId="7C9D1B1A">
            <w:pPr>
              <w:pStyle w:val="6"/>
              <w:spacing w:before="102" w:line="192" w:lineRule="auto"/>
              <w:ind w:left="347"/>
            </w:pPr>
            <w:r>
              <w:t>/</w:t>
            </w:r>
          </w:p>
        </w:tc>
      </w:tr>
    </w:tbl>
    <w:p w14:paraId="125A558F">
      <w:pPr>
        <w:spacing w:before="234"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2</w:t>
      </w:r>
      <w:r>
        <w:rPr>
          <w:rFonts w:ascii="宋体" w:hAnsi="宋体" w:eastAsia="宋体" w:cs="宋体"/>
          <w:b/>
          <w:bCs/>
          <w:spacing w:val="-6"/>
          <w:sz w:val="24"/>
          <w:szCs w:val="24"/>
        </w:rPr>
        <w:t>）防治措施</w:t>
      </w:r>
    </w:p>
    <w:p w14:paraId="2AB6FA42">
      <w:pPr>
        <w:spacing w:before="182" w:line="220" w:lineRule="auto"/>
        <w:ind w:left="528"/>
        <w:rPr>
          <w:rFonts w:ascii="宋体" w:hAnsi="宋体" w:eastAsia="宋体" w:cs="宋体"/>
          <w:sz w:val="24"/>
          <w:szCs w:val="24"/>
        </w:rPr>
      </w:pPr>
      <w:r>
        <w:rPr>
          <w:rFonts w:ascii="Times New Roman" w:hAnsi="Times New Roman" w:eastAsia="Times New Roman" w:cs="Times New Roman"/>
          <w:b/>
          <w:bCs/>
          <w:spacing w:val="-7"/>
          <w:sz w:val="24"/>
          <w:szCs w:val="24"/>
        </w:rPr>
        <w:t>1</w:t>
      </w:r>
      <w:r>
        <w:rPr>
          <w:rFonts w:ascii="宋体" w:hAnsi="宋体" w:eastAsia="宋体" w:cs="宋体"/>
          <w:b/>
          <w:bCs/>
          <w:spacing w:val="-7"/>
          <w:sz w:val="24"/>
          <w:szCs w:val="24"/>
        </w:rPr>
        <w:t>）猪舍噪声</w:t>
      </w:r>
    </w:p>
    <w:p w14:paraId="392E221B">
      <w:pPr>
        <w:spacing w:before="182" w:line="360" w:lineRule="auto"/>
        <w:ind w:left="38" w:right="83" w:firstLine="480"/>
        <w:rPr>
          <w:rFonts w:ascii="宋体" w:hAnsi="宋体" w:eastAsia="宋体" w:cs="宋体"/>
          <w:sz w:val="24"/>
          <w:szCs w:val="24"/>
        </w:rPr>
      </w:pPr>
      <w:r>
        <w:rPr>
          <w:rFonts w:ascii="宋体" w:hAnsi="宋体" w:eastAsia="宋体" w:cs="宋体"/>
          <w:spacing w:val="-3"/>
          <w:sz w:val="24"/>
          <w:szCs w:val="24"/>
        </w:rPr>
        <w:t>①猪叫声属于间断性噪声源，随机性较大，养殖场通过加强管理</w:t>
      </w:r>
      <w:r>
        <w:rPr>
          <w:rFonts w:ascii="宋体" w:hAnsi="宋体" w:eastAsia="宋体" w:cs="宋体"/>
          <w:spacing w:val="-4"/>
          <w:sz w:val="24"/>
          <w:szCs w:val="24"/>
        </w:rPr>
        <w:t>，提供足够</w:t>
      </w:r>
      <w:r>
        <w:rPr>
          <w:rFonts w:ascii="宋体" w:hAnsi="宋体" w:eastAsia="宋体" w:cs="宋体"/>
          <w:spacing w:val="-3"/>
          <w:sz w:val="24"/>
          <w:szCs w:val="24"/>
        </w:rPr>
        <w:t>的饲料及饮水，避免因饥饿或口渴而发出叫声；同时应减少外界噪声等对猪舍的干扰，避免因惊吓而产生不安，使猪群保持安定平和的气氛，以缓解猪只的不安</w:t>
      </w:r>
      <w:r>
        <w:rPr>
          <w:rFonts w:ascii="宋体" w:hAnsi="宋体" w:eastAsia="宋体" w:cs="宋体"/>
          <w:spacing w:val="-10"/>
          <w:sz w:val="24"/>
          <w:szCs w:val="24"/>
        </w:rPr>
        <w:t>情绪。</w:t>
      </w:r>
    </w:p>
    <w:p w14:paraId="0912F7D1">
      <w:pPr>
        <w:spacing w:line="360" w:lineRule="auto"/>
        <w:ind w:left="41" w:right="83" w:firstLine="476"/>
        <w:rPr>
          <w:rFonts w:ascii="宋体" w:hAnsi="宋体" w:eastAsia="宋体" w:cs="宋体"/>
          <w:sz w:val="24"/>
          <w:szCs w:val="24"/>
        </w:rPr>
      </w:pPr>
      <w:r>
        <w:rPr>
          <w:rFonts w:ascii="宋体" w:hAnsi="宋体" w:eastAsia="宋体" w:cs="宋体"/>
          <w:spacing w:val="-3"/>
          <w:sz w:val="24"/>
          <w:szCs w:val="24"/>
        </w:rPr>
        <w:t>②项目养殖场内的猪舍为砖混结构，除门窗和排风口以外，为封闭</w:t>
      </w:r>
      <w:r>
        <w:rPr>
          <w:rFonts w:ascii="宋体" w:hAnsi="宋体" w:eastAsia="宋体" w:cs="宋体"/>
          <w:spacing w:val="-4"/>
          <w:sz w:val="24"/>
          <w:szCs w:val="24"/>
        </w:rPr>
        <w:t>养殖，利</w:t>
      </w:r>
      <w:r>
        <w:rPr>
          <w:rFonts w:ascii="宋体" w:hAnsi="宋体" w:eastAsia="宋体" w:cs="宋体"/>
          <w:spacing w:val="-5"/>
          <w:sz w:val="24"/>
          <w:szCs w:val="24"/>
        </w:rPr>
        <w:t>用猪舍墙体进行隔声。</w:t>
      </w:r>
    </w:p>
    <w:p w14:paraId="3EF0E531">
      <w:pPr>
        <w:spacing w:line="217" w:lineRule="auto"/>
        <w:ind w:left="517"/>
        <w:rPr>
          <w:rFonts w:ascii="宋体" w:hAnsi="宋体" w:eastAsia="宋体" w:cs="宋体"/>
          <w:sz w:val="24"/>
          <w:szCs w:val="24"/>
        </w:rPr>
      </w:pPr>
      <w:r>
        <w:rPr>
          <w:rFonts w:ascii="宋体" w:hAnsi="宋体" w:eastAsia="宋体" w:cs="宋体"/>
          <w:spacing w:val="-1"/>
          <w:sz w:val="24"/>
          <w:szCs w:val="24"/>
        </w:rPr>
        <w:t>③生猪出栏销售时间安排在昼间，减少猪叫噪</w:t>
      </w:r>
      <w:r>
        <w:rPr>
          <w:rFonts w:ascii="宋体" w:hAnsi="宋体" w:eastAsia="宋体" w:cs="宋体"/>
          <w:spacing w:val="-2"/>
          <w:sz w:val="24"/>
          <w:szCs w:val="24"/>
        </w:rPr>
        <w:t>声对周围声环境的影响。</w:t>
      </w:r>
    </w:p>
    <w:p w14:paraId="324288DB">
      <w:pPr>
        <w:spacing w:before="186" w:line="217" w:lineRule="auto"/>
        <w:jc w:val="right"/>
        <w:rPr>
          <w:rFonts w:ascii="宋体" w:hAnsi="宋体" w:eastAsia="宋体" w:cs="宋体"/>
          <w:sz w:val="24"/>
          <w:szCs w:val="24"/>
        </w:rPr>
      </w:pPr>
      <w:r>
        <w:rPr>
          <w:rFonts w:ascii="宋体" w:hAnsi="宋体" w:eastAsia="宋体" w:cs="宋体"/>
          <w:spacing w:val="-1"/>
          <w:sz w:val="24"/>
          <w:szCs w:val="24"/>
        </w:rPr>
        <w:t>④猪舍通风机、供水水泵等设备通过选择低噪设备、合理布局等措施控制。</w:t>
      </w:r>
    </w:p>
    <w:p w14:paraId="367A1B48">
      <w:pPr>
        <w:spacing w:before="186" w:line="220" w:lineRule="auto"/>
        <w:ind w:left="518"/>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）设备噪声</w:t>
      </w:r>
    </w:p>
    <w:p w14:paraId="0D17A389">
      <w:pPr>
        <w:spacing w:before="182" w:line="217" w:lineRule="auto"/>
        <w:ind w:left="518"/>
        <w:rPr>
          <w:rFonts w:ascii="宋体" w:hAnsi="宋体" w:eastAsia="宋体" w:cs="宋体"/>
          <w:sz w:val="24"/>
          <w:szCs w:val="24"/>
        </w:rPr>
      </w:pPr>
      <w:r>
        <w:rPr>
          <w:rFonts w:ascii="宋体" w:hAnsi="宋体" w:eastAsia="宋体" w:cs="宋体"/>
          <w:spacing w:val="-1"/>
          <w:sz w:val="24"/>
          <w:szCs w:val="24"/>
        </w:rPr>
        <w:t>①水泵、风机等各类设备选型时，尽量选择</w:t>
      </w:r>
      <w:r>
        <w:rPr>
          <w:rFonts w:ascii="宋体" w:hAnsi="宋体" w:eastAsia="宋体" w:cs="宋体"/>
          <w:spacing w:val="-2"/>
          <w:sz w:val="24"/>
          <w:szCs w:val="24"/>
        </w:rPr>
        <w:t>相对噪声较小的机械设备。</w:t>
      </w:r>
    </w:p>
    <w:p w14:paraId="5C7CE3FB">
      <w:pPr>
        <w:spacing w:before="186" w:line="345" w:lineRule="auto"/>
        <w:ind w:left="38" w:right="83" w:firstLine="479"/>
        <w:rPr>
          <w:rFonts w:ascii="宋体" w:hAnsi="宋体" w:eastAsia="宋体" w:cs="宋体"/>
          <w:sz w:val="24"/>
          <w:szCs w:val="24"/>
        </w:rPr>
      </w:pPr>
      <w:r>
        <w:rPr>
          <w:rFonts w:ascii="宋体" w:hAnsi="宋体" w:eastAsia="宋体" w:cs="宋体"/>
          <w:spacing w:val="-3"/>
          <w:sz w:val="24"/>
          <w:szCs w:val="24"/>
        </w:rPr>
        <w:t>②水泵加装减振器，进水管道设可曲挠管道橡胶伸缩接头以减小水</w:t>
      </w:r>
      <w:r>
        <w:rPr>
          <w:rFonts w:ascii="宋体" w:hAnsi="宋体" w:eastAsia="宋体" w:cs="宋体"/>
          <w:spacing w:val="-4"/>
          <w:sz w:val="24"/>
          <w:szCs w:val="24"/>
        </w:rPr>
        <w:t>锤冲击和</w:t>
      </w:r>
      <w:r>
        <w:rPr>
          <w:rFonts w:ascii="宋体" w:hAnsi="宋体" w:eastAsia="宋体" w:cs="宋体"/>
          <w:spacing w:val="-3"/>
          <w:sz w:val="24"/>
          <w:szCs w:val="24"/>
        </w:rPr>
        <w:t>水泵震动产生的噪声，连接水泵进出口的水管、进出隔墙处与运转设备连接的管</w:t>
      </w:r>
      <w:r>
        <w:rPr>
          <w:rFonts w:ascii="宋体" w:hAnsi="宋体" w:eastAsia="宋体" w:cs="宋体"/>
          <w:spacing w:val="-5"/>
          <w:sz w:val="24"/>
          <w:szCs w:val="24"/>
        </w:rPr>
        <w:t>道均采用减震吊架。</w:t>
      </w:r>
    </w:p>
    <w:p w14:paraId="3E3B8D09">
      <w:pPr>
        <w:spacing w:line="345" w:lineRule="auto"/>
        <w:rPr>
          <w:rFonts w:ascii="宋体" w:hAnsi="宋体" w:eastAsia="宋体" w:cs="宋体"/>
          <w:sz w:val="24"/>
          <w:szCs w:val="24"/>
        </w:rPr>
        <w:sectPr>
          <w:headerReference r:id="rId221" w:type="default"/>
          <w:footerReference r:id="rId222" w:type="default"/>
          <w:pgSz w:w="11905" w:h="16840"/>
          <w:pgMar w:top="1168" w:right="1714" w:bottom="1409" w:left="1770" w:header="828" w:footer="1244" w:gutter="0"/>
          <w:cols w:space="720" w:num="1"/>
        </w:sectPr>
      </w:pPr>
    </w:p>
    <w:p w14:paraId="06ABCC9A">
      <w:pPr>
        <w:pStyle w:val="2"/>
        <w:spacing w:line="306" w:lineRule="auto"/>
      </w:pPr>
    </w:p>
    <w:p w14:paraId="439C390A">
      <w:pPr>
        <w:spacing w:before="78" w:line="360" w:lineRule="auto"/>
        <w:ind w:left="53" w:right="186" w:firstLine="463"/>
        <w:rPr>
          <w:rFonts w:ascii="宋体" w:hAnsi="宋体" w:eastAsia="宋体" w:cs="宋体"/>
          <w:sz w:val="24"/>
          <w:szCs w:val="24"/>
        </w:rPr>
      </w:pPr>
      <w:r>
        <w:rPr>
          <w:rFonts w:ascii="宋体" w:hAnsi="宋体" w:eastAsia="宋体" w:cs="宋体"/>
          <w:spacing w:val="-3"/>
          <w:sz w:val="24"/>
          <w:szCs w:val="24"/>
        </w:rPr>
        <w:t>③柴油发电机选用低噪声设备，对发电机组基础安装减振垫，发电</w:t>
      </w:r>
      <w:r>
        <w:rPr>
          <w:rFonts w:ascii="宋体" w:hAnsi="宋体" w:eastAsia="宋体" w:cs="宋体"/>
          <w:spacing w:val="-4"/>
          <w:sz w:val="24"/>
          <w:szCs w:val="24"/>
        </w:rPr>
        <w:t>机房安装隔声、吸声材料，出风口设置消声器。</w:t>
      </w:r>
    </w:p>
    <w:p w14:paraId="12F489AA">
      <w:pPr>
        <w:spacing w:line="360" w:lineRule="auto"/>
        <w:ind w:left="41" w:right="186" w:firstLine="476"/>
        <w:rPr>
          <w:rFonts w:ascii="宋体" w:hAnsi="宋体" w:eastAsia="宋体" w:cs="宋体"/>
          <w:sz w:val="24"/>
          <w:szCs w:val="24"/>
        </w:rPr>
      </w:pPr>
      <w:r>
        <w:rPr>
          <w:rFonts w:ascii="宋体" w:hAnsi="宋体" w:eastAsia="宋体" w:cs="宋体"/>
          <w:spacing w:val="-7"/>
          <w:sz w:val="24"/>
          <w:szCs w:val="24"/>
        </w:rPr>
        <w:t>④污水处理站污水提升泵、污泥泵选用低噪声设备， 基础安装减振垫，且位</w:t>
      </w:r>
      <w:r>
        <w:rPr>
          <w:rFonts w:ascii="宋体" w:hAnsi="宋体" w:eastAsia="宋体" w:cs="宋体"/>
          <w:spacing w:val="-10"/>
          <w:sz w:val="24"/>
          <w:szCs w:val="24"/>
        </w:rPr>
        <w:t>于水下，噪声影响较小；风机进出口设软接头，风机进出口风管处安装消声设备；</w:t>
      </w:r>
      <w:r>
        <w:rPr>
          <w:rFonts w:ascii="宋体" w:hAnsi="宋体" w:eastAsia="宋体" w:cs="宋体"/>
          <w:spacing w:val="-3"/>
          <w:sz w:val="24"/>
          <w:szCs w:val="24"/>
        </w:rPr>
        <w:t>污水处理站设备房安装隔声、吸声材料。</w:t>
      </w:r>
    </w:p>
    <w:p w14:paraId="1E97C6D3">
      <w:pPr>
        <w:spacing w:before="2" w:line="359" w:lineRule="auto"/>
        <w:ind w:left="40" w:right="186" w:firstLine="477"/>
        <w:rPr>
          <w:rFonts w:ascii="宋体" w:hAnsi="宋体" w:eastAsia="宋体" w:cs="宋体"/>
          <w:sz w:val="24"/>
          <w:szCs w:val="24"/>
        </w:rPr>
      </w:pPr>
      <w:r>
        <w:rPr>
          <w:rFonts w:ascii="宋体" w:hAnsi="宋体" w:eastAsia="宋体" w:cs="宋体"/>
          <w:spacing w:val="-3"/>
          <w:sz w:val="24"/>
          <w:szCs w:val="24"/>
        </w:rPr>
        <w:t>⑤养猪场内加强绿化，乔灌木结合，充分利用绿化植物的隔声降噪</w:t>
      </w:r>
      <w:r>
        <w:rPr>
          <w:rFonts w:ascii="宋体" w:hAnsi="宋体" w:eastAsia="宋体" w:cs="宋体"/>
          <w:spacing w:val="-4"/>
          <w:sz w:val="24"/>
          <w:szCs w:val="24"/>
        </w:rPr>
        <w:t>，阻隔声</w:t>
      </w:r>
      <w:r>
        <w:rPr>
          <w:rFonts w:ascii="宋体" w:hAnsi="宋体" w:eastAsia="宋体" w:cs="宋体"/>
          <w:spacing w:val="-9"/>
          <w:sz w:val="24"/>
          <w:szCs w:val="24"/>
        </w:rPr>
        <w:t>波传播。</w:t>
      </w:r>
    </w:p>
    <w:p w14:paraId="41A8B073">
      <w:pPr>
        <w:spacing w:line="219" w:lineRule="auto"/>
        <w:ind w:left="516"/>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）车辆运输噪声</w:t>
      </w:r>
    </w:p>
    <w:p w14:paraId="1F4C61E2">
      <w:pPr>
        <w:spacing w:before="182" w:line="362" w:lineRule="auto"/>
        <w:ind w:left="42" w:right="186" w:firstLine="480"/>
        <w:rPr>
          <w:rFonts w:ascii="宋体" w:hAnsi="宋体" w:eastAsia="宋体" w:cs="宋体"/>
          <w:sz w:val="24"/>
          <w:szCs w:val="24"/>
        </w:rPr>
      </w:pPr>
      <w:r>
        <w:rPr>
          <w:rFonts w:ascii="宋体" w:hAnsi="宋体" w:eastAsia="宋体" w:cs="宋体"/>
          <w:spacing w:val="-7"/>
          <w:sz w:val="24"/>
          <w:szCs w:val="24"/>
        </w:rPr>
        <w:t>项目内车辆运输噪声为不连续、间断性噪声， 噪声源声级较小，通过加强管</w:t>
      </w:r>
      <w:r>
        <w:rPr>
          <w:rFonts w:ascii="宋体" w:hAnsi="宋体" w:eastAsia="宋体" w:cs="宋体"/>
          <w:spacing w:val="-3"/>
          <w:sz w:val="24"/>
          <w:szCs w:val="24"/>
        </w:rPr>
        <w:t>理、禁止鸣笛等措施可控制在较低范围内。</w:t>
      </w:r>
    </w:p>
    <w:p w14:paraId="0F10A117">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1"/>
          <w:sz w:val="27"/>
          <w:szCs w:val="27"/>
        </w:rPr>
        <w:t>2.2.4.4</w:t>
      </w:r>
      <w:r>
        <w:rPr>
          <w:rFonts w:ascii="Times New Roman" w:hAnsi="Times New Roman" w:eastAsia="Times New Roman" w:cs="Times New Roman"/>
          <w:b/>
          <w:bCs/>
          <w:spacing w:val="42"/>
          <w:sz w:val="27"/>
          <w:szCs w:val="27"/>
        </w:rPr>
        <w:t xml:space="preserve"> </w:t>
      </w:r>
      <w:r>
        <w:rPr>
          <w:rFonts w:ascii="宋体" w:hAnsi="宋体" w:eastAsia="宋体" w:cs="宋体"/>
          <w:b/>
          <w:bCs/>
          <w:spacing w:val="1"/>
          <w:sz w:val="27"/>
          <w:szCs w:val="27"/>
        </w:rPr>
        <w:t>固体废物</w:t>
      </w:r>
    </w:p>
    <w:p w14:paraId="0C658C74">
      <w:pPr>
        <w:spacing w:before="235"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）固体废物产生情况</w:t>
      </w:r>
    </w:p>
    <w:p w14:paraId="05728492">
      <w:pPr>
        <w:spacing w:before="182" w:line="360" w:lineRule="auto"/>
        <w:ind w:left="41" w:right="99" w:firstLine="479"/>
        <w:rPr>
          <w:rFonts w:ascii="宋体" w:hAnsi="宋体" w:eastAsia="宋体" w:cs="宋体"/>
          <w:sz w:val="24"/>
          <w:szCs w:val="24"/>
        </w:rPr>
      </w:pPr>
      <w:r>
        <w:rPr>
          <w:rFonts w:ascii="宋体" w:hAnsi="宋体" w:eastAsia="宋体" w:cs="宋体"/>
          <w:spacing w:val="-1"/>
          <w:sz w:val="24"/>
          <w:szCs w:val="24"/>
        </w:rPr>
        <w:t>本项目产生的固体废物主要为猪粪、沼渣、污泥、废脱硫剂、废包装材料、</w:t>
      </w:r>
      <w:r>
        <w:rPr>
          <w:rFonts w:ascii="宋体" w:hAnsi="宋体" w:eastAsia="宋体" w:cs="宋体"/>
          <w:spacing w:val="-3"/>
          <w:sz w:val="24"/>
          <w:szCs w:val="24"/>
        </w:rPr>
        <w:t>生活垃圾、病死猪、诊疗废弃物等。</w:t>
      </w:r>
    </w:p>
    <w:p w14:paraId="2FD02ACD">
      <w:pPr>
        <w:spacing w:before="1" w:line="220" w:lineRule="auto"/>
        <w:ind w:left="528"/>
        <w:rPr>
          <w:rFonts w:ascii="宋体" w:hAnsi="宋体" w:eastAsia="宋体" w:cs="宋体"/>
          <w:sz w:val="24"/>
          <w:szCs w:val="24"/>
        </w:rPr>
      </w:pP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）一般固废</w:t>
      </w:r>
    </w:p>
    <w:p w14:paraId="1250EA36">
      <w:pPr>
        <w:spacing w:before="182" w:line="217" w:lineRule="auto"/>
        <w:ind w:left="518"/>
        <w:rPr>
          <w:rFonts w:ascii="宋体" w:hAnsi="宋体" w:eastAsia="宋体" w:cs="宋体"/>
          <w:sz w:val="24"/>
          <w:szCs w:val="24"/>
        </w:rPr>
      </w:pPr>
      <w:r>
        <w:rPr>
          <w:rFonts w:ascii="宋体" w:hAnsi="宋体" w:eastAsia="宋体" w:cs="宋体"/>
          <w:spacing w:val="-2"/>
          <w:sz w:val="24"/>
          <w:szCs w:val="24"/>
        </w:rPr>
        <w:t>①猪粪</w:t>
      </w:r>
    </w:p>
    <w:p w14:paraId="68A54A49">
      <w:pPr>
        <w:spacing w:before="185" w:line="360" w:lineRule="auto"/>
        <w:ind w:left="40" w:right="200" w:firstLine="480"/>
        <w:rPr>
          <w:rFonts w:ascii="宋体" w:hAnsi="宋体" w:eastAsia="宋体" w:cs="宋体"/>
          <w:sz w:val="24"/>
          <w:szCs w:val="24"/>
        </w:rPr>
      </w:pPr>
      <w:r>
        <w:rPr>
          <w:rFonts w:ascii="宋体" w:hAnsi="宋体" w:eastAsia="宋体" w:cs="宋体"/>
          <w:spacing w:val="-1"/>
          <w:sz w:val="24"/>
          <w:szCs w:val="24"/>
        </w:rPr>
        <w:t>经计算，本项目猪粪总的产生量为</w:t>
      </w:r>
      <w:r>
        <w:rPr>
          <w:rFonts w:ascii="Times New Roman" w:hAnsi="Times New Roman" w:eastAsia="Times New Roman" w:cs="Times New Roman"/>
          <w:spacing w:val="-1"/>
          <w:sz w:val="24"/>
          <w:szCs w:val="24"/>
        </w:rPr>
        <w:t>65.50t/d</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23905.9t/a</w:t>
      </w:r>
      <w:r>
        <w:rPr>
          <w:rFonts w:ascii="宋体" w:hAnsi="宋体" w:eastAsia="宋体" w:cs="宋体"/>
          <w:spacing w:val="-1"/>
          <w:sz w:val="24"/>
          <w:szCs w:val="24"/>
        </w:rPr>
        <w:t>，经固液分离机进行</w:t>
      </w:r>
      <w:r>
        <w:rPr>
          <w:rFonts w:ascii="宋体" w:hAnsi="宋体" w:eastAsia="宋体" w:cs="宋体"/>
          <w:sz w:val="24"/>
          <w:szCs w:val="24"/>
        </w:rPr>
        <w:t>脱水预处理后（含水率</w:t>
      </w:r>
      <w:r>
        <w:rPr>
          <w:rFonts w:ascii="Times New Roman" w:hAnsi="Times New Roman" w:eastAsia="Times New Roman" w:cs="Times New Roman"/>
          <w:sz w:val="24"/>
          <w:szCs w:val="24"/>
        </w:rPr>
        <w:t>60%</w:t>
      </w:r>
      <w:r>
        <w:rPr>
          <w:rFonts w:ascii="宋体" w:hAnsi="宋体" w:eastAsia="宋体" w:cs="宋体"/>
          <w:sz w:val="24"/>
          <w:szCs w:val="24"/>
        </w:rPr>
        <w:t>）的猪粪量约</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1952.9t/a</w:t>
      </w:r>
      <w:r>
        <w:rPr>
          <w:rFonts w:ascii="宋体" w:hAnsi="宋体" w:eastAsia="宋体" w:cs="宋体"/>
          <w:spacing w:val="-1"/>
          <w:sz w:val="24"/>
          <w:szCs w:val="24"/>
        </w:rPr>
        <w:t>。</w:t>
      </w:r>
    </w:p>
    <w:p w14:paraId="5493D801">
      <w:pPr>
        <w:spacing w:before="1" w:line="218" w:lineRule="auto"/>
        <w:ind w:left="520"/>
        <w:rPr>
          <w:rFonts w:ascii="宋体" w:hAnsi="宋体" w:eastAsia="宋体" w:cs="宋体"/>
          <w:sz w:val="24"/>
          <w:szCs w:val="24"/>
        </w:rPr>
      </w:pPr>
      <w:r>
        <w:rPr>
          <w:rFonts w:ascii="宋体" w:hAnsi="宋体" w:eastAsia="宋体" w:cs="宋体"/>
          <w:spacing w:val="-5"/>
          <w:sz w:val="24"/>
          <w:szCs w:val="24"/>
        </w:rPr>
        <w:t>本项目猪粪拟采取如下措施：</w:t>
      </w:r>
    </w:p>
    <w:p w14:paraId="6340479A">
      <w:pPr>
        <w:spacing w:before="184" w:line="360" w:lineRule="auto"/>
        <w:ind w:left="42" w:right="121" w:firstLine="473"/>
        <w:rPr>
          <w:rFonts w:ascii="宋体" w:hAnsi="宋体" w:eastAsia="宋体" w:cs="宋体"/>
          <w:sz w:val="24"/>
          <w:szCs w:val="24"/>
        </w:rPr>
      </w:pPr>
      <w:r>
        <w:rPr>
          <w:rFonts w:ascii="Times New Roman" w:hAnsi="Times New Roman" w:eastAsia="Times New Roman" w:cs="Times New Roman"/>
          <w:spacing w:val="-12"/>
          <w:sz w:val="24"/>
          <w:szCs w:val="24"/>
        </w:rPr>
        <w:t>Ⅰ.</w:t>
      </w:r>
      <w:r>
        <w:rPr>
          <w:rFonts w:ascii="宋体" w:hAnsi="宋体" w:eastAsia="宋体" w:cs="宋体"/>
          <w:spacing w:val="-12"/>
          <w:sz w:val="24"/>
          <w:szCs w:val="24"/>
        </w:rPr>
        <w:t>猪舍采用“原环保部认可的清粪工艺”（同牧原食品股份有限公司清粪工艺，</w:t>
      </w:r>
      <w:r>
        <w:rPr>
          <w:rFonts w:ascii="宋体" w:hAnsi="宋体" w:eastAsia="宋体" w:cs="宋体"/>
          <w:spacing w:val="-3"/>
          <w:sz w:val="24"/>
          <w:szCs w:val="24"/>
        </w:rPr>
        <w:t>为原环保部认可具备干清粪工艺基本特征），粪尿离</w:t>
      </w:r>
      <w:r>
        <w:rPr>
          <w:rFonts w:ascii="宋体" w:hAnsi="宋体" w:eastAsia="宋体" w:cs="宋体"/>
          <w:spacing w:val="-4"/>
          <w:sz w:val="24"/>
          <w:szCs w:val="24"/>
        </w:rPr>
        <w:t>开储存池后立即进行干湿分离，避免猪粪长时间浸泡。</w:t>
      </w:r>
    </w:p>
    <w:p w14:paraId="01E2F330">
      <w:pPr>
        <w:spacing w:line="360" w:lineRule="auto"/>
        <w:ind w:left="37" w:right="186" w:firstLine="478"/>
        <w:rPr>
          <w:rFonts w:ascii="宋体" w:hAnsi="宋体" w:eastAsia="宋体" w:cs="宋体"/>
          <w:sz w:val="24"/>
          <w:szCs w:val="24"/>
        </w:rPr>
      </w:pPr>
      <w:r>
        <w:rPr>
          <w:rFonts w:ascii="Times New Roman" w:hAnsi="Times New Roman" w:eastAsia="Times New Roman" w:cs="Times New Roman"/>
          <w:spacing w:val="-6"/>
          <w:sz w:val="24"/>
          <w:szCs w:val="24"/>
        </w:rPr>
        <w:t>Ⅱ.</w:t>
      </w:r>
      <w:r>
        <w:rPr>
          <w:rFonts w:ascii="宋体" w:hAnsi="宋体" w:eastAsia="宋体" w:cs="宋体"/>
          <w:spacing w:val="-6"/>
          <w:sz w:val="24"/>
          <w:szCs w:val="24"/>
        </w:rPr>
        <w:t>猪粪与沼渣、污水处理站污泥经固液分离脱水后， 运至堆粪棚暂存，及时</w:t>
      </w:r>
      <w:r>
        <w:rPr>
          <w:rFonts w:ascii="宋体" w:hAnsi="宋体" w:eastAsia="宋体" w:cs="宋体"/>
          <w:spacing w:val="-3"/>
          <w:sz w:val="24"/>
          <w:szCs w:val="24"/>
        </w:rPr>
        <w:t>送往四川正威实业有限公司生产有机肥。</w:t>
      </w:r>
    </w:p>
    <w:p w14:paraId="7CD3C387">
      <w:pPr>
        <w:spacing w:line="360" w:lineRule="auto"/>
        <w:ind w:left="41" w:right="184" w:firstLine="474"/>
        <w:rPr>
          <w:rFonts w:ascii="宋体" w:hAnsi="宋体" w:eastAsia="宋体" w:cs="宋体"/>
          <w:sz w:val="24"/>
          <w:szCs w:val="24"/>
        </w:rPr>
      </w:pPr>
      <w:r>
        <w:rPr>
          <w:rFonts w:ascii="Times New Roman" w:hAnsi="Times New Roman" w:eastAsia="Times New Roman" w:cs="Times New Roman"/>
          <w:spacing w:val="3"/>
          <w:sz w:val="24"/>
          <w:szCs w:val="24"/>
        </w:rPr>
        <w:t>Ⅲ.</w:t>
      </w:r>
      <w:r>
        <w:rPr>
          <w:rFonts w:ascii="宋体" w:hAnsi="宋体" w:eastAsia="宋体" w:cs="宋体"/>
          <w:spacing w:val="3"/>
          <w:sz w:val="24"/>
          <w:szCs w:val="24"/>
        </w:rPr>
        <w:t>加强场内管理，发现有洒落的猪粪情况时，要及时</w:t>
      </w:r>
      <w:r>
        <w:rPr>
          <w:rFonts w:ascii="宋体" w:hAnsi="宋体" w:eastAsia="宋体" w:cs="宋体"/>
          <w:spacing w:val="2"/>
          <w:sz w:val="24"/>
          <w:szCs w:val="24"/>
        </w:rPr>
        <w:t>清扫，避免洒落的干</w:t>
      </w:r>
      <w:r>
        <w:rPr>
          <w:rFonts w:ascii="宋体" w:hAnsi="宋体" w:eastAsia="宋体" w:cs="宋体"/>
          <w:spacing w:val="-3"/>
          <w:sz w:val="24"/>
          <w:szCs w:val="24"/>
        </w:rPr>
        <w:t>粪被雨水冲刷污染土壤和地下水。</w:t>
      </w:r>
    </w:p>
    <w:p w14:paraId="353A3B3D">
      <w:pPr>
        <w:spacing w:line="217" w:lineRule="auto"/>
        <w:ind w:left="517"/>
        <w:rPr>
          <w:rFonts w:ascii="宋体" w:hAnsi="宋体" w:eastAsia="宋体" w:cs="宋体"/>
          <w:sz w:val="24"/>
          <w:szCs w:val="24"/>
        </w:rPr>
      </w:pPr>
      <w:r>
        <w:rPr>
          <w:rFonts w:ascii="宋体" w:hAnsi="宋体" w:eastAsia="宋体" w:cs="宋体"/>
          <w:spacing w:val="-2"/>
          <w:sz w:val="24"/>
          <w:szCs w:val="24"/>
        </w:rPr>
        <w:t>②沼渣</w:t>
      </w:r>
    </w:p>
    <w:p w14:paraId="7CA9A531">
      <w:pPr>
        <w:spacing w:before="172" w:line="364" w:lineRule="auto"/>
        <w:ind w:left="44" w:firstLine="480"/>
        <w:rPr>
          <w:rFonts w:ascii="宋体" w:hAnsi="宋体" w:eastAsia="宋体" w:cs="宋体"/>
          <w:sz w:val="24"/>
          <w:szCs w:val="24"/>
        </w:rPr>
      </w:pPr>
      <w:r>
        <w:rPr>
          <w:rFonts w:ascii="宋体" w:hAnsi="宋体" w:eastAsia="宋体" w:cs="宋体"/>
          <w:spacing w:val="-3"/>
          <w:sz w:val="24"/>
          <w:szCs w:val="24"/>
        </w:rPr>
        <w:t>沼渣产生量按照废水处理量的</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计算，本项目废水处理量为</w:t>
      </w:r>
      <w:r>
        <w:rPr>
          <w:rFonts w:ascii="Times New Roman" w:hAnsi="Times New Roman" w:eastAsia="Times New Roman" w:cs="Times New Roman"/>
          <w:spacing w:val="-3"/>
          <w:sz w:val="24"/>
          <w:szCs w:val="24"/>
        </w:rPr>
        <w:t>8516</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sz w:val="24"/>
          <w:szCs w:val="24"/>
        </w:rPr>
        <w:t>/a</w:t>
      </w:r>
      <w:r>
        <w:rPr>
          <w:rFonts w:ascii="宋体" w:hAnsi="宋体" w:eastAsia="宋体" w:cs="宋体"/>
          <w:spacing w:val="-4"/>
          <w:sz w:val="24"/>
          <w:szCs w:val="24"/>
        </w:rPr>
        <w:t>，</w:t>
      </w:r>
      <w:r>
        <w:rPr>
          <w:rFonts w:ascii="宋体" w:hAnsi="宋体" w:eastAsia="宋体" w:cs="宋体"/>
          <w:spacing w:val="2"/>
          <w:sz w:val="24"/>
          <w:szCs w:val="24"/>
        </w:rPr>
        <w:t>则项目沼渣产生量约</w:t>
      </w:r>
      <w:r>
        <w:rPr>
          <w:rFonts w:ascii="Times New Roman" w:hAnsi="Times New Roman" w:eastAsia="Times New Roman" w:cs="Times New Roman"/>
          <w:spacing w:val="2"/>
          <w:sz w:val="24"/>
          <w:szCs w:val="24"/>
        </w:rPr>
        <w:t>127.8t/a</w:t>
      </w:r>
      <w:r>
        <w:rPr>
          <w:rFonts w:ascii="宋体" w:hAnsi="宋体" w:eastAsia="宋体" w:cs="宋体"/>
          <w:spacing w:val="2"/>
          <w:sz w:val="24"/>
          <w:szCs w:val="24"/>
        </w:rPr>
        <w:t>。沼渣经脱</w:t>
      </w:r>
      <w:r>
        <w:rPr>
          <w:rFonts w:ascii="宋体" w:hAnsi="宋体" w:eastAsia="宋体" w:cs="宋体"/>
          <w:spacing w:val="1"/>
          <w:sz w:val="24"/>
          <w:szCs w:val="24"/>
        </w:rPr>
        <w:t>水后送四川正威实业有限公司生产有机</w:t>
      </w:r>
    </w:p>
    <w:p w14:paraId="7D5E7E0B">
      <w:pPr>
        <w:spacing w:line="364" w:lineRule="auto"/>
        <w:rPr>
          <w:rFonts w:ascii="宋体" w:hAnsi="宋体" w:eastAsia="宋体" w:cs="宋体"/>
          <w:sz w:val="24"/>
          <w:szCs w:val="24"/>
        </w:rPr>
        <w:sectPr>
          <w:headerReference r:id="rId223" w:type="default"/>
          <w:footerReference r:id="rId224" w:type="default"/>
          <w:pgSz w:w="11905" w:h="16840"/>
          <w:pgMar w:top="1168" w:right="1611" w:bottom="1409" w:left="1770" w:header="828" w:footer="1244" w:gutter="0"/>
          <w:cols w:space="720" w:num="1"/>
        </w:sectPr>
      </w:pPr>
    </w:p>
    <w:p w14:paraId="1FDA19DC">
      <w:pPr>
        <w:pStyle w:val="2"/>
        <w:spacing w:line="306" w:lineRule="auto"/>
      </w:pPr>
    </w:p>
    <w:p w14:paraId="74E8B3B1">
      <w:pPr>
        <w:spacing w:before="78" w:line="219" w:lineRule="auto"/>
        <w:ind w:left="39"/>
        <w:rPr>
          <w:rFonts w:ascii="宋体" w:hAnsi="宋体" w:eastAsia="宋体" w:cs="宋体"/>
          <w:sz w:val="24"/>
          <w:szCs w:val="24"/>
        </w:rPr>
      </w:pPr>
      <w:r>
        <w:rPr>
          <w:rFonts w:ascii="宋体" w:hAnsi="宋体" w:eastAsia="宋体" w:cs="宋体"/>
          <w:spacing w:val="-12"/>
          <w:sz w:val="24"/>
          <w:szCs w:val="24"/>
        </w:rPr>
        <w:t>肥。</w:t>
      </w:r>
    </w:p>
    <w:p w14:paraId="7FBEABDF">
      <w:pPr>
        <w:spacing w:before="184" w:line="217" w:lineRule="auto"/>
        <w:ind w:left="517"/>
        <w:rPr>
          <w:rFonts w:ascii="宋体" w:hAnsi="宋体" w:eastAsia="宋体" w:cs="宋体"/>
          <w:sz w:val="24"/>
          <w:szCs w:val="24"/>
        </w:rPr>
      </w:pPr>
      <w:r>
        <w:rPr>
          <w:rFonts w:ascii="宋体" w:hAnsi="宋体" w:eastAsia="宋体" w:cs="宋体"/>
          <w:spacing w:val="-2"/>
          <w:sz w:val="24"/>
          <w:szCs w:val="24"/>
        </w:rPr>
        <w:t>③污泥</w:t>
      </w:r>
    </w:p>
    <w:p w14:paraId="6BC6D803">
      <w:pPr>
        <w:spacing w:before="184" w:line="360" w:lineRule="auto"/>
        <w:ind w:left="40" w:right="29" w:firstLine="480"/>
        <w:rPr>
          <w:rFonts w:ascii="宋体" w:hAnsi="宋体" w:eastAsia="宋体" w:cs="宋体"/>
          <w:sz w:val="24"/>
          <w:szCs w:val="24"/>
        </w:rPr>
      </w:pPr>
      <w:r>
        <w:rPr>
          <w:rFonts w:ascii="宋体" w:hAnsi="宋体" w:eastAsia="宋体" w:cs="宋体"/>
          <w:spacing w:val="-3"/>
          <w:sz w:val="24"/>
          <w:szCs w:val="24"/>
        </w:rPr>
        <w:t>本项目污水处理站处理废水时会产生一定量的污泥，含丰富的</w:t>
      </w:r>
      <w:r>
        <w:rPr>
          <w:rFonts w:ascii="宋体" w:hAnsi="宋体" w:eastAsia="宋体" w:cs="宋体"/>
          <w:spacing w:val="-4"/>
          <w:sz w:val="24"/>
          <w:szCs w:val="24"/>
        </w:rPr>
        <w:t>有机质、微量</w:t>
      </w:r>
      <w:r>
        <w:rPr>
          <w:rFonts w:ascii="宋体" w:hAnsi="宋体" w:eastAsia="宋体" w:cs="宋体"/>
          <w:spacing w:val="-3"/>
          <w:sz w:val="24"/>
          <w:szCs w:val="24"/>
        </w:rPr>
        <w:t>营养元素等，参考《集中式污染治理设施产排污系</w:t>
      </w:r>
      <w:r>
        <w:rPr>
          <w:rFonts w:ascii="宋体" w:hAnsi="宋体" w:eastAsia="宋体" w:cs="宋体"/>
          <w:spacing w:val="-4"/>
          <w:sz w:val="24"/>
          <w:szCs w:val="24"/>
        </w:rPr>
        <w:t>数手册》（环境保护部华南环</w:t>
      </w:r>
      <w:r>
        <w:rPr>
          <w:rFonts w:ascii="宋体" w:hAnsi="宋体" w:eastAsia="宋体" w:cs="宋体"/>
          <w:sz w:val="24"/>
          <w:szCs w:val="24"/>
        </w:rPr>
        <w:t>境科学研究所，</w:t>
      </w:r>
      <w:r>
        <w:rPr>
          <w:rFonts w:ascii="Times New Roman" w:hAnsi="Times New Roman" w:eastAsia="Times New Roman" w:cs="Times New Roman"/>
          <w:sz w:val="24"/>
          <w:szCs w:val="24"/>
        </w:rPr>
        <w:t>2010</w:t>
      </w:r>
      <w:r>
        <w:rPr>
          <w:rFonts w:ascii="宋体" w:hAnsi="宋体" w:eastAsia="宋体" w:cs="宋体"/>
          <w:sz w:val="24"/>
          <w:szCs w:val="24"/>
        </w:rPr>
        <w:t>年修订）中表</w:t>
      </w:r>
      <w:r>
        <w:rPr>
          <w:rFonts w:ascii="Times New Roman" w:hAnsi="Times New Roman" w:eastAsia="Times New Roman" w:cs="Times New Roman"/>
          <w:sz w:val="24"/>
          <w:szCs w:val="24"/>
        </w:rPr>
        <w:t>4</w:t>
      </w:r>
      <w:r>
        <w:rPr>
          <w:rFonts w:ascii="宋体" w:hAnsi="宋体" w:eastAsia="宋体" w:cs="宋体"/>
          <w:sz w:val="24"/>
          <w:szCs w:val="24"/>
        </w:rPr>
        <w:t>工业废水集中处理设施的物化与生化污泥综合产生系数表，取其他行业（含水</w:t>
      </w:r>
      <w:r>
        <w:rPr>
          <w:rFonts w:ascii="Times New Roman" w:hAnsi="Times New Roman" w:eastAsia="Times New Roman" w:cs="Times New Roman"/>
          <w:sz w:val="24"/>
          <w:szCs w:val="24"/>
        </w:rPr>
        <w:t>80%</w:t>
      </w:r>
      <w:r>
        <w:rPr>
          <w:rFonts w:ascii="宋体" w:hAnsi="宋体" w:eastAsia="宋体" w:cs="宋体"/>
          <w:sz w:val="24"/>
          <w:szCs w:val="24"/>
        </w:rPr>
        <w:t>）污泥产生系数为</w:t>
      </w:r>
      <w:r>
        <w:rPr>
          <w:rFonts w:ascii="Times New Roman" w:hAnsi="Times New Roman" w:eastAsia="Times New Roman" w:cs="Times New Roman"/>
          <w:sz w:val="24"/>
          <w:szCs w:val="24"/>
        </w:rPr>
        <w:t>6t/</w:t>
      </w:r>
      <w:r>
        <w:rPr>
          <w:rFonts w:ascii="宋体" w:hAnsi="宋体" w:eastAsia="宋体" w:cs="宋体"/>
          <w:sz w:val="24"/>
          <w:szCs w:val="24"/>
        </w:rPr>
        <w:t>万</w:t>
      </w:r>
      <w:r>
        <w:rPr>
          <w:rFonts w:ascii="Times New Roman" w:hAnsi="Times New Roman" w:eastAsia="Times New Roman" w:cs="Times New Roman"/>
          <w:sz w:val="24"/>
          <w:szCs w:val="24"/>
        </w:rPr>
        <w:t>t-</w:t>
      </w:r>
      <w:r>
        <w:rPr>
          <w:rFonts w:ascii="宋体" w:hAnsi="宋体" w:eastAsia="宋体" w:cs="宋体"/>
          <w:sz w:val="24"/>
          <w:szCs w:val="24"/>
        </w:rPr>
        <w:t>废水处理量。本</w:t>
      </w:r>
      <w:r>
        <w:rPr>
          <w:rFonts w:ascii="宋体" w:hAnsi="宋体" w:eastAsia="宋体" w:cs="宋体"/>
          <w:spacing w:val="-3"/>
          <w:sz w:val="24"/>
          <w:szCs w:val="24"/>
        </w:rPr>
        <w:t>项目废水处理量为</w:t>
      </w:r>
      <w:r>
        <w:rPr>
          <w:rFonts w:ascii="Times New Roman" w:hAnsi="Times New Roman" w:eastAsia="Times New Roman" w:cs="Times New Roman"/>
          <w:spacing w:val="-3"/>
          <w:sz w:val="24"/>
          <w:szCs w:val="24"/>
        </w:rPr>
        <w:t>85169.</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3"/>
          <w:sz w:val="24"/>
          <w:szCs w:val="24"/>
        </w:rPr>
        <w:t>1m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/a</w:t>
      </w:r>
      <w:r>
        <w:rPr>
          <w:rFonts w:ascii="宋体" w:hAnsi="宋体" w:eastAsia="宋体" w:cs="宋体"/>
          <w:spacing w:val="-3"/>
          <w:sz w:val="24"/>
          <w:szCs w:val="24"/>
        </w:rPr>
        <w:t>，则污泥产生量</w:t>
      </w:r>
      <w:r>
        <w:rPr>
          <w:rFonts w:ascii="Times New Roman" w:hAnsi="Times New Roman" w:eastAsia="Times New Roman" w:cs="Times New Roman"/>
          <w:spacing w:val="-3"/>
          <w:sz w:val="24"/>
          <w:szCs w:val="24"/>
        </w:rPr>
        <w:t>51.</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1t/a</w:t>
      </w:r>
      <w:r>
        <w:rPr>
          <w:rFonts w:ascii="宋体" w:hAnsi="宋体" w:eastAsia="宋体" w:cs="宋体"/>
          <w:spacing w:val="-3"/>
          <w:sz w:val="24"/>
          <w:szCs w:val="24"/>
        </w:rPr>
        <w:t>，污泥经脱水后送四川正威</w:t>
      </w:r>
      <w:r>
        <w:rPr>
          <w:rFonts w:ascii="宋体" w:hAnsi="宋体" w:eastAsia="宋体" w:cs="宋体"/>
          <w:spacing w:val="-4"/>
          <w:sz w:val="24"/>
          <w:szCs w:val="24"/>
        </w:rPr>
        <w:t>实业有限公司生产有机肥。</w:t>
      </w:r>
    </w:p>
    <w:p w14:paraId="73F86A89">
      <w:pPr>
        <w:spacing w:line="220" w:lineRule="auto"/>
        <w:ind w:left="546"/>
        <w:rPr>
          <w:rFonts w:ascii="宋体" w:hAnsi="宋体" w:eastAsia="宋体" w:cs="宋体"/>
          <w:sz w:val="24"/>
          <w:szCs w:val="24"/>
        </w:rPr>
      </w:pPr>
      <w:r>
        <w:rPr>
          <w:rFonts w:ascii="宋体" w:hAnsi="宋体" w:eastAsia="宋体" w:cs="宋体"/>
          <w:spacing w:val="-2"/>
          <w:sz w:val="24"/>
          <w:szCs w:val="24"/>
        </w:rPr>
        <w:t>以上猪粪、沼渣、污泥合计产生量为</w:t>
      </w:r>
      <w:r>
        <w:rPr>
          <w:rFonts w:ascii="Times New Roman" w:hAnsi="Times New Roman" w:eastAsia="Times New Roman" w:cs="Times New Roman"/>
          <w:spacing w:val="-2"/>
          <w:sz w:val="24"/>
          <w:szCs w:val="24"/>
        </w:rPr>
        <w:t>12131.8t/a</w:t>
      </w:r>
      <w:r>
        <w:rPr>
          <w:rFonts w:ascii="宋体" w:hAnsi="宋体" w:eastAsia="宋体" w:cs="宋体"/>
          <w:spacing w:val="-2"/>
          <w:sz w:val="24"/>
          <w:szCs w:val="24"/>
        </w:rPr>
        <w:t>。</w:t>
      </w:r>
    </w:p>
    <w:p w14:paraId="27D5293B">
      <w:pPr>
        <w:spacing w:before="183" w:line="217" w:lineRule="auto"/>
        <w:ind w:left="517"/>
        <w:rPr>
          <w:rFonts w:ascii="宋体" w:hAnsi="宋体" w:eastAsia="宋体" w:cs="宋体"/>
          <w:sz w:val="24"/>
          <w:szCs w:val="24"/>
        </w:rPr>
      </w:pPr>
      <w:r>
        <w:rPr>
          <w:rFonts w:ascii="宋体" w:hAnsi="宋体" w:eastAsia="宋体" w:cs="宋体"/>
          <w:spacing w:val="-2"/>
          <w:sz w:val="24"/>
          <w:szCs w:val="24"/>
        </w:rPr>
        <w:t>④废脱硫剂</w:t>
      </w:r>
    </w:p>
    <w:p w14:paraId="562D2F20">
      <w:pPr>
        <w:spacing w:before="172" w:line="361" w:lineRule="auto"/>
        <w:ind w:left="40" w:right="29" w:firstLine="483"/>
        <w:rPr>
          <w:rFonts w:ascii="宋体" w:hAnsi="宋体" w:eastAsia="宋体" w:cs="宋体"/>
          <w:sz w:val="24"/>
          <w:szCs w:val="24"/>
        </w:rPr>
      </w:pPr>
      <w:r>
        <w:rPr>
          <w:rFonts w:ascii="宋体" w:hAnsi="宋体" w:eastAsia="宋体" w:cs="宋体"/>
          <w:spacing w:val="1"/>
          <w:sz w:val="24"/>
          <w:szCs w:val="24"/>
        </w:rPr>
        <w:t>沼气中硫化氢含量平均约为</w:t>
      </w:r>
      <w:r>
        <w:rPr>
          <w:rFonts w:ascii="Times New Roman" w:hAnsi="Times New Roman" w:eastAsia="Times New Roman" w:cs="Times New Roman"/>
          <w:spacing w:val="1"/>
          <w:sz w:val="24"/>
          <w:szCs w:val="24"/>
        </w:rPr>
        <w:t>2g/m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
          <w:sz w:val="24"/>
          <w:szCs w:val="24"/>
        </w:rPr>
        <w:t>，本项目沼气产生量为</w:t>
      </w:r>
      <w:r>
        <w:rPr>
          <w:rFonts w:ascii="Times New Roman" w:hAnsi="Times New Roman" w:eastAsia="Times New Roman" w:cs="Times New Roman"/>
          <w:spacing w:val="1"/>
          <w:sz w:val="24"/>
          <w:szCs w:val="24"/>
        </w:rPr>
        <w:t>515105m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，则硫</w:t>
      </w:r>
      <w:r>
        <w:rPr>
          <w:rFonts w:ascii="宋体" w:hAnsi="宋体" w:eastAsia="宋体" w:cs="宋体"/>
          <w:spacing w:val="-3"/>
          <w:sz w:val="24"/>
          <w:szCs w:val="24"/>
        </w:rPr>
        <w:t>化氢产生量为</w:t>
      </w:r>
      <w:r>
        <w:rPr>
          <w:rFonts w:ascii="Times New Roman" w:hAnsi="Times New Roman" w:eastAsia="Times New Roman" w:cs="Times New Roman"/>
          <w:spacing w:val="-3"/>
          <w:sz w:val="24"/>
          <w:szCs w:val="24"/>
        </w:rPr>
        <w:t>1.03t/a</w:t>
      </w:r>
      <w:r>
        <w:rPr>
          <w:rFonts w:ascii="宋体" w:hAnsi="宋体" w:eastAsia="宋体" w:cs="宋体"/>
          <w:spacing w:val="-3"/>
          <w:sz w:val="24"/>
          <w:szCs w:val="24"/>
        </w:rPr>
        <w:t>。脱硫剂硫容按</w:t>
      </w:r>
      <w:r>
        <w:rPr>
          <w:rFonts w:ascii="Times New Roman" w:hAnsi="Times New Roman" w:eastAsia="Times New Roman" w:cs="Times New Roman"/>
          <w:spacing w:val="-3"/>
          <w:sz w:val="24"/>
          <w:szCs w:val="24"/>
        </w:rPr>
        <w:t>0.2</w:t>
      </w:r>
      <w:r>
        <w:rPr>
          <w:rFonts w:ascii="宋体" w:hAnsi="宋体" w:eastAsia="宋体" w:cs="宋体"/>
          <w:spacing w:val="-3"/>
          <w:sz w:val="24"/>
          <w:szCs w:val="24"/>
        </w:rPr>
        <w:t>计，则根据脱硫反应式可推算出本项目废</w:t>
      </w:r>
      <w:r>
        <w:rPr>
          <w:rFonts w:ascii="宋体" w:hAnsi="宋体" w:eastAsia="宋体" w:cs="宋体"/>
          <w:spacing w:val="-1"/>
          <w:sz w:val="24"/>
          <w:szCs w:val="24"/>
        </w:rPr>
        <w:t>脱硫剂约为：</w:t>
      </w:r>
      <w:r>
        <w:rPr>
          <w:rFonts w:ascii="Times New Roman" w:hAnsi="Times New Roman" w:eastAsia="Times New Roman" w:cs="Times New Roman"/>
          <w:spacing w:val="-1"/>
          <w:sz w:val="24"/>
          <w:szCs w:val="24"/>
        </w:rPr>
        <w:t>1.03/0.2=5.2t/a</w:t>
      </w:r>
      <w:r>
        <w:rPr>
          <w:rFonts w:ascii="宋体" w:hAnsi="宋体" w:eastAsia="宋体" w:cs="宋体"/>
          <w:spacing w:val="-1"/>
          <w:sz w:val="24"/>
          <w:szCs w:val="24"/>
        </w:rPr>
        <w:t>。</w:t>
      </w:r>
    </w:p>
    <w:p w14:paraId="04E502E6">
      <w:pPr>
        <w:spacing w:before="9" w:line="360" w:lineRule="auto"/>
        <w:ind w:left="68" w:right="29" w:firstLine="450"/>
        <w:rPr>
          <w:rFonts w:ascii="宋体" w:hAnsi="宋体" w:eastAsia="宋体" w:cs="宋体"/>
          <w:sz w:val="24"/>
          <w:szCs w:val="24"/>
        </w:rPr>
      </w:pPr>
      <w:r>
        <w:rPr>
          <w:rFonts w:ascii="宋体" w:hAnsi="宋体" w:eastAsia="宋体" w:cs="宋体"/>
          <w:spacing w:val="-3"/>
          <w:sz w:val="24"/>
          <w:szCs w:val="24"/>
        </w:rPr>
        <w:t>废脱硫剂为固态，场内不设脱硫剂暂存间，沼气脱硫过程中产生的</w:t>
      </w:r>
      <w:r>
        <w:rPr>
          <w:rFonts w:ascii="宋体" w:hAnsi="宋体" w:eastAsia="宋体" w:cs="宋体"/>
          <w:spacing w:val="-4"/>
          <w:sz w:val="24"/>
          <w:szCs w:val="24"/>
        </w:rPr>
        <w:t>废脱硫剂由供应厂商进行定期更换并回收，不在场内暂存。</w:t>
      </w:r>
    </w:p>
    <w:p w14:paraId="14E1668B">
      <w:pPr>
        <w:spacing w:line="217" w:lineRule="auto"/>
        <w:ind w:left="517"/>
        <w:rPr>
          <w:rFonts w:ascii="宋体" w:hAnsi="宋体" w:eastAsia="宋体" w:cs="宋体"/>
          <w:sz w:val="24"/>
          <w:szCs w:val="24"/>
        </w:rPr>
      </w:pPr>
      <w:r>
        <w:rPr>
          <w:rFonts w:ascii="宋体" w:hAnsi="宋体" w:eastAsia="宋体" w:cs="宋体"/>
          <w:spacing w:val="-2"/>
          <w:sz w:val="24"/>
          <w:szCs w:val="24"/>
        </w:rPr>
        <w:t>⑤废包装材料</w:t>
      </w:r>
    </w:p>
    <w:p w14:paraId="5B3E6A9A">
      <w:pPr>
        <w:spacing w:before="185" w:line="360" w:lineRule="auto"/>
        <w:ind w:left="42" w:right="29" w:firstLine="480"/>
        <w:rPr>
          <w:rFonts w:ascii="宋体" w:hAnsi="宋体" w:eastAsia="宋体" w:cs="宋体"/>
          <w:sz w:val="24"/>
          <w:szCs w:val="24"/>
        </w:rPr>
      </w:pPr>
      <w:r>
        <w:rPr>
          <w:rFonts w:ascii="宋体" w:hAnsi="宋体" w:eastAsia="宋体" w:cs="宋体"/>
          <w:spacing w:val="-3"/>
          <w:sz w:val="24"/>
          <w:szCs w:val="24"/>
        </w:rPr>
        <w:t>项目饲料由罐车运至料塔，无废包装材料产生。项目产</w:t>
      </w:r>
      <w:r>
        <w:rPr>
          <w:rFonts w:ascii="宋体" w:hAnsi="宋体" w:eastAsia="宋体" w:cs="宋体"/>
          <w:spacing w:val="-4"/>
          <w:sz w:val="24"/>
          <w:szCs w:val="24"/>
        </w:rPr>
        <w:t>生的废包装材料主要</w:t>
      </w:r>
      <w:r>
        <w:rPr>
          <w:rFonts w:ascii="宋体" w:hAnsi="宋体" w:eastAsia="宋体" w:cs="宋体"/>
          <w:spacing w:val="2"/>
          <w:sz w:val="24"/>
          <w:szCs w:val="24"/>
        </w:rPr>
        <w:t>为药品纸箱、其他包装废物等，预计产生量为</w:t>
      </w:r>
      <w:r>
        <w:rPr>
          <w:rFonts w:ascii="Times New Roman" w:hAnsi="Times New Roman" w:eastAsia="Times New Roman" w:cs="Times New Roman"/>
          <w:spacing w:val="2"/>
          <w:sz w:val="24"/>
          <w:szCs w:val="24"/>
        </w:rPr>
        <w:t>0.5t/a</w:t>
      </w:r>
      <w:r>
        <w:rPr>
          <w:rFonts w:ascii="宋体" w:hAnsi="宋体" w:eastAsia="宋体" w:cs="宋体"/>
          <w:spacing w:val="2"/>
          <w:sz w:val="24"/>
          <w:szCs w:val="24"/>
        </w:rPr>
        <w:t>，统一收集后</w:t>
      </w:r>
      <w:r>
        <w:rPr>
          <w:rFonts w:ascii="宋体" w:hAnsi="宋体" w:eastAsia="宋体" w:cs="宋体"/>
          <w:spacing w:val="1"/>
          <w:sz w:val="24"/>
          <w:szCs w:val="24"/>
        </w:rPr>
        <w:t>外售给物资回</w:t>
      </w:r>
      <w:r>
        <w:rPr>
          <w:rFonts w:ascii="宋体" w:hAnsi="宋体" w:eastAsia="宋体" w:cs="宋体"/>
          <w:spacing w:val="-11"/>
          <w:sz w:val="24"/>
          <w:szCs w:val="24"/>
        </w:rPr>
        <w:t>收站。</w:t>
      </w:r>
    </w:p>
    <w:p w14:paraId="10FF469F">
      <w:pPr>
        <w:spacing w:line="217" w:lineRule="auto"/>
        <w:ind w:left="517"/>
        <w:rPr>
          <w:rFonts w:ascii="宋体" w:hAnsi="宋体" w:eastAsia="宋体" w:cs="宋体"/>
          <w:sz w:val="24"/>
          <w:szCs w:val="24"/>
        </w:rPr>
      </w:pPr>
      <w:r>
        <w:rPr>
          <w:rFonts w:ascii="宋体" w:hAnsi="宋体" w:eastAsia="宋体" w:cs="宋体"/>
          <w:spacing w:val="-2"/>
          <w:sz w:val="24"/>
          <w:szCs w:val="24"/>
        </w:rPr>
        <w:t>⑥生活垃圾</w:t>
      </w:r>
    </w:p>
    <w:p w14:paraId="0FD8221A">
      <w:pPr>
        <w:spacing w:before="187" w:line="354" w:lineRule="auto"/>
        <w:ind w:left="41" w:right="31" w:firstLine="479"/>
        <w:rPr>
          <w:rFonts w:ascii="宋体" w:hAnsi="宋体" w:eastAsia="宋体" w:cs="宋体"/>
          <w:sz w:val="24"/>
          <w:szCs w:val="24"/>
        </w:rPr>
      </w:pPr>
      <w:r>
        <w:rPr>
          <w:rFonts w:ascii="宋体" w:hAnsi="宋体" w:eastAsia="宋体" w:cs="宋体"/>
          <w:spacing w:val="-1"/>
          <w:sz w:val="24"/>
          <w:szCs w:val="24"/>
        </w:rPr>
        <w:t>本项目劳动定员为</w:t>
      </w:r>
      <w:r>
        <w:rPr>
          <w:rFonts w:ascii="Times New Roman" w:hAnsi="Times New Roman" w:eastAsia="Times New Roman" w:cs="Times New Roman"/>
          <w:spacing w:val="-1"/>
          <w:sz w:val="24"/>
          <w:szCs w:val="24"/>
        </w:rPr>
        <w:t>60</w:t>
      </w:r>
      <w:r>
        <w:rPr>
          <w:rFonts w:ascii="宋体" w:hAnsi="宋体" w:eastAsia="宋体" w:cs="宋体"/>
          <w:spacing w:val="-1"/>
          <w:sz w:val="24"/>
          <w:szCs w:val="24"/>
        </w:rPr>
        <w:t>人，年工作</w:t>
      </w:r>
      <w:r>
        <w:rPr>
          <w:rFonts w:ascii="Times New Roman" w:hAnsi="Times New Roman" w:eastAsia="Times New Roman" w:cs="Times New Roman"/>
          <w:spacing w:val="-1"/>
          <w:sz w:val="24"/>
          <w:szCs w:val="24"/>
        </w:rPr>
        <w:t>365</w:t>
      </w:r>
      <w:r>
        <w:rPr>
          <w:rFonts w:ascii="宋体" w:hAnsi="宋体" w:eastAsia="宋体" w:cs="宋体"/>
          <w:spacing w:val="-1"/>
          <w:sz w:val="24"/>
          <w:szCs w:val="24"/>
        </w:rPr>
        <w:t>天，按</w:t>
      </w:r>
      <w:r>
        <w:rPr>
          <w:rFonts w:ascii="Times New Roman" w:hAnsi="Times New Roman" w:eastAsia="Times New Roman" w:cs="Times New Roman"/>
          <w:spacing w:val="-1"/>
          <w:sz w:val="24"/>
          <w:szCs w:val="24"/>
        </w:rPr>
        <w:t>0.5kg/</w:t>
      </w:r>
      <w:r>
        <w:rPr>
          <w:rFonts w:ascii="宋体" w:hAnsi="宋体" w:eastAsia="宋体" w:cs="宋体"/>
          <w:spacing w:val="-2"/>
          <w:sz w:val="24"/>
          <w:szCs w:val="24"/>
        </w:rPr>
        <w:t>人</w:t>
      </w:r>
      <w:r>
        <w:rPr>
          <w:rFonts w:ascii="Times New Roman" w:hAnsi="Times New Roman" w:eastAsia="Times New Roman" w:cs="Times New Roman"/>
          <w:spacing w:val="-2"/>
          <w:sz w:val="24"/>
          <w:szCs w:val="24"/>
        </w:rPr>
        <w:t>.d</w:t>
      </w:r>
      <w:r>
        <w:rPr>
          <w:rFonts w:ascii="宋体" w:hAnsi="宋体" w:eastAsia="宋体" w:cs="宋体"/>
          <w:spacing w:val="-2"/>
          <w:sz w:val="24"/>
          <w:szCs w:val="24"/>
        </w:rPr>
        <w:t>计算，生活垃圾产生量</w:t>
      </w:r>
      <w:r>
        <w:rPr>
          <w:rFonts w:ascii="宋体" w:hAnsi="宋体" w:eastAsia="宋体" w:cs="宋体"/>
          <w:spacing w:val="-3"/>
          <w:sz w:val="24"/>
          <w:szCs w:val="24"/>
        </w:rPr>
        <w:t>为</w:t>
      </w:r>
      <w:r>
        <w:rPr>
          <w:rFonts w:ascii="Times New Roman" w:hAnsi="Times New Roman" w:eastAsia="Times New Roman" w:cs="Times New Roman"/>
          <w:spacing w:val="-3"/>
          <w:sz w:val="24"/>
          <w:szCs w:val="24"/>
        </w:rPr>
        <w:t>30kg/d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10.95t/a</w:t>
      </w:r>
      <w:r>
        <w:rPr>
          <w:rFonts w:ascii="宋体" w:hAnsi="宋体" w:eastAsia="宋体" w:cs="宋体"/>
          <w:spacing w:val="-3"/>
          <w:sz w:val="24"/>
          <w:szCs w:val="24"/>
        </w:rPr>
        <w:t>。生活垃圾集中收集后定期运至喻家</w:t>
      </w:r>
      <w:r>
        <w:rPr>
          <w:rFonts w:ascii="宋体" w:hAnsi="宋体" w:eastAsia="宋体" w:cs="宋体"/>
          <w:spacing w:val="-4"/>
          <w:sz w:val="24"/>
          <w:szCs w:val="24"/>
        </w:rPr>
        <w:t>沟村垃圾收集点，交由环</w:t>
      </w:r>
      <w:r>
        <w:rPr>
          <w:rFonts w:ascii="宋体" w:hAnsi="宋体" w:eastAsia="宋体" w:cs="宋体"/>
          <w:spacing w:val="-7"/>
          <w:sz w:val="24"/>
          <w:szCs w:val="24"/>
        </w:rPr>
        <w:t>卫部门处理。</w:t>
      </w:r>
    </w:p>
    <w:p w14:paraId="52930DB2">
      <w:pPr>
        <w:spacing w:before="23" w:line="217" w:lineRule="auto"/>
        <w:ind w:left="517"/>
        <w:rPr>
          <w:rFonts w:ascii="宋体" w:hAnsi="宋体" w:eastAsia="宋体" w:cs="宋体"/>
          <w:sz w:val="24"/>
          <w:szCs w:val="24"/>
        </w:rPr>
      </w:pPr>
      <w:r>
        <w:rPr>
          <w:rFonts w:ascii="宋体" w:hAnsi="宋体" w:eastAsia="宋体" w:cs="宋体"/>
          <w:spacing w:val="-2"/>
          <w:sz w:val="24"/>
          <w:szCs w:val="24"/>
        </w:rPr>
        <w:t>⑦病死猪</w:t>
      </w:r>
    </w:p>
    <w:p w14:paraId="4354F054">
      <w:pPr>
        <w:spacing w:before="184" w:line="359" w:lineRule="auto"/>
        <w:ind w:left="40" w:right="29" w:firstLine="478"/>
        <w:rPr>
          <w:rFonts w:ascii="宋体" w:hAnsi="宋体" w:eastAsia="宋体" w:cs="宋体"/>
          <w:sz w:val="24"/>
          <w:szCs w:val="24"/>
        </w:rPr>
      </w:pPr>
      <w:r>
        <w:rPr>
          <w:rFonts w:ascii="宋体" w:hAnsi="宋体" w:eastAsia="宋体" w:cs="宋体"/>
          <w:spacing w:val="-7"/>
          <w:sz w:val="24"/>
          <w:szCs w:val="24"/>
        </w:rPr>
        <w:t>在养殖过程中，由于各种意外、疾病等原因会导致猪只死亡， 由于养殖场采</w:t>
      </w:r>
      <w:r>
        <w:rPr>
          <w:rFonts w:ascii="宋体" w:hAnsi="宋体" w:eastAsia="宋体" w:cs="宋体"/>
          <w:spacing w:val="-6"/>
          <w:sz w:val="24"/>
          <w:szCs w:val="24"/>
        </w:rPr>
        <w:t>用科学化管理与养殖，病死猪产生量很小。根据建设单位提供</w:t>
      </w:r>
      <w:r>
        <w:rPr>
          <w:rFonts w:ascii="宋体" w:hAnsi="宋体" w:eastAsia="宋体" w:cs="宋体"/>
          <w:spacing w:val="-7"/>
          <w:sz w:val="24"/>
          <w:szCs w:val="24"/>
        </w:rPr>
        <w:t>的资料， 本项目保</w:t>
      </w:r>
      <w:r>
        <w:rPr>
          <w:rFonts w:ascii="宋体" w:hAnsi="宋体" w:eastAsia="宋体" w:cs="宋体"/>
          <w:sz w:val="24"/>
          <w:szCs w:val="24"/>
        </w:rPr>
        <w:t>育猪成活率</w:t>
      </w:r>
      <w:r>
        <w:rPr>
          <w:rFonts w:ascii="Times New Roman" w:hAnsi="Times New Roman" w:eastAsia="Times New Roman" w:cs="Times New Roman"/>
          <w:sz w:val="24"/>
          <w:szCs w:val="24"/>
        </w:rPr>
        <w:t>0.98</w:t>
      </w:r>
      <w:r>
        <w:rPr>
          <w:rFonts w:ascii="宋体" w:hAnsi="宋体" w:eastAsia="宋体" w:cs="宋体"/>
          <w:sz w:val="24"/>
          <w:szCs w:val="24"/>
        </w:rPr>
        <w:t>、育肥猪成活率</w:t>
      </w:r>
      <w:r>
        <w:rPr>
          <w:rFonts w:ascii="Times New Roman" w:hAnsi="Times New Roman" w:eastAsia="Times New Roman" w:cs="Times New Roman"/>
          <w:sz w:val="24"/>
          <w:szCs w:val="24"/>
        </w:rPr>
        <w:t>0.99</w:t>
      </w:r>
      <w:r>
        <w:rPr>
          <w:rFonts w:ascii="宋体" w:hAnsi="宋体" w:eastAsia="宋体" w:cs="宋体"/>
          <w:sz w:val="24"/>
          <w:szCs w:val="24"/>
        </w:rPr>
        <w:t>计，按死亡保育猪体重</w:t>
      </w:r>
      <w:r>
        <w:rPr>
          <w:rFonts w:ascii="Times New Roman" w:hAnsi="Times New Roman" w:eastAsia="Times New Roman" w:cs="Times New Roman"/>
          <w:sz w:val="24"/>
          <w:szCs w:val="24"/>
        </w:rPr>
        <w:t>10kg</w:t>
      </w:r>
      <w:r>
        <w:rPr>
          <w:rFonts w:ascii="宋体" w:hAnsi="宋体" w:eastAsia="宋体" w:cs="宋体"/>
          <w:sz w:val="24"/>
          <w:szCs w:val="24"/>
        </w:rPr>
        <w:t>、死亡育肥猪体</w:t>
      </w:r>
      <w:r>
        <w:rPr>
          <w:rFonts w:ascii="宋体" w:hAnsi="宋体" w:eastAsia="宋体" w:cs="宋体"/>
          <w:spacing w:val="-1"/>
          <w:sz w:val="24"/>
          <w:szCs w:val="24"/>
        </w:rPr>
        <w:t>重</w:t>
      </w:r>
      <w:r>
        <w:rPr>
          <w:rFonts w:ascii="Times New Roman" w:hAnsi="Times New Roman" w:eastAsia="Times New Roman" w:cs="Times New Roman"/>
          <w:spacing w:val="-1"/>
          <w:sz w:val="24"/>
          <w:szCs w:val="24"/>
        </w:rPr>
        <w:t>50kg</w:t>
      </w:r>
      <w:r>
        <w:rPr>
          <w:rFonts w:ascii="宋体" w:hAnsi="宋体" w:eastAsia="宋体" w:cs="宋体"/>
          <w:spacing w:val="-1"/>
          <w:sz w:val="24"/>
          <w:szCs w:val="24"/>
        </w:rPr>
        <w:t>计，则病死猪重量为</w:t>
      </w:r>
      <w:r>
        <w:rPr>
          <w:rFonts w:ascii="Times New Roman" w:hAnsi="Times New Roman" w:eastAsia="Times New Roman" w:cs="Times New Roman"/>
          <w:spacing w:val="-1"/>
          <w:sz w:val="24"/>
          <w:szCs w:val="24"/>
        </w:rPr>
        <w:t>2738</w:t>
      </w:r>
      <w:r>
        <w:rPr>
          <w:rFonts w:ascii="宋体" w:hAnsi="宋体" w:eastAsia="宋体" w:cs="宋体"/>
          <w:spacing w:val="-1"/>
          <w:sz w:val="24"/>
          <w:szCs w:val="24"/>
        </w:rPr>
        <w:t>×</w:t>
      </w:r>
      <w:r>
        <w:rPr>
          <w:rFonts w:ascii="Times New Roman" w:hAnsi="Times New Roman" w:eastAsia="Times New Roman" w:cs="Times New Roman"/>
          <w:spacing w:val="-1"/>
          <w:sz w:val="24"/>
          <w:szCs w:val="24"/>
        </w:rPr>
        <w:t>10+1</w:t>
      </w:r>
      <w:r>
        <w:rPr>
          <w:rFonts w:ascii="Times New Roman" w:hAnsi="Times New Roman" w:eastAsia="Times New Roman" w:cs="Times New Roman"/>
          <w:spacing w:val="-2"/>
          <w:sz w:val="24"/>
          <w:szCs w:val="24"/>
        </w:rPr>
        <w:t>341</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50=94.4t/a</w:t>
      </w:r>
      <w:r>
        <w:rPr>
          <w:rFonts w:ascii="宋体" w:hAnsi="宋体" w:eastAsia="宋体" w:cs="宋体"/>
          <w:spacing w:val="-2"/>
          <w:sz w:val="24"/>
          <w:szCs w:val="24"/>
        </w:rPr>
        <w:t>。</w:t>
      </w:r>
    </w:p>
    <w:p w14:paraId="03DC18ED">
      <w:pPr>
        <w:spacing w:before="6" w:line="219" w:lineRule="auto"/>
        <w:ind w:right="9"/>
        <w:jc w:val="right"/>
        <w:rPr>
          <w:rFonts w:ascii="宋体" w:hAnsi="宋体" w:eastAsia="宋体" w:cs="宋体"/>
          <w:sz w:val="24"/>
          <w:szCs w:val="24"/>
        </w:rPr>
      </w:pPr>
      <w:r>
        <w:rPr>
          <w:rFonts w:ascii="宋体" w:hAnsi="宋体" w:eastAsia="宋体" w:cs="宋体"/>
          <w:spacing w:val="-10"/>
          <w:sz w:val="24"/>
          <w:szCs w:val="24"/>
        </w:rPr>
        <w:t>处理措施：病死猪必须妥善处置，防止二次污染，并杜绝传播疾病。根据《畜</w:t>
      </w:r>
    </w:p>
    <w:p w14:paraId="4F137B63">
      <w:pPr>
        <w:spacing w:line="219" w:lineRule="auto"/>
        <w:rPr>
          <w:rFonts w:ascii="宋体" w:hAnsi="宋体" w:eastAsia="宋体" w:cs="宋体"/>
          <w:sz w:val="24"/>
          <w:szCs w:val="24"/>
        </w:rPr>
        <w:sectPr>
          <w:headerReference r:id="rId225" w:type="default"/>
          <w:footerReference r:id="rId226" w:type="default"/>
          <w:pgSz w:w="11905" w:h="16840"/>
          <w:pgMar w:top="1168" w:right="1768" w:bottom="1409" w:left="1770" w:header="828" w:footer="1244" w:gutter="0"/>
          <w:cols w:space="720" w:num="1"/>
        </w:sectPr>
      </w:pPr>
    </w:p>
    <w:p w14:paraId="243E6936">
      <w:pPr>
        <w:pStyle w:val="2"/>
        <w:spacing w:line="306" w:lineRule="auto"/>
      </w:pPr>
    </w:p>
    <w:p w14:paraId="2E6C5C47">
      <w:pPr>
        <w:spacing w:before="78" w:line="360" w:lineRule="auto"/>
        <w:ind w:left="42" w:right="121" w:hanging="1"/>
        <w:rPr>
          <w:rFonts w:ascii="宋体" w:hAnsi="宋体" w:eastAsia="宋体" w:cs="宋体"/>
          <w:sz w:val="24"/>
          <w:szCs w:val="24"/>
        </w:rPr>
      </w:pPr>
      <w:r>
        <w:rPr>
          <w:rFonts w:ascii="宋体" w:hAnsi="宋体" w:eastAsia="宋体" w:cs="宋体"/>
          <w:sz w:val="24"/>
          <w:szCs w:val="24"/>
        </w:rPr>
        <w:t>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）的规定：所有病死猪不得出售，</w:t>
      </w:r>
      <w:r>
        <w:rPr>
          <w:rFonts w:ascii="宋体" w:hAnsi="宋体" w:eastAsia="宋体" w:cs="宋体"/>
          <w:spacing w:val="-2"/>
          <w:sz w:val="24"/>
          <w:szCs w:val="24"/>
        </w:rPr>
        <w:t>不得食用，不得随意丢弃，严禁作为饲料再</w:t>
      </w:r>
      <w:r>
        <w:rPr>
          <w:rFonts w:ascii="宋体" w:hAnsi="宋体" w:eastAsia="宋体" w:cs="宋体"/>
          <w:spacing w:val="-3"/>
          <w:sz w:val="24"/>
          <w:szCs w:val="24"/>
        </w:rPr>
        <w:t>利用。</w:t>
      </w:r>
    </w:p>
    <w:p w14:paraId="497FB7EC">
      <w:pPr>
        <w:spacing w:line="360" w:lineRule="auto"/>
        <w:ind w:left="39" w:right="65" w:firstLine="480"/>
        <w:jc w:val="both"/>
        <w:rPr>
          <w:rFonts w:ascii="宋体" w:hAnsi="宋体" w:eastAsia="宋体" w:cs="宋体"/>
          <w:sz w:val="24"/>
          <w:szCs w:val="24"/>
        </w:rPr>
      </w:pPr>
      <w:r>
        <w:rPr>
          <w:rFonts w:ascii="宋体" w:hAnsi="宋体" w:eastAsia="宋体" w:cs="宋体"/>
          <w:spacing w:val="-4"/>
          <w:sz w:val="24"/>
          <w:szCs w:val="24"/>
        </w:rPr>
        <w:t>根据内江市东兴区人民政府办公室关于印发《内江市东兴区关于建立病死畜</w:t>
      </w:r>
      <w:r>
        <w:rPr>
          <w:rFonts w:ascii="宋体" w:hAnsi="宋体" w:eastAsia="宋体" w:cs="宋体"/>
          <w:spacing w:val="-1"/>
          <w:sz w:val="24"/>
          <w:szCs w:val="24"/>
        </w:rPr>
        <w:t>禽无害化处理机制的实施意见》的通知（内东区府办发</w:t>
      </w:r>
      <w:r>
        <w:rPr>
          <w:rFonts w:ascii="Times New Roman" w:hAnsi="Times New Roman" w:eastAsia="Times New Roman" w:cs="Times New Roman"/>
          <w:spacing w:val="-1"/>
          <w:sz w:val="24"/>
          <w:szCs w:val="24"/>
        </w:rPr>
        <w:t>[</w:t>
      </w:r>
      <w:r>
        <w:fldChar w:fldCharType="begin"/>
      </w:r>
      <w:r>
        <w:instrText xml:space="preserve"> HYPERLINK \l "bookmark154" </w:instrText>
      </w:r>
      <w:r>
        <w:fldChar w:fldCharType="separate"/>
      </w:r>
      <w:r>
        <w:rPr>
          <w:rFonts w:ascii="Times New Roman" w:hAnsi="Times New Roman" w:eastAsia="Times New Roman" w:cs="Times New Roman"/>
          <w:spacing w:val="-1"/>
          <w:sz w:val="24"/>
          <w:szCs w:val="24"/>
        </w:rPr>
        <w:t>2017</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]92</w:t>
      </w:r>
      <w:r>
        <w:rPr>
          <w:rFonts w:ascii="宋体" w:hAnsi="宋体" w:eastAsia="宋体" w:cs="宋体"/>
          <w:spacing w:val="-1"/>
          <w:sz w:val="24"/>
          <w:szCs w:val="24"/>
        </w:rPr>
        <w:t>号</w:t>
      </w:r>
      <w:r>
        <w:rPr>
          <w:rFonts w:ascii="宋体" w:hAnsi="宋体" w:eastAsia="宋体" w:cs="宋体"/>
          <w:spacing w:val="7"/>
          <w:sz w:val="24"/>
          <w:szCs w:val="24"/>
        </w:rPr>
        <w:t>）：</w:t>
      </w:r>
      <w:r>
        <w:rPr>
          <w:rFonts w:ascii="宋体" w:hAnsi="宋体" w:eastAsia="宋体" w:cs="宋体"/>
          <w:spacing w:val="-1"/>
          <w:sz w:val="24"/>
          <w:szCs w:val="24"/>
        </w:rPr>
        <w:t>“要按规</w:t>
      </w:r>
      <w:r>
        <w:rPr>
          <w:rFonts w:ascii="宋体" w:hAnsi="宋体" w:eastAsia="宋体" w:cs="宋体"/>
          <w:spacing w:val="-3"/>
          <w:sz w:val="24"/>
          <w:szCs w:val="24"/>
        </w:rPr>
        <w:t>定配备病死畜禽无害化处理收集暂存设施设备，委托专业无害化处理运营单位集中收集处理；养殖场（户）、养殖小区病死畜禽和屠宰厂（点）的病死畜禽及其</w:t>
      </w:r>
      <w:r>
        <w:rPr>
          <w:rFonts w:ascii="宋体" w:hAnsi="宋体" w:eastAsia="宋体" w:cs="宋体"/>
          <w:spacing w:val="-6"/>
          <w:sz w:val="24"/>
          <w:szCs w:val="24"/>
        </w:rPr>
        <w:t>产品应委托无害化处理收集点进行集中收集统一处理”。因此，</w:t>
      </w:r>
      <w:r>
        <w:rPr>
          <w:rFonts w:ascii="宋体" w:hAnsi="宋体" w:eastAsia="宋体" w:cs="宋体"/>
          <w:spacing w:val="-7"/>
          <w:sz w:val="24"/>
          <w:szCs w:val="24"/>
        </w:rPr>
        <w:t xml:space="preserve"> 本项目产生的病</w:t>
      </w:r>
      <w:r>
        <w:rPr>
          <w:rFonts w:ascii="宋体" w:hAnsi="宋体" w:eastAsia="宋体" w:cs="宋体"/>
          <w:spacing w:val="-2"/>
          <w:sz w:val="24"/>
          <w:szCs w:val="24"/>
        </w:rPr>
        <w:t>死猪应暂存于病死猪暂存间（位于无害化处理间内</w:t>
      </w:r>
      <w:r>
        <w:rPr>
          <w:rFonts w:ascii="宋体" w:hAnsi="宋体" w:eastAsia="宋体" w:cs="宋体"/>
          <w:spacing w:val="-19"/>
          <w:sz w:val="24"/>
          <w:szCs w:val="24"/>
        </w:rPr>
        <w:t>），</w:t>
      </w:r>
      <w:r>
        <w:rPr>
          <w:rFonts w:ascii="宋体" w:hAnsi="宋体" w:eastAsia="宋体" w:cs="宋体"/>
          <w:spacing w:val="-2"/>
          <w:sz w:val="24"/>
          <w:szCs w:val="24"/>
        </w:rPr>
        <w:t>定期交由内江市范围内唯</w:t>
      </w:r>
      <w:r>
        <w:rPr>
          <w:rFonts w:ascii="宋体" w:hAnsi="宋体" w:eastAsia="宋体" w:cs="宋体"/>
          <w:spacing w:val="4"/>
          <w:sz w:val="24"/>
          <w:szCs w:val="24"/>
        </w:rPr>
        <w:t>一的病害动物无害化处置中心</w:t>
      </w:r>
      <w:r>
        <w:rPr>
          <w:rFonts w:ascii="Times New Roman" w:hAnsi="Times New Roman" w:eastAsia="Times New Roman" w:cs="Times New Roman"/>
          <w:spacing w:val="4"/>
          <w:sz w:val="24"/>
          <w:szCs w:val="24"/>
        </w:rPr>
        <w:t>—</w:t>
      </w:r>
      <w:r>
        <w:rPr>
          <w:rFonts w:ascii="宋体" w:hAnsi="宋体" w:eastAsia="宋体" w:cs="宋体"/>
          <w:spacing w:val="4"/>
          <w:sz w:val="24"/>
          <w:szCs w:val="24"/>
        </w:rPr>
        <w:t>内江市环态动物无害化处置有限责任公司进行</w:t>
      </w:r>
      <w:r>
        <w:rPr>
          <w:rFonts w:ascii="宋体" w:hAnsi="宋体" w:eastAsia="宋体" w:cs="宋体"/>
          <w:spacing w:val="-7"/>
          <w:sz w:val="24"/>
          <w:szCs w:val="24"/>
        </w:rPr>
        <w:t>无害化处置。</w:t>
      </w:r>
    </w:p>
    <w:p w14:paraId="5EB690E2">
      <w:pPr>
        <w:spacing w:line="217" w:lineRule="auto"/>
        <w:ind w:left="517"/>
        <w:rPr>
          <w:rFonts w:ascii="宋体" w:hAnsi="宋体" w:eastAsia="宋体" w:cs="宋体"/>
          <w:sz w:val="24"/>
          <w:szCs w:val="24"/>
        </w:rPr>
      </w:pPr>
      <w:r>
        <w:rPr>
          <w:rFonts w:ascii="宋体" w:hAnsi="宋体" w:eastAsia="宋体" w:cs="宋体"/>
          <w:spacing w:val="-2"/>
          <w:sz w:val="24"/>
          <w:szCs w:val="24"/>
        </w:rPr>
        <w:t>⑧诊疗废弃物</w:t>
      </w:r>
    </w:p>
    <w:p w14:paraId="6269E28A">
      <w:pPr>
        <w:spacing w:before="185" w:line="360" w:lineRule="auto"/>
        <w:ind w:left="39" w:right="67" w:firstLine="479"/>
        <w:rPr>
          <w:rFonts w:ascii="宋体" w:hAnsi="宋体" w:eastAsia="宋体" w:cs="宋体"/>
          <w:sz w:val="24"/>
          <w:szCs w:val="24"/>
        </w:rPr>
      </w:pPr>
      <w:r>
        <w:rPr>
          <w:rFonts w:ascii="宋体" w:hAnsi="宋体" w:eastAsia="宋体" w:cs="宋体"/>
          <w:spacing w:val="-3"/>
          <w:sz w:val="24"/>
          <w:szCs w:val="24"/>
        </w:rPr>
        <w:t>在生猪养殖过程中，生猪疾病防治将产生针头、废药瓶、过期药</w:t>
      </w:r>
      <w:r>
        <w:rPr>
          <w:rFonts w:ascii="宋体" w:hAnsi="宋体" w:eastAsia="宋体" w:cs="宋体"/>
          <w:spacing w:val="-4"/>
          <w:sz w:val="24"/>
          <w:szCs w:val="24"/>
        </w:rPr>
        <w:t>物等诊疗废</w:t>
      </w:r>
      <w:r>
        <w:rPr>
          <w:rFonts w:ascii="宋体" w:hAnsi="宋体" w:eastAsia="宋体" w:cs="宋体"/>
          <w:spacing w:val="2"/>
          <w:sz w:val="24"/>
          <w:szCs w:val="24"/>
        </w:rPr>
        <w:t>物，根据类比估算，本项目诊疗废弃物产生量约</w:t>
      </w:r>
      <w:r>
        <w:rPr>
          <w:rFonts w:ascii="Times New Roman" w:hAnsi="Times New Roman" w:eastAsia="Times New Roman" w:cs="Times New Roman"/>
          <w:spacing w:val="2"/>
          <w:sz w:val="24"/>
          <w:szCs w:val="24"/>
        </w:rPr>
        <w:t>2.0t</w:t>
      </w:r>
      <w:r>
        <w:rPr>
          <w:rFonts w:ascii="Times New Roman" w:hAnsi="Times New Roman" w:eastAsia="Times New Roman" w:cs="Times New Roman"/>
          <w:spacing w:val="1"/>
          <w:sz w:val="24"/>
          <w:szCs w:val="24"/>
        </w:rPr>
        <w:t>/a</w:t>
      </w:r>
      <w:r>
        <w:rPr>
          <w:rFonts w:ascii="宋体" w:hAnsi="宋体" w:eastAsia="宋体" w:cs="宋体"/>
          <w:spacing w:val="1"/>
          <w:sz w:val="24"/>
          <w:szCs w:val="24"/>
        </w:rPr>
        <w:t>。根据《医疗废物管理条</w:t>
      </w:r>
      <w:r>
        <w:rPr>
          <w:rFonts w:ascii="宋体" w:hAnsi="宋体" w:eastAsia="宋体" w:cs="宋体"/>
          <w:spacing w:val="-3"/>
          <w:sz w:val="24"/>
          <w:szCs w:val="24"/>
        </w:rPr>
        <w:t>例》、《国家危险废物名录（</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版）》，动物诊疗废弃物不属于医疗废物、不属于危险废物，诊疗废弃物应按《中华人民共和国动物防疫法》及当地畜牧兽医</w:t>
      </w:r>
      <w:r>
        <w:rPr>
          <w:rFonts w:ascii="宋体" w:hAnsi="宋体" w:eastAsia="宋体" w:cs="宋体"/>
          <w:spacing w:val="-2"/>
          <w:sz w:val="24"/>
          <w:szCs w:val="24"/>
        </w:rPr>
        <w:t>主管部门规定，做好诊疗废弃物的收集处置工作。</w:t>
      </w:r>
    </w:p>
    <w:p w14:paraId="3E0B180C">
      <w:pPr>
        <w:spacing w:line="220" w:lineRule="auto"/>
        <w:ind w:left="518"/>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）危险废物</w:t>
      </w:r>
    </w:p>
    <w:p w14:paraId="4455F48E">
      <w:pPr>
        <w:spacing w:before="182" w:line="217" w:lineRule="auto"/>
        <w:ind w:left="518"/>
        <w:rPr>
          <w:rFonts w:ascii="宋体" w:hAnsi="宋体" w:eastAsia="宋体" w:cs="宋体"/>
          <w:sz w:val="24"/>
          <w:szCs w:val="24"/>
        </w:rPr>
      </w:pPr>
      <w:r>
        <w:rPr>
          <w:rFonts w:ascii="宋体" w:hAnsi="宋体" w:eastAsia="宋体" w:cs="宋体"/>
          <w:spacing w:val="-2"/>
          <w:sz w:val="24"/>
          <w:szCs w:val="24"/>
        </w:rPr>
        <w:t>①废矿物油</w:t>
      </w:r>
    </w:p>
    <w:p w14:paraId="27CEF7F0">
      <w:pPr>
        <w:spacing w:before="185" w:line="360" w:lineRule="auto"/>
        <w:ind w:left="38" w:right="65" w:firstLine="481"/>
        <w:jc w:val="both"/>
        <w:rPr>
          <w:rFonts w:ascii="宋体" w:hAnsi="宋体" w:eastAsia="宋体" w:cs="宋体"/>
          <w:sz w:val="24"/>
          <w:szCs w:val="24"/>
        </w:rPr>
      </w:pPr>
      <w:r>
        <w:rPr>
          <w:rFonts w:ascii="宋体" w:hAnsi="宋体" w:eastAsia="宋体" w:cs="宋体"/>
          <w:spacing w:val="-3"/>
          <w:sz w:val="24"/>
          <w:szCs w:val="24"/>
        </w:rPr>
        <w:t>本项目养殖场广泛使用机械设备，机械设备保养维护过程会产</w:t>
      </w:r>
      <w:r>
        <w:rPr>
          <w:rFonts w:ascii="宋体" w:hAnsi="宋体" w:eastAsia="宋体" w:cs="宋体"/>
          <w:spacing w:val="-4"/>
          <w:sz w:val="24"/>
          <w:szCs w:val="24"/>
        </w:rPr>
        <w:t>生废矿物油及</w:t>
      </w:r>
      <w:r>
        <w:rPr>
          <w:rFonts w:ascii="宋体" w:hAnsi="宋体" w:eastAsia="宋体" w:cs="宋体"/>
          <w:spacing w:val="-13"/>
          <w:sz w:val="24"/>
          <w:szCs w:val="24"/>
        </w:rPr>
        <w:t>沾染废矿物油的手套等，此类废物属于《国家危险废物名录（</w:t>
      </w:r>
      <w:r>
        <w:rPr>
          <w:rFonts w:ascii="Times New Roman" w:hAnsi="Times New Roman" w:eastAsia="Times New Roman" w:cs="Times New Roman"/>
          <w:spacing w:val="-13"/>
          <w:sz w:val="24"/>
          <w:szCs w:val="24"/>
        </w:rPr>
        <w:t>2021</w:t>
      </w:r>
      <w:r>
        <w:rPr>
          <w:rFonts w:ascii="宋体" w:hAnsi="宋体" w:eastAsia="宋体" w:cs="宋体"/>
          <w:spacing w:val="-13"/>
          <w:sz w:val="24"/>
          <w:szCs w:val="24"/>
        </w:rPr>
        <w:t>版）》中“</w:t>
      </w:r>
      <w:r>
        <w:rPr>
          <w:rFonts w:ascii="Times New Roman" w:hAnsi="Times New Roman" w:eastAsia="Times New Roman" w:cs="Times New Roman"/>
          <w:spacing w:val="-13"/>
          <w:sz w:val="24"/>
          <w:szCs w:val="24"/>
        </w:rPr>
        <w:t>HW08</w:t>
      </w:r>
      <w:r>
        <w:rPr>
          <w:rFonts w:ascii="宋体" w:hAnsi="宋体" w:eastAsia="宋体" w:cs="宋体"/>
          <w:spacing w:val="2"/>
          <w:sz w:val="24"/>
          <w:szCs w:val="24"/>
        </w:rPr>
        <w:t>废矿物油与含矿物油废物</w:t>
      </w:r>
      <w:r>
        <w:rPr>
          <w:rFonts w:ascii="Times New Roman" w:hAnsi="Times New Roman" w:eastAsia="Times New Roman" w:cs="Times New Roman"/>
          <w:spacing w:val="2"/>
          <w:sz w:val="24"/>
          <w:szCs w:val="24"/>
        </w:rPr>
        <w:t>/</w:t>
      </w:r>
      <w:r>
        <w:rPr>
          <w:rFonts w:ascii="宋体" w:hAnsi="宋体" w:eastAsia="宋体" w:cs="宋体"/>
          <w:spacing w:val="2"/>
          <w:sz w:val="24"/>
          <w:szCs w:val="24"/>
        </w:rPr>
        <w:t>非特定行业</w:t>
      </w:r>
      <w:r>
        <w:rPr>
          <w:rFonts w:ascii="Times New Roman" w:hAnsi="Times New Roman" w:eastAsia="Times New Roman" w:cs="Times New Roman"/>
          <w:spacing w:val="2"/>
          <w:sz w:val="24"/>
          <w:szCs w:val="24"/>
        </w:rPr>
        <w:t>/900-249-08</w:t>
      </w:r>
      <w:r>
        <w:rPr>
          <w:rFonts w:ascii="宋体" w:hAnsi="宋体" w:eastAsia="宋体" w:cs="宋体"/>
          <w:spacing w:val="2"/>
          <w:sz w:val="24"/>
          <w:szCs w:val="24"/>
        </w:rPr>
        <w:t>其他生产、销售、使用过程中</w:t>
      </w:r>
      <w:r>
        <w:rPr>
          <w:rFonts w:ascii="宋体" w:hAnsi="宋体" w:eastAsia="宋体" w:cs="宋体"/>
          <w:spacing w:val="-3"/>
          <w:sz w:val="24"/>
          <w:szCs w:val="24"/>
        </w:rPr>
        <w:t>产生的废矿物油及沾染矿物油的废弃包装物”，根据类比估算，本项目废矿物油等产生量约</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1t/a</w:t>
      </w:r>
      <w:r>
        <w:rPr>
          <w:rFonts w:ascii="宋体" w:hAnsi="宋体" w:eastAsia="宋体" w:cs="宋体"/>
          <w:spacing w:val="-3"/>
          <w:sz w:val="24"/>
          <w:szCs w:val="24"/>
        </w:rPr>
        <w:t>。</w:t>
      </w:r>
    </w:p>
    <w:p w14:paraId="7E5A57F3">
      <w:pPr>
        <w:spacing w:line="217" w:lineRule="auto"/>
        <w:ind w:left="517"/>
        <w:rPr>
          <w:rFonts w:ascii="宋体" w:hAnsi="宋体" w:eastAsia="宋体" w:cs="宋体"/>
          <w:sz w:val="24"/>
          <w:szCs w:val="24"/>
        </w:rPr>
      </w:pPr>
      <w:r>
        <w:rPr>
          <w:rFonts w:ascii="宋体" w:hAnsi="宋体" w:eastAsia="宋体" w:cs="宋体"/>
          <w:spacing w:val="-1"/>
          <w:sz w:val="24"/>
          <w:szCs w:val="24"/>
        </w:rPr>
        <w:t>②危险废物暂存</w:t>
      </w:r>
    </w:p>
    <w:p w14:paraId="477E98AB">
      <w:pPr>
        <w:spacing w:before="170" w:line="364" w:lineRule="auto"/>
        <w:ind w:left="40" w:firstLine="480"/>
        <w:rPr>
          <w:rFonts w:ascii="宋体" w:hAnsi="宋体" w:eastAsia="宋体" w:cs="宋体"/>
          <w:sz w:val="24"/>
          <w:szCs w:val="24"/>
        </w:rPr>
      </w:pPr>
      <w:r>
        <w:rPr>
          <w:rFonts w:ascii="宋体" w:hAnsi="宋体" w:eastAsia="宋体" w:cs="宋体"/>
          <w:spacing w:val="-1"/>
          <w:sz w:val="24"/>
          <w:szCs w:val="24"/>
        </w:rPr>
        <w:t>本项目拟在无害化处理间内设置</w:t>
      </w:r>
      <w:r>
        <w:rPr>
          <w:rFonts w:ascii="Times New Roman" w:hAnsi="Times New Roman" w:eastAsia="Times New Roman" w:cs="Times New Roman"/>
          <w:spacing w:val="-1"/>
          <w:sz w:val="24"/>
          <w:szCs w:val="24"/>
        </w:rPr>
        <w:t>1</w:t>
      </w:r>
      <w:r>
        <w:rPr>
          <w:rFonts w:ascii="宋体" w:hAnsi="宋体" w:eastAsia="宋体" w:cs="宋体"/>
          <w:spacing w:val="-1"/>
          <w:sz w:val="24"/>
          <w:szCs w:val="24"/>
        </w:rPr>
        <w:t>间危险废物暂存间（</w:t>
      </w:r>
      <w:r>
        <w:rPr>
          <w:rFonts w:ascii="Times New Roman" w:hAnsi="Times New Roman" w:eastAsia="Times New Roman" w:cs="Times New Roman"/>
          <w:spacing w:val="-1"/>
          <w:sz w:val="24"/>
          <w:szCs w:val="24"/>
        </w:rPr>
        <w:t>15m</w:t>
      </w:r>
      <w:r>
        <w:rPr>
          <w:rFonts w:ascii="Times New Roman" w:hAnsi="Times New Roman" w:eastAsia="Times New Roman" w:cs="Times New Roman"/>
          <w:spacing w:val="-1"/>
          <w:position w:val="10"/>
          <w:sz w:val="15"/>
          <w:szCs w:val="15"/>
        </w:rPr>
        <w:t>2</w:t>
      </w:r>
      <w:r>
        <w:rPr>
          <w:rFonts w:ascii="宋体" w:hAnsi="宋体" w:eastAsia="宋体" w:cs="宋体"/>
          <w:spacing w:val="7"/>
          <w:sz w:val="24"/>
          <w:szCs w:val="24"/>
        </w:rPr>
        <w:t>），</w:t>
      </w:r>
      <w:r>
        <w:rPr>
          <w:rFonts w:ascii="宋体" w:hAnsi="宋体" w:eastAsia="宋体" w:cs="宋体"/>
          <w:spacing w:val="-1"/>
          <w:sz w:val="24"/>
          <w:szCs w:val="24"/>
        </w:rPr>
        <w:t>用于暂存本项目产生的危险废物，危险废物定期交由有危险废物处理资质的单位进行</w:t>
      </w:r>
      <w:r>
        <w:rPr>
          <w:rFonts w:ascii="宋体" w:hAnsi="宋体" w:eastAsia="宋体" w:cs="宋体"/>
          <w:spacing w:val="-2"/>
          <w:sz w:val="24"/>
          <w:szCs w:val="24"/>
        </w:rPr>
        <w:t>处置，</w:t>
      </w:r>
      <w:r>
        <w:rPr>
          <w:rFonts w:ascii="宋体" w:hAnsi="宋体" w:eastAsia="宋体" w:cs="宋体"/>
          <w:spacing w:val="-3"/>
          <w:sz w:val="24"/>
          <w:szCs w:val="24"/>
        </w:rPr>
        <w:t>严禁与生活垃圾混淆一起处理。</w:t>
      </w:r>
    </w:p>
    <w:p w14:paraId="29C48A8C">
      <w:pPr>
        <w:spacing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）固体废物属性判别</w:t>
      </w:r>
    </w:p>
    <w:p w14:paraId="5DA32345">
      <w:pPr>
        <w:spacing w:before="181" w:line="220" w:lineRule="auto"/>
        <w:ind w:left="519"/>
        <w:rPr>
          <w:rFonts w:ascii="宋体" w:hAnsi="宋体" w:eastAsia="宋体" w:cs="宋体"/>
          <w:sz w:val="24"/>
          <w:szCs w:val="24"/>
        </w:rPr>
      </w:pPr>
      <w:r>
        <w:rPr>
          <w:rFonts w:ascii="宋体" w:hAnsi="宋体" w:eastAsia="宋体" w:cs="宋体"/>
          <w:spacing w:val="-3"/>
          <w:sz w:val="24"/>
          <w:szCs w:val="24"/>
        </w:rPr>
        <w:t>根据《中华人民共和国固体废物污染环境防治法》、《固体</w:t>
      </w:r>
      <w:r>
        <w:rPr>
          <w:rFonts w:ascii="宋体" w:hAnsi="宋体" w:eastAsia="宋体" w:cs="宋体"/>
          <w:spacing w:val="-4"/>
          <w:sz w:val="24"/>
          <w:szCs w:val="24"/>
        </w:rPr>
        <w:t>废物鉴别标准通</w:t>
      </w:r>
    </w:p>
    <w:p w14:paraId="3E362EA0">
      <w:pPr>
        <w:spacing w:line="220" w:lineRule="auto"/>
        <w:rPr>
          <w:rFonts w:ascii="宋体" w:hAnsi="宋体" w:eastAsia="宋体" w:cs="宋体"/>
          <w:sz w:val="24"/>
          <w:szCs w:val="24"/>
        </w:rPr>
        <w:sectPr>
          <w:headerReference r:id="rId227" w:type="default"/>
          <w:footerReference r:id="rId228" w:type="default"/>
          <w:pgSz w:w="11905" w:h="16840"/>
          <w:pgMar w:top="1168" w:right="1730" w:bottom="1409" w:left="1770" w:header="828" w:footer="1244" w:gutter="0"/>
          <w:cols w:space="720" w:num="1"/>
        </w:sectPr>
      </w:pPr>
    </w:p>
    <w:p w14:paraId="2963DF98">
      <w:pPr>
        <w:pStyle w:val="2"/>
        <w:spacing w:line="306" w:lineRule="auto"/>
      </w:pPr>
    </w:p>
    <w:p w14:paraId="077FE074">
      <w:pPr>
        <w:spacing w:before="78" w:line="219" w:lineRule="auto"/>
        <w:ind w:left="44"/>
        <w:rPr>
          <w:rFonts w:ascii="宋体" w:hAnsi="宋体" w:eastAsia="宋体" w:cs="宋体"/>
          <w:sz w:val="24"/>
          <w:szCs w:val="24"/>
        </w:rPr>
      </w:pPr>
      <w:r>
        <w:rPr>
          <w:rFonts w:ascii="宋体" w:hAnsi="宋体" w:eastAsia="宋体" w:cs="宋体"/>
          <w:spacing w:val="-1"/>
          <w:sz w:val="24"/>
          <w:szCs w:val="24"/>
        </w:rPr>
        <w:t>则》（</w:t>
      </w:r>
      <w:r>
        <w:rPr>
          <w:rFonts w:ascii="Times New Roman" w:hAnsi="Times New Roman" w:eastAsia="Times New Roman" w:cs="Times New Roman"/>
          <w:spacing w:val="-1"/>
          <w:sz w:val="24"/>
          <w:szCs w:val="24"/>
        </w:rPr>
        <w:t>GB34330-2017</w:t>
      </w:r>
      <w:r>
        <w:rPr>
          <w:rFonts w:ascii="宋体" w:hAnsi="宋体" w:eastAsia="宋体" w:cs="宋体"/>
          <w:spacing w:val="-2"/>
          <w:sz w:val="24"/>
          <w:szCs w:val="24"/>
        </w:rPr>
        <w:t>），</w:t>
      </w:r>
      <w:r>
        <w:rPr>
          <w:rFonts w:ascii="宋体" w:hAnsi="宋体" w:eastAsia="宋体" w:cs="宋体"/>
          <w:spacing w:val="-1"/>
          <w:sz w:val="24"/>
          <w:szCs w:val="24"/>
        </w:rPr>
        <w:t>对本项目产生的物质进行鉴别，</w:t>
      </w:r>
      <w:r>
        <w:rPr>
          <w:rFonts w:ascii="宋体" w:hAnsi="宋体" w:eastAsia="宋体" w:cs="宋体"/>
          <w:spacing w:val="-2"/>
          <w:sz w:val="24"/>
          <w:szCs w:val="24"/>
        </w:rPr>
        <w:t>判定结果见下表。</w:t>
      </w:r>
    </w:p>
    <w:p w14:paraId="7FDABB8E">
      <w:pPr>
        <w:spacing w:before="196" w:line="222" w:lineRule="auto"/>
        <w:ind w:left="303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2.2-16  </w:t>
      </w:r>
      <w:r>
        <w:rPr>
          <w:rFonts w:ascii="黑体" w:hAnsi="黑体" w:eastAsia="黑体" w:cs="黑体"/>
          <w:spacing w:val="-1"/>
          <w:sz w:val="21"/>
          <w:szCs w:val="21"/>
        </w:rPr>
        <w:t>固体废物鉴别表</w:t>
      </w:r>
    </w:p>
    <w:p w14:paraId="05A462B1">
      <w:pPr>
        <w:spacing w:line="87" w:lineRule="exact"/>
      </w:pPr>
    </w:p>
    <w:tbl>
      <w:tblPr>
        <w:tblStyle w:val="5"/>
        <w:tblW w:w="8321"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1132"/>
        <w:gridCol w:w="1132"/>
        <w:gridCol w:w="565"/>
        <w:gridCol w:w="1556"/>
        <w:gridCol w:w="917"/>
        <w:gridCol w:w="2581"/>
      </w:tblGrid>
      <w:tr w14:paraId="717B1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38" w:type="dxa"/>
            <w:vAlign w:val="top"/>
          </w:tcPr>
          <w:p w14:paraId="56E951B8">
            <w:pPr>
              <w:spacing w:before="210" w:line="221" w:lineRule="auto"/>
              <w:ind w:left="13"/>
              <w:rPr>
                <w:rFonts w:ascii="宋体" w:hAnsi="宋体" w:eastAsia="宋体" w:cs="宋体"/>
                <w:sz w:val="21"/>
                <w:szCs w:val="21"/>
              </w:rPr>
            </w:pPr>
            <w:r>
              <w:rPr>
                <w:rFonts w:ascii="宋体" w:hAnsi="宋体" w:eastAsia="宋体" w:cs="宋体"/>
                <w:spacing w:val="-2"/>
                <w:sz w:val="21"/>
                <w:szCs w:val="21"/>
              </w:rPr>
              <w:t>序号</w:t>
            </w:r>
          </w:p>
        </w:tc>
        <w:tc>
          <w:tcPr>
            <w:tcW w:w="1132" w:type="dxa"/>
            <w:vAlign w:val="top"/>
          </w:tcPr>
          <w:p w14:paraId="74DED8FF">
            <w:pPr>
              <w:spacing w:before="210" w:line="222" w:lineRule="auto"/>
              <w:ind w:left="362"/>
              <w:rPr>
                <w:rFonts w:ascii="宋体" w:hAnsi="宋体" w:eastAsia="宋体" w:cs="宋体"/>
                <w:sz w:val="21"/>
                <w:szCs w:val="21"/>
              </w:rPr>
            </w:pPr>
            <w:r>
              <w:rPr>
                <w:rFonts w:ascii="宋体" w:hAnsi="宋体" w:eastAsia="宋体" w:cs="宋体"/>
                <w:spacing w:val="-3"/>
                <w:sz w:val="21"/>
                <w:szCs w:val="21"/>
              </w:rPr>
              <w:t>名称</w:t>
            </w:r>
          </w:p>
        </w:tc>
        <w:tc>
          <w:tcPr>
            <w:tcW w:w="1132" w:type="dxa"/>
            <w:vAlign w:val="top"/>
          </w:tcPr>
          <w:p w14:paraId="00637927">
            <w:pPr>
              <w:spacing w:before="210" w:line="220" w:lineRule="auto"/>
              <w:ind w:left="150"/>
              <w:rPr>
                <w:rFonts w:ascii="宋体" w:hAnsi="宋体" w:eastAsia="宋体" w:cs="宋体"/>
                <w:sz w:val="21"/>
                <w:szCs w:val="21"/>
              </w:rPr>
            </w:pPr>
            <w:r>
              <w:rPr>
                <w:rFonts w:ascii="宋体" w:hAnsi="宋体" w:eastAsia="宋体" w:cs="宋体"/>
                <w:spacing w:val="-2"/>
                <w:sz w:val="21"/>
                <w:szCs w:val="21"/>
              </w:rPr>
              <w:t>产生工序</w:t>
            </w:r>
          </w:p>
        </w:tc>
        <w:tc>
          <w:tcPr>
            <w:tcW w:w="565" w:type="dxa"/>
            <w:vAlign w:val="top"/>
          </w:tcPr>
          <w:p w14:paraId="54505E2B">
            <w:pPr>
              <w:spacing w:before="210" w:line="222" w:lineRule="auto"/>
              <w:ind w:left="79"/>
              <w:rPr>
                <w:rFonts w:ascii="宋体" w:hAnsi="宋体" w:eastAsia="宋体" w:cs="宋体"/>
                <w:sz w:val="21"/>
                <w:szCs w:val="21"/>
              </w:rPr>
            </w:pPr>
            <w:r>
              <w:rPr>
                <w:rFonts w:ascii="宋体" w:hAnsi="宋体" w:eastAsia="宋体" w:cs="宋体"/>
                <w:spacing w:val="-3"/>
                <w:sz w:val="21"/>
                <w:szCs w:val="21"/>
              </w:rPr>
              <w:t>形态</w:t>
            </w:r>
          </w:p>
        </w:tc>
        <w:tc>
          <w:tcPr>
            <w:tcW w:w="1556" w:type="dxa"/>
            <w:vAlign w:val="top"/>
          </w:tcPr>
          <w:p w14:paraId="6B4CFE0D">
            <w:pPr>
              <w:spacing w:before="210" w:line="220" w:lineRule="auto"/>
              <w:ind w:left="365"/>
              <w:rPr>
                <w:rFonts w:ascii="宋体" w:hAnsi="宋体" w:eastAsia="宋体" w:cs="宋体"/>
                <w:sz w:val="21"/>
                <w:szCs w:val="21"/>
              </w:rPr>
            </w:pPr>
            <w:r>
              <w:rPr>
                <w:rFonts w:ascii="宋体" w:hAnsi="宋体" w:eastAsia="宋体" w:cs="宋体"/>
                <w:spacing w:val="-2"/>
                <w:sz w:val="21"/>
                <w:szCs w:val="21"/>
              </w:rPr>
              <w:t>主要成分</w:t>
            </w:r>
          </w:p>
        </w:tc>
        <w:tc>
          <w:tcPr>
            <w:tcW w:w="917" w:type="dxa"/>
            <w:vAlign w:val="top"/>
          </w:tcPr>
          <w:p w14:paraId="7335AA6E">
            <w:pPr>
              <w:spacing w:before="54" w:line="220" w:lineRule="auto"/>
              <w:ind w:left="48"/>
              <w:rPr>
                <w:rFonts w:ascii="宋体" w:hAnsi="宋体" w:eastAsia="宋体" w:cs="宋体"/>
                <w:sz w:val="21"/>
                <w:szCs w:val="21"/>
              </w:rPr>
            </w:pPr>
            <w:r>
              <w:rPr>
                <w:rFonts w:ascii="宋体" w:hAnsi="宋体" w:eastAsia="宋体" w:cs="宋体"/>
                <w:spacing w:val="-3"/>
                <w:sz w:val="21"/>
                <w:szCs w:val="21"/>
              </w:rPr>
              <w:t>是否属于</w:t>
            </w:r>
          </w:p>
          <w:p w14:paraId="01696E08">
            <w:pPr>
              <w:spacing w:before="61" w:line="220" w:lineRule="auto"/>
              <w:ind w:left="63"/>
              <w:rPr>
                <w:rFonts w:ascii="宋体" w:hAnsi="宋体" w:eastAsia="宋体" w:cs="宋体"/>
                <w:sz w:val="21"/>
                <w:szCs w:val="21"/>
              </w:rPr>
            </w:pPr>
            <w:r>
              <w:rPr>
                <w:rFonts w:ascii="宋体" w:hAnsi="宋体" w:eastAsia="宋体" w:cs="宋体"/>
                <w:spacing w:val="-5"/>
                <w:sz w:val="21"/>
                <w:szCs w:val="21"/>
              </w:rPr>
              <w:t>固体废物</w:t>
            </w:r>
          </w:p>
        </w:tc>
        <w:tc>
          <w:tcPr>
            <w:tcW w:w="2581" w:type="dxa"/>
            <w:vAlign w:val="top"/>
          </w:tcPr>
          <w:p w14:paraId="2BDBA697">
            <w:pPr>
              <w:spacing w:before="210" w:line="219" w:lineRule="auto"/>
              <w:ind w:left="875"/>
              <w:rPr>
                <w:rFonts w:ascii="宋体" w:hAnsi="宋体" w:eastAsia="宋体" w:cs="宋体"/>
                <w:sz w:val="21"/>
                <w:szCs w:val="21"/>
              </w:rPr>
            </w:pPr>
            <w:r>
              <w:rPr>
                <w:rFonts w:ascii="宋体" w:hAnsi="宋体" w:eastAsia="宋体" w:cs="宋体"/>
                <w:spacing w:val="-2"/>
                <w:sz w:val="21"/>
                <w:szCs w:val="21"/>
              </w:rPr>
              <w:t>判定依据</w:t>
            </w:r>
          </w:p>
        </w:tc>
      </w:tr>
      <w:tr w14:paraId="1D50A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8" w:type="dxa"/>
            <w:vAlign w:val="top"/>
          </w:tcPr>
          <w:p w14:paraId="1634799B">
            <w:pPr>
              <w:pStyle w:val="6"/>
              <w:spacing w:before="102" w:line="188" w:lineRule="auto"/>
              <w:ind w:left="187"/>
            </w:pPr>
            <w:r>
              <w:t>1</w:t>
            </w:r>
          </w:p>
        </w:tc>
        <w:tc>
          <w:tcPr>
            <w:tcW w:w="1132" w:type="dxa"/>
            <w:vAlign w:val="top"/>
          </w:tcPr>
          <w:p w14:paraId="74010EE3">
            <w:pPr>
              <w:spacing w:before="65" w:line="220" w:lineRule="auto"/>
              <w:ind w:left="359"/>
              <w:rPr>
                <w:rFonts w:ascii="宋体" w:hAnsi="宋体" w:eastAsia="宋体" w:cs="宋体"/>
                <w:sz w:val="21"/>
                <w:szCs w:val="21"/>
              </w:rPr>
            </w:pPr>
            <w:r>
              <w:rPr>
                <w:rFonts w:ascii="宋体" w:hAnsi="宋体" w:eastAsia="宋体" w:cs="宋体"/>
                <w:spacing w:val="-3"/>
                <w:sz w:val="21"/>
                <w:szCs w:val="21"/>
              </w:rPr>
              <w:t>猪粪</w:t>
            </w:r>
          </w:p>
        </w:tc>
        <w:tc>
          <w:tcPr>
            <w:tcW w:w="1132" w:type="dxa"/>
            <w:vAlign w:val="top"/>
          </w:tcPr>
          <w:p w14:paraId="4F894AF0">
            <w:pPr>
              <w:spacing w:before="65" w:line="220" w:lineRule="auto"/>
              <w:ind w:left="361"/>
              <w:rPr>
                <w:rFonts w:ascii="宋体" w:hAnsi="宋体" w:eastAsia="宋体" w:cs="宋体"/>
                <w:sz w:val="21"/>
                <w:szCs w:val="21"/>
              </w:rPr>
            </w:pPr>
            <w:r>
              <w:rPr>
                <w:rFonts w:ascii="宋体" w:hAnsi="宋体" w:eastAsia="宋体" w:cs="宋体"/>
                <w:spacing w:val="-3"/>
                <w:sz w:val="21"/>
                <w:szCs w:val="21"/>
              </w:rPr>
              <w:t>养殖</w:t>
            </w:r>
          </w:p>
        </w:tc>
        <w:tc>
          <w:tcPr>
            <w:tcW w:w="565" w:type="dxa"/>
            <w:vAlign w:val="top"/>
          </w:tcPr>
          <w:p w14:paraId="62434B98">
            <w:pPr>
              <w:spacing w:before="65"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3B565BDA">
            <w:pPr>
              <w:spacing w:before="65" w:line="219" w:lineRule="auto"/>
              <w:ind w:left="154"/>
              <w:rPr>
                <w:rFonts w:ascii="宋体" w:hAnsi="宋体" w:eastAsia="宋体" w:cs="宋体"/>
                <w:sz w:val="21"/>
                <w:szCs w:val="21"/>
              </w:rPr>
            </w:pPr>
            <w:r>
              <w:rPr>
                <w:rFonts w:ascii="宋体" w:hAnsi="宋体" w:eastAsia="宋体" w:cs="宋体"/>
                <w:spacing w:val="-2"/>
                <w:sz w:val="21"/>
                <w:szCs w:val="21"/>
              </w:rPr>
              <w:t>有机物、残渣</w:t>
            </w:r>
          </w:p>
        </w:tc>
        <w:tc>
          <w:tcPr>
            <w:tcW w:w="917" w:type="dxa"/>
            <w:vAlign w:val="top"/>
          </w:tcPr>
          <w:p w14:paraId="6AD34774">
            <w:pPr>
              <w:spacing w:before="65"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restart"/>
            <w:tcBorders>
              <w:bottom w:val="nil"/>
            </w:tcBorders>
            <w:vAlign w:val="top"/>
          </w:tcPr>
          <w:p w14:paraId="4D5441DF">
            <w:pPr>
              <w:pStyle w:val="6"/>
              <w:spacing w:before="52" w:line="257" w:lineRule="auto"/>
              <w:ind w:left="11" w:right="6" w:hanging="4"/>
              <w:jc w:val="both"/>
              <w:rPr>
                <w:rFonts w:ascii="宋体" w:hAnsi="宋体" w:eastAsia="宋体" w:cs="宋体"/>
              </w:rPr>
            </w:pPr>
            <w:r>
              <w:rPr>
                <w:spacing w:val="4"/>
              </w:rPr>
              <w:t>4.2j)</w:t>
            </w:r>
            <w:r>
              <w:rPr>
                <w:rFonts w:ascii="宋体" w:hAnsi="宋体" w:eastAsia="宋体" w:cs="宋体"/>
                <w:spacing w:val="4"/>
              </w:rPr>
              <w:t>畜禽和水产养殖过程中</w:t>
            </w:r>
            <w:r>
              <w:rPr>
                <w:rFonts w:ascii="宋体" w:hAnsi="宋体" w:eastAsia="宋体" w:cs="宋体"/>
                <w:spacing w:val="3"/>
              </w:rPr>
              <w:t>产生的动物粪便、病害动物</w:t>
            </w:r>
            <w:r>
              <w:rPr>
                <w:rFonts w:ascii="宋体" w:hAnsi="宋体" w:eastAsia="宋体" w:cs="宋体"/>
                <w:spacing w:val="-2"/>
              </w:rPr>
              <w:t>尸体等</w:t>
            </w:r>
          </w:p>
        </w:tc>
      </w:tr>
      <w:tr w14:paraId="2134F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438" w:type="dxa"/>
            <w:vAlign w:val="top"/>
          </w:tcPr>
          <w:p w14:paraId="5FED91E9">
            <w:pPr>
              <w:pStyle w:val="6"/>
              <w:spacing w:before="225" w:line="188" w:lineRule="auto"/>
              <w:ind w:left="167"/>
            </w:pPr>
            <w:r>
              <w:t>2</w:t>
            </w:r>
          </w:p>
        </w:tc>
        <w:tc>
          <w:tcPr>
            <w:tcW w:w="1132" w:type="dxa"/>
            <w:vAlign w:val="top"/>
          </w:tcPr>
          <w:p w14:paraId="2B05457F">
            <w:pPr>
              <w:spacing w:before="188" w:line="220" w:lineRule="auto"/>
              <w:ind w:left="253"/>
              <w:rPr>
                <w:rFonts w:ascii="宋体" w:hAnsi="宋体" w:eastAsia="宋体" w:cs="宋体"/>
                <w:sz w:val="21"/>
                <w:szCs w:val="21"/>
              </w:rPr>
            </w:pPr>
            <w:r>
              <w:rPr>
                <w:rFonts w:ascii="宋体" w:hAnsi="宋体" w:eastAsia="宋体" w:cs="宋体"/>
                <w:spacing w:val="-2"/>
                <w:sz w:val="21"/>
                <w:szCs w:val="21"/>
              </w:rPr>
              <w:t>病死猪</w:t>
            </w:r>
          </w:p>
        </w:tc>
        <w:tc>
          <w:tcPr>
            <w:tcW w:w="1132" w:type="dxa"/>
            <w:vAlign w:val="top"/>
          </w:tcPr>
          <w:p w14:paraId="0A7C1A6B">
            <w:pPr>
              <w:spacing w:before="187" w:line="220" w:lineRule="auto"/>
              <w:ind w:left="361"/>
              <w:rPr>
                <w:rFonts w:ascii="宋体" w:hAnsi="宋体" w:eastAsia="宋体" w:cs="宋体"/>
                <w:sz w:val="21"/>
                <w:szCs w:val="21"/>
              </w:rPr>
            </w:pPr>
            <w:r>
              <w:rPr>
                <w:rFonts w:ascii="宋体" w:hAnsi="宋体" w:eastAsia="宋体" w:cs="宋体"/>
                <w:spacing w:val="-3"/>
                <w:sz w:val="21"/>
                <w:szCs w:val="21"/>
              </w:rPr>
              <w:t>养殖</w:t>
            </w:r>
          </w:p>
        </w:tc>
        <w:tc>
          <w:tcPr>
            <w:tcW w:w="565" w:type="dxa"/>
            <w:vAlign w:val="top"/>
          </w:tcPr>
          <w:p w14:paraId="13DEDA86">
            <w:pPr>
              <w:spacing w:before="188"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124E2E72">
            <w:pPr>
              <w:spacing w:before="188" w:line="221" w:lineRule="auto"/>
              <w:ind w:left="365"/>
              <w:rPr>
                <w:rFonts w:ascii="宋体" w:hAnsi="宋体" w:eastAsia="宋体" w:cs="宋体"/>
                <w:sz w:val="21"/>
                <w:szCs w:val="21"/>
              </w:rPr>
            </w:pPr>
            <w:r>
              <w:rPr>
                <w:rFonts w:ascii="宋体" w:hAnsi="宋体" w:eastAsia="宋体" w:cs="宋体"/>
                <w:spacing w:val="-2"/>
                <w:sz w:val="21"/>
                <w:szCs w:val="21"/>
              </w:rPr>
              <w:t>生物组织</w:t>
            </w:r>
          </w:p>
        </w:tc>
        <w:tc>
          <w:tcPr>
            <w:tcW w:w="917" w:type="dxa"/>
            <w:vAlign w:val="top"/>
          </w:tcPr>
          <w:p w14:paraId="06CB3749">
            <w:pPr>
              <w:spacing w:before="188"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continue"/>
            <w:tcBorders>
              <w:top w:val="nil"/>
            </w:tcBorders>
            <w:vAlign w:val="top"/>
          </w:tcPr>
          <w:p w14:paraId="1CC67A85">
            <w:pPr>
              <w:rPr>
                <w:rFonts w:ascii="Arial"/>
                <w:sz w:val="21"/>
              </w:rPr>
            </w:pPr>
          </w:p>
        </w:tc>
      </w:tr>
      <w:tr w14:paraId="0FB01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8" w:type="dxa"/>
            <w:vAlign w:val="top"/>
          </w:tcPr>
          <w:p w14:paraId="3923D8D8">
            <w:pPr>
              <w:pStyle w:val="6"/>
              <w:spacing w:before="103" w:line="188" w:lineRule="auto"/>
              <w:ind w:left="171"/>
            </w:pPr>
            <w:r>
              <w:t>3</w:t>
            </w:r>
          </w:p>
        </w:tc>
        <w:tc>
          <w:tcPr>
            <w:tcW w:w="1132" w:type="dxa"/>
            <w:vAlign w:val="top"/>
          </w:tcPr>
          <w:p w14:paraId="7C0F93EF">
            <w:pPr>
              <w:spacing w:before="67" w:line="224" w:lineRule="auto"/>
              <w:ind w:left="363"/>
              <w:rPr>
                <w:rFonts w:ascii="宋体" w:hAnsi="宋体" w:eastAsia="宋体" w:cs="宋体"/>
                <w:sz w:val="21"/>
                <w:szCs w:val="21"/>
              </w:rPr>
            </w:pPr>
            <w:r>
              <w:rPr>
                <w:rFonts w:ascii="宋体" w:hAnsi="宋体" w:eastAsia="宋体" w:cs="宋体"/>
                <w:spacing w:val="-4"/>
                <w:sz w:val="21"/>
                <w:szCs w:val="21"/>
              </w:rPr>
              <w:t>沼渣</w:t>
            </w:r>
          </w:p>
        </w:tc>
        <w:tc>
          <w:tcPr>
            <w:tcW w:w="1132" w:type="dxa"/>
            <w:vAlign w:val="top"/>
          </w:tcPr>
          <w:p w14:paraId="50716EDB">
            <w:pPr>
              <w:spacing w:before="66" w:line="220" w:lineRule="auto"/>
              <w:ind w:left="152"/>
              <w:rPr>
                <w:rFonts w:ascii="宋体" w:hAnsi="宋体" w:eastAsia="宋体" w:cs="宋体"/>
                <w:sz w:val="21"/>
                <w:szCs w:val="21"/>
              </w:rPr>
            </w:pPr>
            <w:r>
              <w:rPr>
                <w:rFonts w:ascii="宋体" w:hAnsi="宋体" w:eastAsia="宋体" w:cs="宋体"/>
                <w:spacing w:val="-2"/>
                <w:sz w:val="21"/>
                <w:szCs w:val="21"/>
              </w:rPr>
              <w:t>粪污处理</w:t>
            </w:r>
          </w:p>
        </w:tc>
        <w:tc>
          <w:tcPr>
            <w:tcW w:w="565" w:type="dxa"/>
            <w:vAlign w:val="top"/>
          </w:tcPr>
          <w:p w14:paraId="7EA81E64">
            <w:pPr>
              <w:spacing w:before="67"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0307D14E">
            <w:pPr>
              <w:spacing w:before="67" w:line="219" w:lineRule="auto"/>
              <w:ind w:left="154"/>
              <w:rPr>
                <w:rFonts w:ascii="宋体" w:hAnsi="宋体" w:eastAsia="宋体" w:cs="宋体"/>
                <w:sz w:val="21"/>
                <w:szCs w:val="21"/>
              </w:rPr>
            </w:pPr>
            <w:r>
              <w:rPr>
                <w:rFonts w:ascii="宋体" w:hAnsi="宋体" w:eastAsia="宋体" w:cs="宋体"/>
                <w:spacing w:val="-2"/>
                <w:sz w:val="21"/>
                <w:szCs w:val="21"/>
              </w:rPr>
              <w:t>有机物、残渣</w:t>
            </w:r>
          </w:p>
        </w:tc>
        <w:tc>
          <w:tcPr>
            <w:tcW w:w="917" w:type="dxa"/>
            <w:vAlign w:val="top"/>
          </w:tcPr>
          <w:p w14:paraId="53CAD4AE">
            <w:pPr>
              <w:spacing w:before="67"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restart"/>
            <w:tcBorders>
              <w:bottom w:val="nil"/>
            </w:tcBorders>
            <w:vAlign w:val="top"/>
          </w:tcPr>
          <w:p w14:paraId="67A0CEC7">
            <w:pPr>
              <w:pStyle w:val="6"/>
              <w:spacing w:before="85" w:line="263" w:lineRule="auto"/>
              <w:ind w:left="29" w:right="6" w:hanging="22"/>
              <w:rPr>
                <w:rFonts w:ascii="宋体" w:hAnsi="宋体" w:eastAsia="宋体" w:cs="宋体"/>
              </w:rPr>
            </w:pPr>
            <w:r>
              <w:rPr>
                <w:spacing w:val="-7"/>
              </w:rPr>
              <w:t>4.3e</w:t>
            </w:r>
            <w:r>
              <w:rPr>
                <w:rFonts w:ascii="宋体" w:hAnsi="宋体" w:eastAsia="宋体" w:cs="宋体"/>
                <w:spacing w:val="-7"/>
              </w:rPr>
              <w:t>）水净化和废水处理产生</w:t>
            </w:r>
            <w:r>
              <w:rPr>
                <w:rFonts w:ascii="宋体" w:hAnsi="宋体" w:eastAsia="宋体" w:cs="宋体"/>
                <w:spacing w:val="-3"/>
              </w:rPr>
              <w:t>的污泥及其他废弃物质</w:t>
            </w:r>
          </w:p>
        </w:tc>
      </w:tr>
      <w:tr w14:paraId="6EEFA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8" w:type="dxa"/>
            <w:vAlign w:val="top"/>
          </w:tcPr>
          <w:p w14:paraId="19F321FF">
            <w:pPr>
              <w:pStyle w:val="6"/>
              <w:spacing w:before="104" w:line="188" w:lineRule="auto"/>
              <w:ind w:left="166"/>
            </w:pPr>
            <w:r>
              <w:t>4</w:t>
            </w:r>
          </w:p>
        </w:tc>
        <w:tc>
          <w:tcPr>
            <w:tcW w:w="1132" w:type="dxa"/>
            <w:vAlign w:val="top"/>
          </w:tcPr>
          <w:p w14:paraId="3C141532">
            <w:pPr>
              <w:spacing w:before="67" w:line="222" w:lineRule="auto"/>
              <w:ind w:left="361"/>
              <w:rPr>
                <w:rFonts w:ascii="宋体" w:hAnsi="宋体" w:eastAsia="宋体" w:cs="宋体"/>
                <w:sz w:val="21"/>
                <w:szCs w:val="21"/>
              </w:rPr>
            </w:pPr>
            <w:r>
              <w:rPr>
                <w:rFonts w:ascii="宋体" w:hAnsi="宋体" w:eastAsia="宋体" w:cs="宋体"/>
                <w:spacing w:val="-3"/>
                <w:sz w:val="21"/>
                <w:szCs w:val="21"/>
              </w:rPr>
              <w:t>污泥</w:t>
            </w:r>
          </w:p>
        </w:tc>
        <w:tc>
          <w:tcPr>
            <w:tcW w:w="1132" w:type="dxa"/>
            <w:vAlign w:val="top"/>
          </w:tcPr>
          <w:p w14:paraId="36B8F9D8">
            <w:pPr>
              <w:spacing w:before="67" w:line="220" w:lineRule="auto"/>
              <w:ind w:left="152"/>
              <w:rPr>
                <w:rFonts w:ascii="宋体" w:hAnsi="宋体" w:eastAsia="宋体" w:cs="宋体"/>
                <w:sz w:val="21"/>
                <w:szCs w:val="21"/>
              </w:rPr>
            </w:pPr>
            <w:r>
              <w:rPr>
                <w:rFonts w:ascii="宋体" w:hAnsi="宋体" w:eastAsia="宋体" w:cs="宋体"/>
                <w:spacing w:val="-2"/>
                <w:sz w:val="21"/>
                <w:szCs w:val="21"/>
              </w:rPr>
              <w:t>污水处理</w:t>
            </w:r>
          </w:p>
        </w:tc>
        <w:tc>
          <w:tcPr>
            <w:tcW w:w="565" w:type="dxa"/>
            <w:vAlign w:val="top"/>
          </w:tcPr>
          <w:p w14:paraId="44EF5C8D">
            <w:pPr>
              <w:spacing w:before="67"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54E69981">
            <w:pPr>
              <w:spacing w:before="67" w:line="219" w:lineRule="auto"/>
              <w:ind w:left="469"/>
              <w:rPr>
                <w:rFonts w:ascii="宋体" w:hAnsi="宋体" w:eastAsia="宋体" w:cs="宋体"/>
                <w:sz w:val="21"/>
                <w:szCs w:val="21"/>
              </w:rPr>
            </w:pPr>
            <w:r>
              <w:rPr>
                <w:rFonts w:ascii="宋体" w:hAnsi="宋体" w:eastAsia="宋体" w:cs="宋体"/>
                <w:spacing w:val="-3"/>
                <w:sz w:val="21"/>
                <w:szCs w:val="21"/>
              </w:rPr>
              <w:t>有机物</w:t>
            </w:r>
          </w:p>
        </w:tc>
        <w:tc>
          <w:tcPr>
            <w:tcW w:w="917" w:type="dxa"/>
            <w:vAlign w:val="top"/>
          </w:tcPr>
          <w:p w14:paraId="112ACDC9">
            <w:pPr>
              <w:spacing w:before="67"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continue"/>
            <w:tcBorders>
              <w:top w:val="nil"/>
            </w:tcBorders>
            <w:vAlign w:val="top"/>
          </w:tcPr>
          <w:p w14:paraId="52CC7D9D">
            <w:pPr>
              <w:rPr>
                <w:rFonts w:ascii="Arial"/>
                <w:sz w:val="21"/>
              </w:rPr>
            </w:pPr>
          </w:p>
        </w:tc>
      </w:tr>
      <w:tr w14:paraId="52C75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8" w:type="dxa"/>
            <w:vAlign w:val="top"/>
          </w:tcPr>
          <w:p w14:paraId="6F540AF8">
            <w:pPr>
              <w:pStyle w:val="6"/>
              <w:spacing w:before="249" w:line="185" w:lineRule="auto"/>
              <w:ind w:left="173"/>
            </w:pPr>
            <w:r>
              <w:t>5</w:t>
            </w:r>
          </w:p>
        </w:tc>
        <w:tc>
          <w:tcPr>
            <w:tcW w:w="1132" w:type="dxa"/>
            <w:vAlign w:val="top"/>
          </w:tcPr>
          <w:p w14:paraId="7A944E83">
            <w:pPr>
              <w:spacing w:before="209" w:line="219" w:lineRule="auto"/>
              <w:ind w:left="148"/>
              <w:rPr>
                <w:rFonts w:ascii="宋体" w:hAnsi="宋体" w:eastAsia="宋体" w:cs="宋体"/>
                <w:sz w:val="21"/>
                <w:szCs w:val="21"/>
              </w:rPr>
            </w:pPr>
            <w:r>
              <w:rPr>
                <w:rFonts w:ascii="宋体" w:hAnsi="宋体" w:eastAsia="宋体" w:cs="宋体"/>
                <w:spacing w:val="-2"/>
                <w:sz w:val="21"/>
                <w:szCs w:val="21"/>
              </w:rPr>
              <w:t>废脱硫剂</w:t>
            </w:r>
          </w:p>
        </w:tc>
        <w:tc>
          <w:tcPr>
            <w:tcW w:w="1132" w:type="dxa"/>
            <w:vAlign w:val="top"/>
          </w:tcPr>
          <w:p w14:paraId="1F6642EB">
            <w:pPr>
              <w:spacing w:before="209" w:line="221" w:lineRule="auto"/>
              <w:ind w:left="154"/>
              <w:rPr>
                <w:rFonts w:ascii="宋体" w:hAnsi="宋体" w:eastAsia="宋体" w:cs="宋体"/>
                <w:sz w:val="21"/>
                <w:szCs w:val="21"/>
              </w:rPr>
            </w:pPr>
            <w:r>
              <w:rPr>
                <w:rFonts w:ascii="宋体" w:hAnsi="宋体" w:eastAsia="宋体" w:cs="宋体"/>
                <w:spacing w:val="-3"/>
                <w:sz w:val="21"/>
                <w:szCs w:val="21"/>
              </w:rPr>
              <w:t>沼气脱硫</w:t>
            </w:r>
          </w:p>
        </w:tc>
        <w:tc>
          <w:tcPr>
            <w:tcW w:w="565" w:type="dxa"/>
            <w:vAlign w:val="top"/>
          </w:tcPr>
          <w:p w14:paraId="07CE5C9C">
            <w:pPr>
              <w:spacing w:before="209"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6E31C101">
            <w:pPr>
              <w:pStyle w:val="6"/>
              <w:spacing w:before="245" w:line="189" w:lineRule="auto"/>
              <w:ind w:left="277"/>
              <w:rPr>
                <w:sz w:val="14"/>
                <w:szCs w:val="14"/>
              </w:rPr>
            </w:pPr>
            <w:r>
              <w:rPr>
                <w:spacing w:val="-3"/>
              </w:rPr>
              <w:t>FeS</w:t>
            </w:r>
            <w:r>
              <w:rPr>
                <w:spacing w:val="-30"/>
              </w:rPr>
              <w:t xml:space="preserve"> </w:t>
            </w:r>
            <w:r>
              <w:rPr>
                <w:rFonts w:ascii="宋体" w:hAnsi="宋体" w:eastAsia="宋体" w:cs="宋体"/>
                <w:spacing w:val="-3"/>
              </w:rPr>
              <w:t>、</w:t>
            </w:r>
            <w:r>
              <w:rPr>
                <w:spacing w:val="-3"/>
              </w:rPr>
              <w:t>Fe</w:t>
            </w:r>
            <w:r>
              <w:rPr>
                <w:spacing w:val="-3"/>
                <w:position w:val="-2"/>
                <w:sz w:val="14"/>
                <w:szCs w:val="14"/>
              </w:rPr>
              <w:t>2</w:t>
            </w:r>
            <w:r>
              <w:rPr>
                <w:spacing w:val="-3"/>
              </w:rPr>
              <w:t>S</w:t>
            </w:r>
            <w:r>
              <w:rPr>
                <w:spacing w:val="-3"/>
                <w:position w:val="-2"/>
                <w:sz w:val="14"/>
                <w:szCs w:val="14"/>
              </w:rPr>
              <w:t>3</w:t>
            </w:r>
          </w:p>
        </w:tc>
        <w:tc>
          <w:tcPr>
            <w:tcW w:w="917" w:type="dxa"/>
            <w:vAlign w:val="top"/>
          </w:tcPr>
          <w:p w14:paraId="6A90C928">
            <w:pPr>
              <w:spacing w:before="209"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Align w:val="top"/>
          </w:tcPr>
          <w:p w14:paraId="0B9DAAB9">
            <w:pPr>
              <w:pStyle w:val="6"/>
              <w:spacing w:before="53" w:line="248" w:lineRule="auto"/>
              <w:ind w:left="11" w:hanging="4"/>
              <w:rPr>
                <w:rFonts w:ascii="宋体" w:hAnsi="宋体" w:eastAsia="宋体" w:cs="宋体"/>
              </w:rPr>
            </w:pPr>
            <w:r>
              <w:rPr>
                <w:spacing w:val="-8"/>
              </w:rPr>
              <w:t>4.3n</w:t>
            </w:r>
            <w:r>
              <w:rPr>
                <w:rFonts w:ascii="宋体" w:hAnsi="宋体" w:eastAsia="宋体" w:cs="宋体"/>
                <w:spacing w:val="-8"/>
              </w:rPr>
              <w:t>）在其他环境治理和污染</w:t>
            </w:r>
            <w:r>
              <w:rPr>
                <w:rFonts w:ascii="宋体" w:hAnsi="宋体" w:eastAsia="宋体" w:cs="宋体"/>
                <w:spacing w:val="-12"/>
              </w:rPr>
              <w:t>修复过程中产生的各类物质</w:t>
            </w:r>
          </w:p>
        </w:tc>
      </w:tr>
      <w:tr w14:paraId="11563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8" w:type="dxa"/>
            <w:vAlign w:val="top"/>
          </w:tcPr>
          <w:p w14:paraId="365B6ADB">
            <w:pPr>
              <w:pStyle w:val="6"/>
              <w:spacing w:before="105" w:line="188" w:lineRule="auto"/>
              <w:ind w:left="172"/>
            </w:pPr>
            <w:r>
              <w:t>6</w:t>
            </w:r>
          </w:p>
        </w:tc>
        <w:tc>
          <w:tcPr>
            <w:tcW w:w="1132" w:type="dxa"/>
            <w:vAlign w:val="top"/>
          </w:tcPr>
          <w:p w14:paraId="321E6702">
            <w:pPr>
              <w:spacing w:before="68" w:line="219" w:lineRule="auto"/>
              <w:ind w:left="43"/>
              <w:rPr>
                <w:rFonts w:ascii="宋体" w:hAnsi="宋体" w:eastAsia="宋体" w:cs="宋体"/>
                <w:sz w:val="21"/>
                <w:szCs w:val="21"/>
              </w:rPr>
            </w:pPr>
            <w:r>
              <w:rPr>
                <w:rFonts w:ascii="宋体" w:hAnsi="宋体" w:eastAsia="宋体" w:cs="宋体"/>
                <w:spacing w:val="-2"/>
                <w:sz w:val="21"/>
                <w:szCs w:val="21"/>
              </w:rPr>
              <w:t>废包装材料</w:t>
            </w:r>
          </w:p>
        </w:tc>
        <w:tc>
          <w:tcPr>
            <w:tcW w:w="1132" w:type="dxa"/>
            <w:vAlign w:val="top"/>
          </w:tcPr>
          <w:p w14:paraId="33548EE3">
            <w:pPr>
              <w:pStyle w:val="6"/>
              <w:spacing w:before="101" w:line="192" w:lineRule="auto"/>
              <w:ind w:left="532"/>
            </w:pPr>
            <w:r>
              <w:t>/</w:t>
            </w:r>
          </w:p>
        </w:tc>
        <w:tc>
          <w:tcPr>
            <w:tcW w:w="565" w:type="dxa"/>
            <w:vAlign w:val="top"/>
          </w:tcPr>
          <w:p w14:paraId="0A4E3810">
            <w:pPr>
              <w:spacing w:before="68"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53466D5D">
            <w:pPr>
              <w:spacing w:before="68" w:line="220" w:lineRule="auto"/>
              <w:ind w:left="259"/>
              <w:rPr>
                <w:rFonts w:ascii="宋体" w:hAnsi="宋体" w:eastAsia="宋体" w:cs="宋体"/>
                <w:sz w:val="21"/>
                <w:szCs w:val="21"/>
              </w:rPr>
            </w:pPr>
            <w:r>
              <w:rPr>
                <w:rFonts w:ascii="宋体" w:hAnsi="宋体" w:eastAsia="宋体" w:cs="宋体"/>
                <w:spacing w:val="-2"/>
                <w:sz w:val="21"/>
                <w:szCs w:val="21"/>
              </w:rPr>
              <w:t>纸箱、塑料</w:t>
            </w:r>
          </w:p>
        </w:tc>
        <w:tc>
          <w:tcPr>
            <w:tcW w:w="917" w:type="dxa"/>
            <w:vAlign w:val="top"/>
          </w:tcPr>
          <w:p w14:paraId="19AB6164">
            <w:pPr>
              <w:spacing w:before="68"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restart"/>
            <w:tcBorders>
              <w:bottom w:val="nil"/>
            </w:tcBorders>
            <w:vAlign w:val="top"/>
          </w:tcPr>
          <w:p w14:paraId="264C2257">
            <w:pPr>
              <w:spacing w:line="368" w:lineRule="auto"/>
              <w:rPr>
                <w:rFonts w:ascii="Arial"/>
                <w:sz w:val="21"/>
              </w:rPr>
            </w:pPr>
          </w:p>
          <w:p w14:paraId="7B5E3D93">
            <w:pPr>
              <w:pStyle w:val="6"/>
              <w:spacing w:before="68" w:line="276" w:lineRule="auto"/>
              <w:ind w:left="12" w:right="15" w:hanging="5"/>
              <w:rPr>
                <w:rFonts w:ascii="宋体" w:hAnsi="宋体" w:eastAsia="宋体" w:cs="宋体"/>
              </w:rPr>
            </w:pPr>
            <w:r>
              <w:rPr>
                <w:spacing w:val="6"/>
              </w:rPr>
              <w:t>4.1h</w:t>
            </w:r>
            <w:r>
              <w:rPr>
                <w:rFonts w:ascii="宋体" w:hAnsi="宋体" w:eastAsia="宋体" w:cs="宋体"/>
                <w:spacing w:val="6"/>
              </w:rPr>
              <w:t>）因丧失原有功能而无</w:t>
            </w:r>
            <w:r>
              <w:rPr>
                <w:rFonts w:ascii="宋体" w:hAnsi="宋体" w:eastAsia="宋体" w:cs="宋体"/>
                <w:spacing w:val="-1"/>
              </w:rPr>
              <w:t>法继续使用的物质</w:t>
            </w:r>
          </w:p>
        </w:tc>
      </w:tr>
      <w:tr w14:paraId="6D13A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8" w:type="dxa"/>
            <w:vAlign w:val="top"/>
          </w:tcPr>
          <w:p w14:paraId="223F7F21">
            <w:pPr>
              <w:pStyle w:val="6"/>
              <w:spacing w:before="108" w:line="185" w:lineRule="auto"/>
              <w:ind w:left="170"/>
            </w:pPr>
            <w:r>
              <w:t>7</w:t>
            </w:r>
          </w:p>
        </w:tc>
        <w:tc>
          <w:tcPr>
            <w:tcW w:w="1132" w:type="dxa"/>
            <w:vAlign w:val="top"/>
          </w:tcPr>
          <w:p w14:paraId="0C6E3C14">
            <w:pPr>
              <w:spacing w:before="69" w:line="220" w:lineRule="auto"/>
              <w:ind w:left="151"/>
              <w:rPr>
                <w:rFonts w:ascii="宋体" w:hAnsi="宋体" w:eastAsia="宋体" w:cs="宋体"/>
                <w:sz w:val="21"/>
                <w:szCs w:val="21"/>
              </w:rPr>
            </w:pPr>
            <w:r>
              <w:rPr>
                <w:rFonts w:ascii="宋体" w:hAnsi="宋体" w:eastAsia="宋体" w:cs="宋体"/>
                <w:spacing w:val="-2"/>
                <w:sz w:val="21"/>
                <w:szCs w:val="21"/>
              </w:rPr>
              <w:t>生活垃圾</w:t>
            </w:r>
          </w:p>
        </w:tc>
        <w:tc>
          <w:tcPr>
            <w:tcW w:w="1132" w:type="dxa"/>
            <w:vAlign w:val="top"/>
          </w:tcPr>
          <w:p w14:paraId="6D60EBFE">
            <w:pPr>
              <w:spacing w:before="68" w:line="220" w:lineRule="auto"/>
              <w:ind w:left="154"/>
              <w:rPr>
                <w:rFonts w:ascii="宋体" w:hAnsi="宋体" w:eastAsia="宋体" w:cs="宋体"/>
                <w:sz w:val="21"/>
                <w:szCs w:val="21"/>
              </w:rPr>
            </w:pPr>
            <w:r>
              <w:rPr>
                <w:rFonts w:ascii="宋体" w:hAnsi="宋体" w:eastAsia="宋体" w:cs="宋体"/>
                <w:spacing w:val="-3"/>
                <w:sz w:val="21"/>
                <w:szCs w:val="21"/>
              </w:rPr>
              <w:t>办公生活</w:t>
            </w:r>
          </w:p>
        </w:tc>
        <w:tc>
          <w:tcPr>
            <w:tcW w:w="565" w:type="dxa"/>
            <w:vAlign w:val="top"/>
          </w:tcPr>
          <w:p w14:paraId="15AD32C5">
            <w:pPr>
              <w:spacing w:before="69"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2AEBE64C">
            <w:pPr>
              <w:spacing w:before="69" w:line="220" w:lineRule="auto"/>
              <w:ind w:left="152"/>
              <w:rPr>
                <w:rFonts w:ascii="宋体" w:hAnsi="宋体" w:eastAsia="宋体" w:cs="宋体"/>
                <w:sz w:val="21"/>
                <w:szCs w:val="21"/>
              </w:rPr>
            </w:pPr>
            <w:r>
              <w:rPr>
                <w:rFonts w:ascii="宋体" w:hAnsi="宋体" w:eastAsia="宋体" w:cs="宋体"/>
                <w:spacing w:val="-2"/>
                <w:sz w:val="21"/>
                <w:szCs w:val="21"/>
              </w:rPr>
              <w:t>废纸张、塑料</w:t>
            </w:r>
          </w:p>
        </w:tc>
        <w:tc>
          <w:tcPr>
            <w:tcW w:w="917" w:type="dxa"/>
            <w:vAlign w:val="top"/>
          </w:tcPr>
          <w:p w14:paraId="25D0520D">
            <w:pPr>
              <w:spacing w:before="69"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continue"/>
            <w:tcBorders>
              <w:top w:val="nil"/>
              <w:bottom w:val="nil"/>
            </w:tcBorders>
            <w:vAlign w:val="top"/>
          </w:tcPr>
          <w:p w14:paraId="5BE4F117">
            <w:pPr>
              <w:rPr>
                <w:rFonts w:ascii="Arial"/>
                <w:sz w:val="21"/>
              </w:rPr>
            </w:pPr>
          </w:p>
        </w:tc>
      </w:tr>
      <w:tr w14:paraId="5D6D9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8" w:type="dxa"/>
            <w:vAlign w:val="top"/>
          </w:tcPr>
          <w:p w14:paraId="01FC774D">
            <w:pPr>
              <w:pStyle w:val="6"/>
              <w:spacing w:before="105" w:line="188" w:lineRule="auto"/>
              <w:ind w:left="175"/>
            </w:pPr>
            <w:r>
              <w:t>8</w:t>
            </w:r>
          </w:p>
        </w:tc>
        <w:tc>
          <w:tcPr>
            <w:tcW w:w="1132" w:type="dxa"/>
            <w:vAlign w:val="top"/>
          </w:tcPr>
          <w:p w14:paraId="2F261AB9">
            <w:pPr>
              <w:spacing w:before="68" w:line="220" w:lineRule="auto"/>
              <w:ind w:left="44"/>
              <w:rPr>
                <w:rFonts w:ascii="宋体" w:hAnsi="宋体" w:eastAsia="宋体" w:cs="宋体"/>
                <w:sz w:val="21"/>
                <w:szCs w:val="21"/>
              </w:rPr>
            </w:pPr>
            <w:r>
              <w:rPr>
                <w:rFonts w:ascii="宋体" w:hAnsi="宋体" w:eastAsia="宋体" w:cs="宋体"/>
                <w:spacing w:val="-2"/>
                <w:sz w:val="21"/>
                <w:szCs w:val="21"/>
              </w:rPr>
              <w:t>诊疗废弃物</w:t>
            </w:r>
          </w:p>
        </w:tc>
        <w:tc>
          <w:tcPr>
            <w:tcW w:w="1132" w:type="dxa"/>
            <w:vAlign w:val="top"/>
          </w:tcPr>
          <w:p w14:paraId="70BE2621">
            <w:pPr>
              <w:spacing w:before="68" w:line="220" w:lineRule="auto"/>
              <w:ind w:left="361"/>
              <w:rPr>
                <w:rFonts w:ascii="宋体" w:hAnsi="宋体" w:eastAsia="宋体" w:cs="宋体"/>
                <w:sz w:val="21"/>
                <w:szCs w:val="21"/>
              </w:rPr>
            </w:pPr>
            <w:r>
              <w:rPr>
                <w:rFonts w:ascii="宋体" w:hAnsi="宋体" w:eastAsia="宋体" w:cs="宋体"/>
                <w:spacing w:val="-3"/>
                <w:sz w:val="21"/>
                <w:szCs w:val="21"/>
              </w:rPr>
              <w:t>养殖</w:t>
            </w:r>
          </w:p>
        </w:tc>
        <w:tc>
          <w:tcPr>
            <w:tcW w:w="565" w:type="dxa"/>
            <w:vAlign w:val="top"/>
          </w:tcPr>
          <w:p w14:paraId="392411AE">
            <w:pPr>
              <w:spacing w:before="69" w:line="220" w:lineRule="auto"/>
              <w:ind w:left="94"/>
              <w:rPr>
                <w:rFonts w:ascii="宋体" w:hAnsi="宋体" w:eastAsia="宋体" w:cs="宋体"/>
                <w:sz w:val="21"/>
                <w:szCs w:val="21"/>
              </w:rPr>
            </w:pPr>
            <w:r>
              <w:rPr>
                <w:rFonts w:ascii="宋体" w:hAnsi="宋体" w:eastAsia="宋体" w:cs="宋体"/>
                <w:spacing w:val="-7"/>
                <w:sz w:val="21"/>
                <w:szCs w:val="21"/>
              </w:rPr>
              <w:t>固态</w:t>
            </w:r>
          </w:p>
        </w:tc>
        <w:tc>
          <w:tcPr>
            <w:tcW w:w="1556" w:type="dxa"/>
            <w:vAlign w:val="top"/>
          </w:tcPr>
          <w:p w14:paraId="2A58F6C8">
            <w:pPr>
              <w:spacing w:before="68" w:line="220" w:lineRule="auto"/>
              <w:ind w:left="51"/>
              <w:rPr>
                <w:rFonts w:ascii="宋体" w:hAnsi="宋体" w:eastAsia="宋体" w:cs="宋体"/>
                <w:sz w:val="21"/>
                <w:szCs w:val="21"/>
              </w:rPr>
            </w:pPr>
            <w:r>
              <w:rPr>
                <w:rFonts w:ascii="宋体" w:hAnsi="宋体" w:eastAsia="宋体" w:cs="宋体"/>
                <w:spacing w:val="-2"/>
                <w:sz w:val="21"/>
                <w:szCs w:val="21"/>
              </w:rPr>
              <w:t>一次性医疗用品</w:t>
            </w:r>
          </w:p>
        </w:tc>
        <w:tc>
          <w:tcPr>
            <w:tcW w:w="917" w:type="dxa"/>
            <w:vAlign w:val="top"/>
          </w:tcPr>
          <w:p w14:paraId="3A3B625A">
            <w:pPr>
              <w:spacing w:before="69"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continue"/>
            <w:tcBorders>
              <w:top w:val="nil"/>
              <w:bottom w:val="nil"/>
            </w:tcBorders>
            <w:vAlign w:val="top"/>
          </w:tcPr>
          <w:p w14:paraId="02045EB9">
            <w:pPr>
              <w:rPr>
                <w:rFonts w:ascii="Arial"/>
                <w:sz w:val="21"/>
              </w:rPr>
            </w:pPr>
          </w:p>
        </w:tc>
      </w:tr>
      <w:tr w14:paraId="43B44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38" w:type="dxa"/>
            <w:vAlign w:val="top"/>
          </w:tcPr>
          <w:p w14:paraId="7A36BDA3">
            <w:pPr>
              <w:pStyle w:val="6"/>
              <w:spacing w:before="106" w:line="188" w:lineRule="auto"/>
              <w:ind w:left="171"/>
            </w:pPr>
            <w:r>
              <w:t>9</w:t>
            </w:r>
          </w:p>
        </w:tc>
        <w:tc>
          <w:tcPr>
            <w:tcW w:w="1132" w:type="dxa"/>
            <w:vAlign w:val="top"/>
          </w:tcPr>
          <w:p w14:paraId="01669FD6">
            <w:pPr>
              <w:spacing w:before="69" w:line="220" w:lineRule="auto"/>
              <w:ind w:left="148"/>
              <w:rPr>
                <w:rFonts w:ascii="宋体" w:hAnsi="宋体" w:eastAsia="宋体" w:cs="宋体"/>
                <w:sz w:val="21"/>
                <w:szCs w:val="21"/>
              </w:rPr>
            </w:pPr>
            <w:r>
              <w:rPr>
                <w:rFonts w:ascii="宋体" w:hAnsi="宋体" w:eastAsia="宋体" w:cs="宋体"/>
                <w:spacing w:val="-2"/>
                <w:sz w:val="21"/>
                <w:szCs w:val="21"/>
              </w:rPr>
              <w:t>废矿物油</w:t>
            </w:r>
          </w:p>
        </w:tc>
        <w:tc>
          <w:tcPr>
            <w:tcW w:w="1132" w:type="dxa"/>
            <w:vAlign w:val="top"/>
          </w:tcPr>
          <w:p w14:paraId="0E56F170">
            <w:pPr>
              <w:spacing w:before="69" w:line="220" w:lineRule="auto"/>
              <w:ind w:left="153"/>
              <w:rPr>
                <w:rFonts w:ascii="宋体" w:hAnsi="宋体" w:eastAsia="宋体" w:cs="宋体"/>
                <w:sz w:val="21"/>
                <w:szCs w:val="21"/>
              </w:rPr>
            </w:pPr>
            <w:r>
              <w:rPr>
                <w:rFonts w:ascii="宋体" w:hAnsi="宋体" w:eastAsia="宋体" w:cs="宋体"/>
                <w:spacing w:val="-3"/>
                <w:sz w:val="21"/>
                <w:szCs w:val="21"/>
              </w:rPr>
              <w:t>设备维护</w:t>
            </w:r>
          </w:p>
        </w:tc>
        <w:tc>
          <w:tcPr>
            <w:tcW w:w="565" w:type="dxa"/>
            <w:vAlign w:val="top"/>
          </w:tcPr>
          <w:p w14:paraId="1AC57C8B">
            <w:pPr>
              <w:spacing w:before="69" w:line="220" w:lineRule="auto"/>
              <w:ind w:left="78"/>
              <w:rPr>
                <w:rFonts w:ascii="宋体" w:hAnsi="宋体" w:eastAsia="宋体" w:cs="宋体"/>
                <w:sz w:val="21"/>
                <w:szCs w:val="21"/>
              </w:rPr>
            </w:pPr>
            <w:r>
              <w:rPr>
                <w:rFonts w:ascii="宋体" w:hAnsi="宋体" w:eastAsia="宋体" w:cs="宋体"/>
                <w:spacing w:val="-3"/>
                <w:sz w:val="21"/>
                <w:szCs w:val="21"/>
              </w:rPr>
              <w:t>液态</w:t>
            </w:r>
          </w:p>
        </w:tc>
        <w:tc>
          <w:tcPr>
            <w:tcW w:w="1556" w:type="dxa"/>
            <w:vAlign w:val="top"/>
          </w:tcPr>
          <w:p w14:paraId="6FFB6ABA">
            <w:pPr>
              <w:spacing w:before="69" w:line="220" w:lineRule="auto"/>
              <w:ind w:left="363"/>
              <w:rPr>
                <w:rFonts w:ascii="宋体" w:hAnsi="宋体" w:eastAsia="宋体" w:cs="宋体"/>
                <w:sz w:val="21"/>
                <w:szCs w:val="21"/>
              </w:rPr>
            </w:pPr>
            <w:r>
              <w:rPr>
                <w:rFonts w:ascii="宋体" w:hAnsi="宋体" w:eastAsia="宋体" w:cs="宋体"/>
                <w:spacing w:val="-2"/>
                <w:sz w:val="21"/>
                <w:szCs w:val="21"/>
              </w:rPr>
              <w:t>基础油等</w:t>
            </w:r>
          </w:p>
        </w:tc>
        <w:tc>
          <w:tcPr>
            <w:tcW w:w="917" w:type="dxa"/>
            <w:vAlign w:val="top"/>
          </w:tcPr>
          <w:p w14:paraId="75128EB5">
            <w:pPr>
              <w:spacing w:before="69" w:line="223" w:lineRule="auto"/>
              <w:ind w:left="363"/>
              <w:rPr>
                <w:rFonts w:ascii="宋体" w:hAnsi="宋体" w:eastAsia="宋体" w:cs="宋体"/>
                <w:sz w:val="21"/>
                <w:szCs w:val="21"/>
              </w:rPr>
            </w:pPr>
            <w:r>
              <w:rPr>
                <w:rFonts w:ascii="宋体" w:hAnsi="宋体" w:eastAsia="宋体" w:cs="宋体"/>
                <w:sz w:val="21"/>
                <w:szCs w:val="21"/>
              </w:rPr>
              <w:t>是</w:t>
            </w:r>
          </w:p>
        </w:tc>
        <w:tc>
          <w:tcPr>
            <w:tcW w:w="2581" w:type="dxa"/>
            <w:vMerge w:val="continue"/>
            <w:tcBorders>
              <w:top w:val="nil"/>
            </w:tcBorders>
            <w:vAlign w:val="top"/>
          </w:tcPr>
          <w:p w14:paraId="0491EB56">
            <w:pPr>
              <w:rPr>
                <w:rFonts w:ascii="Arial"/>
                <w:sz w:val="21"/>
              </w:rPr>
            </w:pPr>
          </w:p>
        </w:tc>
      </w:tr>
    </w:tbl>
    <w:p w14:paraId="28A338B3">
      <w:pPr>
        <w:spacing w:before="234"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）危险废物属性判别</w:t>
      </w:r>
    </w:p>
    <w:p w14:paraId="6E1A92EA">
      <w:pPr>
        <w:spacing w:before="182" w:line="361" w:lineRule="auto"/>
        <w:ind w:left="39" w:right="29" w:firstLine="479"/>
        <w:jc w:val="both"/>
        <w:rPr>
          <w:rFonts w:ascii="宋体" w:hAnsi="宋体" w:eastAsia="宋体" w:cs="宋体"/>
          <w:sz w:val="24"/>
          <w:szCs w:val="24"/>
        </w:rPr>
      </w:pPr>
      <w:r>
        <w:rPr>
          <w:rFonts w:ascii="宋体" w:hAnsi="宋体" w:eastAsia="宋体" w:cs="宋体"/>
          <w:spacing w:val="-13"/>
          <w:sz w:val="24"/>
          <w:szCs w:val="24"/>
        </w:rPr>
        <w:t>根据《国家危险废物名录》、《危险废物鉴别标准</w:t>
      </w:r>
      <w:r>
        <w:rPr>
          <w:rFonts w:ascii="宋体" w:hAnsi="宋体" w:eastAsia="宋体" w:cs="宋体"/>
          <w:spacing w:val="21"/>
          <w:sz w:val="24"/>
          <w:szCs w:val="24"/>
        </w:rPr>
        <w:t xml:space="preserve"> </w:t>
      </w:r>
      <w:r>
        <w:rPr>
          <w:rFonts w:ascii="宋体" w:hAnsi="宋体" w:eastAsia="宋体" w:cs="宋体"/>
          <w:spacing w:val="-13"/>
          <w:sz w:val="24"/>
          <w:szCs w:val="24"/>
        </w:rPr>
        <w:t>通则》（</w:t>
      </w:r>
      <w:r>
        <w:rPr>
          <w:rFonts w:ascii="Times New Roman" w:hAnsi="Times New Roman" w:eastAsia="Times New Roman" w:cs="Times New Roman"/>
          <w:spacing w:val="-13"/>
          <w:sz w:val="24"/>
          <w:szCs w:val="24"/>
        </w:rPr>
        <w:t>G</w:t>
      </w:r>
      <w:r>
        <w:rPr>
          <w:rFonts w:ascii="Times New Roman" w:hAnsi="Times New Roman" w:eastAsia="Times New Roman" w:cs="Times New Roman"/>
          <w:spacing w:val="-14"/>
          <w:sz w:val="24"/>
          <w:szCs w:val="24"/>
        </w:rPr>
        <w:t>B5085.7-2019</w:t>
      </w:r>
      <w:r>
        <w:rPr>
          <w:rFonts w:ascii="宋体" w:hAnsi="宋体" w:eastAsia="宋体" w:cs="宋体"/>
          <w:spacing w:val="-40"/>
          <w:sz w:val="24"/>
          <w:szCs w:val="24"/>
        </w:rPr>
        <w:t>），</w:t>
      </w:r>
      <w:r>
        <w:rPr>
          <w:rFonts w:ascii="宋体" w:hAnsi="宋体" w:eastAsia="宋体" w:cs="宋体"/>
          <w:spacing w:val="-3"/>
          <w:sz w:val="24"/>
          <w:szCs w:val="24"/>
        </w:rPr>
        <w:t>判定建设项目的固体废物是否属于危险废物，对项目产生的物质进行鉴别，判定</w:t>
      </w:r>
      <w:r>
        <w:rPr>
          <w:rFonts w:ascii="宋体" w:hAnsi="宋体" w:eastAsia="宋体" w:cs="宋体"/>
          <w:sz w:val="24"/>
          <w:szCs w:val="24"/>
        </w:rPr>
        <w:t>结果如表</w:t>
      </w:r>
      <w:r>
        <w:rPr>
          <w:rFonts w:ascii="Times New Roman" w:hAnsi="Times New Roman" w:eastAsia="Times New Roman" w:cs="Times New Roman"/>
          <w:sz w:val="24"/>
          <w:szCs w:val="24"/>
        </w:rPr>
        <w:t>2.2-17</w:t>
      </w:r>
      <w:r>
        <w:rPr>
          <w:rFonts w:ascii="宋体" w:hAnsi="宋体" w:eastAsia="宋体" w:cs="宋体"/>
          <w:sz w:val="24"/>
          <w:szCs w:val="24"/>
        </w:rPr>
        <w:t>。本项目运营期产生的危险废物性质</w:t>
      </w:r>
      <w:r>
        <w:rPr>
          <w:rFonts w:ascii="宋体" w:hAnsi="宋体" w:eastAsia="宋体" w:cs="宋体"/>
          <w:spacing w:val="-1"/>
          <w:sz w:val="24"/>
          <w:szCs w:val="24"/>
        </w:rPr>
        <w:t>详见表</w:t>
      </w:r>
      <w:r>
        <w:rPr>
          <w:rFonts w:ascii="Times New Roman" w:hAnsi="Times New Roman" w:eastAsia="Times New Roman" w:cs="Times New Roman"/>
          <w:spacing w:val="-1"/>
          <w:sz w:val="24"/>
          <w:szCs w:val="24"/>
        </w:rPr>
        <w:t>2.2-18</w:t>
      </w:r>
      <w:r>
        <w:rPr>
          <w:rFonts w:ascii="宋体" w:hAnsi="宋体" w:eastAsia="宋体" w:cs="宋体"/>
          <w:spacing w:val="-1"/>
          <w:sz w:val="24"/>
          <w:szCs w:val="24"/>
        </w:rPr>
        <w:t>。</w:t>
      </w:r>
    </w:p>
    <w:p w14:paraId="4B9607A8">
      <w:pPr>
        <w:spacing w:before="9" w:line="222" w:lineRule="auto"/>
        <w:ind w:left="303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2.2-17  </w:t>
      </w:r>
      <w:r>
        <w:rPr>
          <w:rFonts w:ascii="黑体" w:hAnsi="黑体" w:eastAsia="黑体" w:cs="黑体"/>
          <w:spacing w:val="-1"/>
          <w:sz w:val="21"/>
          <w:szCs w:val="21"/>
        </w:rPr>
        <w:t>危险废物鉴别表</w:t>
      </w:r>
    </w:p>
    <w:p w14:paraId="1313541C">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699"/>
        <w:gridCol w:w="1271"/>
        <w:gridCol w:w="1842"/>
        <w:gridCol w:w="1133"/>
        <w:gridCol w:w="1797"/>
      </w:tblGrid>
      <w:tr w14:paraId="4707B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78" w:type="dxa"/>
            <w:vAlign w:val="top"/>
          </w:tcPr>
          <w:p w14:paraId="3B942874">
            <w:pPr>
              <w:spacing w:before="68" w:line="221" w:lineRule="auto"/>
              <w:ind w:left="83"/>
              <w:rPr>
                <w:rFonts w:ascii="宋体" w:hAnsi="宋体" w:eastAsia="宋体" w:cs="宋体"/>
                <w:sz w:val="21"/>
                <w:szCs w:val="21"/>
              </w:rPr>
            </w:pPr>
            <w:r>
              <w:rPr>
                <w:rFonts w:ascii="宋体" w:hAnsi="宋体" w:eastAsia="宋体" w:cs="宋体"/>
                <w:spacing w:val="-2"/>
                <w:sz w:val="21"/>
                <w:szCs w:val="21"/>
              </w:rPr>
              <w:t>序号</w:t>
            </w:r>
          </w:p>
        </w:tc>
        <w:tc>
          <w:tcPr>
            <w:tcW w:w="1699" w:type="dxa"/>
            <w:vAlign w:val="top"/>
          </w:tcPr>
          <w:p w14:paraId="0BDCDA6B">
            <w:pPr>
              <w:spacing w:before="68" w:line="222" w:lineRule="auto"/>
              <w:ind w:left="645"/>
              <w:rPr>
                <w:rFonts w:ascii="宋体" w:hAnsi="宋体" w:eastAsia="宋体" w:cs="宋体"/>
                <w:sz w:val="21"/>
                <w:szCs w:val="21"/>
              </w:rPr>
            </w:pPr>
            <w:r>
              <w:rPr>
                <w:rFonts w:ascii="宋体" w:hAnsi="宋体" w:eastAsia="宋体" w:cs="宋体"/>
                <w:spacing w:val="-3"/>
                <w:sz w:val="21"/>
                <w:szCs w:val="21"/>
              </w:rPr>
              <w:t>名称</w:t>
            </w:r>
          </w:p>
        </w:tc>
        <w:tc>
          <w:tcPr>
            <w:tcW w:w="1271" w:type="dxa"/>
            <w:vAlign w:val="top"/>
          </w:tcPr>
          <w:p w14:paraId="31453460">
            <w:pPr>
              <w:spacing w:before="68" w:line="220" w:lineRule="auto"/>
              <w:ind w:left="220"/>
              <w:rPr>
                <w:rFonts w:ascii="宋体" w:hAnsi="宋体" w:eastAsia="宋体" w:cs="宋体"/>
                <w:sz w:val="21"/>
                <w:szCs w:val="21"/>
              </w:rPr>
            </w:pPr>
            <w:r>
              <w:rPr>
                <w:rFonts w:ascii="宋体" w:hAnsi="宋体" w:eastAsia="宋体" w:cs="宋体"/>
                <w:spacing w:val="-2"/>
                <w:sz w:val="21"/>
                <w:szCs w:val="21"/>
              </w:rPr>
              <w:t>产生工序</w:t>
            </w:r>
          </w:p>
        </w:tc>
        <w:tc>
          <w:tcPr>
            <w:tcW w:w="1842" w:type="dxa"/>
            <w:vAlign w:val="top"/>
          </w:tcPr>
          <w:p w14:paraId="64255EA7">
            <w:pPr>
              <w:spacing w:before="69" w:line="220" w:lineRule="auto"/>
              <w:ind w:left="508"/>
              <w:rPr>
                <w:rFonts w:ascii="宋体" w:hAnsi="宋体" w:eastAsia="宋体" w:cs="宋体"/>
                <w:sz w:val="21"/>
                <w:szCs w:val="21"/>
              </w:rPr>
            </w:pPr>
            <w:r>
              <w:rPr>
                <w:rFonts w:ascii="宋体" w:hAnsi="宋体" w:eastAsia="宋体" w:cs="宋体"/>
                <w:spacing w:val="-2"/>
                <w:sz w:val="21"/>
                <w:szCs w:val="21"/>
              </w:rPr>
              <w:t>主要成分</w:t>
            </w:r>
          </w:p>
        </w:tc>
        <w:tc>
          <w:tcPr>
            <w:tcW w:w="1133" w:type="dxa"/>
            <w:vAlign w:val="top"/>
          </w:tcPr>
          <w:p w14:paraId="75624D0A">
            <w:pPr>
              <w:spacing w:before="69" w:line="220" w:lineRule="auto"/>
              <w:ind w:left="171"/>
              <w:rPr>
                <w:rFonts w:ascii="宋体" w:hAnsi="宋体" w:eastAsia="宋体" w:cs="宋体"/>
                <w:sz w:val="21"/>
                <w:szCs w:val="21"/>
              </w:rPr>
            </w:pPr>
            <w:r>
              <w:rPr>
                <w:rFonts w:ascii="宋体" w:hAnsi="宋体" w:eastAsia="宋体" w:cs="宋体"/>
                <w:spacing w:val="-5"/>
                <w:sz w:val="21"/>
                <w:szCs w:val="21"/>
              </w:rPr>
              <w:t>固废性质</w:t>
            </w:r>
          </w:p>
        </w:tc>
        <w:tc>
          <w:tcPr>
            <w:tcW w:w="1797" w:type="dxa"/>
            <w:vAlign w:val="top"/>
          </w:tcPr>
          <w:p w14:paraId="5AB56A6E">
            <w:pPr>
              <w:spacing w:before="68" w:line="220" w:lineRule="auto"/>
              <w:ind w:left="483"/>
              <w:rPr>
                <w:rFonts w:ascii="宋体" w:hAnsi="宋体" w:eastAsia="宋体" w:cs="宋体"/>
                <w:sz w:val="21"/>
                <w:szCs w:val="21"/>
              </w:rPr>
            </w:pPr>
            <w:r>
              <w:rPr>
                <w:rFonts w:ascii="宋体" w:hAnsi="宋体" w:eastAsia="宋体" w:cs="宋体"/>
                <w:spacing w:val="-2"/>
                <w:sz w:val="21"/>
                <w:szCs w:val="21"/>
              </w:rPr>
              <w:t>废物代码</w:t>
            </w:r>
          </w:p>
        </w:tc>
      </w:tr>
      <w:tr w14:paraId="4A987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Align w:val="top"/>
          </w:tcPr>
          <w:p w14:paraId="6B98DE23">
            <w:pPr>
              <w:pStyle w:val="6"/>
              <w:spacing w:before="102" w:line="188" w:lineRule="auto"/>
              <w:ind w:left="258"/>
            </w:pPr>
            <w:r>
              <w:t>1</w:t>
            </w:r>
          </w:p>
        </w:tc>
        <w:tc>
          <w:tcPr>
            <w:tcW w:w="1699" w:type="dxa"/>
            <w:vAlign w:val="top"/>
          </w:tcPr>
          <w:p w14:paraId="0BE211AA">
            <w:pPr>
              <w:spacing w:before="64" w:line="220" w:lineRule="auto"/>
              <w:ind w:left="643"/>
              <w:rPr>
                <w:rFonts w:ascii="宋体" w:hAnsi="宋体" w:eastAsia="宋体" w:cs="宋体"/>
                <w:sz w:val="21"/>
                <w:szCs w:val="21"/>
              </w:rPr>
            </w:pPr>
            <w:r>
              <w:rPr>
                <w:rFonts w:ascii="宋体" w:hAnsi="宋体" w:eastAsia="宋体" w:cs="宋体"/>
                <w:spacing w:val="-3"/>
                <w:sz w:val="21"/>
                <w:szCs w:val="21"/>
              </w:rPr>
              <w:t>猪粪</w:t>
            </w:r>
          </w:p>
        </w:tc>
        <w:tc>
          <w:tcPr>
            <w:tcW w:w="1271" w:type="dxa"/>
            <w:vAlign w:val="top"/>
          </w:tcPr>
          <w:p w14:paraId="7B9BEEA2">
            <w:pPr>
              <w:spacing w:before="64" w:line="220" w:lineRule="auto"/>
              <w:ind w:left="431"/>
              <w:rPr>
                <w:rFonts w:ascii="宋体" w:hAnsi="宋体" w:eastAsia="宋体" w:cs="宋体"/>
                <w:sz w:val="21"/>
                <w:szCs w:val="21"/>
              </w:rPr>
            </w:pPr>
            <w:r>
              <w:rPr>
                <w:rFonts w:ascii="宋体" w:hAnsi="宋体" w:eastAsia="宋体" w:cs="宋体"/>
                <w:spacing w:val="-3"/>
                <w:sz w:val="21"/>
                <w:szCs w:val="21"/>
              </w:rPr>
              <w:t>养殖</w:t>
            </w:r>
          </w:p>
        </w:tc>
        <w:tc>
          <w:tcPr>
            <w:tcW w:w="1842" w:type="dxa"/>
            <w:vAlign w:val="top"/>
          </w:tcPr>
          <w:p w14:paraId="37AF8DC8">
            <w:pPr>
              <w:spacing w:before="65" w:line="219" w:lineRule="auto"/>
              <w:ind w:left="297"/>
              <w:rPr>
                <w:rFonts w:ascii="宋体" w:hAnsi="宋体" w:eastAsia="宋体" w:cs="宋体"/>
                <w:sz w:val="21"/>
                <w:szCs w:val="21"/>
              </w:rPr>
            </w:pPr>
            <w:r>
              <w:rPr>
                <w:rFonts w:ascii="宋体" w:hAnsi="宋体" w:eastAsia="宋体" w:cs="宋体"/>
                <w:spacing w:val="-2"/>
                <w:sz w:val="21"/>
                <w:szCs w:val="21"/>
              </w:rPr>
              <w:t>有机物、残渣</w:t>
            </w:r>
          </w:p>
        </w:tc>
        <w:tc>
          <w:tcPr>
            <w:tcW w:w="1133" w:type="dxa"/>
            <w:vMerge w:val="restart"/>
            <w:tcBorders>
              <w:bottom w:val="nil"/>
            </w:tcBorders>
            <w:vAlign w:val="top"/>
          </w:tcPr>
          <w:p w14:paraId="27E33611">
            <w:pPr>
              <w:spacing w:line="243" w:lineRule="auto"/>
              <w:rPr>
                <w:rFonts w:ascii="Arial"/>
                <w:sz w:val="21"/>
              </w:rPr>
            </w:pPr>
          </w:p>
          <w:p w14:paraId="688EE1BA">
            <w:pPr>
              <w:spacing w:line="243" w:lineRule="auto"/>
              <w:rPr>
                <w:rFonts w:ascii="Arial"/>
                <w:sz w:val="21"/>
              </w:rPr>
            </w:pPr>
          </w:p>
          <w:p w14:paraId="0632C467">
            <w:pPr>
              <w:spacing w:line="243" w:lineRule="auto"/>
              <w:rPr>
                <w:rFonts w:ascii="Arial"/>
                <w:sz w:val="21"/>
              </w:rPr>
            </w:pPr>
          </w:p>
          <w:p w14:paraId="77319893">
            <w:pPr>
              <w:spacing w:line="243" w:lineRule="auto"/>
              <w:rPr>
                <w:rFonts w:ascii="Arial"/>
                <w:sz w:val="21"/>
              </w:rPr>
            </w:pPr>
          </w:p>
          <w:p w14:paraId="205F5931">
            <w:pPr>
              <w:spacing w:line="243" w:lineRule="auto"/>
              <w:rPr>
                <w:rFonts w:ascii="Arial"/>
                <w:sz w:val="21"/>
              </w:rPr>
            </w:pPr>
          </w:p>
          <w:p w14:paraId="2A022929">
            <w:pPr>
              <w:spacing w:before="68" w:line="220" w:lineRule="auto"/>
              <w:ind w:left="156"/>
              <w:rPr>
                <w:rFonts w:ascii="宋体" w:hAnsi="宋体" w:eastAsia="宋体" w:cs="宋体"/>
                <w:sz w:val="21"/>
                <w:szCs w:val="21"/>
              </w:rPr>
            </w:pPr>
            <w:r>
              <w:rPr>
                <w:rFonts w:ascii="宋体" w:hAnsi="宋体" w:eastAsia="宋体" w:cs="宋体"/>
                <w:spacing w:val="-3"/>
                <w:sz w:val="21"/>
                <w:szCs w:val="21"/>
              </w:rPr>
              <w:t>一般固废</w:t>
            </w:r>
          </w:p>
        </w:tc>
        <w:tc>
          <w:tcPr>
            <w:tcW w:w="1797" w:type="dxa"/>
            <w:vAlign w:val="top"/>
          </w:tcPr>
          <w:p w14:paraId="38C837A7">
            <w:pPr>
              <w:pStyle w:val="6"/>
              <w:spacing w:before="101" w:line="188" w:lineRule="auto"/>
              <w:ind w:left="413"/>
            </w:pPr>
            <w:r>
              <w:rPr>
                <w:spacing w:val="-1"/>
              </w:rPr>
              <w:t>030-001-33</w:t>
            </w:r>
          </w:p>
        </w:tc>
      </w:tr>
      <w:tr w14:paraId="54B41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8" w:type="dxa"/>
            <w:vAlign w:val="top"/>
          </w:tcPr>
          <w:p w14:paraId="7BAAE48A">
            <w:pPr>
              <w:pStyle w:val="6"/>
              <w:spacing w:before="102" w:line="188" w:lineRule="auto"/>
              <w:ind w:left="238"/>
            </w:pPr>
            <w:r>
              <w:t>2</w:t>
            </w:r>
          </w:p>
        </w:tc>
        <w:tc>
          <w:tcPr>
            <w:tcW w:w="1699" w:type="dxa"/>
            <w:vAlign w:val="top"/>
          </w:tcPr>
          <w:p w14:paraId="3C942FCA">
            <w:pPr>
              <w:spacing w:before="66" w:line="220" w:lineRule="auto"/>
              <w:ind w:left="536"/>
              <w:rPr>
                <w:rFonts w:ascii="宋体" w:hAnsi="宋体" w:eastAsia="宋体" w:cs="宋体"/>
                <w:sz w:val="21"/>
                <w:szCs w:val="21"/>
              </w:rPr>
            </w:pPr>
            <w:r>
              <w:rPr>
                <w:rFonts w:ascii="宋体" w:hAnsi="宋体" w:eastAsia="宋体" w:cs="宋体"/>
                <w:spacing w:val="-2"/>
                <w:sz w:val="21"/>
                <w:szCs w:val="21"/>
              </w:rPr>
              <w:t>病死猪</w:t>
            </w:r>
          </w:p>
        </w:tc>
        <w:tc>
          <w:tcPr>
            <w:tcW w:w="1271" w:type="dxa"/>
            <w:vAlign w:val="top"/>
          </w:tcPr>
          <w:p w14:paraId="2485D00C">
            <w:pPr>
              <w:spacing w:before="65" w:line="220" w:lineRule="auto"/>
              <w:ind w:left="431"/>
              <w:rPr>
                <w:rFonts w:ascii="宋体" w:hAnsi="宋体" w:eastAsia="宋体" w:cs="宋体"/>
                <w:sz w:val="21"/>
                <w:szCs w:val="21"/>
              </w:rPr>
            </w:pPr>
            <w:r>
              <w:rPr>
                <w:rFonts w:ascii="宋体" w:hAnsi="宋体" w:eastAsia="宋体" w:cs="宋体"/>
                <w:spacing w:val="-3"/>
                <w:sz w:val="21"/>
                <w:szCs w:val="21"/>
              </w:rPr>
              <w:t>养殖</w:t>
            </w:r>
          </w:p>
        </w:tc>
        <w:tc>
          <w:tcPr>
            <w:tcW w:w="1842" w:type="dxa"/>
            <w:vAlign w:val="top"/>
          </w:tcPr>
          <w:p w14:paraId="621E4CD9">
            <w:pPr>
              <w:spacing w:before="65" w:line="221" w:lineRule="auto"/>
              <w:ind w:left="508"/>
              <w:rPr>
                <w:rFonts w:ascii="宋体" w:hAnsi="宋体" w:eastAsia="宋体" w:cs="宋体"/>
                <w:sz w:val="21"/>
                <w:szCs w:val="21"/>
              </w:rPr>
            </w:pPr>
            <w:r>
              <w:rPr>
                <w:rFonts w:ascii="宋体" w:hAnsi="宋体" w:eastAsia="宋体" w:cs="宋体"/>
                <w:spacing w:val="-2"/>
                <w:sz w:val="21"/>
                <w:szCs w:val="21"/>
              </w:rPr>
              <w:t>生物组织</w:t>
            </w:r>
          </w:p>
        </w:tc>
        <w:tc>
          <w:tcPr>
            <w:tcW w:w="1133" w:type="dxa"/>
            <w:vMerge w:val="continue"/>
            <w:tcBorders>
              <w:top w:val="nil"/>
              <w:bottom w:val="nil"/>
            </w:tcBorders>
            <w:vAlign w:val="top"/>
          </w:tcPr>
          <w:p w14:paraId="5874283B">
            <w:pPr>
              <w:rPr>
                <w:rFonts w:ascii="Arial"/>
                <w:sz w:val="21"/>
              </w:rPr>
            </w:pPr>
          </w:p>
        </w:tc>
        <w:tc>
          <w:tcPr>
            <w:tcW w:w="1797" w:type="dxa"/>
            <w:vAlign w:val="top"/>
          </w:tcPr>
          <w:p w14:paraId="2D96B2B9">
            <w:pPr>
              <w:pStyle w:val="6"/>
              <w:spacing w:before="102" w:line="188" w:lineRule="auto"/>
              <w:ind w:left="413"/>
            </w:pPr>
            <w:r>
              <w:rPr>
                <w:spacing w:val="-1"/>
              </w:rPr>
              <w:t>030-001-99</w:t>
            </w:r>
          </w:p>
        </w:tc>
      </w:tr>
      <w:tr w14:paraId="5CDF3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Align w:val="top"/>
          </w:tcPr>
          <w:p w14:paraId="55E23AF7">
            <w:pPr>
              <w:pStyle w:val="6"/>
              <w:spacing w:before="103" w:line="188" w:lineRule="auto"/>
              <w:ind w:left="242"/>
            </w:pPr>
            <w:r>
              <w:t>3</w:t>
            </w:r>
          </w:p>
        </w:tc>
        <w:tc>
          <w:tcPr>
            <w:tcW w:w="1699" w:type="dxa"/>
            <w:vAlign w:val="top"/>
          </w:tcPr>
          <w:p w14:paraId="2867DA81">
            <w:pPr>
              <w:spacing w:before="66" w:line="224" w:lineRule="auto"/>
              <w:ind w:left="647"/>
              <w:rPr>
                <w:rFonts w:ascii="宋体" w:hAnsi="宋体" w:eastAsia="宋体" w:cs="宋体"/>
                <w:sz w:val="21"/>
                <w:szCs w:val="21"/>
              </w:rPr>
            </w:pPr>
            <w:r>
              <w:rPr>
                <w:rFonts w:ascii="宋体" w:hAnsi="宋体" w:eastAsia="宋体" w:cs="宋体"/>
                <w:spacing w:val="-4"/>
                <w:sz w:val="21"/>
                <w:szCs w:val="21"/>
              </w:rPr>
              <w:t>沼渣</w:t>
            </w:r>
          </w:p>
        </w:tc>
        <w:tc>
          <w:tcPr>
            <w:tcW w:w="1271" w:type="dxa"/>
            <w:vAlign w:val="top"/>
          </w:tcPr>
          <w:p w14:paraId="7CB498AC">
            <w:pPr>
              <w:spacing w:before="66" w:line="220" w:lineRule="auto"/>
              <w:ind w:left="222"/>
              <w:rPr>
                <w:rFonts w:ascii="宋体" w:hAnsi="宋体" w:eastAsia="宋体" w:cs="宋体"/>
                <w:sz w:val="21"/>
                <w:szCs w:val="21"/>
              </w:rPr>
            </w:pPr>
            <w:r>
              <w:rPr>
                <w:rFonts w:ascii="宋体" w:hAnsi="宋体" w:eastAsia="宋体" w:cs="宋体"/>
                <w:spacing w:val="-2"/>
                <w:sz w:val="21"/>
                <w:szCs w:val="21"/>
              </w:rPr>
              <w:t>粪污处理</w:t>
            </w:r>
          </w:p>
        </w:tc>
        <w:tc>
          <w:tcPr>
            <w:tcW w:w="1842" w:type="dxa"/>
            <w:vAlign w:val="top"/>
          </w:tcPr>
          <w:p w14:paraId="0A88F5CB">
            <w:pPr>
              <w:spacing w:before="66" w:line="219" w:lineRule="auto"/>
              <w:ind w:left="297"/>
              <w:rPr>
                <w:rFonts w:ascii="宋体" w:hAnsi="宋体" w:eastAsia="宋体" w:cs="宋体"/>
                <w:sz w:val="21"/>
                <w:szCs w:val="21"/>
              </w:rPr>
            </w:pPr>
            <w:r>
              <w:rPr>
                <w:rFonts w:ascii="宋体" w:hAnsi="宋体" w:eastAsia="宋体" w:cs="宋体"/>
                <w:spacing w:val="-2"/>
                <w:sz w:val="21"/>
                <w:szCs w:val="21"/>
              </w:rPr>
              <w:t>有机物、残渣</w:t>
            </w:r>
          </w:p>
        </w:tc>
        <w:tc>
          <w:tcPr>
            <w:tcW w:w="1133" w:type="dxa"/>
            <w:vMerge w:val="continue"/>
            <w:tcBorders>
              <w:top w:val="nil"/>
              <w:bottom w:val="nil"/>
            </w:tcBorders>
            <w:vAlign w:val="top"/>
          </w:tcPr>
          <w:p w14:paraId="1E582D3E">
            <w:pPr>
              <w:rPr>
                <w:rFonts w:ascii="Arial"/>
                <w:sz w:val="21"/>
              </w:rPr>
            </w:pPr>
          </w:p>
        </w:tc>
        <w:tc>
          <w:tcPr>
            <w:tcW w:w="1797" w:type="dxa"/>
            <w:vAlign w:val="top"/>
          </w:tcPr>
          <w:p w14:paraId="640C9571">
            <w:pPr>
              <w:pStyle w:val="6"/>
              <w:spacing w:before="103" w:line="188" w:lineRule="auto"/>
              <w:ind w:left="413"/>
            </w:pPr>
            <w:r>
              <w:rPr>
                <w:spacing w:val="-1"/>
              </w:rPr>
              <w:t>030-001-33</w:t>
            </w:r>
          </w:p>
        </w:tc>
      </w:tr>
      <w:tr w14:paraId="52A10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Align w:val="top"/>
          </w:tcPr>
          <w:p w14:paraId="5E5C65D2">
            <w:pPr>
              <w:pStyle w:val="6"/>
              <w:spacing w:before="104" w:line="188" w:lineRule="auto"/>
              <w:ind w:left="237"/>
            </w:pPr>
            <w:r>
              <w:t>4</w:t>
            </w:r>
          </w:p>
        </w:tc>
        <w:tc>
          <w:tcPr>
            <w:tcW w:w="1699" w:type="dxa"/>
            <w:vAlign w:val="top"/>
          </w:tcPr>
          <w:p w14:paraId="51ACEC8D">
            <w:pPr>
              <w:spacing w:before="67" w:line="222" w:lineRule="auto"/>
              <w:ind w:left="644"/>
              <w:rPr>
                <w:rFonts w:ascii="宋体" w:hAnsi="宋体" w:eastAsia="宋体" w:cs="宋体"/>
                <w:sz w:val="21"/>
                <w:szCs w:val="21"/>
              </w:rPr>
            </w:pPr>
            <w:r>
              <w:rPr>
                <w:rFonts w:ascii="宋体" w:hAnsi="宋体" w:eastAsia="宋体" w:cs="宋体"/>
                <w:spacing w:val="-3"/>
                <w:sz w:val="21"/>
                <w:szCs w:val="21"/>
              </w:rPr>
              <w:t>污泥</w:t>
            </w:r>
          </w:p>
        </w:tc>
        <w:tc>
          <w:tcPr>
            <w:tcW w:w="1271" w:type="dxa"/>
            <w:vAlign w:val="top"/>
          </w:tcPr>
          <w:p w14:paraId="44A86233">
            <w:pPr>
              <w:spacing w:before="66" w:line="220" w:lineRule="auto"/>
              <w:ind w:left="222"/>
              <w:rPr>
                <w:rFonts w:ascii="宋体" w:hAnsi="宋体" w:eastAsia="宋体" w:cs="宋体"/>
                <w:sz w:val="21"/>
                <w:szCs w:val="21"/>
              </w:rPr>
            </w:pPr>
            <w:r>
              <w:rPr>
                <w:rFonts w:ascii="宋体" w:hAnsi="宋体" w:eastAsia="宋体" w:cs="宋体"/>
                <w:spacing w:val="-2"/>
                <w:sz w:val="21"/>
                <w:szCs w:val="21"/>
              </w:rPr>
              <w:t>污水处理</w:t>
            </w:r>
          </w:p>
        </w:tc>
        <w:tc>
          <w:tcPr>
            <w:tcW w:w="1842" w:type="dxa"/>
            <w:vAlign w:val="top"/>
          </w:tcPr>
          <w:p w14:paraId="31859785">
            <w:pPr>
              <w:spacing w:before="67" w:line="219" w:lineRule="auto"/>
              <w:ind w:left="612"/>
              <w:rPr>
                <w:rFonts w:ascii="宋体" w:hAnsi="宋体" w:eastAsia="宋体" w:cs="宋体"/>
                <w:sz w:val="21"/>
                <w:szCs w:val="21"/>
              </w:rPr>
            </w:pPr>
            <w:r>
              <w:rPr>
                <w:rFonts w:ascii="宋体" w:hAnsi="宋体" w:eastAsia="宋体" w:cs="宋体"/>
                <w:spacing w:val="-3"/>
                <w:sz w:val="21"/>
                <w:szCs w:val="21"/>
              </w:rPr>
              <w:t>有机物</w:t>
            </w:r>
          </w:p>
        </w:tc>
        <w:tc>
          <w:tcPr>
            <w:tcW w:w="1133" w:type="dxa"/>
            <w:vMerge w:val="continue"/>
            <w:tcBorders>
              <w:top w:val="nil"/>
              <w:bottom w:val="nil"/>
            </w:tcBorders>
            <w:vAlign w:val="top"/>
          </w:tcPr>
          <w:p w14:paraId="43C6CB6C">
            <w:pPr>
              <w:rPr>
                <w:rFonts w:ascii="Arial"/>
                <w:sz w:val="21"/>
              </w:rPr>
            </w:pPr>
          </w:p>
        </w:tc>
        <w:tc>
          <w:tcPr>
            <w:tcW w:w="1797" w:type="dxa"/>
            <w:vAlign w:val="top"/>
          </w:tcPr>
          <w:p w14:paraId="0693F834">
            <w:pPr>
              <w:pStyle w:val="6"/>
              <w:spacing w:before="103" w:line="188" w:lineRule="auto"/>
              <w:ind w:left="413"/>
            </w:pPr>
            <w:r>
              <w:rPr>
                <w:spacing w:val="-1"/>
              </w:rPr>
              <w:t>030-001-33</w:t>
            </w:r>
          </w:p>
        </w:tc>
      </w:tr>
      <w:tr w14:paraId="00B0A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8" w:type="dxa"/>
            <w:vAlign w:val="top"/>
          </w:tcPr>
          <w:p w14:paraId="0C715ED0">
            <w:pPr>
              <w:pStyle w:val="6"/>
              <w:spacing w:before="107" w:line="185" w:lineRule="auto"/>
              <w:ind w:left="243"/>
            </w:pPr>
            <w:r>
              <w:t>5</w:t>
            </w:r>
          </w:p>
        </w:tc>
        <w:tc>
          <w:tcPr>
            <w:tcW w:w="1699" w:type="dxa"/>
            <w:vAlign w:val="top"/>
          </w:tcPr>
          <w:p w14:paraId="066D2C8A">
            <w:pPr>
              <w:spacing w:before="67" w:line="219" w:lineRule="auto"/>
              <w:ind w:left="432"/>
              <w:rPr>
                <w:rFonts w:ascii="宋体" w:hAnsi="宋体" w:eastAsia="宋体" w:cs="宋体"/>
                <w:sz w:val="21"/>
                <w:szCs w:val="21"/>
              </w:rPr>
            </w:pPr>
            <w:r>
              <w:rPr>
                <w:rFonts w:ascii="宋体" w:hAnsi="宋体" w:eastAsia="宋体" w:cs="宋体"/>
                <w:spacing w:val="-2"/>
                <w:sz w:val="21"/>
                <w:szCs w:val="21"/>
              </w:rPr>
              <w:t>废脱硫剂</w:t>
            </w:r>
          </w:p>
        </w:tc>
        <w:tc>
          <w:tcPr>
            <w:tcW w:w="1271" w:type="dxa"/>
            <w:vAlign w:val="top"/>
          </w:tcPr>
          <w:p w14:paraId="7045AEF9">
            <w:pPr>
              <w:spacing w:before="67" w:line="221" w:lineRule="auto"/>
              <w:ind w:left="225"/>
              <w:rPr>
                <w:rFonts w:ascii="宋体" w:hAnsi="宋体" w:eastAsia="宋体" w:cs="宋体"/>
                <w:sz w:val="21"/>
                <w:szCs w:val="21"/>
              </w:rPr>
            </w:pPr>
            <w:r>
              <w:rPr>
                <w:rFonts w:ascii="宋体" w:hAnsi="宋体" w:eastAsia="宋体" w:cs="宋体"/>
                <w:spacing w:val="-3"/>
                <w:sz w:val="21"/>
                <w:szCs w:val="21"/>
              </w:rPr>
              <w:t>沼气脱硫</w:t>
            </w:r>
          </w:p>
        </w:tc>
        <w:tc>
          <w:tcPr>
            <w:tcW w:w="1842" w:type="dxa"/>
            <w:vAlign w:val="top"/>
          </w:tcPr>
          <w:p w14:paraId="4E22249A">
            <w:pPr>
              <w:pStyle w:val="6"/>
              <w:spacing w:before="104" w:line="189" w:lineRule="auto"/>
              <w:ind w:left="419"/>
              <w:rPr>
                <w:sz w:val="14"/>
                <w:szCs w:val="14"/>
              </w:rPr>
            </w:pPr>
            <w:r>
              <w:rPr>
                <w:spacing w:val="-3"/>
              </w:rPr>
              <w:t>FeS</w:t>
            </w:r>
            <w:r>
              <w:rPr>
                <w:spacing w:val="-30"/>
              </w:rPr>
              <w:t xml:space="preserve"> </w:t>
            </w:r>
            <w:r>
              <w:rPr>
                <w:rFonts w:ascii="宋体" w:hAnsi="宋体" w:eastAsia="宋体" w:cs="宋体"/>
                <w:spacing w:val="-3"/>
              </w:rPr>
              <w:t>、</w:t>
            </w:r>
            <w:r>
              <w:rPr>
                <w:spacing w:val="-3"/>
              </w:rPr>
              <w:t>Fe</w:t>
            </w:r>
            <w:r>
              <w:rPr>
                <w:spacing w:val="-3"/>
                <w:position w:val="-2"/>
                <w:sz w:val="14"/>
                <w:szCs w:val="14"/>
              </w:rPr>
              <w:t>2</w:t>
            </w:r>
            <w:r>
              <w:rPr>
                <w:spacing w:val="-3"/>
              </w:rPr>
              <w:t>S</w:t>
            </w:r>
            <w:r>
              <w:rPr>
                <w:spacing w:val="-3"/>
                <w:position w:val="-2"/>
                <w:sz w:val="14"/>
                <w:szCs w:val="14"/>
              </w:rPr>
              <w:t>3</w:t>
            </w:r>
          </w:p>
        </w:tc>
        <w:tc>
          <w:tcPr>
            <w:tcW w:w="1133" w:type="dxa"/>
            <w:vMerge w:val="continue"/>
            <w:tcBorders>
              <w:top w:val="nil"/>
              <w:bottom w:val="nil"/>
            </w:tcBorders>
            <w:vAlign w:val="top"/>
          </w:tcPr>
          <w:p w14:paraId="1B85FFFD">
            <w:pPr>
              <w:rPr>
                <w:rFonts w:ascii="Arial"/>
                <w:sz w:val="21"/>
              </w:rPr>
            </w:pPr>
          </w:p>
        </w:tc>
        <w:tc>
          <w:tcPr>
            <w:tcW w:w="1797" w:type="dxa"/>
            <w:vAlign w:val="top"/>
          </w:tcPr>
          <w:p w14:paraId="57E79BC2">
            <w:pPr>
              <w:pStyle w:val="6"/>
              <w:spacing w:before="104" w:line="188" w:lineRule="auto"/>
              <w:ind w:left="413"/>
            </w:pPr>
            <w:r>
              <w:rPr>
                <w:spacing w:val="-1"/>
              </w:rPr>
              <w:t>770-002-99</w:t>
            </w:r>
          </w:p>
        </w:tc>
      </w:tr>
      <w:tr w14:paraId="5640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Align w:val="top"/>
          </w:tcPr>
          <w:p w14:paraId="1F679677">
            <w:pPr>
              <w:pStyle w:val="6"/>
              <w:spacing w:before="104" w:line="188" w:lineRule="auto"/>
              <w:ind w:left="242"/>
            </w:pPr>
            <w:r>
              <w:t>6</w:t>
            </w:r>
          </w:p>
        </w:tc>
        <w:tc>
          <w:tcPr>
            <w:tcW w:w="1699" w:type="dxa"/>
            <w:vAlign w:val="top"/>
          </w:tcPr>
          <w:p w14:paraId="3CAF1CE2">
            <w:pPr>
              <w:spacing w:before="67" w:line="219" w:lineRule="auto"/>
              <w:ind w:left="326"/>
              <w:rPr>
                <w:rFonts w:ascii="宋体" w:hAnsi="宋体" w:eastAsia="宋体" w:cs="宋体"/>
                <w:sz w:val="21"/>
                <w:szCs w:val="21"/>
              </w:rPr>
            </w:pPr>
            <w:r>
              <w:rPr>
                <w:rFonts w:ascii="宋体" w:hAnsi="宋体" w:eastAsia="宋体" w:cs="宋体"/>
                <w:spacing w:val="-2"/>
                <w:sz w:val="21"/>
                <w:szCs w:val="21"/>
              </w:rPr>
              <w:t>废包装材料</w:t>
            </w:r>
          </w:p>
        </w:tc>
        <w:tc>
          <w:tcPr>
            <w:tcW w:w="1271" w:type="dxa"/>
            <w:vAlign w:val="top"/>
          </w:tcPr>
          <w:p w14:paraId="01E974DF">
            <w:pPr>
              <w:pStyle w:val="6"/>
              <w:spacing w:before="100" w:line="192" w:lineRule="auto"/>
              <w:ind w:left="603"/>
            </w:pPr>
            <w:r>
              <w:t>/</w:t>
            </w:r>
          </w:p>
        </w:tc>
        <w:tc>
          <w:tcPr>
            <w:tcW w:w="1842" w:type="dxa"/>
            <w:vAlign w:val="top"/>
          </w:tcPr>
          <w:p w14:paraId="6853D3A0">
            <w:pPr>
              <w:spacing w:before="68" w:line="220" w:lineRule="auto"/>
              <w:ind w:left="403"/>
              <w:rPr>
                <w:rFonts w:ascii="宋体" w:hAnsi="宋体" w:eastAsia="宋体" w:cs="宋体"/>
                <w:sz w:val="21"/>
                <w:szCs w:val="21"/>
              </w:rPr>
            </w:pPr>
            <w:r>
              <w:rPr>
                <w:rFonts w:ascii="宋体" w:hAnsi="宋体" w:eastAsia="宋体" w:cs="宋体"/>
                <w:spacing w:val="-2"/>
                <w:sz w:val="21"/>
                <w:szCs w:val="21"/>
              </w:rPr>
              <w:t>纸箱、塑料</w:t>
            </w:r>
          </w:p>
        </w:tc>
        <w:tc>
          <w:tcPr>
            <w:tcW w:w="1133" w:type="dxa"/>
            <w:vMerge w:val="continue"/>
            <w:tcBorders>
              <w:top w:val="nil"/>
              <w:bottom w:val="nil"/>
            </w:tcBorders>
            <w:vAlign w:val="top"/>
          </w:tcPr>
          <w:p w14:paraId="0ED8CC3D">
            <w:pPr>
              <w:rPr>
                <w:rFonts w:ascii="Arial"/>
                <w:sz w:val="21"/>
              </w:rPr>
            </w:pPr>
          </w:p>
        </w:tc>
        <w:tc>
          <w:tcPr>
            <w:tcW w:w="1797" w:type="dxa"/>
            <w:vAlign w:val="top"/>
          </w:tcPr>
          <w:p w14:paraId="297988A5">
            <w:pPr>
              <w:pStyle w:val="6"/>
              <w:spacing w:before="104" w:line="188" w:lineRule="auto"/>
              <w:ind w:left="413"/>
            </w:pPr>
            <w:r>
              <w:rPr>
                <w:spacing w:val="-1"/>
              </w:rPr>
              <w:t>030-001-07</w:t>
            </w:r>
          </w:p>
        </w:tc>
      </w:tr>
      <w:tr w14:paraId="58099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8" w:type="dxa"/>
            <w:vAlign w:val="top"/>
          </w:tcPr>
          <w:p w14:paraId="2FE53880">
            <w:pPr>
              <w:pStyle w:val="6"/>
              <w:spacing w:before="107" w:line="185" w:lineRule="auto"/>
              <w:ind w:left="241"/>
            </w:pPr>
            <w:r>
              <w:t>7</w:t>
            </w:r>
          </w:p>
        </w:tc>
        <w:tc>
          <w:tcPr>
            <w:tcW w:w="1699" w:type="dxa"/>
            <w:vAlign w:val="top"/>
          </w:tcPr>
          <w:p w14:paraId="50850D82">
            <w:pPr>
              <w:spacing w:before="68" w:line="220" w:lineRule="auto"/>
              <w:ind w:left="434"/>
              <w:rPr>
                <w:rFonts w:ascii="宋体" w:hAnsi="宋体" w:eastAsia="宋体" w:cs="宋体"/>
                <w:sz w:val="21"/>
                <w:szCs w:val="21"/>
              </w:rPr>
            </w:pPr>
            <w:r>
              <w:rPr>
                <w:rFonts w:ascii="宋体" w:hAnsi="宋体" w:eastAsia="宋体" w:cs="宋体"/>
                <w:spacing w:val="-2"/>
                <w:sz w:val="21"/>
                <w:szCs w:val="21"/>
              </w:rPr>
              <w:t>生活垃圾</w:t>
            </w:r>
          </w:p>
        </w:tc>
        <w:tc>
          <w:tcPr>
            <w:tcW w:w="1271" w:type="dxa"/>
            <w:vAlign w:val="top"/>
          </w:tcPr>
          <w:p w14:paraId="323AF219">
            <w:pPr>
              <w:spacing w:before="67" w:line="220" w:lineRule="auto"/>
              <w:ind w:left="225"/>
              <w:rPr>
                <w:rFonts w:ascii="宋体" w:hAnsi="宋体" w:eastAsia="宋体" w:cs="宋体"/>
                <w:sz w:val="21"/>
                <w:szCs w:val="21"/>
              </w:rPr>
            </w:pPr>
            <w:r>
              <w:rPr>
                <w:rFonts w:ascii="宋体" w:hAnsi="宋体" w:eastAsia="宋体" w:cs="宋体"/>
                <w:spacing w:val="-3"/>
                <w:sz w:val="21"/>
                <w:szCs w:val="21"/>
              </w:rPr>
              <w:t>办公生活</w:t>
            </w:r>
          </w:p>
        </w:tc>
        <w:tc>
          <w:tcPr>
            <w:tcW w:w="1842" w:type="dxa"/>
            <w:vAlign w:val="top"/>
          </w:tcPr>
          <w:p w14:paraId="18FC9291">
            <w:pPr>
              <w:spacing w:before="68" w:line="220" w:lineRule="auto"/>
              <w:ind w:left="295"/>
              <w:rPr>
                <w:rFonts w:ascii="宋体" w:hAnsi="宋体" w:eastAsia="宋体" w:cs="宋体"/>
                <w:sz w:val="21"/>
                <w:szCs w:val="21"/>
              </w:rPr>
            </w:pPr>
            <w:r>
              <w:rPr>
                <w:rFonts w:ascii="宋体" w:hAnsi="宋体" w:eastAsia="宋体" w:cs="宋体"/>
                <w:spacing w:val="-2"/>
                <w:sz w:val="21"/>
                <w:szCs w:val="21"/>
              </w:rPr>
              <w:t>废纸张、塑料</w:t>
            </w:r>
          </w:p>
        </w:tc>
        <w:tc>
          <w:tcPr>
            <w:tcW w:w="1133" w:type="dxa"/>
            <w:vMerge w:val="continue"/>
            <w:tcBorders>
              <w:top w:val="nil"/>
              <w:bottom w:val="nil"/>
            </w:tcBorders>
            <w:vAlign w:val="top"/>
          </w:tcPr>
          <w:p w14:paraId="0D27D678">
            <w:pPr>
              <w:rPr>
                <w:rFonts w:ascii="Arial"/>
                <w:sz w:val="21"/>
              </w:rPr>
            </w:pPr>
          </w:p>
        </w:tc>
        <w:tc>
          <w:tcPr>
            <w:tcW w:w="1797" w:type="dxa"/>
            <w:vAlign w:val="top"/>
          </w:tcPr>
          <w:p w14:paraId="152C8CDB">
            <w:pPr>
              <w:pStyle w:val="6"/>
              <w:spacing w:before="100" w:line="192" w:lineRule="auto"/>
              <w:ind w:left="866"/>
            </w:pPr>
            <w:r>
              <w:t>/</w:t>
            </w:r>
          </w:p>
        </w:tc>
      </w:tr>
      <w:tr w14:paraId="51229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8" w:type="dxa"/>
            <w:vAlign w:val="top"/>
          </w:tcPr>
          <w:p w14:paraId="402597A5">
            <w:pPr>
              <w:pStyle w:val="6"/>
              <w:spacing w:before="105" w:line="188" w:lineRule="auto"/>
              <w:ind w:left="246"/>
            </w:pPr>
            <w:r>
              <w:t>8</w:t>
            </w:r>
          </w:p>
        </w:tc>
        <w:tc>
          <w:tcPr>
            <w:tcW w:w="1699" w:type="dxa"/>
            <w:vAlign w:val="top"/>
          </w:tcPr>
          <w:p w14:paraId="5C0D7ED5">
            <w:pPr>
              <w:spacing w:before="68" w:line="220" w:lineRule="auto"/>
              <w:ind w:left="328"/>
              <w:rPr>
                <w:rFonts w:ascii="宋体" w:hAnsi="宋体" w:eastAsia="宋体" w:cs="宋体"/>
                <w:sz w:val="21"/>
                <w:szCs w:val="21"/>
              </w:rPr>
            </w:pPr>
            <w:r>
              <w:rPr>
                <w:rFonts w:ascii="宋体" w:hAnsi="宋体" w:eastAsia="宋体" w:cs="宋体"/>
                <w:spacing w:val="-2"/>
                <w:sz w:val="21"/>
                <w:szCs w:val="21"/>
              </w:rPr>
              <w:t>诊疗废弃物</w:t>
            </w:r>
          </w:p>
        </w:tc>
        <w:tc>
          <w:tcPr>
            <w:tcW w:w="1271" w:type="dxa"/>
            <w:vAlign w:val="top"/>
          </w:tcPr>
          <w:p w14:paraId="04AF7E5F">
            <w:pPr>
              <w:spacing w:before="68" w:line="220" w:lineRule="auto"/>
              <w:ind w:left="431"/>
              <w:rPr>
                <w:rFonts w:ascii="宋体" w:hAnsi="宋体" w:eastAsia="宋体" w:cs="宋体"/>
                <w:sz w:val="21"/>
                <w:szCs w:val="21"/>
              </w:rPr>
            </w:pPr>
            <w:r>
              <w:rPr>
                <w:rFonts w:ascii="宋体" w:hAnsi="宋体" w:eastAsia="宋体" w:cs="宋体"/>
                <w:spacing w:val="-3"/>
                <w:sz w:val="21"/>
                <w:szCs w:val="21"/>
              </w:rPr>
              <w:t>养殖</w:t>
            </w:r>
          </w:p>
        </w:tc>
        <w:tc>
          <w:tcPr>
            <w:tcW w:w="1842" w:type="dxa"/>
            <w:vAlign w:val="top"/>
          </w:tcPr>
          <w:p w14:paraId="1CA87347">
            <w:pPr>
              <w:spacing w:before="68" w:line="220" w:lineRule="auto"/>
              <w:ind w:left="195"/>
              <w:rPr>
                <w:rFonts w:ascii="宋体" w:hAnsi="宋体" w:eastAsia="宋体" w:cs="宋体"/>
                <w:sz w:val="21"/>
                <w:szCs w:val="21"/>
              </w:rPr>
            </w:pPr>
            <w:r>
              <w:rPr>
                <w:rFonts w:ascii="宋体" w:hAnsi="宋体" w:eastAsia="宋体" w:cs="宋体"/>
                <w:spacing w:val="-2"/>
                <w:sz w:val="21"/>
                <w:szCs w:val="21"/>
              </w:rPr>
              <w:t>一次性医疗用品</w:t>
            </w:r>
          </w:p>
        </w:tc>
        <w:tc>
          <w:tcPr>
            <w:tcW w:w="1133" w:type="dxa"/>
            <w:vMerge w:val="continue"/>
            <w:tcBorders>
              <w:top w:val="nil"/>
            </w:tcBorders>
            <w:vAlign w:val="top"/>
          </w:tcPr>
          <w:p w14:paraId="459BB0C6">
            <w:pPr>
              <w:rPr>
                <w:rFonts w:ascii="Arial"/>
                <w:sz w:val="21"/>
              </w:rPr>
            </w:pPr>
          </w:p>
        </w:tc>
        <w:tc>
          <w:tcPr>
            <w:tcW w:w="1797" w:type="dxa"/>
            <w:vAlign w:val="top"/>
          </w:tcPr>
          <w:p w14:paraId="017B7F8E">
            <w:pPr>
              <w:pStyle w:val="6"/>
              <w:spacing w:before="101" w:line="192" w:lineRule="auto"/>
              <w:ind w:left="866"/>
            </w:pPr>
            <w:r>
              <w:t>/</w:t>
            </w:r>
          </w:p>
        </w:tc>
      </w:tr>
      <w:tr w14:paraId="5485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78" w:type="dxa"/>
            <w:vAlign w:val="top"/>
          </w:tcPr>
          <w:p w14:paraId="08FE2A4F">
            <w:pPr>
              <w:pStyle w:val="6"/>
              <w:spacing w:before="248" w:line="188" w:lineRule="auto"/>
              <w:ind w:left="242"/>
            </w:pPr>
            <w:r>
              <w:t>9</w:t>
            </w:r>
          </w:p>
        </w:tc>
        <w:tc>
          <w:tcPr>
            <w:tcW w:w="1699" w:type="dxa"/>
            <w:vAlign w:val="top"/>
          </w:tcPr>
          <w:p w14:paraId="0ABBC84B">
            <w:pPr>
              <w:spacing w:before="211" w:line="220" w:lineRule="auto"/>
              <w:ind w:left="432"/>
              <w:rPr>
                <w:rFonts w:ascii="宋体" w:hAnsi="宋体" w:eastAsia="宋体" w:cs="宋体"/>
                <w:sz w:val="21"/>
                <w:szCs w:val="21"/>
              </w:rPr>
            </w:pPr>
            <w:r>
              <w:rPr>
                <w:rFonts w:ascii="宋体" w:hAnsi="宋体" w:eastAsia="宋体" w:cs="宋体"/>
                <w:spacing w:val="-2"/>
                <w:sz w:val="21"/>
                <w:szCs w:val="21"/>
              </w:rPr>
              <w:t>废矿物油</w:t>
            </w:r>
          </w:p>
        </w:tc>
        <w:tc>
          <w:tcPr>
            <w:tcW w:w="1271" w:type="dxa"/>
            <w:vAlign w:val="top"/>
          </w:tcPr>
          <w:p w14:paraId="381B2E0A">
            <w:pPr>
              <w:spacing w:before="212" w:line="220" w:lineRule="auto"/>
              <w:ind w:left="224"/>
              <w:rPr>
                <w:rFonts w:ascii="宋体" w:hAnsi="宋体" w:eastAsia="宋体" w:cs="宋体"/>
                <w:sz w:val="21"/>
                <w:szCs w:val="21"/>
              </w:rPr>
            </w:pPr>
            <w:r>
              <w:rPr>
                <w:rFonts w:ascii="宋体" w:hAnsi="宋体" w:eastAsia="宋体" w:cs="宋体"/>
                <w:spacing w:val="-3"/>
                <w:sz w:val="21"/>
                <w:szCs w:val="21"/>
              </w:rPr>
              <w:t>设备维护</w:t>
            </w:r>
          </w:p>
        </w:tc>
        <w:tc>
          <w:tcPr>
            <w:tcW w:w="1842" w:type="dxa"/>
            <w:vAlign w:val="top"/>
          </w:tcPr>
          <w:p w14:paraId="67A5B545">
            <w:pPr>
              <w:spacing w:before="211" w:line="220" w:lineRule="auto"/>
              <w:ind w:left="506"/>
              <w:rPr>
                <w:rFonts w:ascii="宋体" w:hAnsi="宋体" w:eastAsia="宋体" w:cs="宋体"/>
                <w:sz w:val="21"/>
                <w:szCs w:val="21"/>
              </w:rPr>
            </w:pPr>
            <w:r>
              <w:rPr>
                <w:rFonts w:ascii="宋体" w:hAnsi="宋体" w:eastAsia="宋体" w:cs="宋体"/>
                <w:spacing w:val="-2"/>
                <w:sz w:val="21"/>
                <w:szCs w:val="21"/>
              </w:rPr>
              <w:t>基础油等</w:t>
            </w:r>
          </w:p>
        </w:tc>
        <w:tc>
          <w:tcPr>
            <w:tcW w:w="1133" w:type="dxa"/>
            <w:vAlign w:val="top"/>
          </w:tcPr>
          <w:p w14:paraId="0A1D0840">
            <w:pPr>
              <w:spacing w:before="212" w:line="220" w:lineRule="auto"/>
              <w:ind w:left="156"/>
              <w:rPr>
                <w:rFonts w:ascii="宋体" w:hAnsi="宋体" w:eastAsia="宋体" w:cs="宋体"/>
                <w:sz w:val="21"/>
                <w:szCs w:val="21"/>
              </w:rPr>
            </w:pPr>
            <w:r>
              <w:rPr>
                <w:rFonts w:ascii="宋体" w:hAnsi="宋体" w:eastAsia="宋体" w:cs="宋体"/>
                <w:spacing w:val="-3"/>
                <w:sz w:val="21"/>
                <w:szCs w:val="21"/>
              </w:rPr>
              <w:t>危险废物</w:t>
            </w:r>
          </w:p>
        </w:tc>
        <w:tc>
          <w:tcPr>
            <w:tcW w:w="1797" w:type="dxa"/>
            <w:vAlign w:val="top"/>
          </w:tcPr>
          <w:p w14:paraId="2064EB2E">
            <w:pPr>
              <w:pStyle w:val="6"/>
              <w:spacing w:before="92" w:line="188" w:lineRule="auto"/>
              <w:ind w:left="619"/>
            </w:pPr>
            <w:r>
              <w:rPr>
                <w:spacing w:val="-1"/>
              </w:rPr>
              <w:t>HW08</w:t>
            </w:r>
          </w:p>
          <w:p w14:paraId="1300EA3E">
            <w:pPr>
              <w:pStyle w:val="6"/>
              <w:spacing w:before="122" w:line="188" w:lineRule="auto"/>
              <w:ind w:left="414"/>
            </w:pPr>
            <w:r>
              <w:rPr>
                <w:spacing w:val="-1"/>
              </w:rPr>
              <w:t>900-249-08</w:t>
            </w:r>
          </w:p>
        </w:tc>
      </w:tr>
    </w:tbl>
    <w:p w14:paraId="76FD00BB">
      <w:pPr>
        <w:spacing w:before="247" w:line="222" w:lineRule="auto"/>
        <w:ind w:left="282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2.2-18  </w:t>
      </w:r>
      <w:r>
        <w:rPr>
          <w:rFonts w:ascii="黑体" w:hAnsi="黑体" w:eastAsia="黑体" w:cs="黑体"/>
          <w:spacing w:val="-1"/>
          <w:sz w:val="21"/>
          <w:szCs w:val="21"/>
        </w:rPr>
        <w:t>项目危险废物汇总表</w:t>
      </w:r>
    </w:p>
    <w:p w14:paraId="567DC962">
      <w:pPr>
        <w:spacing w:line="88" w:lineRule="exact"/>
      </w:pPr>
    </w:p>
    <w:tbl>
      <w:tblPr>
        <w:tblStyle w:val="5"/>
        <w:tblW w:w="8325"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565"/>
        <w:gridCol w:w="570"/>
        <w:gridCol w:w="1128"/>
        <w:gridCol w:w="709"/>
        <w:gridCol w:w="566"/>
        <w:gridCol w:w="567"/>
        <w:gridCol w:w="849"/>
        <w:gridCol w:w="565"/>
        <w:gridCol w:w="567"/>
        <w:gridCol w:w="566"/>
        <w:gridCol w:w="1378"/>
      </w:tblGrid>
      <w:tr w14:paraId="0DCD0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95" w:type="dxa"/>
            <w:textDirection w:val="tbRlV"/>
            <w:vAlign w:val="top"/>
          </w:tcPr>
          <w:p w14:paraId="00BC88CE">
            <w:pPr>
              <w:spacing w:before="40" w:line="210" w:lineRule="auto"/>
              <w:ind w:left="54"/>
              <w:rPr>
                <w:rFonts w:ascii="宋体" w:hAnsi="宋体" w:eastAsia="宋体" w:cs="宋体"/>
                <w:sz w:val="21"/>
                <w:szCs w:val="21"/>
              </w:rPr>
            </w:pPr>
            <w:r>
              <w:rPr>
                <w:rFonts w:ascii="宋体" w:hAnsi="宋体" w:eastAsia="宋体" w:cs="宋体"/>
                <w:spacing w:val="-2"/>
                <w:sz w:val="21"/>
                <w:szCs w:val="21"/>
              </w:rPr>
              <w:t>序 号</w:t>
            </w:r>
          </w:p>
        </w:tc>
        <w:tc>
          <w:tcPr>
            <w:tcW w:w="565" w:type="dxa"/>
            <w:vAlign w:val="top"/>
          </w:tcPr>
          <w:p w14:paraId="6011A623">
            <w:pPr>
              <w:spacing w:before="210" w:line="222" w:lineRule="auto"/>
              <w:ind w:left="77"/>
              <w:rPr>
                <w:rFonts w:ascii="宋体" w:hAnsi="宋体" w:eastAsia="宋体" w:cs="宋体"/>
                <w:sz w:val="21"/>
                <w:szCs w:val="21"/>
              </w:rPr>
            </w:pPr>
            <w:r>
              <w:rPr>
                <w:rFonts w:ascii="宋体" w:hAnsi="宋体" w:eastAsia="宋体" w:cs="宋体"/>
                <w:spacing w:val="-3"/>
                <w:sz w:val="21"/>
                <w:szCs w:val="21"/>
              </w:rPr>
              <w:t>名称</w:t>
            </w:r>
          </w:p>
        </w:tc>
        <w:tc>
          <w:tcPr>
            <w:tcW w:w="570" w:type="dxa"/>
            <w:vAlign w:val="top"/>
          </w:tcPr>
          <w:p w14:paraId="3DED1886">
            <w:pPr>
              <w:spacing w:before="210" w:line="220" w:lineRule="auto"/>
              <w:ind w:left="77"/>
              <w:rPr>
                <w:rFonts w:ascii="宋体" w:hAnsi="宋体" w:eastAsia="宋体" w:cs="宋体"/>
                <w:sz w:val="21"/>
                <w:szCs w:val="21"/>
              </w:rPr>
            </w:pPr>
            <w:r>
              <w:rPr>
                <w:rFonts w:ascii="宋体" w:hAnsi="宋体" w:eastAsia="宋体" w:cs="宋体"/>
                <w:spacing w:val="-3"/>
                <w:sz w:val="21"/>
                <w:szCs w:val="21"/>
              </w:rPr>
              <w:t>类别</w:t>
            </w:r>
          </w:p>
        </w:tc>
        <w:tc>
          <w:tcPr>
            <w:tcW w:w="1128" w:type="dxa"/>
            <w:vAlign w:val="top"/>
          </w:tcPr>
          <w:p w14:paraId="4DDF0564">
            <w:pPr>
              <w:spacing w:before="54" w:line="249" w:lineRule="auto"/>
              <w:ind w:left="356" w:right="143" w:hanging="206"/>
              <w:rPr>
                <w:rFonts w:ascii="宋体" w:hAnsi="宋体" w:eastAsia="宋体" w:cs="宋体"/>
                <w:sz w:val="21"/>
                <w:szCs w:val="21"/>
              </w:rPr>
            </w:pPr>
            <w:r>
              <w:rPr>
                <w:rFonts w:ascii="宋体" w:hAnsi="宋体" w:eastAsia="宋体" w:cs="宋体"/>
                <w:spacing w:val="-3"/>
                <w:sz w:val="21"/>
                <w:szCs w:val="21"/>
              </w:rPr>
              <w:t>危险废物</w:t>
            </w:r>
            <w:r>
              <w:rPr>
                <w:rFonts w:ascii="宋体" w:hAnsi="宋体" w:eastAsia="宋体" w:cs="宋体"/>
                <w:spacing w:val="-2"/>
                <w:sz w:val="21"/>
                <w:szCs w:val="21"/>
              </w:rPr>
              <w:t>代码</w:t>
            </w:r>
          </w:p>
        </w:tc>
        <w:tc>
          <w:tcPr>
            <w:tcW w:w="709" w:type="dxa"/>
            <w:vAlign w:val="top"/>
          </w:tcPr>
          <w:p w14:paraId="0C28355A">
            <w:pPr>
              <w:pStyle w:val="6"/>
              <w:spacing w:before="54" w:line="249" w:lineRule="auto"/>
              <w:ind w:left="48" w:right="39" w:hanging="5"/>
              <w:rPr>
                <w:rFonts w:ascii="宋体" w:hAnsi="宋体" w:eastAsia="宋体" w:cs="宋体"/>
              </w:rPr>
            </w:pPr>
            <w:r>
              <w:rPr>
                <w:rFonts w:ascii="宋体" w:hAnsi="宋体" w:eastAsia="宋体" w:cs="宋体"/>
                <w:spacing w:val="-3"/>
              </w:rPr>
              <w:t>产生量</w:t>
            </w:r>
            <w:r>
              <w:rPr>
                <w:rFonts w:ascii="宋体" w:hAnsi="宋体" w:eastAsia="宋体" w:cs="宋体"/>
                <w:spacing w:val="-6"/>
              </w:rPr>
              <w:t>（</w:t>
            </w:r>
            <w:r>
              <w:rPr>
                <w:spacing w:val="-6"/>
              </w:rPr>
              <w:t>t/a</w:t>
            </w:r>
            <w:r>
              <w:rPr>
                <w:rFonts w:ascii="宋体" w:hAnsi="宋体" w:eastAsia="宋体" w:cs="宋体"/>
                <w:spacing w:val="-6"/>
              </w:rPr>
              <w:t>）</w:t>
            </w:r>
          </w:p>
        </w:tc>
        <w:tc>
          <w:tcPr>
            <w:tcW w:w="566" w:type="dxa"/>
            <w:vAlign w:val="top"/>
          </w:tcPr>
          <w:p w14:paraId="3E8F9BA9">
            <w:pPr>
              <w:spacing w:before="54" w:line="220" w:lineRule="auto"/>
              <w:ind w:left="78"/>
              <w:rPr>
                <w:rFonts w:ascii="宋体" w:hAnsi="宋体" w:eastAsia="宋体" w:cs="宋体"/>
                <w:sz w:val="21"/>
                <w:szCs w:val="21"/>
              </w:rPr>
            </w:pPr>
            <w:r>
              <w:rPr>
                <w:rFonts w:ascii="宋体" w:hAnsi="宋体" w:eastAsia="宋体" w:cs="宋体"/>
                <w:spacing w:val="-3"/>
                <w:sz w:val="21"/>
                <w:szCs w:val="21"/>
              </w:rPr>
              <w:t>产生</w:t>
            </w:r>
          </w:p>
          <w:p w14:paraId="46DAE66B">
            <w:pPr>
              <w:spacing w:before="62" w:line="221" w:lineRule="auto"/>
              <w:ind w:left="80"/>
              <w:rPr>
                <w:rFonts w:ascii="宋体" w:hAnsi="宋体" w:eastAsia="宋体" w:cs="宋体"/>
                <w:sz w:val="21"/>
                <w:szCs w:val="21"/>
              </w:rPr>
            </w:pPr>
            <w:r>
              <w:rPr>
                <w:rFonts w:ascii="宋体" w:hAnsi="宋体" w:eastAsia="宋体" w:cs="宋体"/>
                <w:spacing w:val="-3"/>
                <w:sz w:val="21"/>
                <w:szCs w:val="21"/>
              </w:rPr>
              <w:t>工序</w:t>
            </w:r>
          </w:p>
        </w:tc>
        <w:tc>
          <w:tcPr>
            <w:tcW w:w="567" w:type="dxa"/>
            <w:vAlign w:val="top"/>
          </w:tcPr>
          <w:p w14:paraId="10A43D1B">
            <w:pPr>
              <w:spacing w:before="210" w:line="222" w:lineRule="auto"/>
              <w:ind w:left="82"/>
              <w:rPr>
                <w:rFonts w:ascii="宋体" w:hAnsi="宋体" w:eastAsia="宋体" w:cs="宋体"/>
                <w:sz w:val="21"/>
                <w:szCs w:val="21"/>
              </w:rPr>
            </w:pPr>
            <w:r>
              <w:rPr>
                <w:rFonts w:ascii="宋体" w:hAnsi="宋体" w:eastAsia="宋体" w:cs="宋体"/>
                <w:spacing w:val="-3"/>
                <w:sz w:val="21"/>
                <w:szCs w:val="21"/>
              </w:rPr>
              <w:t>形态</w:t>
            </w:r>
          </w:p>
        </w:tc>
        <w:tc>
          <w:tcPr>
            <w:tcW w:w="849" w:type="dxa"/>
            <w:vAlign w:val="top"/>
          </w:tcPr>
          <w:p w14:paraId="635D0E95">
            <w:pPr>
              <w:spacing w:before="210" w:line="220" w:lineRule="auto"/>
              <w:jc w:val="right"/>
              <w:rPr>
                <w:rFonts w:ascii="宋体" w:hAnsi="宋体" w:eastAsia="宋体" w:cs="宋体"/>
                <w:sz w:val="21"/>
                <w:szCs w:val="21"/>
              </w:rPr>
            </w:pPr>
            <w:r>
              <w:rPr>
                <w:rFonts w:ascii="宋体" w:hAnsi="宋体" w:eastAsia="宋体" w:cs="宋体"/>
                <w:spacing w:val="-3"/>
                <w:sz w:val="21"/>
                <w:szCs w:val="21"/>
              </w:rPr>
              <w:t>主要成分</w:t>
            </w:r>
          </w:p>
        </w:tc>
        <w:tc>
          <w:tcPr>
            <w:tcW w:w="565" w:type="dxa"/>
            <w:vAlign w:val="top"/>
          </w:tcPr>
          <w:p w14:paraId="5014C107">
            <w:pPr>
              <w:spacing w:before="54" w:line="220" w:lineRule="auto"/>
              <w:ind w:left="79"/>
              <w:rPr>
                <w:rFonts w:ascii="宋体" w:hAnsi="宋体" w:eastAsia="宋体" w:cs="宋体"/>
                <w:sz w:val="21"/>
                <w:szCs w:val="21"/>
              </w:rPr>
            </w:pPr>
            <w:r>
              <w:rPr>
                <w:rFonts w:ascii="宋体" w:hAnsi="宋体" w:eastAsia="宋体" w:cs="宋体"/>
                <w:spacing w:val="-3"/>
                <w:sz w:val="21"/>
                <w:szCs w:val="21"/>
              </w:rPr>
              <w:t>有害</w:t>
            </w:r>
          </w:p>
          <w:p w14:paraId="282B2C1B">
            <w:pPr>
              <w:spacing w:before="61" w:line="220" w:lineRule="auto"/>
              <w:ind w:left="80"/>
              <w:rPr>
                <w:rFonts w:ascii="宋体" w:hAnsi="宋体" w:eastAsia="宋体" w:cs="宋体"/>
                <w:sz w:val="21"/>
                <w:szCs w:val="21"/>
              </w:rPr>
            </w:pPr>
            <w:r>
              <w:rPr>
                <w:rFonts w:ascii="宋体" w:hAnsi="宋体" w:eastAsia="宋体" w:cs="宋体"/>
                <w:spacing w:val="-3"/>
                <w:sz w:val="21"/>
                <w:szCs w:val="21"/>
              </w:rPr>
              <w:t>成分</w:t>
            </w:r>
          </w:p>
        </w:tc>
        <w:tc>
          <w:tcPr>
            <w:tcW w:w="567" w:type="dxa"/>
            <w:vAlign w:val="top"/>
          </w:tcPr>
          <w:p w14:paraId="77675529">
            <w:pPr>
              <w:spacing w:before="54" w:line="220" w:lineRule="auto"/>
              <w:ind w:left="79"/>
              <w:rPr>
                <w:rFonts w:ascii="宋体" w:hAnsi="宋体" w:eastAsia="宋体" w:cs="宋体"/>
                <w:sz w:val="21"/>
                <w:szCs w:val="21"/>
              </w:rPr>
            </w:pPr>
            <w:r>
              <w:rPr>
                <w:rFonts w:ascii="宋体" w:hAnsi="宋体" w:eastAsia="宋体" w:cs="宋体"/>
                <w:spacing w:val="-3"/>
                <w:sz w:val="21"/>
                <w:szCs w:val="21"/>
              </w:rPr>
              <w:t>产废</w:t>
            </w:r>
          </w:p>
          <w:p w14:paraId="1BBC479D">
            <w:pPr>
              <w:spacing w:before="62" w:line="220" w:lineRule="auto"/>
              <w:ind w:left="80"/>
              <w:rPr>
                <w:rFonts w:ascii="宋体" w:hAnsi="宋体" w:eastAsia="宋体" w:cs="宋体"/>
                <w:sz w:val="21"/>
                <w:szCs w:val="21"/>
              </w:rPr>
            </w:pPr>
            <w:r>
              <w:rPr>
                <w:rFonts w:ascii="宋体" w:hAnsi="宋体" w:eastAsia="宋体" w:cs="宋体"/>
                <w:spacing w:val="-3"/>
                <w:sz w:val="21"/>
                <w:szCs w:val="21"/>
              </w:rPr>
              <w:t>周期</w:t>
            </w:r>
          </w:p>
        </w:tc>
        <w:tc>
          <w:tcPr>
            <w:tcW w:w="566" w:type="dxa"/>
            <w:vAlign w:val="top"/>
          </w:tcPr>
          <w:p w14:paraId="170CAE5E">
            <w:pPr>
              <w:spacing w:before="54" w:line="220" w:lineRule="auto"/>
              <w:ind w:left="83"/>
              <w:rPr>
                <w:rFonts w:ascii="宋体" w:hAnsi="宋体" w:eastAsia="宋体" w:cs="宋体"/>
                <w:sz w:val="21"/>
                <w:szCs w:val="21"/>
              </w:rPr>
            </w:pPr>
            <w:r>
              <w:rPr>
                <w:rFonts w:ascii="宋体" w:hAnsi="宋体" w:eastAsia="宋体" w:cs="宋体"/>
                <w:spacing w:val="-3"/>
                <w:sz w:val="21"/>
                <w:szCs w:val="21"/>
              </w:rPr>
              <w:t>危险</w:t>
            </w:r>
          </w:p>
          <w:p w14:paraId="4E89AD8C">
            <w:pPr>
              <w:spacing w:before="60" w:line="220" w:lineRule="auto"/>
              <w:ind w:left="80"/>
              <w:rPr>
                <w:rFonts w:ascii="宋体" w:hAnsi="宋体" w:eastAsia="宋体" w:cs="宋体"/>
                <w:sz w:val="21"/>
                <w:szCs w:val="21"/>
              </w:rPr>
            </w:pPr>
            <w:r>
              <w:rPr>
                <w:rFonts w:ascii="宋体" w:hAnsi="宋体" w:eastAsia="宋体" w:cs="宋体"/>
                <w:spacing w:val="-3"/>
                <w:sz w:val="21"/>
                <w:szCs w:val="21"/>
              </w:rPr>
              <w:t>特性</w:t>
            </w:r>
          </w:p>
        </w:tc>
        <w:tc>
          <w:tcPr>
            <w:tcW w:w="1378" w:type="dxa"/>
            <w:vAlign w:val="top"/>
          </w:tcPr>
          <w:p w14:paraId="200A6C27">
            <w:pPr>
              <w:spacing w:before="210" w:line="220" w:lineRule="auto"/>
              <w:ind w:left="63"/>
              <w:rPr>
                <w:rFonts w:ascii="宋体" w:hAnsi="宋体" w:eastAsia="宋体" w:cs="宋体"/>
                <w:sz w:val="21"/>
                <w:szCs w:val="21"/>
              </w:rPr>
            </w:pPr>
            <w:r>
              <w:rPr>
                <w:rFonts w:ascii="宋体" w:hAnsi="宋体" w:eastAsia="宋体" w:cs="宋体"/>
                <w:spacing w:val="-2"/>
                <w:sz w:val="21"/>
                <w:szCs w:val="21"/>
              </w:rPr>
              <w:t>污染防治措施</w:t>
            </w:r>
          </w:p>
        </w:tc>
      </w:tr>
      <w:tr w14:paraId="6E957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95" w:type="dxa"/>
            <w:vAlign w:val="top"/>
          </w:tcPr>
          <w:p w14:paraId="76389E7D">
            <w:pPr>
              <w:spacing w:line="339" w:lineRule="auto"/>
              <w:rPr>
                <w:rFonts w:ascii="Arial"/>
                <w:sz w:val="21"/>
              </w:rPr>
            </w:pPr>
          </w:p>
          <w:p w14:paraId="5A9B5AE7">
            <w:pPr>
              <w:pStyle w:val="6"/>
              <w:spacing w:before="60" w:line="188" w:lineRule="auto"/>
              <w:ind w:left="116"/>
            </w:pPr>
            <w:r>
              <w:t>1</w:t>
            </w:r>
          </w:p>
        </w:tc>
        <w:tc>
          <w:tcPr>
            <w:tcW w:w="565" w:type="dxa"/>
            <w:vAlign w:val="top"/>
          </w:tcPr>
          <w:p w14:paraId="570D47FD">
            <w:pPr>
              <w:spacing w:before="209" w:line="277" w:lineRule="auto"/>
              <w:ind w:left="74" w:right="72"/>
              <w:rPr>
                <w:rFonts w:ascii="宋体" w:hAnsi="宋体" w:eastAsia="宋体" w:cs="宋体"/>
                <w:sz w:val="21"/>
                <w:szCs w:val="21"/>
              </w:rPr>
            </w:pPr>
            <w:r>
              <w:rPr>
                <w:rFonts w:ascii="宋体" w:hAnsi="宋体" w:eastAsia="宋体" w:cs="宋体"/>
                <w:spacing w:val="-4"/>
                <w:sz w:val="21"/>
                <w:szCs w:val="21"/>
              </w:rPr>
              <w:t>废矿</w:t>
            </w:r>
            <w:r>
              <w:rPr>
                <w:rFonts w:ascii="宋体" w:hAnsi="宋体" w:eastAsia="宋体" w:cs="宋体"/>
                <w:spacing w:val="-5"/>
                <w:sz w:val="21"/>
                <w:szCs w:val="21"/>
              </w:rPr>
              <w:t>物油</w:t>
            </w:r>
          </w:p>
        </w:tc>
        <w:tc>
          <w:tcPr>
            <w:tcW w:w="570" w:type="dxa"/>
            <w:vAlign w:val="top"/>
          </w:tcPr>
          <w:p w14:paraId="1BDF0AF2">
            <w:pPr>
              <w:spacing w:line="339" w:lineRule="auto"/>
              <w:rPr>
                <w:rFonts w:ascii="Arial"/>
                <w:sz w:val="21"/>
              </w:rPr>
            </w:pPr>
          </w:p>
          <w:p w14:paraId="2F107F19">
            <w:pPr>
              <w:pStyle w:val="6"/>
              <w:spacing w:before="60" w:line="188" w:lineRule="auto"/>
              <w:ind w:left="3"/>
            </w:pPr>
            <w:r>
              <w:rPr>
                <w:spacing w:val="-1"/>
              </w:rPr>
              <w:t>HW08</w:t>
            </w:r>
          </w:p>
        </w:tc>
        <w:tc>
          <w:tcPr>
            <w:tcW w:w="1128" w:type="dxa"/>
            <w:vAlign w:val="top"/>
          </w:tcPr>
          <w:p w14:paraId="0C0E63C2">
            <w:pPr>
              <w:spacing w:line="339" w:lineRule="auto"/>
              <w:rPr>
                <w:rFonts w:ascii="Arial"/>
                <w:sz w:val="21"/>
              </w:rPr>
            </w:pPr>
          </w:p>
          <w:p w14:paraId="00F4F725">
            <w:pPr>
              <w:pStyle w:val="6"/>
              <w:spacing w:before="60" w:line="188" w:lineRule="auto"/>
              <w:ind w:left="76"/>
            </w:pPr>
            <w:r>
              <w:rPr>
                <w:spacing w:val="-1"/>
              </w:rPr>
              <w:t>900-249-08</w:t>
            </w:r>
          </w:p>
        </w:tc>
        <w:tc>
          <w:tcPr>
            <w:tcW w:w="709" w:type="dxa"/>
            <w:vAlign w:val="top"/>
          </w:tcPr>
          <w:p w14:paraId="66C90FDF">
            <w:pPr>
              <w:spacing w:line="339" w:lineRule="auto"/>
              <w:rPr>
                <w:rFonts w:ascii="Arial"/>
                <w:sz w:val="21"/>
              </w:rPr>
            </w:pPr>
          </w:p>
          <w:p w14:paraId="49266E1F">
            <w:pPr>
              <w:pStyle w:val="6"/>
              <w:spacing w:before="60" w:line="188" w:lineRule="auto"/>
              <w:ind w:left="226"/>
            </w:pPr>
            <w:r>
              <w:rPr>
                <w:spacing w:val="-3"/>
              </w:rPr>
              <w:t>0.1</w:t>
            </w:r>
          </w:p>
        </w:tc>
        <w:tc>
          <w:tcPr>
            <w:tcW w:w="566" w:type="dxa"/>
            <w:vAlign w:val="top"/>
          </w:tcPr>
          <w:p w14:paraId="1B4CEEFD">
            <w:pPr>
              <w:spacing w:line="295" w:lineRule="auto"/>
              <w:rPr>
                <w:rFonts w:ascii="Arial"/>
                <w:sz w:val="21"/>
              </w:rPr>
            </w:pPr>
          </w:p>
          <w:p w14:paraId="70CA159E">
            <w:pPr>
              <w:spacing w:before="68" w:line="220" w:lineRule="auto"/>
              <w:ind w:left="81"/>
              <w:rPr>
                <w:rFonts w:ascii="宋体" w:hAnsi="宋体" w:eastAsia="宋体" w:cs="宋体"/>
                <w:sz w:val="21"/>
                <w:szCs w:val="21"/>
              </w:rPr>
            </w:pPr>
            <w:r>
              <w:rPr>
                <w:rFonts w:ascii="宋体" w:hAnsi="宋体" w:eastAsia="宋体" w:cs="宋体"/>
                <w:spacing w:val="-3"/>
                <w:sz w:val="21"/>
                <w:szCs w:val="21"/>
              </w:rPr>
              <w:t>维护</w:t>
            </w:r>
          </w:p>
        </w:tc>
        <w:tc>
          <w:tcPr>
            <w:tcW w:w="567" w:type="dxa"/>
            <w:vAlign w:val="top"/>
          </w:tcPr>
          <w:p w14:paraId="7D31BA6C">
            <w:pPr>
              <w:spacing w:line="295" w:lineRule="auto"/>
              <w:rPr>
                <w:rFonts w:ascii="Arial"/>
                <w:sz w:val="21"/>
              </w:rPr>
            </w:pPr>
          </w:p>
          <w:p w14:paraId="6A40DACC">
            <w:pPr>
              <w:spacing w:before="68" w:line="220" w:lineRule="auto"/>
              <w:ind w:left="81"/>
              <w:rPr>
                <w:rFonts w:ascii="宋体" w:hAnsi="宋体" w:eastAsia="宋体" w:cs="宋体"/>
                <w:sz w:val="21"/>
                <w:szCs w:val="21"/>
              </w:rPr>
            </w:pPr>
            <w:r>
              <w:rPr>
                <w:rFonts w:ascii="宋体" w:hAnsi="宋体" w:eastAsia="宋体" w:cs="宋体"/>
                <w:spacing w:val="-3"/>
                <w:sz w:val="21"/>
                <w:szCs w:val="21"/>
              </w:rPr>
              <w:t>液态</w:t>
            </w:r>
          </w:p>
        </w:tc>
        <w:tc>
          <w:tcPr>
            <w:tcW w:w="849" w:type="dxa"/>
            <w:vAlign w:val="top"/>
          </w:tcPr>
          <w:p w14:paraId="047FDD8F">
            <w:pPr>
              <w:spacing w:line="294" w:lineRule="auto"/>
              <w:rPr>
                <w:rFonts w:ascii="Arial"/>
                <w:sz w:val="21"/>
              </w:rPr>
            </w:pPr>
          </w:p>
          <w:p w14:paraId="0548100A">
            <w:pPr>
              <w:spacing w:before="69" w:line="220" w:lineRule="auto"/>
              <w:jc w:val="right"/>
              <w:rPr>
                <w:rFonts w:ascii="宋体" w:hAnsi="宋体" w:eastAsia="宋体" w:cs="宋体"/>
                <w:sz w:val="21"/>
                <w:szCs w:val="21"/>
              </w:rPr>
            </w:pPr>
            <w:r>
              <w:rPr>
                <w:rFonts w:ascii="宋体" w:hAnsi="宋体" w:eastAsia="宋体" w:cs="宋体"/>
                <w:spacing w:val="-3"/>
                <w:sz w:val="21"/>
                <w:szCs w:val="21"/>
              </w:rPr>
              <w:t>基础油等</w:t>
            </w:r>
          </w:p>
        </w:tc>
        <w:tc>
          <w:tcPr>
            <w:tcW w:w="565" w:type="dxa"/>
            <w:vAlign w:val="top"/>
          </w:tcPr>
          <w:p w14:paraId="18765591">
            <w:pPr>
              <w:spacing w:line="295" w:lineRule="auto"/>
              <w:rPr>
                <w:rFonts w:ascii="Arial"/>
                <w:sz w:val="21"/>
              </w:rPr>
            </w:pPr>
          </w:p>
          <w:p w14:paraId="5322FD75">
            <w:pPr>
              <w:spacing w:before="68" w:line="220" w:lineRule="auto"/>
              <w:ind w:left="77"/>
              <w:rPr>
                <w:rFonts w:ascii="宋体" w:hAnsi="宋体" w:eastAsia="宋体" w:cs="宋体"/>
                <w:sz w:val="21"/>
                <w:szCs w:val="21"/>
              </w:rPr>
            </w:pPr>
            <w:r>
              <w:rPr>
                <w:rFonts w:ascii="宋体" w:hAnsi="宋体" w:eastAsia="宋体" w:cs="宋体"/>
                <w:spacing w:val="-2"/>
                <w:sz w:val="21"/>
                <w:szCs w:val="21"/>
              </w:rPr>
              <w:t>废油</w:t>
            </w:r>
          </w:p>
        </w:tc>
        <w:tc>
          <w:tcPr>
            <w:tcW w:w="567" w:type="dxa"/>
            <w:vAlign w:val="top"/>
          </w:tcPr>
          <w:p w14:paraId="00A98991">
            <w:pPr>
              <w:spacing w:line="294" w:lineRule="auto"/>
              <w:rPr>
                <w:rFonts w:ascii="Arial"/>
                <w:sz w:val="21"/>
              </w:rPr>
            </w:pPr>
          </w:p>
          <w:p w14:paraId="673B48A9">
            <w:pPr>
              <w:spacing w:before="69" w:line="220" w:lineRule="auto"/>
              <w:ind w:left="79"/>
              <w:rPr>
                <w:rFonts w:ascii="宋体" w:hAnsi="宋体" w:eastAsia="宋体" w:cs="宋体"/>
                <w:sz w:val="21"/>
                <w:szCs w:val="21"/>
              </w:rPr>
            </w:pPr>
            <w:r>
              <w:rPr>
                <w:rFonts w:ascii="宋体" w:hAnsi="宋体" w:eastAsia="宋体" w:cs="宋体"/>
                <w:spacing w:val="-3"/>
                <w:sz w:val="21"/>
                <w:szCs w:val="21"/>
              </w:rPr>
              <w:t>每年</w:t>
            </w:r>
          </w:p>
        </w:tc>
        <w:tc>
          <w:tcPr>
            <w:tcW w:w="566" w:type="dxa"/>
            <w:vAlign w:val="top"/>
          </w:tcPr>
          <w:p w14:paraId="2BE1E9D3">
            <w:pPr>
              <w:spacing w:line="335" w:lineRule="auto"/>
              <w:rPr>
                <w:rFonts w:ascii="Arial"/>
                <w:sz w:val="21"/>
              </w:rPr>
            </w:pPr>
          </w:p>
          <w:p w14:paraId="0657CAC9">
            <w:pPr>
              <w:pStyle w:val="6"/>
              <w:spacing w:before="60" w:line="192" w:lineRule="auto"/>
              <w:ind w:left="107"/>
            </w:pPr>
            <w:r>
              <w:rPr>
                <w:spacing w:val="-2"/>
              </w:rPr>
              <w:t>T/In</w:t>
            </w:r>
          </w:p>
        </w:tc>
        <w:tc>
          <w:tcPr>
            <w:tcW w:w="1378" w:type="dxa"/>
            <w:vAlign w:val="top"/>
          </w:tcPr>
          <w:p w14:paraId="331B6A4D">
            <w:pPr>
              <w:spacing w:before="52" w:line="258" w:lineRule="auto"/>
              <w:ind w:left="13" w:firstLine="1"/>
              <w:jc w:val="both"/>
              <w:rPr>
                <w:rFonts w:ascii="宋体" w:hAnsi="宋体" w:eastAsia="宋体" w:cs="宋体"/>
                <w:sz w:val="21"/>
                <w:szCs w:val="21"/>
              </w:rPr>
            </w:pPr>
            <w:r>
              <w:rPr>
                <w:rFonts w:ascii="宋体" w:hAnsi="宋体" w:eastAsia="宋体" w:cs="宋体"/>
                <w:spacing w:val="-17"/>
                <w:sz w:val="21"/>
                <w:szCs w:val="21"/>
              </w:rPr>
              <w:t>危险废物暂存间</w:t>
            </w:r>
            <w:r>
              <w:rPr>
                <w:rFonts w:ascii="宋体" w:hAnsi="宋体" w:eastAsia="宋体" w:cs="宋体"/>
                <w:spacing w:val="-16"/>
                <w:sz w:val="21"/>
                <w:szCs w:val="21"/>
              </w:rPr>
              <w:t>暂存，委托有资质单位处理。</w:t>
            </w:r>
          </w:p>
        </w:tc>
      </w:tr>
    </w:tbl>
    <w:p w14:paraId="5F0B1383">
      <w:pPr>
        <w:pStyle w:val="2"/>
      </w:pPr>
    </w:p>
    <w:p w14:paraId="5759D033">
      <w:pPr>
        <w:sectPr>
          <w:headerReference r:id="rId229" w:type="default"/>
          <w:footerReference r:id="rId230" w:type="default"/>
          <w:pgSz w:w="11905" w:h="16840"/>
          <w:pgMar w:top="1168" w:right="1768" w:bottom="1409" w:left="1770" w:header="828" w:footer="1244" w:gutter="0"/>
          <w:cols w:space="720" w:num="1"/>
        </w:sectPr>
      </w:pPr>
    </w:p>
    <w:p w14:paraId="5C886CF2">
      <w:pPr>
        <w:pStyle w:val="2"/>
        <w:spacing w:line="306" w:lineRule="auto"/>
      </w:pPr>
    </w:p>
    <w:p w14:paraId="1509291A">
      <w:pPr>
        <w:spacing w:before="78" w:line="219" w:lineRule="auto"/>
        <w:ind w:left="520"/>
        <w:rPr>
          <w:rFonts w:ascii="宋体" w:hAnsi="宋体" w:eastAsia="宋体" w:cs="宋体"/>
          <w:sz w:val="24"/>
          <w:szCs w:val="24"/>
        </w:rPr>
      </w:pPr>
      <w:r>
        <w:rPr>
          <w:rFonts w:ascii="宋体" w:hAnsi="宋体" w:eastAsia="宋体" w:cs="宋体"/>
          <w:spacing w:val="-3"/>
          <w:sz w:val="24"/>
          <w:szCs w:val="24"/>
        </w:rPr>
        <w:t>本项目运营期固体废物产生情况汇总见下表。</w:t>
      </w:r>
    </w:p>
    <w:p w14:paraId="065C1F77">
      <w:pPr>
        <w:spacing w:before="196" w:line="222" w:lineRule="auto"/>
        <w:ind w:left="261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2.2-19  </w:t>
      </w:r>
      <w:r>
        <w:rPr>
          <w:rFonts w:ascii="黑体" w:hAnsi="黑体" w:eastAsia="黑体" w:cs="黑体"/>
          <w:spacing w:val="-1"/>
          <w:sz w:val="21"/>
          <w:szCs w:val="21"/>
        </w:rPr>
        <w:t>固体废物产生情况汇总表</w:t>
      </w:r>
    </w:p>
    <w:p w14:paraId="7586DADD">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784"/>
        <w:gridCol w:w="849"/>
        <w:gridCol w:w="989"/>
        <w:gridCol w:w="710"/>
        <w:gridCol w:w="847"/>
        <w:gridCol w:w="1133"/>
        <w:gridCol w:w="709"/>
        <w:gridCol w:w="1374"/>
      </w:tblGrid>
      <w:tr w14:paraId="192C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25" w:type="dxa"/>
            <w:vMerge w:val="restart"/>
            <w:tcBorders>
              <w:bottom w:val="nil"/>
            </w:tcBorders>
            <w:vAlign w:val="top"/>
          </w:tcPr>
          <w:p w14:paraId="0044E5F4">
            <w:pPr>
              <w:spacing w:line="315" w:lineRule="auto"/>
              <w:rPr>
                <w:rFonts w:ascii="Arial"/>
                <w:sz w:val="21"/>
              </w:rPr>
            </w:pPr>
          </w:p>
          <w:p w14:paraId="4939B4F6">
            <w:pPr>
              <w:spacing w:before="68" w:line="221" w:lineRule="auto"/>
              <w:ind w:left="260"/>
              <w:rPr>
                <w:rFonts w:ascii="宋体" w:hAnsi="宋体" w:eastAsia="宋体" w:cs="宋体"/>
                <w:sz w:val="21"/>
                <w:szCs w:val="21"/>
              </w:rPr>
            </w:pPr>
            <w:r>
              <w:rPr>
                <w:rFonts w:ascii="宋体" w:hAnsi="宋体" w:eastAsia="宋体" w:cs="宋体"/>
                <w:spacing w:val="-3"/>
                <w:sz w:val="21"/>
                <w:szCs w:val="21"/>
              </w:rPr>
              <w:t>工序</w:t>
            </w:r>
          </w:p>
        </w:tc>
        <w:tc>
          <w:tcPr>
            <w:tcW w:w="784" w:type="dxa"/>
            <w:vMerge w:val="restart"/>
            <w:tcBorders>
              <w:bottom w:val="nil"/>
            </w:tcBorders>
            <w:vAlign w:val="top"/>
          </w:tcPr>
          <w:p w14:paraId="319DB2A9">
            <w:pPr>
              <w:spacing w:line="315" w:lineRule="auto"/>
              <w:rPr>
                <w:rFonts w:ascii="Arial"/>
                <w:sz w:val="21"/>
              </w:rPr>
            </w:pPr>
          </w:p>
          <w:p w14:paraId="2EBC9769">
            <w:pPr>
              <w:spacing w:before="69" w:line="220" w:lineRule="auto"/>
              <w:ind w:left="185"/>
              <w:rPr>
                <w:rFonts w:ascii="宋体" w:hAnsi="宋体" w:eastAsia="宋体" w:cs="宋体"/>
                <w:sz w:val="21"/>
                <w:szCs w:val="21"/>
              </w:rPr>
            </w:pPr>
            <w:r>
              <w:rPr>
                <w:rFonts w:ascii="宋体" w:hAnsi="宋体" w:eastAsia="宋体" w:cs="宋体"/>
                <w:spacing w:val="-3"/>
                <w:sz w:val="21"/>
                <w:szCs w:val="21"/>
              </w:rPr>
              <w:t>装置</w:t>
            </w:r>
          </w:p>
        </w:tc>
        <w:tc>
          <w:tcPr>
            <w:tcW w:w="849" w:type="dxa"/>
            <w:vMerge w:val="restart"/>
            <w:tcBorders>
              <w:bottom w:val="nil"/>
            </w:tcBorders>
            <w:vAlign w:val="top"/>
          </w:tcPr>
          <w:p w14:paraId="249724D3">
            <w:pPr>
              <w:spacing w:before="230" w:line="277" w:lineRule="auto"/>
              <w:ind w:left="221" w:right="3" w:hanging="194"/>
              <w:rPr>
                <w:rFonts w:ascii="宋体" w:hAnsi="宋体" w:eastAsia="宋体" w:cs="宋体"/>
                <w:sz w:val="21"/>
                <w:szCs w:val="21"/>
              </w:rPr>
            </w:pPr>
            <w:r>
              <w:rPr>
                <w:rFonts w:ascii="宋体" w:hAnsi="宋体" w:eastAsia="宋体" w:cs="宋体"/>
                <w:spacing w:val="-7"/>
                <w:sz w:val="21"/>
                <w:szCs w:val="21"/>
              </w:rPr>
              <w:t>固体废物</w:t>
            </w:r>
            <w:r>
              <w:rPr>
                <w:rFonts w:ascii="宋体" w:hAnsi="宋体" w:eastAsia="宋体" w:cs="宋体"/>
                <w:spacing w:val="-3"/>
                <w:sz w:val="21"/>
                <w:szCs w:val="21"/>
              </w:rPr>
              <w:t>名称</w:t>
            </w:r>
          </w:p>
        </w:tc>
        <w:tc>
          <w:tcPr>
            <w:tcW w:w="989" w:type="dxa"/>
            <w:vMerge w:val="restart"/>
            <w:tcBorders>
              <w:bottom w:val="nil"/>
            </w:tcBorders>
            <w:vAlign w:val="top"/>
          </w:tcPr>
          <w:p w14:paraId="52986C92">
            <w:pPr>
              <w:spacing w:line="315" w:lineRule="auto"/>
              <w:rPr>
                <w:rFonts w:ascii="Arial"/>
                <w:sz w:val="21"/>
              </w:rPr>
            </w:pPr>
          </w:p>
          <w:p w14:paraId="4A0E8EB1">
            <w:pPr>
              <w:spacing w:before="69" w:line="220" w:lineRule="auto"/>
              <w:ind w:left="97"/>
              <w:rPr>
                <w:rFonts w:ascii="宋体" w:hAnsi="宋体" w:eastAsia="宋体" w:cs="宋体"/>
                <w:sz w:val="21"/>
                <w:szCs w:val="21"/>
              </w:rPr>
            </w:pPr>
            <w:r>
              <w:rPr>
                <w:rFonts w:ascii="宋体" w:hAnsi="宋体" w:eastAsia="宋体" w:cs="宋体"/>
                <w:spacing w:val="-5"/>
                <w:sz w:val="21"/>
                <w:szCs w:val="21"/>
              </w:rPr>
              <w:t>固废属性</w:t>
            </w:r>
          </w:p>
        </w:tc>
        <w:tc>
          <w:tcPr>
            <w:tcW w:w="1557" w:type="dxa"/>
            <w:gridSpan w:val="2"/>
            <w:vAlign w:val="top"/>
          </w:tcPr>
          <w:p w14:paraId="663F95B8">
            <w:pPr>
              <w:spacing w:before="68" w:line="220" w:lineRule="auto"/>
              <w:ind w:left="364"/>
              <w:rPr>
                <w:rFonts w:ascii="宋体" w:hAnsi="宋体" w:eastAsia="宋体" w:cs="宋体"/>
                <w:sz w:val="21"/>
                <w:szCs w:val="21"/>
              </w:rPr>
            </w:pPr>
            <w:r>
              <w:rPr>
                <w:rFonts w:ascii="宋体" w:hAnsi="宋体" w:eastAsia="宋体" w:cs="宋体"/>
                <w:spacing w:val="-2"/>
                <w:sz w:val="21"/>
                <w:szCs w:val="21"/>
              </w:rPr>
              <w:t>产生情况</w:t>
            </w:r>
          </w:p>
        </w:tc>
        <w:tc>
          <w:tcPr>
            <w:tcW w:w="1842" w:type="dxa"/>
            <w:gridSpan w:val="2"/>
            <w:vAlign w:val="top"/>
          </w:tcPr>
          <w:p w14:paraId="62654AF2">
            <w:pPr>
              <w:spacing w:before="69" w:line="220" w:lineRule="auto"/>
              <w:ind w:left="510"/>
              <w:rPr>
                <w:rFonts w:ascii="宋体" w:hAnsi="宋体" w:eastAsia="宋体" w:cs="宋体"/>
                <w:sz w:val="21"/>
                <w:szCs w:val="21"/>
              </w:rPr>
            </w:pPr>
            <w:r>
              <w:rPr>
                <w:rFonts w:ascii="宋体" w:hAnsi="宋体" w:eastAsia="宋体" w:cs="宋体"/>
                <w:spacing w:val="-3"/>
                <w:sz w:val="21"/>
                <w:szCs w:val="21"/>
              </w:rPr>
              <w:t>处置措施</w:t>
            </w:r>
          </w:p>
        </w:tc>
        <w:tc>
          <w:tcPr>
            <w:tcW w:w="1374" w:type="dxa"/>
            <w:vMerge w:val="restart"/>
            <w:tcBorders>
              <w:bottom w:val="nil"/>
            </w:tcBorders>
            <w:vAlign w:val="top"/>
          </w:tcPr>
          <w:p w14:paraId="7D80538E">
            <w:pPr>
              <w:spacing w:line="315" w:lineRule="auto"/>
              <w:rPr>
                <w:rFonts w:ascii="Arial"/>
                <w:sz w:val="21"/>
              </w:rPr>
            </w:pPr>
          </w:p>
          <w:p w14:paraId="148E3A80">
            <w:pPr>
              <w:spacing w:before="68" w:line="220" w:lineRule="auto"/>
              <w:ind w:left="274"/>
              <w:rPr>
                <w:rFonts w:ascii="宋体" w:hAnsi="宋体" w:eastAsia="宋体" w:cs="宋体"/>
                <w:sz w:val="21"/>
                <w:szCs w:val="21"/>
              </w:rPr>
            </w:pPr>
            <w:r>
              <w:rPr>
                <w:rFonts w:ascii="宋体" w:hAnsi="宋体" w:eastAsia="宋体" w:cs="宋体"/>
                <w:spacing w:val="-3"/>
                <w:sz w:val="21"/>
                <w:szCs w:val="21"/>
              </w:rPr>
              <w:t>最终去向</w:t>
            </w:r>
          </w:p>
        </w:tc>
      </w:tr>
      <w:tr w14:paraId="7B3CE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25" w:type="dxa"/>
            <w:vMerge w:val="continue"/>
            <w:tcBorders>
              <w:top w:val="nil"/>
            </w:tcBorders>
            <w:vAlign w:val="top"/>
          </w:tcPr>
          <w:p w14:paraId="2EB65720">
            <w:pPr>
              <w:rPr>
                <w:rFonts w:ascii="Arial"/>
                <w:sz w:val="21"/>
              </w:rPr>
            </w:pPr>
          </w:p>
        </w:tc>
        <w:tc>
          <w:tcPr>
            <w:tcW w:w="784" w:type="dxa"/>
            <w:vMerge w:val="continue"/>
            <w:tcBorders>
              <w:top w:val="nil"/>
            </w:tcBorders>
            <w:vAlign w:val="top"/>
          </w:tcPr>
          <w:p w14:paraId="5E4D12B4">
            <w:pPr>
              <w:rPr>
                <w:rFonts w:ascii="Arial"/>
                <w:sz w:val="21"/>
              </w:rPr>
            </w:pPr>
          </w:p>
        </w:tc>
        <w:tc>
          <w:tcPr>
            <w:tcW w:w="849" w:type="dxa"/>
            <w:vMerge w:val="continue"/>
            <w:tcBorders>
              <w:top w:val="nil"/>
            </w:tcBorders>
            <w:vAlign w:val="top"/>
          </w:tcPr>
          <w:p w14:paraId="30D85387">
            <w:pPr>
              <w:rPr>
                <w:rFonts w:ascii="Arial"/>
                <w:sz w:val="21"/>
              </w:rPr>
            </w:pPr>
          </w:p>
        </w:tc>
        <w:tc>
          <w:tcPr>
            <w:tcW w:w="989" w:type="dxa"/>
            <w:vMerge w:val="continue"/>
            <w:tcBorders>
              <w:top w:val="nil"/>
            </w:tcBorders>
            <w:vAlign w:val="top"/>
          </w:tcPr>
          <w:p w14:paraId="204123D0">
            <w:pPr>
              <w:rPr>
                <w:rFonts w:ascii="Arial"/>
                <w:sz w:val="21"/>
              </w:rPr>
            </w:pPr>
          </w:p>
        </w:tc>
        <w:tc>
          <w:tcPr>
            <w:tcW w:w="710" w:type="dxa"/>
            <w:vAlign w:val="top"/>
          </w:tcPr>
          <w:p w14:paraId="6BDEDC84">
            <w:pPr>
              <w:spacing w:before="49" w:line="220" w:lineRule="auto"/>
              <w:ind w:left="152"/>
              <w:rPr>
                <w:rFonts w:ascii="宋体" w:hAnsi="宋体" w:eastAsia="宋体" w:cs="宋体"/>
                <w:sz w:val="21"/>
                <w:szCs w:val="21"/>
              </w:rPr>
            </w:pPr>
            <w:r>
              <w:rPr>
                <w:rFonts w:ascii="宋体" w:hAnsi="宋体" w:eastAsia="宋体" w:cs="宋体"/>
                <w:spacing w:val="-3"/>
                <w:sz w:val="21"/>
                <w:szCs w:val="21"/>
              </w:rPr>
              <w:t>核算</w:t>
            </w:r>
          </w:p>
          <w:p w14:paraId="603BBC66">
            <w:pPr>
              <w:spacing w:before="62" w:line="221" w:lineRule="auto"/>
              <w:ind w:left="150"/>
              <w:rPr>
                <w:rFonts w:ascii="宋体" w:hAnsi="宋体" w:eastAsia="宋体" w:cs="宋体"/>
                <w:sz w:val="21"/>
                <w:szCs w:val="21"/>
              </w:rPr>
            </w:pPr>
            <w:r>
              <w:rPr>
                <w:rFonts w:ascii="宋体" w:hAnsi="宋体" w:eastAsia="宋体" w:cs="宋体"/>
                <w:spacing w:val="-3"/>
                <w:sz w:val="21"/>
                <w:szCs w:val="21"/>
              </w:rPr>
              <w:t>方法</w:t>
            </w:r>
          </w:p>
        </w:tc>
        <w:tc>
          <w:tcPr>
            <w:tcW w:w="847" w:type="dxa"/>
            <w:vAlign w:val="top"/>
          </w:tcPr>
          <w:p w14:paraId="50460F7F">
            <w:pPr>
              <w:pStyle w:val="6"/>
              <w:spacing w:before="49" w:line="250" w:lineRule="auto"/>
              <w:ind w:left="119" w:right="106" w:hanging="5"/>
              <w:rPr>
                <w:rFonts w:ascii="宋体" w:hAnsi="宋体" w:eastAsia="宋体" w:cs="宋体"/>
              </w:rPr>
            </w:pPr>
            <w:r>
              <w:rPr>
                <w:rFonts w:ascii="宋体" w:hAnsi="宋体" w:eastAsia="宋体" w:cs="宋体"/>
                <w:spacing w:val="-3"/>
              </w:rPr>
              <w:t>产生量</w:t>
            </w:r>
            <w:r>
              <w:rPr>
                <w:rFonts w:ascii="宋体" w:hAnsi="宋体" w:eastAsia="宋体" w:cs="宋体"/>
                <w:spacing w:val="-6"/>
              </w:rPr>
              <w:t>（</w:t>
            </w:r>
            <w:r>
              <w:rPr>
                <w:spacing w:val="-6"/>
              </w:rPr>
              <w:t>t/a</w:t>
            </w:r>
            <w:r>
              <w:rPr>
                <w:rFonts w:ascii="宋体" w:hAnsi="宋体" w:eastAsia="宋体" w:cs="宋体"/>
                <w:spacing w:val="-6"/>
              </w:rPr>
              <w:t>）</w:t>
            </w:r>
          </w:p>
        </w:tc>
        <w:tc>
          <w:tcPr>
            <w:tcW w:w="1133" w:type="dxa"/>
            <w:vAlign w:val="top"/>
          </w:tcPr>
          <w:p w14:paraId="2A4A5E8D">
            <w:pPr>
              <w:spacing w:before="205" w:line="230" w:lineRule="auto"/>
              <w:ind w:left="365"/>
              <w:rPr>
                <w:rFonts w:ascii="宋体" w:hAnsi="宋体" w:eastAsia="宋体" w:cs="宋体"/>
                <w:sz w:val="21"/>
                <w:szCs w:val="21"/>
              </w:rPr>
            </w:pPr>
            <w:r>
              <w:rPr>
                <w:rFonts w:ascii="宋体" w:hAnsi="宋体" w:eastAsia="宋体" w:cs="宋体"/>
                <w:spacing w:val="-3"/>
                <w:sz w:val="21"/>
                <w:szCs w:val="21"/>
              </w:rPr>
              <w:t>工艺</w:t>
            </w:r>
          </w:p>
        </w:tc>
        <w:tc>
          <w:tcPr>
            <w:tcW w:w="709" w:type="dxa"/>
            <w:vAlign w:val="top"/>
          </w:tcPr>
          <w:p w14:paraId="7A4C1FEF">
            <w:pPr>
              <w:pStyle w:val="6"/>
              <w:spacing w:before="49" w:line="250" w:lineRule="auto"/>
              <w:ind w:left="52" w:right="35" w:hanging="1"/>
              <w:rPr>
                <w:rFonts w:ascii="宋体" w:hAnsi="宋体" w:eastAsia="宋体" w:cs="宋体"/>
              </w:rPr>
            </w:pPr>
            <w:r>
              <w:rPr>
                <w:rFonts w:ascii="宋体" w:hAnsi="宋体" w:eastAsia="宋体" w:cs="宋体"/>
                <w:spacing w:val="-5"/>
              </w:rPr>
              <w:t>处置量</w:t>
            </w:r>
            <w:r>
              <w:rPr>
                <w:rFonts w:ascii="宋体" w:hAnsi="宋体" w:eastAsia="宋体" w:cs="宋体"/>
                <w:spacing w:val="-6"/>
              </w:rPr>
              <w:t>（</w:t>
            </w:r>
            <w:r>
              <w:rPr>
                <w:spacing w:val="-6"/>
              </w:rPr>
              <w:t>t/a</w:t>
            </w:r>
            <w:r>
              <w:rPr>
                <w:rFonts w:ascii="宋体" w:hAnsi="宋体" w:eastAsia="宋体" w:cs="宋体"/>
                <w:spacing w:val="-6"/>
              </w:rPr>
              <w:t>）</w:t>
            </w:r>
          </w:p>
        </w:tc>
        <w:tc>
          <w:tcPr>
            <w:tcW w:w="1374" w:type="dxa"/>
            <w:vMerge w:val="continue"/>
            <w:tcBorders>
              <w:top w:val="nil"/>
            </w:tcBorders>
            <w:vAlign w:val="top"/>
          </w:tcPr>
          <w:p w14:paraId="3BE9C678">
            <w:pPr>
              <w:rPr>
                <w:rFonts w:ascii="Arial"/>
                <w:sz w:val="21"/>
              </w:rPr>
            </w:pPr>
          </w:p>
        </w:tc>
      </w:tr>
      <w:tr w14:paraId="6777C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5" w:type="dxa"/>
            <w:vMerge w:val="restart"/>
            <w:tcBorders>
              <w:bottom w:val="nil"/>
            </w:tcBorders>
            <w:vAlign w:val="top"/>
          </w:tcPr>
          <w:p w14:paraId="16D869F0">
            <w:pPr>
              <w:spacing w:line="320" w:lineRule="auto"/>
              <w:rPr>
                <w:rFonts w:ascii="Arial"/>
                <w:sz w:val="21"/>
              </w:rPr>
            </w:pPr>
          </w:p>
          <w:p w14:paraId="6E7BC755">
            <w:pPr>
              <w:spacing w:line="320" w:lineRule="auto"/>
              <w:rPr>
                <w:rFonts w:ascii="Arial"/>
                <w:sz w:val="21"/>
              </w:rPr>
            </w:pPr>
          </w:p>
          <w:p w14:paraId="199C4CDE">
            <w:pPr>
              <w:spacing w:before="68" w:line="220" w:lineRule="auto"/>
              <w:ind w:left="258"/>
              <w:rPr>
                <w:rFonts w:ascii="宋体" w:hAnsi="宋体" w:eastAsia="宋体" w:cs="宋体"/>
                <w:sz w:val="21"/>
                <w:szCs w:val="21"/>
              </w:rPr>
            </w:pPr>
            <w:r>
              <w:rPr>
                <w:rFonts w:ascii="宋体" w:hAnsi="宋体" w:eastAsia="宋体" w:cs="宋体"/>
                <w:spacing w:val="-3"/>
                <w:sz w:val="21"/>
                <w:szCs w:val="21"/>
              </w:rPr>
              <w:t>养殖</w:t>
            </w:r>
          </w:p>
        </w:tc>
        <w:tc>
          <w:tcPr>
            <w:tcW w:w="784" w:type="dxa"/>
            <w:vMerge w:val="restart"/>
            <w:tcBorders>
              <w:bottom w:val="nil"/>
            </w:tcBorders>
            <w:vAlign w:val="top"/>
          </w:tcPr>
          <w:p w14:paraId="0BFBA24C">
            <w:pPr>
              <w:spacing w:line="320" w:lineRule="auto"/>
              <w:rPr>
                <w:rFonts w:ascii="Arial"/>
                <w:sz w:val="21"/>
              </w:rPr>
            </w:pPr>
          </w:p>
          <w:p w14:paraId="382FFFDC">
            <w:pPr>
              <w:spacing w:line="321" w:lineRule="auto"/>
              <w:rPr>
                <w:rFonts w:ascii="Arial"/>
                <w:sz w:val="21"/>
              </w:rPr>
            </w:pPr>
          </w:p>
          <w:p w14:paraId="077BB4EA">
            <w:pPr>
              <w:spacing w:before="68" w:line="220" w:lineRule="auto"/>
              <w:ind w:left="185"/>
              <w:rPr>
                <w:rFonts w:ascii="宋体" w:hAnsi="宋体" w:eastAsia="宋体" w:cs="宋体"/>
                <w:sz w:val="21"/>
                <w:szCs w:val="21"/>
              </w:rPr>
            </w:pPr>
            <w:r>
              <w:rPr>
                <w:rFonts w:ascii="宋体" w:hAnsi="宋体" w:eastAsia="宋体" w:cs="宋体"/>
                <w:spacing w:val="-3"/>
                <w:sz w:val="21"/>
                <w:szCs w:val="21"/>
              </w:rPr>
              <w:t>猪舍</w:t>
            </w:r>
          </w:p>
        </w:tc>
        <w:tc>
          <w:tcPr>
            <w:tcW w:w="849" w:type="dxa"/>
            <w:vAlign w:val="top"/>
          </w:tcPr>
          <w:p w14:paraId="31625910">
            <w:pPr>
              <w:spacing w:before="64" w:line="220" w:lineRule="auto"/>
              <w:ind w:left="220"/>
              <w:rPr>
                <w:rFonts w:ascii="宋体" w:hAnsi="宋体" w:eastAsia="宋体" w:cs="宋体"/>
                <w:sz w:val="21"/>
                <w:szCs w:val="21"/>
              </w:rPr>
            </w:pPr>
            <w:r>
              <w:rPr>
                <w:rFonts w:ascii="宋体" w:hAnsi="宋体" w:eastAsia="宋体" w:cs="宋体"/>
                <w:spacing w:val="-3"/>
                <w:sz w:val="21"/>
                <w:szCs w:val="21"/>
              </w:rPr>
              <w:t>粪便</w:t>
            </w:r>
          </w:p>
        </w:tc>
        <w:tc>
          <w:tcPr>
            <w:tcW w:w="989" w:type="dxa"/>
            <w:vAlign w:val="top"/>
          </w:tcPr>
          <w:p w14:paraId="1BFC1780">
            <w:pPr>
              <w:spacing w:before="65"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485D9985">
            <w:pPr>
              <w:spacing w:before="64" w:line="220" w:lineRule="auto"/>
              <w:ind w:left="49"/>
              <w:rPr>
                <w:rFonts w:ascii="宋体" w:hAnsi="宋体" w:eastAsia="宋体" w:cs="宋体"/>
                <w:sz w:val="21"/>
                <w:szCs w:val="21"/>
              </w:rPr>
            </w:pPr>
            <w:r>
              <w:rPr>
                <w:rFonts w:ascii="宋体" w:hAnsi="宋体" w:eastAsia="宋体" w:cs="宋体"/>
                <w:spacing w:val="-3"/>
                <w:sz w:val="21"/>
                <w:szCs w:val="21"/>
              </w:rPr>
              <w:t>系数法</w:t>
            </w:r>
          </w:p>
        </w:tc>
        <w:tc>
          <w:tcPr>
            <w:tcW w:w="847" w:type="dxa"/>
            <w:vAlign w:val="top"/>
          </w:tcPr>
          <w:p w14:paraId="253C792E">
            <w:pPr>
              <w:pStyle w:val="6"/>
              <w:spacing w:before="101" w:line="188" w:lineRule="auto"/>
              <w:ind w:left="108"/>
            </w:pPr>
            <w:r>
              <w:rPr>
                <w:spacing w:val="-5"/>
              </w:rPr>
              <w:t>11952.9</w:t>
            </w:r>
          </w:p>
        </w:tc>
        <w:tc>
          <w:tcPr>
            <w:tcW w:w="1133" w:type="dxa"/>
            <w:vAlign w:val="top"/>
          </w:tcPr>
          <w:p w14:paraId="492AB49B">
            <w:pPr>
              <w:spacing w:before="64" w:line="220" w:lineRule="auto"/>
              <w:ind w:left="49"/>
              <w:rPr>
                <w:rFonts w:ascii="宋体" w:hAnsi="宋体" w:eastAsia="宋体" w:cs="宋体"/>
                <w:sz w:val="21"/>
                <w:szCs w:val="21"/>
              </w:rPr>
            </w:pPr>
            <w:r>
              <w:rPr>
                <w:rFonts w:ascii="宋体" w:hAnsi="宋体" w:eastAsia="宋体" w:cs="宋体"/>
                <w:spacing w:val="-2"/>
                <w:sz w:val="21"/>
                <w:szCs w:val="21"/>
              </w:rPr>
              <w:t>堆粪棚暂存</w:t>
            </w:r>
          </w:p>
        </w:tc>
        <w:tc>
          <w:tcPr>
            <w:tcW w:w="709" w:type="dxa"/>
            <w:vAlign w:val="top"/>
          </w:tcPr>
          <w:p w14:paraId="54CAB6C1">
            <w:pPr>
              <w:pStyle w:val="6"/>
              <w:spacing w:before="101" w:line="188" w:lineRule="auto"/>
              <w:ind w:left="41"/>
            </w:pPr>
            <w:r>
              <w:rPr>
                <w:spacing w:val="-5"/>
              </w:rPr>
              <w:t>11952.9</w:t>
            </w:r>
          </w:p>
        </w:tc>
        <w:tc>
          <w:tcPr>
            <w:tcW w:w="1374" w:type="dxa"/>
            <w:vAlign w:val="top"/>
          </w:tcPr>
          <w:p w14:paraId="0BC5F533">
            <w:pPr>
              <w:spacing w:before="64" w:line="219" w:lineRule="auto"/>
              <w:ind w:left="272"/>
              <w:rPr>
                <w:rFonts w:ascii="宋体" w:hAnsi="宋体" w:eastAsia="宋体" w:cs="宋体"/>
                <w:sz w:val="21"/>
                <w:szCs w:val="21"/>
              </w:rPr>
            </w:pPr>
            <w:r>
              <w:rPr>
                <w:rFonts w:ascii="宋体" w:hAnsi="宋体" w:eastAsia="宋体" w:cs="宋体"/>
                <w:spacing w:val="-2"/>
                <w:sz w:val="21"/>
                <w:szCs w:val="21"/>
              </w:rPr>
              <w:t>有机肥厂</w:t>
            </w:r>
          </w:p>
        </w:tc>
      </w:tr>
      <w:tr w14:paraId="25C46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vAlign w:val="top"/>
          </w:tcPr>
          <w:p w14:paraId="352170BA">
            <w:pPr>
              <w:rPr>
                <w:rFonts w:ascii="Arial"/>
                <w:sz w:val="21"/>
              </w:rPr>
            </w:pPr>
          </w:p>
        </w:tc>
        <w:tc>
          <w:tcPr>
            <w:tcW w:w="784" w:type="dxa"/>
            <w:vMerge w:val="continue"/>
            <w:tcBorders>
              <w:top w:val="nil"/>
              <w:bottom w:val="nil"/>
            </w:tcBorders>
            <w:vAlign w:val="top"/>
          </w:tcPr>
          <w:p w14:paraId="1EF0F025">
            <w:pPr>
              <w:rPr>
                <w:rFonts w:ascii="Arial"/>
                <w:sz w:val="21"/>
              </w:rPr>
            </w:pPr>
          </w:p>
        </w:tc>
        <w:tc>
          <w:tcPr>
            <w:tcW w:w="849" w:type="dxa"/>
            <w:vAlign w:val="top"/>
          </w:tcPr>
          <w:p w14:paraId="1A64B6E3">
            <w:pPr>
              <w:spacing w:line="293" w:lineRule="auto"/>
              <w:rPr>
                <w:rFonts w:ascii="Arial"/>
                <w:sz w:val="21"/>
              </w:rPr>
            </w:pPr>
          </w:p>
          <w:p w14:paraId="5FF07FE8">
            <w:pPr>
              <w:spacing w:before="68" w:line="220" w:lineRule="auto"/>
              <w:ind w:left="112"/>
              <w:rPr>
                <w:rFonts w:ascii="宋体" w:hAnsi="宋体" w:eastAsia="宋体" w:cs="宋体"/>
                <w:sz w:val="21"/>
                <w:szCs w:val="21"/>
              </w:rPr>
            </w:pPr>
            <w:r>
              <w:rPr>
                <w:rFonts w:ascii="宋体" w:hAnsi="宋体" w:eastAsia="宋体" w:cs="宋体"/>
                <w:spacing w:val="-2"/>
                <w:sz w:val="21"/>
                <w:szCs w:val="21"/>
              </w:rPr>
              <w:t>病死猪</w:t>
            </w:r>
          </w:p>
        </w:tc>
        <w:tc>
          <w:tcPr>
            <w:tcW w:w="989" w:type="dxa"/>
            <w:vAlign w:val="top"/>
          </w:tcPr>
          <w:p w14:paraId="7A89BB84">
            <w:pPr>
              <w:spacing w:line="293" w:lineRule="auto"/>
              <w:rPr>
                <w:rFonts w:ascii="Arial"/>
                <w:sz w:val="21"/>
              </w:rPr>
            </w:pPr>
          </w:p>
          <w:p w14:paraId="2BA209CC">
            <w:pPr>
              <w:spacing w:before="68"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03FC7C6B">
            <w:pPr>
              <w:spacing w:line="292" w:lineRule="auto"/>
              <w:rPr>
                <w:rFonts w:ascii="Arial"/>
                <w:sz w:val="21"/>
              </w:rPr>
            </w:pPr>
          </w:p>
          <w:p w14:paraId="1C24A26A">
            <w:pPr>
              <w:spacing w:before="68" w:line="220" w:lineRule="auto"/>
              <w:ind w:left="49"/>
              <w:rPr>
                <w:rFonts w:ascii="宋体" w:hAnsi="宋体" w:eastAsia="宋体" w:cs="宋体"/>
                <w:sz w:val="21"/>
                <w:szCs w:val="21"/>
              </w:rPr>
            </w:pPr>
            <w:r>
              <w:rPr>
                <w:rFonts w:ascii="宋体" w:hAnsi="宋体" w:eastAsia="宋体" w:cs="宋体"/>
                <w:spacing w:val="-3"/>
                <w:sz w:val="21"/>
                <w:szCs w:val="21"/>
              </w:rPr>
              <w:t>系数法</w:t>
            </w:r>
          </w:p>
        </w:tc>
        <w:tc>
          <w:tcPr>
            <w:tcW w:w="847" w:type="dxa"/>
            <w:vAlign w:val="top"/>
          </w:tcPr>
          <w:p w14:paraId="019C8188">
            <w:pPr>
              <w:spacing w:line="337" w:lineRule="auto"/>
              <w:rPr>
                <w:rFonts w:ascii="Arial"/>
                <w:sz w:val="21"/>
              </w:rPr>
            </w:pPr>
          </w:p>
          <w:p w14:paraId="36B17163">
            <w:pPr>
              <w:pStyle w:val="6"/>
              <w:spacing w:before="60" w:line="188" w:lineRule="auto"/>
              <w:ind w:left="246"/>
            </w:pPr>
            <w:r>
              <w:rPr>
                <w:spacing w:val="-2"/>
              </w:rPr>
              <w:t>94.4</w:t>
            </w:r>
          </w:p>
        </w:tc>
        <w:tc>
          <w:tcPr>
            <w:tcW w:w="1133" w:type="dxa"/>
            <w:vAlign w:val="top"/>
          </w:tcPr>
          <w:p w14:paraId="2D1A12E2">
            <w:pPr>
              <w:spacing w:line="293" w:lineRule="auto"/>
              <w:rPr>
                <w:rFonts w:ascii="Arial"/>
                <w:sz w:val="21"/>
              </w:rPr>
            </w:pPr>
          </w:p>
          <w:p w14:paraId="658C95FE">
            <w:pPr>
              <w:spacing w:before="68" w:line="220" w:lineRule="auto"/>
              <w:ind w:left="50"/>
              <w:rPr>
                <w:rFonts w:ascii="宋体" w:hAnsi="宋体" w:eastAsia="宋体" w:cs="宋体"/>
                <w:sz w:val="21"/>
                <w:szCs w:val="21"/>
              </w:rPr>
            </w:pPr>
            <w:r>
              <w:rPr>
                <w:rFonts w:ascii="宋体" w:hAnsi="宋体" w:eastAsia="宋体" w:cs="宋体"/>
                <w:spacing w:val="-2"/>
                <w:sz w:val="21"/>
                <w:szCs w:val="21"/>
              </w:rPr>
              <w:t>无害化处置</w:t>
            </w:r>
          </w:p>
        </w:tc>
        <w:tc>
          <w:tcPr>
            <w:tcW w:w="709" w:type="dxa"/>
            <w:vAlign w:val="top"/>
          </w:tcPr>
          <w:p w14:paraId="31F84133">
            <w:pPr>
              <w:spacing w:line="337" w:lineRule="auto"/>
              <w:rPr>
                <w:rFonts w:ascii="Arial"/>
                <w:sz w:val="21"/>
              </w:rPr>
            </w:pPr>
          </w:p>
          <w:p w14:paraId="4754E772">
            <w:pPr>
              <w:pStyle w:val="6"/>
              <w:spacing w:before="60" w:line="188" w:lineRule="auto"/>
              <w:ind w:left="179"/>
            </w:pPr>
            <w:r>
              <w:rPr>
                <w:spacing w:val="-2"/>
              </w:rPr>
              <w:t>94.4</w:t>
            </w:r>
          </w:p>
        </w:tc>
        <w:tc>
          <w:tcPr>
            <w:tcW w:w="1374" w:type="dxa"/>
            <w:vAlign w:val="top"/>
          </w:tcPr>
          <w:p w14:paraId="1F6D012A">
            <w:pPr>
              <w:spacing w:before="50" w:line="220" w:lineRule="auto"/>
              <w:ind w:left="86"/>
              <w:rPr>
                <w:rFonts w:ascii="宋体" w:hAnsi="宋体" w:eastAsia="宋体" w:cs="宋体"/>
                <w:sz w:val="21"/>
                <w:szCs w:val="21"/>
              </w:rPr>
            </w:pPr>
            <w:r>
              <w:rPr>
                <w:rFonts w:ascii="宋体" w:hAnsi="宋体" w:eastAsia="宋体" w:cs="宋体"/>
                <w:spacing w:val="-5"/>
                <w:sz w:val="21"/>
                <w:szCs w:val="21"/>
              </w:rPr>
              <w:t>内江市病害动</w:t>
            </w:r>
          </w:p>
          <w:p w14:paraId="29B56DFF">
            <w:pPr>
              <w:spacing w:before="62" w:line="220" w:lineRule="auto"/>
              <w:ind w:left="61"/>
              <w:rPr>
                <w:rFonts w:ascii="宋体" w:hAnsi="宋体" w:eastAsia="宋体" w:cs="宋体"/>
                <w:sz w:val="21"/>
                <w:szCs w:val="21"/>
              </w:rPr>
            </w:pPr>
            <w:r>
              <w:rPr>
                <w:rFonts w:ascii="宋体" w:hAnsi="宋体" w:eastAsia="宋体" w:cs="宋体"/>
                <w:spacing w:val="-2"/>
                <w:sz w:val="21"/>
                <w:szCs w:val="21"/>
              </w:rPr>
              <w:t>物无害化处置</w:t>
            </w:r>
          </w:p>
          <w:p w14:paraId="21F8F79C">
            <w:pPr>
              <w:spacing w:before="61" w:line="220" w:lineRule="auto"/>
              <w:ind w:left="501"/>
              <w:rPr>
                <w:rFonts w:ascii="宋体" w:hAnsi="宋体" w:eastAsia="宋体" w:cs="宋体"/>
                <w:sz w:val="21"/>
                <w:szCs w:val="21"/>
              </w:rPr>
            </w:pPr>
            <w:r>
              <w:rPr>
                <w:rFonts w:ascii="宋体" w:hAnsi="宋体" w:eastAsia="宋体" w:cs="宋体"/>
                <w:spacing w:val="-7"/>
                <w:sz w:val="21"/>
                <w:szCs w:val="21"/>
              </w:rPr>
              <w:t>中心</w:t>
            </w:r>
          </w:p>
        </w:tc>
      </w:tr>
      <w:tr w14:paraId="47136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5" w:type="dxa"/>
            <w:vMerge w:val="continue"/>
            <w:tcBorders>
              <w:top w:val="nil"/>
            </w:tcBorders>
            <w:vAlign w:val="top"/>
          </w:tcPr>
          <w:p w14:paraId="09E99C34">
            <w:pPr>
              <w:rPr>
                <w:rFonts w:ascii="Arial"/>
                <w:sz w:val="21"/>
              </w:rPr>
            </w:pPr>
          </w:p>
        </w:tc>
        <w:tc>
          <w:tcPr>
            <w:tcW w:w="784" w:type="dxa"/>
            <w:vMerge w:val="continue"/>
            <w:tcBorders>
              <w:top w:val="nil"/>
            </w:tcBorders>
            <w:vAlign w:val="top"/>
          </w:tcPr>
          <w:p w14:paraId="46B3F7BB">
            <w:pPr>
              <w:rPr>
                <w:rFonts w:ascii="Arial"/>
                <w:sz w:val="21"/>
              </w:rPr>
            </w:pPr>
          </w:p>
        </w:tc>
        <w:tc>
          <w:tcPr>
            <w:tcW w:w="849" w:type="dxa"/>
            <w:vAlign w:val="top"/>
          </w:tcPr>
          <w:p w14:paraId="3B94FF81">
            <w:pPr>
              <w:spacing w:before="66" w:line="220" w:lineRule="auto"/>
              <w:ind w:left="112"/>
              <w:rPr>
                <w:rFonts w:ascii="宋体" w:hAnsi="宋体" w:eastAsia="宋体" w:cs="宋体"/>
                <w:sz w:val="21"/>
                <w:szCs w:val="21"/>
              </w:rPr>
            </w:pPr>
            <w:r>
              <w:rPr>
                <w:rFonts w:ascii="宋体" w:hAnsi="宋体" w:eastAsia="宋体" w:cs="宋体"/>
                <w:spacing w:val="-2"/>
                <w:sz w:val="21"/>
                <w:szCs w:val="21"/>
              </w:rPr>
              <w:t>废包装</w:t>
            </w:r>
          </w:p>
        </w:tc>
        <w:tc>
          <w:tcPr>
            <w:tcW w:w="989" w:type="dxa"/>
            <w:vAlign w:val="top"/>
          </w:tcPr>
          <w:p w14:paraId="66B4B9F4">
            <w:pPr>
              <w:spacing w:before="66"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0E3F207A">
            <w:pPr>
              <w:spacing w:before="65" w:line="220" w:lineRule="auto"/>
              <w:ind w:left="149"/>
              <w:rPr>
                <w:rFonts w:ascii="宋体" w:hAnsi="宋体" w:eastAsia="宋体" w:cs="宋体"/>
                <w:sz w:val="21"/>
                <w:szCs w:val="21"/>
              </w:rPr>
            </w:pPr>
            <w:r>
              <w:rPr>
                <w:rFonts w:ascii="宋体" w:hAnsi="宋体" w:eastAsia="宋体" w:cs="宋体"/>
                <w:spacing w:val="-3"/>
                <w:sz w:val="21"/>
                <w:szCs w:val="21"/>
              </w:rPr>
              <w:t>类比</w:t>
            </w:r>
          </w:p>
        </w:tc>
        <w:tc>
          <w:tcPr>
            <w:tcW w:w="847" w:type="dxa"/>
            <w:vAlign w:val="top"/>
          </w:tcPr>
          <w:p w14:paraId="64C74312">
            <w:pPr>
              <w:pStyle w:val="6"/>
              <w:spacing w:before="102" w:line="188" w:lineRule="auto"/>
              <w:ind w:left="297"/>
            </w:pPr>
            <w:r>
              <w:rPr>
                <w:spacing w:val="-2"/>
              </w:rPr>
              <w:t>0.5</w:t>
            </w:r>
          </w:p>
        </w:tc>
        <w:tc>
          <w:tcPr>
            <w:tcW w:w="1133" w:type="dxa"/>
            <w:vAlign w:val="top"/>
          </w:tcPr>
          <w:p w14:paraId="1B413440">
            <w:pPr>
              <w:spacing w:before="65" w:line="220" w:lineRule="auto"/>
              <w:ind w:left="157"/>
              <w:rPr>
                <w:rFonts w:ascii="宋体" w:hAnsi="宋体" w:eastAsia="宋体" w:cs="宋体"/>
                <w:sz w:val="21"/>
                <w:szCs w:val="21"/>
              </w:rPr>
            </w:pPr>
            <w:r>
              <w:rPr>
                <w:rFonts w:ascii="宋体" w:hAnsi="宋体" w:eastAsia="宋体" w:cs="宋体"/>
                <w:spacing w:val="-4"/>
                <w:sz w:val="21"/>
                <w:szCs w:val="21"/>
              </w:rPr>
              <w:t>统一收集</w:t>
            </w:r>
          </w:p>
        </w:tc>
        <w:tc>
          <w:tcPr>
            <w:tcW w:w="709" w:type="dxa"/>
            <w:vAlign w:val="top"/>
          </w:tcPr>
          <w:p w14:paraId="231BE2A3">
            <w:pPr>
              <w:pStyle w:val="6"/>
              <w:spacing w:before="102" w:line="188" w:lineRule="auto"/>
              <w:ind w:left="229"/>
            </w:pPr>
            <w:r>
              <w:rPr>
                <w:spacing w:val="-2"/>
              </w:rPr>
              <w:t>0.5</w:t>
            </w:r>
          </w:p>
        </w:tc>
        <w:tc>
          <w:tcPr>
            <w:tcW w:w="1374" w:type="dxa"/>
            <w:vAlign w:val="top"/>
          </w:tcPr>
          <w:p w14:paraId="1896DBA1">
            <w:pPr>
              <w:spacing w:before="65" w:line="220" w:lineRule="auto"/>
              <w:ind w:left="167"/>
              <w:rPr>
                <w:rFonts w:ascii="宋体" w:hAnsi="宋体" w:eastAsia="宋体" w:cs="宋体"/>
                <w:sz w:val="21"/>
                <w:szCs w:val="21"/>
              </w:rPr>
            </w:pPr>
            <w:r>
              <w:rPr>
                <w:rFonts w:ascii="宋体" w:hAnsi="宋体" w:eastAsia="宋体" w:cs="宋体"/>
                <w:spacing w:val="-2"/>
                <w:sz w:val="21"/>
                <w:szCs w:val="21"/>
              </w:rPr>
              <w:t>物资回收站</w:t>
            </w:r>
          </w:p>
        </w:tc>
      </w:tr>
      <w:tr w14:paraId="5808D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25" w:type="dxa"/>
            <w:vAlign w:val="top"/>
          </w:tcPr>
          <w:p w14:paraId="42293FDC">
            <w:pPr>
              <w:spacing w:before="207" w:line="220" w:lineRule="auto"/>
              <w:ind w:left="49"/>
              <w:rPr>
                <w:rFonts w:ascii="宋体" w:hAnsi="宋体" w:eastAsia="宋体" w:cs="宋体"/>
                <w:sz w:val="21"/>
                <w:szCs w:val="21"/>
              </w:rPr>
            </w:pPr>
            <w:r>
              <w:rPr>
                <w:rFonts w:ascii="宋体" w:hAnsi="宋体" w:eastAsia="宋体" w:cs="宋体"/>
                <w:spacing w:val="-2"/>
                <w:sz w:val="21"/>
                <w:szCs w:val="21"/>
              </w:rPr>
              <w:t>粪污处理</w:t>
            </w:r>
          </w:p>
        </w:tc>
        <w:tc>
          <w:tcPr>
            <w:tcW w:w="784" w:type="dxa"/>
            <w:vAlign w:val="top"/>
          </w:tcPr>
          <w:p w14:paraId="61BD3B46">
            <w:pPr>
              <w:spacing w:before="51" w:line="249" w:lineRule="auto"/>
              <w:ind w:left="188" w:right="76" w:hanging="90"/>
              <w:rPr>
                <w:rFonts w:ascii="宋体" w:hAnsi="宋体" w:eastAsia="宋体" w:cs="宋体"/>
                <w:sz w:val="21"/>
                <w:szCs w:val="21"/>
              </w:rPr>
            </w:pPr>
            <w:r>
              <w:rPr>
                <w:rFonts w:ascii="宋体" w:hAnsi="宋体" w:eastAsia="宋体" w:cs="宋体"/>
                <w:spacing w:val="-9"/>
                <w:sz w:val="21"/>
                <w:szCs w:val="21"/>
              </w:rPr>
              <w:t>固液分</w:t>
            </w:r>
            <w:r>
              <w:rPr>
                <w:rFonts w:ascii="宋体" w:hAnsi="宋体" w:eastAsia="宋体" w:cs="宋体"/>
                <w:spacing w:val="-3"/>
                <w:sz w:val="21"/>
                <w:szCs w:val="21"/>
              </w:rPr>
              <w:t>离机</w:t>
            </w:r>
          </w:p>
        </w:tc>
        <w:tc>
          <w:tcPr>
            <w:tcW w:w="849" w:type="dxa"/>
            <w:vAlign w:val="top"/>
          </w:tcPr>
          <w:p w14:paraId="6F4C944C">
            <w:pPr>
              <w:spacing w:before="207" w:line="224" w:lineRule="auto"/>
              <w:ind w:left="223"/>
              <w:rPr>
                <w:rFonts w:ascii="宋体" w:hAnsi="宋体" w:eastAsia="宋体" w:cs="宋体"/>
                <w:sz w:val="21"/>
                <w:szCs w:val="21"/>
              </w:rPr>
            </w:pPr>
            <w:r>
              <w:rPr>
                <w:rFonts w:ascii="宋体" w:hAnsi="宋体" w:eastAsia="宋体" w:cs="宋体"/>
                <w:spacing w:val="-4"/>
                <w:sz w:val="21"/>
                <w:szCs w:val="21"/>
              </w:rPr>
              <w:t>沼渣</w:t>
            </w:r>
          </w:p>
        </w:tc>
        <w:tc>
          <w:tcPr>
            <w:tcW w:w="989" w:type="dxa"/>
            <w:vAlign w:val="top"/>
          </w:tcPr>
          <w:p w14:paraId="5085CD0D">
            <w:pPr>
              <w:spacing w:before="208"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0A9499D6">
            <w:pPr>
              <w:spacing w:before="207" w:line="220" w:lineRule="auto"/>
              <w:ind w:left="49"/>
              <w:rPr>
                <w:rFonts w:ascii="宋体" w:hAnsi="宋体" w:eastAsia="宋体" w:cs="宋体"/>
                <w:sz w:val="21"/>
                <w:szCs w:val="21"/>
              </w:rPr>
            </w:pPr>
            <w:r>
              <w:rPr>
                <w:rFonts w:ascii="宋体" w:hAnsi="宋体" w:eastAsia="宋体" w:cs="宋体"/>
                <w:spacing w:val="-3"/>
                <w:sz w:val="21"/>
                <w:szCs w:val="21"/>
              </w:rPr>
              <w:t>系数法</w:t>
            </w:r>
          </w:p>
        </w:tc>
        <w:tc>
          <w:tcPr>
            <w:tcW w:w="847" w:type="dxa"/>
            <w:vAlign w:val="top"/>
          </w:tcPr>
          <w:p w14:paraId="310F6391">
            <w:pPr>
              <w:pStyle w:val="6"/>
              <w:spacing w:before="244" w:line="188" w:lineRule="auto"/>
              <w:ind w:left="209"/>
            </w:pPr>
            <w:r>
              <w:rPr>
                <w:spacing w:val="-5"/>
              </w:rPr>
              <w:t>127.8</w:t>
            </w:r>
          </w:p>
        </w:tc>
        <w:tc>
          <w:tcPr>
            <w:tcW w:w="1133" w:type="dxa"/>
            <w:vAlign w:val="top"/>
          </w:tcPr>
          <w:p w14:paraId="073D292F">
            <w:pPr>
              <w:spacing w:before="207" w:line="220" w:lineRule="auto"/>
              <w:ind w:left="49"/>
              <w:rPr>
                <w:rFonts w:ascii="宋体" w:hAnsi="宋体" w:eastAsia="宋体" w:cs="宋体"/>
                <w:sz w:val="21"/>
                <w:szCs w:val="21"/>
              </w:rPr>
            </w:pPr>
            <w:r>
              <w:rPr>
                <w:rFonts w:ascii="宋体" w:hAnsi="宋体" w:eastAsia="宋体" w:cs="宋体"/>
                <w:spacing w:val="-2"/>
                <w:sz w:val="21"/>
                <w:szCs w:val="21"/>
              </w:rPr>
              <w:t>堆粪棚暂存</w:t>
            </w:r>
          </w:p>
        </w:tc>
        <w:tc>
          <w:tcPr>
            <w:tcW w:w="709" w:type="dxa"/>
            <w:vAlign w:val="top"/>
          </w:tcPr>
          <w:p w14:paraId="5E52BDBC">
            <w:pPr>
              <w:pStyle w:val="6"/>
              <w:spacing w:before="244" w:line="188" w:lineRule="auto"/>
              <w:ind w:left="142"/>
            </w:pPr>
            <w:r>
              <w:rPr>
                <w:spacing w:val="-5"/>
              </w:rPr>
              <w:t>127.8</w:t>
            </w:r>
          </w:p>
        </w:tc>
        <w:tc>
          <w:tcPr>
            <w:tcW w:w="1374" w:type="dxa"/>
            <w:vAlign w:val="top"/>
          </w:tcPr>
          <w:p w14:paraId="06F879C5">
            <w:pPr>
              <w:spacing w:before="207" w:line="219" w:lineRule="auto"/>
              <w:ind w:left="272"/>
              <w:rPr>
                <w:rFonts w:ascii="宋体" w:hAnsi="宋体" w:eastAsia="宋体" w:cs="宋体"/>
                <w:sz w:val="21"/>
                <w:szCs w:val="21"/>
              </w:rPr>
            </w:pPr>
            <w:r>
              <w:rPr>
                <w:rFonts w:ascii="宋体" w:hAnsi="宋体" w:eastAsia="宋体" w:cs="宋体"/>
                <w:spacing w:val="-2"/>
                <w:sz w:val="21"/>
                <w:szCs w:val="21"/>
              </w:rPr>
              <w:t>有机肥厂</w:t>
            </w:r>
          </w:p>
        </w:tc>
      </w:tr>
      <w:tr w14:paraId="35AB8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25" w:type="dxa"/>
            <w:vAlign w:val="top"/>
          </w:tcPr>
          <w:p w14:paraId="7B745C4E">
            <w:pPr>
              <w:spacing w:before="208" w:line="220" w:lineRule="auto"/>
              <w:ind w:left="49"/>
              <w:rPr>
                <w:rFonts w:ascii="宋体" w:hAnsi="宋体" w:eastAsia="宋体" w:cs="宋体"/>
                <w:sz w:val="21"/>
                <w:szCs w:val="21"/>
              </w:rPr>
            </w:pPr>
            <w:r>
              <w:rPr>
                <w:rFonts w:ascii="宋体" w:hAnsi="宋体" w:eastAsia="宋体" w:cs="宋体"/>
                <w:spacing w:val="-2"/>
                <w:sz w:val="21"/>
                <w:szCs w:val="21"/>
              </w:rPr>
              <w:t>污水处理</w:t>
            </w:r>
          </w:p>
        </w:tc>
        <w:tc>
          <w:tcPr>
            <w:tcW w:w="784" w:type="dxa"/>
            <w:vAlign w:val="top"/>
          </w:tcPr>
          <w:p w14:paraId="7720D116">
            <w:pPr>
              <w:spacing w:before="51" w:line="249" w:lineRule="auto"/>
              <w:ind w:left="187" w:right="76" w:hanging="106"/>
              <w:rPr>
                <w:rFonts w:ascii="宋体" w:hAnsi="宋体" w:eastAsia="宋体" w:cs="宋体"/>
                <w:sz w:val="21"/>
                <w:szCs w:val="21"/>
              </w:rPr>
            </w:pPr>
            <w:r>
              <w:rPr>
                <w:rFonts w:ascii="宋体" w:hAnsi="宋体" w:eastAsia="宋体" w:cs="宋体"/>
                <w:spacing w:val="-4"/>
                <w:sz w:val="21"/>
                <w:szCs w:val="21"/>
              </w:rPr>
              <w:t>污水处</w:t>
            </w:r>
            <w:r>
              <w:rPr>
                <w:rFonts w:ascii="宋体" w:hAnsi="宋体" w:eastAsia="宋体" w:cs="宋体"/>
                <w:spacing w:val="-3"/>
                <w:sz w:val="21"/>
                <w:szCs w:val="21"/>
              </w:rPr>
              <w:t>理站</w:t>
            </w:r>
          </w:p>
        </w:tc>
        <w:tc>
          <w:tcPr>
            <w:tcW w:w="849" w:type="dxa"/>
            <w:vAlign w:val="top"/>
          </w:tcPr>
          <w:p w14:paraId="661455A1">
            <w:pPr>
              <w:spacing w:before="208" w:line="222" w:lineRule="auto"/>
              <w:ind w:left="220"/>
              <w:rPr>
                <w:rFonts w:ascii="宋体" w:hAnsi="宋体" w:eastAsia="宋体" w:cs="宋体"/>
                <w:sz w:val="21"/>
                <w:szCs w:val="21"/>
              </w:rPr>
            </w:pPr>
            <w:r>
              <w:rPr>
                <w:rFonts w:ascii="宋体" w:hAnsi="宋体" w:eastAsia="宋体" w:cs="宋体"/>
                <w:spacing w:val="-3"/>
                <w:sz w:val="21"/>
                <w:szCs w:val="21"/>
              </w:rPr>
              <w:t>污泥</w:t>
            </w:r>
          </w:p>
        </w:tc>
        <w:tc>
          <w:tcPr>
            <w:tcW w:w="989" w:type="dxa"/>
            <w:vAlign w:val="top"/>
          </w:tcPr>
          <w:p w14:paraId="69139058">
            <w:pPr>
              <w:spacing w:before="208"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6DB1C5EE">
            <w:pPr>
              <w:spacing w:before="208" w:line="220" w:lineRule="auto"/>
              <w:ind w:left="49"/>
              <w:rPr>
                <w:rFonts w:ascii="宋体" w:hAnsi="宋体" w:eastAsia="宋体" w:cs="宋体"/>
                <w:sz w:val="21"/>
                <w:szCs w:val="21"/>
              </w:rPr>
            </w:pPr>
            <w:r>
              <w:rPr>
                <w:rFonts w:ascii="宋体" w:hAnsi="宋体" w:eastAsia="宋体" w:cs="宋体"/>
                <w:spacing w:val="-3"/>
                <w:sz w:val="21"/>
                <w:szCs w:val="21"/>
              </w:rPr>
              <w:t>系数法</w:t>
            </w:r>
          </w:p>
        </w:tc>
        <w:tc>
          <w:tcPr>
            <w:tcW w:w="847" w:type="dxa"/>
            <w:vAlign w:val="top"/>
          </w:tcPr>
          <w:p w14:paraId="1AEDC336">
            <w:pPr>
              <w:pStyle w:val="6"/>
              <w:spacing w:before="245" w:line="188" w:lineRule="auto"/>
              <w:ind w:left="248"/>
            </w:pPr>
            <w:r>
              <w:rPr>
                <w:spacing w:val="-3"/>
              </w:rPr>
              <w:t>51.1</w:t>
            </w:r>
          </w:p>
        </w:tc>
        <w:tc>
          <w:tcPr>
            <w:tcW w:w="1133" w:type="dxa"/>
            <w:vAlign w:val="top"/>
          </w:tcPr>
          <w:p w14:paraId="67C31380">
            <w:pPr>
              <w:spacing w:before="208" w:line="220" w:lineRule="auto"/>
              <w:ind w:left="49"/>
              <w:rPr>
                <w:rFonts w:ascii="宋体" w:hAnsi="宋体" w:eastAsia="宋体" w:cs="宋体"/>
                <w:sz w:val="21"/>
                <w:szCs w:val="21"/>
              </w:rPr>
            </w:pPr>
            <w:r>
              <w:rPr>
                <w:rFonts w:ascii="宋体" w:hAnsi="宋体" w:eastAsia="宋体" w:cs="宋体"/>
                <w:spacing w:val="-2"/>
                <w:sz w:val="21"/>
                <w:szCs w:val="21"/>
              </w:rPr>
              <w:t>堆粪棚暂存</w:t>
            </w:r>
          </w:p>
        </w:tc>
        <w:tc>
          <w:tcPr>
            <w:tcW w:w="709" w:type="dxa"/>
            <w:vAlign w:val="top"/>
          </w:tcPr>
          <w:p w14:paraId="01864094">
            <w:pPr>
              <w:pStyle w:val="6"/>
              <w:spacing w:before="245" w:line="188" w:lineRule="auto"/>
              <w:ind w:left="180"/>
            </w:pPr>
            <w:r>
              <w:rPr>
                <w:spacing w:val="-3"/>
              </w:rPr>
              <w:t>51.1</w:t>
            </w:r>
          </w:p>
        </w:tc>
        <w:tc>
          <w:tcPr>
            <w:tcW w:w="1374" w:type="dxa"/>
            <w:vAlign w:val="top"/>
          </w:tcPr>
          <w:p w14:paraId="26810180">
            <w:pPr>
              <w:spacing w:before="208" w:line="219" w:lineRule="auto"/>
              <w:ind w:left="272"/>
              <w:rPr>
                <w:rFonts w:ascii="宋体" w:hAnsi="宋体" w:eastAsia="宋体" w:cs="宋体"/>
                <w:sz w:val="21"/>
                <w:szCs w:val="21"/>
              </w:rPr>
            </w:pPr>
            <w:r>
              <w:rPr>
                <w:rFonts w:ascii="宋体" w:hAnsi="宋体" w:eastAsia="宋体" w:cs="宋体"/>
                <w:spacing w:val="-2"/>
                <w:sz w:val="21"/>
                <w:szCs w:val="21"/>
              </w:rPr>
              <w:t>有机肥厂</w:t>
            </w:r>
          </w:p>
        </w:tc>
      </w:tr>
      <w:tr w14:paraId="092AE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5" w:type="dxa"/>
            <w:vAlign w:val="top"/>
          </w:tcPr>
          <w:p w14:paraId="25F18985">
            <w:pPr>
              <w:spacing w:before="67" w:line="221" w:lineRule="auto"/>
              <w:ind w:left="51"/>
              <w:rPr>
                <w:rFonts w:ascii="宋体" w:hAnsi="宋体" w:eastAsia="宋体" w:cs="宋体"/>
                <w:sz w:val="21"/>
                <w:szCs w:val="21"/>
              </w:rPr>
            </w:pPr>
            <w:r>
              <w:rPr>
                <w:rFonts w:ascii="宋体" w:hAnsi="宋体" w:eastAsia="宋体" w:cs="宋体"/>
                <w:spacing w:val="-3"/>
                <w:sz w:val="21"/>
                <w:szCs w:val="21"/>
              </w:rPr>
              <w:t>沼气脱硫</w:t>
            </w:r>
          </w:p>
        </w:tc>
        <w:tc>
          <w:tcPr>
            <w:tcW w:w="784" w:type="dxa"/>
            <w:vAlign w:val="top"/>
          </w:tcPr>
          <w:p w14:paraId="0DC79C78">
            <w:pPr>
              <w:spacing w:before="67" w:line="221" w:lineRule="auto"/>
              <w:ind w:left="81"/>
              <w:rPr>
                <w:rFonts w:ascii="宋体" w:hAnsi="宋体" w:eastAsia="宋体" w:cs="宋体"/>
                <w:sz w:val="21"/>
                <w:szCs w:val="21"/>
              </w:rPr>
            </w:pPr>
            <w:r>
              <w:rPr>
                <w:rFonts w:ascii="宋体" w:hAnsi="宋体" w:eastAsia="宋体" w:cs="宋体"/>
                <w:spacing w:val="-3"/>
                <w:sz w:val="21"/>
                <w:szCs w:val="21"/>
              </w:rPr>
              <w:t>脱硫塔</w:t>
            </w:r>
          </w:p>
        </w:tc>
        <w:tc>
          <w:tcPr>
            <w:tcW w:w="849" w:type="dxa"/>
            <w:vAlign w:val="top"/>
          </w:tcPr>
          <w:p w14:paraId="34E6602D">
            <w:pPr>
              <w:spacing w:before="67" w:line="219" w:lineRule="auto"/>
              <w:ind w:left="8"/>
              <w:rPr>
                <w:rFonts w:ascii="宋体" w:hAnsi="宋体" w:eastAsia="宋体" w:cs="宋体"/>
                <w:sz w:val="21"/>
                <w:szCs w:val="21"/>
              </w:rPr>
            </w:pPr>
            <w:r>
              <w:rPr>
                <w:rFonts w:ascii="宋体" w:hAnsi="宋体" w:eastAsia="宋体" w:cs="宋体"/>
                <w:spacing w:val="-2"/>
                <w:sz w:val="21"/>
                <w:szCs w:val="21"/>
              </w:rPr>
              <w:t>废脱硫剂</w:t>
            </w:r>
          </w:p>
        </w:tc>
        <w:tc>
          <w:tcPr>
            <w:tcW w:w="989" w:type="dxa"/>
            <w:vAlign w:val="top"/>
          </w:tcPr>
          <w:p w14:paraId="45956A69">
            <w:pPr>
              <w:spacing w:before="67"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73CD0358">
            <w:pPr>
              <w:spacing w:before="67" w:line="220" w:lineRule="auto"/>
              <w:ind w:left="49"/>
              <w:rPr>
                <w:rFonts w:ascii="宋体" w:hAnsi="宋体" w:eastAsia="宋体" w:cs="宋体"/>
                <w:sz w:val="21"/>
                <w:szCs w:val="21"/>
              </w:rPr>
            </w:pPr>
            <w:r>
              <w:rPr>
                <w:rFonts w:ascii="宋体" w:hAnsi="宋体" w:eastAsia="宋体" w:cs="宋体"/>
                <w:spacing w:val="-3"/>
                <w:sz w:val="21"/>
                <w:szCs w:val="21"/>
              </w:rPr>
              <w:t>系数法</w:t>
            </w:r>
          </w:p>
        </w:tc>
        <w:tc>
          <w:tcPr>
            <w:tcW w:w="847" w:type="dxa"/>
            <w:vAlign w:val="top"/>
          </w:tcPr>
          <w:p w14:paraId="6F38CA34">
            <w:pPr>
              <w:pStyle w:val="6"/>
              <w:spacing w:before="104" w:line="188" w:lineRule="auto"/>
              <w:ind w:left="299"/>
            </w:pPr>
            <w:r>
              <w:rPr>
                <w:spacing w:val="-2"/>
              </w:rPr>
              <w:t>5.2</w:t>
            </w:r>
          </w:p>
        </w:tc>
        <w:tc>
          <w:tcPr>
            <w:tcW w:w="1133" w:type="dxa"/>
            <w:vAlign w:val="top"/>
          </w:tcPr>
          <w:p w14:paraId="5F4FAFBD">
            <w:pPr>
              <w:spacing w:before="67" w:line="220" w:lineRule="auto"/>
              <w:ind w:left="157"/>
              <w:rPr>
                <w:rFonts w:ascii="宋体" w:hAnsi="宋体" w:eastAsia="宋体" w:cs="宋体"/>
                <w:sz w:val="21"/>
                <w:szCs w:val="21"/>
              </w:rPr>
            </w:pPr>
            <w:r>
              <w:rPr>
                <w:rFonts w:ascii="宋体" w:hAnsi="宋体" w:eastAsia="宋体" w:cs="宋体"/>
                <w:spacing w:val="-3"/>
                <w:sz w:val="21"/>
                <w:szCs w:val="21"/>
              </w:rPr>
              <w:t>定期更换</w:t>
            </w:r>
          </w:p>
        </w:tc>
        <w:tc>
          <w:tcPr>
            <w:tcW w:w="709" w:type="dxa"/>
            <w:vAlign w:val="top"/>
          </w:tcPr>
          <w:p w14:paraId="4A782C70">
            <w:pPr>
              <w:pStyle w:val="6"/>
              <w:spacing w:before="104" w:line="188" w:lineRule="auto"/>
              <w:ind w:left="232"/>
            </w:pPr>
            <w:r>
              <w:rPr>
                <w:spacing w:val="-2"/>
              </w:rPr>
              <w:t>5.2</w:t>
            </w:r>
          </w:p>
        </w:tc>
        <w:tc>
          <w:tcPr>
            <w:tcW w:w="1374" w:type="dxa"/>
            <w:vAlign w:val="top"/>
          </w:tcPr>
          <w:p w14:paraId="27F27D7B">
            <w:pPr>
              <w:spacing w:before="67" w:line="220" w:lineRule="auto"/>
              <w:ind w:left="274"/>
              <w:rPr>
                <w:rFonts w:ascii="宋体" w:hAnsi="宋体" w:eastAsia="宋体" w:cs="宋体"/>
                <w:sz w:val="21"/>
                <w:szCs w:val="21"/>
              </w:rPr>
            </w:pPr>
            <w:r>
              <w:rPr>
                <w:rFonts w:ascii="宋体" w:hAnsi="宋体" w:eastAsia="宋体" w:cs="宋体"/>
                <w:spacing w:val="-3"/>
                <w:sz w:val="21"/>
                <w:szCs w:val="21"/>
              </w:rPr>
              <w:t>厂商回收</w:t>
            </w:r>
          </w:p>
        </w:tc>
      </w:tr>
      <w:tr w14:paraId="2C87D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25" w:type="dxa"/>
            <w:vAlign w:val="top"/>
          </w:tcPr>
          <w:p w14:paraId="4AF64A05">
            <w:pPr>
              <w:spacing w:before="67" w:line="220" w:lineRule="auto"/>
              <w:ind w:left="51"/>
              <w:rPr>
                <w:rFonts w:ascii="宋体" w:hAnsi="宋体" w:eastAsia="宋体" w:cs="宋体"/>
                <w:sz w:val="21"/>
                <w:szCs w:val="21"/>
              </w:rPr>
            </w:pPr>
            <w:r>
              <w:rPr>
                <w:rFonts w:ascii="宋体" w:hAnsi="宋体" w:eastAsia="宋体" w:cs="宋体"/>
                <w:spacing w:val="-3"/>
                <w:sz w:val="21"/>
                <w:szCs w:val="21"/>
              </w:rPr>
              <w:t>办公生活</w:t>
            </w:r>
          </w:p>
        </w:tc>
        <w:tc>
          <w:tcPr>
            <w:tcW w:w="784" w:type="dxa"/>
            <w:vAlign w:val="top"/>
          </w:tcPr>
          <w:p w14:paraId="3CD24D47">
            <w:pPr>
              <w:spacing w:before="68" w:line="220" w:lineRule="auto"/>
              <w:ind w:left="81"/>
              <w:rPr>
                <w:rFonts w:ascii="宋体" w:hAnsi="宋体" w:eastAsia="宋体" w:cs="宋体"/>
                <w:sz w:val="21"/>
                <w:szCs w:val="21"/>
              </w:rPr>
            </w:pPr>
            <w:r>
              <w:rPr>
                <w:rFonts w:ascii="宋体" w:hAnsi="宋体" w:eastAsia="宋体" w:cs="宋体"/>
                <w:spacing w:val="-3"/>
                <w:sz w:val="21"/>
                <w:szCs w:val="21"/>
              </w:rPr>
              <w:t>生活区</w:t>
            </w:r>
          </w:p>
        </w:tc>
        <w:tc>
          <w:tcPr>
            <w:tcW w:w="849" w:type="dxa"/>
            <w:vAlign w:val="top"/>
          </w:tcPr>
          <w:p w14:paraId="1B99D394">
            <w:pPr>
              <w:spacing w:before="68" w:line="220" w:lineRule="auto"/>
              <w:jc w:val="right"/>
              <w:rPr>
                <w:rFonts w:ascii="宋体" w:hAnsi="宋体" w:eastAsia="宋体" w:cs="宋体"/>
                <w:sz w:val="21"/>
                <w:szCs w:val="21"/>
              </w:rPr>
            </w:pPr>
            <w:r>
              <w:rPr>
                <w:rFonts w:ascii="宋体" w:hAnsi="宋体" w:eastAsia="宋体" w:cs="宋体"/>
                <w:spacing w:val="-2"/>
                <w:sz w:val="21"/>
                <w:szCs w:val="21"/>
              </w:rPr>
              <w:t>生活垃圾</w:t>
            </w:r>
          </w:p>
        </w:tc>
        <w:tc>
          <w:tcPr>
            <w:tcW w:w="989" w:type="dxa"/>
            <w:vAlign w:val="top"/>
          </w:tcPr>
          <w:p w14:paraId="3B23EFF7">
            <w:pPr>
              <w:spacing w:before="68"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1CB5B5CA">
            <w:pPr>
              <w:spacing w:before="67" w:line="220" w:lineRule="auto"/>
              <w:ind w:left="49"/>
              <w:rPr>
                <w:rFonts w:ascii="宋体" w:hAnsi="宋体" w:eastAsia="宋体" w:cs="宋体"/>
                <w:sz w:val="21"/>
                <w:szCs w:val="21"/>
              </w:rPr>
            </w:pPr>
            <w:r>
              <w:rPr>
                <w:rFonts w:ascii="宋体" w:hAnsi="宋体" w:eastAsia="宋体" w:cs="宋体"/>
                <w:spacing w:val="-3"/>
                <w:sz w:val="21"/>
                <w:szCs w:val="21"/>
              </w:rPr>
              <w:t>系数法</w:t>
            </w:r>
          </w:p>
        </w:tc>
        <w:tc>
          <w:tcPr>
            <w:tcW w:w="847" w:type="dxa"/>
            <w:vAlign w:val="top"/>
          </w:tcPr>
          <w:p w14:paraId="5033C30F">
            <w:pPr>
              <w:pStyle w:val="6"/>
              <w:spacing w:before="104" w:line="188" w:lineRule="auto"/>
              <w:ind w:left="209"/>
            </w:pPr>
            <w:r>
              <w:rPr>
                <w:spacing w:val="-5"/>
              </w:rPr>
              <w:t>10.95</w:t>
            </w:r>
          </w:p>
        </w:tc>
        <w:tc>
          <w:tcPr>
            <w:tcW w:w="1133" w:type="dxa"/>
            <w:vAlign w:val="top"/>
          </w:tcPr>
          <w:p w14:paraId="2AE509BC">
            <w:pPr>
              <w:spacing w:before="67" w:line="220" w:lineRule="auto"/>
              <w:ind w:left="157"/>
              <w:rPr>
                <w:rFonts w:ascii="宋体" w:hAnsi="宋体" w:eastAsia="宋体" w:cs="宋体"/>
                <w:sz w:val="21"/>
                <w:szCs w:val="21"/>
              </w:rPr>
            </w:pPr>
            <w:r>
              <w:rPr>
                <w:rFonts w:ascii="宋体" w:hAnsi="宋体" w:eastAsia="宋体" w:cs="宋体"/>
                <w:spacing w:val="-4"/>
                <w:sz w:val="21"/>
                <w:szCs w:val="21"/>
              </w:rPr>
              <w:t>统一收集</w:t>
            </w:r>
          </w:p>
        </w:tc>
        <w:tc>
          <w:tcPr>
            <w:tcW w:w="709" w:type="dxa"/>
            <w:vAlign w:val="top"/>
          </w:tcPr>
          <w:p w14:paraId="0D88BC8B">
            <w:pPr>
              <w:pStyle w:val="6"/>
              <w:spacing w:before="104" w:line="188" w:lineRule="auto"/>
              <w:ind w:left="142"/>
            </w:pPr>
            <w:r>
              <w:rPr>
                <w:spacing w:val="-5"/>
              </w:rPr>
              <w:t>10.95</w:t>
            </w:r>
          </w:p>
        </w:tc>
        <w:tc>
          <w:tcPr>
            <w:tcW w:w="1374" w:type="dxa"/>
            <w:vAlign w:val="top"/>
          </w:tcPr>
          <w:p w14:paraId="417FC1D2">
            <w:pPr>
              <w:spacing w:before="67" w:line="220" w:lineRule="auto"/>
              <w:ind w:left="61"/>
              <w:rPr>
                <w:rFonts w:ascii="宋体" w:hAnsi="宋体" w:eastAsia="宋体" w:cs="宋体"/>
                <w:sz w:val="21"/>
                <w:szCs w:val="21"/>
              </w:rPr>
            </w:pPr>
            <w:r>
              <w:rPr>
                <w:rFonts w:ascii="宋体" w:hAnsi="宋体" w:eastAsia="宋体" w:cs="宋体"/>
                <w:spacing w:val="-2"/>
                <w:sz w:val="21"/>
                <w:szCs w:val="21"/>
              </w:rPr>
              <w:t>环卫部门清运</w:t>
            </w:r>
          </w:p>
        </w:tc>
      </w:tr>
      <w:tr w14:paraId="21561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Align w:val="top"/>
          </w:tcPr>
          <w:p w14:paraId="5D6B8B78">
            <w:pPr>
              <w:spacing w:line="296" w:lineRule="auto"/>
              <w:rPr>
                <w:rFonts w:ascii="Arial"/>
                <w:sz w:val="21"/>
              </w:rPr>
            </w:pPr>
          </w:p>
          <w:p w14:paraId="6D352A93">
            <w:pPr>
              <w:spacing w:before="68" w:line="220" w:lineRule="auto"/>
              <w:ind w:left="48"/>
              <w:rPr>
                <w:rFonts w:ascii="宋体" w:hAnsi="宋体" w:eastAsia="宋体" w:cs="宋体"/>
                <w:sz w:val="21"/>
                <w:szCs w:val="21"/>
              </w:rPr>
            </w:pPr>
            <w:r>
              <w:rPr>
                <w:rFonts w:ascii="宋体" w:hAnsi="宋体" w:eastAsia="宋体" w:cs="宋体"/>
                <w:spacing w:val="-2"/>
                <w:sz w:val="21"/>
                <w:szCs w:val="21"/>
              </w:rPr>
              <w:t>动物诊疗</w:t>
            </w:r>
          </w:p>
        </w:tc>
        <w:tc>
          <w:tcPr>
            <w:tcW w:w="784" w:type="dxa"/>
            <w:vAlign w:val="top"/>
          </w:tcPr>
          <w:p w14:paraId="56A26559">
            <w:pPr>
              <w:spacing w:line="296" w:lineRule="auto"/>
              <w:rPr>
                <w:rFonts w:ascii="Arial"/>
                <w:sz w:val="21"/>
              </w:rPr>
            </w:pPr>
          </w:p>
          <w:p w14:paraId="2D1BFA22">
            <w:pPr>
              <w:spacing w:before="68" w:line="220" w:lineRule="auto"/>
              <w:ind w:left="185"/>
              <w:rPr>
                <w:rFonts w:ascii="宋体" w:hAnsi="宋体" w:eastAsia="宋体" w:cs="宋体"/>
                <w:sz w:val="21"/>
                <w:szCs w:val="21"/>
              </w:rPr>
            </w:pPr>
            <w:r>
              <w:rPr>
                <w:rFonts w:ascii="宋体" w:hAnsi="宋体" w:eastAsia="宋体" w:cs="宋体"/>
                <w:spacing w:val="-3"/>
                <w:sz w:val="21"/>
                <w:szCs w:val="21"/>
              </w:rPr>
              <w:t>猪舍</w:t>
            </w:r>
          </w:p>
        </w:tc>
        <w:tc>
          <w:tcPr>
            <w:tcW w:w="849" w:type="dxa"/>
            <w:vAlign w:val="top"/>
          </w:tcPr>
          <w:p w14:paraId="79B33B72">
            <w:pPr>
              <w:spacing w:before="210" w:line="277" w:lineRule="auto"/>
              <w:ind w:left="322" w:right="3" w:hanging="313"/>
              <w:rPr>
                <w:rFonts w:ascii="宋体" w:hAnsi="宋体" w:eastAsia="宋体" w:cs="宋体"/>
                <w:sz w:val="21"/>
                <w:szCs w:val="21"/>
              </w:rPr>
            </w:pPr>
            <w:r>
              <w:rPr>
                <w:rFonts w:ascii="宋体" w:hAnsi="宋体" w:eastAsia="宋体" w:cs="宋体"/>
                <w:spacing w:val="-3"/>
                <w:sz w:val="21"/>
                <w:szCs w:val="21"/>
              </w:rPr>
              <w:t>诊疗废弃</w:t>
            </w:r>
            <w:r>
              <w:rPr>
                <w:rFonts w:ascii="宋体" w:hAnsi="宋体" w:eastAsia="宋体" w:cs="宋体"/>
                <w:sz w:val="21"/>
                <w:szCs w:val="21"/>
              </w:rPr>
              <w:t>物</w:t>
            </w:r>
          </w:p>
        </w:tc>
        <w:tc>
          <w:tcPr>
            <w:tcW w:w="989" w:type="dxa"/>
            <w:vAlign w:val="top"/>
          </w:tcPr>
          <w:p w14:paraId="7561AD4F">
            <w:pPr>
              <w:spacing w:line="296" w:lineRule="auto"/>
              <w:rPr>
                <w:rFonts w:ascii="Arial"/>
                <w:sz w:val="21"/>
              </w:rPr>
            </w:pPr>
          </w:p>
          <w:p w14:paraId="112F747B">
            <w:pPr>
              <w:spacing w:before="68" w:line="220" w:lineRule="auto"/>
              <w:ind w:left="82"/>
              <w:rPr>
                <w:rFonts w:ascii="宋体" w:hAnsi="宋体" w:eastAsia="宋体" w:cs="宋体"/>
                <w:sz w:val="21"/>
                <w:szCs w:val="21"/>
              </w:rPr>
            </w:pPr>
            <w:r>
              <w:rPr>
                <w:rFonts w:ascii="宋体" w:hAnsi="宋体" w:eastAsia="宋体" w:cs="宋体"/>
                <w:spacing w:val="-3"/>
                <w:sz w:val="21"/>
                <w:szCs w:val="21"/>
              </w:rPr>
              <w:t>一般固废</w:t>
            </w:r>
          </w:p>
        </w:tc>
        <w:tc>
          <w:tcPr>
            <w:tcW w:w="710" w:type="dxa"/>
            <w:vAlign w:val="top"/>
          </w:tcPr>
          <w:p w14:paraId="1AC1E1EE">
            <w:pPr>
              <w:spacing w:line="295" w:lineRule="auto"/>
              <w:rPr>
                <w:rFonts w:ascii="Arial"/>
                <w:sz w:val="21"/>
              </w:rPr>
            </w:pPr>
          </w:p>
          <w:p w14:paraId="1E5E9254">
            <w:pPr>
              <w:spacing w:before="68" w:line="220" w:lineRule="auto"/>
              <w:ind w:left="149"/>
              <w:rPr>
                <w:rFonts w:ascii="宋体" w:hAnsi="宋体" w:eastAsia="宋体" w:cs="宋体"/>
                <w:sz w:val="21"/>
                <w:szCs w:val="21"/>
              </w:rPr>
            </w:pPr>
            <w:r>
              <w:rPr>
                <w:rFonts w:ascii="宋体" w:hAnsi="宋体" w:eastAsia="宋体" w:cs="宋体"/>
                <w:spacing w:val="-3"/>
                <w:sz w:val="21"/>
                <w:szCs w:val="21"/>
              </w:rPr>
              <w:t>类比</w:t>
            </w:r>
          </w:p>
        </w:tc>
        <w:tc>
          <w:tcPr>
            <w:tcW w:w="847" w:type="dxa"/>
            <w:vAlign w:val="top"/>
          </w:tcPr>
          <w:p w14:paraId="3A480719">
            <w:pPr>
              <w:spacing w:line="340" w:lineRule="auto"/>
              <w:rPr>
                <w:rFonts w:ascii="Arial"/>
                <w:sz w:val="21"/>
              </w:rPr>
            </w:pPr>
          </w:p>
          <w:p w14:paraId="202FFEA4">
            <w:pPr>
              <w:pStyle w:val="6"/>
              <w:spacing w:before="60" w:line="188" w:lineRule="auto"/>
              <w:ind w:left="293"/>
            </w:pPr>
            <w:r>
              <w:rPr>
                <w:spacing w:val="-1"/>
              </w:rPr>
              <w:t>2.0</w:t>
            </w:r>
          </w:p>
        </w:tc>
        <w:tc>
          <w:tcPr>
            <w:tcW w:w="1133" w:type="dxa"/>
            <w:vAlign w:val="top"/>
          </w:tcPr>
          <w:p w14:paraId="04AE1FCC">
            <w:pPr>
              <w:spacing w:line="295" w:lineRule="auto"/>
              <w:rPr>
                <w:rFonts w:ascii="Arial"/>
                <w:sz w:val="21"/>
              </w:rPr>
            </w:pPr>
          </w:p>
          <w:p w14:paraId="674F2E27">
            <w:pPr>
              <w:spacing w:before="68" w:line="220" w:lineRule="auto"/>
              <w:ind w:left="157"/>
              <w:rPr>
                <w:rFonts w:ascii="宋体" w:hAnsi="宋体" w:eastAsia="宋体" w:cs="宋体"/>
                <w:sz w:val="21"/>
                <w:szCs w:val="21"/>
              </w:rPr>
            </w:pPr>
            <w:r>
              <w:rPr>
                <w:rFonts w:ascii="宋体" w:hAnsi="宋体" w:eastAsia="宋体" w:cs="宋体"/>
                <w:spacing w:val="-4"/>
                <w:sz w:val="21"/>
                <w:szCs w:val="21"/>
              </w:rPr>
              <w:t>统一收集</w:t>
            </w:r>
          </w:p>
        </w:tc>
        <w:tc>
          <w:tcPr>
            <w:tcW w:w="709" w:type="dxa"/>
            <w:vAlign w:val="top"/>
          </w:tcPr>
          <w:p w14:paraId="627A3BC0">
            <w:pPr>
              <w:spacing w:line="340" w:lineRule="auto"/>
              <w:rPr>
                <w:rFonts w:ascii="Arial"/>
                <w:sz w:val="21"/>
              </w:rPr>
            </w:pPr>
          </w:p>
          <w:p w14:paraId="67342CFC">
            <w:pPr>
              <w:pStyle w:val="6"/>
              <w:spacing w:before="60" w:line="188" w:lineRule="auto"/>
              <w:ind w:left="226"/>
            </w:pPr>
            <w:r>
              <w:rPr>
                <w:spacing w:val="-1"/>
              </w:rPr>
              <w:t>2.0</w:t>
            </w:r>
          </w:p>
        </w:tc>
        <w:tc>
          <w:tcPr>
            <w:tcW w:w="1374" w:type="dxa"/>
            <w:vAlign w:val="top"/>
          </w:tcPr>
          <w:p w14:paraId="7CCEFCB6">
            <w:pPr>
              <w:spacing w:before="53" w:line="220" w:lineRule="auto"/>
              <w:ind w:left="63"/>
              <w:rPr>
                <w:rFonts w:ascii="宋体" w:hAnsi="宋体" w:eastAsia="宋体" w:cs="宋体"/>
                <w:sz w:val="21"/>
                <w:szCs w:val="21"/>
              </w:rPr>
            </w:pPr>
            <w:r>
              <w:rPr>
                <w:rFonts w:ascii="宋体" w:hAnsi="宋体" w:eastAsia="宋体" w:cs="宋体"/>
                <w:spacing w:val="-2"/>
                <w:sz w:val="21"/>
                <w:szCs w:val="21"/>
              </w:rPr>
              <w:t>按畜牧兽医主</w:t>
            </w:r>
          </w:p>
          <w:p w14:paraId="32DC1683">
            <w:pPr>
              <w:spacing w:before="61" w:line="220" w:lineRule="auto"/>
              <w:ind w:left="66"/>
              <w:rPr>
                <w:rFonts w:ascii="宋体" w:hAnsi="宋体" w:eastAsia="宋体" w:cs="宋体"/>
                <w:sz w:val="21"/>
                <w:szCs w:val="21"/>
              </w:rPr>
            </w:pPr>
            <w:r>
              <w:rPr>
                <w:rFonts w:ascii="宋体" w:hAnsi="宋体" w:eastAsia="宋体" w:cs="宋体"/>
                <w:spacing w:val="-2"/>
                <w:sz w:val="21"/>
                <w:szCs w:val="21"/>
              </w:rPr>
              <w:t>管部门规定处</w:t>
            </w:r>
          </w:p>
          <w:p w14:paraId="6F029AF1">
            <w:pPr>
              <w:spacing w:before="61" w:line="222" w:lineRule="auto"/>
              <w:ind w:left="585"/>
              <w:rPr>
                <w:rFonts w:ascii="宋体" w:hAnsi="宋体" w:eastAsia="宋体" w:cs="宋体"/>
                <w:sz w:val="21"/>
                <w:szCs w:val="21"/>
              </w:rPr>
            </w:pPr>
            <w:r>
              <w:rPr>
                <w:rFonts w:ascii="宋体" w:hAnsi="宋体" w:eastAsia="宋体" w:cs="宋体"/>
                <w:sz w:val="21"/>
                <w:szCs w:val="21"/>
              </w:rPr>
              <w:t>置</w:t>
            </w:r>
          </w:p>
        </w:tc>
      </w:tr>
      <w:tr w14:paraId="22098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925" w:type="dxa"/>
            <w:vAlign w:val="top"/>
          </w:tcPr>
          <w:p w14:paraId="13BAE68A">
            <w:pPr>
              <w:spacing w:before="210" w:line="220" w:lineRule="auto"/>
              <w:ind w:left="50"/>
              <w:rPr>
                <w:rFonts w:ascii="宋体" w:hAnsi="宋体" w:eastAsia="宋体" w:cs="宋体"/>
                <w:sz w:val="21"/>
                <w:szCs w:val="21"/>
              </w:rPr>
            </w:pPr>
            <w:r>
              <w:rPr>
                <w:rFonts w:ascii="宋体" w:hAnsi="宋体" w:eastAsia="宋体" w:cs="宋体"/>
                <w:spacing w:val="-3"/>
                <w:sz w:val="21"/>
                <w:szCs w:val="21"/>
              </w:rPr>
              <w:t>设备维护</w:t>
            </w:r>
          </w:p>
        </w:tc>
        <w:tc>
          <w:tcPr>
            <w:tcW w:w="784" w:type="dxa"/>
            <w:vAlign w:val="top"/>
          </w:tcPr>
          <w:p w14:paraId="74F694D1">
            <w:pPr>
              <w:spacing w:before="55" w:line="250" w:lineRule="auto"/>
              <w:ind w:left="292" w:right="76" w:hanging="213"/>
              <w:rPr>
                <w:rFonts w:ascii="宋体" w:hAnsi="宋体" w:eastAsia="宋体" w:cs="宋体"/>
                <w:sz w:val="21"/>
                <w:szCs w:val="21"/>
              </w:rPr>
            </w:pPr>
            <w:r>
              <w:rPr>
                <w:rFonts w:ascii="宋体" w:hAnsi="宋体" w:eastAsia="宋体" w:cs="宋体"/>
                <w:spacing w:val="-3"/>
                <w:sz w:val="21"/>
                <w:szCs w:val="21"/>
              </w:rPr>
              <w:t>机械设</w:t>
            </w:r>
            <w:r>
              <w:rPr>
                <w:rFonts w:ascii="宋体" w:hAnsi="宋体" w:eastAsia="宋体" w:cs="宋体"/>
                <w:sz w:val="21"/>
                <w:szCs w:val="21"/>
              </w:rPr>
              <w:t>备</w:t>
            </w:r>
          </w:p>
        </w:tc>
        <w:tc>
          <w:tcPr>
            <w:tcW w:w="849" w:type="dxa"/>
            <w:vAlign w:val="top"/>
          </w:tcPr>
          <w:p w14:paraId="4BEAD62C">
            <w:pPr>
              <w:spacing w:before="210" w:line="220" w:lineRule="auto"/>
              <w:ind w:left="8"/>
              <w:rPr>
                <w:rFonts w:ascii="宋体" w:hAnsi="宋体" w:eastAsia="宋体" w:cs="宋体"/>
                <w:sz w:val="21"/>
                <w:szCs w:val="21"/>
              </w:rPr>
            </w:pPr>
            <w:r>
              <w:rPr>
                <w:rFonts w:ascii="宋体" w:hAnsi="宋体" w:eastAsia="宋体" w:cs="宋体"/>
                <w:spacing w:val="-2"/>
                <w:sz w:val="21"/>
                <w:szCs w:val="21"/>
              </w:rPr>
              <w:t>废矿物油</w:t>
            </w:r>
          </w:p>
        </w:tc>
        <w:tc>
          <w:tcPr>
            <w:tcW w:w="989" w:type="dxa"/>
            <w:vAlign w:val="top"/>
          </w:tcPr>
          <w:p w14:paraId="008D5999">
            <w:pPr>
              <w:spacing w:before="210" w:line="220" w:lineRule="auto"/>
              <w:ind w:left="81"/>
              <w:rPr>
                <w:rFonts w:ascii="宋体" w:hAnsi="宋体" w:eastAsia="宋体" w:cs="宋体"/>
                <w:sz w:val="21"/>
                <w:szCs w:val="21"/>
              </w:rPr>
            </w:pPr>
            <w:r>
              <w:rPr>
                <w:rFonts w:ascii="宋体" w:hAnsi="宋体" w:eastAsia="宋体" w:cs="宋体"/>
                <w:spacing w:val="-3"/>
                <w:sz w:val="21"/>
                <w:szCs w:val="21"/>
              </w:rPr>
              <w:t>危险废物</w:t>
            </w:r>
          </w:p>
        </w:tc>
        <w:tc>
          <w:tcPr>
            <w:tcW w:w="710" w:type="dxa"/>
            <w:vAlign w:val="top"/>
          </w:tcPr>
          <w:p w14:paraId="1EF54E1F">
            <w:pPr>
              <w:spacing w:before="210" w:line="220" w:lineRule="auto"/>
              <w:ind w:left="149"/>
              <w:rPr>
                <w:rFonts w:ascii="宋体" w:hAnsi="宋体" w:eastAsia="宋体" w:cs="宋体"/>
                <w:sz w:val="21"/>
                <w:szCs w:val="21"/>
              </w:rPr>
            </w:pPr>
            <w:r>
              <w:rPr>
                <w:rFonts w:ascii="宋体" w:hAnsi="宋体" w:eastAsia="宋体" w:cs="宋体"/>
                <w:spacing w:val="-3"/>
                <w:sz w:val="21"/>
                <w:szCs w:val="21"/>
              </w:rPr>
              <w:t>类比</w:t>
            </w:r>
          </w:p>
        </w:tc>
        <w:tc>
          <w:tcPr>
            <w:tcW w:w="847" w:type="dxa"/>
            <w:vAlign w:val="top"/>
          </w:tcPr>
          <w:p w14:paraId="1BBCDAAD">
            <w:pPr>
              <w:pStyle w:val="6"/>
              <w:spacing w:before="247" w:line="188" w:lineRule="auto"/>
              <w:ind w:left="297"/>
            </w:pPr>
            <w:r>
              <w:rPr>
                <w:spacing w:val="-2"/>
              </w:rPr>
              <w:t>0.1</w:t>
            </w:r>
          </w:p>
        </w:tc>
        <w:tc>
          <w:tcPr>
            <w:tcW w:w="1133" w:type="dxa"/>
            <w:vAlign w:val="top"/>
          </w:tcPr>
          <w:p w14:paraId="58BF4626">
            <w:pPr>
              <w:spacing w:before="210" w:line="220" w:lineRule="auto"/>
              <w:ind w:left="157"/>
              <w:rPr>
                <w:rFonts w:ascii="宋体" w:hAnsi="宋体" w:eastAsia="宋体" w:cs="宋体"/>
                <w:sz w:val="21"/>
                <w:szCs w:val="21"/>
              </w:rPr>
            </w:pPr>
            <w:r>
              <w:rPr>
                <w:rFonts w:ascii="宋体" w:hAnsi="宋体" w:eastAsia="宋体" w:cs="宋体"/>
                <w:spacing w:val="-4"/>
                <w:sz w:val="21"/>
                <w:szCs w:val="21"/>
              </w:rPr>
              <w:t>统一收集</w:t>
            </w:r>
          </w:p>
        </w:tc>
        <w:tc>
          <w:tcPr>
            <w:tcW w:w="709" w:type="dxa"/>
            <w:vAlign w:val="top"/>
          </w:tcPr>
          <w:p w14:paraId="06FD38A6">
            <w:pPr>
              <w:pStyle w:val="6"/>
              <w:spacing w:before="247" w:line="188" w:lineRule="auto"/>
              <w:ind w:left="229"/>
            </w:pPr>
            <w:r>
              <w:rPr>
                <w:spacing w:val="-2"/>
              </w:rPr>
              <w:t>0.1</w:t>
            </w:r>
          </w:p>
        </w:tc>
        <w:tc>
          <w:tcPr>
            <w:tcW w:w="1374" w:type="dxa"/>
            <w:vAlign w:val="top"/>
          </w:tcPr>
          <w:p w14:paraId="629CF062">
            <w:pPr>
              <w:spacing w:before="210" w:line="220" w:lineRule="auto"/>
              <w:ind w:left="168"/>
              <w:rPr>
                <w:rFonts w:ascii="宋体" w:hAnsi="宋体" w:eastAsia="宋体" w:cs="宋体"/>
                <w:sz w:val="21"/>
                <w:szCs w:val="21"/>
              </w:rPr>
            </w:pPr>
            <w:r>
              <w:rPr>
                <w:rFonts w:ascii="宋体" w:hAnsi="宋体" w:eastAsia="宋体" w:cs="宋体"/>
                <w:spacing w:val="-2"/>
                <w:sz w:val="21"/>
                <w:szCs w:val="21"/>
              </w:rPr>
              <w:t>有资质单位</w:t>
            </w:r>
          </w:p>
        </w:tc>
      </w:tr>
    </w:tbl>
    <w:p w14:paraId="2E8F714F">
      <w:pPr>
        <w:spacing w:before="29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2.2.4.5 </w:t>
      </w:r>
      <w:r>
        <w:rPr>
          <w:rFonts w:ascii="宋体" w:hAnsi="宋体" w:eastAsia="宋体" w:cs="宋体"/>
          <w:b/>
          <w:bCs/>
          <w:spacing w:val="5"/>
          <w:sz w:val="27"/>
          <w:szCs w:val="27"/>
        </w:rPr>
        <w:t>地下水保护及防渗措施</w:t>
      </w:r>
    </w:p>
    <w:p w14:paraId="26469CD5">
      <w:pPr>
        <w:spacing w:before="236"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）基本要求</w:t>
      </w:r>
    </w:p>
    <w:p w14:paraId="76FD9C00">
      <w:pPr>
        <w:spacing w:before="183" w:line="360" w:lineRule="auto"/>
        <w:ind w:left="44" w:right="29" w:firstLine="474"/>
        <w:rPr>
          <w:rFonts w:ascii="宋体" w:hAnsi="宋体" w:eastAsia="宋体" w:cs="宋体"/>
          <w:sz w:val="24"/>
          <w:szCs w:val="24"/>
        </w:rPr>
      </w:pPr>
      <w:r>
        <w:rPr>
          <w:rFonts w:ascii="宋体" w:hAnsi="宋体" w:eastAsia="宋体" w:cs="宋体"/>
          <w:spacing w:val="-3"/>
          <w:sz w:val="24"/>
          <w:szCs w:val="24"/>
        </w:rPr>
        <w:t>①地下水保护措施与对策应符合《中华人民共和国水污染防治法》</w:t>
      </w:r>
      <w:r>
        <w:rPr>
          <w:rFonts w:ascii="宋体" w:hAnsi="宋体" w:eastAsia="宋体" w:cs="宋体"/>
          <w:spacing w:val="-4"/>
          <w:sz w:val="24"/>
          <w:szCs w:val="24"/>
        </w:rPr>
        <w:t>的相关规</w:t>
      </w:r>
      <w:r>
        <w:rPr>
          <w:rFonts w:ascii="宋体" w:hAnsi="宋体" w:eastAsia="宋体" w:cs="宋体"/>
          <w:spacing w:val="-3"/>
          <w:sz w:val="24"/>
          <w:szCs w:val="24"/>
        </w:rPr>
        <w:t>定，按照“源头控制，分区防治，污染监控，应急响应”、突出饮</w:t>
      </w:r>
      <w:r>
        <w:rPr>
          <w:rFonts w:ascii="宋体" w:hAnsi="宋体" w:eastAsia="宋体" w:cs="宋体"/>
          <w:spacing w:val="-4"/>
          <w:sz w:val="24"/>
          <w:szCs w:val="24"/>
        </w:rPr>
        <w:t>用水安全的原</w:t>
      </w:r>
      <w:r>
        <w:rPr>
          <w:rFonts w:ascii="宋体" w:hAnsi="宋体" w:eastAsia="宋体" w:cs="宋体"/>
          <w:spacing w:val="-10"/>
          <w:sz w:val="24"/>
          <w:szCs w:val="24"/>
        </w:rPr>
        <w:t>则确定。</w:t>
      </w:r>
    </w:p>
    <w:p w14:paraId="6E0EA535">
      <w:pPr>
        <w:spacing w:line="360" w:lineRule="auto"/>
        <w:ind w:left="40" w:right="29" w:firstLine="477"/>
        <w:rPr>
          <w:rFonts w:ascii="宋体" w:hAnsi="宋体" w:eastAsia="宋体" w:cs="宋体"/>
          <w:sz w:val="24"/>
          <w:szCs w:val="24"/>
        </w:rPr>
      </w:pPr>
      <w:r>
        <w:rPr>
          <w:rFonts w:ascii="宋体" w:hAnsi="宋体" w:eastAsia="宋体" w:cs="宋体"/>
          <w:spacing w:val="-3"/>
          <w:sz w:val="24"/>
          <w:szCs w:val="24"/>
        </w:rPr>
        <w:t>②地下水环境环保对策措施建议应根据建设项目特点、调查评价区</w:t>
      </w:r>
      <w:r>
        <w:rPr>
          <w:rFonts w:ascii="宋体" w:hAnsi="宋体" w:eastAsia="宋体" w:cs="宋体"/>
          <w:spacing w:val="-4"/>
          <w:sz w:val="24"/>
          <w:szCs w:val="24"/>
        </w:rPr>
        <w:t>和场地环</w:t>
      </w:r>
      <w:r>
        <w:rPr>
          <w:rFonts w:ascii="宋体" w:hAnsi="宋体" w:eastAsia="宋体" w:cs="宋体"/>
          <w:spacing w:val="-3"/>
          <w:sz w:val="24"/>
          <w:szCs w:val="24"/>
        </w:rPr>
        <w:t>境水文地质条件，在建设项目前期设计提出的污染防控措施基础上，根据环境影</w:t>
      </w:r>
      <w:r>
        <w:rPr>
          <w:rFonts w:ascii="宋体" w:hAnsi="宋体" w:eastAsia="宋体" w:cs="宋体"/>
          <w:spacing w:val="-1"/>
          <w:sz w:val="24"/>
          <w:szCs w:val="24"/>
        </w:rPr>
        <w:t>响预测与评价结果，提出需要增加或完善的</w:t>
      </w:r>
      <w:r>
        <w:rPr>
          <w:rFonts w:ascii="宋体" w:hAnsi="宋体" w:eastAsia="宋体" w:cs="宋体"/>
          <w:spacing w:val="-2"/>
          <w:sz w:val="24"/>
          <w:szCs w:val="24"/>
        </w:rPr>
        <w:t>地下水环境保护措施和对策。</w:t>
      </w:r>
    </w:p>
    <w:p w14:paraId="50B55AB4">
      <w:pPr>
        <w:spacing w:line="360" w:lineRule="auto"/>
        <w:ind w:left="38" w:right="29" w:firstLine="479"/>
        <w:rPr>
          <w:rFonts w:ascii="宋体" w:hAnsi="宋体" w:eastAsia="宋体" w:cs="宋体"/>
          <w:sz w:val="24"/>
          <w:szCs w:val="24"/>
        </w:rPr>
      </w:pPr>
      <w:r>
        <w:rPr>
          <w:rFonts w:ascii="宋体" w:hAnsi="宋体" w:eastAsia="宋体" w:cs="宋体"/>
          <w:spacing w:val="-3"/>
          <w:sz w:val="24"/>
          <w:szCs w:val="24"/>
        </w:rPr>
        <w:t>③给出各项地下水环境保护措施与对策的实施效果，列表给出初步</w:t>
      </w:r>
      <w:r>
        <w:rPr>
          <w:rFonts w:ascii="宋体" w:hAnsi="宋体" w:eastAsia="宋体" w:cs="宋体"/>
          <w:spacing w:val="-4"/>
          <w:sz w:val="24"/>
          <w:szCs w:val="24"/>
        </w:rPr>
        <w:t>估算各措</w:t>
      </w:r>
      <w:r>
        <w:rPr>
          <w:rFonts w:ascii="宋体" w:hAnsi="宋体" w:eastAsia="宋体" w:cs="宋体"/>
          <w:spacing w:val="-3"/>
          <w:sz w:val="24"/>
          <w:szCs w:val="24"/>
        </w:rPr>
        <w:t>施的投资概算，并分析其技术、经济可行性。</w:t>
      </w:r>
    </w:p>
    <w:p w14:paraId="59C90D90">
      <w:pPr>
        <w:spacing w:line="360" w:lineRule="auto"/>
        <w:ind w:left="42" w:right="29" w:firstLine="475"/>
        <w:rPr>
          <w:rFonts w:ascii="宋体" w:hAnsi="宋体" w:eastAsia="宋体" w:cs="宋体"/>
          <w:sz w:val="24"/>
          <w:szCs w:val="24"/>
        </w:rPr>
      </w:pPr>
      <w:r>
        <w:rPr>
          <w:rFonts w:ascii="宋体" w:hAnsi="宋体" w:eastAsia="宋体" w:cs="宋体"/>
          <w:spacing w:val="-7"/>
          <w:sz w:val="24"/>
          <w:szCs w:val="24"/>
        </w:rPr>
        <w:t>④提出合理、可行、操作性强的地下水污染防控的环境管理体系， 包括地下</w:t>
      </w:r>
      <w:r>
        <w:rPr>
          <w:rFonts w:ascii="宋体" w:hAnsi="宋体" w:eastAsia="宋体" w:cs="宋体"/>
          <w:spacing w:val="-3"/>
          <w:sz w:val="24"/>
          <w:szCs w:val="24"/>
        </w:rPr>
        <w:t>水环境跟踪监测方案和定期信息公开等。</w:t>
      </w:r>
    </w:p>
    <w:p w14:paraId="7F5F4C88">
      <w:pPr>
        <w:spacing w:before="1"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）地下水污染防治主要措施</w:t>
      </w:r>
    </w:p>
    <w:p w14:paraId="15221D9A">
      <w:pPr>
        <w:spacing w:before="183" w:line="218" w:lineRule="auto"/>
        <w:ind w:right="27"/>
        <w:jc w:val="right"/>
        <w:rPr>
          <w:rFonts w:ascii="宋体" w:hAnsi="宋体" w:eastAsia="宋体" w:cs="宋体"/>
          <w:sz w:val="24"/>
          <w:szCs w:val="24"/>
        </w:rPr>
      </w:pPr>
      <w:r>
        <w:rPr>
          <w:rFonts w:ascii="宋体" w:hAnsi="宋体" w:eastAsia="宋体" w:cs="宋体"/>
          <w:spacing w:val="-6"/>
          <w:sz w:val="24"/>
          <w:szCs w:val="24"/>
        </w:rPr>
        <w:t>本次评价根据《环境影响评价技术导则</w:t>
      </w:r>
      <w:r>
        <w:rPr>
          <w:rFonts w:ascii="宋体" w:hAnsi="宋体" w:eastAsia="宋体" w:cs="宋体"/>
          <w:spacing w:val="30"/>
          <w:sz w:val="24"/>
          <w:szCs w:val="24"/>
        </w:rPr>
        <w:t xml:space="preserve"> </w:t>
      </w:r>
      <w:r>
        <w:rPr>
          <w:rFonts w:ascii="宋体" w:hAnsi="宋体" w:eastAsia="宋体" w:cs="宋体"/>
          <w:spacing w:val="-6"/>
          <w:sz w:val="24"/>
          <w:szCs w:val="24"/>
        </w:rPr>
        <w:t>地下水环境》（</w:t>
      </w:r>
      <w:r>
        <w:rPr>
          <w:rFonts w:ascii="Times New Roman" w:hAnsi="Times New Roman" w:eastAsia="Times New Roman" w:cs="Times New Roman"/>
          <w:spacing w:val="-6"/>
          <w:sz w:val="24"/>
          <w:szCs w:val="24"/>
        </w:rPr>
        <w:t>HJ</w:t>
      </w:r>
      <w:r>
        <w:rPr>
          <w:rFonts w:ascii="Times New Roman" w:hAnsi="Times New Roman" w:eastAsia="Times New Roman" w:cs="Times New Roman"/>
          <w:spacing w:val="-7"/>
          <w:sz w:val="24"/>
          <w:szCs w:val="24"/>
        </w:rPr>
        <w:t>610-2016</w:t>
      </w:r>
      <w:r>
        <w:rPr>
          <w:rFonts w:ascii="宋体" w:hAnsi="宋体" w:eastAsia="宋体" w:cs="宋体"/>
          <w:spacing w:val="-7"/>
          <w:sz w:val="24"/>
          <w:szCs w:val="24"/>
        </w:rPr>
        <w:t>）中“建</w:t>
      </w:r>
    </w:p>
    <w:p w14:paraId="350E4CC7">
      <w:pPr>
        <w:spacing w:line="218" w:lineRule="auto"/>
        <w:rPr>
          <w:rFonts w:ascii="宋体" w:hAnsi="宋体" w:eastAsia="宋体" w:cs="宋体"/>
          <w:sz w:val="24"/>
          <w:szCs w:val="24"/>
        </w:rPr>
        <w:sectPr>
          <w:footerReference r:id="rId231" w:type="default"/>
          <w:pgSz w:w="11905" w:h="16840"/>
          <w:pgMar w:top="1168" w:right="1768" w:bottom="1409" w:left="1770" w:header="828" w:footer="1244" w:gutter="0"/>
          <w:cols w:space="720" w:num="1"/>
        </w:sectPr>
      </w:pPr>
    </w:p>
    <w:p w14:paraId="14681FBA">
      <w:pPr>
        <w:pStyle w:val="2"/>
        <w:spacing w:line="306" w:lineRule="auto"/>
      </w:pPr>
    </w:p>
    <w:p w14:paraId="3D38B613">
      <w:pPr>
        <w:spacing w:before="78" w:line="219" w:lineRule="auto"/>
        <w:ind w:left="43"/>
        <w:rPr>
          <w:rFonts w:ascii="宋体" w:hAnsi="宋体" w:eastAsia="宋体" w:cs="宋体"/>
          <w:sz w:val="24"/>
          <w:szCs w:val="24"/>
        </w:rPr>
      </w:pPr>
      <w:bookmarkStart w:id="28" w:name="bookmark155"/>
      <w:bookmarkEnd w:id="28"/>
      <w:r>
        <w:rPr>
          <w:rFonts w:ascii="宋体" w:hAnsi="宋体" w:eastAsia="宋体" w:cs="宋体"/>
          <w:spacing w:val="-2"/>
          <w:sz w:val="24"/>
          <w:szCs w:val="24"/>
        </w:rPr>
        <w:t>设项目污染防控对策”的相关要求，针对本项目提出以下地下水保护措</w:t>
      </w:r>
      <w:r>
        <w:rPr>
          <w:rFonts w:ascii="宋体" w:hAnsi="宋体" w:eastAsia="宋体" w:cs="宋体"/>
          <w:spacing w:val="-3"/>
          <w:sz w:val="24"/>
          <w:szCs w:val="24"/>
        </w:rPr>
        <w:t>施：</w:t>
      </w:r>
    </w:p>
    <w:p w14:paraId="67A017C3">
      <w:pPr>
        <w:spacing w:before="184" w:line="217" w:lineRule="auto"/>
        <w:ind w:left="518"/>
        <w:rPr>
          <w:rFonts w:ascii="宋体" w:hAnsi="宋体" w:eastAsia="宋体" w:cs="宋体"/>
          <w:sz w:val="24"/>
          <w:szCs w:val="24"/>
        </w:rPr>
      </w:pPr>
      <w:r>
        <w:rPr>
          <w:rFonts w:ascii="宋体" w:hAnsi="宋体" w:eastAsia="宋体" w:cs="宋体"/>
          <w:spacing w:val="-2"/>
          <w:sz w:val="24"/>
          <w:szCs w:val="24"/>
        </w:rPr>
        <w:t>①源头控制措施</w:t>
      </w:r>
    </w:p>
    <w:p w14:paraId="019F55F3">
      <w:pPr>
        <w:spacing w:before="185" w:line="360" w:lineRule="auto"/>
        <w:ind w:left="41" w:firstLine="481"/>
        <w:rPr>
          <w:rFonts w:ascii="宋体" w:hAnsi="宋体" w:eastAsia="宋体" w:cs="宋体"/>
          <w:sz w:val="24"/>
          <w:szCs w:val="24"/>
        </w:rPr>
      </w:pPr>
      <w:r>
        <w:rPr>
          <w:rFonts w:ascii="宋体" w:hAnsi="宋体" w:eastAsia="宋体" w:cs="宋体"/>
          <w:spacing w:val="-8"/>
          <w:sz w:val="24"/>
          <w:szCs w:val="24"/>
        </w:rPr>
        <w:t>项目应根据国家现行相关规范加强环境管理，采取防止和降低污染物跑、冒、</w:t>
      </w:r>
      <w:r>
        <w:rPr>
          <w:rFonts w:ascii="宋体" w:hAnsi="宋体" w:eastAsia="宋体" w:cs="宋体"/>
          <w:spacing w:val="-6"/>
          <w:sz w:val="24"/>
          <w:szCs w:val="24"/>
        </w:rPr>
        <w:t>滴、漏的措施。正常运营过程中应加强控制， 同时加强</w:t>
      </w:r>
      <w:r>
        <w:rPr>
          <w:rFonts w:ascii="宋体" w:hAnsi="宋体" w:eastAsia="宋体" w:cs="宋体"/>
          <w:spacing w:val="-7"/>
          <w:sz w:val="24"/>
          <w:szCs w:val="24"/>
        </w:rPr>
        <w:t>对防渗工程的检查，若发</w:t>
      </w:r>
      <w:r>
        <w:rPr>
          <w:rFonts w:ascii="宋体" w:hAnsi="宋体" w:eastAsia="宋体" w:cs="宋体"/>
          <w:spacing w:val="-3"/>
          <w:sz w:val="24"/>
          <w:szCs w:val="24"/>
        </w:rPr>
        <w:t>现防渗密封材料老化或损坏，应及时维修更换。</w:t>
      </w:r>
    </w:p>
    <w:p w14:paraId="5E6F0FC1">
      <w:pPr>
        <w:spacing w:line="217" w:lineRule="auto"/>
        <w:ind w:left="517"/>
        <w:rPr>
          <w:rFonts w:ascii="宋体" w:hAnsi="宋体" w:eastAsia="宋体" w:cs="宋体"/>
          <w:sz w:val="24"/>
          <w:szCs w:val="24"/>
        </w:rPr>
      </w:pPr>
      <w:r>
        <w:rPr>
          <w:rFonts w:ascii="宋体" w:hAnsi="宋体" w:eastAsia="宋体" w:cs="宋体"/>
          <w:spacing w:val="-1"/>
          <w:sz w:val="24"/>
          <w:szCs w:val="24"/>
        </w:rPr>
        <w:t>②分区防治措施</w:t>
      </w:r>
    </w:p>
    <w:p w14:paraId="535909EB">
      <w:pPr>
        <w:spacing w:before="185" w:line="360" w:lineRule="auto"/>
        <w:ind w:left="41" w:right="95" w:firstLine="478"/>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宋体" w:hAnsi="宋体" w:eastAsia="宋体" w:cs="宋体"/>
          <w:sz w:val="24"/>
          <w:szCs w:val="24"/>
        </w:rPr>
        <w:t>》（</w:t>
      </w:r>
      <w:r>
        <w:rPr>
          <w:rFonts w:ascii="Times New Roman" w:hAnsi="Times New Roman" w:eastAsia="Times New Roman" w:cs="Times New Roman"/>
          <w:sz w:val="24"/>
          <w:szCs w:val="24"/>
        </w:rPr>
        <w:t>HJ610-2016</w:t>
      </w:r>
      <w:r>
        <w:rPr>
          <w:rFonts w:ascii="宋体" w:hAnsi="宋体" w:eastAsia="宋体" w:cs="宋体"/>
          <w:spacing w:val="-1"/>
          <w:sz w:val="24"/>
          <w:szCs w:val="24"/>
        </w:rPr>
        <w:t>），</w:t>
      </w:r>
      <w:r>
        <w:rPr>
          <w:rFonts w:ascii="宋体" w:hAnsi="宋体" w:eastAsia="宋体" w:cs="宋体"/>
          <w:sz w:val="24"/>
          <w:szCs w:val="24"/>
        </w:rPr>
        <w:t>本项目针对</w:t>
      </w:r>
      <w:r>
        <w:rPr>
          <w:rFonts w:ascii="宋体" w:hAnsi="宋体" w:eastAsia="宋体" w:cs="宋体"/>
          <w:spacing w:val="-3"/>
          <w:sz w:val="24"/>
          <w:szCs w:val="24"/>
        </w:rPr>
        <w:t>污染物性质，不同区域采取分区防控措施如</w:t>
      </w:r>
      <w:r>
        <w:rPr>
          <w:rFonts w:ascii="宋体" w:hAnsi="宋体" w:eastAsia="宋体" w:cs="宋体"/>
          <w:spacing w:val="-4"/>
          <w:sz w:val="24"/>
          <w:szCs w:val="24"/>
        </w:rPr>
        <w:t>下：</w:t>
      </w:r>
    </w:p>
    <w:p w14:paraId="517F1093">
      <w:pPr>
        <w:spacing w:line="360" w:lineRule="auto"/>
        <w:ind w:left="58" w:right="111" w:firstLine="462"/>
        <w:rPr>
          <w:rFonts w:ascii="宋体" w:hAnsi="宋体" w:eastAsia="宋体" w:cs="宋体"/>
          <w:sz w:val="24"/>
          <w:szCs w:val="24"/>
        </w:rPr>
      </w:pPr>
      <w:r>
        <w:rPr>
          <w:rFonts w:ascii="宋体" w:hAnsi="宋体" w:eastAsia="宋体" w:cs="宋体"/>
          <w:spacing w:val="-4"/>
          <w:sz w:val="24"/>
          <w:szCs w:val="24"/>
          <w:u w:val="single" w:color="auto"/>
        </w:rPr>
        <w:t>重点防渗区</w:t>
      </w:r>
      <w:r>
        <w:rPr>
          <w:rFonts w:ascii="宋体" w:hAnsi="宋体" w:eastAsia="宋体" w:cs="宋体"/>
          <w:spacing w:val="-4"/>
          <w:sz w:val="24"/>
          <w:szCs w:val="24"/>
        </w:rPr>
        <w:t>：污水处理站及污水管网、堆粪棚、危废暂存间、发电机房储油</w:t>
      </w:r>
      <w:r>
        <w:rPr>
          <w:rFonts w:ascii="宋体" w:hAnsi="宋体" w:eastAsia="宋体" w:cs="宋体"/>
          <w:spacing w:val="-22"/>
          <w:sz w:val="24"/>
          <w:szCs w:val="24"/>
        </w:rPr>
        <w:t>间；</w:t>
      </w:r>
    </w:p>
    <w:p w14:paraId="1BB4EE5E">
      <w:pPr>
        <w:spacing w:before="1" w:line="218" w:lineRule="auto"/>
        <w:ind w:right="21"/>
        <w:jc w:val="right"/>
        <w:rPr>
          <w:rFonts w:ascii="宋体" w:hAnsi="宋体" w:eastAsia="宋体" w:cs="宋体"/>
          <w:sz w:val="24"/>
          <w:szCs w:val="24"/>
        </w:rPr>
      </w:pPr>
      <w:r>
        <w:rPr>
          <w:rFonts w:ascii="宋体" w:hAnsi="宋体" w:eastAsia="宋体" w:cs="宋体"/>
          <w:spacing w:val="-1"/>
          <w:sz w:val="24"/>
          <w:szCs w:val="24"/>
          <w:u w:val="single" w:color="auto"/>
        </w:rPr>
        <w:t>一般防渗区</w:t>
      </w:r>
      <w:r>
        <w:rPr>
          <w:rFonts w:ascii="宋体" w:hAnsi="宋体" w:eastAsia="宋体" w:cs="宋体"/>
          <w:spacing w:val="-1"/>
          <w:sz w:val="24"/>
          <w:szCs w:val="24"/>
        </w:rPr>
        <w:t>：猪舍、转猪舍、洗消区、发电机房</w:t>
      </w:r>
      <w:r>
        <w:rPr>
          <w:rFonts w:ascii="宋体" w:hAnsi="宋体" w:eastAsia="宋体" w:cs="宋体"/>
          <w:spacing w:val="-2"/>
          <w:sz w:val="24"/>
          <w:szCs w:val="24"/>
        </w:rPr>
        <w:t>、化粪池、田间储存池等；</w:t>
      </w:r>
    </w:p>
    <w:p w14:paraId="47A067E2">
      <w:pPr>
        <w:spacing w:before="183" w:line="219" w:lineRule="auto"/>
        <w:ind w:left="524"/>
        <w:rPr>
          <w:rFonts w:ascii="宋体" w:hAnsi="宋体" w:eastAsia="宋体" w:cs="宋体"/>
          <w:sz w:val="24"/>
          <w:szCs w:val="24"/>
        </w:rPr>
      </w:pPr>
      <w:r>
        <w:rPr>
          <w:rFonts w:ascii="宋体" w:hAnsi="宋体" w:eastAsia="宋体" w:cs="宋体"/>
          <w:spacing w:val="-3"/>
          <w:sz w:val="24"/>
          <w:szCs w:val="24"/>
          <w:u w:val="single" w:color="auto"/>
        </w:rPr>
        <w:t>简单防渗区</w:t>
      </w:r>
      <w:r>
        <w:rPr>
          <w:rFonts w:ascii="宋体" w:hAnsi="宋体" w:eastAsia="宋体" w:cs="宋体"/>
          <w:spacing w:val="-3"/>
          <w:sz w:val="24"/>
          <w:szCs w:val="24"/>
        </w:rPr>
        <w:t>：办公生活区、场内道路。</w:t>
      </w:r>
    </w:p>
    <w:p w14:paraId="5D309365">
      <w:pPr>
        <w:spacing w:before="182" w:line="220" w:lineRule="auto"/>
        <w:ind w:left="524"/>
        <w:rPr>
          <w:rFonts w:ascii="宋体" w:hAnsi="宋体" w:eastAsia="宋体" w:cs="宋体"/>
          <w:sz w:val="24"/>
          <w:szCs w:val="24"/>
        </w:rPr>
      </w:pPr>
      <w:r>
        <w:rPr>
          <w:rFonts w:ascii="宋体" w:hAnsi="宋体" w:eastAsia="宋体" w:cs="宋体"/>
          <w:spacing w:val="-5"/>
          <w:sz w:val="24"/>
          <w:szCs w:val="24"/>
        </w:rPr>
        <w:t>具体分区防渗措施一览表见下表：</w:t>
      </w:r>
    </w:p>
    <w:p w14:paraId="04D3239D">
      <w:pPr>
        <w:spacing w:before="196" w:line="221" w:lineRule="auto"/>
        <w:ind w:left="258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5"/>
          <w:sz w:val="21"/>
          <w:szCs w:val="21"/>
        </w:rPr>
        <w:t xml:space="preserve"> </w:t>
      </w:r>
      <w:r>
        <w:rPr>
          <w:rFonts w:ascii="Times New Roman" w:hAnsi="Times New Roman" w:eastAsia="Times New Roman" w:cs="Times New Roman"/>
          <w:spacing w:val="-1"/>
          <w:sz w:val="21"/>
          <w:szCs w:val="21"/>
        </w:rPr>
        <w:t xml:space="preserve">2.2-20  </w:t>
      </w:r>
      <w:r>
        <w:rPr>
          <w:rFonts w:ascii="黑体" w:hAnsi="黑体" w:eastAsia="黑体" w:cs="黑体"/>
          <w:spacing w:val="-1"/>
          <w:sz w:val="21"/>
          <w:szCs w:val="21"/>
        </w:rPr>
        <w:t>本项目地下水防渗分区表</w:t>
      </w:r>
    </w:p>
    <w:p w14:paraId="5E9139BE">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2123"/>
        <w:gridCol w:w="1556"/>
        <w:gridCol w:w="3920"/>
      </w:tblGrid>
      <w:tr w14:paraId="41CBF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21" w:type="dxa"/>
            <w:vAlign w:val="top"/>
          </w:tcPr>
          <w:p w14:paraId="0366641B">
            <w:pPr>
              <w:spacing w:before="68" w:line="220" w:lineRule="auto"/>
              <w:ind w:left="155"/>
              <w:rPr>
                <w:rFonts w:ascii="宋体" w:hAnsi="宋体" w:eastAsia="宋体" w:cs="宋体"/>
                <w:sz w:val="21"/>
                <w:szCs w:val="21"/>
              </w:rPr>
            </w:pPr>
            <w:r>
              <w:rPr>
                <w:rFonts w:ascii="宋体" w:hAnsi="宋体" w:eastAsia="宋体" w:cs="宋体"/>
                <w:spacing w:val="-3"/>
                <w:sz w:val="21"/>
                <w:szCs w:val="21"/>
              </w:rPr>
              <w:t>类别</w:t>
            </w:r>
          </w:p>
        </w:tc>
        <w:tc>
          <w:tcPr>
            <w:tcW w:w="2123" w:type="dxa"/>
            <w:vAlign w:val="top"/>
          </w:tcPr>
          <w:p w14:paraId="1B13791A">
            <w:pPr>
              <w:spacing w:before="68" w:line="219" w:lineRule="auto"/>
              <w:ind w:left="647"/>
              <w:rPr>
                <w:rFonts w:ascii="宋体" w:hAnsi="宋体" w:eastAsia="宋体" w:cs="宋体"/>
                <w:sz w:val="21"/>
                <w:szCs w:val="21"/>
              </w:rPr>
            </w:pPr>
            <w:r>
              <w:rPr>
                <w:rFonts w:ascii="宋体" w:hAnsi="宋体" w:eastAsia="宋体" w:cs="宋体"/>
                <w:spacing w:val="-3"/>
                <w:sz w:val="21"/>
                <w:szCs w:val="21"/>
              </w:rPr>
              <w:t>分区依据</w:t>
            </w:r>
          </w:p>
        </w:tc>
        <w:tc>
          <w:tcPr>
            <w:tcW w:w="1556" w:type="dxa"/>
            <w:vAlign w:val="top"/>
          </w:tcPr>
          <w:p w14:paraId="504D7ADA">
            <w:pPr>
              <w:spacing w:before="69" w:line="220" w:lineRule="auto"/>
              <w:ind w:left="378"/>
              <w:rPr>
                <w:rFonts w:ascii="宋体" w:hAnsi="宋体" w:eastAsia="宋体" w:cs="宋体"/>
                <w:sz w:val="21"/>
                <w:szCs w:val="21"/>
              </w:rPr>
            </w:pPr>
            <w:r>
              <w:rPr>
                <w:rFonts w:ascii="宋体" w:hAnsi="宋体" w:eastAsia="宋体" w:cs="宋体"/>
                <w:spacing w:val="-5"/>
                <w:sz w:val="21"/>
                <w:szCs w:val="21"/>
              </w:rPr>
              <w:t>区域名称</w:t>
            </w:r>
          </w:p>
        </w:tc>
        <w:tc>
          <w:tcPr>
            <w:tcW w:w="3920" w:type="dxa"/>
            <w:vAlign w:val="top"/>
          </w:tcPr>
          <w:p w14:paraId="5ED79CA8">
            <w:pPr>
              <w:spacing w:before="68" w:line="220" w:lineRule="auto"/>
              <w:ind w:left="1229"/>
              <w:rPr>
                <w:rFonts w:ascii="宋体" w:hAnsi="宋体" w:eastAsia="宋体" w:cs="宋体"/>
                <w:sz w:val="21"/>
                <w:szCs w:val="21"/>
              </w:rPr>
            </w:pPr>
            <w:r>
              <w:rPr>
                <w:rFonts w:ascii="宋体" w:hAnsi="宋体" w:eastAsia="宋体" w:cs="宋体"/>
                <w:spacing w:val="-2"/>
                <w:sz w:val="21"/>
                <w:szCs w:val="21"/>
              </w:rPr>
              <w:t>地下水防护措施</w:t>
            </w:r>
          </w:p>
        </w:tc>
      </w:tr>
      <w:tr w14:paraId="7B910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21" w:type="dxa"/>
            <w:vMerge w:val="restart"/>
            <w:tcBorders>
              <w:bottom w:val="nil"/>
            </w:tcBorders>
            <w:vAlign w:val="top"/>
          </w:tcPr>
          <w:p w14:paraId="66E70CAC">
            <w:pPr>
              <w:spacing w:line="245" w:lineRule="auto"/>
              <w:rPr>
                <w:rFonts w:ascii="Arial"/>
                <w:sz w:val="21"/>
              </w:rPr>
            </w:pPr>
          </w:p>
          <w:p w14:paraId="04AA8078">
            <w:pPr>
              <w:spacing w:line="245" w:lineRule="auto"/>
              <w:rPr>
                <w:rFonts w:ascii="Arial"/>
                <w:sz w:val="21"/>
              </w:rPr>
            </w:pPr>
          </w:p>
          <w:p w14:paraId="28D36A89">
            <w:pPr>
              <w:spacing w:line="245" w:lineRule="auto"/>
              <w:rPr>
                <w:rFonts w:ascii="Arial"/>
                <w:sz w:val="21"/>
              </w:rPr>
            </w:pPr>
          </w:p>
          <w:p w14:paraId="224A5F40">
            <w:pPr>
              <w:spacing w:line="245" w:lineRule="auto"/>
              <w:rPr>
                <w:rFonts w:ascii="Arial"/>
                <w:sz w:val="21"/>
              </w:rPr>
            </w:pPr>
          </w:p>
          <w:p w14:paraId="517C711D">
            <w:pPr>
              <w:spacing w:line="246" w:lineRule="auto"/>
              <w:rPr>
                <w:rFonts w:ascii="Arial"/>
                <w:sz w:val="21"/>
              </w:rPr>
            </w:pPr>
          </w:p>
          <w:p w14:paraId="06C4A725">
            <w:pPr>
              <w:spacing w:before="68" w:line="277" w:lineRule="auto"/>
              <w:ind w:left="63" w:right="44" w:firstLine="93"/>
              <w:rPr>
                <w:rFonts w:ascii="宋体" w:hAnsi="宋体" w:eastAsia="宋体" w:cs="宋体"/>
                <w:sz w:val="21"/>
                <w:szCs w:val="21"/>
              </w:rPr>
            </w:pPr>
            <w:r>
              <w:rPr>
                <w:rFonts w:ascii="宋体" w:hAnsi="宋体" w:eastAsia="宋体" w:cs="宋体"/>
                <w:spacing w:val="-5"/>
                <w:sz w:val="21"/>
                <w:szCs w:val="21"/>
              </w:rPr>
              <w:t>重点</w:t>
            </w:r>
            <w:r>
              <w:rPr>
                <w:rFonts w:ascii="宋体" w:hAnsi="宋体" w:eastAsia="宋体" w:cs="宋体"/>
                <w:spacing w:val="-8"/>
                <w:sz w:val="21"/>
                <w:szCs w:val="21"/>
              </w:rPr>
              <w:t>防渗区</w:t>
            </w:r>
          </w:p>
        </w:tc>
        <w:tc>
          <w:tcPr>
            <w:tcW w:w="2123" w:type="dxa"/>
            <w:vMerge w:val="restart"/>
            <w:tcBorders>
              <w:bottom w:val="nil"/>
            </w:tcBorders>
            <w:vAlign w:val="top"/>
          </w:tcPr>
          <w:p w14:paraId="037169B2">
            <w:pPr>
              <w:spacing w:line="267" w:lineRule="auto"/>
              <w:rPr>
                <w:rFonts w:ascii="Arial"/>
                <w:sz w:val="21"/>
              </w:rPr>
            </w:pPr>
          </w:p>
          <w:p w14:paraId="75D222CA">
            <w:pPr>
              <w:spacing w:line="268" w:lineRule="auto"/>
              <w:rPr>
                <w:rFonts w:ascii="Arial"/>
                <w:sz w:val="21"/>
              </w:rPr>
            </w:pPr>
          </w:p>
          <w:p w14:paraId="00414887">
            <w:pPr>
              <w:spacing w:line="268" w:lineRule="auto"/>
              <w:rPr>
                <w:rFonts w:ascii="Arial"/>
                <w:sz w:val="21"/>
              </w:rPr>
            </w:pPr>
          </w:p>
          <w:p w14:paraId="3DD44721">
            <w:pPr>
              <w:spacing w:line="268" w:lineRule="auto"/>
              <w:rPr>
                <w:rFonts w:ascii="Arial"/>
                <w:sz w:val="21"/>
              </w:rPr>
            </w:pPr>
          </w:p>
          <w:p w14:paraId="42287409">
            <w:pPr>
              <w:spacing w:before="68" w:line="276" w:lineRule="auto"/>
              <w:ind w:left="7" w:right="6"/>
              <w:jc w:val="both"/>
              <w:rPr>
                <w:rFonts w:ascii="宋体" w:hAnsi="宋体" w:eastAsia="宋体" w:cs="宋体"/>
                <w:sz w:val="21"/>
                <w:szCs w:val="21"/>
              </w:rPr>
            </w:pPr>
            <w:r>
              <w:rPr>
                <w:rFonts w:ascii="宋体" w:hAnsi="宋体" w:eastAsia="宋体" w:cs="宋体"/>
                <w:sz w:val="21"/>
                <w:szCs w:val="21"/>
              </w:rPr>
              <w:t>对地下水环境有污染的</w:t>
            </w:r>
            <w:r>
              <w:rPr>
                <w:rFonts w:ascii="宋体" w:hAnsi="宋体" w:eastAsia="宋体" w:cs="宋体"/>
                <w:spacing w:val="-1"/>
                <w:sz w:val="21"/>
                <w:szCs w:val="21"/>
              </w:rPr>
              <w:t>物料或污染物泄漏后，不能及时发现和处理</w:t>
            </w:r>
          </w:p>
        </w:tc>
        <w:tc>
          <w:tcPr>
            <w:tcW w:w="1556" w:type="dxa"/>
            <w:vAlign w:val="top"/>
          </w:tcPr>
          <w:p w14:paraId="683B0BF9">
            <w:pPr>
              <w:spacing w:line="291" w:lineRule="auto"/>
              <w:rPr>
                <w:rFonts w:ascii="Arial"/>
                <w:sz w:val="21"/>
              </w:rPr>
            </w:pPr>
          </w:p>
          <w:p w14:paraId="1EC8BC0E">
            <w:pPr>
              <w:spacing w:before="68" w:line="276" w:lineRule="auto"/>
              <w:ind w:left="10" w:right="1"/>
              <w:jc w:val="both"/>
              <w:rPr>
                <w:rFonts w:ascii="宋体" w:hAnsi="宋体" w:eastAsia="宋体" w:cs="宋体"/>
                <w:sz w:val="21"/>
                <w:szCs w:val="21"/>
              </w:rPr>
            </w:pPr>
            <w:r>
              <w:rPr>
                <w:rFonts w:ascii="宋体" w:hAnsi="宋体" w:eastAsia="宋体" w:cs="宋体"/>
                <w:spacing w:val="8"/>
                <w:sz w:val="21"/>
                <w:szCs w:val="21"/>
              </w:rPr>
              <w:t>污水处理站、堆</w:t>
            </w:r>
            <w:r>
              <w:rPr>
                <w:rFonts w:ascii="宋体" w:hAnsi="宋体" w:eastAsia="宋体" w:cs="宋体"/>
                <w:spacing w:val="9"/>
                <w:sz w:val="21"/>
                <w:szCs w:val="21"/>
              </w:rPr>
              <w:t>粪棚、危废暂存</w:t>
            </w:r>
            <w:r>
              <w:rPr>
                <w:rFonts w:ascii="宋体" w:hAnsi="宋体" w:eastAsia="宋体" w:cs="宋体"/>
                <w:spacing w:val="-2"/>
                <w:sz w:val="21"/>
                <w:szCs w:val="21"/>
              </w:rPr>
              <w:t>间、储油间</w:t>
            </w:r>
          </w:p>
        </w:tc>
        <w:tc>
          <w:tcPr>
            <w:tcW w:w="3920" w:type="dxa"/>
            <w:vAlign w:val="top"/>
          </w:tcPr>
          <w:p w14:paraId="029329BA">
            <w:pPr>
              <w:pStyle w:val="6"/>
              <w:spacing w:before="51" w:line="261" w:lineRule="auto"/>
              <w:ind w:left="6" w:right="4" w:firstLine="4"/>
              <w:jc w:val="both"/>
            </w:pPr>
            <w:r>
              <w:rPr>
                <w:rFonts w:ascii="宋体" w:hAnsi="宋体" w:eastAsia="宋体" w:cs="宋体"/>
                <w:spacing w:val="-1"/>
              </w:rPr>
              <w:t>池体采取防渗混凝土</w:t>
            </w:r>
            <w:r>
              <w:rPr>
                <w:spacing w:val="-1"/>
              </w:rPr>
              <w:t>+</w:t>
            </w:r>
            <w:r>
              <w:rPr>
                <w:rFonts w:ascii="宋体" w:hAnsi="宋体" w:eastAsia="宋体" w:cs="宋体"/>
                <w:spacing w:val="-1"/>
              </w:rPr>
              <w:t>粘土防渗层，确保防</w:t>
            </w:r>
            <w:r>
              <w:rPr>
                <w:rFonts w:ascii="宋体" w:hAnsi="宋体" w:eastAsia="宋体" w:cs="宋体"/>
                <w:spacing w:val="-4"/>
              </w:rPr>
              <w:t>渗性能等效粘土防渗层</w:t>
            </w:r>
            <w:r>
              <w:rPr>
                <w:spacing w:val="-4"/>
              </w:rPr>
              <w:t>Mb≥6.0m</w:t>
            </w:r>
            <w:r>
              <w:rPr>
                <w:rFonts w:ascii="宋体" w:hAnsi="宋体" w:eastAsia="宋体" w:cs="宋体"/>
                <w:spacing w:val="-4"/>
              </w:rPr>
              <w:t>，其渗透系</w:t>
            </w:r>
            <w:r>
              <w:rPr>
                <w:rFonts w:ascii="宋体" w:hAnsi="宋体" w:eastAsia="宋体" w:cs="宋体"/>
              </w:rPr>
              <w:t>数</w:t>
            </w:r>
            <w:r>
              <w:t>K≤10</w:t>
            </w:r>
            <w:r>
              <w:rPr>
                <w:position w:val="9"/>
                <w:sz w:val="14"/>
                <w:szCs w:val="14"/>
              </w:rPr>
              <w:t>-7</w:t>
            </w:r>
            <w:r>
              <w:t>cm/s</w:t>
            </w:r>
            <w:r>
              <w:rPr>
                <w:rFonts w:ascii="宋体" w:hAnsi="宋体" w:eastAsia="宋体" w:cs="宋体"/>
              </w:rPr>
              <w:t>，或参照</w:t>
            </w:r>
            <w:r>
              <w:t>GB18598</w:t>
            </w:r>
            <w:r>
              <w:rPr>
                <w:rFonts w:ascii="宋体" w:hAnsi="宋体" w:eastAsia="宋体" w:cs="宋体"/>
                <w:spacing w:val="-1"/>
              </w:rPr>
              <w:t>执行；其中</w:t>
            </w:r>
            <w:r>
              <w:rPr>
                <w:rFonts w:ascii="宋体" w:hAnsi="宋体" w:eastAsia="宋体" w:cs="宋体"/>
                <w:spacing w:val="11"/>
              </w:rPr>
              <w:t>危废暂存间要求采用防渗混凝土</w:t>
            </w:r>
            <w:r>
              <w:rPr>
                <w:spacing w:val="11"/>
              </w:rPr>
              <w:t>+2</w:t>
            </w:r>
            <w:r>
              <w:t>mm</w:t>
            </w:r>
            <w:r>
              <w:rPr>
                <w:rFonts w:ascii="宋体" w:hAnsi="宋体" w:eastAsia="宋体" w:cs="宋体"/>
                <w:spacing w:val="11"/>
              </w:rPr>
              <w:t>厚</w:t>
            </w:r>
            <w:r>
              <w:rPr>
                <w:spacing w:val="-1"/>
              </w:rPr>
              <w:t>HDPE</w:t>
            </w:r>
            <w:r>
              <w:rPr>
                <w:rFonts w:ascii="宋体" w:hAnsi="宋体" w:eastAsia="宋体" w:cs="宋体"/>
                <w:spacing w:val="-1"/>
              </w:rPr>
              <w:t>防渗层，渗透系数</w:t>
            </w:r>
            <w:r>
              <w:rPr>
                <w:spacing w:val="-1"/>
              </w:rPr>
              <w:t>K≤10</w:t>
            </w:r>
            <w:r>
              <w:rPr>
                <w:spacing w:val="-1"/>
                <w:position w:val="9"/>
                <w:sz w:val="14"/>
                <w:szCs w:val="14"/>
              </w:rPr>
              <w:t>-10</w:t>
            </w:r>
            <w:r>
              <w:rPr>
                <w:spacing w:val="-1"/>
              </w:rPr>
              <w:t>cm/s</w:t>
            </w:r>
          </w:p>
        </w:tc>
      </w:tr>
      <w:tr w14:paraId="25FD2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21" w:type="dxa"/>
            <w:vMerge w:val="continue"/>
            <w:tcBorders>
              <w:top w:val="nil"/>
            </w:tcBorders>
            <w:vAlign w:val="top"/>
          </w:tcPr>
          <w:p w14:paraId="14B4C04D">
            <w:pPr>
              <w:rPr>
                <w:rFonts w:ascii="Arial"/>
                <w:sz w:val="21"/>
              </w:rPr>
            </w:pPr>
          </w:p>
        </w:tc>
        <w:tc>
          <w:tcPr>
            <w:tcW w:w="2123" w:type="dxa"/>
            <w:vMerge w:val="continue"/>
            <w:tcBorders>
              <w:top w:val="nil"/>
            </w:tcBorders>
            <w:vAlign w:val="top"/>
          </w:tcPr>
          <w:p w14:paraId="0EE7D8BE">
            <w:pPr>
              <w:rPr>
                <w:rFonts w:ascii="Arial"/>
                <w:sz w:val="21"/>
              </w:rPr>
            </w:pPr>
          </w:p>
        </w:tc>
        <w:tc>
          <w:tcPr>
            <w:tcW w:w="1556" w:type="dxa"/>
            <w:vAlign w:val="top"/>
          </w:tcPr>
          <w:p w14:paraId="6B57F292">
            <w:pPr>
              <w:spacing w:line="449" w:lineRule="auto"/>
              <w:rPr>
                <w:rFonts w:ascii="Arial"/>
                <w:sz w:val="21"/>
              </w:rPr>
            </w:pPr>
          </w:p>
          <w:p w14:paraId="4499E4BB">
            <w:pPr>
              <w:spacing w:before="68" w:line="276" w:lineRule="auto"/>
              <w:ind w:left="10" w:right="1"/>
              <w:rPr>
                <w:rFonts w:ascii="宋体" w:hAnsi="宋体" w:eastAsia="宋体" w:cs="宋体"/>
                <w:sz w:val="21"/>
                <w:szCs w:val="21"/>
              </w:rPr>
            </w:pPr>
            <w:r>
              <w:rPr>
                <w:rFonts w:ascii="宋体" w:hAnsi="宋体" w:eastAsia="宋体" w:cs="宋体"/>
                <w:spacing w:val="9"/>
                <w:sz w:val="21"/>
                <w:szCs w:val="21"/>
              </w:rPr>
              <w:t>污水管网（埋地</w:t>
            </w:r>
            <w:r>
              <w:rPr>
                <w:rFonts w:ascii="宋体" w:hAnsi="宋体" w:eastAsia="宋体" w:cs="宋体"/>
                <w:spacing w:val="-6"/>
                <w:sz w:val="21"/>
                <w:szCs w:val="21"/>
              </w:rPr>
              <w:t>敷设）</w:t>
            </w:r>
          </w:p>
        </w:tc>
        <w:tc>
          <w:tcPr>
            <w:tcW w:w="3920" w:type="dxa"/>
            <w:vAlign w:val="top"/>
          </w:tcPr>
          <w:p w14:paraId="7BCFA4C0">
            <w:pPr>
              <w:spacing w:before="51" w:line="264" w:lineRule="auto"/>
              <w:ind w:left="9" w:right="4" w:firstLine="2"/>
              <w:jc w:val="both"/>
              <w:rPr>
                <w:rFonts w:ascii="宋体" w:hAnsi="宋体" w:eastAsia="宋体" w:cs="宋体"/>
                <w:sz w:val="21"/>
                <w:szCs w:val="21"/>
              </w:rPr>
            </w:pPr>
            <w:r>
              <w:rPr>
                <w:rFonts w:ascii="宋体" w:hAnsi="宋体" w:eastAsia="宋体" w:cs="宋体"/>
                <w:spacing w:val="-5"/>
                <w:sz w:val="21"/>
                <w:szCs w:val="21"/>
              </w:rPr>
              <w:t>污水输送全部采用管道输送，管道材料应视</w:t>
            </w:r>
            <w:r>
              <w:rPr>
                <w:rFonts w:ascii="宋体" w:hAnsi="宋体" w:eastAsia="宋体" w:cs="宋体"/>
                <w:spacing w:val="6"/>
                <w:sz w:val="21"/>
                <w:szCs w:val="21"/>
              </w:rPr>
              <w:t>输送介质的不同选择合适材质并做表面的</w:t>
            </w:r>
            <w:r>
              <w:rPr>
                <w:rFonts w:ascii="宋体" w:hAnsi="宋体" w:eastAsia="宋体" w:cs="宋体"/>
                <w:spacing w:val="-8"/>
                <w:sz w:val="21"/>
                <w:szCs w:val="21"/>
              </w:rPr>
              <w:t>防腐、防锈蚀处理，</w:t>
            </w:r>
            <w:r>
              <w:rPr>
                <w:rFonts w:ascii="宋体" w:hAnsi="宋体" w:eastAsia="宋体" w:cs="宋体"/>
                <w:spacing w:val="-43"/>
                <w:sz w:val="21"/>
                <w:szCs w:val="21"/>
              </w:rPr>
              <w:t xml:space="preserve"> </w:t>
            </w:r>
            <w:r>
              <w:rPr>
                <w:rFonts w:ascii="宋体" w:hAnsi="宋体" w:eastAsia="宋体" w:cs="宋体"/>
                <w:spacing w:val="-8"/>
                <w:sz w:val="21"/>
                <w:szCs w:val="21"/>
              </w:rPr>
              <w:t>减轻管道腐蚀造成的渗</w:t>
            </w:r>
            <w:r>
              <w:rPr>
                <w:rFonts w:ascii="宋体" w:hAnsi="宋体" w:eastAsia="宋体" w:cs="宋体"/>
                <w:spacing w:val="-5"/>
                <w:sz w:val="21"/>
                <w:szCs w:val="21"/>
              </w:rPr>
              <w:t>漏，并进行定期检查，防止跑冒滴漏的现象</w:t>
            </w:r>
            <w:r>
              <w:rPr>
                <w:rFonts w:ascii="宋体" w:hAnsi="宋体" w:eastAsia="宋体" w:cs="宋体"/>
                <w:spacing w:val="-9"/>
                <w:sz w:val="21"/>
                <w:szCs w:val="21"/>
              </w:rPr>
              <w:t>发生。</w:t>
            </w:r>
          </w:p>
        </w:tc>
      </w:tr>
      <w:tr w14:paraId="30A6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21" w:type="dxa"/>
            <w:vAlign w:val="top"/>
          </w:tcPr>
          <w:p w14:paraId="41B2DFDD">
            <w:pPr>
              <w:spacing w:line="295" w:lineRule="auto"/>
              <w:rPr>
                <w:rFonts w:ascii="Arial"/>
                <w:sz w:val="21"/>
              </w:rPr>
            </w:pPr>
          </w:p>
          <w:p w14:paraId="0CE1221F">
            <w:pPr>
              <w:spacing w:before="68" w:line="277" w:lineRule="auto"/>
              <w:ind w:left="63" w:right="44" w:firstLine="95"/>
              <w:rPr>
                <w:rFonts w:ascii="宋体" w:hAnsi="宋体" w:eastAsia="宋体" w:cs="宋体"/>
                <w:sz w:val="21"/>
                <w:szCs w:val="21"/>
              </w:rPr>
            </w:pPr>
            <w:r>
              <w:rPr>
                <w:rFonts w:ascii="宋体" w:hAnsi="宋体" w:eastAsia="宋体" w:cs="宋体"/>
                <w:spacing w:val="-6"/>
                <w:sz w:val="21"/>
                <w:szCs w:val="21"/>
              </w:rPr>
              <w:t>一般</w:t>
            </w:r>
            <w:r>
              <w:rPr>
                <w:rFonts w:ascii="宋体" w:hAnsi="宋体" w:eastAsia="宋体" w:cs="宋体"/>
                <w:spacing w:val="-8"/>
                <w:sz w:val="21"/>
                <w:szCs w:val="21"/>
              </w:rPr>
              <w:t>防渗区</w:t>
            </w:r>
          </w:p>
        </w:tc>
        <w:tc>
          <w:tcPr>
            <w:tcW w:w="2123" w:type="dxa"/>
            <w:vAlign w:val="top"/>
          </w:tcPr>
          <w:p w14:paraId="63153B02">
            <w:pPr>
              <w:spacing w:before="210" w:line="276" w:lineRule="auto"/>
              <w:ind w:left="7" w:right="6"/>
              <w:jc w:val="both"/>
              <w:rPr>
                <w:rFonts w:ascii="宋体" w:hAnsi="宋体" w:eastAsia="宋体" w:cs="宋体"/>
                <w:sz w:val="21"/>
                <w:szCs w:val="21"/>
              </w:rPr>
            </w:pPr>
            <w:r>
              <w:rPr>
                <w:rFonts w:ascii="宋体" w:hAnsi="宋体" w:eastAsia="宋体" w:cs="宋体"/>
                <w:sz w:val="21"/>
                <w:szCs w:val="21"/>
              </w:rPr>
              <w:t>对地下水环境有污染的</w:t>
            </w:r>
            <w:r>
              <w:rPr>
                <w:rFonts w:ascii="宋体" w:hAnsi="宋体" w:eastAsia="宋体" w:cs="宋体"/>
                <w:spacing w:val="-1"/>
                <w:sz w:val="21"/>
                <w:szCs w:val="21"/>
              </w:rPr>
              <w:t>物料或污染物泄漏后，可及时发现和处理</w:t>
            </w:r>
          </w:p>
        </w:tc>
        <w:tc>
          <w:tcPr>
            <w:tcW w:w="1556" w:type="dxa"/>
            <w:vAlign w:val="top"/>
          </w:tcPr>
          <w:p w14:paraId="4A7C3D7B">
            <w:pPr>
              <w:spacing w:before="54" w:line="261" w:lineRule="auto"/>
              <w:ind w:left="8" w:right="1"/>
              <w:rPr>
                <w:rFonts w:ascii="宋体" w:hAnsi="宋体" w:eastAsia="宋体" w:cs="宋体"/>
                <w:sz w:val="21"/>
                <w:szCs w:val="21"/>
              </w:rPr>
            </w:pPr>
            <w:r>
              <w:rPr>
                <w:rFonts w:ascii="宋体" w:hAnsi="宋体" w:eastAsia="宋体" w:cs="宋体"/>
                <w:spacing w:val="5"/>
                <w:sz w:val="21"/>
                <w:szCs w:val="21"/>
              </w:rPr>
              <w:t>猪舍、转猪舍、</w:t>
            </w:r>
            <w:r>
              <w:rPr>
                <w:rFonts w:ascii="宋体" w:hAnsi="宋体" w:eastAsia="宋体" w:cs="宋体"/>
                <w:spacing w:val="10"/>
                <w:sz w:val="21"/>
                <w:szCs w:val="21"/>
              </w:rPr>
              <w:t>洗消区、发电机</w:t>
            </w:r>
            <w:r>
              <w:rPr>
                <w:rFonts w:ascii="宋体" w:hAnsi="宋体" w:eastAsia="宋体" w:cs="宋体"/>
                <w:spacing w:val="6"/>
                <w:sz w:val="21"/>
                <w:szCs w:val="21"/>
              </w:rPr>
              <w:t>房、化粪池、田</w:t>
            </w:r>
            <w:r>
              <w:rPr>
                <w:rFonts w:ascii="宋体" w:hAnsi="宋体" w:eastAsia="宋体" w:cs="宋体"/>
                <w:spacing w:val="-2"/>
                <w:sz w:val="21"/>
                <w:szCs w:val="21"/>
              </w:rPr>
              <w:t>间储存池</w:t>
            </w:r>
          </w:p>
        </w:tc>
        <w:tc>
          <w:tcPr>
            <w:tcW w:w="3920" w:type="dxa"/>
            <w:vAlign w:val="top"/>
          </w:tcPr>
          <w:p w14:paraId="2E3717F8">
            <w:pPr>
              <w:pStyle w:val="6"/>
              <w:spacing w:before="211" w:line="271" w:lineRule="auto"/>
              <w:ind w:left="11" w:right="4"/>
              <w:jc w:val="both"/>
              <w:rPr>
                <w:rFonts w:ascii="宋体" w:hAnsi="宋体" w:eastAsia="宋体" w:cs="宋体"/>
              </w:rPr>
            </w:pPr>
            <w:r>
              <w:rPr>
                <w:rFonts w:ascii="宋体" w:hAnsi="宋体" w:eastAsia="宋体" w:cs="宋体"/>
                <w:spacing w:val="-1"/>
              </w:rPr>
              <w:t>要求采取防渗混凝土</w:t>
            </w:r>
            <w:r>
              <w:rPr>
                <w:spacing w:val="-1"/>
              </w:rPr>
              <w:t>+</w:t>
            </w:r>
            <w:r>
              <w:rPr>
                <w:rFonts w:ascii="宋体" w:hAnsi="宋体" w:eastAsia="宋体" w:cs="宋体"/>
                <w:spacing w:val="-1"/>
              </w:rPr>
              <w:t>粘土防渗层，确保防</w:t>
            </w:r>
            <w:r>
              <w:rPr>
                <w:rFonts w:ascii="宋体" w:hAnsi="宋体" w:eastAsia="宋体" w:cs="宋体"/>
                <w:spacing w:val="-4"/>
              </w:rPr>
              <w:t>渗性能等效粘土防渗层</w:t>
            </w:r>
            <w:r>
              <w:rPr>
                <w:spacing w:val="-4"/>
              </w:rPr>
              <w:t>Mb≥1.5m</w:t>
            </w:r>
            <w:r>
              <w:rPr>
                <w:rFonts w:ascii="宋体" w:hAnsi="宋体" w:eastAsia="宋体" w:cs="宋体"/>
                <w:spacing w:val="-4"/>
              </w:rPr>
              <w:t>，其渗透系</w:t>
            </w:r>
            <w:r>
              <w:rPr>
                <w:rFonts w:ascii="宋体" w:hAnsi="宋体" w:eastAsia="宋体" w:cs="宋体"/>
                <w:spacing w:val="-1"/>
              </w:rPr>
              <w:t>数</w:t>
            </w:r>
            <w:r>
              <w:rPr>
                <w:spacing w:val="-1"/>
              </w:rPr>
              <w:t>K≤10</w:t>
            </w:r>
            <w:r>
              <w:rPr>
                <w:spacing w:val="-1"/>
                <w:position w:val="9"/>
                <w:sz w:val="14"/>
                <w:szCs w:val="14"/>
              </w:rPr>
              <w:t>-7</w:t>
            </w:r>
            <w:r>
              <w:rPr>
                <w:spacing w:val="-1"/>
              </w:rPr>
              <w:t>cm/s</w:t>
            </w:r>
            <w:r>
              <w:rPr>
                <w:rFonts w:ascii="宋体" w:hAnsi="宋体" w:eastAsia="宋体" w:cs="宋体"/>
                <w:spacing w:val="-1"/>
              </w:rPr>
              <w:t>；或参照</w:t>
            </w:r>
            <w:r>
              <w:rPr>
                <w:spacing w:val="-1"/>
              </w:rPr>
              <w:t>GB16889</w:t>
            </w:r>
            <w:r>
              <w:rPr>
                <w:rFonts w:ascii="宋体" w:hAnsi="宋体" w:eastAsia="宋体" w:cs="宋体"/>
                <w:spacing w:val="-1"/>
              </w:rPr>
              <w:t>执行</w:t>
            </w:r>
          </w:p>
        </w:tc>
      </w:tr>
      <w:tr w14:paraId="1D2A6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21" w:type="dxa"/>
            <w:vAlign w:val="top"/>
          </w:tcPr>
          <w:p w14:paraId="789A1064">
            <w:pPr>
              <w:spacing w:before="54" w:line="250" w:lineRule="auto"/>
              <w:ind w:left="63" w:right="44" w:firstLine="96"/>
              <w:rPr>
                <w:rFonts w:ascii="宋体" w:hAnsi="宋体" w:eastAsia="宋体" w:cs="宋体"/>
                <w:sz w:val="21"/>
                <w:szCs w:val="21"/>
              </w:rPr>
            </w:pPr>
            <w:r>
              <w:rPr>
                <w:rFonts w:ascii="宋体" w:hAnsi="宋体" w:eastAsia="宋体" w:cs="宋体"/>
                <w:spacing w:val="-7"/>
                <w:sz w:val="21"/>
                <w:szCs w:val="21"/>
              </w:rPr>
              <w:t>简单</w:t>
            </w:r>
            <w:r>
              <w:rPr>
                <w:rFonts w:ascii="宋体" w:hAnsi="宋体" w:eastAsia="宋体" w:cs="宋体"/>
                <w:spacing w:val="-8"/>
                <w:sz w:val="21"/>
                <w:szCs w:val="21"/>
              </w:rPr>
              <w:t>防渗区</w:t>
            </w:r>
          </w:p>
        </w:tc>
        <w:tc>
          <w:tcPr>
            <w:tcW w:w="2123" w:type="dxa"/>
            <w:vAlign w:val="top"/>
          </w:tcPr>
          <w:p w14:paraId="534B25B0">
            <w:pPr>
              <w:spacing w:before="54" w:line="250" w:lineRule="auto"/>
              <w:ind w:left="23" w:right="6" w:hanging="14"/>
              <w:rPr>
                <w:rFonts w:ascii="宋体" w:hAnsi="宋体" w:eastAsia="宋体" w:cs="宋体"/>
                <w:sz w:val="21"/>
                <w:szCs w:val="21"/>
              </w:rPr>
            </w:pPr>
            <w:r>
              <w:rPr>
                <w:rFonts w:ascii="宋体" w:hAnsi="宋体" w:eastAsia="宋体" w:cs="宋体"/>
                <w:sz w:val="21"/>
                <w:szCs w:val="21"/>
              </w:rPr>
              <w:t>重点防渗区和一般防渗</w:t>
            </w:r>
            <w:r>
              <w:rPr>
                <w:rFonts w:ascii="宋体" w:hAnsi="宋体" w:eastAsia="宋体" w:cs="宋体"/>
                <w:spacing w:val="-4"/>
                <w:sz w:val="21"/>
                <w:szCs w:val="21"/>
              </w:rPr>
              <w:t>区之外的区域</w:t>
            </w:r>
          </w:p>
        </w:tc>
        <w:tc>
          <w:tcPr>
            <w:tcW w:w="1556" w:type="dxa"/>
            <w:vAlign w:val="top"/>
          </w:tcPr>
          <w:p w14:paraId="1F0D9CF8">
            <w:pPr>
              <w:spacing w:before="54" w:line="250" w:lineRule="auto"/>
              <w:ind w:left="34" w:right="14" w:hanging="21"/>
              <w:rPr>
                <w:rFonts w:ascii="宋体" w:hAnsi="宋体" w:eastAsia="宋体" w:cs="宋体"/>
                <w:sz w:val="21"/>
                <w:szCs w:val="21"/>
              </w:rPr>
            </w:pPr>
            <w:r>
              <w:rPr>
                <w:rFonts w:ascii="宋体" w:hAnsi="宋体" w:eastAsia="宋体" w:cs="宋体"/>
                <w:spacing w:val="7"/>
                <w:sz w:val="21"/>
                <w:szCs w:val="21"/>
              </w:rPr>
              <w:t>办公生活区、场</w:t>
            </w:r>
            <w:r>
              <w:rPr>
                <w:rFonts w:ascii="宋体" w:hAnsi="宋体" w:eastAsia="宋体" w:cs="宋体"/>
                <w:spacing w:val="-8"/>
                <w:sz w:val="21"/>
                <w:szCs w:val="21"/>
              </w:rPr>
              <w:t>内道路</w:t>
            </w:r>
          </w:p>
        </w:tc>
        <w:tc>
          <w:tcPr>
            <w:tcW w:w="3920" w:type="dxa"/>
            <w:vAlign w:val="top"/>
          </w:tcPr>
          <w:p w14:paraId="7A08B644">
            <w:pPr>
              <w:spacing w:before="210" w:line="219" w:lineRule="auto"/>
              <w:ind w:left="9"/>
              <w:rPr>
                <w:rFonts w:ascii="宋体" w:hAnsi="宋体" w:eastAsia="宋体" w:cs="宋体"/>
                <w:sz w:val="21"/>
                <w:szCs w:val="21"/>
              </w:rPr>
            </w:pPr>
            <w:r>
              <w:rPr>
                <w:rFonts w:ascii="宋体" w:hAnsi="宋体" w:eastAsia="宋体" w:cs="宋体"/>
                <w:spacing w:val="-1"/>
                <w:sz w:val="21"/>
                <w:szCs w:val="21"/>
              </w:rPr>
              <w:t>采取一般地面硬化</w:t>
            </w:r>
          </w:p>
        </w:tc>
      </w:tr>
    </w:tbl>
    <w:p w14:paraId="21AB3257">
      <w:pPr>
        <w:spacing w:before="29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2.2.4.6 </w:t>
      </w:r>
      <w:r>
        <w:rPr>
          <w:rFonts w:ascii="宋体" w:hAnsi="宋体" w:eastAsia="宋体" w:cs="宋体"/>
          <w:b/>
          <w:bCs/>
          <w:spacing w:val="5"/>
          <w:sz w:val="27"/>
          <w:szCs w:val="27"/>
        </w:rPr>
        <w:t>非正常工况情景分析</w:t>
      </w:r>
    </w:p>
    <w:p w14:paraId="0472B318">
      <w:pPr>
        <w:spacing w:before="236" w:line="362" w:lineRule="auto"/>
        <w:ind w:left="42" w:right="85" w:firstLine="480"/>
        <w:rPr>
          <w:rFonts w:ascii="宋体" w:hAnsi="宋体" w:eastAsia="宋体" w:cs="宋体"/>
          <w:sz w:val="24"/>
          <w:szCs w:val="24"/>
        </w:rPr>
      </w:pPr>
      <w:r>
        <w:rPr>
          <w:rFonts w:ascii="宋体" w:hAnsi="宋体" w:eastAsia="宋体" w:cs="宋体"/>
          <w:spacing w:val="-3"/>
          <w:sz w:val="24"/>
          <w:szCs w:val="24"/>
        </w:rPr>
        <w:t>项目非正常工况主要为环保设施的非正常运行，对于本</w:t>
      </w:r>
      <w:r>
        <w:rPr>
          <w:rFonts w:ascii="宋体" w:hAnsi="宋体" w:eastAsia="宋体" w:cs="宋体"/>
          <w:spacing w:val="-4"/>
          <w:sz w:val="24"/>
          <w:szCs w:val="24"/>
        </w:rPr>
        <w:t>项目而言，主要体现</w:t>
      </w:r>
      <w:r>
        <w:rPr>
          <w:rFonts w:ascii="宋体" w:hAnsi="宋体" w:eastAsia="宋体" w:cs="宋体"/>
          <w:spacing w:val="-2"/>
          <w:sz w:val="24"/>
          <w:szCs w:val="24"/>
        </w:rPr>
        <w:t>为废水处理设施及恶臭气体措施的非正常运行情况。</w:t>
      </w:r>
    </w:p>
    <w:p w14:paraId="3102AC18">
      <w:pPr>
        <w:spacing w:line="362" w:lineRule="auto"/>
        <w:rPr>
          <w:rFonts w:ascii="宋体" w:hAnsi="宋体" w:eastAsia="宋体" w:cs="宋体"/>
          <w:sz w:val="24"/>
          <w:szCs w:val="24"/>
        </w:rPr>
        <w:sectPr>
          <w:headerReference r:id="rId232" w:type="default"/>
          <w:footerReference r:id="rId233" w:type="default"/>
          <w:pgSz w:w="11905" w:h="16840"/>
          <w:pgMar w:top="1168" w:right="1712" w:bottom="1409" w:left="1770" w:header="828" w:footer="1244" w:gutter="0"/>
          <w:cols w:space="720" w:num="1"/>
        </w:sectPr>
      </w:pPr>
    </w:p>
    <w:p w14:paraId="62C7D7D8">
      <w:pPr>
        <w:pStyle w:val="2"/>
        <w:spacing w:line="306" w:lineRule="auto"/>
      </w:pPr>
    </w:p>
    <w:p w14:paraId="0E8D5256">
      <w:pPr>
        <w:spacing w:before="78" w:line="219" w:lineRule="auto"/>
        <w:ind w:left="520"/>
        <w:rPr>
          <w:rFonts w:ascii="宋体" w:hAnsi="宋体" w:eastAsia="宋体" w:cs="宋体"/>
          <w:sz w:val="24"/>
          <w:szCs w:val="24"/>
        </w:rPr>
      </w:pPr>
      <w:r>
        <w:rPr>
          <w:rFonts w:ascii="宋体" w:hAnsi="宋体" w:eastAsia="宋体" w:cs="宋体"/>
          <w:spacing w:val="-4"/>
          <w:sz w:val="24"/>
          <w:szCs w:val="24"/>
        </w:rPr>
        <w:t>本项目非正常排放有以下</w:t>
      </w:r>
      <w:r>
        <w:rPr>
          <w:rFonts w:ascii="Times New Roman" w:hAnsi="Times New Roman" w:eastAsia="Times New Roman" w:cs="Times New Roman"/>
          <w:spacing w:val="-4"/>
          <w:sz w:val="24"/>
          <w:szCs w:val="24"/>
        </w:rPr>
        <w:t>2</w:t>
      </w:r>
      <w:r>
        <w:rPr>
          <w:rFonts w:ascii="宋体" w:hAnsi="宋体" w:eastAsia="宋体" w:cs="宋体"/>
          <w:spacing w:val="-4"/>
          <w:sz w:val="24"/>
          <w:szCs w:val="24"/>
        </w:rPr>
        <w:t>种可能：</w:t>
      </w:r>
    </w:p>
    <w:p w14:paraId="2E21051E">
      <w:pPr>
        <w:spacing w:before="18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）养殖废水处理</w:t>
      </w:r>
    </w:p>
    <w:p w14:paraId="219F0BD5">
      <w:pPr>
        <w:spacing w:before="182" w:line="360" w:lineRule="auto"/>
        <w:ind w:left="39" w:right="67" w:firstLine="509"/>
        <w:rPr>
          <w:rFonts w:ascii="宋体" w:hAnsi="宋体" w:eastAsia="宋体" w:cs="宋体"/>
          <w:sz w:val="24"/>
          <w:szCs w:val="24"/>
        </w:rPr>
      </w:pPr>
      <w:r>
        <w:rPr>
          <w:rFonts w:ascii="宋体" w:hAnsi="宋体" w:eastAsia="宋体" w:cs="宋体"/>
          <w:spacing w:val="-6"/>
          <w:sz w:val="24"/>
          <w:szCs w:val="24"/>
        </w:rPr>
        <w:t>由于养猪场废水含有大量的有机物、病原体细菌等，</w:t>
      </w:r>
      <w:r>
        <w:rPr>
          <w:rFonts w:ascii="宋体" w:hAnsi="宋体" w:eastAsia="宋体" w:cs="宋体"/>
          <w:spacing w:val="-49"/>
          <w:sz w:val="24"/>
          <w:szCs w:val="24"/>
        </w:rPr>
        <w:t xml:space="preserve"> </w:t>
      </w:r>
      <w:r>
        <w:rPr>
          <w:rFonts w:ascii="宋体" w:hAnsi="宋体" w:eastAsia="宋体" w:cs="宋体"/>
          <w:spacing w:val="-6"/>
          <w:sz w:val="24"/>
          <w:szCs w:val="24"/>
        </w:rPr>
        <w:t>若出现</w:t>
      </w:r>
      <w:r>
        <w:rPr>
          <w:rFonts w:ascii="宋体" w:hAnsi="宋体" w:eastAsia="宋体" w:cs="宋体"/>
          <w:spacing w:val="-7"/>
          <w:sz w:val="24"/>
          <w:szCs w:val="24"/>
        </w:rPr>
        <w:t>项目废水未经处</w:t>
      </w:r>
      <w:r>
        <w:rPr>
          <w:rFonts w:ascii="宋体" w:hAnsi="宋体" w:eastAsia="宋体" w:cs="宋体"/>
          <w:spacing w:val="-10"/>
          <w:sz w:val="24"/>
          <w:szCs w:val="24"/>
        </w:rPr>
        <w:t>理直接排入沟渠，会造成水体发臭，大量滋生细菌、臭虫等，近而影响周围家畜、</w:t>
      </w:r>
      <w:r>
        <w:rPr>
          <w:rFonts w:ascii="宋体" w:hAnsi="宋体" w:eastAsia="宋体" w:cs="宋体"/>
          <w:spacing w:val="-6"/>
          <w:sz w:val="24"/>
          <w:szCs w:val="24"/>
        </w:rPr>
        <w:t>家禽和人群健康。若遇雨水冲刷， 污染地表水体。另一方</w:t>
      </w:r>
      <w:r>
        <w:rPr>
          <w:rFonts w:ascii="宋体" w:hAnsi="宋体" w:eastAsia="宋体" w:cs="宋体"/>
          <w:spacing w:val="-7"/>
          <w:sz w:val="24"/>
          <w:szCs w:val="24"/>
        </w:rPr>
        <w:t>面，若废水不经处理排</w:t>
      </w:r>
      <w:r>
        <w:rPr>
          <w:rFonts w:ascii="宋体" w:hAnsi="宋体" w:eastAsia="宋体" w:cs="宋体"/>
          <w:spacing w:val="-3"/>
          <w:sz w:val="24"/>
          <w:szCs w:val="24"/>
        </w:rPr>
        <w:t>放，还可能通过渗透会污染地下水环境。</w:t>
      </w:r>
    </w:p>
    <w:p w14:paraId="02081FE3">
      <w:pPr>
        <w:spacing w:line="359" w:lineRule="auto"/>
        <w:ind w:left="39" w:right="67" w:firstLine="484"/>
        <w:jc w:val="both"/>
        <w:rPr>
          <w:rFonts w:ascii="宋体" w:hAnsi="宋体" w:eastAsia="宋体" w:cs="宋体"/>
          <w:sz w:val="24"/>
          <w:szCs w:val="24"/>
        </w:rPr>
      </w:pPr>
      <w:r>
        <w:rPr>
          <w:rFonts w:ascii="宋体" w:hAnsi="宋体" w:eastAsia="宋体" w:cs="宋体"/>
          <w:spacing w:val="-3"/>
          <w:sz w:val="24"/>
          <w:szCs w:val="24"/>
        </w:rPr>
        <w:t>正常情况下，本项目养殖废水经污水处理站处理达标</w:t>
      </w:r>
      <w:r>
        <w:rPr>
          <w:rFonts w:ascii="宋体" w:hAnsi="宋体" w:eastAsia="宋体" w:cs="宋体"/>
          <w:spacing w:val="-4"/>
          <w:sz w:val="24"/>
          <w:szCs w:val="24"/>
        </w:rPr>
        <w:t>后用于消纳地农灌，不</w:t>
      </w:r>
      <w:r>
        <w:rPr>
          <w:rFonts w:ascii="宋体" w:hAnsi="宋体" w:eastAsia="宋体" w:cs="宋体"/>
          <w:spacing w:val="-6"/>
          <w:sz w:val="24"/>
          <w:szCs w:val="24"/>
        </w:rPr>
        <w:t>外排，不会影响到项目周围地表水体的水质。根据污水处理站设</w:t>
      </w:r>
      <w:r>
        <w:rPr>
          <w:rFonts w:ascii="宋体" w:hAnsi="宋体" w:eastAsia="宋体" w:cs="宋体"/>
          <w:spacing w:val="-7"/>
          <w:sz w:val="24"/>
          <w:szCs w:val="24"/>
        </w:rPr>
        <w:t>计资料， 本项目</w:t>
      </w:r>
      <w:r>
        <w:rPr>
          <w:rFonts w:ascii="宋体" w:hAnsi="宋体" w:eastAsia="宋体" w:cs="宋体"/>
          <w:sz w:val="24"/>
          <w:szCs w:val="24"/>
        </w:rPr>
        <w:t>微生物曝氧塘容积</w:t>
      </w:r>
      <w:r>
        <w:rPr>
          <w:rFonts w:ascii="Times New Roman" w:hAnsi="Times New Roman" w:eastAsia="Times New Roman" w:cs="Times New Roman"/>
          <w:sz w:val="24"/>
          <w:szCs w:val="24"/>
        </w:rPr>
        <w:t>8000m</w:t>
      </w:r>
      <w:r>
        <w:rPr>
          <w:rFonts w:ascii="Times New Roman" w:hAnsi="Times New Roman" w:eastAsia="Times New Roman" w:cs="Times New Roman"/>
          <w:position w:val="10"/>
          <w:sz w:val="15"/>
          <w:szCs w:val="15"/>
        </w:rPr>
        <w:t>3</w:t>
      </w:r>
      <w:r>
        <w:rPr>
          <w:rFonts w:ascii="Times New Roman" w:hAnsi="Times New Roman" w:eastAsia="Times New Roman" w:cs="Times New Roman"/>
          <w:spacing w:val="5"/>
          <w:position w:val="10"/>
          <w:sz w:val="15"/>
          <w:szCs w:val="15"/>
        </w:rPr>
        <w:t xml:space="preserve"> </w:t>
      </w:r>
      <w:r>
        <w:rPr>
          <w:rFonts w:ascii="宋体" w:hAnsi="宋体" w:eastAsia="宋体" w:cs="宋体"/>
          <w:sz w:val="24"/>
          <w:szCs w:val="24"/>
        </w:rPr>
        <w:t>、有效容积</w:t>
      </w:r>
      <w:r>
        <w:rPr>
          <w:rFonts w:ascii="Times New Roman" w:hAnsi="Times New Roman" w:eastAsia="Times New Roman" w:cs="Times New Roman"/>
          <w:sz w:val="24"/>
          <w:szCs w:val="24"/>
        </w:rPr>
        <w:t>7000m</w:t>
      </w:r>
      <w:r>
        <w:rPr>
          <w:rFonts w:ascii="Times New Roman" w:hAnsi="Times New Roman" w:eastAsia="Times New Roman" w:cs="Times New Roman"/>
          <w:position w:val="10"/>
          <w:sz w:val="15"/>
          <w:szCs w:val="15"/>
        </w:rPr>
        <w:t xml:space="preserve">3 </w:t>
      </w:r>
      <w:r>
        <w:rPr>
          <w:rFonts w:ascii="宋体" w:hAnsi="宋体" w:eastAsia="宋体" w:cs="宋体"/>
          <w:sz w:val="24"/>
          <w:szCs w:val="24"/>
        </w:rPr>
        <w:t>，在污水处理站发生故障不能有效</w:t>
      </w:r>
      <w:r>
        <w:rPr>
          <w:rFonts w:ascii="宋体" w:hAnsi="宋体" w:eastAsia="宋体" w:cs="宋体"/>
          <w:spacing w:val="-3"/>
          <w:sz w:val="24"/>
          <w:szCs w:val="24"/>
        </w:rPr>
        <w:t>处理污水时，首先考虑利用微生物曝氧塘的剩余容积进行调节，微生物曝氧塘可用于调节作用的容积为</w:t>
      </w:r>
      <w:r>
        <w:rPr>
          <w:rFonts w:ascii="Times New Roman" w:hAnsi="Times New Roman" w:eastAsia="Times New Roman" w:cs="Times New Roman"/>
          <w:spacing w:val="-3"/>
          <w:sz w:val="24"/>
          <w:szCs w:val="24"/>
        </w:rPr>
        <w:t>=8000-7000=1000m</w:t>
      </w:r>
      <w:r>
        <w:rPr>
          <w:rFonts w:ascii="Times New Roman" w:hAnsi="Times New Roman" w:eastAsia="Times New Roman" w:cs="Times New Roman"/>
          <w:spacing w:val="-3"/>
          <w:position w:val="10"/>
          <w:sz w:val="15"/>
          <w:szCs w:val="15"/>
        </w:rPr>
        <w:t>3</w:t>
      </w:r>
      <w:r>
        <w:rPr>
          <w:rFonts w:ascii="宋体" w:hAnsi="宋体" w:eastAsia="宋体" w:cs="宋体"/>
          <w:spacing w:val="-3"/>
          <w:sz w:val="24"/>
          <w:szCs w:val="24"/>
        </w:rPr>
        <w:t>，能够蓄积约</w:t>
      </w:r>
      <w:r>
        <w:rPr>
          <w:rFonts w:ascii="Times New Roman" w:hAnsi="Times New Roman" w:eastAsia="Times New Roman" w:cs="Times New Roman"/>
          <w:spacing w:val="-3"/>
          <w:sz w:val="24"/>
          <w:szCs w:val="24"/>
        </w:rPr>
        <w:t>4</w:t>
      </w:r>
      <w:r>
        <w:rPr>
          <w:rFonts w:ascii="宋体" w:hAnsi="宋体" w:eastAsia="宋体" w:cs="宋体"/>
          <w:spacing w:val="-3"/>
          <w:sz w:val="24"/>
          <w:szCs w:val="24"/>
        </w:rPr>
        <w:t>天的污水量（以夏季污</w:t>
      </w:r>
      <w:r>
        <w:rPr>
          <w:rFonts w:ascii="宋体" w:hAnsi="宋体" w:eastAsia="宋体" w:cs="宋体"/>
          <w:spacing w:val="-1"/>
          <w:sz w:val="24"/>
          <w:szCs w:val="24"/>
        </w:rPr>
        <w:t>水量</w:t>
      </w:r>
      <w:r>
        <w:rPr>
          <w:rFonts w:ascii="Times New Roman" w:hAnsi="Times New Roman" w:eastAsia="Times New Roman" w:cs="Times New Roman"/>
          <w:spacing w:val="-1"/>
          <w:sz w:val="24"/>
          <w:szCs w:val="24"/>
        </w:rPr>
        <w:t>247.46m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宋体" w:hAnsi="宋体" w:eastAsia="宋体" w:cs="宋体"/>
          <w:spacing w:val="-1"/>
          <w:sz w:val="24"/>
          <w:szCs w:val="24"/>
        </w:rPr>
        <w:t>可以用于养殖废水暂存，保证养殖废水不满溢、外排；在消</w:t>
      </w:r>
      <w:r>
        <w:rPr>
          <w:rFonts w:ascii="宋体" w:hAnsi="宋体" w:eastAsia="宋体" w:cs="宋体"/>
          <w:spacing w:val="2"/>
          <w:sz w:val="24"/>
          <w:szCs w:val="24"/>
        </w:rPr>
        <w:t>纳地内设置</w:t>
      </w:r>
      <w:r>
        <w:rPr>
          <w:rFonts w:ascii="Times New Roman" w:hAnsi="Times New Roman" w:eastAsia="Times New Roman" w:cs="Times New Roman"/>
          <w:spacing w:val="2"/>
          <w:sz w:val="24"/>
          <w:szCs w:val="24"/>
        </w:rPr>
        <w:t>5</w:t>
      </w:r>
      <w:r>
        <w:rPr>
          <w:rFonts w:ascii="宋体" w:hAnsi="宋体" w:eastAsia="宋体" w:cs="宋体"/>
          <w:spacing w:val="2"/>
          <w:sz w:val="24"/>
          <w:szCs w:val="24"/>
        </w:rPr>
        <w:t>座田间储存池用于非灌溉期尾水暂存，</w:t>
      </w:r>
      <w:r>
        <w:rPr>
          <w:rFonts w:ascii="宋体" w:hAnsi="宋体" w:eastAsia="宋体" w:cs="宋体"/>
          <w:spacing w:val="1"/>
          <w:sz w:val="24"/>
          <w:szCs w:val="24"/>
        </w:rPr>
        <w:t>总容积</w:t>
      </w:r>
      <w:r>
        <w:rPr>
          <w:rFonts w:ascii="Times New Roman" w:hAnsi="Times New Roman" w:eastAsia="Times New Roman" w:cs="Times New Roman"/>
          <w:spacing w:val="1"/>
          <w:sz w:val="24"/>
          <w:szCs w:val="24"/>
        </w:rPr>
        <w:t>22500m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
          <w:sz w:val="24"/>
          <w:szCs w:val="24"/>
        </w:rPr>
        <w:t>。因此，不</w:t>
      </w:r>
      <w:r>
        <w:rPr>
          <w:rFonts w:ascii="宋体" w:hAnsi="宋体" w:eastAsia="宋体" w:cs="宋体"/>
          <w:spacing w:val="-3"/>
          <w:sz w:val="24"/>
          <w:szCs w:val="24"/>
        </w:rPr>
        <w:t>考虑设置废水外排的非正常工况。</w:t>
      </w:r>
    </w:p>
    <w:p w14:paraId="321DD313">
      <w:pPr>
        <w:spacing w:before="9"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）恶臭气体处理</w:t>
      </w:r>
    </w:p>
    <w:p w14:paraId="210DE95B">
      <w:pPr>
        <w:spacing w:before="184" w:line="361" w:lineRule="auto"/>
        <w:ind w:left="42" w:right="67" w:firstLine="478"/>
        <w:rPr>
          <w:rFonts w:ascii="宋体" w:hAnsi="宋体" w:eastAsia="宋体" w:cs="宋体"/>
          <w:sz w:val="24"/>
          <w:szCs w:val="24"/>
        </w:rPr>
      </w:pPr>
      <w:r>
        <w:rPr>
          <w:rFonts w:ascii="宋体" w:hAnsi="宋体" w:eastAsia="宋体" w:cs="宋体"/>
          <w:spacing w:val="-5"/>
          <w:sz w:val="24"/>
          <w:szCs w:val="24"/>
        </w:rPr>
        <w:t>本项目猪舍可能发生粪污清理设备故障、换气</w:t>
      </w:r>
      <w:r>
        <w:rPr>
          <w:rFonts w:ascii="宋体" w:hAnsi="宋体" w:eastAsia="宋体" w:cs="宋体"/>
          <w:spacing w:val="-6"/>
          <w:sz w:val="24"/>
          <w:szCs w:val="24"/>
        </w:rPr>
        <w:t>系统故障等情景，</w:t>
      </w:r>
      <w:r>
        <w:rPr>
          <w:rFonts w:ascii="宋体" w:hAnsi="宋体" w:eastAsia="宋体" w:cs="宋体"/>
          <w:spacing w:val="-47"/>
          <w:sz w:val="24"/>
          <w:szCs w:val="24"/>
        </w:rPr>
        <w:t xml:space="preserve"> </w:t>
      </w:r>
      <w:r>
        <w:rPr>
          <w:rFonts w:ascii="宋体" w:hAnsi="宋体" w:eastAsia="宋体" w:cs="宋体"/>
          <w:spacing w:val="-6"/>
          <w:sz w:val="24"/>
          <w:szCs w:val="24"/>
        </w:rPr>
        <w:t>可以采取人</w:t>
      </w:r>
      <w:r>
        <w:rPr>
          <w:rFonts w:ascii="宋体" w:hAnsi="宋体" w:eastAsia="宋体" w:cs="宋体"/>
          <w:spacing w:val="-3"/>
          <w:sz w:val="24"/>
          <w:szCs w:val="24"/>
        </w:rPr>
        <w:t>工清理粪污、及时更换通风机等措施应对突发情况。本次评价主要考虑恶臭</w:t>
      </w:r>
      <w:r>
        <w:rPr>
          <w:rFonts w:ascii="宋体" w:hAnsi="宋体" w:eastAsia="宋体" w:cs="宋体"/>
          <w:spacing w:val="-4"/>
          <w:sz w:val="24"/>
          <w:szCs w:val="24"/>
        </w:rPr>
        <w:t>气体</w:t>
      </w:r>
      <w:r>
        <w:rPr>
          <w:rFonts w:ascii="宋体" w:hAnsi="宋体" w:eastAsia="宋体" w:cs="宋体"/>
          <w:spacing w:val="-3"/>
          <w:sz w:val="24"/>
          <w:szCs w:val="24"/>
        </w:rPr>
        <w:t>处理措施或者设施发生故障，造成恶臭污染物未经有效处理排放的情景，则</w:t>
      </w:r>
      <w:r>
        <w:rPr>
          <w:rFonts w:ascii="宋体" w:hAnsi="宋体" w:eastAsia="宋体" w:cs="宋体"/>
          <w:spacing w:val="-4"/>
          <w:sz w:val="24"/>
          <w:szCs w:val="24"/>
        </w:rPr>
        <w:t>非正</w:t>
      </w:r>
      <w:r>
        <w:rPr>
          <w:rFonts w:ascii="宋体" w:hAnsi="宋体" w:eastAsia="宋体" w:cs="宋体"/>
          <w:spacing w:val="-3"/>
          <w:sz w:val="24"/>
          <w:szCs w:val="24"/>
        </w:rPr>
        <w:t>常工况下废气排放情况如下表所示。</w:t>
      </w:r>
    </w:p>
    <w:p w14:paraId="7C1EFFDD">
      <w:pPr>
        <w:spacing w:before="7" w:line="221" w:lineRule="auto"/>
        <w:ind w:left="208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2.2-21  </w:t>
      </w:r>
      <w:r>
        <w:rPr>
          <w:rFonts w:ascii="黑体" w:hAnsi="黑体" w:eastAsia="黑体" w:cs="黑体"/>
          <w:spacing w:val="-1"/>
          <w:sz w:val="21"/>
          <w:szCs w:val="21"/>
        </w:rPr>
        <w:t>非正常工况下废气污染源参数一览表</w:t>
      </w:r>
    </w:p>
    <w:p w14:paraId="1B52816E">
      <w:pPr>
        <w:spacing w:line="89" w:lineRule="exact"/>
      </w:pPr>
    </w:p>
    <w:tbl>
      <w:tblPr>
        <w:tblStyle w:val="5"/>
        <w:tblW w:w="8317"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2131"/>
        <w:gridCol w:w="1129"/>
        <w:gridCol w:w="1257"/>
        <w:gridCol w:w="1260"/>
        <w:gridCol w:w="1259"/>
      </w:tblGrid>
      <w:tr w14:paraId="1F288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81" w:type="dxa"/>
            <w:vMerge w:val="restart"/>
            <w:tcBorders>
              <w:bottom w:val="nil"/>
            </w:tcBorders>
            <w:vAlign w:val="top"/>
          </w:tcPr>
          <w:p w14:paraId="2A8C694C">
            <w:pPr>
              <w:spacing w:line="296" w:lineRule="auto"/>
              <w:rPr>
                <w:rFonts w:ascii="Arial"/>
                <w:sz w:val="21"/>
              </w:rPr>
            </w:pPr>
          </w:p>
          <w:p w14:paraId="5C4FDD25">
            <w:pPr>
              <w:spacing w:before="69" w:line="220" w:lineRule="auto"/>
              <w:ind w:left="17"/>
              <w:rPr>
                <w:rFonts w:ascii="宋体" w:hAnsi="宋体" w:eastAsia="宋体" w:cs="宋体"/>
                <w:sz w:val="21"/>
                <w:szCs w:val="21"/>
              </w:rPr>
            </w:pPr>
            <w:r>
              <w:rPr>
                <w:rFonts w:ascii="宋体" w:hAnsi="宋体" w:eastAsia="宋体" w:cs="宋体"/>
                <w:spacing w:val="-2"/>
                <w:sz w:val="21"/>
                <w:szCs w:val="21"/>
              </w:rPr>
              <w:t>非正常排放源</w:t>
            </w:r>
          </w:p>
        </w:tc>
        <w:tc>
          <w:tcPr>
            <w:tcW w:w="2131" w:type="dxa"/>
            <w:vMerge w:val="restart"/>
            <w:tcBorders>
              <w:bottom w:val="nil"/>
            </w:tcBorders>
            <w:vAlign w:val="top"/>
          </w:tcPr>
          <w:p w14:paraId="113EA2F7">
            <w:pPr>
              <w:spacing w:line="296" w:lineRule="auto"/>
              <w:rPr>
                <w:rFonts w:ascii="Arial"/>
                <w:sz w:val="21"/>
              </w:rPr>
            </w:pPr>
          </w:p>
          <w:p w14:paraId="73B10A60">
            <w:pPr>
              <w:spacing w:before="69" w:line="220" w:lineRule="auto"/>
              <w:ind w:left="335"/>
              <w:rPr>
                <w:rFonts w:ascii="宋体" w:hAnsi="宋体" w:eastAsia="宋体" w:cs="宋体"/>
                <w:sz w:val="21"/>
                <w:szCs w:val="21"/>
              </w:rPr>
            </w:pPr>
            <w:r>
              <w:rPr>
                <w:rFonts w:ascii="宋体" w:hAnsi="宋体" w:eastAsia="宋体" w:cs="宋体"/>
                <w:spacing w:val="-2"/>
                <w:sz w:val="21"/>
                <w:szCs w:val="21"/>
              </w:rPr>
              <w:t>非正常排放原因</w:t>
            </w:r>
          </w:p>
        </w:tc>
        <w:tc>
          <w:tcPr>
            <w:tcW w:w="1129" w:type="dxa"/>
            <w:vMerge w:val="restart"/>
            <w:tcBorders>
              <w:bottom w:val="nil"/>
            </w:tcBorders>
            <w:vAlign w:val="top"/>
          </w:tcPr>
          <w:p w14:paraId="645B4943">
            <w:pPr>
              <w:spacing w:line="296" w:lineRule="auto"/>
              <w:rPr>
                <w:rFonts w:ascii="Arial"/>
                <w:sz w:val="21"/>
              </w:rPr>
            </w:pPr>
          </w:p>
          <w:p w14:paraId="7CBCC108">
            <w:pPr>
              <w:spacing w:before="69" w:line="220" w:lineRule="auto"/>
              <w:ind w:left="254"/>
              <w:rPr>
                <w:rFonts w:ascii="宋体" w:hAnsi="宋体" w:eastAsia="宋体" w:cs="宋体"/>
                <w:sz w:val="21"/>
                <w:szCs w:val="21"/>
              </w:rPr>
            </w:pPr>
            <w:r>
              <w:rPr>
                <w:rFonts w:ascii="宋体" w:hAnsi="宋体" w:eastAsia="宋体" w:cs="宋体"/>
                <w:spacing w:val="-3"/>
                <w:sz w:val="21"/>
                <w:szCs w:val="21"/>
              </w:rPr>
              <w:t>污染物</w:t>
            </w:r>
          </w:p>
        </w:tc>
        <w:tc>
          <w:tcPr>
            <w:tcW w:w="2517" w:type="dxa"/>
            <w:gridSpan w:val="2"/>
            <w:vAlign w:val="top"/>
          </w:tcPr>
          <w:p w14:paraId="259F61EE">
            <w:pPr>
              <w:spacing w:before="52" w:line="220" w:lineRule="auto"/>
              <w:ind w:left="737"/>
              <w:rPr>
                <w:rFonts w:ascii="宋体" w:hAnsi="宋体" w:eastAsia="宋体" w:cs="宋体"/>
                <w:sz w:val="21"/>
                <w:szCs w:val="21"/>
              </w:rPr>
            </w:pPr>
            <w:r>
              <w:rPr>
                <w:rFonts w:ascii="宋体" w:hAnsi="宋体" w:eastAsia="宋体" w:cs="宋体"/>
                <w:spacing w:val="-2"/>
                <w:sz w:val="21"/>
                <w:szCs w:val="21"/>
              </w:rPr>
              <w:t>有组织排放</w:t>
            </w:r>
          </w:p>
        </w:tc>
        <w:tc>
          <w:tcPr>
            <w:tcW w:w="1259" w:type="dxa"/>
            <w:vAlign w:val="top"/>
          </w:tcPr>
          <w:p w14:paraId="757C09F1">
            <w:pPr>
              <w:spacing w:before="52" w:line="220" w:lineRule="auto"/>
              <w:ind w:left="114"/>
              <w:rPr>
                <w:rFonts w:ascii="宋体" w:hAnsi="宋体" w:eastAsia="宋体" w:cs="宋体"/>
                <w:sz w:val="21"/>
                <w:szCs w:val="21"/>
              </w:rPr>
            </w:pPr>
            <w:r>
              <w:rPr>
                <w:rFonts w:ascii="宋体" w:hAnsi="宋体" w:eastAsia="宋体" w:cs="宋体"/>
                <w:spacing w:val="-2"/>
                <w:sz w:val="21"/>
                <w:szCs w:val="21"/>
              </w:rPr>
              <w:t>无组织排放</w:t>
            </w:r>
          </w:p>
        </w:tc>
      </w:tr>
      <w:tr w14:paraId="7E7BF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281" w:type="dxa"/>
            <w:vMerge w:val="continue"/>
            <w:tcBorders>
              <w:top w:val="nil"/>
            </w:tcBorders>
            <w:vAlign w:val="top"/>
          </w:tcPr>
          <w:p w14:paraId="085CA340">
            <w:pPr>
              <w:rPr>
                <w:rFonts w:ascii="Arial"/>
                <w:sz w:val="21"/>
              </w:rPr>
            </w:pPr>
          </w:p>
        </w:tc>
        <w:tc>
          <w:tcPr>
            <w:tcW w:w="2131" w:type="dxa"/>
            <w:vMerge w:val="continue"/>
            <w:tcBorders>
              <w:top w:val="nil"/>
            </w:tcBorders>
            <w:vAlign w:val="top"/>
          </w:tcPr>
          <w:p w14:paraId="2ECFCD5B">
            <w:pPr>
              <w:rPr>
                <w:rFonts w:ascii="Arial"/>
                <w:sz w:val="21"/>
              </w:rPr>
            </w:pPr>
          </w:p>
        </w:tc>
        <w:tc>
          <w:tcPr>
            <w:tcW w:w="1129" w:type="dxa"/>
            <w:vMerge w:val="continue"/>
            <w:tcBorders>
              <w:top w:val="nil"/>
            </w:tcBorders>
            <w:vAlign w:val="top"/>
          </w:tcPr>
          <w:p w14:paraId="5C207D95">
            <w:pPr>
              <w:rPr>
                <w:rFonts w:ascii="Arial"/>
                <w:sz w:val="21"/>
              </w:rPr>
            </w:pPr>
          </w:p>
        </w:tc>
        <w:tc>
          <w:tcPr>
            <w:tcW w:w="1257" w:type="dxa"/>
            <w:vAlign w:val="top"/>
          </w:tcPr>
          <w:p w14:paraId="00DB59D6">
            <w:pPr>
              <w:pStyle w:val="6"/>
              <w:spacing w:before="47" w:line="259" w:lineRule="auto"/>
              <w:ind w:left="281" w:right="209" w:hanging="71"/>
            </w:pPr>
            <w:r>
              <w:rPr>
                <w:rFonts w:ascii="宋体" w:hAnsi="宋体" w:eastAsia="宋体" w:cs="宋体"/>
                <w:spacing w:val="-3"/>
              </w:rPr>
              <w:t>排放浓度</w:t>
            </w:r>
            <w:r>
              <w:rPr>
                <w:spacing w:val="-2"/>
              </w:rPr>
              <w:t>(mg/m</w:t>
            </w:r>
            <w:r>
              <w:rPr>
                <w:spacing w:val="-2"/>
                <w:position w:val="1"/>
                <w:sz w:val="14"/>
                <w:szCs w:val="14"/>
              </w:rPr>
              <w:t>3</w:t>
            </w:r>
            <w:r>
              <w:rPr>
                <w:spacing w:val="-2"/>
                <w:position w:val="1"/>
              </w:rPr>
              <w:t>)</w:t>
            </w:r>
          </w:p>
        </w:tc>
        <w:tc>
          <w:tcPr>
            <w:tcW w:w="1260" w:type="dxa"/>
            <w:vAlign w:val="top"/>
          </w:tcPr>
          <w:p w14:paraId="25D62070">
            <w:pPr>
              <w:pStyle w:val="6"/>
              <w:spacing w:before="47" w:line="264" w:lineRule="auto"/>
              <w:ind w:left="378" w:right="207" w:hanging="163"/>
            </w:pPr>
            <w:r>
              <w:rPr>
                <w:rFonts w:ascii="宋体" w:hAnsi="宋体" w:eastAsia="宋体" w:cs="宋体"/>
                <w:spacing w:val="-3"/>
              </w:rPr>
              <w:t>排放速率</w:t>
            </w:r>
            <w:r>
              <w:rPr>
                <w:spacing w:val="-2"/>
              </w:rPr>
              <w:t>(kg/h)</w:t>
            </w:r>
          </w:p>
        </w:tc>
        <w:tc>
          <w:tcPr>
            <w:tcW w:w="1259" w:type="dxa"/>
            <w:vAlign w:val="top"/>
          </w:tcPr>
          <w:p w14:paraId="2B677F78">
            <w:pPr>
              <w:pStyle w:val="6"/>
              <w:spacing w:before="47" w:line="264" w:lineRule="auto"/>
              <w:ind w:left="380" w:right="205" w:hanging="163"/>
            </w:pPr>
            <w:r>
              <w:rPr>
                <w:rFonts w:ascii="宋体" w:hAnsi="宋体" w:eastAsia="宋体" w:cs="宋体"/>
                <w:spacing w:val="-3"/>
              </w:rPr>
              <w:t>排放速率</w:t>
            </w:r>
            <w:r>
              <w:rPr>
                <w:spacing w:val="-2"/>
              </w:rPr>
              <w:t>(kg/h)</w:t>
            </w:r>
          </w:p>
        </w:tc>
      </w:tr>
      <w:tr w14:paraId="13701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1" w:type="dxa"/>
            <w:vMerge w:val="restart"/>
            <w:tcBorders>
              <w:bottom w:val="nil"/>
            </w:tcBorders>
            <w:vAlign w:val="top"/>
          </w:tcPr>
          <w:p w14:paraId="050836FF">
            <w:pPr>
              <w:spacing w:before="56" w:line="220" w:lineRule="auto"/>
              <w:ind w:left="330"/>
              <w:rPr>
                <w:rFonts w:ascii="宋体" w:hAnsi="宋体" w:eastAsia="宋体" w:cs="宋体"/>
                <w:sz w:val="21"/>
                <w:szCs w:val="21"/>
              </w:rPr>
            </w:pPr>
            <w:r>
              <w:rPr>
                <w:rFonts w:ascii="宋体" w:hAnsi="宋体" w:eastAsia="宋体" w:cs="宋体"/>
                <w:spacing w:val="-3"/>
                <w:sz w:val="21"/>
                <w:szCs w:val="21"/>
              </w:rPr>
              <w:t>保育楼</w:t>
            </w:r>
          </w:p>
          <w:p w14:paraId="1EF90933">
            <w:pPr>
              <w:spacing w:before="62" w:line="219" w:lineRule="auto"/>
              <w:ind w:left="337"/>
              <w:rPr>
                <w:rFonts w:ascii="宋体" w:hAnsi="宋体" w:eastAsia="宋体" w:cs="宋体"/>
                <w:sz w:val="21"/>
                <w:szCs w:val="21"/>
              </w:rPr>
            </w:pPr>
            <w:r>
              <w:rPr>
                <w:rFonts w:ascii="宋体" w:hAnsi="宋体" w:eastAsia="宋体" w:cs="宋体"/>
                <w:spacing w:val="-4"/>
                <w:sz w:val="21"/>
                <w:szCs w:val="21"/>
              </w:rPr>
              <w:t>育肥楼</w:t>
            </w:r>
          </w:p>
        </w:tc>
        <w:tc>
          <w:tcPr>
            <w:tcW w:w="2131" w:type="dxa"/>
            <w:vMerge w:val="restart"/>
            <w:tcBorders>
              <w:bottom w:val="nil"/>
            </w:tcBorders>
            <w:vAlign w:val="top"/>
          </w:tcPr>
          <w:p w14:paraId="0AF3048F">
            <w:pPr>
              <w:spacing w:before="56" w:line="251" w:lineRule="auto"/>
              <w:ind w:left="444" w:right="17" w:hanging="428"/>
              <w:rPr>
                <w:rFonts w:ascii="宋体" w:hAnsi="宋体" w:eastAsia="宋体" w:cs="宋体"/>
                <w:sz w:val="21"/>
                <w:szCs w:val="21"/>
              </w:rPr>
            </w:pPr>
            <w:r>
              <w:rPr>
                <w:rFonts w:ascii="宋体" w:hAnsi="宋体" w:eastAsia="宋体" w:cs="宋体"/>
                <w:spacing w:val="-1"/>
                <w:sz w:val="21"/>
                <w:szCs w:val="21"/>
              </w:rPr>
              <w:t>猪舍未采取末端的生物</w:t>
            </w:r>
            <w:r>
              <w:rPr>
                <w:rFonts w:ascii="宋体" w:hAnsi="宋体" w:eastAsia="宋体" w:cs="宋体"/>
                <w:spacing w:val="-3"/>
                <w:sz w:val="21"/>
                <w:szCs w:val="21"/>
              </w:rPr>
              <w:t>喷雾除臭措施</w:t>
            </w:r>
          </w:p>
        </w:tc>
        <w:tc>
          <w:tcPr>
            <w:tcW w:w="1129" w:type="dxa"/>
            <w:vAlign w:val="top"/>
          </w:tcPr>
          <w:p w14:paraId="478DD3C4">
            <w:pPr>
              <w:pStyle w:val="6"/>
              <w:spacing w:before="91" w:line="195" w:lineRule="auto"/>
              <w:ind w:left="370"/>
              <w:rPr>
                <w:sz w:val="14"/>
                <w:szCs w:val="14"/>
              </w:rPr>
            </w:pPr>
            <w:r>
              <w:t>NH</w:t>
            </w:r>
            <w:r>
              <w:rPr>
                <w:spacing w:val="1"/>
                <w:position w:val="-2"/>
                <w:sz w:val="14"/>
                <w:szCs w:val="14"/>
              </w:rPr>
              <w:t>3</w:t>
            </w:r>
          </w:p>
        </w:tc>
        <w:tc>
          <w:tcPr>
            <w:tcW w:w="1257" w:type="dxa"/>
            <w:vAlign w:val="top"/>
          </w:tcPr>
          <w:p w14:paraId="7A1B134C">
            <w:pPr>
              <w:pStyle w:val="6"/>
              <w:spacing w:before="84" w:line="192" w:lineRule="auto"/>
              <w:ind w:left="593"/>
            </w:pPr>
            <w:r>
              <w:t>/</w:t>
            </w:r>
          </w:p>
        </w:tc>
        <w:tc>
          <w:tcPr>
            <w:tcW w:w="1260" w:type="dxa"/>
            <w:vAlign w:val="top"/>
          </w:tcPr>
          <w:p w14:paraId="4689FCAB">
            <w:pPr>
              <w:pStyle w:val="6"/>
              <w:spacing w:before="84" w:line="192" w:lineRule="auto"/>
              <w:ind w:left="599"/>
            </w:pPr>
            <w:r>
              <w:t>/</w:t>
            </w:r>
          </w:p>
        </w:tc>
        <w:tc>
          <w:tcPr>
            <w:tcW w:w="1259" w:type="dxa"/>
            <w:vAlign w:val="top"/>
          </w:tcPr>
          <w:p w14:paraId="09050029">
            <w:pPr>
              <w:pStyle w:val="6"/>
              <w:spacing w:before="88" w:line="188" w:lineRule="auto"/>
              <w:ind w:left="348"/>
            </w:pPr>
            <w:r>
              <w:rPr>
                <w:spacing w:val="-2"/>
              </w:rPr>
              <w:t>0.6484</w:t>
            </w:r>
          </w:p>
        </w:tc>
      </w:tr>
      <w:tr w14:paraId="7DF70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Merge w:val="continue"/>
            <w:tcBorders>
              <w:top w:val="nil"/>
            </w:tcBorders>
            <w:vAlign w:val="top"/>
          </w:tcPr>
          <w:p w14:paraId="192437E6">
            <w:pPr>
              <w:rPr>
                <w:rFonts w:ascii="Arial"/>
                <w:sz w:val="21"/>
              </w:rPr>
            </w:pPr>
          </w:p>
        </w:tc>
        <w:tc>
          <w:tcPr>
            <w:tcW w:w="2131" w:type="dxa"/>
            <w:vMerge w:val="continue"/>
            <w:tcBorders>
              <w:top w:val="nil"/>
            </w:tcBorders>
            <w:vAlign w:val="top"/>
          </w:tcPr>
          <w:p w14:paraId="3B3A8268">
            <w:pPr>
              <w:rPr>
                <w:rFonts w:ascii="Arial"/>
                <w:sz w:val="21"/>
              </w:rPr>
            </w:pPr>
          </w:p>
        </w:tc>
        <w:tc>
          <w:tcPr>
            <w:tcW w:w="1129" w:type="dxa"/>
            <w:vAlign w:val="top"/>
          </w:tcPr>
          <w:p w14:paraId="491AFDAA">
            <w:pPr>
              <w:pStyle w:val="6"/>
              <w:spacing w:before="87" w:line="198" w:lineRule="auto"/>
              <w:ind w:left="392"/>
            </w:pPr>
            <w:r>
              <w:rPr>
                <w:spacing w:val="-2"/>
              </w:rPr>
              <w:t>H</w:t>
            </w:r>
            <w:r>
              <w:rPr>
                <w:spacing w:val="-2"/>
                <w:position w:val="-2"/>
                <w:sz w:val="14"/>
                <w:szCs w:val="14"/>
              </w:rPr>
              <w:t>2</w:t>
            </w:r>
            <w:r>
              <w:rPr>
                <w:spacing w:val="-2"/>
              </w:rPr>
              <w:t>S</w:t>
            </w:r>
          </w:p>
        </w:tc>
        <w:tc>
          <w:tcPr>
            <w:tcW w:w="1257" w:type="dxa"/>
            <w:vAlign w:val="top"/>
          </w:tcPr>
          <w:p w14:paraId="0CB33F47">
            <w:pPr>
              <w:pStyle w:val="6"/>
              <w:spacing w:before="83" w:line="192" w:lineRule="auto"/>
              <w:ind w:left="593"/>
            </w:pPr>
            <w:r>
              <w:t>/</w:t>
            </w:r>
          </w:p>
        </w:tc>
        <w:tc>
          <w:tcPr>
            <w:tcW w:w="1260" w:type="dxa"/>
            <w:vAlign w:val="top"/>
          </w:tcPr>
          <w:p w14:paraId="0A9DE46E">
            <w:pPr>
              <w:pStyle w:val="6"/>
              <w:spacing w:before="83" w:line="192" w:lineRule="auto"/>
              <w:ind w:left="599"/>
            </w:pPr>
            <w:r>
              <w:t>/</w:t>
            </w:r>
          </w:p>
        </w:tc>
        <w:tc>
          <w:tcPr>
            <w:tcW w:w="1259" w:type="dxa"/>
            <w:vAlign w:val="top"/>
          </w:tcPr>
          <w:p w14:paraId="6CBF3A0B">
            <w:pPr>
              <w:pStyle w:val="6"/>
              <w:spacing w:before="87" w:line="188" w:lineRule="auto"/>
              <w:ind w:left="348"/>
            </w:pPr>
            <w:r>
              <w:rPr>
                <w:spacing w:val="-2"/>
              </w:rPr>
              <w:t>0.0164</w:t>
            </w:r>
          </w:p>
        </w:tc>
      </w:tr>
      <w:tr w14:paraId="6DE48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Merge w:val="restart"/>
            <w:tcBorders>
              <w:bottom w:val="nil"/>
            </w:tcBorders>
            <w:vAlign w:val="top"/>
          </w:tcPr>
          <w:p w14:paraId="541FD20C">
            <w:pPr>
              <w:spacing w:before="212" w:line="219" w:lineRule="auto"/>
              <w:ind w:left="22"/>
              <w:rPr>
                <w:rFonts w:ascii="宋体" w:hAnsi="宋体" w:eastAsia="宋体" w:cs="宋体"/>
                <w:sz w:val="21"/>
                <w:szCs w:val="21"/>
              </w:rPr>
            </w:pPr>
            <w:r>
              <w:rPr>
                <w:rFonts w:ascii="宋体" w:hAnsi="宋体" w:eastAsia="宋体" w:cs="宋体"/>
                <w:spacing w:val="-3"/>
                <w:sz w:val="21"/>
                <w:szCs w:val="21"/>
              </w:rPr>
              <w:t>育肥猪转猪舍</w:t>
            </w:r>
          </w:p>
        </w:tc>
        <w:tc>
          <w:tcPr>
            <w:tcW w:w="2131" w:type="dxa"/>
            <w:vMerge w:val="restart"/>
            <w:tcBorders>
              <w:bottom w:val="nil"/>
            </w:tcBorders>
            <w:vAlign w:val="top"/>
          </w:tcPr>
          <w:p w14:paraId="22DA030A">
            <w:pPr>
              <w:spacing w:before="56" w:line="251" w:lineRule="auto"/>
              <w:ind w:left="331" w:right="17" w:hanging="314"/>
              <w:rPr>
                <w:rFonts w:ascii="宋体" w:hAnsi="宋体" w:eastAsia="宋体" w:cs="宋体"/>
                <w:sz w:val="21"/>
                <w:szCs w:val="21"/>
              </w:rPr>
            </w:pPr>
            <w:r>
              <w:rPr>
                <w:rFonts w:ascii="宋体" w:hAnsi="宋体" w:eastAsia="宋体" w:cs="宋体"/>
                <w:spacing w:val="-1"/>
                <w:sz w:val="21"/>
                <w:szCs w:val="21"/>
              </w:rPr>
              <w:t>转猪舍未采取末端的生</w:t>
            </w:r>
            <w:r>
              <w:rPr>
                <w:rFonts w:ascii="宋体" w:hAnsi="宋体" w:eastAsia="宋体" w:cs="宋体"/>
                <w:spacing w:val="-2"/>
                <w:sz w:val="21"/>
                <w:szCs w:val="21"/>
              </w:rPr>
              <w:t>物喷雾除臭措施</w:t>
            </w:r>
          </w:p>
        </w:tc>
        <w:tc>
          <w:tcPr>
            <w:tcW w:w="1129" w:type="dxa"/>
            <w:vAlign w:val="top"/>
          </w:tcPr>
          <w:p w14:paraId="6BECAD92">
            <w:pPr>
              <w:pStyle w:val="6"/>
              <w:spacing w:before="91" w:line="195" w:lineRule="auto"/>
              <w:ind w:left="370"/>
              <w:rPr>
                <w:sz w:val="14"/>
                <w:szCs w:val="14"/>
              </w:rPr>
            </w:pPr>
            <w:r>
              <w:t>NH</w:t>
            </w:r>
            <w:r>
              <w:rPr>
                <w:spacing w:val="1"/>
                <w:position w:val="-2"/>
                <w:sz w:val="14"/>
                <w:szCs w:val="14"/>
              </w:rPr>
              <w:t>3</w:t>
            </w:r>
          </w:p>
        </w:tc>
        <w:tc>
          <w:tcPr>
            <w:tcW w:w="1257" w:type="dxa"/>
            <w:vAlign w:val="top"/>
          </w:tcPr>
          <w:p w14:paraId="73C20BED">
            <w:pPr>
              <w:pStyle w:val="6"/>
              <w:spacing w:before="84" w:line="192" w:lineRule="auto"/>
              <w:ind w:left="593"/>
            </w:pPr>
            <w:r>
              <w:t>/</w:t>
            </w:r>
          </w:p>
        </w:tc>
        <w:tc>
          <w:tcPr>
            <w:tcW w:w="1260" w:type="dxa"/>
            <w:vAlign w:val="top"/>
          </w:tcPr>
          <w:p w14:paraId="5DE76261">
            <w:pPr>
              <w:pStyle w:val="6"/>
              <w:spacing w:before="84" w:line="192" w:lineRule="auto"/>
              <w:ind w:left="599"/>
            </w:pPr>
            <w:r>
              <w:t>/</w:t>
            </w:r>
          </w:p>
        </w:tc>
        <w:tc>
          <w:tcPr>
            <w:tcW w:w="1259" w:type="dxa"/>
            <w:vAlign w:val="top"/>
          </w:tcPr>
          <w:p w14:paraId="39F21B9C">
            <w:pPr>
              <w:pStyle w:val="6"/>
              <w:spacing w:before="88" w:line="188" w:lineRule="auto"/>
              <w:ind w:left="348"/>
            </w:pPr>
            <w:r>
              <w:rPr>
                <w:spacing w:val="-2"/>
              </w:rPr>
              <w:t>0.0180</w:t>
            </w:r>
          </w:p>
        </w:tc>
      </w:tr>
      <w:tr w14:paraId="04363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1" w:type="dxa"/>
            <w:vMerge w:val="continue"/>
            <w:tcBorders>
              <w:top w:val="nil"/>
            </w:tcBorders>
            <w:vAlign w:val="top"/>
          </w:tcPr>
          <w:p w14:paraId="048B0EC7">
            <w:pPr>
              <w:rPr>
                <w:rFonts w:ascii="Arial"/>
                <w:sz w:val="21"/>
              </w:rPr>
            </w:pPr>
          </w:p>
        </w:tc>
        <w:tc>
          <w:tcPr>
            <w:tcW w:w="2131" w:type="dxa"/>
            <w:vMerge w:val="continue"/>
            <w:tcBorders>
              <w:top w:val="nil"/>
            </w:tcBorders>
            <w:vAlign w:val="top"/>
          </w:tcPr>
          <w:p w14:paraId="5EECE9D5">
            <w:pPr>
              <w:rPr>
                <w:rFonts w:ascii="Arial"/>
                <w:sz w:val="21"/>
              </w:rPr>
            </w:pPr>
          </w:p>
        </w:tc>
        <w:tc>
          <w:tcPr>
            <w:tcW w:w="1129" w:type="dxa"/>
            <w:vAlign w:val="top"/>
          </w:tcPr>
          <w:p w14:paraId="0A8F08F2">
            <w:pPr>
              <w:pStyle w:val="6"/>
              <w:spacing w:before="90" w:line="198" w:lineRule="auto"/>
              <w:ind w:left="392"/>
            </w:pPr>
            <w:r>
              <w:rPr>
                <w:spacing w:val="-2"/>
              </w:rPr>
              <w:t>H</w:t>
            </w:r>
            <w:r>
              <w:rPr>
                <w:spacing w:val="-2"/>
                <w:position w:val="-2"/>
                <w:sz w:val="14"/>
                <w:szCs w:val="14"/>
              </w:rPr>
              <w:t>2</w:t>
            </w:r>
            <w:r>
              <w:rPr>
                <w:spacing w:val="-2"/>
              </w:rPr>
              <w:t>S</w:t>
            </w:r>
          </w:p>
        </w:tc>
        <w:tc>
          <w:tcPr>
            <w:tcW w:w="1257" w:type="dxa"/>
            <w:vAlign w:val="top"/>
          </w:tcPr>
          <w:p w14:paraId="5EE0EB0C">
            <w:pPr>
              <w:pStyle w:val="6"/>
              <w:spacing w:before="86" w:line="192" w:lineRule="auto"/>
              <w:ind w:left="593"/>
            </w:pPr>
            <w:r>
              <w:t>/</w:t>
            </w:r>
          </w:p>
        </w:tc>
        <w:tc>
          <w:tcPr>
            <w:tcW w:w="1260" w:type="dxa"/>
            <w:vAlign w:val="top"/>
          </w:tcPr>
          <w:p w14:paraId="5D2A89AB">
            <w:pPr>
              <w:pStyle w:val="6"/>
              <w:spacing w:before="86" w:line="192" w:lineRule="auto"/>
              <w:ind w:left="599"/>
            </w:pPr>
            <w:r>
              <w:t>/</w:t>
            </w:r>
          </w:p>
        </w:tc>
        <w:tc>
          <w:tcPr>
            <w:tcW w:w="1259" w:type="dxa"/>
            <w:vAlign w:val="top"/>
          </w:tcPr>
          <w:p w14:paraId="19B59027">
            <w:pPr>
              <w:pStyle w:val="6"/>
              <w:spacing w:before="90" w:line="188" w:lineRule="auto"/>
              <w:ind w:left="348"/>
            </w:pPr>
            <w:r>
              <w:rPr>
                <w:spacing w:val="-2"/>
              </w:rPr>
              <w:t>0.0005</w:t>
            </w:r>
          </w:p>
        </w:tc>
      </w:tr>
      <w:tr w14:paraId="2F5B5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Merge w:val="restart"/>
            <w:tcBorders>
              <w:bottom w:val="nil"/>
            </w:tcBorders>
            <w:vAlign w:val="top"/>
          </w:tcPr>
          <w:p w14:paraId="3DBCC54F">
            <w:pPr>
              <w:spacing w:before="213" w:line="220" w:lineRule="auto"/>
              <w:ind w:left="121"/>
              <w:rPr>
                <w:rFonts w:ascii="宋体" w:hAnsi="宋体" w:eastAsia="宋体" w:cs="宋体"/>
                <w:sz w:val="21"/>
                <w:szCs w:val="21"/>
              </w:rPr>
            </w:pPr>
            <w:r>
              <w:rPr>
                <w:rFonts w:ascii="宋体" w:hAnsi="宋体" w:eastAsia="宋体" w:cs="宋体"/>
                <w:spacing w:val="-2"/>
                <w:sz w:val="21"/>
                <w:szCs w:val="21"/>
              </w:rPr>
              <w:t>粪污处理区</w:t>
            </w:r>
          </w:p>
        </w:tc>
        <w:tc>
          <w:tcPr>
            <w:tcW w:w="2131" w:type="dxa"/>
            <w:vMerge w:val="restart"/>
            <w:tcBorders>
              <w:bottom w:val="nil"/>
            </w:tcBorders>
            <w:vAlign w:val="top"/>
          </w:tcPr>
          <w:p w14:paraId="2868265C">
            <w:pPr>
              <w:spacing w:before="58" w:line="250" w:lineRule="auto"/>
              <w:ind w:left="226" w:right="121" w:hanging="101"/>
              <w:rPr>
                <w:rFonts w:ascii="宋体" w:hAnsi="宋体" w:eastAsia="宋体" w:cs="宋体"/>
                <w:sz w:val="21"/>
                <w:szCs w:val="21"/>
              </w:rPr>
            </w:pPr>
            <w:r>
              <w:rPr>
                <w:rFonts w:ascii="宋体" w:hAnsi="宋体" w:eastAsia="宋体" w:cs="宋体"/>
                <w:spacing w:val="-2"/>
                <w:sz w:val="21"/>
                <w:szCs w:val="21"/>
              </w:rPr>
              <w:t>未采取喷洒生物除臭</w:t>
            </w:r>
            <w:r>
              <w:rPr>
                <w:rFonts w:ascii="宋体" w:hAnsi="宋体" w:eastAsia="宋体" w:cs="宋体"/>
                <w:spacing w:val="-1"/>
                <w:sz w:val="21"/>
                <w:szCs w:val="21"/>
              </w:rPr>
              <w:t>剂，生物滤池故障</w:t>
            </w:r>
          </w:p>
        </w:tc>
        <w:tc>
          <w:tcPr>
            <w:tcW w:w="1129" w:type="dxa"/>
            <w:vAlign w:val="top"/>
          </w:tcPr>
          <w:p w14:paraId="1A9DEA63">
            <w:pPr>
              <w:pStyle w:val="6"/>
              <w:spacing w:before="92" w:line="195" w:lineRule="auto"/>
              <w:ind w:left="370"/>
              <w:rPr>
                <w:sz w:val="14"/>
                <w:szCs w:val="14"/>
              </w:rPr>
            </w:pPr>
            <w:r>
              <w:t>NH</w:t>
            </w:r>
            <w:r>
              <w:rPr>
                <w:spacing w:val="1"/>
                <w:position w:val="-2"/>
                <w:sz w:val="14"/>
                <w:szCs w:val="14"/>
              </w:rPr>
              <w:t>3</w:t>
            </w:r>
          </w:p>
        </w:tc>
        <w:tc>
          <w:tcPr>
            <w:tcW w:w="1257" w:type="dxa"/>
            <w:vAlign w:val="top"/>
          </w:tcPr>
          <w:p w14:paraId="1E5C674A">
            <w:pPr>
              <w:pStyle w:val="6"/>
              <w:spacing w:before="89" w:line="188" w:lineRule="auto"/>
              <w:ind w:left="394"/>
            </w:pPr>
            <w:r>
              <w:rPr>
                <w:spacing w:val="-2"/>
              </w:rPr>
              <w:t>36.64</w:t>
            </w:r>
          </w:p>
        </w:tc>
        <w:tc>
          <w:tcPr>
            <w:tcW w:w="1260" w:type="dxa"/>
            <w:vAlign w:val="top"/>
          </w:tcPr>
          <w:p w14:paraId="789CC2AD">
            <w:pPr>
              <w:pStyle w:val="6"/>
              <w:spacing w:before="89" w:line="188" w:lineRule="auto"/>
              <w:ind w:left="347"/>
            </w:pPr>
            <w:r>
              <w:rPr>
                <w:spacing w:val="-2"/>
              </w:rPr>
              <w:t>0.2198</w:t>
            </w:r>
          </w:p>
        </w:tc>
        <w:tc>
          <w:tcPr>
            <w:tcW w:w="1259" w:type="dxa"/>
            <w:vAlign w:val="top"/>
          </w:tcPr>
          <w:p w14:paraId="54A36A65">
            <w:pPr>
              <w:pStyle w:val="6"/>
              <w:spacing w:before="89" w:line="188" w:lineRule="auto"/>
              <w:ind w:left="352"/>
            </w:pPr>
            <w:r>
              <w:rPr>
                <w:spacing w:val="-2"/>
              </w:rPr>
              <w:t>0.0116</w:t>
            </w:r>
          </w:p>
        </w:tc>
      </w:tr>
      <w:tr w14:paraId="3F07E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1" w:type="dxa"/>
            <w:vMerge w:val="continue"/>
            <w:tcBorders>
              <w:top w:val="nil"/>
            </w:tcBorders>
            <w:vAlign w:val="top"/>
          </w:tcPr>
          <w:p w14:paraId="22B63A21">
            <w:pPr>
              <w:rPr>
                <w:rFonts w:ascii="Arial"/>
                <w:sz w:val="21"/>
              </w:rPr>
            </w:pPr>
          </w:p>
        </w:tc>
        <w:tc>
          <w:tcPr>
            <w:tcW w:w="2131" w:type="dxa"/>
            <w:vMerge w:val="continue"/>
            <w:tcBorders>
              <w:top w:val="nil"/>
            </w:tcBorders>
            <w:vAlign w:val="top"/>
          </w:tcPr>
          <w:p w14:paraId="3E51910D">
            <w:pPr>
              <w:rPr>
                <w:rFonts w:ascii="Arial"/>
                <w:sz w:val="21"/>
              </w:rPr>
            </w:pPr>
          </w:p>
        </w:tc>
        <w:tc>
          <w:tcPr>
            <w:tcW w:w="1129" w:type="dxa"/>
            <w:vAlign w:val="top"/>
          </w:tcPr>
          <w:p w14:paraId="1F70546D">
            <w:pPr>
              <w:pStyle w:val="6"/>
              <w:spacing w:before="90" w:line="198" w:lineRule="auto"/>
              <w:ind w:left="392"/>
            </w:pPr>
            <w:r>
              <w:rPr>
                <w:spacing w:val="-2"/>
              </w:rPr>
              <w:t>H</w:t>
            </w:r>
            <w:r>
              <w:rPr>
                <w:spacing w:val="-2"/>
                <w:position w:val="-2"/>
                <w:sz w:val="14"/>
                <w:szCs w:val="14"/>
              </w:rPr>
              <w:t>2</w:t>
            </w:r>
            <w:r>
              <w:rPr>
                <w:spacing w:val="-2"/>
              </w:rPr>
              <w:t>S</w:t>
            </w:r>
          </w:p>
        </w:tc>
        <w:tc>
          <w:tcPr>
            <w:tcW w:w="1257" w:type="dxa"/>
            <w:vAlign w:val="top"/>
          </w:tcPr>
          <w:p w14:paraId="0BEBA657">
            <w:pPr>
              <w:pStyle w:val="6"/>
              <w:spacing w:before="90" w:line="188" w:lineRule="auto"/>
              <w:ind w:left="463"/>
            </w:pPr>
            <w:r>
              <w:rPr>
                <w:spacing w:val="-7"/>
              </w:rPr>
              <w:t>1.41</w:t>
            </w:r>
          </w:p>
        </w:tc>
        <w:tc>
          <w:tcPr>
            <w:tcW w:w="1260" w:type="dxa"/>
            <w:vAlign w:val="top"/>
          </w:tcPr>
          <w:p w14:paraId="65145E26">
            <w:pPr>
              <w:pStyle w:val="6"/>
              <w:spacing w:before="90" w:line="188" w:lineRule="auto"/>
              <w:ind w:left="347"/>
            </w:pPr>
            <w:r>
              <w:rPr>
                <w:spacing w:val="-2"/>
              </w:rPr>
              <w:t>0.0085</w:t>
            </w:r>
          </w:p>
        </w:tc>
        <w:tc>
          <w:tcPr>
            <w:tcW w:w="1259" w:type="dxa"/>
            <w:vAlign w:val="top"/>
          </w:tcPr>
          <w:p w14:paraId="480E5EF5">
            <w:pPr>
              <w:pStyle w:val="6"/>
              <w:spacing w:before="90" w:line="188" w:lineRule="auto"/>
              <w:ind w:left="348"/>
            </w:pPr>
            <w:r>
              <w:rPr>
                <w:spacing w:val="-2"/>
              </w:rPr>
              <w:t>0.0004</w:t>
            </w:r>
          </w:p>
        </w:tc>
      </w:tr>
      <w:tr w14:paraId="72F17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1" w:type="dxa"/>
            <w:vMerge w:val="restart"/>
            <w:tcBorders>
              <w:bottom w:val="nil"/>
            </w:tcBorders>
            <w:vAlign w:val="top"/>
          </w:tcPr>
          <w:p w14:paraId="7EFC7E98">
            <w:pPr>
              <w:spacing w:before="216" w:line="220" w:lineRule="auto"/>
              <w:ind w:left="330"/>
              <w:rPr>
                <w:rFonts w:ascii="宋体" w:hAnsi="宋体" w:eastAsia="宋体" w:cs="宋体"/>
                <w:sz w:val="21"/>
                <w:szCs w:val="21"/>
              </w:rPr>
            </w:pPr>
            <w:r>
              <w:rPr>
                <w:rFonts w:ascii="宋体" w:hAnsi="宋体" w:eastAsia="宋体" w:cs="宋体"/>
                <w:spacing w:val="-3"/>
                <w:sz w:val="21"/>
                <w:szCs w:val="21"/>
              </w:rPr>
              <w:t>堆粪棚</w:t>
            </w:r>
          </w:p>
        </w:tc>
        <w:tc>
          <w:tcPr>
            <w:tcW w:w="2131" w:type="dxa"/>
            <w:vMerge w:val="restart"/>
            <w:tcBorders>
              <w:bottom w:val="nil"/>
            </w:tcBorders>
            <w:vAlign w:val="top"/>
          </w:tcPr>
          <w:p w14:paraId="52A031F8">
            <w:pPr>
              <w:spacing w:before="59" w:line="251" w:lineRule="auto"/>
              <w:ind w:left="226" w:right="121" w:hanging="101"/>
              <w:rPr>
                <w:rFonts w:ascii="宋体" w:hAnsi="宋体" w:eastAsia="宋体" w:cs="宋体"/>
                <w:sz w:val="21"/>
                <w:szCs w:val="21"/>
              </w:rPr>
            </w:pPr>
            <w:r>
              <w:rPr>
                <w:rFonts w:ascii="宋体" w:hAnsi="宋体" w:eastAsia="宋体" w:cs="宋体"/>
                <w:spacing w:val="-2"/>
                <w:sz w:val="21"/>
                <w:szCs w:val="21"/>
              </w:rPr>
              <w:t>未采取喷洒生物除臭</w:t>
            </w:r>
            <w:r>
              <w:rPr>
                <w:rFonts w:ascii="宋体" w:hAnsi="宋体" w:eastAsia="宋体" w:cs="宋体"/>
                <w:spacing w:val="-1"/>
                <w:sz w:val="21"/>
                <w:szCs w:val="21"/>
              </w:rPr>
              <w:t>剂，生物滤池故障</w:t>
            </w:r>
          </w:p>
        </w:tc>
        <w:tc>
          <w:tcPr>
            <w:tcW w:w="1129" w:type="dxa"/>
            <w:vAlign w:val="top"/>
          </w:tcPr>
          <w:p w14:paraId="2A30B85E">
            <w:pPr>
              <w:pStyle w:val="6"/>
              <w:spacing w:before="95" w:line="195" w:lineRule="auto"/>
              <w:ind w:left="370"/>
              <w:rPr>
                <w:sz w:val="14"/>
                <w:szCs w:val="14"/>
              </w:rPr>
            </w:pPr>
            <w:r>
              <w:t>NH</w:t>
            </w:r>
            <w:r>
              <w:rPr>
                <w:spacing w:val="1"/>
                <w:position w:val="-2"/>
                <w:sz w:val="14"/>
                <w:szCs w:val="14"/>
              </w:rPr>
              <w:t>3</w:t>
            </w:r>
          </w:p>
        </w:tc>
        <w:tc>
          <w:tcPr>
            <w:tcW w:w="1257" w:type="dxa"/>
            <w:vAlign w:val="top"/>
          </w:tcPr>
          <w:p w14:paraId="621F0F4D">
            <w:pPr>
              <w:pStyle w:val="6"/>
              <w:spacing w:before="92" w:line="188" w:lineRule="auto"/>
              <w:ind w:left="451"/>
            </w:pPr>
            <w:r>
              <w:rPr>
                <w:spacing w:val="-4"/>
              </w:rPr>
              <w:t>8.60</w:t>
            </w:r>
          </w:p>
        </w:tc>
        <w:tc>
          <w:tcPr>
            <w:tcW w:w="1260" w:type="dxa"/>
            <w:vAlign w:val="top"/>
          </w:tcPr>
          <w:p w14:paraId="456CEFEE">
            <w:pPr>
              <w:pStyle w:val="6"/>
              <w:spacing w:before="92" w:line="188" w:lineRule="auto"/>
              <w:ind w:left="346"/>
            </w:pPr>
            <w:r>
              <w:rPr>
                <w:spacing w:val="-2"/>
              </w:rPr>
              <w:t>0.0516</w:t>
            </w:r>
          </w:p>
        </w:tc>
        <w:tc>
          <w:tcPr>
            <w:tcW w:w="1259" w:type="dxa"/>
            <w:vAlign w:val="top"/>
          </w:tcPr>
          <w:p w14:paraId="2288F200">
            <w:pPr>
              <w:pStyle w:val="6"/>
              <w:spacing w:before="92" w:line="188" w:lineRule="auto"/>
              <w:ind w:left="347"/>
            </w:pPr>
            <w:r>
              <w:rPr>
                <w:spacing w:val="-2"/>
              </w:rPr>
              <w:t>0.0027</w:t>
            </w:r>
          </w:p>
        </w:tc>
      </w:tr>
      <w:tr w14:paraId="783F9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81" w:type="dxa"/>
            <w:vMerge w:val="continue"/>
            <w:tcBorders>
              <w:top w:val="nil"/>
            </w:tcBorders>
            <w:vAlign w:val="top"/>
          </w:tcPr>
          <w:p w14:paraId="56F4E122">
            <w:pPr>
              <w:rPr>
                <w:rFonts w:ascii="Arial"/>
                <w:sz w:val="21"/>
              </w:rPr>
            </w:pPr>
          </w:p>
        </w:tc>
        <w:tc>
          <w:tcPr>
            <w:tcW w:w="2131" w:type="dxa"/>
            <w:vMerge w:val="continue"/>
            <w:tcBorders>
              <w:top w:val="nil"/>
            </w:tcBorders>
            <w:vAlign w:val="top"/>
          </w:tcPr>
          <w:p w14:paraId="4D8593F2">
            <w:pPr>
              <w:rPr>
                <w:rFonts w:ascii="Arial"/>
                <w:sz w:val="21"/>
              </w:rPr>
            </w:pPr>
          </w:p>
        </w:tc>
        <w:tc>
          <w:tcPr>
            <w:tcW w:w="1129" w:type="dxa"/>
            <w:vAlign w:val="top"/>
          </w:tcPr>
          <w:p w14:paraId="48EC4494">
            <w:pPr>
              <w:pStyle w:val="6"/>
              <w:spacing w:before="91" w:line="198" w:lineRule="auto"/>
              <w:ind w:left="392"/>
            </w:pPr>
            <w:r>
              <w:rPr>
                <w:spacing w:val="-2"/>
              </w:rPr>
              <w:t>H</w:t>
            </w:r>
            <w:r>
              <w:rPr>
                <w:spacing w:val="-2"/>
                <w:position w:val="-2"/>
                <w:sz w:val="14"/>
                <w:szCs w:val="14"/>
              </w:rPr>
              <w:t>2</w:t>
            </w:r>
            <w:r>
              <w:rPr>
                <w:spacing w:val="-2"/>
              </w:rPr>
              <w:t>S</w:t>
            </w:r>
          </w:p>
        </w:tc>
        <w:tc>
          <w:tcPr>
            <w:tcW w:w="1257" w:type="dxa"/>
            <w:vAlign w:val="top"/>
          </w:tcPr>
          <w:p w14:paraId="554FBFD9">
            <w:pPr>
              <w:pStyle w:val="6"/>
              <w:spacing w:before="91" w:line="188" w:lineRule="auto"/>
              <w:ind w:left="446"/>
            </w:pPr>
            <w:r>
              <w:rPr>
                <w:spacing w:val="-2"/>
              </w:rPr>
              <w:t>0.87</w:t>
            </w:r>
          </w:p>
        </w:tc>
        <w:tc>
          <w:tcPr>
            <w:tcW w:w="1260" w:type="dxa"/>
            <w:vAlign w:val="top"/>
          </w:tcPr>
          <w:p w14:paraId="5E13BF62">
            <w:pPr>
              <w:pStyle w:val="6"/>
              <w:spacing w:before="91" w:line="188" w:lineRule="auto"/>
              <w:ind w:left="347"/>
            </w:pPr>
            <w:r>
              <w:rPr>
                <w:spacing w:val="-2"/>
              </w:rPr>
              <w:t>0.0052</w:t>
            </w:r>
          </w:p>
        </w:tc>
        <w:tc>
          <w:tcPr>
            <w:tcW w:w="1259" w:type="dxa"/>
            <w:vAlign w:val="top"/>
          </w:tcPr>
          <w:p w14:paraId="3196DB7B">
            <w:pPr>
              <w:pStyle w:val="6"/>
              <w:spacing w:before="91" w:line="188" w:lineRule="auto"/>
              <w:ind w:left="348"/>
            </w:pPr>
            <w:r>
              <w:rPr>
                <w:spacing w:val="-2"/>
              </w:rPr>
              <w:t>0.0003</w:t>
            </w:r>
          </w:p>
        </w:tc>
      </w:tr>
    </w:tbl>
    <w:p w14:paraId="3F664149">
      <w:pPr>
        <w:spacing w:before="233" w:line="329" w:lineRule="auto"/>
        <w:ind w:left="40" w:firstLine="508"/>
        <w:rPr>
          <w:rFonts w:ascii="宋体" w:hAnsi="宋体" w:eastAsia="宋体" w:cs="宋体"/>
          <w:sz w:val="24"/>
          <w:szCs w:val="24"/>
        </w:rPr>
      </w:pPr>
      <w:r>
        <w:rPr>
          <w:rFonts w:ascii="宋体" w:hAnsi="宋体" w:eastAsia="宋体" w:cs="宋体"/>
          <w:spacing w:val="-2"/>
          <w:sz w:val="24"/>
          <w:szCs w:val="24"/>
        </w:rPr>
        <w:t>由上表源强可见，项目除臭措施如果失效，其排放量将大大的增加，因此，</w:t>
      </w:r>
      <w:r>
        <w:rPr>
          <w:rFonts w:ascii="宋体" w:hAnsi="宋体" w:eastAsia="宋体" w:cs="宋体"/>
          <w:spacing w:val="-3"/>
          <w:sz w:val="24"/>
          <w:szCs w:val="24"/>
        </w:rPr>
        <w:t>若发生除臭措施失效，建设单位应尽快维修恢复，同时采取其他除臭措施，如在</w:t>
      </w:r>
    </w:p>
    <w:p w14:paraId="05615D80">
      <w:pPr>
        <w:spacing w:line="329" w:lineRule="auto"/>
        <w:rPr>
          <w:rFonts w:ascii="宋体" w:hAnsi="宋体" w:eastAsia="宋体" w:cs="宋体"/>
          <w:sz w:val="24"/>
          <w:szCs w:val="24"/>
        </w:rPr>
        <w:sectPr>
          <w:headerReference r:id="rId234" w:type="default"/>
          <w:footerReference r:id="rId235" w:type="default"/>
          <w:pgSz w:w="11905" w:h="16840"/>
          <w:pgMar w:top="1168" w:right="1730" w:bottom="1409" w:left="1770" w:header="828" w:footer="1244" w:gutter="0"/>
          <w:cols w:space="720" w:num="1"/>
        </w:sectPr>
      </w:pPr>
    </w:p>
    <w:p w14:paraId="4BF24001">
      <w:pPr>
        <w:pStyle w:val="2"/>
        <w:spacing w:line="306" w:lineRule="auto"/>
      </w:pPr>
    </w:p>
    <w:p w14:paraId="5EEA9F8A">
      <w:pPr>
        <w:spacing w:before="78" w:line="219" w:lineRule="auto"/>
        <w:ind w:left="58"/>
        <w:rPr>
          <w:rFonts w:ascii="宋体" w:hAnsi="宋体" w:eastAsia="宋体" w:cs="宋体"/>
          <w:sz w:val="24"/>
          <w:szCs w:val="24"/>
        </w:rPr>
      </w:pPr>
      <w:r>
        <w:rPr>
          <w:rFonts w:ascii="宋体" w:hAnsi="宋体" w:eastAsia="宋体" w:cs="宋体"/>
          <w:spacing w:val="-2"/>
          <w:sz w:val="24"/>
          <w:szCs w:val="24"/>
        </w:rPr>
        <w:t>圈舍增加喷洒吸附剂、除臭剂的频次以减少恶臭对外环境</w:t>
      </w:r>
      <w:r>
        <w:rPr>
          <w:rFonts w:ascii="宋体" w:hAnsi="宋体" w:eastAsia="宋体" w:cs="宋体"/>
          <w:spacing w:val="-3"/>
          <w:sz w:val="24"/>
          <w:szCs w:val="24"/>
        </w:rPr>
        <w:t>的影响。</w:t>
      </w:r>
    </w:p>
    <w:p w14:paraId="39366B6F">
      <w:pPr>
        <w:spacing w:before="240"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2.2.4.7 </w:t>
      </w:r>
      <w:r>
        <w:rPr>
          <w:rFonts w:ascii="宋体" w:hAnsi="宋体" w:eastAsia="宋体" w:cs="宋体"/>
          <w:b/>
          <w:bCs/>
          <w:spacing w:val="5"/>
          <w:sz w:val="27"/>
          <w:szCs w:val="27"/>
        </w:rPr>
        <w:t>运营期污染物产排汇总</w:t>
      </w:r>
    </w:p>
    <w:p w14:paraId="1812A5D5">
      <w:pPr>
        <w:spacing w:before="235" w:line="219" w:lineRule="auto"/>
        <w:ind w:left="520"/>
        <w:rPr>
          <w:rFonts w:ascii="宋体" w:hAnsi="宋体" w:eastAsia="宋体" w:cs="宋体"/>
          <w:sz w:val="24"/>
          <w:szCs w:val="24"/>
        </w:rPr>
      </w:pPr>
      <w:r>
        <w:rPr>
          <w:rFonts w:ascii="宋体" w:hAnsi="宋体" w:eastAsia="宋体" w:cs="宋体"/>
          <w:spacing w:val="-2"/>
          <w:sz w:val="24"/>
          <w:szCs w:val="24"/>
        </w:rPr>
        <w:t>本项目运营期主要污染物产生和排放情况详见下表。</w:t>
      </w:r>
    </w:p>
    <w:p w14:paraId="7FEF8BF6">
      <w:pPr>
        <w:spacing w:before="196" w:line="222" w:lineRule="auto"/>
        <w:ind w:left="198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2.2-24  </w:t>
      </w:r>
      <w:r>
        <w:rPr>
          <w:rFonts w:ascii="黑体" w:hAnsi="黑体" w:eastAsia="黑体" w:cs="黑体"/>
          <w:spacing w:val="-1"/>
          <w:sz w:val="21"/>
          <w:szCs w:val="21"/>
        </w:rPr>
        <w:t>项目运营期主要污染物产排情况汇总表</w:t>
      </w:r>
    </w:p>
    <w:p w14:paraId="0A5A2E94">
      <w:pPr>
        <w:spacing w:line="88" w:lineRule="exact"/>
      </w:pPr>
    </w:p>
    <w:tbl>
      <w:tblPr>
        <w:tblStyle w:val="5"/>
        <w:tblW w:w="839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05"/>
        <w:gridCol w:w="712"/>
        <w:gridCol w:w="998"/>
        <w:gridCol w:w="963"/>
        <w:gridCol w:w="960"/>
        <w:gridCol w:w="963"/>
        <w:gridCol w:w="1594"/>
        <w:gridCol w:w="925"/>
      </w:tblGrid>
      <w:tr w14:paraId="40F3A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70" w:type="dxa"/>
            <w:vMerge w:val="restart"/>
            <w:tcBorders>
              <w:bottom w:val="nil"/>
            </w:tcBorders>
            <w:vAlign w:val="top"/>
          </w:tcPr>
          <w:p w14:paraId="7474A89C">
            <w:pPr>
              <w:spacing w:line="315" w:lineRule="auto"/>
              <w:rPr>
                <w:rFonts w:ascii="Arial"/>
                <w:sz w:val="21"/>
              </w:rPr>
            </w:pPr>
          </w:p>
          <w:p w14:paraId="70E49D5D">
            <w:pPr>
              <w:spacing w:before="68" w:line="220" w:lineRule="auto"/>
              <w:ind w:left="79"/>
              <w:rPr>
                <w:rFonts w:ascii="宋体" w:hAnsi="宋体" w:eastAsia="宋体" w:cs="宋体"/>
                <w:sz w:val="21"/>
                <w:szCs w:val="21"/>
              </w:rPr>
            </w:pPr>
            <w:r>
              <w:rPr>
                <w:rFonts w:ascii="宋体" w:hAnsi="宋体" w:eastAsia="宋体" w:cs="宋体"/>
                <w:spacing w:val="-3"/>
                <w:sz w:val="21"/>
                <w:szCs w:val="21"/>
              </w:rPr>
              <w:t>类别</w:t>
            </w:r>
          </w:p>
        </w:tc>
        <w:tc>
          <w:tcPr>
            <w:tcW w:w="705" w:type="dxa"/>
            <w:vMerge w:val="restart"/>
            <w:tcBorders>
              <w:bottom w:val="nil"/>
            </w:tcBorders>
            <w:vAlign w:val="top"/>
          </w:tcPr>
          <w:p w14:paraId="35049D0C">
            <w:pPr>
              <w:spacing w:line="315" w:lineRule="auto"/>
              <w:rPr>
                <w:rFonts w:ascii="Arial"/>
                <w:sz w:val="21"/>
              </w:rPr>
            </w:pPr>
          </w:p>
          <w:p w14:paraId="073BDCC3">
            <w:pPr>
              <w:spacing w:before="69" w:line="220" w:lineRule="auto"/>
              <w:ind w:left="42"/>
              <w:rPr>
                <w:rFonts w:ascii="宋体" w:hAnsi="宋体" w:eastAsia="宋体" w:cs="宋体"/>
                <w:sz w:val="21"/>
                <w:szCs w:val="21"/>
              </w:rPr>
            </w:pPr>
            <w:r>
              <w:rPr>
                <w:rFonts w:ascii="宋体" w:hAnsi="宋体" w:eastAsia="宋体" w:cs="宋体"/>
                <w:spacing w:val="-3"/>
                <w:sz w:val="21"/>
                <w:szCs w:val="21"/>
              </w:rPr>
              <w:t>污染源</w:t>
            </w:r>
          </w:p>
        </w:tc>
        <w:tc>
          <w:tcPr>
            <w:tcW w:w="712" w:type="dxa"/>
            <w:vMerge w:val="restart"/>
            <w:tcBorders>
              <w:bottom w:val="nil"/>
            </w:tcBorders>
            <w:vAlign w:val="top"/>
          </w:tcPr>
          <w:p w14:paraId="03C147F0">
            <w:pPr>
              <w:spacing w:line="315" w:lineRule="auto"/>
              <w:rPr>
                <w:rFonts w:ascii="Arial"/>
                <w:sz w:val="21"/>
              </w:rPr>
            </w:pPr>
          </w:p>
          <w:p w14:paraId="2D9B5F02">
            <w:pPr>
              <w:spacing w:before="69" w:line="220" w:lineRule="auto"/>
              <w:ind w:left="46"/>
              <w:rPr>
                <w:rFonts w:ascii="宋体" w:hAnsi="宋体" w:eastAsia="宋体" w:cs="宋体"/>
                <w:sz w:val="21"/>
                <w:szCs w:val="21"/>
              </w:rPr>
            </w:pPr>
            <w:r>
              <w:rPr>
                <w:rFonts w:ascii="宋体" w:hAnsi="宋体" w:eastAsia="宋体" w:cs="宋体"/>
                <w:spacing w:val="-3"/>
                <w:sz w:val="21"/>
                <w:szCs w:val="21"/>
              </w:rPr>
              <w:t>污染物</w:t>
            </w:r>
          </w:p>
        </w:tc>
        <w:tc>
          <w:tcPr>
            <w:tcW w:w="1961" w:type="dxa"/>
            <w:gridSpan w:val="2"/>
            <w:vAlign w:val="top"/>
          </w:tcPr>
          <w:p w14:paraId="0FE335C3">
            <w:pPr>
              <w:spacing w:before="68" w:line="220" w:lineRule="auto"/>
              <w:ind w:left="564"/>
              <w:rPr>
                <w:rFonts w:ascii="宋体" w:hAnsi="宋体" w:eastAsia="宋体" w:cs="宋体"/>
                <w:sz w:val="21"/>
                <w:szCs w:val="21"/>
              </w:rPr>
            </w:pPr>
            <w:r>
              <w:rPr>
                <w:rFonts w:ascii="宋体" w:hAnsi="宋体" w:eastAsia="宋体" w:cs="宋体"/>
                <w:spacing w:val="-2"/>
                <w:sz w:val="21"/>
                <w:szCs w:val="21"/>
              </w:rPr>
              <w:t>产生情况</w:t>
            </w:r>
          </w:p>
        </w:tc>
        <w:tc>
          <w:tcPr>
            <w:tcW w:w="1923" w:type="dxa"/>
            <w:gridSpan w:val="2"/>
            <w:vAlign w:val="top"/>
          </w:tcPr>
          <w:p w14:paraId="4669F6F3">
            <w:pPr>
              <w:spacing w:before="69" w:line="220" w:lineRule="auto"/>
              <w:ind w:left="546"/>
              <w:rPr>
                <w:rFonts w:ascii="宋体" w:hAnsi="宋体" w:eastAsia="宋体" w:cs="宋体"/>
                <w:sz w:val="21"/>
                <w:szCs w:val="21"/>
              </w:rPr>
            </w:pPr>
            <w:r>
              <w:rPr>
                <w:rFonts w:ascii="宋体" w:hAnsi="宋体" w:eastAsia="宋体" w:cs="宋体"/>
                <w:spacing w:val="-2"/>
                <w:sz w:val="21"/>
                <w:szCs w:val="21"/>
              </w:rPr>
              <w:t>排放情况</w:t>
            </w:r>
          </w:p>
        </w:tc>
        <w:tc>
          <w:tcPr>
            <w:tcW w:w="1594" w:type="dxa"/>
            <w:vMerge w:val="restart"/>
            <w:tcBorders>
              <w:bottom w:val="nil"/>
            </w:tcBorders>
            <w:vAlign w:val="top"/>
          </w:tcPr>
          <w:p w14:paraId="7B67F2C5">
            <w:pPr>
              <w:spacing w:line="315" w:lineRule="auto"/>
              <w:rPr>
                <w:rFonts w:ascii="Arial"/>
                <w:sz w:val="21"/>
              </w:rPr>
            </w:pPr>
          </w:p>
          <w:p w14:paraId="7CDCBF9C">
            <w:pPr>
              <w:spacing w:before="69" w:line="220" w:lineRule="auto"/>
              <w:ind w:left="389"/>
              <w:rPr>
                <w:rFonts w:ascii="宋体" w:hAnsi="宋体" w:eastAsia="宋体" w:cs="宋体"/>
                <w:sz w:val="21"/>
                <w:szCs w:val="21"/>
              </w:rPr>
            </w:pPr>
            <w:r>
              <w:rPr>
                <w:rFonts w:ascii="宋体" w:hAnsi="宋体" w:eastAsia="宋体" w:cs="宋体"/>
                <w:spacing w:val="-3"/>
                <w:sz w:val="21"/>
                <w:szCs w:val="21"/>
              </w:rPr>
              <w:t>治理措施</w:t>
            </w:r>
          </w:p>
        </w:tc>
        <w:tc>
          <w:tcPr>
            <w:tcW w:w="925" w:type="dxa"/>
            <w:vMerge w:val="restart"/>
            <w:tcBorders>
              <w:bottom w:val="nil"/>
            </w:tcBorders>
            <w:vAlign w:val="top"/>
          </w:tcPr>
          <w:p w14:paraId="722DE3C3">
            <w:pPr>
              <w:spacing w:line="315" w:lineRule="auto"/>
              <w:rPr>
                <w:rFonts w:ascii="Arial"/>
                <w:sz w:val="21"/>
              </w:rPr>
            </w:pPr>
          </w:p>
          <w:p w14:paraId="0E7621FF">
            <w:pPr>
              <w:spacing w:before="68" w:line="221" w:lineRule="auto"/>
              <w:ind w:left="47"/>
              <w:rPr>
                <w:rFonts w:ascii="宋体" w:hAnsi="宋体" w:eastAsia="宋体" w:cs="宋体"/>
                <w:sz w:val="21"/>
                <w:szCs w:val="21"/>
              </w:rPr>
            </w:pPr>
            <w:r>
              <w:rPr>
                <w:rFonts w:ascii="宋体" w:hAnsi="宋体" w:eastAsia="宋体" w:cs="宋体"/>
                <w:spacing w:val="-2"/>
                <w:sz w:val="21"/>
                <w:szCs w:val="21"/>
              </w:rPr>
              <w:t>排放方式</w:t>
            </w:r>
          </w:p>
        </w:tc>
      </w:tr>
      <w:tr w14:paraId="79B90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70" w:type="dxa"/>
            <w:vMerge w:val="continue"/>
            <w:tcBorders>
              <w:top w:val="nil"/>
            </w:tcBorders>
            <w:vAlign w:val="top"/>
          </w:tcPr>
          <w:p w14:paraId="3581C7F3">
            <w:pPr>
              <w:rPr>
                <w:rFonts w:ascii="Arial"/>
                <w:sz w:val="21"/>
              </w:rPr>
            </w:pPr>
          </w:p>
        </w:tc>
        <w:tc>
          <w:tcPr>
            <w:tcW w:w="705" w:type="dxa"/>
            <w:vMerge w:val="continue"/>
            <w:tcBorders>
              <w:top w:val="nil"/>
            </w:tcBorders>
            <w:vAlign w:val="top"/>
          </w:tcPr>
          <w:p w14:paraId="3B21D128">
            <w:pPr>
              <w:rPr>
                <w:rFonts w:ascii="Arial"/>
                <w:sz w:val="21"/>
              </w:rPr>
            </w:pPr>
          </w:p>
        </w:tc>
        <w:tc>
          <w:tcPr>
            <w:tcW w:w="712" w:type="dxa"/>
            <w:vMerge w:val="continue"/>
            <w:tcBorders>
              <w:top w:val="nil"/>
            </w:tcBorders>
            <w:vAlign w:val="top"/>
          </w:tcPr>
          <w:p w14:paraId="005864D6">
            <w:pPr>
              <w:rPr>
                <w:rFonts w:ascii="Arial"/>
                <w:sz w:val="21"/>
              </w:rPr>
            </w:pPr>
          </w:p>
        </w:tc>
        <w:tc>
          <w:tcPr>
            <w:tcW w:w="998" w:type="dxa"/>
            <w:vAlign w:val="top"/>
          </w:tcPr>
          <w:p w14:paraId="7785E3B7">
            <w:pPr>
              <w:spacing w:before="49" w:line="220" w:lineRule="auto"/>
              <w:ind w:left="82"/>
              <w:rPr>
                <w:rFonts w:ascii="宋体" w:hAnsi="宋体" w:eastAsia="宋体" w:cs="宋体"/>
                <w:sz w:val="21"/>
                <w:szCs w:val="21"/>
              </w:rPr>
            </w:pPr>
            <w:r>
              <w:rPr>
                <w:rFonts w:ascii="宋体" w:hAnsi="宋体" w:eastAsia="宋体" w:cs="宋体"/>
                <w:spacing w:val="-2"/>
                <w:sz w:val="21"/>
                <w:szCs w:val="21"/>
              </w:rPr>
              <w:t>产生速率</w:t>
            </w:r>
          </w:p>
          <w:p w14:paraId="4667F9EC">
            <w:pPr>
              <w:pStyle w:val="6"/>
              <w:spacing w:before="94" w:line="192" w:lineRule="auto"/>
              <w:ind w:left="310"/>
            </w:pPr>
            <w:r>
              <w:rPr>
                <w:spacing w:val="-1"/>
              </w:rPr>
              <w:t>kg/h</w:t>
            </w:r>
          </w:p>
        </w:tc>
        <w:tc>
          <w:tcPr>
            <w:tcW w:w="963" w:type="dxa"/>
            <w:vAlign w:val="top"/>
          </w:tcPr>
          <w:p w14:paraId="472647C0">
            <w:pPr>
              <w:spacing w:before="49" w:line="220" w:lineRule="auto"/>
              <w:ind w:left="171"/>
              <w:rPr>
                <w:rFonts w:ascii="宋体" w:hAnsi="宋体" w:eastAsia="宋体" w:cs="宋体"/>
                <w:sz w:val="21"/>
                <w:szCs w:val="21"/>
              </w:rPr>
            </w:pPr>
            <w:r>
              <w:rPr>
                <w:rFonts w:ascii="宋体" w:hAnsi="宋体" w:eastAsia="宋体" w:cs="宋体"/>
                <w:spacing w:val="-2"/>
                <w:sz w:val="21"/>
                <w:szCs w:val="21"/>
              </w:rPr>
              <w:t>产生量</w:t>
            </w:r>
          </w:p>
          <w:p w14:paraId="66A45D48">
            <w:pPr>
              <w:pStyle w:val="6"/>
              <w:spacing w:before="94" w:line="192" w:lineRule="auto"/>
              <w:ind w:left="375"/>
            </w:pPr>
            <w:r>
              <w:rPr>
                <w:spacing w:val="-1"/>
              </w:rPr>
              <w:t>t/a</w:t>
            </w:r>
          </w:p>
        </w:tc>
        <w:tc>
          <w:tcPr>
            <w:tcW w:w="960" w:type="dxa"/>
            <w:vAlign w:val="top"/>
          </w:tcPr>
          <w:p w14:paraId="32951152">
            <w:pPr>
              <w:spacing w:before="49" w:line="220" w:lineRule="auto"/>
              <w:ind w:left="65"/>
              <w:rPr>
                <w:rFonts w:ascii="宋体" w:hAnsi="宋体" w:eastAsia="宋体" w:cs="宋体"/>
                <w:sz w:val="21"/>
                <w:szCs w:val="21"/>
              </w:rPr>
            </w:pPr>
            <w:r>
              <w:rPr>
                <w:rFonts w:ascii="宋体" w:hAnsi="宋体" w:eastAsia="宋体" w:cs="宋体"/>
                <w:spacing w:val="-2"/>
                <w:sz w:val="21"/>
                <w:szCs w:val="21"/>
              </w:rPr>
              <w:t>排放速率</w:t>
            </w:r>
          </w:p>
          <w:p w14:paraId="1C6CDDE9">
            <w:pPr>
              <w:pStyle w:val="6"/>
              <w:spacing w:before="94" w:line="192" w:lineRule="auto"/>
              <w:ind w:left="293"/>
            </w:pPr>
            <w:r>
              <w:rPr>
                <w:spacing w:val="-1"/>
              </w:rPr>
              <w:t>kg/h</w:t>
            </w:r>
          </w:p>
        </w:tc>
        <w:tc>
          <w:tcPr>
            <w:tcW w:w="963" w:type="dxa"/>
            <w:vAlign w:val="top"/>
          </w:tcPr>
          <w:p w14:paraId="63F069CF">
            <w:pPr>
              <w:spacing w:before="49" w:line="221" w:lineRule="auto"/>
              <w:ind w:left="172"/>
              <w:rPr>
                <w:rFonts w:ascii="宋体" w:hAnsi="宋体" w:eastAsia="宋体" w:cs="宋体"/>
                <w:sz w:val="21"/>
                <w:szCs w:val="21"/>
              </w:rPr>
            </w:pPr>
            <w:r>
              <w:rPr>
                <w:rFonts w:ascii="宋体" w:hAnsi="宋体" w:eastAsia="宋体" w:cs="宋体"/>
                <w:spacing w:val="-2"/>
                <w:sz w:val="21"/>
                <w:szCs w:val="21"/>
              </w:rPr>
              <w:t>排放量</w:t>
            </w:r>
          </w:p>
          <w:p w14:paraId="22BF23BA">
            <w:pPr>
              <w:pStyle w:val="6"/>
              <w:spacing w:before="93" w:line="192" w:lineRule="auto"/>
              <w:ind w:left="376"/>
            </w:pPr>
            <w:r>
              <w:rPr>
                <w:spacing w:val="-1"/>
              </w:rPr>
              <w:t>t/a</w:t>
            </w:r>
          </w:p>
        </w:tc>
        <w:tc>
          <w:tcPr>
            <w:tcW w:w="1594" w:type="dxa"/>
            <w:vMerge w:val="continue"/>
            <w:tcBorders>
              <w:top w:val="nil"/>
            </w:tcBorders>
            <w:vAlign w:val="top"/>
          </w:tcPr>
          <w:p w14:paraId="36B95EA5">
            <w:pPr>
              <w:rPr>
                <w:rFonts w:ascii="Arial"/>
                <w:sz w:val="21"/>
              </w:rPr>
            </w:pPr>
          </w:p>
        </w:tc>
        <w:tc>
          <w:tcPr>
            <w:tcW w:w="925" w:type="dxa"/>
            <w:vMerge w:val="continue"/>
            <w:tcBorders>
              <w:top w:val="nil"/>
            </w:tcBorders>
            <w:vAlign w:val="top"/>
          </w:tcPr>
          <w:p w14:paraId="036B50CE">
            <w:pPr>
              <w:rPr>
                <w:rFonts w:ascii="Arial"/>
                <w:sz w:val="21"/>
              </w:rPr>
            </w:pPr>
          </w:p>
        </w:tc>
      </w:tr>
      <w:tr w14:paraId="3C552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restart"/>
            <w:tcBorders>
              <w:bottom w:val="nil"/>
            </w:tcBorders>
            <w:vAlign w:val="top"/>
          </w:tcPr>
          <w:p w14:paraId="64F4D9A1">
            <w:pPr>
              <w:spacing w:line="246" w:lineRule="auto"/>
              <w:rPr>
                <w:rFonts w:ascii="Arial"/>
                <w:sz w:val="21"/>
              </w:rPr>
            </w:pPr>
          </w:p>
          <w:p w14:paraId="2019E365">
            <w:pPr>
              <w:spacing w:line="246" w:lineRule="auto"/>
              <w:rPr>
                <w:rFonts w:ascii="Arial"/>
                <w:sz w:val="21"/>
              </w:rPr>
            </w:pPr>
          </w:p>
          <w:p w14:paraId="460A5883">
            <w:pPr>
              <w:spacing w:line="246" w:lineRule="auto"/>
              <w:rPr>
                <w:rFonts w:ascii="Arial"/>
                <w:sz w:val="21"/>
              </w:rPr>
            </w:pPr>
          </w:p>
          <w:p w14:paraId="455C1A98">
            <w:pPr>
              <w:spacing w:line="246" w:lineRule="auto"/>
              <w:rPr>
                <w:rFonts w:ascii="Arial"/>
                <w:sz w:val="21"/>
              </w:rPr>
            </w:pPr>
          </w:p>
          <w:p w14:paraId="7E3BEA5C">
            <w:pPr>
              <w:spacing w:line="246" w:lineRule="auto"/>
              <w:rPr>
                <w:rFonts w:ascii="Arial"/>
                <w:sz w:val="21"/>
              </w:rPr>
            </w:pPr>
          </w:p>
          <w:p w14:paraId="07A96176">
            <w:pPr>
              <w:spacing w:line="246" w:lineRule="auto"/>
              <w:rPr>
                <w:rFonts w:ascii="Arial"/>
                <w:sz w:val="21"/>
              </w:rPr>
            </w:pPr>
          </w:p>
          <w:p w14:paraId="78F19EBA">
            <w:pPr>
              <w:spacing w:line="246" w:lineRule="auto"/>
              <w:rPr>
                <w:rFonts w:ascii="Arial"/>
                <w:sz w:val="21"/>
              </w:rPr>
            </w:pPr>
          </w:p>
          <w:p w14:paraId="7EBB1AA7">
            <w:pPr>
              <w:spacing w:line="246" w:lineRule="auto"/>
              <w:rPr>
                <w:rFonts w:ascii="Arial"/>
                <w:sz w:val="21"/>
              </w:rPr>
            </w:pPr>
          </w:p>
          <w:p w14:paraId="16CDC60A">
            <w:pPr>
              <w:spacing w:line="246" w:lineRule="auto"/>
              <w:rPr>
                <w:rFonts w:ascii="Arial"/>
                <w:sz w:val="21"/>
              </w:rPr>
            </w:pPr>
          </w:p>
          <w:p w14:paraId="0EB7D80B">
            <w:pPr>
              <w:spacing w:line="246" w:lineRule="auto"/>
              <w:rPr>
                <w:rFonts w:ascii="Arial"/>
                <w:sz w:val="21"/>
              </w:rPr>
            </w:pPr>
          </w:p>
          <w:p w14:paraId="0D73257F">
            <w:pPr>
              <w:spacing w:line="247" w:lineRule="auto"/>
              <w:rPr>
                <w:rFonts w:ascii="Arial"/>
                <w:sz w:val="21"/>
              </w:rPr>
            </w:pPr>
          </w:p>
          <w:p w14:paraId="34C58BFD">
            <w:pPr>
              <w:spacing w:line="247" w:lineRule="auto"/>
              <w:rPr>
                <w:rFonts w:ascii="Arial"/>
                <w:sz w:val="21"/>
              </w:rPr>
            </w:pPr>
          </w:p>
          <w:p w14:paraId="4D158CD0">
            <w:pPr>
              <w:spacing w:line="247" w:lineRule="auto"/>
              <w:rPr>
                <w:rFonts w:ascii="Arial"/>
                <w:sz w:val="21"/>
              </w:rPr>
            </w:pPr>
          </w:p>
          <w:p w14:paraId="28874E2F">
            <w:pPr>
              <w:spacing w:line="247" w:lineRule="auto"/>
              <w:rPr>
                <w:rFonts w:ascii="Arial"/>
                <w:sz w:val="21"/>
              </w:rPr>
            </w:pPr>
          </w:p>
          <w:p w14:paraId="15C4C364">
            <w:pPr>
              <w:spacing w:line="247" w:lineRule="auto"/>
              <w:rPr>
                <w:rFonts w:ascii="Arial"/>
                <w:sz w:val="21"/>
              </w:rPr>
            </w:pPr>
          </w:p>
          <w:p w14:paraId="7A97548C">
            <w:pPr>
              <w:spacing w:before="68" w:line="220" w:lineRule="auto"/>
              <w:ind w:left="79"/>
              <w:rPr>
                <w:rFonts w:ascii="宋体" w:hAnsi="宋体" w:eastAsia="宋体" w:cs="宋体"/>
                <w:sz w:val="21"/>
                <w:szCs w:val="21"/>
              </w:rPr>
            </w:pPr>
            <w:r>
              <w:rPr>
                <w:rFonts w:ascii="宋体" w:hAnsi="宋体" w:eastAsia="宋体" w:cs="宋体"/>
                <w:spacing w:val="-2"/>
                <w:sz w:val="21"/>
                <w:szCs w:val="21"/>
              </w:rPr>
              <w:t>废气</w:t>
            </w:r>
          </w:p>
        </w:tc>
        <w:tc>
          <w:tcPr>
            <w:tcW w:w="705" w:type="dxa"/>
            <w:vMerge w:val="restart"/>
            <w:tcBorders>
              <w:bottom w:val="nil"/>
            </w:tcBorders>
            <w:vAlign w:val="top"/>
          </w:tcPr>
          <w:p w14:paraId="6D8908DA">
            <w:pPr>
              <w:spacing w:line="447" w:lineRule="auto"/>
              <w:rPr>
                <w:rFonts w:ascii="Arial"/>
                <w:sz w:val="21"/>
              </w:rPr>
            </w:pPr>
          </w:p>
          <w:p w14:paraId="7F968DF3">
            <w:pPr>
              <w:pStyle w:val="6"/>
              <w:spacing w:before="68" w:line="309" w:lineRule="auto"/>
              <w:ind w:left="79" w:right="76" w:firstLine="66"/>
              <w:rPr>
                <w:sz w:val="15"/>
                <w:szCs w:val="15"/>
              </w:rPr>
            </w:pPr>
            <w:r>
              <w:rPr>
                <w:rFonts w:ascii="宋体" w:hAnsi="宋体" w:eastAsia="宋体" w:cs="宋体"/>
                <w:spacing w:val="-5"/>
              </w:rPr>
              <w:t>猪舍</w:t>
            </w:r>
            <w:r>
              <w:rPr>
                <w:rFonts w:ascii="宋体" w:hAnsi="宋体" w:eastAsia="宋体" w:cs="宋体"/>
              </w:rPr>
              <w:t xml:space="preserve"> </w:t>
            </w:r>
            <w:r>
              <w:rPr>
                <w:spacing w:val="-2"/>
                <w:sz w:val="15"/>
                <w:szCs w:val="15"/>
              </w:rPr>
              <w:t>(</w:t>
            </w:r>
            <w:r>
              <w:rPr>
                <w:rFonts w:ascii="宋体" w:hAnsi="宋体" w:eastAsia="宋体" w:cs="宋体"/>
                <w:spacing w:val="-2"/>
                <w:sz w:val="15"/>
                <w:szCs w:val="15"/>
              </w:rPr>
              <w:t>无组织</w:t>
            </w:r>
            <w:r>
              <w:rPr>
                <w:spacing w:val="-2"/>
                <w:sz w:val="15"/>
                <w:szCs w:val="15"/>
              </w:rPr>
              <w:t>)</w:t>
            </w:r>
          </w:p>
        </w:tc>
        <w:tc>
          <w:tcPr>
            <w:tcW w:w="712" w:type="dxa"/>
            <w:vAlign w:val="top"/>
          </w:tcPr>
          <w:p w14:paraId="55A287C4">
            <w:pPr>
              <w:pStyle w:val="6"/>
              <w:spacing w:before="103" w:line="195" w:lineRule="auto"/>
              <w:ind w:left="162"/>
              <w:rPr>
                <w:sz w:val="14"/>
                <w:szCs w:val="14"/>
              </w:rPr>
            </w:pPr>
            <w:r>
              <w:t>NH</w:t>
            </w:r>
            <w:r>
              <w:rPr>
                <w:spacing w:val="1"/>
                <w:position w:val="-2"/>
                <w:sz w:val="14"/>
                <w:szCs w:val="14"/>
              </w:rPr>
              <w:t>3</w:t>
            </w:r>
          </w:p>
        </w:tc>
        <w:tc>
          <w:tcPr>
            <w:tcW w:w="998" w:type="dxa"/>
            <w:vAlign w:val="top"/>
          </w:tcPr>
          <w:p w14:paraId="706A6B1F">
            <w:pPr>
              <w:pStyle w:val="6"/>
              <w:spacing w:before="99" w:line="188" w:lineRule="auto"/>
              <w:ind w:left="213"/>
            </w:pPr>
            <w:r>
              <w:rPr>
                <w:spacing w:val="-2"/>
              </w:rPr>
              <w:t>0.6484</w:t>
            </w:r>
          </w:p>
        </w:tc>
        <w:tc>
          <w:tcPr>
            <w:tcW w:w="963" w:type="dxa"/>
            <w:vAlign w:val="top"/>
          </w:tcPr>
          <w:p w14:paraId="2CE61DF8">
            <w:pPr>
              <w:pStyle w:val="6"/>
              <w:spacing w:before="99" w:line="188" w:lineRule="auto"/>
              <w:ind w:left="251"/>
            </w:pPr>
            <w:r>
              <w:rPr>
                <w:spacing w:val="-2"/>
              </w:rPr>
              <w:t>5.680</w:t>
            </w:r>
          </w:p>
        </w:tc>
        <w:tc>
          <w:tcPr>
            <w:tcW w:w="960" w:type="dxa"/>
            <w:vAlign w:val="top"/>
          </w:tcPr>
          <w:p w14:paraId="52E062E6">
            <w:pPr>
              <w:pStyle w:val="6"/>
              <w:spacing w:before="99" w:line="188" w:lineRule="auto"/>
              <w:ind w:left="196"/>
            </w:pPr>
            <w:r>
              <w:rPr>
                <w:spacing w:val="-2"/>
              </w:rPr>
              <w:t>0.0908</w:t>
            </w:r>
          </w:p>
        </w:tc>
        <w:tc>
          <w:tcPr>
            <w:tcW w:w="963" w:type="dxa"/>
            <w:vAlign w:val="top"/>
          </w:tcPr>
          <w:p w14:paraId="46A63C05">
            <w:pPr>
              <w:pStyle w:val="6"/>
              <w:spacing w:before="99" w:line="188" w:lineRule="auto"/>
              <w:ind w:left="250"/>
            </w:pPr>
            <w:r>
              <w:rPr>
                <w:spacing w:val="-2"/>
              </w:rPr>
              <w:t>0.795</w:t>
            </w:r>
          </w:p>
        </w:tc>
        <w:tc>
          <w:tcPr>
            <w:tcW w:w="1594" w:type="dxa"/>
            <w:vMerge w:val="restart"/>
            <w:tcBorders>
              <w:bottom w:val="nil"/>
            </w:tcBorders>
            <w:vAlign w:val="top"/>
          </w:tcPr>
          <w:p w14:paraId="256A0EA9">
            <w:pPr>
              <w:spacing w:before="46" w:line="265" w:lineRule="auto"/>
              <w:ind w:left="13" w:firstLine="7"/>
              <w:jc w:val="both"/>
              <w:rPr>
                <w:rFonts w:ascii="宋体" w:hAnsi="宋体" w:eastAsia="宋体" w:cs="宋体"/>
                <w:sz w:val="21"/>
                <w:szCs w:val="21"/>
              </w:rPr>
            </w:pPr>
            <w:r>
              <w:rPr>
                <w:rFonts w:ascii="宋体" w:hAnsi="宋体" w:eastAsia="宋体" w:cs="宋体"/>
                <w:spacing w:val="-1"/>
                <w:sz w:val="21"/>
                <w:szCs w:val="21"/>
              </w:rPr>
              <w:t>喷洒除臭剂</w:t>
            </w:r>
            <w:r>
              <w:rPr>
                <w:rFonts w:ascii="Calibri" w:hAnsi="Calibri" w:eastAsia="Calibri" w:cs="Calibri"/>
                <w:spacing w:val="-1"/>
                <w:sz w:val="21"/>
                <w:szCs w:val="21"/>
              </w:rPr>
              <w:t>+</w:t>
            </w:r>
            <w:r>
              <w:rPr>
                <w:rFonts w:ascii="宋体" w:hAnsi="宋体" w:eastAsia="宋体" w:cs="宋体"/>
                <w:spacing w:val="-1"/>
                <w:sz w:val="21"/>
                <w:szCs w:val="21"/>
              </w:rPr>
              <w:t>优化</w:t>
            </w:r>
            <w:r>
              <w:rPr>
                <w:rFonts w:ascii="宋体" w:hAnsi="宋体" w:eastAsia="宋体" w:cs="宋体"/>
                <w:sz w:val="21"/>
                <w:szCs w:val="21"/>
              </w:rPr>
              <w:t>养殖饲料</w:t>
            </w:r>
            <w:r>
              <w:rPr>
                <w:rFonts w:ascii="Calibri" w:hAnsi="Calibri" w:eastAsia="Calibri" w:cs="Calibri"/>
                <w:sz w:val="21"/>
                <w:szCs w:val="21"/>
              </w:rPr>
              <w:t>+</w:t>
            </w:r>
            <w:r>
              <w:rPr>
                <w:rFonts w:ascii="宋体" w:hAnsi="宋体" w:eastAsia="宋体" w:cs="宋体"/>
                <w:sz w:val="21"/>
                <w:szCs w:val="21"/>
              </w:rPr>
              <w:t>水帘通风</w:t>
            </w:r>
            <w:r>
              <w:rPr>
                <w:rFonts w:ascii="Calibri" w:hAnsi="Calibri" w:eastAsia="Calibri" w:cs="Calibri"/>
                <w:sz w:val="21"/>
                <w:szCs w:val="21"/>
              </w:rPr>
              <w:t>+</w:t>
            </w:r>
            <w:r>
              <w:rPr>
                <w:rFonts w:ascii="宋体" w:hAnsi="宋体" w:eastAsia="宋体" w:cs="宋体"/>
                <w:sz w:val="21"/>
                <w:szCs w:val="21"/>
              </w:rPr>
              <w:t>出风口生物喷</w:t>
            </w:r>
            <w:r>
              <w:rPr>
                <w:rFonts w:ascii="宋体" w:hAnsi="宋体" w:eastAsia="宋体" w:cs="宋体"/>
                <w:spacing w:val="15"/>
                <w:sz w:val="21"/>
                <w:szCs w:val="21"/>
              </w:rPr>
              <w:t>雾除臭，加强绿</w:t>
            </w:r>
            <w:r>
              <w:rPr>
                <w:rFonts w:ascii="宋体" w:hAnsi="宋体" w:eastAsia="宋体" w:cs="宋体"/>
                <w:spacing w:val="-10"/>
                <w:sz w:val="21"/>
                <w:szCs w:val="21"/>
              </w:rPr>
              <w:t>化。</w:t>
            </w:r>
          </w:p>
        </w:tc>
        <w:tc>
          <w:tcPr>
            <w:tcW w:w="925" w:type="dxa"/>
            <w:vMerge w:val="restart"/>
            <w:tcBorders>
              <w:bottom w:val="nil"/>
            </w:tcBorders>
            <w:vAlign w:val="top"/>
          </w:tcPr>
          <w:p w14:paraId="5AA8BE12">
            <w:pPr>
              <w:spacing w:line="300" w:lineRule="auto"/>
              <w:rPr>
                <w:rFonts w:ascii="Arial"/>
                <w:sz w:val="21"/>
              </w:rPr>
            </w:pPr>
          </w:p>
          <w:p w14:paraId="2379075C">
            <w:pPr>
              <w:spacing w:line="301" w:lineRule="auto"/>
              <w:rPr>
                <w:rFonts w:ascii="Arial"/>
                <w:sz w:val="21"/>
              </w:rPr>
            </w:pPr>
          </w:p>
          <w:p w14:paraId="0FB31633">
            <w:pPr>
              <w:spacing w:before="69" w:line="220" w:lineRule="auto"/>
              <w:ind w:left="48"/>
              <w:rPr>
                <w:rFonts w:ascii="宋体" w:hAnsi="宋体" w:eastAsia="宋体" w:cs="宋体"/>
                <w:sz w:val="21"/>
                <w:szCs w:val="21"/>
              </w:rPr>
            </w:pPr>
            <w:r>
              <w:rPr>
                <w:rFonts w:ascii="宋体" w:hAnsi="宋体" w:eastAsia="宋体" w:cs="宋体"/>
                <w:spacing w:val="-2"/>
                <w:sz w:val="21"/>
                <w:szCs w:val="21"/>
              </w:rPr>
              <w:t>连续排放</w:t>
            </w:r>
          </w:p>
        </w:tc>
      </w:tr>
      <w:tr w14:paraId="5F8D0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570" w:type="dxa"/>
            <w:vMerge w:val="continue"/>
            <w:tcBorders>
              <w:top w:val="nil"/>
              <w:bottom w:val="nil"/>
            </w:tcBorders>
            <w:vAlign w:val="top"/>
          </w:tcPr>
          <w:p w14:paraId="12F714B8">
            <w:pPr>
              <w:rPr>
                <w:rFonts w:ascii="Arial"/>
                <w:sz w:val="21"/>
              </w:rPr>
            </w:pPr>
          </w:p>
        </w:tc>
        <w:tc>
          <w:tcPr>
            <w:tcW w:w="705" w:type="dxa"/>
            <w:vMerge w:val="continue"/>
            <w:tcBorders>
              <w:top w:val="nil"/>
            </w:tcBorders>
            <w:vAlign w:val="top"/>
          </w:tcPr>
          <w:p w14:paraId="79A0420F">
            <w:pPr>
              <w:rPr>
                <w:rFonts w:ascii="Arial"/>
                <w:sz w:val="21"/>
              </w:rPr>
            </w:pPr>
          </w:p>
        </w:tc>
        <w:tc>
          <w:tcPr>
            <w:tcW w:w="712" w:type="dxa"/>
            <w:vAlign w:val="top"/>
          </w:tcPr>
          <w:p w14:paraId="08294772">
            <w:pPr>
              <w:spacing w:line="472" w:lineRule="auto"/>
              <w:rPr>
                <w:rFonts w:ascii="Arial"/>
                <w:sz w:val="21"/>
              </w:rPr>
            </w:pPr>
          </w:p>
          <w:p w14:paraId="469B1BDF">
            <w:pPr>
              <w:pStyle w:val="6"/>
              <w:spacing w:before="60" w:line="198" w:lineRule="auto"/>
              <w:ind w:left="186"/>
            </w:pPr>
            <w:r>
              <w:rPr>
                <w:spacing w:val="-2"/>
              </w:rPr>
              <w:t>H</w:t>
            </w:r>
            <w:r>
              <w:rPr>
                <w:spacing w:val="-2"/>
                <w:position w:val="-2"/>
                <w:sz w:val="14"/>
                <w:szCs w:val="14"/>
              </w:rPr>
              <w:t>2</w:t>
            </w:r>
            <w:r>
              <w:rPr>
                <w:spacing w:val="-2"/>
              </w:rPr>
              <w:t>S</w:t>
            </w:r>
          </w:p>
        </w:tc>
        <w:tc>
          <w:tcPr>
            <w:tcW w:w="998" w:type="dxa"/>
            <w:vAlign w:val="top"/>
          </w:tcPr>
          <w:p w14:paraId="18FF371F">
            <w:pPr>
              <w:spacing w:line="472" w:lineRule="auto"/>
              <w:rPr>
                <w:rFonts w:ascii="Arial"/>
                <w:sz w:val="21"/>
              </w:rPr>
            </w:pPr>
          </w:p>
          <w:p w14:paraId="0A0EA954">
            <w:pPr>
              <w:pStyle w:val="6"/>
              <w:spacing w:before="60" w:line="188" w:lineRule="auto"/>
              <w:ind w:left="213"/>
            </w:pPr>
            <w:r>
              <w:rPr>
                <w:spacing w:val="-2"/>
              </w:rPr>
              <w:t>0.0164</w:t>
            </w:r>
          </w:p>
        </w:tc>
        <w:tc>
          <w:tcPr>
            <w:tcW w:w="963" w:type="dxa"/>
            <w:vAlign w:val="top"/>
          </w:tcPr>
          <w:p w14:paraId="2D961C68">
            <w:pPr>
              <w:spacing w:line="472" w:lineRule="auto"/>
              <w:rPr>
                <w:rFonts w:ascii="Arial"/>
                <w:sz w:val="21"/>
              </w:rPr>
            </w:pPr>
          </w:p>
          <w:p w14:paraId="40DB1F5A">
            <w:pPr>
              <w:pStyle w:val="6"/>
              <w:spacing w:before="60" w:line="188" w:lineRule="auto"/>
              <w:ind w:left="248"/>
            </w:pPr>
            <w:r>
              <w:rPr>
                <w:spacing w:val="-2"/>
              </w:rPr>
              <w:t>0.143</w:t>
            </w:r>
          </w:p>
        </w:tc>
        <w:tc>
          <w:tcPr>
            <w:tcW w:w="960" w:type="dxa"/>
            <w:vAlign w:val="top"/>
          </w:tcPr>
          <w:p w14:paraId="0FA68580">
            <w:pPr>
              <w:spacing w:line="472" w:lineRule="auto"/>
              <w:rPr>
                <w:rFonts w:ascii="Arial"/>
                <w:sz w:val="21"/>
              </w:rPr>
            </w:pPr>
          </w:p>
          <w:p w14:paraId="6060A081">
            <w:pPr>
              <w:pStyle w:val="6"/>
              <w:spacing w:before="60" w:line="188" w:lineRule="auto"/>
              <w:ind w:left="196"/>
            </w:pPr>
            <w:r>
              <w:rPr>
                <w:spacing w:val="-2"/>
              </w:rPr>
              <w:t>0.0036</w:t>
            </w:r>
          </w:p>
        </w:tc>
        <w:tc>
          <w:tcPr>
            <w:tcW w:w="963" w:type="dxa"/>
            <w:vAlign w:val="top"/>
          </w:tcPr>
          <w:p w14:paraId="0ED51A37">
            <w:pPr>
              <w:spacing w:line="472" w:lineRule="auto"/>
              <w:rPr>
                <w:rFonts w:ascii="Arial"/>
                <w:sz w:val="21"/>
              </w:rPr>
            </w:pPr>
          </w:p>
          <w:p w14:paraId="53B3262A">
            <w:pPr>
              <w:pStyle w:val="6"/>
              <w:spacing w:before="60" w:line="188" w:lineRule="auto"/>
              <w:ind w:left="250"/>
            </w:pPr>
            <w:r>
              <w:rPr>
                <w:spacing w:val="-2"/>
              </w:rPr>
              <w:t>0.032</w:t>
            </w:r>
          </w:p>
        </w:tc>
        <w:tc>
          <w:tcPr>
            <w:tcW w:w="1594" w:type="dxa"/>
            <w:vMerge w:val="continue"/>
            <w:tcBorders>
              <w:top w:val="nil"/>
            </w:tcBorders>
            <w:vAlign w:val="top"/>
          </w:tcPr>
          <w:p w14:paraId="0A7601FD">
            <w:pPr>
              <w:rPr>
                <w:rFonts w:ascii="Arial"/>
                <w:sz w:val="21"/>
              </w:rPr>
            </w:pPr>
          </w:p>
        </w:tc>
        <w:tc>
          <w:tcPr>
            <w:tcW w:w="925" w:type="dxa"/>
            <w:vMerge w:val="continue"/>
            <w:tcBorders>
              <w:top w:val="nil"/>
            </w:tcBorders>
            <w:vAlign w:val="top"/>
          </w:tcPr>
          <w:p w14:paraId="6CC90034">
            <w:pPr>
              <w:rPr>
                <w:rFonts w:ascii="Arial"/>
                <w:sz w:val="21"/>
              </w:rPr>
            </w:pPr>
          </w:p>
        </w:tc>
      </w:tr>
      <w:tr w14:paraId="4C89A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67A8664C">
            <w:pPr>
              <w:rPr>
                <w:rFonts w:ascii="Arial"/>
                <w:sz w:val="21"/>
              </w:rPr>
            </w:pPr>
          </w:p>
        </w:tc>
        <w:tc>
          <w:tcPr>
            <w:tcW w:w="705" w:type="dxa"/>
            <w:vMerge w:val="restart"/>
            <w:tcBorders>
              <w:bottom w:val="nil"/>
            </w:tcBorders>
            <w:vAlign w:val="top"/>
          </w:tcPr>
          <w:p w14:paraId="6BD59D90">
            <w:pPr>
              <w:pStyle w:val="6"/>
              <w:spacing w:before="207" w:line="309" w:lineRule="auto"/>
              <w:ind w:left="78" w:right="37" w:hanging="37"/>
              <w:rPr>
                <w:sz w:val="15"/>
                <w:szCs w:val="15"/>
              </w:rPr>
            </w:pPr>
            <w:r>
              <w:rPr>
                <w:rFonts w:ascii="宋体" w:hAnsi="宋体" w:eastAsia="宋体" w:cs="宋体"/>
                <w:spacing w:val="-4"/>
              </w:rPr>
              <w:t>转猪舍</w:t>
            </w:r>
            <w:r>
              <w:rPr>
                <w:spacing w:val="-2"/>
                <w:sz w:val="15"/>
                <w:szCs w:val="15"/>
              </w:rPr>
              <w:t>(</w:t>
            </w:r>
            <w:r>
              <w:rPr>
                <w:rFonts w:ascii="宋体" w:hAnsi="宋体" w:eastAsia="宋体" w:cs="宋体"/>
                <w:spacing w:val="-2"/>
                <w:sz w:val="15"/>
                <w:szCs w:val="15"/>
              </w:rPr>
              <w:t>无组织</w:t>
            </w:r>
            <w:r>
              <w:rPr>
                <w:spacing w:val="-2"/>
                <w:sz w:val="15"/>
                <w:szCs w:val="15"/>
              </w:rPr>
              <w:t>)</w:t>
            </w:r>
          </w:p>
        </w:tc>
        <w:tc>
          <w:tcPr>
            <w:tcW w:w="712" w:type="dxa"/>
            <w:vAlign w:val="top"/>
          </w:tcPr>
          <w:p w14:paraId="06FD131E">
            <w:pPr>
              <w:pStyle w:val="6"/>
              <w:spacing w:before="104" w:line="195" w:lineRule="auto"/>
              <w:ind w:left="162"/>
              <w:rPr>
                <w:sz w:val="14"/>
                <w:szCs w:val="14"/>
              </w:rPr>
            </w:pPr>
            <w:r>
              <w:t>NH</w:t>
            </w:r>
            <w:r>
              <w:rPr>
                <w:spacing w:val="1"/>
                <w:position w:val="-2"/>
                <w:sz w:val="14"/>
                <w:szCs w:val="14"/>
              </w:rPr>
              <w:t>3</w:t>
            </w:r>
          </w:p>
        </w:tc>
        <w:tc>
          <w:tcPr>
            <w:tcW w:w="998" w:type="dxa"/>
            <w:vAlign w:val="top"/>
          </w:tcPr>
          <w:p w14:paraId="4DEDD683">
            <w:pPr>
              <w:pStyle w:val="6"/>
              <w:spacing w:before="101" w:line="188" w:lineRule="auto"/>
              <w:ind w:left="213"/>
            </w:pPr>
            <w:r>
              <w:rPr>
                <w:spacing w:val="-2"/>
              </w:rPr>
              <w:t>0.0180</w:t>
            </w:r>
          </w:p>
        </w:tc>
        <w:tc>
          <w:tcPr>
            <w:tcW w:w="963" w:type="dxa"/>
            <w:vAlign w:val="top"/>
          </w:tcPr>
          <w:p w14:paraId="662C98DE">
            <w:pPr>
              <w:pStyle w:val="6"/>
              <w:spacing w:before="101" w:line="188" w:lineRule="auto"/>
              <w:ind w:left="249"/>
            </w:pPr>
            <w:r>
              <w:rPr>
                <w:spacing w:val="-2"/>
              </w:rPr>
              <w:t>0.026</w:t>
            </w:r>
          </w:p>
        </w:tc>
        <w:tc>
          <w:tcPr>
            <w:tcW w:w="960" w:type="dxa"/>
            <w:vAlign w:val="top"/>
          </w:tcPr>
          <w:p w14:paraId="360EE831">
            <w:pPr>
              <w:pStyle w:val="6"/>
              <w:spacing w:before="101" w:line="188" w:lineRule="auto"/>
              <w:ind w:left="196"/>
            </w:pPr>
            <w:r>
              <w:rPr>
                <w:spacing w:val="-2"/>
              </w:rPr>
              <w:t>0.0025</w:t>
            </w:r>
          </w:p>
        </w:tc>
        <w:tc>
          <w:tcPr>
            <w:tcW w:w="963" w:type="dxa"/>
            <w:vAlign w:val="top"/>
          </w:tcPr>
          <w:p w14:paraId="6511CDDE">
            <w:pPr>
              <w:pStyle w:val="6"/>
              <w:spacing w:before="101" w:line="188" w:lineRule="auto"/>
              <w:ind w:left="250"/>
            </w:pPr>
            <w:r>
              <w:rPr>
                <w:spacing w:val="-2"/>
              </w:rPr>
              <w:t>0.004</w:t>
            </w:r>
          </w:p>
        </w:tc>
        <w:tc>
          <w:tcPr>
            <w:tcW w:w="1594" w:type="dxa"/>
            <w:vMerge w:val="restart"/>
            <w:tcBorders>
              <w:bottom w:val="nil"/>
            </w:tcBorders>
            <w:vAlign w:val="top"/>
          </w:tcPr>
          <w:p w14:paraId="1EC39AD3">
            <w:pPr>
              <w:spacing w:before="50" w:line="258" w:lineRule="auto"/>
              <w:ind w:left="12" w:firstLine="8"/>
              <w:jc w:val="both"/>
              <w:rPr>
                <w:rFonts w:ascii="宋体" w:hAnsi="宋体" w:eastAsia="宋体" w:cs="宋体"/>
                <w:sz w:val="21"/>
                <w:szCs w:val="21"/>
              </w:rPr>
            </w:pPr>
            <w:r>
              <w:rPr>
                <w:rFonts w:ascii="宋体" w:hAnsi="宋体" w:eastAsia="宋体" w:cs="宋体"/>
                <w:spacing w:val="-1"/>
                <w:sz w:val="21"/>
                <w:szCs w:val="21"/>
              </w:rPr>
              <w:t>喷洒除臭剂</w:t>
            </w:r>
            <w:r>
              <w:rPr>
                <w:rFonts w:ascii="Calibri" w:hAnsi="Calibri" w:eastAsia="Calibri" w:cs="Calibri"/>
                <w:spacing w:val="-1"/>
                <w:sz w:val="21"/>
                <w:szCs w:val="21"/>
              </w:rPr>
              <w:t>+</w:t>
            </w:r>
            <w:r>
              <w:rPr>
                <w:rFonts w:ascii="宋体" w:hAnsi="宋体" w:eastAsia="宋体" w:cs="宋体"/>
                <w:spacing w:val="-1"/>
                <w:sz w:val="21"/>
                <w:szCs w:val="21"/>
              </w:rPr>
              <w:t>水帘</w:t>
            </w:r>
            <w:r>
              <w:rPr>
                <w:rFonts w:ascii="宋体" w:hAnsi="宋体" w:eastAsia="宋体" w:cs="宋体"/>
                <w:sz w:val="21"/>
                <w:szCs w:val="21"/>
              </w:rPr>
              <w:t>通风</w:t>
            </w:r>
            <w:r>
              <w:rPr>
                <w:rFonts w:ascii="Calibri" w:hAnsi="Calibri" w:eastAsia="Calibri" w:cs="Calibri"/>
                <w:sz w:val="21"/>
                <w:szCs w:val="21"/>
              </w:rPr>
              <w:t>+</w:t>
            </w:r>
            <w:r>
              <w:rPr>
                <w:rFonts w:ascii="宋体" w:hAnsi="宋体" w:eastAsia="宋体" w:cs="宋体"/>
                <w:sz w:val="21"/>
                <w:szCs w:val="21"/>
              </w:rPr>
              <w:t>出风口生物</w:t>
            </w:r>
            <w:r>
              <w:rPr>
                <w:rFonts w:ascii="宋体" w:hAnsi="宋体" w:eastAsia="宋体" w:cs="宋体"/>
                <w:spacing w:val="-7"/>
                <w:sz w:val="21"/>
                <w:szCs w:val="21"/>
              </w:rPr>
              <w:t>喷雾除臭。</w:t>
            </w:r>
          </w:p>
        </w:tc>
        <w:tc>
          <w:tcPr>
            <w:tcW w:w="925" w:type="dxa"/>
            <w:vMerge w:val="restart"/>
            <w:tcBorders>
              <w:bottom w:val="nil"/>
            </w:tcBorders>
            <w:vAlign w:val="top"/>
          </w:tcPr>
          <w:p w14:paraId="69E6D37A">
            <w:pPr>
              <w:spacing w:line="292" w:lineRule="auto"/>
              <w:rPr>
                <w:rFonts w:ascii="Arial"/>
                <w:sz w:val="21"/>
              </w:rPr>
            </w:pPr>
          </w:p>
          <w:p w14:paraId="4AFDEA5B">
            <w:pPr>
              <w:spacing w:before="69" w:line="220" w:lineRule="auto"/>
              <w:ind w:left="64"/>
              <w:rPr>
                <w:rFonts w:ascii="宋体" w:hAnsi="宋体" w:eastAsia="宋体" w:cs="宋体"/>
                <w:sz w:val="21"/>
                <w:szCs w:val="21"/>
              </w:rPr>
            </w:pPr>
            <w:r>
              <w:rPr>
                <w:rFonts w:ascii="宋体" w:hAnsi="宋体" w:eastAsia="宋体" w:cs="宋体"/>
                <w:spacing w:val="-5"/>
                <w:sz w:val="21"/>
                <w:szCs w:val="21"/>
              </w:rPr>
              <w:t>间歇排放</w:t>
            </w:r>
          </w:p>
        </w:tc>
      </w:tr>
      <w:tr w14:paraId="3E47C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570" w:type="dxa"/>
            <w:vMerge w:val="continue"/>
            <w:tcBorders>
              <w:top w:val="nil"/>
              <w:bottom w:val="nil"/>
            </w:tcBorders>
            <w:vAlign w:val="top"/>
          </w:tcPr>
          <w:p w14:paraId="424AE279">
            <w:pPr>
              <w:rPr>
                <w:rFonts w:ascii="Arial"/>
                <w:sz w:val="21"/>
              </w:rPr>
            </w:pPr>
          </w:p>
        </w:tc>
        <w:tc>
          <w:tcPr>
            <w:tcW w:w="705" w:type="dxa"/>
            <w:vMerge w:val="continue"/>
            <w:tcBorders>
              <w:top w:val="nil"/>
            </w:tcBorders>
            <w:vAlign w:val="top"/>
          </w:tcPr>
          <w:p w14:paraId="1D1B1335">
            <w:pPr>
              <w:rPr>
                <w:rFonts w:ascii="Arial"/>
                <w:sz w:val="21"/>
              </w:rPr>
            </w:pPr>
          </w:p>
        </w:tc>
        <w:tc>
          <w:tcPr>
            <w:tcW w:w="712" w:type="dxa"/>
            <w:vAlign w:val="top"/>
          </w:tcPr>
          <w:p w14:paraId="460C985E">
            <w:pPr>
              <w:pStyle w:val="6"/>
              <w:spacing w:before="223" w:line="198" w:lineRule="auto"/>
              <w:ind w:left="186"/>
            </w:pPr>
            <w:r>
              <w:rPr>
                <w:spacing w:val="-2"/>
              </w:rPr>
              <w:t>H</w:t>
            </w:r>
            <w:r>
              <w:rPr>
                <w:spacing w:val="-2"/>
                <w:position w:val="-2"/>
                <w:sz w:val="14"/>
                <w:szCs w:val="14"/>
              </w:rPr>
              <w:t>2</w:t>
            </w:r>
            <w:r>
              <w:rPr>
                <w:spacing w:val="-2"/>
              </w:rPr>
              <w:t>S</w:t>
            </w:r>
          </w:p>
        </w:tc>
        <w:tc>
          <w:tcPr>
            <w:tcW w:w="998" w:type="dxa"/>
            <w:vAlign w:val="top"/>
          </w:tcPr>
          <w:p w14:paraId="3596E0A8">
            <w:pPr>
              <w:pStyle w:val="6"/>
              <w:spacing w:before="223" w:line="188" w:lineRule="auto"/>
              <w:ind w:left="213"/>
            </w:pPr>
            <w:r>
              <w:rPr>
                <w:spacing w:val="-2"/>
              </w:rPr>
              <w:t>0.0005</w:t>
            </w:r>
          </w:p>
        </w:tc>
        <w:tc>
          <w:tcPr>
            <w:tcW w:w="963" w:type="dxa"/>
            <w:vAlign w:val="top"/>
          </w:tcPr>
          <w:p w14:paraId="3EB30C92">
            <w:pPr>
              <w:pStyle w:val="6"/>
              <w:spacing w:before="223" w:line="188" w:lineRule="auto"/>
              <w:ind w:left="248"/>
            </w:pPr>
            <w:r>
              <w:rPr>
                <w:spacing w:val="-2"/>
              </w:rPr>
              <w:t>0.001</w:t>
            </w:r>
          </w:p>
        </w:tc>
        <w:tc>
          <w:tcPr>
            <w:tcW w:w="960" w:type="dxa"/>
            <w:vAlign w:val="top"/>
          </w:tcPr>
          <w:p w14:paraId="128EA12B">
            <w:pPr>
              <w:pStyle w:val="6"/>
              <w:spacing w:before="223" w:line="188" w:lineRule="auto"/>
              <w:ind w:left="196"/>
            </w:pPr>
            <w:r>
              <w:rPr>
                <w:spacing w:val="-2"/>
              </w:rPr>
              <w:t>0.0001</w:t>
            </w:r>
          </w:p>
        </w:tc>
        <w:tc>
          <w:tcPr>
            <w:tcW w:w="963" w:type="dxa"/>
            <w:vAlign w:val="top"/>
          </w:tcPr>
          <w:p w14:paraId="4EEECEAD">
            <w:pPr>
              <w:pStyle w:val="6"/>
              <w:spacing w:before="223" w:line="188" w:lineRule="auto"/>
              <w:ind w:left="198"/>
            </w:pPr>
            <w:r>
              <w:rPr>
                <w:spacing w:val="-2"/>
              </w:rPr>
              <w:t>0.0002</w:t>
            </w:r>
          </w:p>
        </w:tc>
        <w:tc>
          <w:tcPr>
            <w:tcW w:w="1594" w:type="dxa"/>
            <w:vMerge w:val="continue"/>
            <w:tcBorders>
              <w:top w:val="nil"/>
            </w:tcBorders>
            <w:vAlign w:val="top"/>
          </w:tcPr>
          <w:p w14:paraId="48FF1343">
            <w:pPr>
              <w:rPr>
                <w:rFonts w:ascii="Arial"/>
                <w:sz w:val="21"/>
              </w:rPr>
            </w:pPr>
          </w:p>
        </w:tc>
        <w:tc>
          <w:tcPr>
            <w:tcW w:w="925" w:type="dxa"/>
            <w:vMerge w:val="continue"/>
            <w:tcBorders>
              <w:top w:val="nil"/>
            </w:tcBorders>
            <w:vAlign w:val="top"/>
          </w:tcPr>
          <w:p w14:paraId="3475A9B5">
            <w:pPr>
              <w:rPr>
                <w:rFonts w:ascii="Arial"/>
                <w:sz w:val="21"/>
              </w:rPr>
            </w:pPr>
          </w:p>
        </w:tc>
      </w:tr>
      <w:tr w14:paraId="3CE72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451A4587">
            <w:pPr>
              <w:rPr>
                <w:rFonts w:ascii="Arial"/>
                <w:sz w:val="21"/>
              </w:rPr>
            </w:pPr>
          </w:p>
        </w:tc>
        <w:tc>
          <w:tcPr>
            <w:tcW w:w="705" w:type="dxa"/>
            <w:vMerge w:val="restart"/>
            <w:tcBorders>
              <w:bottom w:val="nil"/>
            </w:tcBorders>
            <w:vAlign w:val="top"/>
          </w:tcPr>
          <w:p w14:paraId="4ADAC87B">
            <w:pPr>
              <w:pStyle w:val="6"/>
              <w:spacing w:before="83" w:line="308" w:lineRule="auto"/>
              <w:ind w:left="79" w:right="37" w:hanging="37"/>
              <w:rPr>
                <w:sz w:val="15"/>
                <w:szCs w:val="15"/>
              </w:rPr>
            </w:pPr>
            <w:r>
              <w:rPr>
                <w:rFonts w:ascii="宋体" w:hAnsi="宋体" w:eastAsia="宋体" w:cs="宋体"/>
                <w:spacing w:val="-4"/>
              </w:rPr>
              <w:t>污水站</w:t>
            </w:r>
            <w:r>
              <w:rPr>
                <w:spacing w:val="-2"/>
                <w:sz w:val="15"/>
                <w:szCs w:val="15"/>
              </w:rPr>
              <w:t>(</w:t>
            </w:r>
            <w:r>
              <w:rPr>
                <w:rFonts w:ascii="宋体" w:hAnsi="宋体" w:eastAsia="宋体" w:cs="宋体"/>
                <w:spacing w:val="-2"/>
                <w:sz w:val="15"/>
                <w:szCs w:val="15"/>
              </w:rPr>
              <w:t>无组织</w:t>
            </w:r>
            <w:r>
              <w:rPr>
                <w:spacing w:val="-2"/>
                <w:sz w:val="15"/>
                <w:szCs w:val="15"/>
              </w:rPr>
              <w:t>)</w:t>
            </w:r>
          </w:p>
        </w:tc>
        <w:tc>
          <w:tcPr>
            <w:tcW w:w="712" w:type="dxa"/>
            <w:vAlign w:val="top"/>
          </w:tcPr>
          <w:p w14:paraId="27D0A806">
            <w:pPr>
              <w:pStyle w:val="6"/>
              <w:spacing w:before="104" w:line="195" w:lineRule="auto"/>
              <w:ind w:left="162"/>
              <w:rPr>
                <w:sz w:val="14"/>
                <w:szCs w:val="14"/>
              </w:rPr>
            </w:pPr>
            <w:r>
              <w:t>NH</w:t>
            </w:r>
            <w:r>
              <w:rPr>
                <w:spacing w:val="1"/>
                <w:position w:val="-2"/>
                <w:sz w:val="14"/>
                <w:szCs w:val="14"/>
              </w:rPr>
              <w:t>3</w:t>
            </w:r>
          </w:p>
        </w:tc>
        <w:tc>
          <w:tcPr>
            <w:tcW w:w="998" w:type="dxa"/>
            <w:vAlign w:val="top"/>
          </w:tcPr>
          <w:p w14:paraId="17E1D944">
            <w:pPr>
              <w:pStyle w:val="6"/>
              <w:spacing w:before="100" w:line="188" w:lineRule="auto"/>
              <w:ind w:left="217"/>
            </w:pPr>
            <w:r>
              <w:rPr>
                <w:spacing w:val="-2"/>
              </w:rPr>
              <w:t>0.0116</w:t>
            </w:r>
          </w:p>
        </w:tc>
        <w:tc>
          <w:tcPr>
            <w:tcW w:w="963" w:type="dxa"/>
            <w:vAlign w:val="top"/>
          </w:tcPr>
          <w:p w14:paraId="16C8F335">
            <w:pPr>
              <w:pStyle w:val="6"/>
              <w:spacing w:before="100" w:line="188" w:lineRule="auto"/>
              <w:ind w:left="249"/>
            </w:pPr>
            <w:r>
              <w:rPr>
                <w:spacing w:val="-2"/>
              </w:rPr>
              <w:t>0.101</w:t>
            </w:r>
          </w:p>
        </w:tc>
        <w:tc>
          <w:tcPr>
            <w:tcW w:w="960" w:type="dxa"/>
            <w:vAlign w:val="top"/>
          </w:tcPr>
          <w:p w14:paraId="057749CD">
            <w:pPr>
              <w:pStyle w:val="6"/>
              <w:spacing w:before="100" w:line="188" w:lineRule="auto"/>
              <w:ind w:left="196"/>
            </w:pPr>
            <w:r>
              <w:rPr>
                <w:spacing w:val="-2"/>
              </w:rPr>
              <w:t>0.0046</w:t>
            </w:r>
          </w:p>
        </w:tc>
        <w:tc>
          <w:tcPr>
            <w:tcW w:w="963" w:type="dxa"/>
            <w:vAlign w:val="top"/>
          </w:tcPr>
          <w:p w14:paraId="3D7684F4">
            <w:pPr>
              <w:pStyle w:val="6"/>
              <w:spacing w:before="100" w:line="188" w:lineRule="auto"/>
              <w:ind w:left="250"/>
            </w:pPr>
            <w:r>
              <w:rPr>
                <w:spacing w:val="-2"/>
              </w:rPr>
              <w:t>0.041</w:t>
            </w:r>
          </w:p>
        </w:tc>
        <w:tc>
          <w:tcPr>
            <w:tcW w:w="1594" w:type="dxa"/>
            <w:vMerge w:val="restart"/>
            <w:tcBorders>
              <w:bottom w:val="nil"/>
            </w:tcBorders>
            <w:vAlign w:val="top"/>
          </w:tcPr>
          <w:p w14:paraId="2A1EFDB3">
            <w:pPr>
              <w:spacing w:before="83" w:line="264" w:lineRule="auto"/>
              <w:ind w:left="17" w:firstLine="3"/>
              <w:rPr>
                <w:rFonts w:ascii="宋体" w:hAnsi="宋体" w:eastAsia="宋体" w:cs="宋体"/>
                <w:sz w:val="21"/>
                <w:szCs w:val="21"/>
              </w:rPr>
            </w:pPr>
            <w:r>
              <w:rPr>
                <w:rFonts w:ascii="宋体" w:hAnsi="宋体" w:eastAsia="宋体" w:cs="宋体"/>
                <w:spacing w:val="-15"/>
                <w:sz w:val="21"/>
                <w:szCs w:val="21"/>
              </w:rPr>
              <w:t>喷洒除臭</w:t>
            </w:r>
            <w:r>
              <w:rPr>
                <w:rFonts w:ascii="宋体" w:hAnsi="宋体" w:eastAsia="宋体" w:cs="宋体"/>
                <w:spacing w:val="-14"/>
                <w:sz w:val="21"/>
                <w:szCs w:val="21"/>
              </w:rPr>
              <w:t>剂、污</w:t>
            </w:r>
            <w:r>
              <w:rPr>
                <w:rFonts w:ascii="宋体" w:hAnsi="宋体" w:eastAsia="宋体" w:cs="宋体"/>
                <w:spacing w:val="-10"/>
                <w:sz w:val="21"/>
                <w:szCs w:val="21"/>
              </w:rPr>
              <w:t>水</w:t>
            </w:r>
            <w:r>
              <w:rPr>
                <w:rFonts w:ascii="宋体" w:hAnsi="宋体" w:eastAsia="宋体" w:cs="宋体"/>
                <w:spacing w:val="-3"/>
                <w:sz w:val="21"/>
                <w:szCs w:val="21"/>
              </w:rPr>
              <w:t>管道地埋式</w:t>
            </w:r>
          </w:p>
        </w:tc>
        <w:tc>
          <w:tcPr>
            <w:tcW w:w="925" w:type="dxa"/>
            <w:vMerge w:val="restart"/>
            <w:tcBorders>
              <w:bottom w:val="nil"/>
            </w:tcBorders>
            <w:vAlign w:val="top"/>
          </w:tcPr>
          <w:p w14:paraId="61932EA0">
            <w:pPr>
              <w:spacing w:before="239" w:line="220" w:lineRule="auto"/>
              <w:ind w:left="48"/>
              <w:rPr>
                <w:rFonts w:ascii="宋体" w:hAnsi="宋体" w:eastAsia="宋体" w:cs="宋体"/>
                <w:sz w:val="21"/>
                <w:szCs w:val="21"/>
              </w:rPr>
            </w:pPr>
            <w:r>
              <w:rPr>
                <w:rFonts w:ascii="宋体" w:hAnsi="宋体" w:eastAsia="宋体" w:cs="宋体"/>
                <w:spacing w:val="-2"/>
                <w:sz w:val="21"/>
                <w:szCs w:val="21"/>
              </w:rPr>
              <w:t>连续排放</w:t>
            </w:r>
          </w:p>
        </w:tc>
      </w:tr>
      <w:tr w14:paraId="2BEDE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0440CA14">
            <w:pPr>
              <w:rPr>
                <w:rFonts w:ascii="Arial"/>
                <w:sz w:val="21"/>
              </w:rPr>
            </w:pPr>
          </w:p>
        </w:tc>
        <w:tc>
          <w:tcPr>
            <w:tcW w:w="705" w:type="dxa"/>
            <w:vMerge w:val="continue"/>
            <w:tcBorders>
              <w:top w:val="nil"/>
            </w:tcBorders>
            <w:vAlign w:val="top"/>
          </w:tcPr>
          <w:p w14:paraId="52924D18">
            <w:pPr>
              <w:rPr>
                <w:rFonts w:ascii="Arial"/>
                <w:sz w:val="21"/>
              </w:rPr>
            </w:pPr>
          </w:p>
        </w:tc>
        <w:tc>
          <w:tcPr>
            <w:tcW w:w="712" w:type="dxa"/>
            <w:vAlign w:val="top"/>
          </w:tcPr>
          <w:p w14:paraId="752D9D70">
            <w:pPr>
              <w:pStyle w:val="6"/>
              <w:spacing w:before="102" w:line="198" w:lineRule="auto"/>
              <w:ind w:left="186"/>
            </w:pPr>
            <w:r>
              <w:rPr>
                <w:spacing w:val="-2"/>
              </w:rPr>
              <w:t>H</w:t>
            </w:r>
            <w:r>
              <w:rPr>
                <w:spacing w:val="-2"/>
                <w:position w:val="-2"/>
                <w:sz w:val="14"/>
                <w:szCs w:val="14"/>
              </w:rPr>
              <w:t>2</w:t>
            </w:r>
            <w:r>
              <w:rPr>
                <w:spacing w:val="-2"/>
              </w:rPr>
              <w:t>S</w:t>
            </w:r>
          </w:p>
        </w:tc>
        <w:tc>
          <w:tcPr>
            <w:tcW w:w="998" w:type="dxa"/>
            <w:vAlign w:val="top"/>
          </w:tcPr>
          <w:p w14:paraId="591F16C2">
            <w:pPr>
              <w:pStyle w:val="6"/>
              <w:spacing w:before="102" w:line="188" w:lineRule="auto"/>
              <w:ind w:left="213"/>
            </w:pPr>
            <w:r>
              <w:rPr>
                <w:spacing w:val="-2"/>
              </w:rPr>
              <w:t>0.0004</w:t>
            </w:r>
          </w:p>
        </w:tc>
        <w:tc>
          <w:tcPr>
            <w:tcW w:w="963" w:type="dxa"/>
            <w:vAlign w:val="top"/>
          </w:tcPr>
          <w:p w14:paraId="791C367B">
            <w:pPr>
              <w:pStyle w:val="6"/>
              <w:spacing w:before="102" w:line="188" w:lineRule="auto"/>
              <w:ind w:left="248"/>
            </w:pPr>
            <w:r>
              <w:rPr>
                <w:spacing w:val="-2"/>
              </w:rPr>
              <w:t>0.004</w:t>
            </w:r>
          </w:p>
        </w:tc>
        <w:tc>
          <w:tcPr>
            <w:tcW w:w="960" w:type="dxa"/>
            <w:vAlign w:val="top"/>
          </w:tcPr>
          <w:p w14:paraId="2A98BAB8">
            <w:pPr>
              <w:pStyle w:val="6"/>
              <w:spacing w:before="102" w:line="188" w:lineRule="auto"/>
              <w:ind w:left="196"/>
            </w:pPr>
            <w:r>
              <w:rPr>
                <w:spacing w:val="-2"/>
              </w:rPr>
              <w:t>0.0002</w:t>
            </w:r>
          </w:p>
        </w:tc>
        <w:tc>
          <w:tcPr>
            <w:tcW w:w="963" w:type="dxa"/>
            <w:vAlign w:val="top"/>
          </w:tcPr>
          <w:p w14:paraId="2A9759CA">
            <w:pPr>
              <w:pStyle w:val="6"/>
              <w:spacing w:before="102" w:line="188" w:lineRule="auto"/>
              <w:ind w:left="198"/>
            </w:pPr>
            <w:r>
              <w:rPr>
                <w:spacing w:val="-2"/>
              </w:rPr>
              <w:t>0.0016</w:t>
            </w:r>
          </w:p>
        </w:tc>
        <w:tc>
          <w:tcPr>
            <w:tcW w:w="1594" w:type="dxa"/>
            <w:vMerge w:val="continue"/>
            <w:tcBorders>
              <w:top w:val="nil"/>
            </w:tcBorders>
            <w:vAlign w:val="top"/>
          </w:tcPr>
          <w:p w14:paraId="74351089">
            <w:pPr>
              <w:rPr>
                <w:rFonts w:ascii="Arial"/>
                <w:sz w:val="21"/>
              </w:rPr>
            </w:pPr>
          </w:p>
        </w:tc>
        <w:tc>
          <w:tcPr>
            <w:tcW w:w="925" w:type="dxa"/>
            <w:vMerge w:val="continue"/>
            <w:tcBorders>
              <w:top w:val="nil"/>
            </w:tcBorders>
            <w:vAlign w:val="top"/>
          </w:tcPr>
          <w:p w14:paraId="445701E7">
            <w:pPr>
              <w:rPr>
                <w:rFonts w:ascii="Arial"/>
                <w:sz w:val="21"/>
              </w:rPr>
            </w:pPr>
          </w:p>
        </w:tc>
      </w:tr>
      <w:tr w14:paraId="00D28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1196C65F">
            <w:pPr>
              <w:rPr>
                <w:rFonts w:ascii="Arial"/>
                <w:sz w:val="21"/>
              </w:rPr>
            </w:pPr>
          </w:p>
        </w:tc>
        <w:tc>
          <w:tcPr>
            <w:tcW w:w="705" w:type="dxa"/>
            <w:vMerge w:val="restart"/>
            <w:tcBorders>
              <w:bottom w:val="nil"/>
            </w:tcBorders>
            <w:vAlign w:val="top"/>
          </w:tcPr>
          <w:p w14:paraId="17BA9C09">
            <w:pPr>
              <w:spacing w:line="293" w:lineRule="auto"/>
              <w:rPr>
                <w:rFonts w:ascii="Arial"/>
                <w:sz w:val="21"/>
              </w:rPr>
            </w:pPr>
          </w:p>
          <w:p w14:paraId="1080A5DD">
            <w:pPr>
              <w:pStyle w:val="6"/>
              <w:spacing w:before="68" w:line="359" w:lineRule="auto"/>
              <w:ind w:left="102" w:right="37" w:hanging="60"/>
              <w:jc w:val="both"/>
              <w:rPr>
                <w:sz w:val="15"/>
                <w:szCs w:val="15"/>
              </w:rPr>
            </w:pPr>
            <w:r>
              <w:rPr>
                <w:rFonts w:ascii="宋体" w:hAnsi="宋体" w:eastAsia="宋体" w:cs="宋体"/>
                <w:spacing w:val="-4"/>
              </w:rPr>
              <w:t>污水站</w:t>
            </w:r>
            <w:r>
              <w:rPr>
                <w:spacing w:val="-1"/>
                <w:sz w:val="15"/>
                <w:szCs w:val="15"/>
              </w:rPr>
              <w:t>(DA001</w:t>
            </w:r>
            <w:r>
              <w:rPr>
                <w:rFonts w:ascii="宋体" w:hAnsi="宋体" w:eastAsia="宋体" w:cs="宋体"/>
                <w:spacing w:val="-2"/>
                <w:sz w:val="15"/>
                <w:szCs w:val="15"/>
              </w:rPr>
              <w:t>排气筒</w:t>
            </w:r>
            <w:r>
              <w:rPr>
                <w:spacing w:val="-2"/>
                <w:sz w:val="15"/>
                <w:szCs w:val="15"/>
              </w:rPr>
              <w:t>)</w:t>
            </w:r>
          </w:p>
        </w:tc>
        <w:tc>
          <w:tcPr>
            <w:tcW w:w="712" w:type="dxa"/>
            <w:vAlign w:val="top"/>
          </w:tcPr>
          <w:p w14:paraId="76F34EF4">
            <w:pPr>
              <w:pStyle w:val="6"/>
              <w:spacing w:before="105" w:line="195" w:lineRule="auto"/>
              <w:ind w:left="162"/>
              <w:rPr>
                <w:sz w:val="14"/>
                <w:szCs w:val="14"/>
              </w:rPr>
            </w:pPr>
            <w:r>
              <w:t>NH</w:t>
            </w:r>
            <w:r>
              <w:rPr>
                <w:spacing w:val="1"/>
                <w:position w:val="-2"/>
                <w:sz w:val="14"/>
                <w:szCs w:val="14"/>
              </w:rPr>
              <w:t>3</w:t>
            </w:r>
          </w:p>
        </w:tc>
        <w:tc>
          <w:tcPr>
            <w:tcW w:w="998" w:type="dxa"/>
            <w:vAlign w:val="top"/>
          </w:tcPr>
          <w:p w14:paraId="299A6AE7">
            <w:pPr>
              <w:pStyle w:val="6"/>
              <w:spacing w:before="101" w:line="188" w:lineRule="auto"/>
              <w:ind w:left="213"/>
            </w:pPr>
            <w:r>
              <w:rPr>
                <w:spacing w:val="-2"/>
              </w:rPr>
              <w:t>0.0879</w:t>
            </w:r>
          </w:p>
        </w:tc>
        <w:tc>
          <w:tcPr>
            <w:tcW w:w="963" w:type="dxa"/>
            <w:vAlign w:val="top"/>
          </w:tcPr>
          <w:p w14:paraId="4BF0946C">
            <w:pPr>
              <w:pStyle w:val="6"/>
              <w:spacing w:before="101" w:line="188" w:lineRule="auto"/>
              <w:ind w:left="249"/>
            </w:pPr>
            <w:r>
              <w:rPr>
                <w:spacing w:val="-2"/>
              </w:rPr>
              <w:t>0.770</w:t>
            </w:r>
          </w:p>
        </w:tc>
        <w:tc>
          <w:tcPr>
            <w:tcW w:w="960" w:type="dxa"/>
            <w:vAlign w:val="top"/>
          </w:tcPr>
          <w:p w14:paraId="6FD37EBB">
            <w:pPr>
              <w:pStyle w:val="6"/>
              <w:spacing w:before="101" w:line="188" w:lineRule="auto"/>
              <w:ind w:left="196"/>
            </w:pPr>
            <w:r>
              <w:rPr>
                <w:spacing w:val="-2"/>
              </w:rPr>
              <w:t>0.0088</w:t>
            </w:r>
          </w:p>
        </w:tc>
        <w:tc>
          <w:tcPr>
            <w:tcW w:w="963" w:type="dxa"/>
            <w:vAlign w:val="top"/>
          </w:tcPr>
          <w:p w14:paraId="7364C5CF">
            <w:pPr>
              <w:pStyle w:val="6"/>
              <w:spacing w:before="101" w:line="188" w:lineRule="auto"/>
              <w:ind w:left="250"/>
            </w:pPr>
            <w:r>
              <w:rPr>
                <w:spacing w:val="-2"/>
              </w:rPr>
              <w:t>0.077</w:t>
            </w:r>
          </w:p>
        </w:tc>
        <w:tc>
          <w:tcPr>
            <w:tcW w:w="1594" w:type="dxa"/>
            <w:vMerge w:val="restart"/>
            <w:tcBorders>
              <w:bottom w:val="nil"/>
            </w:tcBorders>
            <w:vAlign w:val="top"/>
          </w:tcPr>
          <w:p w14:paraId="75C90DB3">
            <w:pPr>
              <w:pStyle w:val="6"/>
              <w:spacing w:before="52" w:line="264" w:lineRule="auto"/>
              <w:ind w:left="12" w:firstLine="1"/>
              <w:jc w:val="both"/>
              <w:rPr>
                <w:rFonts w:ascii="宋体" w:hAnsi="宋体" w:eastAsia="宋体" w:cs="宋体"/>
              </w:rPr>
            </w:pPr>
            <w:r>
              <w:rPr>
                <w:rFonts w:ascii="宋体" w:hAnsi="宋体" w:eastAsia="宋体" w:cs="宋体"/>
                <w:spacing w:val="15"/>
              </w:rPr>
              <w:t>污水处理站产臭单元臭气负压收集至生物滤池处</w:t>
            </w:r>
            <w:r>
              <w:rPr>
                <w:rFonts w:ascii="宋体" w:hAnsi="宋体" w:eastAsia="宋体" w:cs="宋体"/>
                <w:spacing w:val="-5"/>
              </w:rPr>
              <w:t xml:space="preserve">理后由 </w:t>
            </w:r>
            <w:r>
              <w:rPr>
                <w:spacing w:val="-5"/>
              </w:rPr>
              <w:t>15m</w:t>
            </w:r>
            <w:r>
              <w:rPr>
                <w:spacing w:val="40"/>
              </w:rPr>
              <w:t xml:space="preserve"> </w:t>
            </w:r>
            <w:r>
              <w:rPr>
                <w:rFonts w:ascii="宋体" w:hAnsi="宋体" w:eastAsia="宋体" w:cs="宋体"/>
                <w:spacing w:val="-5"/>
              </w:rPr>
              <w:t>高排</w:t>
            </w:r>
            <w:r>
              <w:rPr>
                <w:rFonts w:ascii="宋体" w:hAnsi="宋体" w:eastAsia="宋体" w:cs="宋体"/>
                <w:spacing w:val="-7"/>
              </w:rPr>
              <w:t>气筒排放。</w:t>
            </w:r>
          </w:p>
        </w:tc>
        <w:tc>
          <w:tcPr>
            <w:tcW w:w="925" w:type="dxa"/>
            <w:vMerge w:val="restart"/>
            <w:tcBorders>
              <w:bottom w:val="nil"/>
            </w:tcBorders>
            <w:vAlign w:val="top"/>
          </w:tcPr>
          <w:p w14:paraId="72A1E65C">
            <w:pPr>
              <w:spacing w:line="301" w:lineRule="auto"/>
              <w:rPr>
                <w:rFonts w:ascii="Arial"/>
                <w:sz w:val="21"/>
              </w:rPr>
            </w:pPr>
          </w:p>
          <w:p w14:paraId="2CC3CBC3">
            <w:pPr>
              <w:spacing w:line="302" w:lineRule="auto"/>
              <w:rPr>
                <w:rFonts w:ascii="Arial"/>
                <w:sz w:val="21"/>
              </w:rPr>
            </w:pPr>
          </w:p>
          <w:p w14:paraId="597CBF18">
            <w:pPr>
              <w:spacing w:before="69" w:line="220" w:lineRule="auto"/>
              <w:ind w:left="48"/>
              <w:rPr>
                <w:rFonts w:ascii="宋体" w:hAnsi="宋体" w:eastAsia="宋体" w:cs="宋体"/>
                <w:sz w:val="21"/>
                <w:szCs w:val="21"/>
              </w:rPr>
            </w:pPr>
            <w:r>
              <w:rPr>
                <w:rFonts w:ascii="宋体" w:hAnsi="宋体" w:eastAsia="宋体" w:cs="宋体"/>
                <w:spacing w:val="-2"/>
                <w:sz w:val="21"/>
                <w:szCs w:val="21"/>
              </w:rPr>
              <w:t>连续排放</w:t>
            </w:r>
          </w:p>
        </w:tc>
      </w:tr>
      <w:tr w14:paraId="78ABC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570" w:type="dxa"/>
            <w:vMerge w:val="continue"/>
            <w:tcBorders>
              <w:top w:val="nil"/>
              <w:bottom w:val="nil"/>
            </w:tcBorders>
            <w:vAlign w:val="top"/>
          </w:tcPr>
          <w:p w14:paraId="0A17D10D">
            <w:pPr>
              <w:rPr>
                <w:rFonts w:ascii="Arial"/>
                <w:sz w:val="21"/>
              </w:rPr>
            </w:pPr>
          </w:p>
        </w:tc>
        <w:tc>
          <w:tcPr>
            <w:tcW w:w="705" w:type="dxa"/>
            <w:vMerge w:val="continue"/>
            <w:tcBorders>
              <w:top w:val="nil"/>
            </w:tcBorders>
            <w:vAlign w:val="top"/>
          </w:tcPr>
          <w:p w14:paraId="71853EF9">
            <w:pPr>
              <w:rPr>
                <w:rFonts w:ascii="Arial"/>
                <w:sz w:val="21"/>
              </w:rPr>
            </w:pPr>
          </w:p>
        </w:tc>
        <w:tc>
          <w:tcPr>
            <w:tcW w:w="712" w:type="dxa"/>
            <w:vAlign w:val="top"/>
          </w:tcPr>
          <w:p w14:paraId="175DB923">
            <w:pPr>
              <w:spacing w:line="474" w:lineRule="auto"/>
              <w:rPr>
                <w:rFonts w:ascii="Arial"/>
                <w:sz w:val="21"/>
              </w:rPr>
            </w:pPr>
          </w:p>
          <w:p w14:paraId="63F02BC0">
            <w:pPr>
              <w:pStyle w:val="6"/>
              <w:spacing w:before="60" w:line="198" w:lineRule="auto"/>
              <w:ind w:left="186"/>
            </w:pPr>
            <w:r>
              <w:rPr>
                <w:spacing w:val="-2"/>
              </w:rPr>
              <w:t>H</w:t>
            </w:r>
            <w:r>
              <w:rPr>
                <w:spacing w:val="-2"/>
                <w:position w:val="-2"/>
                <w:sz w:val="14"/>
                <w:szCs w:val="14"/>
              </w:rPr>
              <w:t>2</w:t>
            </w:r>
            <w:r>
              <w:rPr>
                <w:spacing w:val="-2"/>
              </w:rPr>
              <w:t>S</w:t>
            </w:r>
          </w:p>
        </w:tc>
        <w:tc>
          <w:tcPr>
            <w:tcW w:w="998" w:type="dxa"/>
            <w:vAlign w:val="top"/>
          </w:tcPr>
          <w:p w14:paraId="63E2E8E6">
            <w:pPr>
              <w:spacing w:line="472" w:lineRule="auto"/>
              <w:rPr>
                <w:rFonts w:ascii="Arial"/>
                <w:sz w:val="21"/>
              </w:rPr>
            </w:pPr>
          </w:p>
          <w:p w14:paraId="2833E721">
            <w:pPr>
              <w:pStyle w:val="6"/>
              <w:spacing w:before="61" w:line="188" w:lineRule="auto"/>
              <w:ind w:left="213"/>
            </w:pPr>
            <w:r>
              <w:rPr>
                <w:spacing w:val="-2"/>
              </w:rPr>
              <w:t>0.0034</w:t>
            </w:r>
          </w:p>
        </w:tc>
        <w:tc>
          <w:tcPr>
            <w:tcW w:w="963" w:type="dxa"/>
            <w:vAlign w:val="top"/>
          </w:tcPr>
          <w:p w14:paraId="324FDB62">
            <w:pPr>
              <w:spacing w:line="472" w:lineRule="auto"/>
              <w:rPr>
                <w:rFonts w:ascii="Arial"/>
                <w:sz w:val="21"/>
              </w:rPr>
            </w:pPr>
          </w:p>
          <w:p w14:paraId="2063A2BF">
            <w:pPr>
              <w:pStyle w:val="6"/>
              <w:spacing w:before="61" w:line="188" w:lineRule="auto"/>
              <w:ind w:left="249"/>
            </w:pPr>
            <w:r>
              <w:rPr>
                <w:spacing w:val="-2"/>
              </w:rPr>
              <w:t>0.030</w:t>
            </w:r>
          </w:p>
        </w:tc>
        <w:tc>
          <w:tcPr>
            <w:tcW w:w="960" w:type="dxa"/>
            <w:vAlign w:val="top"/>
          </w:tcPr>
          <w:p w14:paraId="442754A2">
            <w:pPr>
              <w:spacing w:line="472" w:lineRule="auto"/>
              <w:rPr>
                <w:rFonts w:ascii="Arial"/>
                <w:sz w:val="21"/>
              </w:rPr>
            </w:pPr>
          </w:p>
          <w:p w14:paraId="560CE556">
            <w:pPr>
              <w:pStyle w:val="6"/>
              <w:spacing w:before="61" w:line="188" w:lineRule="auto"/>
              <w:ind w:left="196"/>
            </w:pPr>
            <w:r>
              <w:rPr>
                <w:spacing w:val="-2"/>
              </w:rPr>
              <w:t>0.0003</w:t>
            </w:r>
          </w:p>
        </w:tc>
        <w:tc>
          <w:tcPr>
            <w:tcW w:w="963" w:type="dxa"/>
            <w:vAlign w:val="top"/>
          </w:tcPr>
          <w:p w14:paraId="2C159AF0">
            <w:pPr>
              <w:spacing w:line="472" w:lineRule="auto"/>
              <w:rPr>
                <w:rFonts w:ascii="Arial"/>
                <w:sz w:val="21"/>
              </w:rPr>
            </w:pPr>
          </w:p>
          <w:p w14:paraId="07F639FE">
            <w:pPr>
              <w:pStyle w:val="6"/>
              <w:spacing w:before="61" w:line="188" w:lineRule="auto"/>
              <w:ind w:left="250"/>
            </w:pPr>
            <w:r>
              <w:rPr>
                <w:spacing w:val="-2"/>
              </w:rPr>
              <w:t>0.003</w:t>
            </w:r>
          </w:p>
        </w:tc>
        <w:tc>
          <w:tcPr>
            <w:tcW w:w="1594" w:type="dxa"/>
            <w:vMerge w:val="continue"/>
            <w:tcBorders>
              <w:top w:val="nil"/>
            </w:tcBorders>
            <w:vAlign w:val="top"/>
          </w:tcPr>
          <w:p w14:paraId="3061A2C0">
            <w:pPr>
              <w:rPr>
                <w:rFonts w:ascii="Arial"/>
                <w:sz w:val="21"/>
              </w:rPr>
            </w:pPr>
          </w:p>
        </w:tc>
        <w:tc>
          <w:tcPr>
            <w:tcW w:w="925" w:type="dxa"/>
            <w:vMerge w:val="continue"/>
            <w:tcBorders>
              <w:top w:val="nil"/>
            </w:tcBorders>
            <w:vAlign w:val="top"/>
          </w:tcPr>
          <w:p w14:paraId="552E126C">
            <w:pPr>
              <w:rPr>
                <w:rFonts w:ascii="Arial"/>
                <w:sz w:val="21"/>
              </w:rPr>
            </w:pPr>
          </w:p>
        </w:tc>
      </w:tr>
      <w:tr w14:paraId="1A386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1D61C745">
            <w:pPr>
              <w:rPr>
                <w:rFonts w:ascii="Arial"/>
                <w:sz w:val="21"/>
              </w:rPr>
            </w:pPr>
          </w:p>
        </w:tc>
        <w:tc>
          <w:tcPr>
            <w:tcW w:w="705" w:type="dxa"/>
            <w:vMerge w:val="restart"/>
            <w:tcBorders>
              <w:bottom w:val="nil"/>
            </w:tcBorders>
            <w:vAlign w:val="top"/>
          </w:tcPr>
          <w:p w14:paraId="0FEBB78B">
            <w:pPr>
              <w:pStyle w:val="6"/>
              <w:spacing w:before="209" w:line="359" w:lineRule="auto"/>
              <w:ind w:left="102" w:right="37" w:hanging="61"/>
              <w:jc w:val="both"/>
              <w:rPr>
                <w:sz w:val="15"/>
                <w:szCs w:val="15"/>
              </w:rPr>
            </w:pPr>
            <w:r>
              <w:rPr>
                <w:rFonts w:ascii="宋体" w:hAnsi="宋体" w:eastAsia="宋体" w:cs="宋体"/>
                <w:spacing w:val="-4"/>
              </w:rPr>
              <w:t>堆粪棚</w:t>
            </w:r>
            <w:r>
              <w:rPr>
                <w:spacing w:val="-1"/>
                <w:sz w:val="15"/>
                <w:szCs w:val="15"/>
              </w:rPr>
              <w:t>(DA002</w:t>
            </w:r>
            <w:r>
              <w:rPr>
                <w:rFonts w:ascii="宋体" w:hAnsi="宋体" w:eastAsia="宋体" w:cs="宋体"/>
                <w:spacing w:val="-2"/>
                <w:sz w:val="15"/>
                <w:szCs w:val="15"/>
              </w:rPr>
              <w:t>排气筒</w:t>
            </w:r>
            <w:r>
              <w:rPr>
                <w:spacing w:val="-2"/>
                <w:sz w:val="15"/>
                <w:szCs w:val="15"/>
              </w:rPr>
              <w:t>)</w:t>
            </w:r>
          </w:p>
        </w:tc>
        <w:tc>
          <w:tcPr>
            <w:tcW w:w="712" w:type="dxa"/>
            <w:vAlign w:val="top"/>
          </w:tcPr>
          <w:p w14:paraId="67EDDFAD">
            <w:pPr>
              <w:pStyle w:val="6"/>
              <w:spacing w:before="106" w:line="195" w:lineRule="auto"/>
              <w:ind w:left="162"/>
              <w:rPr>
                <w:sz w:val="14"/>
                <w:szCs w:val="14"/>
              </w:rPr>
            </w:pPr>
            <w:r>
              <w:t>NH</w:t>
            </w:r>
            <w:r>
              <w:rPr>
                <w:spacing w:val="1"/>
                <w:position w:val="-2"/>
                <w:sz w:val="14"/>
                <w:szCs w:val="14"/>
              </w:rPr>
              <w:t>3</w:t>
            </w:r>
          </w:p>
        </w:tc>
        <w:tc>
          <w:tcPr>
            <w:tcW w:w="998" w:type="dxa"/>
            <w:vAlign w:val="top"/>
          </w:tcPr>
          <w:p w14:paraId="42A7A918">
            <w:pPr>
              <w:pStyle w:val="6"/>
              <w:spacing w:before="103" w:line="188" w:lineRule="auto"/>
              <w:ind w:left="213"/>
            </w:pPr>
            <w:r>
              <w:rPr>
                <w:spacing w:val="-2"/>
              </w:rPr>
              <w:t>0.0206</w:t>
            </w:r>
          </w:p>
        </w:tc>
        <w:tc>
          <w:tcPr>
            <w:tcW w:w="963" w:type="dxa"/>
            <w:vAlign w:val="top"/>
          </w:tcPr>
          <w:p w14:paraId="0F4B3883">
            <w:pPr>
              <w:pStyle w:val="6"/>
              <w:spacing w:before="103" w:line="188" w:lineRule="auto"/>
              <w:ind w:left="249"/>
            </w:pPr>
            <w:r>
              <w:rPr>
                <w:spacing w:val="-2"/>
              </w:rPr>
              <w:t>0.181</w:t>
            </w:r>
          </w:p>
        </w:tc>
        <w:tc>
          <w:tcPr>
            <w:tcW w:w="960" w:type="dxa"/>
            <w:vAlign w:val="top"/>
          </w:tcPr>
          <w:p w14:paraId="658ABFF6">
            <w:pPr>
              <w:pStyle w:val="6"/>
              <w:spacing w:before="103" w:line="188" w:lineRule="auto"/>
              <w:ind w:left="196"/>
            </w:pPr>
            <w:r>
              <w:rPr>
                <w:spacing w:val="-2"/>
              </w:rPr>
              <w:t>0.0021</w:t>
            </w:r>
          </w:p>
        </w:tc>
        <w:tc>
          <w:tcPr>
            <w:tcW w:w="963" w:type="dxa"/>
            <w:vAlign w:val="top"/>
          </w:tcPr>
          <w:p w14:paraId="378CCD5B">
            <w:pPr>
              <w:pStyle w:val="6"/>
              <w:spacing w:before="103" w:line="188" w:lineRule="auto"/>
              <w:ind w:left="250"/>
            </w:pPr>
            <w:r>
              <w:rPr>
                <w:spacing w:val="-2"/>
              </w:rPr>
              <w:t>0.018</w:t>
            </w:r>
          </w:p>
        </w:tc>
        <w:tc>
          <w:tcPr>
            <w:tcW w:w="1594" w:type="dxa"/>
            <w:vMerge w:val="restart"/>
            <w:tcBorders>
              <w:bottom w:val="nil"/>
            </w:tcBorders>
            <w:vAlign w:val="top"/>
          </w:tcPr>
          <w:p w14:paraId="59F91533">
            <w:pPr>
              <w:pStyle w:val="6"/>
              <w:spacing w:before="55" w:line="261" w:lineRule="auto"/>
              <w:ind w:left="12"/>
              <w:jc w:val="both"/>
              <w:rPr>
                <w:rFonts w:ascii="宋体" w:hAnsi="宋体" w:eastAsia="宋体" w:cs="宋体"/>
              </w:rPr>
            </w:pPr>
            <w:r>
              <w:rPr>
                <w:rFonts w:ascii="宋体" w:hAnsi="宋体" w:eastAsia="宋体" w:cs="宋体"/>
                <w:spacing w:val="15"/>
              </w:rPr>
              <w:t>堆粪棚臭气负压收集至生物滤池</w:t>
            </w:r>
            <w:r>
              <w:rPr>
                <w:rFonts w:ascii="宋体" w:hAnsi="宋体" w:eastAsia="宋体" w:cs="宋体"/>
                <w:spacing w:val="-6"/>
              </w:rPr>
              <w:t xml:space="preserve">处理后由 </w:t>
            </w:r>
            <w:r>
              <w:rPr>
                <w:spacing w:val="-6"/>
              </w:rPr>
              <w:t>15m</w:t>
            </w:r>
            <w:r>
              <w:rPr>
                <w:spacing w:val="46"/>
                <w:w w:val="101"/>
              </w:rPr>
              <w:t xml:space="preserve"> </w:t>
            </w:r>
            <w:r>
              <w:rPr>
                <w:rFonts w:ascii="宋体" w:hAnsi="宋体" w:eastAsia="宋体" w:cs="宋体"/>
                <w:spacing w:val="-6"/>
              </w:rPr>
              <w:t>高排气筒排放。</w:t>
            </w:r>
          </w:p>
        </w:tc>
        <w:tc>
          <w:tcPr>
            <w:tcW w:w="925" w:type="dxa"/>
            <w:vMerge w:val="restart"/>
            <w:tcBorders>
              <w:bottom w:val="nil"/>
            </w:tcBorders>
            <w:vAlign w:val="top"/>
          </w:tcPr>
          <w:p w14:paraId="40D192C3">
            <w:pPr>
              <w:spacing w:line="450" w:lineRule="auto"/>
              <w:rPr>
                <w:rFonts w:ascii="Arial"/>
                <w:sz w:val="21"/>
              </w:rPr>
            </w:pPr>
          </w:p>
          <w:p w14:paraId="214A2ED5">
            <w:pPr>
              <w:spacing w:before="68" w:line="220" w:lineRule="auto"/>
              <w:ind w:left="48"/>
              <w:rPr>
                <w:rFonts w:ascii="宋体" w:hAnsi="宋体" w:eastAsia="宋体" w:cs="宋体"/>
                <w:sz w:val="21"/>
                <w:szCs w:val="21"/>
              </w:rPr>
            </w:pPr>
            <w:r>
              <w:rPr>
                <w:rFonts w:ascii="宋体" w:hAnsi="宋体" w:eastAsia="宋体" w:cs="宋体"/>
                <w:spacing w:val="-2"/>
                <w:sz w:val="21"/>
                <w:szCs w:val="21"/>
              </w:rPr>
              <w:t>连续排放</w:t>
            </w:r>
          </w:p>
        </w:tc>
      </w:tr>
      <w:tr w14:paraId="7A25E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570" w:type="dxa"/>
            <w:vMerge w:val="continue"/>
            <w:tcBorders>
              <w:top w:val="nil"/>
              <w:bottom w:val="nil"/>
            </w:tcBorders>
            <w:vAlign w:val="top"/>
          </w:tcPr>
          <w:p w14:paraId="11ED4F75">
            <w:pPr>
              <w:rPr>
                <w:rFonts w:ascii="Arial"/>
                <w:sz w:val="21"/>
              </w:rPr>
            </w:pPr>
          </w:p>
        </w:tc>
        <w:tc>
          <w:tcPr>
            <w:tcW w:w="705" w:type="dxa"/>
            <w:vMerge w:val="continue"/>
            <w:tcBorders>
              <w:top w:val="nil"/>
            </w:tcBorders>
            <w:vAlign w:val="top"/>
          </w:tcPr>
          <w:p w14:paraId="00EC5861">
            <w:pPr>
              <w:rPr>
                <w:rFonts w:ascii="Arial"/>
                <w:sz w:val="21"/>
              </w:rPr>
            </w:pPr>
          </w:p>
        </w:tc>
        <w:tc>
          <w:tcPr>
            <w:tcW w:w="712" w:type="dxa"/>
            <w:vAlign w:val="top"/>
          </w:tcPr>
          <w:p w14:paraId="34435CDC">
            <w:pPr>
              <w:spacing w:line="319" w:lineRule="auto"/>
              <w:rPr>
                <w:rFonts w:ascii="Arial"/>
                <w:sz w:val="21"/>
              </w:rPr>
            </w:pPr>
          </w:p>
          <w:p w14:paraId="575F243D">
            <w:pPr>
              <w:pStyle w:val="6"/>
              <w:spacing w:before="61" w:line="198" w:lineRule="auto"/>
              <w:ind w:left="186"/>
            </w:pPr>
            <w:r>
              <w:rPr>
                <w:spacing w:val="-2"/>
              </w:rPr>
              <w:t>H</w:t>
            </w:r>
            <w:r>
              <w:rPr>
                <w:spacing w:val="-2"/>
                <w:position w:val="-2"/>
                <w:sz w:val="14"/>
                <w:szCs w:val="14"/>
              </w:rPr>
              <w:t>2</w:t>
            </w:r>
            <w:r>
              <w:rPr>
                <w:spacing w:val="-2"/>
              </w:rPr>
              <w:t>S</w:t>
            </w:r>
          </w:p>
        </w:tc>
        <w:tc>
          <w:tcPr>
            <w:tcW w:w="998" w:type="dxa"/>
            <w:vAlign w:val="top"/>
          </w:tcPr>
          <w:p w14:paraId="1A36AEC5">
            <w:pPr>
              <w:spacing w:line="319" w:lineRule="auto"/>
              <w:rPr>
                <w:rFonts w:ascii="Arial"/>
                <w:sz w:val="21"/>
              </w:rPr>
            </w:pPr>
          </w:p>
          <w:p w14:paraId="16EF8AE4">
            <w:pPr>
              <w:pStyle w:val="6"/>
              <w:spacing w:before="60" w:line="188" w:lineRule="auto"/>
              <w:ind w:left="213"/>
            </w:pPr>
            <w:r>
              <w:rPr>
                <w:spacing w:val="-2"/>
              </w:rPr>
              <w:t>0.0021</w:t>
            </w:r>
          </w:p>
        </w:tc>
        <w:tc>
          <w:tcPr>
            <w:tcW w:w="963" w:type="dxa"/>
            <w:vAlign w:val="top"/>
          </w:tcPr>
          <w:p w14:paraId="4A500C53">
            <w:pPr>
              <w:spacing w:line="319" w:lineRule="auto"/>
              <w:rPr>
                <w:rFonts w:ascii="Arial"/>
                <w:sz w:val="21"/>
              </w:rPr>
            </w:pPr>
          </w:p>
          <w:p w14:paraId="19ACB0F8">
            <w:pPr>
              <w:pStyle w:val="6"/>
              <w:spacing w:before="60" w:line="188" w:lineRule="auto"/>
              <w:ind w:left="248"/>
            </w:pPr>
            <w:r>
              <w:rPr>
                <w:spacing w:val="-2"/>
              </w:rPr>
              <w:t>0.018</w:t>
            </w:r>
          </w:p>
        </w:tc>
        <w:tc>
          <w:tcPr>
            <w:tcW w:w="960" w:type="dxa"/>
            <w:vAlign w:val="top"/>
          </w:tcPr>
          <w:p w14:paraId="5E363B18">
            <w:pPr>
              <w:spacing w:line="319" w:lineRule="auto"/>
              <w:rPr>
                <w:rFonts w:ascii="Arial"/>
                <w:sz w:val="21"/>
              </w:rPr>
            </w:pPr>
          </w:p>
          <w:p w14:paraId="64FD0EA7">
            <w:pPr>
              <w:pStyle w:val="6"/>
              <w:spacing w:before="60" w:line="188" w:lineRule="auto"/>
              <w:ind w:left="196"/>
            </w:pPr>
            <w:r>
              <w:rPr>
                <w:spacing w:val="-2"/>
              </w:rPr>
              <w:t>0.0002</w:t>
            </w:r>
          </w:p>
        </w:tc>
        <w:tc>
          <w:tcPr>
            <w:tcW w:w="963" w:type="dxa"/>
            <w:vAlign w:val="top"/>
          </w:tcPr>
          <w:p w14:paraId="6D7E946C">
            <w:pPr>
              <w:spacing w:line="319" w:lineRule="auto"/>
              <w:rPr>
                <w:rFonts w:ascii="Arial"/>
                <w:sz w:val="21"/>
              </w:rPr>
            </w:pPr>
          </w:p>
          <w:p w14:paraId="1F37BA1D">
            <w:pPr>
              <w:pStyle w:val="6"/>
              <w:spacing w:before="60" w:line="188" w:lineRule="auto"/>
              <w:ind w:left="250"/>
            </w:pPr>
            <w:r>
              <w:rPr>
                <w:spacing w:val="-2"/>
              </w:rPr>
              <w:t>0.002</w:t>
            </w:r>
          </w:p>
        </w:tc>
        <w:tc>
          <w:tcPr>
            <w:tcW w:w="1594" w:type="dxa"/>
            <w:vMerge w:val="continue"/>
            <w:tcBorders>
              <w:top w:val="nil"/>
            </w:tcBorders>
            <w:vAlign w:val="top"/>
          </w:tcPr>
          <w:p w14:paraId="2785C6AF">
            <w:pPr>
              <w:rPr>
                <w:rFonts w:ascii="Arial"/>
                <w:sz w:val="21"/>
              </w:rPr>
            </w:pPr>
          </w:p>
        </w:tc>
        <w:tc>
          <w:tcPr>
            <w:tcW w:w="925" w:type="dxa"/>
            <w:vMerge w:val="continue"/>
            <w:tcBorders>
              <w:top w:val="nil"/>
            </w:tcBorders>
            <w:vAlign w:val="top"/>
          </w:tcPr>
          <w:p w14:paraId="4623B261">
            <w:pPr>
              <w:rPr>
                <w:rFonts w:ascii="Arial"/>
                <w:sz w:val="21"/>
              </w:rPr>
            </w:pPr>
          </w:p>
        </w:tc>
      </w:tr>
      <w:tr w14:paraId="5FE1B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2D211EDD">
            <w:pPr>
              <w:rPr>
                <w:rFonts w:ascii="Arial"/>
                <w:sz w:val="21"/>
              </w:rPr>
            </w:pPr>
          </w:p>
        </w:tc>
        <w:tc>
          <w:tcPr>
            <w:tcW w:w="705" w:type="dxa"/>
            <w:vMerge w:val="restart"/>
            <w:tcBorders>
              <w:bottom w:val="nil"/>
            </w:tcBorders>
            <w:vAlign w:val="top"/>
          </w:tcPr>
          <w:p w14:paraId="0EB74AB8">
            <w:pPr>
              <w:pStyle w:val="6"/>
              <w:spacing w:before="85" w:line="307" w:lineRule="auto"/>
              <w:ind w:left="78" w:right="37" w:hanging="37"/>
              <w:rPr>
                <w:sz w:val="15"/>
                <w:szCs w:val="15"/>
              </w:rPr>
            </w:pPr>
            <w:r>
              <w:rPr>
                <w:rFonts w:ascii="宋体" w:hAnsi="宋体" w:eastAsia="宋体" w:cs="宋体"/>
                <w:spacing w:val="-4"/>
              </w:rPr>
              <w:t>堆粪棚</w:t>
            </w:r>
            <w:r>
              <w:rPr>
                <w:spacing w:val="-2"/>
                <w:sz w:val="15"/>
                <w:szCs w:val="15"/>
              </w:rPr>
              <w:t>(</w:t>
            </w:r>
            <w:r>
              <w:rPr>
                <w:rFonts w:ascii="宋体" w:hAnsi="宋体" w:eastAsia="宋体" w:cs="宋体"/>
                <w:spacing w:val="-2"/>
                <w:sz w:val="15"/>
                <w:szCs w:val="15"/>
              </w:rPr>
              <w:t>无组织</w:t>
            </w:r>
            <w:r>
              <w:rPr>
                <w:spacing w:val="-2"/>
                <w:sz w:val="15"/>
                <w:szCs w:val="15"/>
              </w:rPr>
              <w:t>)</w:t>
            </w:r>
          </w:p>
        </w:tc>
        <w:tc>
          <w:tcPr>
            <w:tcW w:w="712" w:type="dxa"/>
            <w:vAlign w:val="top"/>
          </w:tcPr>
          <w:p w14:paraId="2E368D0B">
            <w:pPr>
              <w:pStyle w:val="6"/>
              <w:spacing w:before="106" w:line="195" w:lineRule="auto"/>
              <w:ind w:left="162"/>
              <w:rPr>
                <w:sz w:val="14"/>
                <w:szCs w:val="14"/>
              </w:rPr>
            </w:pPr>
            <w:r>
              <w:t>NH</w:t>
            </w:r>
            <w:r>
              <w:rPr>
                <w:spacing w:val="1"/>
                <w:position w:val="-2"/>
                <w:sz w:val="14"/>
                <w:szCs w:val="14"/>
              </w:rPr>
              <w:t>3</w:t>
            </w:r>
          </w:p>
        </w:tc>
        <w:tc>
          <w:tcPr>
            <w:tcW w:w="998" w:type="dxa"/>
            <w:vAlign w:val="top"/>
          </w:tcPr>
          <w:p w14:paraId="01FF110E">
            <w:pPr>
              <w:pStyle w:val="6"/>
              <w:spacing w:before="102" w:line="188" w:lineRule="auto"/>
              <w:ind w:left="213"/>
            </w:pPr>
            <w:r>
              <w:rPr>
                <w:spacing w:val="-2"/>
              </w:rPr>
              <w:t>0.0027</w:t>
            </w:r>
          </w:p>
        </w:tc>
        <w:tc>
          <w:tcPr>
            <w:tcW w:w="963" w:type="dxa"/>
            <w:vAlign w:val="top"/>
          </w:tcPr>
          <w:p w14:paraId="5CFDD49C">
            <w:pPr>
              <w:pStyle w:val="6"/>
              <w:spacing w:before="102" w:line="188" w:lineRule="auto"/>
              <w:ind w:left="249"/>
            </w:pPr>
            <w:r>
              <w:rPr>
                <w:spacing w:val="-2"/>
              </w:rPr>
              <w:t>0.024</w:t>
            </w:r>
          </w:p>
        </w:tc>
        <w:tc>
          <w:tcPr>
            <w:tcW w:w="960" w:type="dxa"/>
            <w:vAlign w:val="top"/>
          </w:tcPr>
          <w:p w14:paraId="2B6F3DF4">
            <w:pPr>
              <w:pStyle w:val="6"/>
              <w:spacing w:before="102" w:line="188" w:lineRule="auto"/>
              <w:ind w:left="200"/>
            </w:pPr>
            <w:r>
              <w:rPr>
                <w:spacing w:val="-2"/>
              </w:rPr>
              <w:t>0.0011</w:t>
            </w:r>
          </w:p>
        </w:tc>
        <w:tc>
          <w:tcPr>
            <w:tcW w:w="963" w:type="dxa"/>
            <w:vAlign w:val="top"/>
          </w:tcPr>
          <w:p w14:paraId="06B5AF9B">
            <w:pPr>
              <w:pStyle w:val="6"/>
              <w:spacing w:before="102" w:line="188" w:lineRule="auto"/>
              <w:ind w:left="250"/>
            </w:pPr>
            <w:r>
              <w:rPr>
                <w:spacing w:val="-2"/>
              </w:rPr>
              <w:t>0.010</w:t>
            </w:r>
          </w:p>
        </w:tc>
        <w:tc>
          <w:tcPr>
            <w:tcW w:w="1594" w:type="dxa"/>
            <w:vMerge w:val="restart"/>
            <w:tcBorders>
              <w:bottom w:val="nil"/>
            </w:tcBorders>
            <w:vAlign w:val="top"/>
          </w:tcPr>
          <w:p w14:paraId="507013D0">
            <w:pPr>
              <w:spacing w:before="85" w:line="263" w:lineRule="auto"/>
              <w:ind w:left="24" w:hanging="11"/>
              <w:rPr>
                <w:rFonts w:ascii="宋体" w:hAnsi="宋体" w:eastAsia="宋体" w:cs="宋体"/>
                <w:sz w:val="21"/>
                <w:szCs w:val="21"/>
              </w:rPr>
            </w:pPr>
            <w:r>
              <w:rPr>
                <w:rFonts w:ascii="宋体" w:hAnsi="宋体" w:eastAsia="宋体" w:cs="宋体"/>
                <w:spacing w:val="-15"/>
                <w:sz w:val="21"/>
                <w:szCs w:val="21"/>
              </w:rPr>
              <w:t>堆粪棚</w:t>
            </w:r>
            <w:r>
              <w:rPr>
                <w:rFonts w:ascii="宋体" w:hAnsi="宋体" w:eastAsia="宋体" w:cs="宋体"/>
                <w:spacing w:val="-14"/>
                <w:sz w:val="21"/>
                <w:szCs w:val="21"/>
              </w:rPr>
              <w:t>封闭、喷</w:t>
            </w:r>
            <w:r>
              <w:rPr>
                <w:rFonts w:ascii="宋体" w:hAnsi="宋体" w:eastAsia="宋体" w:cs="宋体"/>
                <w:spacing w:val="-11"/>
                <w:sz w:val="21"/>
                <w:szCs w:val="21"/>
              </w:rPr>
              <w:t>洒</w:t>
            </w:r>
            <w:r>
              <w:rPr>
                <w:rFonts w:ascii="宋体" w:hAnsi="宋体" w:eastAsia="宋体" w:cs="宋体"/>
                <w:spacing w:val="-10"/>
                <w:sz w:val="21"/>
                <w:szCs w:val="21"/>
              </w:rPr>
              <w:t>除臭剂。</w:t>
            </w:r>
          </w:p>
        </w:tc>
        <w:tc>
          <w:tcPr>
            <w:tcW w:w="925" w:type="dxa"/>
            <w:vMerge w:val="restart"/>
            <w:tcBorders>
              <w:bottom w:val="nil"/>
            </w:tcBorders>
            <w:vAlign w:val="top"/>
          </w:tcPr>
          <w:p w14:paraId="167273B1">
            <w:pPr>
              <w:spacing w:before="241" w:line="220" w:lineRule="auto"/>
              <w:ind w:left="48"/>
              <w:rPr>
                <w:rFonts w:ascii="宋体" w:hAnsi="宋体" w:eastAsia="宋体" w:cs="宋体"/>
                <w:sz w:val="21"/>
                <w:szCs w:val="21"/>
              </w:rPr>
            </w:pPr>
            <w:r>
              <w:rPr>
                <w:rFonts w:ascii="宋体" w:hAnsi="宋体" w:eastAsia="宋体" w:cs="宋体"/>
                <w:spacing w:val="-2"/>
                <w:sz w:val="21"/>
                <w:szCs w:val="21"/>
              </w:rPr>
              <w:t>连续排放</w:t>
            </w:r>
          </w:p>
        </w:tc>
      </w:tr>
      <w:tr w14:paraId="327AD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751A3DCC">
            <w:pPr>
              <w:rPr>
                <w:rFonts w:ascii="Arial"/>
                <w:sz w:val="21"/>
              </w:rPr>
            </w:pPr>
          </w:p>
        </w:tc>
        <w:tc>
          <w:tcPr>
            <w:tcW w:w="705" w:type="dxa"/>
            <w:vMerge w:val="continue"/>
            <w:tcBorders>
              <w:top w:val="nil"/>
            </w:tcBorders>
            <w:vAlign w:val="top"/>
          </w:tcPr>
          <w:p w14:paraId="47203FD8">
            <w:pPr>
              <w:rPr>
                <w:rFonts w:ascii="Arial"/>
                <w:sz w:val="21"/>
              </w:rPr>
            </w:pPr>
          </w:p>
        </w:tc>
        <w:tc>
          <w:tcPr>
            <w:tcW w:w="712" w:type="dxa"/>
            <w:vAlign w:val="top"/>
          </w:tcPr>
          <w:p w14:paraId="7FCC9D24">
            <w:pPr>
              <w:pStyle w:val="6"/>
              <w:spacing w:before="104" w:line="198" w:lineRule="auto"/>
              <w:ind w:left="186"/>
            </w:pPr>
            <w:r>
              <w:rPr>
                <w:spacing w:val="-2"/>
              </w:rPr>
              <w:t>H</w:t>
            </w:r>
            <w:r>
              <w:rPr>
                <w:spacing w:val="-2"/>
                <w:position w:val="-2"/>
                <w:sz w:val="14"/>
                <w:szCs w:val="14"/>
              </w:rPr>
              <w:t>2</w:t>
            </w:r>
            <w:r>
              <w:rPr>
                <w:spacing w:val="-2"/>
              </w:rPr>
              <w:t>S</w:t>
            </w:r>
          </w:p>
        </w:tc>
        <w:tc>
          <w:tcPr>
            <w:tcW w:w="998" w:type="dxa"/>
            <w:vAlign w:val="top"/>
          </w:tcPr>
          <w:p w14:paraId="000E907B">
            <w:pPr>
              <w:pStyle w:val="6"/>
              <w:spacing w:before="104" w:line="188" w:lineRule="auto"/>
              <w:ind w:left="213"/>
            </w:pPr>
            <w:r>
              <w:rPr>
                <w:spacing w:val="-2"/>
              </w:rPr>
              <w:t>0.0003</w:t>
            </w:r>
          </w:p>
        </w:tc>
        <w:tc>
          <w:tcPr>
            <w:tcW w:w="963" w:type="dxa"/>
            <w:vAlign w:val="top"/>
          </w:tcPr>
          <w:p w14:paraId="44DC4BDB">
            <w:pPr>
              <w:pStyle w:val="6"/>
              <w:spacing w:before="104" w:line="188" w:lineRule="auto"/>
              <w:ind w:left="248"/>
            </w:pPr>
            <w:r>
              <w:rPr>
                <w:spacing w:val="-2"/>
              </w:rPr>
              <w:t>0.002</w:t>
            </w:r>
          </w:p>
        </w:tc>
        <w:tc>
          <w:tcPr>
            <w:tcW w:w="960" w:type="dxa"/>
            <w:vAlign w:val="top"/>
          </w:tcPr>
          <w:p w14:paraId="199504B2">
            <w:pPr>
              <w:pStyle w:val="6"/>
              <w:spacing w:before="104" w:line="188" w:lineRule="auto"/>
              <w:ind w:left="196"/>
            </w:pPr>
            <w:r>
              <w:rPr>
                <w:spacing w:val="-2"/>
              </w:rPr>
              <w:t>0.0001</w:t>
            </w:r>
          </w:p>
        </w:tc>
        <w:tc>
          <w:tcPr>
            <w:tcW w:w="963" w:type="dxa"/>
            <w:vAlign w:val="top"/>
          </w:tcPr>
          <w:p w14:paraId="2585AC0C">
            <w:pPr>
              <w:pStyle w:val="6"/>
              <w:spacing w:before="104" w:line="188" w:lineRule="auto"/>
              <w:ind w:left="198"/>
            </w:pPr>
            <w:r>
              <w:rPr>
                <w:spacing w:val="-2"/>
              </w:rPr>
              <w:t>0.0010</w:t>
            </w:r>
          </w:p>
        </w:tc>
        <w:tc>
          <w:tcPr>
            <w:tcW w:w="1594" w:type="dxa"/>
            <w:vMerge w:val="continue"/>
            <w:tcBorders>
              <w:top w:val="nil"/>
            </w:tcBorders>
            <w:vAlign w:val="top"/>
          </w:tcPr>
          <w:p w14:paraId="3AFF3384">
            <w:pPr>
              <w:rPr>
                <w:rFonts w:ascii="Arial"/>
                <w:sz w:val="21"/>
              </w:rPr>
            </w:pPr>
          </w:p>
        </w:tc>
        <w:tc>
          <w:tcPr>
            <w:tcW w:w="925" w:type="dxa"/>
            <w:vMerge w:val="continue"/>
            <w:tcBorders>
              <w:top w:val="nil"/>
            </w:tcBorders>
            <w:vAlign w:val="top"/>
          </w:tcPr>
          <w:p w14:paraId="133FBA26">
            <w:pPr>
              <w:rPr>
                <w:rFonts w:ascii="Arial"/>
                <w:sz w:val="21"/>
              </w:rPr>
            </w:pPr>
          </w:p>
        </w:tc>
      </w:tr>
      <w:tr w14:paraId="099D6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60614CFB">
            <w:pPr>
              <w:rPr>
                <w:rFonts w:ascii="Arial"/>
                <w:sz w:val="21"/>
              </w:rPr>
            </w:pPr>
          </w:p>
        </w:tc>
        <w:tc>
          <w:tcPr>
            <w:tcW w:w="705" w:type="dxa"/>
            <w:vMerge w:val="restart"/>
            <w:tcBorders>
              <w:bottom w:val="nil"/>
            </w:tcBorders>
            <w:vAlign w:val="top"/>
          </w:tcPr>
          <w:p w14:paraId="047F8158">
            <w:pPr>
              <w:spacing w:before="262" w:line="276" w:lineRule="auto"/>
              <w:ind w:left="41" w:right="37" w:firstLine="3"/>
              <w:rPr>
                <w:rFonts w:ascii="宋体" w:hAnsi="宋体" w:eastAsia="宋体" w:cs="宋体"/>
                <w:sz w:val="21"/>
                <w:szCs w:val="21"/>
              </w:rPr>
            </w:pPr>
            <w:r>
              <w:rPr>
                <w:rFonts w:ascii="宋体" w:hAnsi="宋体" w:eastAsia="宋体" w:cs="宋体"/>
                <w:spacing w:val="-5"/>
                <w:sz w:val="21"/>
                <w:szCs w:val="21"/>
              </w:rPr>
              <w:t>沼气火</w:t>
            </w:r>
            <w:r>
              <w:rPr>
                <w:rFonts w:ascii="宋体" w:hAnsi="宋体" w:eastAsia="宋体" w:cs="宋体"/>
                <w:spacing w:val="-4"/>
                <w:sz w:val="21"/>
                <w:szCs w:val="21"/>
              </w:rPr>
              <w:t>炬燃烧</w:t>
            </w:r>
          </w:p>
        </w:tc>
        <w:tc>
          <w:tcPr>
            <w:tcW w:w="712" w:type="dxa"/>
            <w:vAlign w:val="top"/>
          </w:tcPr>
          <w:p w14:paraId="0F38C6A3">
            <w:pPr>
              <w:pStyle w:val="6"/>
              <w:spacing w:before="104" w:line="198" w:lineRule="auto"/>
              <w:ind w:left="196"/>
              <w:rPr>
                <w:sz w:val="14"/>
                <w:szCs w:val="14"/>
              </w:rPr>
            </w:pPr>
            <w:r>
              <w:rPr>
                <w:spacing w:val="-5"/>
              </w:rPr>
              <w:t>SO</w:t>
            </w:r>
            <w:r>
              <w:rPr>
                <w:spacing w:val="-5"/>
                <w:position w:val="-2"/>
                <w:sz w:val="14"/>
                <w:szCs w:val="14"/>
              </w:rPr>
              <w:t>2</w:t>
            </w:r>
          </w:p>
        </w:tc>
        <w:tc>
          <w:tcPr>
            <w:tcW w:w="998" w:type="dxa"/>
            <w:vAlign w:val="top"/>
          </w:tcPr>
          <w:p w14:paraId="7F4E99EC">
            <w:pPr>
              <w:pStyle w:val="6"/>
              <w:spacing w:before="104" w:line="188" w:lineRule="auto"/>
              <w:ind w:left="213"/>
            </w:pPr>
            <w:r>
              <w:rPr>
                <w:spacing w:val="-2"/>
              </w:rPr>
              <w:t>0.0018</w:t>
            </w:r>
          </w:p>
        </w:tc>
        <w:tc>
          <w:tcPr>
            <w:tcW w:w="963" w:type="dxa"/>
            <w:vAlign w:val="top"/>
          </w:tcPr>
          <w:p w14:paraId="6DF8701C">
            <w:pPr>
              <w:pStyle w:val="6"/>
              <w:spacing w:before="104" w:line="188" w:lineRule="auto"/>
              <w:ind w:left="248"/>
            </w:pPr>
            <w:r>
              <w:rPr>
                <w:spacing w:val="-2"/>
              </w:rPr>
              <w:t>0.016</w:t>
            </w:r>
          </w:p>
        </w:tc>
        <w:tc>
          <w:tcPr>
            <w:tcW w:w="960" w:type="dxa"/>
            <w:vAlign w:val="top"/>
          </w:tcPr>
          <w:p w14:paraId="724478E5">
            <w:pPr>
              <w:pStyle w:val="6"/>
              <w:spacing w:before="104" w:line="188" w:lineRule="auto"/>
              <w:ind w:left="196"/>
            </w:pPr>
            <w:r>
              <w:rPr>
                <w:spacing w:val="-2"/>
              </w:rPr>
              <w:t>0.0018</w:t>
            </w:r>
          </w:p>
        </w:tc>
        <w:tc>
          <w:tcPr>
            <w:tcW w:w="963" w:type="dxa"/>
            <w:vAlign w:val="top"/>
          </w:tcPr>
          <w:p w14:paraId="78DDAA28">
            <w:pPr>
              <w:pStyle w:val="6"/>
              <w:spacing w:before="104" w:line="188" w:lineRule="auto"/>
              <w:ind w:left="250"/>
            </w:pPr>
            <w:r>
              <w:rPr>
                <w:spacing w:val="-2"/>
              </w:rPr>
              <w:t>0.016</w:t>
            </w:r>
          </w:p>
        </w:tc>
        <w:tc>
          <w:tcPr>
            <w:tcW w:w="1594" w:type="dxa"/>
            <w:vMerge w:val="restart"/>
            <w:tcBorders>
              <w:bottom w:val="nil"/>
            </w:tcBorders>
            <w:vAlign w:val="top"/>
          </w:tcPr>
          <w:p w14:paraId="3FF02937">
            <w:pPr>
              <w:spacing w:line="347" w:lineRule="auto"/>
              <w:rPr>
                <w:rFonts w:ascii="Arial"/>
                <w:sz w:val="21"/>
              </w:rPr>
            </w:pPr>
          </w:p>
          <w:p w14:paraId="5330904F">
            <w:pPr>
              <w:spacing w:before="69" w:line="219" w:lineRule="auto"/>
              <w:ind w:left="175"/>
              <w:rPr>
                <w:rFonts w:ascii="宋体" w:hAnsi="宋体" w:eastAsia="宋体" w:cs="宋体"/>
                <w:sz w:val="21"/>
                <w:szCs w:val="21"/>
              </w:rPr>
            </w:pPr>
            <w:r>
              <w:rPr>
                <w:rFonts w:ascii="宋体" w:hAnsi="宋体" w:eastAsia="宋体" w:cs="宋体"/>
                <w:spacing w:val="-2"/>
                <w:sz w:val="21"/>
                <w:szCs w:val="21"/>
              </w:rPr>
              <w:t>火炬燃烧处理</w:t>
            </w:r>
          </w:p>
        </w:tc>
        <w:tc>
          <w:tcPr>
            <w:tcW w:w="925" w:type="dxa"/>
            <w:vMerge w:val="restart"/>
            <w:tcBorders>
              <w:bottom w:val="nil"/>
            </w:tcBorders>
            <w:vAlign w:val="top"/>
          </w:tcPr>
          <w:p w14:paraId="432E794F">
            <w:pPr>
              <w:spacing w:line="348" w:lineRule="auto"/>
              <w:rPr>
                <w:rFonts w:ascii="Arial"/>
                <w:sz w:val="21"/>
              </w:rPr>
            </w:pPr>
          </w:p>
          <w:p w14:paraId="441E2255">
            <w:pPr>
              <w:spacing w:before="68" w:line="220" w:lineRule="auto"/>
              <w:ind w:left="48"/>
              <w:rPr>
                <w:rFonts w:ascii="宋体" w:hAnsi="宋体" w:eastAsia="宋体" w:cs="宋体"/>
                <w:sz w:val="21"/>
                <w:szCs w:val="21"/>
              </w:rPr>
            </w:pPr>
            <w:r>
              <w:rPr>
                <w:rFonts w:ascii="宋体" w:hAnsi="宋体" w:eastAsia="宋体" w:cs="宋体"/>
                <w:spacing w:val="-2"/>
                <w:sz w:val="21"/>
                <w:szCs w:val="21"/>
              </w:rPr>
              <w:t>连续排放</w:t>
            </w:r>
          </w:p>
        </w:tc>
      </w:tr>
      <w:tr w14:paraId="361EA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6C8FCE0C">
            <w:pPr>
              <w:rPr>
                <w:rFonts w:ascii="Arial"/>
                <w:sz w:val="21"/>
              </w:rPr>
            </w:pPr>
          </w:p>
        </w:tc>
        <w:tc>
          <w:tcPr>
            <w:tcW w:w="705" w:type="dxa"/>
            <w:vMerge w:val="continue"/>
            <w:tcBorders>
              <w:top w:val="nil"/>
              <w:bottom w:val="nil"/>
            </w:tcBorders>
            <w:vAlign w:val="top"/>
          </w:tcPr>
          <w:p w14:paraId="02DAD93D">
            <w:pPr>
              <w:rPr>
                <w:rFonts w:ascii="Arial"/>
                <w:sz w:val="21"/>
              </w:rPr>
            </w:pPr>
          </w:p>
        </w:tc>
        <w:tc>
          <w:tcPr>
            <w:tcW w:w="712" w:type="dxa"/>
            <w:vAlign w:val="top"/>
          </w:tcPr>
          <w:p w14:paraId="7CE0E67B">
            <w:pPr>
              <w:pStyle w:val="6"/>
              <w:spacing w:before="104" w:line="188" w:lineRule="auto"/>
              <w:ind w:left="145"/>
            </w:pPr>
            <w:r>
              <w:t>NOx</w:t>
            </w:r>
          </w:p>
        </w:tc>
        <w:tc>
          <w:tcPr>
            <w:tcW w:w="998" w:type="dxa"/>
            <w:vAlign w:val="top"/>
          </w:tcPr>
          <w:p w14:paraId="6EF4A009">
            <w:pPr>
              <w:pStyle w:val="6"/>
              <w:spacing w:before="104" w:line="188" w:lineRule="auto"/>
              <w:ind w:left="213"/>
            </w:pPr>
            <w:r>
              <w:rPr>
                <w:spacing w:val="-2"/>
              </w:rPr>
              <w:t>0.0240</w:t>
            </w:r>
          </w:p>
        </w:tc>
        <w:tc>
          <w:tcPr>
            <w:tcW w:w="963" w:type="dxa"/>
            <w:vAlign w:val="top"/>
          </w:tcPr>
          <w:p w14:paraId="433819A5">
            <w:pPr>
              <w:pStyle w:val="6"/>
              <w:spacing w:before="104" w:line="188" w:lineRule="auto"/>
              <w:ind w:left="253"/>
            </w:pPr>
            <w:r>
              <w:rPr>
                <w:spacing w:val="-2"/>
              </w:rPr>
              <w:t>0.211</w:t>
            </w:r>
          </w:p>
        </w:tc>
        <w:tc>
          <w:tcPr>
            <w:tcW w:w="960" w:type="dxa"/>
            <w:vAlign w:val="top"/>
          </w:tcPr>
          <w:p w14:paraId="5028D125">
            <w:pPr>
              <w:pStyle w:val="6"/>
              <w:spacing w:before="104" w:line="188" w:lineRule="auto"/>
              <w:ind w:left="196"/>
            </w:pPr>
            <w:r>
              <w:rPr>
                <w:spacing w:val="-2"/>
              </w:rPr>
              <w:t>0.0240</w:t>
            </w:r>
          </w:p>
        </w:tc>
        <w:tc>
          <w:tcPr>
            <w:tcW w:w="963" w:type="dxa"/>
            <w:vAlign w:val="top"/>
          </w:tcPr>
          <w:p w14:paraId="0902F157">
            <w:pPr>
              <w:pStyle w:val="6"/>
              <w:spacing w:before="104" w:line="188" w:lineRule="auto"/>
              <w:ind w:left="254"/>
            </w:pPr>
            <w:r>
              <w:rPr>
                <w:spacing w:val="-2"/>
              </w:rPr>
              <w:t>0.211</w:t>
            </w:r>
          </w:p>
        </w:tc>
        <w:tc>
          <w:tcPr>
            <w:tcW w:w="1594" w:type="dxa"/>
            <w:vMerge w:val="continue"/>
            <w:tcBorders>
              <w:top w:val="nil"/>
              <w:bottom w:val="nil"/>
            </w:tcBorders>
            <w:vAlign w:val="top"/>
          </w:tcPr>
          <w:p w14:paraId="1E1646EE">
            <w:pPr>
              <w:rPr>
                <w:rFonts w:ascii="Arial"/>
                <w:sz w:val="21"/>
              </w:rPr>
            </w:pPr>
          </w:p>
        </w:tc>
        <w:tc>
          <w:tcPr>
            <w:tcW w:w="925" w:type="dxa"/>
            <w:vMerge w:val="continue"/>
            <w:tcBorders>
              <w:top w:val="nil"/>
              <w:bottom w:val="nil"/>
            </w:tcBorders>
            <w:vAlign w:val="top"/>
          </w:tcPr>
          <w:p w14:paraId="31E5601B">
            <w:pPr>
              <w:rPr>
                <w:rFonts w:ascii="Arial"/>
                <w:sz w:val="21"/>
              </w:rPr>
            </w:pPr>
          </w:p>
        </w:tc>
      </w:tr>
      <w:tr w14:paraId="66F82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tcBorders>
            <w:vAlign w:val="top"/>
          </w:tcPr>
          <w:p w14:paraId="0032F03B">
            <w:pPr>
              <w:rPr>
                <w:rFonts w:ascii="Arial"/>
                <w:sz w:val="21"/>
              </w:rPr>
            </w:pPr>
          </w:p>
        </w:tc>
        <w:tc>
          <w:tcPr>
            <w:tcW w:w="705" w:type="dxa"/>
            <w:vMerge w:val="continue"/>
            <w:tcBorders>
              <w:top w:val="nil"/>
            </w:tcBorders>
            <w:vAlign w:val="top"/>
          </w:tcPr>
          <w:p w14:paraId="63B11C12">
            <w:pPr>
              <w:rPr>
                <w:rFonts w:ascii="Arial"/>
                <w:sz w:val="21"/>
              </w:rPr>
            </w:pPr>
          </w:p>
        </w:tc>
        <w:tc>
          <w:tcPr>
            <w:tcW w:w="712" w:type="dxa"/>
            <w:vAlign w:val="top"/>
          </w:tcPr>
          <w:p w14:paraId="51932E32">
            <w:pPr>
              <w:spacing w:before="68" w:line="221" w:lineRule="auto"/>
              <w:ind w:left="151"/>
              <w:rPr>
                <w:rFonts w:ascii="宋体" w:hAnsi="宋体" w:eastAsia="宋体" w:cs="宋体"/>
                <w:sz w:val="21"/>
                <w:szCs w:val="21"/>
              </w:rPr>
            </w:pPr>
            <w:r>
              <w:rPr>
                <w:rFonts w:ascii="宋体" w:hAnsi="宋体" w:eastAsia="宋体" w:cs="宋体"/>
                <w:spacing w:val="-3"/>
                <w:sz w:val="21"/>
                <w:szCs w:val="21"/>
              </w:rPr>
              <w:t>烟尘</w:t>
            </w:r>
          </w:p>
        </w:tc>
        <w:tc>
          <w:tcPr>
            <w:tcW w:w="998" w:type="dxa"/>
            <w:vAlign w:val="top"/>
          </w:tcPr>
          <w:p w14:paraId="5EA33F15">
            <w:pPr>
              <w:pStyle w:val="6"/>
              <w:spacing w:before="101" w:line="192" w:lineRule="auto"/>
              <w:ind w:left="465"/>
            </w:pPr>
            <w:r>
              <w:t>/</w:t>
            </w:r>
          </w:p>
        </w:tc>
        <w:tc>
          <w:tcPr>
            <w:tcW w:w="963" w:type="dxa"/>
            <w:vAlign w:val="top"/>
          </w:tcPr>
          <w:p w14:paraId="2355AC17">
            <w:pPr>
              <w:pStyle w:val="6"/>
              <w:spacing w:before="105" w:line="188" w:lineRule="auto"/>
              <w:ind w:left="197"/>
            </w:pPr>
            <w:r>
              <w:rPr>
                <w:spacing w:val="-2"/>
              </w:rPr>
              <w:t>0.0005</w:t>
            </w:r>
          </w:p>
        </w:tc>
        <w:tc>
          <w:tcPr>
            <w:tcW w:w="960" w:type="dxa"/>
            <w:vAlign w:val="top"/>
          </w:tcPr>
          <w:p w14:paraId="7C40FC1D">
            <w:pPr>
              <w:pStyle w:val="6"/>
              <w:spacing w:before="101" w:line="192" w:lineRule="auto"/>
              <w:ind w:left="448"/>
            </w:pPr>
            <w:r>
              <w:t>/</w:t>
            </w:r>
          </w:p>
        </w:tc>
        <w:tc>
          <w:tcPr>
            <w:tcW w:w="963" w:type="dxa"/>
            <w:vAlign w:val="top"/>
          </w:tcPr>
          <w:p w14:paraId="370429B7">
            <w:pPr>
              <w:pStyle w:val="6"/>
              <w:spacing w:before="105" w:line="188" w:lineRule="auto"/>
              <w:ind w:left="198"/>
            </w:pPr>
            <w:r>
              <w:rPr>
                <w:spacing w:val="-2"/>
              </w:rPr>
              <w:t>0.0005</w:t>
            </w:r>
          </w:p>
        </w:tc>
        <w:tc>
          <w:tcPr>
            <w:tcW w:w="1594" w:type="dxa"/>
            <w:vMerge w:val="continue"/>
            <w:tcBorders>
              <w:top w:val="nil"/>
            </w:tcBorders>
            <w:vAlign w:val="top"/>
          </w:tcPr>
          <w:p w14:paraId="037D9352">
            <w:pPr>
              <w:rPr>
                <w:rFonts w:ascii="Arial"/>
                <w:sz w:val="21"/>
              </w:rPr>
            </w:pPr>
          </w:p>
        </w:tc>
        <w:tc>
          <w:tcPr>
            <w:tcW w:w="925" w:type="dxa"/>
            <w:vMerge w:val="continue"/>
            <w:tcBorders>
              <w:top w:val="nil"/>
            </w:tcBorders>
            <w:vAlign w:val="top"/>
          </w:tcPr>
          <w:p w14:paraId="5A5BB59F">
            <w:pPr>
              <w:rPr>
                <w:rFonts w:ascii="Arial"/>
                <w:sz w:val="21"/>
              </w:rPr>
            </w:pPr>
          </w:p>
        </w:tc>
      </w:tr>
      <w:tr w14:paraId="7A7DF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restart"/>
            <w:tcBorders>
              <w:bottom w:val="nil"/>
            </w:tcBorders>
            <w:vAlign w:val="top"/>
          </w:tcPr>
          <w:p w14:paraId="15B1C1E1">
            <w:pPr>
              <w:spacing w:line="252" w:lineRule="auto"/>
              <w:rPr>
                <w:rFonts w:ascii="Arial"/>
                <w:sz w:val="21"/>
              </w:rPr>
            </w:pPr>
          </w:p>
          <w:p w14:paraId="7B0DCB96">
            <w:pPr>
              <w:spacing w:line="253" w:lineRule="auto"/>
              <w:rPr>
                <w:rFonts w:ascii="Arial"/>
                <w:sz w:val="21"/>
              </w:rPr>
            </w:pPr>
          </w:p>
          <w:p w14:paraId="0B2C9C71">
            <w:pPr>
              <w:spacing w:line="253" w:lineRule="auto"/>
              <w:rPr>
                <w:rFonts w:ascii="Arial"/>
                <w:sz w:val="21"/>
              </w:rPr>
            </w:pPr>
          </w:p>
          <w:p w14:paraId="478CB750">
            <w:pPr>
              <w:spacing w:line="253" w:lineRule="auto"/>
              <w:rPr>
                <w:rFonts w:ascii="Arial"/>
                <w:sz w:val="21"/>
              </w:rPr>
            </w:pPr>
          </w:p>
          <w:p w14:paraId="3F76E4D4">
            <w:pPr>
              <w:spacing w:line="253" w:lineRule="auto"/>
              <w:rPr>
                <w:rFonts w:ascii="Arial"/>
                <w:sz w:val="21"/>
              </w:rPr>
            </w:pPr>
          </w:p>
          <w:p w14:paraId="1A533A76">
            <w:pPr>
              <w:spacing w:before="68" w:line="220" w:lineRule="auto"/>
              <w:ind w:left="79"/>
              <w:rPr>
                <w:rFonts w:ascii="宋体" w:hAnsi="宋体" w:eastAsia="宋体" w:cs="宋体"/>
                <w:sz w:val="21"/>
                <w:szCs w:val="21"/>
              </w:rPr>
            </w:pPr>
            <w:r>
              <w:rPr>
                <w:rFonts w:ascii="宋体" w:hAnsi="宋体" w:eastAsia="宋体" w:cs="宋体"/>
                <w:spacing w:val="-2"/>
                <w:sz w:val="21"/>
                <w:szCs w:val="21"/>
              </w:rPr>
              <w:t>废水</w:t>
            </w:r>
          </w:p>
        </w:tc>
        <w:tc>
          <w:tcPr>
            <w:tcW w:w="705" w:type="dxa"/>
            <w:vMerge w:val="restart"/>
            <w:tcBorders>
              <w:bottom w:val="nil"/>
            </w:tcBorders>
            <w:vAlign w:val="top"/>
          </w:tcPr>
          <w:p w14:paraId="242C50FB">
            <w:pPr>
              <w:spacing w:line="254" w:lineRule="auto"/>
              <w:rPr>
                <w:rFonts w:ascii="Arial"/>
                <w:sz w:val="21"/>
              </w:rPr>
            </w:pPr>
          </w:p>
          <w:p w14:paraId="1E69BF53">
            <w:pPr>
              <w:spacing w:line="254" w:lineRule="auto"/>
              <w:rPr>
                <w:rFonts w:ascii="Arial"/>
                <w:sz w:val="21"/>
              </w:rPr>
            </w:pPr>
          </w:p>
          <w:p w14:paraId="2734DAA1">
            <w:pPr>
              <w:spacing w:line="254" w:lineRule="auto"/>
              <w:rPr>
                <w:rFonts w:ascii="Arial"/>
                <w:sz w:val="21"/>
              </w:rPr>
            </w:pPr>
          </w:p>
          <w:p w14:paraId="2F860477">
            <w:pPr>
              <w:spacing w:before="68" w:line="276" w:lineRule="auto"/>
              <w:ind w:left="145" w:right="142" w:firstLine="1"/>
              <w:rPr>
                <w:rFonts w:ascii="宋体" w:hAnsi="宋体" w:eastAsia="宋体" w:cs="宋体"/>
                <w:sz w:val="21"/>
                <w:szCs w:val="21"/>
              </w:rPr>
            </w:pPr>
            <w:r>
              <w:rPr>
                <w:rFonts w:ascii="宋体" w:hAnsi="宋体" w:eastAsia="宋体" w:cs="宋体"/>
                <w:spacing w:val="-5"/>
                <w:sz w:val="21"/>
                <w:szCs w:val="21"/>
              </w:rPr>
              <w:t>养殖</w:t>
            </w:r>
            <w:r>
              <w:rPr>
                <w:rFonts w:ascii="宋体" w:hAnsi="宋体" w:eastAsia="宋体" w:cs="宋体"/>
                <w:spacing w:val="-4"/>
                <w:sz w:val="21"/>
                <w:szCs w:val="21"/>
              </w:rPr>
              <w:t>废水</w:t>
            </w:r>
          </w:p>
        </w:tc>
        <w:tc>
          <w:tcPr>
            <w:tcW w:w="712" w:type="dxa"/>
            <w:vAlign w:val="top"/>
          </w:tcPr>
          <w:p w14:paraId="5DA812E9">
            <w:pPr>
              <w:spacing w:before="68" w:line="220" w:lineRule="auto"/>
              <w:ind w:left="43"/>
              <w:rPr>
                <w:rFonts w:ascii="宋体" w:hAnsi="宋体" w:eastAsia="宋体" w:cs="宋体"/>
                <w:sz w:val="21"/>
                <w:szCs w:val="21"/>
              </w:rPr>
            </w:pPr>
            <w:r>
              <w:rPr>
                <w:rFonts w:ascii="宋体" w:hAnsi="宋体" w:eastAsia="宋体" w:cs="宋体"/>
                <w:spacing w:val="-2"/>
                <w:sz w:val="21"/>
                <w:szCs w:val="21"/>
              </w:rPr>
              <w:t>废水量</w:t>
            </w:r>
          </w:p>
        </w:tc>
        <w:tc>
          <w:tcPr>
            <w:tcW w:w="998" w:type="dxa"/>
            <w:vAlign w:val="top"/>
          </w:tcPr>
          <w:p w14:paraId="412B01C2">
            <w:pPr>
              <w:pStyle w:val="6"/>
              <w:spacing w:before="101" w:line="192" w:lineRule="auto"/>
              <w:ind w:left="465"/>
            </w:pPr>
            <w:r>
              <w:t>/</w:t>
            </w:r>
          </w:p>
        </w:tc>
        <w:tc>
          <w:tcPr>
            <w:tcW w:w="963" w:type="dxa"/>
            <w:vAlign w:val="top"/>
          </w:tcPr>
          <w:p w14:paraId="10F60B98">
            <w:pPr>
              <w:pStyle w:val="6"/>
              <w:spacing w:before="105" w:line="188" w:lineRule="auto"/>
              <w:ind w:left="150"/>
            </w:pPr>
            <w:r>
              <w:rPr>
                <w:spacing w:val="-2"/>
              </w:rPr>
              <w:t>82749.1</w:t>
            </w:r>
          </w:p>
        </w:tc>
        <w:tc>
          <w:tcPr>
            <w:tcW w:w="960" w:type="dxa"/>
            <w:vAlign w:val="top"/>
          </w:tcPr>
          <w:p w14:paraId="327910E4">
            <w:pPr>
              <w:pStyle w:val="6"/>
              <w:spacing w:before="105" w:line="188" w:lineRule="auto"/>
              <w:ind w:left="433"/>
            </w:pPr>
            <w:r>
              <w:t>0</w:t>
            </w:r>
          </w:p>
        </w:tc>
        <w:tc>
          <w:tcPr>
            <w:tcW w:w="963" w:type="dxa"/>
            <w:vAlign w:val="top"/>
          </w:tcPr>
          <w:p w14:paraId="1B0F4F32">
            <w:pPr>
              <w:pStyle w:val="6"/>
              <w:spacing w:before="105" w:line="188" w:lineRule="auto"/>
              <w:ind w:left="434"/>
            </w:pPr>
            <w:r>
              <w:t>0</w:t>
            </w:r>
          </w:p>
        </w:tc>
        <w:tc>
          <w:tcPr>
            <w:tcW w:w="1594" w:type="dxa"/>
            <w:vMerge w:val="restart"/>
            <w:tcBorders>
              <w:bottom w:val="nil"/>
            </w:tcBorders>
            <w:vAlign w:val="top"/>
          </w:tcPr>
          <w:p w14:paraId="148C011D">
            <w:pPr>
              <w:pStyle w:val="6"/>
              <w:spacing w:before="52" w:line="267" w:lineRule="auto"/>
              <w:ind w:left="11"/>
              <w:jc w:val="both"/>
              <w:rPr>
                <w:rFonts w:ascii="宋体" w:hAnsi="宋体" w:eastAsia="宋体" w:cs="宋体"/>
              </w:rPr>
            </w:pPr>
            <w:r>
              <w:rPr>
                <w:rFonts w:ascii="宋体" w:hAnsi="宋体" w:eastAsia="宋体" w:cs="宋体"/>
                <w:spacing w:val="15"/>
              </w:rPr>
              <w:t>废水经污水处理</w:t>
            </w:r>
            <w:r>
              <w:rPr>
                <w:rFonts w:ascii="宋体" w:hAnsi="宋体" w:eastAsia="宋体" w:cs="宋体"/>
                <w:spacing w:val="-15"/>
              </w:rPr>
              <w:t>站处理达《农田灌</w:t>
            </w:r>
            <w:r>
              <w:rPr>
                <w:rFonts w:ascii="宋体" w:hAnsi="宋体" w:eastAsia="宋体" w:cs="宋体"/>
                <w:spacing w:val="-11"/>
              </w:rPr>
              <w:t>溉</w:t>
            </w:r>
            <w:r>
              <w:rPr>
                <w:rFonts w:ascii="宋体" w:hAnsi="宋体" w:eastAsia="宋体" w:cs="宋体"/>
                <w:spacing w:val="-30"/>
              </w:rPr>
              <w:t xml:space="preserve"> </w:t>
            </w:r>
            <w:r>
              <w:rPr>
                <w:rFonts w:ascii="宋体" w:hAnsi="宋体" w:eastAsia="宋体" w:cs="宋体"/>
                <w:spacing w:val="-11"/>
              </w:rPr>
              <w:t>水</w:t>
            </w:r>
            <w:r>
              <w:rPr>
                <w:rFonts w:ascii="宋体" w:hAnsi="宋体" w:eastAsia="宋体" w:cs="宋体"/>
                <w:spacing w:val="-32"/>
              </w:rPr>
              <w:t xml:space="preserve"> </w:t>
            </w:r>
            <w:r>
              <w:rPr>
                <w:rFonts w:ascii="宋体" w:hAnsi="宋体" w:eastAsia="宋体" w:cs="宋体"/>
                <w:spacing w:val="-11"/>
              </w:rPr>
              <w:t>质</w:t>
            </w:r>
            <w:r>
              <w:rPr>
                <w:rFonts w:ascii="宋体" w:hAnsi="宋体" w:eastAsia="宋体" w:cs="宋体"/>
                <w:spacing w:val="-31"/>
              </w:rPr>
              <w:t xml:space="preserve"> </w:t>
            </w:r>
            <w:r>
              <w:rPr>
                <w:rFonts w:ascii="宋体" w:hAnsi="宋体" w:eastAsia="宋体" w:cs="宋体"/>
                <w:spacing w:val="-11"/>
              </w:rPr>
              <w:t>标</w:t>
            </w:r>
            <w:r>
              <w:rPr>
                <w:rFonts w:ascii="宋体" w:hAnsi="宋体" w:eastAsia="宋体" w:cs="宋体"/>
                <w:spacing w:val="-29"/>
              </w:rPr>
              <w:t xml:space="preserve"> </w:t>
            </w:r>
            <w:r>
              <w:rPr>
                <w:rFonts w:ascii="宋体" w:hAnsi="宋体" w:eastAsia="宋体" w:cs="宋体"/>
                <w:spacing w:val="-11"/>
              </w:rPr>
              <w:t>准</w:t>
            </w:r>
            <w:r>
              <w:rPr>
                <w:rFonts w:ascii="宋体" w:hAnsi="宋体" w:eastAsia="宋体" w:cs="宋体"/>
                <w:spacing w:val="-21"/>
              </w:rPr>
              <w:t xml:space="preserve"> </w:t>
            </w:r>
            <w:r>
              <w:rPr>
                <w:rFonts w:ascii="宋体" w:hAnsi="宋体" w:eastAsia="宋体" w:cs="宋体"/>
                <w:spacing w:val="-11"/>
              </w:rPr>
              <w:t>》</w:t>
            </w:r>
            <w:r>
              <w:rPr>
                <w:rFonts w:ascii="宋体" w:hAnsi="宋体" w:eastAsia="宋体" w:cs="宋体"/>
              </w:rPr>
              <w:t xml:space="preserve"> </w:t>
            </w:r>
            <w:r>
              <w:rPr>
                <w:spacing w:val="-2"/>
              </w:rPr>
              <w:t>(GB5084-2021)</w:t>
            </w:r>
            <w:r>
              <w:t xml:space="preserve"> </w:t>
            </w:r>
            <w:r>
              <w:rPr>
                <w:rFonts w:ascii="宋体" w:hAnsi="宋体" w:eastAsia="宋体" w:cs="宋体"/>
                <w:spacing w:val="-2"/>
              </w:rPr>
              <w:t>表</w:t>
            </w:r>
            <w:r>
              <w:rPr>
                <w:spacing w:val="8"/>
              </w:rPr>
              <w:t xml:space="preserve">1 </w:t>
            </w:r>
            <w:r>
              <w:rPr>
                <w:rFonts w:ascii="宋体" w:hAnsi="宋体" w:eastAsia="宋体" w:cs="宋体"/>
                <w:spacing w:val="8"/>
              </w:rPr>
              <w:t>旱地</w:t>
            </w:r>
            <w:r>
              <w:rPr>
                <w:rFonts w:ascii="宋体" w:hAnsi="宋体" w:eastAsia="宋体" w:cs="宋体"/>
                <w:spacing w:val="-56"/>
              </w:rPr>
              <w:t xml:space="preserve"> </w:t>
            </w:r>
            <w:r>
              <w:rPr>
                <w:rFonts w:ascii="宋体" w:hAnsi="宋体" w:eastAsia="宋体" w:cs="宋体"/>
                <w:spacing w:val="8"/>
              </w:rPr>
              <w:t>作物限</w:t>
            </w:r>
            <w:r>
              <w:rPr>
                <w:rFonts w:ascii="宋体" w:hAnsi="宋体" w:eastAsia="宋体" w:cs="宋体"/>
                <w:spacing w:val="-59"/>
              </w:rPr>
              <w:t xml:space="preserve"> </w:t>
            </w:r>
            <w:r>
              <w:rPr>
                <w:rFonts w:ascii="宋体" w:hAnsi="宋体" w:eastAsia="宋体" w:cs="宋体"/>
                <w:spacing w:val="8"/>
              </w:rPr>
              <w:t>值</w:t>
            </w:r>
            <w:r>
              <w:rPr>
                <w:rFonts w:ascii="宋体" w:hAnsi="宋体" w:eastAsia="宋体" w:cs="宋体"/>
                <w:spacing w:val="-13"/>
              </w:rPr>
              <w:t>后，用于消纳地农</w:t>
            </w:r>
            <w:r>
              <w:rPr>
                <w:rFonts w:ascii="宋体" w:hAnsi="宋体" w:eastAsia="宋体" w:cs="宋体"/>
                <w:spacing w:val="-6"/>
              </w:rPr>
              <w:t>灌，不外排。</w:t>
            </w:r>
          </w:p>
        </w:tc>
        <w:tc>
          <w:tcPr>
            <w:tcW w:w="925" w:type="dxa"/>
            <w:vMerge w:val="restart"/>
            <w:tcBorders>
              <w:bottom w:val="nil"/>
            </w:tcBorders>
            <w:vAlign w:val="top"/>
          </w:tcPr>
          <w:p w14:paraId="1204024E">
            <w:pPr>
              <w:spacing w:line="318" w:lineRule="auto"/>
              <w:rPr>
                <w:rFonts w:ascii="Arial"/>
                <w:sz w:val="21"/>
              </w:rPr>
            </w:pPr>
          </w:p>
          <w:p w14:paraId="5C451C3E">
            <w:pPr>
              <w:spacing w:line="319" w:lineRule="auto"/>
              <w:rPr>
                <w:rFonts w:ascii="Arial"/>
                <w:sz w:val="21"/>
              </w:rPr>
            </w:pPr>
          </w:p>
          <w:p w14:paraId="224C68C3">
            <w:pPr>
              <w:spacing w:line="319" w:lineRule="auto"/>
              <w:rPr>
                <w:rFonts w:ascii="Arial"/>
                <w:sz w:val="21"/>
              </w:rPr>
            </w:pPr>
          </w:p>
          <w:p w14:paraId="42A6B17E">
            <w:pPr>
              <w:pStyle w:val="6"/>
              <w:spacing w:before="61" w:line="192" w:lineRule="auto"/>
              <w:ind w:left="431"/>
            </w:pPr>
            <w:r>
              <w:t>/</w:t>
            </w:r>
          </w:p>
        </w:tc>
      </w:tr>
      <w:tr w14:paraId="28CA9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6E792A10">
            <w:pPr>
              <w:rPr>
                <w:rFonts w:ascii="Arial"/>
                <w:sz w:val="21"/>
              </w:rPr>
            </w:pPr>
          </w:p>
        </w:tc>
        <w:tc>
          <w:tcPr>
            <w:tcW w:w="705" w:type="dxa"/>
            <w:vMerge w:val="continue"/>
            <w:tcBorders>
              <w:top w:val="nil"/>
              <w:bottom w:val="nil"/>
            </w:tcBorders>
            <w:vAlign w:val="top"/>
          </w:tcPr>
          <w:p w14:paraId="0B1DCB64">
            <w:pPr>
              <w:rPr>
                <w:rFonts w:ascii="Arial"/>
                <w:sz w:val="21"/>
              </w:rPr>
            </w:pPr>
          </w:p>
        </w:tc>
        <w:tc>
          <w:tcPr>
            <w:tcW w:w="712" w:type="dxa"/>
            <w:vAlign w:val="top"/>
          </w:tcPr>
          <w:p w14:paraId="1EA82BD6">
            <w:pPr>
              <w:pStyle w:val="6"/>
              <w:spacing w:before="105" w:line="188" w:lineRule="auto"/>
              <w:ind w:left="137"/>
            </w:pPr>
            <w:r>
              <w:rPr>
                <w:spacing w:val="-2"/>
              </w:rPr>
              <w:t>COD</w:t>
            </w:r>
          </w:p>
        </w:tc>
        <w:tc>
          <w:tcPr>
            <w:tcW w:w="998" w:type="dxa"/>
            <w:vAlign w:val="top"/>
          </w:tcPr>
          <w:p w14:paraId="755191B4">
            <w:pPr>
              <w:pStyle w:val="6"/>
              <w:spacing w:before="101" w:line="192" w:lineRule="auto"/>
              <w:ind w:left="8"/>
            </w:pPr>
            <w:r>
              <w:rPr>
                <w:spacing w:val="-1"/>
              </w:rPr>
              <w:t>21600mg/L</w:t>
            </w:r>
          </w:p>
        </w:tc>
        <w:tc>
          <w:tcPr>
            <w:tcW w:w="963" w:type="dxa"/>
            <w:vAlign w:val="top"/>
          </w:tcPr>
          <w:p w14:paraId="2442C1A8">
            <w:pPr>
              <w:pStyle w:val="6"/>
              <w:spacing w:before="105" w:line="188" w:lineRule="auto"/>
              <w:ind w:left="161"/>
            </w:pPr>
            <w:r>
              <w:rPr>
                <w:spacing w:val="-4"/>
              </w:rPr>
              <w:t>1787.38</w:t>
            </w:r>
          </w:p>
        </w:tc>
        <w:tc>
          <w:tcPr>
            <w:tcW w:w="960" w:type="dxa"/>
            <w:vAlign w:val="top"/>
          </w:tcPr>
          <w:p w14:paraId="6D5138E2">
            <w:pPr>
              <w:pStyle w:val="6"/>
              <w:spacing w:before="105" w:line="188" w:lineRule="auto"/>
              <w:ind w:left="432"/>
            </w:pPr>
            <w:r>
              <w:t>0</w:t>
            </w:r>
          </w:p>
        </w:tc>
        <w:tc>
          <w:tcPr>
            <w:tcW w:w="963" w:type="dxa"/>
            <w:vAlign w:val="top"/>
          </w:tcPr>
          <w:p w14:paraId="30E12C8F">
            <w:pPr>
              <w:pStyle w:val="6"/>
              <w:spacing w:before="105" w:line="188" w:lineRule="auto"/>
              <w:ind w:left="434"/>
            </w:pPr>
            <w:r>
              <w:t>0</w:t>
            </w:r>
          </w:p>
        </w:tc>
        <w:tc>
          <w:tcPr>
            <w:tcW w:w="1594" w:type="dxa"/>
            <w:vMerge w:val="continue"/>
            <w:tcBorders>
              <w:top w:val="nil"/>
              <w:bottom w:val="nil"/>
            </w:tcBorders>
            <w:vAlign w:val="top"/>
          </w:tcPr>
          <w:p w14:paraId="5660926E">
            <w:pPr>
              <w:rPr>
                <w:rFonts w:ascii="Arial"/>
                <w:sz w:val="21"/>
              </w:rPr>
            </w:pPr>
          </w:p>
        </w:tc>
        <w:tc>
          <w:tcPr>
            <w:tcW w:w="925" w:type="dxa"/>
            <w:vMerge w:val="continue"/>
            <w:tcBorders>
              <w:top w:val="nil"/>
              <w:bottom w:val="nil"/>
            </w:tcBorders>
            <w:vAlign w:val="top"/>
          </w:tcPr>
          <w:p w14:paraId="6F500D4A">
            <w:pPr>
              <w:rPr>
                <w:rFonts w:ascii="Arial"/>
                <w:sz w:val="21"/>
              </w:rPr>
            </w:pPr>
          </w:p>
        </w:tc>
      </w:tr>
      <w:tr w14:paraId="3E0A4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586966A9">
            <w:pPr>
              <w:rPr>
                <w:rFonts w:ascii="Arial"/>
                <w:sz w:val="21"/>
              </w:rPr>
            </w:pPr>
          </w:p>
        </w:tc>
        <w:tc>
          <w:tcPr>
            <w:tcW w:w="705" w:type="dxa"/>
            <w:vMerge w:val="continue"/>
            <w:tcBorders>
              <w:top w:val="nil"/>
              <w:bottom w:val="nil"/>
            </w:tcBorders>
            <w:vAlign w:val="top"/>
          </w:tcPr>
          <w:p w14:paraId="7A9588DA">
            <w:pPr>
              <w:rPr>
                <w:rFonts w:ascii="Arial"/>
                <w:sz w:val="21"/>
              </w:rPr>
            </w:pPr>
          </w:p>
        </w:tc>
        <w:tc>
          <w:tcPr>
            <w:tcW w:w="712" w:type="dxa"/>
            <w:vAlign w:val="top"/>
          </w:tcPr>
          <w:p w14:paraId="506670B9">
            <w:pPr>
              <w:pStyle w:val="6"/>
              <w:spacing w:before="106" w:line="198" w:lineRule="auto"/>
              <w:ind w:left="98"/>
              <w:rPr>
                <w:sz w:val="14"/>
                <w:szCs w:val="14"/>
              </w:rPr>
            </w:pPr>
            <w:r>
              <w:rPr>
                <w:spacing w:val="-1"/>
              </w:rPr>
              <w:t>BOD</w:t>
            </w:r>
            <w:r>
              <w:rPr>
                <w:spacing w:val="-1"/>
                <w:position w:val="-2"/>
                <w:sz w:val="14"/>
                <w:szCs w:val="14"/>
              </w:rPr>
              <w:t>5</w:t>
            </w:r>
          </w:p>
        </w:tc>
        <w:tc>
          <w:tcPr>
            <w:tcW w:w="998" w:type="dxa"/>
            <w:vAlign w:val="top"/>
          </w:tcPr>
          <w:p w14:paraId="43FAA406">
            <w:pPr>
              <w:pStyle w:val="6"/>
              <w:spacing w:before="102" w:line="192" w:lineRule="auto"/>
              <w:ind w:left="70"/>
            </w:pPr>
            <w:r>
              <w:rPr>
                <w:spacing w:val="-2"/>
              </w:rPr>
              <w:t>8000mg/L</w:t>
            </w:r>
          </w:p>
        </w:tc>
        <w:tc>
          <w:tcPr>
            <w:tcW w:w="963" w:type="dxa"/>
            <w:vAlign w:val="top"/>
          </w:tcPr>
          <w:p w14:paraId="6DD94661">
            <w:pPr>
              <w:pStyle w:val="6"/>
              <w:spacing w:before="106" w:line="188" w:lineRule="auto"/>
              <w:ind w:left="199"/>
            </w:pPr>
            <w:r>
              <w:rPr>
                <w:spacing w:val="-2"/>
              </w:rPr>
              <w:t>661.99</w:t>
            </w:r>
          </w:p>
        </w:tc>
        <w:tc>
          <w:tcPr>
            <w:tcW w:w="960" w:type="dxa"/>
            <w:vAlign w:val="top"/>
          </w:tcPr>
          <w:p w14:paraId="443C5130">
            <w:pPr>
              <w:pStyle w:val="6"/>
              <w:spacing w:before="106" w:line="188" w:lineRule="auto"/>
              <w:ind w:left="433"/>
            </w:pPr>
            <w:r>
              <w:t>0</w:t>
            </w:r>
          </w:p>
        </w:tc>
        <w:tc>
          <w:tcPr>
            <w:tcW w:w="963" w:type="dxa"/>
            <w:vAlign w:val="top"/>
          </w:tcPr>
          <w:p w14:paraId="23928769">
            <w:pPr>
              <w:pStyle w:val="6"/>
              <w:spacing w:before="106" w:line="188" w:lineRule="auto"/>
              <w:ind w:left="434"/>
            </w:pPr>
            <w:r>
              <w:t>0</w:t>
            </w:r>
          </w:p>
        </w:tc>
        <w:tc>
          <w:tcPr>
            <w:tcW w:w="1594" w:type="dxa"/>
            <w:vMerge w:val="continue"/>
            <w:tcBorders>
              <w:top w:val="nil"/>
              <w:bottom w:val="nil"/>
            </w:tcBorders>
            <w:vAlign w:val="top"/>
          </w:tcPr>
          <w:p w14:paraId="29B55590">
            <w:pPr>
              <w:rPr>
                <w:rFonts w:ascii="Arial"/>
                <w:sz w:val="21"/>
              </w:rPr>
            </w:pPr>
          </w:p>
        </w:tc>
        <w:tc>
          <w:tcPr>
            <w:tcW w:w="925" w:type="dxa"/>
            <w:vMerge w:val="continue"/>
            <w:tcBorders>
              <w:top w:val="nil"/>
              <w:bottom w:val="nil"/>
            </w:tcBorders>
            <w:vAlign w:val="top"/>
          </w:tcPr>
          <w:p w14:paraId="4BBA89E9">
            <w:pPr>
              <w:rPr>
                <w:rFonts w:ascii="Arial"/>
                <w:sz w:val="21"/>
              </w:rPr>
            </w:pPr>
          </w:p>
        </w:tc>
      </w:tr>
      <w:tr w14:paraId="33128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70" w:type="dxa"/>
            <w:vMerge w:val="continue"/>
            <w:tcBorders>
              <w:top w:val="nil"/>
              <w:bottom w:val="nil"/>
            </w:tcBorders>
            <w:vAlign w:val="top"/>
          </w:tcPr>
          <w:p w14:paraId="7AFDDB42">
            <w:pPr>
              <w:rPr>
                <w:rFonts w:ascii="Arial"/>
                <w:sz w:val="21"/>
              </w:rPr>
            </w:pPr>
          </w:p>
        </w:tc>
        <w:tc>
          <w:tcPr>
            <w:tcW w:w="705" w:type="dxa"/>
            <w:vMerge w:val="continue"/>
            <w:tcBorders>
              <w:top w:val="nil"/>
              <w:bottom w:val="nil"/>
            </w:tcBorders>
            <w:vAlign w:val="top"/>
          </w:tcPr>
          <w:p w14:paraId="3C60324B">
            <w:pPr>
              <w:rPr>
                <w:rFonts w:ascii="Arial"/>
                <w:sz w:val="21"/>
              </w:rPr>
            </w:pPr>
          </w:p>
        </w:tc>
        <w:tc>
          <w:tcPr>
            <w:tcW w:w="712" w:type="dxa"/>
            <w:vAlign w:val="top"/>
          </w:tcPr>
          <w:p w14:paraId="1D4180A4">
            <w:pPr>
              <w:pStyle w:val="6"/>
              <w:spacing w:before="109" w:line="195" w:lineRule="auto"/>
              <w:ind w:left="51"/>
            </w:pPr>
            <w:r>
              <w:t>NH</w:t>
            </w:r>
            <w:r>
              <w:rPr>
                <w:position w:val="-2"/>
                <w:sz w:val="14"/>
                <w:szCs w:val="14"/>
              </w:rPr>
              <w:t>3</w:t>
            </w:r>
            <w:r>
              <w:t>-N</w:t>
            </w:r>
          </w:p>
        </w:tc>
        <w:tc>
          <w:tcPr>
            <w:tcW w:w="998" w:type="dxa"/>
            <w:vAlign w:val="top"/>
          </w:tcPr>
          <w:p w14:paraId="7B82A63D">
            <w:pPr>
              <w:pStyle w:val="6"/>
              <w:spacing w:before="102" w:line="192" w:lineRule="auto"/>
              <w:ind w:left="119"/>
            </w:pPr>
            <w:r>
              <w:rPr>
                <w:spacing w:val="-2"/>
              </w:rPr>
              <w:t>590mg/L</w:t>
            </w:r>
          </w:p>
        </w:tc>
        <w:tc>
          <w:tcPr>
            <w:tcW w:w="963" w:type="dxa"/>
            <w:vAlign w:val="top"/>
          </w:tcPr>
          <w:p w14:paraId="19F389E6">
            <w:pPr>
              <w:pStyle w:val="6"/>
              <w:spacing w:before="106" w:line="188" w:lineRule="auto"/>
              <w:ind w:left="245"/>
            </w:pPr>
            <w:r>
              <w:rPr>
                <w:spacing w:val="-1"/>
              </w:rPr>
              <w:t>48.82</w:t>
            </w:r>
          </w:p>
        </w:tc>
        <w:tc>
          <w:tcPr>
            <w:tcW w:w="960" w:type="dxa"/>
            <w:vAlign w:val="top"/>
          </w:tcPr>
          <w:p w14:paraId="51711AC8">
            <w:pPr>
              <w:pStyle w:val="6"/>
              <w:spacing w:before="106" w:line="188" w:lineRule="auto"/>
              <w:ind w:left="433"/>
            </w:pPr>
            <w:r>
              <w:t>0</w:t>
            </w:r>
          </w:p>
        </w:tc>
        <w:tc>
          <w:tcPr>
            <w:tcW w:w="963" w:type="dxa"/>
            <w:vAlign w:val="top"/>
          </w:tcPr>
          <w:p w14:paraId="73B5055A">
            <w:pPr>
              <w:pStyle w:val="6"/>
              <w:spacing w:before="106" w:line="188" w:lineRule="auto"/>
              <w:ind w:left="434"/>
            </w:pPr>
            <w:r>
              <w:t>0</w:t>
            </w:r>
          </w:p>
        </w:tc>
        <w:tc>
          <w:tcPr>
            <w:tcW w:w="1594" w:type="dxa"/>
            <w:vMerge w:val="continue"/>
            <w:tcBorders>
              <w:top w:val="nil"/>
              <w:bottom w:val="nil"/>
            </w:tcBorders>
            <w:vAlign w:val="top"/>
          </w:tcPr>
          <w:p w14:paraId="71480F07">
            <w:pPr>
              <w:rPr>
                <w:rFonts w:ascii="Arial"/>
                <w:sz w:val="21"/>
              </w:rPr>
            </w:pPr>
          </w:p>
        </w:tc>
        <w:tc>
          <w:tcPr>
            <w:tcW w:w="925" w:type="dxa"/>
            <w:vMerge w:val="continue"/>
            <w:tcBorders>
              <w:top w:val="nil"/>
              <w:bottom w:val="nil"/>
            </w:tcBorders>
            <w:vAlign w:val="top"/>
          </w:tcPr>
          <w:p w14:paraId="3575BDDA">
            <w:pPr>
              <w:rPr>
                <w:rFonts w:ascii="Arial"/>
                <w:sz w:val="21"/>
              </w:rPr>
            </w:pPr>
          </w:p>
        </w:tc>
      </w:tr>
      <w:tr w14:paraId="67E2E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64154E23">
            <w:pPr>
              <w:rPr>
                <w:rFonts w:ascii="Arial"/>
                <w:sz w:val="21"/>
              </w:rPr>
            </w:pPr>
          </w:p>
        </w:tc>
        <w:tc>
          <w:tcPr>
            <w:tcW w:w="705" w:type="dxa"/>
            <w:vMerge w:val="continue"/>
            <w:tcBorders>
              <w:top w:val="nil"/>
              <w:bottom w:val="nil"/>
            </w:tcBorders>
            <w:vAlign w:val="top"/>
          </w:tcPr>
          <w:p w14:paraId="4BD685DA">
            <w:pPr>
              <w:rPr>
                <w:rFonts w:ascii="Arial"/>
                <w:sz w:val="21"/>
              </w:rPr>
            </w:pPr>
          </w:p>
        </w:tc>
        <w:tc>
          <w:tcPr>
            <w:tcW w:w="712" w:type="dxa"/>
            <w:vAlign w:val="top"/>
          </w:tcPr>
          <w:p w14:paraId="1392A909">
            <w:pPr>
              <w:pStyle w:val="6"/>
              <w:spacing w:before="105" w:line="188" w:lineRule="auto"/>
              <w:ind w:left="247"/>
            </w:pPr>
            <w:r>
              <w:rPr>
                <w:spacing w:val="-4"/>
              </w:rPr>
              <w:t>SS</w:t>
            </w:r>
          </w:p>
        </w:tc>
        <w:tc>
          <w:tcPr>
            <w:tcW w:w="998" w:type="dxa"/>
            <w:vAlign w:val="top"/>
          </w:tcPr>
          <w:p w14:paraId="6AABF212">
            <w:pPr>
              <w:pStyle w:val="6"/>
              <w:spacing w:before="101" w:line="192" w:lineRule="auto"/>
              <w:ind w:left="61"/>
            </w:pPr>
            <w:r>
              <w:rPr>
                <w:spacing w:val="-1"/>
              </w:rPr>
              <w:t>4000mg/L</w:t>
            </w:r>
          </w:p>
        </w:tc>
        <w:tc>
          <w:tcPr>
            <w:tcW w:w="963" w:type="dxa"/>
            <w:vAlign w:val="top"/>
          </w:tcPr>
          <w:p w14:paraId="1BE23F3B">
            <w:pPr>
              <w:pStyle w:val="6"/>
              <w:spacing w:before="105" w:line="188" w:lineRule="auto"/>
              <w:ind w:left="250"/>
            </w:pPr>
            <w:r>
              <w:rPr>
                <w:spacing w:val="-2"/>
              </w:rPr>
              <w:t>331.0</w:t>
            </w:r>
          </w:p>
        </w:tc>
        <w:tc>
          <w:tcPr>
            <w:tcW w:w="960" w:type="dxa"/>
            <w:vAlign w:val="top"/>
          </w:tcPr>
          <w:p w14:paraId="71A17033">
            <w:pPr>
              <w:pStyle w:val="6"/>
              <w:spacing w:before="105" w:line="188" w:lineRule="auto"/>
              <w:ind w:left="433"/>
            </w:pPr>
            <w:r>
              <w:t>0</w:t>
            </w:r>
          </w:p>
        </w:tc>
        <w:tc>
          <w:tcPr>
            <w:tcW w:w="963" w:type="dxa"/>
            <w:vAlign w:val="top"/>
          </w:tcPr>
          <w:p w14:paraId="2C55552D">
            <w:pPr>
              <w:pStyle w:val="6"/>
              <w:spacing w:before="105" w:line="188" w:lineRule="auto"/>
              <w:ind w:left="434"/>
            </w:pPr>
            <w:r>
              <w:t>0</w:t>
            </w:r>
          </w:p>
        </w:tc>
        <w:tc>
          <w:tcPr>
            <w:tcW w:w="1594" w:type="dxa"/>
            <w:vMerge w:val="continue"/>
            <w:tcBorders>
              <w:top w:val="nil"/>
              <w:bottom w:val="nil"/>
            </w:tcBorders>
            <w:vAlign w:val="top"/>
          </w:tcPr>
          <w:p w14:paraId="595CC2D1">
            <w:pPr>
              <w:rPr>
                <w:rFonts w:ascii="Arial"/>
                <w:sz w:val="21"/>
              </w:rPr>
            </w:pPr>
          </w:p>
        </w:tc>
        <w:tc>
          <w:tcPr>
            <w:tcW w:w="925" w:type="dxa"/>
            <w:vMerge w:val="continue"/>
            <w:tcBorders>
              <w:top w:val="nil"/>
              <w:bottom w:val="nil"/>
            </w:tcBorders>
            <w:vAlign w:val="top"/>
          </w:tcPr>
          <w:p w14:paraId="4B54CFD3">
            <w:pPr>
              <w:rPr>
                <w:rFonts w:ascii="Arial"/>
                <w:sz w:val="21"/>
              </w:rPr>
            </w:pPr>
          </w:p>
        </w:tc>
      </w:tr>
      <w:tr w14:paraId="212D8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570" w:type="dxa"/>
            <w:vMerge w:val="continue"/>
            <w:tcBorders>
              <w:top w:val="nil"/>
              <w:bottom w:val="nil"/>
            </w:tcBorders>
            <w:vAlign w:val="top"/>
          </w:tcPr>
          <w:p w14:paraId="1FC9B1C6">
            <w:pPr>
              <w:rPr>
                <w:rFonts w:ascii="Arial"/>
                <w:sz w:val="21"/>
              </w:rPr>
            </w:pPr>
          </w:p>
        </w:tc>
        <w:tc>
          <w:tcPr>
            <w:tcW w:w="705" w:type="dxa"/>
            <w:vMerge w:val="continue"/>
            <w:tcBorders>
              <w:top w:val="nil"/>
            </w:tcBorders>
            <w:vAlign w:val="top"/>
          </w:tcPr>
          <w:p w14:paraId="029F801B">
            <w:pPr>
              <w:rPr>
                <w:rFonts w:ascii="Arial"/>
                <w:sz w:val="21"/>
              </w:rPr>
            </w:pPr>
          </w:p>
        </w:tc>
        <w:tc>
          <w:tcPr>
            <w:tcW w:w="712" w:type="dxa"/>
            <w:vAlign w:val="top"/>
          </w:tcPr>
          <w:p w14:paraId="53177E02">
            <w:pPr>
              <w:pStyle w:val="6"/>
              <w:spacing w:before="156" w:line="185" w:lineRule="auto"/>
              <w:ind w:left="235"/>
            </w:pPr>
            <w:r>
              <w:rPr>
                <w:spacing w:val="-2"/>
              </w:rPr>
              <w:t>TP</w:t>
            </w:r>
          </w:p>
        </w:tc>
        <w:tc>
          <w:tcPr>
            <w:tcW w:w="998" w:type="dxa"/>
            <w:vAlign w:val="top"/>
          </w:tcPr>
          <w:p w14:paraId="41D601A6">
            <w:pPr>
              <w:pStyle w:val="6"/>
              <w:spacing w:before="148" w:line="192" w:lineRule="auto"/>
              <w:ind w:left="134"/>
            </w:pPr>
            <w:r>
              <w:rPr>
                <w:spacing w:val="-4"/>
              </w:rPr>
              <w:t>127mg/L</w:t>
            </w:r>
          </w:p>
        </w:tc>
        <w:tc>
          <w:tcPr>
            <w:tcW w:w="963" w:type="dxa"/>
            <w:vAlign w:val="top"/>
          </w:tcPr>
          <w:p w14:paraId="3A972C44">
            <w:pPr>
              <w:pStyle w:val="6"/>
              <w:spacing w:before="152" w:line="188" w:lineRule="auto"/>
              <w:ind w:left="267"/>
            </w:pPr>
            <w:r>
              <w:rPr>
                <w:spacing w:val="-5"/>
              </w:rPr>
              <w:t>10.51</w:t>
            </w:r>
          </w:p>
        </w:tc>
        <w:tc>
          <w:tcPr>
            <w:tcW w:w="960" w:type="dxa"/>
            <w:vAlign w:val="top"/>
          </w:tcPr>
          <w:p w14:paraId="54BBC0B9">
            <w:pPr>
              <w:pStyle w:val="6"/>
              <w:spacing w:before="152" w:line="188" w:lineRule="auto"/>
              <w:ind w:left="433"/>
            </w:pPr>
            <w:r>
              <w:t>0</w:t>
            </w:r>
          </w:p>
        </w:tc>
        <w:tc>
          <w:tcPr>
            <w:tcW w:w="963" w:type="dxa"/>
            <w:vAlign w:val="top"/>
          </w:tcPr>
          <w:p w14:paraId="5F6B07B0">
            <w:pPr>
              <w:pStyle w:val="6"/>
              <w:spacing w:before="152" w:line="188" w:lineRule="auto"/>
              <w:ind w:left="435"/>
            </w:pPr>
            <w:r>
              <w:t>0</w:t>
            </w:r>
          </w:p>
        </w:tc>
        <w:tc>
          <w:tcPr>
            <w:tcW w:w="1594" w:type="dxa"/>
            <w:vMerge w:val="continue"/>
            <w:tcBorders>
              <w:top w:val="nil"/>
            </w:tcBorders>
            <w:vAlign w:val="top"/>
          </w:tcPr>
          <w:p w14:paraId="7494610E">
            <w:pPr>
              <w:rPr>
                <w:rFonts w:ascii="Arial"/>
                <w:sz w:val="21"/>
              </w:rPr>
            </w:pPr>
          </w:p>
        </w:tc>
        <w:tc>
          <w:tcPr>
            <w:tcW w:w="925" w:type="dxa"/>
            <w:vMerge w:val="continue"/>
            <w:tcBorders>
              <w:top w:val="nil"/>
            </w:tcBorders>
            <w:vAlign w:val="top"/>
          </w:tcPr>
          <w:p w14:paraId="403A0238">
            <w:pPr>
              <w:rPr>
                <w:rFonts w:ascii="Arial"/>
                <w:sz w:val="21"/>
              </w:rPr>
            </w:pPr>
          </w:p>
        </w:tc>
      </w:tr>
      <w:tr w14:paraId="773F8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190F95AF">
            <w:pPr>
              <w:rPr>
                <w:rFonts w:ascii="Arial"/>
                <w:sz w:val="21"/>
              </w:rPr>
            </w:pPr>
          </w:p>
        </w:tc>
        <w:tc>
          <w:tcPr>
            <w:tcW w:w="705" w:type="dxa"/>
            <w:vMerge w:val="restart"/>
            <w:tcBorders>
              <w:bottom w:val="nil"/>
            </w:tcBorders>
            <w:vAlign w:val="top"/>
          </w:tcPr>
          <w:p w14:paraId="230F9A43">
            <w:pPr>
              <w:spacing w:before="89" w:line="220" w:lineRule="auto"/>
              <w:ind w:left="147"/>
              <w:rPr>
                <w:rFonts w:ascii="宋体" w:hAnsi="宋体" w:eastAsia="宋体" w:cs="宋体"/>
                <w:sz w:val="21"/>
                <w:szCs w:val="21"/>
              </w:rPr>
            </w:pPr>
            <w:r>
              <w:rPr>
                <w:rFonts w:ascii="宋体" w:hAnsi="宋体" w:eastAsia="宋体" w:cs="宋体"/>
                <w:spacing w:val="-3"/>
                <w:sz w:val="21"/>
                <w:szCs w:val="21"/>
              </w:rPr>
              <w:t>生活</w:t>
            </w:r>
          </w:p>
          <w:p w14:paraId="4D626D81">
            <w:pPr>
              <w:spacing w:before="60" w:line="220" w:lineRule="auto"/>
              <w:ind w:left="147"/>
              <w:rPr>
                <w:rFonts w:ascii="宋体" w:hAnsi="宋体" w:eastAsia="宋体" w:cs="宋体"/>
                <w:sz w:val="21"/>
                <w:szCs w:val="21"/>
              </w:rPr>
            </w:pPr>
            <w:r>
              <w:rPr>
                <w:rFonts w:ascii="宋体" w:hAnsi="宋体" w:eastAsia="宋体" w:cs="宋体"/>
                <w:spacing w:val="-3"/>
                <w:sz w:val="21"/>
                <w:szCs w:val="21"/>
              </w:rPr>
              <w:t>污水</w:t>
            </w:r>
          </w:p>
        </w:tc>
        <w:tc>
          <w:tcPr>
            <w:tcW w:w="712" w:type="dxa"/>
            <w:vAlign w:val="top"/>
          </w:tcPr>
          <w:p w14:paraId="0B61257C">
            <w:pPr>
              <w:spacing w:before="69" w:line="220" w:lineRule="auto"/>
              <w:ind w:left="43"/>
              <w:rPr>
                <w:rFonts w:ascii="宋体" w:hAnsi="宋体" w:eastAsia="宋体" w:cs="宋体"/>
                <w:sz w:val="21"/>
                <w:szCs w:val="21"/>
              </w:rPr>
            </w:pPr>
            <w:r>
              <w:rPr>
                <w:rFonts w:ascii="宋体" w:hAnsi="宋体" w:eastAsia="宋体" w:cs="宋体"/>
                <w:spacing w:val="-2"/>
                <w:sz w:val="21"/>
                <w:szCs w:val="21"/>
              </w:rPr>
              <w:t>废水量</w:t>
            </w:r>
          </w:p>
        </w:tc>
        <w:tc>
          <w:tcPr>
            <w:tcW w:w="998" w:type="dxa"/>
            <w:vAlign w:val="top"/>
          </w:tcPr>
          <w:p w14:paraId="5BC4C3DD">
            <w:pPr>
              <w:pStyle w:val="6"/>
              <w:spacing w:before="102" w:line="192" w:lineRule="auto"/>
              <w:ind w:left="465"/>
            </w:pPr>
            <w:r>
              <w:t>/</w:t>
            </w:r>
          </w:p>
        </w:tc>
        <w:tc>
          <w:tcPr>
            <w:tcW w:w="963" w:type="dxa"/>
            <w:vAlign w:val="top"/>
          </w:tcPr>
          <w:p w14:paraId="042FB09C">
            <w:pPr>
              <w:pStyle w:val="6"/>
              <w:spacing w:before="106" w:line="188" w:lineRule="auto"/>
              <w:ind w:left="272"/>
            </w:pPr>
            <w:r>
              <w:rPr>
                <w:spacing w:val="-1"/>
              </w:rPr>
              <w:t>2420</w:t>
            </w:r>
          </w:p>
        </w:tc>
        <w:tc>
          <w:tcPr>
            <w:tcW w:w="960" w:type="dxa"/>
            <w:vAlign w:val="top"/>
          </w:tcPr>
          <w:p w14:paraId="4A724A13">
            <w:pPr>
              <w:pStyle w:val="6"/>
              <w:spacing w:before="106" w:line="188" w:lineRule="auto"/>
              <w:ind w:left="433"/>
            </w:pPr>
            <w:r>
              <w:t>0</w:t>
            </w:r>
          </w:p>
        </w:tc>
        <w:tc>
          <w:tcPr>
            <w:tcW w:w="963" w:type="dxa"/>
            <w:vAlign w:val="top"/>
          </w:tcPr>
          <w:p w14:paraId="0640BACA">
            <w:pPr>
              <w:pStyle w:val="6"/>
              <w:spacing w:before="106" w:line="188" w:lineRule="auto"/>
              <w:ind w:left="434"/>
            </w:pPr>
            <w:r>
              <w:t>0</w:t>
            </w:r>
          </w:p>
        </w:tc>
        <w:tc>
          <w:tcPr>
            <w:tcW w:w="1594" w:type="dxa"/>
            <w:vMerge w:val="restart"/>
            <w:tcBorders>
              <w:bottom w:val="nil"/>
            </w:tcBorders>
            <w:vAlign w:val="top"/>
          </w:tcPr>
          <w:p w14:paraId="6C89BD2C">
            <w:pPr>
              <w:spacing w:before="89" w:line="264" w:lineRule="auto"/>
              <w:ind w:left="12" w:firstLine="1"/>
              <w:rPr>
                <w:rFonts w:ascii="宋体" w:hAnsi="宋体" w:eastAsia="宋体" w:cs="宋体"/>
                <w:sz w:val="21"/>
                <w:szCs w:val="21"/>
              </w:rPr>
            </w:pPr>
            <w:r>
              <w:rPr>
                <w:rFonts w:ascii="宋体" w:hAnsi="宋体" w:eastAsia="宋体" w:cs="宋体"/>
                <w:spacing w:val="15"/>
                <w:sz w:val="21"/>
                <w:szCs w:val="21"/>
              </w:rPr>
              <w:t>生活污水由化粪</w:t>
            </w:r>
            <w:r>
              <w:rPr>
                <w:rFonts w:ascii="宋体" w:hAnsi="宋体" w:eastAsia="宋体" w:cs="宋体"/>
                <w:spacing w:val="-14"/>
                <w:sz w:val="21"/>
                <w:szCs w:val="21"/>
              </w:rPr>
              <w:t>池预</w:t>
            </w:r>
            <w:r>
              <w:rPr>
                <w:rFonts w:ascii="宋体" w:hAnsi="宋体" w:eastAsia="宋体" w:cs="宋体"/>
                <w:spacing w:val="-13"/>
                <w:sz w:val="21"/>
                <w:szCs w:val="21"/>
              </w:rPr>
              <w:t>处理，再经</w:t>
            </w:r>
            <w:r>
              <w:rPr>
                <w:rFonts w:ascii="宋体" w:hAnsi="宋体" w:eastAsia="宋体" w:cs="宋体"/>
                <w:spacing w:val="-11"/>
                <w:sz w:val="21"/>
                <w:szCs w:val="21"/>
              </w:rPr>
              <w:t>污</w:t>
            </w:r>
          </w:p>
        </w:tc>
        <w:tc>
          <w:tcPr>
            <w:tcW w:w="925" w:type="dxa"/>
            <w:vMerge w:val="restart"/>
            <w:tcBorders>
              <w:bottom w:val="nil"/>
            </w:tcBorders>
            <w:vAlign w:val="top"/>
          </w:tcPr>
          <w:p w14:paraId="0E19D417">
            <w:pPr>
              <w:pStyle w:val="6"/>
              <w:spacing w:before="277" w:line="192" w:lineRule="auto"/>
              <w:ind w:left="431"/>
            </w:pPr>
            <w:r>
              <w:t>/</w:t>
            </w:r>
          </w:p>
        </w:tc>
      </w:tr>
      <w:tr w14:paraId="4491A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70" w:type="dxa"/>
            <w:vMerge w:val="continue"/>
            <w:tcBorders>
              <w:top w:val="nil"/>
            </w:tcBorders>
            <w:vAlign w:val="top"/>
          </w:tcPr>
          <w:p w14:paraId="6221E472">
            <w:pPr>
              <w:rPr>
                <w:rFonts w:ascii="Arial"/>
                <w:sz w:val="21"/>
              </w:rPr>
            </w:pPr>
          </w:p>
        </w:tc>
        <w:tc>
          <w:tcPr>
            <w:tcW w:w="705" w:type="dxa"/>
            <w:vMerge w:val="continue"/>
            <w:tcBorders>
              <w:top w:val="nil"/>
            </w:tcBorders>
            <w:vAlign w:val="top"/>
          </w:tcPr>
          <w:p w14:paraId="53BD91C1">
            <w:pPr>
              <w:rPr>
                <w:rFonts w:ascii="Arial"/>
                <w:sz w:val="21"/>
              </w:rPr>
            </w:pPr>
          </w:p>
        </w:tc>
        <w:tc>
          <w:tcPr>
            <w:tcW w:w="712" w:type="dxa"/>
            <w:vAlign w:val="top"/>
          </w:tcPr>
          <w:p w14:paraId="0618F907">
            <w:pPr>
              <w:pStyle w:val="6"/>
              <w:spacing w:before="106" w:line="188" w:lineRule="auto"/>
              <w:ind w:left="137"/>
            </w:pPr>
            <w:r>
              <w:rPr>
                <w:spacing w:val="-2"/>
              </w:rPr>
              <w:t>COD</w:t>
            </w:r>
          </w:p>
        </w:tc>
        <w:tc>
          <w:tcPr>
            <w:tcW w:w="998" w:type="dxa"/>
            <w:vAlign w:val="top"/>
          </w:tcPr>
          <w:p w14:paraId="1905327C">
            <w:pPr>
              <w:pStyle w:val="6"/>
              <w:spacing w:before="102" w:line="192" w:lineRule="auto"/>
              <w:ind w:left="116"/>
            </w:pPr>
            <w:r>
              <w:rPr>
                <w:spacing w:val="-2"/>
              </w:rPr>
              <w:t>350mg/L</w:t>
            </w:r>
          </w:p>
        </w:tc>
        <w:tc>
          <w:tcPr>
            <w:tcW w:w="963" w:type="dxa"/>
            <w:vAlign w:val="top"/>
          </w:tcPr>
          <w:p w14:paraId="1DA2DC7A">
            <w:pPr>
              <w:pStyle w:val="6"/>
              <w:spacing w:before="106" w:line="188" w:lineRule="auto"/>
              <w:ind w:left="301"/>
            </w:pPr>
            <w:r>
              <w:rPr>
                <w:spacing w:val="-2"/>
              </w:rPr>
              <w:t>0.85</w:t>
            </w:r>
          </w:p>
        </w:tc>
        <w:tc>
          <w:tcPr>
            <w:tcW w:w="960" w:type="dxa"/>
            <w:vAlign w:val="top"/>
          </w:tcPr>
          <w:p w14:paraId="0394B91E">
            <w:pPr>
              <w:pStyle w:val="6"/>
              <w:spacing w:before="106" w:line="188" w:lineRule="auto"/>
              <w:ind w:left="432"/>
            </w:pPr>
            <w:r>
              <w:t>0</w:t>
            </w:r>
          </w:p>
        </w:tc>
        <w:tc>
          <w:tcPr>
            <w:tcW w:w="963" w:type="dxa"/>
            <w:vAlign w:val="top"/>
          </w:tcPr>
          <w:p w14:paraId="5BF96822">
            <w:pPr>
              <w:pStyle w:val="6"/>
              <w:spacing w:before="106" w:line="188" w:lineRule="auto"/>
              <w:ind w:left="433"/>
            </w:pPr>
            <w:r>
              <w:t>0</w:t>
            </w:r>
          </w:p>
        </w:tc>
        <w:tc>
          <w:tcPr>
            <w:tcW w:w="1594" w:type="dxa"/>
            <w:vMerge w:val="continue"/>
            <w:tcBorders>
              <w:top w:val="nil"/>
            </w:tcBorders>
            <w:vAlign w:val="top"/>
          </w:tcPr>
          <w:p w14:paraId="104DD712">
            <w:pPr>
              <w:rPr>
                <w:rFonts w:ascii="Arial"/>
                <w:sz w:val="21"/>
              </w:rPr>
            </w:pPr>
          </w:p>
        </w:tc>
        <w:tc>
          <w:tcPr>
            <w:tcW w:w="925" w:type="dxa"/>
            <w:vMerge w:val="continue"/>
            <w:tcBorders>
              <w:top w:val="nil"/>
            </w:tcBorders>
            <w:vAlign w:val="top"/>
          </w:tcPr>
          <w:p w14:paraId="4E169388">
            <w:pPr>
              <w:rPr>
                <w:rFonts w:ascii="Arial"/>
                <w:sz w:val="21"/>
              </w:rPr>
            </w:pPr>
          </w:p>
        </w:tc>
      </w:tr>
    </w:tbl>
    <w:p w14:paraId="54F98B54">
      <w:pPr>
        <w:pStyle w:val="2"/>
      </w:pPr>
    </w:p>
    <w:p w14:paraId="2CEE1C4E">
      <w:pPr>
        <w:sectPr>
          <w:headerReference r:id="rId236" w:type="default"/>
          <w:footerReference r:id="rId237" w:type="default"/>
          <w:pgSz w:w="11905" w:h="16840"/>
          <w:pgMar w:top="1168" w:right="1718" w:bottom="1409" w:left="1770" w:header="828" w:footer="1244" w:gutter="0"/>
          <w:cols w:space="720" w:num="1"/>
        </w:sectPr>
      </w:pPr>
    </w:p>
    <w:p w14:paraId="2D0B51AF">
      <w:pPr>
        <w:spacing w:before="30"/>
      </w:pPr>
    </w:p>
    <w:tbl>
      <w:tblPr>
        <w:tblStyle w:val="5"/>
        <w:tblW w:w="839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05"/>
        <w:gridCol w:w="712"/>
        <w:gridCol w:w="998"/>
        <w:gridCol w:w="963"/>
        <w:gridCol w:w="960"/>
        <w:gridCol w:w="963"/>
        <w:gridCol w:w="1594"/>
        <w:gridCol w:w="925"/>
      </w:tblGrid>
      <w:tr w14:paraId="5EBCE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70" w:type="dxa"/>
            <w:vMerge w:val="restart"/>
            <w:tcBorders>
              <w:bottom w:val="nil"/>
            </w:tcBorders>
            <w:vAlign w:val="top"/>
          </w:tcPr>
          <w:p w14:paraId="383E154A">
            <w:pPr>
              <w:spacing w:line="315" w:lineRule="auto"/>
              <w:rPr>
                <w:rFonts w:ascii="Arial"/>
                <w:sz w:val="21"/>
              </w:rPr>
            </w:pPr>
          </w:p>
          <w:p w14:paraId="1C6A1387">
            <w:pPr>
              <w:spacing w:before="68" w:line="220" w:lineRule="auto"/>
              <w:ind w:left="79"/>
              <w:rPr>
                <w:rFonts w:ascii="宋体" w:hAnsi="宋体" w:eastAsia="宋体" w:cs="宋体"/>
                <w:sz w:val="21"/>
                <w:szCs w:val="21"/>
              </w:rPr>
            </w:pPr>
            <w:bookmarkStart w:id="29" w:name="bookmark156"/>
            <w:bookmarkEnd w:id="29"/>
            <w:r>
              <w:rPr>
                <w:rFonts w:ascii="宋体" w:hAnsi="宋体" w:eastAsia="宋体" w:cs="宋体"/>
                <w:spacing w:val="-3"/>
                <w:sz w:val="21"/>
                <w:szCs w:val="21"/>
              </w:rPr>
              <w:t>类别</w:t>
            </w:r>
          </w:p>
        </w:tc>
        <w:tc>
          <w:tcPr>
            <w:tcW w:w="705" w:type="dxa"/>
            <w:vMerge w:val="restart"/>
            <w:tcBorders>
              <w:bottom w:val="nil"/>
            </w:tcBorders>
            <w:vAlign w:val="top"/>
          </w:tcPr>
          <w:p w14:paraId="1E957EA3">
            <w:pPr>
              <w:spacing w:line="315" w:lineRule="auto"/>
              <w:rPr>
                <w:rFonts w:ascii="Arial"/>
                <w:sz w:val="21"/>
              </w:rPr>
            </w:pPr>
          </w:p>
          <w:p w14:paraId="5EC3BFD3">
            <w:pPr>
              <w:spacing w:before="69" w:line="220" w:lineRule="auto"/>
              <w:ind w:left="42"/>
              <w:rPr>
                <w:rFonts w:ascii="宋体" w:hAnsi="宋体" w:eastAsia="宋体" w:cs="宋体"/>
                <w:sz w:val="21"/>
                <w:szCs w:val="21"/>
              </w:rPr>
            </w:pPr>
            <w:r>
              <w:rPr>
                <w:rFonts w:ascii="宋体" w:hAnsi="宋体" w:eastAsia="宋体" w:cs="宋体"/>
                <w:spacing w:val="-3"/>
                <w:sz w:val="21"/>
                <w:szCs w:val="21"/>
              </w:rPr>
              <w:t>污染源</w:t>
            </w:r>
          </w:p>
        </w:tc>
        <w:tc>
          <w:tcPr>
            <w:tcW w:w="712" w:type="dxa"/>
            <w:vMerge w:val="restart"/>
            <w:tcBorders>
              <w:bottom w:val="nil"/>
            </w:tcBorders>
            <w:vAlign w:val="top"/>
          </w:tcPr>
          <w:p w14:paraId="1478F254">
            <w:pPr>
              <w:spacing w:line="315" w:lineRule="auto"/>
              <w:rPr>
                <w:rFonts w:ascii="Arial"/>
                <w:sz w:val="21"/>
              </w:rPr>
            </w:pPr>
          </w:p>
          <w:p w14:paraId="79A8AA8A">
            <w:pPr>
              <w:spacing w:before="69" w:line="220" w:lineRule="auto"/>
              <w:ind w:left="46"/>
              <w:rPr>
                <w:rFonts w:ascii="宋体" w:hAnsi="宋体" w:eastAsia="宋体" w:cs="宋体"/>
                <w:sz w:val="21"/>
                <w:szCs w:val="21"/>
              </w:rPr>
            </w:pPr>
            <w:r>
              <w:rPr>
                <w:rFonts w:ascii="宋体" w:hAnsi="宋体" w:eastAsia="宋体" w:cs="宋体"/>
                <w:spacing w:val="-3"/>
                <w:sz w:val="21"/>
                <w:szCs w:val="21"/>
              </w:rPr>
              <w:t>污染物</w:t>
            </w:r>
          </w:p>
        </w:tc>
        <w:tc>
          <w:tcPr>
            <w:tcW w:w="1961" w:type="dxa"/>
            <w:gridSpan w:val="2"/>
            <w:vAlign w:val="top"/>
          </w:tcPr>
          <w:p w14:paraId="74ABA2AD">
            <w:pPr>
              <w:spacing w:before="68" w:line="220" w:lineRule="auto"/>
              <w:ind w:left="564"/>
              <w:rPr>
                <w:rFonts w:ascii="宋体" w:hAnsi="宋体" w:eastAsia="宋体" w:cs="宋体"/>
                <w:sz w:val="21"/>
                <w:szCs w:val="21"/>
              </w:rPr>
            </w:pPr>
            <w:r>
              <w:rPr>
                <w:rFonts w:ascii="宋体" w:hAnsi="宋体" w:eastAsia="宋体" w:cs="宋体"/>
                <w:spacing w:val="-2"/>
                <w:sz w:val="21"/>
                <w:szCs w:val="21"/>
              </w:rPr>
              <w:t>产生情况</w:t>
            </w:r>
          </w:p>
        </w:tc>
        <w:tc>
          <w:tcPr>
            <w:tcW w:w="1923" w:type="dxa"/>
            <w:gridSpan w:val="2"/>
            <w:vAlign w:val="top"/>
          </w:tcPr>
          <w:p w14:paraId="760253BE">
            <w:pPr>
              <w:spacing w:before="69" w:line="220" w:lineRule="auto"/>
              <w:ind w:left="546"/>
              <w:rPr>
                <w:rFonts w:ascii="宋体" w:hAnsi="宋体" w:eastAsia="宋体" w:cs="宋体"/>
                <w:sz w:val="21"/>
                <w:szCs w:val="21"/>
              </w:rPr>
            </w:pPr>
            <w:r>
              <w:rPr>
                <w:rFonts w:ascii="宋体" w:hAnsi="宋体" w:eastAsia="宋体" w:cs="宋体"/>
                <w:spacing w:val="-2"/>
                <w:sz w:val="21"/>
                <w:szCs w:val="21"/>
              </w:rPr>
              <w:t>排放情况</w:t>
            </w:r>
          </w:p>
        </w:tc>
        <w:tc>
          <w:tcPr>
            <w:tcW w:w="1594" w:type="dxa"/>
            <w:vMerge w:val="restart"/>
            <w:tcBorders>
              <w:bottom w:val="nil"/>
            </w:tcBorders>
            <w:vAlign w:val="top"/>
          </w:tcPr>
          <w:p w14:paraId="6D10C483">
            <w:pPr>
              <w:spacing w:line="315" w:lineRule="auto"/>
              <w:rPr>
                <w:rFonts w:ascii="Arial"/>
                <w:sz w:val="21"/>
              </w:rPr>
            </w:pPr>
          </w:p>
          <w:p w14:paraId="4A51DC7F">
            <w:pPr>
              <w:spacing w:before="69" w:line="220" w:lineRule="auto"/>
              <w:ind w:left="389"/>
              <w:rPr>
                <w:rFonts w:ascii="宋体" w:hAnsi="宋体" w:eastAsia="宋体" w:cs="宋体"/>
                <w:sz w:val="21"/>
                <w:szCs w:val="21"/>
              </w:rPr>
            </w:pPr>
            <w:r>
              <w:rPr>
                <w:rFonts w:ascii="宋体" w:hAnsi="宋体" w:eastAsia="宋体" w:cs="宋体"/>
                <w:spacing w:val="-3"/>
                <w:sz w:val="21"/>
                <w:szCs w:val="21"/>
              </w:rPr>
              <w:t>治理措施</w:t>
            </w:r>
          </w:p>
          <w:p w14:paraId="0E8188D5">
            <w:pPr>
              <w:spacing w:line="333" w:lineRule="auto"/>
              <w:rPr>
                <w:rFonts w:ascii="Arial"/>
                <w:sz w:val="21"/>
              </w:rPr>
            </w:pPr>
          </w:p>
          <w:p w14:paraId="21A6B47C">
            <w:pPr>
              <w:pStyle w:val="6"/>
              <w:spacing w:before="68" w:line="267" w:lineRule="auto"/>
              <w:ind w:left="12" w:firstLine="2"/>
              <w:jc w:val="both"/>
              <w:rPr>
                <w:rFonts w:ascii="宋体" w:hAnsi="宋体" w:eastAsia="宋体" w:cs="宋体"/>
              </w:rPr>
            </w:pPr>
            <w:r>
              <w:rPr>
                <w:rFonts w:ascii="宋体" w:hAnsi="宋体" w:eastAsia="宋体" w:cs="宋体"/>
                <w:spacing w:val="14"/>
              </w:rPr>
              <w:t>水处理站处理达</w:t>
            </w:r>
            <w:r>
              <w:rPr>
                <w:rFonts w:ascii="宋体" w:hAnsi="宋体" w:eastAsia="宋体" w:cs="宋体"/>
                <w:spacing w:val="11"/>
              </w:rPr>
              <w:t>《农田灌溉水质</w:t>
            </w:r>
            <w:r>
              <w:rPr>
                <w:rFonts w:ascii="宋体" w:hAnsi="宋体" w:eastAsia="宋体" w:cs="宋体"/>
                <w:spacing w:val="-9"/>
              </w:rPr>
              <w:t>标</w:t>
            </w:r>
            <w:r>
              <w:rPr>
                <w:rFonts w:ascii="宋体" w:hAnsi="宋体" w:eastAsia="宋体" w:cs="宋体"/>
                <w:spacing w:val="18"/>
              </w:rPr>
              <w:t xml:space="preserve">    </w:t>
            </w:r>
            <w:r>
              <w:rPr>
                <w:rFonts w:ascii="宋体" w:hAnsi="宋体" w:eastAsia="宋体" w:cs="宋体"/>
                <w:spacing w:val="-9"/>
              </w:rPr>
              <w:t>准     》</w:t>
            </w:r>
            <w:r>
              <w:rPr>
                <w:rFonts w:ascii="宋体" w:hAnsi="宋体" w:eastAsia="宋体" w:cs="宋体"/>
              </w:rPr>
              <w:t xml:space="preserve"> </w:t>
            </w:r>
            <w:r>
              <w:rPr>
                <w:spacing w:val="-2"/>
              </w:rPr>
              <w:t>(GB5084-2021)</w:t>
            </w:r>
            <w:r>
              <w:rPr>
                <w:spacing w:val="-1"/>
              </w:rPr>
              <w:t xml:space="preserve"> </w:t>
            </w:r>
            <w:r>
              <w:rPr>
                <w:rFonts w:ascii="宋体" w:hAnsi="宋体" w:eastAsia="宋体" w:cs="宋体"/>
                <w:spacing w:val="-2"/>
              </w:rPr>
              <w:t>表</w:t>
            </w:r>
            <w:r>
              <w:rPr>
                <w:spacing w:val="8"/>
              </w:rPr>
              <w:t xml:space="preserve">1 </w:t>
            </w:r>
            <w:r>
              <w:rPr>
                <w:rFonts w:ascii="宋体" w:hAnsi="宋体" w:eastAsia="宋体" w:cs="宋体"/>
                <w:spacing w:val="8"/>
              </w:rPr>
              <w:t>旱地</w:t>
            </w:r>
            <w:r>
              <w:rPr>
                <w:rFonts w:ascii="宋体" w:hAnsi="宋体" w:eastAsia="宋体" w:cs="宋体"/>
                <w:spacing w:val="-57"/>
              </w:rPr>
              <w:t xml:space="preserve"> </w:t>
            </w:r>
            <w:r>
              <w:rPr>
                <w:rFonts w:ascii="宋体" w:hAnsi="宋体" w:eastAsia="宋体" w:cs="宋体"/>
                <w:spacing w:val="8"/>
              </w:rPr>
              <w:t>作物限</w:t>
            </w:r>
            <w:r>
              <w:rPr>
                <w:rFonts w:ascii="宋体" w:hAnsi="宋体" w:eastAsia="宋体" w:cs="宋体"/>
                <w:spacing w:val="-60"/>
              </w:rPr>
              <w:t xml:space="preserve"> </w:t>
            </w:r>
            <w:r>
              <w:rPr>
                <w:rFonts w:ascii="宋体" w:hAnsi="宋体" w:eastAsia="宋体" w:cs="宋体"/>
                <w:spacing w:val="8"/>
              </w:rPr>
              <w:t>值</w:t>
            </w:r>
            <w:r>
              <w:rPr>
                <w:rFonts w:ascii="宋体" w:hAnsi="宋体" w:eastAsia="宋体" w:cs="宋体"/>
                <w:spacing w:val="-13"/>
              </w:rPr>
              <w:t>后，用于消纳地农</w:t>
            </w:r>
            <w:r>
              <w:rPr>
                <w:rFonts w:ascii="宋体" w:hAnsi="宋体" w:eastAsia="宋体" w:cs="宋体"/>
                <w:spacing w:val="-6"/>
              </w:rPr>
              <w:t>灌，不外排。</w:t>
            </w:r>
          </w:p>
        </w:tc>
        <w:tc>
          <w:tcPr>
            <w:tcW w:w="925" w:type="dxa"/>
            <w:vMerge w:val="restart"/>
            <w:tcBorders>
              <w:bottom w:val="nil"/>
            </w:tcBorders>
            <w:vAlign w:val="top"/>
          </w:tcPr>
          <w:p w14:paraId="20E202E7">
            <w:pPr>
              <w:spacing w:line="315" w:lineRule="auto"/>
              <w:rPr>
                <w:rFonts w:ascii="Arial"/>
                <w:sz w:val="21"/>
              </w:rPr>
            </w:pPr>
          </w:p>
          <w:p w14:paraId="04E71260">
            <w:pPr>
              <w:spacing w:before="68" w:line="221" w:lineRule="auto"/>
              <w:ind w:left="47"/>
              <w:rPr>
                <w:rFonts w:ascii="宋体" w:hAnsi="宋体" w:eastAsia="宋体" w:cs="宋体"/>
                <w:sz w:val="21"/>
                <w:szCs w:val="21"/>
              </w:rPr>
            </w:pPr>
            <w:r>
              <w:rPr>
                <w:rFonts w:ascii="宋体" w:hAnsi="宋体" w:eastAsia="宋体" w:cs="宋体"/>
                <w:spacing w:val="-2"/>
                <w:sz w:val="21"/>
                <w:szCs w:val="21"/>
              </w:rPr>
              <w:t>排放方式</w:t>
            </w:r>
          </w:p>
        </w:tc>
      </w:tr>
      <w:tr w14:paraId="01168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70" w:type="dxa"/>
            <w:vMerge w:val="continue"/>
            <w:tcBorders>
              <w:top w:val="nil"/>
              <w:bottom w:val="nil"/>
            </w:tcBorders>
            <w:vAlign w:val="top"/>
          </w:tcPr>
          <w:p w14:paraId="317BF38A">
            <w:pPr>
              <w:rPr>
                <w:rFonts w:ascii="Arial"/>
                <w:sz w:val="21"/>
              </w:rPr>
            </w:pPr>
          </w:p>
        </w:tc>
        <w:tc>
          <w:tcPr>
            <w:tcW w:w="705" w:type="dxa"/>
            <w:vMerge w:val="continue"/>
            <w:tcBorders>
              <w:top w:val="nil"/>
              <w:bottom w:val="nil"/>
            </w:tcBorders>
            <w:vAlign w:val="top"/>
          </w:tcPr>
          <w:p w14:paraId="40D32649">
            <w:pPr>
              <w:rPr>
                <w:rFonts w:ascii="Arial"/>
                <w:sz w:val="21"/>
              </w:rPr>
            </w:pPr>
          </w:p>
        </w:tc>
        <w:tc>
          <w:tcPr>
            <w:tcW w:w="712" w:type="dxa"/>
            <w:vMerge w:val="continue"/>
            <w:tcBorders>
              <w:top w:val="nil"/>
            </w:tcBorders>
            <w:vAlign w:val="top"/>
          </w:tcPr>
          <w:p w14:paraId="02130E0E">
            <w:pPr>
              <w:rPr>
                <w:rFonts w:ascii="Arial"/>
                <w:sz w:val="21"/>
              </w:rPr>
            </w:pPr>
          </w:p>
        </w:tc>
        <w:tc>
          <w:tcPr>
            <w:tcW w:w="998" w:type="dxa"/>
            <w:vAlign w:val="top"/>
          </w:tcPr>
          <w:p w14:paraId="7815D4D0">
            <w:pPr>
              <w:spacing w:before="49" w:line="220" w:lineRule="auto"/>
              <w:ind w:left="82"/>
              <w:rPr>
                <w:rFonts w:ascii="宋体" w:hAnsi="宋体" w:eastAsia="宋体" w:cs="宋体"/>
                <w:sz w:val="21"/>
                <w:szCs w:val="21"/>
              </w:rPr>
            </w:pPr>
            <w:r>
              <w:rPr>
                <w:rFonts w:ascii="宋体" w:hAnsi="宋体" w:eastAsia="宋体" w:cs="宋体"/>
                <w:spacing w:val="-2"/>
                <w:sz w:val="21"/>
                <w:szCs w:val="21"/>
              </w:rPr>
              <w:t>产生速率</w:t>
            </w:r>
          </w:p>
          <w:p w14:paraId="166A82A3">
            <w:pPr>
              <w:pStyle w:val="6"/>
              <w:spacing w:before="94" w:line="192" w:lineRule="auto"/>
              <w:ind w:left="310"/>
            </w:pPr>
            <w:r>
              <w:rPr>
                <w:spacing w:val="-1"/>
              </w:rPr>
              <w:t>kg/h</w:t>
            </w:r>
          </w:p>
        </w:tc>
        <w:tc>
          <w:tcPr>
            <w:tcW w:w="963" w:type="dxa"/>
            <w:vAlign w:val="top"/>
          </w:tcPr>
          <w:p w14:paraId="71939059">
            <w:pPr>
              <w:spacing w:before="49" w:line="220" w:lineRule="auto"/>
              <w:ind w:left="171"/>
              <w:rPr>
                <w:rFonts w:ascii="宋体" w:hAnsi="宋体" w:eastAsia="宋体" w:cs="宋体"/>
                <w:sz w:val="21"/>
                <w:szCs w:val="21"/>
              </w:rPr>
            </w:pPr>
            <w:r>
              <w:rPr>
                <w:rFonts w:ascii="宋体" w:hAnsi="宋体" w:eastAsia="宋体" w:cs="宋体"/>
                <w:spacing w:val="-2"/>
                <w:sz w:val="21"/>
                <w:szCs w:val="21"/>
              </w:rPr>
              <w:t>产生量</w:t>
            </w:r>
          </w:p>
          <w:p w14:paraId="7A3307E8">
            <w:pPr>
              <w:pStyle w:val="6"/>
              <w:spacing w:before="94" w:line="192" w:lineRule="auto"/>
              <w:ind w:left="375"/>
            </w:pPr>
            <w:r>
              <w:rPr>
                <w:spacing w:val="-1"/>
              </w:rPr>
              <w:t>t/a</w:t>
            </w:r>
          </w:p>
        </w:tc>
        <w:tc>
          <w:tcPr>
            <w:tcW w:w="960" w:type="dxa"/>
            <w:vAlign w:val="top"/>
          </w:tcPr>
          <w:p w14:paraId="78C73FC3">
            <w:pPr>
              <w:spacing w:before="49" w:line="220" w:lineRule="auto"/>
              <w:ind w:left="65"/>
              <w:rPr>
                <w:rFonts w:ascii="宋体" w:hAnsi="宋体" w:eastAsia="宋体" w:cs="宋体"/>
                <w:sz w:val="21"/>
                <w:szCs w:val="21"/>
              </w:rPr>
            </w:pPr>
            <w:r>
              <w:rPr>
                <w:rFonts w:ascii="宋体" w:hAnsi="宋体" w:eastAsia="宋体" w:cs="宋体"/>
                <w:spacing w:val="-2"/>
                <w:sz w:val="21"/>
                <w:szCs w:val="21"/>
              </w:rPr>
              <w:t>排放速率</w:t>
            </w:r>
          </w:p>
          <w:p w14:paraId="3A46C8DC">
            <w:pPr>
              <w:pStyle w:val="6"/>
              <w:spacing w:before="94" w:line="192" w:lineRule="auto"/>
              <w:ind w:left="293"/>
            </w:pPr>
            <w:r>
              <w:rPr>
                <w:spacing w:val="-1"/>
              </w:rPr>
              <w:t>kg/h</w:t>
            </w:r>
          </w:p>
        </w:tc>
        <w:tc>
          <w:tcPr>
            <w:tcW w:w="963" w:type="dxa"/>
            <w:vAlign w:val="top"/>
          </w:tcPr>
          <w:p w14:paraId="752D42EF">
            <w:pPr>
              <w:spacing w:before="49" w:line="221" w:lineRule="auto"/>
              <w:ind w:left="172"/>
              <w:rPr>
                <w:rFonts w:ascii="宋体" w:hAnsi="宋体" w:eastAsia="宋体" w:cs="宋体"/>
                <w:sz w:val="21"/>
                <w:szCs w:val="21"/>
              </w:rPr>
            </w:pPr>
            <w:r>
              <w:rPr>
                <w:rFonts w:ascii="宋体" w:hAnsi="宋体" w:eastAsia="宋体" w:cs="宋体"/>
                <w:spacing w:val="-2"/>
                <w:sz w:val="21"/>
                <w:szCs w:val="21"/>
              </w:rPr>
              <w:t>排放量</w:t>
            </w:r>
          </w:p>
          <w:p w14:paraId="75D9CBB1">
            <w:pPr>
              <w:pStyle w:val="6"/>
              <w:spacing w:before="93" w:line="192" w:lineRule="auto"/>
              <w:ind w:left="376"/>
            </w:pPr>
            <w:r>
              <w:rPr>
                <w:spacing w:val="-1"/>
              </w:rPr>
              <w:t>t/a</w:t>
            </w:r>
          </w:p>
        </w:tc>
        <w:tc>
          <w:tcPr>
            <w:tcW w:w="1594" w:type="dxa"/>
            <w:vMerge w:val="continue"/>
            <w:tcBorders>
              <w:top w:val="nil"/>
              <w:bottom w:val="nil"/>
            </w:tcBorders>
            <w:vAlign w:val="top"/>
          </w:tcPr>
          <w:p w14:paraId="2FA55075">
            <w:pPr>
              <w:rPr>
                <w:rFonts w:ascii="Arial"/>
                <w:sz w:val="21"/>
              </w:rPr>
            </w:pPr>
          </w:p>
        </w:tc>
        <w:tc>
          <w:tcPr>
            <w:tcW w:w="925" w:type="dxa"/>
            <w:vMerge w:val="continue"/>
            <w:tcBorders>
              <w:top w:val="nil"/>
              <w:bottom w:val="nil"/>
            </w:tcBorders>
            <w:vAlign w:val="top"/>
          </w:tcPr>
          <w:p w14:paraId="46632902">
            <w:pPr>
              <w:rPr>
                <w:rFonts w:ascii="Arial"/>
                <w:sz w:val="21"/>
              </w:rPr>
            </w:pPr>
          </w:p>
        </w:tc>
      </w:tr>
      <w:tr w14:paraId="4C2CC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64AFF175">
            <w:pPr>
              <w:rPr>
                <w:rFonts w:ascii="Arial"/>
                <w:sz w:val="21"/>
              </w:rPr>
            </w:pPr>
          </w:p>
        </w:tc>
        <w:tc>
          <w:tcPr>
            <w:tcW w:w="705" w:type="dxa"/>
            <w:vMerge w:val="continue"/>
            <w:tcBorders>
              <w:top w:val="nil"/>
              <w:bottom w:val="nil"/>
            </w:tcBorders>
            <w:vAlign w:val="top"/>
          </w:tcPr>
          <w:p w14:paraId="555A2744">
            <w:pPr>
              <w:rPr>
                <w:rFonts w:ascii="Arial"/>
                <w:sz w:val="21"/>
              </w:rPr>
            </w:pPr>
          </w:p>
        </w:tc>
        <w:tc>
          <w:tcPr>
            <w:tcW w:w="712" w:type="dxa"/>
            <w:vAlign w:val="top"/>
          </w:tcPr>
          <w:p w14:paraId="05B90978">
            <w:pPr>
              <w:pStyle w:val="6"/>
              <w:spacing w:before="100" w:line="198" w:lineRule="auto"/>
              <w:ind w:left="98"/>
              <w:rPr>
                <w:sz w:val="14"/>
                <w:szCs w:val="14"/>
              </w:rPr>
            </w:pPr>
            <w:r>
              <w:rPr>
                <w:spacing w:val="-1"/>
              </w:rPr>
              <w:t>BOD</w:t>
            </w:r>
            <w:r>
              <w:rPr>
                <w:spacing w:val="-1"/>
                <w:position w:val="-2"/>
                <w:sz w:val="14"/>
                <w:szCs w:val="14"/>
              </w:rPr>
              <w:t>5</w:t>
            </w:r>
          </w:p>
        </w:tc>
        <w:tc>
          <w:tcPr>
            <w:tcW w:w="998" w:type="dxa"/>
            <w:vAlign w:val="top"/>
          </w:tcPr>
          <w:p w14:paraId="5185E952">
            <w:pPr>
              <w:pStyle w:val="6"/>
              <w:spacing w:before="96" w:line="192" w:lineRule="auto"/>
              <w:ind w:left="113"/>
            </w:pPr>
            <w:r>
              <w:rPr>
                <w:spacing w:val="-1"/>
              </w:rPr>
              <w:t>220mg/L</w:t>
            </w:r>
          </w:p>
        </w:tc>
        <w:tc>
          <w:tcPr>
            <w:tcW w:w="963" w:type="dxa"/>
            <w:vAlign w:val="top"/>
          </w:tcPr>
          <w:p w14:paraId="78F53DFB">
            <w:pPr>
              <w:pStyle w:val="6"/>
              <w:spacing w:before="100" w:line="188" w:lineRule="auto"/>
              <w:ind w:left="301"/>
            </w:pPr>
            <w:r>
              <w:rPr>
                <w:spacing w:val="-2"/>
              </w:rPr>
              <w:t>0.53</w:t>
            </w:r>
          </w:p>
        </w:tc>
        <w:tc>
          <w:tcPr>
            <w:tcW w:w="960" w:type="dxa"/>
            <w:vAlign w:val="top"/>
          </w:tcPr>
          <w:p w14:paraId="3463F722">
            <w:pPr>
              <w:pStyle w:val="6"/>
              <w:spacing w:before="100" w:line="188" w:lineRule="auto"/>
              <w:ind w:left="433"/>
            </w:pPr>
            <w:r>
              <w:t>0</w:t>
            </w:r>
          </w:p>
        </w:tc>
        <w:tc>
          <w:tcPr>
            <w:tcW w:w="963" w:type="dxa"/>
            <w:vAlign w:val="top"/>
          </w:tcPr>
          <w:p w14:paraId="6FEE2587">
            <w:pPr>
              <w:pStyle w:val="6"/>
              <w:spacing w:before="100" w:line="188" w:lineRule="auto"/>
              <w:ind w:left="434"/>
            </w:pPr>
            <w:r>
              <w:t>0</w:t>
            </w:r>
          </w:p>
        </w:tc>
        <w:tc>
          <w:tcPr>
            <w:tcW w:w="1594" w:type="dxa"/>
            <w:vMerge w:val="continue"/>
            <w:tcBorders>
              <w:top w:val="nil"/>
              <w:bottom w:val="nil"/>
            </w:tcBorders>
            <w:vAlign w:val="top"/>
          </w:tcPr>
          <w:p w14:paraId="5CC80F95">
            <w:pPr>
              <w:rPr>
                <w:rFonts w:ascii="Arial"/>
                <w:sz w:val="21"/>
              </w:rPr>
            </w:pPr>
          </w:p>
        </w:tc>
        <w:tc>
          <w:tcPr>
            <w:tcW w:w="925" w:type="dxa"/>
            <w:vMerge w:val="continue"/>
            <w:tcBorders>
              <w:top w:val="nil"/>
              <w:bottom w:val="nil"/>
            </w:tcBorders>
            <w:vAlign w:val="top"/>
          </w:tcPr>
          <w:p w14:paraId="18A38FB0">
            <w:pPr>
              <w:rPr>
                <w:rFonts w:ascii="Arial"/>
                <w:sz w:val="21"/>
              </w:rPr>
            </w:pPr>
          </w:p>
        </w:tc>
      </w:tr>
      <w:tr w14:paraId="708EE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25569796">
            <w:pPr>
              <w:rPr>
                <w:rFonts w:ascii="Arial"/>
                <w:sz w:val="21"/>
              </w:rPr>
            </w:pPr>
          </w:p>
        </w:tc>
        <w:tc>
          <w:tcPr>
            <w:tcW w:w="705" w:type="dxa"/>
            <w:vMerge w:val="continue"/>
            <w:tcBorders>
              <w:top w:val="nil"/>
              <w:bottom w:val="nil"/>
            </w:tcBorders>
            <w:vAlign w:val="top"/>
          </w:tcPr>
          <w:p w14:paraId="0557C929">
            <w:pPr>
              <w:rPr>
                <w:rFonts w:ascii="Arial"/>
                <w:sz w:val="21"/>
              </w:rPr>
            </w:pPr>
          </w:p>
        </w:tc>
        <w:tc>
          <w:tcPr>
            <w:tcW w:w="712" w:type="dxa"/>
            <w:vAlign w:val="top"/>
          </w:tcPr>
          <w:p w14:paraId="4BD4C327">
            <w:pPr>
              <w:pStyle w:val="6"/>
              <w:spacing w:before="103" w:line="195" w:lineRule="auto"/>
              <w:ind w:left="51"/>
            </w:pPr>
            <w:r>
              <w:t>NH</w:t>
            </w:r>
            <w:r>
              <w:rPr>
                <w:position w:val="-2"/>
                <w:sz w:val="14"/>
                <w:szCs w:val="14"/>
              </w:rPr>
              <w:t>3</w:t>
            </w:r>
            <w:r>
              <w:t>-N</w:t>
            </w:r>
          </w:p>
        </w:tc>
        <w:tc>
          <w:tcPr>
            <w:tcW w:w="998" w:type="dxa"/>
            <w:vAlign w:val="top"/>
          </w:tcPr>
          <w:p w14:paraId="76FEDAA8">
            <w:pPr>
              <w:pStyle w:val="6"/>
              <w:spacing w:before="96" w:line="192" w:lineRule="auto"/>
              <w:ind w:left="165"/>
            </w:pPr>
            <w:r>
              <w:rPr>
                <w:spacing w:val="-1"/>
              </w:rPr>
              <w:t>45mg/L</w:t>
            </w:r>
          </w:p>
        </w:tc>
        <w:tc>
          <w:tcPr>
            <w:tcW w:w="963" w:type="dxa"/>
            <w:vAlign w:val="top"/>
          </w:tcPr>
          <w:p w14:paraId="7807501A">
            <w:pPr>
              <w:pStyle w:val="6"/>
              <w:spacing w:before="100" w:line="188" w:lineRule="auto"/>
              <w:ind w:left="305"/>
            </w:pPr>
            <w:r>
              <w:rPr>
                <w:spacing w:val="-3"/>
              </w:rPr>
              <w:t>0.11</w:t>
            </w:r>
          </w:p>
        </w:tc>
        <w:tc>
          <w:tcPr>
            <w:tcW w:w="960" w:type="dxa"/>
            <w:vAlign w:val="top"/>
          </w:tcPr>
          <w:p w14:paraId="02FEAE0C">
            <w:pPr>
              <w:pStyle w:val="6"/>
              <w:spacing w:before="100" w:line="188" w:lineRule="auto"/>
              <w:ind w:left="433"/>
            </w:pPr>
            <w:r>
              <w:t>0</w:t>
            </w:r>
          </w:p>
        </w:tc>
        <w:tc>
          <w:tcPr>
            <w:tcW w:w="963" w:type="dxa"/>
            <w:vAlign w:val="top"/>
          </w:tcPr>
          <w:p w14:paraId="46199D11">
            <w:pPr>
              <w:pStyle w:val="6"/>
              <w:spacing w:before="100" w:line="188" w:lineRule="auto"/>
              <w:ind w:left="434"/>
            </w:pPr>
            <w:r>
              <w:t>0</w:t>
            </w:r>
          </w:p>
        </w:tc>
        <w:tc>
          <w:tcPr>
            <w:tcW w:w="1594" w:type="dxa"/>
            <w:vMerge w:val="continue"/>
            <w:tcBorders>
              <w:top w:val="nil"/>
              <w:bottom w:val="nil"/>
            </w:tcBorders>
            <w:vAlign w:val="top"/>
          </w:tcPr>
          <w:p w14:paraId="60A42398">
            <w:pPr>
              <w:rPr>
                <w:rFonts w:ascii="Arial"/>
                <w:sz w:val="21"/>
              </w:rPr>
            </w:pPr>
          </w:p>
        </w:tc>
        <w:tc>
          <w:tcPr>
            <w:tcW w:w="925" w:type="dxa"/>
            <w:vMerge w:val="continue"/>
            <w:tcBorders>
              <w:top w:val="nil"/>
              <w:bottom w:val="nil"/>
            </w:tcBorders>
            <w:vAlign w:val="top"/>
          </w:tcPr>
          <w:p w14:paraId="22F77D20">
            <w:pPr>
              <w:rPr>
                <w:rFonts w:ascii="Arial"/>
                <w:sz w:val="21"/>
              </w:rPr>
            </w:pPr>
          </w:p>
        </w:tc>
      </w:tr>
      <w:tr w14:paraId="2DBAB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2275E649">
            <w:pPr>
              <w:rPr>
                <w:rFonts w:ascii="Arial"/>
                <w:sz w:val="21"/>
              </w:rPr>
            </w:pPr>
          </w:p>
        </w:tc>
        <w:tc>
          <w:tcPr>
            <w:tcW w:w="705" w:type="dxa"/>
            <w:vMerge w:val="continue"/>
            <w:tcBorders>
              <w:top w:val="nil"/>
              <w:bottom w:val="nil"/>
            </w:tcBorders>
            <w:vAlign w:val="top"/>
          </w:tcPr>
          <w:p w14:paraId="7D3C306A">
            <w:pPr>
              <w:rPr>
                <w:rFonts w:ascii="Arial"/>
                <w:sz w:val="21"/>
              </w:rPr>
            </w:pPr>
          </w:p>
        </w:tc>
        <w:tc>
          <w:tcPr>
            <w:tcW w:w="712" w:type="dxa"/>
            <w:vAlign w:val="top"/>
          </w:tcPr>
          <w:p w14:paraId="7FD87341">
            <w:pPr>
              <w:pStyle w:val="6"/>
              <w:spacing w:before="101" w:line="188" w:lineRule="auto"/>
              <w:ind w:left="247"/>
            </w:pPr>
            <w:r>
              <w:rPr>
                <w:spacing w:val="-4"/>
              </w:rPr>
              <w:t>SS</w:t>
            </w:r>
          </w:p>
        </w:tc>
        <w:tc>
          <w:tcPr>
            <w:tcW w:w="998" w:type="dxa"/>
            <w:vAlign w:val="top"/>
          </w:tcPr>
          <w:p w14:paraId="7C34BD25">
            <w:pPr>
              <w:pStyle w:val="6"/>
              <w:spacing w:before="97" w:line="192" w:lineRule="auto"/>
              <w:ind w:left="113"/>
            </w:pPr>
            <w:r>
              <w:rPr>
                <w:spacing w:val="-1"/>
              </w:rPr>
              <w:t>200mg/L</w:t>
            </w:r>
          </w:p>
        </w:tc>
        <w:tc>
          <w:tcPr>
            <w:tcW w:w="963" w:type="dxa"/>
            <w:vAlign w:val="top"/>
          </w:tcPr>
          <w:p w14:paraId="03D30CD2">
            <w:pPr>
              <w:pStyle w:val="6"/>
              <w:spacing w:before="101" w:line="188" w:lineRule="auto"/>
              <w:ind w:left="302"/>
            </w:pPr>
            <w:r>
              <w:rPr>
                <w:spacing w:val="-2"/>
              </w:rPr>
              <w:t>0.48</w:t>
            </w:r>
          </w:p>
        </w:tc>
        <w:tc>
          <w:tcPr>
            <w:tcW w:w="960" w:type="dxa"/>
            <w:vAlign w:val="top"/>
          </w:tcPr>
          <w:p w14:paraId="54AA1038">
            <w:pPr>
              <w:pStyle w:val="6"/>
              <w:spacing w:before="101" w:line="188" w:lineRule="auto"/>
              <w:ind w:left="432"/>
            </w:pPr>
            <w:r>
              <w:t>0</w:t>
            </w:r>
          </w:p>
        </w:tc>
        <w:tc>
          <w:tcPr>
            <w:tcW w:w="963" w:type="dxa"/>
            <w:vAlign w:val="top"/>
          </w:tcPr>
          <w:p w14:paraId="6853B074">
            <w:pPr>
              <w:pStyle w:val="6"/>
              <w:spacing w:before="101" w:line="188" w:lineRule="auto"/>
              <w:ind w:left="434"/>
            </w:pPr>
            <w:r>
              <w:t>0</w:t>
            </w:r>
          </w:p>
        </w:tc>
        <w:tc>
          <w:tcPr>
            <w:tcW w:w="1594" w:type="dxa"/>
            <w:vMerge w:val="continue"/>
            <w:tcBorders>
              <w:top w:val="nil"/>
              <w:bottom w:val="nil"/>
            </w:tcBorders>
            <w:vAlign w:val="top"/>
          </w:tcPr>
          <w:p w14:paraId="13F3BDD3">
            <w:pPr>
              <w:rPr>
                <w:rFonts w:ascii="Arial"/>
                <w:sz w:val="21"/>
              </w:rPr>
            </w:pPr>
          </w:p>
        </w:tc>
        <w:tc>
          <w:tcPr>
            <w:tcW w:w="925" w:type="dxa"/>
            <w:vMerge w:val="continue"/>
            <w:tcBorders>
              <w:top w:val="nil"/>
              <w:bottom w:val="nil"/>
            </w:tcBorders>
            <w:vAlign w:val="top"/>
          </w:tcPr>
          <w:p w14:paraId="6E8333FA">
            <w:pPr>
              <w:rPr>
                <w:rFonts w:ascii="Arial"/>
                <w:sz w:val="21"/>
              </w:rPr>
            </w:pPr>
          </w:p>
        </w:tc>
      </w:tr>
      <w:tr w14:paraId="62EE5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570" w:type="dxa"/>
            <w:vMerge w:val="continue"/>
            <w:tcBorders>
              <w:top w:val="nil"/>
            </w:tcBorders>
            <w:vAlign w:val="top"/>
          </w:tcPr>
          <w:p w14:paraId="085ACEE4">
            <w:pPr>
              <w:rPr>
                <w:rFonts w:ascii="Arial"/>
                <w:sz w:val="21"/>
              </w:rPr>
            </w:pPr>
          </w:p>
        </w:tc>
        <w:tc>
          <w:tcPr>
            <w:tcW w:w="705" w:type="dxa"/>
            <w:vMerge w:val="continue"/>
            <w:tcBorders>
              <w:top w:val="nil"/>
            </w:tcBorders>
            <w:vAlign w:val="top"/>
          </w:tcPr>
          <w:p w14:paraId="150D9D35">
            <w:pPr>
              <w:rPr>
                <w:rFonts w:ascii="Arial"/>
                <w:sz w:val="21"/>
              </w:rPr>
            </w:pPr>
          </w:p>
        </w:tc>
        <w:tc>
          <w:tcPr>
            <w:tcW w:w="712" w:type="dxa"/>
            <w:vAlign w:val="top"/>
          </w:tcPr>
          <w:p w14:paraId="3A12CE0B">
            <w:pPr>
              <w:spacing w:line="438" w:lineRule="auto"/>
              <w:rPr>
                <w:rFonts w:ascii="Arial"/>
                <w:sz w:val="21"/>
              </w:rPr>
            </w:pPr>
          </w:p>
          <w:p w14:paraId="38760FFF">
            <w:pPr>
              <w:pStyle w:val="6"/>
              <w:spacing w:before="61" w:line="185" w:lineRule="auto"/>
              <w:ind w:left="235"/>
            </w:pPr>
            <w:r>
              <w:rPr>
                <w:spacing w:val="-2"/>
              </w:rPr>
              <w:t>TP</w:t>
            </w:r>
          </w:p>
        </w:tc>
        <w:tc>
          <w:tcPr>
            <w:tcW w:w="998" w:type="dxa"/>
            <w:vAlign w:val="top"/>
          </w:tcPr>
          <w:p w14:paraId="55800284">
            <w:pPr>
              <w:spacing w:line="431" w:lineRule="auto"/>
              <w:rPr>
                <w:rFonts w:ascii="Arial"/>
                <w:sz w:val="21"/>
              </w:rPr>
            </w:pPr>
          </w:p>
          <w:p w14:paraId="40D5E184">
            <w:pPr>
              <w:pStyle w:val="6"/>
              <w:spacing w:before="61" w:line="192" w:lineRule="auto"/>
              <w:ind w:left="167"/>
            </w:pPr>
            <w:r>
              <w:rPr>
                <w:spacing w:val="-1"/>
              </w:rPr>
              <w:t>20mg/L</w:t>
            </w:r>
          </w:p>
        </w:tc>
        <w:tc>
          <w:tcPr>
            <w:tcW w:w="963" w:type="dxa"/>
            <w:vAlign w:val="top"/>
          </w:tcPr>
          <w:p w14:paraId="0E08944F">
            <w:pPr>
              <w:spacing w:line="435" w:lineRule="auto"/>
              <w:rPr>
                <w:rFonts w:ascii="Arial"/>
                <w:sz w:val="21"/>
              </w:rPr>
            </w:pPr>
          </w:p>
          <w:p w14:paraId="73342A4B">
            <w:pPr>
              <w:pStyle w:val="6"/>
              <w:spacing w:before="61" w:line="188" w:lineRule="auto"/>
              <w:ind w:left="302"/>
            </w:pPr>
            <w:r>
              <w:rPr>
                <w:spacing w:val="-2"/>
              </w:rPr>
              <w:t>0.05</w:t>
            </w:r>
          </w:p>
        </w:tc>
        <w:tc>
          <w:tcPr>
            <w:tcW w:w="960" w:type="dxa"/>
            <w:vAlign w:val="top"/>
          </w:tcPr>
          <w:p w14:paraId="160F1EB9">
            <w:pPr>
              <w:spacing w:line="435" w:lineRule="auto"/>
              <w:rPr>
                <w:rFonts w:ascii="Arial"/>
                <w:sz w:val="21"/>
              </w:rPr>
            </w:pPr>
          </w:p>
          <w:p w14:paraId="2E8E882B">
            <w:pPr>
              <w:pStyle w:val="6"/>
              <w:spacing w:before="61" w:line="188" w:lineRule="auto"/>
              <w:ind w:left="433"/>
            </w:pPr>
            <w:r>
              <w:t>0</w:t>
            </w:r>
          </w:p>
        </w:tc>
        <w:tc>
          <w:tcPr>
            <w:tcW w:w="963" w:type="dxa"/>
            <w:vAlign w:val="top"/>
          </w:tcPr>
          <w:p w14:paraId="10B97BEE">
            <w:pPr>
              <w:spacing w:line="435" w:lineRule="auto"/>
              <w:rPr>
                <w:rFonts w:ascii="Arial"/>
                <w:sz w:val="21"/>
              </w:rPr>
            </w:pPr>
          </w:p>
          <w:p w14:paraId="03BCA325">
            <w:pPr>
              <w:pStyle w:val="6"/>
              <w:spacing w:before="61" w:line="188" w:lineRule="auto"/>
              <w:ind w:left="434"/>
            </w:pPr>
            <w:r>
              <w:t>0</w:t>
            </w:r>
          </w:p>
        </w:tc>
        <w:tc>
          <w:tcPr>
            <w:tcW w:w="1594" w:type="dxa"/>
            <w:vMerge w:val="continue"/>
            <w:tcBorders>
              <w:top w:val="nil"/>
            </w:tcBorders>
            <w:vAlign w:val="top"/>
          </w:tcPr>
          <w:p w14:paraId="020C6B87">
            <w:pPr>
              <w:rPr>
                <w:rFonts w:ascii="Arial"/>
                <w:sz w:val="21"/>
              </w:rPr>
            </w:pPr>
          </w:p>
        </w:tc>
        <w:tc>
          <w:tcPr>
            <w:tcW w:w="925" w:type="dxa"/>
            <w:vMerge w:val="continue"/>
            <w:tcBorders>
              <w:top w:val="nil"/>
            </w:tcBorders>
            <w:vAlign w:val="top"/>
          </w:tcPr>
          <w:p w14:paraId="1F97F49A">
            <w:pPr>
              <w:rPr>
                <w:rFonts w:ascii="Arial"/>
                <w:sz w:val="21"/>
              </w:rPr>
            </w:pPr>
          </w:p>
        </w:tc>
      </w:tr>
      <w:tr w14:paraId="04CC8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restart"/>
            <w:tcBorders>
              <w:bottom w:val="nil"/>
            </w:tcBorders>
            <w:vAlign w:val="top"/>
          </w:tcPr>
          <w:p w14:paraId="688FD38D">
            <w:pPr>
              <w:spacing w:line="289" w:lineRule="auto"/>
              <w:rPr>
                <w:rFonts w:ascii="Arial"/>
                <w:sz w:val="21"/>
              </w:rPr>
            </w:pPr>
          </w:p>
          <w:p w14:paraId="3EC87B95">
            <w:pPr>
              <w:spacing w:line="289" w:lineRule="auto"/>
              <w:rPr>
                <w:rFonts w:ascii="Arial"/>
                <w:sz w:val="21"/>
              </w:rPr>
            </w:pPr>
          </w:p>
          <w:p w14:paraId="70D5927B">
            <w:pPr>
              <w:spacing w:line="289" w:lineRule="auto"/>
              <w:rPr>
                <w:rFonts w:ascii="Arial"/>
                <w:sz w:val="21"/>
              </w:rPr>
            </w:pPr>
          </w:p>
          <w:p w14:paraId="735C0CAD">
            <w:pPr>
              <w:spacing w:before="68" w:line="220" w:lineRule="auto"/>
              <w:ind w:left="89"/>
              <w:rPr>
                <w:rFonts w:ascii="宋体" w:hAnsi="宋体" w:eastAsia="宋体" w:cs="宋体"/>
                <w:sz w:val="21"/>
                <w:szCs w:val="21"/>
              </w:rPr>
            </w:pPr>
            <w:r>
              <w:rPr>
                <w:rFonts w:ascii="宋体" w:hAnsi="宋体" w:eastAsia="宋体" w:cs="宋体"/>
                <w:spacing w:val="-5"/>
                <w:sz w:val="21"/>
                <w:szCs w:val="21"/>
              </w:rPr>
              <w:t>噪声</w:t>
            </w:r>
          </w:p>
        </w:tc>
        <w:tc>
          <w:tcPr>
            <w:tcW w:w="1417" w:type="dxa"/>
            <w:gridSpan w:val="2"/>
            <w:vAlign w:val="top"/>
          </w:tcPr>
          <w:p w14:paraId="30DD3595">
            <w:pPr>
              <w:spacing w:before="65" w:line="220" w:lineRule="auto"/>
              <w:ind w:left="396"/>
              <w:rPr>
                <w:rFonts w:ascii="宋体" w:hAnsi="宋体" w:eastAsia="宋体" w:cs="宋体"/>
                <w:sz w:val="21"/>
                <w:szCs w:val="21"/>
              </w:rPr>
            </w:pPr>
            <w:r>
              <w:rPr>
                <w:rFonts w:ascii="宋体" w:hAnsi="宋体" w:eastAsia="宋体" w:cs="宋体"/>
                <w:spacing w:val="-2"/>
                <w:sz w:val="21"/>
                <w:szCs w:val="21"/>
              </w:rPr>
              <w:t>猪叫声</w:t>
            </w:r>
          </w:p>
        </w:tc>
        <w:tc>
          <w:tcPr>
            <w:tcW w:w="1961" w:type="dxa"/>
            <w:gridSpan w:val="2"/>
            <w:vAlign w:val="top"/>
          </w:tcPr>
          <w:p w14:paraId="00BD258E">
            <w:pPr>
              <w:pStyle w:val="6"/>
              <w:spacing w:before="98" w:line="192" w:lineRule="auto"/>
              <w:ind w:left="474"/>
            </w:pPr>
            <w:r>
              <w:rPr>
                <w:spacing w:val="-2"/>
              </w:rPr>
              <w:t>50-80dB(A)</w:t>
            </w:r>
          </w:p>
        </w:tc>
        <w:tc>
          <w:tcPr>
            <w:tcW w:w="1923" w:type="dxa"/>
            <w:gridSpan w:val="2"/>
            <w:vMerge w:val="restart"/>
            <w:tcBorders>
              <w:bottom w:val="nil"/>
            </w:tcBorders>
            <w:vAlign w:val="top"/>
          </w:tcPr>
          <w:p w14:paraId="44FEE616">
            <w:pPr>
              <w:spacing w:line="355" w:lineRule="auto"/>
              <w:rPr>
                <w:rFonts w:ascii="Arial"/>
                <w:sz w:val="21"/>
              </w:rPr>
            </w:pPr>
          </w:p>
          <w:p w14:paraId="0B5FD58E">
            <w:pPr>
              <w:spacing w:line="356" w:lineRule="auto"/>
              <w:rPr>
                <w:rFonts w:ascii="Arial"/>
                <w:sz w:val="21"/>
              </w:rPr>
            </w:pPr>
          </w:p>
          <w:p w14:paraId="02234421">
            <w:pPr>
              <w:pStyle w:val="6"/>
              <w:spacing w:before="69" w:line="212" w:lineRule="auto"/>
              <w:ind w:left="325"/>
            </w:pPr>
            <w:r>
              <w:rPr>
                <w:rFonts w:ascii="宋体" w:hAnsi="宋体" w:eastAsia="宋体" w:cs="宋体"/>
                <w:spacing w:val="-1"/>
              </w:rPr>
              <w:t>昼间</w:t>
            </w:r>
            <w:r>
              <w:rPr>
                <w:spacing w:val="-1"/>
              </w:rPr>
              <w:t>≤60dB(A)</w:t>
            </w:r>
          </w:p>
          <w:p w14:paraId="7CB68B51">
            <w:pPr>
              <w:pStyle w:val="6"/>
              <w:spacing w:before="70" w:line="212" w:lineRule="auto"/>
              <w:ind w:left="329"/>
            </w:pPr>
            <w:r>
              <w:rPr>
                <w:rFonts w:ascii="宋体" w:hAnsi="宋体" w:eastAsia="宋体" w:cs="宋体"/>
                <w:spacing w:val="-2"/>
              </w:rPr>
              <w:t>夜间</w:t>
            </w:r>
            <w:r>
              <w:rPr>
                <w:spacing w:val="-2"/>
              </w:rPr>
              <w:t>≤50dB(A)</w:t>
            </w:r>
          </w:p>
        </w:tc>
        <w:tc>
          <w:tcPr>
            <w:tcW w:w="1594" w:type="dxa"/>
            <w:vMerge w:val="restart"/>
            <w:tcBorders>
              <w:bottom w:val="nil"/>
            </w:tcBorders>
            <w:vAlign w:val="top"/>
          </w:tcPr>
          <w:p w14:paraId="42CFD217">
            <w:pPr>
              <w:spacing w:before="157" w:line="276" w:lineRule="auto"/>
              <w:ind w:left="11" w:firstLine="4"/>
              <w:jc w:val="both"/>
              <w:rPr>
                <w:rFonts w:ascii="宋体" w:hAnsi="宋体" w:eastAsia="宋体" w:cs="宋体"/>
                <w:sz w:val="21"/>
                <w:szCs w:val="21"/>
              </w:rPr>
            </w:pPr>
            <w:r>
              <w:rPr>
                <w:rFonts w:ascii="宋体" w:hAnsi="宋体" w:eastAsia="宋体" w:cs="宋体"/>
                <w:spacing w:val="14"/>
                <w:sz w:val="21"/>
                <w:szCs w:val="21"/>
              </w:rPr>
              <w:t>项目主要选用低</w:t>
            </w:r>
            <w:r>
              <w:rPr>
                <w:rFonts w:ascii="宋体" w:hAnsi="宋体" w:eastAsia="宋体" w:cs="宋体"/>
                <w:spacing w:val="-14"/>
                <w:sz w:val="21"/>
                <w:szCs w:val="21"/>
              </w:rPr>
              <w:t>噪声</w:t>
            </w:r>
            <w:r>
              <w:rPr>
                <w:rFonts w:ascii="宋体" w:hAnsi="宋体" w:eastAsia="宋体" w:cs="宋体"/>
                <w:spacing w:val="-13"/>
                <w:sz w:val="21"/>
                <w:szCs w:val="21"/>
              </w:rPr>
              <w:t>设备、基础</w:t>
            </w:r>
            <w:r>
              <w:rPr>
                <w:rFonts w:ascii="宋体" w:hAnsi="宋体" w:eastAsia="宋体" w:cs="宋体"/>
                <w:spacing w:val="-11"/>
                <w:sz w:val="21"/>
                <w:szCs w:val="21"/>
              </w:rPr>
              <w:t>减</w:t>
            </w:r>
            <w:r>
              <w:rPr>
                <w:rFonts w:ascii="宋体" w:hAnsi="宋体" w:eastAsia="宋体" w:cs="宋体"/>
                <w:spacing w:val="-14"/>
                <w:sz w:val="21"/>
                <w:szCs w:val="21"/>
              </w:rPr>
              <w:t>振</w:t>
            </w:r>
            <w:r>
              <w:rPr>
                <w:rFonts w:ascii="宋体" w:hAnsi="宋体" w:eastAsia="宋体" w:cs="宋体"/>
                <w:spacing w:val="-13"/>
                <w:sz w:val="21"/>
                <w:szCs w:val="21"/>
              </w:rPr>
              <w:t>、墙体隔声以</w:t>
            </w:r>
            <w:r>
              <w:rPr>
                <w:rFonts w:ascii="宋体" w:hAnsi="宋体" w:eastAsia="宋体" w:cs="宋体"/>
                <w:spacing w:val="-12"/>
                <w:sz w:val="21"/>
                <w:szCs w:val="21"/>
              </w:rPr>
              <w:t>及</w:t>
            </w:r>
            <w:r>
              <w:rPr>
                <w:rFonts w:ascii="宋体" w:hAnsi="宋体" w:eastAsia="宋体" w:cs="宋体"/>
                <w:spacing w:val="15"/>
                <w:sz w:val="21"/>
                <w:szCs w:val="21"/>
              </w:rPr>
              <w:t>绿化等方式降低噪声对环境的影</w:t>
            </w:r>
            <w:r>
              <w:rPr>
                <w:rFonts w:ascii="宋体" w:hAnsi="宋体" w:eastAsia="宋体" w:cs="宋体"/>
                <w:spacing w:val="-10"/>
                <w:sz w:val="21"/>
                <w:szCs w:val="21"/>
              </w:rPr>
              <w:t>响。</w:t>
            </w:r>
          </w:p>
        </w:tc>
        <w:tc>
          <w:tcPr>
            <w:tcW w:w="925" w:type="dxa"/>
            <w:vMerge w:val="restart"/>
            <w:tcBorders>
              <w:bottom w:val="nil"/>
            </w:tcBorders>
            <w:vAlign w:val="top"/>
          </w:tcPr>
          <w:p w14:paraId="55FB18A1">
            <w:pPr>
              <w:spacing w:line="288" w:lineRule="auto"/>
              <w:rPr>
                <w:rFonts w:ascii="Arial"/>
                <w:sz w:val="21"/>
              </w:rPr>
            </w:pPr>
          </w:p>
          <w:p w14:paraId="3FB82613">
            <w:pPr>
              <w:spacing w:line="289" w:lineRule="auto"/>
              <w:rPr>
                <w:rFonts w:ascii="Arial"/>
                <w:sz w:val="21"/>
              </w:rPr>
            </w:pPr>
          </w:p>
          <w:p w14:paraId="5FD8C8FA">
            <w:pPr>
              <w:spacing w:line="289" w:lineRule="auto"/>
              <w:rPr>
                <w:rFonts w:ascii="Arial"/>
                <w:sz w:val="21"/>
              </w:rPr>
            </w:pPr>
          </w:p>
          <w:p w14:paraId="6F6EEA82">
            <w:pPr>
              <w:spacing w:before="68" w:line="220" w:lineRule="auto"/>
              <w:ind w:left="64"/>
              <w:rPr>
                <w:rFonts w:ascii="宋体" w:hAnsi="宋体" w:eastAsia="宋体" w:cs="宋体"/>
                <w:sz w:val="21"/>
                <w:szCs w:val="21"/>
              </w:rPr>
            </w:pPr>
            <w:r>
              <w:rPr>
                <w:rFonts w:ascii="宋体" w:hAnsi="宋体" w:eastAsia="宋体" w:cs="宋体"/>
                <w:spacing w:val="-5"/>
                <w:sz w:val="21"/>
                <w:szCs w:val="21"/>
              </w:rPr>
              <w:t>间歇排放</w:t>
            </w:r>
          </w:p>
        </w:tc>
      </w:tr>
      <w:tr w14:paraId="3BD21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3A3A9344">
            <w:pPr>
              <w:rPr>
                <w:rFonts w:ascii="Arial"/>
                <w:sz w:val="21"/>
              </w:rPr>
            </w:pPr>
          </w:p>
        </w:tc>
        <w:tc>
          <w:tcPr>
            <w:tcW w:w="1417" w:type="dxa"/>
            <w:gridSpan w:val="2"/>
            <w:vAlign w:val="top"/>
          </w:tcPr>
          <w:p w14:paraId="6A9DE3CA">
            <w:pPr>
              <w:spacing w:before="65" w:line="219" w:lineRule="auto"/>
              <w:ind w:left="396"/>
              <w:rPr>
                <w:rFonts w:ascii="宋体" w:hAnsi="宋体" w:eastAsia="宋体" w:cs="宋体"/>
                <w:sz w:val="21"/>
                <w:szCs w:val="21"/>
              </w:rPr>
            </w:pPr>
            <w:r>
              <w:rPr>
                <w:rFonts w:ascii="宋体" w:hAnsi="宋体" w:eastAsia="宋体" w:cs="宋体"/>
                <w:spacing w:val="-2"/>
                <w:sz w:val="21"/>
                <w:szCs w:val="21"/>
              </w:rPr>
              <w:t>通风机</w:t>
            </w:r>
          </w:p>
        </w:tc>
        <w:tc>
          <w:tcPr>
            <w:tcW w:w="1961" w:type="dxa"/>
            <w:gridSpan w:val="2"/>
            <w:vAlign w:val="top"/>
          </w:tcPr>
          <w:p w14:paraId="6AF95D6E">
            <w:pPr>
              <w:pStyle w:val="6"/>
              <w:spacing w:before="98" w:line="192" w:lineRule="auto"/>
              <w:ind w:left="472"/>
            </w:pPr>
            <w:r>
              <w:rPr>
                <w:spacing w:val="-1"/>
              </w:rPr>
              <w:t>70-75dB(A)</w:t>
            </w:r>
          </w:p>
        </w:tc>
        <w:tc>
          <w:tcPr>
            <w:tcW w:w="1923" w:type="dxa"/>
            <w:gridSpan w:val="2"/>
            <w:vMerge w:val="continue"/>
            <w:tcBorders>
              <w:top w:val="nil"/>
              <w:bottom w:val="nil"/>
            </w:tcBorders>
            <w:vAlign w:val="top"/>
          </w:tcPr>
          <w:p w14:paraId="1E425A0C">
            <w:pPr>
              <w:rPr>
                <w:rFonts w:ascii="Arial"/>
                <w:sz w:val="21"/>
              </w:rPr>
            </w:pPr>
          </w:p>
        </w:tc>
        <w:tc>
          <w:tcPr>
            <w:tcW w:w="1594" w:type="dxa"/>
            <w:vMerge w:val="continue"/>
            <w:tcBorders>
              <w:top w:val="nil"/>
              <w:bottom w:val="nil"/>
            </w:tcBorders>
            <w:vAlign w:val="top"/>
          </w:tcPr>
          <w:p w14:paraId="473E2E6C">
            <w:pPr>
              <w:rPr>
                <w:rFonts w:ascii="Arial"/>
                <w:sz w:val="21"/>
              </w:rPr>
            </w:pPr>
          </w:p>
        </w:tc>
        <w:tc>
          <w:tcPr>
            <w:tcW w:w="925" w:type="dxa"/>
            <w:vMerge w:val="continue"/>
            <w:tcBorders>
              <w:top w:val="nil"/>
              <w:bottom w:val="nil"/>
            </w:tcBorders>
            <w:vAlign w:val="top"/>
          </w:tcPr>
          <w:p w14:paraId="443B1EAB">
            <w:pPr>
              <w:rPr>
                <w:rFonts w:ascii="Arial"/>
                <w:sz w:val="21"/>
              </w:rPr>
            </w:pPr>
          </w:p>
        </w:tc>
      </w:tr>
      <w:tr w14:paraId="4CB6B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391C9745">
            <w:pPr>
              <w:rPr>
                <w:rFonts w:ascii="Arial"/>
                <w:sz w:val="21"/>
              </w:rPr>
            </w:pPr>
          </w:p>
        </w:tc>
        <w:tc>
          <w:tcPr>
            <w:tcW w:w="1417" w:type="dxa"/>
            <w:gridSpan w:val="2"/>
            <w:vAlign w:val="top"/>
          </w:tcPr>
          <w:p w14:paraId="12DD6012">
            <w:pPr>
              <w:spacing w:before="65" w:line="220" w:lineRule="auto"/>
              <w:ind w:left="504"/>
              <w:rPr>
                <w:rFonts w:ascii="宋体" w:hAnsi="宋体" w:eastAsia="宋体" w:cs="宋体"/>
                <w:sz w:val="21"/>
                <w:szCs w:val="21"/>
              </w:rPr>
            </w:pPr>
            <w:r>
              <w:rPr>
                <w:rFonts w:ascii="宋体" w:hAnsi="宋体" w:eastAsia="宋体" w:cs="宋体"/>
                <w:spacing w:val="-3"/>
                <w:sz w:val="21"/>
                <w:szCs w:val="21"/>
              </w:rPr>
              <w:t>水泵</w:t>
            </w:r>
          </w:p>
        </w:tc>
        <w:tc>
          <w:tcPr>
            <w:tcW w:w="1961" w:type="dxa"/>
            <w:gridSpan w:val="2"/>
            <w:vAlign w:val="top"/>
          </w:tcPr>
          <w:p w14:paraId="605229E2">
            <w:pPr>
              <w:pStyle w:val="6"/>
              <w:spacing w:before="98" w:line="192" w:lineRule="auto"/>
              <w:ind w:left="472"/>
            </w:pPr>
            <w:r>
              <w:rPr>
                <w:spacing w:val="-1"/>
              </w:rPr>
              <w:t>75-85dB(A)</w:t>
            </w:r>
          </w:p>
        </w:tc>
        <w:tc>
          <w:tcPr>
            <w:tcW w:w="1923" w:type="dxa"/>
            <w:gridSpan w:val="2"/>
            <w:vMerge w:val="continue"/>
            <w:tcBorders>
              <w:top w:val="nil"/>
              <w:bottom w:val="nil"/>
            </w:tcBorders>
            <w:vAlign w:val="top"/>
          </w:tcPr>
          <w:p w14:paraId="2F81AEF8">
            <w:pPr>
              <w:rPr>
                <w:rFonts w:ascii="Arial"/>
                <w:sz w:val="21"/>
              </w:rPr>
            </w:pPr>
          </w:p>
        </w:tc>
        <w:tc>
          <w:tcPr>
            <w:tcW w:w="1594" w:type="dxa"/>
            <w:vMerge w:val="continue"/>
            <w:tcBorders>
              <w:top w:val="nil"/>
              <w:bottom w:val="nil"/>
            </w:tcBorders>
            <w:vAlign w:val="top"/>
          </w:tcPr>
          <w:p w14:paraId="3469F003">
            <w:pPr>
              <w:rPr>
                <w:rFonts w:ascii="Arial"/>
                <w:sz w:val="21"/>
              </w:rPr>
            </w:pPr>
          </w:p>
        </w:tc>
        <w:tc>
          <w:tcPr>
            <w:tcW w:w="925" w:type="dxa"/>
            <w:vMerge w:val="continue"/>
            <w:tcBorders>
              <w:top w:val="nil"/>
              <w:bottom w:val="nil"/>
            </w:tcBorders>
            <w:vAlign w:val="top"/>
          </w:tcPr>
          <w:p w14:paraId="133D4C52">
            <w:pPr>
              <w:rPr>
                <w:rFonts w:ascii="Arial"/>
                <w:sz w:val="21"/>
              </w:rPr>
            </w:pPr>
          </w:p>
        </w:tc>
      </w:tr>
      <w:tr w14:paraId="158DDCE2">
        <w:tblPrEx>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5E056217">
            <w:pPr>
              <w:rPr>
                <w:rFonts w:ascii="Arial"/>
                <w:sz w:val="21"/>
              </w:rPr>
            </w:pPr>
          </w:p>
        </w:tc>
        <w:tc>
          <w:tcPr>
            <w:tcW w:w="1417" w:type="dxa"/>
            <w:gridSpan w:val="2"/>
            <w:vAlign w:val="top"/>
          </w:tcPr>
          <w:p w14:paraId="2A7C9279">
            <w:pPr>
              <w:spacing w:before="66" w:line="219" w:lineRule="auto"/>
              <w:ind w:left="204"/>
              <w:rPr>
                <w:rFonts w:ascii="宋体" w:hAnsi="宋体" w:eastAsia="宋体" w:cs="宋体"/>
                <w:sz w:val="21"/>
                <w:szCs w:val="21"/>
              </w:rPr>
            </w:pPr>
            <w:r>
              <w:rPr>
                <w:rFonts w:ascii="宋体" w:hAnsi="宋体" w:eastAsia="宋体" w:cs="宋体"/>
                <w:spacing w:val="-5"/>
                <w:sz w:val="21"/>
                <w:szCs w:val="21"/>
              </w:rPr>
              <w:t>固液分离机</w:t>
            </w:r>
          </w:p>
        </w:tc>
        <w:tc>
          <w:tcPr>
            <w:tcW w:w="1961" w:type="dxa"/>
            <w:gridSpan w:val="2"/>
            <w:vAlign w:val="top"/>
          </w:tcPr>
          <w:p w14:paraId="20CBAB14">
            <w:pPr>
              <w:pStyle w:val="6"/>
              <w:spacing w:before="99" w:line="192" w:lineRule="auto"/>
              <w:ind w:left="472"/>
            </w:pPr>
            <w:r>
              <w:rPr>
                <w:spacing w:val="-1"/>
              </w:rPr>
              <w:t>75-85dB(A)</w:t>
            </w:r>
          </w:p>
        </w:tc>
        <w:tc>
          <w:tcPr>
            <w:tcW w:w="1923" w:type="dxa"/>
            <w:gridSpan w:val="2"/>
            <w:vMerge w:val="continue"/>
            <w:tcBorders>
              <w:top w:val="nil"/>
              <w:bottom w:val="nil"/>
            </w:tcBorders>
            <w:vAlign w:val="top"/>
          </w:tcPr>
          <w:p w14:paraId="16D74750">
            <w:pPr>
              <w:rPr>
                <w:rFonts w:ascii="Arial"/>
                <w:sz w:val="21"/>
              </w:rPr>
            </w:pPr>
          </w:p>
        </w:tc>
        <w:tc>
          <w:tcPr>
            <w:tcW w:w="1594" w:type="dxa"/>
            <w:vMerge w:val="continue"/>
            <w:tcBorders>
              <w:top w:val="nil"/>
              <w:bottom w:val="nil"/>
            </w:tcBorders>
            <w:vAlign w:val="top"/>
          </w:tcPr>
          <w:p w14:paraId="1C1A9754">
            <w:pPr>
              <w:rPr>
                <w:rFonts w:ascii="Arial"/>
                <w:sz w:val="21"/>
              </w:rPr>
            </w:pPr>
          </w:p>
        </w:tc>
        <w:tc>
          <w:tcPr>
            <w:tcW w:w="925" w:type="dxa"/>
            <w:vMerge w:val="continue"/>
            <w:tcBorders>
              <w:top w:val="nil"/>
              <w:bottom w:val="nil"/>
            </w:tcBorders>
            <w:vAlign w:val="top"/>
          </w:tcPr>
          <w:p w14:paraId="1113E8C9">
            <w:pPr>
              <w:rPr>
                <w:rFonts w:ascii="Arial"/>
                <w:sz w:val="21"/>
              </w:rPr>
            </w:pPr>
          </w:p>
        </w:tc>
      </w:tr>
      <w:tr w14:paraId="516E7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7CA02643">
            <w:pPr>
              <w:rPr>
                <w:rFonts w:ascii="Arial"/>
                <w:sz w:val="21"/>
              </w:rPr>
            </w:pPr>
          </w:p>
        </w:tc>
        <w:tc>
          <w:tcPr>
            <w:tcW w:w="1417" w:type="dxa"/>
            <w:gridSpan w:val="2"/>
            <w:vAlign w:val="top"/>
          </w:tcPr>
          <w:p w14:paraId="5A795979">
            <w:pPr>
              <w:spacing w:before="66" w:line="219" w:lineRule="auto"/>
              <w:ind w:left="400"/>
              <w:rPr>
                <w:rFonts w:ascii="宋体" w:hAnsi="宋体" w:eastAsia="宋体" w:cs="宋体"/>
                <w:sz w:val="21"/>
                <w:szCs w:val="21"/>
              </w:rPr>
            </w:pPr>
            <w:r>
              <w:rPr>
                <w:rFonts w:ascii="宋体" w:hAnsi="宋体" w:eastAsia="宋体" w:cs="宋体"/>
                <w:spacing w:val="-3"/>
                <w:sz w:val="21"/>
                <w:szCs w:val="21"/>
              </w:rPr>
              <w:t>发电机</w:t>
            </w:r>
          </w:p>
        </w:tc>
        <w:tc>
          <w:tcPr>
            <w:tcW w:w="1961" w:type="dxa"/>
            <w:gridSpan w:val="2"/>
            <w:vAlign w:val="top"/>
          </w:tcPr>
          <w:p w14:paraId="0AB8C2D9">
            <w:pPr>
              <w:pStyle w:val="6"/>
              <w:spacing w:before="99" w:line="192" w:lineRule="auto"/>
              <w:ind w:left="611"/>
            </w:pPr>
            <w:r>
              <w:rPr>
                <w:spacing w:val="-2"/>
              </w:rPr>
              <w:t>90dB(A)</w:t>
            </w:r>
          </w:p>
        </w:tc>
        <w:tc>
          <w:tcPr>
            <w:tcW w:w="1923" w:type="dxa"/>
            <w:gridSpan w:val="2"/>
            <w:vMerge w:val="continue"/>
            <w:tcBorders>
              <w:top w:val="nil"/>
              <w:bottom w:val="nil"/>
            </w:tcBorders>
            <w:vAlign w:val="top"/>
          </w:tcPr>
          <w:p w14:paraId="4E1822BA">
            <w:pPr>
              <w:rPr>
                <w:rFonts w:ascii="Arial"/>
                <w:sz w:val="21"/>
              </w:rPr>
            </w:pPr>
          </w:p>
        </w:tc>
        <w:tc>
          <w:tcPr>
            <w:tcW w:w="1594" w:type="dxa"/>
            <w:vMerge w:val="continue"/>
            <w:tcBorders>
              <w:top w:val="nil"/>
              <w:bottom w:val="nil"/>
            </w:tcBorders>
            <w:vAlign w:val="top"/>
          </w:tcPr>
          <w:p w14:paraId="22636510">
            <w:pPr>
              <w:rPr>
                <w:rFonts w:ascii="Arial"/>
                <w:sz w:val="21"/>
              </w:rPr>
            </w:pPr>
          </w:p>
        </w:tc>
        <w:tc>
          <w:tcPr>
            <w:tcW w:w="925" w:type="dxa"/>
            <w:vMerge w:val="continue"/>
            <w:tcBorders>
              <w:top w:val="nil"/>
              <w:bottom w:val="nil"/>
            </w:tcBorders>
            <w:vAlign w:val="top"/>
          </w:tcPr>
          <w:p w14:paraId="70BDCB29">
            <w:pPr>
              <w:rPr>
                <w:rFonts w:ascii="Arial"/>
                <w:sz w:val="21"/>
              </w:rPr>
            </w:pPr>
          </w:p>
        </w:tc>
      </w:tr>
      <w:tr w14:paraId="1AC03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tcBorders>
            <w:vAlign w:val="top"/>
          </w:tcPr>
          <w:p w14:paraId="02E9287F">
            <w:pPr>
              <w:rPr>
                <w:rFonts w:ascii="Arial"/>
                <w:sz w:val="21"/>
              </w:rPr>
            </w:pPr>
          </w:p>
        </w:tc>
        <w:tc>
          <w:tcPr>
            <w:tcW w:w="1417" w:type="dxa"/>
            <w:gridSpan w:val="2"/>
            <w:vAlign w:val="top"/>
          </w:tcPr>
          <w:p w14:paraId="1B652968">
            <w:pPr>
              <w:spacing w:before="66" w:line="220" w:lineRule="auto"/>
              <w:ind w:left="502"/>
              <w:rPr>
                <w:rFonts w:ascii="宋体" w:hAnsi="宋体" w:eastAsia="宋体" w:cs="宋体"/>
                <w:sz w:val="21"/>
                <w:szCs w:val="21"/>
              </w:rPr>
            </w:pPr>
            <w:r>
              <w:rPr>
                <w:rFonts w:ascii="宋体" w:hAnsi="宋体" w:eastAsia="宋体" w:cs="宋体"/>
                <w:spacing w:val="-3"/>
                <w:sz w:val="21"/>
                <w:szCs w:val="21"/>
              </w:rPr>
              <w:t>汽车</w:t>
            </w:r>
          </w:p>
        </w:tc>
        <w:tc>
          <w:tcPr>
            <w:tcW w:w="1961" w:type="dxa"/>
            <w:gridSpan w:val="2"/>
            <w:vAlign w:val="top"/>
          </w:tcPr>
          <w:p w14:paraId="05CBD1E7">
            <w:pPr>
              <w:pStyle w:val="6"/>
              <w:spacing w:before="99" w:line="192" w:lineRule="auto"/>
              <w:ind w:left="473"/>
            </w:pPr>
            <w:r>
              <w:rPr>
                <w:spacing w:val="-1"/>
              </w:rPr>
              <w:t>65-75dB(A)</w:t>
            </w:r>
          </w:p>
        </w:tc>
        <w:tc>
          <w:tcPr>
            <w:tcW w:w="1923" w:type="dxa"/>
            <w:gridSpan w:val="2"/>
            <w:vMerge w:val="continue"/>
            <w:tcBorders>
              <w:top w:val="nil"/>
            </w:tcBorders>
            <w:vAlign w:val="top"/>
          </w:tcPr>
          <w:p w14:paraId="7BFF8F9B">
            <w:pPr>
              <w:rPr>
                <w:rFonts w:ascii="Arial"/>
                <w:sz w:val="21"/>
              </w:rPr>
            </w:pPr>
          </w:p>
        </w:tc>
        <w:tc>
          <w:tcPr>
            <w:tcW w:w="1594" w:type="dxa"/>
            <w:vMerge w:val="continue"/>
            <w:tcBorders>
              <w:top w:val="nil"/>
            </w:tcBorders>
            <w:vAlign w:val="top"/>
          </w:tcPr>
          <w:p w14:paraId="2E4B4945">
            <w:pPr>
              <w:rPr>
                <w:rFonts w:ascii="Arial"/>
                <w:sz w:val="21"/>
              </w:rPr>
            </w:pPr>
          </w:p>
        </w:tc>
        <w:tc>
          <w:tcPr>
            <w:tcW w:w="925" w:type="dxa"/>
            <w:vMerge w:val="continue"/>
            <w:tcBorders>
              <w:top w:val="nil"/>
            </w:tcBorders>
            <w:vAlign w:val="top"/>
          </w:tcPr>
          <w:p w14:paraId="004D21F0">
            <w:pPr>
              <w:rPr>
                <w:rFonts w:ascii="Arial"/>
                <w:sz w:val="21"/>
              </w:rPr>
            </w:pPr>
          </w:p>
        </w:tc>
      </w:tr>
      <w:tr w14:paraId="26A69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restart"/>
            <w:tcBorders>
              <w:bottom w:val="nil"/>
            </w:tcBorders>
            <w:vAlign w:val="top"/>
          </w:tcPr>
          <w:p w14:paraId="7267BC05">
            <w:pPr>
              <w:spacing w:line="253" w:lineRule="auto"/>
              <w:rPr>
                <w:rFonts w:ascii="Arial"/>
                <w:sz w:val="21"/>
              </w:rPr>
            </w:pPr>
          </w:p>
          <w:p w14:paraId="2227E8CB">
            <w:pPr>
              <w:spacing w:line="253" w:lineRule="auto"/>
              <w:rPr>
                <w:rFonts w:ascii="Arial"/>
                <w:sz w:val="21"/>
              </w:rPr>
            </w:pPr>
          </w:p>
          <w:p w14:paraId="24D164CA">
            <w:pPr>
              <w:spacing w:line="253" w:lineRule="auto"/>
              <w:rPr>
                <w:rFonts w:ascii="Arial"/>
                <w:sz w:val="21"/>
              </w:rPr>
            </w:pPr>
          </w:p>
          <w:p w14:paraId="452AC72C">
            <w:pPr>
              <w:spacing w:line="253" w:lineRule="auto"/>
              <w:rPr>
                <w:rFonts w:ascii="Arial"/>
                <w:sz w:val="21"/>
              </w:rPr>
            </w:pPr>
          </w:p>
          <w:p w14:paraId="25AE8B73">
            <w:pPr>
              <w:spacing w:line="253" w:lineRule="auto"/>
              <w:rPr>
                <w:rFonts w:ascii="Arial"/>
                <w:sz w:val="21"/>
              </w:rPr>
            </w:pPr>
          </w:p>
          <w:p w14:paraId="7A099D8B">
            <w:pPr>
              <w:spacing w:line="253" w:lineRule="auto"/>
              <w:rPr>
                <w:rFonts w:ascii="Arial"/>
                <w:sz w:val="21"/>
              </w:rPr>
            </w:pPr>
          </w:p>
          <w:p w14:paraId="3DFE89F2">
            <w:pPr>
              <w:spacing w:before="68" w:line="277" w:lineRule="auto"/>
              <w:ind w:left="79" w:right="73" w:firstLine="18"/>
              <w:rPr>
                <w:rFonts w:ascii="宋体" w:hAnsi="宋体" w:eastAsia="宋体" w:cs="宋体"/>
                <w:sz w:val="21"/>
                <w:szCs w:val="21"/>
              </w:rPr>
            </w:pPr>
            <w:r>
              <w:rPr>
                <w:rFonts w:ascii="宋体" w:hAnsi="宋体" w:eastAsia="宋体" w:cs="宋体"/>
                <w:spacing w:val="-14"/>
                <w:sz w:val="21"/>
                <w:szCs w:val="21"/>
              </w:rPr>
              <w:t>固体</w:t>
            </w:r>
            <w:r>
              <w:rPr>
                <w:rFonts w:ascii="宋体" w:hAnsi="宋体" w:eastAsia="宋体" w:cs="宋体"/>
                <w:spacing w:val="-4"/>
                <w:sz w:val="21"/>
                <w:szCs w:val="21"/>
              </w:rPr>
              <w:t>废物</w:t>
            </w:r>
          </w:p>
        </w:tc>
        <w:tc>
          <w:tcPr>
            <w:tcW w:w="1417" w:type="dxa"/>
            <w:gridSpan w:val="2"/>
            <w:vAlign w:val="top"/>
          </w:tcPr>
          <w:p w14:paraId="5B1ED9BE">
            <w:pPr>
              <w:spacing w:before="67" w:line="220" w:lineRule="auto"/>
              <w:ind w:left="396"/>
              <w:rPr>
                <w:rFonts w:ascii="宋体" w:hAnsi="宋体" w:eastAsia="宋体" w:cs="宋体"/>
                <w:sz w:val="21"/>
                <w:szCs w:val="21"/>
              </w:rPr>
            </w:pPr>
            <w:r>
              <w:rPr>
                <w:rFonts w:ascii="宋体" w:hAnsi="宋体" w:eastAsia="宋体" w:cs="宋体"/>
                <w:spacing w:val="-2"/>
                <w:sz w:val="21"/>
                <w:szCs w:val="21"/>
              </w:rPr>
              <w:t>猪粪便</w:t>
            </w:r>
          </w:p>
        </w:tc>
        <w:tc>
          <w:tcPr>
            <w:tcW w:w="998" w:type="dxa"/>
            <w:vAlign w:val="top"/>
          </w:tcPr>
          <w:p w14:paraId="17EF3EB3">
            <w:pPr>
              <w:pStyle w:val="6"/>
              <w:spacing w:before="100" w:line="192" w:lineRule="auto"/>
              <w:ind w:left="465"/>
            </w:pPr>
            <w:r>
              <w:t>/</w:t>
            </w:r>
          </w:p>
        </w:tc>
        <w:tc>
          <w:tcPr>
            <w:tcW w:w="963" w:type="dxa"/>
            <w:vAlign w:val="top"/>
          </w:tcPr>
          <w:p w14:paraId="353246B0">
            <w:pPr>
              <w:pStyle w:val="6"/>
              <w:spacing w:before="104" w:line="188" w:lineRule="auto"/>
              <w:ind w:left="165"/>
            </w:pPr>
            <w:r>
              <w:rPr>
                <w:spacing w:val="-5"/>
              </w:rPr>
              <w:t>11952.9</w:t>
            </w:r>
          </w:p>
        </w:tc>
        <w:tc>
          <w:tcPr>
            <w:tcW w:w="1923" w:type="dxa"/>
            <w:gridSpan w:val="2"/>
            <w:vAlign w:val="top"/>
          </w:tcPr>
          <w:p w14:paraId="47D0C377">
            <w:pPr>
              <w:spacing w:before="67" w:line="220" w:lineRule="auto"/>
              <w:ind w:left="443"/>
              <w:rPr>
                <w:rFonts w:ascii="宋体" w:hAnsi="宋体" w:eastAsia="宋体" w:cs="宋体"/>
                <w:sz w:val="21"/>
                <w:szCs w:val="21"/>
              </w:rPr>
            </w:pPr>
            <w:r>
              <w:rPr>
                <w:rFonts w:ascii="宋体" w:hAnsi="宋体" w:eastAsia="宋体" w:cs="宋体"/>
                <w:spacing w:val="-2"/>
                <w:sz w:val="21"/>
                <w:szCs w:val="21"/>
              </w:rPr>
              <w:t>堆粪棚暂存</w:t>
            </w:r>
          </w:p>
        </w:tc>
        <w:tc>
          <w:tcPr>
            <w:tcW w:w="1594" w:type="dxa"/>
            <w:vAlign w:val="top"/>
          </w:tcPr>
          <w:p w14:paraId="2B00F89B">
            <w:pPr>
              <w:spacing w:before="67" w:line="219" w:lineRule="auto"/>
              <w:ind w:left="385"/>
              <w:rPr>
                <w:rFonts w:ascii="宋体" w:hAnsi="宋体" w:eastAsia="宋体" w:cs="宋体"/>
                <w:sz w:val="21"/>
                <w:szCs w:val="21"/>
              </w:rPr>
            </w:pPr>
            <w:r>
              <w:rPr>
                <w:rFonts w:ascii="宋体" w:hAnsi="宋体" w:eastAsia="宋体" w:cs="宋体"/>
                <w:spacing w:val="-2"/>
                <w:sz w:val="21"/>
                <w:szCs w:val="21"/>
              </w:rPr>
              <w:t>有机肥厂</w:t>
            </w:r>
          </w:p>
        </w:tc>
        <w:tc>
          <w:tcPr>
            <w:tcW w:w="925" w:type="dxa"/>
            <w:vAlign w:val="top"/>
          </w:tcPr>
          <w:p w14:paraId="476C6118">
            <w:pPr>
              <w:spacing w:before="67" w:line="220" w:lineRule="auto"/>
              <w:ind w:left="48"/>
              <w:rPr>
                <w:rFonts w:ascii="宋体" w:hAnsi="宋体" w:eastAsia="宋体" w:cs="宋体"/>
                <w:sz w:val="21"/>
                <w:szCs w:val="21"/>
              </w:rPr>
            </w:pPr>
            <w:r>
              <w:rPr>
                <w:rFonts w:ascii="宋体" w:hAnsi="宋体" w:eastAsia="宋体" w:cs="宋体"/>
                <w:spacing w:val="-2"/>
                <w:sz w:val="21"/>
                <w:szCs w:val="21"/>
              </w:rPr>
              <w:t>连续产生</w:t>
            </w:r>
          </w:p>
        </w:tc>
      </w:tr>
      <w:tr w14:paraId="20ADC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70" w:type="dxa"/>
            <w:vMerge w:val="continue"/>
            <w:tcBorders>
              <w:top w:val="nil"/>
              <w:bottom w:val="nil"/>
            </w:tcBorders>
            <w:vAlign w:val="top"/>
          </w:tcPr>
          <w:p w14:paraId="599FC4CA">
            <w:pPr>
              <w:rPr>
                <w:rFonts w:ascii="Arial"/>
                <w:sz w:val="21"/>
              </w:rPr>
            </w:pPr>
          </w:p>
        </w:tc>
        <w:tc>
          <w:tcPr>
            <w:tcW w:w="1417" w:type="dxa"/>
            <w:gridSpan w:val="2"/>
            <w:vAlign w:val="top"/>
          </w:tcPr>
          <w:p w14:paraId="158B82F1">
            <w:pPr>
              <w:spacing w:before="209" w:line="220" w:lineRule="auto"/>
              <w:ind w:left="395"/>
              <w:rPr>
                <w:rFonts w:ascii="宋体" w:hAnsi="宋体" w:eastAsia="宋体" w:cs="宋体"/>
                <w:sz w:val="21"/>
                <w:szCs w:val="21"/>
              </w:rPr>
            </w:pPr>
            <w:r>
              <w:rPr>
                <w:rFonts w:ascii="宋体" w:hAnsi="宋体" w:eastAsia="宋体" w:cs="宋体"/>
                <w:spacing w:val="-2"/>
                <w:sz w:val="21"/>
                <w:szCs w:val="21"/>
              </w:rPr>
              <w:t>病死猪</w:t>
            </w:r>
          </w:p>
        </w:tc>
        <w:tc>
          <w:tcPr>
            <w:tcW w:w="998" w:type="dxa"/>
            <w:vAlign w:val="top"/>
          </w:tcPr>
          <w:p w14:paraId="1BD3C1B8">
            <w:pPr>
              <w:pStyle w:val="6"/>
              <w:spacing w:before="242" w:line="192" w:lineRule="auto"/>
              <w:ind w:left="465"/>
            </w:pPr>
            <w:r>
              <w:t>/</w:t>
            </w:r>
          </w:p>
        </w:tc>
        <w:tc>
          <w:tcPr>
            <w:tcW w:w="963" w:type="dxa"/>
            <w:vAlign w:val="top"/>
          </w:tcPr>
          <w:p w14:paraId="41448B37">
            <w:pPr>
              <w:pStyle w:val="6"/>
              <w:spacing w:before="246" w:line="188" w:lineRule="auto"/>
              <w:ind w:left="302"/>
            </w:pPr>
            <w:r>
              <w:rPr>
                <w:spacing w:val="-2"/>
              </w:rPr>
              <w:t>94.4</w:t>
            </w:r>
          </w:p>
        </w:tc>
        <w:tc>
          <w:tcPr>
            <w:tcW w:w="1923" w:type="dxa"/>
            <w:gridSpan w:val="2"/>
            <w:vAlign w:val="top"/>
          </w:tcPr>
          <w:p w14:paraId="5DD20F8E">
            <w:pPr>
              <w:spacing w:before="209" w:line="220" w:lineRule="auto"/>
              <w:ind w:left="444"/>
              <w:rPr>
                <w:rFonts w:ascii="宋体" w:hAnsi="宋体" w:eastAsia="宋体" w:cs="宋体"/>
                <w:sz w:val="21"/>
                <w:szCs w:val="21"/>
              </w:rPr>
            </w:pPr>
            <w:r>
              <w:rPr>
                <w:rFonts w:ascii="宋体" w:hAnsi="宋体" w:eastAsia="宋体" w:cs="宋体"/>
                <w:spacing w:val="-2"/>
                <w:sz w:val="21"/>
                <w:szCs w:val="21"/>
              </w:rPr>
              <w:t>无害化处置</w:t>
            </w:r>
          </w:p>
        </w:tc>
        <w:tc>
          <w:tcPr>
            <w:tcW w:w="1594" w:type="dxa"/>
            <w:vAlign w:val="top"/>
          </w:tcPr>
          <w:p w14:paraId="010593D3">
            <w:pPr>
              <w:spacing w:before="52" w:line="249" w:lineRule="auto"/>
              <w:ind w:left="71" w:right="57" w:firstLine="23"/>
              <w:rPr>
                <w:rFonts w:ascii="宋体" w:hAnsi="宋体" w:eastAsia="宋体" w:cs="宋体"/>
                <w:sz w:val="21"/>
                <w:szCs w:val="21"/>
              </w:rPr>
            </w:pPr>
            <w:r>
              <w:rPr>
                <w:rFonts w:ascii="宋体" w:hAnsi="宋体" w:eastAsia="宋体" w:cs="宋体"/>
                <w:spacing w:val="-5"/>
                <w:sz w:val="21"/>
                <w:szCs w:val="21"/>
              </w:rPr>
              <w:t>内江市病害动物</w:t>
            </w:r>
            <w:r>
              <w:rPr>
                <w:rFonts w:ascii="宋体" w:hAnsi="宋体" w:eastAsia="宋体" w:cs="宋体"/>
                <w:spacing w:val="-2"/>
                <w:sz w:val="21"/>
                <w:szCs w:val="21"/>
              </w:rPr>
              <w:t>无害化处置中心</w:t>
            </w:r>
          </w:p>
        </w:tc>
        <w:tc>
          <w:tcPr>
            <w:tcW w:w="925" w:type="dxa"/>
            <w:vAlign w:val="top"/>
          </w:tcPr>
          <w:p w14:paraId="5FEBE733">
            <w:pPr>
              <w:spacing w:before="209"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r w14:paraId="0DB75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11A303F2">
            <w:pPr>
              <w:rPr>
                <w:rFonts w:ascii="Arial"/>
                <w:sz w:val="21"/>
              </w:rPr>
            </w:pPr>
          </w:p>
        </w:tc>
        <w:tc>
          <w:tcPr>
            <w:tcW w:w="1417" w:type="dxa"/>
            <w:gridSpan w:val="2"/>
            <w:vAlign w:val="top"/>
          </w:tcPr>
          <w:p w14:paraId="1F235632">
            <w:pPr>
              <w:spacing w:before="67" w:line="220" w:lineRule="auto"/>
              <w:ind w:left="395"/>
              <w:rPr>
                <w:rFonts w:ascii="宋体" w:hAnsi="宋体" w:eastAsia="宋体" w:cs="宋体"/>
                <w:sz w:val="21"/>
                <w:szCs w:val="21"/>
              </w:rPr>
            </w:pPr>
            <w:r>
              <w:rPr>
                <w:rFonts w:ascii="宋体" w:hAnsi="宋体" w:eastAsia="宋体" w:cs="宋体"/>
                <w:spacing w:val="-2"/>
                <w:sz w:val="21"/>
                <w:szCs w:val="21"/>
              </w:rPr>
              <w:t>废包装</w:t>
            </w:r>
          </w:p>
        </w:tc>
        <w:tc>
          <w:tcPr>
            <w:tcW w:w="998" w:type="dxa"/>
            <w:vAlign w:val="top"/>
          </w:tcPr>
          <w:p w14:paraId="03968F96">
            <w:pPr>
              <w:pStyle w:val="6"/>
              <w:spacing w:before="100" w:line="192" w:lineRule="auto"/>
              <w:ind w:left="465"/>
            </w:pPr>
            <w:r>
              <w:t>/</w:t>
            </w:r>
          </w:p>
        </w:tc>
        <w:tc>
          <w:tcPr>
            <w:tcW w:w="963" w:type="dxa"/>
            <w:vAlign w:val="top"/>
          </w:tcPr>
          <w:p w14:paraId="5C00B986">
            <w:pPr>
              <w:pStyle w:val="6"/>
              <w:spacing w:before="104" w:line="188" w:lineRule="auto"/>
              <w:ind w:left="354"/>
            </w:pPr>
            <w:r>
              <w:rPr>
                <w:spacing w:val="-3"/>
              </w:rPr>
              <w:t>0.5</w:t>
            </w:r>
          </w:p>
        </w:tc>
        <w:tc>
          <w:tcPr>
            <w:tcW w:w="1923" w:type="dxa"/>
            <w:gridSpan w:val="2"/>
            <w:vAlign w:val="top"/>
          </w:tcPr>
          <w:p w14:paraId="0BEDC7B3">
            <w:pPr>
              <w:spacing w:before="67" w:line="220" w:lineRule="auto"/>
              <w:ind w:left="551"/>
              <w:rPr>
                <w:rFonts w:ascii="宋体" w:hAnsi="宋体" w:eastAsia="宋体" w:cs="宋体"/>
                <w:sz w:val="21"/>
                <w:szCs w:val="21"/>
              </w:rPr>
            </w:pPr>
            <w:r>
              <w:rPr>
                <w:rFonts w:ascii="宋体" w:hAnsi="宋体" w:eastAsia="宋体" w:cs="宋体"/>
                <w:spacing w:val="-4"/>
                <w:sz w:val="21"/>
                <w:szCs w:val="21"/>
              </w:rPr>
              <w:t>统一收集</w:t>
            </w:r>
          </w:p>
        </w:tc>
        <w:tc>
          <w:tcPr>
            <w:tcW w:w="1594" w:type="dxa"/>
            <w:vAlign w:val="top"/>
          </w:tcPr>
          <w:p w14:paraId="416A4B52">
            <w:pPr>
              <w:spacing w:before="67" w:line="220" w:lineRule="auto"/>
              <w:ind w:left="73"/>
              <w:rPr>
                <w:rFonts w:ascii="宋体" w:hAnsi="宋体" w:eastAsia="宋体" w:cs="宋体"/>
                <w:sz w:val="21"/>
                <w:szCs w:val="21"/>
              </w:rPr>
            </w:pPr>
            <w:r>
              <w:rPr>
                <w:rFonts w:ascii="宋体" w:hAnsi="宋体" w:eastAsia="宋体" w:cs="宋体"/>
                <w:spacing w:val="-2"/>
                <w:sz w:val="21"/>
                <w:szCs w:val="21"/>
              </w:rPr>
              <w:t>外售物资回收站</w:t>
            </w:r>
          </w:p>
        </w:tc>
        <w:tc>
          <w:tcPr>
            <w:tcW w:w="925" w:type="dxa"/>
            <w:vAlign w:val="top"/>
          </w:tcPr>
          <w:p w14:paraId="43E4D539">
            <w:pPr>
              <w:spacing w:before="67"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r w14:paraId="4B21A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36FE5D14">
            <w:pPr>
              <w:rPr>
                <w:rFonts w:ascii="Arial"/>
                <w:sz w:val="21"/>
              </w:rPr>
            </w:pPr>
          </w:p>
        </w:tc>
        <w:tc>
          <w:tcPr>
            <w:tcW w:w="1417" w:type="dxa"/>
            <w:gridSpan w:val="2"/>
            <w:vAlign w:val="top"/>
          </w:tcPr>
          <w:p w14:paraId="73686A7E">
            <w:pPr>
              <w:spacing w:before="67" w:line="224" w:lineRule="auto"/>
              <w:ind w:left="506"/>
              <w:rPr>
                <w:rFonts w:ascii="宋体" w:hAnsi="宋体" w:eastAsia="宋体" w:cs="宋体"/>
                <w:sz w:val="21"/>
                <w:szCs w:val="21"/>
              </w:rPr>
            </w:pPr>
            <w:r>
              <w:rPr>
                <w:rFonts w:ascii="宋体" w:hAnsi="宋体" w:eastAsia="宋体" w:cs="宋体"/>
                <w:spacing w:val="-4"/>
                <w:sz w:val="21"/>
                <w:szCs w:val="21"/>
              </w:rPr>
              <w:t>沼渣</w:t>
            </w:r>
          </w:p>
        </w:tc>
        <w:tc>
          <w:tcPr>
            <w:tcW w:w="998" w:type="dxa"/>
            <w:vAlign w:val="top"/>
          </w:tcPr>
          <w:p w14:paraId="510E89A9">
            <w:pPr>
              <w:pStyle w:val="6"/>
              <w:spacing w:before="100" w:line="192" w:lineRule="auto"/>
              <w:ind w:left="465"/>
            </w:pPr>
            <w:r>
              <w:t>/</w:t>
            </w:r>
          </w:p>
        </w:tc>
        <w:tc>
          <w:tcPr>
            <w:tcW w:w="963" w:type="dxa"/>
            <w:vAlign w:val="top"/>
          </w:tcPr>
          <w:p w14:paraId="0BBAED90">
            <w:pPr>
              <w:pStyle w:val="6"/>
              <w:spacing w:before="104" w:line="188" w:lineRule="auto"/>
              <w:ind w:left="266"/>
            </w:pPr>
            <w:r>
              <w:rPr>
                <w:spacing w:val="-5"/>
              </w:rPr>
              <w:t>127.8</w:t>
            </w:r>
          </w:p>
        </w:tc>
        <w:tc>
          <w:tcPr>
            <w:tcW w:w="1923" w:type="dxa"/>
            <w:gridSpan w:val="2"/>
            <w:vAlign w:val="top"/>
          </w:tcPr>
          <w:p w14:paraId="1BEEC7D7">
            <w:pPr>
              <w:spacing w:before="67" w:line="220" w:lineRule="auto"/>
              <w:ind w:left="443"/>
              <w:rPr>
                <w:rFonts w:ascii="宋体" w:hAnsi="宋体" w:eastAsia="宋体" w:cs="宋体"/>
                <w:sz w:val="21"/>
                <w:szCs w:val="21"/>
              </w:rPr>
            </w:pPr>
            <w:r>
              <w:rPr>
                <w:rFonts w:ascii="宋体" w:hAnsi="宋体" w:eastAsia="宋体" w:cs="宋体"/>
                <w:spacing w:val="-2"/>
                <w:sz w:val="21"/>
                <w:szCs w:val="21"/>
              </w:rPr>
              <w:t>堆粪棚暂存</w:t>
            </w:r>
          </w:p>
        </w:tc>
        <w:tc>
          <w:tcPr>
            <w:tcW w:w="1594" w:type="dxa"/>
            <w:vAlign w:val="top"/>
          </w:tcPr>
          <w:p w14:paraId="08F02B7E">
            <w:pPr>
              <w:spacing w:before="67" w:line="219" w:lineRule="auto"/>
              <w:ind w:left="385"/>
              <w:rPr>
                <w:rFonts w:ascii="宋体" w:hAnsi="宋体" w:eastAsia="宋体" w:cs="宋体"/>
                <w:sz w:val="21"/>
                <w:szCs w:val="21"/>
              </w:rPr>
            </w:pPr>
            <w:r>
              <w:rPr>
                <w:rFonts w:ascii="宋体" w:hAnsi="宋体" w:eastAsia="宋体" w:cs="宋体"/>
                <w:spacing w:val="-2"/>
                <w:sz w:val="21"/>
                <w:szCs w:val="21"/>
              </w:rPr>
              <w:t>有机肥厂</w:t>
            </w:r>
          </w:p>
        </w:tc>
        <w:tc>
          <w:tcPr>
            <w:tcW w:w="925" w:type="dxa"/>
            <w:vAlign w:val="top"/>
          </w:tcPr>
          <w:p w14:paraId="58CB9D69">
            <w:pPr>
              <w:spacing w:before="67"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r w14:paraId="03E52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0" w:type="dxa"/>
            <w:vMerge w:val="continue"/>
            <w:tcBorders>
              <w:top w:val="nil"/>
              <w:bottom w:val="nil"/>
            </w:tcBorders>
            <w:vAlign w:val="top"/>
          </w:tcPr>
          <w:p w14:paraId="5A419184">
            <w:pPr>
              <w:rPr>
                <w:rFonts w:ascii="Arial"/>
                <w:sz w:val="21"/>
              </w:rPr>
            </w:pPr>
          </w:p>
        </w:tc>
        <w:tc>
          <w:tcPr>
            <w:tcW w:w="1417" w:type="dxa"/>
            <w:gridSpan w:val="2"/>
            <w:vAlign w:val="top"/>
          </w:tcPr>
          <w:p w14:paraId="2D796A5C">
            <w:pPr>
              <w:spacing w:before="68" w:line="222" w:lineRule="auto"/>
              <w:ind w:left="504"/>
              <w:rPr>
                <w:rFonts w:ascii="宋体" w:hAnsi="宋体" w:eastAsia="宋体" w:cs="宋体"/>
                <w:sz w:val="21"/>
                <w:szCs w:val="21"/>
              </w:rPr>
            </w:pPr>
            <w:r>
              <w:rPr>
                <w:rFonts w:ascii="宋体" w:hAnsi="宋体" w:eastAsia="宋体" w:cs="宋体"/>
                <w:spacing w:val="-3"/>
                <w:sz w:val="21"/>
                <w:szCs w:val="21"/>
              </w:rPr>
              <w:t>污泥</w:t>
            </w:r>
          </w:p>
        </w:tc>
        <w:tc>
          <w:tcPr>
            <w:tcW w:w="998" w:type="dxa"/>
            <w:vAlign w:val="top"/>
          </w:tcPr>
          <w:p w14:paraId="4449D0F5">
            <w:pPr>
              <w:pStyle w:val="6"/>
              <w:spacing w:before="100" w:line="192" w:lineRule="auto"/>
              <w:ind w:left="465"/>
            </w:pPr>
            <w:r>
              <w:t>/</w:t>
            </w:r>
          </w:p>
        </w:tc>
        <w:tc>
          <w:tcPr>
            <w:tcW w:w="963" w:type="dxa"/>
            <w:vAlign w:val="top"/>
          </w:tcPr>
          <w:p w14:paraId="723AB1D7">
            <w:pPr>
              <w:pStyle w:val="6"/>
              <w:spacing w:before="104" w:line="188" w:lineRule="auto"/>
              <w:ind w:left="304"/>
            </w:pPr>
            <w:r>
              <w:rPr>
                <w:spacing w:val="-3"/>
              </w:rPr>
              <w:t>51.1</w:t>
            </w:r>
          </w:p>
        </w:tc>
        <w:tc>
          <w:tcPr>
            <w:tcW w:w="1923" w:type="dxa"/>
            <w:gridSpan w:val="2"/>
            <w:vAlign w:val="top"/>
          </w:tcPr>
          <w:p w14:paraId="387B58FE">
            <w:pPr>
              <w:spacing w:before="67" w:line="220" w:lineRule="auto"/>
              <w:ind w:left="443"/>
              <w:rPr>
                <w:rFonts w:ascii="宋体" w:hAnsi="宋体" w:eastAsia="宋体" w:cs="宋体"/>
                <w:sz w:val="21"/>
                <w:szCs w:val="21"/>
              </w:rPr>
            </w:pPr>
            <w:r>
              <w:rPr>
                <w:rFonts w:ascii="宋体" w:hAnsi="宋体" w:eastAsia="宋体" w:cs="宋体"/>
                <w:spacing w:val="-2"/>
                <w:sz w:val="21"/>
                <w:szCs w:val="21"/>
              </w:rPr>
              <w:t>堆粪棚暂存</w:t>
            </w:r>
          </w:p>
        </w:tc>
        <w:tc>
          <w:tcPr>
            <w:tcW w:w="1594" w:type="dxa"/>
            <w:vAlign w:val="top"/>
          </w:tcPr>
          <w:p w14:paraId="3FE9015D">
            <w:pPr>
              <w:spacing w:before="68" w:line="219" w:lineRule="auto"/>
              <w:ind w:left="385"/>
              <w:rPr>
                <w:rFonts w:ascii="宋体" w:hAnsi="宋体" w:eastAsia="宋体" w:cs="宋体"/>
                <w:sz w:val="21"/>
                <w:szCs w:val="21"/>
              </w:rPr>
            </w:pPr>
            <w:r>
              <w:rPr>
                <w:rFonts w:ascii="宋体" w:hAnsi="宋体" w:eastAsia="宋体" w:cs="宋体"/>
                <w:spacing w:val="-2"/>
                <w:sz w:val="21"/>
                <w:szCs w:val="21"/>
              </w:rPr>
              <w:t>有机肥厂</w:t>
            </w:r>
          </w:p>
        </w:tc>
        <w:tc>
          <w:tcPr>
            <w:tcW w:w="925" w:type="dxa"/>
            <w:vAlign w:val="top"/>
          </w:tcPr>
          <w:p w14:paraId="40A2861C">
            <w:pPr>
              <w:spacing w:before="67"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r w14:paraId="24FDB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7AAD0BCF">
            <w:pPr>
              <w:rPr>
                <w:rFonts w:ascii="Arial"/>
                <w:sz w:val="21"/>
              </w:rPr>
            </w:pPr>
          </w:p>
        </w:tc>
        <w:tc>
          <w:tcPr>
            <w:tcW w:w="1417" w:type="dxa"/>
            <w:gridSpan w:val="2"/>
            <w:vAlign w:val="top"/>
          </w:tcPr>
          <w:p w14:paraId="351A0309">
            <w:pPr>
              <w:spacing w:before="68" w:line="219" w:lineRule="auto"/>
              <w:ind w:left="291"/>
              <w:rPr>
                <w:rFonts w:ascii="宋体" w:hAnsi="宋体" w:eastAsia="宋体" w:cs="宋体"/>
                <w:sz w:val="21"/>
                <w:szCs w:val="21"/>
              </w:rPr>
            </w:pPr>
            <w:r>
              <w:rPr>
                <w:rFonts w:ascii="宋体" w:hAnsi="宋体" w:eastAsia="宋体" w:cs="宋体"/>
                <w:spacing w:val="-2"/>
                <w:sz w:val="21"/>
                <w:szCs w:val="21"/>
              </w:rPr>
              <w:t>废脱硫剂</w:t>
            </w:r>
          </w:p>
        </w:tc>
        <w:tc>
          <w:tcPr>
            <w:tcW w:w="998" w:type="dxa"/>
            <w:vAlign w:val="top"/>
          </w:tcPr>
          <w:p w14:paraId="745C6AF0">
            <w:pPr>
              <w:pStyle w:val="6"/>
              <w:spacing w:before="101" w:line="192" w:lineRule="auto"/>
              <w:ind w:left="465"/>
            </w:pPr>
            <w:r>
              <w:t>/</w:t>
            </w:r>
          </w:p>
        </w:tc>
        <w:tc>
          <w:tcPr>
            <w:tcW w:w="963" w:type="dxa"/>
            <w:vAlign w:val="top"/>
          </w:tcPr>
          <w:p w14:paraId="7F5C6F17">
            <w:pPr>
              <w:pStyle w:val="6"/>
              <w:spacing w:before="105" w:line="188" w:lineRule="auto"/>
              <w:ind w:left="357"/>
            </w:pPr>
            <w:r>
              <w:rPr>
                <w:spacing w:val="-4"/>
              </w:rPr>
              <w:t>5.2</w:t>
            </w:r>
          </w:p>
        </w:tc>
        <w:tc>
          <w:tcPr>
            <w:tcW w:w="1923" w:type="dxa"/>
            <w:gridSpan w:val="2"/>
            <w:vAlign w:val="top"/>
          </w:tcPr>
          <w:p w14:paraId="58A7EA41">
            <w:pPr>
              <w:spacing w:before="68" w:line="220" w:lineRule="auto"/>
              <w:ind w:left="551"/>
              <w:rPr>
                <w:rFonts w:ascii="宋体" w:hAnsi="宋体" w:eastAsia="宋体" w:cs="宋体"/>
                <w:sz w:val="21"/>
                <w:szCs w:val="21"/>
              </w:rPr>
            </w:pPr>
            <w:r>
              <w:rPr>
                <w:rFonts w:ascii="宋体" w:hAnsi="宋体" w:eastAsia="宋体" w:cs="宋体"/>
                <w:spacing w:val="-3"/>
                <w:sz w:val="21"/>
                <w:szCs w:val="21"/>
              </w:rPr>
              <w:t>定期更换</w:t>
            </w:r>
          </w:p>
        </w:tc>
        <w:tc>
          <w:tcPr>
            <w:tcW w:w="1594" w:type="dxa"/>
            <w:vAlign w:val="top"/>
          </w:tcPr>
          <w:p w14:paraId="2795CBAD">
            <w:pPr>
              <w:spacing w:before="68" w:line="220" w:lineRule="auto"/>
              <w:ind w:left="386"/>
              <w:rPr>
                <w:rFonts w:ascii="宋体" w:hAnsi="宋体" w:eastAsia="宋体" w:cs="宋体"/>
                <w:sz w:val="21"/>
                <w:szCs w:val="21"/>
              </w:rPr>
            </w:pPr>
            <w:r>
              <w:rPr>
                <w:rFonts w:ascii="宋体" w:hAnsi="宋体" w:eastAsia="宋体" w:cs="宋体"/>
                <w:spacing w:val="-3"/>
                <w:sz w:val="21"/>
                <w:szCs w:val="21"/>
              </w:rPr>
              <w:t>厂商回收</w:t>
            </w:r>
          </w:p>
        </w:tc>
        <w:tc>
          <w:tcPr>
            <w:tcW w:w="925" w:type="dxa"/>
            <w:vAlign w:val="top"/>
          </w:tcPr>
          <w:p w14:paraId="2F9E40C6">
            <w:pPr>
              <w:spacing w:before="68"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r w14:paraId="5C5AE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tcBorders>
              <w:top w:val="nil"/>
              <w:bottom w:val="nil"/>
            </w:tcBorders>
            <w:vAlign w:val="top"/>
          </w:tcPr>
          <w:p w14:paraId="61FF7F51">
            <w:pPr>
              <w:rPr>
                <w:rFonts w:ascii="Arial"/>
                <w:sz w:val="21"/>
              </w:rPr>
            </w:pPr>
          </w:p>
        </w:tc>
        <w:tc>
          <w:tcPr>
            <w:tcW w:w="1417" w:type="dxa"/>
            <w:gridSpan w:val="2"/>
            <w:vAlign w:val="top"/>
          </w:tcPr>
          <w:p w14:paraId="64F97F89">
            <w:pPr>
              <w:spacing w:before="69" w:line="220" w:lineRule="auto"/>
              <w:ind w:left="294"/>
              <w:rPr>
                <w:rFonts w:ascii="宋体" w:hAnsi="宋体" w:eastAsia="宋体" w:cs="宋体"/>
                <w:sz w:val="21"/>
                <w:szCs w:val="21"/>
              </w:rPr>
            </w:pPr>
            <w:r>
              <w:rPr>
                <w:rFonts w:ascii="宋体" w:hAnsi="宋体" w:eastAsia="宋体" w:cs="宋体"/>
                <w:spacing w:val="-2"/>
                <w:sz w:val="21"/>
                <w:szCs w:val="21"/>
              </w:rPr>
              <w:t>生活垃圾</w:t>
            </w:r>
          </w:p>
        </w:tc>
        <w:tc>
          <w:tcPr>
            <w:tcW w:w="998" w:type="dxa"/>
            <w:vAlign w:val="top"/>
          </w:tcPr>
          <w:p w14:paraId="4987EE47">
            <w:pPr>
              <w:pStyle w:val="6"/>
              <w:spacing w:before="101" w:line="192" w:lineRule="auto"/>
              <w:ind w:left="465"/>
            </w:pPr>
            <w:r>
              <w:t>/</w:t>
            </w:r>
          </w:p>
        </w:tc>
        <w:tc>
          <w:tcPr>
            <w:tcW w:w="963" w:type="dxa"/>
            <w:vAlign w:val="top"/>
          </w:tcPr>
          <w:p w14:paraId="07B8EF2B">
            <w:pPr>
              <w:pStyle w:val="6"/>
              <w:spacing w:before="105" w:line="188" w:lineRule="auto"/>
              <w:ind w:left="266"/>
            </w:pPr>
            <w:r>
              <w:rPr>
                <w:spacing w:val="-5"/>
              </w:rPr>
              <w:t>10.95</w:t>
            </w:r>
          </w:p>
        </w:tc>
        <w:tc>
          <w:tcPr>
            <w:tcW w:w="1923" w:type="dxa"/>
            <w:gridSpan w:val="2"/>
            <w:vAlign w:val="top"/>
          </w:tcPr>
          <w:p w14:paraId="19A64310">
            <w:pPr>
              <w:spacing w:before="68" w:line="220" w:lineRule="auto"/>
              <w:ind w:left="551"/>
              <w:rPr>
                <w:rFonts w:ascii="宋体" w:hAnsi="宋体" w:eastAsia="宋体" w:cs="宋体"/>
                <w:sz w:val="21"/>
                <w:szCs w:val="21"/>
              </w:rPr>
            </w:pPr>
            <w:r>
              <w:rPr>
                <w:rFonts w:ascii="宋体" w:hAnsi="宋体" w:eastAsia="宋体" w:cs="宋体"/>
                <w:spacing w:val="-4"/>
                <w:sz w:val="21"/>
                <w:szCs w:val="21"/>
              </w:rPr>
              <w:t>统一收集</w:t>
            </w:r>
          </w:p>
        </w:tc>
        <w:tc>
          <w:tcPr>
            <w:tcW w:w="1594" w:type="dxa"/>
            <w:vAlign w:val="top"/>
          </w:tcPr>
          <w:p w14:paraId="5F92F9AE">
            <w:pPr>
              <w:spacing w:before="68" w:line="220" w:lineRule="auto"/>
              <w:ind w:left="174"/>
              <w:rPr>
                <w:rFonts w:ascii="宋体" w:hAnsi="宋体" w:eastAsia="宋体" w:cs="宋体"/>
                <w:sz w:val="21"/>
                <w:szCs w:val="21"/>
              </w:rPr>
            </w:pPr>
            <w:r>
              <w:rPr>
                <w:rFonts w:ascii="宋体" w:hAnsi="宋体" w:eastAsia="宋体" w:cs="宋体"/>
                <w:spacing w:val="-2"/>
                <w:sz w:val="21"/>
                <w:szCs w:val="21"/>
              </w:rPr>
              <w:t>环卫部门清运</w:t>
            </w:r>
          </w:p>
        </w:tc>
        <w:tc>
          <w:tcPr>
            <w:tcW w:w="925" w:type="dxa"/>
            <w:vAlign w:val="top"/>
          </w:tcPr>
          <w:p w14:paraId="79AAD72E">
            <w:pPr>
              <w:spacing w:before="68"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r w14:paraId="73E02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70" w:type="dxa"/>
            <w:vMerge w:val="continue"/>
            <w:tcBorders>
              <w:top w:val="nil"/>
              <w:bottom w:val="nil"/>
            </w:tcBorders>
            <w:vAlign w:val="top"/>
          </w:tcPr>
          <w:p w14:paraId="6379ED2E">
            <w:pPr>
              <w:rPr>
                <w:rFonts w:ascii="Arial"/>
                <w:sz w:val="21"/>
              </w:rPr>
            </w:pPr>
          </w:p>
        </w:tc>
        <w:tc>
          <w:tcPr>
            <w:tcW w:w="1417" w:type="dxa"/>
            <w:gridSpan w:val="2"/>
            <w:vAlign w:val="top"/>
          </w:tcPr>
          <w:p w14:paraId="26522310">
            <w:pPr>
              <w:spacing w:before="210" w:line="220" w:lineRule="auto"/>
              <w:ind w:left="187"/>
              <w:rPr>
                <w:rFonts w:ascii="宋体" w:hAnsi="宋体" w:eastAsia="宋体" w:cs="宋体"/>
                <w:sz w:val="21"/>
                <w:szCs w:val="21"/>
              </w:rPr>
            </w:pPr>
            <w:r>
              <w:rPr>
                <w:rFonts w:ascii="宋体" w:hAnsi="宋体" w:eastAsia="宋体" w:cs="宋体"/>
                <w:spacing w:val="-2"/>
                <w:sz w:val="21"/>
                <w:szCs w:val="21"/>
              </w:rPr>
              <w:t>诊疗废弃物</w:t>
            </w:r>
          </w:p>
        </w:tc>
        <w:tc>
          <w:tcPr>
            <w:tcW w:w="998" w:type="dxa"/>
            <w:vAlign w:val="top"/>
          </w:tcPr>
          <w:p w14:paraId="56468FF1">
            <w:pPr>
              <w:pStyle w:val="6"/>
              <w:spacing w:before="243" w:line="192" w:lineRule="auto"/>
              <w:ind w:left="465"/>
            </w:pPr>
            <w:r>
              <w:t>/</w:t>
            </w:r>
          </w:p>
        </w:tc>
        <w:tc>
          <w:tcPr>
            <w:tcW w:w="963" w:type="dxa"/>
            <w:vAlign w:val="top"/>
          </w:tcPr>
          <w:p w14:paraId="35AC60F0">
            <w:pPr>
              <w:pStyle w:val="6"/>
              <w:spacing w:before="247" w:line="188" w:lineRule="auto"/>
              <w:ind w:left="351"/>
            </w:pPr>
            <w:r>
              <w:rPr>
                <w:spacing w:val="-2"/>
              </w:rPr>
              <w:t>2.0</w:t>
            </w:r>
          </w:p>
        </w:tc>
        <w:tc>
          <w:tcPr>
            <w:tcW w:w="1923" w:type="dxa"/>
            <w:gridSpan w:val="2"/>
            <w:vAlign w:val="top"/>
          </w:tcPr>
          <w:p w14:paraId="38649998">
            <w:pPr>
              <w:spacing w:before="210" w:line="220" w:lineRule="auto"/>
              <w:ind w:left="551"/>
              <w:rPr>
                <w:rFonts w:ascii="宋体" w:hAnsi="宋体" w:eastAsia="宋体" w:cs="宋体"/>
                <w:sz w:val="21"/>
                <w:szCs w:val="21"/>
              </w:rPr>
            </w:pPr>
            <w:r>
              <w:rPr>
                <w:rFonts w:ascii="宋体" w:hAnsi="宋体" w:eastAsia="宋体" w:cs="宋体"/>
                <w:spacing w:val="-4"/>
                <w:sz w:val="21"/>
                <w:szCs w:val="21"/>
              </w:rPr>
              <w:t>统一收集</w:t>
            </w:r>
          </w:p>
        </w:tc>
        <w:tc>
          <w:tcPr>
            <w:tcW w:w="1594" w:type="dxa"/>
            <w:vAlign w:val="top"/>
          </w:tcPr>
          <w:p w14:paraId="3D8F4EA2">
            <w:pPr>
              <w:spacing w:before="54" w:line="248" w:lineRule="auto"/>
              <w:ind w:left="176" w:right="57" w:hanging="105"/>
              <w:rPr>
                <w:rFonts w:ascii="宋体" w:hAnsi="宋体" w:eastAsia="宋体" w:cs="宋体"/>
                <w:sz w:val="21"/>
                <w:szCs w:val="21"/>
              </w:rPr>
            </w:pPr>
            <w:r>
              <w:rPr>
                <w:rFonts w:ascii="宋体" w:hAnsi="宋体" w:eastAsia="宋体" w:cs="宋体"/>
                <w:spacing w:val="-2"/>
                <w:sz w:val="21"/>
                <w:szCs w:val="21"/>
              </w:rPr>
              <w:t>按畜牧兽医主管部门规定处置</w:t>
            </w:r>
          </w:p>
        </w:tc>
        <w:tc>
          <w:tcPr>
            <w:tcW w:w="925" w:type="dxa"/>
            <w:vAlign w:val="top"/>
          </w:tcPr>
          <w:p w14:paraId="34B04D3C">
            <w:pPr>
              <w:spacing w:before="210"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r w14:paraId="52325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70" w:type="dxa"/>
            <w:vMerge w:val="continue"/>
            <w:tcBorders>
              <w:top w:val="nil"/>
            </w:tcBorders>
            <w:vAlign w:val="top"/>
          </w:tcPr>
          <w:p w14:paraId="3C76E143">
            <w:pPr>
              <w:rPr>
                <w:rFonts w:ascii="Arial"/>
                <w:sz w:val="21"/>
              </w:rPr>
            </w:pPr>
          </w:p>
        </w:tc>
        <w:tc>
          <w:tcPr>
            <w:tcW w:w="1417" w:type="dxa"/>
            <w:gridSpan w:val="2"/>
            <w:vAlign w:val="top"/>
          </w:tcPr>
          <w:p w14:paraId="18D9BD70">
            <w:pPr>
              <w:spacing w:before="68" w:line="220" w:lineRule="auto"/>
              <w:ind w:left="291"/>
              <w:rPr>
                <w:rFonts w:ascii="宋体" w:hAnsi="宋体" w:eastAsia="宋体" w:cs="宋体"/>
                <w:sz w:val="21"/>
                <w:szCs w:val="21"/>
              </w:rPr>
            </w:pPr>
            <w:r>
              <w:rPr>
                <w:rFonts w:ascii="宋体" w:hAnsi="宋体" w:eastAsia="宋体" w:cs="宋体"/>
                <w:spacing w:val="-2"/>
                <w:sz w:val="21"/>
                <w:szCs w:val="21"/>
              </w:rPr>
              <w:t>废矿物油</w:t>
            </w:r>
          </w:p>
        </w:tc>
        <w:tc>
          <w:tcPr>
            <w:tcW w:w="998" w:type="dxa"/>
            <w:vAlign w:val="top"/>
          </w:tcPr>
          <w:p w14:paraId="041556F8">
            <w:pPr>
              <w:pStyle w:val="6"/>
              <w:spacing w:before="101" w:line="192" w:lineRule="auto"/>
              <w:ind w:left="465"/>
            </w:pPr>
            <w:r>
              <w:t>/</w:t>
            </w:r>
          </w:p>
        </w:tc>
        <w:tc>
          <w:tcPr>
            <w:tcW w:w="963" w:type="dxa"/>
            <w:vAlign w:val="top"/>
          </w:tcPr>
          <w:p w14:paraId="034A0E25">
            <w:pPr>
              <w:pStyle w:val="6"/>
              <w:spacing w:before="105" w:line="188" w:lineRule="auto"/>
              <w:ind w:left="354"/>
            </w:pPr>
            <w:r>
              <w:rPr>
                <w:spacing w:val="-3"/>
              </w:rPr>
              <w:t>0.1</w:t>
            </w:r>
          </w:p>
        </w:tc>
        <w:tc>
          <w:tcPr>
            <w:tcW w:w="1923" w:type="dxa"/>
            <w:gridSpan w:val="2"/>
            <w:vAlign w:val="top"/>
          </w:tcPr>
          <w:p w14:paraId="2CAC8EC0">
            <w:pPr>
              <w:spacing w:before="68" w:line="220" w:lineRule="auto"/>
              <w:ind w:left="551"/>
              <w:rPr>
                <w:rFonts w:ascii="宋体" w:hAnsi="宋体" w:eastAsia="宋体" w:cs="宋体"/>
                <w:sz w:val="21"/>
                <w:szCs w:val="21"/>
              </w:rPr>
            </w:pPr>
            <w:r>
              <w:rPr>
                <w:rFonts w:ascii="宋体" w:hAnsi="宋体" w:eastAsia="宋体" w:cs="宋体"/>
                <w:spacing w:val="-4"/>
                <w:sz w:val="21"/>
                <w:szCs w:val="21"/>
              </w:rPr>
              <w:t>统一收集</w:t>
            </w:r>
          </w:p>
        </w:tc>
        <w:tc>
          <w:tcPr>
            <w:tcW w:w="1594" w:type="dxa"/>
            <w:vAlign w:val="top"/>
          </w:tcPr>
          <w:p w14:paraId="53076284">
            <w:pPr>
              <w:spacing w:before="68" w:line="220" w:lineRule="auto"/>
              <w:ind w:left="70"/>
              <w:rPr>
                <w:rFonts w:ascii="宋体" w:hAnsi="宋体" w:eastAsia="宋体" w:cs="宋体"/>
                <w:sz w:val="21"/>
                <w:szCs w:val="21"/>
              </w:rPr>
            </w:pPr>
            <w:r>
              <w:rPr>
                <w:rFonts w:ascii="宋体" w:hAnsi="宋体" w:eastAsia="宋体" w:cs="宋体"/>
                <w:spacing w:val="-2"/>
                <w:sz w:val="21"/>
                <w:szCs w:val="21"/>
              </w:rPr>
              <w:t>有资质单位收运</w:t>
            </w:r>
          </w:p>
        </w:tc>
        <w:tc>
          <w:tcPr>
            <w:tcW w:w="925" w:type="dxa"/>
            <w:vAlign w:val="top"/>
          </w:tcPr>
          <w:p w14:paraId="17C3DA03">
            <w:pPr>
              <w:spacing w:before="68" w:line="220" w:lineRule="auto"/>
              <w:ind w:left="64"/>
              <w:rPr>
                <w:rFonts w:ascii="宋体" w:hAnsi="宋体" w:eastAsia="宋体" w:cs="宋体"/>
                <w:sz w:val="21"/>
                <w:szCs w:val="21"/>
              </w:rPr>
            </w:pPr>
            <w:r>
              <w:rPr>
                <w:rFonts w:ascii="宋体" w:hAnsi="宋体" w:eastAsia="宋体" w:cs="宋体"/>
                <w:spacing w:val="-5"/>
                <w:sz w:val="21"/>
                <w:szCs w:val="21"/>
              </w:rPr>
              <w:t>间歇产生</w:t>
            </w:r>
          </w:p>
        </w:tc>
      </w:tr>
    </w:tbl>
    <w:p w14:paraId="7D6633E2">
      <w:pPr>
        <w:spacing w:before="282" w:line="220" w:lineRule="auto"/>
        <w:ind w:left="37"/>
        <w:rPr>
          <w:rFonts w:ascii="宋体" w:hAnsi="宋体" w:eastAsia="宋体" w:cs="宋体"/>
          <w:sz w:val="30"/>
          <w:szCs w:val="30"/>
        </w:rPr>
      </w:pPr>
      <w:r>
        <w:rPr>
          <w:rFonts w:ascii="Times New Roman" w:hAnsi="Times New Roman" w:eastAsia="Times New Roman" w:cs="Times New Roman"/>
          <w:b/>
          <w:bCs/>
          <w:spacing w:val="-4"/>
          <w:sz w:val="30"/>
          <w:szCs w:val="30"/>
        </w:rPr>
        <w:t>2.2.5</w:t>
      </w:r>
      <w:r>
        <w:rPr>
          <w:rFonts w:ascii="Times New Roman" w:hAnsi="Times New Roman" w:eastAsia="Times New Roman" w:cs="Times New Roman"/>
          <w:b/>
          <w:bCs/>
          <w:spacing w:val="11"/>
          <w:sz w:val="30"/>
          <w:szCs w:val="30"/>
        </w:rPr>
        <w:t xml:space="preserve">  </w:t>
      </w:r>
      <w:r>
        <w:rPr>
          <w:rFonts w:ascii="宋体" w:hAnsi="宋体" w:eastAsia="宋体" w:cs="宋体"/>
          <w:b/>
          <w:bCs/>
          <w:spacing w:val="-4"/>
          <w:sz w:val="30"/>
          <w:szCs w:val="30"/>
        </w:rPr>
        <w:t>总量控制</w:t>
      </w:r>
    </w:p>
    <w:p w14:paraId="0E2C54EE">
      <w:pPr>
        <w:pStyle w:val="2"/>
        <w:spacing w:line="258" w:lineRule="auto"/>
      </w:pPr>
    </w:p>
    <w:p w14:paraId="3CC94C71">
      <w:pPr>
        <w:spacing w:before="78" w:line="360" w:lineRule="auto"/>
        <w:ind w:left="27" w:right="79" w:firstLine="538"/>
        <w:rPr>
          <w:rFonts w:ascii="宋体" w:hAnsi="宋体" w:eastAsia="宋体" w:cs="宋体"/>
          <w:sz w:val="24"/>
          <w:szCs w:val="24"/>
        </w:rPr>
      </w:pPr>
      <w:r>
        <w:rPr>
          <w:rFonts w:ascii="宋体" w:hAnsi="宋体" w:eastAsia="宋体" w:cs="宋体"/>
          <w:spacing w:val="-17"/>
          <w:sz w:val="24"/>
          <w:szCs w:val="24"/>
        </w:rPr>
        <w:t>目前，国家实施排放总量控制的污染物为：废水（</w:t>
      </w:r>
      <w:r>
        <w:rPr>
          <w:rFonts w:ascii="Times New Roman" w:hAnsi="Times New Roman" w:eastAsia="Times New Roman" w:cs="Times New Roman"/>
          <w:spacing w:val="-17"/>
          <w:sz w:val="24"/>
          <w:szCs w:val="24"/>
        </w:rPr>
        <w:t>COD</w:t>
      </w:r>
      <w:r>
        <w:rPr>
          <w:rFonts w:ascii="宋体" w:hAnsi="宋体" w:eastAsia="宋体" w:cs="宋体"/>
          <w:spacing w:val="-17"/>
          <w:sz w:val="24"/>
          <w:szCs w:val="24"/>
        </w:rPr>
        <w:t>、</w:t>
      </w:r>
      <w:r>
        <w:rPr>
          <w:rFonts w:ascii="Times New Roman" w:hAnsi="Times New Roman" w:eastAsia="Times New Roman" w:cs="Times New Roman"/>
          <w:spacing w:val="-17"/>
          <w:sz w:val="24"/>
          <w:szCs w:val="24"/>
        </w:rPr>
        <w:t>NH</w:t>
      </w:r>
      <w:r>
        <w:rPr>
          <w:rFonts w:ascii="Times New Roman" w:hAnsi="Times New Roman" w:eastAsia="Times New Roman" w:cs="Times New Roman"/>
          <w:spacing w:val="7"/>
          <w:position w:val="-2"/>
          <w:sz w:val="15"/>
          <w:szCs w:val="15"/>
        </w:rPr>
        <w:t>3</w:t>
      </w:r>
      <w:r>
        <w:rPr>
          <w:rFonts w:ascii="Times New Roman" w:hAnsi="Times New Roman" w:eastAsia="Times New Roman" w:cs="Times New Roman"/>
          <w:spacing w:val="7"/>
          <w:sz w:val="24"/>
          <w:szCs w:val="24"/>
        </w:rPr>
        <w:t>-N</w:t>
      </w:r>
      <w:r>
        <w:rPr>
          <w:rFonts w:ascii="宋体" w:hAnsi="宋体" w:eastAsia="宋体" w:cs="宋体"/>
          <w:spacing w:val="-51"/>
          <w:w w:val="81"/>
          <w:sz w:val="24"/>
          <w:szCs w:val="24"/>
        </w:rPr>
        <w:t>），</w:t>
      </w:r>
      <w:r>
        <w:rPr>
          <w:rFonts w:ascii="宋体" w:hAnsi="宋体" w:eastAsia="宋体" w:cs="宋体"/>
          <w:spacing w:val="-22"/>
          <w:sz w:val="24"/>
          <w:szCs w:val="24"/>
        </w:rPr>
        <w:t>废气（</w:t>
      </w:r>
      <w:r>
        <w:rPr>
          <w:rFonts w:ascii="Times New Roman" w:hAnsi="Times New Roman" w:eastAsia="Times New Roman" w:cs="Times New Roman"/>
          <w:spacing w:val="-22"/>
          <w:sz w:val="24"/>
          <w:szCs w:val="24"/>
        </w:rPr>
        <w:t>SO</w:t>
      </w:r>
      <w:r>
        <w:rPr>
          <w:rFonts w:ascii="Times New Roman" w:hAnsi="Times New Roman" w:eastAsia="Times New Roman" w:cs="Times New Roman"/>
          <w:spacing w:val="4"/>
          <w:position w:val="-2"/>
          <w:sz w:val="15"/>
          <w:szCs w:val="15"/>
        </w:rPr>
        <w:t>2</w:t>
      </w:r>
      <w:r>
        <w:rPr>
          <w:rFonts w:ascii="Times New Roman" w:hAnsi="Times New Roman" w:eastAsia="Times New Roman" w:cs="Times New Roman"/>
          <w:spacing w:val="-11"/>
          <w:position w:val="-2"/>
          <w:sz w:val="15"/>
          <w:szCs w:val="15"/>
        </w:rPr>
        <w:t xml:space="preserve"> </w:t>
      </w:r>
      <w:r>
        <w:rPr>
          <w:rFonts w:ascii="宋体" w:hAnsi="宋体" w:eastAsia="宋体" w:cs="宋体"/>
          <w:spacing w:val="-26"/>
          <w:sz w:val="24"/>
          <w:szCs w:val="24"/>
        </w:rPr>
        <w:t>、</w:t>
      </w:r>
      <w:r>
        <w:rPr>
          <w:rFonts w:ascii="宋体" w:hAnsi="宋体" w:eastAsia="宋体" w:cs="宋体"/>
          <w:sz w:val="24"/>
          <w:szCs w:val="24"/>
        </w:rPr>
        <w:t xml:space="preserve"> </w:t>
      </w:r>
      <w:r>
        <w:rPr>
          <w:rFonts w:ascii="Times New Roman" w:hAnsi="Times New Roman" w:eastAsia="Times New Roman" w:cs="Times New Roman"/>
          <w:spacing w:val="-5"/>
          <w:sz w:val="24"/>
          <w:szCs w:val="24"/>
        </w:rPr>
        <w:t>NOx</w:t>
      </w:r>
      <w:r>
        <w:rPr>
          <w:rFonts w:ascii="宋体" w:hAnsi="宋体" w:eastAsia="宋体" w:cs="宋体"/>
          <w:spacing w:val="-5"/>
          <w:sz w:val="24"/>
          <w:szCs w:val="24"/>
        </w:rPr>
        <w:t>、工业性粉尘、挥发性有机物</w:t>
      </w:r>
      <w:r>
        <w:rPr>
          <w:rFonts w:ascii="宋体" w:hAnsi="宋体" w:eastAsia="宋体" w:cs="宋体"/>
          <w:spacing w:val="-15"/>
          <w:sz w:val="24"/>
          <w:szCs w:val="24"/>
        </w:rPr>
        <w:t>）</w:t>
      </w:r>
      <w:r>
        <w:rPr>
          <w:rFonts w:ascii="宋体" w:hAnsi="宋体" w:eastAsia="宋体" w:cs="宋体"/>
          <w:spacing w:val="35"/>
          <w:sz w:val="24"/>
          <w:szCs w:val="24"/>
        </w:rPr>
        <w:t xml:space="preserve"> </w:t>
      </w:r>
      <w:r>
        <w:rPr>
          <w:rFonts w:ascii="宋体" w:hAnsi="宋体" w:eastAsia="宋体" w:cs="宋体"/>
          <w:spacing w:val="-15"/>
          <w:sz w:val="24"/>
          <w:szCs w:val="24"/>
        </w:rPr>
        <w:t>，</w:t>
      </w:r>
      <w:r>
        <w:rPr>
          <w:rFonts w:ascii="宋体" w:hAnsi="宋体" w:eastAsia="宋体" w:cs="宋体"/>
          <w:spacing w:val="-5"/>
          <w:sz w:val="24"/>
          <w:szCs w:val="24"/>
        </w:rPr>
        <w:t>本项目废水涉及</w:t>
      </w:r>
      <w:r>
        <w:rPr>
          <w:rFonts w:ascii="Times New Roman" w:hAnsi="Times New Roman" w:eastAsia="Times New Roman" w:cs="Times New Roman"/>
          <w:spacing w:val="-5"/>
          <w:sz w:val="24"/>
          <w:szCs w:val="24"/>
        </w:rPr>
        <w:t>COD</w:t>
      </w:r>
      <w:r>
        <w:rPr>
          <w:rFonts w:ascii="宋体" w:hAnsi="宋体" w:eastAsia="宋体" w:cs="宋体"/>
          <w:spacing w:val="-5"/>
          <w:sz w:val="24"/>
          <w:szCs w:val="24"/>
        </w:rPr>
        <w:t>、</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position w:val="-2"/>
          <w:sz w:val="15"/>
          <w:szCs w:val="15"/>
        </w:rPr>
        <w:t>3</w:t>
      </w:r>
      <w:r>
        <w:rPr>
          <w:rFonts w:ascii="Times New Roman" w:hAnsi="Times New Roman" w:eastAsia="Times New Roman" w:cs="Times New Roman"/>
          <w:spacing w:val="-5"/>
          <w:sz w:val="24"/>
          <w:szCs w:val="24"/>
        </w:rPr>
        <w:t>-N</w:t>
      </w:r>
      <w:r>
        <w:rPr>
          <w:rFonts w:ascii="宋体" w:hAnsi="宋体" w:eastAsia="宋体" w:cs="宋体"/>
          <w:spacing w:val="-5"/>
          <w:sz w:val="24"/>
          <w:szCs w:val="24"/>
        </w:rPr>
        <w:t>因子，</w:t>
      </w:r>
      <w:r>
        <w:rPr>
          <w:rFonts w:ascii="宋体" w:hAnsi="宋体" w:eastAsia="宋体" w:cs="宋体"/>
          <w:spacing w:val="-6"/>
          <w:sz w:val="24"/>
          <w:szCs w:val="24"/>
        </w:rPr>
        <w:t>废气</w:t>
      </w:r>
      <w:r>
        <w:rPr>
          <w:rFonts w:ascii="宋体" w:hAnsi="宋体" w:eastAsia="宋体" w:cs="宋体"/>
          <w:sz w:val="24"/>
          <w:szCs w:val="24"/>
        </w:rPr>
        <w:t>涉及</w:t>
      </w:r>
      <w:r>
        <w:rPr>
          <w:rFonts w:ascii="Times New Roman" w:hAnsi="Times New Roman" w:eastAsia="Times New Roman" w:cs="Times New Roman"/>
          <w:sz w:val="24"/>
          <w:szCs w:val="24"/>
        </w:rPr>
        <w:t>SO</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10"/>
          <w:position w:val="-2"/>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NOx</w:t>
      </w:r>
      <w:r>
        <w:rPr>
          <w:rFonts w:ascii="宋体" w:hAnsi="宋体" w:eastAsia="宋体" w:cs="宋体"/>
          <w:sz w:val="24"/>
          <w:szCs w:val="24"/>
        </w:rPr>
        <w:t>因子。根据《内江市生态环境局关于实施生</w:t>
      </w:r>
      <w:r>
        <w:rPr>
          <w:rFonts w:ascii="宋体" w:hAnsi="宋体" w:eastAsia="宋体" w:cs="宋体"/>
          <w:spacing w:val="-1"/>
          <w:sz w:val="24"/>
          <w:szCs w:val="24"/>
        </w:rPr>
        <w:t>猪养殖项目环评告知</w:t>
      </w:r>
      <w:r>
        <w:rPr>
          <w:rFonts w:ascii="宋体" w:hAnsi="宋体" w:eastAsia="宋体" w:cs="宋体"/>
          <w:spacing w:val="2"/>
          <w:sz w:val="24"/>
          <w:szCs w:val="24"/>
        </w:rPr>
        <w:t>承诺制试点相关工作的通知》（内市环发</w:t>
      </w:r>
      <w:r>
        <w:rPr>
          <w:rFonts w:ascii="Times New Roman" w:hAnsi="Times New Roman" w:eastAsia="Times New Roman" w:cs="Times New Roman"/>
          <w:spacing w:val="2"/>
          <w:sz w:val="24"/>
          <w:szCs w:val="24"/>
        </w:rPr>
        <w:t>[</w:t>
      </w:r>
      <w:r>
        <w:fldChar w:fldCharType="begin"/>
      </w:r>
      <w:r>
        <w:instrText xml:space="preserve"> HYPERLINK \l "bookmark157" </w:instrText>
      </w:r>
      <w:r>
        <w:fldChar w:fldCharType="separate"/>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193</w:t>
      </w:r>
      <w:r>
        <w:rPr>
          <w:rFonts w:ascii="宋体" w:hAnsi="宋体" w:eastAsia="宋体" w:cs="宋体"/>
          <w:spacing w:val="2"/>
          <w:sz w:val="24"/>
          <w:szCs w:val="24"/>
        </w:rPr>
        <w:t>号</w:t>
      </w:r>
      <w:r>
        <w:rPr>
          <w:rFonts w:ascii="宋体" w:hAnsi="宋体" w:eastAsia="宋体" w:cs="宋体"/>
          <w:spacing w:val="3"/>
          <w:sz w:val="24"/>
          <w:szCs w:val="24"/>
        </w:rPr>
        <w:t>）：</w:t>
      </w:r>
      <w:r>
        <w:rPr>
          <w:rFonts w:ascii="宋体" w:hAnsi="宋体" w:eastAsia="宋体" w:cs="宋体"/>
          <w:spacing w:val="2"/>
          <w:sz w:val="24"/>
          <w:szCs w:val="24"/>
        </w:rPr>
        <w:t>“规模以下生猪养殖</w:t>
      </w:r>
      <w:r>
        <w:rPr>
          <w:rFonts w:ascii="宋体" w:hAnsi="宋体" w:eastAsia="宋体" w:cs="宋体"/>
          <w:spacing w:val="-2"/>
          <w:sz w:val="24"/>
          <w:szCs w:val="24"/>
        </w:rPr>
        <w:t>场（小区）和不设置污水排放口的规模以上生猪养殖场（小区</w:t>
      </w:r>
      <w:r>
        <w:rPr>
          <w:rFonts w:ascii="宋体" w:hAnsi="宋体" w:eastAsia="宋体" w:cs="宋体"/>
          <w:spacing w:val="-13"/>
          <w:sz w:val="24"/>
          <w:szCs w:val="24"/>
        </w:rPr>
        <w:t>），</w:t>
      </w:r>
      <w:r>
        <w:rPr>
          <w:rFonts w:ascii="宋体" w:hAnsi="宋体" w:eastAsia="宋体" w:cs="宋体"/>
          <w:spacing w:val="-2"/>
          <w:sz w:val="24"/>
          <w:szCs w:val="24"/>
        </w:rPr>
        <w:t>无需申领排污</w:t>
      </w:r>
      <w:r>
        <w:rPr>
          <w:rFonts w:ascii="宋体" w:hAnsi="宋体" w:eastAsia="宋体" w:cs="宋体"/>
          <w:spacing w:val="-3"/>
          <w:sz w:val="24"/>
          <w:szCs w:val="24"/>
        </w:rPr>
        <w:t>许可证和取得总量指标”。</w:t>
      </w:r>
    </w:p>
    <w:p w14:paraId="1585507F">
      <w:pPr>
        <w:spacing w:before="1" w:line="361" w:lineRule="auto"/>
        <w:ind w:left="39" w:right="78" w:firstLine="480"/>
        <w:rPr>
          <w:rFonts w:ascii="宋体" w:hAnsi="宋体" w:eastAsia="宋体" w:cs="宋体"/>
          <w:sz w:val="24"/>
          <w:szCs w:val="24"/>
        </w:rPr>
      </w:pPr>
      <w:r>
        <w:rPr>
          <w:rFonts w:ascii="宋体" w:hAnsi="宋体" w:eastAsia="宋体" w:cs="宋体"/>
          <w:spacing w:val="4"/>
          <w:sz w:val="24"/>
          <w:szCs w:val="24"/>
        </w:rPr>
        <w:t>本项目生产废水和生活污水经污水处理系统处理达标后用于项目周边消纳</w:t>
      </w:r>
      <w:r>
        <w:rPr>
          <w:rFonts w:ascii="宋体" w:hAnsi="宋体" w:eastAsia="宋体" w:cs="宋体"/>
          <w:spacing w:val="-1"/>
          <w:sz w:val="24"/>
          <w:szCs w:val="24"/>
        </w:rPr>
        <w:t>地农灌，废水不外排，不设污水排放口，因此本项</w:t>
      </w:r>
      <w:r>
        <w:rPr>
          <w:rFonts w:ascii="宋体" w:hAnsi="宋体" w:eastAsia="宋体" w:cs="宋体"/>
          <w:spacing w:val="-2"/>
          <w:sz w:val="24"/>
          <w:szCs w:val="24"/>
        </w:rPr>
        <w:t>目不涉及总量控制指标。</w:t>
      </w:r>
    </w:p>
    <w:p w14:paraId="518B1D8F">
      <w:pPr>
        <w:spacing w:line="361" w:lineRule="auto"/>
        <w:rPr>
          <w:rFonts w:ascii="宋体" w:hAnsi="宋体" w:eastAsia="宋体" w:cs="宋体"/>
          <w:sz w:val="24"/>
          <w:szCs w:val="24"/>
        </w:rPr>
        <w:sectPr>
          <w:footerReference r:id="rId238" w:type="default"/>
          <w:pgSz w:w="11905" w:h="16840"/>
          <w:pgMar w:top="1168" w:right="1718" w:bottom="1409" w:left="1770" w:header="828" w:footer="1244" w:gutter="0"/>
          <w:cols w:space="720" w:num="1"/>
        </w:sectPr>
      </w:pPr>
    </w:p>
    <w:p w14:paraId="1FC51AE1">
      <w:pPr>
        <w:spacing w:before="363" w:line="218" w:lineRule="auto"/>
        <w:ind w:left="1373"/>
        <w:outlineLvl w:val="0"/>
        <w:rPr>
          <w:rFonts w:ascii="宋体" w:hAnsi="宋体" w:eastAsia="宋体" w:cs="宋体"/>
          <w:sz w:val="44"/>
          <w:szCs w:val="44"/>
        </w:rPr>
      </w:pPr>
      <w:bookmarkStart w:id="30" w:name="bookmark18"/>
      <w:bookmarkEnd w:id="30"/>
      <w:r>
        <w:rPr>
          <w:rFonts w:ascii="宋体" w:hAnsi="宋体" w:eastAsia="宋体" w:cs="宋体"/>
          <w:b/>
          <w:bCs/>
          <w:spacing w:val="-7"/>
          <w:sz w:val="44"/>
          <w:szCs w:val="44"/>
        </w:rPr>
        <w:t>第三章</w:t>
      </w:r>
      <w:r>
        <w:rPr>
          <w:rFonts w:ascii="宋体" w:hAnsi="宋体" w:eastAsia="宋体" w:cs="宋体"/>
          <w:spacing w:val="163"/>
          <w:sz w:val="44"/>
          <w:szCs w:val="44"/>
        </w:rPr>
        <w:t xml:space="preserve"> </w:t>
      </w:r>
      <w:r>
        <w:rPr>
          <w:rFonts w:ascii="宋体" w:hAnsi="宋体" w:eastAsia="宋体" w:cs="宋体"/>
          <w:b/>
          <w:bCs/>
          <w:spacing w:val="-7"/>
          <w:sz w:val="44"/>
          <w:szCs w:val="44"/>
        </w:rPr>
        <w:t>环境现状调查与评价</w:t>
      </w:r>
    </w:p>
    <w:p w14:paraId="5F9DC211">
      <w:pPr>
        <w:spacing w:before="283" w:line="220" w:lineRule="auto"/>
        <w:ind w:left="35"/>
        <w:outlineLvl w:val="1"/>
        <w:rPr>
          <w:rFonts w:ascii="宋体" w:hAnsi="宋体" w:eastAsia="宋体" w:cs="宋体"/>
          <w:sz w:val="32"/>
          <w:szCs w:val="32"/>
        </w:rPr>
      </w:pPr>
      <w:bookmarkStart w:id="31" w:name="bookmark19"/>
      <w:bookmarkEnd w:id="31"/>
      <w:r>
        <w:rPr>
          <w:rFonts w:ascii="Times New Roman" w:hAnsi="Times New Roman" w:eastAsia="Times New Roman" w:cs="Times New Roman"/>
          <w:b/>
          <w:bCs/>
          <w:spacing w:val="-9"/>
          <w:sz w:val="32"/>
          <w:szCs w:val="32"/>
        </w:rPr>
        <w:t>3.1</w:t>
      </w:r>
      <w:r>
        <w:rPr>
          <w:rFonts w:ascii="Times New Roman" w:hAnsi="Times New Roman" w:eastAsia="Times New Roman" w:cs="Times New Roman"/>
          <w:b/>
          <w:bCs/>
          <w:spacing w:val="36"/>
          <w:sz w:val="32"/>
          <w:szCs w:val="32"/>
        </w:rPr>
        <w:t xml:space="preserve">  </w:t>
      </w:r>
      <w:r>
        <w:rPr>
          <w:rFonts w:ascii="宋体" w:hAnsi="宋体" w:eastAsia="宋体" w:cs="宋体"/>
          <w:b/>
          <w:bCs/>
          <w:spacing w:val="-9"/>
          <w:sz w:val="32"/>
          <w:szCs w:val="32"/>
        </w:rPr>
        <w:t>自然环境概况</w:t>
      </w:r>
    </w:p>
    <w:p w14:paraId="3296A6EC">
      <w:pPr>
        <w:pStyle w:val="2"/>
        <w:spacing w:line="275" w:lineRule="auto"/>
      </w:pPr>
    </w:p>
    <w:p w14:paraId="632BBFE5">
      <w:pPr>
        <w:spacing w:before="97" w:line="221"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3.1.1  </w:t>
      </w:r>
      <w:r>
        <w:rPr>
          <w:rFonts w:ascii="宋体" w:hAnsi="宋体" w:eastAsia="宋体" w:cs="宋体"/>
          <w:b/>
          <w:bCs/>
          <w:spacing w:val="-2"/>
          <w:sz w:val="30"/>
          <w:szCs w:val="30"/>
        </w:rPr>
        <w:t>地理位置</w:t>
      </w:r>
    </w:p>
    <w:p w14:paraId="39F11430">
      <w:pPr>
        <w:pStyle w:val="2"/>
        <w:spacing w:line="257" w:lineRule="auto"/>
      </w:pPr>
    </w:p>
    <w:p w14:paraId="5FFCB548">
      <w:pPr>
        <w:spacing w:before="78" w:line="360" w:lineRule="auto"/>
        <w:ind w:left="39" w:firstLine="509"/>
        <w:jc w:val="both"/>
        <w:rPr>
          <w:rFonts w:ascii="宋体" w:hAnsi="宋体" w:eastAsia="宋体" w:cs="宋体"/>
          <w:sz w:val="24"/>
          <w:szCs w:val="24"/>
        </w:rPr>
      </w:pPr>
      <w:r>
        <w:rPr>
          <w:rFonts w:ascii="宋体" w:hAnsi="宋体" w:eastAsia="宋体" w:cs="宋体"/>
          <w:spacing w:val="-4"/>
          <w:sz w:val="24"/>
          <w:szCs w:val="24"/>
        </w:rPr>
        <w:t>内江市位于四川盆地东南部，沱江下游中段介于</w:t>
      </w:r>
      <w:r>
        <w:rPr>
          <w:rFonts w:ascii="Times New Roman" w:hAnsi="Times New Roman" w:eastAsia="Times New Roman" w:cs="Times New Roman"/>
          <w:spacing w:val="-4"/>
          <w:sz w:val="24"/>
          <w:szCs w:val="24"/>
        </w:rPr>
        <w:t>104°15,</w:t>
      </w:r>
      <w:r>
        <w:rPr>
          <w:rFonts w:ascii="宋体" w:hAnsi="宋体" w:eastAsia="宋体" w:cs="宋体"/>
          <w:spacing w:val="-4"/>
          <w:sz w:val="24"/>
          <w:szCs w:val="24"/>
        </w:rPr>
        <w:t>～</w:t>
      </w:r>
      <w:r>
        <w:rPr>
          <w:rFonts w:ascii="Times New Roman" w:hAnsi="Times New Roman" w:eastAsia="Times New Roman" w:cs="Times New Roman"/>
          <w:spacing w:val="-4"/>
          <w:sz w:val="24"/>
          <w:szCs w:val="24"/>
        </w:rPr>
        <w:t>105°26,E</w:t>
      </w:r>
      <w:r>
        <w:rPr>
          <w:rFonts w:ascii="宋体" w:hAnsi="宋体" w:eastAsia="宋体" w:cs="宋体"/>
          <w:spacing w:val="-4"/>
          <w:sz w:val="24"/>
          <w:szCs w:val="24"/>
        </w:rPr>
        <w:t>、</w:t>
      </w:r>
      <w:r>
        <w:rPr>
          <w:rFonts w:ascii="Times New Roman" w:hAnsi="Times New Roman" w:eastAsia="Times New Roman" w:cs="Times New Roman"/>
          <w:spacing w:val="-4"/>
          <w:sz w:val="24"/>
          <w:szCs w:val="24"/>
        </w:rPr>
        <w:t>29°11,</w:t>
      </w:r>
      <w:r>
        <w:rPr>
          <w:rFonts w:ascii="宋体" w:hAnsi="宋体" w:eastAsia="宋体" w:cs="宋体"/>
          <w:spacing w:val="-4"/>
          <w:sz w:val="24"/>
          <w:szCs w:val="24"/>
        </w:rPr>
        <w:t>~</w:t>
      </w:r>
      <w:r>
        <w:rPr>
          <w:rFonts w:ascii="宋体" w:hAnsi="宋体" w:eastAsia="宋体" w:cs="宋体"/>
          <w:spacing w:val="4"/>
          <w:sz w:val="24"/>
          <w:szCs w:val="24"/>
        </w:rPr>
        <w:t xml:space="preserve"> </w:t>
      </w:r>
      <w:r>
        <w:rPr>
          <w:rFonts w:ascii="Times New Roman" w:hAnsi="Times New Roman" w:eastAsia="Times New Roman" w:cs="Times New Roman"/>
          <w:spacing w:val="-6"/>
          <w:sz w:val="24"/>
          <w:szCs w:val="24"/>
        </w:rPr>
        <w:t>30°02,N</w:t>
      </w:r>
      <w:r>
        <w:rPr>
          <w:rFonts w:ascii="宋体" w:hAnsi="宋体" w:eastAsia="宋体" w:cs="宋体"/>
          <w:spacing w:val="-6"/>
          <w:sz w:val="24"/>
          <w:szCs w:val="24"/>
        </w:rPr>
        <w:t>之间，东西长</w:t>
      </w:r>
      <w:r>
        <w:rPr>
          <w:rFonts w:ascii="Times New Roman" w:hAnsi="Times New Roman" w:eastAsia="Times New Roman" w:cs="Times New Roman"/>
          <w:spacing w:val="-6"/>
          <w:sz w:val="24"/>
          <w:szCs w:val="24"/>
        </w:rPr>
        <w:t>121.5km</w:t>
      </w:r>
      <w:r>
        <w:rPr>
          <w:rFonts w:ascii="宋体" w:hAnsi="宋体" w:eastAsia="宋体" w:cs="宋体"/>
          <w:spacing w:val="-6"/>
          <w:sz w:val="24"/>
          <w:szCs w:val="24"/>
        </w:rPr>
        <w:t>，南北宽</w:t>
      </w:r>
      <w:r>
        <w:rPr>
          <w:rFonts w:ascii="Times New Roman" w:hAnsi="Times New Roman" w:eastAsia="Times New Roman" w:cs="Times New Roman"/>
          <w:spacing w:val="-6"/>
          <w:sz w:val="24"/>
          <w:szCs w:val="24"/>
        </w:rPr>
        <w:t>94.7km</w:t>
      </w:r>
      <w:r>
        <w:rPr>
          <w:rFonts w:ascii="宋体" w:hAnsi="宋体" w:eastAsia="宋体" w:cs="宋体"/>
          <w:spacing w:val="-6"/>
          <w:sz w:val="24"/>
          <w:szCs w:val="24"/>
        </w:rPr>
        <w:t>。东部与重庆市荣昌县为界，</w:t>
      </w:r>
      <w:r>
        <w:rPr>
          <w:rFonts w:ascii="宋体" w:hAnsi="宋体" w:eastAsia="宋体" w:cs="宋体"/>
          <w:spacing w:val="63"/>
          <w:sz w:val="24"/>
          <w:szCs w:val="24"/>
        </w:rPr>
        <w:t xml:space="preserve"> </w:t>
      </w:r>
      <w:r>
        <w:rPr>
          <w:rFonts w:ascii="宋体" w:hAnsi="宋体" w:eastAsia="宋体" w:cs="宋体"/>
          <w:spacing w:val="-6"/>
          <w:sz w:val="24"/>
          <w:szCs w:val="24"/>
        </w:rPr>
        <w:t>南部</w:t>
      </w:r>
      <w:r>
        <w:rPr>
          <w:rFonts w:ascii="宋体" w:hAnsi="宋体" w:eastAsia="宋体" w:cs="宋体"/>
          <w:spacing w:val="-1"/>
          <w:sz w:val="24"/>
          <w:szCs w:val="24"/>
        </w:rPr>
        <w:t>与自贡市区、荣县、富顺县和泸州市泸县相连，北部与资阳市区、安岳县接</w:t>
      </w:r>
      <w:r>
        <w:rPr>
          <w:rFonts w:ascii="宋体" w:hAnsi="宋体" w:eastAsia="宋体" w:cs="宋体"/>
          <w:spacing w:val="-2"/>
          <w:sz w:val="24"/>
          <w:szCs w:val="24"/>
        </w:rPr>
        <w:t>壤，</w:t>
      </w:r>
      <w:r>
        <w:rPr>
          <w:rFonts w:ascii="宋体" w:hAnsi="宋体" w:eastAsia="宋体" w:cs="宋体"/>
          <w:spacing w:val="-7"/>
          <w:sz w:val="24"/>
          <w:szCs w:val="24"/>
        </w:rPr>
        <w:t>西部与眉山市仁寿县和乐山市井研县毗邻。东距重庆市</w:t>
      </w:r>
      <w:r>
        <w:rPr>
          <w:rFonts w:ascii="Times New Roman" w:hAnsi="Times New Roman" w:eastAsia="Times New Roman" w:cs="Times New Roman"/>
          <w:spacing w:val="-7"/>
          <w:sz w:val="24"/>
          <w:szCs w:val="24"/>
        </w:rPr>
        <w:t>168km</w:t>
      </w:r>
      <w:r>
        <w:rPr>
          <w:rFonts w:ascii="宋体" w:hAnsi="宋体" w:eastAsia="宋体" w:cs="宋体"/>
          <w:spacing w:val="-7"/>
          <w:sz w:val="24"/>
          <w:szCs w:val="24"/>
        </w:rPr>
        <w:t>，西离成都市</w:t>
      </w:r>
      <w:r>
        <w:rPr>
          <w:rFonts w:ascii="Times New Roman" w:hAnsi="Times New Roman" w:eastAsia="Times New Roman" w:cs="Times New Roman"/>
          <w:spacing w:val="-7"/>
          <w:sz w:val="24"/>
          <w:szCs w:val="24"/>
        </w:rPr>
        <w:t>172km</w:t>
      </w:r>
      <w:r>
        <w:rPr>
          <w:rFonts w:ascii="宋体" w:hAnsi="宋体" w:eastAsia="宋体" w:cs="宋体"/>
          <w:spacing w:val="-7"/>
          <w:sz w:val="24"/>
          <w:szCs w:val="24"/>
        </w:rPr>
        <w:t>。</w:t>
      </w:r>
      <w:r>
        <w:rPr>
          <w:rFonts w:ascii="宋体" w:hAnsi="宋体" w:eastAsia="宋体" w:cs="宋体"/>
          <w:spacing w:val="-1"/>
          <w:sz w:val="24"/>
          <w:szCs w:val="24"/>
        </w:rPr>
        <w:t>全市幅员面积</w:t>
      </w:r>
      <w:r>
        <w:rPr>
          <w:rFonts w:ascii="Times New Roman" w:hAnsi="Times New Roman" w:eastAsia="Times New Roman" w:cs="Times New Roman"/>
          <w:spacing w:val="-1"/>
          <w:sz w:val="24"/>
          <w:szCs w:val="24"/>
        </w:rPr>
        <w:t>5386km</w:t>
      </w:r>
      <w:r>
        <w:rPr>
          <w:rFonts w:ascii="Times New Roman" w:hAnsi="Times New Roman" w:eastAsia="Times New Roman" w:cs="Times New Roman"/>
          <w:spacing w:val="-1"/>
          <w:position w:val="10"/>
          <w:sz w:val="15"/>
          <w:szCs w:val="15"/>
        </w:rPr>
        <w:t>2</w:t>
      </w:r>
      <w:r>
        <w:rPr>
          <w:rFonts w:ascii="宋体" w:hAnsi="宋体" w:eastAsia="宋体" w:cs="宋体"/>
          <w:spacing w:val="-1"/>
          <w:sz w:val="24"/>
          <w:szCs w:val="24"/>
        </w:rPr>
        <w:t>。</w:t>
      </w:r>
    </w:p>
    <w:p w14:paraId="00AA6B88">
      <w:pPr>
        <w:spacing w:before="1" w:line="218" w:lineRule="auto"/>
        <w:ind w:left="520"/>
        <w:rPr>
          <w:rFonts w:ascii="宋体" w:hAnsi="宋体" w:eastAsia="宋体" w:cs="宋体"/>
          <w:sz w:val="24"/>
          <w:szCs w:val="24"/>
        </w:rPr>
      </w:pPr>
      <w:r>
        <w:rPr>
          <w:rFonts w:ascii="宋体" w:hAnsi="宋体" w:eastAsia="宋体" w:cs="宋体"/>
          <w:spacing w:val="-1"/>
          <w:sz w:val="24"/>
          <w:szCs w:val="24"/>
        </w:rPr>
        <w:t>本项目选址于内江市东兴区白合镇喻家沟村</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12</w:t>
      </w:r>
      <w:r>
        <w:rPr>
          <w:rFonts w:ascii="宋体" w:hAnsi="宋体" w:eastAsia="宋体" w:cs="宋体"/>
          <w:spacing w:val="-1"/>
          <w:sz w:val="24"/>
          <w:szCs w:val="24"/>
        </w:rPr>
        <w:t>组，见</w:t>
      </w:r>
      <w:r>
        <w:rPr>
          <w:rFonts w:ascii="宋体" w:hAnsi="宋体" w:eastAsia="宋体" w:cs="宋体"/>
          <w:spacing w:val="-2"/>
          <w:sz w:val="24"/>
          <w:szCs w:val="24"/>
        </w:rPr>
        <w:t>附图</w:t>
      </w:r>
      <w:r>
        <w:rPr>
          <w:rFonts w:ascii="Times New Roman" w:hAnsi="Times New Roman" w:eastAsia="Times New Roman" w:cs="Times New Roman"/>
          <w:spacing w:val="-2"/>
          <w:sz w:val="24"/>
          <w:szCs w:val="24"/>
        </w:rPr>
        <w:t>1</w:t>
      </w:r>
      <w:r>
        <w:rPr>
          <w:rFonts w:ascii="宋体" w:hAnsi="宋体" w:eastAsia="宋体" w:cs="宋体"/>
          <w:spacing w:val="-2"/>
          <w:sz w:val="24"/>
          <w:szCs w:val="24"/>
        </w:rPr>
        <w:t>地理位置图。</w:t>
      </w:r>
    </w:p>
    <w:p w14:paraId="18C9DED7">
      <w:pPr>
        <w:pStyle w:val="2"/>
        <w:spacing w:line="252" w:lineRule="auto"/>
      </w:pPr>
    </w:p>
    <w:p w14:paraId="36ED9134">
      <w:pPr>
        <w:spacing w:before="97" w:line="219"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3.1.2  </w:t>
      </w:r>
      <w:r>
        <w:rPr>
          <w:rFonts w:ascii="宋体" w:hAnsi="宋体" w:eastAsia="宋体" w:cs="宋体"/>
          <w:b/>
          <w:bCs/>
          <w:spacing w:val="-2"/>
          <w:sz w:val="30"/>
          <w:szCs w:val="30"/>
        </w:rPr>
        <w:t>地形地貌</w:t>
      </w:r>
    </w:p>
    <w:p w14:paraId="4CB59A06">
      <w:pPr>
        <w:pStyle w:val="2"/>
        <w:spacing w:line="260" w:lineRule="auto"/>
      </w:pPr>
    </w:p>
    <w:p w14:paraId="19D72745">
      <w:pPr>
        <w:spacing w:before="79" w:line="360" w:lineRule="auto"/>
        <w:ind w:left="39" w:right="204" w:firstLine="509"/>
        <w:jc w:val="both"/>
        <w:rPr>
          <w:rFonts w:ascii="宋体" w:hAnsi="宋体" w:eastAsia="宋体" w:cs="宋体"/>
          <w:sz w:val="24"/>
          <w:szCs w:val="24"/>
        </w:rPr>
      </w:pPr>
      <w:r>
        <w:rPr>
          <w:rFonts w:ascii="宋体" w:hAnsi="宋体" w:eastAsia="宋体" w:cs="宋体"/>
          <w:spacing w:val="-4"/>
          <w:sz w:val="24"/>
          <w:szCs w:val="24"/>
        </w:rPr>
        <w:t>内江市主要座落在中浅丘及沱江</w:t>
      </w:r>
      <w:r>
        <w:rPr>
          <w:rFonts w:ascii="Times New Roman" w:hAnsi="Times New Roman" w:eastAsia="Times New Roman" w:cs="Times New Roman"/>
          <w:spacing w:val="-4"/>
          <w:sz w:val="24"/>
          <w:szCs w:val="24"/>
        </w:rPr>
        <w:t>Ⅰ</w:t>
      </w:r>
      <w:r>
        <w:rPr>
          <w:rFonts w:ascii="宋体" w:hAnsi="宋体" w:eastAsia="宋体" w:cs="宋体"/>
          <w:spacing w:val="-4"/>
          <w:sz w:val="24"/>
          <w:szCs w:val="24"/>
        </w:rPr>
        <w:t>、</w:t>
      </w:r>
      <w:r>
        <w:rPr>
          <w:rFonts w:ascii="Times New Roman" w:hAnsi="Times New Roman" w:eastAsia="Times New Roman" w:cs="Times New Roman"/>
          <w:spacing w:val="-4"/>
          <w:sz w:val="24"/>
          <w:szCs w:val="24"/>
        </w:rPr>
        <w:t>Ⅱ</w:t>
      </w:r>
      <w:r>
        <w:rPr>
          <w:rFonts w:ascii="宋体" w:hAnsi="宋体" w:eastAsia="宋体" w:cs="宋体"/>
          <w:spacing w:val="-4"/>
          <w:sz w:val="24"/>
          <w:szCs w:val="24"/>
        </w:rPr>
        <w:t>级阶地之上，阶地呈新月形及条带状分</w:t>
      </w:r>
      <w:r>
        <w:rPr>
          <w:rFonts w:ascii="宋体" w:hAnsi="宋体" w:eastAsia="宋体" w:cs="宋体"/>
          <w:sz w:val="24"/>
          <w:szCs w:val="24"/>
        </w:rPr>
        <w:t>布。内江东西最大跨度</w:t>
      </w:r>
      <w:r>
        <w:rPr>
          <w:rFonts w:ascii="Times New Roman" w:hAnsi="Times New Roman" w:eastAsia="Times New Roman" w:cs="Times New Roman"/>
          <w:sz w:val="24"/>
          <w:szCs w:val="24"/>
        </w:rPr>
        <w:t>121.5km</w:t>
      </w:r>
      <w:r>
        <w:rPr>
          <w:rFonts w:ascii="宋体" w:hAnsi="宋体" w:eastAsia="宋体" w:cs="宋体"/>
          <w:sz w:val="24"/>
          <w:szCs w:val="24"/>
        </w:rPr>
        <w:t>，南北最大跨度</w:t>
      </w:r>
      <w:r>
        <w:rPr>
          <w:rFonts w:ascii="Times New Roman" w:hAnsi="Times New Roman" w:eastAsia="Times New Roman" w:cs="Times New Roman"/>
          <w:sz w:val="24"/>
          <w:szCs w:val="24"/>
        </w:rPr>
        <w:t>94.7km</w:t>
      </w:r>
      <w:r>
        <w:rPr>
          <w:rFonts w:ascii="宋体" w:hAnsi="宋体" w:eastAsia="宋体" w:cs="宋体"/>
          <w:spacing w:val="-1"/>
          <w:sz w:val="24"/>
          <w:szCs w:val="24"/>
        </w:rPr>
        <w:t>，是典型的四川盆地东南</w:t>
      </w:r>
      <w:r>
        <w:rPr>
          <w:rFonts w:ascii="宋体" w:hAnsi="宋体" w:eastAsia="宋体" w:cs="宋体"/>
          <w:spacing w:val="-2"/>
          <w:sz w:val="24"/>
          <w:szCs w:val="24"/>
        </w:rPr>
        <w:t>部红层丘陵区，以宽谷中丘为主，约占市域面积的</w:t>
      </w:r>
      <w:r>
        <w:rPr>
          <w:rFonts w:ascii="Times New Roman" w:hAnsi="Times New Roman" w:eastAsia="Times New Roman" w:cs="Times New Roman"/>
          <w:spacing w:val="-2"/>
          <w:sz w:val="24"/>
          <w:szCs w:val="24"/>
        </w:rPr>
        <w:t>70%</w:t>
      </w:r>
      <w:r>
        <w:rPr>
          <w:rFonts w:ascii="宋体" w:hAnsi="宋体" w:eastAsia="宋体" w:cs="宋体"/>
          <w:spacing w:val="-2"/>
          <w:sz w:val="24"/>
          <w:szCs w:val="24"/>
        </w:rPr>
        <w:t>，其余部分为缓谷浅丘及</w:t>
      </w:r>
      <w:r>
        <w:rPr>
          <w:rFonts w:ascii="宋体" w:hAnsi="宋体" w:eastAsia="宋体" w:cs="宋体"/>
          <w:spacing w:val="-11"/>
          <w:sz w:val="24"/>
          <w:szCs w:val="24"/>
        </w:rPr>
        <w:t>窄谷深丘地貌。地形总体北高南低，</w:t>
      </w:r>
      <w:r>
        <w:rPr>
          <w:rFonts w:ascii="宋体" w:hAnsi="宋体" w:eastAsia="宋体" w:cs="宋体"/>
          <w:spacing w:val="69"/>
          <w:sz w:val="24"/>
          <w:szCs w:val="24"/>
        </w:rPr>
        <w:t xml:space="preserve"> </w:t>
      </w:r>
      <w:r>
        <w:rPr>
          <w:rFonts w:ascii="宋体" w:hAnsi="宋体" w:eastAsia="宋体" w:cs="宋体"/>
          <w:spacing w:val="-11"/>
          <w:sz w:val="24"/>
          <w:szCs w:val="24"/>
        </w:rPr>
        <w:t>海拔</w:t>
      </w:r>
      <w:r>
        <w:rPr>
          <w:rFonts w:ascii="Times New Roman" w:hAnsi="Times New Roman" w:eastAsia="Times New Roman" w:cs="Times New Roman"/>
          <w:spacing w:val="-11"/>
          <w:sz w:val="24"/>
          <w:szCs w:val="24"/>
        </w:rPr>
        <w:t>320</w:t>
      </w:r>
      <w:r>
        <w:rPr>
          <w:rFonts w:ascii="宋体" w:hAnsi="宋体" w:eastAsia="宋体" w:cs="宋体"/>
          <w:spacing w:val="-11"/>
          <w:sz w:val="24"/>
          <w:szCs w:val="24"/>
        </w:rPr>
        <w:t>～</w:t>
      </w:r>
      <w:r>
        <w:rPr>
          <w:rFonts w:ascii="Times New Roman" w:hAnsi="Times New Roman" w:eastAsia="Times New Roman" w:cs="Times New Roman"/>
          <w:spacing w:val="-11"/>
          <w:sz w:val="24"/>
          <w:szCs w:val="24"/>
        </w:rPr>
        <w:t>340m</w:t>
      </w:r>
      <w:r>
        <w:rPr>
          <w:rFonts w:ascii="宋体" w:hAnsi="宋体" w:eastAsia="宋体" w:cs="宋体"/>
          <w:spacing w:val="-11"/>
          <w:sz w:val="24"/>
          <w:szCs w:val="24"/>
        </w:rPr>
        <w:t>。境内溪流、沟谷交错，</w:t>
      </w:r>
      <w:r>
        <w:rPr>
          <w:rFonts w:ascii="宋体" w:hAnsi="宋体" w:eastAsia="宋体" w:cs="宋体"/>
          <w:spacing w:val="57"/>
          <w:sz w:val="24"/>
          <w:szCs w:val="24"/>
        </w:rPr>
        <w:t xml:space="preserve"> </w:t>
      </w:r>
      <w:r>
        <w:rPr>
          <w:rFonts w:ascii="宋体" w:hAnsi="宋体" w:eastAsia="宋体" w:cs="宋体"/>
          <w:spacing w:val="-11"/>
          <w:sz w:val="24"/>
          <w:szCs w:val="24"/>
        </w:rPr>
        <w:t>沱</w:t>
      </w:r>
      <w:r>
        <w:rPr>
          <w:rFonts w:ascii="宋体" w:hAnsi="宋体" w:eastAsia="宋体" w:cs="宋体"/>
          <w:spacing w:val="-6"/>
          <w:sz w:val="24"/>
          <w:szCs w:val="24"/>
        </w:rPr>
        <w:t>江蜿蜓曲折穿境而过，河网发育差。地形被切割成许多高矮不同</w:t>
      </w:r>
      <w:r>
        <w:rPr>
          <w:rFonts w:ascii="宋体" w:hAnsi="宋体" w:eastAsia="宋体" w:cs="宋体"/>
          <w:spacing w:val="-7"/>
          <w:sz w:val="24"/>
          <w:szCs w:val="24"/>
        </w:rPr>
        <w:t>， 形状有异但多</w:t>
      </w:r>
      <w:r>
        <w:rPr>
          <w:rFonts w:ascii="宋体" w:hAnsi="宋体" w:eastAsia="宋体" w:cs="宋体"/>
          <w:spacing w:val="-1"/>
          <w:sz w:val="24"/>
          <w:szCs w:val="24"/>
        </w:rPr>
        <w:t>为馒头状的山丘，高差起伏</w:t>
      </w:r>
      <w:r>
        <w:rPr>
          <w:rFonts w:ascii="Times New Roman" w:hAnsi="Times New Roman" w:eastAsia="Times New Roman" w:cs="Times New Roman"/>
          <w:spacing w:val="-1"/>
          <w:sz w:val="24"/>
          <w:szCs w:val="24"/>
        </w:rPr>
        <w:t>20</w:t>
      </w:r>
      <w:r>
        <w:rPr>
          <w:rFonts w:ascii="宋体" w:hAnsi="宋体" w:eastAsia="宋体" w:cs="宋体"/>
          <w:spacing w:val="-1"/>
          <w:sz w:val="24"/>
          <w:szCs w:val="24"/>
        </w:rPr>
        <w:t>～</w:t>
      </w:r>
      <w:r>
        <w:rPr>
          <w:rFonts w:ascii="Times New Roman" w:hAnsi="Times New Roman" w:eastAsia="Times New Roman" w:cs="Times New Roman"/>
          <w:spacing w:val="-1"/>
          <w:sz w:val="24"/>
          <w:szCs w:val="24"/>
        </w:rPr>
        <w:t>30m</w:t>
      </w:r>
      <w:r>
        <w:rPr>
          <w:rFonts w:ascii="宋体" w:hAnsi="宋体" w:eastAsia="宋体" w:cs="宋体"/>
          <w:spacing w:val="-1"/>
          <w:sz w:val="24"/>
          <w:szCs w:val="24"/>
        </w:rPr>
        <w:t>。沱江及大</w:t>
      </w:r>
      <w:r>
        <w:rPr>
          <w:rFonts w:ascii="宋体" w:hAnsi="宋体" w:eastAsia="宋体" w:cs="宋体"/>
          <w:spacing w:val="-2"/>
          <w:sz w:val="24"/>
          <w:szCs w:val="24"/>
        </w:rPr>
        <w:t>、小支流两岸形成侵蚀堆积漫滩</w:t>
      </w:r>
      <w:r>
        <w:rPr>
          <w:rFonts w:ascii="宋体" w:hAnsi="宋体" w:eastAsia="宋体" w:cs="宋体"/>
          <w:spacing w:val="-10"/>
          <w:sz w:val="24"/>
          <w:szCs w:val="24"/>
        </w:rPr>
        <w:t>与阶地，漫滩一般宽</w:t>
      </w:r>
      <w:r>
        <w:rPr>
          <w:rFonts w:ascii="Times New Roman" w:hAnsi="Times New Roman" w:eastAsia="Times New Roman" w:cs="Times New Roman"/>
          <w:spacing w:val="-10"/>
          <w:sz w:val="24"/>
          <w:szCs w:val="24"/>
        </w:rPr>
        <w:t>80</w:t>
      </w:r>
      <w:r>
        <w:rPr>
          <w:rFonts w:ascii="宋体" w:hAnsi="宋体" w:eastAsia="宋体" w:cs="宋体"/>
          <w:spacing w:val="-10"/>
          <w:sz w:val="24"/>
          <w:szCs w:val="24"/>
        </w:rPr>
        <w:t>～</w:t>
      </w:r>
      <w:r>
        <w:rPr>
          <w:rFonts w:ascii="Times New Roman" w:hAnsi="Times New Roman" w:eastAsia="Times New Roman" w:cs="Times New Roman"/>
          <w:spacing w:val="-10"/>
          <w:sz w:val="24"/>
          <w:szCs w:val="24"/>
        </w:rPr>
        <w:t>100m</w:t>
      </w:r>
      <w:r>
        <w:rPr>
          <w:rFonts w:ascii="宋体" w:hAnsi="宋体" w:eastAsia="宋体" w:cs="宋体"/>
          <w:spacing w:val="-10"/>
          <w:sz w:val="24"/>
          <w:szCs w:val="24"/>
        </w:rPr>
        <w:t>，呈狭长小块，海拔</w:t>
      </w:r>
      <w:r>
        <w:rPr>
          <w:rFonts w:ascii="Times New Roman" w:hAnsi="Times New Roman" w:eastAsia="Times New Roman" w:cs="Times New Roman"/>
          <w:spacing w:val="-10"/>
          <w:sz w:val="24"/>
          <w:szCs w:val="24"/>
        </w:rPr>
        <w:t>290</w:t>
      </w:r>
      <w:r>
        <w:rPr>
          <w:rFonts w:ascii="宋体" w:hAnsi="宋体" w:eastAsia="宋体" w:cs="宋体"/>
          <w:spacing w:val="-10"/>
          <w:sz w:val="24"/>
          <w:szCs w:val="24"/>
        </w:rPr>
        <w:t>～</w:t>
      </w:r>
      <w:r>
        <w:rPr>
          <w:rFonts w:ascii="Times New Roman" w:hAnsi="Times New Roman" w:eastAsia="Times New Roman" w:cs="Times New Roman"/>
          <w:spacing w:val="-10"/>
          <w:sz w:val="24"/>
          <w:szCs w:val="24"/>
        </w:rPr>
        <w:t>320m</w:t>
      </w:r>
      <w:r>
        <w:rPr>
          <w:rFonts w:ascii="宋体" w:hAnsi="宋体" w:eastAsia="宋体" w:cs="宋体"/>
          <w:spacing w:val="-10"/>
          <w:sz w:val="24"/>
          <w:szCs w:val="24"/>
        </w:rPr>
        <w:t>，阶地宽</w:t>
      </w:r>
      <w:r>
        <w:rPr>
          <w:rFonts w:ascii="Times New Roman" w:hAnsi="Times New Roman" w:eastAsia="Times New Roman" w:cs="Times New Roman"/>
          <w:spacing w:val="-10"/>
          <w:sz w:val="24"/>
          <w:szCs w:val="24"/>
        </w:rPr>
        <w:t>40</w:t>
      </w:r>
      <w:r>
        <w:rPr>
          <w:rFonts w:ascii="宋体" w:hAnsi="宋体" w:eastAsia="宋体" w:cs="宋体"/>
          <w:spacing w:val="-10"/>
          <w:sz w:val="24"/>
          <w:szCs w:val="24"/>
        </w:rPr>
        <w:t>～</w:t>
      </w:r>
      <w:r>
        <w:rPr>
          <w:rFonts w:ascii="Times New Roman" w:hAnsi="Times New Roman" w:eastAsia="Times New Roman" w:cs="Times New Roman"/>
          <w:spacing w:val="-10"/>
          <w:sz w:val="24"/>
          <w:szCs w:val="24"/>
        </w:rPr>
        <w:t>12</w:t>
      </w:r>
      <w:r>
        <w:rPr>
          <w:rFonts w:ascii="Times New Roman" w:hAnsi="Times New Roman" w:eastAsia="Times New Roman" w:cs="Times New Roman"/>
          <w:spacing w:val="-11"/>
          <w:sz w:val="24"/>
          <w:szCs w:val="24"/>
        </w:rPr>
        <w:t>0m</w:t>
      </w:r>
      <w:r>
        <w:rPr>
          <w:rFonts w:ascii="Times New Roman" w:hAnsi="Times New Roman" w:eastAsia="Times New Roman" w:cs="Times New Roman"/>
          <w:spacing w:val="-31"/>
          <w:sz w:val="24"/>
          <w:szCs w:val="24"/>
        </w:rPr>
        <w:t xml:space="preserve"> </w:t>
      </w:r>
      <w:r>
        <w:rPr>
          <w:rFonts w:ascii="宋体" w:hAnsi="宋体" w:eastAsia="宋体" w:cs="宋体"/>
          <w:spacing w:val="-11"/>
          <w:sz w:val="24"/>
          <w:szCs w:val="24"/>
        </w:rPr>
        <w:t>，</w:t>
      </w:r>
      <w:r>
        <w:rPr>
          <w:rFonts w:ascii="宋体" w:hAnsi="宋体" w:eastAsia="宋体" w:cs="宋体"/>
          <w:spacing w:val="-1"/>
          <w:sz w:val="24"/>
          <w:szCs w:val="24"/>
        </w:rPr>
        <w:t>呈条带状，海拔</w:t>
      </w:r>
      <w:r>
        <w:rPr>
          <w:rFonts w:ascii="Times New Roman" w:hAnsi="Times New Roman" w:eastAsia="Times New Roman" w:cs="Times New Roman"/>
          <w:spacing w:val="-1"/>
          <w:sz w:val="24"/>
          <w:szCs w:val="24"/>
        </w:rPr>
        <w:t>315</w:t>
      </w:r>
      <w:r>
        <w:rPr>
          <w:rFonts w:ascii="宋体" w:hAnsi="宋体" w:eastAsia="宋体" w:cs="宋体"/>
          <w:spacing w:val="-1"/>
          <w:sz w:val="24"/>
          <w:szCs w:val="24"/>
        </w:rPr>
        <w:t>～</w:t>
      </w:r>
      <w:r>
        <w:rPr>
          <w:rFonts w:ascii="Times New Roman" w:hAnsi="Times New Roman" w:eastAsia="Times New Roman" w:cs="Times New Roman"/>
          <w:spacing w:val="-1"/>
          <w:sz w:val="24"/>
          <w:szCs w:val="24"/>
        </w:rPr>
        <w:t>340m</w:t>
      </w:r>
      <w:r>
        <w:rPr>
          <w:rFonts w:ascii="宋体" w:hAnsi="宋体" w:eastAsia="宋体" w:cs="宋体"/>
          <w:spacing w:val="-1"/>
          <w:sz w:val="24"/>
          <w:szCs w:val="24"/>
        </w:rPr>
        <w:t>。</w:t>
      </w:r>
    </w:p>
    <w:p w14:paraId="0D029BB3">
      <w:pPr>
        <w:spacing w:line="360" w:lineRule="auto"/>
        <w:ind w:left="39" w:right="203" w:firstLine="488"/>
        <w:jc w:val="both"/>
        <w:rPr>
          <w:rFonts w:ascii="宋体" w:hAnsi="宋体" w:eastAsia="宋体" w:cs="宋体"/>
          <w:sz w:val="24"/>
          <w:szCs w:val="24"/>
        </w:rPr>
      </w:pPr>
      <w:r>
        <w:rPr>
          <w:rFonts w:ascii="宋体" w:hAnsi="宋体" w:eastAsia="宋体" w:cs="宋体"/>
          <w:spacing w:val="4"/>
          <w:sz w:val="24"/>
          <w:szCs w:val="24"/>
        </w:rPr>
        <w:t>东兴区地质结构为中生带侏罗系—套红色湖泊砂层互层和沉积碎屑系第四</w:t>
      </w:r>
      <w:r>
        <w:rPr>
          <w:rFonts w:ascii="宋体" w:hAnsi="宋体" w:eastAsia="宋体" w:cs="宋体"/>
          <w:spacing w:val="-6"/>
          <w:sz w:val="24"/>
          <w:szCs w:val="24"/>
        </w:rPr>
        <w:t>系河流松散堆积层。东兴区属四川盆地丘陵地区， 地势东</w:t>
      </w:r>
      <w:r>
        <w:rPr>
          <w:rFonts w:ascii="宋体" w:hAnsi="宋体" w:eastAsia="宋体" w:cs="宋体"/>
          <w:spacing w:val="-7"/>
          <w:sz w:val="24"/>
          <w:szCs w:val="24"/>
        </w:rPr>
        <w:t>北高，西南低，地貌以中丘中谷、浅丘宽谷为主， 平均海拔</w:t>
      </w:r>
      <w:r>
        <w:rPr>
          <w:rFonts w:ascii="Times New Roman" w:hAnsi="Times New Roman" w:eastAsia="Times New Roman" w:cs="Times New Roman"/>
          <w:spacing w:val="-7"/>
          <w:sz w:val="24"/>
          <w:szCs w:val="24"/>
        </w:rPr>
        <w:t>405.4m</w:t>
      </w:r>
      <w:r>
        <w:rPr>
          <w:rFonts w:ascii="宋体" w:hAnsi="宋体" w:eastAsia="宋体" w:cs="宋体"/>
          <w:spacing w:val="-7"/>
          <w:sz w:val="24"/>
          <w:szCs w:val="24"/>
        </w:rPr>
        <w:t>，</w:t>
      </w:r>
      <w:r>
        <w:rPr>
          <w:rFonts w:ascii="宋体" w:hAnsi="宋体" w:eastAsia="宋体" w:cs="宋体"/>
          <w:spacing w:val="-8"/>
          <w:sz w:val="24"/>
          <w:szCs w:val="24"/>
        </w:rPr>
        <w:t>其中：淡水域</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10%</w:t>
      </w:r>
      <w:r>
        <w:rPr>
          <w:rFonts w:ascii="宋体" w:hAnsi="宋体" w:eastAsia="宋体" w:cs="宋体"/>
          <w:spacing w:val="-8"/>
          <w:sz w:val="24"/>
          <w:szCs w:val="24"/>
        </w:rPr>
        <w:t>、平原</w:t>
      </w:r>
      <w:r>
        <w:rPr>
          <w:rFonts w:ascii="Times New Roman" w:hAnsi="Times New Roman" w:eastAsia="Times New Roman" w:cs="Times New Roman"/>
          <w:spacing w:val="-8"/>
          <w:sz w:val="24"/>
          <w:szCs w:val="24"/>
        </w:rPr>
        <w:t>0.06%</w:t>
      </w:r>
      <w:r>
        <w:rPr>
          <w:rFonts w:ascii="Times New Roman" w:hAnsi="Times New Roman" w:eastAsia="Times New Roman" w:cs="Times New Roman"/>
          <w:spacing w:val="-30"/>
          <w:sz w:val="24"/>
          <w:szCs w:val="24"/>
        </w:rPr>
        <w:t xml:space="preserve"> </w:t>
      </w:r>
      <w:r>
        <w:rPr>
          <w:rFonts w:ascii="宋体" w:hAnsi="宋体" w:eastAsia="宋体" w:cs="宋体"/>
          <w:spacing w:val="-8"/>
          <w:sz w:val="24"/>
          <w:szCs w:val="24"/>
        </w:rPr>
        <w:t>，</w:t>
      </w:r>
      <w:r>
        <w:rPr>
          <w:rFonts w:ascii="宋体" w:hAnsi="宋体" w:eastAsia="宋体" w:cs="宋体"/>
          <w:spacing w:val="-1"/>
          <w:sz w:val="24"/>
          <w:szCs w:val="24"/>
        </w:rPr>
        <w:t>丘陵</w:t>
      </w:r>
      <w:r>
        <w:rPr>
          <w:rFonts w:ascii="Times New Roman" w:hAnsi="Times New Roman" w:eastAsia="Times New Roman" w:cs="Times New Roman"/>
          <w:spacing w:val="-1"/>
          <w:sz w:val="24"/>
          <w:szCs w:val="24"/>
        </w:rPr>
        <w:t>83.00%</w:t>
      </w:r>
      <w:r>
        <w:rPr>
          <w:rFonts w:ascii="宋体" w:hAnsi="宋体" w:eastAsia="宋体" w:cs="宋体"/>
          <w:spacing w:val="-1"/>
          <w:sz w:val="24"/>
          <w:szCs w:val="24"/>
        </w:rPr>
        <w:t>、山地</w:t>
      </w:r>
      <w:r>
        <w:rPr>
          <w:rFonts w:ascii="Times New Roman" w:hAnsi="Times New Roman" w:eastAsia="Times New Roman" w:cs="Times New Roman"/>
          <w:spacing w:val="-1"/>
          <w:sz w:val="24"/>
          <w:szCs w:val="24"/>
        </w:rPr>
        <w:t>11.84%</w:t>
      </w:r>
      <w:r>
        <w:rPr>
          <w:rFonts w:ascii="宋体" w:hAnsi="宋体" w:eastAsia="宋体" w:cs="宋体"/>
          <w:spacing w:val="-1"/>
          <w:sz w:val="24"/>
          <w:szCs w:val="24"/>
        </w:rPr>
        <w:t>。</w:t>
      </w:r>
    </w:p>
    <w:p w14:paraId="46908D64">
      <w:pPr>
        <w:spacing w:line="360" w:lineRule="auto"/>
        <w:ind w:left="39" w:right="204" w:firstLine="480"/>
        <w:jc w:val="both"/>
        <w:rPr>
          <w:rFonts w:ascii="宋体" w:hAnsi="宋体" w:eastAsia="宋体" w:cs="宋体"/>
          <w:sz w:val="24"/>
          <w:szCs w:val="24"/>
        </w:rPr>
      </w:pPr>
      <w:r>
        <w:rPr>
          <w:rFonts w:ascii="宋体" w:hAnsi="宋体" w:eastAsia="宋体" w:cs="宋体"/>
          <w:spacing w:val="-3"/>
          <w:sz w:val="24"/>
          <w:szCs w:val="24"/>
        </w:rPr>
        <w:t>拟建场地属构造剥蚀丘陵沟谷地貌，勘察时场地已经过局部平场</w:t>
      </w:r>
      <w:r>
        <w:rPr>
          <w:rFonts w:ascii="宋体" w:hAnsi="宋体" w:eastAsia="宋体" w:cs="宋体"/>
          <w:spacing w:val="-4"/>
          <w:sz w:val="24"/>
          <w:szCs w:val="24"/>
        </w:rPr>
        <w:t>，原始地形</w:t>
      </w:r>
      <w:r>
        <w:rPr>
          <w:rFonts w:ascii="宋体" w:hAnsi="宋体" w:eastAsia="宋体" w:cs="宋体"/>
          <w:spacing w:val="-3"/>
          <w:sz w:val="24"/>
          <w:szCs w:val="24"/>
        </w:rPr>
        <w:t>地貌发生了部分改变，根据调查结合钻探资料，场地地貌原位于浅丘斜坡及丘顶</w:t>
      </w:r>
      <w:r>
        <w:rPr>
          <w:rFonts w:ascii="宋体" w:hAnsi="宋体" w:eastAsia="宋体" w:cs="宋体"/>
          <w:spacing w:val="-10"/>
          <w:sz w:val="24"/>
          <w:szCs w:val="24"/>
        </w:rPr>
        <w:t>地带。</w:t>
      </w:r>
    </w:p>
    <w:p w14:paraId="7F40D641">
      <w:pPr>
        <w:spacing w:before="1" w:line="362" w:lineRule="auto"/>
        <w:ind w:left="44" w:right="205" w:firstLine="475"/>
        <w:rPr>
          <w:rFonts w:ascii="宋体" w:hAnsi="宋体" w:eastAsia="宋体" w:cs="宋体"/>
          <w:sz w:val="24"/>
          <w:szCs w:val="24"/>
        </w:rPr>
      </w:pPr>
      <w:r>
        <w:rPr>
          <w:rFonts w:ascii="宋体" w:hAnsi="宋体" w:eastAsia="宋体" w:cs="宋体"/>
          <w:spacing w:val="-7"/>
          <w:sz w:val="24"/>
          <w:szCs w:val="24"/>
        </w:rPr>
        <w:t>根据《中国地震烈度区划》，</w:t>
      </w:r>
      <w:r>
        <w:rPr>
          <w:rFonts w:ascii="宋体" w:hAnsi="宋体" w:eastAsia="宋体" w:cs="宋体"/>
          <w:spacing w:val="-28"/>
          <w:sz w:val="24"/>
          <w:szCs w:val="24"/>
        </w:rPr>
        <w:t xml:space="preserve"> </w:t>
      </w:r>
      <w:r>
        <w:rPr>
          <w:rFonts w:ascii="宋体" w:hAnsi="宋体" w:eastAsia="宋体" w:cs="宋体"/>
          <w:spacing w:val="-7"/>
          <w:sz w:val="24"/>
          <w:szCs w:val="24"/>
        </w:rPr>
        <w:t>本地区地震烈度为Ⅵ,</w:t>
      </w:r>
      <w:r>
        <w:rPr>
          <w:rFonts w:ascii="宋体" w:hAnsi="宋体" w:eastAsia="宋体" w:cs="宋体"/>
          <w:spacing w:val="40"/>
          <w:sz w:val="24"/>
          <w:szCs w:val="24"/>
        </w:rPr>
        <w:t xml:space="preserve"> </w:t>
      </w:r>
      <w:r>
        <w:rPr>
          <w:rFonts w:ascii="宋体" w:hAnsi="宋体" w:eastAsia="宋体" w:cs="宋体"/>
          <w:spacing w:val="-7"/>
          <w:sz w:val="24"/>
          <w:szCs w:val="24"/>
        </w:rPr>
        <w:t>无构造</w:t>
      </w:r>
      <w:r>
        <w:rPr>
          <w:rFonts w:ascii="宋体" w:hAnsi="宋体" w:eastAsia="宋体" w:cs="宋体"/>
          <w:spacing w:val="-8"/>
          <w:sz w:val="24"/>
          <w:szCs w:val="24"/>
        </w:rPr>
        <w:t>断裂和岩浆喷出</w:t>
      </w:r>
      <w:r>
        <w:rPr>
          <w:rFonts w:ascii="宋体" w:hAnsi="宋体" w:eastAsia="宋体" w:cs="宋体"/>
          <w:spacing w:val="-13"/>
          <w:sz w:val="24"/>
          <w:szCs w:val="24"/>
        </w:rPr>
        <w:t>史。</w:t>
      </w:r>
    </w:p>
    <w:p w14:paraId="1AAB9462">
      <w:pPr>
        <w:spacing w:line="362" w:lineRule="auto"/>
        <w:rPr>
          <w:rFonts w:ascii="宋体" w:hAnsi="宋体" w:eastAsia="宋体" w:cs="宋体"/>
          <w:sz w:val="24"/>
          <w:szCs w:val="24"/>
        </w:rPr>
        <w:sectPr>
          <w:headerReference r:id="rId239" w:type="default"/>
          <w:footerReference r:id="rId240" w:type="default"/>
          <w:pgSz w:w="11905" w:h="16840"/>
          <w:pgMar w:top="1168" w:right="1594" w:bottom="1409" w:left="1770" w:header="828" w:footer="1244" w:gutter="0"/>
          <w:cols w:space="720" w:num="1"/>
        </w:sectPr>
      </w:pPr>
    </w:p>
    <w:p w14:paraId="5CC06C6A">
      <w:pPr>
        <w:pStyle w:val="2"/>
        <w:spacing w:line="335" w:lineRule="auto"/>
      </w:pPr>
    </w:p>
    <w:p w14:paraId="40D2A323">
      <w:pPr>
        <w:spacing w:before="97"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3.1.3  </w:t>
      </w:r>
      <w:r>
        <w:rPr>
          <w:rFonts w:ascii="宋体" w:hAnsi="宋体" w:eastAsia="宋体" w:cs="宋体"/>
          <w:b/>
          <w:bCs/>
          <w:spacing w:val="-2"/>
          <w:sz w:val="30"/>
          <w:szCs w:val="30"/>
        </w:rPr>
        <w:t>地质构造</w:t>
      </w:r>
    </w:p>
    <w:p w14:paraId="14705F28">
      <w:pPr>
        <w:pStyle w:val="2"/>
        <w:spacing w:line="258" w:lineRule="auto"/>
      </w:pPr>
    </w:p>
    <w:p w14:paraId="0E101A3A">
      <w:pPr>
        <w:spacing w:before="78" w:line="360" w:lineRule="auto"/>
        <w:ind w:left="38" w:right="65" w:firstLine="480"/>
        <w:jc w:val="both"/>
        <w:rPr>
          <w:rFonts w:ascii="宋体" w:hAnsi="宋体" w:eastAsia="宋体" w:cs="宋体"/>
          <w:sz w:val="24"/>
          <w:szCs w:val="24"/>
        </w:rPr>
      </w:pPr>
      <w:r>
        <w:rPr>
          <w:rFonts w:ascii="宋体" w:hAnsi="宋体" w:eastAsia="宋体" w:cs="宋体"/>
          <w:spacing w:val="-3"/>
          <w:sz w:val="24"/>
          <w:szCs w:val="24"/>
        </w:rPr>
        <w:t>场区在大地构造上位于扬子准地台四川中台拗，川中台拱，威远旋</w:t>
      </w:r>
      <w:r>
        <w:rPr>
          <w:rFonts w:ascii="宋体" w:hAnsi="宋体" w:eastAsia="宋体" w:cs="宋体"/>
          <w:spacing w:val="-4"/>
          <w:sz w:val="24"/>
          <w:szCs w:val="24"/>
        </w:rPr>
        <w:t>扭式辐射</w:t>
      </w:r>
      <w:r>
        <w:rPr>
          <w:rFonts w:ascii="宋体" w:hAnsi="宋体" w:eastAsia="宋体" w:cs="宋体"/>
          <w:spacing w:val="-3"/>
          <w:sz w:val="24"/>
          <w:szCs w:val="24"/>
        </w:rPr>
        <w:t>状隆起构造的东部边缘地带，属四川盆地弱活动断裂区。本区明显特点是第四纪以来区域地壳运动较微弱，因而新断裂活动和地震活动也比较微弱，区域地质构</w:t>
      </w:r>
      <w:r>
        <w:rPr>
          <w:rFonts w:ascii="宋体" w:hAnsi="宋体" w:eastAsia="宋体" w:cs="宋体"/>
          <w:spacing w:val="-6"/>
          <w:sz w:val="24"/>
          <w:szCs w:val="24"/>
        </w:rPr>
        <w:t>造稳定性较好。</w:t>
      </w:r>
    </w:p>
    <w:p w14:paraId="707275DD">
      <w:pPr>
        <w:spacing w:before="1" w:line="361" w:lineRule="auto"/>
        <w:ind w:left="38" w:right="65" w:firstLine="480"/>
        <w:jc w:val="both"/>
        <w:rPr>
          <w:rFonts w:ascii="宋体" w:hAnsi="宋体" w:eastAsia="宋体" w:cs="宋体"/>
          <w:sz w:val="24"/>
          <w:szCs w:val="24"/>
        </w:rPr>
      </w:pPr>
      <w:r>
        <w:rPr>
          <w:rFonts w:ascii="宋体" w:hAnsi="宋体" w:eastAsia="宋体" w:cs="宋体"/>
          <w:spacing w:val="-3"/>
          <w:sz w:val="24"/>
          <w:szCs w:val="24"/>
        </w:rPr>
        <w:t>场地基岩为侏罗系中统沙溪庙组上亚组地层，属内陆河湖相红色</w:t>
      </w:r>
      <w:r>
        <w:rPr>
          <w:rFonts w:ascii="宋体" w:hAnsi="宋体" w:eastAsia="宋体" w:cs="宋体"/>
          <w:spacing w:val="-4"/>
          <w:sz w:val="24"/>
          <w:szCs w:val="24"/>
        </w:rPr>
        <w:t>碎屑沉积之</w:t>
      </w:r>
      <w:r>
        <w:rPr>
          <w:rFonts w:ascii="宋体" w:hAnsi="宋体" w:eastAsia="宋体" w:cs="宋体"/>
          <w:spacing w:val="-6"/>
          <w:sz w:val="24"/>
          <w:szCs w:val="24"/>
        </w:rPr>
        <w:t>砂、泥岩， 岩层产状近水平，钻孔揭露范围内基岩以巨厚层</w:t>
      </w:r>
      <w:r>
        <w:rPr>
          <w:rFonts w:ascii="宋体" w:hAnsi="宋体" w:eastAsia="宋体" w:cs="宋体"/>
          <w:spacing w:val="-7"/>
          <w:sz w:val="24"/>
          <w:szCs w:val="24"/>
        </w:rPr>
        <w:t>状泥岩为主，场地内</w:t>
      </w:r>
      <w:r>
        <w:rPr>
          <w:rFonts w:ascii="宋体" w:hAnsi="宋体" w:eastAsia="宋体" w:cs="宋体"/>
          <w:spacing w:val="-4"/>
          <w:sz w:val="24"/>
          <w:szCs w:val="24"/>
        </w:rPr>
        <w:t>基岩裂隙总体上不甚发育。</w:t>
      </w:r>
    </w:p>
    <w:p w14:paraId="2DE41A3A">
      <w:pPr>
        <w:spacing w:before="161"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3.1.4  </w:t>
      </w:r>
      <w:r>
        <w:rPr>
          <w:rFonts w:ascii="宋体" w:hAnsi="宋体" w:eastAsia="宋体" w:cs="宋体"/>
          <w:b/>
          <w:bCs/>
          <w:spacing w:val="-2"/>
          <w:sz w:val="30"/>
          <w:szCs w:val="30"/>
        </w:rPr>
        <w:t>地层岩性</w:t>
      </w:r>
    </w:p>
    <w:p w14:paraId="0AE06D78">
      <w:pPr>
        <w:pStyle w:val="2"/>
        <w:spacing w:line="243" w:lineRule="auto"/>
      </w:pPr>
    </w:p>
    <w:p w14:paraId="22D42D76">
      <w:pPr>
        <w:spacing w:before="79" w:line="356" w:lineRule="auto"/>
        <w:ind w:left="39" w:right="75" w:firstLine="480"/>
        <w:rPr>
          <w:rFonts w:ascii="宋体" w:hAnsi="宋体" w:eastAsia="宋体" w:cs="宋体"/>
          <w:sz w:val="24"/>
          <w:szCs w:val="24"/>
        </w:rPr>
      </w:pPr>
      <w:r>
        <w:rPr>
          <w:rFonts w:ascii="宋体" w:hAnsi="宋体" w:eastAsia="宋体" w:cs="宋体"/>
          <w:spacing w:val="-5"/>
          <w:sz w:val="24"/>
          <w:szCs w:val="24"/>
        </w:rPr>
        <w:t>根据勘察结果，场地地层可分为三层，即第四系全新统坡洪积</w:t>
      </w:r>
      <w:r>
        <w:rPr>
          <w:rFonts w:ascii="宋体" w:hAnsi="宋体" w:eastAsia="宋体" w:cs="宋体"/>
          <w:spacing w:val="-6"/>
          <w:sz w:val="24"/>
          <w:szCs w:val="24"/>
        </w:rPr>
        <w:t>层（</w:t>
      </w:r>
      <w:r>
        <w:rPr>
          <w:rFonts w:ascii="Times New Roman" w:hAnsi="Times New Roman" w:eastAsia="Times New Roman" w:cs="Times New Roman"/>
          <w:spacing w:val="-6"/>
          <w:sz w:val="24"/>
          <w:szCs w:val="24"/>
        </w:rPr>
        <w:t>Q</w:t>
      </w:r>
      <w:r>
        <w:rPr>
          <w:rFonts w:ascii="Times New Roman" w:hAnsi="Times New Roman" w:eastAsia="Times New Roman" w:cs="Times New Roman"/>
          <w:spacing w:val="-6"/>
          <w:position w:val="-3"/>
          <w:sz w:val="15"/>
          <w:szCs w:val="15"/>
        </w:rPr>
        <w:t>4</w:t>
      </w:r>
      <w:r>
        <w:rPr>
          <w:rFonts w:ascii="Times New Roman" w:hAnsi="Times New Roman" w:eastAsia="Times New Roman" w:cs="Times New Roman"/>
          <w:spacing w:val="-6"/>
          <w:position w:val="10"/>
          <w:sz w:val="15"/>
          <w:szCs w:val="15"/>
        </w:rPr>
        <w:t>dl+pl</w:t>
      </w:r>
      <w:r>
        <w:rPr>
          <w:rFonts w:ascii="宋体" w:hAnsi="宋体" w:eastAsia="宋体" w:cs="宋体"/>
          <w:spacing w:val="-6"/>
          <w:sz w:val="24"/>
          <w:szCs w:val="24"/>
        </w:rPr>
        <w:t>）、</w:t>
      </w:r>
      <w:r>
        <w:rPr>
          <w:rFonts w:ascii="宋体" w:hAnsi="宋体" w:eastAsia="宋体" w:cs="宋体"/>
          <w:spacing w:val="-1"/>
          <w:sz w:val="24"/>
          <w:szCs w:val="24"/>
        </w:rPr>
        <w:t>第四系全新统残坡积层（</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3"/>
          <w:sz w:val="15"/>
          <w:szCs w:val="15"/>
        </w:rPr>
        <w:t>4</w:t>
      </w:r>
      <w:r>
        <w:rPr>
          <w:rFonts w:ascii="Times New Roman" w:hAnsi="Times New Roman" w:eastAsia="Times New Roman" w:cs="Times New Roman"/>
          <w:spacing w:val="-1"/>
          <w:position w:val="10"/>
          <w:sz w:val="15"/>
          <w:szCs w:val="15"/>
        </w:rPr>
        <w:t xml:space="preserve">el+dl </w:t>
      </w:r>
      <w:r>
        <w:rPr>
          <w:rFonts w:ascii="宋体" w:hAnsi="宋体" w:eastAsia="宋体" w:cs="宋体"/>
          <w:spacing w:val="-1"/>
          <w:sz w:val="24"/>
          <w:szCs w:val="24"/>
        </w:rPr>
        <w:t>）和下伏侏罗系中统上沙溪庙组基岩（</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1"/>
          <w:position w:val="-3"/>
          <w:sz w:val="15"/>
          <w:szCs w:val="15"/>
        </w:rPr>
        <w:t>2s</w:t>
      </w:r>
      <w:r>
        <w:rPr>
          <w:rFonts w:ascii="Times New Roman" w:hAnsi="Times New Roman" w:eastAsia="Times New Roman" w:cs="Times New Roman"/>
          <w:spacing w:val="-1"/>
          <w:position w:val="10"/>
          <w:sz w:val="15"/>
          <w:szCs w:val="15"/>
        </w:rPr>
        <w:t>2</w:t>
      </w:r>
      <w:r>
        <w:rPr>
          <w:rFonts w:ascii="宋体" w:hAnsi="宋体" w:eastAsia="宋体" w:cs="宋体"/>
          <w:spacing w:val="-6"/>
          <w:sz w:val="24"/>
          <w:szCs w:val="24"/>
        </w:rPr>
        <w:t>），</w:t>
      </w:r>
      <w:r>
        <w:rPr>
          <w:rFonts w:ascii="宋体" w:hAnsi="宋体" w:eastAsia="宋体" w:cs="宋体"/>
          <w:spacing w:val="-1"/>
          <w:sz w:val="24"/>
          <w:szCs w:val="24"/>
        </w:rPr>
        <w:t>现</w:t>
      </w:r>
      <w:r>
        <w:rPr>
          <w:rFonts w:ascii="宋体" w:hAnsi="宋体" w:eastAsia="宋体" w:cs="宋体"/>
          <w:spacing w:val="-5"/>
          <w:sz w:val="24"/>
          <w:szCs w:val="24"/>
        </w:rPr>
        <w:t>按地层从新到老的顺序分述如下：</w:t>
      </w:r>
    </w:p>
    <w:p w14:paraId="28CCB38A">
      <w:pPr>
        <w:spacing w:before="15" w:line="171" w:lineRule="auto"/>
        <w:ind w:left="52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）第四系全新统坡洪积层（</w:t>
      </w:r>
      <w:r>
        <w:rPr>
          <w:rFonts w:ascii="Times New Roman" w:hAnsi="Times New Roman" w:eastAsia="Times New Roman" w:cs="Times New Roman"/>
          <w:position w:val="-1"/>
          <w:sz w:val="24"/>
          <w:szCs w:val="24"/>
        </w:rPr>
        <w:t>Q</w:t>
      </w:r>
      <w:r>
        <w:rPr>
          <w:rFonts w:ascii="Times New Roman" w:hAnsi="Times New Roman" w:eastAsia="Times New Roman" w:cs="Times New Roman"/>
          <w:position w:val="-4"/>
          <w:sz w:val="15"/>
          <w:szCs w:val="15"/>
        </w:rPr>
        <w:t>4</w:t>
      </w:r>
      <w:r>
        <w:rPr>
          <w:rFonts w:ascii="Times New Roman" w:hAnsi="Times New Roman" w:eastAsia="Times New Roman" w:cs="Times New Roman"/>
          <w:position w:val="6"/>
          <w:sz w:val="15"/>
          <w:szCs w:val="15"/>
        </w:rPr>
        <w:t>dl+pl</w:t>
      </w:r>
      <w:r>
        <w:rPr>
          <w:rFonts w:ascii="宋体" w:hAnsi="宋体" w:eastAsia="宋体" w:cs="宋体"/>
          <w:position w:val="6"/>
          <w:sz w:val="24"/>
          <w:szCs w:val="24"/>
        </w:rPr>
        <w:t>）</w:t>
      </w:r>
    </w:p>
    <w:p w14:paraId="7530E34F">
      <w:pPr>
        <w:spacing w:before="191" w:line="354" w:lineRule="auto"/>
        <w:ind w:left="41" w:right="66" w:firstLine="480"/>
        <w:rPr>
          <w:rFonts w:ascii="宋体" w:hAnsi="宋体" w:eastAsia="宋体" w:cs="宋体"/>
          <w:sz w:val="24"/>
          <w:szCs w:val="24"/>
        </w:rPr>
      </w:pPr>
      <w:r>
        <w:rPr>
          <w:rFonts w:ascii="宋体" w:hAnsi="宋体" w:eastAsia="宋体" w:cs="宋体"/>
          <w:spacing w:val="-7"/>
          <w:sz w:val="24"/>
          <w:szCs w:val="24"/>
        </w:rPr>
        <w:t>为粉质黏土，分布于场地南侧冲沟地带。呈棕褐色， 可塑状为主，切面稍有</w:t>
      </w:r>
      <w:r>
        <w:rPr>
          <w:rFonts w:ascii="宋体" w:hAnsi="宋体" w:eastAsia="宋体" w:cs="宋体"/>
          <w:sz w:val="24"/>
          <w:szCs w:val="24"/>
        </w:rPr>
        <w:t>光泽，干强度中等，韧性中等，无摇振反应，钻探揭露该层厚</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.50m~5.60m</w:t>
      </w:r>
      <w:r>
        <w:rPr>
          <w:rFonts w:ascii="宋体" w:hAnsi="宋体" w:eastAsia="宋体" w:cs="宋体"/>
          <w:spacing w:val="-1"/>
          <w:sz w:val="24"/>
          <w:szCs w:val="24"/>
        </w:rPr>
        <w:t>。</w:t>
      </w:r>
    </w:p>
    <w:p w14:paraId="60B1C8D6">
      <w:pPr>
        <w:spacing w:line="186" w:lineRule="auto"/>
        <w:ind w:left="52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）第四系全新统残坡积层（</w:t>
      </w:r>
      <w:r>
        <w:rPr>
          <w:rFonts w:ascii="Times New Roman" w:hAnsi="Times New Roman" w:eastAsia="Times New Roman" w:cs="Times New Roman"/>
          <w:sz w:val="24"/>
          <w:szCs w:val="24"/>
        </w:rPr>
        <w:t>Q</w:t>
      </w:r>
      <w:r>
        <w:rPr>
          <w:rFonts w:ascii="Times New Roman" w:hAnsi="Times New Roman" w:eastAsia="Times New Roman" w:cs="Times New Roman"/>
          <w:position w:val="-3"/>
          <w:sz w:val="15"/>
          <w:szCs w:val="15"/>
        </w:rPr>
        <w:t>4</w:t>
      </w:r>
      <w:r>
        <w:rPr>
          <w:rFonts w:ascii="Times New Roman" w:hAnsi="Times New Roman" w:eastAsia="Times New Roman" w:cs="Times New Roman"/>
          <w:position w:val="5"/>
          <w:sz w:val="15"/>
          <w:szCs w:val="15"/>
        </w:rPr>
        <w:t>el+dl</w:t>
      </w:r>
      <w:r>
        <w:rPr>
          <w:rFonts w:ascii="宋体" w:hAnsi="宋体" w:eastAsia="宋体" w:cs="宋体"/>
          <w:position w:val="5"/>
          <w:sz w:val="24"/>
          <w:szCs w:val="24"/>
        </w:rPr>
        <w:t>）</w:t>
      </w:r>
    </w:p>
    <w:p w14:paraId="3CB389FB">
      <w:pPr>
        <w:spacing w:before="195" w:line="356" w:lineRule="auto"/>
        <w:ind w:left="38" w:firstLine="483"/>
        <w:rPr>
          <w:rFonts w:ascii="宋体" w:hAnsi="宋体" w:eastAsia="宋体" w:cs="宋体"/>
          <w:sz w:val="24"/>
          <w:szCs w:val="24"/>
        </w:rPr>
      </w:pPr>
      <w:r>
        <w:rPr>
          <w:rFonts w:ascii="宋体" w:hAnsi="宋体" w:eastAsia="宋体" w:cs="宋体"/>
          <w:spacing w:val="-7"/>
          <w:sz w:val="24"/>
          <w:szCs w:val="24"/>
        </w:rPr>
        <w:t>为粉质黏土，主要分布在场地浅丘丘顶、斜坡及坡脚部位， 勘察揭露该层厚</w:t>
      </w:r>
      <w:r>
        <w:rPr>
          <w:rFonts w:ascii="宋体" w:hAnsi="宋体" w:eastAsia="宋体" w:cs="宋体"/>
          <w:spacing w:val="-1"/>
          <w:sz w:val="24"/>
          <w:szCs w:val="24"/>
        </w:rPr>
        <w:t xml:space="preserve">度为 </w:t>
      </w:r>
      <w:r>
        <w:rPr>
          <w:rFonts w:ascii="Times New Roman" w:hAnsi="Times New Roman" w:eastAsia="Times New Roman" w:cs="Times New Roman"/>
          <w:spacing w:val="-1"/>
          <w:sz w:val="24"/>
          <w:szCs w:val="24"/>
        </w:rPr>
        <w:t>0.30m~0.50m</w:t>
      </w:r>
      <w:r>
        <w:rPr>
          <w:rFonts w:ascii="宋体" w:hAnsi="宋体" w:eastAsia="宋体" w:cs="宋体"/>
          <w:spacing w:val="-1"/>
          <w:sz w:val="24"/>
          <w:szCs w:val="24"/>
        </w:rPr>
        <w:t>，呈红褐色、红</w:t>
      </w:r>
      <w:r>
        <w:rPr>
          <w:rFonts w:ascii="宋体" w:hAnsi="宋体" w:eastAsia="宋体" w:cs="宋体"/>
          <w:spacing w:val="-2"/>
          <w:sz w:val="24"/>
          <w:szCs w:val="24"/>
        </w:rPr>
        <w:t>棕色，以黏土矿物为主，干强度及韧性中等，无摇振反应，顶部含植物根系，底部夹少量岩屑，呈可塑状。</w:t>
      </w:r>
    </w:p>
    <w:p w14:paraId="60BF8310">
      <w:pPr>
        <w:spacing w:line="216" w:lineRule="auto"/>
        <w:ind w:left="52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）侏罗系中统上沙溪庙组基岩（</w:t>
      </w:r>
      <w:r>
        <w:rPr>
          <w:rFonts w:ascii="Times New Roman" w:hAnsi="Times New Roman" w:eastAsia="Times New Roman" w:cs="Times New Roman"/>
          <w:sz w:val="24"/>
          <w:szCs w:val="24"/>
        </w:rPr>
        <w:t>J</w:t>
      </w:r>
      <w:r>
        <w:rPr>
          <w:rFonts w:ascii="Times New Roman" w:hAnsi="Times New Roman" w:eastAsia="Times New Roman" w:cs="Times New Roman"/>
          <w:position w:val="-3"/>
          <w:sz w:val="15"/>
          <w:szCs w:val="15"/>
        </w:rPr>
        <w:t>2S</w:t>
      </w:r>
      <w:r>
        <w:rPr>
          <w:rFonts w:ascii="Times New Roman" w:hAnsi="Times New Roman" w:eastAsia="Times New Roman" w:cs="Times New Roman"/>
          <w:spacing w:val="-1"/>
          <w:position w:val="1"/>
          <w:sz w:val="15"/>
          <w:szCs w:val="15"/>
        </w:rPr>
        <w:t>2</w:t>
      </w:r>
      <w:r>
        <w:rPr>
          <w:rFonts w:ascii="宋体" w:hAnsi="宋体" w:eastAsia="宋体" w:cs="宋体"/>
          <w:spacing w:val="-1"/>
          <w:position w:val="1"/>
          <w:sz w:val="24"/>
          <w:szCs w:val="24"/>
        </w:rPr>
        <w:t>）</w:t>
      </w:r>
    </w:p>
    <w:p w14:paraId="174FE3CB">
      <w:pPr>
        <w:spacing w:before="191" w:line="360" w:lineRule="auto"/>
        <w:ind w:left="38" w:right="65" w:firstLine="480"/>
        <w:rPr>
          <w:rFonts w:ascii="宋体" w:hAnsi="宋体" w:eastAsia="宋体" w:cs="宋体"/>
          <w:sz w:val="24"/>
          <w:szCs w:val="24"/>
        </w:rPr>
      </w:pPr>
      <w:r>
        <w:rPr>
          <w:rFonts w:ascii="宋体" w:hAnsi="宋体" w:eastAsia="宋体" w:cs="宋体"/>
          <w:spacing w:val="-3"/>
          <w:sz w:val="24"/>
          <w:szCs w:val="24"/>
        </w:rPr>
        <w:t>场地基岩为侏罗系中统上沙溪庙组地层，该地层属内陆河湖相红色</w:t>
      </w:r>
      <w:r>
        <w:rPr>
          <w:rFonts w:ascii="宋体" w:hAnsi="宋体" w:eastAsia="宋体" w:cs="宋体"/>
          <w:spacing w:val="-4"/>
          <w:sz w:val="24"/>
          <w:szCs w:val="24"/>
        </w:rPr>
        <w:t>碎屑沉积</w:t>
      </w:r>
      <w:r>
        <w:rPr>
          <w:rFonts w:ascii="宋体" w:hAnsi="宋体" w:eastAsia="宋体" w:cs="宋体"/>
          <w:spacing w:val="-10"/>
          <w:sz w:val="24"/>
          <w:szCs w:val="24"/>
        </w:rPr>
        <w:t>之砂、泥岩，并夹与之呈过渡相变关系的泥质细砂岩和细砂质泥岩，并具透镜体、</w:t>
      </w:r>
      <w:r>
        <w:rPr>
          <w:rFonts w:ascii="宋体" w:hAnsi="宋体" w:eastAsia="宋体" w:cs="宋体"/>
          <w:spacing w:val="-6"/>
          <w:sz w:val="24"/>
          <w:szCs w:val="24"/>
        </w:rPr>
        <w:t>尖灭等构造特征，呈互层状产出。场地钻探深度范围内以巨厚层状</w:t>
      </w:r>
      <w:r>
        <w:rPr>
          <w:rFonts w:ascii="宋体" w:hAnsi="宋体" w:eastAsia="宋体" w:cs="宋体"/>
          <w:spacing w:val="-7"/>
          <w:sz w:val="24"/>
          <w:szCs w:val="24"/>
        </w:rPr>
        <w:t>泥岩产出， 岩</w:t>
      </w:r>
      <w:r>
        <w:rPr>
          <w:rFonts w:ascii="宋体" w:hAnsi="宋体" w:eastAsia="宋体" w:cs="宋体"/>
          <w:spacing w:val="-3"/>
          <w:sz w:val="24"/>
          <w:szCs w:val="24"/>
        </w:rPr>
        <w:t>层产状略向南东倾伏，倾伏角</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度左右。</w:t>
      </w:r>
    </w:p>
    <w:p w14:paraId="64613BF5">
      <w:pPr>
        <w:spacing w:line="219" w:lineRule="auto"/>
        <w:ind w:left="601"/>
        <w:rPr>
          <w:rFonts w:ascii="宋体" w:hAnsi="宋体" w:eastAsia="宋体" w:cs="宋体"/>
          <w:sz w:val="24"/>
          <w:szCs w:val="24"/>
        </w:rPr>
      </w:pPr>
      <w:r>
        <w:rPr>
          <w:rFonts w:ascii="宋体" w:hAnsi="宋体" w:eastAsia="宋体" w:cs="宋体"/>
          <w:spacing w:val="-2"/>
          <w:sz w:val="24"/>
          <w:szCs w:val="24"/>
        </w:rPr>
        <w:t>泥岩：主要由黏土矿物组成，呈红棕色、棕褐色，夹浅绿色团块及条带，</w:t>
      </w:r>
    </w:p>
    <w:p w14:paraId="322E4C93">
      <w:pPr>
        <w:spacing w:before="181" w:line="362" w:lineRule="auto"/>
        <w:ind w:left="39" w:firstLine="2"/>
        <w:jc w:val="both"/>
        <w:rPr>
          <w:rFonts w:ascii="宋体" w:hAnsi="宋体" w:eastAsia="宋体" w:cs="宋体"/>
          <w:sz w:val="24"/>
          <w:szCs w:val="24"/>
        </w:rPr>
      </w:pPr>
      <w:r>
        <w:rPr>
          <w:rFonts w:ascii="宋体" w:hAnsi="宋体" w:eastAsia="宋体" w:cs="宋体"/>
          <w:spacing w:val="-3"/>
          <w:sz w:val="24"/>
          <w:szCs w:val="24"/>
        </w:rPr>
        <w:t>局部地带内夹砂质团块及薄层砂岩，泥质结构，巨厚层状构造，岩芯易</w:t>
      </w:r>
      <w:r>
        <w:rPr>
          <w:rFonts w:ascii="宋体" w:hAnsi="宋体" w:eastAsia="宋体" w:cs="宋体"/>
          <w:spacing w:val="-4"/>
          <w:sz w:val="24"/>
          <w:szCs w:val="24"/>
        </w:rPr>
        <w:t>风化、遇</w:t>
      </w:r>
      <w:r>
        <w:rPr>
          <w:rFonts w:ascii="宋体" w:hAnsi="宋体" w:eastAsia="宋体" w:cs="宋体"/>
          <w:spacing w:val="-1"/>
          <w:sz w:val="24"/>
          <w:szCs w:val="24"/>
        </w:rPr>
        <w:t>水易软化，强风化层岩石裂隙发育，中风化层岩质软，岩芯呈短柱状～</w:t>
      </w:r>
      <w:r>
        <w:rPr>
          <w:rFonts w:ascii="宋体" w:hAnsi="宋体" w:eastAsia="宋体" w:cs="宋体"/>
          <w:spacing w:val="-2"/>
          <w:sz w:val="24"/>
          <w:szCs w:val="24"/>
        </w:rPr>
        <w:t>长柱状，</w:t>
      </w:r>
      <w:r>
        <w:rPr>
          <w:rFonts w:ascii="宋体" w:hAnsi="宋体" w:eastAsia="宋体" w:cs="宋体"/>
          <w:spacing w:val="-1"/>
          <w:sz w:val="24"/>
          <w:szCs w:val="24"/>
        </w:rPr>
        <w:t>节长一般</w:t>
      </w:r>
      <w:r>
        <w:rPr>
          <w:rFonts w:ascii="Times New Roman" w:hAnsi="Times New Roman" w:eastAsia="Times New Roman" w:cs="Times New Roman"/>
          <w:spacing w:val="-1"/>
          <w:sz w:val="24"/>
          <w:szCs w:val="24"/>
        </w:rPr>
        <w:t>5</w:t>
      </w:r>
      <w:r>
        <w:rPr>
          <w:rFonts w:ascii="宋体" w:hAnsi="宋体" w:eastAsia="宋体" w:cs="宋体"/>
          <w:spacing w:val="-1"/>
          <w:sz w:val="24"/>
          <w:szCs w:val="24"/>
        </w:rPr>
        <w:t>～</w:t>
      </w:r>
      <w:r>
        <w:rPr>
          <w:rFonts w:ascii="Times New Roman" w:hAnsi="Times New Roman" w:eastAsia="Times New Roman" w:cs="Times New Roman"/>
          <w:spacing w:val="-1"/>
          <w:sz w:val="24"/>
          <w:szCs w:val="24"/>
        </w:rPr>
        <w:t>40cm</w:t>
      </w:r>
      <w:r>
        <w:rPr>
          <w:rFonts w:ascii="宋体" w:hAnsi="宋体" w:eastAsia="宋体" w:cs="宋体"/>
          <w:spacing w:val="-1"/>
          <w:sz w:val="24"/>
          <w:szCs w:val="24"/>
        </w:rPr>
        <w:t>。</w:t>
      </w:r>
    </w:p>
    <w:p w14:paraId="223BE057">
      <w:pPr>
        <w:spacing w:line="362" w:lineRule="auto"/>
        <w:rPr>
          <w:rFonts w:ascii="宋体" w:hAnsi="宋体" w:eastAsia="宋体" w:cs="宋体"/>
          <w:sz w:val="24"/>
          <w:szCs w:val="24"/>
        </w:rPr>
        <w:sectPr>
          <w:headerReference r:id="rId241" w:type="default"/>
          <w:footerReference r:id="rId242" w:type="default"/>
          <w:pgSz w:w="11905" w:h="16840"/>
          <w:pgMar w:top="1168" w:right="1732" w:bottom="1409" w:left="1770" w:header="828" w:footer="1244" w:gutter="0"/>
          <w:cols w:space="720" w:num="1"/>
        </w:sectPr>
      </w:pPr>
    </w:p>
    <w:p w14:paraId="53B7B68D">
      <w:pPr>
        <w:pStyle w:val="2"/>
        <w:spacing w:line="305" w:lineRule="auto"/>
      </w:pPr>
    </w:p>
    <w:p w14:paraId="1E521413">
      <w:pPr>
        <w:spacing w:before="78" w:line="362" w:lineRule="auto"/>
        <w:ind w:left="39" w:right="185" w:firstLine="469"/>
        <w:rPr>
          <w:rFonts w:ascii="宋体" w:hAnsi="宋体" w:eastAsia="宋体" w:cs="宋体"/>
          <w:sz w:val="24"/>
          <w:szCs w:val="24"/>
        </w:rPr>
      </w:pPr>
      <w:r>
        <w:rPr>
          <w:rFonts w:ascii="宋体" w:hAnsi="宋体" w:eastAsia="宋体" w:cs="宋体"/>
          <w:spacing w:val="-3"/>
          <w:sz w:val="24"/>
          <w:szCs w:val="24"/>
        </w:rPr>
        <w:t>场地下伏基岩剥蚀面基本随原始地形起伏，基岩剥蚀面由浅丘坡顶向浅丘斜</w:t>
      </w:r>
      <w:r>
        <w:rPr>
          <w:rFonts w:ascii="宋体" w:hAnsi="宋体" w:eastAsia="宋体" w:cs="宋体"/>
          <w:spacing w:val="-1"/>
          <w:sz w:val="24"/>
          <w:szCs w:val="24"/>
        </w:rPr>
        <w:t>坡、坡脚及冲沟内方向倾伏，倾伏角</w:t>
      </w:r>
      <w:r>
        <w:rPr>
          <w:rFonts w:ascii="Times New Roman" w:hAnsi="Times New Roman" w:eastAsia="Times New Roman" w:cs="Times New Roman"/>
          <w:spacing w:val="-1"/>
          <w:sz w:val="24"/>
          <w:szCs w:val="24"/>
        </w:rPr>
        <w:t>5°~30°</w:t>
      </w:r>
      <w:r>
        <w:rPr>
          <w:rFonts w:ascii="宋体" w:hAnsi="宋体" w:eastAsia="宋体" w:cs="宋体"/>
          <w:spacing w:val="-2"/>
          <w:sz w:val="24"/>
          <w:szCs w:val="24"/>
        </w:rPr>
        <w:t>不等，局部呈陡坎状。</w:t>
      </w:r>
    </w:p>
    <w:p w14:paraId="749EB612">
      <w:pPr>
        <w:spacing w:before="162" w:line="220" w:lineRule="auto"/>
        <w:ind w:left="34"/>
        <w:rPr>
          <w:rFonts w:ascii="宋体" w:hAnsi="宋体" w:eastAsia="宋体" w:cs="宋体"/>
          <w:sz w:val="30"/>
          <w:szCs w:val="30"/>
        </w:rPr>
      </w:pPr>
      <w:r>
        <w:rPr>
          <w:rFonts w:ascii="Times New Roman" w:hAnsi="Times New Roman" w:eastAsia="Times New Roman" w:cs="Times New Roman"/>
          <w:b/>
          <w:bCs/>
          <w:spacing w:val="-1"/>
          <w:sz w:val="30"/>
          <w:szCs w:val="30"/>
        </w:rPr>
        <w:t xml:space="preserve">3.1.5  </w:t>
      </w:r>
      <w:r>
        <w:rPr>
          <w:rFonts w:ascii="宋体" w:hAnsi="宋体" w:eastAsia="宋体" w:cs="宋体"/>
          <w:b/>
          <w:bCs/>
          <w:spacing w:val="-1"/>
          <w:sz w:val="30"/>
          <w:szCs w:val="30"/>
        </w:rPr>
        <w:t>气象条件</w:t>
      </w:r>
    </w:p>
    <w:p w14:paraId="500DC6E5">
      <w:pPr>
        <w:pStyle w:val="2"/>
        <w:spacing w:line="258" w:lineRule="auto"/>
      </w:pPr>
    </w:p>
    <w:p w14:paraId="211BAA54">
      <w:pPr>
        <w:spacing w:before="78" w:line="363" w:lineRule="auto"/>
        <w:ind w:left="38" w:right="121" w:firstLine="509"/>
        <w:jc w:val="both"/>
        <w:rPr>
          <w:rFonts w:ascii="宋体" w:hAnsi="宋体" w:eastAsia="宋体" w:cs="宋体"/>
          <w:sz w:val="24"/>
          <w:szCs w:val="24"/>
        </w:rPr>
      </w:pPr>
      <w:r>
        <w:rPr>
          <w:rFonts w:ascii="宋体" w:hAnsi="宋体" w:eastAsia="宋体" w:cs="宋体"/>
          <w:spacing w:val="-7"/>
          <w:sz w:val="24"/>
          <w:szCs w:val="24"/>
        </w:rPr>
        <w:t>内江属中亚热带湿润季风气候，年平均气温</w:t>
      </w:r>
      <w:r>
        <w:rPr>
          <w:rFonts w:ascii="Times New Roman" w:hAnsi="Times New Roman" w:eastAsia="Times New Roman" w:cs="Times New Roman"/>
          <w:spacing w:val="-7"/>
          <w:sz w:val="24"/>
          <w:szCs w:val="24"/>
        </w:rPr>
        <w:t>17.7</w:t>
      </w:r>
      <w:r>
        <w:rPr>
          <w:rFonts w:ascii="宋体" w:hAnsi="宋体" w:eastAsia="宋体" w:cs="宋体"/>
          <w:spacing w:val="-7"/>
          <w:sz w:val="24"/>
          <w:szCs w:val="24"/>
        </w:rPr>
        <w:t>℃,</w:t>
      </w:r>
      <w:r>
        <w:rPr>
          <w:rFonts w:ascii="宋体" w:hAnsi="宋体" w:eastAsia="宋体" w:cs="宋体"/>
          <w:spacing w:val="-43"/>
          <w:sz w:val="24"/>
          <w:szCs w:val="24"/>
        </w:rPr>
        <w:t xml:space="preserve"> </w:t>
      </w:r>
      <w:r>
        <w:rPr>
          <w:rFonts w:ascii="宋体" w:hAnsi="宋体" w:eastAsia="宋体" w:cs="宋体"/>
          <w:spacing w:val="-7"/>
          <w:sz w:val="24"/>
          <w:szCs w:val="24"/>
        </w:rPr>
        <w:t>年平均降水量</w:t>
      </w:r>
      <w:r>
        <w:rPr>
          <w:rFonts w:ascii="Times New Roman" w:hAnsi="Times New Roman" w:eastAsia="Times New Roman" w:cs="Times New Roman"/>
          <w:spacing w:val="-7"/>
          <w:sz w:val="24"/>
          <w:szCs w:val="24"/>
        </w:rPr>
        <w:t>1027.7mm</w:t>
      </w:r>
      <w:r>
        <w:rPr>
          <w:rFonts w:ascii="宋体" w:hAnsi="宋体" w:eastAsia="宋体" w:cs="宋体"/>
          <w:spacing w:val="-7"/>
          <w:sz w:val="24"/>
          <w:szCs w:val="24"/>
        </w:rPr>
        <w:t>，</w:t>
      </w:r>
      <w:r>
        <w:rPr>
          <w:rFonts w:ascii="宋体" w:hAnsi="宋体" w:eastAsia="宋体" w:cs="宋体"/>
          <w:spacing w:val="-2"/>
          <w:sz w:val="24"/>
          <w:szCs w:val="24"/>
        </w:rPr>
        <w:t>日最大降水量曾达</w:t>
      </w:r>
      <w:r>
        <w:rPr>
          <w:rFonts w:ascii="Times New Roman" w:hAnsi="Times New Roman" w:eastAsia="Times New Roman" w:cs="Times New Roman"/>
          <w:spacing w:val="-2"/>
          <w:sz w:val="24"/>
          <w:szCs w:val="24"/>
        </w:rPr>
        <w:t>244.8mm</w:t>
      </w:r>
      <w:r>
        <w:rPr>
          <w:rFonts w:ascii="宋体" w:hAnsi="宋体" w:eastAsia="宋体" w:cs="宋体"/>
          <w:spacing w:val="-2"/>
          <w:sz w:val="24"/>
          <w:szCs w:val="24"/>
        </w:rPr>
        <w:t>。年平均日照数</w:t>
      </w:r>
      <w:r>
        <w:rPr>
          <w:rFonts w:ascii="Times New Roman" w:hAnsi="Times New Roman" w:eastAsia="Times New Roman" w:cs="Times New Roman"/>
          <w:spacing w:val="-2"/>
          <w:sz w:val="24"/>
          <w:szCs w:val="24"/>
        </w:rPr>
        <w:t>1296.6h</w:t>
      </w:r>
      <w:r>
        <w:rPr>
          <w:rFonts w:ascii="宋体" w:hAnsi="宋体" w:eastAsia="宋体" w:cs="宋体"/>
          <w:spacing w:val="-2"/>
          <w:sz w:val="24"/>
          <w:szCs w:val="24"/>
        </w:rPr>
        <w:t>，相对湿度</w:t>
      </w:r>
      <w:r>
        <w:rPr>
          <w:rFonts w:ascii="Times New Roman" w:hAnsi="Times New Roman" w:eastAsia="Times New Roman" w:cs="Times New Roman"/>
          <w:spacing w:val="-2"/>
          <w:sz w:val="24"/>
          <w:szCs w:val="24"/>
        </w:rPr>
        <w:t>80%</w:t>
      </w:r>
      <w:r>
        <w:rPr>
          <w:rFonts w:ascii="宋体" w:hAnsi="宋体" w:eastAsia="宋体" w:cs="宋体"/>
          <w:spacing w:val="-2"/>
          <w:sz w:val="24"/>
          <w:szCs w:val="24"/>
        </w:rPr>
        <w:t>。年平均风速</w:t>
      </w:r>
      <w:r>
        <w:rPr>
          <w:rFonts w:ascii="Times New Roman" w:hAnsi="Times New Roman" w:eastAsia="Times New Roman" w:cs="Times New Roman"/>
          <w:spacing w:val="2"/>
          <w:sz w:val="24"/>
          <w:szCs w:val="24"/>
        </w:rPr>
        <w:t>1.7m/s</w:t>
      </w:r>
      <w:r>
        <w:rPr>
          <w:rFonts w:ascii="宋体" w:hAnsi="宋体" w:eastAsia="宋体" w:cs="宋体"/>
          <w:spacing w:val="2"/>
          <w:sz w:val="24"/>
          <w:szCs w:val="24"/>
        </w:rPr>
        <w:t>，最大风速曾达</w:t>
      </w:r>
      <w:r>
        <w:rPr>
          <w:rFonts w:ascii="Times New Roman" w:hAnsi="Times New Roman" w:eastAsia="Times New Roman" w:cs="Times New Roman"/>
          <w:spacing w:val="2"/>
          <w:sz w:val="24"/>
          <w:szCs w:val="24"/>
        </w:rPr>
        <w:t>32m/s</w:t>
      </w:r>
      <w:r>
        <w:rPr>
          <w:rFonts w:ascii="宋体" w:hAnsi="宋体" w:eastAsia="宋体" w:cs="宋体"/>
          <w:spacing w:val="2"/>
          <w:sz w:val="24"/>
          <w:szCs w:val="24"/>
        </w:rPr>
        <w:t>。全年主导风向为北风和北偏西风，同时静风频率</w:t>
      </w:r>
      <w:r>
        <w:rPr>
          <w:rFonts w:ascii="宋体" w:hAnsi="宋体" w:eastAsia="宋体" w:cs="宋体"/>
          <w:spacing w:val="-2"/>
          <w:sz w:val="24"/>
          <w:szCs w:val="24"/>
        </w:rPr>
        <w:t>达</w:t>
      </w:r>
      <w:r>
        <w:rPr>
          <w:rFonts w:ascii="Times New Roman" w:hAnsi="Times New Roman" w:eastAsia="Times New Roman" w:cs="Times New Roman"/>
          <w:spacing w:val="-2"/>
          <w:sz w:val="24"/>
          <w:szCs w:val="24"/>
        </w:rPr>
        <w:t>26%</w:t>
      </w:r>
      <w:r>
        <w:rPr>
          <w:rFonts w:ascii="宋体" w:hAnsi="宋体" w:eastAsia="宋体" w:cs="宋体"/>
          <w:spacing w:val="-2"/>
          <w:sz w:val="24"/>
          <w:szCs w:val="24"/>
        </w:rPr>
        <w:t>。</w:t>
      </w:r>
    </w:p>
    <w:p w14:paraId="2956AFD7">
      <w:pPr>
        <w:spacing w:before="152" w:line="220" w:lineRule="auto"/>
        <w:ind w:left="34"/>
        <w:rPr>
          <w:rFonts w:ascii="宋体" w:hAnsi="宋体" w:eastAsia="宋体" w:cs="宋体"/>
          <w:sz w:val="30"/>
          <w:szCs w:val="30"/>
        </w:rPr>
      </w:pPr>
      <w:r>
        <w:rPr>
          <w:rFonts w:ascii="Times New Roman" w:hAnsi="Times New Roman" w:eastAsia="Times New Roman" w:cs="Times New Roman"/>
          <w:b/>
          <w:bCs/>
          <w:spacing w:val="-4"/>
          <w:sz w:val="30"/>
          <w:szCs w:val="30"/>
        </w:rPr>
        <w:t>3.1.6</w:t>
      </w:r>
      <w:r>
        <w:rPr>
          <w:rFonts w:ascii="Times New Roman" w:hAnsi="Times New Roman" w:eastAsia="Times New Roman" w:cs="Times New Roman"/>
          <w:b/>
          <w:bCs/>
          <w:spacing w:val="12"/>
          <w:sz w:val="30"/>
          <w:szCs w:val="30"/>
        </w:rPr>
        <w:t xml:space="preserve">  </w:t>
      </w:r>
      <w:r>
        <w:rPr>
          <w:rFonts w:ascii="宋体" w:hAnsi="宋体" w:eastAsia="宋体" w:cs="宋体"/>
          <w:b/>
          <w:bCs/>
          <w:spacing w:val="-4"/>
          <w:sz w:val="30"/>
          <w:szCs w:val="30"/>
        </w:rPr>
        <w:t>水文特征</w:t>
      </w:r>
    </w:p>
    <w:p w14:paraId="078B5D55">
      <w:pPr>
        <w:pStyle w:val="2"/>
        <w:spacing w:line="259" w:lineRule="auto"/>
      </w:pPr>
    </w:p>
    <w:p w14:paraId="47D6E445">
      <w:pPr>
        <w:spacing w:before="78"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）地表水</w:t>
      </w:r>
    </w:p>
    <w:p w14:paraId="0B0921B2">
      <w:pPr>
        <w:spacing w:before="183" w:line="360" w:lineRule="auto"/>
        <w:ind w:left="39" w:right="101" w:firstLine="509"/>
        <w:rPr>
          <w:rFonts w:ascii="宋体" w:hAnsi="宋体" w:eastAsia="宋体" w:cs="宋体"/>
          <w:sz w:val="24"/>
          <w:szCs w:val="24"/>
        </w:rPr>
      </w:pPr>
      <w:r>
        <w:rPr>
          <w:rFonts w:ascii="宋体" w:hAnsi="宋体" w:eastAsia="宋体" w:cs="宋体"/>
          <w:spacing w:val="-4"/>
          <w:sz w:val="24"/>
          <w:szCs w:val="24"/>
        </w:rPr>
        <w:t>内江市境内绝大部分属长江流域沱江水系，沱江为长江一级支流，自北向南</w:t>
      </w:r>
      <w:r>
        <w:rPr>
          <w:rFonts w:ascii="宋体" w:hAnsi="宋体" w:eastAsia="宋体" w:cs="宋体"/>
          <w:spacing w:val="1"/>
          <w:sz w:val="24"/>
          <w:szCs w:val="24"/>
        </w:rPr>
        <w:t>蜿蜒穿越市域腹地</w:t>
      </w:r>
      <w:r>
        <w:rPr>
          <w:rFonts w:ascii="Times New Roman" w:hAnsi="Times New Roman" w:eastAsia="Times New Roman" w:cs="Times New Roman"/>
          <w:spacing w:val="1"/>
          <w:sz w:val="24"/>
          <w:szCs w:val="24"/>
        </w:rPr>
        <w:t>150</w:t>
      </w:r>
      <w:r>
        <w:rPr>
          <w:rFonts w:ascii="Times New Roman" w:hAnsi="Times New Roman" w:eastAsia="Times New Roman" w:cs="Times New Roman"/>
          <w:sz w:val="24"/>
          <w:szCs w:val="24"/>
        </w:rPr>
        <w:t>km</w:t>
      </w:r>
      <w:r>
        <w:rPr>
          <w:rFonts w:ascii="宋体" w:hAnsi="宋体" w:eastAsia="宋体" w:cs="宋体"/>
          <w:spacing w:val="1"/>
          <w:sz w:val="24"/>
          <w:szCs w:val="24"/>
        </w:rPr>
        <w:t>，流经资中、东兴区及市中区，是市内水路运输要</w:t>
      </w:r>
      <w:r>
        <w:rPr>
          <w:rFonts w:ascii="宋体" w:hAnsi="宋体" w:eastAsia="宋体" w:cs="宋体"/>
          <w:sz w:val="24"/>
          <w:szCs w:val="24"/>
        </w:rPr>
        <w:t>道。</w:t>
      </w:r>
      <w:r>
        <w:rPr>
          <w:rFonts w:ascii="宋体" w:hAnsi="宋体" w:eastAsia="宋体" w:cs="宋体"/>
          <w:spacing w:val="-2"/>
          <w:sz w:val="24"/>
          <w:szCs w:val="24"/>
        </w:rPr>
        <w:t>较大支流有球溪河、濛溪河、清流河和威远河等。</w:t>
      </w:r>
    </w:p>
    <w:p w14:paraId="709133A0">
      <w:pPr>
        <w:spacing w:line="217" w:lineRule="auto"/>
        <w:ind w:left="518"/>
        <w:rPr>
          <w:rFonts w:ascii="宋体" w:hAnsi="宋体" w:eastAsia="宋体" w:cs="宋体"/>
          <w:sz w:val="24"/>
          <w:szCs w:val="24"/>
        </w:rPr>
      </w:pPr>
      <w:r>
        <w:rPr>
          <w:rFonts w:ascii="宋体" w:hAnsi="宋体" w:eastAsia="宋体" w:cs="宋体"/>
          <w:spacing w:val="-2"/>
          <w:sz w:val="24"/>
          <w:szCs w:val="24"/>
        </w:rPr>
        <w:t>①沱江</w:t>
      </w:r>
    </w:p>
    <w:p w14:paraId="04CBA7AA">
      <w:pPr>
        <w:spacing w:before="186" w:line="360" w:lineRule="auto"/>
        <w:ind w:left="33" w:right="184" w:firstLine="487"/>
        <w:rPr>
          <w:rFonts w:ascii="宋体" w:hAnsi="宋体" w:eastAsia="宋体" w:cs="宋体"/>
          <w:sz w:val="24"/>
          <w:szCs w:val="24"/>
        </w:rPr>
      </w:pPr>
      <w:r>
        <w:rPr>
          <w:rFonts w:ascii="宋体" w:hAnsi="宋体" w:eastAsia="宋体" w:cs="宋体"/>
          <w:spacing w:val="1"/>
          <w:sz w:val="24"/>
          <w:szCs w:val="24"/>
        </w:rPr>
        <w:t>沱江属长江上游左岸一级支流，流域地理座标东经</w:t>
      </w:r>
      <w:r>
        <w:rPr>
          <w:rFonts w:ascii="Times New Roman" w:hAnsi="Times New Roman" w:eastAsia="Times New Roman" w:cs="Times New Roman"/>
          <w:spacing w:val="1"/>
          <w:sz w:val="24"/>
          <w:szCs w:val="24"/>
        </w:rPr>
        <w:t>103°38,</w:t>
      </w:r>
      <w:r>
        <w:rPr>
          <w:rFonts w:ascii="宋体" w:hAnsi="宋体" w:eastAsia="宋体" w:cs="宋体"/>
          <w:spacing w:val="1"/>
          <w:sz w:val="24"/>
          <w:szCs w:val="24"/>
        </w:rPr>
        <w:t>～</w:t>
      </w:r>
      <w:r>
        <w:rPr>
          <w:rFonts w:ascii="Times New Roman" w:hAnsi="Times New Roman" w:eastAsia="Times New Roman" w:cs="Times New Roman"/>
          <w:spacing w:val="1"/>
          <w:sz w:val="24"/>
          <w:szCs w:val="24"/>
        </w:rPr>
        <w:t>105°50,</w:t>
      </w:r>
      <w:r>
        <w:rPr>
          <w:rFonts w:ascii="宋体" w:hAnsi="宋体" w:eastAsia="宋体" w:cs="宋体"/>
          <w:spacing w:val="1"/>
          <w:sz w:val="24"/>
          <w:szCs w:val="24"/>
        </w:rPr>
        <w:t>、北纬</w:t>
      </w:r>
      <w:r>
        <w:rPr>
          <w:rFonts w:ascii="Times New Roman" w:hAnsi="Times New Roman" w:eastAsia="Times New Roman" w:cs="Times New Roman"/>
          <w:spacing w:val="4"/>
          <w:sz w:val="24"/>
          <w:szCs w:val="24"/>
        </w:rPr>
        <w:t>28°53,~31°36,</w:t>
      </w:r>
      <w:r>
        <w:rPr>
          <w:rFonts w:ascii="宋体" w:hAnsi="宋体" w:eastAsia="宋体" w:cs="宋体"/>
          <w:spacing w:val="4"/>
          <w:sz w:val="24"/>
          <w:szCs w:val="24"/>
        </w:rPr>
        <w:t>之间。沱江发源于川北高原绵竹县九顶山东麓老鹰窝梁子，海拔</w:t>
      </w:r>
      <w:r>
        <w:rPr>
          <w:rFonts w:ascii="Times New Roman" w:hAnsi="Times New Roman" w:eastAsia="Times New Roman" w:cs="Times New Roman"/>
          <w:sz w:val="24"/>
          <w:szCs w:val="24"/>
        </w:rPr>
        <w:t>4982m</w:t>
      </w:r>
      <w:r>
        <w:rPr>
          <w:rFonts w:ascii="宋体" w:hAnsi="宋体" w:eastAsia="宋体" w:cs="宋体"/>
          <w:sz w:val="24"/>
          <w:szCs w:val="24"/>
        </w:rPr>
        <w:t>，在泸州市汇入长江，河道总长</w:t>
      </w:r>
      <w:r>
        <w:rPr>
          <w:rFonts w:ascii="Times New Roman" w:hAnsi="Times New Roman" w:eastAsia="Times New Roman" w:cs="Times New Roman"/>
          <w:sz w:val="24"/>
          <w:szCs w:val="24"/>
        </w:rPr>
        <w:t>629km</w:t>
      </w:r>
      <w:r>
        <w:rPr>
          <w:rFonts w:ascii="宋体" w:hAnsi="宋体" w:eastAsia="宋体" w:cs="宋体"/>
          <w:sz w:val="24"/>
          <w:szCs w:val="24"/>
        </w:rPr>
        <w:t>，全流域面</w:t>
      </w:r>
      <w:r>
        <w:rPr>
          <w:rFonts w:ascii="宋体" w:hAnsi="宋体" w:eastAsia="宋体" w:cs="宋体"/>
          <w:spacing w:val="-1"/>
          <w:sz w:val="24"/>
          <w:szCs w:val="24"/>
        </w:rPr>
        <w:t>积</w:t>
      </w:r>
      <w:r>
        <w:rPr>
          <w:rFonts w:ascii="Times New Roman" w:hAnsi="Times New Roman" w:eastAsia="Times New Roman" w:cs="Times New Roman"/>
          <w:spacing w:val="-1"/>
          <w:sz w:val="24"/>
          <w:szCs w:val="24"/>
        </w:rPr>
        <w:t>27860km</w:t>
      </w:r>
      <w:r>
        <w:rPr>
          <w:rFonts w:ascii="Times New Roman" w:hAnsi="Times New Roman" w:eastAsia="Times New Roman" w:cs="Times New Roman"/>
          <w:spacing w:val="-1"/>
          <w:position w:val="10"/>
          <w:sz w:val="15"/>
          <w:szCs w:val="15"/>
        </w:rPr>
        <w:t>2</w:t>
      </w:r>
      <w:r>
        <w:rPr>
          <w:rFonts w:ascii="宋体" w:hAnsi="宋体" w:eastAsia="宋体" w:cs="宋体"/>
          <w:spacing w:val="-1"/>
          <w:sz w:val="24"/>
          <w:szCs w:val="24"/>
        </w:rPr>
        <w:t>。干流从金</w:t>
      </w:r>
      <w:r>
        <w:rPr>
          <w:rFonts w:ascii="宋体" w:hAnsi="宋体" w:eastAsia="宋体" w:cs="宋体"/>
          <w:spacing w:val="-6"/>
          <w:sz w:val="24"/>
          <w:szCs w:val="24"/>
        </w:rPr>
        <w:t>堂县赵镇三江汇合处流经简阳、资阳、资中、内江、富顺等县市， 在泸</w:t>
      </w:r>
      <w:r>
        <w:rPr>
          <w:rFonts w:ascii="宋体" w:hAnsi="宋体" w:eastAsia="宋体" w:cs="宋体"/>
          <w:spacing w:val="-7"/>
          <w:sz w:val="24"/>
          <w:szCs w:val="24"/>
        </w:rPr>
        <w:t>州市河口</w:t>
      </w:r>
      <w:r>
        <w:rPr>
          <w:rFonts w:ascii="宋体" w:hAnsi="宋体" w:eastAsia="宋体" w:cs="宋体"/>
          <w:spacing w:val="-1"/>
          <w:sz w:val="24"/>
          <w:szCs w:val="24"/>
        </w:rPr>
        <w:t>注入长江，全长</w:t>
      </w:r>
      <w:r>
        <w:rPr>
          <w:rFonts w:ascii="Times New Roman" w:hAnsi="Times New Roman" w:eastAsia="Times New Roman" w:cs="Times New Roman"/>
          <w:spacing w:val="-1"/>
          <w:sz w:val="24"/>
          <w:szCs w:val="24"/>
        </w:rPr>
        <w:t>502km</w:t>
      </w:r>
      <w:r>
        <w:rPr>
          <w:rFonts w:ascii="宋体" w:hAnsi="宋体" w:eastAsia="宋体" w:cs="宋体"/>
          <w:spacing w:val="-1"/>
          <w:sz w:val="24"/>
          <w:szCs w:val="24"/>
        </w:rPr>
        <w:t>。</w:t>
      </w:r>
    </w:p>
    <w:p w14:paraId="224DF5E1">
      <w:pPr>
        <w:spacing w:line="360" w:lineRule="auto"/>
        <w:ind w:left="38" w:firstLine="482"/>
        <w:jc w:val="both"/>
        <w:rPr>
          <w:rFonts w:ascii="宋体" w:hAnsi="宋体" w:eastAsia="宋体" w:cs="宋体"/>
          <w:sz w:val="24"/>
          <w:szCs w:val="24"/>
        </w:rPr>
      </w:pPr>
      <w:r>
        <w:rPr>
          <w:rFonts w:ascii="宋体" w:hAnsi="宋体" w:eastAsia="宋体" w:cs="宋体"/>
          <w:spacing w:val="-5"/>
          <w:sz w:val="24"/>
          <w:szCs w:val="24"/>
        </w:rPr>
        <w:t>沱江内江段从资中顺河场上游</w:t>
      </w:r>
      <w:r>
        <w:rPr>
          <w:rFonts w:ascii="Times New Roman" w:hAnsi="Times New Roman" w:eastAsia="Times New Roman" w:cs="Times New Roman"/>
          <w:spacing w:val="-5"/>
          <w:sz w:val="24"/>
          <w:szCs w:val="24"/>
        </w:rPr>
        <w:t>17km</w:t>
      </w:r>
      <w:r>
        <w:rPr>
          <w:rFonts w:ascii="宋体" w:hAnsi="宋体" w:eastAsia="宋体" w:cs="宋体"/>
          <w:spacing w:val="-5"/>
          <w:sz w:val="24"/>
          <w:szCs w:val="24"/>
        </w:rPr>
        <w:t>处进入内江至东兴区龙门镇，总长</w:t>
      </w:r>
      <w:r>
        <w:rPr>
          <w:rFonts w:ascii="Times New Roman" w:hAnsi="Times New Roman" w:eastAsia="Times New Roman" w:cs="Times New Roman"/>
          <w:spacing w:val="-5"/>
          <w:sz w:val="24"/>
          <w:szCs w:val="24"/>
        </w:rPr>
        <w:t>150km</w:t>
      </w:r>
      <w:r>
        <w:rPr>
          <w:rFonts w:ascii="宋体" w:hAnsi="宋体" w:eastAsia="宋体" w:cs="宋体"/>
          <w:spacing w:val="-5"/>
          <w:sz w:val="24"/>
          <w:szCs w:val="24"/>
        </w:rPr>
        <w:t>，</w:t>
      </w:r>
      <w:r>
        <w:rPr>
          <w:rFonts w:ascii="宋体" w:hAnsi="宋体" w:eastAsia="宋体" w:cs="宋体"/>
          <w:spacing w:val="1"/>
          <w:sz w:val="24"/>
          <w:szCs w:val="24"/>
        </w:rPr>
        <w:t>河面高程</w:t>
      </w:r>
      <w:r>
        <w:rPr>
          <w:rFonts w:ascii="Times New Roman" w:hAnsi="Times New Roman" w:eastAsia="Times New Roman" w:cs="Times New Roman"/>
          <w:spacing w:val="1"/>
          <w:sz w:val="24"/>
          <w:szCs w:val="24"/>
        </w:rPr>
        <w:t>410~274.5m</w:t>
      </w:r>
      <w:r>
        <w:rPr>
          <w:rFonts w:ascii="宋体" w:hAnsi="宋体" w:eastAsia="宋体" w:cs="宋体"/>
          <w:spacing w:val="1"/>
          <w:sz w:val="24"/>
          <w:szCs w:val="24"/>
        </w:rPr>
        <w:t>，落差</w:t>
      </w:r>
      <w:r>
        <w:rPr>
          <w:rFonts w:ascii="Times New Roman" w:hAnsi="Times New Roman" w:eastAsia="Times New Roman" w:cs="Times New Roman"/>
          <w:spacing w:val="1"/>
          <w:sz w:val="24"/>
          <w:szCs w:val="24"/>
        </w:rPr>
        <w:t>135.5m</w:t>
      </w:r>
      <w:r>
        <w:rPr>
          <w:rFonts w:ascii="宋体" w:hAnsi="宋体" w:eastAsia="宋体" w:cs="宋体"/>
          <w:spacing w:val="1"/>
          <w:sz w:val="24"/>
          <w:szCs w:val="24"/>
        </w:rPr>
        <w:t>，平均比降</w:t>
      </w:r>
      <w:r>
        <w:rPr>
          <w:rFonts w:ascii="Times New Roman" w:hAnsi="Times New Roman" w:eastAsia="Times New Roman" w:cs="Times New Roman"/>
          <w:spacing w:val="1"/>
          <w:sz w:val="24"/>
          <w:szCs w:val="24"/>
        </w:rPr>
        <w:t>0.2‰</w:t>
      </w:r>
      <w:r>
        <w:rPr>
          <w:rFonts w:ascii="宋体" w:hAnsi="宋体" w:eastAsia="宋体" w:cs="宋体"/>
          <w:spacing w:val="1"/>
          <w:sz w:val="24"/>
          <w:szCs w:val="24"/>
        </w:rPr>
        <w:t>，滩沱相间，河道弯曲系数</w:t>
      </w:r>
      <w:r>
        <w:rPr>
          <w:rFonts w:ascii="宋体" w:hAnsi="宋体" w:eastAsia="宋体" w:cs="宋体"/>
          <w:spacing w:val="-1"/>
          <w:sz w:val="24"/>
          <w:szCs w:val="24"/>
        </w:rPr>
        <w:t>在</w:t>
      </w:r>
      <w:r>
        <w:rPr>
          <w:rFonts w:ascii="Times New Roman" w:hAnsi="Times New Roman" w:eastAsia="Times New Roman" w:cs="Times New Roman"/>
          <w:spacing w:val="-1"/>
          <w:sz w:val="24"/>
          <w:szCs w:val="24"/>
        </w:rPr>
        <w:t>2.0</w:t>
      </w:r>
      <w:r>
        <w:rPr>
          <w:rFonts w:ascii="宋体" w:hAnsi="宋体" w:eastAsia="宋体" w:cs="宋体"/>
          <w:spacing w:val="-1"/>
          <w:sz w:val="24"/>
          <w:szCs w:val="24"/>
        </w:rPr>
        <w:t>以上，其中石盘滩至龙门镇段为</w:t>
      </w:r>
      <w:r>
        <w:rPr>
          <w:rFonts w:ascii="Times New Roman" w:hAnsi="Times New Roman" w:eastAsia="Times New Roman" w:cs="Times New Roman"/>
          <w:spacing w:val="-1"/>
          <w:sz w:val="24"/>
          <w:szCs w:val="24"/>
        </w:rPr>
        <w:t>7.9</w:t>
      </w:r>
      <w:r>
        <w:rPr>
          <w:rFonts w:ascii="宋体" w:hAnsi="宋体" w:eastAsia="宋体" w:cs="宋体"/>
          <w:spacing w:val="-1"/>
          <w:sz w:val="24"/>
          <w:szCs w:val="24"/>
        </w:rPr>
        <w:t>。</w:t>
      </w:r>
    </w:p>
    <w:p w14:paraId="2765B270">
      <w:pPr>
        <w:spacing w:line="358" w:lineRule="auto"/>
        <w:ind w:left="40" w:right="185" w:firstLine="480"/>
        <w:jc w:val="both"/>
        <w:rPr>
          <w:rFonts w:ascii="宋体" w:hAnsi="宋体" w:eastAsia="宋体" w:cs="宋体"/>
          <w:sz w:val="24"/>
          <w:szCs w:val="24"/>
        </w:rPr>
      </w:pPr>
      <w:r>
        <w:rPr>
          <w:rFonts w:ascii="宋体" w:hAnsi="宋体" w:eastAsia="宋体" w:cs="宋体"/>
          <w:spacing w:val="-5"/>
          <w:sz w:val="24"/>
          <w:szCs w:val="24"/>
        </w:rPr>
        <w:t>沱江径流主要由降雨产生，但又有岷江来水补给。沱江多年平均径流量</w:t>
      </w:r>
      <w:r>
        <w:rPr>
          <w:rFonts w:ascii="Times New Roman" w:hAnsi="Times New Roman" w:eastAsia="Times New Roman" w:cs="Times New Roman"/>
          <w:spacing w:val="-5"/>
          <w:sz w:val="24"/>
          <w:szCs w:val="24"/>
        </w:rPr>
        <w:t>149.3</w:t>
      </w:r>
      <w:r>
        <w:rPr>
          <w:rFonts w:ascii="宋体" w:hAnsi="宋体" w:eastAsia="宋体" w:cs="宋体"/>
          <w:spacing w:val="1"/>
          <w:sz w:val="24"/>
          <w:szCs w:val="24"/>
        </w:rPr>
        <w:t>亿</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，多年平均洪峰流量约</w:t>
      </w:r>
      <w:r>
        <w:rPr>
          <w:rFonts w:ascii="Times New Roman" w:hAnsi="Times New Roman" w:eastAsia="Times New Roman" w:cs="Times New Roman"/>
          <w:spacing w:val="1"/>
          <w:sz w:val="24"/>
          <w:szCs w:val="24"/>
        </w:rPr>
        <w:t>3730~69360m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/s</w:t>
      </w:r>
      <w:r>
        <w:rPr>
          <w:rFonts w:ascii="宋体" w:hAnsi="宋体" w:eastAsia="宋体" w:cs="宋体"/>
          <w:sz w:val="24"/>
          <w:szCs w:val="24"/>
        </w:rPr>
        <w:t>，枯水期多年平均流量</w:t>
      </w:r>
      <w:r>
        <w:rPr>
          <w:rFonts w:ascii="Times New Roman" w:hAnsi="Times New Roman" w:eastAsia="Times New Roman" w:cs="Times New Roman"/>
          <w:sz w:val="24"/>
          <w:szCs w:val="24"/>
        </w:rPr>
        <w:t>89.2m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/s</w:t>
      </w:r>
      <w:r>
        <w:rPr>
          <w:rFonts w:ascii="宋体" w:hAnsi="宋体" w:eastAsia="宋体" w:cs="宋体"/>
          <w:sz w:val="24"/>
          <w:szCs w:val="24"/>
        </w:rPr>
        <w:t>，最</w:t>
      </w:r>
      <w:r>
        <w:rPr>
          <w:rFonts w:ascii="宋体" w:hAnsi="宋体" w:eastAsia="宋体" w:cs="宋体"/>
          <w:spacing w:val="-1"/>
          <w:sz w:val="24"/>
          <w:szCs w:val="24"/>
        </w:rPr>
        <w:t>枯流量达</w:t>
      </w:r>
      <w:r>
        <w:rPr>
          <w:rFonts w:ascii="Times New Roman" w:hAnsi="Times New Roman" w:eastAsia="Times New Roman" w:cs="Times New Roman"/>
          <w:spacing w:val="-1"/>
          <w:sz w:val="24"/>
          <w:szCs w:val="24"/>
        </w:rPr>
        <w:t>3.4~10.8m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，洪枯流量比为</w:t>
      </w:r>
      <w:r>
        <w:rPr>
          <w:rFonts w:ascii="Times New Roman" w:hAnsi="Times New Roman" w:eastAsia="Times New Roman" w:cs="Times New Roman"/>
          <w:spacing w:val="-1"/>
          <w:sz w:val="24"/>
          <w:szCs w:val="24"/>
        </w:rPr>
        <w:t>1200</w:t>
      </w:r>
      <w:r>
        <w:rPr>
          <w:rFonts w:ascii="宋体" w:hAnsi="宋体" w:eastAsia="宋体" w:cs="宋体"/>
          <w:spacing w:val="-1"/>
          <w:sz w:val="24"/>
          <w:szCs w:val="24"/>
        </w:rPr>
        <w:t>以上。</w:t>
      </w:r>
    </w:p>
    <w:p w14:paraId="34060486">
      <w:pPr>
        <w:spacing w:before="8" w:line="217" w:lineRule="auto"/>
        <w:ind w:left="517"/>
        <w:rPr>
          <w:rFonts w:ascii="宋体" w:hAnsi="宋体" w:eastAsia="宋体" w:cs="宋体"/>
          <w:sz w:val="24"/>
          <w:szCs w:val="24"/>
        </w:rPr>
      </w:pPr>
      <w:r>
        <w:rPr>
          <w:rFonts w:ascii="宋体" w:hAnsi="宋体" w:eastAsia="宋体" w:cs="宋体"/>
          <w:spacing w:val="-2"/>
          <w:sz w:val="24"/>
          <w:szCs w:val="24"/>
        </w:rPr>
        <w:t>②大清流河</w:t>
      </w:r>
    </w:p>
    <w:p w14:paraId="18773F6C">
      <w:pPr>
        <w:spacing w:before="186" w:line="352" w:lineRule="auto"/>
        <w:ind w:left="39" w:right="185" w:firstLine="482"/>
        <w:rPr>
          <w:rFonts w:ascii="宋体" w:hAnsi="宋体" w:eastAsia="宋体" w:cs="宋体"/>
          <w:sz w:val="24"/>
          <w:szCs w:val="24"/>
        </w:rPr>
      </w:pPr>
      <w:r>
        <w:rPr>
          <w:rFonts w:ascii="宋体" w:hAnsi="宋体" w:eastAsia="宋体" w:cs="宋体"/>
          <w:spacing w:val="-2"/>
          <w:sz w:val="24"/>
          <w:szCs w:val="24"/>
        </w:rPr>
        <w:t>大清流河在内江市东南部，属沱江中游左岸一级支流。全长</w:t>
      </w:r>
      <w:r>
        <w:rPr>
          <w:rFonts w:ascii="Times New Roman" w:hAnsi="Times New Roman" w:eastAsia="Times New Roman" w:cs="Times New Roman"/>
          <w:spacing w:val="-2"/>
          <w:sz w:val="24"/>
          <w:szCs w:val="24"/>
        </w:rPr>
        <w:t>122km</w:t>
      </w:r>
      <w:r>
        <w:rPr>
          <w:rFonts w:ascii="宋体" w:hAnsi="宋体" w:eastAsia="宋体" w:cs="宋体"/>
          <w:spacing w:val="-2"/>
          <w:sz w:val="24"/>
          <w:szCs w:val="24"/>
        </w:rPr>
        <w:t>，流域面</w:t>
      </w:r>
      <w:r>
        <w:rPr>
          <w:rFonts w:ascii="宋体" w:hAnsi="宋体" w:eastAsia="宋体" w:cs="宋体"/>
          <w:spacing w:val="-1"/>
          <w:sz w:val="24"/>
          <w:szCs w:val="24"/>
        </w:rPr>
        <w:t>积</w:t>
      </w:r>
      <w:r>
        <w:rPr>
          <w:rFonts w:ascii="Times New Roman" w:hAnsi="Times New Roman" w:eastAsia="Times New Roman" w:cs="Times New Roman"/>
          <w:spacing w:val="-1"/>
          <w:sz w:val="24"/>
          <w:szCs w:val="24"/>
        </w:rPr>
        <w:t>1539km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8"/>
          <w:position w:val="10"/>
          <w:sz w:val="15"/>
          <w:szCs w:val="15"/>
        </w:rPr>
        <w:t xml:space="preserve"> </w:t>
      </w:r>
      <w:r>
        <w:rPr>
          <w:rFonts w:ascii="宋体" w:hAnsi="宋体" w:eastAsia="宋体" w:cs="宋体"/>
          <w:spacing w:val="-1"/>
          <w:sz w:val="24"/>
          <w:szCs w:val="24"/>
        </w:rPr>
        <w:t>，其中内江境内</w:t>
      </w:r>
      <w:r>
        <w:rPr>
          <w:rFonts w:ascii="Times New Roman" w:hAnsi="Times New Roman" w:eastAsia="Times New Roman" w:cs="Times New Roman"/>
          <w:spacing w:val="-1"/>
          <w:sz w:val="24"/>
          <w:szCs w:val="24"/>
        </w:rPr>
        <w:t>571.6k</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2</w:t>
      </w:r>
      <w:r>
        <w:rPr>
          <w:rFonts w:ascii="宋体" w:hAnsi="宋体" w:eastAsia="宋体" w:cs="宋体"/>
          <w:spacing w:val="-2"/>
          <w:sz w:val="24"/>
          <w:szCs w:val="24"/>
        </w:rPr>
        <w:t>。多年流域平均径流深</w:t>
      </w:r>
      <w:r>
        <w:rPr>
          <w:rFonts w:ascii="Times New Roman" w:hAnsi="Times New Roman" w:eastAsia="Times New Roman" w:cs="Times New Roman"/>
          <w:spacing w:val="-2"/>
          <w:sz w:val="24"/>
          <w:szCs w:val="24"/>
        </w:rPr>
        <w:t>305mm</w:t>
      </w:r>
      <w:r>
        <w:rPr>
          <w:rFonts w:ascii="宋体" w:hAnsi="宋体" w:eastAsia="宋体" w:cs="宋体"/>
          <w:spacing w:val="-2"/>
          <w:sz w:val="24"/>
          <w:szCs w:val="24"/>
        </w:rPr>
        <w:t>，年径流量</w:t>
      </w:r>
      <w:r>
        <w:rPr>
          <w:rFonts w:ascii="Times New Roman" w:hAnsi="Times New Roman" w:eastAsia="Times New Roman" w:cs="Times New Roman"/>
          <w:spacing w:val="-2"/>
          <w:sz w:val="24"/>
          <w:szCs w:val="24"/>
        </w:rPr>
        <w:t>4.7</w:t>
      </w:r>
      <w:r>
        <w:rPr>
          <w:rFonts w:ascii="宋体" w:hAnsi="宋体" w:eastAsia="宋体" w:cs="宋体"/>
          <w:spacing w:val="-1"/>
          <w:sz w:val="24"/>
          <w:szCs w:val="24"/>
        </w:rPr>
        <w:t>亿立方米，平均流量</w:t>
      </w:r>
      <w:r>
        <w:rPr>
          <w:rFonts w:ascii="Times New Roman" w:hAnsi="Times New Roman" w:eastAsia="Times New Roman" w:cs="Times New Roman"/>
          <w:spacing w:val="-1"/>
          <w:sz w:val="24"/>
          <w:szCs w:val="24"/>
        </w:rPr>
        <w:t>14.9 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00C05A2B">
      <w:pPr>
        <w:spacing w:line="352" w:lineRule="auto"/>
        <w:rPr>
          <w:rFonts w:ascii="宋体" w:hAnsi="宋体" w:eastAsia="宋体" w:cs="宋体"/>
          <w:sz w:val="24"/>
          <w:szCs w:val="24"/>
        </w:rPr>
        <w:sectPr>
          <w:headerReference r:id="rId243" w:type="default"/>
          <w:footerReference r:id="rId244" w:type="default"/>
          <w:pgSz w:w="11905" w:h="16840"/>
          <w:pgMar w:top="1168" w:right="1612" w:bottom="1409" w:left="1770" w:header="828" w:footer="1244" w:gutter="0"/>
          <w:cols w:space="720" w:num="1"/>
        </w:sectPr>
      </w:pPr>
    </w:p>
    <w:p w14:paraId="50107A7B">
      <w:pPr>
        <w:pStyle w:val="2"/>
        <w:spacing w:line="305" w:lineRule="auto"/>
      </w:pPr>
    </w:p>
    <w:p w14:paraId="43FD384E">
      <w:pPr>
        <w:spacing w:before="78"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）地下水</w:t>
      </w:r>
    </w:p>
    <w:p w14:paraId="06D6275F">
      <w:pPr>
        <w:spacing w:before="182" w:line="360" w:lineRule="auto"/>
        <w:ind w:left="42" w:right="29" w:firstLine="485"/>
        <w:rPr>
          <w:rFonts w:ascii="宋体" w:hAnsi="宋体" w:eastAsia="宋体" w:cs="宋体"/>
          <w:sz w:val="24"/>
          <w:szCs w:val="24"/>
        </w:rPr>
      </w:pPr>
      <w:r>
        <w:rPr>
          <w:rFonts w:ascii="宋体" w:hAnsi="宋体" w:eastAsia="宋体" w:cs="宋体"/>
          <w:spacing w:val="-3"/>
          <w:sz w:val="24"/>
          <w:szCs w:val="24"/>
        </w:rPr>
        <w:t>东兴区境内地下水主要储存于弱风化带孔隙</w:t>
      </w:r>
      <w:r>
        <w:rPr>
          <w:rFonts w:ascii="宋体" w:hAnsi="宋体" w:eastAsia="宋体" w:cs="宋体"/>
          <w:spacing w:val="-4"/>
          <w:sz w:val="24"/>
          <w:szCs w:val="24"/>
        </w:rPr>
        <w:t>中，具有分布广、埋藏浅、水量</w:t>
      </w:r>
      <w:r>
        <w:rPr>
          <w:rFonts w:ascii="宋体" w:hAnsi="宋体" w:eastAsia="宋体" w:cs="宋体"/>
          <w:spacing w:val="-6"/>
          <w:sz w:val="24"/>
          <w:szCs w:val="24"/>
        </w:rPr>
        <w:t>小、不均匀等特点， 以遂宁组地层地下水储量较为</w:t>
      </w:r>
      <w:r>
        <w:rPr>
          <w:rFonts w:ascii="宋体" w:hAnsi="宋体" w:eastAsia="宋体" w:cs="宋体"/>
          <w:spacing w:val="-7"/>
          <w:sz w:val="24"/>
          <w:szCs w:val="24"/>
        </w:rPr>
        <w:t>丰富；蓬莱镇组次之，沙溪庙</w:t>
      </w:r>
      <w:r>
        <w:rPr>
          <w:rFonts w:ascii="宋体" w:hAnsi="宋体" w:eastAsia="宋体" w:cs="宋体"/>
          <w:spacing w:val="-1"/>
          <w:sz w:val="24"/>
          <w:szCs w:val="24"/>
        </w:rPr>
        <w:t>组较差。地下水补给量为</w:t>
      </w:r>
      <w:r>
        <w:rPr>
          <w:rFonts w:ascii="Times New Roman" w:hAnsi="Times New Roman" w:eastAsia="Times New Roman" w:cs="Times New Roman"/>
          <w:spacing w:val="-1"/>
          <w:sz w:val="24"/>
          <w:szCs w:val="24"/>
        </w:rPr>
        <w:t>6376.27</w:t>
      </w:r>
      <w:r>
        <w:rPr>
          <w:rFonts w:ascii="宋体" w:hAnsi="宋体" w:eastAsia="宋体" w:cs="宋体"/>
          <w:spacing w:val="-1"/>
          <w:sz w:val="24"/>
          <w:szCs w:val="24"/>
        </w:rPr>
        <w:t>万立方米，可开采量</w:t>
      </w:r>
      <w:r>
        <w:rPr>
          <w:rFonts w:ascii="Times New Roman" w:hAnsi="Times New Roman" w:eastAsia="Times New Roman" w:cs="Times New Roman"/>
          <w:spacing w:val="-1"/>
          <w:sz w:val="24"/>
          <w:szCs w:val="24"/>
        </w:rPr>
        <w:t>3661.02</w:t>
      </w:r>
      <w:r>
        <w:rPr>
          <w:rFonts w:ascii="宋体" w:hAnsi="宋体" w:eastAsia="宋体" w:cs="宋体"/>
          <w:spacing w:val="-1"/>
          <w:sz w:val="24"/>
          <w:szCs w:val="24"/>
        </w:rPr>
        <w:t>万立</w:t>
      </w:r>
      <w:r>
        <w:rPr>
          <w:rFonts w:ascii="宋体" w:hAnsi="宋体" w:eastAsia="宋体" w:cs="宋体"/>
          <w:spacing w:val="-2"/>
          <w:sz w:val="24"/>
          <w:szCs w:val="24"/>
        </w:rPr>
        <w:t>方米。</w:t>
      </w:r>
    </w:p>
    <w:p w14:paraId="5F533C57">
      <w:pPr>
        <w:spacing w:line="360" w:lineRule="auto"/>
        <w:ind w:left="39" w:right="29" w:firstLine="480"/>
        <w:jc w:val="both"/>
        <w:rPr>
          <w:rFonts w:ascii="宋体" w:hAnsi="宋体" w:eastAsia="宋体" w:cs="宋体"/>
          <w:sz w:val="24"/>
          <w:szCs w:val="24"/>
        </w:rPr>
      </w:pPr>
      <w:r>
        <w:rPr>
          <w:rFonts w:ascii="宋体" w:hAnsi="宋体" w:eastAsia="宋体" w:cs="宋体"/>
          <w:spacing w:val="-3"/>
          <w:sz w:val="24"/>
          <w:szCs w:val="24"/>
        </w:rPr>
        <w:t>地下水类型及赋存条件：地下水的赋存与分布，主要受地质</w:t>
      </w:r>
      <w:r>
        <w:rPr>
          <w:rFonts w:ascii="宋体" w:hAnsi="宋体" w:eastAsia="宋体" w:cs="宋体"/>
          <w:spacing w:val="-4"/>
          <w:sz w:val="24"/>
          <w:szCs w:val="24"/>
        </w:rPr>
        <w:t>构造、地貌、岩</w:t>
      </w:r>
      <w:r>
        <w:rPr>
          <w:rFonts w:ascii="宋体" w:hAnsi="宋体" w:eastAsia="宋体" w:cs="宋体"/>
          <w:spacing w:val="-6"/>
          <w:sz w:val="24"/>
          <w:szCs w:val="24"/>
        </w:rPr>
        <w:t>性、气候等条件的控制， 根据赋存条件，评价区地下水主要类</w:t>
      </w:r>
      <w:r>
        <w:rPr>
          <w:rFonts w:ascii="宋体" w:hAnsi="宋体" w:eastAsia="宋体" w:cs="宋体"/>
          <w:spacing w:val="-7"/>
          <w:sz w:val="24"/>
          <w:szCs w:val="24"/>
        </w:rPr>
        <w:t>型包括第四系松散</w:t>
      </w:r>
      <w:r>
        <w:rPr>
          <w:rFonts w:ascii="宋体" w:hAnsi="宋体" w:eastAsia="宋体" w:cs="宋体"/>
          <w:spacing w:val="-3"/>
          <w:sz w:val="24"/>
          <w:szCs w:val="24"/>
        </w:rPr>
        <w:t>岩类孔隙水及碎屑岩浅层风化孔隙水。</w:t>
      </w:r>
    </w:p>
    <w:p w14:paraId="090F60C8">
      <w:pPr>
        <w:spacing w:line="360" w:lineRule="auto"/>
        <w:ind w:left="40" w:right="29" w:firstLine="479"/>
        <w:jc w:val="both"/>
        <w:rPr>
          <w:rFonts w:ascii="宋体" w:hAnsi="宋体" w:eastAsia="宋体" w:cs="宋体"/>
          <w:sz w:val="24"/>
          <w:szCs w:val="24"/>
        </w:rPr>
      </w:pPr>
      <w:r>
        <w:rPr>
          <w:rFonts w:ascii="宋体" w:hAnsi="宋体" w:eastAsia="宋体" w:cs="宋体"/>
          <w:spacing w:val="-7"/>
          <w:sz w:val="24"/>
          <w:szCs w:val="24"/>
        </w:rPr>
        <w:t>地下水径流、补给和排泄条件： 评价区域内地下水主要受大气降水补给。大</w:t>
      </w:r>
      <w:r>
        <w:rPr>
          <w:rFonts w:ascii="宋体" w:hAnsi="宋体" w:eastAsia="宋体" w:cs="宋体"/>
          <w:spacing w:val="-3"/>
          <w:sz w:val="24"/>
          <w:szCs w:val="24"/>
        </w:rPr>
        <w:t>气降水多以面流方式排泄，少量沿地表岩土层孔隙、裂隙渗透、径流形成地下水</w:t>
      </w:r>
      <w:r>
        <w:rPr>
          <w:rFonts w:ascii="宋体" w:hAnsi="宋体" w:eastAsia="宋体" w:cs="宋体"/>
          <w:spacing w:val="-2"/>
          <w:sz w:val="24"/>
          <w:szCs w:val="24"/>
        </w:rPr>
        <w:t>并赋存于含水层孔隙、裂隙中，并最终排入当地地下水排泄基准面中。</w:t>
      </w:r>
    </w:p>
    <w:p w14:paraId="4BBEA16A">
      <w:pPr>
        <w:spacing w:before="5" w:line="360" w:lineRule="auto"/>
        <w:ind w:left="39" w:right="29" w:firstLine="480"/>
        <w:jc w:val="both"/>
        <w:rPr>
          <w:rFonts w:ascii="宋体" w:hAnsi="宋体" w:eastAsia="宋体" w:cs="宋体"/>
          <w:sz w:val="24"/>
          <w:szCs w:val="24"/>
        </w:rPr>
      </w:pPr>
      <w:r>
        <w:rPr>
          <w:rFonts w:ascii="宋体" w:hAnsi="宋体" w:eastAsia="宋体" w:cs="宋体"/>
          <w:spacing w:val="-3"/>
          <w:sz w:val="24"/>
          <w:szCs w:val="24"/>
        </w:rPr>
        <w:t>本项目位于丘陵地区，降雨少部分渗入地下，补给地下水，大</w:t>
      </w:r>
      <w:r>
        <w:rPr>
          <w:rFonts w:ascii="宋体" w:hAnsi="宋体" w:eastAsia="宋体" w:cs="宋体"/>
          <w:spacing w:val="-4"/>
          <w:sz w:val="24"/>
          <w:szCs w:val="24"/>
        </w:rPr>
        <w:t>部分则随地表</w:t>
      </w:r>
      <w:r>
        <w:rPr>
          <w:rFonts w:ascii="宋体" w:hAnsi="宋体" w:eastAsia="宋体" w:cs="宋体"/>
          <w:spacing w:val="-6"/>
          <w:sz w:val="24"/>
          <w:szCs w:val="24"/>
        </w:rPr>
        <w:t>径流流出。由于含水层主要接受降水补给， 与降水联系强烈，</w:t>
      </w:r>
      <w:r>
        <w:rPr>
          <w:rFonts w:ascii="宋体" w:hAnsi="宋体" w:eastAsia="宋体" w:cs="宋体"/>
          <w:spacing w:val="-7"/>
          <w:sz w:val="24"/>
          <w:szCs w:val="24"/>
        </w:rPr>
        <w:t>地下水水位随着补</w:t>
      </w:r>
      <w:r>
        <w:rPr>
          <w:rFonts w:ascii="宋体" w:hAnsi="宋体" w:eastAsia="宋体" w:cs="宋体"/>
          <w:spacing w:val="-3"/>
          <w:sz w:val="24"/>
          <w:szCs w:val="24"/>
        </w:rPr>
        <w:t>给量的大小波动而变化，气象因素是影响地下水动态变化的主要因素，使地下水具有明显的季节性与周期性的变化规律，</w:t>
      </w:r>
      <w:r>
        <w:rPr>
          <w:rFonts w:ascii="Times New Roman" w:hAnsi="Times New Roman" w:eastAsia="Times New Roman" w:cs="Times New Roman"/>
          <w:spacing w:val="-3"/>
          <w:sz w:val="24"/>
          <w:szCs w:val="24"/>
        </w:rPr>
        <w:t>6</w:t>
      </w: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月随着降雨量的增加，地下水水位</w:t>
      </w:r>
      <w:r>
        <w:rPr>
          <w:rFonts w:ascii="宋体" w:hAnsi="宋体" w:eastAsia="宋体" w:cs="宋体"/>
          <w:sz w:val="24"/>
          <w:szCs w:val="24"/>
        </w:rPr>
        <w:t>高，</w:t>
      </w:r>
      <w:r>
        <w:rPr>
          <w:rFonts w:ascii="Times New Roman" w:hAnsi="Times New Roman" w:eastAsia="Times New Roman" w:cs="Times New Roman"/>
          <w:sz w:val="24"/>
          <w:szCs w:val="24"/>
        </w:rPr>
        <w:t>8</w:t>
      </w:r>
      <w:r>
        <w:rPr>
          <w:rFonts w:ascii="宋体" w:hAnsi="宋体" w:eastAsia="宋体" w:cs="宋体"/>
          <w:sz w:val="24"/>
          <w:szCs w:val="24"/>
        </w:rPr>
        <w:t>月后，降水量减少，地下水水位日渐下降。地下水动态变化较大。一般每</w:t>
      </w:r>
      <w:r>
        <w:rPr>
          <w:rFonts w:ascii="宋体" w:hAnsi="宋体" w:eastAsia="宋体" w:cs="宋体"/>
          <w:spacing w:val="-6"/>
          <w:sz w:val="24"/>
          <w:szCs w:val="24"/>
        </w:rPr>
        <w:t>年</w:t>
      </w:r>
      <w:r>
        <w:rPr>
          <w:rFonts w:ascii="Times New Roman" w:hAnsi="Times New Roman" w:eastAsia="Times New Roman" w:cs="Times New Roman"/>
          <w:spacing w:val="-6"/>
          <w:sz w:val="24"/>
          <w:szCs w:val="24"/>
        </w:rPr>
        <w:t>6</w:t>
      </w:r>
      <w:r>
        <w:rPr>
          <w:rFonts w:ascii="宋体" w:hAnsi="宋体" w:eastAsia="宋体" w:cs="宋体"/>
          <w:spacing w:val="-6"/>
          <w:sz w:val="24"/>
          <w:szCs w:val="24"/>
        </w:rPr>
        <w:t xml:space="preserve">月地下水水量、水位开始回升， </w:t>
      </w:r>
      <w:r>
        <w:rPr>
          <w:rFonts w:ascii="Times New Roman" w:hAnsi="Times New Roman" w:eastAsia="Times New Roman" w:cs="Times New Roman"/>
          <w:spacing w:val="-6"/>
          <w:sz w:val="24"/>
          <w:szCs w:val="24"/>
        </w:rPr>
        <w:t>8</w:t>
      </w:r>
      <w:r>
        <w:rPr>
          <w:rFonts w:ascii="宋体" w:hAnsi="宋体" w:eastAsia="宋体" w:cs="宋体"/>
          <w:spacing w:val="-6"/>
          <w:sz w:val="24"/>
          <w:szCs w:val="24"/>
        </w:rPr>
        <w:t>月为最高值，</w:t>
      </w:r>
      <w:r>
        <w:rPr>
          <w:rFonts w:ascii="Times New Roman" w:hAnsi="Times New Roman" w:eastAsia="Times New Roman" w:cs="Times New Roman"/>
          <w:spacing w:val="-6"/>
          <w:sz w:val="24"/>
          <w:szCs w:val="24"/>
        </w:rPr>
        <w:t>10</w:t>
      </w:r>
      <w:r>
        <w:rPr>
          <w:rFonts w:ascii="宋体" w:hAnsi="宋体" w:eastAsia="宋体" w:cs="宋体"/>
          <w:spacing w:val="-6"/>
          <w:sz w:val="24"/>
          <w:szCs w:val="24"/>
        </w:rPr>
        <w:t>月进入平水期，水位、水量</w:t>
      </w:r>
      <w:r>
        <w:rPr>
          <w:rFonts w:ascii="宋体" w:hAnsi="宋体" w:eastAsia="宋体" w:cs="宋体"/>
          <w:spacing w:val="-3"/>
          <w:sz w:val="24"/>
          <w:szCs w:val="24"/>
        </w:rPr>
        <w:t>开始逐渐递减，到第二年</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月份降为最低值。</w:t>
      </w:r>
    </w:p>
    <w:p w14:paraId="579BB235">
      <w:pPr>
        <w:spacing w:before="162" w:line="221" w:lineRule="auto"/>
        <w:ind w:left="34"/>
        <w:rPr>
          <w:rFonts w:ascii="宋体" w:hAnsi="宋体" w:eastAsia="宋体" w:cs="宋体"/>
          <w:sz w:val="30"/>
          <w:szCs w:val="30"/>
        </w:rPr>
      </w:pPr>
      <w:r>
        <w:rPr>
          <w:rFonts w:ascii="Times New Roman" w:hAnsi="Times New Roman" w:eastAsia="Times New Roman" w:cs="Times New Roman"/>
          <w:b/>
          <w:bCs/>
          <w:spacing w:val="-3"/>
          <w:sz w:val="30"/>
          <w:szCs w:val="30"/>
        </w:rPr>
        <w:t>3.1.7</w:t>
      </w:r>
      <w:r>
        <w:rPr>
          <w:rFonts w:ascii="Times New Roman" w:hAnsi="Times New Roman" w:eastAsia="Times New Roman" w:cs="Times New Roman"/>
          <w:b/>
          <w:bCs/>
          <w:spacing w:val="8"/>
          <w:sz w:val="30"/>
          <w:szCs w:val="30"/>
        </w:rPr>
        <w:t xml:space="preserve">  </w:t>
      </w:r>
      <w:r>
        <w:rPr>
          <w:rFonts w:ascii="宋体" w:hAnsi="宋体" w:eastAsia="宋体" w:cs="宋体"/>
          <w:b/>
          <w:bCs/>
          <w:spacing w:val="-3"/>
          <w:sz w:val="30"/>
          <w:szCs w:val="30"/>
        </w:rPr>
        <w:t>土壤</w:t>
      </w:r>
    </w:p>
    <w:p w14:paraId="49932AAA">
      <w:pPr>
        <w:pStyle w:val="2"/>
        <w:spacing w:line="253" w:lineRule="auto"/>
      </w:pPr>
    </w:p>
    <w:p w14:paraId="182D9CE9">
      <w:pPr>
        <w:spacing w:before="79" w:line="361" w:lineRule="auto"/>
        <w:ind w:left="38" w:right="30" w:firstLine="498"/>
        <w:jc w:val="both"/>
        <w:rPr>
          <w:rFonts w:ascii="宋体" w:hAnsi="宋体" w:eastAsia="宋体" w:cs="宋体"/>
          <w:sz w:val="24"/>
          <w:szCs w:val="24"/>
        </w:rPr>
      </w:pPr>
      <w:r>
        <w:rPr>
          <w:rFonts w:ascii="宋体" w:hAnsi="宋体" w:eastAsia="宋体" w:cs="宋体"/>
          <w:spacing w:val="-4"/>
          <w:sz w:val="24"/>
          <w:szCs w:val="24"/>
        </w:rPr>
        <w:t>区域土壤有紫色土、黄壤土、冲积土、水稻土四类。紫色土类又分为灰棕紫</w:t>
      </w:r>
      <w:r>
        <w:rPr>
          <w:rFonts w:ascii="宋体" w:hAnsi="宋体" w:eastAsia="宋体" w:cs="宋体"/>
          <w:spacing w:val="-3"/>
          <w:sz w:val="24"/>
          <w:szCs w:val="24"/>
        </w:rPr>
        <w:t>泥土，暗紫泥土和红棕紫泥土三个土层，前二者土层厚肥粘重，后者松散，土质</w:t>
      </w:r>
      <w:r>
        <w:rPr>
          <w:rFonts w:ascii="宋体" w:hAnsi="宋体" w:eastAsia="宋体" w:cs="宋体"/>
          <w:spacing w:val="-8"/>
          <w:sz w:val="24"/>
          <w:szCs w:val="24"/>
        </w:rPr>
        <w:t>较差，易风化剥蚀。黄壤土分卵石黄泥、黄沙壤、冷沙黄泥，</w:t>
      </w:r>
      <w:r>
        <w:rPr>
          <w:rFonts w:ascii="宋体" w:hAnsi="宋体" w:eastAsia="宋体" w:cs="宋体"/>
          <w:spacing w:val="56"/>
          <w:sz w:val="24"/>
          <w:szCs w:val="24"/>
        </w:rPr>
        <w:t xml:space="preserve"> </w:t>
      </w:r>
      <w:r>
        <w:rPr>
          <w:rFonts w:ascii="宋体" w:hAnsi="宋体" w:eastAsia="宋体" w:cs="宋体"/>
          <w:spacing w:val="-8"/>
          <w:sz w:val="24"/>
          <w:szCs w:val="24"/>
        </w:rPr>
        <w:t>一般土质偏酸，有</w:t>
      </w:r>
      <w:r>
        <w:rPr>
          <w:rFonts w:ascii="宋体" w:hAnsi="宋体" w:eastAsia="宋体" w:cs="宋体"/>
          <w:spacing w:val="-6"/>
          <w:sz w:val="24"/>
          <w:szCs w:val="24"/>
        </w:rPr>
        <w:t>机质含量少，土质瘦、耕性差。冲积土类零星分布于溪河沿岸</w:t>
      </w:r>
      <w:r>
        <w:rPr>
          <w:rFonts w:ascii="宋体" w:hAnsi="宋体" w:eastAsia="宋体" w:cs="宋体"/>
          <w:spacing w:val="-7"/>
          <w:sz w:val="24"/>
          <w:szCs w:val="24"/>
        </w:rPr>
        <w:t>坝地， 土层厚，土</w:t>
      </w:r>
      <w:r>
        <w:rPr>
          <w:rFonts w:ascii="宋体" w:hAnsi="宋体" w:eastAsia="宋体" w:cs="宋体"/>
          <w:spacing w:val="-3"/>
          <w:sz w:val="24"/>
          <w:szCs w:val="24"/>
        </w:rPr>
        <w:t>质较肥沃，但质地沙，易冲刷淹没。水稻土分冲积性水稻土、黄壤性水稻土和紫</w:t>
      </w:r>
      <w:r>
        <w:rPr>
          <w:rFonts w:ascii="宋体" w:hAnsi="宋体" w:eastAsia="宋体" w:cs="宋体"/>
          <w:spacing w:val="-2"/>
          <w:sz w:val="24"/>
          <w:szCs w:val="24"/>
        </w:rPr>
        <w:t>色水稻土，水稻土一般结构较好，质地好，保水保肥力也好。</w:t>
      </w:r>
    </w:p>
    <w:p w14:paraId="6AF2B5AA">
      <w:pPr>
        <w:spacing w:before="153" w:line="220" w:lineRule="auto"/>
        <w:ind w:left="35"/>
        <w:outlineLvl w:val="1"/>
        <w:rPr>
          <w:rFonts w:ascii="宋体" w:hAnsi="宋体" w:eastAsia="宋体" w:cs="宋体"/>
          <w:sz w:val="32"/>
          <w:szCs w:val="32"/>
        </w:rPr>
      </w:pPr>
      <w:bookmarkStart w:id="32" w:name="bookmark20"/>
      <w:bookmarkEnd w:id="32"/>
      <w:r>
        <w:rPr>
          <w:rFonts w:ascii="Times New Roman" w:hAnsi="Times New Roman" w:eastAsia="Times New Roman" w:cs="Times New Roman"/>
          <w:b/>
          <w:bCs/>
          <w:spacing w:val="-2"/>
          <w:sz w:val="32"/>
          <w:szCs w:val="32"/>
        </w:rPr>
        <w:t xml:space="preserve">3.2  </w:t>
      </w:r>
      <w:r>
        <w:rPr>
          <w:rFonts w:ascii="宋体" w:hAnsi="宋体" w:eastAsia="宋体" w:cs="宋体"/>
          <w:b/>
          <w:bCs/>
          <w:spacing w:val="-2"/>
          <w:sz w:val="32"/>
          <w:szCs w:val="32"/>
        </w:rPr>
        <w:t>环境保护目标调查</w:t>
      </w:r>
    </w:p>
    <w:p w14:paraId="471D376F">
      <w:pPr>
        <w:pStyle w:val="2"/>
        <w:spacing w:line="274" w:lineRule="auto"/>
      </w:pPr>
    </w:p>
    <w:p w14:paraId="26618EF2">
      <w:pPr>
        <w:spacing w:before="98"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3.2.1  </w:t>
      </w:r>
      <w:r>
        <w:rPr>
          <w:rFonts w:ascii="宋体" w:hAnsi="宋体" w:eastAsia="宋体" w:cs="宋体"/>
          <w:b/>
          <w:bCs/>
          <w:spacing w:val="-2"/>
          <w:sz w:val="30"/>
          <w:szCs w:val="30"/>
        </w:rPr>
        <w:t>环境功能区划</w:t>
      </w:r>
    </w:p>
    <w:p w14:paraId="00144961">
      <w:pPr>
        <w:pStyle w:val="2"/>
        <w:spacing w:line="258" w:lineRule="auto"/>
      </w:pPr>
    </w:p>
    <w:p w14:paraId="4D47DE42">
      <w:pPr>
        <w:spacing w:before="78" w:line="218" w:lineRule="auto"/>
        <w:ind w:left="518"/>
        <w:rPr>
          <w:rFonts w:ascii="宋体" w:hAnsi="宋体" w:eastAsia="宋体" w:cs="宋体"/>
          <w:sz w:val="24"/>
          <w:szCs w:val="24"/>
        </w:rPr>
      </w:pPr>
      <w:r>
        <w:rPr>
          <w:rFonts w:ascii="宋体" w:hAnsi="宋体" w:eastAsia="宋体" w:cs="宋体"/>
          <w:spacing w:val="-5"/>
          <w:sz w:val="24"/>
          <w:szCs w:val="24"/>
        </w:rPr>
        <w:t>评价区域环境功能区划见下表：</w:t>
      </w:r>
    </w:p>
    <w:p w14:paraId="7D19A7B5">
      <w:pPr>
        <w:spacing w:line="218" w:lineRule="auto"/>
        <w:rPr>
          <w:rFonts w:ascii="宋体" w:hAnsi="宋体" w:eastAsia="宋体" w:cs="宋体"/>
          <w:sz w:val="24"/>
          <w:szCs w:val="24"/>
        </w:rPr>
        <w:sectPr>
          <w:headerReference r:id="rId245" w:type="default"/>
          <w:footerReference r:id="rId246" w:type="default"/>
          <w:pgSz w:w="11905" w:h="16840"/>
          <w:pgMar w:top="1168" w:right="1768" w:bottom="1409" w:left="1770" w:header="828" w:footer="1244" w:gutter="0"/>
          <w:cols w:space="720" w:num="1"/>
        </w:sectPr>
      </w:pPr>
    </w:p>
    <w:p w14:paraId="1EDB8078">
      <w:pPr>
        <w:pStyle w:val="2"/>
        <w:spacing w:line="329" w:lineRule="auto"/>
      </w:pPr>
    </w:p>
    <w:p w14:paraId="345EE367">
      <w:pPr>
        <w:spacing w:before="68" w:line="222" w:lineRule="auto"/>
        <w:ind w:left="2137"/>
        <w:rPr>
          <w:rFonts w:ascii="黑体" w:hAnsi="黑体" w:eastAsia="黑体" w:cs="黑体"/>
          <w:sz w:val="21"/>
          <w:szCs w:val="21"/>
        </w:rPr>
      </w:pPr>
      <w:bookmarkStart w:id="33" w:name="bookmark158"/>
      <w:bookmarkEnd w:id="33"/>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3.2-1  </w:t>
      </w:r>
      <w:r>
        <w:rPr>
          <w:rFonts w:ascii="黑体" w:hAnsi="黑体" w:eastAsia="黑体" w:cs="黑体"/>
          <w:spacing w:val="-1"/>
          <w:sz w:val="21"/>
          <w:szCs w:val="21"/>
        </w:rPr>
        <w:t>项目所在区域环境功能区划分一览表</w:t>
      </w:r>
    </w:p>
    <w:p w14:paraId="4A44679E">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3"/>
        <w:gridCol w:w="2123"/>
        <w:gridCol w:w="1273"/>
        <w:gridCol w:w="3781"/>
      </w:tblGrid>
      <w:tr w14:paraId="6A0B5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43" w:type="dxa"/>
            <w:vAlign w:val="top"/>
          </w:tcPr>
          <w:p w14:paraId="0AB86B4B">
            <w:pPr>
              <w:spacing w:before="68" w:line="220" w:lineRule="auto"/>
              <w:ind w:left="366"/>
              <w:rPr>
                <w:rFonts w:ascii="宋体" w:hAnsi="宋体" w:eastAsia="宋体" w:cs="宋体"/>
                <w:sz w:val="21"/>
                <w:szCs w:val="21"/>
              </w:rPr>
            </w:pPr>
            <w:r>
              <w:rPr>
                <w:rFonts w:ascii="宋体" w:hAnsi="宋体" w:eastAsia="宋体" w:cs="宋体"/>
                <w:spacing w:val="-3"/>
                <w:sz w:val="21"/>
                <w:szCs w:val="21"/>
              </w:rPr>
              <w:t>类别</w:t>
            </w:r>
          </w:p>
        </w:tc>
        <w:tc>
          <w:tcPr>
            <w:tcW w:w="2123" w:type="dxa"/>
            <w:vAlign w:val="top"/>
          </w:tcPr>
          <w:p w14:paraId="57A0F9FF">
            <w:pPr>
              <w:spacing w:before="68" w:line="219" w:lineRule="auto"/>
              <w:ind w:left="226"/>
              <w:rPr>
                <w:rFonts w:ascii="宋体" w:hAnsi="宋体" w:eastAsia="宋体" w:cs="宋体"/>
                <w:sz w:val="21"/>
                <w:szCs w:val="21"/>
              </w:rPr>
            </w:pPr>
            <w:r>
              <w:rPr>
                <w:rFonts w:ascii="宋体" w:hAnsi="宋体" w:eastAsia="宋体" w:cs="宋体"/>
                <w:spacing w:val="-1"/>
                <w:sz w:val="21"/>
                <w:szCs w:val="21"/>
              </w:rPr>
              <w:t>本项目所在地情况</w:t>
            </w:r>
          </w:p>
        </w:tc>
        <w:tc>
          <w:tcPr>
            <w:tcW w:w="1273" w:type="dxa"/>
            <w:vAlign w:val="top"/>
          </w:tcPr>
          <w:p w14:paraId="719AAE49">
            <w:pPr>
              <w:spacing w:before="68" w:line="220" w:lineRule="auto"/>
              <w:ind w:left="119"/>
              <w:rPr>
                <w:rFonts w:ascii="宋体" w:hAnsi="宋体" w:eastAsia="宋体" w:cs="宋体"/>
                <w:sz w:val="21"/>
                <w:szCs w:val="21"/>
              </w:rPr>
            </w:pPr>
            <w:r>
              <w:rPr>
                <w:rFonts w:ascii="宋体" w:hAnsi="宋体" w:eastAsia="宋体" w:cs="宋体"/>
                <w:spacing w:val="-2"/>
                <w:sz w:val="21"/>
                <w:szCs w:val="21"/>
              </w:rPr>
              <w:t>功能区类别</w:t>
            </w:r>
          </w:p>
        </w:tc>
        <w:tc>
          <w:tcPr>
            <w:tcW w:w="3781" w:type="dxa"/>
            <w:vAlign w:val="top"/>
          </w:tcPr>
          <w:p w14:paraId="75C58D68">
            <w:pPr>
              <w:spacing w:before="68" w:line="219" w:lineRule="auto"/>
              <w:ind w:left="1474"/>
              <w:rPr>
                <w:rFonts w:ascii="宋体" w:hAnsi="宋体" w:eastAsia="宋体" w:cs="宋体"/>
                <w:sz w:val="21"/>
                <w:szCs w:val="21"/>
              </w:rPr>
            </w:pPr>
            <w:r>
              <w:rPr>
                <w:rFonts w:ascii="宋体" w:hAnsi="宋体" w:eastAsia="宋体" w:cs="宋体"/>
                <w:spacing w:val="-2"/>
                <w:sz w:val="21"/>
                <w:szCs w:val="21"/>
              </w:rPr>
              <w:t>划分依据</w:t>
            </w:r>
          </w:p>
        </w:tc>
      </w:tr>
      <w:tr w14:paraId="28072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3" w:type="dxa"/>
            <w:vAlign w:val="top"/>
          </w:tcPr>
          <w:p w14:paraId="381B89BD">
            <w:pPr>
              <w:spacing w:before="64" w:line="220" w:lineRule="auto"/>
              <w:ind w:left="156"/>
              <w:rPr>
                <w:rFonts w:ascii="宋体" w:hAnsi="宋体" w:eastAsia="宋体" w:cs="宋体"/>
                <w:sz w:val="21"/>
                <w:szCs w:val="21"/>
              </w:rPr>
            </w:pPr>
            <w:r>
              <w:rPr>
                <w:rFonts w:ascii="宋体" w:hAnsi="宋体" w:eastAsia="宋体" w:cs="宋体"/>
                <w:spacing w:val="-2"/>
                <w:sz w:val="21"/>
                <w:szCs w:val="21"/>
              </w:rPr>
              <w:t>环境空气</w:t>
            </w:r>
          </w:p>
        </w:tc>
        <w:tc>
          <w:tcPr>
            <w:tcW w:w="2123" w:type="dxa"/>
            <w:vAlign w:val="top"/>
          </w:tcPr>
          <w:p w14:paraId="6C280EED">
            <w:pPr>
              <w:spacing w:before="63" w:line="219" w:lineRule="auto"/>
              <w:ind w:left="855"/>
              <w:rPr>
                <w:rFonts w:ascii="宋体" w:hAnsi="宋体" w:eastAsia="宋体" w:cs="宋体"/>
                <w:sz w:val="21"/>
                <w:szCs w:val="21"/>
              </w:rPr>
            </w:pPr>
            <w:r>
              <w:rPr>
                <w:rFonts w:ascii="宋体" w:hAnsi="宋体" w:eastAsia="宋体" w:cs="宋体"/>
                <w:spacing w:val="-3"/>
                <w:sz w:val="21"/>
                <w:szCs w:val="21"/>
              </w:rPr>
              <w:t>农村</w:t>
            </w:r>
          </w:p>
        </w:tc>
        <w:tc>
          <w:tcPr>
            <w:tcW w:w="1273" w:type="dxa"/>
            <w:vAlign w:val="top"/>
          </w:tcPr>
          <w:p w14:paraId="088E39EA">
            <w:pPr>
              <w:spacing w:before="63" w:line="220" w:lineRule="auto"/>
              <w:ind w:left="434"/>
              <w:rPr>
                <w:rFonts w:ascii="宋体" w:hAnsi="宋体" w:eastAsia="宋体" w:cs="宋体"/>
                <w:sz w:val="21"/>
                <w:szCs w:val="21"/>
              </w:rPr>
            </w:pPr>
            <w:r>
              <w:rPr>
                <w:rFonts w:ascii="宋体" w:hAnsi="宋体" w:eastAsia="宋体" w:cs="宋体"/>
                <w:spacing w:val="-3"/>
                <w:sz w:val="21"/>
                <w:szCs w:val="21"/>
              </w:rPr>
              <w:t>二类</w:t>
            </w:r>
          </w:p>
        </w:tc>
        <w:tc>
          <w:tcPr>
            <w:tcW w:w="3781" w:type="dxa"/>
            <w:vAlign w:val="top"/>
          </w:tcPr>
          <w:p w14:paraId="7485D45A">
            <w:pPr>
              <w:pStyle w:val="6"/>
              <w:spacing w:before="64" w:line="220" w:lineRule="auto"/>
              <w:ind w:left="35"/>
              <w:rPr>
                <w:rFonts w:ascii="宋体" w:hAnsi="宋体" w:eastAsia="宋体" w:cs="宋体"/>
              </w:rPr>
            </w:pPr>
            <w:r>
              <w:rPr>
                <w:rFonts w:ascii="宋体" w:hAnsi="宋体" w:eastAsia="宋体" w:cs="宋体"/>
                <w:spacing w:val="-1"/>
              </w:rPr>
              <w:t>《环境空气质量标准》（</w:t>
            </w:r>
            <w:r>
              <w:rPr>
                <w:spacing w:val="-1"/>
              </w:rPr>
              <w:t>GB3095-2012</w:t>
            </w:r>
            <w:r>
              <w:rPr>
                <w:rFonts w:ascii="宋体" w:hAnsi="宋体" w:eastAsia="宋体" w:cs="宋体"/>
                <w:spacing w:val="-1"/>
              </w:rPr>
              <w:t>）</w:t>
            </w:r>
          </w:p>
        </w:tc>
      </w:tr>
      <w:tr w14:paraId="5CACB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3" w:type="dxa"/>
            <w:vAlign w:val="top"/>
          </w:tcPr>
          <w:p w14:paraId="225F0E2A">
            <w:pPr>
              <w:spacing w:before="167" w:line="220" w:lineRule="auto"/>
              <w:ind w:left="262"/>
              <w:rPr>
                <w:rFonts w:ascii="宋体" w:hAnsi="宋体" w:eastAsia="宋体" w:cs="宋体"/>
                <w:sz w:val="21"/>
                <w:szCs w:val="21"/>
              </w:rPr>
            </w:pPr>
            <w:r>
              <w:rPr>
                <w:rFonts w:ascii="宋体" w:hAnsi="宋体" w:eastAsia="宋体" w:cs="宋体"/>
                <w:spacing w:val="-2"/>
                <w:sz w:val="21"/>
                <w:szCs w:val="21"/>
              </w:rPr>
              <w:t>地表水</w:t>
            </w:r>
          </w:p>
        </w:tc>
        <w:tc>
          <w:tcPr>
            <w:tcW w:w="2123" w:type="dxa"/>
            <w:vAlign w:val="top"/>
          </w:tcPr>
          <w:p w14:paraId="278B65A5">
            <w:pPr>
              <w:spacing w:before="32" w:line="223" w:lineRule="auto"/>
              <w:ind w:left="750" w:right="220" w:hanging="522"/>
              <w:rPr>
                <w:rFonts w:ascii="宋体" w:hAnsi="宋体" w:eastAsia="宋体" w:cs="宋体"/>
                <w:sz w:val="21"/>
                <w:szCs w:val="21"/>
              </w:rPr>
            </w:pPr>
            <w:r>
              <w:rPr>
                <w:rFonts w:ascii="宋体" w:hAnsi="宋体" w:eastAsia="宋体" w:cs="宋体"/>
                <w:spacing w:val="-2"/>
                <w:sz w:val="21"/>
                <w:szCs w:val="21"/>
              </w:rPr>
              <w:t>大清流河、五桂溪</w:t>
            </w:r>
            <w:r>
              <w:rPr>
                <w:rFonts w:ascii="宋体" w:hAnsi="宋体" w:eastAsia="宋体" w:cs="宋体"/>
                <w:spacing w:val="-3"/>
                <w:sz w:val="21"/>
                <w:szCs w:val="21"/>
              </w:rPr>
              <w:t>石核河</w:t>
            </w:r>
          </w:p>
        </w:tc>
        <w:tc>
          <w:tcPr>
            <w:tcW w:w="1273" w:type="dxa"/>
            <w:vAlign w:val="top"/>
          </w:tcPr>
          <w:p w14:paraId="6FF3989B">
            <w:pPr>
              <w:spacing w:before="167" w:line="220" w:lineRule="auto"/>
              <w:ind w:left="429"/>
              <w:rPr>
                <w:rFonts w:ascii="宋体" w:hAnsi="宋体" w:eastAsia="宋体" w:cs="宋体"/>
                <w:sz w:val="21"/>
                <w:szCs w:val="21"/>
              </w:rPr>
            </w:pPr>
            <w:r>
              <w:rPr>
                <w:rFonts w:ascii="宋体" w:hAnsi="宋体" w:eastAsia="宋体" w:cs="宋体"/>
                <w:spacing w:val="-2"/>
                <w:sz w:val="21"/>
                <w:szCs w:val="21"/>
              </w:rPr>
              <w:t>Ⅲ类</w:t>
            </w:r>
          </w:p>
        </w:tc>
        <w:tc>
          <w:tcPr>
            <w:tcW w:w="3781" w:type="dxa"/>
            <w:vAlign w:val="top"/>
          </w:tcPr>
          <w:p w14:paraId="1A5389AA">
            <w:pPr>
              <w:pStyle w:val="6"/>
              <w:spacing w:before="167" w:line="220" w:lineRule="auto"/>
              <w:jc w:val="right"/>
              <w:rPr>
                <w:rFonts w:ascii="宋体" w:hAnsi="宋体" w:eastAsia="宋体" w:cs="宋体"/>
              </w:rPr>
            </w:pPr>
            <w:r>
              <w:rPr>
                <w:rFonts w:ascii="宋体" w:hAnsi="宋体" w:eastAsia="宋体" w:cs="宋体"/>
                <w:spacing w:val="-7"/>
              </w:rPr>
              <w:t>《地表水环境质量标准》（</w:t>
            </w:r>
            <w:r>
              <w:rPr>
                <w:spacing w:val="-7"/>
              </w:rPr>
              <w:t>GB3838-2002</w:t>
            </w:r>
            <w:r>
              <w:rPr>
                <w:rFonts w:ascii="宋体" w:hAnsi="宋体" w:eastAsia="宋体" w:cs="宋体"/>
                <w:spacing w:val="-7"/>
              </w:rPr>
              <w:t>）</w:t>
            </w:r>
          </w:p>
        </w:tc>
      </w:tr>
      <w:tr w14:paraId="3FA0B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43" w:type="dxa"/>
            <w:vAlign w:val="top"/>
          </w:tcPr>
          <w:p w14:paraId="07253196">
            <w:pPr>
              <w:spacing w:before="166" w:line="220" w:lineRule="auto"/>
              <w:ind w:left="262"/>
              <w:rPr>
                <w:rFonts w:ascii="宋体" w:hAnsi="宋体" w:eastAsia="宋体" w:cs="宋体"/>
                <w:sz w:val="21"/>
                <w:szCs w:val="21"/>
              </w:rPr>
            </w:pPr>
            <w:r>
              <w:rPr>
                <w:rFonts w:ascii="宋体" w:hAnsi="宋体" w:eastAsia="宋体" w:cs="宋体"/>
                <w:spacing w:val="-2"/>
                <w:sz w:val="21"/>
                <w:szCs w:val="21"/>
              </w:rPr>
              <w:t>地下水</w:t>
            </w:r>
          </w:p>
        </w:tc>
        <w:tc>
          <w:tcPr>
            <w:tcW w:w="2123" w:type="dxa"/>
            <w:vAlign w:val="top"/>
          </w:tcPr>
          <w:p w14:paraId="6486F59E">
            <w:pPr>
              <w:spacing w:before="30" w:line="223" w:lineRule="auto"/>
              <w:ind w:left="750" w:right="116" w:hanging="629"/>
              <w:rPr>
                <w:rFonts w:ascii="宋体" w:hAnsi="宋体" w:eastAsia="宋体" w:cs="宋体"/>
                <w:sz w:val="21"/>
                <w:szCs w:val="21"/>
              </w:rPr>
            </w:pPr>
            <w:r>
              <w:rPr>
                <w:rFonts w:ascii="宋体" w:hAnsi="宋体" w:eastAsia="宋体" w:cs="宋体"/>
                <w:spacing w:val="-2"/>
                <w:sz w:val="21"/>
                <w:szCs w:val="21"/>
              </w:rPr>
              <w:t>周边居民饮用水源为地下水</w:t>
            </w:r>
          </w:p>
        </w:tc>
        <w:tc>
          <w:tcPr>
            <w:tcW w:w="1273" w:type="dxa"/>
            <w:vAlign w:val="top"/>
          </w:tcPr>
          <w:p w14:paraId="4E794D4B">
            <w:pPr>
              <w:spacing w:before="166" w:line="220" w:lineRule="auto"/>
              <w:ind w:left="429"/>
              <w:rPr>
                <w:rFonts w:ascii="宋体" w:hAnsi="宋体" w:eastAsia="宋体" w:cs="宋体"/>
                <w:sz w:val="21"/>
                <w:szCs w:val="21"/>
              </w:rPr>
            </w:pPr>
            <w:r>
              <w:rPr>
                <w:rFonts w:ascii="宋体" w:hAnsi="宋体" w:eastAsia="宋体" w:cs="宋体"/>
                <w:spacing w:val="-2"/>
                <w:sz w:val="21"/>
                <w:szCs w:val="21"/>
              </w:rPr>
              <w:t>Ⅲ类</w:t>
            </w:r>
          </w:p>
        </w:tc>
        <w:tc>
          <w:tcPr>
            <w:tcW w:w="3781" w:type="dxa"/>
            <w:vAlign w:val="top"/>
          </w:tcPr>
          <w:p w14:paraId="4EF72901">
            <w:pPr>
              <w:pStyle w:val="6"/>
              <w:spacing w:before="166" w:line="220" w:lineRule="auto"/>
              <w:jc w:val="right"/>
              <w:rPr>
                <w:rFonts w:ascii="宋体" w:hAnsi="宋体" w:eastAsia="宋体" w:cs="宋体"/>
              </w:rPr>
            </w:pPr>
            <w:r>
              <w:rPr>
                <w:rFonts w:ascii="宋体" w:hAnsi="宋体" w:eastAsia="宋体" w:cs="宋体"/>
                <w:spacing w:val="-2"/>
              </w:rPr>
              <w:t>《地下水质量标准》（</w:t>
            </w:r>
            <w:r>
              <w:rPr>
                <w:spacing w:val="-2"/>
              </w:rPr>
              <w:t>GB/T14848-2017</w:t>
            </w:r>
            <w:r>
              <w:rPr>
                <w:rFonts w:ascii="宋体" w:hAnsi="宋体" w:eastAsia="宋体" w:cs="宋体"/>
                <w:spacing w:val="-2"/>
              </w:rPr>
              <w:t>）</w:t>
            </w:r>
          </w:p>
        </w:tc>
      </w:tr>
      <w:tr w14:paraId="708F4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3" w:type="dxa"/>
            <w:vAlign w:val="top"/>
          </w:tcPr>
          <w:p w14:paraId="2BCE175F">
            <w:pPr>
              <w:spacing w:before="66" w:line="220" w:lineRule="auto"/>
              <w:ind w:left="266"/>
              <w:rPr>
                <w:rFonts w:ascii="宋体" w:hAnsi="宋体" w:eastAsia="宋体" w:cs="宋体"/>
                <w:sz w:val="21"/>
                <w:szCs w:val="21"/>
              </w:rPr>
            </w:pPr>
            <w:r>
              <w:rPr>
                <w:rFonts w:ascii="宋体" w:hAnsi="宋体" w:eastAsia="宋体" w:cs="宋体"/>
                <w:spacing w:val="-3"/>
                <w:sz w:val="21"/>
                <w:szCs w:val="21"/>
              </w:rPr>
              <w:t>声环境</w:t>
            </w:r>
          </w:p>
        </w:tc>
        <w:tc>
          <w:tcPr>
            <w:tcW w:w="2123" w:type="dxa"/>
            <w:vAlign w:val="top"/>
          </w:tcPr>
          <w:p w14:paraId="1F23CDDB">
            <w:pPr>
              <w:spacing w:before="66" w:line="220" w:lineRule="auto"/>
              <w:ind w:left="645"/>
              <w:rPr>
                <w:rFonts w:ascii="宋体" w:hAnsi="宋体" w:eastAsia="宋体" w:cs="宋体"/>
                <w:sz w:val="21"/>
                <w:szCs w:val="21"/>
              </w:rPr>
            </w:pPr>
            <w:r>
              <w:rPr>
                <w:rFonts w:ascii="宋体" w:hAnsi="宋体" w:eastAsia="宋体" w:cs="宋体"/>
                <w:spacing w:val="-2"/>
                <w:sz w:val="21"/>
                <w:szCs w:val="21"/>
              </w:rPr>
              <w:t>丘陵山地</w:t>
            </w:r>
          </w:p>
        </w:tc>
        <w:tc>
          <w:tcPr>
            <w:tcW w:w="1273" w:type="dxa"/>
            <w:vAlign w:val="top"/>
          </w:tcPr>
          <w:p w14:paraId="4A14EC69">
            <w:pPr>
              <w:pStyle w:val="6"/>
              <w:spacing w:before="65" w:line="220" w:lineRule="auto"/>
              <w:ind w:left="453"/>
              <w:rPr>
                <w:rFonts w:ascii="宋体" w:hAnsi="宋体" w:eastAsia="宋体" w:cs="宋体"/>
              </w:rPr>
            </w:pPr>
            <w:r>
              <w:rPr>
                <w:spacing w:val="-3"/>
              </w:rPr>
              <w:t>2</w:t>
            </w:r>
            <w:r>
              <w:rPr>
                <w:spacing w:val="9"/>
              </w:rPr>
              <w:t xml:space="preserve"> </w:t>
            </w:r>
            <w:r>
              <w:rPr>
                <w:rFonts w:ascii="宋体" w:hAnsi="宋体" w:eastAsia="宋体" w:cs="宋体"/>
                <w:spacing w:val="-3"/>
              </w:rPr>
              <w:t>类</w:t>
            </w:r>
          </w:p>
        </w:tc>
        <w:tc>
          <w:tcPr>
            <w:tcW w:w="3781" w:type="dxa"/>
            <w:vAlign w:val="top"/>
          </w:tcPr>
          <w:p w14:paraId="33C4DB2E">
            <w:pPr>
              <w:pStyle w:val="6"/>
              <w:spacing w:before="66" w:line="220" w:lineRule="auto"/>
              <w:ind w:left="140"/>
              <w:rPr>
                <w:rFonts w:ascii="宋体" w:hAnsi="宋体" w:eastAsia="宋体" w:cs="宋体"/>
              </w:rPr>
            </w:pPr>
            <w:r>
              <w:rPr>
                <w:rFonts w:ascii="宋体" w:hAnsi="宋体" w:eastAsia="宋体" w:cs="宋体"/>
                <w:spacing w:val="-1"/>
              </w:rPr>
              <w:t>《声环境质量标准》（</w:t>
            </w:r>
            <w:r>
              <w:rPr>
                <w:spacing w:val="-1"/>
              </w:rPr>
              <w:t>GB3096-2008</w:t>
            </w:r>
            <w:r>
              <w:rPr>
                <w:rFonts w:ascii="宋体" w:hAnsi="宋体" w:eastAsia="宋体" w:cs="宋体"/>
                <w:spacing w:val="-1"/>
              </w:rPr>
              <w:t>）</w:t>
            </w:r>
          </w:p>
        </w:tc>
      </w:tr>
      <w:tr w14:paraId="7DFC6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43" w:type="dxa"/>
            <w:vAlign w:val="top"/>
          </w:tcPr>
          <w:p w14:paraId="61405B29">
            <w:pPr>
              <w:spacing w:before="170" w:line="220" w:lineRule="auto"/>
              <w:ind w:left="157"/>
              <w:rPr>
                <w:rFonts w:ascii="宋体" w:hAnsi="宋体" w:eastAsia="宋体" w:cs="宋体"/>
                <w:sz w:val="21"/>
                <w:szCs w:val="21"/>
              </w:rPr>
            </w:pPr>
            <w:r>
              <w:rPr>
                <w:rFonts w:ascii="宋体" w:hAnsi="宋体" w:eastAsia="宋体" w:cs="宋体"/>
                <w:spacing w:val="-2"/>
                <w:sz w:val="21"/>
                <w:szCs w:val="21"/>
              </w:rPr>
              <w:t>土壤环境</w:t>
            </w:r>
          </w:p>
        </w:tc>
        <w:tc>
          <w:tcPr>
            <w:tcW w:w="2123" w:type="dxa"/>
            <w:vAlign w:val="top"/>
          </w:tcPr>
          <w:p w14:paraId="52B92E1F">
            <w:pPr>
              <w:spacing w:before="169" w:line="219" w:lineRule="auto"/>
              <w:ind w:left="540"/>
              <w:rPr>
                <w:rFonts w:ascii="宋体" w:hAnsi="宋体" w:eastAsia="宋体" w:cs="宋体"/>
                <w:sz w:val="21"/>
                <w:szCs w:val="21"/>
              </w:rPr>
            </w:pPr>
            <w:r>
              <w:rPr>
                <w:rFonts w:ascii="宋体" w:hAnsi="宋体" w:eastAsia="宋体" w:cs="宋体"/>
                <w:spacing w:val="-2"/>
                <w:sz w:val="21"/>
                <w:szCs w:val="21"/>
              </w:rPr>
              <w:t>耕地、林地</w:t>
            </w:r>
          </w:p>
        </w:tc>
        <w:tc>
          <w:tcPr>
            <w:tcW w:w="1273" w:type="dxa"/>
            <w:vAlign w:val="top"/>
          </w:tcPr>
          <w:p w14:paraId="5E40D29D">
            <w:pPr>
              <w:spacing w:before="169" w:line="221" w:lineRule="auto"/>
              <w:ind w:left="326"/>
              <w:rPr>
                <w:rFonts w:ascii="宋体" w:hAnsi="宋体" w:eastAsia="宋体" w:cs="宋体"/>
                <w:sz w:val="21"/>
                <w:szCs w:val="21"/>
              </w:rPr>
            </w:pPr>
            <w:r>
              <w:rPr>
                <w:rFonts w:ascii="宋体" w:hAnsi="宋体" w:eastAsia="宋体" w:cs="宋体"/>
                <w:spacing w:val="-2"/>
                <w:sz w:val="21"/>
                <w:szCs w:val="21"/>
              </w:rPr>
              <w:t>农用地</w:t>
            </w:r>
          </w:p>
        </w:tc>
        <w:tc>
          <w:tcPr>
            <w:tcW w:w="3781" w:type="dxa"/>
            <w:vAlign w:val="top"/>
          </w:tcPr>
          <w:p w14:paraId="10A5846C">
            <w:pPr>
              <w:pStyle w:val="6"/>
              <w:spacing w:before="34" w:line="224" w:lineRule="auto"/>
              <w:ind w:left="190" w:right="51" w:hanging="132"/>
              <w:rPr>
                <w:rFonts w:ascii="宋体" w:hAnsi="宋体" w:eastAsia="宋体" w:cs="宋体"/>
              </w:rPr>
            </w:pPr>
            <w:r>
              <w:rPr>
                <w:rFonts w:ascii="宋体" w:hAnsi="宋体" w:eastAsia="宋体" w:cs="宋体"/>
                <w:spacing w:val="-1"/>
              </w:rPr>
              <w:t>《土壤环境质量 农用地土壤污染风险管控标准（试行）》（</w:t>
            </w:r>
            <w:r>
              <w:rPr>
                <w:spacing w:val="-1"/>
              </w:rPr>
              <w:t>GB15618-2018</w:t>
            </w:r>
            <w:r>
              <w:rPr>
                <w:rFonts w:ascii="宋体" w:hAnsi="宋体" w:eastAsia="宋体" w:cs="宋体"/>
                <w:spacing w:val="-1"/>
              </w:rPr>
              <w:t>）</w:t>
            </w:r>
          </w:p>
        </w:tc>
      </w:tr>
    </w:tbl>
    <w:p w14:paraId="7BB9BBF2">
      <w:pPr>
        <w:spacing w:before="282"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3.2.2  </w:t>
      </w:r>
      <w:r>
        <w:rPr>
          <w:rFonts w:ascii="宋体" w:hAnsi="宋体" w:eastAsia="宋体" w:cs="宋体"/>
          <w:b/>
          <w:bCs/>
          <w:spacing w:val="-2"/>
          <w:sz w:val="30"/>
          <w:szCs w:val="30"/>
        </w:rPr>
        <w:t>环境保护目标</w:t>
      </w:r>
    </w:p>
    <w:p w14:paraId="7448237F">
      <w:pPr>
        <w:pStyle w:val="2"/>
        <w:spacing w:line="257" w:lineRule="auto"/>
      </w:pPr>
    </w:p>
    <w:p w14:paraId="569CBA78">
      <w:pPr>
        <w:spacing w:before="78" w:line="361" w:lineRule="auto"/>
        <w:ind w:left="39" w:right="84" w:firstLine="480"/>
        <w:jc w:val="both"/>
        <w:rPr>
          <w:rFonts w:ascii="宋体" w:hAnsi="宋体" w:eastAsia="宋体" w:cs="宋体"/>
          <w:sz w:val="24"/>
          <w:szCs w:val="24"/>
        </w:rPr>
      </w:pPr>
      <w:r>
        <w:rPr>
          <w:rFonts w:ascii="宋体" w:hAnsi="宋体" w:eastAsia="宋体" w:cs="宋体"/>
          <w:sz w:val="24"/>
          <w:szCs w:val="24"/>
        </w:rPr>
        <w:t>本项目选址于内江市白合镇喻家沟村</w:t>
      </w:r>
      <w:r>
        <w:rPr>
          <w:rFonts w:ascii="Times New Roman" w:hAnsi="Times New Roman" w:eastAsia="Times New Roman" w:cs="Times New Roman"/>
          <w:sz w:val="24"/>
          <w:szCs w:val="24"/>
        </w:rPr>
        <w:t>9</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12</w:t>
      </w:r>
      <w:r>
        <w:rPr>
          <w:rFonts w:ascii="宋体" w:hAnsi="宋体" w:eastAsia="宋体" w:cs="宋体"/>
          <w:sz w:val="24"/>
          <w:szCs w:val="24"/>
        </w:rPr>
        <w:t>组，四</w:t>
      </w:r>
      <w:r>
        <w:rPr>
          <w:rFonts w:ascii="宋体" w:hAnsi="宋体" w:eastAsia="宋体" w:cs="宋体"/>
          <w:spacing w:val="-1"/>
          <w:sz w:val="24"/>
          <w:szCs w:val="24"/>
        </w:rPr>
        <w:t>周为农村丘陵，周围分布</w:t>
      </w:r>
      <w:r>
        <w:rPr>
          <w:rFonts w:ascii="宋体" w:hAnsi="宋体" w:eastAsia="宋体" w:cs="宋体"/>
          <w:spacing w:val="4"/>
          <w:sz w:val="24"/>
          <w:szCs w:val="24"/>
        </w:rPr>
        <w:t>有少量散居农户。根据对项目周边情况的调查及与相关部门核实，拟选址周边</w:t>
      </w:r>
      <w:r>
        <w:rPr>
          <w:rFonts w:ascii="Times New Roman" w:hAnsi="Times New Roman" w:eastAsia="Times New Roman" w:cs="Times New Roman"/>
          <w:spacing w:val="-6"/>
          <w:sz w:val="24"/>
          <w:szCs w:val="24"/>
        </w:rPr>
        <w:t>3km</w:t>
      </w:r>
      <w:r>
        <w:rPr>
          <w:rFonts w:ascii="宋体" w:hAnsi="宋体" w:eastAsia="宋体" w:cs="宋体"/>
          <w:spacing w:val="-6"/>
          <w:sz w:val="24"/>
          <w:szCs w:val="24"/>
        </w:rPr>
        <w:t>范围内不涉及自然保护区、森林公园、地质</w:t>
      </w:r>
      <w:r>
        <w:rPr>
          <w:rFonts w:ascii="宋体" w:hAnsi="宋体" w:eastAsia="宋体" w:cs="宋体"/>
          <w:spacing w:val="-7"/>
          <w:sz w:val="24"/>
          <w:szCs w:val="24"/>
        </w:rPr>
        <w:t>公园、文物古迹，</w:t>
      </w:r>
      <w:r>
        <w:rPr>
          <w:rFonts w:ascii="宋体" w:hAnsi="宋体" w:eastAsia="宋体" w:cs="宋体"/>
          <w:spacing w:val="58"/>
          <w:sz w:val="24"/>
          <w:szCs w:val="24"/>
        </w:rPr>
        <w:t xml:space="preserve"> </w:t>
      </w:r>
      <w:r>
        <w:rPr>
          <w:rFonts w:ascii="宋体" w:hAnsi="宋体" w:eastAsia="宋体" w:cs="宋体"/>
          <w:spacing w:val="-7"/>
          <w:sz w:val="24"/>
          <w:szCs w:val="24"/>
        </w:rPr>
        <w:t>未发现珍稀濒</w:t>
      </w:r>
      <w:r>
        <w:rPr>
          <w:rFonts w:ascii="宋体" w:hAnsi="宋体" w:eastAsia="宋体" w:cs="宋体"/>
          <w:spacing w:val="-5"/>
          <w:sz w:val="24"/>
          <w:szCs w:val="24"/>
        </w:rPr>
        <w:t>危野生动植物分布。</w:t>
      </w:r>
    </w:p>
    <w:p w14:paraId="234C4549">
      <w:pPr>
        <w:spacing w:before="53" w:line="226" w:lineRule="auto"/>
        <w:ind w:left="34"/>
        <w:rPr>
          <w:rFonts w:ascii="宋体" w:hAnsi="宋体" w:eastAsia="宋体" w:cs="宋体"/>
          <w:sz w:val="27"/>
          <w:szCs w:val="27"/>
        </w:rPr>
      </w:pPr>
      <w:r>
        <w:rPr>
          <w:rFonts w:ascii="Times New Roman" w:hAnsi="Times New Roman" w:eastAsia="Times New Roman" w:cs="Times New Roman"/>
          <w:b/>
          <w:bCs/>
          <w:spacing w:val="4"/>
          <w:sz w:val="27"/>
          <w:szCs w:val="27"/>
        </w:rPr>
        <w:t xml:space="preserve">3.2.2.1 </w:t>
      </w:r>
      <w:r>
        <w:rPr>
          <w:rFonts w:ascii="宋体" w:hAnsi="宋体" w:eastAsia="宋体" w:cs="宋体"/>
          <w:b/>
          <w:bCs/>
          <w:spacing w:val="4"/>
          <w:sz w:val="27"/>
          <w:szCs w:val="27"/>
        </w:rPr>
        <w:t>地表水</w:t>
      </w:r>
    </w:p>
    <w:p w14:paraId="68C2C4E5">
      <w:pPr>
        <w:spacing w:before="236"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）地表水环境保护目标</w:t>
      </w:r>
    </w:p>
    <w:p w14:paraId="2AC07695">
      <w:pPr>
        <w:spacing w:before="184" w:line="361" w:lineRule="auto"/>
        <w:ind w:left="38" w:firstLine="481"/>
        <w:jc w:val="both"/>
        <w:rPr>
          <w:rFonts w:ascii="宋体" w:hAnsi="宋体" w:eastAsia="宋体" w:cs="宋体"/>
          <w:sz w:val="24"/>
          <w:szCs w:val="24"/>
        </w:rPr>
      </w:pPr>
      <w:r>
        <w:rPr>
          <w:rFonts w:ascii="宋体" w:hAnsi="宋体" w:eastAsia="宋体" w:cs="宋体"/>
          <w:spacing w:val="-1"/>
          <w:sz w:val="24"/>
          <w:szCs w:val="24"/>
        </w:rPr>
        <w:t>本项目所在地属于大清流河流域，项目附近地表水体—大清流河、五桂溪、</w:t>
      </w:r>
      <w:r>
        <w:rPr>
          <w:rFonts w:ascii="宋体" w:hAnsi="宋体" w:eastAsia="宋体" w:cs="宋体"/>
          <w:spacing w:val="-6"/>
          <w:sz w:val="24"/>
          <w:szCs w:val="24"/>
        </w:rPr>
        <w:t>石核河，其中五桂溪、石核河属于大清流河</w:t>
      </w:r>
      <w:r>
        <w:rPr>
          <w:rFonts w:ascii="宋体" w:hAnsi="宋体" w:eastAsia="宋体" w:cs="宋体"/>
          <w:spacing w:val="-7"/>
          <w:sz w:val="24"/>
          <w:szCs w:val="24"/>
        </w:rPr>
        <w:t>支流， 区域地表水体水质目标为《地</w:t>
      </w:r>
      <w:r>
        <w:rPr>
          <w:rFonts w:ascii="宋体" w:hAnsi="宋体" w:eastAsia="宋体" w:cs="宋体"/>
          <w:spacing w:val="-2"/>
          <w:sz w:val="24"/>
          <w:szCs w:val="24"/>
        </w:rPr>
        <w:t>表水环境质量标准》（</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）Ⅲ类。</w:t>
      </w:r>
    </w:p>
    <w:p w14:paraId="183D40B4">
      <w:pPr>
        <w:spacing w:before="8" w:line="222" w:lineRule="auto"/>
        <w:ind w:left="255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3.2-2  </w:t>
      </w:r>
      <w:r>
        <w:rPr>
          <w:rFonts w:ascii="黑体" w:hAnsi="黑体" w:eastAsia="黑体" w:cs="黑体"/>
          <w:spacing w:val="-1"/>
          <w:sz w:val="21"/>
          <w:szCs w:val="21"/>
        </w:rPr>
        <w:t>地表水环境保护目标一览表</w:t>
      </w:r>
    </w:p>
    <w:p w14:paraId="20ECB969">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996"/>
        <w:gridCol w:w="564"/>
        <w:gridCol w:w="991"/>
        <w:gridCol w:w="991"/>
        <w:gridCol w:w="565"/>
        <w:gridCol w:w="1705"/>
        <w:gridCol w:w="1645"/>
      </w:tblGrid>
      <w:tr w14:paraId="366A7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3" w:type="dxa"/>
            <w:vAlign w:val="top"/>
          </w:tcPr>
          <w:p w14:paraId="4E53519F">
            <w:pPr>
              <w:spacing w:before="68" w:line="220" w:lineRule="auto"/>
              <w:ind w:left="16"/>
              <w:rPr>
                <w:rFonts w:ascii="宋体" w:hAnsi="宋体" w:eastAsia="宋体" w:cs="宋体"/>
                <w:sz w:val="21"/>
                <w:szCs w:val="21"/>
              </w:rPr>
            </w:pPr>
            <w:r>
              <w:rPr>
                <w:rFonts w:ascii="宋体" w:hAnsi="宋体" w:eastAsia="宋体" w:cs="宋体"/>
                <w:spacing w:val="-2"/>
                <w:sz w:val="21"/>
                <w:szCs w:val="21"/>
              </w:rPr>
              <w:t>环境要素</w:t>
            </w:r>
          </w:p>
        </w:tc>
        <w:tc>
          <w:tcPr>
            <w:tcW w:w="996" w:type="dxa"/>
            <w:vAlign w:val="top"/>
          </w:tcPr>
          <w:p w14:paraId="7B75EDBD">
            <w:pPr>
              <w:spacing w:before="69" w:line="220" w:lineRule="auto"/>
              <w:ind w:left="83"/>
              <w:rPr>
                <w:rFonts w:ascii="宋体" w:hAnsi="宋体" w:eastAsia="宋体" w:cs="宋体"/>
                <w:sz w:val="21"/>
                <w:szCs w:val="21"/>
              </w:rPr>
            </w:pPr>
            <w:r>
              <w:rPr>
                <w:rFonts w:ascii="宋体" w:hAnsi="宋体" w:eastAsia="宋体" w:cs="宋体"/>
                <w:spacing w:val="-2"/>
                <w:sz w:val="21"/>
                <w:szCs w:val="21"/>
              </w:rPr>
              <w:t>保护目标</w:t>
            </w:r>
          </w:p>
        </w:tc>
        <w:tc>
          <w:tcPr>
            <w:tcW w:w="564" w:type="dxa"/>
            <w:vAlign w:val="top"/>
          </w:tcPr>
          <w:p w14:paraId="1DD0668F">
            <w:pPr>
              <w:spacing w:before="68" w:line="221" w:lineRule="auto"/>
              <w:ind w:left="78"/>
              <w:rPr>
                <w:rFonts w:ascii="宋体" w:hAnsi="宋体" w:eastAsia="宋体" w:cs="宋体"/>
                <w:sz w:val="21"/>
                <w:szCs w:val="21"/>
              </w:rPr>
            </w:pPr>
            <w:r>
              <w:rPr>
                <w:rFonts w:ascii="宋体" w:hAnsi="宋体" w:eastAsia="宋体" w:cs="宋体"/>
                <w:spacing w:val="-3"/>
                <w:sz w:val="21"/>
                <w:szCs w:val="21"/>
              </w:rPr>
              <w:t>方位</w:t>
            </w:r>
          </w:p>
        </w:tc>
        <w:tc>
          <w:tcPr>
            <w:tcW w:w="991" w:type="dxa"/>
            <w:vAlign w:val="top"/>
          </w:tcPr>
          <w:p w14:paraId="0451E801">
            <w:pPr>
              <w:spacing w:before="69" w:line="220" w:lineRule="auto"/>
              <w:ind w:left="291"/>
              <w:rPr>
                <w:rFonts w:ascii="宋体" w:hAnsi="宋体" w:eastAsia="宋体" w:cs="宋体"/>
                <w:sz w:val="21"/>
                <w:szCs w:val="21"/>
              </w:rPr>
            </w:pPr>
            <w:r>
              <w:rPr>
                <w:rFonts w:ascii="宋体" w:hAnsi="宋体" w:eastAsia="宋体" w:cs="宋体"/>
                <w:spacing w:val="-2"/>
                <w:sz w:val="21"/>
                <w:szCs w:val="21"/>
              </w:rPr>
              <w:t>距离</w:t>
            </w:r>
          </w:p>
        </w:tc>
        <w:tc>
          <w:tcPr>
            <w:tcW w:w="991" w:type="dxa"/>
            <w:vAlign w:val="top"/>
          </w:tcPr>
          <w:p w14:paraId="33B1D0F4">
            <w:pPr>
              <w:spacing w:before="68" w:line="220" w:lineRule="auto"/>
              <w:ind w:left="81"/>
              <w:rPr>
                <w:rFonts w:ascii="宋体" w:hAnsi="宋体" w:eastAsia="宋体" w:cs="宋体"/>
                <w:sz w:val="21"/>
                <w:szCs w:val="21"/>
              </w:rPr>
            </w:pPr>
            <w:r>
              <w:rPr>
                <w:rFonts w:ascii="宋体" w:hAnsi="宋体" w:eastAsia="宋体" w:cs="宋体"/>
                <w:spacing w:val="-2"/>
                <w:sz w:val="21"/>
                <w:szCs w:val="21"/>
              </w:rPr>
              <w:t>相对高差</w:t>
            </w:r>
          </w:p>
        </w:tc>
        <w:tc>
          <w:tcPr>
            <w:tcW w:w="565" w:type="dxa"/>
            <w:vAlign w:val="top"/>
          </w:tcPr>
          <w:p w14:paraId="31FBC860">
            <w:pPr>
              <w:spacing w:before="68" w:line="220" w:lineRule="auto"/>
              <w:ind w:left="78"/>
              <w:rPr>
                <w:rFonts w:ascii="宋体" w:hAnsi="宋体" w:eastAsia="宋体" w:cs="宋体"/>
                <w:sz w:val="21"/>
                <w:szCs w:val="21"/>
              </w:rPr>
            </w:pPr>
            <w:r>
              <w:rPr>
                <w:rFonts w:ascii="宋体" w:hAnsi="宋体" w:eastAsia="宋体" w:cs="宋体"/>
                <w:spacing w:val="-3"/>
                <w:sz w:val="21"/>
                <w:szCs w:val="21"/>
              </w:rPr>
              <w:t>规模</w:t>
            </w:r>
          </w:p>
        </w:tc>
        <w:tc>
          <w:tcPr>
            <w:tcW w:w="1705" w:type="dxa"/>
            <w:vAlign w:val="top"/>
          </w:tcPr>
          <w:p w14:paraId="1BC4B836">
            <w:pPr>
              <w:spacing w:before="69" w:line="220" w:lineRule="auto"/>
              <w:ind w:left="438"/>
              <w:rPr>
                <w:rFonts w:ascii="宋体" w:hAnsi="宋体" w:eastAsia="宋体" w:cs="宋体"/>
                <w:sz w:val="21"/>
                <w:szCs w:val="21"/>
              </w:rPr>
            </w:pPr>
            <w:r>
              <w:rPr>
                <w:rFonts w:ascii="宋体" w:hAnsi="宋体" w:eastAsia="宋体" w:cs="宋体"/>
                <w:spacing w:val="-2"/>
                <w:sz w:val="21"/>
                <w:szCs w:val="21"/>
              </w:rPr>
              <w:t>环境功能</w:t>
            </w:r>
          </w:p>
        </w:tc>
        <w:tc>
          <w:tcPr>
            <w:tcW w:w="1645" w:type="dxa"/>
            <w:vAlign w:val="top"/>
          </w:tcPr>
          <w:p w14:paraId="2EBC97CE">
            <w:pPr>
              <w:spacing w:before="69" w:line="220" w:lineRule="auto"/>
              <w:ind w:left="409"/>
              <w:rPr>
                <w:rFonts w:ascii="宋体" w:hAnsi="宋体" w:eastAsia="宋体" w:cs="宋体"/>
                <w:sz w:val="21"/>
                <w:szCs w:val="21"/>
              </w:rPr>
            </w:pPr>
            <w:r>
              <w:rPr>
                <w:rFonts w:ascii="宋体" w:hAnsi="宋体" w:eastAsia="宋体" w:cs="宋体"/>
                <w:spacing w:val="-2"/>
                <w:sz w:val="21"/>
                <w:szCs w:val="21"/>
              </w:rPr>
              <w:t>保护级别</w:t>
            </w:r>
          </w:p>
        </w:tc>
      </w:tr>
      <w:tr w14:paraId="3E698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63" w:type="dxa"/>
            <w:vMerge w:val="restart"/>
            <w:tcBorders>
              <w:bottom w:val="nil"/>
            </w:tcBorders>
            <w:vAlign w:val="top"/>
          </w:tcPr>
          <w:p w14:paraId="612BEC6F">
            <w:pPr>
              <w:spacing w:before="257" w:line="277" w:lineRule="auto"/>
              <w:ind w:left="225" w:right="114" w:hanging="104"/>
              <w:rPr>
                <w:rFonts w:ascii="宋体" w:hAnsi="宋体" w:eastAsia="宋体" w:cs="宋体"/>
                <w:sz w:val="21"/>
                <w:szCs w:val="21"/>
              </w:rPr>
            </w:pPr>
            <w:r>
              <w:rPr>
                <w:rFonts w:ascii="宋体" w:hAnsi="宋体" w:eastAsia="宋体" w:cs="宋体"/>
                <w:spacing w:val="-3"/>
                <w:sz w:val="21"/>
                <w:szCs w:val="21"/>
              </w:rPr>
              <w:t>地表水环境</w:t>
            </w:r>
          </w:p>
        </w:tc>
        <w:tc>
          <w:tcPr>
            <w:tcW w:w="996" w:type="dxa"/>
            <w:vAlign w:val="top"/>
          </w:tcPr>
          <w:p w14:paraId="3FE5F1D8">
            <w:pPr>
              <w:spacing w:before="65" w:line="220" w:lineRule="auto"/>
              <w:ind w:left="84"/>
              <w:rPr>
                <w:rFonts w:ascii="宋体" w:hAnsi="宋体" w:eastAsia="宋体" w:cs="宋体"/>
                <w:sz w:val="21"/>
                <w:szCs w:val="21"/>
              </w:rPr>
            </w:pPr>
            <w:r>
              <w:rPr>
                <w:rFonts w:ascii="宋体" w:hAnsi="宋体" w:eastAsia="宋体" w:cs="宋体"/>
                <w:spacing w:val="-3"/>
                <w:sz w:val="21"/>
                <w:szCs w:val="21"/>
              </w:rPr>
              <w:t>大清流河</w:t>
            </w:r>
          </w:p>
        </w:tc>
        <w:tc>
          <w:tcPr>
            <w:tcW w:w="564" w:type="dxa"/>
            <w:vAlign w:val="top"/>
          </w:tcPr>
          <w:p w14:paraId="3F722D7E">
            <w:pPr>
              <w:pStyle w:val="6"/>
              <w:spacing w:before="104" w:line="185" w:lineRule="auto"/>
              <w:ind w:left="137"/>
            </w:pPr>
            <w:r>
              <w:rPr>
                <w:spacing w:val="1"/>
              </w:rPr>
              <w:t>NE</w:t>
            </w:r>
          </w:p>
        </w:tc>
        <w:tc>
          <w:tcPr>
            <w:tcW w:w="991" w:type="dxa"/>
            <w:vAlign w:val="top"/>
          </w:tcPr>
          <w:p w14:paraId="0ACB9C1E">
            <w:pPr>
              <w:pStyle w:val="6"/>
              <w:spacing w:before="101" w:line="188" w:lineRule="auto"/>
              <w:ind w:left="226"/>
            </w:pPr>
            <w:r>
              <w:rPr>
                <w:spacing w:val="-5"/>
              </w:rPr>
              <w:t>1040m</w:t>
            </w:r>
          </w:p>
        </w:tc>
        <w:tc>
          <w:tcPr>
            <w:tcW w:w="991" w:type="dxa"/>
            <w:vAlign w:val="top"/>
          </w:tcPr>
          <w:p w14:paraId="691077FA">
            <w:pPr>
              <w:pStyle w:val="6"/>
              <w:spacing w:before="101" w:line="188" w:lineRule="auto"/>
              <w:ind w:left="279"/>
            </w:pPr>
            <w:r>
              <w:rPr>
                <w:spacing w:val="-2"/>
              </w:rPr>
              <w:t>-20m</w:t>
            </w:r>
          </w:p>
        </w:tc>
        <w:tc>
          <w:tcPr>
            <w:tcW w:w="565" w:type="dxa"/>
            <w:vAlign w:val="top"/>
          </w:tcPr>
          <w:p w14:paraId="6D8C3BA2">
            <w:pPr>
              <w:spacing w:before="65" w:line="222" w:lineRule="auto"/>
              <w:ind w:left="83"/>
              <w:rPr>
                <w:rFonts w:ascii="宋体" w:hAnsi="宋体" w:eastAsia="宋体" w:cs="宋体"/>
                <w:sz w:val="21"/>
                <w:szCs w:val="21"/>
              </w:rPr>
            </w:pPr>
            <w:r>
              <w:rPr>
                <w:rFonts w:ascii="宋体" w:hAnsi="宋体" w:eastAsia="宋体" w:cs="宋体"/>
                <w:spacing w:val="-4"/>
                <w:sz w:val="21"/>
                <w:szCs w:val="21"/>
              </w:rPr>
              <w:t>小河</w:t>
            </w:r>
          </w:p>
        </w:tc>
        <w:tc>
          <w:tcPr>
            <w:tcW w:w="1705" w:type="dxa"/>
            <w:vAlign w:val="top"/>
          </w:tcPr>
          <w:p w14:paraId="083B4F35">
            <w:pPr>
              <w:spacing w:before="64" w:line="220" w:lineRule="auto"/>
              <w:ind w:left="17"/>
              <w:rPr>
                <w:rFonts w:ascii="宋体" w:hAnsi="宋体" w:eastAsia="宋体" w:cs="宋体"/>
                <w:sz w:val="21"/>
                <w:szCs w:val="21"/>
              </w:rPr>
            </w:pPr>
            <w:r>
              <w:rPr>
                <w:rFonts w:ascii="宋体" w:hAnsi="宋体" w:eastAsia="宋体" w:cs="宋体"/>
                <w:spacing w:val="-1"/>
                <w:sz w:val="21"/>
                <w:szCs w:val="21"/>
              </w:rPr>
              <w:t>饮用水源灌溉行洪</w:t>
            </w:r>
          </w:p>
        </w:tc>
        <w:tc>
          <w:tcPr>
            <w:tcW w:w="1645" w:type="dxa"/>
            <w:vMerge w:val="restart"/>
            <w:tcBorders>
              <w:bottom w:val="nil"/>
            </w:tcBorders>
            <w:vAlign w:val="top"/>
          </w:tcPr>
          <w:p w14:paraId="321A0325">
            <w:pPr>
              <w:pStyle w:val="6"/>
              <w:spacing w:before="259" w:line="276" w:lineRule="auto"/>
              <w:ind w:left="616" w:right="22" w:hanging="594"/>
              <w:rPr>
                <w:rFonts w:ascii="宋体" w:hAnsi="宋体" w:eastAsia="宋体" w:cs="宋体"/>
              </w:rPr>
            </w:pPr>
            <w:r>
              <w:rPr>
                <w:rFonts w:ascii="宋体" w:hAnsi="宋体" w:eastAsia="宋体" w:cs="宋体"/>
                <w:spacing w:val="-3"/>
              </w:rPr>
              <w:t>（</w:t>
            </w:r>
            <w:r>
              <w:rPr>
                <w:spacing w:val="-3"/>
              </w:rPr>
              <w:t>GB3838-2002</w:t>
            </w:r>
            <w:r>
              <w:rPr>
                <w:rFonts w:ascii="宋体" w:hAnsi="宋体" w:eastAsia="宋体" w:cs="宋体"/>
                <w:spacing w:val="-3"/>
              </w:rPr>
              <w:t>）</w:t>
            </w:r>
            <w:r>
              <w:rPr>
                <w:rFonts w:ascii="宋体" w:hAnsi="宋体" w:eastAsia="宋体" w:cs="宋体"/>
                <w:spacing w:val="11"/>
              </w:rPr>
              <w:t xml:space="preserve"> </w:t>
            </w:r>
            <w:r>
              <w:rPr>
                <w:rFonts w:ascii="宋体" w:hAnsi="宋体" w:eastAsia="宋体" w:cs="宋体"/>
                <w:spacing w:val="-2"/>
              </w:rPr>
              <w:t>Ⅲ类</w:t>
            </w:r>
          </w:p>
        </w:tc>
      </w:tr>
      <w:tr w14:paraId="26E88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63" w:type="dxa"/>
            <w:vMerge w:val="continue"/>
            <w:tcBorders>
              <w:top w:val="nil"/>
              <w:bottom w:val="nil"/>
            </w:tcBorders>
            <w:vAlign w:val="top"/>
          </w:tcPr>
          <w:p w14:paraId="068118DB">
            <w:pPr>
              <w:rPr>
                <w:rFonts w:ascii="Arial"/>
                <w:sz w:val="21"/>
              </w:rPr>
            </w:pPr>
          </w:p>
        </w:tc>
        <w:tc>
          <w:tcPr>
            <w:tcW w:w="996" w:type="dxa"/>
            <w:vAlign w:val="top"/>
          </w:tcPr>
          <w:p w14:paraId="6ACF4BAB">
            <w:pPr>
              <w:spacing w:before="66" w:line="220" w:lineRule="auto"/>
              <w:ind w:left="215"/>
              <w:rPr>
                <w:rFonts w:ascii="宋体" w:hAnsi="宋体" w:eastAsia="宋体" w:cs="宋体"/>
                <w:sz w:val="21"/>
                <w:szCs w:val="21"/>
              </w:rPr>
            </w:pPr>
            <w:r>
              <w:rPr>
                <w:rFonts w:ascii="宋体" w:hAnsi="宋体" w:eastAsia="宋体" w:cs="宋体"/>
                <w:spacing w:val="-10"/>
                <w:sz w:val="21"/>
                <w:szCs w:val="21"/>
              </w:rPr>
              <w:t>五桂溪</w:t>
            </w:r>
          </w:p>
        </w:tc>
        <w:tc>
          <w:tcPr>
            <w:tcW w:w="564" w:type="dxa"/>
            <w:vAlign w:val="top"/>
          </w:tcPr>
          <w:p w14:paraId="16A76003">
            <w:pPr>
              <w:pStyle w:val="6"/>
              <w:spacing w:before="106" w:line="185" w:lineRule="auto"/>
              <w:ind w:left="201"/>
            </w:pPr>
            <w:r>
              <w:rPr>
                <w:spacing w:val="2"/>
              </w:rPr>
              <w:t>N</w:t>
            </w:r>
          </w:p>
        </w:tc>
        <w:tc>
          <w:tcPr>
            <w:tcW w:w="991" w:type="dxa"/>
            <w:vAlign w:val="top"/>
          </w:tcPr>
          <w:p w14:paraId="56355E59">
            <w:pPr>
              <w:pStyle w:val="6"/>
              <w:spacing w:before="103" w:line="188" w:lineRule="auto"/>
              <w:ind w:left="261"/>
            </w:pPr>
            <w:r>
              <w:rPr>
                <w:spacing w:val="-2"/>
              </w:rPr>
              <w:t>736m</w:t>
            </w:r>
          </w:p>
        </w:tc>
        <w:tc>
          <w:tcPr>
            <w:tcW w:w="991" w:type="dxa"/>
            <w:vAlign w:val="top"/>
          </w:tcPr>
          <w:p w14:paraId="289B67C5">
            <w:pPr>
              <w:pStyle w:val="6"/>
              <w:spacing w:before="103" w:line="188" w:lineRule="auto"/>
              <w:ind w:left="279"/>
            </w:pPr>
            <w:r>
              <w:rPr>
                <w:spacing w:val="-2"/>
              </w:rPr>
              <w:t>-18m</w:t>
            </w:r>
          </w:p>
        </w:tc>
        <w:tc>
          <w:tcPr>
            <w:tcW w:w="565" w:type="dxa"/>
            <w:vAlign w:val="top"/>
          </w:tcPr>
          <w:p w14:paraId="1AE65396">
            <w:pPr>
              <w:spacing w:before="66" w:line="222" w:lineRule="auto"/>
              <w:ind w:left="83"/>
              <w:rPr>
                <w:rFonts w:ascii="宋体" w:hAnsi="宋体" w:eastAsia="宋体" w:cs="宋体"/>
                <w:sz w:val="21"/>
                <w:szCs w:val="21"/>
              </w:rPr>
            </w:pPr>
            <w:r>
              <w:rPr>
                <w:rFonts w:ascii="宋体" w:hAnsi="宋体" w:eastAsia="宋体" w:cs="宋体"/>
                <w:spacing w:val="-4"/>
                <w:sz w:val="21"/>
                <w:szCs w:val="21"/>
              </w:rPr>
              <w:t>小河</w:t>
            </w:r>
          </w:p>
        </w:tc>
        <w:tc>
          <w:tcPr>
            <w:tcW w:w="1705" w:type="dxa"/>
            <w:vAlign w:val="top"/>
          </w:tcPr>
          <w:p w14:paraId="5635C787">
            <w:pPr>
              <w:spacing w:before="66" w:line="220" w:lineRule="auto"/>
              <w:ind w:left="440"/>
              <w:rPr>
                <w:rFonts w:ascii="宋体" w:hAnsi="宋体" w:eastAsia="宋体" w:cs="宋体"/>
                <w:sz w:val="21"/>
                <w:szCs w:val="21"/>
              </w:rPr>
            </w:pPr>
            <w:r>
              <w:rPr>
                <w:rFonts w:ascii="宋体" w:hAnsi="宋体" w:eastAsia="宋体" w:cs="宋体"/>
                <w:spacing w:val="-3"/>
                <w:sz w:val="21"/>
                <w:szCs w:val="21"/>
              </w:rPr>
              <w:t>灌溉行洪</w:t>
            </w:r>
          </w:p>
        </w:tc>
        <w:tc>
          <w:tcPr>
            <w:tcW w:w="1645" w:type="dxa"/>
            <w:vMerge w:val="continue"/>
            <w:tcBorders>
              <w:top w:val="nil"/>
              <w:bottom w:val="nil"/>
            </w:tcBorders>
            <w:vAlign w:val="top"/>
          </w:tcPr>
          <w:p w14:paraId="1B732F27">
            <w:pPr>
              <w:rPr>
                <w:rFonts w:ascii="Arial"/>
                <w:sz w:val="21"/>
              </w:rPr>
            </w:pPr>
          </w:p>
        </w:tc>
      </w:tr>
      <w:tr w14:paraId="53001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3" w:type="dxa"/>
            <w:vMerge w:val="continue"/>
            <w:tcBorders>
              <w:top w:val="nil"/>
            </w:tcBorders>
            <w:vAlign w:val="top"/>
          </w:tcPr>
          <w:p w14:paraId="0C40B579">
            <w:pPr>
              <w:rPr>
                <w:rFonts w:ascii="Arial"/>
                <w:sz w:val="21"/>
              </w:rPr>
            </w:pPr>
          </w:p>
        </w:tc>
        <w:tc>
          <w:tcPr>
            <w:tcW w:w="996" w:type="dxa"/>
            <w:vAlign w:val="top"/>
          </w:tcPr>
          <w:p w14:paraId="77780673">
            <w:pPr>
              <w:spacing w:before="68" w:line="220" w:lineRule="auto"/>
              <w:ind w:left="212"/>
              <w:rPr>
                <w:rFonts w:ascii="宋体" w:hAnsi="宋体" w:eastAsia="宋体" w:cs="宋体"/>
                <w:sz w:val="21"/>
                <w:szCs w:val="21"/>
              </w:rPr>
            </w:pPr>
            <w:r>
              <w:rPr>
                <w:rFonts w:ascii="宋体" w:hAnsi="宋体" w:eastAsia="宋体" w:cs="宋体"/>
                <w:spacing w:val="-9"/>
                <w:sz w:val="21"/>
                <w:szCs w:val="21"/>
              </w:rPr>
              <w:t>石核河</w:t>
            </w:r>
          </w:p>
        </w:tc>
        <w:tc>
          <w:tcPr>
            <w:tcW w:w="564" w:type="dxa"/>
            <w:vAlign w:val="top"/>
          </w:tcPr>
          <w:p w14:paraId="346D8981">
            <w:pPr>
              <w:pStyle w:val="6"/>
              <w:spacing w:before="104" w:line="188" w:lineRule="auto"/>
              <w:ind w:left="234"/>
            </w:pPr>
            <w:r>
              <w:t>S</w:t>
            </w:r>
          </w:p>
        </w:tc>
        <w:tc>
          <w:tcPr>
            <w:tcW w:w="991" w:type="dxa"/>
            <w:vAlign w:val="top"/>
          </w:tcPr>
          <w:p w14:paraId="445CFB49">
            <w:pPr>
              <w:pStyle w:val="6"/>
              <w:spacing w:before="104" w:line="188" w:lineRule="auto"/>
              <w:ind w:left="258"/>
            </w:pPr>
            <w:r>
              <w:rPr>
                <w:spacing w:val="-1"/>
              </w:rPr>
              <w:t>228m</w:t>
            </w:r>
          </w:p>
        </w:tc>
        <w:tc>
          <w:tcPr>
            <w:tcW w:w="991" w:type="dxa"/>
            <w:vAlign w:val="top"/>
          </w:tcPr>
          <w:p w14:paraId="0E7D7808">
            <w:pPr>
              <w:pStyle w:val="6"/>
              <w:spacing w:before="104" w:line="188" w:lineRule="auto"/>
              <w:ind w:left="279"/>
            </w:pPr>
            <w:r>
              <w:rPr>
                <w:spacing w:val="-2"/>
              </w:rPr>
              <w:t>-11m</w:t>
            </w:r>
          </w:p>
        </w:tc>
        <w:tc>
          <w:tcPr>
            <w:tcW w:w="565" w:type="dxa"/>
            <w:vAlign w:val="top"/>
          </w:tcPr>
          <w:p w14:paraId="475555ED">
            <w:pPr>
              <w:spacing w:before="67" w:line="222" w:lineRule="auto"/>
              <w:ind w:left="83"/>
              <w:rPr>
                <w:rFonts w:ascii="宋体" w:hAnsi="宋体" w:eastAsia="宋体" w:cs="宋体"/>
                <w:sz w:val="21"/>
                <w:szCs w:val="21"/>
              </w:rPr>
            </w:pPr>
            <w:r>
              <w:rPr>
                <w:rFonts w:ascii="宋体" w:hAnsi="宋体" w:eastAsia="宋体" w:cs="宋体"/>
                <w:spacing w:val="-4"/>
                <w:sz w:val="21"/>
                <w:szCs w:val="21"/>
              </w:rPr>
              <w:t>小河</w:t>
            </w:r>
          </w:p>
        </w:tc>
        <w:tc>
          <w:tcPr>
            <w:tcW w:w="1705" w:type="dxa"/>
            <w:vAlign w:val="top"/>
          </w:tcPr>
          <w:p w14:paraId="41012A9F">
            <w:pPr>
              <w:spacing w:before="67" w:line="220" w:lineRule="auto"/>
              <w:ind w:left="440"/>
              <w:rPr>
                <w:rFonts w:ascii="宋体" w:hAnsi="宋体" w:eastAsia="宋体" w:cs="宋体"/>
                <w:sz w:val="21"/>
                <w:szCs w:val="21"/>
              </w:rPr>
            </w:pPr>
            <w:r>
              <w:rPr>
                <w:rFonts w:ascii="宋体" w:hAnsi="宋体" w:eastAsia="宋体" w:cs="宋体"/>
                <w:spacing w:val="-3"/>
                <w:sz w:val="21"/>
                <w:szCs w:val="21"/>
              </w:rPr>
              <w:t>灌溉行洪</w:t>
            </w:r>
          </w:p>
        </w:tc>
        <w:tc>
          <w:tcPr>
            <w:tcW w:w="1645" w:type="dxa"/>
            <w:vMerge w:val="continue"/>
            <w:tcBorders>
              <w:top w:val="nil"/>
            </w:tcBorders>
            <w:vAlign w:val="top"/>
          </w:tcPr>
          <w:p w14:paraId="664CB9C2">
            <w:pPr>
              <w:rPr>
                <w:rFonts w:ascii="Arial"/>
                <w:sz w:val="21"/>
              </w:rPr>
            </w:pPr>
          </w:p>
        </w:tc>
      </w:tr>
    </w:tbl>
    <w:p w14:paraId="1937143F">
      <w:pPr>
        <w:spacing w:before="234"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）石子镇太和村饮用水水源保护区介绍</w:t>
      </w:r>
    </w:p>
    <w:p w14:paraId="430CBA03">
      <w:pPr>
        <w:spacing w:before="182" w:line="360" w:lineRule="auto"/>
        <w:ind w:left="38" w:firstLine="480"/>
        <w:jc w:val="both"/>
        <w:rPr>
          <w:rFonts w:ascii="宋体" w:hAnsi="宋体" w:eastAsia="宋体" w:cs="宋体"/>
          <w:sz w:val="24"/>
          <w:szCs w:val="24"/>
        </w:rPr>
      </w:pPr>
      <w:r>
        <w:rPr>
          <w:rFonts w:ascii="宋体" w:hAnsi="宋体" w:eastAsia="宋体" w:cs="宋体"/>
          <w:spacing w:val="-1"/>
          <w:sz w:val="24"/>
          <w:szCs w:val="24"/>
        </w:rPr>
        <w:t>根据现场踏勘及结合内江市东兴区乡镇集中式饮用水水源保护区调整报告，</w:t>
      </w:r>
      <w:r>
        <w:rPr>
          <w:rFonts w:ascii="宋体" w:hAnsi="宋体" w:eastAsia="宋体" w:cs="宋体"/>
          <w:spacing w:val="-3"/>
          <w:sz w:val="24"/>
          <w:szCs w:val="24"/>
        </w:rPr>
        <w:t>距本项目最近水源保护区为石子镇太和村饮用水水源保护区，取水点位于石子镇</w:t>
      </w:r>
      <w:r>
        <w:rPr>
          <w:rFonts w:ascii="宋体" w:hAnsi="宋体" w:eastAsia="宋体" w:cs="宋体"/>
          <w:spacing w:val="-8"/>
          <w:sz w:val="24"/>
          <w:szCs w:val="24"/>
        </w:rPr>
        <w:t>太和村双河口，地处大清流河右岸，岸边设置</w:t>
      </w:r>
      <w:r>
        <w:rPr>
          <w:rFonts w:ascii="Times New Roman" w:hAnsi="Times New Roman" w:eastAsia="Times New Roman" w:cs="Times New Roman"/>
          <w:spacing w:val="-8"/>
          <w:sz w:val="24"/>
          <w:szCs w:val="24"/>
        </w:rPr>
        <w:t>1</w:t>
      </w:r>
      <w:r>
        <w:rPr>
          <w:rFonts w:ascii="宋体" w:hAnsi="宋体" w:eastAsia="宋体" w:cs="宋体"/>
          <w:spacing w:val="-8"/>
          <w:sz w:val="24"/>
          <w:szCs w:val="24"/>
        </w:rPr>
        <w:t>座取水</w:t>
      </w:r>
      <w:r>
        <w:rPr>
          <w:rFonts w:ascii="宋体" w:hAnsi="宋体" w:eastAsia="宋体" w:cs="宋体"/>
          <w:spacing w:val="-9"/>
          <w:sz w:val="24"/>
          <w:szCs w:val="24"/>
        </w:rPr>
        <w:t>泵房，设计取水量</w:t>
      </w:r>
      <w:r>
        <w:rPr>
          <w:rFonts w:ascii="Times New Roman" w:hAnsi="Times New Roman" w:eastAsia="Times New Roman" w:cs="Times New Roman"/>
          <w:spacing w:val="-9"/>
          <w:sz w:val="24"/>
          <w:szCs w:val="24"/>
        </w:rPr>
        <w:t>4000m</w:t>
      </w:r>
      <w:r>
        <w:rPr>
          <w:rFonts w:ascii="Times New Roman" w:hAnsi="Times New Roman" w:eastAsia="Times New Roman" w:cs="Times New Roman"/>
          <w:spacing w:val="-9"/>
          <w:position w:val="10"/>
          <w:sz w:val="15"/>
          <w:szCs w:val="15"/>
        </w:rPr>
        <w:t>3</w:t>
      </w:r>
      <w:r>
        <w:rPr>
          <w:rFonts w:ascii="Times New Roman" w:hAnsi="Times New Roman" w:eastAsia="Times New Roman" w:cs="Times New Roman"/>
          <w:spacing w:val="-9"/>
          <w:sz w:val="24"/>
          <w:szCs w:val="24"/>
        </w:rPr>
        <w:t>/d</w:t>
      </w:r>
      <w:r>
        <w:rPr>
          <w:rFonts w:ascii="宋体" w:hAnsi="宋体" w:eastAsia="宋体" w:cs="宋体"/>
          <w:spacing w:val="-9"/>
          <w:sz w:val="24"/>
          <w:szCs w:val="24"/>
        </w:rPr>
        <w:t>。</w:t>
      </w:r>
      <w:r>
        <w:rPr>
          <w:rFonts w:ascii="宋体" w:hAnsi="宋体" w:eastAsia="宋体" w:cs="宋体"/>
          <w:spacing w:val="-3"/>
          <w:sz w:val="24"/>
          <w:szCs w:val="24"/>
        </w:rPr>
        <w:t>原水经管道输送至白石联合集中供水站，服务范围为白合镇、石子镇居民生活用</w:t>
      </w:r>
      <w:r>
        <w:rPr>
          <w:rFonts w:ascii="宋体" w:hAnsi="宋体" w:eastAsia="宋体" w:cs="宋体"/>
          <w:spacing w:val="-11"/>
          <w:sz w:val="24"/>
          <w:szCs w:val="24"/>
        </w:rPr>
        <w:t>水。</w:t>
      </w:r>
    </w:p>
    <w:p w14:paraId="3F925CCC">
      <w:pPr>
        <w:spacing w:before="2" w:line="217" w:lineRule="auto"/>
        <w:ind w:left="520"/>
        <w:rPr>
          <w:rFonts w:ascii="宋体" w:hAnsi="宋体" w:eastAsia="宋体" w:cs="宋体"/>
          <w:sz w:val="24"/>
          <w:szCs w:val="24"/>
        </w:rPr>
      </w:pPr>
      <w:r>
        <w:rPr>
          <w:rFonts w:ascii="宋体" w:hAnsi="宋体" w:eastAsia="宋体" w:cs="宋体"/>
          <w:b/>
          <w:bCs/>
          <w:spacing w:val="-3"/>
          <w:sz w:val="24"/>
          <w:szCs w:val="24"/>
        </w:rPr>
        <w:t>①饮用水水源保护区划</w:t>
      </w:r>
    </w:p>
    <w:p w14:paraId="131E780B">
      <w:pPr>
        <w:spacing w:line="217" w:lineRule="auto"/>
        <w:rPr>
          <w:rFonts w:ascii="宋体" w:hAnsi="宋体" w:eastAsia="宋体" w:cs="宋体"/>
          <w:sz w:val="24"/>
          <w:szCs w:val="24"/>
        </w:rPr>
        <w:sectPr>
          <w:headerReference r:id="rId247" w:type="default"/>
          <w:footerReference r:id="rId248" w:type="default"/>
          <w:pgSz w:w="11905" w:h="16840"/>
          <w:pgMar w:top="1168" w:right="1711" w:bottom="1409" w:left="1770" w:header="828" w:footer="1244" w:gutter="0"/>
          <w:cols w:space="720" w:num="1"/>
        </w:sectPr>
      </w:pPr>
    </w:p>
    <w:p w14:paraId="570E026F">
      <w:pPr>
        <w:pStyle w:val="2"/>
        <w:spacing w:line="304" w:lineRule="auto"/>
      </w:pPr>
    </w:p>
    <w:p w14:paraId="4EEA4A0F">
      <w:pPr>
        <w:spacing w:before="78" w:line="352" w:lineRule="auto"/>
        <w:ind w:left="39" w:right="28" w:firstLine="480"/>
        <w:jc w:val="both"/>
        <w:rPr>
          <w:rFonts w:ascii="宋体" w:hAnsi="宋体" w:eastAsia="宋体" w:cs="宋体"/>
          <w:sz w:val="24"/>
          <w:szCs w:val="24"/>
        </w:rPr>
      </w:pPr>
      <w:r>
        <w:rPr>
          <w:rFonts w:ascii="宋体" w:hAnsi="宋体" w:eastAsia="宋体" w:cs="宋体"/>
          <w:sz w:val="24"/>
          <w:szCs w:val="24"/>
        </w:rPr>
        <w:t>根据《内江市人民政府关于同意调整划定东兴区小河口镇等</w:t>
      </w:r>
      <w:r>
        <w:rPr>
          <w:rFonts w:ascii="Times New Roman" w:hAnsi="Times New Roman" w:eastAsia="Times New Roman" w:cs="Times New Roman"/>
          <w:sz w:val="24"/>
          <w:szCs w:val="24"/>
        </w:rPr>
        <w:t>9</w:t>
      </w:r>
      <w:r>
        <w:rPr>
          <w:rFonts w:ascii="宋体" w:hAnsi="宋体" w:eastAsia="宋体" w:cs="宋体"/>
          <w:sz w:val="24"/>
          <w:szCs w:val="24"/>
        </w:rPr>
        <w:t>个乡镇集中式</w:t>
      </w:r>
      <w:r>
        <w:rPr>
          <w:rFonts w:ascii="宋体" w:hAnsi="宋体" w:eastAsia="宋体" w:cs="宋体"/>
          <w:spacing w:val="2"/>
          <w:sz w:val="24"/>
          <w:szCs w:val="24"/>
        </w:rPr>
        <w:t>饮用水水源保护区的批复》（内府函</w:t>
      </w:r>
      <w:r>
        <w:rPr>
          <w:rFonts w:ascii="Times New Roman" w:hAnsi="Times New Roman" w:eastAsia="Times New Roman" w:cs="Times New Roman"/>
          <w:spacing w:val="2"/>
          <w:sz w:val="24"/>
          <w:szCs w:val="24"/>
        </w:rPr>
        <w:t>[</w:t>
      </w:r>
      <w:r>
        <w:fldChar w:fldCharType="begin"/>
      </w:r>
      <w:r>
        <w:instrText xml:space="preserve"> HYPERLINK \l "bookmark159" </w:instrText>
      </w:r>
      <w:r>
        <w:fldChar w:fldCharType="separate"/>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121</w:t>
      </w:r>
      <w:r>
        <w:rPr>
          <w:rFonts w:ascii="宋体" w:hAnsi="宋体" w:eastAsia="宋体" w:cs="宋体"/>
          <w:spacing w:val="1"/>
          <w:sz w:val="24"/>
          <w:szCs w:val="24"/>
        </w:rPr>
        <w:t>号</w:t>
      </w:r>
      <w:r>
        <w:rPr>
          <w:rFonts w:ascii="宋体" w:hAnsi="宋体" w:eastAsia="宋体" w:cs="宋体"/>
          <w:spacing w:val="3"/>
          <w:sz w:val="24"/>
          <w:szCs w:val="24"/>
        </w:rPr>
        <w:t>），</w:t>
      </w:r>
      <w:r>
        <w:rPr>
          <w:rFonts w:ascii="宋体" w:hAnsi="宋体" w:eastAsia="宋体" w:cs="宋体"/>
          <w:spacing w:val="1"/>
          <w:sz w:val="24"/>
          <w:szCs w:val="24"/>
        </w:rPr>
        <w:t>石子镇太和村饮用水水源</w:t>
      </w:r>
      <w:r>
        <w:rPr>
          <w:rFonts w:ascii="宋体" w:hAnsi="宋体" w:eastAsia="宋体" w:cs="宋体"/>
          <w:spacing w:val="-6"/>
          <w:sz w:val="24"/>
          <w:szCs w:val="24"/>
        </w:rPr>
        <w:t>保护区设置一级、二级保护区， 不设置准保护区，水源保护区</w:t>
      </w:r>
      <w:r>
        <w:rPr>
          <w:rFonts w:ascii="宋体" w:hAnsi="宋体" w:eastAsia="宋体" w:cs="宋体"/>
          <w:spacing w:val="-7"/>
          <w:sz w:val="24"/>
          <w:szCs w:val="24"/>
        </w:rPr>
        <w:t>定界见下表及附图</w:t>
      </w:r>
      <w:r>
        <w:rPr>
          <w:rFonts w:ascii="Times New Roman" w:hAnsi="Times New Roman" w:eastAsia="Times New Roman" w:cs="Times New Roman"/>
          <w:spacing w:val="-5"/>
          <w:sz w:val="24"/>
          <w:szCs w:val="24"/>
        </w:rPr>
        <w:t>5</w:t>
      </w:r>
      <w:r>
        <w:rPr>
          <w:rFonts w:ascii="宋体" w:hAnsi="宋体" w:eastAsia="宋体" w:cs="宋体"/>
          <w:spacing w:val="-5"/>
          <w:sz w:val="24"/>
          <w:szCs w:val="24"/>
        </w:rPr>
        <w:t>。</w:t>
      </w:r>
    </w:p>
    <w:p w14:paraId="4892F843">
      <w:pPr>
        <w:spacing w:before="57" w:line="221" w:lineRule="auto"/>
        <w:ind w:left="213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3.2-3  </w:t>
      </w:r>
      <w:r>
        <w:rPr>
          <w:rFonts w:ascii="黑体" w:hAnsi="黑体" w:eastAsia="黑体" w:cs="黑体"/>
          <w:spacing w:val="-1"/>
          <w:sz w:val="21"/>
          <w:szCs w:val="21"/>
        </w:rPr>
        <w:t>石子镇太和村饮用水水源保护区定界</w:t>
      </w:r>
    </w:p>
    <w:p w14:paraId="5D77D12B">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
        <w:gridCol w:w="1301"/>
        <w:gridCol w:w="414"/>
        <w:gridCol w:w="2835"/>
        <w:gridCol w:w="709"/>
        <w:gridCol w:w="1419"/>
        <w:gridCol w:w="1225"/>
      </w:tblGrid>
      <w:tr w14:paraId="1012F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17" w:type="dxa"/>
            <w:vMerge w:val="restart"/>
            <w:tcBorders>
              <w:bottom w:val="nil"/>
            </w:tcBorders>
            <w:textDirection w:val="tbRlV"/>
            <w:vAlign w:val="top"/>
          </w:tcPr>
          <w:p w14:paraId="4C5D4EC2">
            <w:pPr>
              <w:spacing w:before="101" w:line="207" w:lineRule="auto"/>
              <w:ind w:left="54"/>
              <w:rPr>
                <w:rFonts w:ascii="宋体" w:hAnsi="宋体" w:eastAsia="宋体" w:cs="宋体"/>
                <w:sz w:val="21"/>
                <w:szCs w:val="21"/>
              </w:rPr>
            </w:pPr>
            <w:r>
              <w:rPr>
                <w:rFonts w:ascii="宋体" w:hAnsi="宋体" w:eastAsia="宋体" w:cs="宋体"/>
                <w:spacing w:val="-2"/>
                <w:sz w:val="21"/>
                <w:szCs w:val="21"/>
              </w:rPr>
              <w:t>供 水 站</w:t>
            </w:r>
          </w:p>
        </w:tc>
        <w:tc>
          <w:tcPr>
            <w:tcW w:w="1301" w:type="dxa"/>
            <w:vMerge w:val="restart"/>
            <w:tcBorders>
              <w:bottom w:val="nil"/>
            </w:tcBorders>
            <w:vAlign w:val="top"/>
          </w:tcPr>
          <w:p w14:paraId="517EFB93">
            <w:pPr>
              <w:spacing w:line="295" w:lineRule="auto"/>
              <w:rPr>
                <w:rFonts w:ascii="Arial"/>
                <w:sz w:val="21"/>
              </w:rPr>
            </w:pPr>
          </w:p>
          <w:p w14:paraId="7CC9B965">
            <w:pPr>
              <w:spacing w:before="69" w:line="220" w:lineRule="auto"/>
              <w:ind w:left="132"/>
              <w:rPr>
                <w:rFonts w:ascii="宋体" w:hAnsi="宋体" w:eastAsia="宋体" w:cs="宋体"/>
                <w:sz w:val="21"/>
                <w:szCs w:val="21"/>
              </w:rPr>
            </w:pPr>
            <w:r>
              <w:rPr>
                <w:rFonts w:ascii="宋体" w:hAnsi="宋体" w:eastAsia="宋体" w:cs="宋体"/>
                <w:spacing w:val="-2"/>
                <w:sz w:val="21"/>
                <w:szCs w:val="21"/>
              </w:rPr>
              <w:t>取水点位置</w:t>
            </w:r>
          </w:p>
        </w:tc>
        <w:tc>
          <w:tcPr>
            <w:tcW w:w="414" w:type="dxa"/>
            <w:vMerge w:val="restart"/>
            <w:tcBorders>
              <w:bottom w:val="nil"/>
            </w:tcBorders>
            <w:textDirection w:val="tbRlV"/>
            <w:vAlign w:val="top"/>
          </w:tcPr>
          <w:p w14:paraId="0726F45E">
            <w:pPr>
              <w:spacing w:before="100" w:line="206" w:lineRule="auto"/>
              <w:ind w:left="210"/>
              <w:rPr>
                <w:rFonts w:ascii="宋体" w:hAnsi="宋体" w:eastAsia="宋体" w:cs="宋体"/>
                <w:sz w:val="21"/>
                <w:szCs w:val="21"/>
              </w:rPr>
            </w:pPr>
            <w:r>
              <w:rPr>
                <w:rFonts w:ascii="宋体" w:hAnsi="宋体" w:eastAsia="宋体" w:cs="宋体"/>
                <w:spacing w:val="-2"/>
                <w:sz w:val="21"/>
                <w:szCs w:val="21"/>
              </w:rPr>
              <w:t>级 别</w:t>
            </w:r>
          </w:p>
        </w:tc>
        <w:tc>
          <w:tcPr>
            <w:tcW w:w="2835" w:type="dxa"/>
            <w:vMerge w:val="restart"/>
            <w:tcBorders>
              <w:bottom w:val="nil"/>
            </w:tcBorders>
            <w:vAlign w:val="top"/>
          </w:tcPr>
          <w:p w14:paraId="334FC95E">
            <w:pPr>
              <w:spacing w:line="296" w:lineRule="auto"/>
              <w:rPr>
                <w:rFonts w:ascii="Arial"/>
                <w:sz w:val="21"/>
              </w:rPr>
            </w:pPr>
          </w:p>
          <w:p w14:paraId="362E07EC">
            <w:pPr>
              <w:spacing w:before="69" w:line="220" w:lineRule="auto"/>
              <w:ind w:left="688"/>
              <w:rPr>
                <w:rFonts w:ascii="宋体" w:hAnsi="宋体" w:eastAsia="宋体" w:cs="宋体"/>
                <w:sz w:val="21"/>
                <w:szCs w:val="21"/>
              </w:rPr>
            </w:pPr>
            <w:r>
              <w:rPr>
                <w:rFonts w:ascii="宋体" w:hAnsi="宋体" w:eastAsia="宋体" w:cs="宋体"/>
                <w:spacing w:val="-2"/>
                <w:sz w:val="21"/>
                <w:szCs w:val="21"/>
              </w:rPr>
              <w:t>保护区划分情况</w:t>
            </w:r>
          </w:p>
        </w:tc>
        <w:tc>
          <w:tcPr>
            <w:tcW w:w="709" w:type="dxa"/>
            <w:vMerge w:val="restart"/>
            <w:tcBorders>
              <w:bottom w:val="nil"/>
            </w:tcBorders>
            <w:vAlign w:val="top"/>
          </w:tcPr>
          <w:p w14:paraId="19846D08">
            <w:pPr>
              <w:spacing w:before="209" w:line="277" w:lineRule="auto"/>
              <w:ind w:left="150" w:right="141" w:hanging="1"/>
              <w:rPr>
                <w:rFonts w:ascii="宋体" w:hAnsi="宋体" w:eastAsia="宋体" w:cs="宋体"/>
                <w:sz w:val="21"/>
                <w:szCs w:val="21"/>
              </w:rPr>
            </w:pPr>
            <w:r>
              <w:rPr>
                <w:rFonts w:ascii="宋体" w:hAnsi="宋体" w:eastAsia="宋体" w:cs="宋体"/>
                <w:spacing w:val="-4"/>
                <w:sz w:val="21"/>
                <w:szCs w:val="21"/>
              </w:rPr>
              <w:t>边界</w:t>
            </w:r>
            <w:r>
              <w:rPr>
                <w:rFonts w:ascii="宋体" w:hAnsi="宋体" w:eastAsia="宋体" w:cs="宋体"/>
                <w:spacing w:val="-5"/>
                <w:sz w:val="21"/>
                <w:szCs w:val="21"/>
              </w:rPr>
              <w:t>拐点</w:t>
            </w:r>
          </w:p>
        </w:tc>
        <w:tc>
          <w:tcPr>
            <w:tcW w:w="2644" w:type="dxa"/>
            <w:gridSpan w:val="2"/>
            <w:vAlign w:val="top"/>
          </w:tcPr>
          <w:p w14:paraId="71C8D5DF">
            <w:pPr>
              <w:spacing w:before="69" w:line="220" w:lineRule="auto"/>
              <w:ind w:left="905"/>
              <w:rPr>
                <w:rFonts w:ascii="宋体" w:hAnsi="宋体" w:eastAsia="宋体" w:cs="宋体"/>
                <w:sz w:val="21"/>
                <w:szCs w:val="21"/>
              </w:rPr>
            </w:pPr>
            <w:r>
              <w:rPr>
                <w:rFonts w:ascii="宋体" w:hAnsi="宋体" w:eastAsia="宋体" w:cs="宋体"/>
                <w:spacing w:val="-2"/>
                <w:sz w:val="21"/>
                <w:szCs w:val="21"/>
              </w:rPr>
              <w:t>对应坐标</w:t>
            </w:r>
          </w:p>
        </w:tc>
      </w:tr>
      <w:tr w14:paraId="2E5C8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417" w:type="dxa"/>
            <w:vMerge w:val="continue"/>
            <w:tcBorders>
              <w:top w:val="nil"/>
            </w:tcBorders>
            <w:textDirection w:val="tbRlV"/>
            <w:vAlign w:val="top"/>
          </w:tcPr>
          <w:p w14:paraId="34301E47">
            <w:pPr>
              <w:rPr>
                <w:rFonts w:ascii="Arial"/>
                <w:sz w:val="21"/>
              </w:rPr>
            </w:pPr>
          </w:p>
        </w:tc>
        <w:tc>
          <w:tcPr>
            <w:tcW w:w="1301" w:type="dxa"/>
            <w:vMerge w:val="continue"/>
            <w:tcBorders>
              <w:top w:val="nil"/>
            </w:tcBorders>
            <w:vAlign w:val="top"/>
          </w:tcPr>
          <w:p w14:paraId="74B9871A">
            <w:pPr>
              <w:rPr>
                <w:rFonts w:ascii="Arial"/>
                <w:sz w:val="21"/>
              </w:rPr>
            </w:pPr>
          </w:p>
        </w:tc>
        <w:tc>
          <w:tcPr>
            <w:tcW w:w="414" w:type="dxa"/>
            <w:vMerge w:val="continue"/>
            <w:tcBorders>
              <w:top w:val="nil"/>
            </w:tcBorders>
            <w:textDirection w:val="tbRlV"/>
            <w:vAlign w:val="top"/>
          </w:tcPr>
          <w:p w14:paraId="466E6A5B">
            <w:pPr>
              <w:rPr>
                <w:rFonts w:ascii="Arial"/>
                <w:sz w:val="21"/>
              </w:rPr>
            </w:pPr>
          </w:p>
        </w:tc>
        <w:tc>
          <w:tcPr>
            <w:tcW w:w="2835" w:type="dxa"/>
            <w:vMerge w:val="continue"/>
            <w:tcBorders>
              <w:top w:val="nil"/>
            </w:tcBorders>
            <w:vAlign w:val="top"/>
          </w:tcPr>
          <w:p w14:paraId="48896CDD">
            <w:pPr>
              <w:rPr>
                <w:rFonts w:ascii="Arial"/>
                <w:sz w:val="21"/>
              </w:rPr>
            </w:pPr>
          </w:p>
        </w:tc>
        <w:tc>
          <w:tcPr>
            <w:tcW w:w="709" w:type="dxa"/>
            <w:vMerge w:val="continue"/>
            <w:tcBorders>
              <w:top w:val="nil"/>
            </w:tcBorders>
            <w:vAlign w:val="top"/>
          </w:tcPr>
          <w:p w14:paraId="6FFB74DE">
            <w:pPr>
              <w:rPr>
                <w:rFonts w:ascii="Arial"/>
                <w:sz w:val="21"/>
              </w:rPr>
            </w:pPr>
          </w:p>
        </w:tc>
        <w:tc>
          <w:tcPr>
            <w:tcW w:w="1419" w:type="dxa"/>
            <w:vAlign w:val="top"/>
          </w:tcPr>
          <w:p w14:paraId="6D20BC06">
            <w:pPr>
              <w:pStyle w:val="6"/>
              <w:spacing w:before="187" w:line="220" w:lineRule="auto"/>
              <w:ind w:left="232"/>
              <w:rPr>
                <w:rFonts w:ascii="宋体" w:hAnsi="宋体" w:eastAsia="宋体" w:cs="宋体"/>
              </w:rPr>
            </w:pPr>
            <w:r>
              <w:rPr>
                <w:rFonts w:ascii="宋体" w:hAnsi="宋体" w:eastAsia="宋体" w:cs="宋体"/>
                <w:spacing w:val="-2"/>
              </w:rPr>
              <w:t>经度（</w:t>
            </w:r>
            <w:r>
              <w:rPr>
                <w:spacing w:val="-2"/>
              </w:rPr>
              <w:t>E</w:t>
            </w:r>
            <w:r>
              <w:rPr>
                <w:rFonts w:ascii="宋体" w:hAnsi="宋体" w:eastAsia="宋体" w:cs="宋体"/>
                <w:spacing w:val="-2"/>
              </w:rPr>
              <w:t>）</w:t>
            </w:r>
          </w:p>
        </w:tc>
        <w:tc>
          <w:tcPr>
            <w:tcW w:w="1225" w:type="dxa"/>
            <w:vAlign w:val="top"/>
          </w:tcPr>
          <w:p w14:paraId="7976414E">
            <w:pPr>
              <w:pStyle w:val="6"/>
              <w:spacing w:before="187" w:line="220" w:lineRule="auto"/>
              <w:ind w:left="123"/>
              <w:rPr>
                <w:rFonts w:ascii="宋体" w:hAnsi="宋体" w:eastAsia="宋体" w:cs="宋体"/>
              </w:rPr>
            </w:pPr>
            <w:r>
              <w:rPr>
                <w:rFonts w:ascii="宋体" w:hAnsi="宋体" w:eastAsia="宋体" w:cs="宋体"/>
                <w:spacing w:val="-2"/>
              </w:rPr>
              <w:t>纬度（</w:t>
            </w:r>
            <w:r>
              <w:rPr>
                <w:spacing w:val="-2"/>
              </w:rPr>
              <w:t>N</w:t>
            </w:r>
            <w:r>
              <w:rPr>
                <w:rFonts w:ascii="宋体" w:hAnsi="宋体" w:eastAsia="宋体" w:cs="宋体"/>
                <w:spacing w:val="-2"/>
              </w:rPr>
              <w:t>）</w:t>
            </w:r>
          </w:p>
        </w:tc>
      </w:tr>
      <w:tr w14:paraId="3E8E5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restart"/>
            <w:tcBorders>
              <w:bottom w:val="nil"/>
            </w:tcBorders>
            <w:textDirection w:val="tbRlV"/>
            <w:vAlign w:val="top"/>
          </w:tcPr>
          <w:p w14:paraId="5042499B">
            <w:pPr>
              <w:spacing w:before="100" w:line="199" w:lineRule="auto"/>
              <w:ind w:left="2396"/>
              <w:rPr>
                <w:rFonts w:ascii="宋体" w:hAnsi="宋体" w:eastAsia="宋体" w:cs="宋体"/>
                <w:sz w:val="21"/>
                <w:szCs w:val="21"/>
              </w:rPr>
            </w:pPr>
            <w:r>
              <w:rPr>
                <w:rFonts w:ascii="宋体" w:hAnsi="宋体" w:eastAsia="宋体" w:cs="宋体"/>
                <w:spacing w:val="-2"/>
                <w:position w:val="1"/>
                <w:sz w:val="21"/>
                <w:szCs w:val="21"/>
              </w:rPr>
              <w:t xml:space="preserve">白 </w:t>
            </w:r>
            <w:r>
              <w:rPr>
                <w:rFonts w:ascii="宋体" w:hAnsi="宋体" w:eastAsia="宋体" w:cs="宋体"/>
                <w:spacing w:val="-2"/>
                <w:sz w:val="21"/>
                <w:szCs w:val="21"/>
              </w:rPr>
              <w:t>石 联 合 集 中 供 水 站</w:t>
            </w:r>
          </w:p>
        </w:tc>
        <w:tc>
          <w:tcPr>
            <w:tcW w:w="1301" w:type="dxa"/>
            <w:vMerge w:val="restart"/>
            <w:tcBorders>
              <w:bottom w:val="nil"/>
            </w:tcBorders>
            <w:vAlign w:val="top"/>
          </w:tcPr>
          <w:p w14:paraId="2EFAD394">
            <w:pPr>
              <w:spacing w:line="244" w:lineRule="auto"/>
              <w:rPr>
                <w:rFonts w:ascii="Arial"/>
                <w:sz w:val="21"/>
              </w:rPr>
            </w:pPr>
          </w:p>
          <w:p w14:paraId="63A13351">
            <w:pPr>
              <w:spacing w:line="244" w:lineRule="auto"/>
              <w:rPr>
                <w:rFonts w:ascii="Arial"/>
                <w:sz w:val="21"/>
              </w:rPr>
            </w:pPr>
          </w:p>
          <w:p w14:paraId="7296179E">
            <w:pPr>
              <w:spacing w:line="244" w:lineRule="auto"/>
              <w:rPr>
                <w:rFonts w:ascii="Arial"/>
                <w:sz w:val="21"/>
              </w:rPr>
            </w:pPr>
          </w:p>
          <w:p w14:paraId="07FCEF03">
            <w:pPr>
              <w:spacing w:line="244" w:lineRule="auto"/>
              <w:rPr>
                <w:rFonts w:ascii="Arial"/>
                <w:sz w:val="21"/>
              </w:rPr>
            </w:pPr>
          </w:p>
          <w:p w14:paraId="6B9FF0A8">
            <w:pPr>
              <w:spacing w:line="244" w:lineRule="auto"/>
              <w:rPr>
                <w:rFonts w:ascii="Arial"/>
                <w:sz w:val="21"/>
              </w:rPr>
            </w:pPr>
          </w:p>
          <w:p w14:paraId="70223240">
            <w:pPr>
              <w:spacing w:line="244" w:lineRule="auto"/>
              <w:rPr>
                <w:rFonts w:ascii="Arial"/>
                <w:sz w:val="21"/>
              </w:rPr>
            </w:pPr>
          </w:p>
          <w:p w14:paraId="358EEA66">
            <w:pPr>
              <w:spacing w:line="244" w:lineRule="auto"/>
              <w:rPr>
                <w:rFonts w:ascii="Arial"/>
                <w:sz w:val="21"/>
              </w:rPr>
            </w:pPr>
          </w:p>
          <w:p w14:paraId="52D43C54">
            <w:pPr>
              <w:spacing w:line="245" w:lineRule="auto"/>
              <w:rPr>
                <w:rFonts w:ascii="Arial"/>
                <w:sz w:val="21"/>
              </w:rPr>
            </w:pPr>
          </w:p>
          <w:p w14:paraId="0BF84761">
            <w:pPr>
              <w:spacing w:line="245" w:lineRule="auto"/>
              <w:rPr>
                <w:rFonts w:ascii="Arial"/>
                <w:sz w:val="21"/>
              </w:rPr>
            </w:pPr>
          </w:p>
          <w:p w14:paraId="5EA66549">
            <w:pPr>
              <w:spacing w:line="245" w:lineRule="auto"/>
              <w:rPr>
                <w:rFonts w:ascii="Arial"/>
                <w:sz w:val="21"/>
              </w:rPr>
            </w:pPr>
          </w:p>
          <w:p w14:paraId="5E3AFD4D">
            <w:pPr>
              <w:spacing w:line="245" w:lineRule="auto"/>
              <w:rPr>
                <w:rFonts w:ascii="Arial"/>
                <w:sz w:val="21"/>
              </w:rPr>
            </w:pPr>
          </w:p>
          <w:p w14:paraId="688D7E33">
            <w:pPr>
              <w:spacing w:line="245" w:lineRule="auto"/>
              <w:rPr>
                <w:rFonts w:ascii="Arial"/>
                <w:sz w:val="21"/>
              </w:rPr>
            </w:pPr>
          </w:p>
          <w:p w14:paraId="46B4EB30">
            <w:pPr>
              <w:spacing w:before="68" w:line="219" w:lineRule="auto"/>
              <w:ind w:left="25"/>
              <w:rPr>
                <w:rFonts w:ascii="宋体" w:hAnsi="宋体" w:eastAsia="宋体" w:cs="宋体"/>
                <w:sz w:val="21"/>
                <w:szCs w:val="21"/>
              </w:rPr>
            </w:pPr>
            <w:r>
              <w:rPr>
                <w:rFonts w:ascii="宋体" w:hAnsi="宋体" w:eastAsia="宋体" w:cs="宋体"/>
                <w:spacing w:val="-2"/>
                <w:sz w:val="21"/>
                <w:szCs w:val="21"/>
              </w:rPr>
              <w:t>石子镇太和村</w:t>
            </w:r>
          </w:p>
          <w:p w14:paraId="7F73761F">
            <w:pPr>
              <w:spacing w:before="62" w:line="220" w:lineRule="auto"/>
              <w:ind w:left="347"/>
              <w:rPr>
                <w:rFonts w:ascii="宋体" w:hAnsi="宋体" w:eastAsia="宋体" w:cs="宋体"/>
                <w:sz w:val="21"/>
                <w:szCs w:val="21"/>
              </w:rPr>
            </w:pPr>
            <w:r>
              <w:rPr>
                <w:rFonts w:ascii="宋体" w:hAnsi="宋体" w:eastAsia="宋体" w:cs="宋体"/>
                <w:spacing w:val="-15"/>
                <w:sz w:val="21"/>
                <w:szCs w:val="21"/>
              </w:rPr>
              <w:t>东经：</w:t>
            </w:r>
          </w:p>
          <w:p w14:paraId="5FC79331">
            <w:pPr>
              <w:pStyle w:val="6"/>
              <w:spacing w:before="98" w:line="188" w:lineRule="auto"/>
              <w:ind w:left="68"/>
            </w:pPr>
            <w:r>
              <w:rPr>
                <w:spacing w:val="-2"/>
              </w:rPr>
              <w:t>105°21'25.95"</w:t>
            </w:r>
          </w:p>
          <w:p w14:paraId="66978BD1">
            <w:pPr>
              <w:spacing w:before="86" w:line="220" w:lineRule="auto"/>
              <w:ind w:left="343"/>
              <w:rPr>
                <w:rFonts w:ascii="宋体" w:hAnsi="宋体" w:eastAsia="宋体" w:cs="宋体"/>
                <w:sz w:val="21"/>
                <w:szCs w:val="21"/>
              </w:rPr>
            </w:pPr>
            <w:r>
              <w:rPr>
                <w:rFonts w:ascii="宋体" w:hAnsi="宋体" w:eastAsia="宋体" w:cs="宋体"/>
                <w:spacing w:val="-14"/>
                <w:sz w:val="21"/>
                <w:szCs w:val="21"/>
              </w:rPr>
              <w:t>北纬：</w:t>
            </w:r>
          </w:p>
          <w:p w14:paraId="41881708">
            <w:pPr>
              <w:pStyle w:val="6"/>
              <w:spacing w:before="98" w:line="188" w:lineRule="auto"/>
              <w:ind w:left="153"/>
            </w:pPr>
            <w:r>
              <w:rPr>
                <w:spacing w:val="-1"/>
              </w:rPr>
              <w:t>29°41'1.05"</w:t>
            </w:r>
          </w:p>
        </w:tc>
        <w:tc>
          <w:tcPr>
            <w:tcW w:w="414" w:type="dxa"/>
            <w:vMerge w:val="restart"/>
            <w:tcBorders>
              <w:bottom w:val="nil"/>
            </w:tcBorders>
            <w:textDirection w:val="tbRlV"/>
            <w:vAlign w:val="top"/>
          </w:tcPr>
          <w:p w14:paraId="1A5BAA74">
            <w:pPr>
              <w:spacing w:before="100" w:line="208" w:lineRule="auto"/>
              <w:ind w:left="754"/>
              <w:rPr>
                <w:rFonts w:ascii="宋体" w:hAnsi="宋体" w:eastAsia="宋体" w:cs="宋体"/>
                <w:sz w:val="21"/>
                <w:szCs w:val="21"/>
              </w:rPr>
            </w:pPr>
            <w:r>
              <w:rPr>
                <w:rFonts w:ascii="宋体" w:hAnsi="宋体" w:eastAsia="宋体" w:cs="宋体"/>
                <w:spacing w:val="-70"/>
                <w:w w:val="43"/>
                <w:sz w:val="21"/>
                <w:szCs w:val="21"/>
              </w:rPr>
              <w:t>一</w:t>
            </w:r>
            <w:r>
              <w:rPr>
                <w:rFonts w:ascii="宋体" w:hAnsi="宋体" w:eastAsia="宋体" w:cs="宋体"/>
                <w:spacing w:val="3"/>
                <w:sz w:val="21"/>
                <w:szCs w:val="21"/>
              </w:rPr>
              <w:t xml:space="preserve">  </w:t>
            </w:r>
            <w:r>
              <w:rPr>
                <w:rFonts w:ascii="宋体" w:hAnsi="宋体" w:eastAsia="宋体" w:cs="宋体"/>
                <w:spacing w:val="-2"/>
                <w:sz w:val="21"/>
                <w:szCs w:val="21"/>
              </w:rPr>
              <w:t>级 保 护 区</w:t>
            </w:r>
          </w:p>
        </w:tc>
        <w:tc>
          <w:tcPr>
            <w:tcW w:w="2835" w:type="dxa"/>
            <w:vMerge w:val="restart"/>
            <w:tcBorders>
              <w:bottom w:val="nil"/>
            </w:tcBorders>
            <w:vAlign w:val="top"/>
          </w:tcPr>
          <w:p w14:paraId="3CA16EE5">
            <w:pPr>
              <w:pStyle w:val="6"/>
              <w:spacing w:before="53" w:line="274" w:lineRule="auto"/>
              <w:ind w:left="8"/>
              <w:rPr>
                <w:rFonts w:ascii="宋体" w:hAnsi="宋体" w:eastAsia="宋体" w:cs="宋体"/>
              </w:rPr>
            </w:pPr>
            <w:r>
              <w:rPr>
                <w:rFonts w:ascii="宋体" w:hAnsi="宋体" w:eastAsia="宋体" w:cs="宋体"/>
                <w:spacing w:val="7"/>
              </w:rPr>
              <w:t>①水域：大清流河取水口下游</w:t>
            </w:r>
            <w:r>
              <w:rPr>
                <w:spacing w:val="-3"/>
              </w:rPr>
              <w:t xml:space="preserve">100m </w:t>
            </w:r>
            <w:r>
              <w:rPr>
                <w:rFonts w:ascii="宋体" w:hAnsi="宋体" w:eastAsia="宋体" w:cs="宋体"/>
                <w:spacing w:val="-3"/>
              </w:rPr>
              <w:t>至上游</w:t>
            </w:r>
            <w:r>
              <w:rPr>
                <w:rFonts w:ascii="宋体" w:hAnsi="宋体" w:eastAsia="宋体" w:cs="宋体"/>
                <w:spacing w:val="-27"/>
              </w:rPr>
              <w:t xml:space="preserve"> </w:t>
            </w:r>
            <w:r>
              <w:rPr>
                <w:spacing w:val="-3"/>
              </w:rPr>
              <w:t>1020m</w:t>
            </w:r>
            <w:r>
              <w:rPr>
                <w:rFonts w:ascii="宋体" w:hAnsi="宋体" w:eastAsia="宋体" w:cs="宋体"/>
                <w:spacing w:val="-3"/>
              </w:rPr>
              <w:t>（赶场坝小</w:t>
            </w:r>
            <w:r>
              <w:rPr>
                <w:rFonts w:ascii="宋体" w:hAnsi="宋体" w:eastAsia="宋体" w:cs="宋体"/>
                <w:spacing w:val="-9"/>
              </w:rPr>
              <w:t>桥）、五桂溪汇入大清流河口至</w:t>
            </w:r>
            <w:r>
              <w:rPr>
                <w:rFonts w:ascii="宋体" w:hAnsi="宋体" w:eastAsia="宋体" w:cs="宋体"/>
                <w:spacing w:val="-3"/>
              </w:rPr>
              <w:t>上游</w:t>
            </w:r>
            <w:r>
              <w:rPr>
                <w:rFonts w:ascii="宋体" w:hAnsi="宋体" w:eastAsia="宋体" w:cs="宋体"/>
                <w:spacing w:val="36"/>
              </w:rPr>
              <w:t xml:space="preserve"> </w:t>
            </w:r>
            <w:r>
              <w:rPr>
                <w:spacing w:val="-3"/>
              </w:rPr>
              <w:t>500m</w:t>
            </w:r>
            <w:r>
              <w:rPr>
                <w:spacing w:val="13"/>
                <w:w w:val="101"/>
              </w:rPr>
              <w:t xml:space="preserve">  </w:t>
            </w:r>
            <w:r>
              <w:rPr>
                <w:rFonts w:ascii="宋体" w:hAnsi="宋体" w:eastAsia="宋体" w:cs="宋体"/>
                <w:spacing w:val="-3"/>
              </w:rPr>
              <w:t>（白合至苏家公路</w:t>
            </w:r>
            <w:r>
              <w:rPr>
                <w:rFonts w:ascii="宋体" w:hAnsi="宋体" w:eastAsia="宋体" w:cs="宋体"/>
                <w:spacing w:val="-7"/>
              </w:rPr>
              <w:t>桥</w:t>
            </w:r>
            <w:r>
              <w:rPr>
                <w:rFonts w:ascii="宋体" w:hAnsi="宋体" w:eastAsia="宋体" w:cs="宋体"/>
                <w:spacing w:val="-19"/>
              </w:rPr>
              <w:t>），</w:t>
            </w:r>
            <w:r>
              <w:rPr>
                <w:rFonts w:ascii="宋体" w:hAnsi="宋体" w:eastAsia="宋体" w:cs="宋体"/>
                <w:spacing w:val="-7"/>
              </w:rPr>
              <w:t>多年平均水位对应的高程</w:t>
            </w:r>
            <w:r>
              <w:rPr>
                <w:rFonts w:ascii="宋体" w:hAnsi="宋体" w:eastAsia="宋体" w:cs="宋体"/>
                <w:spacing w:val="-5"/>
              </w:rPr>
              <w:t>线下的水域范围。</w:t>
            </w:r>
          </w:p>
          <w:p w14:paraId="23CCE6BA">
            <w:pPr>
              <w:pStyle w:val="6"/>
              <w:spacing w:before="1" w:line="257" w:lineRule="auto"/>
              <w:ind w:left="9" w:hanging="2"/>
              <w:rPr>
                <w:rFonts w:ascii="宋体" w:hAnsi="宋体" w:eastAsia="宋体" w:cs="宋体"/>
              </w:rPr>
            </w:pPr>
            <w:r>
              <w:rPr>
                <w:rFonts w:ascii="宋体" w:hAnsi="宋体" w:eastAsia="宋体" w:cs="宋体"/>
                <w:spacing w:val="7"/>
              </w:rPr>
              <w:t>②陆域：一级保护区陆域为水</w:t>
            </w:r>
            <w:r>
              <w:rPr>
                <w:rFonts w:ascii="宋体" w:hAnsi="宋体" w:eastAsia="宋体" w:cs="宋体"/>
                <w:spacing w:val="-2"/>
              </w:rPr>
              <w:t>域边界沿岸纵深</w:t>
            </w:r>
            <w:r>
              <w:rPr>
                <w:rFonts w:ascii="宋体" w:hAnsi="宋体" w:eastAsia="宋体" w:cs="宋体"/>
                <w:spacing w:val="-20"/>
              </w:rPr>
              <w:t xml:space="preserve"> </w:t>
            </w:r>
            <w:r>
              <w:rPr>
                <w:spacing w:val="-2"/>
              </w:rPr>
              <w:t>50m</w:t>
            </w:r>
            <w:r>
              <w:rPr>
                <w:spacing w:val="24"/>
              </w:rPr>
              <w:t xml:space="preserve"> </w:t>
            </w:r>
            <w:r>
              <w:rPr>
                <w:rFonts w:ascii="宋体" w:hAnsi="宋体" w:eastAsia="宋体" w:cs="宋体"/>
                <w:spacing w:val="-2"/>
              </w:rPr>
              <w:t>但不超过</w:t>
            </w:r>
            <w:r>
              <w:rPr>
                <w:rFonts w:ascii="宋体" w:hAnsi="宋体" w:eastAsia="宋体" w:cs="宋体"/>
                <w:spacing w:val="-4"/>
              </w:rPr>
              <w:t>流域分水岭的陆域范围。</w:t>
            </w:r>
          </w:p>
        </w:tc>
        <w:tc>
          <w:tcPr>
            <w:tcW w:w="709" w:type="dxa"/>
            <w:vAlign w:val="top"/>
          </w:tcPr>
          <w:p w14:paraId="61E44BCE">
            <w:pPr>
              <w:pStyle w:val="6"/>
              <w:spacing w:before="101" w:line="188" w:lineRule="auto"/>
              <w:ind w:left="235"/>
            </w:pPr>
            <w:r>
              <w:rPr>
                <w:spacing w:val="-2"/>
              </w:rPr>
              <w:t>Ⅰ-1</w:t>
            </w:r>
          </w:p>
        </w:tc>
        <w:tc>
          <w:tcPr>
            <w:tcW w:w="1419" w:type="dxa"/>
            <w:vAlign w:val="top"/>
          </w:tcPr>
          <w:p w14:paraId="5E71D659">
            <w:pPr>
              <w:pStyle w:val="6"/>
              <w:spacing w:before="101" w:line="188" w:lineRule="auto"/>
              <w:ind w:left="131"/>
            </w:pPr>
            <w:r>
              <w:rPr>
                <w:spacing w:val="-2"/>
              </w:rPr>
              <w:t>105°21'28.99"</w:t>
            </w:r>
          </w:p>
        </w:tc>
        <w:tc>
          <w:tcPr>
            <w:tcW w:w="1225" w:type="dxa"/>
            <w:vAlign w:val="top"/>
          </w:tcPr>
          <w:p w14:paraId="466DF82C">
            <w:pPr>
              <w:pStyle w:val="6"/>
              <w:spacing w:before="101" w:line="188" w:lineRule="auto"/>
              <w:ind w:left="64"/>
            </w:pPr>
            <w:r>
              <w:rPr>
                <w:spacing w:val="-1"/>
              </w:rPr>
              <w:t>29°40'58.68"</w:t>
            </w:r>
          </w:p>
        </w:tc>
      </w:tr>
      <w:tr w14:paraId="58C96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422B3BE7">
            <w:pPr>
              <w:rPr>
                <w:rFonts w:ascii="Arial"/>
                <w:sz w:val="21"/>
              </w:rPr>
            </w:pPr>
          </w:p>
        </w:tc>
        <w:tc>
          <w:tcPr>
            <w:tcW w:w="1301" w:type="dxa"/>
            <w:vMerge w:val="continue"/>
            <w:tcBorders>
              <w:top w:val="nil"/>
              <w:bottom w:val="nil"/>
            </w:tcBorders>
            <w:vAlign w:val="top"/>
          </w:tcPr>
          <w:p w14:paraId="59926FD5">
            <w:pPr>
              <w:rPr>
                <w:rFonts w:ascii="Arial"/>
                <w:sz w:val="21"/>
              </w:rPr>
            </w:pPr>
          </w:p>
        </w:tc>
        <w:tc>
          <w:tcPr>
            <w:tcW w:w="414" w:type="dxa"/>
            <w:vMerge w:val="continue"/>
            <w:tcBorders>
              <w:top w:val="nil"/>
              <w:bottom w:val="nil"/>
            </w:tcBorders>
            <w:textDirection w:val="tbRlV"/>
            <w:vAlign w:val="top"/>
          </w:tcPr>
          <w:p w14:paraId="38BE0823">
            <w:pPr>
              <w:rPr>
                <w:rFonts w:ascii="Arial"/>
                <w:sz w:val="21"/>
              </w:rPr>
            </w:pPr>
          </w:p>
        </w:tc>
        <w:tc>
          <w:tcPr>
            <w:tcW w:w="2835" w:type="dxa"/>
            <w:vMerge w:val="continue"/>
            <w:tcBorders>
              <w:top w:val="nil"/>
              <w:bottom w:val="nil"/>
            </w:tcBorders>
            <w:vAlign w:val="top"/>
          </w:tcPr>
          <w:p w14:paraId="70A469DD">
            <w:pPr>
              <w:rPr>
                <w:rFonts w:ascii="Arial"/>
                <w:sz w:val="21"/>
              </w:rPr>
            </w:pPr>
          </w:p>
        </w:tc>
        <w:tc>
          <w:tcPr>
            <w:tcW w:w="709" w:type="dxa"/>
            <w:vAlign w:val="top"/>
          </w:tcPr>
          <w:p w14:paraId="7C44BC50">
            <w:pPr>
              <w:pStyle w:val="6"/>
              <w:spacing w:before="101" w:line="188" w:lineRule="auto"/>
              <w:ind w:left="235"/>
            </w:pPr>
            <w:r>
              <w:rPr>
                <w:spacing w:val="-2"/>
              </w:rPr>
              <w:t>Ⅰ-2</w:t>
            </w:r>
          </w:p>
        </w:tc>
        <w:tc>
          <w:tcPr>
            <w:tcW w:w="1419" w:type="dxa"/>
            <w:vAlign w:val="top"/>
          </w:tcPr>
          <w:p w14:paraId="3CB4FA2D">
            <w:pPr>
              <w:pStyle w:val="6"/>
              <w:spacing w:before="101" w:line="188" w:lineRule="auto"/>
              <w:ind w:left="187"/>
            </w:pPr>
            <w:r>
              <w:rPr>
                <w:spacing w:val="-3"/>
              </w:rPr>
              <w:t>105°21'5.11"</w:t>
            </w:r>
          </w:p>
        </w:tc>
        <w:tc>
          <w:tcPr>
            <w:tcW w:w="1225" w:type="dxa"/>
            <w:vAlign w:val="top"/>
          </w:tcPr>
          <w:p w14:paraId="2A825A2E">
            <w:pPr>
              <w:pStyle w:val="6"/>
              <w:spacing w:before="101" w:line="188" w:lineRule="auto"/>
              <w:ind w:left="118"/>
            </w:pPr>
            <w:r>
              <w:rPr>
                <w:spacing w:val="-1"/>
              </w:rPr>
              <w:t>29°41'5.42"</w:t>
            </w:r>
          </w:p>
        </w:tc>
      </w:tr>
      <w:tr w14:paraId="77C89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7" w:type="dxa"/>
            <w:vMerge w:val="continue"/>
            <w:tcBorders>
              <w:top w:val="nil"/>
              <w:bottom w:val="nil"/>
            </w:tcBorders>
            <w:textDirection w:val="tbRlV"/>
            <w:vAlign w:val="top"/>
          </w:tcPr>
          <w:p w14:paraId="492DF4D4">
            <w:pPr>
              <w:rPr>
                <w:rFonts w:ascii="Arial"/>
                <w:sz w:val="21"/>
              </w:rPr>
            </w:pPr>
          </w:p>
        </w:tc>
        <w:tc>
          <w:tcPr>
            <w:tcW w:w="1301" w:type="dxa"/>
            <w:vMerge w:val="continue"/>
            <w:tcBorders>
              <w:top w:val="nil"/>
              <w:bottom w:val="nil"/>
            </w:tcBorders>
            <w:vAlign w:val="top"/>
          </w:tcPr>
          <w:p w14:paraId="571E4F19">
            <w:pPr>
              <w:rPr>
                <w:rFonts w:ascii="Arial"/>
                <w:sz w:val="21"/>
              </w:rPr>
            </w:pPr>
          </w:p>
        </w:tc>
        <w:tc>
          <w:tcPr>
            <w:tcW w:w="414" w:type="dxa"/>
            <w:vMerge w:val="continue"/>
            <w:tcBorders>
              <w:top w:val="nil"/>
              <w:bottom w:val="nil"/>
            </w:tcBorders>
            <w:textDirection w:val="tbRlV"/>
            <w:vAlign w:val="top"/>
          </w:tcPr>
          <w:p w14:paraId="36D08CCE">
            <w:pPr>
              <w:rPr>
                <w:rFonts w:ascii="Arial"/>
                <w:sz w:val="21"/>
              </w:rPr>
            </w:pPr>
          </w:p>
        </w:tc>
        <w:tc>
          <w:tcPr>
            <w:tcW w:w="2835" w:type="dxa"/>
            <w:vMerge w:val="continue"/>
            <w:tcBorders>
              <w:top w:val="nil"/>
              <w:bottom w:val="nil"/>
            </w:tcBorders>
            <w:vAlign w:val="top"/>
          </w:tcPr>
          <w:p w14:paraId="3B44FA72">
            <w:pPr>
              <w:rPr>
                <w:rFonts w:ascii="Arial"/>
                <w:sz w:val="21"/>
              </w:rPr>
            </w:pPr>
          </w:p>
        </w:tc>
        <w:tc>
          <w:tcPr>
            <w:tcW w:w="709" w:type="dxa"/>
            <w:vAlign w:val="top"/>
          </w:tcPr>
          <w:p w14:paraId="19990F4E">
            <w:pPr>
              <w:pStyle w:val="6"/>
              <w:spacing w:before="101" w:line="188" w:lineRule="auto"/>
              <w:ind w:left="235"/>
            </w:pPr>
            <w:r>
              <w:rPr>
                <w:spacing w:val="-2"/>
              </w:rPr>
              <w:t>Ⅰ-3</w:t>
            </w:r>
          </w:p>
        </w:tc>
        <w:tc>
          <w:tcPr>
            <w:tcW w:w="1419" w:type="dxa"/>
            <w:vAlign w:val="top"/>
          </w:tcPr>
          <w:p w14:paraId="2A26EF48">
            <w:pPr>
              <w:pStyle w:val="6"/>
              <w:spacing w:before="101" w:line="188" w:lineRule="auto"/>
              <w:ind w:left="131"/>
            </w:pPr>
            <w:r>
              <w:rPr>
                <w:spacing w:val="-2"/>
              </w:rPr>
              <w:t>105°21'10.13"</w:t>
            </w:r>
          </w:p>
        </w:tc>
        <w:tc>
          <w:tcPr>
            <w:tcW w:w="1225" w:type="dxa"/>
            <w:vAlign w:val="top"/>
          </w:tcPr>
          <w:p w14:paraId="76C42F69">
            <w:pPr>
              <w:pStyle w:val="6"/>
              <w:spacing w:before="101" w:line="188" w:lineRule="auto"/>
              <w:ind w:left="117"/>
            </w:pPr>
            <w:r>
              <w:rPr>
                <w:spacing w:val="-1"/>
              </w:rPr>
              <w:t>29°41'7.69"</w:t>
            </w:r>
          </w:p>
        </w:tc>
      </w:tr>
      <w:tr w14:paraId="6397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032F4B46">
            <w:pPr>
              <w:rPr>
                <w:rFonts w:ascii="Arial"/>
                <w:sz w:val="21"/>
              </w:rPr>
            </w:pPr>
          </w:p>
        </w:tc>
        <w:tc>
          <w:tcPr>
            <w:tcW w:w="1301" w:type="dxa"/>
            <w:vMerge w:val="continue"/>
            <w:tcBorders>
              <w:top w:val="nil"/>
              <w:bottom w:val="nil"/>
            </w:tcBorders>
            <w:vAlign w:val="top"/>
          </w:tcPr>
          <w:p w14:paraId="725CCE27">
            <w:pPr>
              <w:rPr>
                <w:rFonts w:ascii="Arial"/>
                <w:sz w:val="21"/>
              </w:rPr>
            </w:pPr>
          </w:p>
        </w:tc>
        <w:tc>
          <w:tcPr>
            <w:tcW w:w="414" w:type="dxa"/>
            <w:vMerge w:val="continue"/>
            <w:tcBorders>
              <w:top w:val="nil"/>
              <w:bottom w:val="nil"/>
            </w:tcBorders>
            <w:textDirection w:val="tbRlV"/>
            <w:vAlign w:val="top"/>
          </w:tcPr>
          <w:p w14:paraId="1558BD0A">
            <w:pPr>
              <w:rPr>
                <w:rFonts w:ascii="Arial"/>
                <w:sz w:val="21"/>
              </w:rPr>
            </w:pPr>
          </w:p>
        </w:tc>
        <w:tc>
          <w:tcPr>
            <w:tcW w:w="2835" w:type="dxa"/>
            <w:vMerge w:val="continue"/>
            <w:tcBorders>
              <w:top w:val="nil"/>
              <w:bottom w:val="nil"/>
            </w:tcBorders>
            <w:vAlign w:val="top"/>
          </w:tcPr>
          <w:p w14:paraId="7378FD3F">
            <w:pPr>
              <w:rPr>
                <w:rFonts w:ascii="Arial"/>
                <w:sz w:val="21"/>
              </w:rPr>
            </w:pPr>
          </w:p>
        </w:tc>
        <w:tc>
          <w:tcPr>
            <w:tcW w:w="709" w:type="dxa"/>
            <w:vAlign w:val="top"/>
          </w:tcPr>
          <w:p w14:paraId="2E833548">
            <w:pPr>
              <w:pStyle w:val="6"/>
              <w:spacing w:before="102" w:line="188" w:lineRule="auto"/>
              <w:ind w:left="235"/>
            </w:pPr>
            <w:r>
              <w:rPr>
                <w:spacing w:val="-2"/>
              </w:rPr>
              <w:t>Ⅰ-4</w:t>
            </w:r>
          </w:p>
        </w:tc>
        <w:tc>
          <w:tcPr>
            <w:tcW w:w="1419" w:type="dxa"/>
            <w:vAlign w:val="top"/>
          </w:tcPr>
          <w:p w14:paraId="77255053">
            <w:pPr>
              <w:pStyle w:val="6"/>
              <w:spacing w:before="102" w:line="188" w:lineRule="auto"/>
              <w:ind w:left="182"/>
            </w:pPr>
            <w:r>
              <w:rPr>
                <w:spacing w:val="-2"/>
              </w:rPr>
              <w:t>105°21'8.41"</w:t>
            </w:r>
          </w:p>
        </w:tc>
        <w:tc>
          <w:tcPr>
            <w:tcW w:w="1225" w:type="dxa"/>
            <w:vAlign w:val="top"/>
          </w:tcPr>
          <w:p w14:paraId="2CDBB62E">
            <w:pPr>
              <w:pStyle w:val="6"/>
              <w:spacing w:before="102" w:line="188" w:lineRule="auto"/>
              <w:ind w:left="64"/>
            </w:pPr>
            <w:r>
              <w:rPr>
                <w:spacing w:val="-1"/>
              </w:rPr>
              <w:t>29°41'17.61"</w:t>
            </w:r>
          </w:p>
        </w:tc>
      </w:tr>
      <w:tr w14:paraId="67C2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34FF0B4E">
            <w:pPr>
              <w:rPr>
                <w:rFonts w:ascii="Arial"/>
                <w:sz w:val="21"/>
              </w:rPr>
            </w:pPr>
          </w:p>
        </w:tc>
        <w:tc>
          <w:tcPr>
            <w:tcW w:w="1301" w:type="dxa"/>
            <w:vMerge w:val="continue"/>
            <w:tcBorders>
              <w:top w:val="nil"/>
              <w:bottom w:val="nil"/>
            </w:tcBorders>
            <w:vAlign w:val="top"/>
          </w:tcPr>
          <w:p w14:paraId="49F7E7B2">
            <w:pPr>
              <w:rPr>
                <w:rFonts w:ascii="Arial"/>
                <w:sz w:val="21"/>
              </w:rPr>
            </w:pPr>
          </w:p>
        </w:tc>
        <w:tc>
          <w:tcPr>
            <w:tcW w:w="414" w:type="dxa"/>
            <w:vMerge w:val="continue"/>
            <w:tcBorders>
              <w:top w:val="nil"/>
              <w:bottom w:val="nil"/>
            </w:tcBorders>
            <w:textDirection w:val="tbRlV"/>
            <w:vAlign w:val="top"/>
          </w:tcPr>
          <w:p w14:paraId="1F5E711A">
            <w:pPr>
              <w:rPr>
                <w:rFonts w:ascii="Arial"/>
                <w:sz w:val="21"/>
              </w:rPr>
            </w:pPr>
          </w:p>
        </w:tc>
        <w:tc>
          <w:tcPr>
            <w:tcW w:w="2835" w:type="dxa"/>
            <w:vMerge w:val="continue"/>
            <w:tcBorders>
              <w:top w:val="nil"/>
              <w:bottom w:val="nil"/>
            </w:tcBorders>
            <w:vAlign w:val="top"/>
          </w:tcPr>
          <w:p w14:paraId="790F9A58">
            <w:pPr>
              <w:rPr>
                <w:rFonts w:ascii="Arial"/>
                <w:sz w:val="21"/>
              </w:rPr>
            </w:pPr>
          </w:p>
        </w:tc>
        <w:tc>
          <w:tcPr>
            <w:tcW w:w="709" w:type="dxa"/>
            <w:vAlign w:val="top"/>
          </w:tcPr>
          <w:p w14:paraId="6BFB9B7C">
            <w:pPr>
              <w:pStyle w:val="6"/>
              <w:spacing w:before="105" w:line="185" w:lineRule="auto"/>
              <w:ind w:left="235"/>
            </w:pPr>
            <w:r>
              <w:rPr>
                <w:spacing w:val="-2"/>
              </w:rPr>
              <w:t>Ⅰ-5</w:t>
            </w:r>
          </w:p>
        </w:tc>
        <w:tc>
          <w:tcPr>
            <w:tcW w:w="1419" w:type="dxa"/>
            <w:vAlign w:val="top"/>
          </w:tcPr>
          <w:p w14:paraId="0ADB72C7">
            <w:pPr>
              <w:pStyle w:val="6"/>
              <w:spacing w:before="102" w:line="188" w:lineRule="auto"/>
              <w:ind w:left="131"/>
            </w:pPr>
            <w:r>
              <w:rPr>
                <w:spacing w:val="-2"/>
              </w:rPr>
              <w:t>105°21'12.27"</w:t>
            </w:r>
          </w:p>
        </w:tc>
        <w:tc>
          <w:tcPr>
            <w:tcW w:w="1225" w:type="dxa"/>
            <w:vAlign w:val="top"/>
          </w:tcPr>
          <w:p w14:paraId="3C118184">
            <w:pPr>
              <w:pStyle w:val="6"/>
              <w:spacing w:before="102" w:line="188" w:lineRule="auto"/>
              <w:ind w:left="64"/>
            </w:pPr>
            <w:r>
              <w:rPr>
                <w:spacing w:val="-1"/>
              </w:rPr>
              <w:t>29°41'21.35"</w:t>
            </w:r>
          </w:p>
        </w:tc>
      </w:tr>
      <w:tr w14:paraId="25FB6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417" w:type="dxa"/>
            <w:vMerge w:val="continue"/>
            <w:tcBorders>
              <w:top w:val="nil"/>
              <w:bottom w:val="nil"/>
            </w:tcBorders>
            <w:textDirection w:val="tbRlV"/>
            <w:vAlign w:val="top"/>
          </w:tcPr>
          <w:p w14:paraId="6BFE4016">
            <w:pPr>
              <w:rPr>
                <w:rFonts w:ascii="Arial"/>
                <w:sz w:val="21"/>
              </w:rPr>
            </w:pPr>
          </w:p>
        </w:tc>
        <w:tc>
          <w:tcPr>
            <w:tcW w:w="1301" w:type="dxa"/>
            <w:vMerge w:val="continue"/>
            <w:tcBorders>
              <w:top w:val="nil"/>
              <w:bottom w:val="nil"/>
            </w:tcBorders>
            <w:vAlign w:val="top"/>
          </w:tcPr>
          <w:p w14:paraId="44010623">
            <w:pPr>
              <w:rPr>
                <w:rFonts w:ascii="Arial"/>
                <w:sz w:val="21"/>
              </w:rPr>
            </w:pPr>
          </w:p>
        </w:tc>
        <w:tc>
          <w:tcPr>
            <w:tcW w:w="414" w:type="dxa"/>
            <w:vMerge w:val="continue"/>
            <w:tcBorders>
              <w:top w:val="nil"/>
            </w:tcBorders>
            <w:textDirection w:val="tbRlV"/>
            <w:vAlign w:val="top"/>
          </w:tcPr>
          <w:p w14:paraId="5517DC78">
            <w:pPr>
              <w:rPr>
                <w:rFonts w:ascii="Arial"/>
                <w:sz w:val="21"/>
              </w:rPr>
            </w:pPr>
          </w:p>
        </w:tc>
        <w:tc>
          <w:tcPr>
            <w:tcW w:w="2835" w:type="dxa"/>
            <w:vMerge w:val="continue"/>
            <w:tcBorders>
              <w:top w:val="nil"/>
            </w:tcBorders>
            <w:vAlign w:val="top"/>
          </w:tcPr>
          <w:p w14:paraId="42AE6EC9">
            <w:pPr>
              <w:rPr>
                <w:rFonts w:ascii="Arial"/>
                <w:sz w:val="21"/>
              </w:rPr>
            </w:pPr>
          </w:p>
        </w:tc>
        <w:tc>
          <w:tcPr>
            <w:tcW w:w="709" w:type="dxa"/>
            <w:vAlign w:val="top"/>
          </w:tcPr>
          <w:p w14:paraId="090F126C">
            <w:pPr>
              <w:spacing w:line="398" w:lineRule="auto"/>
              <w:rPr>
                <w:rFonts w:ascii="Arial"/>
                <w:sz w:val="21"/>
              </w:rPr>
            </w:pPr>
          </w:p>
          <w:p w14:paraId="0869B9F5">
            <w:pPr>
              <w:pStyle w:val="6"/>
              <w:spacing w:before="61" w:line="188" w:lineRule="auto"/>
              <w:ind w:left="235"/>
            </w:pPr>
            <w:r>
              <w:rPr>
                <w:spacing w:val="-2"/>
              </w:rPr>
              <w:t>Ⅰ-6</w:t>
            </w:r>
          </w:p>
        </w:tc>
        <w:tc>
          <w:tcPr>
            <w:tcW w:w="1419" w:type="dxa"/>
            <w:vAlign w:val="top"/>
          </w:tcPr>
          <w:p w14:paraId="60DB0513">
            <w:pPr>
              <w:spacing w:line="398" w:lineRule="auto"/>
              <w:rPr>
                <w:rFonts w:ascii="Arial"/>
                <w:sz w:val="21"/>
              </w:rPr>
            </w:pPr>
          </w:p>
          <w:p w14:paraId="4D37D979">
            <w:pPr>
              <w:pStyle w:val="6"/>
              <w:spacing w:before="61" w:line="188" w:lineRule="auto"/>
              <w:ind w:left="131"/>
            </w:pPr>
            <w:r>
              <w:rPr>
                <w:spacing w:val="-2"/>
              </w:rPr>
              <w:t>105°21'30.50"</w:t>
            </w:r>
          </w:p>
        </w:tc>
        <w:tc>
          <w:tcPr>
            <w:tcW w:w="1225" w:type="dxa"/>
            <w:vAlign w:val="top"/>
          </w:tcPr>
          <w:p w14:paraId="6DE908F1">
            <w:pPr>
              <w:spacing w:line="398" w:lineRule="auto"/>
              <w:rPr>
                <w:rFonts w:ascii="Arial"/>
                <w:sz w:val="21"/>
              </w:rPr>
            </w:pPr>
          </w:p>
          <w:p w14:paraId="336887BE">
            <w:pPr>
              <w:pStyle w:val="6"/>
              <w:spacing w:before="61" w:line="188" w:lineRule="auto"/>
              <w:ind w:left="117"/>
            </w:pPr>
            <w:r>
              <w:rPr>
                <w:spacing w:val="-1"/>
              </w:rPr>
              <w:t>29°41'3.06"</w:t>
            </w:r>
          </w:p>
        </w:tc>
      </w:tr>
      <w:tr w14:paraId="1900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7" w:type="dxa"/>
            <w:vMerge w:val="continue"/>
            <w:tcBorders>
              <w:top w:val="nil"/>
              <w:bottom w:val="nil"/>
            </w:tcBorders>
            <w:textDirection w:val="tbRlV"/>
            <w:vAlign w:val="top"/>
          </w:tcPr>
          <w:p w14:paraId="462A1007">
            <w:pPr>
              <w:rPr>
                <w:rFonts w:ascii="Arial"/>
                <w:sz w:val="21"/>
              </w:rPr>
            </w:pPr>
          </w:p>
        </w:tc>
        <w:tc>
          <w:tcPr>
            <w:tcW w:w="1301" w:type="dxa"/>
            <w:vMerge w:val="continue"/>
            <w:tcBorders>
              <w:top w:val="nil"/>
              <w:bottom w:val="nil"/>
            </w:tcBorders>
            <w:vAlign w:val="top"/>
          </w:tcPr>
          <w:p w14:paraId="50AA0E76">
            <w:pPr>
              <w:rPr>
                <w:rFonts w:ascii="Arial"/>
                <w:sz w:val="21"/>
              </w:rPr>
            </w:pPr>
          </w:p>
        </w:tc>
        <w:tc>
          <w:tcPr>
            <w:tcW w:w="414" w:type="dxa"/>
            <w:vMerge w:val="restart"/>
            <w:tcBorders>
              <w:bottom w:val="nil"/>
            </w:tcBorders>
            <w:textDirection w:val="tbRlV"/>
            <w:vAlign w:val="top"/>
          </w:tcPr>
          <w:p w14:paraId="53647BC5">
            <w:pPr>
              <w:spacing w:before="100" w:line="208" w:lineRule="auto"/>
              <w:ind w:left="1650"/>
              <w:rPr>
                <w:rFonts w:ascii="宋体" w:hAnsi="宋体" w:eastAsia="宋体" w:cs="宋体"/>
                <w:sz w:val="21"/>
                <w:szCs w:val="21"/>
              </w:rPr>
            </w:pPr>
            <w:r>
              <w:rPr>
                <w:rFonts w:ascii="宋体" w:hAnsi="宋体" w:eastAsia="宋体" w:cs="宋体"/>
                <w:spacing w:val="-12"/>
                <w:sz w:val="21"/>
                <w:szCs w:val="21"/>
              </w:rPr>
              <w:t>二</w:t>
            </w:r>
            <w:r>
              <w:rPr>
                <w:rFonts w:ascii="宋体" w:hAnsi="宋体" w:eastAsia="宋体" w:cs="宋体"/>
                <w:spacing w:val="35"/>
                <w:sz w:val="21"/>
                <w:szCs w:val="21"/>
              </w:rPr>
              <w:t xml:space="preserve"> </w:t>
            </w:r>
            <w:r>
              <w:rPr>
                <w:rFonts w:ascii="宋体" w:hAnsi="宋体" w:eastAsia="宋体" w:cs="宋体"/>
                <w:spacing w:val="-12"/>
                <w:sz w:val="21"/>
                <w:szCs w:val="21"/>
              </w:rPr>
              <w:t>级 保 护</w:t>
            </w:r>
            <w:r>
              <w:rPr>
                <w:rFonts w:ascii="宋体" w:hAnsi="宋体" w:eastAsia="宋体" w:cs="宋体"/>
                <w:spacing w:val="-3"/>
                <w:sz w:val="21"/>
                <w:szCs w:val="21"/>
              </w:rPr>
              <w:t xml:space="preserve"> </w:t>
            </w:r>
            <w:r>
              <w:rPr>
                <w:rFonts w:ascii="宋体" w:hAnsi="宋体" w:eastAsia="宋体" w:cs="宋体"/>
                <w:spacing w:val="-12"/>
                <w:sz w:val="21"/>
                <w:szCs w:val="21"/>
              </w:rPr>
              <w:t>区</w:t>
            </w:r>
          </w:p>
        </w:tc>
        <w:tc>
          <w:tcPr>
            <w:tcW w:w="2835" w:type="dxa"/>
            <w:vMerge w:val="restart"/>
            <w:tcBorders>
              <w:bottom w:val="nil"/>
            </w:tcBorders>
            <w:vAlign w:val="top"/>
          </w:tcPr>
          <w:p w14:paraId="5503D666">
            <w:pPr>
              <w:spacing w:before="52" w:line="220" w:lineRule="auto"/>
              <w:ind w:left="12"/>
              <w:rPr>
                <w:rFonts w:ascii="宋体" w:hAnsi="宋体" w:eastAsia="宋体" w:cs="宋体"/>
                <w:sz w:val="21"/>
                <w:szCs w:val="21"/>
              </w:rPr>
            </w:pPr>
            <w:r>
              <w:rPr>
                <w:rFonts w:ascii="宋体" w:hAnsi="宋体" w:eastAsia="宋体" w:cs="宋体"/>
                <w:b/>
                <w:bCs/>
                <w:spacing w:val="-4"/>
                <w:sz w:val="21"/>
                <w:szCs w:val="21"/>
              </w:rPr>
              <w:t>大清流河：</w:t>
            </w:r>
          </w:p>
          <w:p w14:paraId="71B861E5">
            <w:pPr>
              <w:pStyle w:val="6"/>
              <w:spacing w:before="62" w:line="274" w:lineRule="auto"/>
              <w:ind w:left="8"/>
              <w:rPr>
                <w:rFonts w:ascii="宋体" w:hAnsi="宋体" w:eastAsia="宋体" w:cs="宋体"/>
              </w:rPr>
            </w:pPr>
            <w:r>
              <w:rPr>
                <w:rFonts w:ascii="宋体" w:hAnsi="宋体" w:eastAsia="宋体" w:cs="宋体"/>
                <w:spacing w:val="7"/>
              </w:rPr>
              <w:t>①水域：一级保护区下游边界</w:t>
            </w:r>
            <w:r>
              <w:rPr>
                <w:rFonts w:ascii="宋体" w:hAnsi="宋体" w:eastAsia="宋体" w:cs="宋体"/>
                <w:spacing w:val="-4"/>
              </w:rPr>
              <w:t>向下游延伸</w:t>
            </w:r>
            <w:r>
              <w:rPr>
                <w:rFonts w:ascii="宋体" w:hAnsi="宋体" w:eastAsia="宋体" w:cs="宋体"/>
                <w:spacing w:val="-37"/>
              </w:rPr>
              <w:t xml:space="preserve"> </w:t>
            </w:r>
            <w:r>
              <w:rPr>
                <w:spacing w:val="-4"/>
              </w:rPr>
              <w:t>200m</w:t>
            </w:r>
            <w:r>
              <w:rPr>
                <w:spacing w:val="-31"/>
              </w:rPr>
              <w:t xml:space="preserve"> </w:t>
            </w:r>
            <w:r>
              <w:rPr>
                <w:rFonts w:ascii="宋体" w:hAnsi="宋体" w:eastAsia="宋体" w:cs="宋体"/>
                <w:spacing w:val="-4"/>
              </w:rPr>
              <w:t>、一级保护区</w:t>
            </w:r>
            <w:r>
              <w:rPr>
                <w:rFonts w:ascii="宋体" w:hAnsi="宋体" w:eastAsia="宋体" w:cs="宋体"/>
                <w:spacing w:val="-3"/>
              </w:rPr>
              <w:t>上游边界向上游延伸</w:t>
            </w:r>
            <w:r>
              <w:rPr>
                <w:rFonts w:ascii="宋体" w:hAnsi="宋体" w:eastAsia="宋体" w:cs="宋体"/>
                <w:spacing w:val="-22"/>
              </w:rPr>
              <w:t xml:space="preserve"> </w:t>
            </w:r>
            <w:r>
              <w:rPr>
                <w:spacing w:val="-3"/>
              </w:rPr>
              <w:t>2000m</w:t>
            </w:r>
            <w:r>
              <w:rPr>
                <w:spacing w:val="42"/>
                <w:w w:val="101"/>
              </w:rPr>
              <w:t xml:space="preserve"> </w:t>
            </w:r>
            <w:r>
              <w:rPr>
                <w:rFonts w:ascii="宋体" w:hAnsi="宋体" w:eastAsia="宋体" w:cs="宋体"/>
                <w:spacing w:val="-3"/>
              </w:rPr>
              <w:t>的</w:t>
            </w:r>
            <w:r>
              <w:rPr>
                <w:rFonts w:ascii="宋体" w:hAnsi="宋体" w:eastAsia="宋体" w:cs="宋体"/>
                <w:spacing w:val="-7"/>
              </w:rPr>
              <w:t>河道水域。</w:t>
            </w:r>
          </w:p>
          <w:p w14:paraId="36638339">
            <w:pPr>
              <w:pStyle w:val="6"/>
              <w:spacing w:line="274" w:lineRule="auto"/>
              <w:ind w:left="7"/>
              <w:rPr>
                <w:rFonts w:ascii="宋体" w:hAnsi="宋体" w:eastAsia="宋体" w:cs="宋体"/>
              </w:rPr>
            </w:pPr>
            <w:r>
              <w:rPr>
                <w:rFonts w:ascii="宋体" w:hAnsi="宋体" w:eastAsia="宋体" w:cs="宋体"/>
                <w:spacing w:val="7"/>
              </w:rPr>
              <w:t>②陆域：二级保护区陆域范围</w:t>
            </w:r>
            <w:r>
              <w:rPr>
                <w:rFonts w:ascii="宋体" w:hAnsi="宋体" w:eastAsia="宋体" w:cs="宋体"/>
                <w:spacing w:val="-2"/>
              </w:rPr>
              <w:t>为水域边界沿岸纵深</w:t>
            </w:r>
            <w:r>
              <w:rPr>
                <w:rFonts w:ascii="宋体" w:hAnsi="宋体" w:eastAsia="宋体" w:cs="宋体"/>
                <w:spacing w:val="36"/>
              </w:rPr>
              <w:t xml:space="preserve"> </w:t>
            </w:r>
            <w:r>
              <w:rPr>
                <w:spacing w:val="-2"/>
              </w:rPr>
              <w:t>1000m</w:t>
            </w:r>
            <w:r>
              <w:rPr>
                <w:spacing w:val="-26"/>
              </w:rPr>
              <w:t xml:space="preserve"> </w:t>
            </w:r>
            <w:r>
              <w:rPr>
                <w:rFonts w:ascii="宋体" w:hAnsi="宋体" w:eastAsia="宋体" w:cs="宋体"/>
                <w:spacing w:val="-2"/>
              </w:rPr>
              <w:t>，</w:t>
            </w:r>
            <w:r>
              <w:rPr>
                <w:rFonts w:ascii="宋体" w:hAnsi="宋体" w:eastAsia="宋体" w:cs="宋体"/>
                <w:spacing w:val="-3"/>
              </w:rPr>
              <w:t>但不超过流域分水岭的范围。</w:t>
            </w:r>
          </w:p>
          <w:p w14:paraId="7CA90FA9">
            <w:pPr>
              <w:spacing w:line="219" w:lineRule="auto"/>
              <w:ind w:left="12"/>
              <w:rPr>
                <w:rFonts w:ascii="宋体" w:hAnsi="宋体" w:eastAsia="宋体" w:cs="宋体"/>
                <w:sz w:val="21"/>
                <w:szCs w:val="21"/>
              </w:rPr>
            </w:pPr>
            <w:r>
              <w:rPr>
                <w:rFonts w:ascii="宋体" w:hAnsi="宋体" w:eastAsia="宋体" w:cs="宋体"/>
                <w:b/>
                <w:bCs/>
                <w:spacing w:val="-13"/>
                <w:sz w:val="21"/>
                <w:szCs w:val="21"/>
              </w:rPr>
              <w:t>五桂溪：</w:t>
            </w:r>
          </w:p>
          <w:p w14:paraId="5DD7CBBA">
            <w:pPr>
              <w:pStyle w:val="6"/>
              <w:spacing w:before="63" w:line="274" w:lineRule="auto"/>
              <w:ind w:left="8"/>
              <w:rPr>
                <w:rFonts w:ascii="宋体" w:hAnsi="宋体" w:eastAsia="宋体" w:cs="宋体"/>
              </w:rPr>
            </w:pPr>
            <w:r>
              <w:rPr>
                <w:rFonts w:ascii="宋体" w:hAnsi="宋体" w:eastAsia="宋体" w:cs="宋体"/>
                <w:spacing w:val="7"/>
              </w:rPr>
              <w:t>①水域：白合至苏家公路桥至</w:t>
            </w:r>
            <w:r>
              <w:rPr>
                <w:rFonts w:ascii="宋体" w:hAnsi="宋体" w:eastAsia="宋体" w:cs="宋体"/>
              </w:rPr>
              <w:t>上游</w:t>
            </w:r>
            <w:r>
              <w:rPr>
                <w:rFonts w:ascii="宋体" w:hAnsi="宋体" w:eastAsia="宋体" w:cs="宋体"/>
                <w:spacing w:val="29"/>
              </w:rPr>
              <w:t xml:space="preserve"> </w:t>
            </w:r>
            <w:r>
              <w:t>1000m</w:t>
            </w:r>
            <w:r>
              <w:rPr>
                <w:rFonts w:ascii="宋体" w:hAnsi="宋体" w:eastAsia="宋体" w:cs="宋体"/>
              </w:rPr>
              <w:t>（高板桥）范围的</w:t>
            </w:r>
            <w:r>
              <w:rPr>
                <w:rFonts w:ascii="宋体" w:hAnsi="宋体" w:eastAsia="宋体" w:cs="宋体"/>
                <w:spacing w:val="-7"/>
              </w:rPr>
              <w:t>河道水域。</w:t>
            </w:r>
          </w:p>
          <w:p w14:paraId="7B57455B">
            <w:pPr>
              <w:pStyle w:val="6"/>
              <w:spacing w:before="3" w:line="257" w:lineRule="auto"/>
              <w:ind w:left="9" w:hanging="2"/>
              <w:rPr>
                <w:rFonts w:ascii="宋体" w:hAnsi="宋体" w:eastAsia="宋体" w:cs="宋体"/>
              </w:rPr>
            </w:pPr>
            <w:r>
              <w:rPr>
                <w:rFonts w:ascii="宋体" w:hAnsi="宋体" w:eastAsia="宋体" w:cs="宋体"/>
                <w:spacing w:val="7"/>
              </w:rPr>
              <w:t>②陆域：长度与水域一致，陆</w:t>
            </w:r>
            <w:r>
              <w:rPr>
                <w:rFonts w:ascii="宋体" w:hAnsi="宋体" w:eastAsia="宋体" w:cs="宋体"/>
                <w:spacing w:val="-3"/>
              </w:rPr>
              <w:t xml:space="preserve">域沿岸为纵深 </w:t>
            </w:r>
            <w:r>
              <w:rPr>
                <w:spacing w:val="-3"/>
              </w:rPr>
              <w:t>1000m</w:t>
            </w:r>
            <w:r>
              <w:rPr>
                <w:spacing w:val="24"/>
              </w:rPr>
              <w:t xml:space="preserve"> </w:t>
            </w:r>
            <w:r>
              <w:rPr>
                <w:rFonts w:ascii="宋体" w:hAnsi="宋体" w:eastAsia="宋体" w:cs="宋体"/>
                <w:spacing w:val="-3"/>
              </w:rPr>
              <w:t>但不超过</w:t>
            </w:r>
            <w:r>
              <w:rPr>
                <w:rFonts w:ascii="宋体" w:hAnsi="宋体" w:eastAsia="宋体" w:cs="宋体"/>
                <w:spacing w:val="-4"/>
              </w:rPr>
              <w:t>分水岭的陆域范围。</w:t>
            </w:r>
          </w:p>
        </w:tc>
        <w:tc>
          <w:tcPr>
            <w:tcW w:w="709" w:type="dxa"/>
            <w:vAlign w:val="top"/>
          </w:tcPr>
          <w:p w14:paraId="4DF02D4A">
            <w:pPr>
              <w:pStyle w:val="6"/>
              <w:spacing w:before="103" w:line="188" w:lineRule="auto"/>
              <w:ind w:left="201"/>
            </w:pPr>
            <w:r>
              <w:rPr>
                <w:spacing w:val="-2"/>
              </w:rPr>
              <w:t>Ⅱ-1</w:t>
            </w:r>
          </w:p>
        </w:tc>
        <w:tc>
          <w:tcPr>
            <w:tcW w:w="1419" w:type="dxa"/>
            <w:vAlign w:val="top"/>
          </w:tcPr>
          <w:p w14:paraId="10FCBF1B">
            <w:pPr>
              <w:pStyle w:val="6"/>
              <w:spacing w:before="102" w:line="188" w:lineRule="auto"/>
              <w:ind w:left="131"/>
            </w:pPr>
            <w:r>
              <w:rPr>
                <w:spacing w:val="-2"/>
              </w:rPr>
              <w:t>105°21'31.76"</w:t>
            </w:r>
          </w:p>
        </w:tc>
        <w:tc>
          <w:tcPr>
            <w:tcW w:w="1225" w:type="dxa"/>
            <w:vAlign w:val="top"/>
          </w:tcPr>
          <w:p w14:paraId="7C663F64">
            <w:pPr>
              <w:pStyle w:val="6"/>
              <w:spacing w:before="102" w:line="188" w:lineRule="auto"/>
              <w:ind w:right="5"/>
              <w:jc w:val="right"/>
            </w:pPr>
            <w:r>
              <w:rPr>
                <w:spacing w:val="-1"/>
              </w:rPr>
              <w:t>29°40'55.94"</w:t>
            </w:r>
          </w:p>
        </w:tc>
      </w:tr>
      <w:tr w14:paraId="1A287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5DCF1794">
            <w:pPr>
              <w:rPr>
                <w:rFonts w:ascii="Arial"/>
                <w:sz w:val="21"/>
              </w:rPr>
            </w:pPr>
          </w:p>
        </w:tc>
        <w:tc>
          <w:tcPr>
            <w:tcW w:w="1301" w:type="dxa"/>
            <w:vMerge w:val="continue"/>
            <w:tcBorders>
              <w:top w:val="nil"/>
              <w:bottom w:val="nil"/>
            </w:tcBorders>
            <w:vAlign w:val="top"/>
          </w:tcPr>
          <w:p w14:paraId="63CA5782">
            <w:pPr>
              <w:rPr>
                <w:rFonts w:ascii="Arial"/>
                <w:sz w:val="21"/>
              </w:rPr>
            </w:pPr>
          </w:p>
        </w:tc>
        <w:tc>
          <w:tcPr>
            <w:tcW w:w="414" w:type="dxa"/>
            <w:vMerge w:val="continue"/>
            <w:tcBorders>
              <w:top w:val="nil"/>
              <w:bottom w:val="nil"/>
            </w:tcBorders>
            <w:textDirection w:val="tbRlV"/>
            <w:vAlign w:val="top"/>
          </w:tcPr>
          <w:p w14:paraId="1A4B1624">
            <w:pPr>
              <w:rPr>
                <w:rFonts w:ascii="Arial"/>
                <w:sz w:val="21"/>
              </w:rPr>
            </w:pPr>
          </w:p>
        </w:tc>
        <w:tc>
          <w:tcPr>
            <w:tcW w:w="2835" w:type="dxa"/>
            <w:vMerge w:val="continue"/>
            <w:tcBorders>
              <w:top w:val="nil"/>
              <w:bottom w:val="nil"/>
            </w:tcBorders>
            <w:vAlign w:val="top"/>
          </w:tcPr>
          <w:p w14:paraId="24A63B42">
            <w:pPr>
              <w:rPr>
                <w:rFonts w:ascii="Arial"/>
                <w:sz w:val="21"/>
              </w:rPr>
            </w:pPr>
          </w:p>
        </w:tc>
        <w:tc>
          <w:tcPr>
            <w:tcW w:w="709" w:type="dxa"/>
            <w:vAlign w:val="top"/>
          </w:tcPr>
          <w:p w14:paraId="2C411C73">
            <w:pPr>
              <w:pStyle w:val="6"/>
              <w:spacing w:before="103" w:line="188" w:lineRule="auto"/>
              <w:ind w:left="201"/>
            </w:pPr>
            <w:r>
              <w:rPr>
                <w:spacing w:val="-2"/>
              </w:rPr>
              <w:t>Ⅱ-2</w:t>
            </w:r>
          </w:p>
        </w:tc>
        <w:tc>
          <w:tcPr>
            <w:tcW w:w="1419" w:type="dxa"/>
            <w:vAlign w:val="top"/>
          </w:tcPr>
          <w:p w14:paraId="1FAA4B37">
            <w:pPr>
              <w:pStyle w:val="6"/>
              <w:spacing w:before="103" w:line="188" w:lineRule="auto"/>
              <w:ind w:left="182"/>
            </w:pPr>
            <w:r>
              <w:rPr>
                <w:spacing w:val="-2"/>
              </w:rPr>
              <w:t>105°21'3.94"</w:t>
            </w:r>
          </w:p>
        </w:tc>
        <w:tc>
          <w:tcPr>
            <w:tcW w:w="1225" w:type="dxa"/>
            <w:vAlign w:val="top"/>
          </w:tcPr>
          <w:p w14:paraId="68F7ACBA">
            <w:pPr>
              <w:pStyle w:val="6"/>
              <w:spacing w:before="103" w:line="188" w:lineRule="auto"/>
              <w:ind w:right="4"/>
              <w:jc w:val="right"/>
            </w:pPr>
            <w:r>
              <w:rPr>
                <w:spacing w:val="-1"/>
              </w:rPr>
              <w:t>29°40'42.56"</w:t>
            </w:r>
          </w:p>
        </w:tc>
      </w:tr>
      <w:tr w14:paraId="7A60B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6CC16826">
            <w:pPr>
              <w:rPr>
                <w:rFonts w:ascii="Arial"/>
                <w:sz w:val="21"/>
              </w:rPr>
            </w:pPr>
          </w:p>
        </w:tc>
        <w:tc>
          <w:tcPr>
            <w:tcW w:w="1301" w:type="dxa"/>
            <w:vMerge w:val="continue"/>
            <w:tcBorders>
              <w:top w:val="nil"/>
              <w:bottom w:val="nil"/>
            </w:tcBorders>
            <w:vAlign w:val="top"/>
          </w:tcPr>
          <w:p w14:paraId="56481EEB">
            <w:pPr>
              <w:rPr>
                <w:rFonts w:ascii="Arial"/>
                <w:sz w:val="21"/>
              </w:rPr>
            </w:pPr>
          </w:p>
        </w:tc>
        <w:tc>
          <w:tcPr>
            <w:tcW w:w="414" w:type="dxa"/>
            <w:vMerge w:val="continue"/>
            <w:tcBorders>
              <w:top w:val="nil"/>
              <w:bottom w:val="nil"/>
            </w:tcBorders>
            <w:textDirection w:val="tbRlV"/>
            <w:vAlign w:val="top"/>
          </w:tcPr>
          <w:p w14:paraId="7336690F">
            <w:pPr>
              <w:rPr>
                <w:rFonts w:ascii="Arial"/>
                <w:sz w:val="21"/>
              </w:rPr>
            </w:pPr>
          </w:p>
        </w:tc>
        <w:tc>
          <w:tcPr>
            <w:tcW w:w="2835" w:type="dxa"/>
            <w:vMerge w:val="continue"/>
            <w:tcBorders>
              <w:top w:val="nil"/>
              <w:bottom w:val="nil"/>
            </w:tcBorders>
            <w:vAlign w:val="top"/>
          </w:tcPr>
          <w:p w14:paraId="423CD412">
            <w:pPr>
              <w:rPr>
                <w:rFonts w:ascii="Arial"/>
                <w:sz w:val="21"/>
              </w:rPr>
            </w:pPr>
          </w:p>
        </w:tc>
        <w:tc>
          <w:tcPr>
            <w:tcW w:w="709" w:type="dxa"/>
            <w:vAlign w:val="top"/>
          </w:tcPr>
          <w:p w14:paraId="09218A95">
            <w:pPr>
              <w:pStyle w:val="6"/>
              <w:spacing w:before="103" w:line="188" w:lineRule="auto"/>
              <w:ind w:left="201"/>
            </w:pPr>
            <w:r>
              <w:rPr>
                <w:spacing w:val="-2"/>
              </w:rPr>
              <w:t>Ⅱ-3</w:t>
            </w:r>
          </w:p>
        </w:tc>
        <w:tc>
          <w:tcPr>
            <w:tcW w:w="1419" w:type="dxa"/>
            <w:vAlign w:val="top"/>
          </w:tcPr>
          <w:p w14:paraId="464827CF">
            <w:pPr>
              <w:pStyle w:val="6"/>
              <w:spacing w:before="103" w:line="188" w:lineRule="auto"/>
              <w:ind w:left="131"/>
            </w:pPr>
            <w:r>
              <w:rPr>
                <w:spacing w:val="-2"/>
              </w:rPr>
              <w:t>105°20'34.13"</w:t>
            </w:r>
          </w:p>
        </w:tc>
        <w:tc>
          <w:tcPr>
            <w:tcW w:w="1225" w:type="dxa"/>
            <w:vAlign w:val="top"/>
          </w:tcPr>
          <w:p w14:paraId="7EC6F62B">
            <w:pPr>
              <w:pStyle w:val="6"/>
              <w:spacing w:before="103" w:line="188" w:lineRule="auto"/>
              <w:ind w:left="170"/>
            </w:pPr>
            <w:r>
              <w:rPr>
                <w:spacing w:val="-1"/>
              </w:rPr>
              <w:t>29°41'9.23"</w:t>
            </w:r>
          </w:p>
        </w:tc>
      </w:tr>
      <w:tr w14:paraId="63D76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7" w:type="dxa"/>
            <w:vMerge w:val="continue"/>
            <w:tcBorders>
              <w:top w:val="nil"/>
              <w:bottom w:val="nil"/>
            </w:tcBorders>
            <w:textDirection w:val="tbRlV"/>
            <w:vAlign w:val="top"/>
          </w:tcPr>
          <w:p w14:paraId="4C846BC3">
            <w:pPr>
              <w:rPr>
                <w:rFonts w:ascii="Arial"/>
                <w:sz w:val="21"/>
              </w:rPr>
            </w:pPr>
          </w:p>
        </w:tc>
        <w:tc>
          <w:tcPr>
            <w:tcW w:w="1301" w:type="dxa"/>
            <w:vMerge w:val="continue"/>
            <w:tcBorders>
              <w:top w:val="nil"/>
              <w:bottom w:val="nil"/>
            </w:tcBorders>
            <w:vAlign w:val="top"/>
          </w:tcPr>
          <w:p w14:paraId="38CD9734">
            <w:pPr>
              <w:rPr>
                <w:rFonts w:ascii="Arial"/>
                <w:sz w:val="21"/>
              </w:rPr>
            </w:pPr>
          </w:p>
        </w:tc>
        <w:tc>
          <w:tcPr>
            <w:tcW w:w="414" w:type="dxa"/>
            <w:vMerge w:val="continue"/>
            <w:tcBorders>
              <w:top w:val="nil"/>
              <w:bottom w:val="nil"/>
            </w:tcBorders>
            <w:textDirection w:val="tbRlV"/>
            <w:vAlign w:val="top"/>
          </w:tcPr>
          <w:p w14:paraId="4A5FBA9F">
            <w:pPr>
              <w:rPr>
                <w:rFonts w:ascii="Arial"/>
                <w:sz w:val="21"/>
              </w:rPr>
            </w:pPr>
          </w:p>
        </w:tc>
        <w:tc>
          <w:tcPr>
            <w:tcW w:w="2835" w:type="dxa"/>
            <w:vMerge w:val="continue"/>
            <w:tcBorders>
              <w:top w:val="nil"/>
              <w:bottom w:val="nil"/>
            </w:tcBorders>
            <w:vAlign w:val="top"/>
          </w:tcPr>
          <w:p w14:paraId="6A916559">
            <w:pPr>
              <w:rPr>
                <w:rFonts w:ascii="Arial"/>
                <w:sz w:val="21"/>
              </w:rPr>
            </w:pPr>
          </w:p>
        </w:tc>
        <w:tc>
          <w:tcPr>
            <w:tcW w:w="709" w:type="dxa"/>
            <w:vAlign w:val="top"/>
          </w:tcPr>
          <w:p w14:paraId="6BFEE613">
            <w:pPr>
              <w:pStyle w:val="6"/>
              <w:spacing w:before="104" w:line="188" w:lineRule="auto"/>
              <w:ind w:left="201"/>
            </w:pPr>
            <w:r>
              <w:rPr>
                <w:spacing w:val="-2"/>
              </w:rPr>
              <w:t>Ⅱ-4</w:t>
            </w:r>
          </w:p>
        </w:tc>
        <w:tc>
          <w:tcPr>
            <w:tcW w:w="1419" w:type="dxa"/>
            <w:vAlign w:val="top"/>
          </w:tcPr>
          <w:p w14:paraId="13EBFE8F">
            <w:pPr>
              <w:pStyle w:val="6"/>
              <w:spacing w:before="103" w:line="188" w:lineRule="auto"/>
              <w:ind w:left="131"/>
            </w:pPr>
            <w:r>
              <w:rPr>
                <w:spacing w:val="-2"/>
              </w:rPr>
              <w:t>105°20'17.57"</w:t>
            </w:r>
          </w:p>
        </w:tc>
        <w:tc>
          <w:tcPr>
            <w:tcW w:w="1225" w:type="dxa"/>
            <w:vAlign w:val="top"/>
          </w:tcPr>
          <w:p w14:paraId="0AAD16A0">
            <w:pPr>
              <w:pStyle w:val="6"/>
              <w:spacing w:before="103" w:line="188" w:lineRule="auto"/>
              <w:ind w:right="5"/>
              <w:jc w:val="right"/>
            </w:pPr>
            <w:r>
              <w:rPr>
                <w:spacing w:val="-1"/>
              </w:rPr>
              <w:t>29°41'37.63"</w:t>
            </w:r>
          </w:p>
        </w:tc>
      </w:tr>
      <w:tr w14:paraId="29D77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5F247527">
            <w:pPr>
              <w:rPr>
                <w:rFonts w:ascii="Arial"/>
                <w:sz w:val="21"/>
              </w:rPr>
            </w:pPr>
          </w:p>
        </w:tc>
        <w:tc>
          <w:tcPr>
            <w:tcW w:w="1301" w:type="dxa"/>
            <w:vMerge w:val="continue"/>
            <w:tcBorders>
              <w:top w:val="nil"/>
              <w:bottom w:val="nil"/>
            </w:tcBorders>
            <w:vAlign w:val="top"/>
          </w:tcPr>
          <w:p w14:paraId="67C3AE0F">
            <w:pPr>
              <w:rPr>
                <w:rFonts w:ascii="Arial"/>
                <w:sz w:val="21"/>
              </w:rPr>
            </w:pPr>
          </w:p>
        </w:tc>
        <w:tc>
          <w:tcPr>
            <w:tcW w:w="414" w:type="dxa"/>
            <w:vMerge w:val="continue"/>
            <w:tcBorders>
              <w:top w:val="nil"/>
              <w:bottom w:val="nil"/>
            </w:tcBorders>
            <w:textDirection w:val="tbRlV"/>
            <w:vAlign w:val="top"/>
          </w:tcPr>
          <w:p w14:paraId="60282C4D">
            <w:pPr>
              <w:rPr>
                <w:rFonts w:ascii="Arial"/>
                <w:sz w:val="21"/>
              </w:rPr>
            </w:pPr>
          </w:p>
        </w:tc>
        <w:tc>
          <w:tcPr>
            <w:tcW w:w="2835" w:type="dxa"/>
            <w:vMerge w:val="continue"/>
            <w:tcBorders>
              <w:top w:val="nil"/>
              <w:bottom w:val="nil"/>
            </w:tcBorders>
            <w:vAlign w:val="top"/>
          </w:tcPr>
          <w:p w14:paraId="22C91019">
            <w:pPr>
              <w:rPr>
                <w:rFonts w:ascii="Arial"/>
                <w:sz w:val="21"/>
              </w:rPr>
            </w:pPr>
          </w:p>
        </w:tc>
        <w:tc>
          <w:tcPr>
            <w:tcW w:w="709" w:type="dxa"/>
            <w:vAlign w:val="top"/>
          </w:tcPr>
          <w:p w14:paraId="16031B6E">
            <w:pPr>
              <w:pStyle w:val="6"/>
              <w:spacing w:before="107" w:line="185" w:lineRule="auto"/>
              <w:ind w:left="201"/>
            </w:pPr>
            <w:r>
              <w:rPr>
                <w:spacing w:val="-2"/>
              </w:rPr>
              <w:t>Ⅱ-5</w:t>
            </w:r>
          </w:p>
        </w:tc>
        <w:tc>
          <w:tcPr>
            <w:tcW w:w="1419" w:type="dxa"/>
            <w:vAlign w:val="top"/>
          </w:tcPr>
          <w:p w14:paraId="02E0D124">
            <w:pPr>
              <w:pStyle w:val="6"/>
              <w:spacing w:before="104" w:line="188" w:lineRule="auto"/>
              <w:ind w:left="131"/>
            </w:pPr>
            <w:r>
              <w:rPr>
                <w:spacing w:val="-2"/>
              </w:rPr>
              <w:t>105°20'12.16"</w:t>
            </w:r>
          </w:p>
        </w:tc>
        <w:tc>
          <w:tcPr>
            <w:tcW w:w="1225" w:type="dxa"/>
            <w:vAlign w:val="top"/>
          </w:tcPr>
          <w:p w14:paraId="24251381">
            <w:pPr>
              <w:pStyle w:val="6"/>
              <w:spacing w:before="104" w:line="188" w:lineRule="auto"/>
              <w:ind w:right="5"/>
              <w:jc w:val="right"/>
            </w:pPr>
            <w:r>
              <w:rPr>
                <w:spacing w:val="-1"/>
              </w:rPr>
              <w:t>29°41'53.64"</w:t>
            </w:r>
          </w:p>
        </w:tc>
      </w:tr>
      <w:tr w14:paraId="209E1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55B7F152">
            <w:pPr>
              <w:rPr>
                <w:rFonts w:ascii="Arial"/>
                <w:sz w:val="21"/>
              </w:rPr>
            </w:pPr>
          </w:p>
        </w:tc>
        <w:tc>
          <w:tcPr>
            <w:tcW w:w="1301" w:type="dxa"/>
            <w:vMerge w:val="continue"/>
            <w:tcBorders>
              <w:top w:val="nil"/>
              <w:bottom w:val="nil"/>
            </w:tcBorders>
            <w:vAlign w:val="top"/>
          </w:tcPr>
          <w:p w14:paraId="4F79899C">
            <w:pPr>
              <w:rPr>
                <w:rFonts w:ascii="Arial"/>
                <w:sz w:val="21"/>
              </w:rPr>
            </w:pPr>
          </w:p>
        </w:tc>
        <w:tc>
          <w:tcPr>
            <w:tcW w:w="414" w:type="dxa"/>
            <w:vMerge w:val="continue"/>
            <w:tcBorders>
              <w:top w:val="nil"/>
              <w:bottom w:val="nil"/>
            </w:tcBorders>
            <w:textDirection w:val="tbRlV"/>
            <w:vAlign w:val="top"/>
          </w:tcPr>
          <w:p w14:paraId="0B8FE2E6">
            <w:pPr>
              <w:rPr>
                <w:rFonts w:ascii="Arial"/>
                <w:sz w:val="21"/>
              </w:rPr>
            </w:pPr>
          </w:p>
        </w:tc>
        <w:tc>
          <w:tcPr>
            <w:tcW w:w="2835" w:type="dxa"/>
            <w:vMerge w:val="continue"/>
            <w:tcBorders>
              <w:top w:val="nil"/>
              <w:bottom w:val="nil"/>
            </w:tcBorders>
            <w:vAlign w:val="top"/>
          </w:tcPr>
          <w:p w14:paraId="4949BD8C">
            <w:pPr>
              <w:rPr>
                <w:rFonts w:ascii="Arial"/>
                <w:sz w:val="21"/>
              </w:rPr>
            </w:pPr>
          </w:p>
        </w:tc>
        <w:tc>
          <w:tcPr>
            <w:tcW w:w="709" w:type="dxa"/>
            <w:vAlign w:val="top"/>
          </w:tcPr>
          <w:p w14:paraId="54E27190">
            <w:pPr>
              <w:pStyle w:val="6"/>
              <w:spacing w:before="104" w:line="188" w:lineRule="auto"/>
              <w:ind w:left="201"/>
            </w:pPr>
            <w:r>
              <w:rPr>
                <w:spacing w:val="-2"/>
              </w:rPr>
              <w:t>Ⅱ-6</w:t>
            </w:r>
          </w:p>
        </w:tc>
        <w:tc>
          <w:tcPr>
            <w:tcW w:w="1419" w:type="dxa"/>
            <w:vAlign w:val="top"/>
          </w:tcPr>
          <w:p w14:paraId="0E652592">
            <w:pPr>
              <w:pStyle w:val="6"/>
              <w:spacing w:before="104" w:line="188" w:lineRule="auto"/>
              <w:ind w:left="131"/>
            </w:pPr>
            <w:r>
              <w:rPr>
                <w:spacing w:val="-2"/>
              </w:rPr>
              <w:t>105°20'15.45"</w:t>
            </w:r>
          </w:p>
        </w:tc>
        <w:tc>
          <w:tcPr>
            <w:tcW w:w="1225" w:type="dxa"/>
            <w:vAlign w:val="top"/>
          </w:tcPr>
          <w:p w14:paraId="17244ECD">
            <w:pPr>
              <w:pStyle w:val="6"/>
              <w:spacing w:before="104" w:line="188" w:lineRule="auto"/>
              <w:ind w:left="170"/>
            </w:pPr>
            <w:r>
              <w:rPr>
                <w:spacing w:val="-1"/>
              </w:rPr>
              <w:t>29°42'2.15"</w:t>
            </w:r>
          </w:p>
        </w:tc>
      </w:tr>
      <w:tr w14:paraId="016B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7" w:type="dxa"/>
            <w:vMerge w:val="continue"/>
            <w:tcBorders>
              <w:top w:val="nil"/>
              <w:bottom w:val="nil"/>
            </w:tcBorders>
            <w:textDirection w:val="tbRlV"/>
            <w:vAlign w:val="top"/>
          </w:tcPr>
          <w:p w14:paraId="112F9ECA">
            <w:pPr>
              <w:rPr>
                <w:rFonts w:ascii="Arial"/>
                <w:sz w:val="21"/>
              </w:rPr>
            </w:pPr>
          </w:p>
        </w:tc>
        <w:tc>
          <w:tcPr>
            <w:tcW w:w="1301" w:type="dxa"/>
            <w:vMerge w:val="continue"/>
            <w:tcBorders>
              <w:top w:val="nil"/>
              <w:bottom w:val="nil"/>
            </w:tcBorders>
            <w:vAlign w:val="top"/>
          </w:tcPr>
          <w:p w14:paraId="3F02FA4D">
            <w:pPr>
              <w:rPr>
                <w:rFonts w:ascii="Arial"/>
                <w:sz w:val="21"/>
              </w:rPr>
            </w:pPr>
          </w:p>
        </w:tc>
        <w:tc>
          <w:tcPr>
            <w:tcW w:w="414" w:type="dxa"/>
            <w:vMerge w:val="continue"/>
            <w:tcBorders>
              <w:top w:val="nil"/>
              <w:bottom w:val="nil"/>
            </w:tcBorders>
            <w:textDirection w:val="tbRlV"/>
            <w:vAlign w:val="top"/>
          </w:tcPr>
          <w:p w14:paraId="4B6B2730">
            <w:pPr>
              <w:rPr>
                <w:rFonts w:ascii="Arial"/>
                <w:sz w:val="21"/>
              </w:rPr>
            </w:pPr>
          </w:p>
        </w:tc>
        <w:tc>
          <w:tcPr>
            <w:tcW w:w="2835" w:type="dxa"/>
            <w:vMerge w:val="continue"/>
            <w:tcBorders>
              <w:top w:val="nil"/>
              <w:bottom w:val="nil"/>
            </w:tcBorders>
            <w:vAlign w:val="top"/>
          </w:tcPr>
          <w:p w14:paraId="35B91030">
            <w:pPr>
              <w:rPr>
                <w:rFonts w:ascii="Arial"/>
                <w:sz w:val="21"/>
              </w:rPr>
            </w:pPr>
          </w:p>
        </w:tc>
        <w:tc>
          <w:tcPr>
            <w:tcW w:w="709" w:type="dxa"/>
            <w:vAlign w:val="top"/>
          </w:tcPr>
          <w:p w14:paraId="18591033">
            <w:pPr>
              <w:pStyle w:val="6"/>
              <w:spacing w:before="107" w:line="185" w:lineRule="auto"/>
              <w:ind w:left="201"/>
            </w:pPr>
            <w:r>
              <w:rPr>
                <w:spacing w:val="-2"/>
              </w:rPr>
              <w:t>Ⅱ-7</w:t>
            </w:r>
          </w:p>
        </w:tc>
        <w:tc>
          <w:tcPr>
            <w:tcW w:w="1419" w:type="dxa"/>
            <w:vAlign w:val="top"/>
          </w:tcPr>
          <w:p w14:paraId="6BDF4203">
            <w:pPr>
              <w:pStyle w:val="6"/>
              <w:spacing w:before="104" w:line="188" w:lineRule="auto"/>
              <w:ind w:left="131"/>
            </w:pPr>
            <w:r>
              <w:rPr>
                <w:spacing w:val="-2"/>
              </w:rPr>
              <w:t>105°20'46.81"</w:t>
            </w:r>
          </w:p>
        </w:tc>
        <w:tc>
          <w:tcPr>
            <w:tcW w:w="1225" w:type="dxa"/>
            <w:vAlign w:val="top"/>
          </w:tcPr>
          <w:p w14:paraId="093691FC">
            <w:pPr>
              <w:pStyle w:val="6"/>
              <w:spacing w:before="104" w:line="188" w:lineRule="auto"/>
              <w:ind w:left="170"/>
            </w:pPr>
            <w:r>
              <w:rPr>
                <w:spacing w:val="-1"/>
              </w:rPr>
              <w:t>29°42'3.89"</w:t>
            </w:r>
          </w:p>
        </w:tc>
      </w:tr>
      <w:tr w14:paraId="043C7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67CD9856">
            <w:pPr>
              <w:rPr>
                <w:rFonts w:ascii="Arial"/>
                <w:sz w:val="21"/>
              </w:rPr>
            </w:pPr>
          </w:p>
        </w:tc>
        <w:tc>
          <w:tcPr>
            <w:tcW w:w="1301" w:type="dxa"/>
            <w:vMerge w:val="continue"/>
            <w:tcBorders>
              <w:top w:val="nil"/>
              <w:bottom w:val="nil"/>
            </w:tcBorders>
            <w:vAlign w:val="top"/>
          </w:tcPr>
          <w:p w14:paraId="672630E5">
            <w:pPr>
              <w:rPr>
                <w:rFonts w:ascii="Arial"/>
                <w:sz w:val="21"/>
              </w:rPr>
            </w:pPr>
          </w:p>
        </w:tc>
        <w:tc>
          <w:tcPr>
            <w:tcW w:w="414" w:type="dxa"/>
            <w:vMerge w:val="continue"/>
            <w:tcBorders>
              <w:top w:val="nil"/>
              <w:bottom w:val="nil"/>
            </w:tcBorders>
            <w:textDirection w:val="tbRlV"/>
            <w:vAlign w:val="top"/>
          </w:tcPr>
          <w:p w14:paraId="4855A9C9">
            <w:pPr>
              <w:rPr>
                <w:rFonts w:ascii="Arial"/>
                <w:sz w:val="21"/>
              </w:rPr>
            </w:pPr>
          </w:p>
        </w:tc>
        <w:tc>
          <w:tcPr>
            <w:tcW w:w="2835" w:type="dxa"/>
            <w:vMerge w:val="continue"/>
            <w:tcBorders>
              <w:top w:val="nil"/>
              <w:bottom w:val="nil"/>
            </w:tcBorders>
            <w:vAlign w:val="top"/>
          </w:tcPr>
          <w:p w14:paraId="50C2BA46">
            <w:pPr>
              <w:rPr>
                <w:rFonts w:ascii="Arial"/>
                <w:sz w:val="21"/>
              </w:rPr>
            </w:pPr>
          </w:p>
        </w:tc>
        <w:tc>
          <w:tcPr>
            <w:tcW w:w="709" w:type="dxa"/>
            <w:vAlign w:val="top"/>
          </w:tcPr>
          <w:p w14:paraId="7DF430DB">
            <w:pPr>
              <w:pStyle w:val="6"/>
              <w:spacing w:before="105" w:line="188" w:lineRule="auto"/>
              <w:ind w:left="201"/>
            </w:pPr>
            <w:r>
              <w:rPr>
                <w:spacing w:val="-2"/>
              </w:rPr>
              <w:t>Ⅱ-8</w:t>
            </w:r>
          </w:p>
        </w:tc>
        <w:tc>
          <w:tcPr>
            <w:tcW w:w="1419" w:type="dxa"/>
            <w:vAlign w:val="top"/>
          </w:tcPr>
          <w:p w14:paraId="40382A7D">
            <w:pPr>
              <w:pStyle w:val="6"/>
              <w:spacing w:before="105" w:line="188" w:lineRule="auto"/>
              <w:ind w:left="131"/>
            </w:pPr>
            <w:r>
              <w:rPr>
                <w:spacing w:val="-2"/>
              </w:rPr>
              <w:t>105°20'48.03"</w:t>
            </w:r>
          </w:p>
        </w:tc>
        <w:tc>
          <w:tcPr>
            <w:tcW w:w="1225" w:type="dxa"/>
            <w:vAlign w:val="top"/>
          </w:tcPr>
          <w:p w14:paraId="59BF80A5">
            <w:pPr>
              <w:pStyle w:val="6"/>
              <w:spacing w:before="105" w:line="188" w:lineRule="auto"/>
              <w:ind w:left="170"/>
            </w:pPr>
            <w:r>
              <w:rPr>
                <w:spacing w:val="-1"/>
              </w:rPr>
              <w:t>29°42'4.13"</w:t>
            </w:r>
          </w:p>
        </w:tc>
      </w:tr>
      <w:tr w14:paraId="6A793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1D2C3CCE">
            <w:pPr>
              <w:rPr>
                <w:rFonts w:ascii="Arial"/>
                <w:sz w:val="21"/>
              </w:rPr>
            </w:pPr>
          </w:p>
        </w:tc>
        <w:tc>
          <w:tcPr>
            <w:tcW w:w="1301" w:type="dxa"/>
            <w:vMerge w:val="continue"/>
            <w:tcBorders>
              <w:top w:val="nil"/>
              <w:bottom w:val="nil"/>
            </w:tcBorders>
            <w:vAlign w:val="top"/>
          </w:tcPr>
          <w:p w14:paraId="098E4420">
            <w:pPr>
              <w:rPr>
                <w:rFonts w:ascii="Arial"/>
                <w:sz w:val="21"/>
              </w:rPr>
            </w:pPr>
          </w:p>
        </w:tc>
        <w:tc>
          <w:tcPr>
            <w:tcW w:w="414" w:type="dxa"/>
            <w:vMerge w:val="continue"/>
            <w:tcBorders>
              <w:top w:val="nil"/>
              <w:bottom w:val="nil"/>
            </w:tcBorders>
            <w:textDirection w:val="tbRlV"/>
            <w:vAlign w:val="top"/>
          </w:tcPr>
          <w:p w14:paraId="4BC3D865">
            <w:pPr>
              <w:rPr>
                <w:rFonts w:ascii="Arial"/>
                <w:sz w:val="21"/>
              </w:rPr>
            </w:pPr>
          </w:p>
        </w:tc>
        <w:tc>
          <w:tcPr>
            <w:tcW w:w="2835" w:type="dxa"/>
            <w:vMerge w:val="continue"/>
            <w:tcBorders>
              <w:top w:val="nil"/>
              <w:bottom w:val="nil"/>
            </w:tcBorders>
            <w:vAlign w:val="top"/>
          </w:tcPr>
          <w:p w14:paraId="6A384957">
            <w:pPr>
              <w:rPr>
                <w:rFonts w:ascii="Arial"/>
                <w:sz w:val="21"/>
              </w:rPr>
            </w:pPr>
          </w:p>
        </w:tc>
        <w:tc>
          <w:tcPr>
            <w:tcW w:w="709" w:type="dxa"/>
            <w:vAlign w:val="top"/>
          </w:tcPr>
          <w:p w14:paraId="4C07D926">
            <w:pPr>
              <w:pStyle w:val="6"/>
              <w:spacing w:before="105" w:line="188" w:lineRule="auto"/>
              <w:ind w:left="201"/>
            </w:pPr>
            <w:r>
              <w:rPr>
                <w:spacing w:val="-2"/>
              </w:rPr>
              <w:t>Ⅱ-9</w:t>
            </w:r>
          </w:p>
        </w:tc>
        <w:tc>
          <w:tcPr>
            <w:tcW w:w="1419" w:type="dxa"/>
            <w:vAlign w:val="top"/>
          </w:tcPr>
          <w:p w14:paraId="368E0E18">
            <w:pPr>
              <w:pStyle w:val="6"/>
              <w:spacing w:before="105" w:line="188" w:lineRule="auto"/>
              <w:ind w:left="131"/>
            </w:pPr>
            <w:r>
              <w:rPr>
                <w:spacing w:val="-2"/>
              </w:rPr>
              <w:t>105°21'43.39"</w:t>
            </w:r>
          </w:p>
        </w:tc>
        <w:tc>
          <w:tcPr>
            <w:tcW w:w="1225" w:type="dxa"/>
            <w:vAlign w:val="top"/>
          </w:tcPr>
          <w:p w14:paraId="4E91E465">
            <w:pPr>
              <w:pStyle w:val="6"/>
              <w:spacing w:before="105" w:line="188" w:lineRule="auto"/>
              <w:ind w:left="170"/>
            </w:pPr>
            <w:r>
              <w:rPr>
                <w:spacing w:val="-1"/>
              </w:rPr>
              <w:t>29°42'0.76"</w:t>
            </w:r>
          </w:p>
        </w:tc>
      </w:tr>
      <w:tr w14:paraId="0237E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7" w:type="dxa"/>
            <w:vMerge w:val="continue"/>
            <w:tcBorders>
              <w:top w:val="nil"/>
              <w:bottom w:val="nil"/>
            </w:tcBorders>
            <w:textDirection w:val="tbRlV"/>
            <w:vAlign w:val="top"/>
          </w:tcPr>
          <w:p w14:paraId="4FF53BFF">
            <w:pPr>
              <w:rPr>
                <w:rFonts w:ascii="Arial"/>
                <w:sz w:val="21"/>
              </w:rPr>
            </w:pPr>
          </w:p>
        </w:tc>
        <w:tc>
          <w:tcPr>
            <w:tcW w:w="1301" w:type="dxa"/>
            <w:vMerge w:val="continue"/>
            <w:tcBorders>
              <w:top w:val="nil"/>
              <w:bottom w:val="nil"/>
            </w:tcBorders>
            <w:vAlign w:val="top"/>
          </w:tcPr>
          <w:p w14:paraId="16925361">
            <w:pPr>
              <w:rPr>
                <w:rFonts w:ascii="Arial"/>
                <w:sz w:val="21"/>
              </w:rPr>
            </w:pPr>
          </w:p>
        </w:tc>
        <w:tc>
          <w:tcPr>
            <w:tcW w:w="414" w:type="dxa"/>
            <w:vMerge w:val="continue"/>
            <w:tcBorders>
              <w:top w:val="nil"/>
              <w:bottom w:val="nil"/>
            </w:tcBorders>
            <w:textDirection w:val="tbRlV"/>
            <w:vAlign w:val="top"/>
          </w:tcPr>
          <w:p w14:paraId="230C9E1F">
            <w:pPr>
              <w:rPr>
                <w:rFonts w:ascii="Arial"/>
                <w:sz w:val="21"/>
              </w:rPr>
            </w:pPr>
          </w:p>
        </w:tc>
        <w:tc>
          <w:tcPr>
            <w:tcW w:w="2835" w:type="dxa"/>
            <w:vMerge w:val="continue"/>
            <w:tcBorders>
              <w:top w:val="nil"/>
              <w:bottom w:val="nil"/>
            </w:tcBorders>
            <w:vAlign w:val="top"/>
          </w:tcPr>
          <w:p w14:paraId="3C98BDE5">
            <w:pPr>
              <w:rPr>
                <w:rFonts w:ascii="Arial"/>
                <w:sz w:val="21"/>
              </w:rPr>
            </w:pPr>
          </w:p>
        </w:tc>
        <w:tc>
          <w:tcPr>
            <w:tcW w:w="709" w:type="dxa"/>
            <w:vAlign w:val="top"/>
          </w:tcPr>
          <w:p w14:paraId="05C575F0">
            <w:pPr>
              <w:pStyle w:val="6"/>
              <w:spacing w:before="105" w:line="188" w:lineRule="auto"/>
              <w:ind w:left="150"/>
            </w:pPr>
            <w:r>
              <w:rPr>
                <w:spacing w:val="-2"/>
              </w:rPr>
              <w:t>Ⅱ-10</w:t>
            </w:r>
          </w:p>
        </w:tc>
        <w:tc>
          <w:tcPr>
            <w:tcW w:w="1419" w:type="dxa"/>
            <w:vAlign w:val="top"/>
          </w:tcPr>
          <w:p w14:paraId="5284ABD2">
            <w:pPr>
              <w:pStyle w:val="6"/>
              <w:spacing w:before="105" w:line="188" w:lineRule="auto"/>
              <w:ind w:left="131"/>
            </w:pPr>
            <w:r>
              <w:rPr>
                <w:spacing w:val="-2"/>
              </w:rPr>
              <w:t>105°21'59.24"</w:t>
            </w:r>
          </w:p>
        </w:tc>
        <w:tc>
          <w:tcPr>
            <w:tcW w:w="1225" w:type="dxa"/>
            <w:vAlign w:val="top"/>
          </w:tcPr>
          <w:p w14:paraId="57D5862E">
            <w:pPr>
              <w:pStyle w:val="6"/>
              <w:spacing w:before="105" w:line="188" w:lineRule="auto"/>
              <w:ind w:right="5"/>
              <w:jc w:val="right"/>
            </w:pPr>
            <w:r>
              <w:rPr>
                <w:spacing w:val="-1"/>
              </w:rPr>
              <w:t>29°41'28.48"</w:t>
            </w:r>
          </w:p>
        </w:tc>
      </w:tr>
      <w:tr w14:paraId="68C7B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17" w:type="dxa"/>
            <w:vMerge w:val="continue"/>
            <w:tcBorders>
              <w:top w:val="nil"/>
              <w:bottom w:val="nil"/>
            </w:tcBorders>
            <w:textDirection w:val="tbRlV"/>
            <w:vAlign w:val="top"/>
          </w:tcPr>
          <w:p w14:paraId="3723ACA3">
            <w:pPr>
              <w:rPr>
                <w:rFonts w:ascii="Arial"/>
                <w:sz w:val="21"/>
              </w:rPr>
            </w:pPr>
          </w:p>
        </w:tc>
        <w:tc>
          <w:tcPr>
            <w:tcW w:w="1301" w:type="dxa"/>
            <w:vMerge w:val="continue"/>
            <w:tcBorders>
              <w:top w:val="nil"/>
              <w:bottom w:val="nil"/>
            </w:tcBorders>
            <w:vAlign w:val="top"/>
          </w:tcPr>
          <w:p w14:paraId="6A1B48B9">
            <w:pPr>
              <w:rPr>
                <w:rFonts w:ascii="Arial"/>
                <w:sz w:val="21"/>
              </w:rPr>
            </w:pPr>
          </w:p>
        </w:tc>
        <w:tc>
          <w:tcPr>
            <w:tcW w:w="414" w:type="dxa"/>
            <w:vMerge w:val="continue"/>
            <w:tcBorders>
              <w:top w:val="nil"/>
              <w:bottom w:val="nil"/>
            </w:tcBorders>
            <w:textDirection w:val="tbRlV"/>
            <w:vAlign w:val="top"/>
          </w:tcPr>
          <w:p w14:paraId="371114DC">
            <w:pPr>
              <w:rPr>
                <w:rFonts w:ascii="Arial"/>
                <w:sz w:val="21"/>
              </w:rPr>
            </w:pPr>
          </w:p>
        </w:tc>
        <w:tc>
          <w:tcPr>
            <w:tcW w:w="2835" w:type="dxa"/>
            <w:vMerge w:val="continue"/>
            <w:tcBorders>
              <w:top w:val="nil"/>
              <w:bottom w:val="nil"/>
            </w:tcBorders>
            <w:vAlign w:val="top"/>
          </w:tcPr>
          <w:p w14:paraId="669351D9">
            <w:pPr>
              <w:rPr>
                <w:rFonts w:ascii="Arial"/>
                <w:sz w:val="21"/>
              </w:rPr>
            </w:pPr>
          </w:p>
        </w:tc>
        <w:tc>
          <w:tcPr>
            <w:tcW w:w="709" w:type="dxa"/>
            <w:vAlign w:val="top"/>
          </w:tcPr>
          <w:p w14:paraId="6B882B95">
            <w:pPr>
              <w:pStyle w:val="6"/>
              <w:spacing w:before="106" w:line="188" w:lineRule="auto"/>
              <w:ind w:left="153"/>
            </w:pPr>
            <w:r>
              <w:rPr>
                <w:spacing w:val="-2"/>
              </w:rPr>
              <w:t>Ⅱ-11</w:t>
            </w:r>
          </w:p>
        </w:tc>
        <w:tc>
          <w:tcPr>
            <w:tcW w:w="1419" w:type="dxa"/>
            <w:vAlign w:val="top"/>
          </w:tcPr>
          <w:p w14:paraId="6B3F95D8">
            <w:pPr>
              <w:pStyle w:val="6"/>
              <w:spacing w:before="106" w:line="188" w:lineRule="auto"/>
              <w:ind w:left="131"/>
            </w:pPr>
            <w:r>
              <w:rPr>
                <w:spacing w:val="-2"/>
              </w:rPr>
              <w:t>105°21'43.73"</w:t>
            </w:r>
          </w:p>
        </w:tc>
        <w:tc>
          <w:tcPr>
            <w:tcW w:w="1225" w:type="dxa"/>
            <w:vAlign w:val="top"/>
          </w:tcPr>
          <w:p w14:paraId="3C06A2B6">
            <w:pPr>
              <w:pStyle w:val="6"/>
              <w:spacing w:before="106" w:line="188" w:lineRule="auto"/>
              <w:ind w:left="170"/>
            </w:pPr>
            <w:r>
              <w:rPr>
                <w:spacing w:val="-1"/>
              </w:rPr>
              <w:t>29°41'4.39"</w:t>
            </w:r>
          </w:p>
        </w:tc>
      </w:tr>
      <w:tr w14:paraId="3CD9B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417" w:type="dxa"/>
            <w:vMerge w:val="continue"/>
            <w:tcBorders>
              <w:top w:val="nil"/>
            </w:tcBorders>
            <w:textDirection w:val="tbRlV"/>
            <w:vAlign w:val="top"/>
          </w:tcPr>
          <w:p w14:paraId="1BFBCB06">
            <w:pPr>
              <w:rPr>
                <w:rFonts w:ascii="Arial"/>
                <w:sz w:val="21"/>
              </w:rPr>
            </w:pPr>
          </w:p>
        </w:tc>
        <w:tc>
          <w:tcPr>
            <w:tcW w:w="1301" w:type="dxa"/>
            <w:vMerge w:val="continue"/>
            <w:tcBorders>
              <w:top w:val="nil"/>
            </w:tcBorders>
            <w:vAlign w:val="top"/>
          </w:tcPr>
          <w:p w14:paraId="48C20806">
            <w:pPr>
              <w:rPr>
                <w:rFonts w:ascii="Arial"/>
                <w:sz w:val="21"/>
              </w:rPr>
            </w:pPr>
          </w:p>
        </w:tc>
        <w:tc>
          <w:tcPr>
            <w:tcW w:w="414" w:type="dxa"/>
            <w:vMerge w:val="continue"/>
            <w:tcBorders>
              <w:top w:val="nil"/>
            </w:tcBorders>
            <w:textDirection w:val="tbRlV"/>
            <w:vAlign w:val="top"/>
          </w:tcPr>
          <w:p w14:paraId="07553BE8">
            <w:pPr>
              <w:rPr>
                <w:rFonts w:ascii="Arial"/>
                <w:sz w:val="21"/>
              </w:rPr>
            </w:pPr>
          </w:p>
        </w:tc>
        <w:tc>
          <w:tcPr>
            <w:tcW w:w="2835" w:type="dxa"/>
            <w:vMerge w:val="continue"/>
            <w:tcBorders>
              <w:top w:val="nil"/>
            </w:tcBorders>
            <w:vAlign w:val="top"/>
          </w:tcPr>
          <w:p w14:paraId="2D1E7B4F">
            <w:pPr>
              <w:rPr>
                <w:rFonts w:ascii="Arial"/>
                <w:sz w:val="21"/>
              </w:rPr>
            </w:pPr>
          </w:p>
        </w:tc>
        <w:tc>
          <w:tcPr>
            <w:tcW w:w="709" w:type="dxa"/>
            <w:vAlign w:val="top"/>
          </w:tcPr>
          <w:p w14:paraId="7151ABC6">
            <w:pPr>
              <w:spacing w:line="289" w:lineRule="auto"/>
              <w:rPr>
                <w:rFonts w:ascii="Arial"/>
                <w:sz w:val="21"/>
              </w:rPr>
            </w:pPr>
          </w:p>
          <w:p w14:paraId="4A3FA38E">
            <w:pPr>
              <w:pStyle w:val="6"/>
              <w:spacing w:before="60" w:line="188" w:lineRule="auto"/>
              <w:ind w:left="150"/>
            </w:pPr>
            <w:r>
              <w:rPr>
                <w:spacing w:val="-2"/>
              </w:rPr>
              <w:t>Ⅱ-12</w:t>
            </w:r>
          </w:p>
        </w:tc>
        <w:tc>
          <w:tcPr>
            <w:tcW w:w="1419" w:type="dxa"/>
            <w:vAlign w:val="top"/>
          </w:tcPr>
          <w:p w14:paraId="4E0E4EAA">
            <w:pPr>
              <w:spacing w:line="289" w:lineRule="auto"/>
              <w:rPr>
                <w:rFonts w:ascii="Arial"/>
                <w:sz w:val="21"/>
              </w:rPr>
            </w:pPr>
          </w:p>
          <w:p w14:paraId="7FC5CE87">
            <w:pPr>
              <w:pStyle w:val="6"/>
              <w:spacing w:before="60" w:line="188" w:lineRule="auto"/>
              <w:ind w:left="131"/>
            </w:pPr>
            <w:r>
              <w:rPr>
                <w:spacing w:val="-2"/>
              </w:rPr>
              <w:t>105°21'36.70"</w:t>
            </w:r>
          </w:p>
        </w:tc>
        <w:tc>
          <w:tcPr>
            <w:tcW w:w="1225" w:type="dxa"/>
            <w:vAlign w:val="top"/>
          </w:tcPr>
          <w:p w14:paraId="7C0118FD">
            <w:pPr>
              <w:spacing w:line="289" w:lineRule="auto"/>
              <w:rPr>
                <w:rFonts w:ascii="Arial"/>
                <w:sz w:val="21"/>
              </w:rPr>
            </w:pPr>
          </w:p>
          <w:p w14:paraId="7989FF6C">
            <w:pPr>
              <w:pStyle w:val="6"/>
              <w:spacing w:before="60" w:line="188" w:lineRule="auto"/>
              <w:ind w:right="5"/>
              <w:jc w:val="right"/>
            </w:pPr>
            <w:r>
              <w:rPr>
                <w:spacing w:val="-1"/>
              </w:rPr>
              <w:t>29°40'59.40"</w:t>
            </w:r>
          </w:p>
        </w:tc>
      </w:tr>
    </w:tbl>
    <w:p w14:paraId="70D40905">
      <w:pPr>
        <w:spacing w:before="234" w:line="217" w:lineRule="auto"/>
        <w:ind w:left="519"/>
        <w:rPr>
          <w:rFonts w:ascii="宋体" w:hAnsi="宋体" w:eastAsia="宋体" w:cs="宋体"/>
          <w:sz w:val="24"/>
          <w:szCs w:val="24"/>
        </w:rPr>
      </w:pPr>
      <w:r>
        <w:rPr>
          <w:rFonts w:ascii="宋体" w:hAnsi="宋体" w:eastAsia="宋体" w:cs="宋体"/>
          <w:b/>
          <w:bCs/>
          <w:spacing w:val="-2"/>
          <w:sz w:val="24"/>
          <w:szCs w:val="24"/>
        </w:rPr>
        <w:t>②本项目与石子镇太和村饮用水水源保护区位置关系</w:t>
      </w:r>
    </w:p>
    <w:p w14:paraId="1A5E00D2">
      <w:pPr>
        <w:spacing w:before="184" w:line="361" w:lineRule="auto"/>
        <w:ind w:left="40" w:right="28" w:firstLine="480"/>
        <w:jc w:val="both"/>
        <w:rPr>
          <w:rFonts w:ascii="宋体" w:hAnsi="宋体" w:eastAsia="宋体" w:cs="宋体"/>
          <w:sz w:val="24"/>
          <w:szCs w:val="24"/>
        </w:rPr>
      </w:pPr>
      <w:r>
        <w:rPr>
          <w:rFonts w:ascii="宋体" w:hAnsi="宋体" w:eastAsia="宋体" w:cs="宋体"/>
          <w:sz w:val="24"/>
          <w:szCs w:val="24"/>
        </w:rPr>
        <w:t>本项目选址于内江市白合镇喻家沟</w:t>
      </w:r>
      <w:r>
        <w:rPr>
          <w:rFonts w:ascii="Times New Roman" w:hAnsi="Times New Roman" w:eastAsia="Times New Roman" w:cs="Times New Roman"/>
          <w:sz w:val="24"/>
          <w:szCs w:val="24"/>
        </w:rPr>
        <w:t>9</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12</w:t>
      </w:r>
      <w:r>
        <w:rPr>
          <w:rFonts w:ascii="宋体" w:hAnsi="宋体" w:eastAsia="宋体" w:cs="宋体"/>
          <w:sz w:val="24"/>
          <w:szCs w:val="24"/>
        </w:rPr>
        <w:t>组，选址</w:t>
      </w:r>
      <w:r>
        <w:rPr>
          <w:rFonts w:ascii="宋体" w:hAnsi="宋体" w:eastAsia="宋体" w:cs="宋体"/>
          <w:spacing w:val="-1"/>
          <w:sz w:val="24"/>
          <w:szCs w:val="24"/>
        </w:rPr>
        <w:t>不在石子镇太和村饮用水</w:t>
      </w:r>
      <w:r>
        <w:rPr>
          <w:rFonts w:ascii="宋体" w:hAnsi="宋体" w:eastAsia="宋体" w:cs="宋体"/>
          <w:spacing w:val="-3"/>
          <w:sz w:val="24"/>
          <w:szCs w:val="24"/>
        </w:rPr>
        <w:t>水源保护区范围内，分别处于山脊线的两侧。根据内江市广宇测绘科技有限公司提供的项目用地红线与石子镇太和村饮用水水源保护区</w:t>
      </w:r>
      <w:r>
        <w:rPr>
          <w:rFonts w:ascii="宋体" w:hAnsi="宋体" w:eastAsia="宋体" w:cs="宋体"/>
          <w:spacing w:val="-4"/>
          <w:sz w:val="24"/>
          <w:szCs w:val="24"/>
        </w:rPr>
        <w:t>位置关系测绘图（详见附</w:t>
      </w:r>
      <w:r>
        <w:rPr>
          <w:rFonts w:ascii="宋体" w:hAnsi="宋体" w:eastAsia="宋体" w:cs="宋体"/>
          <w:sz w:val="24"/>
          <w:szCs w:val="24"/>
        </w:rPr>
        <w:t>图</w:t>
      </w:r>
      <w:r>
        <w:rPr>
          <w:rFonts w:ascii="Times New Roman" w:hAnsi="Times New Roman" w:eastAsia="Times New Roman" w:cs="Times New Roman"/>
          <w:sz w:val="24"/>
          <w:szCs w:val="24"/>
        </w:rPr>
        <w:t>6</w:t>
      </w:r>
      <w:r>
        <w:rPr>
          <w:rFonts w:ascii="宋体" w:hAnsi="宋体" w:eastAsia="宋体" w:cs="宋体"/>
          <w:spacing w:val="4"/>
          <w:sz w:val="24"/>
          <w:szCs w:val="24"/>
        </w:rPr>
        <w:t>），</w:t>
      </w:r>
      <w:r>
        <w:rPr>
          <w:rFonts w:ascii="宋体" w:hAnsi="宋体" w:eastAsia="宋体" w:cs="宋体"/>
          <w:sz w:val="24"/>
          <w:szCs w:val="24"/>
        </w:rPr>
        <w:t>本项目与石子镇太和村取水点直线距离为</w:t>
      </w:r>
      <w:r>
        <w:rPr>
          <w:rFonts w:ascii="Times New Roman" w:hAnsi="Times New Roman" w:eastAsia="Times New Roman" w:cs="Times New Roman"/>
          <w:sz w:val="24"/>
          <w:szCs w:val="24"/>
        </w:rPr>
        <w:t>1054.29m</w:t>
      </w:r>
      <w:r>
        <w:rPr>
          <w:rFonts w:ascii="宋体" w:hAnsi="宋体" w:eastAsia="宋体" w:cs="宋体"/>
          <w:sz w:val="24"/>
          <w:szCs w:val="24"/>
        </w:rPr>
        <w:t>、与五桂溪一级保护区最近直线距离</w:t>
      </w:r>
      <w:r>
        <w:rPr>
          <w:rFonts w:ascii="Times New Roman" w:hAnsi="Times New Roman" w:eastAsia="Times New Roman" w:cs="Times New Roman"/>
          <w:sz w:val="24"/>
          <w:szCs w:val="24"/>
        </w:rPr>
        <w:t>701.90m</w:t>
      </w:r>
      <w:r>
        <w:rPr>
          <w:rFonts w:ascii="宋体" w:hAnsi="宋体" w:eastAsia="宋体" w:cs="宋体"/>
          <w:sz w:val="24"/>
          <w:szCs w:val="24"/>
        </w:rPr>
        <w:t>、与五桂溪二级保护区最近直</w:t>
      </w:r>
      <w:r>
        <w:rPr>
          <w:rFonts w:ascii="宋体" w:hAnsi="宋体" w:eastAsia="宋体" w:cs="宋体"/>
          <w:spacing w:val="-1"/>
          <w:sz w:val="24"/>
          <w:szCs w:val="24"/>
        </w:rPr>
        <w:t>线距离</w:t>
      </w:r>
      <w:r>
        <w:rPr>
          <w:rFonts w:ascii="Times New Roman" w:hAnsi="Times New Roman" w:eastAsia="Times New Roman" w:cs="Times New Roman"/>
          <w:spacing w:val="-1"/>
          <w:sz w:val="24"/>
          <w:szCs w:val="24"/>
        </w:rPr>
        <w:t>12.28m</w:t>
      </w:r>
      <w:r>
        <w:rPr>
          <w:rFonts w:ascii="宋体" w:hAnsi="宋体" w:eastAsia="宋体" w:cs="宋体"/>
          <w:spacing w:val="-1"/>
          <w:sz w:val="24"/>
          <w:szCs w:val="24"/>
        </w:rPr>
        <w:t>。</w:t>
      </w:r>
    </w:p>
    <w:p w14:paraId="607837EF">
      <w:pPr>
        <w:spacing w:line="361" w:lineRule="auto"/>
        <w:rPr>
          <w:rFonts w:ascii="宋体" w:hAnsi="宋体" w:eastAsia="宋体" w:cs="宋体"/>
          <w:sz w:val="24"/>
          <w:szCs w:val="24"/>
        </w:rPr>
        <w:sectPr>
          <w:headerReference r:id="rId249" w:type="default"/>
          <w:footerReference r:id="rId250" w:type="default"/>
          <w:pgSz w:w="11905" w:h="16840"/>
          <w:pgMar w:top="1168" w:right="1768" w:bottom="1409" w:left="1770" w:header="828" w:footer="1244" w:gutter="0"/>
          <w:cols w:space="720" w:num="1"/>
        </w:sectPr>
      </w:pPr>
    </w:p>
    <w:p w14:paraId="3CF135BF">
      <w:pPr>
        <w:pStyle w:val="2"/>
        <w:spacing w:line="306" w:lineRule="auto"/>
      </w:pPr>
    </w:p>
    <w:p w14:paraId="1DDE92BE">
      <w:pPr>
        <w:spacing w:before="78" w:line="217" w:lineRule="auto"/>
        <w:ind w:left="519"/>
        <w:rPr>
          <w:rFonts w:ascii="宋体" w:hAnsi="宋体" w:eastAsia="宋体" w:cs="宋体"/>
          <w:sz w:val="24"/>
          <w:szCs w:val="24"/>
        </w:rPr>
      </w:pPr>
      <w:r>
        <w:rPr>
          <w:rFonts w:ascii="宋体" w:hAnsi="宋体" w:eastAsia="宋体" w:cs="宋体"/>
          <w:b/>
          <w:bCs/>
          <w:spacing w:val="-2"/>
          <w:sz w:val="24"/>
          <w:szCs w:val="24"/>
        </w:rPr>
        <w:t>③白石联合集中供水站取水泵房迁移情况</w:t>
      </w:r>
    </w:p>
    <w:p w14:paraId="65C29A2D">
      <w:pPr>
        <w:spacing w:before="185" w:line="360" w:lineRule="auto"/>
        <w:ind w:left="38" w:right="118" w:firstLine="476"/>
        <w:jc w:val="both"/>
        <w:rPr>
          <w:rFonts w:ascii="宋体" w:hAnsi="宋体" w:eastAsia="宋体" w:cs="宋体"/>
          <w:sz w:val="24"/>
          <w:szCs w:val="24"/>
        </w:rPr>
      </w:pPr>
      <w:r>
        <w:rPr>
          <w:rFonts w:ascii="Times New Roman" w:hAnsi="Times New Roman" w:eastAsia="Times New Roman" w:cs="Times New Roman"/>
          <w:spacing w:val="1"/>
          <w:sz w:val="24"/>
          <w:szCs w:val="24"/>
        </w:rPr>
        <w:t>2023</w:t>
      </w:r>
      <w:r>
        <w:rPr>
          <w:rFonts w:ascii="宋体" w:hAnsi="宋体" w:eastAsia="宋体" w:cs="宋体"/>
          <w:spacing w:val="1"/>
          <w:sz w:val="24"/>
          <w:szCs w:val="24"/>
        </w:rPr>
        <w:t>年</w:t>
      </w:r>
      <w:r>
        <w:rPr>
          <w:rFonts w:ascii="Times New Roman" w:hAnsi="Times New Roman" w:eastAsia="Times New Roman" w:cs="Times New Roman"/>
          <w:spacing w:val="1"/>
          <w:sz w:val="24"/>
          <w:szCs w:val="24"/>
        </w:rPr>
        <w:t>2</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20</w:t>
      </w:r>
      <w:r>
        <w:rPr>
          <w:rFonts w:ascii="宋体" w:hAnsi="宋体" w:eastAsia="宋体" w:cs="宋体"/>
          <w:spacing w:val="1"/>
          <w:sz w:val="24"/>
          <w:szCs w:val="24"/>
        </w:rPr>
        <w:t>日，内江市东兴区水利局、</w:t>
      </w:r>
      <w:r>
        <w:rPr>
          <w:rFonts w:ascii="宋体" w:hAnsi="宋体" w:eastAsia="宋体" w:cs="宋体"/>
          <w:sz w:val="24"/>
          <w:szCs w:val="24"/>
        </w:rPr>
        <w:t>内江市东兴生态环境局联合向东兴区人民政府请示向上游迁移白石联合集中供水站取水泵房，</w:t>
      </w:r>
      <w:r>
        <w:rPr>
          <w:rFonts w:ascii="Times New Roman" w:hAnsi="Times New Roman" w:eastAsia="Times New Roman" w:cs="Times New Roman"/>
          <w:sz w:val="24"/>
          <w:szCs w:val="24"/>
        </w:rPr>
        <w:t>2023</w:t>
      </w:r>
      <w:r>
        <w:rPr>
          <w:rFonts w:ascii="宋体" w:hAnsi="宋体" w:eastAsia="宋体" w:cs="宋体"/>
          <w:sz w:val="24"/>
          <w:szCs w:val="24"/>
        </w:rPr>
        <w:t>年</w:t>
      </w:r>
      <w:r>
        <w:rPr>
          <w:rFonts w:ascii="Times New Roman" w:hAnsi="Times New Roman" w:eastAsia="Times New Roman" w:cs="Times New Roman"/>
          <w:sz w:val="24"/>
          <w:szCs w:val="24"/>
        </w:rPr>
        <w:t>2</w:t>
      </w:r>
      <w:r>
        <w:rPr>
          <w:rFonts w:ascii="宋体" w:hAnsi="宋体" w:eastAsia="宋体" w:cs="宋体"/>
          <w:sz w:val="24"/>
          <w:szCs w:val="24"/>
        </w:rPr>
        <w:t>月</w:t>
      </w:r>
      <w:r>
        <w:rPr>
          <w:rFonts w:ascii="Times New Roman" w:hAnsi="Times New Roman" w:eastAsia="Times New Roman" w:cs="Times New Roman"/>
          <w:sz w:val="24"/>
          <w:szCs w:val="24"/>
        </w:rPr>
        <w:t>27</w:t>
      </w:r>
      <w:r>
        <w:rPr>
          <w:rFonts w:ascii="宋体" w:hAnsi="宋体" w:eastAsia="宋体" w:cs="宋体"/>
          <w:sz w:val="24"/>
          <w:szCs w:val="24"/>
        </w:rPr>
        <w:t>日取得</w:t>
      </w:r>
      <w:r>
        <w:rPr>
          <w:rFonts w:ascii="宋体" w:hAnsi="宋体" w:eastAsia="宋体" w:cs="宋体"/>
          <w:spacing w:val="-3"/>
          <w:sz w:val="24"/>
          <w:szCs w:val="24"/>
        </w:rPr>
        <w:t>区长同意批示（详见附件</w:t>
      </w:r>
      <w:r>
        <w:rPr>
          <w:rFonts w:ascii="Times New Roman" w:hAnsi="Times New Roman" w:eastAsia="Times New Roman" w:cs="Times New Roman"/>
          <w:spacing w:val="-3"/>
          <w:sz w:val="24"/>
          <w:szCs w:val="24"/>
        </w:rPr>
        <w:t>17</w:t>
      </w:r>
      <w:r>
        <w:rPr>
          <w:rFonts w:ascii="宋体" w:hAnsi="宋体" w:eastAsia="宋体" w:cs="宋体"/>
          <w:spacing w:val="3"/>
          <w:sz w:val="24"/>
          <w:szCs w:val="24"/>
        </w:rPr>
        <w:t>），</w:t>
      </w:r>
      <w:r>
        <w:rPr>
          <w:rFonts w:ascii="宋体" w:hAnsi="宋体" w:eastAsia="宋体" w:cs="宋体"/>
          <w:spacing w:val="-3"/>
          <w:sz w:val="24"/>
          <w:szCs w:val="24"/>
        </w:rPr>
        <w:t>目前取水泵房迁移工作正</w:t>
      </w:r>
      <w:r>
        <w:rPr>
          <w:rFonts w:ascii="宋体" w:hAnsi="宋体" w:eastAsia="宋体" w:cs="宋体"/>
          <w:spacing w:val="-4"/>
          <w:sz w:val="24"/>
          <w:szCs w:val="24"/>
        </w:rPr>
        <w:t>在进行泵房选址、设计及取水许可手续办理。</w:t>
      </w:r>
    </w:p>
    <w:p w14:paraId="44035B8C">
      <w:pPr>
        <w:spacing w:line="360" w:lineRule="auto"/>
        <w:ind w:left="38" w:right="120" w:firstLine="480"/>
        <w:jc w:val="both"/>
        <w:rPr>
          <w:rFonts w:ascii="宋体" w:hAnsi="宋体" w:eastAsia="宋体" w:cs="宋体"/>
          <w:sz w:val="24"/>
          <w:szCs w:val="24"/>
        </w:rPr>
      </w:pPr>
      <w:r>
        <w:rPr>
          <w:rFonts w:ascii="宋体" w:hAnsi="宋体" w:eastAsia="宋体" w:cs="宋体"/>
          <w:spacing w:val="-3"/>
          <w:sz w:val="24"/>
          <w:szCs w:val="24"/>
        </w:rPr>
        <w:t>根据白石联合集中供水站取水泵房迁移设计资料，取水泵房将在</w:t>
      </w:r>
      <w:r>
        <w:rPr>
          <w:rFonts w:ascii="宋体" w:hAnsi="宋体" w:eastAsia="宋体" w:cs="宋体"/>
          <w:spacing w:val="-4"/>
          <w:sz w:val="24"/>
          <w:szCs w:val="24"/>
        </w:rPr>
        <w:t>现址向上游</w:t>
      </w:r>
      <w:r>
        <w:rPr>
          <w:rFonts w:ascii="宋体" w:hAnsi="宋体" w:eastAsia="宋体" w:cs="宋体"/>
          <w:spacing w:val="-1"/>
          <w:sz w:val="24"/>
          <w:szCs w:val="24"/>
        </w:rPr>
        <w:t>迁移</w:t>
      </w:r>
      <w:r>
        <w:rPr>
          <w:rFonts w:ascii="Times New Roman" w:hAnsi="Times New Roman" w:eastAsia="Times New Roman" w:cs="Times New Roman"/>
          <w:spacing w:val="-1"/>
          <w:sz w:val="24"/>
          <w:szCs w:val="24"/>
        </w:rPr>
        <w:t>742m</w:t>
      </w:r>
      <w:r>
        <w:rPr>
          <w:rFonts w:ascii="宋体" w:hAnsi="宋体" w:eastAsia="宋体" w:cs="宋体"/>
          <w:spacing w:val="-1"/>
          <w:sz w:val="24"/>
          <w:szCs w:val="24"/>
        </w:rPr>
        <w:t>，泵房选址于大清流河右岸，与下游五桂溪距离约</w:t>
      </w:r>
      <w:r>
        <w:rPr>
          <w:rFonts w:ascii="Times New Roman" w:hAnsi="Times New Roman" w:eastAsia="Times New Roman" w:cs="Times New Roman"/>
          <w:spacing w:val="-1"/>
          <w:sz w:val="24"/>
          <w:szCs w:val="24"/>
        </w:rPr>
        <w:t>647m</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w:t>
      </w:r>
      <w:r>
        <w:rPr>
          <w:rFonts w:ascii="宋体" w:hAnsi="宋体" w:eastAsia="宋体" w:cs="宋体"/>
          <w:b/>
          <w:bCs/>
          <w:spacing w:val="-1"/>
          <w:sz w:val="24"/>
          <w:szCs w:val="24"/>
        </w:rPr>
        <w:t>环</w:t>
      </w:r>
      <w:r>
        <w:rPr>
          <w:rFonts w:ascii="宋体" w:hAnsi="宋体" w:eastAsia="宋体" w:cs="宋体"/>
          <w:b/>
          <w:bCs/>
          <w:spacing w:val="-2"/>
          <w:sz w:val="24"/>
          <w:szCs w:val="24"/>
        </w:rPr>
        <w:t>评要求，</w:t>
      </w:r>
      <w:r>
        <w:rPr>
          <w:rFonts w:ascii="宋体" w:hAnsi="宋体" w:eastAsia="宋体" w:cs="宋体"/>
          <w:b/>
          <w:bCs/>
          <w:spacing w:val="-3"/>
          <w:sz w:val="24"/>
          <w:szCs w:val="24"/>
        </w:rPr>
        <w:t>本项目需在白石联合集中供水站取水泵房迁移后方能投入</w:t>
      </w:r>
      <w:r>
        <w:rPr>
          <w:rFonts w:ascii="宋体" w:hAnsi="宋体" w:eastAsia="宋体" w:cs="宋体"/>
          <w:b/>
          <w:bCs/>
          <w:spacing w:val="-4"/>
          <w:sz w:val="24"/>
          <w:szCs w:val="24"/>
        </w:rPr>
        <w:t>运行。</w:t>
      </w:r>
    </w:p>
    <w:p w14:paraId="6FB20572">
      <w:pPr>
        <w:spacing w:line="217" w:lineRule="auto"/>
        <w:ind w:left="519"/>
        <w:rPr>
          <w:rFonts w:ascii="宋体" w:hAnsi="宋体" w:eastAsia="宋体" w:cs="宋体"/>
          <w:sz w:val="24"/>
          <w:szCs w:val="24"/>
        </w:rPr>
      </w:pPr>
      <w:r>
        <w:rPr>
          <w:rFonts w:ascii="宋体" w:hAnsi="宋体" w:eastAsia="宋体" w:cs="宋体"/>
          <w:b/>
          <w:bCs/>
          <w:spacing w:val="-2"/>
          <w:sz w:val="24"/>
          <w:szCs w:val="24"/>
        </w:rPr>
        <w:t>④本项目与拟重新划定的石子镇太和村饮用水水源保护区位置关系</w:t>
      </w:r>
    </w:p>
    <w:p w14:paraId="266741E7">
      <w:pPr>
        <w:spacing w:before="185" w:line="360" w:lineRule="auto"/>
        <w:ind w:left="40" w:firstLine="478"/>
        <w:jc w:val="both"/>
        <w:rPr>
          <w:rFonts w:ascii="宋体" w:hAnsi="宋体" w:eastAsia="宋体" w:cs="宋体"/>
          <w:sz w:val="24"/>
          <w:szCs w:val="24"/>
        </w:rPr>
      </w:pPr>
      <w:r>
        <w:rPr>
          <w:rFonts w:ascii="宋体" w:hAnsi="宋体" w:eastAsia="宋体" w:cs="宋体"/>
          <w:spacing w:val="-3"/>
          <w:sz w:val="24"/>
          <w:szCs w:val="24"/>
        </w:rPr>
        <w:t>在白石联合集中供水站取水泵房向上游迁移实施后，将进行石子镇</w:t>
      </w:r>
      <w:r>
        <w:rPr>
          <w:rFonts w:ascii="宋体" w:hAnsi="宋体" w:eastAsia="宋体" w:cs="宋体"/>
          <w:spacing w:val="-4"/>
          <w:sz w:val="24"/>
          <w:szCs w:val="24"/>
        </w:rPr>
        <w:t>太和村饮</w:t>
      </w:r>
      <w:r>
        <w:rPr>
          <w:rFonts w:ascii="宋体" w:hAnsi="宋体" w:eastAsia="宋体" w:cs="宋体"/>
          <w:spacing w:val="-3"/>
          <w:sz w:val="24"/>
          <w:szCs w:val="24"/>
        </w:rPr>
        <w:t>用水水源保护区重新划定工作，鉴于该工作尚未有成</w:t>
      </w:r>
      <w:r>
        <w:rPr>
          <w:rFonts w:ascii="宋体" w:hAnsi="宋体" w:eastAsia="宋体" w:cs="宋体"/>
          <w:spacing w:val="-4"/>
          <w:sz w:val="24"/>
          <w:szCs w:val="24"/>
        </w:rPr>
        <w:t>果。本次评价根据《饮用水</w:t>
      </w:r>
      <w:r>
        <w:rPr>
          <w:rFonts w:ascii="宋体" w:hAnsi="宋体" w:eastAsia="宋体" w:cs="宋体"/>
          <w:spacing w:val="-6"/>
          <w:sz w:val="24"/>
          <w:szCs w:val="24"/>
        </w:rPr>
        <w:t>水源保护区划分技术规范》（</w:t>
      </w:r>
      <w:r>
        <w:rPr>
          <w:rFonts w:ascii="Times New Roman" w:hAnsi="Times New Roman" w:eastAsia="Times New Roman" w:cs="Times New Roman"/>
          <w:spacing w:val="-6"/>
          <w:sz w:val="24"/>
          <w:szCs w:val="24"/>
        </w:rPr>
        <w:t>HJ338-2018</w:t>
      </w:r>
      <w:r>
        <w:rPr>
          <w:rFonts w:ascii="宋体" w:hAnsi="宋体" w:eastAsia="宋体" w:cs="宋体"/>
          <w:spacing w:val="-6"/>
          <w:sz w:val="24"/>
          <w:szCs w:val="24"/>
        </w:rPr>
        <w:t>）对</w:t>
      </w:r>
      <w:r>
        <w:rPr>
          <w:rFonts w:ascii="宋体" w:hAnsi="宋体" w:eastAsia="宋体" w:cs="宋体"/>
          <w:spacing w:val="-86"/>
          <w:sz w:val="24"/>
          <w:szCs w:val="24"/>
        </w:rPr>
        <w:t xml:space="preserve"> </w:t>
      </w:r>
      <w:r>
        <w:rPr>
          <w:rFonts w:ascii="宋体" w:hAnsi="宋体" w:eastAsia="宋体" w:cs="宋体"/>
          <w:spacing w:val="-6"/>
          <w:sz w:val="24"/>
          <w:szCs w:val="24"/>
        </w:rPr>
        <w:t>“河流型饮用水水源保护区的划分”</w:t>
      </w:r>
      <w:r>
        <w:rPr>
          <w:rFonts w:ascii="宋体" w:hAnsi="宋体" w:eastAsia="宋体" w:cs="宋体"/>
          <w:spacing w:val="-1"/>
          <w:sz w:val="24"/>
          <w:szCs w:val="24"/>
        </w:rPr>
        <w:t>规定，分析本项目与拟重新划定的石子镇太和村饮用</w:t>
      </w:r>
      <w:r>
        <w:rPr>
          <w:rFonts w:ascii="宋体" w:hAnsi="宋体" w:eastAsia="宋体" w:cs="宋体"/>
          <w:spacing w:val="-2"/>
          <w:sz w:val="24"/>
          <w:szCs w:val="24"/>
        </w:rPr>
        <w:t>水水源保护区位置关系。</w:t>
      </w:r>
    </w:p>
    <w:p w14:paraId="247A8C39">
      <w:pPr>
        <w:spacing w:line="360" w:lineRule="auto"/>
        <w:ind w:left="40" w:right="130" w:firstLine="479"/>
        <w:rPr>
          <w:rFonts w:ascii="宋体" w:hAnsi="宋体" w:eastAsia="宋体" w:cs="宋体"/>
          <w:sz w:val="24"/>
          <w:szCs w:val="24"/>
        </w:rPr>
      </w:pPr>
      <w:r>
        <w:rPr>
          <w:rFonts w:ascii="宋体" w:hAnsi="宋体" w:eastAsia="宋体" w:cs="宋体"/>
          <w:spacing w:val="-2"/>
          <w:sz w:val="24"/>
          <w:szCs w:val="24"/>
        </w:rPr>
        <w:t>根据《饮用水水源保护区划分技术规范》（</w:t>
      </w:r>
      <w:r>
        <w:rPr>
          <w:rFonts w:ascii="Times New Roman" w:hAnsi="Times New Roman" w:eastAsia="Times New Roman" w:cs="Times New Roman"/>
          <w:spacing w:val="-2"/>
          <w:sz w:val="24"/>
          <w:szCs w:val="24"/>
        </w:rPr>
        <w:t>HJ338-201</w:t>
      </w:r>
      <w:r>
        <w:rPr>
          <w:rFonts w:ascii="Times New Roman" w:hAnsi="Times New Roman" w:eastAsia="Times New Roman" w:cs="Times New Roman"/>
          <w:spacing w:val="-3"/>
          <w:sz w:val="24"/>
          <w:szCs w:val="24"/>
        </w:rPr>
        <w:t>8</w:t>
      </w:r>
      <w:r>
        <w:rPr>
          <w:rFonts w:ascii="宋体" w:hAnsi="宋体" w:eastAsia="宋体" w:cs="宋体"/>
          <w:spacing w:val="-11"/>
          <w:sz w:val="24"/>
          <w:szCs w:val="24"/>
        </w:rPr>
        <w:t>），</w:t>
      </w:r>
      <w:r>
        <w:rPr>
          <w:rFonts w:ascii="宋体" w:hAnsi="宋体" w:eastAsia="宋体" w:cs="宋体"/>
          <w:spacing w:val="-3"/>
          <w:sz w:val="24"/>
          <w:szCs w:val="24"/>
        </w:rPr>
        <w:t>可采用类比经验法确定一级保护区、二级保护区水域、陆域范围：</w:t>
      </w:r>
    </w:p>
    <w:p w14:paraId="2332921A">
      <w:pPr>
        <w:spacing w:line="219" w:lineRule="auto"/>
        <w:ind w:left="521"/>
        <w:rPr>
          <w:rFonts w:ascii="宋体" w:hAnsi="宋体" w:eastAsia="宋体" w:cs="宋体"/>
          <w:sz w:val="24"/>
          <w:szCs w:val="24"/>
        </w:rPr>
      </w:pPr>
      <w:r>
        <w:rPr>
          <w:rFonts w:ascii="Times New Roman" w:hAnsi="Times New Roman" w:eastAsia="Times New Roman" w:cs="Times New Roman"/>
          <w:spacing w:val="-1"/>
          <w:sz w:val="24"/>
          <w:szCs w:val="24"/>
        </w:rPr>
        <w:t xml:space="preserve">5.1.1  </w:t>
      </w:r>
      <w:r>
        <w:rPr>
          <w:rFonts w:ascii="宋体" w:hAnsi="宋体" w:eastAsia="宋体" w:cs="宋体"/>
          <w:spacing w:val="-1"/>
          <w:sz w:val="24"/>
          <w:szCs w:val="24"/>
        </w:rPr>
        <w:t>一级保护区水域范围</w:t>
      </w:r>
    </w:p>
    <w:p w14:paraId="711EB79B">
      <w:pPr>
        <w:spacing w:before="183" w:line="360" w:lineRule="auto"/>
        <w:ind w:left="38" w:right="121" w:firstLine="484"/>
        <w:rPr>
          <w:rFonts w:ascii="宋体" w:hAnsi="宋体" w:eastAsia="宋体" w:cs="宋体"/>
          <w:sz w:val="24"/>
          <w:szCs w:val="24"/>
        </w:rPr>
      </w:pPr>
      <w:r>
        <w:rPr>
          <w:rFonts w:ascii="宋体" w:hAnsi="宋体" w:eastAsia="宋体" w:cs="宋体"/>
          <w:spacing w:val="-2"/>
          <w:sz w:val="24"/>
          <w:szCs w:val="24"/>
        </w:rPr>
        <w:t>一般河流水源地，一级保护区水域长度为取水口上游不小于</w:t>
      </w:r>
      <w:r>
        <w:rPr>
          <w:rFonts w:ascii="Times New Roman" w:hAnsi="Times New Roman" w:eastAsia="Times New Roman" w:cs="Times New Roman"/>
          <w:spacing w:val="-2"/>
          <w:sz w:val="24"/>
          <w:szCs w:val="24"/>
        </w:rPr>
        <w:t>1000m</w:t>
      </w:r>
      <w:r>
        <w:rPr>
          <w:rFonts w:ascii="宋体" w:hAnsi="宋体" w:eastAsia="宋体" w:cs="宋体"/>
          <w:spacing w:val="-2"/>
          <w:sz w:val="24"/>
          <w:szCs w:val="24"/>
        </w:rPr>
        <w:t>，下游不</w:t>
      </w:r>
      <w:r>
        <w:rPr>
          <w:rFonts w:ascii="宋体" w:hAnsi="宋体" w:eastAsia="宋体" w:cs="宋体"/>
          <w:spacing w:val="2"/>
          <w:sz w:val="24"/>
          <w:szCs w:val="24"/>
        </w:rPr>
        <w:t>小于</w:t>
      </w:r>
      <w:r>
        <w:rPr>
          <w:rFonts w:ascii="Times New Roman" w:hAnsi="Times New Roman" w:eastAsia="Times New Roman" w:cs="Times New Roman"/>
          <w:spacing w:val="2"/>
          <w:sz w:val="24"/>
          <w:szCs w:val="24"/>
        </w:rPr>
        <w:t>100m</w:t>
      </w:r>
      <w:r>
        <w:rPr>
          <w:rFonts w:ascii="宋体" w:hAnsi="宋体" w:eastAsia="宋体" w:cs="宋体"/>
          <w:spacing w:val="2"/>
          <w:sz w:val="24"/>
          <w:szCs w:val="24"/>
        </w:rPr>
        <w:t>范围内的河道水域。一级保护区水域宽度，为多年平均水位对</w:t>
      </w:r>
      <w:r>
        <w:rPr>
          <w:rFonts w:ascii="宋体" w:hAnsi="宋体" w:eastAsia="宋体" w:cs="宋体"/>
          <w:spacing w:val="1"/>
          <w:sz w:val="24"/>
          <w:szCs w:val="24"/>
        </w:rPr>
        <w:t>应的高</w:t>
      </w:r>
      <w:r>
        <w:rPr>
          <w:rFonts w:ascii="宋体" w:hAnsi="宋体" w:eastAsia="宋体" w:cs="宋体"/>
          <w:spacing w:val="-3"/>
          <w:sz w:val="24"/>
          <w:szCs w:val="24"/>
        </w:rPr>
        <w:t>程线下的水域。非通航河道为整个河道范围。</w:t>
      </w:r>
    </w:p>
    <w:p w14:paraId="5287F3E5">
      <w:pPr>
        <w:spacing w:line="220" w:lineRule="auto"/>
        <w:ind w:left="521"/>
        <w:rPr>
          <w:rFonts w:ascii="宋体" w:hAnsi="宋体" w:eastAsia="宋体" w:cs="宋体"/>
          <w:sz w:val="24"/>
          <w:szCs w:val="24"/>
        </w:rPr>
      </w:pPr>
      <w:r>
        <w:rPr>
          <w:rFonts w:ascii="Times New Roman" w:hAnsi="Times New Roman" w:eastAsia="Times New Roman" w:cs="Times New Roman"/>
          <w:spacing w:val="-1"/>
          <w:sz w:val="24"/>
          <w:szCs w:val="24"/>
        </w:rPr>
        <w:t xml:space="preserve">5.1.2  </w:t>
      </w:r>
      <w:r>
        <w:rPr>
          <w:rFonts w:ascii="宋体" w:hAnsi="宋体" w:eastAsia="宋体" w:cs="宋体"/>
          <w:spacing w:val="-1"/>
          <w:sz w:val="24"/>
          <w:szCs w:val="24"/>
        </w:rPr>
        <w:t>一级保护区陆域范围</w:t>
      </w:r>
    </w:p>
    <w:p w14:paraId="02F38653">
      <w:pPr>
        <w:spacing w:before="182" w:line="360" w:lineRule="auto"/>
        <w:ind w:left="57" w:right="120" w:firstLine="474"/>
        <w:rPr>
          <w:rFonts w:ascii="宋体" w:hAnsi="宋体" w:eastAsia="宋体" w:cs="宋体"/>
          <w:sz w:val="24"/>
          <w:szCs w:val="24"/>
        </w:rPr>
      </w:pPr>
      <w:r>
        <w:rPr>
          <w:rFonts w:ascii="宋体" w:hAnsi="宋体" w:eastAsia="宋体" w:cs="宋体"/>
          <w:spacing w:val="-4"/>
          <w:sz w:val="24"/>
          <w:szCs w:val="24"/>
        </w:rPr>
        <w:t>陆域沿岸长度不小于相应的一级保护区水域长度。陆域沿岸纵深与一级保护</w:t>
      </w:r>
      <w:r>
        <w:rPr>
          <w:rFonts w:ascii="宋体" w:hAnsi="宋体" w:eastAsia="宋体" w:cs="宋体"/>
          <w:spacing w:val="-2"/>
          <w:sz w:val="24"/>
          <w:szCs w:val="24"/>
        </w:rPr>
        <w:t>区水域边界的距离一般不小于</w:t>
      </w:r>
      <w:r>
        <w:rPr>
          <w:rFonts w:ascii="Times New Roman" w:hAnsi="Times New Roman" w:eastAsia="Times New Roman" w:cs="Times New Roman"/>
          <w:spacing w:val="-2"/>
          <w:sz w:val="24"/>
          <w:szCs w:val="24"/>
        </w:rPr>
        <w:t>50m</w:t>
      </w:r>
      <w:r>
        <w:rPr>
          <w:rFonts w:ascii="宋体" w:hAnsi="宋体" w:eastAsia="宋体" w:cs="宋体"/>
          <w:spacing w:val="-2"/>
          <w:sz w:val="24"/>
          <w:szCs w:val="24"/>
        </w:rPr>
        <w:t>，但不超过流域分水岭范</w:t>
      </w:r>
      <w:r>
        <w:rPr>
          <w:rFonts w:ascii="宋体" w:hAnsi="宋体" w:eastAsia="宋体" w:cs="宋体"/>
          <w:spacing w:val="-3"/>
          <w:sz w:val="24"/>
          <w:szCs w:val="24"/>
        </w:rPr>
        <w:t>围。</w:t>
      </w:r>
    </w:p>
    <w:p w14:paraId="49244111">
      <w:pPr>
        <w:spacing w:before="1" w:line="219" w:lineRule="auto"/>
        <w:ind w:left="521"/>
        <w:rPr>
          <w:rFonts w:ascii="宋体" w:hAnsi="宋体" w:eastAsia="宋体" w:cs="宋体"/>
          <w:sz w:val="24"/>
          <w:szCs w:val="24"/>
        </w:rPr>
      </w:pPr>
      <w:r>
        <w:rPr>
          <w:rFonts w:ascii="Times New Roman" w:hAnsi="Times New Roman" w:eastAsia="Times New Roman" w:cs="Times New Roman"/>
          <w:spacing w:val="-1"/>
          <w:sz w:val="24"/>
          <w:szCs w:val="24"/>
        </w:rPr>
        <w:t xml:space="preserve">5.2.1  </w:t>
      </w:r>
      <w:r>
        <w:rPr>
          <w:rFonts w:ascii="宋体" w:hAnsi="宋体" w:eastAsia="宋体" w:cs="宋体"/>
          <w:spacing w:val="-1"/>
          <w:sz w:val="24"/>
          <w:szCs w:val="24"/>
        </w:rPr>
        <w:t>二级保护区水域范围</w:t>
      </w:r>
    </w:p>
    <w:p w14:paraId="6237FC2B">
      <w:pPr>
        <w:spacing w:before="182" w:line="360" w:lineRule="auto"/>
        <w:ind w:left="38" w:right="120" w:firstLine="484"/>
        <w:rPr>
          <w:rFonts w:ascii="宋体" w:hAnsi="宋体" w:eastAsia="宋体" w:cs="宋体"/>
          <w:sz w:val="24"/>
          <w:szCs w:val="24"/>
        </w:rPr>
      </w:pPr>
      <w:r>
        <w:rPr>
          <w:rFonts w:ascii="宋体" w:hAnsi="宋体" w:eastAsia="宋体" w:cs="宋体"/>
          <w:spacing w:val="-3"/>
          <w:sz w:val="24"/>
          <w:szCs w:val="24"/>
        </w:rPr>
        <w:t>二级保护区长度从一级保护区的上游边界向上游（包括</w:t>
      </w:r>
      <w:r>
        <w:rPr>
          <w:rFonts w:ascii="宋体" w:hAnsi="宋体" w:eastAsia="宋体" w:cs="宋体"/>
          <w:spacing w:val="-4"/>
          <w:sz w:val="24"/>
          <w:szCs w:val="24"/>
        </w:rPr>
        <w:t>汇入的上游支流）延</w:t>
      </w:r>
      <w:r>
        <w:rPr>
          <w:rFonts w:ascii="宋体" w:hAnsi="宋体" w:eastAsia="宋体" w:cs="宋体"/>
          <w:sz w:val="24"/>
          <w:szCs w:val="24"/>
        </w:rPr>
        <w:t>伸不小于</w:t>
      </w:r>
      <w:r>
        <w:rPr>
          <w:rFonts w:ascii="Times New Roman" w:hAnsi="Times New Roman" w:eastAsia="Times New Roman" w:cs="Times New Roman"/>
          <w:sz w:val="24"/>
          <w:szCs w:val="24"/>
        </w:rPr>
        <w:t>2000m</w:t>
      </w:r>
      <w:r>
        <w:rPr>
          <w:rFonts w:ascii="宋体" w:hAnsi="宋体" w:eastAsia="宋体" w:cs="宋体"/>
          <w:sz w:val="24"/>
          <w:szCs w:val="24"/>
        </w:rPr>
        <w:t>，下游侧的外边界距一级保护区边界</w:t>
      </w:r>
      <w:r>
        <w:rPr>
          <w:rFonts w:ascii="宋体" w:hAnsi="宋体" w:eastAsia="宋体" w:cs="宋体"/>
          <w:spacing w:val="-1"/>
          <w:sz w:val="24"/>
          <w:szCs w:val="24"/>
        </w:rPr>
        <w:t>不小于</w:t>
      </w:r>
      <w:r>
        <w:rPr>
          <w:rFonts w:ascii="Times New Roman" w:hAnsi="Times New Roman" w:eastAsia="Times New Roman" w:cs="Times New Roman"/>
          <w:spacing w:val="-1"/>
          <w:sz w:val="24"/>
          <w:szCs w:val="24"/>
        </w:rPr>
        <w:t>200m</w:t>
      </w:r>
      <w:r>
        <w:rPr>
          <w:rFonts w:ascii="宋体" w:hAnsi="宋体" w:eastAsia="宋体" w:cs="宋体"/>
          <w:spacing w:val="-1"/>
          <w:sz w:val="24"/>
          <w:szCs w:val="24"/>
        </w:rPr>
        <w:t>。</w:t>
      </w:r>
    </w:p>
    <w:p w14:paraId="39F8871D">
      <w:pPr>
        <w:spacing w:before="1" w:line="220" w:lineRule="auto"/>
        <w:ind w:left="521"/>
        <w:rPr>
          <w:rFonts w:ascii="宋体" w:hAnsi="宋体" w:eastAsia="宋体" w:cs="宋体"/>
          <w:sz w:val="24"/>
          <w:szCs w:val="24"/>
        </w:rPr>
      </w:pPr>
      <w:r>
        <w:rPr>
          <w:rFonts w:ascii="Times New Roman" w:hAnsi="Times New Roman" w:eastAsia="Times New Roman" w:cs="Times New Roman"/>
          <w:spacing w:val="-1"/>
          <w:sz w:val="24"/>
          <w:szCs w:val="24"/>
        </w:rPr>
        <w:t xml:space="preserve">5.2.2  </w:t>
      </w:r>
      <w:r>
        <w:rPr>
          <w:rFonts w:ascii="宋体" w:hAnsi="宋体" w:eastAsia="宋体" w:cs="宋体"/>
          <w:spacing w:val="-1"/>
          <w:sz w:val="24"/>
          <w:szCs w:val="24"/>
        </w:rPr>
        <w:t>二级保护区陆域范围</w:t>
      </w:r>
    </w:p>
    <w:p w14:paraId="5971D0A6">
      <w:pPr>
        <w:spacing w:before="181" w:line="360" w:lineRule="auto"/>
        <w:ind w:left="43" w:right="120" w:firstLine="480"/>
        <w:rPr>
          <w:rFonts w:ascii="宋体" w:hAnsi="宋体" w:eastAsia="宋体" w:cs="宋体"/>
          <w:sz w:val="24"/>
          <w:szCs w:val="24"/>
        </w:rPr>
      </w:pPr>
      <w:r>
        <w:rPr>
          <w:rFonts w:ascii="宋体" w:hAnsi="宋体" w:eastAsia="宋体" w:cs="宋体"/>
          <w:spacing w:val="-3"/>
          <w:sz w:val="24"/>
          <w:szCs w:val="24"/>
        </w:rPr>
        <w:t>二级保护区陆域沿岸长度不小于二级保护区水域长度。</w:t>
      </w:r>
      <w:r>
        <w:rPr>
          <w:rFonts w:ascii="宋体" w:hAnsi="宋体" w:eastAsia="宋体" w:cs="宋体"/>
          <w:spacing w:val="-4"/>
          <w:sz w:val="24"/>
          <w:szCs w:val="24"/>
        </w:rPr>
        <w:t>二级保护区陆域沿岸</w:t>
      </w:r>
      <w:r>
        <w:rPr>
          <w:rFonts w:ascii="宋体" w:hAnsi="宋体" w:eastAsia="宋体" w:cs="宋体"/>
          <w:spacing w:val="-2"/>
          <w:sz w:val="24"/>
          <w:szCs w:val="24"/>
        </w:rPr>
        <w:t>纵深范围一般不小于</w:t>
      </w:r>
      <w:r>
        <w:rPr>
          <w:rFonts w:ascii="Times New Roman" w:hAnsi="Times New Roman" w:eastAsia="Times New Roman" w:cs="Times New Roman"/>
          <w:spacing w:val="-2"/>
          <w:sz w:val="24"/>
          <w:szCs w:val="24"/>
        </w:rPr>
        <w:t>1000m</w:t>
      </w:r>
      <w:r>
        <w:rPr>
          <w:rFonts w:ascii="宋体" w:hAnsi="宋体" w:eastAsia="宋体" w:cs="宋体"/>
          <w:spacing w:val="-2"/>
          <w:sz w:val="24"/>
          <w:szCs w:val="24"/>
        </w:rPr>
        <w:t>，但不超过流域分水岭范围。</w:t>
      </w:r>
    </w:p>
    <w:p w14:paraId="23728635">
      <w:pPr>
        <w:spacing w:before="1" w:line="218" w:lineRule="auto"/>
        <w:ind w:left="525"/>
        <w:rPr>
          <w:rFonts w:ascii="宋体" w:hAnsi="宋体" w:eastAsia="宋体" w:cs="宋体"/>
          <w:sz w:val="24"/>
          <w:szCs w:val="24"/>
        </w:rPr>
      </w:pPr>
      <w:r>
        <w:rPr>
          <w:rFonts w:ascii="宋体" w:hAnsi="宋体" w:eastAsia="宋体" w:cs="宋体"/>
          <w:spacing w:val="-3"/>
          <w:sz w:val="24"/>
          <w:szCs w:val="24"/>
        </w:rPr>
        <w:t>结合内江市广宇测绘科技有限公司提供的测绘图，以迁移</w:t>
      </w:r>
      <w:r>
        <w:rPr>
          <w:rFonts w:ascii="宋体" w:hAnsi="宋体" w:eastAsia="宋体" w:cs="宋体"/>
          <w:spacing w:val="-4"/>
          <w:sz w:val="24"/>
          <w:szCs w:val="24"/>
        </w:rPr>
        <w:t>后的取水点向下游</w:t>
      </w:r>
    </w:p>
    <w:p w14:paraId="4AC85318">
      <w:pPr>
        <w:spacing w:line="218" w:lineRule="auto"/>
        <w:rPr>
          <w:rFonts w:ascii="宋体" w:hAnsi="宋体" w:eastAsia="宋体" w:cs="宋体"/>
          <w:sz w:val="24"/>
          <w:szCs w:val="24"/>
        </w:rPr>
        <w:sectPr>
          <w:headerReference r:id="rId251" w:type="default"/>
          <w:footerReference r:id="rId252" w:type="default"/>
          <w:pgSz w:w="11905" w:h="16840"/>
          <w:pgMar w:top="1168" w:right="1678" w:bottom="1409" w:left="1770" w:header="828" w:footer="1244" w:gutter="0"/>
          <w:cols w:space="720" w:num="1"/>
        </w:sectPr>
      </w:pPr>
    </w:p>
    <w:p w14:paraId="473F3AB4">
      <w:pPr>
        <w:pStyle w:val="2"/>
        <w:spacing w:line="306" w:lineRule="auto"/>
      </w:pPr>
    </w:p>
    <w:p w14:paraId="596C6B15">
      <w:pPr>
        <w:spacing w:before="78" w:line="361" w:lineRule="auto"/>
        <w:ind w:left="40" w:right="68" w:firstLine="17"/>
        <w:jc w:val="both"/>
        <w:rPr>
          <w:rFonts w:ascii="宋体" w:hAnsi="宋体" w:eastAsia="宋体" w:cs="宋体"/>
          <w:sz w:val="24"/>
          <w:szCs w:val="24"/>
        </w:rPr>
      </w:pPr>
      <w:r>
        <w:rPr>
          <w:rFonts w:ascii="Times New Roman" w:hAnsi="Times New Roman" w:eastAsia="Times New Roman" w:cs="Times New Roman"/>
          <w:spacing w:val="-1"/>
          <w:sz w:val="24"/>
          <w:szCs w:val="24"/>
        </w:rPr>
        <w:t>100m</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300m</w:t>
      </w:r>
      <w:r>
        <w:rPr>
          <w:rFonts w:ascii="宋体" w:hAnsi="宋体" w:eastAsia="宋体" w:cs="宋体"/>
          <w:spacing w:val="-1"/>
          <w:sz w:val="24"/>
          <w:szCs w:val="24"/>
        </w:rPr>
        <w:t>分别作为一级保护区、二级保护区水域范围的下游侧的</w:t>
      </w:r>
      <w:r>
        <w:rPr>
          <w:rFonts w:ascii="宋体" w:hAnsi="宋体" w:eastAsia="宋体" w:cs="宋体"/>
          <w:spacing w:val="-2"/>
          <w:sz w:val="24"/>
          <w:szCs w:val="24"/>
        </w:rPr>
        <w:t>外边界，其</w:t>
      </w:r>
      <w:r>
        <w:rPr>
          <w:rFonts w:ascii="宋体" w:hAnsi="宋体" w:eastAsia="宋体" w:cs="宋体"/>
          <w:spacing w:val="1"/>
          <w:sz w:val="24"/>
          <w:szCs w:val="24"/>
        </w:rPr>
        <w:t>中二级保护区水域下游侧的外边界距下游五桂溪与大清流河汇入口约</w:t>
      </w:r>
      <w:r>
        <w:rPr>
          <w:rFonts w:ascii="Times New Roman" w:hAnsi="Times New Roman" w:eastAsia="Times New Roman" w:cs="Times New Roman"/>
          <w:spacing w:val="1"/>
          <w:sz w:val="24"/>
          <w:szCs w:val="24"/>
        </w:rPr>
        <w:t>347m</w:t>
      </w:r>
      <w:r>
        <w:rPr>
          <w:rFonts w:ascii="宋体" w:hAnsi="宋体" w:eastAsia="宋体" w:cs="宋体"/>
          <w:spacing w:val="1"/>
          <w:sz w:val="24"/>
          <w:szCs w:val="24"/>
        </w:rPr>
        <w:t>、与本项目直线距离约</w:t>
      </w:r>
      <w:r>
        <w:rPr>
          <w:rFonts w:ascii="Times New Roman" w:hAnsi="Times New Roman" w:eastAsia="Times New Roman" w:cs="Times New Roman"/>
          <w:spacing w:val="1"/>
          <w:sz w:val="24"/>
          <w:szCs w:val="24"/>
        </w:rPr>
        <w:t>1.28</w:t>
      </w:r>
      <w:r>
        <w:rPr>
          <w:rFonts w:ascii="Times New Roman" w:hAnsi="Times New Roman" w:eastAsia="Times New Roman" w:cs="Times New Roman"/>
          <w:sz w:val="24"/>
          <w:szCs w:val="24"/>
        </w:rPr>
        <w:t>km</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w:t>
      </w:r>
      <w:r>
        <w:rPr>
          <w:rFonts w:ascii="宋体" w:hAnsi="宋体" w:eastAsia="宋体" w:cs="宋体"/>
          <w:b/>
          <w:bCs/>
          <w:spacing w:val="1"/>
          <w:sz w:val="24"/>
          <w:szCs w:val="24"/>
        </w:rPr>
        <w:t>届时，五桂溪将不再划入饮用水水源保护区，本项</w:t>
      </w:r>
      <w:r>
        <w:rPr>
          <w:rFonts w:ascii="宋体" w:hAnsi="宋体" w:eastAsia="宋体" w:cs="宋体"/>
          <w:b/>
          <w:bCs/>
          <w:spacing w:val="-2"/>
          <w:sz w:val="24"/>
          <w:szCs w:val="24"/>
        </w:rPr>
        <w:t>目场界</w:t>
      </w:r>
      <w:r>
        <w:rPr>
          <w:rFonts w:ascii="Times New Roman" w:hAnsi="Times New Roman" w:eastAsia="Times New Roman" w:cs="Times New Roman"/>
          <w:b/>
          <w:bCs/>
          <w:spacing w:val="-2"/>
          <w:sz w:val="24"/>
          <w:szCs w:val="24"/>
        </w:rPr>
        <w:t>500m</w:t>
      </w:r>
      <w:r>
        <w:rPr>
          <w:rFonts w:ascii="宋体" w:hAnsi="宋体" w:eastAsia="宋体" w:cs="宋体"/>
          <w:b/>
          <w:bCs/>
          <w:spacing w:val="-2"/>
          <w:sz w:val="24"/>
          <w:szCs w:val="24"/>
        </w:rPr>
        <w:t>范围内将无饮用水水源保护区</w:t>
      </w:r>
      <w:r>
        <w:rPr>
          <w:rFonts w:ascii="宋体" w:hAnsi="宋体" w:eastAsia="宋体" w:cs="宋体"/>
          <w:spacing w:val="-2"/>
          <w:sz w:val="24"/>
          <w:szCs w:val="24"/>
        </w:rPr>
        <w:t>。</w:t>
      </w:r>
    </w:p>
    <w:p w14:paraId="7B0661A7">
      <w:pPr>
        <w:spacing w:before="171" w:line="227" w:lineRule="auto"/>
        <w:ind w:left="34"/>
        <w:rPr>
          <w:rFonts w:ascii="宋体" w:hAnsi="宋体" w:eastAsia="宋体" w:cs="宋体"/>
          <w:sz w:val="27"/>
          <w:szCs w:val="27"/>
        </w:rPr>
      </w:pPr>
      <w:r>
        <w:rPr>
          <w:rFonts w:ascii="Times New Roman" w:hAnsi="Times New Roman" w:eastAsia="Times New Roman" w:cs="Times New Roman"/>
          <w:b/>
          <w:bCs/>
          <w:spacing w:val="4"/>
          <w:sz w:val="27"/>
          <w:szCs w:val="27"/>
        </w:rPr>
        <w:t xml:space="preserve">3.2.2.2 </w:t>
      </w:r>
      <w:r>
        <w:rPr>
          <w:rFonts w:ascii="宋体" w:hAnsi="宋体" w:eastAsia="宋体" w:cs="宋体"/>
          <w:b/>
          <w:bCs/>
          <w:spacing w:val="4"/>
          <w:sz w:val="27"/>
          <w:szCs w:val="27"/>
        </w:rPr>
        <w:t>大气环境</w:t>
      </w:r>
    </w:p>
    <w:p w14:paraId="51B9C89B">
      <w:pPr>
        <w:spacing w:before="234" w:line="362" w:lineRule="auto"/>
        <w:ind w:left="39" w:firstLine="481"/>
        <w:rPr>
          <w:rFonts w:ascii="宋体" w:hAnsi="宋体" w:eastAsia="宋体" w:cs="宋体"/>
          <w:sz w:val="24"/>
          <w:szCs w:val="24"/>
        </w:rPr>
      </w:pPr>
      <w:r>
        <w:rPr>
          <w:rFonts w:ascii="宋体" w:hAnsi="宋体" w:eastAsia="宋体" w:cs="宋体"/>
          <w:spacing w:val="-1"/>
          <w:sz w:val="24"/>
          <w:szCs w:val="24"/>
        </w:rPr>
        <w:t>经现场踏勘，本项目评价区域内主要的环境空气保护目标为周边</w:t>
      </w:r>
      <w:r>
        <w:rPr>
          <w:rFonts w:ascii="宋体" w:hAnsi="宋体" w:eastAsia="宋体" w:cs="宋体"/>
          <w:spacing w:val="-2"/>
          <w:sz w:val="24"/>
          <w:szCs w:val="24"/>
        </w:rPr>
        <w:t>散居农户，</w:t>
      </w:r>
      <w:r>
        <w:rPr>
          <w:rFonts w:ascii="宋体" w:hAnsi="宋体" w:eastAsia="宋体" w:cs="宋体"/>
          <w:spacing w:val="-3"/>
          <w:sz w:val="24"/>
          <w:szCs w:val="24"/>
        </w:rPr>
        <w:t>环境空气保护目标分布情况见下表。</w:t>
      </w:r>
    </w:p>
    <w:p w14:paraId="6AFD0D9A">
      <w:pPr>
        <w:spacing w:before="8" w:line="222"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3.2-4  </w:t>
      </w:r>
      <w:r>
        <w:rPr>
          <w:rFonts w:ascii="黑体" w:hAnsi="黑体" w:eastAsia="黑体" w:cs="黑体"/>
          <w:spacing w:val="-1"/>
          <w:sz w:val="21"/>
          <w:szCs w:val="21"/>
        </w:rPr>
        <w:t>环境空气保护目标</w:t>
      </w:r>
    </w:p>
    <w:p w14:paraId="084CDFAC">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1118"/>
        <w:gridCol w:w="1007"/>
        <w:gridCol w:w="993"/>
        <w:gridCol w:w="566"/>
        <w:gridCol w:w="853"/>
        <w:gridCol w:w="851"/>
        <w:gridCol w:w="1120"/>
        <w:gridCol w:w="1235"/>
      </w:tblGrid>
      <w:tr w14:paraId="2A1DE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77" w:type="dxa"/>
            <w:vAlign w:val="top"/>
          </w:tcPr>
          <w:p w14:paraId="49F1F989">
            <w:pPr>
              <w:spacing w:before="54" w:line="220" w:lineRule="auto"/>
              <w:ind w:left="83"/>
              <w:rPr>
                <w:rFonts w:ascii="宋体" w:hAnsi="宋体" w:eastAsia="宋体" w:cs="宋体"/>
                <w:sz w:val="21"/>
                <w:szCs w:val="21"/>
              </w:rPr>
            </w:pPr>
            <w:r>
              <w:rPr>
                <w:rFonts w:ascii="宋体" w:hAnsi="宋体" w:eastAsia="宋体" w:cs="宋体"/>
                <w:spacing w:val="-3"/>
                <w:sz w:val="21"/>
                <w:szCs w:val="21"/>
              </w:rPr>
              <w:t>环境</w:t>
            </w:r>
          </w:p>
          <w:p w14:paraId="7FCF979C">
            <w:pPr>
              <w:spacing w:before="60" w:line="220" w:lineRule="auto"/>
              <w:ind w:left="99"/>
              <w:rPr>
                <w:rFonts w:ascii="宋体" w:hAnsi="宋体" w:eastAsia="宋体" w:cs="宋体"/>
                <w:sz w:val="21"/>
                <w:szCs w:val="21"/>
              </w:rPr>
            </w:pPr>
            <w:r>
              <w:rPr>
                <w:rFonts w:ascii="宋体" w:hAnsi="宋体" w:eastAsia="宋体" w:cs="宋体"/>
                <w:spacing w:val="-7"/>
                <w:sz w:val="21"/>
                <w:szCs w:val="21"/>
              </w:rPr>
              <w:t>因素</w:t>
            </w:r>
          </w:p>
        </w:tc>
        <w:tc>
          <w:tcPr>
            <w:tcW w:w="1118" w:type="dxa"/>
            <w:vAlign w:val="top"/>
          </w:tcPr>
          <w:p w14:paraId="01B7021B">
            <w:pPr>
              <w:spacing w:before="210" w:line="222" w:lineRule="auto"/>
              <w:ind w:left="355"/>
              <w:rPr>
                <w:rFonts w:ascii="宋体" w:hAnsi="宋体" w:eastAsia="宋体" w:cs="宋体"/>
                <w:sz w:val="21"/>
                <w:szCs w:val="21"/>
              </w:rPr>
            </w:pPr>
            <w:r>
              <w:rPr>
                <w:rFonts w:ascii="宋体" w:hAnsi="宋体" w:eastAsia="宋体" w:cs="宋体"/>
                <w:spacing w:val="-3"/>
                <w:sz w:val="21"/>
                <w:szCs w:val="21"/>
              </w:rPr>
              <w:t>名称</w:t>
            </w:r>
          </w:p>
        </w:tc>
        <w:tc>
          <w:tcPr>
            <w:tcW w:w="2000" w:type="dxa"/>
            <w:gridSpan w:val="2"/>
            <w:vAlign w:val="top"/>
          </w:tcPr>
          <w:p w14:paraId="4914A25B">
            <w:pPr>
              <w:spacing w:before="210" w:line="220" w:lineRule="auto"/>
              <w:ind w:left="603"/>
              <w:rPr>
                <w:rFonts w:ascii="宋体" w:hAnsi="宋体" w:eastAsia="宋体" w:cs="宋体"/>
                <w:sz w:val="21"/>
                <w:szCs w:val="21"/>
              </w:rPr>
            </w:pPr>
            <w:r>
              <w:rPr>
                <w:rFonts w:ascii="宋体" w:hAnsi="宋体" w:eastAsia="宋体" w:cs="宋体"/>
                <w:spacing w:val="-6"/>
                <w:sz w:val="21"/>
                <w:szCs w:val="21"/>
              </w:rPr>
              <w:t>中心坐标</w:t>
            </w:r>
          </w:p>
        </w:tc>
        <w:tc>
          <w:tcPr>
            <w:tcW w:w="566" w:type="dxa"/>
            <w:vAlign w:val="top"/>
          </w:tcPr>
          <w:p w14:paraId="626DE3DD">
            <w:pPr>
              <w:spacing w:before="54" w:line="220" w:lineRule="auto"/>
              <w:ind w:left="79"/>
              <w:rPr>
                <w:rFonts w:ascii="宋体" w:hAnsi="宋体" w:eastAsia="宋体" w:cs="宋体"/>
                <w:sz w:val="21"/>
                <w:szCs w:val="21"/>
              </w:rPr>
            </w:pPr>
            <w:r>
              <w:rPr>
                <w:rFonts w:ascii="宋体" w:hAnsi="宋体" w:eastAsia="宋体" w:cs="宋体"/>
                <w:spacing w:val="-3"/>
                <w:sz w:val="21"/>
                <w:szCs w:val="21"/>
              </w:rPr>
              <w:t>保护</w:t>
            </w:r>
          </w:p>
          <w:p w14:paraId="475016A2">
            <w:pPr>
              <w:spacing w:before="60" w:line="220" w:lineRule="auto"/>
              <w:ind w:left="77"/>
              <w:rPr>
                <w:rFonts w:ascii="宋体" w:hAnsi="宋体" w:eastAsia="宋体" w:cs="宋体"/>
                <w:sz w:val="21"/>
                <w:szCs w:val="21"/>
              </w:rPr>
            </w:pPr>
            <w:r>
              <w:rPr>
                <w:rFonts w:ascii="宋体" w:hAnsi="宋体" w:eastAsia="宋体" w:cs="宋体"/>
                <w:spacing w:val="-2"/>
                <w:sz w:val="21"/>
                <w:szCs w:val="21"/>
              </w:rPr>
              <w:t>对象</w:t>
            </w:r>
          </w:p>
        </w:tc>
        <w:tc>
          <w:tcPr>
            <w:tcW w:w="853" w:type="dxa"/>
            <w:vAlign w:val="top"/>
          </w:tcPr>
          <w:p w14:paraId="15D553A2">
            <w:pPr>
              <w:spacing w:before="210" w:line="220" w:lineRule="auto"/>
              <w:ind w:left="223"/>
              <w:rPr>
                <w:rFonts w:ascii="宋体" w:hAnsi="宋体" w:eastAsia="宋体" w:cs="宋体"/>
                <w:sz w:val="21"/>
                <w:szCs w:val="21"/>
              </w:rPr>
            </w:pPr>
            <w:r>
              <w:rPr>
                <w:rFonts w:ascii="宋体" w:hAnsi="宋体" w:eastAsia="宋体" w:cs="宋体"/>
                <w:spacing w:val="-3"/>
                <w:sz w:val="21"/>
                <w:szCs w:val="21"/>
              </w:rPr>
              <w:t>数量</w:t>
            </w:r>
          </w:p>
        </w:tc>
        <w:tc>
          <w:tcPr>
            <w:tcW w:w="851" w:type="dxa"/>
            <w:vAlign w:val="top"/>
          </w:tcPr>
          <w:p w14:paraId="6AF2AC27">
            <w:pPr>
              <w:spacing w:before="55" w:line="249" w:lineRule="auto"/>
              <w:ind w:left="222" w:right="2" w:hanging="210"/>
              <w:rPr>
                <w:rFonts w:ascii="宋体" w:hAnsi="宋体" w:eastAsia="宋体" w:cs="宋体"/>
                <w:sz w:val="21"/>
                <w:szCs w:val="21"/>
              </w:rPr>
            </w:pPr>
            <w:r>
              <w:rPr>
                <w:rFonts w:ascii="宋体" w:hAnsi="宋体" w:eastAsia="宋体" w:cs="宋体"/>
                <w:spacing w:val="-3"/>
                <w:sz w:val="21"/>
                <w:szCs w:val="21"/>
              </w:rPr>
              <w:t>相对场址方位</w:t>
            </w:r>
          </w:p>
        </w:tc>
        <w:tc>
          <w:tcPr>
            <w:tcW w:w="1120" w:type="dxa"/>
            <w:vAlign w:val="top"/>
          </w:tcPr>
          <w:p w14:paraId="0197EACC">
            <w:pPr>
              <w:pStyle w:val="6"/>
              <w:spacing w:before="210" w:line="220" w:lineRule="auto"/>
              <w:ind w:left="64"/>
              <w:rPr>
                <w:rFonts w:ascii="宋体" w:hAnsi="宋体" w:eastAsia="宋体" w:cs="宋体"/>
              </w:rPr>
            </w:pPr>
            <w:r>
              <w:rPr>
                <w:rFonts w:ascii="宋体" w:hAnsi="宋体" w:eastAsia="宋体" w:cs="宋体"/>
                <w:spacing w:val="-2"/>
              </w:rPr>
              <w:t>距离（</w:t>
            </w:r>
            <w:r>
              <w:rPr>
                <w:spacing w:val="-2"/>
              </w:rPr>
              <w:t>m</w:t>
            </w:r>
            <w:r>
              <w:rPr>
                <w:rFonts w:ascii="宋体" w:hAnsi="宋体" w:eastAsia="宋体" w:cs="宋体"/>
                <w:spacing w:val="-2"/>
              </w:rPr>
              <w:t>）</w:t>
            </w:r>
          </w:p>
        </w:tc>
        <w:tc>
          <w:tcPr>
            <w:tcW w:w="1235" w:type="dxa"/>
            <w:vAlign w:val="top"/>
          </w:tcPr>
          <w:p w14:paraId="4CC52FEB">
            <w:pPr>
              <w:pStyle w:val="6"/>
              <w:spacing w:before="210" w:line="220" w:lineRule="auto"/>
              <w:ind w:left="127"/>
              <w:rPr>
                <w:rFonts w:ascii="宋体" w:hAnsi="宋体" w:eastAsia="宋体" w:cs="宋体"/>
              </w:rPr>
            </w:pPr>
            <w:r>
              <w:rPr>
                <w:rFonts w:ascii="宋体" w:hAnsi="宋体" w:eastAsia="宋体" w:cs="宋体"/>
                <w:spacing w:val="-3"/>
              </w:rPr>
              <w:t>高程（</w:t>
            </w:r>
            <w:r>
              <w:rPr>
                <w:spacing w:val="-3"/>
              </w:rPr>
              <w:t>m</w:t>
            </w:r>
            <w:r>
              <w:rPr>
                <w:rFonts w:ascii="宋体" w:hAnsi="宋体" w:eastAsia="宋体" w:cs="宋体"/>
                <w:spacing w:val="-3"/>
              </w:rPr>
              <w:t>）</w:t>
            </w:r>
          </w:p>
        </w:tc>
      </w:tr>
      <w:tr w14:paraId="0796E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Merge w:val="restart"/>
            <w:tcBorders>
              <w:bottom w:val="nil"/>
            </w:tcBorders>
            <w:vAlign w:val="top"/>
          </w:tcPr>
          <w:p w14:paraId="0B0EF405">
            <w:pPr>
              <w:spacing w:line="283" w:lineRule="auto"/>
              <w:rPr>
                <w:rFonts w:ascii="Arial"/>
                <w:sz w:val="21"/>
              </w:rPr>
            </w:pPr>
          </w:p>
          <w:p w14:paraId="2E598F50">
            <w:pPr>
              <w:spacing w:line="284" w:lineRule="auto"/>
              <w:rPr>
                <w:rFonts w:ascii="Arial"/>
                <w:sz w:val="21"/>
              </w:rPr>
            </w:pPr>
          </w:p>
          <w:p w14:paraId="3492C066">
            <w:pPr>
              <w:spacing w:line="284" w:lineRule="auto"/>
              <w:rPr>
                <w:rFonts w:ascii="Arial"/>
                <w:sz w:val="21"/>
              </w:rPr>
            </w:pPr>
          </w:p>
          <w:p w14:paraId="2087EAC9">
            <w:pPr>
              <w:spacing w:line="284" w:lineRule="auto"/>
              <w:rPr>
                <w:rFonts w:ascii="Arial"/>
                <w:sz w:val="21"/>
              </w:rPr>
            </w:pPr>
          </w:p>
          <w:p w14:paraId="028A8C4D">
            <w:pPr>
              <w:spacing w:before="68" w:line="277" w:lineRule="auto"/>
              <w:ind w:left="89" w:right="76" w:hanging="6"/>
              <w:rPr>
                <w:rFonts w:ascii="宋体" w:hAnsi="宋体" w:eastAsia="宋体" w:cs="宋体"/>
                <w:sz w:val="21"/>
                <w:szCs w:val="21"/>
              </w:rPr>
            </w:pPr>
            <w:r>
              <w:rPr>
                <w:rFonts w:ascii="宋体" w:hAnsi="宋体" w:eastAsia="宋体" w:cs="宋体"/>
                <w:spacing w:val="-5"/>
                <w:sz w:val="21"/>
                <w:szCs w:val="21"/>
              </w:rPr>
              <w:t>环境</w:t>
            </w:r>
            <w:r>
              <w:rPr>
                <w:rFonts w:ascii="宋体" w:hAnsi="宋体" w:eastAsia="宋体" w:cs="宋体"/>
                <w:spacing w:val="-8"/>
                <w:sz w:val="21"/>
                <w:szCs w:val="21"/>
              </w:rPr>
              <w:t>空气</w:t>
            </w:r>
          </w:p>
        </w:tc>
        <w:tc>
          <w:tcPr>
            <w:tcW w:w="1118" w:type="dxa"/>
            <w:vAlign w:val="top"/>
          </w:tcPr>
          <w:p w14:paraId="22C9672D">
            <w:pPr>
              <w:pStyle w:val="6"/>
              <w:spacing w:before="74" w:line="219" w:lineRule="auto"/>
              <w:ind w:left="53"/>
              <w:rPr>
                <w:rFonts w:ascii="宋体" w:hAnsi="宋体" w:eastAsia="宋体" w:cs="宋体"/>
              </w:rPr>
            </w:pPr>
            <w:r>
              <w:rPr>
                <w:spacing w:val="-4"/>
              </w:rPr>
              <w:t>1#</w:t>
            </w:r>
            <w:r>
              <w:rPr>
                <w:rFonts w:ascii="宋体" w:hAnsi="宋体" w:eastAsia="宋体" w:cs="宋体"/>
                <w:spacing w:val="-4"/>
              </w:rPr>
              <w:t>喻家沟村</w:t>
            </w:r>
          </w:p>
        </w:tc>
        <w:tc>
          <w:tcPr>
            <w:tcW w:w="1007" w:type="dxa"/>
            <w:vAlign w:val="top"/>
          </w:tcPr>
          <w:p w14:paraId="07ED6885">
            <w:pPr>
              <w:pStyle w:val="6"/>
              <w:spacing w:before="111" w:line="188" w:lineRule="auto"/>
              <w:ind w:left="54"/>
            </w:pPr>
            <w:r>
              <w:rPr>
                <w:spacing w:val="-8"/>
              </w:rPr>
              <w:t>105.326193</w:t>
            </w:r>
          </w:p>
        </w:tc>
        <w:tc>
          <w:tcPr>
            <w:tcW w:w="993" w:type="dxa"/>
            <w:vAlign w:val="top"/>
          </w:tcPr>
          <w:p w14:paraId="75E2BEF2">
            <w:pPr>
              <w:pStyle w:val="6"/>
              <w:spacing w:before="111" w:line="188" w:lineRule="auto"/>
              <w:ind w:left="78"/>
            </w:pPr>
            <w:r>
              <w:rPr>
                <w:spacing w:val="-6"/>
              </w:rPr>
              <w:t>29.686227</w:t>
            </w:r>
          </w:p>
        </w:tc>
        <w:tc>
          <w:tcPr>
            <w:tcW w:w="566" w:type="dxa"/>
            <w:vAlign w:val="top"/>
          </w:tcPr>
          <w:p w14:paraId="19D97B9D">
            <w:pPr>
              <w:spacing w:before="75"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597206AA">
            <w:pPr>
              <w:pStyle w:val="6"/>
              <w:spacing w:before="76" w:line="220" w:lineRule="auto"/>
              <w:jc w:val="right"/>
              <w:rPr>
                <w:rFonts w:ascii="宋体" w:hAnsi="宋体" w:eastAsia="宋体" w:cs="宋体"/>
              </w:rPr>
            </w:pPr>
            <w:r>
              <w:rPr>
                <w:rFonts w:ascii="宋体" w:hAnsi="宋体" w:eastAsia="宋体" w:cs="宋体"/>
                <w:spacing w:val="-7"/>
              </w:rPr>
              <w:t>约</w:t>
            </w:r>
            <w:r>
              <w:rPr>
                <w:rFonts w:ascii="宋体" w:hAnsi="宋体" w:eastAsia="宋体" w:cs="宋体"/>
                <w:spacing w:val="-41"/>
              </w:rPr>
              <w:t xml:space="preserve"> </w:t>
            </w:r>
            <w:r>
              <w:rPr>
                <w:spacing w:val="-7"/>
              </w:rPr>
              <w:t>370</w:t>
            </w:r>
            <w:r>
              <w:rPr>
                <w:spacing w:val="10"/>
              </w:rPr>
              <w:t xml:space="preserve"> </w:t>
            </w:r>
            <w:r>
              <w:rPr>
                <w:rFonts w:ascii="宋体" w:hAnsi="宋体" w:eastAsia="宋体" w:cs="宋体"/>
                <w:spacing w:val="-7"/>
              </w:rPr>
              <w:t>户</w:t>
            </w:r>
          </w:p>
        </w:tc>
        <w:tc>
          <w:tcPr>
            <w:tcW w:w="851" w:type="dxa"/>
            <w:vAlign w:val="top"/>
          </w:tcPr>
          <w:p w14:paraId="674EF700">
            <w:pPr>
              <w:pStyle w:val="6"/>
              <w:spacing w:before="114" w:line="185" w:lineRule="auto"/>
              <w:ind w:left="246"/>
            </w:pPr>
            <w:r>
              <w:rPr>
                <w:spacing w:val="1"/>
              </w:rPr>
              <w:t>NW</w:t>
            </w:r>
          </w:p>
        </w:tc>
        <w:tc>
          <w:tcPr>
            <w:tcW w:w="1120" w:type="dxa"/>
            <w:vAlign w:val="top"/>
          </w:tcPr>
          <w:p w14:paraId="15B7139F">
            <w:pPr>
              <w:pStyle w:val="6"/>
              <w:spacing w:before="111" w:line="188" w:lineRule="auto"/>
              <w:ind w:left="195"/>
            </w:pPr>
            <w:r>
              <w:rPr>
                <w:spacing w:val="-2"/>
              </w:rPr>
              <w:t>38~2500</w:t>
            </w:r>
          </w:p>
        </w:tc>
        <w:tc>
          <w:tcPr>
            <w:tcW w:w="1235" w:type="dxa"/>
            <w:vAlign w:val="top"/>
          </w:tcPr>
          <w:p w14:paraId="720B8E16">
            <w:pPr>
              <w:pStyle w:val="6"/>
              <w:spacing w:before="111" w:line="188" w:lineRule="auto"/>
              <w:ind w:left="251"/>
            </w:pPr>
            <w:r>
              <w:rPr>
                <w:spacing w:val="-2"/>
              </w:rPr>
              <w:t>343~361</w:t>
            </w:r>
          </w:p>
        </w:tc>
      </w:tr>
      <w:tr w14:paraId="0F03D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7" w:type="dxa"/>
            <w:vMerge w:val="continue"/>
            <w:tcBorders>
              <w:top w:val="nil"/>
              <w:bottom w:val="nil"/>
            </w:tcBorders>
            <w:vAlign w:val="top"/>
          </w:tcPr>
          <w:p w14:paraId="2ECEB336">
            <w:pPr>
              <w:rPr>
                <w:rFonts w:ascii="Arial"/>
                <w:sz w:val="21"/>
              </w:rPr>
            </w:pPr>
          </w:p>
        </w:tc>
        <w:tc>
          <w:tcPr>
            <w:tcW w:w="1118" w:type="dxa"/>
            <w:vAlign w:val="top"/>
          </w:tcPr>
          <w:p w14:paraId="60AB06FD">
            <w:pPr>
              <w:pStyle w:val="6"/>
              <w:spacing w:before="74" w:line="219" w:lineRule="auto"/>
              <w:ind w:left="33"/>
              <w:rPr>
                <w:rFonts w:ascii="宋体" w:hAnsi="宋体" w:eastAsia="宋体" w:cs="宋体"/>
              </w:rPr>
            </w:pPr>
            <w:r>
              <w:rPr>
                <w:spacing w:val="-1"/>
              </w:rPr>
              <w:t>2#</w:t>
            </w:r>
            <w:r>
              <w:rPr>
                <w:rFonts w:ascii="宋体" w:hAnsi="宋体" w:eastAsia="宋体" w:cs="宋体"/>
                <w:spacing w:val="-1"/>
              </w:rPr>
              <w:t>观音溪村</w:t>
            </w:r>
          </w:p>
        </w:tc>
        <w:tc>
          <w:tcPr>
            <w:tcW w:w="1007" w:type="dxa"/>
            <w:vAlign w:val="top"/>
          </w:tcPr>
          <w:p w14:paraId="56041310">
            <w:pPr>
              <w:pStyle w:val="6"/>
              <w:spacing w:before="111" w:line="188" w:lineRule="auto"/>
              <w:ind w:left="54"/>
            </w:pPr>
            <w:r>
              <w:rPr>
                <w:spacing w:val="-8"/>
              </w:rPr>
              <w:t>105.343907</w:t>
            </w:r>
          </w:p>
        </w:tc>
        <w:tc>
          <w:tcPr>
            <w:tcW w:w="993" w:type="dxa"/>
            <w:vAlign w:val="top"/>
          </w:tcPr>
          <w:p w14:paraId="0306F18B">
            <w:pPr>
              <w:pStyle w:val="6"/>
              <w:spacing w:before="111" w:line="188" w:lineRule="auto"/>
              <w:ind w:left="78"/>
            </w:pPr>
            <w:r>
              <w:rPr>
                <w:spacing w:val="-6"/>
              </w:rPr>
              <w:t>29.685948</w:t>
            </w:r>
          </w:p>
        </w:tc>
        <w:tc>
          <w:tcPr>
            <w:tcW w:w="566" w:type="dxa"/>
            <w:vAlign w:val="top"/>
          </w:tcPr>
          <w:p w14:paraId="1AEBB86F">
            <w:pPr>
              <w:spacing w:before="74"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1AE912E4">
            <w:pPr>
              <w:pStyle w:val="6"/>
              <w:spacing w:before="76" w:line="220" w:lineRule="auto"/>
              <w:jc w:val="right"/>
              <w:rPr>
                <w:rFonts w:ascii="宋体" w:hAnsi="宋体" w:eastAsia="宋体" w:cs="宋体"/>
              </w:rPr>
            </w:pPr>
            <w:r>
              <w:rPr>
                <w:rFonts w:ascii="宋体" w:hAnsi="宋体" w:eastAsia="宋体" w:cs="宋体"/>
                <w:spacing w:val="-10"/>
              </w:rPr>
              <w:t>约</w:t>
            </w:r>
            <w:r>
              <w:rPr>
                <w:rFonts w:ascii="宋体" w:hAnsi="宋体" w:eastAsia="宋体" w:cs="宋体"/>
                <w:spacing w:val="-26"/>
              </w:rPr>
              <w:t xml:space="preserve"> </w:t>
            </w:r>
            <w:r>
              <w:rPr>
                <w:spacing w:val="-10"/>
              </w:rPr>
              <w:t>195</w:t>
            </w:r>
            <w:r>
              <w:rPr>
                <w:spacing w:val="10"/>
              </w:rPr>
              <w:t xml:space="preserve"> </w:t>
            </w:r>
            <w:r>
              <w:rPr>
                <w:rFonts w:ascii="宋体" w:hAnsi="宋体" w:eastAsia="宋体" w:cs="宋体"/>
                <w:spacing w:val="-10"/>
              </w:rPr>
              <w:t>户</w:t>
            </w:r>
          </w:p>
        </w:tc>
        <w:tc>
          <w:tcPr>
            <w:tcW w:w="851" w:type="dxa"/>
            <w:vAlign w:val="top"/>
          </w:tcPr>
          <w:p w14:paraId="2BB7FA1D">
            <w:pPr>
              <w:pStyle w:val="6"/>
              <w:spacing w:before="114" w:line="185" w:lineRule="auto"/>
              <w:ind w:left="345"/>
            </w:pPr>
            <w:r>
              <w:rPr>
                <w:spacing w:val="2"/>
              </w:rPr>
              <w:t>N</w:t>
            </w:r>
          </w:p>
        </w:tc>
        <w:tc>
          <w:tcPr>
            <w:tcW w:w="1120" w:type="dxa"/>
            <w:vAlign w:val="top"/>
          </w:tcPr>
          <w:p w14:paraId="77C0E3D1">
            <w:pPr>
              <w:pStyle w:val="6"/>
              <w:spacing w:before="111" w:line="188" w:lineRule="auto"/>
              <w:ind w:left="191"/>
            </w:pPr>
            <w:r>
              <w:rPr>
                <w:spacing w:val="-1"/>
              </w:rPr>
              <w:t>218~700</w:t>
            </w:r>
          </w:p>
        </w:tc>
        <w:tc>
          <w:tcPr>
            <w:tcW w:w="1235" w:type="dxa"/>
            <w:vAlign w:val="top"/>
          </w:tcPr>
          <w:p w14:paraId="4394A0F5">
            <w:pPr>
              <w:pStyle w:val="6"/>
              <w:spacing w:before="111" w:line="188" w:lineRule="auto"/>
              <w:ind w:left="251"/>
            </w:pPr>
            <w:r>
              <w:rPr>
                <w:spacing w:val="-2"/>
              </w:rPr>
              <w:t>338~356</w:t>
            </w:r>
          </w:p>
        </w:tc>
      </w:tr>
      <w:tr w14:paraId="0B8C1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7" w:type="dxa"/>
            <w:vMerge w:val="continue"/>
            <w:tcBorders>
              <w:top w:val="nil"/>
              <w:bottom w:val="nil"/>
            </w:tcBorders>
            <w:vAlign w:val="top"/>
          </w:tcPr>
          <w:p w14:paraId="404A86EE">
            <w:pPr>
              <w:rPr>
                <w:rFonts w:ascii="Arial"/>
                <w:sz w:val="21"/>
              </w:rPr>
            </w:pPr>
          </w:p>
        </w:tc>
        <w:tc>
          <w:tcPr>
            <w:tcW w:w="1118" w:type="dxa"/>
            <w:vAlign w:val="top"/>
          </w:tcPr>
          <w:p w14:paraId="014FFE7E">
            <w:pPr>
              <w:pStyle w:val="6"/>
              <w:spacing w:before="75" w:line="219" w:lineRule="auto"/>
              <w:ind w:left="37"/>
              <w:rPr>
                <w:rFonts w:ascii="宋体" w:hAnsi="宋体" w:eastAsia="宋体" w:cs="宋体"/>
              </w:rPr>
            </w:pPr>
            <w:r>
              <w:rPr>
                <w:spacing w:val="-2"/>
              </w:rPr>
              <w:t>3#</w:t>
            </w:r>
            <w:r>
              <w:rPr>
                <w:rFonts w:ascii="宋体" w:hAnsi="宋体" w:eastAsia="宋体" w:cs="宋体"/>
                <w:spacing w:val="-2"/>
              </w:rPr>
              <w:t>诸古寺村</w:t>
            </w:r>
          </w:p>
        </w:tc>
        <w:tc>
          <w:tcPr>
            <w:tcW w:w="1007" w:type="dxa"/>
            <w:vAlign w:val="top"/>
          </w:tcPr>
          <w:p w14:paraId="0110E6C7">
            <w:pPr>
              <w:pStyle w:val="6"/>
              <w:spacing w:before="111" w:line="188" w:lineRule="auto"/>
              <w:ind w:left="54"/>
            </w:pPr>
            <w:r>
              <w:rPr>
                <w:spacing w:val="-8"/>
              </w:rPr>
              <w:t>105.346342</w:t>
            </w:r>
          </w:p>
        </w:tc>
        <w:tc>
          <w:tcPr>
            <w:tcW w:w="993" w:type="dxa"/>
            <w:vAlign w:val="top"/>
          </w:tcPr>
          <w:p w14:paraId="240C78CE">
            <w:pPr>
              <w:pStyle w:val="6"/>
              <w:spacing w:before="111" w:line="188" w:lineRule="auto"/>
              <w:ind w:left="78"/>
            </w:pPr>
            <w:r>
              <w:rPr>
                <w:spacing w:val="-6"/>
              </w:rPr>
              <w:t>29.694809</w:t>
            </w:r>
          </w:p>
        </w:tc>
        <w:tc>
          <w:tcPr>
            <w:tcW w:w="566" w:type="dxa"/>
            <w:vAlign w:val="top"/>
          </w:tcPr>
          <w:p w14:paraId="6CC05E21">
            <w:pPr>
              <w:spacing w:before="76"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6D8CC8BD">
            <w:pPr>
              <w:pStyle w:val="6"/>
              <w:spacing w:before="76" w:line="220" w:lineRule="auto"/>
              <w:jc w:val="right"/>
              <w:rPr>
                <w:rFonts w:ascii="宋体" w:hAnsi="宋体" w:eastAsia="宋体" w:cs="宋体"/>
              </w:rPr>
            </w:pPr>
            <w:r>
              <w:rPr>
                <w:rFonts w:ascii="宋体" w:hAnsi="宋体" w:eastAsia="宋体" w:cs="宋体"/>
                <w:spacing w:val="-7"/>
              </w:rPr>
              <w:t>约</w:t>
            </w:r>
            <w:r>
              <w:rPr>
                <w:rFonts w:ascii="宋体" w:hAnsi="宋体" w:eastAsia="宋体" w:cs="宋体"/>
                <w:spacing w:val="-41"/>
              </w:rPr>
              <w:t xml:space="preserve"> </w:t>
            </w:r>
            <w:r>
              <w:rPr>
                <w:spacing w:val="-7"/>
              </w:rPr>
              <w:t>305</w:t>
            </w:r>
            <w:r>
              <w:rPr>
                <w:spacing w:val="10"/>
              </w:rPr>
              <w:t xml:space="preserve"> </w:t>
            </w:r>
            <w:r>
              <w:rPr>
                <w:rFonts w:ascii="宋体" w:hAnsi="宋体" w:eastAsia="宋体" w:cs="宋体"/>
                <w:spacing w:val="-7"/>
              </w:rPr>
              <w:t>户</w:t>
            </w:r>
          </w:p>
        </w:tc>
        <w:tc>
          <w:tcPr>
            <w:tcW w:w="851" w:type="dxa"/>
            <w:vAlign w:val="top"/>
          </w:tcPr>
          <w:p w14:paraId="02B12118">
            <w:pPr>
              <w:pStyle w:val="6"/>
              <w:spacing w:before="114" w:line="185" w:lineRule="auto"/>
              <w:ind w:left="345"/>
            </w:pPr>
            <w:r>
              <w:rPr>
                <w:spacing w:val="2"/>
              </w:rPr>
              <w:t>N</w:t>
            </w:r>
          </w:p>
        </w:tc>
        <w:tc>
          <w:tcPr>
            <w:tcW w:w="1120" w:type="dxa"/>
            <w:vAlign w:val="top"/>
          </w:tcPr>
          <w:p w14:paraId="315C3030">
            <w:pPr>
              <w:pStyle w:val="6"/>
              <w:spacing w:before="111" w:line="188" w:lineRule="auto"/>
              <w:ind w:left="147"/>
            </w:pPr>
            <w:r>
              <w:rPr>
                <w:spacing w:val="-2"/>
              </w:rPr>
              <w:t>815~2400</w:t>
            </w:r>
          </w:p>
        </w:tc>
        <w:tc>
          <w:tcPr>
            <w:tcW w:w="1235" w:type="dxa"/>
            <w:vAlign w:val="top"/>
          </w:tcPr>
          <w:p w14:paraId="3572F19D">
            <w:pPr>
              <w:pStyle w:val="6"/>
              <w:spacing w:before="111" w:line="188" w:lineRule="auto"/>
              <w:ind w:left="251"/>
            </w:pPr>
            <w:r>
              <w:rPr>
                <w:spacing w:val="-2"/>
              </w:rPr>
              <w:t>337~341</w:t>
            </w:r>
          </w:p>
        </w:tc>
      </w:tr>
      <w:tr w14:paraId="75C2A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Merge w:val="continue"/>
            <w:tcBorders>
              <w:top w:val="nil"/>
              <w:bottom w:val="nil"/>
            </w:tcBorders>
            <w:vAlign w:val="top"/>
          </w:tcPr>
          <w:p w14:paraId="65E2819E">
            <w:pPr>
              <w:rPr>
                <w:rFonts w:ascii="Arial"/>
                <w:sz w:val="21"/>
              </w:rPr>
            </w:pPr>
          </w:p>
        </w:tc>
        <w:tc>
          <w:tcPr>
            <w:tcW w:w="1118" w:type="dxa"/>
            <w:vAlign w:val="top"/>
          </w:tcPr>
          <w:p w14:paraId="6369CA93">
            <w:pPr>
              <w:pStyle w:val="6"/>
              <w:spacing w:before="76" w:line="219" w:lineRule="auto"/>
              <w:ind w:left="137"/>
              <w:rPr>
                <w:rFonts w:ascii="宋体" w:hAnsi="宋体" w:eastAsia="宋体" w:cs="宋体"/>
              </w:rPr>
            </w:pPr>
            <w:r>
              <w:rPr>
                <w:spacing w:val="-1"/>
              </w:rPr>
              <w:t>4#</w:t>
            </w:r>
            <w:r>
              <w:rPr>
                <w:rFonts w:ascii="宋体" w:hAnsi="宋体" w:eastAsia="宋体" w:cs="宋体"/>
                <w:spacing w:val="-1"/>
              </w:rPr>
              <w:t>临江村</w:t>
            </w:r>
          </w:p>
        </w:tc>
        <w:tc>
          <w:tcPr>
            <w:tcW w:w="1007" w:type="dxa"/>
            <w:vAlign w:val="top"/>
          </w:tcPr>
          <w:p w14:paraId="1B161C1C">
            <w:pPr>
              <w:pStyle w:val="6"/>
              <w:spacing w:before="113" w:line="188" w:lineRule="auto"/>
              <w:ind w:left="54"/>
            </w:pPr>
            <w:r>
              <w:rPr>
                <w:spacing w:val="-8"/>
              </w:rPr>
              <w:t>105.360676</w:t>
            </w:r>
          </w:p>
        </w:tc>
        <w:tc>
          <w:tcPr>
            <w:tcW w:w="993" w:type="dxa"/>
            <w:vAlign w:val="top"/>
          </w:tcPr>
          <w:p w14:paraId="206D16DC">
            <w:pPr>
              <w:pStyle w:val="6"/>
              <w:spacing w:before="113" w:line="188" w:lineRule="auto"/>
              <w:ind w:left="78"/>
            </w:pPr>
            <w:r>
              <w:rPr>
                <w:spacing w:val="-6"/>
              </w:rPr>
              <w:t>29.692471</w:t>
            </w:r>
          </w:p>
        </w:tc>
        <w:tc>
          <w:tcPr>
            <w:tcW w:w="566" w:type="dxa"/>
            <w:vAlign w:val="top"/>
          </w:tcPr>
          <w:p w14:paraId="155F19B2">
            <w:pPr>
              <w:spacing w:before="76"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133A5A1B">
            <w:pPr>
              <w:pStyle w:val="6"/>
              <w:spacing w:before="78" w:line="220" w:lineRule="auto"/>
              <w:jc w:val="right"/>
              <w:rPr>
                <w:rFonts w:ascii="宋体" w:hAnsi="宋体" w:eastAsia="宋体" w:cs="宋体"/>
              </w:rPr>
            </w:pPr>
            <w:r>
              <w:rPr>
                <w:rFonts w:ascii="宋体" w:hAnsi="宋体" w:eastAsia="宋体" w:cs="宋体"/>
                <w:spacing w:val="-6"/>
              </w:rPr>
              <w:t>约</w:t>
            </w:r>
            <w:r>
              <w:rPr>
                <w:rFonts w:ascii="宋体" w:hAnsi="宋体" w:eastAsia="宋体" w:cs="宋体"/>
                <w:spacing w:val="-46"/>
              </w:rPr>
              <w:t xml:space="preserve"> </w:t>
            </w:r>
            <w:r>
              <w:rPr>
                <w:spacing w:val="-6"/>
              </w:rPr>
              <w:t>290</w:t>
            </w:r>
            <w:r>
              <w:rPr>
                <w:spacing w:val="10"/>
              </w:rPr>
              <w:t xml:space="preserve"> </w:t>
            </w:r>
            <w:r>
              <w:rPr>
                <w:rFonts w:ascii="宋体" w:hAnsi="宋体" w:eastAsia="宋体" w:cs="宋体"/>
                <w:spacing w:val="-6"/>
              </w:rPr>
              <w:t>户</w:t>
            </w:r>
          </w:p>
        </w:tc>
        <w:tc>
          <w:tcPr>
            <w:tcW w:w="851" w:type="dxa"/>
            <w:vAlign w:val="top"/>
          </w:tcPr>
          <w:p w14:paraId="280B64F8">
            <w:pPr>
              <w:pStyle w:val="6"/>
              <w:spacing w:before="116" w:line="185" w:lineRule="auto"/>
              <w:ind w:left="280"/>
            </w:pPr>
            <w:r>
              <w:rPr>
                <w:spacing w:val="1"/>
              </w:rPr>
              <w:t>NE</w:t>
            </w:r>
          </w:p>
        </w:tc>
        <w:tc>
          <w:tcPr>
            <w:tcW w:w="1120" w:type="dxa"/>
            <w:vAlign w:val="top"/>
          </w:tcPr>
          <w:p w14:paraId="2DDEE7C6">
            <w:pPr>
              <w:pStyle w:val="6"/>
              <w:spacing w:before="113" w:line="188" w:lineRule="auto"/>
              <w:ind w:left="106"/>
            </w:pPr>
            <w:r>
              <w:rPr>
                <w:spacing w:val="-3"/>
              </w:rPr>
              <w:t>1508~2500</w:t>
            </w:r>
          </w:p>
        </w:tc>
        <w:tc>
          <w:tcPr>
            <w:tcW w:w="1235" w:type="dxa"/>
            <w:vAlign w:val="top"/>
          </w:tcPr>
          <w:p w14:paraId="287E09D9">
            <w:pPr>
              <w:pStyle w:val="6"/>
              <w:spacing w:before="113" w:line="188" w:lineRule="auto"/>
              <w:ind w:left="251"/>
            </w:pPr>
            <w:r>
              <w:rPr>
                <w:spacing w:val="-2"/>
              </w:rPr>
              <w:t>336~362</w:t>
            </w:r>
          </w:p>
        </w:tc>
      </w:tr>
      <w:tr w14:paraId="409A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7" w:type="dxa"/>
            <w:vMerge w:val="continue"/>
            <w:tcBorders>
              <w:top w:val="nil"/>
              <w:bottom w:val="nil"/>
            </w:tcBorders>
            <w:vAlign w:val="top"/>
          </w:tcPr>
          <w:p w14:paraId="3FBFFDA0">
            <w:pPr>
              <w:rPr>
                <w:rFonts w:ascii="Arial"/>
                <w:sz w:val="21"/>
              </w:rPr>
            </w:pPr>
          </w:p>
        </w:tc>
        <w:tc>
          <w:tcPr>
            <w:tcW w:w="1118" w:type="dxa"/>
            <w:vAlign w:val="top"/>
          </w:tcPr>
          <w:p w14:paraId="1AB53C1B">
            <w:pPr>
              <w:pStyle w:val="6"/>
              <w:spacing w:before="75" w:line="219" w:lineRule="auto"/>
              <w:ind w:left="144"/>
              <w:rPr>
                <w:rFonts w:ascii="宋体" w:hAnsi="宋体" w:eastAsia="宋体" w:cs="宋体"/>
              </w:rPr>
            </w:pPr>
            <w:r>
              <w:rPr>
                <w:spacing w:val="-2"/>
              </w:rPr>
              <w:t>5#</w:t>
            </w:r>
            <w:r>
              <w:rPr>
                <w:rFonts w:ascii="宋体" w:hAnsi="宋体" w:eastAsia="宋体" w:cs="宋体"/>
                <w:spacing w:val="-2"/>
              </w:rPr>
              <w:t>谷嘴村</w:t>
            </w:r>
          </w:p>
        </w:tc>
        <w:tc>
          <w:tcPr>
            <w:tcW w:w="1007" w:type="dxa"/>
            <w:vAlign w:val="top"/>
          </w:tcPr>
          <w:p w14:paraId="7887EAF1">
            <w:pPr>
              <w:pStyle w:val="6"/>
              <w:spacing w:before="112" w:line="188" w:lineRule="auto"/>
              <w:ind w:left="54"/>
            </w:pPr>
            <w:r>
              <w:rPr>
                <w:spacing w:val="-8"/>
              </w:rPr>
              <w:t>105.367167</w:t>
            </w:r>
          </w:p>
        </w:tc>
        <w:tc>
          <w:tcPr>
            <w:tcW w:w="993" w:type="dxa"/>
            <w:vAlign w:val="top"/>
          </w:tcPr>
          <w:p w14:paraId="74951F36">
            <w:pPr>
              <w:pStyle w:val="6"/>
              <w:spacing w:before="112" w:line="188" w:lineRule="auto"/>
              <w:ind w:left="78"/>
            </w:pPr>
            <w:r>
              <w:rPr>
                <w:spacing w:val="-6"/>
              </w:rPr>
              <w:t>29.683437</w:t>
            </w:r>
          </w:p>
        </w:tc>
        <w:tc>
          <w:tcPr>
            <w:tcW w:w="566" w:type="dxa"/>
            <w:vAlign w:val="top"/>
          </w:tcPr>
          <w:p w14:paraId="68648627">
            <w:pPr>
              <w:spacing w:before="76"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6ACF2CB6">
            <w:pPr>
              <w:pStyle w:val="6"/>
              <w:spacing w:before="77" w:line="220" w:lineRule="auto"/>
              <w:jc w:val="right"/>
              <w:rPr>
                <w:rFonts w:ascii="宋体" w:hAnsi="宋体" w:eastAsia="宋体" w:cs="宋体"/>
              </w:rPr>
            </w:pPr>
            <w:r>
              <w:rPr>
                <w:rFonts w:ascii="宋体" w:hAnsi="宋体" w:eastAsia="宋体" w:cs="宋体"/>
                <w:spacing w:val="-7"/>
              </w:rPr>
              <w:t>约</w:t>
            </w:r>
            <w:r>
              <w:rPr>
                <w:rFonts w:ascii="宋体" w:hAnsi="宋体" w:eastAsia="宋体" w:cs="宋体"/>
                <w:spacing w:val="-41"/>
              </w:rPr>
              <w:t xml:space="preserve"> </w:t>
            </w:r>
            <w:r>
              <w:rPr>
                <w:spacing w:val="-7"/>
              </w:rPr>
              <w:t>350</w:t>
            </w:r>
            <w:r>
              <w:rPr>
                <w:spacing w:val="10"/>
              </w:rPr>
              <w:t xml:space="preserve"> </w:t>
            </w:r>
            <w:r>
              <w:rPr>
                <w:rFonts w:ascii="宋体" w:hAnsi="宋体" w:eastAsia="宋体" w:cs="宋体"/>
                <w:spacing w:val="-7"/>
              </w:rPr>
              <w:t>户</w:t>
            </w:r>
          </w:p>
        </w:tc>
        <w:tc>
          <w:tcPr>
            <w:tcW w:w="851" w:type="dxa"/>
            <w:vAlign w:val="top"/>
          </w:tcPr>
          <w:p w14:paraId="09A12AC7">
            <w:pPr>
              <w:pStyle w:val="6"/>
              <w:spacing w:before="115" w:line="185" w:lineRule="auto"/>
              <w:ind w:left="280"/>
            </w:pPr>
            <w:r>
              <w:rPr>
                <w:spacing w:val="1"/>
              </w:rPr>
              <w:t>NE</w:t>
            </w:r>
          </w:p>
        </w:tc>
        <w:tc>
          <w:tcPr>
            <w:tcW w:w="1120" w:type="dxa"/>
            <w:vAlign w:val="top"/>
          </w:tcPr>
          <w:p w14:paraId="184E976D">
            <w:pPr>
              <w:pStyle w:val="6"/>
              <w:spacing w:before="112" w:line="188" w:lineRule="auto"/>
              <w:ind w:left="106"/>
            </w:pPr>
            <w:r>
              <w:rPr>
                <w:spacing w:val="-3"/>
              </w:rPr>
              <w:t>1405~2460</w:t>
            </w:r>
          </w:p>
        </w:tc>
        <w:tc>
          <w:tcPr>
            <w:tcW w:w="1235" w:type="dxa"/>
            <w:vAlign w:val="top"/>
          </w:tcPr>
          <w:p w14:paraId="2C1EDD1F">
            <w:pPr>
              <w:pStyle w:val="6"/>
              <w:spacing w:before="112" w:line="188" w:lineRule="auto"/>
              <w:ind w:left="251"/>
            </w:pPr>
            <w:r>
              <w:rPr>
                <w:spacing w:val="-2"/>
              </w:rPr>
              <w:t>337~363</w:t>
            </w:r>
          </w:p>
        </w:tc>
      </w:tr>
      <w:tr w14:paraId="34B9E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7" w:type="dxa"/>
            <w:vMerge w:val="continue"/>
            <w:tcBorders>
              <w:top w:val="nil"/>
              <w:bottom w:val="nil"/>
            </w:tcBorders>
            <w:vAlign w:val="top"/>
          </w:tcPr>
          <w:p w14:paraId="0DE35A38">
            <w:pPr>
              <w:rPr>
                <w:rFonts w:ascii="Arial"/>
                <w:sz w:val="21"/>
              </w:rPr>
            </w:pPr>
          </w:p>
        </w:tc>
        <w:tc>
          <w:tcPr>
            <w:tcW w:w="1118" w:type="dxa"/>
            <w:vAlign w:val="top"/>
          </w:tcPr>
          <w:p w14:paraId="00E064AD">
            <w:pPr>
              <w:pStyle w:val="6"/>
              <w:spacing w:before="77" w:line="219" w:lineRule="auto"/>
              <w:ind w:left="143"/>
              <w:rPr>
                <w:rFonts w:ascii="宋体" w:hAnsi="宋体" w:eastAsia="宋体" w:cs="宋体"/>
              </w:rPr>
            </w:pPr>
            <w:r>
              <w:rPr>
                <w:spacing w:val="-2"/>
              </w:rPr>
              <w:t>6#</w:t>
            </w:r>
            <w:r>
              <w:rPr>
                <w:rFonts w:ascii="宋体" w:hAnsi="宋体" w:eastAsia="宋体" w:cs="宋体"/>
                <w:spacing w:val="-2"/>
              </w:rPr>
              <w:t>太和村</w:t>
            </w:r>
          </w:p>
        </w:tc>
        <w:tc>
          <w:tcPr>
            <w:tcW w:w="1007" w:type="dxa"/>
            <w:vAlign w:val="top"/>
          </w:tcPr>
          <w:p w14:paraId="4AA98F42">
            <w:pPr>
              <w:pStyle w:val="6"/>
              <w:spacing w:before="112" w:line="188" w:lineRule="auto"/>
              <w:ind w:left="54"/>
            </w:pPr>
            <w:r>
              <w:rPr>
                <w:spacing w:val="-8"/>
              </w:rPr>
              <w:t>105.372703</w:t>
            </w:r>
          </w:p>
        </w:tc>
        <w:tc>
          <w:tcPr>
            <w:tcW w:w="993" w:type="dxa"/>
            <w:vAlign w:val="top"/>
          </w:tcPr>
          <w:p w14:paraId="77831D06">
            <w:pPr>
              <w:pStyle w:val="6"/>
              <w:spacing w:before="112" w:line="188" w:lineRule="auto"/>
              <w:ind w:left="78"/>
            </w:pPr>
            <w:r>
              <w:rPr>
                <w:spacing w:val="-6"/>
              </w:rPr>
              <w:t>29.666378</w:t>
            </w:r>
          </w:p>
        </w:tc>
        <w:tc>
          <w:tcPr>
            <w:tcW w:w="566" w:type="dxa"/>
            <w:vAlign w:val="top"/>
          </w:tcPr>
          <w:p w14:paraId="575805C1">
            <w:pPr>
              <w:spacing w:before="77"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0C9CD8BD">
            <w:pPr>
              <w:pStyle w:val="6"/>
              <w:spacing w:before="77" w:line="220" w:lineRule="auto"/>
              <w:jc w:val="right"/>
              <w:rPr>
                <w:rFonts w:ascii="宋体" w:hAnsi="宋体" w:eastAsia="宋体" w:cs="宋体"/>
              </w:rPr>
            </w:pPr>
            <w:r>
              <w:rPr>
                <w:rFonts w:ascii="宋体" w:hAnsi="宋体" w:eastAsia="宋体" w:cs="宋体"/>
                <w:spacing w:val="-6"/>
              </w:rPr>
              <w:t>约</w:t>
            </w:r>
            <w:r>
              <w:rPr>
                <w:rFonts w:ascii="宋体" w:hAnsi="宋体" w:eastAsia="宋体" w:cs="宋体"/>
                <w:spacing w:val="-46"/>
              </w:rPr>
              <w:t xml:space="preserve"> </w:t>
            </w:r>
            <w:r>
              <w:rPr>
                <w:spacing w:val="-6"/>
              </w:rPr>
              <w:t>280</w:t>
            </w:r>
            <w:r>
              <w:rPr>
                <w:spacing w:val="10"/>
              </w:rPr>
              <w:t xml:space="preserve"> </w:t>
            </w:r>
            <w:r>
              <w:rPr>
                <w:rFonts w:ascii="宋体" w:hAnsi="宋体" w:eastAsia="宋体" w:cs="宋体"/>
                <w:spacing w:val="-6"/>
              </w:rPr>
              <w:t>户</w:t>
            </w:r>
          </w:p>
        </w:tc>
        <w:tc>
          <w:tcPr>
            <w:tcW w:w="851" w:type="dxa"/>
            <w:vAlign w:val="top"/>
          </w:tcPr>
          <w:p w14:paraId="0DE58357">
            <w:pPr>
              <w:pStyle w:val="6"/>
              <w:spacing w:before="112" w:line="188" w:lineRule="auto"/>
              <w:ind w:left="314"/>
            </w:pPr>
            <w:r>
              <w:rPr>
                <w:spacing w:val="-4"/>
              </w:rPr>
              <w:t>SE</w:t>
            </w:r>
          </w:p>
        </w:tc>
        <w:tc>
          <w:tcPr>
            <w:tcW w:w="1120" w:type="dxa"/>
            <w:vAlign w:val="top"/>
          </w:tcPr>
          <w:p w14:paraId="6BC46400">
            <w:pPr>
              <w:pStyle w:val="6"/>
              <w:spacing w:before="112" w:line="188" w:lineRule="auto"/>
              <w:ind w:left="137"/>
            </w:pPr>
            <w:r>
              <w:rPr>
                <w:spacing w:val="-1"/>
              </w:rPr>
              <w:t>450~2500</w:t>
            </w:r>
          </w:p>
        </w:tc>
        <w:tc>
          <w:tcPr>
            <w:tcW w:w="1235" w:type="dxa"/>
            <w:vAlign w:val="top"/>
          </w:tcPr>
          <w:p w14:paraId="698ECA07">
            <w:pPr>
              <w:pStyle w:val="6"/>
              <w:spacing w:before="112" w:line="188" w:lineRule="auto"/>
              <w:ind w:left="250"/>
            </w:pPr>
            <w:r>
              <w:rPr>
                <w:spacing w:val="-2"/>
              </w:rPr>
              <w:t>336~349</w:t>
            </w:r>
          </w:p>
        </w:tc>
      </w:tr>
      <w:tr w14:paraId="2CF2B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Merge w:val="continue"/>
            <w:tcBorders>
              <w:top w:val="nil"/>
              <w:bottom w:val="nil"/>
            </w:tcBorders>
            <w:vAlign w:val="top"/>
          </w:tcPr>
          <w:p w14:paraId="45C61ADC">
            <w:pPr>
              <w:rPr>
                <w:rFonts w:ascii="Arial"/>
                <w:sz w:val="21"/>
              </w:rPr>
            </w:pPr>
          </w:p>
        </w:tc>
        <w:tc>
          <w:tcPr>
            <w:tcW w:w="1118" w:type="dxa"/>
            <w:vAlign w:val="top"/>
          </w:tcPr>
          <w:p w14:paraId="59E72693">
            <w:pPr>
              <w:pStyle w:val="6"/>
              <w:spacing w:before="77" w:line="219" w:lineRule="auto"/>
              <w:ind w:left="142"/>
              <w:rPr>
                <w:rFonts w:ascii="宋体" w:hAnsi="宋体" w:eastAsia="宋体" w:cs="宋体"/>
              </w:rPr>
            </w:pPr>
            <w:r>
              <w:rPr>
                <w:spacing w:val="-2"/>
              </w:rPr>
              <w:t>7#</w:t>
            </w:r>
            <w:r>
              <w:rPr>
                <w:rFonts w:ascii="宋体" w:hAnsi="宋体" w:eastAsia="宋体" w:cs="宋体"/>
                <w:spacing w:val="-2"/>
              </w:rPr>
              <w:t>核桃村</w:t>
            </w:r>
          </w:p>
        </w:tc>
        <w:tc>
          <w:tcPr>
            <w:tcW w:w="1007" w:type="dxa"/>
            <w:vAlign w:val="top"/>
          </w:tcPr>
          <w:p w14:paraId="0FA5686F">
            <w:pPr>
              <w:pStyle w:val="6"/>
              <w:spacing w:before="114" w:line="188" w:lineRule="auto"/>
              <w:ind w:left="54"/>
            </w:pPr>
            <w:r>
              <w:rPr>
                <w:spacing w:val="-8"/>
              </w:rPr>
              <w:t>105.353702</w:t>
            </w:r>
          </w:p>
        </w:tc>
        <w:tc>
          <w:tcPr>
            <w:tcW w:w="993" w:type="dxa"/>
            <w:vAlign w:val="top"/>
          </w:tcPr>
          <w:p w14:paraId="11821008">
            <w:pPr>
              <w:pStyle w:val="6"/>
              <w:spacing w:before="114" w:line="188" w:lineRule="auto"/>
              <w:ind w:left="78"/>
            </w:pPr>
            <w:r>
              <w:rPr>
                <w:spacing w:val="-6"/>
              </w:rPr>
              <w:t>29.660397</w:t>
            </w:r>
          </w:p>
        </w:tc>
        <w:tc>
          <w:tcPr>
            <w:tcW w:w="566" w:type="dxa"/>
            <w:vAlign w:val="top"/>
          </w:tcPr>
          <w:p w14:paraId="28686CA9">
            <w:pPr>
              <w:spacing w:before="78"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4611E9A5">
            <w:pPr>
              <w:pStyle w:val="6"/>
              <w:spacing w:before="79" w:line="220" w:lineRule="auto"/>
              <w:jc w:val="right"/>
              <w:rPr>
                <w:rFonts w:ascii="宋体" w:hAnsi="宋体" w:eastAsia="宋体" w:cs="宋体"/>
              </w:rPr>
            </w:pPr>
            <w:r>
              <w:rPr>
                <w:rFonts w:ascii="宋体" w:hAnsi="宋体" w:eastAsia="宋体" w:cs="宋体"/>
                <w:spacing w:val="-10"/>
              </w:rPr>
              <w:t>约</w:t>
            </w:r>
            <w:r>
              <w:rPr>
                <w:rFonts w:ascii="宋体" w:hAnsi="宋体" w:eastAsia="宋体" w:cs="宋体"/>
                <w:spacing w:val="-26"/>
              </w:rPr>
              <w:t xml:space="preserve"> </w:t>
            </w:r>
            <w:r>
              <w:rPr>
                <w:spacing w:val="-10"/>
              </w:rPr>
              <w:t>106</w:t>
            </w:r>
            <w:r>
              <w:rPr>
                <w:spacing w:val="10"/>
              </w:rPr>
              <w:t xml:space="preserve"> </w:t>
            </w:r>
            <w:r>
              <w:rPr>
                <w:rFonts w:ascii="宋体" w:hAnsi="宋体" w:eastAsia="宋体" w:cs="宋体"/>
                <w:spacing w:val="-10"/>
              </w:rPr>
              <w:t>户</w:t>
            </w:r>
          </w:p>
        </w:tc>
        <w:tc>
          <w:tcPr>
            <w:tcW w:w="851" w:type="dxa"/>
            <w:vAlign w:val="top"/>
          </w:tcPr>
          <w:p w14:paraId="5B821977">
            <w:pPr>
              <w:pStyle w:val="6"/>
              <w:spacing w:before="114" w:line="188" w:lineRule="auto"/>
              <w:ind w:left="314"/>
            </w:pPr>
            <w:r>
              <w:rPr>
                <w:spacing w:val="-4"/>
              </w:rPr>
              <w:t>SE</w:t>
            </w:r>
          </w:p>
        </w:tc>
        <w:tc>
          <w:tcPr>
            <w:tcW w:w="1120" w:type="dxa"/>
            <w:vAlign w:val="top"/>
          </w:tcPr>
          <w:p w14:paraId="04B04D26">
            <w:pPr>
              <w:pStyle w:val="6"/>
              <w:spacing w:before="114" w:line="188" w:lineRule="auto"/>
              <w:ind w:left="107"/>
            </w:pPr>
            <w:r>
              <w:rPr>
                <w:spacing w:val="-3"/>
              </w:rPr>
              <w:t>1617~2120</w:t>
            </w:r>
          </w:p>
        </w:tc>
        <w:tc>
          <w:tcPr>
            <w:tcW w:w="1235" w:type="dxa"/>
            <w:vAlign w:val="top"/>
          </w:tcPr>
          <w:p w14:paraId="354C93D6">
            <w:pPr>
              <w:pStyle w:val="6"/>
              <w:spacing w:before="114" w:line="188" w:lineRule="auto"/>
              <w:ind w:left="252"/>
            </w:pPr>
            <w:r>
              <w:rPr>
                <w:spacing w:val="-2"/>
              </w:rPr>
              <w:t>345~361</w:t>
            </w:r>
          </w:p>
        </w:tc>
      </w:tr>
      <w:tr w14:paraId="1638B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577" w:type="dxa"/>
            <w:vMerge w:val="continue"/>
            <w:tcBorders>
              <w:top w:val="nil"/>
            </w:tcBorders>
            <w:vAlign w:val="top"/>
          </w:tcPr>
          <w:p w14:paraId="0567DDF7">
            <w:pPr>
              <w:rPr>
                <w:rFonts w:ascii="Arial"/>
                <w:sz w:val="21"/>
              </w:rPr>
            </w:pPr>
          </w:p>
        </w:tc>
        <w:tc>
          <w:tcPr>
            <w:tcW w:w="1118" w:type="dxa"/>
            <w:vAlign w:val="top"/>
          </w:tcPr>
          <w:p w14:paraId="63CC7E7B">
            <w:pPr>
              <w:pStyle w:val="6"/>
              <w:spacing w:before="77" w:line="219" w:lineRule="auto"/>
              <w:ind w:left="41"/>
              <w:rPr>
                <w:rFonts w:ascii="宋体" w:hAnsi="宋体" w:eastAsia="宋体" w:cs="宋体"/>
              </w:rPr>
            </w:pPr>
            <w:r>
              <w:rPr>
                <w:spacing w:val="-2"/>
              </w:rPr>
              <w:t>8#</w:t>
            </w:r>
            <w:r>
              <w:rPr>
                <w:rFonts w:ascii="宋体" w:hAnsi="宋体" w:eastAsia="宋体" w:cs="宋体"/>
                <w:spacing w:val="-2"/>
              </w:rPr>
              <w:t>石板田村</w:t>
            </w:r>
          </w:p>
        </w:tc>
        <w:tc>
          <w:tcPr>
            <w:tcW w:w="1007" w:type="dxa"/>
            <w:vAlign w:val="top"/>
          </w:tcPr>
          <w:p w14:paraId="6DB80CD0">
            <w:pPr>
              <w:pStyle w:val="6"/>
              <w:spacing w:before="113" w:line="188" w:lineRule="auto"/>
              <w:ind w:left="54"/>
            </w:pPr>
            <w:r>
              <w:rPr>
                <w:spacing w:val="-8"/>
              </w:rPr>
              <w:t>105.325989</w:t>
            </w:r>
          </w:p>
        </w:tc>
        <w:tc>
          <w:tcPr>
            <w:tcW w:w="993" w:type="dxa"/>
            <w:vAlign w:val="top"/>
          </w:tcPr>
          <w:p w14:paraId="280C6ACE">
            <w:pPr>
              <w:pStyle w:val="6"/>
              <w:spacing w:before="113" w:line="188" w:lineRule="auto"/>
              <w:ind w:left="78"/>
            </w:pPr>
            <w:r>
              <w:rPr>
                <w:spacing w:val="-6"/>
              </w:rPr>
              <w:t>29.671888</w:t>
            </w:r>
          </w:p>
        </w:tc>
        <w:tc>
          <w:tcPr>
            <w:tcW w:w="566" w:type="dxa"/>
            <w:vAlign w:val="top"/>
          </w:tcPr>
          <w:p w14:paraId="1C5B7761">
            <w:pPr>
              <w:spacing w:before="77" w:line="220" w:lineRule="auto"/>
              <w:ind w:left="80"/>
              <w:rPr>
                <w:rFonts w:ascii="宋体" w:hAnsi="宋体" w:eastAsia="宋体" w:cs="宋体"/>
                <w:sz w:val="21"/>
                <w:szCs w:val="21"/>
              </w:rPr>
            </w:pPr>
            <w:r>
              <w:rPr>
                <w:rFonts w:ascii="宋体" w:hAnsi="宋体" w:eastAsia="宋体" w:cs="宋体"/>
                <w:spacing w:val="-3"/>
                <w:sz w:val="21"/>
                <w:szCs w:val="21"/>
              </w:rPr>
              <w:t>居民</w:t>
            </w:r>
          </w:p>
        </w:tc>
        <w:tc>
          <w:tcPr>
            <w:tcW w:w="853" w:type="dxa"/>
            <w:vAlign w:val="top"/>
          </w:tcPr>
          <w:p w14:paraId="3BF1B2CE">
            <w:pPr>
              <w:pStyle w:val="6"/>
              <w:spacing w:before="78" w:line="220" w:lineRule="auto"/>
              <w:jc w:val="right"/>
              <w:rPr>
                <w:rFonts w:ascii="宋体" w:hAnsi="宋体" w:eastAsia="宋体" w:cs="宋体"/>
              </w:rPr>
            </w:pPr>
            <w:r>
              <w:rPr>
                <w:rFonts w:ascii="宋体" w:hAnsi="宋体" w:eastAsia="宋体" w:cs="宋体"/>
                <w:spacing w:val="-6"/>
              </w:rPr>
              <w:t>约</w:t>
            </w:r>
            <w:r>
              <w:rPr>
                <w:rFonts w:ascii="宋体" w:hAnsi="宋体" w:eastAsia="宋体" w:cs="宋体"/>
                <w:spacing w:val="-46"/>
              </w:rPr>
              <w:t xml:space="preserve"> </w:t>
            </w:r>
            <w:r>
              <w:rPr>
                <w:spacing w:val="-6"/>
              </w:rPr>
              <w:t>405</w:t>
            </w:r>
            <w:r>
              <w:rPr>
                <w:spacing w:val="10"/>
              </w:rPr>
              <w:t xml:space="preserve"> </w:t>
            </w:r>
            <w:r>
              <w:rPr>
                <w:rFonts w:ascii="宋体" w:hAnsi="宋体" w:eastAsia="宋体" w:cs="宋体"/>
                <w:spacing w:val="-6"/>
              </w:rPr>
              <w:t>户</w:t>
            </w:r>
          </w:p>
        </w:tc>
        <w:tc>
          <w:tcPr>
            <w:tcW w:w="851" w:type="dxa"/>
            <w:vAlign w:val="top"/>
          </w:tcPr>
          <w:p w14:paraId="2EA32EC5">
            <w:pPr>
              <w:pStyle w:val="6"/>
              <w:spacing w:before="113" w:line="188" w:lineRule="auto"/>
              <w:ind w:left="279"/>
            </w:pPr>
            <w:r>
              <w:rPr>
                <w:spacing w:val="-3"/>
              </w:rPr>
              <w:t>SW</w:t>
            </w:r>
          </w:p>
        </w:tc>
        <w:tc>
          <w:tcPr>
            <w:tcW w:w="1120" w:type="dxa"/>
            <w:vAlign w:val="top"/>
          </w:tcPr>
          <w:p w14:paraId="274B790C">
            <w:pPr>
              <w:pStyle w:val="6"/>
              <w:spacing w:before="113" w:line="188" w:lineRule="auto"/>
              <w:ind w:left="141"/>
            </w:pPr>
            <w:r>
              <w:rPr>
                <w:spacing w:val="-1"/>
              </w:rPr>
              <w:t>737~2500</w:t>
            </w:r>
          </w:p>
        </w:tc>
        <w:tc>
          <w:tcPr>
            <w:tcW w:w="1235" w:type="dxa"/>
            <w:vAlign w:val="top"/>
          </w:tcPr>
          <w:p w14:paraId="64CB5CD8">
            <w:pPr>
              <w:pStyle w:val="6"/>
              <w:spacing w:before="113" w:line="188" w:lineRule="auto"/>
              <w:ind w:left="251"/>
            </w:pPr>
            <w:r>
              <w:rPr>
                <w:spacing w:val="-2"/>
              </w:rPr>
              <w:t>347~364</w:t>
            </w:r>
          </w:p>
        </w:tc>
      </w:tr>
    </w:tbl>
    <w:p w14:paraId="670D4BC5">
      <w:pPr>
        <w:spacing w:before="291" w:line="227" w:lineRule="auto"/>
        <w:ind w:left="34"/>
        <w:rPr>
          <w:rFonts w:ascii="宋体" w:hAnsi="宋体" w:eastAsia="宋体" w:cs="宋体"/>
          <w:sz w:val="27"/>
          <w:szCs w:val="27"/>
        </w:rPr>
      </w:pPr>
      <w:r>
        <w:rPr>
          <w:rFonts w:ascii="Times New Roman" w:hAnsi="Times New Roman" w:eastAsia="Times New Roman" w:cs="Times New Roman"/>
          <w:b/>
          <w:bCs/>
          <w:spacing w:val="2"/>
          <w:sz w:val="27"/>
          <w:szCs w:val="27"/>
        </w:rPr>
        <w:t>3.2.2.3</w:t>
      </w:r>
      <w:r>
        <w:rPr>
          <w:rFonts w:ascii="Times New Roman" w:hAnsi="Times New Roman" w:eastAsia="Times New Roman" w:cs="Times New Roman"/>
          <w:b/>
          <w:bCs/>
          <w:spacing w:val="27"/>
          <w:sz w:val="27"/>
          <w:szCs w:val="27"/>
        </w:rPr>
        <w:t xml:space="preserve"> </w:t>
      </w:r>
      <w:r>
        <w:rPr>
          <w:rFonts w:ascii="宋体" w:hAnsi="宋体" w:eastAsia="宋体" w:cs="宋体"/>
          <w:b/>
          <w:bCs/>
          <w:spacing w:val="2"/>
          <w:sz w:val="27"/>
          <w:szCs w:val="27"/>
        </w:rPr>
        <w:t>声环境</w:t>
      </w:r>
    </w:p>
    <w:p w14:paraId="7D0B240F">
      <w:pPr>
        <w:spacing w:before="234" w:line="220" w:lineRule="auto"/>
        <w:ind w:left="524"/>
        <w:rPr>
          <w:rFonts w:ascii="宋体" w:hAnsi="宋体" w:eastAsia="宋体" w:cs="宋体"/>
          <w:sz w:val="24"/>
          <w:szCs w:val="24"/>
        </w:rPr>
      </w:pPr>
      <w:r>
        <w:rPr>
          <w:rFonts w:ascii="宋体" w:hAnsi="宋体" w:eastAsia="宋体" w:cs="宋体"/>
          <w:spacing w:val="-2"/>
          <w:sz w:val="24"/>
          <w:szCs w:val="24"/>
        </w:rPr>
        <w:t>声环境保护目标主要为周边</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范围内的散居农户。</w:t>
      </w:r>
    </w:p>
    <w:p w14:paraId="72728C19">
      <w:pPr>
        <w:spacing w:before="196" w:line="222" w:lineRule="auto"/>
        <w:ind w:left="276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3.2-5  </w:t>
      </w:r>
      <w:r>
        <w:rPr>
          <w:rFonts w:ascii="黑体" w:hAnsi="黑体" w:eastAsia="黑体" w:cs="黑体"/>
          <w:spacing w:val="-1"/>
          <w:sz w:val="21"/>
          <w:szCs w:val="21"/>
        </w:rPr>
        <w:t>声环境保护目标一览表</w:t>
      </w:r>
    </w:p>
    <w:p w14:paraId="44D7247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426"/>
        <w:gridCol w:w="1271"/>
        <w:gridCol w:w="1132"/>
        <w:gridCol w:w="1133"/>
        <w:gridCol w:w="566"/>
        <w:gridCol w:w="706"/>
        <w:gridCol w:w="710"/>
        <w:gridCol w:w="856"/>
        <w:gridCol w:w="943"/>
      </w:tblGrid>
      <w:tr w14:paraId="41DC8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77" w:type="dxa"/>
            <w:vMerge w:val="restart"/>
            <w:tcBorders>
              <w:bottom w:val="nil"/>
            </w:tcBorders>
            <w:vAlign w:val="top"/>
          </w:tcPr>
          <w:p w14:paraId="1C86A778">
            <w:pPr>
              <w:spacing w:before="88" w:line="220" w:lineRule="auto"/>
              <w:ind w:left="83"/>
              <w:rPr>
                <w:rFonts w:ascii="宋体" w:hAnsi="宋体" w:eastAsia="宋体" w:cs="宋体"/>
                <w:sz w:val="21"/>
                <w:szCs w:val="21"/>
              </w:rPr>
            </w:pPr>
            <w:r>
              <w:rPr>
                <w:rFonts w:ascii="宋体" w:hAnsi="宋体" w:eastAsia="宋体" w:cs="宋体"/>
                <w:spacing w:val="-3"/>
                <w:sz w:val="21"/>
                <w:szCs w:val="21"/>
              </w:rPr>
              <w:t>环境</w:t>
            </w:r>
          </w:p>
          <w:p w14:paraId="18314CE1">
            <w:pPr>
              <w:spacing w:before="60" w:line="220" w:lineRule="auto"/>
              <w:ind w:left="99"/>
              <w:rPr>
                <w:rFonts w:ascii="宋体" w:hAnsi="宋体" w:eastAsia="宋体" w:cs="宋体"/>
                <w:sz w:val="21"/>
                <w:szCs w:val="21"/>
              </w:rPr>
            </w:pPr>
            <w:r>
              <w:rPr>
                <w:rFonts w:ascii="宋体" w:hAnsi="宋体" w:eastAsia="宋体" w:cs="宋体"/>
                <w:spacing w:val="-7"/>
                <w:sz w:val="21"/>
                <w:szCs w:val="21"/>
              </w:rPr>
              <w:t>因素</w:t>
            </w:r>
          </w:p>
        </w:tc>
        <w:tc>
          <w:tcPr>
            <w:tcW w:w="1697" w:type="dxa"/>
            <w:gridSpan w:val="2"/>
            <w:vMerge w:val="restart"/>
            <w:tcBorders>
              <w:bottom w:val="nil"/>
            </w:tcBorders>
            <w:vAlign w:val="top"/>
          </w:tcPr>
          <w:p w14:paraId="7FBDC865">
            <w:pPr>
              <w:spacing w:before="243" w:line="222" w:lineRule="auto"/>
              <w:ind w:left="644"/>
              <w:rPr>
                <w:rFonts w:ascii="宋体" w:hAnsi="宋体" w:eastAsia="宋体" w:cs="宋体"/>
                <w:sz w:val="21"/>
                <w:szCs w:val="21"/>
              </w:rPr>
            </w:pPr>
            <w:r>
              <w:rPr>
                <w:rFonts w:ascii="宋体" w:hAnsi="宋体" w:eastAsia="宋体" w:cs="宋体"/>
                <w:spacing w:val="-3"/>
                <w:sz w:val="21"/>
                <w:szCs w:val="21"/>
              </w:rPr>
              <w:t>名称</w:t>
            </w:r>
          </w:p>
        </w:tc>
        <w:tc>
          <w:tcPr>
            <w:tcW w:w="2265" w:type="dxa"/>
            <w:gridSpan w:val="2"/>
            <w:vAlign w:val="top"/>
          </w:tcPr>
          <w:p w14:paraId="526B38A3">
            <w:pPr>
              <w:spacing w:before="69" w:line="220" w:lineRule="auto"/>
              <w:ind w:left="736"/>
              <w:rPr>
                <w:rFonts w:ascii="宋体" w:hAnsi="宋体" w:eastAsia="宋体" w:cs="宋体"/>
                <w:sz w:val="21"/>
                <w:szCs w:val="21"/>
              </w:rPr>
            </w:pPr>
            <w:r>
              <w:rPr>
                <w:rFonts w:ascii="宋体" w:hAnsi="宋体" w:eastAsia="宋体" w:cs="宋体"/>
                <w:spacing w:val="-6"/>
                <w:sz w:val="21"/>
                <w:szCs w:val="21"/>
              </w:rPr>
              <w:t>中心坐标</w:t>
            </w:r>
          </w:p>
        </w:tc>
        <w:tc>
          <w:tcPr>
            <w:tcW w:w="566" w:type="dxa"/>
            <w:vMerge w:val="restart"/>
            <w:tcBorders>
              <w:bottom w:val="nil"/>
            </w:tcBorders>
            <w:vAlign w:val="top"/>
          </w:tcPr>
          <w:p w14:paraId="73F20E13">
            <w:pPr>
              <w:spacing w:before="88" w:line="220" w:lineRule="auto"/>
              <w:ind w:left="80"/>
              <w:rPr>
                <w:rFonts w:ascii="宋体" w:hAnsi="宋体" w:eastAsia="宋体" w:cs="宋体"/>
                <w:sz w:val="21"/>
                <w:szCs w:val="21"/>
              </w:rPr>
            </w:pPr>
            <w:r>
              <w:rPr>
                <w:rFonts w:ascii="宋体" w:hAnsi="宋体" w:eastAsia="宋体" w:cs="宋体"/>
                <w:spacing w:val="-3"/>
                <w:sz w:val="21"/>
                <w:szCs w:val="21"/>
              </w:rPr>
              <w:t>保护</w:t>
            </w:r>
          </w:p>
          <w:p w14:paraId="6F46261F">
            <w:pPr>
              <w:spacing w:before="60" w:line="220" w:lineRule="auto"/>
              <w:ind w:left="78"/>
              <w:rPr>
                <w:rFonts w:ascii="宋体" w:hAnsi="宋体" w:eastAsia="宋体" w:cs="宋体"/>
                <w:sz w:val="21"/>
                <w:szCs w:val="21"/>
              </w:rPr>
            </w:pPr>
            <w:r>
              <w:rPr>
                <w:rFonts w:ascii="宋体" w:hAnsi="宋体" w:eastAsia="宋体" w:cs="宋体"/>
                <w:spacing w:val="-2"/>
                <w:sz w:val="21"/>
                <w:szCs w:val="21"/>
              </w:rPr>
              <w:t>对象</w:t>
            </w:r>
          </w:p>
        </w:tc>
        <w:tc>
          <w:tcPr>
            <w:tcW w:w="706" w:type="dxa"/>
            <w:vMerge w:val="restart"/>
            <w:tcBorders>
              <w:bottom w:val="nil"/>
            </w:tcBorders>
            <w:vAlign w:val="top"/>
          </w:tcPr>
          <w:p w14:paraId="442E222B">
            <w:pPr>
              <w:spacing w:before="243" w:line="220" w:lineRule="auto"/>
              <w:ind w:left="151"/>
              <w:rPr>
                <w:rFonts w:ascii="宋体" w:hAnsi="宋体" w:eastAsia="宋体" w:cs="宋体"/>
                <w:sz w:val="21"/>
                <w:szCs w:val="21"/>
              </w:rPr>
            </w:pPr>
            <w:r>
              <w:rPr>
                <w:rFonts w:ascii="宋体" w:hAnsi="宋体" w:eastAsia="宋体" w:cs="宋体"/>
                <w:spacing w:val="-3"/>
                <w:sz w:val="21"/>
                <w:szCs w:val="21"/>
              </w:rPr>
              <w:t>数量</w:t>
            </w:r>
          </w:p>
        </w:tc>
        <w:tc>
          <w:tcPr>
            <w:tcW w:w="710" w:type="dxa"/>
            <w:vMerge w:val="restart"/>
            <w:tcBorders>
              <w:bottom w:val="nil"/>
            </w:tcBorders>
            <w:vAlign w:val="top"/>
          </w:tcPr>
          <w:p w14:paraId="3DF66B0F">
            <w:pPr>
              <w:spacing w:before="88" w:line="220" w:lineRule="auto"/>
              <w:ind w:left="48"/>
              <w:rPr>
                <w:rFonts w:ascii="宋体" w:hAnsi="宋体" w:eastAsia="宋体" w:cs="宋体"/>
                <w:sz w:val="21"/>
                <w:szCs w:val="21"/>
              </w:rPr>
            </w:pPr>
            <w:r>
              <w:rPr>
                <w:rFonts w:ascii="宋体" w:hAnsi="宋体" w:eastAsia="宋体" w:cs="宋体"/>
                <w:spacing w:val="-2"/>
                <w:sz w:val="21"/>
                <w:szCs w:val="21"/>
              </w:rPr>
              <w:t>相对场</w:t>
            </w:r>
          </w:p>
          <w:p w14:paraId="005121BB">
            <w:pPr>
              <w:spacing w:before="61" w:line="221" w:lineRule="auto"/>
              <w:ind w:left="49"/>
              <w:rPr>
                <w:rFonts w:ascii="宋体" w:hAnsi="宋体" w:eastAsia="宋体" w:cs="宋体"/>
                <w:sz w:val="21"/>
                <w:szCs w:val="21"/>
              </w:rPr>
            </w:pPr>
            <w:r>
              <w:rPr>
                <w:rFonts w:ascii="宋体" w:hAnsi="宋体" w:eastAsia="宋体" w:cs="宋体"/>
                <w:spacing w:val="-3"/>
                <w:sz w:val="21"/>
                <w:szCs w:val="21"/>
              </w:rPr>
              <w:t>址方位</w:t>
            </w:r>
          </w:p>
        </w:tc>
        <w:tc>
          <w:tcPr>
            <w:tcW w:w="856" w:type="dxa"/>
            <w:vMerge w:val="restart"/>
            <w:tcBorders>
              <w:bottom w:val="nil"/>
            </w:tcBorders>
            <w:vAlign w:val="top"/>
          </w:tcPr>
          <w:p w14:paraId="225934CC">
            <w:pPr>
              <w:pStyle w:val="6"/>
              <w:spacing w:before="88" w:line="280" w:lineRule="auto"/>
              <w:ind w:left="283" w:right="212" w:hanging="58"/>
            </w:pPr>
            <w:r>
              <w:rPr>
                <w:rFonts w:ascii="宋体" w:hAnsi="宋体" w:eastAsia="宋体" w:cs="宋体"/>
                <w:spacing w:val="-4"/>
              </w:rPr>
              <w:t>距离</w:t>
            </w:r>
            <w:r>
              <w:rPr>
                <w:spacing w:val="-3"/>
              </w:rPr>
              <w:t>(m)</w:t>
            </w:r>
          </w:p>
        </w:tc>
        <w:tc>
          <w:tcPr>
            <w:tcW w:w="943" w:type="dxa"/>
            <w:vMerge w:val="restart"/>
            <w:tcBorders>
              <w:bottom w:val="nil"/>
            </w:tcBorders>
            <w:vAlign w:val="top"/>
          </w:tcPr>
          <w:p w14:paraId="24F5CA3D">
            <w:pPr>
              <w:pStyle w:val="6"/>
              <w:spacing w:before="88" w:line="264" w:lineRule="auto"/>
              <w:ind w:left="190" w:right="193" w:firstLine="81"/>
              <w:rPr>
                <w:rFonts w:ascii="宋体" w:hAnsi="宋体" w:eastAsia="宋体" w:cs="宋体"/>
              </w:rPr>
            </w:pPr>
            <w:r>
              <w:rPr>
                <w:rFonts w:ascii="宋体" w:hAnsi="宋体" w:eastAsia="宋体" w:cs="宋体"/>
                <w:spacing w:val="-7"/>
              </w:rPr>
              <w:t>高程</w:t>
            </w:r>
            <w:r>
              <w:rPr>
                <w:rFonts w:ascii="宋体" w:hAnsi="宋体" w:eastAsia="宋体" w:cs="宋体"/>
                <w:spacing w:val="-10"/>
              </w:rPr>
              <w:t>（</w:t>
            </w:r>
            <w:r>
              <w:rPr>
                <w:spacing w:val="-10"/>
              </w:rPr>
              <w:t>m</w:t>
            </w:r>
            <w:r>
              <w:rPr>
                <w:rFonts w:ascii="宋体" w:hAnsi="宋体" w:eastAsia="宋体" w:cs="宋体"/>
                <w:spacing w:val="-10"/>
              </w:rPr>
              <w:t>）</w:t>
            </w:r>
          </w:p>
        </w:tc>
      </w:tr>
      <w:tr w14:paraId="72AA4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7" w:type="dxa"/>
            <w:vMerge w:val="continue"/>
            <w:tcBorders>
              <w:top w:val="nil"/>
            </w:tcBorders>
            <w:vAlign w:val="top"/>
          </w:tcPr>
          <w:p w14:paraId="1BCDEBD0">
            <w:pPr>
              <w:rPr>
                <w:rFonts w:ascii="Arial"/>
                <w:sz w:val="21"/>
              </w:rPr>
            </w:pPr>
          </w:p>
        </w:tc>
        <w:tc>
          <w:tcPr>
            <w:tcW w:w="1697" w:type="dxa"/>
            <w:gridSpan w:val="2"/>
            <w:vMerge w:val="continue"/>
            <w:tcBorders>
              <w:top w:val="nil"/>
            </w:tcBorders>
            <w:vAlign w:val="top"/>
          </w:tcPr>
          <w:p w14:paraId="2784C7CA">
            <w:pPr>
              <w:rPr>
                <w:rFonts w:ascii="Arial"/>
                <w:sz w:val="21"/>
              </w:rPr>
            </w:pPr>
          </w:p>
        </w:tc>
        <w:tc>
          <w:tcPr>
            <w:tcW w:w="1132" w:type="dxa"/>
            <w:vAlign w:val="top"/>
          </w:tcPr>
          <w:p w14:paraId="5FE50202">
            <w:pPr>
              <w:pStyle w:val="6"/>
              <w:spacing w:before="105" w:line="185" w:lineRule="auto"/>
              <w:ind w:left="502"/>
            </w:pPr>
            <w:r>
              <w:t>E</w:t>
            </w:r>
          </w:p>
        </w:tc>
        <w:tc>
          <w:tcPr>
            <w:tcW w:w="1133" w:type="dxa"/>
            <w:vAlign w:val="top"/>
          </w:tcPr>
          <w:p w14:paraId="05B57AD4">
            <w:pPr>
              <w:pStyle w:val="6"/>
              <w:spacing w:before="104" w:line="185" w:lineRule="auto"/>
              <w:ind w:left="485"/>
            </w:pPr>
            <w:r>
              <w:rPr>
                <w:spacing w:val="2"/>
              </w:rPr>
              <w:t>N</w:t>
            </w:r>
          </w:p>
        </w:tc>
        <w:tc>
          <w:tcPr>
            <w:tcW w:w="566" w:type="dxa"/>
            <w:vMerge w:val="continue"/>
            <w:tcBorders>
              <w:top w:val="nil"/>
            </w:tcBorders>
            <w:vAlign w:val="top"/>
          </w:tcPr>
          <w:p w14:paraId="63EDF659">
            <w:pPr>
              <w:rPr>
                <w:rFonts w:ascii="Arial"/>
                <w:sz w:val="21"/>
              </w:rPr>
            </w:pPr>
          </w:p>
        </w:tc>
        <w:tc>
          <w:tcPr>
            <w:tcW w:w="706" w:type="dxa"/>
            <w:vMerge w:val="continue"/>
            <w:tcBorders>
              <w:top w:val="nil"/>
            </w:tcBorders>
            <w:vAlign w:val="top"/>
          </w:tcPr>
          <w:p w14:paraId="2404987D">
            <w:pPr>
              <w:rPr>
                <w:rFonts w:ascii="Arial"/>
                <w:sz w:val="21"/>
              </w:rPr>
            </w:pPr>
          </w:p>
        </w:tc>
        <w:tc>
          <w:tcPr>
            <w:tcW w:w="710" w:type="dxa"/>
            <w:vMerge w:val="continue"/>
            <w:tcBorders>
              <w:top w:val="nil"/>
            </w:tcBorders>
            <w:vAlign w:val="top"/>
          </w:tcPr>
          <w:p w14:paraId="01069E33">
            <w:pPr>
              <w:rPr>
                <w:rFonts w:ascii="Arial"/>
                <w:sz w:val="21"/>
              </w:rPr>
            </w:pPr>
          </w:p>
        </w:tc>
        <w:tc>
          <w:tcPr>
            <w:tcW w:w="856" w:type="dxa"/>
            <w:vMerge w:val="continue"/>
            <w:tcBorders>
              <w:top w:val="nil"/>
            </w:tcBorders>
            <w:vAlign w:val="top"/>
          </w:tcPr>
          <w:p w14:paraId="7E167C4A">
            <w:pPr>
              <w:rPr>
                <w:rFonts w:ascii="Arial"/>
                <w:sz w:val="21"/>
              </w:rPr>
            </w:pPr>
          </w:p>
        </w:tc>
        <w:tc>
          <w:tcPr>
            <w:tcW w:w="943" w:type="dxa"/>
            <w:vMerge w:val="continue"/>
            <w:tcBorders>
              <w:top w:val="nil"/>
            </w:tcBorders>
            <w:vAlign w:val="top"/>
          </w:tcPr>
          <w:p w14:paraId="77F7E123">
            <w:pPr>
              <w:rPr>
                <w:rFonts w:ascii="Arial"/>
                <w:sz w:val="21"/>
              </w:rPr>
            </w:pPr>
          </w:p>
        </w:tc>
      </w:tr>
      <w:tr w14:paraId="55018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7" w:type="dxa"/>
            <w:vMerge w:val="restart"/>
            <w:tcBorders>
              <w:bottom w:val="nil"/>
            </w:tcBorders>
            <w:textDirection w:val="tbRlV"/>
            <w:vAlign w:val="top"/>
          </w:tcPr>
          <w:p w14:paraId="5DD07CE0">
            <w:pPr>
              <w:spacing w:before="181" w:line="209" w:lineRule="auto"/>
              <w:ind w:left="803"/>
              <w:rPr>
                <w:rFonts w:ascii="宋体" w:hAnsi="宋体" w:eastAsia="宋体" w:cs="宋体"/>
                <w:sz w:val="21"/>
                <w:szCs w:val="21"/>
              </w:rPr>
            </w:pPr>
            <w:r>
              <w:rPr>
                <w:rFonts w:ascii="宋体" w:hAnsi="宋体" w:eastAsia="宋体" w:cs="宋体"/>
                <w:spacing w:val="-2"/>
                <w:sz w:val="21"/>
                <w:szCs w:val="21"/>
              </w:rPr>
              <w:t>声 环 境</w:t>
            </w:r>
          </w:p>
        </w:tc>
        <w:tc>
          <w:tcPr>
            <w:tcW w:w="426" w:type="dxa"/>
            <w:vMerge w:val="restart"/>
            <w:tcBorders>
              <w:bottom w:val="nil"/>
            </w:tcBorders>
            <w:textDirection w:val="tbRlV"/>
            <w:vAlign w:val="top"/>
          </w:tcPr>
          <w:p w14:paraId="7BE21483">
            <w:pPr>
              <w:spacing w:before="107" w:line="207" w:lineRule="auto"/>
              <w:ind w:left="647"/>
              <w:rPr>
                <w:rFonts w:ascii="宋体" w:hAnsi="宋体" w:eastAsia="宋体" w:cs="宋体"/>
                <w:sz w:val="21"/>
                <w:szCs w:val="21"/>
              </w:rPr>
            </w:pPr>
            <w:r>
              <w:rPr>
                <w:rFonts w:ascii="宋体" w:hAnsi="宋体" w:eastAsia="宋体" w:cs="宋体"/>
                <w:spacing w:val="-2"/>
                <w:sz w:val="21"/>
                <w:szCs w:val="21"/>
              </w:rPr>
              <w:t>喻 家 沟 村</w:t>
            </w:r>
          </w:p>
        </w:tc>
        <w:tc>
          <w:tcPr>
            <w:tcW w:w="1271" w:type="dxa"/>
            <w:vAlign w:val="top"/>
          </w:tcPr>
          <w:p w14:paraId="1DD5CE67">
            <w:pPr>
              <w:spacing w:before="65" w:line="220" w:lineRule="auto"/>
              <w:ind w:left="117"/>
              <w:rPr>
                <w:rFonts w:ascii="宋体" w:hAnsi="宋体" w:eastAsia="宋体" w:cs="宋体"/>
                <w:sz w:val="21"/>
                <w:szCs w:val="21"/>
              </w:rPr>
            </w:pPr>
            <w:r>
              <w:rPr>
                <w:rFonts w:ascii="宋体" w:hAnsi="宋体" w:eastAsia="宋体" w:cs="宋体"/>
                <w:spacing w:val="-2"/>
                <w:sz w:val="21"/>
                <w:szCs w:val="21"/>
              </w:rPr>
              <w:t>项目东北侧</w:t>
            </w:r>
          </w:p>
        </w:tc>
        <w:tc>
          <w:tcPr>
            <w:tcW w:w="1132" w:type="dxa"/>
            <w:vAlign w:val="top"/>
          </w:tcPr>
          <w:p w14:paraId="29206DB2">
            <w:pPr>
              <w:pStyle w:val="6"/>
              <w:spacing w:before="102" w:line="188" w:lineRule="auto"/>
              <w:ind w:left="117"/>
            </w:pPr>
            <w:r>
              <w:rPr>
                <w:spacing w:val="-8"/>
              </w:rPr>
              <w:t>105.347592</w:t>
            </w:r>
          </w:p>
        </w:tc>
        <w:tc>
          <w:tcPr>
            <w:tcW w:w="1133" w:type="dxa"/>
            <w:vAlign w:val="top"/>
          </w:tcPr>
          <w:p w14:paraId="5A285572">
            <w:pPr>
              <w:pStyle w:val="6"/>
              <w:spacing w:before="102" w:line="188" w:lineRule="auto"/>
              <w:ind w:left="149"/>
            </w:pPr>
            <w:r>
              <w:rPr>
                <w:spacing w:val="-6"/>
              </w:rPr>
              <w:t>29.679659</w:t>
            </w:r>
          </w:p>
        </w:tc>
        <w:tc>
          <w:tcPr>
            <w:tcW w:w="566" w:type="dxa"/>
            <w:vAlign w:val="top"/>
          </w:tcPr>
          <w:p w14:paraId="4524A884">
            <w:pPr>
              <w:spacing w:before="66" w:line="220" w:lineRule="auto"/>
              <w:ind w:left="81"/>
              <w:rPr>
                <w:rFonts w:ascii="宋体" w:hAnsi="宋体" w:eastAsia="宋体" w:cs="宋体"/>
                <w:sz w:val="21"/>
                <w:szCs w:val="21"/>
              </w:rPr>
            </w:pPr>
            <w:r>
              <w:rPr>
                <w:rFonts w:ascii="宋体" w:hAnsi="宋体" w:eastAsia="宋体" w:cs="宋体"/>
                <w:spacing w:val="-3"/>
                <w:sz w:val="21"/>
                <w:szCs w:val="21"/>
              </w:rPr>
              <w:t>居民</w:t>
            </w:r>
          </w:p>
        </w:tc>
        <w:tc>
          <w:tcPr>
            <w:tcW w:w="706" w:type="dxa"/>
            <w:vAlign w:val="top"/>
          </w:tcPr>
          <w:p w14:paraId="5400A56C">
            <w:pPr>
              <w:pStyle w:val="6"/>
              <w:spacing w:before="66" w:line="220" w:lineRule="auto"/>
              <w:ind w:left="170"/>
              <w:rPr>
                <w:rFonts w:ascii="宋体" w:hAnsi="宋体" w:eastAsia="宋体" w:cs="宋体"/>
              </w:rPr>
            </w:pPr>
            <w:r>
              <w:rPr>
                <w:spacing w:val="-2"/>
              </w:rPr>
              <w:t>4</w:t>
            </w:r>
            <w:r>
              <w:rPr>
                <w:spacing w:val="9"/>
              </w:rPr>
              <w:t xml:space="preserve"> </w:t>
            </w:r>
            <w:r>
              <w:rPr>
                <w:rFonts w:ascii="宋体" w:hAnsi="宋体" w:eastAsia="宋体" w:cs="宋体"/>
                <w:spacing w:val="-2"/>
              </w:rPr>
              <w:t>户</w:t>
            </w:r>
          </w:p>
        </w:tc>
        <w:tc>
          <w:tcPr>
            <w:tcW w:w="710" w:type="dxa"/>
            <w:vAlign w:val="top"/>
          </w:tcPr>
          <w:p w14:paraId="3D8C5F52">
            <w:pPr>
              <w:pStyle w:val="6"/>
              <w:spacing w:before="105" w:line="185" w:lineRule="auto"/>
              <w:ind w:left="212"/>
            </w:pPr>
            <w:r>
              <w:rPr>
                <w:spacing w:val="1"/>
              </w:rPr>
              <w:t>NE</w:t>
            </w:r>
          </w:p>
        </w:tc>
        <w:tc>
          <w:tcPr>
            <w:tcW w:w="856" w:type="dxa"/>
            <w:vAlign w:val="top"/>
          </w:tcPr>
          <w:p w14:paraId="09A95E02">
            <w:pPr>
              <w:pStyle w:val="6"/>
              <w:spacing w:before="102" w:line="188" w:lineRule="auto"/>
              <w:ind w:left="117"/>
            </w:pPr>
            <w:r>
              <w:rPr>
                <w:spacing w:val="-2"/>
              </w:rPr>
              <w:t>38~109</w:t>
            </w:r>
          </w:p>
        </w:tc>
        <w:tc>
          <w:tcPr>
            <w:tcW w:w="943" w:type="dxa"/>
            <w:vAlign w:val="top"/>
          </w:tcPr>
          <w:p w14:paraId="1C4C0733">
            <w:pPr>
              <w:pStyle w:val="6"/>
              <w:spacing w:before="102" w:line="188" w:lineRule="auto"/>
              <w:ind w:left="104"/>
            </w:pPr>
            <w:r>
              <w:rPr>
                <w:spacing w:val="-2"/>
              </w:rPr>
              <w:t>347~356</w:t>
            </w:r>
          </w:p>
        </w:tc>
      </w:tr>
      <w:tr w14:paraId="45D30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7" w:type="dxa"/>
            <w:vMerge w:val="continue"/>
            <w:tcBorders>
              <w:top w:val="nil"/>
              <w:bottom w:val="nil"/>
            </w:tcBorders>
            <w:textDirection w:val="tbRlV"/>
            <w:vAlign w:val="top"/>
          </w:tcPr>
          <w:p w14:paraId="5AEE3B03">
            <w:pPr>
              <w:rPr>
                <w:rFonts w:ascii="Arial"/>
                <w:sz w:val="21"/>
              </w:rPr>
            </w:pPr>
          </w:p>
        </w:tc>
        <w:tc>
          <w:tcPr>
            <w:tcW w:w="426" w:type="dxa"/>
            <w:vMerge w:val="continue"/>
            <w:tcBorders>
              <w:top w:val="nil"/>
              <w:bottom w:val="nil"/>
            </w:tcBorders>
            <w:textDirection w:val="tbRlV"/>
            <w:vAlign w:val="top"/>
          </w:tcPr>
          <w:p w14:paraId="21A70831">
            <w:pPr>
              <w:rPr>
                <w:rFonts w:ascii="Arial"/>
                <w:sz w:val="21"/>
              </w:rPr>
            </w:pPr>
          </w:p>
        </w:tc>
        <w:tc>
          <w:tcPr>
            <w:tcW w:w="1271" w:type="dxa"/>
            <w:vAlign w:val="top"/>
          </w:tcPr>
          <w:p w14:paraId="00EBBA02">
            <w:pPr>
              <w:spacing w:before="65" w:line="220" w:lineRule="auto"/>
              <w:ind w:left="222"/>
              <w:rPr>
                <w:rFonts w:ascii="宋体" w:hAnsi="宋体" w:eastAsia="宋体" w:cs="宋体"/>
                <w:sz w:val="21"/>
                <w:szCs w:val="21"/>
              </w:rPr>
            </w:pPr>
            <w:r>
              <w:rPr>
                <w:rFonts w:ascii="宋体" w:hAnsi="宋体" w:eastAsia="宋体" w:cs="宋体"/>
                <w:spacing w:val="-3"/>
                <w:sz w:val="21"/>
                <w:szCs w:val="21"/>
              </w:rPr>
              <w:t>项目东侧</w:t>
            </w:r>
          </w:p>
        </w:tc>
        <w:tc>
          <w:tcPr>
            <w:tcW w:w="1132" w:type="dxa"/>
            <w:vAlign w:val="top"/>
          </w:tcPr>
          <w:p w14:paraId="7BE650AB">
            <w:pPr>
              <w:pStyle w:val="6"/>
              <w:spacing w:before="102" w:line="188" w:lineRule="auto"/>
              <w:ind w:left="117"/>
            </w:pPr>
            <w:r>
              <w:rPr>
                <w:spacing w:val="-8"/>
              </w:rPr>
              <w:t>105.348582</w:t>
            </w:r>
          </w:p>
        </w:tc>
        <w:tc>
          <w:tcPr>
            <w:tcW w:w="1133" w:type="dxa"/>
            <w:vAlign w:val="top"/>
          </w:tcPr>
          <w:p w14:paraId="5203901A">
            <w:pPr>
              <w:pStyle w:val="6"/>
              <w:spacing w:before="102" w:line="188" w:lineRule="auto"/>
              <w:ind w:left="149"/>
            </w:pPr>
            <w:r>
              <w:rPr>
                <w:spacing w:val="-6"/>
              </w:rPr>
              <w:t>29.677482</w:t>
            </w:r>
          </w:p>
        </w:tc>
        <w:tc>
          <w:tcPr>
            <w:tcW w:w="566" w:type="dxa"/>
            <w:vAlign w:val="top"/>
          </w:tcPr>
          <w:p w14:paraId="213FD393">
            <w:pPr>
              <w:spacing w:before="66" w:line="220" w:lineRule="auto"/>
              <w:ind w:left="81"/>
              <w:rPr>
                <w:rFonts w:ascii="宋体" w:hAnsi="宋体" w:eastAsia="宋体" w:cs="宋体"/>
                <w:sz w:val="21"/>
                <w:szCs w:val="21"/>
              </w:rPr>
            </w:pPr>
            <w:r>
              <w:rPr>
                <w:rFonts w:ascii="宋体" w:hAnsi="宋体" w:eastAsia="宋体" w:cs="宋体"/>
                <w:spacing w:val="-3"/>
                <w:sz w:val="21"/>
                <w:szCs w:val="21"/>
              </w:rPr>
              <w:t>居民</w:t>
            </w:r>
          </w:p>
        </w:tc>
        <w:tc>
          <w:tcPr>
            <w:tcW w:w="706" w:type="dxa"/>
            <w:vAlign w:val="top"/>
          </w:tcPr>
          <w:p w14:paraId="69D4AE9C">
            <w:pPr>
              <w:pStyle w:val="6"/>
              <w:spacing w:before="66" w:line="220" w:lineRule="auto"/>
              <w:ind w:left="170"/>
              <w:rPr>
                <w:rFonts w:ascii="宋体" w:hAnsi="宋体" w:eastAsia="宋体" w:cs="宋体"/>
              </w:rPr>
            </w:pPr>
            <w:r>
              <w:rPr>
                <w:spacing w:val="-2"/>
              </w:rPr>
              <w:t>4</w:t>
            </w:r>
            <w:r>
              <w:rPr>
                <w:spacing w:val="9"/>
              </w:rPr>
              <w:t xml:space="preserve"> </w:t>
            </w:r>
            <w:r>
              <w:rPr>
                <w:rFonts w:ascii="宋体" w:hAnsi="宋体" w:eastAsia="宋体" w:cs="宋体"/>
                <w:spacing w:val="-2"/>
              </w:rPr>
              <w:t>户</w:t>
            </w:r>
          </w:p>
        </w:tc>
        <w:tc>
          <w:tcPr>
            <w:tcW w:w="710" w:type="dxa"/>
            <w:vAlign w:val="top"/>
          </w:tcPr>
          <w:p w14:paraId="7C830F8F">
            <w:pPr>
              <w:pStyle w:val="6"/>
              <w:spacing w:before="105" w:line="185" w:lineRule="auto"/>
              <w:ind w:left="295"/>
            </w:pPr>
            <w:r>
              <w:t>E</w:t>
            </w:r>
          </w:p>
        </w:tc>
        <w:tc>
          <w:tcPr>
            <w:tcW w:w="856" w:type="dxa"/>
            <w:vAlign w:val="top"/>
          </w:tcPr>
          <w:p w14:paraId="13DB0B2F">
            <w:pPr>
              <w:pStyle w:val="6"/>
              <w:spacing w:before="102" w:line="188" w:lineRule="auto"/>
              <w:ind w:left="112"/>
            </w:pPr>
            <w:r>
              <w:rPr>
                <w:spacing w:val="-1"/>
              </w:rPr>
              <w:t>45~105</w:t>
            </w:r>
          </w:p>
        </w:tc>
        <w:tc>
          <w:tcPr>
            <w:tcW w:w="943" w:type="dxa"/>
            <w:vAlign w:val="top"/>
          </w:tcPr>
          <w:p w14:paraId="4DC8E63A">
            <w:pPr>
              <w:pStyle w:val="6"/>
              <w:spacing w:before="102" w:line="188" w:lineRule="auto"/>
              <w:ind w:left="105"/>
            </w:pPr>
            <w:r>
              <w:rPr>
                <w:spacing w:val="-2"/>
              </w:rPr>
              <w:t>351~355</w:t>
            </w:r>
          </w:p>
        </w:tc>
      </w:tr>
      <w:tr w14:paraId="1CE21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7" w:type="dxa"/>
            <w:vMerge w:val="continue"/>
            <w:tcBorders>
              <w:top w:val="nil"/>
              <w:bottom w:val="nil"/>
            </w:tcBorders>
            <w:textDirection w:val="tbRlV"/>
            <w:vAlign w:val="top"/>
          </w:tcPr>
          <w:p w14:paraId="46A05C03">
            <w:pPr>
              <w:rPr>
                <w:rFonts w:ascii="Arial"/>
                <w:sz w:val="21"/>
              </w:rPr>
            </w:pPr>
          </w:p>
        </w:tc>
        <w:tc>
          <w:tcPr>
            <w:tcW w:w="426" w:type="dxa"/>
            <w:vMerge w:val="continue"/>
            <w:tcBorders>
              <w:top w:val="nil"/>
              <w:bottom w:val="nil"/>
            </w:tcBorders>
            <w:textDirection w:val="tbRlV"/>
            <w:vAlign w:val="top"/>
          </w:tcPr>
          <w:p w14:paraId="68870702">
            <w:pPr>
              <w:rPr>
                <w:rFonts w:ascii="Arial"/>
                <w:sz w:val="21"/>
              </w:rPr>
            </w:pPr>
          </w:p>
        </w:tc>
        <w:tc>
          <w:tcPr>
            <w:tcW w:w="1271" w:type="dxa"/>
            <w:vAlign w:val="top"/>
          </w:tcPr>
          <w:p w14:paraId="6E2FD9C6">
            <w:pPr>
              <w:spacing w:before="65" w:line="220" w:lineRule="auto"/>
              <w:ind w:left="117"/>
              <w:rPr>
                <w:rFonts w:ascii="宋体" w:hAnsi="宋体" w:eastAsia="宋体" w:cs="宋体"/>
                <w:sz w:val="21"/>
                <w:szCs w:val="21"/>
              </w:rPr>
            </w:pPr>
            <w:r>
              <w:rPr>
                <w:rFonts w:ascii="宋体" w:hAnsi="宋体" w:eastAsia="宋体" w:cs="宋体"/>
                <w:spacing w:val="-2"/>
                <w:sz w:val="21"/>
                <w:szCs w:val="21"/>
              </w:rPr>
              <w:t>项目东南侧</w:t>
            </w:r>
          </w:p>
        </w:tc>
        <w:tc>
          <w:tcPr>
            <w:tcW w:w="1132" w:type="dxa"/>
            <w:vAlign w:val="top"/>
          </w:tcPr>
          <w:p w14:paraId="6C9453BA">
            <w:pPr>
              <w:pStyle w:val="6"/>
              <w:spacing w:before="102" w:line="188" w:lineRule="auto"/>
              <w:ind w:left="117"/>
            </w:pPr>
            <w:r>
              <w:rPr>
                <w:spacing w:val="-8"/>
              </w:rPr>
              <w:t>105.349134</w:t>
            </w:r>
          </w:p>
        </w:tc>
        <w:tc>
          <w:tcPr>
            <w:tcW w:w="1133" w:type="dxa"/>
            <w:vAlign w:val="top"/>
          </w:tcPr>
          <w:p w14:paraId="4429B888">
            <w:pPr>
              <w:pStyle w:val="6"/>
              <w:spacing w:before="102" w:line="188" w:lineRule="auto"/>
              <w:ind w:left="149"/>
            </w:pPr>
            <w:r>
              <w:rPr>
                <w:spacing w:val="-6"/>
              </w:rPr>
              <w:t>29.675880</w:t>
            </w:r>
          </w:p>
        </w:tc>
        <w:tc>
          <w:tcPr>
            <w:tcW w:w="566" w:type="dxa"/>
            <w:vAlign w:val="top"/>
          </w:tcPr>
          <w:p w14:paraId="4544916D">
            <w:pPr>
              <w:spacing w:before="66" w:line="220" w:lineRule="auto"/>
              <w:ind w:left="81"/>
              <w:rPr>
                <w:rFonts w:ascii="宋体" w:hAnsi="宋体" w:eastAsia="宋体" w:cs="宋体"/>
                <w:sz w:val="21"/>
                <w:szCs w:val="21"/>
              </w:rPr>
            </w:pPr>
            <w:r>
              <w:rPr>
                <w:rFonts w:ascii="宋体" w:hAnsi="宋体" w:eastAsia="宋体" w:cs="宋体"/>
                <w:spacing w:val="-3"/>
                <w:sz w:val="21"/>
                <w:szCs w:val="21"/>
              </w:rPr>
              <w:t>居民</w:t>
            </w:r>
          </w:p>
        </w:tc>
        <w:tc>
          <w:tcPr>
            <w:tcW w:w="706" w:type="dxa"/>
            <w:vAlign w:val="top"/>
          </w:tcPr>
          <w:p w14:paraId="464989EE">
            <w:pPr>
              <w:pStyle w:val="6"/>
              <w:spacing w:before="66" w:line="220" w:lineRule="auto"/>
              <w:ind w:left="139"/>
              <w:rPr>
                <w:rFonts w:ascii="宋体" w:hAnsi="宋体" w:eastAsia="宋体" w:cs="宋体"/>
              </w:rPr>
            </w:pPr>
            <w:r>
              <w:rPr>
                <w:spacing w:val="-8"/>
              </w:rPr>
              <w:t>10</w:t>
            </w:r>
            <w:r>
              <w:rPr>
                <w:spacing w:val="9"/>
              </w:rPr>
              <w:t xml:space="preserve"> </w:t>
            </w:r>
            <w:r>
              <w:rPr>
                <w:rFonts w:ascii="宋体" w:hAnsi="宋体" w:eastAsia="宋体" w:cs="宋体"/>
                <w:spacing w:val="-8"/>
              </w:rPr>
              <w:t>户</w:t>
            </w:r>
          </w:p>
        </w:tc>
        <w:tc>
          <w:tcPr>
            <w:tcW w:w="710" w:type="dxa"/>
            <w:vAlign w:val="top"/>
          </w:tcPr>
          <w:p w14:paraId="63C76AF3">
            <w:pPr>
              <w:pStyle w:val="6"/>
              <w:spacing w:before="102" w:line="188" w:lineRule="auto"/>
              <w:ind w:left="245"/>
            </w:pPr>
            <w:r>
              <w:rPr>
                <w:spacing w:val="-4"/>
              </w:rPr>
              <w:t>SE</w:t>
            </w:r>
          </w:p>
        </w:tc>
        <w:tc>
          <w:tcPr>
            <w:tcW w:w="856" w:type="dxa"/>
            <w:vAlign w:val="top"/>
          </w:tcPr>
          <w:p w14:paraId="579884E8">
            <w:pPr>
              <w:pStyle w:val="6"/>
              <w:spacing w:before="102" w:line="188" w:lineRule="auto"/>
              <w:ind w:left="80"/>
            </w:pPr>
            <w:r>
              <w:rPr>
                <w:spacing w:val="-4"/>
              </w:rPr>
              <w:t>126~182</w:t>
            </w:r>
          </w:p>
        </w:tc>
        <w:tc>
          <w:tcPr>
            <w:tcW w:w="943" w:type="dxa"/>
            <w:vAlign w:val="top"/>
          </w:tcPr>
          <w:p w14:paraId="78095612">
            <w:pPr>
              <w:pStyle w:val="6"/>
              <w:spacing w:before="102" w:line="188" w:lineRule="auto"/>
              <w:ind w:left="104"/>
            </w:pPr>
            <w:r>
              <w:rPr>
                <w:spacing w:val="-2"/>
              </w:rPr>
              <w:t>343~348</w:t>
            </w:r>
          </w:p>
        </w:tc>
      </w:tr>
      <w:tr w14:paraId="1A2DA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77" w:type="dxa"/>
            <w:vMerge w:val="continue"/>
            <w:tcBorders>
              <w:top w:val="nil"/>
              <w:bottom w:val="nil"/>
            </w:tcBorders>
            <w:textDirection w:val="tbRlV"/>
            <w:vAlign w:val="top"/>
          </w:tcPr>
          <w:p w14:paraId="676DD7BE">
            <w:pPr>
              <w:rPr>
                <w:rFonts w:ascii="Arial"/>
                <w:sz w:val="21"/>
              </w:rPr>
            </w:pPr>
          </w:p>
        </w:tc>
        <w:tc>
          <w:tcPr>
            <w:tcW w:w="426" w:type="dxa"/>
            <w:vMerge w:val="continue"/>
            <w:tcBorders>
              <w:top w:val="nil"/>
              <w:bottom w:val="nil"/>
            </w:tcBorders>
            <w:textDirection w:val="tbRlV"/>
            <w:vAlign w:val="top"/>
          </w:tcPr>
          <w:p w14:paraId="01C14181">
            <w:pPr>
              <w:rPr>
                <w:rFonts w:ascii="Arial"/>
                <w:sz w:val="21"/>
              </w:rPr>
            </w:pPr>
          </w:p>
        </w:tc>
        <w:tc>
          <w:tcPr>
            <w:tcW w:w="1271" w:type="dxa"/>
            <w:vAlign w:val="top"/>
          </w:tcPr>
          <w:p w14:paraId="5AA2ACA1">
            <w:pPr>
              <w:spacing w:before="66" w:line="220" w:lineRule="auto"/>
              <w:ind w:left="222"/>
              <w:rPr>
                <w:rFonts w:ascii="宋体" w:hAnsi="宋体" w:eastAsia="宋体" w:cs="宋体"/>
                <w:sz w:val="21"/>
                <w:szCs w:val="21"/>
              </w:rPr>
            </w:pPr>
            <w:r>
              <w:rPr>
                <w:rFonts w:ascii="宋体" w:hAnsi="宋体" w:eastAsia="宋体" w:cs="宋体"/>
                <w:spacing w:val="-3"/>
                <w:sz w:val="21"/>
                <w:szCs w:val="21"/>
              </w:rPr>
              <w:t>项目南侧</w:t>
            </w:r>
          </w:p>
        </w:tc>
        <w:tc>
          <w:tcPr>
            <w:tcW w:w="1132" w:type="dxa"/>
            <w:vAlign w:val="top"/>
          </w:tcPr>
          <w:p w14:paraId="519DE75B">
            <w:pPr>
              <w:pStyle w:val="6"/>
              <w:spacing w:before="103" w:line="188" w:lineRule="auto"/>
              <w:ind w:left="117"/>
            </w:pPr>
            <w:r>
              <w:rPr>
                <w:spacing w:val="-8"/>
              </w:rPr>
              <w:t>105.344481</w:t>
            </w:r>
          </w:p>
        </w:tc>
        <w:tc>
          <w:tcPr>
            <w:tcW w:w="1133" w:type="dxa"/>
            <w:vAlign w:val="top"/>
          </w:tcPr>
          <w:p w14:paraId="2996B7FD">
            <w:pPr>
              <w:pStyle w:val="6"/>
              <w:spacing w:before="103" w:line="188" w:lineRule="auto"/>
              <w:ind w:left="149"/>
            </w:pPr>
            <w:r>
              <w:rPr>
                <w:spacing w:val="-6"/>
              </w:rPr>
              <w:t>29.675471</w:t>
            </w:r>
          </w:p>
        </w:tc>
        <w:tc>
          <w:tcPr>
            <w:tcW w:w="566" w:type="dxa"/>
            <w:vAlign w:val="top"/>
          </w:tcPr>
          <w:p w14:paraId="3649A468">
            <w:pPr>
              <w:spacing w:before="67" w:line="220" w:lineRule="auto"/>
              <w:ind w:left="81"/>
              <w:rPr>
                <w:rFonts w:ascii="宋体" w:hAnsi="宋体" w:eastAsia="宋体" w:cs="宋体"/>
                <w:sz w:val="21"/>
                <w:szCs w:val="21"/>
              </w:rPr>
            </w:pPr>
            <w:r>
              <w:rPr>
                <w:rFonts w:ascii="宋体" w:hAnsi="宋体" w:eastAsia="宋体" w:cs="宋体"/>
                <w:spacing w:val="-3"/>
                <w:sz w:val="21"/>
                <w:szCs w:val="21"/>
              </w:rPr>
              <w:t>居民</w:t>
            </w:r>
          </w:p>
        </w:tc>
        <w:tc>
          <w:tcPr>
            <w:tcW w:w="706" w:type="dxa"/>
            <w:vAlign w:val="top"/>
          </w:tcPr>
          <w:p w14:paraId="153F08F8">
            <w:pPr>
              <w:pStyle w:val="6"/>
              <w:spacing w:before="67" w:line="220" w:lineRule="auto"/>
              <w:ind w:left="170"/>
              <w:rPr>
                <w:rFonts w:ascii="宋体" w:hAnsi="宋体" w:eastAsia="宋体" w:cs="宋体"/>
              </w:rPr>
            </w:pPr>
            <w:r>
              <w:rPr>
                <w:spacing w:val="-2"/>
              </w:rPr>
              <w:t>4</w:t>
            </w:r>
            <w:r>
              <w:rPr>
                <w:spacing w:val="9"/>
              </w:rPr>
              <w:t xml:space="preserve"> </w:t>
            </w:r>
            <w:r>
              <w:rPr>
                <w:rFonts w:ascii="宋体" w:hAnsi="宋体" w:eastAsia="宋体" w:cs="宋体"/>
                <w:spacing w:val="-2"/>
              </w:rPr>
              <w:t>户</w:t>
            </w:r>
          </w:p>
        </w:tc>
        <w:tc>
          <w:tcPr>
            <w:tcW w:w="710" w:type="dxa"/>
            <w:vAlign w:val="top"/>
          </w:tcPr>
          <w:p w14:paraId="1D8A899B">
            <w:pPr>
              <w:pStyle w:val="6"/>
              <w:spacing w:before="103" w:line="188" w:lineRule="auto"/>
              <w:ind w:left="310"/>
            </w:pPr>
            <w:r>
              <w:t>S</w:t>
            </w:r>
          </w:p>
        </w:tc>
        <w:tc>
          <w:tcPr>
            <w:tcW w:w="856" w:type="dxa"/>
            <w:vAlign w:val="top"/>
          </w:tcPr>
          <w:p w14:paraId="7612ED83">
            <w:pPr>
              <w:pStyle w:val="6"/>
              <w:spacing w:before="103" w:line="188" w:lineRule="auto"/>
              <w:ind w:left="81"/>
            </w:pPr>
            <w:r>
              <w:rPr>
                <w:spacing w:val="-4"/>
              </w:rPr>
              <w:t>163~193</w:t>
            </w:r>
          </w:p>
        </w:tc>
        <w:tc>
          <w:tcPr>
            <w:tcW w:w="943" w:type="dxa"/>
            <w:vAlign w:val="top"/>
          </w:tcPr>
          <w:p w14:paraId="5C260C25">
            <w:pPr>
              <w:pStyle w:val="6"/>
              <w:spacing w:before="103" w:line="188" w:lineRule="auto"/>
              <w:ind w:left="105"/>
            </w:pPr>
            <w:r>
              <w:rPr>
                <w:spacing w:val="-2"/>
              </w:rPr>
              <w:t>344~356</w:t>
            </w:r>
          </w:p>
        </w:tc>
      </w:tr>
      <w:tr w14:paraId="0C187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7" w:type="dxa"/>
            <w:vMerge w:val="continue"/>
            <w:tcBorders>
              <w:top w:val="nil"/>
              <w:bottom w:val="nil"/>
            </w:tcBorders>
            <w:textDirection w:val="tbRlV"/>
            <w:vAlign w:val="top"/>
          </w:tcPr>
          <w:p w14:paraId="5FE20D37">
            <w:pPr>
              <w:rPr>
                <w:rFonts w:ascii="Arial"/>
                <w:sz w:val="21"/>
              </w:rPr>
            </w:pPr>
          </w:p>
        </w:tc>
        <w:tc>
          <w:tcPr>
            <w:tcW w:w="426" w:type="dxa"/>
            <w:vMerge w:val="continue"/>
            <w:tcBorders>
              <w:top w:val="nil"/>
              <w:bottom w:val="nil"/>
            </w:tcBorders>
            <w:textDirection w:val="tbRlV"/>
            <w:vAlign w:val="top"/>
          </w:tcPr>
          <w:p w14:paraId="2125B652">
            <w:pPr>
              <w:rPr>
                <w:rFonts w:ascii="Arial"/>
                <w:sz w:val="21"/>
              </w:rPr>
            </w:pPr>
          </w:p>
        </w:tc>
        <w:tc>
          <w:tcPr>
            <w:tcW w:w="1271" w:type="dxa"/>
            <w:vAlign w:val="top"/>
          </w:tcPr>
          <w:p w14:paraId="57C79B76">
            <w:pPr>
              <w:spacing w:before="67" w:line="220" w:lineRule="auto"/>
              <w:ind w:left="117"/>
              <w:rPr>
                <w:rFonts w:ascii="宋体" w:hAnsi="宋体" w:eastAsia="宋体" w:cs="宋体"/>
                <w:sz w:val="21"/>
                <w:szCs w:val="21"/>
              </w:rPr>
            </w:pPr>
            <w:r>
              <w:rPr>
                <w:rFonts w:ascii="宋体" w:hAnsi="宋体" w:eastAsia="宋体" w:cs="宋体"/>
                <w:spacing w:val="-2"/>
                <w:sz w:val="21"/>
                <w:szCs w:val="21"/>
              </w:rPr>
              <w:t>项目西南侧</w:t>
            </w:r>
          </w:p>
        </w:tc>
        <w:tc>
          <w:tcPr>
            <w:tcW w:w="1132" w:type="dxa"/>
            <w:vAlign w:val="top"/>
          </w:tcPr>
          <w:p w14:paraId="22BEA6E1">
            <w:pPr>
              <w:pStyle w:val="6"/>
              <w:spacing w:before="104" w:line="188" w:lineRule="auto"/>
              <w:ind w:left="117"/>
            </w:pPr>
            <w:r>
              <w:rPr>
                <w:spacing w:val="-8"/>
              </w:rPr>
              <w:t>105.343377</w:t>
            </w:r>
          </w:p>
        </w:tc>
        <w:tc>
          <w:tcPr>
            <w:tcW w:w="1133" w:type="dxa"/>
            <w:vAlign w:val="top"/>
          </w:tcPr>
          <w:p w14:paraId="269EAFAA">
            <w:pPr>
              <w:pStyle w:val="6"/>
              <w:spacing w:before="104" w:line="188" w:lineRule="auto"/>
              <w:ind w:left="149"/>
            </w:pPr>
            <w:r>
              <w:rPr>
                <w:spacing w:val="-6"/>
              </w:rPr>
              <w:t>29.677743</w:t>
            </w:r>
          </w:p>
        </w:tc>
        <w:tc>
          <w:tcPr>
            <w:tcW w:w="566" w:type="dxa"/>
            <w:vAlign w:val="top"/>
          </w:tcPr>
          <w:p w14:paraId="4152D457">
            <w:pPr>
              <w:spacing w:before="68" w:line="220" w:lineRule="auto"/>
              <w:ind w:left="81"/>
              <w:rPr>
                <w:rFonts w:ascii="宋体" w:hAnsi="宋体" w:eastAsia="宋体" w:cs="宋体"/>
                <w:sz w:val="21"/>
                <w:szCs w:val="21"/>
              </w:rPr>
            </w:pPr>
            <w:r>
              <w:rPr>
                <w:rFonts w:ascii="宋体" w:hAnsi="宋体" w:eastAsia="宋体" w:cs="宋体"/>
                <w:spacing w:val="-3"/>
                <w:sz w:val="21"/>
                <w:szCs w:val="21"/>
              </w:rPr>
              <w:t>居民</w:t>
            </w:r>
          </w:p>
        </w:tc>
        <w:tc>
          <w:tcPr>
            <w:tcW w:w="706" w:type="dxa"/>
            <w:vAlign w:val="top"/>
          </w:tcPr>
          <w:p w14:paraId="14822384">
            <w:pPr>
              <w:pStyle w:val="6"/>
              <w:spacing w:before="68" w:line="220" w:lineRule="auto"/>
              <w:ind w:left="139"/>
              <w:rPr>
                <w:rFonts w:ascii="宋体" w:hAnsi="宋体" w:eastAsia="宋体" w:cs="宋体"/>
              </w:rPr>
            </w:pPr>
            <w:r>
              <w:rPr>
                <w:spacing w:val="-8"/>
              </w:rPr>
              <w:t>13</w:t>
            </w:r>
            <w:r>
              <w:rPr>
                <w:spacing w:val="9"/>
              </w:rPr>
              <w:t xml:space="preserve"> </w:t>
            </w:r>
            <w:r>
              <w:rPr>
                <w:rFonts w:ascii="宋体" w:hAnsi="宋体" w:eastAsia="宋体" w:cs="宋体"/>
                <w:spacing w:val="-8"/>
              </w:rPr>
              <w:t>户</w:t>
            </w:r>
          </w:p>
        </w:tc>
        <w:tc>
          <w:tcPr>
            <w:tcW w:w="710" w:type="dxa"/>
            <w:vAlign w:val="top"/>
          </w:tcPr>
          <w:p w14:paraId="0FC983B3">
            <w:pPr>
              <w:pStyle w:val="6"/>
              <w:spacing w:before="104" w:line="188" w:lineRule="auto"/>
              <w:ind w:left="210"/>
            </w:pPr>
            <w:r>
              <w:rPr>
                <w:spacing w:val="-3"/>
              </w:rPr>
              <w:t>SW</w:t>
            </w:r>
          </w:p>
        </w:tc>
        <w:tc>
          <w:tcPr>
            <w:tcW w:w="856" w:type="dxa"/>
            <w:vAlign w:val="top"/>
          </w:tcPr>
          <w:p w14:paraId="2C15C113">
            <w:pPr>
              <w:pStyle w:val="6"/>
              <w:spacing w:before="104" w:line="188" w:lineRule="auto"/>
              <w:ind w:left="123"/>
            </w:pPr>
            <w:r>
              <w:rPr>
                <w:spacing w:val="-3"/>
              </w:rPr>
              <w:t>86~183</w:t>
            </w:r>
          </w:p>
        </w:tc>
        <w:tc>
          <w:tcPr>
            <w:tcW w:w="943" w:type="dxa"/>
            <w:vAlign w:val="top"/>
          </w:tcPr>
          <w:p w14:paraId="6864CABE">
            <w:pPr>
              <w:pStyle w:val="6"/>
              <w:spacing w:before="104" w:line="188" w:lineRule="auto"/>
              <w:ind w:left="105"/>
            </w:pPr>
            <w:r>
              <w:rPr>
                <w:spacing w:val="-2"/>
              </w:rPr>
              <w:t>350~354</w:t>
            </w:r>
          </w:p>
        </w:tc>
      </w:tr>
      <w:tr w14:paraId="3350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7" w:type="dxa"/>
            <w:vMerge w:val="continue"/>
            <w:tcBorders>
              <w:top w:val="nil"/>
              <w:bottom w:val="nil"/>
            </w:tcBorders>
            <w:textDirection w:val="tbRlV"/>
            <w:vAlign w:val="top"/>
          </w:tcPr>
          <w:p w14:paraId="5FF01751">
            <w:pPr>
              <w:rPr>
                <w:rFonts w:ascii="Arial"/>
                <w:sz w:val="21"/>
              </w:rPr>
            </w:pPr>
          </w:p>
        </w:tc>
        <w:tc>
          <w:tcPr>
            <w:tcW w:w="426" w:type="dxa"/>
            <w:vMerge w:val="continue"/>
            <w:tcBorders>
              <w:top w:val="nil"/>
              <w:bottom w:val="nil"/>
            </w:tcBorders>
            <w:textDirection w:val="tbRlV"/>
            <w:vAlign w:val="top"/>
          </w:tcPr>
          <w:p w14:paraId="51158A5E">
            <w:pPr>
              <w:rPr>
                <w:rFonts w:ascii="Arial"/>
                <w:sz w:val="21"/>
              </w:rPr>
            </w:pPr>
          </w:p>
        </w:tc>
        <w:tc>
          <w:tcPr>
            <w:tcW w:w="1271" w:type="dxa"/>
            <w:vAlign w:val="top"/>
          </w:tcPr>
          <w:p w14:paraId="203863EF">
            <w:pPr>
              <w:spacing w:before="67" w:line="220" w:lineRule="auto"/>
              <w:ind w:left="222"/>
              <w:rPr>
                <w:rFonts w:ascii="宋体" w:hAnsi="宋体" w:eastAsia="宋体" w:cs="宋体"/>
                <w:sz w:val="21"/>
                <w:szCs w:val="21"/>
              </w:rPr>
            </w:pPr>
            <w:r>
              <w:rPr>
                <w:rFonts w:ascii="宋体" w:hAnsi="宋体" w:eastAsia="宋体" w:cs="宋体"/>
                <w:spacing w:val="-3"/>
                <w:sz w:val="21"/>
                <w:szCs w:val="21"/>
              </w:rPr>
              <w:t>项目西侧</w:t>
            </w:r>
          </w:p>
        </w:tc>
        <w:tc>
          <w:tcPr>
            <w:tcW w:w="1132" w:type="dxa"/>
            <w:vAlign w:val="top"/>
          </w:tcPr>
          <w:p w14:paraId="35D12CAB">
            <w:pPr>
              <w:pStyle w:val="6"/>
              <w:spacing w:before="104" w:line="188" w:lineRule="auto"/>
              <w:ind w:left="117"/>
            </w:pPr>
            <w:r>
              <w:rPr>
                <w:spacing w:val="-8"/>
              </w:rPr>
              <w:t>105.343043</w:t>
            </w:r>
          </w:p>
        </w:tc>
        <w:tc>
          <w:tcPr>
            <w:tcW w:w="1133" w:type="dxa"/>
            <w:vAlign w:val="top"/>
          </w:tcPr>
          <w:p w14:paraId="63596DDB">
            <w:pPr>
              <w:pStyle w:val="6"/>
              <w:spacing w:before="104" w:line="188" w:lineRule="auto"/>
              <w:ind w:left="149"/>
            </w:pPr>
            <w:r>
              <w:rPr>
                <w:spacing w:val="-6"/>
              </w:rPr>
              <w:t>29.679144</w:t>
            </w:r>
          </w:p>
        </w:tc>
        <w:tc>
          <w:tcPr>
            <w:tcW w:w="566" w:type="dxa"/>
            <w:vAlign w:val="top"/>
          </w:tcPr>
          <w:p w14:paraId="6F35F459">
            <w:pPr>
              <w:spacing w:before="68" w:line="220" w:lineRule="auto"/>
              <w:ind w:left="81"/>
              <w:rPr>
                <w:rFonts w:ascii="宋体" w:hAnsi="宋体" w:eastAsia="宋体" w:cs="宋体"/>
                <w:sz w:val="21"/>
                <w:szCs w:val="21"/>
              </w:rPr>
            </w:pPr>
            <w:r>
              <w:rPr>
                <w:rFonts w:ascii="宋体" w:hAnsi="宋体" w:eastAsia="宋体" w:cs="宋体"/>
                <w:spacing w:val="-3"/>
                <w:sz w:val="21"/>
                <w:szCs w:val="21"/>
              </w:rPr>
              <w:t>居民</w:t>
            </w:r>
          </w:p>
        </w:tc>
        <w:tc>
          <w:tcPr>
            <w:tcW w:w="706" w:type="dxa"/>
            <w:vAlign w:val="top"/>
          </w:tcPr>
          <w:p w14:paraId="2EF35502">
            <w:pPr>
              <w:pStyle w:val="6"/>
              <w:spacing w:before="68" w:line="220" w:lineRule="auto"/>
              <w:ind w:left="172"/>
              <w:rPr>
                <w:rFonts w:ascii="宋体" w:hAnsi="宋体" w:eastAsia="宋体" w:cs="宋体"/>
              </w:rPr>
            </w:pPr>
            <w:r>
              <w:rPr>
                <w:spacing w:val="-3"/>
              </w:rPr>
              <w:t>2</w:t>
            </w:r>
            <w:r>
              <w:rPr>
                <w:spacing w:val="10"/>
              </w:rPr>
              <w:t xml:space="preserve"> </w:t>
            </w:r>
            <w:r>
              <w:rPr>
                <w:rFonts w:ascii="宋体" w:hAnsi="宋体" w:eastAsia="宋体" w:cs="宋体"/>
                <w:spacing w:val="-3"/>
              </w:rPr>
              <w:t>户</w:t>
            </w:r>
          </w:p>
        </w:tc>
        <w:tc>
          <w:tcPr>
            <w:tcW w:w="710" w:type="dxa"/>
            <w:vAlign w:val="top"/>
          </w:tcPr>
          <w:p w14:paraId="6AD11308">
            <w:pPr>
              <w:pStyle w:val="6"/>
              <w:spacing w:before="107" w:line="185" w:lineRule="auto"/>
              <w:ind w:left="258"/>
            </w:pPr>
            <w:r>
              <w:t>W</w:t>
            </w:r>
          </w:p>
        </w:tc>
        <w:tc>
          <w:tcPr>
            <w:tcW w:w="856" w:type="dxa"/>
            <w:vAlign w:val="top"/>
          </w:tcPr>
          <w:p w14:paraId="7D27C6E9">
            <w:pPr>
              <w:pStyle w:val="6"/>
              <w:spacing w:before="104" w:line="188" w:lineRule="auto"/>
              <w:ind w:left="81"/>
            </w:pPr>
            <w:r>
              <w:rPr>
                <w:spacing w:val="-4"/>
              </w:rPr>
              <w:t>143~147</w:t>
            </w:r>
          </w:p>
        </w:tc>
        <w:tc>
          <w:tcPr>
            <w:tcW w:w="943" w:type="dxa"/>
            <w:vAlign w:val="top"/>
          </w:tcPr>
          <w:p w14:paraId="4B243779">
            <w:pPr>
              <w:pStyle w:val="6"/>
              <w:spacing w:before="104" w:line="188" w:lineRule="auto"/>
              <w:ind w:left="105"/>
            </w:pPr>
            <w:r>
              <w:rPr>
                <w:spacing w:val="-2"/>
              </w:rPr>
              <w:t>360~361</w:t>
            </w:r>
          </w:p>
        </w:tc>
      </w:tr>
      <w:tr w14:paraId="769B6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77" w:type="dxa"/>
            <w:vMerge w:val="continue"/>
            <w:tcBorders>
              <w:top w:val="nil"/>
            </w:tcBorders>
            <w:textDirection w:val="tbRlV"/>
            <w:vAlign w:val="top"/>
          </w:tcPr>
          <w:p w14:paraId="4A93B038">
            <w:pPr>
              <w:rPr>
                <w:rFonts w:ascii="Arial"/>
                <w:sz w:val="21"/>
              </w:rPr>
            </w:pPr>
          </w:p>
        </w:tc>
        <w:tc>
          <w:tcPr>
            <w:tcW w:w="426" w:type="dxa"/>
            <w:vMerge w:val="continue"/>
            <w:tcBorders>
              <w:top w:val="nil"/>
            </w:tcBorders>
            <w:textDirection w:val="tbRlV"/>
            <w:vAlign w:val="top"/>
          </w:tcPr>
          <w:p w14:paraId="357B1C47">
            <w:pPr>
              <w:rPr>
                <w:rFonts w:ascii="Arial"/>
                <w:sz w:val="21"/>
              </w:rPr>
            </w:pPr>
          </w:p>
        </w:tc>
        <w:tc>
          <w:tcPr>
            <w:tcW w:w="1271" w:type="dxa"/>
            <w:vAlign w:val="top"/>
          </w:tcPr>
          <w:p w14:paraId="77D97385">
            <w:pPr>
              <w:spacing w:before="68" w:line="220" w:lineRule="auto"/>
              <w:ind w:left="117"/>
              <w:rPr>
                <w:rFonts w:ascii="宋体" w:hAnsi="宋体" w:eastAsia="宋体" w:cs="宋体"/>
                <w:sz w:val="21"/>
                <w:szCs w:val="21"/>
              </w:rPr>
            </w:pPr>
            <w:r>
              <w:rPr>
                <w:rFonts w:ascii="宋体" w:hAnsi="宋体" w:eastAsia="宋体" w:cs="宋体"/>
                <w:spacing w:val="-2"/>
                <w:sz w:val="21"/>
                <w:szCs w:val="21"/>
              </w:rPr>
              <w:t>项目西北侧</w:t>
            </w:r>
          </w:p>
        </w:tc>
        <w:tc>
          <w:tcPr>
            <w:tcW w:w="1132" w:type="dxa"/>
            <w:vAlign w:val="top"/>
          </w:tcPr>
          <w:p w14:paraId="23110692">
            <w:pPr>
              <w:pStyle w:val="6"/>
              <w:spacing w:before="105" w:line="188" w:lineRule="auto"/>
              <w:ind w:left="117"/>
            </w:pPr>
            <w:r>
              <w:rPr>
                <w:spacing w:val="-8"/>
              </w:rPr>
              <w:t>105.344365</w:t>
            </w:r>
          </w:p>
        </w:tc>
        <w:tc>
          <w:tcPr>
            <w:tcW w:w="1133" w:type="dxa"/>
            <w:vAlign w:val="top"/>
          </w:tcPr>
          <w:p w14:paraId="45C81A3C">
            <w:pPr>
              <w:pStyle w:val="6"/>
              <w:spacing w:before="105" w:line="188" w:lineRule="auto"/>
              <w:ind w:left="149"/>
            </w:pPr>
            <w:r>
              <w:rPr>
                <w:spacing w:val="-6"/>
              </w:rPr>
              <w:t>29.680971</w:t>
            </w:r>
          </w:p>
        </w:tc>
        <w:tc>
          <w:tcPr>
            <w:tcW w:w="566" w:type="dxa"/>
            <w:vAlign w:val="top"/>
          </w:tcPr>
          <w:p w14:paraId="602985FE">
            <w:pPr>
              <w:spacing w:before="69" w:line="220" w:lineRule="auto"/>
              <w:ind w:left="81"/>
              <w:rPr>
                <w:rFonts w:ascii="宋体" w:hAnsi="宋体" w:eastAsia="宋体" w:cs="宋体"/>
                <w:sz w:val="21"/>
                <w:szCs w:val="21"/>
              </w:rPr>
            </w:pPr>
            <w:r>
              <w:rPr>
                <w:rFonts w:ascii="宋体" w:hAnsi="宋体" w:eastAsia="宋体" w:cs="宋体"/>
                <w:spacing w:val="-3"/>
                <w:sz w:val="21"/>
                <w:szCs w:val="21"/>
              </w:rPr>
              <w:t>居民</w:t>
            </w:r>
          </w:p>
        </w:tc>
        <w:tc>
          <w:tcPr>
            <w:tcW w:w="706" w:type="dxa"/>
            <w:vAlign w:val="top"/>
          </w:tcPr>
          <w:p w14:paraId="5F4F47D1">
            <w:pPr>
              <w:pStyle w:val="6"/>
              <w:spacing w:before="69" w:line="220" w:lineRule="auto"/>
              <w:ind w:left="192"/>
              <w:rPr>
                <w:rFonts w:ascii="宋体" w:hAnsi="宋体" w:eastAsia="宋体" w:cs="宋体"/>
              </w:rPr>
            </w:pPr>
            <w:r>
              <w:rPr>
                <w:spacing w:val="-13"/>
              </w:rPr>
              <w:t>1</w:t>
            </w:r>
            <w:r>
              <w:rPr>
                <w:spacing w:val="10"/>
              </w:rPr>
              <w:t xml:space="preserve"> </w:t>
            </w:r>
            <w:r>
              <w:rPr>
                <w:rFonts w:ascii="宋体" w:hAnsi="宋体" w:eastAsia="宋体" w:cs="宋体"/>
                <w:spacing w:val="-13"/>
              </w:rPr>
              <w:t>户</w:t>
            </w:r>
          </w:p>
        </w:tc>
        <w:tc>
          <w:tcPr>
            <w:tcW w:w="710" w:type="dxa"/>
            <w:vAlign w:val="top"/>
          </w:tcPr>
          <w:p w14:paraId="4779B5C4">
            <w:pPr>
              <w:pStyle w:val="6"/>
              <w:spacing w:before="108" w:line="185" w:lineRule="auto"/>
              <w:ind w:left="176"/>
            </w:pPr>
            <w:r>
              <w:t>NW</w:t>
            </w:r>
          </w:p>
        </w:tc>
        <w:tc>
          <w:tcPr>
            <w:tcW w:w="856" w:type="dxa"/>
            <w:vAlign w:val="top"/>
          </w:tcPr>
          <w:p w14:paraId="7D3A6077">
            <w:pPr>
              <w:pStyle w:val="6"/>
              <w:spacing w:before="105" w:line="188" w:lineRule="auto"/>
              <w:ind w:left="295"/>
            </w:pPr>
            <w:r>
              <w:rPr>
                <w:spacing w:val="-9"/>
              </w:rPr>
              <w:t>188</w:t>
            </w:r>
          </w:p>
        </w:tc>
        <w:tc>
          <w:tcPr>
            <w:tcW w:w="943" w:type="dxa"/>
            <w:vAlign w:val="top"/>
          </w:tcPr>
          <w:p w14:paraId="617E3498">
            <w:pPr>
              <w:pStyle w:val="6"/>
              <w:spacing w:before="105" w:line="188" w:lineRule="auto"/>
              <w:ind w:left="319"/>
            </w:pPr>
            <w:r>
              <w:rPr>
                <w:spacing w:val="-3"/>
              </w:rPr>
              <w:t>356</w:t>
            </w:r>
          </w:p>
        </w:tc>
      </w:tr>
    </w:tbl>
    <w:p w14:paraId="401AC410">
      <w:pPr>
        <w:spacing w:before="172" w:line="226" w:lineRule="auto"/>
        <w:ind w:left="34"/>
        <w:rPr>
          <w:rFonts w:ascii="宋体" w:hAnsi="宋体" w:eastAsia="宋体" w:cs="宋体"/>
          <w:sz w:val="27"/>
          <w:szCs w:val="27"/>
        </w:rPr>
      </w:pPr>
      <w:r>
        <w:rPr>
          <w:rFonts w:ascii="Times New Roman" w:hAnsi="Times New Roman" w:eastAsia="Times New Roman" w:cs="Times New Roman"/>
          <w:b/>
          <w:bCs/>
          <w:spacing w:val="4"/>
          <w:sz w:val="27"/>
          <w:szCs w:val="27"/>
        </w:rPr>
        <w:t xml:space="preserve">3.2.2.4 </w:t>
      </w:r>
      <w:r>
        <w:rPr>
          <w:rFonts w:ascii="宋体" w:hAnsi="宋体" w:eastAsia="宋体" w:cs="宋体"/>
          <w:b/>
          <w:bCs/>
          <w:spacing w:val="4"/>
          <w:sz w:val="27"/>
          <w:szCs w:val="27"/>
        </w:rPr>
        <w:t>地下水</w:t>
      </w:r>
    </w:p>
    <w:p w14:paraId="598BFB8F">
      <w:pPr>
        <w:spacing w:before="236" w:line="303" w:lineRule="auto"/>
        <w:ind w:left="59" w:right="67" w:firstLine="462"/>
        <w:rPr>
          <w:rFonts w:ascii="宋体" w:hAnsi="宋体" w:eastAsia="宋体" w:cs="宋体"/>
          <w:sz w:val="24"/>
          <w:szCs w:val="24"/>
        </w:rPr>
      </w:pPr>
      <w:r>
        <w:rPr>
          <w:rFonts w:ascii="宋体" w:hAnsi="宋体" w:eastAsia="宋体" w:cs="宋体"/>
          <w:spacing w:val="-3"/>
          <w:sz w:val="24"/>
          <w:szCs w:val="24"/>
        </w:rPr>
        <w:t>经现场踏勘可知，项目地下水环境保护目标主要是场地所在</w:t>
      </w:r>
      <w:r>
        <w:rPr>
          <w:rFonts w:ascii="宋体" w:hAnsi="宋体" w:eastAsia="宋体" w:cs="宋体"/>
          <w:spacing w:val="-4"/>
          <w:sz w:val="24"/>
          <w:szCs w:val="24"/>
        </w:rPr>
        <w:t>水文地质单元内</w:t>
      </w:r>
      <w:r>
        <w:rPr>
          <w:rFonts w:ascii="宋体" w:hAnsi="宋体" w:eastAsia="宋体" w:cs="宋体"/>
          <w:spacing w:val="-3"/>
          <w:sz w:val="24"/>
          <w:szCs w:val="24"/>
        </w:rPr>
        <w:t>的潜水含水层。地下水环境保护目标分布情况见下表。</w:t>
      </w:r>
    </w:p>
    <w:p w14:paraId="09617D50">
      <w:pPr>
        <w:spacing w:line="303" w:lineRule="auto"/>
        <w:rPr>
          <w:rFonts w:ascii="宋体" w:hAnsi="宋体" w:eastAsia="宋体" w:cs="宋体"/>
          <w:sz w:val="24"/>
          <w:szCs w:val="24"/>
        </w:rPr>
        <w:sectPr>
          <w:headerReference r:id="rId253" w:type="default"/>
          <w:footerReference r:id="rId254" w:type="default"/>
          <w:pgSz w:w="11905" w:h="16840"/>
          <w:pgMar w:top="1168" w:right="1730" w:bottom="1408" w:left="1770" w:header="828" w:footer="1244" w:gutter="0"/>
          <w:cols w:space="720" w:num="1"/>
        </w:sectPr>
      </w:pPr>
    </w:p>
    <w:p w14:paraId="0AC4FBAB">
      <w:pPr>
        <w:pStyle w:val="2"/>
        <w:spacing w:line="329" w:lineRule="auto"/>
      </w:pPr>
    </w:p>
    <w:p w14:paraId="0DBE2B83">
      <w:pPr>
        <w:spacing w:before="68" w:line="222" w:lineRule="auto"/>
        <w:ind w:left="287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3.2-6  </w:t>
      </w:r>
      <w:r>
        <w:rPr>
          <w:rFonts w:ascii="黑体" w:hAnsi="黑体" w:eastAsia="黑体" w:cs="黑体"/>
          <w:spacing w:val="-1"/>
          <w:sz w:val="21"/>
          <w:szCs w:val="21"/>
        </w:rPr>
        <w:t>地下水环境保护目标</w:t>
      </w:r>
    </w:p>
    <w:p w14:paraId="1BBE124B">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2973"/>
        <w:gridCol w:w="1416"/>
        <w:gridCol w:w="2789"/>
      </w:tblGrid>
      <w:tr w14:paraId="0FAF2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42" w:type="dxa"/>
            <w:vAlign w:val="top"/>
          </w:tcPr>
          <w:p w14:paraId="5E8F7AD6">
            <w:pPr>
              <w:spacing w:before="75" w:line="220" w:lineRule="auto"/>
              <w:ind w:left="156"/>
              <w:rPr>
                <w:rFonts w:ascii="宋体" w:hAnsi="宋体" w:eastAsia="宋体" w:cs="宋体"/>
                <w:sz w:val="21"/>
                <w:szCs w:val="21"/>
              </w:rPr>
            </w:pPr>
            <w:r>
              <w:rPr>
                <w:rFonts w:ascii="宋体" w:hAnsi="宋体" w:eastAsia="宋体" w:cs="宋体"/>
                <w:spacing w:val="-2"/>
                <w:sz w:val="21"/>
                <w:szCs w:val="21"/>
              </w:rPr>
              <w:t>环境要素</w:t>
            </w:r>
          </w:p>
        </w:tc>
        <w:tc>
          <w:tcPr>
            <w:tcW w:w="2973" w:type="dxa"/>
            <w:vAlign w:val="top"/>
          </w:tcPr>
          <w:p w14:paraId="005F29FD">
            <w:pPr>
              <w:spacing w:before="76" w:line="220" w:lineRule="auto"/>
              <w:ind w:left="1071"/>
              <w:rPr>
                <w:rFonts w:ascii="宋体" w:hAnsi="宋体" w:eastAsia="宋体" w:cs="宋体"/>
                <w:sz w:val="21"/>
                <w:szCs w:val="21"/>
              </w:rPr>
            </w:pPr>
            <w:r>
              <w:rPr>
                <w:rFonts w:ascii="宋体" w:hAnsi="宋体" w:eastAsia="宋体" w:cs="宋体"/>
                <w:spacing w:val="-2"/>
                <w:sz w:val="21"/>
                <w:szCs w:val="21"/>
              </w:rPr>
              <w:t>保护目标</w:t>
            </w:r>
          </w:p>
        </w:tc>
        <w:tc>
          <w:tcPr>
            <w:tcW w:w="1416" w:type="dxa"/>
            <w:vAlign w:val="top"/>
          </w:tcPr>
          <w:p w14:paraId="34B566F6">
            <w:pPr>
              <w:spacing w:before="76" w:line="221" w:lineRule="auto"/>
              <w:ind w:left="293"/>
              <w:rPr>
                <w:rFonts w:ascii="宋体" w:hAnsi="宋体" w:eastAsia="宋体" w:cs="宋体"/>
                <w:sz w:val="21"/>
                <w:szCs w:val="21"/>
              </w:rPr>
            </w:pPr>
            <w:r>
              <w:rPr>
                <w:rFonts w:ascii="宋体" w:hAnsi="宋体" w:eastAsia="宋体" w:cs="宋体"/>
                <w:spacing w:val="-2"/>
                <w:sz w:val="21"/>
                <w:szCs w:val="21"/>
              </w:rPr>
              <w:t>相对位置</w:t>
            </w:r>
          </w:p>
        </w:tc>
        <w:tc>
          <w:tcPr>
            <w:tcW w:w="2789" w:type="dxa"/>
            <w:vAlign w:val="top"/>
          </w:tcPr>
          <w:p w14:paraId="7F35F7EA">
            <w:pPr>
              <w:spacing w:before="76" w:line="220" w:lineRule="auto"/>
              <w:ind w:left="979"/>
              <w:rPr>
                <w:rFonts w:ascii="宋体" w:hAnsi="宋体" w:eastAsia="宋体" w:cs="宋体"/>
                <w:sz w:val="21"/>
                <w:szCs w:val="21"/>
              </w:rPr>
            </w:pPr>
            <w:r>
              <w:rPr>
                <w:rFonts w:ascii="宋体" w:hAnsi="宋体" w:eastAsia="宋体" w:cs="宋体"/>
                <w:spacing w:val="-2"/>
                <w:sz w:val="21"/>
                <w:szCs w:val="21"/>
              </w:rPr>
              <w:t>保护级别</w:t>
            </w:r>
          </w:p>
        </w:tc>
      </w:tr>
      <w:tr w14:paraId="2E011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1142" w:type="dxa"/>
            <w:vAlign w:val="top"/>
          </w:tcPr>
          <w:p w14:paraId="31EEF7D1">
            <w:pPr>
              <w:spacing w:before="250" w:line="220" w:lineRule="auto"/>
              <w:ind w:left="51"/>
              <w:rPr>
                <w:rFonts w:ascii="宋体" w:hAnsi="宋体" w:eastAsia="宋体" w:cs="宋体"/>
                <w:sz w:val="21"/>
                <w:szCs w:val="21"/>
              </w:rPr>
            </w:pPr>
            <w:r>
              <w:rPr>
                <w:rFonts w:ascii="宋体" w:hAnsi="宋体" w:eastAsia="宋体" w:cs="宋体"/>
                <w:spacing w:val="-2"/>
                <w:sz w:val="21"/>
                <w:szCs w:val="21"/>
              </w:rPr>
              <w:t>地下水环境</w:t>
            </w:r>
          </w:p>
        </w:tc>
        <w:tc>
          <w:tcPr>
            <w:tcW w:w="2973" w:type="dxa"/>
            <w:vAlign w:val="top"/>
          </w:tcPr>
          <w:p w14:paraId="18B52EB6">
            <w:pPr>
              <w:spacing w:before="73" w:line="278" w:lineRule="auto"/>
              <w:ind w:left="9"/>
              <w:rPr>
                <w:rFonts w:ascii="宋体" w:hAnsi="宋体" w:eastAsia="宋体" w:cs="宋体"/>
                <w:sz w:val="21"/>
                <w:szCs w:val="21"/>
              </w:rPr>
            </w:pPr>
            <w:r>
              <w:rPr>
                <w:rFonts w:ascii="宋体" w:hAnsi="宋体" w:eastAsia="宋体" w:cs="宋体"/>
                <w:spacing w:val="-13"/>
                <w:sz w:val="21"/>
                <w:szCs w:val="21"/>
              </w:rPr>
              <w:t>村民家用水井，主要为机打水井，</w:t>
            </w:r>
            <w:r>
              <w:rPr>
                <w:rFonts w:ascii="宋体" w:hAnsi="宋体" w:eastAsia="宋体" w:cs="宋体"/>
                <w:spacing w:val="-8"/>
                <w:sz w:val="21"/>
                <w:szCs w:val="21"/>
              </w:rPr>
              <w:t>属分散式饮用水源。</w:t>
            </w:r>
          </w:p>
        </w:tc>
        <w:tc>
          <w:tcPr>
            <w:tcW w:w="1416" w:type="dxa"/>
            <w:vAlign w:val="top"/>
          </w:tcPr>
          <w:p w14:paraId="293389D0">
            <w:pPr>
              <w:spacing w:before="73" w:line="278" w:lineRule="auto"/>
              <w:ind w:left="188" w:right="75" w:hanging="106"/>
              <w:rPr>
                <w:rFonts w:ascii="宋体" w:hAnsi="宋体" w:eastAsia="宋体" w:cs="宋体"/>
                <w:sz w:val="21"/>
                <w:szCs w:val="21"/>
              </w:rPr>
            </w:pPr>
            <w:r>
              <w:rPr>
                <w:rFonts w:ascii="宋体" w:hAnsi="宋体" w:eastAsia="宋体" w:cs="宋体"/>
                <w:spacing w:val="-2"/>
                <w:sz w:val="21"/>
                <w:szCs w:val="21"/>
              </w:rPr>
              <w:t>场地所在水文地质单元内</w:t>
            </w:r>
          </w:p>
        </w:tc>
        <w:tc>
          <w:tcPr>
            <w:tcW w:w="2789" w:type="dxa"/>
            <w:vAlign w:val="top"/>
          </w:tcPr>
          <w:p w14:paraId="5153EB8D">
            <w:pPr>
              <w:spacing w:before="72" w:line="220" w:lineRule="auto"/>
              <w:ind w:left="455"/>
              <w:rPr>
                <w:rFonts w:ascii="宋体" w:hAnsi="宋体" w:eastAsia="宋体" w:cs="宋体"/>
                <w:sz w:val="21"/>
                <w:szCs w:val="21"/>
              </w:rPr>
            </w:pPr>
            <w:r>
              <w:rPr>
                <w:rFonts w:ascii="宋体" w:hAnsi="宋体" w:eastAsia="宋体" w:cs="宋体"/>
                <w:spacing w:val="-2"/>
                <w:sz w:val="21"/>
                <w:szCs w:val="21"/>
              </w:rPr>
              <w:t>《地下水质量标准》</w:t>
            </w:r>
          </w:p>
          <w:p w14:paraId="1A2B3301">
            <w:pPr>
              <w:pStyle w:val="6"/>
              <w:spacing w:before="105" w:line="212" w:lineRule="auto"/>
              <w:ind w:left="62"/>
              <w:rPr>
                <w:rFonts w:ascii="宋体" w:hAnsi="宋体" w:eastAsia="宋体" w:cs="宋体"/>
              </w:rPr>
            </w:pPr>
            <w:r>
              <w:rPr>
                <w:spacing w:val="-1"/>
              </w:rPr>
              <w:t>(GB/T14848-2017)</w:t>
            </w:r>
            <w:r>
              <w:rPr>
                <w:rFonts w:ascii="宋体" w:hAnsi="宋体" w:eastAsia="宋体" w:cs="宋体"/>
                <w:spacing w:val="-1"/>
              </w:rPr>
              <w:t>中</w:t>
            </w:r>
            <w:r>
              <w:rPr>
                <w:spacing w:val="-1"/>
              </w:rPr>
              <w:t>Ⅲ</w:t>
            </w:r>
            <w:r>
              <w:rPr>
                <w:rFonts w:ascii="宋体" w:hAnsi="宋体" w:eastAsia="宋体" w:cs="宋体"/>
                <w:spacing w:val="-1"/>
              </w:rPr>
              <w:t>类标准</w:t>
            </w:r>
          </w:p>
        </w:tc>
      </w:tr>
    </w:tbl>
    <w:p w14:paraId="0B9C0CC3">
      <w:pPr>
        <w:spacing w:before="291" w:line="227" w:lineRule="auto"/>
        <w:ind w:left="34"/>
        <w:rPr>
          <w:rFonts w:ascii="宋体" w:hAnsi="宋体" w:eastAsia="宋体" w:cs="宋体"/>
          <w:sz w:val="27"/>
          <w:szCs w:val="27"/>
        </w:rPr>
      </w:pPr>
      <w:r>
        <w:rPr>
          <w:rFonts w:ascii="Times New Roman" w:hAnsi="Times New Roman" w:eastAsia="Times New Roman" w:cs="Times New Roman"/>
          <w:b/>
          <w:bCs/>
          <w:spacing w:val="4"/>
          <w:sz w:val="27"/>
          <w:szCs w:val="27"/>
        </w:rPr>
        <w:t xml:space="preserve">3.2.2.5 </w:t>
      </w:r>
      <w:r>
        <w:rPr>
          <w:rFonts w:ascii="宋体" w:hAnsi="宋体" w:eastAsia="宋体" w:cs="宋体"/>
          <w:b/>
          <w:bCs/>
          <w:spacing w:val="4"/>
          <w:sz w:val="27"/>
          <w:szCs w:val="27"/>
        </w:rPr>
        <w:t>生态环境</w:t>
      </w:r>
    </w:p>
    <w:p w14:paraId="51D5867E">
      <w:pPr>
        <w:spacing w:before="234" w:line="361" w:lineRule="auto"/>
        <w:ind w:left="38" w:right="85" w:firstLine="481"/>
        <w:jc w:val="both"/>
        <w:rPr>
          <w:rFonts w:ascii="宋体" w:hAnsi="宋体" w:eastAsia="宋体" w:cs="宋体"/>
          <w:sz w:val="24"/>
          <w:szCs w:val="24"/>
        </w:rPr>
      </w:pPr>
      <w:r>
        <w:rPr>
          <w:rFonts w:ascii="宋体" w:hAnsi="宋体" w:eastAsia="宋体" w:cs="宋体"/>
          <w:spacing w:val="-3"/>
          <w:sz w:val="24"/>
          <w:szCs w:val="24"/>
        </w:rPr>
        <w:t>本项目选址占地主要为耕地（一般农田）、林地等，不涉</w:t>
      </w:r>
      <w:r>
        <w:rPr>
          <w:rFonts w:ascii="宋体" w:hAnsi="宋体" w:eastAsia="宋体" w:cs="宋体"/>
          <w:spacing w:val="-4"/>
          <w:sz w:val="24"/>
          <w:szCs w:val="24"/>
        </w:rPr>
        <w:t>及基本农田，区域</w:t>
      </w:r>
      <w:r>
        <w:rPr>
          <w:rFonts w:ascii="宋体" w:hAnsi="宋体" w:eastAsia="宋体" w:cs="宋体"/>
          <w:spacing w:val="-3"/>
          <w:sz w:val="24"/>
          <w:szCs w:val="24"/>
        </w:rPr>
        <w:t>内无特殊保护物种分布；区域内由于长期受人类活动的</w:t>
      </w:r>
      <w:r>
        <w:rPr>
          <w:rFonts w:ascii="宋体" w:hAnsi="宋体" w:eastAsia="宋体" w:cs="宋体"/>
          <w:spacing w:val="-4"/>
          <w:sz w:val="24"/>
          <w:szCs w:val="24"/>
        </w:rPr>
        <w:t>影响，当地野生动物（物</w:t>
      </w:r>
      <w:r>
        <w:rPr>
          <w:rFonts w:ascii="宋体" w:hAnsi="宋体" w:eastAsia="宋体" w:cs="宋体"/>
          <w:spacing w:val="-6"/>
          <w:sz w:val="24"/>
          <w:szCs w:val="24"/>
        </w:rPr>
        <w:t>种、数量） 分布较少，主要分布一些当地常见的爬行类和鸟</w:t>
      </w:r>
      <w:r>
        <w:rPr>
          <w:rFonts w:ascii="宋体" w:hAnsi="宋体" w:eastAsia="宋体" w:cs="宋体"/>
          <w:spacing w:val="-7"/>
          <w:sz w:val="24"/>
          <w:szCs w:val="24"/>
        </w:rPr>
        <w:t>类等，区域内未见珍</w:t>
      </w:r>
      <w:r>
        <w:rPr>
          <w:rFonts w:ascii="宋体" w:hAnsi="宋体" w:eastAsia="宋体" w:cs="宋体"/>
          <w:spacing w:val="-5"/>
          <w:sz w:val="24"/>
          <w:szCs w:val="24"/>
        </w:rPr>
        <w:t>稀野生动物分布。</w:t>
      </w:r>
    </w:p>
    <w:p w14:paraId="2108FFDB">
      <w:pPr>
        <w:spacing w:before="8" w:line="222"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3.2-7  </w:t>
      </w:r>
      <w:r>
        <w:rPr>
          <w:rFonts w:ascii="黑体" w:hAnsi="黑体" w:eastAsia="黑体" w:cs="黑体"/>
          <w:spacing w:val="-1"/>
          <w:sz w:val="21"/>
          <w:szCs w:val="21"/>
        </w:rPr>
        <w:t>生态环境保护目标</w:t>
      </w:r>
    </w:p>
    <w:p w14:paraId="592D941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7"/>
        <w:gridCol w:w="3681"/>
        <w:gridCol w:w="3072"/>
      </w:tblGrid>
      <w:tr w14:paraId="643AC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567" w:type="dxa"/>
            <w:vAlign w:val="top"/>
          </w:tcPr>
          <w:p w14:paraId="54172822">
            <w:pPr>
              <w:spacing w:before="68" w:line="220" w:lineRule="auto"/>
              <w:ind w:left="159"/>
              <w:rPr>
                <w:rFonts w:ascii="宋体" w:hAnsi="宋体" w:eastAsia="宋体" w:cs="宋体"/>
                <w:sz w:val="21"/>
                <w:szCs w:val="21"/>
              </w:rPr>
            </w:pPr>
            <w:r>
              <w:rPr>
                <w:rFonts w:ascii="宋体" w:hAnsi="宋体" w:eastAsia="宋体" w:cs="宋体"/>
                <w:spacing w:val="-2"/>
                <w:sz w:val="21"/>
                <w:szCs w:val="21"/>
              </w:rPr>
              <w:t>环境保护要素</w:t>
            </w:r>
          </w:p>
        </w:tc>
        <w:tc>
          <w:tcPr>
            <w:tcW w:w="3681" w:type="dxa"/>
            <w:vAlign w:val="top"/>
          </w:tcPr>
          <w:p w14:paraId="09E900B7">
            <w:pPr>
              <w:spacing w:before="69" w:line="220" w:lineRule="auto"/>
              <w:ind w:left="1426"/>
              <w:rPr>
                <w:rFonts w:ascii="宋体" w:hAnsi="宋体" w:eastAsia="宋体" w:cs="宋体"/>
                <w:sz w:val="21"/>
                <w:szCs w:val="21"/>
              </w:rPr>
            </w:pPr>
            <w:r>
              <w:rPr>
                <w:rFonts w:ascii="宋体" w:hAnsi="宋体" w:eastAsia="宋体" w:cs="宋体"/>
                <w:spacing w:val="-2"/>
                <w:sz w:val="21"/>
                <w:szCs w:val="21"/>
              </w:rPr>
              <w:t>保护目标</w:t>
            </w:r>
          </w:p>
        </w:tc>
        <w:tc>
          <w:tcPr>
            <w:tcW w:w="3072" w:type="dxa"/>
            <w:vAlign w:val="top"/>
          </w:tcPr>
          <w:p w14:paraId="2755A918">
            <w:pPr>
              <w:spacing w:before="68" w:line="220" w:lineRule="auto"/>
              <w:ind w:left="1122"/>
              <w:rPr>
                <w:rFonts w:ascii="宋体" w:hAnsi="宋体" w:eastAsia="宋体" w:cs="宋体"/>
                <w:sz w:val="21"/>
                <w:szCs w:val="21"/>
              </w:rPr>
            </w:pPr>
            <w:r>
              <w:rPr>
                <w:rFonts w:ascii="宋体" w:hAnsi="宋体" w:eastAsia="宋体" w:cs="宋体"/>
                <w:spacing w:val="-2"/>
                <w:sz w:val="21"/>
                <w:szCs w:val="21"/>
              </w:rPr>
              <w:t>保护等级</w:t>
            </w:r>
          </w:p>
        </w:tc>
      </w:tr>
      <w:tr w14:paraId="71476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567" w:type="dxa"/>
            <w:vAlign w:val="top"/>
          </w:tcPr>
          <w:p w14:paraId="66B500E3">
            <w:pPr>
              <w:spacing w:before="208" w:line="220" w:lineRule="auto"/>
              <w:ind w:left="370"/>
              <w:rPr>
                <w:rFonts w:ascii="宋体" w:hAnsi="宋体" w:eastAsia="宋体" w:cs="宋体"/>
                <w:sz w:val="21"/>
                <w:szCs w:val="21"/>
              </w:rPr>
            </w:pPr>
            <w:r>
              <w:rPr>
                <w:rFonts w:ascii="宋体" w:hAnsi="宋体" w:eastAsia="宋体" w:cs="宋体"/>
                <w:spacing w:val="-2"/>
                <w:sz w:val="21"/>
                <w:szCs w:val="21"/>
              </w:rPr>
              <w:t>生态环境</w:t>
            </w:r>
          </w:p>
        </w:tc>
        <w:tc>
          <w:tcPr>
            <w:tcW w:w="3681" w:type="dxa"/>
            <w:vAlign w:val="top"/>
          </w:tcPr>
          <w:p w14:paraId="766F23DF">
            <w:pPr>
              <w:pStyle w:val="6"/>
              <w:spacing w:before="207" w:line="220" w:lineRule="auto"/>
              <w:ind w:left="292"/>
              <w:rPr>
                <w:rFonts w:ascii="宋体" w:hAnsi="宋体" w:eastAsia="宋体" w:cs="宋体"/>
              </w:rPr>
            </w:pPr>
            <w:r>
              <w:rPr>
                <w:rFonts w:ascii="宋体" w:hAnsi="宋体" w:eastAsia="宋体" w:cs="宋体"/>
                <w:spacing w:val="-1"/>
              </w:rPr>
              <w:t>场址范围内及场址周边</w:t>
            </w:r>
            <w:r>
              <w:rPr>
                <w:rFonts w:ascii="宋体" w:hAnsi="宋体" w:eastAsia="宋体" w:cs="宋体"/>
                <w:spacing w:val="-39"/>
              </w:rPr>
              <w:t xml:space="preserve"> </w:t>
            </w:r>
            <w:r>
              <w:rPr>
                <w:spacing w:val="-1"/>
              </w:rPr>
              <w:t xml:space="preserve">200m </w:t>
            </w:r>
            <w:r>
              <w:rPr>
                <w:rFonts w:ascii="宋体" w:hAnsi="宋体" w:eastAsia="宋体" w:cs="宋体"/>
                <w:spacing w:val="-1"/>
              </w:rPr>
              <w:t>范围</w:t>
            </w:r>
          </w:p>
        </w:tc>
        <w:tc>
          <w:tcPr>
            <w:tcW w:w="3072" w:type="dxa"/>
            <w:vAlign w:val="top"/>
          </w:tcPr>
          <w:p w14:paraId="7C2DE7DF">
            <w:pPr>
              <w:spacing w:before="52" w:line="250" w:lineRule="auto"/>
              <w:ind w:left="12" w:right="4" w:firstLine="12"/>
              <w:rPr>
                <w:rFonts w:ascii="宋体" w:hAnsi="宋体" w:eastAsia="宋体" w:cs="宋体"/>
                <w:sz w:val="21"/>
                <w:szCs w:val="21"/>
              </w:rPr>
            </w:pPr>
            <w:r>
              <w:rPr>
                <w:rFonts w:ascii="宋体" w:hAnsi="宋体" w:eastAsia="宋体" w:cs="宋体"/>
                <w:spacing w:val="7"/>
                <w:sz w:val="21"/>
                <w:szCs w:val="21"/>
              </w:rPr>
              <w:t>防治区域生态环境质量发生明显</w:t>
            </w:r>
            <w:r>
              <w:rPr>
                <w:rFonts w:ascii="宋体" w:hAnsi="宋体" w:eastAsia="宋体" w:cs="宋体"/>
                <w:spacing w:val="-4"/>
                <w:sz w:val="21"/>
                <w:szCs w:val="21"/>
              </w:rPr>
              <w:t>恶化；减少水土流失。</w:t>
            </w:r>
          </w:p>
        </w:tc>
      </w:tr>
    </w:tbl>
    <w:p w14:paraId="32C75616">
      <w:pPr>
        <w:spacing w:before="291" w:line="227" w:lineRule="auto"/>
        <w:ind w:left="34"/>
        <w:rPr>
          <w:rFonts w:ascii="宋体" w:hAnsi="宋体" w:eastAsia="宋体" w:cs="宋体"/>
          <w:sz w:val="27"/>
          <w:szCs w:val="27"/>
        </w:rPr>
      </w:pPr>
      <w:r>
        <w:rPr>
          <w:rFonts w:ascii="Times New Roman" w:hAnsi="Times New Roman" w:eastAsia="Times New Roman" w:cs="Times New Roman"/>
          <w:b/>
          <w:bCs/>
          <w:spacing w:val="4"/>
          <w:sz w:val="27"/>
          <w:szCs w:val="27"/>
        </w:rPr>
        <w:t xml:space="preserve">3.2.2.6 </w:t>
      </w:r>
      <w:r>
        <w:rPr>
          <w:rFonts w:ascii="宋体" w:hAnsi="宋体" w:eastAsia="宋体" w:cs="宋体"/>
          <w:b/>
          <w:bCs/>
          <w:spacing w:val="4"/>
          <w:sz w:val="27"/>
          <w:szCs w:val="27"/>
        </w:rPr>
        <w:t>土壤环境</w:t>
      </w:r>
    </w:p>
    <w:p w14:paraId="1A9B7134">
      <w:pPr>
        <w:spacing w:before="237" w:line="362" w:lineRule="auto"/>
        <w:ind w:left="38" w:right="84" w:firstLine="484"/>
        <w:rPr>
          <w:rFonts w:ascii="宋体" w:hAnsi="宋体" w:eastAsia="宋体" w:cs="宋体"/>
          <w:sz w:val="24"/>
          <w:szCs w:val="24"/>
        </w:rPr>
      </w:pPr>
      <w:r>
        <w:rPr>
          <w:rFonts w:ascii="宋体" w:hAnsi="宋体" w:eastAsia="宋体" w:cs="宋体"/>
          <w:sz w:val="24"/>
          <w:szCs w:val="24"/>
        </w:rPr>
        <w:t>项目周边土壤环境质量应达到国家《土壤环境质量 农用地土壤污染风险管</w:t>
      </w:r>
      <w:r>
        <w:rPr>
          <w:rFonts w:ascii="宋体" w:hAnsi="宋体" w:eastAsia="宋体" w:cs="宋体"/>
          <w:spacing w:val="-2"/>
          <w:sz w:val="24"/>
          <w:szCs w:val="24"/>
        </w:rPr>
        <w:t>控标准（试行）》（</w:t>
      </w:r>
      <w:r>
        <w:rPr>
          <w:rFonts w:ascii="Times New Roman" w:hAnsi="Times New Roman" w:eastAsia="Times New Roman" w:cs="Times New Roman"/>
          <w:spacing w:val="-2"/>
          <w:sz w:val="24"/>
          <w:szCs w:val="24"/>
        </w:rPr>
        <w:t>GB15618-2018</w:t>
      </w:r>
      <w:r>
        <w:rPr>
          <w:rFonts w:ascii="宋体" w:hAnsi="宋体" w:eastAsia="宋体" w:cs="宋体"/>
          <w:spacing w:val="-2"/>
          <w:sz w:val="24"/>
          <w:szCs w:val="24"/>
        </w:rPr>
        <w:t>）中相关要求。</w:t>
      </w:r>
    </w:p>
    <w:p w14:paraId="05C8FC91">
      <w:pPr>
        <w:spacing w:before="6" w:line="222"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3.2-8  </w:t>
      </w:r>
      <w:r>
        <w:rPr>
          <w:rFonts w:ascii="黑体" w:hAnsi="黑体" w:eastAsia="黑体" w:cs="黑体"/>
          <w:spacing w:val="-1"/>
          <w:sz w:val="21"/>
          <w:szCs w:val="21"/>
        </w:rPr>
        <w:t>土壤环境保护目标</w:t>
      </w:r>
    </w:p>
    <w:p w14:paraId="4C9DEFFD">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9"/>
        <w:gridCol w:w="3113"/>
        <w:gridCol w:w="3638"/>
      </w:tblGrid>
      <w:tr w14:paraId="325C6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569" w:type="dxa"/>
            <w:vAlign w:val="top"/>
          </w:tcPr>
          <w:p w14:paraId="1D2D5DB2">
            <w:pPr>
              <w:spacing w:before="68" w:line="220" w:lineRule="auto"/>
              <w:ind w:left="160"/>
              <w:rPr>
                <w:rFonts w:ascii="宋体" w:hAnsi="宋体" w:eastAsia="宋体" w:cs="宋体"/>
                <w:sz w:val="21"/>
                <w:szCs w:val="21"/>
              </w:rPr>
            </w:pPr>
            <w:r>
              <w:rPr>
                <w:rFonts w:ascii="宋体" w:hAnsi="宋体" w:eastAsia="宋体" w:cs="宋体"/>
                <w:spacing w:val="-2"/>
                <w:sz w:val="21"/>
                <w:szCs w:val="21"/>
              </w:rPr>
              <w:t>环境保护要素</w:t>
            </w:r>
          </w:p>
        </w:tc>
        <w:tc>
          <w:tcPr>
            <w:tcW w:w="3113" w:type="dxa"/>
            <w:vAlign w:val="top"/>
          </w:tcPr>
          <w:p w14:paraId="1728844F">
            <w:pPr>
              <w:spacing w:before="69" w:line="220" w:lineRule="auto"/>
              <w:ind w:left="1142"/>
              <w:rPr>
                <w:rFonts w:ascii="宋体" w:hAnsi="宋体" w:eastAsia="宋体" w:cs="宋体"/>
                <w:sz w:val="21"/>
                <w:szCs w:val="21"/>
              </w:rPr>
            </w:pPr>
            <w:r>
              <w:rPr>
                <w:rFonts w:ascii="宋体" w:hAnsi="宋体" w:eastAsia="宋体" w:cs="宋体"/>
                <w:spacing w:val="-2"/>
                <w:sz w:val="21"/>
                <w:szCs w:val="21"/>
              </w:rPr>
              <w:t>保护目标</w:t>
            </w:r>
          </w:p>
        </w:tc>
        <w:tc>
          <w:tcPr>
            <w:tcW w:w="3638" w:type="dxa"/>
            <w:vAlign w:val="top"/>
          </w:tcPr>
          <w:p w14:paraId="7C4F78E4">
            <w:pPr>
              <w:spacing w:before="68" w:line="220" w:lineRule="auto"/>
              <w:ind w:left="1404"/>
              <w:rPr>
                <w:rFonts w:ascii="宋体" w:hAnsi="宋体" w:eastAsia="宋体" w:cs="宋体"/>
                <w:sz w:val="21"/>
                <w:szCs w:val="21"/>
              </w:rPr>
            </w:pPr>
            <w:r>
              <w:rPr>
                <w:rFonts w:ascii="宋体" w:hAnsi="宋体" w:eastAsia="宋体" w:cs="宋体"/>
                <w:spacing w:val="-2"/>
                <w:sz w:val="21"/>
                <w:szCs w:val="21"/>
              </w:rPr>
              <w:t>保护等级</w:t>
            </w:r>
          </w:p>
        </w:tc>
      </w:tr>
      <w:tr w14:paraId="067FD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569" w:type="dxa"/>
            <w:vAlign w:val="top"/>
          </w:tcPr>
          <w:p w14:paraId="6C23EED1">
            <w:pPr>
              <w:spacing w:before="208" w:line="220" w:lineRule="auto"/>
              <w:ind w:left="371"/>
              <w:rPr>
                <w:rFonts w:ascii="宋体" w:hAnsi="宋体" w:eastAsia="宋体" w:cs="宋体"/>
                <w:sz w:val="21"/>
                <w:szCs w:val="21"/>
              </w:rPr>
            </w:pPr>
            <w:r>
              <w:rPr>
                <w:rFonts w:ascii="宋体" w:hAnsi="宋体" w:eastAsia="宋体" w:cs="宋体"/>
                <w:spacing w:val="-2"/>
                <w:sz w:val="21"/>
                <w:szCs w:val="21"/>
              </w:rPr>
              <w:t>土壤环境</w:t>
            </w:r>
          </w:p>
        </w:tc>
        <w:tc>
          <w:tcPr>
            <w:tcW w:w="3113" w:type="dxa"/>
            <w:vAlign w:val="top"/>
          </w:tcPr>
          <w:p w14:paraId="0D769158">
            <w:pPr>
              <w:spacing w:before="208" w:line="220" w:lineRule="auto"/>
              <w:ind w:left="304"/>
              <w:rPr>
                <w:rFonts w:ascii="宋体" w:hAnsi="宋体" w:eastAsia="宋体" w:cs="宋体"/>
                <w:sz w:val="21"/>
                <w:szCs w:val="21"/>
              </w:rPr>
            </w:pPr>
            <w:r>
              <w:rPr>
                <w:rFonts w:ascii="宋体" w:hAnsi="宋体" w:eastAsia="宋体" w:cs="宋体"/>
                <w:spacing w:val="-1"/>
                <w:sz w:val="21"/>
                <w:szCs w:val="21"/>
              </w:rPr>
              <w:t>项目周边及消纳地土壤环境</w:t>
            </w:r>
          </w:p>
        </w:tc>
        <w:tc>
          <w:tcPr>
            <w:tcW w:w="3638" w:type="dxa"/>
            <w:vAlign w:val="top"/>
          </w:tcPr>
          <w:p w14:paraId="6CBCDA8A">
            <w:pPr>
              <w:pStyle w:val="6"/>
              <w:spacing w:before="52" w:line="250" w:lineRule="auto"/>
              <w:ind w:left="125" w:right="85" w:hanging="33"/>
              <w:rPr>
                <w:rFonts w:ascii="宋体" w:hAnsi="宋体" w:eastAsia="宋体" w:cs="宋体"/>
              </w:rPr>
            </w:pPr>
            <w:r>
              <w:rPr>
                <w:rFonts w:ascii="宋体" w:hAnsi="宋体" w:eastAsia="宋体" w:cs="宋体"/>
                <w:spacing w:val="-1"/>
              </w:rPr>
              <w:t>《土壤环境质量 农用地土壤污染风险</w:t>
            </w:r>
            <w:r>
              <w:rPr>
                <w:rFonts w:ascii="宋体" w:hAnsi="宋体" w:eastAsia="宋体" w:cs="宋体"/>
                <w:spacing w:val="-10"/>
              </w:rPr>
              <w:t>管控标准（试行）》（</w:t>
            </w:r>
            <w:r>
              <w:rPr>
                <w:spacing w:val="-10"/>
              </w:rPr>
              <w:t>GB15618-2018</w:t>
            </w:r>
            <w:r>
              <w:rPr>
                <w:rFonts w:ascii="宋体" w:hAnsi="宋体" w:eastAsia="宋体" w:cs="宋体"/>
                <w:spacing w:val="-10"/>
              </w:rPr>
              <w:t>）</w:t>
            </w:r>
          </w:p>
        </w:tc>
      </w:tr>
    </w:tbl>
    <w:p w14:paraId="1C2CE02E">
      <w:pPr>
        <w:spacing w:before="272" w:line="218" w:lineRule="auto"/>
        <w:ind w:left="35"/>
        <w:outlineLvl w:val="1"/>
        <w:rPr>
          <w:rFonts w:ascii="宋体" w:hAnsi="宋体" w:eastAsia="宋体" w:cs="宋体"/>
          <w:sz w:val="32"/>
          <w:szCs w:val="32"/>
        </w:rPr>
      </w:pPr>
      <w:bookmarkStart w:id="34" w:name="bookmark21"/>
      <w:bookmarkEnd w:id="34"/>
      <w:r>
        <w:rPr>
          <w:rFonts w:ascii="Times New Roman" w:hAnsi="Times New Roman" w:eastAsia="Times New Roman" w:cs="Times New Roman"/>
          <w:b/>
          <w:bCs/>
          <w:spacing w:val="-2"/>
          <w:sz w:val="32"/>
          <w:szCs w:val="32"/>
        </w:rPr>
        <w:t xml:space="preserve">3.3  </w:t>
      </w:r>
      <w:r>
        <w:rPr>
          <w:rFonts w:ascii="宋体" w:hAnsi="宋体" w:eastAsia="宋体" w:cs="宋体"/>
          <w:b/>
          <w:bCs/>
          <w:spacing w:val="-2"/>
          <w:sz w:val="32"/>
          <w:szCs w:val="32"/>
        </w:rPr>
        <w:t>环境质量现状监测与评价</w:t>
      </w:r>
    </w:p>
    <w:p w14:paraId="313F89BB">
      <w:pPr>
        <w:pStyle w:val="2"/>
        <w:spacing w:line="278" w:lineRule="auto"/>
      </w:pPr>
    </w:p>
    <w:p w14:paraId="0A6833D0">
      <w:pPr>
        <w:spacing w:before="97"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3.3.1  </w:t>
      </w:r>
      <w:r>
        <w:rPr>
          <w:rFonts w:ascii="宋体" w:hAnsi="宋体" w:eastAsia="宋体" w:cs="宋体"/>
          <w:b/>
          <w:bCs/>
          <w:spacing w:val="-2"/>
          <w:sz w:val="30"/>
          <w:szCs w:val="30"/>
        </w:rPr>
        <w:t>环境空气质量</w:t>
      </w:r>
    </w:p>
    <w:p w14:paraId="721984C5">
      <w:pPr>
        <w:pStyle w:val="2"/>
        <w:spacing w:line="255" w:lineRule="auto"/>
      </w:pPr>
    </w:p>
    <w:p w14:paraId="02766530">
      <w:pPr>
        <w:spacing w:before="79" w:line="361" w:lineRule="auto"/>
        <w:ind w:left="40" w:firstLine="480"/>
        <w:jc w:val="both"/>
        <w:rPr>
          <w:rFonts w:ascii="宋体" w:hAnsi="宋体" w:eastAsia="宋体" w:cs="宋体"/>
          <w:sz w:val="24"/>
          <w:szCs w:val="24"/>
        </w:rPr>
      </w:pPr>
      <w:r>
        <w:rPr>
          <w:rFonts w:ascii="宋体" w:hAnsi="宋体" w:eastAsia="宋体" w:cs="宋体"/>
          <w:sz w:val="24"/>
          <w:szCs w:val="24"/>
        </w:rPr>
        <w:t>本项目位于四川省内江市东兴区白合镇喻家沟村</w:t>
      </w:r>
      <w:r>
        <w:rPr>
          <w:rFonts w:ascii="Times New Roman" w:hAnsi="Times New Roman" w:eastAsia="Times New Roman" w:cs="Times New Roman"/>
          <w:sz w:val="24"/>
          <w:szCs w:val="24"/>
        </w:rPr>
        <w:t>9</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12</w:t>
      </w:r>
      <w:r>
        <w:rPr>
          <w:rFonts w:ascii="宋体" w:hAnsi="宋体" w:eastAsia="宋体" w:cs="宋体"/>
          <w:spacing w:val="-1"/>
          <w:sz w:val="24"/>
          <w:szCs w:val="24"/>
        </w:rPr>
        <w:t>组，为了解本项目评</w:t>
      </w:r>
      <w:r>
        <w:rPr>
          <w:rFonts w:ascii="宋体" w:hAnsi="宋体" w:eastAsia="宋体" w:cs="宋体"/>
          <w:spacing w:val="21"/>
          <w:sz w:val="24"/>
          <w:szCs w:val="24"/>
        </w:rPr>
        <w:t>价区域内大气环境质量现状，根据《环境影响评价技术导则</w:t>
      </w:r>
      <w:r>
        <w:rPr>
          <w:rFonts w:ascii="宋体" w:hAnsi="宋体" w:eastAsia="宋体" w:cs="宋体"/>
          <w:spacing w:val="73"/>
          <w:sz w:val="24"/>
          <w:szCs w:val="24"/>
        </w:rPr>
        <w:t xml:space="preserve"> </w:t>
      </w:r>
      <w:r>
        <w:rPr>
          <w:rFonts w:ascii="宋体" w:hAnsi="宋体" w:eastAsia="宋体" w:cs="宋体"/>
          <w:spacing w:val="21"/>
          <w:sz w:val="24"/>
          <w:szCs w:val="24"/>
        </w:rPr>
        <w:t>大气环境》</w:t>
      </w:r>
      <w:r>
        <w:rPr>
          <w:rFonts w:ascii="宋体" w:hAnsi="宋体" w:eastAsia="宋体" w:cs="宋体"/>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6"/>
          <w:sz w:val="24"/>
          <w:szCs w:val="24"/>
        </w:rPr>
        <w:t>2.2-2018</w:t>
      </w:r>
      <w:r>
        <w:rPr>
          <w:rFonts w:ascii="宋体" w:hAnsi="宋体" w:eastAsia="宋体" w:cs="宋体"/>
          <w:spacing w:val="4"/>
          <w:sz w:val="24"/>
          <w:szCs w:val="24"/>
        </w:rPr>
        <w:t>），</w:t>
      </w:r>
      <w:r>
        <w:rPr>
          <w:rFonts w:ascii="宋体" w:hAnsi="宋体" w:eastAsia="宋体" w:cs="宋体"/>
          <w:spacing w:val="6"/>
          <w:sz w:val="24"/>
          <w:szCs w:val="24"/>
        </w:rPr>
        <w:t>本次环境空气质量现状优先引</w:t>
      </w:r>
      <w:r>
        <w:rPr>
          <w:rFonts w:ascii="宋体" w:hAnsi="宋体" w:eastAsia="宋体" w:cs="宋体"/>
          <w:spacing w:val="5"/>
          <w:sz w:val="24"/>
          <w:szCs w:val="24"/>
        </w:rPr>
        <w:t>用《内江市生态环境状况公报</w:t>
      </w:r>
      <w:r>
        <w:rPr>
          <w:rFonts w:ascii="宋体" w:hAnsi="宋体" w:eastAsia="宋体" w:cs="宋体"/>
          <w:spacing w:val="-6"/>
          <w:sz w:val="24"/>
          <w:szCs w:val="24"/>
        </w:rPr>
        <w:t>（</w:t>
      </w:r>
      <w:r>
        <w:rPr>
          <w:rFonts w:ascii="Times New Roman" w:hAnsi="Times New Roman" w:eastAsia="Times New Roman" w:cs="Times New Roman"/>
          <w:spacing w:val="-6"/>
          <w:sz w:val="24"/>
          <w:szCs w:val="24"/>
        </w:rPr>
        <w:t>2022</w:t>
      </w:r>
      <w:r>
        <w:rPr>
          <w:rFonts w:ascii="宋体" w:hAnsi="宋体" w:eastAsia="宋体" w:cs="宋体"/>
          <w:spacing w:val="-6"/>
          <w:sz w:val="24"/>
          <w:szCs w:val="24"/>
        </w:rPr>
        <w:t>年）》中环境空气监测结果。在此基础上， 为进一步掌握本项目所在区域</w:t>
      </w:r>
      <w:r>
        <w:rPr>
          <w:rFonts w:ascii="宋体" w:hAnsi="宋体" w:eastAsia="宋体" w:cs="宋体"/>
          <w:spacing w:val="-1"/>
          <w:sz w:val="24"/>
          <w:szCs w:val="24"/>
        </w:rPr>
        <w:t>大气环境质量状况，本次评价对项目区硫化氢、氨及臭气浓度进行了补充监测。</w:t>
      </w:r>
    </w:p>
    <w:p w14:paraId="19CDF407">
      <w:pPr>
        <w:spacing w:before="54" w:line="226" w:lineRule="auto"/>
        <w:ind w:left="34"/>
        <w:rPr>
          <w:rFonts w:ascii="宋体" w:hAnsi="宋体" w:eastAsia="宋体" w:cs="宋体"/>
          <w:sz w:val="27"/>
          <w:szCs w:val="27"/>
        </w:rPr>
      </w:pPr>
      <w:r>
        <w:rPr>
          <w:rFonts w:ascii="Times New Roman" w:hAnsi="Times New Roman" w:eastAsia="Times New Roman" w:cs="Times New Roman"/>
          <w:b/>
          <w:bCs/>
          <w:spacing w:val="3"/>
          <w:sz w:val="27"/>
          <w:szCs w:val="27"/>
        </w:rPr>
        <w:t>3.3.1.1</w:t>
      </w:r>
      <w:r>
        <w:rPr>
          <w:rFonts w:ascii="Times New Roman" w:hAnsi="Times New Roman" w:eastAsia="Times New Roman" w:cs="Times New Roman"/>
          <w:b/>
          <w:bCs/>
          <w:spacing w:val="59"/>
          <w:sz w:val="27"/>
          <w:szCs w:val="27"/>
        </w:rPr>
        <w:t xml:space="preserve"> </w:t>
      </w:r>
      <w:r>
        <w:rPr>
          <w:rFonts w:ascii="宋体" w:hAnsi="宋体" w:eastAsia="宋体" w:cs="宋体"/>
          <w:b/>
          <w:bCs/>
          <w:spacing w:val="3"/>
          <w:sz w:val="27"/>
          <w:szCs w:val="27"/>
        </w:rPr>
        <w:t>内江市生态环境状况公报</w:t>
      </w:r>
    </w:p>
    <w:p w14:paraId="30273435">
      <w:pPr>
        <w:spacing w:before="235" w:line="220" w:lineRule="auto"/>
        <w:ind w:left="519"/>
        <w:rPr>
          <w:rFonts w:ascii="宋体" w:hAnsi="宋体" w:eastAsia="宋体" w:cs="宋体"/>
          <w:sz w:val="24"/>
          <w:szCs w:val="24"/>
        </w:rPr>
      </w:pPr>
      <w:r>
        <w:rPr>
          <w:rFonts w:ascii="宋体" w:hAnsi="宋体" w:eastAsia="宋体" w:cs="宋体"/>
          <w:spacing w:val="-3"/>
          <w:sz w:val="24"/>
          <w:szCs w:val="24"/>
        </w:rPr>
        <w:t>概况：根据《内江市生态环境状况公报（</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年，内江城区环</w:t>
      </w:r>
    </w:p>
    <w:p w14:paraId="407F08C5">
      <w:pPr>
        <w:spacing w:line="220" w:lineRule="auto"/>
        <w:rPr>
          <w:rFonts w:ascii="宋体" w:hAnsi="宋体" w:eastAsia="宋体" w:cs="宋体"/>
          <w:sz w:val="24"/>
          <w:szCs w:val="24"/>
        </w:rPr>
        <w:sectPr>
          <w:headerReference r:id="rId255" w:type="default"/>
          <w:footerReference r:id="rId256" w:type="default"/>
          <w:pgSz w:w="11905" w:h="16840"/>
          <w:pgMar w:top="1168" w:right="1714" w:bottom="1409" w:left="1770" w:header="828" w:footer="1244" w:gutter="0"/>
          <w:cols w:space="720" w:num="1"/>
        </w:sectPr>
      </w:pPr>
    </w:p>
    <w:p w14:paraId="4BE4172D">
      <w:pPr>
        <w:pStyle w:val="2"/>
        <w:spacing w:line="308" w:lineRule="auto"/>
      </w:pPr>
    </w:p>
    <w:p w14:paraId="7D6486F6">
      <w:pPr>
        <w:spacing w:before="78" w:line="356" w:lineRule="auto"/>
        <w:ind w:left="39" w:right="27"/>
        <w:rPr>
          <w:rFonts w:ascii="宋体" w:hAnsi="宋体" w:eastAsia="宋体" w:cs="宋体"/>
          <w:sz w:val="24"/>
          <w:szCs w:val="24"/>
        </w:rPr>
      </w:pPr>
      <w:r>
        <w:rPr>
          <w:rFonts w:ascii="宋体" w:hAnsi="宋体" w:eastAsia="宋体" w:cs="宋体"/>
          <w:sz w:val="24"/>
          <w:szCs w:val="24"/>
        </w:rPr>
        <w:t>境空气质量达标天数共</w:t>
      </w:r>
      <w:r>
        <w:rPr>
          <w:rFonts w:ascii="Times New Roman" w:hAnsi="Times New Roman" w:eastAsia="Times New Roman" w:cs="Times New Roman"/>
          <w:sz w:val="24"/>
          <w:szCs w:val="24"/>
        </w:rPr>
        <w:t>307</w:t>
      </w:r>
      <w:r>
        <w:rPr>
          <w:rFonts w:ascii="宋体" w:hAnsi="宋体" w:eastAsia="宋体" w:cs="宋体"/>
          <w:sz w:val="24"/>
          <w:szCs w:val="24"/>
        </w:rPr>
        <w:t>天，达标率为</w:t>
      </w:r>
      <w:r>
        <w:rPr>
          <w:rFonts w:ascii="Times New Roman" w:hAnsi="Times New Roman" w:eastAsia="Times New Roman" w:cs="Times New Roman"/>
          <w:sz w:val="24"/>
          <w:szCs w:val="24"/>
        </w:rPr>
        <w:t>84.</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1%</w:t>
      </w:r>
      <w:r>
        <w:rPr>
          <w:rFonts w:ascii="宋体" w:hAnsi="宋体" w:eastAsia="宋体" w:cs="宋体"/>
          <w:sz w:val="24"/>
          <w:szCs w:val="24"/>
        </w:rPr>
        <w:t>，其中优占</w:t>
      </w:r>
      <w:r>
        <w:rPr>
          <w:rFonts w:ascii="Times New Roman" w:hAnsi="Times New Roman" w:eastAsia="Times New Roman" w:cs="Times New Roman"/>
          <w:sz w:val="24"/>
          <w:szCs w:val="24"/>
        </w:rPr>
        <w:t>31.5%</w:t>
      </w:r>
      <w:r>
        <w:rPr>
          <w:rFonts w:ascii="宋体" w:hAnsi="宋体" w:eastAsia="宋体" w:cs="宋体"/>
          <w:sz w:val="24"/>
          <w:szCs w:val="24"/>
        </w:rPr>
        <w:t>，良占</w:t>
      </w:r>
      <w:r>
        <w:rPr>
          <w:rFonts w:ascii="Times New Roman" w:hAnsi="Times New Roman" w:eastAsia="Times New Roman" w:cs="Times New Roman"/>
          <w:sz w:val="24"/>
          <w:szCs w:val="24"/>
        </w:rPr>
        <w:t>52.6%</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w:t>
      </w:r>
      <w:r>
        <w:rPr>
          <w:rFonts w:ascii="宋体" w:hAnsi="宋体" w:eastAsia="宋体" w:cs="宋体"/>
          <w:spacing w:val="-1"/>
          <w:sz w:val="24"/>
          <w:szCs w:val="24"/>
        </w:rPr>
        <w:t>轻度污染占</w:t>
      </w:r>
      <w:r>
        <w:rPr>
          <w:rFonts w:ascii="Times New Roman" w:hAnsi="Times New Roman" w:eastAsia="Times New Roman" w:cs="Times New Roman"/>
          <w:spacing w:val="-1"/>
          <w:sz w:val="24"/>
          <w:szCs w:val="24"/>
        </w:rPr>
        <w:t>15.3%</w:t>
      </w:r>
      <w:r>
        <w:rPr>
          <w:rFonts w:ascii="宋体" w:hAnsi="宋体" w:eastAsia="宋体" w:cs="宋体"/>
          <w:spacing w:val="-1"/>
          <w:sz w:val="24"/>
          <w:szCs w:val="24"/>
        </w:rPr>
        <w:t>，中度污染占</w:t>
      </w:r>
      <w:r>
        <w:rPr>
          <w:rFonts w:ascii="Times New Roman" w:hAnsi="Times New Roman" w:eastAsia="Times New Roman" w:cs="Times New Roman"/>
          <w:spacing w:val="-1"/>
          <w:sz w:val="24"/>
          <w:szCs w:val="24"/>
        </w:rPr>
        <w:t>0.5%</w:t>
      </w:r>
      <w:r>
        <w:rPr>
          <w:rFonts w:ascii="宋体" w:hAnsi="宋体" w:eastAsia="宋体" w:cs="宋体"/>
          <w:spacing w:val="-1"/>
          <w:sz w:val="24"/>
          <w:szCs w:val="24"/>
        </w:rPr>
        <w:t>，未出现重度及以上污染。超标时首要污染</w:t>
      </w:r>
      <w:r>
        <w:rPr>
          <w:rFonts w:ascii="宋体" w:hAnsi="宋体" w:eastAsia="宋体" w:cs="宋体"/>
          <w:spacing w:val="2"/>
          <w:sz w:val="24"/>
          <w:szCs w:val="24"/>
        </w:rPr>
        <w:t>物主要为臭氧（</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position w:val="-2"/>
          <w:sz w:val="15"/>
          <w:szCs w:val="15"/>
        </w:rPr>
        <w:t>3</w:t>
      </w:r>
      <w:r>
        <w:rPr>
          <w:rFonts w:ascii="宋体" w:hAnsi="宋体" w:eastAsia="宋体" w:cs="宋体"/>
          <w:spacing w:val="2"/>
          <w:sz w:val="24"/>
          <w:szCs w:val="24"/>
        </w:rPr>
        <w:t>）和细颗粒物（</w:t>
      </w:r>
      <w:r>
        <w:rPr>
          <w:rFonts w:ascii="Times New Roman" w:hAnsi="Times New Roman" w:eastAsia="Times New Roman" w:cs="Times New Roman"/>
          <w:sz w:val="24"/>
          <w:szCs w:val="24"/>
        </w:rPr>
        <w:t>PM</w:t>
      </w:r>
      <w:r>
        <w:rPr>
          <w:rFonts w:ascii="Times New Roman" w:hAnsi="Times New Roman" w:eastAsia="Times New Roman" w:cs="Times New Roman"/>
          <w:spacing w:val="2"/>
          <w:position w:val="-2"/>
          <w:sz w:val="15"/>
          <w:szCs w:val="15"/>
        </w:rPr>
        <w:t>2.5</w:t>
      </w:r>
      <w:r>
        <w:rPr>
          <w:rFonts w:ascii="宋体" w:hAnsi="宋体" w:eastAsia="宋体" w:cs="宋体"/>
          <w:spacing w:val="1"/>
          <w:sz w:val="24"/>
          <w:szCs w:val="24"/>
        </w:rPr>
        <w:t>），</w:t>
      </w:r>
      <w:r>
        <w:rPr>
          <w:rFonts w:ascii="宋体" w:hAnsi="宋体" w:eastAsia="宋体" w:cs="宋体"/>
          <w:spacing w:val="2"/>
          <w:sz w:val="24"/>
          <w:szCs w:val="24"/>
        </w:rPr>
        <w:t>分别为</w:t>
      </w:r>
      <w:r>
        <w:rPr>
          <w:rFonts w:ascii="Times New Roman" w:hAnsi="Times New Roman" w:eastAsia="Times New Roman" w:cs="Times New Roman"/>
          <w:spacing w:val="2"/>
          <w:sz w:val="24"/>
          <w:szCs w:val="24"/>
        </w:rPr>
        <w:t>36</w:t>
      </w:r>
      <w:r>
        <w:rPr>
          <w:rFonts w:ascii="宋体" w:hAnsi="宋体" w:eastAsia="宋体" w:cs="宋体"/>
          <w:spacing w:val="2"/>
          <w:sz w:val="24"/>
          <w:szCs w:val="24"/>
        </w:rPr>
        <w:t>天、</w:t>
      </w:r>
      <w:r>
        <w:rPr>
          <w:rFonts w:ascii="Times New Roman" w:hAnsi="Times New Roman" w:eastAsia="Times New Roman" w:cs="Times New Roman"/>
          <w:spacing w:val="2"/>
          <w:sz w:val="24"/>
          <w:szCs w:val="24"/>
        </w:rPr>
        <w:t>22</w:t>
      </w:r>
      <w:r>
        <w:rPr>
          <w:rFonts w:ascii="宋体" w:hAnsi="宋体" w:eastAsia="宋体" w:cs="宋体"/>
          <w:spacing w:val="2"/>
          <w:sz w:val="24"/>
          <w:szCs w:val="24"/>
        </w:rPr>
        <w:t>天，占超标总天数</w:t>
      </w:r>
      <w:r>
        <w:rPr>
          <w:rFonts w:ascii="宋体" w:hAnsi="宋体" w:eastAsia="宋体" w:cs="宋体"/>
          <w:spacing w:val="-3"/>
          <w:sz w:val="24"/>
          <w:szCs w:val="24"/>
        </w:rPr>
        <w:t>的</w:t>
      </w:r>
      <w:r>
        <w:rPr>
          <w:rFonts w:ascii="Times New Roman" w:hAnsi="Times New Roman" w:eastAsia="Times New Roman" w:cs="Times New Roman"/>
          <w:spacing w:val="-3"/>
          <w:sz w:val="24"/>
          <w:szCs w:val="24"/>
        </w:rPr>
        <w:t>62.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37.9%</w:t>
      </w:r>
      <w:r>
        <w:rPr>
          <w:rFonts w:ascii="宋体" w:hAnsi="宋体" w:eastAsia="宋体" w:cs="宋体"/>
          <w:spacing w:val="-3"/>
          <w:sz w:val="24"/>
          <w:szCs w:val="24"/>
        </w:rPr>
        <w:t>。内江城区环境空气质量类别分布情况见下图。</w:t>
      </w:r>
    </w:p>
    <w:p w14:paraId="60156C32">
      <w:pPr>
        <w:spacing w:line="2927" w:lineRule="exact"/>
        <w:ind w:firstLine="2670"/>
      </w:pPr>
      <w:r>
        <w:rPr>
          <w:position w:val="-58"/>
        </w:rPr>
        <w:drawing>
          <wp:inline distT="0" distB="0" distL="0" distR="0">
            <wp:extent cx="1920240" cy="185864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558"/>
                    <a:stretch>
                      <a:fillRect/>
                    </a:stretch>
                  </pic:blipFill>
                  <pic:spPr>
                    <a:xfrm>
                      <a:off x="0" y="0"/>
                      <a:ext cx="1920240" cy="1859279"/>
                    </a:xfrm>
                    <a:prstGeom prst="rect">
                      <a:avLst/>
                    </a:prstGeom>
                  </pic:spPr>
                </pic:pic>
              </a:graphicData>
            </a:graphic>
          </wp:inline>
        </w:drawing>
      </w:r>
    </w:p>
    <w:p w14:paraId="1BAE28FF">
      <w:pPr>
        <w:spacing w:before="223" w:line="221" w:lineRule="auto"/>
        <w:ind w:left="1858"/>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3.3-1 2022</w:t>
      </w:r>
      <w:r>
        <w:rPr>
          <w:rFonts w:ascii="黑体" w:hAnsi="黑体" w:eastAsia="黑体" w:cs="黑体"/>
          <w:spacing w:val="-1"/>
          <w:sz w:val="21"/>
          <w:szCs w:val="21"/>
        </w:rPr>
        <w:t>年内江城区空气质量类别比例分布情况</w:t>
      </w:r>
    </w:p>
    <w:p w14:paraId="0F5EEED7">
      <w:pPr>
        <w:spacing w:before="201" w:line="361" w:lineRule="auto"/>
        <w:ind w:left="39" w:right="28" w:firstLine="482"/>
        <w:rPr>
          <w:rFonts w:ascii="宋体" w:hAnsi="宋体" w:eastAsia="宋体" w:cs="宋体"/>
          <w:sz w:val="24"/>
          <w:szCs w:val="24"/>
        </w:rPr>
      </w:pPr>
      <w:r>
        <w:rPr>
          <w:rFonts w:ascii="宋体" w:hAnsi="宋体" w:eastAsia="宋体" w:cs="宋体"/>
          <w:sz w:val="24"/>
          <w:szCs w:val="24"/>
        </w:rPr>
        <w:t>主要污染物：</w:t>
      </w:r>
      <w:r>
        <w:rPr>
          <w:rFonts w:ascii="Times New Roman" w:hAnsi="Times New Roman" w:eastAsia="Times New Roman" w:cs="Times New Roman"/>
          <w:sz w:val="24"/>
          <w:szCs w:val="24"/>
        </w:rPr>
        <w:t xml:space="preserve">2022 </w:t>
      </w:r>
      <w:r>
        <w:rPr>
          <w:rFonts w:ascii="宋体" w:hAnsi="宋体" w:eastAsia="宋体" w:cs="宋体"/>
          <w:sz w:val="24"/>
          <w:szCs w:val="24"/>
        </w:rPr>
        <w:t>年，内江城区二氧化硫（</w:t>
      </w:r>
      <w:r>
        <w:rPr>
          <w:rFonts w:ascii="Times New Roman" w:hAnsi="Times New Roman" w:eastAsia="Times New Roman" w:cs="Times New Roman"/>
          <w:sz w:val="24"/>
          <w:szCs w:val="24"/>
        </w:rPr>
        <w:t>SO</w:t>
      </w:r>
      <w:r>
        <w:rPr>
          <w:rFonts w:ascii="Times New Roman" w:hAnsi="Times New Roman" w:eastAsia="Times New Roman" w:cs="Times New Roman"/>
          <w:position w:val="-2"/>
          <w:sz w:val="15"/>
          <w:szCs w:val="15"/>
        </w:rPr>
        <w:t>2</w:t>
      </w:r>
      <w:r>
        <w:rPr>
          <w:rFonts w:ascii="宋体" w:hAnsi="宋体" w:eastAsia="宋体" w:cs="宋体"/>
          <w:sz w:val="24"/>
          <w:szCs w:val="24"/>
        </w:rPr>
        <w:t>）、</w:t>
      </w:r>
      <w:r>
        <w:rPr>
          <w:rFonts w:ascii="宋体" w:hAnsi="宋体" w:eastAsia="宋体" w:cs="宋体"/>
          <w:spacing w:val="-1"/>
          <w:sz w:val="24"/>
          <w:szCs w:val="24"/>
        </w:rPr>
        <w:t>二氧化氮（</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2"/>
          <w:sz w:val="15"/>
          <w:szCs w:val="15"/>
        </w:rPr>
        <w:t>2</w:t>
      </w:r>
      <w:r>
        <w:rPr>
          <w:rFonts w:ascii="宋体" w:hAnsi="宋体" w:eastAsia="宋体" w:cs="宋体"/>
          <w:spacing w:val="-1"/>
          <w:sz w:val="24"/>
          <w:szCs w:val="24"/>
        </w:rPr>
        <w:t>）、一</w:t>
      </w:r>
      <w:r>
        <w:rPr>
          <w:rFonts w:ascii="宋体" w:hAnsi="宋体" w:eastAsia="宋体" w:cs="宋体"/>
          <w:spacing w:val="-3"/>
          <w:sz w:val="24"/>
          <w:szCs w:val="24"/>
        </w:rPr>
        <w:t>氧化碳（</w:t>
      </w:r>
      <w:r>
        <w:rPr>
          <w:rFonts w:ascii="Times New Roman" w:hAnsi="Times New Roman" w:eastAsia="Times New Roman" w:cs="Times New Roman"/>
          <w:spacing w:val="-3"/>
          <w:sz w:val="24"/>
          <w:szCs w:val="24"/>
        </w:rPr>
        <w:t>CO</w:t>
      </w:r>
      <w:r>
        <w:rPr>
          <w:rFonts w:ascii="宋体" w:hAnsi="宋体" w:eastAsia="宋体" w:cs="宋体"/>
          <w:spacing w:val="-3"/>
          <w:sz w:val="24"/>
          <w:szCs w:val="24"/>
        </w:rPr>
        <w:t>）、臭氧（</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2"/>
          <w:sz w:val="15"/>
          <w:szCs w:val="15"/>
        </w:rPr>
        <w:t xml:space="preserve">3 </w:t>
      </w:r>
      <w:r>
        <w:rPr>
          <w:rFonts w:ascii="宋体" w:hAnsi="宋体" w:eastAsia="宋体" w:cs="宋体"/>
          <w:spacing w:val="-3"/>
          <w:sz w:val="24"/>
          <w:szCs w:val="24"/>
        </w:rPr>
        <w:t>）、可吸入颗粒物（</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2"/>
          <w:sz w:val="15"/>
          <w:szCs w:val="15"/>
        </w:rPr>
        <w:t xml:space="preserve">10 </w:t>
      </w:r>
      <w:r>
        <w:rPr>
          <w:rFonts w:ascii="宋体" w:hAnsi="宋体" w:eastAsia="宋体" w:cs="宋体"/>
          <w:spacing w:val="-3"/>
          <w:sz w:val="24"/>
          <w:szCs w:val="24"/>
        </w:rPr>
        <w:t>）和细颗粒物（</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2"/>
          <w:sz w:val="15"/>
          <w:szCs w:val="15"/>
        </w:rPr>
        <w:t>2.5</w:t>
      </w:r>
      <w:r>
        <w:rPr>
          <w:rFonts w:ascii="宋体" w:hAnsi="宋体" w:eastAsia="宋体" w:cs="宋体"/>
          <w:spacing w:val="-3"/>
          <w:sz w:val="24"/>
          <w:szCs w:val="24"/>
        </w:rPr>
        <w:t>）的年</w:t>
      </w:r>
      <w:r>
        <w:rPr>
          <w:rFonts w:ascii="宋体" w:hAnsi="宋体" w:eastAsia="宋体" w:cs="宋体"/>
          <w:sz w:val="24"/>
          <w:szCs w:val="24"/>
        </w:rPr>
        <w:t>均浓度分别为</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8 </w:t>
      </w:r>
      <w:r>
        <w:rPr>
          <w:rFonts w:ascii="宋体" w:hAnsi="宋体" w:eastAsia="宋体" w:cs="宋体"/>
          <w:sz w:val="24"/>
          <w:szCs w:val="24"/>
        </w:rPr>
        <w:t>微克</w:t>
      </w:r>
      <w:r>
        <w:rPr>
          <w:rFonts w:ascii="Times New Roman" w:hAnsi="Times New Roman" w:eastAsia="Times New Roman" w:cs="Times New Roman"/>
          <w:sz w:val="24"/>
          <w:szCs w:val="24"/>
        </w:rPr>
        <w:t>/</w:t>
      </w:r>
      <w:r>
        <w:rPr>
          <w:rFonts w:ascii="宋体" w:hAnsi="宋体" w:eastAsia="宋体" w:cs="宋体"/>
          <w:sz w:val="24"/>
          <w:szCs w:val="24"/>
        </w:rPr>
        <w:t>立方米、</w:t>
      </w:r>
      <w:r>
        <w:rPr>
          <w:rFonts w:ascii="Times New Roman" w:hAnsi="Times New Roman" w:eastAsia="Times New Roman" w:cs="Times New Roman"/>
          <w:sz w:val="24"/>
          <w:szCs w:val="24"/>
        </w:rPr>
        <w:t xml:space="preserve">24 </w:t>
      </w:r>
      <w:r>
        <w:rPr>
          <w:rFonts w:ascii="宋体" w:hAnsi="宋体" w:eastAsia="宋体" w:cs="宋体"/>
          <w:sz w:val="24"/>
          <w:szCs w:val="24"/>
        </w:rPr>
        <w:t>微克</w:t>
      </w:r>
      <w:r>
        <w:rPr>
          <w:rFonts w:ascii="Times New Roman" w:hAnsi="Times New Roman" w:eastAsia="Times New Roman" w:cs="Times New Roman"/>
          <w:spacing w:val="-1"/>
          <w:sz w:val="24"/>
          <w:szCs w:val="24"/>
        </w:rPr>
        <w:t>/</w:t>
      </w:r>
      <w:r>
        <w:rPr>
          <w:rFonts w:ascii="宋体" w:hAnsi="宋体" w:eastAsia="宋体" w:cs="宋体"/>
          <w:spacing w:val="-1"/>
          <w:sz w:val="24"/>
          <w:szCs w:val="24"/>
        </w:rPr>
        <w:t>立方米、</w:t>
      </w:r>
      <w:r>
        <w:rPr>
          <w:rFonts w:ascii="Times New Roman" w:hAnsi="Times New Roman" w:eastAsia="Times New Roman" w:cs="Times New Roman"/>
          <w:spacing w:val="-1"/>
          <w:sz w:val="24"/>
          <w:szCs w:val="24"/>
        </w:rPr>
        <w:t xml:space="preserve">1.1 </w:t>
      </w:r>
      <w:r>
        <w:rPr>
          <w:rFonts w:ascii="宋体" w:hAnsi="宋体" w:eastAsia="宋体" w:cs="宋体"/>
          <w:spacing w:val="-1"/>
          <w:sz w:val="24"/>
          <w:szCs w:val="24"/>
        </w:rPr>
        <w:t>毫克</w:t>
      </w:r>
      <w:r>
        <w:rPr>
          <w:rFonts w:ascii="Times New Roman" w:hAnsi="Times New Roman" w:eastAsia="Times New Roman" w:cs="Times New Roman"/>
          <w:spacing w:val="-1"/>
          <w:sz w:val="24"/>
          <w:szCs w:val="24"/>
        </w:rPr>
        <w:t>/</w:t>
      </w:r>
      <w:r>
        <w:rPr>
          <w:rFonts w:ascii="宋体" w:hAnsi="宋体" w:eastAsia="宋体" w:cs="宋体"/>
          <w:spacing w:val="-1"/>
          <w:sz w:val="24"/>
          <w:szCs w:val="24"/>
        </w:rPr>
        <w:t>立方米、</w:t>
      </w:r>
      <w:r>
        <w:rPr>
          <w:rFonts w:ascii="Times New Roman" w:hAnsi="Times New Roman" w:eastAsia="Times New Roman" w:cs="Times New Roman"/>
          <w:spacing w:val="-1"/>
          <w:sz w:val="24"/>
          <w:szCs w:val="24"/>
        </w:rPr>
        <w:t xml:space="preserve">160 </w:t>
      </w:r>
      <w:r>
        <w:rPr>
          <w:rFonts w:ascii="宋体" w:hAnsi="宋体" w:eastAsia="宋体" w:cs="宋体"/>
          <w:spacing w:val="-1"/>
          <w:sz w:val="24"/>
          <w:szCs w:val="24"/>
        </w:rPr>
        <w:t>微克</w:t>
      </w:r>
      <w:r>
        <w:rPr>
          <w:rFonts w:ascii="Times New Roman" w:hAnsi="Times New Roman" w:eastAsia="Times New Roman" w:cs="Times New Roman"/>
          <w:spacing w:val="-1"/>
          <w:sz w:val="24"/>
          <w:szCs w:val="24"/>
        </w:rPr>
        <w:t>/</w:t>
      </w:r>
      <w:r>
        <w:rPr>
          <w:rFonts w:ascii="宋体" w:hAnsi="宋体" w:eastAsia="宋体" w:cs="宋体"/>
          <w:spacing w:val="-1"/>
          <w:sz w:val="24"/>
          <w:szCs w:val="24"/>
        </w:rPr>
        <w:t>立方</w:t>
      </w:r>
      <w:r>
        <w:rPr>
          <w:rFonts w:ascii="宋体" w:hAnsi="宋体" w:eastAsia="宋体" w:cs="宋体"/>
          <w:spacing w:val="-10"/>
          <w:sz w:val="24"/>
          <w:szCs w:val="24"/>
        </w:rPr>
        <w:t>米、</w:t>
      </w:r>
      <w:r>
        <w:rPr>
          <w:rFonts w:ascii="Times New Roman" w:hAnsi="Times New Roman" w:eastAsia="Times New Roman" w:cs="Times New Roman"/>
          <w:spacing w:val="-10"/>
          <w:sz w:val="24"/>
          <w:szCs w:val="24"/>
        </w:rPr>
        <w:t xml:space="preserve">46 </w:t>
      </w:r>
      <w:r>
        <w:rPr>
          <w:rFonts w:ascii="宋体" w:hAnsi="宋体" w:eastAsia="宋体" w:cs="宋体"/>
          <w:spacing w:val="-10"/>
          <w:sz w:val="24"/>
          <w:szCs w:val="24"/>
        </w:rPr>
        <w:t>微克</w:t>
      </w:r>
      <w:r>
        <w:rPr>
          <w:rFonts w:ascii="Times New Roman" w:hAnsi="Times New Roman" w:eastAsia="Times New Roman" w:cs="Times New Roman"/>
          <w:spacing w:val="-10"/>
          <w:sz w:val="24"/>
          <w:szCs w:val="24"/>
        </w:rPr>
        <w:t>/</w:t>
      </w:r>
      <w:r>
        <w:rPr>
          <w:rFonts w:ascii="宋体" w:hAnsi="宋体" w:eastAsia="宋体" w:cs="宋体"/>
          <w:spacing w:val="-10"/>
          <w:sz w:val="24"/>
          <w:szCs w:val="24"/>
        </w:rPr>
        <w:t>立方米和</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 xml:space="preserve">32 </w:t>
      </w:r>
      <w:r>
        <w:rPr>
          <w:rFonts w:ascii="宋体" w:hAnsi="宋体" w:eastAsia="宋体" w:cs="宋体"/>
          <w:spacing w:val="-10"/>
          <w:sz w:val="24"/>
          <w:szCs w:val="24"/>
        </w:rPr>
        <w:t>微克</w:t>
      </w:r>
      <w:r>
        <w:rPr>
          <w:rFonts w:ascii="Times New Roman" w:hAnsi="Times New Roman" w:eastAsia="Times New Roman" w:cs="Times New Roman"/>
          <w:spacing w:val="-10"/>
          <w:sz w:val="24"/>
          <w:szCs w:val="24"/>
        </w:rPr>
        <w:t>/</w:t>
      </w:r>
      <w:r>
        <w:rPr>
          <w:rFonts w:ascii="宋体" w:hAnsi="宋体" w:eastAsia="宋体" w:cs="宋体"/>
          <w:spacing w:val="-10"/>
          <w:sz w:val="24"/>
          <w:szCs w:val="24"/>
        </w:rPr>
        <w:t>立方米，同比变化幅度</w:t>
      </w:r>
      <w:r>
        <w:rPr>
          <w:rFonts w:ascii="宋体" w:hAnsi="宋体" w:eastAsia="宋体" w:cs="宋体"/>
          <w:spacing w:val="-11"/>
          <w:sz w:val="24"/>
          <w:szCs w:val="24"/>
        </w:rPr>
        <w:t>分别为</w:t>
      </w:r>
      <w:r>
        <w:rPr>
          <w:rFonts w:ascii="Times New Roman" w:hAnsi="Times New Roman" w:eastAsia="Times New Roman" w:cs="Times New Roman"/>
          <w:spacing w:val="-11"/>
          <w:sz w:val="24"/>
          <w:szCs w:val="24"/>
        </w:rPr>
        <w:t>-11.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1"/>
          <w:sz w:val="24"/>
          <w:szCs w:val="24"/>
        </w:rPr>
        <w:t>1%</w:t>
      </w:r>
      <w:r>
        <w:rPr>
          <w:rFonts w:ascii="宋体" w:hAnsi="宋体" w:eastAsia="宋体" w:cs="宋体"/>
          <w:spacing w:val="-11"/>
          <w:sz w:val="24"/>
          <w:szCs w:val="24"/>
        </w:rPr>
        <w:t>、</w:t>
      </w:r>
      <w:r>
        <w:rPr>
          <w:rFonts w:ascii="Times New Roman" w:hAnsi="Times New Roman" w:eastAsia="Times New Roman" w:cs="Times New Roman"/>
          <w:spacing w:val="-11"/>
          <w:sz w:val="24"/>
          <w:szCs w:val="24"/>
        </w:rPr>
        <w:t>0.0%</w:t>
      </w:r>
      <w:r>
        <w:rPr>
          <w:rFonts w:ascii="宋体" w:hAnsi="宋体" w:eastAsia="宋体" w:cs="宋体"/>
          <w:spacing w:val="-11"/>
          <w:sz w:val="24"/>
          <w:szCs w:val="24"/>
        </w:rPr>
        <w:t>、</w:t>
      </w:r>
      <w:r>
        <w:rPr>
          <w:rFonts w:ascii="Times New Roman" w:hAnsi="Times New Roman" w:eastAsia="Times New Roman" w:cs="Times New Roman"/>
          <w:spacing w:val="-11"/>
          <w:sz w:val="24"/>
          <w:szCs w:val="24"/>
        </w:rPr>
        <w:t>0.0%</w:t>
      </w:r>
      <w:r>
        <w:rPr>
          <w:rFonts w:ascii="Times New Roman" w:hAnsi="Times New Roman" w:eastAsia="Times New Roman" w:cs="Times New Roman"/>
          <w:spacing w:val="-34"/>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16.8%</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-11.5%</w:t>
      </w:r>
      <w:r>
        <w:rPr>
          <w:rFonts w:ascii="宋体" w:hAnsi="宋体" w:eastAsia="宋体" w:cs="宋体"/>
          <w:spacing w:val="-2"/>
          <w:sz w:val="24"/>
          <w:szCs w:val="24"/>
        </w:rPr>
        <w:t>和</w:t>
      </w:r>
      <w:r>
        <w:rPr>
          <w:rFonts w:ascii="Times New Roman" w:hAnsi="Times New Roman" w:eastAsia="Times New Roman" w:cs="Times New Roman"/>
          <w:spacing w:val="-2"/>
          <w:sz w:val="24"/>
          <w:szCs w:val="24"/>
        </w:rPr>
        <w:t>-8.6%</w:t>
      </w:r>
      <w:r>
        <w:rPr>
          <w:rFonts w:ascii="宋体" w:hAnsi="宋体" w:eastAsia="宋体" w:cs="宋体"/>
          <w:spacing w:val="-2"/>
          <w:sz w:val="24"/>
          <w:szCs w:val="24"/>
        </w:rPr>
        <w:t xml:space="preserve">；环境空气质量综合指数为 </w:t>
      </w:r>
      <w:r>
        <w:rPr>
          <w:rFonts w:ascii="Times New Roman" w:hAnsi="Times New Roman" w:eastAsia="Times New Roman" w:cs="Times New Roman"/>
          <w:spacing w:val="-2"/>
          <w:sz w:val="24"/>
          <w:szCs w:val="24"/>
        </w:rPr>
        <w:t>3.58</w:t>
      </w:r>
      <w:r>
        <w:rPr>
          <w:rFonts w:ascii="宋体" w:hAnsi="宋体" w:eastAsia="宋体" w:cs="宋体"/>
          <w:spacing w:val="-2"/>
          <w:sz w:val="24"/>
          <w:szCs w:val="24"/>
        </w:rPr>
        <w:t xml:space="preserve">，同比下降 </w:t>
      </w:r>
      <w:r>
        <w:rPr>
          <w:rFonts w:ascii="Times New Roman" w:hAnsi="Times New Roman" w:eastAsia="Times New Roman" w:cs="Times New Roman"/>
          <w:spacing w:val="-2"/>
          <w:sz w:val="24"/>
          <w:szCs w:val="24"/>
        </w:rPr>
        <w:t>1.4%</w:t>
      </w:r>
      <w:r>
        <w:rPr>
          <w:rFonts w:ascii="宋体" w:hAnsi="宋体" w:eastAsia="宋体" w:cs="宋体"/>
          <w:spacing w:val="-2"/>
          <w:sz w:val="24"/>
          <w:szCs w:val="24"/>
        </w:rPr>
        <w:t>，空气</w:t>
      </w:r>
      <w:r>
        <w:rPr>
          <w:rFonts w:ascii="宋体" w:hAnsi="宋体" w:eastAsia="宋体" w:cs="宋体"/>
          <w:spacing w:val="-6"/>
          <w:sz w:val="24"/>
          <w:szCs w:val="24"/>
        </w:rPr>
        <w:t>质量同比改善。</w:t>
      </w:r>
    </w:p>
    <w:p w14:paraId="041772EB">
      <w:pPr>
        <w:spacing w:before="8" w:line="222" w:lineRule="auto"/>
        <w:ind w:left="2374"/>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3.3-1 2022</w:t>
      </w:r>
      <w:r>
        <w:rPr>
          <w:rFonts w:ascii="黑体" w:hAnsi="黑体" w:eastAsia="黑体" w:cs="黑体"/>
          <w:spacing w:val="-1"/>
          <w:sz w:val="21"/>
          <w:szCs w:val="21"/>
        </w:rPr>
        <w:t>年东兴区污染物浓度评价表</w:t>
      </w:r>
    </w:p>
    <w:p w14:paraId="24CB91DC">
      <w:pPr>
        <w:spacing w:line="88" w:lineRule="exact"/>
      </w:pPr>
    </w:p>
    <w:tbl>
      <w:tblPr>
        <w:tblStyle w:val="5"/>
        <w:tblW w:w="802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1"/>
        <w:gridCol w:w="1336"/>
        <w:gridCol w:w="1336"/>
        <w:gridCol w:w="1337"/>
        <w:gridCol w:w="1336"/>
        <w:gridCol w:w="1340"/>
      </w:tblGrid>
      <w:tr w14:paraId="42287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41" w:type="dxa"/>
            <w:vAlign w:val="top"/>
          </w:tcPr>
          <w:p w14:paraId="4382D7BA">
            <w:pPr>
              <w:spacing w:before="68" w:line="220" w:lineRule="auto"/>
              <w:ind w:left="362"/>
              <w:rPr>
                <w:rFonts w:ascii="宋体" w:hAnsi="宋体" w:eastAsia="宋体" w:cs="宋体"/>
                <w:sz w:val="21"/>
                <w:szCs w:val="21"/>
              </w:rPr>
            </w:pPr>
            <w:r>
              <w:rPr>
                <w:rFonts w:ascii="宋体" w:hAnsi="宋体" w:eastAsia="宋体" w:cs="宋体"/>
                <w:spacing w:val="-3"/>
                <w:sz w:val="21"/>
                <w:szCs w:val="21"/>
              </w:rPr>
              <w:t>污染物</w:t>
            </w:r>
          </w:p>
        </w:tc>
        <w:tc>
          <w:tcPr>
            <w:tcW w:w="1336" w:type="dxa"/>
            <w:vAlign w:val="top"/>
          </w:tcPr>
          <w:p w14:paraId="70165642">
            <w:pPr>
              <w:spacing w:before="67" w:line="218" w:lineRule="auto"/>
              <w:ind w:left="251"/>
              <w:rPr>
                <w:rFonts w:ascii="宋体" w:hAnsi="宋体" w:eastAsia="宋体" w:cs="宋体"/>
                <w:sz w:val="21"/>
                <w:szCs w:val="21"/>
              </w:rPr>
            </w:pPr>
            <w:r>
              <w:rPr>
                <w:rFonts w:ascii="宋体" w:hAnsi="宋体" w:eastAsia="宋体" w:cs="宋体"/>
                <w:spacing w:val="-2"/>
                <w:sz w:val="21"/>
                <w:szCs w:val="21"/>
              </w:rPr>
              <w:t>评价指标</w:t>
            </w:r>
          </w:p>
        </w:tc>
        <w:tc>
          <w:tcPr>
            <w:tcW w:w="1336" w:type="dxa"/>
            <w:vAlign w:val="top"/>
          </w:tcPr>
          <w:p w14:paraId="4A60735C">
            <w:pPr>
              <w:spacing w:before="68" w:line="220" w:lineRule="auto"/>
              <w:ind w:left="464"/>
              <w:rPr>
                <w:rFonts w:ascii="宋体" w:hAnsi="宋体" w:eastAsia="宋体" w:cs="宋体"/>
                <w:sz w:val="21"/>
                <w:szCs w:val="21"/>
              </w:rPr>
            </w:pPr>
            <w:r>
              <w:rPr>
                <w:rFonts w:ascii="宋体" w:hAnsi="宋体" w:eastAsia="宋体" w:cs="宋体"/>
                <w:spacing w:val="-3"/>
                <w:sz w:val="21"/>
                <w:szCs w:val="21"/>
              </w:rPr>
              <w:t>单位</w:t>
            </w:r>
          </w:p>
        </w:tc>
        <w:tc>
          <w:tcPr>
            <w:tcW w:w="1337" w:type="dxa"/>
            <w:vAlign w:val="top"/>
          </w:tcPr>
          <w:p w14:paraId="63E50D33">
            <w:pPr>
              <w:spacing w:before="68" w:line="220" w:lineRule="auto"/>
              <w:ind w:left="464"/>
              <w:rPr>
                <w:rFonts w:ascii="宋体" w:hAnsi="宋体" w:eastAsia="宋体" w:cs="宋体"/>
                <w:sz w:val="21"/>
                <w:szCs w:val="21"/>
              </w:rPr>
            </w:pPr>
            <w:r>
              <w:rPr>
                <w:rFonts w:ascii="宋体" w:hAnsi="宋体" w:eastAsia="宋体" w:cs="宋体"/>
                <w:spacing w:val="-3"/>
                <w:sz w:val="21"/>
                <w:szCs w:val="21"/>
              </w:rPr>
              <w:t>浓度</w:t>
            </w:r>
          </w:p>
        </w:tc>
        <w:tc>
          <w:tcPr>
            <w:tcW w:w="1336" w:type="dxa"/>
            <w:vAlign w:val="top"/>
          </w:tcPr>
          <w:p w14:paraId="0F3852AA">
            <w:pPr>
              <w:spacing w:before="67" w:line="220" w:lineRule="auto"/>
              <w:ind w:left="360"/>
              <w:rPr>
                <w:rFonts w:ascii="宋体" w:hAnsi="宋体" w:eastAsia="宋体" w:cs="宋体"/>
                <w:sz w:val="21"/>
                <w:szCs w:val="21"/>
              </w:rPr>
            </w:pPr>
            <w:r>
              <w:rPr>
                <w:rFonts w:ascii="宋体" w:hAnsi="宋体" w:eastAsia="宋体" w:cs="宋体"/>
                <w:spacing w:val="-3"/>
                <w:sz w:val="21"/>
                <w:szCs w:val="21"/>
              </w:rPr>
              <w:t>标准值</w:t>
            </w:r>
          </w:p>
        </w:tc>
        <w:tc>
          <w:tcPr>
            <w:tcW w:w="1340" w:type="dxa"/>
            <w:vAlign w:val="top"/>
          </w:tcPr>
          <w:p w14:paraId="3C317491">
            <w:pPr>
              <w:spacing w:before="68" w:line="220" w:lineRule="auto"/>
              <w:ind w:left="254"/>
              <w:rPr>
                <w:rFonts w:ascii="宋体" w:hAnsi="宋体" w:eastAsia="宋体" w:cs="宋体"/>
                <w:sz w:val="21"/>
                <w:szCs w:val="21"/>
              </w:rPr>
            </w:pPr>
            <w:r>
              <w:rPr>
                <w:rFonts w:ascii="宋体" w:hAnsi="宋体" w:eastAsia="宋体" w:cs="宋体"/>
                <w:spacing w:val="-2"/>
                <w:sz w:val="21"/>
                <w:szCs w:val="21"/>
              </w:rPr>
              <w:t>达标情况</w:t>
            </w:r>
          </w:p>
        </w:tc>
      </w:tr>
      <w:tr w14:paraId="498D3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41" w:type="dxa"/>
            <w:vAlign w:val="top"/>
          </w:tcPr>
          <w:p w14:paraId="7761F720">
            <w:pPr>
              <w:pStyle w:val="6"/>
              <w:spacing w:before="100" w:line="198" w:lineRule="auto"/>
              <w:ind w:left="512"/>
              <w:rPr>
                <w:sz w:val="14"/>
                <w:szCs w:val="14"/>
              </w:rPr>
            </w:pPr>
            <w:r>
              <w:rPr>
                <w:spacing w:val="-5"/>
              </w:rPr>
              <w:t>SO</w:t>
            </w:r>
            <w:r>
              <w:rPr>
                <w:spacing w:val="-5"/>
                <w:position w:val="-2"/>
                <w:sz w:val="14"/>
                <w:szCs w:val="14"/>
              </w:rPr>
              <w:t>2</w:t>
            </w:r>
          </w:p>
        </w:tc>
        <w:tc>
          <w:tcPr>
            <w:tcW w:w="1336" w:type="dxa"/>
            <w:vAlign w:val="top"/>
          </w:tcPr>
          <w:p w14:paraId="11670602">
            <w:pPr>
              <w:spacing w:before="63" w:line="220" w:lineRule="auto"/>
              <w:ind w:left="253"/>
              <w:rPr>
                <w:rFonts w:ascii="宋体" w:hAnsi="宋体" w:eastAsia="宋体" w:cs="宋体"/>
                <w:sz w:val="21"/>
                <w:szCs w:val="21"/>
              </w:rPr>
            </w:pPr>
            <w:r>
              <w:rPr>
                <w:rFonts w:ascii="宋体" w:hAnsi="宋体" w:eastAsia="宋体" w:cs="宋体"/>
                <w:spacing w:val="-2"/>
                <w:sz w:val="21"/>
                <w:szCs w:val="21"/>
              </w:rPr>
              <w:t>年均浓度</w:t>
            </w:r>
          </w:p>
        </w:tc>
        <w:tc>
          <w:tcPr>
            <w:tcW w:w="1336" w:type="dxa"/>
            <w:vAlign w:val="top"/>
          </w:tcPr>
          <w:p w14:paraId="17DF2C8A">
            <w:pPr>
              <w:pStyle w:val="6"/>
              <w:spacing w:before="48" w:line="144" w:lineRule="auto"/>
              <w:ind w:left="419" w:right="408" w:firstLine="438"/>
            </w:pPr>
            <w:r>
              <w:rPr>
                <w:spacing w:val="-6"/>
                <w:sz w:val="14"/>
                <w:szCs w:val="14"/>
              </w:rPr>
              <w:t>3</w:t>
            </w:r>
            <w:r>
              <w:rPr>
                <w:sz w:val="14"/>
                <w:szCs w:val="14"/>
              </w:rPr>
              <w:t xml:space="preserve"> </w:t>
            </w:r>
            <w:r>
              <w:rPr>
                <w:spacing w:val="-4"/>
              </w:rPr>
              <w:t>µg/m</w:t>
            </w:r>
          </w:p>
        </w:tc>
        <w:tc>
          <w:tcPr>
            <w:tcW w:w="1337" w:type="dxa"/>
            <w:vAlign w:val="top"/>
          </w:tcPr>
          <w:p w14:paraId="211EA770">
            <w:pPr>
              <w:pStyle w:val="6"/>
              <w:spacing w:before="100" w:line="188" w:lineRule="auto"/>
              <w:ind w:left="626"/>
            </w:pPr>
            <w:r>
              <w:t>8</w:t>
            </w:r>
          </w:p>
        </w:tc>
        <w:tc>
          <w:tcPr>
            <w:tcW w:w="1336" w:type="dxa"/>
            <w:vAlign w:val="top"/>
          </w:tcPr>
          <w:p w14:paraId="0D6C2177">
            <w:pPr>
              <w:pStyle w:val="6"/>
              <w:spacing w:before="100" w:line="188" w:lineRule="auto"/>
              <w:ind w:left="570"/>
            </w:pPr>
            <w:r>
              <w:rPr>
                <w:spacing w:val="-5"/>
              </w:rPr>
              <w:t>60</w:t>
            </w:r>
          </w:p>
        </w:tc>
        <w:tc>
          <w:tcPr>
            <w:tcW w:w="1340" w:type="dxa"/>
            <w:vAlign w:val="top"/>
          </w:tcPr>
          <w:p w14:paraId="1B63DDE4">
            <w:pPr>
              <w:spacing w:before="64" w:line="220" w:lineRule="auto"/>
              <w:ind w:left="464"/>
              <w:rPr>
                <w:rFonts w:ascii="宋体" w:hAnsi="宋体" w:eastAsia="宋体" w:cs="宋体"/>
                <w:sz w:val="21"/>
                <w:szCs w:val="21"/>
              </w:rPr>
            </w:pPr>
            <w:r>
              <w:rPr>
                <w:rFonts w:ascii="宋体" w:hAnsi="宋体" w:eastAsia="宋体" w:cs="宋体"/>
                <w:spacing w:val="-2"/>
                <w:sz w:val="21"/>
                <w:szCs w:val="21"/>
              </w:rPr>
              <w:t>达标</w:t>
            </w:r>
          </w:p>
        </w:tc>
      </w:tr>
      <w:tr w14:paraId="774EC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41" w:type="dxa"/>
            <w:vAlign w:val="top"/>
          </w:tcPr>
          <w:p w14:paraId="3E37D317">
            <w:pPr>
              <w:pStyle w:val="6"/>
              <w:spacing w:before="103" w:line="198" w:lineRule="auto"/>
              <w:ind w:left="478"/>
              <w:rPr>
                <w:sz w:val="14"/>
                <w:szCs w:val="14"/>
              </w:rPr>
            </w:pPr>
            <w:r>
              <w:t>NO</w:t>
            </w:r>
            <w:r>
              <w:rPr>
                <w:spacing w:val="1"/>
                <w:position w:val="-2"/>
                <w:sz w:val="14"/>
                <w:szCs w:val="14"/>
              </w:rPr>
              <w:t>2</w:t>
            </w:r>
          </w:p>
        </w:tc>
        <w:tc>
          <w:tcPr>
            <w:tcW w:w="1336" w:type="dxa"/>
            <w:vAlign w:val="top"/>
          </w:tcPr>
          <w:p w14:paraId="2738C79A">
            <w:pPr>
              <w:spacing w:before="66" w:line="220" w:lineRule="auto"/>
              <w:ind w:left="253"/>
              <w:rPr>
                <w:rFonts w:ascii="宋体" w:hAnsi="宋体" w:eastAsia="宋体" w:cs="宋体"/>
                <w:sz w:val="21"/>
                <w:szCs w:val="21"/>
              </w:rPr>
            </w:pPr>
            <w:r>
              <w:rPr>
                <w:rFonts w:ascii="宋体" w:hAnsi="宋体" w:eastAsia="宋体" w:cs="宋体"/>
                <w:spacing w:val="-2"/>
                <w:sz w:val="21"/>
                <w:szCs w:val="21"/>
              </w:rPr>
              <w:t>年均浓度</w:t>
            </w:r>
          </w:p>
        </w:tc>
        <w:tc>
          <w:tcPr>
            <w:tcW w:w="1336" w:type="dxa"/>
            <w:vAlign w:val="top"/>
          </w:tcPr>
          <w:p w14:paraId="090913AA">
            <w:pPr>
              <w:pStyle w:val="6"/>
              <w:spacing w:before="50" w:line="144" w:lineRule="auto"/>
              <w:ind w:left="419" w:right="408" w:firstLine="438"/>
            </w:pPr>
            <w:r>
              <w:rPr>
                <w:spacing w:val="-6"/>
                <w:sz w:val="14"/>
                <w:szCs w:val="14"/>
              </w:rPr>
              <w:t>3</w:t>
            </w:r>
            <w:r>
              <w:rPr>
                <w:sz w:val="14"/>
                <w:szCs w:val="14"/>
              </w:rPr>
              <w:t xml:space="preserve"> </w:t>
            </w:r>
            <w:r>
              <w:rPr>
                <w:spacing w:val="-4"/>
              </w:rPr>
              <w:t>µg/m</w:t>
            </w:r>
          </w:p>
        </w:tc>
        <w:tc>
          <w:tcPr>
            <w:tcW w:w="1337" w:type="dxa"/>
            <w:vAlign w:val="top"/>
          </w:tcPr>
          <w:p w14:paraId="1E832ECD">
            <w:pPr>
              <w:pStyle w:val="6"/>
              <w:spacing w:before="103" w:line="188" w:lineRule="auto"/>
              <w:ind w:left="565"/>
            </w:pPr>
            <w:r>
              <w:rPr>
                <w:spacing w:val="-2"/>
              </w:rPr>
              <w:t>22</w:t>
            </w:r>
          </w:p>
        </w:tc>
        <w:tc>
          <w:tcPr>
            <w:tcW w:w="1336" w:type="dxa"/>
            <w:vAlign w:val="top"/>
          </w:tcPr>
          <w:p w14:paraId="453C885F">
            <w:pPr>
              <w:pStyle w:val="6"/>
              <w:spacing w:before="103" w:line="188" w:lineRule="auto"/>
              <w:ind w:left="564"/>
            </w:pPr>
            <w:r>
              <w:rPr>
                <w:spacing w:val="-2"/>
              </w:rPr>
              <w:t>40</w:t>
            </w:r>
          </w:p>
        </w:tc>
        <w:tc>
          <w:tcPr>
            <w:tcW w:w="1340" w:type="dxa"/>
            <w:vAlign w:val="top"/>
          </w:tcPr>
          <w:p w14:paraId="156D8D09">
            <w:pPr>
              <w:spacing w:before="66" w:line="220" w:lineRule="auto"/>
              <w:ind w:left="464"/>
              <w:rPr>
                <w:rFonts w:ascii="宋体" w:hAnsi="宋体" w:eastAsia="宋体" w:cs="宋体"/>
                <w:sz w:val="21"/>
                <w:szCs w:val="21"/>
              </w:rPr>
            </w:pPr>
            <w:r>
              <w:rPr>
                <w:rFonts w:ascii="宋体" w:hAnsi="宋体" w:eastAsia="宋体" w:cs="宋体"/>
                <w:spacing w:val="-2"/>
                <w:sz w:val="21"/>
                <w:szCs w:val="21"/>
              </w:rPr>
              <w:t>达标</w:t>
            </w:r>
          </w:p>
        </w:tc>
      </w:tr>
      <w:tr w14:paraId="3F617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41" w:type="dxa"/>
            <w:vAlign w:val="top"/>
          </w:tcPr>
          <w:p w14:paraId="0FE18EC7">
            <w:pPr>
              <w:pStyle w:val="6"/>
              <w:spacing w:before="105" w:line="195" w:lineRule="auto"/>
              <w:ind w:left="449"/>
              <w:rPr>
                <w:sz w:val="14"/>
                <w:szCs w:val="14"/>
              </w:rPr>
            </w:pPr>
            <w:r>
              <w:t>PM</w:t>
            </w:r>
            <w:r>
              <w:rPr>
                <w:spacing w:val="2"/>
                <w:position w:val="-2"/>
                <w:sz w:val="14"/>
                <w:szCs w:val="14"/>
              </w:rPr>
              <w:t>10</w:t>
            </w:r>
          </w:p>
        </w:tc>
        <w:tc>
          <w:tcPr>
            <w:tcW w:w="1336" w:type="dxa"/>
            <w:vAlign w:val="top"/>
          </w:tcPr>
          <w:p w14:paraId="15FC631C">
            <w:pPr>
              <w:spacing w:before="65" w:line="220" w:lineRule="auto"/>
              <w:ind w:left="253"/>
              <w:rPr>
                <w:rFonts w:ascii="宋体" w:hAnsi="宋体" w:eastAsia="宋体" w:cs="宋体"/>
                <w:sz w:val="21"/>
                <w:szCs w:val="21"/>
              </w:rPr>
            </w:pPr>
            <w:r>
              <w:rPr>
                <w:rFonts w:ascii="宋体" w:hAnsi="宋体" w:eastAsia="宋体" w:cs="宋体"/>
                <w:spacing w:val="-2"/>
                <w:sz w:val="21"/>
                <w:szCs w:val="21"/>
              </w:rPr>
              <w:t>年均浓度</w:t>
            </w:r>
          </w:p>
        </w:tc>
        <w:tc>
          <w:tcPr>
            <w:tcW w:w="1336" w:type="dxa"/>
            <w:vAlign w:val="top"/>
          </w:tcPr>
          <w:p w14:paraId="4FC4D9EE">
            <w:pPr>
              <w:pStyle w:val="6"/>
              <w:spacing w:before="49" w:line="144" w:lineRule="auto"/>
              <w:ind w:left="419" w:right="408" w:firstLine="438"/>
            </w:pPr>
            <w:r>
              <w:rPr>
                <w:spacing w:val="-6"/>
                <w:sz w:val="14"/>
                <w:szCs w:val="14"/>
              </w:rPr>
              <w:t>3</w:t>
            </w:r>
            <w:r>
              <w:rPr>
                <w:sz w:val="14"/>
                <w:szCs w:val="14"/>
              </w:rPr>
              <w:t xml:space="preserve"> </w:t>
            </w:r>
            <w:r>
              <w:rPr>
                <w:spacing w:val="-4"/>
              </w:rPr>
              <w:t>µg/m</w:t>
            </w:r>
          </w:p>
        </w:tc>
        <w:tc>
          <w:tcPr>
            <w:tcW w:w="1337" w:type="dxa"/>
            <w:vAlign w:val="top"/>
          </w:tcPr>
          <w:p w14:paraId="0C93DF3E">
            <w:pPr>
              <w:pStyle w:val="6"/>
              <w:spacing w:before="102" w:line="188" w:lineRule="auto"/>
              <w:ind w:left="564"/>
            </w:pPr>
            <w:r>
              <w:rPr>
                <w:spacing w:val="-2"/>
              </w:rPr>
              <w:t>47</w:t>
            </w:r>
          </w:p>
        </w:tc>
        <w:tc>
          <w:tcPr>
            <w:tcW w:w="1336" w:type="dxa"/>
            <w:vAlign w:val="top"/>
          </w:tcPr>
          <w:p w14:paraId="428F6F96">
            <w:pPr>
              <w:pStyle w:val="6"/>
              <w:spacing w:before="102" w:line="188" w:lineRule="auto"/>
              <w:ind w:left="568"/>
            </w:pPr>
            <w:r>
              <w:rPr>
                <w:spacing w:val="-4"/>
              </w:rPr>
              <w:t>70</w:t>
            </w:r>
          </w:p>
        </w:tc>
        <w:tc>
          <w:tcPr>
            <w:tcW w:w="1340" w:type="dxa"/>
            <w:vAlign w:val="top"/>
          </w:tcPr>
          <w:p w14:paraId="225240B4">
            <w:pPr>
              <w:spacing w:before="66" w:line="220" w:lineRule="auto"/>
              <w:ind w:left="464"/>
              <w:rPr>
                <w:rFonts w:ascii="宋体" w:hAnsi="宋体" w:eastAsia="宋体" w:cs="宋体"/>
                <w:sz w:val="21"/>
                <w:szCs w:val="21"/>
              </w:rPr>
            </w:pPr>
            <w:r>
              <w:rPr>
                <w:rFonts w:ascii="宋体" w:hAnsi="宋体" w:eastAsia="宋体" w:cs="宋体"/>
                <w:spacing w:val="-2"/>
                <w:sz w:val="21"/>
                <w:szCs w:val="21"/>
              </w:rPr>
              <w:t>达标</w:t>
            </w:r>
          </w:p>
        </w:tc>
      </w:tr>
      <w:tr w14:paraId="18F45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41" w:type="dxa"/>
            <w:vAlign w:val="top"/>
          </w:tcPr>
          <w:p w14:paraId="69322E63">
            <w:pPr>
              <w:pStyle w:val="6"/>
              <w:spacing w:before="105" w:line="195" w:lineRule="auto"/>
              <w:ind w:left="431"/>
              <w:rPr>
                <w:sz w:val="14"/>
                <w:szCs w:val="14"/>
              </w:rPr>
            </w:pPr>
            <w:r>
              <w:rPr>
                <w:spacing w:val="-1"/>
                <w:position w:val="1"/>
              </w:rPr>
              <w:t>PM</w:t>
            </w:r>
            <w:r>
              <w:rPr>
                <w:spacing w:val="-1"/>
                <w:position w:val="-1"/>
                <w:sz w:val="14"/>
                <w:szCs w:val="14"/>
              </w:rPr>
              <w:t>2.5</w:t>
            </w:r>
          </w:p>
        </w:tc>
        <w:tc>
          <w:tcPr>
            <w:tcW w:w="1336" w:type="dxa"/>
            <w:vAlign w:val="top"/>
          </w:tcPr>
          <w:p w14:paraId="20B6D6BB">
            <w:pPr>
              <w:spacing w:before="65" w:line="220" w:lineRule="auto"/>
              <w:ind w:left="253"/>
              <w:rPr>
                <w:rFonts w:ascii="宋体" w:hAnsi="宋体" w:eastAsia="宋体" w:cs="宋体"/>
                <w:sz w:val="21"/>
                <w:szCs w:val="21"/>
              </w:rPr>
            </w:pPr>
            <w:r>
              <w:rPr>
                <w:rFonts w:ascii="宋体" w:hAnsi="宋体" w:eastAsia="宋体" w:cs="宋体"/>
                <w:spacing w:val="-2"/>
                <w:sz w:val="21"/>
                <w:szCs w:val="21"/>
              </w:rPr>
              <w:t>年均浓度</w:t>
            </w:r>
          </w:p>
        </w:tc>
        <w:tc>
          <w:tcPr>
            <w:tcW w:w="1336" w:type="dxa"/>
            <w:vAlign w:val="top"/>
          </w:tcPr>
          <w:p w14:paraId="1F2E5648">
            <w:pPr>
              <w:pStyle w:val="6"/>
              <w:spacing w:before="50" w:line="144" w:lineRule="auto"/>
              <w:ind w:left="419" w:right="408" w:firstLine="438"/>
            </w:pPr>
            <w:r>
              <w:rPr>
                <w:spacing w:val="-6"/>
                <w:sz w:val="14"/>
                <w:szCs w:val="14"/>
              </w:rPr>
              <w:t>3</w:t>
            </w:r>
            <w:r>
              <w:rPr>
                <w:sz w:val="14"/>
                <w:szCs w:val="14"/>
              </w:rPr>
              <w:t xml:space="preserve"> </w:t>
            </w:r>
            <w:r>
              <w:rPr>
                <w:spacing w:val="-4"/>
              </w:rPr>
              <w:t>µg/m</w:t>
            </w:r>
          </w:p>
        </w:tc>
        <w:tc>
          <w:tcPr>
            <w:tcW w:w="1337" w:type="dxa"/>
            <w:vAlign w:val="top"/>
          </w:tcPr>
          <w:p w14:paraId="1E308887">
            <w:pPr>
              <w:pStyle w:val="6"/>
              <w:spacing w:before="102" w:line="188" w:lineRule="auto"/>
              <w:ind w:left="569"/>
            </w:pPr>
            <w:r>
              <w:rPr>
                <w:spacing w:val="-5"/>
              </w:rPr>
              <w:t>33</w:t>
            </w:r>
          </w:p>
        </w:tc>
        <w:tc>
          <w:tcPr>
            <w:tcW w:w="1336" w:type="dxa"/>
            <w:vAlign w:val="top"/>
          </w:tcPr>
          <w:p w14:paraId="70BAE3BA">
            <w:pPr>
              <w:pStyle w:val="6"/>
              <w:spacing w:before="102" w:line="188" w:lineRule="auto"/>
              <w:ind w:left="569"/>
            </w:pPr>
            <w:r>
              <w:rPr>
                <w:spacing w:val="-5"/>
              </w:rPr>
              <w:t>35</w:t>
            </w:r>
          </w:p>
        </w:tc>
        <w:tc>
          <w:tcPr>
            <w:tcW w:w="1340" w:type="dxa"/>
            <w:vAlign w:val="top"/>
          </w:tcPr>
          <w:p w14:paraId="4C80D79D">
            <w:pPr>
              <w:spacing w:before="66" w:line="220" w:lineRule="auto"/>
              <w:ind w:left="464"/>
              <w:rPr>
                <w:rFonts w:ascii="宋体" w:hAnsi="宋体" w:eastAsia="宋体" w:cs="宋体"/>
                <w:sz w:val="21"/>
                <w:szCs w:val="21"/>
              </w:rPr>
            </w:pPr>
            <w:r>
              <w:rPr>
                <w:rFonts w:ascii="宋体" w:hAnsi="宋体" w:eastAsia="宋体" w:cs="宋体"/>
                <w:spacing w:val="-2"/>
                <w:sz w:val="21"/>
                <w:szCs w:val="21"/>
              </w:rPr>
              <w:t>达标</w:t>
            </w:r>
          </w:p>
        </w:tc>
      </w:tr>
      <w:tr w14:paraId="79C37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41" w:type="dxa"/>
            <w:vAlign w:val="top"/>
          </w:tcPr>
          <w:p w14:paraId="6DA66F65">
            <w:pPr>
              <w:pStyle w:val="6"/>
              <w:spacing w:before="104" w:line="188" w:lineRule="auto"/>
              <w:ind w:left="529"/>
            </w:pPr>
            <w:r>
              <w:rPr>
                <w:spacing w:val="-2"/>
              </w:rPr>
              <w:t>CO</w:t>
            </w:r>
          </w:p>
        </w:tc>
        <w:tc>
          <w:tcPr>
            <w:tcW w:w="1336" w:type="dxa"/>
            <w:vAlign w:val="top"/>
          </w:tcPr>
          <w:p w14:paraId="123BB0BA">
            <w:pPr>
              <w:spacing w:before="67" w:line="220" w:lineRule="auto"/>
              <w:ind w:left="182"/>
              <w:rPr>
                <w:rFonts w:ascii="宋体" w:hAnsi="宋体" w:eastAsia="宋体" w:cs="宋体"/>
                <w:sz w:val="21"/>
                <w:szCs w:val="21"/>
              </w:rPr>
            </w:pPr>
            <w:r>
              <w:rPr>
                <w:rFonts w:ascii="宋体" w:hAnsi="宋体" w:eastAsia="宋体" w:cs="宋体"/>
                <w:spacing w:val="-8"/>
                <w:sz w:val="21"/>
                <w:szCs w:val="21"/>
              </w:rPr>
              <w:t>日均值浓度</w:t>
            </w:r>
          </w:p>
        </w:tc>
        <w:tc>
          <w:tcPr>
            <w:tcW w:w="1336" w:type="dxa"/>
            <w:vAlign w:val="top"/>
          </w:tcPr>
          <w:p w14:paraId="06CA9852">
            <w:pPr>
              <w:pStyle w:val="6"/>
              <w:spacing w:before="52" w:line="215" w:lineRule="auto"/>
              <w:ind w:left="385"/>
              <w:rPr>
                <w:sz w:val="14"/>
                <w:szCs w:val="14"/>
              </w:rPr>
            </w:pPr>
            <w:r>
              <w:rPr>
                <w:spacing w:val="-1"/>
              </w:rPr>
              <w:t>mg/m</w:t>
            </w:r>
            <w:r>
              <w:rPr>
                <w:spacing w:val="-1"/>
                <w:position w:val="9"/>
                <w:sz w:val="14"/>
                <w:szCs w:val="14"/>
              </w:rPr>
              <w:t>3</w:t>
            </w:r>
          </w:p>
        </w:tc>
        <w:tc>
          <w:tcPr>
            <w:tcW w:w="1337" w:type="dxa"/>
            <w:vAlign w:val="top"/>
          </w:tcPr>
          <w:p w14:paraId="3721CE35">
            <w:pPr>
              <w:pStyle w:val="6"/>
              <w:spacing w:before="104" w:line="188" w:lineRule="auto"/>
              <w:ind w:left="559"/>
            </w:pPr>
            <w:r>
              <w:rPr>
                <w:spacing w:val="-8"/>
              </w:rPr>
              <w:t>1.1</w:t>
            </w:r>
          </w:p>
        </w:tc>
        <w:tc>
          <w:tcPr>
            <w:tcW w:w="1336" w:type="dxa"/>
            <w:vAlign w:val="top"/>
          </w:tcPr>
          <w:p w14:paraId="393D64D9">
            <w:pPr>
              <w:pStyle w:val="6"/>
              <w:spacing w:before="104" w:line="188" w:lineRule="auto"/>
              <w:ind w:left="617"/>
            </w:pPr>
            <w:r>
              <w:t>4</w:t>
            </w:r>
          </w:p>
        </w:tc>
        <w:tc>
          <w:tcPr>
            <w:tcW w:w="1340" w:type="dxa"/>
            <w:vAlign w:val="top"/>
          </w:tcPr>
          <w:p w14:paraId="1C86B76E">
            <w:pPr>
              <w:spacing w:before="67" w:line="220" w:lineRule="auto"/>
              <w:ind w:left="464"/>
              <w:rPr>
                <w:rFonts w:ascii="宋体" w:hAnsi="宋体" w:eastAsia="宋体" w:cs="宋体"/>
                <w:sz w:val="21"/>
                <w:szCs w:val="21"/>
              </w:rPr>
            </w:pPr>
            <w:r>
              <w:rPr>
                <w:rFonts w:ascii="宋体" w:hAnsi="宋体" w:eastAsia="宋体" w:cs="宋体"/>
                <w:spacing w:val="-2"/>
                <w:sz w:val="21"/>
                <w:szCs w:val="21"/>
              </w:rPr>
              <w:t>达标</w:t>
            </w:r>
          </w:p>
        </w:tc>
      </w:tr>
      <w:tr w14:paraId="558C4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41" w:type="dxa"/>
            <w:vAlign w:val="top"/>
          </w:tcPr>
          <w:p w14:paraId="201E8E82">
            <w:pPr>
              <w:pStyle w:val="6"/>
              <w:spacing w:before="103" w:line="198" w:lineRule="auto"/>
              <w:ind w:left="563"/>
              <w:rPr>
                <w:sz w:val="14"/>
                <w:szCs w:val="14"/>
              </w:rPr>
            </w:pPr>
            <w:r>
              <w:rPr>
                <w:spacing w:val="-4"/>
              </w:rPr>
              <w:t>O</w:t>
            </w:r>
            <w:r>
              <w:rPr>
                <w:spacing w:val="-4"/>
                <w:position w:val="-2"/>
                <w:sz w:val="14"/>
                <w:szCs w:val="14"/>
              </w:rPr>
              <w:t>3</w:t>
            </w:r>
          </w:p>
        </w:tc>
        <w:tc>
          <w:tcPr>
            <w:tcW w:w="1336" w:type="dxa"/>
            <w:vAlign w:val="top"/>
          </w:tcPr>
          <w:p w14:paraId="3672205B">
            <w:pPr>
              <w:pStyle w:val="6"/>
              <w:spacing w:before="67" w:line="220" w:lineRule="auto"/>
              <w:ind w:left="334"/>
              <w:rPr>
                <w:rFonts w:ascii="宋体" w:hAnsi="宋体" w:eastAsia="宋体" w:cs="宋体"/>
              </w:rPr>
            </w:pPr>
            <w:r>
              <w:rPr>
                <w:spacing w:val="-5"/>
              </w:rPr>
              <w:t>8h</w:t>
            </w:r>
            <w:r>
              <w:rPr>
                <w:spacing w:val="11"/>
              </w:rPr>
              <w:t xml:space="preserve"> </w:t>
            </w:r>
            <w:r>
              <w:rPr>
                <w:rFonts w:ascii="宋体" w:hAnsi="宋体" w:eastAsia="宋体" w:cs="宋体"/>
                <w:spacing w:val="-5"/>
              </w:rPr>
              <w:t>浓度</w:t>
            </w:r>
          </w:p>
        </w:tc>
        <w:tc>
          <w:tcPr>
            <w:tcW w:w="1336" w:type="dxa"/>
            <w:vAlign w:val="top"/>
          </w:tcPr>
          <w:p w14:paraId="3D590D64">
            <w:pPr>
              <w:pStyle w:val="6"/>
              <w:spacing w:before="50" w:line="144" w:lineRule="auto"/>
              <w:ind w:left="419" w:right="408" w:firstLine="438"/>
            </w:pPr>
            <w:r>
              <w:rPr>
                <w:spacing w:val="-6"/>
                <w:sz w:val="14"/>
                <w:szCs w:val="14"/>
              </w:rPr>
              <w:t>3</w:t>
            </w:r>
            <w:r>
              <w:rPr>
                <w:sz w:val="14"/>
                <w:szCs w:val="14"/>
              </w:rPr>
              <w:t xml:space="preserve"> </w:t>
            </w:r>
            <w:r>
              <w:rPr>
                <w:spacing w:val="-4"/>
              </w:rPr>
              <w:t>µg/m</w:t>
            </w:r>
          </w:p>
        </w:tc>
        <w:tc>
          <w:tcPr>
            <w:tcW w:w="1337" w:type="dxa"/>
            <w:vAlign w:val="top"/>
          </w:tcPr>
          <w:p w14:paraId="5ACAA995">
            <w:pPr>
              <w:pStyle w:val="6"/>
              <w:spacing w:before="103" w:line="188" w:lineRule="auto"/>
              <w:ind w:left="534"/>
            </w:pPr>
            <w:r>
              <w:rPr>
                <w:spacing w:val="-9"/>
              </w:rPr>
              <w:t>159</w:t>
            </w:r>
          </w:p>
        </w:tc>
        <w:tc>
          <w:tcPr>
            <w:tcW w:w="1336" w:type="dxa"/>
            <w:vAlign w:val="top"/>
          </w:tcPr>
          <w:p w14:paraId="595F72EE">
            <w:pPr>
              <w:pStyle w:val="6"/>
              <w:spacing w:before="103" w:line="188" w:lineRule="auto"/>
              <w:ind w:left="533"/>
            </w:pPr>
            <w:r>
              <w:rPr>
                <w:spacing w:val="-9"/>
              </w:rPr>
              <w:t>160</w:t>
            </w:r>
          </w:p>
        </w:tc>
        <w:tc>
          <w:tcPr>
            <w:tcW w:w="1340" w:type="dxa"/>
            <w:vAlign w:val="top"/>
          </w:tcPr>
          <w:p w14:paraId="5FC117AA">
            <w:pPr>
              <w:spacing w:before="67" w:line="220" w:lineRule="auto"/>
              <w:ind w:left="464"/>
              <w:rPr>
                <w:rFonts w:ascii="宋体" w:hAnsi="宋体" w:eastAsia="宋体" w:cs="宋体"/>
                <w:sz w:val="21"/>
                <w:szCs w:val="21"/>
              </w:rPr>
            </w:pPr>
            <w:r>
              <w:rPr>
                <w:rFonts w:ascii="宋体" w:hAnsi="宋体" w:eastAsia="宋体" w:cs="宋体"/>
                <w:spacing w:val="-2"/>
                <w:sz w:val="21"/>
                <w:szCs w:val="21"/>
              </w:rPr>
              <w:t>达标</w:t>
            </w:r>
          </w:p>
        </w:tc>
      </w:tr>
    </w:tbl>
    <w:p w14:paraId="1E8120FF">
      <w:pPr>
        <w:spacing w:before="113" w:line="220" w:lineRule="auto"/>
        <w:ind w:left="519"/>
        <w:rPr>
          <w:rFonts w:ascii="宋体" w:hAnsi="宋体" w:eastAsia="宋体" w:cs="宋体"/>
          <w:sz w:val="24"/>
          <w:szCs w:val="24"/>
        </w:rPr>
      </w:pPr>
      <w:r>
        <w:rPr>
          <w:rFonts w:ascii="宋体" w:hAnsi="宋体" w:eastAsia="宋体" w:cs="宋体"/>
          <w:spacing w:val="-3"/>
          <w:sz w:val="24"/>
          <w:szCs w:val="24"/>
        </w:rPr>
        <w:t>根据上表可知，项目所在东兴区为达标区。</w:t>
      </w:r>
    </w:p>
    <w:p w14:paraId="4EA24BAE">
      <w:pPr>
        <w:spacing w:before="240" w:line="226" w:lineRule="auto"/>
        <w:ind w:left="34"/>
        <w:rPr>
          <w:rFonts w:ascii="宋体" w:hAnsi="宋体" w:eastAsia="宋体" w:cs="宋体"/>
          <w:sz w:val="27"/>
          <w:szCs w:val="27"/>
        </w:rPr>
      </w:pPr>
      <w:r>
        <w:rPr>
          <w:rFonts w:ascii="Times New Roman" w:hAnsi="Times New Roman" w:eastAsia="Times New Roman" w:cs="Times New Roman"/>
          <w:b/>
          <w:bCs/>
          <w:spacing w:val="6"/>
          <w:sz w:val="27"/>
          <w:szCs w:val="27"/>
        </w:rPr>
        <w:t xml:space="preserve">3.3.1.2 </w:t>
      </w:r>
      <w:r>
        <w:rPr>
          <w:rFonts w:ascii="宋体" w:hAnsi="宋体" w:eastAsia="宋体" w:cs="宋体"/>
          <w:b/>
          <w:bCs/>
          <w:spacing w:val="6"/>
          <w:sz w:val="27"/>
          <w:szCs w:val="27"/>
        </w:rPr>
        <w:t>其他污染物现状补充监测</w:t>
      </w:r>
    </w:p>
    <w:p w14:paraId="2E7727BB">
      <w:pPr>
        <w:spacing w:before="237"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）监测因子</w:t>
      </w:r>
    </w:p>
    <w:p w14:paraId="299721F3">
      <w:pPr>
        <w:spacing w:before="181" w:line="220" w:lineRule="auto"/>
        <w:ind w:left="518"/>
        <w:rPr>
          <w:rFonts w:ascii="宋体" w:hAnsi="宋体" w:eastAsia="宋体" w:cs="宋体"/>
          <w:sz w:val="24"/>
          <w:szCs w:val="24"/>
        </w:rPr>
      </w:pPr>
      <w:r>
        <w:rPr>
          <w:rFonts w:ascii="宋体" w:hAnsi="宋体" w:eastAsia="宋体" w:cs="宋体"/>
          <w:spacing w:val="-4"/>
          <w:sz w:val="24"/>
          <w:szCs w:val="24"/>
        </w:rPr>
        <w:t>硫化氢、氨、臭气浓度。</w:t>
      </w:r>
    </w:p>
    <w:p w14:paraId="061A95A3">
      <w:pPr>
        <w:spacing w:before="182" w:line="219"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）监测布点</w:t>
      </w:r>
    </w:p>
    <w:p w14:paraId="7D3BAB2F">
      <w:pPr>
        <w:spacing w:line="219" w:lineRule="auto"/>
        <w:rPr>
          <w:rFonts w:ascii="宋体" w:hAnsi="宋体" w:eastAsia="宋体" w:cs="宋体"/>
          <w:sz w:val="24"/>
          <w:szCs w:val="24"/>
        </w:rPr>
        <w:sectPr>
          <w:headerReference r:id="rId257" w:type="default"/>
          <w:footerReference r:id="rId258" w:type="default"/>
          <w:pgSz w:w="11905" w:h="16840"/>
          <w:pgMar w:top="1168" w:right="1768" w:bottom="1409" w:left="1770" w:header="828" w:footer="1244" w:gutter="0"/>
          <w:cols w:space="720" w:num="1"/>
        </w:sectPr>
      </w:pPr>
    </w:p>
    <w:p w14:paraId="63C6EB04">
      <w:pPr>
        <w:pStyle w:val="2"/>
        <w:spacing w:line="306" w:lineRule="auto"/>
      </w:pPr>
    </w:p>
    <w:p w14:paraId="3078318B">
      <w:pPr>
        <w:spacing w:before="78" w:line="218" w:lineRule="auto"/>
        <w:ind w:left="520"/>
        <w:rPr>
          <w:rFonts w:ascii="宋体" w:hAnsi="宋体" w:eastAsia="宋体" w:cs="宋体"/>
          <w:sz w:val="24"/>
          <w:szCs w:val="24"/>
        </w:rPr>
      </w:pPr>
      <w:r>
        <w:rPr>
          <w:rFonts w:ascii="宋体" w:hAnsi="宋体" w:eastAsia="宋体" w:cs="宋体"/>
          <w:spacing w:val="-2"/>
          <w:sz w:val="24"/>
          <w:szCs w:val="24"/>
        </w:rPr>
        <w:t>本次评价共设</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个环境空气监测点，具体见</w:t>
      </w:r>
      <w:r>
        <w:rPr>
          <w:rFonts w:ascii="宋体" w:hAnsi="宋体" w:eastAsia="宋体" w:cs="宋体"/>
          <w:spacing w:val="-3"/>
          <w:sz w:val="24"/>
          <w:szCs w:val="24"/>
        </w:rPr>
        <w:t>下表。</w:t>
      </w:r>
    </w:p>
    <w:p w14:paraId="5144544B">
      <w:pPr>
        <w:spacing w:before="197" w:line="222" w:lineRule="auto"/>
        <w:ind w:left="224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3.3-2  </w:t>
      </w:r>
      <w:r>
        <w:rPr>
          <w:rFonts w:ascii="黑体" w:hAnsi="黑体" w:eastAsia="黑体" w:cs="黑体"/>
          <w:spacing w:val="-1"/>
          <w:sz w:val="21"/>
          <w:szCs w:val="21"/>
        </w:rPr>
        <w:t>环境空气补充监测点位及监测因子</w:t>
      </w:r>
    </w:p>
    <w:p w14:paraId="05E7D12C">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3023"/>
        <w:gridCol w:w="2123"/>
        <w:gridCol w:w="2507"/>
      </w:tblGrid>
      <w:tr w14:paraId="19937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67" w:type="dxa"/>
            <w:vAlign w:val="top"/>
          </w:tcPr>
          <w:p w14:paraId="7384BF37">
            <w:pPr>
              <w:spacing w:before="68" w:line="221" w:lineRule="auto"/>
              <w:ind w:left="127"/>
              <w:rPr>
                <w:rFonts w:ascii="宋体" w:hAnsi="宋体" w:eastAsia="宋体" w:cs="宋体"/>
                <w:sz w:val="21"/>
                <w:szCs w:val="21"/>
              </w:rPr>
            </w:pPr>
            <w:r>
              <w:rPr>
                <w:rFonts w:ascii="宋体" w:hAnsi="宋体" w:eastAsia="宋体" w:cs="宋体"/>
                <w:spacing w:val="-2"/>
                <w:sz w:val="21"/>
                <w:szCs w:val="21"/>
              </w:rPr>
              <w:t>序号</w:t>
            </w:r>
          </w:p>
        </w:tc>
        <w:tc>
          <w:tcPr>
            <w:tcW w:w="3023" w:type="dxa"/>
            <w:vAlign w:val="top"/>
          </w:tcPr>
          <w:p w14:paraId="0F141E8F">
            <w:pPr>
              <w:spacing w:before="68" w:line="221" w:lineRule="auto"/>
              <w:ind w:left="1096"/>
              <w:rPr>
                <w:rFonts w:ascii="宋体" w:hAnsi="宋体" w:eastAsia="宋体" w:cs="宋体"/>
                <w:sz w:val="21"/>
                <w:szCs w:val="21"/>
              </w:rPr>
            </w:pPr>
            <w:r>
              <w:rPr>
                <w:rFonts w:ascii="宋体" w:hAnsi="宋体" w:eastAsia="宋体" w:cs="宋体"/>
                <w:spacing w:val="-2"/>
                <w:sz w:val="21"/>
                <w:szCs w:val="21"/>
              </w:rPr>
              <w:t>监测点位</w:t>
            </w:r>
          </w:p>
        </w:tc>
        <w:tc>
          <w:tcPr>
            <w:tcW w:w="2123" w:type="dxa"/>
            <w:vAlign w:val="top"/>
          </w:tcPr>
          <w:p w14:paraId="60521B7F">
            <w:pPr>
              <w:spacing w:before="69" w:line="220" w:lineRule="auto"/>
              <w:ind w:left="648"/>
              <w:rPr>
                <w:rFonts w:ascii="宋体" w:hAnsi="宋体" w:eastAsia="宋体" w:cs="宋体"/>
                <w:sz w:val="21"/>
                <w:szCs w:val="21"/>
              </w:rPr>
            </w:pPr>
            <w:r>
              <w:rPr>
                <w:rFonts w:ascii="宋体" w:hAnsi="宋体" w:eastAsia="宋体" w:cs="宋体"/>
                <w:spacing w:val="-2"/>
                <w:sz w:val="21"/>
                <w:szCs w:val="21"/>
              </w:rPr>
              <w:t>监测因子</w:t>
            </w:r>
          </w:p>
        </w:tc>
        <w:tc>
          <w:tcPr>
            <w:tcW w:w="2507" w:type="dxa"/>
            <w:vAlign w:val="top"/>
          </w:tcPr>
          <w:p w14:paraId="69E85535">
            <w:pPr>
              <w:spacing w:before="68" w:line="221" w:lineRule="auto"/>
              <w:ind w:left="839"/>
              <w:rPr>
                <w:rFonts w:ascii="宋体" w:hAnsi="宋体" w:eastAsia="宋体" w:cs="宋体"/>
                <w:sz w:val="21"/>
                <w:szCs w:val="21"/>
              </w:rPr>
            </w:pPr>
            <w:r>
              <w:rPr>
                <w:rFonts w:ascii="宋体" w:hAnsi="宋体" w:eastAsia="宋体" w:cs="宋体"/>
                <w:spacing w:val="-2"/>
                <w:sz w:val="21"/>
                <w:szCs w:val="21"/>
              </w:rPr>
              <w:t>监测时间</w:t>
            </w:r>
          </w:p>
        </w:tc>
      </w:tr>
      <w:tr w14:paraId="254FB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67" w:type="dxa"/>
            <w:vAlign w:val="top"/>
          </w:tcPr>
          <w:p w14:paraId="6CEFC503">
            <w:pPr>
              <w:pStyle w:val="6"/>
              <w:spacing w:before="102" w:line="188" w:lineRule="auto"/>
              <w:ind w:left="249"/>
            </w:pPr>
            <w:r>
              <w:rPr>
                <w:spacing w:val="-6"/>
              </w:rPr>
              <w:t>1#</w:t>
            </w:r>
          </w:p>
        </w:tc>
        <w:tc>
          <w:tcPr>
            <w:tcW w:w="3023" w:type="dxa"/>
            <w:vAlign w:val="top"/>
          </w:tcPr>
          <w:p w14:paraId="73F032BE">
            <w:pPr>
              <w:spacing w:before="65" w:line="220" w:lineRule="auto"/>
              <w:ind w:left="888"/>
              <w:rPr>
                <w:rFonts w:ascii="宋体" w:hAnsi="宋体" w:eastAsia="宋体" w:cs="宋体"/>
                <w:sz w:val="21"/>
                <w:szCs w:val="21"/>
              </w:rPr>
            </w:pPr>
            <w:r>
              <w:rPr>
                <w:rFonts w:ascii="宋体" w:hAnsi="宋体" w:eastAsia="宋体" w:cs="宋体"/>
                <w:spacing w:val="-2"/>
                <w:sz w:val="21"/>
                <w:szCs w:val="21"/>
              </w:rPr>
              <w:t>项目所在地内</w:t>
            </w:r>
          </w:p>
        </w:tc>
        <w:tc>
          <w:tcPr>
            <w:tcW w:w="2123" w:type="dxa"/>
            <w:vMerge w:val="restart"/>
            <w:tcBorders>
              <w:bottom w:val="nil"/>
            </w:tcBorders>
            <w:vAlign w:val="top"/>
          </w:tcPr>
          <w:p w14:paraId="6E49529A">
            <w:pPr>
              <w:pStyle w:val="6"/>
              <w:spacing w:before="240" w:line="221" w:lineRule="auto"/>
              <w:ind w:left="70"/>
              <w:rPr>
                <w:rFonts w:ascii="宋体" w:hAnsi="宋体" w:eastAsia="宋体" w:cs="宋体"/>
              </w:rPr>
            </w:pPr>
            <w:r>
              <w:rPr>
                <w:spacing w:val="-3"/>
              </w:rPr>
              <w:t>NH</w:t>
            </w:r>
            <w:r>
              <w:rPr>
                <w:spacing w:val="-3"/>
                <w:position w:val="-2"/>
                <w:sz w:val="14"/>
                <w:szCs w:val="14"/>
              </w:rPr>
              <w:t>3</w:t>
            </w:r>
            <w:r>
              <w:rPr>
                <w:spacing w:val="-8"/>
                <w:position w:val="-2"/>
                <w:sz w:val="14"/>
                <w:szCs w:val="14"/>
              </w:rPr>
              <w:t xml:space="preserve"> </w:t>
            </w:r>
            <w:r>
              <w:rPr>
                <w:rFonts w:ascii="宋体" w:hAnsi="宋体" w:eastAsia="宋体" w:cs="宋体"/>
                <w:spacing w:val="-3"/>
              </w:rPr>
              <w:t>、</w:t>
            </w:r>
            <w:r>
              <w:rPr>
                <w:spacing w:val="-3"/>
              </w:rPr>
              <w:t>H</w:t>
            </w:r>
            <w:r>
              <w:rPr>
                <w:spacing w:val="-3"/>
                <w:position w:val="-2"/>
                <w:sz w:val="14"/>
                <w:szCs w:val="14"/>
              </w:rPr>
              <w:t>2</w:t>
            </w:r>
            <w:r>
              <w:rPr>
                <w:spacing w:val="-3"/>
              </w:rPr>
              <w:t>S</w:t>
            </w:r>
            <w:r>
              <w:rPr>
                <w:rFonts w:ascii="宋体" w:hAnsi="宋体" w:eastAsia="宋体" w:cs="宋体"/>
                <w:spacing w:val="-3"/>
              </w:rPr>
              <w:t>、臭气浓度</w:t>
            </w:r>
          </w:p>
        </w:tc>
        <w:tc>
          <w:tcPr>
            <w:tcW w:w="2507" w:type="dxa"/>
            <w:vMerge w:val="restart"/>
            <w:tcBorders>
              <w:bottom w:val="nil"/>
            </w:tcBorders>
            <w:vAlign w:val="top"/>
          </w:tcPr>
          <w:p w14:paraId="0B62486D">
            <w:pPr>
              <w:pStyle w:val="6"/>
              <w:spacing w:before="239" w:line="220" w:lineRule="auto"/>
              <w:ind w:left="98"/>
              <w:rPr>
                <w:rFonts w:ascii="宋体" w:hAnsi="宋体" w:eastAsia="宋体" w:cs="宋体"/>
              </w:rPr>
            </w:pPr>
            <w:r>
              <w:rPr>
                <w:spacing w:val="-6"/>
              </w:rPr>
              <w:t xml:space="preserve">2022 </w:t>
            </w:r>
            <w:r>
              <w:rPr>
                <w:rFonts w:ascii="宋体" w:hAnsi="宋体" w:eastAsia="宋体" w:cs="宋体"/>
                <w:spacing w:val="-6"/>
              </w:rPr>
              <w:t>年</w:t>
            </w:r>
            <w:r>
              <w:rPr>
                <w:rFonts w:ascii="宋体" w:hAnsi="宋体" w:eastAsia="宋体" w:cs="宋体"/>
                <w:spacing w:val="-28"/>
              </w:rPr>
              <w:t xml:space="preserve"> </w:t>
            </w:r>
            <w:r>
              <w:rPr>
                <w:spacing w:val="-6"/>
              </w:rPr>
              <w:t>12</w:t>
            </w:r>
            <w:r>
              <w:rPr>
                <w:spacing w:val="13"/>
              </w:rPr>
              <w:t xml:space="preserve"> </w:t>
            </w:r>
            <w:r>
              <w:rPr>
                <w:rFonts w:ascii="宋体" w:hAnsi="宋体" w:eastAsia="宋体" w:cs="宋体"/>
                <w:spacing w:val="-6"/>
              </w:rPr>
              <w:t>月</w:t>
            </w:r>
            <w:r>
              <w:rPr>
                <w:rFonts w:ascii="宋体" w:hAnsi="宋体" w:eastAsia="宋体" w:cs="宋体"/>
                <w:spacing w:val="-43"/>
              </w:rPr>
              <w:t xml:space="preserve"> </w:t>
            </w:r>
            <w:r>
              <w:rPr>
                <w:spacing w:val="-6"/>
              </w:rPr>
              <w:t xml:space="preserve">5  </w:t>
            </w:r>
            <w:r>
              <w:rPr>
                <w:rFonts w:ascii="宋体" w:hAnsi="宋体" w:eastAsia="宋体" w:cs="宋体"/>
                <w:spacing w:val="-6"/>
              </w:rPr>
              <w:t>日～</w:t>
            </w:r>
            <w:r>
              <w:rPr>
                <w:spacing w:val="-6"/>
              </w:rPr>
              <w:t xml:space="preserve">11  </w:t>
            </w:r>
            <w:r>
              <w:rPr>
                <w:rFonts w:ascii="宋体" w:hAnsi="宋体" w:eastAsia="宋体" w:cs="宋体"/>
                <w:spacing w:val="-6"/>
              </w:rPr>
              <w:t>日</w:t>
            </w:r>
          </w:p>
        </w:tc>
      </w:tr>
      <w:tr w14:paraId="1C842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67" w:type="dxa"/>
            <w:vAlign w:val="top"/>
          </w:tcPr>
          <w:p w14:paraId="25055A74">
            <w:pPr>
              <w:pStyle w:val="6"/>
              <w:spacing w:before="104" w:line="188" w:lineRule="auto"/>
              <w:ind w:left="229"/>
            </w:pPr>
            <w:r>
              <w:rPr>
                <w:spacing w:val="-1"/>
              </w:rPr>
              <w:t>2#</w:t>
            </w:r>
          </w:p>
        </w:tc>
        <w:tc>
          <w:tcPr>
            <w:tcW w:w="3023" w:type="dxa"/>
            <w:vAlign w:val="top"/>
          </w:tcPr>
          <w:p w14:paraId="1ABA77B7">
            <w:pPr>
              <w:pStyle w:val="6"/>
              <w:spacing w:before="67" w:line="220" w:lineRule="auto"/>
              <w:ind w:left="282"/>
              <w:rPr>
                <w:rFonts w:ascii="宋体" w:hAnsi="宋体" w:eastAsia="宋体" w:cs="宋体"/>
              </w:rPr>
            </w:pPr>
            <w:r>
              <w:rPr>
                <w:rFonts w:ascii="宋体" w:hAnsi="宋体" w:eastAsia="宋体" w:cs="宋体"/>
                <w:spacing w:val="-2"/>
              </w:rPr>
              <w:t>项目下风向约</w:t>
            </w:r>
            <w:r>
              <w:rPr>
                <w:rFonts w:ascii="宋体" w:hAnsi="宋体" w:eastAsia="宋体" w:cs="宋体"/>
                <w:spacing w:val="-38"/>
              </w:rPr>
              <w:t xml:space="preserve"> </w:t>
            </w:r>
            <w:r>
              <w:rPr>
                <w:spacing w:val="-2"/>
              </w:rPr>
              <w:t xml:space="preserve">200m </w:t>
            </w:r>
            <w:r>
              <w:rPr>
                <w:rFonts w:ascii="宋体" w:hAnsi="宋体" w:eastAsia="宋体" w:cs="宋体"/>
                <w:spacing w:val="-2"/>
              </w:rPr>
              <w:t>居民点</w:t>
            </w:r>
          </w:p>
        </w:tc>
        <w:tc>
          <w:tcPr>
            <w:tcW w:w="2123" w:type="dxa"/>
            <w:vMerge w:val="continue"/>
            <w:tcBorders>
              <w:top w:val="nil"/>
            </w:tcBorders>
            <w:vAlign w:val="top"/>
          </w:tcPr>
          <w:p w14:paraId="56F98AA8">
            <w:pPr>
              <w:rPr>
                <w:rFonts w:ascii="Arial"/>
                <w:sz w:val="21"/>
              </w:rPr>
            </w:pPr>
          </w:p>
        </w:tc>
        <w:tc>
          <w:tcPr>
            <w:tcW w:w="2507" w:type="dxa"/>
            <w:vMerge w:val="continue"/>
            <w:tcBorders>
              <w:top w:val="nil"/>
            </w:tcBorders>
            <w:vAlign w:val="top"/>
          </w:tcPr>
          <w:p w14:paraId="4517C934">
            <w:pPr>
              <w:rPr>
                <w:rFonts w:ascii="Arial"/>
                <w:sz w:val="21"/>
              </w:rPr>
            </w:pPr>
          </w:p>
        </w:tc>
      </w:tr>
    </w:tbl>
    <w:p w14:paraId="4F8032BB">
      <w:pPr>
        <w:spacing w:before="233"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）监测时间及频率</w:t>
      </w:r>
    </w:p>
    <w:p w14:paraId="0EE83950">
      <w:pPr>
        <w:spacing w:before="183" w:line="219" w:lineRule="auto"/>
        <w:ind w:left="507"/>
        <w:rPr>
          <w:rFonts w:ascii="宋体" w:hAnsi="宋体" w:eastAsia="宋体" w:cs="宋体"/>
          <w:sz w:val="24"/>
          <w:szCs w:val="24"/>
        </w:rPr>
      </w:pPr>
      <w:r>
        <w:rPr>
          <w:rFonts w:ascii="Times New Roman" w:hAnsi="Times New Roman" w:eastAsia="Times New Roman" w:cs="Times New Roman"/>
          <w:spacing w:val="-4"/>
          <w:sz w:val="24"/>
          <w:szCs w:val="24"/>
        </w:rPr>
        <w:t>NH</w:t>
      </w:r>
      <w:r>
        <w:rPr>
          <w:rFonts w:ascii="Times New Roman" w:hAnsi="Times New Roman" w:eastAsia="Times New Roman" w:cs="Times New Roman"/>
          <w:spacing w:val="-4"/>
          <w:position w:val="-2"/>
          <w:sz w:val="15"/>
          <w:szCs w:val="15"/>
        </w:rPr>
        <w:t>3</w:t>
      </w:r>
      <w:r>
        <w:rPr>
          <w:rFonts w:ascii="Times New Roman" w:hAnsi="Times New Roman" w:eastAsia="Times New Roman" w:cs="Times New Roman"/>
          <w:spacing w:val="-11"/>
          <w:position w:val="-2"/>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4"/>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4"/>
          <w:sz w:val="24"/>
          <w:szCs w:val="24"/>
        </w:rPr>
        <w:t>S</w:t>
      </w:r>
      <w:r>
        <w:rPr>
          <w:rFonts w:ascii="宋体" w:hAnsi="宋体" w:eastAsia="宋体" w:cs="宋体"/>
          <w:spacing w:val="-4"/>
          <w:sz w:val="24"/>
          <w:szCs w:val="24"/>
        </w:rPr>
        <w:t>、臭气浓度均监测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天，每天采样</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次。</w:t>
      </w:r>
    </w:p>
    <w:p w14:paraId="2BEB85A6">
      <w:pPr>
        <w:spacing w:before="183"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）现状监测结果</w:t>
      </w:r>
    </w:p>
    <w:p w14:paraId="58D908C5">
      <w:pPr>
        <w:spacing w:before="182" w:line="220" w:lineRule="auto"/>
        <w:ind w:left="519"/>
        <w:rPr>
          <w:rFonts w:ascii="宋体" w:hAnsi="宋体" w:eastAsia="宋体" w:cs="宋体"/>
          <w:sz w:val="24"/>
          <w:szCs w:val="24"/>
        </w:rPr>
      </w:pPr>
      <w:r>
        <w:rPr>
          <w:rFonts w:ascii="宋体" w:hAnsi="宋体" w:eastAsia="宋体" w:cs="宋体"/>
          <w:spacing w:val="-5"/>
          <w:sz w:val="24"/>
          <w:szCs w:val="24"/>
        </w:rPr>
        <w:t>环境空气补充监测结果见下表：</w:t>
      </w:r>
    </w:p>
    <w:p w14:paraId="7C164C80">
      <w:pPr>
        <w:spacing w:before="195" w:line="222" w:lineRule="auto"/>
        <w:ind w:left="245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3.3-3  </w:t>
      </w:r>
      <w:r>
        <w:rPr>
          <w:rFonts w:ascii="黑体" w:hAnsi="黑体" w:eastAsia="黑体" w:cs="黑体"/>
          <w:spacing w:val="-1"/>
          <w:sz w:val="21"/>
          <w:szCs w:val="21"/>
        </w:rPr>
        <w:t>环境空气质量现状监测结果表</w:t>
      </w:r>
    </w:p>
    <w:p w14:paraId="00A9FD42">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1"/>
        <w:gridCol w:w="1187"/>
        <w:gridCol w:w="1187"/>
        <w:gridCol w:w="1188"/>
        <w:gridCol w:w="1188"/>
        <w:gridCol w:w="1189"/>
        <w:gridCol w:w="1190"/>
      </w:tblGrid>
      <w:tr w14:paraId="2DC45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91" w:type="dxa"/>
            <w:vMerge w:val="restart"/>
            <w:tcBorders>
              <w:bottom w:val="nil"/>
            </w:tcBorders>
            <w:vAlign w:val="top"/>
          </w:tcPr>
          <w:p w14:paraId="28FA1BB5">
            <w:pPr>
              <w:spacing w:before="243" w:line="219" w:lineRule="auto"/>
              <w:ind w:left="179"/>
              <w:rPr>
                <w:rFonts w:ascii="宋体" w:hAnsi="宋体" w:eastAsia="宋体" w:cs="宋体"/>
                <w:sz w:val="21"/>
                <w:szCs w:val="21"/>
              </w:rPr>
            </w:pPr>
            <w:r>
              <w:rPr>
                <w:rFonts w:ascii="宋体" w:hAnsi="宋体" w:eastAsia="宋体" w:cs="宋体"/>
                <w:spacing w:val="-2"/>
                <w:sz w:val="21"/>
                <w:szCs w:val="21"/>
              </w:rPr>
              <w:t>采样日期</w:t>
            </w:r>
          </w:p>
        </w:tc>
        <w:tc>
          <w:tcPr>
            <w:tcW w:w="1187" w:type="dxa"/>
            <w:vMerge w:val="restart"/>
            <w:tcBorders>
              <w:bottom w:val="nil"/>
            </w:tcBorders>
            <w:vAlign w:val="top"/>
          </w:tcPr>
          <w:p w14:paraId="05AF8840">
            <w:pPr>
              <w:spacing w:before="243" w:line="220" w:lineRule="auto"/>
              <w:ind w:left="177"/>
              <w:rPr>
                <w:rFonts w:ascii="宋体" w:hAnsi="宋体" w:eastAsia="宋体" w:cs="宋体"/>
                <w:sz w:val="21"/>
                <w:szCs w:val="21"/>
              </w:rPr>
            </w:pPr>
            <w:r>
              <w:rPr>
                <w:rFonts w:ascii="宋体" w:hAnsi="宋体" w:eastAsia="宋体" w:cs="宋体"/>
                <w:spacing w:val="-2"/>
                <w:sz w:val="21"/>
                <w:szCs w:val="21"/>
              </w:rPr>
              <w:t>检测点位</w:t>
            </w:r>
          </w:p>
        </w:tc>
        <w:tc>
          <w:tcPr>
            <w:tcW w:w="1187" w:type="dxa"/>
            <w:vMerge w:val="restart"/>
            <w:tcBorders>
              <w:bottom w:val="nil"/>
            </w:tcBorders>
            <w:vAlign w:val="top"/>
          </w:tcPr>
          <w:p w14:paraId="432D73DD">
            <w:pPr>
              <w:spacing w:before="243" w:line="220" w:lineRule="auto"/>
              <w:ind w:left="178"/>
              <w:rPr>
                <w:rFonts w:ascii="宋体" w:hAnsi="宋体" w:eastAsia="宋体" w:cs="宋体"/>
                <w:sz w:val="21"/>
                <w:szCs w:val="21"/>
              </w:rPr>
            </w:pPr>
            <w:r>
              <w:rPr>
                <w:rFonts w:ascii="宋体" w:hAnsi="宋体" w:eastAsia="宋体" w:cs="宋体"/>
                <w:spacing w:val="-2"/>
                <w:sz w:val="21"/>
                <w:szCs w:val="21"/>
              </w:rPr>
              <w:t>检测项目</w:t>
            </w:r>
          </w:p>
        </w:tc>
        <w:tc>
          <w:tcPr>
            <w:tcW w:w="4755" w:type="dxa"/>
            <w:gridSpan w:val="4"/>
            <w:vAlign w:val="top"/>
          </w:tcPr>
          <w:p w14:paraId="41D6620C">
            <w:pPr>
              <w:pStyle w:val="6"/>
              <w:spacing w:before="53" w:line="217" w:lineRule="auto"/>
              <w:ind w:left="1470"/>
              <w:rPr>
                <w:rFonts w:ascii="宋体" w:hAnsi="宋体" w:eastAsia="宋体" w:cs="宋体"/>
              </w:rPr>
            </w:pPr>
            <w:r>
              <w:rPr>
                <w:rFonts w:ascii="宋体" w:hAnsi="宋体" w:eastAsia="宋体" w:cs="宋体"/>
                <w:spacing w:val="-1"/>
              </w:rPr>
              <w:t>检测结果（</w:t>
            </w:r>
            <w:r>
              <w:rPr>
                <w:spacing w:val="-1"/>
              </w:rPr>
              <w:t>mg/m</w:t>
            </w:r>
            <w:r>
              <w:rPr>
                <w:spacing w:val="-1"/>
                <w:position w:val="1"/>
                <w:sz w:val="14"/>
                <w:szCs w:val="14"/>
              </w:rPr>
              <w:t>3</w:t>
            </w:r>
            <w:r>
              <w:rPr>
                <w:rFonts w:ascii="宋体" w:hAnsi="宋体" w:eastAsia="宋体" w:cs="宋体"/>
                <w:spacing w:val="-1"/>
                <w:position w:val="1"/>
              </w:rPr>
              <w:t>）</w:t>
            </w:r>
          </w:p>
        </w:tc>
      </w:tr>
      <w:tr w14:paraId="5255C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tcBorders>
            <w:vAlign w:val="top"/>
          </w:tcPr>
          <w:p w14:paraId="53A68C92">
            <w:pPr>
              <w:rPr>
                <w:rFonts w:ascii="Arial"/>
                <w:sz w:val="21"/>
              </w:rPr>
            </w:pPr>
          </w:p>
        </w:tc>
        <w:tc>
          <w:tcPr>
            <w:tcW w:w="1187" w:type="dxa"/>
            <w:vMerge w:val="continue"/>
            <w:tcBorders>
              <w:top w:val="nil"/>
            </w:tcBorders>
            <w:vAlign w:val="top"/>
          </w:tcPr>
          <w:p w14:paraId="670201CC">
            <w:pPr>
              <w:rPr>
                <w:rFonts w:ascii="Arial"/>
                <w:sz w:val="21"/>
              </w:rPr>
            </w:pPr>
          </w:p>
        </w:tc>
        <w:tc>
          <w:tcPr>
            <w:tcW w:w="1187" w:type="dxa"/>
            <w:vMerge w:val="continue"/>
            <w:tcBorders>
              <w:top w:val="nil"/>
            </w:tcBorders>
            <w:vAlign w:val="top"/>
          </w:tcPr>
          <w:p w14:paraId="4B56D468">
            <w:pPr>
              <w:rPr>
                <w:rFonts w:ascii="Arial"/>
                <w:sz w:val="21"/>
              </w:rPr>
            </w:pPr>
          </w:p>
        </w:tc>
        <w:tc>
          <w:tcPr>
            <w:tcW w:w="1188" w:type="dxa"/>
            <w:vAlign w:val="top"/>
          </w:tcPr>
          <w:p w14:paraId="42C14F58">
            <w:pPr>
              <w:spacing w:before="63" w:line="220" w:lineRule="auto"/>
              <w:ind w:left="284"/>
              <w:rPr>
                <w:rFonts w:ascii="宋体" w:hAnsi="宋体" w:eastAsia="宋体" w:cs="宋体"/>
                <w:sz w:val="21"/>
                <w:szCs w:val="21"/>
              </w:rPr>
            </w:pPr>
            <w:r>
              <w:rPr>
                <w:rFonts w:ascii="宋体" w:hAnsi="宋体" w:eastAsia="宋体" w:cs="宋体"/>
                <w:spacing w:val="-3"/>
                <w:sz w:val="21"/>
                <w:szCs w:val="21"/>
              </w:rPr>
              <w:t>第一次</w:t>
            </w:r>
          </w:p>
        </w:tc>
        <w:tc>
          <w:tcPr>
            <w:tcW w:w="1188" w:type="dxa"/>
            <w:vAlign w:val="top"/>
          </w:tcPr>
          <w:p w14:paraId="213BA74B">
            <w:pPr>
              <w:spacing w:before="63" w:line="220" w:lineRule="auto"/>
              <w:ind w:left="285"/>
              <w:rPr>
                <w:rFonts w:ascii="宋体" w:hAnsi="宋体" w:eastAsia="宋体" w:cs="宋体"/>
                <w:sz w:val="21"/>
                <w:szCs w:val="21"/>
              </w:rPr>
            </w:pPr>
            <w:r>
              <w:rPr>
                <w:rFonts w:ascii="宋体" w:hAnsi="宋体" w:eastAsia="宋体" w:cs="宋体"/>
                <w:spacing w:val="-2"/>
                <w:sz w:val="21"/>
                <w:szCs w:val="21"/>
              </w:rPr>
              <w:t>第二次</w:t>
            </w:r>
          </w:p>
        </w:tc>
        <w:tc>
          <w:tcPr>
            <w:tcW w:w="1189" w:type="dxa"/>
            <w:vAlign w:val="top"/>
          </w:tcPr>
          <w:p w14:paraId="602CEECB">
            <w:pPr>
              <w:spacing w:before="63" w:line="220" w:lineRule="auto"/>
              <w:ind w:left="286"/>
              <w:rPr>
                <w:rFonts w:ascii="宋体" w:hAnsi="宋体" w:eastAsia="宋体" w:cs="宋体"/>
                <w:sz w:val="21"/>
                <w:szCs w:val="21"/>
              </w:rPr>
            </w:pPr>
            <w:r>
              <w:rPr>
                <w:rFonts w:ascii="宋体" w:hAnsi="宋体" w:eastAsia="宋体" w:cs="宋体"/>
                <w:spacing w:val="-2"/>
                <w:sz w:val="21"/>
                <w:szCs w:val="21"/>
              </w:rPr>
              <w:t>第三次</w:t>
            </w:r>
          </w:p>
        </w:tc>
        <w:tc>
          <w:tcPr>
            <w:tcW w:w="1190" w:type="dxa"/>
            <w:vAlign w:val="top"/>
          </w:tcPr>
          <w:p w14:paraId="5A2FC7CE">
            <w:pPr>
              <w:spacing w:before="63" w:line="220" w:lineRule="auto"/>
              <w:ind w:left="285"/>
              <w:rPr>
                <w:rFonts w:ascii="宋体" w:hAnsi="宋体" w:eastAsia="宋体" w:cs="宋体"/>
                <w:sz w:val="21"/>
                <w:szCs w:val="21"/>
              </w:rPr>
            </w:pPr>
            <w:r>
              <w:rPr>
                <w:rFonts w:ascii="宋体" w:hAnsi="宋体" w:eastAsia="宋体" w:cs="宋体"/>
                <w:spacing w:val="-2"/>
                <w:sz w:val="21"/>
                <w:szCs w:val="21"/>
              </w:rPr>
              <w:t>第四次</w:t>
            </w:r>
          </w:p>
        </w:tc>
      </w:tr>
      <w:tr w14:paraId="7AEE8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restart"/>
            <w:tcBorders>
              <w:bottom w:val="nil"/>
            </w:tcBorders>
            <w:vAlign w:val="top"/>
          </w:tcPr>
          <w:p w14:paraId="57C144B5">
            <w:pPr>
              <w:spacing w:line="355" w:lineRule="auto"/>
              <w:rPr>
                <w:rFonts w:ascii="Arial"/>
                <w:sz w:val="21"/>
              </w:rPr>
            </w:pPr>
          </w:p>
          <w:p w14:paraId="1B686C64">
            <w:pPr>
              <w:spacing w:line="355" w:lineRule="auto"/>
              <w:rPr>
                <w:rFonts w:ascii="Arial"/>
                <w:sz w:val="21"/>
              </w:rPr>
            </w:pPr>
          </w:p>
          <w:p w14:paraId="1664877A">
            <w:pPr>
              <w:pStyle w:val="6"/>
              <w:spacing w:before="68" w:line="220" w:lineRule="auto"/>
              <w:ind w:left="256"/>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1A1E36AA">
            <w:pPr>
              <w:pStyle w:val="6"/>
              <w:spacing w:before="61" w:line="220" w:lineRule="auto"/>
              <w:ind w:left="170"/>
              <w:rPr>
                <w:rFonts w:ascii="宋体" w:hAnsi="宋体" w:eastAsia="宋体" w:cs="宋体"/>
              </w:rPr>
            </w:pPr>
            <w:r>
              <w:rPr>
                <w:spacing w:val="-10"/>
              </w:rPr>
              <w:t>12</w:t>
            </w:r>
            <w:r>
              <w:rPr>
                <w:spacing w:val="14"/>
                <w:w w:val="101"/>
              </w:rPr>
              <w:t xml:space="preserve"> </w:t>
            </w:r>
            <w:r>
              <w:rPr>
                <w:rFonts w:ascii="宋体" w:hAnsi="宋体" w:eastAsia="宋体" w:cs="宋体"/>
                <w:spacing w:val="-10"/>
              </w:rPr>
              <w:t>月</w:t>
            </w:r>
            <w:r>
              <w:rPr>
                <w:rFonts w:ascii="宋体" w:hAnsi="宋体" w:eastAsia="宋体" w:cs="宋体"/>
                <w:spacing w:val="-43"/>
              </w:rPr>
              <w:t xml:space="preserve"> </w:t>
            </w:r>
            <w:r>
              <w:rPr>
                <w:spacing w:val="-10"/>
              </w:rPr>
              <w:t>5</w:t>
            </w:r>
            <w:r>
              <w:rPr>
                <w:spacing w:val="46"/>
              </w:rPr>
              <w:t xml:space="preserve"> </w:t>
            </w:r>
            <w:r>
              <w:rPr>
                <w:rFonts w:ascii="宋体" w:hAnsi="宋体" w:eastAsia="宋体" w:cs="宋体"/>
                <w:spacing w:val="-10"/>
              </w:rPr>
              <w:t>日</w:t>
            </w:r>
          </w:p>
        </w:tc>
        <w:tc>
          <w:tcPr>
            <w:tcW w:w="1187" w:type="dxa"/>
            <w:vMerge w:val="restart"/>
            <w:tcBorders>
              <w:bottom w:val="nil"/>
            </w:tcBorders>
            <w:vAlign w:val="top"/>
          </w:tcPr>
          <w:p w14:paraId="2433527B">
            <w:pPr>
              <w:spacing w:line="343" w:lineRule="auto"/>
              <w:rPr>
                <w:rFonts w:ascii="Arial"/>
                <w:sz w:val="21"/>
              </w:rPr>
            </w:pPr>
          </w:p>
          <w:p w14:paraId="33C32409">
            <w:pPr>
              <w:pStyle w:val="6"/>
              <w:spacing w:before="69" w:line="220" w:lineRule="auto"/>
              <w:ind w:left="194"/>
              <w:rPr>
                <w:rFonts w:ascii="宋体" w:hAnsi="宋体" w:eastAsia="宋体" w:cs="宋体"/>
              </w:rPr>
            </w:pPr>
            <w:r>
              <w:rPr>
                <w:spacing w:val="-5"/>
              </w:rPr>
              <w:t>1#</w:t>
            </w:r>
            <w:r>
              <w:rPr>
                <w:rFonts w:ascii="宋体" w:hAnsi="宋体" w:eastAsia="宋体" w:cs="宋体"/>
                <w:spacing w:val="-5"/>
              </w:rPr>
              <w:t>项目地</w:t>
            </w:r>
          </w:p>
        </w:tc>
        <w:tc>
          <w:tcPr>
            <w:tcW w:w="1187" w:type="dxa"/>
            <w:vAlign w:val="top"/>
          </w:tcPr>
          <w:p w14:paraId="7AE43AEA">
            <w:pPr>
              <w:spacing w:before="65"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3DD6F147">
            <w:pPr>
              <w:pStyle w:val="6"/>
              <w:spacing w:before="101" w:line="188" w:lineRule="auto"/>
              <w:ind w:left="415"/>
            </w:pPr>
            <w:r>
              <w:rPr>
                <w:spacing w:val="-2"/>
              </w:rPr>
              <w:t>0.11</w:t>
            </w:r>
          </w:p>
        </w:tc>
        <w:tc>
          <w:tcPr>
            <w:tcW w:w="1188" w:type="dxa"/>
            <w:vAlign w:val="top"/>
          </w:tcPr>
          <w:p w14:paraId="1C604AC0">
            <w:pPr>
              <w:pStyle w:val="6"/>
              <w:spacing w:before="101" w:line="188" w:lineRule="auto"/>
              <w:ind w:left="416"/>
            </w:pPr>
            <w:r>
              <w:rPr>
                <w:spacing w:val="-2"/>
              </w:rPr>
              <w:t>0.09</w:t>
            </w:r>
          </w:p>
        </w:tc>
        <w:tc>
          <w:tcPr>
            <w:tcW w:w="1189" w:type="dxa"/>
            <w:vAlign w:val="top"/>
          </w:tcPr>
          <w:p w14:paraId="61DF2D5C">
            <w:pPr>
              <w:pStyle w:val="6"/>
              <w:spacing w:before="101" w:line="188" w:lineRule="auto"/>
              <w:ind w:left="417"/>
            </w:pPr>
            <w:r>
              <w:rPr>
                <w:spacing w:val="-2"/>
              </w:rPr>
              <w:t>0.10</w:t>
            </w:r>
          </w:p>
        </w:tc>
        <w:tc>
          <w:tcPr>
            <w:tcW w:w="1190" w:type="dxa"/>
            <w:vAlign w:val="top"/>
          </w:tcPr>
          <w:p w14:paraId="47424829">
            <w:pPr>
              <w:pStyle w:val="6"/>
              <w:spacing w:before="101" w:line="188" w:lineRule="auto"/>
              <w:ind w:left="416"/>
            </w:pPr>
            <w:r>
              <w:rPr>
                <w:spacing w:val="-2"/>
              </w:rPr>
              <w:t>0.11</w:t>
            </w:r>
          </w:p>
        </w:tc>
      </w:tr>
      <w:tr w14:paraId="70909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91" w:type="dxa"/>
            <w:vMerge w:val="continue"/>
            <w:tcBorders>
              <w:top w:val="nil"/>
              <w:bottom w:val="nil"/>
            </w:tcBorders>
            <w:vAlign w:val="top"/>
          </w:tcPr>
          <w:p w14:paraId="5FC7F7E8">
            <w:pPr>
              <w:rPr>
                <w:rFonts w:ascii="Arial"/>
                <w:sz w:val="21"/>
              </w:rPr>
            </w:pPr>
          </w:p>
        </w:tc>
        <w:tc>
          <w:tcPr>
            <w:tcW w:w="1187" w:type="dxa"/>
            <w:vMerge w:val="continue"/>
            <w:tcBorders>
              <w:top w:val="nil"/>
              <w:bottom w:val="nil"/>
            </w:tcBorders>
            <w:vAlign w:val="top"/>
          </w:tcPr>
          <w:p w14:paraId="49545AF1">
            <w:pPr>
              <w:rPr>
                <w:rFonts w:ascii="Arial"/>
                <w:sz w:val="21"/>
              </w:rPr>
            </w:pPr>
          </w:p>
        </w:tc>
        <w:tc>
          <w:tcPr>
            <w:tcW w:w="1187" w:type="dxa"/>
            <w:vAlign w:val="top"/>
          </w:tcPr>
          <w:p w14:paraId="3239EE62">
            <w:pPr>
              <w:spacing w:before="64"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2B782FAB">
            <w:pPr>
              <w:pStyle w:val="6"/>
              <w:spacing w:before="101" w:line="188" w:lineRule="auto"/>
              <w:ind w:left="362"/>
            </w:pPr>
            <w:r>
              <w:rPr>
                <w:spacing w:val="-2"/>
              </w:rPr>
              <w:t>0.003</w:t>
            </w:r>
          </w:p>
        </w:tc>
        <w:tc>
          <w:tcPr>
            <w:tcW w:w="1188" w:type="dxa"/>
            <w:vAlign w:val="top"/>
          </w:tcPr>
          <w:p w14:paraId="675A124E">
            <w:pPr>
              <w:pStyle w:val="6"/>
              <w:spacing w:before="101" w:line="188" w:lineRule="auto"/>
              <w:ind w:left="363"/>
            </w:pPr>
            <w:r>
              <w:rPr>
                <w:spacing w:val="-2"/>
              </w:rPr>
              <w:t>0.004</w:t>
            </w:r>
          </w:p>
        </w:tc>
        <w:tc>
          <w:tcPr>
            <w:tcW w:w="1189" w:type="dxa"/>
            <w:vAlign w:val="top"/>
          </w:tcPr>
          <w:p w14:paraId="547428C9">
            <w:pPr>
              <w:pStyle w:val="6"/>
              <w:spacing w:before="101" w:line="188" w:lineRule="auto"/>
              <w:ind w:left="365"/>
            </w:pPr>
            <w:r>
              <w:rPr>
                <w:spacing w:val="-2"/>
              </w:rPr>
              <w:t>0.004</w:t>
            </w:r>
          </w:p>
        </w:tc>
        <w:tc>
          <w:tcPr>
            <w:tcW w:w="1190" w:type="dxa"/>
            <w:vAlign w:val="top"/>
          </w:tcPr>
          <w:p w14:paraId="622A9E42">
            <w:pPr>
              <w:pStyle w:val="6"/>
              <w:spacing w:before="101" w:line="188" w:lineRule="auto"/>
              <w:ind w:left="364"/>
            </w:pPr>
            <w:r>
              <w:rPr>
                <w:spacing w:val="-2"/>
              </w:rPr>
              <w:t>0.005</w:t>
            </w:r>
          </w:p>
        </w:tc>
      </w:tr>
      <w:tr w14:paraId="75A8E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5262FAC4">
            <w:pPr>
              <w:rPr>
                <w:rFonts w:ascii="Arial"/>
                <w:sz w:val="21"/>
              </w:rPr>
            </w:pPr>
          </w:p>
        </w:tc>
        <w:tc>
          <w:tcPr>
            <w:tcW w:w="1187" w:type="dxa"/>
            <w:vMerge w:val="continue"/>
            <w:tcBorders>
              <w:top w:val="nil"/>
            </w:tcBorders>
            <w:vAlign w:val="top"/>
          </w:tcPr>
          <w:p w14:paraId="4A21F324">
            <w:pPr>
              <w:rPr>
                <w:rFonts w:ascii="Arial"/>
                <w:sz w:val="21"/>
              </w:rPr>
            </w:pPr>
          </w:p>
        </w:tc>
        <w:tc>
          <w:tcPr>
            <w:tcW w:w="1187" w:type="dxa"/>
            <w:vAlign w:val="top"/>
          </w:tcPr>
          <w:p w14:paraId="459B2E5B">
            <w:pPr>
              <w:spacing w:before="63"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26772EAB">
            <w:pPr>
              <w:pStyle w:val="6"/>
              <w:spacing w:before="100" w:line="188" w:lineRule="auto"/>
              <w:ind w:left="430"/>
            </w:pPr>
            <w:r>
              <w:rPr>
                <w:spacing w:val="-2"/>
              </w:rPr>
              <w:t>&lt;10</w:t>
            </w:r>
          </w:p>
        </w:tc>
        <w:tc>
          <w:tcPr>
            <w:tcW w:w="1188" w:type="dxa"/>
            <w:vAlign w:val="top"/>
          </w:tcPr>
          <w:p w14:paraId="789B39DD">
            <w:pPr>
              <w:pStyle w:val="6"/>
              <w:spacing w:before="100" w:line="188" w:lineRule="auto"/>
              <w:ind w:left="432"/>
            </w:pPr>
            <w:r>
              <w:rPr>
                <w:spacing w:val="-2"/>
              </w:rPr>
              <w:t>&lt;10</w:t>
            </w:r>
          </w:p>
        </w:tc>
        <w:tc>
          <w:tcPr>
            <w:tcW w:w="1189" w:type="dxa"/>
            <w:vAlign w:val="top"/>
          </w:tcPr>
          <w:p w14:paraId="3AD8FEA3">
            <w:pPr>
              <w:pStyle w:val="6"/>
              <w:spacing w:before="100" w:line="188" w:lineRule="auto"/>
              <w:ind w:left="433"/>
            </w:pPr>
            <w:r>
              <w:rPr>
                <w:spacing w:val="-2"/>
              </w:rPr>
              <w:t>&lt;10</w:t>
            </w:r>
          </w:p>
        </w:tc>
        <w:tc>
          <w:tcPr>
            <w:tcW w:w="1190" w:type="dxa"/>
            <w:vAlign w:val="top"/>
          </w:tcPr>
          <w:p w14:paraId="16026031">
            <w:pPr>
              <w:pStyle w:val="6"/>
              <w:spacing w:before="100" w:line="188" w:lineRule="auto"/>
              <w:ind w:left="432"/>
            </w:pPr>
            <w:r>
              <w:rPr>
                <w:spacing w:val="-2"/>
              </w:rPr>
              <w:t>&lt;10</w:t>
            </w:r>
          </w:p>
        </w:tc>
      </w:tr>
      <w:tr w14:paraId="2B951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796A1784">
            <w:pPr>
              <w:rPr>
                <w:rFonts w:ascii="Arial"/>
                <w:sz w:val="21"/>
              </w:rPr>
            </w:pPr>
          </w:p>
        </w:tc>
        <w:tc>
          <w:tcPr>
            <w:tcW w:w="1187" w:type="dxa"/>
            <w:vMerge w:val="restart"/>
            <w:tcBorders>
              <w:bottom w:val="nil"/>
            </w:tcBorders>
            <w:vAlign w:val="top"/>
          </w:tcPr>
          <w:p w14:paraId="2D740DCD">
            <w:pPr>
              <w:spacing w:line="343" w:lineRule="auto"/>
              <w:rPr>
                <w:rFonts w:ascii="Arial"/>
                <w:sz w:val="21"/>
              </w:rPr>
            </w:pPr>
          </w:p>
          <w:p w14:paraId="240F1EDA">
            <w:pPr>
              <w:pStyle w:val="6"/>
              <w:spacing w:before="69" w:line="220" w:lineRule="auto"/>
              <w:ind w:left="174"/>
              <w:rPr>
                <w:rFonts w:ascii="宋体" w:hAnsi="宋体" w:eastAsia="宋体" w:cs="宋体"/>
              </w:rPr>
            </w:pPr>
            <w:r>
              <w:rPr>
                <w:spacing w:val="-1"/>
              </w:rPr>
              <w:t>2#</w:t>
            </w:r>
            <w:r>
              <w:rPr>
                <w:rFonts w:ascii="宋体" w:hAnsi="宋体" w:eastAsia="宋体" w:cs="宋体"/>
                <w:spacing w:val="-1"/>
              </w:rPr>
              <w:t>居民点</w:t>
            </w:r>
          </w:p>
        </w:tc>
        <w:tc>
          <w:tcPr>
            <w:tcW w:w="1187" w:type="dxa"/>
            <w:vAlign w:val="top"/>
          </w:tcPr>
          <w:p w14:paraId="416B4B2C">
            <w:pPr>
              <w:spacing w:before="65"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08991CFD">
            <w:pPr>
              <w:pStyle w:val="6"/>
              <w:spacing w:before="101" w:line="188" w:lineRule="auto"/>
              <w:ind w:left="415"/>
            </w:pPr>
            <w:r>
              <w:rPr>
                <w:spacing w:val="-2"/>
              </w:rPr>
              <w:t>0.11</w:t>
            </w:r>
          </w:p>
        </w:tc>
        <w:tc>
          <w:tcPr>
            <w:tcW w:w="1188" w:type="dxa"/>
            <w:vAlign w:val="top"/>
          </w:tcPr>
          <w:p w14:paraId="78318333">
            <w:pPr>
              <w:pStyle w:val="6"/>
              <w:spacing w:before="101" w:line="188" w:lineRule="auto"/>
              <w:ind w:left="416"/>
            </w:pPr>
            <w:r>
              <w:rPr>
                <w:spacing w:val="-2"/>
              </w:rPr>
              <w:t>0.09</w:t>
            </w:r>
          </w:p>
        </w:tc>
        <w:tc>
          <w:tcPr>
            <w:tcW w:w="1189" w:type="dxa"/>
            <w:vAlign w:val="top"/>
          </w:tcPr>
          <w:p w14:paraId="62109890">
            <w:pPr>
              <w:pStyle w:val="6"/>
              <w:spacing w:before="101" w:line="188" w:lineRule="auto"/>
              <w:ind w:left="417"/>
            </w:pPr>
            <w:r>
              <w:rPr>
                <w:spacing w:val="-2"/>
              </w:rPr>
              <w:t>0.10</w:t>
            </w:r>
          </w:p>
        </w:tc>
        <w:tc>
          <w:tcPr>
            <w:tcW w:w="1190" w:type="dxa"/>
            <w:vAlign w:val="top"/>
          </w:tcPr>
          <w:p w14:paraId="32BF7006">
            <w:pPr>
              <w:pStyle w:val="6"/>
              <w:spacing w:before="101" w:line="188" w:lineRule="auto"/>
              <w:ind w:left="416"/>
            </w:pPr>
            <w:r>
              <w:rPr>
                <w:spacing w:val="-2"/>
              </w:rPr>
              <w:t>0.11</w:t>
            </w:r>
          </w:p>
        </w:tc>
      </w:tr>
      <w:tr w14:paraId="49928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91" w:type="dxa"/>
            <w:vMerge w:val="continue"/>
            <w:tcBorders>
              <w:top w:val="nil"/>
              <w:bottom w:val="nil"/>
            </w:tcBorders>
            <w:vAlign w:val="top"/>
          </w:tcPr>
          <w:p w14:paraId="6BD96713">
            <w:pPr>
              <w:rPr>
                <w:rFonts w:ascii="Arial"/>
                <w:sz w:val="21"/>
              </w:rPr>
            </w:pPr>
          </w:p>
        </w:tc>
        <w:tc>
          <w:tcPr>
            <w:tcW w:w="1187" w:type="dxa"/>
            <w:vMerge w:val="continue"/>
            <w:tcBorders>
              <w:top w:val="nil"/>
              <w:bottom w:val="nil"/>
            </w:tcBorders>
            <w:vAlign w:val="top"/>
          </w:tcPr>
          <w:p w14:paraId="7FD18C80">
            <w:pPr>
              <w:rPr>
                <w:rFonts w:ascii="Arial"/>
                <w:sz w:val="21"/>
              </w:rPr>
            </w:pPr>
          </w:p>
        </w:tc>
        <w:tc>
          <w:tcPr>
            <w:tcW w:w="1187" w:type="dxa"/>
            <w:vAlign w:val="top"/>
          </w:tcPr>
          <w:p w14:paraId="1FE6053C">
            <w:pPr>
              <w:spacing w:before="64"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1EAEC0DA">
            <w:pPr>
              <w:pStyle w:val="6"/>
              <w:spacing w:before="101" w:line="188" w:lineRule="auto"/>
              <w:ind w:left="362"/>
            </w:pPr>
            <w:r>
              <w:rPr>
                <w:spacing w:val="-2"/>
              </w:rPr>
              <w:t>0.006</w:t>
            </w:r>
          </w:p>
        </w:tc>
        <w:tc>
          <w:tcPr>
            <w:tcW w:w="1188" w:type="dxa"/>
            <w:vAlign w:val="top"/>
          </w:tcPr>
          <w:p w14:paraId="07214FF9">
            <w:pPr>
              <w:pStyle w:val="6"/>
              <w:spacing w:before="101" w:line="188" w:lineRule="auto"/>
              <w:ind w:left="363"/>
            </w:pPr>
            <w:r>
              <w:rPr>
                <w:spacing w:val="-2"/>
              </w:rPr>
              <w:t>0.006</w:t>
            </w:r>
          </w:p>
        </w:tc>
        <w:tc>
          <w:tcPr>
            <w:tcW w:w="1189" w:type="dxa"/>
            <w:vAlign w:val="top"/>
          </w:tcPr>
          <w:p w14:paraId="038EFACA">
            <w:pPr>
              <w:pStyle w:val="6"/>
              <w:spacing w:before="101" w:line="188" w:lineRule="auto"/>
              <w:ind w:left="365"/>
            </w:pPr>
            <w:r>
              <w:rPr>
                <w:spacing w:val="-2"/>
              </w:rPr>
              <w:t>0.007</w:t>
            </w:r>
          </w:p>
        </w:tc>
        <w:tc>
          <w:tcPr>
            <w:tcW w:w="1190" w:type="dxa"/>
            <w:vAlign w:val="top"/>
          </w:tcPr>
          <w:p w14:paraId="79F251FC">
            <w:pPr>
              <w:pStyle w:val="6"/>
              <w:spacing w:before="101" w:line="188" w:lineRule="auto"/>
              <w:ind w:left="364"/>
            </w:pPr>
            <w:r>
              <w:rPr>
                <w:spacing w:val="-2"/>
              </w:rPr>
              <w:t>0.006</w:t>
            </w:r>
          </w:p>
        </w:tc>
      </w:tr>
      <w:tr w14:paraId="51A62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tcBorders>
            <w:vAlign w:val="top"/>
          </w:tcPr>
          <w:p w14:paraId="3B6E8C0B">
            <w:pPr>
              <w:rPr>
                <w:rFonts w:ascii="Arial"/>
                <w:sz w:val="21"/>
              </w:rPr>
            </w:pPr>
          </w:p>
        </w:tc>
        <w:tc>
          <w:tcPr>
            <w:tcW w:w="1187" w:type="dxa"/>
            <w:vMerge w:val="continue"/>
            <w:tcBorders>
              <w:top w:val="nil"/>
            </w:tcBorders>
            <w:vAlign w:val="top"/>
          </w:tcPr>
          <w:p w14:paraId="5C39BB29">
            <w:pPr>
              <w:rPr>
                <w:rFonts w:ascii="Arial"/>
                <w:sz w:val="21"/>
              </w:rPr>
            </w:pPr>
          </w:p>
        </w:tc>
        <w:tc>
          <w:tcPr>
            <w:tcW w:w="1187" w:type="dxa"/>
            <w:vAlign w:val="top"/>
          </w:tcPr>
          <w:p w14:paraId="2E5D6810">
            <w:pPr>
              <w:spacing w:before="63"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4F2D0A55">
            <w:pPr>
              <w:pStyle w:val="6"/>
              <w:spacing w:before="100" w:line="188" w:lineRule="auto"/>
              <w:ind w:left="430"/>
            </w:pPr>
            <w:r>
              <w:rPr>
                <w:spacing w:val="-2"/>
              </w:rPr>
              <w:t>&lt;10</w:t>
            </w:r>
          </w:p>
        </w:tc>
        <w:tc>
          <w:tcPr>
            <w:tcW w:w="1188" w:type="dxa"/>
            <w:vAlign w:val="top"/>
          </w:tcPr>
          <w:p w14:paraId="1544BA93">
            <w:pPr>
              <w:pStyle w:val="6"/>
              <w:spacing w:before="100" w:line="188" w:lineRule="auto"/>
              <w:ind w:left="432"/>
            </w:pPr>
            <w:r>
              <w:rPr>
                <w:spacing w:val="-2"/>
              </w:rPr>
              <w:t>&lt;10</w:t>
            </w:r>
          </w:p>
        </w:tc>
        <w:tc>
          <w:tcPr>
            <w:tcW w:w="1189" w:type="dxa"/>
            <w:vAlign w:val="top"/>
          </w:tcPr>
          <w:p w14:paraId="39A1550D">
            <w:pPr>
              <w:pStyle w:val="6"/>
              <w:spacing w:before="100" w:line="188" w:lineRule="auto"/>
              <w:ind w:left="433"/>
            </w:pPr>
            <w:r>
              <w:rPr>
                <w:spacing w:val="-2"/>
              </w:rPr>
              <w:t>&lt;10</w:t>
            </w:r>
          </w:p>
        </w:tc>
        <w:tc>
          <w:tcPr>
            <w:tcW w:w="1190" w:type="dxa"/>
            <w:vAlign w:val="top"/>
          </w:tcPr>
          <w:p w14:paraId="1C66F721">
            <w:pPr>
              <w:pStyle w:val="6"/>
              <w:spacing w:before="100" w:line="188" w:lineRule="auto"/>
              <w:ind w:left="432"/>
            </w:pPr>
            <w:r>
              <w:rPr>
                <w:spacing w:val="-2"/>
              </w:rPr>
              <w:t>&lt;10</w:t>
            </w:r>
          </w:p>
        </w:tc>
      </w:tr>
      <w:tr w14:paraId="501D7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restart"/>
            <w:tcBorders>
              <w:bottom w:val="nil"/>
            </w:tcBorders>
            <w:vAlign w:val="top"/>
          </w:tcPr>
          <w:p w14:paraId="575AB64B">
            <w:pPr>
              <w:spacing w:line="355" w:lineRule="auto"/>
              <w:rPr>
                <w:rFonts w:ascii="Arial"/>
                <w:sz w:val="21"/>
              </w:rPr>
            </w:pPr>
          </w:p>
          <w:p w14:paraId="03BB1021">
            <w:pPr>
              <w:spacing w:line="355" w:lineRule="auto"/>
              <w:rPr>
                <w:rFonts w:ascii="Arial"/>
                <w:sz w:val="21"/>
              </w:rPr>
            </w:pPr>
          </w:p>
          <w:p w14:paraId="1B983FED">
            <w:pPr>
              <w:pStyle w:val="6"/>
              <w:spacing w:before="68" w:line="220" w:lineRule="auto"/>
              <w:ind w:left="256"/>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45F96E7B">
            <w:pPr>
              <w:pStyle w:val="6"/>
              <w:spacing w:before="61" w:line="220" w:lineRule="auto"/>
              <w:ind w:left="170"/>
              <w:rPr>
                <w:rFonts w:ascii="宋体" w:hAnsi="宋体" w:eastAsia="宋体" w:cs="宋体"/>
              </w:rPr>
            </w:pPr>
            <w:r>
              <w:rPr>
                <w:spacing w:val="-10"/>
              </w:rPr>
              <w:t>12</w:t>
            </w:r>
            <w:r>
              <w:rPr>
                <w:spacing w:val="15"/>
                <w:w w:val="101"/>
              </w:rPr>
              <w:t xml:space="preserve"> </w:t>
            </w:r>
            <w:r>
              <w:rPr>
                <w:rFonts w:ascii="宋体" w:hAnsi="宋体" w:eastAsia="宋体" w:cs="宋体"/>
                <w:spacing w:val="-10"/>
              </w:rPr>
              <w:t>月</w:t>
            </w:r>
            <w:r>
              <w:rPr>
                <w:rFonts w:ascii="宋体" w:hAnsi="宋体" w:eastAsia="宋体" w:cs="宋体"/>
                <w:spacing w:val="-44"/>
              </w:rPr>
              <w:t xml:space="preserve"> </w:t>
            </w:r>
            <w:r>
              <w:rPr>
                <w:spacing w:val="-10"/>
              </w:rPr>
              <w:t>6</w:t>
            </w:r>
            <w:r>
              <w:rPr>
                <w:spacing w:val="46"/>
              </w:rPr>
              <w:t xml:space="preserve"> </w:t>
            </w:r>
            <w:r>
              <w:rPr>
                <w:rFonts w:ascii="宋体" w:hAnsi="宋体" w:eastAsia="宋体" w:cs="宋体"/>
                <w:spacing w:val="-10"/>
              </w:rPr>
              <w:t>日</w:t>
            </w:r>
          </w:p>
        </w:tc>
        <w:tc>
          <w:tcPr>
            <w:tcW w:w="1187" w:type="dxa"/>
            <w:vMerge w:val="restart"/>
            <w:tcBorders>
              <w:bottom w:val="nil"/>
            </w:tcBorders>
            <w:vAlign w:val="top"/>
          </w:tcPr>
          <w:p w14:paraId="16C83764">
            <w:pPr>
              <w:spacing w:line="343" w:lineRule="auto"/>
              <w:rPr>
                <w:rFonts w:ascii="Arial"/>
                <w:sz w:val="21"/>
              </w:rPr>
            </w:pPr>
          </w:p>
          <w:p w14:paraId="7EBBA1F4">
            <w:pPr>
              <w:pStyle w:val="6"/>
              <w:spacing w:before="69" w:line="220" w:lineRule="auto"/>
              <w:ind w:left="194"/>
              <w:rPr>
                <w:rFonts w:ascii="宋体" w:hAnsi="宋体" w:eastAsia="宋体" w:cs="宋体"/>
              </w:rPr>
            </w:pPr>
            <w:r>
              <w:rPr>
                <w:spacing w:val="-5"/>
              </w:rPr>
              <w:t>1#</w:t>
            </w:r>
            <w:r>
              <w:rPr>
                <w:rFonts w:ascii="宋体" w:hAnsi="宋体" w:eastAsia="宋体" w:cs="宋体"/>
                <w:spacing w:val="-5"/>
              </w:rPr>
              <w:t>项目地</w:t>
            </w:r>
          </w:p>
        </w:tc>
        <w:tc>
          <w:tcPr>
            <w:tcW w:w="1187" w:type="dxa"/>
            <w:vAlign w:val="top"/>
          </w:tcPr>
          <w:p w14:paraId="6F9EE115">
            <w:pPr>
              <w:spacing w:before="65"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1FFD55EC">
            <w:pPr>
              <w:pStyle w:val="6"/>
              <w:spacing w:before="101" w:line="188" w:lineRule="auto"/>
              <w:ind w:left="415"/>
            </w:pPr>
            <w:r>
              <w:rPr>
                <w:spacing w:val="-2"/>
              </w:rPr>
              <w:t>0.11</w:t>
            </w:r>
          </w:p>
        </w:tc>
        <w:tc>
          <w:tcPr>
            <w:tcW w:w="1188" w:type="dxa"/>
            <w:vAlign w:val="top"/>
          </w:tcPr>
          <w:p w14:paraId="467A56B8">
            <w:pPr>
              <w:pStyle w:val="6"/>
              <w:spacing w:before="101" w:line="188" w:lineRule="auto"/>
              <w:ind w:left="416"/>
            </w:pPr>
            <w:r>
              <w:rPr>
                <w:spacing w:val="-2"/>
              </w:rPr>
              <w:t>0.11</w:t>
            </w:r>
          </w:p>
        </w:tc>
        <w:tc>
          <w:tcPr>
            <w:tcW w:w="1189" w:type="dxa"/>
            <w:vAlign w:val="top"/>
          </w:tcPr>
          <w:p w14:paraId="1E0B1605">
            <w:pPr>
              <w:pStyle w:val="6"/>
              <w:spacing w:before="101" w:line="188" w:lineRule="auto"/>
              <w:ind w:left="417"/>
            </w:pPr>
            <w:r>
              <w:rPr>
                <w:spacing w:val="-2"/>
              </w:rPr>
              <w:t>0.12</w:t>
            </w:r>
          </w:p>
        </w:tc>
        <w:tc>
          <w:tcPr>
            <w:tcW w:w="1190" w:type="dxa"/>
            <w:vAlign w:val="top"/>
          </w:tcPr>
          <w:p w14:paraId="048C52C4">
            <w:pPr>
              <w:pStyle w:val="6"/>
              <w:spacing w:before="101" w:line="188" w:lineRule="auto"/>
              <w:ind w:left="416"/>
            </w:pPr>
            <w:r>
              <w:rPr>
                <w:spacing w:val="-2"/>
              </w:rPr>
              <w:t>0.11</w:t>
            </w:r>
          </w:p>
        </w:tc>
      </w:tr>
      <w:tr w14:paraId="011F6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91" w:type="dxa"/>
            <w:vMerge w:val="continue"/>
            <w:tcBorders>
              <w:top w:val="nil"/>
              <w:bottom w:val="nil"/>
            </w:tcBorders>
            <w:vAlign w:val="top"/>
          </w:tcPr>
          <w:p w14:paraId="12BDE090">
            <w:pPr>
              <w:rPr>
                <w:rFonts w:ascii="Arial"/>
                <w:sz w:val="21"/>
              </w:rPr>
            </w:pPr>
          </w:p>
        </w:tc>
        <w:tc>
          <w:tcPr>
            <w:tcW w:w="1187" w:type="dxa"/>
            <w:vMerge w:val="continue"/>
            <w:tcBorders>
              <w:top w:val="nil"/>
              <w:bottom w:val="nil"/>
            </w:tcBorders>
            <w:vAlign w:val="top"/>
          </w:tcPr>
          <w:p w14:paraId="4C71F1E9">
            <w:pPr>
              <w:rPr>
                <w:rFonts w:ascii="Arial"/>
                <w:sz w:val="21"/>
              </w:rPr>
            </w:pPr>
          </w:p>
        </w:tc>
        <w:tc>
          <w:tcPr>
            <w:tcW w:w="1187" w:type="dxa"/>
            <w:vAlign w:val="top"/>
          </w:tcPr>
          <w:p w14:paraId="0CF01332">
            <w:pPr>
              <w:spacing w:before="64"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35AA35D5">
            <w:pPr>
              <w:pStyle w:val="6"/>
              <w:spacing w:before="101" w:line="188" w:lineRule="auto"/>
              <w:ind w:left="362"/>
            </w:pPr>
            <w:r>
              <w:rPr>
                <w:spacing w:val="-2"/>
              </w:rPr>
              <w:t>0.004</w:t>
            </w:r>
          </w:p>
        </w:tc>
        <w:tc>
          <w:tcPr>
            <w:tcW w:w="1188" w:type="dxa"/>
            <w:vAlign w:val="top"/>
          </w:tcPr>
          <w:p w14:paraId="00D42F77">
            <w:pPr>
              <w:pStyle w:val="6"/>
              <w:spacing w:before="101" w:line="188" w:lineRule="auto"/>
              <w:ind w:left="363"/>
            </w:pPr>
            <w:r>
              <w:rPr>
                <w:spacing w:val="-2"/>
              </w:rPr>
              <w:t>0.004</w:t>
            </w:r>
          </w:p>
        </w:tc>
        <w:tc>
          <w:tcPr>
            <w:tcW w:w="1189" w:type="dxa"/>
            <w:vAlign w:val="top"/>
          </w:tcPr>
          <w:p w14:paraId="1A1EA505">
            <w:pPr>
              <w:pStyle w:val="6"/>
              <w:spacing w:before="101" w:line="188" w:lineRule="auto"/>
              <w:ind w:left="365"/>
            </w:pPr>
            <w:r>
              <w:rPr>
                <w:spacing w:val="-2"/>
              </w:rPr>
              <w:t>0.005</w:t>
            </w:r>
          </w:p>
        </w:tc>
        <w:tc>
          <w:tcPr>
            <w:tcW w:w="1190" w:type="dxa"/>
            <w:vAlign w:val="top"/>
          </w:tcPr>
          <w:p w14:paraId="1377D6DB">
            <w:pPr>
              <w:pStyle w:val="6"/>
              <w:spacing w:before="101" w:line="188" w:lineRule="auto"/>
              <w:ind w:left="364"/>
            </w:pPr>
            <w:r>
              <w:rPr>
                <w:spacing w:val="-2"/>
              </w:rPr>
              <w:t>0.005</w:t>
            </w:r>
          </w:p>
        </w:tc>
      </w:tr>
      <w:tr w14:paraId="28AF4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5EA127C4">
            <w:pPr>
              <w:rPr>
                <w:rFonts w:ascii="Arial"/>
                <w:sz w:val="21"/>
              </w:rPr>
            </w:pPr>
          </w:p>
        </w:tc>
        <w:tc>
          <w:tcPr>
            <w:tcW w:w="1187" w:type="dxa"/>
            <w:vMerge w:val="continue"/>
            <w:tcBorders>
              <w:top w:val="nil"/>
            </w:tcBorders>
            <w:vAlign w:val="top"/>
          </w:tcPr>
          <w:p w14:paraId="01F42A0D">
            <w:pPr>
              <w:rPr>
                <w:rFonts w:ascii="Arial"/>
                <w:sz w:val="21"/>
              </w:rPr>
            </w:pPr>
          </w:p>
        </w:tc>
        <w:tc>
          <w:tcPr>
            <w:tcW w:w="1187" w:type="dxa"/>
            <w:vAlign w:val="top"/>
          </w:tcPr>
          <w:p w14:paraId="75094EF3">
            <w:pPr>
              <w:spacing w:before="63"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4D1ED72C">
            <w:pPr>
              <w:pStyle w:val="6"/>
              <w:spacing w:before="100" w:line="188" w:lineRule="auto"/>
              <w:ind w:left="430"/>
            </w:pPr>
            <w:r>
              <w:rPr>
                <w:spacing w:val="-2"/>
              </w:rPr>
              <w:t>&lt;10</w:t>
            </w:r>
          </w:p>
        </w:tc>
        <w:tc>
          <w:tcPr>
            <w:tcW w:w="1188" w:type="dxa"/>
            <w:vAlign w:val="top"/>
          </w:tcPr>
          <w:p w14:paraId="19EE20B5">
            <w:pPr>
              <w:pStyle w:val="6"/>
              <w:spacing w:before="100" w:line="188" w:lineRule="auto"/>
              <w:ind w:left="432"/>
            </w:pPr>
            <w:r>
              <w:rPr>
                <w:spacing w:val="-2"/>
              </w:rPr>
              <w:t>&lt;10</w:t>
            </w:r>
          </w:p>
        </w:tc>
        <w:tc>
          <w:tcPr>
            <w:tcW w:w="1189" w:type="dxa"/>
            <w:vAlign w:val="top"/>
          </w:tcPr>
          <w:p w14:paraId="1F362648">
            <w:pPr>
              <w:pStyle w:val="6"/>
              <w:spacing w:before="100" w:line="188" w:lineRule="auto"/>
              <w:ind w:left="433"/>
            </w:pPr>
            <w:r>
              <w:rPr>
                <w:spacing w:val="-2"/>
              </w:rPr>
              <w:t>&lt;10</w:t>
            </w:r>
          </w:p>
        </w:tc>
        <w:tc>
          <w:tcPr>
            <w:tcW w:w="1190" w:type="dxa"/>
            <w:vAlign w:val="top"/>
          </w:tcPr>
          <w:p w14:paraId="4DA52B9E">
            <w:pPr>
              <w:pStyle w:val="6"/>
              <w:spacing w:before="100" w:line="188" w:lineRule="auto"/>
              <w:ind w:left="432"/>
            </w:pPr>
            <w:r>
              <w:rPr>
                <w:spacing w:val="-2"/>
              </w:rPr>
              <w:t>&lt;10</w:t>
            </w:r>
          </w:p>
        </w:tc>
      </w:tr>
      <w:tr w14:paraId="17BB3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3EBEC347">
            <w:pPr>
              <w:rPr>
                <w:rFonts w:ascii="Arial"/>
                <w:sz w:val="21"/>
              </w:rPr>
            </w:pPr>
          </w:p>
        </w:tc>
        <w:tc>
          <w:tcPr>
            <w:tcW w:w="1187" w:type="dxa"/>
            <w:vMerge w:val="restart"/>
            <w:tcBorders>
              <w:bottom w:val="nil"/>
            </w:tcBorders>
            <w:vAlign w:val="top"/>
          </w:tcPr>
          <w:p w14:paraId="52E6B8F3">
            <w:pPr>
              <w:spacing w:line="343" w:lineRule="auto"/>
              <w:rPr>
                <w:rFonts w:ascii="Arial"/>
                <w:sz w:val="21"/>
              </w:rPr>
            </w:pPr>
          </w:p>
          <w:p w14:paraId="26502BCB">
            <w:pPr>
              <w:pStyle w:val="6"/>
              <w:spacing w:before="69" w:line="220" w:lineRule="auto"/>
              <w:ind w:left="174"/>
              <w:rPr>
                <w:rFonts w:ascii="宋体" w:hAnsi="宋体" w:eastAsia="宋体" w:cs="宋体"/>
              </w:rPr>
            </w:pPr>
            <w:r>
              <w:rPr>
                <w:spacing w:val="-1"/>
              </w:rPr>
              <w:t>2#</w:t>
            </w:r>
            <w:r>
              <w:rPr>
                <w:rFonts w:ascii="宋体" w:hAnsi="宋体" w:eastAsia="宋体" w:cs="宋体"/>
                <w:spacing w:val="-1"/>
              </w:rPr>
              <w:t>居民点</w:t>
            </w:r>
          </w:p>
        </w:tc>
        <w:tc>
          <w:tcPr>
            <w:tcW w:w="1187" w:type="dxa"/>
            <w:vAlign w:val="top"/>
          </w:tcPr>
          <w:p w14:paraId="77565539">
            <w:pPr>
              <w:spacing w:before="65"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537CDBB0">
            <w:pPr>
              <w:pStyle w:val="6"/>
              <w:spacing w:before="101" w:line="188" w:lineRule="auto"/>
              <w:ind w:left="415"/>
            </w:pPr>
            <w:r>
              <w:rPr>
                <w:spacing w:val="-2"/>
              </w:rPr>
              <w:t>0.12</w:t>
            </w:r>
          </w:p>
        </w:tc>
        <w:tc>
          <w:tcPr>
            <w:tcW w:w="1188" w:type="dxa"/>
            <w:vAlign w:val="top"/>
          </w:tcPr>
          <w:p w14:paraId="68727110">
            <w:pPr>
              <w:pStyle w:val="6"/>
              <w:spacing w:before="101" w:line="188" w:lineRule="auto"/>
              <w:ind w:left="416"/>
            </w:pPr>
            <w:r>
              <w:rPr>
                <w:spacing w:val="-2"/>
              </w:rPr>
              <w:t>0.12</w:t>
            </w:r>
          </w:p>
        </w:tc>
        <w:tc>
          <w:tcPr>
            <w:tcW w:w="1189" w:type="dxa"/>
            <w:vAlign w:val="top"/>
          </w:tcPr>
          <w:p w14:paraId="31FEA6E6">
            <w:pPr>
              <w:pStyle w:val="6"/>
              <w:spacing w:before="101" w:line="188" w:lineRule="auto"/>
              <w:ind w:left="417"/>
            </w:pPr>
            <w:r>
              <w:rPr>
                <w:spacing w:val="-2"/>
              </w:rPr>
              <w:t>0.11</w:t>
            </w:r>
          </w:p>
        </w:tc>
        <w:tc>
          <w:tcPr>
            <w:tcW w:w="1190" w:type="dxa"/>
            <w:vAlign w:val="top"/>
          </w:tcPr>
          <w:p w14:paraId="26DB80A0">
            <w:pPr>
              <w:pStyle w:val="6"/>
              <w:spacing w:before="101" w:line="188" w:lineRule="auto"/>
              <w:ind w:left="416"/>
            </w:pPr>
            <w:r>
              <w:rPr>
                <w:spacing w:val="-2"/>
              </w:rPr>
              <w:t>0.13</w:t>
            </w:r>
          </w:p>
        </w:tc>
      </w:tr>
      <w:tr w14:paraId="5D3C0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2AB13B91">
            <w:pPr>
              <w:rPr>
                <w:rFonts w:ascii="Arial"/>
                <w:sz w:val="21"/>
              </w:rPr>
            </w:pPr>
          </w:p>
        </w:tc>
        <w:tc>
          <w:tcPr>
            <w:tcW w:w="1187" w:type="dxa"/>
            <w:vMerge w:val="continue"/>
            <w:tcBorders>
              <w:top w:val="nil"/>
              <w:bottom w:val="nil"/>
            </w:tcBorders>
            <w:vAlign w:val="top"/>
          </w:tcPr>
          <w:p w14:paraId="56939758">
            <w:pPr>
              <w:rPr>
                <w:rFonts w:ascii="Arial"/>
                <w:sz w:val="21"/>
              </w:rPr>
            </w:pPr>
          </w:p>
        </w:tc>
        <w:tc>
          <w:tcPr>
            <w:tcW w:w="1187" w:type="dxa"/>
            <w:vAlign w:val="top"/>
          </w:tcPr>
          <w:p w14:paraId="771480A5">
            <w:pPr>
              <w:spacing w:before="64"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693946DF">
            <w:pPr>
              <w:pStyle w:val="6"/>
              <w:spacing w:before="101" w:line="188" w:lineRule="auto"/>
              <w:ind w:left="362"/>
            </w:pPr>
            <w:r>
              <w:rPr>
                <w:spacing w:val="-2"/>
              </w:rPr>
              <w:t>0.006</w:t>
            </w:r>
          </w:p>
        </w:tc>
        <w:tc>
          <w:tcPr>
            <w:tcW w:w="1188" w:type="dxa"/>
            <w:vAlign w:val="top"/>
          </w:tcPr>
          <w:p w14:paraId="64AE2143">
            <w:pPr>
              <w:pStyle w:val="6"/>
              <w:spacing w:before="101" w:line="188" w:lineRule="auto"/>
              <w:ind w:left="363"/>
            </w:pPr>
            <w:r>
              <w:rPr>
                <w:spacing w:val="-2"/>
              </w:rPr>
              <w:t>0.006</w:t>
            </w:r>
          </w:p>
        </w:tc>
        <w:tc>
          <w:tcPr>
            <w:tcW w:w="1189" w:type="dxa"/>
            <w:vAlign w:val="top"/>
          </w:tcPr>
          <w:p w14:paraId="5CFA90A7">
            <w:pPr>
              <w:pStyle w:val="6"/>
              <w:spacing w:before="101" w:line="188" w:lineRule="auto"/>
              <w:ind w:left="365"/>
            </w:pPr>
            <w:r>
              <w:rPr>
                <w:spacing w:val="-2"/>
              </w:rPr>
              <w:t>0.006</w:t>
            </w:r>
          </w:p>
        </w:tc>
        <w:tc>
          <w:tcPr>
            <w:tcW w:w="1190" w:type="dxa"/>
            <w:vAlign w:val="top"/>
          </w:tcPr>
          <w:p w14:paraId="2508C23A">
            <w:pPr>
              <w:pStyle w:val="6"/>
              <w:spacing w:before="101" w:line="188" w:lineRule="auto"/>
              <w:ind w:left="364"/>
            </w:pPr>
            <w:r>
              <w:rPr>
                <w:spacing w:val="-2"/>
              </w:rPr>
              <w:t>0.005</w:t>
            </w:r>
          </w:p>
        </w:tc>
      </w:tr>
      <w:tr w14:paraId="7C5C0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tcBorders>
            <w:vAlign w:val="top"/>
          </w:tcPr>
          <w:p w14:paraId="4E1DE5AB">
            <w:pPr>
              <w:rPr>
                <w:rFonts w:ascii="Arial"/>
                <w:sz w:val="21"/>
              </w:rPr>
            </w:pPr>
          </w:p>
        </w:tc>
        <w:tc>
          <w:tcPr>
            <w:tcW w:w="1187" w:type="dxa"/>
            <w:vMerge w:val="continue"/>
            <w:tcBorders>
              <w:top w:val="nil"/>
            </w:tcBorders>
            <w:vAlign w:val="top"/>
          </w:tcPr>
          <w:p w14:paraId="15FA4D94">
            <w:pPr>
              <w:rPr>
                <w:rFonts w:ascii="Arial"/>
                <w:sz w:val="21"/>
              </w:rPr>
            </w:pPr>
          </w:p>
        </w:tc>
        <w:tc>
          <w:tcPr>
            <w:tcW w:w="1187" w:type="dxa"/>
            <w:vAlign w:val="top"/>
          </w:tcPr>
          <w:p w14:paraId="1DEC6FC8">
            <w:pPr>
              <w:spacing w:before="64"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270C9642">
            <w:pPr>
              <w:pStyle w:val="6"/>
              <w:spacing w:before="101" w:line="188" w:lineRule="auto"/>
              <w:ind w:left="430"/>
            </w:pPr>
            <w:r>
              <w:rPr>
                <w:spacing w:val="-2"/>
              </w:rPr>
              <w:t>&lt;10</w:t>
            </w:r>
          </w:p>
        </w:tc>
        <w:tc>
          <w:tcPr>
            <w:tcW w:w="1188" w:type="dxa"/>
            <w:vAlign w:val="top"/>
          </w:tcPr>
          <w:p w14:paraId="77B68D1A">
            <w:pPr>
              <w:pStyle w:val="6"/>
              <w:spacing w:before="101" w:line="188" w:lineRule="auto"/>
              <w:ind w:left="432"/>
            </w:pPr>
            <w:r>
              <w:rPr>
                <w:spacing w:val="-2"/>
              </w:rPr>
              <w:t>&lt;10</w:t>
            </w:r>
          </w:p>
        </w:tc>
        <w:tc>
          <w:tcPr>
            <w:tcW w:w="1189" w:type="dxa"/>
            <w:vAlign w:val="top"/>
          </w:tcPr>
          <w:p w14:paraId="71D1AD62">
            <w:pPr>
              <w:pStyle w:val="6"/>
              <w:spacing w:before="101" w:line="188" w:lineRule="auto"/>
              <w:ind w:left="433"/>
            </w:pPr>
            <w:r>
              <w:rPr>
                <w:spacing w:val="-2"/>
              </w:rPr>
              <w:t>&lt;10</w:t>
            </w:r>
          </w:p>
        </w:tc>
        <w:tc>
          <w:tcPr>
            <w:tcW w:w="1190" w:type="dxa"/>
            <w:vAlign w:val="top"/>
          </w:tcPr>
          <w:p w14:paraId="528CE5E3">
            <w:pPr>
              <w:pStyle w:val="6"/>
              <w:spacing w:before="101" w:line="188" w:lineRule="auto"/>
              <w:ind w:left="432"/>
            </w:pPr>
            <w:r>
              <w:rPr>
                <w:spacing w:val="-2"/>
              </w:rPr>
              <w:t>&lt;10</w:t>
            </w:r>
          </w:p>
        </w:tc>
      </w:tr>
      <w:tr w14:paraId="0C0F1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restart"/>
            <w:tcBorders>
              <w:bottom w:val="nil"/>
            </w:tcBorders>
            <w:vAlign w:val="top"/>
          </w:tcPr>
          <w:p w14:paraId="5A141A7D">
            <w:pPr>
              <w:spacing w:line="355" w:lineRule="auto"/>
              <w:rPr>
                <w:rFonts w:ascii="Arial"/>
                <w:sz w:val="21"/>
              </w:rPr>
            </w:pPr>
          </w:p>
          <w:p w14:paraId="360D7E6C">
            <w:pPr>
              <w:spacing w:line="356" w:lineRule="auto"/>
              <w:rPr>
                <w:rFonts w:ascii="Arial"/>
                <w:sz w:val="21"/>
              </w:rPr>
            </w:pPr>
          </w:p>
          <w:p w14:paraId="7214C860">
            <w:pPr>
              <w:pStyle w:val="6"/>
              <w:spacing w:before="68" w:line="220" w:lineRule="auto"/>
              <w:ind w:left="256"/>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6007BDCA">
            <w:pPr>
              <w:pStyle w:val="6"/>
              <w:spacing w:before="61" w:line="220" w:lineRule="auto"/>
              <w:ind w:left="170"/>
              <w:rPr>
                <w:rFonts w:ascii="宋体" w:hAnsi="宋体" w:eastAsia="宋体" w:cs="宋体"/>
              </w:rPr>
            </w:pPr>
            <w:r>
              <w:rPr>
                <w:spacing w:val="-9"/>
              </w:rPr>
              <w:t>12</w:t>
            </w:r>
            <w:r>
              <w:rPr>
                <w:spacing w:val="12"/>
              </w:rPr>
              <w:t xml:space="preserve"> </w:t>
            </w:r>
            <w:r>
              <w:rPr>
                <w:rFonts w:ascii="宋体" w:hAnsi="宋体" w:eastAsia="宋体" w:cs="宋体"/>
                <w:spacing w:val="-9"/>
              </w:rPr>
              <w:t>月</w:t>
            </w:r>
            <w:r>
              <w:rPr>
                <w:rFonts w:ascii="宋体" w:hAnsi="宋体" w:eastAsia="宋体" w:cs="宋体"/>
                <w:spacing w:val="-45"/>
              </w:rPr>
              <w:t xml:space="preserve"> </w:t>
            </w:r>
            <w:r>
              <w:rPr>
                <w:spacing w:val="-9"/>
              </w:rPr>
              <w:t>7</w:t>
            </w:r>
            <w:r>
              <w:rPr>
                <w:spacing w:val="45"/>
                <w:w w:val="101"/>
              </w:rPr>
              <w:t xml:space="preserve"> </w:t>
            </w:r>
            <w:r>
              <w:rPr>
                <w:rFonts w:ascii="宋体" w:hAnsi="宋体" w:eastAsia="宋体" w:cs="宋体"/>
                <w:spacing w:val="-9"/>
              </w:rPr>
              <w:t>日</w:t>
            </w:r>
          </w:p>
        </w:tc>
        <w:tc>
          <w:tcPr>
            <w:tcW w:w="1187" w:type="dxa"/>
            <w:vMerge w:val="restart"/>
            <w:tcBorders>
              <w:bottom w:val="nil"/>
            </w:tcBorders>
            <w:vAlign w:val="top"/>
          </w:tcPr>
          <w:p w14:paraId="1087EC15">
            <w:pPr>
              <w:spacing w:line="344" w:lineRule="auto"/>
              <w:rPr>
                <w:rFonts w:ascii="Arial"/>
                <w:sz w:val="21"/>
              </w:rPr>
            </w:pPr>
          </w:p>
          <w:p w14:paraId="7086DC7A">
            <w:pPr>
              <w:pStyle w:val="6"/>
              <w:spacing w:before="69" w:line="220" w:lineRule="auto"/>
              <w:ind w:left="194"/>
              <w:rPr>
                <w:rFonts w:ascii="宋体" w:hAnsi="宋体" w:eastAsia="宋体" w:cs="宋体"/>
              </w:rPr>
            </w:pPr>
            <w:r>
              <w:rPr>
                <w:spacing w:val="-5"/>
              </w:rPr>
              <w:t>1#</w:t>
            </w:r>
            <w:r>
              <w:rPr>
                <w:rFonts w:ascii="宋体" w:hAnsi="宋体" w:eastAsia="宋体" w:cs="宋体"/>
                <w:spacing w:val="-5"/>
              </w:rPr>
              <w:t>项目地</w:t>
            </w:r>
          </w:p>
        </w:tc>
        <w:tc>
          <w:tcPr>
            <w:tcW w:w="1187" w:type="dxa"/>
            <w:vAlign w:val="top"/>
          </w:tcPr>
          <w:p w14:paraId="6F73256C">
            <w:pPr>
              <w:spacing w:before="66"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3809D684">
            <w:pPr>
              <w:pStyle w:val="6"/>
              <w:spacing w:before="102" w:line="188" w:lineRule="auto"/>
              <w:ind w:left="415"/>
            </w:pPr>
            <w:r>
              <w:rPr>
                <w:spacing w:val="-2"/>
              </w:rPr>
              <w:t>0.11</w:t>
            </w:r>
          </w:p>
        </w:tc>
        <w:tc>
          <w:tcPr>
            <w:tcW w:w="1188" w:type="dxa"/>
            <w:vAlign w:val="top"/>
          </w:tcPr>
          <w:p w14:paraId="6E5EF821">
            <w:pPr>
              <w:pStyle w:val="6"/>
              <w:spacing w:before="102" w:line="188" w:lineRule="auto"/>
              <w:ind w:left="416"/>
            </w:pPr>
            <w:r>
              <w:rPr>
                <w:spacing w:val="-2"/>
              </w:rPr>
              <w:t>0.10</w:t>
            </w:r>
          </w:p>
        </w:tc>
        <w:tc>
          <w:tcPr>
            <w:tcW w:w="1189" w:type="dxa"/>
            <w:vAlign w:val="top"/>
          </w:tcPr>
          <w:p w14:paraId="5E3991E0">
            <w:pPr>
              <w:pStyle w:val="6"/>
              <w:spacing w:before="102" w:line="188" w:lineRule="auto"/>
              <w:ind w:left="417"/>
            </w:pPr>
            <w:r>
              <w:rPr>
                <w:spacing w:val="-2"/>
              </w:rPr>
              <w:t>0.11</w:t>
            </w:r>
          </w:p>
        </w:tc>
        <w:tc>
          <w:tcPr>
            <w:tcW w:w="1190" w:type="dxa"/>
            <w:vAlign w:val="top"/>
          </w:tcPr>
          <w:p w14:paraId="43B48E84">
            <w:pPr>
              <w:pStyle w:val="6"/>
              <w:spacing w:before="102" w:line="188" w:lineRule="auto"/>
              <w:ind w:left="416"/>
            </w:pPr>
            <w:r>
              <w:rPr>
                <w:spacing w:val="-2"/>
              </w:rPr>
              <w:t>0.10</w:t>
            </w:r>
          </w:p>
        </w:tc>
      </w:tr>
      <w:tr w14:paraId="14B3B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08829EFF">
            <w:pPr>
              <w:rPr>
                <w:rFonts w:ascii="Arial"/>
                <w:sz w:val="21"/>
              </w:rPr>
            </w:pPr>
          </w:p>
        </w:tc>
        <w:tc>
          <w:tcPr>
            <w:tcW w:w="1187" w:type="dxa"/>
            <w:vMerge w:val="continue"/>
            <w:tcBorders>
              <w:top w:val="nil"/>
              <w:bottom w:val="nil"/>
            </w:tcBorders>
            <w:vAlign w:val="top"/>
          </w:tcPr>
          <w:p w14:paraId="26103EF9">
            <w:pPr>
              <w:rPr>
                <w:rFonts w:ascii="Arial"/>
                <w:sz w:val="21"/>
              </w:rPr>
            </w:pPr>
          </w:p>
        </w:tc>
        <w:tc>
          <w:tcPr>
            <w:tcW w:w="1187" w:type="dxa"/>
            <w:vAlign w:val="top"/>
          </w:tcPr>
          <w:p w14:paraId="71B1F628">
            <w:pPr>
              <w:spacing w:before="65"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7D138671">
            <w:pPr>
              <w:pStyle w:val="6"/>
              <w:spacing w:before="102" w:line="188" w:lineRule="auto"/>
              <w:ind w:left="362"/>
            </w:pPr>
            <w:r>
              <w:rPr>
                <w:spacing w:val="-2"/>
              </w:rPr>
              <w:t>0.003</w:t>
            </w:r>
          </w:p>
        </w:tc>
        <w:tc>
          <w:tcPr>
            <w:tcW w:w="1188" w:type="dxa"/>
            <w:vAlign w:val="top"/>
          </w:tcPr>
          <w:p w14:paraId="36998E9F">
            <w:pPr>
              <w:pStyle w:val="6"/>
              <w:spacing w:before="102" w:line="188" w:lineRule="auto"/>
              <w:ind w:left="363"/>
            </w:pPr>
            <w:r>
              <w:rPr>
                <w:spacing w:val="-2"/>
              </w:rPr>
              <w:t>0.004</w:t>
            </w:r>
          </w:p>
        </w:tc>
        <w:tc>
          <w:tcPr>
            <w:tcW w:w="1189" w:type="dxa"/>
            <w:vAlign w:val="top"/>
          </w:tcPr>
          <w:p w14:paraId="3BF8C50B">
            <w:pPr>
              <w:pStyle w:val="6"/>
              <w:spacing w:before="102" w:line="188" w:lineRule="auto"/>
              <w:ind w:left="365"/>
            </w:pPr>
            <w:r>
              <w:rPr>
                <w:spacing w:val="-2"/>
              </w:rPr>
              <w:t>0.002</w:t>
            </w:r>
          </w:p>
        </w:tc>
        <w:tc>
          <w:tcPr>
            <w:tcW w:w="1190" w:type="dxa"/>
            <w:vAlign w:val="top"/>
          </w:tcPr>
          <w:p w14:paraId="3F4F7D18">
            <w:pPr>
              <w:pStyle w:val="6"/>
              <w:spacing w:before="102" w:line="188" w:lineRule="auto"/>
              <w:ind w:left="364"/>
            </w:pPr>
            <w:r>
              <w:rPr>
                <w:spacing w:val="-2"/>
              </w:rPr>
              <w:t>0.004</w:t>
            </w:r>
          </w:p>
        </w:tc>
      </w:tr>
      <w:tr w14:paraId="0FC8D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2058E932">
            <w:pPr>
              <w:rPr>
                <w:rFonts w:ascii="Arial"/>
                <w:sz w:val="21"/>
              </w:rPr>
            </w:pPr>
          </w:p>
        </w:tc>
        <w:tc>
          <w:tcPr>
            <w:tcW w:w="1187" w:type="dxa"/>
            <w:vMerge w:val="continue"/>
            <w:tcBorders>
              <w:top w:val="nil"/>
            </w:tcBorders>
            <w:vAlign w:val="top"/>
          </w:tcPr>
          <w:p w14:paraId="26FE28CF">
            <w:pPr>
              <w:rPr>
                <w:rFonts w:ascii="Arial"/>
                <w:sz w:val="21"/>
              </w:rPr>
            </w:pPr>
          </w:p>
        </w:tc>
        <w:tc>
          <w:tcPr>
            <w:tcW w:w="1187" w:type="dxa"/>
            <w:vAlign w:val="top"/>
          </w:tcPr>
          <w:p w14:paraId="7D023BA9">
            <w:pPr>
              <w:spacing w:before="65"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26D699B2">
            <w:pPr>
              <w:pStyle w:val="6"/>
              <w:spacing w:before="102" w:line="188" w:lineRule="auto"/>
              <w:ind w:left="430"/>
            </w:pPr>
            <w:r>
              <w:rPr>
                <w:spacing w:val="-2"/>
              </w:rPr>
              <w:t>&lt;10</w:t>
            </w:r>
          </w:p>
        </w:tc>
        <w:tc>
          <w:tcPr>
            <w:tcW w:w="1188" w:type="dxa"/>
            <w:vAlign w:val="top"/>
          </w:tcPr>
          <w:p w14:paraId="76625B25">
            <w:pPr>
              <w:pStyle w:val="6"/>
              <w:spacing w:before="102" w:line="188" w:lineRule="auto"/>
              <w:ind w:left="432"/>
            </w:pPr>
            <w:r>
              <w:rPr>
                <w:spacing w:val="-2"/>
              </w:rPr>
              <w:t>&lt;10</w:t>
            </w:r>
          </w:p>
        </w:tc>
        <w:tc>
          <w:tcPr>
            <w:tcW w:w="1189" w:type="dxa"/>
            <w:vAlign w:val="top"/>
          </w:tcPr>
          <w:p w14:paraId="7B1E96C6">
            <w:pPr>
              <w:pStyle w:val="6"/>
              <w:spacing w:before="102" w:line="188" w:lineRule="auto"/>
              <w:ind w:left="433"/>
            </w:pPr>
            <w:r>
              <w:rPr>
                <w:spacing w:val="-2"/>
              </w:rPr>
              <w:t>&lt;10</w:t>
            </w:r>
          </w:p>
        </w:tc>
        <w:tc>
          <w:tcPr>
            <w:tcW w:w="1190" w:type="dxa"/>
            <w:vAlign w:val="top"/>
          </w:tcPr>
          <w:p w14:paraId="58A61F19">
            <w:pPr>
              <w:pStyle w:val="6"/>
              <w:spacing w:before="102" w:line="188" w:lineRule="auto"/>
              <w:ind w:left="432"/>
            </w:pPr>
            <w:r>
              <w:rPr>
                <w:spacing w:val="-2"/>
              </w:rPr>
              <w:t>&lt;10</w:t>
            </w:r>
          </w:p>
        </w:tc>
      </w:tr>
      <w:tr w14:paraId="35B41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19E1244F">
            <w:pPr>
              <w:rPr>
                <w:rFonts w:ascii="Arial"/>
                <w:sz w:val="21"/>
              </w:rPr>
            </w:pPr>
          </w:p>
        </w:tc>
        <w:tc>
          <w:tcPr>
            <w:tcW w:w="1187" w:type="dxa"/>
            <w:vMerge w:val="restart"/>
            <w:tcBorders>
              <w:bottom w:val="nil"/>
            </w:tcBorders>
            <w:vAlign w:val="top"/>
          </w:tcPr>
          <w:p w14:paraId="05099BCC">
            <w:pPr>
              <w:spacing w:line="345" w:lineRule="auto"/>
              <w:rPr>
                <w:rFonts w:ascii="Arial"/>
                <w:sz w:val="21"/>
              </w:rPr>
            </w:pPr>
          </w:p>
          <w:p w14:paraId="5481BFFB">
            <w:pPr>
              <w:pStyle w:val="6"/>
              <w:spacing w:before="69" w:line="220" w:lineRule="auto"/>
              <w:ind w:left="174"/>
              <w:rPr>
                <w:rFonts w:ascii="宋体" w:hAnsi="宋体" w:eastAsia="宋体" w:cs="宋体"/>
              </w:rPr>
            </w:pPr>
            <w:r>
              <w:rPr>
                <w:spacing w:val="-1"/>
              </w:rPr>
              <w:t>2#</w:t>
            </w:r>
            <w:r>
              <w:rPr>
                <w:rFonts w:ascii="宋体" w:hAnsi="宋体" w:eastAsia="宋体" w:cs="宋体"/>
                <w:spacing w:val="-1"/>
              </w:rPr>
              <w:t>居民点</w:t>
            </w:r>
          </w:p>
        </w:tc>
        <w:tc>
          <w:tcPr>
            <w:tcW w:w="1187" w:type="dxa"/>
            <w:vAlign w:val="top"/>
          </w:tcPr>
          <w:p w14:paraId="0E8B800E">
            <w:pPr>
              <w:spacing w:before="67"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29FB4C18">
            <w:pPr>
              <w:pStyle w:val="6"/>
              <w:spacing w:before="103" w:line="188" w:lineRule="auto"/>
              <w:ind w:left="415"/>
            </w:pPr>
            <w:r>
              <w:rPr>
                <w:spacing w:val="-2"/>
              </w:rPr>
              <w:t>0.11</w:t>
            </w:r>
          </w:p>
        </w:tc>
        <w:tc>
          <w:tcPr>
            <w:tcW w:w="1188" w:type="dxa"/>
            <w:vAlign w:val="top"/>
          </w:tcPr>
          <w:p w14:paraId="1458264A">
            <w:pPr>
              <w:pStyle w:val="6"/>
              <w:spacing w:before="103" w:line="188" w:lineRule="auto"/>
              <w:ind w:left="416"/>
            </w:pPr>
            <w:r>
              <w:rPr>
                <w:spacing w:val="-2"/>
              </w:rPr>
              <w:t>0.12</w:t>
            </w:r>
          </w:p>
        </w:tc>
        <w:tc>
          <w:tcPr>
            <w:tcW w:w="1189" w:type="dxa"/>
            <w:vAlign w:val="top"/>
          </w:tcPr>
          <w:p w14:paraId="706B6FBC">
            <w:pPr>
              <w:pStyle w:val="6"/>
              <w:spacing w:before="103" w:line="188" w:lineRule="auto"/>
              <w:ind w:left="417"/>
            </w:pPr>
            <w:r>
              <w:rPr>
                <w:spacing w:val="-2"/>
              </w:rPr>
              <w:t>0.12</w:t>
            </w:r>
          </w:p>
        </w:tc>
        <w:tc>
          <w:tcPr>
            <w:tcW w:w="1190" w:type="dxa"/>
            <w:vAlign w:val="top"/>
          </w:tcPr>
          <w:p w14:paraId="238692CA">
            <w:pPr>
              <w:pStyle w:val="6"/>
              <w:spacing w:before="103" w:line="188" w:lineRule="auto"/>
              <w:ind w:left="416"/>
            </w:pPr>
            <w:r>
              <w:rPr>
                <w:spacing w:val="-2"/>
              </w:rPr>
              <w:t>0.11</w:t>
            </w:r>
          </w:p>
        </w:tc>
      </w:tr>
      <w:tr w14:paraId="74D14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0C60930F">
            <w:pPr>
              <w:rPr>
                <w:rFonts w:ascii="Arial"/>
                <w:sz w:val="21"/>
              </w:rPr>
            </w:pPr>
          </w:p>
        </w:tc>
        <w:tc>
          <w:tcPr>
            <w:tcW w:w="1187" w:type="dxa"/>
            <w:vMerge w:val="continue"/>
            <w:tcBorders>
              <w:top w:val="nil"/>
              <w:bottom w:val="nil"/>
            </w:tcBorders>
            <w:vAlign w:val="top"/>
          </w:tcPr>
          <w:p w14:paraId="149270AD">
            <w:pPr>
              <w:rPr>
                <w:rFonts w:ascii="Arial"/>
                <w:sz w:val="21"/>
              </w:rPr>
            </w:pPr>
          </w:p>
        </w:tc>
        <w:tc>
          <w:tcPr>
            <w:tcW w:w="1187" w:type="dxa"/>
            <w:vAlign w:val="top"/>
          </w:tcPr>
          <w:p w14:paraId="60FF0E0B">
            <w:pPr>
              <w:spacing w:before="66"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22A68229">
            <w:pPr>
              <w:pStyle w:val="6"/>
              <w:spacing w:before="103" w:line="188" w:lineRule="auto"/>
              <w:ind w:left="362"/>
            </w:pPr>
            <w:r>
              <w:rPr>
                <w:spacing w:val="-2"/>
              </w:rPr>
              <w:t>0.003</w:t>
            </w:r>
          </w:p>
        </w:tc>
        <w:tc>
          <w:tcPr>
            <w:tcW w:w="1188" w:type="dxa"/>
            <w:vAlign w:val="top"/>
          </w:tcPr>
          <w:p w14:paraId="74298A04">
            <w:pPr>
              <w:pStyle w:val="6"/>
              <w:spacing w:before="103" w:line="188" w:lineRule="auto"/>
              <w:ind w:left="363"/>
            </w:pPr>
            <w:r>
              <w:rPr>
                <w:spacing w:val="-2"/>
              </w:rPr>
              <w:t>0.004</w:t>
            </w:r>
          </w:p>
        </w:tc>
        <w:tc>
          <w:tcPr>
            <w:tcW w:w="1189" w:type="dxa"/>
            <w:vAlign w:val="top"/>
          </w:tcPr>
          <w:p w14:paraId="0B742909">
            <w:pPr>
              <w:pStyle w:val="6"/>
              <w:spacing w:before="103" w:line="188" w:lineRule="auto"/>
              <w:ind w:left="365"/>
            </w:pPr>
            <w:r>
              <w:rPr>
                <w:spacing w:val="-2"/>
              </w:rPr>
              <w:t>0.005</w:t>
            </w:r>
          </w:p>
        </w:tc>
        <w:tc>
          <w:tcPr>
            <w:tcW w:w="1190" w:type="dxa"/>
            <w:vAlign w:val="top"/>
          </w:tcPr>
          <w:p w14:paraId="4BA52E79">
            <w:pPr>
              <w:pStyle w:val="6"/>
              <w:spacing w:before="103" w:line="188" w:lineRule="auto"/>
              <w:ind w:left="364"/>
            </w:pPr>
            <w:r>
              <w:rPr>
                <w:spacing w:val="-2"/>
              </w:rPr>
              <w:t>0.005</w:t>
            </w:r>
          </w:p>
        </w:tc>
      </w:tr>
      <w:tr w14:paraId="29A26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tcBorders>
            <w:vAlign w:val="top"/>
          </w:tcPr>
          <w:p w14:paraId="4D78E6A8">
            <w:pPr>
              <w:rPr>
                <w:rFonts w:ascii="Arial"/>
                <w:sz w:val="21"/>
              </w:rPr>
            </w:pPr>
          </w:p>
        </w:tc>
        <w:tc>
          <w:tcPr>
            <w:tcW w:w="1187" w:type="dxa"/>
            <w:vMerge w:val="continue"/>
            <w:tcBorders>
              <w:top w:val="nil"/>
            </w:tcBorders>
            <w:vAlign w:val="top"/>
          </w:tcPr>
          <w:p w14:paraId="3892699C">
            <w:pPr>
              <w:rPr>
                <w:rFonts w:ascii="Arial"/>
                <w:sz w:val="21"/>
              </w:rPr>
            </w:pPr>
          </w:p>
        </w:tc>
        <w:tc>
          <w:tcPr>
            <w:tcW w:w="1187" w:type="dxa"/>
            <w:vAlign w:val="top"/>
          </w:tcPr>
          <w:p w14:paraId="7F8CE85D">
            <w:pPr>
              <w:spacing w:before="66"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1F252F86">
            <w:pPr>
              <w:pStyle w:val="6"/>
              <w:spacing w:before="103" w:line="188" w:lineRule="auto"/>
              <w:ind w:left="430"/>
            </w:pPr>
            <w:r>
              <w:rPr>
                <w:spacing w:val="-2"/>
              </w:rPr>
              <w:t>&lt;10</w:t>
            </w:r>
          </w:p>
        </w:tc>
        <w:tc>
          <w:tcPr>
            <w:tcW w:w="1188" w:type="dxa"/>
            <w:vAlign w:val="top"/>
          </w:tcPr>
          <w:p w14:paraId="0EFBF3DA">
            <w:pPr>
              <w:pStyle w:val="6"/>
              <w:spacing w:before="103" w:line="188" w:lineRule="auto"/>
              <w:ind w:left="432"/>
            </w:pPr>
            <w:r>
              <w:rPr>
                <w:spacing w:val="-2"/>
              </w:rPr>
              <w:t>&lt;10</w:t>
            </w:r>
          </w:p>
        </w:tc>
        <w:tc>
          <w:tcPr>
            <w:tcW w:w="1189" w:type="dxa"/>
            <w:vAlign w:val="top"/>
          </w:tcPr>
          <w:p w14:paraId="1DEEC875">
            <w:pPr>
              <w:pStyle w:val="6"/>
              <w:spacing w:before="103" w:line="188" w:lineRule="auto"/>
              <w:ind w:left="433"/>
            </w:pPr>
            <w:r>
              <w:rPr>
                <w:spacing w:val="-2"/>
              </w:rPr>
              <w:t>&lt;10</w:t>
            </w:r>
          </w:p>
        </w:tc>
        <w:tc>
          <w:tcPr>
            <w:tcW w:w="1190" w:type="dxa"/>
            <w:vAlign w:val="top"/>
          </w:tcPr>
          <w:p w14:paraId="28B8513E">
            <w:pPr>
              <w:pStyle w:val="6"/>
              <w:spacing w:before="103" w:line="188" w:lineRule="auto"/>
              <w:ind w:left="432"/>
            </w:pPr>
            <w:r>
              <w:rPr>
                <w:spacing w:val="-2"/>
              </w:rPr>
              <w:t>&lt;10</w:t>
            </w:r>
          </w:p>
        </w:tc>
      </w:tr>
      <w:tr w14:paraId="0B402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restart"/>
            <w:tcBorders>
              <w:bottom w:val="nil"/>
            </w:tcBorders>
            <w:vAlign w:val="top"/>
          </w:tcPr>
          <w:p w14:paraId="5665EDC7">
            <w:pPr>
              <w:spacing w:line="356" w:lineRule="auto"/>
              <w:rPr>
                <w:rFonts w:ascii="Arial"/>
                <w:sz w:val="21"/>
              </w:rPr>
            </w:pPr>
          </w:p>
          <w:p w14:paraId="06A33421">
            <w:pPr>
              <w:spacing w:line="357" w:lineRule="auto"/>
              <w:rPr>
                <w:rFonts w:ascii="Arial"/>
                <w:sz w:val="21"/>
              </w:rPr>
            </w:pPr>
          </w:p>
          <w:p w14:paraId="245F6B3C">
            <w:pPr>
              <w:pStyle w:val="6"/>
              <w:spacing w:before="68" w:line="220" w:lineRule="auto"/>
              <w:ind w:left="256"/>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20B89D5B">
            <w:pPr>
              <w:pStyle w:val="6"/>
              <w:spacing w:before="61" w:line="220" w:lineRule="auto"/>
              <w:ind w:left="170"/>
              <w:rPr>
                <w:rFonts w:ascii="宋体" w:hAnsi="宋体" w:eastAsia="宋体" w:cs="宋体"/>
              </w:rPr>
            </w:pPr>
            <w:r>
              <w:rPr>
                <w:spacing w:val="-11"/>
              </w:rPr>
              <w:t>12</w:t>
            </w:r>
            <w:r>
              <w:rPr>
                <w:spacing w:val="16"/>
                <w:w w:val="101"/>
              </w:rPr>
              <w:t xml:space="preserve"> </w:t>
            </w:r>
            <w:r>
              <w:rPr>
                <w:rFonts w:ascii="宋体" w:hAnsi="宋体" w:eastAsia="宋体" w:cs="宋体"/>
                <w:spacing w:val="-11"/>
              </w:rPr>
              <w:t>月</w:t>
            </w:r>
            <w:r>
              <w:rPr>
                <w:rFonts w:ascii="宋体" w:hAnsi="宋体" w:eastAsia="宋体" w:cs="宋体"/>
                <w:spacing w:val="-40"/>
              </w:rPr>
              <w:t xml:space="preserve"> </w:t>
            </w:r>
            <w:r>
              <w:rPr>
                <w:spacing w:val="-11"/>
              </w:rPr>
              <w:t>8</w:t>
            </w:r>
            <w:r>
              <w:rPr>
                <w:spacing w:val="46"/>
              </w:rPr>
              <w:t xml:space="preserve"> </w:t>
            </w:r>
            <w:r>
              <w:rPr>
                <w:rFonts w:ascii="宋体" w:hAnsi="宋体" w:eastAsia="宋体" w:cs="宋体"/>
                <w:spacing w:val="-11"/>
              </w:rPr>
              <w:t>日</w:t>
            </w:r>
          </w:p>
        </w:tc>
        <w:tc>
          <w:tcPr>
            <w:tcW w:w="1187" w:type="dxa"/>
            <w:vMerge w:val="restart"/>
            <w:tcBorders>
              <w:bottom w:val="nil"/>
            </w:tcBorders>
            <w:vAlign w:val="top"/>
          </w:tcPr>
          <w:p w14:paraId="76730ACA">
            <w:pPr>
              <w:spacing w:line="346" w:lineRule="auto"/>
              <w:rPr>
                <w:rFonts w:ascii="Arial"/>
                <w:sz w:val="21"/>
              </w:rPr>
            </w:pPr>
          </w:p>
          <w:p w14:paraId="52EB72F7">
            <w:pPr>
              <w:pStyle w:val="6"/>
              <w:spacing w:before="69" w:line="220" w:lineRule="auto"/>
              <w:ind w:left="194"/>
              <w:rPr>
                <w:rFonts w:ascii="宋体" w:hAnsi="宋体" w:eastAsia="宋体" w:cs="宋体"/>
              </w:rPr>
            </w:pPr>
            <w:r>
              <w:rPr>
                <w:spacing w:val="-5"/>
              </w:rPr>
              <w:t>1#</w:t>
            </w:r>
            <w:r>
              <w:rPr>
                <w:rFonts w:ascii="宋体" w:hAnsi="宋体" w:eastAsia="宋体" w:cs="宋体"/>
                <w:spacing w:val="-5"/>
              </w:rPr>
              <w:t>项目地</w:t>
            </w:r>
          </w:p>
        </w:tc>
        <w:tc>
          <w:tcPr>
            <w:tcW w:w="1187" w:type="dxa"/>
            <w:vAlign w:val="top"/>
          </w:tcPr>
          <w:p w14:paraId="4DACEE56">
            <w:pPr>
              <w:spacing w:before="68"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47CB0E33">
            <w:pPr>
              <w:pStyle w:val="6"/>
              <w:spacing w:before="104" w:line="188" w:lineRule="auto"/>
              <w:ind w:left="415"/>
            </w:pPr>
            <w:r>
              <w:rPr>
                <w:spacing w:val="-2"/>
              </w:rPr>
              <w:t>0.11</w:t>
            </w:r>
          </w:p>
        </w:tc>
        <w:tc>
          <w:tcPr>
            <w:tcW w:w="1188" w:type="dxa"/>
            <w:vAlign w:val="top"/>
          </w:tcPr>
          <w:p w14:paraId="509CCB6B">
            <w:pPr>
              <w:pStyle w:val="6"/>
              <w:spacing w:before="104" w:line="188" w:lineRule="auto"/>
              <w:ind w:left="416"/>
            </w:pPr>
            <w:r>
              <w:rPr>
                <w:spacing w:val="-2"/>
              </w:rPr>
              <w:t>0.11</w:t>
            </w:r>
          </w:p>
        </w:tc>
        <w:tc>
          <w:tcPr>
            <w:tcW w:w="1189" w:type="dxa"/>
            <w:vAlign w:val="top"/>
          </w:tcPr>
          <w:p w14:paraId="10531A1D">
            <w:pPr>
              <w:pStyle w:val="6"/>
              <w:spacing w:before="104" w:line="188" w:lineRule="auto"/>
              <w:ind w:left="417"/>
            </w:pPr>
            <w:r>
              <w:rPr>
                <w:spacing w:val="-2"/>
              </w:rPr>
              <w:t>0.12</w:t>
            </w:r>
          </w:p>
        </w:tc>
        <w:tc>
          <w:tcPr>
            <w:tcW w:w="1190" w:type="dxa"/>
            <w:vAlign w:val="top"/>
          </w:tcPr>
          <w:p w14:paraId="7A45DCD1">
            <w:pPr>
              <w:pStyle w:val="6"/>
              <w:spacing w:before="104" w:line="188" w:lineRule="auto"/>
              <w:ind w:left="416"/>
            </w:pPr>
            <w:r>
              <w:rPr>
                <w:spacing w:val="-2"/>
              </w:rPr>
              <w:t>0.13</w:t>
            </w:r>
          </w:p>
        </w:tc>
      </w:tr>
      <w:tr w14:paraId="3E995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2394DDD3">
            <w:pPr>
              <w:rPr>
                <w:rFonts w:ascii="Arial"/>
                <w:sz w:val="21"/>
              </w:rPr>
            </w:pPr>
          </w:p>
        </w:tc>
        <w:tc>
          <w:tcPr>
            <w:tcW w:w="1187" w:type="dxa"/>
            <w:vMerge w:val="continue"/>
            <w:tcBorders>
              <w:top w:val="nil"/>
              <w:bottom w:val="nil"/>
            </w:tcBorders>
            <w:vAlign w:val="top"/>
          </w:tcPr>
          <w:p w14:paraId="518B9C07">
            <w:pPr>
              <w:rPr>
                <w:rFonts w:ascii="Arial"/>
                <w:sz w:val="21"/>
              </w:rPr>
            </w:pPr>
          </w:p>
        </w:tc>
        <w:tc>
          <w:tcPr>
            <w:tcW w:w="1187" w:type="dxa"/>
            <w:vAlign w:val="top"/>
          </w:tcPr>
          <w:p w14:paraId="4AB09DA4">
            <w:pPr>
              <w:spacing w:before="67"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5F398BF0">
            <w:pPr>
              <w:pStyle w:val="6"/>
              <w:spacing w:before="104" w:line="188" w:lineRule="auto"/>
              <w:ind w:left="362"/>
            </w:pPr>
            <w:r>
              <w:rPr>
                <w:spacing w:val="-2"/>
              </w:rPr>
              <w:t>0.002</w:t>
            </w:r>
          </w:p>
        </w:tc>
        <w:tc>
          <w:tcPr>
            <w:tcW w:w="1188" w:type="dxa"/>
            <w:vAlign w:val="top"/>
          </w:tcPr>
          <w:p w14:paraId="257CA54E">
            <w:pPr>
              <w:pStyle w:val="6"/>
              <w:spacing w:before="104" w:line="188" w:lineRule="auto"/>
              <w:ind w:left="363"/>
            </w:pPr>
            <w:r>
              <w:rPr>
                <w:spacing w:val="-2"/>
              </w:rPr>
              <w:t>0.002</w:t>
            </w:r>
          </w:p>
        </w:tc>
        <w:tc>
          <w:tcPr>
            <w:tcW w:w="1189" w:type="dxa"/>
            <w:vAlign w:val="top"/>
          </w:tcPr>
          <w:p w14:paraId="253A49BD">
            <w:pPr>
              <w:pStyle w:val="6"/>
              <w:spacing w:before="104" w:line="188" w:lineRule="auto"/>
              <w:ind w:left="365"/>
            </w:pPr>
            <w:r>
              <w:rPr>
                <w:spacing w:val="-2"/>
              </w:rPr>
              <w:t>0.003</w:t>
            </w:r>
          </w:p>
        </w:tc>
        <w:tc>
          <w:tcPr>
            <w:tcW w:w="1190" w:type="dxa"/>
            <w:vAlign w:val="top"/>
          </w:tcPr>
          <w:p w14:paraId="619C1E3B">
            <w:pPr>
              <w:pStyle w:val="6"/>
              <w:spacing w:before="104" w:line="188" w:lineRule="auto"/>
              <w:ind w:left="364"/>
            </w:pPr>
            <w:r>
              <w:rPr>
                <w:spacing w:val="-2"/>
              </w:rPr>
              <w:t>0.004</w:t>
            </w:r>
          </w:p>
        </w:tc>
      </w:tr>
      <w:tr w14:paraId="57EAB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79FA4ED3">
            <w:pPr>
              <w:rPr>
                <w:rFonts w:ascii="Arial"/>
                <w:sz w:val="21"/>
              </w:rPr>
            </w:pPr>
          </w:p>
        </w:tc>
        <w:tc>
          <w:tcPr>
            <w:tcW w:w="1187" w:type="dxa"/>
            <w:vMerge w:val="continue"/>
            <w:tcBorders>
              <w:top w:val="nil"/>
            </w:tcBorders>
            <w:vAlign w:val="top"/>
          </w:tcPr>
          <w:p w14:paraId="70F85603">
            <w:pPr>
              <w:rPr>
                <w:rFonts w:ascii="Arial"/>
                <w:sz w:val="21"/>
              </w:rPr>
            </w:pPr>
          </w:p>
        </w:tc>
        <w:tc>
          <w:tcPr>
            <w:tcW w:w="1187" w:type="dxa"/>
            <w:vAlign w:val="top"/>
          </w:tcPr>
          <w:p w14:paraId="7E827C54">
            <w:pPr>
              <w:spacing w:before="67"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6E97433F">
            <w:pPr>
              <w:pStyle w:val="6"/>
              <w:spacing w:before="104" w:line="188" w:lineRule="auto"/>
              <w:ind w:left="510"/>
            </w:pPr>
            <w:r>
              <w:rPr>
                <w:spacing w:val="-6"/>
              </w:rPr>
              <w:t>10</w:t>
            </w:r>
          </w:p>
        </w:tc>
        <w:tc>
          <w:tcPr>
            <w:tcW w:w="1188" w:type="dxa"/>
            <w:vAlign w:val="top"/>
          </w:tcPr>
          <w:p w14:paraId="307B9774">
            <w:pPr>
              <w:pStyle w:val="6"/>
              <w:spacing w:before="104" w:line="188" w:lineRule="auto"/>
              <w:ind w:left="511"/>
            </w:pPr>
            <w:r>
              <w:rPr>
                <w:spacing w:val="-12"/>
              </w:rPr>
              <w:t>10</w:t>
            </w:r>
          </w:p>
        </w:tc>
        <w:tc>
          <w:tcPr>
            <w:tcW w:w="1189" w:type="dxa"/>
            <w:vAlign w:val="top"/>
          </w:tcPr>
          <w:p w14:paraId="387282F8">
            <w:pPr>
              <w:pStyle w:val="6"/>
              <w:spacing w:before="104" w:line="188" w:lineRule="auto"/>
              <w:ind w:left="512"/>
            </w:pPr>
            <w:r>
              <w:rPr>
                <w:spacing w:val="-6"/>
              </w:rPr>
              <w:t>10</w:t>
            </w:r>
          </w:p>
        </w:tc>
        <w:tc>
          <w:tcPr>
            <w:tcW w:w="1190" w:type="dxa"/>
            <w:vAlign w:val="top"/>
          </w:tcPr>
          <w:p w14:paraId="5D430707">
            <w:pPr>
              <w:pStyle w:val="6"/>
              <w:spacing w:before="104" w:line="188" w:lineRule="auto"/>
              <w:ind w:left="511"/>
            </w:pPr>
            <w:r>
              <w:rPr>
                <w:spacing w:val="-12"/>
              </w:rPr>
              <w:t>10</w:t>
            </w:r>
          </w:p>
        </w:tc>
      </w:tr>
      <w:tr w14:paraId="6E03E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0A207F53">
            <w:pPr>
              <w:rPr>
                <w:rFonts w:ascii="Arial"/>
                <w:sz w:val="21"/>
              </w:rPr>
            </w:pPr>
          </w:p>
        </w:tc>
        <w:tc>
          <w:tcPr>
            <w:tcW w:w="1187" w:type="dxa"/>
            <w:vMerge w:val="restart"/>
            <w:tcBorders>
              <w:bottom w:val="nil"/>
            </w:tcBorders>
            <w:vAlign w:val="top"/>
          </w:tcPr>
          <w:p w14:paraId="638EEE80">
            <w:pPr>
              <w:spacing w:line="347" w:lineRule="auto"/>
              <w:rPr>
                <w:rFonts w:ascii="Arial"/>
                <w:sz w:val="21"/>
              </w:rPr>
            </w:pPr>
          </w:p>
          <w:p w14:paraId="6CB5FA40">
            <w:pPr>
              <w:pStyle w:val="6"/>
              <w:spacing w:before="69" w:line="220" w:lineRule="auto"/>
              <w:ind w:left="174"/>
              <w:rPr>
                <w:rFonts w:ascii="宋体" w:hAnsi="宋体" w:eastAsia="宋体" w:cs="宋体"/>
              </w:rPr>
            </w:pPr>
            <w:r>
              <w:rPr>
                <w:spacing w:val="-1"/>
              </w:rPr>
              <w:t>2#</w:t>
            </w:r>
            <w:r>
              <w:rPr>
                <w:rFonts w:ascii="宋体" w:hAnsi="宋体" w:eastAsia="宋体" w:cs="宋体"/>
                <w:spacing w:val="-1"/>
              </w:rPr>
              <w:t>居民点</w:t>
            </w:r>
          </w:p>
        </w:tc>
        <w:tc>
          <w:tcPr>
            <w:tcW w:w="1187" w:type="dxa"/>
            <w:vAlign w:val="top"/>
          </w:tcPr>
          <w:p w14:paraId="0AA8D694">
            <w:pPr>
              <w:spacing w:before="69"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062DFBA6">
            <w:pPr>
              <w:pStyle w:val="6"/>
              <w:spacing w:before="105" w:line="188" w:lineRule="auto"/>
              <w:ind w:left="415"/>
            </w:pPr>
            <w:r>
              <w:rPr>
                <w:spacing w:val="-2"/>
              </w:rPr>
              <w:t>0.13</w:t>
            </w:r>
          </w:p>
        </w:tc>
        <w:tc>
          <w:tcPr>
            <w:tcW w:w="1188" w:type="dxa"/>
            <w:vAlign w:val="top"/>
          </w:tcPr>
          <w:p w14:paraId="17A3C132">
            <w:pPr>
              <w:pStyle w:val="6"/>
              <w:spacing w:before="105" w:line="188" w:lineRule="auto"/>
              <w:ind w:left="416"/>
            </w:pPr>
            <w:r>
              <w:rPr>
                <w:spacing w:val="-2"/>
              </w:rPr>
              <w:t>0.14</w:t>
            </w:r>
          </w:p>
        </w:tc>
        <w:tc>
          <w:tcPr>
            <w:tcW w:w="1189" w:type="dxa"/>
            <w:vAlign w:val="top"/>
          </w:tcPr>
          <w:p w14:paraId="3C09AF5F">
            <w:pPr>
              <w:pStyle w:val="6"/>
              <w:spacing w:before="105" w:line="188" w:lineRule="auto"/>
              <w:ind w:left="417"/>
            </w:pPr>
            <w:r>
              <w:rPr>
                <w:spacing w:val="-2"/>
              </w:rPr>
              <w:t>0.13</w:t>
            </w:r>
          </w:p>
        </w:tc>
        <w:tc>
          <w:tcPr>
            <w:tcW w:w="1190" w:type="dxa"/>
            <w:vAlign w:val="top"/>
          </w:tcPr>
          <w:p w14:paraId="594611D6">
            <w:pPr>
              <w:pStyle w:val="6"/>
              <w:spacing w:before="105" w:line="188" w:lineRule="auto"/>
              <w:ind w:left="416"/>
            </w:pPr>
            <w:r>
              <w:rPr>
                <w:spacing w:val="-2"/>
              </w:rPr>
              <w:t>0.12</w:t>
            </w:r>
          </w:p>
        </w:tc>
      </w:tr>
      <w:tr w14:paraId="6E6E1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4A8085F2">
            <w:pPr>
              <w:rPr>
                <w:rFonts w:ascii="Arial"/>
                <w:sz w:val="21"/>
              </w:rPr>
            </w:pPr>
          </w:p>
        </w:tc>
        <w:tc>
          <w:tcPr>
            <w:tcW w:w="1187" w:type="dxa"/>
            <w:vMerge w:val="continue"/>
            <w:tcBorders>
              <w:top w:val="nil"/>
              <w:bottom w:val="nil"/>
            </w:tcBorders>
            <w:vAlign w:val="top"/>
          </w:tcPr>
          <w:p w14:paraId="30E28D46">
            <w:pPr>
              <w:rPr>
                <w:rFonts w:ascii="Arial"/>
                <w:sz w:val="21"/>
              </w:rPr>
            </w:pPr>
          </w:p>
        </w:tc>
        <w:tc>
          <w:tcPr>
            <w:tcW w:w="1187" w:type="dxa"/>
            <w:vAlign w:val="top"/>
          </w:tcPr>
          <w:p w14:paraId="332C5E19">
            <w:pPr>
              <w:spacing w:before="68"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4E93803D">
            <w:pPr>
              <w:pStyle w:val="6"/>
              <w:spacing w:before="105" w:line="188" w:lineRule="auto"/>
              <w:ind w:left="362"/>
            </w:pPr>
            <w:r>
              <w:rPr>
                <w:spacing w:val="-2"/>
              </w:rPr>
              <w:t>0.005</w:t>
            </w:r>
          </w:p>
        </w:tc>
        <w:tc>
          <w:tcPr>
            <w:tcW w:w="1188" w:type="dxa"/>
            <w:vAlign w:val="top"/>
          </w:tcPr>
          <w:p w14:paraId="6D4E168F">
            <w:pPr>
              <w:pStyle w:val="6"/>
              <w:spacing w:before="105" w:line="188" w:lineRule="auto"/>
              <w:ind w:left="363"/>
            </w:pPr>
            <w:r>
              <w:rPr>
                <w:spacing w:val="-2"/>
              </w:rPr>
              <w:t>0.005</w:t>
            </w:r>
          </w:p>
        </w:tc>
        <w:tc>
          <w:tcPr>
            <w:tcW w:w="1189" w:type="dxa"/>
            <w:vAlign w:val="top"/>
          </w:tcPr>
          <w:p w14:paraId="31F30AA0">
            <w:pPr>
              <w:pStyle w:val="6"/>
              <w:spacing w:before="105" w:line="188" w:lineRule="auto"/>
              <w:ind w:left="365"/>
            </w:pPr>
            <w:r>
              <w:rPr>
                <w:spacing w:val="-2"/>
              </w:rPr>
              <w:t>0.004</w:t>
            </w:r>
          </w:p>
        </w:tc>
        <w:tc>
          <w:tcPr>
            <w:tcW w:w="1190" w:type="dxa"/>
            <w:vAlign w:val="top"/>
          </w:tcPr>
          <w:p w14:paraId="51ACE6B8">
            <w:pPr>
              <w:pStyle w:val="6"/>
              <w:spacing w:before="105" w:line="188" w:lineRule="auto"/>
              <w:ind w:left="364"/>
            </w:pPr>
            <w:r>
              <w:rPr>
                <w:spacing w:val="-2"/>
              </w:rPr>
              <w:t>0.004</w:t>
            </w:r>
          </w:p>
        </w:tc>
      </w:tr>
      <w:tr w14:paraId="18AA50EF">
        <w:tblPrEx>
          <w:tblCellMar>
            <w:top w:w="0" w:type="dxa"/>
            <w:left w:w="0" w:type="dxa"/>
            <w:bottom w:w="0" w:type="dxa"/>
            <w:right w:w="0" w:type="dxa"/>
          </w:tblCellMar>
        </w:tblPrEx>
        <w:trPr>
          <w:trHeight w:val="345" w:hRule="atLeast"/>
        </w:trPr>
        <w:tc>
          <w:tcPr>
            <w:tcW w:w="1191" w:type="dxa"/>
            <w:vMerge w:val="continue"/>
            <w:tcBorders>
              <w:top w:val="nil"/>
            </w:tcBorders>
            <w:vAlign w:val="top"/>
          </w:tcPr>
          <w:p w14:paraId="76A748F3">
            <w:pPr>
              <w:rPr>
                <w:rFonts w:ascii="Arial"/>
                <w:sz w:val="21"/>
              </w:rPr>
            </w:pPr>
          </w:p>
        </w:tc>
        <w:tc>
          <w:tcPr>
            <w:tcW w:w="1187" w:type="dxa"/>
            <w:vMerge w:val="continue"/>
            <w:tcBorders>
              <w:top w:val="nil"/>
            </w:tcBorders>
            <w:vAlign w:val="top"/>
          </w:tcPr>
          <w:p w14:paraId="4C596C05">
            <w:pPr>
              <w:rPr>
                <w:rFonts w:ascii="Arial"/>
                <w:sz w:val="21"/>
              </w:rPr>
            </w:pPr>
          </w:p>
        </w:tc>
        <w:tc>
          <w:tcPr>
            <w:tcW w:w="1187" w:type="dxa"/>
            <w:vAlign w:val="top"/>
          </w:tcPr>
          <w:p w14:paraId="657EF816">
            <w:pPr>
              <w:spacing w:before="68"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66539364">
            <w:pPr>
              <w:pStyle w:val="6"/>
              <w:spacing w:before="105" w:line="188" w:lineRule="auto"/>
              <w:ind w:left="430"/>
            </w:pPr>
            <w:r>
              <w:rPr>
                <w:spacing w:val="-2"/>
              </w:rPr>
              <w:t>&lt;10</w:t>
            </w:r>
          </w:p>
        </w:tc>
        <w:tc>
          <w:tcPr>
            <w:tcW w:w="1188" w:type="dxa"/>
            <w:vAlign w:val="top"/>
          </w:tcPr>
          <w:p w14:paraId="478CB27F">
            <w:pPr>
              <w:pStyle w:val="6"/>
              <w:spacing w:before="105" w:line="188" w:lineRule="auto"/>
              <w:ind w:left="432"/>
            </w:pPr>
            <w:r>
              <w:rPr>
                <w:spacing w:val="-2"/>
              </w:rPr>
              <w:t>&lt;10</w:t>
            </w:r>
          </w:p>
        </w:tc>
        <w:tc>
          <w:tcPr>
            <w:tcW w:w="1189" w:type="dxa"/>
            <w:vAlign w:val="top"/>
          </w:tcPr>
          <w:p w14:paraId="2048D57C">
            <w:pPr>
              <w:pStyle w:val="6"/>
              <w:spacing w:before="105" w:line="188" w:lineRule="auto"/>
              <w:ind w:left="433"/>
            </w:pPr>
            <w:r>
              <w:rPr>
                <w:spacing w:val="-2"/>
              </w:rPr>
              <w:t>&lt;10</w:t>
            </w:r>
          </w:p>
        </w:tc>
        <w:tc>
          <w:tcPr>
            <w:tcW w:w="1190" w:type="dxa"/>
            <w:vAlign w:val="top"/>
          </w:tcPr>
          <w:p w14:paraId="1623ABF6">
            <w:pPr>
              <w:pStyle w:val="6"/>
              <w:spacing w:before="105" w:line="188" w:lineRule="auto"/>
              <w:ind w:left="432"/>
            </w:pPr>
            <w:r>
              <w:rPr>
                <w:spacing w:val="-2"/>
              </w:rPr>
              <w:t>&lt;10</w:t>
            </w:r>
          </w:p>
        </w:tc>
      </w:tr>
      <w:tr w14:paraId="61EF4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91" w:type="dxa"/>
            <w:vAlign w:val="top"/>
          </w:tcPr>
          <w:p w14:paraId="00F03FAB">
            <w:pPr>
              <w:pStyle w:val="6"/>
              <w:spacing w:before="69" w:line="220" w:lineRule="auto"/>
              <w:ind w:left="256"/>
              <w:rPr>
                <w:rFonts w:ascii="宋体" w:hAnsi="宋体" w:eastAsia="宋体" w:cs="宋体"/>
              </w:rPr>
            </w:pPr>
            <w:r>
              <w:rPr>
                <w:spacing w:val="-1"/>
              </w:rPr>
              <w:t>2022</w:t>
            </w:r>
            <w:r>
              <w:rPr>
                <w:spacing w:val="10"/>
              </w:rPr>
              <w:t xml:space="preserve"> </w:t>
            </w:r>
            <w:r>
              <w:rPr>
                <w:rFonts w:ascii="宋体" w:hAnsi="宋体" w:eastAsia="宋体" w:cs="宋体"/>
                <w:spacing w:val="-1"/>
              </w:rPr>
              <w:t>年</w:t>
            </w:r>
          </w:p>
        </w:tc>
        <w:tc>
          <w:tcPr>
            <w:tcW w:w="1187" w:type="dxa"/>
            <w:vAlign w:val="top"/>
          </w:tcPr>
          <w:p w14:paraId="729F2114">
            <w:pPr>
              <w:pStyle w:val="6"/>
              <w:spacing w:before="70" w:line="220" w:lineRule="auto"/>
              <w:ind w:left="194"/>
              <w:rPr>
                <w:rFonts w:ascii="宋体" w:hAnsi="宋体" w:eastAsia="宋体" w:cs="宋体"/>
              </w:rPr>
            </w:pPr>
            <w:r>
              <w:rPr>
                <w:spacing w:val="-5"/>
              </w:rPr>
              <w:t>1#</w:t>
            </w:r>
            <w:r>
              <w:rPr>
                <w:rFonts w:ascii="宋体" w:hAnsi="宋体" w:eastAsia="宋体" w:cs="宋体"/>
                <w:spacing w:val="-5"/>
              </w:rPr>
              <w:t>项目地</w:t>
            </w:r>
          </w:p>
        </w:tc>
        <w:tc>
          <w:tcPr>
            <w:tcW w:w="1187" w:type="dxa"/>
            <w:vAlign w:val="top"/>
          </w:tcPr>
          <w:p w14:paraId="77D767D0">
            <w:pPr>
              <w:spacing w:before="70"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3B8CE097">
            <w:pPr>
              <w:pStyle w:val="6"/>
              <w:spacing w:before="106" w:line="188" w:lineRule="auto"/>
              <w:ind w:left="415"/>
            </w:pPr>
            <w:r>
              <w:rPr>
                <w:spacing w:val="-2"/>
              </w:rPr>
              <w:t>0.12</w:t>
            </w:r>
          </w:p>
        </w:tc>
        <w:tc>
          <w:tcPr>
            <w:tcW w:w="1188" w:type="dxa"/>
            <w:vAlign w:val="top"/>
          </w:tcPr>
          <w:p w14:paraId="3B031AE1">
            <w:pPr>
              <w:pStyle w:val="6"/>
              <w:spacing w:before="106" w:line="188" w:lineRule="auto"/>
              <w:ind w:left="416"/>
            </w:pPr>
            <w:r>
              <w:rPr>
                <w:spacing w:val="-2"/>
              </w:rPr>
              <w:t>0.13</w:t>
            </w:r>
          </w:p>
        </w:tc>
        <w:tc>
          <w:tcPr>
            <w:tcW w:w="1189" w:type="dxa"/>
            <w:vAlign w:val="top"/>
          </w:tcPr>
          <w:p w14:paraId="0EC2FB26">
            <w:pPr>
              <w:pStyle w:val="6"/>
              <w:spacing w:before="106" w:line="188" w:lineRule="auto"/>
              <w:ind w:left="417"/>
            </w:pPr>
            <w:r>
              <w:rPr>
                <w:spacing w:val="-2"/>
              </w:rPr>
              <w:t>0.12</w:t>
            </w:r>
          </w:p>
        </w:tc>
        <w:tc>
          <w:tcPr>
            <w:tcW w:w="1190" w:type="dxa"/>
            <w:vAlign w:val="top"/>
          </w:tcPr>
          <w:p w14:paraId="5481287F">
            <w:pPr>
              <w:pStyle w:val="6"/>
              <w:spacing w:before="106" w:line="188" w:lineRule="auto"/>
              <w:ind w:left="416"/>
            </w:pPr>
            <w:r>
              <w:rPr>
                <w:spacing w:val="-2"/>
              </w:rPr>
              <w:t>0.13</w:t>
            </w:r>
          </w:p>
        </w:tc>
      </w:tr>
    </w:tbl>
    <w:p w14:paraId="3AEFC411">
      <w:pPr>
        <w:pStyle w:val="2"/>
        <w:spacing w:line="65" w:lineRule="exact"/>
        <w:rPr>
          <w:sz w:val="5"/>
        </w:rPr>
      </w:pPr>
    </w:p>
    <w:p w14:paraId="5DC7DCAE">
      <w:pPr>
        <w:spacing w:line="65" w:lineRule="exact"/>
        <w:rPr>
          <w:sz w:val="5"/>
          <w:szCs w:val="5"/>
        </w:rPr>
        <w:sectPr>
          <w:headerReference r:id="rId259" w:type="default"/>
          <w:footerReference r:id="rId260" w:type="default"/>
          <w:pgSz w:w="11905" w:h="16840"/>
          <w:pgMar w:top="1168" w:right="1768" w:bottom="1408" w:left="1770" w:header="828" w:footer="1244" w:gutter="0"/>
          <w:cols w:space="720" w:num="1"/>
        </w:sectPr>
      </w:pPr>
    </w:p>
    <w:p w14:paraId="1341ABDB">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1"/>
        <w:gridCol w:w="1187"/>
        <w:gridCol w:w="1187"/>
        <w:gridCol w:w="1188"/>
        <w:gridCol w:w="1188"/>
        <w:gridCol w:w="1189"/>
        <w:gridCol w:w="1190"/>
      </w:tblGrid>
      <w:tr w14:paraId="5326E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91" w:type="dxa"/>
            <w:vMerge w:val="restart"/>
            <w:tcBorders>
              <w:bottom w:val="nil"/>
            </w:tcBorders>
            <w:vAlign w:val="top"/>
          </w:tcPr>
          <w:p w14:paraId="2C6666BA">
            <w:pPr>
              <w:pStyle w:val="6"/>
              <w:spacing w:before="245" w:line="451" w:lineRule="auto"/>
              <w:ind w:left="170" w:right="145" w:firstLine="9"/>
              <w:rPr>
                <w:rFonts w:ascii="宋体" w:hAnsi="宋体" w:eastAsia="宋体" w:cs="宋体"/>
              </w:rPr>
            </w:pPr>
            <w:r>
              <w:rPr>
                <w:rFonts w:ascii="宋体" w:hAnsi="宋体" w:eastAsia="宋体" w:cs="宋体"/>
                <w:spacing w:val="-2"/>
              </w:rPr>
              <w:t>采样日期</w:t>
            </w:r>
            <w:r>
              <w:rPr>
                <w:spacing w:val="-14"/>
              </w:rPr>
              <w:t>12</w:t>
            </w:r>
            <w:r>
              <w:rPr>
                <w:spacing w:val="12"/>
              </w:rPr>
              <w:t xml:space="preserve"> </w:t>
            </w:r>
            <w:r>
              <w:rPr>
                <w:rFonts w:ascii="宋体" w:hAnsi="宋体" w:eastAsia="宋体" w:cs="宋体"/>
                <w:spacing w:val="-14"/>
              </w:rPr>
              <w:t>月</w:t>
            </w:r>
            <w:r>
              <w:rPr>
                <w:rFonts w:ascii="宋体" w:hAnsi="宋体" w:eastAsia="宋体" w:cs="宋体"/>
                <w:spacing w:val="-44"/>
              </w:rPr>
              <w:t xml:space="preserve"> </w:t>
            </w:r>
            <w:r>
              <w:rPr>
                <w:spacing w:val="-14"/>
              </w:rPr>
              <w:t xml:space="preserve">9  </w:t>
            </w:r>
            <w:r>
              <w:rPr>
                <w:rFonts w:ascii="宋体" w:hAnsi="宋体" w:eastAsia="宋体" w:cs="宋体"/>
                <w:spacing w:val="-14"/>
              </w:rPr>
              <w:t>日</w:t>
            </w:r>
          </w:p>
        </w:tc>
        <w:tc>
          <w:tcPr>
            <w:tcW w:w="1187" w:type="dxa"/>
            <w:vMerge w:val="restart"/>
            <w:tcBorders>
              <w:bottom w:val="nil"/>
            </w:tcBorders>
            <w:vAlign w:val="top"/>
          </w:tcPr>
          <w:p w14:paraId="2F258647">
            <w:pPr>
              <w:spacing w:before="243" w:line="220" w:lineRule="auto"/>
              <w:ind w:left="177"/>
              <w:rPr>
                <w:rFonts w:ascii="宋体" w:hAnsi="宋体" w:eastAsia="宋体" w:cs="宋体"/>
                <w:sz w:val="21"/>
                <w:szCs w:val="21"/>
              </w:rPr>
            </w:pPr>
            <w:r>
              <w:rPr>
                <w:rFonts w:ascii="宋体" w:hAnsi="宋体" w:eastAsia="宋体" w:cs="宋体"/>
                <w:spacing w:val="-2"/>
                <w:sz w:val="21"/>
                <w:szCs w:val="21"/>
              </w:rPr>
              <w:t>检测点位</w:t>
            </w:r>
          </w:p>
        </w:tc>
        <w:tc>
          <w:tcPr>
            <w:tcW w:w="1187" w:type="dxa"/>
            <w:vMerge w:val="restart"/>
            <w:tcBorders>
              <w:bottom w:val="nil"/>
            </w:tcBorders>
            <w:vAlign w:val="top"/>
          </w:tcPr>
          <w:p w14:paraId="2AFF59D7">
            <w:pPr>
              <w:spacing w:before="243" w:line="220" w:lineRule="auto"/>
              <w:ind w:left="178"/>
              <w:rPr>
                <w:rFonts w:ascii="宋体" w:hAnsi="宋体" w:eastAsia="宋体" w:cs="宋体"/>
                <w:sz w:val="21"/>
                <w:szCs w:val="21"/>
              </w:rPr>
            </w:pPr>
            <w:r>
              <w:rPr>
                <w:rFonts w:ascii="宋体" w:hAnsi="宋体" w:eastAsia="宋体" w:cs="宋体"/>
                <w:spacing w:val="-2"/>
                <w:sz w:val="21"/>
                <w:szCs w:val="21"/>
              </w:rPr>
              <w:t>检测项目</w:t>
            </w:r>
          </w:p>
        </w:tc>
        <w:tc>
          <w:tcPr>
            <w:tcW w:w="4755" w:type="dxa"/>
            <w:gridSpan w:val="4"/>
            <w:vAlign w:val="top"/>
          </w:tcPr>
          <w:p w14:paraId="6BD16DBC">
            <w:pPr>
              <w:pStyle w:val="6"/>
              <w:spacing w:before="53" w:line="217" w:lineRule="auto"/>
              <w:ind w:left="1470"/>
              <w:rPr>
                <w:rFonts w:ascii="宋体" w:hAnsi="宋体" w:eastAsia="宋体" w:cs="宋体"/>
              </w:rPr>
            </w:pPr>
            <w:r>
              <w:rPr>
                <w:rFonts w:ascii="宋体" w:hAnsi="宋体" w:eastAsia="宋体" w:cs="宋体"/>
                <w:spacing w:val="-1"/>
              </w:rPr>
              <w:t>检测结果（</w:t>
            </w:r>
            <w:r>
              <w:rPr>
                <w:spacing w:val="-1"/>
              </w:rPr>
              <w:t>mg/m</w:t>
            </w:r>
            <w:r>
              <w:rPr>
                <w:spacing w:val="-1"/>
                <w:position w:val="1"/>
                <w:sz w:val="14"/>
                <w:szCs w:val="14"/>
              </w:rPr>
              <w:t>3</w:t>
            </w:r>
            <w:r>
              <w:rPr>
                <w:rFonts w:ascii="宋体" w:hAnsi="宋体" w:eastAsia="宋体" w:cs="宋体"/>
                <w:spacing w:val="-1"/>
                <w:position w:val="1"/>
              </w:rPr>
              <w:t>）</w:t>
            </w:r>
          </w:p>
        </w:tc>
      </w:tr>
      <w:tr w14:paraId="74271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6AAA5CB7">
            <w:pPr>
              <w:rPr>
                <w:rFonts w:ascii="Arial"/>
                <w:sz w:val="21"/>
              </w:rPr>
            </w:pPr>
          </w:p>
        </w:tc>
        <w:tc>
          <w:tcPr>
            <w:tcW w:w="1187" w:type="dxa"/>
            <w:vMerge w:val="continue"/>
            <w:tcBorders>
              <w:top w:val="nil"/>
              <w:bottom w:val="nil"/>
            </w:tcBorders>
            <w:vAlign w:val="top"/>
          </w:tcPr>
          <w:p w14:paraId="3E4BF431">
            <w:pPr>
              <w:rPr>
                <w:rFonts w:ascii="Arial"/>
                <w:sz w:val="21"/>
              </w:rPr>
            </w:pPr>
          </w:p>
        </w:tc>
        <w:tc>
          <w:tcPr>
            <w:tcW w:w="1187" w:type="dxa"/>
            <w:vMerge w:val="continue"/>
            <w:tcBorders>
              <w:top w:val="nil"/>
            </w:tcBorders>
            <w:vAlign w:val="top"/>
          </w:tcPr>
          <w:p w14:paraId="2B52AD0A">
            <w:pPr>
              <w:rPr>
                <w:rFonts w:ascii="Arial"/>
                <w:sz w:val="21"/>
              </w:rPr>
            </w:pPr>
          </w:p>
        </w:tc>
        <w:tc>
          <w:tcPr>
            <w:tcW w:w="1188" w:type="dxa"/>
            <w:vAlign w:val="top"/>
          </w:tcPr>
          <w:p w14:paraId="2257DEDE">
            <w:pPr>
              <w:spacing w:before="63" w:line="220" w:lineRule="auto"/>
              <w:ind w:left="284"/>
              <w:rPr>
                <w:rFonts w:ascii="宋体" w:hAnsi="宋体" w:eastAsia="宋体" w:cs="宋体"/>
                <w:sz w:val="21"/>
                <w:szCs w:val="21"/>
              </w:rPr>
            </w:pPr>
            <w:r>
              <w:rPr>
                <w:rFonts w:ascii="宋体" w:hAnsi="宋体" w:eastAsia="宋体" w:cs="宋体"/>
                <w:spacing w:val="-3"/>
                <w:sz w:val="21"/>
                <w:szCs w:val="21"/>
              </w:rPr>
              <w:t>第一次</w:t>
            </w:r>
          </w:p>
        </w:tc>
        <w:tc>
          <w:tcPr>
            <w:tcW w:w="1188" w:type="dxa"/>
            <w:vAlign w:val="top"/>
          </w:tcPr>
          <w:p w14:paraId="1A6BAFBA">
            <w:pPr>
              <w:spacing w:before="63" w:line="220" w:lineRule="auto"/>
              <w:ind w:left="285"/>
              <w:rPr>
                <w:rFonts w:ascii="宋体" w:hAnsi="宋体" w:eastAsia="宋体" w:cs="宋体"/>
                <w:sz w:val="21"/>
                <w:szCs w:val="21"/>
              </w:rPr>
            </w:pPr>
            <w:r>
              <w:rPr>
                <w:rFonts w:ascii="宋体" w:hAnsi="宋体" w:eastAsia="宋体" w:cs="宋体"/>
                <w:spacing w:val="-2"/>
                <w:sz w:val="21"/>
                <w:szCs w:val="21"/>
              </w:rPr>
              <w:t>第二次</w:t>
            </w:r>
          </w:p>
        </w:tc>
        <w:tc>
          <w:tcPr>
            <w:tcW w:w="1189" w:type="dxa"/>
            <w:vAlign w:val="top"/>
          </w:tcPr>
          <w:p w14:paraId="67BFFC9F">
            <w:pPr>
              <w:spacing w:before="63" w:line="220" w:lineRule="auto"/>
              <w:ind w:left="286"/>
              <w:rPr>
                <w:rFonts w:ascii="宋体" w:hAnsi="宋体" w:eastAsia="宋体" w:cs="宋体"/>
                <w:sz w:val="21"/>
                <w:szCs w:val="21"/>
              </w:rPr>
            </w:pPr>
            <w:r>
              <w:rPr>
                <w:rFonts w:ascii="宋体" w:hAnsi="宋体" w:eastAsia="宋体" w:cs="宋体"/>
                <w:spacing w:val="-2"/>
                <w:sz w:val="21"/>
                <w:szCs w:val="21"/>
              </w:rPr>
              <w:t>第三次</w:t>
            </w:r>
          </w:p>
        </w:tc>
        <w:tc>
          <w:tcPr>
            <w:tcW w:w="1190" w:type="dxa"/>
            <w:vAlign w:val="top"/>
          </w:tcPr>
          <w:p w14:paraId="6CFDAEEF">
            <w:pPr>
              <w:spacing w:before="63" w:line="220" w:lineRule="auto"/>
              <w:ind w:left="285"/>
              <w:rPr>
                <w:rFonts w:ascii="宋体" w:hAnsi="宋体" w:eastAsia="宋体" w:cs="宋体"/>
                <w:sz w:val="21"/>
                <w:szCs w:val="21"/>
              </w:rPr>
            </w:pPr>
            <w:r>
              <w:rPr>
                <w:rFonts w:ascii="宋体" w:hAnsi="宋体" w:eastAsia="宋体" w:cs="宋体"/>
                <w:spacing w:val="-2"/>
                <w:sz w:val="21"/>
                <w:szCs w:val="21"/>
              </w:rPr>
              <w:t>第四次</w:t>
            </w:r>
          </w:p>
        </w:tc>
      </w:tr>
      <w:tr w14:paraId="0E22A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5C568012">
            <w:pPr>
              <w:rPr>
                <w:rFonts w:ascii="Arial"/>
                <w:sz w:val="21"/>
              </w:rPr>
            </w:pPr>
          </w:p>
        </w:tc>
        <w:tc>
          <w:tcPr>
            <w:tcW w:w="1187" w:type="dxa"/>
            <w:vMerge w:val="continue"/>
            <w:tcBorders>
              <w:top w:val="nil"/>
              <w:bottom w:val="nil"/>
            </w:tcBorders>
            <w:vAlign w:val="top"/>
          </w:tcPr>
          <w:p w14:paraId="125CC05C">
            <w:pPr>
              <w:rPr>
                <w:rFonts w:ascii="Arial"/>
                <w:sz w:val="21"/>
              </w:rPr>
            </w:pPr>
          </w:p>
        </w:tc>
        <w:tc>
          <w:tcPr>
            <w:tcW w:w="1187" w:type="dxa"/>
            <w:vAlign w:val="top"/>
          </w:tcPr>
          <w:p w14:paraId="04C496D8">
            <w:pPr>
              <w:spacing w:before="64"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2B08BB48">
            <w:pPr>
              <w:pStyle w:val="6"/>
              <w:spacing w:before="101" w:line="188" w:lineRule="auto"/>
              <w:ind w:left="362"/>
            </w:pPr>
            <w:r>
              <w:rPr>
                <w:spacing w:val="-2"/>
              </w:rPr>
              <w:t>0.003</w:t>
            </w:r>
          </w:p>
        </w:tc>
        <w:tc>
          <w:tcPr>
            <w:tcW w:w="1188" w:type="dxa"/>
            <w:vAlign w:val="top"/>
          </w:tcPr>
          <w:p w14:paraId="232982A6">
            <w:pPr>
              <w:pStyle w:val="6"/>
              <w:spacing w:before="101" w:line="188" w:lineRule="auto"/>
              <w:ind w:left="363"/>
            </w:pPr>
            <w:r>
              <w:rPr>
                <w:spacing w:val="-2"/>
              </w:rPr>
              <w:t>0.003</w:t>
            </w:r>
          </w:p>
        </w:tc>
        <w:tc>
          <w:tcPr>
            <w:tcW w:w="1189" w:type="dxa"/>
            <w:vAlign w:val="top"/>
          </w:tcPr>
          <w:p w14:paraId="132BDE78">
            <w:pPr>
              <w:pStyle w:val="6"/>
              <w:spacing w:before="101" w:line="188" w:lineRule="auto"/>
              <w:ind w:left="365"/>
            </w:pPr>
            <w:r>
              <w:rPr>
                <w:spacing w:val="-2"/>
              </w:rPr>
              <w:t>0.004</w:t>
            </w:r>
          </w:p>
        </w:tc>
        <w:tc>
          <w:tcPr>
            <w:tcW w:w="1190" w:type="dxa"/>
            <w:vAlign w:val="top"/>
          </w:tcPr>
          <w:p w14:paraId="316A3737">
            <w:pPr>
              <w:pStyle w:val="6"/>
              <w:spacing w:before="101" w:line="188" w:lineRule="auto"/>
              <w:ind w:left="364"/>
            </w:pPr>
            <w:r>
              <w:rPr>
                <w:spacing w:val="-2"/>
              </w:rPr>
              <w:t>0.003</w:t>
            </w:r>
          </w:p>
        </w:tc>
      </w:tr>
      <w:tr w14:paraId="35387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6671F37D">
            <w:pPr>
              <w:rPr>
                <w:rFonts w:ascii="Arial"/>
                <w:sz w:val="21"/>
              </w:rPr>
            </w:pPr>
          </w:p>
        </w:tc>
        <w:tc>
          <w:tcPr>
            <w:tcW w:w="1187" w:type="dxa"/>
            <w:vMerge w:val="continue"/>
            <w:tcBorders>
              <w:top w:val="nil"/>
            </w:tcBorders>
            <w:vAlign w:val="top"/>
          </w:tcPr>
          <w:p w14:paraId="1C48EA58">
            <w:pPr>
              <w:rPr>
                <w:rFonts w:ascii="Arial"/>
                <w:sz w:val="21"/>
              </w:rPr>
            </w:pPr>
          </w:p>
        </w:tc>
        <w:tc>
          <w:tcPr>
            <w:tcW w:w="1187" w:type="dxa"/>
            <w:vAlign w:val="top"/>
          </w:tcPr>
          <w:p w14:paraId="4856FB52">
            <w:pPr>
              <w:spacing w:before="64"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2373D568">
            <w:pPr>
              <w:pStyle w:val="6"/>
              <w:spacing w:before="101" w:line="188" w:lineRule="auto"/>
              <w:ind w:left="430"/>
            </w:pPr>
            <w:r>
              <w:rPr>
                <w:spacing w:val="-2"/>
              </w:rPr>
              <w:t>&lt;10</w:t>
            </w:r>
          </w:p>
        </w:tc>
        <w:tc>
          <w:tcPr>
            <w:tcW w:w="1188" w:type="dxa"/>
            <w:vAlign w:val="top"/>
          </w:tcPr>
          <w:p w14:paraId="0B036BD8">
            <w:pPr>
              <w:pStyle w:val="6"/>
              <w:spacing w:before="101" w:line="188" w:lineRule="auto"/>
              <w:ind w:left="432"/>
            </w:pPr>
            <w:r>
              <w:rPr>
                <w:spacing w:val="-2"/>
              </w:rPr>
              <w:t>&lt;10</w:t>
            </w:r>
          </w:p>
        </w:tc>
        <w:tc>
          <w:tcPr>
            <w:tcW w:w="1189" w:type="dxa"/>
            <w:vAlign w:val="top"/>
          </w:tcPr>
          <w:p w14:paraId="687CA622">
            <w:pPr>
              <w:pStyle w:val="6"/>
              <w:spacing w:before="101" w:line="188" w:lineRule="auto"/>
              <w:ind w:left="433"/>
            </w:pPr>
            <w:r>
              <w:rPr>
                <w:spacing w:val="-2"/>
              </w:rPr>
              <w:t>&lt;10</w:t>
            </w:r>
          </w:p>
        </w:tc>
        <w:tc>
          <w:tcPr>
            <w:tcW w:w="1190" w:type="dxa"/>
            <w:vAlign w:val="top"/>
          </w:tcPr>
          <w:p w14:paraId="351EA8E4">
            <w:pPr>
              <w:pStyle w:val="6"/>
              <w:spacing w:before="101" w:line="188" w:lineRule="auto"/>
              <w:ind w:left="432"/>
            </w:pPr>
            <w:r>
              <w:rPr>
                <w:spacing w:val="-2"/>
              </w:rPr>
              <w:t>&lt;10</w:t>
            </w:r>
          </w:p>
        </w:tc>
      </w:tr>
      <w:tr w14:paraId="28578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79463611">
            <w:pPr>
              <w:rPr>
                <w:rFonts w:ascii="Arial"/>
                <w:sz w:val="21"/>
              </w:rPr>
            </w:pPr>
          </w:p>
        </w:tc>
        <w:tc>
          <w:tcPr>
            <w:tcW w:w="1187" w:type="dxa"/>
            <w:vMerge w:val="restart"/>
            <w:tcBorders>
              <w:bottom w:val="nil"/>
            </w:tcBorders>
            <w:vAlign w:val="top"/>
          </w:tcPr>
          <w:p w14:paraId="4AE56AC5">
            <w:pPr>
              <w:spacing w:line="344" w:lineRule="auto"/>
              <w:rPr>
                <w:rFonts w:ascii="Arial"/>
                <w:sz w:val="21"/>
              </w:rPr>
            </w:pPr>
          </w:p>
          <w:p w14:paraId="45248A93">
            <w:pPr>
              <w:pStyle w:val="6"/>
              <w:spacing w:before="68" w:line="220" w:lineRule="auto"/>
              <w:ind w:left="174"/>
              <w:rPr>
                <w:rFonts w:ascii="宋体" w:hAnsi="宋体" w:eastAsia="宋体" w:cs="宋体"/>
              </w:rPr>
            </w:pPr>
            <w:r>
              <w:rPr>
                <w:spacing w:val="-1"/>
              </w:rPr>
              <w:t>2#</w:t>
            </w:r>
            <w:r>
              <w:rPr>
                <w:rFonts w:ascii="宋体" w:hAnsi="宋体" w:eastAsia="宋体" w:cs="宋体"/>
                <w:spacing w:val="-1"/>
              </w:rPr>
              <w:t>居民点</w:t>
            </w:r>
          </w:p>
        </w:tc>
        <w:tc>
          <w:tcPr>
            <w:tcW w:w="1187" w:type="dxa"/>
            <w:vAlign w:val="top"/>
          </w:tcPr>
          <w:p w14:paraId="380CFBB2">
            <w:pPr>
              <w:spacing w:before="65"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75159193">
            <w:pPr>
              <w:pStyle w:val="6"/>
              <w:spacing w:before="101" w:line="188" w:lineRule="auto"/>
              <w:ind w:left="415"/>
            </w:pPr>
            <w:r>
              <w:rPr>
                <w:spacing w:val="-2"/>
              </w:rPr>
              <w:t>0.14</w:t>
            </w:r>
          </w:p>
        </w:tc>
        <w:tc>
          <w:tcPr>
            <w:tcW w:w="1188" w:type="dxa"/>
            <w:vAlign w:val="top"/>
          </w:tcPr>
          <w:p w14:paraId="6E3F087B">
            <w:pPr>
              <w:pStyle w:val="6"/>
              <w:spacing w:before="101" w:line="188" w:lineRule="auto"/>
              <w:ind w:left="416"/>
            </w:pPr>
            <w:r>
              <w:rPr>
                <w:spacing w:val="-2"/>
              </w:rPr>
              <w:t>0.14</w:t>
            </w:r>
          </w:p>
        </w:tc>
        <w:tc>
          <w:tcPr>
            <w:tcW w:w="1189" w:type="dxa"/>
            <w:vAlign w:val="top"/>
          </w:tcPr>
          <w:p w14:paraId="4511DFD0">
            <w:pPr>
              <w:pStyle w:val="6"/>
              <w:spacing w:before="101" w:line="188" w:lineRule="auto"/>
              <w:ind w:left="417"/>
            </w:pPr>
            <w:r>
              <w:rPr>
                <w:spacing w:val="-2"/>
              </w:rPr>
              <w:t>0.14</w:t>
            </w:r>
          </w:p>
        </w:tc>
        <w:tc>
          <w:tcPr>
            <w:tcW w:w="1190" w:type="dxa"/>
            <w:vAlign w:val="top"/>
          </w:tcPr>
          <w:p w14:paraId="763F2485">
            <w:pPr>
              <w:pStyle w:val="6"/>
              <w:spacing w:before="101" w:line="188" w:lineRule="auto"/>
              <w:ind w:left="416"/>
            </w:pPr>
            <w:r>
              <w:rPr>
                <w:spacing w:val="-2"/>
              </w:rPr>
              <w:t>0.15</w:t>
            </w:r>
          </w:p>
        </w:tc>
      </w:tr>
      <w:tr w14:paraId="2BAE4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28E37BF5">
            <w:pPr>
              <w:rPr>
                <w:rFonts w:ascii="Arial"/>
                <w:sz w:val="21"/>
              </w:rPr>
            </w:pPr>
          </w:p>
        </w:tc>
        <w:tc>
          <w:tcPr>
            <w:tcW w:w="1187" w:type="dxa"/>
            <w:vMerge w:val="continue"/>
            <w:tcBorders>
              <w:top w:val="nil"/>
              <w:bottom w:val="nil"/>
            </w:tcBorders>
            <w:vAlign w:val="top"/>
          </w:tcPr>
          <w:p w14:paraId="2C948230">
            <w:pPr>
              <w:rPr>
                <w:rFonts w:ascii="Arial"/>
                <w:sz w:val="21"/>
              </w:rPr>
            </w:pPr>
          </w:p>
        </w:tc>
        <w:tc>
          <w:tcPr>
            <w:tcW w:w="1187" w:type="dxa"/>
            <w:vAlign w:val="top"/>
          </w:tcPr>
          <w:p w14:paraId="0603DCAF">
            <w:pPr>
              <w:spacing w:before="65"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675FA99C">
            <w:pPr>
              <w:pStyle w:val="6"/>
              <w:spacing w:before="102" w:line="188" w:lineRule="auto"/>
              <w:ind w:left="362"/>
            </w:pPr>
            <w:r>
              <w:rPr>
                <w:spacing w:val="-2"/>
              </w:rPr>
              <w:t>0.004</w:t>
            </w:r>
          </w:p>
        </w:tc>
        <w:tc>
          <w:tcPr>
            <w:tcW w:w="1188" w:type="dxa"/>
            <w:vAlign w:val="top"/>
          </w:tcPr>
          <w:p w14:paraId="10067692">
            <w:pPr>
              <w:pStyle w:val="6"/>
              <w:spacing w:before="102" w:line="188" w:lineRule="auto"/>
              <w:ind w:left="363"/>
            </w:pPr>
            <w:r>
              <w:rPr>
                <w:spacing w:val="-2"/>
              </w:rPr>
              <w:t>0.005</w:t>
            </w:r>
          </w:p>
        </w:tc>
        <w:tc>
          <w:tcPr>
            <w:tcW w:w="1189" w:type="dxa"/>
            <w:vAlign w:val="top"/>
          </w:tcPr>
          <w:p w14:paraId="232A172B">
            <w:pPr>
              <w:pStyle w:val="6"/>
              <w:spacing w:before="102" w:line="188" w:lineRule="auto"/>
              <w:ind w:left="365"/>
            </w:pPr>
            <w:r>
              <w:rPr>
                <w:spacing w:val="-2"/>
              </w:rPr>
              <w:t>0.006</w:t>
            </w:r>
          </w:p>
        </w:tc>
        <w:tc>
          <w:tcPr>
            <w:tcW w:w="1190" w:type="dxa"/>
            <w:vAlign w:val="top"/>
          </w:tcPr>
          <w:p w14:paraId="45D130A1">
            <w:pPr>
              <w:pStyle w:val="6"/>
              <w:spacing w:before="102" w:line="188" w:lineRule="auto"/>
              <w:ind w:left="364"/>
            </w:pPr>
            <w:r>
              <w:rPr>
                <w:spacing w:val="-2"/>
              </w:rPr>
              <w:t>0.005</w:t>
            </w:r>
          </w:p>
        </w:tc>
      </w:tr>
      <w:tr w14:paraId="0DCA6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tcBorders>
            <w:vAlign w:val="top"/>
          </w:tcPr>
          <w:p w14:paraId="79260D3B">
            <w:pPr>
              <w:rPr>
                <w:rFonts w:ascii="Arial"/>
                <w:sz w:val="21"/>
              </w:rPr>
            </w:pPr>
          </w:p>
        </w:tc>
        <w:tc>
          <w:tcPr>
            <w:tcW w:w="1187" w:type="dxa"/>
            <w:vMerge w:val="continue"/>
            <w:tcBorders>
              <w:top w:val="nil"/>
            </w:tcBorders>
            <w:vAlign w:val="top"/>
          </w:tcPr>
          <w:p w14:paraId="5BEBCBA2">
            <w:pPr>
              <w:rPr>
                <w:rFonts w:ascii="Arial"/>
                <w:sz w:val="21"/>
              </w:rPr>
            </w:pPr>
          </w:p>
        </w:tc>
        <w:tc>
          <w:tcPr>
            <w:tcW w:w="1187" w:type="dxa"/>
            <w:vAlign w:val="top"/>
          </w:tcPr>
          <w:p w14:paraId="45A11408">
            <w:pPr>
              <w:spacing w:before="65"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2ABB455E">
            <w:pPr>
              <w:pStyle w:val="6"/>
              <w:spacing w:before="102" w:line="188" w:lineRule="auto"/>
              <w:ind w:left="430"/>
            </w:pPr>
            <w:r>
              <w:rPr>
                <w:spacing w:val="-2"/>
              </w:rPr>
              <w:t>&lt;10</w:t>
            </w:r>
          </w:p>
        </w:tc>
        <w:tc>
          <w:tcPr>
            <w:tcW w:w="1188" w:type="dxa"/>
            <w:vAlign w:val="top"/>
          </w:tcPr>
          <w:p w14:paraId="729F5835">
            <w:pPr>
              <w:pStyle w:val="6"/>
              <w:spacing w:before="102" w:line="188" w:lineRule="auto"/>
              <w:ind w:left="432"/>
            </w:pPr>
            <w:r>
              <w:rPr>
                <w:spacing w:val="-2"/>
              </w:rPr>
              <w:t>&lt;10</w:t>
            </w:r>
          </w:p>
        </w:tc>
        <w:tc>
          <w:tcPr>
            <w:tcW w:w="1189" w:type="dxa"/>
            <w:vAlign w:val="top"/>
          </w:tcPr>
          <w:p w14:paraId="4E47B37B">
            <w:pPr>
              <w:pStyle w:val="6"/>
              <w:spacing w:before="102" w:line="188" w:lineRule="auto"/>
              <w:ind w:left="433"/>
            </w:pPr>
            <w:r>
              <w:rPr>
                <w:spacing w:val="-2"/>
              </w:rPr>
              <w:t>&lt;10</w:t>
            </w:r>
          </w:p>
        </w:tc>
        <w:tc>
          <w:tcPr>
            <w:tcW w:w="1190" w:type="dxa"/>
            <w:vAlign w:val="top"/>
          </w:tcPr>
          <w:p w14:paraId="7BA7F6A6">
            <w:pPr>
              <w:pStyle w:val="6"/>
              <w:spacing w:before="102" w:line="188" w:lineRule="auto"/>
              <w:ind w:left="432"/>
            </w:pPr>
            <w:r>
              <w:rPr>
                <w:spacing w:val="-2"/>
              </w:rPr>
              <w:t>&lt;10</w:t>
            </w:r>
          </w:p>
        </w:tc>
      </w:tr>
      <w:tr w14:paraId="52CF6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restart"/>
            <w:tcBorders>
              <w:bottom w:val="nil"/>
            </w:tcBorders>
            <w:vAlign w:val="top"/>
          </w:tcPr>
          <w:p w14:paraId="2E5C4AAD">
            <w:pPr>
              <w:spacing w:line="356" w:lineRule="auto"/>
              <w:rPr>
                <w:rFonts w:ascii="Arial"/>
                <w:sz w:val="21"/>
              </w:rPr>
            </w:pPr>
          </w:p>
          <w:p w14:paraId="3957E906">
            <w:pPr>
              <w:spacing w:line="356" w:lineRule="auto"/>
              <w:rPr>
                <w:rFonts w:ascii="Arial"/>
                <w:sz w:val="21"/>
              </w:rPr>
            </w:pPr>
          </w:p>
          <w:p w14:paraId="29F4A4E8">
            <w:pPr>
              <w:pStyle w:val="6"/>
              <w:spacing w:before="68" w:line="220" w:lineRule="auto"/>
              <w:ind w:left="256"/>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3FE3E975">
            <w:pPr>
              <w:pStyle w:val="6"/>
              <w:spacing w:before="61" w:line="220" w:lineRule="auto"/>
              <w:ind w:left="119"/>
              <w:rPr>
                <w:rFonts w:ascii="宋体" w:hAnsi="宋体" w:eastAsia="宋体" w:cs="宋体"/>
              </w:rPr>
            </w:pPr>
            <w:r>
              <w:rPr>
                <w:spacing w:val="-9"/>
              </w:rPr>
              <w:t>12</w:t>
            </w:r>
            <w:r>
              <w:rPr>
                <w:spacing w:val="14"/>
              </w:rPr>
              <w:t xml:space="preserve"> </w:t>
            </w:r>
            <w:r>
              <w:rPr>
                <w:rFonts w:ascii="宋体" w:hAnsi="宋体" w:eastAsia="宋体" w:cs="宋体"/>
                <w:spacing w:val="-9"/>
              </w:rPr>
              <w:t>月</w:t>
            </w:r>
            <w:r>
              <w:rPr>
                <w:rFonts w:ascii="宋体" w:hAnsi="宋体" w:eastAsia="宋体" w:cs="宋体"/>
                <w:spacing w:val="-28"/>
              </w:rPr>
              <w:t xml:space="preserve"> </w:t>
            </w:r>
            <w:r>
              <w:rPr>
                <w:spacing w:val="-9"/>
              </w:rPr>
              <w:t xml:space="preserve">10  </w:t>
            </w:r>
            <w:r>
              <w:rPr>
                <w:rFonts w:ascii="宋体" w:hAnsi="宋体" w:eastAsia="宋体" w:cs="宋体"/>
                <w:spacing w:val="-9"/>
              </w:rPr>
              <w:t>日</w:t>
            </w:r>
          </w:p>
        </w:tc>
        <w:tc>
          <w:tcPr>
            <w:tcW w:w="1187" w:type="dxa"/>
            <w:vMerge w:val="restart"/>
            <w:tcBorders>
              <w:bottom w:val="nil"/>
            </w:tcBorders>
            <w:vAlign w:val="top"/>
          </w:tcPr>
          <w:p w14:paraId="7A38EB7E">
            <w:pPr>
              <w:spacing w:line="345" w:lineRule="auto"/>
              <w:rPr>
                <w:rFonts w:ascii="Arial"/>
                <w:sz w:val="21"/>
              </w:rPr>
            </w:pPr>
          </w:p>
          <w:p w14:paraId="5007935B">
            <w:pPr>
              <w:pStyle w:val="6"/>
              <w:spacing w:before="68" w:line="220" w:lineRule="auto"/>
              <w:ind w:left="194"/>
              <w:rPr>
                <w:rFonts w:ascii="宋体" w:hAnsi="宋体" w:eastAsia="宋体" w:cs="宋体"/>
              </w:rPr>
            </w:pPr>
            <w:r>
              <w:rPr>
                <w:spacing w:val="-5"/>
              </w:rPr>
              <w:t>1#</w:t>
            </w:r>
            <w:r>
              <w:rPr>
                <w:rFonts w:ascii="宋体" w:hAnsi="宋体" w:eastAsia="宋体" w:cs="宋体"/>
                <w:spacing w:val="-5"/>
              </w:rPr>
              <w:t>项目地</w:t>
            </w:r>
          </w:p>
        </w:tc>
        <w:tc>
          <w:tcPr>
            <w:tcW w:w="1187" w:type="dxa"/>
            <w:vAlign w:val="top"/>
          </w:tcPr>
          <w:p w14:paraId="65FA417C">
            <w:pPr>
              <w:spacing w:before="66"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355C4BF3">
            <w:pPr>
              <w:pStyle w:val="6"/>
              <w:spacing w:before="102" w:line="188" w:lineRule="auto"/>
              <w:ind w:left="415"/>
            </w:pPr>
            <w:r>
              <w:rPr>
                <w:spacing w:val="-2"/>
              </w:rPr>
              <w:t>0.13</w:t>
            </w:r>
          </w:p>
        </w:tc>
        <w:tc>
          <w:tcPr>
            <w:tcW w:w="1188" w:type="dxa"/>
            <w:vAlign w:val="top"/>
          </w:tcPr>
          <w:p w14:paraId="0E967EB4">
            <w:pPr>
              <w:pStyle w:val="6"/>
              <w:spacing w:before="102" w:line="188" w:lineRule="auto"/>
              <w:ind w:left="416"/>
            </w:pPr>
            <w:r>
              <w:rPr>
                <w:spacing w:val="-2"/>
              </w:rPr>
              <w:t>0.14</w:t>
            </w:r>
          </w:p>
        </w:tc>
        <w:tc>
          <w:tcPr>
            <w:tcW w:w="1189" w:type="dxa"/>
            <w:vAlign w:val="top"/>
          </w:tcPr>
          <w:p w14:paraId="2C340807">
            <w:pPr>
              <w:pStyle w:val="6"/>
              <w:spacing w:before="102" w:line="188" w:lineRule="auto"/>
              <w:ind w:left="417"/>
            </w:pPr>
            <w:r>
              <w:rPr>
                <w:spacing w:val="-2"/>
              </w:rPr>
              <w:t>0.13</w:t>
            </w:r>
          </w:p>
        </w:tc>
        <w:tc>
          <w:tcPr>
            <w:tcW w:w="1190" w:type="dxa"/>
            <w:vAlign w:val="top"/>
          </w:tcPr>
          <w:p w14:paraId="23CC3A89">
            <w:pPr>
              <w:pStyle w:val="6"/>
              <w:spacing w:before="102" w:line="188" w:lineRule="auto"/>
              <w:ind w:left="416"/>
            </w:pPr>
            <w:r>
              <w:rPr>
                <w:spacing w:val="-2"/>
              </w:rPr>
              <w:t>0.14</w:t>
            </w:r>
          </w:p>
        </w:tc>
      </w:tr>
      <w:tr w14:paraId="347B4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12720D18">
            <w:pPr>
              <w:rPr>
                <w:rFonts w:ascii="Arial"/>
                <w:sz w:val="21"/>
              </w:rPr>
            </w:pPr>
          </w:p>
        </w:tc>
        <w:tc>
          <w:tcPr>
            <w:tcW w:w="1187" w:type="dxa"/>
            <w:vMerge w:val="continue"/>
            <w:tcBorders>
              <w:top w:val="nil"/>
              <w:bottom w:val="nil"/>
            </w:tcBorders>
            <w:vAlign w:val="top"/>
          </w:tcPr>
          <w:p w14:paraId="2E7A5726">
            <w:pPr>
              <w:rPr>
                <w:rFonts w:ascii="Arial"/>
                <w:sz w:val="21"/>
              </w:rPr>
            </w:pPr>
          </w:p>
        </w:tc>
        <w:tc>
          <w:tcPr>
            <w:tcW w:w="1187" w:type="dxa"/>
            <w:vAlign w:val="top"/>
          </w:tcPr>
          <w:p w14:paraId="3B06F797">
            <w:pPr>
              <w:spacing w:before="66"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0283D52B">
            <w:pPr>
              <w:pStyle w:val="6"/>
              <w:spacing w:before="103" w:line="188" w:lineRule="auto"/>
              <w:ind w:left="362"/>
            </w:pPr>
            <w:r>
              <w:rPr>
                <w:spacing w:val="-2"/>
              </w:rPr>
              <w:t>0.003</w:t>
            </w:r>
          </w:p>
        </w:tc>
        <w:tc>
          <w:tcPr>
            <w:tcW w:w="1188" w:type="dxa"/>
            <w:vAlign w:val="top"/>
          </w:tcPr>
          <w:p w14:paraId="7B96D66C">
            <w:pPr>
              <w:pStyle w:val="6"/>
              <w:spacing w:before="103" w:line="188" w:lineRule="auto"/>
              <w:ind w:left="363"/>
            </w:pPr>
            <w:r>
              <w:rPr>
                <w:spacing w:val="-2"/>
              </w:rPr>
              <w:t>0.004</w:t>
            </w:r>
          </w:p>
        </w:tc>
        <w:tc>
          <w:tcPr>
            <w:tcW w:w="1189" w:type="dxa"/>
            <w:vAlign w:val="top"/>
          </w:tcPr>
          <w:p w14:paraId="2BD95932">
            <w:pPr>
              <w:pStyle w:val="6"/>
              <w:spacing w:before="103" w:line="188" w:lineRule="auto"/>
              <w:ind w:left="365"/>
            </w:pPr>
            <w:r>
              <w:rPr>
                <w:spacing w:val="-2"/>
              </w:rPr>
              <w:t>0.004</w:t>
            </w:r>
          </w:p>
        </w:tc>
        <w:tc>
          <w:tcPr>
            <w:tcW w:w="1190" w:type="dxa"/>
            <w:vAlign w:val="top"/>
          </w:tcPr>
          <w:p w14:paraId="1ADC5549">
            <w:pPr>
              <w:pStyle w:val="6"/>
              <w:spacing w:before="103" w:line="188" w:lineRule="auto"/>
              <w:ind w:left="364"/>
            </w:pPr>
            <w:r>
              <w:rPr>
                <w:spacing w:val="-2"/>
              </w:rPr>
              <w:t>0.005</w:t>
            </w:r>
          </w:p>
        </w:tc>
      </w:tr>
      <w:tr w14:paraId="4FB67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5F24920F">
            <w:pPr>
              <w:rPr>
                <w:rFonts w:ascii="Arial"/>
                <w:sz w:val="21"/>
              </w:rPr>
            </w:pPr>
          </w:p>
        </w:tc>
        <w:tc>
          <w:tcPr>
            <w:tcW w:w="1187" w:type="dxa"/>
            <w:vMerge w:val="continue"/>
            <w:tcBorders>
              <w:top w:val="nil"/>
            </w:tcBorders>
            <w:vAlign w:val="top"/>
          </w:tcPr>
          <w:p w14:paraId="4A22E324">
            <w:pPr>
              <w:rPr>
                <w:rFonts w:ascii="Arial"/>
                <w:sz w:val="21"/>
              </w:rPr>
            </w:pPr>
          </w:p>
        </w:tc>
        <w:tc>
          <w:tcPr>
            <w:tcW w:w="1187" w:type="dxa"/>
            <w:vAlign w:val="top"/>
          </w:tcPr>
          <w:p w14:paraId="5BFF80F7">
            <w:pPr>
              <w:spacing w:before="66"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3D5E8CE7">
            <w:pPr>
              <w:pStyle w:val="6"/>
              <w:spacing w:before="103" w:line="188" w:lineRule="auto"/>
              <w:ind w:left="430"/>
            </w:pPr>
            <w:r>
              <w:rPr>
                <w:spacing w:val="-2"/>
              </w:rPr>
              <w:t>&lt;10</w:t>
            </w:r>
          </w:p>
        </w:tc>
        <w:tc>
          <w:tcPr>
            <w:tcW w:w="1188" w:type="dxa"/>
            <w:vAlign w:val="top"/>
          </w:tcPr>
          <w:p w14:paraId="21374680">
            <w:pPr>
              <w:pStyle w:val="6"/>
              <w:spacing w:before="103" w:line="188" w:lineRule="auto"/>
              <w:ind w:left="432"/>
            </w:pPr>
            <w:r>
              <w:rPr>
                <w:spacing w:val="-2"/>
              </w:rPr>
              <w:t>&lt;10</w:t>
            </w:r>
          </w:p>
        </w:tc>
        <w:tc>
          <w:tcPr>
            <w:tcW w:w="1189" w:type="dxa"/>
            <w:vAlign w:val="top"/>
          </w:tcPr>
          <w:p w14:paraId="2DD149B3">
            <w:pPr>
              <w:pStyle w:val="6"/>
              <w:spacing w:before="103" w:line="188" w:lineRule="auto"/>
              <w:ind w:left="433"/>
            </w:pPr>
            <w:r>
              <w:rPr>
                <w:spacing w:val="-2"/>
              </w:rPr>
              <w:t>&lt;10</w:t>
            </w:r>
          </w:p>
        </w:tc>
        <w:tc>
          <w:tcPr>
            <w:tcW w:w="1190" w:type="dxa"/>
            <w:vAlign w:val="top"/>
          </w:tcPr>
          <w:p w14:paraId="72860F29">
            <w:pPr>
              <w:pStyle w:val="6"/>
              <w:spacing w:before="103" w:line="188" w:lineRule="auto"/>
              <w:ind w:left="432"/>
            </w:pPr>
            <w:r>
              <w:rPr>
                <w:spacing w:val="-2"/>
              </w:rPr>
              <w:t>&lt;10</w:t>
            </w:r>
          </w:p>
        </w:tc>
      </w:tr>
      <w:tr w14:paraId="3B7AE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2E013849">
            <w:pPr>
              <w:rPr>
                <w:rFonts w:ascii="Arial"/>
                <w:sz w:val="21"/>
              </w:rPr>
            </w:pPr>
          </w:p>
        </w:tc>
        <w:tc>
          <w:tcPr>
            <w:tcW w:w="1187" w:type="dxa"/>
            <w:vMerge w:val="restart"/>
            <w:tcBorders>
              <w:bottom w:val="nil"/>
            </w:tcBorders>
            <w:vAlign w:val="top"/>
          </w:tcPr>
          <w:p w14:paraId="5A9B8F86">
            <w:pPr>
              <w:spacing w:line="346" w:lineRule="auto"/>
              <w:rPr>
                <w:rFonts w:ascii="Arial"/>
                <w:sz w:val="21"/>
              </w:rPr>
            </w:pPr>
          </w:p>
          <w:p w14:paraId="376DA428">
            <w:pPr>
              <w:pStyle w:val="6"/>
              <w:spacing w:before="68" w:line="220" w:lineRule="auto"/>
              <w:ind w:left="174"/>
              <w:rPr>
                <w:rFonts w:ascii="宋体" w:hAnsi="宋体" w:eastAsia="宋体" w:cs="宋体"/>
              </w:rPr>
            </w:pPr>
            <w:r>
              <w:rPr>
                <w:spacing w:val="-1"/>
              </w:rPr>
              <w:t>2#</w:t>
            </w:r>
            <w:r>
              <w:rPr>
                <w:rFonts w:ascii="宋体" w:hAnsi="宋体" w:eastAsia="宋体" w:cs="宋体"/>
                <w:spacing w:val="-1"/>
              </w:rPr>
              <w:t>居民点</w:t>
            </w:r>
          </w:p>
        </w:tc>
        <w:tc>
          <w:tcPr>
            <w:tcW w:w="1187" w:type="dxa"/>
            <w:vAlign w:val="top"/>
          </w:tcPr>
          <w:p w14:paraId="1A1FC222">
            <w:pPr>
              <w:spacing w:before="67"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18803628">
            <w:pPr>
              <w:pStyle w:val="6"/>
              <w:spacing w:before="103" w:line="188" w:lineRule="auto"/>
              <w:ind w:left="415"/>
            </w:pPr>
            <w:r>
              <w:rPr>
                <w:spacing w:val="-2"/>
              </w:rPr>
              <w:t>0.15</w:t>
            </w:r>
          </w:p>
        </w:tc>
        <w:tc>
          <w:tcPr>
            <w:tcW w:w="1188" w:type="dxa"/>
            <w:vAlign w:val="top"/>
          </w:tcPr>
          <w:p w14:paraId="73D19493">
            <w:pPr>
              <w:pStyle w:val="6"/>
              <w:spacing w:before="103" w:line="188" w:lineRule="auto"/>
              <w:ind w:left="416"/>
            </w:pPr>
            <w:r>
              <w:rPr>
                <w:spacing w:val="-2"/>
              </w:rPr>
              <w:t>0.15</w:t>
            </w:r>
          </w:p>
        </w:tc>
        <w:tc>
          <w:tcPr>
            <w:tcW w:w="1189" w:type="dxa"/>
            <w:vAlign w:val="top"/>
          </w:tcPr>
          <w:p w14:paraId="65658A35">
            <w:pPr>
              <w:pStyle w:val="6"/>
              <w:spacing w:before="103" w:line="188" w:lineRule="auto"/>
              <w:ind w:left="417"/>
            </w:pPr>
            <w:r>
              <w:rPr>
                <w:spacing w:val="-2"/>
              </w:rPr>
              <w:t>0.14</w:t>
            </w:r>
          </w:p>
        </w:tc>
        <w:tc>
          <w:tcPr>
            <w:tcW w:w="1190" w:type="dxa"/>
            <w:vAlign w:val="top"/>
          </w:tcPr>
          <w:p w14:paraId="663B2045">
            <w:pPr>
              <w:pStyle w:val="6"/>
              <w:spacing w:before="103" w:line="188" w:lineRule="auto"/>
              <w:ind w:left="416"/>
            </w:pPr>
            <w:r>
              <w:rPr>
                <w:spacing w:val="-2"/>
              </w:rPr>
              <w:t>0.15</w:t>
            </w:r>
          </w:p>
        </w:tc>
      </w:tr>
      <w:tr w14:paraId="09788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6B824A34">
            <w:pPr>
              <w:rPr>
                <w:rFonts w:ascii="Arial"/>
                <w:sz w:val="21"/>
              </w:rPr>
            </w:pPr>
          </w:p>
        </w:tc>
        <w:tc>
          <w:tcPr>
            <w:tcW w:w="1187" w:type="dxa"/>
            <w:vMerge w:val="continue"/>
            <w:tcBorders>
              <w:top w:val="nil"/>
              <w:bottom w:val="nil"/>
            </w:tcBorders>
            <w:vAlign w:val="top"/>
          </w:tcPr>
          <w:p w14:paraId="296E2AF1">
            <w:pPr>
              <w:rPr>
                <w:rFonts w:ascii="Arial"/>
                <w:sz w:val="21"/>
              </w:rPr>
            </w:pPr>
          </w:p>
        </w:tc>
        <w:tc>
          <w:tcPr>
            <w:tcW w:w="1187" w:type="dxa"/>
            <w:vAlign w:val="top"/>
          </w:tcPr>
          <w:p w14:paraId="2DAE9BC4">
            <w:pPr>
              <w:spacing w:before="67"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002879AE">
            <w:pPr>
              <w:pStyle w:val="6"/>
              <w:spacing w:before="104" w:line="188" w:lineRule="auto"/>
              <w:ind w:left="362"/>
            </w:pPr>
            <w:r>
              <w:rPr>
                <w:spacing w:val="-2"/>
              </w:rPr>
              <w:t>0.005</w:t>
            </w:r>
          </w:p>
        </w:tc>
        <w:tc>
          <w:tcPr>
            <w:tcW w:w="1188" w:type="dxa"/>
            <w:vAlign w:val="top"/>
          </w:tcPr>
          <w:p w14:paraId="09038988">
            <w:pPr>
              <w:pStyle w:val="6"/>
              <w:spacing w:before="104" w:line="188" w:lineRule="auto"/>
              <w:ind w:left="363"/>
            </w:pPr>
            <w:r>
              <w:rPr>
                <w:spacing w:val="-2"/>
              </w:rPr>
              <w:t>0.006</w:t>
            </w:r>
          </w:p>
        </w:tc>
        <w:tc>
          <w:tcPr>
            <w:tcW w:w="1189" w:type="dxa"/>
            <w:vAlign w:val="top"/>
          </w:tcPr>
          <w:p w14:paraId="6913CEBC">
            <w:pPr>
              <w:pStyle w:val="6"/>
              <w:spacing w:before="104" w:line="188" w:lineRule="auto"/>
              <w:ind w:left="365"/>
            </w:pPr>
            <w:r>
              <w:rPr>
                <w:spacing w:val="-2"/>
              </w:rPr>
              <w:t>0.006</w:t>
            </w:r>
          </w:p>
        </w:tc>
        <w:tc>
          <w:tcPr>
            <w:tcW w:w="1190" w:type="dxa"/>
            <w:vAlign w:val="top"/>
          </w:tcPr>
          <w:p w14:paraId="480DC883">
            <w:pPr>
              <w:pStyle w:val="6"/>
              <w:spacing w:before="104" w:line="188" w:lineRule="auto"/>
              <w:ind w:left="364"/>
            </w:pPr>
            <w:r>
              <w:rPr>
                <w:spacing w:val="-2"/>
              </w:rPr>
              <w:t>0.005</w:t>
            </w:r>
          </w:p>
        </w:tc>
      </w:tr>
      <w:tr w14:paraId="00AB9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tcBorders>
            <w:vAlign w:val="top"/>
          </w:tcPr>
          <w:p w14:paraId="0DEF688D">
            <w:pPr>
              <w:rPr>
                <w:rFonts w:ascii="Arial"/>
                <w:sz w:val="21"/>
              </w:rPr>
            </w:pPr>
          </w:p>
        </w:tc>
        <w:tc>
          <w:tcPr>
            <w:tcW w:w="1187" w:type="dxa"/>
            <w:vMerge w:val="continue"/>
            <w:tcBorders>
              <w:top w:val="nil"/>
            </w:tcBorders>
            <w:vAlign w:val="top"/>
          </w:tcPr>
          <w:p w14:paraId="5034502F">
            <w:pPr>
              <w:rPr>
                <w:rFonts w:ascii="Arial"/>
                <w:sz w:val="21"/>
              </w:rPr>
            </w:pPr>
          </w:p>
        </w:tc>
        <w:tc>
          <w:tcPr>
            <w:tcW w:w="1187" w:type="dxa"/>
            <w:vAlign w:val="top"/>
          </w:tcPr>
          <w:p w14:paraId="6333127E">
            <w:pPr>
              <w:spacing w:before="67"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70B80949">
            <w:pPr>
              <w:pStyle w:val="6"/>
              <w:spacing w:before="104" w:line="188" w:lineRule="auto"/>
              <w:ind w:left="430"/>
            </w:pPr>
            <w:r>
              <w:rPr>
                <w:spacing w:val="-2"/>
              </w:rPr>
              <w:t>&lt;10</w:t>
            </w:r>
          </w:p>
        </w:tc>
        <w:tc>
          <w:tcPr>
            <w:tcW w:w="1188" w:type="dxa"/>
            <w:vAlign w:val="top"/>
          </w:tcPr>
          <w:p w14:paraId="7E174B81">
            <w:pPr>
              <w:pStyle w:val="6"/>
              <w:spacing w:before="104" w:line="188" w:lineRule="auto"/>
              <w:ind w:left="432"/>
            </w:pPr>
            <w:r>
              <w:rPr>
                <w:spacing w:val="-2"/>
              </w:rPr>
              <w:t>&lt;10</w:t>
            </w:r>
          </w:p>
        </w:tc>
        <w:tc>
          <w:tcPr>
            <w:tcW w:w="1189" w:type="dxa"/>
            <w:vAlign w:val="top"/>
          </w:tcPr>
          <w:p w14:paraId="3D21827B">
            <w:pPr>
              <w:pStyle w:val="6"/>
              <w:spacing w:before="104" w:line="188" w:lineRule="auto"/>
              <w:ind w:left="433"/>
            </w:pPr>
            <w:r>
              <w:rPr>
                <w:spacing w:val="-2"/>
              </w:rPr>
              <w:t>&lt;10</w:t>
            </w:r>
          </w:p>
        </w:tc>
        <w:tc>
          <w:tcPr>
            <w:tcW w:w="1190" w:type="dxa"/>
            <w:vAlign w:val="top"/>
          </w:tcPr>
          <w:p w14:paraId="78C6A034">
            <w:pPr>
              <w:pStyle w:val="6"/>
              <w:spacing w:before="104" w:line="188" w:lineRule="auto"/>
              <w:ind w:left="432"/>
            </w:pPr>
            <w:r>
              <w:rPr>
                <w:spacing w:val="-2"/>
              </w:rPr>
              <w:t>&lt;10</w:t>
            </w:r>
          </w:p>
        </w:tc>
      </w:tr>
      <w:tr w14:paraId="74240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restart"/>
            <w:tcBorders>
              <w:bottom w:val="nil"/>
            </w:tcBorders>
            <w:vAlign w:val="top"/>
          </w:tcPr>
          <w:p w14:paraId="57F3E26E">
            <w:pPr>
              <w:spacing w:line="357" w:lineRule="auto"/>
              <w:rPr>
                <w:rFonts w:ascii="Arial"/>
                <w:sz w:val="21"/>
              </w:rPr>
            </w:pPr>
          </w:p>
          <w:p w14:paraId="79905682">
            <w:pPr>
              <w:spacing w:line="357" w:lineRule="auto"/>
              <w:rPr>
                <w:rFonts w:ascii="Arial"/>
                <w:sz w:val="21"/>
              </w:rPr>
            </w:pPr>
          </w:p>
          <w:p w14:paraId="4613F468">
            <w:pPr>
              <w:pStyle w:val="6"/>
              <w:spacing w:before="68" w:line="220" w:lineRule="auto"/>
              <w:ind w:left="256"/>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0772D044">
            <w:pPr>
              <w:pStyle w:val="6"/>
              <w:spacing w:before="61" w:line="220" w:lineRule="auto"/>
              <w:ind w:left="119"/>
              <w:rPr>
                <w:rFonts w:ascii="宋体" w:hAnsi="宋体" w:eastAsia="宋体" w:cs="宋体"/>
              </w:rPr>
            </w:pPr>
            <w:r>
              <w:rPr>
                <w:spacing w:val="-9"/>
              </w:rPr>
              <w:t>12</w:t>
            </w:r>
            <w:r>
              <w:rPr>
                <w:spacing w:val="14"/>
              </w:rPr>
              <w:t xml:space="preserve"> </w:t>
            </w:r>
            <w:r>
              <w:rPr>
                <w:rFonts w:ascii="宋体" w:hAnsi="宋体" w:eastAsia="宋体" w:cs="宋体"/>
                <w:spacing w:val="-9"/>
              </w:rPr>
              <w:t>月</w:t>
            </w:r>
            <w:r>
              <w:rPr>
                <w:rFonts w:ascii="宋体" w:hAnsi="宋体" w:eastAsia="宋体" w:cs="宋体"/>
                <w:spacing w:val="-28"/>
              </w:rPr>
              <w:t xml:space="preserve"> </w:t>
            </w:r>
            <w:r>
              <w:rPr>
                <w:spacing w:val="-9"/>
              </w:rPr>
              <w:t xml:space="preserve">11  </w:t>
            </w:r>
            <w:r>
              <w:rPr>
                <w:rFonts w:ascii="宋体" w:hAnsi="宋体" w:eastAsia="宋体" w:cs="宋体"/>
                <w:spacing w:val="-9"/>
              </w:rPr>
              <w:t>日</w:t>
            </w:r>
          </w:p>
        </w:tc>
        <w:tc>
          <w:tcPr>
            <w:tcW w:w="1187" w:type="dxa"/>
            <w:vMerge w:val="restart"/>
            <w:tcBorders>
              <w:bottom w:val="nil"/>
            </w:tcBorders>
            <w:vAlign w:val="top"/>
          </w:tcPr>
          <w:p w14:paraId="19FBCC93">
            <w:pPr>
              <w:spacing w:line="347" w:lineRule="auto"/>
              <w:rPr>
                <w:rFonts w:ascii="Arial"/>
                <w:sz w:val="21"/>
              </w:rPr>
            </w:pPr>
          </w:p>
          <w:p w14:paraId="63A20CF8">
            <w:pPr>
              <w:pStyle w:val="6"/>
              <w:spacing w:before="68" w:line="220" w:lineRule="auto"/>
              <w:ind w:left="194"/>
              <w:rPr>
                <w:rFonts w:ascii="宋体" w:hAnsi="宋体" w:eastAsia="宋体" w:cs="宋体"/>
              </w:rPr>
            </w:pPr>
            <w:r>
              <w:rPr>
                <w:spacing w:val="-5"/>
              </w:rPr>
              <w:t>1#</w:t>
            </w:r>
            <w:r>
              <w:rPr>
                <w:rFonts w:ascii="宋体" w:hAnsi="宋体" w:eastAsia="宋体" w:cs="宋体"/>
                <w:spacing w:val="-5"/>
              </w:rPr>
              <w:t>项目地</w:t>
            </w:r>
          </w:p>
        </w:tc>
        <w:tc>
          <w:tcPr>
            <w:tcW w:w="1187" w:type="dxa"/>
            <w:vAlign w:val="top"/>
          </w:tcPr>
          <w:p w14:paraId="7718ECBF">
            <w:pPr>
              <w:spacing w:before="68"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6114246C">
            <w:pPr>
              <w:pStyle w:val="6"/>
              <w:spacing w:before="104" w:line="188" w:lineRule="auto"/>
              <w:ind w:left="415"/>
            </w:pPr>
            <w:r>
              <w:rPr>
                <w:spacing w:val="-2"/>
              </w:rPr>
              <w:t>0.14</w:t>
            </w:r>
          </w:p>
        </w:tc>
        <w:tc>
          <w:tcPr>
            <w:tcW w:w="1188" w:type="dxa"/>
            <w:vAlign w:val="top"/>
          </w:tcPr>
          <w:p w14:paraId="4ACEF4E6">
            <w:pPr>
              <w:pStyle w:val="6"/>
              <w:spacing w:before="104" w:line="188" w:lineRule="auto"/>
              <w:ind w:left="416"/>
            </w:pPr>
            <w:r>
              <w:rPr>
                <w:spacing w:val="-2"/>
              </w:rPr>
              <w:t>0.14</w:t>
            </w:r>
          </w:p>
        </w:tc>
        <w:tc>
          <w:tcPr>
            <w:tcW w:w="1189" w:type="dxa"/>
            <w:vAlign w:val="top"/>
          </w:tcPr>
          <w:p w14:paraId="0F378336">
            <w:pPr>
              <w:pStyle w:val="6"/>
              <w:spacing w:before="104" w:line="188" w:lineRule="auto"/>
              <w:ind w:left="417"/>
            </w:pPr>
            <w:r>
              <w:rPr>
                <w:spacing w:val="-2"/>
              </w:rPr>
              <w:t>0.15</w:t>
            </w:r>
          </w:p>
        </w:tc>
        <w:tc>
          <w:tcPr>
            <w:tcW w:w="1190" w:type="dxa"/>
            <w:vAlign w:val="top"/>
          </w:tcPr>
          <w:p w14:paraId="154F0402">
            <w:pPr>
              <w:pStyle w:val="6"/>
              <w:spacing w:before="104" w:line="188" w:lineRule="auto"/>
              <w:ind w:left="416"/>
            </w:pPr>
            <w:r>
              <w:rPr>
                <w:spacing w:val="-2"/>
              </w:rPr>
              <w:t>0.13</w:t>
            </w:r>
          </w:p>
        </w:tc>
      </w:tr>
      <w:tr w14:paraId="5E0BB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515A8701">
            <w:pPr>
              <w:rPr>
                <w:rFonts w:ascii="Arial"/>
                <w:sz w:val="21"/>
              </w:rPr>
            </w:pPr>
          </w:p>
        </w:tc>
        <w:tc>
          <w:tcPr>
            <w:tcW w:w="1187" w:type="dxa"/>
            <w:vMerge w:val="continue"/>
            <w:tcBorders>
              <w:top w:val="nil"/>
              <w:bottom w:val="nil"/>
            </w:tcBorders>
            <w:vAlign w:val="top"/>
          </w:tcPr>
          <w:p w14:paraId="30E1768B">
            <w:pPr>
              <w:rPr>
                <w:rFonts w:ascii="Arial"/>
                <w:sz w:val="21"/>
              </w:rPr>
            </w:pPr>
          </w:p>
        </w:tc>
        <w:tc>
          <w:tcPr>
            <w:tcW w:w="1187" w:type="dxa"/>
            <w:vAlign w:val="top"/>
          </w:tcPr>
          <w:p w14:paraId="2FD3FCEB">
            <w:pPr>
              <w:spacing w:before="68"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51E84E4F">
            <w:pPr>
              <w:pStyle w:val="6"/>
              <w:spacing w:before="105" w:line="188" w:lineRule="auto"/>
              <w:ind w:left="362"/>
            </w:pPr>
            <w:r>
              <w:rPr>
                <w:spacing w:val="-2"/>
              </w:rPr>
              <w:t>0.003</w:t>
            </w:r>
          </w:p>
        </w:tc>
        <w:tc>
          <w:tcPr>
            <w:tcW w:w="1188" w:type="dxa"/>
            <w:vAlign w:val="top"/>
          </w:tcPr>
          <w:p w14:paraId="7915A1C1">
            <w:pPr>
              <w:pStyle w:val="6"/>
              <w:spacing w:before="105" w:line="188" w:lineRule="auto"/>
              <w:ind w:left="363"/>
            </w:pPr>
            <w:r>
              <w:rPr>
                <w:spacing w:val="-2"/>
              </w:rPr>
              <w:t>0.003</w:t>
            </w:r>
          </w:p>
        </w:tc>
        <w:tc>
          <w:tcPr>
            <w:tcW w:w="1189" w:type="dxa"/>
            <w:vAlign w:val="top"/>
          </w:tcPr>
          <w:p w14:paraId="03FAEBB7">
            <w:pPr>
              <w:pStyle w:val="6"/>
              <w:spacing w:before="105" w:line="188" w:lineRule="auto"/>
              <w:ind w:left="365"/>
            </w:pPr>
            <w:r>
              <w:rPr>
                <w:spacing w:val="-2"/>
              </w:rPr>
              <w:t>0.004</w:t>
            </w:r>
          </w:p>
        </w:tc>
        <w:tc>
          <w:tcPr>
            <w:tcW w:w="1190" w:type="dxa"/>
            <w:vAlign w:val="top"/>
          </w:tcPr>
          <w:p w14:paraId="53221C42">
            <w:pPr>
              <w:pStyle w:val="6"/>
              <w:spacing w:before="105" w:line="188" w:lineRule="auto"/>
              <w:ind w:left="364"/>
            </w:pPr>
            <w:r>
              <w:rPr>
                <w:spacing w:val="-2"/>
              </w:rPr>
              <w:t>0.003</w:t>
            </w:r>
          </w:p>
        </w:tc>
      </w:tr>
      <w:tr w14:paraId="43E0B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91" w:type="dxa"/>
            <w:vMerge w:val="continue"/>
            <w:tcBorders>
              <w:top w:val="nil"/>
              <w:bottom w:val="nil"/>
            </w:tcBorders>
            <w:vAlign w:val="top"/>
          </w:tcPr>
          <w:p w14:paraId="38735976">
            <w:pPr>
              <w:rPr>
                <w:rFonts w:ascii="Arial"/>
                <w:sz w:val="21"/>
              </w:rPr>
            </w:pPr>
          </w:p>
        </w:tc>
        <w:tc>
          <w:tcPr>
            <w:tcW w:w="1187" w:type="dxa"/>
            <w:vMerge w:val="continue"/>
            <w:tcBorders>
              <w:top w:val="nil"/>
            </w:tcBorders>
            <w:vAlign w:val="top"/>
          </w:tcPr>
          <w:p w14:paraId="18A67711">
            <w:pPr>
              <w:rPr>
                <w:rFonts w:ascii="Arial"/>
                <w:sz w:val="21"/>
              </w:rPr>
            </w:pPr>
          </w:p>
        </w:tc>
        <w:tc>
          <w:tcPr>
            <w:tcW w:w="1187" w:type="dxa"/>
            <w:vAlign w:val="top"/>
          </w:tcPr>
          <w:p w14:paraId="3D1FCF2E">
            <w:pPr>
              <w:spacing w:before="68"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0911043D">
            <w:pPr>
              <w:pStyle w:val="6"/>
              <w:spacing w:before="105" w:line="188" w:lineRule="auto"/>
              <w:ind w:left="430"/>
            </w:pPr>
            <w:r>
              <w:rPr>
                <w:spacing w:val="-2"/>
              </w:rPr>
              <w:t>&lt;10</w:t>
            </w:r>
          </w:p>
        </w:tc>
        <w:tc>
          <w:tcPr>
            <w:tcW w:w="1188" w:type="dxa"/>
            <w:vAlign w:val="top"/>
          </w:tcPr>
          <w:p w14:paraId="0C03A62B">
            <w:pPr>
              <w:pStyle w:val="6"/>
              <w:spacing w:before="105" w:line="188" w:lineRule="auto"/>
              <w:ind w:left="432"/>
            </w:pPr>
            <w:r>
              <w:rPr>
                <w:spacing w:val="-2"/>
              </w:rPr>
              <w:t>&lt;10</w:t>
            </w:r>
          </w:p>
        </w:tc>
        <w:tc>
          <w:tcPr>
            <w:tcW w:w="1189" w:type="dxa"/>
            <w:vAlign w:val="top"/>
          </w:tcPr>
          <w:p w14:paraId="04FA8E30">
            <w:pPr>
              <w:pStyle w:val="6"/>
              <w:spacing w:before="105" w:line="188" w:lineRule="auto"/>
              <w:ind w:left="433"/>
            </w:pPr>
            <w:r>
              <w:rPr>
                <w:spacing w:val="-2"/>
              </w:rPr>
              <w:t>&lt;10</w:t>
            </w:r>
          </w:p>
        </w:tc>
        <w:tc>
          <w:tcPr>
            <w:tcW w:w="1190" w:type="dxa"/>
            <w:vAlign w:val="top"/>
          </w:tcPr>
          <w:p w14:paraId="21F0F64F">
            <w:pPr>
              <w:pStyle w:val="6"/>
              <w:spacing w:before="105" w:line="188" w:lineRule="auto"/>
              <w:ind w:left="432"/>
            </w:pPr>
            <w:r>
              <w:rPr>
                <w:spacing w:val="-2"/>
              </w:rPr>
              <w:t>&lt;10</w:t>
            </w:r>
          </w:p>
        </w:tc>
      </w:tr>
      <w:tr w14:paraId="5F585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1" w:type="dxa"/>
            <w:vMerge w:val="continue"/>
            <w:tcBorders>
              <w:top w:val="nil"/>
              <w:bottom w:val="nil"/>
            </w:tcBorders>
            <w:vAlign w:val="top"/>
          </w:tcPr>
          <w:p w14:paraId="3D1D9C8D">
            <w:pPr>
              <w:rPr>
                <w:rFonts w:ascii="Arial"/>
                <w:sz w:val="21"/>
              </w:rPr>
            </w:pPr>
          </w:p>
        </w:tc>
        <w:tc>
          <w:tcPr>
            <w:tcW w:w="1187" w:type="dxa"/>
            <w:vMerge w:val="restart"/>
            <w:tcBorders>
              <w:bottom w:val="nil"/>
            </w:tcBorders>
            <w:vAlign w:val="top"/>
          </w:tcPr>
          <w:p w14:paraId="41775670">
            <w:pPr>
              <w:spacing w:line="348" w:lineRule="auto"/>
              <w:rPr>
                <w:rFonts w:ascii="Arial"/>
                <w:sz w:val="21"/>
              </w:rPr>
            </w:pPr>
          </w:p>
          <w:p w14:paraId="60B02EDB">
            <w:pPr>
              <w:pStyle w:val="6"/>
              <w:spacing w:before="68" w:line="220" w:lineRule="auto"/>
              <w:ind w:left="174"/>
              <w:rPr>
                <w:rFonts w:ascii="宋体" w:hAnsi="宋体" w:eastAsia="宋体" w:cs="宋体"/>
              </w:rPr>
            </w:pPr>
            <w:r>
              <w:rPr>
                <w:spacing w:val="-1"/>
              </w:rPr>
              <w:t>2#</w:t>
            </w:r>
            <w:r>
              <w:rPr>
                <w:rFonts w:ascii="宋体" w:hAnsi="宋体" w:eastAsia="宋体" w:cs="宋体"/>
                <w:spacing w:val="-1"/>
              </w:rPr>
              <w:t>居民点</w:t>
            </w:r>
          </w:p>
        </w:tc>
        <w:tc>
          <w:tcPr>
            <w:tcW w:w="1187" w:type="dxa"/>
            <w:vAlign w:val="top"/>
          </w:tcPr>
          <w:p w14:paraId="39E55306">
            <w:pPr>
              <w:spacing w:before="69" w:line="220" w:lineRule="auto"/>
              <w:ind w:left="493"/>
              <w:rPr>
                <w:rFonts w:ascii="宋体" w:hAnsi="宋体" w:eastAsia="宋体" w:cs="宋体"/>
                <w:sz w:val="21"/>
                <w:szCs w:val="21"/>
              </w:rPr>
            </w:pPr>
            <w:r>
              <w:rPr>
                <w:rFonts w:ascii="宋体" w:hAnsi="宋体" w:eastAsia="宋体" w:cs="宋体"/>
                <w:sz w:val="21"/>
                <w:szCs w:val="21"/>
              </w:rPr>
              <w:t>氨</w:t>
            </w:r>
          </w:p>
        </w:tc>
        <w:tc>
          <w:tcPr>
            <w:tcW w:w="1188" w:type="dxa"/>
            <w:vAlign w:val="top"/>
          </w:tcPr>
          <w:p w14:paraId="4A408001">
            <w:pPr>
              <w:pStyle w:val="6"/>
              <w:spacing w:before="105" w:line="188" w:lineRule="auto"/>
              <w:ind w:left="415"/>
            </w:pPr>
            <w:r>
              <w:rPr>
                <w:spacing w:val="-2"/>
              </w:rPr>
              <w:t>0.16</w:t>
            </w:r>
          </w:p>
        </w:tc>
        <w:tc>
          <w:tcPr>
            <w:tcW w:w="1188" w:type="dxa"/>
            <w:vAlign w:val="top"/>
          </w:tcPr>
          <w:p w14:paraId="218B1863">
            <w:pPr>
              <w:pStyle w:val="6"/>
              <w:spacing w:before="105" w:line="188" w:lineRule="auto"/>
              <w:ind w:left="416"/>
            </w:pPr>
            <w:r>
              <w:rPr>
                <w:spacing w:val="-2"/>
              </w:rPr>
              <w:t>0.15</w:t>
            </w:r>
          </w:p>
        </w:tc>
        <w:tc>
          <w:tcPr>
            <w:tcW w:w="1189" w:type="dxa"/>
            <w:vAlign w:val="top"/>
          </w:tcPr>
          <w:p w14:paraId="5569FC53">
            <w:pPr>
              <w:pStyle w:val="6"/>
              <w:spacing w:before="105" w:line="188" w:lineRule="auto"/>
              <w:ind w:left="417"/>
            </w:pPr>
            <w:r>
              <w:rPr>
                <w:spacing w:val="-2"/>
              </w:rPr>
              <w:t>0.16</w:t>
            </w:r>
          </w:p>
        </w:tc>
        <w:tc>
          <w:tcPr>
            <w:tcW w:w="1190" w:type="dxa"/>
            <w:vAlign w:val="top"/>
          </w:tcPr>
          <w:p w14:paraId="438531A0">
            <w:pPr>
              <w:pStyle w:val="6"/>
              <w:spacing w:before="105" w:line="188" w:lineRule="auto"/>
              <w:ind w:left="416"/>
            </w:pPr>
            <w:r>
              <w:rPr>
                <w:spacing w:val="-2"/>
              </w:rPr>
              <w:t>0.17</w:t>
            </w:r>
          </w:p>
        </w:tc>
      </w:tr>
      <w:tr w14:paraId="6C2B6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91" w:type="dxa"/>
            <w:vMerge w:val="continue"/>
            <w:tcBorders>
              <w:top w:val="nil"/>
              <w:bottom w:val="nil"/>
            </w:tcBorders>
            <w:vAlign w:val="top"/>
          </w:tcPr>
          <w:p w14:paraId="20B28E0C">
            <w:pPr>
              <w:rPr>
                <w:rFonts w:ascii="Arial"/>
                <w:sz w:val="21"/>
              </w:rPr>
            </w:pPr>
          </w:p>
        </w:tc>
        <w:tc>
          <w:tcPr>
            <w:tcW w:w="1187" w:type="dxa"/>
            <w:vMerge w:val="continue"/>
            <w:tcBorders>
              <w:top w:val="nil"/>
              <w:bottom w:val="nil"/>
            </w:tcBorders>
            <w:vAlign w:val="top"/>
          </w:tcPr>
          <w:p w14:paraId="07824BF3">
            <w:pPr>
              <w:rPr>
                <w:rFonts w:ascii="Arial"/>
                <w:sz w:val="21"/>
              </w:rPr>
            </w:pPr>
          </w:p>
        </w:tc>
        <w:tc>
          <w:tcPr>
            <w:tcW w:w="1187" w:type="dxa"/>
            <w:vAlign w:val="top"/>
          </w:tcPr>
          <w:p w14:paraId="039C77EF">
            <w:pPr>
              <w:spacing w:before="69" w:line="221" w:lineRule="auto"/>
              <w:ind w:left="282"/>
              <w:rPr>
                <w:rFonts w:ascii="宋体" w:hAnsi="宋体" w:eastAsia="宋体" w:cs="宋体"/>
                <w:sz w:val="21"/>
                <w:szCs w:val="21"/>
              </w:rPr>
            </w:pPr>
            <w:r>
              <w:rPr>
                <w:rFonts w:ascii="宋体" w:hAnsi="宋体" w:eastAsia="宋体" w:cs="宋体"/>
                <w:spacing w:val="-2"/>
                <w:sz w:val="21"/>
                <w:szCs w:val="21"/>
              </w:rPr>
              <w:t>硫化氢</w:t>
            </w:r>
          </w:p>
        </w:tc>
        <w:tc>
          <w:tcPr>
            <w:tcW w:w="1188" w:type="dxa"/>
            <w:vAlign w:val="top"/>
          </w:tcPr>
          <w:p w14:paraId="08803044">
            <w:pPr>
              <w:pStyle w:val="6"/>
              <w:spacing w:before="106" w:line="188" w:lineRule="auto"/>
              <w:ind w:left="362"/>
            </w:pPr>
            <w:r>
              <w:rPr>
                <w:spacing w:val="-2"/>
              </w:rPr>
              <w:t>0.004</w:t>
            </w:r>
          </w:p>
        </w:tc>
        <w:tc>
          <w:tcPr>
            <w:tcW w:w="1188" w:type="dxa"/>
            <w:vAlign w:val="top"/>
          </w:tcPr>
          <w:p w14:paraId="5262AA48">
            <w:pPr>
              <w:pStyle w:val="6"/>
              <w:spacing w:before="106" w:line="188" w:lineRule="auto"/>
              <w:ind w:left="363"/>
            </w:pPr>
            <w:r>
              <w:rPr>
                <w:spacing w:val="-2"/>
              </w:rPr>
              <w:t>0.005</w:t>
            </w:r>
          </w:p>
        </w:tc>
        <w:tc>
          <w:tcPr>
            <w:tcW w:w="1189" w:type="dxa"/>
            <w:vAlign w:val="top"/>
          </w:tcPr>
          <w:p w14:paraId="364D4811">
            <w:pPr>
              <w:pStyle w:val="6"/>
              <w:spacing w:before="106" w:line="188" w:lineRule="auto"/>
              <w:ind w:left="365"/>
            </w:pPr>
            <w:r>
              <w:rPr>
                <w:spacing w:val="-2"/>
              </w:rPr>
              <w:t>0.006</w:t>
            </w:r>
          </w:p>
        </w:tc>
        <w:tc>
          <w:tcPr>
            <w:tcW w:w="1190" w:type="dxa"/>
            <w:vAlign w:val="top"/>
          </w:tcPr>
          <w:p w14:paraId="6150FA4D">
            <w:pPr>
              <w:pStyle w:val="6"/>
              <w:spacing w:before="106" w:line="188" w:lineRule="auto"/>
              <w:ind w:left="364"/>
            </w:pPr>
            <w:r>
              <w:rPr>
                <w:spacing w:val="-2"/>
              </w:rPr>
              <w:t>0.005</w:t>
            </w:r>
          </w:p>
        </w:tc>
      </w:tr>
      <w:tr w14:paraId="7EE12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91" w:type="dxa"/>
            <w:vMerge w:val="continue"/>
            <w:tcBorders>
              <w:top w:val="nil"/>
            </w:tcBorders>
            <w:vAlign w:val="top"/>
          </w:tcPr>
          <w:p w14:paraId="3A1F1893">
            <w:pPr>
              <w:rPr>
                <w:rFonts w:ascii="Arial"/>
                <w:sz w:val="21"/>
              </w:rPr>
            </w:pPr>
          </w:p>
        </w:tc>
        <w:tc>
          <w:tcPr>
            <w:tcW w:w="1187" w:type="dxa"/>
            <w:vMerge w:val="continue"/>
            <w:tcBorders>
              <w:top w:val="nil"/>
            </w:tcBorders>
            <w:vAlign w:val="top"/>
          </w:tcPr>
          <w:p w14:paraId="4DE18133">
            <w:pPr>
              <w:rPr>
                <w:rFonts w:ascii="Arial"/>
                <w:sz w:val="21"/>
              </w:rPr>
            </w:pPr>
          </w:p>
        </w:tc>
        <w:tc>
          <w:tcPr>
            <w:tcW w:w="1187" w:type="dxa"/>
            <w:vAlign w:val="top"/>
          </w:tcPr>
          <w:p w14:paraId="4D122CE3">
            <w:pPr>
              <w:spacing w:before="68" w:line="220" w:lineRule="auto"/>
              <w:ind w:left="178"/>
              <w:rPr>
                <w:rFonts w:ascii="宋体" w:hAnsi="宋体" w:eastAsia="宋体" w:cs="宋体"/>
                <w:sz w:val="21"/>
                <w:szCs w:val="21"/>
              </w:rPr>
            </w:pPr>
            <w:r>
              <w:rPr>
                <w:rFonts w:ascii="宋体" w:hAnsi="宋体" w:eastAsia="宋体" w:cs="宋体"/>
                <w:spacing w:val="-2"/>
                <w:sz w:val="21"/>
                <w:szCs w:val="21"/>
              </w:rPr>
              <w:t>臭气浓度</w:t>
            </w:r>
          </w:p>
        </w:tc>
        <w:tc>
          <w:tcPr>
            <w:tcW w:w="1188" w:type="dxa"/>
            <w:vAlign w:val="top"/>
          </w:tcPr>
          <w:p w14:paraId="326823D4">
            <w:pPr>
              <w:pStyle w:val="6"/>
              <w:spacing w:before="105" w:line="188" w:lineRule="auto"/>
              <w:ind w:left="430"/>
            </w:pPr>
            <w:r>
              <w:rPr>
                <w:spacing w:val="-2"/>
              </w:rPr>
              <w:t>&lt;10</w:t>
            </w:r>
          </w:p>
        </w:tc>
        <w:tc>
          <w:tcPr>
            <w:tcW w:w="1188" w:type="dxa"/>
            <w:vAlign w:val="top"/>
          </w:tcPr>
          <w:p w14:paraId="08CDF5B6">
            <w:pPr>
              <w:pStyle w:val="6"/>
              <w:spacing w:before="105" w:line="188" w:lineRule="auto"/>
              <w:ind w:left="432"/>
            </w:pPr>
            <w:r>
              <w:rPr>
                <w:spacing w:val="-2"/>
              </w:rPr>
              <w:t>&lt;10</w:t>
            </w:r>
          </w:p>
        </w:tc>
        <w:tc>
          <w:tcPr>
            <w:tcW w:w="1189" w:type="dxa"/>
            <w:vAlign w:val="top"/>
          </w:tcPr>
          <w:p w14:paraId="59449A58">
            <w:pPr>
              <w:pStyle w:val="6"/>
              <w:spacing w:before="105" w:line="188" w:lineRule="auto"/>
              <w:ind w:left="433"/>
            </w:pPr>
            <w:r>
              <w:rPr>
                <w:spacing w:val="-2"/>
              </w:rPr>
              <w:t>&lt;10</w:t>
            </w:r>
          </w:p>
        </w:tc>
        <w:tc>
          <w:tcPr>
            <w:tcW w:w="1190" w:type="dxa"/>
            <w:vAlign w:val="top"/>
          </w:tcPr>
          <w:p w14:paraId="3FF07926">
            <w:pPr>
              <w:pStyle w:val="6"/>
              <w:spacing w:before="105" w:line="188" w:lineRule="auto"/>
              <w:ind w:left="432"/>
            </w:pPr>
            <w:r>
              <w:rPr>
                <w:spacing w:val="-2"/>
              </w:rPr>
              <w:t>&lt;10</w:t>
            </w:r>
          </w:p>
        </w:tc>
      </w:tr>
    </w:tbl>
    <w:p w14:paraId="2458C3BB">
      <w:pPr>
        <w:spacing w:before="234" w:line="218"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）监测结果评价</w:t>
      </w:r>
    </w:p>
    <w:p w14:paraId="516F4783">
      <w:pPr>
        <w:spacing w:before="184" w:line="217" w:lineRule="auto"/>
        <w:ind w:left="518"/>
        <w:rPr>
          <w:rFonts w:ascii="宋体" w:hAnsi="宋体" w:eastAsia="宋体" w:cs="宋体"/>
          <w:sz w:val="24"/>
          <w:szCs w:val="24"/>
        </w:rPr>
      </w:pPr>
      <w:r>
        <w:rPr>
          <w:rFonts w:ascii="宋体" w:hAnsi="宋体" w:eastAsia="宋体" w:cs="宋体"/>
          <w:spacing w:val="-2"/>
          <w:sz w:val="24"/>
          <w:szCs w:val="24"/>
        </w:rPr>
        <w:t>①评价方法</w:t>
      </w:r>
    </w:p>
    <w:p w14:paraId="07E34993">
      <w:pPr>
        <w:spacing w:before="186" w:line="361" w:lineRule="auto"/>
        <w:ind w:left="38" w:firstLine="482"/>
        <w:rPr>
          <w:rFonts w:ascii="宋体" w:hAnsi="宋体" w:eastAsia="宋体" w:cs="宋体"/>
          <w:sz w:val="24"/>
          <w:szCs w:val="24"/>
        </w:rPr>
      </w:pPr>
      <w:r>
        <w:rPr>
          <w:rFonts w:ascii="宋体" w:hAnsi="宋体" w:eastAsia="宋体" w:cs="宋体"/>
          <w:spacing w:val="-1"/>
          <w:sz w:val="24"/>
          <w:szCs w:val="24"/>
        </w:rPr>
        <w:t>按《环境影响评价技术导则 大气环境》（</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）附录</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D.1 </w:t>
      </w:r>
      <w:r>
        <w:rPr>
          <w:rFonts w:ascii="宋体" w:hAnsi="宋体" w:eastAsia="宋体" w:cs="宋体"/>
          <w:spacing w:val="-1"/>
          <w:sz w:val="24"/>
          <w:szCs w:val="24"/>
        </w:rPr>
        <w:t>进行</w:t>
      </w:r>
      <w:r>
        <w:rPr>
          <w:rFonts w:ascii="宋体" w:hAnsi="宋体" w:eastAsia="宋体" w:cs="宋体"/>
          <w:spacing w:val="-8"/>
          <w:sz w:val="24"/>
          <w:szCs w:val="24"/>
        </w:rPr>
        <w:t>评价。采用单因子污染指数法对各污染因子进行评价，单因子污染指数表达式为：</w:t>
      </w:r>
    </w:p>
    <w:p w14:paraId="2733250C">
      <w:pPr>
        <w:spacing w:before="24" w:line="171" w:lineRule="auto"/>
        <w:ind w:left="3612"/>
        <w:rPr>
          <w:rFonts w:ascii="Cambria" w:hAnsi="Cambria" w:eastAsia="Cambria" w:cs="Cambria"/>
          <w:sz w:val="19"/>
          <w:szCs w:val="19"/>
        </w:rPr>
      </w:pPr>
      <w:r>
        <w:rPr>
          <w:rFonts w:ascii="Cambria" w:hAnsi="Cambria" w:eastAsia="Cambria" w:cs="Cambria"/>
          <w:spacing w:val="-4"/>
          <w:position w:val="1"/>
          <w:sz w:val="28"/>
          <w:szCs w:val="28"/>
        </w:rPr>
        <w:t>p</w:t>
      </w:r>
      <w:r>
        <w:rPr>
          <w:rFonts w:ascii="Cambria" w:hAnsi="Cambria" w:eastAsia="Cambria" w:cs="Cambria"/>
          <w:spacing w:val="-4"/>
          <w:position w:val="-3"/>
          <w:sz w:val="19"/>
          <w:szCs w:val="19"/>
        </w:rPr>
        <w:t>i</w:t>
      </w:r>
      <w:r>
        <w:rPr>
          <w:rFonts w:ascii="Cambria" w:hAnsi="Cambria" w:eastAsia="Cambria" w:cs="Cambria"/>
          <w:spacing w:val="11"/>
          <w:w w:val="101"/>
          <w:position w:val="-3"/>
          <w:sz w:val="19"/>
          <w:szCs w:val="19"/>
        </w:rPr>
        <w:t xml:space="preserve">  </w:t>
      </w:r>
      <w:r>
        <w:rPr>
          <w:rFonts w:ascii="Cambria" w:hAnsi="Cambria" w:eastAsia="Cambria" w:cs="Cambria"/>
          <w:spacing w:val="-4"/>
          <w:position w:val="1"/>
          <w:sz w:val="28"/>
          <w:szCs w:val="28"/>
        </w:rPr>
        <w:t>=</w:t>
      </w:r>
      <w:r>
        <w:rPr>
          <w:rFonts w:ascii="Cambria" w:hAnsi="Cambria" w:eastAsia="Cambria" w:cs="Cambria"/>
          <w:spacing w:val="20"/>
          <w:w w:val="101"/>
          <w:position w:val="1"/>
          <w:sz w:val="28"/>
          <w:szCs w:val="28"/>
        </w:rPr>
        <w:t xml:space="preserve"> </w:t>
      </w:r>
      <w:r>
        <w:rPr>
          <w:rFonts w:ascii="Cambria" w:hAnsi="Cambria" w:eastAsia="Cambria" w:cs="Cambria"/>
          <w:spacing w:val="-4"/>
          <w:position w:val="1"/>
          <w:sz w:val="28"/>
          <w:szCs w:val="28"/>
        </w:rPr>
        <w:t>c</w:t>
      </w:r>
      <w:r>
        <w:rPr>
          <w:rFonts w:ascii="Cambria" w:hAnsi="Cambria" w:eastAsia="Cambria" w:cs="Cambria"/>
          <w:spacing w:val="-4"/>
          <w:position w:val="-3"/>
          <w:sz w:val="19"/>
          <w:szCs w:val="19"/>
        </w:rPr>
        <w:t>i</w:t>
      </w:r>
      <w:r>
        <w:rPr>
          <w:rFonts w:ascii="Cambria" w:hAnsi="Cambria" w:eastAsia="Cambria" w:cs="Cambria"/>
          <w:spacing w:val="-17"/>
          <w:position w:val="-3"/>
          <w:sz w:val="19"/>
          <w:szCs w:val="19"/>
        </w:rPr>
        <w:t xml:space="preserve"> </w:t>
      </w:r>
      <w:r>
        <w:rPr>
          <w:rFonts w:ascii="Cambria" w:hAnsi="Cambria" w:eastAsia="Cambria" w:cs="Cambria"/>
          <w:spacing w:val="-4"/>
          <w:position w:val="1"/>
          <w:sz w:val="28"/>
          <w:szCs w:val="28"/>
        </w:rPr>
        <w:t>/c</w:t>
      </w:r>
      <w:r>
        <w:rPr>
          <w:rFonts w:ascii="Cambria" w:hAnsi="Cambria" w:eastAsia="Cambria" w:cs="Cambria"/>
          <w:spacing w:val="-4"/>
          <w:position w:val="-3"/>
          <w:sz w:val="19"/>
          <w:szCs w:val="19"/>
        </w:rPr>
        <w:t>oi</w:t>
      </w:r>
    </w:p>
    <w:p w14:paraId="0D414C2C">
      <w:pPr>
        <w:spacing w:before="186" w:line="220" w:lineRule="auto"/>
        <w:ind w:left="524"/>
        <w:rPr>
          <w:rFonts w:ascii="宋体" w:hAnsi="宋体" w:eastAsia="宋体" w:cs="宋体"/>
          <w:sz w:val="24"/>
          <w:szCs w:val="24"/>
        </w:rPr>
      </w:pPr>
      <w:r>
        <w:rPr>
          <w:rFonts w:ascii="宋体" w:hAnsi="宋体" w:eastAsia="宋体" w:cs="宋体"/>
          <w:spacing w:val="-4"/>
          <w:sz w:val="24"/>
          <w:szCs w:val="24"/>
        </w:rPr>
        <w:t>式中：</w:t>
      </w:r>
      <w:r>
        <w:rPr>
          <w:rFonts w:ascii="Times New Roman" w:hAnsi="Times New Roman" w:eastAsia="Times New Roman" w:cs="Times New Roman"/>
          <w:spacing w:val="-4"/>
          <w:sz w:val="24"/>
          <w:szCs w:val="24"/>
        </w:rPr>
        <w:t>I</w:t>
      </w:r>
      <w:r>
        <w:rPr>
          <w:rFonts w:ascii="Times New Roman" w:hAnsi="Times New Roman" w:eastAsia="Times New Roman" w:cs="Times New Roman"/>
          <w:spacing w:val="-4"/>
          <w:position w:val="-2"/>
          <w:sz w:val="15"/>
          <w:szCs w:val="15"/>
        </w:rPr>
        <w:t>i</w:t>
      </w:r>
      <w:r>
        <w:rPr>
          <w:rFonts w:ascii="Times New Roman" w:hAnsi="Times New Roman" w:eastAsia="Times New Roman" w:cs="Times New Roman"/>
          <w:spacing w:val="-4"/>
          <w:sz w:val="24"/>
          <w:szCs w:val="24"/>
        </w:rPr>
        <w:t>---</w:t>
      </w:r>
      <w:r>
        <w:rPr>
          <w:rFonts w:ascii="宋体" w:hAnsi="宋体" w:eastAsia="宋体" w:cs="宋体"/>
          <w:spacing w:val="-4"/>
          <w:sz w:val="24"/>
          <w:szCs w:val="24"/>
        </w:rPr>
        <w:t>污染物的污染指数；</w:t>
      </w:r>
    </w:p>
    <w:p w14:paraId="38221B2E">
      <w:pPr>
        <w:spacing w:before="168" w:line="223" w:lineRule="auto"/>
        <w:ind w:left="123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1"/>
          <w:position w:val="-3"/>
          <w:sz w:val="15"/>
          <w:szCs w:val="15"/>
        </w:rPr>
        <w:t>i</w:t>
      </w:r>
      <w:r>
        <w:rPr>
          <w:rFonts w:ascii="Times New Roman" w:hAnsi="Times New Roman" w:eastAsia="Times New Roman" w:cs="Times New Roman"/>
          <w:spacing w:val="-1"/>
          <w:sz w:val="24"/>
          <w:szCs w:val="24"/>
        </w:rPr>
        <w:t>---</w:t>
      </w:r>
      <w:r>
        <w:rPr>
          <w:rFonts w:ascii="宋体" w:hAnsi="宋体" w:eastAsia="宋体" w:cs="宋体"/>
          <w:spacing w:val="-1"/>
          <w:sz w:val="24"/>
          <w:szCs w:val="24"/>
        </w:rPr>
        <w:t>污染物的实测浓度，</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w:t>
      </w:r>
    </w:p>
    <w:p w14:paraId="05894894">
      <w:pPr>
        <w:spacing w:before="178" w:line="223" w:lineRule="auto"/>
        <w:ind w:left="1238"/>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position w:val="-3"/>
          <w:sz w:val="15"/>
          <w:szCs w:val="15"/>
        </w:rPr>
        <w:t>oi</w:t>
      </w:r>
      <w:r>
        <w:rPr>
          <w:rFonts w:ascii="Times New Roman" w:hAnsi="Times New Roman" w:eastAsia="Times New Roman" w:cs="Times New Roman"/>
          <w:sz w:val="24"/>
          <w:szCs w:val="24"/>
        </w:rPr>
        <w:t>---</w:t>
      </w:r>
      <w:r>
        <w:rPr>
          <w:rFonts w:ascii="宋体" w:hAnsi="宋体" w:eastAsia="宋体" w:cs="宋体"/>
          <w:sz w:val="24"/>
          <w:szCs w:val="24"/>
        </w:rPr>
        <w:t>污染物的环境空气质量标准，</w:t>
      </w:r>
      <w:r>
        <w:rPr>
          <w:rFonts w:ascii="Times New Roman" w:hAnsi="Times New Roman" w:eastAsia="Times New Roman" w:cs="Times New Roman"/>
          <w:sz w:val="24"/>
          <w:szCs w:val="24"/>
        </w:rPr>
        <w:t>mg/m</w:t>
      </w:r>
      <w:r>
        <w:rPr>
          <w:rFonts w:ascii="Times New Roman" w:hAnsi="Times New Roman" w:eastAsia="Times New Roman" w:cs="Times New Roman"/>
          <w:position w:val="10"/>
          <w:sz w:val="15"/>
          <w:szCs w:val="15"/>
        </w:rPr>
        <w:t>3</w:t>
      </w:r>
      <w:r>
        <w:rPr>
          <w:rFonts w:ascii="宋体" w:hAnsi="宋体" w:eastAsia="宋体" w:cs="宋体"/>
          <w:sz w:val="24"/>
          <w:szCs w:val="24"/>
        </w:rPr>
        <w:t>；</w:t>
      </w:r>
    </w:p>
    <w:p w14:paraId="2B5B2254">
      <w:pPr>
        <w:spacing w:before="192" w:line="360" w:lineRule="auto"/>
        <w:ind w:left="58" w:right="94" w:firstLine="476"/>
        <w:rPr>
          <w:rFonts w:ascii="宋体" w:hAnsi="宋体" w:eastAsia="宋体" w:cs="宋体"/>
          <w:sz w:val="24"/>
          <w:szCs w:val="24"/>
        </w:rPr>
      </w:pPr>
      <w:r>
        <w:rPr>
          <w:rFonts w:ascii="宋体" w:hAnsi="宋体" w:eastAsia="宋体" w:cs="宋体"/>
          <w:spacing w:val="-3"/>
          <w:sz w:val="24"/>
          <w:szCs w:val="24"/>
        </w:rPr>
        <w:t>当最大浓度占标率</w:t>
      </w:r>
      <w:r>
        <w:rPr>
          <w:rFonts w:ascii="Times New Roman" w:hAnsi="Times New Roman" w:eastAsia="Times New Roman" w:cs="Times New Roman"/>
          <w:spacing w:val="-3"/>
          <w:sz w:val="24"/>
          <w:szCs w:val="24"/>
        </w:rPr>
        <w:t>≤100%</w:t>
      </w:r>
      <w:r>
        <w:rPr>
          <w:rFonts w:ascii="宋体" w:hAnsi="宋体" w:eastAsia="宋体" w:cs="宋体"/>
          <w:spacing w:val="-3"/>
          <w:sz w:val="24"/>
          <w:szCs w:val="24"/>
        </w:rPr>
        <w:t>时，该项参数满</w:t>
      </w:r>
      <w:r>
        <w:rPr>
          <w:rFonts w:ascii="宋体" w:hAnsi="宋体" w:eastAsia="宋体" w:cs="宋体"/>
          <w:spacing w:val="-4"/>
          <w:sz w:val="24"/>
          <w:szCs w:val="24"/>
        </w:rPr>
        <w:t>足标准规定；当最大浓度占标率＞</w:t>
      </w:r>
      <w:r>
        <w:rPr>
          <w:rFonts w:ascii="宋体" w:hAnsi="宋体" w:eastAsia="宋体" w:cs="宋体"/>
          <w:sz w:val="24"/>
          <w:szCs w:val="24"/>
        </w:rPr>
        <w:t xml:space="preserve"> </w:t>
      </w:r>
      <w:r>
        <w:rPr>
          <w:rFonts w:ascii="Times New Roman" w:hAnsi="Times New Roman" w:eastAsia="Times New Roman" w:cs="Times New Roman"/>
          <w:spacing w:val="-6"/>
          <w:sz w:val="24"/>
          <w:szCs w:val="24"/>
        </w:rPr>
        <w:t>100%</w:t>
      </w:r>
      <w:r>
        <w:rPr>
          <w:rFonts w:ascii="宋体" w:hAnsi="宋体" w:eastAsia="宋体" w:cs="宋体"/>
          <w:spacing w:val="-6"/>
          <w:sz w:val="24"/>
          <w:szCs w:val="24"/>
        </w:rPr>
        <w:t>时，则不满足。</w:t>
      </w:r>
    </w:p>
    <w:p w14:paraId="3F654DDD">
      <w:pPr>
        <w:spacing w:before="1" w:line="217" w:lineRule="auto"/>
        <w:ind w:left="517"/>
        <w:rPr>
          <w:rFonts w:ascii="宋体" w:hAnsi="宋体" w:eastAsia="宋体" w:cs="宋体"/>
          <w:sz w:val="24"/>
          <w:szCs w:val="24"/>
        </w:rPr>
      </w:pPr>
      <w:r>
        <w:rPr>
          <w:rFonts w:ascii="宋体" w:hAnsi="宋体" w:eastAsia="宋体" w:cs="宋体"/>
          <w:spacing w:val="-1"/>
          <w:sz w:val="24"/>
          <w:szCs w:val="24"/>
        </w:rPr>
        <w:t>②评价结果分析</w:t>
      </w:r>
    </w:p>
    <w:p w14:paraId="63B36013">
      <w:pPr>
        <w:spacing w:before="187" w:line="361" w:lineRule="auto"/>
        <w:ind w:left="34" w:firstLine="486"/>
        <w:rPr>
          <w:rFonts w:ascii="宋体" w:hAnsi="宋体" w:eastAsia="宋体" w:cs="宋体"/>
          <w:sz w:val="24"/>
          <w:szCs w:val="24"/>
        </w:rPr>
      </w:pPr>
      <w:r>
        <w:rPr>
          <w:rFonts w:ascii="宋体" w:hAnsi="宋体" w:eastAsia="宋体" w:cs="宋体"/>
          <w:spacing w:val="-1"/>
          <w:sz w:val="24"/>
          <w:szCs w:val="24"/>
        </w:rPr>
        <w:t>本项目环境空气补充监测因子污染指数结果见下表，由监测</w:t>
      </w:r>
      <w:r>
        <w:rPr>
          <w:rFonts w:ascii="宋体" w:hAnsi="宋体" w:eastAsia="宋体" w:cs="宋体"/>
          <w:spacing w:val="-2"/>
          <w:sz w:val="24"/>
          <w:szCs w:val="24"/>
        </w:rPr>
        <w:t>评价结果可知，</w:t>
      </w:r>
      <w:r>
        <w:rPr>
          <w:rFonts w:ascii="宋体" w:hAnsi="宋体" w:eastAsia="宋体" w:cs="宋体"/>
          <w:sz w:val="24"/>
          <w:szCs w:val="24"/>
        </w:rPr>
        <w:t xml:space="preserve"> </w:t>
      </w:r>
      <w:r>
        <w:rPr>
          <w:rFonts w:ascii="Times New Roman" w:hAnsi="Times New Roman" w:eastAsia="Times New Roman" w:cs="Times New Roman"/>
          <w:spacing w:val="-5"/>
          <w:sz w:val="24"/>
          <w:szCs w:val="24"/>
        </w:rPr>
        <w:t>H</w:t>
      </w:r>
      <w:r>
        <w:rPr>
          <w:rFonts w:ascii="Times New Roman" w:hAnsi="Times New Roman" w:eastAsia="Times New Roman" w:cs="Times New Roman"/>
          <w:spacing w:val="-5"/>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5"/>
          <w:sz w:val="24"/>
          <w:szCs w:val="24"/>
        </w:rPr>
        <w:t>S</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Times New Roman" w:hAnsi="Times New Roman" w:eastAsia="Times New Roman" w:cs="Times New Roman"/>
          <w:spacing w:val="14"/>
          <w:position w:val="-2"/>
          <w:sz w:val="15"/>
          <w:szCs w:val="15"/>
        </w:rPr>
        <w:t xml:space="preserve"> </w:t>
      </w:r>
      <w:r>
        <w:rPr>
          <w:rFonts w:ascii="宋体" w:hAnsi="宋体" w:eastAsia="宋体" w:cs="宋体"/>
          <w:spacing w:val="-3"/>
          <w:sz w:val="24"/>
          <w:szCs w:val="24"/>
        </w:rPr>
        <w:t>满足《环境影响评价技术导则</w:t>
      </w:r>
      <w:r>
        <w:rPr>
          <w:rFonts w:ascii="宋体" w:hAnsi="宋体" w:eastAsia="宋体" w:cs="宋体"/>
          <w:spacing w:val="33"/>
          <w:sz w:val="24"/>
          <w:szCs w:val="24"/>
        </w:rPr>
        <w:t xml:space="preserve"> </w:t>
      </w:r>
      <w:r>
        <w:rPr>
          <w:rFonts w:ascii="宋体" w:hAnsi="宋体" w:eastAsia="宋体" w:cs="宋体"/>
          <w:spacing w:val="-3"/>
          <w:sz w:val="24"/>
          <w:szCs w:val="24"/>
        </w:rPr>
        <w:t>大气环境》（</w:t>
      </w:r>
      <w:r>
        <w:rPr>
          <w:rFonts w:ascii="Times New Roman" w:hAnsi="Times New Roman" w:eastAsia="Times New Roman" w:cs="Times New Roman"/>
          <w:spacing w:val="-3"/>
          <w:sz w:val="24"/>
          <w:szCs w:val="24"/>
        </w:rPr>
        <w:t>HJ2.2</w:t>
      </w:r>
      <w:r>
        <w:rPr>
          <w:rFonts w:ascii="Times New Roman" w:hAnsi="Times New Roman" w:eastAsia="Times New Roman" w:cs="Times New Roman"/>
          <w:spacing w:val="-4"/>
          <w:sz w:val="24"/>
          <w:szCs w:val="24"/>
        </w:rPr>
        <w:t>-2018</w:t>
      </w:r>
      <w:r>
        <w:rPr>
          <w:rFonts w:ascii="宋体" w:hAnsi="宋体" w:eastAsia="宋体" w:cs="宋体"/>
          <w:spacing w:val="-4"/>
          <w:sz w:val="24"/>
          <w:szCs w:val="24"/>
        </w:rPr>
        <w:t>）附录</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D </w:t>
      </w:r>
      <w:r>
        <w:rPr>
          <w:rFonts w:ascii="宋体" w:hAnsi="宋体" w:eastAsia="宋体" w:cs="宋体"/>
          <w:spacing w:val="-4"/>
          <w:sz w:val="24"/>
          <w:szCs w:val="24"/>
        </w:rPr>
        <w:t>规定</w:t>
      </w:r>
      <w:r>
        <w:rPr>
          <w:rFonts w:ascii="宋体" w:hAnsi="宋体" w:eastAsia="宋体" w:cs="宋体"/>
          <w:spacing w:val="-9"/>
          <w:sz w:val="24"/>
          <w:szCs w:val="24"/>
        </w:rPr>
        <w:t>限值。</w:t>
      </w:r>
    </w:p>
    <w:p w14:paraId="65B7DE8A">
      <w:pPr>
        <w:spacing w:line="361" w:lineRule="auto"/>
        <w:rPr>
          <w:rFonts w:ascii="宋体" w:hAnsi="宋体" w:eastAsia="宋体" w:cs="宋体"/>
          <w:sz w:val="24"/>
          <w:szCs w:val="24"/>
        </w:rPr>
        <w:sectPr>
          <w:headerReference r:id="rId261" w:type="default"/>
          <w:footerReference r:id="rId262" w:type="default"/>
          <w:pgSz w:w="11905" w:h="16840"/>
          <w:pgMar w:top="1168" w:right="1732" w:bottom="1408" w:left="1770" w:header="828" w:footer="1244" w:gutter="0"/>
          <w:cols w:space="720" w:num="1"/>
        </w:sectPr>
      </w:pPr>
    </w:p>
    <w:p w14:paraId="69BCAB20">
      <w:pPr>
        <w:pStyle w:val="2"/>
        <w:spacing w:line="329" w:lineRule="auto"/>
      </w:pPr>
    </w:p>
    <w:p w14:paraId="21A33CC6">
      <w:pPr>
        <w:spacing w:before="68" w:line="222"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3.3-4  </w:t>
      </w:r>
      <w:r>
        <w:rPr>
          <w:rFonts w:ascii="黑体" w:hAnsi="黑体" w:eastAsia="黑体" w:cs="黑体"/>
          <w:spacing w:val="-1"/>
          <w:sz w:val="21"/>
          <w:szCs w:val="21"/>
        </w:rPr>
        <w:t>环境空气现状评价</w:t>
      </w:r>
    </w:p>
    <w:p w14:paraId="631CAAE5">
      <w:pPr>
        <w:spacing w:line="87" w:lineRule="exact"/>
      </w:pPr>
    </w:p>
    <w:tbl>
      <w:tblPr>
        <w:tblStyle w:val="5"/>
        <w:tblW w:w="8523"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992"/>
        <w:gridCol w:w="1221"/>
        <w:gridCol w:w="1329"/>
        <w:gridCol w:w="1142"/>
        <w:gridCol w:w="1065"/>
        <w:gridCol w:w="1038"/>
        <w:gridCol w:w="1018"/>
      </w:tblGrid>
      <w:tr w14:paraId="1BB8F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18" w:type="dxa"/>
            <w:vAlign w:val="top"/>
          </w:tcPr>
          <w:p w14:paraId="7ADFFB0D">
            <w:pPr>
              <w:spacing w:before="54" w:line="221" w:lineRule="auto"/>
              <w:ind w:left="155"/>
              <w:rPr>
                <w:rFonts w:ascii="宋体" w:hAnsi="宋体" w:eastAsia="宋体" w:cs="宋体"/>
                <w:sz w:val="21"/>
                <w:szCs w:val="21"/>
              </w:rPr>
            </w:pPr>
            <w:r>
              <w:rPr>
                <w:rFonts w:ascii="宋体" w:hAnsi="宋体" w:eastAsia="宋体" w:cs="宋体"/>
                <w:spacing w:val="-3"/>
                <w:sz w:val="21"/>
                <w:szCs w:val="21"/>
              </w:rPr>
              <w:t>监测</w:t>
            </w:r>
          </w:p>
          <w:p w14:paraId="34625EC9">
            <w:pPr>
              <w:spacing w:before="60" w:line="221" w:lineRule="auto"/>
              <w:ind w:left="165"/>
              <w:rPr>
                <w:rFonts w:ascii="宋体" w:hAnsi="宋体" w:eastAsia="宋体" w:cs="宋体"/>
                <w:sz w:val="21"/>
                <w:szCs w:val="21"/>
              </w:rPr>
            </w:pPr>
            <w:r>
              <w:rPr>
                <w:rFonts w:ascii="宋体" w:hAnsi="宋体" w:eastAsia="宋体" w:cs="宋体"/>
                <w:spacing w:val="-5"/>
                <w:sz w:val="21"/>
                <w:szCs w:val="21"/>
              </w:rPr>
              <w:t>点位</w:t>
            </w:r>
          </w:p>
        </w:tc>
        <w:tc>
          <w:tcPr>
            <w:tcW w:w="992" w:type="dxa"/>
            <w:vAlign w:val="top"/>
          </w:tcPr>
          <w:p w14:paraId="7DDAB781">
            <w:pPr>
              <w:spacing w:before="210" w:line="220" w:lineRule="auto"/>
              <w:ind w:left="80"/>
              <w:rPr>
                <w:rFonts w:ascii="宋体" w:hAnsi="宋体" w:eastAsia="宋体" w:cs="宋体"/>
                <w:sz w:val="21"/>
                <w:szCs w:val="21"/>
              </w:rPr>
            </w:pPr>
            <w:r>
              <w:rPr>
                <w:rFonts w:ascii="宋体" w:hAnsi="宋体" w:eastAsia="宋体" w:cs="宋体"/>
                <w:spacing w:val="-2"/>
                <w:sz w:val="21"/>
                <w:szCs w:val="21"/>
              </w:rPr>
              <w:t>监测项目</w:t>
            </w:r>
          </w:p>
        </w:tc>
        <w:tc>
          <w:tcPr>
            <w:tcW w:w="1221" w:type="dxa"/>
            <w:vAlign w:val="top"/>
          </w:tcPr>
          <w:p w14:paraId="1822157A">
            <w:pPr>
              <w:spacing w:before="210" w:line="219" w:lineRule="auto"/>
              <w:ind w:left="194"/>
              <w:rPr>
                <w:rFonts w:ascii="宋体" w:hAnsi="宋体" w:eastAsia="宋体" w:cs="宋体"/>
                <w:sz w:val="21"/>
                <w:szCs w:val="21"/>
              </w:rPr>
            </w:pPr>
            <w:r>
              <w:rPr>
                <w:rFonts w:ascii="宋体" w:hAnsi="宋体" w:eastAsia="宋体" w:cs="宋体"/>
                <w:spacing w:val="-2"/>
                <w:sz w:val="21"/>
                <w:szCs w:val="21"/>
              </w:rPr>
              <w:t>采样时间</w:t>
            </w:r>
          </w:p>
        </w:tc>
        <w:tc>
          <w:tcPr>
            <w:tcW w:w="1329" w:type="dxa"/>
            <w:vAlign w:val="top"/>
          </w:tcPr>
          <w:p w14:paraId="28628467">
            <w:pPr>
              <w:pStyle w:val="6"/>
              <w:spacing w:before="54" w:line="245" w:lineRule="auto"/>
              <w:ind w:left="184" w:right="187" w:firstLine="65"/>
              <w:rPr>
                <w:rFonts w:ascii="宋体" w:hAnsi="宋体" w:eastAsia="宋体" w:cs="宋体"/>
              </w:rPr>
            </w:pPr>
            <w:r>
              <w:rPr>
                <w:rFonts w:ascii="宋体" w:hAnsi="宋体" w:eastAsia="宋体" w:cs="宋体"/>
                <w:spacing w:val="-3"/>
              </w:rPr>
              <w:t>浓度范围</w:t>
            </w:r>
            <w:r>
              <w:rPr>
                <w:rFonts w:ascii="宋体" w:hAnsi="宋体" w:eastAsia="宋体" w:cs="宋体"/>
                <w:spacing w:val="-5"/>
              </w:rPr>
              <w:t>（</w:t>
            </w:r>
            <w:r>
              <w:rPr>
                <w:spacing w:val="-5"/>
              </w:rPr>
              <w:t>mg/m</w:t>
            </w:r>
            <w:r>
              <w:rPr>
                <w:spacing w:val="-5"/>
                <w:position w:val="1"/>
                <w:sz w:val="14"/>
                <w:szCs w:val="14"/>
              </w:rPr>
              <w:t>3</w:t>
            </w:r>
            <w:r>
              <w:rPr>
                <w:rFonts w:ascii="宋体" w:hAnsi="宋体" w:eastAsia="宋体" w:cs="宋体"/>
                <w:spacing w:val="-5"/>
                <w:position w:val="1"/>
              </w:rPr>
              <w:t>）</w:t>
            </w:r>
          </w:p>
        </w:tc>
        <w:tc>
          <w:tcPr>
            <w:tcW w:w="1142" w:type="dxa"/>
            <w:vAlign w:val="top"/>
          </w:tcPr>
          <w:p w14:paraId="1D50D0B6">
            <w:pPr>
              <w:spacing w:before="54" w:line="220" w:lineRule="auto"/>
              <w:ind w:left="53"/>
              <w:rPr>
                <w:rFonts w:ascii="宋体" w:hAnsi="宋体" w:eastAsia="宋体" w:cs="宋体"/>
                <w:sz w:val="21"/>
                <w:szCs w:val="21"/>
              </w:rPr>
            </w:pPr>
            <w:r>
              <w:rPr>
                <w:rFonts w:ascii="宋体" w:hAnsi="宋体" w:eastAsia="宋体" w:cs="宋体"/>
                <w:spacing w:val="-2"/>
                <w:sz w:val="21"/>
                <w:szCs w:val="21"/>
              </w:rPr>
              <w:t>最大浓度占</w:t>
            </w:r>
          </w:p>
          <w:p w14:paraId="64731F7E">
            <w:pPr>
              <w:pStyle w:val="6"/>
              <w:spacing w:before="61" w:line="220" w:lineRule="auto"/>
              <w:ind w:left="68"/>
              <w:rPr>
                <w:rFonts w:ascii="宋体" w:hAnsi="宋体" w:eastAsia="宋体" w:cs="宋体"/>
              </w:rPr>
            </w:pPr>
            <w:r>
              <w:rPr>
                <w:rFonts w:ascii="宋体" w:hAnsi="宋体" w:eastAsia="宋体" w:cs="宋体"/>
                <w:spacing w:val="-2"/>
              </w:rPr>
              <w:t>标率（</w:t>
            </w:r>
            <w:r>
              <w:rPr>
                <w:spacing w:val="-2"/>
              </w:rPr>
              <w:t>%</w:t>
            </w:r>
            <w:r>
              <w:rPr>
                <w:rFonts w:ascii="宋体" w:hAnsi="宋体" w:eastAsia="宋体" w:cs="宋体"/>
                <w:spacing w:val="-2"/>
              </w:rPr>
              <w:t>）</w:t>
            </w:r>
          </w:p>
        </w:tc>
        <w:tc>
          <w:tcPr>
            <w:tcW w:w="1065" w:type="dxa"/>
            <w:vAlign w:val="top"/>
          </w:tcPr>
          <w:p w14:paraId="073FD061">
            <w:pPr>
              <w:pStyle w:val="6"/>
              <w:spacing w:before="210" w:line="220" w:lineRule="auto"/>
              <w:jc w:val="right"/>
              <w:rPr>
                <w:rFonts w:ascii="宋体" w:hAnsi="宋体" w:eastAsia="宋体" w:cs="宋体"/>
              </w:rPr>
            </w:pPr>
            <w:r>
              <w:rPr>
                <w:rFonts w:ascii="宋体" w:hAnsi="宋体" w:eastAsia="宋体" w:cs="宋体"/>
                <w:spacing w:val="-30"/>
              </w:rPr>
              <w:t>超标率（</w:t>
            </w:r>
            <w:r>
              <w:rPr>
                <w:spacing w:val="-30"/>
              </w:rPr>
              <w:t>%</w:t>
            </w:r>
            <w:r>
              <w:rPr>
                <w:rFonts w:ascii="宋体" w:hAnsi="宋体" w:eastAsia="宋体" w:cs="宋体"/>
                <w:spacing w:val="-30"/>
              </w:rPr>
              <w:t>）</w:t>
            </w:r>
          </w:p>
        </w:tc>
        <w:tc>
          <w:tcPr>
            <w:tcW w:w="1038" w:type="dxa"/>
            <w:vAlign w:val="top"/>
          </w:tcPr>
          <w:p w14:paraId="2A73F1C0">
            <w:pPr>
              <w:pStyle w:val="6"/>
              <w:spacing w:before="54" w:line="245" w:lineRule="auto"/>
              <w:ind w:left="41" w:right="40" w:firstLine="170"/>
              <w:rPr>
                <w:rFonts w:ascii="宋体" w:hAnsi="宋体" w:eastAsia="宋体" w:cs="宋体"/>
              </w:rPr>
            </w:pPr>
            <w:r>
              <w:rPr>
                <w:rFonts w:ascii="宋体" w:hAnsi="宋体" w:eastAsia="宋体" w:cs="宋体"/>
                <w:spacing w:val="-4"/>
              </w:rPr>
              <w:t>标准值</w:t>
            </w:r>
            <w:r>
              <w:rPr>
                <w:rFonts w:ascii="宋体" w:hAnsi="宋体" w:eastAsia="宋体" w:cs="宋体"/>
                <w:spacing w:val="-5"/>
              </w:rPr>
              <w:t>（</w:t>
            </w:r>
            <w:r>
              <w:rPr>
                <w:spacing w:val="-5"/>
              </w:rPr>
              <w:t>mg/m</w:t>
            </w:r>
            <w:r>
              <w:rPr>
                <w:spacing w:val="-5"/>
                <w:position w:val="1"/>
                <w:sz w:val="14"/>
                <w:szCs w:val="14"/>
              </w:rPr>
              <w:t>3</w:t>
            </w:r>
            <w:r>
              <w:rPr>
                <w:rFonts w:ascii="宋体" w:hAnsi="宋体" w:eastAsia="宋体" w:cs="宋体"/>
                <w:spacing w:val="-5"/>
                <w:position w:val="1"/>
              </w:rPr>
              <w:t>）</w:t>
            </w:r>
          </w:p>
        </w:tc>
        <w:tc>
          <w:tcPr>
            <w:tcW w:w="1018" w:type="dxa"/>
            <w:vAlign w:val="top"/>
          </w:tcPr>
          <w:p w14:paraId="2D437773">
            <w:pPr>
              <w:spacing w:before="210" w:line="220" w:lineRule="auto"/>
              <w:ind w:left="93"/>
              <w:rPr>
                <w:rFonts w:ascii="宋体" w:hAnsi="宋体" w:eastAsia="宋体" w:cs="宋体"/>
                <w:sz w:val="21"/>
                <w:szCs w:val="21"/>
              </w:rPr>
            </w:pPr>
            <w:r>
              <w:rPr>
                <w:rFonts w:ascii="宋体" w:hAnsi="宋体" w:eastAsia="宋体" w:cs="宋体"/>
                <w:spacing w:val="-2"/>
                <w:sz w:val="21"/>
                <w:szCs w:val="21"/>
              </w:rPr>
              <w:t>达标情况</w:t>
            </w:r>
          </w:p>
        </w:tc>
      </w:tr>
      <w:tr w14:paraId="516A6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8" w:type="dxa"/>
            <w:vMerge w:val="restart"/>
            <w:tcBorders>
              <w:bottom w:val="nil"/>
            </w:tcBorders>
            <w:vAlign w:val="top"/>
          </w:tcPr>
          <w:p w14:paraId="58D7CF50">
            <w:pPr>
              <w:pStyle w:val="6"/>
              <w:spacing w:before="277" w:line="188" w:lineRule="auto"/>
              <w:ind w:left="276"/>
            </w:pPr>
            <w:r>
              <w:rPr>
                <w:spacing w:val="-6"/>
              </w:rPr>
              <w:t>1#</w:t>
            </w:r>
          </w:p>
        </w:tc>
        <w:tc>
          <w:tcPr>
            <w:tcW w:w="992" w:type="dxa"/>
            <w:vAlign w:val="top"/>
          </w:tcPr>
          <w:p w14:paraId="16A3646C">
            <w:pPr>
              <w:pStyle w:val="6"/>
              <w:spacing w:before="102" w:line="198" w:lineRule="auto"/>
              <w:ind w:left="325"/>
            </w:pPr>
            <w:r>
              <w:rPr>
                <w:spacing w:val="-2"/>
              </w:rPr>
              <w:t>H</w:t>
            </w:r>
            <w:r>
              <w:rPr>
                <w:spacing w:val="-2"/>
                <w:position w:val="-2"/>
                <w:sz w:val="14"/>
                <w:szCs w:val="14"/>
              </w:rPr>
              <w:t>2</w:t>
            </w:r>
            <w:r>
              <w:rPr>
                <w:spacing w:val="-2"/>
              </w:rPr>
              <w:t>S</w:t>
            </w:r>
          </w:p>
        </w:tc>
        <w:tc>
          <w:tcPr>
            <w:tcW w:w="1221" w:type="dxa"/>
            <w:vMerge w:val="restart"/>
            <w:tcBorders>
              <w:bottom w:val="nil"/>
            </w:tcBorders>
            <w:vAlign w:val="top"/>
          </w:tcPr>
          <w:p w14:paraId="2D5A2DAB">
            <w:pPr>
              <w:spacing w:line="281" w:lineRule="auto"/>
              <w:rPr>
                <w:rFonts w:ascii="Arial"/>
                <w:sz w:val="21"/>
              </w:rPr>
            </w:pPr>
          </w:p>
          <w:p w14:paraId="524032E4">
            <w:pPr>
              <w:spacing w:line="282" w:lineRule="auto"/>
              <w:rPr>
                <w:rFonts w:ascii="Arial"/>
                <w:sz w:val="21"/>
              </w:rPr>
            </w:pPr>
          </w:p>
          <w:p w14:paraId="47754AF4">
            <w:pPr>
              <w:pStyle w:val="6"/>
              <w:spacing w:before="61" w:line="188" w:lineRule="auto"/>
              <w:ind w:left="29"/>
            </w:pPr>
            <w:r>
              <w:rPr>
                <w:spacing w:val="-1"/>
              </w:rPr>
              <w:t>2022.12.5~11</w:t>
            </w:r>
          </w:p>
        </w:tc>
        <w:tc>
          <w:tcPr>
            <w:tcW w:w="1329" w:type="dxa"/>
            <w:vAlign w:val="top"/>
          </w:tcPr>
          <w:p w14:paraId="4D9561C9">
            <w:pPr>
              <w:pStyle w:val="6"/>
              <w:spacing w:before="102" w:line="188" w:lineRule="auto"/>
              <w:ind w:left="139"/>
            </w:pPr>
            <w:r>
              <w:rPr>
                <w:spacing w:val="-1"/>
              </w:rPr>
              <w:t>0.002~0.005</w:t>
            </w:r>
          </w:p>
        </w:tc>
        <w:tc>
          <w:tcPr>
            <w:tcW w:w="1142" w:type="dxa"/>
            <w:vAlign w:val="top"/>
          </w:tcPr>
          <w:p w14:paraId="5A3C75D8">
            <w:pPr>
              <w:pStyle w:val="6"/>
              <w:spacing w:before="102" w:line="188" w:lineRule="auto"/>
              <w:ind w:left="472"/>
            </w:pPr>
            <w:r>
              <w:rPr>
                <w:spacing w:val="-5"/>
              </w:rPr>
              <w:t>50</w:t>
            </w:r>
          </w:p>
        </w:tc>
        <w:tc>
          <w:tcPr>
            <w:tcW w:w="1065" w:type="dxa"/>
            <w:vAlign w:val="top"/>
          </w:tcPr>
          <w:p w14:paraId="411309C1">
            <w:pPr>
              <w:pStyle w:val="6"/>
              <w:spacing w:before="98" w:line="192" w:lineRule="auto"/>
              <w:ind w:left="500"/>
            </w:pPr>
            <w:r>
              <w:t>/</w:t>
            </w:r>
          </w:p>
        </w:tc>
        <w:tc>
          <w:tcPr>
            <w:tcW w:w="1038" w:type="dxa"/>
            <w:vAlign w:val="top"/>
          </w:tcPr>
          <w:p w14:paraId="74684142">
            <w:pPr>
              <w:pStyle w:val="6"/>
              <w:spacing w:before="102" w:line="188" w:lineRule="auto"/>
              <w:ind w:left="340"/>
            </w:pPr>
            <w:r>
              <w:rPr>
                <w:spacing w:val="-2"/>
              </w:rPr>
              <w:t>0.01</w:t>
            </w:r>
          </w:p>
        </w:tc>
        <w:tc>
          <w:tcPr>
            <w:tcW w:w="1018" w:type="dxa"/>
            <w:vAlign w:val="top"/>
          </w:tcPr>
          <w:p w14:paraId="7E5A1727">
            <w:pPr>
              <w:spacing w:before="65" w:line="220" w:lineRule="auto"/>
              <w:ind w:left="303"/>
              <w:rPr>
                <w:rFonts w:ascii="宋体" w:hAnsi="宋体" w:eastAsia="宋体" w:cs="宋体"/>
                <w:sz w:val="21"/>
                <w:szCs w:val="21"/>
              </w:rPr>
            </w:pPr>
            <w:r>
              <w:rPr>
                <w:rFonts w:ascii="宋体" w:hAnsi="宋体" w:eastAsia="宋体" w:cs="宋体"/>
                <w:spacing w:val="-2"/>
                <w:sz w:val="21"/>
                <w:szCs w:val="21"/>
              </w:rPr>
              <w:t>达标</w:t>
            </w:r>
          </w:p>
        </w:tc>
      </w:tr>
      <w:tr w14:paraId="038F4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8" w:type="dxa"/>
            <w:vMerge w:val="continue"/>
            <w:tcBorders>
              <w:top w:val="nil"/>
            </w:tcBorders>
            <w:vAlign w:val="top"/>
          </w:tcPr>
          <w:p w14:paraId="34259E05">
            <w:pPr>
              <w:rPr>
                <w:rFonts w:ascii="Arial"/>
                <w:sz w:val="21"/>
              </w:rPr>
            </w:pPr>
          </w:p>
        </w:tc>
        <w:tc>
          <w:tcPr>
            <w:tcW w:w="992" w:type="dxa"/>
            <w:vAlign w:val="top"/>
          </w:tcPr>
          <w:p w14:paraId="65235C81">
            <w:pPr>
              <w:pStyle w:val="6"/>
              <w:spacing w:before="106" w:line="195" w:lineRule="auto"/>
              <w:ind w:left="301"/>
              <w:rPr>
                <w:sz w:val="14"/>
                <w:szCs w:val="14"/>
              </w:rPr>
            </w:pPr>
            <w:r>
              <w:t>NH</w:t>
            </w:r>
            <w:r>
              <w:rPr>
                <w:spacing w:val="1"/>
                <w:position w:val="-2"/>
                <w:sz w:val="14"/>
                <w:szCs w:val="14"/>
              </w:rPr>
              <w:t>3</w:t>
            </w:r>
          </w:p>
        </w:tc>
        <w:tc>
          <w:tcPr>
            <w:tcW w:w="1221" w:type="dxa"/>
            <w:vMerge w:val="continue"/>
            <w:tcBorders>
              <w:top w:val="nil"/>
              <w:bottom w:val="nil"/>
            </w:tcBorders>
            <w:vAlign w:val="top"/>
          </w:tcPr>
          <w:p w14:paraId="1185542D">
            <w:pPr>
              <w:rPr>
                <w:rFonts w:ascii="Arial"/>
                <w:sz w:val="21"/>
              </w:rPr>
            </w:pPr>
          </w:p>
        </w:tc>
        <w:tc>
          <w:tcPr>
            <w:tcW w:w="1329" w:type="dxa"/>
            <w:vAlign w:val="top"/>
          </w:tcPr>
          <w:p w14:paraId="659AA676">
            <w:pPr>
              <w:pStyle w:val="6"/>
              <w:spacing w:before="103" w:line="188" w:lineRule="auto"/>
              <w:ind w:left="244"/>
            </w:pPr>
            <w:r>
              <w:rPr>
                <w:spacing w:val="-1"/>
              </w:rPr>
              <w:t>0.09~0.15</w:t>
            </w:r>
          </w:p>
        </w:tc>
        <w:tc>
          <w:tcPr>
            <w:tcW w:w="1142" w:type="dxa"/>
            <w:vAlign w:val="top"/>
          </w:tcPr>
          <w:p w14:paraId="2BEE0B7C">
            <w:pPr>
              <w:pStyle w:val="6"/>
              <w:spacing w:before="106" w:line="185" w:lineRule="auto"/>
              <w:ind w:left="470"/>
            </w:pPr>
            <w:r>
              <w:rPr>
                <w:spacing w:val="-2"/>
              </w:rPr>
              <w:t>75</w:t>
            </w:r>
          </w:p>
        </w:tc>
        <w:tc>
          <w:tcPr>
            <w:tcW w:w="1065" w:type="dxa"/>
            <w:vAlign w:val="top"/>
          </w:tcPr>
          <w:p w14:paraId="2AAFC704">
            <w:pPr>
              <w:pStyle w:val="6"/>
              <w:spacing w:before="99" w:line="192" w:lineRule="auto"/>
              <w:ind w:left="500"/>
            </w:pPr>
            <w:r>
              <w:t>/</w:t>
            </w:r>
          </w:p>
        </w:tc>
        <w:tc>
          <w:tcPr>
            <w:tcW w:w="1038" w:type="dxa"/>
            <w:vAlign w:val="top"/>
          </w:tcPr>
          <w:p w14:paraId="227F58E5">
            <w:pPr>
              <w:pStyle w:val="6"/>
              <w:spacing w:before="103" w:line="188" w:lineRule="auto"/>
              <w:ind w:left="340"/>
            </w:pPr>
            <w:r>
              <w:rPr>
                <w:spacing w:val="-2"/>
              </w:rPr>
              <w:t>0.20</w:t>
            </w:r>
          </w:p>
        </w:tc>
        <w:tc>
          <w:tcPr>
            <w:tcW w:w="1018" w:type="dxa"/>
            <w:vAlign w:val="top"/>
          </w:tcPr>
          <w:p w14:paraId="670CB64E">
            <w:pPr>
              <w:spacing w:before="67" w:line="220" w:lineRule="auto"/>
              <w:ind w:left="303"/>
              <w:rPr>
                <w:rFonts w:ascii="宋体" w:hAnsi="宋体" w:eastAsia="宋体" w:cs="宋体"/>
                <w:sz w:val="21"/>
                <w:szCs w:val="21"/>
              </w:rPr>
            </w:pPr>
            <w:r>
              <w:rPr>
                <w:rFonts w:ascii="宋体" w:hAnsi="宋体" w:eastAsia="宋体" w:cs="宋体"/>
                <w:spacing w:val="-2"/>
                <w:sz w:val="21"/>
                <w:szCs w:val="21"/>
              </w:rPr>
              <w:t>达标</w:t>
            </w:r>
          </w:p>
        </w:tc>
      </w:tr>
      <w:tr w14:paraId="6A749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8" w:type="dxa"/>
            <w:vMerge w:val="restart"/>
            <w:tcBorders>
              <w:bottom w:val="nil"/>
            </w:tcBorders>
            <w:vAlign w:val="top"/>
          </w:tcPr>
          <w:p w14:paraId="2799F054">
            <w:pPr>
              <w:pStyle w:val="6"/>
              <w:spacing w:before="277" w:line="188" w:lineRule="auto"/>
              <w:ind w:left="256"/>
            </w:pPr>
            <w:r>
              <w:rPr>
                <w:spacing w:val="-1"/>
              </w:rPr>
              <w:t>2#</w:t>
            </w:r>
          </w:p>
        </w:tc>
        <w:tc>
          <w:tcPr>
            <w:tcW w:w="992" w:type="dxa"/>
            <w:vAlign w:val="top"/>
          </w:tcPr>
          <w:p w14:paraId="070A3FB0">
            <w:pPr>
              <w:pStyle w:val="6"/>
              <w:spacing w:before="103" w:line="198" w:lineRule="auto"/>
              <w:ind w:left="325"/>
            </w:pPr>
            <w:r>
              <w:rPr>
                <w:spacing w:val="-2"/>
              </w:rPr>
              <w:t>H</w:t>
            </w:r>
            <w:r>
              <w:rPr>
                <w:spacing w:val="-2"/>
                <w:position w:val="-2"/>
                <w:sz w:val="14"/>
                <w:szCs w:val="14"/>
              </w:rPr>
              <w:t>2</w:t>
            </w:r>
            <w:r>
              <w:rPr>
                <w:spacing w:val="-2"/>
              </w:rPr>
              <w:t>S</w:t>
            </w:r>
          </w:p>
        </w:tc>
        <w:tc>
          <w:tcPr>
            <w:tcW w:w="1221" w:type="dxa"/>
            <w:vMerge w:val="continue"/>
            <w:tcBorders>
              <w:top w:val="nil"/>
              <w:bottom w:val="nil"/>
            </w:tcBorders>
            <w:vAlign w:val="top"/>
          </w:tcPr>
          <w:p w14:paraId="247FD594">
            <w:pPr>
              <w:rPr>
                <w:rFonts w:ascii="Arial"/>
                <w:sz w:val="21"/>
              </w:rPr>
            </w:pPr>
          </w:p>
        </w:tc>
        <w:tc>
          <w:tcPr>
            <w:tcW w:w="1329" w:type="dxa"/>
            <w:vAlign w:val="top"/>
          </w:tcPr>
          <w:p w14:paraId="20D77432">
            <w:pPr>
              <w:pStyle w:val="6"/>
              <w:spacing w:before="103" w:line="188" w:lineRule="auto"/>
              <w:ind w:left="139"/>
            </w:pPr>
            <w:r>
              <w:rPr>
                <w:spacing w:val="-1"/>
              </w:rPr>
              <w:t>0.003~0.007</w:t>
            </w:r>
          </w:p>
        </w:tc>
        <w:tc>
          <w:tcPr>
            <w:tcW w:w="1142" w:type="dxa"/>
            <w:vAlign w:val="top"/>
          </w:tcPr>
          <w:p w14:paraId="2A5F6B2E">
            <w:pPr>
              <w:pStyle w:val="6"/>
              <w:spacing w:before="103" w:line="188" w:lineRule="auto"/>
              <w:ind w:left="470"/>
            </w:pPr>
            <w:r>
              <w:rPr>
                <w:spacing w:val="-4"/>
              </w:rPr>
              <w:t>70</w:t>
            </w:r>
          </w:p>
        </w:tc>
        <w:tc>
          <w:tcPr>
            <w:tcW w:w="1065" w:type="dxa"/>
            <w:vAlign w:val="top"/>
          </w:tcPr>
          <w:p w14:paraId="78C82E79">
            <w:pPr>
              <w:pStyle w:val="6"/>
              <w:spacing w:before="99" w:line="192" w:lineRule="auto"/>
              <w:ind w:left="500"/>
            </w:pPr>
            <w:r>
              <w:t>/</w:t>
            </w:r>
          </w:p>
        </w:tc>
        <w:tc>
          <w:tcPr>
            <w:tcW w:w="1038" w:type="dxa"/>
            <w:vAlign w:val="top"/>
          </w:tcPr>
          <w:p w14:paraId="2EBA2D65">
            <w:pPr>
              <w:pStyle w:val="6"/>
              <w:spacing w:before="103" w:line="188" w:lineRule="auto"/>
              <w:ind w:left="340"/>
            </w:pPr>
            <w:r>
              <w:rPr>
                <w:spacing w:val="-2"/>
              </w:rPr>
              <w:t>0.01</w:t>
            </w:r>
          </w:p>
        </w:tc>
        <w:tc>
          <w:tcPr>
            <w:tcW w:w="1018" w:type="dxa"/>
            <w:vAlign w:val="top"/>
          </w:tcPr>
          <w:p w14:paraId="68D26FAA">
            <w:pPr>
              <w:spacing w:before="67" w:line="220" w:lineRule="auto"/>
              <w:ind w:left="303"/>
              <w:rPr>
                <w:rFonts w:ascii="宋体" w:hAnsi="宋体" w:eastAsia="宋体" w:cs="宋体"/>
                <w:sz w:val="21"/>
                <w:szCs w:val="21"/>
              </w:rPr>
            </w:pPr>
            <w:r>
              <w:rPr>
                <w:rFonts w:ascii="宋体" w:hAnsi="宋体" w:eastAsia="宋体" w:cs="宋体"/>
                <w:spacing w:val="-2"/>
                <w:sz w:val="21"/>
                <w:szCs w:val="21"/>
              </w:rPr>
              <w:t>达标</w:t>
            </w:r>
          </w:p>
        </w:tc>
      </w:tr>
      <w:tr w14:paraId="76BB4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8" w:type="dxa"/>
            <w:vMerge w:val="continue"/>
            <w:tcBorders>
              <w:top w:val="nil"/>
            </w:tcBorders>
            <w:vAlign w:val="top"/>
          </w:tcPr>
          <w:p w14:paraId="5D12533E">
            <w:pPr>
              <w:rPr>
                <w:rFonts w:ascii="Arial"/>
                <w:sz w:val="21"/>
              </w:rPr>
            </w:pPr>
          </w:p>
        </w:tc>
        <w:tc>
          <w:tcPr>
            <w:tcW w:w="992" w:type="dxa"/>
            <w:vAlign w:val="top"/>
          </w:tcPr>
          <w:p w14:paraId="75F8DB1E">
            <w:pPr>
              <w:pStyle w:val="6"/>
              <w:spacing w:before="108" w:line="195" w:lineRule="auto"/>
              <w:ind w:left="301"/>
              <w:rPr>
                <w:sz w:val="14"/>
                <w:szCs w:val="14"/>
              </w:rPr>
            </w:pPr>
            <w:r>
              <w:t>NH</w:t>
            </w:r>
            <w:r>
              <w:rPr>
                <w:spacing w:val="1"/>
                <w:position w:val="-2"/>
                <w:sz w:val="14"/>
                <w:szCs w:val="14"/>
              </w:rPr>
              <w:t>3</w:t>
            </w:r>
          </w:p>
        </w:tc>
        <w:tc>
          <w:tcPr>
            <w:tcW w:w="1221" w:type="dxa"/>
            <w:vMerge w:val="continue"/>
            <w:tcBorders>
              <w:top w:val="nil"/>
            </w:tcBorders>
            <w:vAlign w:val="top"/>
          </w:tcPr>
          <w:p w14:paraId="643DBEF2">
            <w:pPr>
              <w:rPr>
                <w:rFonts w:ascii="Arial"/>
                <w:sz w:val="21"/>
              </w:rPr>
            </w:pPr>
          </w:p>
        </w:tc>
        <w:tc>
          <w:tcPr>
            <w:tcW w:w="1329" w:type="dxa"/>
            <w:vAlign w:val="top"/>
          </w:tcPr>
          <w:p w14:paraId="66A9A443">
            <w:pPr>
              <w:pStyle w:val="6"/>
              <w:spacing w:before="105" w:line="188" w:lineRule="auto"/>
              <w:ind w:left="244"/>
            </w:pPr>
            <w:r>
              <w:rPr>
                <w:spacing w:val="-1"/>
              </w:rPr>
              <w:t>0.11~0.17</w:t>
            </w:r>
          </w:p>
        </w:tc>
        <w:tc>
          <w:tcPr>
            <w:tcW w:w="1142" w:type="dxa"/>
            <w:vAlign w:val="top"/>
          </w:tcPr>
          <w:p w14:paraId="074A0CAC">
            <w:pPr>
              <w:pStyle w:val="6"/>
              <w:spacing w:before="105" w:line="188" w:lineRule="auto"/>
              <w:ind w:left="475"/>
            </w:pPr>
            <w:r>
              <w:rPr>
                <w:spacing w:val="-4"/>
              </w:rPr>
              <w:t>85</w:t>
            </w:r>
          </w:p>
        </w:tc>
        <w:tc>
          <w:tcPr>
            <w:tcW w:w="1065" w:type="dxa"/>
            <w:vAlign w:val="top"/>
          </w:tcPr>
          <w:p w14:paraId="1EB13886">
            <w:pPr>
              <w:pStyle w:val="6"/>
              <w:spacing w:before="101" w:line="192" w:lineRule="auto"/>
              <w:ind w:left="500"/>
            </w:pPr>
            <w:r>
              <w:t>/</w:t>
            </w:r>
          </w:p>
        </w:tc>
        <w:tc>
          <w:tcPr>
            <w:tcW w:w="1038" w:type="dxa"/>
            <w:vAlign w:val="top"/>
          </w:tcPr>
          <w:p w14:paraId="761FF5E6">
            <w:pPr>
              <w:pStyle w:val="6"/>
              <w:spacing w:before="105" w:line="188" w:lineRule="auto"/>
              <w:ind w:left="340"/>
            </w:pPr>
            <w:r>
              <w:rPr>
                <w:spacing w:val="-2"/>
              </w:rPr>
              <w:t>0.20</w:t>
            </w:r>
          </w:p>
        </w:tc>
        <w:tc>
          <w:tcPr>
            <w:tcW w:w="1018" w:type="dxa"/>
            <w:vAlign w:val="top"/>
          </w:tcPr>
          <w:p w14:paraId="338798CF">
            <w:pPr>
              <w:spacing w:before="68" w:line="220" w:lineRule="auto"/>
              <w:ind w:left="303"/>
              <w:rPr>
                <w:rFonts w:ascii="宋体" w:hAnsi="宋体" w:eastAsia="宋体" w:cs="宋体"/>
                <w:sz w:val="21"/>
                <w:szCs w:val="21"/>
              </w:rPr>
            </w:pPr>
            <w:r>
              <w:rPr>
                <w:rFonts w:ascii="宋体" w:hAnsi="宋体" w:eastAsia="宋体" w:cs="宋体"/>
                <w:spacing w:val="-2"/>
                <w:sz w:val="21"/>
                <w:szCs w:val="21"/>
              </w:rPr>
              <w:t>达标</w:t>
            </w:r>
          </w:p>
        </w:tc>
      </w:tr>
    </w:tbl>
    <w:p w14:paraId="28551C5D">
      <w:pPr>
        <w:spacing w:before="281"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3.3.2  </w:t>
      </w:r>
      <w:r>
        <w:rPr>
          <w:rFonts w:ascii="宋体" w:hAnsi="宋体" w:eastAsia="宋体" w:cs="宋体"/>
          <w:b/>
          <w:bCs/>
          <w:spacing w:val="-2"/>
          <w:sz w:val="30"/>
          <w:szCs w:val="30"/>
        </w:rPr>
        <w:t>地表水环境质量</w:t>
      </w:r>
    </w:p>
    <w:p w14:paraId="391E42A0">
      <w:pPr>
        <w:pStyle w:val="2"/>
        <w:spacing w:line="306" w:lineRule="auto"/>
      </w:pPr>
    </w:p>
    <w:p w14:paraId="64936D57">
      <w:pPr>
        <w:spacing w:before="88" w:line="226" w:lineRule="auto"/>
        <w:ind w:left="34"/>
        <w:rPr>
          <w:rFonts w:ascii="宋体" w:hAnsi="宋体" w:eastAsia="宋体" w:cs="宋体"/>
          <w:sz w:val="27"/>
          <w:szCs w:val="27"/>
        </w:rPr>
      </w:pPr>
      <w:r>
        <w:rPr>
          <w:rFonts w:ascii="Times New Roman" w:hAnsi="Times New Roman" w:eastAsia="Times New Roman" w:cs="Times New Roman"/>
          <w:b/>
          <w:bCs/>
          <w:spacing w:val="3"/>
          <w:sz w:val="27"/>
          <w:szCs w:val="27"/>
        </w:rPr>
        <w:t>3.3.2.1</w:t>
      </w:r>
      <w:r>
        <w:rPr>
          <w:rFonts w:ascii="Times New Roman" w:hAnsi="Times New Roman" w:eastAsia="Times New Roman" w:cs="Times New Roman"/>
          <w:b/>
          <w:bCs/>
          <w:spacing w:val="59"/>
          <w:sz w:val="27"/>
          <w:szCs w:val="27"/>
        </w:rPr>
        <w:t xml:space="preserve"> </w:t>
      </w:r>
      <w:r>
        <w:rPr>
          <w:rFonts w:ascii="宋体" w:hAnsi="宋体" w:eastAsia="宋体" w:cs="宋体"/>
          <w:b/>
          <w:bCs/>
          <w:spacing w:val="3"/>
          <w:sz w:val="27"/>
          <w:szCs w:val="27"/>
        </w:rPr>
        <w:t>内江市生态环境状况公报</w:t>
      </w:r>
    </w:p>
    <w:p w14:paraId="0F5FEE3A">
      <w:pPr>
        <w:spacing w:before="236" w:line="360" w:lineRule="auto"/>
        <w:ind w:left="41" w:right="221" w:firstLine="478"/>
        <w:jc w:val="both"/>
        <w:rPr>
          <w:rFonts w:ascii="宋体" w:hAnsi="宋体" w:eastAsia="宋体" w:cs="宋体"/>
          <w:sz w:val="24"/>
          <w:szCs w:val="24"/>
        </w:rPr>
      </w:pPr>
      <w:r>
        <w:rPr>
          <w:rFonts w:ascii="宋体" w:hAnsi="宋体" w:eastAsia="宋体" w:cs="宋体"/>
          <w:sz w:val="24"/>
          <w:szCs w:val="24"/>
        </w:rPr>
        <w:t>根据《环境影响评价技术导则 地表水环境</w:t>
      </w:r>
      <w:r>
        <w:rPr>
          <w:rFonts w:ascii="宋体" w:hAnsi="宋体" w:eastAsia="宋体" w:cs="宋体"/>
          <w:spacing w:val="-1"/>
          <w:sz w:val="24"/>
          <w:szCs w:val="24"/>
        </w:rPr>
        <w:t>》（</w:t>
      </w:r>
      <w:r>
        <w:rPr>
          <w:rFonts w:ascii="Times New Roman" w:hAnsi="Times New Roman" w:eastAsia="Times New Roman" w:cs="Times New Roman"/>
          <w:spacing w:val="-1"/>
          <w:sz w:val="24"/>
          <w:szCs w:val="24"/>
        </w:rPr>
        <w:t>HJ2.3-2018</w:t>
      </w:r>
      <w:r>
        <w:rPr>
          <w:rFonts w:ascii="宋体" w:hAnsi="宋体" w:eastAsia="宋体" w:cs="宋体"/>
          <w:spacing w:val="-2"/>
          <w:sz w:val="24"/>
          <w:szCs w:val="24"/>
        </w:rPr>
        <w:t>），</w:t>
      </w:r>
      <w:r>
        <w:rPr>
          <w:rFonts w:ascii="宋体" w:hAnsi="宋体" w:eastAsia="宋体" w:cs="宋体"/>
          <w:spacing w:val="-1"/>
          <w:sz w:val="24"/>
          <w:szCs w:val="24"/>
        </w:rPr>
        <w:t>水环境质量</w:t>
      </w:r>
      <w:r>
        <w:rPr>
          <w:rFonts w:ascii="宋体" w:hAnsi="宋体" w:eastAsia="宋体" w:cs="宋体"/>
          <w:sz w:val="24"/>
          <w:szCs w:val="24"/>
        </w:rPr>
        <w:t>现状调查时应优先采用国务院生态环境保护主管</w:t>
      </w:r>
      <w:r>
        <w:rPr>
          <w:rFonts w:ascii="宋体" w:hAnsi="宋体" w:eastAsia="宋体" w:cs="宋体"/>
          <w:spacing w:val="-1"/>
          <w:sz w:val="24"/>
          <w:szCs w:val="24"/>
        </w:rPr>
        <w:t>部门统一发布的水环境状况信</w:t>
      </w:r>
      <w:r>
        <w:rPr>
          <w:rFonts w:ascii="宋体" w:hAnsi="宋体" w:eastAsia="宋体" w:cs="宋体"/>
          <w:spacing w:val="-5"/>
          <w:sz w:val="24"/>
          <w:szCs w:val="24"/>
        </w:rPr>
        <w:t>息。本次地表水环境质量现状优先引用《内江市生态环境状况公报（</w:t>
      </w:r>
      <w:r>
        <w:rPr>
          <w:rFonts w:ascii="Times New Roman" w:hAnsi="Times New Roman" w:eastAsia="Times New Roman" w:cs="Times New Roman"/>
          <w:spacing w:val="-5"/>
          <w:sz w:val="24"/>
          <w:szCs w:val="24"/>
        </w:rPr>
        <w:t xml:space="preserve">2022 </w:t>
      </w:r>
      <w:r>
        <w:rPr>
          <w:rFonts w:ascii="宋体" w:hAnsi="宋体" w:eastAsia="宋体" w:cs="宋体"/>
          <w:spacing w:val="-5"/>
          <w:sz w:val="24"/>
          <w:szCs w:val="24"/>
        </w:rPr>
        <w:t>年）》</w:t>
      </w:r>
      <w:r>
        <w:rPr>
          <w:rFonts w:ascii="宋体" w:hAnsi="宋体" w:eastAsia="宋体" w:cs="宋体"/>
          <w:spacing w:val="-4"/>
          <w:sz w:val="24"/>
          <w:szCs w:val="24"/>
        </w:rPr>
        <w:t>中地表水环境质量内容。</w:t>
      </w:r>
    </w:p>
    <w:p w14:paraId="3376CA5C">
      <w:pPr>
        <w:spacing w:before="2" w:line="349" w:lineRule="auto"/>
        <w:ind w:left="38" w:right="229" w:firstLine="483"/>
        <w:rPr>
          <w:rFonts w:ascii="宋体" w:hAnsi="宋体" w:eastAsia="宋体" w:cs="宋体"/>
          <w:sz w:val="24"/>
          <w:szCs w:val="24"/>
        </w:rPr>
      </w:pPr>
      <w:r>
        <w:rPr>
          <w:rFonts w:ascii="宋体" w:hAnsi="宋体" w:eastAsia="宋体" w:cs="宋体"/>
          <w:b/>
          <w:bCs/>
          <w:spacing w:val="-2"/>
          <w:sz w:val="24"/>
          <w:szCs w:val="24"/>
        </w:rPr>
        <w:t>概况</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年，内江市</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条河流和</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个湖库中，</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条河流（湖库）水质为</w:t>
      </w:r>
      <w:r>
        <w:rPr>
          <w:rFonts w:ascii="宋体" w:hAnsi="宋体" w:eastAsia="宋体" w:cs="宋体"/>
          <w:sz w:val="24"/>
          <w:szCs w:val="24"/>
        </w:rPr>
        <w:t>优，</w:t>
      </w:r>
      <w:r>
        <w:rPr>
          <w:rFonts w:ascii="Times New Roman" w:hAnsi="Times New Roman" w:eastAsia="Times New Roman" w:cs="Times New Roman"/>
          <w:sz w:val="24"/>
          <w:szCs w:val="24"/>
        </w:rPr>
        <w:t xml:space="preserve">7 </w:t>
      </w:r>
      <w:r>
        <w:rPr>
          <w:rFonts w:ascii="宋体" w:hAnsi="宋体" w:eastAsia="宋体" w:cs="宋体"/>
          <w:sz w:val="24"/>
          <w:szCs w:val="24"/>
        </w:rPr>
        <w:t>条河流水质为良，</w:t>
      </w:r>
      <w:r>
        <w:rPr>
          <w:rFonts w:ascii="Times New Roman" w:hAnsi="Times New Roman" w:eastAsia="Times New Roman" w:cs="Times New Roman"/>
          <w:sz w:val="24"/>
          <w:szCs w:val="24"/>
        </w:rPr>
        <w:t xml:space="preserve">3 </w:t>
      </w:r>
      <w:r>
        <w:rPr>
          <w:rFonts w:ascii="宋体" w:hAnsi="宋体" w:eastAsia="宋体" w:cs="宋体"/>
          <w:sz w:val="24"/>
          <w:szCs w:val="24"/>
        </w:rPr>
        <w:t>条河流水质轻度污染（分别是</w:t>
      </w:r>
      <w:r>
        <w:rPr>
          <w:rFonts w:ascii="宋体" w:hAnsi="宋体" w:eastAsia="宋体" w:cs="宋体"/>
          <w:spacing w:val="-1"/>
          <w:sz w:val="24"/>
          <w:szCs w:val="24"/>
        </w:rPr>
        <w:t>乌龙河、龙市河、三江</w:t>
      </w:r>
      <w:r>
        <w:rPr>
          <w:rFonts w:ascii="宋体" w:hAnsi="宋体" w:eastAsia="宋体" w:cs="宋体"/>
          <w:spacing w:val="-5"/>
          <w:sz w:val="24"/>
          <w:szCs w:val="24"/>
        </w:rPr>
        <w:t>河）。内江市河流水质优良率总体有所上升。</w:t>
      </w:r>
      <w:r>
        <w:rPr>
          <w:rFonts w:ascii="Times New Roman" w:hAnsi="Times New Roman" w:eastAsia="Times New Roman" w:cs="Times New Roman"/>
          <w:spacing w:val="-5"/>
          <w:sz w:val="24"/>
          <w:szCs w:val="24"/>
        </w:rPr>
        <w:t xml:space="preserve">43 </w:t>
      </w:r>
      <w:r>
        <w:rPr>
          <w:rFonts w:ascii="宋体" w:hAnsi="宋体" w:eastAsia="宋体" w:cs="宋体"/>
          <w:spacing w:val="-5"/>
          <w:sz w:val="24"/>
          <w:szCs w:val="24"/>
        </w:rPr>
        <w:t>个监测断面中，达Ⅲ类（优良）</w:t>
      </w:r>
      <w:r>
        <w:rPr>
          <w:rFonts w:ascii="宋体" w:hAnsi="宋体" w:eastAsia="宋体" w:cs="宋体"/>
          <w:spacing w:val="-7"/>
          <w:sz w:val="24"/>
          <w:szCs w:val="24"/>
        </w:rPr>
        <w:t>水质断面</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38 </w:t>
      </w:r>
      <w:r>
        <w:rPr>
          <w:rFonts w:ascii="宋体" w:hAnsi="宋体" w:eastAsia="宋体" w:cs="宋体"/>
          <w:spacing w:val="-7"/>
          <w:sz w:val="24"/>
          <w:szCs w:val="24"/>
        </w:rPr>
        <w:t>个，优良率占比</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88.4%</w:t>
      </w:r>
      <w:r>
        <w:rPr>
          <w:rFonts w:ascii="宋体" w:hAnsi="宋体" w:eastAsia="宋体" w:cs="宋体"/>
          <w:spacing w:val="-8"/>
          <w:sz w:val="24"/>
          <w:szCs w:val="24"/>
        </w:rPr>
        <w:t>，同比上升了</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11.7 </w:t>
      </w:r>
      <w:r>
        <w:rPr>
          <w:rFonts w:ascii="宋体" w:hAnsi="宋体" w:eastAsia="宋体" w:cs="宋体"/>
          <w:spacing w:val="-8"/>
          <w:sz w:val="24"/>
          <w:szCs w:val="24"/>
        </w:rPr>
        <w:t>个百分点，Ⅳ类水质</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 xml:space="preserve">5 </w:t>
      </w:r>
      <w:r>
        <w:rPr>
          <w:rFonts w:ascii="宋体" w:hAnsi="宋体" w:eastAsia="宋体" w:cs="宋体"/>
          <w:spacing w:val="-8"/>
          <w:sz w:val="24"/>
          <w:szCs w:val="24"/>
        </w:rPr>
        <w:t>个，</w:t>
      </w:r>
      <w:r>
        <w:rPr>
          <w:rFonts w:ascii="宋体" w:hAnsi="宋体" w:eastAsia="宋体" w:cs="宋体"/>
          <w:spacing w:val="-4"/>
          <w:sz w:val="24"/>
          <w:szCs w:val="24"/>
        </w:rPr>
        <w:t>占比</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11.6%</w:t>
      </w:r>
      <w:r>
        <w:rPr>
          <w:rFonts w:ascii="宋体" w:hAnsi="宋体" w:eastAsia="宋体" w:cs="宋体"/>
          <w:spacing w:val="-4"/>
          <w:sz w:val="24"/>
          <w:szCs w:val="24"/>
        </w:rPr>
        <w:t xml:space="preserve">，同比下降了 </w:t>
      </w:r>
      <w:r>
        <w:rPr>
          <w:rFonts w:ascii="Times New Roman" w:hAnsi="Times New Roman" w:eastAsia="Times New Roman" w:cs="Times New Roman"/>
          <w:spacing w:val="-4"/>
          <w:sz w:val="24"/>
          <w:szCs w:val="24"/>
        </w:rPr>
        <w:t xml:space="preserve">11.7 </w:t>
      </w:r>
      <w:r>
        <w:rPr>
          <w:rFonts w:ascii="宋体" w:hAnsi="宋体" w:eastAsia="宋体" w:cs="宋体"/>
          <w:spacing w:val="-4"/>
          <w:sz w:val="24"/>
          <w:szCs w:val="24"/>
        </w:rPr>
        <w:t>个百分点，无Ⅴ类、劣Ⅴ类断面。</w:t>
      </w:r>
    </w:p>
    <w:p w14:paraId="463591F3">
      <w:pPr>
        <w:spacing w:line="2408" w:lineRule="exact"/>
        <w:ind w:firstLine="2077"/>
      </w:pPr>
      <w:r>
        <w:rPr>
          <w:position w:val="-48"/>
        </w:rPr>
        <w:drawing>
          <wp:inline distT="0" distB="0" distL="0" distR="0">
            <wp:extent cx="2672715" cy="152908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559"/>
                    <a:stretch>
                      <a:fillRect/>
                    </a:stretch>
                  </pic:blipFill>
                  <pic:spPr>
                    <a:xfrm>
                      <a:off x="0" y="0"/>
                      <a:ext cx="2673095" cy="1529334"/>
                    </a:xfrm>
                    <a:prstGeom prst="rect">
                      <a:avLst/>
                    </a:prstGeom>
                  </pic:spPr>
                </pic:pic>
              </a:graphicData>
            </a:graphic>
          </wp:inline>
        </w:drawing>
      </w:r>
    </w:p>
    <w:p w14:paraId="0CBD46AB">
      <w:pPr>
        <w:spacing w:before="171" w:line="221" w:lineRule="auto"/>
        <w:ind w:left="1885"/>
        <w:rPr>
          <w:rFonts w:ascii="黑体" w:hAnsi="黑体" w:eastAsia="黑体" w:cs="黑体"/>
          <w:sz w:val="21"/>
          <w:szCs w:val="21"/>
        </w:rPr>
      </w:pPr>
      <w:r>
        <w:rPr>
          <w:rFonts w:ascii="黑体" w:hAnsi="黑体" w:eastAsia="黑体" w:cs="黑体"/>
          <w:spacing w:val="-1"/>
          <w:sz w:val="21"/>
          <w:szCs w:val="21"/>
        </w:rPr>
        <w:t>图</w:t>
      </w:r>
      <w:r>
        <w:rPr>
          <w:rFonts w:ascii="Times New Roman" w:hAnsi="Times New Roman" w:eastAsia="Times New Roman" w:cs="Times New Roman"/>
          <w:spacing w:val="-1"/>
          <w:sz w:val="21"/>
          <w:szCs w:val="21"/>
        </w:rPr>
        <w:t>3.3-2    2022</w:t>
      </w:r>
      <w:r>
        <w:rPr>
          <w:rFonts w:ascii="黑体" w:hAnsi="黑体" w:eastAsia="黑体" w:cs="黑体"/>
          <w:spacing w:val="-1"/>
          <w:sz w:val="21"/>
          <w:szCs w:val="21"/>
        </w:rPr>
        <w:t>年内江市</w:t>
      </w:r>
      <w:r>
        <w:rPr>
          <w:rFonts w:ascii="Times New Roman" w:hAnsi="Times New Roman" w:eastAsia="Times New Roman" w:cs="Times New Roman"/>
          <w:spacing w:val="-1"/>
          <w:sz w:val="21"/>
          <w:szCs w:val="21"/>
        </w:rPr>
        <w:t>43</w:t>
      </w:r>
      <w:r>
        <w:rPr>
          <w:rFonts w:ascii="黑体" w:hAnsi="黑体" w:eastAsia="黑体" w:cs="黑体"/>
          <w:spacing w:val="-1"/>
          <w:sz w:val="21"/>
          <w:szCs w:val="21"/>
        </w:rPr>
        <w:t>个断面水质类别所占比例</w:t>
      </w:r>
    </w:p>
    <w:p w14:paraId="3063155F">
      <w:pPr>
        <w:spacing w:before="203" w:line="360" w:lineRule="auto"/>
        <w:ind w:left="43" w:right="291" w:firstLine="478"/>
        <w:rPr>
          <w:rFonts w:ascii="宋体" w:hAnsi="宋体" w:eastAsia="宋体" w:cs="宋体"/>
          <w:sz w:val="24"/>
          <w:szCs w:val="24"/>
        </w:rPr>
      </w:pPr>
      <w:r>
        <w:rPr>
          <w:rFonts w:ascii="宋体" w:hAnsi="宋体" w:eastAsia="宋体" w:cs="宋体"/>
          <w:b/>
          <w:bCs/>
          <w:spacing w:val="-1"/>
          <w:sz w:val="24"/>
          <w:szCs w:val="24"/>
        </w:rPr>
        <w:t>跨县区河流</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年，沱江干流（内江段）水质总体优，与上年相比保持</w:t>
      </w:r>
      <w:r>
        <w:rPr>
          <w:rFonts w:ascii="宋体" w:hAnsi="宋体" w:eastAsia="宋体" w:cs="宋体"/>
          <w:spacing w:val="-2"/>
          <w:sz w:val="24"/>
          <w:szCs w:val="24"/>
        </w:rPr>
        <w:t>不变。</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个断面均为Ⅰ</w:t>
      </w:r>
      <w:r>
        <w:rPr>
          <w:rFonts w:ascii="Times New Roman" w:hAnsi="Times New Roman" w:eastAsia="Times New Roman" w:cs="Times New Roman"/>
          <w:spacing w:val="-2"/>
          <w:sz w:val="24"/>
          <w:szCs w:val="24"/>
        </w:rPr>
        <w:t>~</w:t>
      </w:r>
      <w:r>
        <w:rPr>
          <w:rFonts w:ascii="宋体" w:hAnsi="宋体" w:eastAsia="宋体" w:cs="宋体"/>
          <w:spacing w:val="-2"/>
          <w:sz w:val="24"/>
          <w:szCs w:val="24"/>
        </w:rPr>
        <w:t>Ⅲ类水质，占比</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100%</w:t>
      </w:r>
      <w:r>
        <w:rPr>
          <w:rFonts w:ascii="宋体" w:hAnsi="宋体" w:eastAsia="宋体" w:cs="宋体"/>
          <w:spacing w:val="-2"/>
          <w:sz w:val="24"/>
          <w:szCs w:val="24"/>
        </w:rPr>
        <w:t>。</w:t>
      </w:r>
    </w:p>
    <w:p w14:paraId="03EFE38A">
      <w:pPr>
        <w:spacing w:line="362" w:lineRule="auto"/>
        <w:ind w:left="42" w:right="213" w:firstLine="487"/>
        <w:rPr>
          <w:rFonts w:ascii="宋体" w:hAnsi="宋体" w:eastAsia="宋体" w:cs="宋体"/>
          <w:sz w:val="24"/>
          <w:szCs w:val="24"/>
        </w:rPr>
      </w:pPr>
      <w:r>
        <w:rPr>
          <w:rFonts w:ascii="宋体" w:hAnsi="宋体" w:eastAsia="宋体" w:cs="宋体"/>
          <w:b/>
          <w:bCs/>
          <w:spacing w:val="-3"/>
          <w:sz w:val="24"/>
          <w:szCs w:val="24"/>
        </w:rPr>
        <w:t>东兴区</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年，大清流河水质总体优，与上年</w:t>
      </w:r>
      <w:r>
        <w:rPr>
          <w:rFonts w:ascii="宋体" w:hAnsi="宋体" w:eastAsia="宋体" w:cs="宋体"/>
          <w:spacing w:val="-4"/>
          <w:sz w:val="24"/>
          <w:szCs w:val="24"/>
        </w:rPr>
        <w:t>相比保持不变。</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个断面均</w:t>
      </w:r>
      <w:r>
        <w:rPr>
          <w:rFonts w:ascii="宋体" w:hAnsi="宋体" w:eastAsia="宋体" w:cs="宋体"/>
          <w:spacing w:val="-3"/>
          <w:sz w:val="24"/>
          <w:szCs w:val="24"/>
        </w:rPr>
        <w:t>为Ⅰ</w:t>
      </w:r>
      <w:r>
        <w:rPr>
          <w:rFonts w:ascii="Times New Roman" w:hAnsi="Times New Roman" w:eastAsia="Times New Roman" w:cs="Times New Roman"/>
          <w:spacing w:val="-3"/>
          <w:sz w:val="24"/>
          <w:szCs w:val="24"/>
        </w:rPr>
        <w:t>~</w:t>
      </w:r>
      <w:r>
        <w:rPr>
          <w:rFonts w:ascii="宋体" w:hAnsi="宋体" w:eastAsia="宋体" w:cs="宋体"/>
          <w:spacing w:val="-3"/>
          <w:sz w:val="24"/>
          <w:szCs w:val="24"/>
        </w:rPr>
        <w:t>Ⅲ类水质，占比</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w:t>
      </w:r>
    </w:p>
    <w:p w14:paraId="1ACD7448">
      <w:pPr>
        <w:spacing w:before="52" w:line="226" w:lineRule="auto"/>
        <w:ind w:left="34"/>
        <w:rPr>
          <w:rFonts w:ascii="宋体" w:hAnsi="宋体" w:eastAsia="宋体" w:cs="宋体"/>
          <w:sz w:val="27"/>
          <w:szCs w:val="27"/>
        </w:rPr>
      </w:pPr>
      <w:r>
        <w:rPr>
          <w:rFonts w:ascii="Times New Roman" w:hAnsi="Times New Roman" w:eastAsia="Times New Roman" w:cs="Times New Roman"/>
          <w:b/>
          <w:bCs/>
          <w:spacing w:val="5"/>
          <w:sz w:val="27"/>
          <w:szCs w:val="27"/>
        </w:rPr>
        <w:t xml:space="preserve">3.3.2.2 </w:t>
      </w:r>
      <w:r>
        <w:rPr>
          <w:rFonts w:ascii="宋体" w:hAnsi="宋体" w:eastAsia="宋体" w:cs="宋体"/>
          <w:b/>
          <w:bCs/>
          <w:spacing w:val="5"/>
          <w:sz w:val="27"/>
          <w:szCs w:val="27"/>
        </w:rPr>
        <w:t>地表水补充监测</w:t>
      </w:r>
    </w:p>
    <w:p w14:paraId="12836604">
      <w:pPr>
        <w:spacing w:line="226" w:lineRule="auto"/>
        <w:rPr>
          <w:rFonts w:ascii="宋体" w:hAnsi="宋体" w:eastAsia="宋体" w:cs="宋体"/>
          <w:sz w:val="27"/>
          <w:szCs w:val="27"/>
        </w:rPr>
        <w:sectPr>
          <w:headerReference r:id="rId263" w:type="default"/>
          <w:footerReference r:id="rId264" w:type="default"/>
          <w:pgSz w:w="11905" w:h="16840"/>
          <w:pgMar w:top="1168" w:right="1585" w:bottom="1409" w:left="1770" w:header="828" w:footer="1244" w:gutter="0"/>
          <w:cols w:space="720" w:num="1"/>
        </w:sectPr>
      </w:pPr>
    </w:p>
    <w:p w14:paraId="34869100">
      <w:pPr>
        <w:pStyle w:val="2"/>
        <w:spacing w:line="306" w:lineRule="auto"/>
      </w:pPr>
    </w:p>
    <w:p w14:paraId="164A97BB">
      <w:pPr>
        <w:spacing w:before="78" w:line="360" w:lineRule="auto"/>
        <w:ind w:left="44" w:right="29" w:firstLine="478"/>
        <w:rPr>
          <w:rFonts w:ascii="宋体" w:hAnsi="宋体" w:eastAsia="宋体" w:cs="宋体"/>
          <w:sz w:val="24"/>
          <w:szCs w:val="24"/>
        </w:rPr>
      </w:pPr>
      <w:r>
        <w:rPr>
          <w:rFonts w:ascii="宋体" w:hAnsi="宋体" w:eastAsia="宋体" w:cs="宋体"/>
          <w:spacing w:val="-7"/>
          <w:sz w:val="24"/>
          <w:szCs w:val="24"/>
        </w:rPr>
        <w:t>为进一步了解项目附近大清流河、五桂溪、石核河的水质情况， 委托四川瑞</w:t>
      </w:r>
      <w:r>
        <w:rPr>
          <w:rFonts w:ascii="宋体" w:hAnsi="宋体" w:eastAsia="宋体" w:cs="宋体"/>
          <w:spacing w:val="-2"/>
          <w:sz w:val="24"/>
          <w:szCs w:val="24"/>
        </w:rPr>
        <w:t>兴环保检测有限公司对大清流河、五桂溪、石核河水质进行了取样监测。</w:t>
      </w:r>
    </w:p>
    <w:p w14:paraId="2180ADDA">
      <w:pPr>
        <w:spacing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）监测断面</w:t>
      </w:r>
    </w:p>
    <w:p w14:paraId="144867E3">
      <w:pPr>
        <w:spacing w:before="196" w:line="221" w:lineRule="auto"/>
        <w:ind w:left="276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3.3-5  </w:t>
      </w:r>
      <w:r>
        <w:rPr>
          <w:rFonts w:ascii="黑体" w:hAnsi="黑体" w:eastAsia="黑体" w:cs="黑体"/>
          <w:spacing w:val="-1"/>
          <w:sz w:val="21"/>
          <w:szCs w:val="21"/>
        </w:rPr>
        <w:t>地表水监测项目统计表</w:t>
      </w:r>
    </w:p>
    <w:p w14:paraId="59568CEA">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8"/>
        <w:gridCol w:w="1246"/>
        <w:gridCol w:w="5646"/>
      </w:tblGrid>
      <w:tr w14:paraId="48272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8" w:type="dxa"/>
            <w:vAlign w:val="top"/>
          </w:tcPr>
          <w:p w14:paraId="287E5B84">
            <w:pPr>
              <w:spacing w:before="68" w:line="220" w:lineRule="auto"/>
              <w:ind w:left="300"/>
              <w:rPr>
                <w:rFonts w:ascii="宋体" w:hAnsi="宋体" w:eastAsia="宋体" w:cs="宋体"/>
                <w:sz w:val="21"/>
                <w:szCs w:val="21"/>
              </w:rPr>
            </w:pPr>
            <w:r>
              <w:rPr>
                <w:rFonts w:ascii="宋体" w:hAnsi="宋体" w:eastAsia="宋体" w:cs="宋体"/>
                <w:spacing w:val="-2"/>
                <w:sz w:val="21"/>
                <w:szCs w:val="21"/>
              </w:rPr>
              <w:t>监测断面</w:t>
            </w:r>
          </w:p>
        </w:tc>
        <w:tc>
          <w:tcPr>
            <w:tcW w:w="1246" w:type="dxa"/>
            <w:vAlign w:val="top"/>
          </w:tcPr>
          <w:p w14:paraId="558F6B66">
            <w:pPr>
              <w:spacing w:before="68" w:line="222" w:lineRule="auto"/>
              <w:ind w:left="416"/>
              <w:rPr>
                <w:rFonts w:ascii="宋体" w:hAnsi="宋体" w:eastAsia="宋体" w:cs="宋体"/>
                <w:sz w:val="21"/>
                <w:szCs w:val="21"/>
              </w:rPr>
            </w:pPr>
            <w:r>
              <w:rPr>
                <w:rFonts w:ascii="宋体" w:hAnsi="宋体" w:eastAsia="宋体" w:cs="宋体"/>
                <w:spacing w:val="-2"/>
                <w:sz w:val="21"/>
                <w:szCs w:val="21"/>
              </w:rPr>
              <w:t>河流</w:t>
            </w:r>
          </w:p>
        </w:tc>
        <w:tc>
          <w:tcPr>
            <w:tcW w:w="5646" w:type="dxa"/>
            <w:vAlign w:val="top"/>
          </w:tcPr>
          <w:p w14:paraId="6085FEBB">
            <w:pPr>
              <w:spacing w:before="68" w:line="220" w:lineRule="auto"/>
              <w:ind w:left="2408"/>
              <w:rPr>
                <w:rFonts w:ascii="宋体" w:hAnsi="宋体" w:eastAsia="宋体" w:cs="宋体"/>
                <w:sz w:val="21"/>
                <w:szCs w:val="21"/>
              </w:rPr>
            </w:pPr>
            <w:r>
              <w:rPr>
                <w:rFonts w:ascii="宋体" w:hAnsi="宋体" w:eastAsia="宋体" w:cs="宋体"/>
                <w:spacing w:val="-2"/>
                <w:sz w:val="21"/>
                <w:szCs w:val="21"/>
              </w:rPr>
              <w:t>监测断面</w:t>
            </w:r>
          </w:p>
        </w:tc>
      </w:tr>
      <w:tr w14:paraId="0E4B9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28" w:type="dxa"/>
            <w:vAlign w:val="top"/>
          </w:tcPr>
          <w:p w14:paraId="6FB04B26">
            <w:pPr>
              <w:pStyle w:val="6"/>
              <w:spacing w:before="101" w:line="188" w:lineRule="auto"/>
              <w:ind w:left="630"/>
            </w:pPr>
            <w:r>
              <w:rPr>
                <w:spacing w:val="-6"/>
              </w:rPr>
              <w:t>1#</w:t>
            </w:r>
          </w:p>
        </w:tc>
        <w:tc>
          <w:tcPr>
            <w:tcW w:w="1246" w:type="dxa"/>
            <w:vMerge w:val="restart"/>
            <w:tcBorders>
              <w:bottom w:val="nil"/>
            </w:tcBorders>
            <w:vAlign w:val="top"/>
          </w:tcPr>
          <w:p w14:paraId="22EA67E8">
            <w:pPr>
              <w:spacing w:before="239" w:line="220" w:lineRule="auto"/>
              <w:ind w:left="313"/>
              <w:rPr>
                <w:rFonts w:ascii="宋体" w:hAnsi="宋体" w:eastAsia="宋体" w:cs="宋体"/>
                <w:sz w:val="21"/>
                <w:szCs w:val="21"/>
              </w:rPr>
            </w:pPr>
            <w:r>
              <w:rPr>
                <w:rFonts w:ascii="宋体" w:hAnsi="宋体" w:eastAsia="宋体" w:cs="宋体"/>
                <w:spacing w:val="-3"/>
                <w:sz w:val="21"/>
                <w:szCs w:val="21"/>
              </w:rPr>
              <w:t>石核河</w:t>
            </w:r>
          </w:p>
        </w:tc>
        <w:tc>
          <w:tcPr>
            <w:tcW w:w="5646" w:type="dxa"/>
            <w:vAlign w:val="top"/>
          </w:tcPr>
          <w:p w14:paraId="54352F27">
            <w:pPr>
              <w:pStyle w:val="6"/>
              <w:spacing w:before="64" w:line="220" w:lineRule="auto"/>
              <w:ind w:left="1276"/>
              <w:rPr>
                <w:rFonts w:ascii="宋体" w:hAnsi="宋体" w:eastAsia="宋体" w:cs="宋体"/>
              </w:rPr>
            </w:pPr>
            <w:r>
              <w:rPr>
                <w:rFonts w:ascii="宋体" w:hAnsi="宋体" w:eastAsia="宋体" w:cs="宋体"/>
                <w:spacing w:val="-1"/>
              </w:rPr>
              <w:t>石核河与项目最近处上游</w:t>
            </w:r>
            <w:r>
              <w:rPr>
                <w:rFonts w:ascii="宋体" w:hAnsi="宋体" w:eastAsia="宋体" w:cs="宋体"/>
                <w:spacing w:val="-35"/>
              </w:rPr>
              <w:t xml:space="preserve"> </w:t>
            </w:r>
            <w:r>
              <w:rPr>
                <w:spacing w:val="-1"/>
              </w:rPr>
              <w:t xml:space="preserve">500m </w:t>
            </w:r>
            <w:r>
              <w:rPr>
                <w:rFonts w:ascii="宋体" w:hAnsi="宋体" w:eastAsia="宋体" w:cs="宋体"/>
                <w:spacing w:val="-1"/>
              </w:rPr>
              <w:t>处</w:t>
            </w:r>
          </w:p>
        </w:tc>
      </w:tr>
      <w:tr w14:paraId="723AA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28" w:type="dxa"/>
            <w:vAlign w:val="top"/>
          </w:tcPr>
          <w:p w14:paraId="60507386">
            <w:pPr>
              <w:pStyle w:val="6"/>
              <w:spacing w:before="103" w:line="188" w:lineRule="auto"/>
              <w:ind w:left="610"/>
            </w:pPr>
            <w:r>
              <w:rPr>
                <w:spacing w:val="-1"/>
              </w:rPr>
              <w:t>2#</w:t>
            </w:r>
          </w:p>
        </w:tc>
        <w:tc>
          <w:tcPr>
            <w:tcW w:w="1246" w:type="dxa"/>
            <w:vMerge w:val="continue"/>
            <w:tcBorders>
              <w:top w:val="nil"/>
            </w:tcBorders>
            <w:vAlign w:val="top"/>
          </w:tcPr>
          <w:p w14:paraId="7263045E">
            <w:pPr>
              <w:rPr>
                <w:rFonts w:ascii="Arial"/>
                <w:sz w:val="21"/>
              </w:rPr>
            </w:pPr>
          </w:p>
        </w:tc>
        <w:tc>
          <w:tcPr>
            <w:tcW w:w="5646" w:type="dxa"/>
            <w:vAlign w:val="top"/>
          </w:tcPr>
          <w:p w14:paraId="2267E0E3">
            <w:pPr>
              <w:pStyle w:val="6"/>
              <w:spacing w:before="66" w:line="220" w:lineRule="auto"/>
              <w:ind w:left="1224"/>
              <w:rPr>
                <w:rFonts w:ascii="宋体" w:hAnsi="宋体" w:eastAsia="宋体" w:cs="宋体"/>
              </w:rPr>
            </w:pPr>
            <w:r>
              <w:rPr>
                <w:rFonts w:ascii="宋体" w:hAnsi="宋体" w:eastAsia="宋体" w:cs="宋体"/>
                <w:spacing w:val="-2"/>
              </w:rPr>
              <w:t>石核河与项目最近处下游</w:t>
            </w:r>
            <w:r>
              <w:rPr>
                <w:rFonts w:ascii="宋体" w:hAnsi="宋体" w:eastAsia="宋体" w:cs="宋体"/>
                <w:spacing w:val="-15"/>
              </w:rPr>
              <w:t xml:space="preserve"> </w:t>
            </w:r>
            <w:r>
              <w:rPr>
                <w:spacing w:val="-2"/>
              </w:rPr>
              <w:t xml:space="preserve">1000m </w:t>
            </w:r>
            <w:r>
              <w:rPr>
                <w:rFonts w:ascii="宋体" w:hAnsi="宋体" w:eastAsia="宋体" w:cs="宋体"/>
                <w:spacing w:val="-2"/>
              </w:rPr>
              <w:t>处</w:t>
            </w:r>
          </w:p>
        </w:tc>
      </w:tr>
      <w:tr w14:paraId="018E1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28" w:type="dxa"/>
            <w:vAlign w:val="top"/>
          </w:tcPr>
          <w:p w14:paraId="29FB3C54">
            <w:pPr>
              <w:pStyle w:val="6"/>
              <w:spacing w:before="103" w:line="188" w:lineRule="auto"/>
              <w:ind w:left="614"/>
            </w:pPr>
            <w:r>
              <w:rPr>
                <w:spacing w:val="-3"/>
              </w:rPr>
              <w:t>3#</w:t>
            </w:r>
          </w:p>
        </w:tc>
        <w:tc>
          <w:tcPr>
            <w:tcW w:w="1246" w:type="dxa"/>
            <w:vAlign w:val="top"/>
          </w:tcPr>
          <w:p w14:paraId="3CF8E794">
            <w:pPr>
              <w:spacing w:before="66" w:line="220" w:lineRule="auto"/>
              <w:ind w:left="316"/>
              <w:rPr>
                <w:rFonts w:ascii="宋体" w:hAnsi="宋体" w:eastAsia="宋体" w:cs="宋体"/>
                <w:sz w:val="21"/>
                <w:szCs w:val="21"/>
              </w:rPr>
            </w:pPr>
            <w:r>
              <w:rPr>
                <w:rFonts w:ascii="宋体" w:hAnsi="宋体" w:eastAsia="宋体" w:cs="宋体"/>
                <w:spacing w:val="-3"/>
                <w:sz w:val="21"/>
                <w:szCs w:val="21"/>
              </w:rPr>
              <w:t>五桂溪</w:t>
            </w:r>
          </w:p>
        </w:tc>
        <w:tc>
          <w:tcPr>
            <w:tcW w:w="5646" w:type="dxa"/>
            <w:vAlign w:val="top"/>
          </w:tcPr>
          <w:p w14:paraId="49F35595">
            <w:pPr>
              <w:pStyle w:val="6"/>
              <w:spacing w:before="67" w:line="212" w:lineRule="auto"/>
              <w:ind w:left="159"/>
            </w:pPr>
            <w:r>
              <w:rPr>
                <w:rFonts w:ascii="宋体" w:hAnsi="宋体" w:eastAsia="宋体" w:cs="宋体"/>
                <w:spacing w:val="-1"/>
              </w:rPr>
              <w:t>五桂溪汇入大清流河口至上游</w:t>
            </w:r>
            <w:r>
              <w:rPr>
                <w:rFonts w:ascii="宋体" w:hAnsi="宋体" w:eastAsia="宋体" w:cs="宋体"/>
                <w:spacing w:val="-37"/>
              </w:rPr>
              <w:t xml:space="preserve"> </w:t>
            </w:r>
            <w:r>
              <w:rPr>
                <w:spacing w:val="-1"/>
              </w:rPr>
              <w:t xml:space="preserve">500m </w:t>
            </w:r>
            <w:r>
              <w:rPr>
                <w:rFonts w:ascii="宋体" w:hAnsi="宋体" w:eastAsia="宋体" w:cs="宋体"/>
                <w:spacing w:val="-1"/>
              </w:rPr>
              <w:t>处</w:t>
            </w:r>
            <w:r>
              <w:rPr>
                <w:spacing w:val="-1"/>
              </w:rPr>
              <w:t>(</w:t>
            </w:r>
            <w:r>
              <w:rPr>
                <w:rFonts w:ascii="宋体" w:hAnsi="宋体" w:eastAsia="宋体" w:cs="宋体"/>
                <w:spacing w:val="-1"/>
              </w:rPr>
              <w:t>白合至苏家公路桥</w:t>
            </w:r>
            <w:r>
              <w:rPr>
                <w:spacing w:val="-1"/>
              </w:rPr>
              <w:t>)</w:t>
            </w:r>
          </w:p>
        </w:tc>
      </w:tr>
      <w:tr w14:paraId="3051C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28" w:type="dxa"/>
            <w:vAlign w:val="top"/>
          </w:tcPr>
          <w:p w14:paraId="30DC645A">
            <w:pPr>
              <w:pStyle w:val="6"/>
              <w:spacing w:before="103" w:line="188" w:lineRule="auto"/>
              <w:ind w:left="609"/>
            </w:pPr>
            <w:r>
              <w:rPr>
                <w:spacing w:val="-1"/>
              </w:rPr>
              <w:t>4#</w:t>
            </w:r>
          </w:p>
        </w:tc>
        <w:tc>
          <w:tcPr>
            <w:tcW w:w="1246" w:type="dxa"/>
            <w:vMerge w:val="restart"/>
            <w:tcBorders>
              <w:bottom w:val="nil"/>
            </w:tcBorders>
            <w:vAlign w:val="top"/>
          </w:tcPr>
          <w:p w14:paraId="76994189">
            <w:pPr>
              <w:spacing w:before="241" w:line="220" w:lineRule="auto"/>
              <w:ind w:left="209"/>
              <w:rPr>
                <w:rFonts w:ascii="宋体" w:hAnsi="宋体" w:eastAsia="宋体" w:cs="宋体"/>
                <w:sz w:val="21"/>
                <w:szCs w:val="21"/>
              </w:rPr>
            </w:pPr>
            <w:r>
              <w:rPr>
                <w:rFonts w:ascii="宋体" w:hAnsi="宋体" w:eastAsia="宋体" w:cs="宋体"/>
                <w:spacing w:val="-3"/>
                <w:sz w:val="21"/>
                <w:szCs w:val="21"/>
              </w:rPr>
              <w:t>大清流河</w:t>
            </w:r>
          </w:p>
        </w:tc>
        <w:tc>
          <w:tcPr>
            <w:tcW w:w="5646" w:type="dxa"/>
            <w:vAlign w:val="top"/>
          </w:tcPr>
          <w:p w14:paraId="4A5FA057">
            <w:pPr>
              <w:pStyle w:val="6"/>
              <w:spacing w:before="66" w:line="220" w:lineRule="auto"/>
              <w:ind w:left="1173"/>
              <w:rPr>
                <w:rFonts w:ascii="宋体" w:hAnsi="宋体" w:eastAsia="宋体" w:cs="宋体"/>
              </w:rPr>
            </w:pPr>
            <w:r>
              <w:rPr>
                <w:rFonts w:ascii="宋体" w:hAnsi="宋体" w:eastAsia="宋体" w:cs="宋体"/>
                <w:spacing w:val="-1"/>
              </w:rPr>
              <w:t>五桂溪汇入大清流河口下游</w:t>
            </w:r>
            <w:r>
              <w:rPr>
                <w:rFonts w:ascii="宋体" w:hAnsi="宋体" w:eastAsia="宋体" w:cs="宋体"/>
                <w:spacing w:val="-37"/>
              </w:rPr>
              <w:t xml:space="preserve"> </w:t>
            </w:r>
            <w:r>
              <w:rPr>
                <w:spacing w:val="-1"/>
              </w:rPr>
              <w:t xml:space="preserve">380m </w:t>
            </w:r>
            <w:r>
              <w:rPr>
                <w:rFonts w:ascii="宋体" w:hAnsi="宋体" w:eastAsia="宋体" w:cs="宋体"/>
                <w:spacing w:val="-1"/>
              </w:rPr>
              <w:t>处</w:t>
            </w:r>
          </w:p>
        </w:tc>
      </w:tr>
      <w:tr w14:paraId="0925F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8" w:type="dxa"/>
            <w:vAlign w:val="top"/>
          </w:tcPr>
          <w:p w14:paraId="60A33FB9">
            <w:pPr>
              <w:pStyle w:val="6"/>
              <w:spacing w:before="105" w:line="188" w:lineRule="auto"/>
              <w:ind w:left="615"/>
            </w:pPr>
            <w:r>
              <w:rPr>
                <w:spacing w:val="-3"/>
              </w:rPr>
              <w:t>5#</w:t>
            </w:r>
          </w:p>
        </w:tc>
        <w:tc>
          <w:tcPr>
            <w:tcW w:w="1246" w:type="dxa"/>
            <w:vMerge w:val="continue"/>
            <w:tcBorders>
              <w:top w:val="nil"/>
            </w:tcBorders>
            <w:vAlign w:val="top"/>
          </w:tcPr>
          <w:p w14:paraId="13DC170A">
            <w:pPr>
              <w:rPr>
                <w:rFonts w:ascii="Arial"/>
                <w:sz w:val="21"/>
              </w:rPr>
            </w:pPr>
          </w:p>
        </w:tc>
        <w:tc>
          <w:tcPr>
            <w:tcW w:w="5646" w:type="dxa"/>
            <w:vAlign w:val="top"/>
          </w:tcPr>
          <w:p w14:paraId="3CB67211">
            <w:pPr>
              <w:pStyle w:val="6"/>
              <w:spacing w:before="68" w:line="220" w:lineRule="auto"/>
              <w:ind w:left="1171"/>
              <w:rPr>
                <w:rFonts w:ascii="宋体" w:hAnsi="宋体" w:eastAsia="宋体" w:cs="宋体"/>
              </w:rPr>
            </w:pPr>
            <w:r>
              <w:rPr>
                <w:rFonts w:ascii="宋体" w:hAnsi="宋体" w:eastAsia="宋体" w:cs="宋体"/>
                <w:spacing w:val="-1"/>
              </w:rPr>
              <w:t>石核河汇入大清流河口下游</w:t>
            </w:r>
            <w:r>
              <w:rPr>
                <w:rFonts w:ascii="宋体" w:hAnsi="宋体" w:eastAsia="宋体" w:cs="宋体"/>
                <w:spacing w:val="-34"/>
              </w:rPr>
              <w:t xml:space="preserve"> </w:t>
            </w:r>
            <w:r>
              <w:rPr>
                <w:spacing w:val="-1"/>
              </w:rPr>
              <w:t xml:space="preserve">200m </w:t>
            </w:r>
            <w:r>
              <w:rPr>
                <w:rFonts w:ascii="宋体" w:hAnsi="宋体" w:eastAsia="宋体" w:cs="宋体"/>
                <w:spacing w:val="-1"/>
              </w:rPr>
              <w:t>处</w:t>
            </w:r>
          </w:p>
        </w:tc>
      </w:tr>
    </w:tbl>
    <w:p w14:paraId="47C9DB7A">
      <w:pPr>
        <w:spacing w:before="233"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）监测项目、时间及频次</w:t>
      </w:r>
    </w:p>
    <w:p w14:paraId="3BDBDF69">
      <w:pPr>
        <w:spacing w:before="183" w:line="212" w:lineRule="auto"/>
        <w:ind w:left="520"/>
        <w:rPr>
          <w:rFonts w:ascii="宋体" w:hAnsi="宋体" w:eastAsia="宋体" w:cs="宋体"/>
          <w:sz w:val="24"/>
          <w:szCs w:val="24"/>
        </w:rPr>
      </w:pPr>
      <w:r>
        <w:rPr>
          <w:rFonts w:ascii="宋体" w:hAnsi="宋体" w:eastAsia="宋体" w:cs="宋体"/>
          <w:spacing w:val="-5"/>
          <w:sz w:val="24"/>
          <w:szCs w:val="24"/>
        </w:rPr>
        <w:t>监测项目：</w:t>
      </w:r>
      <w:r>
        <w:rPr>
          <w:rFonts w:ascii="Times New Roman" w:hAnsi="Times New Roman" w:eastAsia="Times New Roman" w:cs="Times New Roman"/>
          <w:spacing w:val="-5"/>
          <w:sz w:val="24"/>
          <w:szCs w:val="24"/>
        </w:rPr>
        <w:t>pH</w:t>
      </w:r>
      <w:r>
        <w:rPr>
          <w:rFonts w:ascii="Times New Roman" w:hAnsi="Times New Roman" w:eastAsia="Times New Roman" w:cs="Times New Roman"/>
          <w:spacing w:val="-2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COD</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BOD</w:t>
      </w:r>
      <w:r>
        <w:rPr>
          <w:rFonts w:ascii="Times New Roman" w:hAnsi="Times New Roman" w:eastAsia="Times New Roman" w:cs="Times New Roman"/>
          <w:spacing w:val="-5"/>
          <w:position w:val="-2"/>
          <w:sz w:val="15"/>
          <w:szCs w:val="15"/>
        </w:rPr>
        <w:t>5</w:t>
      </w:r>
      <w:r>
        <w:rPr>
          <w:rFonts w:ascii="Times New Roman" w:hAnsi="Times New Roman" w:eastAsia="Times New Roman" w:cs="Times New Roman"/>
          <w:spacing w:val="-11"/>
          <w:position w:val="-2"/>
          <w:sz w:val="15"/>
          <w:szCs w:val="15"/>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position w:val="-2"/>
          <w:sz w:val="15"/>
          <w:szCs w:val="15"/>
        </w:rPr>
        <w:t>3</w:t>
      </w:r>
      <w:r>
        <w:rPr>
          <w:rFonts w:ascii="Times New Roman" w:hAnsi="Times New Roman" w:eastAsia="Times New Roman" w:cs="Times New Roman"/>
          <w:spacing w:val="-5"/>
          <w:sz w:val="24"/>
          <w:szCs w:val="24"/>
        </w:rPr>
        <w:t>-N</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TP</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SS</w:t>
      </w:r>
      <w:r>
        <w:rPr>
          <w:rFonts w:ascii="宋体" w:hAnsi="宋体" w:eastAsia="宋体" w:cs="宋体"/>
          <w:spacing w:val="-5"/>
          <w:sz w:val="24"/>
          <w:szCs w:val="24"/>
        </w:rPr>
        <w:t>、粪大肠菌群。</w:t>
      </w:r>
    </w:p>
    <w:p w14:paraId="5F4A0992">
      <w:pPr>
        <w:spacing w:before="192" w:line="360" w:lineRule="auto"/>
        <w:ind w:left="520" w:right="201"/>
        <w:rPr>
          <w:rFonts w:ascii="宋体" w:hAnsi="宋体" w:eastAsia="宋体" w:cs="宋体"/>
          <w:sz w:val="24"/>
          <w:szCs w:val="24"/>
        </w:rPr>
      </w:pPr>
      <w:r>
        <w:rPr>
          <w:rFonts w:ascii="宋体" w:hAnsi="宋体" w:eastAsia="宋体" w:cs="宋体"/>
          <w:spacing w:val="-7"/>
          <w:sz w:val="24"/>
          <w:szCs w:val="24"/>
        </w:rPr>
        <w:t>监测时间与采样频率：</w:t>
      </w:r>
      <w:r>
        <w:rPr>
          <w:rFonts w:ascii="Times New Roman" w:hAnsi="Times New Roman" w:eastAsia="Times New Roman" w:cs="Times New Roman"/>
          <w:spacing w:val="-7"/>
          <w:sz w:val="24"/>
          <w:szCs w:val="24"/>
        </w:rPr>
        <w:t xml:space="preserve">2022 </w:t>
      </w:r>
      <w:r>
        <w:rPr>
          <w:rFonts w:ascii="宋体" w:hAnsi="宋体" w:eastAsia="宋体" w:cs="宋体"/>
          <w:spacing w:val="-7"/>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 xml:space="preserve">5  </w:t>
      </w:r>
      <w:r>
        <w:rPr>
          <w:rFonts w:ascii="宋体" w:hAnsi="宋体" w:eastAsia="宋体" w:cs="宋体"/>
          <w:spacing w:val="-7"/>
          <w:sz w:val="24"/>
          <w:szCs w:val="24"/>
        </w:rPr>
        <w:t>日</w:t>
      </w:r>
      <w:r>
        <w:rPr>
          <w:rFonts w:ascii="Times New Roman" w:hAnsi="Times New Roman" w:eastAsia="Times New Roman" w:cs="Times New Roman"/>
          <w:spacing w:val="-7"/>
          <w:sz w:val="24"/>
          <w:szCs w:val="24"/>
        </w:rPr>
        <w:t xml:space="preserve">~7  </w:t>
      </w:r>
      <w:r>
        <w:rPr>
          <w:rFonts w:ascii="宋体" w:hAnsi="宋体" w:eastAsia="宋体" w:cs="宋体"/>
          <w:spacing w:val="-7"/>
          <w:sz w:val="24"/>
          <w:szCs w:val="24"/>
        </w:rPr>
        <w:t>日采样</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天，每天采样</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6"/>
          <w:w w:val="101"/>
          <w:sz w:val="24"/>
          <w:szCs w:val="24"/>
        </w:rPr>
        <w:t xml:space="preserve"> </w:t>
      </w:r>
      <w:r>
        <w:rPr>
          <w:rFonts w:ascii="宋体" w:hAnsi="宋体" w:eastAsia="宋体" w:cs="宋体"/>
          <w:spacing w:val="-8"/>
          <w:sz w:val="24"/>
          <w:szCs w:val="24"/>
        </w:rPr>
        <w:t>次。</w:t>
      </w:r>
      <w:r>
        <w:rPr>
          <w:rFonts w:ascii="宋体" w:hAnsi="宋体" w:eastAsia="宋体" w:cs="宋体"/>
          <w:spacing w:val="-1"/>
          <w:sz w:val="24"/>
          <w:szCs w:val="24"/>
        </w:rPr>
        <w:t>监测方法：按照《地表水和污水监测技术规范》（</w:t>
      </w:r>
      <w:r>
        <w:rPr>
          <w:rFonts w:ascii="Times New Roman" w:hAnsi="Times New Roman" w:eastAsia="Times New Roman" w:cs="Times New Roman"/>
          <w:spacing w:val="-1"/>
          <w:sz w:val="24"/>
          <w:szCs w:val="24"/>
        </w:rPr>
        <w:t>HJ/T91-2002</w:t>
      </w:r>
      <w:r>
        <w:rPr>
          <w:rFonts w:ascii="宋体" w:hAnsi="宋体" w:eastAsia="宋体" w:cs="宋体"/>
          <w:spacing w:val="-1"/>
          <w:sz w:val="24"/>
          <w:szCs w:val="24"/>
        </w:rPr>
        <w:t>）执行。</w:t>
      </w:r>
    </w:p>
    <w:p w14:paraId="52F214F4">
      <w:pPr>
        <w:spacing w:before="1" w:line="362" w:lineRule="auto"/>
        <w:ind w:left="520" w:right="5830" w:firstLine="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）补充监测结果</w:t>
      </w:r>
      <w:r>
        <w:rPr>
          <w:rFonts w:ascii="宋体" w:hAnsi="宋体" w:eastAsia="宋体" w:cs="宋体"/>
          <w:spacing w:val="-9"/>
          <w:sz w:val="24"/>
          <w:szCs w:val="24"/>
        </w:rPr>
        <w:t>监测结果如下：</w:t>
      </w:r>
    </w:p>
    <w:p w14:paraId="7EEF4AE7">
      <w:pPr>
        <w:spacing w:before="8" w:line="212" w:lineRule="auto"/>
        <w:ind w:left="2278"/>
        <w:rPr>
          <w:rFonts w:ascii="Times New Roman" w:hAnsi="Times New Roman" w:eastAsia="Times New Roman" w:cs="Times New Roman"/>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3.3-6  </w:t>
      </w:r>
      <w:r>
        <w:rPr>
          <w:rFonts w:ascii="黑体" w:hAnsi="黑体" w:eastAsia="黑体" w:cs="黑体"/>
          <w:spacing w:val="-1"/>
          <w:sz w:val="21"/>
          <w:szCs w:val="21"/>
        </w:rPr>
        <w:t>地表水补充监测结果 单位：</w:t>
      </w:r>
      <w:r>
        <w:rPr>
          <w:rFonts w:ascii="Times New Roman" w:hAnsi="Times New Roman" w:eastAsia="Times New Roman" w:cs="Times New Roman"/>
          <w:spacing w:val="-1"/>
          <w:sz w:val="21"/>
          <w:szCs w:val="21"/>
        </w:rPr>
        <w:t>mg/L</w:t>
      </w:r>
    </w:p>
    <w:p w14:paraId="41E52669">
      <w:pPr>
        <w:spacing w:line="9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13"/>
        <w:gridCol w:w="1038"/>
        <w:gridCol w:w="1040"/>
        <w:gridCol w:w="1040"/>
        <w:gridCol w:w="1040"/>
        <w:gridCol w:w="1039"/>
        <w:gridCol w:w="1047"/>
      </w:tblGrid>
      <w:tr w14:paraId="0D46C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963" w:type="dxa"/>
            <w:vAlign w:val="top"/>
          </w:tcPr>
          <w:p w14:paraId="1ACB8277">
            <w:pPr>
              <w:spacing w:before="211" w:line="221" w:lineRule="auto"/>
              <w:ind w:left="67"/>
              <w:rPr>
                <w:rFonts w:ascii="宋体" w:hAnsi="宋体" w:eastAsia="宋体" w:cs="宋体"/>
                <w:sz w:val="21"/>
                <w:szCs w:val="21"/>
              </w:rPr>
            </w:pPr>
            <w:r>
              <w:rPr>
                <w:rFonts w:ascii="宋体" w:hAnsi="宋体" w:eastAsia="宋体" w:cs="宋体"/>
                <w:spacing w:val="-2"/>
                <w:sz w:val="21"/>
                <w:szCs w:val="21"/>
              </w:rPr>
              <w:t>监测时间</w:t>
            </w:r>
          </w:p>
        </w:tc>
        <w:tc>
          <w:tcPr>
            <w:tcW w:w="1113" w:type="dxa"/>
            <w:vAlign w:val="top"/>
          </w:tcPr>
          <w:p w14:paraId="6CCEB82C">
            <w:pPr>
              <w:spacing w:before="211" w:line="220" w:lineRule="auto"/>
              <w:ind w:left="140"/>
              <w:rPr>
                <w:rFonts w:ascii="宋体" w:hAnsi="宋体" w:eastAsia="宋体" w:cs="宋体"/>
                <w:sz w:val="21"/>
                <w:szCs w:val="21"/>
              </w:rPr>
            </w:pPr>
            <w:r>
              <w:rPr>
                <w:rFonts w:ascii="宋体" w:hAnsi="宋体" w:eastAsia="宋体" w:cs="宋体"/>
                <w:spacing w:val="-2"/>
                <w:sz w:val="21"/>
                <w:szCs w:val="21"/>
              </w:rPr>
              <w:t>监测断面</w:t>
            </w:r>
          </w:p>
        </w:tc>
        <w:tc>
          <w:tcPr>
            <w:tcW w:w="1038" w:type="dxa"/>
            <w:vAlign w:val="top"/>
          </w:tcPr>
          <w:p w14:paraId="1D8879B0">
            <w:pPr>
              <w:pStyle w:val="6"/>
              <w:spacing w:before="211" w:line="212" w:lineRule="auto"/>
              <w:ind w:left="254"/>
              <w:rPr>
                <w:rFonts w:ascii="宋体" w:hAnsi="宋体" w:eastAsia="宋体" w:cs="宋体"/>
              </w:rPr>
            </w:pPr>
            <w:r>
              <w:t>pH</w:t>
            </w:r>
            <w:r>
              <w:rPr>
                <w:spacing w:val="8"/>
              </w:rPr>
              <w:t xml:space="preserve"> </w:t>
            </w:r>
            <w:r>
              <w:rPr>
                <w:rFonts w:ascii="宋体" w:hAnsi="宋体" w:eastAsia="宋体" w:cs="宋体"/>
              </w:rPr>
              <w:t>值</w:t>
            </w:r>
          </w:p>
        </w:tc>
        <w:tc>
          <w:tcPr>
            <w:tcW w:w="1040" w:type="dxa"/>
            <w:vAlign w:val="top"/>
          </w:tcPr>
          <w:p w14:paraId="1A88B702">
            <w:pPr>
              <w:spacing w:before="55" w:line="250" w:lineRule="auto"/>
              <w:ind w:left="220" w:right="98" w:hanging="112"/>
              <w:rPr>
                <w:rFonts w:ascii="宋体" w:hAnsi="宋体" w:eastAsia="宋体" w:cs="宋体"/>
                <w:sz w:val="21"/>
                <w:szCs w:val="21"/>
              </w:rPr>
            </w:pPr>
            <w:r>
              <w:rPr>
                <w:rFonts w:ascii="宋体" w:hAnsi="宋体" w:eastAsia="宋体" w:cs="宋体"/>
                <w:spacing w:val="-3"/>
                <w:sz w:val="21"/>
                <w:szCs w:val="21"/>
              </w:rPr>
              <w:t>五日生化</w:t>
            </w:r>
            <w:r>
              <w:rPr>
                <w:rFonts w:ascii="宋体" w:hAnsi="宋体" w:eastAsia="宋体" w:cs="宋体"/>
                <w:spacing w:val="-5"/>
                <w:sz w:val="21"/>
                <w:szCs w:val="21"/>
              </w:rPr>
              <w:t>需氧量</w:t>
            </w:r>
          </w:p>
        </w:tc>
        <w:tc>
          <w:tcPr>
            <w:tcW w:w="1040" w:type="dxa"/>
            <w:vAlign w:val="top"/>
          </w:tcPr>
          <w:p w14:paraId="74914BFF">
            <w:pPr>
              <w:spacing w:before="55" w:line="250" w:lineRule="auto"/>
              <w:ind w:left="420" w:right="97" w:hanging="314"/>
              <w:rPr>
                <w:rFonts w:ascii="宋体" w:hAnsi="宋体" w:eastAsia="宋体" w:cs="宋体"/>
                <w:sz w:val="21"/>
                <w:szCs w:val="21"/>
              </w:rPr>
            </w:pPr>
            <w:r>
              <w:rPr>
                <w:rFonts w:ascii="宋体" w:hAnsi="宋体" w:eastAsia="宋体" w:cs="宋体"/>
                <w:spacing w:val="-3"/>
                <w:sz w:val="21"/>
                <w:szCs w:val="21"/>
              </w:rPr>
              <w:t>化学需氧</w:t>
            </w:r>
            <w:r>
              <w:rPr>
                <w:rFonts w:ascii="宋体" w:hAnsi="宋体" w:eastAsia="宋体" w:cs="宋体"/>
                <w:sz w:val="21"/>
                <w:szCs w:val="21"/>
              </w:rPr>
              <w:t>量</w:t>
            </w:r>
          </w:p>
        </w:tc>
        <w:tc>
          <w:tcPr>
            <w:tcW w:w="1040" w:type="dxa"/>
            <w:vAlign w:val="top"/>
          </w:tcPr>
          <w:p w14:paraId="149BFF8D">
            <w:pPr>
              <w:spacing w:before="55" w:line="250" w:lineRule="auto"/>
              <w:ind w:left="419" w:right="97" w:hanging="312"/>
              <w:rPr>
                <w:rFonts w:ascii="宋体" w:hAnsi="宋体" w:eastAsia="宋体" w:cs="宋体"/>
                <w:sz w:val="21"/>
                <w:szCs w:val="21"/>
              </w:rPr>
            </w:pPr>
            <w:r>
              <w:rPr>
                <w:rFonts w:ascii="宋体" w:hAnsi="宋体" w:eastAsia="宋体" w:cs="宋体"/>
                <w:spacing w:val="-3"/>
                <w:sz w:val="21"/>
                <w:szCs w:val="21"/>
              </w:rPr>
              <w:t>粪大肠菌</w:t>
            </w:r>
            <w:r>
              <w:rPr>
                <w:rFonts w:ascii="宋体" w:hAnsi="宋体" w:eastAsia="宋体" w:cs="宋体"/>
                <w:sz w:val="21"/>
                <w:szCs w:val="21"/>
              </w:rPr>
              <w:t>群</w:t>
            </w:r>
          </w:p>
        </w:tc>
        <w:tc>
          <w:tcPr>
            <w:tcW w:w="1039" w:type="dxa"/>
            <w:vAlign w:val="top"/>
          </w:tcPr>
          <w:p w14:paraId="4D918056">
            <w:pPr>
              <w:spacing w:before="55" w:line="220" w:lineRule="auto"/>
              <w:ind w:left="322"/>
              <w:rPr>
                <w:rFonts w:ascii="宋体" w:hAnsi="宋体" w:eastAsia="宋体" w:cs="宋体"/>
                <w:sz w:val="21"/>
                <w:szCs w:val="21"/>
              </w:rPr>
            </w:pPr>
            <w:r>
              <w:rPr>
                <w:rFonts w:ascii="宋体" w:hAnsi="宋体" w:eastAsia="宋体" w:cs="宋体"/>
                <w:spacing w:val="-4"/>
                <w:sz w:val="21"/>
                <w:szCs w:val="21"/>
              </w:rPr>
              <w:t>总磷</w:t>
            </w:r>
          </w:p>
          <w:p w14:paraId="0F50C91C">
            <w:pPr>
              <w:pStyle w:val="6"/>
              <w:spacing w:before="62" w:line="221" w:lineRule="auto"/>
              <w:jc w:val="right"/>
              <w:rPr>
                <w:rFonts w:ascii="宋体" w:hAnsi="宋体" w:eastAsia="宋体" w:cs="宋体"/>
              </w:rPr>
            </w:pPr>
            <w:r>
              <w:rPr>
                <w:rFonts w:ascii="宋体" w:hAnsi="宋体" w:eastAsia="宋体" w:cs="宋体"/>
                <w:spacing w:val="-15"/>
              </w:rPr>
              <w:t>（以</w:t>
            </w:r>
            <w:r>
              <w:rPr>
                <w:rFonts w:ascii="宋体" w:hAnsi="宋体" w:eastAsia="宋体" w:cs="宋体"/>
                <w:spacing w:val="-31"/>
              </w:rPr>
              <w:t xml:space="preserve"> </w:t>
            </w:r>
            <w:r>
              <w:rPr>
                <w:spacing w:val="-15"/>
              </w:rPr>
              <w:t>P</w:t>
            </w:r>
            <w:r>
              <w:rPr>
                <w:spacing w:val="7"/>
              </w:rPr>
              <w:t xml:space="preserve"> </w:t>
            </w:r>
            <w:r>
              <w:rPr>
                <w:rFonts w:ascii="宋体" w:hAnsi="宋体" w:eastAsia="宋体" w:cs="宋体"/>
                <w:spacing w:val="-15"/>
              </w:rPr>
              <w:t>计）</w:t>
            </w:r>
          </w:p>
        </w:tc>
        <w:tc>
          <w:tcPr>
            <w:tcW w:w="1047" w:type="dxa"/>
            <w:vAlign w:val="top"/>
          </w:tcPr>
          <w:p w14:paraId="422915F7">
            <w:pPr>
              <w:spacing w:before="211" w:line="219" w:lineRule="auto"/>
              <w:ind w:left="318"/>
              <w:rPr>
                <w:rFonts w:ascii="宋体" w:hAnsi="宋体" w:eastAsia="宋体" w:cs="宋体"/>
                <w:sz w:val="21"/>
                <w:szCs w:val="21"/>
              </w:rPr>
            </w:pPr>
            <w:r>
              <w:rPr>
                <w:rFonts w:ascii="宋体" w:hAnsi="宋体" w:eastAsia="宋体" w:cs="宋体"/>
                <w:spacing w:val="-3"/>
                <w:sz w:val="21"/>
                <w:szCs w:val="21"/>
              </w:rPr>
              <w:t>氨氮</w:t>
            </w:r>
          </w:p>
        </w:tc>
      </w:tr>
      <w:tr w14:paraId="2EFCA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restart"/>
            <w:tcBorders>
              <w:bottom w:val="nil"/>
            </w:tcBorders>
            <w:vAlign w:val="top"/>
          </w:tcPr>
          <w:p w14:paraId="44F81E32">
            <w:pPr>
              <w:spacing w:line="268" w:lineRule="auto"/>
              <w:rPr>
                <w:rFonts w:ascii="Arial"/>
                <w:sz w:val="21"/>
              </w:rPr>
            </w:pPr>
          </w:p>
          <w:p w14:paraId="4A6FD9ED">
            <w:pPr>
              <w:spacing w:line="268" w:lineRule="auto"/>
              <w:rPr>
                <w:rFonts w:ascii="Arial"/>
                <w:sz w:val="21"/>
              </w:rPr>
            </w:pPr>
          </w:p>
          <w:p w14:paraId="741F6214">
            <w:pPr>
              <w:pStyle w:val="6"/>
              <w:spacing w:before="68" w:line="220" w:lineRule="auto"/>
              <w:ind w:left="142"/>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470089A6">
            <w:pPr>
              <w:pStyle w:val="6"/>
              <w:spacing w:before="61" w:line="220" w:lineRule="auto"/>
              <w:jc w:val="right"/>
              <w:rPr>
                <w:rFonts w:ascii="宋体" w:hAnsi="宋体" w:eastAsia="宋体" w:cs="宋体"/>
              </w:rPr>
            </w:pPr>
            <w:r>
              <w:rPr>
                <w:spacing w:val="-15"/>
              </w:rPr>
              <w:t>12</w:t>
            </w:r>
            <w:r>
              <w:rPr>
                <w:spacing w:val="18"/>
              </w:rPr>
              <w:t xml:space="preserve"> </w:t>
            </w:r>
            <w:r>
              <w:rPr>
                <w:rFonts w:ascii="宋体" w:hAnsi="宋体" w:eastAsia="宋体" w:cs="宋体"/>
                <w:spacing w:val="-15"/>
              </w:rPr>
              <w:t>月</w:t>
            </w:r>
            <w:r>
              <w:rPr>
                <w:rFonts w:ascii="宋体" w:hAnsi="宋体" w:eastAsia="宋体" w:cs="宋体"/>
                <w:spacing w:val="-43"/>
              </w:rPr>
              <w:t xml:space="preserve"> </w:t>
            </w:r>
            <w:r>
              <w:rPr>
                <w:spacing w:val="-15"/>
              </w:rPr>
              <w:t xml:space="preserve">5  </w:t>
            </w:r>
            <w:r>
              <w:rPr>
                <w:rFonts w:ascii="宋体" w:hAnsi="宋体" w:eastAsia="宋体" w:cs="宋体"/>
                <w:spacing w:val="-15"/>
              </w:rPr>
              <w:t>日</w:t>
            </w:r>
          </w:p>
        </w:tc>
        <w:tc>
          <w:tcPr>
            <w:tcW w:w="1113" w:type="dxa"/>
            <w:vAlign w:val="top"/>
          </w:tcPr>
          <w:p w14:paraId="5B36FE5F">
            <w:pPr>
              <w:pStyle w:val="6"/>
              <w:spacing w:before="101" w:line="188" w:lineRule="auto"/>
              <w:ind w:left="471"/>
            </w:pPr>
            <w:r>
              <w:rPr>
                <w:spacing w:val="-7"/>
              </w:rPr>
              <w:t>1#</w:t>
            </w:r>
          </w:p>
        </w:tc>
        <w:tc>
          <w:tcPr>
            <w:tcW w:w="1038" w:type="dxa"/>
            <w:vAlign w:val="top"/>
          </w:tcPr>
          <w:p w14:paraId="27849BFD">
            <w:pPr>
              <w:pStyle w:val="6"/>
              <w:spacing w:before="101" w:line="188" w:lineRule="auto"/>
              <w:ind w:left="339"/>
            </w:pPr>
            <w:r>
              <w:rPr>
                <w:spacing w:val="-2"/>
              </w:rPr>
              <w:t>7.81</w:t>
            </w:r>
          </w:p>
        </w:tc>
        <w:tc>
          <w:tcPr>
            <w:tcW w:w="1040" w:type="dxa"/>
            <w:vAlign w:val="top"/>
          </w:tcPr>
          <w:p w14:paraId="3740F7B6">
            <w:pPr>
              <w:pStyle w:val="6"/>
              <w:spacing w:before="101" w:line="188" w:lineRule="auto"/>
              <w:ind w:left="388"/>
            </w:pPr>
            <w:r>
              <w:rPr>
                <w:spacing w:val="-1"/>
              </w:rPr>
              <w:t>4.1</w:t>
            </w:r>
          </w:p>
        </w:tc>
        <w:tc>
          <w:tcPr>
            <w:tcW w:w="1040" w:type="dxa"/>
            <w:vAlign w:val="top"/>
          </w:tcPr>
          <w:p w14:paraId="7D1D59E7">
            <w:pPr>
              <w:pStyle w:val="6"/>
              <w:spacing w:before="101" w:line="188" w:lineRule="auto"/>
              <w:ind w:left="437"/>
            </w:pPr>
            <w:r>
              <w:rPr>
                <w:spacing w:val="-7"/>
              </w:rPr>
              <w:t>14</w:t>
            </w:r>
          </w:p>
        </w:tc>
        <w:tc>
          <w:tcPr>
            <w:tcW w:w="1040" w:type="dxa"/>
            <w:vAlign w:val="top"/>
          </w:tcPr>
          <w:p w14:paraId="1D3A425D">
            <w:pPr>
              <w:pStyle w:val="6"/>
              <w:spacing w:before="49" w:line="215" w:lineRule="auto"/>
              <w:ind w:left="210"/>
              <w:rPr>
                <w:sz w:val="14"/>
                <w:szCs w:val="14"/>
              </w:rPr>
            </w:pPr>
            <w:r>
              <w:rPr>
                <w:spacing w:val="-4"/>
              </w:rPr>
              <w:t>1.3×10</w:t>
            </w:r>
            <w:r>
              <w:rPr>
                <w:spacing w:val="-4"/>
                <w:position w:val="9"/>
                <w:sz w:val="14"/>
                <w:szCs w:val="14"/>
              </w:rPr>
              <w:t>2</w:t>
            </w:r>
          </w:p>
        </w:tc>
        <w:tc>
          <w:tcPr>
            <w:tcW w:w="1039" w:type="dxa"/>
            <w:vAlign w:val="top"/>
          </w:tcPr>
          <w:p w14:paraId="26CB05DC">
            <w:pPr>
              <w:pStyle w:val="6"/>
              <w:spacing w:before="101" w:line="188" w:lineRule="auto"/>
              <w:ind w:left="342"/>
            </w:pPr>
            <w:r>
              <w:rPr>
                <w:spacing w:val="-2"/>
              </w:rPr>
              <w:t>0.19</w:t>
            </w:r>
          </w:p>
        </w:tc>
        <w:tc>
          <w:tcPr>
            <w:tcW w:w="1047" w:type="dxa"/>
            <w:vAlign w:val="top"/>
          </w:tcPr>
          <w:p w14:paraId="1B28DB2A">
            <w:pPr>
              <w:pStyle w:val="6"/>
              <w:spacing w:before="101" w:line="188" w:lineRule="auto"/>
              <w:ind w:left="291"/>
            </w:pPr>
            <w:r>
              <w:rPr>
                <w:spacing w:val="-2"/>
              </w:rPr>
              <w:t>0.221</w:t>
            </w:r>
          </w:p>
        </w:tc>
      </w:tr>
      <w:tr w14:paraId="2B199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bottom w:val="nil"/>
            </w:tcBorders>
            <w:vAlign w:val="top"/>
          </w:tcPr>
          <w:p w14:paraId="64339B15">
            <w:pPr>
              <w:rPr>
                <w:rFonts w:ascii="Arial"/>
                <w:sz w:val="21"/>
              </w:rPr>
            </w:pPr>
          </w:p>
        </w:tc>
        <w:tc>
          <w:tcPr>
            <w:tcW w:w="1113" w:type="dxa"/>
            <w:vAlign w:val="top"/>
          </w:tcPr>
          <w:p w14:paraId="1BD7EB70">
            <w:pPr>
              <w:pStyle w:val="6"/>
              <w:spacing w:before="101" w:line="188" w:lineRule="auto"/>
              <w:ind w:left="451"/>
            </w:pPr>
            <w:r>
              <w:rPr>
                <w:spacing w:val="-2"/>
              </w:rPr>
              <w:t>2#</w:t>
            </w:r>
          </w:p>
        </w:tc>
        <w:tc>
          <w:tcPr>
            <w:tcW w:w="1038" w:type="dxa"/>
            <w:vAlign w:val="top"/>
          </w:tcPr>
          <w:p w14:paraId="08F27482">
            <w:pPr>
              <w:pStyle w:val="6"/>
              <w:spacing w:before="101" w:line="188" w:lineRule="auto"/>
              <w:ind w:left="339"/>
            </w:pPr>
            <w:r>
              <w:rPr>
                <w:spacing w:val="-3"/>
              </w:rPr>
              <w:t>7.68</w:t>
            </w:r>
          </w:p>
        </w:tc>
        <w:tc>
          <w:tcPr>
            <w:tcW w:w="1040" w:type="dxa"/>
            <w:vAlign w:val="top"/>
          </w:tcPr>
          <w:p w14:paraId="082AB491">
            <w:pPr>
              <w:pStyle w:val="6"/>
              <w:spacing w:before="101" w:line="188" w:lineRule="auto"/>
              <w:ind w:left="394"/>
            </w:pPr>
            <w:r>
              <w:rPr>
                <w:spacing w:val="-4"/>
              </w:rPr>
              <w:t>5.4</w:t>
            </w:r>
          </w:p>
        </w:tc>
        <w:tc>
          <w:tcPr>
            <w:tcW w:w="1040" w:type="dxa"/>
            <w:vAlign w:val="top"/>
          </w:tcPr>
          <w:p w14:paraId="0635AA97">
            <w:pPr>
              <w:pStyle w:val="6"/>
              <w:spacing w:before="101" w:line="188" w:lineRule="auto"/>
              <w:ind w:left="436"/>
            </w:pPr>
            <w:r>
              <w:rPr>
                <w:spacing w:val="-12"/>
              </w:rPr>
              <w:t>19</w:t>
            </w:r>
          </w:p>
        </w:tc>
        <w:tc>
          <w:tcPr>
            <w:tcW w:w="1040" w:type="dxa"/>
            <w:vAlign w:val="top"/>
          </w:tcPr>
          <w:p w14:paraId="3D25538E">
            <w:pPr>
              <w:pStyle w:val="6"/>
              <w:spacing w:before="101" w:line="188" w:lineRule="auto"/>
              <w:ind w:left="424"/>
            </w:pPr>
            <w:r>
              <w:rPr>
                <w:spacing w:val="-7"/>
              </w:rPr>
              <w:t>80</w:t>
            </w:r>
          </w:p>
        </w:tc>
        <w:tc>
          <w:tcPr>
            <w:tcW w:w="1039" w:type="dxa"/>
            <w:vAlign w:val="top"/>
          </w:tcPr>
          <w:p w14:paraId="0A6163C0">
            <w:pPr>
              <w:pStyle w:val="6"/>
              <w:spacing w:before="101" w:line="188" w:lineRule="auto"/>
              <w:ind w:left="341"/>
            </w:pPr>
            <w:r>
              <w:rPr>
                <w:spacing w:val="-2"/>
              </w:rPr>
              <w:t>0.18</w:t>
            </w:r>
          </w:p>
        </w:tc>
        <w:tc>
          <w:tcPr>
            <w:tcW w:w="1047" w:type="dxa"/>
            <w:vAlign w:val="top"/>
          </w:tcPr>
          <w:p w14:paraId="1BCFA026">
            <w:pPr>
              <w:pStyle w:val="6"/>
              <w:spacing w:before="101" w:line="188" w:lineRule="auto"/>
              <w:ind w:left="291"/>
            </w:pPr>
            <w:r>
              <w:rPr>
                <w:spacing w:val="-2"/>
              </w:rPr>
              <w:t>0.155</w:t>
            </w:r>
          </w:p>
        </w:tc>
      </w:tr>
      <w:tr w14:paraId="090F0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bottom w:val="nil"/>
            </w:tcBorders>
            <w:vAlign w:val="top"/>
          </w:tcPr>
          <w:p w14:paraId="31835E20">
            <w:pPr>
              <w:rPr>
                <w:rFonts w:ascii="Arial"/>
                <w:sz w:val="21"/>
              </w:rPr>
            </w:pPr>
          </w:p>
        </w:tc>
        <w:tc>
          <w:tcPr>
            <w:tcW w:w="1113" w:type="dxa"/>
            <w:vAlign w:val="top"/>
          </w:tcPr>
          <w:p w14:paraId="2267CDE5">
            <w:pPr>
              <w:pStyle w:val="6"/>
              <w:spacing w:before="101" w:line="188" w:lineRule="auto"/>
              <w:ind w:left="455"/>
            </w:pPr>
            <w:r>
              <w:rPr>
                <w:spacing w:val="-5"/>
              </w:rPr>
              <w:t>3#</w:t>
            </w:r>
          </w:p>
        </w:tc>
        <w:tc>
          <w:tcPr>
            <w:tcW w:w="1038" w:type="dxa"/>
            <w:vAlign w:val="top"/>
          </w:tcPr>
          <w:p w14:paraId="6EC1BF6E">
            <w:pPr>
              <w:pStyle w:val="6"/>
              <w:spacing w:before="101" w:line="188" w:lineRule="auto"/>
              <w:ind w:left="339"/>
            </w:pPr>
            <w:r>
              <w:rPr>
                <w:spacing w:val="-2"/>
              </w:rPr>
              <w:t>7.83</w:t>
            </w:r>
          </w:p>
        </w:tc>
        <w:tc>
          <w:tcPr>
            <w:tcW w:w="1040" w:type="dxa"/>
            <w:vAlign w:val="top"/>
          </w:tcPr>
          <w:p w14:paraId="29FCBC9B">
            <w:pPr>
              <w:pStyle w:val="6"/>
              <w:spacing w:before="101" w:line="188" w:lineRule="auto"/>
              <w:ind w:left="393"/>
            </w:pPr>
            <w:r>
              <w:rPr>
                <w:spacing w:val="-3"/>
              </w:rPr>
              <w:t>3.8</w:t>
            </w:r>
          </w:p>
        </w:tc>
        <w:tc>
          <w:tcPr>
            <w:tcW w:w="1040" w:type="dxa"/>
            <w:vAlign w:val="top"/>
          </w:tcPr>
          <w:p w14:paraId="36E4D494">
            <w:pPr>
              <w:pStyle w:val="6"/>
              <w:spacing w:before="102" w:line="188" w:lineRule="auto"/>
              <w:ind w:left="441"/>
            </w:pPr>
            <w:r>
              <w:rPr>
                <w:spacing w:val="-13"/>
              </w:rPr>
              <w:t>11</w:t>
            </w:r>
          </w:p>
        </w:tc>
        <w:tc>
          <w:tcPr>
            <w:tcW w:w="1040" w:type="dxa"/>
            <w:vAlign w:val="top"/>
          </w:tcPr>
          <w:p w14:paraId="49B3B75E">
            <w:pPr>
              <w:pStyle w:val="6"/>
              <w:spacing w:before="50" w:line="215" w:lineRule="auto"/>
              <w:ind w:left="211"/>
              <w:rPr>
                <w:sz w:val="14"/>
                <w:szCs w:val="14"/>
              </w:rPr>
            </w:pPr>
            <w:r>
              <w:rPr>
                <w:spacing w:val="-4"/>
              </w:rPr>
              <w:t>1.3×10</w:t>
            </w:r>
            <w:r>
              <w:rPr>
                <w:spacing w:val="-4"/>
                <w:position w:val="9"/>
                <w:sz w:val="14"/>
                <w:szCs w:val="14"/>
              </w:rPr>
              <w:t>2</w:t>
            </w:r>
          </w:p>
        </w:tc>
        <w:tc>
          <w:tcPr>
            <w:tcW w:w="1039" w:type="dxa"/>
            <w:vAlign w:val="top"/>
          </w:tcPr>
          <w:p w14:paraId="10EA25AD">
            <w:pPr>
              <w:pStyle w:val="6"/>
              <w:spacing w:before="101" w:line="188" w:lineRule="auto"/>
              <w:ind w:left="342"/>
            </w:pPr>
            <w:r>
              <w:rPr>
                <w:spacing w:val="-2"/>
              </w:rPr>
              <w:t>0.19</w:t>
            </w:r>
          </w:p>
        </w:tc>
        <w:tc>
          <w:tcPr>
            <w:tcW w:w="1047" w:type="dxa"/>
            <w:vAlign w:val="top"/>
          </w:tcPr>
          <w:p w14:paraId="5D62CF3A">
            <w:pPr>
              <w:pStyle w:val="6"/>
              <w:spacing w:before="101" w:line="188" w:lineRule="auto"/>
              <w:ind w:left="291"/>
            </w:pPr>
            <w:r>
              <w:rPr>
                <w:spacing w:val="-2"/>
              </w:rPr>
              <w:t>0.209</w:t>
            </w:r>
          </w:p>
        </w:tc>
      </w:tr>
      <w:tr w14:paraId="23BF1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continue"/>
            <w:tcBorders>
              <w:top w:val="nil"/>
              <w:bottom w:val="nil"/>
            </w:tcBorders>
            <w:vAlign w:val="top"/>
          </w:tcPr>
          <w:p w14:paraId="76BE2067">
            <w:pPr>
              <w:rPr>
                <w:rFonts w:ascii="Arial"/>
                <w:sz w:val="21"/>
              </w:rPr>
            </w:pPr>
          </w:p>
        </w:tc>
        <w:tc>
          <w:tcPr>
            <w:tcW w:w="1113" w:type="dxa"/>
            <w:vAlign w:val="top"/>
          </w:tcPr>
          <w:p w14:paraId="151F4BFD">
            <w:pPr>
              <w:pStyle w:val="6"/>
              <w:spacing w:before="102" w:line="188" w:lineRule="auto"/>
              <w:ind w:left="450"/>
            </w:pPr>
            <w:r>
              <w:rPr>
                <w:spacing w:val="-2"/>
              </w:rPr>
              <w:t>4#</w:t>
            </w:r>
          </w:p>
        </w:tc>
        <w:tc>
          <w:tcPr>
            <w:tcW w:w="1038" w:type="dxa"/>
            <w:vAlign w:val="top"/>
          </w:tcPr>
          <w:p w14:paraId="7AA8DD8A">
            <w:pPr>
              <w:pStyle w:val="6"/>
              <w:spacing w:before="102" w:line="188" w:lineRule="auto"/>
              <w:ind w:left="339"/>
            </w:pPr>
            <w:r>
              <w:rPr>
                <w:spacing w:val="-3"/>
              </w:rPr>
              <w:t>7.88</w:t>
            </w:r>
          </w:p>
        </w:tc>
        <w:tc>
          <w:tcPr>
            <w:tcW w:w="1040" w:type="dxa"/>
            <w:vAlign w:val="top"/>
          </w:tcPr>
          <w:p w14:paraId="384DD6E7">
            <w:pPr>
              <w:pStyle w:val="6"/>
              <w:spacing w:before="102" w:line="188" w:lineRule="auto"/>
              <w:ind w:left="387"/>
            </w:pPr>
            <w:r>
              <w:rPr>
                <w:spacing w:val="-1"/>
              </w:rPr>
              <w:t>4.3</w:t>
            </w:r>
          </w:p>
        </w:tc>
        <w:tc>
          <w:tcPr>
            <w:tcW w:w="1040" w:type="dxa"/>
            <w:vAlign w:val="top"/>
          </w:tcPr>
          <w:p w14:paraId="1156499B">
            <w:pPr>
              <w:pStyle w:val="6"/>
              <w:spacing w:before="102" w:line="188" w:lineRule="auto"/>
              <w:ind w:left="436"/>
            </w:pPr>
            <w:r>
              <w:rPr>
                <w:spacing w:val="-12"/>
              </w:rPr>
              <w:t>16</w:t>
            </w:r>
          </w:p>
        </w:tc>
        <w:tc>
          <w:tcPr>
            <w:tcW w:w="1040" w:type="dxa"/>
            <w:vAlign w:val="top"/>
          </w:tcPr>
          <w:p w14:paraId="1B20E45C">
            <w:pPr>
              <w:pStyle w:val="6"/>
              <w:spacing w:before="102" w:line="188" w:lineRule="auto"/>
              <w:ind w:left="415"/>
            </w:pPr>
            <w:r>
              <w:rPr>
                <w:spacing w:val="-2"/>
              </w:rPr>
              <w:t>20</w:t>
            </w:r>
          </w:p>
        </w:tc>
        <w:tc>
          <w:tcPr>
            <w:tcW w:w="1039" w:type="dxa"/>
            <w:vAlign w:val="top"/>
          </w:tcPr>
          <w:p w14:paraId="191404BC">
            <w:pPr>
              <w:pStyle w:val="6"/>
              <w:spacing w:before="102" w:line="188" w:lineRule="auto"/>
              <w:ind w:left="341"/>
            </w:pPr>
            <w:r>
              <w:rPr>
                <w:spacing w:val="-2"/>
              </w:rPr>
              <w:t>0.19</w:t>
            </w:r>
          </w:p>
        </w:tc>
        <w:tc>
          <w:tcPr>
            <w:tcW w:w="1047" w:type="dxa"/>
            <w:vAlign w:val="top"/>
          </w:tcPr>
          <w:p w14:paraId="335D1DFD">
            <w:pPr>
              <w:pStyle w:val="6"/>
              <w:spacing w:before="102" w:line="188" w:lineRule="auto"/>
              <w:ind w:left="291"/>
            </w:pPr>
            <w:r>
              <w:rPr>
                <w:spacing w:val="-2"/>
              </w:rPr>
              <w:t>0.176</w:t>
            </w:r>
          </w:p>
        </w:tc>
      </w:tr>
      <w:tr w14:paraId="58D0A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tcBorders>
            <w:vAlign w:val="top"/>
          </w:tcPr>
          <w:p w14:paraId="3DF7ABF6">
            <w:pPr>
              <w:rPr>
                <w:rFonts w:ascii="Arial"/>
                <w:sz w:val="21"/>
              </w:rPr>
            </w:pPr>
          </w:p>
        </w:tc>
        <w:tc>
          <w:tcPr>
            <w:tcW w:w="1113" w:type="dxa"/>
            <w:vAlign w:val="top"/>
          </w:tcPr>
          <w:p w14:paraId="68CADF48">
            <w:pPr>
              <w:pStyle w:val="6"/>
              <w:spacing w:before="102" w:line="188" w:lineRule="auto"/>
              <w:ind w:left="456"/>
            </w:pPr>
            <w:r>
              <w:rPr>
                <w:spacing w:val="-5"/>
              </w:rPr>
              <w:t>5#</w:t>
            </w:r>
          </w:p>
        </w:tc>
        <w:tc>
          <w:tcPr>
            <w:tcW w:w="1038" w:type="dxa"/>
            <w:vAlign w:val="top"/>
          </w:tcPr>
          <w:p w14:paraId="084AD2B0">
            <w:pPr>
              <w:pStyle w:val="6"/>
              <w:spacing w:before="105" w:line="185" w:lineRule="auto"/>
              <w:ind w:left="339"/>
            </w:pPr>
            <w:r>
              <w:rPr>
                <w:spacing w:val="-3"/>
              </w:rPr>
              <w:t>7.75</w:t>
            </w:r>
          </w:p>
        </w:tc>
        <w:tc>
          <w:tcPr>
            <w:tcW w:w="1040" w:type="dxa"/>
            <w:vAlign w:val="top"/>
          </w:tcPr>
          <w:p w14:paraId="0333861F">
            <w:pPr>
              <w:pStyle w:val="6"/>
              <w:spacing w:before="102" w:line="188" w:lineRule="auto"/>
              <w:ind w:left="394"/>
            </w:pPr>
            <w:r>
              <w:rPr>
                <w:spacing w:val="-4"/>
              </w:rPr>
              <w:t>5.1</w:t>
            </w:r>
          </w:p>
        </w:tc>
        <w:tc>
          <w:tcPr>
            <w:tcW w:w="1040" w:type="dxa"/>
            <w:vAlign w:val="top"/>
          </w:tcPr>
          <w:p w14:paraId="16F60C31">
            <w:pPr>
              <w:pStyle w:val="6"/>
              <w:spacing w:before="102" w:line="188" w:lineRule="auto"/>
              <w:ind w:left="436"/>
            </w:pPr>
            <w:r>
              <w:rPr>
                <w:spacing w:val="-12"/>
              </w:rPr>
              <w:t>18</w:t>
            </w:r>
          </w:p>
        </w:tc>
        <w:tc>
          <w:tcPr>
            <w:tcW w:w="1040" w:type="dxa"/>
            <w:vAlign w:val="top"/>
          </w:tcPr>
          <w:p w14:paraId="027FA2B3">
            <w:pPr>
              <w:pStyle w:val="6"/>
              <w:spacing w:before="102" w:line="188" w:lineRule="auto"/>
              <w:ind w:left="421"/>
            </w:pPr>
            <w:r>
              <w:rPr>
                <w:spacing w:val="-5"/>
              </w:rPr>
              <w:t>50</w:t>
            </w:r>
          </w:p>
        </w:tc>
        <w:tc>
          <w:tcPr>
            <w:tcW w:w="1039" w:type="dxa"/>
            <w:vAlign w:val="top"/>
          </w:tcPr>
          <w:p w14:paraId="77471151">
            <w:pPr>
              <w:pStyle w:val="6"/>
              <w:spacing w:before="102" w:line="188" w:lineRule="auto"/>
              <w:ind w:left="341"/>
            </w:pPr>
            <w:r>
              <w:rPr>
                <w:spacing w:val="-2"/>
              </w:rPr>
              <w:t>0.18</w:t>
            </w:r>
          </w:p>
        </w:tc>
        <w:tc>
          <w:tcPr>
            <w:tcW w:w="1047" w:type="dxa"/>
            <w:vAlign w:val="top"/>
          </w:tcPr>
          <w:p w14:paraId="5AF63567">
            <w:pPr>
              <w:pStyle w:val="6"/>
              <w:spacing w:before="102" w:line="188" w:lineRule="auto"/>
              <w:ind w:left="291"/>
            </w:pPr>
            <w:r>
              <w:rPr>
                <w:spacing w:val="-2"/>
              </w:rPr>
              <w:t>0.137</w:t>
            </w:r>
          </w:p>
        </w:tc>
      </w:tr>
      <w:tr w14:paraId="5A030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restart"/>
            <w:tcBorders>
              <w:bottom w:val="nil"/>
            </w:tcBorders>
            <w:vAlign w:val="top"/>
          </w:tcPr>
          <w:p w14:paraId="3655A696">
            <w:pPr>
              <w:spacing w:line="268" w:lineRule="auto"/>
              <w:rPr>
                <w:rFonts w:ascii="Arial"/>
                <w:sz w:val="21"/>
              </w:rPr>
            </w:pPr>
          </w:p>
          <w:p w14:paraId="71D7C22A">
            <w:pPr>
              <w:spacing w:line="269" w:lineRule="auto"/>
              <w:rPr>
                <w:rFonts w:ascii="Arial"/>
                <w:sz w:val="21"/>
              </w:rPr>
            </w:pPr>
          </w:p>
          <w:p w14:paraId="7BFEABBC">
            <w:pPr>
              <w:pStyle w:val="6"/>
              <w:spacing w:before="69" w:line="220" w:lineRule="auto"/>
              <w:ind w:left="142"/>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664D13DB">
            <w:pPr>
              <w:pStyle w:val="6"/>
              <w:spacing w:before="61" w:line="220" w:lineRule="auto"/>
              <w:jc w:val="right"/>
              <w:rPr>
                <w:rFonts w:ascii="宋体" w:hAnsi="宋体" w:eastAsia="宋体" w:cs="宋体"/>
              </w:rPr>
            </w:pPr>
            <w:r>
              <w:rPr>
                <w:spacing w:val="-14"/>
              </w:rPr>
              <w:t>12</w:t>
            </w:r>
            <w:r>
              <w:rPr>
                <w:spacing w:val="12"/>
              </w:rPr>
              <w:t xml:space="preserve"> </w:t>
            </w:r>
            <w:r>
              <w:rPr>
                <w:rFonts w:ascii="宋体" w:hAnsi="宋体" w:eastAsia="宋体" w:cs="宋体"/>
                <w:spacing w:val="-14"/>
              </w:rPr>
              <w:t>月</w:t>
            </w:r>
            <w:r>
              <w:rPr>
                <w:rFonts w:ascii="宋体" w:hAnsi="宋体" w:eastAsia="宋体" w:cs="宋体"/>
                <w:spacing w:val="-44"/>
              </w:rPr>
              <w:t xml:space="preserve"> </w:t>
            </w:r>
            <w:r>
              <w:rPr>
                <w:spacing w:val="-14"/>
              </w:rPr>
              <w:t xml:space="preserve">6  </w:t>
            </w:r>
            <w:r>
              <w:rPr>
                <w:rFonts w:ascii="宋体" w:hAnsi="宋体" w:eastAsia="宋体" w:cs="宋体"/>
                <w:spacing w:val="-14"/>
              </w:rPr>
              <w:t>日</w:t>
            </w:r>
          </w:p>
        </w:tc>
        <w:tc>
          <w:tcPr>
            <w:tcW w:w="1113" w:type="dxa"/>
            <w:vAlign w:val="top"/>
          </w:tcPr>
          <w:p w14:paraId="4341C434">
            <w:pPr>
              <w:pStyle w:val="6"/>
              <w:spacing w:before="102" w:line="188" w:lineRule="auto"/>
              <w:ind w:left="471"/>
            </w:pPr>
            <w:r>
              <w:rPr>
                <w:spacing w:val="-7"/>
              </w:rPr>
              <w:t>1#</w:t>
            </w:r>
          </w:p>
        </w:tc>
        <w:tc>
          <w:tcPr>
            <w:tcW w:w="1038" w:type="dxa"/>
            <w:vAlign w:val="top"/>
          </w:tcPr>
          <w:p w14:paraId="1BA780BE">
            <w:pPr>
              <w:pStyle w:val="6"/>
              <w:spacing w:before="102" w:line="188" w:lineRule="auto"/>
              <w:ind w:left="339"/>
            </w:pPr>
            <w:r>
              <w:rPr>
                <w:spacing w:val="-2"/>
              </w:rPr>
              <w:t>7.65</w:t>
            </w:r>
          </w:p>
        </w:tc>
        <w:tc>
          <w:tcPr>
            <w:tcW w:w="1040" w:type="dxa"/>
            <w:vAlign w:val="top"/>
          </w:tcPr>
          <w:p w14:paraId="3C1596AC">
            <w:pPr>
              <w:pStyle w:val="6"/>
              <w:spacing w:before="102" w:line="188" w:lineRule="auto"/>
              <w:ind w:left="388"/>
            </w:pPr>
            <w:r>
              <w:rPr>
                <w:spacing w:val="-1"/>
              </w:rPr>
              <w:t>4.1</w:t>
            </w:r>
          </w:p>
        </w:tc>
        <w:tc>
          <w:tcPr>
            <w:tcW w:w="1040" w:type="dxa"/>
            <w:vAlign w:val="top"/>
          </w:tcPr>
          <w:p w14:paraId="6898A220">
            <w:pPr>
              <w:pStyle w:val="6"/>
              <w:spacing w:before="102" w:line="188" w:lineRule="auto"/>
              <w:ind w:left="437"/>
            </w:pPr>
            <w:r>
              <w:rPr>
                <w:spacing w:val="-7"/>
              </w:rPr>
              <w:t>13</w:t>
            </w:r>
          </w:p>
        </w:tc>
        <w:tc>
          <w:tcPr>
            <w:tcW w:w="1040" w:type="dxa"/>
            <w:vAlign w:val="top"/>
          </w:tcPr>
          <w:p w14:paraId="0563E98F">
            <w:pPr>
              <w:pStyle w:val="6"/>
              <w:spacing w:before="51" w:line="215" w:lineRule="auto"/>
              <w:ind w:left="209"/>
              <w:rPr>
                <w:sz w:val="14"/>
                <w:szCs w:val="14"/>
              </w:rPr>
            </w:pPr>
            <w:r>
              <w:rPr>
                <w:spacing w:val="-10"/>
              </w:rPr>
              <w:t>1.7</w:t>
            </w:r>
            <w:r>
              <w:rPr>
                <w:spacing w:val="-31"/>
              </w:rPr>
              <w:t xml:space="preserve"> </w:t>
            </w:r>
            <w:r>
              <w:rPr>
                <w:rFonts w:ascii="Arial" w:hAnsi="Arial" w:eastAsia="Arial" w:cs="Arial"/>
                <w:spacing w:val="-10"/>
              </w:rPr>
              <w:t>×</w:t>
            </w:r>
            <w:r>
              <w:rPr>
                <w:rFonts w:ascii="Arial" w:hAnsi="Arial" w:eastAsia="Arial" w:cs="Arial"/>
                <w:spacing w:val="-35"/>
              </w:rPr>
              <w:t xml:space="preserve"> </w:t>
            </w:r>
            <w:r>
              <w:rPr>
                <w:spacing w:val="-10"/>
              </w:rPr>
              <w:t>10</w:t>
            </w:r>
            <w:r>
              <w:rPr>
                <w:spacing w:val="-10"/>
                <w:position w:val="9"/>
                <w:sz w:val="14"/>
                <w:szCs w:val="14"/>
              </w:rPr>
              <w:t>2</w:t>
            </w:r>
          </w:p>
        </w:tc>
        <w:tc>
          <w:tcPr>
            <w:tcW w:w="1039" w:type="dxa"/>
            <w:vAlign w:val="top"/>
          </w:tcPr>
          <w:p w14:paraId="678489D6">
            <w:pPr>
              <w:pStyle w:val="6"/>
              <w:spacing w:before="102" w:line="188" w:lineRule="auto"/>
              <w:ind w:left="342"/>
            </w:pPr>
            <w:r>
              <w:rPr>
                <w:spacing w:val="-2"/>
              </w:rPr>
              <w:t>0.19</w:t>
            </w:r>
          </w:p>
        </w:tc>
        <w:tc>
          <w:tcPr>
            <w:tcW w:w="1047" w:type="dxa"/>
            <w:vAlign w:val="top"/>
          </w:tcPr>
          <w:p w14:paraId="5C7D02FD">
            <w:pPr>
              <w:pStyle w:val="6"/>
              <w:spacing w:before="102" w:line="188" w:lineRule="auto"/>
              <w:ind w:left="291"/>
            </w:pPr>
            <w:r>
              <w:rPr>
                <w:spacing w:val="-2"/>
              </w:rPr>
              <w:t>0.266</w:t>
            </w:r>
          </w:p>
        </w:tc>
      </w:tr>
      <w:tr w14:paraId="26C4D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continue"/>
            <w:tcBorders>
              <w:top w:val="nil"/>
              <w:bottom w:val="nil"/>
            </w:tcBorders>
            <w:vAlign w:val="top"/>
          </w:tcPr>
          <w:p w14:paraId="6E6D70EF">
            <w:pPr>
              <w:rPr>
                <w:rFonts w:ascii="Arial"/>
                <w:sz w:val="21"/>
              </w:rPr>
            </w:pPr>
          </w:p>
        </w:tc>
        <w:tc>
          <w:tcPr>
            <w:tcW w:w="1113" w:type="dxa"/>
            <w:vAlign w:val="top"/>
          </w:tcPr>
          <w:p w14:paraId="760D18A0">
            <w:pPr>
              <w:pStyle w:val="6"/>
              <w:spacing w:before="103" w:line="188" w:lineRule="auto"/>
              <w:ind w:left="451"/>
            </w:pPr>
            <w:r>
              <w:rPr>
                <w:spacing w:val="-1"/>
              </w:rPr>
              <w:t>2#</w:t>
            </w:r>
          </w:p>
        </w:tc>
        <w:tc>
          <w:tcPr>
            <w:tcW w:w="1038" w:type="dxa"/>
            <w:vAlign w:val="top"/>
          </w:tcPr>
          <w:p w14:paraId="71BAE7E6">
            <w:pPr>
              <w:pStyle w:val="6"/>
              <w:spacing w:before="100" w:line="195" w:lineRule="auto"/>
              <w:ind w:left="330"/>
            </w:pPr>
            <w:r>
              <w:rPr>
                <w:spacing w:val="2"/>
              </w:rPr>
              <w:t>7.69</w:t>
            </w:r>
          </w:p>
        </w:tc>
        <w:tc>
          <w:tcPr>
            <w:tcW w:w="1040" w:type="dxa"/>
            <w:vAlign w:val="top"/>
          </w:tcPr>
          <w:p w14:paraId="48961A87">
            <w:pPr>
              <w:pStyle w:val="6"/>
              <w:spacing w:before="100" w:line="195" w:lineRule="auto"/>
              <w:ind w:left="389"/>
            </w:pPr>
            <w:r>
              <w:t>5.4</w:t>
            </w:r>
          </w:p>
        </w:tc>
        <w:tc>
          <w:tcPr>
            <w:tcW w:w="1040" w:type="dxa"/>
            <w:vAlign w:val="top"/>
          </w:tcPr>
          <w:p w14:paraId="7417340C">
            <w:pPr>
              <w:pStyle w:val="6"/>
              <w:spacing w:before="100" w:line="195" w:lineRule="auto"/>
              <w:ind w:left="433"/>
            </w:pPr>
            <w:r>
              <w:rPr>
                <w:spacing w:val="-4"/>
              </w:rPr>
              <w:t>19</w:t>
            </w:r>
          </w:p>
        </w:tc>
        <w:tc>
          <w:tcPr>
            <w:tcW w:w="1040" w:type="dxa"/>
            <w:vAlign w:val="top"/>
          </w:tcPr>
          <w:p w14:paraId="5E56F5BC">
            <w:pPr>
              <w:pStyle w:val="6"/>
              <w:spacing w:before="55" w:line="215" w:lineRule="auto"/>
              <w:ind w:left="203"/>
              <w:rPr>
                <w:sz w:val="14"/>
                <w:szCs w:val="14"/>
              </w:rPr>
            </w:pPr>
            <w:r>
              <w:rPr>
                <w:spacing w:val="-8"/>
              </w:rPr>
              <w:t>1.4</w:t>
            </w:r>
            <w:r>
              <w:rPr>
                <w:spacing w:val="-35"/>
              </w:rPr>
              <w:t xml:space="preserve"> </w:t>
            </w:r>
            <w:r>
              <w:rPr>
                <w:rFonts w:ascii="Arial" w:hAnsi="Arial" w:eastAsia="Arial" w:cs="Arial"/>
                <w:spacing w:val="-8"/>
              </w:rPr>
              <w:t>×</w:t>
            </w:r>
            <w:r>
              <w:rPr>
                <w:rFonts w:ascii="Arial" w:hAnsi="Arial" w:eastAsia="Arial" w:cs="Arial"/>
                <w:spacing w:val="-34"/>
              </w:rPr>
              <w:t xml:space="preserve"> </w:t>
            </w:r>
            <w:r>
              <w:rPr>
                <w:spacing w:val="-8"/>
              </w:rPr>
              <w:t>10</w:t>
            </w:r>
            <w:r>
              <w:rPr>
                <w:spacing w:val="-8"/>
                <w:position w:val="9"/>
                <w:sz w:val="14"/>
                <w:szCs w:val="14"/>
              </w:rPr>
              <w:t>2</w:t>
            </w:r>
          </w:p>
        </w:tc>
        <w:tc>
          <w:tcPr>
            <w:tcW w:w="1039" w:type="dxa"/>
            <w:vAlign w:val="top"/>
          </w:tcPr>
          <w:p w14:paraId="43CA0BC3">
            <w:pPr>
              <w:pStyle w:val="6"/>
              <w:spacing w:before="100" w:line="195" w:lineRule="auto"/>
              <w:ind w:left="332"/>
            </w:pPr>
            <w:r>
              <w:rPr>
                <w:spacing w:val="2"/>
              </w:rPr>
              <w:t>0.19</w:t>
            </w:r>
          </w:p>
        </w:tc>
        <w:tc>
          <w:tcPr>
            <w:tcW w:w="1047" w:type="dxa"/>
            <w:vAlign w:val="top"/>
          </w:tcPr>
          <w:p w14:paraId="57622038">
            <w:pPr>
              <w:pStyle w:val="6"/>
              <w:spacing w:before="100" w:line="195" w:lineRule="auto"/>
              <w:ind w:left="281"/>
            </w:pPr>
            <w:r>
              <w:rPr>
                <w:spacing w:val="2"/>
              </w:rPr>
              <w:t>0.181</w:t>
            </w:r>
          </w:p>
        </w:tc>
      </w:tr>
      <w:tr w14:paraId="1C6F1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bottom w:val="nil"/>
            </w:tcBorders>
            <w:vAlign w:val="top"/>
          </w:tcPr>
          <w:p w14:paraId="007A2332">
            <w:pPr>
              <w:rPr>
                <w:rFonts w:ascii="Arial"/>
                <w:sz w:val="21"/>
              </w:rPr>
            </w:pPr>
          </w:p>
        </w:tc>
        <w:tc>
          <w:tcPr>
            <w:tcW w:w="1113" w:type="dxa"/>
            <w:vAlign w:val="top"/>
          </w:tcPr>
          <w:p w14:paraId="2C5FC9BE">
            <w:pPr>
              <w:pStyle w:val="6"/>
              <w:spacing w:before="103" w:line="188" w:lineRule="auto"/>
              <w:ind w:left="455"/>
            </w:pPr>
            <w:r>
              <w:rPr>
                <w:spacing w:val="-3"/>
              </w:rPr>
              <w:t>3#</w:t>
            </w:r>
          </w:p>
        </w:tc>
        <w:tc>
          <w:tcPr>
            <w:tcW w:w="1038" w:type="dxa"/>
            <w:vAlign w:val="top"/>
          </w:tcPr>
          <w:p w14:paraId="4C53F95C">
            <w:pPr>
              <w:pStyle w:val="6"/>
              <w:spacing w:before="100" w:line="195" w:lineRule="auto"/>
              <w:ind w:left="330"/>
            </w:pPr>
            <w:r>
              <w:rPr>
                <w:spacing w:val="2"/>
              </w:rPr>
              <w:t>7.93</w:t>
            </w:r>
          </w:p>
        </w:tc>
        <w:tc>
          <w:tcPr>
            <w:tcW w:w="1040" w:type="dxa"/>
            <w:vAlign w:val="top"/>
          </w:tcPr>
          <w:p w14:paraId="7F7C0BA5">
            <w:pPr>
              <w:pStyle w:val="6"/>
              <w:spacing w:before="100" w:line="195" w:lineRule="auto"/>
              <w:ind w:left="388"/>
            </w:pPr>
            <w:r>
              <w:rPr>
                <w:spacing w:val="1"/>
              </w:rPr>
              <w:t>3.8</w:t>
            </w:r>
          </w:p>
        </w:tc>
        <w:tc>
          <w:tcPr>
            <w:tcW w:w="1040" w:type="dxa"/>
            <w:vAlign w:val="top"/>
          </w:tcPr>
          <w:p w14:paraId="7A46B1FE">
            <w:pPr>
              <w:pStyle w:val="6"/>
              <w:spacing w:before="100" w:line="195" w:lineRule="auto"/>
              <w:ind w:left="433"/>
            </w:pPr>
            <w:r>
              <w:rPr>
                <w:spacing w:val="-4"/>
              </w:rPr>
              <w:t>12</w:t>
            </w:r>
          </w:p>
        </w:tc>
        <w:tc>
          <w:tcPr>
            <w:tcW w:w="1040" w:type="dxa"/>
            <w:vAlign w:val="top"/>
          </w:tcPr>
          <w:p w14:paraId="62984AD9">
            <w:pPr>
              <w:pStyle w:val="6"/>
              <w:spacing w:before="55" w:line="215" w:lineRule="auto"/>
              <w:ind w:left="182"/>
              <w:rPr>
                <w:sz w:val="14"/>
                <w:szCs w:val="14"/>
              </w:rPr>
            </w:pPr>
            <w:r>
              <w:rPr>
                <w:spacing w:val="-5"/>
              </w:rPr>
              <w:t>2.2</w:t>
            </w:r>
            <w:r>
              <w:rPr>
                <w:spacing w:val="-34"/>
              </w:rPr>
              <w:t xml:space="preserve"> </w:t>
            </w:r>
            <w:r>
              <w:rPr>
                <w:rFonts w:ascii="Arial" w:hAnsi="Arial" w:eastAsia="Arial" w:cs="Arial"/>
                <w:spacing w:val="-5"/>
              </w:rPr>
              <w:t>×</w:t>
            </w:r>
            <w:r>
              <w:rPr>
                <w:rFonts w:ascii="Arial" w:hAnsi="Arial" w:eastAsia="Arial" w:cs="Arial"/>
                <w:spacing w:val="-34"/>
              </w:rPr>
              <w:t xml:space="preserve"> </w:t>
            </w:r>
            <w:r>
              <w:rPr>
                <w:spacing w:val="-5"/>
              </w:rPr>
              <w:t>10</w:t>
            </w:r>
            <w:r>
              <w:rPr>
                <w:spacing w:val="-5"/>
                <w:position w:val="9"/>
                <w:sz w:val="14"/>
                <w:szCs w:val="14"/>
              </w:rPr>
              <w:t>2</w:t>
            </w:r>
          </w:p>
        </w:tc>
        <w:tc>
          <w:tcPr>
            <w:tcW w:w="1039" w:type="dxa"/>
            <w:vAlign w:val="top"/>
          </w:tcPr>
          <w:p w14:paraId="2BFEC761">
            <w:pPr>
              <w:pStyle w:val="6"/>
              <w:spacing w:before="100" w:line="195" w:lineRule="auto"/>
              <w:ind w:left="332"/>
            </w:pPr>
            <w:r>
              <w:rPr>
                <w:spacing w:val="2"/>
              </w:rPr>
              <w:t>0.18</w:t>
            </w:r>
          </w:p>
        </w:tc>
        <w:tc>
          <w:tcPr>
            <w:tcW w:w="1047" w:type="dxa"/>
            <w:vAlign w:val="top"/>
          </w:tcPr>
          <w:p w14:paraId="295FFE91">
            <w:pPr>
              <w:pStyle w:val="6"/>
              <w:spacing w:before="100" w:line="195" w:lineRule="auto"/>
              <w:ind w:left="281"/>
            </w:pPr>
            <w:r>
              <w:rPr>
                <w:spacing w:val="2"/>
              </w:rPr>
              <w:t>0.250</w:t>
            </w:r>
          </w:p>
        </w:tc>
      </w:tr>
      <w:tr w14:paraId="53A41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bottom w:val="nil"/>
            </w:tcBorders>
            <w:vAlign w:val="top"/>
          </w:tcPr>
          <w:p w14:paraId="27E43C60">
            <w:pPr>
              <w:rPr>
                <w:rFonts w:ascii="Arial"/>
                <w:sz w:val="21"/>
              </w:rPr>
            </w:pPr>
          </w:p>
        </w:tc>
        <w:tc>
          <w:tcPr>
            <w:tcW w:w="1113" w:type="dxa"/>
            <w:vAlign w:val="top"/>
          </w:tcPr>
          <w:p w14:paraId="522F9CC3">
            <w:pPr>
              <w:pStyle w:val="6"/>
              <w:spacing w:before="103" w:line="188" w:lineRule="auto"/>
              <w:ind w:left="450"/>
            </w:pPr>
            <w:r>
              <w:rPr>
                <w:spacing w:val="-2"/>
              </w:rPr>
              <w:t>4#</w:t>
            </w:r>
          </w:p>
        </w:tc>
        <w:tc>
          <w:tcPr>
            <w:tcW w:w="1038" w:type="dxa"/>
            <w:vAlign w:val="top"/>
          </w:tcPr>
          <w:p w14:paraId="0EF1CFC4">
            <w:pPr>
              <w:pStyle w:val="6"/>
              <w:spacing w:before="103" w:line="188" w:lineRule="auto"/>
              <w:ind w:left="339"/>
            </w:pPr>
            <w:r>
              <w:rPr>
                <w:spacing w:val="-3"/>
              </w:rPr>
              <w:t>7.73</w:t>
            </w:r>
          </w:p>
        </w:tc>
        <w:tc>
          <w:tcPr>
            <w:tcW w:w="1040" w:type="dxa"/>
            <w:vAlign w:val="top"/>
          </w:tcPr>
          <w:p w14:paraId="4780B6A3">
            <w:pPr>
              <w:pStyle w:val="6"/>
              <w:spacing w:before="103" w:line="188" w:lineRule="auto"/>
              <w:ind w:left="387"/>
            </w:pPr>
            <w:r>
              <w:rPr>
                <w:spacing w:val="-1"/>
              </w:rPr>
              <w:t>4.5</w:t>
            </w:r>
          </w:p>
        </w:tc>
        <w:tc>
          <w:tcPr>
            <w:tcW w:w="1040" w:type="dxa"/>
            <w:vAlign w:val="top"/>
          </w:tcPr>
          <w:p w14:paraId="3C47568C">
            <w:pPr>
              <w:pStyle w:val="6"/>
              <w:spacing w:before="103" w:line="188" w:lineRule="auto"/>
              <w:ind w:left="436"/>
            </w:pPr>
            <w:r>
              <w:rPr>
                <w:spacing w:val="-12"/>
              </w:rPr>
              <w:t>15</w:t>
            </w:r>
          </w:p>
        </w:tc>
        <w:tc>
          <w:tcPr>
            <w:tcW w:w="1040" w:type="dxa"/>
            <w:vAlign w:val="top"/>
          </w:tcPr>
          <w:p w14:paraId="0CC833A2">
            <w:pPr>
              <w:pStyle w:val="6"/>
              <w:spacing w:before="103" w:line="188" w:lineRule="auto"/>
              <w:ind w:left="420"/>
            </w:pPr>
            <w:r>
              <w:rPr>
                <w:spacing w:val="-5"/>
              </w:rPr>
              <w:t>60</w:t>
            </w:r>
          </w:p>
        </w:tc>
        <w:tc>
          <w:tcPr>
            <w:tcW w:w="1039" w:type="dxa"/>
            <w:vAlign w:val="top"/>
          </w:tcPr>
          <w:p w14:paraId="79BD0047">
            <w:pPr>
              <w:pStyle w:val="6"/>
              <w:spacing w:before="103" w:line="188" w:lineRule="auto"/>
              <w:ind w:left="341"/>
            </w:pPr>
            <w:r>
              <w:rPr>
                <w:spacing w:val="-2"/>
              </w:rPr>
              <w:t>0.19</w:t>
            </w:r>
          </w:p>
        </w:tc>
        <w:tc>
          <w:tcPr>
            <w:tcW w:w="1047" w:type="dxa"/>
            <w:vAlign w:val="top"/>
          </w:tcPr>
          <w:p w14:paraId="10699D95">
            <w:pPr>
              <w:pStyle w:val="6"/>
              <w:spacing w:before="103" w:line="188" w:lineRule="auto"/>
              <w:ind w:left="291"/>
            </w:pPr>
            <w:r>
              <w:rPr>
                <w:spacing w:val="-2"/>
              </w:rPr>
              <w:t>0.194</w:t>
            </w:r>
          </w:p>
        </w:tc>
      </w:tr>
      <w:tr w14:paraId="4C1F0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continue"/>
            <w:tcBorders>
              <w:top w:val="nil"/>
            </w:tcBorders>
            <w:vAlign w:val="top"/>
          </w:tcPr>
          <w:p w14:paraId="7B78F666">
            <w:pPr>
              <w:rPr>
                <w:rFonts w:ascii="Arial"/>
                <w:sz w:val="21"/>
              </w:rPr>
            </w:pPr>
          </w:p>
        </w:tc>
        <w:tc>
          <w:tcPr>
            <w:tcW w:w="1113" w:type="dxa"/>
            <w:vAlign w:val="top"/>
          </w:tcPr>
          <w:p w14:paraId="0DBEF323">
            <w:pPr>
              <w:pStyle w:val="6"/>
              <w:spacing w:before="104" w:line="188" w:lineRule="auto"/>
              <w:ind w:left="456"/>
            </w:pPr>
            <w:r>
              <w:rPr>
                <w:spacing w:val="-5"/>
              </w:rPr>
              <w:t>5#</w:t>
            </w:r>
          </w:p>
        </w:tc>
        <w:tc>
          <w:tcPr>
            <w:tcW w:w="1038" w:type="dxa"/>
            <w:vAlign w:val="top"/>
          </w:tcPr>
          <w:p w14:paraId="315ED644">
            <w:pPr>
              <w:pStyle w:val="6"/>
              <w:spacing w:before="104" w:line="188" w:lineRule="auto"/>
              <w:ind w:left="339"/>
            </w:pPr>
            <w:r>
              <w:rPr>
                <w:spacing w:val="-3"/>
              </w:rPr>
              <w:t>7.83</w:t>
            </w:r>
          </w:p>
        </w:tc>
        <w:tc>
          <w:tcPr>
            <w:tcW w:w="1040" w:type="dxa"/>
            <w:vAlign w:val="top"/>
          </w:tcPr>
          <w:p w14:paraId="074B538A">
            <w:pPr>
              <w:pStyle w:val="6"/>
              <w:spacing w:before="107" w:line="185" w:lineRule="auto"/>
              <w:ind w:left="394"/>
            </w:pPr>
            <w:r>
              <w:rPr>
                <w:spacing w:val="-4"/>
              </w:rPr>
              <w:t>5.5</w:t>
            </w:r>
          </w:p>
        </w:tc>
        <w:tc>
          <w:tcPr>
            <w:tcW w:w="1040" w:type="dxa"/>
            <w:vAlign w:val="top"/>
          </w:tcPr>
          <w:p w14:paraId="1060B0C9">
            <w:pPr>
              <w:pStyle w:val="6"/>
              <w:spacing w:before="104" w:line="188" w:lineRule="auto"/>
              <w:ind w:left="436"/>
            </w:pPr>
            <w:r>
              <w:rPr>
                <w:spacing w:val="-12"/>
              </w:rPr>
              <w:t>19</w:t>
            </w:r>
          </w:p>
        </w:tc>
        <w:tc>
          <w:tcPr>
            <w:tcW w:w="1040" w:type="dxa"/>
            <w:vAlign w:val="top"/>
          </w:tcPr>
          <w:p w14:paraId="07DA311A">
            <w:pPr>
              <w:pStyle w:val="6"/>
              <w:spacing w:before="104" w:line="188" w:lineRule="auto"/>
              <w:ind w:left="419"/>
            </w:pPr>
            <w:r>
              <w:rPr>
                <w:spacing w:val="-4"/>
              </w:rPr>
              <w:t>70</w:t>
            </w:r>
          </w:p>
        </w:tc>
        <w:tc>
          <w:tcPr>
            <w:tcW w:w="1039" w:type="dxa"/>
            <w:vAlign w:val="top"/>
          </w:tcPr>
          <w:p w14:paraId="4944DF81">
            <w:pPr>
              <w:pStyle w:val="6"/>
              <w:spacing w:before="104" w:line="188" w:lineRule="auto"/>
              <w:ind w:left="341"/>
            </w:pPr>
            <w:r>
              <w:rPr>
                <w:spacing w:val="-2"/>
              </w:rPr>
              <w:t>0.18</w:t>
            </w:r>
          </w:p>
        </w:tc>
        <w:tc>
          <w:tcPr>
            <w:tcW w:w="1047" w:type="dxa"/>
            <w:vAlign w:val="top"/>
          </w:tcPr>
          <w:p w14:paraId="41788AC9">
            <w:pPr>
              <w:pStyle w:val="6"/>
              <w:spacing w:before="104" w:line="188" w:lineRule="auto"/>
              <w:ind w:left="291"/>
            </w:pPr>
            <w:r>
              <w:rPr>
                <w:spacing w:val="-2"/>
              </w:rPr>
              <w:t>0.104</w:t>
            </w:r>
          </w:p>
        </w:tc>
      </w:tr>
      <w:tr w14:paraId="29856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restart"/>
            <w:tcBorders>
              <w:bottom w:val="nil"/>
            </w:tcBorders>
            <w:vAlign w:val="top"/>
          </w:tcPr>
          <w:p w14:paraId="08D6AA39">
            <w:pPr>
              <w:spacing w:line="270" w:lineRule="auto"/>
              <w:rPr>
                <w:rFonts w:ascii="Arial"/>
                <w:sz w:val="21"/>
              </w:rPr>
            </w:pPr>
          </w:p>
          <w:p w14:paraId="02E2B1FB">
            <w:pPr>
              <w:spacing w:line="270" w:lineRule="auto"/>
              <w:rPr>
                <w:rFonts w:ascii="Arial"/>
                <w:sz w:val="21"/>
              </w:rPr>
            </w:pPr>
          </w:p>
          <w:p w14:paraId="2526BB81">
            <w:pPr>
              <w:pStyle w:val="6"/>
              <w:spacing w:before="68" w:line="220" w:lineRule="auto"/>
              <w:ind w:left="142"/>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1D88D9EC">
            <w:pPr>
              <w:pStyle w:val="6"/>
              <w:spacing w:before="61" w:line="220" w:lineRule="auto"/>
              <w:jc w:val="right"/>
              <w:rPr>
                <w:rFonts w:ascii="宋体" w:hAnsi="宋体" w:eastAsia="宋体" w:cs="宋体"/>
              </w:rPr>
            </w:pPr>
            <w:r>
              <w:rPr>
                <w:spacing w:val="-14"/>
              </w:rPr>
              <w:t>12</w:t>
            </w:r>
            <w:r>
              <w:rPr>
                <w:spacing w:val="13"/>
              </w:rPr>
              <w:t xml:space="preserve"> </w:t>
            </w:r>
            <w:r>
              <w:rPr>
                <w:rFonts w:ascii="宋体" w:hAnsi="宋体" w:eastAsia="宋体" w:cs="宋体"/>
                <w:spacing w:val="-14"/>
              </w:rPr>
              <w:t>月</w:t>
            </w:r>
            <w:r>
              <w:rPr>
                <w:rFonts w:ascii="宋体" w:hAnsi="宋体" w:eastAsia="宋体" w:cs="宋体"/>
                <w:spacing w:val="-45"/>
              </w:rPr>
              <w:t xml:space="preserve"> </w:t>
            </w:r>
            <w:r>
              <w:rPr>
                <w:spacing w:val="-14"/>
              </w:rPr>
              <w:t xml:space="preserve">7  </w:t>
            </w:r>
            <w:r>
              <w:rPr>
                <w:rFonts w:ascii="宋体" w:hAnsi="宋体" w:eastAsia="宋体" w:cs="宋体"/>
                <w:spacing w:val="-14"/>
              </w:rPr>
              <w:t>日</w:t>
            </w:r>
          </w:p>
        </w:tc>
        <w:tc>
          <w:tcPr>
            <w:tcW w:w="1113" w:type="dxa"/>
            <w:vAlign w:val="top"/>
          </w:tcPr>
          <w:p w14:paraId="71A55930">
            <w:pPr>
              <w:pStyle w:val="6"/>
              <w:spacing w:before="104" w:line="188" w:lineRule="auto"/>
              <w:ind w:left="471"/>
            </w:pPr>
            <w:r>
              <w:rPr>
                <w:spacing w:val="-12"/>
              </w:rPr>
              <w:t>1#</w:t>
            </w:r>
          </w:p>
        </w:tc>
        <w:tc>
          <w:tcPr>
            <w:tcW w:w="1038" w:type="dxa"/>
            <w:vAlign w:val="top"/>
          </w:tcPr>
          <w:p w14:paraId="379336E9">
            <w:pPr>
              <w:pStyle w:val="6"/>
              <w:spacing w:before="104" w:line="188" w:lineRule="auto"/>
              <w:ind w:left="339"/>
            </w:pPr>
            <w:r>
              <w:rPr>
                <w:spacing w:val="-2"/>
              </w:rPr>
              <w:t>7.58</w:t>
            </w:r>
          </w:p>
        </w:tc>
        <w:tc>
          <w:tcPr>
            <w:tcW w:w="1040" w:type="dxa"/>
            <w:vAlign w:val="top"/>
          </w:tcPr>
          <w:p w14:paraId="07EEADDC">
            <w:pPr>
              <w:pStyle w:val="6"/>
              <w:spacing w:before="104" w:line="188" w:lineRule="auto"/>
              <w:ind w:left="393"/>
            </w:pPr>
            <w:r>
              <w:rPr>
                <w:spacing w:val="-3"/>
              </w:rPr>
              <w:t>3.7</w:t>
            </w:r>
          </w:p>
        </w:tc>
        <w:tc>
          <w:tcPr>
            <w:tcW w:w="1040" w:type="dxa"/>
            <w:vAlign w:val="top"/>
          </w:tcPr>
          <w:p w14:paraId="1F2013FC">
            <w:pPr>
              <w:pStyle w:val="6"/>
              <w:spacing w:before="104" w:line="188" w:lineRule="auto"/>
              <w:ind w:left="441"/>
            </w:pPr>
            <w:r>
              <w:rPr>
                <w:spacing w:val="-13"/>
              </w:rPr>
              <w:t>11</w:t>
            </w:r>
          </w:p>
        </w:tc>
        <w:tc>
          <w:tcPr>
            <w:tcW w:w="1040" w:type="dxa"/>
            <w:vAlign w:val="top"/>
          </w:tcPr>
          <w:p w14:paraId="2FA89F85">
            <w:pPr>
              <w:pStyle w:val="6"/>
              <w:spacing w:before="52" w:line="215" w:lineRule="auto"/>
              <w:ind w:left="210"/>
              <w:rPr>
                <w:sz w:val="14"/>
                <w:szCs w:val="14"/>
              </w:rPr>
            </w:pPr>
            <w:r>
              <w:rPr>
                <w:spacing w:val="-10"/>
              </w:rPr>
              <w:t>1.3</w:t>
            </w:r>
            <w:r>
              <w:rPr>
                <w:spacing w:val="-31"/>
              </w:rPr>
              <w:t xml:space="preserve"> </w:t>
            </w:r>
            <w:r>
              <w:rPr>
                <w:rFonts w:ascii="Arial" w:hAnsi="Arial" w:eastAsia="Arial" w:cs="Arial"/>
                <w:spacing w:val="-10"/>
              </w:rPr>
              <w:t>×</w:t>
            </w:r>
            <w:r>
              <w:rPr>
                <w:rFonts w:ascii="Arial" w:hAnsi="Arial" w:eastAsia="Arial" w:cs="Arial"/>
                <w:spacing w:val="-36"/>
              </w:rPr>
              <w:t xml:space="preserve"> </w:t>
            </w:r>
            <w:r>
              <w:rPr>
                <w:spacing w:val="-10"/>
              </w:rPr>
              <w:t>10</w:t>
            </w:r>
            <w:r>
              <w:rPr>
                <w:spacing w:val="-10"/>
                <w:position w:val="9"/>
                <w:sz w:val="14"/>
                <w:szCs w:val="14"/>
              </w:rPr>
              <w:t>2</w:t>
            </w:r>
          </w:p>
        </w:tc>
        <w:tc>
          <w:tcPr>
            <w:tcW w:w="1039" w:type="dxa"/>
            <w:vAlign w:val="top"/>
          </w:tcPr>
          <w:p w14:paraId="10F35CA1">
            <w:pPr>
              <w:pStyle w:val="6"/>
              <w:spacing w:before="104" w:line="188" w:lineRule="auto"/>
              <w:ind w:left="342"/>
            </w:pPr>
            <w:r>
              <w:rPr>
                <w:spacing w:val="-2"/>
              </w:rPr>
              <w:t>0.19</w:t>
            </w:r>
          </w:p>
        </w:tc>
        <w:tc>
          <w:tcPr>
            <w:tcW w:w="1047" w:type="dxa"/>
            <w:vAlign w:val="top"/>
          </w:tcPr>
          <w:p w14:paraId="2A3FE040">
            <w:pPr>
              <w:pStyle w:val="6"/>
              <w:spacing w:before="104" w:line="188" w:lineRule="auto"/>
              <w:ind w:left="291"/>
            </w:pPr>
            <w:r>
              <w:rPr>
                <w:spacing w:val="-2"/>
              </w:rPr>
              <w:t>0.204</w:t>
            </w:r>
          </w:p>
        </w:tc>
      </w:tr>
      <w:tr w14:paraId="7AC47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bottom w:val="nil"/>
            </w:tcBorders>
            <w:vAlign w:val="top"/>
          </w:tcPr>
          <w:p w14:paraId="5E77725E">
            <w:pPr>
              <w:rPr>
                <w:rFonts w:ascii="Arial"/>
                <w:sz w:val="21"/>
              </w:rPr>
            </w:pPr>
          </w:p>
        </w:tc>
        <w:tc>
          <w:tcPr>
            <w:tcW w:w="1113" w:type="dxa"/>
            <w:vAlign w:val="top"/>
          </w:tcPr>
          <w:p w14:paraId="655D2175">
            <w:pPr>
              <w:pStyle w:val="6"/>
              <w:spacing w:before="104" w:line="188" w:lineRule="auto"/>
              <w:ind w:left="451"/>
            </w:pPr>
            <w:r>
              <w:rPr>
                <w:spacing w:val="-1"/>
              </w:rPr>
              <w:t>2#</w:t>
            </w:r>
          </w:p>
        </w:tc>
        <w:tc>
          <w:tcPr>
            <w:tcW w:w="1038" w:type="dxa"/>
            <w:vAlign w:val="top"/>
          </w:tcPr>
          <w:p w14:paraId="74C25240">
            <w:pPr>
              <w:pStyle w:val="6"/>
              <w:spacing w:before="101" w:line="195" w:lineRule="auto"/>
              <w:ind w:left="330"/>
            </w:pPr>
            <w:r>
              <w:rPr>
                <w:spacing w:val="2"/>
              </w:rPr>
              <w:t>7.85</w:t>
            </w:r>
          </w:p>
        </w:tc>
        <w:tc>
          <w:tcPr>
            <w:tcW w:w="1040" w:type="dxa"/>
            <w:vAlign w:val="top"/>
          </w:tcPr>
          <w:p w14:paraId="75F2CCAC">
            <w:pPr>
              <w:pStyle w:val="6"/>
              <w:spacing w:before="101" w:line="195" w:lineRule="auto"/>
              <w:ind w:left="389"/>
            </w:pPr>
            <w:r>
              <w:t>5.2</w:t>
            </w:r>
          </w:p>
        </w:tc>
        <w:tc>
          <w:tcPr>
            <w:tcW w:w="1040" w:type="dxa"/>
            <w:vAlign w:val="top"/>
          </w:tcPr>
          <w:p w14:paraId="1324B8C4">
            <w:pPr>
              <w:pStyle w:val="6"/>
              <w:spacing w:before="101" w:line="195" w:lineRule="auto"/>
              <w:ind w:left="433"/>
            </w:pPr>
            <w:r>
              <w:rPr>
                <w:spacing w:val="-4"/>
              </w:rPr>
              <w:t>18</w:t>
            </w:r>
          </w:p>
        </w:tc>
        <w:tc>
          <w:tcPr>
            <w:tcW w:w="1040" w:type="dxa"/>
            <w:vAlign w:val="top"/>
          </w:tcPr>
          <w:p w14:paraId="1E6B7EFE">
            <w:pPr>
              <w:pStyle w:val="6"/>
              <w:spacing w:before="56" w:line="215" w:lineRule="auto"/>
              <w:ind w:left="203"/>
              <w:rPr>
                <w:sz w:val="14"/>
                <w:szCs w:val="14"/>
              </w:rPr>
            </w:pPr>
            <w:r>
              <w:rPr>
                <w:spacing w:val="-8"/>
              </w:rPr>
              <w:t>1.1</w:t>
            </w:r>
            <w:r>
              <w:rPr>
                <w:spacing w:val="-35"/>
              </w:rPr>
              <w:t xml:space="preserve"> </w:t>
            </w:r>
            <w:r>
              <w:rPr>
                <w:rFonts w:ascii="Arial" w:hAnsi="Arial" w:eastAsia="Arial" w:cs="Arial"/>
                <w:spacing w:val="-8"/>
              </w:rPr>
              <w:t>×</w:t>
            </w:r>
            <w:r>
              <w:rPr>
                <w:rFonts w:ascii="Arial" w:hAnsi="Arial" w:eastAsia="Arial" w:cs="Arial"/>
                <w:spacing w:val="-34"/>
              </w:rPr>
              <w:t xml:space="preserve"> </w:t>
            </w:r>
            <w:r>
              <w:rPr>
                <w:spacing w:val="-8"/>
              </w:rPr>
              <w:t>10</w:t>
            </w:r>
            <w:r>
              <w:rPr>
                <w:spacing w:val="-8"/>
                <w:position w:val="9"/>
                <w:sz w:val="14"/>
                <w:szCs w:val="14"/>
              </w:rPr>
              <w:t>2</w:t>
            </w:r>
          </w:p>
        </w:tc>
        <w:tc>
          <w:tcPr>
            <w:tcW w:w="1039" w:type="dxa"/>
            <w:vAlign w:val="top"/>
          </w:tcPr>
          <w:p w14:paraId="07F6F032">
            <w:pPr>
              <w:pStyle w:val="6"/>
              <w:spacing w:before="101" w:line="195" w:lineRule="auto"/>
              <w:ind w:left="332"/>
            </w:pPr>
            <w:r>
              <w:rPr>
                <w:spacing w:val="2"/>
              </w:rPr>
              <w:t>0.18</w:t>
            </w:r>
          </w:p>
        </w:tc>
        <w:tc>
          <w:tcPr>
            <w:tcW w:w="1047" w:type="dxa"/>
            <w:vAlign w:val="top"/>
          </w:tcPr>
          <w:p w14:paraId="337454D2">
            <w:pPr>
              <w:pStyle w:val="6"/>
              <w:spacing w:before="101" w:line="195" w:lineRule="auto"/>
              <w:ind w:left="281"/>
            </w:pPr>
            <w:r>
              <w:rPr>
                <w:spacing w:val="2"/>
              </w:rPr>
              <w:t>0.212</w:t>
            </w:r>
          </w:p>
        </w:tc>
      </w:tr>
      <w:tr w14:paraId="63D0F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3" w:type="dxa"/>
            <w:vMerge w:val="continue"/>
            <w:tcBorders>
              <w:top w:val="nil"/>
              <w:bottom w:val="nil"/>
            </w:tcBorders>
            <w:vAlign w:val="top"/>
          </w:tcPr>
          <w:p w14:paraId="69D25040">
            <w:pPr>
              <w:rPr>
                <w:rFonts w:ascii="Arial"/>
                <w:sz w:val="21"/>
              </w:rPr>
            </w:pPr>
          </w:p>
        </w:tc>
        <w:tc>
          <w:tcPr>
            <w:tcW w:w="1113" w:type="dxa"/>
            <w:vAlign w:val="top"/>
          </w:tcPr>
          <w:p w14:paraId="39E3625C">
            <w:pPr>
              <w:pStyle w:val="6"/>
              <w:spacing w:before="105" w:line="188" w:lineRule="auto"/>
              <w:ind w:left="455"/>
            </w:pPr>
            <w:r>
              <w:rPr>
                <w:spacing w:val="-3"/>
              </w:rPr>
              <w:t>3#</w:t>
            </w:r>
          </w:p>
        </w:tc>
        <w:tc>
          <w:tcPr>
            <w:tcW w:w="1038" w:type="dxa"/>
            <w:vAlign w:val="top"/>
          </w:tcPr>
          <w:p w14:paraId="7175235B">
            <w:pPr>
              <w:pStyle w:val="6"/>
              <w:spacing w:before="102" w:line="195" w:lineRule="auto"/>
              <w:ind w:left="335"/>
            </w:pPr>
            <w:r>
              <w:rPr>
                <w:spacing w:val="1"/>
              </w:rPr>
              <w:t>8.05</w:t>
            </w:r>
          </w:p>
        </w:tc>
        <w:tc>
          <w:tcPr>
            <w:tcW w:w="1040" w:type="dxa"/>
            <w:vAlign w:val="top"/>
          </w:tcPr>
          <w:p w14:paraId="6538D7DD">
            <w:pPr>
              <w:pStyle w:val="6"/>
              <w:spacing w:before="102" w:line="195" w:lineRule="auto"/>
              <w:ind w:left="388"/>
            </w:pPr>
            <w:r>
              <w:rPr>
                <w:spacing w:val="1"/>
              </w:rPr>
              <w:t>3.8</w:t>
            </w:r>
          </w:p>
        </w:tc>
        <w:tc>
          <w:tcPr>
            <w:tcW w:w="1040" w:type="dxa"/>
            <w:vAlign w:val="top"/>
          </w:tcPr>
          <w:p w14:paraId="4759CE92">
            <w:pPr>
              <w:pStyle w:val="6"/>
              <w:spacing w:before="102" w:line="195" w:lineRule="auto"/>
              <w:ind w:left="433"/>
            </w:pPr>
            <w:r>
              <w:rPr>
                <w:spacing w:val="-4"/>
              </w:rPr>
              <w:t>12</w:t>
            </w:r>
          </w:p>
        </w:tc>
        <w:tc>
          <w:tcPr>
            <w:tcW w:w="1040" w:type="dxa"/>
            <w:vAlign w:val="top"/>
          </w:tcPr>
          <w:p w14:paraId="71E64599">
            <w:pPr>
              <w:pStyle w:val="6"/>
              <w:spacing w:before="57" w:line="215" w:lineRule="auto"/>
              <w:ind w:left="182"/>
              <w:rPr>
                <w:sz w:val="14"/>
                <w:szCs w:val="14"/>
              </w:rPr>
            </w:pPr>
            <w:r>
              <w:rPr>
                <w:spacing w:val="-5"/>
              </w:rPr>
              <w:t>2.2</w:t>
            </w:r>
            <w:r>
              <w:rPr>
                <w:spacing w:val="-34"/>
              </w:rPr>
              <w:t xml:space="preserve"> </w:t>
            </w:r>
            <w:r>
              <w:rPr>
                <w:rFonts w:ascii="Arial" w:hAnsi="Arial" w:eastAsia="Arial" w:cs="Arial"/>
                <w:spacing w:val="-5"/>
              </w:rPr>
              <w:t>×</w:t>
            </w:r>
            <w:r>
              <w:rPr>
                <w:rFonts w:ascii="Arial" w:hAnsi="Arial" w:eastAsia="Arial" w:cs="Arial"/>
                <w:spacing w:val="-34"/>
              </w:rPr>
              <w:t xml:space="preserve"> </w:t>
            </w:r>
            <w:r>
              <w:rPr>
                <w:spacing w:val="-5"/>
              </w:rPr>
              <w:t>10</w:t>
            </w:r>
            <w:r>
              <w:rPr>
                <w:spacing w:val="-5"/>
                <w:position w:val="9"/>
                <w:sz w:val="14"/>
                <w:szCs w:val="14"/>
              </w:rPr>
              <w:t>2</w:t>
            </w:r>
          </w:p>
        </w:tc>
        <w:tc>
          <w:tcPr>
            <w:tcW w:w="1039" w:type="dxa"/>
            <w:vAlign w:val="top"/>
          </w:tcPr>
          <w:p w14:paraId="1BDA02FE">
            <w:pPr>
              <w:pStyle w:val="6"/>
              <w:spacing w:before="102" w:line="195" w:lineRule="auto"/>
              <w:ind w:left="332"/>
            </w:pPr>
            <w:r>
              <w:rPr>
                <w:spacing w:val="2"/>
              </w:rPr>
              <w:t>0.19</w:t>
            </w:r>
          </w:p>
        </w:tc>
        <w:tc>
          <w:tcPr>
            <w:tcW w:w="1047" w:type="dxa"/>
            <w:vAlign w:val="top"/>
          </w:tcPr>
          <w:p w14:paraId="76DAB56F">
            <w:pPr>
              <w:pStyle w:val="6"/>
              <w:spacing w:before="102" w:line="195" w:lineRule="auto"/>
              <w:ind w:left="281"/>
            </w:pPr>
            <w:r>
              <w:rPr>
                <w:spacing w:val="2"/>
              </w:rPr>
              <w:t>0.235</w:t>
            </w:r>
          </w:p>
        </w:tc>
      </w:tr>
      <w:tr w14:paraId="7CB87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bottom w:val="nil"/>
            </w:tcBorders>
            <w:vAlign w:val="top"/>
          </w:tcPr>
          <w:p w14:paraId="19E2B108">
            <w:pPr>
              <w:rPr>
                <w:rFonts w:ascii="Arial"/>
                <w:sz w:val="21"/>
              </w:rPr>
            </w:pPr>
          </w:p>
        </w:tc>
        <w:tc>
          <w:tcPr>
            <w:tcW w:w="1113" w:type="dxa"/>
            <w:vAlign w:val="top"/>
          </w:tcPr>
          <w:p w14:paraId="55AA9602">
            <w:pPr>
              <w:pStyle w:val="6"/>
              <w:spacing w:before="105" w:line="188" w:lineRule="auto"/>
              <w:ind w:left="450"/>
            </w:pPr>
            <w:r>
              <w:rPr>
                <w:spacing w:val="-2"/>
              </w:rPr>
              <w:t>4#</w:t>
            </w:r>
          </w:p>
        </w:tc>
        <w:tc>
          <w:tcPr>
            <w:tcW w:w="1038" w:type="dxa"/>
            <w:vAlign w:val="top"/>
          </w:tcPr>
          <w:p w14:paraId="65E04ED4">
            <w:pPr>
              <w:pStyle w:val="6"/>
              <w:spacing w:before="105" w:line="188" w:lineRule="auto"/>
              <w:ind w:left="339"/>
            </w:pPr>
            <w:r>
              <w:rPr>
                <w:spacing w:val="-3"/>
              </w:rPr>
              <w:t>7.89</w:t>
            </w:r>
          </w:p>
        </w:tc>
        <w:tc>
          <w:tcPr>
            <w:tcW w:w="1040" w:type="dxa"/>
            <w:vAlign w:val="top"/>
          </w:tcPr>
          <w:p w14:paraId="2F386518">
            <w:pPr>
              <w:pStyle w:val="6"/>
              <w:spacing w:before="105" w:line="188" w:lineRule="auto"/>
              <w:ind w:left="387"/>
            </w:pPr>
            <w:r>
              <w:rPr>
                <w:spacing w:val="-1"/>
              </w:rPr>
              <w:t>4.6</w:t>
            </w:r>
          </w:p>
        </w:tc>
        <w:tc>
          <w:tcPr>
            <w:tcW w:w="1040" w:type="dxa"/>
            <w:vAlign w:val="top"/>
          </w:tcPr>
          <w:p w14:paraId="734234A1">
            <w:pPr>
              <w:pStyle w:val="6"/>
              <w:spacing w:before="105" w:line="188" w:lineRule="auto"/>
              <w:ind w:left="436"/>
            </w:pPr>
            <w:r>
              <w:rPr>
                <w:spacing w:val="-12"/>
              </w:rPr>
              <w:t>15</w:t>
            </w:r>
          </w:p>
        </w:tc>
        <w:tc>
          <w:tcPr>
            <w:tcW w:w="1040" w:type="dxa"/>
            <w:vAlign w:val="top"/>
          </w:tcPr>
          <w:p w14:paraId="261AB8F3">
            <w:pPr>
              <w:pStyle w:val="6"/>
              <w:spacing w:before="105" w:line="188" w:lineRule="auto"/>
              <w:ind w:left="424"/>
            </w:pPr>
            <w:r>
              <w:rPr>
                <w:spacing w:val="-7"/>
              </w:rPr>
              <w:t>80</w:t>
            </w:r>
          </w:p>
        </w:tc>
        <w:tc>
          <w:tcPr>
            <w:tcW w:w="1039" w:type="dxa"/>
            <w:vAlign w:val="top"/>
          </w:tcPr>
          <w:p w14:paraId="7BA9A23D">
            <w:pPr>
              <w:pStyle w:val="6"/>
              <w:spacing w:before="105" w:line="188" w:lineRule="auto"/>
              <w:ind w:left="341"/>
            </w:pPr>
            <w:r>
              <w:rPr>
                <w:spacing w:val="-2"/>
              </w:rPr>
              <w:t>0.19</w:t>
            </w:r>
          </w:p>
        </w:tc>
        <w:tc>
          <w:tcPr>
            <w:tcW w:w="1047" w:type="dxa"/>
            <w:vAlign w:val="top"/>
          </w:tcPr>
          <w:p w14:paraId="5A733F9F">
            <w:pPr>
              <w:pStyle w:val="6"/>
              <w:spacing w:before="105" w:line="188" w:lineRule="auto"/>
              <w:ind w:left="291"/>
            </w:pPr>
            <w:r>
              <w:rPr>
                <w:spacing w:val="-2"/>
              </w:rPr>
              <w:t>0.163</w:t>
            </w:r>
          </w:p>
        </w:tc>
      </w:tr>
      <w:tr w14:paraId="38B47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3" w:type="dxa"/>
            <w:vMerge w:val="continue"/>
            <w:tcBorders>
              <w:top w:val="nil"/>
            </w:tcBorders>
            <w:vAlign w:val="top"/>
          </w:tcPr>
          <w:p w14:paraId="27FD47D6">
            <w:pPr>
              <w:rPr>
                <w:rFonts w:ascii="Arial"/>
                <w:sz w:val="21"/>
              </w:rPr>
            </w:pPr>
          </w:p>
        </w:tc>
        <w:tc>
          <w:tcPr>
            <w:tcW w:w="1113" w:type="dxa"/>
            <w:vAlign w:val="top"/>
          </w:tcPr>
          <w:p w14:paraId="7E2B2C67">
            <w:pPr>
              <w:pStyle w:val="6"/>
              <w:spacing w:before="105" w:line="188" w:lineRule="auto"/>
              <w:ind w:left="456"/>
            </w:pPr>
            <w:r>
              <w:rPr>
                <w:spacing w:val="-5"/>
              </w:rPr>
              <w:t>5#</w:t>
            </w:r>
          </w:p>
        </w:tc>
        <w:tc>
          <w:tcPr>
            <w:tcW w:w="1038" w:type="dxa"/>
            <w:vAlign w:val="top"/>
          </w:tcPr>
          <w:p w14:paraId="52A6362C">
            <w:pPr>
              <w:pStyle w:val="6"/>
              <w:spacing w:before="105" w:line="188" w:lineRule="auto"/>
              <w:ind w:left="345"/>
            </w:pPr>
            <w:r>
              <w:rPr>
                <w:spacing w:val="-4"/>
              </w:rPr>
              <w:t>8.02</w:t>
            </w:r>
          </w:p>
        </w:tc>
        <w:tc>
          <w:tcPr>
            <w:tcW w:w="1040" w:type="dxa"/>
            <w:vAlign w:val="top"/>
          </w:tcPr>
          <w:p w14:paraId="3A785212">
            <w:pPr>
              <w:pStyle w:val="6"/>
              <w:spacing w:before="105" w:line="188" w:lineRule="auto"/>
              <w:ind w:left="394"/>
            </w:pPr>
            <w:r>
              <w:rPr>
                <w:spacing w:val="-4"/>
              </w:rPr>
              <w:t>5.2</w:t>
            </w:r>
          </w:p>
        </w:tc>
        <w:tc>
          <w:tcPr>
            <w:tcW w:w="1040" w:type="dxa"/>
            <w:vAlign w:val="top"/>
          </w:tcPr>
          <w:p w14:paraId="726820D1">
            <w:pPr>
              <w:pStyle w:val="6"/>
              <w:spacing w:before="105" w:line="188" w:lineRule="auto"/>
              <w:ind w:left="436"/>
            </w:pPr>
            <w:r>
              <w:rPr>
                <w:spacing w:val="-12"/>
              </w:rPr>
              <w:t>19</w:t>
            </w:r>
          </w:p>
        </w:tc>
        <w:tc>
          <w:tcPr>
            <w:tcW w:w="1040" w:type="dxa"/>
            <w:vAlign w:val="top"/>
          </w:tcPr>
          <w:p w14:paraId="42DED236">
            <w:pPr>
              <w:pStyle w:val="6"/>
              <w:spacing w:before="105" w:line="188" w:lineRule="auto"/>
              <w:ind w:left="419"/>
            </w:pPr>
            <w:r>
              <w:rPr>
                <w:spacing w:val="-4"/>
              </w:rPr>
              <w:t>90</w:t>
            </w:r>
          </w:p>
        </w:tc>
        <w:tc>
          <w:tcPr>
            <w:tcW w:w="1039" w:type="dxa"/>
            <w:vAlign w:val="top"/>
          </w:tcPr>
          <w:p w14:paraId="63923B75">
            <w:pPr>
              <w:pStyle w:val="6"/>
              <w:spacing w:before="105" w:line="188" w:lineRule="auto"/>
              <w:ind w:left="341"/>
            </w:pPr>
            <w:r>
              <w:rPr>
                <w:spacing w:val="-2"/>
              </w:rPr>
              <w:t>0.18</w:t>
            </w:r>
          </w:p>
        </w:tc>
        <w:tc>
          <w:tcPr>
            <w:tcW w:w="1047" w:type="dxa"/>
            <w:vAlign w:val="top"/>
          </w:tcPr>
          <w:p w14:paraId="5803B1EF">
            <w:pPr>
              <w:pStyle w:val="6"/>
              <w:spacing w:before="105" w:line="188" w:lineRule="auto"/>
              <w:ind w:left="291"/>
            </w:pPr>
            <w:r>
              <w:rPr>
                <w:spacing w:val="-2"/>
              </w:rPr>
              <w:t>0.127</w:t>
            </w:r>
          </w:p>
        </w:tc>
      </w:tr>
      <w:tr w14:paraId="26456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076" w:type="dxa"/>
            <w:gridSpan w:val="2"/>
            <w:vAlign w:val="top"/>
          </w:tcPr>
          <w:p w14:paraId="3D7A4B1D">
            <w:pPr>
              <w:spacing w:before="69" w:line="220" w:lineRule="auto"/>
              <w:ind w:left="517"/>
              <w:rPr>
                <w:rFonts w:ascii="宋体" w:hAnsi="宋体" w:eastAsia="宋体" w:cs="宋体"/>
                <w:sz w:val="21"/>
                <w:szCs w:val="21"/>
              </w:rPr>
            </w:pPr>
            <w:r>
              <w:rPr>
                <w:rFonts w:ascii="宋体" w:hAnsi="宋体" w:eastAsia="宋体" w:cs="宋体"/>
                <w:spacing w:val="-2"/>
                <w:sz w:val="21"/>
                <w:szCs w:val="21"/>
              </w:rPr>
              <w:t>Ⅲ类标准值</w:t>
            </w:r>
          </w:p>
        </w:tc>
        <w:tc>
          <w:tcPr>
            <w:tcW w:w="1038" w:type="dxa"/>
            <w:vAlign w:val="top"/>
          </w:tcPr>
          <w:p w14:paraId="730D86A5">
            <w:pPr>
              <w:pStyle w:val="6"/>
              <w:spacing w:before="106" w:line="188" w:lineRule="auto"/>
              <w:ind w:left="362"/>
            </w:pPr>
            <w:r>
              <w:rPr>
                <w:spacing w:val="-3"/>
              </w:rPr>
              <w:t>6~9</w:t>
            </w:r>
          </w:p>
        </w:tc>
        <w:tc>
          <w:tcPr>
            <w:tcW w:w="1040" w:type="dxa"/>
            <w:vAlign w:val="top"/>
          </w:tcPr>
          <w:p w14:paraId="06CDF557">
            <w:pPr>
              <w:pStyle w:val="6"/>
              <w:spacing w:before="106" w:line="188" w:lineRule="auto"/>
              <w:ind w:left="409"/>
            </w:pPr>
            <w:r>
              <w:rPr>
                <w:spacing w:val="-2"/>
              </w:rPr>
              <w:t>≤4</w:t>
            </w:r>
          </w:p>
        </w:tc>
        <w:tc>
          <w:tcPr>
            <w:tcW w:w="1040" w:type="dxa"/>
            <w:vAlign w:val="top"/>
          </w:tcPr>
          <w:p w14:paraId="246CB1FF">
            <w:pPr>
              <w:pStyle w:val="6"/>
              <w:spacing w:before="106" w:line="188" w:lineRule="auto"/>
              <w:ind w:left="357"/>
            </w:pPr>
            <w:r>
              <w:rPr>
                <w:spacing w:val="-1"/>
              </w:rPr>
              <w:t>≤20</w:t>
            </w:r>
          </w:p>
        </w:tc>
        <w:tc>
          <w:tcPr>
            <w:tcW w:w="1040" w:type="dxa"/>
            <w:vAlign w:val="top"/>
          </w:tcPr>
          <w:p w14:paraId="5BBE9967">
            <w:pPr>
              <w:pStyle w:val="6"/>
              <w:spacing w:before="106" w:line="188" w:lineRule="auto"/>
              <w:ind w:left="200"/>
            </w:pPr>
            <w:r>
              <w:rPr>
                <w:spacing w:val="-1"/>
              </w:rPr>
              <w:t>≤10000</w:t>
            </w:r>
          </w:p>
        </w:tc>
        <w:tc>
          <w:tcPr>
            <w:tcW w:w="1039" w:type="dxa"/>
            <w:vAlign w:val="top"/>
          </w:tcPr>
          <w:p w14:paraId="7589EA6F">
            <w:pPr>
              <w:pStyle w:val="6"/>
              <w:spacing w:before="106" w:line="188" w:lineRule="auto"/>
              <w:ind w:left="331"/>
            </w:pPr>
            <w:r>
              <w:rPr>
                <w:spacing w:val="-1"/>
              </w:rPr>
              <w:t>≤0.2</w:t>
            </w:r>
          </w:p>
        </w:tc>
        <w:tc>
          <w:tcPr>
            <w:tcW w:w="1047" w:type="dxa"/>
            <w:vAlign w:val="top"/>
          </w:tcPr>
          <w:p w14:paraId="2B96B205">
            <w:pPr>
              <w:pStyle w:val="6"/>
              <w:spacing w:before="106" w:line="188" w:lineRule="auto"/>
              <w:ind w:left="335"/>
            </w:pPr>
            <w:r>
              <w:rPr>
                <w:spacing w:val="-1"/>
              </w:rPr>
              <w:t>≤1.0</w:t>
            </w:r>
          </w:p>
        </w:tc>
      </w:tr>
    </w:tbl>
    <w:p w14:paraId="29F4873E">
      <w:pPr>
        <w:pStyle w:val="2"/>
      </w:pPr>
    </w:p>
    <w:p w14:paraId="533B2FCE">
      <w:pPr>
        <w:sectPr>
          <w:headerReference r:id="rId265" w:type="default"/>
          <w:footerReference r:id="rId266" w:type="default"/>
          <w:pgSz w:w="11905" w:h="16840"/>
          <w:pgMar w:top="1168" w:right="1768" w:bottom="1408" w:left="1770" w:header="828" w:footer="1244" w:gutter="0"/>
          <w:cols w:space="720" w:num="1"/>
        </w:sectPr>
      </w:pPr>
    </w:p>
    <w:p w14:paraId="540E768F">
      <w:pPr>
        <w:pStyle w:val="2"/>
        <w:spacing w:line="306" w:lineRule="auto"/>
      </w:pPr>
    </w:p>
    <w:p w14:paraId="5AC7D6EB">
      <w:pPr>
        <w:spacing w:before="78"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）地表水环境质量现状评价</w:t>
      </w:r>
    </w:p>
    <w:p w14:paraId="130524CB">
      <w:pPr>
        <w:spacing w:before="184" w:line="218" w:lineRule="auto"/>
        <w:ind w:left="538"/>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）评价标准</w:t>
      </w:r>
    </w:p>
    <w:p w14:paraId="35CAE5AF">
      <w:pPr>
        <w:spacing w:before="183" w:line="220" w:lineRule="auto"/>
        <w:ind w:left="519"/>
        <w:rPr>
          <w:rFonts w:ascii="宋体" w:hAnsi="宋体" w:eastAsia="宋体" w:cs="宋体"/>
          <w:sz w:val="24"/>
          <w:szCs w:val="24"/>
        </w:rPr>
      </w:pPr>
      <w:r>
        <w:rPr>
          <w:rFonts w:ascii="宋体" w:hAnsi="宋体" w:eastAsia="宋体" w:cs="宋体"/>
          <w:spacing w:val="-1"/>
          <w:sz w:val="24"/>
          <w:szCs w:val="24"/>
        </w:rPr>
        <w:t>执行《地表水环境质量标准》（</w:t>
      </w:r>
      <w:r>
        <w:rPr>
          <w:rFonts w:ascii="Times New Roman" w:hAnsi="Times New Roman" w:eastAsia="Times New Roman" w:cs="Times New Roman"/>
          <w:spacing w:val="-1"/>
          <w:sz w:val="24"/>
          <w:szCs w:val="24"/>
        </w:rPr>
        <w:t>GB3838-2002</w:t>
      </w:r>
      <w:r>
        <w:rPr>
          <w:rFonts w:ascii="宋体" w:hAnsi="宋体" w:eastAsia="宋体" w:cs="宋体"/>
          <w:spacing w:val="-1"/>
          <w:sz w:val="24"/>
          <w:szCs w:val="24"/>
        </w:rPr>
        <w:t>）中</w:t>
      </w:r>
      <w:r>
        <w:rPr>
          <w:rFonts w:ascii="Times New Roman" w:hAnsi="Times New Roman" w:eastAsia="Times New Roman" w:cs="Times New Roman"/>
          <w:spacing w:val="-1"/>
          <w:sz w:val="24"/>
          <w:szCs w:val="24"/>
        </w:rPr>
        <w:t>Ⅲ</w:t>
      </w:r>
      <w:r>
        <w:rPr>
          <w:rFonts w:ascii="宋体" w:hAnsi="宋体" w:eastAsia="宋体" w:cs="宋体"/>
          <w:spacing w:val="-2"/>
          <w:sz w:val="24"/>
          <w:szCs w:val="24"/>
        </w:rPr>
        <w:t>类水域标准。</w:t>
      </w:r>
    </w:p>
    <w:p w14:paraId="6BF9833B">
      <w:pPr>
        <w:spacing w:before="182" w:line="218" w:lineRule="auto"/>
        <w:ind w:left="51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）评价方法</w:t>
      </w:r>
    </w:p>
    <w:p w14:paraId="38DEBC75">
      <w:pPr>
        <w:spacing w:before="185" w:line="360" w:lineRule="auto"/>
        <w:ind w:left="39" w:right="186" w:firstLine="479"/>
        <w:rPr>
          <w:rFonts w:ascii="宋体" w:hAnsi="宋体" w:eastAsia="宋体" w:cs="宋体"/>
          <w:sz w:val="24"/>
          <w:szCs w:val="24"/>
        </w:rPr>
      </w:pPr>
      <w:r>
        <w:rPr>
          <w:rFonts w:ascii="宋体" w:hAnsi="宋体" w:eastAsia="宋体" w:cs="宋体"/>
          <w:spacing w:val="-2"/>
          <w:sz w:val="24"/>
          <w:szCs w:val="24"/>
        </w:rPr>
        <w:t>采用单项指标指数法进行水质评价。利用监测断面</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项水质指标的监测浓度值</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2"/>
          <w:position w:val="-2"/>
          <w:sz w:val="15"/>
          <w:szCs w:val="15"/>
        </w:rPr>
        <w:t>i</w:t>
      </w:r>
      <w:r>
        <w:rPr>
          <w:rFonts w:ascii="Times New Roman" w:hAnsi="Times New Roman" w:eastAsia="Times New Roman" w:cs="Times New Roman"/>
          <w:spacing w:val="16"/>
          <w:w w:val="101"/>
          <w:position w:val="-2"/>
          <w:sz w:val="15"/>
          <w:szCs w:val="15"/>
        </w:rPr>
        <w:t xml:space="preserve"> </w:t>
      </w:r>
      <w:r>
        <w:rPr>
          <w:rFonts w:ascii="宋体" w:hAnsi="宋体" w:eastAsia="宋体" w:cs="宋体"/>
          <w:spacing w:val="-2"/>
          <w:sz w:val="24"/>
          <w:szCs w:val="24"/>
        </w:rPr>
        <w:t>与指定水体功能的水质标准浓度值</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
          <w:position w:val="-2"/>
          <w:sz w:val="15"/>
          <w:szCs w:val="15"/>
        </w:rPr>
        <w:t>i</w:t>
      </w:r>
      <w:r>
        <w:rPr>
          <w:rFonts w:ascii="Times New Roman" w:hAnsi="Times New Roman" w:eastAsia="Times New Roman" w:cs="Times New Roman"/>
          <w:spacing w:val="13"/>
          <w:position w:val="-2"/>
          <w:sz w:val="15"/>
          <w:szCs w:val="15"/>
        </w:rPr>
        <w:t xml:space="preserve"> </w:t>
      </w:r>
      <w:r>
        <w:rPr>
          <w:rFonts w:ascii="宋体" w:hAnsi="宋体" w:eastAsia="宋体" w:cs="宋体"/>
          <w:spacing w:val="-2"/>
          <w:sz w:val="24"/>
          <w:szCs w:val="24"/>
        </w:rPr>
        <w:t>相比，令比值</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2"/>
          <w:position w:val="-2"/>
          <w:sz w:val="15"/>
          <w:szCs w:val="15"/>
        </w:rPr>
        <w:t>i</w:t>
      </w:r>
      <w:r>
        <w:rPr>
          <w:rFonts w:ascii="Times New Roman" w:hAnsi="Times New Roman" w:eastAsia="Times New Roman" w:cs="Times New Roman"/>
          <w:spacing w:val="14"/>
          <w:w w:val="101"/>
          <w:position w:val="-2"/>
          <w:sz w:val="15"/>
          <w:szCs w:val="15"/>
        </w:rPr>
        <w:t xml:space="preserve"> </w:t>
      </w:r>
      <w:r>
        <w:rPr>
          <w:rFonts w:ascii="宋体" w:hAnsi="宋体" w:eastAsia="宋体" w:cs="宋体"/>
          <w:spacing w:val="-2"/>
          <w:sz w:val="24"/>
          <w:szCs w:val="24"/>
        </w:rPr>
        <w:t>为</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项指标的功能超</w:t>
      </w:r>
      <w:r>
        <w:rPr>
          <w:rFonts w:ascii="宋体" w:hAnsi="宋体" w:eastAsia="宋体" w:cs="宋体"/>
          <w:spacing w:val="-3"/>
          <w:sz w:val="24"/>
          <w:szCs w:val="24"/>
        </w:rPr>
        <w:t>标指数，由</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2"/>
          <w:sz w:val="15"/>
          <w:szCs w:val="15"/>
        </w:rPr>
        <w:t>i</w:t>
      </w:r>
      <w:r>
        <w:rPr>
          <w:rFonts w:ascii="Times New Roman" w:hAnsi="Times New Roman" w:eastAsia="Times New Roman" w:cs="Times New Roman"/>
          <w:spacing w:val="13"/>
          <w:position w:val="-2"/>
          <w:sz w:val="15"/>
          <w:szCs w:val="15"/>
        </w:rPr>
        <w:t xml:space="preserve"> </w:t>
      </w:r>
      <w:r>
        <w:rPr>
          <w:rFonts w:ascii="宋体" w:hAnsi="宋体" w:eastAsia="宋体" w:cs="宋体"/>
          <w:spacing w:val="-3"/>
          <w:sz w:val="24"/>
          <w:szCs w:val="24"/>
        </w:rPr>
        <w:t>来评价其是否满足指定功能标准。</w:t>
      </w:r>
    </w:p>
    <w:p w14:paraId="6D778A0F">
      <w:pPr>
        <w:spacing w:line="218" w:lineRule="auto"/>
        <w:ind w:left="522"/>
        <w:rPr>
          <w:rFonts w:ascii="宋体" w:hAnsi="宋体" w:eastAsia="宋体" w:cs="宋体"/>
          <w:sz w:val="24"/>
          <w:szCs w:val="24"/>
        </w:rPr>
      </w:pPr>
      <w:r>
        <w:rPr>
          <w:rFonts w:ascii="宋体" w:hAnsi="宋体" w:eastAsia="宋体" w:cs="宋体"/>
          <w:spacing w:val="-5"/>
          <w:sz w:val="24"/>
          <w:szCs w:val="24"/>
        </w:rPr>
        <w:t>水质单指标功能评价公式如下：</w:t>
      </w:r>
    </w:p>
    <w:p w14:paraId="1356EF41">
      <w:pPr>
        <w:spacing w:before="185" w:line="217" w:lineRule="auto"/>
        <w:ind w:left="518"/>
        <w:rPr>
          <w:rFonts w:ascii="宋体" w:hAnsi="宋体" w:eastAsia="宋体" w:cs="宋体"/>
          <w:sz w:val="24"/>
          <w:szCs w:val="24"/>
        </w:rPr>
      </w:pPr>
      <w:r>
        <w:rPr>
          <w:rFonts w:ascii="宋体" w:hAnsi="宋体" w:eastAsia="宋体" w:cs="宋体"/>
          <w:spacing w:val="-6"/>
          <w:sz w:val="24"/>
          <w:szCs w:val="24"/>
        </w:rPr>
        <w:t>①对于一般污染物：</w:t>
      </w:r>
    </w:p>
    <w:p w14:paraId="1552459E">
      <w:pPr>
        <w:spacing w:before="120" w:line="209" w:lineRule="auto"/>
        <w:ind w:left="3703"/>
        <w:rPr>
          <w:rFonts w:ascii="Times New Roman" w:hAnsi="Times New Roman" w:eastAsia="Times New Roman" w:cs="Times New Roman"/>
          <w:sz w:val="14"/>
          <w:szCs w:val="14"/>
        </w:rPr>
      </w:pPr>
      <w:r>
        <w:rPr>
          <w:rFonts w:ascii="Times New Roman" w:hAnsi="Times New Roman" w:eastAsia="Times New Roman" w:cs="Times New Roman"/>
          <w:i/>
          <w:iCs/>
          <w:position w:val="1"/>
          <w:sz w:val="21"/>
          <w:szCs w:val="21"/>
        </w:rPr>
        <w:t>S</w:t>
      </w:r>
      <w:r>
        <w:rPr>
          <w:rFonts w:ascii="Times New Roman" w:hAnsi="Times New Roman" w:eastAsia="Times New Roman" w:cs="Times New Roman"/>
          <w:position w:val="-1"/>
          <w:sz w:val="14"/>
          <w:szCs w:val="14"/>
        </w:rPr>
        <w:t>i</w:t>
      </w:r>
      <w:r>
        <w:rPr>
          <w:rFonts w:ascii="Times New Roman" w:hAnsi="Times New Roman" w:eastAsia="Times New Roman" w:cs="Times New Roman"/>
          <w:spacing w:val="2"/>
          <w:position w:val="-1"/>
          <w:sz w:val="14"/>
          <w:szCs w:val="14"/>
        </w:rPr>
        <w:t>,j</w:t>
      </w:r>
      <w:r>
        <w:rPr>
          <w:rFonts w:ascii="Times New Roman" w:hAnsi="Times New Roman" w:eastAsia="Times New Roman" w:cs="Times New Roman"/>
          <w:spacing w:val="2"/>
          <w:position w:val="1"/>
          <w:sz w:val="21"/>
          <w:szCs w:val="21"/>
        </w:rPr>
        <w:t>=</w:t>
      </w:r>
      <w:r>
        <w:rPr>
          <w:rFonts w:ascii="Times New Roman" w:hAnsi="Times New Roman" w:eastAsia="Times New Roman" w:cs="Times New Roman"/>
          <w:i/>
          <w:iCs/>
          <w:position w:val="1"/>
          <w:sz w:val="21"/>
          <w:szCs w:val="21"/>
        </w:rPr>
        <w:t>C</w:t>
      </w:r>
      <w:r>
        <w:rPr>
          <w:rFonts w:ascii="Times New Roman" w:hAnsi="Times New Roman" w:eastAsia="Times New Roman" w:cs="Times New Roman"/>
          <w:position w:val="-1"/>
          <w:sz w:val="14"/>
          <w:szCs w:val="14"/>
        </w:rPr>
        <w:t>i</w:t>
      </w:r>
      <w:r>
        <w:rPr>
          <w:rFonts w:ascii="Times New Roman" w:hAnsi="Times New Roman" w:eastAsia="Times New Roman" w:cs="Times New Roman"/>
          <w:spacing w:val="2"/>
          <w:position w:val="-1"/>
          <w:sz w:val="14"/>
          <w:szCs w:val="14"/>
        </w:rPr>
        <w:t>,j</w:t>
      </w:r>
      <w:r>
        <w:rPr>
          <w:rFonts w:ascii="Times New Roman" w:hAnsi="Times New Roman" w:eastAsia="Times New Roman" w:cs="Times New Roman"/>
          <w:spacing w:val="2"/>
          <w:position w:val="1"/>
          <w:sz w:val="21"/>
          <w:szCs w:val="21"/>
        </w:rPr>
        <w:t>/</w:t>
      </w:r>
      <w:r>
        <w:rPr>
          <w:rFonts w:ascii="Times New Roman" w:hAnsi="Times New Roman" w:eastAsia="Times New Roman" w:cs="Times New Roman"/>
          <w:spacing w:val="18"/>
          <w:position w:val="1"/>
          <w:sz w:val="21"/>
          <w:szCs w:val="21"/>
        </w:rPr>
        <w:t xml:space="preserve"> </w:t>
      </w:r>
      <w:r>
        <w:rPr>
          <w:rFonts w:ascii="Times New Roman" w:hAnsi="Times New Roman" w:eastAsia="Times New Roman" w:cs="Times New Roman"/>
          <w:i/>
          <w:iCs/>
          <w:position w:val="1"/>
          <w:sz w:val="21"/>
          <w:szCs w:val="21"/>
        </w:rPr>
        <w:t>C</w:t>
      </w:r>
      <w:r>
        <w:rPr>
          <w:rFonts w:ascii="Times New Roman" w:hAnsi="Times New Roman" w:eastAsia="Times New Roman" w:cs="Times New Roman"/>
          <w:position w:val="-1"/>
          <w:sz w:val="14"/>
          <w:szCs w:val="14"/>
        </w:rPr>
        <w:t>si</w:t>
      </w:r>
    </w:p>
    <w:p w14:paraId="4F18F977">
      <w:pPr>
        <w:spacing w:before="271" w:line="348" w:lineRule="auto"/>
        <w:ind w:left="1245" w:right="1337" w:hanging="721"/>
        <w:rPr>
          <w:rFonts w:ascii="Times New Roman" w:hAnsi="Times New Roman" w:eastAsia="Times New Roman" w:cs="Times New Roman"/>
          <w:sz w:val="24"/>
          <w:szCs w:val="24"/>
        </w:rPr>
      </w:pPr>
      <w:r>
        <w:rPr>
          <w:rFonts w:ascii="宋体" w:hAnsi="宋体" w:eastAsia="宋体" w:cs="宋体"/>
          <w:spacing w:val="-2"/>
          <w:sz w:val="24"/>
          <w:szCs w:val="24"/>
        </w:rPr>
        <w:t>式中：</w:t>
      </w:r>
      <w:r>
        <w:rPr>
          <w:rFonts w:ascii="Times New Roman" w:hAnsi="Times New Roman" w:eastAsia="Times New Roman" w:cs="Times New Roman"/>
          <w:i/>
          <w:iCs/>
          <w:spacing w:val="-2"/>
          <w:sz w:val="24"/>
          <w:szCs w:val="24"/>
        </w:rPr>
        <w:t>S</w:t>
      </w:r>
      <w:r>
        <w:rPr>
          <w:rFonts w:ascii="Times New Roman" w:hAnsi="Times New Roman" w:eastAsia="Times New Roman" w:cs="Times New Roman"/>
          <w:spacing w:val="-2"/>
          <w:position w:val="-2"/>
          <w:sz w:val="15"/>
          <w:szCs w:val="15"/>
        </w:rPr>
        <w:t>i,j</w:t>
      </w:r>
      <w:r>
        <w:rPr>
          <w:rFonts w:ascii="Times New Roman" w:hAnsi="Times New Roman" w:eastAsia="Times New Roman" w:cs="Times New Roman"/>
          <w:spacing w:val="-2"/>
          <w:sz w:val="24"/>
          <w:szCs w:val="24"/>
        </w:rPr>
        <w:t>—</w:t>
      </w:r>
      <w:r>
        <w:rPr>
          <w:rFonts w:ascii="宋体" w:hAnsi="宋体" w:eastAsia="宋体" w:cs="宋体"/>
          <w:spacing w:val="-2"/>
          <w:sz w:val="24"/>
          <w:szCs w:val="24"/>
        </w:rPr>
        <w:t>评价因子</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i</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的水质指数，大于</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表</w:t>
      </w:r>
      <w:r>
        <w:rPr>
          <w:rFonts w:ascii="宋体" w:hAnsi="宋体" w:eastAsia="宋体" w:cs="宋体"/>
          <w:spacing w:val="-3"/>
          <w:sz w:val="24"/>
          <w:szCs w:val="24"/>
        </w:rPr>
        <w:t>明该水质因子超标</w:t>
      </w:r>
      <w:r>
        <w:rPr>
          <w:rFonts w:ascii="Times New Roman" w:hAnsi="Times New Roman" w:eastAsia="Times New Roman" w:cs="Times New Roman"/>
          <w:i/>
          <w:iCs/>
          <w:sz w:val="24"/>
          <w:szCs w:val="24"/>
        </w:rPr>
        <w:t>C</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1"/>
          <w:position w:val="-2"/>
          <w:sz w:val="15"/>
          <w:szCs w:val="15"/>
        </w:rPr>
        <w:t>,j</w:t>
      </w:r>
      <w:r>
        <w:rPr>
          <w:rFonts w:ascii="Times New Roman" w:hAnsi="Times New Roman" w:eastAsia="Times New Roman" w:cs="Times New Roman"/>
          <w:spacing w:val="1"/>
          <w:sz w:val="24"/>
          <w:szCs w:val="24"/>
        </w:rPr>
        <w:t>—</w:t>
      </w:r>
      <w:r>
        <w:rPr>
          <w:rFonts w:ascii="宋体" w:hAnsi="宋体" w:eastAsia="宋体" w:cs="宋体"/>
          <w:spacing w:val="1"/>
          <w:sz w:val="24"/>
          <w:szCs w:val="24"/>
        </w:rPr>
        <w:t>评价因子</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在</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点的实测统计代表值，</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p>
    <w:p w14:paraId="7F5AF7AE">
      <w:pPr>
        <w:spacing w:before="28" w:line="212" w:lineRule="auto"/>
        <w:ind w:left="1246"/>
        <w:rPr>
          <w:rFonts w:ascii="Times New Roman" w:hAnsi="Times New Roman" w:eastAsia="Times New Roman" w:cs="Times New Roman"/>
          <w:sz w:val="24"/>
          <w:szCs w:val="24"/>
        </w:rPr>
      </w:pPr>
      <w:r>
        <w:rPr>
          <w:rFonts w:ascii="Times New Roman" w:hAnsi="Times New Roman" w:eastAsia="Times New Roman" w:cs="Times New Roman"/>
          <w:i/>
          <w:iCs/>
          <w:spacing w:val="-2"/>
          <w:sz w:val="24"/>
          <w:szCs w:val="24"/>
        </w:rPr>
        <w:t>C</w:t>
      </w:r>
      <w:r>
        <w:rPr>
          <w:rFonts w:ascii="Times New Roman" w:hAnsi="Times New Roman" w:eastAsia="Times New Roman" w:cs="Times New Roman"/>
          <w:spacing w:val="-2"/>
          <w:position w:val="-2"/>
          <w:sz w:val="15"/>
          <w:szCs w:val="15"/>
        </w:rPr>
        <w:t>si</w:t>
      </w:r>
      <w:r>
        <w:rPr>
          <w:rFonts w:ascii="Times New Roman" w:hAnsi="Times New Roman" w:eastAsia="Times New Roman" w:cs="Times New Roman"/>
          <w:spacing w:val="-2"/>
          <w:sz w:val="24"/>
          <w:szCs w:val="24"/>
        </w:rPr>
        <w:t>—</w:t>
      </w:r>
      <w:r>
        <w:rPr>
          <w:rFonts w:ascii="宋体" w:hAnsi="宋体" w:eastAsia="宋体" w:cs="宋体"/>
          <w:spacing w:val="-2"/>
          <w:sz w:val="24"/>
          <w:szCs w:val="24"/>
        </w:rPr>
        <w:t>评价因子</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i</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的水质评价标准限值，</w:t>
      </w:r>
      <w:r>
        <w:rPr>
          <w:rFonts w:ascii="Times New Roman" w:hAnsi="Times New Roman" w:eastAsia="Times New Roman" w:cs="Times New Roman"/>
          <w:spacing w:val="-2"/>
          <w:sz w:val="24"/>
          <w:szCs w:val="24"/>
        </w:rPr>
        <w:t>mg/L</w:t>
      </w:r>
    </w:p>
    <w:p w14:paraId="157E7008">
      <w:pPr>
        <w:spacing w:before="270" w:line="212" w:lineRule="auto"/>
        <w:ind w:left="517"/>
        <w:rPr>
          <w:rFonts w:ascii="宋体" w:hAnsi="宋体" w:eastAsia="宋体" w:cs="宋体"/>
          <w:sz w:val="24"/>
          <w:szCs w:val="24"/>
        </w:rPr>
      </w:pPr>
      <w:r>
        <w:rPr>
          <w:rFonts w:ascii="宋体" w:hAnsi="宋体" w:eastAsia="宋体" w:cs="宋体"/>
          <w:spacing w:val="-5"/>
          <w:sz w:val="24"/>
          <w:szCs w:val="24"/>
        </w:rPr>
        <w:t>②</w:t>
      </w:r>
      <w:r>
        <w:rPr>
          <w:rFonts w:ascii="Times New Roman" w:hAnsi="Times New Roman" w:eastAsia="Times New Roman" w:cs="Times New Roman"/>
          <w:spacing w:val="-5"/>
          <w:sz w:val="24"/>
          <w:szCs w:val="24"/>
        </w:rPr>
        <w:t xml:space="preserve">pH </w:t>
      </w:r>
      <w:r>
        <w:rPr>
          <w:rFonts w:ascii="宋体" w:hAnsi="宋体" w:eastAsia="宋体" w:cs="宋体"/>
          <w:spacing w:val="-5"/>
          <w:sz w:val="24"/>
          <w:szCs w:val="24"/>
        </w:rPr>
        <w:t>值的指数计算公式：</w:t>
      </w:r>
    </w:p>
    <w:p w14:paraId="590B1AAA">
      <w:pPr>
        <w:spacing w:before="107" w:line="519" w:lineRule="exact"/>
        <w:ind w:left="2604"/>
      </w:pPr>
      <w:r>
        <w:rPr>
          <w:position w:val="-10"/>
        </w:rPr>
        <w:drawing>
          <wp:inline distT="0" distB="0" distL="0" distR="0">
            <wp:extent cx="2005965" cy="32893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560"/>
                    <a:stretch>
                      <a:fillRect/>
                    </a:stretch>
                  </pic:blipFill>
                  <pic:spPr>
                    <a:xfrm>
                      <a:off x="0" y="0"/>
                      <a:ext cx="2006457" cy="329370"/>
                    </a:xfrm>
                    <a:prstGeom prst="rect">
                      <a:avLst/>
                    </a:prstGeom>
                  </pic:spPr>
                </pic:pic>
              </a:graphicData>
            </a:graphic>
          </wp:inline>
        </w:drawing>
      </w:r>
    </w:p>
    <w:p w14:paraId="2584EE30">
      <w:pPr>
        <w:pStyle w:val="2"/>
        <w:spacing w:line="356" w:lineRule="auto"/>
      </w:pPr>
    </w:p>
    <w:p w14:paraId="15876C78">
      <w:pPr>
        <w:spacing w:line="519" w:lineRule="exact"/>
        <w:ind w:left="2604"/>
      </w:pPr>
      <w:r>
        <w:rPr>
          <w:position w:val="-10"/>
        </w:rPr>
        <w:drawing>
          <wp:inline distT="0" distB="0" distL="0" distR="0">
            <wp:extent cx="2005965" cy="32893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561"/>
                    <a:stretch>
                      <a:fillRect/>
                    </a:stretch>
                  </pic:blipFill>
                  <pic:spPr>
                    <a:xfrm>
                      <a:off x="0" y="0"/>
                      <a:ext cx="2006446" cy="329364"/>
                    </a:xfrm>
                    <a:prstGeom prst="rect">
                      <a:avLst/>
                    </a:prstGeom>
                  </pic:spPr>
                </pic:pic>
              </a:graphicData>
            </a:graphic>
          </wp:inline>
        </w:drawing>
      </w:r>
    </w:p>
    <w:p w14:paraId="7216E4F2">
      <w:pPr>
        <w:pStyle w:val="2"/>
        <w:spacing w:line="429" w:lineRule="auto"/>
      </w:pPr>
    </w:p>
    <w:p w14:paraId="0AAB0548">
      <w:pPr>
        <w:spacing w:before="82" w:line="416" w:lineRule="auto"/>
        <w:ind w:left="1238" w:right="2137" w:hanging="714"/>
        <w:rPr>
          <w:rFonts w:ascii="宋体" w:hAnsi="宋体" w:eastAsia="宋体" w:cs="宋体"/>
          <w:sz w:val="24"/>
          <w:szCs w:val="24"/>
        </w:rPr>
      </w:pPr>
      <w:r>
        <w:rPr>
          <w:rFonts w:ascii="宋体" w:hAnsi="宋体" w:eastAsia="宋体" w:cs="宋体"/>
          <w:spacing w:val="-1"/>
          <w:sz w:val="24"/>
          <w:szCs w:val="24"/>
        </w:rPr>
        <w:t>式中：</w:t>
      </w:r>
      <w:r>
        <w:rPr>
          <w:rFonts w:ascii="Cambria" w:hAnsi="Cambria" w:eastAsia="Cambria" w:cs="Cambria"/>
          <w:spacing w:val="-1"/>
          <w:sz w:val="28"/>
          <w:szCs w:val="28"/>
        </w:rPr>
        <w:t>S</w:t>
      </w:r>
      <w:r>
        <w:rPr>
          <w:rFonts w:ascii="Cambria" w:hAnsi="Cambria" w:eastAsia="Cambria" w:cs="Cambria"/>
          <w:spacing w:val="-1"/>
          <w:position w:val="-4"/>
          <w:sz w:val="19"/>
          <w:szCs w:val="19"/>
        </w:rPr>
        <w:t>PH,j</w:t>
      </w: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值的指数，大于</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表明该水质因子超标</w:t>
      </w:r>
      <w:r>
        <w:rPr>
          <w:rFonts w:ascii="Cambria" w:hAnsi="Cambria" w:eastAsia="Cambria" w:cs="Cambria"/>
          <w:spacing w:val="-30"/>
          <w:sz w:val="28"/>
          <w:szCs w:val="28"/>
        </w:rPr>
        <w:t>pH</w:t>
      </w:r>
      <w:r>
        <w:rPr>
          <w:rFonts w:ascii="Cambria" w:hAnsi="Cambria" w:eastAsia="Cambria" w:cs="Cambria"/>
          <w:position w:val="-4"/>
          <w:sz w:val="19"/>
          <w:szCs w:val="19"/>
        </w:rPr>
        <w:t>j</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pH</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值实测统计代表值</w:t>
      </w:r>
    </w:p>
    <w:p w14:paraId="45134BA9">
      <w:pPr>
        <w:spacing w:before="1" w:line="190" w:lineRule="auto"/>
        <w:ind w:left="1238"/>
        <w:rPr>
          <w:rFonts w:ascii="宋体" w:hAnsi="宋体" w:eastAsia="宋体" w:cs="宋体"/>
          <w:sz w:val="24"/>
          <w:szCs w:val="24"/>
        </w:rPr>
      </w:pPr>
      <w:r>
        <w:rPr>
          <w:rFonts w:ascii="Cambria" w:hAnsi="Cambria" w:eastAsia="Cambria" w:cs="Cambria"/>
          <w:spacing w:val="-3"/>
          <w:sz w:val="28"/>
          <w:szCs w:val="28"/>
        </w:rPr>
        <w:t>pH</w:t>
      </w:r>
      <w:r>
        <w:rPr>
          <w:rFonts w:ascii="Cambria" w:hAnsi="Cambria" w:eastAsia="Cambria" w:cs="Cambria"/>
          <w:spacing w:val="-3"/>
          <w:position w:val="-4"/>
          <w:sz w:val="19"/>
          <w:szCs w:val="19"/>
        </w:rPr>
        <w:t>sd</w:t>
      </w:r>
      <w:r>
        <w:rPr>
          <w:rFonts w:ascii="Times New Roman" w:hAnsi="Times New Roman" w:eastAsia="Times New Roman" w:cs="Times New Roman"/>
          <w:spacing w:val="-3"/>
          <w:sz w:val="24"/>
          <w:szCs w:val="24"/>
        </w:rPr>
        <w:t>—</w:t>
      </w:r>
      <w:r>
        <w:rPr>
          <w:rFonts w:ascii="宋体" w:hAnsi="宋体" w:eastAsia="宋体" w:cs="宋体"/>
          <w:spacing w:val="-3"/>
          <w:sz w:val="24"/>
          <w:szCs w:val="24"/>
        </w:rPr>
        <w:t>评价标准中</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值的下限值</w:t>
      </w:r>
    </w:p>
    <w:p w14:paraId="52E42333">
      <w:pPr>
        <w:spacing w:before="187" w:line="191" w:lineRule="auto"/>
        <w:ind w:left="1238"/>
        <w:rPr>
          <w:rFonts w:ascii="宋体" w:hAnsi="宋体" w:eastAsia="宋体" w:cs="宋体"/>
          <w:sz w:val="24"/>
          <w:szCs w:val="24"/>
        </w:rPr>
      </w:pPr>
      <w:r>
        <w:rPr>
          <w:rFonts w:ascii="Cambria" w:hAnsi="Cambria" w:eastAsia="Cambria" w:cs="Cambria"/>
          <w:spacing w:val="-3"/>
          <w:sz w:val="28"/>
          <w:szCs w:val="28"/>
        </w:rPr>
        <w:t>pH</w:t>
      </w:r>
      <w:r>
        <w:rPr>
          <w:rFonts w:ascii="Cambria" w:hAnsi="Cambria" w:eastAsia="Cambria" w:cs="Cambria"/>
          <w:spacing w:val="-3"/>
          <w:position w:val="-4"/>
          <w:sz w:val="19"/>
          <w:szCs w:val="19"/>
        </w:rPr>
        <w:t>su</w:t>
      </w:r>
      <w:r>
        <w:rPr>
          <w:rFonts w:ascii="Times New Roman" w:hAnsi="Times New Roman" w:eastAsia="Times New Roman" w:cs="Times New Roman"/>
          <w:spacing w:val="-3"/>
          <w:sz w:val="24"/>
          <w:szCs w:val="24"/>
        </w:rPr>
        <w:t>—</w:t>
      </w:r>
      <w:r>
        <w:rPr>
          <w:rFonts w:ascii="宋体" w:hAnsi="宋体" w:eastAsia="宋体" w:cs="宋体"/>
          <w:spacing w:val="-3"/>
          <w:sz w:val="24"/>
          <w:szCs w:val="24"/>
        </w:rPr>
        <w:t>评价标准中</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值的上限值</w:t>
      </w:r>
    </w:p>
    <w:p w14:paraId="6274A0A0">
      <w:pPr>
        <w:spacing w:before="187" w:line="360" w:lineRule="auto"/>
        <w:ind w:left="45" w:firstLine="479"/>
        <w:jc w:val="both"/>
        <w:rPr>
          <w:rFonts w:ascii="宋体" w:hAnsi="宋体" w:eastAsia="宋体" w:cs="宋体"/>
          <w:sz w:val="24"/>
          <w:szCs w:val="24"/>
        </w:rPr>
      </w:pPr>
      <w:r>
        <w:rPr>
          <w:rFonts w:ascii="宋体" w:hAnsi="宋体" w:eastAsia="宋体" w:cs="宋体"/>
          <w:spacing w:val="-5"/>
          <w:sz w:val="24"/>
          <w:szCs w:val="24"/>
        </w:rPr>
        <w:t>式中水质参数的标准指数</w:t>
      </w:r>
      <w:r>
        <w:rPr>
          <w:rFonts w:ascii="Times New Roman" w:hAnsi="Times New Roman" w:eastAsia="Times New Roman" w:cs="Times New Roman"/>
          <w:spacing w:val="-5"/>
          <w:sz w:val="24"/>
          <w:szCs w:val="24"/>
        </w:rPr>
        <w:t>&gt;1</w:t>
      </w:r>
      <w:r>
        <w:rPr>
          <w:rFonts w:ascii="宋体" w:hAnsi="宋体" w:eastAsia="宋体" w:cs="宋体"/>
          <w:spacing w:val="-5"/>
          <w:sz w:val="24"/>
          <w:szCs w:val="24"/>
        </w:rPr>
        <w:t>，表明该项水质参数超过了规定的指数水质</w:t>
      </w:r>
      <w:r>
        <w:rPr>
          <w:rFonts w:ascii="宋体" w:hAnsi="宋体" w:eastAsia="宋体" w:cs="宋体"/>
          <w:spacing w:val="-6"/>
          <w:sz w:val="24"/>
          <w:szCs w:val="24"/>
        </w:rPr>
        <w:t>指标，</w:t>
      </w:r>
      <w:r>
        <w:rPr>
          <w:rFonts w:ascii="宋体" w:hAnsi="宋体" w:eastAsia="宋体" w:cs="宋体"/>
          <w:spacing w:val="-3"/>
          <w:sz w:val="24"/>
          <w:szCs w:val="24"/>
        </w:rPr>
        <w:t>已不能满足使用要求；水质参数的标准指数</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宋体" w:hAnsi="宋体" w:eastAsia="宋体" w:cs="宋体"/>
          <w:spacing w:val="-4"/>
          <w:sz w:val="24"/>
          <w:szCs w:val="24"/>
        </w:rPr>
        <w:t>表明该项水质参数到达或优于规</w:t>
      </w:r>
      <w:r>
        <w:rPr>
          <w:rFonts w:ascii="宋体" w:hAnsi="宋体" w:eastAsia="宋体" w:cs="宋体"/>
          <w:spacing w:val="-2"/>
          <w:sz w:val="24"/>
          <w:szCs w:val="24"/>
        </w:rPr>
        <w:t>定的水质，完全符合国家标准，可以满足使用</w:t>
      </w:r>
      <w:r>
        <w:rPr>
          <w:rFonts w:ascii="宋体" w:hAnsi="宋体" w:eastAsia="宋体" w:cs="宋体"/>
          <w:spacing w:val="-3"/>
          <w:sz w:val="24"/>
          <w:szCs w:val="24"/>
        </w:rPr>
        <w:t>要求。</w:t>
      </w:r>
    </w:p>
    <w:p w14:paraId="5FFA37B3">
      <w:pPr>
        <w:spacing w:line="218" w:lineRule="auto"/>
        <w:ind w:left="519"/>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）监测结果评价</w:t>
      </w:r>
    </w:p>
    <w:p w14:paraId="6BA1A6D2">
      <w:pPr>
        <w:spacing w:before="185" w:line="361" w:lineRule="auto"/>
        <w:ind w:left="40" w:right="186" w:firstLine="479"/>
        <w:rPr>
          <w:rFonts w:ascii="宋体" w:hAnsi="宋体" w:eastAsia="宋体" w:cs="宋体"/>
          <w:sz w:val="24"/>
          <w:szCs w:val="24"/>
        </w:rPr>
      </w:pPr>
      <w:r>
        <w:rPr>
          <w:rFonts w:ascii="宋体" w:hAnsi="宋体" w:eastAsia="宋体" w:cs="宋体"/>
          <w:spacing w:val="-3"/>
          <w:sz w:val="24"/>
          <w:szCs w:val="24"/>
        </w:rPr>
        <w:t>地表水补充监测标准指数情况见下表，根据评价结果可知，监测</w:t>
      </w:r>
      <w:r>
        <w:rPr>
          <w:rFonts w:ascii="宋体" w:hAnsi="宋体" w:eastAsia="宋体" w:cs="宋体"/>
          <w:spacing w:val="-4"/>
          <w:sz w:val="24"/>
          <w:szCs w:val="24"/>
        </w:rPr>
        <w:t>期间除了五</w:t>
      </w:r>
      <w:r>
        <w:rPr>
          <w:rFonts w:ascii="宋体" w:hAnsi="宋体" w:eastAsia="宋体" w:cs="宋体"/>
          <w:spacing w:val="-1"/>
          <w:sz w:val="24"/>
          <w:szCs w:val="24"/>
        </w:rPr>
        <w:t>桂溪能达到《地表水环境质量标准》（</w:t>
      </w:r>
      <w:r>
        <w:rPr>
          <w:rFonts w:ascii="Times New Roman" w:hAnsi="Times New Roman" w:eastAsia="Times New Roman" w:cs="Times New Roman"/>
          <w:spacing w:val="-1"/>
          <w:sz w:val="24"/>
          <w:szCs w:val="24"/>
        </w:rPr>
        <w:t>GB3838-2002</w:t>
      </w:r>
      <w:r>
        <w:rPr>
          <w:rFonts w:ascii="宋体" w:hAnsi="宋体" w:eastAsia="宋体" w:cs="宋体"/>
          <w:spacing w:val="-1"/>
          <w:sz w:val="24"/>
          <w:szCs w:val="24"/>
        </w:rPr>
        <w:t>）中</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类水域标准，其余监</w:t>
      </w:r>
      <w:r>
        <w:rPr>
          <w:rFonts w:ascii="宋体" w:hAnsi="宋体" w:eastAsia="宋体" w:cs="宋体"/>
          <w:spacing w:val="-2"/>
          <w:sz w:val="24"/>
          <w:szCs w:val="24"/>
        </w:rPr>
        <w:t>测断面存在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2"/>
          <w:sz w:val="15"/>
          <w:szCs w:val="15"/>
        </w:rPr>
        <w:t>5</w:t>
      </w:r>
      <w:r>
        <w:rPr>
          <w:rFonts w:ascii="Times New Roman" w:hAnsi="Times New Roman" w:eastAsia="Times New Roman" w:cs="Times New Roman"/>
          <w:spacing w:val="11"/>
          <w:w w:val="102"/>
          <w:position w:val="-2"/>
          <w:sz w:val="15"/>
          <w:szCs w:val="15"/>
        </w:rPr>
        <w:t xml:space="preserve"> </w:t>
      </w:r>
      <w:r>
        <w:rPr>
          <w:rFonts w:ascii="宋体" w:hAnsi="宋体" w:eastAsia="宋体" w:cs="宋体"/>
          <w:spacing w:val="-2"/>
          <w:sz w:val="24"/>
          <w:szCs w:val="24"/>
        </w:rPr>
        <w:t>超标现象，可能是受到农村生活源的污染影响所致。</w:t>
      </w:r>
    </w:p>
    <w:p w14:paraId="17B6BBCE">
      <w:pPr>
        <w:spacing w:line="361" w:lineRule="auto"/>
        <w:rPr>
          <w:rFonts w:ascii="宋体" w:hAnsi="宋体" w:eastAsia="宋体" w:cs="宋体"/>
          <w:sz w:val="24"/>
          <w:szCs w:val="24"/>
        </w:rPr>
        <w:sectPr>
          <w:headerReference r:id="rId267" w:type="default"/>
          <w:footerReference r:id="rId268" w:type="default"/>
          <w:pgSz w:w="11905" w:h="16840"/>
          <w:pgMar w:top="1168" w:right="1611" w:bottom="1409" w:left="1770" w:header="828" w:footer="1244" w:gutter="0"/>
          <w:cols w:space="720" w:num="1"/>
        </w:sectPr>
      </w:pPr>
    </w:p>
    <w:p w14:paraId="618C420E">
      <w:pPr>
        <w:pStyle w:val="2"/>
        <w:spacing w:line="329" w:lineRule="auto"/>
      </w:pPr>
    </w:p>
    <w:p w14:paraId="3C0EA080">
      <w:pPr>
        <w:spacing w:before="68" w:line="222" w:lineRule="auto"/>
        <w:ind w:left="308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3.3-7  </w:t>
      </w:r>
      <w:r>
        <w:rPr>
          <w:rFonts w:ascii="黑体" w:hAnsi="黑体" w:eastAsia="黑体" w:cs="黑体"/>
          <w:spacing w:val="-1"/>
          <w:sz w:val="21"/>
          <w:szCs w:val="21"/>
        </w:rPr>
        <w:t>监测结果评价表</w:t>
      </w:r>
    </w:p>
    <w:p w14:paraId="63625710">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280"/>
        <w:gridCol w:w="1006"/>
        <w:gridCol w:w="1005"/>
        <w:gridCol w:w="1005"/>
        <w:gridCol w:w="1088"/>
        <w:gridCol w:w="965"/>
        <w:gridCol w:w="970"/>
      </w:tblGrid>
      <w:tr w14:paraId="42354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01" w:type="dxa"/>
            <w:vAlign w:val="top"/>
          </w:tcPr>
          <w:p w14:paraId="5A4D453E">
            <w:pPr>
              <w:spacing w:before="68" w:line="220" w:lineRule="auto"/>
              <w:ind w:left="86"/>
              <w:rPr>
                <w:rFonts w:ascii="宋体" w:hAnsi="宋体" w:eastAsia="宋体" w:cs="宋体"/>
                <w:sz w:val="21"/>
                <w:szCs w:val="21"/>
              </w:rPr>
            </w:pPr>
            <w:r>
              <w:rPr>
                <w:rFonts w:ascii="宋体" w:hAnsi="宋体" w:eastAsia="宋体" w:cs="宋体"/>
                <w:spacing w:val="-2"/>
                <w:sz w:val="21"/>
                <w:szCs w:val="21"/>
              </w:rPr>
              <w:t>监测断面</w:t>
            </w:r>
          </w:p>
        </w:tc>
        <w:tc>
          <w:tcPr>
            <w:tcW w:w="1280" w:type="dxa"/>
            <w:vAlign w:val="top"/>
          </w:tcPr>
          <w:p w14:paraId="637A0F1C">
            <w:pPr>
              <w:spacing w:before="69" w:line="220" w:lineRule="auto"/>
              <w:ind w:left="437"/>
              <w:rPr>
                <w:rFonts w:ascii="宋体" w:hAnsi="宋体" w:eastAsia="宋体" w:cs="宋体"/>
                <w:sz w:val="21"/>
                <w:szCs w:val="21"/>
              </w:rPr>
            </w:pPr>
            <w:r>
              <w:rPr>
                <w:rFonts w:ascii="宋体" w:hAnsi="宋体" w:eastAsia="宋体" w:cs="宋体"/>
                <w:spacing w:val="-3"/>
                <w:sz w:val="21"/>
                <w:szCs w:val="21"/>
              </w:rPr>
              <w:t>项目</w:t>
            </w:r>
          </w:p>
        </w:tc>
        <w:tc>
          <w:tcPr>
            <w:tcW w:w="1006" w:type="dxa"/>
            <w:vAlign w:val="top"/>
          </w:tcPr>
          <w:p w14:paraId="72DA76E4">
            <w:pPr>
              <w:pStyle w:val="6"/>
              <w:spacing w:before="108" w:line="185" w:lineRule="auto"/>
              <w:ind w:left="370"/>
            </w:pPr>
            <w:r>
              <w:t>pH</w:t>
            </w:r>
          </w:p>
        </w:tc>
        <w:tc>
          <w:tcPr>
            <w:tcW w:w="1005" w:type="dxa"/>
            <w:vAlign w:val="top"/>
          </w:tcPr>
          <w:p w14:paraId="0A619D61">
            <w:pPr>
              <w:pStyle w:val="6"/>
              <w:spacing w:before="105" w:line="198" w:lineRule="auto"/>
              <w:ind w:left="246"/>
              <w:rPr>
                <w:sz w:val="14"/>
                <w:szCs w:val="14"/>
              </w:rPr>
            </w:pPr>
            <w:r>
              <w:rPr>
                <w:spacing w:val="-1"/>
              </w:rPr>
              <w:t>BOD</w:t>
            </w:r>
            <w:r>
              <w:rPr>
                <w:spacing w:val="-1"/>
                <w:position w:val="-2"/>
                <w:sz w:val="14"/>
                <w:szCs w:val="14"/>
              </w:rPr>
              <w:t>5</w:t>
            </w:r>
          </w:p>
        </w:tc>
        <w:tc>
          <w:tcPr>
            <w:tcW w:w="1005" w:type="dxa"/>
            <w:vAlign w:val="top"/>
          </w:tcPr>
          <w:p w14:paraId="686ECADB">
            <w:pPr>
              <w:pStyle w:val="6"/>
              <w:spacing w:before="105" w:line="188" w:lineRule="auto"/>
              <w:ind w:left="286"/>
            </w:pPr>
            <w:r>
              <w:rPr>
                <w:spacing w:val="-3"/>
              </w:rPr>
              <w:t>COD</w:t>
            </w:r>
          </w:p>
        </w:tc>
        <w:tc>
          <w:tcPr>
            <w:tcW w:w="1088" w:type="dxa"/>
            <w:vAlign w:val="top"/>
          </w:tcPr>
          <w:p w14:paraId="0659C8CB">
            <w:pPr>
              <w:spacing w:before="68" w:line="220" w:lineRule="auto"/>
              <w:ind w:left="26"/>
              <w:rPr>
                <w:rFonts w:ascii="宋体" w:hAnsi="宋体" w:eastAsia="宋体" w:cs="宋体"/>
                <w:sz w:val="21"/>
                <w:szCs w:val="21"/>
              </w:rPr>
            </w:pPr>
            <w:r>
              <w:rPr>
                <w:rFonts w:ascii="宋体" w:hAnsi="宋体" w:eastAsia="宋体" w:cs="宋体"/>
                <w:spacing w:val="-2"/>
                <w:sz w:val="21"/>
                <w:szCs w:val="21"/>
              </w:rPr>
              <w:t>粪大肠菌群</w:t>
            </w:r>
          </w:p>
        </w:tc>
        <w:tc>
          <w:tcPr>
            <w:tcW w:w="965" w:type="dxa"/>
            <w:vAlign w:val="top"/>
          </w:tcPr>
          <w:p w14:paraId="54348942">
            <w:pPr>
              <w:pStyle w:val="6"/>
              <w:spacing w:before="108" w:line="185" w:lineRule="auto"/>
              <w:ind w:left="365"/>
            </w:pPr>
            <w:r>
              <w:rPr>
                <w:spacing w:val="-2"/>
              </w:rPr>
              <w:t>TP</w:t>
            </w:r>
          </w:p>
        </w:tc>
        <w:tc>
          <w:tcPr>
            <w:tcW w:w="970" w:type="dxa"/>
            <w:vAlign w:val="top"/>
          </w:tcPr>
          <w:p w14:paraId="0884418A">
            <w:pPr>
              <w:pStyle w:val="6"/>
              <w:spacing w:before="108" w:line="195" w:lineRule="auto"/>
              <w:ind w:left="182"/>
            </w:pPr>
            <w:r>
              <w:t>NH</w:t>
            </w:r>
            <w:r>
              <w:rPr>
                <w:position w:val="-2"/>
                <w:sz w:val="14"/>
                <w:szCs w:val="14"/>
              </w:rPr>
              <w:t>3</w:t>
            </w:r>
            <w:r>
              <w:t>-N</w:t>
            </w:r>
          </w:p>
        </w:tc>
      </w:tr>
      <w:tr w14:paraId="1CCDF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restart"/>
            <w:tcBorders>
              <w:bottom w:val="nil"/>
            </w:tcBorders>
            <w:vAlign w:val="top"/>
          </w:tcPr>
          <w:p w14:paraId="7156A23E">
            <w:pPr>
              <w:spacing w:line="387" w:lineRule="auto"/>
              <w:rPr>
                <w:rFonts w:ascii="Arial"/>
                <w:sz w:val="21"/>
              </w:rPr>
            </w:pPr>
          </w:p>
          <w:p w14:paraId="5E40225A">
            <w:pPr>
              <w:pStyle w:val="6"/>
              <w:spacing w:before="60" w:line="188" w:lineRule="auto"/>
              <w:ind w:left="417"/>
            </w:pPr>
            <w:r>
              <w:rPr>
                <w:spacing w:val="-6"/>
              </w:rPr>
              <w:t>1#</w:t>
            </w:r>
          </w:p>
        </w:tc>
        <w:tc>
          <w:tcPr>
            <w:tcW w:w="1280" w:type="dxa"/>
            <w:vAlign w:val="top"/>
          </w:tcPr>
          <w:p w14:paraId="17D4EF79">
            <w:pPr>
              <w:pStyle w:val="6"/>
              <w:spacing w:before="100" w:line="188" w:lineRule="auto"/>
              <w:ind w:left="220"/>
            </w:pPr>
            <w:r>
              <w:rPr>
                <w:spacing w:val="-1"/>
              </w:rPr>
              <w:t>2022.12.5</w:t>
            </w:r>
          </w:p>
        </w:tc>
        <w:tc>
          <w:tcPr>
            <w:tcW w:w="1006" w:type="dxa"/>
            <w:vAlign w:val="top"/>
          </w:tcPr>
          <w:p w14:paraId="68C11855">
            <w:pPr>
              <w:pStyle w:val="6"/>
              <w:spacing w:before="100" w:line="188" w:lineRule="auto"/>
              <w:ind w:left="270"/>
            </w:pPr>
            <w:r>
              <w:rPr>
                <w:spacing w:val="-2"/>
              </w:rPr>
              <w:t>0.405</w:t>
            </w:r>
          </w:p>
        </w:tc>
        <w:tc>
          <w:tcPr>
            <w:tcW w:w="1005" w:type="dxa"/>
            <w:vAlign w:val="top"/>
          </w:tcPr>
          <w:p w14:paraId="2FD6061F">
            <w:pPr>
              <w:pStyle w:val="6"/>
              <w:spacing w:before="103" w:line="188" w:lineRule="auto"/>
              <w:ind w:left="277"/>
            </w:pPr>
            <w:r>
              <w:rPr>
                <w:b/>
                <w:bCs/>
                <w:spacing w:val="-3"/>
              </w:rPr>
              <w:t>1.025</w:t>
            </w:r>
          </w:p>
        </w:tc>
        <w:tc>
          <w:tcPr>
            <w:tcW w:w="1005" w:type="dxa"/>
            <w:vAlign w:val="top"/>
          </w:tcPr>
          <w:p w14:paraId="2B5E35F6">
            <w:pPr>
              <w:pStyle w:val="6"/>
              <w:spacing w:before="100" w:line="188" w:lineRule="auto"/>
              <w:ind w:left="324"/>
            </w:pPr>
            <w:r>
              <w:rPr>
                <w:spacing w:val="-2"/>
              </w:rPr>
              <w:t>0.70</w:t>
            </w:r>
          </w:p>
        </w:tc>
        <w:tc>
          <w:tcPr>
            <w:tcW w:w="1088" w:type="dxa"/>
            <w:vAlign w:val="top"/>
          </w:tcPr>
          <w:p w14:paraId="1D3E3812">
            <w:pPr>
              <w:pStyle w:val="6"/>
              <w:spacing w:before="100" w:line="188" w:lineRule="auto"/>
              <w:ind w:left="313"/>
            </w:pPr>
            <w:r>
              <w:rPr>
                <w:spacing w:val="-2"/>
              </w:rPr>
              <w:t>0.013</w:t>
            </w:r>
          </w:p>
        </w:tc>
        <w:tc>
          <w:tcPr>
            <w:tcW w:w="965" w:type="dxa"/>
            <w:vAlign w:val="top"/>
          </w:tcPr>
          <w:p w14:paraId="65518D68">
            <w:pPr>
              <w:pStyle w:val="6"/>
              <w:spacing w:before="100" w:line="188" w:lineRule="auto"/>
              <w:ind w:left="305"/>
            </w:pPr>
            <w:r>
              <w:rPr>
                <w:spacing w:val="-2"/>
              </w:rPr>
              <w:t>0.95</w:t>
            </w:r>
          </w:p>
        </w:tc>
        <w:tc>
          <w:tcPr>
            <w:tcW w:w="970" w:type="dxa"/>
            <w:vAlign w:val="top"/>
          </w:tcPr>
          <w:p w14:paraId="24D601DE">
            <w:pPr>
              <w:pStyle w:val="6"/>
              <w:spacing w:before="100" w:line="188" w:lineRule="auto"/>
              <w:ind w:left="253"/>
            </w:pPr>
            <w:r>
              <w:rPr>
                <w:spacing w:val="-2"/>
              </w:rPr>
              <w:t>0.221</w:t>
            </w:r>
          </w:p>
        </w:tc>
      </w:tr>
      <w:tr w14:paraId="06383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5DB468EC">
            <w:pPr>
              <w:rPr>
                <w:rFonts w:ascii="Arial"/>
                <w:sz w:val="21"/>
              </w:rPr>
            </w:pPr>
          </w:p>
        </w:tc>
        <w:tc>
          <w:tcPr>
            <w:tcW w:w="1280" w:type="dxa"/>
            <w:vAlign w:val="top"/>
          </w:tcPr>
          <w:p w14:paraId="5C590ACE">
            <w:pPr>
              <w:pStyle w:val="6"/>
              <w:spacing w:before="101" w:line="188" w:lineRule="auto"/>
              <w:ind w:left="220"/>
            </w:pPr>
            <w:r>
              <w:rPr>
                <w:spacing w:val="-1"/>
              </w:rPr>
              <w:t>2022.12.6</w:t>
            </w:r>
          </w:p>
        </w:tc>
        <w:tc>
          <w:tcPr>
            <w:tcW w:w="1006" w:type="dxa"/>
            <w:vAlign w:val="top"/>
          </w:tcPr>
          <w:p w14:paraId="25009065">
            <w:pPr>
              <w:pStyle w:val="6"/>
              <w:spacing w:before="101" w:line="188" w:lineRule="auto"/>
              <w:ind w:left="270"/>
            </w:pPr>
            <w:r>
              <w:rPr>
                <w:spacing w:val="-2"/>
              </w:rPr>
              <w:t>0.325</w:t>
            </w:r>
          </w:p>
        </w:tc>
        <w:tc>
          <w:tcPr>
            <w:tcW w:w="1005" w:type="dxa"/>
            <w:vAlign w:val="top"/>
          </w:tcPr>
          <w:p w14:paraId="108C7BDB">
            <w:pPr>
              <w:pStyle w:val="6"/>
              <w:spacing w:before="103" w:line="188" w:lineRule="auto"/>
              <w:ind w:left="277"/>
            </w:pPr>
            <w:r>
              <w:rPr>
                <w:b/>
                <w:bCs/>
                <w:spacing w:val="-3"/>
              </w:rPr>
              <w:t>1.025</w:t>
            </w:r>
          </w:p>
        </w:tc>
        <w:tc>
          <w:tcPr>
            <w:tcW w:w="1005" w:type="dxa"/>
            <w:vAlign w:val="top"/>
          </w:tcPr>
          <w:p w14:paraId="2823FE1A">
            <w:pPr>
              <w:pStyle w:val="6"/>
              <w:spacing w:before="101" w:line="188" w:lineRule="auto"/>
              <w:ind w:left="324"/>
            </w:pPr>
            <w:r>
              <w:rPr>
                <w:spacing w:val="-2"/>
              </w:rPr>
              <w:t>0.65</w:t>
            </w:r>
          </w:p>
        </w:tc>
        <w:tc>
          <w:tcPr>
            <w:tcW w:w="1088" w:type="dxa"/>
            <w:vAlign w:val="top"/>
          </w:tcPr>
          <w:p w14:paraId="0A87732D">
            <w:pPr>
              <w:pStyle w:val="6"/>
              <w:spacing w:before="101" w:line="188" w:lineRule="auto"/>
              <w:ind w:left="313"/>
            </w:pPr>
            <w:r>
              <w:rPr>
                <w:spacing w:val="-2"/>
              </w:rPr>
              <w:t>0.017</w:t>
            </w:r>
          </w:p>
        </w:tc>
        <w:tc>
          <w:tcPr>
            <w:tcW w:w="965" w:type="dxa"/>
            <w:vAlign w:val="top"/>
          </w:tcPr>
          <w:p w14:paraId="362D805A">
            <w:pPr>
              <w:pStyle w:val="6"/>
              <w:spacing w:before="101" w:line="188" w:lineRule="auto"/>
              <w:ind w:left="305"/>
            </w:pPr>
            <w:r>
              <w:rPr>
                <w:spacing w:val="-2"/>
              </w:rPr>
              <w:t>0.95</w:t>
            </w:r>
          </w:p>
        </w:tc>
        <w:tc>
          <w:tcPr>
            <w:tcW w:w="970" w:type="dxa"/>
            <w:vAlign w:val="top"/>
          </w:tcPr>
          <w:p w14:paraId="69625A20">
            <w:pPr>
              <w:pStyle w:val="6"/>
              <w:spacing w:before="101" w:line="188" w:lineRule="auto"/>
              <w:ind w:left="253"/>
            </w:pPr>
            <w:r>
              <w:rPr>
                <w:spacing w:val="-2"/>
              </w:rPr>
              <w:t>0.266</w:t>
            </w:r>
          </w:p>
        </w:tc>
      </w:tr>
      <w:tr w14:paraId="461A5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tcBorders>
            <w:vAlign w:val="top"/>
          </w:tcPr>
          <w:p w14:paraId="42E8E47D">
            <w:pPr>
              <w:rPr>
                <w:rFonts w:ascii="Arial"/>
                <w:sz w:val="21"/>
              </w:rPr>
            </w:pPr>
          </w:p>
        </w:tc>
        <w:tc>
          <w:tcPr>
            <w:tcW w:w="1280" w:type="dxa"/>
            <w:vAlign w:val="top"/>
          </w:tcPr>
          <w:p w14:paraId="4D492972">
            <w:pPr>
              <w:pStyle w:val="6"/>
              <w:spacing w:before="101" w:line="188" w:lineRule="auto"/>
              <w:ind w:left="220"/>
            </w:pPr>
            <w:r>
              <w:rPr>
                <w:spacing w:val="-1"/>
              </w:rPr>
              <w:t>2022.12.7</w:t>
            </w:r>
          </w:p>
        </w:tc>
        <w:tc>
          <w:tcPr>
            <w:tcW w:w="1006" w:type="dxa"/>
            <w:vAlign w:val="top"/>
          </w:tcPr>
          <w:p w14:paraId="20EED253">
            <w:pPr>
              <w:pStyle w:val="6"/>
              <w:spacing w:before="101" w:line="188" w:lineRule="auto"/>
              <w:ind w:left="322"/>
            </w:pPr>
            <w:r>
              <w:rPr>
                <w:spacing w:val="-2"/>
              </w:rPr>
              <w:t>0.29</w:t>
            </w:r>
          </w:p>
        </w:tc>
        <w:tc>
          <w:tcPr>
            <w:tcW w:w="1005" w:type="dxa"/>
            <w:vAlign w:val="top"/>
          </w:tcPr>
          <w:p w14:paraId="01B41190">
            <w:pPr>
              <w:pStyle w:val="6"/>
              <w:spacing w:before="101" w:line="188" w:lineRule="auto"/>
              <w:ind w:left="269"/>
            </w:pPr>
            <w:r>
              <w:rPr>
                <w:spacing w:val="-2"/>
              </w:rPr>
              <w:t>0.925</w:t>
            </w:r>
          </w:p>
        </w:tc>
        <w:tc>
          <w:tcPr>
            <w:tcW w:w="1005" w:type="dxa"/>
            <w:vAlign w:val="top"/>
          </w:tcPr>
          <w:p w14:paraId="514EAA28">
            <w:pPr>
              <w:pStyle w:val="6"/>
              <w:spacing w:before="101" w:line="188" w:lineRule="auto"/>
              <w:ind w:left="323"/>
            </w:pPr>
            <w:r>
              <w:rPr>
                <w:spacing w:val="-2"/>
              </w:rPr>
              <w:t>0.55</w:t>
            </w:r>
          </w:p>
        </w:tc>
        <w:tc>
          <w:tcPr>
            <w:tcW w:w="1088" w:type="dxa"/>
            <w:vAlign w:val="top"/>
          </w:tcPr>
          <w:p w14:paraId="2EEC0D0A">
            <w:pPr>
              <w:pStyle w:val="6"/>
              <w:spacing w:before="101" w:line="188" w:lineRule="auto"/>
              <w:ind w:left="312"/>
            </w:pPr>
            <w:r>
              <w:rPr>
                <w:spacing w:val="-2"/>
              </w:rPr>
              <w:t>0.013</w:t>
            </w:r>
          </w:p>
        </w:tc>
        <w:tc>
          <w:tcPr>
            <w:tcW w:w="965" w:type="dxa"/>
            <w:vAlign w:val="top"/>
          </w:tcPr>
          <w:p w14:paraId="4E11B7FA">
            <w:pPr>
              <w:pStyle w:val="6"/>
              <w:spacing w:before="101" w:line="188" w:lineRule="auto"/>
              <w:ind w:left="304"/>
            </w:pPr>
            <w:r>
              <w:rPr>
                <w:spacing w:val="-2"/>
              </w:rPr>
              <w:t>0.95</w:t>
            </w:r>
          </w:p>
        </w:tc>
        <w:tc>
          <w:tcPr>
            <w:tcW w:w="970" w:type="dxa"/>
            <w:vAlign w:val="top"/>
          </w:tcPr>
          <w:p w14:paraId="4C96D990">
            <w:pPr>
              <w:pStyle w:val="6"/>
              <w:spacing w:before="101" w:line="188" w:lineRule="auto"/>
              <w:ind w:left="252"/>
            </w:pPr>
            <w:r>
              <w:rPr>
                <w:spacing w:val="-2"/>
              </w:rPr>
              <w:t>0.204</w:t>
            </w:r>
          </w:p>
        </w:tc>
      </w:tr>
      <w:tr w14:paraId="3BA0D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restart"/>
            <w:tcBorders>
              <w:bottom w:val="nil"/>
            </w:tcBorders>
            <w:vAlign w:val="top"/>
          </w:tcPr>
          <w:p w14:paraId="5E84ACE5">
            <w:pPr>
              <w:spacing w:line="388" w:lineRule="auto"/>
              <w:rPr>
                <w:rFonts w:ascii="Arial"/>
                <w:sz w:val="21"/>
              </w:rPr>
            </w:pPr>
          </w:p>
          <w:p w14:paraId="0B81833C">
            <w:pPr>
              <w:pStyle w:val="6"/>
              <w:spacing w:before="60" w:line="188" w:lineRule="auto"/>
              <w:ind w:left="397"/>
            </w:pPr>
            <w:r>
              <w:rPr>
                <w:spacing w:val="-1"/>
              </w:rPr>
              <w:t>2#</w:t>
            </w:r>
          </w:p>
        </w:tc>
        <w:tc>
          <w:tcPr>
            <w:tcW w:w="1280" w:type="dxa"/>
            <w:vAlign w:val="top"/>
          </w:tcPr>
          <w:p w14:paraId="263027E0">
            <w:pPr>
              <w:pStyle w:val="6"/>
              <w:spacing w:before="101" w:line="188" w:lineRule="auto"/>
              <w:ind w:left="220"/>
            </w:pPr>
            <w:r>
              <w:rPr>
                <w:spacing w:val="-1"/>
              </w:rPr>
              <w:t>2022.12.5</w:t>
            </w:r>
          </w:p>
        </w:tc>
        <w:tc>
          <w:tcPr>
            <w:tcW w:w="1006" w:type="dxa"/>
            <w:vAlign w:val="top"/>
          </w:tcPr>
          <w:p w14:paraId="44BC024D">
            <w:pPr>
              <w:pStyle w:val="6"/>
              <w:spacing w:before="101" w:line="188" w:lineRule="auto"/>
              <w:ind w:left="323"/>
            </w:pPr>
            <w:r>
              <w:rPr>
                <w:spacing w:val="-2"/>
              </w:rPr>
              <w:t>0.34</w:t>
            </w:r>
          </w:p>
        </w:tc>
        <w:tc>
          <w:tcPr>
            <w:tcW w:w="1005" w:type="dxa"/>
            <w:vAlign w:val="top"/>
          </w:tcPr>
          <w:p w14:paraId="67698440">
            <w:pPr>
              <w:pStyle w:val="6"/>
              <w:spacing w:before="104" w:line="188" w:lineRule="auto"/>
              <w:ind w:left="330"/>
            </w:pPr>
            <w:r>
              <w:rPr>
                <w:b/>
                <w:bCs/>
                <w:spacing w:val="-4"/>
              </w:rPr>
              <w:t>1.35</w:t>
            </w:r>
          </w:p>
        </w:tc>
        <w:tc>
          <w:tcPr>
            <w:tcW w:w="1005" w:type="dxa"/>
            <w:vAlign w:val="top"/>
          </w:tcPr>
          <w:p w14:paraId="2F9AB096">
            <w:pPr>
              <w:pStyle w:val="6"/>
              <w:spacing w:before="101" w:line="188" w:lineRule="auto"/>
              <w:ind w:left="324"/>
            </w:pPr>
            <w:r>
              <w:rPr>
                <w:spacing w:val="-2"/>
              </w:rPr>
              <w:t>0.95</w:t>
            </w:r>
          </w:p>
        </w:tc>
        <w:tc>
          <w:tcPr>
            <w:tcW w:w="1088" w:type="dxa"/>
            <w:vAlign w:val="top"/>
          </w:tcPr>
          <w:p w14:paraId="331153F3">
            <w:pPr>
              <w:pStyle w:val="6"/>
              <w:spacing w:before="101" w:line="188" w:lineRule="auto"/>
              <w:ind w:left="313"/>
            </w:pPr>
            <w:r>
              <w:rPr>
                <w:spacing w:val="-2"/>
              </w:rPr>
              <w:t>0.008</w:t>
            </w:r>
          </w:p>
        </w:tc>
        <w:tc>
          <w:tcPr>
            <w:tcW w:w="965" w:type="dxa"/>
            <w:vAlign w:val="top"/>
          </w:tcPr>
          <w:p w14:paraId="46F9D636">
            <w:pPr>
              <w:pStyle w:val="6"/>
              <w:spacing w:before="101" w:line="188" w:lineRule="auto"/>
              <w:ind w:left="305"/>
            </w:pPr>
            <w:r>
              <w:rPr>
                <w:spacing w:val="-2"/>
              </w:rPr>
              <w:t>0.90</w:t>
            </w:r>
          </w:p>
        </w:tc>
        <w:tc>
          <w:tcPr>
            <w:tcW w:w="970" w:type="dxa"/>
            <w:vAlign w:val="top"/>
          </w:tcPr>
          <w:p w14:paraId="291A7250">
            <w:pPr>
              <w:pStyle w:val="6"/>
              <w:spacing w:before="101" w:line="188" w:lineRule="auto"/>
              <w:ind w:left="253"/>
            </w:pPr>
            <w:r>
              <w:rPr>
                <w:spacing w:val="-2"/>
              </w:rPr>
              <w:t>0.155</w:t>
            </w:r>
          </w:p>
        </w:tc>
      </w:tr>
      <w:tr w14:paraId="264CD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76DCFC7B">
            <w:pPr>
              <w:rPr>
                <w:rFonts w:ascii="Arial"/>
                <w:sz w:val="21"/>
              </w:rPr>
            </w:pPr>
          </w:p>
        </w:tc>
        <w:tc>
          <w:tcPr>
            <w:tcW w:w="1280" w:type="dxa"/>
            <w:vAlign w:val="top"/>
          </w:tcPr>
          <w:p w14:paraId="0B281C7C">
            <w:pPr>
              <w:pStyle w:val="6"/>
              <w:spacing w:before="102" w:line="188" w:lineRule="auto"/>
              <w:ind w:left="220"/>
            </w:pPr>
            <w:r>
              <w:rPr>
                <w:spacing w:val="-1"/>
              </w:rPr>
              <w:t>2022.12.6</w:t>
            </w:r>
          </w:p>
        </w:tc>
        <w:tc>
          <w:tcPr>
            <w:tcW w:w="1006" w:type="dxa"/>
            <w:vAlign w:val="top"/>
          </w:tcPr>
          <w:p w14:paraId="742F663D">
            <w:pPr>
              <w:pStyle w:val="6"/>
              <w:spacing w:before="102" w:line="188" w:lineRule="auto"/>
              <w:ind w:left="270"/>
            </w:pPr>
            <w:r>
              <w:rPr>
                <w:spacing w:val="-2"/>
              </w:rPr>
              <w:t>0.345</w:t>
            </w:r>
          </w:p>
        </w:tc>
        <w:tc>
          <w:tcPr>
            <w:tcW w:w="1005" w:type="dxa"/>
            <w:vAlign w:val="top"/>
          </w:tcPr>
          <w:p w14:paraId="2805A146">
            <w:pPr>
              <w:pStyle w:val="6"/>
              <w:spacing w:before="101" w:line="195" w:lineRule="auto"/>
              <w:ind w:left="321"/>
            </w:pPr>
            <w:r>
              <w:rPr>
                <w:b/>
                <w:bCs/>
              </w:rPr>
              <w:t>1.35</w:t>
            </w:r>
          </w:p>
        </w:tc>
        <w:tc>
          <w:tcPr>
            <w:tcW w:w="1005" w:type="dxa"/>
            <w:vAlign w:val="top"/>
          </w:tcPr>
          <w:p w14:paraId="58B40338">
            <w:pPr>
              <w:pStyle w:val="6"/>
              <w:spacing w:before="102" w:line="188" w:lineRule="auto"/>
              <w:ind w:left="324"/>
            </w:pPr>
            <w:r>
              <w:rPr>
                <w:spacing w:val="-2"/>
              </w:rPr>
              <w:t>0.95</w:t>
            </w:r>
          </w:p>
        </w:tc>
        <w:tc>
          <w:tcPr>
            <w:tcW w:w="1088" w:type="dxa"/>
            <w:vAlign w:val="top"/>
          </w:tcPr>
          <w:p w14:paraId="0F49B115">
            <w:pPr>
              <w:pStyle w:val="6"/>
              <w:spacing w:before="102" w:line="188" w:lineRule="auto"/>
              <w:ind w:left="313"/>
            </w:pPr>
            <w:r>
              <w:rPr>
                <w:spacing w:val="-2"/>
              </w:rPr>
              <w:t>0.014</w:t>
            </w:r>
          </w:p>
        </w:tc>
        <w:tc>
          <w:tcPr>
            <w:tcW w:w="965" w:type="dxa"/>
            <w:vAlign w:val="top"/>
          </w:tcPr>
          <w:p w14:paraId="088AFE94">
            <w:pPr>
              <w:pStyle w:val="6"/>
              <w:spacing w:before="102" w:line="188" w:lineRule="auto"/>
              <w:ind w:left="305"/>
            </w:pPr>
            <w:r>
              <w:rPr>
                <w:spacing w:val="-2"/>
              </w:rPr>
              <w:t>0.95</w:t>
            </w:r>
          </w:p>
        </w:tc>
        <w:tc>
          <w:tcPr>
            <w:tcW w:w="970" w:type="dxa"/>
            <w:vAlign w:val="top"/>
          </w:tcPr>
          <w:p w14:paraId="2E8F2965">
            <w:pPr>
              <w:pStyle w:val="6"/>
              <w:spacing w:before="98" w:line="195" w:lineRule="auto"/>
              <w:ind w:left="242"/>
            </w:pPr>
            <w:r>
              <w:rPr>
                <w:spacing w:val="2"/>
              </w:rPr>
              <w:t>0.181</w:t>
            </w:r>
          </w:p>
        </w:tc>
      </w:tr>
      <w:tr w14:paraId="4F83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tcBorders>
            <w:vAlign w:val="top"/>
          </w:tcPr>
          <w:p w14:paraId="07E7DA34">
            <w:pPr>
              <w:rPr>
                <w:rFonts w:ascii="Arial"/>
                <w:sz w:val="21"/>
              </w:rPr>
            </w:pPr>
          </w:p>
        </w:tc>
        <w:tc>
          <w:tcPr>
            <w:tcW w:w="1280" w:type="dxa"/>
            <w:vAlign w:val="top"/>
          </w:tcPr>
          <w:p w14:paraId="2DD82F6C">
            <w:pPr>
              <w:pStyle w:val="6"/>
              <w:spacing w:before="102" w:line="188" w:lineRule="auto"/>
              <w:ind w:left="220"/>
            </w:pPr>
            <w:r>
              <w:rPr>
                <w:spacing w:val="-1"/>
              </w:rPr>
              <w:t>2022.12.7</w:t>
            </w:r>
          </w:p>
        </w:tc>
        <w:tc>
          <w:tcPr>
            <w:tcW w:w="1006" w:type="dxa"/>
            <w:vAlign w:val="top"/>
          </w:tcPr>
          <w:p w14:paraId="6E4498E1">
            <w:pPr>
              <w:pStyle w:val="6"/>
              <w:spacing w:before="102" w:line="188" w:lineRule="auto"/>
              <w:ind w:left="270"/>
            </w:pPr>
            <w:r>
              <w:rPr>
                <w:spacing w:val="-2"/>
              </w:rPr>
              <w:t>0.425</w:t>
            </w:r>
          </w:p>
        </w:tc>
        <w:tc>
          <w:tcPr>
            <w:tcW w:w="1005" w:type="dxa"/>
            <w:vAlign w:val="top"/>
          </w:tcPr>
          <w:p w14:paraId="11D0544B">
            <w:pPr>
              <w:pStyle w:val="6"/>
              <w:spacing w:before="101" w:line="195" w:lineRule="auto"/>
              <w:ind w:left="321"/>
            </w:pPr>
            <w:r>
              <w:rPr>
                <w:b/>
                <w:bCs/>
              </w:rPr>
              <w:t>1.30</w:t>
            </w:r>
          </w:p>
        </w:tc>
        <w:tc>
          <w:tcPr>
            <w:tcW w:w="1005" w:type="dxa"/>
            <w:vAlign w:val="top"/>
          </w:tcPr>
          <w:p w14:paraId="14BE34AB">
            <w:pPr>
              <w:pStyle w:val="6"/>
              <w:spacing w:before="102" w:line="188" w:lineRule="auto"/>
              <w:ind w:left="324"/>
            </w:pPr>
            <w:r>
              <w:rPr>
                <w:spacing w:val="-2"/>
              </w:rPr>
              <w:t>0.90</w:t>
            </w:r>
          </w:p>
        </w:tc>
        <w:tc>
          <w:tcPr>
            <w:tcW w:w="1088" w:type="dxa"/>
            <w:vAlign w:val="top"/>
          </w:tcPr>
          <w:p w14:paraId="24204839">
            <w:pPr>
              <w:pStyle w:val="6"/>
              <w:spacing w:before="102" w:line="188" w:lineRule="auto"/>
              <w:ind w:left="316"/>
            </w:pPr>
            <w:r>
              <w:rPr>
                <w:spacing w:val="-2"/>
              </w:rPr>
              <w:t>0.011</w:t>
            </w:r>
          </w:p>
        </w:tc>
        <w:tc>
          <w:tcPr>
            <w:tcW w:w="965" w:type="dxa"/>
            <w:vAlign w:val="top"/>
          </w:tcPr>
          <w:p w14:paraId="2D5AA4C8">
            <w:pPr>
              <w:pStyle w:val="6"/>
              <w:spacing w:before="102" w:line="188" w:lineRule="auto"/>
              <w:ind w:left="305"/>
            </w:pPr>
            <w:r>
              <w:rPr>
                <w:spacing w:val="-2"/>
              </w:rPr>
              <w:t>0.90</w:t>
            </w:r>
          </w:p>
        </w:tc>
        <w:tc>
          <w:tcPr>
            <w:tcW w:w="970" w:type="dxa"/>
            <w:vAlign w:val="top"/>
          </w:tcPr>
          <w:p w14:paraId="2CC57701">
            <w:pPr>
              <w:pStyle w:val="6"/>
              <w:spacing w:before="99" w:line="195" w:lineRule="auto"/>
              <w:ind w:left="242"/>
            </w:pPr>
            <w:r>
              <w:rPr>
                <w:spacing w:val="2"/>
              </w:rPr>
              <w:t>0.212</w:t>
            </w:r>
          </w:p>
        </w:tc>
      </w:tr>
      <w:tr w14:paraId="68C89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restart"/>
            <w:tcBorders>
              <w:bottom w:val="nil"/>
            </w:tcBorders>
            <w:vAlign w:val="top"/>
          </w:tcPr>
          <w:p w14:paraId="523A9CDA">
            <w:pPr>
              <w:spacing w:line="389" w:lineRule="auto"/>
              <w:rPr>
                <w:rFonts w:ascii="Arial"/>
                <w:sz w:val="21"/>
              </w:rPr>
            </w:pPr>
          </w:p>
          <w:p w14:paraId="4FC7EC44">
            <w:pPr>
              <w:pStyle w:val="6"/>
              <w:spacing w:before="60" w:line="188" w:lineRule="auto"/>
              <w:ind w:left="402"/>
            </w:pPr>
            <w:r>
              <w:rPr>
                <w:spacing w:val="-3"/>
              </w:rPr>
              <w:t>3#</w:t>
            </w:r>
          </w:p>
        </w:tc>
        <w:tc>
          <w:tcPr>
            <w:tcW w:w="1280" w:type="dxa"/>
            <w:vAlign w:val="top"/>
          </w:tcPr>
          <w:p w14:paraId="1C31C36B">
            <w:pPr>
              <w:pStyle w:val="6"/>
              <w:spacing w:before="102" w:line="188" w:lineRule="auto"/>
              <w:ind w:left="220"/>
            </w:pPr>
            <w:r>
              <w:rPr>
                <w:spacing w:val="-1"/>
              </w:rPr>
              <w:t>2022.12.5</w:t>
            </w:r>
          </w:p>
        </w:tc>
        <w:tc>
          <w:tcPr>
            <w:tcW w:w="1006" w:type="dxa"/>
            <w:vAlign w:val="top"/>
          </w:tcPr>
          <w:p w14:paraId="532A1961">
            <w:pPr>
              <w:pStyle w:val="6"/>
              <w:spacing w:before="102" w:line="188" w:lineRule="auto"/>
              <w:ind w:left="270"/>
            </w:pPr>
            <w:r>
              <w:rPr>
                <w:spacing w:val="-2"/>
              </w:rPr>
              <w:t>0.415</w:t>
            </w:r>
          </w:p>
        </w:tc>
        <w:tc>
          <w:tcPr>
            <w:tcW w:w="1005" w:type="dxa"/>
            <w:vAlign w:val="top"/>
          </w:tcPr>
          <w:p w14:paraId="016D3C4B">
            <w:pPr>
              <w:pStyle w:val="6"/>
              <w:spacing w:before="102" w:line="188" w:lineRule="auto"/>
              <w:ind w:left="323"/>
            </w:pPr>
            <w:r>
              <w:rPr>
                <w:spacing w:val="-2"/>
              </w:rPr>
              <w:t>0.95</w:t>
            </w:r>
          </w:p>
        </w:tc>
        <w:tc>
          <w:tcPr>
            <w:tcW w:w="1005" w:type="dxa"/>
            <w:vAlign w:val="top"/>
          </w:tcPr>
          <w:p w14:paraId="352E502A">
            <w:pPr>
              <w:pStyle w:val="6"/>
              <w:spacing w:before="102" w:line="188" w:lineRule="auto"/>
              <w:ind w:left="324"/>
            </w:pPr>
            <w:r>
              <w:rPr>
                <w:spacing w:val="-2"/>
              </w:rPr>
              <w:t>0.55</w:t>
            </w:r>
          </w:p>
        </w:tc>
        <w:tc>
          <w:tcPr>
            <w:tcW w:w="1088" w:type="dxa"/>
            <w:vAlign w:val="top"/>
          </w:tcPr>
          <w:p w14:paraId="07A51B58">
            <w:pPr>
              <w:pStyle w:val="6"/>
              <w:spacing w:before="102" w:line="188" w:lineRule="auto"/>
              <w:ind w:left="313"/>
            </w:pPr>
            <w:r>
              <w:rPr>
                <w:spacing w:val="-2"/>
              </w:rPr>
              <w:t>0.013</w:t>
            </w:r>
          </w:p>
        </w:tc>
        <w:tc>
          <w:tcPr>
            <w:tcW w:w="965" w:type="dxa"/>
            <w:vAlign w:val="top"/>
          </w:tcPr>
          <w:p w14:paraId="2FFA0325">
            <w:pPr>
              <w:pStyle w:val="6"/>
              <w:spacing w:before="102" w:line="188" w:lineRule="auto"/>
              <w:ind w:left="305"/>
            </w:pPr>
            <w:r>
              <w:rPr>
                <w:spacing w:val="-2"/>
              </w:rPr>
              <w:t>0.95</w:t>
            </w:r>
          </w:p>
        </w:tc>
        <w:tc>
          <w:tcPr>
            <w:tcW w:w="970" w:type="dxa"/>
            <w:vAlign w:val="top"/>
          </w:tcPr>
          <w:p w14:paraId="62F23F73">
            <w:pPr>
              <w:pStyle w:val="6"/>
              <w:spacing w:before="102" w:line="188" w:lineRule="auto"/>
              <w:ind w:left="253"/>
            </w:pPr>
            <w:r>
              <w:rPr>
                <w:spacing w:val="-2"/>
              </w:rPr>
              <w:t>0.209</w:t>
            </w:r>
          </w:p>
        </w:tc>
      </w:tr>
      <w:tr w14:paraId="51E5C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072870AD">
            <w:pPr>
              <w:rPr>
                <w:rFonts w:ascii="Arial"/>
                <w:sz w:val="21"/>
              </w:rPr>
            </w:pPr>
          </w:p>
        </w:tc>
        <w:tc>
          <w:tcPr>
            <w:tcW w:w="1280" w:type="dxa"/>
            <w:vAlign w:val="top"/>
          </w:tcPr>
          <w:p w14:paraId="51ED8E7F">
            <w:pPr>
              <w:pStyle w:val="6"/>
              <w:spacing w:before="103" w:line="188" w:lineRule="auto"/>
              <w:ind w:left="220"/>
            </w:pPr>
            <w:r>
              <w:rPr>
                <w:spacing w:val="-1"/>
              </w:rPr>
              <w:t>2022.12.6</w:t>
            </w:r>
          </w:p>
        </w:tc>
        <w:tc>
          <w:tcPr>
            <w:tcW w:w="1006" w:type="dxa"/>
            <w:vAlign w:val="top"/>
          </w:tcPr>
          <w:p w14:paraId="38ED5868">
            <w:pPr>
              <w:pStyle w:val="6"/>
              <w:spacing w:before="103" w:line="188" w:lineRule="auto"/>
              <w:ind w:left="270"/>
            </w:pPr>
            <w:r>
              <w:rPr>
                <w:spacing w:val="-2"/>
              </w:rPr>
              <w:t>0.465</w:t>
            </w:r>
          </w:p>
        </w:tc>
        <w:tc>
          <w:tcPr>
            <w:tcW w:w="1005" w:type="dxa"/>
            <w:vAlign w:val="top"/>
          </w:tcPr>
          <w:p w14:paraId="427E839B">
            <w:pPr>
              <w:pStyle w:val="6"/>
              <w:spacing w:before="103" w:line="188" w:lineRule="auto"/>
              <w:ind w:left="323"/>
            </w:pPr>
            <w:r>
              <w:rPr>
                <w:spacing w:val="-2"/>
              </w:rPr>
              <w:t>0.95</w:t>
            </w:r>
          </w:p>
        </w:tc>
        <w:tc>
          <w:tcPr>
            <w:tcW w:w="1005" w:type="dxa"/>
            <w:vAlign w:val="top"/>
          </w:tcPr>
          <w:p w14:paraId="2546332F">
            <w:pPr>
              <w:pStyle w:val="6"/>
              <w:spacing w:before="103" w:line="188" w:lineRule="auto"/>
              <w:ind w:left="324"/>
            </w:pPr>
            <w:r>
              <w:rPr>
                <w:spacing w:val="-2"/>
              </w:rPr>
              <w:t>0.60</w:t>
            </w:r>
          </w:p>
        </w:tc>
        <w:tc>
          <w:tcPr>
            <w:tcW w:w="1088" w:type="dxa"/>
            <w:vAlign w:val="top"/>
          </w:tcPr>
          <w:p w14:paraId="2A7B600E">
            <w:pPr>
              <w:pStyle w:val="6"/>
              <w:spacing w:before="103" w:line="188" w:lineRule="auto"/>
              <w:ind w:left="313"/>
            </w:pPr>
            <w:r>
              <w:rPr>
                <w:spacing w:val="-2"/>
              </w:rPr>
              <w:t>0.022</w:t>
            </w:r>
          </w:p>
        </w:tc>
        <w:tc>
          <w:tcPr>
            <w:tcW w:w="965" w:type="dxa"/>
            <w:vAlign w:val="top"/>
          </w:tcPr>
          <w:p w14:paraId="29080274">
            <w:pPr>
              <w:pStyle w:val="6"/>
              <w:spacing w:before="103" w:line="188" w:lineRule="auto"/>
              <w:ind w:left="305"/>
            </w:pPr>
            <w:r>
              <w:rPr>
                <w:spacing w:val="-2"/>
              </w:rPr>
              <w:t>0.90</w:t>
            </w:r>
          </w:p>
        </w:tc>
        <w:tc>
          <w:tcPr>
            <w:tcW w:w="970" w:type="dxa"/>
            <w:vAlign w:val="top"/>
          </w:tcPr>
          <w:p w14:paraId="1AAC5910">
            <w:pPr>
              <w:pStyle w:val="6"/>
              <w:spacing w:before="99" w:line="195" w:lineRule="auto"/>
              <w:ind w:left="242"/>
            </w:pPr>
            <w:r>
              <w:rPr>
                <w:spacing w:val="2"/>
              </w:rPr>
              <w:t>0.250</w:t>
            </w:r>
          </w:p>
        </w:tc>
      </w:tr>
      <w:tr w14:paraId="735F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tcBorders>
            <w:vAlign w:val="top"/>
          </w:tcPr>
          <w:p w14:paraId="754ED9A6">
            <w:pPr>
              <w:rPr>
                <w:rFonts w:ascii="Arial"/>
                <w:sz w:val="21"/>
              </w:rPr>
            </w:pPr>
          </w:p>
        </w:tc>
        <w:tc>
          <w:tcPr>
            <w:tcW w:w="1280" w:type="dxa"/>
            <w:vAlign w:val="top"/>
          </w:tcPr>
          <w:p w14:paraId="595A8B79">
            <w:pPr>
              <w:pStyle w:val="6"/>
              <w:spacing w:before="103" w:line="188" w:lineRule="auto"/>
              <w:ind w:left="220"/>
            </w:pPr>
            <w:r>
              <w:rPr>
                <w:spacing w:val="-1"/>
              </w:rPr>
              <w:t>2022.12.7</w:t>
            </w:r>
          </w:p>
        </w:tc>
        <w:tc>
          <w:tcPr>
            <w:tcW w:w="1006" w:type="dxa"/>
            <w:vAlign w:val="top"/>
          </w:tcPr>
          <w:p w14:paraId="1422143D">
            <w:pPr>
              <w:pStyle w:val="6"/>
              <w:spacing w:before="103" w:line="188" w:lineRule="auto"/>
              <w:ind w:left="270"/>
            </w:pPr>
            <w:r>
              <w:rPr>
                <w:spacing w:val="-2"/>
              </w:rPr>
              <w:t>0.525</w:t>
            </w:r>
          </w:p>
        </w:tc>
        <w:tc>
          <w:tcPr>
            <w:tcW w:w="1005" w:type="dxa"/>
            <w:vAlign w:val="top"/>
          </w:tcPr>
          <w:p w14:paraId="3F50A6BC">
            <w:pPr>
              <w:pStyle w:val="6"/>
              <w:spacing w:before="103" w:line="188" w:lineRule="auto"/>
              <w:ind w:left="323"/>
            </w:pPr>
            <w:r>
              <w:rPr>
                <w:spacing w:val="-2"/>
              </w:rPr>
              <w:t>0.95</w:t>
            </w:r>
          </w:p>
        </w:tc>
        <w:tc>
          <w:tcPr>
            <w:tcW w:w="1005" w:type="dxa"/>
            <w:vAlign w:val="top"/>
          </w:tcPr>
          <w:p w14:paraId="1A6FD328">
            <w:pPr>
              <w:pStyle w:val="6"/>
              <w:spacing w:before="103" w:line="188" w:lineRule="auto"/>
              <w:ind w:left="324"/>
            </w:pPr>
            <w:r>
              <w:rPr>
                <w:spacing w:val="-2"/>
              </w:rPr>
              <w:t>0.60</w:t>
            </w:r>
          </w:p>
        </w:tc>
        <w:tc>
          <w:tcPr>
            <w:tcW w:w="1088" w:type="dxa"/>
            <w:vAlign w:val="top"/>
          </w:tcPr>
          <w:p w14:paraId="156D6502">
            <w:pPr>
              <w:pStyle w:val="6"/>
              <w:spacing w:before="103" w:line="188" w:lineRule="auto"/>
              <w:ind w:left="313"/>
            </w:pPr>
            <w:r>
              <w:rPr>
                <w:spacing w:val="-2"/>
              </w:rPr>
              <w:t>0.022</w:t>
            </w:r>
          </w:p>
        </w:tc>
        <w:tc>
          <w:tcPr>
            <w:tcW w:w="965" w:type="dxa"/>
            <w:vAlign w:val="top"/>
          </w:tcPr>
          <w:p w14:paraId="06721617">
            <w:pPr>
              <w:pStyle w:val="6"/>
              <w:spacing w:before="103" w:line="188" w:lineRule="auto"/>
              <w:ind w:left="305"/>
            </w:pPr>
            <w:r>
              <w:rPr>
                <w:spacing w:val="-2"/>
              </w:rPr>
              <w:t>0.95</w:t>
            </w:r>
          </w:p>
        </w:tc>
        <w:tc>
          <w:tcPr>
            <w:tcW w:w="970" w:type="dxa"/>
            <w:vAlign w:val="top"/>
          </w:tcPr>
          <w:p w14:paraId="0DF516A0">
            <w:pPr>
              <w:pStyle w:val="6"/>
              <w:spacing w:before="100" w:line="195" w:lineRule="auto"/>
              <w:ind w:left="242"/>
            </w:pPr>
            <w:r>
              <w:rPr>
                <w:spacing w:val="2"/>
              </w:rPr>
              <w:t>0.235</w:t>
            </w:r>
          </w:p>
        </w:tc>
      </w:tr>
      <w:tr w14:paraId="30BF8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restart"/>
            <w:tcBorders>
              <w:bottom w:val="nil"/>
            </w:tcBorders>
            <w:vAlign w:val="top"/>
          </w:tcPr>
          <w:p w14:paraId="25999FCE">
            <w:pPr>
              <w:spacing w:line="390" w:lineRule="auto"/>
              <w:rPr>
                <w:rFonts w:ascii="Arial"/>
                <w:sz w:val="21"/>
              </w:rPr>
            </w:pPr>
          </w:p>
          <w:p w14:paraId="144E0CB9">
            <w:pPr>
              <w:pStyle w:val="6"/>
              <w:spacing w:before="60" w:line="188" w:lineRule="auto"/>
              <w:ind w:left="396"/>
            </w:pPr>
            <w:r>
              <w:rPr>
                <w:spacing w:val="-1"/>
              </w:rPr>
              <w:t>4#</w:t>
            </w:r>
          </w:p>
        </w:tc>
        <w:tc>
          <w:tcPr>
            <w:tcW w:w="1280" w:type="dxa"/>
            <w:vAlign w:val="top"/>
          </w:tcPr>
          <w:p w14:paraId="560BB492">
            <w:pPr>
              <w:pStyle w:val="6"/>
              <w:spacing w:before="103" w:line="188" w:lineRule="auto"/>
              <w:ind w:left="220"/>
            </w:pPr>
            <w:r>
              <w:rPr>
                <w:spacing w:val="-1"/>
              </w:rPr>
              <w:t>2022.12.5</w:t>
            </w:r>
          </w:p>
        </w:tc>
        <w:tc>
          <w:tcPr>
            <w:tcW w:w="1006" w:type="dxa"/>
            <w:vAlign w:val="top"/>
          </w:tcPr>
          <w:p w14:paraId="47208E71">
            <w:pPr>
              <w:pStyle w:val="6"/>
              <w:spacing w:before="103" w:line="188" w:lineRule="auto"/>
              <w:ind w:left="323"/>
            </w:pPr>
            <w:r>
              <w:rPr>
                <w:spacing w:val="-2"/>
              </w:rPr>
              <w:t>0.44</w:t>
            </w:r>
          </w:p>
        </w:tc>
        <w:tc>
          <w:tcPr>
            <w:tcW w:w="1005" w:type="dxa"/>
            <w:vAlign w:val="top"/>
          </w:tcPr>
          <w:p w14:paraId="0ED60BA9">
            <w:pPr>
              <w:pStyle w:val="6"/>
              <w:spacing w:before="106" w:line="188" w:lineRule="auto"/>
              <w:ind w:left="277"/>
            </w:pPr>
            <w:r>
              <w:rPr>
                <w:b/>
                <w:bCs/>
                <w:spacing w:val="-3"/>
              </w:rPr>
              <w:t>1.075</w:t>
            </w:r>
          </w:p>
        </w:tc>
        <w:tc>
          <w:tcPr>
            <w:tcW w:w="1005" w:type="dxa"/>
            <w:vAlign w:val="top"/>
          </w:tcPr>
          <w:p w14:paraId="4256091A">
            <w:pPr>
              <w:pStyle w:val="6"/>
              <w:spacing w:before="103" w:line="188" w:lineRule="auto"/>
              <w:ind w:left="324"/>
            </w:pPr>
            <w:r>
              <w:rPr>
                <w:spacing w:val="-2"/>
              </w:rPr>
              <w:t>0.80</w:t>
            </w:r>
          </w:p>
        </w:tc>
        <w:tc>
          <w:tcPr>
            <w:tcW w:w="1088" w:type="dxa"/>
            <w:vAlign w:val="top"/>
          </w:tcPr>
          <w:p w14:paraId="18628301">
            <w:pPr>
              <w:pStyle w:val="6"/>
              <w:spacing w:before="103" w:line="188" w:lineRule="auto"/>
              <w:ind w:left="313"/>
            </w:pPr>
            <w:r>
              <w:rPr>
                <w:spacing w:val="-2"/>
              </w:rPr>
              <w:t>0.002</w:t>
            </w:r>
          </w:p>
        </w:tc>
        <w:tc>
          <w:tcPr>
            <w:tcW w:w="965" w:type="dxa"/>
            <w:vAlign w:val="top"/>
          </w:tcPr>
          <w:p w14:paraId="2A3FCC8E">
            <w:pPr>
              <w:pStyle w:val="6"/>
              <w:spacing w:before="103" w:line="188" w:lineRule="auto"/>
              <w:ind w:left="305"/>
            </w:pPr>
            <w:r>
              <w:rPr>
                <w:spacing w:val="-2"/>
              </w:rPr>
              <w:t>0.95</w:t>
            </w:r>
          </w:p>
        </w:tc>
        <w:tc>
          <w:tcPr>
            <w:tcW w:w="970" w:type="dxa"/>
            <w:vAlign w:val="top"/>
          </w:tcPr>
          <w:p w14:paraId="6B801460">
            <w:pPr>
              <w:pStyle w:val="6"/>
              <w:spacing w:before="103" w:line="188" w:lineRule="auto"/>
              <w:ind w:left="253"/>
            </w:pPr>
            <w:r>
              <w:rPr>
                <w:spacing w:val="-2"/>
              </w:rPr>
              <w:t>0.176</w:t>
            </w:r>
          </w:p>
        </w:tc>
      </w:tr>
      <w:tr w14:paraId="61992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1245E6F1">
            <w:pPr>
              <w:rPr>
                <w:rFonts w:ascii="Arial"/>
                <w:sz w:val="21"/>
              </w:rPr>
            </w:pPr>
          </w:p>
        </w:tc>
        <w:tc>
          <w:tcPr>
            <w:tcW w:w="1280" w:type="dxa"/>
            <w:vAlign w:val="top"/>
          </w:tcPr>
          <w:p w14:paraId="32042192">
            <w:pPr>
              <w:pStyle w:val="6"/>
              <w:spacing w:before="104" w:line="188" w:lineRule="auto"/>
              <w:ind w:left="220"/>
            </w:pPr>
            <w:r>
              <w:rPr>
                <w:spacing w:val="-1"/>
              </w:rPr>
              <w:t>2022.12.6</w:t>
            </w:r>
          </w:p>
        </w:tc>
        <w:tc>
          <w:tcPr>
            <w:tcW w:w="1006" w:type="dxa"/>
            <w:vAlign w:val="top"/>
          </w:tcPr>
          <w:p w14:paraId="53DA06DC">
            <w:pPr>
              <w:pStyle w:val="6"/>
              <w:spacing w:before="104" w:line="188" w:lineRule="auto"/>
              <w:ind w:left="270"/>
            </w:pPr>
            <w:r>
              <w:rPr>
                <w:spacing w:val="-2"/>
              </w:rPr>
              <w:t>0.365</w:t>
            </w:r>
          </w:p>
        </w:tc>
        <w:tc>
          <w:tcPr>
            <w:tcW w:w="1005" w:type="dxa"/>
            <w:vAlign w:val="top"/>
          </w:tcPr>
          <w:p w14:paraId="20B3D530">
            <w:pPr>
              <w:pStyle w:val="6"/>
              <w:spacing w:before="106" w:line="188" w:lineRule="auto"/>
              <w:ind w:left="277"/>
            </w:pPr>
            <w:r>
              <w:rPr>
                <w:b/>
                <w:bCs/>
                <w:spacing w:val="-3"/>
              </w:rPr>
              <w:t>1.125</w:t>
            </w:r>
          </w:p>
        </w:tc>
        <w:tc>
          <w:tcPr>
            <w:tcW w:w="1005" w:type="dxa"/>
            <w:vAlign w:val="top"/>
          </w:tcPr>
          <w:p w14:paraId="5A8BA17F">
            <w:pPr>
              <w:pStyle w:val="6"/>
              <w:spacing w:before="104" w:line="188" w:lineRule="auto"/>
              <w:ind w:left="324"/>
            </w:pPr>
            <w:r>
              <w:rPr>
                <w:spacing w:val="-2"/>
              </w:rPr>
              <w:t>0.75</w:t>
            </w:r>
          </w:p>
        </w:tc>
        <w:tc>
          <w:tcPr>
            <w:tcW w:w="1088" w:type="dxa"/>
            <w:vAlign w:val="top"/>
          </w:tcPr>
          <w:p w14:paraId="025B3AC8">
            <w:pPr>
              <w:pStyle w:val="6"/>
              <w:spacing w:before="104" w:line="188" w:lineRule="auto"/>
              <w:ind w:left="313"/>
            </w:pPr>
            <w:r>
              <w:rPr>
                <w:spacing w:val="-2"/>
              </w:rPr>
              <w:t>0.006</w:t>
            </w:r>
          </w:p>
        </w:tc>
        <w:tc>
          <w:tcPr>
            <w:tcW w:w="965" w:type="dxa"/>
            <w:vAlign w:val="top"/>
          </w:tcPr>
          <w:p w14:paraId="7D6AB555">
            <w:pPr>
              <w:pStyle w:val="6"/>
              <w:spacing w:before="104" w:line="188" w:lineRule="auto"/>
              <w:ind w:left="305"/>
            </w:pPr>
            <w:r>
              <w:rPr>
                <w:spacing w:val="-2"/>
              </w:rPr>
              <w:t>0.95</w:t>
            </w:r>
          </w:p>
        </w:tc>
        <w:tc>
          <w:tcPr>
            <w:tcW w:w="970" w:type="dxa"/>
            <w:vAlign w:val="top"/>
          </w:tcPr>
          <w:p w14:paraId="3FCF4A96">
            <w:pPr>
              <w:pStyle w:val="6"/>
              <w:spacing w:before="104" w:line="188" w:lineRule="auto"/>
              <w:ind w:left="253"/>
            </w:pPr>
            <w:r>
              <w:rPr>
                <w:spacing w:val="-2"/>
              </w:rPr>
              <w:t>0.194</w:t>
            </w:r>
          </w:p>
        </w:tc>
      </w:tr>
      <w:tr w14:paraId="5EC6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tcBorders>
            <w:vAlign w:val="top"/>
          </w:tcPr>
          <w:p w14:paraId="7F65DFFE">
            <w:pPr>
              <w:rPr>
                <w:rFonts w:ascii="Arial"/>
                <w:sz w:val="21"/>
              </w:rPr>
            </w:pPr>
          </w:p>
        </w:tc>
        <w:tc>
          <w:tcPr>
            <w:tcW w:w="1280" w:type="dxa"/>
            <w:vAlign w:val="top"/>
          </w:tcPr>
          <w:p w14:paraId="0579BAEC">
            <w:pPr>
              <w:pStyle w:val="6"/>
              <w:spacing w:before="104" w:line="188" w:lineRule="auto"/>
              <w:ind w:left="220"/>
            </w:pPr>
            <w:r>
              <w:rPr>
                <w:spacing w:val="-1"/>
              </w:rPr>
              <w:t>2022.12.7</w:t>
            </w:r>
          </w:p>
        </w:tc>
        <w:tc>
          <w:tcPr>
            <w:tcW w:w="1006" w:type="dxa"/>
            <w:vAlign w:val="top"/>
          </w:tcPr>
          <w:p w14:paraId="18E9228A">
            <w:pPr>
              <w:pStyle w:val="6"/>
              <w:spacing w:before="104" w:line="188" w:lineRule="auto"/>
              <w:ind w:left="323"/>
            </w:pPr>
            <w:r>
              <w:rPr>
                <w:spacing w:val="-2"/>
              </w:rPr>
              <w:t>0.45</w:t>
            </w:r>
          </w:p>
        </w:tc>
        <w:tc>
          <w:tcPr>
            <w:tcW w:w="1005" w:type="dxa"/>
            <w:vAlign w:val="top"/>
          </w:tcPr>
          <w:p w14:paraId="187DFCA5">
            <w:pPr>
              <w:pStyle w:val="6"/>
              <w:spacing w:before="106" w:line="188" w:lineRule="auto"/>
              <w:ind w:left="330"/>
            </w:pPr>
            <w:r>
              <w:rPr>
                <w:b/>
                <w:bCs/>
                <w:spacing w:val="-4"/>
              </w:rPr>
              <w:t>1.15</w:t>
            </w:r>
          </w:p>
        </w:tc>
        <w:tc>
          <w:tcPr>
            <w:tcW w:w="1005" w:type="dxa"/>
            <w:vAlign w:val="top"/>
          </w:tcPr>
          <w:p w14:paraId="3BBC0740">
            <w:pPr>
              <w:pStyle w:val="6"/>
              <w:spacing w:before="104" w:line="188" w:lineRule="auto"/>
              <w:ind w:left="324"/>
            </w:pPr>
            <w:r>
              <w:rPr>
                <w:spacing w:val="-2"/>
              </w:rPr>
              <w:t>0.75</w:t>
            </w:r>
          </w:p>
        </w:tc>
        <w:tc>
          <w:tcPr>
            <w:tcW w:w="1088" w:type="dxa"/>
            <w:vAlign w:val="top"/>
          </w:tcPr>
          <w:p w14:paraId="2B0958CC">
            <w:pPr>
              <w:pStyle w:val="6"/>
              <w:spacing w:before="104" w:line="188" w:lineRule="auto"/>
              <w:ind w:left="313"/>
            </w:pPr>
            <w:r>
              <w:rPr>
                <w:spacing w:val="-2"/>
              </w:rPr>
              <w:t>0.008</w:t>
            </w:r>
          </w:p>
        </w:tc>
        <w:tc>
          <w:tcPr>
            <w:tcW w:w="965" w:type="dxa"/>
            <w:vAlign w:val="top"/>
          </w:tcPr>
          <w:p w14:paraId="72108CDB">
            <w:pPr>
              <w:pStyle w:val="6"/>
              <w:spacing w:before="104" w:line="188" w:lineRule="auto"/>
              <w:ind w:left="305"/>
            </w:pPr>
            <w:r>
              <w:rPr>
                <w:spacing w:val="-2"/>
              </w:rPr>
              <w:t>0.95</w:t>
            </w:r>
          </w:p>
        </w:tc>
        <w:tc>
          <w:tcPr>
            <w:tcW w:w="970" w:type="dxa"/>
            <w:vAlign w:val="top"/>
          </w:tcPr>
          <w:p w14:paraId="0A8921E8">
            <w:pPr>
              <w:pStyle w:val="6"/>
              <w:spacing w:before="104" w:line="188" w:lineRule="auto"/>
              <w:ind w:left="253"/>
            </w:pPr>
            <w:r>
              <w:rPr>
                <w:spacing w:val="-2"/>
              </w:rPr>
              <w:t>0.163</w:t>
            </w:r>
          </w:p>
        </w:tc>
      </w:tr>
      <w:tr w14:paraId="42010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1" w:type="dxa"/>
            <w:vMerge w:val="restart"/>
            <w:tcBorders>
              <w:bottom w:val="nil"/>
            </w:tcBorders>
            <w:vAlign w:val="top"/>
          </w:tcPr>
          <w:p w14:paraId="1A33C24D">
            <w:pPr>
              <w:spacing w:line="391" w:lineRule="auto"/>
              <w:rPr>
                <w:rFonts w:ascii="Arial"/>
                <w:sz w:val="21"/>
              </w:rPr>
            </w:pPr>
          </w:p>
          <w:p w14:paraId="7A4C59D1">
            <w:pPr>
              <w:pStyle w:val="6"/>
              <w:spacing w:before="60" w:line="188" w:lineRule="auto"/>
              <w:ind w:left="403"/>
            </w:pPr>
            <w:r>
              <w:rPr>
                <w:spacing w:val="-3"/>
              </w:rPr>
              <w:t>5#</w:t>
            </w:r>
          </w:p>
        </w:tc>
        <w:tc>
          <w:tcPr>
            <w:tcW w:w="1280" w:type="dxa"/>
            <w:vAlign w:val="top"/>
          </w:tcPr>
          <w:p w14:paraId="75C09D9F">
            <w:pPr>
              <w:pStyle w:val="6"/>
              <w:spacing w:before="104" w:line="188" w:lineRule="auto"/>
              <w:ind w:left="220"/>
            </w:pPr>
            <w:r>
              <w:rPr>
                <w:spacing w:val="-1"/>
              </w:rPr>
              <w:t>2022.12.5</w:t>
            </w:r>
          </w:p>
        </w:tc>
        <w:tc>
          <w:tcPr>
            <w:tcW w:w="1006" w:type="dxa"/>
            <w:vAlign w:val="top"/>
          </w:tcPr>
          <w:p w14:paraId="4E7E384C">
            <w:pPr>
              <w:pStyle w:val="6"/>
              <w:spacing w:before="104" w:line="188" w:lineRule="auto"/>
              <w:ind w:left="270"/>
            </w:pPr>
            <w:r>
              <w:rPr>
                <w:spacing w:val="-2"/>
              </w:rPr>
              <w:t>0.375</w:t>
            </w:r>
          </w:p>
        </w:tc>
        <w:tc>
          <w:tcPr>
            <w:tcW w:w="1005" w:type="dxa"/>
            <w:vAlign w:val="top"/>
          </w:tcPr>
          <w:p w14:paraId="2FE2B99F">
            <w:pPr>
              <w:pStyle w:val="6"/>
              <w:spacing w:before="107" w:line="188" w:lineRule="auto"/>
              <w:ind w:left="277"/>
            </w:pPr>
            <w:r>
              <w:rPr>
                <w:b/>
                <w:bCs/>
                <w:spacing w:val="-3"/>
              </w:rPr>
              <w:t>1.275</w:t>
            </w:r>
          </w:p>
        </w:tc>
        <w:tc>
          <w:tcPr>
            <w:tcW w:w="1005" w:type="dxa"/>
            <w:vAlign w:val="top"/>
          </w:tcPr>
          <w:p w14:paraId="157A0527">
            <w:pPr>
              <w:pStyle w:val="6"/>
              <w:spacing w:before="104" w:line="188" w:lineRule="auto"/>
              <w:ind w:left="324"/>
            </w:pPr>
            <w:r>
              <w:rPr>
                <w:spacing w:val="-2"/>
              </w:rPr>
              <w:t>0.90</w:t>
            </w:r>
          </w:p>
        </w:tc>
        <w:tc>
          <w:tcPr>
            <w:tcW w:w="1088" w:type="dxa"/>
            <w:vAlign w:val="top"/>
          </w:tcPr>
          <w:p w14:paraId="07750664">
            <w:pPr>
              <w:pStyle w:val="6"/>
              <w:spacing w:before="104" w:line="188" w:lineRule="auto"/>
              <w:ind w:left="313"/>
            </w:pPr>
            <w:r>
              <w:rPr>
                <w:spacing w:val="-2"/>
              </w:rPr>
              <w:t>0.005</w:t>
            </w:r>
          </w:p>
        </w:tc>
        <w:tc>
          <w:tcPr>
            <w:tcW w:w="965" w:type="dxa"/>
            <w:vAlign w:val="top"/>
          </w:tcPr>
          <w:p w14:paraId="69D6D741">
            <w:pPr>
              <w:pStyle w:val="6"/>
              <w:spacing w:before="104" w:line="188" w:lineRule="auto"/>
              <w:ind w:left="305"/>
            </w:pPr>
            <w:r>
              <w:rPr>
                <w:spacing w:val="-2"/>
              </w:rPr>
              <w:t>0.90</w:t>
            </w:r>
          </w:p>
        </w:tc>
        <w:tc>
          <w:tcPr>
            <w:tcW w:w="970" w:type="dxa"/>
            <w:vAlign w:val="top"/>
          </w:tcPr>
          <w:p w14:paraId="2A3D5410">
            <w:pPr>
              <w:pStyle w:val="6"/>
              <w:spacing w:before="104" w:line="188" w:lineRule="auto"/>
              <w:ind w:left="253"/>
            </w:pPr>
            <w:r>
              <w:rPr>
                <w:spacing w:val="-2"/>
              </w:rPr>
              <w:t>0.137</w:t>
            </w:r>
          </w:p>
        </w:tc>
      </w:tr>
      <w:tr w14:paraId="760C6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1" w:type="dxa"/>
            <w:vMerge w:val="continue"/>
            <w:tcBorders>
              <w:top w:val="nil"/>
              <w:bottom w:val="nil"/>
            </w:tcBorders>
            <w:vAlign w:val="top"/>
          </w:tcPr>
          <w:p w14:paraId="0D14FB4A">
            <w:pPr>
              <w:rPr>
                <w:rFonts w:ascii="Arial"/>
                <w:sz w:val="21"/>
              </w:rPr>
            </w:pPr>
          </w:p>
        </w:tc>
        <w:tc>
          <w:tcPr>
            <w:tcW w:w="1280" w:type="dxa"/>
            <w:vAlign w:val="top"/>
          </w:tcPr>
          <w:p w14:paraId="670AA87A">
            <w:pPr>
              <w:pStyle w:val="6"/>
              <w:spacing w:before="105" w:line="188" w:lineRule="auto"/>
              <w:ind w:left="220"/>
            </w:pPr>
            <w:r>
              <w:rPr>
                <w:spacing w:val="-1"/>
              </w:rPr>
              <w:t>2022.12.6</w:t>
            </w:r>
          </w:p>
        </w:tc>
        <w:tc>
          <w:tcPr>
            <w:tcW w:w="1006" w:type="dxa"/>
            <w:vAlign w:val="top"/>
          </w:tcPr>
          <w:p w14:paraId="514534CD">
            <w:pPr>
              <w:pStyle w:val="6"/>
              <w:spacing w:before="105" w:line="188" w:lineRule="auto"/>
              <w:ind w:left="270"/>
            </w:pPr>
            <w:r>
              <w:rPr>
                <w:spacing w:val="-2"/>
              </w:rPr>
              <w:t>0.415</w:t>
            </w:r>
          </w:p>
        </w:tc>
        <w:tc>
          <w:tcPr>
            <w:tcW w:w="1005" w:type="dxa"/>
            <w:vAlign w:val="top"/>
          </w:tcPr>
          <w:p w14:paraId="4E095CED">
            <w:pPr>
              <w:pStyle w:val="6"/>
              <w:spacing w:before="107" w:line="188" w:lineRule="auto"/>
              <w:ind w:left="277"/>
            </w:pPr>
            <w:r>
              <w:rPr>
                <w:b/>
                <w:bCs/>
                <w:spacing w:val="-3"/>
              </w:rPr>
              <w:t>1.375</w:t>
            </w:r>
          </w:p>
        </w:tc>
        <w:tc>
          <w:tcPr>
            <w:tcW w:w="1005" w:type="dxa"/>
            <w:vAlign w:val="top"/>
          </w:tcPr>
          <w:p w14:paraId="513286DF">
            <w:pPr>
              <w:pStyle w:val="6"/>
              <w:spacing w:before="105" w:line="188" w:lineRule="auto"/>
              <w:ind w:left="324"/>
            </w:pPr>
            <w:r>
              <w:rPr>
                <w:spacing w:val="-2"/>
              </w:rPr>
              <w:t>0.95</w:t>
            </w:r>
          </w:p>
        </w:tc>
        <w:tc>
          <w:tcPr>
            <w:tcW w:w="1088" w:type="dxa"/>
            <w:vAlign w:val="top"/>
          </w:tcPr>
          <w:p w14:paraId="42737A70">
            <w:pPr>
              <w:pStyle w:val="6"/>
              <w:spacing w:before="105" w:line="188" w:lineRule="auto"/>
              <w:ind w:left="313"/>
            </w:pPr>
            <w:r>
              <w:rPr>
                <w:spacing w:val="-2"/>
              </w:rPr>
              <w:t>0.007</w:t>
            </w:r>
          </w:p>
        </w:tc>
        <w:tc>
          <w:tcPr>
            <w:tcW w:w="965" w:type="dxa"/>
            <w:vAlign w:val="top"/>
          </w:tcPr>
          <w:p w14:paraId="0E665E72">
            <w:pPr>
              <w:pStyle w:val="6"/>
              <w:spacing w:before="105" w:line="188" w:lineRule="auto"/>
              <w:ind w:left="305"/>
            </w:pPr>
            <w:r>
              <w:rPr>
                <w:spacing w:val="-2"/>
              </w:rPr>
              <w:t>0.90</w:t>
            </w:r>
          </w:p>
        </w:tc>
        <w:tc>
          <w:tcPr>
            <w:tcW w:w="970" w:type="dxa"/>
            <w:vAlign w:val="top"/>
          </w:tcPr>
          <w:p w14:paraId="4F9F835F">
            <w:pPr>
              <w:pStyle w:val="6"/>
              <w:spacing w:before="105" w:line="188" w:lineRule="auto"/>
              <w:ind w:left="253"/>
            </w:pPr>
            <w:r>
              <w:rPr>
                <w:spacing w:val="-2"/>
              </w:rPr>
              <w:t>0.104</w:t>
            </w:r>
          </w:p>
        </w:tc>
      </w:tr>
      <w:tr w14:paraId="3A014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01" w:type="dxa"/>
            <w:vMerge w:val="continue"/>
            <w:tcBorders>
              <w:top w:val="nil"/>
            </w:tcBorders>
            <w:vAlign w:val="top"/>
          </w:tcPr>
          <w:p w14:paraId="779A7C93">
            <w:pPr>
              <w:rPr>
                <w:rFonts w:ascii="Arial"/>
                <w:sz w:val="21"/>
              </w:rPr>
            </w:pPr>
          </w:p>
        </w:tc>
        <w:tc>
          <w:tcPr>
            <w:tcW w:w="1280" w:type="dxa"/>
            <w:vAlign w:val="top"/>
          </w:tcPr>
          <w:p w14:paraId="42DB88CA">
            <w:pPr>
              <w:pStyle w:val="6"/>
              <w:spacing w:before="105" w:line="188" w:lineRule="auto"/>
              <w:ind w:left="220"/>
            </w:pPr>
            <w:r>
              <w:rPr>
                <w:spacing w:val="-1"/>
              </w:rPr>
              <w:t>2022.12.7</w:t>
            </w:r>
          </w:p>
        </w:tc>
        <w:tc>
          <w:tcPr>
            <w:tcW w:w="1006" w:type="dxa"/>
            <w:vAlign w:val="top"/>
          </w:tcPr>
          <w:p w14:paraId="6C6F4AB5">
            <w:pPr>
              <w:pStyle w:val="6"/>
              <w:spacing w:before="105" w:line="188" w:lineRule="auto"/>
              <w:ind w:left="323"/>
            </w:pPr>
            <w:r>
              <w:rPr>
                <w:spacing w:val="-2"/>
              </w:rPr>
              <w:t>0.51</w:t>
            </w:r>
          </w:p>
        </w:tc>
        <w:tc>
          <w:tcPr>
            <w:tcW w:w="1005" w:type="dxa"/>
            <w:vAlign w:val="top"/>
          </w:tcPr>
          <w:p w14:paraId="41391608">
            <w:pPr>
              <w:pStyle w:val="6"/>
              <w:spacing w:before="107" w:line="188" w:lineRule="auto"/>
              <w:ind w:left="330"/>
            </w:pPr>
            <w:r>
              <w:rPr>
                <w:b/>
                <w:bCs/>
                <w:spacing w:val="-4"/>
              </w:rPr>
              <w:t>1.30</w:t>
            </w:r>
          </w:p>
        </w:tc>
        <w:tc>
          <w:tcPr>
            <w:tcW w:w="1005" w:type="dxa"/>
            <w:vAlign w:val="top"/>
          </w:tcPr>
          <w:p w14:paraId="46869244">
            <w:pPr>
              <w:pStyle w:val="6"/>
              <w:spacing w:before="105" w:line="188" w:lineRule="auto"/>
              <w:ind w:left="324"/>
            </w:pPr>
            <w:r>
              <w:rPr>
                <w:spacing w:val="-2"/>
              </w:rPr>
              <w:t>0.95</w:t>
            </w:r>
          </w:p>
        </w:tc>
        <w:tc>
          <w:tcPr>
            <w:tcW w:w="1088" w:type="dxa"/>
            <w:vAlign w:val="top"/>
          </w:tcPr>
          <w:p w14:paraId="36520BDB">
            <w:pPr>
              <w:pStyle w:val="6"/>
              <w:spacing w:before="105" w:line="188" w:lineRule="auto"/>
              <w:ind w:left="313"/>
            </w:pPr>
            <w:r>
              <w:rPr>
                <w:spacing w:val="-2"/>
              </w:rPr>
              <w:t>0.009</w:t>
            </w:r>
          </w:p>
        </w:tc>
        <w:tc>
          <w:tcPr>
            <w:tcW w:w="965" w:type="dxa"/>
            <w:vAlign w:val="top"/>
          </w:tcPr>
          <w:p w14:paraId="64328FA3">
            <w:pPr>
              <w:pStyle w:val="6"/>
              <w:spacing w:before="105" w:line="188" w:lineRule="auto"/>
              <w:ind w:left="305"/>
            </w:pPr>
            <w:r>
              <w:rPr>
                <w:spacing w:val="-2"/>
              </w:rPr>
              <w:t>0.90</w:t>
            </w:r>
          </w:p>
        </w:tc>
        <w:tc>
          <w:tcPr>
            <w:tcW w:w="970" w:type="dxa"/>
            <w:vAlign w:val="top"/>
          </w:tcPr>
          <w:p w14:paraId="14E55D96">
            <w:pPr>
              <w:pStyle w:val="6"/>
              <w:spacing w:before="105" w:line="188" w:lineRule="auto"/>
              <w:ind w:left="253"/>
            </w:pPr>
            <w:r>
              <w:rPr>
                <w:spacing w:val="-2"/>
              </w:rPr>
              <w:t>0.127</w:t>
            </w:r>
          </w:p>
        </w:tc>
      </w:tr>
    </w:tbl>
    <w:p w14:paraId="0F8E4870">
      <w:pPr>
        <w:spacing w:before="281"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3.3.3  </w:t>
      </w:r>
      <w:r>
        <w:rPr>
          <w:rFonts w:ascii="宋体" w:hAnsi="宋体" w:eastAsia="宋体" w:cs="宋体"/>
          <w:b/>
          <w:bCs/>
          <w:spacing w:val="-2"/>
          <w:sz w:val="30"/>
          <w:szCs w:val="30"/>
        </w:rPr>
        <w:t>地下水环境质量</w:t>
      </w:r>
    </w:p>
    <w:p w14:paraId="265D5DDA">
      <w:pPr>
        <w:pStyle w:val="2"/>
        <w:spacing w:line="259" w:lineRule="auto"/>
      </w:pPr>
    </w:p>
    <w:p w14:paraId="7DA8FB06">
      <w:pPr>
        <w:spacing w:before="78" w:line="221"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）监测点位</w:t>
      </w:r>
    </w:p>
    <w:p w14:paraId="774E9D90">
      <w:pPr>
        <w:spacing w:before="181" w:line="361" w:lineRule="auto"/>
        <w:ind w:left="39" w:right="82" w:firstLine="485"/>
        <w:rPr>
          <w:rFonts w:ascii="宋体" w:hAnsi="宋体" w:eastAsia="宋体" w:cs="宋体"/>
          <w:sz w:val="24"/>
          <w:szCs w:val="24"/>
        </w:rPr>
      </w:pPr>
      <w:r>
        <w:rPr>
          <w:rFonts w:ascii="宋体" w:hAnsi="宋体" w:eastAsia="宋体" w:cs="宋体"/>
          <w:spacing w:val="4"/>
          <w:sz w:val="24"/>
          <w:szCs w:val="24"/>
        </w:rPr>
        <w:t xml:space="preserve">结合本项目地下水评价范围及项目周围水井分布情况，本次评价共布置 </w:t>
      </w:r>
      <w:r>
        <w:rPr>
          <w:rFonts w:ascii="Times New Roman" w:hAnsi="Times New Roman" w:eastAsia="Times New Roman" w:cs="Times New Roman"/>
          <w:spacing w:val="4"/>
          <w:sz w:val="24"/>
          <w:szCs w:val="24"/>
        </w:rPr>
        <w:t>6</w:t>
      </w:r>
      <w:r>
        <w:rPr>
          <w:rFonts w:ascii="宋体" w:hAnsi="宋体" w:eastAsia="宋体" w:cs="宋体"/>
          <w:spacing w:val="-9"/>
          <w:sz w:val="24"/>
          <w:szCs w:val="24"/>
        </w:rPr>
        <w:t>个地下水监测点位，全部为农户地下水井，其中</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G3</w:t>
      </w:r>
      <w:r>
        <w:rPr>
          <w:rFonts w:ascii="宋体" w:hAnsi="宋体" w:eastAsia="宋体" w:cs="宋体"/>
          <w:spacing w:val="-9"/>
          <w:sz w:val="24"/>
          <w:szCs w:val="24"/>
        </w:rPr>
        <w:t>、</w:t>
      </w:r>
      <w:r>
        <w:rPr>
          <w:rFonts w:ascii="Times New Roman" w:hAnsi="Times New Roman" w:eastAsia="Times New Roman" w:cs="Times New Roman"/>
          <w:spacing w:val="-9"/>
          <w:sz w:val="24"/>
          <w:szCs w:val="24"/>
        </w:rPr>
        <w:t xml:space="preserve">G4 </w:t>
      </w:r>
      <w:r>
        <w:rPr>
          <w:rFonts w:ascii="宋体" w:hAnsi="宋体" w:eastAsia="宋体" w:cs="宋体"/>
          <w:spacing w:val="-9"/>
          <w:sz w:val="24"/>
          <w:szCs w:val="24"/>
        </w:rPr>
        <w:t>监测点位于消纳地附近，</w:t>
      </w:r>
      <w:r>
        <w:rPr>
          <w:rFonts w:ascii="宋体" w:hAnsi="宋体" w:eastAsia="宋体" w:cs="宋体"/>
          <w:spacing w:val="-7"/>
          <w:sz w:val="24"/>
          <w:szCs w:val="24"/>
        </w:rPr>
        <w:t>监测点位分布如下：</w:t>
      </w:r>
    </w:p>
    <w:p w14:paraId="0E8B187B">
      <w:pPr>
        <w:spacing w:before="9" w:line="222" w:lineRule="auto"/>
        <w:ind w:left="276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3.3-8  </w:t>
      </w:r>
      <w:r>
        <w:rPr>
          <w:rFonts w:ascii="黑体" w:hAnsi="黑体" w:eastAsia="黑体" w:cs="黑体"/>
          <w:spacing w:val="-1"/>
          <w:sz w:val="21"/>
          <w:szCs w:val="21"/>
        </w:rPr>
        <w:t>地下水监测点位分布表</w:t>
      </w:r>
    </w:p>
    <w:p w14:paraId="0CE3A58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2125"/>
        <w:gridCol w:w="1842"/>
        <w:gridCol w:w="2785"/>
      </w:tblGrid>
      <w:tr w14:paraId="0B92A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68" w:type="dxa"/>
            <w:vAlign w:val="top"/>
          </w:tcPr>
          <w:p w14:paraId="7DB0046A">
            <w:pPr>
              <w:spacing w:before="68" w:line="221" w:lineRule="auto"/>
              <w:ind w:left="371"/>
              <w:rPr>
                <w:rFonts w:ascii="宋体" w:hAnsi="宋体" w:eastAsia="宋体" w:cs="宋体"/>
                <w:sz w:val="21"/>
                <w:szCs w:val="21"/>
              </w:rPr>
            </w:pPr>
            <w:r>
              <w:rPr>
                <w:rFonts w:ascii="宋体" w:hAnsi="宋体" w:eastAsia="宋体" w:cs="宋体"/>
                <w:spacing w:val="-2"/>
                <w:sz w:val="21"/>
                <w:szCs w:val="21"/>
              </w:rPr>
              <w:t>监测点位</w:t>
            </w:r>
          </w:p>
        </w:tc>
        <w:tc>
          <w:tcPr>
            <w:tcW w:w="2125" w:type="dxa"/>
            <w:vAlign w:val="top"/>
          </w:tcPr>
          <w:p w14:paraId="38A43109">
            <w:pPr>
              <w:spacing w:before="68" w:line="221" w:lineRule="auto"/>
              <w:ind w:left="657"/>
              <w:rPr>
                <w:rFonts w:ascii="宋体" w:hAnsi="宋体" w:eastAsia="宋体" w:cs="宋体"/>
                <w:sz w:val="21"/>
                <w:szCs w:val="21"/>
              </w:rPr>
            </w:pPr>
            <w:r>
              <w:rPr>
                <w:rFonts w:ascii="宋体" w:hAnsi="宋体" w:eastAsia="宋体" w:cs="宋体"/>
                <w:spacing w:val="-4"/>
                <w:sz w:val="21"/>
                <w:szCs w:val="21"/>
              </w:rPr>
              <w:t>点位名称</w:t>
            </w:r>
          </w:p>
        </w:tc>
        <w:tc>
          <w:tcPr>
            <w:tcW w:w="1842" w:type="dxa"/>
            <w:vAlign w:val="top"/>
          </w:tcPr>
          <w:p w14:paraId="636ADEF2">
            <w:pPr>
              <w:spacing w:before="68" w:line="221" w:lineRule="auto"/>
              <w:ind w:left="507"/>
              <w:rPr>
                <w:rFonts w:ascii="宋体" w:hAnsi="宋体" w:eastAsia="宋体" w:cs="宋体"/>
                <w:sz w:val="21"/>
                <w:szCs w:val="21"/>
              </w:rPr>
            </w:pPr>
            <w:r>
              <w:rPr>
                <w:rFonts w:ascii="宋体" w:hAnsi="宋体" w:eastAsia="宋体" w:cs="宋体"/>
                <w:spacing w:val="-2"/>
                <w:sz w:val="21"/>
                <w:szCs w:val="21"/>
              </w:rPr>
              <w:t>监测时间</w:t>
            </w:r>
          </w:p>
        </w:tc>
        <w:tc>
          <w:tcPr>
            <w:tcW w:w="2785" w:type="dxa"/>
            <w:vAlign w:val="top"/>
          </w:tcPr>
          <w:p w14:paraId="5DECE2FA">
            <w:pPr>
              <w:spacing w:before="68" w:line="221" w:lineRule="auto"/>
              <w:ind w:left="1190"/>
              <w:rPr>
                <w:rFonts w:ascii="宋体" w:hAnsi="宋体" w:eastAsia="宋体" w:cs="宋体"/>
                <w:sz w:val="21"/>
                <w:szCs w:val="21"/>
              </w:rPr>
            </w:pPr>
            <w:r>
              <w:rPr>
                <w:rFonts w:ascii="宋体" w:hAnsi="宋体" w:eastAsia="宋体" w:cs="宋体"/>
                <w:spacing w:val="-3"/>
                <w:sz w:val="21"/>
                <w:szCs w:val="21"/>
              </w:rPr>
              <w:t>备注</w:t>
            </w:r>
          </w:p>
        </w:tc>
      </w:tr>
      <w:tr w14:paraId="389E7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68" w:type="dxa"/>
            <w:vAlign w:val="top"/>
          </w:tcPr>
          <w:p w14:paraId="407C40E9">
            <w:pPr>
              <w:pStyle w:val="6"/>
              <w:spacing w:before="101" w:line="188" w:lineRule="auto"/>
              <w:ind w:left="701"/>
            </w:pPr>
            <w:r>
              <w:rPr>
                <w:spacing w:val="-6"/>
              </w:rPr>
              <w:t>1#</w:t>
            </w:r>
          </w:p>
        </w:tc>
        <w:tc>
          <w:tcPr>
            <w:tcW w:w="2125" w:type="dxa"/>
            <w:vAlign w:val="top"/>
          </w:tcPr>
          <w:p w14:paraId="59AF443D">
            <w:pPr>
              <w:pStyle w:val="6"/>
              <w:spacing w:before="64" w:line="220" w:lineRule="auto"/>
              <w:ind w:left="781"/>
            </w:pPr>
            <w:r>
              <w:rPr>
                <w:rFonts w:ascii="宋体" w:hAnsi="宋体" w:eastAsia="宋体" w:cs="宋体"/>
                <w:spacing w:val="-4"/>
              </w:rPr>
              <w:t>水井</w:t>
            </w:r>
            <w:r>
              <w:rPr>
                <w:rFonts w:ascii="宋体" w:hAnsi="宋体" w:eastAsia="宋体" w:cs="宋体"/>
                <w:spacing w:val="-28"/>
              </w:rPr>
              <w:t xml:space="preserve"> </w:t>
            </w:r>
            <w:r>
              <w:rPr>
                <w:spacing w:val="-4"/>
              </w:rPr>
              <w:t>1</w:t>
            </w:r>
          </w:p>
        </w:tc>
        <w:tc>
          <w:tcPr>
            <w:tcW w:w="1842" w:type="dxa"/>
            <w:vMerge w:val="restart"/>
            <w:tcBorders>
              <w:bottom w:val="nil"/>
            </w:tcBorders>
            <w:vAlign w:val="top"/>
          </w:tcPr>
          <w:p w14:paraId="73136580">
            <w:pPr>
              <w:spacing w:line="288" w:lineRule="auto"/>
              <w:rPr>
                <w:rFonts w:ascii="Arial"/>
                <w:sz w:val="21"/>
              </w:rPr>
            </w:pPr>
          </w:p>
          <w:p w14:paraId="534AF2C0">
            <w:pPr>
              <w:spacing w:line="289" w:lineRule="auto"/>
              <w:rPr>
                <w:rFonts w:ascii="Arial"/>
                <w:sz w:val="21"/>
              </w:rPr>
            </w:pPr>
          </w:p>
          <w:p w14:paraId="6DA53FC6">
            <w:pPr>
              <w:spacing w:line="289" w:lineRule="auto"/>
              <w:rPr>
                <w:rFonts w:ascii="Arial"/>
                <w:sz w:val="21"/>
              </w:rPr>
            </w:pPr>
          </w:p>
          <w:p w14:paraId="51CD9F97">
            <w:pPr>
              <w:pStyle w:val="6"/>
              <w:spacing w:before="68" w:line="220" w:lineRule="auto"/>
              <w:ind w:left="241"/>
              <w:rPr>
                <w:rFonts w:ascii="宋体" w:hAnsi="宋体" w:eastAsia="宋体" w:cs="宋体"/>
              </w:rPr>
            </w:pPr>
            <w:r>
              <w:rPr>
                <w:spacing w:val="-1"/>
              </w:rPr>
              <w:t>2022</w:t>
            </w:r>
            <w:r>
              <w:rPr>
                <w:rFonts w:ascii="宋体" w:hAnsi="宋体" w:eastAsia="宋体" w:cs="宋体"/>
                <w:spacing w:val="-1"/>
              </w:rPr>
              <w:t>年</w:t>
            </w:r>
            <w:r>
              <w:rPr>
                <w:spacing w:val="-1"/>
              </w:rPr>
              <w:t>12</w:t>
            </w:r>
            <w:r>
              <w:rPr>
                <w:rFonts w:ascii="宋体" w:hAnsi="宋体" w:eastAsia="宋体" w:cs="宋体"/>
                <w:spacing w:val="-1"/>
              </w:rPr>
              <w:t>月</w:t>
            </w:r>
            <w:r>
              <w:rPr>
                <w:spacing w:val="-1"/>
              </w:rPr>
              <w:t>5</w:t>
            </w:r>
            <w:r>
              <w:rPr>
                <w:rFonts w:ascii="宋体" w:hAnsi="宋体" w:eastAsia="宋体" w:cs="宋体"/>
                <w:spacing w:val="-1"/>
              </w:rPr>
              <w:t>日</w:t>
            </w:r>
          </w:p>
        </w:tc>
        <w:tc>
          <w:tcPr>
            <w:tcW w:w="2785" w:type="dxa"/>
            <w:vAlign w:val="top"/>
          </w:tcPr>
          <w:p w14:paraId="1CA4EADE">
            <w:pPr>
              <w:spacing w:before="64" w:line="220" w:lineRule="auto"/>
              <w:ind w:left="560"/>
              <w:rPr>
                <w:rFonts w:ascii="宋体" w:hAnsi="宋体" w:eastAsia="宋体" w:cs="宋体"/>
                <w:sz w:val="21"/>
                <w:szCs w:val="21"/>
              </w:rPr>
            </w:pPr>
            <w:r>
              <w:rPr>
                <w:rFonts w:ascii="宋体" w:hAnsi="宋体" w:eastAsia="宋体" w:cs="宋体"/>
                <w:spacing w:val="-2"/>
                <w:sz w:val="21"/>
                <w:szCs w:val="21"/>
              </w:rPr>
              <w:t>水质、水位监测点</w:t>
            </w:r>
          </w:p>
        </w:tc>
      </w:tr>
      <w:tr w14:paraId="2A75C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68" w:type="dxa"/>
            <w:vAlign w:val="top"/>
          </w:tcPr>
          <w:p w14:paraId="31E20128">
            <w:pPr>
              <w:pStyle w:val="6"/>
              <w:spacing w:before="103" w:line="188" w:lineRule="auto"/>
              <w:ind w:left="681"/>
            </w:pPr>
            <w:r>
              <w:rPr>
                <w:spacing w:val="-1"/>
              </w:rPr>
              <w:t>2#</w:t>
            </w:r>
          </w:p>
        </w:tc>
        <w:tc>
          <w:tcPr>
            <w:tcW w:w="2125" w:type="dxa"/>
            <w:vAlign w:val="top"/>
          </w:tcPr>
          <w:p w14:paraId="00388834">
            <w:pPr>
              <w:pStyle w:val="6"/>
              <w:spacing w:before="66" w:line="220" w:lineRule="auto"/>
              <w:ind w:left="781"/>
            </w:pPr>
            <w:r>
              <w:rPr>
                <w:rFonts w:ascii="宋体" w:hAnsi="宋体" w:eastAsia="宋体" w:cs="宋体"/>
                <w:spacing w:val="-4"/>
              </w:rPr>
              <w:t>水井</w:t>
            </w:r>
            <w:r>
              <w:rPr>
                <w:rFonts w:ascii="宋体" w:hAnsi="宋体" w:eastAsia="宋体" w:cs="宋体"/>
                <w:spacing w:val="-48"/>
              </w:rPr>
              <w:t xml:space="preserve"> </w:t>
            </w:r>
            <w:r>
              <w:rPr>
                <w:spacing w:val="-4"/>
              </w:rPr>
              <w:t>2</w:t>
            </w:r>
          </w:p>
        </w:tc>
        <w:tc>
          <w:tcPr>
            <w:tcW w:w="1842" w:type="dxa"/>
            <w:vMerge w:val="continue"/>
            <w:tcBorders>
              <w:top w:val="nil"/>
              <w:bottom w:val="nil"/>
            </w:tcBorders>
            <w:vAlign w:val="top"/>
          </w:tcPr>
          <w:p w14:paraId="3B450B7B">
            <w:pPr>
              <w:rPr>
                <w:rFonts w:ascii="Arial"/>
                <w:sz w:val="21"/>
              </w:rPr>
            </w:pPr>
          </w:p>
        </w:tc>
        <w:tc>
          <w:tcPr>
            <w:tcW w:w="2785" w:type="dxa"/>
            <w:vAlign w:val="top"/>
          </w:tcPr>
          <w:p w14:paraId="0F345D30">
            <w:pPr>
              <w:spacing w:before="66" w:line="220" w:lineRule="auto"/>
              <w:ind w:left="560"/>
              <w:rPr>
                <w:rFonts w:ascii="宋体" w:hAnsi="宋体" w:eastAsia="宋体" w:cs="宋体"/>
                <w:sz w:val="21"/>
                <w:szCs w:val="21"/>
              </w:rPr>
            </w:pPr>
            <w:r>
              <w:rPr>
                <w:rFonts w:ascii="宋体" w:hAnsi="宋体" w:eastAsia="宋体" w:cs="宋体"/>
                <w:spacing w:val="-2"/>
                <w:sz w:val="21"/>
                <w:szCs w:val="21"/>
              </w:rPr>
              <w:t>水质、水位监测点</w:t>
            </w:r>
          </w:p>
        </w:tc>
      </w:tr>
      <w:tr w14:paraId="146F5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68" w:type="dxa"/>
            <w:vAlign w:val="top"/>
          </w:tcPr>
          <w:p w14:paraId="41E2FA53">
            <w:pPr>
              <w:pStyle w:val="6"/>
              <w:spacing w:before="103" w:line="188" w:lineRule="auto"/>
              <w:ind w:left="685"/>
            </w:pPr>
            <w:r>
              <w:rPr>
                <w:spacing w:val="-3"/>
              </w:rPr>
              <w:t>3#</w:t>
            </w:r>
          </w:p>
        </w:tc>
        <w:tc>
          <w:tcPr>
            <w:tcW w:w="2125" w:type="dxa"/>
            <w:vAlign w:val="top"/>
          </w:tcPr>
          <w:p w14:paraId="5E882131">
            <w:pPr>
              <w:pStyle w:val="6"/>
              <w:spacing w:before="66" w:line="220" w:lineRule="auto"/>
              <w:ind w:left="781"/>
            </w:pPr>
            <w:r>
              <w:rPr>
                <w:rFonts w:ascii="宋体" w:hAnsi="宋体" w:eastAsia="宋体" w:cs="宋体"/>
                <w:spacing w:val="-4"/>
              </w:rPr>
              <w:t>水井</w:t>
            </w:r>
            <w:r>
              <w:rPr>
                <w:rFonts w:ascii="宋体" w:hAnsi="宋体" w:eastAsia="宋体" w:cs="宋体"/>
                <w:spacing w:val="-44"/>
              </w:rPr>
              <w:t xml:space="preserve"> </w:t>
            </w:r>
            <w:r>
              <w:rPr>
                <w:spacing w:val="-4"/>
              </w:rPr>
              <w:t>3</w:t>
            </w:r>
          </w:p>
        </w:tc>
        <w:tc>
          <w:tcPr>
            <w:tcW w:w="1842" w:type="dxa"/>
            <w:vMerge w:val="continue"/>
            <w:tcBorders>
              <w:top w:val="nil"/>
              <w:bottom w:val="nil"/>
            </w:tcBorders>
            <w:vAlign w:val="top"/>
          </w:tcPr>
          <w:p w14:paraId="26C87E58">
            <w:pPr>
              <w:rPr>
                <w:rFonts w:ascii="Arial"/>
                <w:sz w:val="21"/>
              </w:rPr>
            </w:pPr>
          </w:p>
        </w:tc>
        <w:tc>
          <w:tcPr>
            <w:tcW w:w="2785" w:type="dxa"/>
            <w:vAlign w:val="top"/>
          </w:tcPr>
          <w:p w14:paraId="3F65130C">
            <w:pPr>
              <w:spacing w:before="66" w:line="220" w:lineRule="auto"/>
              <w:ind w:left="560"/>
              <w:rPr>
                <w:rFonts w:ascii="宋体" w:hAnsi="宋体" w:eastAsia="宋体" w:cs="宋体"/>
                <w:sz w:val="21"/>
                <w:szCs w:val="21"/>
              </w:rPr>
            </w:pPr>
            <w:r>
              <w:rPr>
                <w:rFonts w:ascii="宋体" w:hAnsi="宋体" w:eastAsia="宋体" w:cs="宋体"/>
                <w:spacing w:val="-2"/>
                <w:sz w:val="21"/>
                <w:szCs w:val="21"/>
              </w:rPr>
              <w:t>水质、水位监测点</w:t>
            </w:r>
          </w:p>
        </w:tc>
      </w:tr>
      <w:tr w14:paraId="3B03A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68" w:type="dxa"/>
            <w:vAlign w:val="top"/>
          </w:tcPr>
          <w:p w14:paraId="4AF02D71">
            <w:pPr>
              <w:pStyle w:val="6"/>
              <w:spacing w:before="103" w:line="188" w:lineRule="auto"/>
              <w:ind w:left="679"/>
            </w:pPr>
            <w:r>
              <w:rPr>
                <w:spacing w:val="-1"/>
              </w:rPr>
              <w:t>4#</w:t>
            </w:r>
          </w:p>
        </w:tc>
        <w:tc>
          <w:tcPr>
            <w:tcW w:w="2125" w:type="dxa"/>
            <w:vAlign w:val="top"/>
          </w:tcPr>
          <w:p w14:paraId="563E8FF7">
            <w:pPr>
              <w:pStyle w:val="6"/>
              <w:spacing w:before="66" w:line="220" w:lineRule="auto"/>
              <w:ind w:left="781"/>
            </w:pPr>
            <w:r>
              <w:rPr>
                <w:rFonts w:ascii="宋体" w:hAnsi="宋体" w:eastAsia="宋体" w:cs="宋体"/>
                <w:spacing w:val="-4"/>
              </w:rPr>
              <w:t>水井</w:t>
            </w:r>
            <w:r>
              <w:rPr>
                <w:rFonts w:ascii="宋体" w:hAnsi="宋体" w:eastAsia="宋体" w:cs="宋体"/>
                <w:spacing w:val="-49"/>
              </w:rPr>
              <w:t xml:space="preserve"> </w:t>
            </w:r>
            <w:r>
              <w:rPr>
                <w:spacing w:val="-4"/>
              </w:rPr>
              <w:t>4</w:t>
            </w:r>
          </w:p>
        </w:tc>
        <w:tc>
          <w:tcPr>
            <w:tcW w:w="1842" w:type="dxa"/>
            <w:vMerge w:val="continue"/>
            <w:tcBorders>
              <w:top w:val="nil"/>
              <w:bottom w:val="nil"/>
            </w:tcBorders>
            <w:vAlign w:val="top"/>
          </w:tcPr>
          <w:p w14:paraId="56B4D8B2">
            <w:pPr>
              <w:rPr>
                <w:rFonts w:ascii="Arial"/>
                <w:sz w:val="21"/>
              </w:rPr>
            </w:pPr>
          </w:p>
        </w:tc>
        <w:tc>
          <w:tcPr>
            <w:tcW w:w="2785" w:type="dxa"/>
            <w:vAlign w:val="top"/>
          </w:tcPr>
          <w:p w14:paraId="2324A3B5">
            <w:pPr>
              <w:spacing w:before="66" w:line="220" w:lineRule="auto"/>
              <w:ind w:left="875"/>
              <w:rPr>
                <w:rFonts w:ascii="宋体" w:hAnsi="宋体" w:eastAsia="宋体" w:cs="宋体"/>
                <w:sz w:val="21"/>
                <w:szCs w:val="21"/>
              </w:rPr>
            </w:pPr>
            <w:r>
              <w:rPr>
                <w:rFonts w:ascii="宋体" w:hAnsi="宋体" w:eastAsia="宋体" w:cs="宋体"/>
                <w:spacing w:val="-2"/>
                <w:sz w:val="21"/>
                <w:szCs w:val="21"/>
              </w:rPr>
              <w:t>水位监测点</w:t>
            </w:r>
          </w:p>
        </w:tc>
      </w:tr>
      <w:tr w14:paraId="4C8E6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68" w:type="dxa"/>
            <w:vAlign w:val="top"/>
          </w:tcPr>
          <w:p w14:paraId="45679757">
            <w:pPr>
              <w:pStyle w:val="6"/>
              <w:spacing w:before="105" w:line="188" w:lineRule="auto"/>
              <w:ind w:left="686"/>
            </w:pPr>
            <w:r>
              <w:rPr>
                <w:spacing w:val="-3"/>
              </w:rPr>
              <w:t>5#</w:t>
            </w:r>
          </w:p>
        </w:tc>
        <w:tc>
          <w:tcPr>
            <w:tcW w:w="2125" w:type="dxa"/>
            <w:vAlign w:val="top"/>
          </w:tcPr>
          <w:p w14:paraId="2430022D">
            <w:pPr>
              <w:pStyle w:val="6"/>
              <w:spacing w:before="68" w:line="220" w:lineRule="auto"/>
              <w:ind w:left="781"/>
            </w:pPr>
            <w:r>
              <w:rPr>
                <w:rFonts w:ascii="宋体" w:hAnsi="宋体" w:eastAsia="宋体" w:cs="宋体"/>
                <w:spacing w:val="-4"/>
              </w:rPr>
              <w:t>水井</w:t>
            </w:r>
            <w:r>
              <w:rPr>
                <w:rFonts w:ascii="宋体" w:hAnsi="宋体" w:eastAsia="宋体" w:cs="宋体"/>
                <w:spacing w:val="-42"/>
              </w:rPr>
              <w:t xml:space="preserve"> </w:t>
            </w:r>
            <w:r>
              <w:rPr>
                <w:spacing w:val="-4"/>
              </w:rPr>
              <w:t>5</w:t>
            </w:r>
          </w:p>
        </w:tc>
        <w:tc>
          <w:tcPr>
            <w:tcW w:w="1842" w:type="dxa"/>
            <w:vMerge w:val="continue"/>
            <w:tcBorders>
              <w:top w:val="nil"/>
              <w:bottom w:val="nil"/>
            </w:tcBorders>
            <w:vAlign w:val="top"/>
          </w:tcPr>
          <w:p w14:paraId="1EEC0A15">
            <w:pPr>
              <w:rPr>
                <w:rFonts w:ascii="Arial"/>
                <w:sz w:val="21"/>
              </w:rPr>
            </w:pPr>
          </w:p>
        </w:tc>
        <w:tc>
          <w:tcPr>
            <w:tcW w:w="2785" w:type="dxa"/>
            <w:vAlign w:val="top"/>
          </w:tcPr>
          <w:p w14:paraId="40A398EF">
            <w:pPr>
              <w:spacing w:before="68" w:line="220" w:lineRule="auto"/>
              <w:ind w:left="875"/>
              <w:rPr>
                <w:rFonts w:ascii="宋体" w:hAnsi="宋体" w:eastAsia="宋体" w:cs="宋体"/>
                <w:sz w:val="21"/>
                <w:szCs w:val="21"/>
              </w:rPr>
            </w:pPr>
            <w:r>
              <w:rPr>
                <w:rFonts w:ascii="宋体" w:hAnsi="宋体" w:eastAsia="宋体" w:cs="宋体"/>
                <w:spacing w:val="-2"/>
                <w:sz w:val="21"/>
                <w:szCs w:val="21"/>
              </w:rPr>
              <w:t>水位监测点</w:t>
            </w:r>
          </w:p>
        </w:tc>
      </w:tr>
      <w:tr w14:paraId="5E676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68" w:type="dxa"/>
            <w:vAlign w:val="top"/>
          </w:tcPr>
          <w:p w14:paraId="52B1674C">
            <w:pPr>
              <w:pStyle w:val="6"/>
              <w:spacing w:before="105" w:line="188" w:lineRule="auto"/>
              <w:ind w:left="685"/>
            </w:pPr>
            <w:r>
              <w:rPr>
                <w:spacing w:val="-3"/>
              </w:rPr>
              <w:t>6#</w:t>
            </w:r>
          </w:p>
        </w:tc>
        <w:tc>
          <w:tcPr>
            <w:tcW w:w="2125" w:type="dxa"/>
            <w:vAlign w:val="top"/>
          </w:tcPr>
          <w:p w14:paraId="56C1295F">
            <w:pPr>
              <w:pStyle w:val="6"/>
              <w:spacing w:before="68" w:line="220" w:lineRule="auto"/>
              <w:ind w:left="781"/>
            </w:pPr>
            <w:r>
              <w:rPr>
                <w:rFonts w:ascii="宋体" w:hAnsi="宋体" w:eastAsia="宋体" w:cs="宋体"/>
                <w:spacing w:val="-4"/>
              </w:rPr>
              <w:t>水井</w:t>
            </w:r>
            <w:r>
              <w:rPr>
                <w:rFonts w:ascii="宋体" w:hAnsi="宋体" w:eastAsia="宋体" w:cs="宋体"/>
                <w:spacing w:val="-43"/>
              </w:rPr>
              <w:t xml:space="preserve"> </w:t>
            </w:r>
            <w:r>
              <w:rPr>
                <w:spacing w:val="-4"/>
              </w:rPr>
              <w:t>6</w:t>
            </w:r>
          </w:p>
        </w:tc>
        <w:tc>
          <w:tcPr>
            <w:tcW w:w="1842" w:type="dxa"/>
            <w:vMerge w:val="continue"/>
            <w:tcBorders>
              <w:top w:val="nil"/>
            </w:tcBorders>
            <w:vAlign w:val="top"/>
          </w:tcPr>
          <w:p w14:paraId="682936CC">
            <w:pPr>
              <w:rPr>
                <w:rFonts w:ascii="Arial"/>
                <w:sz w:val="21"/>
              </w:rPr>
            </w:pPr>
          </w:p>
        </w:tc>
        <w:tc>
          <w:tcPr>
            <w:tcW w:w="2785" w:type="dxa"/>
            <w:vAlign w:val="top"/>
          </w:tcPr>
          <w:p w14:paraId="2E3DB33D">
            <w:pPr>
              <w:spacing w:before="68" w:line="220" w:lineRule="auto"/>
              <w:ind w:left="875"/>
              <w:rPr>
                <w:rFonts w:ascii="宋体" w:hAnsi="宋体" w:eastAsia="宋体" w:cs="宋体"/>
                <w:sz w:val="21"/>
                <w:szCs w:val="21"/>
              </w:rPr>
            </w:pPr>
            <w:r>
              <w:rPr>
                <w:rFonts w:ascii="宋体" w:hAnsi="宋体" w:eastAsia="宋体" w:cs="宋体"/>
                <w:spacing w:val="-2"/>
                <w:sz w:val="21"/>
                <w:szCs w:val="21"/>
              </w:rPr>
              <w:t>水位监测点</w:t>
            </w:r>
          </w:p>
        </w:tc>
      </w:tr>
    </w:tbl>
    <w:p w14:paraId="7ECA0D4F">
      <w:pPr>
        <w:spacing w:before="235" w:line="220" w:lineRule="auto"/>
        <w:ind w:left="52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）监测项目</w:t>
      </w:r>
    </w:p>
    <w:p w14:paraId="05255B87">
      <w:pPr>
        <w:spacing w:before="167" w:line="223" w:lineRule="auto"/>
        <w:ind w:left="514"/>
        <w:rPr>
          <w:rFonts w:ascii="宋体" w:hAnsi="宋体" w:eastAsia="宋体" w:cs="宋体"/>
          <w:sz w:val="24"/>
          <w:szCs w:val="24"/>
        </w:rPr>
      </w:pPr>
      <w:r>
        <w:rPr>
          <w:rFonts w:ascii="Times New Roman" w:hAnsi="Times New Roman" w:eastAsia="Times New Roman" w:cs="Times New Roman"/>
          <w:spacing w:val="-2"/>
          <w:position w:val="-1"/>
          <w:sz w:val="24"/>
          <w:szCs w:val="24"/>
        </w:rPr>
        <w:t>K</w:t>
      </w:r>
      <w:r>
        <w:rPr>
          <w:rFonts w:ascii="Times New Roman" w:hAnsi="Times New Roman" w:eastAsia="Times New Roman" w:cs="Times New Roman"/>
          <w:spacing w:val="-2"/>
          <w:position w:val="9"/>
          <w:sz w:val="15"/>
          <w:szCs w:val="15"/>
        </w:rPr>
        <w:t>+</w:t>
      </w:r>
      <w:r>
        <w:rPr>
          <w:rFonts w:ascii="Times New Roman" w:hAnsi="Times New Roman" w:eastAsia="Times New Roman" w:cs="Times New Roman"/>
          <w:spacing w:val="-2"/>
          <w:position w:val="-1"/>
          <w:sz w:val="24"/>
          <w:szCs w:val="24"/>
        </w:rPr>
        <w:t>+Na</w:t>
      </w:r>
      <w:r>
        <w:rPr>
          <w:rFonts w:ascii="Times New Roman" w:hAnsi="Times New Roman" w:eastAsia="Times New Roman" w:cs="Times New Roman"/>
          <w:spacing w:val="-2"/>
          <w:position w:val="9"/>
          <w:sz w:val="15"/>
          <w:szCs w:val="15"/>
        </w:rPr>
        <w:t>+</w:t>
      </w:r>
      <w:r>
        <w:rPr>
          <w:rFonts w:ascii="Times New Roman" w:hAnsi="Times New Roman" w:eastAsia="Times New Roman" w:cs="Times New Roman"/>
          <w:spacing w:val="-12"/>
          <w:position w:val="9"/>
          <w:sz w:val="15"/>
          <w:szCs w:val="15"/>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Ca</w:t>
      </w:r>
      <w:r>
        <w:rPr>
          <w:rFonts w:ascii="Times New Roman" w:hAnsi="Times New Roman" w:eastAsia="Times New Roman" w:cs="Times New Roman"/>
          <w:spacing w:val="-2"/>
          <w:position w:val="9"/>
          <w:sz w:val="15"/>
          <w:szCs w:val="15"/>
        </w:rPr>
        <w:t>2+</w:t>
      </w:r>
      <w:r>
        <w:rPr>
          <w:rFonts w:ascii="Times New Roman" w:hAnsi="Times New Roman" w:eastAsia="Times New Roman" w:cs="Times New Roman"/>
          <w:spacing w:val="-11"/>
          <w:position w:val="9"/>
          <w:sz w:val="15"/>
          <w:szCs w:val="15"/>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Mg</w:t>
      </w:r>
      <w:r>
        <w:rPr>
          <w:rFonts w:ascii="Times New Roman" w:hAnsi="Times New Roman" w:eastAsia="Times New Roman" w:cs="Times New Roman"/>
          <w:spacing w:val="-2"/>
          <w:position w:val="9"/>
          <w:sz w:val="15"/>
          <w:szCs w:val="15"/>
        </w:rPr>
        <w:t>2+</w:t>
      </w:r>
      <w:r>
        <w:rPr>
          <w:rFonts w:ascii="Times New Roman" w:hAnsi="Times New Roman" w:eastAsia="Times New Roman" w:cs="Times New Roman"/>
          <w:spacing w:val="-13"/>
          <w:position w:val="9"/>
          <w:sz w:val="15"/>
          <w:szCs w:val="15"/>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CO</w:t>
      </w:r>
      <w:r>
        <w:rPr>
          <w:rFonts w:ascii="Times New Roman" w:hAnsi="Times New Roman" w:eastAsia="Times New Roman" w:cs="Times New Roman"/>
          <w:spacing w:val="-2"/>
          <w:position w:val="-4"/>
          <w:sz w:val="15"/>
          <w:szCs w:val="15"/>
        </w:rPr>
        <w:t>3</w:t>
      </w:r>
      <w:r>
        <w:rPr>
          <w:rFonts w:ascii="Times New Roman" w:hAnsi="Times New Roman" w:eastAsia="Times New Roman" w:cs="Times New Roman"/>
          <w:spacing w:val="-2"/>
          <w:position w:val="9"/>
          <w:sz w:val="15"/>
          <w:szCs w:val="15"/>
        </w:rPr>
        <w:t>2-</w:t>
      </w:r>
      <w:r>
        <w:rPr>
          <w:rFonts w:ascii="Times New Roman" w:hAnsi="Times New Roman" w:eastAsia="Times New Roman" w:cs="Times New Roman"/>
          <w:spacing w:val="-11"/>
          <w:position w:val="9"/>
          <w:sz w:val="15"/>
          <w:szCs w:val="15"/>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HCO</w:t>
      </w:r>
      <w:r>
        <w:rPr>
          <w:rFonts w:ascii="Times New Roman" w:hAnsi="Times New Roman" w:eastAsia="Times New Roman" w:cs="Times New Roman"/>
          <w:spacing w:val="-2"/>
          <w:position w:val="-4"/>
          <w:sz w:val="15"/>
          <w:szCs w:val="15"/>
        </w:rPr>
        <w:t>3</w:t>
      </w:r>
      <w:r>
        <w:rPr>
          <w:rFonts w:ascii="Times New Roman" w:hAnsi="Times New Roman" w:eastAsia="Times New Roman" w:cs="Times New Roman"/>
          <w:spacing w:val="-3"/>
          <w:position w:val="9"/>
          <w:sz w:val="15"/>
          <w:szCs w:val="15"/>
        </w:rPr>
        <w:t>-</w:t>
      </w:r>
      <w:r>
        <w:rPr>
          <w:rFonts w:ascii="Times New Roman" w:hAnsi="Times New Roman" w:eastAsia="Times New Roman" w:cs="Times New Roman"/>
          <w:spacing w:val="-12"/>
          <w:position w:val="9"/>
          <w:sz w:val="15"/>
          <w:szCs w:val="15"/>
        </w:rPr>
        <w:t xml:space="preserve"> </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Cl</w:t>
      </w:r>
      <w:r>
        <w:rPr>
          <w:rFonts w:ascii="Times New Roman" w:hAnsi="Times New Roman" w:eastAsia="Times New Roman" w:cs="Times New Roman"/>
          <w:spacing w:val="-3"/>
          <w:position w:val="9"/>
          <w:sz w:val="15"/>
          <w:szCs w:val="15"/>
        </w:rPr>
        <w:t>-</w:t>
      </w:r>
      <w:r>
        <w:rPr>
          <w:rFonts w:ascii="Times New Roman" w:hAnsi="Times New Roman" w:eastAsia="Times New Roman" w:cs="Times New Roman"/>
          <w:spacing w:val="-12"/>
          <w:position w:val="9"/>
          <w:sz w:val="15"/>
          <w:szCs w:val="15"/>
        </w:rPr>
        <w:t xml:space="preserve"> </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SO</w:t>
      </w:r>
      <w:r>
        <w:rPr>
          <w:rFonts w:ascii="Times New Roman" w:hAnsi="Times New Roman" w:eastAsia="Times New Roman" w:cs="Times New Roman"/>
          <w:spacing w:val="-3"/>
          <w:position w:val="-4"/>
          <w:sz w:val="15"/>
          <w:szCs w:val="15"/>
        </w:rPr>
        <w:t>4</w:t>
      </w:r>
      <w:r>
        <w:rPr>
          <w:rFonts w:ascii="Times New Roman" w:hAnsi="Times New Roman" w:eastAsia="Times New Roman" w:cs="Times New Roman"/>
          <w:spacing w:val="-3"/>
          <w:position w:val="9"/>
          <w:sz w:val="15"/>
          <w:szCs w:val="15"/>
        </w:rPr>
        <w:t>2-</w:t>
      </w:r>
      <w:r>
        <w:rPr>
          <w:rFonts w:ascii="宋体" w:hAnsi="宋体" w:eastAsia="宋体" w:cs="宋体"/>
          <w:spacing w:val="-3"/>
          <w:position w:val="-1"/>
          <w:sz w:val="24"/>
          <w:szCs w:val="24"/>
        </w:rPr>
        <w:t>；</w:t>
      </w:r>
    </w:p>
    <w:p w14:paraId="41EEC6BD">
      <w:pPr>
        <w:spacing w:before="192" w:line="352" w:lineRule="auto"/>
        <w:ind w:left="45" w:firstLine="463"/>
        <w:rPr>
          <w:rFonts w:ascii="宋体" w:hAnsi="宋体" w:eastAsia="宋体" w:cs="宋体"/>
          <w:sz w:val="24"/>
          <w:szCs w:val="24"/>
        </w:rPr>
      </w:pPr>
      <w:r>
        <w:rPr>
          <w:rFonts w:ascii="Times New Roman" w:hAnsi="Times New Roman" w:eastAsia="Times New Roman" w:cs="Times New Roman"/>
          <w:sz w:val="24"/>
          <w:szCs w:val="24"/>
        </w:rPr>
        <w:t>pH</w:t>
      </w:r>
      <w:r>
        <w:rPr>
          <w:rFonts w:ascii="宋体" w:hAnsi="宋体" w:eastAsia="宋体" w:cs="宋体"/>
          <w:sz w:val="24"/>
          <w:szCs w:val="24"/>
        </w:rPr>
        <w:t>、氨氮、硝酸盐、亚硝酸盐、挥发性酚类、氰化物、砷、汞、铬</w:t>
      </w:r>
      <w:r>
        <w:rPr>
          <w:rFonts w:ascii="Times New Roman" w:hAnsi="Times New Roman" w:eastAsia="Times New Roman" w:cs="Times New Roman"/>
          <w:sz w:val="24"/>
          <w:szCs w:val="24"/>
        </w:rPr>
        <w:t>(</w:t>
      </w:r>
      <w:r>
        <w:rPr>
          <w:rFonts w:ascii="宋体" w:hAnsi="宋体" w:eastAsia="宋体" w:cs="宋体"/>
          <w:sz w:val="24"/>
          <w:szCs w:val="24"/>
        </w:rPr>
        <w:t>六价</w:t>
      </w:r>
      <w:r>
        <w:rPr>
          <w:rFonts w:ascii="Times New Roman" w:hAnsi="Times New Roman" w:eastAsia="Times New Roman" w:cs="Times New Roman"/>
          <w:sz w:val="24"/>
          <w:szCs w:val="24"/>
        </w:rPr>
        <w:t>)</w:t>
      </w:r>
      <w:r>
        <w:rPr>
          <w:rFonts w:ascii="宋体" w:hAnsi="宋体" w:eastAsia="宋体" w:cs="宋体"/>
          <w:sz w:val="24"/>
          <w:szCs w:val="24"/>
        </w:rPr>
        <w:t>、</w:t>
      </w:r>
      <w:r>
        <w:rPr>
          <w:rFonts w:ascii="宋体" w:hAnsi="宋体" w:eastAsia="宋体" w:cs="宋体"/>
          <w:spacing w:val="-3"/>
          <w:sz w:val="24"/>
          <w:szCs w:val="24"/>
        </w:rPr>
        <w:t>总硬度、铅、氟化物、镉、铁、锰、溶解性总固体、耗氧量、总</w:t>
      </w:r>
      <w:r>
        <w:rPr>
          <w:rFonts w:ascii="宋体" w:hAnsi="宋体" w:eastAsia="宋体" w:cs="宋体"/>
          <w:spacing w:val="-4"/>
          <w:sz w:val="24"/>
          <w:szCs w:val="24"/>
        </w:rPr>
        <w:t>大肠菌群、菌落</w:t>
      </w:r>
    </w:p>
    <w:p w14:paraId="343B87A7">
      <w:pPr>
        <w:spacing w:line="352" w:lineRule="auto"/>
        <w:rPr>
          <w:rFonts w:ascii="宋体" w:hAnsi="宋体" w:eastAsia="宋体" w:cs="宋体"/>
          <w:sz w:val="24"/>
          <w:szCs w:val="24"/>
        </w:rPr>
        <w:sectPr>
          <w:headerReference r:id="rId269" w:type="default"/>
          <w:footerReference r:id="rId270" w:type="default"/>
          <w:pgSz w:w="11905" w:h="16840"/>
          <w:pgMar w:top="1168" w:right="1713" w:bottom="1409" w:left="1770" w:header="828" w:footer="1244" w:gutter="0"/>
          <w:cols w:space="720" w:num="1"/>
        </w:sectPr>
      </w:pPr>
    </w:p>
    <w:p w14:paraId="5076F3B5">
      <w:pPr>
        <w:pStyle w:val="2"/>
        <w:spacing w:line="305" w:lineRule="auto"/>
      </w:pPr>
    </w:p>
    <w:p w14:paraId="5682E525">
      <w:pPr>
        <w:spacing w:before="78" w:line="220" w:lineRule="auto"/>
        <w:ind w:left="45"/>
        <w:rPr>
          <w:rFonts w:ascii="宋体" w:hAnsi="宋体" w:eastAsia="宋体" w:cs="宋体"/>
          <w:sz w:val="24"/>
          <w:szCs w:val="24"/>
        </w:rPr>
      </w:pPr>
      <w:r>
        <w:rPr>
          <w:rFonts w:ascii="宋体" w:hAnsi="宋体" w:eastAsia="宋体" w:cs="宋体"/>
          <w:spacing w:val="-12"/>
          <w:sz w:val="24"/>
          <w:szCs w:val="24"/>
        </w:rPr>
        <w:t>总数。</w:t>
      </w:r>
    </w:p>
    <w:p w14:paraId="5E512322">
      <w:pPr>
        <w:spacing w:before="182"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）监测结果</w:t>
      </w:r>
    </w:p>
    <w:p w14:paraId="6AE382FD">
      <w:pPr>
        <w:spacing w:before="181" w:line="220" w:lineRule="auto"/>
        <w:ind w:left="519"/>
        <w:rPr>
          <w:rFonts w:ascii="宋体" w:hAnsi="宋体" w:eastAsia="宋体" w:cs="宋体"/>
          <w:sz w:val="24"/>
          <w:szCs w:val="24"/>
        </w:rPr>
      </w:pPr>
      <w:r>
        <w:rPr>
          <w:rFonts w:ascii="宋体" w:hAnsi="宋体" w:eastAsia="宋体" w:cs="宋体"/>
          <w:spacing w:val="-6"/>
          <w:sz w:val="24"/>
          <w:szCs w:val="24"/>
        </w:rPr>
        <w:t>地下水监测结果见下表：</w:t>
      </w:r>
    </w:p>
    <w:p w14:paraId="2B4625E3">
      <w:pPr>
        <w:spacing w:before="195" w:line="222" w:lineRule="auto"/>
        <w:ind w:left="2977"/>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3.3-9  </w:t>
      </w:r>
      <w:r>
        <w:rPr>
          <w:rFonts w:ascii="黑体" w:hAnsi="黑体" w:eastAsia="黑体" w:cs="黑体"/>
          <w:spacing w:val="-1"/>
          <w:sz w:val="21"/>
          <w:szCs w:val="21"/>
        </w:rPr>
        <w:t>地下水监测结果表</w:t>
      </w:r>
    </w:p>
    <w:p w14:paraId="437FE54C">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1"/>
        <w:gridCol w:w="1564"/>
        <w:gridCol w:w="1402"/>
        <w:gridCol w:w="1401"/>
        <w:gridCol w:w="1401"/>
        <w:gridCol w:w="1261"/>
      </w:tblGrid>
      <w:tr w14:paraId="5DF1B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91" w:type="dxa"/>
            <w:vAlign w:val="top"/>
          </w:tcPr>
          <w:p w14:paraId="6B6B6813">
            <w:pPr>
              <w:spacing w:before="68" w:line="219" w:lineRule="auto"/>
              <w:ind w:left="230"/>
              <w:rPr>
                <w:rFonts w:ascii="宋体" w:hAnsi="宋体" w:eastAsia="宋体" w:cs="宋体"/>
                <w:sz w:val="21"/>
                <w:szCs w:val="21"/>
              </w:rPr>
            </w:pPr>
            <w:r>
              <w:rPr>
                <w:rFonts w:ascii="宋体" w:hAnsi="宋体" w:eastAsia="宋体" w:cs="宋体"/>
                <w:spacing w:val="-2"/>
                <w:sz w:val="21"/>
                <w:szCs w:val="21"/>
              </w:rPr>
              <w:t>采样日期</w:t>
            </w:r>
          </w:p>
        </w:tc>
        <w:tc>
          <w:tcPr>
            <w:tcW w:w="1564" w:type="dxa"/>
            <w:vAlign w:val="top"/>
          </w:tcPr>
          <w:p w14:paraId="002C0096">
            <w:pPr>
              <w:spacing w:before="68" w:line="220" w:lineRule="auto"/>
              <w:ind w:left="367"/>
              <w:rPr>
                <w:rFonts w:ascii="宋体" w:hAnsi="宋体" w:eastAsia="宋体" w:cs="宋体"/>
                <w:sz w:val="21"/>
                <w:szCs w:val="21"/>
              </w:rPr>
            </w:pPr>
            <w:r>
              <w:rPr>
                <w:rFonts w:ascii="宋体" w:hAnsi="宋体" w:eastAsia="宋体" w:cs="宋体"/>
                <w:spacing w:val="-2"/>
                <w:sz w:val="21"/>
                <w:szCs w:val="21"/>
              </w:rPr>
              <w:t>检测项目</w:t>
            </w:r>
          </w:p>
        </w:tc>
        <w:tc>
          <w:tcPr>
            <w:tcW w:w="1402" w:type="dxa"/>
            <w:vAlign w:val="top"/>
          </w:tcPr>
          <w:p w14:paraId="11651DC6">
            <w:pPr>
              <w:pStyle w:val="6"/>
              <w:spacing w:before="68" w:line="220" w:lineRule="auto"/>
              <w:ind w:left="419"/>
            </w:pPr>
            <w:r>
              <w:rPr>
                <w:rFonts w:ascii="宋体" w:hAnsi="宋体" w:eastAsia="宋体" w:cs="宋体"/>
                <w:spacing w:val="-4"/>
              </w:rPr>
              <w:t>水井</w:t>
            </w:r>
            <w:r>
              <w:rPr>
                <w:rFonts w:ascii="宋体" w:hAnsi="宋体" w:eastAsia="宋体" w:cs="宋体"/>
                <w:spacing w:val="-28"/>
              </w:rPr>
              <w:t xml:space="preserve"> </w:t>
            </w:r>
            <w:r>
              <w:rPr>
                <w:spacing w:val="-4"/>
              </w:rPr>
              <w:t>1</w:t>
            </w:r>
          </w:p>
        </w:tc>
        <w:tc>
          <w:tcPr>
            <w:tcW w:w="1401" w:type="dxa"/>
            <w:vAlign w:val="top"/>
          </w:tcPr>
          <w:p w14:paraId="3BF7DE44">
            <w:pPr>
              <w:pStyle w:val="6"/>
              <w:spacing w:before="68" w:line="220" w:lineRule="auto"/>
              <w:ind w:left="420"/>
            </w:pPr>
            <w:r>
              <w:rPr>
                <w:rFonts w:ascii="宋体" w:hAnsi="宋体" w:eastAsia="宋体" w:cs="宋体"/>
                <w:spacing w:val="-4"/>
              </w:rPr>
              <w:t>水井</w:t>
            </w:r>
            <w:r>
              <w:rPr>
                <w:rFonts w:ascii="宋体" w:hAnsi="宋体" w:eastAsia="宋体" w:cs="宋体"/>
                <w:spacing w:val="-48"/>
              </w:rPr>
              <w:t xml:space="preserve"> </w:t>
            </w:r>
            <w:r>
              <w:rPr>
                <w:spacing w:val="-4"/>
              </w:rPr>
              <w:t>2</w:t>
            </w:r>
          </w:p>
        </w:tc>
        <w:tc>
          <w:tcPr>
            <w:tcW w:w="1401" w:type="dxa"/>
            <w:vAlign w:val="top"/>
          </w:tcPr>
          <w:p w14:paraId="09329FD1">
            <w:pPr>
              <w:pStyle w:val="6"/>
              <w:spacing w:before="68" w:line="220" w:lineRule="auto"/>
              <w:ind w:left="420"/>
            </w:pPr>
            <w:r>
              <w:rPr>
                <w:rFonts w:ascii="宋体" w:hAnsi="宋体" w:eastAsia="宋体" w:cs="宋体"/>
                <w:spacing w:val="-4"/>
              </w:rPr>
              <w:t>水井</w:t>
            </w:r>
            <w:r>
              <w:rPr>
                <w:rFonts w:ascii="宋体" w:hAnsi="宋体" w:eastAsia="宋体" w:cs="宋体"/>
                <w:spacing w:val="-44"/>
              </w:rPr>
              <w:t xml:space="preserve"> </w:t>
            </w:r>
            <w:r>
              <w:rPr>
                <w:spacing w:val="-4"/>
              </w:rPr>
              <w:t>3</w:t>
            </w:r>
          </w:p>
        </w:tc>
        <w:tc>
          <w:tcPr>
            <w:tcW w:w="1261" w:type="dxa"/>
            <w:vAlign w:val="top"/>
          </w:tcPr>
          <w:p w14:paraId="19FE43E8">
            <w:pPr>
              <w:spacing w:before="69" w:line="220" w:lineRule="auto"/>
              <w:ind w:left="426"/>
              <w:rPr>
                <w:rFonts w:ascii="宋体" w:hAnsi="宋体" w:eastAsia="宋体" w:cs="宋体"/>
                <w:sz w:val="21"/>
                <w:szCs w:val="21"/>
              </w:rPr>
            </w:pPr>
            <w:r>
              <w:rPr>
                <w:rFonts w:ascii="宋体" w:hAnsi="宋体" w:eastAsia="宋体" w:cs="宋体"/>
                <w:spacing w:val="-3"/>
                <w:sz w:val="21"/>
                <w:szCs w:val="21"/>
              </w:rPr>
              <w:t>单位</w:t>
            </w:r>
          </w:p>
        </w:tc>
      </w:tr>
      <w:tr w14:paraId="1E72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restart"/>
            <w:tcBorders>
              <w:bottom w:val="nil"/>
            </w:tcBorders>
            <w:vAlign w:val="top"/>
          </w:tcPr>
          <w:p w14:paraId="18799396">
            <w:pPr>
              <w:spacing w:line="242" w:lineRule="auto"/>
              <w:rPr>
                <w:rFonts w:ascii="Arial"/>
                <w:sz w:val="21"/>
              </w:rPr>
            </w:pPr>
          </w:p>
          <w:p w14:paraId="004C0D24">
            <w:pPr>
              <w:spacing w:line="242" w:lineRule="auto"/>
              <w:rPr>
                <w:rFonts w:ascii="Arial"/>
                <w:sz w:val="21"/>
              </w:rPr>
            </w:pPr>
          </w:p>
          <w:p w14:paraId="40AB7A88">
            <w:pPr>
              <w:spacing w:line="242" w:lineRule="auto"/>
              <w:rPr>
                <w:rFonts w:ascii="Arial"/>
                <w:sz w:val="21"/>
              </w:rPr>
            </w:pPr>
          </w:p>
          <w:p w14:paraId="02630E90">
            <w:pPr>
              <w:spacing w:line="242" w:lineRule="auto"/>
              <w:rPr>
                <w:rFonts w:ascii="Arial"/>
                <w:sz w:val="21"/>
              </w:rPr>
            </w:pPr>
          </w:p>
          <w:p w14:paraId="37F6C303">
            <w:pPr>
              <w:spacing w:line="242" w:lineRule="auto"/>
              <w:rPr>
                <w:rFonts w:ascii="Arial"/>
                <w:sz w:val="21"/>
              </w:rPr>
            </w:pPr>
          </w:p>
          <w:p w14:paraId="591BB22F">
            <w:pPr>
              <w:spacing w:line="242" w:lineRule="auto"/>
              <w:rPr>
                <w:rFonts w:ascii="Arial"/>
                <w:sz w:val="21"/>
              </w:rPr>
            </w:pPr>
          </w:p>
          <w:p w14:paraId="67EB1015">
            <w:pPr>
              <w:spacing w:line="242" w:lineRule="auto"/>
              <w:rPr>
                <w:rFonts w:ascii="Arial"/>
                <w:sz w:val="21"/>
              </w:rPr>
            </w:pPr>
          </w:p>
          <w:p w14:paraId="4D748D1F">
            <w:pPr>
              <w:spacing w:line="242" w:lineRule="auto"/>
              <w:rPr>
                <w:rFonts w:ascii="Arial"/>
                <w:sz w:val="21"/>
              </w:rPr>
            </w:pPr>
          </w:p>
          <w:p w14:paraId="12C24ED0">
            <w:pPr>
              <w:spacing w:line="242" w:lineRule="auto"/>
              <w:rPr>
                <w:rFonts w:ascii="Arial"/>
                <w:sz w:val="21"/>
              </w:rPr>
            </w:pPr>
          </w:p>
          <w:p w14:paraId="6F962E19">
            <w:pPr>
              <w:spacing w:line="242" w:lineRule="auto"/>
              <w:rPr>
                <w:rFonts w:ascii="Arial"/>
                <w:sz w:val="21"/>
              </w:rPr>
            </w:pPr>
          </w:p>
          <w:p w14:paraId="70E712D1">
            <w:pPr>
              <w:spacing w:line="242" w:lineRule="auto"/>
              <w:rPr>
                <w:rFonts w:ascii="Arial"/>
                <w:sz w:val="21"/>
              </w:rPr>
            </w:pPr>
          </w:p>
          <w:p w14:paraId="65BD1FEE">
            <w:pPr>
              <w:spacing w:line="242" w:lineRule="auto"/>
              <w:rPr>
                <w:rFonts w:ascii="Arial"/>
                <w:sz w:val="21"/>
              </w:rPr>
            </w:pPr>
          </w:p>
          <w:p w14:paraId="1351D1B1">
            <w:pPr>
              <w:spacing w:line="242" w:lineRule="auto"/>
              <w:rPr>
                <w:rFonts w:ascii="Arial"/>
                <w:sz w:val="21"/>
              </w:rPr>
            </w:pPr>
          </w:p>
          <w:p w14:paraId="35FAED2F">
            <w:pPr>
              <w:spacing w:line="243" w:lineRule="auto"/>
              <w:rPr>
                <w:rFonts w:ascii="Arial"/>
                <w:sz w:val="21"/>
              </w:rPr>
            </w:pPr>
          </w:p>
          <w:p w14:paraId="0F5391CC">
            <w:pPr>
              <w:spacing w:line="243" w:lineRule="auto"/>
              <w:rPr>
                <w:rFonts w:ascii="Arial"/>
                <w:sz w:val="21"/>
              </w:rPr>
            </w:pPr>
          </w:p>
          <w:p w14:paraId="6BD3FDB6">
            <w:pPr>
              <w:spacing w:line="243" w:lineRule="auto"/>
              <w:rPr>
                <w:rFonts w:ascii="Arial"/>
                <w:sz w:val="21"/>
              </w:rPr>
            </w:pPr>
          </w:p>
          <w:p w14:paraId="3D638A77">
            <w:pPr>
              <w:spacing w:line="243" w:lineRule="auto"/>
              <w:rPr>
                <w:rFonts w:ascii="Arial"/>
                <w:sz w:val="21"/>
              </w:rPr>
            </w:pPr>
          </w:p>
          <w:p w14:paraId="0379AB4A">
            <w:pPr>
              <w:spacing w:line="243" w:lineRule="auto"/>
              <w:rPr>
                <w:rFonts w:ascii="Arial"/>
                <w:sz w:val="21"/>
              </w:rPr>
            </w:pPr>
          </w:p>
          <w:p w14:paraId="05CE6FA4">
            <w:pPr>
              <w:pStyle w:val="6"/>
              <w:spacing w:before="69" w:line="220" w:lineRule="auto"/>
              <w:ind w:left="306"/>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66EACE58">
            <w:pPr>
              <w:pStyle w:val="6"/>
              <w:spacing w:before="61" w:line="220" w:lineRule="auto"/>
              <w:ind w:left="173"/>
              <w:rPr>
                <w:rFonts w:ascii="宋体" w:hAnsi="宋体" w:eastAsia="宋体" w:cs="宋体"/>
              </w:rPr>
            </w:pPr>
            <w:r>
              <w:rPr>
                <w:spacing w:val="-10"/>
              </w:rPr>
              <w:t>12</w:t>
            </w:r>
            <w:r>
              <w:rPr>
                <w:spacing w:val="16"/>
              </w:rPr>
              <w:t xml:space="preserve"> </w:t>
            </w:r>
            <w:r>
              <w:rPr>
                <w:rFonts w:ascii="宋体" w:hAnsi="宋体" w:eastAsia="宋体" w:cs="宋体"/>
                <w:spacing w:val="-10"/>
              </w:rPr>
              <w:t>月</w:t>
            </w:r>
            <w:r>
              <w:rPr>
                <w:rFonts w:ascii="宋体" w:hAnsi="宋体" w:eastAsia="宋体" w:cs="宋体"/>
                <w:spacing w:val="-29"/>
              </w:rPr>
              <w:t xml:space="preserve"> </w:t>
            </w:r>
            <w:r>
              <w:rPr>
                <w:spacing w:val="-10"/>
              </w:rPr>
              <w:t xml:space="preserve">11  </w:t>
            </w:r>
            <w:r>
              <w:rPr>
                <w:rFonts w:ascii="宋体" w:hAnsi="宋体" w:eastAsia="宋体" w:cs="宋体"/>
                <w:spacing w:val="-10"/>
              </w:rPr>
              <w:t>日</w:t>
            </w:r>
          </w:p>
        </w:tc>
        <w:tc>
          <w:tcPr>
            <w:tcW w:w="1564" w:type="dxa"/>
            <w:vAlign w:val="top"/>
          </w:tcPr>
          <w:p w14:paraId="5F263583">
            <w:pPr>
              <w:pStyle w:val="6"/>
              <w:spacing w:before="64" w:line="212" w:lineRule="auto"/>
              <w:ind w:left="517"/>
              <w:rPr>
                <w:rFonts w:ascii="宋体" w:hAnsi="宋体" w:eastAsia="宋体" w:cs="宋体"/>
              </w:rPr>
            </w:pPr>
            <w:r>
              <w:t>pH</w:t>
            </w:r>
            <w:r>
              <w:rPr>
                <w:spacing w:val="8"/>
              </w:rPr>
              <w:t xml:space="preserve"> </w:t>
            </w:r>
            <w:r>
              <w:rPr>
                <w:rFonts w:ascii="宋体" w:hAnsi="宋体" w:eastAsia="宋体" w:cs="宋体"/>
              </w:rPr>
              <w:t>值</w:t>
            </w:r>
          </w:p>
        </w:tc>
        <w:tc>
          <w:tcPr>
            <w:tcW w:w="1402" w:type="dxa"/>
            <w:vAlign w:val="top"/>
          </w:tcPr>
          <w:p w14:paraId="4E7DCA82">
            <w:pPr>
              <w:pStyle w:val="6"/>
              <w:spacing w:before="100" w:line="188" w:lineRule="auto"/>
              <w:ind w:left="522"/>
            </w:pPr>
            <w:r>
              <w:rPr>
                <w:spacing w:val="-3"/>
              </w:rPr>
              <w:t>7.35</w:t>
            </w:r>
          </w:p>
        </w:tc>
        <w:tc>
          <w:tcPr>
            <w:tcW w:w="1401" w:type="dxa"/>
            <w:vAlign w:val="top"/>
          </w:tcPr>
          <w:p w14:paraId="33B2269C">
            <w:pPr>
              <w:pStyle w:val="6"/>
              <w:spacing w:before="100" w:line="188" w:lineRule="auto"/>
              <w:ind w:left="522"/>
            </w:pPr>
            <w:r>
              <w:rPr>
                <w:spacing w:val="-2"/>
              </w:rPr>
              <w:t>7.49</w:t>
            </w:r>
          </w:p>
        </w:tc>
        <w:tc>
          <w:tcPr>
            <w:tcW w:w="1401" w:type="dxa"/>
            <w:vAlign w:val="top"/>
          </w:tcPr>
          <w:p w14:paraId="4AB81995">
            <w:pPr>
              <w:pStyle w:val="6"/>
              <w:spacing w:before="100" w:line="188" w:lineRule="auto"/>
              <w:ind w:left="523"/>
            </w:pPr>
            <w:r>
              <w:rPr>
                <w:spacing w:val="-2"/>
              </w:rPr>
              <w:t>7.52</w:t>
            </w:r>
          </w:p>
        </w:tc>
        <w:tc>
          <w:tcPr>
            <w:tcW w:w="1261" w:type="dxa"/>
            <w:vAlign w:val="top"/>
          </w:tcPr>
          <w:p w14:paraId="3C889A52">
            <w:pPr>
              <w:spacing w:before="64" w:line="220" w:lineRule="auto"/>
              <w:ind w:left="322"/>
              <w:rPr>
                <w:rFonts w:ascii="宋体" w:hAnsi="宋体" w:eastAsia="宋体" w:cs="宋体"/>
                <w:sz w:val="21"/>
                <w:szCs w:val="21"/>
              </w:rPr>
            </w:pPr>
            <w:r>
              <w:rPr>
                <w:rFonts w:ascii="宋体" w:hAnsi="宋体" w:eastAsia="宋体" w:cs="宋体"/>
                <w:spacing w:val="-3"/>
                <w:sz w:val="21"/>
                <w:szCs w:val="21"/>
              </w:rPr>
              <w:t>无量纲</w:t>
            </w:r>
          </w:p>
        </w:tc>
      </w:tr>
      <w:tr w14:paraId="1189C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91" w:type="dxa"/>
            <w:vMerge w:val="continue"/>
            <w:tcBorders>
              <w:top w:val="nil"/>
              <w:bottom w:val="nil"/>
            </w:tcBorders>
            <w:vAlign w:val="top"/>
          </w:tcPr>
          <w:p w14:paraId="503AF559">
            <w:pPr>
              <w:rPr>
                <w:rFonts w:ascii="Arial"/>
                <w:sz w:val="21"/>
              </w:rPr>
            </w:pPr>
          </w:p>
        </w:tc>
        <w:tc>
          <w:tcPr>
            <w:tcW w:w="1564" w:type="dxa"/>
            <w:vAlign w:val="top"/>
          </w:tcPr>
          <w:p w14:paraId="7E94FF42">
            <w:pPr>
              <w:spacing w:before="64" w:line="216" w:lineRule="auto"/>
              <w:ind w:left="681"/>
              <w:rPr>
                <w:rFonts w:ascii="宋体" w:hAnsi="宋体" w:eastAsia="宋体" w:cs="宋体"/>
                <w:sz w:val="21"/>
                <w:szCs w:val="21"/>
              </w:rPr>
            </w:pPr>
            <w:r>
              <w:rPr>
                <w:rFonts w:ascii="宋体" w:hAnsi="宋体" w:eastAsia="宋体" w:cs="宋体"/>
                <w:sz w:val="21"/>
                <w:szCs w:val="21"/>
              </w:rPr>
              <w:t>钾</w:t>
            </w:r>
          </w:p>
        </w:tc>
        <w:tc>
          <w:tcPr>
            <w:tcW w:w="1402" w:type="dxa"/>
            <w:vAlign w:val="top"/>
          </w:tcPr>
          <w:p w14:paraId="3B251BB4">
            <w:pPr>
              <w:pStyle w:val="6"/>
              <w:spacing w:before="101" w:line="188" w:lineRule="auto"/>
              <w:ind w:left="538"/>
            </w:pPr>
            <w:r>
              <w:rPr>
                <w:spacing w:val="-7"/>
              </w:rPr>
              <w:t>1.43</w:t>
            </w:r>
          </w:p>
        </w:tc>
        <w:tc>
          <w:tcPr>
            <w:tcW w:w="1401" w:type="dxa"/>
            <w:vAlign w:val="top"/>
          </w:tcPr>
          <w:p w14:paraId="7A357AB4">
            <w:pPr>
              <w:pStyle w:val="6"/>
              <w:spacing w:before="101" w:line="188" w:lineRule="auto"/>
              <w:ind w:left="538"/>
            </w:pPr>
            <w:r>
              <w:rPr>
                <w:spacing w:val="-7"/>
              </w:rPr>
              <w:t>1.42</w:t>
            </w:r>
          </w:p>
        </w:tc>
        <w:tc>
          <w:tcPr>
            <w:tcW w:w="1401" w:type="dxa"/>
            <w:vMerge w:val="restart"/>
            <w:tcBorders>
              <w:bottom w:val="nil"/>
            </w:tcBorders>
            <w:vAlign w:val="top"/>
          </w:tcPr>
          <w:p w14:paraId="623F5281">
            <w:pPr>
              <w:pStyle w:val="6"/>
              <w:spacing w:before="101" w:line="188" w:lineRule="auto"/>
              <w:ind w:left="539"/>
            </w:pPr>
            <w:r>
              <w:rPr>
                <w:spacing w:val="-7"/>
              </w:rPr>
              <w:t>1.44</w:t>
            </w:r>
          </w:p>
        </w:tc>
        <w:tc>
          <w:tcPr>
            <w:tcW w:w="1261" w:type="dxa"/>
            <w:vAlign w:val="top"/>
          </w:tcPr>
          <w:p w14:paraId="432F0BAD">
            <w:pPr>
              <w:pStyle w:val="6"/>
              <w:spacing w:before="97" w:line="192" w:lineRule="auto"/>
              <w:ind w:left="400"/>
            </w:pPr>
            <w:r>
              <w:rPr>
                <w:spacing w:val="-1"/>
              </w:rPr>
              <w:t>mg/L</w:t>
            </w:r>
          </w:p>
        </w:tc>
      </w:tr>
      <w:tr w14:paraId="622CD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91" w:type="dxa"/>
            <w:vMerge w:val="continue"/>
            <w:tcBorders>
              <w:top w:val="nil"/>
              <w:bottom w:val="nil"/>
            </w:tcBorders>
            <w:vAlign w:val="top"/>
          </w:tcPr>
          <w:p w14:paraId="524C4A6E">
            <w:pPr>
              <w:rPr>
                <w:rFonts w:ascii="Arial"/>
                <w:sz w:val="21"/>
              </w:rPr>
            </w:pPr>
          </w:p>
        </w:tc>
        <w:tc>
          <w:tcPr>
            <w:tcW w:w="1564" w:type="dxa"/>
            <w:vMerge w:val="restart"/>
            <w:tcBorders>
              <w:bottom w:val="nil"/>
            </w:tcBorders>
            <w:vAlign w:val="top"/>
          </w:tcPr>
          <w:p w14:paraId="382FC4B5">
            <w:pPr>
              <w:spacing w:before="89" w:line="221" w:lineRule="auto"/>
              <w:ind w:left="680"/>
              <w:rPr>
                <w:rFonts w:ascii="宋体" w:hAnsi="宋体" w:eastAsia="宋体" w:cs="宋体"/>
                <w:sz w:val="21"/>
                <w:szCs w:val="21"/>
              </w:rPr>
            </w:pPr>
            <w:r>
              <w:rPr>
                <w:rFonts w:ascii="宋体" w:hAnsi="宋体" w:eastAsia="宋体" w:cs="宋体"/>
                <w:sz w:val="21"/>
                <w:szCs w:val="21"/>
              </w:rPr>
              <w:t>钠</w:t>
            </w:r>
          </w:p>
        </w:tc>
        <w:tc>
          <w:tcPr>
            <w:tcW w:w="1402" w:type="dxa"/>
            <w:vMerge w:val="restart"/>
            <w:tcBorders>
              <w:bottom w:val="nil"/>
            </w:tcBorders>
            <w:vAlign w:val="top"/>
          </w:tcPr>
          <w:p w14:paraId="597F4FF5">
            <w:pPr>
              <w:pStyle w:val="6"/>
              <w:spacing w:before="126" w:line="188" w:lineRule="auto"/>
              <w:ind w:left="538"/>
            </w:pPr>
            <w:r>
              <w:rPr>
                <w:spacing w:val="-6"/>
              </w:rPr>
              <w:t>12.2</w:t>
            </w:r>
          </w:p>
        </w:tc>
        <w:tc>
          <w:tcPr>
            <w:tcW w:w="1401" w:type="dxa"/>
            <w:vMerge w:val="restart"/>
            <w:tcBorders>
              <w:bottom w:val="nil"/>
            </w:tcBorders>
            <w:vAlign w:val="top"/>
          </w:tcPr>
          <w:p w14:paraId="49310C72">
            <w:pPr>
              <w:pStyle w:val="6"/>
              <w:spacing w:before="126" w:line="188" w:lineRule="auto"/>
              <w:ind w:left="543"/>
            </w:pPr>
            <w:r>
              <w:rPr>
                <w:spacing w:val="-8"/>
              </w:rPr>
              <w:t>11.9</w:t>
            </w:r>
          </w:p>
        </w:tc>
        <w:tc>
          <w:tcPr>
            <w:tcW w:w="1401" w:type="dxa"/>
            <w:vMerge w:val="continue"/>
            <w:tcBorders>
              <w:top w:val="nil"/>
            </w:tcBorders>
            <w:vAlign w:val="top"/>
          </w:tcPr>
          <w:p w14:paraId="6034D3F6">
            <w:pPr>
              <w:rPr>
                <w:rFonts w:ascii="Arial"/>
                <w:sz w:val="21"/>
              </w:rPr>
            </w:pPr>
          </w:p>
        </w:tc>
        <w:tc>
          <w:tcPr>
            <w:tcW w:w="1261" w:type="dxa"/>
            <w:vMerge w:val="restart"/>
            <w:tcBorders>
              <w:bottom w:val="nil"/>
            </w:tcBorders>
            <w:vAlign w:val="top"/>
          </w:tcPr>
          <w:p w14:paraId="5850021B">
            <w:pPr>
              <w:pStyle w:val="6"/>
              <w:spacing w:before="122" w:line="192" w:lineRule="auto"/>
              <w:ind w:left="401"/>
            </w:pPr>
            <w:r>
              <w:rPr>
                <w:spacing w:val="-1"/>
              </w:rPr>
              <w:t>mg/L</w:t>
            </w:r>
          </w:p>
        </w:tc>
      </w:tr>
      <w:tr w14:paraId="4AA1F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00DD4952">
            <w:pPr>
              <w:rPr>
                <w:rFonts w:ascii="Arial"/>
                <w:sz w:val="21"/>
              </w:rPr>
            </w:pPr>
          </w:p>
        </w:tc>
        <w:tc>
          <w:tcPr>
            <w:tcW w:w="1564" w:type="dxa"/>
            <w:vMerge w:val="continue"/>
            <w:tcBorders>
              <w:top w:val="nil"/>
            </w:tcBorders>
            <w:vAlign w:val="top"/>
          </w:tcPr>
          <w:p w14:paraId="59438011">
            <w:pPr>
              <w:rPr>
                <w:rFonts w:ascii="Arial"/>
                <w:sz w:val="21"/>
              </w:rPr>
            </w:pPr>
          </w:p>
        </w:tc>
        <w:tc>
          <w:tcPr>
            <w:tcW w:w="1402" w:type="dxa"/>
            <w:vMerge w:val="continue"/>
            <w:tcBorders>
              <w:top w:val="nil"/>
            </w:tcBorders>
            <w:vAlign w:val="top"/>
          </w:tcPr>
          <w:p w14:paraId="4B7D64B0">
            <w:pPr>
              <w:rPr>
                <w:rFonts w:ascii="Arial"/>
                <w:sz w:val="21"/>
              </w:rPr>
            </w:pPr>
          </w:p>
        </w:tc>
        <w:tc>
          <w:tcPr>
            <w:tcW w:w="1401" w:type="dxa"/>
            <w:vMerge w:val="continue"/>
            <w:tcBorders>
              <w:top w:val="nil"/>
            </w:tcBorders>
            <w:vAlign w:val="top"/>
          </w:tcPr>
          <w:p w14:paraId="084DC3D6">
            <w:pPr>
              <w:rPr>
                <w:rFonts w:ascii="Arial"/>
                <w:sz w:val="21"/>
              </w:rPr>
            </w:pPr>
          </w:p>
        </w:tc>
        <w:tc>
          <w:tcPr>
            <w:tcW w:w="1401" w:type="dxa"/>
            <w:vAlign w:val="top"/>
          </w:tcPr>
          <w:p w14:paraId="2F6451EC">
            <w:pPr>
              <w:pStyle w:val="6"/>
              <w:spacing w:before="101" w:line="188" w:lineRule="auto"/>
              <w:ind w:left="543"/>
            </w:pPr>
            <w:r>
              <w:rPr>
                <w:spacing w:val="-8"/>
              </w:rPr>
              <w:t>11.6</w:t>
            </w:r>
          </w:p>
        </w:tc>
        <w:tc>
          <w:tcPr>
            <w:tcW w:w="1261" w:type="dxa"/>
            <w:vMerge w:val="continue"/>
            <w:tcBorders>
              <w:top w:val="nil"/>
            </w:tcBorders>
            <w:vAlign w:val="top"/>
          </w:tcPr>
          <w:p w14:paraId="0690E404">
            <w:pPr>
              <w:rPr>
                <w:rFonts w:ascii="Arial"/>
                <w:sz w:val="21"/>
              </w:rPr>
            </w:pPr>
          </w:p>
        </w:tc>
      </w:tr>
      <w:tr w14:paraId="7C578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502E781C">
            <w:pPr>
              <w:rPr>
                <w:rFonts w:ascii="Arial"/>
                <w:sz w:val="21"/>
              </w:rPr>
            </w:pPr>
          </w:p>
        </w:tc>
        <w:tc>
          <w:tcPr>
            <w:tcW w:w="1564" w:type="dxa"/>
            <w:vAlign w:val="top"/>
          </w:tcPr>
          <w:p w14:paraId="78E9F370">
            <w:pPr>
              <w:spacing w:before="65" w:line="222" w:lineRule="auto"/>
              <w:ind w:left="680"/>
              <w:rPr>
                <w:rFonts w:ascii="宋体" w:hAnsi="宋体" w:eastAsia="宋体" w:cs="宋体"/>
                <w:sz w:val="21"/>
                <w:szCs w:val="21"/>
              </w:rPr>
            </w:pPr>
            <w:r>
              <w:rPr>
                <w:rFonts w:ascii="宋体" w:hAnsi="宋体" w:eastAsia="宋体" w:cs="宋体"/>
                <w:sz w:val="21"/>
                <w:szCs w:val="21"/>
              </w:rPr>
              <w:t>钙</w:t>
            </w:r>
          </w:p>
        </w:tc>
        <w:tc>
          <w:tcPr>
            <w:tcW w:w="1402" w:type="dxa"/>
            <w:vAlign w:val="top"/>
          </w:tcPr>
          <w:p w14:paraId="4259BD9C">
            <w:pPr>
              <w:pStyle w:val="6"/>
              <w:spacing w:before="101" w:line="188" w:lineRule="auto"/>
              <w:ind w:left="565"/>
            </w:pPr>
            <w:r>
              <w:rPr>
                <w:spacing w:val="-9"/>
              </w:rPr>
              <w:t>148</w:t>
            </w:r>
          </w:p>
        </w:tc>
        <w:tc>
          <w:tcPr>
            <w:tcW w:w="1401" w:type="dxa"/>
            <w:vAlign w:val="top"/>
          </w:tcPr>
          <w:p w14:paraId="38FD152F">
            <w:pPr>
              <w:pStyle w:val="6"/>
              <w:spacing w:before="101" w:line="188" w:lineRule="auto"/>
              <w:ind w:left="565"/>
            </w:pPr>
            <w:r>
              <w:rPr>
                <w:spacing w:val="-9"/>
              </w:rPr>
              <w:t>152</w:t>
            </w:r>
          </w:p>
        </w:tc>
        <w:tc>
          <w:tcPr>
            <w:tcW w:w="1401" w:type="dxa"/>
            <w:vAlign w:val="top"/>
          </w:tcPr>
          <w:p w14:paraId="5E6F4A1D">
            <w:pPr>
              <w:pStyle w:val="6"/>
              <w:spacing w:before="101" w:line="188" w:lineRule="auto"/>
              <w:ind w:left="566"/>
            </w:pPr>
            <w:r>
              <w:rPr>
                <w:spacing w:val="-9"/>
              </w:rPr>
              <w:t>152</w:t>
            </w:r>
          </w:p>
        </w:tc>
        <w:tc>
          <w:tcPr>
            <w:tcW w:w="1261" w:type="dxa"/>
            <w:vAlign w:val="top"/>
          </w:tcPr>
          <w:p w14:paraId="7C17341B">
            <w:pPr>
              <w:pStyle w:val="6"/>
              <w:spacing w:before="97" w:line="192" w:lineRule="auto"/>
              <w:ind w:left="400"/>
            </w:pPr>
            <w:r>
              <w:rPr>
                <w:spacing w:val="-1"/>
              </w:rPr>
              <w:t>mg/L</w:t>
            </w:r>
          </w:p>
        </w:tc>
      </w:tr>
      <w:tr w14:paraId="70690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11AEDDD7">
            <w:pPr>
              <w:rPr>
                <w:rFonts w:ascii="Arial"/>
                <w:sz w:val="21"/>
              </w:rPr>
            </w:pPr>
          </w:p>
        </w:tc>
        <w:tc>
          <w:tcPr>
            <w:tcW w:w="1564" w:type="dxa"/>
            <w:vAlign w:val="top"/>
          </w:tcPr>
          <w:p w14:paraId="35654AE0">
            <w:pPr>
              <w:spacing w:before="65" w:line="222" w:lineRule="auto"/>
              <w:ind w:left="680"/>
              <w:rPr>
                <w:rFonts w:ascii="宋体" w:hAnsi="宋体" w:eastAsia="宋体" w:cs="宋体"/>
                <w:sz w:val="21"/>
                <w:szCs w:val="21"/>
              </w:rPr>
            </w:pPr>
            <w:r>
              <w:rPr>
                <w:rFonts w:ascii="宋体" w:hAnsi="宋体" w:eastAsia="宋体" w:cs="宋体"/>
                <w:sz w:val="21"/>
                <w:szCs w:val="21"/>
              </w:rPr>
              <w:t>镁</w:t>
            </w:r>
          </w:p>
        </w:tc>
        <w:tc>
          <w:tcPr>
            <w:tcW w:w="1402" w:type="dxa"/>
            <w:vAlign w:val="top"/>
          </w:tcPr>
          <w:p w14:paraId="67C8117A">
            <w:pPr>
              <w:pStyle w:val="6"/>
              <w:spacing w:before="102" w:line="188" w:lineRule="auto"/>
              <w:ind w:left="523"/>
            </w:pPr>
            <w:r>
              <w:rPr>
                <w:spacing w:val="-2"/>
              </w:rPr>
              <w:t>30.1</w:t>
            </w:r>
          </w:p>
        </w:tc>
        <w:tc>
          <w:tcPr>
            <w:tcW w:w="1401" w:type="dxa"/>
            <w:vAlign w:val="top"/>
          </w:tcPr>
          <w:p w14:paraId="3C9FCBA1">
            <w:pPr>
              <w:pStyle w:val="6"/>
              <w:spacing w:before="102" w:line="188" w:lineRule="auto"/>
              <w:ind w:left="519"/>
            </w:pPr>
            <w:r>
              <w:rPr>
                <w:spacing w:val="-1"/>
              </w:rPr>
              <w:t>27.6</w:t>
            </w:r>
          </w:p>
        </w:tc>
        <w:tc>
          <w:tcPr>
            <w:tcW w:w="1401" w:type="dxa"/>
            <w:vAlign w:val="top"/>
          </w:tcPr>
          <w:p w14:paraId="5F26BD38">
            <w:pPr>
              <w:pStyle w:val="6"/>
              <w:spacing w:before="102" w:line="188" w:lineRule="auto"/>
              <w:ind w:left="519"/>
            </w:pPr>
            <w:r>
              <w:rPr>
                <w:spacing w:val="-1"/>
              </w:rPr>
              <w:t>28.1</w:t>
            </w:r>
          </w:p>
        </w:tc>
        <w:tc>
          <w:tcPr>
            <w:tcW w:w="1261" w:type="dxa"/>
            <w:vAlign w:val="top"/>
          </w:tcPr>
          <w:p w14:paraId="5F1C0F7D">
            <w:pPr>
              <w:pStyle w:val="6"/>
              <w:spacing w:before="98" w:line="192" w:lineRule="auto"/>
              <w:ind w:left="401"/>
            </w:pPr>
            <w:r>
              <w:rPr>
                <w:spacing w:val="-1"/>
              </w:rPr>
              <w:t>mg/L</w:t>
            </w:r>
          </w:p>
        </w:tc>
      </w:tr>
      <w:tr w14:paraId="2C293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1F07C219">
            <w:pPr>
              <w:rPr>
                <w:rFonts w:ascii="Arial"/>
                <w:sz w:val="21"/>
              </w:rPr>
            </w:pPr>
          </w:p>
        </w:tc>
        <w:tc>
          <w:tcPr>
            <w:tcW w:w="1564" w:type="dxa"/>
            <w:vAlign w:val="top"/>
          </w:tcPr>
          <w:p w14:paraId="378C9962">
            <w:pPr>
              <w:spacing w:before="66" w:line="220" w:lineRule="auto"/>
              <w:ind w:left="471"/>
              <w:rPr>
                <w:rFonts w:ascii="宋体" w:hAnsi="宋体" w:eastAsia="宋体" w:cs="宋体"/>
                <w:sz w:val="21"/>
                <w:szCs w:val="21"/>
              </w:rPr>
            </w:pPr>
            <w:r>
              <w:rPr>
                <w:rFonts w:ascii="宋体" w:hAnsi="宋体" w:eastAsia="宋体" w:cs="宋体"/>
                <w:spacing w:val="-2"/>
                <w:sz w:val="21"/>
                <w:szCs w:val="21"/>
              </w:rPr>
              <w:t>碳酸根</w:t>
            </w:r>
          </w:p>
        </w:tc>
        <w:tc>
          <w:tcPr>
            <w:tcW w:w="1402" w:type="dxa"/>
            <w:vAlign w:val="top"/>
          </w:tcPr>
          <w:p w14:paraId="00623E3A">
            <w:pPr>
              <w:pStyle w:val="6"/>
              <w:spacing w:before="102" w:line="188" w:lineRule="auto"/>
              <w:ind w:left="404"/>
            </w:pPr>
            <w:r>
              <w:rPr>
                <w:spacing w:val="-2"/>
              </w:rPr>
              <w:t>0.750L</w:t>
            </w:r>
          </w:p>
        </w:tc>
        <w:tc>
          <w:tcPr>
            <w:tcW w:w="1401" w:type="dxa"/>
            <w:vAlign w:val="top"/>
          </w:tcPr>
          <w:p w14:paraId="653F1C2B">
            <w:pPr>
              <w:pStyle w:val="6"/>
              <w:spacing w:before="102" w:line="188" w:lineRule="auto"/>
              <w:ind w:left="405"/>
            </w:pPr>
            <w:r>
              <w:rPr>
                <w:spacing w:val="-2"/>
              </w:rPr>
              <w:t>0.750L</w:t>
            </w:r>
          </w:p>
        </w:tc>
        <w:tc>
          <w:tcPr>
            <w:tcW w:w="1401" w:type="dxa"/>
            <w:vAlign w:val="top"/>
          </w:tcPr>
          <w:p w14:paraId="1F00C72F">
            <w:pPr>
              <w:pStyle w:val="6"/>
              <w:spacing w:before="102" w:line="188" w:lineRule="auto"/>
              <w:ind w:left="405"/>
            </w:pPr>
            <w:r>
              <w:rPr>
                <w:spacing w:val="-2"/>
              </w:rPr>
              <w:t>0.750L</w:t>
            </w:r>
          </w:p>
        </w:tc>
        <w:tc>
          <w:tcPr>
            <w:tcW w:w="1261" w:type="dxa"/>
            <w:vAlign w:val="top"/>
          </w:tcPr>
          <w:p w14:paraId="668667B5">
            <w:pPr>
              <w:pStyle w:val="6"/>
              <w:spacing w:before="98" w:line="192" w:lineRule="auto"/>
              <w:ind w:left="401"/>
            </w:pPr>
            <w:r>
              <w:rPr>
                <w:spacing w:val="-1"/>
              </w:rPr>
              <w:t>mg/L</w:t>
            </w:r>
          </w:p>
        </w:tc>
      </w:tr>
      <w:tr w14:paraId="7438C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007674A6">
            <w:pPr>
              <w:rPr>
                <w:rFonts w:ascii="Arial"/>
                <w:sz w:val="21"/>
              </w:rPr>
            </w:pPr>
          </w:p>
        </w:tc>
        <w:tc>
          <w:tcPr>
            <w:tcW w:w="1564" w:type="dxa"/>
            <w:vAlign w:val="top"/>
          </w:tcPr>
          <w:p w14:paraId="3A49CAAA">
            <w:pPr>
              <w:spacing w:before="66" w:line="220" w:lineRule="auto"/>
              <w:ind w:left="367"/>
              <w:rPr>
                <w:rFonts w:ascii="宋体" w:hAnsi="宋体" w:eastAsia="宋体" w:cs="宋体"/>
                <w:sz w:val="21"/>
                <w:szCs w:val="21"/>
              </w:rPr>
            </w:pPr>
            <w:r>
              <w:rPr>
                <w:rFonts w:ascii="宋体" w:hAnsi="宋体" w:eastAsia="宋体" w:cs="宋体"/>
                <w:spacing w:val="-2"/>
                <w:sz w:val="21"/>
                <w:szCs w:val="21"/>
              </w:rPr>
              <w:t>重碳酸根</w:t>
            </w:r>
          </w:p>
        </w:tc>
        <w:tc>
          <w:tcPr>
            <w:tcW w:w="1402" w:type="dxa"/>
            <w:vAlign w:val="top"/>
          </w:tcPr>
          <w:p w14:paraId="4C4A1C2C">
            <w:pPr>
              <w:pStyle w:val="6"/>
              <w:spacing w:before="102" w:line="188" w:lineRule="auto"/>
              <w:ind w:left="565"/>
            </w:pPr>
            <w:r>
              <w:rPr>
                <w:spacing w:val="-9"/>
              </w:rPr>
              <w:t>193</w:t>
            </w:r>
          </w:p>
        </w:tc>
        <w:tc>
          <w:tcPr>
            <w:tcW w:w="1401" w:type="dxa"/>
            <w:vAlign w:val="top"/>
          </w:tcPr>
          <w:p w14:paraId="2F8B4891">
            <w:pPr>
              <w:pStyle w:val="6"/>
              <w:spacing w:before="102" w:line="188" w:lineRule="auto"/>
              <w:ind w:left="545"/>
            </w:pPr>
            <w:r>
              <w:rPr>
                <w:spacing w:val="-2"/>
              </w:rPr>
              <w:t>217</w:t>
            </w:r>
          </w:p>
        </w:tc>
        <w:tc>
          <w:tcPr>
            <w:tcW w:w="1401" w:type="dxa"/>
            <w:vAlign w:val="top"/>
          </w:tcPr>
          <w:p w14:paraId="79E6803E">
            <w:pPr>
              <w:pStyle w:val="6"/>
              <w:spacing w:before="102" w:line="188" w:lineRule="auto"/>
              <w:ind w:left="546"/>
            </w:pPr>
            <w:r>
              <w:rPr>
                <w:spacing w:val="-2"/>
              </w:rPr>
              <w:t>202</w:t>
            </w:r>
          </w:p>
        </w:tc>
        <w:tc>
          <w:tcPr>
            <w:tcW w:w="1261" w:type="dxa"/>
            <w:vAlign w:val="top"/>
          </w:tcPr>
          <w:p w14:paraId="4B8024FB">
            <w:pPr>
              <w:pStyle w:val="6"/>
              <w:spacing w:before="98" w:line="192" w:lineRule="auto"/>
              <w:ind w:left="400"/>
            </w:pPr>
            <w:r>
              <w:rPr>
                <w:spacing w:val="-1"/>
              </w:rPr>
              <w:t>mg/L</w:t>
            </w:r>
          </w:p>
        </w:tc>
      </w:tr>
      <w:tr w14:paraId="7DA45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2B8526CF">
            <w:pPr>
              <w:rPr>
                <w:rFonts w:ascii="Arial"/>
                <w:sz w:val="21"/>
              </w:rPr>
            </w:pPr>
          </w:p>
        </w:tc>
        <w:tc>
          <w:tcPr>
            <w:tcW w:w="1564" w:type="dxa"/>
            <w:vAlign w:val="top"/>
          </w:tcPr>
          <w:p w14:paraId="549C52BE">
            <w:pPr>
              <w:pStyle w:val="6"/>
              <w:spacing w:before="99" w:line="167" w:lineRule="auto"/>
              <w:ind w:left="663"/>
              <w:rPr>
                <w:sz w:val="14"/>
                <w:szCs w:val="14"/>
              </w:rPr>
            </w:pPr>
            <w:r>
              <w:rPr>
                <w:spacing w:val="-3"/>
              </w:rPr>
              <w:t>Cl</w:t>
            </w:r>
            <w:r>
              <w:rPr>
                <w:spacing w:val="-3"/>
                <w:position w:val="9"/>
                <w:sz w:val="14"/>
                <w:szCs w:val="14"/>
              </w:rPr>
              <w:t>-</w:t>
            </w:r>
          </w:p>
        </w:tc>
        <w:tc>
          <w:tcPr>
            <w:tcW w:w="1402" w:type="dxa"/>
            <w:vAlign w:val="top"/>
          </w:tcPr>
          <w:p w14:paraId="4E0AF90F">
            <w:pPr>
              <w:pStyle w:val="6"/>
              <w:spacing w:before="103" w:line="188" w:lineRule="auto"/>
              <w:ind w:left="522"/>
            </w:pPr>
            <w:r>
              <w:rPr>
                <w:spacing w:val="-3"/>
              </w:rPr>
              <w:t>9.64</w:t>
            </w:r>
          </w:p>
        </w:tc>
        <w:tc>
          <w:tcPr>
            <w:tcW w:w="1401" w:type="dxa"/>
            <w:vAlign w:val="top"/>
          </w:tcPr>
          <w:p w14:paraId="16CF88E3">
            <w:pPr>
              <w:pStyle w:val="6"/>
              <w:spacing w:before="103" w:line="188" w:lineRule="auto"/>
              <w:ind w:left="522"/>
            </w:pPr>
            <w:r>
              <w:rPr>
                <w:spacing w:val="-2"/>
              </w:rPr>
              <w:t>9.04</w:t>
            </w:r>
          </w:p>
        </w:tc>
        <w:tc>
          <w:tcPr>
            <w:tcW w:w="1401" w:type="dxa"/>
            <w:vAlign w:val="top"/>
          </w:tcPr>
          <w:p w14:paraId="3B4295F8">
            <w:pPr>
              <w:pStyle w:val="6"/>
              <w:spacing w:before="103" w:line="188" w:lineRule="auto"/>
              <w:ind w:left="527"/>
            </w:pPr>
            <w:r>
              <w:rPr>
                <w:spacing w:val="-4"/>
              </w:rPr>
              <w:t>8.76</w:t>
            </w:r>
          </w:p>
        </w:tc>
        <w:tc>
          <w:tcPr>
            <w:tcW w:w="1261" w:type="dxa"/>
            <w:vAlign w:val="top"/>
          </w:tcPr>
          <w:p w14:paraId="7CCCA872">
            <w:pPr>
              <w:pStyle w:val="6"/>
              <w:spacing w:before="99" w:line="192" w:lineRule="auto"/>
              <w:ind w:left="400"/>
            </w:pPr>
            <w:r>
              <w:rPr>
                <w:spacing w:val="-1"/>
              </w:rPr>
              <w:t>mg/L</w:t>
            </w:r>
          </w:p>
        </w:tc>
      </w:tr>
      <w:tr w14:paraId="17974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91" w:type="dxa"/>
            <w:vMerge w:val="continue"/>
            <w:tcBorders>
              <w:top w:val="nil"/>
              <w:bottom w:val="nil"/>
            </w:tcBorders>
            <w:vAlign w:val="top"/>
          </w:tcPr>
          <w:p w14:paraId="144565DB">
            <w:pPr>
              <w:rPr>
                <w:rFonts w:ascii="Arial"/>
                <w:sz w:val="21"/>
              </w:rPr>
            </w:pPr>
          </w:p>
        </w:tc>
        <w:tc>
          <w:tcPr>
            <w:tcW w:w="1564" w:type="dxa"/>
            <w:vAlign w:val="top"/>
          </w:tcPr>
          <w:p w14:paraId="29F8BD9D">
            <w:pPr>
              <w:pStyle w:val="6"/>
              <w:spacing w:before="51" w:line="215" w:lineRule="auto"/>
              <w:ind w:left="564"/>
              <w:rPr>
                <w:sz w:val="14"/>
                <w:szCs w:val="14"/>
              </w:rPr>
            </w:pPr>
            <w:r>
              <w:rPr>
                <w:spacing w:val="-3"/>
                <w:position w:val="-1"/>
              </w:rPr>
              <w:t>SO</w:t>
            </w:r>
            <w:r>
              <w:rPr>
                <w:spacing w:val="-3"/>
                <w:position w:val="-4"/>
                <w:sz w:val="14"/>
                <w:szCs w:val="14"/>
              </w:rPr>
              <w:t>4</w:t>
            </w:r>
            <w:r>
              <w:rPr>
                <w:spacing w:val="-3"/>
                <w:position w:val="8"/>
                <w:sz w:val="14"/>
                <w:szCs w:val="14"/>
              </w:rPr>
              <w:t>2-</w:t>
            </w:r>
          </w:p>
        </w:tc>
        <w:tc>
          <w:tcPr>
            <w:tcW w:w="1402" w:type="dxa"/>
            <w:vAlign w:val="top"/>
          </w:tcPr>
          <w:p w14:paraId="2FEC07A6">
            <w:pPr>
              <w:pStyle w:val="6"/>
              <w:spacing w:before="103" w:line="188" w:lineRule="auto"/>
              <w:ind w:left="568"/>
            </w:pPr>
            <w:r>
              <w:rPr>
                <w:spacing w:val="-10"/>
              </w:rPr>
              <w:t>110</w:t>
            </w:r>
          </w:p>
        </w:tc>
        <w:tc>
          <w:tcPr>
            <w:tcW w:w="1401" w:type="dxa"/>
            <w:vAlign w:val="top"/>
          </w:tcPr>
          <w:p w14:paraId="4C7CEC19">
            <w:pPr>
              <w:pStyle w:val="6"/>
              <w:spacing w:before="103" w:line="188" w:lineRule="auto"/>
              <w:ind w:left="566"/>
            </w:pPr>
            <w:r>
              <w:rPr>
                <w:spacing w:val="-8"/>
              </w:rPr>
              <w:t>101</w:t>
            </w:r>
          </w:p>
        </w:tc>
        <w:tc>
          <w:tcPr>
            <w:tcW w:w="1401" w:type="dxa"/>
            <w:vAlign w:val="top"/>
          </w:tcPr>
          <w:p w14:paraId="38608CD2">
            <w:pPr>
              <w:pStyle w:val="6"/>
              <w:spacing w:before="103" w:line="188" w:lineRule="auto"/>
              <w:ind w:left="524"/>
            </w:pPr>
            <w:r>
              <w:rPr>
                <w:spacing w:val="-2"/>
              </w:rPr>
              <w:t>99.2</w:t>
            </w:r>
          </w:p>
        </w:tc>
        <w:tc>
          <w:tcPr>
            <w:tcW w:w="1261" w:type="dxa"/>
            <w:vAlign w:val="top"/>
          </w:tcPr>
          <w:p w14:paraId="23D98C86">
            <w:pPr>
              <w:pStyle w:val="6"/>
              <w:spacing w:before="99" w:line="192" w:lineRule="auto"/>
              <w:ind w:left="401"/>
            </w:pPr>
            <w:r>
              <w:rPr>
                <w:spacing w:val="-1"/>
              </w:rPr>
              <w:t>mg/L</w:t>
            </w:r>
          </w:p>
        </w:tc>
      </w:tr>
      <w:tr w14:paraId="0D1B4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14F69237">
            <w:pPr>
              <w:rPr>
                <w:rFonts w:ascii="Arial"/>
                <w:sz w:val="21"/>
              </w:rPr>
            </w:pPr>
          </w:p>
        </w:tc>
        <w:tc>
          <w:tcPr>
            <w:tcW w:w="1564" w:type="dxa"/>
            <w:vAlign w:val="top"/>
          </w:tcPr>
          <w:p w14:paraId="36D936B9">
            <w:pPr>
              <w:spacing w:before="66" w:line="219" w:lineRule="auto"/>
              <w:ind w:left="368"/>
              <w:rPr>
                <w:rFonts w:ascii="宋体" w:hAnsi="宋体" w:eastAsia="宋体" w:cs="宋体"/>
                <w:sz w:val="21"/>
                <w:szCs w:val="21"/>
              </w:rPr>
            </w:pPr>
            <w:r>
              <w:rPr>
                <w:rFonts w:ascii="宋体" w:hAnsi="宋体" w:eastAsia="宋体" w:cs="宋体"/>
                <w:spacing w:val="-2"/>
                <w:sz w:val="21"/>
                <w:szCs w:val="21"/>
              </w:rPr>
              <w:t>硝酸盐氮</w:t>
            </w:r>
          </w:p>
        </w:tc>
        <w:tc>
          <w:tcPr>
            <w:tcW w:w="1402" w:type="dxa"/>
            <w:vAlign w:val="top"/>
          </w:tcPr>
          <w:p w14:paraId="04EAE2F0">
            <w:pPr>
              <w:pStyle w:val="6"/>
              <w:spacing w:before="102" w:line="188" w:lineRule="auto"/>
              <w:ind w:left="517"/>
            </w:pPr>
            <w:r>
              <w:rPr>
                <w:spacing w:val="-1"/>
              </w:rPr>
              <w:t>4.41</w:t>
            </w:r>
          </w:p>
        </w:tc>
        <w:tc>
          <w:tcPr>
            <w:tcW w:w="1401" w:type="dxa"/>
            <w:vAlign w:val="top"/>
          </w:tcPr>
          <w:p w14:paraId="591C79BD">
            <w:pPr>
              <w:pStyle w:val="6"/>
              <w:spacing w:before="102" w:line="188" w:lineRule="auto"/>
              <w:ind w:left="517"/>
            </w:pPr>
            <w:r>
              <w:rPr>
                <w:spacing w:val="-1"/>
              </w:rPr>
              <w:t>4.39</w:t>
            </w:r>
          </w:p>
        </w:tc>
        <w:tc>
          <w:tcPr>
            <w:tcW w:w="1401" w:type="dxa"/>
            <w:vAlign w:val="top"/>
          </w:tcPr>
          <w:p w14:paraId="3DE025AF">
            <w:pPr>
              <w:pStyle w:val="6"/>
              <w:spacing w:before="102" w:line="188" w:lineRule="auto"/>
              <w:ind w:left="518"/>
            </w:pPr>
            <w:r>
              <w:rPr>
                <w:spacing w:val="-1"/>
              </w:rPr>
              <w:t>4.32</w:t>
            </w:r>
          </w:p>
        </w:tc>
        <w:tc>
          <w:tcPr>
            <w:tcW w:w="1261" w:type="dxa"/>
            <w:vAlign w:val="top"/>
          </w:tcPr>
          <w:p w14:paraId="58227F34">
            <w:pPr>
              <w:pStyle w:val="6"/>
              <w:spacing w:before="98" w:line="192" w:lineRule="auto"/>
              <w:ind w:left="400"/>
            </w:pPr>
            <w:r>
              <w:rPr>
                <w:spacing w:val="-1"/>
              </w:rPr>
              <w:t>mg/L</w:t>
            </w:r>
          </w:p>
        </w:tc>
      </w:tr>
      <w:tr w14:paraId="03C7C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6104AEF7">
            <w:pPr>
              <w:rPr>
                <w:rFonts w:ascii="Arial"/>
                <w:sz w:val="21"/>
              </w:rPr>
            </w:pPr>
          </w:p>
        </w:tc>
        <w:tc>
          <w:tcPr>
            <w:tcW w:w="1564" w:type="dxa"/>
            <w:vAlign w:val="top"/>
          </w:tcPr>
          <w:p w14:paraId="78F9615F">
            <w:pPr>
              <w:spacing w:before="66" w:line="219" w:lineRule="auto"/>
              <w:ind w:left="263"/>
              <w:rPr>
                <w:rFonts w:ascii="宋体" w:hAnsi="宋体" w:eastAsia="宋体" w:cs="宋体"/>
                <w:sz w:val="21"/>
                <w:szCs w:val="21"/>
              </w:rPr>
            </w:pPr>
            <w:r>
              <w:rPr>
                <w:rFonts w:ascii="宋体" w:hAnsi="宋体" w:eastAsia="宋体" w:cs="宋体"/>
                <w:spacing w:val="-2"/>
                <w:sz w:val="21"/>
                <w:szCs w:val="21"/>
              </w:rPr>
              <w:t>亚硝酸盐氮</w:t>
            </w:r>
          </w:p>
        </w:tc>
        <w:tc>
          <w:tcPr>
            <w:tcW w:w="1402" w:type="dxa"/>
            <w:vAlign w:val="top"/>
          </w:tcPr>
          <w:p w14:paraId="2860E067">
            <w:pPr>
              <w:pStyle w:val="6"/>
              <w:spacing w:before="103" w:line="188" w:lineRule="auto"/>
              <w:ind w:left="404"/>
            </w:pPr>
            <w:r>
              <w:rPr>
                <w:spacing w:val="-2"/>
              </w:rPr>
              <w:t>0.016L</w:t>
            </w:r>
          </w:p>
        </w:tc>
        <w:tc>
          <w:tcPr>
            <w:tcW w:w="1401" w:type="dxa"/>
            <w:vAlign w:val="top"/>
          </w:tcPr>
          <w:p w14:paraId="3CCFAC73">
            <w:pPr>
              <w:pStyle w:val="6"/>
              <w:spacing w:before="103" w:line="188" w:lineRule="auto"/>
              <w:ind w:left="405"/>
            </w:pPr>
            <w:r>
              <w:rPr>
                <w:spacing w:val="-2"/>
              </w:rPr>
              <w:t>0.016L</w:t>
            </w:r>
          </w:p>
        </w:tc>
        <w:tc>
          <w:tcPr>
            <w:tcW w:w="1401" w:type="dxa"/>
            <w:vAlign w:val="top"/>
          </w:tcPr>
          <w:p w14:paraId="54701821">
            <w:pPr>
              <w:pStyle w:val="6"/>
              <w:spacing w:before="103" w:line="188" w:lineRule="auto"/>
              <w:ind w:left="405"/>
            </w:pPr>
            <w:r>
              <w:rPr>
                <w:spacing w:val="-2"/>
              </w:rPr>
              <w:t>0.016L</w:t>
            </w:r>
          </w:p>
        </w:tc>
        <w:tc>
          <w:tcPr>
            <w:tcW w:w="1261" w:type="dxa"/>
            <w:vAlign w:val="top"/>
          </w:tcPr>
          <w:p w14:paraId="1A8BA70E">
            <w:pPr>
              <w:pStyle w:val="6"/>
              <w:spacing w:before="99" w:line="192" w:lineRule="auto"/>
              <w:ind w:left="401"/>
            </w:pPr>
            <w:r>
              <w:rPr>
                <w:spacing w:val="-1"/>
              </w:rPr>
              <w:t>mg/L</w:t>
            </w:r>
          </w:p>
        </w:tc>
      </w:tr>
      <w:tr w14:paraId="0F942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47F060EC">
            <w:pPr>
              <w:rPr>
                <w:rFonts w:ascii="Arial"/>
                <w:sz w:val="21"/>
              </w:rPr>
            </w:pPr>
          </w:p>
        </w:tc>
        <w:tc>
          <w:tcPr>
            <w:tcW w:w="1564" w:type="dxa"/>
            <w:vAlign w:val="top"/>
          </w:tcPr>
          <w:p w14:paraId="290BEDD8">
            <w:pPr>
              <w:spacing w:before="66" w:line="219" w:lineRule="auto"/>
              <w:ind w:left="472"/>
              <w:rPr>
                <w:rFonts w:ascii="宋体" w:hAnsi="宋体" w:eastAsia="宋体" w:cs="宋体"/>
                <w:sz w:val="21"/>
                <w:szCs w:val="21"/>
              </w:rPr>
            </w:pPr>
            <w:r>
              <w:rPr>
                <w:rFonts w:ascii="宋体" w:hAnsi="宋体" w:eastAsia="宋体" w:cs="宋体"/>
                <w:spacing w:val="-3"/>
                <w:sz w:val="21"/>
                <w:szCs w:val="21"/>
              </w:rPr>
              <w:t>耗氧量</w:t>
            </w:r>
          </w:p>
        </w:tc>
        <w:tc>
          <w:tcPr>
            <w:tcW w:w="1402" w:type="dxa"/>
            <w:vAlign w:val="top"/>
          </w:tcPr>
          <w:p w14:paraId="4ED59C34">
            <w:pPr>
              <w:pStyle w:val="6"/>
              <w:spacing w:before="103" w:line="188" w:lineRule="auto"/>
              <w:ind w:left="590"/>
            </w:pPr>
            <w:r>
              <w:rPr>
                <w:spacing w:val="-8"/>
              </w:rPr>
              <w:t>1.8</w:t>
            </w:r>
          </w:p>
        </w:tc>
        <w:tc>
          <w:tcPr>
            <w:tcW w:w="1401" w:type="dxa"/>
            <w:vAlign w:val="top"/>
          </w:tcPr>
          <w:p w14:paraId="5E5365DD">
            <w:pPr>
              <w:pStyle w:val="6"/>
              <w:spacing w:before="103" w:line="188" w:lineRule="auto"/>
              <w:ind w:left="591"/>
            </w:pPr>
            <w:r>
              <w:rPr>
                <w:spacing w:val="-8"/>
              </w:rPr>
              <w:t>1.6</w:t>
            </w:r>
          </w:p>
        </w:tc>
        <w:tc>
          <w:tcPr>
            <w:tcW w:w="1401" w:type="dxa"/>
            <w:vAlign w:val="top"/>
          </w:tcPr>
          <w:p w14:paraId="433E2D55">
            <w:pPr>
              <w:pStyle w:val="6"/>
              <w:spacing w:before="103" w:line="188" w:lineRule="auto"/>
              <w:ind w:left="592"/>
            </w:pPr>
            <w:r>
              <w:rPr>
                <w:spacing w:val="-8"/>
              </w:rPr>
              <w:t>1.8</w:t>
            </w:r>
          </w:p>
        </w:tc>
        <w:tc>
          <w:tcPr>
            <w:tcW w:w="1261" w:type="dxa"/>
            <w:vAlign w:val="top"/>
          </w:tcPr>
          <w:p w14:paraId="6C69D1F7">
            <w:pPr>
              <w:pStyle w:val="6"/>
              <w:spacing w:before="99" w:line="192" w:lineRule="auto"/>
              <w:ind w:left="402"/>
            </w:pPr>
            <w:r>
              <w:rPr>
                <w:spacing w:val="-1"/>
              </w:rPr>
              <w:t>mg/L</w:t>
            </w:r>
          </w:p>
        </w:tc>
      </w:tr>
      <w:tr w14:paraId="76D5E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6596A590">
            <w:pPr>
              <w:rPr>
                <w:rFonts w:ascii="Arial"/>
                <w:sz w:val="21"/>
              </w:rPr>
            </w:pPr>
          </w:p>
        </w:tc>
        <w:tc>
          <w:tcPr>
            <w:tcW w:w="1564" w:type="dxa"/>
            <w:vAlign w:val="top"/>
          </w:tcPr>
          <w:p w14:paraId="4654BEDF">
            <w:pPr>
              <w:spacing w:before="67" w:line="219" w:lineRule="auto"/>
              <w:ind w:left="576"/>
              <w:rPr>
                <w:rFonts w:ascii="宋体" w:hAnsi="宋体" w:eastAsia="宋体" w:cs="宋体"/>
                <w:sz w:val="21"/>
                <w:szCs w:val="21"/>
              </w:rPr>
            </w:pPr>
            <w:r>
              <w:rPr>
                <w:rFonts w:ascii="宋体" w:hAnsi="宋体" w:eastAsia="宋体" w:cs="宋体"/>
                <w:spacing w:val="-3"/>
                <w:sz w:val="21"/>
                <w:szCs w:val="21"/>
              </w:rPr>
              <w:t>氨氮</w:t>
            </w:r>
          </w:p>
        </w:tc>
        <w:tc>
          <w:tcPr>
            <w:tcW w:w="1402" w:type="dxa"/>
            <w:vAlign w:val="top"/>
          </w:tcPr>
          <w:p w14:paraId="0240E6B4">
            <w:pPr>
              <w:pStyle w:val="6"/>
              <w:spacing w:before="103" w:line="188" w:lineRule="auto"/>
              <w:ind w:left="469"/>
            </w:pPr>
            <w:r>
              <w:rPr>
                <w:spacing w:val="-2"/>
              </w:rPr>
              <w:t>0.157</w:t>
            </w:r>
          </w:p>
        </w:tc>
        <w:tc>
          <w:tcPr>
            <w:tcW w:w="1401" w:type="dxa"/>
            <w:vAlign w:val="top"/>
          </w:tcPr>
          <w:p w14:paraId="00DEEC22">
            <w:pPr>
              <w:pStyle w:val="6"/>
              <w:spacing w:before="103" w:line="188" w:lineRule="auto"/>
              <w:ind w:left="469"/>
            </w:pPr>
            <w:r>
              <w:rPr>
                <w:spacing w:val="-2"/>
              </w:rPr>
              <w:t>0.189</w:t>
            </w:r>
          </w:p>
        </w:tc>
        <w:tc>
          <w:tcPr>
            <w:tcW w:w="1401" w:type="dxa"/>
            <w:vAlign w:val="top"/>
          </w:tcPr>
          <w:p w14:paraId="0848C112">
            <w:pPr>
              <w:pStyle w:val="6"/>
              <w:spacing w:before="103" w:line="188" w:lineRule="auto"/>
              <w:ind w:left="470"/>
            </w:pPr>
            <w:r>
              <w:rPr>
                <w:spacing w:val="-2"/>
              </w:rPr>
              <w:t>0.135</w:t>
            </w:r>
          </w:p>
        </w:tc>
        <w:tc>
          <w:tcPr>
            <w:tcW w:w="1261" w:type="dxa"/>
            <w:vAlign w:val="top"/>
          </w:tcPr>
          <w:p w14:paraId="20C97F61">
            <w:pPr>
              <w:pStyle w:val="6"/>
              <w:spacing w:before="99" w:line="192" w:lineRule="auto"/>
              <w:ind w:left="401"/>
            </w:pPr>
            <w:r>
              <w:rPr>
                <w:spacing w:val="-1"/>
              </w:rPr>
              <w:t>mg/L</w:t>
            </w:r>
          </w:p>
        </w:tc>
      </w:tr>
      <w:tr w14:paraId="6A1BB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91" w:type="dxa"/>
            <w:vMerge w:val="continue"/>
            <w:tcBorders>
              <w:top w:val="nil"/>
              <w:bottom w:val="nil"/>
            </w:tcBorders>
            <w:vAlign w:val="top"/>
          </w:tcPr>
          <w:p w14:paraId="3459A9AF">
            <w:pPr>
              <w:rPr>
                <w:rFonts w:ascii="Arial"/>
                <w:sz w:val="21"/>
              </w:rPr>
            </w:pPr>
          </w:p>
        </w:tc>
        <w:tc>
          <w:tcPr>
            <w:tcW w:w="1564" w:type="dxa"/>
            <w:vAlign w:val="top"/>
          </w:tcPr>
          <w:p w14:paraId="442D62B4">
            <w:pPr>
              <w:spacing w:before="67" w:line="220" w:lineRule="auto"/>
              <w:ind w:left="477"/>
              <w:rPr>
                <w:rFonts w:ascii="宋体" w:hAnsi="宋体" w:eastAsia="宋体" w:cs="宋体"/>
                <w:sz w:val="21"/>
                <w:szCs w:val="21"/>
              </w:rPr>
            </w:pPr>
            <w:r>
              <w:rPr>
                <w:rFonts w:ascii="宋体" w:hAnsi="宋体" w:eastAsia="宋体" w:cs="宋体"/>
                <w:spacing w:val="-4"/>
                <w:sz w:val="21"/>
                <w:szCs w:val="21"/>
              </w:rPr>
              <w:t>总硬度</w:t>
            </w:r>
          </w:p>
        </w:tc>
        <w:tc>
          <w:tcPr>
            <w:tcW w:w="1402" w:type="dxa"/>
            <w:vAlign w:val="top"/>
          </w:tcPr>
          <w:p w14:paraId="0A550C99">
            <w:pPr>
              <w:pStyle w:val="6"/>
              <w:spacing w:before="104" w:line="188" w:lineRule="auto"/>
              <w:ind w:left="545"/>
            </w:pPr>
            <w:r>
              <w:rPr>
                <w:spacing w:val="-2"/>
              </w:rPr>
              <w:t>228</w:t>
            </w:r>
          </w:p>
        </w:tc>
        <w:tc>
          <w:tcPr>
            <w:tcW w:w="1401" w:type="dxa"/>
            <w:vAlign w:val="top"/>
          </w:tcPr>
          <w:p w14:paraId="30518F03">
            <w:pPr>
              <w:pStyle w:val="6"/>
              <w:spacing w:before="104" w:line="188" w:lineRule="auto"/>
              <w:ind w:left="545"/>
            </w:pPr>
            <w:r>
              <w:rPr>
                <w:spacing w:val="-2"/>
              </w:rPr>
              <w:t>215</w:t>
            </w:r>
          </w:p>
        </w:tc>
        <w:tc>
          <w:tcPr>
            <w:tcW w:w="1401" w:type="dxa"/>
            <w:vAlign w:val="top"/>
          </w:tcPr>
          <w:p w14:paraId="2869D1DF">
            <w:pPr>
              <w:pStyle w:val="6"/>
              <w:spacing w:before="104" w:line="188" w:lineRule="auto"/>
              <w:ind w:left="546"/>
            </w:pPr>
            <w:r>
              <w:rPr>
                <w:spacing w:val="-2"/>
              </w:rPr>
              <w:t>206</w:t>
            </w:r>
          </w:p>
        </w:tc>
        <w:tc>
          <w:tcPr>
            <w:tcW w:w="1261" w:type="dxa"/>
            <w:vAlign w:val="top"/>
          </w:tcPr>
          <w:p w14:paraId="5DBB4812">
            <w:pPr>
              <w:pStyle w:val="6"/>
              <w:spacing w:before="100" w:line="192" w:lineRule="auto"/>
              <w:ind w:left="400"/>
            </w:pPr>
            <w:r>
              <w:rPr>
                <w:spacing w:val="-1"/>
              </w:rPr>
              <w:t>mg/L</w:t>
            </w:r>
          </w:p>
        </w:tc>
      </w:tr>
      <w:tr w14:paraId="7D191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345726F7">
            <w:pPr>
              <w:rPr>
                <w:rFonts w:ascii="Arial"/>
                <w:sz w:val="21"/>
              </w:rPr>
            </w:pPr>
          </w:p>
        </w:tc>
        <w:tc>
          <w:tcPr>
            <w:tcW w:w="1564" w:type="dxa"/>
            <w:vAlign w:val="top"/>
          </w:tcPr>
          <w:p w14:paraId="029F3E66">
            <w:pPr>
              <w:spacing w:before="67" w:line="220" w:lineRule="auto"/>
              <w:ind w:left="159"/>
              <w:rPr>
                <w:rFonts w:ascii="宋体" w:hAnsi="宋体" w:eastAsia="宋体" w:cs="宋体"/>
                <w:sz w:val="21"/>
                <w:szCs w:val="21"/>
              </w:rPr>
            </w:pPr>
            <w:r>
              <w:rPr>
                <w:rFonts w:ascii="宋体" w:hAnsi="宋体" w:eastAsia="宋体" w:cs="宋体"/>
                <w:spacing w:val="-2"/>
                <w:sz w:val="21"/>
                <w:szCs w:val="21"/>
              </w:rPr>
              <w:t>溶解性总固体</w:t>
            </w:r>
          </w:p>
        </w:tc>
        <w:tc>
          <w:tcPr>
            <w:tcW w:w="1402" w:type="dxa"/>
            <w:vAlign w:val="top"/>
          </w:tcPr>
          <w:p w14:paraId="3663CC94">
            <w:pPr>
              <w:pStyle w:val="6"/>
              <w:spacing w:before="103" w:line="188" w:lineRule="auto"/>
              <w:ind w:left="544"/>
            </w:pPr>
            <w:r>
              <w:rPr>
                <w:spacing w:val="-2"/>
              </w:rPr>
              <w:t>482</w:t>
            </w:r>
          </w:p>
        </w:tc>
        <w:tc>
          <w:tcPr>
            <w:tcW w:w="1401" w:type="dxa"/>
            <w:vAlign w:val="top"/>
          </w:tcPr>
          <w:p w14:paraId="7BF5FEE2">
            <w:pPr>
              <w:pStyle w:val="6"/>
              <w:spacing w:before="103" w:line="188" w:lineRule="auto"/>
              <w:ind w:left="551"/>
            </w:pPr>
            <w:r>
              <w:rPr>
                <w:spacing w:val="-4"/>
              </w:rPr>
              <w:t>510</w:t>
            </w:r>
          </w:p>
        </w:tc>
        <w:tc>
          <w:tcPr>
            <w:tcW w:w="1401" w:type="dxa"/>
            <w:vAlign w:val="top"/>
          </w:tcPr>
          <w:p w14:paraId="15F28551">
            <w:pPr>
              <w:pStyle w:val="6"/>
              <w:spacing w:before="103" w:line="188" w:lineRule="auto"/>
              <w:ind w:left="545"/>
            </w:pPr>
            <w:r>
              <w:rPr>
                <w:spacing w:val="-2"/>
              </w:rPr>
              <w:t>478</w:t>
            </w:r>
          </w:p>
        </w:tc>
        <w:tc>
          <w:tcPr>
            <w:tcW w:w="1261" w:type="dxa"/>
            <w:vAlign w:val="top"/>
          </w:tcPr>
          <w:p w14:paraId="6AD4D221">
            <w:pPr>
              <w:pStyle w:val="6"/>
              <w:spacing w:before="99" w:line="192" w:lineRule="auto"/>
              <w:ind w:left="400"/>
            </w:pPr>
            <w:r>
              <w:rPr>
                <w:spacing w:val="-1"/>
              </w:rPr>
              <w:t>mg/L</w:t>
            </w:r>
          </w:p>
        </w:tc>
      </w:tr>
      <w:tr w14:paraId="0E7D5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0D03EA8D">
            <w:pPr>
              <w:rPr>
                <w:rFonts w:ascii="Arial"/>
                <w:sz w:val="21"/>
              </w:rPr>
            </w:pPr>
          </w:p>
        </w:tc>
        <w:tc>
          <w:tcPr>
            <w:tcW w:w="1564" w:type="dxa"/>
            <w:vAlign w:val="top"/>
          </w:tcPr>
          <w:p w14:paraId="16C78AC1">
            <w:pPr>
              <w:spacing w:before="66" w:line="220" w:lineRule="auto"/>
              <w:ind w:left="371"/>
              <w:rPr>
                <w:rFonts w:ascii="宋体" w:hAnsi="宋体" w:eastAsia="宋体" w:cs="宋体"/>
                <w:sz w:val="21"/>
                <w:szCs w:val="21"/>
              </w:rPr>
            </w:pPr>
            <w:r>
              <w:rPr>
                <w:rFonts w:ascii="宋体" w:hAnsi="宋体" w:eastAsia="宋体" w:cs="宋体"/>
                <w:spacing w:val="-3"/>
                <w:sz w:val="21"/>
                <w:szCs w:val="21"/>
              </w:rPr>
              <w:t>菌落总数</w:t>
            </w:r>
          </w:p>
        </w:tc>
        <w:tc>
          <w:tcPr>
            <w:tcW w:w="1402" w:type="dxa"/>
            <w:vAlign w:val="top"/>
          </w:tcPr>
          <w:p w14:paraId="65443D6C">
            <w:pPr>
              <w:pStyle w:val="6"/>
              <w:spacing w:before="106" w:line="185" w:lineRule="auto"/>
              <w:ind w:left="602"/>
            </w:pPr>
            <w:r>
              <w:rPr>
                <w:spacing w:val="-5"/>
              </w:rPr>
              <w:t>55</w:t>
            </w:r>
          </w:p>
        </w:tc>
        <w:tc>
          <w:tcPr>
            <w:tcW w:w="1401" w:type="dxa"/>
            <w:vAlign w:val="top"/>
          </w:tcPr>
          <w:p w14:paraId="7AA8815D">
            <w:pPr>
              <w:pStyle w:val="6"/>
              <w:spacing w:before="103" w:line="188" w:lineRule="auto"/>
              <w:ind w:left="602"/>
            </w:pPr>
            <w:r>
              <w:rPr>
                <w:spacing w:val="-5"/>
              </w:rPr>
              <w:t>62</w:t>
            </w:r>
          </w:p>
        </w:tc>
        <w:tc>
          <w:tcPr>
            <w:tcW w:w="1401" w:type="dxa"/>
            <w:vAlign w:val="top"/>
          </w:tcPr>
          <w:p w14:paraId="55EC306A">
            <w:pPr>
              <w:pStyle w:val="6"/>
              <w:spacing w:before="103" w:line="188" w:lineRule="auto"/>
              <w:ind w:left="601"/>
            </w:pPr>
            <w:r>
              <w:rPr>
                <w:spacing w:val="-4"/>
              </w:rPr>
              <w:t>70</w:t>
            </w:r>
          </w:p>
        </w:tc>
        <w:tc>
          <w:tcPr>
            <w:tcW w:w="1261" w:type="dxa"/>
            <w:vAlign w:val="top"/>
          </w:tcPr>
          <w:p w14:paraId="508D4984">
            <w:pPr>
              <w:pStyle w:val="6"/>
              <w:spacing w:before="99" w:line="192" w:lineRule="auto"/>
              <w:ind w:left="255"/>
            </w:pPr>
            <w:r>
              <w:rPr>
                <w:spacing w:val="-2"/>
              </w:rPr>
              <w:t>CFU/mL</w:t>
            </w:r>
          </w:p>
        </w:tc>
      </w:tr>
      <w:tr w14:paraId="13781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91" w:type="dxa"/>
            <w:vMerge w:val="continue"/>
            <w:tcBorders>
              <w:top w:val="nil"/>
              <w:bottom w:val="nil"/>
            </w:tcBorders>
            <w:vAlign w:val="top"/>
          </w:tcPr>
          <w:p w14:paraId="5A5554B3">
            <w:pPr>
              <w:rPr>
                <w:rFonts w:ascii="Arial"/>
                <w:sz w:val="21"/>
              </w:rPr>
            </w:pPr>
          </w:p>
        </w:tc>
        <w:tc>
          <w:tcPr>
            <w:tcW w:w="1564" w:type="dxa"/>
            <w:vAlign w:val="top"/>
          </w:tcPr>
          <w:p w14:paraId="78FA7A0A">
            <w:pPr>
              <w:spacing w:before="67" w:line="220" w:lineRule="auto"/>
              <w:ind w:left="267"/>
              <w:rPr>
                <w:rFonts w:ascii="宋体" w:hAnsi="宋体" w:eastAsia="宋体" w:cs="宋体"/>
                <w:sz w:val="21"/>
                <w:szCs w:val="21"/>
              </w:rPr>
            </w:pPr>
            <w:r>
              <w:rPr>
                <w:rFonts w:ascii="宋体" w:hAnsi="宋体" w:eastAsia="宋体" w:cs="宋体"/>
                <w:spacing w:val="-3"/>
                <w:sz w:val="21"/>
                <w:szCs w:val="21"/>
              </w:rPr>
              <w:t>总大肠菌群</w:t>
            </w:r>
          </w:p>
        </w:tc>
        <w:tc>
          <w:tcPr>
            <w:tcW w:w="1402" w:type="dxa"/>
            <w:vAlign w:val="top"/>
          </w:tcPr>
          <w:p w14:paraId="4F9557BD">
            <w:pPr>
              <w:pStyle w:val="6"/>
              <w:spacing w:before="104" w:line="188" w:lineRule="auto"/>
              <w:ind w:left="649"/>
            </w:pPr>
            <w:r>
              <w:t>2</w:t>
            </w:r>
          </w:p>
        </w:tc>
        <w:tc>
          <w:tcPr>
            <w:tcW w:w="1401" w:type="dxa"/>
            <w:vAlign w:val="top"/>
          </w:tcPr>
          <w:p w14:paraId="5E521472">
            <w:pPr>
              <w:pStyle w:val="6"/>
              <w:spacing w:before="104" w:line="188" w:lineRule="auto"/>
              <w:ind w:left="650"/>
            </w:pPr>
            <w:r>
              <w:t>2</w:t>
            </w:r>
          </w:p>
        </w:tc>
        <w:tc>
          <w:tcPr>
            <w:tcW w:w="1401" w:type="dxa"/>
            <w:vAlign w:val="top"/>
          </w:tcPr>
          <w:p w14:paraId="73D4CFB3">
            <w:pPr>
              <w:pStyle w:val="6"/>
              <w:spacing w:before="104" w:line="188" w:lineRule="auto"/>
              <w:ind w:left="650"/>
            </w:pPr>
            <w:r>
              <w:t>2</w:t>
            </w:r>
          </w:p>
        </w:tc>
        <w:tc>
          <w:tcPr>
            <w:tcW w:w="1261" w:type="dxa"/>
            <w:vAlign w:val="top"/>
          </w:tcPr>
          <w:p w14:paraId="445FF861">
            <w:pPr>
              <w:pStyle w:val="6"/>
              <w:spacing w:before="100" w:line="192" w:lineRule="auto"/>
              <w:ind w:left="255"/>
            </w:pPr>
            <w:r>
              <w:rPr>
                <w:spacing w:val="-2"/>
              </w:rPr>
              <w:t>CFU/mL</w:t>
            </w:r>
          </w:p>
        </w:tc>
      </w:tr>
      <w:tr w14:paraId="3BDFF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20E98373">
            <w:pPr>
              <w:rPr>
                <w:rFonts w:ascii="Arial"/>
                <w:sz w:val="21"/>
              </w:rPr>
            </w:pPr>
          </w:p>
        </w:tc>
        <w:tc>
          <w:tcPr>
            <w:tcW w:w="1564" w:type="dxa"/>
            <w:vAlign w:val="top"/>
          </w:tcPr>
          <w:p w14:paraId="3C8A5A9F">
            <w:pPr>
              <w:spacing w:before="67" w:line="220" w:lineRule="auto"/>
              <w:ind w:left="470"/>
              <w:rPr>
                <w:rFonts w:ascii="宋体" w:hAnsi="宋体" w:eastAsia="宋体" w:cs="宋体"/>
                <w:sz w:val="21"/>
                <w:szCs w:val="21"/>
              </w:rPr>
            </w:pPr>
            <w:r>
              <w:rPr>
                <w:rFonts w:ascii="宋体" w:hAnsi="宋体" w:eastAsia="宋体" w:cs="宋体"/>
                <w:spacing w:val="-2"/>
                <w:sz w:val="21"/>
                <w:szCs w:val="21"/>
              </w:rPr>
              <w:t>挥发酚</w:t>
            </w:r>
          </w:p>
        </w:tc>
        <w:tc>
          <w:tcPr>
            <w:tcW w:w="1402" w:type="dxa"/>
            <w:vAlign w:val="top"/>
          </w:tcPr>
          <w:p w14:paraId="528962AF">
            <w:pPr>
              <w:pStyle w:val="6"/>
              <w:spacing w:before="103" w:line="188" w:lineRule="auto"/>
              <w:ind w:left="352"/>
            </w:pPr>
            <w:r>
              <w:rPr>
                <w:spacing w:val="-1"/>
              </w:rPr>
              <w:t>0.0003L</w:t>
            </w:r>
          </w:p>
        </w:tc>
        <w:tc>
          <w:tcPr>
            <w:tcW w:w="1401" w:type="dxa"/>
            <w:vAlign w:val="top"/>
          </w:tcPr>
          <w:p w14:paraId="316E5AA0">
            <w:pPr>
              <w:pStyle w:val="6"/>
              <w:spacing w:before="103" w:line="188" w:lineRule="auto"/>
              <w:ind w:left="353"/>
            </w:pPr>
            <w:r>
              <w:rPr>
                <w:spacing w:val="-1"/>
              </w:rPr>
              <w:t>0.0003L</w:t>
            </w:r>
          </w:p>
        </w:tc>
        <w:tc>
          <w:tcPr>
            <w:tcW w:w="1401" w:type="dxa"/>
            <w:vAlign w:val="top"/>
          </w:tcPr>
          <w:p w14:paraId="1F8CE206">
            <w:pPr>
              <w:pStyle w:val="6"/>
              <w:spacing w:before="103" w:line="188" w:lineRule="auto"/>
              <w:ind w:left="354"/>
            </w:pPr>
            <w:r>
              <w:rPr>
                <w:spacing w:val="-1"/>
              </w:rPr>
              <w:t>0.0003L</w:t>
            </w:r>
          </w:p>
        </w:tc>
        <w:tc>
          <w:tcPr>
            <w:tcW w:w="1261" w:type="dxa"/>
            <w:vAlign w:val="top"/>
          </w:tcPr>
          <w:p w14:paraId="7407C5D1">
            <w:pPr>
              <w:pStyle w:val="6"/>
              <w:spacing w:before="99" w:line="192" w:lineRule="auto"/>
              <w:ind w:left="401"/>
            </w:pPr>
            <w:r>
              <w:rPr>
                <w:spacing w:val="-1"/>
              </w:rPr>
              <w:t>mg/L</w:t>
            </w:r>
          </w:p>
        </w:tc>
      </w:tr>
      <w:tr w14:paraId="7B7DA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7B32EA42">
            <w:pPr>
              <w:rPr>
                <w:rFonts w:ascii="Arial"/>
                <w:sz w:val="21"/>
              </w:rPr>
            </w:pPr>
          </w:p>
        </w:tc>
        <w:tc>
          <w:tcPr>
            <w:tcW w:w="1564" w:type="dxa"/>
            <w:vAlign w:val="top"/>
          </w:tcPr>
          <w:p w14:paraId="3470925A">
            <w:pPr>
              <w:spacing w:before="66" w:line="220" w:lineRule="auto"/>
              <w:ind w:left="470"/>
              <w:rPr>
                <w:rFonts w:ascii="宋体" w:hAnsi="宋体" w:eastAsia="宋体" w:cs="宋体"/>
                <w:sz w:val="21"/>
                <w:szCs w:val="21"/>
              </w:rPr>
            </w:pPr>
            <w:r>
              <w:rPr>
                <w:rFonts w:ascii="宋体" w:hAnsi="宋体" w:eastAsia="宋体" w:cs="宋体"/>
                <w:spacing w:val="-2"/>
                <w:sz w:val="21"/>
                <w:szCs w:val="21"/>
              </w:rPr>
              <w:t>氰化物</w:t>
            </w:r>
          </w:p>
        </w:tc>
        <w:tc>
          <w:tcPr>
            <w:tcW w:w="1402" w:type="dxa"/>
            <w:vAlign w:val="top"/>
          </w:tcPr>
          <w:p w14:paraId="2B0E9640">
            <w:pPr>
              <w:pStyle w:val="6"/>
              <w:spacing w:before="103" w:line="188" w:lineRule="auto"/>
              <w:ind w:left="404"/>
            </w:pPr>
            <w:r>
              <w:rPr>
                <w:spacing w:val="-2"/>
              </w:rPr>
              <w:t>0.002L</w:t>
            </w:r>
          </w:p>
        </w:tc>
        <w:tc>
          <w:tcPr>
            <w:tcW w:w="1401" w:type="dxa"/>
            <w:vAlign w:val="top"/>
          </w:tcPr>
          <w:p w14:paraId="5B7171F0">
            <w:pPr>
              <w:pStyle w:val="6"/>
              <w:spacing w:before="103" w:line="188" w:lineRule="auto"/>
              <w:ind w:left="405"/>
            </w:pPr>
            <w:r>
              <w:rPr>
                <w:spacing w:val="-2"/>
              </w:rPr>
              <w:t>0.002L</w:t>
            </w:r>
          </w:p>
        </w:tc>
        <w:tc>
          <w:tcPr>
            <w:tcW w:w="1401" w:type="dxa"/>
            <w:vAlign w:val="top"/>
          </w:tcPr>
          <w:p w14:paraId="7F2F5C22">
            <w:pPr>
              <w:pStyle w:val="6"/>
              <w:spacing w:before="103" w:line="188" w:lineRule="auto"/>
              <w:ind w:left="405"/>
            </w:pPr>
            <w:r>
              <w:rPr>
                <w:spacing w:val="-2"/>
              </w:rPr>
              <w:t>0.002L</w:t>
            </w:r>
          </w:p>
        </w:tc>
        <w:tc>
          <w:tcPr>
            <w:tcW w:w="1261" w:type="dxa"/>
            <w:vAlign w:val="top"/>
          </w:tcPr>
          <w:p w14:paraId="21598788">
            <w:pPr>
              <w:pStyle w:val="6"/>
              <w:spacing w:before="99" w:line="192" w:lineRule="auto"/>
              <w:ind w:left="401"/>
            </w:pPr>
            <w:r>
              <w:rPr>
                <w:spacing w:val="-1"/>
              </w:rPr>
              <w:t>mg/L</w:t>
            </w:r>
          </w:p>
        </w:tc>
      </w:tr>
      <w:tr w14:paraId="53866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91" w:type="dxa"/>
            <w:vMerge w:val="continue"/>
            <w:tcBorders>
              <w:top w:val="nil"/>
              <w:bottom w:val="nil"/>
            </w:tcBorders>
            <w:vAlign w:val="top"/>
          </w:tcPr>
          <w:p w14:paraId="1C9C78D9">
            <w:pPr>
              <w:rPr>
                <w:rFonts w:ascii="Arial"/>
                <w:sz w:val="21"/>
              </w:rPr>
            </w:pPr>
          </w:p>
        </w:tc>
        <w:tc>
          <w:tcPr>
            <w:tcW w:w="1564" w:type="dxa"/>
            <w:vAlign w:val="top"/>
          </w:tcPr>
          <w:p w14:paraId="29D4BE27">
            <w:pPr>
              <w:spacing w:before="67" w:line="220" w:lineRule="auto"/>
              <w:ind w:left="472"/>
              <w:rPr>
                <w:rFonts w:ascii="宋体" w:hAnsi="宋体" w:eastAsia="宋体" w:cs="宋体"/>
                <w:sz w:val="21"/>
                <w:szCs w:val="21"/>
              </w:rPr>
            </w:pPr>
            <w:r>
              <w:rPr>
                <w:rFonts w:ascii="宋体" w:hAnsi="宋体" w:eastAsia="宋体" w:cs="宋体"/>
                <w:spacing w:val="-3"/>
                <w:sz w:val="21"/>
                <w:szCs w:val="21"/>
              </w:rPr>
              <w:t>氟化物</w:t>
            </w:r>
          </w:p>
        </w:tc>
        <w:tc>
          <w:tcPr>
            <w:tcW w:w="1402" w:type="dxa"/>
            <w:vAlign w:val="top"/>
          </w:tcPr>
          <w:p w14:paraId="0831BD1D">
            <w:pPr>
              <w:pStyle w:val="6"/>
              <w:spacing w:before="104" w:line="188" w:lineRule="auto"/>
              <w:ind w:left="521"/>
            </w:pPr>
            <w:r>
              <w:rPr>
                <w:spacing w:val="-2"/>
              </w:rPr>
              <w:t>0.29</w:t>
            </w:r>
          </w:p>
        </w:tc>
        <w:tc>
          <w:tcPr>
            <w:tcW w:w="1401" w:type="dxa"/>
            <w:vAlign w:val="top"/>
          </w:tcPr>
          <w:p w14:paraId="0C00AC02">
            <w:pPr>
              <w:pStyle w:val="6"/>
              <w:spacing w:before="104" w:line="188" w:lineRule="auto"/>
              <w:ind w:left="521"/>
            </w:pPr>
            <w:r>
              <w:rPr>
                <w:spacing w:val="-2"/>
              </w:rPr>
              <w:t>0.30</w:t>
            </w:r>
          </w:p>
        </w:tc>
        <w:tc>
          <w:tcPr>
            <w:tcW w:w="1401" w:type="dxa"/>
            <w:vAlign w:val="top"/>
          </w:tcPr>
          <w:p w14:paraId="07A5505E">
            <w:pPr>
              <w:pStyle w:val="6"/>
              <w:spacing w:before="104" w:line="188" w:lineRule="auto"/>
              <w:ind w:left="522"/>
            </w:pPr>
            <w:r>
              <w:rPr>
                <w:spacing w:val="-2"/>
              </w:rPr>
              <w:t>0.31</w:t>
            </w:r>
          </w:p>
        </w:tc>
        <w:tc>
          <w:tcPr>
            <w:tcW w:w="1261" w:type="dxa"/>
            <w:vAlign w:val="top"/>
          </w:tcPr>
          <w:p w14:paraId="6B5A17B0">
            <w:pPr>
              <w:pStyle w:val="6"/>
              <w:spacing w:before="100" w:line="192" w:lineRule="auto"/>
              <w:ind w:left="400"/>
            </w:pPr>
            <w:r>
              <w:rPr>
                <w:spacing w:val="-1"/>
              </w:rPr>
              <w:t>mg/L</w:t>
            </w:r>
          </w:p>
        </w:tc>
      </w:tr>
      <w:tr w14:paraId="550BD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11EDC391">
            <w:pPr>
              <w:rPr>
                <w:rFonts w:ascii="Arial"/>
                <w:sz w:val="21"/>
              </w:rPr>
            </w:pPr>
          </w:p>
        </w:tc>
        <w:tc>
          <w:tcPr>
            <w:tcW w:w="1564" w:type="dxa"/>
            <w:vAlign w:val="top"/>
          </w:tcPr>
          <w:p w14:paraId="056D2410">
            <w:pPr>
              <w:spacing w:before="67" w:line="220" w:lineRule="auto"/>
              <w:ind w:left="680"/>
              <w:rPr>
                <w:rFonts w:ascii="宋体" w:hAnsi="宋体" w:eastAsia="宋体" w:cs="宋体"/>
                <w:sz w:val="21"/>
                <w:szCs w:val="21"/>
              </w:rPr>
            </w:pPr>
            <w:r>
              <w:rPr>
                <w:rFonts w:ascii="宋体" w:hAnsi="宋体" w:eastAsia="宋体" w:cs="宋体"/>
                <w:sz w:val="21"/>
                <w:szCs w:val="21"/>
              </w:rPr>
              <w:t>砷</w:t>
            </w:r>
          </w:p>
        </w:tc>
        <w:tc>
          <w:tcPr>
            <w:tcW w:w="1402" w:type="dxa"/>
            <w:vAlign w:val="top"/>
          </w:tcPr>
          <w:p w14:paraId="05A0F163">
            <w:pPr>
              <w:pStyle w:val="6"/>
              <w:spacing w:before="51" w:line="215" w:lineRule="auto"/>
              <w:ind w:left="235"/>
            </w:pPr>
            <w:r>
              <w:rPr>
                <w:spacing w:val="-4"/>
                <w:position w:val="-1"/>
              </w:rPr>
              <w:t>0.</w:t>
            </w:r>
            <w:r>
              <w:rPr>
                <w:spacing w:val="-20"/>
                <w:position w:val="-1"/>
              </w:rPr>
              <w:t xml:space="preserve"> </w:t>
            </w:r>
            <w:r>
              <w:rPr>
                <w:spacing w:val="-4"/>
                <w:position w:val="-1"/>
              </w:rPr>
              <w:t>12×10</w:t>
            </w:r>
            <w:r>
              <w:rPr>
                <w:spacing w:val="-4"/>
                <w:position w:val="8"/>
                <w:sz w:val="14"/>
                <w:szCs w:val="14"/>
              </w:rPr>
              <w:t>-3</w:t>
            </w:r>
            <w:r>
              <w:rPr>
                <w:spacing w:val="-4"/>
                <w:position w:val="-1"/>
              </w:rPr>
              <w:t>L</w:t>
            </w:r>
          </w:p>
        </w:tc>
        <w:tc>
          <w:tcPr>
            <w:tcW w:w="1401" w:type="dxa"/>
            <w:vAlign w:val="top"/>
          </w:tcPr>
          <w:p w14:paraId="7E3B376D">
            <w:pPr>
              <w:pStyle w:val="6"/>
              <w:spacing w:before="51" w:line="215" w:lineRule="auto"/>
              <w:ind w:left="236"/>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401" w:type="dxa"/>
            <w:vAlign w:val="top"/>
          </w:tcPr>
          <w:p w14:paraId="31A2FCE8">
            <w:pPr>
              <w:pStyle w:val="6"/>
              <w:spacing w:before="51" w:line="215" w:lineRule="auto"/>
              <w:ind w:left="236"/>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261" w:type="dxa"/>
            <w:vAlign w:val="top"/>
          </w:tcPr>
          <w:p w14:paraId="2D705DF7">
            <w:pPr>
              <w:pStyle w:val="6"/>
              <w:spacing w:before="99" w:line="192" w:lineRule="auto"/>
              <w:ind w:left="401"/>
            </w:pPr>
            <w:r>
              <w:rPr>
                <w:spacing w:val="-1"/>
              </w:rPr>
              <w:t>mg/L</w:t>
            </w:r>
          </w:p>
        </w:tc>
      </w:tr>
      <w:tr w14:paraId="0856C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7D7B8F82">
            <w:pPr>
              <w:rPr>
                <w:rFonts w:ascii="Arial"/>
                <w:sz w:val="21"/>
              </w:rPr>
            </w:pPr>
          </w:p>
        </w:tc>
        <w:tc>
          <w:tcPr>
            <w:tcW w:w="1564" w:type="dxa"/>
            <w:vAlign w:val="top"/>
          </w:tcPr>
          <w:p w14:paraId="68CEC653">
            <w:pPr>
              <w:spacing w:before="67" w:line="220" w:lineRule="auto"/>
              <w:ind w:left="682"/>
              <w:rPr>
                <w:rFonts w:ascii="宋体" w:hAnsi="宋体" w:eastAsia="宋体" w:cs="宋体"/>
                <w:sz w:val="21"/>
                <w:szCs w:val="21"/>
              </w:rPr>
            </w:pPr>
            <w:r>
              <w:rPr>
                <w:rFonts w:ascii="宋体" w:hAnsi="宋体" w:eastAsia="宋体" w:cs="宋体"/>
                <w:sz w:val="21"/>
                <w:szCs w:val="21"/>
              </w:rPr>
              <w:t>汞</w:t>
            </w:r>
          </w:p>
        </w:tc>
        <w:tc>
          <w:tcPr>
            <w:tcW w:w="1402" w:type="dxa"/>
            <w:vAlign w:val="top"/>
          </w:tcPr>
          <w:p w14:paraId="2FA22712">
            <w:pPr>
              <w:pStyle w:val="6"/>
              <w:spacing w:before="52" w:line="215" w:lineRule="auto"/>
              <w:ind w:left="298"/>
              <w:rPr>
                <w:sz w:val="14"/>
                <w:szCs w:val="14"/>
              </w:rPr>
            </w:pPr>
            <w:r>
              <w:rPr>
                <w:spacing w:val="-4"/>
                <w:position w:val="-1"/>
              </w:rPr>
              <w:t>0.</w:t>
            </w:r>
            <w:r>
              <w:rPr>
                <w:spacing w:val="-25"/>
                <w:position w:val="-1"/>
              </w:rPr>
              <w:t xml:space="preserve"> </w:t>
            </w:r>
            <w:r>
              <w:rPr>
                <w:spacing w:val="-4"/>
                <w:position w:val="-1"/>
              </w:rPr>
              <w:t>12×10</w:t>
            </w:r>
            <w:r>
              <w:rPr>
                <w:spacing w:val="-4"/>
                <w:position w:val="8"/>
                <w:sz w:val="14"/>
                <w:szCs w:val="14"/>
              </w:rPr>
              <w:t>-3</w:t>
            </w:r>
          </w:p>
        </w:tc>
        <w:tc>
          <w:tcPr>
            <w:tcW w:w="1401" w:type="dxa"/>
            <w:vAlign w:val="top"/>
          </w:tcPr>
          <w:p w14:paraId="395F4377">
            <w:pPr>
              <w:pStyle w:val="6"/>
              <w:spacing w:before="52" w:line="215" w:lineRule="auto"/>
              <w:ind w:left="299"/>
              <w:rPr>
                <w:sz w:val="14"/>
                <w:szCs w:val="14"/>
              </w:rPr>
            </w:pPr>
            <w:r>
              <w:rPr>
                <w:spacing w:val="-4"/>
                <w:position w:val="-1"/>
              </w:rPr>
              <w:t>0.</w:t>
            </w:r>
            <w:r>
              <w:rPr>
                <w:spacing w:val="-25"/>
                <w:position w:val="-1"/>
              </w:rPr>
              <w:t xml:space="preserve"> </w:t>
            </w:r>
            <w:r>
              <w:rPr>
                <w:spacing w:val="-4"/>
                <w:position w:val="-1"/>
              </w:rPr>
              <w:t>14×10</w:t>
            </w:r>
            <w:r>
              <w:rPr>
                <w:spacing w:val="-4"/>
                <w:position w:val="8"/>
                <w:sz w:val="14"/>
                <w:szCs w:val="14"/>
              </w:rPr>
              <w:t>-3</w:t>
            </w:r>
          </w:p>
        </w:tc>
        <w:tc>
          <w:tcPr>
            <w:tcW w:w="1401" w:type="dxa"/>
            <w:vAlign w:val="top"/>
          </w:tcPr>
          <w:p w14:paraId="12C5F655">
            <w:pPr>
              <w:pStyle w:val="6"/>
              <w:spacing w:before="52" w:line="215" w:lineRule="auto"/>
              <w:ind w:left="300"/>
              <w:rPr>
                <w:sz w:val="14"/>
                <w:szCs w:val="14"/>
              </w:rPr>
            </w:pPr>
            <w:r>
              <w:rPr>
                <w:spacing w:val="-4"/>
                <w:position w:val="-1"/>
              </w:rPr>
              <w:t>0.</w:t>
            </w:r>
            <w:r>
              <w:rPr>
                <w:spacing w:val="-25"/>
                <w:position w:val="-1"/>
              </w:rPr>
              <w:t xml:space="preserve"> </w:t>
            </w:r>
            <w:r>
              <w:rPr>
                <w:spacing w:val="-4"/>
                <w:position w:val="-1"/>
              </w:rPr>
              <w:t>18×10</w:t>
            </w:r>
            <w:r>
              <w:rPr>
                <w:spacing w:val="-4"/>
                <w:position w:val="8"/>
                <w:sz w:val="14"/>
                <w:szCs w:val="14"/>
              </w:rPr>
              <w:t>-3</w:t>
            </w:r>
          </w:p>
        </w:tc>
        <w:tc>
          <w:tcPr>
            <w:tcW w:w="1261" w:type="dxa"/>
            <w:vAlign w:val="top"/>
          </w:tcPr>
          <w:p w14:paraId="7A4E3A77">
            <w:pPr>
              <w:pStyle w:val="6"/>
              <w:spacing w:before="99" w:line="192" w:lineRule="auto"/>
              <w:ind w:left="401"/>
            </w:pPr>
            <w:r>
              <w:rPr>
                <w:spacing w:val="-1"/>
              </w:rPr>
              <w:t>mg/L</w:t>
            </w:r>
          </w:p>
        </w:tc>
      </w:tr>
      <w:tr w14:paraId="3DEA9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78A216CA">
            <w:pPr>
              <w:rPr>
                <w:rFonts w:ascii="Arial"/>
                <w:sz w:val="21"/>
              </w:rPr>
            </w:pPr>
          </w:p>
        </w:tc>
        <w:tc>
          <w:tcPr>
            <w:tcW w:w="1564" w:type="dxa"/>
            <w:vAlign w:val="top"/>
          </w:tcPr>
          <w:p w14:paraId="4248AD41">
            <w:pPr>
              <w:spacing w:before="67" w:line="218" w:lineRule="auto"/>
              <w:ind w:left="473"/>
              <w:rPr>
                <w:rFonts w:ascii="宋体" w:hAnsi="宋体" w:eastAsia="宋体" w:cs="宋体"/>
                <w:sz w:val="21"/>
                <w:szCs w:val="21"/>
              </w:rPr>
            </w:pPr>
            <w:r>
              <w:rPr>
                <w:rFonts w:ascii="宋体" w:hAnsi="宋体" w:eastAsia="宋体" w:cs="宋体"/>
                <w:spacing w:val="-3"/>
                <w:sz w:val="21"/>
                <w:szCs w:val="21"/>
              </w:rPr>
              <w:t>六价铬</w:t>
            </w:r>
          </w:p>
        </w:tc>
        <w:tc>
          <w:tcPr>
            <w:tcW w:w="1402" w:type="dxa"/>
            <w:vAlign w:val="top"/>
          </w:tcPr>
          <w:p w14:paraId="648C696A">
            <w:pPr>
              <w:pStyle w:val="6"/>
              <w:spacing w:before="104" w:line="188" w:lineRule="auto"/>
              <w:ind w:left="404"/>
            </w:pPr>
            <w:r>
              <w:rPr>
                <w:spacing w:val="-2"/>
              </w:rPr>
              <w:t>0.004L</w:t>
            </w:r>
          </w:p>
        </w:tc>
        <w:tc>
          <w:tcPr>
            <w:tcW w:w="1401" w:type="dxa"/>
            <w:vAlign w:val="top"/>
          </w:tcPr>
          <w:p w14:paraId="4E00244A">
            <w:pPr>
              <w:pStyle w:val="6"/>
              <w:spacing w:before="104" w:line="188" w:lineRule="auto"/>
              <w:ind w:left="405"/>
            </w:pPr>
            <w:r>
              <w:rPr>
                <w:spacing w:val="-2"/>
              </w:rPr>
              <w:t>0.004L</w:t>
            </w:r>
          </w:p>
        </w:tc>
        <w:tc>
          <w:tcPr>
            <w:tcW w:w="1401" w:type="dxa"/>
            <w:vAlign w:val="top"/>
          </w:tcPr>
          <w:p w14:paraId="234E8276">
            <w:pPr>
              <w:pStyle w:val="6"/>
              <w:spacing w:before="104" w:line="188" w:lineRule="auto"/>
              <w:ind w:left="405"/>
            </w:pPr>
            <w:r>
              <w:rPr>
                <w:spacing w:val="-2"/>
              </w:rPr>
              <w:t>0.004L</w:t>
            </w:r>
          </w:p>
        </w:tc>
        <w:tc>
          <w:tcPr>
            <w:tcW w:w="1261" w:type="dxa"/>
            <w:vAlign w:val="top"/>
          </w:tcPr>
          <w:p w14:paraId="3CC0E630">
            <w:pPr>
              <w:pStyle w:val="6"/>
              <w:spacing w:before="100" w:line="192" w:lineRule="auto"/>
              <w:ind w:left="401"/>
            </w:pPr>
            <w:r>
              <w:rPr>
                <w:spacing w:val="-1"/>
              </w:rPr>
              <w:t>mg/L</w:t>
            </w:r>
          </w:p>
        </w:tc>
      </w:tr>
      <w:tr w14:paraId="704A2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18A8F5E9">
            <w:pPr>
              <w:rPr>
                <w:rFonts w:ascii="Arial"/>
                <w:sz w:val="21"/>
              </w:rPr>
            </w:pPr>
          </w:p>
        </w:tc>
        <w:tc>
          <w:tcPr>
            <w:tcW w:w="1564" w:type="dxa"/>
            <w:vAlign w:val="top"/>
          </w:tcPr>
          <w:p w14:paraId="0435B679">
            <w:pPr>
              <w:spacing w:before="67" w:line="224" w:lineRule="auto"/>
              <w:ind w:left="681"/>
              <w:rPr>
                <w:rFonts w:ascii="宋体" w:hAnsi="宋体" w:eastAsia="宋体" w:cs="宋体"/>
                <w:sz w:val="21"/>
                <w:szCs w:val="21"/>
              </w:rPr>
            </w:pPr>
            <w:r>
              <w:rPr>
                <w:rFonts w:ascii="宋体" w:hAnsi="宋体" w:eastAsia="宋体" w:cs="宋体"/>
                <w:sz w:val="21"/>
                <w:szCs w:val="21"/>
              </w:rPr>
              <w:t>铅</w:t>
            </w:r>
          </w:p>
        </w:tc>
        <w:tc>
          <w:tcPr>
            <w:tcW w:w="1402" w:type="dxa"/>
            <w:vAlign w:val="top"/>
          </w:tcPr>
          <w:p w14:paraId="0A60D947">
            <w:pPr>
              <w:pStyle w:val="6"/>
              <w:spacing w:before="52" w:line="215" w:lineRule="auto"/>
              <w:ind w:left="235"/>
            </w:pPr>
            <w:r>
              <w:rPr>
                <w:spacing w:val="-1"/>
                <w:position w:val="-1"/>
              </w:rPr>
              <w:t>0.09×10</w:t>
            </w:r>
            <w:r>
              <w:rPr>
                <w:spacing w:val="-1"/>
                <w:position w:val="8"/>
                <w:sz w:val="14"/>
                <w:szCs w:val="14"/>
              </w:rPr>
              <w:t>-3</w:t>
            </w:r>
            <w:r>
              <w:rPr>
                <w:spacing w:val="-1"/>
                <w:position w:val="-1"/>
              </w:rPr>
              <w:t>L</w:t>
            </w:r>
          </w:p>
        </w:tc>
        <w:tc>
          <w:tcPr>
            <w:tcW w:w="1401" w:type="dxa"/>
            <w:vAlign w:val="top"/>
          </w:tcPr>
          <w:p w14:paraId="5B380A16">
            <w:pPr>
              <w:pStyle w:val="6"/>
              <w:spacing w:before="52" w:line="215" w:lineRule="auto"/>
              <w:ind w:left="236"/>
            </w:pPr>
            <w:r>
              <w:rPr>
                <w:spacing w:val="-1"/>
                <w:position w:val="-1"/>
              </w:rPr>
              <w:t>0.09×10</w:t>
            </w:r>
            <w:r>
              <w:rPr>
                <w:spacing w:val="-1"/>
                <w:position w:val="8"/>
                <w:sz w:val="14"/>
                <w:szCs w:val="14"/>
              </w:rPr>
              <w:t>-3</w:t>
            </w:r>
            <w:r>
              <w:rPr>
                <w:spacing w:val="-1"/>
                <w:position w:val="-1"/>
              </w:rPr>
              <w:t>L</w:t>
            </w:r>
          </w:p>
        </w:tc>
        <w:tc>
          <w:tcPr>
            <w:tcW w:w="1401" w:type="dxa"/>
            <w:vAlign w:val="top"/>
          </w:tcPr>
          <w:p w14:paraId="62CFAACE">
            <w:pPr>
              <w:pStyle w:val="6"/>
              <w:spacing w:before="52" w:line="215" w:lineRule="auto"/>
              <w:ind w:left="236"/>
            </w:pPr>
            <w:r>
              <w:rPr>
                <w:spacing w:val="-1"/>
                <w:position w:val="-1"/>
              </w:rPr>
              <w:t>0.09×10</w:t>
            </w:r>
            <w:r>
              <w:rPr>
                <w:spacing w:val="-1"/>
                <w:position w:val="8"/>
                <w:sz w:val="14"/>
                <w:szCs w:val="14"/>
              </w:rPr>
              <w:t>-3</w:t>
            </w:r>
            <w:r>
              <w:rPr>
                <w:spacing w:val="-1"/>
                <w:position w:val="-1"/>
              </w:rPr>
              <w:t>L</w:t>
            </w:r>
          </w:p>
        </w:tc>
        <w:tc>
          <w:tcPr>
            <w:tcW w:w="1261" w:type="dxa"/>
            <w:vAlign w:val="top"/>
          </w:tcPr>
          <w:p w14:paraId="2D2A7C5A">
            <w:pPr>
              <w:pStyle w:val="6"/>
              <w:spacing w:before="100" w:line="192" w:lineRule="auto"/>
              <w:ind w:left="401"/>
            </w:pPr>
            <w:r>
              <w:rPr>
                <w:spacing w:val="-1"/>
              </w:rPr>
              <w:t>mg/L</w:t>
            </w:r>
          </w:p>
        </w:tc>
      </w:tr>
      <w:tr w14:paraId="3EA5E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91" w:type="dxa"/>
            <w:vMerge w:val="continue"/>
            <w:tcBorders>
              <w:top w:val="nil"/>
              <w:bottom w:val="nil"/>
            </w:tcBorders>
            <w:vAlign w:val="top"/>
          </w:tcPr>
          <w:p w14:paraId="29B770DC">
            <w:pPr>
              <w:rPr>
                <w:rFonts w:ascii="Arial"/>
                <w:sz w:val="21"/>
              </w:rPr>
            </w:pPr>
          </w:p>
        </w:tc>
        <w:tc>
          <w:tcPr>
            <w:tcW w:w="1564" w:type="dxa"/>
            <w:vAlign w:val="top"/>
          </w:tcPr>
          <w:p w14:paraId="1AA20870">
            <w:pPr>
              <w:spacing w:before="68" w:line="222" w:lineRule="auto"/>
              <w:ind w:left="679"/>
              <w:rPr>
                <w:rFonts w:ascii="宋体" w:hAnsi="宋体" w:eastAsia="宋体" w:cs="宋体"/>
                <w:sz w:val="21"/>
                <w:szCs w:val="21"/>
              </w:rPr>
            </w:pPr>
            <w:r>
              <w:rPr>
                <w:rFonts w:ascii="宋体" w:hAnsi="宋体" w:eastAsia="宋体" w:cs="宋体"/>
                <w:sz w:val="21"/>
                <w:szCs w:val="21"/>
              </w:rPr>
              <w:t>镉</w:t>
            </w:r>
          </w:p>
        </w:tc>
        <w:tc>
          <w:tcPr>
            <w:tcW w:w="1402" w:type="dxa"/>
            <w:vAlign w:val="top"/>
          </w:tcPr>
          <w:p w14:paraId="59927063">
            <w:pPr>
              <w:pStyle w:val="6"/>
              <w:spacing w:before="53" w:line="215" w:lineRule="auto"/>
              <w:ind w:left="235"/>
            </w:pPr>
            <w:r>
              <w:rPr>
                <w:spacing w:val="-1"/>
                <w:position w:val="-1"/>
              </w:rPr>
              <w:t>0.05×10</w:t>
            </w:r>
            <w:r>
              <w:rPr>
                <w:spacing w:val="-1"/>
                <w:position w:val="8"/>
                <w:sz w:val="14"/>
                <w:szCs w:val="14"/>
              </w:rPr>
              <w:t>-3</w:t>
            </w:r>
            <w:r>
              <w:rPr>
                <w:spacing w:val="-1"/>
                <w:position w:val="-1"/>
              </w:rPr>
              <w:t>L</w:t>
            </w:r>
          </w:p>
        </w:tc>
        <w:tc>
          <w:tcPr>
            <w:tcW w:w="1401" w:type="dxa"/>
            <w:vAlign w:val="top"/>
          </w:tcPr>
          <w:p w14:paraId="1BBF5C9B">
            <w:pPr>
              <w:pStyle w:val="6"/>
              <w:spacing w:before="53" w:line="215" w:lineRule="auto"/>
              <w:ind w:left="236"/>
            </w:pPr>
            <w:r>
              <w:rPr>
                <w:spacing w:val="-1"/>
                <w:position w:val="-1"/>
              </w:rPr>
              <w:t>0.05×10</w:t>
            </w:r>
            <w:r>
              <w:rPr>
                <w:spacing w:val="-1"/>
                <w:position w:val="8"/>
                <w:sz w:val="14"/>
                <w:szCs w:val="14"/>
              </w:rPr>
              <w:t>-3</w:t>
            </w:r>
            <w:r>
              <w:rPr>
                <w:spacing w:val="-1"/>
                <w:position w:val="-1"/>
              </w:rPr>
              <w:t>L</w:t>
            </w:r>
          </w:p>
        </w:tc>
        <w:tc>
          <w:tcPr>
            <w:tcW w:w="1401" w:type="dxa"/>
            <w:vAlign w:val="top"/>
          </w:tcPr>
          <w:p w14:paraId="5DE23FF9">
            <w:pPr>
              <w:pStyle w:val="6"/>
              <w:spacing w:before="53" w:line="215" w:lineRule="auto"/>
              <w:ind w:left="236"/>
            </w:pPr>
            <w:r>
              <w:rPr>
                <w:spacing w:val="-1"/>
                <w:position w:val="-1"/>
              </w:rPr>
              <w:t>0.05×10</w:t>
            </w:r>
            <w:r>
              <w:rPr>
                <w:spacing w:val="-1"/>
                <w:position w:val="8"/>
                <w:sz w:val="14"/>
                <w:szCs w:val="14"/>
              </w:rPr>
              <w:t>-3</w:t>
            </w:r>
            <w:r>
              <w:rPr>
                <w:spacing w:val="-1"/>
                <w:position w:val="-1"/>
              </w:rPr>
              <w:t>L</w:t>
            </w:r>
          </w:p>
        </w:tc>
        <w:tc>
          <w:tcPr>
            <w:tcW w:w="1261" w:type="dxa"/>
            <w:vAlign w:val="top"/>
          </w:tcPr>
          <w:p w14:paraId="5C7CDF74">
            <w:pPr>
              <w:pStyle w:val="6"/>
              <w:spacing w:before="100" w:line="192" w:lineRule="auto"/>
              <w:ind w:left="401"/>
            </w:pPr>
            <w:r>
              <w:rPr>
                <w:spacing w:val="-1"/>
              </w:rPr>
              <w:t>mg/L</w:t>
            </w:r>
          </w:p>
        </w:tc>
      </w:tr>
      <w:tr w14:paraId="53259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bottom w:val="nil"/>
            </w:tcBorders>
            <w:vAlign w:val="top"/>
          </w:tcPr>
          <w:p w14:paraId="6A9966C3">
            <w:pPr>
              <w:rPr>
                <w:rFonts w:ascii="Arial"/>
                <w:sz w:val="21"/>
              </w:rPr>
            </w:pPr>
          </w:p>
        </w:tc>
        <w:tc>
          <w:tcPr>
            <w:tcW w:w="1564" w:type="dxa"/>
            <w:vAlign w:val="top"/>
          </w:tcPr>
          <w:p w14:paraId="7153F329">
            <w:pPr>
              <w:spacing w:before="68" w:line="221" w:lineRule="auto"/>
              <w:ind w:left="680"/>
              <w:rPr>
                <w:rFonts w:ascii="宋体" w:hAnsi="宋体" w:eastAsia="宋体" w:cs="宋体"/>
                <w:sz w:val="21"/>
                <w:szCs w:val="21"/>
              </w:rPr>
            </w:pPr>
            <w:r>
              <w:rPr>
                <w:rFonts w:ascii="宋体" w:hAnsi="宋体" w:eastAsia="宋体" w:cs="宋体"/>
                <w:sz w:val="21"/>
                <w:szCs w:val="21"/>
              </w:rPr>
              <w:t>铁</w:t>
            </w:r>
          </w:p>
        </w:tc>
        <w:tc>
          <w:tcPr>
            <w:tcW w:w="1402" w:type="dxa"/>
            <w:vAlign w:val="top"/>
          </w:tcPr>
          <w:p w14:paraId="6E1DF472">
            <w:pPr>
              <w:pStyle w:val="6"/>
              <w:spacing w:before="53" w:line="215" w:lineRule="auto"/>
              <w:ind w:left="235"/>
            </w:pPr>
            <w:r>
              <w:rPr>
                <w:spacing w:val="-1"/>
                <w:position w:val="-1"/>
              </w:rPr>
              <w:t>0.82×10</w:t>
            </w:r>
            <w:r>
              <w:rPr>
                <w:spacing w:val="-1"/>
                <w:position w:val="8"/>
                <w:sz w:val="14"/>
                <w:szCs w:val="14"/>
              </w:rPr>
              <w:t>-3</w:t>
            </w:r>
            <w:r>
              <w:rPr>
                <w:spacing w:val="-1"/>
                <w:position w:val="-1"/>
              </w:rPr>
              <w:t>L</w:t>
            </w:r>
          </w:p>
        </w:tc>
        <w:tc>
          <w:tcPr>
            <w:tcW w:w="1401" w:type="dxa"/>
            <w:vAlign w:val="top"/>
          </w:tcPr>
          <w:p w14:paraId="0FB93A8F">
            <w:pPr>
              <w:pStyle w:val="6"/>
              <w:spacing w:before="53" w:line="215" w:lineRule="auto"/>
              <w:ind w:left="236"/>
            </w:pPr>
            <w:r>
              <w:rPr>
                <w:spacing w:val="-1"/>
                <w:position w:val="-1"/>
              </w:rPr>
              <w:t>0.82×10</w:t>
            </w:r>
            <w:r>
              <w:rPr>
                <w:spacing w:val="-1"/>
                <w:position w:val="8"/>
                <w:sz w:val="14"/>
                <w:szCs w:val="14"/>
              </w:rPr>
              <w:t>-3</w:t>
            </w:r>
            <w:r>
              <w:rPr>
                <w:spacing w:val="-1"/>
                <w:position w:val="-1"/>
              </w:rPr>
              <w:t>L</w:t>
            </w:r>
          </w:p>
        </w:tc>
        <w:tc>
          <w:tcPr>
            <w:tcW w:w="1401" w:type="dxa"/>
            <w:vAlign w:val="top"/>
          </w:tcPr>
          <w:p w14:paraId="615E8C13">
            <w:pPr>
              <w:pStyle w:val="6"/>
              <w:spacing w:before="53" w:line="215" w:lineRule="auto"/>
              <w:ind w:left="236"/>
            </w:pPr>
            <w:r>
              <w:rPr>
                <w:spacing w:val="-1"/>
                <w:position w:val="-1"/>
              </w:rPr>
              <w:t>0.82×10</w:t>
            </w:r>
            <w:r>
              <w:rPr>
                <w:spacing w:val="-1"/>
                <w:position w:val="8"/>
                <w:sz w:val="14"/>
                <w:szCs w:val="14"/>
              </w:rPr>
              <w:t>-3</w:t>
            </w:r>
            <w:r>
              <w:rPr>
                <w:spacing w:val="-1"/>
                <w:position w:val="-1"/>
              </w:rPr>
              <w:t>L</w:t>
            </w:r>
          </w:p>
        </w:tc>
        <w:tc>
          <w:tcPr>
            <w:tcW w:w="1261" w:type="dxa"/>
            <w:vAlign w:val="top"/>
          </w:tcPr>
          <w:p w14:paraId="6B6993A6">
            <w:pPr>
              <w:pStyle w:val="6"/>
              <w:spacing w:before="101" w:line="192" w:lineRule="auto"/>
              <w:ind w:left="401"/>
            </w:pPr>
            <w:r>
              <w:rPr>
                <w:spacing w:val="-1"/>
              </w:rPr>
              <w:t>mg/L</w:t>
            </w:r>
          </w:p>
        </w:tc>
      </w:tr>
      <w:tr w14:paraId="43A7D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1" w:type="dxa"/>
            <w:vMerge w:val="continue"/>
            <w:tcBorders>
              <w:top w:val="nil"/>
            </w:tcBorders>
            <w:vAlign w:val="top"/>
          </w:tcPr>
          <w:p w14:paraId="7667950C">
            <w:pPr>
              <w:rPr>
                <w:rFonts w:ascii="Arial"/>
                <w:sz w:val="21"/>
              </w:rPr>
            </w:pPr>
          </w:p>
        </w:tc>
        <w:tc>
          <w:tcPr>
            <w:tcW w:w="1564" w:type="dxa"/>
            <w:vAlign w:val="top"/>
          </w:tcPr>
          <w:p w14:paraId="500F0DD5">
            <w:pPr>
              <w:spacing w:before="69" w:line="226" w:lineRule="auto"/>
              <w:ind w:left="681"/>
              <w:rPr>
                <w:rFonts w:ascii="宋体" w:hAnsi="宋体" w:eastAsia="宋体" w:cs="宋体"/>
                <w:sz w:val="21"/>
                <w:szCs w:val="21"/>
              </w:rPr>
            </w:pPr>
            <w:r>
              <w:rPr>
                <w:rFonts w:ascii="宋体" w:hAnsi="宋体" w:eastAsia="宋体" w:cs="宋体"/>
                <w:sz w:val="21"/>
                <w:szCs w:val="21"/>
              </w:rPr>
              <w:t>锰</w:t>
            </w:r>
          </w:p>
        </w:tc>
        <w:tc>
          <w:tcPr>
            <w:tcW w:w="1402" w:type="dxa"/>
            <w:vAlign w:val="top"/>
          </w:tcPr>
          <w:p w14:paraId="401E016F">
            <w:pPr>
              <w:pStyle w:val="6"/>
              <w:spacing w:before="53" w:line="215" w:lineRule="auto"/>
              <w:ind w:left="235"/>
            </w:pPr>
            <w:r>
              <w:rPr>
                <w:spacing w:val="-4"/>
                <w:position w:val="-1"/>
              </w:rPr>
              <w:t>0.</w:t>
            </w:r>
            <w:r>
              <w:rPr>
                <w:spacing w:val="-20"/>
                <w:position w:val="-1"/>
              </w:rPr>
              <w:t xml:space="preserve"> </w:t>
            </w:r>
            <w:r>
              <w:rPr>
                <w:spacing w:val="-4"/>
                <w:position w:val="-1"/>
              </w:rPr>
              <w:t>12×10</w:t>
            </w:r>
            <w:r>
              <w:rPr>
                <w:spacing w:val="-4"/>
                <w:position w:val="8"/>
                <w:sz w:val="14"/>
                <w:szCs w:val="14"/>
              </w:rPr>
              <w:t>-3</w:t>
            </w:r>
            <w:r>
              <w:rPr>
                <w:spacing w:val="-4"/>
                <w:position w:val="-1"/>
              </w:rPr>
              <w:t>L</w:t>
            </w:r>
          </w:p>
        </w:tc>
        <w:tc>
          <w:tcPr>
            <w:tcW w:w="1401" w:type="dxa"/>
            <w:vAlign w:val="top"/>
          </w:tcPr>
          <w:p w14:paraId="335180DD">
            <w:pPr>
              <w:pStyle w:val="6"/>
              <w:spacing w:before="53" w:line="215" w:lineRule="auto"/>
              <w:ind w:left="236"/>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401" w:type="dxa"/>
            <w:vAlign w:val="top"/>
          </w:tcPr>
          <w:p w14:paraId="0311555B">
            <w:pPr>
              <w:pStyle w:val="6"/>
              <w:spacing w:before="53" w:line="215" w:lineRule="auto"/>
              <w:ind w:left="236"/>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261" w:type="dxa"/>
            <w:vAlign w:val="top"/>
          </w:tcPr>
          <w:p w14:paraId="72428D4B">
            <w:pPr>
              <w:pStyle w:val="6"/>
              <w:spacing w:before="101" w:line="192" w:lineRule="auto"/>
              <w:ind w:left="401"/>
            </w:pPr>
            <w:r>
              <w:rPr>
                <w:spacing w:val="-1"/>
              </w:rPr>
              <w:t>mg/L</w:t>
            </w:r>
          </w:p>
        </w:tc>
      </w:tr>
      <w:tr w14:paraId="5CA1F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320" w:type="dxa"/>
            <w:gridSpan w:val="6"/>
            <w:vAlign w:val="top"/>
          </w:tcPr>
          <w:p w14:paraId="03670DA0">
            <w:pPr>
              <w:pStyle w:val="6"/>
              <w:spacing w:before="85" w:line="220" w:lineRule="auto"/>
              <w:ind w:left="11"/>
              <w:rPr>
                <w:rFonts w:ascii="宋体" w:hAnsi="宋体" w:eastAsia="宋体" w:cs="宋体"/>
                <w:sz w:val="18"/>
                <w:szCs w:val="18"/>
              </w:rPr>
            </w:pPr>
            <w:r>
              <w:rPr>
                <w:rFonts w:ascii="宋体" w:hAnsi="宋体" w:eastAsia="宋体" w:cs="宋体"/>
                <w:spacing w:val="-1"/>
                <w:sz w:val="18"/>
                <w:szCs w:val="18"/>
              </w:rPr>
              <w:t>注：低于方法检出限的检测结果，用</w:t>
            </w:r>
            <w:r>
              <w:rPr>
                <w:spacing w:val="-1"/>
                <w:sz w:val="18"/>
                <w:szCs w:val="18"/>
              </w:rPr>
              <w:t>“</w:t>
            </w:r>
            <w:r>
              <w:rPr>
                <w:rFonts w:ascii="宋体" w:hAnsi="宋体" w:eastAsia="宋体" w:cs="宋体"/>
                <w:spacing w:val="-1"/>
                <w:sz w:val="18"/>
                <w:szCs w:val="18"/>
              </w:rPr>
              <w:t>检岀限</w:t>
            </w:r>
            <w:r>
              <w:rPr>
                <w:spacing w:val="-1"/>
                <w:sz w:val="18"/>
                <w:szCs w:val="18"/>
              </w:rPr>
              <w:t>+L”</w:t>
            </w:r>
            <w:r>
              <w:rPr>
                <w:rFonts w:ascii="宋体" w:hAnsi="宋体" w:eastAsia="宋体" w:cs="宋体"/>
                <w:spacing w:val="-1"/>
                <w:sz w:val="18"/>
                <w:szCs w:val="18"/>
              </w:rPr>
              <w:t>表示。</w:t>
            </w:r>
          </w:p>
        </w:tc>
      </w:tr>
    </w:tbl>
    <w:p w14:paraId="3061410E">
      <w:pPr>
        <w:spacing w:before="128" w:line="222" w:lineRule="auto"/>
        <w:ind w:left="271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3.3-10  </w:t>
      </w:r>
      <w:r>
        <w:rPr>
          <w:rFonts w:ascii="黑体" w:hAnsi="黑体" w:eastAsia="黑体" w:cs="黑体"/>
          <w:spacing w:val="-1"/>
          <w:sz w:val="21"/>
          <w:szCs w:val="21"/>
        </w:rPr>
        <w:t>地下水水位调查结果表</w:t>
      </w:r>
    </w:p>
    <w:p w14:paraId="46D5668B">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1172"/>
        <w:gridCol w:w="1173"/>
        <w:gridCol w:w="1171"/>
        <w:gridCol w:w="1173"/>
        <w:gridCol w:w="1172"/>
        <w:gridCol w:w="1175"/>
      </w:tblGrid>
      <w:tr w14:paraId="0534E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84" w:type="dxa"/>
            <w:vAlign w:val="top"/>
          </w:tcPr>
          <w:p w14:paraId="730CE6C6">
            <w:pPr>
              <w:spacing w:before="68" w:line="221" w:lineRule="auto"/>
              <w:ind w:left="448"/>
              <w:rPr>
                <w:rFonts w:ascii="宋体" w:hAnsi="宋体" w:eastAsia="宋体" w:cs="宋体"/>
                <w:sz w:val="21"/>
                <w:szCs w:val="21"/>
              </w:rPr>
            </w:pPr>
            <w:r>
              <w:rPr>
                <w:rFonts w:ascii="宋体" w:hAnsi="宋体" w:eastAsia="宋体" w:cs="宋体"/>
                <w:spacing w:val="-5"/>
                <w:sz w:val="21"/>
                <w:szCs w:val="21"/>
              </w:rPr>
              <w:t>点位</w:t>
            </w:r>
          </w:p>
        </w:tc>
        <w:tc>
          <w:tcPr>
            <w:tcW w:w="1172" w:type="dxa"/>
            <w:vAlign w:val="top"/>
          </w:tcPr>
          <w:p w14:paraId="3D6601AE">
            <w:pPr>
              <w:pStyle w:val="6"/>
              <w:spacing w:before="68" w:line="220" w:lineRule="auto"/>
              <w:ind w:left="304"/>
            </w:pPr>
            <w:r>
              <w:rPr>
                <w:rFonts w:ascii="宋体" w:hAnsi="宋体" w:eastAsia="宋体" w:cs="宋体"/>
                <w:spacing w:val="-4"/>
              </w:rPr>
              <w:t>水井</w:t>
            </w:r>
            <w:r>
              <w:rPr>
                <w:rFonts w:ascii="宋体" w:hAnsi="宋体" w:eastAsia="宋体" w:cs="宋体"/>
                <w:spacing w:val="-28"/>
              </w:rPr>
              <w:t xml:space="preserve"> </w:t>
            </w:r>
            <w:r>
              <w:rPr>
                <w:spacing w:val="-4"/>
              </w:rPr>
              <w:t>1</w:t>
            </w:r>
          </w:p>
        </w:tc>
        <w:tc>
          <w:tcPr>
            <w:tcW w:w="1173" w:type="dxa"/>
            <w:vAlign w:val="top"/>
          </w:tcPr>
          <w:p w14:paraId="46D63331">
            <w:pPr>
              <w:pStyle w:val="6"/>
              <w:spacing w:before="68" w:line="220" w:lineRule="auto"/>
              <w:ind w:left="304"/>
            </w:pPr>
            <w:r>
              <w:rPr>
                <w:rFonts w:ascii="宋体" w:hAnsi="宋体" w:eastAsia="宋体" w:cs="宋体"/>
                <w:spacing w:val="-4"/>
              </w:rPr>
              <w:t>水井</w:t>
            </w:r>
            <w:r>
              <w:rPr>
                <w:rFonts w:ascii="宋体" w:hAnsi="宋体" w:eastAsia="宋体" w:cs="宋体"/>
                <w:spacing w:val="-48"/>
              </w:rPr>
              <w:t xml:space="preserve"> </w:t>
            </w:r>
            <w:r>
              <w:rPr>
                <w:spacing w:val="-4"/>
              </w:rPr>
              <w:t>2</w:t>
            </w:r>
          </w:p>
        </w:tc>
        <w:tc>
          <w:tcPr>
            <w:tcW w:w="1171" w:type="dxa"/>
            <w:vAlign w:val="top"/>
          </w:tcPr>
          <w:p w14:paraId="0A471C09">
            <w:pPr>
              <w:pStyle w:val="6"/>
              <w:spacing w:before="68" w:line="220" w:lineRule="auto"/>
              <w:ind w:left="305"/>
            </w:pPr>
            <w:r>
              <w:rPr>
                <w:rFonts w:ascii="宋体" w:hAnsi="宋体" w:eastAsia="宋体" w:cs="宋体"/>
                <w:spacing w:val="-4"/>
              </w:rPr>
              <w:t>水井</w:t>
            </w:r>
            <w:r>
              <w:rPr>
                <w:rFonts w:ascii="宋体" w:hAnsi="宋体" w:eastAsia="宋体" w:cs="宋体"/>
                <w:spacing w:val="-44"/>
              </w:rPr>
              <w:t xml:space="preserve"> </w:t>
            </w:r>
            <w:r>
              <w:rPr>
                <w:spacing w:val="-4"/>
              </w:rPr>
              <w:t>3</w:t>
            </w:r>
          </w:p>
        </w:tc>
        <w:tc>
          <w:tcPr>
            <w:tcW w:w="1173" w:type="dxa"/>
            <w:vAlign w:val="top"/>
          </w:tcPr>
          <w:p w14:paraId="5F1C3EFF">
            <w:pPr>
              <w:pStyle w:val="6"/>
              <w:spacing w:before="68" w:line="220" w:lineRule="auto"/>
              <w:ind w:left="306"/>
            </w:pPr>
            <w:r>
              <w:rPr>
                <w:rFonts w:ascii="宋体" w:hAnsi="宋体" w:eastAsia="宋体" w:cs="宋体"/>
                <w:spacing w:val="-4"/>
              </w:rPr>
              <w:t>水井</w:t>
            </w:r>
            <w:r>
              <w:rPr>
                <w:rFonts w:ascii="宋体" w:hAnsi="宋体" w:eastAsia="宋体" w:cs="宋体"/>
                <w:spacing w:val="-49"/>
              </w:rPr>
              <w:t xml:space="preserve"> </w:t>
            </w:r>
            <w:r>
              <w:rPr>
                <w:spacing w:val="-4"/>
              </w:rPr>
              <w:t>4</w:t>
            </w:r>
          </w:p>
        </w:tc>
        <w:tc>
          <w:tcPr>
            <w:tcW w:w="1172" w:type="dxa"/>
            <w:vAlign w:val="top"/>
          </w:tcPr>
          <w:p w14:paraId="383622FF">
            <w:pPr>
              <w:pStyle w:val="6"/>
              <w:spacing w:before="68" w:line="220" w:lineRule="auto"/>
              <w:ind w:left="307"/>
            </w:pPr>
            <w:r>
              <w:rPr>
                <w:rFonts w:ascii="宋体" w:hAnsi="宋体" w:eastAsia="宋体" w:cs="宋体"/>
                <w:spacing w:val="-4"/>
              </w:rPr>
              <w:t>水井</w:t>
            </w:r>
            <w:r>
              <w:rPr>
                <w:rFonts w:ascii="宋体" w:hAnsi="宋体" w:eastAsia="宋体" w:cs="宋体"/>
                <w:spacing w:val="-42"/>
              </w:rPr>
              <w:t xml:space="preserve"> </w:t>
            </w:r>
            <w:r>
              <w:rPr>
                <w:spacing w:val="-4"/>
              </w:rPr>
              <w:t>5</w:t>
            </w:r>
          </w:p>
        </w:tc>
        <w:tc>
          <w:tcPr>
            <w:tcW w:w="1175" w:type="dxa"/>
            <w:vAlign w:val="top"/>
          </w:tcPr>
          <w:p w14:paraId="19CDC6EF">
            <w:pPr>
              <w:pStyle w:val="6"/>
              <w:spacing w:before="68" w:line="220" w:lineRule="auto"/>
              <w:ind w:left="306"/>
            </w:pPr>
            <w:r>
              <w:rPr>
                <w:rFonts w:ascii="宋体" w:hAnsi="宋体" w:eastAsia="宋体" w:cs="宋体"/>
                <w:spacing w:val="-4"/>
              </w:rPr>
              <w:t>水井</w:t>
            </w:r>
            <w:r>
              <w:rPr>
                <w:rFonts w:ascii="宋体" w:hAnsi="宋体" w:eastAsia="宋体" w:cs="宋体"/>
                <w:spacing w:val="-43"/>
              </w:rPr>
              <w:t xml:space="preserve"> </w:t>
            </w:r>
            <w:r>
              <w:rPr>
                <w:spacing w:val="-4"/>
              </w:rPr>
              <w:t>6</w:t>
            </w:r>
          </w:p>
        </w:tc>
      </w:tr>
      <w:tr w14:paraId="09F73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284" w:type="dxa"/>
            <w:vAlign w:val="top"/>
          </w:tcPr>
          <w:p w14:paraId="34B50B1F">
            <w:pPr>
              <w:pStyle w:val="6"/>
              <w:spacing w:before="66" w:line="220" w:lineRule="auto"/>
              <w:ind w:left="148"/>
              <w:rPr>
                <w:rFonts w:ascii="宋体" w:hAnsi="宋体" w:eastAsia="宋体" w:cs="宋体"/>
              </w:rPr>
            </w:pPr>
            <w:r>
              <w:rPr>
                <w:rFonts w:ascii="宋体" w:hAnsi="宋体" w:eastAsia="宋体" w:cs="宋体"/>
                <w:spacing w:val="-2"/>
              </w:rPr>
              <w:t>水位（</w:t>
            </w:r>
            <w:r>
              <w:rPr>
                <w:spacing w:val="-2"/>
              </w:rPr>
              <w:t>m</w:t>
            </w:r>
            <w:r>
              <w:rPr>
                <w:rFonts w:ascii="宋体" w:hAnsi="宋体" w:eastAsia="宋体" w:cs="宋体"/>
                <w:spacing w:val="-2"/>
              </w:rPr>
              <w:t>）</w:t>
            </w:r>
          </w:p>
        </w:tc>
        <w:tc>
          <w:tcPr>
            <w:tcW w:w="1172" w:type="dxa"/>
            <w:vAlign w:val="top"/>
          </w:tcPr>
          <w:p w14:paraId="2173A123">
            <w:pPr>
              <w:pStyle w:val="6"/>
              <w:spacing w:before="103" w:line="188" w:lineRule="auto"/>
              <w:ind w:left="459"/>
            </w:pPr>
            <w:r>
              <w:rPr>
                <w:spacing w:val="-3"/>
              </w:rPr>
              <w:t>3.5</w:t>
            </w:r>
          </w:p>
        </w:tc>
        <w:tc>
          <w:tcPr>
            <w:tcW w:w="1173" w:type="dxa"/>
            <w:vAlign w:val="top"/>
          </w:tcPr>
          <w:p w14:paraId="5D873AA3">
            <w:pPr>
              <w:pStyle w:val="6"/>
              <w:spacing w:before="103" w:line="188" w:lineRule="auto"/>
              <w:ind w:left="459"/>
            </w:pPr>
            <w:r>
              <w:rPr>
                <w:spacing w:val="-3"/>
              </w:rPr>
              <w:t>3.5</w:t>
            </w:r>
          </w:p>
        </w:tc>
        <w:tc>
          <w:tcPr>
            <w:tcW w:w="1171" w:type="dxa"/>
            <w:vAlign w:val="top"/>
          </w:tcPr>
          <w:p w14:paraId="71878BE1">
            <w:pPr>
              <w:pStyle w:val="6"/>
              <w:spacing w:before="103" w:line="188" w:lineRule="auto"/>
              <w:ind w:left="460"/>
            </w:pPr>
            <w:r>
              <w:rPr>
                <w:spacing w:val="-3"/>
              </w:rPr>
              <w:t>3.5</w:t>
            </w:r>
          </w:p>
        </w:tc>
        <w:tc>
          <w:tcPr>
            <w:tcW w:w="1173" w:type="dxa"/>
            <w:vAlign w:val="top"/>
          </w:tcPr>
          <w:p w14:paraId="33C03996">
            <w:pPr>
              <w:pStyle w:val="6"/>
              <w:spacing w:before="103" w:line="188" w:lineRule="auto"/>
              <w:ind w:left="461"/>
            </w:pPr>
            <w:r>
              <w:rPr>
                <w:spacing w:val="-3"/>
              </w:rPr>
              <w:t>3.5</w:t>
            </w:r>
          </w:p>
        </w:tc>
        <w:tc>
          <w:tcPr>
            <w:tcW w:w="1172" w:type="dxa"/>
            <w:vAlign w:val="top"/>
          </w:tcPr>
          <w:p w14:paraId="77053819">
            <w:pPr>
              <w:pStyle w:val="6"/>
              <w:spacing w:before="103" w:line="188" w:lineRule="auto"/>
              <w:ind w:left="462"/>
            </w:pPr>
            <w:r>
              <w:rPr>
                <w:spacing w:val="-3"/>
              </w:rPr>
              <w:t>3.5</w:t>
            </w:r>
          </w:p>
        </w:tc>
        <w:tc>
          <w:tcPr>
            <w:tcW w:w="1175" w:type="dxa"/>
            <w:vAlign w:val="top"/>
          </w:tcPr>
          <w:p w14:paraId="13A7CDE7">
            <w:pPr>
              <w:pStyle w:val="6"/>
              <w:spacing w:before="103" w:line="188" w:lineRule="auto"/>
              <w:ind w:left="457"/>
            </w:pPr>
            <w:r>
              <w:rPr>
                <w:spacing w:val="-2"/>
              </w:rPr>
              <w:t>2.5</w:t>
            </w:r>
          </w:p>
        </w:tc>
      </w:tr>
    </w:tbl>
    <w:p w14:paraId="2065B3C4">
      <w:pPr>
        <w:pStyle w:val="2"/>
      </w:pPr>
    </w:p>
    <w:p w14:paraId="38F9571E">
      <w:pPr>
        <w:sectPr>
          <w:headerReference r:id="rId271" w:type="default"/>
          <w:footerReference r:id="rId272" w:type="default"/>
          <w:pgSz w:w="11905" w:h="16840"/>
          <w:pgMar w:top="1168" w:right="1768" w:bottom="1409" w:left="1770" w:header="828" w:footer="1244" w:gutter="0"/>
          <w:cols w:space="720" w:num="1"/>
        </w:sectPr>
      </w:pPr>
    </w:p>
    <w:p w14:paraId="709D7692">
      <w:pPr>
        <w:pStyle w:val="2"/>
        <w:spacing w:line="306" w:lineRule="auto"/>
      </w:pPr>
    </w:p>
    <w:p w14:paraId="3CB27ED5">
      <w:pPr>
        <w:spacing w:before="78" w:line="218" w:lineRule="auto"/>
        <w:ind w:left="525"/>
        <w:rPr>
          <w:rFonts w:ascii="宋体" w:hAnsi="宋体" w:eastAsia="宋体" w:cs="宋体"/>
          <w:sz w:val="24"/>
          <w:szCs w:val="24"/>
        </w:rPr>
      </w:pPr>
      <w:bookmarkStart w:id="35" w:name="bookmark160"/>
      <w:bookmarkEnd w:id="35"/>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）地下水质量现状评价</w:t>
      </w:r>
    </w:p>
    <w:p w14:paraId="0E9C6A7F">
      <w:pPr>
        <w:spacing w:before="184" w:line="218" w:lineRule="auto"/>
        <w:ind w:left="538"/>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）评价标准</w:t>
      </w:r>
    </w:p>
    <w:p w14:paraId="5F2AD827">
      <w:pPr>
        <w:spacing w:before="184" w:line="218" w:lineRule="auto"/>
        <w:ind w:left="521"/>
        <w:rPr>
          <w:rFonts w:ascii="宋体" w:hAnsi="宋体" w:eastAsia="宋体" w:cs="宋体"/>
          <w:sz w:val="24"/>
          <w:szCs w:val="24"/>
        </w:rPr>
      </w:pPr>
      <w:r>
        <w:rPr>
          <w:rFonts w:ascii="宋体" w:hAnsi="宋体" w:eastAsia="宋体" w:cs="宋体"/>
          <w:spacing w:val="-4"/>
          <w:sz w:val="24"/>
          <w:szCs w:val="24"/>
        </w:rPr>
        <w:t>按《地下水质量标准》（</w:t>
      </w:r>
      <w:r>
        <w:rPr>
          <w:rFonts w:ascii="Times New Roman" w:hAnsi="Times New Roman" w:eastAsia="Times New Roman" w:cs="Times New Roman"/>
          <w:spacing w:val="-4"/>
          <w:sz w:val="24"/>
          <w:szCs w:val="24"/>
        </w:rPr>
        <w:t>GB/T14848-2</w:t>
      </w:r>
      <w:r>
        <w:rPr>
          <w:rFonts w:ascii="Times New Roman" w:hAnsi="Times New Roman" w:eastAsia="Times New Roman" w:cs="Times New Roman"/>
          <w:spacing w:val="-5"/>
          <w:sz w:val="24"/>
          <w:szCs w:val="24"/>
        </w:rPr>
        <w:t>017</w:t>
      </w:r>
      <w:r>
        <w:rPr>
          <w:rFonts w:ascii="宋体" w:hAnsi="宋体" w:eastAsia="宋体" w:cs="宋体"/>
          <w:spacing w:val="-5"/>
          <w:sz w:val="24"/>
          <w:szCs w:val="24"/>
        </w:rPr>
        <w:t>）</w:t>
      </w:r>
      <w:r>
        <w:rPr>
          <w:rFonts w:ascii="Times New Roman" w:hAnsi="Times New Roman" w:eastAsia="Times New Roman" w:cs="Times New Roman"/>
          <w:spacing w:val="-5"/>
          <w:sz w:val="24"/>
          <w:szCs w:val="24"/>
        </w:rPr>
        <w:t>Ⅲ</w:t>
      </w:r>
      <w:r>
        <w:rPr>
          <w:rFonts w:ascii="宋体" w:hAnsi="宋体" w:eastAsia="宋体" w:cs="宋体"/>
          <w:spacing w:val="-5"/>
          <w:sz w:val="24"/>
          <w:szCs w:val="24"/>
        </w:rPr>
        <w:t>类水质标准进行评价。</w:t>
      </w:r>
    </w:p>
    <w:p w14:paraId="334F5599">
      <w:pPr>
        <w:spacing w:before="184" w:line="218" w:lineRule="auto"/>
        <w:ind w:left="51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）评价方法</w:t>
      </w:r>
    </w:p>
    <w:p w14:paraId="56C07551">
      <w:pPr>
        <w:spacing w:before="184" w:line="218" w:lineRule="auto"/>
        <w:ind w:left="518"/>
        <w:rPr>
          <w:rFonts w:ascii="宋体" w:hAnsi="宋体" w:eastAsia="宋体" w:cs="宋体"/>
          <w:sz w:val="24"/>
          <w:szCs w:val="24"/>
        </w:rPr>
      </w:pPr>
      <w:r>
        <w:rPr>
          <w:rFonts w:ascii="宋体" w:hAnsi="宋体" w:eastAsia="宋体" w:cs="宋体"/>
          <w:spacing w:val="-3"/>
          <w:sz w:val="24"/>
          <w:szCs w:val="24"/>
        </w:rPr>
        <w:t>采用标准指数法进行地下水环境现状评价，计算公式如下：</w:t>
      </w:r>
    </w:p>
    <w:p w14:paraId="2333E812">
      <w:pPr>
        <w:spacing w:before="185" w:line="217" w:lineRule="auto"/>
        <w:ind w:left="518"/>
        <w:rPr>
          <w:rFonts w:ascii="宋体" w:hAnsi="宋体" w:eastAsia="宋体" w:cs="宋体"/>
          <w:sz w:val="24"/>
          <w:szCs w:val="24"/>
        </w:rPr>
      </w:pPr>
      <w:r>
        <w:rPr>
          <w:rFonts w:ascii="宋体" w:hAnsi="宋体" w:eastAsia="宋体" w:cs="宋体"/>
          <w:spacing w:val="-2"/>
          <w:sz w:val="24"/>
          <w:szCs w:val="24"/>
        </w:rPr>
        <w:t>①对于评价标准为定值的水质因子，其标准指数</w:t>
      </w:r>
      <w:r>
        <w:rPr>
          <w:rFonts w:ascii="宋体" w:hAnsi="宋体" w:eastAsia="宋体" w:cs="宋体"/>
          <w:spacing w:val="-3"/>
          <w:sz w:val="24"/>
          <w:szCs w:val="24"/>
        </w:rPr>
        <w:t>计算公示如下：</w:t>
      </w:r>
    </w:p>
    <w:p w14:paraId="31C75EDF">
      <w:pPr>
        <w:spacing w:before="100" w:line="512" w:lineRule="exact"/>
        <w:ind w:left="3833"/>
      </w:pPr>
      <w:r>
        <w:rPr>
          <w:position w:val="-10"/>
        </w:rPr>
        <w:drawing>
          <wp:inline distT="0" distB="0" distL="0" distR="0">
            <wp:extent cx="451485" cy="32448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562"/>
                    <a:stretch>
                      <a:fillRect/>
                    </a:stretch>
                  </pic:blipFill>
                  <pic:spPr>
                    <a:xfrm>
                      <a:off x="0" y="0"/>
                      <a:ext cx="452045" cy="324797"/>
                    </a:xfrm>
                    <a:prstGeom prst="rect">
                      <a:avLst/>
                    </a:prstGeom>
                  </pic:spPr>
                </pic:pic>
              </a:graphicData>
            </a:graphic>
          </wp:inline>
        </w:drawing>
      </w:r>
    </w:p>
    <w:p w14:paraId="73425C99">
      <w:pPr>
        <w:pStyle w:val="2"/>
        <w:spacing w:line="281" w:lineRule="auto"/>
      </w:pPr>
    </w:p>
    <w:p w14:paraId="1A0A2F70">
      <w:pPr>
        <w:spacing w:before="82" w:line="204" w:lineRule="auto"/>
        <w:ind w:left="524"/>
        <w:rPr>
          <w:rFonts w:ascii="宋体" w:hAnsi="宋体" w:eastAsia="宋体" w:cs="宋体"/>
          <w:sz w:val="24"/>
          <w:szCs w:val="24"/>
        </w:rPr>
      </w:pPr>
      <w:r>
        <w:rPr>
          <w:rFonts w:ascii="宋体" w:hAnsi="宋体" w:eastAsia="宋体" w:cs="宋体"/>
          <w:spacing w:val="-5"/>
          <w:sz w:val="24"/>
          <w:szCs w:val="24"/>
        </w:rPr>
        <w:t>式中：</w:t>
      </w:r>
      <w:r>
        <w:rPr>
          <w:rFonts w:ascii="Cambria" w:hAnsi="Cambria" w:eastAsia="Cambria" w:cs="Cambria"/>
          <w:spacing w:val="-5"/>
          <w:sz w:val="28"/>
          <w:szCs w:val="28"/>
        </w:rPr>
        <w:t>P</w:t>
      </w:r>
      <w:r>
        <w:rPr>
          <w:rFonts w:ascii="Cambria" w:hAnsi="Cambria" w:eastAsia="Cambria" w:cs="Cambria"/>
          <w:spacing w:val="-5"/>
          <w:position w:val="-4"/>
          <w:sz w:val="19"/>
          <w:szCs w:val="19"/>
        </w:rPr>
        <w:t>i</w:t>
      </w:r>
      <w:r>
        <w:rPr>
          <w:rFonts w:ascii="Times New Roman" w:hAnsi="Times New Roman" w:eastAsia="Times New Roman" w:cs="Times New Roman"/>
          <w:spacing w:val="-5"/>
          <w:sz w:val="24"/>
          <w:szCs w:val="24"/>
        </w:rPr>
        <w:t>—</w:t>
      </w:r>
      <w:r>
        <w:rPr>
          <w:rFonts w:ascii="宋体" w:hAnsi="宋体" w:eastAsia="宋体" w:cs="宋体"/>
          <w:spacing w:val="-5"/>
          <w:sz w:val="24"/>
          <w:szCs w:val="24"/>
        </w:rPr>
        <w:t>第</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i </w:t>
      </w:r>
      <w:r>
        <w:rPr>
          <w:rFonts w:ascii="宋体" w:hAnsi="宋体" w:eastAsia="宋体" w:cs="宋体"/>
          <w:spacing w:val="-5"/>
          <w:sz w:val="24"/>
          <w:szCs w:val="24"/>
        </w:rPr>
        <w:t>个水质因子的标准指数，无量纲；</w:t>
      </w:r>
    </w:p>
    <w:p w14:paraId="3E09C1F1">
      <w:pPr>
        <w:spacing w:before="168" w:line="196" w:lineRule="auto"/>
        <w:ind w:left="1243"/>
        <w:rPr>
          <w:rFonts w:ascii="宋体" w:hAnsi="宋体" w:eastAsia="宋体" w:cs="宋体"/>
          <w:sz w:val="24"/>
          <w:szCs w:val="24"/>
        </w:rPr>
      </w:pPr>
      <w:r>
        <w:rPr>
          <w:rFonts w:ascii="Cambria" w:hAnsi="Cambria" w:eastAsia="Cambria" w:cs="Cambria"/>
          <w:spacing w:val="-31"/>
          <w:w w:val="96"/>
          <w:sz w:val="28"/>
          <w:szCs w:val="28"/>
        </w:rPr>
        <w:t>C</w:t>
      </w:r>
      <w:r>
        <w:rPr>
          <w:rFonts w:ascii="Cambria" w:hAnsi="Cambria" w:eastAsia="Cambria" w:cs="Cambria"/>
          <w:position w:val="-4"/>
          <w:sz w:val="19"/>
          <w:szCs w:val="19"/>
        </w:rPr>
        <w:t>i</w:t>
      </w:r>
      <w:r>
        <w:rPr>
          <w:rFonts w:ascii="Times New Roman" w:hAnsi="Times New Roman" w:eastAsia="Times New Roman" w:cs="Times New Roman"/>
          <w:sz w:val="24"/>
          <w:szCs w:val="24"/>
        </w:rPr>
        <w:t>—</w:t>
      </w:r>
      <w:r>
        <w:rPr>
          <w:rFonts w:ascii="宋体" w:hAnsi="宋体" w:eastAsia="宋体" w:cs="宋体"/>
          <w:sz w:val="24"/>
          <w:szCs w:val="24"/>
        </w:rPr>
        <w:t>第</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 xml:space="preserve">i </w:t>
      </w:r>
      <w:r>
        <w:rPr>
          <w:rFonts w:ascii="宋体" w:hAnsi="宋体" w:eastAsia="宋体" w:cs="宋体"/>
          <w:sz w:val="24"/>
          <w:szCs w:val="24"/>
        </w:rPr>
        <w:t>个水质因子的监测浓度值，</w:t>
      </w:r>
      <w:r>
        <w:rPr>
          <w:rFonts w:ascii="Times New Roman" w:hAnsi="Times New Roman" w:eastAsia="Times New Roman" w:cs="Times New Roman"/>
          <w:sz w:val="24"/>
          <w:szCs w:val="24"/>
        </w:rPr>
        <w:t>mg/L</w:t>
      </w:r>
      <w:r>
        <w:rPr>
          <w:rFonts w:ascii="宋体" w:hAnsi="宋体" w:eastAsia="宋体" w:cs="宋体"/>
          <w:sz w:val="24"/>
          <w:szCs w:val="24"/>
        </w:rPr>
        <w:t>；</w:t>
      </w:r>
    </w:p>
    <w:p w14:paraId="304F2DFF">
      <w:pPr>
        <w:spacing w:before="178" w:line="196" w:lineRule="auto"/>
        <w:ind w:left="1243"/>
        <w:rPr>
          <w:rFonts w:ascii="宋体" w:hAnsi="宋体" w:eastAsia="宋体" w:cs="宋体"/>
          <w:sz w:val="24"/>
          <w:szCs w:val="24"/>
        </w:rPr>
      </w:pPr>
      <w:r>
        <w:rPr>
          <w:rFonts w:ascii="Cambria" w:hAnsi="Cambria" w:eastAsia="Cambria" w:cs="Cambria"/>
          <w:spacing w:val="-31"/>
          <w:w w:val="96"/>
          <w:sz w:val="28"/>
          <w:szCs w:val="28"/>
        </w:rPr>
        <w:t>C</w:t>
      </w:r>
      <w:r>
        <w:rPr>
          <w:rFonts w:ascii="Cambria" w:hAnsi="Cambria" w:eastAsia="Cambria" w:cs="Cambria"/>
          <w:position w:val="-4"/>
          <w:sz w:val="19"/>
          <w:szCs w:val="19"/>
        </w:rPr>
        <w:t>si</w:t>
      </w:r>
      <w:r>
        <w:rPr>
          <w:rFonts w:ascii="Times New Roman" w:hAnsi="Times New Roman" w:eastAsia="Times New Roman" w:cs="Times New Roman"/>
          <w:sz w:val="24"/>
          <w:szCs w:val="24"/>
        </w:rPr>
        <w:t>—</w:t>
      </w:r>
      <w:r>
        <w:rPr>
          <w:rFonts w:ascii="宋体" w:hAnsi="宋体" w:eastAsia="宋体" w:cs="宋体"/>
          <w:sz w:val="24"/>
          <w:szCs w:val="24"/>
        </w:rPr>
        <w:t>第</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 xml:space="preserve">i </w:t>
      </w:r>
      <w:r>
        <w:rPr>
          <w:rFonts w:ascii="宋体" w:hAnsi="宋体" w:eastAsia="宋体" w:cs="宋体"/>
          <w:sz w:val="24"/>
          <w:szCs w:val="24"/>
        </w:rPr>
        <w:t>个水质因子的标准浓度值，</w:t>
      </w:r>
      <w:r>
        <w:rPr>
          <w:rFonts w:ascii="Times New Roman" w:hAnsi="Times New Roman" w:eastAsia="Times New Roman" w:cs="Times New Roman"/>
          <w:sz w:val="24"/>
          <w:szCs w:val="24"/>
        </w:rPr>
        <w:t>mg/L</w:t>
      </w:r>
      <w:r>
        <w:rPr>
          <w:rFonts w:ascii="宋体" w:hAnsi="宋体" w:eastAsia="宋体" w:cs="宋体"/>
          <w:sz w:val="24"/>
          <w:szCs w:val="24"/>
        </w:rPr>
        <w:t>。</w:t>
      </w:r>
    </w:p>
    <w:p w14:paraId="07F736E0">
      <w:pPr>
        <w:spacing w:before="258" w:line="212" w:lineRule="auto"/>
        <w:ind w:left="517"/>
        <w:rPr>
          <w:rFonts w:ascii="宋体" w:hAnsi="宋体" w:eastAsia="宋体" w:cs="宋体"/>
          <w:sz w:val="24"/>
          <w:szCs w:val="24"/>
        </w:rPr>
      </w:pPr>
      <w:r>
        <w:rPr>
          <w:rFonts w:ascii="宋体" w:hAnsi="宋体" w:eastAsia="宋体" w:cs="宋体"/>
          <w:spacing w:val="-5"/>
          <w:sz w:val="24"/>
          <w:szCs w:val="24"/>
        </w:rPr>
        <w:t>②</w:t>
      </w:r>
      <w:r>
        <w:rPr>
          <w:rFonts w:ascii="Times New Roman" w:hAnsi="Times New Roman" w:eastAsia="Times New Roman" w:cs="Times New Roman"/>
          <w:spacing w:val="-5"/>
          <w:sz w:val="24"/>
          <w:szCs w:val="24"/>
        </w:rPr>
        <w:t xml:space="preserve">pH </w:t>
      </w:r>
      <w:r>
        <w:rPr>
          <w:rFonts w:ascii="宋体" w:hAnsi="宋体" w:eastAsia="宋体" w:cs="宋体"/>
          <w:spacing w:val="-5"/>
          <w:sz w:val="24"/>
          <w:szCs w:val="24"/>
        </w:rPr>
        <w:t>值的指数计算公式：</w:t>
      </w:r>
    </w:p>
    <w:p w14:paraId="188670ED">
      <w:pPr>
        <w:spacing w:before="107" w:line="511" w:lineRule="exact"/>
        <w:ind w:left="2755"/>
      </w:pPr>
      <w:r>
        <w:rPr>
          <w:position w:val="-10"/>
        </w:rPr>
        <w:drawing>
          <wp:inline distT="0" distB="0" distL="0" distR="0">
            <wp:extent cx="1816735" cy="32448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563"/>
                    <a:stretch>
                      <a:fillRect/>
                    </a:stretch>
                  </pic:blipFill>
                  <pic:spPr>
                    <a:xfrm>
                      <a:off x="0" y="0"/>
                      <a:ext cx="1816787" cy="324796"/>
                    </a:xfrm>
                    <a:prstGeom prst="rect">
                      <a:avLst/>
                    </a:prstGeom>
                  </pic:spPr>
                </pic:pic>
              </a:graphicData>
            </a:graphic>
          </wp:inline>
        </w:drawing>
      </w:r>
    </w:p>
    <w:p w14:paraId="703887D4">
      <w:pPr>
        <w:pStyle w:val="2"/>
        <w:spacing w:line="355" w:lineRule="auto"/>
      </w:pPr>
    </w:p>
    <w:p w14:paraId="4017E72A">
      <w:pPr>
        <w:spacing w:before="1" w:line="511" w:lineRule="exact"/>
        <w:ind w:left="2707"/>
      </w:pPr>
      <w:r>
        <w:rPr>
          <w:position w:val="-10"/>
        </w:rPr>
        <w:drawing>
          <wp:inline distT="0" distB="0" distL="0" distR="0">
            <wp:extent cx="1877060" cy="32448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564"/>
                    <a:stretch>
                      <a:fillRect/>
                    </a:stretch>
                  </pic:blipFill>
                  <pic:spPr>
                    <a:xfrm>
                      <a:off x="0" y="0"/>
                      <a:ext cx="1877392" cy="324796"/>
                    </a:xfrm>
                    <a:prstGeom prst="rect">
                      <a:avLst/>
                    </a:prstGeom>
                  </pic:spPr>
                </pic:pic>
              </a:graphicData>
            </a:graphic>
          </wp:inline>
        </w:drawing>
      </w:r>
    </w:p>
    <w:p w14:paraId="751A719F">
      <w:pPr>
        <w:pStyle w:val="2"/>
        <w:spacing w:line="279" w:lineRule="auto"/>
      </w:pPr>
    </w:p>
    <w:p w14:paraId="17AF8E55">
      <w:pPr>
        <w:spacing w:before="82" w:line="221" w:lineRule="auto"/>
        <w:ind w:left="524"/>
        <w:rPr>
          <w:rFonts w:ascii="宋体" w:hAnsi="宋体" w:eastAsia="宋体" w:cs="宋体"/>
          <w:sz w:val="24"/>
          <w:szCs w:val="24"/>
        </w:rPr>
      </w:pPr>
      <w:r>
        <w:rPr>
          <w:rFonts w:ascii="宋体" w:hAnsi="宋体" w:eastAsia="宋体" w:cs="宋体"/>
          <w:spacing w:val="-7"/>
          <w:sz w:val="24"/>
          <w:szCs w:val="24"/>
        </w:rPr>
        <w:t>式中：</w:t>
      </w:r>
      <w:r>
        <w:rPr>
          <w:rFonts w:ascii="Cambria" w:hAnsi="Cambria" w:eastAsia="Cambria" w:cs="Cambria"/>
          <w:spacing w:val="-7"/>
          <w:sz w:val="28"/>
          <w:szCs w:val="28"/>
        </w:rPr>
        <w:t>P</w:t>
      </w:r>
      <w:r>
        <w:rPr>
          <w:rFonts w:ascii="Cambria" w:hAnsi="Cambria" w:eastAsia="Cambria" w:cs="Cambria"/>
          <w:spacing w:val="-7"/>
          <w:position w:val="-4"/>
          <w:sz w:val="19"/>
          <w:szCs w:val="19"/>
        </w:rPr>
        <w:t>PH</w:t>
      </w:r>
      <w:r>
        <w:rPr>
          <w:rFonts w:ascii="Times New Roman" w:hAnsi="Times New Roman" w:eastAsia="Times New Roman" w:cs="Times New Roman"/>
          <w:spacing w:val="-7"/>
          <w:sz w:val="24"/>
          <w:szCs w:val="24"/>
        </w:rPr>
        <w:t>—pH</w:t>
      </w:r>
      <w:r>
        <w:rPr>
          <w:rFonts w:ascii="Times New Roman" w:hAnsi="Times New Roman" w:eastAsia="Times New Roman" w:cs="Times New Roman"/>
          <w:spacing w:val="40"/>
          <w:w w:val="101"/>
          <w:sz w:val="24"/>
          <w:szCs w:val="24"/>
        </w:rPr>
        <w:t xml:space="preserve"> </w:t>
      </w:r>
      <w:r>
        <w:rPr>
          <w:rFonts w:ascii="宋体" w:hAnsi="宋体" w:eastAsia="宋体" w:cs="宋体"/>
          <w:spacing w:val="-7"/>
          <w:sz w:val="24"/>
          <w:szCs w:val="24"/>
        </w:rPr>
        <w:t>的标准指数，无量纲；</w:t>
      </w:r>
    </w:p>
    <w:p w14:paraId="62379DFE">
      <w:pPr>
        <w:spacing w:before="162" w:line="191" w:lineRule="auto"/>
        <w:ind w:left="1238"/>
        <w:rPr>
          <w:rFonts w:ascii="宋体" w:hAnsi="宋体" w:eastAsia="宋体" w:cs="宋体"/>
          <w:sz w:val="24"/>
          <w:szCs w:val="24"/>
        </w:rPr>
      </w:pPr>
      <w:r>
        <w:rPr>
          <w:rFonts w:ascii="Cambria" w:hAnsi="Cambria" w:eastAsia="Cambria" w:cs="Cambria"/>
          <w:spacing w:val="-10"/>
          <w:sz w:val="28"/>
          <w:szCs w:val="28"/>
        </w:rPr>
        <w:t>pH</w:t>
      </w:r>
      <w:r>
        <w:rPr>
          <w:rFonts w:ascii="Times New Roman" w:hAnsi="Times New Roman" w:eastAsia="Times New Roman" w:cs="Times New Roman"/>
          <w:spacing w:val="-10"/>
          <w:sz w:val="24"/>
          <w:szCs w:val="24"/>
        </w:rPr>
        <w:t xml:space="preserve">—pH </w:t>
      </w:r>
      <w:r>
        <w:rPr>
          <w:rFonts w:ascii="宋体" w:hAnsi="宋体" w:eastAsia="宋体" w:cs="宋体"/>
          <w:spacing w:val="-10"/>
          <w:sz w:val="24"/>
          <w:szCs w:val="24"/>
        </w:rPr>
        <w:t>监测值；</w:t>
      </w:r>
    </w:p>
    <w:p w14:paraId="362E8714">
      <w:pPr>
        <w:spacing w:before="198" w:line="191" w:lineRule="auto"/>
        <w:ind w:left="1238"/>
        <w:rPr>
          <w:rFonts w:ascii="宋体" w:hAnsi="宋体" w:eastAsia="宋体" w:cs="宋体"/>
          <w:sz w:val="24"/>
          <w:szCs w:val="24"/>
        </w:rPr>
      </w:pPr>
      <w:r>
        <w:rPr>
          <w:rFonts w:ascii="Cambria" w:hAnsi="Cambria" w:eastAsia="Cambria" w:cs="Cambria"/>
          <w:spacing w:val="-6"/>
          <w:sz w:val="28"/>
          <w:szCs w:val="28"/>
        </w:rPr>
        <w:t>pH</w:t>
      </w:r>
      <w:r>
        <w:rPr>
          <w:rFonts w:ascii="Cambria" w:hAnsi="Cambria" w:eastAsia="Cambria" w:cs="Cambria"/>
          <w:spacing w:val="-6"/>
          <w:position w:val="-4"/>
          <w:sz w:val="19"/>
          <w:szCs w:val="19"/>
        </w:rPr>
        <w:t>sd</w:t>
      </w:r>
      <w:r>
        <w:rPr>
          <w:rFonts w:ascii="Times New Roman" w:hAnsi="Times New Roman" w:eastAsia="Times New Roman" w:cs="Times New Roman"/>
          <w:spacing w:val="-6"/>
          <w:sz w:val="24"/>
          <w:szCs w:val="24"/>
        </w:rPr>
        <w:t>—</w:t>
      </w:r>
      <w:r>
        <w:rPr>
          <w:rFonts w:ascii="宋体" w:hAnsi="宋体" w:eastAsia="宋体" w:cs="宋体"/>
          <w:spacing w:val="-6"/>
          <w:sz w:val="24"/>
          <w:szCs w:val="24"/>
        </w:rPr>
        <w:t>标准中</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pH </w:t>
      </w:r>
      <w:r>
        <w:rPr>
          <w:rFonts w:ascii="宋体" w:hAnsi="宋体" w:eastAsia="宋体" w:cs="宋体"/>
          <w:spacing w:val="-6"/>
          <w:sz w:val="24"/>
          <w:szCs w:val="24"/>
        </w:rPr>
        <w:t>值的下限值；</w:t>
      </w:r>
    </w:p>
    <w:p w14:paraId="1B0C41DA">
      <w:pPr>
        <w:spacing w:before="185" w:line="191" w:lineRule="auto"/>
        <w:ind w:left="1238"/>
        <w:rPr>
          <w:rFonts w:ascii="宋体" w:hAnsi="宋体" w:eastAsia="宋体" w:cs="宋体"/>
          <w:sz w:val="24"/>
          <w:szCs w:val="24"/>
        </w:rPr>
      </w:pPr>
      <w:r>
        <w:rPr>
          <w:rFonts w:ascii="Cambria" w:hAnsi="Cambria" w:eastAsia="Cambria" w:cs="Cambria"/>
          <w:spacing w:val="-5"/>
          <w:sz w:val="28"/>
          <w:szCs w:val="28"/>
        </w:rPr>
        <w:t>pH</w:t>
      </w:r>
      <w:r>
        <w:rPr>
          <w:rFonts w:ascii="Cambria" w:hAnsi="Cambria" w:eastAsia="Cambria" w:cs="Cambria"/>
          <w:spacing w:val="-5"/>
          <w:position w:val="-4"/>
          <w:sz w:val="19"/>
          <w:szCs w:val="19"/>
        </w:rPr>
        <w:t>su</w:t>
      </w:r>
      <w:r>
        <w:rPr>
          <w:rFonts w:ascii="Times New Roman" w:hAnsi="Times New Roman" w:eastAsia="Times New Roman" w:cs="Times New Roman"/>
          <w:spacing w:val="-5"/>
          <w:sz w:val="24"/>
          <w:szCs w:val="24"/>
        </w:rPr>
        <w:t>—</w:t>
      </w:r>
      <w:r>
        <w:rPr>
          <w:rFonts w:ascii="宋体" w:hAnsi="宋体" w:eastAsia="宋体" w:cs="宋体"/>
          <w:spacing w:val="-5"/>
          <w:sz w:val="24"/>
          <w:szCs w:val="24"/>
        </w:rPr>
        <w:t>标准中</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 xml:space="preserve">pH </w:t>
      </w:r>
      <w:r>
        <w:rPr>
          <w:rFonts w:ascii="宋体" w:hAnsi="宋体" w:eastAsia="宋体" w:cs="宋体"/>
          <w:spacing w:val="-5"/>
          <w:sz w:val="24"/>
          <w:szCs w:val="24"/>
        </w:rPr>
        <w:t>值的上限值。</w:t>
      </w:r>
    </w:p>
    <w:p w14:paraId="1A9F9519">
      <w:pPr>
        <w:spacing w:before="266" w:line="218" w:lineRule="auto"/>
        <w:ind w:left="519"/>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）评价结果</w:t>
      </w:r>
    </w:p>
    <w:p w14:paraId="333C2D17">
      <w:pPr>
        <w:spacing w:before="184" w:line="218" w:lineRule="auto"/>
        <w:ind w:left="519"/>
        <w:rPr>
          <w:rFonts w:ascii="宋体" w:hAnsi="宋体" w:eastAsia="宋体" w:cs="宋体"/>
          <w:sz w:val="24"/>
          <w:szCs w:val="24"/>
        </w:rPr>
      </w:pPr>
      <w:r>
        <w:rPr>
          <w:rFonts w:ascii="宋体" w:hAnsi="宋体" w:eastAsia="宋体" w:cs="宋体"/>
          <w:spacing w:val="-3"/>
          <w:sz w:val="24"/>
          <w:szCs w:val="24"/>
        </w:rPr>
        <w:t>地下水环境质量评价结果见下表。</w:t>
      </w:r>
    </w:p>
    <w:p w14:paraId="12518249">
      <w:pPr>
        <w:spacing w:before="198" w:line="222" w:lineRule="auto"/>
        <w:ind w:left="271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3.3-11  </w:t>
      </w:r>
      <w:r>
        <w:rPr>
          <w:rFonts w:ascii="黑体" w:hAnsi="黑体" w:eastAsia="黑体" w:cs="黑体"/>
          <w:spacing w:val="-1"/>
          <w:sz w:val="21"/>
          <w:szCs w:val="21"/>
        </w:rPr>
        <w:t>地下水评价标准指数表</w:t>
      </w:r>
    </w:p>
    <w:p w14:paraId="6D9C3EEF">
      <w:pPr>
        <w:spacing w:line="88" w:lineRule="exact"/>
      </w:pPr>
    </w:p>
    <w:tbl>
      <w:tblPr>
        <w:tblStyle w:val="5"/>
        <w:tblW w:w="8341"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1074"/>
        <w:gridCol w:w="1193"/>
        <w:gridCol w:w="1190"/>
        <w:gridCol w:w="1191"/>
        <w:gridCol w:w="1190"/>
        <w:gridCol w:w="1193"/>
      </w:tblGrid>
      <w:tr w14:paraId="03327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10" w:type="dxa"/>
            <w:vMerge w:val="restart"/>
            <w:tcBorders>
              <w:bottom w:val="nil"/>
            </w:tcBorders>
            <w:vAlign w:val="top"/>
          </w:tcPr>
          <w:p w14:paraId="1E19E4C5">
            <w:pPr>
              <w:spacing w:before="243" w:line="220" w:lineRule="auto"/>
              <w:ind w:left="240"/>
              <w:rPr>
                <w:rFonts w:ascii="宋体" w:hAnsi="宋体" w:eastAsia="宋体" w:cs="宋体"/>
                <w:sz w:val="21"/>
                <w:szCs w:val="21"/>
              </w:rPr>
            </w:pPr>
            <w:r>
              <w:rPr>
                <w:rFonts w:ascii="宋体" w:hAnsi="宋体" w:eastAsia="宋体" w:cs="宋体"/>
                <w:spacing w:val="-2"/>
                <w:sz w:val="21"/>
                <w:szCs w:val="21"/>
              </w:rPr>
              <w:t>检测项目</w:t>
            </w:r>
          </w:p>
        </w:tc>
        <w:tc>
          <w:tcPr>
            <w:tcW w:w="2267" w:type="dxa"/>
            <w:gridSpan w:val="2"/>
            <w:vAlign w:val="top"/>
          </w:tcPr>
          <w:p w14:paraId="36AC8132">
            <w:pPr>
              <w:pStyle w:val="6"/>
              <w:spacing w:before="68" w:line="220" w:lineRule="auto"/>
              <w:ind w:left="850"/>
            </w:pPr>
            <w:r>
              <w:rPr>
                <w:rFonts w:ascii="宋体" w:hAnsi="宋体" w:eastAsia="宋体" w:cs="宋体"/>
                <w:spacing w:val="-4"/>
              </w:rPr>
              <w:t>水井</w:t>
            </w:r>
            <w:r>
              <w:rPr>
                <w:rFonts w:ascii="宋体" w:hAnsi="宋体" w:eastAsia="宋体" w:cs="宋体"/>
                <w:spacing w:val="-28"/>
              </w:rPr>
              <w:t xml:space="preserve"> </w:t>
            </w:r>
            <w:r>
              <w:rPr>
                <w:spacing w:val="-4"/>
              </w:rPr>
              <w:t>1</w:t>
            </w:r>
          </w:p>
        </w:tc>
        <w:tc>
          <w:tcPr>
            <w:tcW w:w="2381" w:type="dxa"/>
            <w:gridSpan w:val="2"/>
            <w:vAlign w:val="top"/>
          </w:tcPr>
          <w:p w14:paraId="1FA094C5">
            <w:pPr>
              <w:pStyle w:val="6"/>
              <w:spacing w:before="68" w:line="220" w:lineRule="auto"/>
              <w:ind w:left="910"/>
            </w:pPr>
            <w:r>
              <w:rPr>
                <w:rFonts w:ascii="宋体" w:hAnsi="宋体" w:eastAsia="宋体" w:cs="宋体"/>
                <w:spacing w:val="-4"/>
              </w:rPr>
              <w:t>水井</w:t>
            </w:r>
            <w:r>
              <w:rPr>
                <w:rFonts w:ascii="宋体" w:hAnsi="宋体" w:eastAsia="宋体" w:cs="宋体"/>
                <w:spacing w:val="-48"/>
              </w:rPr>
              <w:t xml:space="preserve"> </w:t>
            </w:r>
            <w:r>
              <w:rPr>
                <w:spacing w:val="-4"/>
              </w:rPr>
              <w:t>2</w:t>
            </w:r>
          </w:p>
        </w:tc>
        <w:tc>
          <w:tcPr>
            <w:tcW w:w="2383" w:type="dxa"/>
            <w:gridSpan w:val="2"/>
            <w:vAlign w:val="top"/>
          </w:tcPr>
          <w:p w14:paraId="70210738">
            <w:pPr>
              <w:pStyle w:val="6"/>
              <w:spacing w:before="68" w:line="220" w:lineRule="auto"/>
              <w:ind w:left="909"/>
            </w:pPr>
            <w:r>
              <w:rPr>
                <w:rFonts w:ascii="宋体" w:hAnsi="宋体" w:eastAsia="宋体" w:cs="宋体"/>
                <w:spacing w:val="-4"/>
              </w:rPr>
              <w:t>水井</w:t>
            </w:r>
            <w:r>
              <w:rPr>
                <w:rFonts w:ascii="宋体" w:hAnsi="宋体" w:eastAsia="宋体" w:cs="宋体"/>
                <w:spacing w:val="-44"/>
              </w:rPr>
              <w:t xml:space="preserve"> </w:t>
            </w:r>
            <w:r>
              <w:rPr>
                <w:spacing w:val="-4"/>
              </w:rPr>
              <w:t>3</w:t>
            </w:r>
          </w:p>
        </w:tc>
      </w:tr>
      <w:tr w14:paraId="704FB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Merge w:val="continue"/>
            <w:tcBorders>
              <w:top w:val="nil"/>
            </w:tcBorders>
            <w:vAlign w:val="top"/>
          </w:tcPr>
          <w:p w14:paraId="460CBCCA">
            <w:pPr>
              <w:rPr>
                <w:rFonts w:ascii="Arial"/>
                <w:sz w:val="21"/>
              </w:rPr>
            </w:pPr>
          </w:p>
        </w:tc>
        <w:tc>
          <w:tcPr>
            <w:tcW w:w="1074" w:type="dxa"/>
            <w:vAlign w:val="top"/>
          </w:tcPr>
          <w:p w14:paraId="3B3DE136">
            <w:pPr>
              <w:spacing w:before="64" w:line="220" w:lineRule="auto"/>
              <w:ind w:left="226"/>
              <w:rPr>
                <w:rFonts w:ascii="宋体" w:hAnsi="宋体" w:eastAsia="宋体" w:cs="宋体"/>
                <w:sz w:val="21"/>
                <w:szCs w:val="21"/>
              </w:rPr>
            </w:pPr>
            <w:r>
              <w:rPr>
                <w:rFonts w:ascii="宋体" w:hAnsi="宋体" w:eastAsia="宋体" w:cs="宋体"/>
                <w:spacing w:val="-3"/>
                <w:sz w:val="21"/>
                <w:szCs w:val="21"/>
              </w:rPr>
              <w:t>监测值</w:t>
            </w:r>
          </w:p>
        </w:tc>
        <w:tc>
          <w:tcPr>
            <w:tcW w:w="1193" w:type="dxa"/>
            <w:vAlign w:val="top"/>
          </w:tcPr>
          <w:p w14:paraId="392E8F30">
            <w:pPr>
              <w:spacing w:before="64" w:line="220" w:lineRule="auto"/>
              <w:ind w:left="182"/>
              <w:rPr>
                <w:rFonts w:ascii="宋体" w:hAnsi="宋体" w:eastAsia="宋体" w:cs="宋体"/>
                <w:sz w:val="21"/>
                <w:szCs w:val="21"/>
              </w:rPr>
            </w:pPr>
            <w:r>
              <w:rPr>
                <w:rFonts w:ascii="宋体" w:hAnsi="宋体" w:eastAsia="宋体" w:cs="宋体"/>
                <w:spacing w:val="-2"/>
                <w:sz w:val="21"/>
                <w:szCs w:val="21"/>
              </w:rPr>
              <w:t>质量指数</w:t>
            </w:r>
          </w:p>
        </w:tc>
        <w:tc>
          <w:tcPr>
            <w:tcW w:w="1190" w:type="dxa"/>
            <w:vAlign w:val="top"/>
          </w:tcPr>
          <w:p w14:paraId="2DE5B084">
            <w:pPr>
              <w:spacing w:before="64" w:line="220" w:lineRule="auto"/>
              <w:ind w:left="286"/>
              <w:rPr>
                <w:rFonts w:ascii="宋体" w:hAnsi="宋体" w:eastAsia="宋体" w:cs="宋体"/>
                <w:sz w:val="21"/>
                <w:szCs w:val="21"/>
              </w:rPr>
            </w:pPr>
            <w:r>
              <w:rPr>
                <w:rFonts w:ascii="宋体" w:hAnsi="宋体" w:eastAsia="宋体" w:cs="宋体"/>
                <w:spacing w:val="-3"/>
                <w:sz w:val="21"/>
                <w:szCs w:val="21"/>
              </w:rPr>
              <w:t>监测值</w:t>
            </w:r>
          </w:p>
        </w:tc>
        <w:tc>
          <w:tcPr>
            <w:tcW w:w="1191" w:type="dxa"/>
            <w:vAlign w:val="top"/>
          </w:tcPr>
          <w:p w14:paraId="63962566">
            <w:pPr>
              <w:spacing w:before="64" w:line="220" w:lineRule="auto"/>
              <w:ind w:left="182"/>
              <w:rPr>
                <w:rFonts w:ascii="宋体" w:hAnsi="宋体" w:eastAsia="宋体" w:cs="宋体"/>
                <w:sz w:val="21"/>
                <w:szCs w:val="21"/>
              </w:rPr>
            </w:pPr>
            <w:r>
              <w:rPr>
                <w:rFonts w:ascii="宋体" w:hAnsi="宋体" w:eastAsia="宋体" w:cs="宋体"/>
                <w:spacing w:val="-2"/>
                <w:sz w:val="21"/>
                <w:szCs w:val="21"/>
              </w:rPr>
              <w:t>质量指数</w:t>
            </w:r>
          </w:p>
        </w:tc>
        <w:tc>
          <w:tcPr>
            <w:tcW w:w="1190" w:type="dxa"/>
            <w:vAlign w:val="top"/>
          </w:tcPr>
          <w:p w14:paraId="3F52B83B">
            <w:pPr>
              <w:spacing w:before="64" w:line="220" w:lineRule="auto"/>
              <w:ind w:left="287"/>
              <w:rPr>
                <w:rFonts w:ascii="宋体" w:hAnsi="宋体" w:eastAsia="宋体" w:cs="宋体"/>
                <w:sz w:val="21"/>
                <w:szCs w:val="21"/>
              </w:rPr>
            </w:pPr>
            <w:r>
              <w:rPr>
                <w:rFonts w:ascii="宋体" w:hAnsi="宋体" w:eastAsia="宋体" w:cs="宋体"/>
                <w:spacing w:val="-3"/>
                <w:sz w:val="21"/>
                <w:szCs w:val="21"/>
              </w:rPr>
              <w:t>监测值</w:t>
            </w:r>
          </w:p>
        </w:tc>
        <w:tc>
          <w:tcPr>
            <w:tcW w:w="1193" w:type="dxa"/>
            <w:vAlign w:val="top"/>
          </w:tcPr>
          <w:p w14:paraId="626AD9B9">
            <w:pPr>
              <w:spacing w:before="64" w:line="220" w:lineRule="auto"/>
              <w:ind w:left="182"/>
              <w:rPr>
                <w:rFonts w:ascii="宋体" w:hAnsi="宋体" w:eastAsia="宋体" w:cs="宋体"/>
                <w:sz w:val="21"/>
                <w:szCs w:val="21"/>
              </w:rPr>
            </w:pPr>
            <w:r>
              <w:rPr>
                <w:rFonts w:ascii="宋体" w:hAnsi="宋体" w:eastAsia="宋体" w:cs="宋体"/>
                <w:spacing w:val="-2"/>
                <w:sz w:val="21"/>
                <w:szCs w:val="21"/>
              </w:rPr>
              <w:t>质量指数</w:t>
            </w:r>
          </w:p>
        </w:tc>
      </w:tr>
      <w:tr w14:paraId="0AB76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23D296E6">
            <w:pPr>
              <w:pStyle w:val="6"/>
              <w:spacing w:before="65" w:line="212" w:lineRule="auto"/>
              <w:ind w:left="391"/>
              <w:rPr>
                <w:rFonts w:ascii="宋体" w:hAnsi="宋体" w:eastAsia="宋体" w:cs="宋体"/>
              </w:rPr>
            </w:pPr>
            <w:r>
              <w:t>pH</w:t>
            </w:r>
            <w:r>
              <w:rPr>
                <w:spacing w:val="8"/>
              </w:rPr>
              <w:t xml:space="preserve"> </w:t>
            </w:r>
            <w:r>
              <w:rPr>
                <w:rFonts w:ascii="宋体" w:hAnsi="宋体" w:eastAsia="宋体" w:cs="宋体"/>
              </w:rPr>
              <w:t>值</w:t>
            </w:r>
          </w:p>
        </w:tc>
        <w:tc>
          <w:tcPr>
            <w:tcW w:w="1074" w:type="dxa"/>
            <w:vAlign w:val="top"/>
          </w:tcPr>
          <w:p w14:paraId="7DF37C87">
            <w:pPr>
              <w:pStyle w:val="6"/>
              <w:spacing w:before="102" w:line="188" w:lineRule="auto"/>
              <w:ind w:left="357"/>
            </w:pPr>
            <w:r>
              <w:rPr>
                <w:spacing w:val="-3"/>
              </w:rPr>
              <w:t>7.35</w:t>
            </w:r>
          </w:p>
        </w:tc>
        <w:tc>
          <w:tcPr>
            <w:tcW w:w="1193" w:type="dxa"/>
            <w:vAlign w:val="top"/>
          </w:tcPr>
          <w:p w14:paraId="7CD1BD40">
            <w:pPr>
              <w:pStyle w:val="6"/>
              <w:spacing w:before="102" w:line="188" w:lineRule="auto"/>
              <w:ind w:left="416"/>
            </w:pPr>
            <w:r>
              <w:rPr>
                <w:spacing w:val="-2"/>
              </w:rPr>
              <w:t>0.23</w:t>
            </w:r>
          </w:p>
        </w:tc>
        <w:tc>
          <w:tcPr>
            <w:tcW w:w="1190" w:type="dxa"/>
            <w:vAlign w:val="top"/>
          </w:tcPr>
          <w:p w14:paraId="75E7FAA2">
            <w:pPr>
              <w:pStyle w:val="6"/>
              <w:spacing w:before="102" w:line="188" w:lineRule="auto"/>
              <w:ind w:left="415"/>
            </w:pPr>
            <w:r>
              <w:rPr>
                <w:spacing w:val="-2"/>
              </w:rPr>
              <w:t>7.49</w:t>
            </w:r>
          </w:p>
        </w:tc>
        <w:tc>
          <w:tcPr>
            <w:tcW w:w="1191" w:type="dxa"/>
            <w:vAlign w:val="top"/>
          </w:tcPr>
          <w:p w14:paraId="71A293DF">
            <w:pPr>
              <w:pStyle w:val="6"/>
              <w:spacing w:before="102" w:line="188" w:lineRule="auto"/>
              <w:ind w:left="416"/>
            </w:pPr>
            <w:r>
              <w:rPr>
                <w:spacing w:val="-2"/>
              </w:rPr>
              <w:t>0.33</w:t>
            </w:r>
          </w:p>
        </w:tc>
        <w:tc>
          <w:tcPr>
            <w:tcW w:w="1190" w:type="dxa"/>
            <w:vAlign w:val="top"/>
          </w:tcPr>
          <w:p w14:paraId="76B0E426">
            <w:pPr>
              <w:pStyle w:val="6"/>
              <w:spacing w:before="102" w:line="188" w:lineRule="auto"/>
              <w:ind w:left="416"/>
            </w:pPr>
            <w:r>
              <w:rPr>
                <w:spacing w:val="-2"/>
              </w:rPr>
              <w:t>7.52</w:t>
            </w:r>
          </w:p>
        </w:tc>
        <w:tc>
          <w:tcPr>
            <w:tcW w:w="1193" w:type="dxa"/>
            <w:vAlign w:val="top"/>
          </w:tcPr>
          <w:p w14:paraId="62ED6A14">
            <w:pPr>
              <w:pStyle w:val="6"/>
              <w:spacing w:before="102" w:line="188" w:lineRule="auto"/>
              <w:ind w:left="416"/>
            </w:pPr>
            <w:r>
              <w:rPr>
                <w:spacing w:val="-2"/>
              </w:rPr>
              <w:t>0.35</w:t>
            </w:r>
          </w:p>
        </w:tc>
      </w:tr>
      <w:tr w14:paraId="51FDC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Align w:val="top"/>
          </w:tcPr>
          <w:p w14:paraId="097FB157">
            <w:pPr>
              <w:spacing w:before="66" w:line="220" w:lineRule="auto"/>
              <w:ind w:left="555"/>
              <w:rPr>
                <w:rFonts w:ascii="宋体" w:hAnsi="宋体" w:eastAsia="宋体" w:cs="宋体"/>
                <w:sz w:val="21"/>
                <w:szCs w:val="21"/>
              </w:rPr>
            </w:pPr>
            <w:r>
              <w:rPr>
                <w:rFonts w:ascii="宋体" w:hAnsi="宋体" w:eastAsia="宋体" w:cs="宋体"/>
                <w:sz w:val="21"/>
                <w:szCs w:val="21"/>
              </w:rPr>
              <w:t>钾</w:t>
            </w:r>
          </w:p>
        </w:tc>
        <w:tc>
          <w:tcPr>
            <w:tcW w:w="1074" w:type="dxa"/>
            <w:vAlign w:val="top"/>
          </w:tcPr>
          <w:p w14:paraId="2CE43BDD">
            <w:pPr>
              <w:pStyle w:val="6"/>
              <w:spacing w:before="102" w:line="188" w:lineRule="auto"/>
              <w:ind w:left="373"/>
            </w:pPr>
            <w:r>
              <w:rPr>
                <w:spacing w:val="-7"/>
              </w:rPr>
              <w:t>1.43</w:t>
            </w:r>
          </w:p>
        </w:tc>
        <w:tc>
          <w:tcPr>
            <w:tcW w:w="1193" w:type="dxa"/>
            <w:vAlign w:val="top"/>
          </w:tcPr>
          <w:p w14:paraId="0F24C1C6">
            <w:pPr>
              <w:pStyle w:val="6"/>
              <w:spacing w:before="98" w:line="192" w:lineRule="auto"/>
              <w:ind w:left="563"/>
            </w:pPr>
            <w:r>
              <w:t>/</w:t>
            </w:r>
          </w:p>
        </w:tc>
        <w:tc>
          <w:tcPr>
            <w:tcW w:w="1190" w:type="dxa"/>
            <w:vAlign w:val="top"/>
          </w:tcPr>
          <w:p w14:paraId="7F0CE5B6">
            <w:pPr>
              <w:pStyle w:val="6"/>
              <w:spacing w:before="102" w:line="188" w:lineRule="auto"/>
              <w:ind w:left="431"/>
            </w:pPr>
            <w:r>
              <w:rPr>
                <w:spacing w:val="-7"/>
              </w:rPr>
              <w:t>1.42</w:t>
            </w:r>
          </w:p>
        </w:tc>
        <w:tc>
          <w:tcPr>
            <w:tcW w:w="1191" w:type="dxa"/>
            <w:vAlign w:val="top"/>
          </w:tcPr>
          <w:p w14:paraId="5119A01C">
            <w:pPr>
              <w:pStyle w:val="6"/>
              <w:spacing w:before="98" w:line="192" w:lineRule="auto"/>
              <w:ind w:left="564"/>
            </w:pPr>
            <w:r>
              <w:t>/</w:t>
            </w:r>
          </w:p>
        </w:tc>
        <w:tc>
          <w:tcPr>
            <w:tcW w:w="1190" w:type="dxa"/>
            <w:vAlign w:val="top"/>
          </w:tcPr>
          <w:p w14:paraId="6DEE3A5F">
            <w:pPr>
              <w:pStyle w:val="6"/>
              <w:spacing w:before="102" w:line="188" w:lineRule="auto"/>
              <w:ind w:left="433"/>
            </w:pPr>
            <w:r>
              <w:rPr>
                <w:spacing w:val="-7"/>
              </w:rPr>
              <w:t>1.44</w:t>
            </w:r>
          </w:p>
        </w:tc>
        <w:tc>
          <w:tcPr>
            <w:tcW w:w="1193" w:type="dxa"/>
            <w:vAlign w:val="top"/>
          </w:tcPr>
          <w:p w14:paraId="02A30462">
            <w:pPr>
              <w:pStyle w:val="6"/>
              <w:spacing w:before="98" w:line="192" w:lineRule="auto"/>
              <w:ind w:left="562"/>
            </w:pPr>
            <w:r>
              <w:t>/</w:t>
            </w:r>
          </w:p>
        </w:tc>
      </w:tr>
      <w:tr w14:paraId="7914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706226E4">
            <w:pPr>
              <w:spacing w:before="66" w:line="221" w:lineRule="auto"/>
              <w:ind w:left="554"/>
              <w:rPr>
                <w:rFonts w:ascii="宋体" w:hAnsi="宋体" w:eastAsia="宋体" w:cs="宋体"/>
                <w:sz w:val="21"/>
                <w:szCs w:val="21"/>
              </w:rPr>
            </w:pPr>
            <w:r>
              <w:rPr>
                <w:rFonts w:ascii="宋体" w:hAnsi="宋体" w:eastAsia="宋体" w:cs="宋体"/>
                <w:sz w:val="21"/>
                <w:szCs w:val="21"/>
              </w:rPr>
              <w:t>钠</w:t>
            </w:r>
          </w:p>
        </w:tc>
        <w:tc>
          <w:tcPr>
            <w:tcW w:w="1074" w:type="dxa"/>
            <w:vAlign w:val="top"/>
          </w:tcPr>
          <w:p w14:paraId="66DCBBB6">
            <w:pPr>
              <w:pStyle w:val="6"/>
              <w:spacing w:before="102" w:line="188" w:lineRule="auto"/>
              <w:ind w:left="373"/>
            </w:pPr>
            <w:r>
              <w:rPr>
                <w:spacing w:val="-6"/>
              </w:rPr>
              <w:t>12.2</w:t>
            </w:r>
          </w:p>
        </w:tc>
        <w:tc>
          <w:tcPr>
            <w:tcW w:w="1193" w:type="dxa"/>
            <w:vAlign w:val="top"/>
          </w:tcPr>
          <w:p w14:paraId="10024AEC">
            <w:pPr>
              <w:pStyle w:val="6"/>
              <w:spacing w:before="102" w:line="188" w:lineRule="auto"/>
              <w:ind w:left="364"/>
            </w:pPr>
            <w:r>
              <w:rPr>
                <w:spacing w:val="-2"/>
              </w:rPr>
              <w:t>0.061</w:t>
            </w:r>
          </w:p>
        </w:tc>
        <w:tc>
          <w:tcPr>
            <w:tcW w:w="1190" w:type="dxa"/>
            <w:vAlign w:val="top"/>
          </w:tcPr>
          <w:p w14:paraId="6B1FB236">
            <w:pPr>
              <w:pStyle w:val="6"/>
              <w:spacing w:before="102" w:line="188" w:lineRule="auto"/>
              <w:ind w:left="436"/>
            </w:pPr>
            <w:r>
              <w:rPr>
                <w:spacing w:val="-9"/>
              </w:rPr>
              <w:t>11.9</w:t>
            </w:r>
          </w:p>
        </w:tc>
        <w:tc>
          <w:tcPr>
            <w:tcW w:w="1191" w:type="dxa"/>
            <w:vAlign w:val="top"/>
          </w:tcPr>
          <w:p w14:paraId="6300169A">
            <w:pPr>
              <w:pStyle w:val="6"/>
              <w:spacing w:before="102" w:line="188" w:lineRule="auto"/>
              <w:ind w:left="363"/>
            </w:pPr>
            <w:r>
              <w:rPr>
                <w:spacing w:val="-2"/>
              </w:rPr>
              <w:t>0.060</w:t>
            </w:r>
          </w:p>
        </w:tc>
        <w:tc>
          <w:tcPr>
            <w:tcW w:w="1190" w:type="dxa"/>
            <w:vAlign w:val="top"/>
          </w:tcPr>
          <w:p w14:paraId="29206C42">
            <w:pPr>
              <w:pStyle w:val="6"/>
              <w:spacing w:before="102" w:line="188" w:lineRule="auto"/>
              <w:ind w:left="436"/>
            </w:pPr>
            <w:r>
              <w:rPr>
                <w:spacing w:val="-8"/>
              </w:rPr>
              <w:t>11.6</w:t>
            </w:r>
          </w:p>
        </w:tc>
        <w:tc>
          <w:tcPr>
            <w:tcW w:w="1193" w:type="dxa"/>
            <w:vAlign w:val="top"/>
          </w:tcPr>
          <w:p w14:paraId="3AC0C549">
            <w:pPr>
              <w:pStyle w:val="6"/>
              <w:spacing w:before="102" w:line="188" w:lineRule="auto"/>
              <w:ind w:left="363"/>
            </w:pPr>
            <w:r>
              <w:rPr>
                <w:spacing w:val="-2"/>
              </w:rPr>
              <w:t>0.058</w:t>
            </w:r>
          </w:p>
        </w:tc>
      </w:tr>
      <w:tr w14:paraId="3C9DF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30480196">
            <w:pPr>
              <w:spacing w:before="66" w:line="222" w:lineRule="auto"/>
              <w:ind w:left="554"/>
              <w:rPr>
                <w:rFonts w:ascii="宋体" w:hAnsi="宋体" w:eastAsia="宋体" w:cs="宋体"/>
                <w:sz w:val="21"/>
                <w:szCs w:val="21"/>
              </w:rPr>
            </w:pPr>
            <w:r>
              <w:rPr>
                <w:rFonts w:ascii="宋体" w:hAnsi="宋体" w:eastAsia="宋体" w:cs="宋体"/>
                <w:sz w:val="21"/>
                <w:szCs w:val="21"/>
              </w:rPr>
              <w:t>钙</w:t>
            </w:r>
          </w:p>
        </w:tc>
        <w:tc>
          <w:tcPr>
            <w:tcW w:w="1074" w:type="dxa"/>
            <w:vAlign w:val="top"/>
          </w:tcPr>
          <w:p w14:paraId="7A8EC62D">
            <w:pPr>
              <w:pStyle w:val="6"/>
              <w:spacing w:before="103" w:line="188" w:lineRule="auto"/>
              <w:ind w:left="400"/>
            </w:pPr>
            <w:r>
              <w:rPr>
                <w:spacing w:val="-9"/>
              </w:rPr>
              <w:t>148</w:t>
            </w:r>
          </w:p>
        </w:tc>
        <w:tc>
          <w:tcPr>
            <w:tcW w:w="1193" w:type="dxa"/>
            <w:vAlign w:val="top"/>
          </w:tcPr>
          <w:p w14:paraId="671889D4">
            <w:pPr>
              <w:pStyle w:val="6"/>
              <w:spacing w:before="99" w:line="192" w:lineRule="auto"/>
              <w:ind w:left="564"/>
            </w:pPr>
            <w:r>
              <w:t>/</w:t>
            </w:r>
          </w:p>
        </w:tc>
        <w:tc>
          <w:tcPr>
            <w:tcW w:w="1190" w:type="dxa"/>
            <w:vAlign w:val="top"/>
          </w:tcPr>
          <w:p w14:paraId="07A4B82B">
            <w:pPr>
              <w:pStyle w:val="6"/>
              <w:spacing w:before="103" w:line="188" w:lineRule="auto"/>
              <w:ind w:left="459"/>
            </w:pPr>
            <w:r>
              <w:rPr>
                <w:spacing w:val="-9"/>
              </w:rPr>
              <w:t>152</w:t>
            </w:r>
          </w:p>
        </w:tc>
        <w:tc>
          <w:tcPr>
            <w:tcW w:w="1191" w:type="dxa"/>
            <w:vAlign w:val="top"/>
          </w:tcPr>
          <w:p w14:paraId="37721412">
            <w:pPr>
              <w:pStyle w:val="6"/>
              <w:spacing w:before="99" w:line="192" w:lineRule="auto"/>
              <w:ind w:left="564"/>
            </w:pPr>
            <w:r>
              <w:t>/</w:t>
            </w:r>
          </w:p>
        </w:tc>
        <w:tc>
          <w:tcPr>
            <w:tcW w:w="1190" w:type="dxa"/>
            <w:vAlign w:val="top"/>
          </w:tcPr>
          <w:p w14:paraId="09B59938">
            <w:pPr>
              <w:pStyle w:val="6"/>
              <w:spacing w:before="103" w:line="188" w:lineRule="auto"/>
              <w:ind w:left="460"/>
            </w:pPr>
            <w:r>
              <w:rPr>
                <w:spacing w:val="-9"/>
              </w:rPr>
              <w:t>152</w:t>
            </w:r>
          </w:p>
        </w:tc>
        <w:tc>
          <w:tcPr>
            <w:tcW w:w="1193" w:type="dxa"/>
            <w:vAlign w:val="top"/>
          </w:tcPr>
          <w:p w14:paraId="4C0D7654">
            <w:pPr>
              <w:pStyle w:val="6"/>
              <w:spacing w:before="99" w:line="192" w:lineRule="auto"/>
              <w:ind w:left="563"/>
            </w:pPr>
            <w:r>
              <w:t>/</w:t>
            </w:r>
          </w:p>
        </w:tc>
      </w:tr>
      <w:tr w14:paraId="64006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10" w:type="dxa"/>
            <w:vAlign w:val="top"/>
          </w:tcPr>
          <w:p w14:paraId="28019E45">
            <w:pPr>
              <w:spacing w:before="66" w:line="222" w:lineRule="auto"/>
              <w:ind w:left="554"/>
              <w:rPr>
                <w:rFonts w:ascii="宋体" w:hAnsi="宋体" w:eastAsia="宋体" w:cs="宋体"/>
                <w:sz w:val="21"/>
                <w:szCs w:val="21"/>
              </w:rPr>
            </w:pPr>
            <w:r>
              <w:rPr>
                <w:rFonts w:ascii="宋体" w:hAnsi="宋体" w:eastAsia="宋体" w:cs="宋体"/>
                <w:sz w:val="21"/>
                <w:szCs w:val="21"/>
              </w:rPr>
              <w:t>镁</w:t>
            </w:r>
          </w:p>
        </w:tc>
        <w:tc>
          <w:tcPr>
            <w:tcW w:w="1074" w:type="dxa"/>
            <w:vAlign w:val="top"/>
          </w:tcPr>
          <w:p w14:paraId="5C4B45BF">
            <w:pPr>
              <w:pStyle w:val="6"/>
              <w:spacing w:before="103" w:line="188" w:lineRule="auto"/>
              <w:ind w:left="358"/>
            </w:pPr>
            <w:r>
              <w:rPr>
                <w:spacing w:val="-2"/>
              </w:rPr>
              <w:t>30.1</w:t>
            </w:r>
          </w:p>
        </w:tc>
        <w:tc>
          <w:tcPr>
            <w:tcW w:w="1193" w:type="dxa"/>
            <w:vAlign w:val="top"/>
          </w:tcPr>
          <w:p w14:paraId="64D5858A">
            <w:pPr>
              <w:pStyle w:val="6"/>
              <w:spacing w:before="99" w:line="192" w:lineRule="auto"/>
              <w:ind w:left="564"/>
            </w:pPr>
            <w:r>
              <w:t>/</w:t>
            </w:r>
          </w:p>
        </w:tc>
        <w:tc>
          <w:tcPr>
            <w:tcW w:w="1190" w:type="dxa"/>
            <w:vAlign w:val="top"/>
          </w:tcPr>
          <w:p w14:paraId="7D1358F1">
            <w:pPr>
              <w:pStyle w:val="6"/>
              <w:spacing w:before="103" w:line="188" w:lineRule="auto"/>
              <w:ind w:left="412"/>
            </w:pPr>
            <w:r>
              <w:rPr>
                <w:spacing w:val="-1"/>
              </w:rPr>
              <w:t>27.6</w:t>
            </w:r>
          </w:p>
        </w:tc>
        <w:tc>
          <w:tcPr>
            <w:tcW w:w="1191" w:type="dxa"/>
            <w:vAlign w:val="top"/>
          </w:tcPr>
          <w:p w14:paraId="1159EB4B">
            <w:pPr>
              <w:pStyle w:val="6"/>
              <w:spacing w:before="99" w:line="192" w:lineRule="auto"/>
              <w:ind w:left="564"/>
            </w:pPr>
            <w:r>
              <w:t>/</w:t>
            </w:r>
          </w:p>
        </w:tc>
        <w:tc>
          <w:tcPr>
            <w:tcW w:w="1190" w:type="dxa"/>
            <w:vAlign w:val="top"/>
          </w:tcPr>
          <w:p w14:paraId="0EBA30B0">
            <w:pPr>
              <w:pStyle w:val="6"/>
              <w:spacing w:before="103" w:line="188" w:lineRule="auto"/>
              <w:ind w:left="413"/>
            </w:pPr>
            <w:r>
              <w:rPr>
                <w:spacing w:val="-1"/>
              </w:rPr>
              <w:t>28.1</w:t>
            </w:r>
          </w:p>
        </w:tc>
        <w:tc>
          <w:tcPr>
            <w:tcW w:w="1193" w:type="dxa"/>
            <w:vAlign w:val="top"/>
          </w:tcPr>
          <w:p w14:paraId="28BED63A">
            <w:pPr>
              <w:pStyle w:val="6"/>
              <w:spacing w:before="99" w:line="192" w:lineRule="auto"/>
              <w:ind w:left="563"/>
            </w:pPr>
            <w:r>
              <w:t>/</w:t>
            </w:r>
          </w:p>
        </w:tc>
      </w:tr>
      <w:tr w14:paraId="7A577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00B1DE9B">
            <w:pPr>
              <w:spacing w:before="68" w:line="220" w:lineRule="auto"/>
              <w:ind w:left="345"/>
              <w:rPr>
                <w:rFonts w:ascii="宋体" w:hAnsi="宋体" w:eastAsia="宋体" w:cs="宋体"/>
                <w:sz w:val="21"/>
                <w:szCs w:val="21"/>
              </w:rPr>
            </w:pPr>
            <w:r>
              <w:rPr>
                <w:rFonts w:ascii="宋体" w:hAnsi="宋体" w:eastAsia="宋体" w:cs="宋体"/>
                <w:spacing w:val="-2"/>
                <w:sz w:val="21"/>
                <w:szCs w:val="21"/>
              </w:rPr>
              <w:t>碳酸根</w:t>
            </w:r>
          </w:p>
        </w:tc>
        <w:tc>
          <w:tcPr>
            <w:tcW w:w="1074" w:type="dxa"/>
            <w:vAlign w:val="top"/>
          </w:tcPr>
          <w:p w14:paraId="4CE9CB65">
            <w:pPr>
              <w:pStyle w:val="6"/>
              <w:spacing w:before="104" w:line="188" w:lineRule="auto"/>
              <w:ind w:left="239"/>
            </w:pPr>
            <w:r>
              <w:rPr>
                <w:spacing w:val="-2"/>
              </w:rPr>
              <w:t>0.750L</w:t>
            </w:r>
          </w:p>
        </w:tc>
        <w:tc>
          <w:tcPr>
            <w:tcW w:w="1193" w:type="dxa"/>
            <w:vAlign w:val="top"/>
          </w:tcPr>
          <w:p w14:paraId="09B92473">
            <w:pPr>
              <w:pStyle w:val="6"/>
              <w:spacing w:before="100" w:line="192" w:lineRule="auto"/>
              <w:ind w:left="564"/>
            </w:pPr>
            <w:r>
              <w:t>/</w:t>
            </w:r>
          </w:p>
        </w:tc>
        <w:tc>
          <w:tcPr>
            <w:tcW w:w="1190" w:type="dxa"/>
            <w:vAlign w:val="top"/>
          </w:tcPr>
          <w:p w14:paraId="0AB93EB7">
            <w:pPr>
              <w:pStyle w:val="6"/>
              <w:spacing w:before="104" w:line="188" w:lineRule="auto"/>
              <w:ind w:left="299"/>
            </w:pPr>
            <w:r>
              <w:rPr>
                <w:spacing w:val="-2"/>
              </w:rPr>
              <w:t>0.750L</w:t>
            </w:r>
          </w:p>
        </w:tc>
        <w:tc>
          <w:tcPr>
            <w:tcW w:w="1191" w:type="dxa"/>
            <w:vAlign w:val="top"/>
          </w:tcPr>
          <w:p w14:paraId="1E3998D0">
            <w:pPr>
              <w:pStyle w:val="6"/>
              <w:spacing w:before="100" w:line="192" w:lineRule="auto"/>
              <w:ind w:left="564"/>
            </w:pPr>
            <w:r>
              <w:t>/</w:t>
            </w:r>
          </w:p>
        </w:tc>
        <w:tc>
          <w:tcPr>
            <w:tcW w:w="1190" w:type="dxa"/>
            <w:vAlign w:val="top"/>
          </w:tcPr>
          <w:p w14:paraId="672E297F">
            <w:pPr>
              <w:pStyle w:val="6"/>
              <w:spacing w:before="104" w:line="188" w:lineRule="auto"/>
              <w:ind w:left="300"/>
            </w:pPr>
            <w:r>
              <w:rPr>
                <w:spacing w:val="-2"/>
              </w:rPr>
              <w:t>0.750L</w:t>
            </w:r>
          </w:p>
        </w:tc>
        <w:tc>
          <w:tcPr>
            <w:tcW w:w="1193" w:type="dxa"/>
            <w:vAlign w:val="top"/>
          </w:tcPr>
          <w:p w14:paraId="2128A380">
            <w:pPr>
              <w:pStyle w:val="6"/>
              <w:spacing w:before="100" w:line="192" w:lineRule="auto"/>
              <w:ind w:left="563"/>
            </w:pPr>
            <w:r>
              <w:t>/</w:t>
            </w:r>
          </w:p>
        </w:tc>
      </w:tr>
      <w:tr w14:paraId="73AEE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10" w:type="dxa"/>
            <w:vAlign w:val="top"/>
          </w:tcPr>
          <w:p w14:paraId="5136DF7D">
            <w:pPr>
              <w:spacing w:before="68" w:line="220" w:lineRule="auto"/>
              <w:ind w:left="241"/>
              <w:rPr>
                <w:rFonts w:ascii="宋体" w:hAnsi="宋体" w:eastAsia="宋体" w:cs="宋体"/>
                <w:sz w:val="21"/>
                <w:szCs w:val="21"/>
              </w:rPr>
            </w:pPr>
            <w:r>
              <w:rPr>
                <w:rFonts w:ascii="宋体" w:hAnsi="宋体" w:eastAsia="宋体" w:cs="宋体"/>
                <w:spacing w:val="-2"/>
                <w:sz w:val="21"/>
                <w:szCs w:val="21"/>
              </w:rPr>
              <w:t>重碳酸根</w:t>
            </w:r>
          </w:p>
        </w:tc>
        <w:tc>
          <w:tcPr>
            <w:tcW w:w="1074" w:type="dxa"/>
            <w:vAlign w:val="top"/>
          </w:tcPr>
          <w:p w14:paraId="746B7A1F">
            <w:pPr>
              <w:pStyle w:val="6"/>
              <w:spacing w:before="105" w:line="188" w:lineRule="auto"/>
              <w:ind w:left="400"/>
            </w:pPr>
            <w:r>
              <w:rPr>
                <w:spacing w:val="-9"/>
              </w:rPr>
              <w:t>193</w:t>
            </w:r>
          </w:p>
        </w:tc>
        <w:tc>
          <w:tcPr>
            <w:tcW w:w="1193" w:type="dxa"/>
            <w:vAlign w:val="top"/>
          </w:tcPr>
          <w:p w14:paraId="56F26744">
            <w:pPr>
              <w:pStyle w:val="6"/>
              <w:spacing w:before="101" w:line="192" w:lineRule="auto"/>
              <w:ind w:left="564"/>
            </w:pPr>
            <w:r>
              <w:t>/</w:t>
            </w:r>
          </w:p>
        </w:tc>
        <w:tc>
          <w:tcPr>
            <w:tcW w:w="1190" w:type="dxa"/>
            <w:vAlign w:val="top"/>
          </w:tcPr>
          <w:p w14:paraId="53999C78">
            <w:pPr>
              <w:pStyle w:val="6"/>
              <w:spacing w:before="105" w:line="188" w:lineRule="auto"/>
              <w:ind w:left="438"/>
            </w:pPr>
            <w:r>
              <w:rPr>
                <w:spacing w:val="-2"/>
              </w:rPr>
              <w:t>217</w:t>
            </w:r>
          </w:p>
        </w:tc>
        <w:tc>
          <w:tcPr>
            <w:tcW w:w="1191" w:type="dxa"/>
            <w:vAlign w:val="top"/>
          </w:tcPr>
          <w:p w14:paraId="1FAB8023">
            <w:pPr>
              <w:pStyle w:val="6"/>
              <w:spacing w:before="101" w:line="192" w:lineRule="auto"/>
              <w:ind w:left="564"/>
            </w:pPr>
            <w:r>
              <w:t>/</w:t>
            </w:r>
          </w:p>
        </w:tc>
        <w:tc>
          <w:tcPr>
            <w:tcW w:w="1190" w:type="dxa"/>
            <w:vAlign w:val="top"/>
          </w:tcPr>
          <w:p w14:paraId="038C3C81">
            <w:pPr>
              <w:pStyle w:val="6"/>
              <w:spacing w:before="105" w:line="188" w:lineRule="auto"/>
              <w:ind w:left="439"/>
            </w:pPr>
            <w:r>
              <w:rPr>
                <w:spacing w:val="-2"/>
              </w:rPr>
              <w:t>202</w:t>
            </w:r>
          </w:p>
        </w:tc>
        <w:tc>
          <w:tcPr>
            <w:tcW w:w="1193" w:type="dxa"/>
            <w:vAlign w:val="top"/>
          </w:tcPr>
          <w:p w14:paraId="0694DD6B">
            <w:pPr>
              <w:pStyle w:val="6"/>
              <w:spacing w:before="101" w:line="192" w:lineRule="auto"/>
              <w:ind w:left="563"/>
            </w:pPr>
            <w:r>
              <w:t>/</w:t>
            </w:r>
          </w:p>
        </w:tc>
      </w:tr>
    </w:tbl>
    <w:p w14:paraId="57C34E28">
      <w:pPr>
        <w:pStyle w:val="2"/>
      </w:pPr>
    </w:p>
    <w:p w14:paraId="1E326397">
      <w:pPr>
        <w:sectPr>
          <w:headerReference r:id="rId273" w:type="default"/>
          <w:footerReference r:id="rId274" w:type="default"/>
          <w:pgSz w:w="11905" w:h="16840"/>
          <w:pgMar w:top="1168" w:right="1768" w:bottom="1408" w:left="1770" w:header="828" w:footer="1244" w:gutter="0"/>
          <w:cols w:space="720" w:num="1"/>
        </w:sectPr>
      </w:pPr>
    </w:p>
    <w:p w14:paraId="480DF1FA">
      <w:pPr>
        <w:spacing w:before="30"/>
      </w:pPr>
    </w:p>
    <w:tbl>
      <w:tblPr>
        <w:tblStyle w:val="5"/>
        <w:tblW w:w="8341"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1074"/>
        <w:gridCol w:w="1193"/>
        <w:gridCol w:w="1190"/>
        <w:gridCol w:w="1191"/>
        <w:gridCol w:w="1190"/>
        <w:gridCol w:w="1193"/>
      </w:tblGrid>
      <w:tr w14:paraId="00356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10" w:type="dxa"/>
            <w:vMerge w:val="restart"/>
            <w:tcBorders>
              <w:bottom w:val="nil"/>
            </w:tcBorders>
            <w:vAlign w:val="top"/>
          </w:tcPr>
          <w:p w14:paraId="40AD63B4">
            <w:pPr>
              <w:spacing w:before="243" w:line="220" w:lineRule="auto"/>
              <w:ind w:left="240"/>
              <w:rPr>
                <w:rFonts w:ascii="宋体" w:hAnsi="宋体" w:eastAsia="宋体" w:cs="宋体"/>
                <w:sz w:val="21"/>
                <w:szCs w:val="21"/>
              </w:rPr>
            </w:pPr>
            <w:bookmarkStart w:id="36" w:name="bookmark161"/>
            <w:bookmarkEnd w:id="36"/>
            <w:r>
              <w:rPr>
                <w:rFonts w:ascii="宋体" w:hAnsi="宋体" w:eastAsia="宋体" w:cs="宋体"/>
                <w:spacing w:val="-2"/>
                <w:sz w:val="21"/>
                <w:szCs w:val="21"/>
              </w:rPr>
              <w:t>检测项目</w:t>
            </w:r>
          </w:p>
        </w:tc>
        <w:tc>
          <w:tcPr>
            <w:tcW w:w="2267" w:type="dxa"/>
            <w:gridSpan w:val="2"/>
            <w:vAlign w:val="top"/>
          </w:tcPr>
          <w:p w14:paraId="082E9E8C">
            <w:pPr>
              <w:pStyle w:val="6"/>
              <w:spacing w:before="68" w:line="220" w:lineRule="auto"/>
              <w:ind w:left="850"/>
            </w:pPr>
            <w:r>
              <w:rPr>
                <w:rFonts w:ascii="宋体" w:hAnsi="宋体" w:eastAsia="宋体" w:cs="宋体"/>
                <w:spacing w:val="-4"/>
              </w:rPr>
              <w:t>水井</w:t>
            </w:r>
            <w:r>
              <w:rPr>
                <w:rFonts w:ascii="宋体" w:hAnsi="宋体" w:eastAsia="宋体" w:cs="宋体"/>
                <w:spacing w:val="-28"/>
              </w:rPr>
              <w:t xml:space="preserve"> </w:t>
            </w:r>
            <w:r>
              <w:rPr>
                <w:spacing w:val="-4"/>
              </w:rPr>
              <w:t>1</w:t>
            </w:r>
          </w:p>
        </w:tc>
        <w:tc>
          <w:tcPr>
            <w:tcW w:w="2381" w:type="dxa"/>
            <w:gridSpan w:val="2"/>
            <w:vAlign w:val="top"/>
          </w:tcPr>
          <w:p w14:paraId="7D535AAC">
            <w:pPr>
              <w:pStyle w:val="6"/>
              <w:spacing w:before="68" w:line="220" w:lineRule="auto"/>
              <w:ind w:left="910"/>
            </w:pPr>
            <w:r>
              <w:rPr>
                <w:rFonts w:ascii="宋体" w:hAnsi="宋体" w:eastAsia="宋体" w:cs="宋体"/>
                <w:spacing w:val="-4"/>
              </w:rPr>
              <w:t>水井</w:t>
            </w:r>
            <w:r>
              <w:rPr>
                <w:rFonts w:ascii="宋体" w:hAnsi="宋体" w:eastAsia="宋体" w:cs="宋体"/>
                <w:spacing w:val="-48"/>
              </w:rPr>
              <w:t xml:space="preserve"> </w:t>
            </w:r>
            <w:r>
              <w:rPr>
                <w:spacing w:val="-4"/>
              </w:rPr>
              <w:t>2</w:t>
            </w:r>
          </w:p>
        </w:tc>
        <w:tc>
          <w:tcPr>
            <w:tcW w:w="2383" w:type="dxa"/>
            <w:gridSpan w:val="2"/>
            <w:vAlign w:val="top"/>
          </w:tcPr>
          <w:p w14:paraId="2C61DDA7">
            <w:pPr>
              <w:pStyle w:val="6"/>
              <w:spacing w:before="68" w:line="220" w:lineRule="auto"/>
              <w:ind w:left="909"/>
            </w:pPr>
            <w:r>
              <w:rPr>
                <w:rFonts w:ascii="宋体" w:hAnsi="宋体" w:eastAsia="宋体" w:cs="宋体"/>
                <w:spacing w:val="-4"/>
              </w:rPr>
              <w:t>水井</w:t>
            </w:r>
            <w:r>
              <w:rPr>
                <w:rFonts w:ascii="宋体" w:hAnsi="宋体" w:eastAsia="宋体" w:cs="宋体"/>
                <w:spacing w:val="-44"/>
              </w:rPr>
              <w:t xml:space="preserve"> </w:t>
            </w:r>
            <w:r>
              <w:rPr>
                <w:spacing w:val="-4"/>
              </w:rPr>
              <w:t>3</w:t>
            </w:r>
          </w:p>
        </w:tc>
      </w:tr>
      <w:tr w14:paraId="080DD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Merge w:val="continue"/>
            <w:tcBorders>
              <w:top w:val="nil"/>
            </w:tcBorders>
            <w:vAlign w:val="top"/>
          </w:tcPr>
          <w:p w14:paraId="076E2DF6">
            <w:pPr>
              <w:rPr>
                <w:rFonts w:ascii="Arial"/>
                <w:sz w:val="21"/>
              </w:rPr>
            </w:pPr>
          </w:p>
        </w:tc>
        <w:tc>
          <w:tcPr>
            <w:tcW w:w="1074" w:type="dxa"/>
            <w:vAlign w:val="top"/>
          </w:tcPr>
          <w:p w14:paraId="62062019">
            <w:pPr>
              <w:spacing w:before="63" w:line="220" w:lineRule="auto"/>
              <w:ind w:left="226"/>
              <w:rPr>
                <w:rFonts w:ascii="宋体" w:hAnsi="宋体" w:eastAsia="宋体" w:cs="宋体"/>
                <w:sz w:val="21"/>
                <w:szCs w:val="21"/>
              </w:rPr>
            </w:pPr>
            <w:r>
              <w:rPr>
                <w:rFonts w:ascii="宋体" w:hAnsi="宋体" w:eastAsia="宋体" w:cs="宋体"/>
                <w:spacing w:val="-3"/>
                <w:sz w:val="21"/>
                <w:szCs w:val="21"/>
              </w:rPr>
              <w:t>监测值</w:t>
            </w:r>
          </w:p>
        </w:tc>
        <w:tc>
          <w:tcPr>
            <w:tcW w:w="1193" w:type="dxa"/>
            <w:vAlign w:val="top"/>
          </w:tcPr>
          <w:p w14:paraId="0A9D8370">
            <w:pPr>
              <w:spacing w:before="63" w:line="220" w:lineRule="auto"/>
              <w:ind w:left="182"/>
              <w:rPr>
                <w:rFonts w:ascii="宋体" w:hAnsi="宋体" w:eastAsia="宋体" w:cs="宋体"/>
                <w:sz w:val="21"/>
                <w:szCs w:val="21"/>
              </w:rPr>
            </w:pPr>
            <w:r>
              <w:rPr>
                <w:rFonts w:ascii="宋体" w:hAnsi="宋体" w:eastAsia="宋体" w:cs="宋体"/>
                <w:spacing w:val="-2"/>
                <w:sz w:val="21"/>
                <w:szCs w:val="21"/>
              </w:rPr>
              <w:t>质量指数</w:t>
            </w:r>
          </w:p>
        </w:tc>
        <w:tc>
          <w:tcPr>
            <w:tcW w:w="1190" w:type="dxa"/>
            <w:vAlign w:val="top"/>
          </w:tcPr>
          <w:p w14:paraId="69B3E459">
            <w:pPr>
              <w:spacing w:before="63" w:line="220" w:lineRule="auto"/>
              <w:ind w:left="286"/>
              <w:rPr>
                <w:rFonts w:ascii="宋体" w:hAnsi="宋体" w:eastAsia="宋体" w:cs="宋体"/>
                <w:sz w:val="21"/>
                <w:szCs w:val="21"/>
              </w:rPr>
            </w:pPr>
            <w:r>
              <w:rPr>
                <w:rFonts w:ascii="宋体" w:hAnsi="宋体" w:eastAsia="宋体" w:cs="宋体"/>
                <w:spacing w:val="-3"/>
                <w:sz w:val="21"/>
                <w:szCs w:val="21"/>
              </w:rPr>
              <w:t>监测值</w:t>
            </w:r>
          </w:p>
        </w:tc>
        <w:tc>
          <w:tcPr>
            <w:tcW w:w="1191" w:type="dxa"/>
            <w:vAlign w:val="top"/>
          </w:tcPr>
          <w:p w14:paraId="4BBD035E">
            <w:pPr>
              <w:spacing w:before="63" w:line="220" w:lineRule="auto"/>
              <w:ind w:left="182"/>
              <w:rPr>
                <w:rFonts w:ascii="宋体" w:hAnsi="宋体" w:eastAsia="宋体" w:cs="宋体"/>
                <w:sz w:val="21"/>
                <w:szCs w:val="21"/>
              </w:rPr>
            </w:pPr>
            <w:r>
              <w:rPr>
                <w:rFonts w:ascii="宋体" w:hAnsi="宋体" w:eastAsia="宋体" w:cs="宋体"/>
                <w:spacing w:val="-2"/>
                <w:sz w:val="21"/>
                <w:szCs w:val="21"/>
              </w:rPr>
              <w:t>质量指数</w:t>
            </w:r>
          </w:p>
        </w:tc>
        <w:tc>
          <w:tcPr>
            <w:tcW w:w="1190" w:type="dxa"/>
            <w:vAlign w:val="top"/>
          </w:tcPr>
          <w:p w14:paraId="11ADDB65">
            <w:pPr>
              <w:spacing w:before="63" w:line="220" w:lineRule="auto"/>
              <w:ind w:left="287"/>
              <w:rPr>
                <w:rFonts w:ascii="宋体" w:hAnsi="宋体" w:eastAsia="宋体" w:cs="宋体"/>
                <w:sz w:val="21"/>
                <w:szCs w:val="21"/>
              </w:rPr>
            </w:pPr>
            <w:r>
              <w:rPr>
                <w:rFonts w:ascii="宋体" w:hAnsi="宋体" w:eastAsia="宋体" w:cs="宋体"/>
                <w:spacing w:val="-3"/>
                <w:sz w:val="21"/>
                <w:szCs w:val="21"/>
              </w:rPr>
              <w:t>监测值</w:t>
            </w:r>
          </w:p>
        </w:tc>
        <w:tc>
          <w:tcPr>
            <w:tcW w:w="1193" w:type="dxa"/>
            <w:vAlign w:val="top"/>
          </w:tcPr>
          <w:p w14:paraId="2433B10E">
            <w:pPr>
              <w:spacing w:before="63" w:line="220" w:lineRule="auto"/>
              <w:ind w:left="182"/>
              <w:rPr>
                <w:rFonts w:ascii="宋体" w:hAnsi="宋体" w:eastAsia="宋体" w:cs="宋体"/>
                <w:sz w:val="21"/>
                <w:szCs w:val="21"/>
              </w:rPr>
            </w:pPr>
            <w:r>
              <w:rPr>
                <w:rFonts w:ascii="宋体" w:hAnsi="宋体" w:eastAsia="宋体" w:cs="宋体"/>
                <w:spacing w:val="-2"/>
                <w:sz w:val="21"/>
                <w:szCs w:val="21"/>
              </w:rPr>
              <w:t>质量指数</w:t>
            </w:r>
          </w:p>
        </w:tc>
      </w:tr>
      <w:tr w14:paraId="5D56F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618A7E51">
            <w:pPr>
              <w:pStyle w:val="6"/>
              <w:spacing w:before="97" w:line="167" w:lineRule="auto"/>
              <w:ind w:left="537"/>
              <w:rPr>
                <w:sz w:val="14"/>
                <w:szCs w:val="14"/>
              </w:rPr>
            </w:pPr>
            <w:r>
              <w:rPr>
                <w:spacing w:val="-3"/>
              </w:rPr>
              <w:t>Cl</w:t>
            </w:r>
            <w:r>
              <w:rPr>
                <w:spacing w:val="-3"/>
                <w:position w:val="9"/>
                <w:sz w:val="14"/>
                <w:szCs w:val="14"/>
              </w:rPr>
              <w:t>-</w:t>
            </w:r>
          </w:p>
        </w:tc>
        <w:tc>
          <w:tcPr>
            <w:tcW w:w="1074" w:type="dxa"/>
            <w:vAlign w:val="top"/>
          </w:tcPr>
          <w:p w14:paraId="12FDED76">
            <w:pPr>
              <w:pStyle w:val="6"/>
              <w:spacing w:before="101" w:line="188" w:lineRule="auto"/>
              <w:ind w:left="357"/>
            </w:pPr>
            <w:r>
              <w:rPr>
                <w:spacing w:val="-3"/>
              </w:rPr>
              <w:t>9.64</w:t>
            </w:r>
          </w:p>
        </w:tc>
        <w:tc>
          <w:tcPr>
            <w:tcW w:w="1193" w:type="dxa"/>
            <w:vAlign w:val="top"/>
          </w:tcPr>
          <w:p w14:paraId="013B5514">
            <w:pPr>
              <w:pStyle w:val="6"/>
              <w:spacing w:before="101" w:line="188" w:lineRule="auto"/>
              <w:ind w:left="363"/>
            </w:pPr>
            <w:r>
              <w:rPr>
                <w:spacing w:val="-2"/>
              </w:rPr>
              <w:t>0.038</w:t>
            </w:r>
          </w:p>
        </w:tc>
        <w:tc>
          <w:tcPr>
            <w:tcW w:w="1190" w:type="dxa"/>
            <w:vAlign w:val="top"/>
          </w:tcPr>
          <w:p w14:paraId="4B919559">
            <w:pPr>
              <w:pStyle w:val="6"/>
              <w:spacing w:before="101" w:line="188" w:lineRule="auto"/>
              <w:ind w:left="415"/>
            </w:pPr>
            <w:r>
              <w:rPr>
                <w:spacing w:val="-2"/>
              </w:rPr>
              <w:t>9.04</w:t>
            </w:r>
          </w:p>
        </w:tc>
        <w:tc>
          <w:tcPr>
            <w:tcW w:w="1191" w:type="dxa"/>
            <w:vAlign w:val="top"/>
          </w:tcPr>
          <w:p w14:paraId="1C604C62">
            <w:pPr>
              <w:pStyle w:val="6"/>
              <w:spacing w:before="101" w:line="188" w:lineRule="auto"/>
              <w:ind w:left="363"/>
            </w:pPr>
            <w:r>
              <w:rPr>
                <w:spacing w:val="-2"/>
              </w:rPr>
              <w:t>0.036</w:t>
            </w:r>
          </w:p>
        </w:tc>
        <w:tc>
          <w:tcPr>
            <w:tcW w:w="1190" w:type="dxa"/>
            <w:vAlign w:val="top"/>
          </w:tcPr>
          <w:p w14:paraId="2A9CEA88">
            <w:pPr>
              <w:pStyle w:val="6"/>
              <w:spacing w:before="101" w:line="188" w:lineRule="auto"/>
              <w:ind w:left="421"/>
            </w:pPr>
            <w:r>
              <w:rPr>
                <w:spacing w:val="-4"/>
              </w:rPr>
              <w:t>8.76</w:t>
            </w:r>
          </w:p>
        </w:tc>
        <w:tc>
          <w:tcPr>
            <w:tcW w:w="1193" w:type="dxa"/>
            <w:vAlign w:val="top"/>
          </w:tcPr>
          <w:p w14:paraId="2478F002">
            <w:pPr>
              <w:pStyle w:val="6"/>
              <w:spacing w:before="101" w:line="188" w:lineRule="auto"/>
              <w:ind w:left="363"/>
            </w:pPr>
            <w:r>
              <w:rPr>
                <w:spacing w:val="-2"/>
              </w:rPr>
              <w:t>0.035</w:t>
            </w:r>
          </w:p>
        </w:tc>
      </w:tr>
      <w:tr w14:paraId="6F9D3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30D47004">
            <w:pPr>
              <w:pStyle w:val="6"/>
              <w:spacing w:before="49" w:line="215" w:lineRule="auto"/>
              <w:ind w:left="437"/>
              <w:rPr>
                <w:sz w:val="14"/>
                <w:szCs w:val="14"/>
              </w:rPr>
            </w:pPr>
            <w:r>
              <w:rPr>
                <w:spacing w:val="-3"/>
                <w:position w:val="-1"/>
              </w:rPr>
              <w:t>SO</w:t>
            </w:r>
            <w:r>
              <w:rPr>
                <w:spacing w:val="-3"/>
                <w:position w:val="-4"/>
                <w:sz w:val="14"/>
                <w:szCs w:val="14"/>
              </w:rPr>
              <w:t>4</w:t>
            </w:r>
            <w:r>
              <w:rPr>
                <w:spacing w:val="-3"/>
                <w:position w:val="8"/>
                <w:sz w:val="14"/>
                <w:szCs w:val="14"/>
              </w:rPr>
              <w:t>2-</w:t>
            </w:r>
          </w:p>
        </w:tc>
        <w:tc>
          <w:tcPr>
            <w:tcW w:w="1074" w:type="dxa"/>
            <w:vAlign w:val="top"/>
          </w:tcPr>
          <w:p w14:paraId="7795C7ED">
            <w:pPr>
              <w:pStyle w:val="6"/>
              <w:spacing w:before="101" w:line="188" w:lineRule="auto"/>
              <w:ind w:left="403"/>
            </w:pPr>
            <w:r>
              <w:rPr>
                <w:spacing w:val="-11"/>
              </w:rPr>
              <w:t>110</w:t>
            </w:r>
          </w:p>
        </w:tc>
        <w:tc>
          <w:tcPr>
            <w:tcW w:w="1193" w:type="dxa"/>
            <w:vAlign w:val="top"/>
          </w:tcPr>
          <w:p w14:paraId="01D4DD2A">
            <w:pPr>
              <w:pStyle w:val="6"/>
              <w:spacing w:before="101" w:line="188" w:lineRule="auto"/>
              <w:ind w:left="416"/>
            </w:pPr>
            <w:r>
              <w:rPr>
                <w:spacing w:val="-2"/>
              </w:rPr>
              <w:t>0.44</w:t>
            </w:r>
          </w:p>
        </w:tc>
        <w:tc>
          <w:tcPr>
            <w:tcW w:w="1190" w:type="dxa"/>
            <w:vAlign w:val="top"/>
          </w:tcPr>
          <w:p w14:paraId="4EBB8776">
            <w:pPr>
              <w:pStyle w:val="6"/>
              <w:spacing w:before="101" w:line="188" w:lineRule="auto"/>
              <w:ind w:left="458"/>
            </w:pPr>
            <w:r>
              <w:rPr>
                <w:spacing w:val="-9"/>
              </w:rPr>
              <w:t>101</w:t>
            </w:r>
          </w:p>
        </w:tc>
        <w:tc>
          <w:tcPr>
            <w:tcW w:w="1191" w:type="dxa"/>
            <w:vAlign w:val="top"/>
          </w:tcPr>
          <w:p w14:paraId="367459A0">
            <w:pPr>
              <w:pStyle w:val="6"/>
              <w:spacing w:before="101" w:line="188" w:lineRule="auto"/>
              <w:ind w:left="416"/>
            </w:pPr>
            <w:r>
              <w:rPr>
                <w:spacing w:val="-2"/>
              </w:rPr>
              <w:t>0.41</w:t>
            </w:r>
          </w:p>
        </w:tc>
        <w:tc>
          <w:tcPr>
            <w:tcW w:w="1190" w:type="dxa"/>
            <w:vAlign w:val="top"/>
          </w:tcPr>
          <w:p w14:paraId="4F2E3863">
            <w:pPr>
              <w:pStyle w:val="6"/>
              <w:spacing w:before="101" w:line="188" w:lineRule="auto"/>
              <w:ind w:left="416"/>
            </w:pPr>
            <w:r>
              <w:rPr>
                <w:spacing w:val="-2"/>
              </w:rPr>
              <w:t>99.2</w:t>
            </w:r>
          </w:p>
        </w:tc>
        <w:tc>
          <w:tcPr>
            <w:tcW w:w="1193" w:type="dxa"/>
            <w:vAlign w:val="top"/>
          </w:tcPr>
          <w:p w14:paraId="28D778BC">
            <w:pPr>
              <w:pStyle w:val="6"/>
              <w:spacing w:before="101" w:line="188" w:lineRule="auto"/>
              <w:ind w:left="416"/>
            </w:pPr>
            <w:r>
              <w:rPr>
                <w:spacing w:val="-2"/>
              </w:rPr>
              <w:t>0.40</w:t>
            </w:r>
          </w:p>
        </w:tc>
      </w:tr>
      <w:tr w14:paraId="24DD7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Align w:val="top"/>
          </w:tcPr>
          <w:p w14:paraId="442111F2">
            <w:pPr>
              <w:spacing w:before="65" w:line="219" w:lineRule="auto"/>
              <w:ind w:left="242"/>
              <w:rPr>
                <w:rFonts w:ascii="宋体" w:hAnsi="宋体" w:eastAsia="宋体" w:cs="宋体"/>
                <w:sz w:val="21"/>
                <w:szCs w:val="21"/>
              </w:rPr>
            </w:pPr>
            <w:r>
              <w:rPr>
                <w:rFonts w:ascii="宋体" w:hAnsi="宋体" w:eastAsia="宋体" w:cs="宋体"/>
                <w:spacing w:val="-2"/>
                <w:sz w:val="21"/>
                <w:szCs w:val="21"/>
              </w:rPr>
              <w:t>硝酸盐氮</w:t>
            </w:r>
          </w:p>
        </w:tc>
        <w:tc>
          <w:tcPr>
            <w:tcW w:w="1074" w:type="dxa"/>
            <w:vAlign w:val="top"/>
          </w:tcPr>
          <w:p w14:paraId="4EA1828E">
            <w:pPr>
              <w:pStyle w:val="6"/>
              <w:spacing w:before="101" w:line="188" w:lineRule="auto"/>
              <w:ind w:left="352"/>
            </w:pPr>
            <w:r>
              <w:rPr>
                <w:spacing w:val="-1"/>
              </w:rPr>
              <w:t>4.41</w:t>
            </w:r>
          </w:p>
        </w:tc>
        <w:tc>
          <w:tcPr>
            <w:tcW w:w="1193" w:type="dxa"/>
            <w:vAlign w:val="top"/>
          </w:tcPr>
          <w:p w14:paraId="005B2C55">
            <w:pPr>
              <w:pStyle w:val="6"/>
              <w:spacing w:before="101" w:line="188" w:lineRule="auto"/>
              <w:ind w:left="416"/>
            </w:pPr>
            <w:r>
              <w:rPr>
                <w:spacing w:val="-2"/>
              </w:rPr>
              <w:t>0.22</w:t>
            </w:r>
          </w:p>
        </w:tc>
        <w:tc>
          <w:tcPr>
            <w:tcW w:w="1190" w:type="dxa"/>
            <w:vAlign w:val="top"/>
          </w:tcPr>
          <w:p w14:paraId="6C425B7C">
            <w:pPr>
              <w:pStyle w:val="6"/>
              <w:spacing w:before="101" w:line="188" w:lineRule="auto"/>
              <w:ind w:left="410"/>
            </w:pPr>
            <w:r>
              <w:rPr>
                <w:spacing w:val="-1"/>
              </w:rPr>
              <w:t>4.39</w:t>
            </w:r>
          </w:p>
        </w:tc>
        <w:tc>
          <w:tcPr>
            <w:tcW w:w="1191" w:type="dxa"/>
            <w:vAlign w:val="top"/>
          </w:tcPr>
          <w:p w14:paraId="038C7D90">
            <w:pPr>
              <w:pStyle w:val="6"/>
              <w:spacing w:before="101" w:line="188" w:lineRule="auto"/>
              <w:ind w:left="416"/>
            </w:pPr>
            <w:r>
              <w:rPr>
                <w:spacing w:val="-2"/>
              </w:rPr>
              <w:t>0.22</w:t>
            </w:r>
          </w:p>
        </w:tc>
        <w:tc>
          <w:tcPr>
            <w:tcW w:w="1190" w:type="dxa"/>
            <w:vAlign w:val="top"/>
          </w:tcPr>
          <w:p w14:paraId="62334E61">
            <w:pPr>
              <w:pStyle w:val="6"/>
              <w:spacing w:before="101" w:line="188" w:lineRule="auto"/>
              <w:ind w:left="411"/>
            </w:pPr>
            <w:r>
              <w:rPr>
                <w:spacing w:val="-1"/>
              </w:rPr>
              <w:t>4.32</w:t>
            </w:r>
          </w:p>
        </w:tc>
        <w:tc>
          <w:tcPr>
            <w:tcW w:w="1193" w:type="dxa"/>
            <w:vAlign w:val="top"/>
          </w:tcPr>
          <w:p w14:paraId="6E8A51C0">
            <w:pPr>
              <w:pStyle w:val="6"/>
              <w:spacing w:before="101" w:line="188" w:lineRule="auto"/>
              <w:ind w:left="416"/>
            </w:pPr>
            <w:r>
              <w:rPr>
                <w:spacing w:val="-2"/>
              </w:rPr>
              <w:t>0.21</w:t>
            </w:r>
          </w:p>
        </w:tc>
      </w:tr>
      <w:tr w14:paraId="01BBA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59C516CA">
            <w:pPr>
              <w:spacing w:before="65" w:line="219" w:lineRule="auto"/>
              <w:ind w:left="136"/>
              <w:rPr>
                <w:rFonts w:ascii="宋体" w:hAnsi="宋体" w:eastAsia="宋体" w:cs="宋体"/>
                <w:sz w:val="21"/>
                <w:szCs w:val="21"/>
              </w:rPr>
            </w:pPr>
            <w:r>
              <w:rPr>
                <w:rFonts w:ascii="宋体" w:hAnsi="宋体" w:eastAsia="宋体" w:cs="宋体"/>
                <w:spacing w:val="-2"/>
                <w:sz w:val="21"/>
                <w:szCs w:val="21"/>
              </w:rPr>
              <w:t>亚硝酸盐氮</w:t>
            </w:r>
          </w:p>
        </w:tc>
        <w:tc>
          <w:tcPr>
            <w:tcW w:w="1074" w:type="dxa"/>
            <w:vAlign w:val="top"/>
          </w:tcPr>
          <w:p w14:paraId="7A41D4C9">
            <w:pPr>
              <w:pStyle w:val="6"/>
              <w:spacing w:before="102" w:line="188" w:lineRule="auto"/>
              <w:ind w:left="239"/>
            </w:pPr>
            <w:r>
              <w:rPr>
                <w:spacing w:val="-2"/>
              </w:rPr>
              <w:t>0.016L</w:t>
            </w:r>
          </w:p>
        </w:tc>
        <w:tc>
          <w:tcPr>
            <w:tcW w:w="1193" w:type="dxa"/>
            <w:vAlign w:val="top"/>
          </w:tcPr>
          <w:p w14:paraId="62C83E57">
            <w:pPr>
              <w:pStyle w:val="6"/>
              <w:spacing w:before="98" w:line="192" w:lineRule="auto"/>
              <w:ind w:left="564"/>
            </w:pPr>
            <w:r>
              <w:t>/</w:t>
            </w:r>
          </w:p>
        </w:tc>
        <w:tc>
          <w:tcPr>
            <w:tcW w:w="1190" w:type="dxa"/>
            <w:vAlign w:val="top"/>
          </w:tcPr>
          <w:p w14:paraId="18D26701">
            <w:pPr>
              <w:pStyle w:val="6"/>
              <w:spacing w:before="102" w:line="188" w:lineRule="auto"/>
              <w:ind w:left="299"/>
            </w:pPr>
            <w:r>
              <w:rPr>
                <w:spacing w:val="-2"/>
              </w:rPr>
              <w:t>0.016L</w:t>
            </w:r>
          </w:p>
        </w:tc>
        <w:tc>
          <w:tcPr>
            <w:tcW w:w="1191" w:type="dxa"/>
            <w:vAlign w:val="top"/>
          </w:tcPr>
          <w:p w14:paraId="29F81AC6">
            <w:pPr>
              <w:pStyle w:val="6"/>
              <w:spacing w:before="98" w:line="192" w:lineRule="auto"/>
              <w:ind w:left="564"/>
            </w:pPr>
            <w:r>
              <w:t>/</w:t>
            </w:r>
          </w:p>
        </w:tc>
        <w:tc>
          <w:tcPr>
            <w:tcW w:w="1190" w:type="dxa"/>
            <w:vAlign w:val="top"/>
          </w:tcPr>
          <w:p w14:paraId="61752D3D">
            <w:pPr>
              <w:pStyle w:val="6"/>
              <w:spacing w:before="102" w:line="188" w:lineRule="auto"/>
              <w:ind w:left="300"/>
            </w:pPr>
            <w:r>
              <w:rPr>
                <w:spacing w:val="-2"/>
              </w:rPr>
              <w:t>0.016L</w:t>
            </w:r>
          </w:p>
        </w:tc>
        <w:tc>
          <w:tcPr>
            <w:tcW w:w="1193" w:type="dxa"/>
            <w:vAlign w:val="top"/>
          </w:tcPr>
          <w:p w14:paraId="5C1C252A">
            <w:pPr>
              <w:pStyle w:val="6"/>
              <w:spacing w:before="98" w:line="192" w:lineRule="auto"/>
              <w:ind w:left="563"/>
            </w:pPr>
            <w:r>
              <w:t>/</w:t>
            </w:r>
          </w:p>
        </w:tc>
      </w:tr>
      <w:tr w14:paraId="1831F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37DFF35C">
            <w:pPr>
              <w:spacing w:before="65" w:line="219" w:lineRule="auto"/>
              <w:ind w:left="346"/>
              <w:rPr>
                <w:rFonts w:ascii="宋体" w:hAnsi="宋体" w:eastAsia="宋体" w:cs="宋体"/>
                <w:sz w:val="21"/>
                <w:szCs w:val="21"/>
              </w:rPr>
            </w:pPr>
            <w:r>
              <w:rPr>
                <w:rFonts w:ascii="宋体" w:hAnsi="宋体" w:eastAsia="宋体" w:cs="宋体"/>
                <w:spacing w:val="-3"/>
                <w:sz w:val="21"/>
                <w:szCs w:val="21"/>
              </w:rPr>
              <w:t>耗氧量</w:t>
            </w:r>
          </w:p>
        </w:tc>
        <w:tc>
          <w:tcPr>
            <w:tcW w:w="1074" w:type="dxa"/>
            <w:vAlign w:val="top"/>
          </w:tcPr>
          <w:p w14:paraId="0AEC309A">
            <w:pPr>
              <w:pStyle w:val="6"/>
              <w:spacing w:before="102" w:line="188" w:lineRule="auto"/>
              <w:ind w:left="425"/>
            </w:pPr>
            <w:r>
              <w:rPr>
                <w:spacing w:val="-9"/>
              </w:rPr>
              <w:t>1.8</w:t>
            </w:r>
          </w:p>
        </w:tc>
        <w:tc>
          <w:tcPr>
            <w:tcW w:w="1193" w:type="dxa"/>
            <w:vAlign w:val="top"/>
          </w:tcPr>
          <w:p w14:paraId="1C6F3D18">
            <w:pPr>
              <w:pStyle w:val="6"/>
              <w:spacing w:before="102" w:line="188" w:lineRule="auto"/>
              <w:ind w:left="416"/>
            </w:pPr>
            <w:r>
              <w:rPr>
                <w:spacing w:val="-2"/>
              </w:rPr>
              <w:t>0.60</w:t>
            </w:r>
          </w:p>
        </w:tc>
        <w:tc>
          <w:tcPr>
            <w:tcW w:w="1190" w:type="dxa"/>
            <w:vAlign w:val="top"/>
          </w:tcPr>
          <w:p w14:paraId="0EDF5B8E">
            <w:pPr>
              <w:pStyle w:val="6"/>
              <w:spacing w:before="102" w:line="188" w:lineRule="auto"/>
              <w:ind w:left="484"/>
            </w:pPr>
            <w:r>
              <w:rPr>
                <w:spacing w:val="-8"/>
              </w:rPr>
              <w:t>1.6</w:t>
            </w:r>
          </w:p>
        </w:tc>
        <w:tc>
          <w:tcPr>
            <w:tcW w:w="1191" w:type="dxa"/>
            <w:vAlign w:val="top"/>
          </w:tcPr>
          <w:p w14:paraId="0B7C08C7">
            <w:pPr>
              <w:pStyle w:val="6"/>
              <w:spacing w:before="102" w:line="188" w:lineRule="auto"/>
              <w:ind w:left="415"/>
            </w:pPr>
            <w:r>
              <w:rPr>
                <w:spacing w:val="-2"/>
              </w:rPr>
              <w:t>0.53</w:t>
            </w:r>
          </w:p>
        </w:tc>
        <w:tc>
          <w:tcPr>
            <w:tcW w:w="1190" w:type="dxa"/>
            <w:vAlign w:val="top"/>
          </w:tcPr>
          <w:p w14:paraId="027DFB97">
            <w:pPr>
              <w:pStyle w:val="6"/>
              <w:spacing w:before="102" w:line="188" w:lineRule="auto"/>
              <w:ind w:left="485"/>
            </w:pPr>
            <w:r>
              <w:rPr>
                <w:spacing w:val="-8"/>
              </w:rPr>
              <w:t>1.8</w:t>
            </w:r>
          </w:p>
        </w:tc>
        <w:tc>
          <w:tcPr>
            <w:tcW w:w="1193" w:type="dxa"/>
            <w:vAlign w:val="top"/>
          </w:tcPr>
          <w:p w14:paraId="5EDD034E">
            <w:pPr>
              <w:pStyle w:val="6"/>
              <w:spacing w:before="102" w:line="188" w:lineRule="auto"/>
              <w:ind w:left="416"/>
            </w:pPr>
            <w:r>
              <w:rPr>
                <w:spacing w:val="-2"/>
              </w:rPr>
              <w:t>0.60</w:t>
            </w:r>
          </w:p>
        </w:tc>
      </w:tr>
      <w:tr w14:paraId="261F5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Align w:val="top"/>
          </w:tcPr>
          <w:p w14:paraId="0D9FCEBA">
            <w:pPr>
              <w:spacing w:before="66" w:line="219" w:lineRule="auto"/>
              <w:ind w:left="450"/>
              <w:rPr>
                <w:rFonts w:ascii="宋体" w:hAnsi="宋体" w:eastAsia="宋体" w:cs="宋体"/>
                <w:sz w:val="21"/>
                <w:szCs w:val="21"/>
              </w:rPr>
            </w:pPr>
            <w:r>
              <w:rPr>
                <w:rFonts w:ascii="宋体" w:hAnsi="宋体" w:eastAsia="宋体" w:cs="宋体"/>
                <w:spacing w:val="-3"/>
                <w:sz w:val="21"/>
                <w:szCs w:val="21"/>
              </w:rPr>
              <w:t>氨氮</w:t>
            </w:r>
          </w:p>
        </w:tc>
        <w:tc>
          <w:tcPr>
            <w:tcW w:w="1074" w:type="dxa"/>
            <w:vAlign w:val="top"/>
          </w:tcPr>
          <w:p w14:paraId="1C9D163D">
            <w:pPr>
              <w:pStyle w:val="6"/>
              <w:spacing w:before="102" w:line="188" w:lineRule="auto"/>
              <w:ind w:left="304"/>
            </w:pPr>
            <w:r>
              <w:rPr>
                <w:spacing w:val="-2"/>
              </w:rPr>
              <w:t>0.157</w:t>
            </w:r>
          </w:p>
        </w:tc>
        <w:tc>
          <w:tcPr>
            <w:tcW w:w="1193" w:type="dxa"/>
            <w:vAlign w:val="top"/>
          </w:tcPr>
          <w:p w14:paraId="7F9685D2">
            <w:pPr>
              <w:pStyle w:val="6"/>
              <w:spacing w:before="102" w:line="188" w:lineRule="auto"/>
              <w:ind w:left="416"/>
            </w:pPr>
            <w:r>
              <w:rPr>
                <w:spacing w:val="-2"/>
              </w:rPr>
              <w:t>0.32</w:t>
            </w:r>
          </w:p>
        </w:tc>
        <w:tc>
          <w:tcPr>
            <w:tcW w:w="1190" w:type="dxa"/>
            <w:vAlign w:val="top"/>
          </w:tcPr>
          <w:p w14:paraId="4AD85550">
            <w:pPr>
              <w:pStyle w:val="6"/>
              <w:spacing w:before="102" w:line="188" w:lineRule="auto"/>
              <w:ind w:left="361"/>
            </w:pPr>
            <w:r>
              <w:rPr>
                <w:spacing w:val="-2"/>
              </w:rPr>
              <w:t>0.189</w:t>
            </w:r>
          </w:p>
        </w:tc>
        <w:tc>
          <w:tcPr>
            <w:tcW w:w="1191" w:type="dxa"/>
            <w:vAlign w:val="top"/>
          </w:tcPr>
          <w:p w14:paraId="26DBDD28">
            <w:pPr>
              <w:pStyle w:val="6"/>
              <w:spacing w:before="102" w:line="188" w:lineRule="auto"/>
              <w:ind w:left="415"/>
            </w:pPr>
            <w:r>
              <w:rPr>
                <w:spacing w:val="-2"/>
              </w:rPr>
              <w:t>0.37</w:t>
            </w:r>
          </w:p>
        </w:tc>
        <w:tc>
          <w:tcPr>
            <w:tcW w:w="1190" w:type="dxa"/>
            <w:vAlign w:val="top"/>
          </w:tcPr>
          <w:p w14:paraId="73E4B839">
            <w:pPr>
              <w:pStyle w:val="6"/>
              <w:spacing w:before="102" w:line="188" w:lineRule="auto"/>
              <w:ind w:left="362"/>
            </w:pPr>
            <w:r>
              <w:rPr>
                <w:spacing w:val="-2"/>
              </w:rPr>
              <w:t>0.135</w:t>
            </w:r>
          </w:p>
        </w:tc>
        <w:tc>
          <w:tcPr>
            <w:tcW w:w="1193" w:type="dxa"/>
            <w:vAlign w:val="top"/>
          </w:tcPr>
          <w:p w14:paraId="5B89E9DC">
            <w:pPr>
              <w:pStyle w:val="6"/>
              <w:spacing w:before="102" w:line="188" w:lineRule="auto"/>
              <w:ind w:left="416"/>
            </w:pPr>
            <w:r>
              <w:rPr>
                <w:spacing w:val="-2"/>
              </w:rPr>
              <w:t>0.27</w:t>
            </w:r>
          </w:p>
        </w:tc>
      </w:tr>
      <w:tr w14:paraId="035DA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372A8955">
            <w:pPr>
              <w:spacing w:before="66" w:line="220" w:lineRule="auto"/>
              <w:ind w:left="350"/>
              <w:rPr>
                <w:rFonts w:ascii="宋体" w:hAnsi="宋体" w:eastAsia="宋体" w:cs="宋体"/>
                <w:sz w:val="21"/>
                <w:szCs w:val="21"/>
              </w:rPr>
            </w:pPr>
            <w:r>
              <w:rPr>
                <w:rFonts w:ascii="宋体" w:hAnsi="宋体" w:eastAsia="宋体" w:cs="宋体"/>
                <w:spacing w:val="-4"/>
                <w:sz w:val="21"/>
                <w:szCs w:val="21"/>
              </w:rPr>
              <w:t>总硬度</w:t>
            </w:r>
          </w:p>
        </w:tc>
        <w:tc>
          <w:tcPr>
            <w:tcW w:w="1074" w:type="dxa"/>
            <w:vAlign w:val="top"/>
          </w:tcPr>
          <w:p w14:paraId="4D9EA570">
            <w:pPr>
              <w:pStyle w:val="6"/>
              <w:spacing w:before="103" w:line="188" w:lineRule="auto"/>
              <w:ind w:left="380"/>
            </w:pPr>
            <w:r>
              <w:rPr>
                <w:spacing w:val="-2"/>
              </w:rPr>
              <w:t>228</w:t>
            </w:r>
          </w:p>
        </w:tc>
        <w:tc>
          <w:tcPr>
            <w:tcW w:w="1193" w:type="dxa"/>
            <w:vAlign w:val="top"/>
          </w:tcPr>
          <w:p w14:paraId="3E5344B7">
            <w:pPr>
              <w:pStyle w:val="6"/>
              <w:spacing w:before="103" w:line="188" w:lineRule="auto"/>
              <w:ind w:left="416"/>
            </w:pPr>
            <w:r>
              <w:rPr>
                <w:spacing w:val="-2"/>
              </w:rPr>
              <w:t>0.51</w:t>
            </w:r>
          </w:p>
        </w:tc>
        <w:tc>
          <w:tcPr>
            <w:tcW w:w="1190" w:type="dxa"/>
            <w:vAlign w:val="top"/>
          </w:tcPr>
          <w:p w14:paraId="0F81D7ED">
            <w:pPr>
              <w:pStyle w:val="6"/>
              <w:spacing w:before="103" w:line="188" w:lineRule="auto"/>
              <w:ind w:left="438"/>
            </w:pPr>
            <w:r>
              <w:rPr>
                <w:spacing w:val="-2"/>
              </w:rPr>
              <w:t>215</w:t>
            </w:r>
          </w:p>
        </w:tc>
        <w:tc>
          <w:tcPr>
            <w:tcW w:w="1191" w:type="dxa"/>
            <w:vAlign w:val="top"/>
          </w:tcPr>
          <w:p w14:paraId="47EE7B2D">
            <w:pPr>
              <w:pStyle w:val="6"/>
              <w:spacing w:before="103" w:line="188" w:lineRule="auto"/>
              <w:ind w:left="417"/>
            </w:pPr>
            <w:r>
              <w:rPr>
                <w:spacing w:val="-2"/>
              </w:rPr>
              <w:t>0.48</w:t>
            </w:r>
          </w:p>
        </w:tc>
        <w:tc>
          <w:tcPr>
            <w:tcW w:w="1190" w:type="dxa"/>
            <w:vAlign w:val="top"/>
          </w:tcPr>
          <w:p w14:paraId="4E4096FE">
            <w:pPr>
              <w:pStyle w:val="6"/>
              <w:spacing w:before="103" w:line="188" w:lineRule="auto"/>
              <w:ind w:left="439"/>
            </w:pPr>
            <w:r>
              <w:rPr>
                <w:spacing w:val="-2"/>
              </w:rPr>
              <w:t>206</w:t>
            </w:r>
          </w:p>
        </w:tc>
        <w:tc>
          <w:tcPr>
            <w:tcW w:w="1193" w:type="dxa"/>
            <w:vAlign w:val="top"/>
          </w:tcPr>
          <w:p w14:paraId="7F887B3B">
            <w:pPr>
              <w:pStyle w:val="6"/>
              <w:spacing w:before="103" w:line="188" w:lineRule="auto"/>
              <w:ind w:left="416"/>
            </w:pPr>
            <w:r>
              <w:rPr>
                <w:spacing w:val="-2"/>
              </w:rPr>
              <w:t>0.46</w:t>
            </w:r>
          </w:p>
        </w:tc>
      </w:tr>
      <w:tr w14:paraId="4FDCA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0A701A47">
            <w:pPr>
              <w:spacing w:before="67" w:line="220" w:lineRule="auto"/>
              <w:ind w:left="33"/>
              <w:rPr>
                <w:rFonts w:ascii="宋体" w:hAnsi="宋体" w:eastAsia="宋体" w:cs="宋体"/>
                <w:sz w:val="21"/>
                <w:szCs w:val="21"/>
              </w:rPr>
            </w:pPr>
            <w:r>
              <w:rPr>
                <w:rFonts w:ascii="宋体" w:hAnsi="宋体" w:eastAsia="宋体" w:cs="宋体"/>
                <w:spacing w:val="-2"/>
                <w:sz w:val="21"/>
                <w:szCs w:val="21"/>
              </w:rPr>
              <w:t>溶解性总固体</w:t>
            </w:r>
          </w:p>
        </w:tc>
        <w:tc>
          <w:tcPr>
            <w:tcW w:w="1074" w:type="dxa"/>
            <w:vAlign w:val="top"/>
          </w:tcPr>
          <w:p w14:paraId="59B50602">
            <w:pPr>
              <w:pStyle w:val="6"/>
              <w:spacing w:before="103" w:line="188" w:lineRule="auto"/>
              <w:ind w:left="379"/>
            </w:pPr>
            <w:r>
              <w:rPr>
                <w:spacing w:val="-2"/>
              </w:rPr>
              <w:t>482</w:t>
            </w:r>
          </w:p>
        </w:tc>
        <w:tc>
          <w:tcPr>
            <w:tcW w:w="1193" w:type="dxa"/>
            <w:vAlign w:val="top"/>
          </w:tcPr>
          <w:p w14:paraId="0402C292">
            <w:pPr>
              <w:pStyle w:val="6"/>
              <w:spacing w:before="103" w:line="188" w:lineRule="auto"/>
              <w:ind w:left="364"/>
            </w:pPr>
            <w:r>
              <w:rPr>
                <w:spacing w:val="-2"/>
              </w:rPr>
              <w:t>0.482</w:t>
            </w:r>
          </w:p>
        </w:tc>
        <w:tc>
          <w:tcPr>
            <w:tcW w:w="1190" w:type="dxa"/>
            <w:vAlign w:val="top"/>
          </w:tcPr>
          <w:p w14:paraId="33C265E3">
            <w:pPr>
              <w:pStyle w:val="6"/>
              <w:spacing w:before="103" w:line="188" w:lineRule="auto"/>
              <w:ind w:left="444"/>
            </w:pPr>
            <w:r>
              <w:rPr>
                <w:spacing w:val="-4"/>
              </w:rPr>
              <w:t>510</w:t>
            </w:r>
          </w:p>
        </w:tc>
        <w:tc>
          <w:tcPr>
            <w:tcW w:w="1191" w:type="dxa"/>
            <w:vAlign w:val="top"/>
          </w:tcPr>
          <w:p w14:paraId="5DE2C6EE">
            <w:pPr>
              <w:pStyle w:val="6"/>
              <w:spacing w:before="103" w:line="188" w:lineRule="auto"/>
              <w:ind w:left="417"/>
            </w:pPr>
            <w:r>
              <w:rPr>
                <w:spacing w:val="-2"/>
              </w:rPr>
              <w:t>0.51</w:t>
            </w:r>
          </w:p>
        </w:tc>
        <w:tc>
          <w:tcPr>
            <w:tcW w:w="1190" w:type="dxa"/>
            <w:vAlign w:val="top"/>
          </w:tcPr>
          <w:p w14:paraId="0C39D467">
            <w:pPr>
              <w:pStyle w:val="6"/>
              <w:spacing w:before="103" w:line="188" w:lineRule="auto"/>
              <w:ind w:left="438"/>
            </w:pPr>
            <w:r>
              <w:rPr>
                <w:spacing w:val="-2"/>
              </w:rPr>
              <w:t>478</w:t>
            </w:r>
          </w:p>
        </w:tc>
        <w:tc>
          <w:tcPr>
            <w:tcW w:w="1193" w:type="dxa"/>
            <w:vAlign w:val="top"/>
          </w:tcPr>
          <w:p w14:paraId="3610D3F8">
            <w:pPr>
              <w:pStyle w:val="6"/>
              <w:spacing w:before="103" w:line="188" w:lineRule="auto"/>
              <w:ind w:left="364"/>
            </w:pPr>
            <w:r>
              <w:rPr>
                <w:spacing w:val="-2"/>
              </w:rPr>
              <w:t>0.478</w:t>
            </w:r>
          </w:p>
        </w:tc>
      </w:tr>
      <w:tr w14:paraId="2AE30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Align w:val="top"/>
          </w:tcPr>
          <w:p w14:paraId="78F0D556">
            <w:pPr>
              <w:spacing w:before="66" w:line="220" w:lineRule="auto"/>
              <w:ind w:left="244"/>
              <w:rPr>
                <w:rFonts w:ascii="宋体" w:hAnsi="宋体" w:eastAsia="宋体" w:cs="宋体"/>
                <w:sz w:val="21"/>
                <w:szCs w:val="21"/>
              </w:rPr>
            </w:pPr>
            <w:r>
              <w:rPr>
                <w:rFonts w:ascii="宋体" w:hAnsi="宋体" w:eastAsia="宋体" w:cs="宋体"/>
                <w:spacing w:val="-3"/>
                <w:sz w:val="21"/>
                <w:szCs w:val="21"/>
              </w:rPr>
              <w:t>菌落总数</w:t>
            </w:r>
          </w:p>
        </w:tc>
        <w:tc>
          <w:tcPr>
            <w:tcW w:w="1074" w:type="dxa"/>
            <w:vAlign w:val="top"/>
          </w:tcPr>
          <w:p w14:paraId="47225320">
            <w:pPr>
              <w:pStyle w:val="6"/>
              <w:spacing w:before="106" w:line="185" w:lineRule="auto"/>
              <w:ind w:left="437"/>
            </w:pPr>
            <w:r>
              <w:rPr>
                <w:spacing w:val="-5"/>
              </w:rPr>
              <w:t>55</w:t>
            </w:r>
          </w:p>
        </w:tc>
        <w:tc>
          <w:tcPr>
            <w:tcW w:w="1193" w:type="dxa"/>
            <w:vAlign w:val="top"/>
          </w:tcPr>
          <w:p w14:paraId="7A5F0E4A">
            <w:pPr>
              <w:pStyle w:val="6"/>
              <w:spacing w:before="103" w:line="188" w:lineRule="auto"/>
              <w:ind w:left="417"/>
            </w:pPr>
            <w:r>
              <w:rPr>
                <w:spacing w:val="-2"/>
              </w:rPr>
              <w:t>0.55</w:t>
            </w:r>
          </w:p>
        </w:tc>
        <w:tc>
          <w:tcPr>
            <w:tcW w:w="1190" w:type="dxa"/>
            <w:vAlign w:val="top"/>
          </w:tcPr>
          <w:p w14:paraId="3E3DDF17">
            <w:pPr>
              <w:pStyle w:val="6"/>
              <w:spacing w:before="103" w:line="188" w:lineRule="auto"/>
              <w:ind w:left="496"/>
            </w:pPr>
            <w:r>
              <w:rPr>
                <w:spacing w:val="-5"/>
              </w:rPr>
              <w:t>62</w:t>
            </w:r>
          </w:p>
        </w:tc>
        <w:tc>
          <w:tcPr>
            <w:tcW w:w="1191" w:type="dxa"/>
            <w:vAlign w:val="top"/>
          </w:tcPr>
          <w:p w14:paraId="6B94E375">
            <w:pPr>
              <w:pStyle w:val="6"/>
              <w:spacing w:before="103" w:line="188" w:lineRule="auto"/>
              <w:ind w:left="417"/>
            </w:pPr>
            <w:r>
              <w:rPr>
                <w:spacing w:val="-2"/>
              </w:rPr>
              <w:t>0.62</w:t>
            </w:r>
          </w:p>
        </w:tc>
        <w:tc>
          <w:tcPr>
            <w:tcW w:w="1190" w:type="dxa"/>
            <w:vAlign w:val="top"/>
          </w:tcPr>
          <w:p w14:paraId="1C5BD8D9">
            <w:pPr>
              <w:pStyle w:val="6"/>
              <w:spacing w:before="103" w:line="188" w:lineRule="auto"/>
              <w:ind w:left="495"/>
            </w:pPr>
            <w:r>
              <w:rPr>
                <w:spacing w:val="-4"/>
              </w:rPr>
              <w:t>70</w:t>
            </w:r>
          </w:p>
        </w:tc>
        <w:tc>
          <w:tcPr>
            <w:tcW w:w="1193" w:type="dxa"/>
            <w:vAlign w:val="top"/>
          </w:tcPr>
          <w:p w14:paraId="209A5D11">
            <w:pPr>
              <w:pStyle w:val="6"/>
              <w:spacing w:before="103" w:line="188" w:lineRule="auto"/>
              <w:ind w:left="416"/>
            </w:pPr>
            <w:r>
              <w:rPr>
                <w:spacing w:val="-2"/>
              </w:rPr>
              <w:t>0.70</w:t>
            </w:r>
          </w:p>
        </w:tc>
      </w:tr>
      <w:tr w14:paraId="0C6B4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1CFC637E">
            <w:pPr>
              <w:spacing w:before="67" w:line="220" w:lineRule="auto"/>
              <w:ind w:left="140"/>
              <w:rPr>
                <w:rFonts w:ascii="宋体" w:hAnsi="宋体" w:eastAsia="宋体" w:cs="宋体"/>
                <w:sz w:val="21"/>
                <w:szCs w:val="21"/>
              </w:rPr>
            </w:pPr>
            <w:r>
              <w:rPr>
                <w:rFonts w:ascii="宋体" w:hAnsi="宋体" w:eastAsia="宋体" w:cs="宋体"/>
                <w:spacing w:val="-3"/>
                <w:sz w:val="21"/>
                <w:szCs w:val="21"/>
              </w:rPr>
              <w:t>总大肠菌群</w:t>
            </w:r>
          </w:p>
        </w:tc>
        <w:tc>
          <w:tcPr>
            <w:tcW w:w="1074" w:type="dxa"/>
            <w:vAlign w:val="top"/>
          </w:tcPr>
          <w:p w14:paraId="284F8CAF">
            <w:pPr>
              <w:pStyle w:val="6"/>
              <w:spacing w:before="104" w:line="188" w:lineRule="auto"/>
              <w:ind w:left="484"/>
            </w:pPr>
            <w:r>
              <w:t>2</w:t>
            </w:r>
          </w:p>
        </w:tc>
        <w:tc>
          <w:tcPr>
            <w:tcW w:w="1193" w:type="dxa"/>
            <w:vAlign w:val="top"/>
          </w:tcPr>
          <w:p w14:paraId="57BCD6A8">
            <w:pPr>
              <w:pStyle w:val="6"/>
              <w:spacing w:before="104" w:line="188" w:lineRule="auto"/>
              <w:ind w:left="416"/>
            </w:pPr>
            <w:r>
              <w:rPr>
                <w:spacing w:val="-2"/>
              </w:rPr>
              <w:t>0.67</w:t>
            </w:r>
          </w:p>
        </w:tc>
        <w:tc>
          <w:tcPr>
            <w:tcW w:w="1190" w:type="dxa"/>
            <w:vAlign w:val="top"/>
          </w:tcPr>
          <w:p w14:paraId="448CD207">
            <w:pPr>
              <w:pStyle w:val="6"/>
              <w:spacing w:before="104" w:line="188" w:lineRule="auto"/>
              <w:ind w:left="543"/>
            </w:pPr>
            <w:r>
              <w:t>2</w:t>
            </w:r>
          </w:p>
        </w:tc>
        <w:tc>
          <w:tcPr>
            <w:tcW w:w="1191" w:type="dxa"/>
            <w:vAlign w:val="top"/>
          </w:tcPr>
          <w:p w14:paraId="3265F251">
            <w:pPr>
              <w:pStyle w:val="6"/>
              <w:spacing w:before="104" w:line="188" w:lineRule="auto"/>
              <w:ind w:left="416"/>
            </w:pPr>
            <w:r>
              <w:rPr>
                <w:spacing w:val="-2"/>
              </w:rPr>
              <w:t>0.67</w:t>
            </w:r>
          </w:p>
        </w:tc>
        <w:tc>
          <w:tcPr>
            <w:tcW w:w="1190" w:type="dxa"/>
            <w:vAlign w:val="top"/>
          </w:tcPr>
          <w:p w14:paraId="170F2091">
            <w:pPr>
              <w:pStyle w:val="6"/>
              <w:spacing w:before="104" w:line="188" w:lineRule="auto"/>
              <w:ind w:left="544"/>
            </w:pPr>
            <w:r>
              <w:t>2</w:t>
            </w:r>
          </w:p>
        </w:tc>
        <w:tc>
          <w:tcPr>
            <w:tcW w:w="1193" w:type="dxa"/>
            <w:vAlign w:val="top"/>
          </w:tcPr>
          <w:p w14:paraId="1B1F2E65">
            <w:pPr>
              <w:pStyle w:val="6"/>
              <w:spacing w:before="104" w:line="188" w:lineRule="auto"/>
              <w:ind w:left="416"/>
            </w:pPr>
            <w:r>
              <w:rPr>
                <w:spacing w:val="-2"/>
              </w:rPr>
              <w:t>0.67</w:t>
            </w:r>
          </w:p>
        </w:tc>
      </w:tr>
      <w:tr w14:paraId="7F41B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19D7B12F">
            <w:pPr>
              <w:spacing w:before="68" w:line="220" w:lineRule="auto"/>
              <w:ind w:left="344"/>
              <w:rPr>
                <w:rFonts w:ascii="宋体" w:hAnsi="宋体" w:eastAsia="宋体" w:cs="宋体"/>
                <w:sz w:val="21"/>
                <w:szCs w:val="21"/>
              </w:rPr>
            </w:pPr>
            <w:r>
              <w:rPr>
                <w:rFonts w:ascii="宋体" w:hAnsi="宋体" w:eastAsia="宋体" w:cs="宋体"/>
                <w:spacing w:val="-2"/>
                <w:sz w:val="21"/>
                <w:szCs w:val="21"/>
              </w:rPr>
              <w:t>挥发酚</w:t>
            </w:r>
          </w:p>
        </w:tc>
        <w:tc>
          <w:tcPr>
            <w:tcW w:w="1074" w:type="dxa"/>
            <w:vAlign w:val="top"/>
          </w:tcPr>
          <w:p w14:paraId="77A0C330">
            <w:pPr>
              <w:pStyle w:val="6"/>
              <w:spacing w:before="104" w:line="188" w:lineRule="auto"/>
              <w:ind w:left="187"/>
            </w:pPr>
            <w:r>
              <w:rPr>
                <w:spacing w:val="-1"/>
              </w:rPr>
              <w:t>0.0003L</w:t>
            </w:r>
          </w:p>
        </w:tc>
        <w:tc>
          <w:tcPr>
            <w:tcW w:w="1193" w:type="dxa"/>
            <w:vAlign w:val="top"/>
          </w:tcPr>
          <w:p w14:paraId="5142DCBA">
            <w:pPr>
              <w:pStyle w:val="6"/>
              <w:spacing w:before="100" w:line="192" w:lineRule="auto"/>
              <w:ind w:left="564"/>
            </w:pPr>
            <w:r>
              <w:t>/</w:t>
            </w:r>
          </w:p>
        </w:tc>
        <w:tc>
          <w:tcPr>
            <w:tcW w:w="1190" w:type="dxa"/>
            <w:vAlign w:val="top"/>
          </w:tcPr>
          <w:p w14:paraId="6233EAD6">
            <w:pPr>
              <w:pStyle w:val="6"/>
              <w:spacing w:before="104" w:line="188" w:lineRule="auto"/>
              <w:ind w:left="246"/>
            </w:pPr>
            <w:r>
              <w:rPr>
                <w:spacing w:val="-1"/>
              </w:rPr>
              <w:t>0.0003L</w:t>
            </w:r>
          </w:p>
        </w:tc>
        <w:tc>
          <w:tcPr>
            <w:tcW w:w="1191" w:type="dxa"/>
            <w:vAlign w:val="top"/>
          </w:tcPr>
          <w:p w14:paraId="02E8BA87">
            <w:pPr>
              <w:pStyle w:val="6"/>
              <w:spacing w:before="100" w:line="192" w:lineRule="auto"/>
              <w:ind w:left="564"/>
            </w:pPr>
            <w:r>
              <w:t>/</w:t>
            </w:r>
          </w:p>
        </w:tc>
        <w:tc>
          <w:tcPr>
            <w:tcW w:w="1190" w:type="dxa"/>
            <w:vAlign w:val="top"/>
          </w:tcPr>
          <w:p w14:paraId="7E6F8BEA">
            <w:pPr>
              <w:pStyle w:val="6"/>
              <w:spacing w:before="104" w:line="188" w:lineRule="auto"/>
              <w:ind w:left="247"/>
            </w:pPr>
            <w:r>
              <w:rPr>
                <w:spacing w:val="-1"/>
              </w:rPr>
              <w:t>0.0003L</w:t>
            </w:r>
          </w:p>
        </w:tc>
        <w:tc>
          <w:tcPr>
            <w:tcW w:w="1193" w:type="dxa"/>
            <w:vAlign w:val="top"/>
          </w:tcPr>
          <w:p w14:paraId="1924A9EA">
            <w:pPr>
              <w:pStyle w:val="6"/>
              <w:spacing w:before="100" w:line="192" w:lineRule="auto"/>
              <w:ind w:left="563"/>
            </w:pPr>
            <w:r>
              <w:t>/</w:t>
            </w:r>
          </w:p>
        </w:tc>
      </w:tr>
      <w:tr w14:paraId="07C09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Align w:val="top"/>
          </w:tcPr>
          <w:p w14:paraId="03EA52EA">
            <w:pPr>
              <w:spacing w:before="67" w:line="220" w:lineRule="auto"/>
              <w:ind w:left="344"/>
              <w:rPr>
                <w:rFonts w:ascii="宋体" w:hAnsi="宋体" w:eastAsia="宋体" w:cs="宋体"/>
                <w:sz w:val="21"/>
                <w:szCs w:val="21"/>
              </w:rPr>
            </w:pPr>
            <w:r>
              <w:rPr>
                <w:rFonts w:ascii="宋体" w:hAnsi="宋体" w:eastAsia="宋体" w:cs="宋体"/>
                <w:spacing w:val="-2"/>
                <w:sz w:val="21"/>
                <w:szCs w:val="21"/>
              </w:rPr>
              <w:t>氰化物</w:t>
            </w:r>
          </w:p>
        </w:tc>
        <w:tc>
          <w:tcPr>
            <w:tcW w:w="1074" w:type="dxa"/>
            <w:vAlign w:val="top"/>
          </w:tcPr>
          <w:p w14:paraId="734A6C38">
            <w:pPr>
              <w:pStyle w:val="6"/>
              <w:spacing w:before="104" w:line="188" w:lineRule="auto"/>
              <w:ind w:left="239"/>
            </w:pPr>
            <w:r>
              <w:rPr>
                <w:spacing w:val="-2"/>
              </w:rPr>
              <w:t>0.002L</w:t>
            </w:r>
          </w:p>
        </w:tc>
        <w:tc>
          <w:tcPr>
            <w:tcW w:w="1193" w:type="dxa"/>
            <w:vAlign w:val="top"/>
          </w:tcPr>
          <w:p w14:paraId="28A31930">
            <w:pPr>
              <w:pStyle w:val="6"/>
              <w:spacing w:before="100" w:line="192" w:lineRule="auto"/>
              <w:ind w:left="564"/>
            </w:pPr>
            <w:r>
              <w:t>/</w:t>
            </w:r>
          </w:p>
        </w:tc>
        <w:tc>
          <w:tcPr>
            <w:tcW w:w="1190" w:type="dxa"/>
            <w:vAlign w:val="top"/>
          </w:tcPr>
          <w:p w14:paraId="484EFE13">
            <w:pPr>
              <w:pStyle w:val="6"/>
              <w:spacing w:before="104" w:line="188" w:lineRule="auto"/>
              <w:ind w:left="299"/>
            </w:pPr>
            <w:r>
              <w:rPr>
                <w:spacing w:val="-2"/>
              </w:rPr>
              <w:t>0.002L</w:t>
            </w:r>
          </w:p>
        </w:tc>
        <w:tc>
          <w:tcPr>
            <w:tcW w:w="1191" w:type="dxa"/>
            <w:vAlign w:val="top"/>
          </w:tcPr>
          <w:p w14:paraId="3596F0F2">
            <w:pPr>
              <w:pStyle w:val="6"/>
              <w:spacing w:before="100" w:line="192" w:lineRule="auto"/>
              <w:ind w:left="564"/>
            </w:pPr>
            <w:r>
              <w:t>/</w:t>
            </w:r>
          </w:p>
        </w:tc>
        <w:tc>
          <w:tcPr>
            <w:tcW w:w="1190" w:type="dxa"/>
            <w:vAlign w:val="top"/>
          </w:tcPr>
          <w:p w14:paraId="4423F02E">
            <w:pPr>
              <w:pStyle w:val="6"/>
              <w:spacing w:before="104" w:line="188" w:lineRule="auto"/>
              <w:ind w:left="300"/>
            </w:pPr>
            <w:r>
              <w:rPr>
                <w:spacing w:val="-2"/>
              </w:rPr>
              <w:t>0.002L</w:t>
            </w:r>
          </w:p>
        </w:tc>
        <w:tc>
          <w:tcPr>
            <w:tcW w:w="1193" w:type="dxa"/>
            <w:vAlign w:val="top"/>
          </w:tcPr>
          <w:p w14:paraId="07AB8CE7">
            <w:pPr>
              <w:pStyle w:val="6"/>
              <w:spacing w:before="100" w:line="192" w:lineRule="auto"/>
              <w:ind w:left="563"/>
            </w:pPr>
            <w:r>
              <w:t>/</w:t>
            </w:r>
          </w:p>
        </w:tc>
      </w:tr>
      <w:tr w14:paraId="7A66D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501F0877">
            <w:pPr>
              <w:spacing w:before="68" w:line="220" w:lineRule="auto"/>
              <w:ind w:left="346"/>
              <w:rPr>
                <w:rFonts w:ascii="宋体" w:hAnsi="宋体" w:eastAsia="宋体" w:cs="宋体"/>
                <w:sz w:val="21"/>
                <w:szCs w:val="21"/>
              </w:rPr>
            </w:pPr>
            <w:r>
              <w:rPr>
                <w:rFonts w:ascii="宋体" w:hAnsi="宋体" w:eastAsia="宋体" w:cs="宋体"/>
                <w:spacing w:val="-3"/>
                <w:sz w:val="21"/>
                <w:szCs w:val="21"/>
              </w:rPr>
              <w:t>氟化物</w:t>
            </w:r>
          </w:p>
        </w:tc>
        <w:tc>
          <w:tcPr>
            <w:tcW w:w="1074" w:type="dxa"/>
            <w:vAlign w:val="top"/>
          </w:tcPr>
          <w:p w14:paraId="1E0F67A1">
            <w:pPr>
              <w:pStyle w:val="6"/>
              <w:spacing w:before="105" w:line="188" w:lineRule="auto"/>
              <w:ind w:left="356"/>
            </w:pPr>
            <w:r>
              <w:rPr>
                <w:spacing w:val="-2"/>
              </w:rPr>
              <w:t>0.29</w:t>
            </w:r>
          </w:p>
        </w:tc>
        <w:tc>
          <w:tcPr>
            <w:tcW w:w="1193" w:type="dxa"/>
            <w:vAlign w:val="top"/>
          </w:tcPr>
          <w:p w14:paraId="7E17DC8D">
            <w:pPr>
              <w:pStyle w:val="6"/>
              <w:spacing w:before="105" w:line="188" w:lineRule="auto"/>
              <w:ind w:left="416"/>
            </w:pPr>
            <w:r>
              <w:rPr>
                <w:spacing w:val="-2"/>
              </w:rPr>
              <w:t>0.29</w:t>
            </w:r>
          </w:p>
        </w:tc>
        <w:tc>
          <w:tcPr>
            <w:tcW w:w="1190" w:type="dxa"/>
            <w:vAlign w:val="top"/>
          </w:tcPr>
          <w:p w14:paraId="78838CB1">
            <w:pPr>
              <w:pStyle w:val="6"/>
              <w:spacing w:before="105" w:line="188" w:lineRule="auto"/>
              <w:ind w:left="414"/>
            </w:pPr>
            <w:r>
              <w:rPr>
                <w:spacing w:val="-2"/>
              </w:rPr>
              <w:t>0.30</w:t>
            </w:r>
          </w:p>
        </w:tc>
        <w:tc>
          <w:tcPr>
            <w:tcW w:w="1191" w:type="dxa"/>
            <w:vAlign w:val="top"/>
          </w:tcPr>
          <w:p w14:paraId="5DBC8E33">
            <w:pPr>
              <w:pStyle w:val="6"/>
              <w:spacing w:before="105" w:line="188" w:lineRule="auto"/>
              <w:ind w:left="416"/>
            </w:pPr>
            <w:r>
              <w:rPr>
                <w:spacing w:val="-2"/>
              </w:rPr>
              <w:t>0.30</w:t>
            </w:r>
          </w:p>
        </w:tc>
        <w:tc>
          <w:tcPr>
            <w:tcW w:w="1190" w:type="dxa"/>
            <w:vAlign w:val="top"/>
          </w:tcPr>
          <w:p w14:paraId="791F48F7">
            <w:pPr>
              <w:pStyle w:val="6"/>
              <w:spacing w:before="105" w:line="188" w:lineRule="auto"/>
              <w:ind w:left="415"/>
            </w:pPr>
            <w:r>
              <w:rPr>
                <w:spacing w:val="-2"/>
              </w:rPr>
              <w:t>0.31</w:t>
            </w:r>
          </w:p>
        </w:tc>
        <w:tc>
          <w:tcPr>
            <w:tcW w:w="1193" w:type="dxa"/>
            <w:vAlign w:val="top"/>
          </w:tcPr>
          <w:p w14:paraId="3C5852DB">
            <w:pPr>
              <w:pStyle w:val="6"/>
              <w:spacing w:before="105" w:line="188" w:lineRule="auto"/>
              <w:ind w:left="416"/>
            </w:pPr>
            <w:r>
              <w:rPr>
                <w:spacing w:val="-2"/>
              </w:rPr>
              <w:t>0.31</w:t>
            </w:r>
          </w:p>
        </w:tc>
      </w:tr>
      <w:tr w14:paraId="1AFBD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73BE2C24">
            <w:pPr>
              <w:spacing w:before="69" w:line="220" w:lineRule="auto"/>
              <w:ind w:left="554"/>
              <w:rPr>
                <w:rFonts w:ascii="宋体" w:hAnsi="宋体" w:eastAsia="宋体" w:cs="宋体"/>
                <w:sz w:val="21"/>
                <w:szCs w:val="21"/>
              </w:rPr>
            </w:pPr>
            <w:r>
              <w:rPr>
                <w:rFonts w:ascii="宋体" w:hAnsi="宋体" w:eastAsia="宋体" w:cs="宋体"/>
                <w:sz w:val="21"/>
                <w:szCs w:val="21"/>
              </w:rPr>
              <w:t>砷</w:t>
            </w:r>
          </w:p>
        </w:tc>
        <w:tc>
          <w:tcPr>
            <w:tcW w:w="1074" w:type="dxa"/>
            <w:vAlign w:val="top"/>
          </w:tcPr>
          <w:p w14:paraId="5A13D6C3">
            <w:pPr>
              <w:pStyle w:val="6"/>
              <w:spacing w:before="53" w:line="215" w:lineRule="auto"/>
              <w:ind w:left="70"/>
            </w:pPr>
            <w:r>
              <w:rPr>
                <w:spacing w:val="-4"/>
                <w:position w:val="-1"/>
              </w:rPr>
              <w:t>0.</w:t>
            </w:r>
            <w:r>
              <w:rPr>
                <w:spacing w:val="-20"/>
                <w:position w:val="-1"/>
              </w:rPr>
              <w:t xml:space="preserve"> </w:t>
            </w:r>
            <w:r>
              <w:rPr>
                <w:spacing w:val="-4"/>
                <w:position w:val="-1"/>
              </w:rPr>
              <w:t>12×10</w:t>
            </w:r>
            <w:r>
              <w:rPr>
                <w:spacing w:val="-4"/>
                <w:position w:val="8"/>
                <w:sz w:val="14"/>
                <w:szCs w:val="14"/>
              </w:rPr>
              <w:t>-3</w:t>
            </w:r>
            <w:r>
              <w:rPr>
                <w:spacing w:val="-4"/>
                <w:position w:val="-1"/>
              </w:rPr>
              <w:t>L</w:t>
            </w:r>
          </w:p>
        </w:tc>
        <w:tc>
          <w:tcPr>
            <w:tcW w:w="1193" w:type="dxa"/>
            <w:vAlign w:val="top"/>
          </w:tcPr>
          <w:p w14:paraId="6263844A">
            <w:pPr>
              <w:pStyle w:val="6"/>
              <w:spacing w:before="101" w:line="192" w:lineRule="auto"/>
              <w:ind w:left="564"/>
            </w:pPr>
            <w:r>
              <w:t>/</w:t>
            </w:r>
          </w:p>
        </w:tc>
        <w:tc>
          <w:tcPr>
            <w:tcW w:w="1190" w:type="dxa"/>
            <w:vAlign w:val="top"/>
          </w:tcPr>
          <w:p w14:paraId="70E46399">
            <w:pPr>
              <w:pStyle w:val="6"/>
              <w:spacing w:before="53" w:line="215" w:lineRule="auto"/>
              <w:ind w:left="129"/>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191" w:type="dxa"/>
            <w:vAlign w:val="top"/>
          </w:tcPr>
          <w:p w14:paraId="55C8517D">
            <w:pPr>
              <w:pStyle w:val="6"/>
              <w:spacing w:before="101" w:line="192" w:lineRule="auto"/>
              <w:ind w:left="564"/>
            </w:pPr>
            <w:r>
              <w:t>/</w:t>
            </w:r>
          </w:p>
        </w:tc>
        <w:tc>
          <w:tcPr>
            <w:tcW w:w="1190" w:type="dxa"/>
            <w:vAlign w:val="top"/>
          </w:tcPr>
          <w:p w14:paraId="741045D8">
            <w:pPr>
              <w:pStyle w:val="6"/>
              <w:spacing w:before="53" w:line="215" w:lineRule="auto"/>
              <w:ind w:left="129"/>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193" w:type="dxa"/>
            <w:vAlign w:val="top"/>
          </w:tcPr>
          <w:p w14:paraId="3B982DD5">
            <w:pPr>
              <w:pStyle w:val="6"/>
              <w:spacing w:before="101" w:line="192" w:lineRule="auto"/>
              <w:ind w:left="563"/>
            </w:pPr>
            <w:r>
              <w:t>/</w:t>
            </w:r>
          </w:p>
        </w:tc>
      </w:tr>
      <w:tr w14:paraId="0DC48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Align w:val="top"/>
          </w:tcPr>
          <w:p w14:paraId="6CA53021">
            <w:pPr>
              <w:spacing w:before="69" w:line="220" w:lineRule="auto"/>
              <w:ind w:left="556"/>
              <w:rPr>
                <w:rFonts w:ascii="宋体" w:hAnsi="宋体" w:eastAsia="宋体" w:cs="宋体"/>
                <w:sz w:val="21"/>
                <w:szCs w:val="21"/>
              </w:rPr>
            </w:pPr>
            <w:r>
              <w:rPr>
                <w:rFonts w:ascii="宋体" w:hAnsi="宋体" w:eastAsia="宋体" w:cs="宋体"/>
                <w:sz w:val="21"/>
                <w:szCs w:val="21"/>
              </w:rPr>
              <w:t>汞</w:t>
            </w:r>
          </w:p>
        </w:tc>
        <w:tc>
          <w:tcPr>
            <w:tcW w:w="1074" w:type="dxa"/>
            <w:vAlign w:val="top"/>
          </w:tcPr>
          <w:p w14:paraId="0535B465">
            <w:pPr>
              <w:pStyle w:val="6"/>
              <w:spacing w:before="54" w:line="215" w:lineRule="auto"/>
              <w:ind w:left="133"/>
              <w:rPr>
                <w:sz w:val="14"/>
                <w:szCs w:val="14"/>
              </w:rPr>
            </w:pPr>
            <w:r>
              <w:rPr>
                <w:spacing w:val="-4"/>
                <w:position w:val="-1"/>
              </w:rPr>
              <w:t>0.</w:t>
            </w:r>
            <w:r>
              <w:rPr>
                <w:spacing w:val="-25"/>
                <w:position w:val="-1"/>
              </w:rPr>
              <w:t xml:space="preserve"> </w:t>
            </w:r>
            <w:r>
              <w:rPr>
                <w:spacing w:val="-4"/>
                <w:position w:val="-1"/>
              </w:rPr>
              <w:t>12×10</w:t>
            </w:r>
            <w:r>
              <w:rPr>
                <w:spacing w:val="-4"/>
                <w:position w:val="8"/>
                <w:sz w:val="14"/>
                <w:szCs w:val="14"/>
              </w:rPr>
              <w:t>-3</w:t>
            </w:r>
          </w:p>
        </w:tc>
        <w:tc>
          <w:tcPr>
            <w:tcW w:w="1193" w:type="dxa"/>
            <w:vAlign w:val="top"/>
          </w:tcPr>
          <w:p w14:paraId="1C100B26">
            <w:pPr>
              <w:pStyle w:val="6"/>
              <w:spacing w:before="105" w:line="188" w:lineRule="auto"/>
              <w:ind w:left="416"/>
            </w:pPr>
            <w:r>
              <w:rPr>
                <w:spacing w:val="-2"/>
              </w:rPr>
              <w:t>0.12</w:t>
            </w:r>
          </w:p>
        </w:tc>
        <w:tc>
          <w:tcPr>
            <w:tcW w:w="1190" w:type="dxa"/>
            <w:vAlign w:val="top"/>
          </w:tcPr>
          <w:p w14:paraId="432E2864">
            <w:pPr>
              <w:pStyle w:val="6"/>
              <w:spacing w:before="54" w:line="215" w:lineRule="auto"/>
              <w:ind w:left="192"/>
              <w:rPr>
                <w:sz w:val="14"/>
                <w:szCs w:val="14"/>
              </w:rPr>
            </w:pPr>
            <w:r>
              <w:rPr>
                <w:spacing w:val="-4"/>
                <w:position w:val="-1"/>
              </w:rPr>
              <w:t>0.</w:t>
            </w:r>
            <w:r>
              <w:rPr>
                <w:spacing w:val="-24"/>
                <w:position w:val="-1"/>
              </w:rPr>
              <w:t xml:space="preserve"> </w:t>
            </w:r>
            <w:r>
              <w:rPr>
                <w:spacing w:val="-4"/>
                <w:position w:val="-1"/>
              </w:rPr>
              <w:t>14×10</w:t>
            </w:r>
            <w:r>
              <w:rPr>
                <w:spacing w:val="-4"/>
                <w:position w:val="8"/>
                <w:sz w:val="14"/>
                <w:szCs w:val="14"/>
              </w:rPr>
              <w:t>-3</w:t>
            </w:r>
          </w:p>
        </w:tc>
        <w:tc>
          <w:tcPr>
            <w:tcW w:w="1191" w:type="dxa"/>
            <w:vAlign w:val="top"/>
          </w:tcPr>
          <w:p w14:paraId="17C8C7BD">
            <w:pPr>
              <w:pStyle w:val="6"/>
              <w:spacing w:before="105" w:line="188" w:lineRule="auto"/>
              <w:ind w:left="417"/>
            </w:pPr>
            <w:r>
              <w:rPr>
                <w:spacing w:val="-2"/>
              </w:rPr>
              <w:t>0.14</w:t>
            </w:r>
          </w:p>
        </w:tc>
        <w:tc>
          <w:tcPr>
            <w:tcW w:w="1190" w:type="dxa"/>
            <w:vAlign w:val="top"/>
          </w:tcPr>
          <w:p w14:paraId="6A936146">
            <w:pPr>
              <w:pStyle w:val="6"/>
              <w:spacing w:before="54" w:line="215" w:lineRule="auto"/>
              <w:ind w:left="193"/>
              <w:rPr>
                <w:sz w:val="14"/>
                <w:szCs w:val="14"/>
              </w:rPr>
            </w:pPr>
            <w:r>
              <w:rPr>
                <w:spacing w:val="-4"/>
                <w:position w:val="-1"/>
              </w:rPr>
              <w:t>0.</w:t>
            </w:r>
            <w:r>
              <w:rPr>
                <w:spacing w:val="-24"/>
                <w:position w:val="-1"/>
              </w:rPr>
              <w:t xml:space="preserve"> </w:t>
            </w:r>
            <w:r>
              <w:rPr>
                <w:spacing w:val="-4"/>
                <w:position w:val="-1"/>
              </w:rPr>
              <w:t>18×10</w:t>
            </w:r>
            <w:r>
              <w:rPr>
                <w:spacing w:val="-4"/>
                <w:position w:val="8"/>
                <w:sz w:val="14"/>
                <w:szCs w:val="14"/>
              </w:rPr>
              <w:t>-3</w:t>
            </w:r>
          </w:p>
        </w:tc>
        <w:tc>
          <w:tcPr>
            <w:tcW w:w="1193" w:type="dxa"/>
            <w:vAlign w:val="top"/>
          </w:tcPr>
          <w:p w14:paraId="23000BF4">
            <w:pPr>
              <w:pStyle w:val="6"/>
              <w:spacing w:before="105" w:line="188" w:lineRule="auto"/>
              <w:ind w:left="416"/>
            </w:pPr>
            <w:r>
              <w:rPr>
                <w:spacing w:val="-2"/>
              </w:rPr>
              <w:t>0.18</w:t>
            </w:r>
          </w:p>
        </w:tc>
      </w:tr>
      <w:tr w14:paraId="1DD67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0" w:type="dxa"/>
            <w:vAlign w:val="top"/>
          </w:tcPr>
          <w:p w14:paraId="49FADE0E">
            <w:pPr>
              <w:spacing w:before="69" w:line="218" w:lineRule="auto"/>
              <w:ind w:left="346"/>
              <w:rPr>
                <w:rFonts w:ascii="宋体" w:hAnsi="宋体" w:eastAsia="宋体" w:cs="宋体"/>
                <w:sz w:val="21"/>
                <w:szCs w:val="21"/>
              </w:rPr>
            </w:pPr>
            <w:r>
              <w:rPr>
                <w:rFonts w:ascii="宋体" w:hAnsi="宋体" w:eastAsia="宋体" w:cs="宋体"/>
                <w:spacing w:val="-3"/>
                <w:sz w:val="21"/>
                <w:szCs w:val="21"/>
              </w:rPr>
              <w:t>六价铬</w:t>
            </w:r>
          </w:p>
        </w:tc>
        <w:tc>
          <w:tcPr>
            <w:tcW w:w="1074" w:type="dxa"/>
            <w:vAlign w:val="top"/>
          </w:tcPr>
          <w:p w14:paraId="7282B1DB">
            <w:pPr>
              <w:pStyle w:val="6"/>
              <w:spacing w:before="106" w:line="188" w:lineRule="auto"/>
              <w:ind w:left="239"/>
            </w:pPr>
            <w:r>
              <w:rPr>
                <w:spacing w:val="-2"/>
              </w:rPr>
              <w:t>0.004L</w:t>
            </w:r>
          </w:p>
        </w:tc>
        <w:tc>
          <w:tcPr>
            <w:tcW w:w="1193" w:type="dxa"/>
            <w:vAlign w:val="top"/>
          </w:tcPr>
          <w:p w14:paraId="77C4630F">
            <w:pPr>
              <w:pStyle w:val="6"/>
              <w:spacing w:before="102" w:line="192" w:lineRule="auto"/>
              <w:ind w:left="564"/>
            </w:pPr>
            <w:r>
              <w:t>/</w:t>
            </w:r>
          </w:p>
        </w:tc>
        <w:tc>
          <w:tcPr>
            <w:tcW w:w="1190" w:type="dxa"/>
            <w:vAlign w:val="top"/>
          </w:tcPr>
          <w:p w14:paraId="6DC06611">
            <w:pPr>
              <w:pStyle w:val="6"/>
              <w:spacing w:before="106" w:line="188" w:lineRule="auto"/>
              <w:ind w:left="299"/>
            </w:pPr>
            <w:r>
              <w:rPr>
                <w:spacing w:val="-2"/>
              </w:rPr>
              <w:t>0.004L</w:t>
            </w:r>
          </w:p>
        </w:tc>
        <w:tc>
          <w:tcPr>
            <w:tcW w:w="1191" w:type="dxa"/>
            <w:vAlign w:val="top"/>
          </w:tcPr>
          <w:p w14:paraId="76378538">
            <w:pPr>
              <w:pStyle w:val="6"/>
              <w:spacing w:before="102" w:line="192" w:lineRule="auto"/>
              <w:ind w:left="564"/>
            </w:pPr>
            <w:r>
              <w:t>/</w:t>
            </w:r>
          </w:p>
        </w:tc>
        <w:tc>
          <w:tcPr>
            <w:tcW w:w="1190" w:type="dxa"/>
            <w:vAlign w:val="top"/>
          </w:tcPr>
          <w:p w14:paraId="1EFF7391">
            <w:pPr>
              <w:pStyle w:val="6"/>
              <w:spacing w:before="106" w:line="188" w:lineRule="auto"/>
              <w:ind w:left="300"/>
            </w:pPr>
            <w:r>
              <w:rPr>
                <w:spacing w:val="-2"/>
              </w:rPr>
              <w:t>0.004L</w:t>
            </w:r>
          </w:p>
        </w:tc>
        <w:tc>
          <w:tcPr>
            <w:tcW w:w="1193" w:type="dxa"/>
            <w:vAlign w:val="top"/>
          </w:tcPr>
          <w:p w14:paraId="3A0C8D60">
            <w:pPr>
              <w:pStyle w:val="6"/>
              <w:spacing w:before="102" w:line="192" w:lineRule="auto"/>
              <w:ind w:left="563"/>
            </w:pPr>
            <w:r>
              <w:t>/</w:t>
            </w:r>
          </w:p>
        </w:tc>
      </w:tr>
      <w:tr w14:paraId="5253E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310" w:type="dxa"/>
            <w:vAlign w:val="top"/>
          </w:tcPr>
          <w:p w14:paraId="090CE411">
            <w:pPr>
              <w:spacing w:before="69" w:line="224" w:lineRule="auto"/>
              <w:ind w:left="555"/>
              <w:rPr>
                <w:rFonts w:ascii="宋体" w:hAnsi="宋体" w:eastAsia="宋体" w:cs="宋体"/>
                <w:sz w:val="21"/>
                <w:szCs w:val="21"/>
              </w:rPr>
            </w:pPr>
            <w:r>
              <w:rPr>
                <w:rFonts w:ascii="宋体" w:hAnsi="宋体" w:eastAsia="宋体" w:cs="宋体"/>
                <w:sz w:val="21"/>
                <w:szCs w:val="21"/>
              </w:rPr>
              <w:t>铅</w:t>
            </w:r>
          </w:p>
        </w:tc>
        <w:tc>
          <w:tcPr>
            <w:tcW w:w="1074" w:type="dxa"/>
            <w:vAlign w:val="top"/>
          </w:tcPr>
          <w:p w14:paraId="07FBA7F0">
            <w:pPr>
              <w:pStyle w:val="6"/>
              <w:spacing w:before="54" w:line="215" w:lineRule="auto"/>
              <w:ind w:left="70"/>
            </w:pPr>
            <w:r>
              <w:rPr>
                <w:spacing w:val="-1"/>
                <w:position w:val="-1"/>
              </w:rPr>
              <w:t>0.09×10</w:t>
            </w:r>
            <w:r>
              <w:rPr>
                <w:spacing w:val="-1"/>
                <w:position w:val="8"/>
                <w:sz w:val="14"/>
                <w:szCs w:val="14"/>
              </w:rPr>
              <w:t>-3</w:t>
            </w:r>
            <w:r>
              <w:rPr>
                <w:spacing w:val="-1"/>
                <w:position w:val="-1"/>
              </w:rPr>
              <w:t>L</w:t>
            </w:r>
          </w:p>
        </w:tc>
        <w:tc>
          <w:tcPr>
            <w:tcW w:w="1193" w:type="dxa"/>
            <w:vAlign w:val="top"/>
          </w:tcPr>
          <w:p w14:paraId="0FE68428">
            <w:pPr>
              <w:pStyle w:val="6"/>
              <w:spacing w:before="102" w:line="192" w:lineRule="auto"/>
              <w:ind w:left="564"/>
            </w:pPr>
            <w:r>
              <w:t>/</w:t>
            </w:r>
          </w:p>
        </w:tc>
        <w:tc>
          <w:tcPr>
            <w:tcW w:w="1190" w:type="dxa"/>
            <w:vAlign w:val="top"/>
          </w:tcPr>
          <w:p w14:paraId="7ECA5E01">
            <w:pPr>
              <w:pStyle w:val="6"/>
              <w:spacing w:before="54" w:line="215" w:lineRule="auto"/>
              <w:ind w:left="129"/>
            </w:pPr>
            <w:r>
              <w:rPr>
                <w:spacing w:val="-1"/>
                <w:position w:val="-1"/>
              </w:rPr>
              <w:t>0.09×10</w:t>
            </w:r>
            <w:r>
              <w:rPr>
                <w:spacing w:val="-1"/>
                <w:position w:val="8"/>
                <w:sz w:val="14"/>
                <w:szCs w:val="14"/>
              </w:rPr>
              <w:t>-3</w:t>
            </w:r>
            <w:r>
              <w:rPr>
                <w:spacing w:val="-1"/>
                <w:position w:val="-1"/>
              </w:rPr>
              <w:t>L</w:t>
            </w:r>
          </w:p>
        </w:tc>
        <w:tc>
          <w:tcPr>
            <w:tcW w:w="1191" w:type="dxa"/>
            <w:vAlign w:val="top"/>
          </w:tcPr>
          <w:p w14:paraId="34946168">
            <w:pPr>
              <w:pStyle w:val="6"/>
              <w:spacing w:before="102" w:line="192" w:lineRule="auto"/>
              <w:ind w:left="564"/>
            </w:pPr>
            <w:r>
              <w:t>/</w:t>
            </w:r>
          </w:p>
        </w:tc>
        <w:tc>
          <w:tcPr>
            <w:tcW w:w="1190" w:type="dxa"/>
            <w:vAlign w:val="top"/>
          </w:tcPr>
          <w:p w14:paraId="28C4A4ED">
            <w:pPr>
              <w:pStyle w:val="6"/>
              <w:spacing w:before="54" w:line="215" w:lineRule="auto"/>
              <w:ind w:left="129"/>
            </w:pPr>
            <w:r>
              <w:rPr>
                <w:spacing w:val="-1"/>
                <w:position w:val="-1"/>
              </w:rPr>
              <w:t>0.09×10</w:t>
            </w:r>
            <w:r>
              <w:rPr>
                <w:spacing w:val="-1"/>
                <w:position w:val="8"/>
                <w:sz w:val="14"/>
                <w:szCs w:val="14"/>
              </w:rPr>
              <w:t>-3</w:t>
            </w:r>
            <w:r>
              <w:rPr>
                <w:spacing w:val="-1"/>
                <w:position w:val="-1"/>
              </w:rPr>
              <w:t>L</w:t>
            </w:r>
          </w:p>
        </w:tc>
        <w:tc>
          <w:tcPr>
            <w:tcW w:w="1193" w:type="dxa"/>
            <w:vAlign w:val="top"/>
          </w:tcPr>
          <w:p w14:paraId="0C64D8E2">
            <w:pPr>
              <w:pStyle w:val="6"/>
              <w:spacing w:before="102" w:line="192" w:lineRule="auto"/>
              <w:ind w:left="563"/>
            </w:pPr>
            <w:r>
              <w:t>/</w:t>
            </w:r>
          </w:p>
        </w:tc>
      </w:tr>
      <w:tr w14:paraId="022E3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0" w:type="dxa"/>
            <w:vAlign w:val="top"/>
          </w:tcPr>
          <w:p w14:paraId="764DBFF9">
            <w:pPr>
              <w:spacing w:before="69" w:line="222" w:lineRule="auto"/>
              <w:ind w:left="553"/>
              <w:rPr>
                <w:rFonts w:ascii="宋体" w:hAnsi="宋体" w:eastAsia="宋体" w:cs="宋体"/>
                <w:sz w:val="21"/>
                <w:szCs w:val="21"/>
              </w:rPr>
            </w:pPr>
            <w:r>
              <w:rPr>
                <w:rFonts w:ascii="宋体" w:hAnsi="宋体" w:eastAsia="宋体" w:cs="宋体"/>
                <w:sz w:val="21"/>
                <w:szCs w:val="21"/>
              </w:rPr>
              <w:t>镉</w:t>
            </w:r>
          </w:p>
        </w:tc>
        <w:tc>
          <w:tcPr>
            <w:tcW w:w="1074" w:type="dxa"/>
            <w:vAlign w:val="top"/>
          </w:tcPr>
          <w:p w14:paraId="02783899">
            <w:pPr>
              <w:pStyle w:val="6"/>
              <w:spacing w:before="54" w:line="215" w:lineRule="auto"/>
              <w:ind w:left="70"/>
            </w:pPr>
            <w:r>
              <w:rPr>
                <w:spacing w:val="-1"/>
                <w:position w:val="-1"/>
              </w:rPr>
              <w:t>0.05×10</w:t>
            </w:r>
            <w:r>
              <w:rPr>
                <w:spacing w:val="-1"/>
                <w:position w:val="8"/>
                <w:sz w:val="14"/>
                <w:szCs w:val="14"/>
              </w:rPr>
              <w:t>-3</w:t>
            </w:r>
            <w:r>
              <w:rPr>
                <w:spacing w:val="-1"/>
                <w:position w:val="-1"/>
              </w:rPr>
              <w:t>L</w:t>
            </w:r>
          </w:p>
        </w:tc>
        <w:tc>
          <w:tcPr>
            <w:tcW w:w="1193" w:type="dxa"/>
            <w:vAlign w:val="top"/>
          </w:tcPr>
          <w:p w14:paraId="3748A686">
            <w:pPr>
              <w:pStyle w:val="6"/>
              <w:spacing w:before="101" w:line="192" w:lineRule="auto"/>
              <w:ind w:left="564"/>
            </w:pPr>
            <w:r>
              <w:t>/</w:t>
            </w:r>
          </w:p>
        </w:tc>
        <w:tc>
          <w:tcPr>
            <w:tcW w:w="1190" w:type="dxa"/>
            <w:vAlign w:val="top"/>
          </w:tcPr>
          <w:p w14:paraId="5FEE523F">
            <w:pPr>
              <w:pStyle w:val="6"/>
              <w:spacing w:before="54" w:line="215" w:lineRule="auto"/>
              <w:ind w:left="129"/>
            </w:pPr>
            <w:r>
              <w:rPr>
                <w:spacing w:val="-1"/>
                <w:position w:val="-1"/>
              </w:rPr>
              <w:t>0.05×10</w:t>
            </w:r>
            <w:r>
              <w:rPr>
                <w:spacing w:val="-1"/>
                <w:position w:val="8"/>
                <w:sz w:val="14"/>
                <w:szCs w:val="14"/>
              </w:rPr>
              <w:t>-3</w:t>
            </w:r>
            <w:r>
              <w:rPr>
                <w:spacing w:val="-1"/>
                <w:position w:val="-1"/>
              </w:rPr>
              <w:t>L</w:t>
            </w:r>
          </w:p>
        </w:tc>
        <w:tc>
          <w:tcPr>
            <w:tcW w:w="1191" w:type="dxa"/>
            <w:vAlign w:val="top"/>
          </w:tcPr>
          <w:p w14:paraId="77D25661">
            <w:pPr>
              <w:pStyle w:val="6"/>
              <w:spacing w:before="101" w:line="192" w:lineRule="auto"/>
              <w:ind w:left="564"/>
            </w:pPr>
            <w:r>
              <w:t>/</w:t>
            </w:r>
          </w:p>
        </w:tc>
        <w:tc>
          <w:tcPr>
            <w:tcW w:w="1190" w:type="dxa"/>
            <w:vAlign w:val="top"/>
          </w:tcPr>
          <w:p w14:paraId="7FB1B3F6">
            <w:pPr>
              <w:pStyle w:val="6"/>
              <w:spacing w:before="54" w:line="215" w:lineRule="auto"/>
              <w:ind w:left="129"/>
            </w:pPr>
            <w:r>
              <w:rPr>
                <w:spacing w:val="-1"/>
                <w:position w:val="-1"/>
              </w:rPr>
              <w:t>0.05×10</w:t>
            </w:r>
            <w:r>
              <w:rPr>
                <w:spacing w:val="-1"/>
                <w:position w:val="8"/>
                <w:sz w:val="14"/>
                <w:szCs w:val="14"/>
              </w:rPr>
              <w:t>-3</w:t>
            </w:r>
            <w:r>
              <w:rPr>
                <w:spacing w:val="-1"/>
                <w:position w:val="-1"/>
              </w:rPr>
              <w:t>L</w:t>
            </w:r>
          </w:p>
        </w:tc>
        <w:tc>
          <w:tcPr>
            <w:tcW w:w="1193" w:type="dxa"/>
            <w:vAlign w:val="top"/>
          </w:tcPr>
          <w:p w14:paraId="0B6FF45F">
            <w:pPr>
              <w:pStyle w:val="6"/>
              <w:spacing w:before="101" w:line="192" w:lineRule="auto"/>
              <w:ind w:left="563"/>
            </w:pPr>
            <w:r>
              <w:t>/</w:t>
            </w:r>
          </w:p>
        </w:tc>
      </w:tr>
      <w:tr w14:paraId="1896E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310" w:type="dxa"/>
            <w:vAlign w:val="top"/>
          </w:tcPr>
          <w:p w14:paraId="445A7970">
            <w:pPr>
              <w:spacing w:before="69" w:line="221" w:lineRule="auto"/>
              <w:ind w:left="554"/>
              <w:rPr>
                <w:rFonts w:ascii="宋体" w:hAnsi="宋体" w:eastAsia="宋体" w:cs="宋体"/>
                <w:sz w:val="21"/>
                <w:szCs w:val="21"/>
              </w:rPr>
            </w:pPr>
            <w:r>
              <w:rPr>
                <w:rFonts w:ascii="宋体" w:hAnsi="宋体" w:eastAsia="宋体" w:cs="宋体"/>
                <w:sz w:val="21"/>
                <w:szCs w:val="21"/>
              </w:rPr>
              <w:t>铁</w:t>
            </w:r>
          </w:p>
        </w:tc>
        <w:tc>
          <w:tcPr>
            <w:tcW w:w="1074" w:type="dxa"/>
            <w:vAlign w:val="top"/>
          </w:tcPr>
          <w:p w14:paraId="790BD436">
            <w:pPr>
              <w:pStyle w:val="6"/>
              <w:spacing w:before="54" w:line="215" w:lineRule="auto"/>
              <w:ind w:left="70"/>
            </w:pPr>
            <w:r>
              <w:rPr>
                <w:spacing w:val="-1"/>
                <w:position w:val="-1"/>
              </w:rPr>
              <w:t>0.82×10</w:t>
            </w:r>
            <w:r>
              <w:rPr>
                <w:spacing w:val="-1"/>
                <w:position w:val="8"/>
                <w:sz w:val="14"/>
                <w:szCs w:val="14"/>
              </w:rPr>
              <w:t>-3</w:t>
            </w:r>
            <w:r>
              <w:rPr>
                <w:spacing w:val="-1"/>
                <w:position w:val="-1"/>
              </w:rPr>
              <w:t>L</w:t>
            </w:r>
          </w:p>
        </w:tc>
        <w:tc>
          <w:tcPr>
            <w:tcW w:w="1193" w:type="dxa"/>
            <w:vAlign w:val="top"/>
          </w:tcPr>
          <w:p w14:paraId="6FBF4532">
            <w:pPr>
              <w:pStyle w:val="6"/>
              <w:spacing w:before="102" w:line="192" w:lineRule="auto"/>
              <w:ind w:left="564"/>
            </w:pPr>
            <w:r>
              <w:t>/</w:t>
            </w:r>
          </w:p>
        </w:tc>
        <w:tc>
          <w:tcPr>
            <w:tcW w:w="1190" w:type="dxa"/>
            <w:vAlign w:val="top"/>
          </w:tcPr>
          <w:p w14:paraId="4BF607D0">
            <w:pPr>
              <w:pStyle w:val="6"/>
              <w:spacing w:before="54" w:line="215" w:lineRule="auto"/>
              <w:ind w:left="129"/>
            </w:pPr>
            <w:r>
              <w:rPr>
                <w:spacing w:val="-1"/>
                <w:position w:val="-1"/>
              </w:rPr>
              <w:t>0.82×10</w:t>
            </w:r>
            <w:r>
              <w:rPr>
                <w:spacing w:val="-1"/>
                <w:position w:val="8"/>
                <w:sz w:val="14"/>
                <w:szCs w:val="14"/>
              </w:rPr>
              <w:t>-3</w:t>
            </w:r>
            <w:r>
              <w:rPr>
                <w:spacing w:val="-1"/>
                <w:position w:val="-1"/>
              </w:rPr>
              <w:t>L</w:t>
            </w:r>
          </w:p>
        </w:tc>
        <w:tc>
          <w:tcPr>
            <w:tcW w:w="1191" w:type="dxa"/>
            <w:vAlign w:val="top"/>
          </w:tcPr>
          <w:p w14:paraId="2DEED421">
            <w:pPr>
              <w:pStyle w:val="6"/>
              <w:spacing w:before="102" w:line="192" w:lineRule="auto"/>
              <w:ind w:left="564"/>
            </w:pPr>
            <w:r>
              <w:t>/</w:t>
            </w:r>
          </w:p>
        </w:tc>
        <w:tc>
          <w:tcPr>
            <w:tcW w:w="1190" w:type="dxa"/>
            <w:vAlign w:val="top"/>
          </w:tcPr>
          <w:p w14:paraId="6B97E150">
            <w:pPr>
              <w:pStyle w:val="6"/>
              <w:spacing w:before="54" w:line="215" w:lineRule="auto"/>
              <w:ind w:left="129"/>
            </w:pPr>
            <w:r>
              <w:rPr>
                <w:spacing w:val="-1"/>
                <w:position w:val="-1"/>
              </w:rPr>
              <w:t>0.82×10</w:t>
            </w:r>
            <w:r>
              <w:rPr>
                <w:spacing w:val="-1"/>
                <w:position w:val="8"/>
                <w:sz w:val="14"/>
                <w:szCs w:val="14"/>
              </w:rPr>
              <w:t>-3</w:t>
            </w:r>
            <w:r>
              <w:rPr>
                <w:spacing w:val="-1"/>
                <w:position w:val="-1"/>
              </w:rPr>
              <w:t>L</w:t>
            </w:r>
          </w:p>
        </w:tc>
        <w:tc>
          <w:tcPr>
            <w:tcW w:w="1193" w:type="dxa"/>
            <w:vAlign w:val="top"/>
          </w:tcPr>
          <w:p w14:paraId="628EDBF2">
            <w:pPr>
              <w:pStyle w:val="6"/>
              <w:spacing w:before="102" w:line="192" w:lineRule="auto"/>
              <w:ind w:left="563"/>
            </w:pPr>
            <w:r>
              <w:t>/</w:t>
            </w:r>
          </w:p>
        </w:tc>
      </w:tr>
      <w:tr w14:paraId="5AC06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10" w:type="dxa"/>
            <w:vAlign w:val="top"/>
          </w:tcPr>
          <w:p w14:paraId="027FD564">
            <w:pPr>
              <w:spacing w:before="69" w:line="226" w:lineRule="auto"/>
              <w:ind w:left="555"/>
              <w:rPr>
                <w:rFonts w:ascii="宋体" w:hAnsi="宋体" w:eastAsia="宋体" w:cs="宋体"/>
                <w:sz w:val="21"/>
                <w:szCs w:val="21"/>
              </w:rPr>
            </w:pPr>
            <w:r>
              <w:rPr>
                <w:rFonts w:ascii="宋体" w:hAnsi="宋体" w:eastAsia="宋体" w:cs="宋体"/>
                <w:sz w:val="21"/>
                <w:szCs w:val="21"/>
              </w:rPr>
              <w:t>锰</w:t>
            </w:r>
          </w:p>
        </w:tc>
        <w:tc>
          <w:tcPr>
            <w:tcW w:w="1074" w:type="dxa"/>
            <w:vAlign w:val="top"/>
          </w:tcPr>
          <w:p w14:paraId="44426285">
            <w:pPr>
              <w:pStyle w:val="6"/>
              <w:spacing w:before="53" w:line="215" w:lineRule="auto"/>
              <w:ind w:left="70"/>
            </w:pPr>
            <w:r>
              <w:rPr>
                <w:spacing w:val="-4"/>
                <w:position w:val="-1"/>
              </w:rPr>
              <w:t>0.</w:t>
            </w:r>
            <w:r>
              <w:rPr>
                <w:spacing w:val="-20"/>
                <w:position w:val="-1"/>
              </w:rPr>
              <w:t xml:space="preserve"> </w:t>
            </w:r>
            <w:r>
              <w:rPr>
                <w:spacing w:val="-4"/>
                <w:position w:val="-1"/>
              </w:rPr>
              <w:t>12×10</w:t>
            </w:r>
            <w:r>
              <w:rPr>
                <w:spacing w:val="-4"/>
                <w:position w:val="8"/>
                <w:sz w:val="14"/>
                <w:szCs w:val="14"/>
              </w:rPr>
              <w:t>-3</w:t>
            </w:r>
            <w:r>
              <w:rPr>
                <w:spacing w:val="-4"/>
                <w:position w:val="-1"/>
              </w:rPr>
              <w:t>L</w:t>
            </w:r>
          </w:p>
        </w:tc>
        <w:tc>
          <w:tcPr>
            <w:tcW w:w="1193" w:type="dxa"/>
            <w:vAlign w:val="top"/>
          </w:tcPr>
          <w:p w14:paraId="676E995B">
            <w:pPr>
              <w:pStyle w:val="6"/>
              <w:spacing w:before="101" w:line="192" w:lineRule="auto"/>
              <w:ind w:left="564"/>
            </w:pPr>
            <w:r>
              <w:t>/</w:t>
            </w:r>
          </w:p>
        </w:tc>
        <w:tc>
          <w:tcPr>
            <w:tcW w:w="1190" w:type="dxa"/>
            <w:vAlign w:val="top"/>
          </w:tcPr>
          <w:p w14:paraId="20CCCD6E">
            <w:pPr>
              <w:pStyle w:val="6"/>
              <w:spacing w:before="53" w:line="215" w:lineRule="auto"/>
              <w:ind w:left="129"/>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191" w:type="dxa"/>
            <w:vAlign w:val="top"/>
          </w:tcPr>
          <w:p w14:paraId="65DE7A43">
            <w:pPr>
              <w:pStyle w:val="6"/>
              <w:spacing w:before="101" w:line="192" w:lineRule="auto"/>
              <w:ind w:left="564"/>
            </w:pPr>
            <w:r>
              <w:t>/</w:t>
            </w:r>
          </w:p>
        </w:tc>
        <w:tc>
          <w:tcPr>
            <w:tcW w:w="1190" w:type="dxa"/>
            <w:vAlign w:val="top"/>
          </w:tcPr>
          <w:p w14:paraId="62749A56">
            <w:pPr>
              <w:pStyle w:val="6"/>
              <w:spacing w:before="53" w:line="215" w:lineRule="auto"/>
              <w:ind w:left="129"/>
            </w:pPr>
            <w:r>
              <w:rPr>
                <w:spacing w:val="-4"/>
                <w:position w:val="-1"/>
              </w:rPr>
              <w:t>0.</w:t>
            </w:r>
            <w:r>
              <w:rPr>
                <w:spacing w:val="-21"/>
                <w:position w:val="-1"/>
              </w:rPr>
              <w:t xml:space="preserve"> </w:t>
            </w:r>
            <w:r>
              <w:rPr>
                <w:spacing w:val="-4"/>
                <w:position w:val="-1"/>
              </w:rPr>
              <w:t>12×10</w:t>
            </w:r>
            <w:r>
              <w:rPr>
                <w:spacing w:val="-4"/>
                <w:position w:val="8"/>
                <w:sz w:val="14"/>
                <w:szCs w:val="14"/>
              </w:rPr>
              <w:t>-3</w:t>
            </w:r>
            <w:r>
              <w:rPr>
                <w:spacing w:val="-4"/>
                <w:position w:val="-1"/>
              </w:rPr>
              <w:t>L</w:t>
            </w:r>
          </w:p>
        </w:tc>
        <w:tc>
          <w:tcPr>
            <w:tcW w:w="1193" w:type="dxa"/>
            <w:vAlign w:val="top"/>
          </w:tcPr>
          <w:p w14:paraId="7F9B34B5">
            <w:pPr>
              <w:pStyle w:val="6"/>
              <w:spacing w:before="101" w:line="192" w:lineRule="auto"/>
              <w:ind w:left="563"/>
            </w:pPr>
            <w:r>
              <w:t>/</w:t>
            </w:r>
          </w:p>
        </w:tc>
      </w:tr>
    </w:tbl>
    <w:p w14:paraId="34CEC7DB">
      <w:pPr>
        <w:spacing w:before="234" w:line="362" w:lineRule="auto"/>
        <w:ind w:left="41" w:right="30" w:firstLine="478"/>
        <w:rPr>
          <w:rFonts w:ascii="宋体" w:hAnsi="宋体" w:eastAsia="宋体" w:cs="宋体"/>
          <w:sz w:val="24"/>
          <w:szCs w:val="24"/>
        </w:rPr>
      </w:pPr>
      <w:r>
        <w:rPr>
          <w:rFonts w:ascii="宋体" w:hAnsi="宋体" w:eastAsia="宋体" w:cs="宋体"/>
          <w:spacing w:val="-3"/>
          <w:sz w:val="24"/>
          <w:szCs w:val="24"/>
        </w:rPr>
        <w:t>通过评价结果可知，项目</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个地下水水质检测点</w:t>
      </w:r>
      <w:r>
        <w:rPr>
          <w:rFonts w:ascii="宋体" w:hAnsi="宋体" w:eastAsia="宋体" w:cs="宋体"/>
          <w:spacing w:val="-4"/>
          <w:sz w:val="24"/>
          <w:szCs w:val="24"/>
        </w:rPr>
        <w:t>，所有水质监测项目质量指</w:t>
      </w:r>
      <w:r>
        <w:rPr>
          <w:rFonts w:ascii="宋体" w:hAnsi="宋体" w:eastAsia="宋体" w:cs="宋体"/>
          <w:spacing w:val="-1"/>
          <w:sz w:val="24"/>
          <w:szCs w:val="24"/>
        </w:rPr>
        <w:t>数较低，未超出《地下水质量标准（</w:t>
      </w:r>
      <w:r>
        <w:rPr>
          <w:rFonts w:ascii="Times New Roman" w:hAnsi="Times New Roman" w:eastAsia="Times New Roman" w:cs="Times New Roman"/>
          <w:spacing w:val="-1"/>
          <w:sz w:val="24"/>
          <w:szCs w:val="24"/>
        </w:rPr>
        <w:t>GB/T14848-2017</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III </w:t>
      </w:r>
      <w:r>
        <w:rPr>
          <w:rFonts w:ascii="宋体" w:hAnsi="宋体" w:eastAsia="宋体" w:cs="宋体"/>
          <w:spacing w:val="-1"/>
          <w:sz w:val="24"/>
          <w:szCs w:val="24"/>
        </w:rPr>
        <w:t>类标准。</w:t>
      </w:r>
    </w:p>
    <w:p w14:paraId="377061B2">
      <w:pPr>
        <w:spacing w:before="163" w:line="220" w:lineRule="auto"/>
        <w:ind w:left="34"/>
        <w:rPr>
          <w:rFonts w:ascii="宋体" w:hAnsi="宋体" w:eastAsia="宋体" w:cs="宋体"/>
          <w:sz w:val="30"/>
          <w:szCs w:val="30"/>
        </w:rPr>
      </w:pPr>
      <w:r>
        <w:rPr>
          <w:rFonts w:ascii="Times New Roman" w:hAnsi="Times New Roman" w:eastAsia="Times New Roman" w:cs="Times New Roman"/>
          <w:b/>
          <w:bCs/>
          <w:spacing w:val="-4"/>
          <w:sz w:val="30"/>
          <w:szCs w:val="30"/>
        </w:rPr>
        <w:t>3.3.4</w:t>
      </w:r>
      <w:r>
        <w:rPr>
          <w:rFonts w:ascii="Times New Roman" w:hAnsi="Times New Roman" w:eastAsia="Times New Roman" w:cs="Times New Roman"/>
          <w:b/>
          <w:bCs/>
          <w:spacing w:val="13"/>
          <w:sz w:val="30"/>
          <w:szCs w:val="30"/>
        </w:rPr>
        <w:t xml:space="preserve">  </w:t>
      </w:r>
      <w:r>
        <w:rPr>
          <w:rFonts w:ascii="宋体" w:hAnsi="宋体" w:eastAsia="宋体" w:cs="宋体"/>
          <w:b/>
          <w:bCs/>
          <w:spacing w:val="-4"/>
          <w:sz w:val="30"/>
          <w:szCs w:val="30"/>
        </w:rPr>
        <w:t>声环境质量</w:t>
      </w:r>
    </w:p>
    <w:p w14:paraId="494C7D9B">
      <w:pPr>
        <w:pStyle w:val="2"/>
        <w:spacing w:line="257" w:lineRule="auto"/>
      </w:pPr>
    </w:p>
    <w:p w14:paraId="73EE4133">
      <w:pPr>
        <w:spacing w:before="78" w:line="220" w:lineRule="auto"/>
        <w:ind w:left="522"/>
        <w:rPr>
          <w:rFonts w:ascii="宋体" w:hAnsi="宋体" w:eastAsia="宋体" w:cs="宋体"/>
          <w:sz w:val="24"/>
          <w:szCs w:val="24"/>
        </w:rPr>
      </w:pPr>
      <w:r>
        <w:rPr>
          <w:rFonts w:ascii="宋体" w:hAnsi="宋体" w:eastAsia="宋体" w:cs="宋体"/>
          <w:spacing w:val="-2"/>
          <w:sz w:val="24"/>
          <w:szCs w:val="24"/>
        </w:rPr>
        <w:t>为了解区域声环境质量现状，对项目所在地的声环境现状进行了监测。</w:t>
      </w:r>
    </w:p>
    <w:p w14:paraId="3FA41D51">
      <w:pPr>
        <w:spacing w:before="196" w:line="222" w:lineRule="auto"/>
        <w:ind w:left="229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3.3-12  </w:t>
      </w:r>
      <w:r>
        <w:rPr>
          <w:rFonts w:ascii="黑体" w:hAnsi="黑体" w:eastAsia="黑体" w:cs="黑体"/>
          <w:spacing w:val="-1"/>
          <w:sz w:val="21"/>
          <w:szCs w:val="21"/>
        </w:rPr>
        <w:t>噪声监测点位及监测结果一览表</w:t>
      </w:r>
    </w:p>
    <w:p w14:paraId="1ACBC47F">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993"/>
        <w:gridCol w:w="2640"/>
        <w:gridCol w:w="1344"/>
        <w:gridCol w:w="1351"/>
      </w:tblGrid>
      <w:tr w14:paraId="16FFD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2" w:type="dxa"/>
            <w:vMerge w:val="restart"/>
            <w:tcBorders>
              <w:bottom w:val="nil"/>
            </w:tcBorders>
            <w:vAlign w:val="top"/>
          </w:tcPr>
          <w:p w14:paraId="5D061587">
            <w:pPr>
              <w:spacing w:before="243" w:line="220" w:lineRule="auto"/>
              <w:ind w:left="581"/>
              <w:rPr>
                <w:rFonts w:ascii="宋体" w:hAnsi="宋体" w:eastAsia="宋体" w:cs="宋体"/>
                <w:sz w:val="21"/>
                <w:szCs w:val="21"/>
              </w:rPr>
            </w:pPr>
            <w:r>
              <w:rPr>
                <w:rFonts w:ascii="宋体" w:hAnsi="宋体" w:eastAsia="宋体" w:cs="宋体"/>
                <w:spacing w:val="-2"/>
                <w:sz w:val="21"/>
                <w:szCs w:val="21"/>
              </w:rPr>
              <w:t>检测日期</w:t>
            </w:r>
          </w:p>
        </w:tc>
        <w:tc>
          <w:tcPr>
            <w:tcW w:w="993" w:type="dxa"/>
            <w:vMerge w:val="restart"/>
            <w:tcBorders>
              <w:bottom w:val="nil"/>
            </w:tcBorders>
            <w:vAlign w:val="top"/>
          </w:tcPr>
          <w:p w14:paraId="1DE93604">
            <w:pPr>
              <w:spacing w:before="243" w:line="220" w:lineRule="auto"/>
              <w:ind w:left="291"/>
              <w:rPr>
                <w:rFonts w:ascii="宋体" w:hAnsi="宋体" w:eastAsia="宋体" w:cs="宋体"/>
                <w:sz w:val="21"/>
                <w:szCs w:val="21"/>
              </w:rPr>
            </w:pPr>
            <w:r>
              <w:rPr>
                <w:rFonts w:ascii="宋体" w:hAnsi="宋体" w:eastAsia="宋体" w:cs="宋体"/>
                <w:spacing w:val="-3"/>
                <w:sz w:val="21"/>
                <w:szCs w:val="21"/>
              </w:rPr>
              <w:t>编号</w:t>
            </w:r>
          </w:p>
        </w:tc>
        <w:tc>
          <w:tcPr>
            <w:tcW w:w="2640" w:type="dxa"/>
            <w:vMerge w:val="restart"/>
            <w:tcBorders>
              <w:bottom w:val="nil"/>
            </w:tcBorders>
            <w:vAlign w:val="top"/>
          </w:tcPr>
          <w:p w14:paraId="766329C0">
            <w:pPr>
              <w:spacing w:before="243" w:line="220" w:lineRule="auto"/>
              <w:ind w:left="904"/>
              <w:rPr>
                <w:rFonts w:ascii="宋体" w:hAnsi="宋体" w:eastAsia="宋体" w:cs="宋体"/>
                <w:sz w:val="21"/>
                <w:szCs w:val="21"/>
              </w:rPr>
            </w:pPr>
            <w:r>
              <w:rPr>
                <w:rFonts w:ascii="宋体" w:hAnsi="宋体" w:eastAsia="宋体" w:cs="宋体"/>
                <w:spacing w:val="-2"/>
                <w:sz w:val="21"/>
                <w:szCs w:val="21"/>
              </w:rPr>
              <w:t>检测点位</w:t>
            </w:r>
          </w:p>
        </w:tc>
        <w:tc>
          <w:tcPr>
            <w:tcW w:w="2695" w:type="dxa"/>
            <w:gridSpan w:val="2"/>
            <w:vAlign w:val="top"/>
          </w:tcPr>
          <w:p w14:paraId="7851C903">
            <w:pPr>
              <w:pStyle w:val="6"/>
              <w:spacing w:before="69" w:line="212" w:lineRule="auto"/>
              <w:ind w:left="290"/>
              <w:rPr>
                <w:rFonts w:ascii="宋体" w:hAnsi="宋体" w:eastAsia="宋体" w:cs="宋体"/>
              </w:rPr>
            </w:pPr>
            <w:r>
              <w:rPr>
                <w:rFonts w:ascii="宋体" w:hAnsi="宋体" w:eastAsia="宋体" w:cs="宋体"/>
                <w:spacing w:val="-1"/>
              </w:rPr>
              <w:t>检测结果（</w:t>
            </w:r>
            <w:r>
              <w:rPr>
                <w:spacing w:val="-1"/>
              </w:rPr>
              <w:t>LeqdB(A)</w:t>
            </w:r>
            <w:r>
              <w:rPr>
                <w:rFonts w:ascii="宋体" w:hAnsi="宋体" w:eastAsia="宋体" w:cs="宋体"/>
                <w:spacing w:val="-1"/>
              </w:rPr>
              <w:t>）</w:t>
            </w:r>
          </w:p>
        </w:tc>
      </w:tr>
      <w:tr w14:paraId="4C539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92" w:type="dxa"/>
            <w:vMerge w:val="continue"/>
            <w:tcBorders>
              <w:top w:val="nil"/>
            </w:tcBorders>
            <w:vAlign w:val="top"/>
          </w:tcPr>
          <w:p w14:paraId="0E9B29E3">
            <w:pPr>
              <w:rPr>
                <w:rFonts w:ascii="Arial"/>
                <w:sz w:val="21"/>
              </w:rPr>
            </w:pPr>
          </w:p>
        </w:tc>
        <w:tc>
          <w:tcPr>
            <w:tcW w:w="993" w:type="dxa"/>
            <w:vMerge w:val="continue"/>
            <w:tcBorders>
              <w:top w:val="nil"/>
            </w:tcBorders>
            <w:vAlign w:val="top"/>
          </w:tcPr>
          <w:p w14:paraId="6BF2B602">
            <w:pPr>
              <w:rPr>
                <w:rFonts w:ascii="Arial"/>
                <w:sz w:val="21"/>
              </w:rPr>
            </w:pPr>
          </w:p>
        </w:tc>
        <w:tc>
          <w:tcPr>
            <w:tcW w:w="2640" w:type="dxa"/>
            <w:vMerge w:val="continue"/>
            <w:tcBorders>
              <w:top w:val="nil"/>
            </w:tcBorders>
            <w:vAlign w:val="top"/>
          </w:tcPr>
          <w:p w14:paraId="704A8958">
            <w:pPr>
              <w:rPr>
                <w:rFonts w:ascii="Arial"/>
                <w:sz w:val="21"/>
              </w:rPr>
            </w:pPr>
          </w:p>
        </w:tc>
        <w:tc>
          <w:tcPr>
            <w:tcW w:w="1344" w:type="dxa"/>
            <w:vAlign w:val="top"/>
          </w:tcPr>
          <w:p w14:paraId="01C8F626">
            <w:pPr>
              <w:spacing w:before="65" w:line="222" w:lineRule="auto"/>
              <w:ind w:left="467"/>
              <w:rPr>
                <w:rFonts w:ascii="宋体" w:hAnsi="宋体" w:eastAsia="宋体" w:cs="宋体"/>
                <w:sz w:val="21"/>
                <w:szCs w:val="21"/>
              </w:rPr>
            </w:pPr>
            <w:r>
              <w:rPr>
                <w:rFonts w:ascii="宋体" w:hAnsi="宋体" w:eastAsia="宋体" w:cs="宋体"/>
                <w:spacing w:val="-2"/>
                <w:sz w:val="21"/>
                <w:szCs w:val="21"/>
              </w:rPr>
              <w:t>昼间</w:t>
            </w:r>
          </w:p>
        </w:tc>
        <w:tc>
          <w:tcPr>
            <w:tcW w:w="1351" w:type="dxa"/>
            <w:vAlign w:val="top"/>
          </w:tcPr>
          <w:p w14:paraId="2759A528">
            <w:pPr>
              <w:spacing w:before="64" w:line="220" w:lineRule="auto"/>
              <w:ind w:left="473"/>
              <w:rPr>
                <w:rFonts w:ascii="宋体" w:hAnsi="宋体" w:eastAsia="宋体" w:cs="宋体"/>
                <w:sz w:val="21"/>
                <w:szCs w:val="21"/>
              </w:rPr>
            </w:pPr>
            <w:r>
              <w:rPr>
                <w:rFonts w:ascii="宋体" w:hAnsi="宋体" w:eastAsia="宋体" w:cs="宋体"/>
                <w:spacing w:val="-3"/>
                <w:sz w:val="21"/>
                <w:szCs w:val="21"/>
              </w:rPr>
              <w:t>夜间</w:t>
            </w:r>
          </w:p>
        </w:tc>
      </w:tr>
      <w:tr w14:paraId="5243E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restart"/>
            <w:tcBorders>
              <w:bottom w:val="nil"/>
            </w:tcBorders>
            <w:vAlign w:val="top"/>
          </w:tcPr>
          <w:p w14:paraId="754E7E9B">
            <w:pPr>
              <w:spacing w:line="260" w:lineRule="auto"/>
              <w:rPr>
                <w:rFonts w:ascii="Arial"/>
                <w:sz w:val="21"/>
              </w:rPr>
            </w:pPr>
          </w:p>
          <w:p w14:paraId="0E0002C4">
            <w:pPr>
              <w:spacing w:line="260" w:lineRule="auto"/>
              <w:rPr>
                <w:rFonts w:ascii="Arial"/>
                <w:sz w:val="21"/>
              </w:rPr>
            </w:pPr>
          </w:p>
          <w:p w14:paraId="7F49FD7B">
            <w:pPr>
              <w:spacing w:line="260" w:lineRule="auto"/>
              <w:rPr>
                <w:rFonts w:ascii="Arial"/>
                <w:sz w:val="21"/>
              </w:rPr>
            </w:pPr>
          </w:p>
          <w:p w14:paraId="0C792716">
            <w:pPr>
              <w:spacing w:line="260" w:lineRule="auto"/>
              <w:rPr>
                <w:rFonts w:ascii="Arial"/>
                <w:sz w:val="21"/>
              </w:rPr>
            </w:pPr>
          </w:p>
          <w:p w14:paraId="70ABF048">
            <w:pPr>
              <w:pStyle w:val="6"/>
              <w:spacing w:before="68" w:line="220" w:lineRule="auto"/>
              <w:ind w:left="184"/>
              <w:rPr>
                <w:rFonts w:ascii="宋体" w:hAnsi="宋体" w:eastAsia="宋体" w:cs="宋体"/>
              </w:rPr>
            </w:pPr>
            <w:r>
              <w:rPr>
                <w:spacing w:val="-5"/>
              </w:rPr>
              <w:t xml:space="preserve">2022 </w:t>
            </w:r>
            <w:r>
              <w:rPr>
                <w:rFonts w:ascii="宋体" w:hAnsi="宋体" w:eastAsia="宋体" w:cs="宋体"/>
                <w:spacing w:val="-5"/>
              </w:rPr>
              <w:t>年</w:t>
            </w:r>
            <w:r>
              <w:rPr>
                <w:rFonts w:ascii="宋体" w:hAnsi="宋体" w:eastAsia="宋体" w:cs="宋体"/>
                <w:spacing w:val="-27"/>
              </w:rPr>
              <w:t xml:space="preserve"> </w:t>
            </w:r>
            <w:r>
              <w:rPr>
                <w:spacing w:val="-5"/>
              </w:rPr>
              <w:t>12</w:t>
            </w:r>
            <w:r>
              <w:rPr>
                <w:spacing w:val="13"/>
                <w:w w:val="101"/>
              </w:rPr>
              <w:t xml:space="preserve"> </w:t>
            </w:r>
            <w:r>
              <w:rPr>
                <w:rFonts w:ascii="宋体" w:hAnsi="宋体" w:eastAsia="宋体" w:cs="宋体"/>
                <w:spacing w:val="-5"/>
              </w:rPr>
              <w:t>月</w:t>
            </w:r>
            <w:r>
              <w:rPr>
                <w:rFonts w:ascii="宋体" w:hAnsi="宋体" w:eastAsia="宋体" w:cs="宋体"/>
                <w:spacing w:val="-40"/>
              </w:rPr>
              <w:t xml:space="preserve"> </w:t>
            </w:r>
            <w:r>
              <w:rPr>
                <w:spacing w:val="-5"/>
              </w:rPr>
              <w:t xml:space="preserve">8  </w:t>
            </w:r>
            <w:r>
              <w:rPr>
                <w:rFonts w:ascii="宋体" w:hAnsi="宋体" w:eastAsia="宋体" w:cs="宋体"/>
                <w:spacing w:val="-5"/>
              </w:rPr>
              <w:t>日</w:t>
            </w:r>
          </w:p>
        </w:tc>
        <w:tc>
          <w:tcPr>
            <w:tcW w:w="993" w:type="dxa"/>
            <w:vAlign w:val="top"/>
          </w:tcPr>
          <w:p w14:paraId="53F12DA7">
            <w:pPr>
              <w:pStyle w:val="6"/>
              <w:spacing w:before="102" w:line="188" w:lineRule="auto"/>
              <w:ind w:left="411"/>
            </w:pPr>
            <w:r>
              <w:rPr>
                <w:spacing w:val="-6"/>
              </w:rPr>
              <w:t>1#</w:t>
            </w:r>
          </w:p>
        </w:tc>
        <w:tc>
          <w:tcPr>
            <w:tcW w:w="2640" w:type="dxa"/>
            <w:vAlign w:val="top"/>
          </w:tcPr>
          <w:p w14:paraId="7665D2F4">
            <w:pPr>
              <w:pStyle w:val="6"/>
              <w:spacing w:before="65" w:line="220" w:lineRule="auto"/>
              <w:ind w:left="538"/>
            </w:pPr>
            <w:r>
              <w:rPr>
                <w:rFonts w:ascii="宋体" w:hAnsi="宋体" w:eastAsia="宋体" w:cs="宋体"/>
                <w:spacing w:val="-3"/>
              </w:rPr>
              <w:t>项目东厂界外</w:t>
            </w:r>
            <w:r>
              <w:rPr>
                <w:rFonts w:ascii="宋体" w:hAnsi="宋体" w:eastAsia="宋体" w:cs="宋体"/>
                <w:spacing w:val="-26"/>
              </w:rPr>
              <w:t xml:space="preserve"> </w:t>
            </w:r>
            <w:r>
              <w:rPr>
                <w:spacing w:val="-3"/>
              </w:rPr>
              <w:t>1m</w:t>
            </w:r>
          </w:p>
        </w:tc>
        <w:tc>
          <w:tcPr>
            <w:tcW w:w="1344" w:type="dxa"/>
            <w:vAlign w:val="top"/>
          </w:tcPr>
          <w:p w14:paraId="7485AF18">
            <w:pPr>
              <w:pStyle w:val="6"/>
              <w:spacing w:before="105" w:line="185" w:lineRule="auto"/>
              <w:ind w:left="575"/>
            </w:pPr>
            <w:r>
              <w:rPr>
                <w:spacing w:val="-5"/>
              </w:rPr>
              <w:t>55</w:t>
            </w:r>
          </w:p>
        </w:tc>
        <w:tc>
          <w:tcPr>
            <w:tcW w:w="1351" w:type="dxa"/>
            <w:vAlign w:val="top"/>
          </w:tcPr>
          <w:p w14:paraId="763A2A8B">
            <w:pPr>
              <w:pStyle w:val="6"/>
              <w:spacing w:before="102" w:line="188" w:lineRule="auto"/>
              <w:ind w:left="570"/>
            </w:pPr>
            <w:r>
              <w:rPr>
                <w:spacing w:val="-1"/>
              </w:rPr>
              <w:t>45</w:t>
            </w:r>
          </w:p>
        </w:tc>
      </w:tr>
      <w:tr w14:paraId="35D96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bottom w:val="nil"/>
            </w:tcBorders>
            <w:vAlign w:val="top"/>
          </w:tcPr>
          <w:p w14:paraId="7DD97270">
            <w:pPr>
              <w:rPr>
                <w:rFonts w:ascii="Arial"/>
                <w:sz w:val="21"/>
              </w:rPr>
            </w:pPr>
          </w:p>
        </w:tc>
        <w:tc>
          <w:tcPr>
            <w:tcW w:w="993" w:type="dxa"/>
            <w:vAlign w:val="top"/>
          </w:tcPr>
          <w:p w14:paraId="7F937886">
            <w:pPr>
              <w:pStyle w:val="6"/>
              <w:spacing w:before="102" w:line="188" w:lineRule="auto"/>
              <w:ind w:left="391"/>
            </w:pPr>
            <w:r>
              <w:rPr>
                <w:spacing w:val="-1"/>
              </w:rPr>
              <w:t>2#</w:t>
            </w:r>
          </w:p>
        </w:tc>
        <w:tc>
          <w:tcPr>
            <w:tcW w:w="2640" w:type="dxa"/>
            <w:vAlign w:val="top"/>
          </w:tcPr>
          <w:p w14:paraId="16B64CB4">
            <w:pPr>
              <w:pStyle w:val="6"/>
              <w:spacing w:before="66" w:line="220" w:lineRule="auto"/>
              <w:ind w:left="538"/>
            </w:pPr>
            <w:r>
              <w:rPr>
                <w:rFonts w:ascii="宋体" w:hAnsi="宋体" w:eastAsia="宋体" w:cs="宋体"/>
                <w:spacing w:val="-3"/>
              </w:rPr>
              <w:t>项目南厂界外</w:t>
            </w:r>
            <w:r>
              <w:rPr>
                <w:rFonts w:ascii="宋体" w:hAnsi="宋体" w:eastAsia="宋体" w:cs="宋体"/>
                <w:spacing w:val="-26"/>
              </w:rPr>
              <w:t xml:space="preserve"> </w:t>
            </w:r>
            <w:r>
              <w:rPr>
                <w:spacing w:val="-3"/>
              </w:rPr>
              <w:t>1m</w:t>
            </w:r>
          </w:p>
        </w:tc>
        <w:tc>
          <w:tcPr>
            <w:tcW w:w="1344" w:type="dxa"/>
            <w:vAlign w:val="top"/>
          </w:tcPr>
          <w:p w14:paraId="74FB1A61">
            <w:pPr>
              <w:pStyle w:val="6"/>
              <w:spacing w:before="105" w:line="185" w:lineRule="auto"/>
              <w:ind w:left="575"/>
            </w:pPr>
            <w:r>
              <w:rPr>
                <w:spacing w:val="-5"/>
              </w:rPr>
              <w:t>55</w:t>
            </w:r>
          </w:p>
        </w:tc>
        <w:tc>
          <w:tcPr>
            <w:tcW w:w="1351" w:type="dxa"/>
            <w:vAlign w:val="top"/>
          </w:tcPr>
          <w:p w14:paraId="0D907E42">
            <w:pPr>
              <w:pStyle w:val="6"/>
              <w:spacing w:before="102" w:line="188" w:lineRule="auto"/>
              <w:ind w:left="570"/>
            </w:pPr>
            <w:r>
              <w:rPr>
                <w:spacing w:val="-1"/>
              </w:rPr>
              <w:t>44</w:t>
            </w:r>
          </w:p>
        </w:tc>
      </w:tr>
      <w:tr w14:paraId="75303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92" w:type="dxa"/>
            <w:vMerge w:val="continue"/>
            <w:tcBorders>
              <w:top w:val="nil"/>
              <w:bottom w:val="nil"/>
            </w:tcBorders>
            <w:vAlign w:val="top"/>
          </w:tcPr>
          <w:p w14:paraId="50324600">
            <w:pPr>
              <w:rPr>
                <w:rFonts w:ascii="Arial"/>
                <w:sz w:val="21"/>
              </w:rPr>
            </w:pPr>
          </w:p>
        </w:tc>
        <w:tc>
          <w:tcPr>
            <w:tcW w:w="993" w:type="dxa"/>
            <w:vAlign w:val="top"/>
          </w:tcPr>
          <w:p w14:paraId="20D14EB5">
            <w:pPr>
              <w:pStyle w:val="6"/>
              <w:spacing w:before="102" w:line="188" w:lineRule="auto"/>
              <w:ind w:left="396"/>
            </w:pPr>
            <w:r>
              <w:rPr>
                <w:spacing w:val="-3"/>
              </w:rPr>
              <w:t>3#</w:t>
            </w:r>
          </w:p>
        </w:tc>
        <w:tc>
          <w:tcPr>
            <w:tcW w:w="2640" w:type="dxa"/>
            <w:vAlign w:val="top"/>
          </w:tcPr>
          <w:p w14:paraId="27F78851">
            <w:pPr>
              <w:pStyle w:val="6"/>
              <w:spacing w:before="66" w:line="220" w:lineRule="auto"/>
              <w:ind w:left="538"/>
            </w:pPr>
            <w:r>
              <w:rPr>
                <w:rFonts w:ascii="宋体" w:hAnsi="宋体" w:eastAsia="宋体" w:cs="宋体"/>
                <w:spacing w:val="-3"/>
              </w:rPr>
              <w:t>项目西厂界外</w:t>
            </w:r>
            <w:r>
              <w:rPr>
                <w:rFonts w:ascii="宋体" w:hAnsi="宋体" w:eastAsia="宋体" w:cs="宋体"/>
                <w:spacing w:val="-26"/>
              </w:rPr>
              <w:t xml:space="preserve"> </w:t>
            </w:r>
            <w:r>
              <w:rPr>
                <w:spacing w:val="-3"/>
              </w:rPr>
              <w:t>1m</w:t>
            </w:r>
          </w:p>
        </w:tc>
        <w:tc>
          <w:tcPr>
            <w:tcW w:w="1344" w:type="dxa"/>
            <w:vAlign w:val="top"/>
          </w:tcPr>
          <w:p w14:paraId="02A8853E">
            <w:pPr>
              <w:pStyle w:val="6"/>
              <w:spacing w:before="102" w:line="188" w:lineRule="auto"/>
              <w:ind w:left="575"/>
            </w:pPr>
            <w:r>
              <w:rPr>
                <w:spacing w:val="-5"/>
              </w:rPr>
              <w:t>56</w:t>
            </w:r>
          </w:p>
        </w:tc>
        <w:tc>
          <w:tcPr>
            <w:tcW w:w="1351" w:type="dxa"/>
            <w:vAlign w:val="top"/>
          </w:tcPr>
          <w:p w14:paraId="7EC23611">
            <w:pPr>
              <w:pStyle w:val="6"/>
              <w:spacing w:before="102" w:line="188" w:lineRule="auto"/>
              <w:ind w:left="570"/>
            </w:pPr>
            <w:r>
              <w:rPr>
                <w:spacing w:val="-1"/>
              </w:rPr>
              <w:t>45</w:t>
            </w:r>
          </w:p>
        </w:tc>
      </w:tr>
      <w:tr w14:paraId="5DEF8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bottom w:val="nil"/>
            </w:tcBorders>
            <w:vAlign w:val="top"/>
          </w:tcPr>
          <w:p w14:paraId="704CDF56">
            <w:pPr>
              <w:rPr>
                <w:rFonts w:ascii="Arial"/>
                <w:sz w:val="21"/>
              </w:rPr>
            </w:pPr>
          </w:p>
        </w:tc>
        <w:tc>
          <w:tcPr>
            <w:tcW w:w="993" w:type="dxa"/>
            <w:vAlign w:val="top"/>
          </w:tcPr>
          <w:p w14:paraId="6635B33F">
            <w:pPr>
              <w:pStyle w:val="6"/>
              <w:spacing w:before="103" w:line="188" w:lineRule="auto"/>
              <w:ind w:left="390"/>
            </w:pPr>
            <w:r>
              <w:rPr>
                <w:spacing w:val="-1"/>
              </w:rPr>
              <w:t>4#</w:t>
            </w:r>
          </w:p>
        </w:tc>
        <w:tc>
          <w:tcPr>
            <w:tcW w:w="2640" w:type="dxa"/>
            <w:vAlign w:val="top"/>
          </w:tcPr>
          <w:p w14:paraId="6C41156A">
            <w:pPr>
              <w:pStyle w:val="6"/>
              <w:spacing w:before="66" w:line="220" w:lineRule="auto"/>
              <w:ind w:left="538"/>
            </w:pPr>
            <w:r>
              <w:rPr>
                <w:rFonts w:ascii="宋体" w:hAnsi="宋体" w:eastAsia="宋体" w:cs="宋体"/>
                <w:spacing w:val="-3"/>
              </w:rPr>
              <w:t>项目北厂界外</w:t>
            </w:r>
            <w:r>
              <w:rPr>
                <w:rFonts w:ascii="宋体" w:hAnsi="宋体" w:eastAsia="宋体" w:cs="宋体"/>
                <w:spacing w:val="-26"/>
              </w:rPr>
              <w:t xml:space="preserve"> </w:t>
            </w:r>
            <w:r>
              <w:rPr>
                <w:spacing w:val="-3"/>
              </w:rPr>
              <w:t>1m</w:t>
            </w:r>
          </w:p>
        </w:tc>
        <w:tc>
          <w:tcPr>
            <w:tcW w:w="1344" w:type="dxa"/>
            <w:vAlign w:val="top"/>
          </w:tcPr>
          <w:p w14:paraId="5BEA447F">
            <w:pPr>
              <w:pStyle w:val="6"/>
              <w:spacing w:before="103" w:line="188" w:lineRule="auto"/>
              <w:ind w:left="575"/>
            </w:pPr>
            <w:r>
              <w:rPr>
                <w:spacing w:val="-5"/>
              </w:rPr>
              <w:t>56</w:t>
            </w:r>
          </w:p>
        </w:tc>
        <w:tc>
          <w:tcPr>
            <w:tcW w:w="1351" w:type="dxa"/>
            <w:vAlign w:val="top"/>
          </w:tcPr>
          <w:p w14:paraId="45B300DD">
            <w:pPr>
              <w:pStyle w:val="6"/>
              <w:spacing w:before="103" w:line="188" w:lineRule="auto"/>
              <w:ind w:left="570"/>
            </w:pPr>
            <w:r>
              <w:rPr>
                <w:spacing w:val="-1"/>
              </w:rPr>
              <w:t>44</w:t>
            </w:r>
          </w:p>
        </w:tc>
      </w:tr>
      <w:tr w14:paraId="662D2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bottom w:val="nil"/>
            </w:tcBorders>
            <w:vAlign w:val="top"/>
          </w:tcPr>
          <w:p w14:paraId="67FF8D3F">
            <w:pPr>
              <w:rPr>
                <w:rFonts w:ascii="Arial"/>
                <w:sz w:val="21"/>
              </w:rPr>
            </w:pPr>
          </w:p>
        </w:tc>
        <w:tc>
          <w:tcPr>
            <w:tcW w:w="993" w:type="dxa"/>
            <w:vAlign w:val="top"/>
          </w:tcPr>
          <w:p w14:paraId="5F8BA7FE">
            <w:pPr>
              <w:pStyle w:val="6"/>
              <w:spacing w:before="103" w:line="188" w:lineRule="auto"/>
              <w:ind w:left="397"/>
            </w:pPr>
            <w:r>
              <w:rPr>
                <w:spacing w:val="-3"/>
              </w:rPr>
              <w:t>5#</w:t>
            </w:r>
          </w:p>
        </w:tc>
        <w:tc>
          <w:tcPr>
            <w:tcW w:w="2640" w:type="dxa"/>
            <w:vAlign w:val="top"/>
          </w:tcPr>
          <w:p w14:paraId="40C5C4C2">
            <w:pPr>
              <w:pStyle w:val="6"/>
              <w:spacing w:before="66" w:line="220" w:lineRule="auto"/>
              <w:ind w:left="459"/>
              <w:rPr>
                <w:rFonts w:ascii="宋体" w:hAnsi="宋体" w:eastAsia="宋体" w:cs="宋体"/>
              </w:rPr>
            </w:pPr>
            <w:r>
              <w:rPr>
                <w:rFonts w:ascii="宋体" w:hAnsi="宋体" w:eastAsia="宋体" w:cs="宋体"/>
                <w:spacing w:val="-2"/>
              </w:rPr>
              <w:t>项目东侧</w:t>
            </w:r>
            <w:r>
              <w:rPr>
                <w:rFonts w:ascii="宋体" w:hAnsi="宋体" w:eastAsia="宋体" w:cs="宋体"/>
                <w:spacing w:val="-42"/>
              </w:rPr>
              <w:t xml:space="preserve"> </w:t>
            </w:r>
            <w:r>
              <w:rPr>
                <w:spacing w:val="-2"/>
              </w:rPr>
              <w:t xml:space="preserve">44m </w:t>
            </w:r>
            <w:r>
              <w:rPr>
                <w:rFonts w:ascii="宋体" w:hAnsi="宋体" w:eastAsia="宋体" w:cs="宋体"/>
                <w:spacing w:val="-2"/>
              </w:rPr>
              <w:t>农户</w:t>
            </w:r>
          </w:p>
        </w:tc>
        <w:tc>
          <w:tcPr>
            <w:tcW w:w="1344" w:type="dxa"/>
            <w:vAlign w:val="top"/>
          </w:tcPr>
          <w:p w14:paraId="49139908">
            <w:pPr>
              <w:pStyle w:val="6"/>
              <w:spacing w:before="106" w:line="185" w:lineRule="auto"/>
              <w:ind w:left="575"/>
            </w:pPr>
            <w:r>
              <w:rPr>
                <w:spacing w:val="-5"/>
              </w:rPr>
              <w:t>55</w:t>
            </w:r>
          </w:p>
        </w:tc>
        <w:tc>
          <w:tcPr>
            <w:tcW w:w="1351" w:type="dxa"/>
            <w:vAlign w:val="top"/>
          </w:tcPr>
          <w:p w14:paraId="12795933">
            <w:pPr>
              <w:pStyle w:val="6"/>
              <w:spacing w:before="103" w:line="188" w:lineRule="auto"/>
              <w:ind w:left="570"/>
            </w:pPr>
            <w:r>
              <w:rPr>
                <w:spacing w:val="-2"/>
              </w:rPr>
              <w:t>46</w:t>
            </w:r>
          </w:p>
        </w:tc>
      </w:tr>
      <w:tr w14:paraId="795A9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2" w:type="dxa"/>
            <w:vMerge w:val="continue"/>
            <w:tcBorders>
              <w:top w:val="nil"/>
              <w:bottom w:val="nil"/>
            </w:tcBorders>
            <w:vAlign w:val="top"/>
          </w:tcPr>
          <w:p w14:paraId="3745AF67">
            <w:pPr>
              <w:rPr>
                <w:rFonts w:ascii="Arial"/>
                <w:sz w:val="21"/>
              </w:rPr>
            </w:pPr>
          </w:p>
        </w:tc>
        <w:tc>
          <w:tcPr>
            <w:tcW w:w="993" w:type="dxa"/>
            <w:vAlign w:val="top"/>
          </w:tcPr>
          <w:p w14:paraId="361A1483">
            <w:pPr>
              <w:pStyle w:val="6"/>
              <w:spacing w:before="103" w:line="188" w:lineRule="auto"/>
              <w:ind w:left="396"/>
            </w:pPr>
            <w:r>
              <w:rPr>
                <w:spacing w:val="-3"/>
              </w:rPr>
              <w:t>6#</w:t>
            </w:r>
          </w:p>
        </w:tc>
        <w:tc>
          <w:tcPr>
            <w:tcW w:w="2640" w:type="dxa"/>
            <w:vAlign w:val="top"/>
          </w:tcPr>
          <w:p w14:paraId="5D38A061">
            <w:pPr>
              <w:pStyle w:val="6"/>
              <w:spacing w:before="66" w:line="220" w:lineRule="auto"/>
              <w:ind w:left="302"/>
              <w:rPr>
                <w:rFonts w:ascii="宋体" w:hAnsi="宋体" w:eastAsia="宋体" w:cs="宋体"/>
              </w:rPr>
            </w:pPr>
            <w:r>
              <w:rPr>
                <w:rFonts w:ascii="宋体" w:hAnsi="宋体" w:eastAsia="宋体" w:cs="宋体"/>
                <w:spacing w:val="-3"/>
              </w:rPr>
              <w:t>项目东南侧</w:t>
            </w:r>
            <w:r>
              <w:rPr>
                <w:rFonts w:ascii="宋体" w:hAnsi="宋体" w:eastAsia="宋体" w:cs="宋体"/>
                <w:spacing w:val="-27"/>
              </w:rPr>
              <w:t xml:space="preserve"> </w:t>
            </w:r>
            <w:r>
              <w:rPr>
                <w:spacing w:val="-3"/>
              </w:rPr>
              <w:t xml:space="preserve">132m </w:t>
            </w:r>
            <w:r>
              <w:rPr>
                <w:rFonts w:ascii="宋体" w:hAnsi="宋体" w:eastAsia="宋体" w:cs="宋体"/>
                <w:spacing w:val="-3"/>
              </w:rPr>
              <w:t>农户</w:t>
            </w:r>
          </w:p>
        </w:tc>
        <w:tc>
          <w:tcPr>
            <w:tcW w:w="1344" w:type="dxa"/>
            <w:vAlign w:val="top"/>
          </w:tcPr>
          <w:p w14:paraId="6C279030">
            <w:pPr>
              <w:pStyle w:val="6"/>
              <w:spacing w:before="103" w:line="188" w:lineRule="auto"/>
              <w:ind w:left="575"/>
            </w:pPr>
            <w:r>
              <w:rPr>
                <w:spacing w:val="-5"/>
              </w:rPr>
              <w:t>54</w:t>
            </w:r>
          </w:p>
        </w:tc>
        <w:tc>
          <w:tcPr>
            <w:tcW w:w="1351" w:type="dxa"/>
            <w:vAlign w:val="top"/>
          </w:tcPr>
          <w:p w14:paraId="1A9A9667">
            <w:pPr>
              <w:pStyle w:val="6"/>
              <w:spacing w:before="103" w:line="188" w:lineRule="auto"/>
              <w:ind w:left="570"/>
            </w:pPr>
            <w:r>
              <w:rPr>
                <w:spacing w:val="-2"/>
              </w:rPr>
              <w:t>45</w:t>
            </w:r>
          </w:p>
        </w:tc>
      </w:tr>
      <w:tr w14:paraId="79D00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2" w:type="dxa"/>
            <w:vMerge w:val="continue"/>
            <w:tcBorders>
              <w:top w:val="nil"/>
            </w:tcBorders>
            <w:vAlign w:val="top"/>
          </w:tcPr>
          <w:p w14:paraId="693B82B3">
            <w:pPr>
              <w:rPr>
                <w:rFonts w:ascii="Arial"/>
                <w:sz w:val="21"/>
              </w:rPr>
            </w:pPr>
          </w:p>
        </w:tc>
        <w:tc>
          <w:tcPr>
            <w:tcW w:w="993" w:type="dxa"/>
            <w:vAlign w:val="top"/>
          </w:tcPr>
          <w:p w14:paraId="0EC5BDD2">
            <w:pPr>
              <w:pStyle w:val="6"/>
              <w:spacing w:before="105" w:line="188" w:lineRule="auto"/>
              <w:ind w:left="395"/>
            </w:pPr>
            <w:r>
              <w:rPr>
                <w:spacing w:val="-2"/>
              </w:rPr>
              <w:t>7#</w:t>
            </w:r>
          </w:p>
        </w:tc>
        <w:tc>
          <w:tcPr>
            <w:tcW w:w="2640" w:type="dxa"/>
            <w:vAlign w:val="top"/>
          </w:tcPr>
          <w:p w14:paraId="740B24D6">
            <w:pPr>
              <w:pStyle w:val="6"/>
              <w:spacing w:before="68" w:line="220" w:lineRule="auto"/>
              <w:ind w:left="355"/>
              <w:rPr>
                <w:rFonts w:ascii="宋体" w:hAnsi="宋体" w:eastAsia="宋体" w:cs="宋体"/>
              </w:rPr>
            </w:pPr>
            <w:r>
              <w:rPr>
                <w:rFonts w:ascii="宋体" w:hAnsi="宋体" w:eastAsia="宋体" w:cs="宋体"/>
                <w:spacing w:val="-3"/>
              </w:rPr>
              <w:t>项目西南侧</w:t>
            </w:r>
            <w:r>
              <w:rPr>
                <w:rFonts w:ascii="宋体" w:hAnsi="宋体" w:eastAsia="宋体" w:cs="宋体"/>
                <w:spacing w:val="-30"/>
              </w:rPr>
              <w:t xml:space="preserve"> </w:t>
            </w:r>
            <w:r>
              <w:rPr>
                <w:spacing w:val="-3"/>
              </w:rPr>
              <w:t xml:space="preserve">83m </w:t>
            </w:r>
            <w:r>
              <w:rPr>
                <w:rFonts w:ascii="宋体" w:hAnsi="宋体" w:eastAsia="宋体" w:cs="宋体"/>
                <w:spacing w:val="-3"/>
              </w:rPr>
              <w:t>农户</w:t>
            </w:r>
          </w:p>
        </w:tc>
        <w:tc>
          <w:tcPr>
            <w:tcW w:w="1344" w:type="dxa"/>
            <w:vAlign w:val="top"/>
          </w:tcPr>
          <w:p w14:paraId="6CB33C8C">
            <w:pPr>
              <w:pStyle w:val="6"/>
              <w:spacing w:before="108" w:line="185" w:lineRule="auto"/>
              <w:ind w:left="575"/>
            </w:pPr>
            <w:r>
              <w:rPr>
                <w:spacing w:val="-5"/>
              </w:rPr>
              <w:t>55</w:t>
            </w:r>
          </w:p>
        </w:tc>
        <w:tc>
          <w:tcPr>
            <w:tcW w:w="1351" w:type="dxa"/>
            <w:vAlign w:val="top"/>
          </w:tcPr>
          <w:p w14:paraId="182DBC3A">
            <w:pPr>
              <w:pStyle w:val="6"/>
              <w:spacing w:before="105" w:line="188" w:lineRule="auto"/>
              <w:ind w:left="570"/>
            </w:pPr>
            <w:r>
              <w:rPr>
                <w:spacing w:val="-2"/>
              </w:rPr>
              <w:t>45</w:t>
            </w:r>
          </w:p>
        </w:tc>
      </w:tr>
    </w:tbl>
    <w:p w14:paraId="79E91078">
      <w:pPr>
        <w:pStyle w:val="2"/>
      </w:pPr>
    </w:p>
    <w:p w14:paraId="431E2C7C">
      <w:pPr>
        <w:sectPr>
          <w:footerReference r:id="rId275" w:type="default"/>
          <w:pgSz w:w="11905" w:h="16840"/>
          <w:pgMar w:top="1168" w:right="1768" w:bottom="1409" w:left="1770" w:header="828" w:footer="1244" w:gutter="0"/>
          <w:cols w:space="720" w:num="1"/>
        </w:sectPr>
      </w:pPr>
    </w:p>
    <w:p w14:paraId="2A5D72C3">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993"/>
        <w:gridCol w:w="2640"/>
        <w:gridCol w:w="1344"/>
        <w:gridCol w:w="1351"/>
      </w:tblGrid>
      <w:tr w14:paraId="24BDB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2" w:type="dxa"/>
            <w:vMerge w:val="restart"/>
            <w:tcBorders>
              <w:bottom w:val="nil"/>
            </w:tcBorders>
            <w:vAlign w:val="top"/>
          </w:tcPr>
          <w:p w14:paraId="46834A1E">
            <w:pPr>
              <w:spacing w:before="243" w:line="220" w:lineRule="auto"/>
              <w:ind w:left="581"/>
              <w:rPr>
                <w:rFonts w:ascii="宋体" w:hAnsi="宋体" w:eastAsia="宋体" w:cs="宋体"/>
                <w:sz w:val="21"/>
                <w:szCs w:val="21"/>
              </w:rPr>
            </w:pPr>
            <w:r>
              <w:rPr>
                <w:rFonts w:ascii="宋体" w:hAnsi="宋体" w:eastAsia="宋体" w:cs="宋体"/>
                <w:spacing w:val="-2"/>
                <w:sz w:val="21"/>
                <w:szCs w:val="21"/>
              </w:rPr>
              <w:t>检测日期</w:t>
            </w:r>
          </w:p>
        </w:tc>
        <w:tc>
          <w:tcPr>
            <w:tcW w:w="993" w:type="dxa"/>
            <w:vMerge w:val="restart"/>
            <w:tcBorders>
              <w:bottom w:val="nil"/>
            </w:tcBorders>
            <w:vAlign w:val="top"/>
          </w:tcPr>
          <w:p w14:paraId="7E6204A7">
            <w:pPr>
              <w:spacing w:before="243" w:line="220" w:lineRule="auto"/>
              <w:ind w:left="291"/>
              <w:rPr>
                <w:rFonts w:ascii="宋体" w:hAnsi="宋体" w:eastAsia="宋体" w:cs="宋体"/>
                <w:sz w:val="21"/>
                <w:szCs w:val="21"/>
              </w:rPr>
            </w:pPr>
            <w:r>
              <w:rPr>
                <w:rFonts w:ascii="宋体" w:hAnsi="宋体" w:eastAsia="宋体" w:cs="宋体"/>
                <w:spacing w:val="-3"/>
                <w:sz w:val="21"/>
                <w:szCs w:val="21"/>
              </w:rPr>
              <w:t>编号</w:t>
            </w:r>
          </w:p>
        </w:tc>
        <w:tc>
          <w:tcPr>
            <w:tcW w:w="2640" w:type="dxa"/>
            <w:vMerge w:val="restart"/>
            <w:tcBorders>
              <w:bottom w:val="nil"/>
            </w:tcBorders>
            <w:vAlign w:val="top"/>
          </w:tcPr>
          <w:p w14:paraId="61421694">
            <w:pPr>
              <w:spacing w:before="243" w:line="220" w:lineRule="auto"/>
              <w:ind w:left="904"/>
              <w:rPr>
                <w:rFonts w:ascii="宋体" w:hAnsi="宋体" w:eastAsia="宋体" w:cs="宋体"/>
                <w:sz w:val="21"/>
                <w:szCs w:val="21"/>
              </w:rPr>
            </w:pPr>
            <w:r>
              <w:rPr>
                <w:rFonts w:ascii="宋体" w:hAnsi="宋体" w:eastAsia="宋体" w:cs="宋体"/>
                <w:spacing w:val="-2"/>
                <w:sz w:val="21"/>
                <w:szCs w:val="21"/>
              </w:rPr>
              <w:t>检测点位</w:t>
            </w:r>
          </w:p>
        </w:tc>
        <w:tc>
          <w:tcPr>
            <w:tcW w:w="2695" w:type="dxa"/>
            <w:gridSpan w:val="2"/>
            <w:vAlign w:val="top"/>
          </w:tcPr>
          <w:p w14:paraId="50CE7F35">
            <w:pPr>
              <w:pStyle w:val="6"/>
              <w:spacing w:before="69" w:line="212" w:lineRule="auto"/>
              <w:ind w:left="290"/>
              <w:rPr>
                <w:rFonts w:ascii="宋体" w:hAnsi="宋体" w:eastAsia="宋体" w:cs="宋体"/>
              </w:rPr>
            </w:pPr>
            <w:r>
              <w:rPr>
                <w:rFonts w:ascii="宋体" w:hAnsi="宋体" w:eastAsia="宋体" w:cs="宋体"/>
                <w:spacing w:val="-1"/>
              </w:rPr>
              <w:t>检测结果（</w:t>
            </w:r>
            <w:r>
              <w:rPr>
                <w:spacing w:val="-1"/>
              </w:rPr>
              <w:t>LeqdB(A)</w:t>
            </w:r>
            <w:r>
              <w:rPr>
                <w:rFonts w:ascii="宋体" w:hAnsi="宋体" w:eastAsia="宋体" w:cs="宋体"/>
                <w:spacing w:val="-1"/>
              </w:rPr>
              <w:t>）</w:t>
            </w:r>
          </w:p>
        </w:tc>
      </w:tr>
      <w:tr w14:paraId="760F4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92" w:type="dxa"/>
            <w:vMerge w:val="continue"/>
            <w:tcBorders>
              <w:top w:val="nil"/>
              <w:bottom w:val="nil"/>
            </w:tcBorders>
            <w:vAlign w:val="top"/>
          </w:tcPr>
          <w:p w14:paraId="46D01F18">
            <w:pPr>
              <w:rPr>
                <w:rFonts w:ascii="Arial"/>
                <w:sz w:val="21"/>
              </w:rPr>
            </w:pPr>
          </w:p>
        </w:tc>
        <w:tc>
          <w:tcPr>
            <w:tcW w:w="993" w:type="dxa"/>
            <w:vMerge w:val="continue"/>
            <w:tcBorders>
              <w:top w:val="nil"/>
            </w:tcBorders>
            <w:vAlign w:val="top"/>
          </w:tcPr>
          <w:p w14:paraId="5E906EB2">
            <w:pPr>
              <w:rPr>
                <w:rFonts w:ascii="Arial"/>
                <w:sz w:val="21"/>
              </w:rPr>
            </w:pPr>
          </w:p>
        </w:tc>
        <w:tc>
          <w:tcPr>
            <w:tcW w:w="2640" w:type="dxa"/>
            <w:vMerge w:val="continue"/>
            <w:tcBorders>
              <w:top w:val="nil"/>
            </w:tcBorders>
            <w:vAlign w:val="top"/>
          </w:tcPr>
          <w:p w14:paraId="741C2E6A">
            <w:pPr>
              <w:rPr>
                <w:rFonts w:ascii="Arial"/>
                <w:sz w:val="21"/>
              </w:rPr>
            </w:pPr>
          </w:p>
        </w:tc>
        <w:tc>
          <w:tcPr>
            <w:tcW w:w="1344" w:type="dxa"/>
            <w:vAlign w:val="top"/>
          </w:tcPr>
          <w:p w14:paraId="04DB1D37">
            <w:pPr>
              <w:spacing w:before="65" w:line="222" w:lineRule="auto"/>
              <w:ind w:left="467"/>
              <w:rPr>
                <w:rFonts w:ascii="宋体" w:hAnsi="宋体" w:eastAsia="宋体" w:cs="宋体"/>
                <w:sz w:val="21"/>
                <w:szCs w:val="21"/>
              </w:rPr>
            </w:pPr>
            <w:r>
              <w:rPr>
                <w:rFonts w:ascii="宋体" w:hAnsi="宋体" w:eastAsia="宋体" w:cs="宋体"/>
                <w:spacing w:val="-2"/>
                <w:sz w:val="21"/>
                <w:szCs w:val="21"/>
              </w:rPr>
              <w:t>昼间</w:t>
            </w:r>
          </w:p>
        </w:tc>
        <w:tc>
          <w:tcPr>
            <w:tcW w:w="1351" w:type="dxa"/>
            <w:vAlign w:val="top"/>
          </w:tcPr>
          <w:p w14:paraId="6869A68E">
            <w:pPr>
              <w:spacing w:before="64" w:line="220" w:lineRule="auto"/>
              <w:ind w:left="473"/>
              <w:rPr>
                <w:rFonts w:ascii="宋体" w:hAnsi="宋体" w:eastAsia="宋体" w:cs="宋体"/>
                <w:sz w:val="21"/>
                <w:szCs w:val="21"/>
              </w:rPr>
            </w:pPr>
            <w:r>
              <w:rPr>
                <w:rFonts w:ascii="宋体" w:hAnsi="宋体" w:eastAsia="宋体" w:cs="宋体"/>
                <w:spacing w:val="-3"/>
                <w:sz w:val="21"/>
                <w:szCs w:val="21"/>
              </w:rPr>
              <w:t>夜间</w:t>
            </w:r>
          </w:p>
        </w:tc>
      </w:tr>
      <w:tr w14:paraId="1885B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tcBorders>
            <w:vAlign w:val="top"/>
          </w:tcPr>
          <w:p w14:paraId="63B4CC5E">
            <w:pPr>
              <w:rPr>
                <w:rFonts w:ascii="Arial"/>
                <w:sz w:val="21"/>
              </w:rPr>
            </w:pPr>
          </w:p>
        </w:tc>
        <w:tc>
          <w:tcPr>
            <w:tcW w:w="993" w:type="dxa"/>
            <w:vAlign w:val="top"/>
          </w:tcPr>
          <w:p w14:paraId="74A2B956">
            <w:pPr>
              <w:pStyle w:val="6"/>
              <w:spacing w:before="102" w:line="188" w:lineRule="auto"/>
              <w:ind w:left="400"/>
            </w:pPr>
            <w:r>
              <w:rPr>
                <w:spacing w:val="-4"/>
              </w:rPr>
              <w:t>8#</w:t>
            </w:r>
          </w:p>
        </w:tc>
        <w:tc>
          <w:tcPr>
            <w:tcW w:w="2640" w:type="dxa"/>
            <w:vAlign w:val="top"/>
          </w:tcPr>
          <w:p w14:paraId="024A2C2A">
            <w:pPr>
              <w:pStyle w:val="6"/>
              <w:spacing w:before="65" w:line="220" w:lineRule="auto"/>
              <w:ind w:left="459"/>
              <w:rPr>
                <w:rFonts w:ascii="宋体" w:hAnsi="宋体" w:eastAsia="宋体" w:cs="宋体"/>
              </w:rPr>
            </w:pPr>
            <w:r>
              <w:rPr>
                <w:rFonts w:ascii="宋体" w:hAnsi="宋体" w:eastAsia="宋体" w:cs="宋体"/>
                <w:spacing w:val="-2"/>
              </w:rPr>
              <w:t>项目北侧</w:t>
            </w:r>
            <w:r>
              <w:rPr>
                <w:rFonts w:ascii="宋体" w:hAnsi="宋体" w:eastAsia="宋体" w:cs="宋体"/>
                <w:spacing w:val="-42"/>
              </w:rPr>
              <w:t xml:space="preserve"> </w:t>
            </w:r>
            <w:r>
              <w:rPr>
                <w:spacing w:val="-2"/>
              </w:rPr>
              <w:t xml:space="preserve">36m </w:t>
            </w:r>
            <w:r>
              <w:rPr>
                <w:rFonts w:ascii="宋体" w:hAnsi="宋体" w:eastAsia="宋体" w:cs="宋体"/>
                <w:spacing w:val="-2"/>
              </w:rPr>
              <w:t>农户</w:t>
            </w:r>
          </w:p>
        </w:tc>
        <w:tc>
          <w:tcPr>
            <w:tcW w:w="1344" w:type="dxa"/>
            <w:vAlign w:val="top"/>
          </w:tcPr>
          <w:p w14:paraId="3D86DC29">
            <w:pPr>
              <w:pStyle w:val="6"/>
              <w:spacing w:before="105" w:line="185" w:lineRule="auto"/>
              <w:ind w:left="575"/>
            </w:pPr>
            <w:r>
              <w:rPr>
                <w:spacing w:val="-5"/>
              </w:rPr>
              <w:t>57</w:t>
            </w:r>
          </w:p>
        </w:tc>
        <w:tc>
          <w:tcPr>
            <w:tcW w:w="1351" w:type="dxa"/>
            <w:vAlign w:val="top"/>
          </w:tcPr>
          <w:p w14:paraId="7B5A4CE8">
            <w:pPr>
              <w:pStyle w:val="6"/>
              <w:spacing w:before="102" w:line="188" w:lineRule="auto"/>
              <w:ind w:left="570"/>
            </w:pPr>
            <w:r>
              <w:rPr>
                <w:spacing w:val="-2"/>
              </w:rPr>
              <w:t>44</w:t>
            </w:r>
          </w:p>
        </w:tc>
      </w:tr>
      <w:tr w14:paraId="6EAAC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restart"/>
            <w:tcBorders>
              <w:bottom w:val="nil"/>
            </w:tcBorders>
            <w:vAlign w:val="top"/>
          </w:tcPr>
          <w:p w14:paraId="43E5D650">
            <w:pPr>
              <w:spacing w:line="242" w:lineRule="auto"/>
              <w:rPr>
                <w:rFonts w:ascii="Arial"/>
                <w:sz w:val="21"/>
              </w:rPr>
            </w:pPr>
          </w:p>
          <w:p w14:paraId="6EA611AB">
            <w:pPr>
              <w:spacing w:line="243" w:lineRule="auto"/>
              <w:rPr>
                <w:rFonts w:ascii="Arial"/>
                <w:sz w:val="21"/>
              </w:rPr>
            </w:pPr>
          </w:p>
          <w:p w14:paraId="02D87FA0">
            <w:pPr>
              <w:spacing w:line="243" w:lineRule="auto"/>
              <w:rPr>
                <w:rFonts w:ascii="Arial"/>
                <w:sz w:val="21"/>
              </w:rPr>
            </w:pPr>
          </w:p>
          <w:p w14:paraId="28BA611A">
            <w:pPr>
              <w:spacing w:line="243" w:lineRule="auto"/>
              <w:rPr>
                <w:rFonts w:ascii="Arial"/>
                <w:sz w:val="21"/>
              </w:rPr>
            </w:pPr>
          </w:p>
          <w:p w14:paraId="3E91FB03">
            <w:pPr>
              <w:spacing w:line="243" w:lineRule="auto"/>
              <w:rPr>
                <w:rFonts w:ascii="Arial"/>
                <w:sz w:val="21"/>
              </w:rPr>
            </w:pPr>
          </w:p>
          <w:p w14:paraId="49D7E7E4">
            <w:pPr>
              <w:pStyle w:val="6"/>
              <w:spacing w:before="69" w:line="220" w:lineRule="auto"/>
              <w:ind w:left="184"/>
              <w:rPr>
                <w:rFonts w:ascii="宋体" w:hAnsi="宋体" w:eastAsia="宋体" w:cs="宋体"/>
              </w:rPr>
            </w:pPr>
            <w:r>
              <w:rPr>
                <w:spacing w:val="-5"/>
              </w:rPr>
              <w:t xml:space="preserve">2022 </w:t>
            </w:r>
            <w:r>
              <w:rPr>
                <w:rFonts w:ascii="宋体" w:hAnsi="宋体" w:eastAsia="宋体" w:cs="宋体"/>
                <w:spacing w:val="-5"/>
              </w:rPr>
              <w:t>年</w:t>
            </w:r>
            <w:r>
              <w:rPr>
                <w:rFonts w:ascii="宋体" w:hAnsi="宋体" w:eastAsia="宋体" w:cs="宋体"/>
                <w:spacing w:val="-22"/>
              </w:rPr>
              <w:t xml:space="preserve"> </w:t>
            </w:r>
            <w:r>
              <w:rPr>
                <w:spacing w:val="-5"/>
              </w:rPr>
              <w:t>12</w:t>
            </w:r>
            <w:r>
              <w:rPr>
                <w:spacing w:val="13"/>
              </w:rPr>
              <w:t xml:space="preserve"> </w:t>
            </w:r>
            <w:r>
              <w:rPr>
                <w:rFonts w:ascii="宋体" w:hAnsi="宋体" w:eastAsia="宋体" w:cs="宋体"/>
                <w:spacing w:val="-5"/>
              </w:rPr>
              <w:t>月</w:t>
            </w:r>
            <w:r>
              <w:rPr>
                <w:rFonts w:ascii="宋体" w:hAnsi="宋体" w:eastAsia="宋体" w:cs="宋体"/>
                <w:spacing w:val="-44"/>
              </w:rPr>
              <w:t xml:space="preserve"> </w:t>
            </w:r>
            <w:r>
              <w:rPr>
                <w:spacing w:val="-5"/>
              </w:rPr>
              <w:t xml:space="preserve">9  </w:t>
            </w:r>
            <w:r>
              <w:rPr>
                <w:rFonts w:ascii="宋体" w:hAnsi="宋体" w:eastAsia="宋体" w:cs="宋体"/>
                <w:spacing w:val="-5"/>
              </w:rPr>
              <w:t>日</w:t>
            </w:r>
          </w:p>
        </w:tc>
        <w:tc>
          <w:tcPr>
            <w:tcW w:w="993" w:type="dxa"/>
            <w:vAlign w:val="top"/>
          </w:tcPr>
          <w:p w14:paraId="6C12251A">
            <w:pPr>
              <w:pStyle w:val="6"/>
              <w:spacing w:before="102" w:line="188" w:lineRule="auto"/>
              <w:ind w:left="411"/>
            </w:pPr>
            <w:r>
              <w:rPr>
                <w:spacing w:val="-6"/>
              </w:rPr>
              <w:t>1#</w:t>
            </w:r>
          </w:p>
        </w:tc>
        <w:tc>
          <w:tcPr>
            <w:tcW w:w="2640" w:type="dxa"/>
            <w:vAlign w:val="top"/>
          </w:tcPr>
          <w:p w14:paraId="2C1BE1E5">
            <w:pPr>
              <w:pStyle w:val="6"/>
              <w:spacing w:before="65" w:line="220" w:lineRule="auto"/>
              <w:ind w:left="538"/>
            </w:pPr>
            <w:r>
              <w:rPr>
                <w:rFonts w:ascii="宋体" w:hAnsi="宋体" w:eastAsia="宋体" w:cs="宋体"/>
                <w:spacing w:val="-3"/>
              </w:rPr>
              <w:t>项目东厂界外</w:t>
            </w:r>
            <w:r>
              <w:rPr>
                <w:rFonts w:ascii="宋体" w:hAnsi="宋体" w:eastAsia="宋体" w:cs="宋体"/>
                <w:spacing w:val="-26"/>
              </w:rPr>
              <w:t xml:space="preserve"> </w:t>
            </w:r>
            <w:r>
              <w:rPr>
                <w:spacing w:val="-3"/>
              </w:rPr>
              <w:t>1m</w:t>
            </w:r>
          </w:p>
        </w:tc>
        <w:tc>
          <w:tcPr>
            <w:tcW w:w="1344" w:type="dxa"/>
            <w:vAlign w:val="top"/>
          </w:tcPr>
          <w:p w14:paraId="3AA98BD4">
            <w:pPr>
              <w:pStyle w:val="6"/>
              <w:spacing w:before="105" w:line="185" w:lineRule="auto"/>
              <w:ind w:left="575"/>
            </w:pPr>
            <w:r>
              <w:rPr>
                <w:spacing w:val="-5"/>
              </w:rPr>
              <w:t>55</w:t>
            </w:r>
          </w:p>
        </w:tc>
        <w:tc>
          <w:tcPr>
            <w:tcW w:w="1351" w:type="dxa"/>
            <w:vAlign w:val="top"/>
          </w:tcPr>
          <w:p w14:paraId="0DBF5E85">
            <w:pPr>
              <w:pStyle w:val="6"/>
              <w:spacing w:before="102" w:line="188" w:lineRule="auto"/>
              <w:ind w:left="570"/>
            </w:pPr>
            <w:r>
              <w:rPr>
                <w:spacing w:val="-1"/>
              </w:rPr>
              <w:t>44</w:t>
            </w:r>
          </w:p>
        </w:tc>
      </w:tr>
      <w:tr w14:paraId="6E5B0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92" w:type="dxa"/>
            <w:vMerge w:val="continue"/>
            <w:tcBorders>
              <w:top w:val="nil"/>
              <w:bottom w:val="nil"/>
            </w:tcBorders>
            <w:vAlign w:val="top"/>
          </w:tcPr>
          <w:p w14:paraId="17143354">
            <w:pPr>
              <w:rPr>
                <w:rFonts w:ascii="Arial"/>
                <w:sz w:val="21"/>
              </w:rPr>
            </w:pPr>
          </w:p>
        </w:tc>
        <w:tc>
          <w:tcPr>
            <w:tcW w:w="993" w:type="dxa"/>
            <w:vAlign w:val="top"/>
          </w:tcPr>
          <w:p w14:paraId="2838926D">
            <w:pPr>
              <w:pStyle w:val="6"/>
              <w:spacing w:before="102" w:line="188" w:lineRule="auto"/>
              <w:ind w:left="391"/>
            </w:pPr>
            <w:r>
              <w:rPr>
                <w:spacing w:val="-1"/>
              </w:rPr>
              <w:t>2#</w:t>
            </w:r>
          </w:p>
        </w:tc>
        <w:tc>
          <w:tcPr>
            <w:tcW w:w="2640" w:type="dxa"/>
            <w:vAlign w:val="top"/>
          </w:tcPr>
          <w:p w14:paraId="6C8B10C1">
            <w:pPr>
              <w:pStyle w:val="6"/>
              <w:spacing w:before="66" w:line="220" w:lineRule="auto"/>
              <w:ind w:left="538"/>
            </w:pPr>
            <w:r>
              <w:rPr>
                <w:rFonts w:ascii="宋体" w:hAnsi="宋体" w:eastAsia="宋体" w:cs="宋体"/>
                <w:spacing w:val="-3"/>
              </w:rPr>
              <w:t>项目南厂界外</w:t>
            </w:r>
            <w:r>
              <w:rPr>
                <w:rFonts w:ascii="宋体" w:hAnsi="宋体" w:eastAsia="宋体" w:cs="宋体"/>
                <w:spacing w:val="-26"/>
              </w:rPr>
              <w:t xml:space="preserve"> </w:t>
            </w:r>
            <w:r>
              <w:rPr>
                <w:spacing w:val="-3"/>
              </w:rPr>
              <w:t>1m</w:t>
            </w:r>
          </w:p>
        </w:tc>
        <w:tc>
          <w:tcPr>
            <w:tcW w:w="1344" w:type="dxa"/>
            <w:vAlign w:val="top"/>
          </w:tcPr>
          <w:p w14:paraId="749ED6E1">
            <w:pPr>
              <w:pStyle w:val="6"/>
              <w:spacing w:before="102" w:line="188" w:lineRule="auto"/>
              <w:ind w:left="575"/>
            </w:pPr>
            <w:r>
              <w:rPr>
                <w:spacing w:val="-5"/>
              </w:rPr>
              <w:t>54</w:t>
            </w:r>
          </w:p>
        </w:tc>
        <w:tc>
          <w:tcPr>
            <w:tcW w:w="1351" w:type="dxa"/>
            <w:vAlign w:val="top"/>
          </w:tcPr>
          <w:p w14:paraId="13D1886B">
            <w:pPr>
              <w:pStyle w:val="6"/>
              <w:spacing w:before="103" w:line="188" w:lineRule="auto"/>
              <w:ind w:left="570"/>
            </w:pPr>
            <w:r>
              <w:rPr>
                <w:spacing w:val="-1"/>
              </w:rPr>
              <w:t>44</w:t>
            </w:r>
          </w:p>
        </w:tc>
      </w:tr>
      <w:tr w14:paraId="0F180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bottom w:val="nil"/>
            </w:tcBorders>
            <w:vAlign w:val="top"/>
          </w:tcPr>
          <w:p w14:paraId="3F9F28A8">
            <w:pPr>
              <w:rPr>
                <w:rFonts w:ascii="Arial"/>
                <w:sz w:val="21"/>
              </w:rPr>
            </w:pPr>
          </w:p>
        </w:tc>
        <w:tc>
          <w:tcPr>
            <w:tcW w:w="993" w:type="dxa"/>
            <w:vAlign w:val="top"/>
          </w:tcPr>
          <w:p w14:paraId="67174DCB">
            <w:pPr>
              <w:pStyle w:val="6"/>
              <w:spacing w:before="103" w:line="188" w:lineRule="auto"/>
              <w:ind w:left="396"/>
            </w:pPr>
            <w:r>
              <w:rPr>
                <w:spacing w:val="-3"/>
              </w:rPr>
              <w:t>3#</w:t>
            </w:r>
          </w:p>
        </w:tc>
        <w:tc>
          <w:tcPr>
            <w:tcW w:w="2640" w:type="dxa"/>
            <w:vAlign w:val="top"/>
          </w:tcPr>
          <w:p w14:paraId="6EC068E4">
            <w:pPr>
              <w:pStyle w:val="6"/>
              <w:spacing w:before="66" w:line="220" w:lineRule="auto"/>
              <w:ind w:left="538"/>
            </w:pPr>
            <w:r>
              <w:rPr>
                <w:rFonts w:ascii="宋体" w:hAnsi="宋体" w:eastAsia="宋体" w:cs="宋体"/>
                <w:spacing w:val="-3"/>
              </w:rPr>
              <w:t>项目西厂界外</w:t>
            </w:r>
            <w:r>
              <w:rPr>
                <w:rFonts w:ascii="宋体" w:hAnsi="宋体" w:eastAsia="宋体" w:cs="宋体"/>
                <w:spacing w:val="-26"/>
              </w:rPr>
              <w:t xml:space="preserve"> </w:t>
            </w:r>
            <w:r>
              <w:rPr>
                <w:spacing w:val="-3"/>
              </w:rPr>
              <w:t>1m</w:t>
            </w:r>
          </w:p>
        </w:tc>
        <w:tc>
          <w:tcPr>
            <w:tcW w:w="1344" w:type="dxa"/>
            <w:vAlign w:val="top"/>
          </w:tcPr>
          <w:p w14:paraId="73852A48">
            <w:pPr>
              <w:pStyle w:val="6"/>
              <w:spacing w:before="103" w:line="188" w:lineRule="auto"/>
              <w:ind w:left="575"/>
            </w:pPr>
            <w:r>
              <w:rPr>
                <w:spacing w:val="-5"/>
              </w:rPr>
              <w:t>56</w:t>
            </w:r>
          </w:p>
        </w:tc>
        <w:tc>
          <w:tcPr>
            <w:tcW w:w="1351" w:type="dxa"/>
            <w:vAlign w:val="top"/>
          </w:tcPr>
          <w:p w14:paraId="73389904">
            <w:pPr>
              <w:pStyle w:val="6"/>
              <w:spacing w:before="103" w:line="188" w:lineRule="auto"/>
              <w:ind w:left="570"/>
            </w:pPr>
            <w:r>
              <w:rPr>
                <w:spacing w:val="-1"/>
              </w:rPr>
              <w:t>46</w:t>
            </w:r>
          </w:p>
        </w:tc>
      </w:tr>
      <w:tr w14:paraId="79AB5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bottom w:val="nil"/>
            </w:tcBorders>
            <w:vAlign w:val="top"/>
          </w:tcPr>
          <w:p w14:paraId="73BB069A">
            <w:pPr>
              <w:rPr>
                <w:rFonts w:ascii="Arial"/>
                <w:sz w:val="21"/>
              </w:rPr>
            </w:pPr>
          </w:p>
        </w:tc>
        <w:tc>
          <w:tcPr>
            <w:tcW w:w="993" w:type="dxa"/>
            <w:vAlign w:val="top"/>
          </w:tcPr>
          <w:p w14:paraId="44C894C4">
            <w:pPr>
              <w:pStyle w:val="6"/>
              <w:spacing w:before="103" w:line="188" w:lineRule="auto"/>
              <w:ind w:left="390"/>
            </w:pPr>
            <w:r>
              <w:rPr>
                <w:spacing w:val="-1"/>
              </w:rPr>
              <w:t>4#</w:t>
            </w:r>
          </w:p>
        </w:tc>
        <w:tc>
          <w:tcPr>
            <w:tcW w:w="2640" w:type="dxa"/>
            <w:vAlign w:val="top"/>
          </w:tcPr>
          <w:p w14:paraId="012C1B37">
            <w:pPr>
              <w:pStyle w:val="6"/>
              <w:spacing w:before="67" w:line="220" w:lineRule="auto"/>
              <w:ind w:left="538"/>
            </w:pPr>
            <w:r>
              <w:rPr>
                <w:rFonts w:ascii="宋体" w:hAnsi="宋体" w:eastAsia="宋体" w:cs="宋体"/>
                <w:spacing w:val="-3"/>
              </w:rPr>
              <w:t>项目北厂界外</w:t>
            </w:r>
            <w:r>
              <w:rPr>
                <w:rFonts w:ascii="宋体" w:hAnsi="宋体" w:eastAsia="宋体" w:cs="宋体"/>
                <w:spacing w:val="-26"/>
              </w:rPr>
              <w:t xml:space="preserve"> </w:t>
            </w:r>
            <w:r>
              <w:rPr>
                <w:spacing w:val="-3"/>
              </w:rPr>
              <w:t>1m</w:t>
            </w:r>
          </w:p>
        </w:tc>
        <w:tc>
          <w:tcPr>
            <w:tcW w:w="1344" w:type="dxa"/>
            <w:vAlign w:val="top"/>
          </w:tcPr>
          <w:p w14:paraId="5F526B2C">
            <w:pPr>
              <w:pStyle w:val="6"/>
              <w:spacing w:before="106" w:line="185" w:lineRule="auto"/>
              <w:ind w:left="575"/>
            </w:pPr>
            <w:r>
              <w:rPr>
                <w:spacing w:val="-5"/>
              </w:rPr>
              <w:t>55</w:t>
            </w:r>
          </w:p>
        </w:tc>
        <w:tc>
          <w:tcPr>
            <w:tcW w:w="1351" w:type="dxa"/>
            <w:vAlign w:val="top"/>
          </w:tcPr>
          <w:p w14:paraId="3FAB99FE">
            <w:pPr>
              <w:pStyle w:val="6"/>
              <w:spacing w:before="103" w:line="188" w:lineRule="auto"/>
              <w:ind w:left="570"/>
            </w:pPr>
            <w:r>
              <w:rPr>
                <w:spacing w:val="-1"/>
              </w:rPr>
              <w:t>44</w:t>
            </w:r>
          </w:p>
        </w:tc>
      </w:tr>
      <w:tr w14:paraId="6DEAD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92" w:type="dxa"/>
            <w:vMerge w:val="continue"/>
            <w:tcBorders>
              <w:top w:val="nil"/>
              <w:bottom w:val="nil"/>
            </w:tcBorders>
            <w:vAlign w:val="top"/>
          </w:tcPr>
          <w:p w14:paraId="7118BE64">
            <w:pPr>
              <w:rPr>
                <w:rFonts w:ascii="Arial"/>
                <w:sz w:val="21"/>
              </w:rPr>
            </w:pPr>
          </w:p>
        </w:tc>
        <w:tc>
          <w:tcPr>
            <w:tcW w:w="993" w:type="dxa"/>
            <w:vAlign w:val="top"/>
          </w:tcPr>
          <w:p w14:paraId="7FD01FE7">
            <w:pPr>
              <w:pStyle w:val="6"/>
              <w:spacing w:before="103" w:line="188" w:lineRule="auto"/>
              <w:ind w:left="397"/>
            </w:pPr>
            <w:r>
              <w:rPr>
                <w:spacing w:val="-3"/>
              </w:rPr>
              <w:t>5#</w:t>
            </w:r>
          </w:p>
        </w:tc>
        <w:tc>
          <w:tcPr>
            <w:tcW w:w="2640" w:type="dxa"/>
            <w:vAlign w:val="top"/>
          </w:tcPr>
          <w:p w14:paraId="59B4964A">
            <w:pPr>
              <w:pStyle w:val="6"/>
              <w:spacing w:before="66" w:line="220" w:lineRule="auto"/>
              <w:ind w:left="459"/>
              <w:rPr>
                <w:rFonts w:ascii="宋体" w:hAnsi="宋体" w:eastAsia="宋体" w:cs="宋体"/>
              </w:rPr>
            </w:pPr>
            <w:r>
              <w:rPr>
                <w:rFonts w:ascii="宋体" w:hAnsi="宋体" w:eastAsia="宋体" w:cs="宋体"/>
                <w:spacing w:val="-2"/>
              </w:rPr>
              <w:t>项目东侧</w:t>
            </w:r>
            <w:r>
              <w:rPr>
                <w:rFonts w:ascii="宋体" w:hAnsi="宋体" w:eastAsia="宋体" w:cs="宋体"/>
                <w:spacing w:val="-42"/>
              </w:rPr>
              <w:t xml:space="preserve"> </w:t>
            </w:r>
            <w:r>
              <w:rPr>
                <w:spacing w:val="-2"/>
              </w:rPr>
              <w:t xml:space="preserve">44m </w:t>
            </w:r>
            <w:r>
              <w:rPr>
                <w:rFonts w:ascii="宋体" w:hAnsi="宋体" w:eastAsia="宋体" w:cs="宋体"/>
                <w:spacing w:val="-2"/>
              </w:rPr>
              <w:t>农户</w:t>
            </w:r>
          </w:p>
        </w:tc>
        <w:tc>
          <w:tcPr>
            <w:tcW w:w="1344" w:type="dxa"/>
            <w:vAlign w:val="top"/>
          </w:tcPr>
          <w:p w14:paraId="741CDA1D">
            <w:pPr>
              <w:pStyle w:val="6"/>
              <w:spacing w:before="103" w:line="188" w:lineRule="auto"/>
              <w:ind w:left="575"/>
            </w:pPr>
            <w:r>
              <w:rPr>
                <w:spacing w:val="-5"/>
              </w:rPr>
              <w:t>56</w:t>
            </w:r>
          </w:p>
        </w:tc>
        <w:tc>
          <w:tcPr>
            <w:tcW w:w="1351" w:type="dxa"/>
            <w:vAlign w:val="top"/>
          </w:tcPr>
          <w:p w14:paraId="204F4E7F">
            <w:pPr>
              <w:pStyle w:val="6"/>
              <w:spacing w:before="103" w:line="188" w:lineRule="auto"/>
              <w:ind w:left="570"/>
            </w:pPr>
            <w:r>
              <w:rPr>
                <w:spacing w:val="-2"/>
              </w:rPr>
              <w:t>45</w:t>
            </w:r>
          </w:p>
        </w:tc>
      </w:tr>
      <w:tr w14:paraId="00738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bottom w:val="nil"/>
            </w:tcBorders>
            <w:vAlign w:val="top"/>
          </w:tcPr>
          <w:p w14:paraId="60A8E3C0">
            <w:pPr>
              <w:rPr>
                <w:rFonts w:ascii="Arial"/>
                <w:sz w:val="21"/>
              </w:rPr>
            </w:pPr>
          </w:p>
        </w:tc>
        <w:tc>
          <w:tcPr>
            <w:tcW w:w="993" w:type="dxa"/>
            <w:vAlign w:val="top"/>
          </w:tcPr>
          <w:p w14:paraId="01049633">
            <w:pPr>
              <w:pStyle w:val="6"/>
              <w:spacing w:before="104" w:line="188" w:lineRule="auto"/>
              <w:ind w:left="396"/>
            </w:pPr>
            <w:r>
              <w:rPr>
                <w:spacing w:val="-3"/>
              </w:rPr>
              <w:t>6#</w:t>
            </w:r>
          </w:p>
        </w:tc>
        <w:tc>
          <w:tcPr>
            <w:tcW w:w="2640" w:type="dxa"/>
            <w:vAlign w:val="top"/>
          </w:tcPr>
          <w:p w14:paraId="03D2BEF4">
            <w:pPr>
              <w:pStyle w:val="6"/>
              <w:spacing w:before="67" w:line="220" w:lineRule="auto"/>
              <w:ind w:left="302"/>
              <w:rPr>
                <w:rFonts w:ascii="宋体" w:hAnsi="宋体" w:eastAsia="宋体" w:cs="宋体"/>
              </w:rPr>
            </w:pPr>
            <w:r>
              <w:rPr>
                <w:rFonts w:ascii="宋体" w:hAnsi="宋体" w:eastAsia="宋体" w:cs="宋体"/>
                <w:spacing w:val="-3"/>
              </w:rPr>
              <w:t>项目东南侧</w:t>
            </w:r>
            <w:r>
              <w:rPr>
                <w:rFonts w:ascii="宋体" w:hAnsi="宋体" w:eastAsia="宋体" w:cs="宋体"/>
                <w:spacing w:val="-27"/>
              </w:rPr>
              <w:t xml:space="preserve"> </w:t>
            </w:r>
            <w:r>
              <w:rPr>
                <w:spacing w:val="-3"/>
              </w:rPr>
              <w:t xml:space="preserve">132m </w:t>
            </w:r>
            <w:r>
              <w:rPr>
                <w:rFonts w:ascii="宋体" w:hAnsi="宋体" w:eastAsia="宋体" w:cs="宋体"/>
                <w:spacing w:val="-3"/>
              </w:rPr>
              <w:t>农户</w:t>
            </w:r>
          </w:p>
        </w:tc>
        <w:tc>
          <w:tcPr>
            <w:tcW w:w="1344" w:type="dxa"/>
            <w:vAlign w:val="top"/>
          </w:tcPr>
          <w:p w14:paraId="138100B0">
            <w:pPr>
              <w:pStyle w:val="6"/>
              <w:spacing w:before="104" w:line="188" w:lineRule="auto"/>
              <w:ind w:left="575"/>
            </w:pPr>
            <w:r>
              <w:rPr>
                <w:spacing w:val="-5"/>
              </w:rPr>
              <w:t>56</w:t>
            </w:r>
          </w:p>
        </w:tc>
        <w:tc>
          <w:tcPr>
            <w:tcW w:w="1351" w:type="dxa"/>
            <w:vAlign w:val="top"/>
          </w:tcPr>
          <w:p w14:paraId="20AAE72E">
            <w:pPr>
              <w:pStyle w:val="6"/>
              <w:spacing w:before="104" w:line="188" w:lineRule="auto"/>
              <w:ind w:left="570"/>
            </w:pPr>
            <w:r>
              <w:rPr>
                <w:spacing w:val="-2"/>
              </w:rPr>
              <w:t>46</w:t>
            </w:r>
          </w:p>
        </w:tc>
      </w:tr>
      <w:tr w14:paraId="6A770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Merge w:val="continue"/>
            <w:tcBorders>
              <w:top w:val="nil"/>
              <w:bottom w:val="nil"/>
            </w:tcBorders>
            <w:vAlign w:val="top"/>
          </w:tcPr>
          <w:p w14:paraId="1A54C876">
            <w:pPr>
              <w:rPr>
                <w:rFonts w:ascii="Arial"/>
                <w:sz w:val="21"/>
              </w:rPr>
            </w:pPr>
          </w:p>
        </w:tc>
        <w:tc>
          <w:tcPr>
            <w:tcW w:w="993" w:type="dxa"/>
            <w:vAlign w:val="top"/>
          </w:tcPr>
          <w:p w14:paraId="5A294557">
            <w:pPr>
              <w:pStyle w:val="6"/>
              <w:spacing w:before="104" w:line="188" w:lineRule="auto"/>
              <w:ind w:left="395"/>
            </w:pPr>
            <w:r>
              <w:rPr>
                <w:spacing w:val="-2"/>
              </w:rPr>
              <w:t>7#</w:t>
            </w:r>
          </w:p>
        </w:tc>
        <w:tc>
          <w:tcPr>
            <w:tcW w:w="2640" w:type="dxa"/>
            <w:vAlign w:val="top"/>
          </w:tcPr>
          <w:p w14:paraId="18AB3D2A">
            <w:pPr>
              <w:pStyle w:val="6"/>
              <w:spacing w:before="67" w:line="220" w:lineRule="auto"/>
              <w:ind w:left="355"/>
              <w:rPr>
                <w:rFonts w:ascii="宋体" w:hAnsi="宋体" w:eastAsia="宋体" w:cs="宋体"/>
              </w:rPr>
            </w:pPr>
            <w:r>
              <w:rPr>
                <w:rFonts w:ascii="宋体" w:hAnsi="宋体" w:eastAsia="宋体" w:cs="宋体"/>
                <w:spacing w:val="-3"/>
              </w:rPr>
              <w:t>项目西南侧</w:t>
            </w:r>
            <w:r>
              <w:rPr>
                <w:rFonts w:ascii="宋体" w:hAnsi="宋体" w:eastAsia="宋体" w:cs="宋体"/>
                <w:spacing w:val="-30"/>
              </w:rPr>
              <w:t xml:space="preserve"> </w:t>
            </w:r>
            <w:r>
              <w:rPr>
                <w:spacing w:val="-3"/>
              </w:rPr>
              <w:t xml:space="preserve">83m </w:t>
            </w:r>
            <w:r>
              <w:rPr>
                <w:rFonts w:ascii="宋体" w:hAnsi="宋体" w:eastAsia="宋体" w:cs="宋体"/>
                <w:spacing w:val="-3"/>
              </w:rPr>
              <w:t>农户</w:t>
            </w:r>
          </w:p>
        </w:tc>
        <w:tc>
          <w:tcPr>
            <w:tcW w:w="1344" w:type="dxa"/>
            <w:vAlign w:val="top"/>
          </w:tcPr>
          <w:p w14:paraId="77159301">
            <w:pPr>
              <w:pStyle w:val="6"/>
              <w:spacing w:before="107" w:line="185" w:lineRule="auto"/>
              <w:ind w:left="575"/>
            </w:pPr>
            <w:r>
              <w:rPr>
                <w:spacing w:val="-5"/>
              </w:rPr>
              <w:t>55</w:t>
            </w:r>
          </w:p>
        </w:tc>
        <w:tc>
          <w:tcPr>
            <w:tcW w:w="1351" w:type="dxa"/>
            <w:vAlign w:val="top"/>
          </w:tcPr>
          <w:p w14:paraId="7380C6C9">
            <w:pPr>
              <w:pStyle w:val="6"/>
              <w:spacing w:before="104" w:line="188" w:lineRule="auto"/>
              <w:ind w:left="570"/>
            </w:pPr>
            <w:r>
              <w:rPr>
                <w:spacing w:val="-2"/>
              </w:rPr>
              <w:t>48</w:t>
            </w:r>
          </w:p>
        </w:tc>
      </w:tr>
      <w:tr w14:paraId="34289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92" w:type="dxa"/>
            <w:vMerge w:val="continue"/>
            <w:tcBorders>
              <w:top w:val="nil"/>
            </w:tcBorders>
            <w:vAlign w:val="top"/>
          </w:tcPr>
          <w:p w14:paraId="387C8526">
            <w:pPr>
              <w:rPr>
                <w:rFonts w:ascii="Arial"/>
                <w:sz w:val="21"/>
              </w:rPr>
            </w:pPr>
          </w:p>
        </w:tc>
        <w:tc>
          <w:tcPr>
            <w:tcW w:w="993" w:type="dxa"/>
            <w:vAlign w:val="top"/>
          </w:tcPr>
          <w:p w14:paraId="0E0BD42F">
            <w:pPr>
              <w:pStyle w:val="6"/>
              <w:spacing w:before="104" w:line="188" w:lineRule="auto"/>
              <w:ind w:left="400"/>
            </w:pPr>
            <w:r>
              <w:rPr>
                <w:spacing w:val="-4"/>
              </w:rPr>
              <w:t>8#</w:t>
            </w:r>
          </w:p>
        </w:tc>
        <w:tc>
          <w:tcPr>
            <w:tcW w:w="2640" w:type="dxa"/>
            <w:vAlign w:val="top"/>
          </w:tcPr>
          <w:p w14:paraId="236DE9AD">
            <w:pPr>
              <w:pStyle w:val="6"/>
              <w:spacing w:before="67" w:line="220" w:lineRule="auto"/>
              <w:ind w:left="459"/>
              <w:rPr>
                <w:rFonts w:ascii="宋体" w:hAnsi="宋体" w:eastAsia="宋体" w:cs="宋体"/>
              </w:rPr>
            </w:pPr>
            <w:r>
              <w:rPr>
                <w:rFonts w:ascii="宋体" w:hAnsi="宋体" w:eastAsia="宋体" w:cs="宋体"/>
                <w:spacing w:val="-2"/>
              </w:rPr>
              <w:t>项目北侧</w:t>
            </w:r>
            <w:r>
              <w:rPr>
                <w:rFonts w:ascii="宋体" w:hAnsi="宋体" w:eastAsia="宋体" w:cs="宋体"/>
                <w:spacing w:val="-42"/>
              </w:rPr>
              <w:t xml:space="preserve"> </w:t>
            </w:r>
            <w:r>
              <w:rPr>
                <w:spacing w:val="-2"/>
              </w:rPr>
              <w:t xml:space="preserve">36m </w:t>
            </w:r>
            <w:r>
              <w:rPr>
                <w:rFonts w:ascii="宋体" w:hAnsi="宋体" w:eastAsia="宋体" w:cs="宋体"/>
                <w:spacing w:val="-2"/>
              </w:rPr>
              <w:t>农户</w:t>
            </w:r>
          </w:p>
        </w:tc>
        <w:tc>
          <w:tcPr>
            <w:tcW w:w="1344" w:type="dxa"/>
            <w:vAlign w:val="top"/>
          </w:tcPr>
          <w:p w14:paraId="1DE4D9F5">
            <w:pPr>
              <w:pStyle w:val="6"/>
              <w:spacing w:before="107" w:line="185" w:lineRule="auto"/>
              <w:ind w:left="575"/>
            </w:pPr>
            <w:r>
              <w:rPr>
                <w:spacing w:val="-5"/>
              </w:rPr>
              <w:t>55</w:t>
            </w:r>
          </w:p>
        </w:tc>
        <w:tc>
          <w:tcPr>
            <w:tcW w:w="1351" w:type="dxa"/>
            <w:vAlign w:val="top"/>
          </w:tcPr>
          <w:p w14:paraId="4F3A2C6A">
            <w:pPr>
              <w:pStyle w:val="6"/>
              <w:spacing w:before="104" w:line="188" w:lineRule="auto"/>
              <w:ind w:left="570"/>
            </w:pPr>
            <w:r>
              <w:rPr>
                <w:spacing w:val="-2"/>
              </w:rPr>
              <w:t>45</w:t>
            </w:r>
          </w:p>
        </w:tc>
      </w:tr>
      <w:tr w14:paraId="3E2F0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320" w:type="dxa"/>
            <w:gridSpan w:val="5"/>
            <w:vAlign w:val="top"/>
          </w:tcPr>
          <w:p w14:paraId="5C34D944">
            <w:pPr>
              <w:pStyle w:val="6"/>
              <w:spacing w:before="68" w:line="220" w:lineRule="auto"/>
              <w:ind w:left="1030"/>
              <w:rPr>
                <w:rFonts w:ascii="宋体" w:hAnsi="宋体" w:eastAsia="宋体" w:cs="宋体"/>
              </w:rPr>
            </w:pPr>
            <w:r>
              <w:rPr>
                <w:spacing w:val="-1"/>
              </w:rPr>
              <w:t>GB3096-2008</w:t>
            </w:r>
            <w:r>
              <w:rPr>
                <w:spacing w:val="29"/>
              </w:rPr>
              <w:t xml:space="preserve"> </w:t>
            </w:r>
            <w:r>
              <w:rPr>
                <w:rFonts w:ascii="宋体" w:hAnsi="宋体" w:eastAsia="宋体" w:cs="宋体"/>
                <w:spacing w:val="-1"/>
              </w:rPr>
              <w:t>中</w:t>
            </w:r>
            <w:r>
              <w:rPr>
                <w:rFonts w:ascii="宋体" w:hAnsi="宋体" w:eastAsia="宋体" w:cs="宋体"/>
                <w:spacing w:val="-49"/>
              </w:rPr>
              <w:t xml:space="preserve"> </w:t>
            </w:r>
            <w:r>
              <w:rPr>
                <w:spacing w:val="-1"/>
              </w:rPr>
              <w:t xml:space="preserve">2 </w:t>
            </w:r>
            <w:r>
              <w:rPr>
                <w:rFonts w:ascii="宋体" w:hAnsi="宋体" w:eastAsia="宋体" w:cs="宋体"/>
                <w:spacing w:val="-1"/>
              </w:rPr>
              <w:t>类标准限值：昼间</w:t>
            </w:r>
            <w:r>
              <w:rPr>
                <w:spacing w:val="-1"/>
              </w:rPr>
              <w:t>≤60dB</w:t>
            </w:r>
            <w:r>
              <w:rPr>
                <w:rFonts w:ascii="宋体" w:hAnsi="宋体" w:eastAsia="宋体" w:cs="宋体"/>
                <w:spacing w:val="-1"/>
              </w:rPr>
              <w:t>（</w:t>
            </w:r>
            <w:r>
              <w:rPr>
                <w:spacing w:val="-1"/>
              </w:rPr>
              <w:t>A</w:t>
            </w:r>
            <w:r>
              <w:rPr>
                <w:rFonts w:ascii="宋体" w:hAnsi="宋体" w:eastAsia="宋体" w:cs="宋体"/>
                <w:spacing w:val="-1"/>
              </w:rPr>
              <w:t>），夜间</w:t>
            </w:r>
            <w:r>
              <w:rPr>
                <w:spacing w:val="-1"/>
              </w:rPr>
              <w:t>≤50dB</w:t>
            </w:r>
            <w:r>
              <w:rPr>
                <w:rFonts w:ascii="宋体" w:hAnsi="宋体" w:eastAsia="宋体" w:cs="宋体"/>
                <w:spacing w:val="-1"/>
              </w:rPr>
              <w:t>（</w:t>
            </w:r>
            <w:r>
              <w:rPr>
                <w:spacing w:val="-1"/>
              </w:rPr>
              <w:t>A</w:t>
            </w:r>
            <w:r>
              <w:rPr>
                <w:rFonts w:ascii="宋体" w:hAnsi="宋体" w:eastAsia="宋体" w:cs="宋体"/>
                <w:spacing w:val="-1"/>
              </w:rPr>
              <w:t>）</w:t>
            </w:r>
          </w:p>
        </w:tc>
      </w:tr>
    </w:tbl>
    <w:p w14:paraId="1CEBA08B">
      <w:pPr>
        <w:spacing w:before="234" w:line="362" w:lineRule="auto"/>
        <w:ind w:left="45" w:right="39" w:firstLine="502"/>
        <w:rPr>
          <w:rFonts w:ascii="宋体" w:hAnsi="宋体" w:eastAsia="宋体" w:cs="宋体"/>
          <w:sz w:val="24"/>
          <w:szCs w:val="24"/>
        </w:rPr>
      </w:pPr>
      <w:r>
        <w:rPr>
          <w:rFonts w:ascii="宋体" w:hAnsi="宋体" w:eastAsia="宋体" w:cs="宋体"/>
          <w:spacing w:val="19"/>
          <w:sz w:val="24"/>
          <w:szCs w:val="24"/>
        </w:rPr>
        <w:t>由上表可知，本项目昼间、夜间声环境均能满足《声环境质量标准》</w:t>
      </w:r>
      <w:r>
        <w:rPr>
          <w:rFonts w:ascii="宋体" w:hAnsi="宋体" w:eastAsia="宋体" w:cs="宋体"/>
          <w:spacing w:val="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GB3096-2008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类标准要求，区域声环境质量较好。</w:t>
      </w:r>
    </w:p>
    <w:p w14:paraId="1DB5B770">
      <w:pPr>
        <w:spacing w:before="163"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3.3.5  </w:t>
      </w:r>
      <w:r>
        <w:rPr>
          <w:rFonts w:ascii="宋体" w:hAnsi="宋体" w:eastAsia="宋体" w:cs="宋体"/>
          <w:b/>
          <w:bCs/>
          <w:spacing w:val="-2"/>
          <w:sz w:val="30"/>
          <w:szCs w:val="30"/>
        </w:rPr>
        <w:t>土壤环境质量</w:t>
      </w:r>
    </w:p>
    <w:p w14:paraId="3A17D14B">
      <w:pPr>
        <w:pStyle w:val="2"/>
        <w:spacing w:line="258" w:lineRule="auto"/>
      </w:pPr>
    </w:p>
    <w:p w14:paraId="7C7EF251">
      <w:pPr>
        <w:spacing w:before="78" w:line="360" w:lineRule="auto"/>
        <w:ind w:left="41" w:right="29" w:firstLine="477"/>
        <w:rPr>
          <w:rFonts w:ascii="宋体" w:hAnsi="宋体" w:eastAsia="宋体" w:cs="宋体"/>
          <w:sz w:val="24"/>
          <w:szCs w:val="24"/>
        </w:rPr>
      </w:pPr>
      <w:r>
        <w:rPr>
          <w:rFonts w:ascii="宋体" w:hAnsi="宋体" w:eastAsia="宋体" w:cs="宋体"/>
          <w:spacing w:val="-3"/>
          <w:sz w:val="24"/>
          <w:szCs w:val="24"/>
        </w:rPr>
        <w:t>委托四川瑞兴环保检测公司对项目占地、消纳地的土壤进行了现场</w:t>
      </w:r>
      <w:r>
        <w:rPr>
          <w:rFonts w:ascii="宋体" w:hAnsi="宋体" w:eastAsia="宋体" w:cs="宋体"/>
          <w:spacing w:val="-4"/>
          <w:sz w:val="24"/>
          <w:szCs w:val="24"/>
        </w:rPr>
        <w:t>采样及分</w:t>
      </w:r>
      <w:r>
        <w:rPr>
          <w:rFonts w:ascii="宋体" w:hAnsi="宋体" w:eastAsia="宋体" w:cs="宋体"/>
          <w:spacing w:val="-12"/>
          <w:sz w:val="24"/>
          <w:szCs w:val="24"/>
        </w:rPr>
        <w:t>析。</w:t>
      </w:r>
    </w:p>
    <w:p w14:paraId="53A31D6E">
      <w:pPr>
        <w:spacing w:before="1"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）监测点位设置</w:t>
      </w:r>
    </w:p>
    <w:p w14:paraId="3B03740D">
      <w:pPr>
        <w:spacing w:before="179" w:line="362" w:lineRule="auto"/>
        <w:ind w:left="41" w:right="30" w:firstLine="483"/>
        <w:rPr>
          <w:rFonts w:ascii="宋体" w:hAnsi="宋体" w:eastAsia="宋体" w:cs="宋体"/>
          <w:sz w:val="24"/>
          <w:szCs w:val="24"/>
        </w:rPr>
      </w:pPr>
      <w:r>
        <w:rPr>
          <w:rFonts w:ascii="宋体" w:hAnsi="宋体" w:eastAsia="宋体" w:cs="宋体"/>
          <w:spacing w:val="-4"/>
          <w:sz w:val="24"/>
          <w:szCs w:val="24"/>
        </w:rPr>
        <w:t>结合本项目场地及消纳地分布情况，在项目场址内设置了</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个采样点位、消</w:t>
      </w:r>
      <w:r>
        <w:rPr>
          <w:rFonts w:ascii="宋体" w:hAnsi="宋体" w:eastAsia="宋体" w:cs="宋体"/>
          <w:spacing w:val="-8"/>
          <w:sz w:val="24"/>
          <w:szCs w:val="24"/>
        </w:rPr>
        <w:t>纳地设置了</w:t>
      </w:r>
      <w:r>
        <w:rPr>
          <w:rFonts w:ascii="宋体" w:hAnsi="宋体" w:eastAsia="宋体" w:cs="宋体"/>
          <w:spacing w:val="-30"/>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个采样点位（</w:t>
      </w:r>
      <w:r>
        <w:rPr>
          <w:rFonts w:ascii="Times New Roman" w:hAnsi="Times New Roman" w:eastAsia="Times New Roman" w:cs="Times New Roman"/>
          <w:spacing w:val="-8"/>
          <w:sz w:val="24"/>
          <w:szCs w:val="24"/>
        </w:rPr>
        <w:t>S4</w:t>
      </w:r>
      <w:r>
        <w:rPr>
          <w:rFonts w:ascii="Times New Roman" w:hAnsi="Times New Roman" w:eastAsia="Times New Roman" w:cs="Times New Roman"/>
          <w:spacing w:val="22"/>
          <w:sz w:val="24"/>
          <w:szCs w:val="24"/>
        </w:rPr>
        <w:t xml:space="preserve"> </w:t>
      </w:r>
      <w:r>
        <w:rPr>
          <w:rFonts w:ascii="宋体" w:hAnsi="宋体" w:eastAsia="宋体" w:cs="宋体"/>
          <w:spacing w:val="-8"/>
          <w:sz w:val="24"/>
          <w:szCs w:val="24"/>
        </w:rPr>
        <w:t>点位）。</w:t>
      </w:r>
    </w:p>
    <w:p w14:paraId="728737C3">
      <w:pPr>
        <w:spacing w:before="9" w:line="222" w:lineRule="auto"/>
        <w:ind w:left="271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3.3-13  </w:t>
      </w:r>
      <w:r>
        <w:rPr>
          <w:rFonts w:ascii="黑体" w:hAnsi="黑体" w:eastAsia="黑体" w:cs="黑体"/>
          <w:spacing w:val="-1"/>
          <w:sz w:val="21"/>
          <w:szCs w:val="21"/>
        </w:rPr>
        <w:t>土壤环境现状监测点位</w:t>
      </w:r>
    </w:p>
    <w:p w14:paraId="47B103D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9"/>
        <w:gridCol w:w="6541"/>
      </w:tblGrid>
      <w:tr w14:paraId="6BBDF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79" w:type="dxa"/>
            <w:vAlign w:val="top"/>
          </w:tcPr>
          <w:p w14:paraId="3B2F1DE8">
            <w:pPr>
              <w:spacing w:before="68" w:line="221" w:lineRule="auto"/>
              <w:ind w:left="685"/>
              <w:rPr>
                <w:rFonts w:ascii="宋体" w:hAnsi="宋体" w:eastAsia="宋体" w:cs="宋体"/>
                <w:sz w:val="21"/>
                <w:szCs w:val="21"/>
              </w:rPr>
            </w:pPr>
            <w:r>
              <w:rPr>
                <w:rFonts w:ascii="宋体" w:hAnsi="宋体" w:eastAsia="宋体" w:cs="宋体"/>
                <w:spacing w:val="-2"/>
                <w:sz w:val="21"/>
                <w:szCs w:val="21"/>
              </w:rPr>
              <w:t>序号</w:t>
            </w:r>
          </w:p>
        </w:tc>
        <w:tc>
          <w:tcPr>
            <w:tcW w:w="6541" w:type="dxa"/>
            <w:vAlign w:val="top"/>
          </w:tcPr>
          <w:p w14:paraId="738F01C4">
            <w:pPr>
              <w:spacing w:before="68" w:line="221" w:lineRule="auto"/>
              <w:ind w:left="2855"/>
              <w:rPr>
                <w:rFonts w:ascii="宋体" w:hAnsi="宋体" w:eastAsia="宋体" w:cs="宋体"/>
                <w:sz w:val="21"/>
                <w:szCs w:val="21"/>
              </w:rPr>
            </w:pPr>
            <w:r>
              <w:rPr>
                <w:rFonts w:ascii="宋体" w:hAnsi="宋体" w:eastAsia="宋体" w:cs="宋体"/>
                <w:spacing w:val="-2"/>
                <w:sz w:val="21"/>
                <w:szCs w:val="21"/>
              </w:rPr>
              <w:t>测点位置</w:t>
            </w:r>
          </w:p>
        </w:tc>
      </w:tr>
      <w:tr w14:paraId="6BE16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79" w:type="dxa"/>
            <w:vAlign w:val="top"/>
          </w:tcPr>
          <w:p w14:paraId="04356134">
            <w:pPr>
              <w:pStyle w:val="6"/>
              <w:spacing w:before="101" w:line="188" w:lineRule="auto"/>
              <w:ind w:left="806"/>
            </w:pPr>
            <w:r>
              <w:rPr>
                <w:spacing w:val="-6"/>
              </w:rPr>
              <w:t>1#</w:t>
            </w:r>
          </w:p>
        </w:tc>
        <w:tc>
          <w:tcPr>
            <w:tcW w:w="6541" w:type="dxa"/>
            <w:vAlign w:val="top"/>
          </w:tcPr>
          <w:p w14:paraId="2001BD0B">
            <w:pPr>
              <w:pStyle w:val="6"/>
              <w:spacing w:before="64" w:line="220" w:lineRule="auto"/>
              <w:ind w:left="1721"/>
              <w:rPr>
                <w:rFonts w:ascii="宋体" w:hAnsi="宋体" w:eastAsia="宋体" w:cs="宋体"/>
              </w:rPr>
            </w:pPr>
            <w:r>
              <w:rPr>
                <w:rFonts w:ascii="宋体" w:hAnsi="宋体" w:eastAsia="宋体" w:cs="宋体"/>
                <w:spacing w:val="-3"/>
              </w:rPr>
              <w:t>项目占地范围内</w:t>
            </w:r>
            <w:r>
              <w:rPr>
                <w:rFonts w:ascii="宋体" w:hAnsi="宋体" w:eastAsia="宋体" w:cs="宋体"/>
                <w:spacing w:val="-32"/>
              </w:rPr>
              <w:t xml:space="preserve"> </w:t>
            </w:r>
            <w:r>
              <w:rPr>
                <w:spacing w:val="-3"/>
              </w:rPr>
              <w:t>S1</w:t>
            </w:r>
            <w:r>
              <w:rPr>
                <w:spacing w:val="-27"/>
              </w:rPr>
              <w:t xml:space="preserve"> </w:t>
            </w:r>
            <w:r>
              <w:rPr>
                <w:rFonts w:ascii="宋体" w:hAnsi="宋体" w:eastAsia="宋体" w:cs="宋体"/>
                <w:spacing w:val="-3"/>
              </w:rPr>
              <w:t>，</w:t>
            </w:r>
            <w:r>
              <w:rPr>
                <w:spacing w:val="-3"/>
              </w:rPr>
              <w:t xml:space="preserve">0~20cm </w:t>
            </w:r>
            <w:r>
              <w:rPr>
                <w:rFonts w:ascii="宋体" w:hAnsi="宋体" w:eastAsia="宋体" w:cs="宋体"/>
                <w:spacing w:val="-3"/>
              </w:rPr>
              <w:t>深处</w:t>
            </w:r>
          </w:p>
        </w:tc>
      </w:tr>
      <w:tr w14:paraId="138DA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79" w:type="dxa"/>
            <w:vAlign w:val="top"/>
          </w:tcPr>
          <w:p w14:paraId="586AE7EE">
            <w:pPr>
              <w:pStyle w:val="6"/>
              <w:spacing w:before="103" w:line="188" w:lineRule="auto"/>
              <w:ind w:left="786"/>
            </w:pPr>
            <w:r>
              <w:rPr>
                <w:spacing w:val="-1"/>
              </w:rPr>
              <w:t>2#</w:t>
            </w:r>
          </w:p>
        </w:tc>
        <w:tc>
          <w:tcPr>
            <w:tcW w:w="6541" w:type="dxa"/>
            <w:vAlign w:val="top"/>
          </w:tcPr>
          <w:p w14:paraId="56CDBF9A">
            <w:pPr>
              <w:pStyle w:val="6"/>
              <w:spacing w:before="66" w:line="220" w:lineRule="auto"/>
              <w:ind w:left="1721"/>
              <w:rPr>
                <w:rFonts w:ascii="宋体" w:hAnsi="宋体" w:eastAsia="宋体" w:cs="宋体"/>
              </w:rPr>
            </w:pPr>
            <w:r>
              <w:rPr>
                <w:rFonts w:ascii="宋体" w:hAnsi="宋体" w:eastAsia="宋体" w:cs="宋体"/>
                <w:spacing w:val="-3"/>
              </w:rPr>
              <w:t>项目占地范围内</w:t>
            </w:r>
            <w:r>
              <w:rPr>
                <w:rFonts w:ascii="宋体" w:hAnsi="宋体" w:eastAsia="宋体" w:cs="宋体"/>
                <w:spacing w:val="-32"/>
              </w:rPr>
              <w:t xml:space="preserve"> </w:t>
            </w:r>
            <w:r>
              <w:rPr>
                <w:spacing w:val="-3"/>
              </w:rPr>
              <w:t>S2</w:t>
            </w:r>
            <w:r>
              <w:rPr>
                <w:spacing w:val="-27"/>
              </w:rPr>
              <w:t xml:space="preserve"> </w:t>
            </w:r>
            <w:r>
              <w:rPr>
                <w:rFonts w:ascii="宋体" w:hAnsi="宋体" w:eastAsia="宋体" w:cs="宋体"/>
                <w:spacing w:val="-3"/>
              </w:rPr>
              <w:t>，</w:t>
            </w:r>
            <w:r>
              <w:rPr>
                <w:spacing w:val="-3"/>
              </w:rPr>
              <w:t xml:space="preserve">0~20cm </w:t>
            </w:r>
            <w:r>
              <w:rPr>
                <w:rFonts w:ascii="宋体" w:hAnsi="宋体" w:eastAsia="宋体" w:cs="宋体"/>
                <w:spacing w:val="-3"/>
              </w:rPr>
              <w:t>深处</w:t>
            </w:r>
          </w:p>
        </w:tc>
      </w:tr>
      <w:tr w14:paraId="7C840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79" w:type="dxa"/>
            <w:vAlign w:val="top"/>
          </w:tcPr>
          <w:p w14:paraId="54902E77">
            <w:pPr>
              <w:pStyle w:val="6"/>
              <w:spacing w:before="104" w:line="188" w:lineRule="auto"/>
              <w:ind w:left="790"/>
            </w:pPr>
            <w:r>
              <w:rPr>
                <w:spacing w:val="-3"/>
              </w:rPr>
              <w:t>3#</w:t>
            </w:r>
          </w:p>
        </w:tc>
        <w:tc>
          <w:tcPr>
            <w:tcW w:w="6541" w:type="dxa"/>
            <w:vAlign w:val="top"/>
          </w:tcPr>
          <w:p w14:paraId="77618A93">
            <w:pPr>
              <w:pStyle w:val="6"/>
              <w:spacing w:before="67" w:line="220" w:lineRule="auto"/>
              <w:ind w:left="1721"/>
              <w:rPr>
                <w:rFonts w:ascii="宋体" w:hAnsi="宋体" w:eastAsia="宋体" w:cs="宋体"/>
              </w:rPr>
            </w:pPr>
            <w:r>
              <w:rPr>
                <w:rFonts w:ascii="宋体" w:hAnsi="宋体" w:eastAsia="宋体" w:cs="宋体"/>
                <w:spacing w:val="-3"/>
              </w:rPr>
              <w:t>项目占地范围内</w:t>
            </w:r>
            <w:r>
              <w:rPr>
                <w:rFonts w:ascii="宋体" w:hAnsi="宋体" w:eastAsia="宋体" w:cs="宋体"/>
                <w:spacing w:val="-32"/>
              </w:rPr>
              <w:t xml:space="preserve"> </w:t>
            </w:r>
            <w:r>
              <w:rPr>
                <w:spacing w:val="-3"/>
              </w:rPr>
              <w:t>S3</w:t>
            </w:r>
            <w:r>
              <w:rPr>
                <w:spacing w:val="-27"/>
              </w:rPr>
              <w:t xml:space="preserve"> </w:t>
            </w:r>
            <w:r>
              <w:rPr>
                <w:rFonts w:ascii="宋体" w:hAnsi="宋体" w:eastAsia="宋体" w:cs="宋体"/>
                <w:spacing w:val="-3"/>
              </w:rPr>
              <w:t>，</w:t>
            </w:r>
            <w:r>
              <w:rPr>
                <w:spacing w:val="-3"/>
              </w:rPr>
              <w:t xml:space="preserve">0~20cm </w:t>
            </w:r>
            <w:r>
              <w:rPr>
                <w:rFonts w:ascii="宋体" w:hAnsi="宋体" w:eastAsia="宋体" w:cs="宋体"/>
                <w:spacing w:val="-3"/>
              </w:rPr>
              <w:t>深处</w:t>
            </w:r>
          </w:p>
        </w:tc>
      </w:tr>
      <w:tr w14:paraId="1FE8B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79" w:type="dxa"/>
            <w:vAlign w:val="top"/>
          </w:tcPr>
          <w:p w14:paraId="341868CD">
            <w:pPr>
              <w:pStyle w:val="6"/>
              <w:spacing w:before="104" w:line="188" w:lineRule="auto"/>
              <w:ind w:left="785"/>
            </w:pPr>
            <w:r>
              <w:rPr>
                <w:spacing w:val="-1"/>
              </w:rPr>
              <w:t>4#</w:t>
            </w:r>
          </w:p>
        </w:tc>
        <w:tc>
          <w:tcPr>
            <w:tcW w:w="6541" w:type="dxa"/>
            <w:vAlign w:val="top"/>
          </w:tcPr>
          <w:p w14:paraId="1B8AECCD">
            <w:pPr>
              <w:pStyle w:val="6"/>
              <w:spacing w:before="67" w:line="220" w:lineRule="auto"/>
              <w:ind w:left="2037"/>
              <w:rPr>
                <w:rFonts w:ascii="宋体" w:hAnsi="宋体" w:eastAsia="宋体" w:cs="宋体"/>
              </w:rPr>
            </w:pPr>
            <w:r>
              <w:rPr>
                <w:rFonts w:ascii="宋体" w:hAnsi="宋体" w:eastAsia="宋体" w:cs="宋体"/>
                <w:spacing w:val="-3"/>
              </w:rPr>
              <w:t>消纳地内</w:t>
            </w:r>
            <w:r>
              <w:rPr>
                <w:rFonts w:ascii="宋体" w:hAnsi="宋体" w:eastAsia="宋体" w:cs="宋体"/>
                <w:spacing w:val="-39"/>
              </w:rPr>
              <w:t xml:space="preserve"> </w:t>
            </w:r>
            <w:r>
              <w:rPr>
                <w:spacing w:val="-3"/>
              </w:rPr>
              <w:t>S4</w:t>
            </w:r>
            <w:r>
              <w:rPr>
                <w:spacing w:val="-27"/>
              </w:rPr>
              <w:t xml:space="preserve"> </w:t>
            </w:r>
            <w:r>
              <w:rPr>
                <w:rFonts w:ascii="宋体" w:hAnsi="宋体" w:eastAsia="宋体" w:cs="宋体"/>
                <w:spacing w:val="-3"/>
              </w:rPr>
              <w:t>，</w:t>
            </w:r>
            <w:r>
              <w:rPr>
                <w:spacing w:val="-3"/>
              </w:rPr>
              <w:t xml:space="preserve">0~20cm </w:t>
            </w:r>
            <w:r>
              <w:rPr>
                <w:rFonts w:ascii="宋体" w:hAnsi="宋体" w:eastAsia="宋体" w:cs="宋体"/>
                <w:spacing w:val="-3"/>
              </w:rPr>
              <w:t>深处</w:t>
            </w:r>
          </w:p>
        </w:tc>
      </w:tr>
    </w:tbl>
    <w:p w14:paraId="6EF0964F">
      <w:pPr>
        <w:spacing w:before="114" w:line="220" w:lineRule="auto"/>
        <w:ind w:left="52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）监测项目</w:t>
      </w:r>
    </w:p>
    <w:p w14:paraId="5BDFDF45">
      <w:pPr>
        <w:spacing w:before="182" w:line="212" w:lineRule="auto"/>
        <w:ind w:left="509"/>
        <w:rPr>
          <w:rFonts w:ascii="宋体" w:hAnsi="宋体" w:eastAsia="宋体" w:cs="宋体"/>
          <w:sz w:val="24"/>
          <w:szCs w:val="24"/>
        </w:rPr>
      </w:pPr>
      <w:r>
        <w:rPr>
          <w:rFonts w:ascii="Times New Roman" w:hAnsi="Times New Roman" w:eastAsia="Times New Roman" w:cs="Times New Roman"/>
          <w:spacing w:val="-2"/>
          <w:sz w:val="24"/>
          <w:szCs w:val="24"/>
        </w:rPr>
        <w:t>pH</w:t>
      </w:r>
      <w:r>
        <w:rPr>
          <w:rFonts w:ascii="宋体" w:hAnsi="宋体" w:eastAsia="宋体" w:cs="宋体"/>
          <w:spacing w:val="-2"/>
          <w:sz w:val="24"/>
          <w:szCs w:val="24"/>
        </w:rPr>
        <w:t>、镉、铅、铬、铜、镍、锌、砷、汞。</w:t>
      </w:r>
    </w:p>
    <w:p w14:paraId="144081B5">
      <w:pPr>
        <w:spacing w:before="19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）监测时间及频次</w:t>
      </w:r>
    </w:p>
    <w:p w14:paraId="539BB739">
      <w:pPr>
        <w:spacing w:before="182" w:line="219" w:lineRule="auto"/>
        <w:ind w:left="515"/>
        <w:rPr>
          <w:rFonts w:ascii="宋体" w:hAnsi="宋体" w:eastAsia="宋体" w:cs="宋体"/>
          <w:sz w:val="24"/>
          <w:szCs w:val="24"/>
        </w:rPr>
      </w:pPr>
      <w:r>
        <w:rPr>
          <w:rFonts w:ascii="Times New Roman" w:hAnsi="Times New Roman" w:eastAsia="Times New Roman" w:cs="Times New Roman"/>
          <w:spacing w:val="-9"/>
          <w:sz w:val="24"/>
          <w:szCs w:val="24"/>
        </w:rPr>
        <w:t xml:space="preserve">2022 </w:t>
      </w:r>
      <w:r>
        <w:rPr>
          <w:rFonts w:ascii="宋体" w:hAnsi="宋体" w:eastAsia="宋体" w:cs="宋体"/>
          <w:spacing w:val="-9"/>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日，监测</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天，采样</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次。</w:t>
      </w:r>
    </w:p>
    <w:p w14:paraId="7FF3361B">
      <w:pPr>
        <w:spacing w:before="184"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）监测结果与分析</w:t>
      </w:r>
    </w:p>
    <w:p w14:paraId="4D260087">
      <w:pPr>
        <w:spacing w:before="181" w:line="220" w:lineRule="auto"/>
        <w:ind w:left="520"/>
        <w:rPr>
          <w:rFonts w:ascii="宋体" w:hAnsi="宋体" w:eastAsia="宋体" w:cs="宋体"/>
          <w:sz w:val="24"/>
          <w:szCs w:val="24"/>
        </w:rPr>
      </w:pPr>
      <w:r>
        <w:rPr>
          <w:rFonts w:ascii="宋体" w:hAnsi="宋体" w:eastAsia="宋体" w:cs="宋体"/>
          <w:spacing w:val="-3"/>
          <w:sz w:val="24"/>
          <w:szCs w:val="24"/>
        </w:rPr>
        <w:t>土壤环境质量监测结果见下表。</w:t>
      </w:r>
    </w:p>
    <w:p w14:paraId="7B4BCB52">
      <w:pPr>
        <w:spacing w:line="220" w:lineRule="auto"/>
        <w:rPr>
          <w:rFonts w:ascii="宋体" w:hAnsi="宋体" w:eastAsia="宋体" w:cs="宋体"/>
          <w:sz w:val="24"/>
          <w:szCs w:val="24"/>
        </w:rPr>
        <w:sectPr>
          <w:headerReference r:id="rId276" w:type="default"/>
          <w:footerReference r:id="rId277" w:type="default"/>
          <w:pgSz w:w="11905" w:h="16840"/>
          <w:pgMar w:top="1168" w:right="1768" w:bottom="1409" w:left="1770" w:header="828" w:footer="1244" w:gutter="0"/>
          <w:cols w:space="720" w:num="1"/>
        </w:sectPr>
      </w:pPr>
    </w:p>
    <w:p w14:paraId="1E322312">
      <w:pPr>
        <w:pStyle w:val="2"/>
        <w:spacing w:line="329" w:lineRule="auto"/>
      </w:pPr>
    </w:p>
    <w:p w14:paraId="659AE920">
      <w:pPr>
        <w:spacing w:before="68" w:line="222" w:lineRule="auto"/>
        <w:ind w:left="271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3.3-14  </w:t>
      </w:r>
      <w:r>
        <w:rPr>
          <w:rFonts w:ascii="黑体" w:hAnsi="黑体" w:eastAsia="黑体" w:cs="黑体"/>
          <w:spacing w:val="-1"/>
          <w:sz w:val="21"/>
          <w:szCs w:val="21"/>
        </w:rPr>
        <w:t>土壤环境现状监测结果</w:t>
      </w:r>
    </w:p>
    <w:p w14:paraId="1380A378">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2"/>
        <w:gridCol w:w="1203"/>
        <w:gridCol w:w="2407"/>
        <w:gridCol w:w="1698"/>
        <w:gridCol w:w="993"/>
        <w:gridCol w:w="807"/>
      </w:tblGrid>
      <w:tr w14:paraId="25680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12" w:type="dxa"/>
            <w:vMerge w:val="restart"/>
            <w:tcBorders>
              <w:bottom w:val="nil"/>
            </w:tcBorders>
            <w:vAlign w:val="top"/>
          </w:tcPr>
          <w:p w14:paraId="5033FF89">
            <w:pPr>
              <w:spacing w:before="243" w:line="219" w:lineRule="auto"/>
              <w:ind w:left="190"/>
              <w:rPr>
                <w:rFonts w:ascii="宋体" w:hAnsi="宋体" w:eastAsia="宋体" w:cs="宋体"/>
                <w:sz w:val="21"/>
                <w:szCs w:val="21"/>
              </w:rPr>
            </w:pPr>
            <w:r>
              <w:rPr>
                <w:rFonts w:ascii="宋体" w:hAnsi="宋体" w:eastAsia="宋体" w:cs="宋体"/>
                <w:spacing w:val="-2"/>
                <w:sz w:val="21"/>
                <w:szCs w:val="21"/>
              </w:rPr>
              <w:t>采样日期</w:t>
            </w:r>
          </w:p>
        </w:tc>
        <w:tc>
          <w:tcPr>
            <w:tcW w:w="1203" w:type="dxa"/>
            <w:vMerge w:val="restart"/>
            <w:tcBorders>
              <w:bottom w:val="nil"/>
            </w:tcBorders>
            <w:vAlign w:val="top"/>
          </w:tcPr>
          <w:p w14:paraId="3A1036C7">
            <w:pPr>
              <w:spacing w:before="244" w:line="221" w:lineRule="auto"/>
              <w:ind w:left="186"/>
              <w:rPr>
                <w:rFonts w:ascii="宋体" w:hAnsi="宋体" w:eastAsia="宋体" w:cs="宋体"/>
                <w:sz w:val="21"/>
                <w:szCs w:val="21"/>
              </w:rPr>
            </w:pPr>
            <w:r>
              <w:rPr>
                <w:rFonts w:ascii="宋体" w:hAnsi="宋体" w:eastAsia="宋体" w:cs="宋体"/>
                <w:spacing w:val="-2"/>
                <w:sz w:val="21"/>
                <w:szCs w:val="21"/>
              </w:rPr>
              <w:t>监测点位</w:t>
            </w:r>
          </w:p>
        </w:tc>
        <w:tc>
          <w:tcPr>
            <w:tcW w:w="2407" w:type="dxa"/>
            <w:vMerge w:val="restart"/>
            <w:tcBorders>
              <w:bottom w:val="nil"/>
            </w:tcBorders>
            <w:vAlign w:val="top"/>
          </w:tcPr>
          <w:p w14:paraId="1BCFE6A0">
            <w:pPr>
              <w:spacing w:before="244" w:line="220" w:lineRule="auto"/>
              <w:ind w:left="789"/>
              <w:rPr>
                <w:rFonts w:ascii="宋体" w:hAnsi="宋体" w:eastAsia="宋体" w:cs="宋体"/>
                <w:sz w:val="21"/>
                <w:szCs w:val="21"/>
              </w:rPr>
            </w:pPr>
            <w:r>
              <w:rPr>
                <w:rFonts w:ascii="宋体" w:hAnsi="宋体" w:eastAsia="宋体" w:cs="宋体"/>
                <w:spacing w:val="-2"/>
                <w:sz w:val="21"/>
                <w:szCs w:val="21"/>
              </w:rPr>
              <w:t>监测项目</w:t>
            </w:r>
          </w:p>
        </w:tc>
        <w:tc>
          <w:tcPr>
            <w:tcW w:w="1698" w:type="dxa"/>
            <w:vAlign w:val="top"/>
          </w:tcPr>
          <w:p w14:paraId="150011FA">
            <w:pPr>
              <w:spacing w:before="69" w:line="220" w:lineRule="auto"/>
              <w:ind w:left="436"/>
              <w:rPr>
                <w:rFonts w:ascii="宋体" w:hAnsi="宋体" w:eastAsia="宋体" w:cs="宋体"/>
                <w:sz w:val="21"/>
                <w:szCs w:val="21"/>
              </w:rPr>
            </w:pPr>
            <w:r>
              <w:rPr>
                <w:rFonts w:ascii="宋体" w:hAnsi="宋体" w:eastAsia="宋体" w:cs="宋体"/>
                <w:spacing w:val="-2"/>
                <w:sz w:val="21"/>
                <w:szCs w:val="21"/>
              </w:rPr>
              <w:t>监测结果</w:t>
            </w:r>
          </w:p>
        </w:tc>
        <w:tc>
          <w:tcPr>
            <w:tcW w:w="993" w:type="dxa"/>
            <w:vMerge w:val="restart"/>
            <w:tcBorders>
              <w:bottom w:val="nil"/>
            </w:tcBorders>
            <w:vAlign w:val="top"/>
          </w:tcPr>
          <w:p w14:paraId="5EFA1DCC">
            <w:pPr>
              <w:spacing w:before="243" w:line="220" w:lineRule="auto"/>
              <w:ind w:left="189"/>
              <w:rPr>
                <w:rFonts w:ascii="宋体" w:hAnsi="宋体" w:eastAsia="宋体" w:cs="宋体"/>
                <w:sz w:val="21"/>
                <w:szCs w:val="21"/>
              </w:rPr>
            </w:pPr>
            <w:r>
              <w:rPr>
                <w:rFonts w:ascii="宋体" w:hAnsi="宋体" w:eastAsia="宋体" w:cs="宋体"/>
                <w:spacing w:val="-3"/>
                <w:sz w:val="21"/>
                <w:szCs w:val="21"/>
              </w:rPr>
              <w:t>标准值</w:t>
            </w:r>
          </w:p>
        </w:tc>
        <w:tc>
          <w:tcPr>
            <w:tcW w:w="807" w:type="dxa"/>
            <w:vMerge w:val="restart"/>
            <w:tcBorders>
              <w:bottom w:val="nil"/>
            </w:tcBorders>
            <w:vAlign w:val="top"/>
          </w:tcPr>
          <w:p w14:paraId="5F357704">
            <w:pPr>
              <w:spacing w:before="244" w:line="220" w:lineRule="auto"/>
              <w:ind w:left="200"/>
              <w:rPr>
                <w:rFonts w:ascii="宋体" w:hAnsi="宋体" w:eastAsia="宋体" w:cs="宋体"/>
                <w:sz w:val="21"/>
                <w:szCs w:val="21"/>
              </w:rPr>
            </w:pPr>
            <w:r>
              <w:rPr>
                <w:rFonts w:ascii="宋体" w:hAnsi="宋体" w:eastAsia="宋体" w:cs="宋体"/>
                <w:spacing w:val="-3"/>
                <w:sz w:val="21"/>
                <w:szCs w:val="21"/>
              </w:rPr>
              <w:t>单位</w:t>
            </w:r>
          </w:p>
        </w:tc>
      </w:tr>
      <w:tr w14:paraId="445EA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tcBorders>
            <w:vAlign w:val="top"/>
          </w:tcPr>
          <w:p w14:paraId="782B822D">
            <w:pPr>
              <w:rPr>
                <w:rFonts w:ascii="Arial"/>
                <w:sz w:val="21"/>
              </w:rPr>
            </w:pPr>
          </w:p>
        </w:tc>
        <w:tc>
          <w:tcPr>
            <w:tcW w:w="1203" w:type="dxa"/>
            <w:vMerge w:val="continue"/>
            <w:tcBorders>
              <w:top w:val="nil"/>
            </w:tcBorders>
            <w:vAlign w:val="top"/>
          </w:tcPr>
          <w:p w14:paraId="7DE29BE3">
            <w:pPr>
              <w:rPr>
                <w:rFonts w:ascii="Arial"/>
                <w:sz w:val="21"/>
              </w:rPr>
            </w:pPr>
          </w:p>
        </w:tc>
        <w:tc>
          <w:tcPr>
            <w:tcW w:w="2407" w:type="dxa"/>
            <w:vMerge w:val="continue"/>
            <w:tcBorders>
              <w:top w:val="nil"/>
            </w:tcBorders>
            <w:vAlign w:val="top"/>
          </w:tcPr>
          <w:p w14:paraId="78681605">
            <w:pPr>
              <w:rPr>
                <w:rFonts w:ascii="Arial"/>
                <w:sz w:val="21"/>
              </w:rPr>
            </w:pPr>
          </w:p>
        </w:tc>
        <w:tc>
          <w:tcPr>
            <w:tcW w:w="1698" w:type="dxa"/>
            <w:vAlign w:val="top"/>
          </w:tcPr>
          <w:p w14:paraId="24A8C848">
            <w:pPr>
              <w:pStyle w:val="6"/>
              <w:spacing w:before="63" w:line="220" w:lineRule="auto"/>
              <w:ind w:left="112"/>
              <w:rPr>
                <w:rFonts w:ascii="宋体" w:hAnsi="宋体" w:eastAsia="宋体" w:cs="宋体"/>
              </w:rPr>
            </w:pPr>
            <w:r>
              <w:rPr>
                <w:rFonts w:ascii="宋体" w:hAnsi="宋体" w:eastAsia="宋体" w:cs="宋体"/>
                <w:spacing w:val="-1"/>
              </w:rPr>
              <w:t>表样（</w:t>
            </w:r>
            <w:r>
              <w:rPr>
                <w:spacing w:val="-1"/>
              </w:rPr>
              <w:t>0~0.2m</w:t>
            </w:r>
            <w:r>
              <w:rPr>
                <w:rFonts w:ascii="宋体" w:hAnsi="宋体" w:eastAsia="宋体" w:cs="宋体"/>
                <w:spacing w:val="-1"/>
              </w:rPr>
              <w:t>）</w:t>
            </w:r>
          </w:p>
        </w:tc>
        <w:tc>
          <w:tcPr>
            <w:tcW w:w="993" w:type="dxa"/>
            <w:vMerge w:val="continue"/>
            <w:tcBorders>
              <w:top w:val="nil"/>
            </w:tcBorders>
            <w:vAlign w:val="top"/>
          </w:tcPr>
          <w:p w14:paraId="279C9E67">
            <w:pPr>
              <w:rPr>
                <w:rFonts w:ascii="Arial"/>
                <w:sz w:val="21"/>
              </w:rPr>
            </w:pPr>
          </w:p>
        </w:tc>
        <w:tc>
          <w:tcPr>
            <w:tcW w:w="807" w:type="dxa"/>
            <w:vMerge w:val="continue"/>
            <w:tcBorders>
              <w:top w:val="nil"/>
            </w:tcBorders>
            <w:vAlign w:val="top"/>
          </w:tcPr>
          <w:p w14:paraId="33C96CBE">
            <w:pPr>
              <w:rPr>
                <w:rFonts w:ascii="Arial"/>
                <w:sz w:val="21"/>
              </w:rPr>
            </w:pPr>
          </w:p>
        </w:tc>
      </w:tr>
      <w:tr w14:paraId="6A105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restart"/>
            <w:tcBorders>
              <w:bottom w:val="nil"/>
            </w:tcBorders>
            <w:vAlign w:val="top"/>
          </w:tcPr>
          <w:p w14:paraId="00032EAD">
            <w:pPr>
              <w:spacing w:line="247" w:lineRule="auto"/>
              <w:rPr>
                <w:rFonts w:ascii="Arial"/>
                <w:sz w:val="21"/>
              </w:rPr>
            </w:pPr>
          </w:p>
          <w:p w14:paraId="77BBAE65">
            <w:pPr>
              <w:spacing w:line="247" w:lineRule="auto"/>
              <w:rPr>
                <w:rFonts w:ascii="Arial"/>
                <w:sz w:val="21"/>
              </w:rPr>
            </w:pPr>
          </w:p>
          <w:p w14:paraId="517F85E2">
            <w:pPr>
              <w:spacing w:line="247" w:lineRule="auto"/>
              <w:rPr>
                <w:rFonts w:ascii="Arial"/>
                <w:sz w:val="21"/>
              </w:rPr>
            </w:pPr>
          </w:p>
          <w:p w14:paraId="44802962">
            <w:pPr>
              <w:spacing w:line="247" w:lineRule="auto"/>
              <w:rPr>
                <w:rFonts w:ascii="Arial"/>
                <w:sz w:val="21"/>
              </w:rPr>
            </w:pPr>
          </w:p>
          <w:p w14:paraId="03C32311">
            <w:pPr>
              <w:spacing w:line="247" w:lineRule="auto"/>
              <w:rPr>
                <w:rFonts w:ascii="Arial"/>
                <w:sz w:val="21"/>
              </w:rPr>
            </w:pPr>
          </w:p>
          <w:p w14:paraId="646E54E7">
            <w:pPr>
              <w:spacing w:line="247" w:lineRule="auto"/>
              <w:rPr>
                <w:rFonts w:ascii="Arial"/>
                <w:sz w:val="21"/>
              </w:rPr>
            </w:pPr>
          </w:p>
          <w:p w14:paraId="7BFDF39A">
            <w:pPr>
              <w:spacing w:line="247" w:lineRule="auto"/>
              <w:rPr>
                <w:rFonts w:ascii="Arial"/>
                <w:sz w:val="21"/>
              </w:rPr>
            </w:pPr>
          </w:p>
          <w:p w14:paraId="1B2EE5FA">
            <w:pPr>
              <w:spacing w:line="247" w:lineRule="auto"/>
              <w:rPr>
                <w:rFonts w:ascii="Arial"/>
                <w:sz w:val="21"/>
              </w:rPr>
            </w:pPr>
          </w:p>
          <w:p w14:paraId="566546FA">
            <w:pPr>
              <w:spacing w:line="247" w:lineRule="auto"/>
              <w:rPr>
                <w:rFonts w:ascii="Arial"/>
                <w:sz w:val="21"/>
              </w:rPr>
            </w:pPr>
          </w:p>
          <w:p w14:paraId="159FAA3B">
            <w:pPr>
              <w:spacing w:line="247" w:lineRule="auto"/>
              <w:rPr>
                <w:rFonts w:ascii="Arial"/>
                <w:sz w:val="21"/>
              </w:rPr>
            </w:pPr>
          </w:p>
          <w:p w14:paraId="043FBC3B">
            <w:pPr>
              <w:spacing w:line="247" w:lineRule="auto"/>
              <w:rPr>
                <w:rFonts w:ascii="Arial"/>
                <w:sz w:val="21"/>
              </w:rPr>
            </w:pPr>
          </w:p>
          <w:p w14:paraId="6981D1DB">
            <w:pPr>
              <w:spacing w:line="247" w:lineRule="auto"/>
              <w:rPr>
                <w:rFonts w:ascii="Arial"/>
                <w:sz w:val="21"/>
              </w:rPr>
            </w:pPr>
          </w:p>
          <w:p w14:paraId="752FD449">
            <w:pPr>
              <w:spacing w:line="247" w:lineRule="auto"/>
              <w:rPr>
                <w:rFonts w:ascii="Arial"/>
                <w:sz w:val="21"/>
              </w:rPr>
            </w:pPr>
          </w:p>
          <w:p w14:paraId="0489743A">
            <w:pPr>
              <w:spacing w:line="247" w:lineRule="auto"/>
              <w:rPr>
                <w:rFonts w:ascii="Arial"/>
                <w:sz w:val="21"/>
              </w:rPr>
            </w:pPr>
          </w:p>
          <w:p w14:paraId="71280CE2">
            <w:pPr>
              <w:spacing w:line="247" w:lineRule="auto"/>
              <w:rPr>
                <w:rFonts w:ascii="Arial"/>
                <w:sz w:val="21"/>
              </w:rPr>
            </w:pPr>
          </w:p>
          <w:p w14:paraId="763135B3">
            <w:pPr>
              <w:spacing w:line="247" w:lineRule="auto"/>
              <w:rPr>
                <w:rFonts w:ascii="Arial"/>
                <w:sz w:val="21"/>
              </w:rPr>
            </w:pPr>
          </w:p>
          <w:p w14:paraId="5288229F">
            <w:pPr>
              <w:spacing w:line="247" w:lineRule="auto"/>
              <w:rPr>
                <w:rFonts w:ascii="Arial"/>
                <w:sz w:val="21"/>
              </w:rPr>
            </w:pPr>
          </w:p>
          <w:p w14:paraId="0BE65D92">
            <w:pPr>
              <w:spacing w:line="247" w:lineRule="auto"/>
              <w:rPr>
                <w:rFonts w:ascii="Arial"/>
                <w:sz w:val="21"/>
              </w:rPr>
            </w:pPr>
          </w:p>
          <w:p w14:paraId="0189C2DA">
            <w:pPr>
              <w:spacing w:line="247" w:lineRule="auto"/>
              <w:rPr>
                <w:rFonts w:ascii="Arial"/>
                <w:sz w:val="21"/>
              </w:rPr>
            </w:pPr>
          </w:p>
          <w:p w14:paraId="0A37D203">
            <w:pPr>
              <w:spacing w:line="247" w:lineRule="auto"/>
              <w:rPr>
                <w:rFonts w:ascii="Arial"/>
                <w:sz w:val="21"/>
              </w:rPr>
            </w:pPr>
          </w:p>
          <w:p w14:paraId="53A28DF1">
            <w:pPr>
              <w:spacing w:line="247" w:lineRule="auto"/>
              <w:rPr>
                <w:rFonts w:ascii="Arial"/>
                <w:sz w:val="21"/>
              </w:rPr>
            </w:pPr>
          </w:p>
          <w:p w14:paraId="7F54F4D0">
            <w:pPr>
              <w:spacing w:line="247" w:lineRule="auto"/>
              <w:rPr>
                <w:rFonts w:ascii="Arial"/>
                <w:sz w:val="21"/>
              </w:rPr>
            </w:pPr>
          </w:p>
          <w:p w14:paraId="38932350">
            <w:pPr>
              <w:spacing w:line="247" w:lineRule="auto"/>
              <w:rPr>
                <w:rFonts w:ascii="Arial"/>
                <w:sz w:val="21"/>
              </w:rPr>
            </w:pPr>
          </w:p>
          <w:p w14:paraId="4E26CE92">
            <w:pPr>
              <w:spacing w:line="247" w:lineRule="auto"/>
              <w:rPr>
                <w:rFonts w:ascii="Arial"/>
                <w:sz w:val="21"/>
              </w:rPr>
            </w:pPr>
          </w:p>
          <w:p w14:paraId="3B281E88">
            <w:pPr>
              <w:pStyle w:val="6"/>
              <w:spacing w:before="68" w:line="220" w:lineRule="auto"/>
              <w:ind w:left="265"/>
              <w:rPr>
                <w:rFonts w:ascii="宋体" w:hAnsi="宋体" w:eastAsia="宋体" w:cs="宋体"/>
              </w:rPr>
            </w:pPr>
            <w:r>
              <w:rPr>
                <w:spacing w:val="-1"/>
              </w:rPr>
              <w:t>2022</w:t>
            </w:r>
            <w:r>
              <w:rPr>
                <w:spacing w:val="10"/>
              </w:rPr>
              <w:t xml:space="preserve"> </w:t>
            </w:r>
            <w:r>
              <w:rPr>
                <w:rFonts w:ascii="宋体" w:hAnsi="宋体" w:eastAsia="宋体" w:cs="宋体"/>
                <w:spacing w:val="-1"/>
              </w:rPr>
              <w:t>年</w:t>
            </w:r>
          </w:p>
          <w:p w14:paraId="4029A2B3">
            <w:pPr>
              <w:pStyle w:val="6"/>
              <w:spacing w:before="61" w:line="220" w:lineRule="auto"/>
              <w:ind w:left="181"/>
              <w:rPr>
                <w:rFonts w:ascii="宋体" w:hAnsi="宋体" w:eastAsia="宋体" w:cs="宋体"/>
              </w:rPr>
            </w:pPr>
            <w:r>
              <w:rPr>
                <w:spacing w:val="-9"/>
              </w:rPr>
              <w:t>12</w:t>
            </w:r>
            <w:r>
              <w:rPr>
                <w:spacing w:val="12"/>
              </w:rPr>
              <w:t xml:space="preserve"> </w:t>
            </w:r>
            <w:r>
              <w:rPr>
                <w:rFonts w:ascii="宋体" w:hAnsi="宋体" w:eastAsia="宋体" w:cs="宋体"/>
                <w:spacing w:val="-9"/>
              </w:rPr>
              <w:t>月</w:t>
            </w:r>
            <w:r>
              <w:rPr>
                <w:rFonts w:ascii="宋体" w:hAnsi="宋体" w:eastAsia="宋体" w:cs="宋体"/>
                <w:spacing w:val="-45"/>
              </w:rPr>
              <w:t xml:space="preserve"> </w:t>
            </w:r>
            <w:r>
              <w:rPr>
                <w:spacing w:val="-9"/>
              </w:rPr>
              <w:t>7</w:t>
            </w:r>
            <w:r>
              <w:rPr>
                <w:spacing w:val="45"/>
                <w:w w:val="101"/>
              </w:rPr>
              <w:t xml:space="preserve"> </w:t>
            </w:r>
            <w:r>
              <w:rPr>
                <w:rFonts w:ascii="宋体" w:hAnsi="宋体" w:eastAsia="宋体" w:cs="宋体"/>
                <w:spacing w:val="-9"/>
              </w:rPr>
              <w:t>日</w:t>
            </w:r>
          </w:p>
        </w:tc>
        <w:tc>
          <w:tcPr>
            <w:tcW w:w="1203" w:type="dxa"/>
            <w:vMerge w:val="restart"/>
            <w:tcBorders>
              <w:bottom w:val="nil"/>
            </w:tcBorders>
            <w:vAlign w:val="top"/>
          </w:tcPr>
          <w:p w14:paraId="38BF562F">
            <w:pPr>
              <w:spacing w:line="277" w:lineRule="auto"/>
              <w:rPr>
                <w:rFonts w:ascii="Arial"/>
                <w:sz w:val="21"/>
              </w:rPr>
            </w:pPr>
          </w:p>
          <w:p w14:paraId="2FB082CC">
            <w:pPr>
              <w:spacing w:line="277" w:lineRule="auto"/>
              <w:rPr>
                <w:rFonts w:ascii="Arial"/>
                <w:sz w:val="21"/>
              </w:rPr>
            </w:pPr>
          </w:p>
          <w:p w14:paraId="5C03CFE7">
            <w:pPr>
              <w:spacing w:line="278" w:lineRule="auto"/>
              <w:rPr>
                <w:rFonts w:ascii="Arial"/>
                <w:sz w:val="21"/>
              </w:rPr>
            </w:pPr>
          </w:p>
          <w:p w14:paraId="1EEB3319">
            <w:pPr>
              <w:spacing w:line="278" w:lineRule="auto"/>
              <w:rPr>
                <w:rFonts w:ascii="Arial"/>
                <w:sz w:val="21"/>
              </w:rPr>
            </w:pPr>
          </w:p>
          <w:p w14:paraId="505AFE21">
            <w:pPr>
              <w:spacing w:line="278" w:lineRule="auto"/>
              <w:rPr>
                <w:rFonts w:ascii="Arial"/>
                <w:sz w:val="21"/>
              </w:rPr>
            </w:pPr>
          </w:p>
          <w:p w14:paraId="6A8D9B17">
            <w:pPr>
              <w:pStyle w:val="6"/>
              <w:spacing w:before="68" w:line="220" w:lineRule="auto"/>
              <w:ind w:left="156"/>
            </w:pPr>
            <w:r>
              <w:rPr>
                <w:rFonts w:ascii="宋体" w:hAnsi="宋体" w:eastAsia="宋体" w:cs="宋体"/>
                <w:spacing w:val="-4"/>
              </w:rPr>
              <w:t>项目地</w:t>
            </w:r>
            <w:r>
              <w:rPr>
                <w:rFonts w:ascii="宋体" w:hAnsi="宋体" w:eastAsia="宋体" w:cs="宋体"/>
                <w:spacing w:val="-39"/>
              </w:rPr>
              <w:t xml:space="preserve"> </w:t>
            </w:r>
            <w:r>
              <w:rPr>
                <w:spacing w:val="-4"/>
              </w:rPr>
              <w:t>S1</w:t>
            </w:r>
          </w:p>
        </w:tc>
        <w:tc>
          <w:tcPr>
            <w:tcW w:w="2407" w:type="dxa"/>
            <w:vAlign w:val="top"/>
          </w:tcPr>
          <w:p w14:paraId="096CB9D9">
            <w:pPr>
              <w:pStyle w:val="6"/>
              <w:spacing w:before="104" w:line="185" w:lineRule="auto"/>
              <w:ind w:left="1071"/>
            </w:pPr>
            <w:r>
              <w:t>pH</w:t>
            </w:r>
          </w:p>
        </w:tc>
        <w:tc>
          <w:tcPr>
            <w:tcW w:w="1698" w:type="dxa"/>
            <w:vAlign w:val="top"/>
          </w:tcPr>
          <w:p w14:paraId="10115573">
            <w:pPr>
              <w:pStyle w:val="6"/>
              <w:spacing w:before="101" w:line="188" w:lineRule="auto"/>
              <w:ind w:left="723"/>
            </w:pPr>
            <w:r>
              <w:rPr>
                <w:spacing w:val="-3"/>
              </w:rPr>
              <w:t>7.6</w:t>
            </w:r>
          </w:p>
        </w:tc>
        <w:tc>
          <w:tcPr>
            <w:tcW w:w="993" w:type="dxa"/>
            <w:vAlign w:val="top"/>
          </w:tcPr>
          <w:p w14:paraId="10D8B8D2">
            <w:pPr>
              <w:pStyle w:val="6"/>
              <w:spacing w:before="97" w:line="192" w:lineRule="auto"/>
              <w:ind w:left="466"/>
            </w:pPr>
            <w:r>
              <w:t>/</w:t>
            </w:r>
          </w:p>
        </w:tc>
        <w:tc>
          <w:tcPr>
            <w:tcW w:w="807" w:type="dxa"/>
            <w:vAlign w:val="top"/>
          </w:tcPr>
          <w:p w14:paraId="1D53FAD9">
            <w:pPr>
              <w:spacing w:before="64" w:line="220" w:lineRule="auto"/>
              <w:ind w:left="96"/>
              <w:rPr>
                <w:rFonts w:ascii="宋体" w:hAnsi="宋体" w:eastAsia="宋体" w:cs="宋体"/>
                <w:sz w:val="21"/>
                <w:szCs w:val="21"/>
              </w:rPr>
            </w:pPr>
            <w:r>
              <w:rPr>
                <w:rFonts w:ascii="宋体" w:hAnsi="宋体" w:eastAsia="宋体" w:cs="宋体"/>
                <w:spacing w:val="-3"/>
                <w:sz w:val="21"/>
                <w:szCs w:val="21"/>
              </w:rPr>
              <w:t>无量纲</w:t>
            </w:r>
          </w:p>
        </w:tc>
      </w:tr>
      <w:tr w14:paraId="1ECA3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5C09FDFC">
            <w:pPr>
              <w:rPr>
                <w:rFonts w:ascii="Arial"/>
                <w:sz w:val="21"/>
              </w:rPr>
            </w:pPr>
          </w:p>
        </w:tc>
        <w:tc>
          <w:tcPr>
            <w:tcW w:w="1203" w:type="dxa"/>
            <w:vMerge w:val="continue"/>
            <w:tcBorders>
              <w:top w:val="nil"/>
              <w:bottom w:val="nil"/>
            </w:tcBorders>
            <w:vAlign w:val="top"/>
          </w:tcPr>
          <w:p w14:paraId="33F6FE40">
            <w:pPr>
              <w:rPr>
                <w:rFonts w:ascii="Arial"/>
                <w:sz w:val="21"/>
              </w:rPr>
            </w:pPr>
          </w:p>
        </w:tc>
        <w:tc>
          <w:tcPr>
            <w:tcW w:w="2407" w:type="dxa"/>
            <w:vAlign w:val="top"/>
          </w:tcPr>
          <w:p w14:paraId="0E29182F">
            <w:pPr>
              <w:spacing w:before="64" w:line="222" w:lineRule="auto"/>
              <w:ind w:left="1102"/>
              <w:rPr>
                <w:rFonts w:ascii="宋体" w:hAnsi="宋体" w:eastAsia="宋体" w:cs="宋体"/>
                <w:sz w:val="21"/>
                <w:szCs w:val="21"/>
              </w:rPr>
            </w:pPr>
            <w:r>
              <w:rPr>
                <w:rFonts w:ascii="宋体" w:hAnsi="宋体" w:eastAsia="宋体" w:cs="宋体"/>
                <w:sz w:val="21"/>
                <w:szCs w:val="21"/>
              </w:rPr>
              <w:t>铬</w:t>
            </w:r>
          </w:p>
        </w:tc>
        <w:tc>
          <w:tcPr>
            <w:tcW w:w="1698" w:type="dxa"/>
            <w:vAlign w:val="top"/>
          </w:tcPr>
          <w:p w14:paraId="15D2C2DB">
            <w:pPr>
              <w:pStyle w:val="6"/>
              <w:spacing w:before="101" w:line="188" w:lineRule="auto"/>
              <w:ind w:left="749"/>
            </w:pPr>
            <w:r>
              <w:rPr>
                <w:spacing w:val="-4"/>
              </w:rPr>
              <w:t>72</w:t>
            </w:r>
          </w:p>
        </w:tc>
        <w:tc>
          <w:tcPr>
            <w:tcW w:w="993" w:type="dxa"/>
            <w:vAlign w:val="top"/>
          </w:tcPr>
          <w:p w14:paraId="50DC7DFF">
            <w:pPr>
              <w:pStyle w:val="6"/>
              <w:spacing w:before="101" w:line="188" w:lineRule="auto"/>
              <w:ind w:left="342"/>
            </w:pPr>
            <w:r>
              <w:rPr>
                <w:spacing w:val="-2"/>
              </w:rPr>
              <w:t>250</w:t>
            </w:r>
          </w:p>
        </w:tc>
        <w:tc>
          <w:tcPr>
            <w:tcW w:w="807" w:type="dxa"/>
            <w:vAlign w:val="top"/>
          </w:tcPr>
          <w:p w14:paraId="00EC751E">
            <w:pPr>
              <w:pStyle w:val="6"/>
              <w:spacing w:before="97" w:line="192" w:lineRule="auto"/>
              <w:ind w:left="134"/>
            </w:pPr>
            <w:r>
              <w:rPr>
                <w:spacing w:val="-1"/>
              </w:rPr>
              <w:t>mg/kg</w:t>
            </w:r>
          </w:p>
        </w:tc>
      </w:tr>
      <w:tr w14:paraId="2FF15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457735B5">
            <w:pPr>
              <w:rPr>
                <w:rFonts w:ascii="Arial"/>
                <w:sz w:val="21"/>
              </w:rPr>
            </w:pPr>
          </w:p>
        </w:tc>
        <w:tc>
          <w:tcPr>
            <w:tcW w:w="1203" w:type="dxa"/>
            <w:vMerge w:val="continue"/>
            <w:tcBorders>
              <w:top w:val="nil"/>
              <w:bottom w:val="nil"/>
            </w:tcBorders>
            <w:vAlign w:val="top"/>
          </w:tcPr>
          <w:p w14:paraId="545D419F">
            <w:pPr>
              <w:rPr>
                <w:rFonts w:ascii="Arial"/>
                <w:sz w:val="21"/>
              </w:rPr>
            </w:pPr>
          </w:p>
        </w:tc>
        <w:tc>
          <w:tcPr>
            <w:tcW w:w="2407" w:type="dxa"/>
            <w:vAlign w:val="top"/>
          </w:tcPr>
          <w:p w14:paraId="5DE6FD5C">
            <w:pPr>
              <w:spacing w:before="65" w:line="220" w:lineRule="auto"/>
              <w:ind w:left="1102"/>
              <w:rPr>
                <w:rFonts w:ascii="宋体" w:hAnsi="宋体" w:eastAsia="宋体" w:cs="宋体"/>
                <w:sz w:val="21"/>
                <w:szCs w:val="21"/>
              </w:rPr>
            </w:pPr>
            <w:r>
              <w:rPr>
                <w:rFonts w:ascii="宋体" w:hAnsi="宋体" w:eastAsia="宋体" w:cs="宋体"/>
                <w:sz w:val="21"/>
                <w:szCs w:val="21"/>
              </w:rPr>
              <w:t>镍</w:t>
            </w:r>
          </w:p>
        </w:tc>
        <w:tc>
          <w:tcPr>
            <w:tcW w:w="1698" w:type="dxa"/>
            <w:vAlign w:val="top"/>
          </w:tcPr>
          <w:p w14:paraId="7F8A32CE">
            <w:pPr>
              <w:pStyle w:val="6"/>
              <w:spacing w:before="102" w:line="188" w:lineRule="auto"/>
              <w:ind w:left="766"/>
            </w:pPr>
            <w:r>
              <w:rPr>
                <w:spacing w:val="-12"/>
              </w:rPr>
              <w:t>14</w:t>
            </w:r>
          </w:p>
        </w:tc>
        <w:tc>
          <w:tcPr>
            <w:tcW w:w="993" w:type="dxa"/>
            <w:vAlign w:val="top"/>
          </w:tcPr>
          <w:p w14:paraId="20BDB7CB">
            <w:pPr>
              <w:pStyle w:val="6"/>
              <w:spacing w:before="101" w:line="188" w:lineRule="auto"/>
              <w:ind w:left="362"/>
            </w:pPr>
            <w:r>
              <w:rPr>
                <w:spacing w:val="-9"/>
              </w:rPr>
              <w:t>190</w:t>
            </w:r>
          </w:p>
        </w:tc>
        <w:tc>
          <w:tcPr>
            <w:tcW w:w="807" w:type="dxa"/>
            <w:vAlign w:val="top"/>
          </w:tcPr>
          <w:p w14:paraId="405B3516">
            <w:pPr>
              <w:pStyle w:val="6"/>
              <w:spacing w:before="97" w:line="192" w:lineRule="auto"/>
              <w:ind w:left="134"/>
            </w:pPr>
            <w:r>
              <w:rPr>
                <w:spacing w:val="-1"/>
              </w:rPr>
              <w:t>mg/kg</w:t>
            </w:r>
          </w:p>
        </w:tc>
      </w:tr>
      <w:tr w14:paraId="46C0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1B77D347">
            <w:pPr>
              <w:rPr>
                <w:rFonts w:ascii="Arial"/>
                <w:sz w:val="21"/>
              </w:rPr>
            </w:pPr>
          </w:p>
        </w:tc>
        <w:tc>
          <w:tcPr>
            <w:tcW w:w="1203" w:type="dxa"/>
            <w:vMerge w:val="continue"/>
            <w:tcBorders>
              <w:top w:val="nil"/>
              <w:bottom w:val="nil"/>
            </w:tcBorders>
            <w:vAlign w:val="top"/>
          </w:tcPr>
          <w:p w14:paraId="7200FCE6">
            <w:pPr>
              <w:rPr>
                <w:rFonts w:ascii="Arial"/>
                <w:sz w:val="21"/>
              </w:rPr>
            </w:pPr>
          </w:p>
        </w:tc>
        <w:tc>
          <w:tcPr>
            <w:tcW w:w="2407" w:type="dxa"/>
            <w:vAlign w:val="top"/>
          </w:tcPr>
          <w:p w14:paraId="740B53CB">
            <w:pPr>
              <w:spacing w:before="65" w:line="221" w:lineRule="auto"/>
              <w:ind w:left="1102"/>
              <w:rPr>
                <w:rFonts w:ascii="宋体" w:hAnsi="宋体" w:eastAsia="宋体" w:cs="宋体"/>
                <w:sz w:val="21"/>
                <w:szCs w:val="21"/>
              </w:rPr>
            </w:pPr>
            <w:r>
              <w:rPr>
                <w:rFonts w:ascii="宋体" w:hAnsi="宋体" w:eastAsia="宋体" w:cs="宋体"/>
                <w:sz w:val="21"/>
                <w:szCs w:val="21"/>
              </w:rPr>
              <w:t>铜</w:t>
            </w:r>
          </w:p>
        </w:tc>
        <w:tc>
          <w:tcPr>
            <w:tcW w:w="1698" w:type="dxa"/>
            <w:vAlign w:val="top"/>
          </w:tcPr>
          <w:p w14:paraId="2BE7F52A">
            <w:pPr>
              <w:pStyle w:val="6"/>
              <w:spacing w:before="102" w:line="188" w:lineRule="auto"/>
              <w:ind w:left="668"/>
            </w:pPr>
            <w:r>
              <w:rPr>
                <w:spacing w:val="-1"/>
              </w:rPr>
              <w:t>21.4</w:t>
            </w:r>
          </w:p>
        </w:tc>
        <w:tc>
          <w:tcPr>
            <w:tcW w:w="993" w:type="dxa"/>
            <w:vAlign w:val="top"/>
          </w:tcPr>
          <w:p w14:paraId="16A4DCDC">
            <w:pPr>
              <w:pStyle w:val="6"/>
              <w:spacing w:before="102" w:line="188" w:lineRule="auto"/>
              <w:ind w:left="362"/>
            </w:pPr>
            <w:r>
              <w:rPr>
                <w:spacing w:val="-9"/>
              </w:rPr>
              <w:t>100</w:t>
            </w:r>
          </w:p>
        </w:tc>
        <w:tc>
          <w:tcPr>
            <w:tcW w:w="807" w:type="dxa"/>
            <w:vAlign w:val="top"/>
          </w:tcPr>
          <w:p w14:paraId="1CA83A66">
            <w:pPr>
              <w:pStyle w:val="6"/>
              <w:spacing w:before="98" w:line="192" w:lineRule="auto"/>
              <w:ind w:left="134"/>
            </w:pPr>
            <w:r>
              <w:rPr>
                <w:spacing w:val="-1"/>
              </w:rPr>
              <w:t>mg/kg</w:t>
            </w:r>
          </w:p>
        </w:tc>
      </w:tr>
      <w:tr w14:paraId="4B04D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1F11BA34">
            <w:pPr>
              <w:rPr>
                <w:rFonts w:ascii="Arial"/>
                <w:sz w:val="21"/>
              </w:rPr>
            </w:pPr>
          </w:p>
        </w:tc>
        <w:tc>
          <w:tcPr>
            <w:tcW w:w="1203" w:type="dxa"/>
            <w:vMerge w:val="continue"/>
            <w:tcBorders>
              <w:top w:val="nil"/>
              <w:bottom w:val="nil"/>
            </w:tcBorders>
            <w:vAlign w:val="top"/>
          </w:tcPr>
          <w:p w14:paraId="75230B1B">
            <w:pPr>
              <w:rPr>
                <w:rFonts w:ascii="Arial"/>
                <w:sz w:val="21"/>
              </w:rPr>
            </w:pPr>
          </w:p>
        </w:tc>
        <w:tc>
          <w:tcPr>
            <w:tcW w:w="2407" w:type="dxa"/>
            <w:vAlign w:val="top"/>
          </w:tcPr>
          <w:p w14:paraId="3D737A41">
            <w:pPr>
              <w:spacing w:before="66" w:line="220" w:lineRule="auto"/>
              <w:ind w:left="1102"/>
              <w:rPr>
                <w:rFonts w:ascii="宋体" w:hAnsi="宋体" w:eastAsia="宋体" w:cs="宋体"/>
                <w:sz w:val="21"/>
                <w:szCs w:val="21"/>
              </w:rPr>
            </w:pPr>
            <w:r>
              <w:rPr>
                <w:rFonts w:ascii="宋体" w:hAnsi="宋体" w:eastAsia="宋体" w:cs="宋体"/>
                <w:sz w:val="21"/>
                <w:szCs w:val="21"/>
              </w:rPr>
              <w:t>锌</w:t>
            </w:r>
          </w:p>
        </w:tc>
        <w:tc>
          <w:tcPr>
            <w:tcW w:w="1698" w:type="dxa"/>
            <w:vAlign w:val="top"/>
          </w:tcPr>
          <w:p w14:paraId="4B6805C6">
            <w:pPr>
              <w:pStyle w:val="6"/>
              <w:spacing w:before="102" w:line="188" w:lineRule="auto"/>
              <w:ind w:left="715"/>
            </w:pPr>
            <w:r>
              <w:rPr>
                <w:spacing w:val="-9"/>
              </w:rPr>
              <w:t>134</w:t>
            </w:r>
          </w:p>
        </w:tc>
        <w:tc>
          <w:tcPr>
            <w:tcW w:w="993" w:type="dxa"/>
            <w:vAlign w:val="top"/>
          </w:tcPr>
          <w:p w14:paraId="3CDB86F4">
            <w:pPr>
              <w:pStyle w:val="6"/>
              <w:spacing w:before="102" w:line="188" w:lineRule="auto"/>
              <w:ind w:left="346"/>
            </w:pPr>
            <w:r>
              <w:rPr>
                <w:spacing w:val="-3"/>
              </w:rPr>
              <w:t>300</w:t>
            </w:r>
          </w:p>
        </w:tc>
        <w:tc>
          <w:tcPr>
            <w:tcW w:w="807" w:type="dxa"/>
            <w:vAlign w:val="top"/>
          </w:tcPr>
          <w:p w14:paraId="6492B67F">
            <w:pPr>
              <w:pStyle w:val="6"/>
              <w:spacing w:before="98" w:line="192" w:lineRule="auto"/>
              <w:ind w:left="134"/>
            </w:pPr>
            <w:r>
              <w:rPr>
                <w:spacing w:val="-1"/>
              </w:rPr>
              <w:t>mg/kg</w:t>
            </w:r>
          </w:p>
        </w:tc>
      </w:tr>
      <w:tr w14:paraId="3B755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778B7461">
            <w:pPr>
              <w:rPr>
                <w:rFonts w:ascii="Arial"/>
                <w:sz w:val="21"/>
              </w:rPr>
            </w:pPr>
          </w:p>
        </w:tc>
        <w:tc>
          <w:tcPr>
            <w:tcW w:w="1203" w:type="dxa"/>
            <w:vMerge w:val="continue"/>
            <w:tcBorders>
              <w:top w:val="nil"/>
              <w:bottom w:val="nil"/>
            </w:tcBorders>
            <w:vAlign w:val="top"/>
          </w:tcPr>
          <w:p w14:paraId="03F2F996">
            <w:pPr>
              <w:rPr>
                <w:rFonts w:ascii="Arial"/>
                <w:sz w:val="21"/>
              </w:rPr>
            </w:pPr>
          </w:p>
        </w:tc>
        <w:tc>
          <w:tcPr>
            <w:tcW w:w="2407" w:type="dxa"/>
            <w:vAlign w:val="top"/>
          </w:tcPr>
          <w:p w14:paraId="3A4BD530">
            <w:pPr>
              <w:spacing w:before="66" w:line="220" w:lineRule="auto"/>
              <w:ind w:left="1102"/>
              <w:rPr>
                <w:rFonts w:ascii="宋体" w:hAnsi="宋体" w:eastAsia="宋体" w:cs="宋体"/>
                <w:sz w:val="21"/>
                <w:szCs w:val="21"/>
              </w:rPr>
            </w:pPr>
            <w:r>
              <w:rPr>
                <w:rFonts w:ascii="宋体" w:hAnsi="宋体" w:eastAsia="宋体" w:cs="宋体"/>
                <w:sz w:val="21"/>
                <w:szCs w:val="21"/>
              </w:rPr>
              <w:t>砷</w:t>
            </w:r>
          </w:p>
        </w:tc>
        <w:tc>
          <w:tcPr>
            <w:tcW w:w="1698" w:type="dxa"/>
            <w:vAlign w:val="top"/>
          </w:tcPr>
          <w:p w14:paraId="7D214685">
            <w:pPr>
              <w:pStyle w:val="6"/>
              <w:spacing w:before="105" w:line="185" w:lineRule="auto"/>
              <w:ind w:left="723"/>
            </w:pPr>
            <w:r>
              <w:rPr>
                <w:spacing w:val="-3"/>
              </w:rPr>
              <w:t>7.7</w:t>
            </w:r>
          </w:p>
        </w:tc>
        <w:tc>
          <w:tcPr>
            <w:tcW w:w="993" w:type="dxa"/>
            <w:vAlign w:val="top"/>
          </w:tcPr>
          <w:p w14:paraId="2F90447E">
            <w:pPr>
              <w:pStyle w:val="6"/>
              <w:spacing w:before="102" w:line="188" w:lineRule="auto"/>
              <w:ind w:left="394"/>
            </w:pPr>
            <w:r>
              <w:rPr>
                <w:spacing w:val="-2"/>
              </w:rPr>
              <w:t>25</w:t>
            </w:r>
          </w:p>
        </w:tc>
        <w:tc>
          <w:tcPr>
            <w:tcW w:w="807" w:type="dxa"/>
            <w:vAlign w:val="top"/>
          </w:tcPr>
          <w:p w14:paraId="05EAA10C">
            <w:pPr>
              <w:pStyle w:val="6"/>
              <w:spacing w:before="98" w:line="192" w:lineRule="auto"/>
              <w:ind w:left="134"/>
            </w:pPr>
            <w:r>
              <w:rPr>
                <w:spacing w:val="-1"/>
              </w:rPr>
              <w:t>mg/kg</w:t>
            </w:r>
          </w:p>
        </w:tc>
      </w:tr>
      <w:tr w14:paraId="01918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7C90B522">
            <w:pPr>
              <w:rPr>
                <w:rFonts w:ascii="Arial"/>
                <w:sz w:val="21"/>
              </w:rPr>
            </w:pPr>
          </w:p>
        </w:tc>
        <w:tc>
          <w:tcPr>
            <w:tcW w:w="1203" w:type="dxa"/>
            <w:vMerge w:val="continue"/>
            <w:tcBorders>
              <w:top w:val="nil"/>
              <w:bottom w:val="nil"/>
            </w:tcBorders>
            <w:vAlign w:val="top"/>
          </w:tcPr>
          <w:p w14:paraId="6E87E14E">
            <w:pPr>
              <w:rPr>
                <w:rFonts w:ascii="Arial"/>
                <w:sz w:val="21"/>
              </w:rPr>
            </w:pPr>
          </w:p>
        </w:tc>
        <w:tc>
          <w:tcPr>
            <w:tcW w:w="2407" w:type="dxa"/>
            <w:vAlign w:val="top"/>
          </w:tcPr>
          <w:p w14:paraId="22E52B7E">
            <w:pPr>
              <w:spacing w:before="67" w:line="222" w:lineRule="auto"/>
              <w:ind w:left="1101"/>
              <w:rPr>
                <w:rFonts w:ascii="宋体" w:hAnsi="宋体" w:eastAsia="宋体" w:cs="宋体"/>
                <w:sz w:val="21"/>
                <w:szCs w:val="21"/>
              </w:rPr>
            </w:pPr>
            <w:r>
              <w:rPr>
                <w:rFonts w:ascii="宋体" w:hAnsi="宋体" w:eastAsia="宋体" w:cs="宋体"/>
                <w:sz w:val="21"/>
                <w:szCs w:val="21"/>
              </w:rPr>
              <w:t>镉</w:t>
            </w:r>
          </w:p>
        </w:tc>
        <w:tc>
          <w:tcPr>
            <w:tcW w:w="1698" w:type="dxa"/>
            <w:vAlign w:val="top"/>
          </w:tcPr>
          <w:p w14:paraId="04F1D929">
            <w:pPr>
              <w:spacing w:before="66" w:line="220" w:lineRule="auto"/>
              <w:ind w:left="543"/>
              <w:rPr>
                <w:rFonts w:ascii="宋体" w:hAnsi="宋体" w:eastAsia="宋体" w:cs="宋体"/>
                <w:sz w:val="21"/>
                <w:szCs w:val="21"/>
              </w:rPr>
            </w:pPr>
            <w:r>
              <w:rPr>
                <w:rFonts w:ascii="宋体" w:hAnsi="宋体" w:eastAsia="宋体" w:cs="宋体"/>
                <w:spacing w:val="-3"/>
                <w:sz w:val="21"/>
                <w:szCs w:val="21"/>
              </w:rPr>
              <w:t>未检出</w:t>
            </w:r>
          </w:p>
        </w:tc>
        <w:tc>
          <w:tcPr>
            <w:tcW w:w="993" w:type="dxa"/>
            <w:vAlign w:val="top"/>
          </w:tcPr>
          <w:p w14:paraId="487342E7">
            <w:pPr>
              <w:pStyle w:val="6"/>
              <w:spacing w:before="103" w:line="188" w:lineRule="auto"/>
              <w:ind w:left="371"/>
            </w:pPr>
            <w:r>
              <w:rPr>
                <w:spacing w:val="-3"/>
              </w:rPr>
              <w:t>0.6</w:t>
            </w:r>
          </w:p>
        </w:tc>
        <w:tc>
          <w:tcPr>
            <w:tcW w:w="807" w:type="dxa"/>
            <w:vAlign w:val="top"/>
          </w:tcPr>
          <w:p w14:paraId="47CBD582">
            <w:pPr>
              <w:pStyle w:val="6"/>
              <w:spacing w:before="99" w:line="192" w:lineRule="auto"/>
              <w:ind w:left="135"/>
            </w:pPr>
            <w:r>
              <w:rPr>
                <w:spacing w:val="-1"/>
              </w:rPr>
              <w:t>mg/kg</w:t>
            </w:r>
          </w:p>
        </w:tc>
      </w:tr>
      <w:tr w14:paraId="53DA1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6FF825D4">
            <w:pPr>
              <w:rPr>
                <w:rFonts w:ascii="Arial"/>
                <w:sz w:val="21"/>
              </w:rPr>
            </w:pPr>
          </w:p>
        </w:tc>
        <w:tc>
          <w:tcPr>
            <w:tcW w:w="1203" w:type="dxa"/>
            <w:vMerge w:val="continue"/>
            <w:tcBorders>
              <w:top w:val="nil"/>
              <w:bottom w:val="nil"/>
            </w:tcBorders>
            <w:vAlign w:val="top"/>
          </w:tcPr>
          <w:p w14:paraId="7575906C">
            <w:pPr>
              <w:rPr>
                <w:rFonts w:ascii="Arial"/>
                <w:sz w:val="21"/>
              </w:rPr>
            </w:pPr>
          </w:p>
        </w:tc>
        <w:tc>
          <w:tcPr>
            <w:tcW w:w="2407" w:type="dxa"/>
            <w:vAlign w:val="top"/>
          </w:tcPr>
          <w:p w14:paraId="040AA1D0">
            <w:pPr>
              <w:spacing w:before="66" w:line="224" w:lineRule="auto"/>
              <w:ind w:left="1102"/>
              <w:rPr>
                <w:rFonts w:ascii="宋体" w:hAnsi="宋体" w:eastAsia="宋体" w:cs="宋体"/>
                <w:sz w:val="21"/>
                <w:szCs w:val="21"/>
              </w:rPr>
            </w:pPr>
            <w:r>
              <w:rPr>
                <w:rFonts w:ascii="宋体" w:hAnsi="宋体" w:eastAsia="宋体" w:cs="宋体"/>
                <w:sz w:val="21"/>
                <w:szCs w:val="21"/>
              </w:rPr>
              <w:t>铅</w:t>
            </w:r>
          </w:p>
        </w:tc>
        <w:tc>
          <w:tcPr>
            <w:tcW w:w="1698" w:type="dxa"/>
            <w:vAlign w:val="top"/>
          </w:tcPr>
          <w:p w14:paraId="62DF1BC8">
            <w:pPr>
              <w:pStyle w:val="6"/>
              <w:spacing w:before="103" w:line="188" w:lineRule="auto"/>
              <w:ind w:left="746"/>
            </w:pPr>
            <w:r>
              <w:rPr>
                <w:spacing w:val="-2"/>
              </w:rPr>
              <w:t>20</w:t>
            </w:r>
          </w:p>
        </w:tc>
        <w:tc>
          <w:tcPr>
            <w:tcW w:w="993" w:type="dxa"/>
            <w:vAlign w:val="top"/>
          </w:tcPr>
          <w:p w14:paraId="3DB50E4A">
            <w:pPr>
              <w:pStyle w:val="6"/>
              <w:spacing w:before="103" w:line="188" w:lineRule="auto"/>
              <w:ind w:left="362"/>
            </w:pPr>
            <w:r>
              <w:rPr>
                <w:spacing w:val="-9"/>
              </w:rPr>
              <w:t>170</w:t>
            </w:r>
          </w:p>
        </w:tc>
        <w:tc>
          <w:tcPr>
            <w:tcW w:w="807" w:type="dxa"/>
            <w:vAlign w:val="top"/>
          </w:tcPr>
          <w:p w14:paraId="2339804F">
            <w:pPr>
              <w:pStyle w:val="6"/>
              <w:spacing w:before="99" w:line="192" w:lineRule="auto"/>
              <w:ind w:left="134"/>
            </w:pPr>
            <w:r>
              <w:rPr>
                <w:spacing w:val="-1"/>
              </w:rPr>
              <w:t>mg/kg</w:t>
            </w:r>
          </w:p>
        </w:tc>
      </w:tr>
      <w:tr w14:paraId="53A78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10E5F5E2">
            <w:pPr>
              <w:rPr>
                <w:rFonts w:ascii="Arial"/>
                <w:sz w:val="21"/>
              </w:rPr>
            </w:pPr>
          </w:p>
        </w:tc>
        <w:tc>
          <w:tcPr>
            <w:tcW w:w="1203" w:type="dxa"/>
            <w:vMerge w:val="continue"/>
            <w:tcBorders>
              <w:top w:val="nil"/>
            </w:tcBorders>
            <w:vAlign w:val="top"/>
          </w:tcPr>
          <w:p w14:paraId="4814F935">
            <w:pPr>
              <w:rPr>
                <w:rFonts w:ascii="Arial"/>
                <w:sz w:val="21"/>
              </w:rPr>
            </w:pPr>
          </w:p>
        </w:tc>
        <w:tc>
          <w:tcPr>
            <w:tcW w:w="2407" w:type="dxa"/>
            <w:vAlign w:val="top"/>
          </w:tcPr>
          <w:p w14:paraId="7E80E206">
            <w:pPr>
              <w:spacing w:before="67" w:line="220" w:lineRule="auto"/>
              <w:ind w:left="1103"/>
              <w:rPr>
                <w:rFonts w:ascii="宋体" w:hAnsi="宋体" w:eastAsia="宋体" w:cs="宋体"/>
                <w:sz w:val="21"/>
                <w:szCs w:val="21"/>
              </w:rPr>
            </w:pPr>
            <w:r>
              <w:rPr>
                <w:rFonts w:ascii="宋体" w:hAnsi="宋体" w:eastAsia="宋体" w:cs="宋体"/>
                <w:sz w:val="21"/>
                <w:szCs w:val="21"/>
              </w:rPr>
              <w:t>汞</w:t>
            </w:r>
          </w:p>
        </w:tc>
        <w:tc>
          <w:tcPr>
            <w:tcW w:w="1698" w:type="dxa"/>
            <w:vAlign w:val="top"/>
          </w:tcPr>
          <w:p w14:paraId="4442C40A">
            <w:pPr>
              <w:pStyle w:val="6"/>
              <w:spacing w:before="103" w:line="188" w:lineRule="auto"/>
              <w:ind w:left="618"/>
            </w:pPr>
            <w:r>
              <w:rPr>
                <w:spacing w:val="-2"/>
              </w:rPr>
              <w:t>0.329</w:t>
            </w:r>
          </w:p>
        </w:tc>
        <w:tc>
          <w:tcPr>
            <w:tcW w:w="993" w:type="dxa"/>
            <w:vAlign w:val="top"/>
          </w:tcPr>
          <w:p w14:paraId="161BA9C3">
            <w:pPr>
              <w:pStyle w:val="6"/>
              <w:spacing w:before="103" w:line="188" w:lineRule="auto"/>
              <w:ind w:left="372"/>
            </w:pPr>
            <w:r>
              <w:rPr>
                <w:spacing w:val="-3"/>
              </w:rPr>
              <w:t>3.4</w:t>
            </w:r>
          </w:p>
        </w:tc>
        <w:tc>
          <w:tcPr>
            <w:tcW w:w="807" w:type="dxa"/>
            <w:vAlign w:val="top"/>
          </w:tcPr>
          <w:p w14:paraId="0E246CB4">
            <w:pPr>
              <w:pStyle w:val="6"/>
              <w:spacing w:before="99" w:line="192" w:lineRule="auto"/>
              <w:ind w:left="135"/>
            </w:pPr>
            <w:r>
              <w:rPr>
                <w:spacing w:val="-1"/>
              </w:rPr>
              <w:t>mg/kg</w:t>
            </w:r>
          </w:p>
        </w:tc>
      </w:tr>
      <w:tr w14:paraId="3C07F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5F22876E">
            <w:pPr>
              <w:rPr>
                <w:rFonts w:ascii="Arial"/>
                <w:sz w:val="21"/>
              </w:rPr>
            </w:pPr>
          </w:p>
        </w:tc>
        <w:tc>
          <w:tcPr>
            <w:tcW w:w="1203" w:type="dxa"/>
            <w:vMerge w:val="restart"/>
            <w:tcBorders>
              <w:bottom w:val="nil"/>
            </w:tcBorders>
            <w:vAlign w:val="top"/>
          </w:tcPr>
          <w:p w14:paraId="56F49E6D">
            <w:pPr>
              <w:spacing w:line="278" w:lineRule="auto"/>
              <w:rPr>
                <w:rFonts w:ascii="Arial"/>
                <w:sz w:val="21"/>
              </w:rPr>
            </w:pPr>
          </w:p>
          <w:p w14:paraId="46F5A38C">
            <w:pPr>
              <w:spacing w:line="278" w:lineRule="auto"/>
              <w:rPr>
                <w:rFonts w:ascii="Arial"/>
                <w:sz w:val="21"/>
              </w:rPr>
            </w:pPr>
          </w:p>
          <w:p w14:paraId="064A371E">
            <w:pPr>
              <w:spacing w:line="278" w:lineRule="auto"/>
              <w:rPr>
                <w:rFonts w:ascii="Arial"/>
                <w:sz w:val="21"/>
              </w:rPr>
            </w:pPr>
          </w:p>
          <w:p w14:paraId="4F2F9137">
            <w:pPr>
              <w:spacing w:line="278" w:lineRule="auto"/>
              <w:rPr>
                <w:rFonts w:ascii="Arial"/>
                <w:sz w:val="21"/>
              </w:rPr>
            </w:pPr>
          </w:p>
          <w:p w14:paraId="134144AD">
            <w:pPr>
              <w:spacing w:line="279" w:lineRule="auto"/>
              <w:rPr>
                <w:rFonts w:ascii="Arial"/>
                <w:sz w:val="21"/>
              </w:rPr>
            </w:pPr>
          </w:p>
          <w:p w14:paraId="5E54D8C9">
            <w:pPr>
              <w:pStyle w:val="6"/>
              <w:spacing w:before="68" w:line="220" w:lineRule="auto"/>
              <w:ind w:left="156"/>
            </w:pPr>
            <w:r>
              <w:rPr>
                <w:rFonts w:ascii="宋体" w:hAnsi="宋体" w:eastAsia="宋体" w:cs="宋体"/>
                <w:spacing w:val="-4"/>
              </w:rPr>
              <w:t>项目地</w:t>
            </w:r>
            <w:r>
              <w:rPr>
                <w:rFonts w:ascii="宋体" w:hAnsi="宋体" w:eastAsia="宋体" w:cs="宋体"/>
                <w:spacing w:val="-39"/>
              </w:rPr>
              <w:t xml:space="preserve"> </w:t>
            </w:r>
            <w:r>
              <w:rPr>
                <w:spacing w:val="-4"/>
              </w:rPr>
              <w:t>S2</w:t>
            </w:r>
          </w:p>
        </w:tc>
        <w:tc>
          <w:tcPr>
            <w:tcW w:w="2407" w:type="dxa"/>
            <w:vAlign w:val="top"/>
          </w:tcPr>
          <w:p w14:paraId="7D2B6B9C">
            <w:pPr>
              <w:pStyle w:val="6"/>
              <w:spacing w:before="107" w:line="185" w:lineRule="auto"/>
              <w:ind w:left="1071"/>
            </w:pPr>
            <w:r>
              <w:t>pH</w:t>
            </w:r>
          </w:p>
        </w:tc>
        <w:tc>
          <w:tcPr>
            <w:tcW w:w="1698" w:type="dxa"/>
            <w:vAlign w:val="top"/>
          </w:tcPr>
          <w:p w14:paraId="7D19E31B">
            <w:pPr>
              <w:pStyle w:val="6"/>
              <w:spacing w:before="104" w:line="188" w:lineRule="auto"/>
              <w:ind w:left="723"/>
            </w:pPr>
            <w:r>
              <w:rPr>
                <w:spacing w:val="-3"/>
              </w:rPr>
              <w:t>7.8</w:t>
            </w:r>
          </w:p>
        </w:tc>
        <w:tc>
          <w:tcPr>
            <w:tcW w:w="993" w:type="dxa"/>
            <w:vAlign w:val="top"/>
          </w:tcPr>
          <w:p w14:paraId="6D73E60A">
            <w:pPr>
              <w:pStyle w:val="6"/>
              <w:spacing w:before="100" w:line="192" w:lineRule="auto"/>
              <w:ind w:left="466"/>
            </w:pPr>
            <w:r>
              <w:t>/</w:t>
            </w:r>
          </w:p>
        </w:tc>
        <w:tc>
          <w:tcPr>
            <w:tcW w:w="807" w:type="dxa"/>
            <w:vAlign w:val="top"/>
          </w:tcPr>
          <w:p w14:paraId="260D47F3">
            <w:pPr>
              <w:spacing w:before="67" w:line="220" w:lineRule="auto"/>
              <w:ind w:left="96"/>
              <w:rPr>
                <w:rFonts w:ascii="宋体" w:hAnsi="宋体" w:eastAsia="宋体" w:cs="宋体"/>
                <w:sz w:val="21"/>
                <w:szCs w:val="21"/>
              </w:rPr>
            </w:pPr>
            <w:r>
              <w:rPr>
                <w:rFonts w:ascii="宋体" w:hAnsi="宋体" w:eastAsia="宋体" w:cs="宋体"/>
                <w:spacing w:val="-3"/>
                <w:sz w:val="21"/>
                <w:szCs w:val="21"/>
              </w:rPr>
              <w:t>无量纲</w:t>
            </w:r>
          </w:p>
        </w:tc>
      </w:tr>
      <w:tr w14:paraId="19E56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12" w:type="dxa"/>
            <w:vMerge w:val="continue"/>
            <w:tcBorders>
              <w:top w:val="nil"/>
              <w:bottom w:val="nil"/>
            </w:tcBorders>
            <w:vAlign w:val="top"/>
          </w:tcPr>
          <w:p w14:paraId="58F65DBA">
            <w:pPr>
              <w:rPr>
                <w:rFonts w:ascii="Arial"/>
                <w:sz w:val="21"/>
              </w:rPr>
            </w:pPr>
          </w:p>
        </w:tc>
        <w:tc>
          <w:tcPr>
            <w:tcW w:w="1203" w:type="dxa"/>
            <w:vMerge w:val="continue"/>
            <w:tcBorders>
              <w:top w:val="nil"/>
              <w:bottom w:val="nil"/>
            </w:tcBorders>
            <w:vAlign w:val="top"/>
          </w:tcPr>
          <w:p w14:paraId="4C9C70A9">
            <w:pPr>
              <w:rPr>
                <w:rFonts w:ascii="Arial"/>
                <w:sz w:val="21"/>
              </w:rPr>
            </w:pPr>
          </w:p>
        </w:tc>
        <w:tc>
          <w:tcPr>
            <w:tcW w:w="2407" w:type="dxa"/>
            <w:vAlign w:val="top"/>
          </w:tcPr>
          <w:p w14:paraId="621F8CFE">
            <w:pPr>
              <w:spacing w:before="67" w:line="222" w:lineRule="auto"/>
              <w:ind w:left="1102"/>
              <w:rPr>
                <w:rFonts w:ascii="宋体" w:hAnsi="宋体" w:eastAsia="宋体" w:cs="宋体"/>
                <w:sz w:val="21"/>
                <w:szCs w:val="21"/>
              </w:rPr>
            </w:pPr>
            <w:r>
              <w:rPr>
                <w:rFonts w:ascii="宋体" w:hAnsi="宋体" w:eastAsia="宋体" w:cs="宋体"/>
                <w:sz w:val="21"/>
                <w:szCs w:val="21"/>
              </w:rPr>
              <w:t>铬</w:t>
            </w:r>
          </w:p>
        </w:tc>
        <w:tc>
          <w:tcPr>
            <w:tcW w:w="1698" w:type="dxa"/>
            <w:vAlign w:val="top"/>
          </w:tcPr>
          <w:p w14:paraId="22E70683">
            <w:pPr>
              <w:pStyle w:val="6"/>
              <w:spacing w:before="90" w:line="188" w:lineRule="auto"/>
              <w:ind w:left="749"/>
            </w:pPr>
            <w:r>
              <w:rPr>
                <w:spacing w:val="-2"/>
              </w:rPr>
              <w:t>72</w:t>
            </w:r>
          </w:p>
        </w:tc>
        <w:tc>
          <w:tcPr>
            <w:tcW w:w="993" w:type="dxa"/>
            <w:vAlign w:val="top"/>
          </w:tcPr>
          <w:p w14:paraId="13DDC5D7">
            <w:pPr>
              <w:pStyle w:val="6"/>
              <w:spacing w:before="104" w:line="188" w:lineRule="auto"/>
              <w:ind w:left="342"/>
            </w:pPr>
            <w:r>
              <w:rPr>
                <w:spacing w:val="-2"/>
              </w:rPr>
              <w:t>250</w:t>
            </w:r>
          </w:p>
        </w:tc>
        <w:tc>
          <w:tcPr>
            <w:tcW w:w="807" w:type="dxa"/>
            <w:vAlign w:val="top"/>
          </w:tcPr>
          <w:p w14:paraId="17764B93">
            <w:pPr>
              <w:pStyle w:val="6"/>
              <w:spacing w:before="100" w:line="192" w:lineRule="auto"/>
              <w:ind w:left="134"/>
            </w:pPr>
            <w:r>
              <w:rPr>
                <w:spacing w:val="-1"/>
              </w:rPr>
              <w:t>mg/kg</w:t>
            </w:r>
          </w:p>
        </w:tc>
      </w:tr>
      <w:tr w14:paraId="0BBFB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644F21AE">
            <w:pPr>
              <w:rPr>
                <w:rFonts w:ascii="Arial"/>
                <w:sz w:val="21"/>
              </w:rPr>
            </w:pPr>
          </w:p>
        </w:tc>
        <w:tc>
          <w:tcPr>
            <w:tcW w:w="1203" w:type="dxa"/>
            <w:vMerge w:val="continue"/>
            <w:tcBorders>
              <w:top w:val="nil"/>
              <w:bottom w:val="nil"/>
            </w:tcBorders>
            <w:vAlign w:val="top"/>
          </w:tcPr>
          <w:p w14:paraId="0540D8AD">
            <w:pPr>
              <w:rPr>
                <w:rFonts w:ascii="Arial"/>
                <w:sz w:val="21"/>
              </w:rPr>
            </w:pPr>
          </w:p>
        </w:tc>
        <w:tc>
          <w:tcPr>
            <w:tcW w:w="2407" w:type="dxa"/>
            <w:vAlign w:val="top"/>
          </w:tcPr>
          <w:p w14:paraId="7EE45A5D">
            <w:pPr>
              <w:spacing w:before="67" w:line="220" w:lineRule="auto"/>
              <w:ind w:left="1102"/>
              <w:rPr>
                <w:rFonts w:ascii="宋体" w:hAnsi="宋体" w:eastAsia="宋体" w:cs="宋体"/>
                <w:sz w:val="21"/>
                <w:szCs w:val="21"/>
              </w:rPr>
            </w:pPr>
            <w:r>
              <w:rPr>
                <w:rFonts w:ascii="宋体" w:hAnsi="宋体" w:eastAsia="宋体" w:cs="宋体"/>
                <w:sz w:val="21"/>
                <w:szCs w:val="21"/>
              </w:rPr>
              <w:t>镍</w:t>
            </w:r>
          </w:p>
        </w:tc>
        <w:tc>
          <w:tcPr>
            <w:tcW w:w="1698" w:type="dxa"/>
            <w:vAlign w:val="top"/>
          </w:tcPr>
          <w:p w14:paraId="13BDBD53">
            <w:pPr>
              <w:pStyle w:val="6"/>
              <w:spacing w:before="89" w:line="188" w:lineRule="auto"/>
              <w:ind w:left="766"/>
            </w:pPr>
            <w:r>
              <w:rPr>
                <w:spacing w:val="-6"/>
              </w:rPr>
              <w:t>17</w:t>
            </w:r>
          </w:p>
        </w:tc>
        <w:tc>
          <w:tcPr>
            <w:tcW w:w="993" w:type="dxa"/>
            <w:vAlign w:val="top"/>
          </w:tcPr>
          <w:p w14:paraId="64F8645B">
            <w:pPr>
              <w:pStyle w:val="6"/>
              <w:spacing w:before="103" w:line="188" w:lineRule="auto"/>
              <w:ind w:left="362"/>
            </w:pPr>
            <w:r>
              <w:rPr>
                <w:spacing w:val="-9"/>
              </w:rPr>
              <w:t>190</w:t>
            </w:r>
          </w:p>
        </w:tc>
        <w:tc>
          <w:tcPr>
            <w:tcW w:w="807" w:type="dxa"/>
            <w:vAlign w:val="top"/>
          </w:tcPr>
          <w:p w14:paraId="35DE9FD2">
            <w:pPr>
              <w:pStyle w:val="6"/>
              <w:spacing w:before="99" w:line="192" w:lineRule="auto"/>
              <w:ind w:left="134"/>
            </w:pPr>
            <w:r>
              <w:rPr>
                <w:spacing w:val="-1"/>
              </w:rPr>
              <w:t>mg/kg</w:t>
            </w:r>
          </w:p>
        </w:tc>
      </w:tr>
      <w:tr w14:paraId="5137D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12" w:type="dxa"/>
            <w:vMerge w:val="continue"/>
            <w:tcBorders>
              <w:top w:val="nil"/>
              <w:bottom w:val="nil"/>
            </w:tcBorders>
            <w:vAlign w:val="top"/>
          </w:tcPr>
          <w:p w14:paraId="392B0215">
            <w:pPr>
              <w:rPr>
                <w:rFonts w:ascii="Arial"/>
                <w:sz w:val="21"/>
              </w:rPr>
            </w:pPr>
          </w:p>
        </w:tc>
        <w:tc>
          <w:tcPr>
            <w:tcW w:w="1203" w:type="dxa"/>
            <w:vMerge w:val="continue"/>
            <w:tcBorders>
              <w:top w:val="nil"/>
              <w:bottom w:val="nil"/>
            </w:tcBorders>
            <w:vAlign w:val="top"/>
          </w:tcPr>
          <w:p w14:paraId="7BD6793E">
            <w:pPr>
              <w:rPr>
                <w:rFonts w:ascii="Arial"/>
                <w:sz w:val="21"/>
              </w:rPr>
            </w:pPr>
          </w:p>
        </w:tc>
        <w:tc>
          <w:tcPr>
            <w:tcW w:w="2407" w:type="dxa"/>
            <w:vAlign w:val="top"/>
          </w:tcPr>
          <w:p w14:paraId="56D7D503">
            <w:pPr>
              <w:spacing w:before="67" w:line="221" w:lineRule="auto"/>
              <w:ind w:left="1102"/>
              <w:rPr>
                <w:rFonts w:ascii="宋体" w:hAnsi="宋体" w:eastAsia="宋体" w:cs="宋体"/>
                <w:sz w:val="21"/>
                <w:szCs w:val="21"/>
              </w:rPr>
            </w:pPr>
            <w:r>
              <w:rPr>
                <w:rFonts w:ascii="宋体" w:hAnsi="宋体" w:eastAsia="宋体" w:cs="宋体"/>
                <w:sz w:val="21"/>
                <w:szCs w:val="21"/>
              </w:rPr>
              <w:t>铜</w:t>
            </w:r>
          </w:p>
        </w:tc>
        <w:tc>
          <w:tcPr>
            <w:tcW w:w="1698" w:type="dxa"/>
            <w:vAlign w:val="top"/>
          </w:tcPr>
          <w:p w14:paraId="7743A88A">
            <w:pPr>
              <w:pStyle w:val="6"/>
              <w:spacing w:before="90" w:line="188" w:lineRule="auto"/>
              <w:ind w:left="668"/>
            </w:pPr>
            <w:r>
              <w:rPr>
                <w:spacing w:val="-1"/>
              </w:rPr>
              <w:t>24.0</w:t>
            </w:r>
          </w:p>
        </w:tc>
        <w:tc>
          <w:tcPr>
            <w:tcW w:w="993" w:type="dxa"/>
            <w:vAlign w:val="top"/>
          </w:tcPr>
          <w:p w14:paraId="70C9FE40">
            <w:pPr>
              <w:pStyle w:val="6"/>
              <w:spacing w:before="104" w:line="188" w:lineRule="auto"/>
              <w:ind w:left="362"/>
            </w:pPr>
            <w:r>
              <w:rPr>
                <w:spacing w:val="-9"/>
              </w:rPr>
              <w:t>100</w:t>
            </w:r>
          </w:p>
        </w:tc>
        <w:tc>
          <w:tcPr>
            <w:tcW w:w="807" w:type="dxa"/>
            <w:vAlign w:val="top"/>
          </w:tcPr>
          <w:p w14:paraId="70594354">
            <w:pPr>
              <w:pStyle w:val="6"/>
              <w:spacing w:before="100" w:line="192" w:lineRule="auto"/>
              <w:ind w:left="134"/>
            </w:pPr>
            <w:r>
              <w:rPr>
                <w:spacing w:val="-1"/>
              </w:rPr>
              <w:t>mg/kg</w:t>
            </w:r>
          </w:p>
        </w:tc>
      </w:tr>
      <w:tr w14:paraId="16B68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061C53CD">
            <w:pPr>
              <w:rPr>
                <w:rFonts w:ascii="Arial"/>
                <w:sz w:val="21"/>
              </w:rPr>
            </w:pPr>
          </w:p>
        </w:tc>
        <w:tc>
          <w:tcPr>
            <w:tcW w:w="1203" w:type="dxa"/>
            <w:vMerge w:val="continue"/>
            <w:tcBorders>
              <w:top w:val="nil"/>
              <w:bottom w:val="nil"/>
            </w:tcBorders>
            <w:vAlign w:val="top"/>
          </w:tcPr>
          <w:p w14:paraId="6D24AF15">
            <w:pPr>
              <w:rPr>
                <w:rFonts w:ascii="Arial"/>
                <w:sz w:val="21"/>
              </w:rPr>
            </w:pPr>
          </w:p>
        </w:tc>
        <w:tc>
          <w:tcPr>
            <w:tcW w:w="2407" w:type="dxa"/>
            <w:vAlign w:val="top"/>
          </w:tcPr>
          <w:p w14:paraId="590EE29C">
            <w:pPr>
              <w:spacing w:before="67" w:line="220" w:lineRule="auto"/>
              <w:ind w:left="1102"/>
              <w:rPr>
                <w:rFonts w:ascii="宋体" w:hAnsi="宋体" w:eastAsia="宋体" w:cs="宋体"/>
                <w:sz w:val="21"/>
                <w:szCs w:val="21"/>
              </w:rPr>
            </w:pPr>
            <w:r>
              <w:rPr>
                <w:rFonts w:ascii="宋体" w:hAnsi="宋体" w:eastAsia="宋体" w:cs="宋体"/>
                <w:sz w:val="21"/>
                <w:szCs w:val="21"/>
              </w:rPr>
              <w:t>锌</w:t>
            </w:r>
          </w:p>
        </w:tc>
        <w:tc>
          <w:tcPr>
            <w:tcW w:w="1698" w:type="dxa"/>
            <w:vAlign w:val="top"/>
          </w:tcPr>
          <w:p w14:paraId="7FE124EE">
            <w:pPr>
              <w:pStyle w:val="6"/>
              <w:spacing w:before="89" w:line="188" w:lineRule="auto"/>
              <w:ind w:left="715"/>
            </w:pPr>
            <w:r>
              <w:rPr>
                <w:spacing w:val="-9"/>
              </w:rPr>
              <w:t>123</w:t>
            </w:r>
          </w:p>
        </w:tc>
        <w:tc>
          <w:tcPr>
            <w:tcW w:w="993" w:type="dxa"/>
            <w:vAlign w:val="top"/>
          </w:tcPr>
          <w:p w14:paraId="4033E4EC">
            <w:pPr>
              <w:pStyle w:val="6"/>
              <w:spacing w:before="103" w:line="188" w:lineRule="auto"/>
              <w:ind w:left="346"/>
            </w:pPr>
            <w:r>
              <w:rPr>
                <w:spacing w:val="-3"/>
              </w:rPr>
              <w:t>300</w:t>
            </w:r>
          </w:p>
        </w:tc>
        <w:tc>
          <w:tcPr>
            <w:tcW w:w="807" w:type="dxa"/>
            <w:vAlign w:val="top"/>
          </w:tcPr>
          <w:p w14:paraId="2BE44F24">
            <w:pPr>
              <w:pStyle w:val="6"/>
              <w:spacing w:before="99" w:line="192" w:lineRule="auto"/>
              <w:ind w:left="134"/>
            </w:pPr>
            <w:r>
              <w:rPr>
                <w:spacing w:val="-1"/>
              </w:rPr>
              <w:t>mg/kg</w:t>
            </w:r>
          </w:p>
        </w:tc>
      </w:tr>
      <w:tr w14:paraId="6860F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79B32EFF">
            <w:pPr>
              <w:rPr>
                <w:rFonts w:ascii="Arial"/>
                <w:sz w:val="21"/>
              </w:rPr>
            </w:pPr>
          </w:p>
        </w:tc>
        <w:tc>
          <w:tcPr>
            <w:tcW w:w="1203" w:type="dxa"/>
            <w:vMerge w:val="continue"/>
            <w:tcBorders>
              <w:top w:val="nil"/>
              <w:bottom w:val="nil"/>
            </w:tcBorders>
            <w:vAlign w:val="top"/>
          </w:tcPr>
          <w:p w14:paraId="3D9953A8">
            <w:pPr>
              <w:rPr>
                <w:rFonts w:ascii="Arial"/>
                <w:sz w:val="21"/>
              </w:rPr>
            </w:pPr>
          </w:p>
        </w:tc>
        <w:tc>
          <w:tcPr>
            <w:tcW w:w="2407" w:type="dxa"/>
            <w:vAlign w:val="top"/>
          </w:tcPr>
          <w:p w14:paraId="63945A9A">
            <w:pPr>
              <w:spacing w:before="67" w:line="220" w:lineRule="auto"/>
              <w:ind w:left="1102"/>
              <w:rPr>
                <w:rFonts w:ascii="宋体" w:hAnsi="宋体" w:eastAsia="宋体" w:cs="宋体"/>
                <w:sz w:val="21"/>
                <w:szCs w:val="21"/>
              </w:rPr>
            </w:pPr>
            <w:r>
              <w:rPr>
                <w:rFonts w:ascii="宋体" w:hAnsi="宋体" w:eastAsia="宋体" w:cs="宋体"/>
                <w:sz w:val="21"/>
                <w:szCs w:val="21"/>
              </w:rPr>
              <w:t>砷</w:t>
            </w:r>
          </w:p>
        </w:tc>
        <w:tc>
          <w:tcPr>
            <w:tcW w:w="1698" w:type="dxa"/>
            <w:vAlign w:val="top"/>
          </w:tcPr>
          <w:p w14:paraId="4C6EE315">
            <w:pPr>
              <w:pStyle w:val="6"/>
              <w:spacing w:before="92" w:line="185" w:lineRule="auto"/>
              <w:ind w:left="723"/>
            </w:pPr>
            <w:r>
              <w:rPr>
                <w:spacing w:val="-2"/>
              </w:rPr>
              <w:t>7.5</w:t>
            </w:r>
          </w:p>
        </w:tc>
        <w:tc>
          <w:tcPr>
            <w:tcW w:w="993" w:type="dxa"/>
            <w:vAlign w:val="top"/>
          </w:tcPr>
          <w:p w14:paraId="57911583">
            <w:pPr>
              <w:pStyle w:val="6"/>
              <w:spacing w:before="103" w:line="188" w:lineRule="auto"/>
              <w:ind w:left="394"/>
            </w:pPr>
            <w:r>
              <w:rPr>
                <w:spacing w:val="-1"/>
              </w:rPr>
              <w:t>25</w:t>
            </w:r>
          </w:p>
        </w:tc>
        <w:tc>
          <w:tcPr>
            <w:tcW w:w="807" w:type="dxa"/>
            <w:vAlign w:val="top"/>
          </w:tcPr>
          <w:p w14:paraId="426AEA65">
            <w:pPr>
              <w:pStyle w:val="6"/>
              <w:spacing w:before="99" w:line="192" w:lineRule="auto"/>
              <w:ind w:left="134"/>
            </w:pPr>
            <w:r>
              <w:rPr>
                <w:spacing w:val="-1"/>
              </w:rPr>
              <w:t>mg/kg</w:t>
            </w:r>
          </w:p>
        </w:tc>
      </w:tr>
      <w:tr w14:paraId="2537B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12" w:type="dxa"/>
            <w:vMerge w:val="continue"/>
            <w:tcBorders>
              <w:top w:val="nil"/>
              <w:bottom w:val="nil"/>
            </w:tcBorders>
            <w:vAlign w:val="top"/>
          </w:tcPr>
          <w:p w14:paraId="2B149D8F">
            <w:pPr>
              <w:rPr>
                <w:rFonts w:ascii="Arial"/>
                <w:sz w:val="21"/>
              </w:rPr>
            </w:pPr>
          </w:p>
        </w:tc>
        <w:tc>
          <w:tcPr>
            <w:tcW w:w="1203" w:type="dxa"/>
            <w:vMerge w:val="continue"/>
            <w:tcBorders>
              <w:top w:val="nil"/>
              <w:bottom w:val="nil"/>
            </w:tcBorders>
            <w:vAlign w:val="top"/>
          </w:tcPr>
          <w:p w14:paraId="02E430DC">
            <w:pPr>
              <w:rPr>
                <w:rFonts w:ascii="Arial"/>
                <w:sz w:val="21"/>
              </w:rPr>
            </w:pPr>
          </w:p>
        </w:tc>
        <w:tc>
          <w:tcPr>
            <w:tcW w:w="2407" w:type="dxa"/>
            <w:vAlign w:val="top"/>
          </w:tcPr>
          <w:p w14:paraId="5B98F22D">
            <w:pPr>
              <w:spacing w:before="68" w:line="222" w:lineRule="auto"/>
              <w:ind w:left="1101"/>
              <w:rPr>
                <w:rFonts w:ascii="宋体" w:hAnsi="宋体" w:eastAsia="宋体" w:cs="宋体"/>
                <w:sz w:val="21"/>
                <w:szCs w:val="21"/>
              </w:rPr>
            </w:pPr>
            <w:r>
              <w:rPr>
                <w:rFonts w:ascii="宋体" w:hAnsi="宋体" w:eastAsia="宋体" w:cs="宋体"/>
                <w:sz w:val="21"/>
                <w:szCs w:val="21"/>
              </w:rPr>
              <w:t>镉</w:t>
            </w:r>
          </w:p>
        </w:tc>
        <w:tc>
          <w:tcPr>
            <w:tcW w:w="1698" w:type="dxa"/>
            <w:vAlign w:val="top"/>
          </w:tcPr>
          <w:p w14:paraId="73B198FE">
            <w:pPr>
              <w:spacing w:before="53" w:line="220" w:lineRule="auto"/>
              <w:ind w:left="543"/>
              <w:rPr>
                <w:rFonts w:ascii="宋体" w:hAnsi="宋体" w:eastAsia="宋体" w:cs="宋体"/>
                <w:sz w:val="21"/>
                <w:szCs w:val="21"/>
              </w:rPr>
            </w:pPr>
            <w:r>
              <w:rPr>
                <w:rFonts w:ascii="宋体" w:hAnsi="宋体" w:eastAsia="宋体" w:cs="宋体"/>
                <w:spacing w:val="-3"/>
                <w:sz w:val="21"/>
                <w:szCs w:val="21"/>
              </w:rPr>
              <w:t>未检出</w:t>
            </w:r>
          </w:p>
        </w:tc>
        <w:tc>
          <w:tcPr>
            <w:tcW w:w="993" w:type="dxa"/>
            <w:vAlign w:val="top"/>
          </w:tcPr>
          <w:p w14:paraId="457DBD1D">
            <w:pPr>
              <w:pStyle w:val="6"/>
              <w:spacing w:before="104" w:line="188" w:lineRule="auto"/>
              <w:ind w:left="371"/>
            </w:pPr>
            <w:r>
              <w:rPr>
                <w:spacing w:val="-2"/>
              </w:rPr>
              <w:t>0.6</w:t>
            </w:r>
          </w:p>
        </w:tc>
        <w:tc>
          <w:tcPr>
            <w:tcW w:w="807" w:type="dxa"/>
            <w:vAlign w:val="top"/>
          </w:tcPr>
          <w:p w14:paraId="1F919E52">
            <w:pPr>
              <w:pStyle w:val="6"/>
              <w:spacing w:before="100" w:line="192" w:lineRule="auto"/>
              <w:ind w:left="134"/>
            </w:pPr>
            <w:r>
              <w:rPr>
                <w:spacing w:val="-1"/>
              </w:rPr>
              <w:t>mg/kg</w:t>
            </w:r>
          </w:p>
        </w:tc>
      </w:tr>
      <w:tr w14:paraId="6868D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5433DE24">
            <w:pPr>
              <w:rPr>
                <w:rFonts w:ascii="Arial"/>
                <w:sz w:val="21"/>
              </w:rPr>
            </w:pPr>
          </w:p>
        </w:tc>
        <w:tc>
          <w:tcPr>
            <w:tcW w:w="1203" w:type="dxa"/>
            <w:vMerge w:val="continue"/>
            <w:tcBorders>
              <w:top w:val="nil"/>
              <w:bottom w:val="nil"/>
            </w:tcBorders>
            <w:vAlign w:val="top"/>
          </w:tcPr>
          <w:p w14:paraId="7AC774F6">
            <w:pPr>
              <w:rPr>
                <w:rFonts w:ascii="Arial"/>
                <w:sz w:val="21"/>
              </w:rPr>
            </w:pPr>
          </w:p>
        </w:tc>
        <w:tc>
          <w:tcPr>
            <w:tcW w:w="2407" w:type="dxa"/>
            <w:vAlign w:val="top"/>
          </w:tcPr>
          <w:p w14:paraId="5A06B123">
            <w:pPr>
              <w:spacing w:before="66" w:line="224" w:lineRule="auto"/>
              <w:ind w:left="1102"/>
              <w:rPr>
                <w:rFonts w:ascii="宋体" w:hAnsi="宋体" w:eastAsia="宋体" w:cs="宋体"/>
                <w:sz w:val="21"/>
                <w:szCs w:val="21"/>
              </w:rPr>
            </w:pPr>
            <w:r>
              <w:rPr>
                <w:rFonts w:ascii="宋体" w:hAnsi="宋体" w:eastAsia="宋体" w:cs="宋体"/>
                <w:sz w:val="21"/>
                <w:szCs w:val="21"/>
              </w:rPr>
              <w:t>铅</w:t>
            </w:r>
          </w:p>
        </w:tc>
        <w:tc>
          <w:tcPr>
            <w:tcW w:w="1698" w:type="dxa"/>
            <w:vAlign w:val="top"/>
          </w:tcPr>
          <w:p w14:paraId="481A72FC">
            <w:pPr>
              <w:pStyle w:val="6"/>
              <w:spacing w:before="89" w:line="188" w:lineRule="auto"/>
              <w:ind w:left="746"/>
            </w:pPr>
            <w:r>
              <w:rPr>
                <w:spacing w:val="-1"/>
              </w:rPr>
              <w:t>21</w:t>
            </w:r>
          </w:p>
        </w:tc>
        <w:tc>
          <w:tcPr>
            <w:tcW w:w="993" w:type="dxa"/>
            <w:vAlign w:val="top"/>
          </w:tcPr>
          <w:p w14:paraId="1C779824">
            <w:pPr>
              <w:pStyle w:val="6"/>
              <w:spacing w:before="103" w:line="188" w:lineRule="auto"/>
              <w:ind w:left="362"/>
            </w:pPr>
            <w:r>
              <w:rPr>
                <w:spacing w:val="-9"/>
              </w:rPr>
              <w:t>170</w:t>
            </w:r>
          </w:p>
        </w:tc>
        <w:tc>
          <w:tcPr>
            <w:tcW w:w="807" w:type="dxa"/>
            <w:vAlign w:val="top"/>
          </w:tcPr>
          <w:p w14:paraId="4D27919B">
            <w:pPr>
              <w:pStyle w:val="6"/>
              <w:spacing w:before="99" w:line="192" w:lineRule="auto"/>
              <w:ind w:left="134"/>
            </w:pPr>
            <w:r>
              <w:rPr>
                <w:spacing w:val="-1"/>
              </w:rPr>
              <w:t>mg/kg</w:t>
            </w:r>
          </w:p>
        </w:tc>
      </w:tr>
      <w:tr w14:paraId="17951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4B9EA6F8">
            <w:pPr>
              <w:rPr>
                <w:rFonts w:ascii="Arial"/>
                <w:sz w:val="21"/>
              </w:rPr>
            </w:pPr>
          </w:p>
        </w:tc>
        <w:tc>
          <w:tcPr>
            <w:tcW w:w="1203" w:type="dxa"/>
            <w:vMerge w:val="continue"/>
            <w:tcBorders>
              <w:top w:val="nil"/>
            </w:tcBorders>
            <w:vAlign w:val="top"/>
          </w:tcPr>
          <w:p w14:paraId="4F2EE435">
            <w:pPr>
              <w:rPr>
                <w:rFonts w:ascii="Arial"/>
                <w:sz w:val="21"/>
              </w:rPr>
            </w:pPr>
          </w:p>
        </w:tc>
        <w:tc>
          <w:tcPr>
            <w:tcW w:w="2407" w:type="dxa"/>
            <w:vAlign w:val="top"/>
          </w:tcPr>
          <w:p w14:paraId="7C9276BC">
            <w:pPr>
              <w:spacing w:before="67" w:line="220" w:lineRule="auto"/>
              <w:ind w:left="1103"/>
              <w:rPr>
                <w:rFonts w:ascii="宋体" w:hAnsi="宋体" w:eastAsia="宋体" w:cs="宋体"/>
                <w:sz w:val="21"/>
                <w:szCs w:val="21"/>
              </w:rPr>
            </w:pPr>
            <w:r>
              <w:rPr>
                <w:rFonts w:ascii="宋体" w:hAnsi="宋体" w:eastAsia="宋体" w:cs="宋体"/>
                <w:sz w:val="21"/>
                <w:szCs w:val="21"/>
              </w:rPr>
              <w:t>汞</w:t>
            </w:r>
          </w:p>
        </w:tc>
        <w:tc>
          <w:tcPr>
            <w:tcW w:w="1698" w:type="dxa"/>
            <w:vAlign w:val="top"/>
          </w:tcPr>
          <w:p w14:paraId="35BAE363">
            <w:pPr>
              <w:pStyle w:val="6"/>
              <w:spacing w:before="89" w:line="188" w:lineRule="auto"/>
              <w:ind w:left="618"/>
            </w:pPr>
            <w:r>
              <w:rPr>
                <w:spacing w:val="-2"/>
              </w:rPr>
              <w:t>0.214</w:t>
            </w:r>
          </w:p>
        </w:tc>
        <w:tc>
          <w:tcPr>
            <w:tcW w:w="993" w:type="dxa"/>
            <w:vAlign w:val="top"/>
          </w:tcPr>
          <w:p w14:paraId="085921C6">
            <w:pPr>
              <w:pStyle w:val="6"/>
              <w:spacing w:before="103" w:line="188" w:lineRule="auto"/>
              <w:ind w:left="372"/>
            </w:pPr>
            <w:r>
              <w:rPr>
                <w:spacing w:val="-2"/>
              </w:rPr>
              <w:t>3.4</w:t>
            </w:r>
          </w:p>
        </w:tc>
        <w:tc>
          <w:tcPr>
            <w:tcW w:w="807" w:type="dxa"/>
            <w:vAlign w:val="top"/>
          </w:tcPr>
          <w:p w14:paraId="2DDD874E">
            <w:pPr>
              <w:pStyle w:val="6"/>
              <w:spacing w:before="99" w:line="192" w:lineRule="auto"/>
              <w:ind w:left="134"/>
            </w:pPr>
            <w:r>
              <w:rPr>
                <w:spacing w:val="-1"/>
              </w:rPr>
              <w:t>mg/kg</w:t>
            </w:r>
          </w:p>
        </w:tc>
      </w:tr>
      <w:tr w14:paraId="1AEC6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12" w:type="dxa"/>
            <w:vMerge w:val="continue"/>
            <w:tcBorders>
              <w:top w:val="nil"/>
              <w:bottom w:val="nil"/>
            </w:tcBorders>
            <w:vAlign w:val="top"/>
          </w:tcPr>
          <w:p w14:paraId="5E9032F4">
            <w:pPr>
              <w:rPr>
                <w:rFonts w:ascii="Arial"/>
                <w:sz w:val="21"/>
              </w:rPr>
            </w:pPr>
          </w:p>
        </w:tc>
        <w:tc>
          <w:tcPr>
            <w:tcW w:w="1203" w:type="dxa"/>
            <w:vMerge w:val="restart"/>
            <w:tcBorders>
              <w:bottom w:val="nil"/>
            </w:tcBorders>
            <w:vAlign w:val="top"/>
          </w:tcPr>
          <w:p w14:paraId="5057B2BC">
            <w:pPr>
              <w:spacing w:line="278" w:lineRule="auto"/>
              <w:rPr>
                <w:rFonts w:ascii="Arial"/>
                <w:sz w:val="21"/>
              </w:rPr>
            </w:pPr>
          </w:p>
          <w:p w14:paraId="07DEA65C">
            <w:pPr>
              <w:spacing w:line="278" w:lineRule="auto"/>
              <w:rPr>
                <w:rFonts w:ascii="Arial"/>
                <w:sz w:val="21"/>
              </w:rPr>
            </w:pPr>
          </w:p>
          <w:p w14:paraId="73DE4326">
            <w:pPr>
              <w:spacing w:line="278" w:lineRule="auto"/>
              <w:rPr>
                <w:rFonts w:ascii="Arial"/>
                <w:sz w:val="21"/>
              </w:rPr>
            </w:pPr>
          </w:p>
          <w:p w14:paraId="33A48A75">
            <w:pPr>
              <w:spacing w:line="278" w:lineRule="auto"/>
              <w:rPr>
                <w:rFonts w:ascii="Arial"/>
                <w:sz w:val="21"/>
              </w:rPr>
            </w:pPr>
          </w:p>
          <w:p w14:paraId="73D65A8C">
            <w:pPr>
              <w:spacing w:line="279" w:lineRule="auto"/>
              <w:rPr>
                <w:rFonts w:ascii="Arial"/>
                <w:sz w:val="21"/>
              </w:rPr>
            </w:pPr>
          </w:p>
          <w:p w14:paraId="0EBEB43E">
            <w:pPr>
              <w:pStyle w:val="6"/>
              <w:spacing w:before="68" w:line="220" w:lineRule="auto"/>
              <w:ind w:left="156"/>
            </w:pPr>
            <w:r>
              <w:rPr>
                <w:rFonts w:ascii="宋体" w:hAnsi="宋体" w:eastAsia="宋体" w:cs="宋体"/>
                <w:spacing w:val="-4"/>
              </w:rPr>
              <w:t>项目地</w:t>
            </w:r>
            <w:r>
              <w:rPr>
                <w:rFonts w:ascii="宋体" w:hAnsi="宋体" w:eastAsia="宋体" w:cs="宋体"/>
                <w:spacing w:val="-39"/>
              </w:rPr>
              <w:t xml:space="preserve"> </w:t>
            </w:r>
            <w:r>
              <w:rPr>
                <w:spacing w:val="-4"/>
              </w:rPr>
              <w:t>S3</w:t>
            </w:r>
          </w:p>
        </w:tc>
        <w:tc>
          <w:tcPr>
            <w:tcW w:w="2407" w:type="dxa"/>
            <w:vAlign w:val="top"/>
          </w:tcPr>
          <w:p w14:paraId="4691365C">
            <w:pPr>
              <w:pStyle w:val="6"/>
              <w:spacing w:before="107" w:line="185" w:lineRule="auto"/>
              <w:ind w:left="1071"/>
            </w:pPr>
            <w:r>
              <w:t>pH</w:t>
            </w:r>
          </w:p>
        </w:tc>
        <w:tc>
          <w:tcPr>
            <w:tcW w:w="1698" w:type="dxa"/>
            <w:vAlign w:val="top"/>
          </w:tcPr>
          <w:p w14:paraId="1498B33A">
            <w:pPr>
              <w:pStyle w:val="6"/>
              <w:spacing w:before="104" w:line="188" w:lineRule="auto"/>
              <w:ind w:left="723"/>
            </w:pPr>
            <w:r>
              <w:rPr>
                <w:spacing w:val="-3"/>
              </w:rPr>
              <w:t>7.4</w:t>
            </w:r>
          </w:p>
        </w:tc>
        <w:tc>
          <w:tcPr>
            <w:tcW w:w="993" w:type="dxa"/>
            <w:vAlign w:val="top"/>
          </w:tcPr>
          <w:p w14:paraId="2CE2103C">
            <w:pPr>
              <w:pStyle w:val="6"/>
              <w:spacing w:before="100" w:line="192" w:lineRule="auto"/>
              <w:ind w:left="466"/>
            </w:pPr>
            <w:r>
              <w:t>/</w:t>
            </w:r>
          </w:p>
        </w:tc>
        <w:tc>
          <w:tcPr>
            <w:tcW w:w="807" w:type="dxa"/>
            <w:vAlign w:val="top"/>
          </w:tcPr>
          <w:p w14:paraId="62053F3B">
            <w:pPr>
              <w:spacing w:before="67" w:line="220" w:lineRule="auto"/>
              <w:ind w:left="96"/>
              <w:rPr>
                <w:rFonts w:ascii="宋体" w:hAnsi="宋体" w:eastAsia="宋体" w:cs="宋体"/>
                <w:sz w:val="21"/>
                <w:szCs w:val="21"/>
              </w:rPr>
            </w:pPr>
            <w:r>
              <w:rPr>
                <w:rFonts w:ascii="宋体" w:hAnsi="宋体" w:eastAsia="宋体" w:cs="宋体"/>
                <w:spacing w:val="-3"/>
                <w:sz w:val="21"/>
                <w:szCs w:val="21"/>
              </w:rPr>
              <w:t>无量纲</w:t>
            </w:r>
          </w:p>
        </w:tc>
      </w:tr>
      <w:tr w14:paraId="78DA0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4EB6B5B9">
            <w:pPr>
              <w:rPr>
                <w:rFonts w:ascii="Arial"/>
                <w:sz w:val="21"/>
              </w:rPr>
            </w:pPr>
          </w:p>
        </w:tc>
        <w:tc>
          <w:tcPr>
            <w:tcW w:w="1203" w:type="dxa"/>
            <w:vMerge w:val="continue"/>
            <w:tcBorders>
              <w:top w:val="nil"/>
              <w:bottom w:val="nil"/>
            </w:tcBorders>
            <w:vAlign w:val="top"/>
          </w:tcPr>
          <w:p w14:paraId="4385AD40">
            <w:pPr>
              <w:rPr>
                <w:rFonts w:ascii="Arial"/>
                <w:sz w:val="21"/>
              </w:rPr>
            </w:pPr>
          </w:p>
        </w:tc>
        <w:tc>
          <w:tcPr>
            <w:tcW w:w="2407" w:type="dxa"/>
            <w:vAlign w:val="top"/>
          </w:tcPr>
          <w:p w14:paraId="4E56E1BD">
            <w:pPr>
              <w:spacing w:before="66" w:line="222" w:lineRule="auto"/>
              <w:ind w:left="1102"/>
              <w:rPr>
                <w:rFonts w:ascii="宋体" w:hAnsi="宋体" w:eastAsia="宋体" w:cs="宋体"/>
                <w:sz w:val="21"/>
                <w:szCs w:val="21"/>
              </w:rPr>
            </w:pPr>
            <w:r>
              <w:rPr>
                <w:rFonts w:ascii="宋体" w:hAnsi="宋体" w:eastAsia="宋体" w:cs="宋体"/>
                <w:sz w:val="21"/>
                <w:szCs w:val="21"/>
              </w:rPr>
              <w:t>铬</w:t>
            </w:r>
          </w:p>
        </w:tc>
        <w:tc>
          <w:tcPr>
            <w:tcW w:w="1698" w:type="dxa"/>
            <w:vAlign w:val="top"/>
          </w:tcPr>
          <w:p w14:paraId="0123B000">
            <w:pPr>
              <w:pStyle w:val="6"/>
              <w:spacing w:before="89" w:line="188" w:lineRule="auto"/>
              <w:ind w:left="755"/>
            </w:pPr>
            <w:r>
              <w:rPr>
                <w:spacing w:val="-4"/>
              </w:rPr>
              <w:t>88</w:t>
            </w:r>
          </w:p>
        </w:tc>
        <w:tc>
          <w:tcPr>
            <w:tcW w:w="993" w:type="dxa"/>
            <w:vAlign w:val="top"/>
          </w:tcPr>
          <w:p w14:paraId="0941C511">
            <w:pPr>
              <w:pStyle w:val="6"/>
              <w:spacing w:before="103" w:line="188" w:lineRule="auto"/>
              <w:ind w:left="342"/>
            </w:pPr>
            <w:r>
              <w:rPr>
                <w:spacing w:val="-2"/>
              </w:rPr>
              <w:t>200</w:t>
            </w:r>
          </w:p>
        </w:tc>
        <w:tc>
          <w:tcPr>
            <w:tcW w:w="807" w:type="dxa"/>
            <w:vAlign w:val="top"/>
          </w:tcPr>
          <w:p w14:paraId="485BB2C1">
            <w:pPr>
              <w:pStyle w:val="6"/>
              <w:spacing w:before="99" w:line="192" w:lineRule="auto"/>
              <w:ind w:left="134"/>
            </w:pPr>
            <w:r>
              <w:rPr>
                <w:spacing w:val="-1"/>
              </w:rPr>
              <w:t>mg/kg</w:t>
            </w:r>
          </w:p>
        </w:tc>
      </w:tr>
      <w:tr w14:paraId="0CFF7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3E58EDF9">
            <w:pPr>
              <w:rPr>
                <w:rFonts w:ascii="Arial"/>
                <w:sz w:val="21"/>
              </w:rPr>
            </w:pPr>
          </w:p>
        </w:tc>
        <w:tc>
          <w:tcPr>
            <w:tcW w:w="1203" w:type="dxa"/>
            <w:vMerge w:val="continue"/>
            <w:tcBorders>
              <w:top w:val="nil"/>
              <w:bottom w:val="nil"/>
            </w:tcBorders>
            <w:vAlign w:val="top"/>
          </w:tcPr>
          <w:p w14:paraId="5B71BF80">
            <w:pPr>
              <w:rPr>
                <w:rFonts w:ascii="Arial"/>
                <w:sz w:val="21"/>
              </w:rPr>
            </w:pPr>
          </w:p>
        </w:tc>
        <w:tc>
          <w:tcPr>
            <w:tcW w:w="2407" w:type="dxa"/>
            <w:vAlign w:val="top"/>
          </w:tcPr>
          <w:p w14:paraId="3167FB4B">
            <w:pPr>
              <w:spacing w:before="67" w:line="220" w:lineRule="auto"/>
              <w:ind w:left="1102"/>
              <w:rPr>
                <w:rFonts w:ascii="宋体" w:hAnsi="宋体" w:eastAsia="宋体" w:cs="宋体"/>
                <w:sz w:val="21"/>
                <w:szCs w:val="21"/>
              </w:rPr>
            </w:pPr>
            <w:r>
              <w:rPr>
                <w:rFonts w:ascii="宋体" w:hAnsi="宋体" w:eastAsia="宋体" w:cs="宋体"/>
                <w:sz w:val="21"/>
                <w:szCs w:val="21"/>
              </w:rPr>
              <w:t>镍</w:t>
            </w:r>
          </w:p>
        </w:tc>
        <w:tc>
          <w:tcPr>
            <w:tcW w:w="1698" w:type="dxa"/>
            <w:vAlign w:val="top"/>
          </w:tcPr>
          <w:p w14:paraId="088F9D9C">
            <w:pPr>
              <w:pStyle w:val="6"/>
              <w:spacing w:before="89" w:line="188" w:lineRule="auto"/>
              <w:ind w:left="746"/>
            </w:pPr>
            <w:r>
              <w:rPr>
                <w:spacing w:val="-1"/>
              </w:rPr>
              <w:t>28</w:t>
            </w:r>
          </w:p>
        </w:tc>
        <w:tc>
          <w:tcPr>
            <w:tcW w:w="993" w:type="dxa"/>
            <w:vAlign w:val="top"/>
          </w:tcPr>
          <w:p w14:paraId="7EF4D767">
            <w:pPr>
              <w:pStyle w:val="6"/>
              <w:spacing w:before="103" w:line="188" w:lineRule="auto"/>
              <w:ind w:left="362"/>
            </w:pPr>
            <w:r>
              <w:rPr>
                <w:spacing w:val="-9"/>
              </w:rPr>
              <w:t>100</w:t>
            </w:r>
          </w:p>
        </w:tc>
        <w:tc>
          <w:tcPr>
            <w:tcW w:w="807" w:type="dxa"/>
            <w:vAlign w:val="top"/>
          </w:tcPr>
          <w:p w14:paraId="72C39499">
            <w:pPr>
              <w:pStyle w:val="6"/>
              <w:spacing w:before="99" w:line="192" w:lineRule="auto"/>
              <w:ind w:left="134"/>
            </w:pPr>
            <w:r>
              <w:rPr>
                <w:spacing w:val="-1"/>
              </w:rPr>
              <w:t>mg/kg</w:t>
            </w:r>
          </w:p>
        </w:tc>
      </w:tr>
      <w:tr w14:paraId="706FF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12" w:type="dxa"/>
            <w:vMerge w:val="continue"/>
            <w:tcBorders>
              <w:top w:val="nil"/>
              <w:bottom w:val="nil"/>
            </w:tcBorders>
            <w:vAlign w:val="top"/>
          </w:tcPr>
          <w:p w14:paraId="2BD2A57B">
            <w:pPr>
              <w:rPr>
                <w:rFonts w:ascii="Arial"/>
                <w:sz w:val="21"/>
              </w:rPr>
            </w:pPr>
          </w:p>
        </w:tc>
        <w:tc>
          <w:tcPr>
            <w:tcW w:w="1203" w:type="dxa"/>
            <w:vMerge w:val="continue"/>
            <w:tcBorders>
              <w:top w:val="nil"/>
              <w:bottom w:val="nil"/>
            </w:tcBorders>
            <w:vAlign w:val="top"/>
          </w:tcPr>
          <w:p w14:paraId="60291EF4">
            <w:pPr>
              <w:rPr>
                <w:rFonts w:ascii="Arial"/>
                <w:sz w:val="21"/>
              </w:rPr>
            </w:pPr>
          </w:p>
        </w:tc>
        <w:tc>
          <w:tcPr>
            <w:tcW w:w="2407" w:type="dxa"/>
            <w:vAlign w:val="top"/>
          </w:tcPr>
          <w:p w14:paraId="53D15CBC">
            <w:pPr>
              <w:spacing w:before="67" w:line="221" w:lineRule="auto"/>
              <w:ind w:left="1102"/>
              <w:rPr>
                <w:rFonts w:ascii="宋体" w:hAnsi="宋体" w:eastAsia="宋体" w:cs="宋体"/>
                <w:sz w:val="21"/>
                <w:szCs w:val="21"/>
              </w:rPr>
            </w:pPr>
            <w:r>
              <w:rPr>
                <w:rFonts w:ascii="宋体" w:hAnsi="宋体" w:eastAsia="宋体" w:cs="宋体"/>
                <w:sz w:val="21"/>
                <w:szCs w:val="21"/>
              </w:rPr>
              <w:t>铜</w:t>
            </w:r>
          </w:p>
        </w:tc>
        <w:tc>
          <w:tcPr>
            <w:tcW w:w="1698" w:type="dxa"/>
            <w:vAlign w:val="top"/>
          </w:tcPr>
          <w:p w14:paraId="15FAEBE8">
            <w:pPr>
              <w:pStyle w:val="6"/>
              <w:spacing w:before="90" w:line="188" w:lineRule="auto"/>
              <w:ind w:left="668"/>
            </w:pPr>
            <w:r>
              <w:rPr>
                <w:spacing w:val="-1"/>
              </w:rPr>
              <w:t>29.7</w:t>
            </w:r>
          </w:p>
        </w:tc>
        <w:tc>
          <w:tcPr>
            <w:tcW w:w="993" w:type="dxa"/>
            <w:vAlign w:val="top"/>
          </w:tcPr>
          <w:p w14:paraId="5C9B232C">
            <w:pPr>
              <w:pStyle w:val="6"/>
              <w:spacing w:before="104" w:line="188" w:lineRule="auto"/>
              <w:ind w:left="362"/>
            </w:pPr>
            <w:r>
              <w:rPr>
                <w:spacing w:val="-9"/>
              </w:rPr>
              <w:t>100</w:t>
            </w:r>
          </w:p>
        </w:tc>
        <w:tc>
          <w:tcPr>
            <w:tcW w:w="807" w:type="dxa"/>
            <w:vAlign w:val="top"/>
          </w:tcPr>
          <w:p w14:paraId="6D1359B1">
            <w:pPr>
              <w:pStyle w:val="6"/>
              <w:spacing w:before="100" w:line="192" w:lineRule="auto"/>
              <w:ind w:left="134"/>
            </w:pPr>
            <w:r>
              <w:rPr>
                <w:spacing w:val="-1"/>
              </w:rPr>
              <w:t>mg/kg</w:t>
            </w:r>
          </w:p>
        </w:tc>
      </w:tr>
      <w:tr w14:paraId="3F2DD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781321A7">
            <w:pPr>
              <w:rPr>
                <w:rFonts w:ascii="Arial"/>
                <w:sz w:val="21"/>
              </w:rPr>
            </w:pPr>
          </w:p>
        </w:tc>
        <w:tc>
          <w:tcPr>
            <w:tcW w:w="1203" w:type="dxa"/>
            <w:vMerge w:val="continue"/>
            <w:tcBorders>
              <w:top w:val="nil"/>
              <w:bottom w:val="nil"/>
            </w:tcBorders>
            <w:vAlign w:val="top"/>
          </w:tcPr>
          <w:p w14:paraId="1DC9C92B">
            <w:pPr>
              <w:rPr>
                <w:rFonts w:ascii="Arial"/>
                <w:sz w:val="21"/>
              </w:rPr>
            </w:pPr>
          </w:p>
        </w:tc>
        <w:tc>
          <w:tcPr>
            <w:tcW w:w="2407" w:type="dxa"/>
            <w:vAlign w:val="top"/>
          </w:tcPr>
          <w:p w14:paraId="0BD3747A">
            <w:pPr>
              <w:spacing w:before="67" w:line="220" w:lineRule="auto"/>
              <w:ind w:left="1102"/>
              <w:rPr>
                <w:rFonts w:ascii="宋体" w:hAnsi="宋体" w:eastAsia="宋体" w:cs="宋体"/>
                <w:sz w:val="21"/>
                <w:szCs w:val="21"/>
              </w:rPr>
            </w:pPr>
            <w:r>
              <w:rPr>
                <w:rFonts w:ascii="宋体" w:hAnsi="宋体" w:eastAsia="宋体" w:cs="宋体"/>
                <w:sz w:val="21"/>
                <w:szCs w:val="21"/>
              </w:rPr>
              <w:t>锌</w:t>
            </w:r>
          </w:p>
        </w:tc>
        <w:tc>
          <w:tcPr>
            <w:tcW w:w="1698" w:type="dxa"/>
            <w:vAlign w:val="top"/>
          </w:tcPr>
          <w:p w14:paraId="5638D537">
            <w:pPr>
              <w:pStyle w:val="6"/>
              <w:spacing w:before="89" w:line="188" w:lineRule="auto"/>
              <w:ind w:left="715"/>
            </w:pPr>
            <w:r>
              <w:rPr>
                <w:spacing w:val="-9"/>
              </w:rPr>
              <w:t>134</w:t>
            </w:r>
          </w:p>
        </w:tc>
        <w:tc>
          <w:tcPr>
            <w:tcW w:w="993" w:type="dxa"/>
            <w:vAlign w:val="top"/>
          </w:tcPr>
          <w:p w14:paraId="18B3F96A">
            <w:pPr>
              <w:pStyle w:val="6"/>
              <w:spacing w:before="103" w:line="188" w:lineRule="auto"/>
              <w:ind w:left="342"/>
            </w:pPr>
            <w:r>
              <w:rPr>
                <w:spacing w:val="-2"/>
              </w:rPr>
              <w:t>250</w:t>
            </w:r>
          </w:p>
        </w:tc>
        <w:tc>
          <w:tcPr>
            <w:tcW w:w="807" w:type="dxa"/>
            <w:vAlign w:val="top"/>
          </w:tcPr>
          <w:p w14:paraId="45C5A02C">
            <w:pPr>
              <w:pStyle w:val="6"/>
              <w:spacing w:before="99" w:line="192" w:lineRule="auto"/>
              <w:ind w:left="134"/>
            </w:pPr>
            <w:r>
              <w:rPr>
                <w:spacing w:val="-1"/>
              </w:rPr>
              <w:t>mg/kg</w:t>
            </w:r>
          </w:p>
        </w:tc>
      </w:tr>
      <w:tr w14:paraId="07FD3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46099F30">
            <w:pPr>
              <w:rPr>
                <w:rFonts w:ascii="Arial"/>
                <w:sz w:val="21"/>
              </w:rPr>
            </w:pPr>
          </w:p>
        </w:tc>
        <w:tc>
          <w:tcPr>
            <w:tcW w:w="1203" w:type="dxa"/>
            <w:vMerge w:val="continue"/>
            <w:tcBorders>
              <w:top w:val="nil"/>
              <w:bottom w:val="nil"/>
            </w:tcBorders>
            <w:vAlign w:val="top"/>
          </w:tcPr>
          <w:p w14:paraId="3C4E1C10">
            <w:pPr>
              <w:rPr>
                <w:rFonts w:ascii="Arial"/>
                <w:sz w:val="21"/>
              </w:rPr>
            </w:pPr>
          </w:p>
        </w:tc>
        <w:tc>
          <w:tcPr>
            <w:tcW w:w="2407" w:type="dxa"/>
            <w:vAlign w:val="top"/>
          </w:tcPr>
          <w:p w14:paraId="6195507B">
            <w:pPr>
              <w:spacing w:before="67" w:line="220" w:lineRule="auto"/>
              <w:ind w:left="1102"/>
              <w:rPr>
                <w:rFonts w:ascii="宋体" w:hAnsi="宋体" w:eastAsia="宋体" w:cs="宋体"/>
                <w:sz w:val="21"/>
                <w:szCs w:val="21"/>
              </w:rPr>
            </w:pPr>
            <w:r>
              <w:rPr>
                <w:rFonts w:ascii="宋体" w:hAnsi="宋体" w:eastAsia="宋体" w:cs="宋体"/>
                <w:sz w:val="21"/>
                <w:szCs w:val="21"/>
              </w:rPr>
              <w:t>砷</w:t>
            </w:r>
          </w:p>
        </w:tc>
        <w:tc>
          <w:tcPr>
            <w:tcW w:w="1698" w:type="dxa"/>
            <w:vAlign w:val="top"/>
          </w:tcPr>
          <w:p w14:paraId="2D0C1C15">
            <w:pPr>
              <w:pStyle w:val="6"/>
              <w:spacing w:before="89" w:line="188" w:lineRule="auto"/>
              <w:ind w:left="724"/>
            </w:pPr>
            <w:r>
              <w:rPr>
                <w:spacing w:val="-2"/>
              </w:rPr>
              <w:t>9.2</w:t>
            </w:r>
          </w:p>
        </w:tc>
        <w:tc>
          <w:tcPr>
            <w:tcW w:w="993" w:type="dxa"/>
            <w:vAlign w:val="top"/>
          </w:tcPr>
          <w:p w14:paraId="543231D4">
            <w:pPr>
              <w:pStyle w:val="6"/>
              <w:spacing w:before="103" w:line="188" w:lineRule="auto"/>
              <w:ind w:left="399"/>
            </w:pPr>
            <w:r>
              <w:rPr>
                <w:spacing w:val="-3"/>
              </w:rPr>
              <w:t>30</w:t>
            </w:r>
          </w:p>
        </w:tc>
        <w:tc>
          <w:tcPr>
            <w:tcW w:w="807" w:type="dxa"/>
            <w:vAlign w:val="top"/>
          </w:tcPr>
          <w:p w14:paraId="29D0D499">
            <w:pPr>
              <w:pStyle w:val="6"/>
              <w:spacing w:before="99" w:line="192" w:lineRule="auto"/>
              <w:ind w:left="134"/>
            </w:pPr>
            <w:r>
              <w:rPr>
                <w:spacing w:val="-1"/>
              </w:rPr>
              <w:t>mg/kg</w:t>
            </w:r>
          </w:p>
        </w:tc>
      </w:tr>
      <w:tr w14:paraId="2AFC2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12" w:type="dxa"/>
            <w:vMerge w:val="continue"/>
            <w:tcBorders>
              <w:top w:val="nil"/>
              <w:bottom w:val="nil"/>
            </w:tcBorders>
            <w:vAlign w:val="top"/>
          </w:tcPr>
          <w:p w14:paraId="68B2AD18">
            <w:pPr>
              <w:rPr>
                <w:rFonts w:ascii="Arial"/>
                <w:sz w:val="21"/>
              </w:rPr>
            </w:pPr>
          </w:p>
        </w:tc>
        <w:tc>
          <w:tcPr>
            <w:tcW w:w="1203" w:type="dxa"/>
            <w:vMerge w:val="continue"/>
            <w:tcBorders>
              <w:top w:val="nil"/>
              <w:bottom w:val="nil"/>
            </w:tcBorders>
            <w:vAlign w:val="top"/>
          </w:tcPr>
          <w:p w14:paraId="17BC8D44">
            <w:pPr>
              <w:rPr>
                <w:rFonts w:ascii="Arial"/>
                <w:sz w:val="21"/>
              </w:rPr>
            </w:pPr>
          </w:p>
        </w:tc>
        <w:tc>
          <w:tcPr>
            <w:tcW w:w="2407" w:type="dxa"/>
            <w:vAlign w:val="top"/>
          </w:tcPr>
          <w:p w14:paraId="6FC2A72F">
            <w:pPr>
              <w:spacing w:before="68" w:line="222" w:lineRule="auto"/>
              <w:ind w:left="1101"/>
              <w:rPr>
                <w:rFonts w:ascii="宋体" w:hAnsi="宋体" w:eastAsia="宋体" w:cs="宋体"/>
                <w:sz w:val="21"/>
                <w:szCs w:val="21"/>
              </w:rPr>
            </w:pPr>
            <w:r>
              <w:rPr>
                <w:rFonts w:ascii="宋体" w:hAnsi="宋体" w:eastAsia="宋体" w:cs="宋体"/>
                <w:sz w:val="21"/>
                <w:szCs w:val="21"/>
              </w:rPr>
              <w:t>镉</w:t>
            </w:r>
          </w:p>
        </w:tc>
        <w:tc>
          <w:tcPr>
            <w:tcW w:w="1698" w:type="dxa"/>
            <w:vAlign w:val="top"/>
          </w:tcPr>
          <w:p w14:paraId="60B2BFD3">
            <w:pPr>
              <w:spacing w:before="53" w:line="220" w:lineRule="auto"/>
              <w:ind w:left="543"/>
              <w:rPr>
                <w:rFonts w:ascii="宋体" w:hAnsi="宋体" w:eastAsia="宋体" w:cs="宋体"/>
                <w:sz w:val="21"/>
                <w:szCs w:val="21"/>
              </w:rPr>
            </w:pPr>
            <w:r>
              <w:rPr>
                <w:rFonts w:ascii="宋体" w:hAnsi="宋体" w:eastAsia="宋体" w:cs="宋体"/>
                <w:spacing w:val="-3"/>
                <w:sz w:val="21"/>
                <w:szCs w:val="21"/>
              </w:rPr>
              <w:t>未检出</w:t>
            </w:r>
          </w:p>
        </w:tc>
        <w:tc>
          <w:tcPr>
            <w:tcW w:w="993" w:type="dxa"/>
            <w:vAlign w:val="top"/>
          </w:tcPr>
          <w:p w14:paraId="21608FE3">
            <w:pPr>
              <w:pStyle w:val="6"/>
              <w:spacing w:before="104" w:line="188" w:lineRule="auto"/>
              <w:ind w:left="371"/>
            </w:pPr>
            <w:r>
              <w:rPr>
                <w:spacing w:val="-2"/>
              </w:rPr>
              <w:t>0.3</w:t>
            </w:r>
          </w:p>
        </w:tc>
        <w:tc>
          <w:tcPr>
            <w:tcW w:w="807" w:type="dxa"/>
            <w:vAlign w:val="top"/>
          </w:tcPr>
          <w:p w14:paraId="2FDBF8B0">
            <w:pPr>
              <w:pStyle w:val="6"/>
              <w:spacing w:before="100" w:line="192" w:lineRule="auto"/>
              <w:ind w:left="134"/>
            </w:pPr>
            <w:r>
              <w:rPr>
                <w:spacing w:val="-1"/>
              </w:rPr>
              <w:t>mg/kg</w:t>
            </w:r>
          </w:p>
        </w:tc>
      </w:tr>
      <w:tr w14:paraId="59E2A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6B0B0386">
            <w:pPr>
              <w:rPr>
                <w:rFonts w:ascii="Arial"/>
                <w:sz w:val="21"/>
              </w:rPr>
            </w:pPr>
          </w:p>
        </w:tc>
        <w:tc>
          <w:tcPr>
            <w:tcW w:w="1203" w:type="dxa"/>
            <w:vMerge w:val="continue"/>
            <w:tcBorders>
              <w:top w:val="nil"/>
              <w:bottom w:val="nil"/>
            </w:tcBorders>
            <w:vAlign w:val="top"/>
          </w:tcPr>
          <w:p w14:paraId="237063E5">
            <w:pPr>
              <w:rPr>
                <w:rFonts w:ascii="Arial"/>
                <w:sz w:val="21"/>
              </w:rPr>
            </w:pPr>
          </w:p>
        </w:tc>
        <w:tc>
          <w:tcPr>
            <w:tcW w:w="2407" w:type="dxa"/>
            <w:vAlign w:val="top"/>
          </w:tcPr>
          <w:p w14:paraId="6EA17CB8">
            <w:pPr>
              <w:spacing w:before="66" w:line="224" w:lineRule="auto"/>
              <w:ind w:left="1102"/>
              <w:rPr>
                <w:rFonts w:ascii="宋体" w:hAnsi="宋体" w:eastAsia="宋体" w:cs="宋体"/>
                <w:sz w:val="21"/>
                <w:szCs w:val="21"/>
              </w:rPr>
            </w:pPr>
            <w:r>
              <w:rPr>
                <w:rFonts w:ascii="宋体" w:hAnsi="宋体" w:eastAsia="宋体" w:cs="宋体"/>
                <w:sz w:val="21"/>
                <w:szCs w:val="21"/>
              </w:rPr>
              <w:t>铅</w:t>
            </w:r>
          </w:p>
        </w:tc>
        <w:tc>
          <w:tcPr>
            <w:tcW w:w="1698" w:type="dxa"/>
            <w:vAlign w:val="top"/>
          </w:tcPr>
          <w:p w14:paraId="00ADA5B9">
            <w:pPr>
              <w:pStyle w:val="6"/>
              <w:spacing w:before="89" w:line="188" w:lineRule="auto"/>
              <w:ind w:left="746"/>
            </w:pPr>
            <w:r>
              <w:rPr>
                <w:spacing w:val="-1"/>
              </w:rPr>
              <w:t>27</w:t>
            </w:r>
          </w:p>
        </w:tc>
        <w:tc>
          <w:tcPr>
            <w:tcW w:w="993" w:type="dxa"/>
            <w:vAlign w:val="top"/>
          </w:tcPr>
          <w:p w14:paraId="3A57ECAD">
            <w:pPr>
              <w:pStyle w:val="6"/>
              <w:spacing w:before="103" w:line="188" w:lineRule="auto"/>
              <w:ind w:left="362"/>
            </w:pPr>
            <w:r>
              <w:rPr>
                <w:spacing w:val="-9"/>
              </w:rPr>
              <w:t>120</w:t>
            </w:r>
          </w:p>
        </w:tc>
        <w:tc>
          <w:tcPr>
            <w:tcW w:w="807" w:type="dxa"/>
            <w:vAlign w:val="top"/>
          </w:tcPr>
          <w:p w14:paraId="705605E5">
            <w:pPr>
              <w:pStyle w:val="6"/>
              <w:spacing w:before="99" w:line="192" w:lineRule="auto"/>
              <w:ind w:left="134"/>
            </w:pPr>
            <w:r>
              <w:rPr>
                <w:spacing w:val="-1"/>
              </w:rPr>
              <w:t>mg/kg</w:t>
            </w:r>
          </w:p>
        </w:tc>
      </w:tr>
      <w:tr w14:paraId="4DBA8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306AF605">
            <w:pPr>
              <w:rPr>
                <w:rFonts w:ascii="Arial"/>
                <w:sz w:val="21"/>
              </w:rPr>
            </w:pPr>
          </w:p>
        </w:tc>
        <w:tc>
          <w:tcPr>
            <w:tcW w:w="1203" w:type="dxa"/>
            <w:vMerge w:val="continue"/>
            <w:tcBorders>
              <w:top w:val="nil"/>
            </w:tcBorders>
            <w:vAlign w:val="top"/>
          </w:tcPr>
          <w:p w14:paraId="50DC93CB">
            <w:pPr>
              <w:rPr>
                <w:rFonts w:ascii="Arial"/>
                <w:sz w:val="21"/>
              </w:rPr>
            </w:pPr>
          </w:p>
        </w:tc>
        <w:tc>
          <w:tcPr>
            <w:tcW w:w="2407" w:type="dxa"/>
            <w:vAlign w:val="top"/>
          </w:tcPr>
          <w:p w14:paraId="614F75E8">
            <w:pPr>
              <w:spacing w:before="67" w:line="220" w:lineRule="auto"/>
              <w:ind w:left="1103"/>
              <w:rPr>
                <w:rFonts w:ascii="宋体" w:hAnsi="宋体" w:eastAsia="宋体" w:cs="宋体"/>
                <w:sz w:val="21"/>
                <w:szCs w:val="21"/>
              </w:rPr>
            </w:pPr>
            <w:r>
              <w:rPr>
                <w:rFonts w:ascii="宋体" w:hAnsi="宋体" w:eastAsia="宋体" w:cs="宋体"/>
                <w:sz w:val="21"/>
                <w:szCs w:val="21"/>
              </w:rPr>
              <w:t>汞</w:t>
            </w:r>
          </w:p>
        </w:tc>
        <w:tc>
          <w:tcPr>
            <w:tcW w:w="1698" w:type="dxa"/>
            <w:vAlign w:val="top"/>
          </w:tcPr>
          <w:p w14:paraId="408C4B92">
            <w:pPr>
              <w:pStyle w:val="6"/>
              <w:spacing w:before="89" w:line="188" w:lineRule="auto"/>
              <w:ind w:left="618"/>
            </w:pPr>
            <w:r>
              <w:rPr>
                <w:spacing w:val="-2"/>
              </w:rPr>
              <w:t>0.244</w:t>
            </w:r>
          </w:p>
        </w:tc>
        <w:tc>
          <w:tcPr>
            <w:tcW w:w="993" w:type="dxa"/>
            <w:vAlign w:val="top"/>
          </w:tcPr>
          <w:p w14:paraId="7184682E">
            <w:pPr>
              <w:pStyle w:val="6"/>
              <w:spacing w:before="103" w:line="188" w:lineRule="auto"/>
              <w:ind w:left="368"/>
            </w:pPr>
            <w:r>
              <w:rPr>
                <w:spacing w:val="-1"/>
              </w:rPr>
              <w:t>2.4</w:t>
            </w:r>
          </w:p>
        </w:tc>
        <w:tc>
          <w:tcPr>
            <w:tcW w:w="807" w:type="dxa"/>
            <w:vAlign w:val="top"/>
          </w:tcPr>
          <w:p w14:paraId="5C133925">
            <w:pPr>
              <w:pStyle w:val="6"/>
              <w:spacing w:before="99" w:line="192" w:lineRule="auto"/>
              <w:ind w:left="134"/>
            </w:pPr>
            <w:r>
              <w:rPr>
                <w:spacing w:val="-1"/>
              </w:rPr>
              <w:t>mg/kg</w:t>
            </w:r>
          </w:p>
        </w:tc>
      </w:tr>
      <w:tr w14:paraId="22DAF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4F628A9C">
            <w:pPr>
              <w:rPr>
                <w:rFonts w:ascii="Arial"/>
                <w:sz w:val="21"/>
              </w:rPr>
            </w:pPr>
          </w:p>
        </w:tc>
        <w:tc>
          <w:tcPr>
            <w:tcW w:w="1203" w:type="dxa"/>
            <w:vMerge w:val="restart"/>
            <w:tcBorders>
              <w:bottom w:val="nil"/>
            </w:tcBorders>
            <w:vAlign w:val="top"/>
          </w:tcPr>
          <w:p w14:paraId="06E06C56">
            <w:pPr>
              <w:spacing w:line="278" w:lineRule="auto"/>
              <w:rPr>
                <w:rFonts w:ascii="Arial"/>
                <w:sz w:val="21"/>
              </w:rPr>
            </w:pPr>
          </w:p>
          <w:p w14:paraId="7F8394EE">
            <w:pPr>
              <w:spacing w:line="278" w:lineRule="auto"/>
              <w:rPr>
                <w:rFonts w:ascii="Arial"/>
                <w:sz w:val="21"/>
              </w:rPr>
            </w:pPr>
          </w:p>
          <w:p w14:paraId="4C531149">
            <w:pPr>
              <w:spacing w:line="278" w:lineRule="auto"/>
              <w:rPr>
                <w:rFonts w:ascii="Arial"/>
                <w:sz w:val="21"/>
              </w:rPr>
            </w:pPr>
          </w:p>
          <w:p w14:paraId="5CEA4AAC">
            <w:pPr>
              <w:spacing w:line="278" w:lineRule="auto"/>
              <w:rPr>
                <w:rFonts w:ascii="Arial"/>
                <w:sz w:val="21"/>
              </w:rPr>
            </w:pPr>
          </w:p>
          <w:p w14:paraId="22E36264">
            <w:pPr>
              <w:spacing w:line="279" w:lineRule="auto"/>
              <w:rPr>
                <w:rFonts w:ascii="Arial"/>
                <w:sz w:val="21"/>
              </w:rPr>
            </w:pPr>
          </w:p>
          <w:p w14:paraId="7136561F">
            <w:pPr>
              <w:pStyle w:val="6"/>
              <w:spacing w:before="68" w:line="221" w:lineRule="auto"/>
              <w:ind w:left="157"/>
            </w:pPr>
            <w:r>
              <w:rPr>
                <w:rFonts w:ascii="宋体" w:hAnsi="宋体" w:eastAsia="宋体" w:cs="宋体"/>
                <w:spacing w:val="-4"/>
              </w:rPr>
              <w:t>消纳地</w:t>
            </w:r>
            <w:r>
              <w:rPr>
                <w:rFonts w:ascii="宋体" w:hAnsi="宋体" w:eastAsia="宋体" w:cs="宋体"/>
                <w:spacing w:val="-39"/>
              </w:rPr>
              <w:t xml:space="preserve"> </w:t>
            </w:r>
            <w:r>
              <w:rPr>
                <w:spacing w:val="-4"/>
              </w:rPr>
              <w:t>S4</w:t>
            </w:r>
          </w:p>
        </w:tc>
        <w:tc>
          <w:tcPr>
            <w:tcW w:w="2407" w:type="dxa"/>
            <w:vAlign w:val="top"/>
          </w:tcPr>
          <w:p w14:paraId="0549EBC8">
            <w:pPr>
              <w:pStyle w:val="6"/>
              <w:spacing w:before="107" w:line="185" w:lineRule="auto"/>
              <w:ind w:left="1071"/>
            </w:pPr>
            <w:r>
              <w:t>pH</w:t>
            </w:r>
          </w:p>
        </w:tc>
        <w:tc>
          <w:tcPr>
            <w:tcW w:w="1698" w:type="dxa"/>
            <w:vAlign w:val="top"/>
          </w:tcPr>
          <w:p w14:paraId="1E074064">
            <w:pPr>
              <w:pStyle w:val="6"/>
              <w:spacing w:before="104" w:line="188" w:lineRule="auto"/>
              <w:ind w:left="723"/>
            </w:pPr>
            <w:r>
              <w:rPr>
                <w:spacing w:val="-3"/>
              </w:rPr>
              <w:t>7.3</w:t>
            </w:r>
          </w:p>
        </w:tc>
        <w:tc>
          <w:tcPr>
            <w:tcW w:w="993" w:type="dxa"/>
            <w:vAlign w:val="top"/>
          </w:tcPr>
          <w:p w14:paraId="720FCD9D">
            <w:pPr>
              <w:pStyle w:val="6"/>
              <w:spacing w:before="100" w:line="192" w:lineRule="auto"/>
              <w:ind w:left="466"/>
            </w:pPr>
            <w:r>
              <w:t>/</w:t>
            </w:r>
          </w:p>
        </w:tc>
        <w:tc>
          <w:tcPr>
            <w:tcW w:w="807" w:type="dxa"/>
            <w:vAlign w:val="top"/>
          </w:tcPr>
          <w:p w14:paraId="0A368053">
            <w:pPr>
              <w:spacing w:before="67" w:line="220" w:lineRule="auto"/>
              <w:ind w:left="96"/>
              <w:rPr>
                <w:rFonts w:ascii="宋体" w:hAnsi="宋体" w:eastAsia="宋体" w:cs="宋体"/>
                <w:sz w:val="21"/>
                <w:szCs w:val="21"/>
              </w:rPr>
            </w:pPr>
            <w:r>
              <w:rPr>
                <w:rFonts w:ascii="宋体" w:hAnsi="宋体" w:eastAsia="宋体" w:cs="宋体"/>
                <w:spacing w:val="-3"/>
                <w:sz w:val="21"/>
                <w:szCs w:val="21"/>
              </w:rPr>
              <w:t>无量纲</w:t>
            </w:r>
          </w:p>
        </w:tc>
      </w:tr>
      <w:tr w14:paraId="1DFF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12" w:type="dxa"/>
            <w:vMerge w:val="continue"/>
            <w:tcBorders>
              <w:top w:val="nil"/>
              <w:bottom w:val="nil"/>
            </w:tcBorders>
            <w:vAlign w:val="top"/>
          </w:tcPr>
          <w:p w14:paraId="1BCDA4AB">
            <w:pPr>
              <w:rPr>
                <w:rFonts w:ascii="Arial"/>
                <w:sz w:val="21"/>
              </w:rPr>
            </w:pPr>
          </w:p>
        </w:tc>
        <w:tc>
          <w:tcPr>
            <w:tcW w:w="1203" w:type="dxa"/>
            <w:vMerge w:val="continue"/>
            <w:tcBorders>
              <w:top w:val="nil"/>
              <w:bottom w:val="nil"/>
            </w:tcBorders>
            <w:vAlign w:val="top"/>
          </w:tcPr>
          <w:p w14:paraId="7354C223">
            <w:pPr>
              <w:rPr>
                <w:rFonts w:ascii="Arial"/>
                <w:sz w:val="21"/>
              </w:rPr>
            </w:pPr>
          </w:p>
        </w:tc>
        <w:tc>
          <w:tcPr>
            <w:tcW w:w="2407" w:type="dxa"/>
            <w:vAlign w:val="top"/>
          </w:tcPr>
          <w:p w14:paraId="04B5CB8B">
            <w:pPr>
              <w:spacing w:before="67" w:line="222" w:lineRule="auto"/>
              <w:ind w:left="1102"/>
              <w:rPr>
                <w:rFonts w:ascii="宋体" w:hAnsi="宋体" w:eastAsia="宋体" w:cs="宋体"/>
                <w:sz w:val="21"/>
                <w:szCs w:val="21"/>
              </w:rPr>
            </w:pPr>
            <w:r>
              <w:rPr>
                <w:rFonts w:ascii="宋体" w:hAnsi="宋体" w:eastAsia="宋体" w:cs="宋体"/>
                <w:sz w:val="21"/>
                <w:szCs w:val="21"/>
              </w:rPr>
              <w:t>铬</w:t>
            </w:r>
          </w:p>
        </w:tc>
        <w:tc>
          <w:tcPr>
            <w:tcW w:w="1698" w:type="dxa"/>
            <w:vAlign w:val="top"/>
          </w:tcPr>
          <w:p w14:paraId="177897FB">
            <w:pPr>
              <w:pStyle w:val="6"/>
              <w:spacing w:before="90" w:line="188" w:lineRule="auto"/>
              <w:ind w:left="755"/>
            </w:pPr>
            <w:r>
              <w:rPr>
                <w:spacing w:val="-4"/>
              </w:rPr>
              <w:t>80</w:t>
            </w:r>
          </w:p>
        </w:tc>
        <w:tc>
          <w:tcPr>
            <w:tcW w:w="993" w:type="dxa"/>
            <w:vAlign w:val="top"/>
          </w:tcPr>
          <w:p w14:paraId="4625A385">
            <w:pPr>
              <w:pStyle w:val="6"/>
              <w:spacing w:before="104" w:line="188" w:lineRule="auto"/>
              <w:ind w:left="342"/>
            </w:pPr>
            <w:r>
              <w:rPr>
                <w:spacing w:val="-2"/>
              </w:rPr>
              <w:t>200</w:t>
            </w:r>
          </w:p>
        </w:tc>
        <w:tc>
          <w:tcPr>
            <w:tcW w:w="807" w:type="dxa"/>
            <w:vAlign w:val="top"/>
          </w:tcPr>
          <w:p w14:paraId="6617EB2D">
            <w:pPr>
              <w:pStyle w:val="6"/>
              <w:spacing w:before="100" w:line="192" w:lineRule="auto"/>
              <w:ind w:left="134"/>
            </w:pPr>
            <w:r>
              <w:rPr>
                <w:spacing w:val="-1"/>
              </w:rPr>
              <w:t>mg/kg</w:t>
            </w:r>
          </w:p>
        </w:tc>
      </w:tr>
      <w:tr w14:paraId="1100E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34B2A63B">
            <w:pPr>
              <w:rPr>
                <w:rFonts w:ascii="Arial"/>
                <w:sz w:val="21"/>
              </w:rPr>
            </w:pPr>
          </w:p>
        </w:tc>
        <w:tc>
          <w:tcPr>
            <w:tcW w:w="1203" w:type="dxa"/>
            <w:vMerge w:val="continue"/>
            <w:tcBorders>
              <w:top w:val="nil"/>
              <w:bottom w:val="nil"/>
            </w:tcBorders>
            <w:vAlign w:val="top"/>
          </w:tcPr>
          <w:p w14:paraId="558C5C81">
            <w:pPr>
              <w:rPr>
                <w:rFonts w:ascii="Arial"/>
                <w:sz w:val="21"/>
              </w:rPr>
            </w:pPr>
          </w:p>
        </w:tc>
        <w:tc>
          <w:tcPr>
            <w:tcW w:w="2407" w:type="dxa"/>
            <w:vAlign w:val="top"/>
          </w:tcPr>
          <w:p w14:paraId="1200A55C">
            <w:pPr>
              <w:spacing w:before="67" w:line="220" w:lineRule="auto"/>
              <w:ind w:left="1102"/>
              <w:rPr>
                <w:rFonts w:ascii="宋体" w:hAnsi="宋体" w:eastAsia="宋体" w:cs="宋体"/>
                <w:sz w:val="21"/>
                <w:szCs w:val="21"/>
              </w:rPr>
            </w:pPr>
            <w:r>
              <w:rPr>
                <w:rFonts w:ascii="宋体" w:hAnsi="宋体" w:eastAsia="宋体" w:cs="宋体"/>
                <w:sz w:val="21"/>
                <w:szCs w:val="21"/>
              </w:rPr>
              <w:t>镍</w:t>
            </w:r>
          </w:p>
        </w:tc>
        <w:tc>
          <w:tcPr>
            <w:tcW w:w="1698" w:type="dxa"/>
            <w:vAlign w:val="top"/>
          </w:tcPr>
          <w:p w14:paraId="2E7664C4">
            <w:pPr>
              <w:pStyle w:val="6"/>
              <w:spacing w:before="89" w:line="188" w:lineRule="auto"/>
              <w:ind w:left="766"/>
            </w:pPr>
            <w:r>
              <w:rPr>
                <w:spacing w:val="-6"/>
              </w:rPr>
              <w:t>14</w:t>
            </w:r>
          </w:p>
        </w:tc>
        <w:tc>
          <w:tcPr>
            <w:tcW w:w="993" w:type="dxa"/>
            <w:vAlign w:val="top"/>
          </w:tcPr>
          <w:p w14:paraId="3528948C">
            <w:pPr>
              <w:pStyle w:val="6"/>
              <w:spacing w:before="103" w:line="188" w:lineRule="auto"/>
              <w:ind w:left="362"/>
            </w:pPr>
            <w:r>
              <w:rPr>
                <w:spacing w:val="-9"/>
              </w:rPr>
              <w:t>100</w:t>
            </w:r>
          </w:p>
        </w:tc>
        <w:tc>
          <w:tcPr>
            <w:tcW w:w="807" w:type="dxa"/>
            <w:vAlign w:val="top"/>
          </w:tcPr>
          <w:p w14:paraId="4FA2E578">
            <w:pPr>
              <w:pStyle w:val="6"/>
              <w:spacing w:before="99" w:line="192" w:lineRule="auto"/>
              <w:ind w:left="134"/>
            </w:pPr>
            <w:r>
              <w:rPr>
                <w:spacing w:val="-1"/>
              </w:rPr>
              <w:t>mg/kg</w:t>
            </w:r>
          </w:p>
        </w:tc>
      </w:tr>
      <w:tr w14:paraId="3C5E3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335A994F">
            <w:pPr>
              <w:rPr>
                <w:rFonts w:ascii="Arial"/>
                <w:sz w:val="21"/>
              </w:rPr>
            </w:pPr>
          </w:p>
        </w:tc>
        <w:tc>
          <w:tcPr>
            <w:tcW w:w="1203" w:type="dxa"/>
            <w:vMerge w:val="continue"/>
            <w:tcBorders>
              <w:top w:val="nil"/>
              <w:bottom w:val="nil"/>
            </w:tcBorders>
            <w:vAlign w:val="top"/>
          </w:tcPr>
          <w:p w14:paraId="2008D15D">
            <w:pPr>
              <w:rPr>
                <w:rFonts w:ascii="Arial"/>
                <w:sz w:val="21"/>
              </w:rPr>
            </w:pPr>
          </w:p>
        </w:tc>
        <w:tc>
          <w:tcPr>
            <w:tcW w:w="2407" w:type="dxa"/>
            <w:vAlign w:val="top"/>
          </w:tcPr>
          <w:p w14:paraId="03B30786">
            <w:pPr>
              <w:spacing w:before="67" w:line="221" w:lineRule="auto"/>
              <w:ind w:left="1102"/>
              <w:rPr>
                <w:rFonts w:ascii="宋体" w:hAnsi="宋体" w:eastAsia="宋体" w:cs="宋体"/>
                <w:sz w:val="21"/>
                <w:szCs w:val="21"/>
              </w:rPr>
            </w:pPr>
            <w:r>
              <w:rPr>
                <w:rFonts w:ascii="宋体" w:hAnsi="宋体" w:eastAsia="宋体" w:cs="宋体"/>
                <w:sz w:val="21"/>
                <w:szCs w:val="21"/>
              </w:rPr>
              <w:t>铜</w:t>
            </w:r>
          </w:p>
        </w:tc>
        <w:tc>
          <w:tcPr>
            <w:tcW w:w="1698" w:type="dxa"/>
            <w:vAlign w:val="top"/>
          </w:tcPr>
          <w:p w14:paraId="48BBF07C">
            <w:pPr>
              <w:pStyle w:val="6"/>
              <w:spacing w:before="90" w:line="188" w:lineRule="auto"/>
              <w:ind w:left="668"/>
            </w:pPr>
            <w:r>
              <w:rPr>
                <w:spacing w:val="-1"/>
              </w:rPr>
              <w:t>22.8</w:t>
            </w:r>
          </w:p>
        </w:tc>
        <w:tc>
          <w:tcPr>
            <w:tcW w:w="993" w:type="dxa"/>
            <w:vAlign w:val="top"/>
          </w:tcPr>
          <w:p w14:paraId="495FD61B">
            <w:pPr>
              <w:pStyle w:val="6"/>
              <w:spacing w:before="104" w:line="188" w:lineRule="auto"/>
              <w:ind w:left="362"/>
            </w:pPr>
            <w:r>
              <w:rPr>
                <w:spacing w:val="-9"/>
              </w:rPr>
              <w:t>100</w:t>
            </w:r>
          </w:p>
        </w:tc>
        <w:tc>
          <w:tcPr>
            <w:tcW w:w="807" w:type="dxa"/>
            <w:vAlign w:val="top"/>
          </w:tcPr>
          <w:p w14:paraId="2F5A9457">
            <w:pPr>
              <w:pStyle w:val="6"/>
              <w:spacing w:before="100" w:line="192" w:lineRule="auto"/>
              <w:ind w:left="134"/>
            </w:pPr>
            <w:r>
              <w:rPr>
                <w:spacing w:val="-1"/>
              </w:rPr>
              <w:t>mg/kg</w:t>
            </w:r>
          </w:p>
        </w:tc>
      </w:tr>
      <w:tr w14:paraId="07249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6E719601">
            <w:pPr>
              <w:rPr>
                <w:rFonts w:ascii="Arial"/>
                <w:sz w:val="21"/>
              </w:rPr>
            </w:pPr>
          </w:p>
        </w:tc>
        <w:tc>
          <w:tcPr>
            <w:tcW w:w="1203" w:type="dxa"/>
            <w:vMerge w:val="continue"/>
            <w:tcBorders>
              <w:top w:val="nil"/>
              <w:bottom w:val="nil"/>
            </w:tcBorders>
            <w:vAlign w:val="top"/>
          </w:tcPr>
          <w:p w14:paraId="6EC209BF">
            <w:pPr>
              <w:rPr>
                <w:rFonts w:ascii="Arial"/>
                <w:sz w:val="21"/>
              </w:rPr>
            </w:pPr>
          </w:p>
        </w:tc>
        <w:tc>
          <w:tcPr>
            <w:tcW w:w="2407" w:type="dxa"/>
            <w:vAlign w:val="top"/>
          </w:tcPr>
          <w:p w14:paraId="7A702AFD">
            <w:pPr>
              <w:spacing w:before="68" w:line="220" w:lineRule="auto"/>
              <w:ind w:left="1102"/>
              <w:rPr>
                <w:rFonts w:ascii="宋体" w:hAnsi="宋体" w:eastAsia="宋体" w:cs="宋体"/>
                <w:sz w:val="21"/>
                <w:szCs w:val="21"/>
              </w:rPr>
            </w:pPr>
            <w:r>
              <w:rPr>
                <w:rFonts w:ascii="宋体" w:hAnsi="宋体" w:eastAsia="宋体" w:cs="宋体"/>
                <w:sz w:val="21"/>
                <w:szCs w:val="21"/>
              </w:rPr>
              <w:t>锌</w:t>
            </w:r>
          </w:p>
        </w:tc>
        <w:tc>
          <w:tcPr>
            <w:tcW w:w="1698" w:type="dxa"/>
            <w:vAlign w:val="top"/>
          </w:tcPr>
          <w:p w14:paraId="7FC97753">
            <w:pPr>
              <w:pStyle w:val="6"/>
              <w:spacing w:before="90" w:line="188" w:lineRule="auto"/>
              <w:ind w:left="715"/>
            </w:pPr>
            <w:r>
              <w:rPr>
                <w:spacing w:val="-9"/>
              </w:rPr>
              <w:t>121</w:t>
            </w:r>
          </w:p>
        </w:tc>
        <w:tc>
          <w:tcPr>
            <w:tcW w:w="993" w:type="dxa"/>
            <w:vAlign w:val="top"/>
          </w:tcPr>
          <w:p w14:paraId="133D9CB1">
            <w:pPr>
              <w:pStyle w:val="6"/>
              <w:spacing w:before="104" w:line="188" w:lineRule="auto"/>
              <w:ind w:left="342"/>
            </w:pPr>
            <w:r>
              <w:rPr>
                <w:spacing w:val="-2"/>
              </w:rPr>
              <w:t>250</w:t>
            </w:r>
          </w:p>
        </w:tc>
        <w:tc>
          <w:tcPr>
            <w:tcW w:w="807" w:type="dxa"/>
            <w:vAlign w:val="top"/>
          </w:tcPr>
          <w:p w14:paraId="254B33C9">
            <w:pPr>
              <w:pStyle w:val="6"/>
              <w:spacing w:before="100" w:line="192" w:lineRule="auto"/>
              <w:ind w:left="134"/>
            </w:pPr>
            <w:r>
              <w:rPr>
                <w:spacing w:val="-1"/>
              </w:rPr>
              <w:t>mg/kg</w:t>
            </w:r>
          </w:p>
        </w:tc>
      </w:tr>
      <w:tr w14:paraId="23D41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dxa"/>
            <w:vMerge w:val="continue"/>
            <w:tcBorders>
              <w:top w:val="nil"/>
              <w:bottom w:val="nil"/>
            </w:tcBorders>
            <w:vAlign w:val="top"/>
          </w:tcPr>
          <w:p w14:paraId="3CD877BB">
            <w:pPr>
              <w:rPr>
                <w:rFonts w:ascii="Arial"/>
                <w:sz w:val="21"/>
              </w:rPr>
            </w:pPr>
          </w:p>
        </w:tc>
        <w:tc>
          <w:tcPr>
            <w:tcW w:w="1203" w:type="dxa"/>
            <w:vMerge w:val="continue"/>
            <w:tcBorders>
              <w:top w:val="nil"/>
              <w:bottom w:val="nil"/>
            </w:tcBorders>
            <w:vAlign w:val="top"/>
          </w:tcPr>
          <w:p w14:paraId="6C407415">
            <w:pPr>
              <w:rPr>
                <w:rFonts w:ascii="Arial"/>
                <w:sz w:val="21"/>
              </w:rPr>
            </w:pPr>
          </w:p>
        </w:tc>
        <w:tc>
          <w:tcPr>
            <w:tcW w:w="2407" w:type="dxa"/>
            <w:vAlign w:val="top"/>
          </w:tcPr>
          <w:p w14:paraId="35DA17C0">
            <w:pPr>
              <w:spacing w:before="68" w:line="220" w:lineRule="auto"/>
              <w:ind w:left="1102"/>
              <w:rPr>
                <w:rFonts w:ascii="宋体" w:hAnsi="宋体" w:eastAsia="宋体" w:cs="宋体"/>
                <w:sz w:val="21"/>
                <w:szCs w:val="21"/>
              </w:rPr>
            </w:pPr>
            <w:r>
              <w:rPr>
                <w:rFonts w:ascii="宋体" w:hAnsi="宋体" w:eastAsia="宋体" w:cs="宋体"/>
                <w:sz w:val="21"/>
                <w:szCs w:val="21"/>
              </w:rPr>
              <w:t>砷</w:t>
            </w:r>
          </w:p>
        </w:tc>
        <w:tc>
          <w:tcPr>
            <w:tcW w:w="1698" w:type="dxa"/>
            <w:vAlign w:val="top"/>
          </w:tcPr>
          <w:p w14:paraId="42E4DD38">
            <w:pPr>
              <w:pStyle w:val="6"/>
              <w:spacing w:before="90" w:line="188" w:lineRule="auto"/>
              <w:ind w:left="723"/>
            </w:pPr>
            <w:r>
              <w:rPr>
                <w:spacing w:val="-2"/>
              </w:rPr>
              <w:t>7.8</w:t>
            </w:r>
          </w:p>
        </w:tc>
        <w:tc>
          <w:tcPr>
            <w:tcW w:w="993" w:type="dxa"/>
            <w:vAlign w:val="top"/>
          </w:tcPr>
          <w:p w14:paraId="21D235AA">
            <w:pPr>
              <w:pStyle w:val="6"/>
              <w:spacing w:before="104" w:line="188" w:lineRule="auto"/>
              <w:ind w:left="399"/>
            </w:pPr>
            <w:r>
              <w:rPr>
                <w:spacing w:val="-3"/>
              </w:rPr>
              <w:t>30</w:t>
            </w:r>
          </w:p>
        </w:tc>
        <w:tc>
          <w:tcPr>
            <w:tcW w:w="807" w:type="dxa"/>
            <w:vAlign w:val="top"/>
          </w:tcPr>
          <w:p w14:paraId="766568F9">
            <w:pPr>
              <w:pStyle w:val="6"/>
              <w:spacing w:before="100" w:line="192" w:lineRule="auto"/>
              <w:ind w:left="134"/>
            </w:pPr>
            <w:r>
              <w:rPr>
                <w:spacing w:val="-1"/>
              </w:rPr>
              <w:t>mg/kg</w:t>
            </w:r>
          </w:p>
        </w:tc>
      </w:tr>
      <w:tr w14:paraId="6C5A3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4114FA24">
            <w:pPr>
              <w:rPr>
                <w:rFonts w:ascii="Arial"/>
                <w:sz w:val="21"/>
              </w:rPr>
            </w:pPr>
          </w:p>
        </w:tc>
        <w:tc>
          <w:tcPr>
            <w:tcW w:w="1203" w:type="dxa"/>
            <w:vMerge w:val="continue"/>
            <w:tcBorders>
              <w:top w:val="nil"/>
              <w:bottom w:val="nil"/>
            </w:tcBorders>
            <w:vAlign w:val="top"/>
          </w:tcPr>
          <w:p w14:paraId="2D4BFB15">
            <w:pPr>
              <w:rPr>
                <w:rFonts w:ascii="Arial"/>
                <w:sz w:val="21"/>
              </w:rPr>
            </w:pPr>
          </w:p>
        </w:tc>
        <w:tc>
          <w:tcPr>
            <w:tcW w:w="2407" w:type="dxa"/>
            <w:vAlign w:val="top"/>
          </w:tcPr>
          <w:p w14:paraId="1C651C13">
            <w:pPr>
              <w:spacing w:before="69" w:line="222" w:lineRule="auto"/>
              <w:ind w:left="1101"/>
              <w:rPr>
                <w:rFonts w:ascii="宋体" w:hAnsi="宋体" w:eastAsia="宋体" w:cs="宋体"/>
                <w:sz w:val="21"/>
                <w:szCs w:val="21"/>
              </w:rPr>
            </w:pPr>
            <w:r>
              <w:rPr>
                <w:rFonts w:ascii="宋体" w:hAnsi="宋体" w:eastAsia="宋体" w:cs="宋体"/>
                <w:sz w:val="21"/>
                <w:szCs w:val="21"/>
              </w:rPr>
              <w:t>镉</w:t>
            </w:r>
          </w:p>
        </w:tc>
        <w:tc>
          <w:tcPr>
            <w:tcW w:w="1698" w:type="dxa"/>
            <w:vAlign w:val="top"/>
          </w:tcPr>
          <w:p w14:paraId="32A509CB">
            <w:pPr>
              <w:spacing w:before="54" w:line="220" w:lineRule="auto"/>
              <w:ind w:left="543"/>
              <w:rPr>
                <w:rFonts w:ascii="宋体" w:hAnsi="宋体" w:eastAsia="宋体" w:cs="宋体"/>
                <w:sz w:val="21"/>
                <w:szCs w:val="21"/>
              </w:rPr>
            </w:pPr>
            <w:r>
              <w:rPr>
                <w:rFonts w:ascii="宋体" w:hAnsi="宋体" w:eastAsia="宋体" w:cs="宋体"/>
                <w:spacing w:val="-3"/>
                <w:sz w:val="21"/>
                <w:szCs w:val="21"/>
              </w:rPr>
              <w:t>未检出</w:t>
            </w:r>
          </w:p>
        </w:tc>
        <w:tc>
          <w:tcPr>
            <w:tcW w:w="993" w:type="dxa"/>
            <w:vAlign w:val="top"/>
          </w:tcPr>
          <w:p w14:paraId="54E21B85">
            <w:pPr>
              <w:pStyle w:val="6"/>
              <w:spacing w:before="105" w:line="188" w:lineRule="auto"/>
              <w:ind w:left="371"/>
            </w:pPr>
            <w:r>
              <w:rPr>
                <w:spacing w:val="-2"/>
              </w:rPr>
              <w:t>0.3</w:t>
            </w:r>
          </w:p>
        </w:tc>
        <w:tc>
          <w:tcPr>
            <w:tcW w:w="807" w:type="dxa"/>
            <w:vAlign w:val="top"/>
          </w:tcPr>
          <w:p w14:paraId="2DB533C6">
            <w:pPr>
              <w:pStyle w:val="6"/>
              <w:spacing w:before="101" w:line="192" w:lineRule="auto"/>
              <w:ind w:left="134"/>
            </w:pPr>
            <w:r>
              <w:rPr>
                <w:spacing w:val="-1"/>
              </w:rPr>
              <w:t>mg/kg</w:t>
            </w:r>
          </w:p>
        </w:tc>
      </w:tr>
      <w:tr w14:paraId="11874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dxa"/>
            <w:vMerge w:val="continue"/>
            <w:tcBorders>
              <w:top w:val="nil"/>
              <w:bottom w:val="nil"/>
            </w:tcBorders>
            <w:vAlign w:val="top"/>
          </w:tcPr>
          <w:p w14:paraId="02DDCB09">
            <w:pPr>
              <w:rPr>
                <w:rFonts w:ascii="Arial"/>
                <w:sz w:val="21"/>
              </w:rPr>
            </w:pPr>
          </w:p>
        </w:tc>
        <w:tc>
          <w:tcPr>
            <w:tcW w:w="1203" w:type="dxa"/>
            <w:vMerge w:val="continue"/>
            <w:tcBorders>
              <w:top w:val="nil"/>
              <w:bottom w:val="nil"/>
            </w:tcBorders>
            <w:vAlign w:val="top"/>
          </w:tcPr>
          <w:p w14:paraId="53CC2CE0">
            <w:pPr>
              <w:rPr>
                <w:rFonts w:ascii="Arial"/>
                <w:sz w:val="21"/>
              </w:rPr>
            </w:pPr>
          </w:p>
        </w:tc>
        <w:tc>
          <w:tcPr>
            <w:tcW w:w="2407" w:type="dxa"/>
            <w:vAlign w:val="top"/>
          </w:tcPr>
          <w:p w14:paraId="4058A308">
            <w:pPr>
              <w:spacing w:before="68" w:line="224" w:lineRule="auto"/>
              <w:ind w:left="1102"/>
              <w:rPr>
                <w:rFonts w:ascii="宋体" w:hAnsi="宋体" w:eastAsia="宋体" w:cs="宋体"/>
                <w:sz w:val="21"/>
                <w:szCs w:val="21"/>
              </w:rPr>
            </w:pPr>
            <w:r>
              <w:rPr>
                <w:rFonts w:ascii="宋体" w:hAnsi="宋体" w:eastAsia="宋体" w:cs="宋体"/>
                <w:sz w:val="21"/>
                <w:szCs w:val="21"/>
              </w:rPr>
              <w:t>铅</w:t>
            </w:r>
          </w:p>
        </w:tc>
        <w:tc>
          <w:tcPr>
            <w:tcW w:w="1698" w:type="dxa"/>
            <w:vAlign w:val="top"/>
          </w:tcPr>
          <w:p w14:paraId="4F6184A7">
            <w:pPr>
              <w:pStyle w:val="6"/>
              <w:spacing w:before="91" w:line="188" w:lineRule="auto"/>
              <w:ind w:left="746"/>
            </w:pPr>
            <w:r>
              <w:rPr>
                <w:spacing w:val="-1"/>
              </w:rPr>
              <w:t>24</w:t>
            </w:r>
          </w:p>
        </w:tc>
        <w:tc>
          <w:tcPr>
            <w:tcW w:w="993" w:type="dxa"/>
            <w:vAlign w:val="top"/>
          </w:tcPr>
          <w:p w14:paraId="26D495D8">
            <w:pPr>
              <w:pStyle w:val="6"/>
              <w:spacing w:before="105" w:line="188" w:lineRule="auto"/>
              <w:ind w:left="362"/>
            </w:pPr>
            <w:r>
              <w:rPr>
                <w:spacing w:val="-9"/>
              </w:rPr>
              <w:t>120</w:t>
            </w:r>
          </w:p>
        </w:tc>
        <w:tc>
          <w:tcPr>
            <w:tcW w:w="807" w:type="dxa"/>
            <w:vAlign w:val="top"/>
          </w:tcPr>
          <w:p w14:paraId="1D2C9CCA">
            <w:pPr>
              <w:pStyle w:val="6"/>
              <w:spacing w:before="101" w:line="192" w:lineRule="auto"/>
              <w:ind w:left="134"/>
            </w:pPr>
            <w:r>
              <w:rPr>
                <w:spacing w:val="-1"/>
              </w:rPr>
              <w:t>mg/kg</w:t>
            </w:r>
          </w:p>
        </w:tc>
      </w:tr>
      <w:tr w14:paraId="3732F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12" w:type="dxa"/>
            <w:vMerge w:val="continue"/>
            <w:tcBorders>
              <w:top w:val="nil"/>
            </w:tcBorders>
            <w:vAlign w:val="top"/>
          </w:tcPr>
          <w:p w14:paraId="4763ACEF">
            <w:pPr>
              <w:rPr>
                <w:rFonts w:ascii="Arial"/>
                <w:sz w:val="21"/>
              </w:rPr>
            </w:pPr>
          </w:p>
        </w:tc>
        <w:tc>
          <w:tcPr>
            <w:tcW w:w="1203" w:type="dxa"/>
            <w:vMerge w:val="continue"/>
            <w:tcBorders>
              <w:top w:val="nil"/>
            </w:tcBorders>
            <w:vAlign w:val="top"/>
          </w:tcPr>
          <w:p w14:paraId="4773886A">
            <w:pPr>
              <w:rPr>
                <w:rFonts w:ascii="Arial"/>
                <w:sz w:val="21"/>
              </w:rPr>
            </w:pPr>
          </w:p>
        </w:tc>
        <w:tc>
          <w:tcPr>
            <w:tcW w:w="2407" w:type="dxa"/>
            <w:vAlign w:val="top"/>
          </w:tcPr>
          <w:p w14:paraId="4152794C">
            <w:pPr>
              <w:spacing w:before="69" w:line="220" w:lineRule="auto"/>
              <w:ind w:left="1103"/>
              <w:rPr>
                <w:rFonts w:ascii="宋体" w:hAnsi="宋体" w:eastAsia="宋体" w:cs="宋体"/>
                <w:sz w:val="21"/>
                <w:szCs w:val="21"/>
              </w:rPr>
            </w:pPr>
            <w:r>
              <w:rPr>
                <w:rFonts w:ascii="宋体" w:hAnsi="宋体" w:eastAsia="宋体" w:cs="宋体"/>
                <w:sz w:val="21"/>
                <w:szCs w:val="21"/>
              </w:rPr>
              <w:t>汞</w:t>
            </w:r>
          </w:p>
        </w:tc>
        <w:tc>
          <w:tcPr>
            <w:tcW w:w="1698" w:type="dxa"/>
            <w:vAlign w:val="top"/>
          </w:tcPr>
          <w:p w14:paraId="47C554BE">
            <w:pPr>
              <w:pStyle w:val="6"/>
              <w:spacing w:before="91" w:line="188" w:lineRule="auto"/>
              <w:ind w:left="618"/>
            </w:pPr>
            <w:r>
              <w:rPr>
                <w:spacing w:val="-2"/>
              </w:rPr>
              <w:t>0.253</w:t>
            </w:r>
          </w:p>
        </w:tc>
        <w:tc>
          <w:tcPr>
            <w:tcW w:w="993" w:type="dxa"/>
            <w:vAlign w:val="top"/>
          </w:tcPr>
          <w:p w14:paraId="1E727381">
            <w:pPr>
              <w:pStyle w:val="6"/>
              <w:spacing w:before="105" w:line="188" w:lineRule="auto"/>
              <w:ind w:left="368"/>
            </w:pPr>
            <w:r>
              <w:rPr>
                <w:spacing w:val="-1"/>
              </w:rPr>
              <w:t>2.4</w:t>
            </w:r>
          </w:p>
        </w:tc>
        <w:tc>
          <w:tcPr>
            <w:tcW w:w="807" w:type="dxa"/>
            <w:vAlign w:val="top"/>
          </w:tcPr>
          <w:p w14:paraId="6EBA3A06">
            <w:pPr>
              <w:pStyle w:val="6"/>
              <w:spacing w:before="101" w:line="192" w:lineRule="auto"/>
              <w:ind w:left="134"/>
            </w:pPr>
            <w:r>
              <w:rPr>
                <w:spacing w:val="-1"/>
              </w:rPr>
              <w:t>mg/kg</w:t>
            </w:r>
          </w:p>
        </w:tc>
      </w:tr>
    </w:tbl>
    <w:p w14:paraId="39A56842">
      <w:pPr>
        <w:pStyle w:val="2"/>
        <w:spacing w:line="202" w:lineRule="exact"/>
        <w:rPr>
          <w:sz w:val="17"/>
        </w:rPr>
      </w:pPr>
    </w:p>
    <w:p w14:paraId="4B8E9936">
      <w:pPr>
        <w:spacing w:line="202" w:lineRule="exact"/>
        <w:rPr>
          <w:sz w:val="17"/>
          <w:szCs w:val="17"/>
        </w:rPr>
        <w:sectPr>
          <w:footerReference r:id="rId278" w:type="default"/>
          <w:pgSz w:w="11905" w:h="16840"/>
          <w:pgMar w:top="1168" w:right="1768" w:bottom="1408" w:left="1770" w:header="828" w:footer="1244" w:gutter="0"/>
          <w:cols w:space="720" w:num="1"/>
        </w:sectPr>
      </w:pPr>
    </w:p>
    <w:p w14:paraId="54425DB6">
      <w:pPr>
        <w:pStyle w:val="2"/>
        <w:spacing w:line="307" w:lineRule="auto"/>
      </w:pPr>
    </w:p>
    <w:p w14:paraId="09E0BCFD">
      <w:pPr>
        <w:spacing w:before="78" w:line="361" w:lineRule="auto"/>
        <w:ind w:left="39" w:right="29" w:firstLine="509"/>
        <w:jc w:val="both"/>
        <w:rPr>
          <w:rFonts w:ascii="宋体" w:hAnsi="宋体" w:eastAsia="宋体" w:cs="宋体"/>
          <w:sz w:val="24"/>
          <w:szCs w:val="24"/>
        </w:rPr>
      </w:pPr>
      <w:r>
        <w:rPr>
          <w:rFonts w:ascii="宋体" w:hAnsi="宋体" w:eastAsia="宋体" w:cs="宋体"/>
          <w:spacing w:val="-6"/>
          <w:sz w:val="24"/>
          <w:szCs w:val="24"/>
        </w:rPr>
        <w:t xml:space="preserve">由上表可以看出，项目地 </w:t>
      </w:r>
      <w:r>
        <w:rPr>
          <w:rFonts w:ascii="Times New Roman" w:hAnsi="Times New Roman" w:eastAsia="Times New Roman" w:cs="Times New Roman"/>
          <w:spacing w:val="-6"/>
          <w:sz w:val="24"/>
          <w:szCs w:val="24"/>
        </w:rPr>
        <w:t>S1</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S2</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S3</w:t>
      </w:r>
      <w:r>
        <w:rPr>
          <w:rFonts w:ascii="Times New Roman" w:hAnsi="Times New Roman" w:eastAsia="Times New Roman" w:cs="Times New Roman"/>
          <w:spacing w:val="32"/>
          <w:sz w:val="24"/>
          <w:szCs w:val="24"/>
        </w:rPr>
        <w:t xml:space="preserve"> </w:t>
      </w:r>
      <w:r>
        <w:rPr>
          <w:rFonts w:ascii="宋体" w:hAnsi="宋体" w:eastAsia="宋体" w:cs="宋体"/>
          <w:spacing w:val="-6"/>
          <w:sz w:val="24"/>
          <w:szCs w:val="24"/>
        </w:rPr>
        <w:t xml:space="preserve">及消纳地 </w:t>
      </w:r>
      <w:r>
        <w:rPr>
          <w:rFonts w:ascii="Times New Roman" w:hAnsi="Times New Roman" w:eastAsia="Times New Roman" w:cs="Times New Roman"/>
          <w:spacing w:val="-6"/>
          <w:sz w:val="24"/>
          <w:szCs w:val="24"/>
        </w:rPr>
        <w:t>S4</w:t>
      </w:r>
      <w:r>
        <w:rPr>
          <w:rFonts w:ascii="Times New Roman" w:hAnsi="Times New Roman" w:eastAsia="Times New Roman" w:cs="Times New Roman"/>
          <w:spacing w:val="51"/>
          <w:w w:val="101"/>
          <w:sz w:val="24"/>
          <w:szCs w:val="24"/>
        </w:rPr>
        <w:t xml:space="preserve"> </w:t>
      </w:r>
      <w:r>
        <w:rPr>
          <w:rFonts w:ascii="宋体" w:hAnsi="宋体" w:eastAsia="宋体" w:cs="宋体"/>
          <w:spacing w:val="-6"/>
          <w:sz w:val="24"/>
          <w:szCs w:val="24"/>
        </w:rPr>
        <w:t>的全部指标满足《土壤</w:t>
      </w:r>
      <w:r>
        <w:rPr>
          <w:rFonts w:ascii="宋体" w:hAnsi="宋体" w:eastAsia="宋体" w:cs="宋体"/>
          <w:spacing w:val="-4"/>
          <w:sz w:val="24"/>
          <w:szCs w:val="24"/>
        </w:rPr>
        <w:t>环境质量 农用地土壤污染风险管控标准》（</w:t>
      </w:r>
      <w:r>
        <w:rPr>
          <w:rFonts w:ascii="Times New Roman" w:hAnsi="Times New Roman" w:eastAsia="Times New Roman" w:cs="Times New Roman"/>
          <w:spacing w:val="-4"/>
          <w:sz w:val="24"/>
          <w:szCs w:val="24"/>
        </w:rPr>
        <w:t>GB15618-2018</w:t>
      </w:r>
      <w:r>
        <w:rPr>
          <w:rFonts w:ascii="宋体" w:hAnsi="宋体" w:eastAsia="宋体" w:cs="宋体"/>
          <w:spacing w:val="-4"/>
          <w:sz w:val="24"/>
          <w:szCs w:val="24"/>
        </w:rPr>
        <w:t xml:space="preserve">）中表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其他类的风</w:t>
      </w:r>
      <w:r>
        <w:rPr>
          <w:rFonts w:ascii="宋体" w:hAnsi="宋体" w:eastAsia="宋体" w:cs="宋体"/>
          <w:spacing w:val="-6"/>
          <w:sz w:val="24"/>
          <w:szCs w:val="24"/>
        </w:rPr>
        <w:t>险筛选值标准。</w:t>
      </w:r>
    </w:p>
    <w:p w14:paraId="4A797509">
      <w:pPr>
        <w:spacing w:before="43" w:line="220" w:lineRule="auto"/>
        <w:ind w:left="34"/>
        <w:rPr>
          <w:rFonts w:ascii="宋体" w:hAnsi="宋体" w:eastAsia="宋体" w:cs="宋体"/>
          <w:sz w:val="30"/>
          <w:szCs w:val="30"/>
        </w:rPr>
      </w:pPr>
      <w:r>
        <w:rPr>
          <w:rFonts w:ascii="Times New Roman" w:hAnsi="Times New Roman" w:eastAsia="Times New Roman" w:cs="Times New Roman"/>
          <w:b/>
          <w:bCs/>
          <w:spacing w:val="-2"/>
          <w:sz w:val="30"/>
          <w:szCs w:val="30"/>
        </w:rPr>
        <w:t xml:space="preserve">3.3.6  </w:t>
      </w:r>
      <w:r>
        <w:rPr>
          <w:rFonts w:ascii="宋体" w:hAnsi="宋体" w:eastAsia="宋体" w:cs="宋体"/>
          <w:b/>
          <w:bCs/>
          <w:spacing w:val="-2"/>
          <w:sz w:val="30"/>
          <w:szCs w:val="30"/>
        </w:rPr>
        <w:t>生态环境质量</w:t>
      </w:r>
    </w:p>
    <w:p w14:paraId="77CCCFAA">
      <w:pPr>
        <w:pStyle w:val="2"/>
        <w:spacing w:line="258" w:lineRule="auto"/>
      </w:pPr>
    </w:p>
    <w:p w14:paraId="5C74E65B">
      <w:pPr>
        <w:spacing w:before="78" w:line="360" w:lineRule="auto"/>
        <w:ind w:left="40" w:right="29" w:firstLine="482"/>
        <w:jc w:val="both"/>
        <w:rPr>
          <w:rFonts w:ascii="宋体" w:hAnsi="宋体" w:eastAsia="宋体" w:cs="宋体"/>
          <w:sz w:val="24"/>
          <w:szCs w:val="24"/>
        </w:rPr>
      </w:pPr>
      <w:r>
        <w:rPr>
          <w:rFonts w:ascii="宋体" w:hAnsi="宋体" w:eastAsia="宋体" w:cs="宋体"/>
          <w:spacing w:val="-3"/>
          <w:sz w:val="24"/>
          <w:szCs w:val="24"/>
        </w:rPr>
        <w:t>项目所在区域内生态环境以农村环境为主，地表植被主</w:t>
      </w:r>
      <w:r>
        <w:rPr>
          <w:rFonts w:ascii="宋体" w:hAnsi="宋体" w:eastAsia="宋体" w:cs="宋体"/>
          <w:spacing w:val="-4"/>
          <w:sz w:val="24"/>
          <w:szCs w:val="24"/>
        </w:rPr>
        <w:t>要是人工植被，主要</w:t>
      </w:r>
      <w:r>
        <w:rPr>
          <w:rFonts w:ascii="宋体" w:hAnsi="宋体" w:eastAsia="宋体" w:cs="宋体"/>
          <w:spacing w:val="-6"/>
          <w:sz w:val="24"/>
          <w:szCs w:val="24"/>
        </w:rPr>
        <w:t>经济作物及农作物有柑橘、玉米、红苕、油菜、蔬菜等； 动</w:t>
      </w:r>
      <w:r>
        <w:rPr>
          <w:rFonts w:ascii="宋体" w:hAnsi="宋体" w:eastAsia="宋体" w:cs="宋体"/>
          <w:spacing w:val="-7"/>
          <w:sz w:val="24"/>
          <w:szCs w:val="24"/>
        </w:rPr>
        <w:t>物种类主要为农村饲</w:t>
      </w:r>
      <w:r>
        <w:rPr>
          <w:rFonts w:ascii="宋体" w:hAnsi="宋体" w:eastAsia="宋体" w:cs="宋体"/>
          <w:spacing w:val="-5"/>
          <w:sz w:val="24"/>
          <w:szCs w:val="24"/>
        </w:rPr>
        <w:t>养的家禽、家畜。</w:t>
      </w:r>
    </w:p>
    <w:p w14:paraId="31A5F490">
      <w:pPr>
        <w:spacing w:line="362" w:lineRule="auto"/>
        <w:ind w:left="40" w:right="29" w:firstLine="480"/>
        <w:rPr>
          <w:rFonts w:ascii="宋体" w:hAnsi="宋体" w:eastAsia="宋体" w:cs="宋体"/>
          <w:sz w:val="24"/>
          <w:szCs w:val="24"/>
        </w:rPr>
      </w:pPr>
      <w:r>
        <w:rPr>
          <w:rFonts w:ascii="宋体" w:hAnsi="宋体" w:eastAsia="宋体" w:cs="宋体"/>
          <w:spacing w:val="-3"/>
          <w:sz w:val="24"/>
          <w:szCs w:val="24"/>
        </w:rPr>
        <w:t>经现场踏勘，项目用地内植被稀疏，评价区域植被覆盖率高</w:t>
      </w:r>
      <w:r>
        <w:rPr>
          <w:rFonts w:ascii="宋体" w:hAnsi="宋体" w:eastAsia="宋体" w:cs="宋体"/>
          <w:spacing w:val="-4"/>
          <w:sz w:val="24"/>
          <w:szCs w:val="24"/>
        </w:rPr>
        <w:t>，但因为人类活</w:t>
      </w:r>
      <w:r>
        <w:rPr>
          <w:rFonts w:ascii="宋体" w:hAnsi="宋体" w:eastAsia="宋体" w:cs="宋体"/>
          <w:spacing w:val="-1"/>
          <w:sz w:val="24"/>
          <w:szCs w:val="24"/>
        </w:rPr>
        <w:t>动影响较大，区域生态系统生物多样性程度较低，生态环境质量一般。</w:t>
      </w:r>
    </w:p>
    <w:p w14:paraId="6C8DFFBB">
      <w:pPr>
        <w:spacing w:before="151" w:line="220" w:lineRule="auto"/>
        <w:ind w:left="35"/>
        <w:outlineLvl w:val="1"/>
        <w:rPr>
          <w:rFonts w:ascii="宋体" w:hAnsi="宋体" w:eastAsia="宋体" w:cs="宋体"/>
          <w:sz w:val="32"/>
          <w:szCs w:val="32"/>
        </w:rPr>
      </w:pPr>
      <w:bookmarkStart w:id="37" w:name="bookmark22"/>
      <w:bookmarkEnd w:id="37"/>
      <w:r>
        <w:rPr>
          <w:rFonts w:ascii="Times New Roman" w:hAnsi="Times New Roman" w:eastAsia="Times New Roman" w:cs="Times New Roman"/>
          <w:b/>
          <w:bCs/>
          <w:spacing w:val="-6"/>
          <w:sz w:val="32"/>
          <w:szCs w:val="32"/>
        </w:rPr>
        <w:t>3.4</w:t>
      </w:r>
      <w:r>
        <w:rPr>
          <w:rFonts w:ascii="Times New Roman" w:hAnsi="Times New Roman" w:eastAsia="Times New Roman" w:cs="Times New Roman"/>
          <w:b/>
          <w:bCs/>
          <w:spacing w:val="21"/>
          <w:w w:val="101"/>
          <w:sz w:val="32"/>
          <w:szCs w:val="32"/>
        </w:rPr>
        <w:t xml:space="preserve">  </w:t>
      </w:r>
      <w:r>
        <w:rPr>
          <w:rFonts w:ascii="宋体" w:hAnsi="宋体" w:eastAsia="宋体" w:cs="宋体"/>
          <w:b/>
          <w:bCs/>
          <w:spacing w:val="-6"/>
          <w:sz w:val="32"/>
          <w:szCs w:val="32"/>
        </w:rPr>
        <w:t>区域污染源调查</w:t>
      </w:r>
    </w:p>
    <w:p w14:paraId="1459C0F0">
      <w:pPr>
        <w:pStyle w:val="2"/>
        <w:spacing w:line="246" w:lineRule="auto"/>
      </w:pPr>
    </w:p>
    <w:p w14:paraId="7A84974D">
      <w:pPr>
        <w:spacing w:before="78" w:line="361" w:lineRule="auto"/>
        <w:ind w:left="40" w:right="28" w:firstLine="480"/>
        <w:jc w:val="both"/>
        <w:rPr>
          <w:rFonts w:ascii="宋体" w:hAnsi="宋体" w:eastAsia="宋体" w:cs="宋体"/>
          <w:sz w:val="24"/>
          <w:szCs w:val="24"/>
        </w:rPr>
      </w:pPr>
      <w:r>
        <w:rPr>
          <w:rFonts w:ascii="宋体" w:hAnsi="宋体" w:eastAsia="宋体" w:cs="宋体"/>
          <w:sz w:val="24"/>
          <w:szCs w:val="24"/>
        </w:rPr>
        <w:t>本项目位于内江市东兴区白合镇喻家沟村</w:t>
      </w: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12</w:t>
      </w:r>
      <w:r>
        <w:rPr>
          <w:rFonts w:ascii="宋体" w:hAnsi="宋体" w:eastAsia="宋体" w:cs="宋体"/>
          <w:sz w:val="24"/>
          <w:szCs w:val="24"/>
        </w:rPr>
        <w:t>组，</w:t>
      </w:r>
      <w:r>
        <w:rPr>
          <w:rFonts w:ascii="宋体" w:hAnsi="宋体" w:eastAsia="宋体" w:cs="宋体"/>
          <w:spacing w:val="-1"/>
          <w:sz w:val="24"/>
          <w:szCs w:val="24"/>
        </w:rPr>
        <w:t>地处农村环境，周边主</w:t>
      </w:r>
      <w:r>
        <w:rPr>
          <w:rFonts w:ascii="宋体" w:hAnsi="宋体" w:eastAsia="宋体" w:cs="宋体"/>
          <w:spacing w:val="-6"/>
          <w:sz w:val="24"/>
          <w:szCs w:val="24"/>
        </w:rPr>
        <w:t>要为林地、耕地等， 根据对建设项目及周边环境现场踏勘结</w:t>
      </w:r>
      <w:r>
        <w:rPr>
          <w:rFonts w:ascii="宋体" w:hAnsi="宋体" w:eastAsia="宋体" w:cs="宋体"/>
          <w:spacing w:val="-7"/>
          <w:sz w:val="24"/>
          <w:szCs w:val="24"/>
        </w:rPr>
        <w:t>果，项目周边无生产</w:t>
      </w:r>
      <w:r>
        <w:rPr>
          <w:rFonts w:ascii="宋体" w:hAnsi="宋体" w:eastAsia="宋体" w:cs="宋体"/>
          <w:spacing w:val="-2"/>
          <w:sz w:val="24"/>
          <w:szCs w:val="24"/>
        </w:rPr>
        <w:t>性工业企业分布，区域污染源主要为周边村民的生活污染源。</w:t>
      </w:r>
    </w:p>
    <w:p w14:paraId="2E1134DD">
      <w:pPr>
        <w:spacing w:line="361" w:lineRule="auto"/>
        <w:rPr>
          <w:rFonts w:ascii="宋体" w:hAnsi="宋体" w:eastAsia="宋体" w:cs="宋体"/>
          <w:sz w:val="24"/>
          <w:szCs w:val="24"/>
        </w:rPr>
        <w:sectPr>
          <w:footerReference r:id="rId279" w:type="default"/>
          <w:pgSz w:w="11905" w:h="16840"/>
          <w:pgMar w:top="1168" w:right="1768" w:bottom="1408" w:left="1770" w:header="828" w:footer="1244" w:gutter="0"/>
          <w:cols w:space="720" w:num="1"/>
        </w:sectPr>
      </w:pPr>
    </w:p>
    <w:p w14:paraId="5A958348">
      <w:pPr>
        <w:spacing w:before="363" w:line="218" w:lineRule="auto"/>
        <w:ind w:left="1373"/>
        <w:outlineLvl w:val="0"/>
        <w:rPr>
          <w:rFonts w:ascii="宋体" w:hAnsi="宋体" w:eastAsia="宋体" w:cs="宋体"/>
          <w:sz w:val="44"/>
          <w:szCs w:val="44"/>
        </w:rPr>
      </w:pPr>
      <w:bookmarkStart w:id="38" w:name="bookmark23"/>
      <w:bookmarkEnd w:id="38"/>
      <w:r>
        <w:rPr>
          <w:rFonts w:ascii="宋体" w:hAnsi="宋体" w:eastAsia="宋体" w:cs="宋体"/>
          <w:b/>
          <w:bCs/>
          <w:spacing w:val="-7"/>
          <w:sz w:val="44"/>
          <w:szCs w:val="44"/>
        </w:rPr>
        <w:t>第四章</w:t>
      </w:r>
      <w:r>
        <w:rPr>
          <w:rFonts w:ascii="宋体" w:hAnsi="宋体" w:eastAsia="宋体" w:cs="宋体"/>
          <w:spacing w:val="163"/>
          <w:sz w:val="44"/>
          <w:szCs w:val="44"/>
        </w:rPr>
        <w:t xml:space="preserve"> </w:t>
      </w:r>
      <w:r>
        <w:rPr>
          <w:rFonts w:ascii="宋体" w:hAnsi="宋体" w:eastAsia="宋体" w:cs="宋体"/>
          <w:b/>
          <w:bCs/>
          <w:spacing w:val="-7"/>
          <w:sz w:val="44"/>
          <w:szCs w:val="44"/>
        </w:rPr>
        <w:t>环境影响预测与评价</w:t>
      </w:r>
    </w:p>
    <w:p w14:paraId="1A6ACABC">
      <w:pPr>
        <w:spacing w:before="284" w:line="218" w:lineRule="auto"/>
        <w:ind w:left="38"/>
        <w:outlineLvl w:val="1"/>
        <w:rPr>
          <w:rFonts w:ascii="宋体" w:hAnsi="宋体" w:eastAsia="宋体" w:cs="宋体"/>
          <w:sz w:val="32"/>
          <w:szCs w:val="32"/>
        </w:rPr>
      </w:pPr>
      <w:bookmarkStart w:id="39" w:name="bookmark24"/>
      <w:bookmarkEnd w:id="39"/>
      <w:r>
        <w:rPr>
          <w:rFonts w:ascii="Times New Roman" w:hAnsi="Times New Roman" w:eastAsia="Times New Roman" w:cs="Times New Roman"/>
          <w:b/>
          <w:bCs/>
          <w:spacing w:val="-2"/>
          <w:sz w:val="32"/>
          <w:szCs w:val="32"/>
        </w:rPr>
        <w:t xml:space="preserve">4.1  </w:t>
      </w:r>
      <w:r>
        <w:rPr>
          <w:rFonts w:ascii="宋体" w:hAnsi="宋体" w:eastAsia="宋体" w:cs="宋体"/>
          <w:b/>
          <w:bCs/>
          <w:spacing w:val="-2"/>
          <w:sz w:val="32"/>
          <w:szCs w:val="32"/>
        </w:rPr>
        <w:t>施工期环境影响评价</w:t>
      </w:r>
    </w:p>
    <w:p w14:paraId="4C896A1F">
      <w:pPr>
        <w:pStyle w:val="2"/>
        <w:spacing w:line="278" w:lineRule="auto"/>
      </w:pPr>
    </w:p>
    <w:p w14:paraId="1C784E3D">
      <w:pPr>
        <w:spacing w:before="97"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4.1.1  </w:t>
      </w:r>
      <w:r>
        <w:rPr>
          <w:rFonts w:ascii="宋体" w:hAnsi="宋体" w:eastAsia="宋体" w:cs="宋体"/>
          <w:b/>
          <w:bCs/>
          <w:spacing w:val="-2"/>
          <w:sz w:val="30"/>
          <w:szCs w:val="30"/>
        </w:rPr>
        <w:t>施工期大气环境影响分析</w:t>
      </w:r>
    </w:p>
    <w:p w14:paraId="74EE1BAB">
      <w:pPr>
        <w:pStyle w:val="2"/>
        <w:spacing w:line="258" w:lineRule="auto"/>
      </w:pPr>
    </w:p>
    <w:p w14:paraId="42978AAC">
      <w:pPr>
        <w:spacing w:before="78" w:line="360" w:lineRule="auto"/>
        <w:ind w:left="38" w:firstLine="484"/>
        <w:rPr>
          <w:rFonts w:ascii="宋体" w:hAnsi="宋体" w:eastAsia="宋体" w:cs="宋体"/>
          <w:sz w:val="24"/>
          <w:szCs w:val="24"/>
        </w:rPr>
      </w:pPr>
      <w:r>
        <w:rPr>
          <w:rFonts w:ascii="宋体" w:hAnsi="宋体" w:eastAsia="宋体" w:cs="宋体"/>
          <w:spacing w:val="4"/>
          <w:sz w:val="24"/>
          <w:szCs w:val="24"/>
        </w:rPr>
        <w:t>项目施工期废气污染物主要为各类燃油动力机械施工作业时会排出各类燃</w:t>
      </w:r>
      <w:r>
        <w:rPr>
          <w:rFonts w:ascii="宋体" w:hAnsi="宋体" w:eastAsia="宋体" w:cs="宋体"/>
          <w:spacing w:val="-1"/>
          <w:sz w:val="24"/>
          <w:szCs w:val="24"/>
        </w:rPr>
        <w:t>油废气，排放的主要污染物为</w:t>
      </w:r>
      <w:r>
        <w:rPr>
          <w:rFonts w:ascii="Times New Roman" w:hAnsi="Times New Roman" w:eastAsia="Times New Roman" w:cs="Times New Roman"/>
          <w:spacing w:val="-1"/>
          <w:sz w:val="24"/>
          <w:szCs w:val="24"/>
        </w:rPr>
        <w:t>CO</w:t>
      </w:r>
      <w:r>
        <w:rPr>
          <w:rFonts w:ascii="宋体" w:hAnsi="宋体" w:eastAsia="宋体" w:cs="宋体"/>
          <w:spacing w:val="-1"/>
          <w:sz w:val="24"/>
          <w:szCs w:val="24"/>
        </w:rPr>
        <w:t>、</w:t>
      </w:r>
      <w:r>
        <w:rPr>
          <w:rFonts w:ascii="Times New Roman" w:hAnsi="Times New Roman" w:eastAsia="Times New Roman" w:cs="Times New Roman"/>
          <w:spacing w:val="-1"/>
          <w:sz w:val="24"/>
          <w:szCs w:val="24"/>
        </w:rPr>
        <w:t>NOx</w:t>
      </w:r>
      <w:r>
        <w:rPr>
          <w:rFonts w:ascii="宋体" w:hAnsi="宋体" w:eastAsia="宋体" w:cs="宋体"/>
          <w:spacing w:val="-1"/>
          <w:sz w:val="24"/>
          <w:szCs w:val="24"/>
        </w:rPr>
        <w:t>以及未完全燃烧的</w:t>
      </w:r>
      <w:r>
        <w:rPr>
          <w:rFonts w:ascii="Times New Roman" w:hAnsi="Times New Roman" w:eastAsia="Times New Roman" w:cs="Times New Roman"/>
          <w:spacing w:val="-1"/>
          <w:sz w:val="24"/>
          <w:szCs w:val="24"/>
        </w:rPr>
        <w:t>HC</w:t>
      </w:r>
      <w:r>
        <w:rPr>
          <w:rFonts w:ascii="宋体" w:hAnsi="宋体" w:eastAsia="宋体" w:cs="宋体"/>
          <w:spacing w:val="-1"/>
          <w:sz w:val="24"/>
          <w:szCs w:val="24"/>
        </w:rPr>
        <w:t>等。现场施工、运</w:t>
      </w:r>
      <w:r>
        <w:rPr>
          <w:rFonts w:ascii="宋体" w:hAnsi="宋体" w:eastAsia="宋体" w:cs="宋体"/>
          <w:spacing w:val="1"/>
          <w:sz w:val="24"/>
          <w:szCs w:val="24"/>
        </w:rPr>
        <w:t>输时产生的扬尘，排放的主要污染物为</w:t>
      </w:r>
      <w:r>
        <w:rPr>
          <w:rFonts w:ascii="Times New Roman" w:hAnsi="Times New Roman" w:eastAsia="Times New Roman" w:cs="Times New Roman"/>
          <w:sz w:val="24"/>
          <w:szCs w:val="24"/>
        </w:rPr>
        <w:t>TSP</w:t>
      </w:r>
      <w:r>
        <w:rPr>
          <w:rFonts w:ascii="宋体" w:hAnsi="宋体" w:eastAsia="宋体" w:cs="宋体"/>
          <w:spacing w:val="1"/>
          <w:sz w:val="24"/>
          <w:szCs w:val="24"/>
        </w:rPr>
        <w:t>；装饰工程施工如涂、磨、刨、钻、</w:t>
      </w:r>
      <w:r>
        <w:rPr>
          <w:rFonts w:ascii="宋体" w:hAnsi="宋体" w:eastAsia="宋体" w:cs="宋体"/>
          <w:spacing w:val="-7"/>
          <w:sz w:val="24"/>
          <w:szCs w:val="24"/>
        </w:rPr>
        <w:t>砂等装饰作业以及使用某些装饰材料如涂料、人造板、某些有害物</w:t>
      </w:r>
      <w:r>
        <w:rPr>
          <w:rFonts w:ascii="宋体" w:hAnsi="宋体" w:eastAsia="宋体" w:cs="宋体"/>
          <w:spacing w:val="-8"/>
          <w:sz w:val="24"/>
          <w:szCs w:val="24"/>
        </w:rPr>
        <w:t>质（如苯系物、</w:t>
      </w:r>
      <w:r>
        <w:rPr>
          <w:rFonts w:ascii="宋体" w:hAnsi="宋体" w:eastAsia="宋体" w:cs="宋体"/>
          <w:spacing w:val="-3"/>
          <w:sz w:val="24"/>
          <w:szCs w:val="24"/>
        </w:rPr>
        <w:t>甲醛、酚等污染物）等形成有机废气污染物。</w:t>
      </w:r>
    </w:p>
    <w:p w14:paraId="70757F7C">
      <w:pPr>
        <w:spacing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）车辆行驶扬尘</w:t>
      </w:r>
    </w:p>
    <w:p w14:paraId="79C21C26">
      <w:pPr>
        <w:spacing w:before="182" w:line="361" w:lineRule="auto"/>
        <w:ind w:left="38" w:right="85" w:firstLine="479"/>
        <w:jc w:val="both"/>
        <w:rPr>
          <w:rFonts w:ascii="宋体" w:hAnsi="宋体" w:eastAsia="宋体" w:cs="宋体"/>
          <w:sz w:val="24"/>
          <w:szCs w:val="24"/>
        </w:rPr>
      </w:pPr>
      <w:r>
        <w:rPr>
          <w:rFonts w:ascii="宋体" w:hAnsi="宋体" w:eastAsia="宋体" w:cs="宋体"/>
          <w:spacing w:val="-3"/>
          <w:sz w:val="24"/>
          <w:szCs w:val="24"/>
        </w:rPr>
        <w:t>据有关调查显示，施工工地的扬尘主要是由运输车辆的行驶产生，</w:t>
      </w:r>
      <w:r>
        <w:rPr>
          <w:rFonts w:ascii="宋体" w:hAnsi="宋体" w:eastAsia="宋体" w:cs="宋体"/>
          <w:spacing w:val="-4"/>
          <w:sz w:val="24"/>
          <w:szCs w:val="24"/>
        </w:rPr>
        <w:t>约占扬尘</w:t>
      </w:r>
      <w:r>
        <w:rPr>
          <w:rFonts w:ascii="宋体" w:hAnsi="宋体" w:eastAsia="宋体" w:cs="宋体"/>
          <w:sz w:val="24"/>
          <w:szCs w:val="24"/>
        </w:rPr>
        <w:t>总量的</w:t>
      </w:r>
      <w:r>
        <w:rPr>
          <w:rFonts w:ascii="Times New Roman" w:hAnsi="Times New Roman" w:eastAsia="Times New Roman" w:cs="Times New Roman"/>
          <w:sz w:val="24"/>
          <w:szCs w:val="24"/>
        </w:rPr>
        <w:t>60%</w:t>
      </w:r>
      <w:r>
        <w:rPr>
          <w:rFonts w:ascii="宋体" w:hAnsi="宋体" w:eastAsia="宋体" w:cs="宋体"/>
          <w:sz w:val="24"/>
          <w:szCs w:val="24"/>
        </w:rPr>
        <w:t>，在完全干燥情况下，一辆载重</w:t>
      </w:r>
      <w:r>
        <w:rPr>
          <w:rFonts w:ascii="Times New Roman" w:hAnsi="Times New Roman" w:eastAsia="Times New Roman" w:cs="Times New Roman"/>
          <w:sz w:val="24"/>
          <w:szCs w:val="24"/>
        </w:rPr>
        <w:t>10</w:t>
      </w:r>
      <w:r>
        <w:rPr>
          <w:rFonts w:ascii="宋体" w:hAnsi="宋体" w:eastAsia="宋体" w:cs="宋体"/>
          <w:sz w:val="24"/>
          <w:szCs w:val="24"/>
        </w:rPr>
        <w:t>吨的卡车，通</w:t>
      </w:r>
      <w:r>
        <w:rPr>
          <w:rFonts w:ascii="宋体" w:hAnsi="宋体" w:eastAsia="宋体" w:cs="宋体"/>
          <w:spacing w:val="-1"/>
          <w:sz w:val="24"/>
          <w:szCs w:val="24"/>
        </w:rPr>
        <w:t>过一段长度为</w:t>
      </w:r>
      <w:r>
        <w:rPr>
          <w:rFonts w:ascii="Times New Roman" w:hAnsi="Times New Roman" w:eastAsia="Times New Roman" w:cs="Times New Roman"/>
          <w:spacing w:val="-1"/>
          <w:sz w:val="24"/>
          <w:szCs w:val="24"/>
        </w:rPr>
        <w:t>1km</w:t>
      </w:r>
      <w:r>
        <w:rPr>
          <w:rFonts w:ascii="宋体" w:hAnsi="宋体" w:eastAsia="宋体" w:cs="宋体"/>
          <w:spacing w:val="-1"/>
          <w:sz w:val="24"/>
          <w:szCs w:val="24"/>
        </w:rPr>
        <w:t>的</w:t>
      </w:r>
      <w:r>
        <w:rPr>
          <w:rFonts w:ascii="宋体" w:hAnsi="宋体" w:eastAsia="宋体" w:cs="宋体"/>
          <w:spacing w:val="-3"/>
          <w:sz w:val="24"/>
          <w:szCs w:val="24"/>
        </w:rPr>
        <w:t>路面时，不同路面清洁程度，不同行驶速度情况下产生的扬尘量各有不同，详见</w:t>
      </w:r>
      <w:r>
        <w:rPr>
          <w:rFonts w:ascii="宋体" w:hAnsi="宋体" w:eastAsia="宋体" w:cs="宋体"/>
          <w:spacing w:val="-6"/>
          <w:sz w:val="24"/>
          <w:szCs w:val="24"/>
        </w:rPr>
        <w:t>下表。由此可见， 在同样路面清洁情况下，车速越快，扬尘</w:t>
      </w:r>
      <w:r>
        <w:rPr>
          <w:rFonts w:ascii="宋体" w:hAnsi="宋体" w:eastAsia="宋体" w:cs="宋体"/>
          <w:spacing w:val="-7"/>
          <w:sz w:val="24"/>
          <w:szCs w:val="24"/>
        </w:rPr>
        <w:t>量越大；而在同样车</w:t>
      </w:r>
      <w:r>
        <w:rPr>
          <w:rFonts w:ascii="宋体" w:hAnsi="宋体" w:eastAsia="宋体" w:cs="宋体"/>
          <w:spacing w:val="-3"/>
          <w:sz w:val="24"/>
          <w:szCs w:val="24"/>
        </w:rPr>
        <w:t>速情况下，路面清洁度越差，则扬尘量越大。</w:t>
      </w:r>
    </w:p>
    <w:p w14:paraId="11A26823">
      <w:pPr>
        <w:spacing w:before="8" w:line="212" w:lineRule="auto"/>
        <w:ind w:left="1371"/>
        <w:rPr>
          <w:rFonts w:ascii="黑体" w:hAnsi="黑体" w:eastAsia="黑体" w:cs="黑体"/>
          <w:sz w:val="21"/>
          <w:szCs w:val="21"/>
        </w:rPr>
      </w:pPr>
      <w:r>
        <w:rPr>
          <w:rFonts w:ascii="黑体" w:hAnsi="黑体" w:eastAsia="黑体" w:cs="黑体"/>
          <w:sz w:val="21"/>
          <w:szCs w:val="21"/>
        </w:rPr>
        <w:t>表</w:t>
      </w:r>
      <w:r>
        <w:rPr>
          <w:rFonts w:ascii="黑体" w:hAnsi="黑体" w:eastAsia="黑体" w:cs="黑体"/>
          <w:spacing w:val="-49"/>
          <w:sz w:val="21"/>
          <w:szCs w:val="21"/>
        </w:rPr>
        <w:t xml:space="preserve"> </w:t>
      </w:r>
      <w:r>
        <w:rPr>
          <w:rFonts w:ascii="Times New Roman" w:hAnsi="Times New Roman" w:eastAsia="Times New Roman" w:cs="Times New Roman"/>
          <w:sz w:val="21"/>
          <w:szCs w:val="21"/>
        </w:rPr>
        <w:t xml:space="preserve">4.1-1  </w:t>
      </w:r>
      <w:r>
        <w:rPr>
          <w:rFonts w:ascii="黑体" w:hAnsi="黑体" w:eastAsia="黑体" w:cs="黑体"/>
          <w:sz w:val="21"/>
          <w:szCs w:val="21"/>
        </w:rPr>
        <w:t>不同车速和地面清洁程度时的汽</w:t>
      </w:r>
      <w:r>
        <w:rPr>
          <w:rFonts w:ascii="黑体" w:hAnsi="黑体" w:eastAsia="黑体" w:cs="黑体"/>
          <w:spacing w:val="-1"/>
          <w:sz w:val="21"/>
          <w:szCs w:val="21"/>
        </w:rPr>
        <w:t>车扬尘</w:t>
      </w:r>
      <w:r>
        <w:rPr>
          <w:rFonts w:ascii="黑体" w:hAnsi="黑体" w:eastAsia="黑体" w:cs="黑体"/>
          <w:spacing w:val="24"/>
          <w:sz w:val="21"/>
          <w:szCs w:val="21"/>
        </w:rPr>
        <w:t xml:space="preserve">  </w:t>
      </w:r>
      <w:r>
        <w:rPr>
          <w:rFonts w:ascii="黑体" w:hAnsi="黑体" w:eastAsia="黑体" w:cs="黑体"/>
          <w:spacing w:val="-1"/>
          <w:sz w:val="21"/>
          <w:szCs w:val="21"/>
        </w:rPr>
        <w:t>单位：</w:t>
      </w:r>
      <w:r>
        <w:rPr>
          <w:rFonts w:ascii="Times New Roman" w:hAnsi="Times New Roman" w:eastAsia="Times New Roman" w:cs="Times New Roman"/>
          <w:spacing w:val="-1"/>
          <w:sz w:val="21"/>
          <w:szCs w:val="21"/>
        </w:rPr>
        <w:t>kg/km.</w:t>
      </w:r>
      <w:r>
        <w:rPr>
          <w:rFonts w:ascii="黑体" w:hAnsi="黑体" w:eastAsia="黑体" w:cs="黑体"/>
          <w:spacing w:val="-1"/>
          <w:sz w:val="21"/>
          <w:szCs w:val="21"/>
        </w:rPr>
        <w:t>辆</w:t>
      </w:r>
    </w:p>
    <w:p w14:paraId="561CD965">
      <w:pPr>
        <w:spacing w:line="99" w:lineRule="exact"/>
      </w:pPr>
    </w:p>
    <w:tbl>
      <w:tblPr>
        <w:tblStyle w:val="5"/>
        <w:tblW w:w="8324"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183"/>
        <w:gridCol w:w="1185"/>
        <w:gridCol w:w="1184"/>
        <w:gridCol w:w="1184"/>
        <w:gridCol w:w="1184"/>
        <w:gridCol w:w="1185"/>
      </w:tblGrid>
      <w:tr w14:paraId="4196B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219" w:type="dxa"/>
            <w:vAlign w:val="top"/>
          </w:tcPr>
          <w:p w14:paraId="351610BB">
            <w:pPr>
              <w:spacing w:before="49" w:line="248" w:lineRule="auto"/>
              <w:ind w:left="18" w:right="9" w:firstLine="354"/>
              <w:rPr>
                <w:rFonts w:ascii="宋体" w:hAnsi="宋体" w:eastAsia="宋体" w:cs="宋体"/>
                <w:sz w:val="21"/>
                <w:szCs w:val="21"/>
              </w:rPr>
            </w:pPr>
            <w:r>
              <w:rPr>
                <w:rFonts w:ascii="宋体" w:hAnsi="宋体" w:eastAsia="宋体" w:cs="宋体"/>
                <w:spacing w:val="-3"/>
                <w:sz w:val="21"/>
                <w:szCs w:val="21"/>
              </w:rPr>
              <w:t>清洁程度车速</w:t>
            </w:r>
          </w:p>
        </w:tc>
        <w:tc>
          <w:tcPr>
            <w:tcW w:w="1183" w:type="dxa"/>
            <w:vAlign w:val="top"/>
          </w:tcPr>
          <w:p w14:paraId="68FF7E56">
            <w:pPr>
              <w:pStyle w:val="6"/>
              <w:spacing w:before="179" w:line="222" w:lineRule="auto"/>
              <w:jc w:val="right"/>
              <w:rPr>
                <w:rFonts w:ascii="宋体" w:hAnsi="宋体" w:eastAsia="宋体" w:cs="宋体"/>
              </w:rPr>
            </w:pPr>
            <w:r>
              <w:rPr>
                <w:spacing w:val="-3"/>
              </w:rPr>
              <w:t>0.1</w:t>
            </w:r>
            <w:r>
              <w:rPr>
                <w:rFonts w:ascii="宋体" w:hAnsi="宋体" w:eastAsia="宋体" w:cs="宋体"/>
                <w:spacing w:val="-3"/>
              </w:rPr>
              <w:t>（</w:t>
            </w:r>
            <w:r>
              <w:rPr>
                <w:spacing w:val="-3"/>
              </w:rPr>
              <w:t>kg/m</w:t>
            </w:r>
            <w:r>
              <w:rPr>
                <w:spacing w:val="-3"/>
                <w:position w:val="1"/>
                <w:sz w:val="14"/>
                <w:szCs w:val="14"/>
              </w:rPr>
              <w:t>2</w:t>
            </w:r>
            <w:r>
              <w:rPr>
                <w:rFonts w:ascii="宋体" w:hAnsi="宋体" w:eastAsia="宋体" w:cs="宋体"/>
                <w:spacing w:val="-3"/>
                <w:position w:val="1"/>
              </w:rPr>
              <w:t>）</w:t>
            </w:r>
          </w:p>
        </w:tc>
        <w:tc>
          <w:tcPr>
            <w:tcW w:w="1185" w:type="dxa"/>
            <w:vAlign w:val="top"/>
          </w:tcPr>
          <w:p w14:paraId="57866B32">
            <w:pPr>
              <w:pStyle w:val="6"/>
              <w:spacing w:before="179" w:line="222" w:lineRule="auto"/>
              <w:jc w:val="right"/>
              <w:rPr>
                <w:rFonts w:ascii="宋体" w:hAnsi="宋体" w:eastAsia="宋体" w:cs="宋体"/>
              </w:rPr>
            </w:pPr>
            <w:r>
              <w:rPr>
                <w:spacing w:val="-3"/>
              </w:rPr>
              <w:t>0.2</w:t>
            </w:r>
            <w:r>
              <w:rPr>
                <w:rFonts w:ascii="宋体" w:hAnsi="宋体" w:eastAsia="宋体" w:cs="宋体"/>
                <w:spacing w:val="-3"/>
              </w:rPr>
              <w:t>（</w:t>
            </w:r>
            <w:r>
              <w:rPr>
                <w:spacing w:val="-3"/>
              </w:rPr>
              <w:t>kg/m</w:t>
            </w:r>
            <w:r>
              <w:rPr>
                <w:spacing w:val="-3"/>
                <w:position w:val="1"/>
                <w:sz w:val="14"/>
                <w:szCs w:val="14"/>
              </w:rPr>
              <w:t>2</w:t>
            </w:r>
            <w:r>
              <w:rPr>
                <w:rFonts w:ascii="宋体" w:hAnsi="宋体" w:eastAsia="宋体" w:cs="宋体"/>
                <w:spacing w:val="-3"/>
                <w:position w:val="1"/>
              </w:rPr>
              <w:t>）</w:t>
            </w:r>
          </w:p>
        </w:tc>
        <w:tc>
          <w:tcPr>
            <w:tcW w:w="1184" w:type="dxa"/>
            <w:vAlign w:val="top"/>
          </w:tcPr>
          <w:p w14:paraId="76B72D2A">
            <w:pPr>
              <w:pStyle w:val="6"/>
              <w:spacing w:before="179" w:line="222" w:lineRule="auto"/>
              <w:jc w:val="right"/>
              <w:rPr>
                <w:rFonts w:ascii="宋体" w:hAnsi="宋体" w:eastAsia="宋体" w:cs="宋体"/>
              </w:rPr>
            </w:pPr>
            <w:r>
              <w:rPr>
                <w:spacing w:val="-3"/>
              </w:rPr>
              <w:t>0.3</w:t>
            </w:r>
            <w:r>
              <w:rPr>
                <w:rFonts w:ascii="宋体" w:hAnsi="宋体" w:eastAsia="宋体" w:cs="宋体"/>
                <w:spacing w:val="-3"/>
              </w:rPr>
              <w:t>（</w:t>
            </w:r>
            <w:r>
              <w:rPr>
                <w:spacing w:val="-3"/>
              </w:rPr>
              <w:t>kg/m</w:t>
            </w:r>
            <w:r>
              <w:rPr>
                <w:spacing w:val="-3"/>
                <w:position w:val="1"/>
                <w:sz w:val="14"/>
                <w:szCs w:val="14"/>
              </w:rPr>
              <w:t>2</w:t>
            </w:r>
            <w:r>
              <w:rPr>
                <w:rFonts w:ascii="宋体" w:hAnsi="宋体" w:eastAsia="宋体" w:cs="宋体"/>
                <w:spacing w:val="-3"/>
                <w:position w:val="1"/>
              </w:rPr>
              <w:t>）</w:t>
            </w:r>
          </w:p>
        </w:tc>
        <w:tc>
          <w:tcPr>
            <w:tcW w:w="1184" w:type="dxa"/>
            <w:vAlign w:val="top"/>
          </w:tcPr>
          <w:p w14:paraId="36C44C5C">
            <w:pPr>
              <w:pStyle w:val="6"/>
              <w:spacing w:before="179" w:line="222" w:lineRule="auto"/>
              <w:jc w:val="right"/>
              <w:rPr>
                <w:rFonts w:ascii="宋体" w:hAnsi="宋体" w:eastAsia="宋体" w:cs="宋体"/>
              </w:rPr>
            </w:pPr>
            <w:r>
              <w:rPr>
                <w:spacing w:val="-3"/>
              </w:rPr>
              <w:t>0.4</w:t>
            </w:r>
            <w:r>
              <w:rPr>
                <w:rFonts w:ascii="宋体" w:hAnsi="宋体" w:eastAsia="宋体" w:cs="宋体"/>
                <w:spacing w:val="-3"/>
              </w:rPr>
              <w:t>（</w:t>
            </w:r>
            <w:r>
              <w:rPr>
                <w:spacing w:val="-3"/>
              </w:rPr>
              <w:t>kg/m</w:t>
            </w:r>
            <w:r>
              <w:rPr>
                <w:spacing w:val="-3"/>
                <w:position w:val="1"/>
                <w:sz w:val="14"/>
                <w:szCs w:val="14"/>
              </w:rPr>
              <w:t>2</w:t>
            </w:r>
            <w:r>
              <w:rPr>
                <w:rFonts w:ascii="宋体" w:hAnsi="宋体" w:eastAsia="宋体" w:cs="宋体"/>
                <w:spacing w:val="-3"/>
                <w:position w:val="1"/>
              </w:rPr>
              <w:t>）</w:t>
            </w:r>
          </w:p>
        </w:tc>
        <w:tc>
          <w:tcPr>
            <w:tcW w:w="1184" w:type="dxa"/>
            <w:vAlign w:val="top"/>
          </w:tcPr>
          <w:p w14:paraId="37E31E77">
            <w:pPr>
              <w:pStyle w:val="6"/>
              <w:spacing w:before="179" w:line="222" w:lineRule="auto"/>
              <w:jc w:val="right"/>
              <w:rPr>
                <w:rFonts w:ascii="宋体" w:hAnsi="宋体" w:eastAsia="宋体" w:cs="宋体"/>
              </w:rPr>
            </w:pPr>
            <w:r>
              <w:rPr>
                <w:spacing w:val="-3"/>
              </w:rPr>
              <w:t>0.5</w:t>
            </w:r>
            <w:r>
              <w:rPr>
                <w:rFonts w:ascii="宋体" w:hAnsi="宋体" w:eastAsia="宋体" w:cs="宋体"/>
                <w:spacing w:val="-3"/>
              </w:rPr>
              <w:t>（</w:t>
            </w:r>
            <w:r>
              <w:rPr>
                <w:spacing w:val="-3"/>
              </w:rPr>
              <w:t>kg/m</w:t>
            </w:r>
            <w:r>
              <w:rPr>
                <w:spacing w:val="-3"/>
                <w:position w:val="1"/>
                <w:sz w:val="14"/>
                <w:szCs w:val="14"/>
              </w:rPr>
              <w:t>2</w:t>
            </w:r>
            <w:r>
              <w:rPr>
                <w:rFonts w:ascii="宋体" w:hAnsi="宋体" w:eastAsia="宋体" w:cs="宋体"/>
                <w:spacing w:val="-3"/>
                <w:position w:val="1"/>
              </w:rPr>
              <w:t>）</w:t>
            </w:r>
          </w:p>
        </w:tc>
        <w:tc>
          <w:tcPr>
            <w:tcW w:w="1185" w:type="dxa"/>
            <w:vAlign w:val="top"/>
          </w:tcPr>
          <w:p w14:paraId="331D991C">
            <w:pPr>
              <w:pStyle w:val="6"/>
              <w:spacing w:before="179" w:line="222" w:lineRule="auto"/>
              <w:jc w:val="right"/>
              <w:rPr>
                <w:rFonts w:ascii="宋体" w:hAnsi="宋体" w:eastAsia="宋体" w:cs="宋体"/>
              </w:rPr>
            </w:pPr>
            <w:r>
              <w:rPr>
                <w:spacing w:val="-4"/>
              </w:rPr>
              <w:t>1.0</w:t>
            </w:r>
            <w:r>
              <w:rPr>
                <w:rFonts w:ascii="宋体" w:hAnsi="宋体" w:eastAsia="宋体" w:cs="宋体"/>
                <w:spacing w:val="-4"/>
              </w:rPr>
              <w:t>（</w:t>
            </w:r>
            <w:r>
              <w:rPr>
                <w:spacing w:val="-4"/>
              </w:rPr>
              <w:t>kg/m</w:t>
            </w:r>
            <w:r>
              <w:rPr>
                <w:spacing w:val="-4"/>
                <w:position w:val="1"/>
                <w:sz w:val="14"/>
                <w:szCs w:val="14"/>
              </w:rPr>
              <w:t>2</w:t>
            </w:r>
            <w:r>
              <w:rPr>
                <w:rFonts w:ascii="宋体" w:hAnsi="宋体" w:eastAsia="宋体" w:cs="宋体"/>
                <w:spacing w:val="-4"/>
                <w:position w:val="1"/>
              </w:rPr>
              <w:t>）</w:t>
            </w:r>
          </w:p>
        </w:tc>
      </w:tr>
      <w:tr w14:paraId="7F0E4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19" w:type="dxa"/>
            <w:vAlign w:val="top"/>
          </w:tcPr>
          <w:p w14:paraId="019E7211">
            <w:pPr>
              <w:pStyle w:val="6"/>
              <w:spacing w:before="63" w:line="232" w:lineRule="auto"/>
              <w:ind w:left="138"/>
              <w:rPr>
                <w:rFonts w:ascii="宋体" w:hAnsi="宋体" w:eastAsia="宋体" w:cs="宋体"/>
              </w:rPr>
            </w:pPr>
            <w:r>
              <w:rPr>
                <w:spacing w:val="-2"/>
              </w:rPr>
              <w:t>5</w:t>
            </w:r>
            <w:r>
              <w:rPr>
                <w:rFonts w:ascii="宋体" w:hAnsi="宋体" w:eastAsia="宋体" w:cs="宋体"/>
                <w:spacing w:val="-2"/>
              </w:rPr>
              <w:t>（</w:t>
            </w:r>
            <w:r>
              <w:rPr>
                <w:spacing w:val="-2"/>
              </w:rPr>
              <w:t>km/h</w:t>
            </w:r>
            <w:r>
              <w:rPr>
                <w:rFonts w:ascii="宋体" w:hAnsi="宋体" w:eastAsia="宋体" w:cs="宋体"/>
                <w:spacing w:val="-2"/>
              </w:rPr>
              <w:t>）</w:t>
            </w:r>
          </w:p>
        </w:tc>
        <w:tc>
          <w:tcPr>
            <w:tcW w:w="1183" w:type="dxa"/>
            <w:vAlign w:val="top"/>
          </w:tcPr>
          <w:p w14:paraId="02B95B2C">
            <w:pPr>
              <w:pStyle w:val="6"/>
              <w:spacing w:before="100" w:line="188" w:lineRule="auto"/>
              <w:ind w:left="307"/>
            </w:pPr>
            <w:r>
              <w:rPr>
                <w:spacing w:val="-2"/>
              </w:rPr>
              <w:t>0.0283</w:t>
            </w:r>
          </w:p>
        </w:tc>
        <w:tc>
          <w:tcPr>
            <w:tcW w:w="1185" w:type="dxa"/>
            <w:vAlign w:val="top"/>
          </w:tcPr>
          <w:p w14:paraId="0827E444">
            <w:pPr>
              <w:pStyle w:val="6"/>
              <w:spacing w:before="100" w:line="188" w:lineRule="auto"/>
              <w:ind w:left="308"/>
            </w:pPr>
            <w:r>
              <w:rPr>
                <w:spacing w:val="-2"/>
              </w:rPr>
              <w:t>0.0476</w:t>
            </w:r>
          </w:p>
        </w:tc>
        <w:tc>
          <w:tcPr>
            <w:tcW w:w="1184" w:type="dxa"/>
            <w:vAlign w:val="top"/>
          </w:tcPr>
          <w:p w14:paraId="4D1F1B59">
            <w:pPr>
              <w:pStyle w:val="6"/>
              <w:spacing w:before="100" w:line="188" w:lineRule="auto"/>
              <w:ind w:left="309"/>
            </w:pPr>
            <w:r>
              <w:rPr>
                <w:spacing w:val="-2"/>
              </w:rPr>
              <w:t>0.0646</w:t>
            </w:r>
          </w:p>
        </w:tc>
        <w:tc>
          <w:tcPr>
            <w:tcW w:w="1184" w:type="dxa"/>
            <w:vAlign w:val="top"/>
          </w:tcPr>
          <w:p w14:paraId="15AD4F1A">
            <w:pPr>
              <w:pStyle w:val="6"/>
              <w:spacing w:before="100" w:line="188" w:lineRule="auto"/>
              <w:ind w:left="308"/>
            </w:pPr>
            <w:r>
              <w:rPr>
                <w:spacing w:val="-2"/>
              </w:rPr>
              <w:t>0.0801</w:t>
            </w:r>
          </w:p>
        </w:tc>
        <w:tc>
          <w:tcPr>
            <w:tcW w:w="1184" w:type="dxa"/>
            <w:vAlign w:val="top"/>
          </w:tcPr>
          <w:p w14:paraId="7A3CADC7">
            <w:pPr>
              <w:pStyle w:val="6"/>
              <w:spacing w:before="100" w:line="188" w:lineRule="auto"/>
              <w:ind w:left="309"/>
            </w:pPr>
            <w:r>
              <w:rPr>
                <w:spacing w:val="-2"/>
              </w:rPr>
              <w:t>0.0947</w:t>
            </w:r>
          </w:p>
        </w:tc>
        <w:tc>
          <w:tcPr>
            <w:tcW w:w="1185" w:type="dxa"/>
            <w:vAlign w:val="top"/>
          </w:tcPr>
          <w:p w14:paraId="2D69902F">
            <w:pPr>
              <w:pStyle w:val="6"/>
              <w:spacing w:before="100" w:line="188" w:lineRule="auto"/>
              <w:ind w:left="309"/>
            </w:pPr>
            <w:r>
              <w:rPr>
                <w:spacing w:val="-2"/>
              </w:rPr>
              <w:t>0.1593</w:t>
            </w:r>
          </w:p>
        </w:tc>
      </w:tr>
      <w:tr w14:paraId="65FAB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219" w:type="dxa"/>
            <w:vAlign w:val="top"/>
          </w:tcPr>
          <w:p w14:paraId="0B6E583A">
            <w:pPr>
              <w:pStyle w:val="6"/>
              <w:spacing w:before="63" w:line="232" w:lineRule="auto"/>
              <w:ind w:left="99"/>
              <w:rPr>
                <w:rFonts w:ascii="宋体" w:hAnsi="宋体" w:eastAsia="宋体" w:cs="宋体"/>
              </w:rPr>
            </w:pPr>
            <w:r>
              <w:rPr>
                <w:spacing w:val="-4"/>
              </w:rPr>
              <w:t>10</w:t>
            </w:r>
            <w:r>
              <w:rPr>
                <w:rFonts w:ascii="宋体" w:hAnsi="宋体" w:eastAsia="宋体" w:cs="宋体"/>
                <w:spacing w:val="-4"/>
              </w:rPr>
              <w:t>（</w:t>
            </w:r>
            <w:r>
              <w:rPr>
                <w:spacing w:val="-4"/>
              </w:rPr>
              <w:t>km/h</w:t>
            </w:r>
            <w:r>
              <w:rPr>
                <w:rFonts w:ascii="宋体" w:hAnsi="宋体" w:eastAsia="宋体" w:cs="宋体"/>
                <w:spacing w:val="-4"/>
              </w:rPr>
              <w:t>）</w:t>
            </w:r>
          </w:p>
        </w:tc>
        <w:tc>
          <w:tcPr>
            <w:tcW w:w="1183" w:type="dxa"/>
            <w:vAlign w:val="top"/>
          </w:tcPr>
          <w:p w14:paraId="129321CA">
            <w:pPr>
              <w:pStyle w:val="6"/>
              <w:spacing w:before="99" w:line="188" w:lineRule="auto"/>
              <w:ind w:left="307"/>
            </w:pPr>
            <w:r>
              <w:rPr>
                <w:spacing w:val="-2"/>
              </w:rPr>
              <w:t>0.0566</w:t>
            </w:r>
          </w:p>
        </w:tc>
        <w:tc>
          <w:tcPr>
            <w:tcW w:w="1185" w:type="dxa"/>
            <w:vAlign w:val="top"/>
          </w:tcPr>
          <w:p w14:paraId="48E02EF9">
            <w:pPr>
              <w:pStyle w:val="6"/>
              <w:spacing w:before="99" w:line="188" w:lineRule="auto"/>
              <w:ind w:left="308"/>
            </w:pPr>
            <w:r>
              <w:rPr>
                <w:spacing w:val="-2"/>
              </w:rPr>
              <w:t>0.0953</w:t>
            </w:r>
          </w:p>
        </w:tc>
        <w:tc>
          <w:tcPr>
            <w:tcW w:w="1184" w:type="dxa"/>
            <w:vAlign w:val="top"/>
          </w:tcPr>
          <w:p w14:paraId="4D5DA01E">
            <w:pPr>
              <w:pStyle w:val="6"/>
              <w:spacing w:before="99" w:line="188" w:lineRule="auto"/>
              <w:ind w:left="309"/>
            </w:pPr>
            <w:r>
              <w:rPr>
                <w:spacing w:val="-2"/>
              </w:rPr>
              <w:t>0.1291</w:t>
            </w:r>
          </w:p>
        </w:tc>
        <w:tc>
          <w:tcPr>
            <w:tcW w:w="1184" w:type="dxa"/>
            <w:vAlign w:val="top"/>
          </w:tcPr>
          <w:p w14:paraId="0C16CD16">
            <w:pPr>
              <w:pStyle w:val="6"/>
              <w:spacing w:before="99" w:line="188" w:lineRule="auto"/>
              <w:ind w:left="308"/>
            </w:pPr>
            <w:r>
              <w:rPr>
                <w:spacing w:val="-2"/>
              </w:rPr>
              <w:t>0.1602</w:t>
            </w:r>
          </w:p>
        </w:tc>
        <w:tc>
          <w:tcPr>
            <w:tcW w:w="1184" w:type="dxa"/>
            <w:vAlign w:val="top"/>
          </w:tcPr>
          <w:p w14:paraId="34ABCC30">
            <w:pPr>
              <w:pStyle w:val="6"/>
              <w:spacing w:before="99" w:line="188" w:lineRule="auto"/>
              <w:ind w:left="309"/>
            </w:pPr>
            <w:r>
              <w:rPr>
                <w:spacing w:val="-2"/>
              </w:rPr>
              <w:t>0.1894</w:t>
            </w:r>
          </w:p>
        </w:tc>
        <w:tc>
          <w:tcPr>
            <w:tcW w:w="1185" w:type="dxa"/>
            <w:vAlign w:val="top"/>
          </w:tcPr>
          <w:p w14:paraId="27D42066">
            <w:pPr>
              <w:pStyle w:val="6"/>
              <w:spacing w:before="99" w:line="188" w:lineRule="auto"/>
              <w:ind w:left="309"/>
            </w:pPr>
            <w:r>
              <w:rPr>
                <w:spacing w:val="-2"/>
              </w:rPr>
              <w:t>0.3186</w:t>
            </w:r>
          </w:p>
        </w:tc>
      </w:tr>
      <w:tr w14:paraId="3F0BC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19" w:type="dxa"/>
            <w:vAlign w:val="top"/>
          </w:tcPr>
          <w:p w14:paraId="6139D68D">
            <w:pPr>
              <w:pStyle w:val="6"/>
              <w:spacing w:before="65" w:line="232" w:lineRule="auto"/>
              <w:ind w:left="99"/>
              <w:rPr>
                <w:rFonts w:ascii="宋体" w:hAnsi="宋体" w:eastAsia="宋体" w:cs="宋体"/>
              </w:rPr>
            </w:pPr>
            <w:r>
              <w:rPr>
                <w:spacing w:val="-4"/>
              </w:rPr>
              <w:t>15</w:t>
            </w:r>
            <w:r>
              <w:rPr>
                <w:rFonts w:ascii="宋体" w:hAnsi="宋体" w:eastAsia="宋体" w:cs="宋体"/>
                <w:spacing w:val="-4"/>
              </w:rPr>
              <w:t>（</w:t>
            </w:r>
            <w:r>
              <w:rPr>
                <w:spacing w:val="-4"/>
              </w:rPr>
              <w:t>km/h</w:t>
            </w:r>
            <w:r>
              <w:rPr>
                <w:rFonts w:ascii="宋体" w:hAnsi="宋体" w:eastAsia="宋体" w:cs="宋体"/>
                <w:spacing w:val="-4"/>
              </w:rPr>
              <w:t>）</w:t>
            </w:r>
          </w:p>
        </w:tc>
        <w:tc>
          <w:tcPr>
            <w:tcW w:w="1183" w:type="dxa"/>
            <w:vAlign w:val="top"/>
          </w:tcPr>
          <w:p w14:paraId="44BF99C4">
            <w:pPr>
              <w:pStyle w:val="6"/>
              <w:spacing w:before="102" w:line="188" w:lineRule="auto"/>
              <w:ind w:left="307"/>
            </w:pPr>
            <w:r>
              <w:rPr>
                <w:spacing w:val="-2"/>
              </w:rPr>
              <w:t>0.0850</w:t>
            </w:r>
          </w:p>
        </w:tc>
        <w:tc>
          <w:tcPr>
            <w:tcW w:w="1185" w:type="dxa"/>
            <w:vAlign w:val="top"/>
          </w:tcPr>
          <w:p w14:paraId="1F3A1686">
            <w:pPr>
              <w:pStyle w:val="6"/>
              <w:spacing w:before="102" w:line="188" w:lineRule="auto"/>
              <w:ind w:left="308"/>
            </w:pPr>
            <w:r>
              <w:rPr>
                <w:spacing w:val="-2"/>
              </w:rPr>
              <w:t>0.1429</w:t>
            </w:r>
          </w:p>
        </w:tc>
        <w:tc>
          <w:tcPr>
            <w:tcW w:w="1184" w:type="dxa"/>
            <w:vAlign w:val="top"/>
          </w:tcPr>
          <w:p w14:paraId="49F13B0A">
            <w:pPr>
              <w:pStyle w:val="6"/>
              <w:spacing w:before="102" w:line="188" w:lineRule="auto"/>
              <w:ind w:left="309"/>
            </w:pPr>
            <w:r>
              <w:rPr>
                <w:spacing w:val="-2"/>
              </w:rPr>
              <w:t>0.1937</w:t>
            </w:r>
          </w:p>
        </w:tc>
        <w:tc>
          <w:tcPr>
            <w:tcW w:w="1184" w:type="dxa"/>
            <w:vAlign w:val="top"/>
          </w:tcPr>
          <w:p w14:paraId="0B266A40">
            <w:pPr>
              <w:pStyle w:val="6"/>
              <w:spacing w:before="102" w:line="188" w:lineRule="auto"/>
              <w:ind w:left="308"/>
            </w:pPr>
            <w:r>
              <w:rPr>
                <w:spacing w:val="-2"/>
              </w:rPr>
              <w:t>0.2403</w:t>
            </w:r>
          </w:p>
        </w:tc>
        <w:tc>
          <w:tcPr>
            <w:tcW w:w="1184" w:type="dxa"/>
            <w:vAlign w:val="top"/>
          </w:tcPr>
          <w:p w14:paraId="7BB514AC">
            <w:pPr>
              <w:pStyle w:val="6"/>
              <w:spacing w:before="102" w:line="188" w:lineRule="auto"/>
              <w:ind w:left="309"/>
            </w:pPr>
            <w:r>
              <w:rPr>
                <w:spacing w:val="-2"/>
              </w:rPr>
              <w:t>0.2841</w:t>
            </w:r>
          </w:p>
        </w:tc>
        <w:tc>
          <w:tcPr>
            <w:tcW w:w="1185" w:type="dxa"/>
            <w:vAlign w:val="top"/>
          </w:tcPr>
          <w:p w14:paraId="3381B4AF">
            <w:pPr>
              <w:pStyle w:val="6"/>
              <w:spacing w:before="102" w:line="188" w:lineRule="auto"/>
              <w:ind w:left="309"/>
            </w:pPr>
            <w:r>
              <w:rPr>
                <w:spacing w:val="-2"/>
              </w:rPr>
              <w:t>0.4778</w:t>
            </w:r>
          </w:p>
        </w:tc>
      </w:tr>
      <w:tr w14:paraId="07370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219" w:type="dxa"/>
            <w:vAlign w:val="top"/>
          </w:tcPr>
          <w:p w14:paraId="75DC03D5">
            <w:pPr>
              <w:pStyle w:val="6"/>
              <w:spacing w:before="65" w:line="232" w:lineRule="auto"/>
              <w:ind w:left="79"/>
              <w:rPr>
                <w:rFonts w:ascii="宋体" w:hAnsi="宋体" w:eastAsia="宋体" w:cs="宋体"/>
              </w:rPr>
            </w:pPr>
            <w:r>
              <w:rPr>
                <w:spacing w:val="-1"/>
              </w:rPr>
              <w:t>20</w:t>
            </w:r>
            <w:r>
              <w:rPr>
                <w:rFonts w:ascii="宋体" w:hAnsi="宋体" w:eastAsia="宋体" w:cs="宋体"/>
                <w:spacing w:val="-1"/>
              </w:rPr>
              <w:t>（</w:t>
            </w:r>
            <w:r>
              <w:rPr>
                <w:spacing w:val="-1"/>
              </w:rPr>
              <w:t>km/h</w:t>
            </w:r>
            <w:r>
              <w:rPr>
                <w:rFonts w:ascii="宋体" w:hAnsi="宋体" w:eastAsia="宋体" w:cs="宋体"/>
                <w:spacing w:val="-1"/>
              </w:rPr>
              <w:t>）</w:t>
            </w:r>
          </w:p>
        </w:tc>
        <w:tc>
          <w:tcPr>
            <w:tcW w:w="1183" w:type="dxa"/>
            <w:vAlign w:val="top"/>
          </w:tcPr>
          <w:p w14:paraId="5517D394">
            <w:pPr>
              <w:pStyle w:val="6"/>
              <w:spacing w:before="101" w:line="188" w:lineRule="auto"/>
              <w:ind w:left="307"/>
            </w:pPr>
            <w:r>
              <w:rPr>
                <w:spacing w:val="-2"/>
              </w:rPr>
              <w:t>0.1133</w:t>
            </w:r>
          </w:p>
        </w:tc>
        <w:tc>
          <w:tcPr>
            <w:tcW w:w="1185" w:type="dxa"/>
            <w:vAlign w:val="top"/>
          </w:tcPr>
          <w:p w14:paraId="724E2E84">
            <w:pPr>
              <w:pStyle w:val="6"/>
              <w:spacing w:before="101" w:line="188" w:lineRule="auto"/>
              <w:ind w:left="308"/>
            </w:pPr>
            <w:r>
              <w:rPr>
                <w:spacing w:val="-2"/>
              </w:rPr>
              <w:t>0.1905</w:t>
            </w:r>
          </w:p>
        </w:tc>
        <w:tc>
          <w:tcPr>
            <w:tcW w:w="1184" w:type="dxa"/>
            <w:vAlign w:val="top"/>
          </w:tcPr>
          <w:p w14:paraId="49A0FAE7">
            <w:pPr>
              <w:pStyle w:val="6"/>
              <w:spacing w:before="101" w:line="188" w:lineRule="auto"/>
              <w:ind w:left="309"/>
            </w:pPr>
            <w:r>
              <w:rPr>
                <w:spacing w:val="-2"/>
              </w:rPr>
              <w:t>0.2583</w:t>
            </w:r>
          </w:p>
        </w:tc>
        <w:tc>
          <w:tcPr>
            <w:tcW w:w="1184" w:type="dxa"/>
            <w:vAlign w:val="top"/>
          </w:tcPr>
          <w:p w14:paraId="197BDF7F">
            <w:pPr>
              <w:pStyle w:val="6"/>
              <w:spacing w:before="101" w:line="188" w:lineRule="auto"/>
              <w:ind w:left="308"/>
            </w:pPr>
            <w:r>
              <w:rPr>
                <w:spacing w:val="-2"/>
              </w:rPr>
              <w:t>0.3204</w:t>
            </w:r>
          </w:p>
        </w:tc>
        <w:tc>
          <w:tcPr>
            <w:tcW w:w="1184" w:type="dxa"/>
            <w:vAlign w:val="top"/>
          </w:tcPr>
          <w:p w14:paraId="09596131">
            <w:pPr>
              <w:pStyle w:val="6"/>
              <w:spacing w:before="101" w:line="188" w:lineRule="auto"/>
              <w:ind w:left="309"/>
            </w:pPr>
            <w:r>
              <w:rPr>
                <w:spacing w:val="-2"/>
              </w:rPr>
              <w:t>0.3788</w:t>
            </w:r>
          </w:p>
        </w:tc>
        <w:tc>
          <w:tcPr>
            <w:tcW w:w="1185" w:type="dxa"/>
            <w:vAlign w:val="top"/>
          </w:tcPr>
          <w:p w14:paraId="73DD6A37">
            <w:pPr>
              <w:pStyle w:val="6"/>
              <w:spacing w:before="101" w:line="188" w:lineRule="auto"/>
              <w:ind w:left="309"/>
            </w:pPr>
            <w:r>
              <w:rPr>
                <w:spacing w:val="-2"/>
              </w:rPr>
              <w:t>0.6371</w:t>
            </w:r>
          </w:p>
        </w:tc>
      </w:tr>
    </w:tbl>
    <w:p w14:paraId="748A6064">
      <w:pPr>
        <w:spacing w:before="232" w:line="360" w:lineRule="auto"/>
        <w:ind w:left="33" w:firstLine="609"/>
        <w:jc w:val="both"/>
        <w:rPr>
          <w:rFonts w:ascii="宋体" w:hAnsi="宋体" w:eastAsia="宋体" w:cs="宋体"/>
          <w:sz w:val="24"/>
          <w:szCs w:val="24"/>
        </w:rPr>
      </w:pPr>
      <w:r>
        <w:rPr>
          <w:rFonts w:ascii="宋体" w:hAnsi="宋体" w:eastAsia="宋体" w:cs="宋体"/>
          <w:spacing w:val="-4"/>
          <w:sz w:val="24"/>
          <w:szCs w:val="24"/>
        </w:rPr>
        <w:t>如果在施工期间对车辆行驶的路面实施洒水抑尘，每天洒水</w:t>
      </w:r>
      <w:r>
        <w:rPr>
          <w:rFonts w:ascii="Times New Roman" w:hAnsi="Times New Roman" w:eastAsia="Times New Roman" w:cs="Times New Roman"/>
          <w:spacing w:val="-4"/>
          <w:sz w:val="24"/>
          <w:szCs w:val="24"/>
        </w:rPr>
        <w:t>4~5</w:t>
      </w:r>
      <w:r>
        <w:rPr>
          <w:rFonts w:ascii="宋体" w:hAnsi="宋体" w:eastAsia="宋体" w:cs="宋体"/>
          <w:spacing w:val="-4"/>
          <w:sz w:val="24"/>
          <w:szCs w:val="24"/>
        </w:rPr>
        <w:t>次，可使扬</w:t>
      </w:r>
      <w:r>
        <w:rPr>
          <w:rFonts w:ascii="宋体" w:hAnsi="宋体" w:eastAsia="宋体" w:cs="宋体"/>
          <w:spacing w:val="-5"/>
          <w:sz w:val="24"/>
          <w:szCs w:val="24"/>
        </w:rPr>
        <w:t>尘减少</w:t>
      </w:r>
      <w:r>
        <w:rPr>
          <w:rFonts w:ascii="Times New Roman" w:hAnsi="Times New Roman" w:eastAsia="Times New Roman" w:cs="Times New Roman"/>
          <w:spacing w:val="-5"/>
          <w:sz w:val="24"/>
          <w:szCs w:val="24"/>
        </w:rPr>
        <w:t>70%</w:t>
      </w:r>
      <w:r>
        <w:rPr>
          <w:rFonts w:ascii="宋体" w:hAnsi="宋体" w:eastAsia="宋体" w:cs="宋体"/>
          <w:spacing w:val="-5"/>
          <w:sz w:val="24"/>
          <w:szCs w:val="24"/>
        </w:rPr>
        <w:t>左右。下表为施工场地洒水抑尘的试验结果， 结果表明实施每天洒水</w:t>
      </w:r>
      <w:r>
        <w:rPr>
          <w:rFonts w:ascii="Times New Roman" w:hAnsi="Times New Roman" w:eastAsia="Times New Roman" w:cs="Times New Roman"/>
          <w:spacing w:val="-6"/>
          <w:sz w:val="24"/>
          <w:szCs w:val="24"/>
        </w:rPr>
        <w:t>4~5</w:t>
      </w:r>
      <w:r>
        <w:rPr>
          <w:rFonts w:ascii="宋体" w:hAnsi="宋体" w:eastAsia="宋体" w:cs="宋体"/>
          <w:spacing w:val="-6"/>
          <w:sz w:val="24"/>
          <w:szCs w:val="24"/>
        </w:rPr>
        <w:t>次进行抑尘，可有效地控制施工扬尘，可将</w:t>
      </w:r>
      <w:r>
        <w:rPr>
          <w:rFonts w:ascii="Times New Roman" w:hAnsi="Times New Roman" w:eastAsia="Times New Roman" w:cs="Times New Roman"/>
          <w:spacing w:val="-6"/>
          <w:sz w:val="24"/>
          <w:szCs w:val="24"/>
        </w:rPr>
        <w:t>PM</w:t>
      </w:r>
      <w:r>
        <w:rPr>
          <w:rFonts w:ascii="Times New Roman" w:hAnsi="Times New Roman" w:eastAsia="Times New Roman" w:cs="Times New Roman"/>
          <w:spacing w:val="-6"/>
          <w:position w:val="-2"/>
          <w:sz w:val="15"/>
          <w:szCs w:val="15"/>
        </w:rPr>
        <w:t>10</w:t>
      </w:r>
      <w:r>
        <w:rPr>
          <w:rFonts w:ascii="宋体" w:hAnsi="宋体" w:eastAsia="宋体" w:cs="宋体"/>
          <w:spacing w:val="-6"/>
          <w:sz w:val="24"/>
          <w:szCs w:val="24"/>
        </w:rPr>
        <w:t>污染距离缩小到</w:t>
      </w:r>
      <w:r>
        <w:rPr>
          <w:rFonts w:ascii="Times New Roman" w:hAnsi="Times New Roman" w:eastAsia="Times New Roman" w:cs="Times New Roman"/>
          <w:spacing w:val="-6"/>
          <w:sz w:val="24"/>
          <w:szCs w:val="24"/>
        </w:rPr>
        <w:t>20~50m</w:t>
      </w:r>
      <w:r>
        <w:rPr>
          <w:rFonts w:ascii="宋体" w:hAnsi="宋体" w:eastAsia="宋体" w:cs="宋体"/>
          <w:spacing w:val="-6"/>
          <w:sz w:val="24"/>
          <w:szCs w:val="24"/>
        </w:rPr>
        <w:t>范围。</w:t>
      </w:r>
    </w:p>
    <w:p w14:paraId="0CB5B530">
      <w:pPr>
        <w:spacing w:line="218" w:lineRule="auto"/>
        <w:ind w:left="2041"/>
        <w:rPr>
          <w:rFonts w:ascii="Times New Roman" w:hAnsi="Times New Roman" w:eastAsia="Times New Roman" w:cs="Times New Roman"/>
          <w:sz w:val="14"/>
          <w:szCs w:val="14"/>
        </w:rPr>
      </w:pPr>
      <w:r>
        <w:rPr>
          <w:rFonts w:ascii="黑体" w:hAnsi="黑体" w:eastAsia="黑体" w:cs="黑体"/>
          <w:spacing w:val="-1"/>
          <w:sz w:val="21"/>
          <w:szCs w:val="21"/>
        </w:rPr>
        <w:t>表</w:t>
      </w:r>
      <w:r>
        <w:rPr>
          <w:rFonts w:ascii="黑体" w:hAnsi="黑体" w:eastAsia="黑体" w:cs="黑体"/>
          <w:spacing w:val="-34"/>
          <w:sz w:val="21"/>
          <w:szCs w:val="21"/>
        </w:rPr>
        <w:t xml:space="preserve"> </w:t>
      </w:r>
      <w:r>
        <w:rPr>
          <w:rFonts w:ascii="Times New Roman" w:hAnsi="Times New Roman" w:eastAsia="Times New Roman" w:cs="Times New Roman"/>
          <w:spacing w:val="-1"/>
          <w:sz w:val="21"/>
          <w:szCs w:val="21"/>
        </w:rPr>
        <w:t xml:space="preserve">4.1-2  </w:t>
      </w:r>
      <w:r>
        <w:rPr>
          <w:rFonts w:ascii="黑体" w:hAnsi="黑体" w:eastAsia="黑体" w:cs="黑体"/>
          <w:spacing w:val="-1"/>
          <w:sz w:val="21"/>
          <w:szCs w:val="21"/>
        </w:rPr>
        <w:t>施工场地洒水抑尘试验结果  单位：</w:t>
      </w:r>
      <w:r>
        <w:rPr>
          <w:rFonts w:ascii="Times New Roman" w:hAnsi="Times New Roman" w:eastAsia="Times New Roman" w:cs="Times New Roman"/>
          <w:spacing w:val="-1"/>
          <w:sz w:val="21"/>
          <w:szCs w:val="21"/>
        </w:rPr>
        <w:t>mg/m</w:t>
      </w:r>
      <w:r>
        <w:rPr>
          <w:rFonts w:ascii="Times New Roman" w:hAnsi="Times New Roman" w:eastAsia="Times New Roman" w:cs="Times New Roman"/>
          <w:spacing w:val="-1"/>
          <w:position w:val="9"/>
          <w:sz w:val="14"/>
          <w:szCs w:val="14"/>
        </w:rPr>
        <w:t>3</w:t>
      </w:r>
    </w:p>
    <w:p w14:paraId="5DA40E91">
      <w:pPr>
        <w:spacing w:line="99" w:lineRule="exact"/>
      </w:pPr>
    </w:p>
    <w:tbl>
      <w:tblPr>
        <w:tblStyle w:val="5"/>
        <w:tblW w:w="8324"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5"/>
        <w:gridCol w:w="1045"/>
        <w:gridCol w:w="1355"/>
        <w:gridCol w:w="1358"/>
        <w:gridCol w:w="1356"/>
        <w:gridCol w:w="1355"/>
      </w:tblGrid>
      <w:tr w14:paraId="051E5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900" w:type="dxa"/>
            <w:gridSpan w:val="2"/>
            <w:vAlign w:val="top"/>
          </w:tcPr>
          <w:p w14:paraId="1AA4AA05">
            <w:pPr>
              <w:pStyle w:val="6"/>
              <w:spacing w:before="64" w:line="220" w:lineRule="auto"/>
              <w:ind w:left="952"/>
              <w:rPr>
                <w:rFonts w:ascii="宋体" w:hAnsi="宋体" w:eastAsia="宋体" w:cs="宋体"/>
              </w:rPr>
            </w:pPr>
            <w:r>
              <w:rPr>
                <w:rFonts w:ascii="宋体" w:hAnsi="宋体" w:eastAsia="宋体" w:cs="宋体"/>
                <w:spacing w:val="-2"/>
              </w:rPr>
              <w:t>距离（</w:t>
            </w:r>
            <w:r>
              <w:rPr>
                <w:spacing w:val="-2"/>
              </w:rPr>
              <w:t>m</w:t>
            </w:r>
            <w:r>
              <w:rPr>
                <w:rFonts w:ascii="宋体" w:hAnsi="宋体" w:eastAsia="宋体" w:cs="宋体"/>
                <w:spacing w:val="-2"/>
              </w:rPr>
              <w:t>）</w:t>
            </w:r>
          </w:p>
        </w:tc>
        <w:tc>
          <w:tcPr>
            <w:tcW w:w="1355" w:type="dxa"/>
            <w:vAlign w:val="top"/>
          </w:tcPr>
          <w:p w14:paraId="35F37A37">
            <w:pPr>
              <w:pStyle w:val="6"/>
              <w:spacing w:before="103" w:line="185" w:lineRule="auto"/>
              <w:ind w:left="633"/>
            </w:pPr>
            <w:r>
              <w:t>5</w:t>
            </w:r>
          </w:p>
        </w:tc>
        <w:tc>
          <w:tcPr>
            <w:tcW w:w="1358" w:type="dxa"/>
            <w:vAlign w:val="top"/>
          </w:tcPr>
          <w:p w14:paraId="5195FF7F">
            <w:pPr>
              <w:pStyle w:val="6"/>
              <w:spacing w:before="100" w:line="188" w:lineRule="auto"/>
              <w:ind w:left="575"/>
            </w:pPr>
            <w:r>
              <w:rPr>
                <w:spacing w:val="-2"/>
              </w:rPr>
              <w:t>20</w:t>
            </w:r>
          </w:p>
        </w:tc>
        <w:tc>
          <w:tcPr>
            <w:tcW w:w="1356" w:type="dxa"/>
            <w:vAlign w:val="top"/>
          </w:tcPr>
          <w:p w14:paraId="40594AA2">
            <w:pPr>
              <w:pStyle w:val="6"/>
              <w:spacing w:before="100" w:line="188" w:lineRule="auto"/>
              <w:ind w:left="581"/>
            </w:pPr>
            <w:r>
              <w:rPr>
                <w:spacing w:val="-5"/>
              </w:rPr>
              <w:t>50</w:t>
            </w:r>
          </w:p>
        </w:tc>
        <w:tc>
          <w:tcPr>
            <w:tcW w:w="1355" w:type="dxa"/>
            <w:vAlign w:val="top"/>
          </w:tcPr>
          <w:p w14:paraId="1E5A1E50">
            <w:pPr>
              <w:pStyle w:val="6"/>
              <w:spacing w:before="100" w:line="188" w:lineRule="auto"/>
              <w:ind w:left="543"/>
            </w:pPr>
            <w:r>
              <w:rPr>
                <w:spacing w:val="-9"/>
              </w:rPr>
              <w:t>100</w:t>
            </w:r>
          </w:p>
        </w:tc>
      </w:tr>
      <w:tr w14:paraId="3EAA8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55" w:type="dxa"/>
            <w:vMerge w:val="restart"/>
            <w:tcBorders>
              <w:bottom w:val="nil"/>
            </w:tcBorders>
            <w:vAlign w:val="top"/>
          </w:tcPr>
          <w:p w14:paraId="6D0800E9">
            <w:pPr>
              <w:pStyle w:val="6"/>
              <w:spacing w:before="80" w:line="261" w:lineRule="auto"/>
              <w:ind w:left="511" w:right="506" w:firstLine="2"/>
              <w:rPr>
                <w:rFonts w:ascii="宋体" w:hAnsi="宋体" w:eastAsia="宋体" w:cs="宋体"/>
              </w:rPr>
            </w:pPr>
            <w:r>
              <w:rPr>
                <w:spacing w:val="-5"/>
              </w:rPr>
              <w:t>TSP</w:t>
            </w:r>
            <w:r>
              <w:rPr>
                <w:spacing w:val="17"/>
              </w:rPr>
              <w:t xml:space="preserve"> </w:t>
            </w:r>
            <w:r>
              <w:rPr>
                <w:rFonts w:ascii="宋体" w:hAnsi="宋体" w:eastAsia="宋体" w:cs="宋体"/>
                <w:spacing w:val="-5"/>
              </w:rPr>
              <w:t>小时</w:t>
            </w:r>
            <w:r>
              <w:rPr>
                <w:rFonts w:ascii="宋体" w:hAnsi="宋体" w:eastAsia="宋体" w:cs="宋体"/>
                <w:spacing w:val="-2"/>
              </w:rPr>
              <w:t>平均浓度</w:t>
            </w:r>
          </w:p>
        </w:tc>
        <w:tc>
          <w:tcPr>
            <w:tcW w:w="1045" w:type="dxa"/>
            <w:vAlign w:val="top"/>
          </w:tcPr>
          <w:p w14:paraId="255C385E">
            <w:pPr>
              <w:spacing w:before="63" w:line="220" w:lineRule="auto"/>
              <w:ind w:left="215"/>
              <w:rPr>
                <w:rFonts w:ascii="宋体" w:hAnsi="宋体" w:eastAsia="宋体" w:cs="宋体"/>
                <w:sz w:val="21"/>
                <w:szCs w:val="21"/>
              </w:rPr>
            </w:pPr>
            <w:r>
              <w:rPr>
                <w:rFonts w:ascii="宋体" w:hAnsi="宋体" w:eastAsia="宋体" w:cs="宋体"/>
                <w:spacing w:val="-3"/>
                <w:sz w:val="21"/>
                <w:szCs w:val="21"/>
              </w:rPr>
              <w:t>不洒水</w:t>
            </w:r>
          </w:p>
        </w:tc>
        <w:tc>
          <w:tcPr>
            <w:tcW w:w="1355" w:type="dxa"/>
            <w:vAlign w:val="top"/>
          </w:tcPr>
          <w:p w14:paraId="02FB0DD0">
            <w:pPr>
              <w:pStyle w:val="6"/>
              <w:spacing w:before="100" w:line="188" w:lineRule="auto"/>
              <w:ind w:left="501"/>
            </w:pPr>
            <w:r>
              <w:rPr>
                <w:spacing w:val="-3"/>
              </w:rPr>
              <w:t>5.07</w:t>
            </w:r>
          </w:p>
        </w:tc>
        <w:tc>
          <w:tcPr>
            <w:tcW w:w="1358" w:type="dxa"/>
            <w:vAlign w:val="top"/>
          </w:tcPr>
          <w:p w14:paraId="4936B8CF">
            <w:pPr>
              <w:pStyle w:val="6"/>
              <w:spacing w:before="100" w:line="188" w:lineRule="auto"/>
              <w:ind w:left="517"/>
            </w:pPr>
            <w:r>
              <w:rPr>
                <w:spacing w:val="-7"/>
              </w:rPr>
              <w:t>1.45</w:t>
            </w:r>
          </w:p>
        </w:tc>
        <w:tc>
          <w:tcPr>
            <w:tcW w:w="1356" w:type="dxa"/>
            <w:vAlign w:val="top"/>
          </w:tcPr>
          <w:p w14:paraId="56AFFF12">
            <w:pPr>
              <w:pStyle w:val="6"/>
              <w:spacing w:before="100" w:line="188" w:lineRule="auto"/>
              <w:ind w:left="499"/>
            </w:pPr>
            <w:r>
              <w:rPr>
                <w:spacing w:val="-2"/>
              </w:rPr>
              <w:t>0.58</w:t>
            </w:r>
          </w:p>
        </w:tc>
        <w:tc>
          <w:tcPr>
            <w:tcW w:w="1355" w:type="dxa"/>
            <w:vAlign w:val="top"/>
          </w:tcPr>
          <w:p w14:paraId="3BA82925">
            <w:pPr>
              <w:pStyle w:val="6"/>
              <w:spacing w:before="100" w:line="188" w:lineRule="auto"/>
              <w:ind w:left="499"/>
            </w:pPr>
            <w:r>
              <w:rPr>
                <w:spacing w:val="-2"/>
              </w:rPr>
              <w:t>0.43</w:t>
            </w:r>
          </w:p>
        </w:tc>
      </w:tr>
      <w:tr w14:paraId="0CE62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55" w:type="dxa"/>
            <w:vMerge w:val="continue"/>
            <w:tcBorders>
              <w:top w:val="nil"/>
            </w:tcBorders>
            <w:vAlign w:val="top"/>
          </w:tcPr>
          <w:p w14:paraId="017962D9">
            <w:pPr>
              <w:rPr>
                <w:rFonts w:ascii="Arial"/>
                <w:sz w:val="21"/>
              </w:rPr>
            </w:pPr>
          </w:p>
        </w:tc>
        <w:tc>
          <w:tcPr>
            <w:tcW w:w="1045" w:type="dxa"/>
            <w:vAlign w:val="top"/>
          </w:tcPr>
          <w:p w14:paraId="117D421E">
            <w:pPr>
              <w:spacing w:before="64" w:line="220" w:lineRule="auto"/>
              <w:ind w:left="319"/>
              <w:rPr>
                <w:rFonts w:ascii="宋体" w:hAnsi="宋体" w:eastAsia="宋体" w:cs="宋体"/>
                <w:sz w:val="21"/>
                <w:szCs w:val="21"/>
              </w:rPr>
            </w:pPr>
            <w:r>
              <w:rPr>
                <w:rFonts w:ascii="宋体" w:hAnsi="宋体" w:eastAsia="宋体" w:cs="宋体"/>
                <w:spacing w:val="-3"/>
                <w:sz w:val="21"/>
                <w:szCs w:val="21"/>
              </w:rPr>
              <w:t>洒水</w:t>
            </w:r>
          </w:p>
        </w:tc>
        <w:tc>
          <w:tcPr>
            <w:tcW w:w="1355" w:type="dxa"/>
            <w:vAlign w:val="top"/>
          </w:tcPr>
          <w:p w14:paraId="23BC18F0">
            <w:pPr>
              <w:pStyle w:val="6"/>
              <w:spacing w:before="101" w:line="188" w:lineRule="auto"/>
              <w:ind w:left="515"/>
            </w:pPr>
            <w:r>
              <w:rPr>
                <w:spacing w:val="-7"/>
              </w:rPr>
              <w:t>1.01</w:t>
            </w:r>
          </w:p>
        </w:tc>
        <w:tc>
          <w:tcPr>
            <w:tcW w:w="1358" w:type="dxa"/>
            <w:vAlign w:val="top"/>
          </w:tcPr>
          <w:p w14:paraId="0A93E49B">
            <w:pPr>
              <w:pStyle w:val="6"/>
              <w:spacing w:before="101" w:line="188" w:lineRule="auto"/>
              <w:ind w:left="500"/>
            </w:pPr>
            <w:r>
              <w:rPr>
                <w:spacing w:val="-2"/>
              </w:rPr>
              <w:t>0.70</w:t>
            </w:r>
          </w:p>
        </w:tc>
        <w:tc>
          <w:tcPr>
            <w:tcW w:w="1356" w:type="dxa"/>
            <w:vAlign w:val="top"/>
          </w:tcPr>
          <w:p w14:paraId="7C947CC1">
            <w:pPr>
              <w:pStyle w:val="6"/>
              <w:spacing w:before="101" w:line="188" w:lineRule="auto"/>
              <w:ind w:left="499"/>
            </w:pPr>
            <w:r>
              <w:rPr>
                <w:spacing w:val="-2"/>
              </w:rPr>
              <w:t>0.34</w:t>
            </w:r>
          </w:p>
        </w:tc>
        <w:tc>
          <w:tcPr>
            <w:tcW w:w="1355" w:type="dxa"/>
            <w:vAlign w:val="top"/>
          </w:tcPr>
          <w:p w14:paraId="4C3D35E9">
            <w:pPr>
              <w:pStyle w:val="6"/>
              <w:spacing w:before="101" w:line="188" w:lineRule="auto"/>
              <w:ind w:left="499"/>
            </w:pPr>
            <w:r>
              <w:rPr>
                <w:spacing w:val="-2"/>
              </w:rPr>
              <w:t>0.30</w:t>
            </w:r>
          </w:p>
        </w:tc>
      </w:tr>
    </w:tbl>
    <w:p w14:paraId="3513A96C">
      <w:pPr>
        <w:spacing w:before="234" w:line="220" w:lineRule="auto"/>
        <w:jc w:val="right"/>
        <w:rPr>
          <w:rFonts w:ascii="宋体" w:hAnsi="宋体" w:eastAsia="宋体" w:cs="宋体"/>
          <w:sz w:val="24"/>
          <w:szCs w:val="24"/>
        </w:rPr>
      </w:pPr>
      <w:r>
        <w:rPr>
          <w:rFonts w:ascii="宋体" w:hAnsi="宋体" w:eastAsia="宋体" w:cs="宋体"/>
          <w:spacing w:val="-8"/>
          <w:sz w:val="24"/>
          <w:szCs w:val="24"/>
        </w:rPr>
        <w:t>因此，限速行驶及保持路面清洁，同时适当洒水是减少汽车扬尘</w:t>
      </w:r>
      <w:r>
        <w:rPr>
          <w:rFonts w:ascii="宋体" w:hAnsi="宋体" w:eastAsia="宋体" w:cs="宋体"/>
          <w:spacing w:val="-9"/>
          <w:sz w:val="24"/>
          <w:szCs w:val="24"/>
        </w:rPr>
        <w:t>的有效手段。</w:t>
      </w:r>
    </w:p>
    <w:p w14:paraId="3B700686">
      <w:pPr>
        <w:spacing w:before="183"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）施工场地扬尘</w:t>
      </w:r>
    </w:p>
    <w:p w14:paraId="71BF3940">
      <w:pPr>
        <w:spacing w:line="220" w:lineRule="auto"/>
        <w:rPr>
          <w:rFonts w:ascii="宋体" w:hAnsi="宋体" w:eastAsia="宋体" w:cs="宋体"/>
          <w:sz w:val="24"/>
          <w:szCs w:val="24"/>
        </w:rPr>
        <w:sectPr>
          <w:headerReference r:id="rId280" w:type="default"/>
          <w:footerReference r:id="rId281" w:type="default"/>
          <w:pgSz w:w="11905" w:h="16840"/>
          <w:pgMar w:top="1168" w:right="1712" w:bottom="1409" w:left="1770" w:header="828" w:footer="1244" w:gutter="0"/>
          <w:cols w:space="720" w:num="1"/>
        </w:sectPr>
      </w:pPr>
    </w:p>
    <w:p w14:paraId="3AE20721">
      <w:pPr>
        <w:pStyle w:val="2"/>
        <w:spacing w:line="306" w:lineRule="auto"/>
      </w:pPr>
    </w:p>
    <w:p w14:paraId="0B3C8316">
      <w:pPr>
        <w:spacing w:before="78" w:line="360" w:lineRule="auto"/>
        <w:ind w:left="40" w:right="16" w:firstLine="478"/>
        <w:jc w:val="both"/>
        <w:rPr>
          <w:rFonts w:ascii="宋体" w:hAnsi="宋体" w:eastAsia="宋体" w:cs="宋体"/>
          <w:sz w:val="24"/>
          <w:szCs w:val="24"/>
        </w:rPr>
      </w:pPr>
      <w:r>
        <w:rPr>
          <w:rFonts w:ascii="宋体" w:hAnsi="宋体" w:eastAsia="宋体" w:cs="宋体"/>
          <w:spacing w:val="-1"/>
          <w:sz w:val="24"/>
          <w:szCs w:val="24"/>
        </w:rPr>
        <w:t>施工扬尘的另一种情况是露天堆场和裸露场地的风力扬尘，由于施工</w:t>
      </w:r>
      <w:r>
        <w:rPr>
          <w:rFonts w:ascii="宋体" w:hAnsi="宋体" w:eastAsia="宋体" w:cs="宋体"/>
          <w:spacing w:val="-2"/>
          <w:sz w:val="24"/>
          <w:szCs w:val="24"/>
        </w:rPr>
        <w:t>需要，</w:t>
      </w:r>
      <w:r>
        <w:rPr>
          <w:rFonts w:ascii="宋体" w:hAnsi="宋体" w:eastAsia="宋体" w:cs="宋体"/>
          <w:spacing w:val="-6"/>
          <w:sz w:val="24"/>
          <w:szCs w:val="24"/>
        </w:rPr>
        <w:t>一些建材需露天堆放，而一些施工点表层土壤需人工开挖、堆</w:t>
      </w:r>
      <w:r>
        <w:rPr>
          <w:rFonts w:ascii="宋体" w:hAnsi="宋体" w:eastAsia="宋体" w:cs="宋体"/>
          <w:spacing w:val="-7"/>
          <w:sz w:val="24"/>
          <w:szCs w:val="24"/>
        </w:rPr>
        <w:t>放， 在气候干燥又</w:t>
      </w:r>
      <w:r>
        <w:rPr>
          <w:rFonts w:ascii="宋体" w:hAnsi="宋体" w:eastAsia="宋体" w:cs="宋体"/>
          <w:spacing w:val="-1"/>
          <w:sz w:val="24"/>
          <w:szCs w:val="24"/>
        </w:rPr>
        <w:t>有风的情况下则会产生扬尘，这类扬尘的主要特点是与风速和尘粒含水率有</w:t>
      </w:r>
      <w:r>
        <w:rPr>
          <w:rFonts w:ascii="宋体" w:hAnsi="宋体" w:eastAsia="宋体" w:cs="宋体"/>
          <w:spacing w:val="-2"/>
          <w:sz w:val="24"/>
          <w:szCs w:val="24"/>
        </w:rPr>
        <w:t>关，</w:t>
      </w:r>
      <w:r>
        <w:rPr>
          <w:rFonts w:ascii="宋体" w:hAnsi="宋体" w:eastAsia="宋体" w:cs="宋体"/>
          <w:spacing w:val="-1"/>
          <w:sz w:val="24"/>
          <w:szCs w:val="24"/>
        </w:rPr>
        <w:t>因此，减少建材的露天堆放和保证一定的含水率是抑</w:t>
      </w:r>
      <w:r>
        <w:rPr>
          <w:rFonts w:ascii="宋体" w:hAnsi="宋体" w:eastAsia="宋体" w:cs="宋体"/>
          <w:spacing w:val="-2"/>
          <w:sz w:val="24"/>
          <w:szCs w:val="24"/>
        </w:rPr>
        <w:t>制这类扬尘的有效手段。</w:t>
      </w:r>
    </w:p>
    <w:p w14:paraId="5555271B">
      <w:pPr>
        <w:spacing w:before="1" w:line="359" w:lineRule="auto"/>
        <w:ind w:left="38" w:firstLine="482"/>
        <w:jc w:val="both"/>
        <w:rPr>
          <w:rFonts w:ascii="宋体" w:hAnsi="宋体" w:eastAsia="宋体" w:cs="宋体"/>
          <w:sz w:val="24"/>
          <w:szCs w:val="24"/>
        </w:rPr>
      </w:pPr>
      <w:r>
        <w:rPr>
          <w:rFonts w:ascii="宋体" w:hAnsi="宋体" w:eastAsia="宋体" w:cs="宋体"/>
          <w:spacing w:val="-3"/>
          <w:sz w:val="24"/>
          <w:szCs w:val="24"/>
        </w:rPr>
        <w:t>尘粒在空气中的传播扩散情况与风速等气象条件有关，也与</w:t>
      </w:r>
      <w:r>
        <w:rPr>
          <w:rFonts w:ascii="宋体" w:hAnsi="宋体" w:eastAsia="宋体" w:cs="宋体"/>
          <w:spacing w:val="-4"/>
          <w:sz w:val="24"/>
          <w:szCs w:val="24"/>
        </w:rPr>
        <w:t>尘粒本身的沉降</w:t>
      </w:r>
      <w:r>
        <w:rPr>
          <w:rFonts w:ascii="宋体" w:hAnsi="宋体" w:eastAsia="宋体" w:cs="宋体"/>
          <w:spacing w:val="-8"/>
          <w:sz w:val="24"/>
          <w:szCs w:val="24"/>
        </w:rPr>
        <w:t>速度有关。以沙尘土为例，其沉降速度随粒径的增大而迅速增大。当粒径为</w:t>
      </w:r>
      <w:r>
        <w:rPr>
          <w:rFonts w:ascii="Times New Roman" w:hAnsi="Times New Roman" w:eastAsia="Times New Roman" w:cs="Times New Roman"/>
          <w:spacing w:val="-8"/>
          <w:sz w:val="24"/>
          <w:szCs w:val="24"/>
        </w:rPr>
        <w:t>250μm</w:t>
      </w:r>
      <w:r>
        <w:rPr>
          <w:rFonts w:ascii="宋体" w:hAnsi="宋体" w:eastAsia="宋体" w:cs="宋体"/>
          <w:sz w:val="24"/>
          <w:szCs w:val="24"/>
        </w:rPr>
        <w:t>时，沉降速度为</w:t>
      </w:r>
      <w:r>
        <w:rPr>
          <w:rFonts w:ascii="Times New Roman" w:hAnsi="Times New Roman" w:eastAsia="Times New Roman" w:cs="Times New Roman"/>
          <w:sz w:val="24"/>
          <w:szCs w:val="24"/>
        </w:rPr>
        <w:t>1.005m/s</w:t>
      </w:r>
      <w:r>
        <w:rPr>
          <w:rFonts w:ascii="宋体" w:hAnsi="宋体" w:eastAsia="宋体" w:cs="宋体"/>
          <w:sz w:val="24"/>
          <w:szCs w:val="24"/>
        </w:rPr>
        <w:t>，因此当尘粒大于</w:t>
      </w:r>
      <w:r>
        <w:rPr>
          <w:rFonts w:ascii="Times New Roman" w:hAnsi="Times New Roman" w:eastAsia="Times New Roman" w:cs="Times New Roman"/>
          <w:sz w:val="24"/>
          <w:szCs w:val="24"/>
        </w:rPr>
        <w:t>250μm</w:t>
      </w:r>
      <w:r>
        <w:rPr>
          <w:rFonts w:ascii="宋体" w:hAnsi="宋体" w:eastAsia="宋体" w:cs="宋体"/>
          <w:sz w:val="24"/>
          <w:szCs w:val="24"/>
        </w:rPr>
        <w:t>时，主要影响范围在扬尘点下</w:t>
      </w:r>
      <w:r>
        <w:rPr>
          <w:rFonts w:ascii="宋体" w:hAnsi="宋体" w:eastAsia="宋体" w:cs="宋体"/>
          <w:spacing w:val="-3"/>
          <w:sz w:val="24"/>
          <w:szCs w:val="24"/>
        </w:rPr>
        <w:t>风向近距离范围内，而真正对外环境产生影响的是一些微小尘粒。根据现场施工季节的气候情况不同，其影响范围和方向也有所不同。施工期间应特别注意施工</w:t>
      </w:r>
      <w:r>
        <w:rPr>
          <w:rFonts w:ascii="宋体" w:hAnsi="宋体" w:eastAsia="宋体" w:cs="宋体"/>
          <w:spacing w:val="-1"/>
          <w:sz w:val="24"/>
          <w:szCs w:val="24"/>
        </w:rPr>
        <w:t>扬尘的防治问题，须制定必要的防治措施，以减少施工扬尘对周围环境的影响。</w:t>
      </w:r>
    </w:p>
    <w:p w14:paraId="78C28068">
      <w:pPr>
        <w:spacing w:before="19" w:line="222" w:lineRule="auto"/>
        <w:ind w:left="272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5"/>
          <w:sz w:val="21"/>
          <w:szCs w:val="21"/>
        </w:rPr>
        <w:t xml:space="preserve"> </w:t>
      </w:r>
      <w:r>
        <w:rPr>
          <w:rFonts w:ascii="Times New Roman" w:hAnsi="Times New Roman" w:eastAsia="Times New Roman" w:cs="Times New Roman"/>
          <w:spacing w:val="-1"/>
          <w:sz w:val="21"/>
          <w:szCs w:val="21"/>
        </w:rPr>
        <w:t xml:space="preserve">4.1-3  </w:t>
      </w:r>
      <w:r>
        <w:rPr>
          <w:rFonts w:ascii="黑体" w:hAnsi="黑体" w:eastAsia="黑体" w:cs="黑体"/>
          <w:spacing w:val="-1"/>
          <w:sz w:val="21"/>
          <w:szCs w:val="21"/>
        </w:rPr>
        <w:t>不同粒径尘粒的沉降速度</w:t>
      </w:r>
    </w:p>
    <w:p w14:paraId="7AE237C8">
      <w:pPr>
        <w:spacing w:line="87" w:lineRule="exact"/>
      </w:pPr>
    </w:p>
    <w:tbl>
      <w:tblPr>
        <w:tblStyle w:val="5"/>
        <w:tblW w:w="8327"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6"/>
        <w:gridCol w:w="910"/>
        <w:gridCol w:w="911"/>
        <w:gridCol w:w="911"/>
        <w:gridCol w:w="911"/>
        <w:gridCol w:w="912"/>
        <w:gridCol w:w="912"/>
        <w:gridCol w:w="914"/>
      </w:tblGrid>
      <w:tr w14:paraId="4B10D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946" w:type="dxa"/>
            <w:vAlign w:val="top"/>
          </w:tcPr>
          <w:p w14:paraId="63B25A9C">
            <w:pPr>
              <w:pStyle w:val="6"/>
              <w:spacing w:before="64" w:line="212" w:lineRule="auto"/>
              <w:ind w:left="208"/>
              <w:rPr>
                <w:rFonts w:ascii="宋体" w:hAnsi="宋体" w:eastAsia="宋体" w:cs="宋体"/>
              </w:rPr>
            </w:pPr>
            <w:r>
              <w:rPr>
                <w:rFonts w:ascii="宋体" w:hAnsi="宋体" w:eastAsia="宋体" w:cs="宋体"/>
                <w:spacing w:val="12"/>
              </w:rPr>
              <w:t>粉尘粒径(</w:t>
            </w:r>
            <w:r>
              <w:rPr>
                <w:spacing w:val="12"/>
              </w:rPr>
              <w:t>μm</w:t>
            </w:r>
            <w:r>
              <w:rPr>
                <w:rFonts w:ascii="宋体" w:hAnsi="宋体" w:eastAsia="宋体" w:cs="宋体"/>
                <w:spacing w:val="12"/>
              </w:rPr>
              <w:t>）</w:t>
            </w:r>
          </w:p>
        </w:tc>
        <w:tc>
          <w:tcPr>
            <w:tcW w:w="910" w:type="dxa"/>
            <w:vAlign w:val="top"/>
          </w:tcPr>
          <w:p w14:paraId="0773B1FA">
            <w:pPr>
              <w:pStyle w:val="6"/>
              <w:spacing w:before="100" w:line="188" w:lineRule="auto"/>
              <w:ind w:left="371"/>
            </w:pPr>
            <w:r>
              <w:rPr>
                <w:spacing w:val="-12"/>
              </w:rPr>
              <w:t>10</w:t>
            </w:r>
          </w:p>
        </w:tc>
        <w:tc>
          <w:tcPr>
            <w:tcW w:w="911" w:type="dxa"/>
            <w:vAlign w:val="top"/>
          </w:tcPr>
          <w:p w14:paraId="7E7296EA">
            <w:pPr>
              <w:pStyle w:val="6"/>
              <w:spacing w:before="100" w:line="188" w:lineRule="auto"/>
              <w:ind w:left="352"/>
            </w:pPr>
            <w:r>
              <w:rPr>
                <w:spacing w:val="-2"/>
              </w:rPr>
              <w:t>20</w:t>
            </w:r>
          </w:p>
        </w:tc>
        <w:tc>
          <w:tcPr>
            <w:tcW w:w="911" w:type="dxa"/>
            <w:vAlign w:val="top"/>
          </w:tcPr>
          <w:p w14:paraId="6BE7C8F1">
            <w:pPr>
              <w:pStyle w:val="6"/>
              <w:spacing w:before="100" w:line="188" w:lineRule="auto"/>
              <w:ind w:left="357"/>
            </w:pPr>
            <w:r>
              <w:rPr>
                <w:spacing w:val="-5"/>
              </w:rPr>
              <w:t>30</w:t>
            </w:r>
          </w:p>
        </w:tc>
        <w:tc>
          <w:tcPr>
            <w:tcW w:w="911" w:type="dxa"/>
            <w:vAlign w:val="top"/>
          </w:tcPr>
          <w:p w14:paraId="6B5F62C7">
            <w:pPr>
              <w:pStyle w:val="6"/>
              <w:spacing w:before="100" w:line="188" w:lineRule="auto"/>
              <w:ind w:left="353"/>
            </w:pPr>
            <w:r>
              <w:rPr>
                <w:spacing w:val="-2"/>
              </w:rPr>
              <w:t>40</w:t>
            </w:r>
          </w:p>
        </w:tc>
        <w:tc>
          <w:tcPr>
            <w:tcW w:w="912" w:type="dxa"/>
            <w:vAlign w:val="top"/>
          </w:tcPr>
          <w:p w14:paraId="13E4E82B">
            <w:pPr>
              <w:pStyle w:val="6"/>
              <w:spacing w:before="100" w:line="188" w:lineRule="auto"/>
              <w:ind w:left="360"/>
            </w:pPr>
            <w:r>
              <w:rPr>
                <w:spacing w:val="-5"/>
              </w:rPr>
              <w:t>50</w:t>
            </w:r>
          </w:p>
        </w:tc>
        <w:tc>
          <w:tcPr>
            <w:tcW w:w="912" w:type="dxa"/>
            <w:vAlign w:val="top"/>
          </w:tcPr>
          <w:p w14:paraId="1439DCE3">
            <w:pPr>
              <w:pStyle w:val="6"/>
              <w:spacing w:before="100" w:line="188" w:lineRule="auto"/>
              <w:ind w:left="359"/>
            </w:pPr>
            <w:r>
              <w:rPr>
                <w:spacing w:val="-5"/>
              </w:rPr>
              <w:t>60</w:t>
            </w:r>
          </w:p>
        </w:tc>
        <w:tc>
          <w:tcPr>
            <w:tcW w:w="914" w:type="dxa"/>
            <w:vAlign w:val="top"/>
          </w:tcPr>
          <w:p w14:paraId="79B0C03D">
            <w:pPr>
              <w:pStyle w:val="6"/>
              <w:spacing w:before="100" w:line="188" w:lineRule="auto"/>
              <w:ind w:left="358"/>
            </w:pPr>
            <w:r>
              <w:rPr>
                <w:spacing w:val="-4"/>
              </w:rPr>
              <w:t>70</w:t>
            </w:r>
          </w:p>
        </w:tc>
      </w:tr>
      <w:tr w14:paraId="52267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46" w:type="dxa"/>
            <w:vAlign w:val="top"/>
          </w:tcPr>
          <w:p w14:paraId="0A1D2B12">
            <w:pPr>
              <w:pStyle w:val="6"/>
              <w:spacing w:before="62" w:line="220" w:lineRule="auto"/>
              <w:ind w:left="195"/>
              <w:rPr>
                <w:rFonts w:ascii="宋体" w:hAnsi="宋体" w:eastAsia="宋体" w:cs="宋体"/>
              </w:rPr>
            </w:pPr>
            <w:r>
              <w:rPr>
                <w:rFonts w:ascii="宋体" w:hAnsi="宋体" w:eastAsia="宋体" w:cs="宋体"/>
                <w:spacing w:val="-1"/>
              </w:rPr>
              <w:t>沉降速度（</w:t>
            </w:r>
            <w:r>
              <w:rPr>
                <w:spacing w:val="-1"/>
              </w:rPr>
              <w:t>m/s</w:t>
            </w:r>
            <w:r>
              <w:rPr>
                <w:rFonts w:ascii="宋体" w:hAnsi="宋体" w:eastAsia="宋体" w:cs="宋体"/>
                <w:spacing w:val="-1"/>
              </w:rPr>
              <w:t>）</w:t>
            </w:r>
          </w:p>
        </w:tc>
        <w:tc>
          <w:tcPr>
            <w:tcW w:w="910" w:type="dxa"/>
            <w:vAlign w:val="top"/>
          </w:tcPr>
          <w:p w14:paraId="022D363F">
            <w:pPr>
              <w:pStyle w:val="6"/>
              <w:spacing w:before="99" w:line="188" w:lineRule="auto"/>
              <w:ind w:left="222"/>
            </w:pPr>
            <w:r>
              <w:rPr>
                <w:spacing w:val="-2"/>
              </w:rPr>
              <w:t>0.003</w:t>
            </w:r>
          </w:p>
        </w:tc>
        <w:tc>
          <w:tcPr>
            <w:tcW w:w="911" w:type="dxa"/>
            <w:vAlign w:val="top"/>
          </w:tcPr>
          <w:p w14:paraId="7DAEDB03">
            <w:pPr>
              <w:pStyle w:val="6"/>
              <w:spacing w:before="99" w:line="188" w:lineRule="auto"/>
              <w:ind w:left="224"/>
            </w:pPr>
            <w:r>
              <w:rPr>
                <w:spacing w:val="-2"/>
              </w:rPr>
              <w:t>0.012</w:t>
            </w:r>
          </w:p>
        </w:tc>
        <w:tc>
          <w:tcPr>
            <w:tcW w:w="911" w:type="dxa"/>
            <w:vAlign w:val="top"/>
          </w:tcPr>
          <w:p w14:paraId="75A02C99">
            <w:pPr>
              <w:pStyle w:val="6"/>
              <w:spacing w:before="99" w:line="188" w:lineRule="auto"/>
              <w:ind w:left="225"/>
            </w:pPr>
            <w:r>
              <w:rPr>
                <w:spacing w:val="-2"/>
              </w:rPr>
              <w:t>0.027</w:t>
            </w:r>
          </w:p>
        </w:tc>
        <w:tc>
          <w:tcPr>
            <w:tcW w:w="911" w:type="dxa"/>
            <w:vAlign w:val="top"/>
          </w:tcPr>
          <w:p w14:paraId="33BBD949">
            <w:pPr>
              <w:pStyle w:val="6"/>
              <w:spacing w:before="99" w:line="188" w:lineRule="auto"/>
              <w:ind w:left="226"/>
            </w:pPr>
            <w:r>
              <w:rPr>
                <w:spacing w:val="-2"/>
              </w:rPr>
              <w:t>0.048</w:t>
            </w:r>
          </w:p>
        </w:tc>
        <w:tc>
          <w:tcPr>
            <w:tcW w:w="912" w:type="dxa"/>
            <w:vAlign w:val="top"/>
          </w:tcPr>
          <w:p w14:paraId="7E4635D7">
            <w:pPr>
              <w:pStyle w:val="6"/>
              <w:spacing w:before="99" w:line="188" w:lineRule="auto"/>
              <w:ind w:left="227"/>
            </w:pPr>
            <w:r>
              <w:rPr>
                <w:spacing w:val="-2"/>
              </w:rPr>
              <w:t>0.075</w:t>
            </w:r>
          </w:p>
        </w:tc>
        <w:tc>
          <w:tcPr>
            <w:tcW w:w="912" w:type="dxa"/>
            <w:vAlign w:val="top"/>
          </w:tcPr>
          <w:p w14:paraId="35789E47">
            <w:pPr>
              <w:pStyle w:val="6"/>
              <w:spacing w:before="99" w:line="188" w:lineRule="auto"/>
              <w:ind w:left="227"/>
            </w:pPr>
            <w:r>
              <w:rPr>
                <w:spacing w:val="-2"/>
              </w:rPr>
              <w:t>0.108</w:t>
            </w:r>
          </w:p>
        </w:tc>
        <w:tc>
          <w:tcPr>
            <w:tcW w:w="914" w:type="dxa"/>
            <w:vAlign w:val="top"/>
          </w:tcPr>
          <w:p w14:paraId="3E5F00D6">
            <w:pPr>
              <w:pStyle w:val="6"/>
              <w:spacing w:before="99" w:line="188" w:lineRule="auto"/>
              <w:ind w:left="227"/>
            </w:pPr>
            <w:r>
              <w:rPr>
                <w:spacing w:val="-2"/>
              </w:rPr>
              <w:t>0.147</w:t>
            </w:r>
          </w:p>
        </w:tc>
      </w:tr>
      <w:tr w14:paraId="39084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946" w:type="dxa"/>
            <w:vAlign w:val="top"/>
          </w:tcPr>
          <w:p w14:paraId="64A04618">
            <w:pPr>
              <w:pStyle w:val="6"/>
              <w:spacing w:before="63" w:line="212" w:lineRule="auto"/>
              <w:ind w:left="208"/>
              <w:rPr>
                <w:rFonts w:ascii="宋体" w:hAnsi="宋体" w:eastAsia="宋体" w:cs="宋体"/>
              </w:rPr>
            </w:pPr>
            <w:r>
              <w:rPr>
                <w:rFonts w:ascii="宋体" w:hAnsi="宋体" w:eastAsia="宋体" w:cs="宋体"/>
                <w:spacing w:val="12"/>
              </w:rPr>
              <w:t>粉尘粒径(</w:t>
            </w:r>
            <w:r>
              <w:rPr>
                <w:spacing w:val="12"/>
              </w:rPr>
              <w:t>μm</w:t>
            </w:r>
            <w:r>
              <w:rPr>
                <w:rFonts w:ascii="宋体" w:hAnsi="宋体" w:eastAsia="宋体" w:cs="宋体"/>
                <w:spacing w:val="12"/>
              </w:rPr>
              <w:t>）</w:t>
            </w:r>
          </w:p>
        </w:tc>
        <w:tc>
          <w:tcPr>
            <w:tcW w:w="910" w:type="dxa"/>
            <w:vAlign w:val="top"/>
          </w:tcPr>
          <w:p w14:paraId="5DB50DED">
            <w:pPr>
              <w:pStyle w:val="6"/>
              <w:spacing w:before="99" w:line="188" w:lineRule="auto"/>
              <w:ind w:left="359"/>
            </w:pPr>
            <w:r>
              <w:rPr>
                <w:spacing w:val="-7"/>
              </w:rPr>
              <w:t>80</w:t>
            </w:r>
          </w:p>
        </w:tc>
        <w:tc>
          <w:tcPr>
            <w:tcW w:w="911" w:type="dxa"/>
            <w:vAlign w:val="top"/>
          </w:tcPr>
          <w:p w14:paraId="11566D22">
            <w:pPr>
              <w:pStyle w:val="6"/>
              <w:spacing w:before="99" w:line="188" w:lineRule="auto"/>
              <w:ind w:left="356"/>
            </w:pPr>
            <w:r>
              <w:rPr>
                <w:spacing w:val="-4"/>
              </w:rPr>
              <w:t>90</w:t>
            </w:r>
          </w:p>
        </w:tc>
        <w:tc>
          <w:tcPr>
            <w:tcW w:w="911" w:type="dxa"/>
            <w:vAlign w:val="top"/>
          </w:tcPr>
          <w:p w14:paraId="1661E747">
            <w:pPr>
              <w:pStyle w:val="6"/>
              <w:spacing w:before="99" w:line="188" w:lineRule="auto"/>
              <w:ind w:left="321"/>
            </w:pPr>
            <w:r>
              <w:rPr>
                <w:spacing w:val="-9"/>
              </w:rPr>
              <w:t>100</w:t>
            </w:r>
          </w:p>
        </w:tc>
        <w:tc>
          <w:tcPr>
            <w:tcW w:w="911" w:type="dxa"/>
            <w:vAlign w:val="top"/>
          </w:tcPr>
          <w:p w14:paraId="07BAF8E4">
            <w:pPr>
              <w:pStyle w:val="6"/>
              <w:spacing w:before="99" w:line="188" w:lineRule="auto"/>
              <w:ind w:left="322"/>
            </w:pPr>
            <w:r>
              <w:rPr>
                <w:spacing w:val="-9"/>
              </w:rPr>
              <w:t>150</w:t>
            </w:r>
          </w:p>
        </w:tc>
        <w:tc>
          <w:tcPr>
            <w:tcW w:w="912" w:type="dxa"/>
            <w:vAlign w:val="top"/>
          </w:tcPr>
          <w:p w14:paraId="23AAC468">
            <w:pPr>
              <w:pStyle w:val="6"/>
              <w:spacing w:before="99" w:line="188" w:lineRule="auto"/>
              <w:ind w:left="303"/>
            </w:pPr>
            <w:r>
              <w:rPr>
                <w:spacing w:val="-2"/>
              </w:rPr>
              <w:t>200</w:t>
            </w:r>
          </w:p>
        </w:tc>
        <w:tc>
          <w:tcPr>
            <w:tcW w:w="912" w:type="dxa"/>
            <w:vAlign w:val="top"/>
          </w:tcPr>
          <w:p w14:paraId="583B7B6A">
            <w:pPr>
              <w:pStyle w:val="6"/>
              <w:spacing w:before="99" w:line="188" w:lineRule="auto"/>
              <w:ind w:left="303"/>
            </w:pPr>
            <w:r>
              <w:rPr>
                <w:spacing w:val="-2"/>
              </w:rPr>
              <w:t>250</w:t>
            </w:r>
          </w:p>
        </w:tc>
        <w:tc>
          <w:tcPr>
            <w:tcW w:w="914" w:type="dxa"/>
            <w:vAlign w:val="top"/>
          </w:tcPr>
          <w:p w14:paraId="1CD0518E">
            <w:pPr>
              <w:pStyle w:val="6"/>
              <w:spacing w:before="99" w:line="188" w:lineRule="auto"/>
              <w:ind w:left="307"/>
            </w:pPr>
            <w:r>
              <w:rPr>
                <w:spacing w:val="-3"/>
              </w:rPr>
              <w:t>350</w:t>
            </w:r>
          </w:p>
        </w:tc>
      </w:tr>
      <w:tr w14:paraId="1DAD6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46" w:type="dxa"/>
            <w:vAlign w:val="top"/>
          </w:tcPr>
          <w:p w14:paraId="62DBF4D4">
            <w:pPr>
              <w:pStyle w:val="6"/>
              <w:spacing w:before="64" w:line="220" w:lineRule="auto"/>
              <w:ind w:left="195"/>
              <w:rPr>
                <w:rFonts w:ascii="宋体" w:hAnsi="宋体" w:eastAsia="宋体" w:cs="宋体"/>
              </w:rPr>
            </w:pPr>
            <w:r>
              <w:rPr>
                <w:rFonts w:ascii="宋体" w:hAnsi="宋体" w:eastAsia="宋体" w:cs="宋体"/>
                <w:spacing w:val="-1"/>
              </w:rPr>
              <w:t>沉降速度（</w:t>
            </w:r>
            <w:r>
              <w:rPr>
                <w:spacing w:val="-1"/>
              </w:rPr>
              <w:t>m/s</w:t>
            </w:r>
            <w:r>
              <w:rPr>
                <w:rFonts w:ascii="宋体" w:hAnsi="宋体" w:eastAsia="宋体" w:cs="宋体"/>
                <w:spacing w:val="-1"/>
              </w:rPr>
              <w:t>）</w:t>
            </w:r>
          </w:p>
        </w:tc>
        <w:tc>
          <w:tcPr>
            <w:tcW w:w="910" w:type="dxa"/>
            <w:vAlign w:val="top"/>
          </w:tcPr>
          <w:p w14:paraId="22793B30">
            <w:pPr>
              <w:pStyle w:val="6"/>
              <w:spacing w:before="101" w:line="188" w:lineRule="auto"/>
              <w:ind w:left="222"/>
            </w:pPr>
            <w:r>
              <w:rPr>
                <w:spacing w:val="-2"/>
              </w:rPr>
              <w:t>0.158</w:t>
            </w:r>
          </w:p>
        </w:tc>
        <w:tc>
          <w:tcPr>
            <w:tcW w:w="911" w:type="dxa"/>
            <w:vAlign w:val="top"/>
          </w:tcPr>
          <w:p w14:paraId="4D0C55ED">
            <w:pPr>
              <w:pStyle w:val="6"/>
              <w:spacing w:before="101" w:line="188" w:lineRule="auto"/>
              <w:ind w:left="224"/>
            </w:pPr>
            <w:r>
              <w:rPr>
                <w:spacing w:val="-2"/>
              </w:rPr>
              <w:t>0.170</w:t>
            </w:r>
          </w:p>
        </w:tc>
        <w:tc>
          <w:tcPr>
            <w:tcW w:w="911" w:type="dxa"/>
            <w:vAlign w:val="top"/>
          </w:tcPr>
          <w:p w14:paraId="0C644BE9">
            <w:pPr>
              <w:pStyle w:val="6"/>
              <w:spacing w:before="101" w:line="188" w:lineRule="auto"/>
              <w:ind w:left="225"/>
            </w:pPr>
            <w:r>
              <w:rPr>
                <w:spacing w:val="-2"/>
              </w:rPr>
              <w:t>0.182</w:t>
            </w:r>
          </w:p>
        </w:tc>
        <w:tc>
          <w:tcPr>
            <w:tcW w:w="911" w:type="dxa"/>
            <w:vAlign w:val="top"/>
          </w:tcPr>
          <w:p w14:paraId="3E7AD9E2">
            <w:pPr>
              <w:pStyle w:val="6"/>
              <w:spacing w:before="101" w:line="188" w:lineRule="auto"/>
              <w:ind w:left="226"/>
            </w:pPr>
            <w:r>
              <w:rPr>
                <w:spacing w:val="-2"/>
              </w:rPr>
              <w:t>0.239</w:t>
            </w:r>
          </w:p>
        </w:tc>
        <w:tc>
          <w:tcPr>
            <w:tcW w:w="912" w:type="dxa"/>
            <w:vAlign w:val="top"/>
          </w:tcPr>
          <w:p w14:paraId="4E5E5C6F">
            <w:pPr>
              <w:pStyle w:val="6"/>
              <w:spacing w:before="101" w:line="188" w:lineRule="auto"/>
              <w:ind w:left="227"/>
            </w:pPr>
            <w:r>
              <w:rPr>
                <w:spacing w:val="-2"/>
              </w:rPr>
              <w:t>0.804</w:t>
            </w:r>
          </w:p>
        </w:tc>
        <w:tc>
          <w:tcPr>
            <w:tcW w:w="912" w:type="dxa"/>
            <w:vAlign w:val="top"/>
          </w:tcPr>
          <w:p w14:paraId="28191187">
            <w:pPr>
              <w:pStyle w:val="6"/>
              <w:spacing w:before="101" w:line="188" w:lineRule="auto"/>
              <w:ind w:left="244"/>
            </w:pPr>
            <w:r>
              <w:rPr>
                <w:spacing w:val="-5"/>
              </w:rPr>
              <w:t>1.005</w:t>
            </w:r>
          </w:p>
        </w:tc>
        <w:tc>
          <w:tcPr>
            <w:tcW w:w="914" w:type="dxa"/>
            <w:vAlign w:val="top"/>
          </w:tcPr>
          <w:p w14:paraId="520F71C8">
            <w:pPr>
              <w:pStyle w:val="6"/>
              <w:spacing w:before="101" w:line="188" w:lineRule="auto"/>
              <w:ind w:left="244"/>
            </w:pPr>
            <w:r>
              <w:rPr>
                <w:spacing w:val="-5"/>
              </w:rPr>
              <w:t>1.829</w:t>
            </w:r>
          </w:p>
        </w:tc>
      </w:tr>
      <w:tr w14:paraId="4AE49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946" w:type="dxa"/>
            <w:vAlign w:val="top"/>
          </w:tcPr>
          <w:p w14:paraId="24EE81EB">
            <w:pPr>
              <w:pStyle w:val="6"/>
              <w:spacing w:before="65" w:line="212" w:lineRule="auto"/>
              <w:ind w:left="208"/>
              <w:rPr>
                <w:rFonts w:ascii="宋体" w:hAnsi="宋体" w:eastAsia="宋体" w:cs="宋体"/>
              </w:rPr>
            </w:pPr>
            <w:r>
              <w:rPr>
                <w:rFonts w:ascii="宋体" w:hAnsi="宋体" w:eastAsia="宋体" w:cs="宋体"/>
                <w:spacing w:val="12"/>
              </w:rPr>
              <w:t>粉尘粒径(</w:t>
            </w:r>
            <w:r>
              <w:rPr>
                <w:spacing w:val="12"/>
              </w:rPr>
              <w:t>μm</w:t>
            </w:r>
            <w:r>
              <w:rPr>
                <w:rFonts w:ascii="宋体" w:hAnsi="宋体" w:eastAsia="宋体" w:cs="宋体"/>
                <w:spacing w:val="12"/>
              </w:rPr>
              <w:t>）</w:t>
            </w:r>
          </w:p>
        </w:tc>
        <w:tc>
          <w:tcPr>
            <w:tcW w:w="910" w:type="dxa"/>
            <w:vAlign w:val="top"/>
          </w:tcPr>
          <w:p w14:paraId="565A819C">
            <w:pPr>
              <w:pStyle w:val="6"/>
              <w:spacing w:before="101" w:line="188" w:lineRule="auto"/>
              <w:ind w:left="297"/>
            </w:pPr>
            <w:r>
              <w:rPr>
                <w:spacing w:val="-2"/>
              </w:rPr>
              <w:t>450</w:t>
            </w:r>
          </w:p>
        </w:tc>
        <w:tc>
          <w:tcPr>
            <w:tcW w:w="911" w:type="dxa"/>
            <w:vAlign w:val="top"/>
          </w:tcPr>
          <w:p w14:paraId="57C7AC81">
            <w:pPr>
              <w:pStyle w:val="6"/>
              <w:spacing w:before="101" w:line="188" w:lineRule="auto"/>
              <w:ind w:left="306"/>
            </w:pPr>
            <w:r>
              <w:rPr>
                <w:spacing w:val="-4"/>
              </w:rPr>
              <w:t>550</w:t>
            </w:r>
          </w:p>
        </w:tc>
        <w:tc>
          <w:tcPr>
            <w:tcW w:w="911" w:type="dxa"/>
            <w:vAlign w:val="top"/>
          </w:tcPr>
          <w:p w14:paraId="54AC500F">
            <w:pPr>
              <w:pStyle w:val="6"/>
              <w:spacing w:before="101" w:line="188" w:lineRule="auto"/>
              <w:ind w:left="306"/>
            </w:pPr>
            <w:r>
              <w:rPr>
                <w:spacing w:val="-4"/>
              </w:rPr>
              <w:t>650</w:t>
            </w:r>
          </w:p>
        </w:tc>
        <w:tc>
          <w:tcPr>
            <w:tcW w:w="911" w:type="dxa"/>
            <w:vAlign w:val="top"/>
          </w:tcPr>
          <w:p w14:paraId="2D85D3F2">
            <w:pPr>
              <w:pStyle w:val="6"/>
              <w:spacing w:before="101" w:line="188" w:lineRule="auto"/>
              <w:ind w:left="305"/>
            </w:pPr>
            <w:r>
              <w:rPr>
                <w:spacing w:val="-3"/>
              </w:rPr>
              <w:t>750</w:t>
            </w:r>
          </w:p>
        </w:tc>
        <w:tc>
          <w:tcPr>
            <w:tcW w:w="912" w:type="dxa"/>
            <w:vAlign w:val="top"/>
          </w:tcPr>
          <w:p w14:paraId="1ED608C0">
            <w:pPr>
              <w:pStyle w:val="6"/>
              <w:spacing w:before="101" w:line="188" w:lineRule="auto"/>
              <w:ind w:left="311"/>
            </w:pPr>
            <w:r>
              <w:rPr>
                <w:spacing w:val="-5"/>
              </w:rPr>
              <w:t>850</w:t>
            </w:r>
          </w:p>
        </w:tc>
        <w:tc>
          <w:tcPr>
            <w:tcW w:w="912" w:type="dxa"/>
            <w:vAlign w:val="top"/>
          </w:tcPr>
          <w:p w14:paraId="15AB571B">
            <w:pPr>
              <w:pStyle w:val="6"/>
              <w:spacing w:before="101" w:line="188" w:lineRule="auto"/>
              <w:ind w:left="307"/>
            </w:pPr>
            <w:r>
              <w:rPr>
                <w:spacing w:val="-3"/>
              </w:rPr>
              <w:t>950</w:t>
            </w:r>
          </w:p>
        </w:tc>
        <w:tc>
          <w:tcPr>
            <w:tcW w:w="914" w:type="dxa"/>
            <w:vAlign w:val="top"/>
          </w:tcPr>
          <w:p w14:paraId="7B12CE3E">
            <w:pPr>
              <w:pStyle w:val="6"/>
              <w:spacing w:before="101" w:line="188" w:lineRule="auto"/>
              <w:ind w:left="270"/>
            </w:pPr>
            <w:r>
              <w:rPr>
                <w:spacing w:val="-6"/>
              </w:rPr>
              <w:t>1050</w:t>
            </w:r>
          </w:p>
        </w:tc>
      </w:tr>
      <w:tr w14:paraId="19BEA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946" w:type="dxa"/>
            <w:vAlign w:val="top"/>
          </w:tcPr>
          <w:p w14:paraId="190E8E42">
            <w:pPr>
              <w:pStyle w:val="6"/>
              <w:spacing w:before="66" w:line="220" w:lineRule="auto"/>
              <w:ind w:left="195"/>
              <w:rPr>
                <w:rFonts w:ascii="宋体" w:hAnsi="宋体" w:eastAsia="宋体" w:cs="宋体"/>
              </w:rPr>
            </w:pPr>
            <w:r>
              <w:rPr>
                <w:rFonts w:ascii="宋体" w:hAnsi="宋体" w:eastAsia="宋体" w:cs="宋体"/>
                <w:spacing w:val="-1"/>
              </w:rPr>
              <w:t>沉降速度（</w:t>
            </w:r>
            <w:r>
              <w:rPr>
                <w:spacing w:val="-1"/>
              </w:rPr>
              <w:t>m/s</w:t>
            </w:r>
            <w:r>
              <w:rPr>
                <w:rFonts w:ascii="宋体" w:hAnsi="宋体" w:eastAsia="宋体" w:cs="宋体"/>
                <w:spacing w:val="-1"/>
              </w:rPr>
              <w:t>）</w:t>
            </w:r>
          </w:p>
        </w:tc>
        <w:tc>
          <w:tcPr>
            <w:tcW w:w="910" w:type="dxa"/>
            <w:vAlign w:val="top"/>
          </w:tcPr>
          <w:p w14:paraId="19B5A285">
            <w:pPr>
              <w:pStyle w:val="6"/>
              <w:spacing w:before="103" w:line="188" w:lineRule="auto"/>
              <w:ind w:left="219"/>
            </w:pPr>
            <w:r>
              <w:rPr>
                <w:spacing w:val="-1"/>
              </w:rPr>
              <w:t>2.211</w:t>
            </w:r>
          </w:p>
        </w:tc>
        <w:tc>
          <w:tcPr>
            <w:tcW w:w="911" w:type="dxa"/>
            <w:vAlign w:val="top"/>
          </w:tcPr>
          <w:p w14:paraId="4E649965">
            <w:pPr>
              <w:pStyle w:val="6"/>
              <w:spacing w:before="103" w:line="188" w:lineRule="auto"/>
              <w:ind w:left="221"/>
            </w:pPr>
            <w:r>
              <w:rPr>
                <w:spacing w:val="-1"/>
              </w:rPr>
              <w:t>2.614</w:t>
            </w:r>
          </w:p>
        </w:tc>
        <w:tc>
          <w:tcPr>
            <w:tcW w:w="911" w:type="dxa"/>
            <w:vAlign w:val="top"/>
          </w:tcPr>
          <w:p w14:paraId="3CDC4AF3">
            <w:pPr>
              <w:pStyle w:val="6"/>
              <w:spacing w:before="103" w:line="188" w:lineRule="auto"/>
              <w:ind w:left="226"/>
            </w:pPr>
            <w:r>
              <w:rPr>
                <w:spacing w:val="-2"/>
              </w:rPr>
              <w:t>3.016</w:t>
            </w:r>
          </w:p>
        </w:tc>
        <w:tc>
          <w:tcPr>
            <w:tcW w:w="911" w:type="dxa"/>
            <w:vAlign w:val="top"/>
          </w:tcPr>
          <w:p w14:paraId="438FDE4E">
            <w:pPr>
              <w:pStyle w:val="6"/>
              <w:spacing w:before="103" w:line="188" w:lineRule="auto"/>
              <w:ind w:left="227"/>
            </w:pPr>
            <w:r>
              <w:rPr>
                <w:spacing w:val="-2"/>
              </w:rPr>
              <w:t>3.418</w:t>
            </w:r>
          </w:p>
        </w:tc>
        <w:tc>
          <w:tcPr>
            <w:tcW w:w="912" w:type="dxa"/>
            <w:vAlign w:val="top"/>
          </w:tcPr>
          <w:p w14:paraId="09583568">
            <w:pPr>
              <w:pStyle w:val="6"/>
              <w:spacing w:before="103" w:line="188" w:lineRule="auto"/>
              <w:ind w:left="228"/>
            </w:pPr>
            <w:r>
              <w:rPr>
                <w:spacing w:val="-2"/>
              </w:rPr>
              <w:t>3.820</w:t>
            </w:r>
          </w:p>
        </w:tc>
        <w:tc>
          <w:tcPr>
            <w:tcW w:w="912" w:type="dxa"/>
            <w:vAlign w:val="top"/>
          </w:tcPr>
          <w:p w14:paraId="1A7BDB60">
            <w:pPr>
              <w:pStyle w:val="6"/>
              <w:spacing w:before="103" w:line="188" w:lineRule="auto"/>
              <w:ind w:left="223"/>
            </w:pPr>
            <w:r>
              <w:rPr>
                <w:spacing w:val="-1"/>
              </w:rPr>
              <w:t>4.222</w:t>
            </w:r>
          </w:p>
        </w:tc>
        <w:tc>
          <w:tcPr>
            <w:tcW w:w="914" w:type="dxa"/>
            <w:vAlign w:val="top"/>
          </w:tcPr>
          <w:p w14:paraId="6089FD1F">
            <w:pPr>
              <w:pStyle w:val="6"/>
              <w:spacing w:before="103" w:line="188" w:lineRule="auto"/>
              <w:ind w:left="223"/>
            </w:pPr>
            <w:r>
              <w:rPr>
                <w:spacing w:val="-1"/>
              </w:rPr>
              <w:t>4.624</w:t>
            </w:r>
          </w:p>
        </w:tc>
      </w:tr>
    </w:tbl>
    <w:p w14:paraId="3C480F8A">
      <w:pPr>
        <w:spacing w:before="234" w:line="360" w:lineRule="auto"/>
        <w:ind w:left="38" w:right="85" w:firstLine="580"/>
        <w:rPr>
          <w:rFonts w:ascii="宋体" w:hAnsi="宋体" w:eastAsia="宋体" w:cs="宋体"/>
          <w:sz w:val="24"/>
          <w:szCs w:val="24"/>
        </w:rPr>
      </w:pPr>
      <w:r>
        <w:rPr>
          <w:rFonts w:ascii="宋体" w:hAnsi="宋体" w:eastAsia="宋体" w:cs="宋体"/>
          <w:spacing w:val="1"/>
          <w:sz w:val="24"/>
          <w:szCs w:val="24"/>
        </w:rPr>
        <w:t>由于本项目开挖的土方含水率较高，只要及时运走，在装卸过程中产生的</w:t>
      </w:r>
      <w:r>
        <w:rPr>
          <w:rFonts w:ascii="宋体" w:hAnsi="宋体" w:eastAsia="宋体" w:cs="宋体"/>
          <w:spacing w:val="-2"/>
          <w:sz w:val="24"/>
          <w:szCs w:val="24"/>
        </w:rPr>
        <w:t>扬尘量极小。土方堆场只要做好防风措施，扬尘产生量也较小。</w:t>
      </w:r>
    </w:p>
    <w:p w14:paraId="7D2EC75B">
      <w:pPr>
        <w:spacing w:line="360" w:lineRule="auto"/>
        <w:ind w:left="38" w:right="83" w:firstLine="489"/>
        <w:jc w:val="both"/>
        <w:rPr>
          <w:rFonts w:ascii="宋体" w:hAnsi="宋体" w:eastAsia="宋体" w:cs="宋体"/>
          <w:sz w:val="24"/>
          <w:szCs w:val="24"/>
        </w:rPr>
      </w:pPr>
      <w:r>
        <w:rPr>
          <w:rFonts w:ascii="宋体" w:hAnsi="宋体" w:eastAsia="宋体" w:cs="宋体"/>
          <w:b/>
          <w:bCs/>
          <w:spacing w:val="-4"/>
          <w:sz w:val="24"/>
          <w:szCs w:val="24"/>
        </w:rPr>
        <w:t>管理措施</w:t>
      </w:r>
      <w:r>
        <w:rPr>
          <w:rFonts w:ascii="宋体" w:hAnsi="宋体" w:eastAsia="宋体" w:cs="宋体"/>
          <w:spacing w:val="-4"/>
          <w:sz w:val="24"/>
          <w:szCs w:val="24"/>
        </w:rPr>
        <w:t>：建设单位对建筑工程扬尘污染防治管理工作负首要责任，应当督</w:t>
      </w:r>
      <w:r>
        <w:rPr>
          <w:rFonts w:ascii="宋体" w:hAnsi="宋体" w:eastAsia="宋体" w:cs="宋体"/>
          <w:spacing w:val="-3"/>
          <w:sz w:val="24"/>
          <w:szCs w:val="24"/>
        </w:rPr>
        <w:t>促施工单位做好扬尘污染防治管理并加强检查；将扬尘防治目标及施工单位的扬尘防治责任明确写入承发包合同，并督促施工单位严格落实扬尘污染防治各项措</w:t>
      </w:r>
      <w:r>
        <w:rPr>
          <w:rFonts w:ascii="宋体" w:hAnsi="宋体" w:eastAsia="宋体" w:cs="宋体"/>
          <w:spacing w:val="-10"/>
          <w:sz w:val="24"/>
          <w:szCs w:val="24"/>
        </w:rPr>
        <w:t>施，施工工地现场设置降尘员岗位，建立降尘员岗位制度。降尘员佩戴统一标识，</w:t>
      </w:r>
      <w:r>
        <w:rPr>
          <w:rFonts w:ascii="宋体" w:hAnsi="宋体" w:eastAsia="宋体" w:cs="宋体"/>
          <w:spacing w:val="-2"/>
          <w:sz w:val="24"/>
          <w:szCs w:val="24"/>
        </w:rPr>
        <w:t>实行一岗双责，对工地扬尘治理工作负直接管理责任。</w:t>
      </w:r>
    </w:p>
    <w:p w14:paraId="4F6429A4">
      <w:pPr>
        <w:spacing w:line="220" w:lineRule="auto"/>
        <w:ind w:left="524"/>
        <w:rPr>
          <w:rFonts w:ascii="宋体" w:hAnsi="宋体" w:eastAsia="宋体" w:cs="宋体"/>
          <w:sz w:val="24"/>
          <w:szCs w:val="24"/>
        </w:rPr>
      </w:pPr>
      <w:r>
        <w:rPr>
          <w:rFonts w:ascii="宋体" w:hAnsi="宋体" w:eastAsia="宋体" w:cs="宋体"/>
          <w:b/>
          <w:bCs/>
          <w:spacing w:val="-13"/>
          <w:sz w:val="24"/>
          <w:szCs w:val="24"/>
        </w:rPr>
        <w:t>工程措施：</w:t>
      </w:r>
    </w:p>
    <w:p w14:paraId="1EDCB13C">
      <w:pPr>
        <w:spacing w:before="183" w:line="217" w:lineRule="auto"/>
        <w:ind w:left="518"/>
        <w:rPr>
          <w:rFonts w:ascii="宋体" w:hAnsi="宋体" w:eastAsia="宋体" w:cs="宋体"/>
          <w:sz w:val="24"/>
          <w:szCs w:val="24"/>
        </w:rPr>
      </w:pPr>
      <w:r>
        <w:rPr>
          <w:rFonts w:ascii="宋体" w:hAnsi="宋体" w:eastAsia="宋体" w:cs="宋体"/>
          <w:spacing w:val="-2"/>
          <w:sz w:val="24"/>
          <w:szCs w:val="24"/>
        </w:rPr>
        <w:t>①施工围挡：施工现场架设</w:t>
      </w:r>
      <w:r>
        <w:rPr>
          <w:rFonts w:ascii="Times New Roman" w:hAnsi="Times New Roman" w:eastAsia="Times New Roman" w:cs="Times New Roman"/>
          <w:spacing w:val="-2"/>
          <w:sz w:val="24"/>
          <w:szCs w:val="24"/>
        </w:rPr>
        <w:t>2 ~3m</w:t>
      </w:r>
      <w:r>
        <w:rPr>
          <w:rFonts w:ascii="宋体" w:hAnsi="宋体" w:eastAsia="宋体" w:cs="宋体"/>
          <w:spacing w:val="-2"/>
          <w:sz w:val="24"/>
          <w:szCs w:val="24"/>
        </w:rPr>
        <w:t>施工围挡，封闭施工现场。</w:t>
      </w:r>
    </w:p>
    <w:p w14:paraId="0BB47838">
      <w:pPr>
        <w:spacing w:before="185" w:line="360" w:lineRule="auto"/>
        <w:ind w:left="38" w:right="83" w:firstLine="479"/>
        <w:rPr>
          <w:rFonts w:ascii="宋体" w:hAnsi="宋体" w:eastAsia="宋体" w:cs="宋体"/>
          <w:sz w:val="24"/>
          <w:szCs w:val="24"/>
        </w:rPr>
      </w:pPr>
      <w:r>
        <w:rPr>
          <w:rFonts w:ascii="宋体" w:hAnsi="宋体" w:eastAsia="宋体" w:cs="宋体"/>
          <w:spacing w:val="-3"/>
          <w:sz w:val="24"/>
          <w:szCs w:val="24"/>
        </w:rPr>
        <w:t>②冲洗设施：施工现场进出口设置冲洗平台、沉淀池、排水沟等车</w:t>
      </w:r>
      <w:r>
        <w:rPr>
          <w:rFonts w:ascii="宋体" w:hAnsi="宋体" w:eastAsia="宋体" w:cs="宋体"/>
          <w:spacing w:val="-4"/>
          <w:sz w:val="24"/>
          <w:szCs w:val="24"/>
        </w:rPr>
        <w:t>辆冲洗设</w:t>
      </w:r>
      <w:r>
        <w:rPr>
          <w:rFonts w:ascii="宋体" w:hAnsi="宋体" w:eastAsia="宋体" w:cs="宋体"/>
          <w:spacing w:val="-3"/>
          <w:sz w:val="24"/>
          <w:szCs w:val="24"/>
        </w:rPr>
        <w:t>施，达到水资源重复循环利用。</w:t>
      </w:r>
    </w:p>
    <w:p w14:paraId="70E0F9DA">
      <w:pPr>
        <w:spacing w:before="3" w:line="352" w:lineRule="auto"/>
        <w:ind w:left="39" w:right="83" w:firstLine="478"/>
        <w:rPr>
          <w:rFonts w:ascii="宋体" w:hAnsi="宋体" w:eastAsia="宋体" w:cs="宋体"/>
          <w:sz w:val="24"/>
          <w:szCs w:val="24"/>
        </w:rPr>
      </w:pPr>
      <w:r>
        <w:rPr>
          <w:rFonts w:ascii="宋体" w:hAnsi="宋体" w:eastAsia="宋体" w:cs="宋体"/>
          <w:spacing w:val="-3"/>
          <w:sz w:val="24"/>
          <w:szCs w:val="24"/>
        </w:rPr>
        <w:t>③场地硬化：施工现场应建立洒水清扫保洁制度，设专人负责卫生</w:t>
      </w:r>
      <w:r>
        <w:rPr>
          <w:rFonts w:ascii="宋体" w:hAnsi="宋体" w:eastAsia="宋体" w:cs="宋体"/>
          <w:spacing w:val="-4"/>
          <w:sz w:val="24"/>
          <w:szCs w:val="24"/>
        </w:rPr>
        <w:t>保洁，并</w:t>
      </w:r>
      <w:r>
        <w:rPr>
          <w:rFonts w:ascii="宋体" w:hAnsi="宋体" w:eastAsia="宋体" w:cs="宋体"/>
          <w:sz w:val="24"/>
          <w:szCs w:val="24"/>
        </w:rPr>
        <w:t>做好保洁记录。每天对场区道路进行洒水清扫不少于</w:t>
      </w:r>
      <w:r>
        <w:rPr>
          <w:rFonts w:ascii="Times New Roman" w:hAnsi="Times New Roman" w:eastAsia="Times New Roman" w:cs="Times New Roman"/>
          <w:sz w:val="24"/>
          <w:szCs w:val="24"/>
        </w:rPr>
        <w:t>2</w:t>
      </w:r>
      <w:r>
        <w:rPr>
          <w:rFonts w:ascii="宋体" w:hAnsi="宋体" w:eastAsia="宋体" w:cs="宋体"/>
          <w:sz w:val="24"/>
          <w:szCs w:val="24"/>
        </w:rPr>
        <w:t>次，当遇到重污染天气，</w:t>
      </w:r>
      <w:r>
        <w:rPr>
          <w:rFonts w:ascii="宋体" w:hAnsi="宋体" w:eastAsia="宋体" w:cs="宋体"/>
          <w:spacing w:val="-2"/>
          <w:sz w:val="24"/>
          <w:szCs w:val="24"/>
        </w:rPr>
        <w:t>要相应增加洒水频次或施工现场配备洒水车</w:t>
      </w:r>
      <w:r>
        <w:rPr>
          <w:rFonts w:ascii="宋体" w:hAnsi="宋体" w:eastAsia="宋体" w:cs="宋体"/>
          <w:spacing w:val="-3"/>
          <w:sz w:val="24"/>
          <w:szCs w:val="24"/>
        </w:rPr>
        <w:t>辆。</w:t>
      </w:r>
    </w:p>
    <w:p w14:paraId="139BF5D1">
      <w:pPr>
        <w:spacing w:line="352" w:lineRule="auto"/>
        <w:rPr>
          <w:rFonts w:ascii="宋体" w:hAnsi="宋体" w:eastAsia="宋体" w:cs="宋体"/>
          <w:sz w:val="24"/>
          <w:szCs w:val="24"/>
        </w:rPr>
        <w:sectPr>
          <w:headerReference r:id="rId282" w:type="default"/>
          <w:footerReference r:id="rId283" w:type="default"/>
          <w:pgSz w:w="11905" w:h="16840"/>
          <w:pgMar w:top="1168" w:right="1714" w:bottom="1408" w:left="1770" w:header="828" w:footer="1244" w:gutter="0"/>
          <w:cols w:space="720" w:num="1"/>
        </w:sectPr>
      </w:pPr>
    </w:p>
    <w:p w14:paraId="07C08338">
      <w:pPr>
        <w:pStyle w:val="2"/>
        <w:spacing w:line="306" w:lineRule="auto"/>
      </w:pPr>
    </w:p>
    <w:p w14:paraId="5BF2B34E">
      <w:pPr>
        <w:spacing w:before="78" w:line="360" w:lineRule="auto"/>
        <w:ind w:left="43" w:right="66" w:firstLine="474"/>
        <w:rPr>
          <w:rFonts w:ascii="宋体" w:hAnsi="宋体" w:eastAsia="宋体" w:cs="宋体"/>
          <w:sz w:val="24"/>
          <w:szCs w:val="24"/>
        </w:rPr>
      </w:pPr>
      <w:r>
        <w:rPr>
          <w:rFonts w:ascii="宋体" w:hAnsi="宋体" w:eastAsia="宋体" w:cs="宋体"/>
          <w:spacing w:val="-3"/>
          <w:sz w:val="24"/>
          <w:szCs w:val="24"/>
        </w:rPr>
        <w:t>④覆盖绿化：施工现场建材应码放整齐，废弃建材建渣应及时清运</w:t>
      </w:r>
      <w:r>
        <w:rPr>
          <w:rFonts w:ascii="宋体" w:hAnsi="宋体" w:eastAsia="宋体" w:cs="宋体"/>
          <w:spacing w:val="-4"/>
          <w:sz w:val="24"/>
          <w:szCs w:val="24"/>
        </w:rPr>
        <w:t>，不能及</w:t>
      </w:r>
      <w:r>
        <w:rPr>
          <w:rFonts w:ascii="宋体" w:hAnsi="宋体" w:eastAsia="宋体" w:cs="宋体"/>
          <w:sz w:val="24"/>
          <w:szCs w:val="24"/>
        </w:rPr>
        <w:t>时清运的必须进行覆盖，施工现场非作业面裸土必须进行覆盖，超过</w:t>
      </w:r>
      <w:r>
        <w:rPr>
          <w:rFonts w:ascii="Times New Roman" w:hAnsi="Times New Roman" w:eastAsia="Times New Roman" w:cs="Times New Roman"/>
          <w:sz w:val="24"/>
          <w:szCs w:val="24"/>
        </w:rPr>
        <w:t>3</w:t>
      </w:r>
      <w:r>
        <w:rPr>
          <w:rFonts w:ascii="宋体" w:hAnsi="宋体" w:eastAsia="宋体" w:cs="宋体"/>
          <w:sz w:val="24"/>
          <w:szCs w:val="24"/>
        </w:rPr>
        <w:t>个月以上</w:t>
      </w:r>
      <w:r>
        <w:rPr>
          <w:rFonts w:ascii="宋体" w:hAnsi="宋体" w:eastAsia="宋体" w:cs="宋体"/>
          <w:spacing w:val="-4"/>
          <w:sz w:val="24"/>
          <w:szCs w:val="24"/>
        </w:rPr>
        <w:t>不使用的堆土应进行绿化。</w:t>
      </w:r>
    </w:p>
    <w:p w14:paraId="164A4838">
      <w:pPr>
        <w:spacing w:line="360" w:lineRule="auto"/>
        <w:ind w:left="39" w:firstLine="478"/>
        <w:rPr>
          <w:rFonts w:ascii="宋体" w:hAnsi="宋体" w:eastAsia="宋体" w:cs="宋体"/>
          <w:sz w:val="24"/>
          <w:szCs w:val="24"/>
        </w:rPr>
      </w:pPr>
      <w:r>
        <w:rPr>
          <w:rFonts w:ascii="宋体" w:hAnsi="宋体" w:eastAsia="宋体" w:cs="宋体"/>
          <w:spacing w:val="-8"/>
          <w:sz w:val="24"/>
          <w:szCs w:val="24"/>
        </w:rPr>
        <w:t>⑤车辆运输：施工运输车辆要防止物料遗撒造成扬尘污染。车辆驶离</w:t>
      </w:r>
      <w:r>
        <w:rPr>
          <w:rFonts w:ascii="宋体" w:hAnsi="宋体" w:eastAsia="宋体" w:cs="宋体"/>
          <w:spacing w:val="-9"/>
          <w:sz w:val="24"/>
          <w:szCs w:val="24"/>
        </w:rPr>
        <w:t>工地前，</w:t>
      </w:r>
      <w:r>
        <w:rPr>
          <w:rFonts w:ascii="宋体" w:hAnsi="宋体" w:eastAsia="宋体" w:cs="宋体"/>
          <w:spacing w:val="-3"/>
          <w:sz w:val="24"/>
          <w:szCs w:val="24"/>
        </w:rPr>
        <w:t>应落实专人进行冲洗管理，将轮胎和车身冲刷干净，确保出场车辆符合要求，同</w:t>
      </w:r>
      <w:r>
        <w:rPr>
          <w:rFonts w:ascii="宋体" w:hAnsi="宋体" w:eastAsia="宋体" w:cs="宋体"/>
          <w:spacing w:val="-5"/>
          <w:sz w:val="24"/>
          <w:szCs w:val="24"/>
        </w:rPr>
        <w:t>时严禁超载、超速。</w:t>
      </w:r>
    </w:p>
    <w:p w14:paraId="0AB96852">
      <w:pPr>
        <w:spacing w:before="1" w:line="218"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）施工机械燃油废气</w:t>
      </w:r>
    </w:p>
    <w:p w14:paraId="0B04AD2A">
      <w:pPr>
        <w:spacing w:before="183" w:line="360" w:lineRule="auto"/>
        <w:ind w:left="39" w:right="66" w:firstLine="479"/>
        <w:jc w:val="both"/>
        <w:rPr>
          <w:rFonts w:ascii="宋体" w:hAnsi="宋体" w:eastAsia="宋体" w:cs="宋体"/>
          <w:sz w:val="24"/>
          <w:szCs w:val="24"/>
        </w:rPr>
      </w:pPr>
      <w:r>
        <w:rPr>
          <w:rFonts w:ascii="宋体" w:hAnsi="宋体" w:eastAsia="宋体" w:cs="宋体"/>
          <w:spacing w:val="-5"/>
          <w:sz w:val="24"/>
          <w:szCs w:val="24"/>
        </w:rPr>
        <w:t>施工期间使用机动车运送原材料、设备和建筑机械等</w:t>
      </w:r>
      <w:r>
        <w:rPr>
          <w:rFonts w:ascii="宋体" w:hAnsi="宋体" w:eastAsia="宋体" w:cs="宋体"/>
          <w:spacing w:val="-6"/>
          <w:sz w:val="24"/>
          <w:szCs w:val="24"/>
        </w:rPr>
        <w:t>设备的运转，</w:t>
      </w:r>
      <w:r>
        <w:rPr>
          <w:rFonts w:ascii="宋体" w:hAnsi="宋体" w:eastAsia="宋体" w:cs="宋体"/>
          <w:spacing w:val="-48"/>
          <w:sz w:val="24"/>
          <w:szCs w:val="24"/>
        </w:rPr>
        <w:t xml:space="preserve"> </w:t>
      </w:r>
      <w:r>
        <w:rPr>
          <w:rFonts w:ascii="宋体" w:hAnsi="宋体" w:eastAsia="宋体" w:cs="宋体"/>
          <w:spacing w:val="-6"/>
          <w:sz w:val="24"/>
          <w:szCs w:val="24"/>
        </w:rPr>
        <w:t>均会排放</w:t>
      </w:r>
      <w:r>
        <w:rPr>
          <w:rFonts w:ascii="宋体" w:hAnsi="宋体" w:eastAsia="宋体" w:cs="宋体"/>
          <w:spacing w:val="-7"/>
          <w:sz w:val="24"/>
          <w:szCs w:val="24"/>
        </w:rPr>
        <w:t>一定量的</w:t>
      </w:r>
      <w:r>
        <w:rPr>
          <w:rFonts w:ascii="Times New Roman" w:hAnsi="Times New Roman" w:eastAsia="Times New Roman" w:cs="Times New Roman"/>
          <w:spacing w:val="-7"/>
          <w:sz w:val="24"/>
          <w:szCs w:val="24"/>
        </w:rPr>
        <w:t>CO</w:t>
      </w:r>
      <w:r>
        <w:rPr>
          <w:rFonts w:ascii="宋体" w:hAnsi="宋体" w:eastAsia="宋体" w:cs="宋体"/>
          <w:spacing w:val="-7"/>
          <w:sz w:val="24"/>
          <w:szCs w:val="24"/>
        </w:rPr>
        <w:t>、</w:t>
      </w:r>
      <w:r>
        <w:rPr>
          <w:rFonts w:ascii="Times New Roman" w:hAnsi="Times New Roman" w:eastAsia="Times New Roman" w:cs="Times New Roman"/>
          <w:spacing w:val="-7"/>
          <w:sz w:val="24"/>
          <w:szCs w:val="24"/>
        </w:rPr>
        <w:t>NOx</w:t>
      </w:r>
      <w:r>
        <w:rPr>
          <w:rFonts w:ascii="宋体" w:hAnsi="宋体" w:eastAsia="宋体" w:cs="宋体"/>
          <w:spacing w:val="-7"/>
          <w:sz w:val="24"/>
          <w:szCs w:val="24"/>
        </w:rPr>
        <w:t>以及未完全燃烧的</w:t>
      </w:r>
      <w:r>
        <w:rPr>
          <w:rFonts w:ascii="Times New Roman" w:hAnsi="Times New Roman" w:eastAsia="Times New Roman" w:cs="Times New Roman"/>
          <w:spacing w:val="-7"/>
          <w:sz w:val="24"/>
          <w:szCs w:val="24"/>
        </w:rPr>
        <w:t>HC</w:t>
      </w:r>
      <w:r>
        <w:rPr>
          <w:rFonts w:ascii="宋体" w:hAnsi="宋体" w:eastAsia="宋体" w:cs="宋体"/>
          <w:spacing w:val="-7"/>
          <w:sz w:val="24"/>
          <w:szCs w:val="24"/>
        </w:rPr>
        <w:t>等，其特点是</w:t>
      </w:r>
      <w:r>
        <w:rPr>
          <w:rFonts w:ascii="宋体" w:hAnsi="宋体" w:eastAsia="宋体" w:cs="宋体"/>
          <w:spacing w:val="-8"/>
          <w:sz w:val="24"/>
          <w:szCs w:val="24"/>
        </w:rPr>
        <w:t>排放量小，属间断性排放，</w:t>
      </w:r>
      <w:r>
        <w:rPr>
          <w:rFonts w:ascii="宋体" w:hAnsi="宋体" w:eastAsia="宋体" w:cs="宋体"/>
          <w:spacing w:val="-3"/>
          <w:sz w:val="24"/>
          <w:szCs w:val="24"/>
        </w:rPr>
        <w:t>加之项目施工场地扩散条件良好，这些废气可得到有效的稀释扩散，能够达标排放，因此其对环境的影响甚微。</w:t>
      </w:r>
    </w:p>
    <w:p w14:paraId="5871287E">
      <w:pPr>
        <w:spacing w:line="219"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4</w:t>
      </w:r>
      <w:r>
        <w:rPr>
          <w:rFonts w:ascii="宋体" w:hAnsi="宋体" w:eastAsia="宋体" w:cs="宋体"/>
          <w:b/>
          <w:bCs/>
          <w:spacing w:val="-6"/>
          <w:sz w:val="24"/>
          <w:szCs w:val="24"/>
        </w:rPr>
        <w:t>）汽车尾气</w:t>
      </w:r>
    </w:p>
    <w:p w14:paraId="00FBA4E1">
      <w:pPr>
        <w:spacing w:before="182" w:line="360" w:lineRule="auto"/>
        <w:ind w:left="38" w:right="66" w:firstLine="480"/>
        <w:jc w:val="both"/>
        <w:rPr>
          <w:rFonts w:ascii="宋体" w:hAnsi="宋体" w:eastAsia="宋体" w:cs="宋体"/>
          <w:sz w:val="24"/>
          <w:szCs w:val="24"/>
        </w:rPr>
      </w:pPr>
      <w:r>
        <w:rPr>
          <w:rFonts w:ascii="宋体" w:hAnsi="宋体" w:eastAsia="宋体" w:cs="宋体"/>
          <w:spacing w:val="-3"/>
          <w:sz w:val="24"/>
          <w:szCs w:val="24"/>
        </w:rPr>
        <w:t>施工期间运输车辆会有尾气排放，其特点是排放量小，属于间断性</w:t>
      </w:r>
      <w:r>
        <w:rPr>
          <w:rFonts w:ascii="宋体" w:hAnsi="宋体" w:eastAsia="宋体" w:cs="宋体"/>
          <w:spacing w:val="-4"/>
          <w:sz w:val="24"/>
          <w:szCs w:val="24"/>
        </w:rPr>
        <w:t>排放，项</w:t>
      </w:r>
      <w:r>
        <w:rPr>
          <w:rFonts w:ascii="宋体" w:hAnsi="宋体" w:eastAsia="宋体" w:cs="宋体"/>
          <w:spacing w:val="-3"/>
          <w:sz w:val="24"/>
          <w:szCs w:val="24"/>
        </w:rPr>
        <w:t>目施工场地扩散条件良好，这些废气可得到有效地稀释扩散，能够达标排放。施工单位应对运输车辆加强保养，选取优质燃料，禁止运输车辆超载行驶；并做好施工现场的交通组织，避免因施工造成的交通阻塞，减少运输车辆怠速产生的废气排放，进一步降低其对外界环境的影响。</w:t>
      </w:r>
    </w:p>
    <w:p w14:paraId="3AAB8212">
      <w:pPr>
        <w:spacing w:line="219"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5</w:t>
      </w:r>
      <w:r>
        <w:rPr>
          <w:rFonts w:ascii="宋体" w:hAnsi="宋体" w:eastAsia="宋体" w:cs="宋体"/>
          <w:b/>
          <w:bCs/>
          <w:spacing w:val="-6"/>
          <w:sz w:val="24"/>
          <w:szCs w:val="24"/>
        </w:rPr>
        <w:t>）装修废气</w:t>
      </w:r>
    </w:p>
    <w:p w14:paraId="1E7521EF">
      <w:pPr>
        <w:spacing w:before="183" w:line="360" w:lineRule="auto"/>
        <w:ind w:left="39" w:right="66" w:firstLine="482"/>
        <w:jc w:val="both"/>
        <w:rPr>
          <w:rFonts w:ascii="宋体" w:hAnsi="宋体" w:eastAsia="宋体" w:cs="宋体"/>
          <w:sz w:val="24"/>
          <w:szCs w:val="24"/>
        </w:rPr>
      </w:pPr>
      <w:r>
        <w:rPr>
          <w:rFonts w:ascii="宋体" w:hAnsi="宋体" w:eastAsia="宋体" w:cs="宋体"/>
          <w:spacing w:val="-3"/>
          <w:sz w:val="24"/>
          <w:szCs w:val="24"/>
        </w:rPr>
        <w:t>建筑装饰装修过程中，装修材料和涂料的应使用污染相对</w:t>
      </w:r>
      <w:r>
        <w:rPr>
          <w:rFonts w:ascii="宋体" w:hAnsi="宋体" w:eastAsia="宋体" w:cs="宋体"/>
          <w:spacing w:val="-4"/>
          <w:sz w:val="24"/>
          <w:szCs w:val="24"/>
        </w:rPr>
        <w:t>较小的环保型涂料</w:t>
      </w:r>
      <w:r>
        <w:rPr>
          <w:rFonts w:ascii="宋体" w:hAnsi="宋体" w:eastAsia="宋体" w:cs="宋体"/>
          <w:spacing w:val="-6"/>
          <w:sz w:val="24"/>
          <w:szCs w:val="24"/>
        </w:rPr>
        <w:t>和装修材料，以减少材料中有害物质的散发量。加强室内通风换</w:t>
      </w:r>
      <w:r>
        <w:rPr>
          <w:rFonts w:ascii="宋体" w:hAnsi="宋体" w:eastAsia="宋体" w:cs="宋体"/>
          <w:spacing w:val="-7"/>
          <w:sz w:val="24"/>
          <w:szCs w:val="24"/>
        </w:rPr>
        <w:t>气， 项目所在场</w:t>
      </w:r>
      <w:r>
        <w:rPr>
          <w:rFonts w:ascii="宋体" w:hAnsi="宋体" w:eastAsia="宋体" w:cs="宋体"/>
          <w:spacing w:val="-2"/>
          <w:sz w:val="24"/>
          <w:szCs w:val="24"/>
        </w:rPr>
        <w:t>地扩散条件较好，装修施工产生的废气可实现达标排放。</w:t>
      </w:r>
    </w:p>
    <w:p w14:paraId="40DCB853">
      <w:pPr>
        <w:spacing w:before="1" w:line="218" w:lineRule="auto"/>
        <w:ind w:left="522"/>
        <w:rPr>
          <w:rFonts w:ascii="宋体" w:hAnsi="宋体" w:eastAsia="宋体" w:cs="宋体"/>
          <w:sz w:val="24"/>
          <w:szCs w:val="24"/>
        </w:rPr>
      </w:pPr>
      <w:r>
        <w:rPr>
          <w:rFonts w:ascii="宋体" w:hAnsi="宋体" w:eastAsia="宋体" w:cs="宋体"/>
          <w:spacing w:val="-3"/>
          <w:sz w:val="24"/>
          <w:szCs w:val="24"/>
        </w:rPr>
        <w:t>综上，本项目施工期废气对环境的影响较小。</w:t>
      </w:r>
    </w:p>
    <w:p w14:paraId="363B8058">
      <w:pPr>
        <w:pStyle w:val="2"/>
        <w:spacing w:line="251" w:lineRule="auto"/>
      </w:pPr>
    </w:p>
    <w:p w14:paraId="687136BC">
      <w:pPr>
        <w:spacing w:before="98"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4.1.2  </w:t>
      </w:r>
      <w:r>
        <w:rPr>
          <w:rFonts w:ascii="宋体" w:hAnsi="宋体" w:eastAsia="宋体" w:cs="宋体"/>
          <w:b/>
          <w:bCs/>
          <w:spacing w:val="-2"/>
          <w:sz w:val="30"/>
          <w:szCs w:val="30"/>
        </w:rPr>
        <w:t>施工期地表水环境影响分析</w:t>
      </w:r>
    </w:p>
    <w:p w14:paraId="01C0F1D7">
      <w:pPr>
        <w:pStyle w:val="2"/>
        <w:spacing w:line="258" w:lineRule="auto"/>
      </w:pPr>
    </w:p>
    <w:p w14:paraId="28E752C9">
      <w:pPr>
        <w:spacing w:before="79" w:line="220" w:lineRule="auto"/>
        <w:ind w:left="518"/>
        <w:rPr>
          <w:rFonts w:ascii="宋体" w:hAnsi="宋体" w:eastAsia="宋体" w:cs="宋体"/>
          <w:sz w:val="24"/>
          <w:szCs w:val="24"/>
        </w:rPr>
      </w:pPr>
      <w:r>
        <w:rPr>
          <w:rFonts w:ascii="宋体" w:hAnsi="宋体" w:eastAsia="宋体" w:cs="宋体"/>
          <w:spacing w:val="-2"/>
          <w:sz w:val="24"/>
          <w:szCs w:val="24"/>
        </w:rPr>
        <w:t>施工期的废水主要来自于施工人员的生活污水和施工废水。</w:t>
      </w:r>
    </w:p>
    <w:p w14:paraId="3035DAE7">
      <w:pPr>
        <w:spacing w:before="183" w:line="217" w:lineRule="auto"/>
        <w:ind w:left="518"/>
        <w:rPr>
          <w:rFonts w:ascii="宋体" w:hAnsi="宋体" w:eastAsia="宋体" w:cs="宋体"/>
          <w:sz w:val="24"/>
          <w:szCs w:val="24"/>
        </w:rPr>
      </w:pPr>
      <w:r>
        <w:rPr>
          <w:rFonts w:ascii="宋体" w:hAnsi="宋体" w:eastAsia="宋体" w:cs="宋体"/>
          <w:spacing w:val="-2"/>
          <w:sz w:val="24"/>
          <w:szCs w:val="24"/>
        </w:rPr>
        <w:t>①生活污水</w:t>
      </w:r>
    </w:p>
    <w:p w14:paraId="0F2A40FD">
      <w:pPr>
        <w:spacing w:before="188" w:line="340" w:lineRule="auto"/>
        <w:ind w:left="27" w:right="79" w:firstLine="491"/>
        <w:rPr>
          <w:rFonts w:ascii="宋体" w:hAnsi="宋体" w:eastAsia="宋体" w:cs="宋体"/>
          <w:sz w:val="24"/>
          <w:szCs w:val="24"/>
        </w:rPr>
      </w:pPr>
      <w:r>
        <w:rPr>
          <w:rFonts w:ascii="宋体" w:hAnsi="宋体" w:eastAsia="宋体" w:cs="宋体"/>
          <w:spacing w:val="-4"/>
          <w:sz w:val="24"/>
          <w:szCs w:val="24"/>
        </w:rPr>
        <w:t>施工期间施工人员</w:t>
      </w:r>
      <w:r>
        <w:rPr>
          <w:rFonts w:ascii="Times New Roman" w:hAnsi="Times New Roman" w:eastAsia="Times New Roman" w:cs="Times New Roman"/>
          <w:spacing w:val="-4"/>
          <w:sz w:val="24"/>
          <w:szCs w:val="24"/>
        </w:rPr>
        <w:t>50</w:t>
      </w:r>
      <w:r>
        <w:rPr>
          <w:rFonts w:ascii="宋体" w:hAnsi="宋体" w:eastAsia="宋体" w:cs="宋体"/>
          <w:spacing w:val="-4"/>
          <w:sz w:val="24"/>
          <w:szCs w:val="24"/>
        </w:rPr>
        <w:t>人，根据《四川省用水定额》（川府函</w:t>
      </w:r>
      <w:r>
        <w:rPr>
          <w:rFonts w:ascii="宋体" w:hAnsi="宋体" w:eastAsia="宋体" w:cs="宋体"/>
          <w:spacing w:val="-70"/>
          <w:sz w:val="24"/>
          <w:szCs w:val="24"/>
        </w:rPr>
        <w:t xml:space="preserve"> </w:t>
      </w:r>
      <w:r>
        <w:rPr>
          <w:rFonts w:ascii="Times New Roman" w:hAnsi="Times New Roman" w:eastAsia="Times New Roman" w:cs="Times New Roman"/>
          <w:spacing w:val="-4"/>
          <w:sz w:val="24"/>
          <w:szCs w:val="24"/>
        </w:rPr>
        <w:t>[</w:t>
      </w:r>
      <w:r>
        <w:fldChar w:fldCharType="begin"/>
      </w:r>
      <w:r>
        <w:instrText xml:space="preserve"> HYPERLINK \l "bookmark162" </w:instrText>
      </w:r>
      <w:r>
        <w:fldChar w:fldCharType="separate"/>
      </w:r>
      <w:r>
        <w:rPr>
          <w:rFonts w:ascii="Times New Roman" w:hAnsi="Times New Roman" w:eastAsia="Times New Roman" w:cs="Times New Roman"/>
          <w:spacing w:val="-4"/>
          <w:sz w:val="24"/>
          <w:szCs w:val="24"/>
        </w:rPr>
        <w:t>2021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]8</w:t>
      </w:r>
      <w:r>
        <w:rPr>
          <w:rFonts w:ascii="宋体" w:hAnsi="宋体" w:eastAsia="宋体" w:cs="宋体"/>
          <w:spacing w:val="-5"/>
          <w:sz w:val="24"/>
          <w:szCs w:val="24"/>
        </w:rPr>
        <w:t>号</w:t>
      </w:r>
      <w:r>
        <w:rPr>
          <w:rFonts w:ascii="宋体" w:hAnsi="宋体" w:eastAsia="宋体" w:cs="宋体"/>
          <w:spacing w:val="-30"/>
          <w:sz w:val="24"/>
          <w:szCs w:val="24"/>
        </w:rPr>
        <w:t>），</w:t>
      </w:r>
      <w:r>
        <w:rPr>
          <w:rFonts w:ascii="宋体" w:hAnsi="宋体" w:eastAsia="宋体" w:cs="宋体"/>
          <w:spacing w:val="-5"/>
          <w:sz w:val="24"/>
          <w:szCs w:val="24"/>
        </w:rPr>
        <w:t>结</w:t>
      </w:r>
      <w:r>
        <w:rPr>
          <w:rFonts w:ascii="宋体" w:hAnsi="宋体" w:eastAsia="宋体" w:cs="宋体"/>
          <w:spacing w:val="-1"/>
          <w:sz w:val="24"/>
          <w:szCs w:val="24"/>
        </w:rPr>
        <w:t>合项目实际情况，用水定额按</w:t>
      </w:r>
      <w:r>
        <w:rPr>
          <w:rFonts w:ascii="Times New Roman" w:hAnsi="Times New Roman" w:eastAsia="Times New Roman" w:cs="Times New Roman"/>
          <w:spacing w:val="-1"/>
          <w:sz w:val="24"/>
          <w:szCs w:val="24"/>
        </w:rPr>
        <w:t>50L/d.</w:t>
      </w:r>
      <w:r>
        <w:rPr>
          <w:rFonts w:ascii="宋体" w:hAnsi="宋体" w:eastAsia="宋体" w:cs="宋体"/>
          <w:spacing w:val="-1"/>
          <w:sz w:val="24"/>
          <w:szCs w:val="24"/>
        </w:rPr>
        <w:t>人计，则用水量为</w:t>
      </w:r>
      <w:r>
        <w:rPr>
          <w:rFonts w:ascii="Times New Roman" w:hAnsi="Times New Roman" w:eastAsia="Times New Roman" w:cs="Times New Roman"/>
          <w:spacing w:val="-1"/>
          <w:sz w:val="24"/>
          <w:szCs w:val="24"/>
        </w:rPr>
        <w:t>2.5m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，污水</w:t>
      </w:r>
      <w:r>
        <w:rPr>
          <w:rFonts w:ascii="宋体" w:hAnsi="宋体" w:eastAsia="宋体" w:cs="宋体"/>
          <w:spacing w:val="-2"/>
          <w:sz w:val="24"/>
          <w:szCs w:val="24"/>
        </w:rPr>
        <w:t>产生量按用</w:t>
      </w:r>
      <w:r>
        <w:rPr>
          <w:rFonts w:ascii="宋体" w:hAnsi="宋体" w:eastAsia="宋体" w:cs="宋体"/>
          <w:spacing w:val="-4"/>
          <w:sz w:val="24"/>
          <w:szCs w:val="24"/>
        </w:rPr>
        <w:t>水量的</w:t>
      </w:r>
      <w:r>
        <w:rPr>
          <w:rFonts w:ascii="Times New Roman" w:hAnsi="Times New Roman" w:eastAsia="Times New Roman" w:cs="Times New Roman"/>
          <w:spacing w:val="-4"/>
          <w:sz w:val="24"/>
          <w:szCs w:val="24"/>
        </w:rPr>
        <w:t>80%</w:t>
      </w:r>
      <w:r>
        <w:rPr>
          <w:rFonts w:ascii="宋体" w:hAnsi="宋体" w:eastAsia="宋体" w:cs="宋体"/>
          <w:spacing w:val="-4"/>
          <w:sz w:val="24"/>
          <w:szCs w:val="24"/>
        </w:rPr>
        <w:t>计，则生活污水产生量为</w:t>
      </w:r>
      <w:r>
        <w:rPr>
          <w:rFonts w:ascii="Times New Roman" w:hAnsi="Times New Roman" w:eastAsia="Times New Roman" w:cs="Times New Roman"/>
          <w:spacing w:val="-4"/>
          <w:sz w:val="24"/>
          <w:szCs w:val="24"/>
        </w:rPr>
        <w:t>2.0m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，主要污染物</w:t>
      </w:r>
      <w:r>
        <w:rPr>
          <w:rFonts w:ascii="宋体" w:hAnsi="宋体" w:eastAsia="宋体" w:cs="宋体"/>
          <w:spacing w:val="-5"/>
          <w:sz w:val="24"/>
          <w:szCs w:val="24"/>
        </w:rPr>
        <w:t>为</w:t>
      </w:r>
      <w:r>
        <w:rPr>
          <w:rFonts w:ascii="Times New Roman" w:hAnsi="Times New Roman" w:eastAsia="Times New Roman" w:cs="Times New Roman"/>
          <w:spacing w:val="-5"/>
          <w:sz w:val="24"/>
          <w:szCs w:val="24"/>
        </w:rPr>
        <w:t>CODcr</w:t>
      </w:r>
      <w:r>
        <w:rPr>
          <w:rFonts w:ascii="宋体" w:hAnsi="宋体" w:eastAsia="宋体" w:cs="宋体"/>
          <w:spacing w:val="-5"/>
          <w:sz w:val="24"/>
          <w:szCs w:val="24"/>
        </w:rPr>
        <w:t>、</w:t>
      </w:r>
      <w:r>
        <w:rPr>
          <w:rFonts w:ascii="Times New Roman" w:hAnsi="Times New Roman" w:eastAsia="Times New Roman" w:cs="Times New Roman"/>
          <w:spacing w:val="-5"/>
          <w:sz w:val="24"/>
          <w:szCs w:val="24"/>
        </w:rPr>
        <w:t>SS</w:t>
      </w:r>
      <w:r>
        <w:rPr>
          <w:rFonts w:ascii="宋体" w:hAnsi="宋体" w:eastAsia="宋体" w:cs="宋体"/>
          <w:spacing w:val="-5"/>
          <w:sz w:val="24"/>
          <w:szCs w:val="24"/>
        </w:rPr>
        <w:t>、</w:t>
      </w:r>
      <w:r>
        <w:rPr>
          <w:rFonts w:ascii="Times New Roman" w:hAnsi="Times New Roman" w:eastAsia="Times New Roman" w:cs="Times New Roman"/>
          <w:spacing w:val="-5"/>
          <w:sz w:val="24"/>
          <w:szCs w:val="24"/>
        </w:rPr>
        <w:t>BOD</w:t>
      </w:r>
      <w:r>
        <w:rPr>
          <w:rFonts w:ascii="Times New Roman" w:hAnsi="Times New Roman" w:eastAsia="Times New Roman" w:cs="Times New Roman"/>
          <w:spacing w:val="-5"/>
          <w:position w:val="-3"/>
          <w:sz w:val="15"/>
          <w:szCs w:val="15"/>
        </w:rPr>
        <w:t>5</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等。</w:t>
      </w:r>
    </w:p>
    <w:p w14:paraId="65968138">
      <w:pPr>
        <w:spacing w:line="340" w:lineRule="auto"/>
        <w:rPr>
          <w:rFonts w:ascii="宋体" w:hAnsi="宋体" w:eastAsia="宋体" w:cs="宋体"/>
          <w:sz w:val="24"/>
          <w:szCs w:val="24"/>
        </w:rPr>
        <w:sectPr>
          <w:headerReference r:id="rId284" w:type="default"/>
          <w:footerReference r:id="rId285" w:type="default"/>
          <w:pgSz w:w="11905" w:h="16840"/>
          <w:pgMar w:top="1168" w:right="1731" w:bottom="1409" w:left="1770" w:header="828" w:footer="1244" w:gutter="0"/>
          <w:cols w:space="720" w:num="1"/>
        </w:sectPr>
      </w:pPr>
    </w:p>
    <w:p w14:paraId="78A82D16">
      <w:pPr>
        <w:pStyle w:val="2"/>
        <w:spacing w:line="306" w:lineRule="auto"/>
      </w:pPr>
    </w:p>
    <w:p w14:paraId="0C8D4A19">
      <w:pPr>
        <w:spacing w:before="78" w:line="360" w:lineRule="auto"/>
        <w:ind w:left="43" w:firstLine="481"/>
        <w:rPr>
          <w:rFonts w:ascii="宋体" w:hAnsi="宋体" w:eastAsia="宋体" w:cs="宋体"/>
          <w:sz w:val="24"/>
          <w:szCs w:val="24"/>
        </w:rPr>
      </w:pPr>
      <w:r>
        <w:rPr>
          <w:rFonts w:ascii="宋体" w:hAnsi="宋体" w:eastAsia="宋体" w:cs="宋体"/>
          <w:spacing w:val="-8"/>
          <w:sz w:val="24"/>
          <w:szCs w:val="24"/>
        </w:rPr>
        <w:t>治理措施：施工人员不在现场食宿，生活污水依托</w:t>
      </w:r>
      <w:r>
        <w:rPr>
          <w:rFonts w:ascii="宋体" w:hAnsi="宋体" w:eastAsia="宋体" w:cs="宋体"/>
          <w:spacing w:val="-9"/>
          <w:sz w:val="24"/>
          <w:szCs w:val="24"/>
        </w:rPr>
        <w:t>农户厕所收集后用作农肥，</w:t>
      </w:r>
      <w:bookmarkStart w:id="40" w:name="bookmark163"/>
      <w:bookmarkEnd w:id="40"/>
      <w:r>
        <w:rPr>
          <w:rFonts w:ascii="宋体" w:hAnsi="宋体" w:eastAsia="宋体" w:cs="宋体"/>
          <w:spacing w:val="-10"/>
          <w:sz w:val="24"/>
          <w:szCs w:val="24"/>
        </w:rPr>
        <w:t>不外排。</w:t>
      </w:r>
    </w:p>
    <w:p w14:paraId="3ADB601B">
      <w:pPr>
        <w:spacing w:line="217" w:lineRule="auto"/>
        <w:ind w:left="517"/>
        <w:rPr>
          <w:rFonts w:ascii="宋体" w:hAnsi="宋体" w:eastAsia="宋体" w:cs="宋体"/>
          <w:sz w:val="24"/>
          <w:szCs w:val="24"/>
        </w:rPr>
      </w:pPr>
      <w:r>
        <w:rPr>
          <w:rFonts w:ascii="宋体" w:hAnsi="宋体" w:eastAsia="宋体" w:cs="宋体"/>
          <w:spacing w:val="-2"/>
          <w:sz w:val="24"/>
          <w:szCs w:val="24"/>
        </w:rPr>
        <w:t>②施工废水</w:t>
      </w:r>
    </w:p>
    <w:p w14:paraId="27EAFA9F">
      <w:pPr>
        <w:spacing w:before="185" w:line="360" w:lineRule="auto"/>
        <w:ind w:left="38" w:right="66" w:firstLine="481"/>
        <w:rPr>
          <w:rFonts w:ascii="宋体" w:hAnsi="宋体" w:eastAsia="宋体" w:cs="宋体"/>
          <w:sz w:val="24"/>
          <w:szCs w:val="24"/>
        </w:rPr>
      </w:pPr>
      <w:r>
        <w:rPr>
          <w:rFonts w:ascii="宋体" w:hAnsi="宋体" w:eastAsia="宋体" w:cs="宋体"/>
          <w:spacing w:val="-3"/>
          <w:sz w:val="24"/>
          <w:szCs w:val="24"/>
        </w:rPr>
        <w:t>本项目施工废水主要来自于施工机械及车辆的冲洗废水，该类</w:t>
      </w:r>
      <w:r>
        <w:rPr>
          <w:rFonts w:ascii="宋体" w:hAnsi="宋体" w:eastAsia="宋体" w:cs="宋体"/>
          <w:spacing w:val="-4"/>
          <w:sz w:val="24"/>
          <w:szCs w:val="24"/>
        </w:rPr>
        <w:t>废水含大量泥</w:t>
      </w:r>
      <w:r>
        <w:rPr>
          <w:rFonts w:ascii="宋体" w:hAnsi="宋体" w:eastAsia="宋体" w:cs="宋体"/>
          <w:sz w:val="24"/>
          <w:szCs w:val="24"/>
        </w:rPr>
        <w:t>砂，一般</w:t>
      </w:r>
      <w:r>
        <w:rPr>
          <w:rFonts w:ascii="Times New Roman" w:hAnsi="Times New Roman" w:eastAsia="Times New Roman" w:cs="Times New Roman"/>
          <w:sz w:val="24"/>
          <w:szCs w:val="24"/>
        </w:rPr>
        <w:t>pH</w:t>
      </w:r>
      <w:r>
        <w:rPr>
          <w:rFonts w:ascii="宋体" w:hAnsi="宋体" w:eastAsia="宋体" w:cs="宋体"/>
          <w:sz w:val="24"/>
          <w:szCs w:val="24"/>
        </w:rPr>
        <w:t>值呈弱碱性，废水中污染物为</w:t>
      </w:r>
      <w:r>
        <w:rPr>
          <w:rFonts w:ascii="Times New Roman" w:hAnsi="Times New Roman" w:eastAsia="Times New Roman" w:cs="Times New Roman"/>
          <w:sz w:val="24"/>
          <w:szCs w:val="24"/>
        </w:rPr>
        <w:t>SS</w:t>
      </w:r>
      <w:r>
        <w:rPr>
          <w:rFonts w:ascii="宋体" w:hAnsi="宋体" w:eastAsia="宋体" w:cs="宋体"/>
          <w:sz w:val="24"/>
          <w:szCs w:val="24"/>
        </w:rPr>
        <w:t>，浓</w:t>
      </w:r>
      <w:r>
        <w:rPr>
          <w:rFonts w:ascii="宋体" w:hAnsi="宋体" w:eastAsia="宋体" w:cs="宋体"/>
          <w:spacing w:val="-1"/>
          <w:sz w:val="24"/>
          <w:szCs w:val="24"/>
        </w:rPr>
        <w:t>度约</w:t>
      </w:r>
      <w:r>
        <w:rPr>
          <w:rFonts w:ascii="Times New Roman" w:hAnsi="Times New Roman" w:eastAsia="Times New Roman" w:cs="Times New Roman"/>
          <w:spacing w:val="-1"/>
          <w:sz w:val="24"/>
          <w:szCs w:val="24"/>
        </w:rPr>
        <w:t>1000mg/L</w:t>
      </w:r>
      <w:r>
        <w:rPr>
          <w:rFonts w:ascii="宋体" w:hAnsi="宋体" w:eastAsia="宋体" w:cs="宋体"/>
          <w:spacing w:val="-1"/>
          <w:sz w:val="24"/>
          <w:szCs w:val="24"/>
        </w:rPr>
        <w:t>。</w:t>
      </w:r>
    </w:p>
    <w:p w14:paraId="226A9EF0">
      <w:pPr>
        <w:spacing w:line="360" w:lineRule="auto"/>
        <w:ind w:left="41" w:right="66" w:firstLine="483"/>
        <w:jc w:val="both"/>
        <w:rPr>
          <w:rFonts w:ascii="宋体" w:hAnsi="宋体" w:eastAsia="宋体" w:cs="宋体"/>
          <w:sz w:val="24"/>
          <w:szCs w:val="24"/>
        </w:rPr>
      </w:pPr>
      <w:r>
        <w:rPr>
          <w:rFonts w:ascii="宋体" w:hAnsi="宋体" w:eastAsia="宋体" w:cs="宋体"/>
          <w:spacing w:val="-3"/>
          <w:sz w:val="24"/>
          <w:szCs w:val="24"/>
        </w:rPr>
        <w:t>治理措施：针对项目施工生产废水特点，评价要求</w:t>
      </w:r>
      <w:r>
        <w:rPr>
          <w:rFonts w:ascii="宋体" w:hAnsi="宋体" w:eastAsia="宋体" w:cs="宋体"/>
          <w:spacing w:val="-4"/>
          <w:sz w:val="24"/>
          <w:szCs w:val="24"/>
        </w:rPr>
        <w:t>施工单位在施工场地修建</w:t>
      </w:r>
      <w:r>
        <w:rPr>
          <w:rFonts w:ascii="宋体" w:hAnsi="宋体" w:eastAsia="宋体" w:cs="宋体"/>
          <w:spacing w:val="-3"/>
          <w:sz w:val="24"/>
          <w:szCs w:val="24"/>
        </w:rPr>
        <w:t>临时沉淀池对施工废水进行收集沉淀处理，经沉淀处理后的施工废水回用于施工车辆冲洗及场地洒水抑尘，严禁外排。</w:t>
      </w:r>
    </w:p>
    <w:p w14:paraId="756F9CFA">
      <w:pPr>
        <w:spacing w:before="1" w:line="361" w:lineRule="auto"/>
        <w:ind w:left="38" w:right="66" w:firstLine="482"/>
        <w:jc w:val="both"/>
        <w:rPr>
          <w:rFonts w:ascii="宋体" w:hAnsi="宋体" w:eastAsia="宋体" w:cs="宋体"/>
          <w:sz w:val="24"/>
          <w:szCs w:val="24"/>
        </w:rPr>
      </w:pPr>
      <w:r>
        <w:rPr>
          <w:rFonts w:ascii="宋体" w:hAnsi="宋体" w:eastAsia="宋体" w:cs="宋体"/>
          <w:spacing w:val="-3"/>
          <w:sz w:val="24"/>
          <w:szCs w:val="24"/>
        </w:rPr>
        <w:t>经采取上述措施后，项目施工期废水不会对周边地表水环境</w:t>
      </w:r>
      <w:r>
        <w:rPr>
          <w:rFonts w:ascii="宋体" w:hAnsi="宋体" w:eastAsia="宋体" w:cs="宋体"/>
          <w:spacing w:val="-4"/>
          <w:sz w:val="24"/>
          <w:szCs w:val="24"/>
        </w:rPr>
        <w:t>造成影响，环评</w:t>
      </w:r>
      <w:r>
        <w:rPr>
          <w:rFonts w:ascii="宋体" w:hAnsi="宋体" w:eastAsia="宋体" w:cs="宋体"/>
          <w:spacing w:val="-3"/>
          <w:sz w:val="24"/>
          <w:szCs w:val="24"/>
        </w:rPr>
        <w:t>要求项目施工期严格做好废水防治措施，严禁将生活污水、施工废水排入附近地</w:t>
      </w:r>
      <w:r>
        <w:rPr>
          <w:rFonts w:ascii="宋体" w:hAnsi="宋体" w:eastAsia="宋体" w:cs="宋体"/>
          <w:spacing w:val="-9"/>
          <w:sz w:val="24"/>
          <w:szCs w:val="24"/>
        </w:rPr>
        <w:t>表水体。</w:t>
      </w:r>
    </w:p>
    <w:p w14:paraId="5266FAA4">
      <w:pPr>
        <w:spacing w:before="162"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4.1.3  </w:t>
      </w:r>
      <w:r>
        <w:rPr>
          <w:rFonts w:ascii="宋体" w:hAnsi="宋体" w:eastAsia="宋体" w:cs="宋体"/>
          <w:b/>
          <w:bCs/>
          <w:spacing w:val="-2"/>
          <w:sz w:val="30"/>
          <w:szCs w:val="30"/>
        </w:rPr>
        <w:t>施工期声环境影响评价</w:t>
      </w:r>
    </w:p>
    <w:p w14:paraId="46C4168E">
      <w:pPr>
        <w:pStyle w:val="2"/>
        <w:spacing w:line="262" w:lineRule="auto"/>
      </w:pPr>
    </w:p>
    <w:p w14:paraId="4D7FD0B1">
      <w:pPr>
        <w:spacing w:before="78"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）源强分析</w:t>
      </w:r>
    </w:p>
    <w:p w14:paraId="2328042C">
      <w:pPr>
        <w:spacing w:before="182" w:line="219" w:lineRule="auto"/>
        <w:ind w:left="518"/>
        <w:rPr>
          <w:rFonts w:ascii="宋体" w:hAnsi="宋体" w:eastAsia="宋体" w:cs="宋体"/>
          <w:sz w:val="24"/>
          <w:szCs w:val="24"/>
        </w:rPr>
      </w:pPr>
      <w:r>
        <w:rPr>
          <w:rFonts w:ascii="宋体" w:hAnsi="宋体" w:eastAsia="宋体" w:cs="宋体"/>
          <w:spacing w:val="-2"/>
          <w:sz w:val="24"/>
          <w:szCs w:val="24"/>
        </w:rPr>
        <w:t>施工期的噪声主要来源于施工现场的各类机械设备及运输车辆噪声。</w:t>
      </w:r>
    </w:p>
    <w:p w14:paraId="10B47996">
      <w:pPr>
        <w:spacing w:before="196" w:line="222" w:lineRule="auto"/>
        <w:ind w:left="295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4.1-4  </w:t>
      </w:r>
      <w:r>
        <w:rPr>
          <w:rFonts w:ascii="黑体" w:hAnsi="黑体" w:eastAsia="黑体" w:cs="黑体"/>
          <w:spacing w:val="-1"/>
          <w:sz w:val="21"/>
          <w:szCs w:val="21"/>
        </w:rPr>
        <w:t>交通运输车辆噪声</w:t>
      </w:r>
    </w:p>
    <w:p w14:paraId="4FE1B066">
      <w:pPr>
        <w:spacing w:line="88" w:lineRule="exact"/>
      </w:pPr>
    </w:p>
    <w:tbl>
      <w:tblPr>
        <w:tblStyle w:val="5"/>
        <w:tblW w:w="8317"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6"/>
        <w:gridCol w:w="2650"/>
        <w:gridCol w:w="2116"/>
        <w:gridCol w:w="1775"/>
      </w:tblGrid>
      <w:tr w14:paraId="58C9E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76" w:type="dxa"/>
            <w:vAlign w:val="top"/>
          </w:tcPr>
          <w:p w14:paraId="2BFCA78E">
            <w:pPr>
              <w:spacing w:before="68" w:line="221" w:lineRule="auto"/>
              <w:ind w:left="457"/>
              <w:rPr>
                <w:rFonts w:ascii="宋体" w:hAnsi="宋体" w:eastAsia="宋体" w:cs="宋体"/>
                <w:sz w:val="21"/>
                <w:szCs w:val="21"/>
              </w:rPr>
            </w:pPr>
            <w:r>
              <w:rPr>
                <w:rFonts w:ascii="宋体" w:hAnsi="宋体" w:eastAsia="宋体" w:cs="宋体"/>
                <w:spacing w:val="4"/>
                <w:sz w:val="21"/>
                <w:szCs w:val="21"/>
              </w:rPr>
              <w:t>施工阶段</w:t>
            </w:r>
          </w:p>
        </w:tc>
        <w:tc>
          <w:tcPr>
            <w:tcW w:w="2650" w:type="dxa"/>
            <w:vAlign w:val="top"/>
          </w:tcPr>
          <w:p w14:paraId="0F7B356F">
            <w:pPr>
              <w:spacing w:before="68" w:line="220" w:lineRule="auto"/>
              <w:ind w:left="893"/>
              <w:rPr>
                <w:rFonts w:ascii="宋体" w:hAnsi="宋体" w:eastAsia="宋体" w:cs="宋体"/>
                <w:sz w:val="21"/>
                <w:szCs w:val="21"/>
              </w:rPr>
            </w:pPr>
            <w:r>
              <w:rPr>
                <w:rFonts w:ascii="宋体" w:hAnsi="宋体" w:eastAsia="宋体" w:cs="宋体"/>
                <w:spacing w:val="3"/>
                <w:sz w:val="21"/>
                <w:szCs w:val="21"/>
              </w:rPr>
              <w:t>运输内容</w:t>
            </w:r>
          </w:p>
        </w:tc>
        <w:tc>
          <w:tcPr>
            <w:tcW w:w="2116" w:type="dxa"/>
            <w:vAlign w:val="top"/>
          </w:tcPr>
          <w:p w14:paraId="74BEDA72">
            <w:pPr>
              <w:spacing w:before="68" w:line="220" w:lineRule="auto"/>
              <w:ind w:left="630"/>
              <w:rPr>
                <w:rFonts w:ascii="宋体" w:hAnsi="宋体" w:eastAsia="宋体" w:cs="宋体"/>
                <w:sz w:val="21"/>
                <w:szCs w:val="21"/>
              </w:rPr>
            </w:pPr>
            <w:r>
              <w:rPr>
                <w:rFonts w:ascii="宋体" w:hAnsi="宋体" w:eastAsia="宋体" w:cs="宋体"/>
                <w:spacing w:val="3"/>
                <w:sz w:val="21"/>
                <w:szCs w:val="21"/>
              </w:rPr>
              <w:t>车辆类型</w:t>
            </w:r>
          </w:p>
        </w:tc>
        <w:tc>
          <w:tcPr>
            <w:tcW w:w="1775" w:type="dxa"/>
            <w:vAlign w:val="top"/>
          </w:tcPr>
          <w:p w14:paraId="4921B095">
            <w:pPr>
              <w:pStyle w:val="6"/>
              <w:spacing w:before="69" w:line="212" w:lineRule="auto"/>
              <w:ind w:left="108"/>
            </w:pPr>
            <w:r>
              <w:rPr>
                <w:rFonts w:ascii="宋体" w:hAnsi="宋体" w:eastAsia="宋体" w:cs="宋体"/>
                <w:spacing w:val="4"/>
              </w:rPr>
              <w:t>声源强度</w:t>
            </w:r>
            <w:r>
              <w:rPr>
                <w:spacing w:val="4"/>
              </w:rPr>
              <w:t>[</w:t>
            </w:r>
            <w:r>
              <w:t>dB</w:t>
            </w:r>
            <w:r>
              <w:rPr>
                <w:spacing w:val="4"/>
              </w:rPr>
              <w:t>(A)]</w:t>
            </w:r>
          </w:p>
        </w:tc>
      </w:tr>
      <w:tr w14:paraId="36352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76" w:type="dxa"/>
            <w:vAlign w:val="top"/>
          </w:tcPr>
          <w:p w14:paraId="2E374B1B">
            <w:pPr>
              <w:spacing w:before="66" w:line="221" w:lineRule="auto"/>
              <w:ind w:left="349"/>
              <w:rPr>
                <w:rFonts w:ascii="宋体" w:hAnsi="宋体" w:eastAsia="宋体" w:cs="宋体"/>
                <w:sz w:val="21"/>
                <w:szCs w:val="21"/>
              </w:rPr>
            </w:pPr>
            <w:r>
              <w:rPr>
                <w:rFonts w:ascii="宋体" w:hAnsi="宋体" w:eastAsia="宋体" w:cs="宋体"/>
                <w:spacing w:val="4"/>
                <w:sz w:val="21"/>
                <w:szCs w:val="21"/>
              </w:rPr>
              <w:t>土石方阶段</w:t>
            </w:r>
          </w:p>
        </w:tc>
        <w:tc>
          <w:tcPr>
            <w:tcW w:w="2650" w:type="dxa"/>
            <w:vAlign w:val="top"/>
          </w:tcPr>
          <w:p w14:paraId="576D272A">
            <w:pPr>
              <w:spacing w:before="65" w:line="220" w:lineRule="auto"/>
              <w:ind w:left="894"/>
              <w:rPr>
                <w:rFonts w:ascii="宋体" w:hAnsi="宋体" w:eastAsia="宋体" w:cs="宋体"/>
                <w:sz w:val="21"/>
                <w:szCs w:val="21"/>
              </w:rPr>
            </w:pPr>
            <w:r>
              <w:rPr>
                <w:rFonts w:ascii="宋体" w:hAnsi="宋体" w:eastAsia="宋体" w:cs="宋体"/>
                <w:spacing w:val="3"/>
                <w:sz w:val="21"/>
                <w:szCs w:val="21"/>
              </w:rPr>
              <w:t>土石方等</w:t>
            </w:r>
          </w:p>
        </w:tc>
        <w:tc>
          <w:tcPr>
            <w:tcW w:w="2116" w:type="dxa"/>
            <w:vAlign w:val="top"/>
          </w:tcPr>
          <w:p w14:paraId="18F18905">
            <w:pPr>
              <w:spacing w:before="65" w:line="220" w:lineRule="auto"/>
              <w:ind w:left="522"/>
              <w:rPr>
                <w:rFonts w:ascii="宋体" w:hAnsi="宋体" w:eastAsia="宋体" w:cs="宋体"/>
                <w:sz w:val="21"/>
                <w:szCs w:val="21"/>
              </w:rPr>
            </w:pPr>
            <w:r>
              <w:rPr>
                <w:rFonts w:ascii="宋体" w:hAnsi="宋体" w:eastAsia="宋体" w:cs="宋体"/>
                <w:spacing w:val="4"/>
                <w:sz w:val="21"/>
                <w:szCs w:val="21"/>
              </w:rPr>
              <w:t>大型载重车</w:t>
            </w:r>
          </w:p>
        </w:tc>
        <w:tc>
          <w:tcPr>
            <w:tcW w:w="1775" w:type="dxa"/>
            <w:vAlign w:val="top"/>
          </w:tcPr>
          <w:p w14:paraId="0CD6C711">
            <w:pPr>
              <w:pStyle w:val="6"/>
              <w:spacing w:before="66" w:line="234" w:lineRule="auto"/>
              <w:ind w:left="569"/>
            </w:pPr>
            <w:r>
              <w:rPr>
                <w:spacing w:val="1"/>
              </w:rPr>
              <w:t>84</w:t>
            </w:r>
            <w:r>
              <w:rPr>
                <w:rFonts w:ascii="宋体" w:hAnsi="宋体" w:eastAsia="宋体" w:cs="宋体"/>
                <w:spacing w:val="1"/>
              </w:rPr>
              <w:t>～</w:t>
            </w:r>
            <w:r>
              <w:rPr>
                <w:spacing w:val="1"/>
              </w:rPr>
              <w:t>89</w:t>
            </w:r>
          </w:p>
        </w:tc>
      </w:tr>
      <w:tr w14:paraId="63C31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76" w:type="dxa"/>
            <w:vAlign w:val="top"/>
          </w:tcPr>
          <w:p w14:paraId="615FAF4D">
            <w:pPr>
              <w:spacing w:before="67" w:line="219" w:lineRule="auto"/>
              <w:ind w:left="130"/>
              <w:rPr>
                <w:rFonts w:ascii="宋体" w:hAnsi="宋体" w:eastAsia="宋体" w:cs="宋体"/>
                <w:sz w:val="21"/>
                <w:szCs w:val="21"/>
              </w:rPr>
            </w:pPr>
            <w:r>
              <w:rPr>
                <w:rFonts w:ascii="宋体" w:hAnsi="宋体" w:eastAsia="宋体" w:cs="宋体"/>
                <w:spacing w:val="5"/>
                <w:sz w:val="21"/>
                <w:szCs w:val="21"/>
              </w:rPr>
              <w:t>底板与结构阶段</w:t>
            </w:r>
          </w:p>
        </w:tc>
        <w:tc>
          <w:tcPr>
            <w:tcW w:w="2650" w:type="dxa"/>
            <w:vAlign w:val="top"/>
          </w:tcPr>
          <w:p w14:paraId="3A6FA6B8">
            <w:pPr>
              <w:spacing w:before="67" w:line="220" w:lineRule="auto"/>
              <w:ind w:left="565"/>
              <w:rPr>
                <w:rFonts w:ascii="宋体" w:hAnsi="宋体" w:eastAsia="宋体" w:cs="宋体"/>
                <w:sz w:val="21"/>
                <w:szCs w:val="21"/>
              </w:rPr>
            </w:pPr>
            <w:r>
              <w:rPr>
                <w:rFonts w:ascii="宋体" w:hAnsi="宋体" w:eastAsia="宋体" w:cs="宋体"/>
                <w:spacing w:val="5"/>
                <w:sz w:val="21"/>
                <w:szCs w:val="21"/>
              </w:rPr>
              <w:t>钢筋、混凝土等</w:t>
            </w:r>
          </w:p>
        </w:tc>
        <w:tc>
          <w:tcPr>
            <w:tcW w:w="2116" w:type="dxa"/>
            <w:vAlign w:val="top"/>
          </w:tcPr>
          <w:p w14:paraId="2CC69526">
            <w:pPr>
              <w:spacing w:before="67" w:line="220" w:lineRule="auto"/>
              <w:ind w:left="739"/>
              <w:rPr>
                <w:rFonts w:ascii="宋体" w:hAnsi="宋体" w:eastAsia="宋体" w:cs="宋体"/>
                <w:sz w:val="21"/>
                <w:szCs w:val="21"/>
              </w:rPr>
            </w:pPr>
            <w:r>
              <w:rPr>
                <w:rFonts w:ascii="宋体" w:hAnsi="宋体" w:eastAsia="宋体" w:cs="宋体"/>
                <w:spacing w:val="2"/>
                <w:sz w:val="21"/>
                <w:szCs w:val="21"/>
              </w:rPr>
              <w:t>载重车</w:t>
            </w:r>
          </w:p>
        </w:tc>
        <w:tc>
          <w:tcPr>
            <w:tcW w:w="1775" w:type="dxa"/>
            <w:vAlign w:val="top"/>
          </w:tcPr>
          <w:p w14:paraId="7412F7EE">
            <w:pPr>
              <w:pStyle w:val="6"/>
              <w:spacing w:before="67" w:line="234" w:lineRule="auto"/>
              <w:ind w:left="569"/>
            </w:pPr>
            <w:r>
              <w:rPr>
                <w:spacing w:val="1"/>
              </w:rPr>
              <w:t>80</w:t>
            </w:r>
            <w:r>
              <w:rPr>
                <w:rFonts w:ascii="宋体" w:hAnsi="宋体" w:eastAsia="宋体" w:cs="宋体"/>
                <w:spacing w:val="1"/>
              </w:rPr>
              <w:t>～</w:t>
            </w:r>
            <w:r>
              <w:rPr>
                <w:spacing w:val="1"/>
              </w:rPr>
              <w:t>85</w:t>
            </w:r>
          </w:p>
        </w:tc>
      </w:tr>
      <w:tr w14:paraId="23856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76" w:type="dxa"/>
            <w:vAlign w:val="top"/>
          </w:tcPr>
          <w:p w14:paraId="79806CBE">
            <w:pPr>
              <w:spacing w:before="68" w:line="220" w:lineRule="auto"/>
              <w:ind w:left="239"/>
              <w:rPr>
                <w:rFonts w:ascii="宋体" w:hAnsi="宋体" w:eastAsia="宋体" w:cs="宋体"/>
                <w:sz w:val="21"/>
                <w:szCs w:val="21"/>
              </w:rPr>
            </w:pPr>
            <w:r>
              <w:rPr>
                <w:rFonts w:ascii="宋体" w:hAnsi="宋体" w:eastAsia="宋体" w:cs="宋体"/>
                <w:spacing w:val="5"/>
                <w:sz w:val="21"/>
                <w:szCs w:val="21"/>
              </w:rPr>
              <w:t>装修安装阶段</w:t>
            </w:r>
          </w:p>
        </w:tc>
        <w:tc>
          <w:tcPr>
            <w:tcW w:w="2650" w:type="dxa"/>
            <w:vAlign w:val="top"/>
          </w:tcPr>
          <w:p w14:paraId="1E0A331E">
            <w:pPr>
              <w:spacing w:before="68" w:line="219" w:lineRule="auto"/>
              <w:ind w:left="134"/>
              <w:rPr>
                <w:rFonts w:ascii="宋体" w:hAnsi="宋体" w:eastAsia="宋体" w:cs="宋体"/>
                <w:sz w:val="21"/>
                <w:szCs w:val="21"/>
              </w:rPr>
            </w:pPr>
            <w:r>
              <w:rPr>
                <w:rFonts w:ascii="宋体" w:hAnsi="宋体" w:eastAsia="宋体" w:cs="宋体"/>
                <w:spacing w:val="6"/>
                <w:sz w:val="21"/>
                <w:szCs w:val="21"/>
              </w:rPr>
              <w:t>各种装修材料机必备设备</w:t>
            </w:r>
          </w:p>
        </w:tc>
        <w:tc>
          <w:tcPr>
            <w:tcW w:w="2116" w:type="dxa"/>
            <w:vAlign w:val="top"/>
          </w:tcPr>
          <w:p w14:paraId="0F6E1FBF">
            <w:pPr>
              <w:spacing w:before="68" w:line="220" w:lineRule="auto"/>
              <w:ind w:left="411"/>
              <w:rPr>
                <w:rFonts w:ascii="宋体" w:hAnsi="宋体" w:eastAsia="宋体" w:cs="宋体"/>
                <w:sz w:val="21"/>
                <w:szCs w:val="21"/>
              </w:rPr>
            </w:pPr>
            <w:r>
              <w:rPr>
                <w:rFonts w:ascii="宋体" w:hAnsi="宋体" w:eastAsia="宋体" w:cs="宋体"/>
                <w:spacing w:val="5"/>
                <w:sz w:val="21"/>
                <w:szCs w:val="21"/>
              </w:rPr>
              <w:t>轻型载重卡车</w:t>
            </w:r>
          </w:p>
        </w:tc>
        <w:tc>
          <w:tcPr>
            <w:tcW w:w="1775" w:type="dxa"/>
            <w:vAlign w:val="top"/>
          </w:tcPr>
          <w:p w14:paraId="24E8E0C9">
            <w:pPr>
              <w:pStyle w:val="6"/>
              <w:spacing w:before="68" w:line="236" w:lineRule="auto"/>
              <w:ind w:left="564"/>
            </w:pPr>
            <w:r>
              <w:rPr>
                <w:spacing w:val="2"/>
              </w:rPr>
              <w:t>75</w:t>
            </w:r>
            <w:r>
              <w:rPr>
                <w:rFonts w:ascii="宋体" w:hAnsi="宋体" w:eastAsia="宋体" w:cs="宋体"/>
                <w:spacing w:val="2"/>
              </w:rPr>
              <w:t>～</w:t>
            </w:r>
            <w:r>
              <w:rPr>
                <w:spacing w:val="2"/>
              </w:rPr>
              <w:t>80</w:t>
            </w:r>
          </w:p>
        </w:tc>
      </w:tr>
    </w:tbl>
    <w:p w14:paraId="6174EA65">
      <w:pPr>
        <w:spacing w:before="248"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4.1-5  </w:t>
      </w:r>
      <w:r>
        <w:rPr>
          <w:rFonts w:ascii="黑体" w:hAnsi="黑体" w:eastAsia="黑体" w:cs="黑体"/>
          <w:spacing w:val="-1"/>
          <w:sz w:val="21"/>
          <w:szCs w:val="21"/>
        </w:rPr>
        <w:t>施工期噪声声源强度表</w:t>
      </w:r>
    </w:p>
    <w:p w14:paraId="59F7FD9E">
      <w:pPr>
        <w:spacing w:line="89" w:lineRule="exact"/>
      </w:pPr>
    </w:p>
    <w:tbl>
      <w:tblPr>
        <w:tblStyle w:val="5"/>
        <w:tblW w:w="8318"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7"/>
        <w:gridCol w:w="3172"/>
        <w:gridCol w:w="2819"/>
      </w:tblGrid>
      <w:tr w14:paraId="686FD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327" w:type="dxa"/>
            <w:vAlign w:val="top"/>
          </w:tcPr>
          <w:p w14:paraId="169317C3">
            <w:pPr>
              <w:spacing w:before="68" w:line="221" w:lineRule="auto"/>
              <w:ind w:left="748"/>
              <w:rPr>
                <w:rFonts w:ascii="宋体" w:hAnsi="宋体" w:eastAsia="宋体" w:cs="宋体"/>
                <w:sz w:val="21"/>
                <w:szCs w:val="21"/>
              </w:rPr>
            </w:pPr>
            <w:r>
              <w:rPr>
                <w:rFonts w:ascii="宋体" w:hAnsi="宋体" w:eastAsia="宋体" w:cs="宋体"/>
                <w:spacing w:val="-2"/>
                <w:sz w:val="21"/>
                <w:szCs w:val="21"/>
              </w:rPr>
              <w:t>施工阶段</w:t>
            </w:r>
          </w:p>
        </w:tc>
        <w:tc>
          <w:tcPr>
            <w:tcW w:w="3172" w:type="dxa"/>
            <w:vAlign w:val="top"/>
          </w:tcPr>
          <w:p w14:paraId="48C19037">
            <w:pPr>
              <w:spacing w:before="69" w:line="220" w:lineRule="auto"/>
              <w:ind w:left="1380"/>
              <w:rPr>
                <w:rFonts w:ascii="宋体" w:hAnsi="宋体" w:eastAsia="宋体" w:cs="宋体"/>
                <w:sz w:val="21"/>
                <w:szCs w:val="21"/>
              </w:rPr>
            </w:pPr>
            <w:r>
              <w:rPr>
                <w:rFonts w:ascii="宋体" w:hAnsi="宋体" w:eastAsia="宋体" w:cs="宋体"/>
                <w:spacing w:val="-4"/>
                <w:sz w:val="21"/>
                <w:szCs w:val="21"/>
              </w:rPr>
              <w:t>声源</w:t>
            </w:r>
          </w:p>
        </w:tc>
        <w:tc>
          <w:tcPr>
            <w:tcW w:w="2819" w:type="dxa"/>
            <w:vAlign w:val="top"/>
          </w:tcPr>
          <w:p w14:paraId="3CB4CEBD">
            <w:pPr>
              <w:pStyle w:val="6"/>
              <w:spacing w:before="69" w:line="212" w:lineRule="auto"/>
              <w:ind w:left="653"/>
            </w:pPr>
            <w:r>
              <w:rPr>
                <w:rFonts w:ascii="宋体" w:hAnsi="宋体" w:eastAsia="宋体" w:cs="宋体"/>
                <w:spacing w:val="-2"/>
              </w:rPr>
              <w:t>声源强度</w:t>
            </w:r>
            <w:r>
              <w:rPr>
                <w:spacing w:val="-2"/>
              </w:rPr>
              <w:t>[dB(A)]</w:t>
            </w:r>
          </w:p>
        </w:tc>
      </w:tr>
      <w:tr w14:paraId="0E084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27" w:type="dxa"/>
            <w:vMerge w:val="restart"/>
            <w:tcBorders>
              <w:bottom w:val="nil"/>
            </w:tcBorders>
            <w:vAlign w:val="top"/>
          </w:tcPr>
          <w:p w14:paraId="1E74C1E0">
            <w:pPr>
              <w:spacing w:line="259" w:lineRule="auto"/>
              <w:rPr>
                <w:rFonts w:ascii="Arial"/>
                <w:sz w:val="21"/>
              </w:rPr>
            </w:pPr>
          </w:p>
          <w:p w14:paraId="3B6280E3">
            <w:pPr>
              <w:spacing w:line="259" w:lineRule="auto"/>
              <w:rPr>
                <w:rFonts w:ascii="Arial"/>
                <w:sz w:val="21"/>
              </w:rPr>
            </w:pPr>
          </w:p>
          <w:p w14:paraId="6AF7E779">
            <w:pPr>
              <w:spacing w:before="68" w:line="221" w:lineRule="auto"/>
              <w:ind w:left="644"/>
              <w:rPr>
                <w:rFonts w:ascii="宋体" w:hAnsi="宋体" w:eastAsia="宋体" w:cs="宋体"/>
                <w:sz w:val="21"/>
                <w:szCs w:val="21"/>
              </w:rPr>
            </w:pPr>
            <w:r>
              <w:rPr>
                <w:rFonts w:ascii="宋体" w:hAnsi="宋体" w:eastAsia="宋体" w:cs="宋体"/>
                <w:spacing w:val="-2"/>
                <w:sz w:val="21"/>
                <w:szCs w:val="21"/>
              </w:rPr>
              <w:t>土石方阶段</w:t>
            </w:r>
          </w:p>
        </w:tc>
        <w:tc>
          <w:tcPr>
            <w:tcW w:w="3172" w:type="dxa"/>
            <w:vAlign w:val="top"/>
          </w:tcPr>
          <w:p w14:paraId="09801CC3">
            <w:pPr>
              <w:spacing w:before="65" w:line="219" w:lineRule="auto"/>
              <w:ind w:left="1269"/>
              <w:rPr>
                <w:rFonts w:ascii="宋体" w:hAnsi="宋体" w:eastAsia="宋体" w:cs="宋体"/>
                <w:sz w:val="21"/>
                <w:szCs w:val="21"/>
              </w:rPr>
            </w:pPr>
            <w:r>
              <w:rPr>
                <w:rFonts w:ascii="宋体" w:hAnsi="宋体" w:eastAsia="宋体" w:cs="宋体"/>
                <w:spacing w:val="-2"/>
                <w:sz w:val="21"/>
                <w:szCs w:val="21"/>
              </w:rPr>
              <w:t>挖土机</w:t>
            </w:r>
          </w:p>
        </w:tc>
        <w:tc>
          <w:tcPr>
            <w:tcW w:w="2819" w:type="dxa"/>
            <w:vAlign w:val="top"/>
          </w:tcPr>
          <w:p w14:paraId="4DCD8950">
            <w:pPr>
              <w:pStyle w:val="6"/>
              <w:spacing w:before="65" w:line="236" w:lineRule="auto"/>
              <w:ind w:left="1092"/>
            </w:pPr>
            <w:r>
              <w:rPr>
                <w:spacing w:val="-2"/>
              </w:rPr>
              <w:t>78</w:t>
            </w:r>
            <w:r>
              <w:rPr>
                <w:rFonts w:ascii="宋体" w:hAnsi="宋体" w:eastAsia="宋体" w:cs="宋体"/>
                <w:spacing w:val="-2"/>
              </w:rPr>
              <w:t>～</w:t>
            </w:r>
            <w:r>
              <w:rPr>
                <w:spacing w:val="-2"/>
              </w:rPr>
              <w:t>96</w:t>
            </w:r>
          </w:p>
        </w:tc>
      </w:tr>
      <w:tr w14:paraId="31FCE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27" w:type="dxa"/>
            <w:vMerge w:val="continue"/>
            <w:tcBorders>
              <w:top w:val="nil"/>
              <w:bottom w:val="nil"/>
            </w:tcBorders>
            <w:vAlign w:val="top"/>
          </w:tcPr>
          <w:p w14:paraId="5B0896DA">
            <w:pPr>
              <w:rPr>
                <w:rFonts w:ascii="Arial"/>
                <w:sz w:val="21"/>
              </w:rPr>
            </w:pPr>
          </w:p>
        </w:tc>
        <w:tc>
          <w:tcPr>
            <w:tcW w:w="3172" w:type="dxa"/>
            <w:vAlign w:val="top"/>
          </w:tcPr>
          <w:p w14:paraId="7073EAFA">
            <w:pPr>
              <w:spacing w:before="65" w:line="219" w:lineRule="auto"/>
              <w:ind w:left="1271"/>
              <w:rPr>
                <w:rFonts w:ascii="宋体" w:hAnsi="宋体" w:eastAsia="宋体" w:cs="宋体"/>
                <w:sz w:val="21"/>
                <w:szCs w:val="21"/>
              </w:rPr>
            </w:pPr>
            <w:r>
              <w:rPr>
                <w:rFonts w:ascii="宋体" w:hAnsi="宋体" w:eastAsia="宋体" w:cs="宋体"/>
                <w:spacing w:val="-3"/>
                <w:sz w:val="21"/>
                <w:szCs w:val="21"/>
              </w:rPr>
              <w:t>冲击机</w:t>
            </w:r>
          </w:p>
        </w:tc>
        <w:tc>
          <w:tcPr>
            <w:tcW w:w="2819" w:type="dxa"/>
            <w:vAlign w:val="top"/>
          </w:tcPr>
          <w:p w14:paraId="68867FA6">
            <w:pPr>
              <w:pStyle w:val="6"/>
              <w:spacing w:before="102" w:line="188" w:lineRule="auto"/>
              <w:ind w:left="1303"/>
            </w:pPr>
            <w:r>
              <w:rPr>
                <w:spacing w:val="-4"/>
              </w:rPr>
              <w:t>95</w:t>
            </w:r>
          </w:p>
        </w:tc>
      </w:tr>
      <w:tr w14:paraId="29F53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27" w:type="dxa"/>
            <w:vMerge w:val="continue"/>
            <w:tcBorders>
              <w:top w:val="nil"/>
              <w:bottom w:val="nil"/>
            </w:tcBorders>
            <w:vAlign w:val="top"/>
          </w:tcPr>
          <w:p w14:paraId="31EE42C0">
            <w:pPr>
              <w:rPr>
                <w:rFonts w:ascii="Arial"/>
                <w:sz w:val="21"/>
              </w:rPr>
            </w:pPr>
          </w:p>
        </w:tc>
        <w:tc>
          <w:tcPr>
            <w:tcW w:w="3172" w:type="dxa"/>
            <w:vAlign w:val="top"/>
          </w:tcPr>
          <w:p w14:paraId="4D2962AA">
            <w:pPr>
              <w:spacing w:before="65" w:line="219" w:lineRule="auto"/>
              <w:ind w:left="1276"/>
              <w:rPr>
                <w:rFonts w:ascii="宋体" w:hAnsi="宋体" w:eastAsia="宋体" w:cs="宋体"/>
                <w:sz w:val="21"/>
                <w:szCs w:val="21"/>
              </w:rPr>
            </w:pPr>
            <w:r>
              <w:rPr>
                <w:rFonts w:ascii="宋体" w:hAnsi="宋体" w:eastAsia="宋体" w:cs="宋体"/>
                <w:spacing w:val="-4"/>
                <w:sz w:val="21"/>
                <w:szCs w:val="21"/>
              </w:rPr>
              <w:t>空压机</w:t>
            </w:r>
          </w:p>
        </w:tc>
        <w:tc>
          <w:tcPr>
            <w:tcW w:w="2819" w:type="dxa"/>
            <w:vAlign w:val="top"/>
          </w:tcPr>
          <w:p w14:paraId="318285B5">
            <w:pPr>
              <w:pStyle w:val="6"/>
              <w:spacing w:before="65" w:line="236" w:lineRule="auto"/>
              <w:ind w:left="1092"/>
            </w:pPr>
            <w:r>
              <w:rPr>
                <w:spacing w:val="-2"/>
              </w:rPr>
              <w:t>75</w:t>
            </w:r>
            <w:r>
              <w:rPr>
                <w:rFonts w:ascii="宋体" w:hAnsi="宋体" w:eastAsia="宋体" w:cs="宋体"/>
                <w:spacing w:val="-2"/>
              </w:rPr>
              <w:t>～</w:t>
            </w:r>
            <w:r>
              <w:rPr>
                <w:spacing w:val="-2"/>
              </w:rPr>
              <w:t>85</w:t>
            </w:r>
          </w:p>
        </w:tc>
      </w:tr>
      <w:tr w14:paraId="29440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27" w:type="dxa"/>
            <w:vMerge w:val="continue"/>
            <w:tcBorders>
              <w:top w:val="nil"/>
            </w:tcBorders>
            <w:vAlign w:val="top"/>
          </w:tcPr>
          <w:p w14:paraId="7AA64A02">
            <w:pPr>
              <w:rPr>
                <w:rFonts w:ascii="Arial"/>
                <w:sz w:val="21"/>
              </w:rPr>
            </w:pPr>
          </w:p>
        </w:tc>
        <w:tc>
          <w:tcPr>
            <w:tcW w:w="3172" w:type="dxa"/>
            <w:vAlign w:val="top"/>
          </w:tcPr>
          <w:p w14:paraId="2435AEE2">
            <w:pPr>
              <w:spacing w:before="66" w:line="219" w:lineRule="auto"/>
              <w:ind w:left="1271"/>
              <w:rPr>
                <w:rFonts w:ascii="宋体" w:hAnsi="宋体" w:eastAsia="宋体" w:cs="宋体"/>
                <w:sz w:val="21"/>
                <w:szCs w:val="21"/>
              </w:rPr>
            </w:pPr>
            <w:r>
              <w:rPr>
                <w:rFonts w:ascii="宋体" w:hAnsi="宋体" w:eastAsia="宋体" w:cs="宋体"/>
                <w:spacing w:val="-3"/>
                <w:sz w:val="21"/>
                <w:szCs w:val="21"/>
              </w:rPr>
              <w:t>卷扬机</w:t>
            </w:r>
          </w:p>
        </w:tc>
        <w:tc>
          <w:tcPr>
            <w:tcW w:w="2819" w:type="dxa"/>
            <w:vAlign w:val="top"/>
          </w:tcPr>
          <w:p w14:paraId="7FC915F3">
            <w:pPr>
              <w:pStyle w:val="6"/>
              <w:spacing w:before="66" w:line="235" w:lineRule="auto"/>
              <w:ind w:left="1040"/>
            </w:pPr>
            <w:r>
              <w:rPr>
                <w:spacing w:val="-2"/>
              </w:rPr>
              <w:t>90</w:t>
            </w:r>
            <w:r>
              <w:rPr>
                <w:rFonts w:ascii="宋体" w:hAnsi="宋体" w:eastAsia="宋体" w:cs="宋体"/>
                <w:spacing w:val="-2"/>
              </w:rPr>
              <w:t>～</w:t>
            </w:r>
            <w:r>
              <w:rPr>
                <w:spacing w:val="-2"/>
              </w:rPr>
              <w:t>105</w:t>
            </w:r>
          </w:p>
        </w:tc>
      </w:tr>
      <w:tr w14:paraId="3BED1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27" w:type="dxa"/>
            <w:vMerge w:val="restart"/>
            <w:tcBorders>
              <w:bottom w:val="nil"/>
            </w:tcBorders>
            <w:vAlign w:val="top"/>
          </w:tcPr>
          <w:p w14:paraId="7409B22C">
            <w:pPr>
              <w:spacing w:line="346" w:lineRule="auto"/>
              <w:rPr>
                <w:rFonts w:ascii="Arial"/>
                <w:sz w:val="21"/>
              </w:rPr>
            </w:pPr>
          </w:p>
          <w:p w14:paraId="40B98553">
            <w:pPr>
              <w:spacing w:before="68" w:line="219" w:lineRule="auto"/>
              <w:ind w:left="433"/>
              <w:rPr>
                <w:rFonts w:ascii="宋体" w:hAnsi="宋体" w:eastAsia="宋体" w:cs="宋体"/>
                <w:sz w:val="21"/>
                <w:szCs w:val="21"/>
              </w:rPr>
            </w:pPr>
            <w:r>
              <w:rPr>
                <w:rFonts w:ascii="宋体" w:hAnsi="宋体" w:eastAsia="宋体" w:cs="宋体"/>
                <w:spacing w:val="-1"/>
                <w:sz w:val="21"/>
                <w:szCs w:val="21"/>
              </w:rPr>
              <w:t>底板与结构阶段</w:t>
            </w:r>
          </w:p>
        </w:tc>
        <w:tc>
          <w:tcPr>
            <w:tcW w:w="3172" w:type="dxa"/>
            <w:vAlign w:val="top"/>
          </w:tcPr>
          <w:p w14:paraId="3CAA749F">
            <w:pPr>
              <w:spacing w:before="66" w:line="220" w:lineRule="auto"/>
              <w:ind w:left="958"/>
              <w:rPr>
                <w:rFonts w:ascii="宋体" w:hAnsi="宋体" w:eastAsia="宋体" w:cs="宋体"/>
                <w:sz w:val="21"/>
                <w:szCs w:val="21"/>
              </w:rPr>
            </w:pPr>
            <w:r>
              <w:rPr>
                <w:rFonts w:ascii="宋体" w:hAnsi="宋体" w:eastAsia="宋体" w:cs="宋体"/>
                <w:spacing w:val="-2"/>
                <w:sz w:val="21"/>
                <w:szCs w:val="21"/>
              </w:rPr>
              <w:t>混凝土输送泵</w:t>
            </w:r>
          </w:p>
        </w:tc>
        <w:tc>
          <w:tcPr>
            <w:tcW w:w="2819" w:type="dxa"/>
            <w:vAlign w:val="top"/>
          </w:tcPr>
          <w:p w14:paraId="33F81040">
            <w:pPr>
              <w:pStyle w:val="6"/>
              <w:spacing w:before="66" w:line="236" w:lineRule="auto"/>
              <w:ind w:left="1040"/>
            </w:pPr>
            <w:r>
              <w:rPr>
                <w:spacing w:val="-2"/>
              </w:rPr>
              <w:t>90</w:t>
            </w:r>
            <w:r>
              <w:rPr>
                <w:rFonts w:ascii="宋体" w:hAnsi="宋体" w:eastAsia="宋体" w:cs="宋体"/>
                <w:spacing w:val="-2"/>
              </w:rPr>
              <w:t>～</w:t>
            </w:r>
            <w:r>
              <w:rPr>
                <w:spacing w:val="-2"/>
              </w:rPr>
              <w:t>100</w:t>
            </w:r>
          </w:p>
        </w:tc>
      </w:tr>
      <w:tr w14:paraId="7D7D1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27" w:type="dxa"/>
            <w:vMerge w:val="continue"/>
            <w:tcBorders>
              <w:top w:val="nil"/>
              <w:bottom w:val="nil"/>
            </w:tcBorders>
            <w:vAlign w:val="top"/>
          </w:tcPr>
          <w:p w14:paraId="225A66E4">
            <w:pPr>
              <w:rPr>
                <w:rFonts w:ascii="Arial"/>
                <w:sz w:val="21"/>
              </w:rPr>
            </w:pPr>
          </w:p>
        </w:tc>
        <w:tc>
          <w:tcPr>
            <w:tcW w:w="3172" w:type="dxa"/>
            <w:vAlign w:val="top"/>
          </w:tcPr>
          <w:p w14:paraId="5B543125">
            <w:pPr>
              <w:spacing w:before="66" w:line="220" w:lineRule="auto"/>
              <w:ind w:left="1269"/>
              <w:rPr>
                <w:rFonts w:ascii="宋体" w:hAnsi="宋体" w:eastAsia="宋体" w:cs="宋体"/>
                <w:sz w:val="21"/>
                <w:szCs w:val="21"/>
              </w:rPr>
            </w:pPr>
            <w:r>
              <w:rPr>
                <w:rFonts w:ascii="宋体" w:hAnsi="宋体" w:eastAsia="宋体" w:cs="宋体"/>
                <w:spacing w:val="-2"/>
                <w:sz w:val="21"/>
                <w:szCs w:val="21"/>
              </w:rPr>
              <w:t>振捣器</w:t>
            </w:r>
          </w:p>
        </w:tc>
        <w:tc>
          <w:tcPr>
            <w:tcW w:w="2819" w:type="dxa"/>
            <w:vAlign w:val="top"/>
          </w:tcPr>
          <w:p w14:paraId="32A69648">
            <w:pPr>
              <w:pStyle w:val="6"/>
              <w:spacing w:before="66" w:line="236" w:lineRule="auto"/>
              <w:ind w:left="1004"/>
            </w:pPr>
            <w:r>
              <w:rPr>
                <w:spacing w:val="-4"/>
              </w:rPr>
              <w:t>100</w:t>
            </w:r>
            <w:r>
              <w:rPr>
                <w:rFonts w:ascii="宋体" w:hAnsi="宋体" w:eastAsia="宋体" w:cs="宋体"/>
                <w:spacing w:val="-4"/>
              </w:rPr>
              <w:t>～</w:t>
            </w:r>
            <w:r>
              <w:rPr>
                <w:spacing w:val="-4"/>
              </w:rPr>
              <w:t>105</w:t>
            </w:r>
          </w:p>
        </w:tc>
      </w:tr>
      <w:tr w14:paraId="5D938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27" w:type="dxa"/>
            <w:vMerge w:val="continue"/>
            <w:tcBorders>
              <w:top w:val="nil"/>
            </w:tcBorders>
            <w:vAlign w:val="top"/>
          </w:tcPr>
          <w:p w14:paraId="264E4F50">
            <w:pPr>
              <w:rPr>
                <w:rFonts w:ascii="Arial"/>
                <w:sz w:val="21"/>
              </w:rPr>
            </w:pPr>
          </w:p>
        </w:tc>
        <w:tc>
          <w:tcPr>
            <w:tcW w:w="3172" w:type="dxa"/>
            <w:vAlign w:val="top"/>
          </w:tcPr>
          <w:p w14:paraId="4C9B95BB">
            <w:pPr>
              <w:spacing w:before="67" w:line="222" w:lineRule="auto"/>
              <w:ind w:left="1400"/>
              <w:rPr>
                <w:rFonts w:ascii="宋体" w:hAnsi="宋体" w:eastAsia="宋体" w:cs="宋体"/>
                <w:sz w:val="21"/>
                <w:szCs w:val="21"/>
              </w:rPr>
            </w:pPr>
            <w:r>
              <w:rPr>
                <w:rFonts w:ascii="宋体" w:hAnsi="宋体" w:eastAsia="宋体" w:cs="宋体"/>
                <w:spacing w:val="-9"/>
                <w:sz w:val="21"/>
                <w:szCs w:val="21"/>
              </w:rPr>
              <w:t>电锯</w:t>
            </w:r>
          </w:p>
        </w:tc>
        <w:tc>
          <w:tcPr>
            <w:tcW w:w="2819" w:type="dxa"/>
            <w:vAlign w:val="top"/>
          </w:tcPr>
          <w:p w14:paraId="7E7B99D5">
            <w:pPr>
              <w:pStyle w:val="6"/>
              <w:spacing w:before="67" w:line="234" w:lineRule="auto"/>
              <w:ind w:left="1004"/>
            </w:pPr>
            <w:r>
              <w:rPr>
                <w:spacing w:val="-4"/>
              </w:rPr>
              <w:t>100</w:t>
            </w:r>
            <w:r>
              <w:rPr>
                <w:rFonts w:ascii="宋体" w:hAnsi="宋体" w:eastAsia="宋体" w:cs="宋体"/>
                <w:spacing w:val="-4"/>
              </w:rPr>
              <w:t>～</w:t>
            </w:r>
            <w:r>
              <w:rPr>
                <w:spacing w:val="-4"/>
              </w:rPr>
              <w:t>105</w:t>
            </w:r>
          </w:p>
        </w:tc>
      </w:tr>
      <w:tr w14:paraId="25363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27" w:type="dxa"/>
            <w:vMerge w:val="restart"/>
            <w:tcBorders>
              <w:bottom w:val="nil"/>
            </w:tcBorders>
            <w:vAlign w:val="top"/>
          </w:tcPr>
          <w:p w14:paraId="428B0B47">
            <w:pPr>
              <w:spacing w:line="347" w:lineRule="auto"/>
              <w:rPr>
                <w:rFonts w:ascii="Arial"/>
                <w:sz w:val="21"/>
              </w:rPr>
            </w:pPr>
          </w:p>
          <w:p w14:paraId="2B656D16">
            <w:pPr>
              <w:spacing w:before="68" w:line="220" w:lineRule="auto"/>
              <w:ind w:left="539"/>
              <w:rPr>
                <w:rFonts w:ascii="宋体" w:hAnsi="宋体" w:eastAsia="宋体" w:cs="宋体"/>
                <w:sz w:val="21"/>
                <w:szCs w:val="21"/>
              </w:rPr>
            </w:pPr>
            <w:r>
              <w:rPr>
                <w:rFonts w:ascii="宋体" w:hAnsi="宋体" w:eastAsia="宋体" w:cs="宋体"/>
                <w:spacing w:val="-2"/>
                <w:sz w:val="21"/>
                <w:szCs w:val="21"/>
              </w:rPr>
              <w:t>装修安装阶段</w:t>
            </w:r>
          </w:p>
        </w:tc>
        <w:tc>
          <w:tcPr>
            <w:tcW w:w="3172" w:type="dxa"/>
            <w:vAlign w:val="top"/>
          </w:tcPr>
          <w:p w14:paraId="4CE3DBA1">
            <w:pPr>
              <w:spacing w:before="67" w:line="220" w:lineRule="auto"/>
              <w:ind w:left="874"/>
              <w:rPr>
                <w:rFonts w:ascii="宋体" w:hAnsi="宋体" w:eastAsia="宋体" w:cs="宋体"/>
                <w:sz w:val="21"/>
                <w:szCs w:val="21"/>
              </w:rPr>
            </w:pPr>
            <w:r>
              <w:rPr>
                <w:rFonts w:ascii="宋体" w:hAnsi="宋体" w:eastAsia="宋体" w:cs="宋体"/>
                <w:spacing w:val="-5"/>
                <w:sz w:val="21"/>
                <w:szCs w:val="21"/>
              </w:rPr>
              <w:t>电钻、手工钻等</w:t>
            </w:r>
          </w:p>
        </w:tc>
        <w:tc>
          <w:tcPr>
            <w:tcW w:w="2819" w:type="dxa"/>
            <w:vAlign w:val="top"/>
          </w:tcPr>
          <w:p w14:paraId="5FDEB9A3">
            <w:pPr>
              <w:pStyle w:val="6"/>
              <w:spacing w:before="67" w:line="235" w:lineRule="auto"/>
              <w:ind w:left="1004"/>
            </w:pPr>
            <w:r>
              <w:rPr>
                <w:spacing w:val="-4"/>
              </w:rPr>
              <w:t>100</w:t>
            </w:r>
            <w:r>
              <w:rPr>
                <w:rFonts w:ascii="宋体" w:hAnsi="宋体" w:eastAsia="宋体" w:cs="宋体"/>
                <w:spacing w:val="-4"/>
              </w:rPr>
              <w:t>～</w:t>
            </w:r>
            <w:r>
              <w:rPr>
                <w:spacing w:val="-4"/>
              </w:rPr>
              <w:t>105</w:t>
            </w:r>
          </w:p>
        </w:tc>
      </w:tr>
      <w:tr w14:paraId="4D05A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27" w:type="dxa"/>
            <w:vMerge w:val="continue"/>
            <w:tcBorders>
              <w:top w:val="nil"/>
              <w:bottom w:val="nil"/>
            </w:tcBorders>
            <w:vAlign w:val="top"/>
          </w:tcPr>
          <w:p w14:paraId="645B6529">
            <w:pPr>
              <w:rPr>
                <w:rFonts w:ascii="Arial"/>
                <w:sz w:val="21"/>
              </w:rPr>
            </w:pPr>
          </w:p>
        </w:tc>
        <w:tc>
          <w:tcPr>
            <w:tcW w:w="3172" w:type="dxa"/>
            <w:vAlign w:val="top"/>
          </w:tcPr>
          <w:p w14:paraId="19B32707">
            <w:pPr>
              <w:spacing w:before="68" w:line="225" w:lineRule="auto"/>
              <w:ind w:left="1400"/>
              <w:rPr>
                <w:rFonts w:ascii="宋体" w:hAnsi="宋体" w:eastAsia="宋体" w:cs="宋体"/>
                <w:sz w:val="21"/>
                <w:szCs w:val="21"/>
              </w:rPr>
            </w:pPr>
            <w:r>
              <w:rPr>
                <w:rFonts w:ascii="宋体" w:hAnsi="宋体" w:eastAsia="宋体" w:cs="宋体"/>
                <w:spacing w:val="-9"/>
                <w:sz w:val="21"/>
                <w:szCs w:val="21"/>
              </w:rPr>
              <w:t>电锤</w:t>
            </w:r>
          </w:p>
        </w:tc>
        <w:tc>
          <w:tcPr>
            <w:tcW w:w="2819" w:type="dxa"/>
            <w:vAlign w:val="top"/>
          </w:tcPr>
          <w:p w14:paraId="2B20C578">
            <w:pPr>
              <w:pStyle w:val="6"/>
              <w:spacing w:before="67" w:line="235" w:lineRule="auto"/>
              <w:ind w:left="1004"/>
            </w:pPr>
            <w:r>
              <w:rPr>
                <w:spacing w:val="-4"/>
              </w:rPr>
              <w:t>100</w:t>
            </w:r>
            <w:r>
              <w:rPr>
                <w:rFonts w:ascii="宋体" w:hAnsi="宋体" w:eastAsia="宋体" w:cs="宋体"/>
                <w:spacing w:val="-4"/>
              </w:rPr>
              <w:t>～</w:t>
            </w:r>
            <w:r>
              <w:rPr>
                <w:spacing w:val="-4"/>
              </w:rPr>
              <w:t>105</w:t>
            </w:r>
          </w:p>
        </w:tc>
      </w:tr>
      <w:tr w14:paraId="58360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327" w:type="dxa"/>
            <w:vMerge w:val="continue"/>
            <w:tcBorders>
              <w:top w:val="nil"/>
            </w:tcBorders>
            <w:vAlign w:val="top"/>
          </w:tcPr>
          <w:p w14:paraId="5E30191C">
            <w:pPr>
              <w:rPr>
                <w:rFonts w:ascii="Arial"/>
                <w:sz w:val="21"/>
              </w:rPr>
            </w:pPr>
          </w:p>
        </w:tc>
        <w:tc>
          <w:tcPr>
            <w:tcW w:w="3172" w:type="dxa"/>
            <w:vAlign w:val="top"/>
          </w:tcPr>
          <w:p w14:paraId="5E9A127C">
            <w:pPr>
              <w:spacing w:before="68" w:line="220" w:lineRule="auto"/>
              <w:ind w:left="1271"/>
              <w:rPr>
                <w:rFonts w:ascii="宋体" w:hAnsi="宋体" w:eastAsia="宋体" w:cs="宋体"/>
                <w:sz w:val="21"/>
                <w:szCs w:val="21"/>
              </w:rPr>
            </w:pPr>
            <w:r>
              <w:rPr>
                <w:rFonts w:ascii="宋体" w:hAnsi="宋体" w:eastAsia="宋体" w:cs="宋体"/>
                <w:spacing w:val="-3"/>
                <w:sz w:val="21"/>
                <w:szCs w:val="21"/>
              </w:rPr>
              <w:t>无齿锯</w:t>
            </w:r>
          </w:p>
        </w:tc>
        <w:tc>
          <w:tcPr>
            <w:tcW w:w="2819" w:type="dxa"/>
            <w:vAlign w:val="top"/>
          </w:tcPr>
          <w:p w14:paraId="04EA4CEB">
            <w:pPr>
              <w:pStyle w:val="6"/>
              <w:spacing w:before="104" w:line="188" w:lineRule="auto"/>
              <w:ind w:left="1266"/>
            </w:pPr>
            <w:r>
              <w:rPr>
                <w:spacing w:val="-9"/>
              </w:rPr>
              <w:t>105</w:t>
            </w:r>
          </w:p>
        </w:tc>
      </w:tr>
    </w:tbl>
    <w:p w14:paraId="7F035B46">
      <w:pPr>
        <w:spacing w:before="234"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）预测模式</w:t>
      </w:r>
    </w:p>
    <w:p w14:paraId="24112106">
      <w:pPr>
        <w:spacing w:line="220" w:lineRule="auto"/>
        <w:rPr>
          <w:rFonts w:ascii="宋体" w:hAnsi="宋体" w:eastAsia="宋体" w:cs="宋体"/>
          <w:sz w:val="24"/>
          <w:szCs w:val="24"/>
        </w:rPr>
        <w:sectPr>
          <w:headerReference r:id="rId286" w:type="default"/>
          <w:footerReference r:id="rId287" w:type="default"/>
          <w:pgSz w:w="11905" w:h="16840"/>
          <w:pgMar w:top="1168" w:right="1731" w:bottom="1409" w:left="1770" w:header="828" w:footer="1244" w:gutter="0"/>
          <w:cols w:space="720" w:num="1"/>
        </w:sectPr>
      </w:pPr>
    </w:p>
    <w:p w14:paraId="57BE77F0">
      <w:pPr>
        <w:pStyle w:val="2"/>
        <w:spacing w:line="306" w:lineRule="auto"/>
      </w:pPr>
    </w:p>
    <w:p w14:paraId="073F9AA5">
      <w:pPr>
        <w:spacing w:before="78" w:line="219" w:lineRule="auto"/>
        <w:ind w:left="518"/>
        <w:rPr>
          <w:rFonts w:ascii="宋体" w:hAnsi="宋体" w:eastAsia="宋体" w:cs="宋体"/>
          <w:sz w:val="24"/>
          <w:szCs w:val="24"/>
        </w:rPr>
      </w:pPr>
      <w:r>
        <w:rPr>
          <w:rFonts w:ascii="宋体" w:hAnsi="宋体" w:eastAsia="宋体" w:cs="宋体"/>
          <w:spacing w:val="-7"/>
          <w:sz w:val="24"/>
          <w:szCs w:val="24"/>
        </w:rPr>
        <w:t>采用如下预测模式：</w:t>
      </w:r>
    </w:p>
    <w:p w14:paraId="431EAD3F">
      <w:pPr>
        <w:spacing w:before="121" w:line="192" w:lineRule="auto"/>
        <w:ind w:left="3164"/>
        <w:rPr>
          <w:rFonts w:ascii="Times New Roman" w:hAnsi="Times New Roman" w:eastAsia="Times New Roman" w:cs="Times New Roman"/>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2"/>
          <w:sz w:val="15"/>
          <w:szCs w:val="15"/>
        </w:rPr>
        <w:t>A</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L</w:t>
      </w:r>
      <w:r>
        <w:rPr>
          <w:rFonts w:ascii="Times New Roman" w:hAnsi="Times New Roman" w:eastAsia="Times New Roman" w:cs="Times New Roman"/>
          <w:position w:val="-2"/>
          <w:sz w:val="15"/>
          <w:szCs w:val="15"/>
        </w:rPr>
        <w:t>A</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r</w:t>
      </w:r>
      <w:r>
        <w:rPr>
          <w:rFonts w:ascii="Times New Roman" w:hAnsi="Times New Roman" w:eastAsia="Times New Roman" w:cs="Times New Roman"/>
          <w:sz w:val="15"/>
          <w:szCs w:val="15"/>
        </w:rPr>
        <w:t>o</w:t>
      </w:r>
      <w:r>
        <w:rPr>
          <w:rFonts w:ascii="Times New Roman" w:hAnsi="Times New Roman" w:eastAsia="Times New Roman" w:cs="Times New Roman"/>
          <w:spacing w:val="1"/>
          <w:sz w:val="24"/>
          <w:szCs w:val="24"/>
        </w:rPr>
        <w:t>)-201g(r/</w:t>
      </w:r>
      <w:r>
        <w:rPr>
          <w:rFonts w:ascii="Times New Roman" w:hAnsi="Times New Roman" w:eastAsia="Times New Roman" w:cs="Times New Roman"/>
          <w:sz w:val="24"/>
          <w:szCs w:val="24"/>
        </w:rPr>
        <w:t>r</w:t>
      </w:r>
      <w:r>
        <w:rPr>
          <w:rFonts w:ascii="Times New Roman" w:hAnsi="Times New Roman" w:eastAsia="Times New Roman" w:cs="Times New Roman"/>
          <w:sz w:val="15"/>
          <w:szCs w:val="15"/>
        </w:rPr>
        <w:t>o</w:t>
      </w:r>
      <w:r>
        <w:rPr>
          <w:rFonts w:ascii="Times New Roman" w:hAnsi="Times New Roman" w:eastAsia="Times New Roman" w:cs="Times New Roman"/>
          <w:spacing w:val="1"/>
          <w:sz w:val="24"/>
          <w:szCs w:val="24"/>
        </w:rPr>
        <w:t>)</w:t>
      </w:r>
    </w:p>
    <w:p w14:paraId="7FA22C32">
      <w:pPr>
        <w:spacing w:before="176" w:line="212" w:lineRule="auto"/>
        <w:ind w:left="722"/>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2"/>
          <w:sz w:val="15"/>
          <w:szCs w:val="15"/>
        </w:rPr>
        <w:t>A</w:t>
      </w:r>
      <w:r>
        <w:rPr>
          <w:rFonts w:ascii="Times New Roman" w:hAnsi="Times New Roman" w:eastAsia="Times New Roman" w:cs="Times New Roman"/>
          <w:spacing w:val="-1"/>
          <w:sz w:val="24"/>
          <w:szCs w:val="24"/>
        </w:rPr>
        <w:t>(r)——</w:t>
      </w:r>
      <w:r>
        <w:rPr>
          <w:rFonts w:ascii="宋体" w:hAnsi="宋体" w:eastAsia="宋体" w:cs="宋体"/>
          <w:spacing w:val="-1"/>
          <w:sz w:val="24"/>
          <w:szCs w:val="24"/>
        </w:rPr>
        <w:t>距离声源</w:t>
      </w:r>
      <w:r>
        <w:rPr>
          <w:rFonts w:ascii="Times New Roman" w:hAnsi="Times New Roman" w:eastAsia="Times New Roman" w:cs="Times New Roman"/>
          <w:spacing w:val="-1"/>
          <w:sz w:val="24"/>
          <w:szCs w:val="24"/>
        </w:rPr>
        <w:t>r</w:t>
      </w:r>
      <w:r>
        <w:rPr>
          <w:rFonts w:ascii="宋体" w:hAnsi="宋体" w:eastAsia="宋体" w:cs="宋体"/>
          <w:spacing w:val="-1"/>
          <w:sz w:val="24"/>
          <w:szCs w:val="24"/>
        </w:rPr>
        <w:t>处的</w:t>
      </w:r>
      <w:r>
        <w:rPr>
          <w:rFonts w:ascii="Times New Roman" w:hAnsi="Times New Roman" w:eastAsia="Times New Roman" w:cs="Times New Roman"/>
          <w:spacing w:val="-1"/>
          <w:sz w:val="24"/>
          <w:szCs w:val="24"/>
        </w:rPr>
        <w:t>A</w:t>
      </w:r>
      <w:r>
        <w:rPr>
          <w:rFonts w:ascii="宋体" w:hAnsi="宋体" w:eastAsia="宋体" w:cs="宋体"/>
          <w:spacing w:val="-1"/>
          <w:sz w:val="24"/>
          <w:szCs w:val="24"/>
        </w:rPr>
        <w:t>声级，</w:t>
      </w:r>
      <w:r>
        <w:rPr>
          <w:rFonts w:ascii="Times New Roman" w:hAnsi="Times New Roman" w:eastAsia="Times New Roman" w:cs="Times New Roman"/>
          <w:spacing w:val="-1"/>
          <w:sz w:val="24"/>
          <w:szCs w:val="24"/>
        </w:rPr>
        <w:t>dB(A)</w:t>
      </w:r>
      <w:r>
        <w:rPr>
          <w:rFonts w:ascii="宋体" w:hAnsi="宋体" w:eastAsia="宋体" w:cs="宋体"/>
          <w:spacing w:val="-1"/>
          <w:sz w:val="24"/>
          <w:szCs w:val="24"/>
        </w:rPr>
        <w:t>；</w:t>
      </w:r>
    </w:p>
    <w:p w14:paraId="024B2888">
      <w:pPr>
        <w:spacing w:before="191" w:line="212" w:lineRule="auto"/>
        <w:ind w:left="1432"/>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2"/>
          <w:sz w:val="15"/>
          <w:szCs w:val="15"/>
        </w:rPr>
        <w:t>A</w:t>
      </w:r>
      <w:r>
        <w:rPr>
          <w:rFonts w:ascii="Times New Roman" w:hAnsi="Times New Roman" w:eastAsia="Times New Roman" w:cs="Times New Roman"/>
          <w:sz w:val="24"/>
          <w:szCs w:val="24"/>
        </w:rPr>
        <w:t>(r</w:t>
      </w:r>
      <w:r>
        <w:rPr>
          <w:rFonts w:ascii="Times New Roman" w:hAnsi="Times New Roman" w:eastAsia="Times New Roman" w:cs="Times New Roman"/>
          <w:sz w:val="15"/>
          <w:szCs w:val="15"/>
        </w:rPr>
        <w:t>o</w:t>
      </w:r>
      <w:r>
        <w:rPr>
          <w:rFonts w:ascii="Times New Roman" w:hAnsi="Times New Roman" w:eastAsia="Times New Roman" w:cs="Times New Roman"/>
          <w:sz w:val="24"/>
          <w:szCs w:val="24"/>
        </w:rPr>
        <w:t>)——</w:t>
      </w:r>
      <w:r>
        <w:rPr>
          <w:rFonts w:ascii="宋体" w:hAnsi="宋体" w:eastAsia="宋体" w:cs="宋体"/>
          <w:sz w:val="24"/>
          <w:szCs w:val="24"/>
        </w:rPr>
        <w:t>距声源</w:t>
      </w:r>
      <w:r>
        <w:rPr>
          <w:rFonts w:ascii="Times New Roman" w:hAnsi="Times New Roman" w:eastAsia="Times New Roman" w:cs="Times New Roman"/>
          <w:sz w:val="24"/>
          <w:szCs w:val="24"/>
        </w:rPr>
        <w:t>r</w:t>
      </w:r>
      <w:r>
        <w:rPr>
          <w:rFonts w:ascii="Times New Roman" w:hAnsi="Times New Roman" w:eastAsia="Times New Roman" w:cs="Times New Roman"/>
          <w:position w:val="-2"/>
          <w:sz w:val="15"/>
          <w:szCs w:val="15"/>
        </w:rPr>
        <w:t>o</w:t>
      </w:r>
      <w:r>
        <w:rPr>
          <w:rFonts w:ascii="宋体" w:hAnsi="宋体" w:eastAsia="宋体" w:cs="宋体"/>
          <w:sz w:val="24"/>
          <w:szCs w:val="24"/>
        </w:rPr>
        <w:t>处的</w:t>
      </w:r>
      <w:r>
        <w:rPr>
          <w:rFonts w:ascii="Times New Roman" w:hAnsi="Times New Roman" w:eastAsia="Times New Roman" w:cs="Times New Roman"/>
          <w:sz w:val="24"/>
          <w:szCs w:val="24"/>
        </w:rPr>
        <w:t>A</w:t>
      </w:r>
      <w:r>
        <w:rPr>
          <w:rFonts w:ascii="宋体" w:hAnsi="宋体" w:eastAsia="宋体" w:cs="宋体"/>
          <w:sz w:val="24"/>
          <w:szCs w:val="24"/>
        </w:rPr>
        <w:t>声级，</w:t>
      </w:r>
      <w:r>
        <w:rPr>
          <w:rFonts w:ascii="Times New Roman" w:hAnsi="Times New Roman" w:eastAsia="Times New Roman" w:cs="Times New Roman"/>
          <w:sz w:val="24"/>
          <w:szCs w:val="24"/>
        </w:rPr>
        <w:t>dB(A)</w:t>
      </w:r>
      <w:r>
        <w:rPr>
          <w:rFonts w:ascii="宋体" w:hAnsi="宋体" w:eastAsia="宋体" w:cs="宋体"/>
          <w:sz w:val="24"/>
          <w:szCs w:val="24"/>
        </w:rPr>
        <w:t>；</w:t>
      </w:r>
    </w:p>
    <w:p w14:paraId="13E53FE7">
      <w:pPr>
        <w:spacing w:before="191" w:line="220" w:lineRule="auto"/>
        <w:ind w:left="1429"/>
        <w:rPr>
          <w:rFonts w:ascii="宋体" w:hAnsi="宋体" w:eastAsia="宋体" w:cs="宋体"/>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sz w:val="15"/>
          <w:szCs w:val="15"/>
        </w:rPr>
        <w:t>o</w:t>
      </w:r>
      <w:r>
        <w:rPr>
          <w:rFonts w:ascii="Times New Roman" w:hAnsi="Times New Roman" w:eastAsia="Times New Roman" w:cs="Times New Roman"/>
          <w:sz w:val="24"/>
          <w:szCs w:val="24"/>
        </w:rPr>
        <w:t>.r——</w:t>
      </w:r>
      <w:r>
        <w:rPr>
          <w:rFonts w:ascii="宋体" w:hAnsi="宋体" w:eastAsia="宋体" w:cs="宋体"/>
          <w:sz w:val="24"/>
          <w:szCs w:val="24"/>
        </w:rPr>
        <w:t>距声源的距离，</w:t>
      </w:r>
      <w:r>
        <w:rPr>
          <w:rFonts w:ascii="Times New Roman" w:hAnsi="Times New Roman" w:eastAsia="Times New Roman" w:cs="Times New Roman"/>
          <w:sz w:val="24"/>
          <w:szCs w:val="24"/>
        </w:rPr>
        <w:t>m</w:t>
      </w:r>
      <w:r>
        <w:rPr>
          <w:rFonts w:ascii="宋体" w:hAnsi="宋体" w:eastAsia="宋体" w:cs="宋体"/>
          <w:sz w:val="24"/>
          <w:szCs w:val="24"/>
        </w:rPr>
        <w:t>。</w:t>
      </w:r>
    </w:p>
    <w:p w14:paraId="258E10EC">
      <w:pPr>
        <w:spacing w:before="259" w:line="347" w:lineRule="auto"/>
        <w:ind w:left="38" w:right="67" w:firstLine="510"/>
        <w:rPr>
          <w:rFonts w:ascii="宋体" w:hAnsi="宋体" w:eastAsia="宋体" w:cs="宋体"/>
          <w:sz w:val="24"/>
          <w:szCs w:val="24"/>
        </w:rPr>
      </w:pPr>
      <w:r>
        <w:rPr>
          <w:rFonts w:ascii="宋体" w:hAnsi="宋体" w:eastAsia="宋体" w:cs="宋体"/>
          <w:spacing w:val="-4"/>
          <w:sz w:val="24"/>
          <w:szCs w:val="24"/>
        </w:rPr>
        <w:t>由上式预测单个噪声源在预测点的贡献值，再将不同声源在该点的贡献值用</w:t>
      </w:r>
      <w:r>
        <w:rPr>
          <w:rFonts w:ascii="宋体" w:hAnsi="宋体" w:eastAsia="宋体" w:cs="宋体"/>
          <w:spacing w:val="-2"/>
          <w:sz w:val="24"/>
          <w:szCs w:val="24"/>
        </w:rPr>
        <w:t>对数法叠加，得出多个噪声源对该点噪声的贡献值，采用的模式如下：</w:t>
      </w:r>
    </w:p>
    <w:p w14:paraId="206DAC4F">
      <w:pPr>
        <w:spacing w:line="342" w:lineRule="exact"/>
        <w:ind w:left="3461"/>
      </w:pPr>
      <w:r>
        <w:rPr>
          <w:position w:val="-7"/>
        </w:rPr>
        <w:drawing>
          <wp:inline distT="0" distB="0" distL="0" distR="0">
            <wp:extent cx="1001395" cy="21717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565"/>
                    <a:stretch>
                      <a:fillRect/>
                    </a:stretch>
                  </pic:blipFill>
                  <pic:spPr>
                    <a:xfrm>
                      <a:off x="0" y="0"/>
                      <a:ext cx="1001797" cy="217290"/>
                    </a:xfrm>
                    <a:prstGeom prst="rect">
                      <a:avLst/>
                    </a:prstGeom>
                  </pic:spPr>
                </pic:pic>
              </a:graphicData>
            </a:graphic>
          </wp:inline>
        </w:drawing>
      </w:r>
    </w:p>
    <w:p w14:paraId="4A7267CD">
      <w:pPr>
        <w:spacing w:before="280" w:line="212" w:lineRule="auto"/>
        <w:ind w:left="722"/>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L——</w:t>
      </w:r>
      <w:r>
        <w:rPr>
          <w:rFonts w:ascii="宋体" w:hAnsi="宋体" w:eastAsia="宋体" w:cs="宋体"/>
          <w:spacing w:val="-1"/>
          <w:sz w:val="24"/>
          <w:szCs w:val="24"/>
        </w:rPr>
        <w:t>某点噪声总叠加值，</w:t>
      </w:r>
      <w:r>
        <w:rPr>
          <w:rFonts w:ascii="Times New Roman" w:hAnsi="Times New Roman" w:eastAsia="Times New Roman" w:cs="Times New Roman"/>
          <w:spacing w:val="-1"/>
          <w:sz w:val="24"/>
          <w:szCs w:val="24"/>
        </w:rPr>
        <w:t>dB(A)</w:t>
      </w:r>
      <w:r>
        <w:rPr>
          <w:rFonts w:ascii="宋体" w:hAnsi="宋体" w:eastAsia="宋体" w:cs="宋体"/>
          <w:spacing w:val="-1"/>
          <w:sz w:val="24"/>
          <w:szCs w:val="24"/>
        </w:rPr>
        <w:t>；</w:t>
      </w:r>
    </w:p>
    <w:p w14:paraId="31BC0CB7">
      <w:pPr>
        <w:spacing w:before="191" w:line="212" w:lineRule="auto"/>
        <w:ind w:left="1432"/>
        <w:rPr>
          <w:rFonts w:ascii="宋体" w:hAnsi="宋体" w:eastAsia="宋体" w:cs="宋体"/>
          <w:sz w:val="24"/>
          <w:szCs w:val="24"/>
        </w:rPr>
      </w:pPr>
      <w:r>
        <w:rPr>
          <w:rFonts w:ascii="Times New Roman" w:hAnsi="Times New Roman" w:eastAsia="Times New Roman" w:cs="Times New Roman"/>
          <w:spacing w:val="-1"/>
          <w:sz w:val="24"/>
          <w:szCs w:val="24"/>
        </w:rPr>
        <w:t>Li——</w:t>
      </w:r>
      <w:r>
        <w:rPr>
          <w:rFonts w:ascii="宋体" w:hAnsi="宋体" w:eastAsia="宋体" w:cs="宋体"/>
          <w:spacing w:val="-1"/>
          <w:sz w:val="24"/>
          <w:szCs w:val="24"/>
        </w:rPr>
        <w:t>第</w:t>
      </w:r>
      <w:r>
        <w:rPr>
          <w:rFonts w:ascii="Times New Roman" w:hAnsi="Times New Roman" w:eastAsia="Times New Roman" w:cs="Times New Roman"/>
          <w:spacing w:val="-1"/>
          <w:sz w:val="24"/>
          <w:szCs w:val="24"/>
        </w:rPr>
        <w:t>i</w:t>
      </w:r>
      <w:r>
        <w:rPr>
          <w:rFonts w:ascii="宋体" w:hAnsi="宋体" w:eastAsia="宋体" w:cs="宋体"/>
          <w:spacing w:val="-1"/>
          <w:sz w:val="24"/>
          <w:szCs w:val="24"/>
        </w:rPr>
        <w:t>个声源的噪声值，</w:t>
      </w:r>
      <w:r>
        <w:rPr>
          <w:rFonts w:ascii="Times New Roman" w:hAnsi="Times New Roman" w:eastAsia="Times New Roman" w:cs="Times New Roman"/>
          <w:spacing w:val="-1"/>
          <w:sz w:val="24"/>
          <w:szCs w:val="24"/>
        </w:rPr>
        <w:t>dB(A)</w:t>
      </w:r>
      <w:r>
        <w:rPr>
          <w:rFonts w:ascii="宋体" w:hAnsi="宋体" w:eastAsia="宋体" w:cs="宋体"/>
          <w:spacing w:val="-1"/>
          <w:sz w:val="24"/>
          <w:szCs w:val="24"/>
        </w:rPr>
        <w:t>；</w:t>
      </w:r>
    </w:p>
    <w:p w14:paraId="6D6C81B0">
      <w:pPr>
        <w:spacing w:before="190" w:line="220" w:lineRule="auto"/>
        <w:ind w:left="1429"/>
        <w:rPr>
          <w:rFonts w:ascii="宋体" w:hAnsi="宋体" w:eastAsia="宋体" w:cs="宋体"/>
          <w:sz w:val="24"/>
          <w:szCs w:val="24"/>
        </w:rPr>
      </w:pPr>
      <w:r>
        <w:rPr>
          <w:rFonts w:ascii="Times New Roman" w:hAnsi="Times New Roman" w:eastAsia="Times New Roman" w:cs="Times New Roman"/>
          <w:spacing w:val="-4"/>
          <w:sz w:val="24"/>
          <w:szCs w:val="24"/>
        </w:rPr>
        <w:t>n——</w:t>
      </w:r>
      <w:r>
        <w:rPr>
          <w:rFonts w:ascii="宋体" w:hAnsi="宋体" w:eastAsia="宋体" w:cs="宋体"/>
          <w:spacing w:val="-4"/>
          <w:sz w:val="24"/>
          <w:szCs w:val="24"/>
        </w:rPr>
        <w:t>声源个数。</w:t>
      </w:r>
    </w:p>
    <w:p w14:paraId="04093A1C">
      <w:pPr>
        <w:spacing w:before="260" w:line="218"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）预测结果及评价</w:t>
      </w:r>
    </w:p>
    <w:p w14:paraId="3408F99D">
      <w:pPr>
        <w:spacing w:before="184" w:line="220" w:lineRule="auto"/>
        <w:ind w:left="519"/>
        <w:rPr>
          <w:rFonts w:ascii="宋体" w:hAnsi="宋体" w:eastAsia="宋体" w:cs="宋体"/>
          <w:sz w:val="24"/>
          <w:szCs w:val="24"/>
        </w:rPr>
      </w:pPr>
      <w:r>
        <w:rPr>
          <w:rFonts w:ascii="宋体" w:hAnsi="宋体" w:eastAsia="宋体" w:cs="宋体"/>
          <w:spacing w:val="-2"/>
          <w:sz w:val="24"/>
          <w:szCs w:val="24"/>
        </w:rPr>
        <w:t>根据前述模式，计算噪声随距离的衰减量详见下表。</w:t>
      </w:r>
    </w:p>
    <w:p w14:paraId="5D2C38FA">
      <w:pPr>
        <w:spacing w:before="196" w:line="222" w:lineRule="auto"/>
        <w:ind w:left="284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4.1-6  </w:t>
      </w:r>
      <w:r>
        <w:rPr>
          <w:rFonts w:ascii="黑体" w:hAnsi="黑体" w:eastAsia="黑体" w:cs="黑体"/>
          <w:spacing w:val="-1"/>
          <w:sz w:val="21"/>
          <w:szCs w:val="21"/>
        </w:rPr>
        <w:t>施工噪声预测结果表</w:t>
      </w:r>
    </w:p>
    <w:p w14:paraId="40196785">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0"/>
        <w:gridCol w:w="711"/>
        <w:gridCol w:w="1103"/>
        <w:gridCol w:w="644"/>
        <w:gridCol w:w="645"/>
        <w:gridCol w:w="644"/>
        <w:gridCol w:w="645"/>
        <w:gridCol w:w="644"/>
        <w:gridCol w:w="645"/>
        <w:gridCol w:w="649"/>
        <w:gridCol w:w="1130"/>
      </w:tblGrid>
      <w:tr w14:paraId="2045C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71" w:type="dxa"/>
            <w:gridSpan w:val="2"/>
            <w:vMerge w:val="restart"/>
            <w:tcBorders>
              <w:bottom w:val="nil"/>
            </w:tcBorders>
            <w:vAlign w:val="top"/>
          </w:tcPr>
          <w:p w14:paraId="2A4F990A">
            <w:pPr>
              <w:spacing w:before="242" w:line="220" w:lineRule="auto"/>
              <w:ind w:left="275"/>
              <w:rPr>
                <w:rFonts w:ascii="宋体" w:hAnsi="宋体" w:eastAsia="宋体" w:cs="宋体"/>
                <w:sz w:val="21"/>
                <w:szCs w:val="21"/>
              </w:rPr>
            </w:pPr>
            <w:r>
              <w:rPr>
                <w:rFonts w:ascii="宋体" w:hAnsi="宋体" w:eastAsia="宋体" w:cs="宋体"/>
                <w:spacing w:val="-3"/>
                <w:sz w:val="21"/>
                <w:szCs w:val="21"/>
              </w:rPr>
              <w:t>噪声源强值</w:t>
            </w:r>
          </w:p>
        </w:tc>
        <w:tc>
          <w:tcPr>
            <w:tcW w:w="1103" w:type="dxa"/>
            <w:vMerge w:val="restart"/>
            <w:tcBorders>
              <w:bottom w:val="nil"/>
            </w:tcBorders>
            <w:vAlign w:val="top"/>
          </w:tcPr>
          <w:p w14:paraId="3974B53A">
            <w:pPr>
              <w:spacing w:before="242" w:line="220" w:lineRule="auto"/>
              <w:ind w:left="27"/>
              <w:rPr>
                <w:rFonts w:ascii="宋体" w:hAnsi="宋体" w:eastAsia="宋体" w:cs="宋体"/>
                <w:sz w:val="21"/>
                <w:szCs w:val="21"/>
              </w:rPr>
            </w:pPr>
            <w:r>
              <w:rPr>
                <w:rFonts w:ascii="宋体" w:hAnsi="宋体" w:eastAsia="宋体" w:cs="宋体"/>
                <w:spacing w:val="-2"/>
                <w:sz w:val="21"/>
                <w:szCs w:val="21"/>
              </w:rPr>
              <w:t>屏障削减后</w:t>
            </w:r>
          </w:p>
        </w:tc>
        <w:tc>
          <w:tcPr>
            <w:tcW w:w="4516" w:type="dxa"/>
            <w:gridSpan w:val="7"/>
            <w:vAlign w:val="top"/>
          </w:tcPr>
          <w:p w14:paraId="3649620D">
            <w:pPr>
              <w:pStyle w:val="6"/>
              <w:spacing w:before="69" w:line="220" w:lineRule="auto"/>
              <w:ind w:left="1548"/>
              <w:rPr>
                <w:rFonts w:ascii="宋体" w:hAnsi="宋体" w:eastAsia="宋体" w:cs="宋体"/>
              </w:rPr>
            </w:pPr>
            <w:r>
              <w:rPr>
                <w:rFonts w:ascii="宋体" w:hAnsi="宋体" w:eastAsia="宋体" w:cs="宋体"/>
                <w:spacing w:val="-2"/>
              </w:rPr>
              <w:t>预测距离（</w:t>
            </w:r>
            <w:r>
              <w:rPr>
                <w:spacing w:val="-2"/>
              </w:rPr>
              <w:t>m</w:t>
            </w:r>
            <w:r>
              <w:rPr>
                <w:rFonts w:ascii="宋体" w:hAnsi="宋体" w:eastAsia="宋体" w:cs="宋体"/>
                <w:spacing w:val="-2"/>
              </w:rPr>
              <w:t>）</w:t>
            </w:r>
          </w:p>
        </w:tc>
        <w:tc>
          <w:tcPr>
            <w:tcW w:w="1130" w:type="dxa"/>
            <w:vAlign w:val="top"/>
          </w:tcPr>
          <w:p w14:paraId="074C4915">
            <w:pPr>
              <w:spacing w:before="68" w:line="221" w:lineRule="auto"/>
              <w:ind w:left="358"/>
              <w:rPr>
                <w:rFonts w:ascii="宋体" w:hAnsi="宋体" w:eastAsia="宋体" w:cs="宋体"/>
                <w:sz w:val="21"/>
                <w:szCs w:val="21"/>
              </w:rPr>
            </w:pPr>
            <w:r>
              <w:rPr>
                <w:rFonts w:ascii="宋体" w:hAnsi="宋体" w:eastAsia="宋体" w:cs="宋体"/>
                <w:spacing w:val="-3"/>
                <w:sz w:val="21"/>
                <w:szCs w:val="21"/>
              </w:rPr>
              <w:t>备注</w:t>
            </w:r>
          </w:p>
        </w:tc>
      </w:tr>
      <w:tr w14:paraId="5D978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71" w:type="dxa"/>
            <w:gridSpan w:val="2"/>
            <w:vMerge w:val="continue"/>
            <w:tcBorders>
              <w:top w:val="nil"/>
            </w:tcBorders>
            <w:vAlign w:val="top"/>
          </w:tcPr>
          <w:p w14:paraId="73810F6D">
            <w:pPr>
              <w:rPr>
                <w:rFonts w:ascii="Arial"/>
                <w:sz w:val="21"/>
              </w:rPr>
            </w:pPr>
          </w:p>
        </w:tc>
        <w:tc>
          <w:tcPr>
            <w:tcW w:w="1103" w:type="dxa"/>
            <w:vMerge w:val="continue"/>
            <w:tcBorders>
              <w:top w:val="nil"/>
            </w:tcBorders>
            <w:vAlign w:val="top"/>
          </w:tcPr>
          <w:p w14:paraId="6171F805">
            <w:pPr>
              <w:rPr>
                <w:rFonts w:ascii="Arial"/>
                <w:sz w:val="21"/>
              </w:rPr>
            </w:pPr>
          </w:p>
        </w:tc>
        <w:tc>
          <w:tcPr>
            <w:tcW w:w="644" w:type="dxa"/>
            <w:vAlign w:val="top"/>
          </w:tcPr>
          <w:p w14:paraId="45C5A02D">
            <w:pPr>
              <w:pStyle w:val="6"/>
              <w:spacing w:before="100" w:line="188" w:lineRule="auto"/>
              <w:ind w:left="233"/>
            </w:pPr>
            <w:r>
              <w:rPr>
                <w:spacing w:val="-12"/>
              </w:rPr>
              <w:t>10</w:t>
            </w:r>
          </w:p>
        </w:tc>
        <w:tc>
          <w:tcPr>
            <w:tcW w:w="645" w:type="dxa"/>
            <w:vAlign w:val="top"/>
          </w:tcPr>
          <w:p w14:paraId="67EA22FE">
            <w:pPr>
              <w:pStyle w:val="6"/>
              <w:spacing w:before="100" w:line="188" w:lineRule="auto"/>
              <w:ind w:left="214"/>
            </w:pPr>
            <w:r>
              <w:rPr>
                <w:spacing w:val="-2"/>
              </w:rPr>
              <w:t>20</w:t>
            </w:r>
          </w:p>
        </w:tc>
        <w:tc>
          <w:tcPr>
            <w:tcW w:w="644" w:type="dxa"/>
            <w:vAlign w:val="top"/>
          </w:tcPr>
          <w:p w14:paraId="45688D63">
            <w:pPr>
              <w:pStyle w:val="6"/>
              <w:spacing w:before="100" w:line="188" w:lineRule="auto"/>
              <w:ind w:left="214"/>
            </w:pPr>
            <w:r>
              <w:rPr>
                <w:spacing w:val="-2"/>
              </w:rPr>
              <w:t>25</w:t>
            </w:r>
          </w:p>
        </w:tc>
        <w:tc>
          <w:tcPr>
            <w:tcW w:w="645" w:type="dxa"/>
            <w:vAlign w:val="top"/>
          </w:tcPr>
          <w:p w14:paraId="1CF01754">
            <w:pPr>
              <w:pStyle w:val="6"/>
              <w:spacing w:before="100" w:line="188" w:lineRule="auto"/>
              <w:ind w:left="220"/>
            </w:pPr>
            <w:r>
              <w:rPr>
                <w:spacing w:val="-5"/>
              </w:rPr>
              <w:t>50</w:t>
            </w:r>
          </w:p>
        </w:tc>
        <w:tc>
          <w:tcPr>
            <w:tcW w:w="644" w:type="dxa"/>
            <w:vAlign w:val="top"/>
          </w:tcPr>
          <w:p w14:paraId="2AC60A50">
            <w:pPr>
              <w:pStyle w:val="6"/>
              <w:spacing w:before="100" w:line="188" w:lineRule="auto"/>
              <w:ind w:left="183"/>
            </w:pPr>
            <w:r>
              <w:rPr>
                <w:spacing w:val="-8"/>
              </w:rPr>
              <w:t>100</w:t>
            </w:r>
          </w:p>
        </w:tc>
        <w:tc>
          <w:tcPr>
            <w:tcW w:w="645" w:type="dxa"/>
            <w:vAlign w:val="top"/>
          </w:tcPr>
          <w:p w14:paraId="3F4E64DB">
            <w:pPr>
              <w:pStyle w:val="6"/>
              <w:spacing w:before="100" w:line="188" w:lineRule="auto"/>
              <w:ind w:left="183"/>
            </w:pPr>
            <w:r>
              <w:rPr>
                <w:spacing w:val="-9"/>
              </w:rPr>
              <w:t>150</w:t>
            </w:r>
          </w:p>
        </w:tc>
        <w:tc>
          <w:tcPr>
            <w:tcW w:w="649" w:type="dxa"/>
            <w:vAlign w:val="top"/>
          </w:tcPr>
          <w:p w14:paraId="363853B9">
            <w:pPr>
              <w:pStyle w:val="6"/>
              <w:spacing w:before="100" w:line="188" w:lineRule="auto"/>
              <w:ind w:left="166"/>
            </w:pPr>
            <w:r>
              <w:rPr>
                <w:spacing w:val="-2"/>
              </w:rPr>
              <w:t>200</w:t>
            </w:r>
          </w:p>
        </w:tc>
        <w:tc>
          <w:tcPr>
            <w:tcW w:w="1130" w:type="dxa"/>
            <w:vMerge w:val="restart"/>
            <w:tcBorders>
              <w:bottom w:val="nil"/>
            </w:tcBorders>
            <w:vAlign w:val="top"/>
          </w:tcPr>
          <w:p w14:paraId="78D3EA74">
            <w:pPr>
              <w:spacing w:line="247" w:lineRule="auto"/>
              <w:rPr>
                <w:rFonts w:ascii="Arial"/>
                <w:sz w:val="21"/>
              </w:rPr>
            </w:pPr>
          </w:p>
          <w:p w14:paraId="50C68F92">
            <w:pPr>
              <w:spacing w:before="68" w:line="220" w:lineRule="auto"/>
              <w:ind w:left="64"/>
              <w:rPr>
                <w:rFonts w:ascii="宋体" w:hAnsi="宋体" w:eastAsia="宋体" w:cs="宋体"/>
                <w:sz w:val="21"/>
                <w:szCs w:val="21"/>
              </w:rPr>
            </w:pPr>
            <w:r>
              <w:rPr>
                <w:rFonts w:ascii="宋体" w:hAnsi="宋体" w:eastAsia="宋体" w:cs="宋体"/>
                <w:spacing w:val="-6"/>
                <w:sz w:val="21"/>
                <w:szCs w:val="21"/>
              </w:rPr>
              <w:t>以施工期最</w:t>
            </w:r>
          </w:p>
          <w:p w14:paraId="0996607B">
            <w:pPr>
              <w:spacing w:before="22" w:line="220" w:lineRule="auto"/>
              <w:ind w:left="45"/>
              <w:rPr>
                <w:rFonts w:ascii="宋体" w:hAnsi="宋体" w:eastAsia="宋体" w:cs="宋体"/>
                <w:sz w:val="21"/>
                <w:szCs w:val="21"/>
              </w:rPr>
            </w:pPr>
            <w:r>
              <w:rPr>
                <w:rFonts w:ascii="宋体" w:hAnsi="宋体" w:eastAsia="宋体" w:cs="宋体"/>
                <w:spacing w:val="-3"/>
                <w:sz w:val="21"/>
                <w:szCs w:val="21"/>
              </w:rPr>
              <w:t>强噪声值预</w:t>
            </w:r>
          </w:p>
          <w:p w14:paraId="072B3C9F">
            <w:pPr>
              <w:spacing w:before="22" w:line="221" w:lineRule="auto"/>
              <w:ind w:left="461"/>
              <w:rPr>
                <w:rFonts w:ascii="宋体" w:hAnsi="宋体" w:eastAsia="宋体" w:cs="宋体"/>
                <w:sz w:val="21"/>
                <w:szCs w:val="21"/>
              </w:rPr>
            </w:pPr>
            <w:r>
              <w:rPr>
                <w:rFonts w:ascii="宋体" w:hAnsi="宋体" w:eastAsia="宋体" w:cs="宋体"/>
                <w:sz w:val="21"/>
                <w:szCs w:val="21"/>
              </w:rPr>
              <w:t>测</w:t>
            </w:r>
          </w:p>
        </w:tc>
      </w:tr>
      <w:tr w14:paraId="5D98A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0" w:type="dxa"/>
            <w:vAlign w:val="top"/>
          </w:tcPr>
          <w:p w14:paraId="5E9D6F8D">
            <w:pPr>
              <w:spacing w:before="66" w:line="221" w:lineRule="auto"/>
              <w:ind w:left="121"/>
              <w:rPr>
                <w:rFonts w:ascii="宋体" w:hAnsi="宋体" w:eastAsia="宋体" w:cs="宋体"/>
                <w:sz w:val="21"/>
                <w:szCs w:val="21"/>
              </w:rPr>
            </w:pPr>
            <w:r>
              <w:rPr>
                <w:rFonts w:ascii="宋体" w:hAnsi="宋体" w:eastAsia="宋体" w:cs="宋体"/>
                <w:spacing w:val="-3"/>
                <w:sz w:val="21"/>
                <w:szCs w:val="21"/>
              </w:rPr>
              <w:t>土石方</w:t>
            </w:r>
          </w:p>
        </w:tc>
        <w:tc>
          <w:tcPr>
            <w:tcW w:w="711" w:type="dxa"/>
            <w:vAlign w:val="top"/>
          </w:tcPr>
          <w:p w14:paraId="4023ED31">
            <w:pPr>
              <w:pStyle w:val="6"/>
              <w:spacing w:before="103" w:line="188" w:lineRule="auto"/>
              <w:ind w:left="253"/>
            </w:pPr>
            <w:r>
              <w:rPr>
                <w:spacing w:val="-7"/>
              </w:rPr>
              <w:t>85</w:t>
            </w:r>
          </w:p>
        </w:tc>
        <w:tc>
          <w:tcPr>
            <w:tcW w:w="1103" w:type="dxa"/>
            <w:vAlign w:val="top"/>
          </w:tcPr>
          <w:p w14:paraId="580AB298">
            <w:pPr>
              <w:pStyle w:val="6"/>
              <w:spacing w:before="103" w:line="188" w:lineRule="auto"/>
              <w:ind w:left="445"/>
            </w:pPr>
            <w:r>
              <w:rPr>
                <w:spacing w:val="-2"/>
              </w:rPr>
              <w:t>78</w:t>
            </w:r>
          </w:p>
        </w:tc>
        <w:tc>
          <w:tcPr>
            <w:tcW w:w="644" w:type="dxa"/>
            <w:vAlign w:val="top"/>
          </w:tcPr>
          <w:p w14:paraId="4B547FBC">
            <w:pPr>
              <w:pStyle w:val="6"/>
              <w:spacing w:before="103" w:line="188" w:lineRule="auto"/>
              <w:ind w:left="140"/>
            </w:pPr>
            <w:r>
              <w:rPr>
                <w:spacing w:val="-3"/>
              </w:rPr>
              <w:t>58.0</w:t>
            </w:r>
          </w:p>
        </w:tc>
        <w:tc>
          <w:tcPr>
            <w:tcW w:w="645" w:type="dxa"/>
            <w:vAlign w:val="top"/>
          </w:tcPr>
          <w:p w14:paraId="77DCA37B">
            <w:pPr>
              <w:pStyle w:val="6"/>
              <w:spacing w:before="103" w:line="188" w:lineRule="auto"/>
              <w:ind w:left="140"/>
            </w:pPr>
            <w:r>
              <w:rPr>
                <w:spacing w:val="-3"/>
              </w:rPr>
              <w:t>52.0</w:t>
            </w:r>
          </w:p>
        </w:tc>
        <w:tc>
          <w:tcPr>
            <w:tcW w:w="644" w:type="dxa"/>
            <w:vAlign w:val="top"/>
          </w:tcPr>
          <w:p w14:paraId="7BE5E966">
            <w:pPr>
              <w:pStyle w:val="6"/>
              <w:spacing w:before="103" w:line="188" w:lineRule="auto"/>
              <w:ind w:left="141"/>
            </w:pPr>
            <w:r>
              <w:rPr>
                <w:spacing w:val="-3"/>
              </w:rPr>
              <w:t>50.0</w:t>
            </w:r>
          </w:p>
        </w:tc>
        <w:tc>
          <w:tcPr>
            <w:tcW w:w="645" w:type="dxa"/>
            <w:vAlign w:val="top"/>
          </w:tcPr>
          <w:p w14:paraId="5A9ACAFD">
            <w:pPr>
              <w:pStyle w:val="6"/>
              <w:spacing w:before="103" w:line="188" w:lineRule="auto"/>
              <w:ind w:left="135"/>
            </w:pPr>
            <w:r>
              <w:rPr>
                <w:spacing w:val="-1"/>
              </w:rPr>
              <w:t>44.0</w:t>
            </w:r>
          </w:p>
        </w:tc>
        <w:tc>
          <w:tcPr>
            <w:tcW w:w="644" w:type="dxa"/>
            <w:vAlign w:val="top"/>
          </w:tcPr>
          <w:p w14:paraId="37EF924E">
            <w:pPr>
              <w:pStyle w:val="6"/>
              <w:spacing w:before="103" w:line="188" w:lineRule="auto"/>
              <w:ind w:left="140"/>
            </w:pPr>
            <w:r>
              <w:rPr>
                <w:spacing w:val="-2"/>
              </w:rPr>
              <w:t>38.0</w:t>
            </w:r>
          </w:p>
        </w:tc>
        <w:tc>
          <w:tcPr>
            <w:tcW w:w="645" w:type="dxa"/>
            <w:vAlign w:val="top"/>
          </w:tcPr>
          <w:p w14:paraId="2749780C">
            <w:pPr>
              <w:pStyle w:val="6"/>
              <w:spacing w:before="103" w:line="188" w:lineRule="auto"/>
              <w:ind w:left="141"/>
            </w:pPr>
            <w:r>
              <w:rPr>
                <w:spacing w:val="-2"/>
              </w:rPr>
              <w:t>34.5</w:t>
            </w:r>
          </w:p>
        </w:tc>
        <w:tc>
          <w:tcPr>
            <w:tcW w:w="649" w:type="dxa"/>
            <w:vAlign w:val="top"/>
          </w:tcPr>
          <w:p w14:paraId="14BA7128">
            <w:pPr>
              <w:pStyle w:val="6"/>
              <w:spacing w:before="103" w:line="188" w:lineRule="auto"/>
              <w:ind w:left="144"/>
            </w:pPr>
            <w:r>
              <w:rPr>
                <w:spacing w:val="-2"/>
              </w:rPr>
              <w:t>32.0</w:t>
            </w:r>
          </w:p>
        </w:tc>
        <w:tc>
          <w:tcPr>
            <w:tcW w:w="1130" w:type="dxa"/>
            <w:vMerge w:val="continue"/>
            <w:tcBorders>
              <w:top w:val="nil"/>
              <w:bottom w:val="nil"/>
            </w:tcBorders>
            <w:vAlign w:val="top"/>
          </w:tcPr>
          <w:p w14:paraId="2ADCE8B7">
            <w:pPr>
              <w:rPr>
                <w:rFonts w:ascii="Arial"/>
                <w:sz w:val="21"/>
              </w:rPr>
            </w:pPr>
          </w:p>
        </w:tc>
      </w:tr>
      <w:tr w14:paraId="3672F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60" w:type="dxa"/>
            <w:vAlign w:val="top"/>
          </w:tcPr>
          <w:p w14:paraId="74EDB2D8">
            <w:pPr>
              <w:spacing w:before="67" w:line="220" w:lineRule="auto"/>
              <w:ind w:left="230"/>
              <w:rPr>
                <w:rFonts w:ascii="宋体" w:hAnsi="宋体" w:eastAsia="宋体" w:cs="宋体"/>
                <w:sz w:val="21"/>
                <w:szCs w:val="21"/>
              </w:rPr>
            </w:pPr>
            <w:r>
              <w:rPr>
                <w:rFonts w:ascii="宋体" w:hAnsi="宋体" w:eastAsia="宋体" w:cs="宋体"/>
                <w:spacing w:val="-4"/>
                <w:sz w:val="21"/>
                <w:szCs w:val="21"/>
              </w:rPr>
              <w:t>结构</w:t>
            </w:r>
          </w:p>
        </w:tc>
        <w:tc>
          <w:tcPr>
            <w:tcW w:w="711" w:type="dxa"/>
            <w:vAlign w:val="top"/>
          </w:tcPr>
          <w:p w14:paraId="079B87C9">
            <w:pPr>
              <w:pStyle w:val="6"/>
              <w:spacing w:before="103" w:line="188" w:lineRule="auto"/>
              <w:ind w:left="213"/>
            </w:pPr>
            <w:r>
              <w:rPr>
                <w:spacing w:val="-8"/>
              </w:rPr>
              <w:t>100</w:t>
            </w:r>
          </w:p>
        </w:tc>
        <w:tc>
          <w:tcPr>
            <w:tcW w:w="1103" w:type="dxa"/>
            <w:vAlign w:val="top"/>
          </w:tcPr>
          <w:p w14:paraId="40F91DFA">
            <w:pPr>
              <w:pStyle w:val="6"/>
              <w:spacing w:before="103" w:line="188" w:lineRule="auto"/>
              <w:ind w:left="445"/>
            </w:pPr>
            <w:r>
              <w:rPr>
                <w:spacing w:val="-2"/>
              </w:rPr>
              <w:t>93</w:t>
            </w:r>
          </w:p>
        </w:tc>
        <w:tc>
          <w:tcPr>
            <w:tcW w:w="644" w:type="dxa"/>
            <w:vAlign w:val="top"/>
          </w:tcPr>
          <w:p w14:paraId="2F9E6A29">
            <w:pPr>
              <w:pStyle w:val="6"/>
              <w:spacing w:before="103" w:line="188" w:lineRule="auto"/>
              <w:ind w:left="137"/>
            </w:pPr>
            <w:r>
              <w:rPr>
                <w:spacing w:val="-2"/>
              </w:rPr>
              <w:t>73.0</w:t>
            </w:r>
          </w:p>
        </w:tc>
        <w:tc>
          <w:tcPr>
            <w:tcW w:w="645" w:type="dxa"/>
            <w:vAlign w:val="top"/>
          </w:tcPr>
          <w:p w14:paraId="2AD11118">
            <w:pPr>
              <w:pStyle w:val="6"/>
              <w:spacing w:before="103" w:line="188" w:lineRule="auto"/>
              <w:ind w:left="139"/>
            </w:pPr>
            <w:r>
              <w:rPr>
                <w:spacing w:val="-2"/>
              </w:rPr>
              <w:t>67.0</w:t>
            </w:r>
          </w:p>
        </w:tc>
        <w:tc>
          <w:tcPr>
            <w:tcW w:w="644" w:type="dxa"/>
            <w:vAlign w:val="top"/>
          </w:tcPr>
          <w:p w14:paraId="299F184A">
            <w:pPr>
              <w:pStyle w:val="6"/>
              <w:spacing w:before="103" w:line="188" w:lineRule="auto"/>
              <w:ind w:left="140"/>
            </w:pPr>
            <w:r>
              <w:rPr>
                <w:spacing w:val="-2"/>
              </w:rPr>
              <w:t>65.0</w:t>
            </w:r>
          </w:p>
        </w:tc>
        <w:tc>
          <w:tcPr>
            <w:tcW w:w="645" w:type="dxa"/>
            <w:vAlign w:val="top"/>
          </w:tcPr>
          <w:p w14:paraId="7E338495">
            <w:pPr>
              <w:pStyle w:val="6"/>
              <w:spacing w:before="103" w:line="188" w:lineRule="auto"/>
              <w:ind w:left="141"/>
            </w:pPr>
            <w:r>
              <w:rPr>
                <w:spacing w:val="-3"/>
              </w:rPr>
              <w:t>59.0</w:t>
            </w:r>
          </w:p>
        </w:tc>
        <w:tc>
          <w:tcPr>
            <w:tcW w:w="644" w:type="dxa"/>
            <w:vAlign w:val="top"/>
          </w:tcPr>
          <w:p w14:paraId="092BDBBE">
            <w:pPr>
              <w:pStyle w:val="6"/>
              <w:spacing w:before="103" w:line="188" w:lineRule="auto"/>
              <w:ind w:left="142"/>
            </w:pPr>
            <w:r>
              <w:rPr>
                <w:spacing w:val="-3"/>
              </w:rPr>
              <w:t>53.0</w:t>
            </w:r>
          </w:p>
        </w:tc>
        <w:tc>
          <w:tcPr>
            <w:tcW w:w="645" w:type="dxa"/>
            <w:vAlign w:val="top"/>
          </w:tcPr>
          <w:p w14:paraId="277A58B7">
            <w:pPr>
              <w:pStyle w:val="6"/>
              <w:spacing w:before="103" w:line="188" w:lineRule="auto"/>
              <w:ind w:left="136"/>
            </w:pPr>
            <w:r>
              <w:rPr>
                <w:spacing w:val="-1"/>
              </w:rPr>
              <w:t>49.5</w:t>
            </w:r>
          </w:p>
        </w:tc>
        <w:tc>
          <w:tcPr>
            <w:tcW w:w="649" w:type="dxa"/>
            <w:vAlign w:val="top"/>
          </w:tcPr>
          <w:p w14:paraId="2D54789F">
            <w:pPr>
              <w:pStyle w:val="6"/>
              <w:spacing w:before="103" w:line="188" w:lineRule="auto"/>
              <w:ind w:left="139"/>
            </w:pPr>
            <w:r>
              <w:rPr>
                <w:spacing w:val="-1"/>
              </w:rPr>
              <w:t>47.0</w:t>
            </w:r>
          </w:p>
        </w:tc>
        <w:tc>
          <w:tcPr>
            <w:tcW w:w="1130" w:type="dxa"/>
            <w:vMerge w:val="continue"/>
            <w:tcBorders>
              <w:top w:val="nil"/>
              <w:bottom w:val="nil"/>
            </w:tcBorders>
            <w:vAlign w:val="top"/>
          </w:tcPr>
          <w:p w14:paraId="652F452E">
            <w:pPr>
              <w:rPr>
                <w:rFonts w:ascii="Arial"/>
                <w:sz w:val="21"/>
              </w:rPr>
            </w:pPr>
          </w:p>
        </w:tc>
      </w:tr>
      <w:tr w14:paraId="5609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0" w:type="dxa"/>
            <w:vAlign w:val="top"/>
          </w:tcPr>
          <w:p w14:paraId="762FADAF">
            <w:pPr>
              <w:spacing w:before="66" w:line="220" w:lineRule="auto"/>
              <w:ind w:left="225"/>
              <w:rPr>
                <w:rFonts w:ascii="宋体" w:hAnsi="宋体" w:eastAsia="宋体" w:cs="宋体"/>
                <w:sz w:val="21"/>
                <w:szCs w:val="21"/>
              </w:rPr>
            </w:pPr>
            <w:r>
              <w:rPr>
                <w:rFonts w:ascii="宋体" w:hAnsi="宋体" w:eastAsia="宋体" w:cs="宋体"/>
                <w:spacing w:val="-3"/>
                <w:sz w:val="21"/>
                <w:szCs w:val="21"/>
              </w:rPr>
              <w:t>装修</w:t>
            </w:r>
          </w:p>
        </w:tc>
        <w:tc>
          <w:tcPr>
            <w:tcW w:w="711" w:type="dxa"/>
            <w:vAlign w:val="top"/>
          </w:tcPr>
          <w:p w14:paraId="3870D773">
            <w:pPr>
              <w:pStyle w:val="6"/>
              <w:spacing w:before="103" w:line="188" w:lineRule="auto"/>
              <w:ind w:left="248"/>
            </w:pPr>
            <w:r>
              <w:rPr>
                <w:spacing w:val="-4"/>
              </w:rPr>
              <w:t>90</w:t>
            </w:r>
          </w:p>
        </w:tc>
        <w:tc>
          <w:tcPr>
            <w:tcW w:w="1103" w:type="dxa"/>
            <w:vAlign w:val="top"/>
          </w:tcPr>
          <w:p w14:paraId="55FE893C">
            <w:pPr>
              <w:pStyle w:val="6"/>
              <w:spacing w:before="103" w:line="188" w:lineRule="auto"/>
              <w:ind w:left="450"/>
            </w:pPr>
            <w:r>
              <w:rPr>
                <w:spacing w:val="-4"/>
              </w:rPr>
              <w:t>83</w:t>
            </w:r>
          </w:p>
        </w:tc>
        <w:tc>
          <w:tcPr>
            <w:tcW w:w="644" w:type="dxa"/>
            <w:vAlign w:val="top"/>
          </w:tcPr>
          <w:p w14:paraId="0A4A4D6B">
            <w:pPr>
              <w:pStyle w:val="6"/>
              <w:spacing w:before="103" w:line="188" w:lineRule="auto"/>
              <w:ind w:left="139"/>
            </w:pPr>
            <w:r>
              <w:rPr>
                <w:spacing w:val="-2"/>
              </w:rPr>
              <w:t>63.0</w:t>
            </w:r>
          </w:p>
        </w:tc>
        <w:tc>
          <w:tcPr>
            <w:tcW w:w="645" w:type="dxa"/>
            <w:vAlign w:val="top"/>
          </w:tcPr>
          <w:p w14:paraId="1C8A5910">
            <w:pPr>
              <w:pStyle w:val="6"/>
              <w:spacing w:before="103" w:line="188" w:lineRule="auto"/>
              <w:ind w:left="140"/>
            </w:pPr>
            <w:r>
              <w:rPr>
                <w:spacing w:val="-3"/>
              </w:rPr>
              <w:t>57.0</w:t>
            </w:r>
          </w:p>
        </w:tc>
        <w:tc>
          <w:tcPr>
            <w:tcW w:w="644" w:type="dxa"/>
            <w:vAlign w:val="top"/>
          </w:tcPr>
          <w:p w14:paraId="53CE65C1">
            <w:pPr>
              <w:pStyle w:val="6"/>
              <w:spacing w:before="103" w:line="188" w:lineRule="auto"/>
              <w:ind w:left="141"/>
            </w:pPr>
            <w:r>
              <w:rPr>
                <w:spacing w:val="-3"/>
              </w:rPr>
              <w:t>55.0</w:t>
            </w:r>
          </w:p>
        </w:tc>
        <w:tc>
          <w:tcPr>
            <w:tcW w:w="645" w:type="dxa"/>
            <w:vAlign w:val="top"/>
          </w:tcPr>
          <w:p w14:paraId="73C76F4B">
            <w:pPr>
              <w:pStyle w:val="6"/>
              <w:spacing w:before="103" w:line="188" w:lineRule="auto"/>
              <w:ind w:left="134"/>
            </w:pPr>
            <w:r>
              <w:rPr>
                <w:spacing w:val="-1"/>
              </w:rPr>
              <w:t>49.0</w:t>
            </w:r>
          </w:p>
        </w:tc>
        <w:tc>
          <w:tcPr>
            <w:tcW w:w="644" w:type="dxa"/>
            <w:vAlign w:val="top"/>
          </w:tcPr>
          <w:p w14:paraId="1104AD9F">
            <w:pPr>
              <w:pStyle w:val="6"/>
              <w:spacing w:before="103" w:line="188" w:lineRule="auto"/>
              <w:ind w:left="135"/>
            </w:pPr>
            <w:r>
              <w:rPr>
                <w:spacing w:val="-1"/>
              </w:rPr>
              <w:t>43.0</w:t>
            </w:r>
          </w:p>
        </w:tc>
        <w:tc>
          <w:tcPr>
            <w:tcW w:w="645" w:type="dxa"/>
            <w:vAlign w:val="top"/>
          </w:tcPr>
          <w:p w14:paraId="699DBD38">
            <w:pPr>
              <w:pStyle w:val="6"/>
              <w:spacing w:before="103" w:line="188" w:lineRule="auto"/>
              <w:ind w:left="141"/>
            </w:pPr>
            <w:r>
              <w:rPr>
                <w:spacing w:val="-2"/>
              </w:rPr>
              <w:t>39.5</w:t>
            </w:r>
          </w:p>
        </w:tc>
        <w:tc>
          <w:tcPr>
            <w:tcW w:w="649" w:type="dxa"/>
            <w:vAlign w:val="top"/>
          </w:tcPr>
          <w:p w14:paraId="4901F9C0">
            <w:pPr>
              <w:pStyle w:val="6"/>
              <w:spacing w:before="103" w:line="188" w:lineRule="auto"/>
              <w:ind w:left="144"/>
            </w:pPr>
            <w:r>
              <w:rPr>
                <w:spacing w:val="-2"/>
              </w:rPr>
              <w:t>37.0</w:t>
            </w:r>
          </w:p>
        </w:tc>
        <w:tc>
          <w:tcPr>
            <w:tcW w:w="1130" w:type="dxa"/>
            <w:vMerge w:val="continue"/>
            <w:tcBorders>
              <w:top w:val="nil"/>
            </w:tcBorders>
            <w:vAlign w:val="top"/>
          </w:tcPr>
          <w:p w14:paraId="5D299FF2">
            <w:pPr>
              <w:rPr>
                <w:rFonts w:ascii="Arial"/>
                <w:sz w:val="21"/>
              </w:rPr>
            </w:pPr>
          </w:p>
        </w:tc>
      </w:tr>
    </w:tbl>
    <w:p w14:paraId="1B6C2CD4">
      <w:pPr>
        <w:spacing w:before="234" w:line="360" w:lineRule="auto"/>
        <w:ind w:left="38" w:right="67" w:firstLine="480"/>
        <w:jc w:val="both"/>
        <w:rPr>
          <w:rFonts w:ascii="宋体" w:hAnsi="宋体" w:eastAsia="宋体" w:cs="宋体"/>
          <w:sz w:val="24"/>
          <w:szCs w:val="24"/>
        </w:rPr>
      </w:pPr>
      <w:r>
        <w:rPr>
          <w:rFonts w:ascii="宋体" w:hAnsi="宋体" w:eastAsia="宋体" w:cs="宋体"/>
          <w:spacing w:val="-6"/>
          <w:sz w:val="24"/>
          <w:szCs w:val="24"/>
        </w:rPr>
        <w:t>考虑到施工场地噪声分布的不均匀性（施工场地噪声峰值的出现</w:t>
      </w:r>
      <w:r>
        <w:rPr>
          <w:rFonts w:ascii="宋体" w:hAnsi="宋体" w:eastAsia="宋体" w:cs="宋体"/>
          <w:spacing w:val="-16"/>
          <w:sz w:val="24"/>
          <w:szCs w:val="24"/>
        </w:rPr>
        <w:t>），</w:t>
      </w:r>
      <w:r>
        <w:rPr>
          <w:rFonts w:ascii="宋体" w:hAnsi="宋体" w:eastAsia="宋体" w:cs="宋体"/>
          <w:spacing w:val="-6"/>
          <w:sz w:val="24"/>
          <w:szCs w:val="24"/>
        </w:rPr>
        <w:t>按</w:t>
      </w:r>
      <w:r>
        <w:rPr>
          <w:rFonts w:ascii="Times New Roman" w:hAnsi="Times New Roman" w:eastAsia="Times New Roman" w:cs="Times New Roman"/>
          <w:spacing w:val="-6"/>
          <w:sz w:val="24"/>
          <w:szCs w:val="24"/>
        </w:rPr>
        <w:t>2</w:t>
      </w:r>
      <w:r>
        <w:rPr>
          <w:rFonts w:ascii="宋体" w:hAnsi="宋体" w:eastAsia="宋体" w:cs="宋体"/>
          <w:spacing w:val="-6"/>
          <w:sz w:val="24"/>
          <w:szCs w:val="24"/>
        </w:rPr>
        <w:t>类声</w:t>
      </w:r>
      <w:r>
        <w:rPr>
          <w:rFonts w:ascii="宋体" w:hAnsi="宋体" w:eastAsia="宋体" w:cs="宋体"/>
          <w:spacing w:val="-3"/>
          <w:sz w:val="24"/>
          <w:szCs w:val="24"/>
        </w:rPr>
        <w:t>环境功能区标准衡量，由表中的计算结果可知，施工期间产生的施工噪声昼间将</w:t>
      </w:r>
      <w:r>
        <w:rPr>
          <w:rFonts w:ascii="宋体" w:hAnsi="宋体" w:eastAsia="宋体" w:cs="宋体"/>
          <w:spacing w:val="-2"/>
          <w:sz w:val="24"/>
          <w:szCs w:val="24"/>
        </w:rPr>
        <w:t>对</w:t>
      </w:r>
      <w:r>
        <w:rPr>
          <w:rFonts w:ascii="Times New Roman" w:hAnsi="Times New Roman" w:eastAsia="Times New Roman" w:cs="Times New Roman"/>
          <w:spacing w:val="-2"/>
          <w:sz w:val="24"/>
          <w:szCs w:val="24"/>
        </w:rPr>
        <w:t>50m</w:t>
      </w:r>
      <w:r>
        <w:rPr>
          <w:rFonts w:ascii="宋体" w:hAnsi="宋体" w:eastAsia="宋体" w:cs="宋体"/>
          <w:spacing w:val="-2"/>
          <w:sz w:val="24"/>
          <w:szCs w:val="24"/>
        </w:rPr>
        <w:t>范围内，夜间将对</w:t>
      </w:r>
      <w:r>
        <w:rPr>
          <w:rFonts w:ascii="Times New Roman" w:hAnsi="Times New Roman" w:eastAsia="Times New Roman" w:cs="Times New Roman"/>
          <w:spacing w:val="-2"/>
          <w:sz w:val="24"/>
          <w:szCs w:val="24"/>
        </w:rPr>
        <w:t>150m</w:t>
      </w:r>
      <w:r>
        <w:rPr>
          <w:rFonts w:ascii="宋体" w:hAnsi="宋体" w:eastAsia="宋体" w:cs="宋体"/>
          <w:spacing w:val="-2"/>
          <w:sz w:val="24"/>
          <w:szCs w:val="24"/>
        </w:rPr>
        <w:t>范围内造成噪声污染。</w:t>
      </w:r>
    </w:p>
    <w:p w14:paraId="05FC3BF4">
      <w:pPr>
        <w:spacing w:line="218" w:lineRule="auto"/>
        <w:ind w:left="522"/>
        <w:rPr>
          <w:rFonts w:ascii="宋体" w:hAnsi="宋体" w:eastAsia="宋体" w:cs="宋体"/>
          <w:sz w:val="24"/>
          <w:szCs w:val="24"/>
        </w:rPr>
      </w:pPr>
      <w:r>
        <w:rPr>
          <w:rFonts w:ascii="宋体" w:hAnsi="宋体" w:eastAsia="宋体" w:cs="宋体"/>
          <w:spacing w:val="-3"/>
          <w:sz w:val="24"/>
          <w:szCs w:val="24"/>
        </w:rPr>
        <w:t>为保护区域内声环境质量质量，评价要求施工期还应注意：</w:t>
      </w:r>
    </w:p>
    <w:p w14:paraId="6C3897C3">
      <w:pPr>
        <w:spacing w:before="185" w:line="360" w:lineRule="auto"/>
        <w:ind w:left="39" w:right="67" w:firstLine="479"/>
        <w:rPr>
          <w:rFonts w:ascii="宋体" w:hAnsi="宋体" w:eastAsia="宋体" w:cs="宋体"/>
          <w:sz w:val="24"/>
          <w:szCs w:val="24"/>
        </w:rPr>
      </w:pPr>
      <w:r>
        <w:rPr>
          <w:rFonts w:ascii="宋体" w:hAnsi="宋体" w:eastAsia="宋体" w:cs="宋体"/>
          <w:spacing w:val="-3"/>
          <w:sz w:val="24"/>
          <w:szCs w:val="24"/>
        </w:rPr>
        <w:t>①文明施工：最大限度地降低人为噪声，搬卸物品应轻放，施工工</w:t>
      </w:r>
      <w:r>
        <w:rPr>
          <w:rFonts w:ascii="宋体" w:hAnsi="宋体" w:eastAsia="宋体" w:cs="宋体"/>
          <w:spacing w:val="-4"/>
          <w:sz w:val="24"/>
          <w:szCs w:val="24"/>
        </w:rPr>
        <w:t>具不要乱</w:t>
      </w:r>
      <w:r>
        <w:rPr>
          <w:rFonts w:ascii="宋体" w:hAnsi="宋体" w:eastAsia="宋体" w:cs="宋体"/>
          <w:spacing w:val="-10"/>
          <w:sz w:val="24"/>
          <w:szCs w:val="24"/>
        </w:rPr>
        <w:t>扔、远扔；木工房使用前应完全封闭；运输车辆进出施工现场控制或禁止鸣喇叭，</w:t>
      </w:r>
      <w:r>
        <w:rPr>
          <w:rFonts w:ascii="宋体" w:hAnsi="宋体" w:eastAsia="宋体" w:cs="宋体"/>
          <w:spacing w:val="-6"/>
          <w:sz w:val="24"/>
          <w:szCs w:val="24"/>
        </w:rPr>
        <w:t>减少交通噪声。</w:t>
      </w:r>
    </w:p>
    <w:p w14:paraId="6C44CD47">
      <w:pPr>
        <w:spacing w:line="361" w:lineRule="auto"/>
        <w:ind w:left="40" w:firstLine="477"/>
        <w:rPr>
          <w:rFonts w:ascii="宋体" w:hAnsi="宋体" w:eastAsia="宋体" w:cs="宋体"/>
          <w:sz w:val="24"/>
          <w:szCs w:val="24"/>
        </w:rPr>
      </w:pPr>
      <w:r>
        <w:rPr>
          <w:rFonts w:ascii="宋体" w:hAnsi="宋体" w:eastAsia="宋体" w:cs="宋体"/>
          <w:spacing w:val="-1"/>
          <w:sz w:val="24"/>
          <w:szCs w:val="24"/>
        </w:rPr>
        <w:t>②合理安排施工时间：将高噪声作业尽量安排在白天进行，严禁夜间施</w:t>
      </w:r>
      <w:r>
        <w:rPr>
          <w:rFonts w:ascii="宋体" w:hAnsi="宋体" w:eastAsia="宋体" w:cs="宋体"/>
          <w:spacing w:val="-2"/>
          <w:sz w:val="24"/>
          <w:szCs w:val="24"/>
        </w:rPr>
        <w:t>工，</w:t>
      </w:r>
      <w:r>
        <w:rPr>
          <w:rFonts w:ascii="宋体" w:hAnsi="宋体" w:eastAsia="宋体" w:cs="宋体"/>
          <w:sz w:val="24"/>
          <w:szCs w:val="24"/>
        </w:rPr>
        <w:t>杜绝夜间（</w:t>
      </w:r>
      <w:r>
        <w:rPr>
          <w:rFonts w:ascii="Times New Roman" w:hAnsi="Times New Roman" w:eastAsia="Times New Roman" w:cs="Times New Roman"/>
          <w:sz w:val="24"/>
          <w:szCs w:val="24"/>
        </w:rPr>
        <w:t>22:00~6:00</w:t>
      </w:r>
      <w:r>
        <w:rPr>
          <w:rFonts w:ascii="宋体" w:hAnsi="宋体" w:eastAsia="宋体" w:cs="宋体"/>
          <w:sz w:val="24"/>
          <w:szCs w:val="24"/>
        </w:rPr>
        <w:t>）施工噪</w:t>
      </w:r>
      <w:r>
        <w:rPr>
          <w:rFonts w:ascii="宋体" w:hAnsi="宋体" w:eastAsia="宋体" w:cs="宋体"/>
          <w:spacing w:val="-1"/>
          <w:sz w:val="24"/>
          <w:szCs w:val="24"/>
        </w:rPr>
        <w:t>声扰民；若工艺要求夜间必须进行连续作业的强</w:t>
      </w:r>
      <w:r>
        <w:rPr>
          <w:rFonts w:ascii="宋体" w:hAnsi="宋体" w:eastAsia="宋体" w:cs="宋体"/>
          <w:spacing w:val="-3"/>
          <w:sz w:val="24"/>
          <w:szCs w:val="24"/>
        </w:rPr>
        <w:t>噪声施工，根据《中华人民共和国环境噪声污染防治法》</w:t>
      </w:r>
      <w:r>
        <w:rPr>
          <w:rFonts w:ascii="宋体" w:hAnsi="宋体" w:eastAsia="宋体" w:cs="宋体"/>
          <w:spacing w:val="-4"/>
          <w:sz w:val="24"/>
          <w:szCs w:val="24"/>
        </w:rPr>
        <w:t>，建设单位必须在取得</w:t>
      </w:r>
      <w:r>
        <w:rPr>
          <w:rFonts w:ascii="宋体" w:hAnsi="宋体" w:eastAsia="宋体" w:cs="宋体"/>
          <w:spacing w:val="-2"/>
          <w:sz w:val="24"/>
          <w:szCs w:val="24"/>
        </w:rPr>
        <w:t>夜间施工许可证后应对周边居民进行公示，方可进行。</w:t>
      </w:r>
    </w:p>
    <w:p w14:paraId="4AA654EB">
      <w:pPr>
        <w:spacing w:line="361" w:lineRule="auto"/>
        <w:rPr>
          <w:rFonts w:ascii="宋体" w:hAnsi="宋体" w:eastAsia="宋体" w:cs="宋体"/>
          <w:sz w:val="24"/>
          <w:szCs w:val="24"/>
        </w:rPr>
        <w:sectPr>
          <w:headerReference r:id="rId288" w:type="default"/>
          <w:footerReference r:id="rId289" w:type="default"/>
          <w:pgSz w:w="11905" w:h="16840"/>
          <w:pgMar w:top="1168" w:right="1730" w:bottom="1409" w:left="1770" w:header="828" w:footer="1244" w:gutter="0"/>
          <w:cols w:space="720" w:num="1"/>
        </w:sectPr>
      </w:pPr>
    </w:p>
    <w:p w14:paraId="6ED4543F">
      <w:pPr>
        <w:pStyle w:val="2"/>
        <w:spacing w:line="306" w:lineRule="auto"/>
      </w:pPr>
    </w:p>
    <w:p w14:paraId="06BECE86">
      <w:pPr>
        <w:spacing w:before="78" w:line="360" w:lineRule="auto"/>
        <w:ind w:left="58" w:right="109" w:firstLine="459"/>
        <w:rPr>
          <w:rFonts w:ascii="宋体" w:hAnsi="宋体" w:eastAsia="宋体" w:cs="宋体"/>
          <w:sz w:val="24"/>
          <w:szCs w:val="24"/>
        </w:rPr>
      </w:pPr>
      <w:r>
        <w:rPr>
          <w:rFonts w:ascii="宋体" w:hAnsi="宋体" w:eastAsia="宋体" w:cs="宋体"/>
          <w:spacing w:val="4"/>
          <w:sz w:val="24"/>
          <w:szCs w:val="24"/>
        </w:rPr>
        <w:t>③施工场地的施工车辆出入场地应低速、禁鸣，车辆对所经沿线道路两侧</w:t>
      </w:r>
      <w:r>
        <w:rPr>
          <w:rFonts w:ascii="Times New Roman" w:hAnsi="Times New Roman" w:eastAsia="Times New Roman" w:cs="Times New Roman"/>
          <w:spacing w:val="-4"/>
          <w:sz w:val="24"/>
          <w:szCs w:val="24"/>
        </w:rPr>
        <w:t>100m</w:t>
      </w:r>
      <w:r>
        <w:rPr>
          <w:rFonts w:ascii="宋体" w:hAnsi="宋体" w:eastAsia="宋体" w:cs="宋体"/>
          <w:spacing w:val="-4"/>
          <w:sz w:val="24"/>
          <w:szCs w:val="24"/>
        </w:rPr>
        <w:t>范围内有一定影响，应予以重视。</w:t>
      </w:r>
    </w:p>
    <w:p w14:paraId="5F83D446">
      <w:pPr>
        <w:spacing w:before="1" w:line="361" w:lineRule="auto"/>
        <w:ind w:left="44" w:firstLine="478"/>
        <w:jc w:val="both"/>
        <w:rPr>
          <w:rFonts w:ascii="宋体" w:hAnsi="宋体" w:eastAsia="宋体" w:cs="宋体"/>
          <w:sz w:val="24"/>
          <w:szCs w:val="24"/>
        </w:rPr>
      </w:pPr>
      <w:r>
        <w:rPr>
          <w:rFonts w:ascii="宋体" w:hAnsi="宋体" w:eastAsia="宋体" w:cs="宋体"/>
          <w:spacing w:val="-3"/>
          <w:sz w:val="24"/>
          <w:szCs w:val="24"/>
        </w:rPr>
        <w:t>综上所述，项目施工期阶段，建设单位必须严格落实本评</w:t>
      </w:r>
      <w:r>
        <w:rPr>
          <w:rFonts w:ascii="宋体" w:hAnsi="宋体" w:eastAsia="宋体" w:cs="宋体"/>
          <w:spacing w:val="-4"/>
          <w:sz w:val="24"/>
          <w:szCs w:val="24"/>
        </w:rPr>
        <w:t>价提出的施工期噪</w:t>
      </w:r>
      <w:r>
        <w:rPr>
          <w:rFonts w:ascii="宋体" w:hAnsi="宋体" w:eastAsia="宋体" w:cs="宋体"/>
          <w:spacing w:val="-7"/>
          <w:sz w:val="24"/>
          <w:szCs w:val="24"/>
        </w:rPr>
        <w:t>声污染防治措施要求，确保施工场界噪声满足《建筑施工场界环境噪声排放标准》</w:t>
      </w:r>
      <w:r>
        <w:rPr>
          <w:rFonts w:ascii="宋体" w:hAnsi="宋体" w:eastAsia="宋体" w:cs="宋体"/>
          <w:spacing w:val="1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GB12523-2011</w:t>
      </w:r>
      <w:r>
        <w:rPr>
          <w:rFonts w:ascii="宋体" w:hAnsi="宋体" w:eastAsia="宋体" w:cs="宋体"/>
          <w:spacing w:val="-3"/>
          <w:sz w:val="24"/>
          <w:szCs w:val="24"/>
        </w:rPr>
        <w:t>）限值要求。</w:t>
      </w:r>
    </w:p>
    <w:p w14:paraId="4F2B6CEA">
      <w:pPr>
        <w:spacing w:before="162"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4.1.4  </w:t>
      </w:r>
      <w:r>
        <w:rPr>
          <w:rFonts w:ascii="宋体" w:hAnsi="宋体" w:eastAsia="宋体" w:cs="宋体"/>
          <w:b/>
          <w:bCs/>
          <w:spacing w:val="-2"/>
          <w:sz w:val="30"/>
          <w:szCs w:val="30"/>
        </w:rPr>
        <w:t>施工期固废环境影响评价</w:t>
      </w:r>
    </w:p>
    <w:p w14:paraId="0B95EFCC">
      <w:pPr>
        <w:pStyle w:val="2"/>
        <w:spacing w:line="262" w:lineRule="auto"/>
      </w:pPr>
    </w:p>
    <w:p w14:paraId="2AC76F5E">
      <w:pPr>
        <w:spacing w:before="78" w:line="220" w:lineRule="auto"/>
        <w:ind w:left="523"/>
        <w:rPr>
          <w:rFonts w:ascii="宋体" w:hAnsi="宋体" w:eastAsia="宋体" w:cs="宋体"/>
          <w:sz w:val="24"/>
          <w:szCs w:val="24"/>
        </w:rPr>
      </w:pPr>
      <w:r>
        <w:rPr>
          <w:rFonts w:ascii="宋体" w:hAnsi="宋体" w:eastAsia="宋体" w:cs="宋体"/>
          <w:spacing w:val="-2"/>
          <w:sz w:val="24"/>
          <w:szCs w:val="24"/>
        </w:rPr>
        <w:t>项目施工期固体废物主要是开挖土石方、建筑垃圾及生活垃圾。</w:t>
      </w:r>
    </w:p>
    <w:p w14:paraId="2D75DFEB">
      <w:pPr>
        <w:spacing w:before="181" w:line="360" w:lineRule="auto"/>
        <w:ind w:left="38" w:right="110" w:firstLine="480"/>
        <w:rPr>
          <w:rFonts w:ascii="宋体" w:hAnsi="宋体" w:eastAsia="宋体" w:cs="宋体"/>
          <w:sz w:val="24"/>
          <w:szCs w:val="24"/>
        </w:rPr>
      </w:pPr>
      <w:r>
        <w:rPr>
          <w:rFonts w:ascii="宋体" w:hAnsi="宋体" w:eastAsia="宋体" w:cs="宋体"/>
          <w:spacing w:val="-3"/>
          <w:sz w:val="24"/>
          <w:szCs w:val="24"/>
        </w:rPr>
        <w:t>①土石方：本项目施工期间开挖土石，全部用于项目场地内标高回</w:t>
      </w:r>
      <w:r>
        <w:rPr>
          <w:rFonts w:ascii="宋体" w:hAnsi="宋体" w:eastAsia="宋体" w:cs="宋体"/>
          <w:spacing w:val="-4"/>
          <w:sz w:val="24"/>
          <w:szCs w:val="24"/>
        </w:rPr>
        <w:t>填和绿化</w:t>
      </w:r>
      <w:r>
        <w:rPr>
          <w:rFonts w:ascii="宋体" w:hAnsi="宋体" w:eastAsia="宋体" w:cs="宋体"/>
          <w:spacing w:val="-6"/>
          <w:sz w:val="24"/>
          <w:szCs w:val="24"/>
        </w:rPr>
        <w:t>回填，无废弃土石方产生。评价要求对开挖的土石方进行临时合</w:t>
      </w:r>
      <w:r>
        <w:rPr>
          <w:rFonts w:ascii="宋体" w:hAnsi="宋体" w:eastAsia="宋体" w:cs="宋体"/>
          <w:spacing w:val="-7"/>
          <w:sz w:val="24"/>
          <w:szCs w:val="24"/>
        </w:rPr>
        <w:t>理堆放， 在雨天</w:t>
      </w:r>
      <w:r>
        <w:rPr>
          <w:rFonts w:ascii="宋体" w:hAnsi="宋体" w:eastAsia="宋体" w:cs="宋体"/>
          <w:spacing w:val="-2"/>
          <w:sz w:val="24"/>
          <w:szCs w:val="24"/>
        </w:rPr>
        <w:t>及起风的天气情况下进行遮盖，预防产生水土流失及扬尘。</w:t>
      </w:r>
    </w:p>
    <w:p w14:paraId="03E1DF53">
      <w:pPr>
        <w:spacing w:line="360" w:lineRule="auto"/>
        <w:ind w:left="37" w:right="110" w:firstLine="480"/>
        <w:rPr>
          <w:rFonts w:ascii="宋体" w:hAnsi="宋体" w:eastAsia="宋体" w:cs="宋体"/>
          <w:sz w:val="24"/>
          <w:szCs w:val="24"/>
        </w:rPr>
      </w:pPr>
      <w:r>
        <w:rPr>
          <w:rFonts w:ascii="宋体" w:hAnsi="宋体" w:eastAsia="宋体" w:cs="宋体"/>
          <w:spacing w:val="-3"/>
          <w:sz w:val="24"/>
          <w:szCs w:val="24"/>
        </w:rPr>
        <w:t>②建筑垃圾：在施工现场应设置建筑废弃物临时堆场（树立标示牌</w:t>
      </w:r>
      <w:r>
        <w:rPr>
          <w:rFonts w:ascii="宋体" w:hAnsi="宋体" w:eastAsia="宋体" w:cs="宋体"/>
          <w:spacing w:val="-4"/>
          <w:sz w:val="24"/>
          <w:szCs w:val="24"/>
        </w:rPr>
        <w:t>）并进行</w:t>
      </w:r>
      <w:r>
        <w:rPr>
          <w:rFonts w:ascii="宋体" w:hAnsi="宋体" w:eastAsia="宋体" w:cs="宋体"/>
          <w:spacing w:val="-11"/>
          <w:sz w:val="24"/>
          <w:szCs w:val="24"/>
        </w:rPr>
        <w:t>防雨、防渗漏处理。施工生产的废料首先应考虑废料的回收利用，对钢筋、钢板、</w:t>
      </w:r>
      <w:r>
        <w:rPr>
          <w:rFonts w:ascii="宋体" w:hAnsi="宋体" w:eastAsia="宋体" w:cs="宋体"/>
          <w:spacing w:val="-3"/>
          <w:sz w:val="24"/>
          <w:szCs w:val="24"/>
        </w:rPr>
        <w:t>木材等下角料可分类回收，交物资回收站处理；对不能回收的建筑垃圾，如混凝</w:t>
      </w:r>
      <w:r>
        <w:rPr>
          <w:rFonts w:ascii="宋体" w:hAnsi="宋体" w:eastAsia="宋体" w:cs="宋体"/>
          <w:spacing w:val="-6"/>
          <w:sz w:val="24"/>
          <w:szCs w:val="24"/>
        </w:rPr>
        <w:t>土废料及含砖、石、砂的杂土等应集中堆放， 定时清运到当地政</w:t>
      </w:r>
      <w:r>
        <w:rPr>
          <w:rFonts w:ascii="宋体" w:hAnsi="宋体" w:eastAsia="宋体" w:cs="宋体"/>
          <w:spacing w:val="-7"/>
          <w:sz w:val="24"/>
          <w:szCs w:val="24"/>
        </w:rPr>
        <w:t>府部门指定场地</w:t>
      </w:r>
      <w:r>
        <w:rPr>
          <w:rFonts w:ascii="宋体" w:hAnsi="宋体" w:eastAsia="宋体" w:cs="宋体"/>
          <w:spacing w:val="-5"/>
          <w:sz w:val="24"/>
          <w:szCs w:val="24"/>
        </w:rPr>
        <w:t>进行处理。为确保废弃物处置措施落实，</w:t>
      </w:r>
      <w:r>
        <w:rPr>
          <w:rFonts w:ascii="宋体" w:hAnsi="宋体" w:eastAsia="宋体" w:cs="宋体"/>
          <w:spacing w:val="-47"/>
          <w:sz w:val="24"/>
          <w:szCs w:val="24"/>
        </w:rPr>
        <w:t xml:space="preserve"> </w:t>
      </w:r>
      <w:r>
        <w:rPr>
          <w:rFonts w:ascii="宋体" w:hAnsi="宋体" w:eastAsia="宋体" w:cs="宋体"/>
          <w:spacing w:val="-5"/>
          <w:sz w:val="24"/>
          <w:szCs w:val="24"/>
        </w:rPr>
        <w:t>建设单位或施工总承包单位在与建筑垃</w:t>
      </w:r>
      <w:r>
        <w:rPr>
          <w:rFonts w:ascii="宋体" w:hAnsi="宋体" w:eastAsia="宋体" w:cs="宋体"/>
          <w:spacing w:val="-3"/>
          <w:sz w:val="24"/>
          <w:szCs w:val="24"/>
        </w:rPr>
        <w:t>圾清运公司签订清运合同时，应要求承包公司提供废弃物去向的证明材料，严禁随意倾倒、填埋，造成二次污染。</w:t>
      </w:r>
    </w:p>
    <w:p w14:paraId="09A0B706">
      <w:pPr>
        <w:spacing w:line="360" w:lineRule="auto"/>
        <w:ind w:left="40" w:right="110" w:firstLine="477"/>
        <w:rPr>
          <w:rFonts w:ascii="宋体" w:hAnsi="宋体" w:eastAsia="宋体" w:cs="宋体"/>
          <w:sz w:val="24"/>
          <w:szCs w:val="24"/>
        </w:rPr>
      </w:pPr>
      <w:r>
        <w:rPr>
          <w:rFonts w:ascii="宋体" w:hAnsi="宋体" w:eastAsia="宋体" w:cs="宋体"/>
          <w:spacing w:val="-3"/>
          <w:sz w:val="24"/>
          <w:szCs w:val="24"/>
        </w:rPr>
        <w:t>③生活垃圾：施工人员每日产生的生活垃圾经垃圾桶收集后，送入</w:t>
      </w:r>
      <w:r>
        <w:rPr>
          <w:rFonts w:ascii="宋体" w:hAnsi="宋体" w:eastAsia="宋体" w:cs="宋体"/>
          <w:spacing w:val="-4"/>
          <w:sz w:val="24"/>
          <w:szCs w:val="24"/>
        </w:rPr>
        <w:t>项目附近</w:t>
      </w:r>
      <w:r>
        <w:rPr>
          <w:rFonts w:ascii="宋体" w:hAnsi="宋体" w:eastAsia="宋体" w:cs="宋体"/>
          <w:spacing w:val="-3"/>
          <w:sz w:val="24"/>
          <w:szCs w:val="24"/>
        </w:rPr>
        <w:t>生活垃圾收集点内堆放，最终由环卫部门统一清运处理，不会对环境空气和水环</w:t>
      </w:r>
      <w:r>
        <w:rPr>
          <w:rFonts w:ascii="宋体" w:hAnsi="宋体" w:eastAsia="宋体" w:cs="宋体"/>
          <w:spacing w:val="-4"/>
          <w:sz w:val="24"/>
          <w:szCs w:val="24"/>
        </w:rPr>
        <w:t>境质量构成潜在的影响因素。</w:t>
      </w:r>
    </w:p>
    <w:p w14:paraId="01F5B032">
      <w:pPr>
        <w:spacing w:line="360" w:lineRule="auto"/>
        <w:ind w:left="38" w:right="110" w:firstLine="486"/>
        <w:jc w:val="both"/>
        <w:rPr>
          <w:rFonts w:ascii="宋体" w:hAnsi="宋体" w:eastAsia="宋体" w:cs="宋体"/>
          <w:sz w:val="24"/>
          <w:szCs w:val="24"/>
        </w:rPr>
      </w:pPr>
      <w:r>
        <w:rPr>
          <w:rFonts w:ascii="宋体" w:hAnsi="宋体" w:eastAsia="宋体" w:cs="宋体"/>
          <w:spacing w:val="-3"/>
          <w:sz w:val="24"/>
          <w:szCs w:val="24"/>
        </w:rPr>
        <w:t>另外，施工期的环境管理是控制施工期环境影响的</w:t>
      </w:r>
      <w:r>
        <w:rPr>
          <w:rFonts w:ascii="宋体" w:hAnsi="宋体" w:eastAsia="宋体" w:cs="宋体"/>
          <w:spacing w:val="-4"/>
          <w:sz w:val="24"/>
          <w:szCs w:val="24"/>
        </w:rPr>
        <w:t>关键，建议建设单位在同</w:t>
      </w:r>
      <w:r>
        <w:rPr>
          <w:rFonts w:ascii="宋体" w:hAnsi="宋体" w:eastAsia="宋体" w:cs="宋体"/>
          <w:spacing w:val="-6"/>
          <w:sz w:val="24"/>
          <w:szCs w:val="24"/>
        </w:rPr>
        <w:t>施工单位签订合同时，应按照国家、地方的有关规定， 采取本评</w:t>
      </w:r>
      <w:r>
        <w:rPr>
          <w:rFonts w:ascii="宋体" w:hAnsi="宋体" w:eastAsia="宋体" w:cs="宋体"/>
          <w:spacing w:val="-7"/>
          <w:sz w:val="24"/>
          <w:szCs w:val="24"/>
        </w:rPr>
        <w:t>价所提出的防治</w:t>
      </w:r>
      <w:r>
        <w:rPr>
          <w:rFonts w:ascii="宋体" w:hAnsi="宋体" w:eastAsia="宋体" w:cs="宋体"/>
          <w:spacing w:val="-1"/>
          <w:sz w:val="24"/>
          <w:szCs w:val="24"/>
        </w:rPr>
        <w:t>措施，将有关内容作为合同内容明确要求，以控</w:t>
      </w:r>
      <w:r>
        <w:rPr>
          <w:rFonts w:ascii="宋体" w:hAnsi="宋体" w:eastAsia="宋体" w:cs="宋体"/>
          <w:spacing w:val="-2"/>
          <w:sz w:val="24"/>
          <w:szCs w:val="24"/>
        </w:rPr>
        <w:t>制施工期对环境的影响。</w:t>
      </w:r>
    </w:p>
    <w:p w14:paraId="0CA9F31C">
      <w:pPr>
        <w:spacing w:before="1" w:line="218" w:lineRule="auto"/>
        <w:ind w:left="522"/>
        <w:rPr>
          <w:rFonts w:ascii="宋体" w:hAnsi="宋体" w:eastAsia="宋体" w:cs="宋体"/>
          <w:sz w:val="24"/>
          <w:szCs w:val="24"/>
        </w:rPr>
      </w:pPr>
      <w:r>
        <w:rPr>
          <w:rFonts w:ascii="宋体" w:hAnsi="宋体" w:eastAsia="宋体" w:cs="宋体"/>
          <w:spacing w:val="-2"/>
          <w:sz w:val="24"/>
          <w:szCs w:val="24"/>
        </w:rPr>
        <w:t>综上分析，项目施工期固体废物均得到有效的处理，不会造成二次污染。</w:t>
      </w:r>
    </w:p>
    <w:p w14:paraId="5D65F806">
      <w:pPr>
        <w:pStyle w:val="2"/>
        <w:spacing w:line="252" w:lineRule="auto"/>
      </w:pPr>
    </w:p>
    <w:p w14:paraId="442FA5CC">
      <w:pPr>
        <w:spacing w:before="99"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4.1.5  </w:t>
      </w:r>
      <w:r>
        <w:rPr>
          <w:rFonts w:ascii="宋体" w:hAnsi="宋体" w:eastAsia="宋体" w:cs="宋体"/>
          <w:b/>
          <w:bCs/>
          <w:spacing w:val="-2"/>
          <w:sz w:val="30"/>
          <w:szCs w:val="30"/>
        </w:rPr>
        <w:t>施工期生态环境影响分析</w:t>
      </w:r>
    </w:p>
    <w:p w14:paraId="0EB66A42">
      <w:pPr>
        <w:pStyle w:val="2"/>
        <w:spacing w:line="258" w:lineRule="auto"/>
      </w:pPr>
    </w:p>
    <w:p w14:paraId="3424BC54">
      <w:pPr>
        <w:spacing w:before="78"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）土地资源影响分析</w:t>
      </w:r>
    </w:p>
    <w:p w14:paraId="72A3A730">
      <w:pPr>
        <w:spacing w:before="167" w:line="354" w:lineRule="auto"/>
        <w:ind w:left="68" w:right="128" w:firstLine="451"/>
        <w:rPr>
          <w:rFonts w:ascii="宋体" w:hAnsi="宋体" w:eastAsia="宋体" w:cs="宋体"/>
          <w:sz w:val="24"/>
          <w:szCs w:val="24"/>
        </w:rPr>
      </w:pPr>
      <w:r>
        <w:rPr>
          <w:rFonts w:ascii="宋体" w:hAnsi="宋体" w:eastAsia="宋体" w:cs="宋体"/>
          <w:spacing w:val="-3"/>
          <w:sz w:val="24"/>
          <w:szCs w:val="24"/>
        </w:rPr>
        <w:t>本项目位于东兴区白合镇喻家沟村</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组，占地</w:t>
      </w:r>
      <w:r>
        <w:rPr>
          <w:rFonts w:ascii="Times New Roman" w:hAnsi="Times New Roman" w:eastAsia="Times New Roman" w:cs="Times New Roman"/>
          <w:spacing w:val="-3"/>
          <w:sz w:val="24"/>
          <w:szCs w:val="24"/>
        </w:rPr>
        <w:t>8.4872hm</w:t>
      </w:r>
      <w:r>
        <w:rPr>
          <w:rFonts w:ascii="Times New Roman" w:hAnsi="Times New Roman" w:eastAsia="Times New Roman" w:cs="Times New Roman"/>
          <w:spacing w:val="-3"/>
          <w:position w:val="10"/>
          <w:sz w:val="15"/>
          <w:szCs w:val="15"/>
        </w:rPr>
        <w:t>2</w:t>
      </w:r>
      <w:r>
        <w:rPr>
          <w:rFonts w:ascii="宋体" w:hAnsi="宋体" w:eastAsia="宋体" w:cs="宋体"/>
          <w:spacing w:val="-3"/>
          <w:sz w:val="24"/>
          <w:szCs w:val="24"/>
        </w:rPr>
        <w:t>，项目用地范围</w:t>
      </w:r>
      <w:r>
        <w:rPr>
          <w:rFonts w:ascii="宋体" w:hAnsi="宋体" w:eastAsia="宋体" w:cs="宋体"/>
          <w:spacing w:val="-4"/>
          <w:sz w:val="24"/>
          <w:szCs w:val="24"/>
        </w:rPr>
        <w:t>内原为耕地、林地及水体等，项目已取得《设施农业用</w:t>
      </w:r>
      <w:r>
        <w:rPr>
          <w:rFonts w:ascii="宋体" w:hAnsi="宋体" w:eastAsia="宋体" w:cs="宋体"/>
          <w:spacing w:val="-5"/>
          <w:sz w:val="24"/>
          <w:szCs w:val="24"/>
        </w:rPr>
        <w:t>地备案表》，符合土地利</w:t>
      </w:r>
    </w:p>
    <w:p w14:paraId="2AA7A0A3">
      <w:pPr>
        <w:spacing w:line="354" w:lineRule="auto"/>
        <w:rPr>
          <w:rFonts w:ascii="宋体" w:hAnsi="宋体" w:eastAsia="宋体" w:cs="宋体"/>
          <w:sz w:val="24"/>
          <w:szCs w:val="24"/>
        </w:rPr>
        <w:sectPr>
          <w:headerReference r:id="rId290" w:type="default"/>
          <w:footerReference r:id="rId291" w:type="default"/>
          <w:pgSz w:w="11905" w:h="16840"/>
          <w:pgMar w:top="1168" w:right="1687" w:bottom="1409" w:left="1770" w:header="828" w:footer="1244" w:gutter="0"/>
          <w:cols w:space="720" w:num="1"/>
        </w:sectPr>
      </w:pPr>
    </w:p>
    <w:p w14:paraId="525230BF">
      <w:pPr>
        <w:pStyle w:val="2"/>
        <w:spacing w:line="306" w:lineRule="auto"/>
      </w:pPr>
    </w:p>
    <w:p w14:paraId="69C40FE4">
      <w:pPr>
        <w:spacing w:before="78" w:line="219" w:lineRule="auto"/>
        <w:ind w:left="41"/>
        <w:rPr>
          <w:rFonts w:ascii="宋体" w:hAnsi="宋体" w:eastAsia="宋体" w:cs="宋体"/>
          <w:sz w:val="24"/>
          <w:szCs w:val="24"/>
        </w:rPr>
      </w:pPr>
      <w:r>
        <w:rPr>
          <w:rFonts w:ascii="宋体" w:hAnsi="宋体" w:eastAsia="宋体" w:cs="宋体"/>
          <w:spacing w:val="-1"/>
          <w:sz w:val="24"/>
          <w:szCs w:val="24"/>
        </w:rPr>
        <w:t>用规划，该项目的建设不会对区域土地资源以及土</w:t>
      </w:r>
      <w:r>
        <w:rPr>
          <w:rFonts w:ascii="宋体" w:hAnsi="宋体" w:eastAsia="宋体" w:cs="宋体"/>
          <w:spacing w:val="-2"/>
          <w:sz w:val="24"/>
          <w:szCs w:val="24"/>
        </w:rPr>
        <w:t>地利用格局带来明显影响。</w:t>
      </w:r>
    </w:p>
    <w:p w14:paraId="7DA97BC9">
      <w:pPr>
        <w:spacing w:before="18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）对植物影响分析</w:t>
      </w:r>
    </w:p>
    <w:p w14:paraId="1F92EF86">
      <w:pPr>
        <w:spacing w:before="182" w:line="360" w:lineRule="auto"/>
        <w:ind w:left="38" w:right="120" w:firstLine="480"/>
        <w:rPr>
          <w:rFonts w:ascii="宋体" w:hAnsi="宋体" w:eastAsia="宋体" w:cs="宋体"/>
          <w:sz w:val="24"/>
          <w:szCs w:val="24"/>
        </w:rPr>
      </w:pPr>
      <w:r>
        <w:rPr>
          <w:rFonts w:ascii="宋体" w:hAnsi="宋体" w:eastAsia="宋体" w:cs="宋体"/>
          <w:spacing w:val="-8"/>
          <w:sz w:val="24"/>
          <w:szCs w:val="24"/>
        </w:rPr>
        <w:t>根据现场踏勘，本项目占地主要为耕地及林地，周围无珍稀树种及古树名木。</w:t>
      </w:r>
      <w:r>
        <w:rPr>
          <w:rFonts w:ascii="宋体" w:hAnsi="宋体" w:eastAsia="宋体" w:cs="宋体"/>
          <w:spacing w:val="-3"/>
          <w:sz w:val="24"/>
          <w:szCs w:val="24"/>
        </w:rPr>
        <w:t>本项目施工过程中，工程占地可能改变部分原有地形地貌，破坏现有植被，使地表出现局部裸露，破坏原有自然风貌及景观，易造成水土流失；土石方挖掘和填</w:t>
      </w:r>
      <w:r>
        <w:rPr>
          <w:rFonts w:ascii="宋体" w:hAnsi="宋体" w:eastAsia="宋体" w:cs="宋体"/>
          <w:spacing w:val="-7"/>
          <w:sz w:val="24"/>
          <w:szCs w:val="24"/>
        </w:rPr>
        <w:t>筑过程中，裸露地面在旱季将引起大量扬尘，影响附近的农作物和树</w:t>
      </w:r>
      <w:r>
        <w:rPr>
          <w:rFonts w:ascii="宋体" w:hAnsi="宋体" w:eastAsia="宋体" w:cs="宋体"/>
          <w:spacing w:val="-8"/>
          <w:sz w:val="24"/>
          <w:szCs w:val="24"/>
        </w:rPr>
        <w:t>木光合作用，</w:t>
      </w:r>
      <w:r>
        <w:rPr>
          <w:rFonts w:ascii="宋体" w:hAnsi="宋体" w:eastAsia="宋体" w:cs="宋体"/>
          <w:spacing w:val="-3"/>
          <w:sz w:val="24"/>
          <w:szCs w:val="24"/>
        </w:rPr>
        <w:t>导致农作物减产，影响树木生长。</w:t>
      </w:r>
    </w:p>
    <w:p w14:paraId="0458EF4A">
      <w:pPr>
        <w:spacing w:line="360" w:lineRule="auto"/>
        <w:ind w:left="38" w:right="18" w:firstLine="481"/>
        <w:jc w:val="both"/>
        <w:rPr>
          <w:rFonts w:ascii="宋体" w:hAnsi="宋体" w:eastAsia="宋体" w:cs="宋体"/>
          <w:sz w:val="24"/>
          <w:szCs w:val="24"/>
        </w:rPr>
      </w:pPr>
      <w:r>
        <w:rPr>
          <w:rFonts w:ascii="宋体" w:hAnsi="宋体" w:eastAsia="宋体" w:cs="宋体"/>
          <w:spacing w:val="-3"/>
          <w:sz w:val="24"/>
          <w:szCs w:val="24"/>
        </w:rPr>
        <w:t>本项目建设用地范围内原有植被将受到破坏，工程建设期间虽</w:t>
      </w:r>
      <w:r>
        <w:rPr>
          <w:rFonts w:ascii="宋体" w:hAnsi="宋体" w:eastAsia="宋体" w:cs="宋体"/>
          <w:spacing w:val="-4"/>
          <w:sz w:val="24"/>
          <w:szCs w:val="24"/>
        </w:rPr>
        <w:t>然对陆生植物</w:t>
      </w:r>
      <w:r>
        <w:rPr>
          <w:rFonts w:ascii="宋体" w:hAnsi="宋体" w:eastAsia="宋体" w:cs="宋体"/>
          <w:spacing w:val="-3"/>
          <w:sz w:val="24"/>
          <w:szCs w:val="24"/>
        </w:rPr>
        <w:t>分布格局及生物多样性均造成一定程度的影响，但工程结束后通过人工绿化，可</w:t>
      </w:r>
      <w:r>
        <w:rPr>
          <w:rFonts w:ascii="宋体" w:hAnsi="宋体" w:eastAsia="宋体" w:cs="宋体"/>
          <w:spacing w:val="-4"/>
          <w:sz w:val="24"/>
          <w:szCs w:val="24"/>
        </w:rPr>
        <w:t>以有效的弥补工程建设对区域植被的影响，补偿因植</w:t>
      </w:r>
      <w:r>
        <w:rPr>
          <w:rFonts w:ascii="宋体" w:hAnsi="宋体" w:eastAsia="宋体" w:cs="宋体"/>
          <w:spacing w:val="-5"/>
          <w:sz w:val="24"/>
          <w:szCs w:val="24"/>
        </w:rPr>
        <w:t>被破坏造成的生态功能损失，</w:t>
      </w:r>
      <w:r>
        <w:rPr>
          <w:rFonts w:ascii="宋体" w:hAnsi="宋体" w:eastAsia="宋体" w:cs="宋体"/>
          <w:spacing w:val="-1"/>
          <w:sz w:val="24"/>
          <w:szCs w:val="24"/>
        </w:rPr>
        <w:t>重建植被可以考虑植被结构的合理性和完整性，注意乔木、灌木和草本相结合，</w:t>
      </w:r>
      <w:r>
        <w:rPr>
          <w:rFonts w:ascii="宋体" w:hAnsi="宋体" w:eastAsia="宋体" w:cs="宋体"/>
          <w:spacing w:val="-3"/>
          <w:sz w:val="24"/>
          <w:szCs w:val="24"/>
        </w:rPr>
        <w:t>多采用乡土树种进行绿化建设，并栽种各种具有观赏价值的植物，因此项目建设</w:t>
      </w:r>
      <w:r>
        <w:rPr>
          <w:rFonts w:ascii="宋体" w:hAnsi="宋体" w:eastAsia="宋体" w:cs="宋体"/>
          <w:spacing w:val="-4"/>
          <w:sz w:val="24"/>
          <w:szCs w:val="24"/>
        </w:rPr>
        <w:t>对区域植物的影响可接受。</w:t>
      </w:r>
    </w:p>
    <w:p w14:paraId="24438F40">
      <w:pPr>
        <w:spacing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）对动物影响分析</w:t>
      </w:r>
    </w:p>
    <w:p w14:paraId="25DCD4CD">
      <w:pPr>
        <w:spacing w:before="181" w:line="360" w:lineRule="auto"/>
        <w:ind w:left="40" w:firstLine="508"/>
        <w:rPr>
          <w:rFonts w:ascii="宋体" w:hAnsi="宋体" w:eastAsia="宋体" w:cs="宋体"/>
          <w:sz w:val="24"/>
          <w:szCs w:val="24"/>
        </w:rPr>
      </w:pPr>
      <w:r>
        <w:rPr>
          <w:rFonts w:ascii="宋体" w:hAnsi="宋体" w:eastAsia="宋体" w:cs="宋体"/>
          <w:spacing w:val="-5"/>
          <w:sz w:val="24"/>
          <w:szCs w:val="24"/>
        </w:rPr>
        <w:t>由于生境的改变以及人类活动的增加，可能会对征地范围内野生动物的栖息、</w:t>
      </w:r>
      <w:r>
        <w:rPr>
          <w:rFonts w:ascii="宋体" w:hAnsi="宋体" w:eastAsia="宋体" w:cs="宋体"/>
          <w:spacing w:val="-8"/>
          <w:sz w:val="24"/>
          <w:szCs w:val="24"/>
        </w:rPr>
        <w:t>觅食、繁殖等活动产生一定影响。但由于项目所在地分布的主要是小型农田动物，</w:t>
      </w:r>
      <w:r>
        <w:rPr>
          <w:rFonts w:ascii="宋体" w:hAnsi="宋体" w:eastAsia="宋体" w:cs="宋体"/>
          <w:spacing w:val="-3"/>
          <w:sz w:val="24"/>
          <w:szCs w:val="24"/>
        </w:rPr>
        <w:t>这些动物的迁移能力较强，且易于在附近寻找到同类生境，因此，本项目的建设</w:t>
      </w:r>
      <w:r>
        <w:rPr>
          <w:rFonts w:ascii="宋体" w:hAnsi="宋体" w:eastAsia="宋体" w:cs="宋体"/>
          <w:spacing w:val="-2"/>
          <w:sz w:val="24"/>
          <w:szCs w:val="24"/>
        </w:rPr>
        <w:t>不会对周边动物的种群及数量带来明显不利影响。</w:t>
      </w:r>
    </w:p>
    <w:p w14:paraId="1F54FF47">
      <w:pPr>
        <w:spacing w:before="1"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）对景观的影响</w:t>
      </w:r>
    </w:p>
    <w:p w14:paraId="1D3CCBEC">
      <w:pPr>
        <w:spacing w:before="182" w:line="360" w:lineRule="auto"/>
        <w:ind w:left="38" w:right="121" w:firstLine="484"/>
        <w:rPr>
          <w:rFonts w:ascii="宋体" w:hAnsi="宋体" w:eastAsia="宋体" w:cs="宋体"/>
          <w:sz w:val="24"/>
          <w:szCs w:val="24"/>
        </w:rPr>
      </w:pPr>
      <w:r>
        <w:rPr>
          <w:rFonts w:ascii="宋体" w:hAnsi="宋体" w:eastAsia="宋体" w:cs="宋体"/>
          <w:spacing w:val="-3"/>
          <w:sz w:val="24"/>
          <w:szCs w:val="24"/>
        </w:rPr>
        <w:t>项目施工期将对景观与视觉环境造成负面影响。施工场</w:t>
      </w:r>
      <w:r>
        <w:rPr>
          <w:rFonts w:ascii="宋体" w:hAnsi="宋体" w:eastAsia="宋体" w:cs="宋体"/>
          <w:spacing w:val="-4"/>
          <w:sz w:val="24"/>
          <w:szCs w:val="24"/>
        </w:rPr>
        <w:t>地的大量开挖、各类</w:t>
      </w:r>
      <w:r>
        <w:rPr>
          <w:rFonts w:ascii="宋体" w:hAnsi="宋体" w:eastAsia="宋体" w:cs="宋体"/>
          <w:spacing w:val="-6"/>
          <w:sz w:val="24"/>
          <w:szCs w:val="24"/>
        </w:rPr>
        <w:t>施工机械运转、施工弃渣、施工建材堆放等， 施工期出入工地的</w:t>
      </w:r>
      <w:r>
        <w:rPr>
          <w:rFonts w:ascii="宋体" w:hAnsi="宋体" w:eastAsia="宋体" w:cs="宋体"/>
          <w:spacing w:val="-7"/>
          <w:sz w:val="24"/>
          <w:szCs w:val="24"/>
        </w:rPr>
        <w:t>运输车辆带出或</w:t>
      </w:r>
      <w:r>
        <w:rPr>
          <w:rFonts w:ascii="宋体" w:hAnsi="宋体" w:eastAsia="宋体" w:cs="宋体"/>
          <w:spacing w:val="-1"/>
          <w:sz w:val="24"/>
          <w:szCs w:val="24"/>
        </w:rPr>
        <w:t>散落的泥土使工地周围道路的尘土飞扬，都会对景观与视觉环境造成不良影响。</w:t>
      </w:r>
    </w:p>
    <w:p w14:paraId="532D37BA">
      <w:pPr>
        <w:spacing w:line="360" w:lineRule="auto"/>
        <w:ind w:left="38" w:right="118" w:firstLine="480"/>
        <w:rPr>
          <w:rFonts w:ascii="宋体" w:hAnsi="宋体" w:eastAsia="宋体" w:cs="宋体"/>
          <w:sz w:val="24"/>
          <w:szCs w:val="24"/>
        </w:rPr>
      </w:pPr>
      <w:r>
        <w:rPr>
          <w:rFonts w:ascii="宋体" w:hAnsi="宋体" w:eastAsia="宋体" w:cs="宋体"/>
          <w:spacing w:val="-1"/>
          <w:sz w:val="24"/>
          <w:szCs w:val="24"/>
        </w:rPr>
        <w:t>施工队伍应加强管理，采取有效的污染控制措施，如设置工地围墙或围挡、</w:t>
      </w:r>
      <w:r>
        <w:rPr>
          <w:rFonts w:ascii="宋体" w:hAnsi="宋体" w:eastAsia="宋体" w:cs="宋体"/>
          <w:spacing w:val="-5"/>
          <w:sz w:val="24"/>
          <w:szCs w:val="24"/>
        </w:rPr>
        <w:t>控制运输车辆装载量、及时清洗进出工地的车辆和清扫散落的泥土等，</w:t>
      </w:r>
      <w:r>
        <w:rPr>
          <w:rFonts w:ascii="宋体" w:hAnsi="宋体" w:eastAsia="宋体" w:cs="宋体"/>
          <w:spacing w:val="-49"/>
          <w:sz w:val="24"/>
          <w:szCs w:val="24"/>
        </w:rPr>
        <w:t xml:space="preserve"> </w:t>
      </w:r>
      <w:r>
        <w:rPr>
          <w:rFonts w:ascii="宋体" w:hAnsi="宋体" w:eastAsia="宋体" w:cs="宋体"/>
          <w:spacing w:val="-5"/>
          <w:sz w:val="24"/>
          <w:szCs w:val="24"/>
        </w:rPr>
        <w:t>施工完成</w:t>
      </w:r>
      <w:r>
        <w:rPr>
          <w:rFonts w:ascii="宋体" w:hAnsi="宋体" w:eastAsia="宋体" w:cs="宋体"/>
          <w:spacing w:val="-2"/>
          <w:sz w:val="24"/>
          <w:szCs w:val="24"/>
        </w:rPr>
        <w:t>后及时对裸露土地进行绿化，则施工期对景观的影响可接受。</w:t>
      </w:r>
    </w:p>
    <w:p w14:paraId="462351C2">
      <w:pPr>
        <w:spacing w:before="2" w:line="362" w:lineRule="auto"/>
        <w:ind w:left="38" w:right="205" w:firstLine="483"/>
        <w:rPr>
          <w:rFonts w:ascii="宋体" w:hAnsi="宋体" w:eastAsia="宋体" w:cs="宋体"/>
          <w:sz w:val="24"/>
          <w:szCs w:val="24"/>
        </w:rPr>
      </w:pPr>
      <w:r>
        <w:rPr>
          <w:rFonts w:ascii="宋体" w:hAnsi="宋体" w:eastAsia="宋体" w:cs="宋体"/>
          <w:spacing w:val="-3"/>
          <w:sz w:val="24"/>
          <w:szCs w:val="24"/>
        </w:rPr>
        <w:t>综上，项目施工期对周围生态环境将产生一定影响，在认</w:t>
      </w:r>
      <w:r>
        <w:rPr>
          <w:rFonts w:ascii="宋体" w:hAnsi="宋体" w:eastAsia="宋体" w:cs="宋体"/>
          <w:spacing w:val="-4"/>
          <w:sz w:val="24"/>
          <w:szCs w:val="24"/>
        </w:rPr>
        <w:t>真落实环境管理措</w:t>
      </w:r>
      <w:r>
        <w:rPr>
          <w:rFonts w:ascii="宋体" w:hAnsi="宋体" w:eastAsia="宋体" w:cs="宋体"/>
          <w:spacing w:val="-2"/>
          <w:sz w:val="24"/>
          <w:szCs w:val="24"/>
        </w:rPr>
        <w:t>施和生态措施后，对周边生态环境的影响可接受。</w:t>
      </w:r>
    </w:p>
    <w:p w14:paraId="3DF12FD2">
      <w:pPr>
        <w:spacing w:line="362" w:lineRule="auto"/>
        <w:rPr>
          <w:rFonts w:ascii="宋体" w:hAnsi="宋体" w:eastAsia="宋体" w:cs="宋体"/>
          <w:sz w:val="24"/>
          <w:szCs w:val="24"/>
        </w:rPr>
        <w:sectPr>
          <w:headerReference r:id="rId292" w:type="default"/>
          <w:footerReference r:id="rId293" w:type="default"/>
          <w:pgSz w:w="11905" w:h="16840"/>
          <w:pgMar w:top="1168" w:right="1592" w:bottom="1409" w:left="1770" w:header="828" w:footer="1244" w:gutter="0"/>
          <w:cols w:space="720" w:num="1"/>
        </w:sectPr>
      </w:pPr>
    </w:p>
    <w:p w14:paraId="3BFE0C7E">
      <w:pPr>
        <w:pStyle w:val="2"/>
        <w:spacing w:line="317" w:lineRule="auto"/>
      </w:pPr>
    </w:p>
    <w:p w14:paraId="0D79F703">
      <w:pPr>
        <w:spacing w:before="104" w:line="218" w:lineRule="auto"/>
        <w:ind w:left="38"/>
        <w:rPr>
          <w:rFonts w:ascii="宋体" w:hAnsi="宋体" w:eastAsia="宋体" w:cs="宋体"/>
          <w:sz w:val="32"/>
          <w:szCs w:val="32"/>
        </w:rPr>
      </w:pPr>
      <w:r>
        <w:rPr>
          <w:rFonts w:ascii="Times New Roman" w:hAnsi="Times New Roman" w:eastAsia="Times New Roman" w:cs="Times New Roman"/>
          <w:b/>
          <w:bCs/>
          <w:spacing w:val="-2"/>
          <w:sz w:val="32"/>
          <w:szCs w:val="32"/>
        </w:rPr>
        <w:t xml:space="preserve">4.2  </w:t>
      </w:r>
      <w:r>
        <w:rPr>
          <w:rFonts w:ascii="宋体" w:hAnsi="宋体" w:eastAsia="宋体" w:cs="宋体"/>
          <w:b/>
          <w:bCs/>
          <w:spacing w:val="-2"/>
          <w:sz w:val="32"/>
          <w:szCs w:val="32"/>
        </w:rPr>
        <w:t>运营期环境影响评价</w:t>
      </w:r>
    </w:p>
    <w:p w14:paraId="7B322336">
      <w:pPr>
        <w:pStyle w:val="2"/>
        <w:spacing w:line="278" w:lineRule="auto"/>
      </w:pPr>
    </w:p>
    <w:p w14:paraId="7EA3134D">
      <w:pPr>
        <w:spacing w:before="97"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4.2.1  </w:t>
      </w:r>
      <w:r>
        <w:rPr>
          <w:rFonts w:ascii="宋体" w:hAnsi="宋体" w:eastAsia="宋体" w:cs="宋体"/>
          <w:b/>
          <w:bCs/>
          <w:spacing w:val="-2"/>
          <w:sz w:val="30"/>
          <w:szCs w:val="30"/>
        </w:rPr>
        <w:t>大气环境影响评价</w:t>
      </w:r>
    </w:p>
    <w:p w14:paraId="2015611E">
      <w:pPr>
        <w:pStyle w:val="2"/>
        <w:spacing w:line="308" w:lineRule="auto"/>
      </w:pPr>
    </w:p>
    <w:p w14:paraId="6E442272">
      <w:pPr>
        <w:spacing w:before="88"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4.2.1.1 </w:t>
      </w:r>
      <w:r>
        <w:rPr>
          <w:rFonts w:ascii="宋体" w:hAnsi="宋体" w:eastAsia="宋体" w:cs="宋体"/>
          <w:b/>
          <w:bCs/>
          <w:spacing w:val="5"/>
          <w:sz w:val="27"/>
          <w:szCs w:val="27"/>
        </w:rPr>
        <w:t>预测因子、评价标准</w:t>
      </w:r>
    </w:p>
    <w:p w14:paraId="10E7501A">
      <w:pPr>
        <w:spacing w:before="238"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）预测因子的确定</w:t>
      </w:r>
    </w:p>
    <w:p w14:paraId="682EF4CF">
      <w:pPr>
        <w:spacing w:before="181" w:line="360" w:lineRule="auto"/>
        <w:ind w:left="38" w:right="29" w:firstLine="480"/>
        <w:rPr>
          <w:rFonts w:ascii="宋体" w:hAnsi="宋体" w:eastAsia="宋体" w:cs="宋体"/>
          <w:sz w:val="24"/>
          <w:szCs w:val="24"/>
        </w:rPr>
      </w:pPr>
      <w:r>
        <w:rPr>
          <w:rFonts w:ascii="宋体" w:hAnsi="宋体" w:eastAsia="宋体" w:cs="宋体"/>
          <w:spacing w:val="-12"/>
          <w:sz w:val="24"/>
          <w:szCs w:val="24"/>
        </w:rPr>
        <w:t>根据导则要求，按照《建设项目环境影响评价技术导则</w:t>
      </w:r>
      <w:r>
        <w:rPr>
          <w:rFonts w:ascii="宋体" w:hAnsi="宋体" w:eastAsia="宋体" w:cs="宋体"/>
          <w:spacing w:val="49"/>
          <w:sz w:val="24"/>
          <w:szCs w:val="24"/>
        </w:rPr>
        <w:t xml:space="preserve"> </w:t>
      </w:r>
      <w:r>
        <w:rPr>
          <w:rFonts w:ascii="宋体" w:hAnsi="宋体" w:eastAsia="宋体" w:cs="宋体"/>
          <w:spacing w:val="-12"/>
          <w:sz w:val="24"/>
          <w:szCs w:val="24"/>
        </w:rPr>
        <w:t>总纲》（</w:t>
      </w:r>
      <w:r>
        <w:rPr>
          <w:rFonts w:ascii="Times New Roman" w:hAnsi="Times New Roman" w:eastAsia="Times New Roman" w:cs="Times New Roman"/>
          <w:spacing w:val="-12"/>
          <w:sz w:val="24"/>
          <w:szCs w:val="24"/>
        </w:rPr>
        <w:t>HJ2.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1-2016</w:t>
      </w:r>
      <w:r>
        <w:rPr>
          <w:rFonts w:ascii="宋体" w:hAnsi="宋体" w:eastAsia="宋体" w:cs="宋体"/>
          <w:spacing w:val="-12"/>
          <w:sz w:val="24"/>
          <w:szCs w:val="24"/>
        </w:rPr>
        <w:t>）</w:t>
      </w:r>
      <w:r>
        <w:rPr>
          <w:rFonts w:ascii="宋体" w:hAnsi="宋体" w:eastAsia="宋体" w:cs="宋体"/>
          <w:spacing w:val="-3"/>
          <w:sz w:val="24"/>
          <w:szCs w:val="24"/>
        </w:rPr>
        <w:t>的要求识别大气环境影响因素，并筛选出大气环境影响评价因子。本项目运营过</w:t>
      </w:r>
      <w:r>
        <w:rPr>
          <w:rFonts w:ascii="宋体" w:hAnsi="宋体" w:eastAsia="宋体" w:cs="宋体"/>
          <w:spacing w:val="-5"/>
          <w:sz w:val="24"/>
          <w:szCs w:val="24"/>
        </w:rPr>
        <w:t>程中产生的废气污染物主要为猪舍、污水处理站和堆粪棚等产生的恶臭气体，</w:t>
      </w:r>
      <w:r>
        <w:rPr>
          <w:rFonts w:ascii="宋体" w:hAnsi="宋体" w:eastAsia="宋体" w:cs="宋体"/>
          <w:spacing w:val="-48"/>
          <w:sz w:val="24"/>
          <w:szCs w:val="24"/>
        </w:rPr>
        <w:t xml:space="preserve"> </w:t>
      </w:r>
      <w:r>
        <w:rPr>
          <w:rFonts w:ascii="宋体" w:hAnsi="宋体" w:eastAsia="宋体" w:cs="宋体"/>
          <w:spacing w:val="-5"/>
          <w:sz w:val="24"/>
          <w:szCs w:val="24"/>
        </w:rPr>
        <w:t>主</w:t>
      </w:r>
      <w:r>
        <w:rPr>
          <w:rFonts w:ascii="宋体" w:hAnsi="宋体" w:eastAsia="宋体" w:cs="宋体"/>
          <w:spacing w:val="-2"/>
          <w:sz w:val="24"/>
          <w:szCs w:val="24"/>
        </w:rPr>
        <w:t>要污染因子为</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宋体" w:hAnsi="宋体" w:eastAsia="宋体" w:cs="宋体"/>
          <w:spacing w:val="-2"/>
          <w:sz w:val="24"/>
          <w:szCs w:val="24"/>
        </w:rPr>
        <w:t>和</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14"/>
          <w:position w:val="-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16"/>
          <w:sz w:val="24"/>
          <w:szCs w:val="24"/>
        </w:rPr>
        <w:t>。因此，</w:t>
      </w:r>
      <w:r>
        <w:rPr>
          <w:rFonts w:ascii="宋体" w:hAnsi="宋体" w:eastAsia="宋体" w:cs="宋体"/>
          <w:spacing w:val="54"/>
          <w:sz w:val="24"/>
          <w:szCs w:val="24"/>
        </w:rPr>
        <w:t xml:space="preserve"> </w:t>
      </w:r>
      <w:r>
        <w:rPr>
          <w:rFonts w:ascii="宋体" w:hAnsi="宋体" w:eastAsia="宋体" w:cs="宋体"/>
          <w:spacing w:val="-16"/>
          <w:sz w:val="24"/>
          <w:szCs w:val="24"/>
        </w:rPr>
        <w:t>本评价确定以</w:t>
      </w:r>
      <w:r>
        <w:rPr>
          <w:rFonts w:ascii="Times New Roman" w:hAnsi="Times New Roman" w:eastAsia="Times New Roman" w:cs="Times New Roman"/>
          <w:spacing w:val="-16"/>
          <w:sz w:val="24"/>
          <w:szCs w:val="24"/>
        </w:rPr>
        <w:t>NH</w:t>
      </w:r>
      <w:r>
        <w:rPr>
          <w:rFonts w:ascii="Times New Roman" w:hAnsi="Times New Roman" w:eastAsia="Times New Roman" w:cs="Times New Roman"/>
          <w:spacing w:val="10"/>
          <w:position w:val="-2"/>
          <w:sz w:val="15"/>
          <w:szCs w:val="15"/>
        </w:rPr>
        <w:t>3</w:t>
      </w:r>
      <w:r>
        <w:rPr>
          <w:rFonts w:ascii="Times New Roman" w:hAnsi="Times New Roman" w:eastAsia="Times New Roman" w:cs="Times New Roman"/>
          <w:spacing w:val="-10"/>
          <w:position w:val="-2"/>
          <w:sz w:val="15"/>
          <w:szCs w:val="15"/>
        </w:rPr>
        <w:t xml:space="preserve"> </w:t>
      </w:r>
      <w:r>
        <w:rPr>
          <w:rFonts w:ascii="宋体" w:hAnsi="宋体" w:eastAsia="宋体" w:cs="宋体"/>
          <w:spacing w:val="-19"/>
          <w:sz w:val="24"/>
          <w:szCs w:val="24"/>
        </w:rPr>
        <w:t>、</w:t>
      </w:r>
      <w:r>
        <w:rPr>
          <w:rFonts w:ascii="Times New Roman" w:hAnsi="Times New Roman" w:eastAsia="Times New Roman" w:cs="Times New Roman"/>
          <w:spacing w:val="-19"/>
          <w:sz w:val="24"/>
          <w:szCs w:val="24"/>
        </w:rPr>
        <w:t>H</w:t>
      </w:r>
      <w:r>
        <w:rPr>
          <w:rFonts w:ascii="Times New Roman" w:hAnsi="Times New Roman" w:eastAsia="Times New Roman" w:cs="Times New Roman"/>
          <w:spacing w:val="6"/>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3"/>
          <w:sz w:val="24"/>
          <w:szCs w:val="24"/>
        </w:rPr>
        <w:t>S</w:t>
      </w:r>
      <w:r>
        <w:rPr>
          <w:rFonts w:ascii="宋体" w:hAnsi="宋体" w:eastAsia="宋体" w:cs="宋体"/>
          <w:spacing w:val="-3"/>
          <w:sz w:val="24"/>
          <w:szCs w:val="24"/>
        </w:rPr>
        <w:t>作为预测因子，且无需</w:t>
      </w:r>
      <w:r>
        <w:rPr>
          <w:rFonts w:ascii="宋体" w:hAnsi="宋体" w:eastAsia="宋体" w:cs="宋体"/>
          <w:spacing w:val="-5"/>
          <w:sz w:val="24"/>
          <w:szCs w:val="24"/>
        </w:rPr>
        <w:t>考虑二次污染物。</w:t>
      </w:r>
    </w:p>
    <w:p w14:paraId="216A92C2">
      <w:pPr>
        <w:spacing w:line="218"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）评价标准</w:t>
      </w:r>
    </w:p>
    <w:p w14:paraId="2A6F7DAC">
      <w:pPr>
        <w:spacing w:before="185" w:line="361" w:lineRule="auto"/>
        <w:ind w:left="39" w:right="46" w:firstLine="479"/>
        <w:rPr>
          <w:rFonts w:ascii="宋体" w:hAnsi="宋体" w:eastAsia="宋体" w:cs="宋体"/>
          <w:sz w:val="24"/>
          <w:szCs w:val="24"/>
        </w:rPr>
      </w:pPr>
      <w:r>
        <w:rPr>
          <w:rFonts w:ascii="宋体" w:hAnsi="宋体" w:eastAsia="宋体" w:cs="宋体"/>
          <w:spacing w:val="-1"/>
          <w:sz w:val="24"/>
          <w:szCs w:val="24"/>
        </w:rPr>
        <w:t>根据《环境影响评价技术导则 大气环境》（</w:t>
      </w:r>
      <w:r>
        <w:rPr>
          <w:rFonts w:ascii="Times New Roman" w:hAnsi="Times New Roman" w:eastAsia="Times New Roman" w:cs="Times New Roman"/>
          <w:spacing w:val="-1"/>
          <w:sz w:val="24"/>
          <w:szCs w:val="24"/>
        </w:rPr>
        <w:t>HJ2.2-2018</w:t>
      </w:r>
      <w:r>
        <w:rPr>
          <w:rFonts w:ascii="宋体" w:hAnsi="宋体" w:eastAsia="宋体" w:cs="宋体"/>
          <w:spacing w:val="-62"/>
          <w:w w:val="99"/>
          <w:sz w:val="24"/>
          <w:szCs w:val="24"/>
        </w:rPr>
        <w:t>），</w:t>
      </w:r>
      <w:r>
        <w:rPr>
          <w:rFonts w:ascii="宋体" w:hAnsi="宋体" w:eastAsia="宋体" w:cs="宋体"/>
          <w:spacing w:val="-1"/>
          <w:sz w:val="24"/>
          <w:szCs w:val="24"/>
        </w:rPr>
        <w:t>确定本项目</w:t>
      </w:r>
      <w:r>
        <w:rPr>
          <w:rFonts w:ascii="宋体" w:hAnsi="宋体" w:eastAsia="宋体" w:cs="宋体"/>
          <w:spacing w:val="-2"/>
          <w:sz w:val="24"/>
          <w:szCs w:val="24"/>
        </w:rPr>
        <w:t>大气</w:t>
      </w:r>
      <w:r>
        <w:rPr>
          <w:rFonts w:ascii="宋体" w:hAnsi="宋体" w:eastAsia="宋体" w:cs="宋体"/>
          <w:spacing w:val="-3"/>
          <w:sz w:val="24"/>
          <w:szCs w:val="24"/>
        </w:rPr>
        <w:t>环境影响评价因子的评价标准。</w:t>
      </w:r>
    </w:p>
    <w:p w14:paraId="2CA34FAF">
      <w:pPr>
        <w:spacing w:before="10" w:line="222" w:lineRule="auto"/>
        <w:ind w:left="284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4.2-1  </w:t>
      </w:r>
      <w:r>
        <w:rPr>
          <w:rFonts w:ascii="黑体" w:hAnsi="黑体" w:eastAsia="黑体" w:cs="黑体"/>
          <w:spacing w:val="-1"/>
          <w:sz w:val="21"/>
          <w:szCs w:val="21"/>
        </w:rPr>
        <w:t>大气环境评价标准表</w:t>
      </w:r>
    </w:p>
    <w:p w14:paraId="6B1FB7AC">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3"/>
        <w:gridCol w:w="1135"/>
        <w:gridCol w:w="1133"/>
        <w:gridCol w:w="1555"/>
        <w:gridCol w:w="2926"/>
      </w:tblGrid>
      <w:tr w14:paraId="53E08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63" w:type="dxa"/>
            <w:vAlign w:val="top"/>
          </w:tcPr>
          <w:p w14:paraId="195C10E3">
            <w:pPr>
              <w:spacing w:before="64" w:line="220" w:lineRule="auto"/>
              <w:ind w:left="262"/>
              <w:rPr>
                <w:rFonts w:ascii="宋体" w:hAnsi="宋体" w:eastAsia="宋体" w:cs="宋体"/>
                <w:sz w:val="21"/>
                <w:szCs w:val="21"/>
              </w:rPr>
            </w:pPr>
            <w:r>
              <w:rPr>
                <w:rFonts w:ascii="宋体" w:hAnsi="宋体" w:eastAsia="宋体" w:cs="宋体"/>
                <w:spacing w:val="-2"/>
                <w:sz w:val="21"/>
                <w:szCs w:val="21"/>
              </w:rPr>
              <w:t>污染物名称</w:t>
            </w:r>
          </w:p>
        </w:tc>
        <w:tc>
          <w:tcPr>
            <w:tcW w:w="1135" w:type="dxa"/>
            <w:vAlign w:val="top"/>
          </w:tcPr>
          <w:p w14:paraId="03742676">
            <w:pPr>
              <w:spacing w:before="64" w:line="221" w:lineRule="auto"/>
              <w:ind w:left="259"/>
              <w:rPr>
                <w:rFonts w:ascii="宋体" w:hAnsi="宋体" w:eastAsia="宋体" w:cs="宋体"/>
                <w:sz w:val="21"/>
                <w:szCs w:val="21"/>
              </w:rPr>
            </w:pPr>
            <w:r>
              <w:rPr>
                <w:rFonts w:ascii="宋体" w:hAnsi="宋体" w:eastAsia="宋体" w:cs="宋体"/>
                <w:spacing w:val="-3"/>
                <w:sz w:val="21"/>
                <w:szCs w:val="21"/>
              </w:rPr>
              <w:t>功能区</w:t>
            </w:r>
          </w:p>
        </w:tc>
        <w:tc>
          <w:tcPr>
            <w:tcW w:w="1133" w:type="dxa"/>
            <w:vAlign w:val="top"/>
          </w:tcPr>
          <w:p w14:paraId="0BC0AEB7">
            <w:pPr>
              <w:spacing w:before="63" w:line="220" w:lineRule="auto"/>
              <w:ind w:left="152"/>
              <w:rPr>
                <w:rFonts w:ascii="宋体" w:hAnsi="宋体" w:eastAsia="宋体" w:cs="宋体"/>
                <w:sz w:val="21"/>
                <w:szCs w:val="21"/>
              </w:rPr>
            </w:pPr>
            <w:r>
              <w:rPr>
                <w:rFonts w:ascii="宋体" w:hAnsi="宋体" w:eastAsia="宋体" w:cs="宋体"/>
                <w:spacing w:val="-3"/>
                <w:sz w:val="21"/>
                <w:szCs w:val="21"/>
              </w:rPr>
              <w:t>取值时间</w:t>
            </w:r>
          </w:p>
        </w:tc>
        <w:tc>
          <w:tcPr>
            <w:tcW w:w="1555" w:type="dxa"/>
            <w:vAlign w:val="top"/>
          </w:tcPr>
          <w:p w14:paraId="21977820">
            <w:pPr>
              <w:pStyle w:val="6"/>
              <w:spacing w:before="64" w:line="212" w:lineRule="auto"/>
              <w:ind w:left="147"/>
            </w:pPr>
            <w:r>
              <w:rPr>
                <w:rFonts w:ascii="宋体" w:hAnsi="宋体" w:eastAsia="宋体" w:cs="宋体"/>
                <w:spacing w:val="-1"/>
              </w:rPr>
              <w:t>标准值</w:t>
            </w:r>
            <w:r>
              <w:rPr>
                <w:spacing w:val="-1"/>
              </w:rPr>
              <w:t>(μg/m³)</w:t>
            </w:r>
          </w:p>
        </w:tc>
        <w:tc>
          <w:tcPr>
            <w:tcW w:w="2926" w:type="dxa"/>
            <w:vAlign w:val="top"/>
          </w:tcPr>
          <w:p w14:paraId="16C8A8C3">
            <w:pPr>
              <w:spacing w:before="63" w:line="220" w:lineRule="auto"/>
              <w:ind w:left="1050"/>
              <w:rPr>
                <w:rFonts w:ascii="宋体" w:hAnsi="宋体" w:eastAsia="宋体" w:cs="宋体"/>
                <w:sz w:val="21"/>
                <w:szCs w:val="21"/>
              </w:rPr>
            </w:pPr>
            <w:r>
              <w:rPr>
                <w:rFonts w:ascii="宋体" w:hAnsi="宋体" w:eastAsia="宋体" w:cs="宋体"/>
                <w:spacing w:val="-2"/>
                <w:sz w:val="21"/>
                <w:szCs w:val="21"/>
              </w:rPr>
              <w:t>标准来源</w:t>
            </w:r>
          </w:p>
        </w:tc>
      </w:tr>
      <w:tr w14:paraId="375B8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63" w:type="dxa"/>
            <w:vAlign w:val="top"/>
          </w:tcPr>
          <w:p w14:paraId="4F3D12D1">
            <w:pPr>
              <w:pStyle w:val="6"/>
              <w:spacing w:before="103" w:line="195" w:lineRule="auto"/>
              <w:ind w:left="588"/>
              <w:rPr>
                <w:sz w:val="14"/>
                <w:szCs w:val="14"/>
              </w:rPr>
            </w:pPr>
            <w:r>
              <w:t>NH</w:t>
            </w:r>
            <w:r>
              <w:rPr>
                <w:spacing w:val="1"/>
                <w:position w:val="-2"/>
                <w:sz w:val="14"/>
                <w:szCs w:val="14"/>
              </w:rPr>
              <w:t>3</w:t>
            </w:r>
          </w:p>
        </w:tc>
        <w:tc>
          <w:tcPr>
            <w:tcW w:w="1135" w:type="dxa"/>
            <w:vAlign w:val="top"/>
          </w:tcPr>
          <w:p w14:paraId="513F778B">
            <w:pPr>
              <w:spacing w:before="63" w:line="220" w:lineRule="auto"/>
              <w:ind w:left="154"/>
              <w:rPr>
                <w:rFonts w:ascii="宋体" w:hAnsi="宋体" w:eastAsia="宋体" w:cs="宋体"/>
                <w:sz w:val="21"/>
                <w:szCs w:val="21"/>
              </w:rPr>
            </w:pPr>
            <w:r>
              <w:rPr>
                <w:rFonts w:ascii="宋体" w:hAnsi="宋体" w:eastAsia="宋体" w:cs="宋体"/>
                <w:spacing w:val="-3"/>
                <w:sz w:val="21"/>
                <w:szCs w:val="21"/>
              </w:rPr>
              <w:t>二类限区</w:t>
            </w:r>
          </w:p>
        </w:tc>
        <w:tc>
          <w:tcPr>
            <w:tcW w:w="1133" w:type="dxa"/>
            <w:vAlign w:val="top"/>
          </w:tcPr>
          <w:p w14:paraId="05B132E1">
            <w:pPr>
              <w:spacing w:before="63" w:line="222" w:lineRule="auto"/>
              <w:ind w:left="259"/>
              <w:rPr>
                <w:rFonts w:ascii="宋体" w:hAnsi="宋体" w:eastAsia="宋体" w:cs="宋体"/>
                <w:sz w:val="21"/>
                <w:szCs w:val="21"/>
              </w:rPr>
            </w:pPr>
            <w:r>
              <w:rPr>
                <w:rFonts w:ascii="宋体" w:hAnsi="宋体" w:eastAsia="宋体" w:cs="宋体"/>
                <w:spacing w:val="-4"/>
                <w:sz w:val="21"/>
                <w:szCs w:val="21"/>
              </w:rPr>
              <w:t>一小时</w:t>
            </w:r>
          </w:p>
        </w:tc>
        <w:tc>
          <w:tcPr>
            <w:tcW w:w="1555" w:type="dxa"/>
            <w:vAlign w:val="top"/>
          </w:tcPr>
          <w:p w14:paraId="684B4899">
            <w:pPr>
              <w:pStyle w:val="6"/>
              <w:spacing w:before="100" w:line="188" w:lineRule="auto"/>
              <w:ind w:left="542"/>
            </w:pPr>
            <w:r>
              <w:rPr>
                <w:spacing w:val="-1"/>
              </w:rPr>
              <w:t>200.0</w:t>
            </w:r>
          </w:p>
        </w:tc>
        <w:tc>
          <w:tcPr>
            <w:tcW w:w="2926" w:type="dxa"/>
            <w:vMerge w:val="restart"/>
            <w:tcBorders>
              <w:bottom w:val="nil"/>
            </w:tcBorders>
            <w:vAlign w:val="top"/>
          </w:tcPr>
          <w:p w14:paraId="2049FF68">
            <w:pPr>
              <w:pStyle w:val="6"/>
              <w:spacing w:before="81" w:line="261" w:lineRule="auto"/>
              <w:ind w:left="216" w:right="60" w:hanging="147"/>
            </w:pPr>
            <w:r>
              <w:rPr>
                <w:rFonts w:ascii="宋体" w:hAnsi="宋体" w:eastAsia="宋体" w:cs="宋体"/>
                <w:spacing w:val="-1"/>
              </w:rPr>
              <w:t>《环境影响评价技术导则</w:t>
            </w:r>
            <w:r>
              <w:rPr>
                <w:spacing w:val="-1"/>
              </w:rPr>
              <w:t>-</w:t>
            </w:r>
            <w:r>
              <w:rPr>
                <w:rFonts w:ascii="宋体" w:hAnsi="宋体" w:eastAsia="宋体" w:cs="宋体"/>
                <w:spacing w:val="-1"/>
              </w:rPr>
              <w:t>大气</w:t>
            </w:r>
            <w:r>
              <w:rPr>
                <w:rFonts w:ascii="宋体" w:hAnsi="宋体" w:eastAsia="宋体" w:cs="宋体"/>
                <w:spacing w:val="-2"/>
              </w:rPr>
              <w:t xml:space="preserve">环境》 </w:t>
            </w:r>
            <w:r>
              <w:rPr>
                <w:spacing w:val="-2"/>
              </w:rPr>
              <w:t>HJ 2.2-2018</w:t>
            </w:r>
            <w:r>
              <w:rPr>
                <w:spacing w:val="13"/>
                <w:w w:val="101"/>
              </w:rPr>
              <w:t xml:space="preserve">  </w:t>
            </w:r>
            <w:r>
              <w:rPr>
                <w:rFonts w:ascii="宋体" w:hAnsi="宋体" w:eastAsia="宋体" w:cs="宋体"/>
                <w:spacing w:val="-2"/>
              </w:rPr>
              <w:t>附录</w:t>
            </w:r>
            <w:r>
              <w:rPr>
                <w:rFonts w:ascii="宋体" w:hAnsi="宋体" w:eastAsia="宋体" w:cs="宋体"/>
                <w:spacing w:val="-50"/>
              </w:rPr>
              <w:t xml:space="preserve"> </w:t>
            </w:r>
            <w:r>
              <w:rPr>
                <w:spacing w:val="-2"/>
              </w:rPr>
              <w:t>D</w:t>
            </w:r>
          </w:p>
        </w:tc>
      </w:tr>
      <w:tr w14:paraId="7216A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563" w:type="dxa"/>
            <w:vAlign w:val="top"/>
          </w:tcPr>
          <w:p w14:paraId="41810937">
            <w:pPr>
              <w:pStyle w:val="6"/>
              <w:spacing w:before="101" w:line="198" w:lineRule="auto"/>
              <w:ind w:left="611"/>
            </w:pPr>
            <w:r>
              <w:rPr>
                <w:spacing w:val="-2"/>
              </w:rPr>
              <w:t>H</w:t>
            </w:r>
            <w:r>
              <w:rPr>
                <w:spacing w:val="-2"/>
                <w:position w:val="-2"/>
                <w:sz w:val="14"/>
                <w:szCs w:val="14"/>
              </w:rPr>
              <w:t>2</w:t>
            </w:r>
            <w:r>
              <w:rPr>
                <w:spacing w:val="-2"/>
              </w:rPr>
              <w:t>S</w:t>
            </w:r>
          </w:p>
        </w:tc>
        <w:tc>
          <w:tcPr>
            <w:tcW w:w="1135" w:type="dxa"/>
            <w:vAlign w:val="top"/>
          </w:tcPr>
          <w:p w14:paraId="1AD901F5">
            <w:pPr>
              <w:spacing w:before="64" w:line="220" w:lineRule="auto"/>
              <w:ind w:left="154"/>
              <w:rPr>
                <w:rFonts w:ascii="宋体" w:hAnsi="宋体" w:eastAsia="宋体" w:cs="宋体"/>
                <w:sz w:val="21"/>
                <w:szCs w:val="21"/>
              </w:rPr>
            </w:pPr>
            <w:r>
              <w:rPr>
                <w:rFonts w:ascii="宋体" w:hAnsi="宋体" w:eastAsia="宋体" w:cs="宋体"/>
                <w:spacing w:val="-3"/>
                <w:sz w:val="21"/>
                <w:szCs w:val="21"/>
              </w:rPr>
              <w:t>二类限区</w:t>
            </w:r>
          </w:p>
        </w:tc>
        <w:tc>
          <w:tcPr>
            <w:tcW w:w="1133" w:type="dxa"/>
            <w:vAlign w:val="top"/>
          </w:tcPr>
          <w:p w14:paraId="35E7F59B">
            <w:pPr>
              <w:spacing w:before="64" w:line="222" w:lineRule="auto"/>
              <w:ind w:left="259"/>
              <w:rPr>
                <w:rFonts w:ascii="宋体" w:hAnsi="宋体" w:eastAsia="宋体" w:cs="宋体"/>
                <w:sz w:val="21"/>
                <w:szCs w:val="21"/>
              </w:rPr>
            </w:pPr>
            <w:r>
              <w:rPr>
                <w:rFonts w:ascii="宋体" w:hAnsi="宋体" w:eastAsia="宋体" w:cs="宋体"/>
                <w:spacing w:val="-4"/>
                <w:sz w:val="21"/>
                <w:szCs w:val="21"/>
              </w:rPr>
              <w:t>一小时</w:t>
            </w:r>
          </w:p>
        </w:tc>
        <w:tc>
          <w:tcPr>
            <w:tcW w:w="1555" w:type="dxa"/>
            <w:vAlign w:val="top"/>
          </w:tcPr>
          <w:p w14:paraId="77E276F5">
            <w:pPr>
              <w:pStyle w:val="6"/>
              <w:spacing w:before="101" w:line="188" w:lineRule="auto"/>
              <w:ind w:left="615"/>
            </w:pPr>
            <w:r>
              <w:rPr>
                <w:spacing w:val="-6"/>
              </w:rPr>
              <w:t>10.0</w:t>
            </w:r>
          </w:p>
        </w:tc>
        <w:tc>
          <w:tcPr>
            <w:tcW w:w="2926" w:type="dxa"/>
            <w:vMerge w:val="continue"/>
            <w:tcBorders>
              <w:top w:val="nil"/>
            </w:tcBorders>
            <w:vAlign w:val="top"/>
          </w:tcPr>
          <w:p w14:paraId="6F2313E8">
            <w:pPr>
              <w:rPr>
                <w:rFonts w:ascii="Arial"/>
                <w:sz w:val="21"/>
              </w:rPr>
            </w:pPr>
          </w:p>
        </w:tc>
      </w:tr>
    </w:tbl>
    <w:p w14:paraId="5D441B96">
      <w:pPr>
        <w:spacing w:before="29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4.2.1.2 </w:t>
      </w:r>
      <w:r>
        <w:rPr>
          <w:rFonts w:ascii="宋体" w:hAnsi="宋体" w:eastAsia="宋体" w:cs="宋体"/>
          <w:b/>
          <w:bCs/>
          <w:spacing w:val="5"/>
          <w:sz w:val="27"/>
          <w:szCs w:val="27"/>
        </w:rPr>
        <w:t>污染源计算清单</w:t>
      </w:r>
    </w:p>
    <w:p w14:paraId="232FC328">
      <w:pPr>
        <w:spacing w:before="236" w:line="360" w:lineRule="auto"/>
        <w:ind w:left="43" w:right="29" w:firstLine="477"/>
        <w:rPr>
          <w:rFonts w:ascii="宋体" w:hAnsi="宋体" w:eastAsia="宋体" w:cs="宋体"/>
          <w:sz w:val="24"/>
          <w:szCs w:val="24"/>
        </w:rPr>
      </w:pPr>
      <w:r>
        <w:rPr>
          <w:rFonts w:ascii="宋体" w:hAnsi="宋体" w:eastAsia="宋体" w:cs="宋体"/>
          <w:spacing w:val="-3"/>
          <w:sz w:val="24"/>
          <w:szCs w:val="24"/>
        </w:rPr>
        <w:t>本项目污染源包括猪舍与转猪舍的面源污染源、污水处理站的</w:t>
      </w:r>
      <w:r>
        <w:rPr>
          <w:rFonts w:ascii="宋体" w:hAnsi="宋体" w:eastAsia="宋体" w:cs="宋体"/>
          <w:spacing w:val="-4"/>
          <w:sz w:val="24"/>
          <w:szCs w:val="24"/>
        </w:rPr>
        <w:t>点源及面源污</w:t>
      </w:r>
      <w:r>
        <w:rPr>
          <w:rFonts w:ascii="宋体" w:hAnsi="宋体" w:eastAsia="宋体" w:cs="宋体"/>
          <w:spacing w:val="-3"/>
          <w:sz w:val="24"/>
          <w:szCs w:val="24"/>
        </w:rPr>
        <w:t>染源、堆粪棚的点源及面源污染源。</w:t>
      </w:r>
    </w:p>
    <w:p w14:paraId="2025C382">
      <w:pPr>
        <w:spacing w:before="1" w:line="218" w:lineRule="auto"/>
        <w:ind w:left="520"/>
        <w:rPr>
          <w:rFonts w:ascii="宋体" w:hAnsi="宋体" w:eastAsia="宋体" w:cs="宋体"/>
          <w:sz w:val="24"/>
          <w:szCs w:val="24"/>
        </w:rPr>
      </w:pPr>
      <w:r>
        <w:rPr>
          <w:rFonts w:ascii="宋体" w:hAnsi="宋体" w:eastAsia="宋体" w:cs="宋体"/>
          <w:spacing w:val="-5"/>
          <w:sz w:val="24"/>
          <w:szCs w:val="24"/>
        </w:rPr>
        <w:t>本项目主要污染源源强情况如下：</w:t>
      </w:r>
    </w:p>
    <w:p w14:paraId="52985C08">
      <w:pPr>
        <w:spacing w:before="197"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4.2-2  </w:t>
      </w:r>
      <w:r>
        <w:rPr>
          <w:rFonts w:ascii="黑体" w:hAnsi="黑体" w:eastAsia="黑体" w:cs="黑体"/>
          <w:spacing w:val="-1"/>
          <w:sz w:val="21"/>
          <w:szCs w:val="21"/>
        </w:rPr>
        <w:t>点源污染源参数一览表</w:t>
      </w:r>
    </w:p>
    <w:p w14:paraId="470667CB">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
        <w:gridCol w:w="674"/>
        <w:gridCol w:w="1029"/>
        <w:gridCol w:w="991"/>
        <w:gridCol w:w="717"/>
        <w:gridCol w:w="566"/>
        <w:gridCol w:w="567"/>
        <w:gridCol w:w="566"/>
        <w:gridCol w:w="482"/>
        <w:gridCol w:w="476"/>
        <w:gridCol w:w="442"/>
        <w:gridCol w:w="764"/>
        <w:gridCol w:w="762"/>
      </w:tblGrid>
      <w:tr w14:paraId="1110A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84" w:type="dxa"/>
            <w:vMerge w:val="restart"/>
            <w:tcBorders>
              <w:bottom w:val="nil"/>
            </w:tcBorders>
            <w:textDirection w:val="tbRlV"/>
            <w:vAlign w:val="top"/>
          </w:tcPr>
          <w:p w14:paraId="626BD778">
            <w:pPr>
              <w:spacing w:before="34" w:line="206" w:lineRule="auto"/>
              <w:ind w:left="366"/>
              <w:rPr>
                <w:rFonts w:ascii="宋体" w:hAnsi="宋体" w:eastAsia="宋体" w:cs="宋体"/>
                <w:sz w:val="21"/>
                <w:szCs w:val="21"/>
              </w:rPr>
            </w:pPr>
            <w:r>
              <w:rPr>
                <w:rFonts w:ascii="宋体" w:hAnsi="宋体" w:eastAsia="宋体" w:cs="宋体"/>
                <w:spacing w:val="-2"/>
                <w:sz w:val="21"/>
                <w:szCs w:val="21"/>
              </w:rPr>
              <w:t>编 号</w:t>
            </w:r>
          </w:p>
        </w:tc>
        <w:tc>
          <w:tcPr>
            <w:tcW w:w="674" w:type="dxa"/>
            <w:vMerge w:val="restart"/>
            <w:tcBorders>
              <w:bottom w:val="nil"/>
            </w:tcBorders>
            <w:vAlign w:val="top"/>
          </w:tcPr>
          <w:p w14:paraId="4D774B52">
            <w:pPr>
              <w:spacing w:line="451" w:lineRule="auto"/>
              <w:rPr>
                <w:rFonts w:ascii="Arial"/>
                <w:sz w:val="21"/>
              </w:rPr>
            </w:pPr>
          </w:p>
          <w:p w14:paraId="69301750">
            <w:pPr>
              <w:spacing w:before="68" w:line="222" w:lineRule="auto"/>
              <w:ind w:left="132"/>
              <w:rPr>
                <w:rFonts w:ascii="宋体" w:hAnsi="宋体" w:eastAsia="宋体" w:cs="宋体"/>
                <w:sz w:val="21"/>
                <w:szCs w:val="21"/>
              </w:rPr>
            </w:pPr>
            <w:r>
              <w:rPr>
                <w:rFonts w:ascii="宋体" w:hAnsi="宋体" w:eastAsia="宋体" w:cs="宋体"/>
                <w:spacing w:val="-3"/>
                <w:sz w:val="21"/>
                <w:szCs w:val="21"/>
              </w:rPr>
              <w:t>名称</w:t>
            </w:r>
          </w:p>
        </w:tc>
        <w:tc>
          <w:tcPr>
            <w:tcW w:w="2020" w:type="dxa"/>
            <w:gridSpan w:val="2"/>
            <w:vAlign w:val="top"/>
          </w:tcPr>
          <w:p w14:paraId="0A47BDCE">
            <w:pPr>
              <w:spacing w:before="210" w:line="220" w:lineRule="auto"/>
              <w:ind w:left="68"/>
              <w:rPr>
                <w:rFonts w:ascii="宋体" w:hAnsi="宋体" w:eastAsia="宋体" w:cs="宋体"/>
                <w:sz w:val="21"/>
                <w:szCs w:val="21"/>
              </w:rPr>
            </w:pPr>
            <w:r>
              <w:rPr>
                <w:rFonts w:ascii="宋体" w:hAnsi="宋体" w:eastAsia="宋体" w:cs="宋体"/>
                <w:spacing w:val="-1"/>
                <w:sz w:val="21"/>
                <w:szCs w:val="21"/>
              </w:rPr>
              <w:t>排气筒底部中心坐标</w:t>
            </w:r>
          </w:p>
        </w:tc>
        <w:tc>
          <w:tcPr>
            <w:tcW w:w="717" w:type="dxa"/>
            <w:vMerge w:val="restart"/>
            <w:tcBorders>
              <w:bottom w:val="nil"/>
            </w:tcBorders>
            <w:vAlign w:val="top"/>
          </w:tcPr>
          <w:p w14:paraId="696D30B8">
            <w:pPr>
              <w:spacing w:before="54" w:line="220" w:lineRule="auto"/>
              <w:ind w:left="47"/>
              <w:rPr>
                <w:rFonts w:ascii="宋体" w:hAnsi="宋体" w:eastAsia="宋体" w:cs="宋体"/>
                <w:sz w:val="21"/>
                <w:szCs w:val="21"/>
              </w:rPr>
            </w:pPr>
            <w:r>
              <w:rPr>
                <w:rFonts w:ascii="宋体" w:hAnsi="宋体" w:eastAsia="宋体" w:cs="宋体"/>
                <w:spacing w:val="-2"/>
                <w:sz w:val="21"/>
                <w:szCs w:val="21"/>
              </w:rPr>
              <w:t>排气筒</w:t>
            </w:r>
          </w:p>
          <w:p w14:paraId="7928DC06">
            <w:pPr>
              <w:spacing w:before="61" w:line="220" w:lineRule="auto"/>
              <w:ind w:left="47"/>
              <w:rPr>
                <w:rFonts w:ascii="宋体" w:hAnsi="宋体" w:eastAsia="宋体" w:cs="宋体"/>
                <w:sz w:val="21"/>
                <w:szCs w:val="21"/>
              </w:rPr>
            </w:pPr>
            <w:r>
              <w:rPr>
                <w:rFonts w:ascii="宋体" w:hAnsi="宋体" w:eastAsia="宋体" w:cs="宋体"/>
                <w:spacing w:val="-2"/>
                <w:sz w:val="21"/>
                <w:szCs w:val="21"/>
              </w:rPr>
              <w:t>底部海</w:t>
            </w:r>
          </w:p>
          <w:p w14:paraId="46B58B88">
            <w:pPr>
              <w:pStyle w:val="6"/>
              <w:spacing w:before="62" w:line="264" w:lineRule="auto"/>
              <w:ind w:left="243" w:right="42" w:hanging="196"/>
            </w:pPr>
            <w:r>
              <w:rPr>
                <w:rFonts w:ascii="宋体" w:hAnsi="宋体" w:eastAsia="宋体" w:cs="宋体"/>
                <w:spacing w:val="-3"/>
              </w:rPr>
              <w:t>拔高度</w:t>
            </w:r>
            <w:r>
              <w:t>/m</w:t>
            </w:r>
          </w:p>
        </w:tc>
        <w:tc>
          <w:tcPr>
            <w:tcW w:w="566" w:type="dxa"/>
            <w:vMerge w:val="restart"/>
            <w:tcBorders>
              <w:bottom w:val="nil"/>
            </w:tcBorders>
            <w:vAlign w:val="top"/>
          </w:tcPr>
          <w:p w14:paraId="24B9A772">
            <w:pPr>
              <w:pStyle w:val="6"/>
              <w:spacing w:before="210" w:line="276" w:lineRule="auto"/>
              <w:ind w:left="71" w:right="63" w:firstLine="6"/>
              <w:jc w:val="both"/>
            </w:pPr>
            <w:r>
              <w:rPr>
                <w:rFonts w:ascii="宋体" w:hAnsi="宋体" w:eastAsia="宋体" w:cs="宋体"/>
                <w:spacing w:val="-5"/>
              </w:rPr>
              <w:t>排气</w:t>
            </w:r>
            <w:r>
              <w:rPr>
                <w:rFonts w:ascii="宋体" w:hAnsi="宋体" w:eastAsia="宋体" w:cs="宋体"/>
                <w:spacing w:val="-1"/>
              </w:rPr>
              <w:t>筒高</w:t>
            </w:r>
            <w:r>
              <w:rPr>
                <w:rFonts w:ascii="宋体" w:hAnsi="宋体" w:eastAsia="宋体" w:cs="宋体"/>
                <w:spacing w:val="-2"/>
              </w:rPr>
              <w:t>度</w:t>
            </w:r>
            <w:r>
              <w:rPr>
                <w:spacing w:val="-2"/>
              </w:rPr>
              <w:t>/m</w:t>
            </w:r>
          </w:p>
        </w:tc>
        <w:tc>
          <w:tcPr>
            <w:tcW w:w="567" w:type="dxa"/>
            <w:vMerge w:val="restart"/>
            <w:tcBorders>
              <w:bottom w:val="nil"/>
            </w:tcBorders>
            <w:vAlign w:val="top"/>
          </w:tcPr>
          <w:p w14:paraId="4BEC7B3D">
            <w:pPr>
              <w:spacing w:before="54" w:line="221" w:lineRule="auto"/>
              <w:ind w:left="78"/>
              <w:rPr>
                <w:rFonts w:ascii="宋体" w:hAnsi="宋体" w:eastAsia="宋体" w:cs="宋体"/>
                <w:sz w:val="21"/>
                <w:szCs w:val="21"/>
              </w:rPr>
            </w:pPr>
            <w:r>
              <w:rPr>
                <w:rFonts w:ascii="宋体" w:hAnsi="宋体" w:eastAsia="宋体" w:cs="宋体"/>
                <w:spacing w:val="-3"/>
                <w:sz w:val="21"/>
                <w:szCs w:val="21"/>
              </w:rPr>
              <w:t>排气</w:t>
            </w:r>
          </w:p>
          <w:p w14:paraId="30958A20">
            <w:pPr>
              <w:spacing w:before="60" w:line="220" w:lineRule="auto"/>
              <w:ind w:left="82"/>
              <w:rPr>
                <w:rFonts w:ascii="宋体" w:hAnsi="宋体" w:eastAsia="宋体" w:cs="宋体"/>
                <w:sz w:val="21"/>
                <w:szCs w:val="21"/>
              </w:rPr>
            </w:pPr>
            <w:r>
              <w:rPr>
                <w:rFonts w:ascii="宋体" w:hAnsi="宋体" w:eastAsia="宋体" w:cs="宋体"/>
                <w:spacing w:val="-3"/>
                <w:sz w:val="21"/>
                <w:szCs w:val="21"/>
              </w:rPr>
              <w:t>筒出</w:t>
            </w:r>
          </w:p>
          <w:p w14:paraId="7E06420C">
            <w:pPr>
              <w:pStyle w:val="6"/>
              <w:spacing w:before="62" w:line="249" w:lineRule="auto"/>
              <w:ind w:left="72" w:right="63" w:firstLine="37"/>
            </w:pPr>
            <w:r>
              <w:rPr>
                <w:rFonts w:ascii="宋体" w:hAnsi="宋体" w:eastAsia="宋体" w:cs="宋体"/>
                <w:spacing w:val="-21"/>
              </w:rPr>
              <w:t>口内</w:t>
            </w:r>
            <w:r>
              <w:rPr>
                <w:rFonts w:ascii="宋体" w:hAnsi="宋体" w:eastAsia="宋体" w:cs="宋体"/>
                <w:spacing w:val="-3"/>
              </w:rPr>
              <w:t>径</w:t>
            </w:r>
            <w:r>
              <w:rPr>
                <w:spacing w:val="-3"/>
              </w:rPr>
              <w:t>/m</w:t>
            </w:r>
          </w:p>
        </w:tc>
        <w:tc>
          <w:tcPr>
            <w:tcW w:w="566" w:type="dxa"/>
            <w:vMerge w:val="restart"/>
            <w:tcBorders>
              <w:bottom w:val="nil"/>
            </w:tcBorders>
            <w:vAlign w:val="top"/>
          </w:tcPr>
          <w:p w14:paraId="4CBF47A5">
            <w:pPr>
              <w:pStyle w:val="6"/>
              <w:spacing w:before="208" w:line="284" w:lineRule="auto"/>
              <w:ind w:left="50" w:right="40" w:firstLine="30"/>
              <w:jc w:val="both"/>
            </w:pPr>
            <w:r>
              <w:rPr>
                <w:rFonts w:ascii="宋体" w:hAnsi="宋体" w:eastAsia="宋体" w:cs="宋体"/>
                <w:spacing w:val="-5"/>
              </w:rPr>
              <w:t>烟气</w:t>
            </w:r>
            <w:r>
              <w:rPr>
                <w:rFonts w:ascii="宋体" w:hAnsi="宋体" w:eastAsia="宋体" w:cs="宋体"/>
                <w:spacing w:val="-3"/>
              </w:rPr>
              <w:t>流速</w:t>
            </w:r>
            <w:r>
              <w:rPr>
                <w:spacing w:val="-3"/>
              </w:rPr>
              <w:t>/</w:t>
            </w:r>
            <w:r>
              <w:t xml:space="preserve"> </w:t>
            </w:r>
            <w:r>
              <w:rPr>
                <w:spacing w:val="1"/>
              </w:rPr>
              <w:t>(m/s)</w:t>
            </w:r>
          </w:p>
        </w:tc>
        <w:tc>
          <w:tcPr>
            <w:tcW w:w="482" w:type="dxa"/>
            <w:vMerge w:val="restart"/>
            <w:tcBorders>
              <w:bottom w:val="nil"/>
            </w:tcBorders>
            <w:vAlign w:val="top"/>
          </w:tcPr>
          <w:p w14:paraId="4140ED17">
            <w:pPr>
              <w:pStyle w:val="6"/>
              <w:tabs>
                <w:tab w:val="left" w:pos="103"/>
              </w:tabs>
              <w:spacing w:before="210" w:line="281" w:lineRule="auto"/>
              <w:ind w:left="37" w:right="28"/>
              <w:jc w:val="both"/>
              <w:rPr>
                <w:rFonts w:ascii="宋体" w:hAnsi="宋体" w:eastAsia="宋体" w:cs="宋体"/>
              </w:rPr>
            </w:pPr>
            <w:r>
              <w:rPr>
                <w:rFonts w:ascii="宋体" w:hAnsi="宋体" w:eastAsia="宋体" w:cs="宋体"/>
                <w:spacing w:val="-5"/>
              </w:rPr>
              <w:t>烟气温度</w:t>
            </w:r>
            <w:r>
              <w:tab/>
            </w:r>
            <w:r>
              <w:t>/</w:t>
            </w:r>
            <w:r>
              <w:rPr>
                <w:rFonts w:ascii="宋体" w:hAnsi="宋体" w:eastAsia="宋体" w:cs="宋体"/>
              </w:rPr>
              <w:t>℃</w:t>
            </w:r>
          </w:p>
        </w:tc>
        <w:tc>
          <w:tcPr>
            <w:tcW w:w="476" w:type="dxa"/>
            <w:vMerge w:val="restart"/>
            <w:tcBorders>
              <w:bottom w:val="nil"/>
            </w:tcBorders>
            <w:vAlign w:val="top"/>
          </w:tcPr>
          <w:p w14:paraId="083CA182">
            <w:pPr>
              <w:pStyle w:val="6"/>
              <w:spacing w:before="211" w:line="276" w:lineRule="auto"/>
              <w:ind w:left="34" w:right="24"/>
              <w:jc w:val="both"/>
            </w:pPr>
            <w:r>
              <w:rPr>
                <w:rFonts w:ascii="宋体" w:hAnsi="宋体" w:eastAsia="宋体" w:cs="宋体"/>
                <w:spacing w:val="-5"/>
              </w:rPr>
              <w:t>年排放小</w:t>
            </w:r>
            <w:r>
              <w:rPr>
                <w:rFonts w:ascii="宋体" w:hAnsi="宋体" w:eastAsia="宋体" w:cs="宋体"/>
                <w:spacing w:val="5"/>
              </w:rPr>
              <w:t>时</w:t>
            </w:r>
            <w:r>
              <w:rPr>
                <w:spacing w:val="5"/>
              </w:rPr>
              <w:t>/h</w:t>
            </w:r>
          </w:p>
        </w:tc>
        <w:tc>
          <w:tcPr>
            <w:tcW w:w="442" w:type="dxa"/>
            <w:vMerge w:val="restart"/>
            <w:tcBorders>
              <w:bottom w:val="nil"/>
            </w:tcBorders>
            <w:vAlign w:val="top"/>
          </w:tcPr>
          <w:p w14:paraId="155C4C82">
            <w:pPr>
              <w:spacing w:line="295" w:lineRule="auto"/>
              <w:rPr>
                <w:rFonts w:ascii="Arial"/>
                <w:sz w:val="21"/>
              </w:rPr>
            </w:pPr>
          </w:p>
          <w:p w14:paraId="40F90893">
            <w:pPr>
              <w:spacing w:before="69" w:line="277" w:lineRule="auto"/>
              <w:ind w:left="20" w:right="6" w:hanging="2"/>
              <w:rPr>
                <w:rFonts w:ascii="宋体" w:hAnsi="宋体" w:eastAsia="宋体" w:cs="宋体"/>
                <w:sz w:val="21"/>
                <w:szCs w:val="21"/>
              </w:rPr>
            </w:pPr>
            <w:r>
              <w:rPr>
                <w:rFonts w:ascii="宋体" w:hAnsi="宋体" w:eastAsia="宋体" w:cs="宋体"/>
                <w:spacing w:val="-5"/>
                <w:sz w:val="21"/>
                <w:szCs w:val="21"/>
              </w:rPr>
              <w:t>排放</w:t>
            </w:r>
            <w:r>
              <w:rPr>
                <w:rFonts w:ascii="宋体" w:hAnsi="宋体" w:eastAsia="宋体" w:cs="宋体"/>
                <w:spacing w:val="-6"/>
                <w:sz w:val="21"/>
                <w:szCs w:val="21"/>
              </w:rPr>
              <w:t>工况</w:t>
            </w:r>
          </w:p>
        </w:tc>
        <w:tc>
          <w:tcPr>
            <w:tcW w:w="1526" w:type="dxa"/>
            <w:gridSpan w:val="2"/>
            <w:vAlign w:val="top"/>
          </w:tcPr>
          <w:p w14:paraId="662538D5">
            <w:pPr>
              <w:spacing w:before="54" w:line="220" w:lineRule="auto"/>
              <w:ind w:left="35"/>
              <w:rPr>
                <w:rFonts w:ascii="宋体" w:hAnsi="宋体" w:eastAsia="宋体" w:cs="宋体"/>
                <w:sz w:val="21"/>
                <w:szCs w:val="21"/>
              </w:rPr>
            </w:pPr>
            <w:r>
              <w:rPr>
                <w:rFonts w:ascii="宋体" w:hAnsi="宋体" w:eastAsia="宋体" w:cs="宋体"/>
                <w:spacing w:val="-2"/>
                <w:sz w:val="21"/>
                <w:szCs w:val="21"/>
              </w:rPr>
              <w:t>污染物排放速率</w:t>
            </w:r>
          </w:p>
          <w:p w14:paraId="386897D4">
            <w:pPr>
              <w:pStyle w:val="6"/>
              <w:spacing w:before="94" w:line="192" w:lineRule="auto"/>
              <w:ind w:left="475"/>
            </w:pPr>
            <w:r>
              <w:t>/(kg/h)</w:t>
            </w:r>
          </w:p>
        </w:tc>
      </w:tr>
      <w:tr w14:paraId="09ECA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84" w:type="dxa"/>
            <w:vMerge w:val="continue"/>
            <w:tcBorders>
              <w:top w:val="nil"/>
            </w:tcBorders>
            <w:textDirection w:val="tbRlV"/>
            <w:vAlign w:val="top"/>
          </w:tcPr>
          <w:p w14:paraId="5572230F">
            <w:pPr>
              <w:rPr>
                <w:rFonts w:ascii="Arial"/>
                <w:sz w:val="21"/>
              </w:rPr>
            </w:pPr>
          </w:p>
        </w:tc>
        <w:tc>
          <w:tcPr>
            <w:tcW w:w="674" w:type="dxa"/>
            <w:vMerge w:val="continue"/>
            <w:tcBorders>
              <w:top w:val="nil"/>
            </w:tcBorders>
            <w:vAlign w:val="top"/>
          </w:tcPr>
          <w:p w14:paraId="52FBEF36">
            <w:pPr>
              <w:rPr>
                <w:rFonts w:ascii="Arial"/>
                <w:sz w:val="21"/>
              </w:rPr>
            </w:pPr>
          </w:p>
        </w:tc>
        <w:tc>
          <w:tcPr>
            <w:tcW w:w="1029" w:type="dxa"/>
            <w:vAlign w:val="top"/>
          </w:tcPr>
          <w:p w14:paraId="4D40BDFF">
            <w:pPr>
              <w:pStyle w:val="6"/>
              <w:spacing w:before="242" w:line="185" w:lineRule="auto"/>
              <w:ind w:left="436"/>
            </w:pPr>
            <w:r>
              <w:t>X</w:t>
            </w:r>
          </w:p>
        </w:tc>
        <w:tc>
          <w:tcPr>
            <w:tcW w:w="991" w:type="dxa"/>
            <w:vAlign w:val="top"/>
          </w:tcPr>
          <w:p w14:paraId="78AEE185">
            <w:pPr>
              <w:pStyle w:val="6"/>
              <w:spacing w:before="242" w:line="185" w:lineRule="auto"/>
              <w:ind w:left="418"/>
            </w:pPr>
            <w:r>
              <w:t>Y</w:t>
            </w:r>
          </w:p>
        </w:tc>
        <w:tc>
          <w:tcPr>
            <w:tcW w:w="717" w:type="dxa"/>
            <w:vMerge w:val="continue"/>
            <w:tcBorders>
              <w:top w:val="nil"/>
            </w:tcBorders>
            <w:vAlign w:val="top"/>
          </w:tcPr>
          <w:p w14:paraId="60F20A08">
            <w:pPr>
              <w:rPr>
                <w:rFonts w:ascii="Arial"/>
                <w:sz w:val="21"/>
              </w:rPr>
            </w:pPr>
          </w:p>
        </w:tc>
        <w:tc>
          <w:tcPr>
            <w:tcW w:w="566" w:type="dxa"/>
            <w:vMerge w:val="continue"/>
            <w:tcBorders>
              <w:top w:val="nil"/>
            </w:tcBorders>
            <w:vAlign w:val="top"/>
          </w:tcPr>
          <w:p w14:paraId="19BB5053">
            <w:pPr>
              <w:rPr>
                <w:rFonts w:ascii="Arial"/>
                <w:sz w:val="21"/>
              </w:rPr>
            </w:pPr>
          </w:p>
        </w:tc>
        <w:tc>
          <w:tcPr>
            <w:tcW w:w="567" w:type="dxa"/>
            <w:vMerge w:val="continue"/>
            <w:tcBorders>
              <w:top w:val="nil"/>
            </w:tcBorders>
            <w:vAlign w:val="top"/>
          </w:tcPr>
          <w:p w14:paraId="6A0F3FA6">
            <w:pPr>
              <w:rPr>
                <w:rFonts w:ascii="Arial"/>
                <w:sz w:val="21"/>
              </w:rPr>
            </w:pPr>
          </w:p>
        </w:tc>
        <w:tc>
          <w:tcPr>
            <w:tcW w:w="566" w:type="dxa"/>
            <w:vMerge w:val="continue"/>
            <w:tcBorders>
              <w:top w:val="nil"/>
            </w:tcBorders>
            <w:vAlign w:val="top"/>
          </w:tcPr>
          <w:p w14:paraId="600A44EA">
            <w:pPr>
              <w:rPr>
                <w:rFonts w:ascii="Arial"/>
                <w:sz w:val="21"/>
              </w:rPr>
            </w:pPr>
          </w:p>
        </w:tc>
        <w:tc>
          <w:tcPr>
            <w:tcW w:w="482" w:type="dxa"/>
            <w:vMerge w:val="continue"/>
            <w:tcBorders>
              <w:top w:val="nil"/>
            </w:tcBorders>
            <w:vAlign w:val="top"/>
          </w:tcPr>
          <w:p w14:paraId="07EE2270">
            <w:pPr>
              <w:rPr>
                <w:rFonts w:ascii="Arial"/>
                <w:sz w:val="21"/>
              </w:rPr>
            </w:pPr>
          </w:p>
        </w:tc>
        <w:tc>
          <w:tcPr>
            <w:tcW w:w="476" w:type="dxa"/>
            <w:vMerge w:val="continue"/>
            <w:tcBorders>
              <w:top w:val="nil"/>
            </w:tcBorders>
            <w:vAlign w:val="top"/>
          </w:tcPr>
          <w:p w14:paraId="1DB90B4B">
            <w:pPr>
              <w:rPr>
                <w:rFonts w:ascii="Arial"/>
                <w:sz w:val="21"/>
              </w:rPr>
            </w:pPr>
          </w:p>
        </w:tc>
        <w:tc>
          <w:tcPr>
            <w:tcW w:w="442" w:type="dxa"/>
            <w:vMerge w:val="continue"/>
            <w:tcBorders>
              <w:top w:val="nil"/>
            </w:tcBorders>
            <w:vAlign w:val="top"/>
          </w:tcPr>
          <w:p w14:paraId="28ED79BA">
            <w:pPr>
              <w:rPr>
                <w:rFonts w:ascii="Arial"/>
                <w:sz w:val="21"/>
              </w:rPr>
            </w:pPr>
          </w:p>
        </w:tc>
        <w:tc>
          <w:tcPr>
            <w:tcW w:w="764" w:type="dxa"/>
            <w:vAlign w:val="top"/>
          </w:tcPr>
          <w:p w14:paraId="74EBF7B3">
            <w:pPr>
              <w:pStyle w:val="6"/>
              <w:spacing w:before="241" w:line="195" w:lineRule="auto"/>
              <w:ind w:left="193"/>
              <w:rPr>
                <w:sz w:val="14"/>
                <w:szCs w:val="14"/>
              </w:rPr>
            </w:pPr>
            <w:r>
              <w:t>NH</w:t>
            </w:r>
            <w:r>
              <w:rPr>
                <w:spacing w:val="1"/>
                <w:position w:val="-2"/>
                <w:sz w:val="14"/>
                <w:szCs w:val="14"/>
              </w:rPr>
              <w:t>3</w:t>
            </w:r>
          </w:p>
        </w:tc>
        <w:tc>
          <w:tcPr>
            <w:tcW w:w="762" w:type="dxa"/>
            <w:vAlign w:val="top"/>
          </w:tcPr>
          <w:p w14:paraId="26AFB9A9">
            <w:pPr>
              <w:pStyle w:val="6"/>
              <w:spacing w:before="238" w:line="198" w:lineRule="auto"/>
              <w:ind w:left="212"/>
            </w:pPr>
            <w:r>
              <w:rPr>
                <w:spacing w:val="-2"/>
              </w:rPr>
              <w:t>H</w:t>
            </w:r>
            <w:r>
              <w:rPr>
                <w:spacing w:val="-2"/>
                <w:position w:val="-2"/>
                <w:sz w:val="14"/>
                <w:szCs w:val="14"/>
              </w:rPr>
              <w:t>2</w:t>
            </w:r>
            <w:r>
              <w:rPr>
                <w:spacing w:val="-2"/>
              </w:rPr>
              <w:t>S</w:t>
            </w:r>
          </w:p>
        </w:tc>
      </w:tr>
      <w:tr w14:paraId="04E37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84" w:type="dxa"/>
            <w:vAlign w:val="top"/>
          </w:tcPr>
          <w:p w14:paraId="1BB1394F">
            <w:pPr>
              <w:spacing w:line="338" w:lineRule="auto"/>
              <w:rPr>
                <w:rFonts w:ascii="Arial"/>
                <w:sz w:val="21"/>
              </w:rPr>
            </w:pPr>
          </w:p>
          <w:p w14:paraId="1F516480">
            <w:pPr>
              <w:pStyle w:val="6"/>
              <w:spacing w:before="60" w:line="188" w:lineRule="auto"/>
              <w:ind w:left="111"/>
            </w:pPr>
            <w:r>
              <w:t>1</w:t>
            </w:r>
          </w:p>
        </w:tc>
        <w:tc>
          <w:tcPr>
            <w:tcW w:w="674" w:type="dxa"/>
            <w:vAlign w:val="top"/>
          </w:tcPr>
          <w:p w14:paraId="0DB2E0E9">
            <w:pPr>
              <w:spacing w:before="51" w:line="220" w:lineRule="auto"/>
              <w:ind w:left="26"/>
              <w:rPr>
                <w:rFonts w:ascii="宋体" w:hAnsi="宋体" w:eastAsia="宋体" w:cs="宋体"/>
                <w:sz w:val="21"/>
                <w:szCs w:val="21"/>
              </w:rPr>
            </w:pPr>
            <w:r>
              <w:rPr>
                <w:rFonts w:ascii="宋体" w:hAnsi="宋体" w:eastAsia="宋体" w:cs="宋体"/>
                <w:spacing w:val="-3"/>
                <w:sz w:val="21"/>
                <w:szCs w:val="21"/>
              </w:rPr>
              <w:t>污水站</w:t>
            </w:r>
          </w:p>
          <w:p w14:paraId="45E57508">
            <w:pPr>
              <w:pStyle w:val="6"/>
              <w:spacing w:before="63" w:line="282" w:lineRule="auto"/>
              <w:ind w:left="13" w:right="13" w:firstLine="11"/>
              <w:rPr>
                <w:sz w:val="18"/>
                <w:szCs w:val="18"/>
              </w:rPr>
            </w:pPr>
            <w:r>
              <w:rPr>
                <w:rFonts w:ascii="宋体" w:hAnsi="宋体" w:eastAsia="宋体" w:cs="宋体"/>
                <w:spacing w:val="-3"/>
              </w:rPr>
              <w:t>排气筒</w:t>
            </w:r>
            <w:r>
              <w:rPr>
                <w:spacing w:val="-2"/>
                <w:sz w:val="18"/>
                <w:szCs w:val="18"/>
              </w:rPr>
              <w:t>(DA001)</w:t>
            </w:r>
          </w:p>
        </w:tc>
        <w:tc>
          <w:tcPr>
            <w:tcW w:w="1029" w:type="dxa"/>
            <w:vAlign w:val="top"/>
          </w:tcPr>
          <w:p w14:paraId="34D94151">
            <w:pPr>
              <w:spacing w:line="338" w:lineRule="auto"/>
              <w:rPr>
                <w:rFonts w:ascii="Arial"/>
                <w:sz w:val="21"/>
              </w:rPr>
            </w:pPr>
          </w:p>
          <w:p w14:paraId="6AD8ABD1">
            <w:pPr>
              <w:pStyle w:val="6"/>
              <w:spacing w:before="60" w:line="188" w:lineRule="auto"/>
              <w:ind w:left="35"/>
            </w:pPr>
            <w:r>
              <w:rPr>
                <w:spacing w:val="-3"/>
              </w:rPr>
              <w:t>105.346663</w:t>
            </w:r>
          </w:p>
        </w:tc>
        <w:tc>
          <w:tcPr>
            <w:tcW w:w="991" w:type="dxa"/>
            <w:vAlign w:val="top"/>
          </w:tcPr>
          <w:p w14:paraId="02DA67D4">
            <w:pPr>
              <w:spacing w:line="338" w:lineRule="auto"/>
              <w:rPr>
                <w:rFonts w:ascii="Arial"/>
                <w:sz w:val="21"/>
              </w:rPr>
            </w:pPr>
          </w:p>
          <w:p w14:paraId="787992E8">
            <w:pPr>
              <w:pStyle w:val="6"/>
              <w:spacing w:before="60" w:line="188" w:lineRule="auto"/>
              <w:ind w:left="50"/>
            </w:pPr>
            <w:r>
              <w:rPr>
                <w:spacing w:val="-1"/>
              </w:rPr>
              <w:t>29.677369</w:t>
            </w:r>
          </w:p>
        </w:tc>
        <w:tc>
          <w:tcPr>
            <w:tcW w:w="717" w:type="dxa"/>
            <w:vAlign w:val="top"/>
          </w:tcPr>
          <w:p w14:paraId="32DF951E">
            <w:pPr>
              <w:spacing w:line="338" w:lineRule="auto"/>
              <w:rPr>
                <w:rFonts w:ascii="Arial"/>
                <w:sz w:val="21"/>
              </w:rPr>
            </w:pPr>
          </w:p>
          <w:p w14:paraId="001EB889">
            <w:pPr>
              <w:pStyle w:val="6"/>
              <w:spacing w:before="60" w:line="188" w:lineRule="auto"/>
              <w:ind w:left="205"/>
            </w:pPr>
            <w:r>
              <w:rPr>
                <w:spacing w:val="-3"/>
              </w:rPr>
              <w:t>354</w:t>
            </w:r>
          </w:p>
        </w:tc>
        <w:tc>
          <w:tcPr>
            <w:tcW w:w="566" w:type="dxa"/>
            <w:vAlign w:val="top"/>
          </w:tcPr>
          <w:p w14:paraId="73DD2FFC">
            <w:pPr>
              <w:spacing w:line="338" w:lineRule="auto"/>
              <w:rPr>
                <w:rFonts w:ascii="Arial"/>
                <w:sz w:val="21"/>
              </w:rPr>
            </w:pPr>
          </w:p>
          <w:p w14:paraId="6B517C97">
            <w:pPr>
              <w:pStyle w:val="6"/>
              <w:spacing w:before="60" w:line="188" w:lineRule="auto"/>
              <w:ind w:left="199"/>
            </w:pPr>
            <w:r>
              <w:rPr>
                <w:spacing w:val="-6"/>
              </w:rPr>
              <w:t>15</w:t>
            </w:r>
          </w:p>
        </w:tc>
        <w:tc>
          <w:tcPr>
            <w:tcW w:w="567" w:type="dxa"/>
            <w:vAlign w:val="top"/>
          </w:tcPr>
          <w:p w14:paraId="5A94A594">
            <w:pPr>
              <w:spacing w:line="338" w:lineRule="auto"/>
              <w:rPr>
                <w:rFonts w:ascii="Arial"/>
                <w:sz w:val="21"/>
              </w:rPr>
            </w:pPr>
          </w:p>
          <w:p w14:paraId="0BECC35E">
            <w:pPr>
              <w:pStyle w:val="6"/>
              <w:spacing w:before="60" w:line="188" w:lineRule="auto"/>
              <w:ind w:left="104"/>
            </w:pPr>
            <w:r>
              <w:rPr>
                <w:spacing w:val="-2"/>
              </w:rPr>
              <w:t>0.35</w:t>
            </w:r>
          </w:p>
        </w:tc>
        <w:tc>
          <w:tcPr>
            <w:tcW w:w="566" w:type="dxa"/>
            <w:vAlign w:val="top"/>
          </w:tcPr>
          <w:p w14:paraId="1CADB231">
            <w:pPr>
              <w:spacing w:line="338" w:lineRule="auto"/>
              <w:rPr>
                <w:rFonts w:ascii="Arial"/>
                <w:sz w:val="21"/>
              </w:rPr>
            </w:pPr>
          </w:p>
          <w:p w14:paraId="35C321D2">
            <w:pPr>
              <w:pStyle w:val="6"/>
              <w:spacing w:before="60" w:line="188" w:lineRule="auto"/>
              <w:ind w:left="122"/>
            </w:pPr>
            <w:r>
              <w:rPr>
                <w:spacing w:val="-6"/>
              </w:rPr>
              <w:t>17.3</w:t>
            </w:r>
          </w:p>
        </w:tc>
        <w:tc>
          <w:tcPr>
            <w:tcW w:w="482" w:type="dxa"/>
            <w:vAlign w:val="top"/>
          </w:tcPr>
          <w:p w14:paraId="76F3647B">
            <w:pPr>
              <w:spacing w:line="338" w:lineRule="auto"/>
              <w:rPr>
                <w:rFonts w:ascii="Arial"/>
                <w:sz w:val="21"/>
              </w:rPr>
            </w:pPr>
          </w:p>
          <w:p w14:paraId="67D3CC91">
            <w:pPr>
              <w:pStyle w:val="6"/>
              <w:spacing w:before="60" w:line="188" w:lineRule="auto"/>
              <w:ind w:left="138"/>
            </w:pPr>
            <w:r>
              <w:rPr>
                <w:spacing w:val="-2"/>
              </w:rPr>
              <w:t>25</w:t>
            </w:r>
          </w:p>
        </w:tc>
        <w:tc>
          <w:tcPr>
            <w:tcW w:w="476" w:type="dxa"/>
            <w:vAlign w:val="top"/>
          </w:tcPr>
          <w:p w14:paraId="246D4A86">
            <w:pPr>
              <w:spacing w:line="338" w:lineRule="auto"/>
              <w:rPr>
                <w:rFonts w:ascii="Arial"/>
                <w:sz w:val="21"/>
              </w:rPr>
            </w:pPr>
          </w:p>
          <w:p w14:paraId="09EB5EBF">
            <w:pPr>
              <w:pStyle w:val="6"/>
              <w:spacing w:before="60" w:line="188" w:lineRule="auto"/>
              <w:ind w:left="39"/>
            </w:pPr>
            <w:r>
              <w:rPr>
                <w:spacing w:val="-4"/>
              </w:rPr>
              <w:t>8760</w:t>
            </w:r>
          </w:p>
        </w:tc>
        <w:tc>
          <w:tcPr>
            <w:tcW w:w="442" w:type="dxa"/>
            <w:vAlign w:val="top"/>
          </w:tcPr>
          <w:p w14:paraId="7DCCB17F">
            <w:pPr>
              <w:spacing w:line="294" w:lineRule="auto"/>
              <w:rPr>
                <w:rFonts w:ascii="Arial"/>
                <w:sz w:val="21"/>
              </w:rPr>
            </w:pPr>
          </w:p>
          <w:p w14:paraId="6A271B6D">
            <w:pPr>
              <w:spacing w:before="68" w:line="220" w:lineRule="auto"/>
              <w:jc w:val="right"/>
              <w:rPr>
                <w:rFonts w:ascii="宋体" w:hAnsi="宋体" w:eastAsia="宋体" w:cs="宋体"/>
                <w:sz w:val="21"/>
                <w:szCs w:val="21"/>
              </w:rPr>
            </w:pPr>
            <w:r>
              <w:rPr>
                <w:rFonts w:ascii="宋体" w:hAnsi="宋体" w:eastAsia="宋体" w:cs="宋体"/>
                <w:spacing w:val="-4"/>
                <w:sz w:val="21"/>
                <w:szCs w:val="21"/>
              </w:rPr>
              <w:t>正常</w:t>
            </w:r>
          </w:p>
        </w:tc>
        <w:tc>
          <w:tcPr>
            <w:tcW w:w="764" w:type="dxa"/>
            <w:vAlign w:val="top"/>
          </w:tcPr>
          <w:p w14:paraId="41F82235">
            <w:pPr>
              <w:spacing w:line="338" w:lineRule="auto"/>
              <w:rPr>
                <w:rFonts w:ascii="Arial"/>
                <w:sz w:val="21"/>
              </w:rPr>
            </w:pPr>
          </w:p>
          <w:p w14:paraId="5DDF7E5F">
            <w:pPr>
              <w:pStyle w:val="6"/>
              <w:spacing w:before="60" w:line="188" w:lineRule="auto"/>
              <w:ind w:left="101"/>
            </w:pPr>
            <w:r>
              <w:rPr>
                <w:spacing w:val="-2"/>
              </w:rPr>
              <w:t>0.0088</w:t>
            </w:r>
          </w:p>
        </w:tc>
        <w:tc>
          <w:tcPr>
            <w:tcW w:w="762" w:type="dxa"/>
            <w:vAlign w:val="top"/>
          </w:tcPr>
          <w:p w14:paraId="4E329E5B">
            <w:pPr>
              <w:spacing w:line="338" w:lineRule="auto"/>
              <w:rPr>
                <w:rFonts w:ascii="Arial"/>
                <w:sz w:val="21"/>
              </w:rPr>
            </w:pPr>
          </w:p>
          <w:p w14:paraId="503CB4A3">
            <w:pPr>
              <w:pStyle w:val="6"/>
              <w:spacing w:before="60" w:line="188" w:lineRule="auto"/>
              <w:ind w:left="97"/>
            </w:pPr>
            <w:r>
              <w:rPr>
                <w:spacing w:val="-2"/>
              </w:rPr>
              <w:t>0.0003</w:t>
            </w:r>
          </w:p>
        </w:tc>
      </w:tr>
      <w:tr w14:paraId="04B7E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84" w:type="dxa"/>
            <w:vAlign w:val="top"/>
          </w:tcPr>
          <w:p w14:paraId="5D1DD084">
            <w:pPr>
              <w:spacing w:line="341" w:lineRule="auto"/>
              <w:rPr>
                <w:rFonts w:ascii="Arial"/>
                <w:sz w:val="21"/>
              </w:rPr>
            </w:pPr>
          </w:p>
          <w:p w14:paraId="17212E7A">
            <w:pPr>
              <w:pStyle w:val="6"/>
              <w:spacing w:before="60" w:line="188" w:lineRule="auto"/>
              <w:ind w:left="91"/>
            </w:pPr>
            <w:r>
              <w:t>2</w:t>
            </w:r>
          </w:p>
        </w:tc>
        <w:tc>
          <w:tcPr>
            <w:tcW w:w="674" w:type="dxa"/>
            <w:vAlign w:val="top"/>
          </w:tcPr>
          <w:p w14:paraId="1395AE02">
            <w:pPr>
              <w:spacing w:before="54" w:line="220" w:lineRule="auto"/>
              <w:ind w:left="26"/>
              <w:rPr>
                <w:rFonts w:ascii="宋体" w:hAnsi="宋体" w:eastAsia="宋体" w:cs="宋体"/>
                <w:sz w:val="21"/>
                <w:szCs w:val="21"/>
              </w:rPr>
            </w:pPr>
            <w:r>
              <w:rPr>
                <w:rFonts w:ascii="宋体" w:hAnsi="宋体" w:eastAsia="宋体" w:cs="宋体"/>
                <w:spacing w:val="-3"/>
                <w:sz w:val="21"/>
                <w:szCs w:val="21"/>
              </w:rPr>
              <w:t>堆粪棚</w:t>
            </w:r>
          </w:p>
          <w:p w14:paraId="6AE6EAE9">
            <w:pPr>
              <w:pStyle w:val="6"/>
              <w:spacing w:before="62" w:line="284" w:lineRule="auto"/>
              <w:ind w:left="13" w:right="13" w:firstLine="11"/>
              <w:rPr>
                <w:sz w:val="18"/>
                <w:szCs w:val="18"/>
              </w:rPr>
            </w:pPr>
            <w:r>
              <w:rPr>
                <w:rFonts w:ascii="宋体" w:hAnsi="宋体" w:eastAsia="宋体" w:cs="宋体"/>
                <w:spacing w:val="-3"/>
              </w:rPr>
              <w:t>排气筒</w:t>
            </w:r>
            <w:r>
              <w:rPr>
                <w:spacing w:val="-2"/>
                <w:sz w:val="18"/>
                <w:szCs w:val="18"/>
              </w:rPr>
              <w:t>(DA002)</w:t>
            </w:r>
          </w:p>
        </w:tc>
        <w:tc>
          <w:tcPr>
            <w:tcW w:w="1029" w:type="dxa"/>
            <w:vAlign w:val="top"/>
          </w:tcPr>
          <w:p w14:paraId="4969E56E">
            <w:pPr>
              <w:spacing w:line="341" w:lineRule="auto"/>
              <w:rPr>
                <w:rFonts w:ascii="Arial"/>
                <w:sz w:val="21"/>
              </w:rPr>
            </w:pPr>
          </w:p>
          <w:p w14:paraId="517638C9">
            <w:pPr>
              <w:pStyle w:val="6"/>
              <w:spacing w:before="60" w:line="188" w:lineRule="auto"/>
              <w:ind w:left="35"/>
            </w:pPr>
            <w:r>
              <w:rPr>
                <w:spacing w:val="-3"/>
              </w:rPr>
              <w:t>105.344940</w:t>
            </w:r>
          </w:p>
        </w:tc>
        <w:tc>
          <w:tcPr>
            <w:tcW w:w="991" w:type="dxa"/>
            <w:vAlign w:val="top"/>
          </w:tcPr>
          <w:p w14:paraId="59630665">
            <w:pPr>
              <w:spacing w:line="341" w:lineRule="auto"/>
              <w:rPr>
                <w:rFonts w:ascii="Arial"/>
                <w:sz w:val="21"/>
              </w:rPr>
            </w:pPr>
          </w:p>
          <w:p w14:paraId="3FA9A360">
            <w:pPr>
              <w:pStyle w:val="6"/>
              <w:spacing w:before="60" w:line="188" w:lineRule="auto"/>
              <w:ind w:left="50"/>
            </w:pPr>
            <w:r>
              <w:rPr>
                <w:spacing w:val="-1"/>
              </w:rPr>
              <w:t>29.677959</w:t>
            </w:r>
          </w:p>
        </w:tc>
        <w:tc>
          <w:tcPr>
            <w:tcW w:w="717" w:type="dxa"/>
            <w:vAlign w:val="top"/>
          </w:tcPr>
          <w:p w14:paraId="7BE95520">
            <w:pPr>
              <w:spacing w:line="341" w:lineRule="auto"/>
              <w:rPr>
                <w:rFonts w:ascii="Arial"/>
                <w:sz w:val="21"/>
              </w:rPr>
            </w:pPr>
          </w:p>
          <w:p w14:paraId="70BDFEE4">
            <w:pPr>
              <w:pStyle w:val="6"/>
              <w:spacing w:before="60" w:line="188" w:lineRule="auto"/>
              <w:ind w:left="205"/>
            </w:pPr>
            <w:r>
              <w:rPr>
                <w:spacing w:val="-3"/>
              </w:rPr>
              <w:t>364</w:t>
            </w:r>
          </w:p>
        </w:tc>
        <w:tc>
          <w:tcPr>
            <w:tcW w:w="566" w:type="dxa"/>
            <w:vAlign w:val="top"/>
          </w:tcPr>
          <w:p w14:paraId="019EAFE6">
            <w:pPr>
              <w:spacing w:line="341" w:lineRule="auto"/>
              <w:rPr>
                <w:rFonts w:ascii="Arial"/>
                <w:sz w:val="21"/>
              </w:rPr>
            </w:pPr>
          </w:p>
          <w:p w14:paraId="74671BE4">
            <w:pPr>
              <w:pStyle w:val="6"/>
              <w:spacing w:before="60" w:line="188" w:lineRule="auto"/>
              <w:ind w:left="199"/>
            </w:pPr>
            <w:r>
              <w:rPr>
                <w:spacing w:val="-6"/>
              </w:rPr>
              <w:t>15</w:t>
            </w:r>
          </w:p>
        </w:tc>
        <w:tc>
          <w:tcPr>
            <w:tcW w:w="567" w:type="dxa"/>
            <w:vAlign w:val="top"/>
          </w:tcPr>
          <w:p w14:paraId="2EAC4E0B">
            <w:pPr>
              <w:spacing w:line="341" w:lineRule="auto"/>
              <w:rPr>
                <w:rFonts w:ascii="Arial"/>
                <w:sz w:val="21"/>
              </w:rPr>
            </w:pPr>
          </w:p>
          <w:p w14:paraId="2DB0832D">
            <w:pPr>
              <w:pStyle w:val="6"/>
              <w:spacing w:before="60" w:line="188" w:lineRule="auto"/>
              <w:ind w:left="104"/>
            </w:pPr>
            <w:r>
              <w:rPr>
                <w:spacing w:val="-2"/>
              </w:rPr>
              <w:t>0.35</w:t>
            </w:r>
          </w:p>
        </w:tc>
        <w:tc>
          <w:tcPr>
            <w:tcW w:w="566" w:type="dxa"/>
            <w:vAlign w:val="top"/>
          </w:tcPr>
          <w:p w14:paraId="36E41A05">
            <w:pPr>
              <w:spacing w:line="341" w:lineRule="auto"/>
              <w:rPr>
                <w:rFonts w:ascii="Arial"/>
                <w:sz w:val="21"/>
              </w:rPr>
            </w:pPr>
          </w:p>
          <w:p w14:paraId="4CA62D9D">
            <w:pPr>
              <w:pStyle w:val="6"/>
              <w:spacing w:before="60" w:line="188" w:lineRule="auto"/>
              <w:ind w:left="122"/>
            </w:pPr>
            <w:r>
              <w:rPr>
                <w:spacing w:val="-6"/>
              </w:rPr>
              <w:t>17.3</w:t>
            </w:r>
          </w:p>
        </w:tc>
        <w:tc>
          <w:tcPr>
            <w:tcW w:w="482" w:type="dxa"/>
            <w:vAlign w:val="top"/>
          </w:tcPr>
          <w:p w14:paraId="10D35BBB">
            <w:pPr>
              <w:spacing w:line="341" w:lineRule="auto"/>
              <w:rPr>
                <w:rFonts w:ascii="Arial"/>
                <w:sz w:val="21"/>
              </w:rPr>
            </w:pPr>
          </w:p>
          <w:p w14:paraId="48D3D441">
            <w:pPr>
              <w:pStyle w:val="6"/>
              <w:spacing w:before="60" w:line="188" w:lineRule="auto"/>
              <w:ind w:left="138"/>
            </w:pPr>
            <w:r>
              <w:rPr>
                <w:spacing w:val="-2"/>
              </w:rPr>
              <w:t>25</w:t>
            </w:r>
          </w:p>
        </w:tc>
        <w:tc>
          <w:tcPr>
            <w:tcW w:w="476" w:type="dxa"/>
            <w:vAlign w:val="top"/>
          </w:tcPr>
          <w:p w14:paraId="2F5628EC">
            <w:pPr>
              <w:spacing w:line="341" w:lineRule="auto"/>
              <w:rPr>
                <w:rFonts w:ascii="Arial"/>
                <w:sz w:val="21"/>
              </w:rPr>
            </w:pPr>
          </w:p>
          <w:p w14:paraId="7E2C3F8C">
            <w:pPr>
              <w:pStyle w:val="6"/>
              <w:spacing w:before="60" w:line="188" w:lineRule="auto"/>
              <w:ind w:left="39"/>
            </w:pPr>
            <w:r>
              <w:rPr>
                <w:spacing w:val="-4"/>
              </w:rPr>
              <w:t>8760</w:t>
            </w:r>
          </w:p>
        </w:tc>
        <w:tc>
          <w:tcPr>
            <w:tcW w:w="442" w:type="dxa"/>
            <w:vAlign w:val="top"/>
          </w:tcPr>
          <w:p w14:paraId="27946269">
            <w:pPr>
              <w:spacing w:line="297" w:lineRule="auto"/>
              <w:rPr>
                <w:rFonts w:ascii="Arial"/>
                <w:sz w:val="21"/>
              </w:rPr>
            </w:pPr>
          </w:p>
          <w:p w14:paraId="15726CA6">
            <w:pPr>
              <w:spacing w:before="68" w:line="220" w:lineRule="auto"/>
              <w:jc w:val="right"/>
              <w:rPr>
                <w:rFonts w:ascii="宋体" w:hAnsi="宋体" w:eastAsia="宋体" w:cs="宋体"/>
                <w:sz w:val="21"/>
                <w:szCs w:val="21"/>
              </w:rPr>
            </w:pPr>
            <w:r>
              <w:rPr>
                <w:rFonts w:ascii="宋体" w:hAnsi="宋体" w:eastAsia="宋体" w:cs="宋体"/>
                <w:spacing w:val="-4"/>
                <w:sz w:val="21"/>
                <w:szCs w:val="21"/>
              </w:rPr>
              <w:t>正常</w:t>
            </w:r>
          </w:p>
        </w:tc>
        <w:tc>
          <w:tcPr>
            <w:tcW w:w="764" w:type="dxa"/>
            <w:vAlign w:val="top"/>
          </w:tcPr>
          <w:p w14:paraId="6B01B1C8">
            <w:pPr>
              <w:spacing w:line="341" w:lineRule="auto"/>
              <w:rPr>
                <w:rFonts w:ascii="Arial"/>
                <w:sz w:val="21"/>
              </w:rPr>
            </w:pPr>
          </w:p>
          <w:p w14:paraId="0C810B17">
            <w:pPr>
              <w:pStyle w:val="6"/>
              <w:spacing w:before="60" w:line="188" w:lineRule="auto"/>
              <w:ind w:left="101"/>
            </w:pPr>
            <w:r>
              <w:rPr>
                <w:spacing w:val="-2"/>
              </w:rPr>
              <w:t>0.0021</w:t>
            </w:r>
          </w:p>
        </w:tc>
        <w:tc>
          <w:tcPr>
            <w:tcW w:w="762" w:type="dxa"/>
            <w:vAlign w:val="top"/>
          </w:tcPr>
          <w:p w14:paraId="53F1856D">
            <w:pPr>
              <w:spacing w:line="341" w:lineRule="auto"/>
              <w:rPr>
                <w:rFonts w:ascii="Arial"/>
                <w:sz w:val="21"/>
              </w:rPr>
            </w:pPr>
          </w:p>
          <w:p w14:paraId="108925C4">
            <w:pPr>
              <w:pStyle w:val="6"/>
              <w:spacing w:before="60" w:line="188" w:lineRule="auto"/>
              <w:ind w:left="97"/>
            </w:pPr>
            <w:r>
              <w:rPr>
                <w:spacing w:val="-2"/>
              </w:rPr>
              <w:t>0.0002</w:t>
            </w:r>
          </w:p>
        </w:tc>
      </w:tr>
    </w:tbl>
    <w:p w14:paraId="1DE44A19">
      <w:pPr>
        <w:pStyle w:val="2"/>
      </w:pPr>
    </w:p>
    <w:p w14:paraId="2E7D23D7">
      <w:pPr>
        <w:sectPr>
          <w:headerReference r:id="rId294" w:type="default"/>
          <w:footerReference r:id="rId295" w:type="default"/>
          <w:pgSz w:w="11905" w:h="16840"/>
          <w:pgMar w:top="1168" w:right="1768" w:bottom="1409" w:left="1770" w:header="828" w:footer="1244" w:gutter="0"/>
          <w:cols w:space="720" w:num="1"/>
        </w:sectPr>
      </w:pPr>
    </w:p>
    <w:p w14:paraId="47D9CC25">
      <w:pPr>
        <w:pStyle w:val="2"/>
        <w:spacing w:line="329" w:lineRule="auto"/>
      </w:pPr>
    </w:p>
    <w:p w14:paraId="3A79B5FA">
      <w:pPr>
        <w:spacing w:before="68"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4.2-3  </w:t>
      </w:r>
      <w:r>
        <w:rPr>
          <w:rFonts w:ascii="黑体" w:hAnsi="黑体" w:eastAsia="黑体" w:cs="黑体"/>
          <w:spacing w:val="-1"/>
          <w:sz w:val="21"/>
          <w:szCs w:val="21"/>
        </w:rPr>
        <w:t>体源污染源参数一览表</w:t>
      </w:r>
    </w:p>
    <w:p w14:paraId="7442F50B">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
        <w:gridCol w:w="666"/>
        <w:gridCol w:w="1158"/>
        <w:gridCol w:w="1046"/>
        <w:gridCol w:w="589"/>
        <w:gridCol w:w="511"/>
        <w:gridCol w:w="534"/>
        <w:gridCol w:w="531"/>
        <w:gridCol w:w="671"/>
        <w:gridCol w:w="531"/>
        <w:gridCol w:w="534"/>
        <w:gridCol w:w="671"/>
        <w:gridCol w:w="625"/>
      </w:tblGrid>
      <w:tr w14:paraId="14B64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53" w:type="dxa"/>
            <w:vMerge w:val="restart"/>
            <w:tcBorders>
              <w:bottom w:val="nil"/>
            </w:tcBorders>
            <w:textDirection w:val="tbRlV"/>
            <w:vAlign w:val="top"/>
          </w:tcPr>
          <w:p w14:paraId="67DBA572">
            <w:pPr>
              <w:spacing w:before="20" w:line="206" w:lineRule="auto"/>
              <w:ind w:left="366"/>
              <w:rPr>
                <w:rFonts w:ascii="宋体" w:hAnsi="宋体" w:eastAsia="宋体" w:cs="宋体"/>
                <w:sz w:val="21"/>
                <w:szCs w:val="21"/>
              </w:rPr>
            </w:pPr>
            <w:r>
              <w:rPr>
                <w:rFonts w:ascii="宋体" w:hAnsi="宋体" w:eastAsia="宋体" w:cs="宋体"/>
                <w:spacing w:val="-2"/>
                <w:sz w:val="21"/>
                <w:szCs w:val="21"/>
              </w:rPr>
              <w:t>编 号</w:t>
            </w:r>
          </w:p>
        </w:tc>
        <w:tc>
          <w:tcPr>
            <w:tcW w:w="666" w:type="dxa"/>
            <w:vMerge w:val="restart"/>
            <w:tcBorders>
              <w:bottom w:val="nil"/>
            </w:tcBorders>
            <w:vAlign w:val="top"/>
          </w:tcPr>
          <w:p w14:paraId="64F01796">
            <w:pPr>
              <w:spacing w:line="451" w:lineRule="auto"/>
              <w:rPr>
                <w:rFonts w:ascii="Arial"/>
                <w:sz w:val="21"/>
              </w:rPr>
            </w:pPr>
          </w:p>
          <w:p w14:paraId="595D1DCF">
            <w:pPr>
              <w:spacing w:before="68" w:line="222" w:lineRule="auto"/>
              <w:ind w:left="129"/>
              <w:rPr>
                <w:rFonts w:ascii="宋体" w:hAnsi="宋体" w:eastAsia="宋体" w:cs="宋体"/>
                <w:sz w:val="21"/>
                <w:szCs w:val="21"/>
              </w:rPr>
            </w:pPr>
            <w:r>
              <w:rPr>
                <w:rFonts w:ascii="宋体" w:hAnsi="宋体" w:eastAsia="宋体" w:cs="宋体"/>
                <w:spacing w:val="-3"/>
                <w:sz w:val="21"/>
                <w:szCs w:val="21"/>
              </w:rPr>
              <w:t>名称</w:t>
            </w:r>
          </w:p>
        </w:tc>
        <w:tc>
          <w:tcPr>
            <w:tcW w:w="2204" w:type="dxa"/>
            <w:gridSpan w:val="2"/>
            <w:vAlign w:val="top"/>
          </w:tcPr>
          <w:p w14:paraId="6548BD8F">
            <w:pPr>
              <w:spacing w:before="210" w:line="220" w:lineRule="auto"/>
              <w:ind w:left="371"/>
              <w:rPr>
                <w:rFonts w:ascii="宋体" w:hAnsi="宋体" w:eastAsia="宋体" w:cs="宋体"/>
                <w:sz w:val="21"/>
                <w:szCs w:val="21"/>
              </w:rPr>
            </w:pPr>
            <w:r>
              <w:rPr>
                <w:rFonts w:ascii="宋体" w:hAnsi="宋体" w:eastAsia="宋体" w:cs="宋体"/>
                <w:spacing w:val="-2"/>
                <w:sz w:val="21"/>
                <w:szCs w:val="21"/>
              </w:rPr>
              <w:t>体源中心点坐标</w:t>
            </w:r>
          </w:p>
        </w:tc>
        <w:tc>
          <w:tcPr>
            <w:tcW w:w="589" w:type="dxa"/>
            <w:vMerge w:val="restart"/>
            <w:tcBorders>
              <w:bottom w:val="nil"/>
            </w:tcBorders>
            <w:vAlign w:val="top"/>
          </w:tcPr>
          <w:p w14:paraId="0ABC7570">
            <w:pPr>
              <w:spacing w:before="54" w:line="221" w:lineRule="auto"/>
              <w:ind w:left="88"/>
              <w:rPr>
                <w:rFonts w:ascii="宋体" w:hAnsi="宋体" w:eastAsia="宋体" w:cs="宋体"/>
                <w:sz w:val="21"/>
                <w:szCs w:val="21"/>
              </w:rPr>
            </w:pPr>
            <w:r>
              <w:rPr>
                <w:rFonts w:ascii="宋体" w:hAnsi="宋体" w:eastAsia="宋体" w:cs="宋体"/>
                <w:spacing w:val="-3"/>
                <w:sz w:val="21"/>
                <w:szCs w:val="21"/>
              </w:rPr>
              <w:t>体源</w:t>
            </w:r>
          </w:p>
          <w:p w14:paraId="20DBEC3A">
            <w:pPr>
              <w:spacing w:before="60" w:line="220" w:lineRule="auto"/>
              <w:ind w:left="88"/>
              <w:rPr>
                <w:rFonts w:ascii="宋体" w:hAnsi="宋体" w:eastAsia="宋体" w:cs="宋体"/>
                <w:sz w:val="21"/>
                <w:szCs w:val="21"/>
              </w:rPr>
            </w:pPr>
            <w:r>
              <w:rPr>
                <w:rFonts w:ascii="宋体" w:hAnsi="宋体" w:eastAsia="宋体" w:cs="宋体"/>
                <w:spacing w:val="-2"/>
                <w:sz w:val="21"/>
                <w:szCs w:val="21"/>
              </w:rPr>
              <w:t>海拔</w:t>
            </w:r>
          </w:p>
          <w:p w14:paraId="45D90C0D">
            <w:pPr>
              <w:spacing w:before="60" w:line="220" w:lineRule="auto"/>
              <w:ind w:left="94"/>
              <w:rPr>
                <w:rFonts w:ascii="宋体" w:hAnsi="宋体" w:eastAsia="宋体" w:cs="宋体"/>
                <w:sz w:val="21"/>
                <w:szCs w:val="21"/>
              </w:rPr>
            </w:pPr>
            <w:r>
              <w:rPr>
                <w:rFonts w:ascii="宋体" w:hAnsi="宋体" w:eastAsia="宋体" w:cs="宋体"/>
                <w:spacing w:val="-4"/>
                <w:sz w:val="21"/>
                <w:szCs w:val="21"/>
              </w:rPr>
              <w:t>高度</w:t>
            </w:r>
          </w:p>
          <w:p w14:paraId="5E687937">
            <w:pPr>
              <w:pStyle w:val="6"/>
              <w:spacing w:before="95" w:line="192" w:lineRule="auto"/>
              <w:ind w:left="179"/>
            </w:pPr>
            <w:r>
              <w:t>/m</w:t>
            </w:r>
          </w:p>
        </w:tc>
        <w:tc>
          <w:tcPr>
            <w:tcW w:w="511" w:type="dxa"/>
            <w:vMerge w:val="restart"/>
            <w:tcBorders>
              <w:bottom w:val="nil"/>
            </w:tcBorders>
            <w:vAlign w:val="top"/>
          </w:tcPr>
          <w:p w14:paraId="77B0AC14">
            <w:pPr>
              <w:pStyle w:val="6"/>
              <w:tabs>
                <w:tab w:val="left" w:pos="141"/>
              </w:tabs>
              <w:spacing w:before="211" w:line="281" w:lineRule="auto"/>
              <w:ind w:left="49" w:right="43"/>
              <w:jc w:val="both"/>
            </w:pPr>
            <w:r>
              <w:rPr>
                <w:rFonts w:ascii="宋体" w:hAnsi="宋体" w:eastAsia="宋体" w:cs="宋体"/>
                <w:spacing w:val="-5"/>
              </w:rPr>
              <w:t>体源</w:t>
            </w:r>
            <w:r>
              <w:rPr>
                <w:rFonts w:ascii="宋体" w:hAnsi="宋体" w:eastAsia="宋体" w:cs="宋体"/>
                <w:spacing w:val="-4"/>
              </w:rPr>
              <w:t>边长</w:t>
            </w:r>
            <w:r>
              <w:tab/>
            </w:r>
            <w:r>
              <w:t>/m</w:t>
            </w:r>
          </w:p>
        </w:tc>
        <w:tc>
          <w:tcPr>
            <w:tcW w:w="534" w:type="dxa"/>
            <w:vMerge w:val="restart"/>
            <w:tcBorders>
              <w:bottom w:val="nil"/>
            </w:tcBorders>
            <w:vAlign w:val="top"/>
          </w:tcPr>
          <w:p w14:paraId="03F199C7">
            <w:pPr>
              <w:spacing w:before="54" w:line="221" w:lineRule="auto"/>
              <w:ind w:left="61"/>
              <w:rPr>
                <w:rFonts w:ascii="宋体" w:hAnsi="宋体" w:eastAsia="宋体" w:cs="宋体"/>
                <w:sz w:val="21"/>
                <w:szCs w:val="21"/>
              </w:rPr>
            </w:pPr>
            <w:r>
              <w:rPr>
                <w:rFonts w:ascii="宋体" w:hAnsi="宋体" w:eastAsia="宋体" w:cs="宋体"/>
                <w:spacing w:val="-3"/>
                <w:sz w:val="21"/>
                <w:szCs w:val="21"/>
              </w:rPr>
              <w:t>体源</w:t>
            </w:r>
          </w:p>
          <w:p w14:paraId="0311DA8C">
            <w:pPr>
              <w:spacing w:before="60" w:line="220" w:lineRule="auto"/>
              <w:ind w:left="62"/>
              <w:rPr>
                <w:rFonts w:ascii="宋体" w:hAnsi="宋体" w:eastAsia="宋体" w:cs="宋体"/>
                <w:sz w:val="21"/>
                <w:szCs w:val="21"/>
              </w:rPr>
            </w:pPr>
            <w:r>
              <w:rPr>
                <w:rFonts w:ascii="宋体" w:hAnsi="宋体" w:eastAsia="宋体" w:cs="宋体"/>
                <w:spacing w:val="-3"/>
                <w:sz w:val="21"/>
                <w:szCs w:val="21"/>
              </w:rPr>
              <w:t>有效</w:t>
            </w:r>
          </w:p>
          <w:p w14:paraId="1625AE36">
            <w:pPr>
              <w:spacing w:before="60" w:line="220" w:lineRule="auto"/>
              <w:ind w:left="67"/>
              <w:rPr>
                <w:rFonts w:ascii="宋体" w:hAnsi="宋体" w:eastAsia="宋体" w:cs="宋体"/>
                <w:sz w:val="21"/>
                <w:szCs w:val="21"/>
              </w:rPr>
            </w:pPr>
            <w:r>
              <w:rPr>
                <w:rFonts w:ascii="宋体" w:hAnsi="宋体" w:eastAsia="宋体" w:cs="宋体"/>
                <w:spacing w:val="-4"/>
                <w:sz w:val="21"/>
                <w:szCs w:val="21"/>
              </w:rPr>
              <w:t>高度</w:t>
            </w:r>
          </w:p>
          <w:p w14:paraId="3C1557C8">
            <w:pPr>
              <w:pStyle w:val="6"/>
              <w:spacing w:before="95" w:line="192" w:lineRule="auto"/>
              <w:ind w:left="153"/>
            </w:pPr>
            <w:r>
              <w:t>/m</w:t>
            </w:r>
          </w:p>
        </w:tc>
        <w:tc>
          <w:tcPr>
            <w:tcW w:w="531" w:type="dxa"/>
            <w:vMerge w:val="restart"/>
            <w:tcBorders>
              <w:bottom w:val="nil"/>
            </w:tcBorders>
            <w:vAlign w:val="top"/>
          </w:tcPr>
          <w:p w14:paraId="68491B56">
            <w:pPr>
              <w:spacing w:before="54" w:line="220" w:lineRule="auto"/>
              <w:ind w:left="61"/>
              <w:rPr>
                <w:rFonts w:ascii="宋体" w:hAnsi="宋体" w:eastAsia="宋体" w:cs="宋体"/>
                <w:sz w:val="21"/>
                <w:szCs w:val="21"/>
              </w:rPr>
            </w:pPr>
            <w:r>
              <w:rPr>
                <w:rFonts w:ascii="宋体" w:hAnsi="宋体" w:eastAsia="宋体" w:cs="宋体"/>
                <w:spacing w:val="-3"/>
                <w:sz w:val="21"/>
                <w:szCs w:val="21"/>
              </w:rPr>
              <w:t>年排</w:t>
            </w:r>
          </w:p>
          <w:p w14:paraId="33D11C15">
            <w:pPr>
              <w:spacing w:before="62" w:line="221" w:lineRule="auto"/>
              <w:ind w:left="60"/>
              <w:rPr>
                <w:rFonts w:ascii="宋体" w:hAnsi="宋体" w:eastAsia="宋体" w:cs="宋体"/>
                <w:sz w:val="21"/>
                <w:szCs w:val="21"/>
              </w:rPr>
            </w:pPr>
            <w:r>
              <w:rPr>
                <w:rFonts w:ascii="宋体" w:hAnsi="宋体" w:eastAsia="宋体" w:cs="宋体"/>
                <w:spacing w:val="-3"/>
                <w:sz w:val="21"/>
                <w:szCs w:val="21"/>
              </w:rPr>
              <w:t>放小</w:t>
            </w:r>
          </w:p>
          <w:p w14:paraId="4769ED51">
            <w:pPr>
              <w:spacing w:before="60" w:line="220" w:lineRule="auto"/>
              <w:ind w:left="70"/>
              <w:rPr>
                <w:rFonts w:ascii="宋体" w:hAnsi="宋体" w:eastAsia="宋体" w:cs="宋体"/>
                <w:sz w:val="21"/>
                <w:szCs w:val="21"/>
              </w:rPr>
            </w:pPr>
            <w:r>
              <w:rPr>
                <w:rFonts w:ascii="宋体" w:hAnsi="宋体" w:eastAsia="宋体" w:cs="宋体"/>
                <w:spacing w:val="-5"/>
                <w:sz w:val="21"/>
                <w:szCs w:val="21"/>
              </w:rPr>
              <w:t>时数</w:t>
            </w:r>
          </w:p>
          <w:p w14:paraId="1BC2FC93">
            <w:pPr>
              <w:pStyle w:val="6"/>
              <w:spacing w:before="94" w:line="192" w:lineRule="auto"/>
              <w:ind w:left="181"/>
            </w:pPr>
            <w:r>
              <w:t>/h</w:t>
            </w:r>
          </w:p>
        </w:tc>
        <w:tc>
          <w:tcPr>
            <w:tcW w:w="671" w:type="dxa"/>
            <w:vMerge w:val="restart"/>
            <w:tcBorders>
              <w:bottom w:val="nil"/>
            </w:tcBorders>
            <w:vAlign w:val="top"/>
          </w:tcPr>
          <w:p w14:paraId="3179E27C">
            <w:pPr>
              <w:spacing w:line="295" w:lineRule="auto"/>
              <w:rPr>
                <w:rFonts w:ascii="Arial"/>
                <w:sz w:val="21"/>
              </w:rPr>
            </w:pPr>
          </w:p>
          <w:p w14:paraId="613009AF">
            <w:pPr>
              <w:spacing w:before="69" w:line="277" w:lineRule="auto"/>
              <w:ind w:left="133" w:right="122" w:hanging="2"/>
              <w:rPr>
                <w:rFonts w:ascii="宋体" w:hAnsi="宋体" w:eastAsia="宋体" w:cs="宋体"/>
                <w:sz w:val="21"/>
                <w:szCs w:val="21"/>
              </w:rPr>
            </w:pPr>
            <w:r>
              <w:rPr>
                <w:rFonts w:ascii="宋体" w:hAnsi="宋体" w:eastAsia="宋体" w:cs="宋体"/>
                <w:spacing w:val="-5"/>
                <w:sz w:val="21"/>
                <w:szCs w:val="21"/>
              </w:rPr>
              <w:t>排放</w:t>
            </w:r>
            <w:r>
              <w:rPr>
                <w:rFonts w:ascii="宋体" w:hAnsi="宋体" w:eastAsia="宋体" w:cs="宋体"/>
                <w:spacing w:val="-6"/>
                <w:sz w:val="21"/>
                <w:szCs w:val="21"/>
              </w:rPr>
              <w:t>工况</w:t>
            </w:r>
          </w:p>
        </w:tc>
        <w:tc>
          <w:tcPr>
            <w:tcW w:w="1065" w:type="dxa"/>
            <w:gridSpan w:val="2"/>
            <w:vAlign w:val="top"/>
          </w:tcPr>
          <w:p w14:paraId="78C9FC0A">
            <w:pPr>
              <w:pStyle w:val="6"/>
              <w:spacing w:before="55" w:line="249" w:lineRule="auto"/>
              <w:ind w:left="325" w:right="4" w:hanging="312"/>
            </w:pPr>
            <w:r>
              <w:rPr>
                <w:rFonts w:ascii="宋体" w:hAnsi="宋体" w:eastAsia="宋体" w:cs="宋体"/>
                <w:spacing w:val="-2"/>
              </w:rPr>
              <w:t>初始扩散参</w:t>
            </w:r>
            <w:r>
              <w:rPr>
                <w:rFonts w:ascii="宋体" w:hAnsi="宋体" w:eastAsia="宋体" w:cs="宋体"/>
                <w:spacing w:val="-3"/>
              </w:rPr>
              <w:t>数</w:t>
            </w:r>
            <w:r>
              <w:rPr>
                <w:spacing w:val="-3"/>
              </w:rPr>
              <w:t>/m</w:t>
            </w:r>
          </w:p>
        </w:tc>
        <w:tc>
          <w:tcPr>
            <w:tcW w:w="1296" w:type="dxa"/>
            <w:gridSpan w:val="2"/>
            <w:vAlign w:val="top"/>
          </w:tcPr>
          <w:p w14:paraId="37944C83">
            <w:pPr>
              <w:pStyle w:val="6"/>
              <w:spacing w:before="55" w:line="249" w:lineRule="auto"/>
              <w:ind w:left="262" w:right="15" w:hanging="238"/>
            </w:pPr>
            <w:r>
              <w:rPr>
                <w:rFonts w:ascii="宋体" w:hAnsi="宋体" w:eastAsia="宋体" w:cs="宋体"/>
                <w:spacing w:val="-2"/>
              </w:rPr>
              <w:t>污染物排放速率</w:t>
            </w:r>
            <w:r>
              <w:rPr>
                <w:spacing w:val="-2"/>
              </w:rPr>
              <w:t>/(kg/h)</w:t>
            </w:r>
          </w:p>
        </w:tc>
      </w:tr>
      <w:tr w14:paraId="1BF62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253" w:type="dxa"/>
            <w:vMerge w:val="continue"/>
            <w:tcBorders>
              <w:top w:val="nil"/>
            </w:tcBorders>
            <w:textDirection w:val="tbRlV"/>
            <w:vAlign w:val="top"/>
          </w:tcPr>
          <w:p w14:paraId="5EA5F9B1">
            <w:pPr>
              <w:rPr>
                <w:rFonts w:ascii="Arial"/>
                <w:sz w:val="21"/>
              </w:rPr>
            </w:pPr>
          </w:p>
        </w:tc>
        <w:tc>
          <w:tcPr>
            <w:tcW w:w="666" w:type="dxa"/>
            <w:vMerge w:val="continue"/>
            <w:tcBorders>
              <w:top w:val="nil"/>
            </w:tcBorders>
            <w:vAlign w:val="top"/>
          </w:tcPr>
          <w:p w14:paraId="2FD6E153">
            <w:pPr>
              <w:rPr>
                <w:rFonts w:ascii="Arial"/>
                <w:sz w:val="21"/>
              </w:rPr>
            </w:pPr>
          </w:p>
        </w:tc>
        <w:tc>
          <w:tcPr>
            <w:tcW w:w="1158" w:type="dxa"/>
            <w:vAlign w:val="top"/>
          </w:tcPr>
          <w:p w14:paraId="4846A1FB">
            <w:pPr>
              <w:pStyle w:val="6"/>
              <w:spacing w:before="242" w:line="185" w:lineRule="auto"/>
              <w:ind w:left="500"/>
            </w:pPr>
            <w:r>
              <w:t>X</w:t>
            </w:r>
          </w:p>
        </w:tc>
        <w:tc>
          <w:tcPr>
            <w:tcW w:w="1046" w:type="dxa"/>
            <w:vAlign w:val="top"/>
          </w:tcPr>
          <w:p w14:paraId="5EFFDC11">
            <w:pPr>
              <w:pStyle w:val="6"/>
              <w:spacing w:before="242" w:line="185" w:lineRule="auto"/>
              <w:ind w:left="444"/>
            </w:pPr>
            <w:r>
              <w:t>Y</w:t>
            </w:r>
          </w:p>
        </w:tc>
        <w:tc>
          <w:tcPr>
            <w:tcW w:w="589" w:type="dxa"/>
            <w:vMerge w:val="continue"/>
            <w:tcBorders>
              <w:top w:val="nil"/>
            </w:tcBorders>
            <w:vAlign w:val="top"/>
          </w:tcPr>
          <w:p w14:paraId="30348025">
            <w:pPr>
              <w:rPr>
                <w:rFonts w:ascii="Arial"/>
                <w:sz w:val="21"/>
              </w:rPr>
            </w:pPr>
          </w:p>
        </w:tc>
        <w:tc>
          <w:tcPr>
            <w:tcW w:w="511" w:type="dxa"/>
            <w:vMerge w:val="continue"/>
            <w:tcBorders>
              <w:top w:val="nil"/>
            </w:tcBorders>
            <w:vAlign w:val="top"/>
          </w:tcPr>
          <w:p w14:paraId="0C293536">
            <w:pPr>
              <w:rPr>
                <w:rFonts w:ascii="Arial"/>
                <w:sz w:val="21"/>
              </w:rPr>
            </w:pPr>
          </w:p>
        </w:tc>
        <w:tc>
          <w:tcPr>
            <w:tcW w:w="534" w:type="dxa"/>
            <w:vMerge w:val="continue"/>
            <w:tcBorders>
              <w:top w:val="nil"/>
            </w:tcBorders>
            <w:vAlign w:val="top"/>
          </w:tcPr>
          <w:p w14:paraId="1F37EFF2">
            <w:pPr>
              <w:rPr>
                <w:rFonts w:ascii="Arial"/>
                <w:sz w:val="21"/>
              </w:rPr>
            </w:pPr>
          </w:p>
        </w:tc>
        <w:tc>
          <w:tcPr>
            <w:tcW w:w="531" w:type="dxa"/>
            <w:vMerge w:val="continue"/>
            <w:tcBorders>
              <w:top w:val="nil"/>
            </w:tcBorders>
            <w:vAlign w:val="top"/>
          </w:tcPr>
          <w:p w14:paraId="32953D36">
            <w:pPr>
              <w:rPr>
                <w:rFonts w:ascii="Arial"/>
                <w:sz w:val="21"/>
              </w:rPr>
            </w:pPr>
          </w:p>
        </w:tc>
        <w:tc>
          <w:tcPr>
            <w:tcW w:w="671" w:type="dxa"/>
            <w:vMerge w:val="continue"/>
            <w:tcBorders>
              <w:top w:val="nil"/>
            </w:tcBorders>
            <w:vAlign w:val="top"/>
          </w:tcPr>
          <w:p w14:paraId="55361D71">
            <w:pPr>
              <w:rPr>
                <w:rFonts w:ascii="Arial"/>
                <w:sz w:val="21"/>
              </w:rPr>
            </w:pPr>
          </w:p>
        </w:tc>
        <w:tc>
          <w:tcPr>
            <w:tcW w:w="531" w:type="dxa"/>
            <w:vAlign w:val="top"/>
          </w:tcPr>
          <w:p w14:paraId="3A4A7728">
            <w:pPr>
              <w:spacing w:before="201" w:line="220" w:lineRule="auto"/>
              <w:ind w:left="61"/>
              <w:rPr>
                <w:rFonts w:ascii="宋体" w:hAnsi="宋体" w:eastAsia="宋体" w:cs="宋体"/>
                <w:sz w:val="21"/>
                <w:szCs w:val="21"/>
              </w:rPr>
            </w:pPr>
            <w:r>
              <w:rPr>
                <w:rFonts w:ascii="宋体" w:hAnsi="宋体" w:eastAsia="宋体" w:cs="宋体"/>
                <w:spacing w:val="-2"/>
                <w:sz w:val="21"/>
                <w:szCs w:val="21"/>
              </w:rPr>
              <w:t>横向</w:t>
            </w:r>
          </w:p>
        </w:tc>
        <w:tc>
          <w:tcPr>
            <w:tcW w:w="534" w:type="dxa"/>
            <w:vAlign w:val="top"/>
          </w:tcPr>
          <w:p w14:paraId="7C514FFF">
            <w:pPr>
              <w:spacing w:before="202" w:line="221" w:lineRule="auto"/>
              <w:ind w:left="64"/>
              <w:rPr>
                <w:rFonts w:ascii="宋体" w:hAnsi="宋体" w:eastAsia="宋体" w:cs="宋体"/>
                <w:sz w:val="21"/>
                <w:szCs w:val="21"/>
              </w:rPr>
            </w:pPr>
            <w:r>
              <w:rPr>
                <w:rFonts w:ascii="宋体" w:hAnsi="宋体" w:eastAsia="宋体" w:cs="宋体"/>
                <w:spacing w:val="-3"/>
                <w:sz w:val="21"/>
                <w:szCs w:val="21"/>
              </w:rPr>
              <w:t>垂向</w:t>
            </w:r>
          </w:p>
        </w:tc>
        <w:tc>
          <w:tcPr>
            <w:tcW w:w="671" w:type="dxa"/>
            <w:vAlign w:val="top"/>
          </w:tcPr>
          <w:p w14:paraId="70C3FC81">
            <w:pPr>
              <w:pStyle w:val="6"/>
              <w:spacing w:before="241" w:line="195" w:lineRule="auto"/>
              <w:ind w:left="145"/>
              <w:rPr>
                <w:sz w:val="14"/>
                <w:szCs w:val="14"/>
              </w:rPr>
            </w:pPr>
            <w:r>
              <w:t>NH</w:t>
            </w:r>
            <w:r>
              <w:rPr>
                <w:spacing w:val="1"/>
                <w:position w:val="-2"/>
                <w:sz w:val="14"/>
                <w:szCs w:val="14"/>
              </w:rPr>
              <w:t>3</w:t>
            </w:r>
          </w:p>
        </w:tc>
        <w:tc>
          <w:tcPr>
            <w:tcW w:w="625" w:type="dxa"/>
            <w:vAlign w:val="top"/>
          </w:tcPr>
          <w:p w14:paraId="3994D7FE">
            <w:pPr>
              <w:pStyle w:val="6"/>
              <w:spacing w:before="238" w:line="198" w:lineRule="auto"/>
              <w:ind w:left="144"/>
            </w:pPr>
            <w:r>
              <w:rPr>
                <w:spacing w:val="-2"/>
              </w:rPr>
              <w:t>H</w:t>
            </w:r>
            <w:r>
              <w:rPr>
                <w:spacing w:val="-2"/>
                <w:position w:val="-2"/>
                <w:sz w:val="14"/>
                <w:szCs w:val="14"/>
              </w:rPr>
              <w:t>2</w:t>
            </w:r>
            <w:r>
              <w:rPr>
                <w:spacing w:val="-2"/>
              </w:rPr>
              <w:t>S</w:t>
            </w:r>
          </w:p>
        </w:tc>
      </w:tr>
      <w:tr w14:paraId="639B7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3" w:type="dxa"/>
            <w:vAlign w:val="top"/>
          </w:tcPr>
          <w:p w14:paraId="6A70B660">
            <w:pPr>
              <w:pStyle w:val="6"/>
              <w:spacing w:before="104" w:line="188" w:lineRule="auto"/>
              <w:ind w:left="95"/>
            </w:pPr>
            <w:r>
              <w:t>1</w:t>
            </w:r>
          </w:p>
        </w:tc>
        <w:tc>
          <w:tcPr>
            <w:tcW w:w="666" w:type="dxa"/>
            <w:vAlign w:val="top"/>
          </w:tcPr>
          <w:p w14:paraId="51BD3FD2">
            <w:pPr>
              <w:spacing w:before="67" w:line="219" w:lineRule="auto"/>
              <w:ind w:left="29"/>
              <w:rPr>
                <w:rFonts w:ascii="宋体" w:hAnsi="宋体" w:eastAsia="宋体" w:cs="宋体"/>
                <w:sz w:val="21"/>
                <w:szCs w:val="21"/>
              </w:rPr>
            </w:pPr>
            <w:r>
              <w:rPr>
                <w:rFonts w:ascii="宋体" w:hAnsi="宋体" w:eastAsia="宋体" w:cs="宋体"/>
                <w:spacing w:val="-4"/>
                <w:sz w:val="21"/>
                <w:szCs w:val="21"/>
              </w:rPr>
              <w:t>育肥楼</w:t>
            </w:r>
          </w:p>
        </w:tc>
        <w:tc>
          <w:tcPr>
            <w:tcW w:w="1158" w:type="dxa"/>
            <w:vAlign w:val="top"/>
          </w:tcPr>
          <w:p w14:paraId="436F9439">
            <w:pPr>
              <w:pStyle w:val="6"/>
              <w:spacing w:before="104" w:line="188" w:lineRule="auto"/>
              <w:ind w:left="101"/>
            </w:pPr>
            <w:r>
              <w:rPr>
                <w:spacing w:val="-3"/>
              </w:rPr>
              <w:t>105.345035</w:t>
            </w:r>
          </w:p>
        </w:tc>
        <w:tc>
          <w:tcPr>
            <w:tcW w:w="1046" w:type="dxa"/>
            <w:vAlign w:val="top"/>
          </w:tcPr>
          <w:p w14:paraId="2BCA1486">
            <w:pPr>
              <w:pStyle w:val="6"/>
              <w:spacing w:before="104" w:line="188" w:lineRule="auto"/>
              <w:ind w:left="76"/>
            </w:pPr>
            <w:r>
              <w:rPr>
                <w:spacing w:val="-1"/>
              </w:rPr>
              <w:t>29.679306</w:t>
            </w:r>
          </w:p>
        </w:tc>
        <w:tc>
          <w:tcPr>
            <w:tcW w:w="589" w:type="dxa"/>
            <w:vAlign w:val="top"/>
          </w:tcPr>
          <w:p w14:paraId="0CE2C5FD">
            <w:pPr>
              <w:pStyle w:val="6"/>
              <w:spacing w:before="104" w:line="188" w:lineRule="auto"/>
              <w:ind w:left="142"/>
            </w:pPr>
            <w:r>
              <w:rPr>
                <w:spacing w:val="-3"/>
              </w:rPr>
              <w:t>370</w:t>
            </w:r>
          </w:p>
        </w:tc>
        <w:tc>
          <w:tcPr>
            <w:tcW w:w="511" w:type="dxa"/>
            <w:vAlign w:val="top"/>
          </w:tcPr>
          <w:p w14:paraId="007CF2C5">
            <w:pPr>
              <w:pStyle w:val="6"/>
              <w:spacing w:before="104" w:line="188" w:lineRule="auto"/>
              <w:ind w:left="40"/>
            </w:pPr>
            <w:r>
              <w:rPr>
                <w:spacing w:val="-5"/>
              </w:rPr>
              <w:t>121.0</w:t>
            </w:r>
          </w:p>
        </w:tc>
        <w:tc>
          <w:tcPr>
            <w:tcW w:w="534" w:type="dxa"/>
            <w:vAlign w:val="top"/>
          </w:tcPr>
          <w:p w14:paraId="21BDE124">
            <w:pPr>
              <w:pStyle w:val="6"/>
              <w:spacing w:before="104" w:line="188" w:lineRule="auto"/>
              <w:ind w:left="183"/>
            </w:pPr>
            <w:r>
              <w:rPr>
                <w:spacing w:val="-12"/>
              </w:rPr>
              <w:t>13</w:t>
            </w:r>
          </w:p>
        </w:tc>
        <w:tc>
          <w:tcPr>
            <w:tcW w:w="531" w:type="dxa"/>
            <w:vAlign w:val="top"/>
          </w:tcPr>
          <w:p w14:paraId="228DF7D1">
            <w:pPr>
              <w:pStyle w:val="6"/>
              <w:spacing w:before="104" w:line="188" w:lineRule="auto"/>
              <w:ind w:left="65"/>
            </w:pPr>
            <w:r>
              <w:rPr>
                <w:spacing w:val="-4"/>
              </w:rPr>
              <w:t>8760</w:t>
            </w:r>
          </w:p>
        </w:tc>
        <w:tc>
          <w:tcPr>
            <w:tcW w:w="671" w:type="dxa"/>
            <w:vAlign w:val="top"/>
          </w:tcPr>
          <w:p w14:paraId="3CCEB8CE">
            <w:pPr>
              <w:spacing w:before="67" w:line="220" w:lineRule="auto"/>
              <w:ind w:left="136"/>
              <w:rPr>
                <w:rFonts w:ascii="宋体" w:hAnsi="宋体" w:eastAsia="宋体" w:cs="宋体"/>
                <w:sz w:val="21"/>
                <w:szCs w:val="21"/>
              </w:rPr>
            </w:pPr>
            <w:r>
              <w:rPr>
                <w:rFonts w:ascii="宋体" w:hAnsi="宋体" w:eastAsia="宋体" w:cs="宋体"/>
                <w:spacing w:val="-4"/>
                <w:sz w:val="21"/>
                <w:szCs w:val="21"/>
              </w:rPr>
              <w:t>正常</w:t>
            </w:r>
          </w:p>
        </w:tc>
        <w:tc>
          <w:tcPr>
            <w:tcW w:w="531" w:type="dxa"/>
            <w:vAlign w:val="top"/>
          </w:tcPr>
          <w:p w14:paraId="46C56F9E">
            <w:pPr>
              <w:pStyle w:val="6"/>
              <w:spacing w:before="104" w:line="188" w:lineRule="auto"/>
              <w:ind w:left="32"/>
            </w:pPr>
            <w:r>
              <w:rPr>
                <w:spacing w:val="-1"/>
              </w:rPr>
              <w:t>28.14</w:t>
            </w:r>
          </w:p>
        </w:tc>
        <w:tc>
          <w:tcPr>
            <w:tcW w:w="534" w:type="dxa"/>
            <w:vAlign w:val="top"/>
          </w:tcPr>
          <w:p w14:paraId="3F79CA78">
            <w:pPr>
              <w:pStyle w:val="6"/>
              <w:spacing w:before="104" w:line="188" w:lineRule="auto"/>
              <w:ind w:left="90"/>
            </w:pPr>
            <w:r>
              <w:rPr>
                <w:spacing w:val="-3"/>
              </w:rPr>
              <w:t>3.02</w:t>
            </w:r>
          </w:p>
        </w:tc>
        <w:tc>
          <w:tcPr>
            <w:tcW w:w="671" w:type="dxa"/>
            <w:vAlign w:val="top"/>
          </w:tcPr>
          <w:p w14:paraId="14486C38">
            <w:pPr>
              <w:pStyle w:val="6"/>
              <w:spacing w:before="104" w:line="188" w:lineRule="auto"/>
              <w:ind w:left="53"/>
            </w:pPr>
            <w:r>
              <w:rPr>
                <w:spacing w:val="-2"/>
              </w:rPr>
              <w:t>0.0758</w:t>
            </w:r>
          </w:p>
        </w:tc>
        <w:tc>
          <w:tcPr>
            <w:tcW w:w="625" w:type="dxa"/>
            <w:vAlign w:val="top"/>
          </w:tcPr>
          <w:p w14:paraId="4ABE29BB">
            <w:pPr>
              <w:pStyle w:val="6"/>
              <w:spacing w:before="104" w:line="188" w:lineRule="auto"/>
              <w:ind w:left="28"/>
            </w:pPr>
            <w:r>
              <w:rPr>
                <w:spacing w:val="-2"/>
              </w:rPr>
              <w:t>0.0030</w:t>
            </w:r>
          </w:p>
        </w:tc>
      </w:tr>
      <w:tr w14:paraId="76C53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3" w:type="dxa"/>
            <w:vAlign w:val="top"/>
          </w:tcPr>
          <w:p w14:paraId="51F9F750">
            <w:pPr>
              <w:pStyle w:val="6"/>
              <w:spacing w:before="104" w:line="188" w:lineRule="auto"/>
              <w:ind w:left="75"/>
            </w:pPr>
            <w:r>
              <w:t>2</w:t>
            </w:r>
          </w:p>
        </w:tc>
        <w:tc>
          <w:tcPr>
            <w:tcW w:w="666" w:type="dxa"/>
            <w:vAlign w:val="top"/>
          </w:tcPr>
          <w:p w14:paraId="76294709">
            <w:pPr>
              <w:spacing w:before="67" w:line="220" w:lineRule="auto"/>
              <w:ind w:left="22"/>
              <w:rPr>
                <w:rFonts w:ascii="宋体" w:hAnsi="宋体" w:eastAsia="宋体" w:cs="宋体"/>
                <w:sz w:val="21"/>
                <w:szCs w:val="21"/>
              </w:rPr>
            </w:pPr>
            <w:r>
              <w:rPr>
                <w:rFonts w:ascii="宋体" w:hAnsi="宋体" w:eastAsia="宋体" w:cs="宋体"/>
                <w:spacing w:val="-3"/>
                <w:sz w:val="21"/>
                <w:szCs w:val="21"/>
              </w:rPr>
              <w:t>保育楼</w:t>
            </w:r>
          </w:p>
        </w:tc>
        <w:tc>
          <w:tcPr>
            <w:tcW w:w="1158" w:type="dxa"/>
            <w:vAlign w:val="top"/>
          </w:tcPr>
          <w:p w14:paraId="4C2690EB">
            <w:pPr>
              <w:pStyle w:val="6"/>
              <w:spacing w:before="104" w:line="188" w:lineRule="auto"/>
              <w:ind w:left="101"/>
            </w:pPr>
            <w:r>
              <w:rPr>
                <w:spacing w:val="-3"/>
              </w:rPr>
              <w:t>105.346631</w:t>
            </w:r>
          </w:p>
        </w:tc>
        <w:tc>
          <w:tcPr>
            <w:tcW w:w="1046" w:type="dxa"/>
            <w:vAlign w:val="top"/>
          </w:tcPr>
          <w:p w14:paraId="3955B9BD">
            <w:pPr>
              <w:pStyle w:val="6"/>
              <w:spacing w:before="104" w:line="188" w:lineRule="auto"/>
              <w:ind w:left="76"/>
            </w:pPr>
            <w:r>
              <w:rPr>
                <w:spacing w:val="-1"/>
              </w:rPr>
              <w:t>29.679163</w:t>
            </w:r>
          </w:p>
        </w:tc>
        <w:tc>
          <w:tcPr>
            <w:tcW w:w="589" w:type="dxa"/>
            <w:vAlign w:val="top"/>
          </w:tcPr>
          <w:p w14:paraId="25C35798">
            <w:pPr>
              <w:pStyle w:val="6"/>
              <w:spacing w:before="104" w:line="188" w:lineRule="auto"/>
              <w:ind w:left="142"/>
            </w:pPr>
            <w:r>
              <w:rPr>
                <w:spacing w:val="-3"/>
              </w:rPr>
              <w:t>363</w:t>
            </w:r>
          </w:p>
        </w:tc>
        <w:tc>
          <w:tcPr>
            <w:tcW w:w="511" w:type="dxa"/>
            <w:vAlign w:val="top"/>
          </w:tcPr>
          <w:p w14:paraId="58042A9B">
            <w:pPr>
              <w:pStyle w:val="6"/>
              <w:spacing w:before="104" w:line="188" w:lineRule="auto"/>
              <w:ind w:left="79"/>
            </w:pPr>
            <w:r>
              <w:rPr>
                <w:spacing w:val="-3"/>
              </w:rPr>
              <w:t>55.0</w:t>
            </w:r>
          </w:p>
        </w:tc>
        <w:tc>
          <w:tcPr>
            <w:tcW w:w="534" w:type="dxa"/>
            <w:vAlign w:val="top"/>
          </w:tcPr>
          <w:p w14:paraId="642F1BDE">
            <w:pPr>
              <w:pStyle w:val="6"/>
              <w:spacing w:before="104" w:line="188" w:lineRule="auto"/>
              <w:ind w:left="183"/>
            </w:pPr>
            <w:r>
              <w:rPr>
                <w:spacing w:val="-12"/>
              </w:rPr>
              <w:t>13</w:t>
            </w:r>
          </w:p>
        </w:tc>
        <w:tc>
          <w:tcPr>
            <w:tcW w:w="531" w:type="dxa"/>
            <w:vAlign w:val="top"/>
          </w:tcPr>
          <w:p w14:paraId="1B1C17C5">
            <w:pPr>
              <w:pStyle w:val="6"/>
              <w:spacing w:before="104" w:line="188" w:lineRule="auto"/>
              <w:ind w:left="65"/>
            </w:pPr>
            <w:r>
              <w:rPr>
                <w:spacing w:val="-4"/>
              </w:rPr>
              <w:t>8760</w:t>
            </w:r>
          </w:p>
        </w:tc>
        <w:tc>
          <w:tcPr>
            <w:tcW w:w="671" w:type="dxa"/>
            <w:vAlign w:val="top"/>
          </w:tcPr>
          <w:p w14:paraId="0AC2AC14">
            <w:pPr>
              <w:spacing w:before="68" w:line="220" w:lineRule="auto"/>
              <w:ind w:left="136"/>
              <w:rPr>
                <w:rFonts w:ascii="宋体" w:hAnsi="宋体" w:eastAsia="宋体" w:cs="宋体"/>
                <w:sz w:val="21"/>
                <w:szCs w:val="21"/>
              </w:rPr>
            </w:pPr>
            <w:r>
              <w:rPr>
                <w:rFonts w:ascii="宋体" w:hAnsi="宋体" w:eastAsia="宋体" w:cs="宋体"/>
                <w:spacing w:val="-4"/>
                <w:sz w:val="21"/>
                <w:szCs w:val="21"/>
              </w:rPr>
              <w:t>正常</w:t>
            </w:r>
          </w:p>
        </w:tc>
        <w:tc>
          <w:tcPr>
            <w:tcW w:w="531" w:type="dxa"/>
            <w:vAlign w:val="top"/>
          </w:tcPr>
          <w:p w14:paraId="6917EA55">
            <w:pPr>
              <w:pStyle w:val="6"/>
              <w:spacing w:before="104" w:line="188" w:lineRule="auto"/>
              <w:ind w:left="52"/>
            </w:pPr>
            <w:r>
              <w:rPr>
                <w:spacing w:val="-5"/>
              </w:rPr>
              <w:t>12.79</w:t>
            </w:r>
          </w:p>
        </w:tc>
        <w:tc>
          <w:tcPr>
            <w:tcW w:w="534" w:type="dxa"/>
            <w:vAlign w:val="top"/>
          </w:tcPr>
          <w:p w14:paraId="7CAE676E">
            <w:pPr>
              <w:pStyle w:val="6"/>
              <w:spacing w:before="104" w:line="188" w:lineRule="auto"/>
              <w:ind w:left="90"/>
            </w:pPr>
            <w:r>
              <w:rPr>
                <w:spacing w:val="-3"/>
              </w:rPr>
              <w:t>3.02</w:t>
            </w:r>
          </w:p>
        </w:tc>
        <w:tc>
          <w:tcPr>
            <w:tcW w:w="671" w:type="dxa"/>
            <w:vAlign w:val="top"/>
          </w:tcPr>
          <w:p w14:paraId="044C6A18">
            <w:pPr>
              <w:pStyle w:val="6"/>
              <w:spacing w:before="104" w:line="188" w:lineRule="auto"/>
              <w:ind w:left="53"/>
            </w:pPr>
            <w:r>
              <w:rPr>
                <w:spacing w:val="-2"/>
              </w:rPr>
              <w:t>0.0150</w:t>
            </w:r>
          </w:p>
        </w:tc>
        <w:tc>
          <w:tcPr>
            <w:tcW w:w="625" w:type="dxa"/>
            <w:vAlign w:val="top"/>
          </w:tcPr>
          <w:p w14:paraId="41636B62">
            <w:pPr>
              <w:pStyle w:val="6"/>
              <w:spacing w:before="104" w:line="188" w:lineRule="auto"/>
              <w:ind w:left="28"/>
            </w:pPr>
            <w:r>
              <w:rPr>
                <w:spacing w:val="-2"/>
              </w:rPr>
              <w:t>0.0006</w:t>
            </w:r>
          </w:p>
        </w:tc>
      </w:tr>
    </w:tbl>
    <w:p w14:paraId="533AC0F3">
      <w:pPr>
        <w:spacing w:before="247"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4.2-4  </w:t>
      </w:r>
      <w:r>
        <w:rPr>
          <w:rFonts w:ascii="黑体" w:hAnsi="黑体" w:eastAsia="黑体" w:cs="黑体"/>
          <w:spacing w:val="-1"/>
          <w:sz w:val="21"/>
          <w:szCs w:val="21"/>
        </w:rPr>
        <w:t>面源污染源参数一览表</w:t>
      </w:r>
    </w:p>
    <w:p w14:paraId="6FCC4A8E">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704"/>
        <w:gridCol w:w="1007"/>
        <w:gridCol w:w="903"/>
        <w:gridCol w:w="498"/>
        <w:gridCol w:w="563"/>
        <w:gridCol w:w="570"/>
        <w:gridCol w:w="566"/>
        <w:gridCol w:w="706"/>
        <w:gridCol w:w="567"/>
        <w:gridCol w:w="568"/>
        <w:gridCol w:w="709"/>
        <w:gridCol w:w="664"/>
      </w:tblGrid>
      <w:tr w14:paraId="7172A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95" w:type="dxa"/>
            <w:vMerge w:val="restart"/>
            <w:tcBorders>
              <w:bottom w:val="nil"/>
            </w:tcBorders>
            <w:textDirection w:val="tbRlV"/>
            <w:vAlign w:val="top"/>
          </w:tcPr>
          <w:p w14:paraId="32B5593E">
            <w:pPr>
              <w:spacing w:before="41" w:line="206" w:lineRule="auto"/>
              <w:ind w:left="366"/>
              <w:rPr>
                <w:rFonts w:ascii="宋体" w:hAnsi="宋体" w:eastAsia="宋体" w:cs="宋体"/>
                <w:sz w:val="21"/>
                <w:szCs w:val="21"/>
              </w:rPr>
            </w:pPr>
            <w:r>
              <w:rPr>
                <w:rFonts w:ascii="宋体" w:hAnsi="宋体" w:eastAsia="宋体" w:cs="宋体"/>
                <w:spacing w:val="-2"/>
                <w:sz w:val="21"/>
                <w:szCs w:val="21"/>
              </w:rPr>
              <w:t>编 号</w:t>
            </w:r>
          </w:p>
        </w:tc>
        <w:tc>
          <w:tcPr>
            <w:tcW w:w="704" w:type="dxa"/>
            <w:vMerge w:val="restart"/>
            <w:tcBorders>
              <w:bottom w:val="nil"/>
            </w:tcBorders>
            <w:vAlign w:val="top"/>
          </w:tcPr>
          <w:p w14:paraId="7ED2793E">
            <w:pPr>
              <w:spacing w:line="451" w:lineRule="auto"/>
              <w:rPr>
                <w:rFonts w:ascii="Arial"/>
                <w:sz w:val="21"/>
              </w:rPr>
            </w:pPr>
          </w:p>
          <w:p w14:paraId="01353C2A">
            <w:pPr>
              <w:spacing w:before="68" w:line="222" w:lineRule="auto"/>
              <w:ind w:left="147"/>
              <w:rPr>
                <w:rFonts w:ascii="宋体" w:hAnsi="宋体" w:eastAsia="宋体" w:cs="宋体"/>
                <w:sz w:val="21"/>
                <w:szCs w:val="21"/>
              </w:rPr>
            </w:pPr>
            <w:r>
              <w:rPr>
                <w:rFonts w:ascii="宋体" w:hAnsi="宋体" w:eastAsia="宋体" w:cs="宋体"/>
                <w:spacing w:val="-3"/>
                <w:sz w:val="21"/>
                <w:szCs w:val="21"/>
              </w:rPr>
              <w:t>名称</w:t>
            </w:r>
          </w:p>
        </w:tc>
        <w:tc>
          <w:tcPr>
            <w:tcW w:w="1910" w:type="dxa"/>
            <w:gridSpan w:val="2"/>
            <w:vAlign w:val="top"/>
          </w:tcPr>
          <w:p w14:paraId="66037394">
            <w:pPr>
              <w:spacing w:before="210" w:line="220" w:lineRule="auto"/>
              <w:ind w:left="329"/>
              <w:rPr>
                <w:rFonts w:ascii="宋体" w:hAnsi="宋体" w:eastAsia="宋体" w:cs="宋体"/>
                <w:sz w:val="21"/>
                <w:szCs w:val="21"/>
              </w:rPr>
            </w:pPr>
            <w:r>
              <w:rPr>
                <w:rFonts w:ascii="宋体" w:hAnsi="宋体" w:eastAsia="宋体" w:cs="宋体"/>
                <w:spacing w:val="-2"/>
                <w:sz w:val="21"/>
                <w:szCs w:val="21"/>
              </w:rPr>
              <w:t>面源起点坐标</w:t>
            </w:r>
          </w:p>
        </w:tc>
        <w:tc>
          <w:tcPr>
            <w:tcW w:w="498" w:type="dxa"/>
            <w:vMerge w:val="restart"/>
            <w:tcBorders>
              <w:bottom w:val="nil"/>
            </w:tcBorders>
            <w:vAlign w:val="top"/>
          </w:tcPr>
          <w:p w14:paraId="5401D5D8">
            <w:pPr>
              <w:spacing w:before="54" w:line="221" w:lineRule="auto"/>
              <w:ind w:left="44"/>
              <w:rPr>
                <w:rFonts w:ascii="宋体" w:hAnsi="宋体" w:eastAsia="宋体" w:cs="宋体"/>
                <w:sz w:val="21"/>
                <w:szCs w:val="21"/>
              </w:rPr>
            </w:pPr>
            <w:r>
              <w:rPr>
                <w:rFonts w:ascii="宋体" w:hAnsi="宋体" w:eastAsia="宋体" w:cs="宋体"/>
                <w:spacing w:val="-3"/>
                <w:sz w:val="21"/>
                <w:szCs w:val="21"/>
              </w:rPr>
              <w:t>面源</w:t>
            </w:r>
          </w:p>
          <w:p w14:paraId="03B1386A">
            <w:pPr>
              <w:spacing w:before="60" w:line="220" w:lineRule="auto"/>
              <w:ind w:left="42"/>
              <w:rPr>
                <w:rFonts w:ascii="宋体" w:hAnsi="宋体" w:eastAsia="宋体" w:cs="宋体"/>
                <w:sz w:val="21"/>
                <w:szCs w:val="21"/>
              </w:rPr>
            </w:pPr>
            <w:r>
              <w:rPr>
                <w:rFonts w:ascii="宋体" w:hAnsi="宋体" w:eastAsia="宋体" w:cs="宋体"/>
                <w:spacing w:val="-2"/>
                <w:sz w:val="21"/>
                <w:szCs w:val="21"/>
              </w:rPr>
              <w:t>海拔</w:t>
            </w:r>
          </w:p>
          <w:p w14:paraId="32DBECF1">
            <w:pPr>
              <w:spacing w:before="60" w:line="220" w:lineRule="auto"/>
              <w:ind w:left="49"/>
              <w:rPr>
                <w:rFonts w:ascii="宋体" w:hAnsi="宋体" w:eastAsia="宋体" w:cs="宋体"/>
                <w:sz w:val="21"/>
                <w:szCs w:val="21"/>
              </w:rPr>
            </w:pPr>
            <w:r>
              <w:rPr>
                <w:rFonts w:ascii="宋体" w:hAnsi="宋体" w:eastAsia="宋体" w:cs="宋体"/>
                <w:spacing w:val="-4"/>
                <w:sz w:val="21"/>
                <w:szCs w:val="21"/>
              </w:rPr>
              <w:t>高度</w:t>
            </w:r>
          </w:p>
          <w:p w14:paraId="5A2FD51C">
            <w:pPr>
              <w:pStyle w:val="6"/>
              <w:spacing w:before="95" w:line="192" w:lineRule="auto"/>
              <w:ind w:left="135"/>
            </w:pPr>
            <w:r>
              <w:t>/m</w:t>
            </w:r>
          </w:p>
        </w:tc>
        <w:tc>
          <w:tcPr>
            <w:tcW w:w="563" w:type="dxa"/>
            <w:vMerge w:val="restart"/>
            <w:tcBorders>
              <w:bottom w:val="nil"/>
            </w:tcBorders>
            <w:vAlign w:val="top"/>
          </w:tcPr>
          <w:p w14:paraId="7D225B53">
            <w:pPr>
              <w:pStyle w:val="6"/>
              <w:tabs>
                <w:tab w:val="left" w:pos="167"/>
              </w:tabs>
              <w:spacing w:before="211" w:line="281" w:lineRule="auto"/>
              <w:ind w:left="78" w:right="68"/>
              <w:jc w:val="both"/>
            </w:pPr>
            <w:r>
              <w:rPr>
                <w:rFonts w:ascii="宋体" w:hAnsi="宋体" w:eastAsia="宋体" w:cs="宋体"/>
                <w:spacing w:val="-5"/>
              </w:rPr>
              <w:t>面源长度</w:t>
            </w:r>
            <w:r>
              <w:tab/>
            </w:r>
            <w:r>
              <w:rPr>
                <w:spacing w:val="1"/>
              </w:rPr>
              <w:t>/m</w:t>
            </w:r>
          </w:p>
        </w:tc>
        <w:tc>
          <w:tcPr>
            <w:tcW w:w="570" w:type="dxa"/>
            <w:vMerge w:val="restart"/>
            <w:tcBorders>
              <w:bottom w:val="nil"/>
            </w:tcBorders>
            <w:vAlign w:val="top"/>
          </w:tcPr>
          <w:p w14:paraId="0B1598A9">
            <w:pPr>
              <w:pStyle w:val="6"/>
              <w:tabs>
                <w:tab w:val="left" w:pos="171"/>
              </w:tabs>
              <w:spacing w:before="211" w:line="281" w:lineRule="auto"/>
              <w:ind w:left="89" w:right="73" w:hanging="9"/>
              <w:jc w:val="both"/>
            </w:pPr>
            <w:r>
              <w:rPr>
                <w:rFonts w:ascii="宋体" w:hAnsi="宋体" w:eastAsia="宋体" w:cs="宋体"/>
                <w:spacing w:val="-5"/>
              </w:rPr>
              <w:t>面源</w:t>
            </w:r>
            <w:r>
              <w:rPr>
                <w:rFonts w:ascii="宋体" w:hAnsi="宋体" w:eastAsia="宋体" w:cs="宋体"/>
                <w:spacing w:val="-10"/>
              </w:rPr>
              <w:t>宽度</w:t>
            </w:r>
            <w:r>
              <w:tab/>
            </w:r>
            <w:r>
              <w:t>/m</w:t>
            </w:r>
          </w:p>
        </w:tc>
        <w:tc>
          <w:tcPr>
            <w:tcW w:w="566" w:type="dxa"/>
            <w:vMerge w:val="restart"/>
            <w:tcBorders>
              <w:bottom w:val="nil"/>
            </w:tcBorders>
            <w:vAlign w:val="top"/>
          </w:tcPr>
          <w:p w14:paraId="682019FE">
            <w:pPr>
              <w:spacing w:before="54" w:line="222" w:lineRule="auto"/>
              <w:ind w:left="82"/>
              <w:rPr>
                <w:rFonts w:ascii="宋体" w:hAnsi="宋体" w:eastAsia="宋体" w:cs="宋体"/>
                <w:sz w:val="21"/>
                <w:szCs w:val="21"/>
              </w:rPr>
            </w:pPr>
            <w:r>
              <w:rPr>
                <w:rFonts w:ascii="宋体" w:hAnsi="宋体" w:eastAsia="宋体" w:cs="宋体"/>
                <w:spacing w:val="-4"/>
                <w:sz w:val="21"/>
                <w:szCs w:val="21"/>
              </w:rPr>
              <w:t>与正</w:t>
            </w:r>
          </w:p>
          <w:p w14:paraId="299BAD04">
            <w:pPr>
              <w:spacing w:before="59" w:line="221" w:lineRule="auto"/>
              <w:ind w:left="81"/>
              <w:rPr>
                <w:rFonts w:ascii="宋体" w:hAnsi="宋体" w:eastAsia="宋体" w:cs="宋体"/>
                <w:sz w:val="21"/>
                <w:szCs w:val="21"/>
              </w:rPr>
            </w:pPr>
            <w:r>
              <w:rPr>
                <w:rFonts w:ascii="宋体" w:hAnsi="宋体" w:eastAsia="宋体" w:cs="宋体"/>
                <w:spacing w:val="-3"/>
                <w:sz w:val="21"/>
                <w:szCs w:val="21"/>
              </w:rPr>
              <w:t>北向</w:t>
            </w:r>
          </w:p>
          <w:p w14:paraId="6749C9D3">
            <w:pPr>
              <w:spacing w:before="60" w:line="219" w:lineRule="auto"/>
              <w:ind w:left="80"/>
              <w:rPr>
                <w:rFonts w:ascii="宋体" w:hAnsi="宋体" w:eastAsia="宋体" w:cs="宋体"/>
                <w:sz w:val="21"/>
                <w:szCs w:val="21"/>
              </w:rPr>
            </w:pPr>
            <w:r>
              <w:rPr>
                <w:rFonts w:ascii="宋体" w:hAnsi="宋体" w:eastAsia="宋体" w:cs="宋体"/>
                <w:spacing w:val="-3"/>
                <w:sz w:val="21"/>
                <w:szCs w:val="21"/>
              </w:rPr>
              <w:t>夹角</w:t>
            </w:r>
          </w:p>
          <w:p w14:paraId="08C1E601">
            <w:pPr>
              <w:pStyle w:val="6"/>
              <w:spacing w:before="87" w:line="191" w:lineRule="auto"/>
              <w:ind w:left="146"/>
              <w:rPr>
                <w:rFonts w:ascii="宋体" w:hAnsi="宋体" w:eastAsia="宋体" w:cs="宋体"/>
              </w:rPr>
            </w:pPr>
            <w:r>
              <w:t>/</w:t>
            </w:r>
            <w:r>
              <w:rPr>
                <w:spacing w:val="-26"/>
              </w:rPr>
              <w:t xml:space="preserve"> </w:t>
            </w:r>
            <w:r>
              <w:rPr>
                <w:rFonts w:ascii="宋体" w:hAnsi="宋体" w:eastAsia="宋体" w:cs="宋体"/>
              </w:rPr>
              <w:t>°</w:t>
            </w:r>
          </w:p>
        </w:tc>
        <w:tc>
          <w:tcPr>
            <w:tcW w:w="706" w:type="dxa"/>
            <w:vMerge w:val="restart"/>
            <w:tcBorders>
              <w:bottom w:val="nil"/>
            </w:tcBorders>
            <w:vAlign w:val="top"/>
          </w:tcPr>
          <w:p w14:paraId="4A6F9AB0">
            <w:pPr>
              <w:pStyle w:val="6"/>
              <w:spacing w:before="209" w:line="276" w:lineRule="auto"/>
              <w:ind w:left="43" w:right="27" w:firstLine="1"/>
              <w:jc w:val="both"/>
            </w:pPr>
            <w:r>
              <w:rPr>
                <w:rFonts w:ascii="宋体" w:hAnsi="宋体" w:eastAsia="宋体" w:cs="宋体"/>
                <w:spacing w:val="-4"/>
              </w:rPr>
              <w:t>面源有</w:t>
            </w:r>
            <w:r>
              <w:rPr>
                <w:rFonts w:ascii="宋体" w:hAnsi="宋体" w:eastAsia="宋体" w:cs="宋体"/>
                <w:spacing w:val="-3"/>
              </w:rPr>
              <w:t>效排放</w:t>
            </w:r>
            <w:r>
              <w:rPr>
                <w:rFonts w:ascii="宋体" w:hAnsi="宋体" w:eastAsia="宋体" w:cs="宋体"/>
                <w:spacing w:val="-4"/>
              </w:rPr>
              <w:t>高度</w:t>
            </w:r>
            <w:r>
              <w:rPr>
                <w:spacing w:val="-4"/>
              </w:rPr>
              <w:t>/m</w:t>
            </w:r>
          </w:p>
        </w:tc>
        <w:tc>
          <w:tcPr>
            <w:tcW w:w="567" w:type="dxa"/>
            <w:vMerge w:val="restart"/>
            <w:tcBorders>
              <w:bottom w:val="nil"/>
            </w:tcBorders>
            <w:vAlign w:val="top"/>
          </w:tcPr>
          <w:p w14:paraId="12B728FE">
            <w:pPr>
              <w:spacing w:before="54" w:line="220" w:lineRule="auto"/>
              <w:ind w:left="81"/>
              <w:rPr>
                <w:rFonts w:ascii="宋体" w:hAnsi="宋体" w:eastAsia="宋体" w:cs="宋体"/>
                <w:sz w:val="21"/>
                <w:szCs w:val="21"/>
              </w:rPr>
            </w:pPr>
            <w:r>
              <w:rPr>
                <w:rFonts w:ascii="宋体" w:hAnsi="宋体" w:eastAsia="宋体" w:cs="宋体"/>
                <w:spacing w:val="-3"/>
                <w:sz w:val="21"/>
                <w:szCs w:val="21"/>
              </w:rPr>
              <w:t>年排</w:t>
            </w:r>
          </w:p>
          <w:p w14:paraId="362A6F41">
            <w:pPr>
              <w:spacing w:before="62" w:line="221" w:lineRule="auto"/>
              <w:ind w:left="80"/>
              <w:rPr>
                <w:rFonts w:ascii="宋体" w:hAnsi="宋体" w:eastAsia="宋体" w:cs="宋体"/>
                <w:sz w:val="21"/>
                <w:szCs w:val="21"/>
              </w:rPr>
            </w:pPr>
            <w:r>
              <w:rPr>
                <w:rFonts w:ascii="宋体" w:hAnsi="宋体" w:eastAsia="宋体" w:cs="宋体"/>
                <w:spacing w:val="-3"/>
                <w:sz w:val="21"/>
                <w:szCs w:val="21"/>
              </w:rPr>
              <w:t>放小</w:t>
            </w:r>
          </w:p>
          <w:p w14:paraId="49238EA4">
            <w:pPr>
              <w:spacing w:before="60" w:line="220" w:lineRule="auto"/>
              <w:ind w:left="90"/>
              <w:rPr>
                <w:rFonts w:ascii="宋体" w:hAnsi="宋体" w:eastAsia="宋体" w:cs="宋体"/>
                <w:sz w:val="21"/>
                <w:szCs w:val="21"/>
              </w:rPr>
            </w:pPr>
            <w:r>
              <w:rPr>
                <w:rFonts w:ascii="宋体" w:hAnsi="宋体" w:eastAsia="宋体" w:cs="宋体"/>
                <w:spacing w:val="-5"/>
                <w:sz w:val="21"/>
                <w:szCs w:val="21"/>
              </w:rPr>
              <w:t>时数</w:t>
            </w:r>
          </w:p>
          <w:p w14:paraId="7E2D54F7">
            <w:pPr>
              <w:pStyle w:val="6"/>
              <w:spacing w:before="94" w:line="192" w:lineRule="auto"/>
              <w:ind w:left="201"/>
            </w:pPr>
            <w:r>
              <w:t>/h</w:t>
            </w:r>
          </w:p>
        </w:tc>
        <w:tc>
          <w:tcPr>
            <w:tcW w:w="568" w:type="dxa"/>
            <w:vMerge w:val="restart"/>
            <w:tcBorders>
              <w:bottom w:val="nil"/>
            </w:tcBorders>
            <w:vAlign w:val="top"/>
          </w:tcPr>
          <w:p w14:paraId="5CDE62AD">
            <w:pPr>
              <w:spacing w:line="295" w:lineRule="auto"/>
              <w:rPr>
                <w:rFonts w:ascii="Arial"/>
                <w:sz w:val="21"/>
              </w:rPr>
            </w:pPr>
          </w:p>
          <w:p w14:paraId="333F506F">
            <w:pPr>
              <w:spacing w:before="69" w:line="277" w:lineRule="auto"/>
              <w:ind w:left="83" w:right="69" w:hanging="2"/>
              <w:rPr>
                <w:rFonts w:ascii="宋体" w:hAnsi="宋体" w:eastAsia="宋体" w:cs="宋体"/>
                <w:sz w:val="21"/>
                <w:szCs w:val="21"/>
              </w:rPr>
            </w:pPr>
            <w:r>
              <w:rPr>
                <w:rFonts w:ascii="宋体" w:hAnsi="宋体" w:eastAsia="宋体" w:cs="宋体"/>
                <w:spacing w:val="-5"/>
                <w:sz w:val="21"/>
                <w:szCs w:val="21"/>
              </w:rPr>
              <w:t>排放</w:t>
            </w:r>
            <w:r>
              <w:rPr>
                <w:rFonts w:ascii="宋体" w:hAnsi="宋体" w:eastAsia="宋体" w:cs="宋体"/>
                <w:spacing w:val="-6"/>
                <w:sz w:val="21"/>
                <w:szCs w:val="21"/>
              </w:rPr>
              <w:t>工况</w:t>
            </w:r>
          </w:p>
        </w:tc>
        <w:tc>
          <w:tcPr>
            <w:tcW w:w="1373" w:type="dxa"/>
            <w:gridSpan w:val="2"/>
            <w:vAlign w:val="top"/>
          </w:tcPr>
          <w:p w14:paraId="4E6C2ABB">
            <w:pPr>
              <w:pStyle w:val="6"/>
              <w:spacing w:before="55" w:line="249" w:lineRule="auto"/>
              <w:ind w:left="301" w:right="54" w:hanging="238"/>
            </w:pPr>
            <w:r>
              <w:rPr>
                <w:rFonts w:ascii="宋体" w:hAnsi="宋体" w:eastAsia="宋体" w:cs="宋体"/>
                <w:spacing w:val="-2"/>
              </w:rPr>
              <w:t>污染物排放速率</w:t>
            </w:r>
            <w:r>
              <w:rPr>
                <w:spacing w:val="-2"/>
              </w:rPr>
              <w:t>/(kg/h)</w:t>
            </w:r>
          </w:p>
        </w:tc>
      </w:tr>
      <w:tr w14:paraId="27D13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95" w:type="dxa"/>
            <w:vMerge w:val="continue"/>
            <w:tcBorders>
              <w:top w:val="nil"/>
            </w:tcBorders>
            <w:textDirection w:val="tbRlV"/>
            <w:vAlign w:val="top"/>
          </w:tcPr>
          <w:p w14:paraId="6BE5BB5A">
            <w:pPr>
              <w:rPr>
                <w:rFonts w:ascii="Arial"/>
                <w:sz w:val="21"/>
              </w:rPr>
            </w:pPr>
          </w:p>
        </w:tc>
        <w:tc>
          <w:tcPr>
            <w:tcW w:w="704" w:type="dxa"/>
            <w:vMerge w:val="continue"/>
            <w:tcBorders>
              <w:top w:val="nil"/>
            </w:tcBorders>
            <w:vAlign w:val="top"/>
          </w:tcPr>
          <w:p w14:paraId="08A964F7">
            <w:pPr>
              <w:rPr>
                <w:rFonts w:ascii="Arial"/>
                <w:sz w:val="21"/>
              </w:rPr>
            </w:pPr>
          </w:p>
        </w:tc>
        <w:tc>
          <w:tcPr>
            <w:tcW w:w="1007" w:type="dxa"/>
            <w:vAlign w:val="top"/>
          </w:tcPr>
          <w:p w14:paraId="54459563">
            <w:pPr>
              <w:pStyle w:val="6"/>
              <w:spacing w:before="242" w:line="185" w:lineRule="auto"/>
              <w:ind w:left="425"/>
            </w:pPr>
            <w:r>
              <w:t>X</w:t>
            </w:r>
          </w:p>
        </w:tc>
        <w:tc>
          <w:tcPr>
            <w:tcW w:w="903" w:type="dxa"/>
            <w:vAlign w:val="top"/>
          </w:tcPr>
          <w:p w14:paraId="66E8E207">
            <w:pPr>
              <w:pStyle w:val="6"/>
              <w:spacing w:before="242" w:line="185" w:lineRule="auto"/>
              <w:ind w:left="374"/>
            </w:pPr>
            <w:r>
              <w:t>Y</w:t>
            </w:r>
          </w:p>
        </w:tc>
        <w:tc>
          <w:tcPr>
            <w:tcW w:w="498" w:type="dxa"/>
            <w:vMerge w:val="continue"/>
            <w:tcBorders>
              <w:top w:val="nil"/>
            </w:tcBorders>
            <w:vAlign w:val="top"/>
          </w:tcPr>
          <w:p w14:paraId="358D22C2">
            <w:pPr>
              <w:rPr>
                <w:rFonts w:ascii="Arial"/>
                <w:sz w:val="21"/>
              </w:rPr>
            </w:pPr>
          </w:p>
        </w:tc>
        <w:tc>
          <w:tcPr>
            <w:tcW w:w="563" w:type="dxa"/>
            <w:vMerge w:val="continue"/>
            <w:tcBorders>
              <w:top w:val="nil"/>
            </w:tcBorders>
            <w:vAlign w:val="top"/>
          </w:tcPr>
          <w:p w14:paraId="24E97EB0">
            <w:pPr>
              <w:rPr>
                <w:rFonts w:ascii="Arial"/>
                <w:sz w:val="21"/>
              </w:rPr>
            </w:pPr>
          </w:p>
        </w:tc>
        <w:tc>
          <w:tcPr>
            <w:tcW w:w="570" w:type="dxa"/>
            <w:vMerge w:val="continue"/>
            <w:tcBorders>
              <w:top w:val="nil"/>
            </w:tcBorders>
            <w:vAlign w:val="top"/>
          </w:tcPr>
          <w:p w14:paraId="25F7B9E5">
            <w:pPr>
              <w:rPr>
                <w:rFonts w:ascii="Arial"/>
                <w:sz w:val="21"/>
              </w:rPr>
            </w:pPr>
          </w:p>
        </w:tc>
        <w:tc>
          <w:tcPr>
            <w:tcW w:w="566" w:type="dxa"/>
            <w:vMerge w:val="continue"/>
            <w:tcBorders>
              <w:top w:val="nil"/>
            </w:tcBorders>
            <w:vAlign w:val="top"/>
          </w:tcPr>
          <w:p w14:paraId="0825E899">
            <w:pPr>
              <w:rPr>
                <w:rFonts w:ascii="Arial"/>
                <w:sz w:val="21"/>
              </w:rPr>
            </w:pPr>
          </w:p>
        </w:tc>
        <w:tc>
          <w:tcPr>
            <w:tcW w:w="706" w:type="dxa"/>
            <w:vMerge w:val="continue"/>
            <w:tcBorders>
              <w:top w:val="nil"/>
            </w:tcBorders>
            <w:vAlign w:val="top"/>
          </w:tcPr>
          <w:p w14:paraId="7CB4398D">
            <w:pPr>
              <w:rPr>
                <w:rFonts w:ascii="Arial"/>
                <w:sz w:val="21"/>
              </w:rPr>
            </w:pPr>
          </w:p>
        </w:tc>
        <w:tc>
          <w:tcPr>
            <w:tcW w:w="567" w:type="dxa"/>
            <w:vMerge w:val="continue"/>
            <w:tcBorders>
              <w:top w:val="nil"/>
            </w:tcBorders>
            <w:vAlign w:val="top"/>
          </w:tcPr>
          <w:p w14:paraId="2D906578">
            <w:pPr>
              <w:rPr>
                <w:rFonts w:ascii="Arial"/>
                <w:sz w:val="21"/>
              </w:rPr>
            </w:pPr>
          </w:p>
        </w:tc>
        <w:tc>
          <w:tcPr>
            <w:tcW w:w="568" w:type="dxa"/>
            <w:vMerge w:val="continue"/>
            <w:tcBorders>
              <w:top w:val="nil"/>
            </w:tcBorders>
            <w:vAlign w:val="top"/>
          </w:tcPr>
          <w:p w14:paraId="3F15C5ED">
            <w:pPr>
              <w:rPr>
                <w:rFonts w:ascii="Arial"/>
                <w:sz w:val="21"/>
              </w:rPr>
            </w:pPr>
          </w:p>
        </w:tc>
        <w:tc>
          <w:tcPr>
            <w:tcW w:w="709" w:type="dxa"/>
            <w:vAlign w:val="top"/>
          </w:tcPr>
          <w:p w14:paraId="3F00A21D">
            <w:pPr>
              <w:pStyle w:val="6"/>
              <w:spacing w:before="241" w:line="195" w:lineRule="auto"/>
              <w:ind w:left="163"/>
              <w:rPr>
                <w:sz w:val="14"/>
                <w:szCs w:val="14"/>
              </w:rPr>
            </w:pPr>
            <w:r>
              <w:t>NH</w:t>
            </w:r>
            <w:r>
              <w:rPr>
                <w:spacing w:val="1"/>
                <w:position w:val="-2"/>
                <w:sz w:val="14"/>
                <w:szCs w:val="14"/>
              </w:rPr>
              <w:t>3</w:t>
            </w:r>
          </w:p>
        </w:tc>
        <w:tc>
          <w:tcPr>
            <w:tcW w:w="664" w:type="dxa"/>
            <w:vAlign w:val="top"/>
          </w:tcPr>
          <w:p w14:paraId="1C9182C0">
            <w:pPr>
              <w:pStyle w:val="6"/>
              <w:spacing w:before="238" w:line="198" w:lineRule="auto"/>
              <w:ind w:left="164"/>
            </w:pPr>
            <w:r>
              <w:rPr>
                <w:spacing w:val="-2"/>
              </w:rPr>
              <w:t>H</w:t>
            </w:r>
            <w:r>
              <w:rPr>
                <w:spacing w:val="-2"/>
                <w:position w:val="-2"/>
                <w:sz w:val="14"/>
                <w:szCs w:val="14"/>
              </w:rPr>
              <w:t>2</w:t>
            </w:r>
            <w:r>
              <w:rPr>
                <w:spacing w:val="-2"/>
              </w:rPr>
              <w:t>S</w:t>
            </w:r>
          </w:p>
        </w:tc>
      </w:tr>
      <w:tr w14:paraId="0E2A5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5" w:type="dxa"/>
            <w:vAlign w:val="top"/>
          </w:tcPr>
          <w:p w14:paraId="7E5F2C14">
            <w:pPr>
              <w:pStyle w:val="6"/>
              <w:spacing w:before="103" w:line="188" w:lineRule="auto"/>
              <w:ind w:left="116"/>
            </w:pPr>
            <w:r>
              <w:t>1</w:t>
            </w:r>
          </w:p>
        </w:tc>
        <w:tc>
          <w:tcPr>
            <w:tcW w:w="704" w:type="dxa"/>
            <w:vAlign w:val="top"/>
          </w:tcPr>
          <w:p w14:paraId="33875C86">
            <w:pPr>
              <w:spacing w:before="66" w:line="220" w:lineRule="auto"/>
              <w:ind w:left="42"/>
              <w:rPr>
                <w:rFonts w:ascii="宋体" w:hAnsi="宋体" w:eastAsia="宋体" w:cs="宋体"/>
                <w:sz w:val="21"/>
                <w:szCs w:val="21"/>
              </w:rPr>
            </w:pPr>
            <w:r>
              <w:rPr>
                <w:rFonts w:ascii="宋体" w:hAnsi="宋体" w:eastAsia="宋体" w:cs="宋体"/>
                <w:spacing w:val="-3"/>
                <w:sz w:val="21"/>
                <w:szCs w:val="21"/>
              </w:rPr>
              <w:t>污水站</w:t>
            </w:r>
          </w:p>
        </w:tc>
        <w:tc>
          <w:tcPr>
            <w:tcW w:w="1007" w:type="dxa"/>
            <w:vAlign w:val="top"/>
          </w:tcPr>
          <w:p w14:paraId="4748537F">
            <w:pPr>
              <w:pStyle w:val="6"/>
              <w:spacing w:before="103" w:line="188" w:lineRule="auto"/>
              <w:ind w:right="3"/>
              <w:jc w:val="right"/>
            </w:pPr>
            <w:r>
              <w:rPr>
                <w:spacing w:val="-3"/>
              </w:rPr>
              <w:t>105.346254</w:t>
            </w:r>
          </w:p>
        </w:tc>
        <w:tc>
          <w:tcPr>
            <w:tcW w:w="903" w:type="dxa"/>
            <w:vAlign w:val="top"/>
          </w:tcPr>
          <w:p w14:paraId="6CBB3F68">
            <w:pPr>
              <w:pStyle w:val="6"/>
              <w:spacing w:before="103" w:line="188" w:lineRule="auto"/>
              <w:ind w:left="5"/>
            </w:pPr>
            <w:r>
              <w:rPr>
                <w:spacing w:val="-1"/>
              </w:rPr>
              <w:t>29.677426</w:t>
            </w:r>
          </w:p>
        </w:tc>
        <w:tc>
          <w:tcPr>
            <w:tcW w:w="498" w:type="dxa"/>
            <w:vAlign w:val="top"/>
          </w:tcPr>
          <w:p w14:paraId="2769BD88">
            <w:pPr>
              <w:pStyle w:val="6"/>
              <w:spacing w:before="103" w:line="188" w:lineRule="auto"/>
              <w:ind w:left="96"/>
            </w:pPr>
            <w:r>
              <w:rPr>
                <w:spacing w:val="-3"/>
              </w:rPr>
              <w:t>352</w:t>
            </w:r>
          </w:p>
        </w:tc>
        <w:tc>
          <w:tcPr>
            <w:tcW w:w="563" w:type="dxa"/>
            <w:vAlign w:val="top"/>
          </w:tcPr>
          <w:p w14:paraId="570FA00B">
            <w:pPr>
              <w:pStyle w:val="6"/>
              <w:spacing w:before="103" w:line="188" w:lineRule="auto"/>
              <w:ind w:left="182"/>
            </w:pPr>
            <w:r>
              <w:rPr>
                <w:spacing w:val="-5"/>
              </w:rPr>
              <w:t>65</w:t>
            </w:r>
          </w:p>
        </w:tc>
        <w:tc>
          <w:tcPr>
            <w:tcW w:w="570" w:type="dxa"/>
            <w:vAlign w:val="top"/>
          </w:tcPr>
          <w:p w14:paraId="5A68D890">
            <w:pPr>
              <w:pStyle w:val="6"/>
              <w:spacing w:before="103" w:line="188" w:lineRule="auto"/>
              <w:ind w:left="184"/>
            </w:pPr>
            <w:r>
              <w:rPr>
                <w:spacing w:val="-4"/>
              </w:rPr>
              <w:t>78</w:t>
            </w:r>
          </w:p>
        </w:tc>
        <w:tc>
          <w:tcPr>
            <w:tcW w:w="566" w:type="dxa"/>
            <w:vAlign w:val="top"/>
          </w:tcPr>
          <w:p w14:paraId="6444E12A">
            <w:pPr>
              <w:pStyle w:val="6"/>
              <w:spacing w:before="103" w:line="188" w:lineRule="auto"/>
              <w:ind w:left="183"/>
            </w:pPr>
            <w:r>
              <w:rPr>
                <w:spacing w:val="-5"/>
              </w:rPr>
              <w:t>67</w:t>
            </w:r>
          </w:p>
        </w:tc>
        <w:tc>
          <w:tcPr>
            <w:tcW w:w="706" w:type="dxa"/>
            <w:vAlign w:val="top"/>
          </w:tcPr>
          <w:p w14:paraId="346AF0C2">
            <w:pPr>
              <w:pStyle w:val="6"/>
              <w:spacing w:before="103" w:line="188" w:lineRule="auto"/>
              <w:ind w:left="228"/>
            </w:pPr>
            <w:r>
              <w:rPr>
                <w:spacing w:val="-3"/>
              </w:rPr>
              <w:t>6.0</w:t>
            </w:r>
          </w:p>
        </w:tc>
        <w:tc>
          <w:tcPr>
            <w:tcW w:w="567" w:type="dxa"/>
            <w:vAlign w:val="top"/>
          </w:tcPr>
          <w:p w14:paraId="3198DAF1">
            <w:pPr>
              <w:pStyle w:val="6"/>
              <w:spacing w:before="103" w:line="188" w:lineRule="auto"/>
              <w:ind w:left="85"/>
            </w:pPr>
            <w:r>
              <w:rPr>
                <w:spacing w:val="-4"/>
              </w:rPr>
              <w:t>8760</w:t>
            </w:r>
          </w:p>
        </w:tc>
        <w:tc>
          <w:tcPr>
            <w:tcW w:w="568" w:type="dxa"/>
            <w:vAlign w:val="top"/>
          </w:tcPr>
          <w:p w14:paraId="42BD6EA6">
            <w:pPr>
              <w:spacing w:before="66" w:line="220" w:lineRule="auto"/>
              <w:ind w:left="85"/>
              <w:rPr>
                <w:rFonts w:ascii="宋体" w:hAnsi="宋体" w:eastAsia="宋体" w:cs="宋体"/>
                <w:sz w:val="21"/>
                <w:szCs w:val="21"/>
              </w:rPr>
            </w:pPr>
            <w:r>
              <w:rPr>
                <w:rFonts w:ascii="宋体" w:hAnsi="宋体" w:eastAsia="宋体" w:cs="宋体"/>
                <w:spacing w:val="-4"/>
                <w:sz w:val="21"/>
                <w:szCs w:val="21"/>
              </w:rPr>
              <w:t>正常</w:t>
            </w:r>
          </w:p>
        </w:tc>
        <w:tc>
          <w:tcPr>
            <w:tcW w:w="709" w:type="dxa"/>
            <w:vAlign w:val="top"/>
          </w:tcPr>
          <w:p w14:paraId="62F444BF">
            <w:pPr>
              <w:pStyle w:val="6"/>
              <w:spacing w:before="103" w:line="188" w:lineRule="auto"/>
              <w:ind w:left="71"/>
            </w:pPr>
            <w:r>
              <w:rPr>
                <w:spacing w:val="-2"/>
              </w:rPr>
              <w:t>0.0046</w:t>
            </w:r>
          </w:p>
        </w:tc>
        <w:tc>
          <w:tcPr>
            <w:tcW w:w="664" w:type="dxa"/>
            <w:vAlign w:val="top"/>
          </w:tcPr>
          <w:p w14:paraId="58C11ACD">
            <w:pPr>
              <w:pStyle w:val="6"/>
              <w:spacing w:before="103" w:line="188" w:lineRule="auto"/>
              <w:ind w:left="47"/>
            </w:pPr>
            <w:r>
              <w:rPr>
                <w:spacing w:val="-2"/>
              </w:rPr>
              <w:t>0.0002</w:t>
            </w:r>
          </w:p>
        </w:tc>
      </w:tr>
      <w:tr w14:paraId="0874E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5" w:type="dxa"/>
            <w:vAlign w:val="top"/>
          </w:tcPr>
          <w:p w14:paraId="63948CCD">
            <w:pPr>
              <w:pStyle w:val="6"/>
              <w:spacing w:before="104" w:line="188" w:lineRule="auto"/>
              <w:ind w:left="96"/>
            </w:pPr>
            <w:r>
              <w:t>2</w:t>
            </w:r>
          </w:p>
        </w:tc>
        <w:tc>
          <w:tcPr>
            <w:tcW w:w="704" w:type="dxa"/>
            <w:vAlign w:val="top"/>
          </w:tcPr>
          <w:p w14:paraId="54D97A6D">
            <w:pPr>
              <w:spacing w:before="67" w:line="220" w:lineRule="auto"/>
              <w:ind w:left="41"/>
              <w:rPr>
                <w:rFonts w:ascii="宋体" w:hAnsi="宋体" w:eastAsia="宋体" w:cs="宋体"/>
                <w:sz w:val="21"/>
                <w:szCs w:val="21"/>
              </w:rPr>
            </w:pPr>
            <w:r>
              <w:rPr>
                <w:rFonts w:ascii="宋体" w:hAnsi="宋体" w:eastAsia="宋体" w:cs="宋体"/>
                <w:spacing w:val="-3"/>
                <w:sz w:val="21"/>
                <w:szCs w:val="21"/>
              </w:rPr>
              <w:t>堆粪棚</w:t>
            </w:r>
          </w:p>
        </w:tc>
        <w:tc>
          <w:tcPr>
            <w:tcW w:w="1007" w:type="dxa"/>
            <w:vAlign w:val="top"/>
          </w:tcPr>
          <w:p w14:paraId="1838EED8">
            <w:pPr>
              <w:pStyle w:val="6"/>
              <w:spacing w:before="104" w:line="188" w:lineRule="auto"/>
              <w:ind w:right="3"/>
              <w:jc w:val="right"/>
            </w:pPr>
            <w:r>
              <w:rPr>
                <w:spacing w:val="-3"/>
              </w:rPr>
              <w:t>105.344797</w:t>
            </w:r>
          </w:p>
        </w:tc>
        <w:tc>
          <w:tcPr>
            <w:tcW w:w="903" w:type="dxa"/>
            <w:vAlign w:val="top"/>
          </w:tcPr>
          <w:p w14:paraId="3D75D6F8">
            <w:pPr>
              <w:pStyle w:val="6"/>
              <w:spacing w:before="104" w:line="188" w:lineRule="auto"/>
              <w:ind w:left="5"/>
            </w:pPr>
            <w:r>
              <w:rPr>
                <w:spacing w:val="-1"/>
              </w:rPr>
              <w:t>29.678036</w:t>
            </w:r>
          </w:p>
        </w:tc>
        <w:tc>
          <w:tcPr>
            <w:tcW w:w="498" w:type="dxa"/>
            <w:vAlign w:val="top"/>
          </w:tcPr>
          <w:p w14:paraId="3F6E6F77">
            <w:pPr>
              <w:pStyle w:val="6"/>
              <w:spacing w:before="104" w:line="188" w:lineRule="auto"/>
              <w:ind w:left="96"/>
            </w:pPr>
            <w:r>
              <w:rPr>
                <w:spacing w:val="-3"/>
              </w:rPr>
              <w:t>364</w:t>
            </w:r>
          </w:p>
        </w:tc>
        <w:tc>
          <w:tcPr>
            <w:tcW w:w="563" w:type="dxa"/>
            <w:vAlign w:val="top"/>
          </w:tcPr>
          <w:p w14:paraId="0F9F735F">
            <w:pPr>
              <w:pStyle w:val="6"/>
              <w:spacing w:before="104" w:line="188" w:lineRule="auto"/>
              <w:ind w:left="120"/>
            </w:pPr>
            <w:r>
              <w:rPr>
                <w:spacing w:val="-6"/>
              </w:rPr>
              <w:t>17.3</w:t>
            </w:r>
          </w:p>
        </w:tc>
        <w:tc>
          <w:tcPr>
            <w:tcW w:w="570" w:type="dxa"/>
            <w:vAlign w:val="top"/>
          </w:tcPr>
          <w:p w14:paraId="1B3EFCA6">
            <w:pPr>
              <w:pStyle w:val="6"/>
              <w:spacing w:before="104" w:line="188" w:lineRule="auto"/>
              <w:ind w:left="122"/>
            </w:pPr>
            <w:r>
              <w:rPr>
                <w:spacing w:val="-6"/>
              </w:rPr>
              <w:t>17.3</w:t>
            </w:r>
          </w:p>
        </w:tc>
        <w:tc>
          <w:tcPr>
            <w:tcW w:w="566" w:type="dxa"/>
            <w:vAlign w:val="top"/>
          </w:tcPr>
          <w:p w14:paraId="149768EB">
            <w:pPr>
              <w:pStyle w:val="6"/>
              <w:spacing w:before="104" w:line="188" w:lineRule="auto"/>
              <w:ind w:left="178"/>
            </w:pPr>
            <w:r>
              <w:rPr>
                <w:spacing w:val="-2"/>
              </w:rPr>
              <w:t>25</w:t>
            </w:r>
          </w:p>
        </w:tc>
        <w:tc>
          <w:tcPr>
            <w:tcW w:w="706" w:type="dxa"/>
            <w:vAlign w:val="top"/>
          </w:tcPr>
          <w:p w14:paraId="3F35C5DC">
            <w:pPr>
              <w:pStyle w:val="6"/>
              <w:spacing w:before="104" w:line="188" w:lineRule="auto"/>
              <w:ind w:left="227"/>
            </w:pPr>
            <w:r>
              <w:rPr>
                <w:spacing w:val="-3"/>
              </w:rPr>
              <w:t>3.2</w:t>
            </w:r>
          </w:p>
        </w:tc>
        <w:tc>
          <w:tcPr>
            <w:tcW w:w="567" w:type="dxa"/>
            <w:vAlign w:val="top"/>
          </w:tcPr>
          <w:p w14:paraId="4582945D">
            <w:pPr>
              <w:pStyle w:val="6"/>
              <w:spacing w:before="104" w:line="188" w:lineRule="auto"/>
              <w:ind w:left="85"/>
            </w:pPr>
            <w:r>
              <w:rPr>
                <w:spacing w:val="-4"/>
              </w:rPr>
              <w:t>8760</w:t>
            </w:r>
          </w:p>
        </w:tc>
        <w:tc>
          <w:tcPr>
            <w:tcW w:w="568" w:type="dxa"/>
            <w:vAlign w:val="top"/>
          </w:tcPr>
          <w:p w14:paraId="1A053BB2">
            <w:pPr>
              <w:spacing w:before="68" w:line="220" w:lineRule="auto"/>
              <w:ind w:left="85"/>
              <w:rPr>
                <w:rFonts w:ascii="宋体" w:hAnsi="宋体" w:eastAsia="宋体" w:cs="宋体"/>
                <w:sz w:val="21"/>
                <w:szCs w:val="21"/>
              </w:rPr>
            </w:pPr>
            <w:r>
              <w:rPr>
                <w:rFonts w:ascii="宋体" w:hAnsi="宋体" w:eastAsia="宋体" w:cs="宋体"/>
                <w:spacing w:val="-4"/>
                <w:sz w:val="21"/>
                <w:szCs w:val="21"/>
              </w:rPr>
              <w:t>正常</w:t>
            </w:r>
          </w:p>
        </w:tc>
        <w:tc>
          <w:tcPr>
            <w:tcW w:w="709" w:type="dxa"/>
            <w:vAlign w:val="top"/>
          </w:tcPr>
          <w:p w14:paraId="5736DCC2">
            <w:pPr>
              <w:pStyle w:val="6"/>
              <w:spacing w:before="104" w:line="188" w:lineRule="auto"/>
              <w:ind w:left="75"/>
            </w:pPr>
            <w:r>
              <w:rPr>
                <w:spacing w:val="-2"/>
              </w:rPr>
              <w:t>0.0011</w:t>
            </w:r>
          </w:p>
        </w:tc>
        <w:tc>
          <w:tcPr>
            <w:tcW w:w="664" w:type="dxa"/>
            <w:vAlign w:val="top"/>
          </w:tcPr>
          <w:p w14:paraId="5F1691FB">
            <w:pPr>
              <w:pStyle w:val="6"/>
              <w:spacing w:before="104" w:line="188" w:lineRule="auto"/>
              <w:ind w:left="47"/>
            </w:pPr>
            <w:r>
              <w:rPr>
                <w:spacing w:val="-2"/>
              </w:rPr>
              <w:t>0.0001</w:t>
            </w:r>
          </w:p>
        </w:tc>
      </w:tr>
      <w:tr w14:paraId="088EC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5" w:type="dxa"/>
            <w:vAlign w:val="top"/>
          </w:tcPr>
          <w:p w14:paraId="6AFAA1A0">
            <w:pPr>
              <w:pStyle w:val="6"/>
              <w:spacing w:before="104" w:line="188" w:lineRule="auto"/>
              <w:ind w:left="100"/>
            </w:pPr>
            <w:r>
              <w:t>3</w:t>
            </w:r>
          </w:p>
        </w:tc>
        <w:tc>
          <w:tcPr>
            <w:tcW w:w="704" w:type="dxa"/>
            <w:vAlign w:val="top"/>
          </w:tcPr>
          <w:p w14:paraId="175D0DEB">
            <w:pPr>
              <w:spacing w:before="68" w:line="220" w:lineRule="auto"/>
              <w:ind w:left="41"/>
              <w:rPr>
                <w:rFonts w:ascii="宋体" w:hAnsi="宋体" w:eastAsia="宋体" w:cs="宋体"/>
                <w:sz w:val="21"/>
                <w:szCs w:val="21"/>
              </w:rPr>
            </w:pPr>
            <w:r>
              <w:rPr>
                <w:rFonts w:ascii="宋体" w:hAnsi="宋体" w:eastAsia="宋体" w:cs="宋体"/>
                <w:spacing w:val="-3"/>
                <w:sz w:val="21"/>
                <w:szCs w:val="21"/>
              </w:rPr>
              <w:t>转猪舍</w:t>
            </w:r>
          </w:p>
        </w:tc>
        <w:tc>
          <w:tcPr>
            <w:tcW w:w="1007" w:type="dxa"/>
            <w:vAlign w:val="top"/>
          </w:tcPr>
          <w:p w14:paraId="698ADC79">
            <w:pPr>
              <w:pStyle w:val="6"/>
              <w:spacing w:before="104" w:line="188" w:lineRule="auto"/>
              <w:ind w:right="3"/>
              <w:jc w:val="right"/>
            </w:pPr>
            <w:r>
              <w:rPr>
                <w:spacing w:val="-3"/>
              </w:rPr>
              <w:t>105.347225</w:t>
            </w:r>
          </w:p>
        </w:tc>
        <w:tc>
          <w:tcPr>
            <w:tcW w:w="903" w:type="dxa"/>
            <w:vAlign w:val="top"/>
          </w:tcPr>
          <w:p w14:paraId="1C33A440">
            <w:pPr>
              <w:pStyle w:val="6"/>
              <w:spacing w:before="104" w:line="188" w:lineRule="auto"/>
              <w:ind w:left="5"/>
            </w:pPr>
            <w:r>
              <w:rPr>
                <w:spacing w:val="-1"/>
              </w:rPr>
              <w:t>29.677738</w:t>
            </w:r>
          </w:p>
        </w:tc>
        <w:tc>
          <w:tcPr>
            <w:tcW w:w="498" w:type="dxa"/>
            <w:vAlign w:val="top"/>
          </w:tcPr>
          <w:p w14:paraId="4E34C83F">
            <w:pPr>
              <w:pStyle w:val="6"/>
              <w:spacing w:before="104" w:line="188" w:lineRule="auto"/>
              <w:ind w:left="96"/>
            </w:pPr>
            <w:r>
              <w:rPr>
                <w:spacing w:val="-3"/>
              </w:rPr>
              <w:t>353</w:t>
            </w:r>
          </w:p>
        </w:tc>
        <w:tc>
          <w:tcPr>
            <w:tcW w:w="563" w:type="dxa"/>
            <w:vAlign w:val="top"/>
          </w:tcPr>
          <w:p w14:paraId="2343C1E7">
            <w:pPr>
              <w:pStyle w:val="6"/>
              <w:spacing w:before="104" w:line="188" w:lineRule="auto"/>
              <w:ind w:left="197"/>
            </w:pPr>
            <w:r>
              <w:rPr>
                <w:spacing w:val="-12"/>
              </w:rPr>
              <w:t>13</w:t>
            </w:r>
          </w:p>
        </w:tc>
        <w:tc>
          <w:tcPr>
            <w:tcW w:w="570" w:type="dxa"/>
            <w:vAlign w:val="top"/>
          </w:tcPr>
          <w:p w14:paraId="001FE532">
            <w:pPr>
              <w:pStyle w:val="6"/>
              <w:spacing w:before="104" w:line="188" w:lineRule="auto"/>
              <w:ind w:left="181"/>
            </w:pPr>
            <w:r>
              <w:rPr>
                <w:spacing w:val="-2"/>
              </w:rPr>
              <w:t>20</w:t>
            </w:r>
          </w:p>
        </w:tc>
        <w:tc>
          <w:tcPr>
            <w:tcW w:w="566" w:type="dxa"/>
            <w:vAlign w:val="top"/>
          </w:tcPr>
          <w:p w14:paraId="4FE8139F">
            <w:pPr>
              <w:pStyle w:val="6"/>
              <w:spacing w:before="104" w:line="188" w:lineRule="auto"/>
              <w:ind w:left="234"/>
            </w:pPr>
            <w:r>
              <w:t>0</w:t>
            </w:r>
          </w:p>
        </w:tc>
        <w:tc>
          <w:tcPr>
            <w:tcW w:w="706" w:type="dxa"/>
            <w:vAlign w:val="top"/>
          </w:tcPr>
          <w:p w14:paraId="0A1E9EE6">
            <w:pPr>
              <w:pStyle w:val="6"/>
              <w:spacing w:before="104" w:line="188" w:lineRule="auto"/>
              <w:ind w:left="227"/>
            </w:pPr>
            <w:r>
              <w:rPr>
                <w:spacing w:val="-3"/>
              </w:rPr>
              <w:t>3.0</w:t>
            </w:r>
          </w:p>
        </w:tc>
        <w:tc>
          <w:tcPr>
            <w:tcW w:w="567" w:type="dxa"/>
            <w:vAlign w:val="top"/>
          </w:tcPr>
          <w:p w14:paraId="40DFDE6F">
            <w:pPr>
              <w:pStyle w:val="6"/>
              <w:spacing w:before="104" w:line="188" w:lineRule="auto"/>
              <w:ind w:left="97"/>
            </w:pPr>
            <w:r>
              <w:rPr>
                <w:spacing w:val="-6"/>
              </w:rPr>
              <w:t>1460</w:t>
            </w:r>
          </w:p>
        </w:tc>
        <w:tc>
          <w:tcPr>
            <w:tcW w:w="568" w:type="dxa"/>
            <w:vAlign w:val="top"/>
          </w:tcPr>
          <w:p w14:paraId="2D70964B">
            <w:pPr>
              <w:spacing w:before="68" w:line="220" w:lineRule="auto"/>
              <w:ind w:left="85"/>
              <w:rPr>
                <w:rFonts w:ascii="宋体" w:hAnsi="宋体" w:eastAsia="宋体" w:cs="宋体"/>
                <w:sz w:val="21"/>
                <w:szCs w:val="21"/>
              </w:rPr>
            </w:pPr>
            <w:r>
              <w:rPr>
                <w:rFonts w:ascii="宋体" w:hAnsi="宋体" w:eastAsia="宋体" w:cs="宋体"/>
                <w:spacing w:val="-4"/>
                <w:sz w:val="21"/>
                <w:szCs w:val="21"/>
              </w:rPr>
              <w:t>正常</w:t>
            </w:r>
          </w:p>
        </w:tc>
        <w:tc>
          <w:tcPr>
            <w:tcW w:w="709" w:type="dxa"/>
            <w:vAlign w:val="top"/>
          </w:tcPr>
          <w:p w14:paraId="7ED6EB4F">
            <w:pPr>
              <w:pStyle w:val="6"/>
              <w:spacing w:before="104" w:line="188" w:lineRule="auto"/>
              <w:ind w:left="71"/>
            </w:pPr>
            <w:r>
              <w:rPr>
                <w:spacing w:val="-2"/>
              </w:rPr>
              <w:t>0.0025</w:t>
            </w:r>
          </w:p>
        </w:tc>
        <w:tc>
          <w:tcPr>
            <w:tcW w:w="664" w:type="dxa"/>
            <w:vAlign w:val="top"/>
          </w:tcPr>
          <w:p w14:paraId="1D337B05">
            <w:pPr>
              <w:pStyle w:val="6"/>
              <w:spacing w:before="104" w:line="188" w:lineRule="auto"/>
              <w:ind w:left="47"/>
            </w:pPr>
            <w:r>
              <w:rPr>
                <w:spacing w:val="-2"/>
              </w:rPr>
              <w:t>0.0001</w:t>
            </w:r>
          </w:p>
        </w:tc>
      </w:tr>
    </w:tbl>
    <w:p w14:paraId="790EB927">
      <w:pPr>
        <w:spacing w:before="291"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4.2.1.3 </w:t>
      </w:r>
      <w:r>
        <w:rPr>
          <w:rFonts w:ascii="宋体" w:hAnsi="宋体" w:eastAsia="宋体" w:cs="宋体"/>
          <w:b/>
          <w:bCs/>
          <w:spacing w:val="4"/>
          <w:sz w:val="27"/>
          <w:szCs w:val="27"/>
        </w:rPr>
        <w:t>模型参数</w:t>
      </w:r>
    </w:p>
    <w:p w14:paraId="455B3F64">
      <w:pPr>
        <w:spacing w:before="236" w:line="361" w:lineRule="auto"/>
        <w:ind w:left="38" w:right="30" w:firstLine="479"/>
        <w:jc w:val="both"/>
        <w:rPr>
          <w:rFonts w:ascii="宋体" w:hAnsi="宋体" w:eastAsia="宋体" w:cs="宋体"/>
          <w:sz w:val="24"/>
          <w:szCs w:val="24"/>
        </w:rPr>
      </w:pPr>
      <w:r>
        <w:rPr>
          <w:rFonts w:ascii="宋体" w:hAnsi="宋体" w:eastAsia="宋体" w:cs="宋体"/>
          <w:spacing w:val="2"/>
          <w:sz w:val="24"/>
          <w:szCs w:val="24"/>
        </w:rPr>
        <w:t>采用《环境影响评价技术导则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）推荐模式的估算</w:t>
      </w:r>
      <w:r>
        <w:rPr>
          <w:rFonts w:ascii="宋体" w:hAnsi="宋体" w:eastAsia="宋体" w:cs="宋体"/>
          <w:spacing w:val="-2"/>
          <w:sz w:val="24"/>
          <w:szCs w:val="24"/>
        </w:rPr>
        <w:t>模式</w:t>
      </w:r>
      <w:r>
        <w:rPr>
          <w:rFonts w:ascii="Times New Roman" w:hAnsi="Times New Roman" w:eastAsia="Times New Roman" w:cs="Times New Roman"/>
          <w:spacing w:val="-2"/>
          <w:sz w:val="24"/>
          <w:szCs w:val="24"/>
        </w:rPr>
        <w:t>AERSCREEN</w:t>
      </w:r>
      <w:r>
        <w:rPr>
          <w:rFonts w:ascii="宋体" w:hAnsi="宋体" w:eastAsia="宋体" w:cs="宋体"/>
          <w:spacing w:val="-2"/>
          <w:sz w:val="24"/>
          <w:szCs w:val="24"/>
        </w:rPr>
        <w:t>进行影响预测，该模式是基于</w:t>
      </w:r>
      <w:r>
        <w:rPr>
          <w:rFonts w:ascii="Times New Roman" w:hAnsi="Times New Roman" w:eastAsia="Times New Roman" w:cs="Times New Roman"/>
          <w:spacing w:val="-2"/>
          <w:sz w:val="24"/>
          <w:szCs w:val="24"/>
        </w:rPr>
        <w:t>AERMOD</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内核算法开发的单源</w:t>
      </w:r>
      <w:r>
        <w:rPr>
          <w:rFonts w:ascii="宋体" w:hAnsi="宋体" w:eastAsia="宋体" w:cs="宋体"/>
          <w:spacing w:val="-3"/>
          <w:sz w:val="24"/>
          <w:szCs w:val="24"/>
        </w:rPr>
        <w:t>估算模型，本次预测选用参数见下表。</w:t>
      </w:r>
    </w:p>
    <w:p w14:paraId="03C2E504">
      <w:pPr>
        <w:spacing w:before="10" w:line="222" w:lineRule="auto"/>
        <w:ind w:left="3083"/>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4.2-5  </w:t>
      </w:r>
      <w:r>
        <w:rPr>
          <w:rFonts w:ascii="黑体" w:hAnsi="黑体" w:eastAsia="黑体" w:cs="黑体"/>
          <w:spacing w:val="-1"/>
          <w:sz w:val="21"/>
          <w:szCs w:val="21"/>
        </w:rPr>
        <w:t>估算模型参数表</w:t>
      </w:r>
    </w:p>
    <w:p w14:paraId="66A73C55">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6"/>
        <w:gridCol w:w="2768"/>
        <w:gridCol w:w="3318"/>
      </w:tblGrid>
      <w:tr w14:paraId="2AC5C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994" w:type="dxa"/>
            <w:gridSpan w:val="2"/>
            <w:vAlign w:val="top"/>
          </w:tcPr>
          <w:p w14:paraId="49D0352A">
            <w:pPr>
              <w:spacing w:before="62" w:line="220" w:lineRule="auto"/>
              <w:ind w:left="2293"/>
              <w:rPr>
                <w:rFonts w:ascii="宋体" w:hAnsi="宋体" w:eastAsia="宋体" w:cs="宋体"/>
                <w:sz w:val="21"/>
                <w:szCs w:val="21"/>
              </w:rPr>
            </w:pPr>
            <w:r>
              <w:rPr>
                <w:rFonts w:ascii="宋体" w:hAnsi="宋体" w:eastAsia="宋体" w:cs="宋体"/>
                <w:spacing w:val="-3"/>
                <w:sz w:val="21"/>
                <w:szCs w:val="21"/>
              </w:rPr>
              <w:t>参数</w:t>
            </w:r>
          </w:p>
        </w:tc>
        <w:tc>
          <w:tcPr>
            <w:tcW w:w="3318" w:type="dxa"/>
            <w:vAlign w:val="top"/>
          </w:tcPr>
          <w:p w14:paraId="000E7902">
            <w:pPr>
              <w:spacing w:before="62" w:line="220" w:lineRule="auto"/>
              <w:ind w:left="1456"/>
              <w:rPr>
                <w:rFonts w:ascii="宋体" w:hAnsi="宋体" w:eastAsia="宋体" w:cs="宋体"/>
                <w:sz w:val="21"/>
                <w:szCs w:val="21"/>
              </w:rPr>
            </w:pPr>
            <w:r>
              <w:rPr>
                <w:rFonts w:ascii="宋体" w:hAnsi="宋体" w:eastAsia="宋体" w:cs="宋体"/>
                <w:spacing w:val="-3"/>
                <w:sz w:val="21"/>
                <w:szCs w:val="21"/>
              </w:rPr>
              <w:t>取值</w:t>
            </w:r>
          </w:p>
        </w:tc>
      </w:tr>
      <w:tr w14:paraId="74CA5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226" w:type="dxa"/>
            <w:vMerge w:val="restart"/>
            <w:tcBorders>
              <w:bottom w:val="nil"/>
            </w:tcBorders>
            <w:vAlign w:val="top"/>
          </w:tcPr>
          <w:p w14:paraId="71404181">
            <w:pPr>
              <w:pStyle w:val="6"/>
              <w:spacing w:before="235" w:line="219" w:lineRule="auto"/>
              <w:ind w:left="457"/>
              <w:rPr>
                <w:rFonts w:ascii="宋体" w:hAnsi="宋体" w:eastAsia="宋体" w:cs="宋体"/>
              </w:rPr>
            </w:pPr>
            <w:r>
              <w:rPr>
                <w:rFonts w:ascii="宋体" w:hAnsi="宋体" w:eastAsia="宋体" w:cs="宋体"/>
                <w:spacing w:val="-2"/>
              </w:rPr>
              <w:t>城市</w:t>
            </w:r>
            <w:r>
              <w:rPr>
                <w:spacing w:val="-2"/>
              </w:rPr>
              <w:t>/</w:t>
            </w:r>
            <w:r>
              <w:rPr>
                <w:rFonts w:ascii="宋体" w:hAnsi="宋体" w:eastAsia="宋体" w:cs="宋体"/>
                <w:spacing w:val="-2"/>
              </w:rPr>
              <w:t>农村选项</w:t>
            </w:r>
          </w:p>
        </w:tc>
        <w:tc>
          <w:tcPr>
            <w:tcW w:w="2768" w:type="dxa"/>
            <w:vAlign w:val="top"/>
          </w:tcPr>
          <w:p w14:paraId="7D032542">
            <w:pPr>
              <w:pStyle w:val="6"/>
              <w:spacing w:before="62" w:line="219" w:lineRule="auto"/>
              <w:ind w:left="939"/>
              <w:rPr>
                <w:rFonts w:ascii="宋体" w:hAnsi="宋体" w:eastAsia="宋体" w:cs="宋体"/>
              </w:rPr>
            </w:pPr>
            <w:r>
              <w:rPr>
                <w:rFonts w:ascii="宋体" w:hAnsi="宋体" w:eastAsia="宋体" w:cs="宋体"/>
                <w:spacing w:val="-2"/>
              </w:rPr>
              <w:t>城市</w:t>
            </w:r>
            <w:r>
              <w:rPr>
                <w:spacing w:val="-2"/>
              </w:rPr>
              <w:t>/</w:t>
            </w:r>
            <w:r>
              <w:rPr>
                <w:rFonts w:ascii="宋体" w:hAnsi="宋体" w:eastAsia="宋体" w:cs="宋体"/>
                <w:spacing w:val="-2"/>
              </w:rPr>
              <w:t>农村</w:t>
            </w:r>
          </w:p>
        </w:tc>
        <w:tc>
          <w:tcPr>
            <w:tcW w:w="3318" w:type="dxa"/>
            <w:vAlign w:val="top"/>
          </w:tcPr>
          <w:p w14:paraId="057E70A3">
            <w:pPr>
              <w:spacing w:before="62" w:line="219" w:lineRule="auto"/>
              <w:ind w:left="1454"/>
              <w:rPr>
                <w:rFonts w:ascii="宋体" w:hAnsi="宋体" w:eastAsia="宋体" w:cs="宋体"/>
                <w:sz w:val="21"/>
                <w:szCs w:val="21"/>
              </w:rPr>
            </w:pPr>
            <w:r>
              <w:rPr>
                <w:rFonts w:ascii="宋体" w:hAnsi="宋体" w:eastAsia="宋体" w:cs="宋体"/>
                <w:spacing w:val="-3"/>
                <w:sz w:val="21"/>
                <w:szCs w:val="21"/>
              </w:rPr>
              <w:t>农村</w:t>
            </w:r>
          </w:p>
        </w:tc>
      </w:tr>
      <w:tr w14:paraId="11BC5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226" w:type="dxa"/>
            <w:vMerge w:val="continue"/>
            <w:tcBorders>
              <w:top w:val="nil"/>
            </w:tcBorders>
            <w:vAlign w:val="top"/>
          </w:tcPr>
          <w:p w14:paraId="3087D6F2">
            <w:pPr>
              <w:rPr>
                <w:rFonts w:ascii="Arial"/>
                <w:sz w:val="21"/>
              </w:rPr>
            </w:pPr>
          </w:p>
        </w:tc>
        <w:tc>
          <w:tcPr>
            <w:tcW w:w="2768" w:type="dxa"/>
            <w:vAlign w:val="top"/>
          </w:tcPr>
          <w:p w14:paraId="5158D0B3">
            <w:pPr>
              <w:pStyle w:val="6"/>
              <w:spacing w:before="62" w:line="212" w:lineRule="auto"/>
              <w:ind w:left="481"/>
            </w:pPr>
            <w:r>
              <w:rPr>
                <w:rFonts w:ascii="宋体" w:hAnsi="宋体" w:eastAsia="宋体" w:cs="宋体"/>
                <w:spacing w:val="-2"/>
              </w:rPr>
              <w:t>人口数</w:t>
            </w:r>
            <w:r>
              <w:rPr>
                <w:spacing w:val="-2"/>
              </w:rPr>
              <w:t>(</w:t>
            </w:r>
            <w:r>
              <w:rPr>
                <w:rFonts w:ascii="宋体" w:hAnsi="宋体" w:eastAsia="宋体" w:cs="宋体"/>
                <w:spacing w:val="-2"/>
              </w:rPr>
              <w:t>城市人口数</w:t>
            </w:r>
            <w:r>
              <w:rPr>
                <w:spacing w:val="-2"/>
              </w:rPr>
              <w:t>)</w:t>
            </w:r>
          </w:p>
        </w:tc>
        <w:tc>
          <w:tcPr>
            <w:tcW w:w="3318" w:type="dxa"/>
            <w:vAlign w:val="top"/>
          </w:tcPr>
          <w:p w14:paraId="4E00E933">
            <w:pPr>
              <w:pStyle w:val="6"/>
              <w:spacing w:before="94" w:line="192" w:lineRule="auto"/>
              <w:ind w:left="1628"/>
            </w:pPr>
            <w:r>
              <w:t>/</w:t>
            </w:r>
          </w:p>
        </w:tc>
      </w:tr>
      <w:tr w14:paraId="36ED5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994" w:type="dxa"/>
            <w:gridSpan w:val="2"/>
            <w:vAlign w:val="top"/>
          </w:tcPr>
          <w:p w14:paraId="4E4ED13E">
            <w:pPr>
              <w:spacing w:before="63" w:line="220" w:lineRule="auto"/>
              <w:ind w:left="1874"/>
              <w:rPr>
                <w:rFonts w:ascii="宋体" w:hAnsi="宋体" w:eastAsia="宋体" w:cs="宋体"/>
                <w:sz w:val="21"/>
                <w:szCs w:val="21"/>
              </w:rPr>
            </w:pPr>
            <w:r>
              <w:rPr>
                <w:rFonts w:ascii="宋体" w:hAnsi="宋体" w:eastAsia="宋体" w:cs="宋体"/>
                <w:spacing w:val="-2"/>
                <w:sz w:val="21"/>
                <w:szCs w:val="21"/>
              </w:rPr>
              <w:t>最高环境温度</w:t>
            </w:r>
          </w:p>
        </w:tc>
        <w:tc>
          <w:tcPr>
            <w:tcW w:w="3318" w:type="dxa"/>
            <w:vAlign w:val="top"/>
          </w:tcPr>
          <w:p w14:paraId="43A08C69">
            <w:pPr>
              <w:pStyle w:val="6"/>
              <w:spacing w:before="100" w:line="188" w:lineRule="auto"/>
              <w:ind w:left="1475"/>
            </w:pPr>
            <w:r>
              <w:rPr>
                <w:spacing w:val="-1"/>
              </w:rPr>
              <w:t>40.4</w:t>
            </w:r>
          </w:p>
        </w:tc>
      </w:tr>
      <w:tr w14:paraId="5A5F1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4994" w:type="dxa"/>
            <w:gridSpan w:val="2"/>
            <w:vAlign w:val="top"/>
          </w:tcPr>
          <w:p w14:paraId="21B01847">
            <w:pPr>
              <w:spacing w:before="62" w:line="220" w:lineRule="auto"/>
              <w:ind w:left="1874"/>
              <w:rPr>
                <w:rFonts w:ascii="宋体" w:hAnsi="宋体" w:eastAsia="宋体" w:cs="宋体"/>
                <w:sz w:val="21"/>
                <w:szCs w:val="21"/>
              </w:rPr>
            </w:pPr>
            <w:r>
              <w:rPr>
                <w:rFonts w:ascii="宋体" w:hAnsi="宋体" w:eastAsia="宋体" w:cs="宋体"/>
                <w:spacing w:val="-2"/>
                <w:sz w:val="21"/>
                <w:szCs w:val="21"/>
              </w:rPr>
              <w:t>最低环境温度</w:t>
            </w:r>
          </w:p>
        </w:tc>
        <w:tc>
          <w:tcPr>
            <w:tcW w:w="3318" w:type="dxa"/>
            <w:vAlign w:val="top"/>
          </w:tcPr>
          <w:p w14:paraId="21AFBD6F">
            <w:pPr>
              <w:pStyle w:val="6"/>
              <w:spacing w:before="99" w:line="188" w:lineRule="auto"/>
              <w:ind w:left="1499"/>
            </w:pPr>
            <w:r>
              <w:rPr>
                <w:spacing w:val="-3"/>
              </w:rPr>
              <w:t>-2.8</w:t>
            </w:r>
          </w:p>
        </w:tc>
      </w:tr>
      <w:tr w14:paraId="757C6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994" w:type="dxa"/>
            <w:gridSpan w:val="2"/>
            <w:vAlign w:val="top"/>
          </w:tcPr>
          <w:p w14:paraId="4391076C">
            <w:pPr>
              <w:spacing w:before="64" w:line="220" w:lineRule="auto"/>
              <w:ind w:left="1872"/>
              <w:rPr>
                <w:rFonts w:ascii="宋体" w:hAnsi="宋体" w:eastAsia="宋体" w:cs="宋体"/>
                <w:sz w:val="21"/>
                <w:szCs w:val="21"/>
              </w:rPr>
            </w:pPr>
            <w:r>
              <w:rPr>
                <w:rFonts w:ascii="宋体" w:hAnsi="宋体" w:eastAsia="宋体" w:cs="宋体"/>
                <w:spacing w:val="-2"/>
                <w:sz w:val="21"/>
                <w:szCs w:val="21"/>
              </w:rPr>
              <w:t>土地利用类型</w:t>
            </w:r>
          </w:p>
        </w:tc>
        <w:tc>
          <w:tcPr>
            <w:tcW w:w="3318" w:type="dxa"/>
            <w:vAlign w:val="top"/>
          </w:tcPr>
          <w:p w14:paraId="178648DB">
            <w:pPr>
              <w:spacing w:before="64" w:line="222" w:lineRule="auto"/>
              <w:ind w:left="1454"/>
              <w:rPr>
                <w:rFonts w:ascii="宋体" w:hAnsi="宋体" w:eastAsia="宋体" w:cs="宋体"/>
                <w:sz w:val="21"/>
                <w:szCs w:val="21"/>
              </w:rPr>
            </w:pPr>
            <w:r>
              <w:rPr>
                <w:rFonts w:ascii="宋体" w:hAnsi="宋体" w:eastAsia="宋体" w:cs="宋体"/>
                <w:spacing w:val="-3"/>
                <w:sz w:val="21"/>
                <w:szCs w:val="21"/>
              </w:rPr>
              <w:t>农田</w:t>
            </w:r>
          </w:p>
        </w:tc>
      </w:tr>
      <w:tr w14:paraId="3555D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4994" w:type="dxa"/>
            <w:gridSpan w:val="2"/>
            <w:vAlign w:val="top"/>
          </w:tcPr>
          <w:p w14:paraId="54500C4B">
            <w:pPr>
              <w:spacing w:before="63" w:line="220" w:lineRule="auto"/>
              <w:ind w:left="1887"/>
              <w:rPr>
                <w:rFonts w:ascii="宋体" w:hAnsi="宋体" w:eastAsia="宋体" w:cs="宋体"/>
                <w:sz w:val="21"/>
                <w:szCs w:val="21"/>
              </w:rPr>
            </w:pPr>
            <w:r>
              <w:rPr>
                <w:rFonts w:ascii="宋体" w:hAnsi="宋体" w:eastAsia="宋体" w:cs="宋体"/>
                <w:spacing w:val="-4"/>
                <w:sz w:val="21"/>
                <w:szCs w:val="21"/>
              </w:rPr>
              <w:t>区域湿度条件</w:t>
            </w:r>
          </w:p>
        </w:tc>
        <w:tc>
          <w:tcPr>
            <w:tcW w:w="3318" w:type="dxa"/>
            <w:vAlign w:val="top"/>
          </w:tcPr>
          <w:p w14:paraId="6D16750D">
            <w:pPr>
              <w:spacing w:before="63" w:line="220" w:lineRule="auto"/>
              <w:ind w:left="1453"/>
              <w:rPr>
                <w:rFonts w:ascii="宋体" w:hAnsi="宋体" w:eastAsia="宋体" w:cs="宋体"/>
                <w:sz w:val="21"/>
                <w:szCs w:val="21"/>
              </w:rPr>
            </w:pPr>
            <w:r>
              <w:rPr>
                <w:rFonts w:ascii="宋体" w:hAnsi="宋体" w:eastAsia="宋体" w:cs="宋体"/>
                <w:spacing w:val="-2"/>
                <w:sz w:val="21"/>
                <w:szCs w:val="21"/>
              </w:rPr>
              <w:t>潮湿</w:t>
            </w:r>
          </w:p>
        </w:tc>
      </w:tr>
      <w:tr w14:paraId="55BD4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226" w:type="dxa"/>
            <w:vMerge w:val="restart"/>
            <w:tcBorders>
              <w:bottom w:val="nil"/>
            </w:tcBorders>
            <w:vAlign w:val="top"/>
          </w:tcPr>
          <w:p w14:paraId="608F5ABA">
            <w:pPr>
              <w:spacing w:before="238" w:line="219" w:lineRule="auto"/>
              <w:ind w:left="490"/>
              <w:rPr>
                <w:rFonts w:ascii="宋体" w:hAnsi="宋体" w:eastAsia="宋体" w:cs="宋体"/>
                <w:sz w:val="21"/>
                <w:szCs w:val="21"/>
              </w:rPr>
            </w:pPr>
            <w:r>
              <w:rPr>
                <w:rFonts w:ascii="宋体" w:hAnsi="宋体" w:eastAsia="宋体" w:cs="宋体"/>
                <w:spacing w:val="-2"/>
                <w:sz w:val="21"/>
                <w:szCs w:val="21"/>
              </w:rPr>
              <w:t>是否考虑地形</w:t>
            </w:r>
          </w:p>
        </w:tc>
        <w:tc>
          <w:tcPr>
            <w:tcW w:w="2768" w:type="dxa"/>
            <w:vAlign w:val="top"/>
          </w:tcPr>
          <w:p w14:paraId="4E7B01F3">
            <w:pPr>
              <w:spacing w:before="65" w:line="219" w:lineRule="auto"/>
              <w:ind w:left="969"/>
              <w:rPr>
                <w:rFonts w:ascii="宋体" w:hAnsi="宋体" w:eastAsia="宋体" w:cs="宋体"/>
                <w:sz w:val="21"/>
                <w:szCs w:val="21"/>
              </w:rPr>
            </w:pPr>
            <w:r>
              <w:rPr>
                <w:rFonts w:ascii="宋体" w:hAnsi="宋体" w:eastAsia="宋体" w:cs="宋体"/>
                <w:spacing w:val="-2"/>
                <w:sz w:val="21"/>
                <w:szCs w:val="21"/>
              </w:rPr>
              <w:t>考虑地形</w:t>
            </w:r>
          </w:p>
        </w:tc>
        <w:tc>
          <w:tcPr>
            <w:tcW w:w="3318" w:type="dxa"/>
            <w:vAlign w:val="top"/>
          </w:tcPr>
          <w:p w14:paraId="2969CA5E">
            <w:pPr>
              <w:spacing w:before="65" w:line="223" w:lineRule="auto"/>
              <w:ind w:left="1563"/>
              <w:rPr>
                <w:rFonts w:ascii="宋体" w:hAnsi="宋体" w:eastAsia="宋体" w:cs="宋体"/>
                <w:sz w:val="21"/>
                <w:szCs w:val="21"/>
              </w:rPr>
            </w:pPr>
            <w:r>
              <w:rPr>
                <w:rFonts w:ascii="宋体" w:hAnsi="宋体" w:eastAsia="宋体" w:cs="宋体"/>
                <w:sz w:val="21"/>
                <w:szCs w:val="21"/>
              </w:rPr>
              <w:t>是</w:t>
            </w:r>
          </w:p>
        </w:tc>
      </w:tr>
      <w:tr w14:paraId="7E9D9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226" w:type="dxa"/>
            <w:vMerge w:val="continue"/>
            <w:tcBorders>
              <w:top w:val="nil"/>
            </w:tcBorders>
            <w:vAlign w:val="top"/>
          </w:tcPr>
          <w:p w14:paraId="6944BBAA">
            <w:pPr>
              <w:rPr>
                <w:rFonts w:ascii="Arial"/>
                <w:sz w:val="21"/>
              </w:rPr>
            </w:pPr>
          </w:p>
        </w:tc>
        <w:tc>
          <w:tcPr>
            <w:tcW w:w="2768" w:type="dxa"/>
            <w:vAlign w:val="top"/>
          </w:tcPr>
          <w:p w14:paraId="33FC0E9B">
            <w:pPr>
              <w:pStyle w:val="6"/>
              <w:spacing w:before="65" w:line="212" w:lineRule="auto"/>
              <w:ind w:left="502"/>
            </w:pPr>
            <w:r>
              <w:rPr>
                <w:rFonts w:ascii="宋体" w:hAnsi="宋体" w:eastAsia="宋体" w:cs="宋体"/>
                <w:spacing w:val="-1"/>
              </w:rPr>
              <w:t>地形数据分辨率</w:t>
            </w:r>
            <w:r>
              <w:rPr>
                <w:spacing w:val="-1"/>
              </w:rPr>
              <w:t>(m)</w:t>
            </w:r>
          </w:p>
        </w:tc>
        <w:tc>
          <w:tcPr>
            <w:tcW w:w="3318" w:type="dxa"/>
            <w:vAlign w:val="top"/>
          </w:tcPr>
          <w:p w14:paraId="22E5D69B">
            <w:pPr>
              <w:pStyle w:val="6"/>
              <w:spacing w:before="101" w:line="188" w:lineRule="auto"/>
              <w:ind w:left="1560"/>
            </w:pPr>
            <w:r>
              <w:rPr>
                <w:spacing w:val="-2"/>
              </w:rPr>
              <w:t>90</w:t>
            </w:r>
          </w:p>
        </w:tc>
      </w:tr>
      <w:tr w14:paraId="2F493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226" w:type="dxa"/>
            <w:vMerge w:val="restart"/>
            <w:tcBorders>
              <w:bottom w:val="nil"/>
            </w:tcBorders>
            <w:vAlign w:val="top"/>
          </w:tcPr>
          <w:p w14:paraId="7972B34E">
            <w:pPr>
              <w:spacing w:line="340" w:lineRule="auto"/>
              <w:rPr>
                <w:rFonts w:ascii="Arial"/>
                <w:sz w:val="21"/>
              </w:rPr>
            </w:pPr>
          </w:p>
          <w:p w14:paraId="1D6BA90A">
            <w:pPr>
              <w:spacing w:before="68" w:line="219" w:lineRule="auto"/>
              <w:ind w:left="280"/>
              <w:rPr>
                <w:rFonts w:ascii="宋体" w:hAnsi="宋体" w:eastAsia="宋体" w:cs="宋体"/>
                <w:sz w:val="21"/>
                <w:szCs w:val="21"/>
              </w:rPr>
            </w:pPr>
            <w:r>
              <w:rPr>
                <w:rFonts w:ascii="宋体" w:hAnsi="宋体" w:eastAsia="宋体" w:cs="宋体"/>
                <w:spacing w:val="-2"/>
                <w:sz w:val="21"/>
                <w:szCs w:val="21"/>
              </w:rPr>
              <w:t>是否考虑岸线熏烟</w:t>
            </w:r>
          </w:p>
        </w:tc>
        <w:tc>
          <w:tcPr>
            <w:tcW w:w="2768" w:type="dxa"/>
            <w:vAlign w:val="top"/>
          </w:tcPr>
          <w:p w14:paraId="5E8822AF">
            <w:pPr>
              <w:spacing w:before="66" w:line="219" w:lineRule="auto"/>
              <w:ind w:left="759"/>
              <w:rPr>
                <w:rFonts w:ascii="宋体" w:hAnsi="宋体" w:eastAsia="宋体" w:cs="宋体"/>
                <w:sz w:val="21"/>
                <w:szCs w:val="21"/>
              </w:rPr>
            </w:pPr>
            <w:r>
              <w:rPr>
                <w:rFonts w:ascii="宋体" w:hAnsi="宋体" w:eastAsia="宋体" w:cs="宋体"/>
                <w:spacing w:val="-2"/>
                <w:sz w:val="21"/>
                <w:szCs w:val="21"/>
              </w:rPr>
              <w:t>考虑岸线熏烟</w:t>
            </w:r>
          </w:p>
        </w:tc>
        <w:tc>
          <w:tcPr>
            <w:tcW w:w="3318" w:type="dxa"/>
            <w:vAlign w:val="top"/>
          </w:tcPr>
          <w:p w14:paraId="13FB038E">
            <w:pPr>
              <w:spacing w:before="66" w:line="220" w:lineRule="auto"/>
              <w:ind w:left="1566"/>
              <w:rPr>
                <w:rFonts w:ascii="宋体" w:hAnsi="宋体" w:eastAsia="宋体" w:cs="宋体"/>
                <w:sz w:val="21"/>
                <w:szCs w:val="21"/>
              </w:rPr>
            </w:pPr>
            <w:r>
              <w:rPr>
                <w:rFonts w:ascii="宋体" w:hAnsi="宋体" w:eastAsia="宋体" w:cs="宋体"/>
                <w:sz w:val="21"/>
                <w:szCs w:val="21"/>
              </w:rPr>
              <w:t>否</w:t>
            </w:r>
          </w:p>
        </w:tc>
      </w:tr>
      <w:tr w14:paraId="7DE6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226" w:type="dxa"/>
            <w:vMerge w:val="continue"/>
            <w:tcBorders>
              <w:top w:val="nil"/>
              <w:bottom w:val="nil"/>
            </w:tcBorders>
            <w:vAlign w:val="top"/>
          </w:tcPr>
          <w:p w14:paraId="605EF03E">
            <w:pPr>
              <w:rPr>
                <w:rFonts w:ascii="Arial"/>
                <w:sz w:val="21"/>
              </w:rPr>
            </w:pPr>
          </w:p>
        </w:tc>
        <w:tc>
          <w:tcPr>
            <w:tcW w:w="2768" w:type="dxa"/>
            <w:vAlign w:val="top"/>
          </w:tcPr>
          <w:p w14:paraId="157BEAF0">
            <w:pPr>
              <w:pStyle w:val="6"/>
              <w:spacing w:before="66" w:line="220" w:lineRule="auto"/>
              <w:ind w:left="857"/>
            </w:pPr>
            <w:r>
              <w:rPr>
                <w:rFonts w:ascii="宋体" w:hAnsi="宋体" w:eastAsia="宋体" w:cs="宋体"/>
                <w:spacing w:val="-2"/>
              </w:rPr>
              <w:t>岸线距离</w:t>
            </w:r>
            <w:r>
              <w:rPr>
                <w:spacing w:val="-2"/>
              </w:rPr>
              <w:t>/m</w:t>
            </w:r>
          </w:p>
        </w:tc>
        <w:tc>
          <w:tcPr>
            <w:tcW w:w="3318" w:type="dxa"/>
            <w:vAlign w:val="top"/>
          </w:tcPr>
          <w:p w14:paraId="6EDEC470">
            <w:pPr>
              <w:pStyle w:val="6"/>
              <w:spacing w:before="98" w:line="192" w:lineRule="auto"/>
              <w:ind w:left="1627"/>
            </w:pPr>
            <w:r>
              <w:t>/</w:t>
            </w:r>
          </w:p>
        </w:tc>
      </w:tr>
      <w:tr w14:paraId="700A5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226" w:type="dxa"/>
            <w:vMerge w:val="continue"/>
            <w:tcBorders>
              <w:top w:val="nil"/>
            </w:tcBorders>
            <w:vAlign w:val="top"/>
          </w:tcPr>
          <w:p w14:paraId="79411B00">
            <w:pPr>
              <w:rPr>
                <w:rFonts w:ascii="Arial"/>
                <w:sz w:val="21"/>
              </w:rPr>
            </w:pPr>
          </w:p>
        </w:tc>
        <w:tc>
          <w:tcPr>
            <w:tcW w:w="2768" w:type="dxa"/>
            <w:vAlign w:val="top"/>
          </w:tcPr>
          <w:p w14:paraId="0C7619BF">
            <w:pPr>
              <w:pStyle w:val="6"/>
              <w:spacing w:before="67" w:line="220" w:lineRule="auto"/>
              <w:ind w:left="897"/>
            </w:pPr>
            <w:r>
              <w:rPr>
                <w:rFonts w:ascii="宋体" w:hAnsi="宋体" w:eastAsia="宋体" w:cs="宋体"/>
                <w:spacing w:val="-2"/>
              </w:rPr>
              <w:t>岸线方向</w:t>
            </w:r>
            <w:r>
              <w:rPr>
                <w:spacing w:val="-2"/>
              </w:rPr>
              <w:t>/°</w:t>
            </w:r>
          </w:p>
        </w:tc>
        <w:tc>
          <w:tcPr>
            <w:tcW w:w="3318" w:type="dxa"/>
            <w:vAlign w:val="top"/>
          </w:tcPr>
          <w:p w14:paraId="16FE11A2">
            <w:pPr>
              <w:pStyle w:val="6"/>
              <w:spacing w:before="100" w:line="192" w:lineRule="auto"/>
              <w:ind w:left="1627"/>
            </w:pPr>
            <w:r>
              <w:t>/</w:t>
            </w:r>
          </w:p>
        </w:tc>
      </w:tr>
    </w:tbl>
    <w:p w14:paraId="2102424F">
      <w:pPr>
        <w:spacing w:before="65" w:line="318" w:lineRule="auto"/>
        <w:ind w:left="31" w:right="28" w:firstLine="5"/>
        <w:jc w:val="both"/>
        <w:rPr>
          <w:rFonts w:ascii="宋体" w:hAnsi="宋体" w:eastAsia="宋体" w:cs="宋体"/>
          <w:sz w:val="18"/>
          <w:szCs w:val="18"/>
        </w:rPr>
      </w:pPr>
      <w:r>
        <w:rPr>
          <w:rFonts w:ascii="宋体" w:hAnsi="宋体" w:eastAsia="宋体" w:cs="宋体"/>
          <w:spacing w:val="-6"/>
          <w:sz w:val="18"/>
          <w:szCs w:val="18"/>
        </w:rPr>
        <w:t>注 ：</w:t>
      </w:r>
      <w:r>
        <w:rPr>
          <w:rFonts w:ascii="宋体" w:hAnsi="宋体" w:eastAsia="宋体" w:cs="宋体"/>
          <w:spacing w:val="-27"/>
          <w:sz w:val="18"/>
          <w:szCs w:val="18"/>
        </w:rPr>
        <w:t xml:space="preserve"> </w:t>
      </w:r>
      <w:r>
        <w:rPr>
          <w:rFonts w:ascii="宋体" w:hAnsi="宋体" w:eastAsia="宋体" w:cs="宋体"/>
          <w:spacing w:val="-6"/>
          <w:sz w:val="18"/>
          <w:szCs w:val="18"/>
        </w:rPr>
        <w:t>模</w:t>
      </w:r>
      <w:r>
        <w:rPr>
          <w:rFonts w:ascii="宋体" w:hAnsi="宋体" w:eastAsia="宋体" w:cs="宋体"/>
          <w:spacing w:val="-24"/>
          <w:sz w:val="18"/>
          <w:szCs w:val="18"/>
        </w:rPr>
        <w:t xml:space="preserve"> </w:t>
      </w:r>
      <w:r>
        <w:rPr>
          <w:rFonts w:ascii="宋体" w:hAnsi="宋体" w:eastAsia="宋体" w:cs="宋体"/>
          <w:spacing w:val="-6"/>
          <w:sz w:val="18"/>
          <w:szCs w:val="18"/>
        </w:rPr>
        <w:t>型</w:t>
      </w:r>
      <w:r>
        <w:rPr>
          <w:rFonts w:ascii="宋体" w:hAnsi="宋体" w:eastAsia="宋体" w:cs="宋体"/>
          <w:spacing w:val="-29"/>
          <w:sz w:val="18"/>
          <w:szCs w:val="18"/>
        </w:rPr>
        <w:t xml:space="preserve"> </w:t>
      </w:r>
      <w:r>
        <w:rPr>
          <w:rFonts w:ascii="宋体" w:hAnsi="宋体" w:eastAsia="宋体" w:cs="宋体"/>
          <w:spacing w:val="-6"/>
          <w:sz w:val="18"/>
          <w:szCs w:val="18"/>
        </w:rPr>
        <w:t>地</w:t>
      </w:r>
      <w:r>
        <w:rPr>
          <w:rFonts w:ascii="宋体" w:hAnsi="宋体" w:eastAsia="宋体" w:cs="宋体"/>
          <w:spacing w:val="-25"/>
          <w:sz w:val="18"/>
          <w:szCs w:val="18"/>
        </w:rPr>
        <w:t xml:space="preserve"> </w:t>
      </w:r>
      <w:r>
        <w:rPr>
          <w:rFonts w:ascii="宋体" w:hAnsi="宋体" w:eastAsia="宋体" w:cs="宋体"/>
          <w:spacing w:val="-6"/>
          <w:sz w:val="18"/>
          <w:szCs w:val="18"/>
        </w:rPr>
        <w:t>形</w:t>
      </w:r>
      <w:r>
        <w:rPr>
          <w:rFonts w:ascii="宋体" w:hAnsi="宋体" w:eastAsia="宋体" w:cs="宋体"/>
          <w:spacing w:val="-28"/>
          <w:sz w:val="18"/>
          <w:szCs w:val="18"/>
        </w:rPr>
        <w:t xml:space="preserve"> </w:t>
      </w:r>
      <w:r>
        <w:rPr>
          <w:rFonts w:ascii="宋体" w:hAnsi="宋体" w:eastAsia="宋体" w:cs="宋体"/>
          <w:spacing w:val="-6"/>
          <w:sz w:val="18"/>
          <w:szCs w:val="18"/>
        </w:rPr>
        <w:t>数</w:t>
      </w:r>
      <w:r>
        <w:rPr>
          <w:rFonts w:ascii="宋体" w:hAnsi="宋体" w:eastAsia="宋体" w:cs="宋体"/>
          <w:spacing w:val="-30"/>
          <w:sz w:val="18"/>
          <w:szCs w:val="18"/>
        </w:rPr>
        <w:t xml:space="preserve"> </w:t>
      </w:r>
      <w:r>
        <w:rPr>
          <w:rFonts w:ascii="宋体" w:hAnsi="宋体" w:eastAsia="宋体" w:cs="宋体"/>
          <w:spacing w:val="-6"/>
          <w:sz w:val="18"/>
          <w:szCs w:val="18"/>
        </w:rPr>
        <w:t>据</w:t>
      </w:r>
      <w:r>
        <w:rPr>
          <w:rFonts w:ascii="宋体" w:hAnsi="宋体" w:eastAsia="宋体" w:cs="宋体"/>
          <w:spacing w:val="-28"/>
          <w:sz w:val="18"/>
          <w:szCs w:val="18"/>
        </w:rPr>
        <w:t xml:space="preserve"> </w:t>
      </w:r>
      <w:r>
        <w:rPr>
          <w:rFonts w:ascii="宋体" w:hAnsi="宋体" w:eastAsia="宋体" w:cs="宋体"/>
          <w:spacing w:val="-6"/>
          <w:sz w:val="18"/>
          <w:szCs w:val="18"/>
        </w:rPr>
        <w:t>使</w:t>
      </w:r>
      <w:r>
        <w:rPr>
          <w:rFonts w:ascii="宋体" w:hAnsi="宋体" w:eastAsia="宋体" w:cs="宋体"/>
          <w:spacing w:val="-27"/>
          <w:sz w:val="18"/>
          <w:szCs w:val="18"/>
        </w:rPr>
        <w:t xml:space="preserve"> </w:t>
      </w:r>
      <w:r>
        <w:rPr>
          <w:rFonts w:ascii="宋体" w:hAnsi="宋体" w:eastAsia="宋体" w:cs="宋体"/>
          <w:spacing w:val="-6"/>
          <w:sz w:val="18"/>
          <w:szCs w:val="18"/>
        </w:rPr>
        <w:t>用</w:t>
      </w:r>
      <w:r>
        <w:rPr>
          <w:rFonts w:ascii="宋体" w:hAnsi="宋体" w:eastAsia="宋体" w:cs="宋体"/>
          <w:spacing w:val="-29"/>
          <w:sz w:val="18"/>
          <w:szCs w:val="18"/>
        </w:rPr>
        <w:t xml:space="preserve"> </w:t>
      </w:r>
      <w:r>
        <w:rPr>
          <w:rFonts w:ascii="宋体" w:hAnsi="宋体" w:eastAsia="宋体" w:cs="宋体"/>
          <w:spacing w:val="-6"/>
          <w:sz w:val="18"/>
          <w:szCs w:val="18"/>
        </w:rPr>
        <w:t>采</w:t>
      </w:r>
      <w:r>
        <w:rPr>
          <w:rFonts w:ascii="宋体" w:hAnsi="宋体" w:eastAsia="宋体" w:cs="宋体"/>
          <w:spacing w:val="-28"/>
          <w:sz w:val="18"/>
          <w:szCs w:val="18"/>
        </w:rPr>
        <w:t xml:space="preserve"> </w:t>
      </w:r>
      <w:r>
        <w:rPr>
          <w:rFonts w:ascii="宋体" w:hAnsi="宋体" w:eastAsia="宋体" w:cs="宋体"/>
          <w:spacing w:val="-6"/>
          <w:sz w:val="18"/>
          <w:szCs w:val="18"/>
        </w:rPr>
        <w:t>用</w:t>
      </w:r>
      <w:r>
        <w:rPr>
          <w:rFonts w:ascii="宋体" w:hAnsi="宋体" w:eastAsia="宋体" w:cs="宋体"/>
          <w:spacing w:val="-27"/>
          <w:sz w:val="18"/>
          <w:szCs w:val="18"/>
        </w:rPr>
        <w:t xml:space="preserve"> </w:t>
      </w:r>
      <w:r>
        <w:rPr>
          <w:rFonts w:ascii="宋体" w:hAnsi="宋体" w:eastAsia="宋体" w:cs="宋体"/>
          <w:spacing w:val="-6"/>
          <w:sz w:val="18"/>
          <w:szCs w:val="18"/>
        </w:rPr>
        <w:t>美 国</w:t>
      </w:r>
      <w:r>
        <w:rPr>
          <w:rFonts w:ascii="宋体" w:hAnsi="宋体" w:eastAsia="宋体" w:cs="宋体"/>
          <w:spacing w:val="52"/>
          <w:sz w:val="18"/>
          <w:szCs w:val="18"/>
        </w:rPr>
        <w:t xml:space="preserve"> </w:t>
      </w:r>
      <w:r>
        <w:rPr>
          <w:rFonts w:ascii="Times New Roman" w:hAnsi="Times New Roman" w:eastAsia="Times New Roman" w:cs="Times New Roman"/>
          <w:spacing w:val="-6"/>
          <w:sz w:val="18"/>
          <w:szCs w:val="18"/>
        </w:rPr>
        <w:t xml:space="preserve">NASA   2000   </w:t>
      </w:r>
      <w:r>
        <w:rPr>
          <w:rFonts w:ascii="宋体" w:hAnsi="宋体" w:eastAsia="宋体" w:cs="宋体"/>
          <w:spacing w:val="-6"/>
          <w:sz w:val="18"/>
          <w:szCs w:val="18"/>
        </w:rPr>
        <w:t xml:space="preserve">年 的  </w:t>
      </w:r>
      <w:r>
        <w:rPr>
          <w:rFonts w:ascii="Times New Roman" w:hAnsi="Times New Roman" w:eastAsia="Times New Roman" w:cs="Times New Roman"/>
          <w:spacing w:val="-6"/>
          <w:sz w:val="18"/>
          <w:szCs w:val="18"/>
        </w:rPr>
        <w:t xml:space="preserve">SRTM90m   </w:t>
      </w:r>
      <w:r>
        <w:rPr>
          <w:rFonts w:ascii="宋体" w:hAnsi="宋体" w:eastAsia="宋体" w:cs="宋体"/>
          <w:spacing w:val="-6"/>
          <w:sz w:val="18"/>
          <w:szCs w:val="18"/>
        </w:rPr>
        <w:t>数</w:t>
      </w:r>
      <w:r>
        <w:rPr>
          <w:rFonts w:ascii="宋体" w:hAnsi="宋体" w:eastAsia="宋体" w:cs="宋体"/>
          <w:spacing w:val="-29"/>
          <w:sz w:val="18"/>
          <w:szCs w:val="18"/>
        </w:rPr>
        <w:t xml:space="preserve"> </w:t>
      </w:r>
      <w:r>
        <w:rPr>
          <w:rFonts w:ascii="宋体" w:hAnsi="宋体" w:eastAsia="宋体" w:cs="宋体"/>
          <w:spacing w:val="-6"/>
          <w:sz w:val="18"/>
          <w:szCs w:val="18"/>
        </w:rPr>
        <w:t>字</w:t>
      </w:r>
      <w:r>
        <w:rPr>
          <w:rFonts w:ascii="宋体" w:hAnsi="宋体" w:eastAsia="宋体" w:cs="宋体"/>
          <w:spacing w:val="-24"/>
          <w:sz w:val="18"/>
          <w:szCs w:val="18"/>
        </w:rPr>
        <w:t xml:space="preserve"> </w:t>
      </w:r>
      <w:r>
        <w:rPr>
          <w:rFonts w:ascii="宋体" w:hAnsi="宋体" w:eastAsia="宋体" w:cs="宋体"/>
          <w:spacing w:val="-6"/>
          <w:sz w:val="18"/>
          <w:szCs w:val="18"/>
        </w:rPr>
        <w:t>高</w:t>
      </w:r>
      <w:r>
        <w:rPr>
          <w:rFonts w:ascii="宋体" w:hAnsi="宋体" w:eastAsia="宋体" w:cs="宋体"/>
          <w:spacing w:val="-28"/>
          <w:sz w:val="18"/>
          <w:szCs w:val="18"/>
        </w:rPr>
        <w:t xml:space="preserve"> </w:t>
      </w:r>
      <w:r>
        <w:rPr>
          <w:rFonts w:ascii="宋体" w:hAnsi="宋体" w:eastAsia="宋体" w:cs="宋体"/>
          <w:spacing w:val="-6"/>
          <w:sz w:val="18"/>
          <w:szCs w:val="18"/>
        </w:rPr>
        <w:t>程</w:t>
      </w:r>
      <w:r>
        <w:rPr>
          <w:rFonts w:ascii="宋体" w:hAnsi="宋体" w:eastAsia="宋体" w:cs="宋体"/>
          <w:spacing w:val="-29"/>
          <w:sz w:val="18"/>
          <w:szCs w:val="18"/>
        </w:rPr>
        <w:t xml:space="preserve"> </w:t>
      </w:r>
      <w:r>
        <w:rPr>
          <w:rFonts w:ascii="宋体" w:hAnsi="宋体" w:eastAsia="宋体" w:cs="宋体"/>
          <w:spacing w:val="-6"/>
          <w:sz w:val="18"/>
          <w:szCs w:val="18"/>
        </w:rPr>
        <w:t>地</w:t>
      </w:r>
      <w:r>
        <w:rPr>
          <w:rFonts w:ascii="宋体" w:hAnsi="宋体" w:eastAsia="宋体" w:cs="宋体"/>
          <w:spacing w:val="-27"/>
          <w:sz w:val="18"/>
          <w:szCs w:val="18"/>
        </w:rPr>
        <w:t xml:space="preserve"> </w:t>
      </w:r>
      <w:r>
        <w:rPr>
          <w:rFonts w:ascii="宋体" w:hAnsi="宋体" w:eastAsia="宋体" w:cs="宋体"/>
          <w:spacing w:val="-6"/>
          <w:sz w:val="18"/>
          <w:szCs w:val="18"/>
        </w:rPr>
        <w:t>形</w:t>
      </w:r>
      <w:r>
        <w:rPr>
          <w:rFonts w:ascii="宋体" w:hAnsi="宋体" w:eastAsia="宋体" w:cs="宋体"/>
          <w:spacing w:val="-27"/>
          <w:sz w:val="18"/>
          <w:szCs w:val="18"/>
        </w:rPr>
        <w:t xml:space="preserve"> </w:t>
      </w:r>
      <w:r>
        <w:rPr>
          <w:rFonts w:ascii="宋体" w:hAnsi="宋体" w:eastAsia="宋体" w:cs="宋体"/>
          <w:spacing w:val="-6"/>
          <w:sz w:val="18"/>
          <w:szCs w:val="18"/>
        </w:rPr>
        <w:t>数</w:t>
      </w:r>
      <w:r>
        <w:rPr>
          <w:rFonts w:ascii="宋体" w:hAnsi="宋体" w:eastAsia="宋体" w:cs="宋体"/>
          <w:spacing w:val="-30"/>
          <w:sz w:val="18"/>
          <w:szCs w:val="18"/>
        </w:rPr>
        <w:t xml:space="preserve"> </w:t>
      </w:r>
      <w:r>
        <w:rPr>
          <w:rFonts w:ascii="宋体" w:hAnsi="宋体" w:eastAsia="宋体" w:cs="宋体"/>
          <w:spacing w:val="-6"/>
          <w:sz w:val="18"/>
          <w:szCs w:val="18"/>
        </w:rPr>
        <w:t>据 。 由</w:t>
      </w:r>
      <w:r>
        <w:fldChar w:fldCharType="begin"/>
      </w:r>
      <w:r>
        <w:instrText xml:space="preserve"> HYPERLINK "http://srtm.csi.cgiar.org/SRT-ZIP/SRTM_v41/SRTM_Data_ArcASCII/srtm_58_07.zip" </w:instrText>
      </w:r>
      <w:r>
        <w:fldChar w:fldCharType="separate"/>
      </w:r>
      <w:r>
        <w:rPr>
          <w:rFonts w:ascii="Times New Roman" w:hAnsi="Times New Roman" w:eastAsia="Times New Roman" w:cs="Times New Roman"/>
          <w:sz w:val="18"/>
          <w:szCs w:val="18"/>
        </w:rPr>
        <w:t>http://srtm.csi.cgiar.org/SRT-ZIP/SRTM_v41/SRTM_Data_ArcASCII/srtm_58_07.zip</w:t>
      </w:r>
      <w:r>
        <w:rPr>
          <w:rFonts w:ascii="Times New Roman" w:hAnsi="Times New Roman" w:eastAsia="Times New Roman" w:cs="Times New Roman"/>
          <w:sz w:val="18"/>
          <w:szCs w:val="18"/>
        </w:rPr>
        <w:fldChar w:fldCharType="end"/>
      </w:r>
      <w:r>
        <w:rPr>
          <w:rFonts w:ascii="Times New Roman" w:hAnsi="Times New Roman" w:eastAsia="Times New Roman" w:cs="Times New Roman"/>
          <w:spacing w:val="19"/>
          <w:sz w:val="18"/>
          <w:szCs w:val="18"/>
        </w:rPr>
        <w:t xml:space="preserve"> </w:t>
      </w:r>
      <w:r>
        <w:rPr>
          <w:rFonts w:ascii="宋体" w:hAnsi="宋体" w:eastAsia="宋体" w:cs="宋体"/>
          <w:spacing w:val="-1"/>
          <w:sz w:val="18"/>
          <w:szCs w:val="18"/>
        </w:rPr>
        <w:t>提供。文件范围为以项目</w:t>
      </w:r>
      <w:r>
        <w:rPr>
          <w:rFonts w:ascii="宋体" w:hAnsi="宋体" w:eastAsia="宋体" w:cs="宋体"/>
          <w:spacing w:val="-2"/>
          <w:sz w:val="18"/>
          <w:szCs w:val="18"/>
        </w:rPr>
        <w:t>为中心</w:t>
      </w:r>
      <w:r>
        <w:rPr>
          <w:rFonts w:ascii="宋体" w:hAnsi="宋体" w:eastAsia="宋体" w:cs="宋体"/>
          <w:spacing w:val="-27"/>
          <w:sz w:val="18"/>
          <w:szCs w:val="18"/>
        </w:rPr>
        <w:t xml:space="preserve"> </w:t>
      </w:r>
      <w:r>
        <w:rPr>
          <w:rFonts w:ascii="Times New Roman" w:hAnsi="Times New Roman" w:eastAsia="Times New Roman" w:cs="Times New Roman"/>
          <w:spacing w:val="-2"/>
          <w:sz w:val="18"/>
          <w:szCs w:val="18"/>
        </w:rPr>
        <w:t>50km×50km</w:t>
      </w:r>
      <w:r>
        <w:rPr>
          <w:rFonts w:ascii="Times New Roman" w:hAnsi="Times New Roman" w:eastAsia="Times New Roman" w:cs="Times New Roman"/>
          <w:spacing w:val="20"/>
          <w:w w:val="101"/>
          <w:sz w:val="18"/>
          <w:szCs w:val="18"/>
        </w:rPr>
        <w:t xml:space="preserve"> </w:t>
      </w:r>
      <w:r>
        <w:rPr>
          <w:rFonts w:ascii="宋体" w:hAnsi="宋体" w:eastAsia="宋体" w:cs="宋体"/>
          <w:spacing w:val="-2"/>
          <w:sz w:val="18"/>
          <w:szCs w:val="18"/>
        </w:rPr>
        <w:t>的范围，分辨率为</w:t>
      </w:r>
      <w:r>
        <w:rPr>
          <w:rFonts w:ascii="宋体" w:hAnsi="宋体" w:eastAsia="宋体" w:cs="宋体"/>
          <w:spacing w:val="-39"/>
          <w:sz w:val="18"/>
          <w:szCs w:val="18"/>
        </w:rPr>
        <w:t xml:space="preserve"> </w:t>
      </w:r>
      <w:r>
        <w:rPr>
          <w:rFonts w:ascii="Times New Roman" w:hAnsi="Times New Roman" w:eastAsia="Times New Roman" w:cs="Times New Roman"/>
          <w:spacing w:val="-2"/>
          <w:sz w:val="18"/>
          <w:szCs w:val="18"/>
        </w:rPr>
        <w:t>90m</w:t>
      </w:r>
      <w:r>
        <w:rPr>
          <w:rFonts w:ascii="宋体" w:hAnsi="宋体" w:eastAsia="宋体" w:cs="宋体"/>
          <w:spacing w:val="-2"/>
          <w:sz w:val="18"/>
          <w:szCs w:val="18"/>
        </w:rPr>
        <w:t>。</w:t>
      </w:r>
    </w:p>
    <w:p w14:paraId="6D157563">
      <w:pPr>
        <w:spacing w:before="175" w:line="219" w:lineRule="auto"/>
        <w:ind w:left="520"/>
        <w:rPr>
          <w:rFonts w:ascii="宋体" w:hAnsi="宋体" w:eastAsia="宋体" w:cs="宋体"/>
          <w:sz w:val="24"/>
          <w:szCs w:val="24"/>
        </w:rPr>
      </w:pPr>
      <w:r>
        <w:rPr>
          <w:rFonts w:ascii="宋体" w:hAnsi="宋体" w:eastAsia="宋体" w:cs="宋体"/>
          <w:spacing w:val="-2"/>
          <w:sz w:val="24"/>
          <w:szCs w:val="24"/>
        </w:rPr>
        <w:t>本次预测软件采用“环安大气</w:t>
      </w:r>
      <w:r>
        <w:rPr>
          <w:rFonts w:ascii="Times New Roman" w:hAnsi="Times New Roman" w:eastAsia="Times New Roman" w:cs="Times New Roman"/>
          <w:spacing w:val="-2"/>
          <w:sz w:val="24"/>
          <w:szCs w:val="24"/>
        </w:rPr>
        <w:t>AERSCREEN</w:t>
      </w:r>
      <w:r>
        <w:rPr>
          <w:rFonts w:ascii="宋体" w:hAnsi="宋体" w:eastAsia="宋体" w:cs="宋体"/>
          <w:spacing w:val="-2"/>
          <w:sz w:val="24"/>
          <w:szCs w:val="24"/>
        </w:rPr>
        <w:t>计算系统”，输入参数如下：</w:t>
      </w:r>
    </w:p>
    <w:p w14:paraId="662AC344">
      <w:pPr>
        <w:spacing w:line="219" w:lineRule="auto"/>
        <w:rPr>
          <w:rFonts w:ascii="宋体" w:hAnsi="宋体" w:eastAsia="宋体" w:cs="宋体"/>
          <w:sz w:val="24"/>
          <w:szCs w:val="24"/>
        </w:rPr>
        <w:sectPr>
          <w:footerReference r:id="rId296" w:type="default"/>
          <w:pgSz w:w="11905" w:h="16840"/>
          <w:pgMar w:top="1168" w:right="1768" w:bottom="1409" w:left="1770" w:header="828" w:footer="1244" w:gutter="0"/>
          <w:cols w:space="720" w:num="1"/>
        </w:sectPr>
      </w:pPr>
    </w:p>
    <w:p w14:paraId="0B11439C">
      <w:pPr>
        <w:pStyle w:val="2"/>
        <w:spacing w:line="261" w:lineRule="auto"/>
      </w:pPr>
    </w:p>
    <w:p w14:paraId="497CC1C6">
      <w:pPr>
        <w:spacing w:line="13601" w:lineRule="exact"/>
        <w:ind w:firstLine="21"/>
      </w:pPr>
      <w:r>
        <w:rPr>
          <w:position w:val="-272"/>
        </w:rPr>
        <w:drawing>
          <wp:inline distT="0" distB="0" distL="0" distR="0">
            <wp:extent cx="5283200" cy="86360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566"/>
                    <a:stretch>
                      <a:fillRect/>
                    </a:stretch>
                  </pic:blipFill>
                  <pic:spPr>
                    <a:xfrm>
                      <a:off x="0" y="0"/>
                      <a:ext cx="5283707" cy="8636507"/>
                    </a:xfrm>
                    <a:prstGeom prst="rect">
                      <a:avLst/>
                    </a:prstGeom>
                  </pic:spPr>
                </pic:pic>
              </a:graphicData>
            </a:graphic>
          </wp:inline>
        </w:drawing>
      </w:r>
    </w:p>
    <w:p w14:paraId="0F21EBEF">
      <w:pPr>
        <w:spacing w:before="23" w:line="220" w:lineRule="auto"/>
        <w:ind w:left="2750"/>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8"/>
          <w:sz w:val="21"/>
          <w:szCs w:val="21"/>
        </w:rPr>
        <w:t xml:space="preserve"> </w:t>
      </w:r>
      <w:r>
        <w:rPr>
          <w:rFonts w:ascii="Times New Roman" w:hAnsi="Times New Roman" w:eastAsia="Times New Roman" w:cs="Times New Roman"/>
          <w:spacing w:val="-2"/>
          <w:sz w:val="21"/>
          <w:szCs w:val="21"/>
        </w:rPr>
        <w:t xml:space="preserve">4.2-1  </w:t>
      </w:r>
      <w:r>
        <w:rPr>
          <w:rFonts w:ascii="黑体" w:hAnsi="黑体" w:eastAsia="黑体" w:cs="黑体"/>
          <w:spacing w:val="-2"/>
          <w:sz w:val="21"/>
          <w:szCs w:val="21"/>
        </w:rPr>
        <w:t>大气预测参数输入截屏</w:t>
      </w:r>
    </w:p>
    <w:p w14:paraId="1EB9F024">
      <w:pPr>
        <w:spacing w:line="220" w:lineRule="auto"/>
        <w:rPr>
          <w:rFonts w:ascii="黑体" w:hAnsi="黑体" w:eastAsia="黑体" w:cs="黑体"/>
          <w:sz w:val="21"/>
          <w:szCs w:val="21"/>
        </w:rPr>
        <w:sectPr>
          <w:headerReference r:id="rId297" w:type="default"/>
          <w:footerReference r:id="rId298" w:type="default"/>
          <w:pgSz w:w="11905" w:h="16840"/>
          <w:pgMar w:top="1168" w:right="1768" w:bottom="1409" w:left="1770" w:header="828" w:footer="1244" w:gutter="0"/>
          <w:cols w:space="720" w:num="1"/>
        </w:sectPr>
      </w:pPr>
    </w:p>
    <w:p w14:paraId="25E4F21B">
      <w:pPr>
        <w:pStyle w:val="2"/>
        <w:spacing w:line="353" w:lineRule="auto"/>
      </w:pPr>
    </w:p>
    <w:p w14:paraId="055DA507">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4.2.1.4 </w:t>
      </w:r>
      <w:r>
        <w:rPr>
          <w:rFonts w:ascii="宋体" w:hAnsi="宋体" w:eastAsia="宋体" w:cs="宋体"/>
          <w:b/>
          <w:bCs/>
          <w:spacing w:val="5"/>
          <w:sz w:val="27"/>
          <w:szCs w:val="27"/>
        </w:rPr>
        <w:t>污染源计算结果</w:t>
      </w:r>
    </w:p>
    <w:p w14:paraId="1CC6F7B4">
      <w:pPr>
        <w:spacing w:before="234" w:line="361" w:lineRule="auto"/>
        <w:ind w:left="43" w:firstLine="477"/>
        <w:jc w:val="both"/>
        <w:rPr>
          <w:rFonts w:ascii="宋体" w:hAnsi="宋体" w:eastAsia="宋体" w:cs="宋体"/>
          <w:sz w:val="24"/>
          <w:szCs w:val="24"/>
        </w:rPr>
      </w:pPr>
      <w:r>
        <w:rPr>
          <w:rFonts w:ascii="宋体" w:hAnsi="宋体" w:eastAsia="宋体" w:cs="宋体"/>
          <w:spacing w:val="-2"/>
          <w:sz w:val="24"/>
          <w:szCs w:val="24"/>
        </w:rPr>
        <w:t>本次评价采用</w:t>
      </w:r>
      <w:r>
        <w:rPr>
          <w:rFonts w:ascii="Times New Roman" w:hAnsi="Times New Roman" w:eastAsia="Times New Roman" w:cs="Times New Roman"/>
          <w:spacing w:val="-2"/>
          <w:sz w:val="24"/>
          <w:szCs w:val="24"/>
        </w:rPr>
        <w:t>AERSCREEN</w:t>
      </w:r>
      <w:r>
        <w:rPr>
          <w:rFonts w:ascii="宋体" w:hAnsi="宋体" w:eastAsia="宋体" w:cs="宋体"/>
          <w:spacing w:val="-2"/>
          <w:sz w:val="24"/>
          <w:szCs w:val="24"/>
        </w:rPr>
        <w:t>估算模型对本项目废气污染源进行预测，预测结</w:t>
      </w:r>
      <w:r>
        <w:rPr>
          <w:rFonts w:ascii="宋体" w:hAnsi="宋体" w:eastAsia="宋体" w:cs="宋体"/>
          <w:spacing w:val="2"/>
          <w:sz w:val="24"/>
          <w:szCs w:val="24"/>
        </w:rPr>
        <w:t xml:space="preserve"> </w:t>
      </w:r>
      <w:r>
        <w:rPr>
          <w:rFonts w:ascii="宋体" w:hAnsi="宋体" w:eastAsia="宋体" w:cs="宋体"/>
          <w:spacing w:val="-11"/>
          <w:sz w:val="24"/>
          <w:szCs w:val="24"/>
        </w:rPr>
        <w:t>果分别见下表，根据预测结果及《环境影响评价技术导则</w:t>
      </w:r>
      <w:r>
        <w:rPr>
          <w:rFonts w:ascii="宋体" w:hAnsi="宋体" w:eastAsia="宋体" w:cs="宋体"/>
          <w:spacing w:val="51"/>
          <w:sz w:val="24"/>
          <w:szCs w:val="24"/>
        </w:rPr>
        <w:t xml:space="preserve"> </w:t>
      </w:r>
      <w:r>
        <w:rPr>
          <w:rFonts w:ascii="宋体" w:hAnsi="宋体" w:eastAsia="宋体" w:cs="宋体"/>
          <w:spacing w:val="-11"/>
          <w:sz w:val="24"/>
          <w:szCs w:val="24"/>
        </w:rPr>
        <w:t>大气环境》（</w:t>
      </w:r>
      <w:r>
        <w:rPr>
          <w:rFonts w:ascii="Times New Roman" w:hAnsi="Times New Roman" w:eastAsia="Times New Roman" w:cs="Times New Roman"/>
          <w:spacing w:val="-11"/>
          <w:sz w:val="24"/>
          <w:szCs w:val="24"/>
        </w:rPr>
        <w:t>HJ2.2-2018</w:t>
      </w:r>
      <w:r>
        <w:rPr>
          <w:rFonts w:ascii="宋体" w:hAnsi="宋体" w:eastAsia="宋体" w:cs="宋体"/>
          <w:spacing w:val="-11"/>
          <w:sz w:val="24"/>
          <w:szCs w:val="24"/>
        </w:rPr>
        <w:t>）</w:t>
      </w:r>
      <w:r>
        <w:rPr>
          <w:rFonts w:ascii="宋体" w:hAnsi="宋体" w:eastAsia="宋体" w:cs="宋体"/>
          <w:spacing w:val="-3"/>
          <w:sz w:val="24"/>
          <w:szCs w:val="24"/>
        </w:rPr>
        <w:t>中评价工作等级划分规定，本项目大气环境影响评价等级为二级，二级评</w:t>
      </w:r>
      <w:r>
        <w:rPr>
          <w:rFonts w:ascii="宋体" w:hAnsi="宋体" w:eastAsia="宋体" w:cs="宋体"/>
          <w:spacing w:val="-4"/>
          <w:sz w:val="24"/>
          <w:szCs w:val="24"/>
        </w:rPr>
        <w:t>价项目不进行进一步预测与评价。</w:t>
      </w:r>
    </w:p>
    <w:p w14:paraId="4324766B">
      <w:pPr>
        <w:spacing w:before="10"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5"/>
          <w:sz w:val="21"/>
          <w:szCs w:val="21"/>
        </w:rPr>
        <w:t xml:space="preserve"> </w:t>
      </w:r>
      <w:r>
        <w:rPr>
          <w:rFonts w:ascii="Times New Roman" w:hAnsi="Times New Roman" w:eastAsia="Times New Roman" w:cs="Times New Roman"/>
          <w:spacing w:val="-1"/>
          <w:sz w:val="21"/>
          <w:szCs w:val="21"/>
        </w:rPr>
        <w:t xml:space="preserve">4.2-6  </w:t>
      </w:r>
      <w:r>
        <w:rPr>
          <w:rFonts w:ascii="黑体" w:hAnsi="黑体" w:eastAsia="黑体" w:cs="黑体"/>
          <w:spacing w:val="-1"/>
          <w:sz w:val="21"/>
          <w:szCs w:val="21"/>
        </w:rPr>
        <w:t>育肥楼体源预测结果表</w:t>
      </w:r>
    </w:p>
    <w:p w14:paraId="7340B3AA">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047A7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43298529">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46D2A7FD">
            <w:pPr>
              <w:spacing w:before="63" w:line="219" w:lineRule="auto"/>
              <w:ind w:left="2733"/>
              <w:rPr>
                <w:rFonts w:ascii="宋体" w:hAnsi="宋体" w:eastAsia="宋体" w:cs="宋体"/>
                <w:sz w:val="21"/>
                <w:szCs w:val="21"/>
              </w:rPr>
            </w:pPr>
            <w:r>
              <w:rPr>
                <w:rFonts w:ascii="宋体" w:hAnsi="宋体" w:eastAsia="宋体" w:cs="宋体"/>
                <w:spacing w:val="-3"/>
                <w:sz w:val="21"/>
                <w:szCs w:val="21"/>
              </w:rPr>
              <w:t>育肥楼体源</w:t>
            </w:r>
          </w:p>
        </w:tc>
      </w:tr>
      <w:tr w14:paraId="36B61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Merge w:val="continue"/>
            <w:tcBorders>
              <w:top w:val="nil"/>
            </w:tcBorders>
            <w:vAlign w:val="top"/>
          </w:tcPr>
          <w:p w14:paraId="5C7ECCF2">
            <w:pPr>
              <w:rPr>
                <w:rFonts w:ascii="Arial"/>
                <w:sz w:val="21"/>
              </w:rPr>
            </w:pPr>
          </w:p>
        </w:tc>
        <w:tc>
          <w:tcPr>
            <w:tcW w:w="1708" w:type="dxa"/>
            <w:vAlign w:val="top"/>
          </w:tcPr>
          <w:p w14:paraId="0A5E36D8">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324155B5">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487F545E">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5F3C4154">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0DD47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A114B5C">
            <w:pPr>
              <w:pStyle w:val="6"/>
              <w:spacing w:before="98" w:line="188" w:lineRule="auto"/>
              <w:ind w:left="693"/>
            </w:pPr>
            <w:r>
              <w:rPr>
                <w:spacing w:val="-5"/>
              </w:rPr>
              <w:t>100.0</w:t>
            </w:r>
          </w:p>
        </w:tc>
        <w:tc>
          <w:tcPr>
            <w:tcW w:w="1708" w:type="dxa"/>
            <w:vAlign w:val="top"/>
          </w:tcPr>
          <w:p w14:paraId="2BB8CFA5">
            <w:pPr>
              <w:pStyle w:val="6"/>
              <w:spacing w:before="98" w:line="188" w:lineRule="auto"/>
              <w:ind w:left="532"/>
            </w:pPr>
            <w:r>
              <w:rPr>
                <w:spacing w:val="-4"/>
              </w:rPr>
              <w:t>18.2660</w:t>
            </w:r>
          </w:p>
        </w:tc>
        <w:tc>
          <w:tcPr>
            <w:tcW w:w="1537" w:type="dxa"/>
            <w:vAlign w:val="top"/>
          </w:tcPr>
          <w:p w14:paraId="3F705B66">
            <w:pPr>
              <w:pStyle w:val="6"/>
              <w:spacing w:before="98" w:line="188" w:lineRule="auto"/>
              <w:ind w:left="485"/>
            </w:pPr>
            <w:r>
              <w:rPr>
                <w:spacing w:val="-2"/>
              </w:rPr>
              <w:t>9.1330</w:t>
            </w:r>
          </w:p>
        </w:tc>
        <w:tc>
          <w:tcPr>
            <w:tcW w:w="1708" w:type="dxa"/>
            <w:vAlign w:val="top"/>
          </w:tcPr>
          <w:p w14:paraId="008C769C">
            <w:pPr>
              <w:pStyle w:val="6"/>
              <w:spacing w:before="98" w:line="188" w:lineRule="auto"/>
              <w:ind w:left="570"/>
            </w:pPr>
            <w:r>
              <w:rPr>
                <w:spacing w:val="-2"/>
              </w:rPr>
              <w:t>0.7229</w:t>
            </w:r>
          </w:p>
        </w:tc>
        <w:tc>
          <w:tcPr>
            <w:tcW w:w="1540" w:type="dxa"/>
            <w:vAlign w:val="top"/>
          </w:tcPr>
          <w:p w14:paraId="011B6411">
            <w:pPr>
              <w:pStyle w:val="6"/>
              <w:spacing w:before="98" w:line="188" w:lineRule="auto"/>
              <w:ind w:left="485"/>
            </w:pPr>
            <w:r>
              <w:rPr>
                <w:spacing w:val="-2"/>
              </w:rPr>
              <w:t>7.2293</w:t>
            </w:r>
          </w:p>
        </w:tc>
      </w:tr>
      <w:tr w14:paraId="2AF3E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4DB8E225">
            <w:pPr>
              <w:pStyle w:val="6"/>
              <w:spacing w:before="99" w:line="188" w:lineRule="auto"/>
              <w:ind w:left="673"/>
            </w:pPr>
            <w:r>
              <w:rPr>
                <w:spacing w:val="-1"/>
              </w:rPr>
              <w:t>200.0</w:t>
            </w:r>
          </w:p>
        </w:tc>
        <w:tc>
          <w:tcPr>
            <w:tcW w:w="1708" w:type="dxa"/>
            <w:vAlign w:val="top"/>
          </w:tcPr>
          <w:p w14:paraId="0AA286B8">
            <w:pPr>
              <w:pStyle w:val="6"/>
              <w:spacing w:before="99" w:line="188" w:lineRule="auto"/>
              <w:ind w:left="532"/>
            </w:pPr>
            <w:r>
              <w:rPr>
                <w:spacing w:val="-4"/>
              </w:rPr>
              <w:t>13.2600</w:t>
            </w:r>
          </w:p>
        </w:tc>
        <w:tc>
          <w:tcPr>
            <w:tcW w:w="1537" w:type="dxa"/>
            <w:vAlign w:val="top"/>
          </w:tcPr>
          <w:p w14:paraId="155D7EEA">
            <w:pPr>
              <w:pStyle w:val="6"/>
              <w:spacing w:before="99" w:line="188" w:lineRule="auto"/>
              <w:ind w:left="485"/>
            </w:pPr>
            <w:r>
              <w:rPr>
                <w:spacing w:val="-2"/>
              </w:rPr>
              <w:t>6.6300</w:t>
            </w:r>
          </w:p>
        </w:tc>
        <w:tc>
          <w:tcPr>
            <w:tcW w:w="1708" w:type="dxa"/>
            <w:vAlign w:val="top"/>
          </w:tcPr>
          <w:p w14:paraId="185576BC">
            <w:pPr>
              <w:pStyle w:val="6"/>
              <w:spacing w:before="99" w:line="188" w:lineRule="auto"/>
              <w:ind w:left="570"/>
            </w:pPr>
            <w:r>
              <w:rPr>
                <w:spacing w:val="-2"/>
              </w:rPr>
              <w:t>0.5248</w:t>
            </w:r>
          </w:p>
        </w:tc>
        <w:tc>
          <w:tcPr>
            <w:tcW w:w="1540" w:type="dxa"/>
            <w:vAlign w:val="top"/>
          </w:tcPr>
          <w:p w14:paraId="3CACE0F3">
            <w:pPr>
              <w:pStyle w:val="6"/>
              <w:spacing w:before="99" w:line="188" w:lineRule="auto"/>
              <w:ind w:left="488"/>
            </w:pPr>
            <w:r>
              <w:rPr>
                <w:spacing w:val="-2"/>
              </w:rPr>
              <w:t>5.2480</w:t>
            </w:r>
          </w:p>
        </w:tc>
      </w:tr>
      <w:tr w14:paraId="1F580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B112E28">
            <w:pPr>
              <w:pStyle w:val="6"/>
              <w:spacing w:before="99" w:line="188" w:lineRule="auto"/>
              <w:ind w:left="678"/>
            </w:pPr>
            <w:r>
              <w:rPr>
                <w:spacing w:val="-2"/>
              </w:rPr>
              <w:t>300.0</w:t>
            </w:r>
          </w:p>
        </w:tc>
        <w:tc>
          <w:tcPr>
            <w:tcW w:w="1708" w:type="dxa"/>
            <w:vAlign w:val="top"/>
          </w:tcPr>
          <w:p w14:paraId="32645E5A">
            <w:pPr>
              <w:pStyle w:val="6"/>
              <w:spacing w:before="99" w:line="188" w:lineRule="auto"/>
              <w:ind w:left="532"/>
            </w:pPr>
            <w:r>
              <w:rPr>
                <w:spacing w:val="-4"/>
              </w:rPr>
              <w:t>10.7030</w:t>
            </w:r>
          </w:p>
        </w:tc>
        <w:tc>
          <w:tcPr>
            <w:tcW w:w="1537" w:type="dxa"/>
            <w:vAlign w:val="top"/>
          </w:tcPr>
          <w:p w14:paraId="50869F3B">
            <w:pPr>
              <w:pStyle w:val="6"/>
              <w:spacing w:before="99" w:line="188" w:lineRule="auto"/>
              <w:ind w:left="487"/>
            </w:pPr>
            <w:r>
              <w:rPr>
                <w:spacing w:val="-2"/>
              </w:rPr>
              <w:t>5.3515</w:t>
            </w:r>
          </w:p>
        </w:tc>
        <w:tc>
          <w:tcPr>
            <w:tcW w:w="1708" w:type="dxa"/>
            <w:vAlign w:val="top"/>
          </w:tcPr>
          <w:p w14:paraId="64830EAE">
            <w:pPr>
              <w:pStyle w:val="6"/>
              <w:spacing w:before="99" w:line="188" w:lineRule="auto"/>
              <w:ind w:left="570"/>
            </w:pPr>
            <w:r>
              <w:rPr>
                <w:spacing w:val="-2"/>
              </w:rPr>
              <w:t>0.4236</w:t>
            </w:r>
          </w:p>
        </w:tc>
        <w:tc>
          <w:tcPr>
            <w:tcW w:w="1540" w:type="dxa"/>
            <w:vAlign w:val="top"/>
          </w:tcPr>
          <w:p w14:paraId="5CE37931">
            <w:pPr>
              <w:pStyle w:val="6"/>
              <w:spacing w:before="99" w:line="188" w:lineRule="auto"/>
              <w:ind w:left="481"/>
            </w:pPr>
            <w:r>
              <w:rPr>
                <w:spacing w:val="-1"/>
              </w:rPr>
              <w:t>4.2360</w:t>
            </w:r>
          </w:p>
        </w:tc>
      </w:tr>
      <w:tr w14:paraId="52533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1578091B">
            <w:pPr>
              <w:pStyle w:val="6"/>
              <w:spacing w:before="100" w:line="188" w:lineRule="auto"/>
              <w:ind w:left="672"/>
            </w:pPr>
            <w:r>
              <w:rPr>
                <w:spacing w:val="-1"/>
              </w:rPr>
              <w:t>400.0</w:t>
            </w:r>
          </w:p>
        </w:tc>
        <w:tc>
          <w:tcPr>
            <w:tcW w:w="1708" w:type="dxa"/>
            <w:vAlign w:val="top"/>
          </w:tcPr>
          <w:p w14:paraId="40D62461">
            <w:pPr>
              <w:pStyle w:val="6"/>
              <w:spacing w:before="100" w:line="188" w:lineRule="auto"/>
              <w:ind w:left="573"/>
            </w:pPr>
            <w:r>
              <w:rPr>
                <w:spacing w:val="-3"/>
              </w:rPr>
              <w:t>8.9809</w:t>
            </w:r>
          </w:p>
        </w:tc>
        <w:tc>
          <w:tcPr>
            <w:tcW w:w="1537" w:type="dxa"/>
            <w:vAlign w:val="top"/>
          </w:tcPr>
          <w:p w14:paraId="0B41E058">
            <w:pPr>
              <w:pStyle w:val="6"/>
              <w:spacing w:before="100" w:line="188" w:lineRule="auto"/>
              <w:ind w:left="480"/>
            </w:pPr>
            <w:r>
              <w:rPr>
                <w:spacing w:val="-1"/>
              </w:rPr>
              <w:t>4.4905</w:t>
            </w:r>
          </w:p>
        </w:tc>
        <w:tc>
          <w:tcPr>
            <w:tcW w:w="1708" w:type="dxa"/>
            <w:vAlign w:val="top"/>
          </w:tcPr>
          <w:p w14:paraId="138C8167">
            <w:pPr>
              <w:pStyle w:val="6"/>
              <w:spacing w:before="100" w:line="188" w:lineRule="auto"/>
              <w:ind w:left="570"/>
            </w:pPr>
            <w:r>
              <w:rPr>
                <w:spacing w:val="-2"/>
              </w:rPr>
              <w:t>0.3554</w:t>
            </w:r>
          </w:p>
        </w:tc>
        <w:tc>
          <w:tcPr>
            <w:tcW w:w="1540" w:type="dxa"/>
            <w:vAlign w:val="top"/>
          </w:tcPr>
          <w:p w14:paraId="2ABA87A0">
            <w:pPr>
              <w:pStyle w:val="6"/>
              <w:spacing w:before="100" w:line="188" w:lineRule="auto"/>
              <w:ind w:left="486"/>
            </w:pPr>
            <w:r>
              <w:rPr>
                <w:spacing w:val="-2"/>
              </w:rPr>
              <w:t>3.5544</w:t>
            </w:r>
          </w:p>
        </w:tc>
      </w:tr>
      <w:tr w14:paraId="19EB1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C310CE1">
            <w:pPr>
              <w:pStyle w:val="6"/>
              <w:spacing w:before="100" w:line="188" w:lineRule="auto"/>
              <w:ind w:left="679"/>
            </w:pPr>
            <w:r>
              <w:rPr>
                <w:spacing w:val="-2"/>
              </w:rPr>
              <w:t>500.0</w:t>
            </w:r>
          </w:p>
        </w:tc>
        <w:tc>
          <w:tcPr>
            <w:tcW w:w="1708" w:type="dxa"/>
            <w:vAlign w:val="top"/>
          </w:tcPr>
          <w:p w14:paraId="5B23427E">
            <w:pPr>
              <w:pStyle w:val="6"/>
              <w:spacing w:before="100" w:line="188" w:lineRule="auto"/>
              <w:ind w:left="568"/>
            </w:pPr>
            <w:r>
              <w:rPr>
                <w:spacing w:val="-2"/>
              </w:rPr>
              <w:t>7.7783</w:t>
            </w:r>
          </w:p>
        </w:tc>
        <w:tc>
          <w:tcPr>
            <w:tcW w:w="1537" w:type="dxa"/>
            <w:vAlign w:val="top"/>
          </w:tcPr>
          <w:p w14:paraId="0A115EC6">
            <w:pPr>
              <w:pStyle w:val="6"/>
              <w:spacing w:before="100" w:line="188" w:lineRule="auto"/>
              <w:ind w:left="485"/>
            </w:pPr>
            <w:r>
              <w:rPr>
                <w:spacing w:val="-2"/>
              </w:rPr>
              <w:t>3.8891</w:t>
            </w:r>
          </w:p>
        </w:tc>
        <w:tc>
          <w:tcPr>
            <w:tcW w:w="1708" w:type="dxa"/>
            <w:vAlign w:val="top"/>
          </w:tcPr>
          <w:p w14:paraId="1C9A4EC8">
            <w:pPr>
              <w:pStyle w:val="6"/>
              <w:spacing w:before="100" w:line="188" w:lineRule="auto"/>
              <w:ind w:left="570"/>
            </w:pPr>
            <w:r>
              <w:rPr>
                <w:spacing w:val="-2"/>
              </w:rPr>
              <w:t>0.3078</w:t>
            </w:r>
          </w:p>
        </w:tc>
        <w:tc>
          <w:tcPr>
            <w:tcW w:w="1540" w:type="dxa"/>
            <w:vAlign w:val="top"/>
          </w:tcPr>
          <w:p w14:paraId="7EDCB4D3">
            <w:pPr>
              <w:pStyle w:val="6"/>
              <w:spacing w:before="100" w:line="188" w:lineRule="auto"/>
              <w:ind w:left="486"/>
            </w:pPr>
            <w:r>
              <w:rPr>
                <w:spacing w:val="-2"/>
              </w:rPr>
              <w:t>3.0785</w:t>
            </w:r>
          </w:p>
        </w:tc>
      </w:tr>
      <w:tr w14:paraId="189C3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19D1D41">
            <w:pPr>
              <w:pStyle w:val="6"/>
              <w:spacing w:before="101" w:line="188" w:lineRule="auto"/>
              <w:ind w:left="678"/>
            </w:pPr>
            <w:r>
              <w:rPr>
                <w:spacing w:val="-2"/>
              </w:rPr>
              <w:t>600.0</w:t>
            </w:r>
          </w:p>
        </w:tc>
        <w:tc>
          <w:tcPr>
            <w:tcW w:w="1708" w:type="dxa"/>
            <w:vAlign w:val="top"/>
          </w:tcPr>
          <w:p w14:paraId="20F46287">
            <w:pPr>
              <w:pStyle w:val="6"/>
              <w:spacing w:before="101" w:line="188" w:lineRule="auto"/>
              <w:ind w:left="569"/>
            </w:pPr>
            <w:r>
              <w:rPr>
                <w:spacing w:val="-2"/>
              </w:rPr>
              <w:t>6.9530</w:t>
            </w:r>
          </w:p>
        </w:tc>
        <w:tc>
          <w:tcPr>
            <w:tcW w:w="1537" w:type="dxa"/>
            <w:vAlign w:val="top"/>
          </w:tcPr>
          <w:p w14:paraId="17172C99">
            <w:pPr>
              <w:pStyle w:val="6"/>
              <w:spacing w:before="101" w:line="188" w:lineRule="auto"/>
              <w:ind w:left="485"/>
            </w:pPr>
            <w:r>
              <w:rPr>
                <w:spacing w:val="-2"/>
              </w:rPr>
              <w:t>3.4765</w:t>
            </w:r>
          </w:p>
        </w:tc>
        <w:tc>
          <w:tcPr>
            <w:tcW w:w="1708" w:type="dxa"/>
            <w:vAlign w:val="top"/>
          </w:tcPr>
          <w:p w14:paraId="4B8FA8B8">
            <w:pPr>
              <w:pStyle w:val="6"/>
              <w:spacing w:before="101" w:line="188" w:lineRule="auto"/>
              <w:ind w:left="570"/>
            </w:pPr>
            <w:r>
              <w:rPr>
                <w:spacing w:val="-2"/>
              </w:rPr>
              <w:t>0.2752</w:t>
            </w:r>
          </w:p>
        </w:tc>
        <w:tc>
          <w:tcPr>
            <w:tcW w:w="1540" w:type="dxa"/>
            <w:vAlign w:val="top"/>
          </w:tcPr>
          <w:p w14:paraId="7D437F09">
            <w:pPr>
              <w:pStyle w:val="6"/>
              <w:spacing w:before="101" w:line="188" w:lineRule="auto"/>
              <w:ind w:left="482"/>
            </w:pPr>
            <w:r>
              <w:rPr>
                <w:spacing w:val="-1"/>
              </w:rPr>
              <w:t>2.7518</w:t>
            </w:r>
          </w:p>
        </w:tc>
      </w:tr>
      <w:tr w14:paraId="06253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D564E37">
            <w:pPr>
              <w:pStyle w:val="6"/>
              <w:spacing w:before="101" w:line="188" w:lineRule="auto"/>
              <w:ind w:left="677"/>
            </w:pPr>
            <w:r>
              <w:rPr>
                <w:spacing w:val="-2"/>
              </w:rPr>
              <w:t>700.0</w:t>
            </w:r>
          </w:p>
        </w:tc>
        <w:tc>
          <w:tcPr>
            <w:tcW w:w="1708" w:type="dxa"/>
            <w:vAlign w:val="top"/>
          </w:tcPr>
          <w:p w14:paraId="19C1ACE5">
            <w:pPr>
              <w:pStyle w:val="6"/>
              <w:spacing w:before="101" w:line="188" w:lineRule="auto"/>
              <w:ind w:left="570"/>
            </w:pPr>
            <w:r>
              <w:rPr>
                <w:spacing w:val="-2"/>
              </w:rPr>
              <w:t>5.8596</w:t>
            </w:r>
          </w:p>
        </w:tc>
        <w:tc>
          <w:tcPr>
            <w:tcW w:w="1537" w:type="dxa"/>
            <w:vAlign w:val="top"/>
          </w:tcPr>
          <w:p w14:paraId="6BB3055F">
            <w:pPr>
              <w:pStyle w:val="6"/>
              <w:spacing w:before="101" w:line="188" w:lineRule="auto"/>
              <w:ind w:left="481"/>
            </w:pPr>
            <w:r>
              <w:rPr>
                <w:spacing w:val="-1"/>
              </w:rPr>
              <w:t>2.9298</w:t>
            </w:r>
          </w:p>
        </w:tc>
        <w:tc>
          <w:tcPr>
            <w:tcW w:w="1708" w:type="dxa"/>
            <w:vAlign w:val="top"/>
          </w:tcPr>
          <w:p w14:paraId="2AAB699E">
            <w:pPr>
              <w:pStyle w:val="6"/>
              <w:spacing w:before="101" w:line="188" w:lineRule="auto"/>
              <w:ind w:left="570"/>
            </w:pPr>
            <w:r>
              <w:rPr>
                <w:spacing w:val="-2"/>
              </w:rPr>
              <w:t>0.2319</w:t>
            </w:r>
          </w:p>
        </w:tc>
        <w:tc>
          <w:tcPr>
            <w:tcW w:w="1540" w:type="dxa"/>
            <w:vAlign w:val="top"/>
          </w:tcPr>
          <w:p w14:paraId="7DF47879">
            <w:pPr>
              <w:pStyle w:val="6"/>
              <w:spacing w:before="101" w:line="188" w:lineRule="auto"/>
              <w:ind w:left="482"/>
            </w:pPr>
            <w:r>
              <w:rPr>
                <w:spacing w:val="-1"/>
              </w:rPr>
              <w:t>2.3191</w:t>
            </w:r>
          </w:p>
        </w:tc>
      </w:tr>
      <w:tr w14:paraId="42F9A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28BB0B5">
            <w:pPr>
              <w:pStyle w:val="6"/>
              <w:spacing w:before="102" w:line="188" w:lineRule="auto"/>
              <w:ind w:left="682"/>
            </w:pPr>
            <w:r>
              <w:rPr>
                <w:spacing w:val="-3"/>
              </w:rPr>
              <w:t>800.0</w:t>
            </w:r>
          </w:p>
        </w:tc>
        <w:tc>
          <w:tcPr>
            <w:tcW w:w="1708" w:type="dxa"/>
            <w:vAlign w:val="top"/>
          </w:tcPr>
          <w:p w14:paraId="0BB87B12">
            <w:pPr>
              <w:pStyle w:val="6"/>
              <w:spacing w:before="102" w:line="188" w:lineRule="auto"/>
              <w:ind w:left="570"/>
            </w:pPr>
            <w:r>
              <w:rPr>
                <w:spacing w:val="-2"/>
              </w:rPr>
              <w:t>5.6644</w:t>
            </w:r>
          </w:p>
        </w:tc>
        <w:tc>
          <w:tcPr>
            <w:tcW w:w="1537" w:type="dxa"/>
            <w:vAlign w:val="top"/>
          </w:tcPr>
          <w:p w14:paraId="135C7731">
            <w:pPr>
              <w:pStyle w:val="6"/>
              <w:spacing w:before="102" w:line="188" w:lineRule="auto"/>
              <w:ind w:left="481"/>
            </w:pPr>
            <w:r>
              <w:rPr>
                <w:spacing w:val="-1"/>
              </w:rPr>
              <w:t>2.8322</w:t>
            </w:r>
          </w:p>
        </w:tc>
        <w:tc>
          <w:tcPr>
            <w:tcW w:w="1708" w:type="dxa"/>
            <w:vAlign w:val="top"/>
          </w:tcPr>
          <w:p w14:paraId="0D1FA009">
            <w:pPr>
              <w:pStyle w:val="6"/>
              <w:spacing w:before="102" w:line="188" w:lineRule="auto"/>
              <w:ind w:left="570"/>
            </w:pPr>
            <w:r>
              <w:rPr>
                <w:spacing w:val="-2"/>
              </w:rPr>
              <w:t>0.2242</w:t>
            </w:r>
          </w:p>
        </w:tc>
        <w:tc>
          <w:tcPr>
            <w:tcW w:w="1540" w:type="dxa"/>
            <w:vAlign w:val="top"/>
          </w:tcPr>
          <w:p w14:paraId="6FF7F829">
            <w:pPr>
              <w:pStyle w:val="6"/>
              <w:spacing w:before="102" w:line="188" w:lineRule="auto"/>
              <w:ind w:left="482"/>
            </w:pPr>
            <w:r>
              <w:rPr>
                <w:spacing w:val="-1"/>
              </w:rPr>
              <w:t>2.2418</w:t>
            </w:r>
          </w:p>
        </w:tc>
      </w:tr>
      <w:tr w14:paraId="361A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CEE319A">
            <w:pPr>
              <w:pStyle w:val="6"/>
              <w:spacing w:before="102" w:line="188" w:lineRule="auto"/>
              <w:ind w:left="677"/>
            </w:pPr>
            <w:r>
              <w:rPr>
                <w:spacing w:val="-2"/>
              </w:rPr>
              <w:t>900.0</w:t>
            </w:r>
          </w:p>
        </w:tc>
        <w:tc>
          <w:tcPr>
            <w:tcW w:w="1708" w:type="dxa"/>
            <w:vAlign w:val="top"/>
          </w:tcPr>
          <w:p w14:paraId="4EA708A9">
            <w:pPr>
              <w:pStyle w:val="6"/>
              <w:spacing w:before="102" w:line="188" w:lineRule="auto"/>
              <w:ind w:left="570"/>
            </w:pPr>
            <w:r>
              <w:rPr>
                <w:spacing w:val="-2"/>
              </w:rPr>
              <w:t>5.7177</w:t>
            </w:r>
          </w:p>
        </w:tc>
        <w:tc>
          <w:tcPr>
            <w:tcW w:w="1537" w:type="dxa"/>
            <w:vAlign w:val="top"/>
          </w:tcPr>
          <w:p w14:paraId="40A6E9AA">
            <w:pPr>
              <w:pStyle w:val="6"/>
              <w:spacing w:before="102" w:line="188" w:lineRule="auto"/>
              <w:ind w:left="481"/>
            </w:pPr>
            <w:r>
              <w:rPr>
                <w:spacing w:val="-1"/>
              </w:rPr>
              <w:t>2.8588</w:t>
            </w:r>
          </w:p>
        </w:tc>
        <w:tc>
          <w:tcPr>
            <w:tcW w:w="1708" w:type="dxa"/>
            <w:vAlign w:val="top"/>
          </w:tcPr>
          <w:p w14:paraId="43323976">
            <w:pPr>
              <w:pStyle w:val="6"/>
              <w:spacing w:before="102" w:line="188" w:lineRule="auto"/>
              <w:ind w:left="570"/>
            </w:pPr>
            <w:r>
              <w:rPr>
                <w:spacing w:val="-2"/>
              </w:rPr>
              <w:t>0.2263</w:t>
            </w:r>
          </w:p>
        </w:tc>
        <w:tc>
          <w:tcPr>
            <w:tcW w:w="1540" w:type="dxa"/>
            <w:vAlign w:val="top"/>
          </w:tcPr>
          <w:p w14:paraId="59D39E4C">
            <w:pPr>
              <w:pStyle w:val="6"/>
              <w:spacing w:before="102" w:line="188" w:lineRule="auto"/>
              <w:ind w:left="482"/>
            </w:pPr>
            <w:r>
              <w:rPr>
                <w:spacing w:val="-1"/>
              </w:rPr>
              <w:t>2.2629</w:t>
            </w:r>
          </w:p>
        </w:tc>
      </w:tr>
      <w:tr w14:paraId="11BA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7E6A219">
            <w:pPr>
              <w:pStyle w:val="6"/>
              <w:spacing w:before="103" w:line="188" w:lineRule="auto"/>
              <w:ind w:left="641"/>
            </w:pPr>
            <w:r>
              <w:rPr>
                <w:spacing w:val="-4"/>
              </w:rPr>
              <w:t>1000.0</w:t>
            </w:r>
          </w:p>
        </w:tc>
        <w:tc>
          <w:tcPr>
            <w:tcW w:w="1708" w:type="dxa"/>
            <w:vAlign w:val="top"/>
          </w:tcPr>
          <w:p w14:paraId="05FC9ADF">
            <w:pPr>
              <w:pStyle w:val="6"/>
              <w:spacing w:before="103" w:line="188" w:lineRule="auto"/>
              <w:ind w:left="563"/>
            </w:pPr>
            <w:r>
              <w:rPr>
                <w:spacing w:val="-1"/>
              </w:rPr>
              <w:t>4.9277</w:t>
            </w:r>
          </w:p>
        </w:tc>
        <w:tc>
          <w:tcPr>
            <w:tcW w:w="1537" w:type="dxa"/>
            <w:vAlign w:val="top"/>
          </w:tcPr>
          <w:p w14:paraId="06FF428A">
            <w:pPr>
              <w:pStyle w:val="6"/>
              <w:spacing w:before="103" w:line="188" w:lineRule="auto"/>
              <w:ind w:left="481"/>
            </w:pPr>
            <w:r>
              <w:rPr>
                <w:spacing w:val="-1"/>
              </w:rPr>
              <w:t>2.4638</w:t>
            </w:r>
          </w:p>
        </w:tc>
        <w:tc>
          <w:tcPr>
            <w:tcW w:w="1708" w:type="dxa"/>
            <w:vAlign w:val="top"/>
          </w:tcPr>
          <w:p w14:paraId="0CDAC64A">
            <w:pPr>
              <w:pStyle w:val="6"/>
              <w:spacing w:before="103" w:line="188" w:lineRule="auto"/>
              <w:ind w:left="570"/>
            </w:pPr>
            <w:r>
              <w:rPr>
                <w:spacing w:val="-2"/>
              </w:rPr>
              <w:t>0.1950</w:t>
            </w:r>
          </w:p>
        </w:tc>
        <w:tc>
          <w:tcPr>
            <w:tcW w:w="1540" w:type="dxa"/>
            <w:vAlign w:val="top"/>
          </w:tcPr>
          <w:p w14:paraId="4A155EE8">
            <w:pPr>
              <w:pStyle w:val="6"/>
              <w:spacing w:before="103" w:line="188" w:lineRule="auto"/>
              <w:ind w:left="502"/>
            </w:pPr>
            <w:r>
              <w:rPr>
                <w:spacing w:val="-5"/>
              </w:rPr>
              <w:t>1.9503</w:t>
            </w:r>
          </w:p>
        </w:tc>
      </w:tr>
      <w:tr w14:paraId="415A3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F095859">
            <w:pPr>
              <w:pStyle w:val="6"/>
              <w:spacing w:before="103" w:line="188" w:lineRule="auto"/>
              <w:ind w:left="641"/>
            </w:pPr>
            <w:r>
              <w:rPr>
                <w:spacing w:val="-4"/>
              </w:rPr>
              <w:t>1200.0</w:t>
            </w:r>
          </w:p>
        </w:tc>
        <w:tc>
          <w:tcPr>
            <w:tcW w:w="1708" w:type="dxa"/>
            <w:vAlign w:val="top"/>
          </w:tcPr>
          <w:p w14:paraId="4AA2C506">
            <w:pPr>
              <w:pStyle w:val="6"/>
              <w:spacing w:before="103" w:line="188" w:lineRule="auto"/>
              <w:ind w:left="563"/>
            </w:pPr>
            <w:r>
              <w:rPr>
                <w:spacing w:val="-1"/>
              </w:rPr>
              <w:t>4.2099</w:t>
            </w:r>
          </w:p>
        </w:tc>
        <w:tc>
          <w:tcPr>
            <w:tcW w:w="1537" w:type="dxa"/>
            <w:vAlign w:val="top"/>
          </w:tcPr>
          <w:p w14:paraId="2713393C">
            <w:pPr>
              <w:pStyle w:val="6"/>
              <w:spacing w:before="103" w:line="188" w:lineRule="auto"/>
              <w:ind w:left="481"/>
            </w:pPr>
            <w:r>
              <w:rPr>
                <w:spacing w:val="-1"/>
              </w:rPr>
              <w:t>2.1050</w:t>
            </w:r>
          </w:p>
        </w:tc>
        <w:tc>
          <w:tcPr>
            <w:tcW w:w="1708" w:type="dxa"/>
            <w:vAlign w:val="top"/>
          </w:tcPr>
          <w:p w14:paraId="12B0E173">
            <w:pPr>
              <w:pStyle w:val="6"/>
              <w:spacing w:before="103" w:line="188" w:lineRule="auto"/>
              <w:ind w:left="570"/>
            </w:pPr>
            <w:r>
              <w:rPr>
                <w:spacing w:val="-2"/>
              </w:rPr>
              <w:t>0.1666</w:t>
            </w:r>
          </w:p>
        </w:tc>
        <w:tc>
          <w:tcPr>
            <w:tcW w:w="1540" w:type="dxa"/>
            <w:vAlign w:val="top"/>
          </w:tcPr>
          <w:p w14:paraId="624F692C">
            <w:pPr>
              <w:pStyle w:val="6"/>
              <w:spacing w:before="103" w:line="188" w:lineRule="auto"/>
              <w:ind w:left="502"/>
            </w:pPr>
            <w:r>
              <w:rPr>
                <w:spacing w:val="-5"/>
              </w:rPr>
              <w:t>1.6662</w:t>
            </w:r>
          </w:p>
        </w:tc>
      </w:tr>
      <w:tr w14:paraId="5A221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91FE066">
            <w:pPr>
              <w:pStyle w:val="6"/>
              <w:spacing w:before="104" w:line="188" w:lineRule="auto"/>
              <w:ind w:left="641"/>
            </w:pPr>
            <w:r>
              <w:rPr>
                <w:spacing w:val="-4"/>
              </w:rPr>
              <w:t>1400.0</w:t>
            </w:r>
          </w:p>
        </w:tc>
        <w:tc>
          <w:tcPr>
            <w:tcW w:w="1708" w:type="dxa"/>
            <w:vAlign w:val="top"/>
          </w:tcPr>
          <w:p w14:paraId="0BF9EA18">
            <w:pPr>
              <w:pStyle w:val="6"/>
              <w:spacing w:before="104" w:line="188" w:lineRule="auto"/>
              <w:ind w:left="563"/>
            </w:pPr>
            <w:r>
              <w:rPr>
                <w:spacing w:val="-1"/>
              </w:rPr>
              <w:t>4.9734</w:t>
            </w:r>
          </w:p>
        </w:tc>
        <w:tc>
          <w:tcPr>
            <w:tcW w:w="1537" w:type="dxa"/>
            <w:vAlign w:val="top"/>
          </w:tcPr>
          <w:p w14:paraId="634CEABB">
            <w:pPr>
              <w:pStyle w:val="6"/>
              <w:spacing w:before="104" w:line="188" w:lineRule="auto"/>
              <w:ind w:left="481"/>
            </w:pPr>
            <w:r>
              <w:rPr>
                <w:spacing w:val="-1"/>
              </w:rPr>
              <w:t>2.4867</w:t>
            </w:r>
          </w:p>
        </w:tc>
        <w:tc>
          <w:tcPr>
            <w:tcW w:w="1708" w:type="dxa"/>
            <w:vAlign w:val="top"/>
          </w:tcPr>
          <w:p w14:paraId="347992EB">
            <w:pPr>
              <w:pStyle w:val="6"/>
              <w:spacing w:before="104" w:line="188" w:lineRule="auto"/>
              <w:ind w:left="570"/>
            </w:pPr>
            <w:r>
              <w:rPr>
                <w:spacing w:val="-2"/>
              </w:rPr>
              <w:t>0.1968</w:t>
            </w:r>
          </w:p>
        </w:tc>
        <w:tc>
          <w:tcPr>
            <w:tcW w:w="1540" w:type="dxa"/>
            <w:vAlign w:val="top"/>
          </w:tcPr>
          <w:p w14:paraId="6583774B">
            <w:pPr>
              <w:pStyle w:val="6"/>
              <w:spacing w:before="104" w:line="188" w:lineRule="auto"/>
              <w:ind w:left="502"/>
            </w:pPr>
            <w:r>
              <w:rPr>
                <w:spacing w:val="-5"/>
              </w:rPr>
              <w:t>1.9684</w:t>
            </w:r>
          </w:p>
        </w:tc>
      </w:tr>
      <w:tr w14:paraId="614B1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5091ABB">
            <w:pPr>
              <w:pStyle w:val="6"/>
              <w:spacing w:before="103" w:line="188" w:lineRule="auto"/>
              <w:ind w:left="641"/>
            </w:pPr>
            <w:r>
              <w:rPr>
                <w:spacing w:val="-4"/>
              </w:rPr>
              <w:t>1600.0</w:t>
            </w:r>
          </w:p>
        </w:tc>
        <w:tc>
          <w:tcPr>
            <w:tcW w:w="1708" w:type="dxa"/>
            <w:vAlign w:val="top"/>
          </w:tcPr>
          <w:p w14:paraId="595212A7">
            <w:pPr>
              <w:pStyle w:val="6"/>
              <w:spacing w:before="103" w:line="188" w:lineRule="auto"/>
              <w:ind w:left="568"/>
            </w:pPr>
            <w:r>
              <w:rPr>
                <w:spacing w:val="-2"/>
              </w:rPr>
              <w:t>7.8270</w:t>
            </w:r>
          </w:p>
        </w:tc>
        <w:tc>
          <w:tcPr>
            <w:tcW w:w="1537" w:type="dxa"/>
            <w:vAlign w:val="top"/>
          </w:tcPr>
          <w:p w14:paraId="2F670910">
            <w:pPr>
              <w:pStyle w:val="6"/>
              <w:spacing w:before="103" w:line="188" w:lineRule="auto"/>
              <w:ind w:left="485"/>
            </w:pPr>
            <w:r>
              <w:rPr>
                <w:spacing w:val="-2"/>
              </w:rPr>
              <w:t>3.9135</w:t>
            </w:r>
          </w:p>
        </w:tc>
        <w:tc>
          <w:tcPr>
            <w:tcW w:w="1708" w:type="dxa"/>
            <w:vAlign w:val="top"/>
          </w:tcPr>
          <w:p w14:paraId="0B4E03B5">
            <w:pPr>
              <w:pStyle w:val="6"/>
              <w:spacing w:before="103" w:line="188" w:lineRule="auto"/>
              <w:ind w:left="570"/>
            </w:pPr>
            <w:r>
              <w:rPr>
                <w:spacing w:val="-2"/>
              </w:rPr>
              <w:t>0.3098</w:t>
            </w:r>
          </w:p>
        </w:tc>
        <w:tc>
          <w:tcPr>
            <w:tcW w:w="1540" w:type="dxa"/>
            <w:vAlign w:val="top"/>
          </w:tcPr>
          <w:p w14:paraId="4F1FB58F">
            <w:pPr>
              <w:pStyle w:val="6"/>
              <w:spacing w:before="103" w:line="188" w:lineRule="auto"/>
              <w:ind w:left="486"/>
            </w:pPr>
            <w:r>
              <w:rPr>
                <w:spacing w:val="-2"/>
              </w:rPr>
              <w:t>3.0978</w:t>
            </w:r>
          </w:p>
        </w:tc>
      </w:tr>
      <w:tr w14:paraId="09062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BF37A2E">
            <w:pPr>
              <w:pStyle w:val="6"/>
              <w:spacing w:before="104" w:line="188" w:lineRule="auto"/>
              <w:ind w:left="641"/>
            </w:pPr>
            <w:r>
              <w:rPr>
                <w:spacing w:val="-4"/>
              </w:rPr>
              <w:t>1800.0</w:t>
            </w:r>
          </w:p>
        </w:tc>
        <w:tc>
          <w:tcPr>
            <w:tcW w:w="1708" w:type="dxa"/>
            <w:vAlign w:val="top"/>
          </w:tcPr>
          <w:p w14:paraId="0D2D15BC">
            <w:pPr>
              <w:pStyle w:val="6"/>
              <w:spacing w:before="104" w:line="188" w:lineRule="auto"/>
              <w:ind w:left="570"/>
            </w:pPr>
            <w:r>
              <w:rPr>
                <w:spacing w:val="-2"/>
              </w:rPr>
              <w:t>5.6420</w:t>
            </w:r>
          </w:p>
        </w:tc>
        <w:tc>
          <w:tcPr>
            <w:tcW w:w="1537" w:type="dxa"/>
            <w:vAlign w:val="top"/>
          </w:tcPr>
          <w:p w14:paraId="07EFF15B">
            <w:pPr>
              <w:pStyle w:val="6"/>
              <w:spacing w:before="104" w:line="188" w:lineRule="auto"/>
              <w:ind w:left="481"/>
            </w:pPr>
            <w:r>
              <w:rPr>
                <w:spacing w:val="-1"/>
              </w:rPr>
              <w:t>2.8210</w:t>
            </w:r>
          </w:p>
        </w:tc>
        <w:tc>
          <w:tcPr>
            <w:tcW w:w="1708" w:type="dxa"/>
            <w:vAlign w:val="top"/>
          </w:tcPr>
          <w:p w14:paraId="43FA586F">
            <w:pPr>
              <w:pStyle w:val="6"/>
              <w:spacing w:before="104" w:line="188" w:lineRule="auto"/>
              <w:ind w:left="570"/>
            </w:pPr>
            <w:r>
              <w:rPr>
                <w:spacing w:val="-2"/>
              </w:rPr>
              <w:t>0.2233</w:t>
            </w:r>
          </w:p>
        </w:tc>
        <w:tc>
          <w:tcPr>
            <w:tcW w:w="1540" w:type="dxa"/>
            <w:vAlign w:val="top"/>
          </w:tcPr>
          <w:p w14:paraId="7C978626">
            <w:pPr>
              <w:pStyle w:val="6"/>
              <w:spacing w:before="104" w:line="188" w:lineRule="auto"/>
              <w:ind w:left="482"/>
            </w:pPr>
            <w:r>
              <w:rPr>
                <w:spacing w:val="-1"/>
              </w:rPr>
              <w:t>2.2330</w:t>
            </w:r>
          </w:p>
        </w:tc>
      </w:tr>
      <w:tr w14:paraId="473A0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4B1F843">
            <w:pPr>
              <w:pStyle w:val="6"/>
              <w:spacing w:before="103" w:line="188" w:lineRule="auto"/>
              <w:ind w:left="621"/>
            </w:pPr>
            <w:r>
              <w:rPr>
                <w:spacing w:val="-1"/>
              </w:rPr>
              <w:t>2000.0</w:t>
            </w:r>
          </w:p>
        </w:tc>
        <w:tc>
          <w:tcPr>
            <w:tcW w:w="1708" w:type="dxa"/>
            <w:vAlign w:val="top"/>
          </w:tcPr>
          <w:p w14:paraId="58D49531">
            <w:pPr>
              <w:pStyle w:val="6"/>
              <w:spacing w:before="103" w:line="188" w:lineRule="auto"/>
              <w:ind w:left="564"/>
            </w:pPr>
            <w:r>
              <w:rPr>
                <w:spacing w:val="-1"/>
              </w:rPr>
              <w:t>2.9992</w:t>
            </w:r>
          </w:p>
        </w:tc>
        <w:tc>
          <w:tcPr>
            <w:tcW w:w="1537" w:type="dxa"/>
            <w:vAlign w:val="top"/>
          </w:tcPr>
          <w:p w14:paraId="529EB15C">
            <w:pPr>
              <w:pStyle w:val="6"/>
              <w:spacing w:before="103" w:line="188" w:lineRule="auto"/>
              <w:ind w:left="502"/>
            </w:pPr>
            <w:r>
              <w:rPr>
                <w:spacing w:val="-5"/>
              </w:rPr>
              <w:t>1.4996</w:t>
            </w:r>
          </w:p>
        </w:tc>
        <w:tc>
          <w:tcPr>
            <w:tcW w:w="1708" w:type="dxa"/>
            <w:vAlign w:val="top"/>
          </w:tcPr>
          <w:p w14:paraId="30880A2A">
            <w:pPr>
              <w:pStyle w:val="6"/>
              <w:spacing w:before="103" w:line="188" w:lineRule="auto"/>
              <w:ind w:left="574"/>
            </w:pPr>
            <w:r>
              <w:rPr>
                <w:spacing w:val="-3"/>
              </w:rPr>
              <w:t>0.1187</w:t>
            </w:r>
          </w:p>
        </w:tc>
        <w:tc>
          <w:tcPr>
            <w:tcW w:w="1540" w:type="dxa"/>
            <w:vAlign w:val="top"/>
          </w:tcPr>
          <w:p w14:paraId="7FCFCFCB">
            <w:pPr>
              <w:pStyle w:val="6"/>
              <w:spacing w:before="103" w:line="188" w:lineRule="auto"/>
              <w:ind w:left="503"/>
            </w:pPr>
            <w:r>
              <w:rPr>
                <w:spacing w:val="-5"/>
              </w:rPr>
              <w:t>1.1870</w:t>
            </w:r>
          </w:p>
        </w:tc>
      </w:tr>
      <w:tr w14:paraId="5A485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FA91DEB">
            <w:pPr>
              <w:pStyle w:val="6"/>
              <w:spacing w:before="104" w:line="188" w:lineRule="auto"/>
              <w:ind w:left="621"/>
            </w:pPr>
            <w:r>
              <w:rPr>
                <w:spacing w:val="-1"/>
              </w:rPr>
              <w:t>2500.0</w:t>
            </w:r>
          </w:p>
        </w:tc>
        <w:tc>
          <w:tcPr>
            <w:tcW w:w="1708" w:type="dxa"/>
            <w:vAlign w:val="top"/>
          </w:tcPr>
          <w:p w14:paraId="4E18EBF2">
            <w:pPr>
              <w:pStyle w:val="6"/>
              <w:spacing w:before="104" w:line="188" w:lineRule="auto"/>
              <w:ind w:left="564"/>
            </w:pPr>
            <w:r>
              <w:rPr>
                <w:spacing w:val="-1"/>
              </w:rPr>
              <w:t>2.8077</w:t>
            </w:r>
          </w:p>
        </w:tc>
        <w:tc>
          <w:tcPr>
            <w:tcW w:w="1537" w:type="dxa"/>
            <w:vAlign w:val="top"/>
          </w:tcPr>
          <w:p w14:paraId="53A48883">
            <w:pPr>
              <w:pStyle w:val="6"/>
              <w:spacing w:before="104" w:line="188" w:lineRule="auto"/>
              <w:ind w:left="501"/>
            </w:pPr>
            <w:r>
              <w:rPr>
                <w:spacing w:val="-5"/>
              </w:rPr>
              <w:t>1.4039</w:t>
            </w:r>
          </w:p>
        </w:tc>
        <w:tc>
          <w:tcPr>
            <w:tcW w:w="1708" w:type="dxa"/>
            <w:vAlign w:val="top"/>
          </w:tcPr>
          <w:p w14:paraId="152F37D6">
            <w:pPr>
              <w:pStyle w:val="6"/>
              <w:spacing w:before="104" w:line="188" w:lineRule="auto"/>
              <w:ind w:left="582"/>
            </w:pPr>
            <w:r>
              <w:rPr>
                <w:spacing w:val="-4"/>
              </w:rPr>
              <w:t>0.1111</w:t>
            </w:r>
          </w:p>
        </w:tc>
        <w:tc>
          <w:tcPr>
            <w:tcW w:w="1540" w:type="dxa"/>
            <w:vAlign w:val="top"/>
          </w:tcPr>
          <w:p w14:paraId="0C9456D9">
            <w:pPr>
              <w:pStyle w:val="6"/>
              <w:spacing w:before="104" w:line="188" w:lineRule="auto"/>
              <w:ind w:left="511"/>
            </w:pPr>
            <w:r>
              <w:rPr>
                <w:spacing w:val="-7"/>
              </w:rPr>
              <w:t>1.1112</w:t>
            </w:r>
          </w:p>
        </w:tc>
      </w:tr>
      <w:tr w14:paraId="16EAF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008D3E1">
            <w:pPr>
              <w:pStyle w:val="6"/>
              <w:spacing w:before="103" w:line="188" w:lineRule="auto"/>
              <w:ind w:left="625"/>
            </w:pPr>
            <w:r>
              <w:rPr>
                <w:spacing w:val="-2"/>
              </w:rPr>
              <w:t>3000.0</w:t>
            </w:r>
          </w:p>
        </w:tc>
        <w:tc>
          <w:tcPr>
            <w:tcW w:w="1708" w:type="dxa"/>
            <w:vAlign w:val="top"/>
          </w:tcPr>
          <w:p w14:paraId="55F56A5E">
            <w:pPr>
              <w:pStyle w:val="6"/>
              <w:spacing w:before="103" w:line="188" w:lineRule="auto"/>
              <w:ind w:left="563"/>
            </w:pPr>
            <w:r>
              <w:rPr>
                <w:spacing w:val="-1"/>
              </w:rPr>
              <w:t>4.4358</w:t>
            </w:r>
          </w:p>
        </w:tc>
        <w:tc>
          <w:tcPr>
            <w:tcW w:w="1537" w:type="dxa"/>
            <w:vAlign w:val="top"/>
          </w:tcPr>
          <w:p w14:paraId="7F0F1D3B">
            <w:pPr>
              <w:pStyle w:val="6"/>
              <w:spacing w:before="103" w:line="188" w:lineRule="auto"/>
              <w:ind w:left="481"/>
            </w:pPr>
            <w:r>
              <w:rPr>
                <w:spacing w:val="-1"/>
              </w:rPr>
              <w:t>2.2179</w:t>
            </w:r>
          </w:p>
        </w:tc>
        <w:tc>
          <w:tcPr>
            <w:tcW w:w="1708" w:type="dxa"/>
            <w:vAlign w:val="top"/>
          </w:tcPr>
          <w:p w14:paraId="792FF2FC">
            <w:pPr>
              <w:pStyle w:val="6"/>
              <w:spacing w:before="103" w:line="188" w:lineRule="auto"/>
              <w:ind w:left="570"/>
            </w:pPr>
            <w:r>
              <w:rPr>
                <w:spacing w:val="-2"/>
              </w:rPr>
              <w:t>0.1756</w:t>
            </w:r>
          </w:p>
        </w:tc>
        <w:tc>
          <w:tcPr>
            <w:tcW w:w="1540" w:type="dxa"/>
            <w:vAlign w:val="top"/>
          </w:tcPr>
          <w:p w14:paraId="067B40E6">
            <w:pPr>
              <w:pStyle w:val="6"/>
              <w:spacing w:before="103" w:line="188" w:lineRule="auto"/>
              <w:ind w:left="502"/>
            </w:pPr>
            <w:r>
              <w:rPr>
                <w:spacing w:val="-5"/>
              </w:rPr>
              <w:t>1.7556</w:t>
            </w:r>
          </w:p>
        </w:tc>
      </w:tr>
      <w:tr w14:paraId="1468C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5005EFA7">
            <w:pPr>
              <w:pStyle w:val="6"/>
              <w:spacing w:before="104" w:line="188" w:lineRule="auto"/>
              <w:ind w:left="625"/>
            </w:pPr>
            <w:r>
              <w:rPr>
                <w:spacing w:val="-2"/>
              </w:rPr>
              <w:t>3500.0</w:t>
            </w:r>
          </w:p>
        </w:tc>
        <w:tc>
          <w:tcPr>
            <w:tcW w:w="1708" w:type="dxa"/>
            <w:vAlign w:val="top"/>
          </w:tcPr>
          <w:p w14:paraId="6E23E10B">
            <w:pPr>
              <w:pStyle w:val="6"/>
              <w:spacing w:before="104" w:line="188" w:lineRule="auto"/>
              <w:ind w:left="563"/>
            </w:pPr>
            <w:r>
              <w:rPr>
                <w:spacing w:val="-1"/>
              </w:rPr>
              <w:t>4.0277</w:t>
            </w:r>
          </w:p>
        </w:tc>
        <w:tc>
          <w:tcPr>
            <w:tcW w:w="1537" w:type="dxa"/>
            <w:vAlign w:val="top"/>
          </w:tcPr>
          <w:p w14:paraId="0E39D693">
            <w:pPr>
              <w:pStyle w:val="6"/>
              <w:spacing w:before="104" w:line="188" w:lineRule="auto"/>
              <w:ind w:left="481"/>
            </w:pPr>
            <w:r>
              <w:rPr>
                <w:spacing w:val="-1"/>
              </w:rPr>
              <w:t>2.0139</w:t>
            </w:r>
          </w:p>
        </w:tc>
        <w:tc>
          <w:tcPr>
            <w:tcW w:w="1708" w:type="dxa"/>
            <w:vAlign w:val="top"/>
          </w:tcPr>
          <w:p w14:paraId="23CF1173">
            <w:pPr>
              <w:pStyle w:val="6"/>
              <w:spacing w:before="104" w:line="188" w:lineRule="auto"/>
              <w:ind w:left="570"/>
            </w:pPr>
            <w:r>
              <w:rPr>
                <w:spacing w:val="-2"/>
              </w:rPr>
              <w:t>0.1594</w:t>
            </w:r>
          </w:p>
        </w:tc>
        <w:tc>
          <w:tcPr>
            <w:tcW w:w="1540" w:type="dxa"/>
            <w:vAlign w:val="top"/>
          </w:tcPr>
          <w:p w14:paraId="3DD62A9A">
            <w:pPr>
              <w:pStyle w:val="6"/>
              <w:spacing w:before="104" w:line="188" w:lineRule="auto"/>
              <w:ind w:left="502"/>
            </w:pPr>
            <w:r>
              <w:rPr>
                <w:spacing w:val="-5"/>
              </w:rPr>
              <w:t>1.5941</w:t>
            </w:r>
          </w:p>
        </w:tc>
      </w:tr>
      <w:tr w14:paraId="6C309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D71BF32">
            <w:pPr>
              <w:pStyle w:val="6"/>
              <w:spacing w:before="103" w:line="188" w:lineRule="auto"/>
              <w:ind w:left="619"/>
            </w:pPr>
            <w:r>
              <w:rPr>
                <w:spacing w:val="-1"/>
              </w:rPr>
              <w:t>4000.0</w:t>
            </w:r>
          </w:p>
        </w:tc>
        <w:tc>
          <w:tcPr>
            <w:tcW w:w="1708" w:type="dxa"/>
            <w:vAlign w:val="top"/>
          </w:tcPr>
          <w:p w14:paraId="209D831B">
            <w:pPr>
              <w:pStyle w:val="6"/>
              <w:spacing w:before="103" w:line="188" w:lineRule="auto"/>
              <w:ind w:left="569"/>
            </w:pPr>
            <w:r>
              <w:rPr>
                <w:spacing w:val="-2"/>
              </w:rPr>
              <w:t>3.3157</w:t>
            </w:r>
          </w:p>
        </w:tc>
        <w:tc>
          <w:tcPr>
            <w:tcW w:w="1537" w:type="dxa"/>
            <w:vAlign w:val="top"/>
          </w:tcPr>
          <w:p w14:paraId="600D18DB">
            <w:pPr>
              <w:pStyle w:val="6"/>
              <w:spacing w:before="103" w:line="188" w:lineRule="auto"/>
              <w:ind w:left="501"/>
            </w:pPr>
            <w:r>
              <w:rPr>
                <w:spacing w:val="-5"/>
              </w:rPr>
              <w:t>1.6579</w:t>
            </w:r>
          </w:p>
        </w:tc>
        <w:tc>
          <w:tcPr>
            <w:tcW w:w="1708" w:type="dxa"/>
            <w:vAlign w:val="top"/>
          </w:tcPr>
          <w:p w14:paraId="7458ED3B">
            <w:pPr>
              <w:pStyle w:val="6"/>
              <w:spacing w:before="103" w:line="188" w:lineRule="auto"/>
              <w:ind w:left="570"/>
            </w:pPr>
            <w:r>
              <w:rPr>
                <w:spacing w:val="-2"/>
              </w:rPr>
              <w:t>0.1312</w:t>
            </w:r>
          </w:p>
        </w:tc>
        <w:tc>
          <w:tcPr>
            <w:tcW w:w="1540" w:type="dxa"/>
            <w:vAlign w:val="top"/>
          </w:tcPr>
          <w:p w14:paraId="73150477">
            <w:pPr>
              <w:pStyle w:val="6"/>
              <w:spacing w:before="103" w:line="188" w:lineRule="auto"/>
              <w:ind w:left="502"/>
            </w:pPr>
            <w:r>
              <w:rPr>
                <w:spacing w:val="-5"/>
              </w:rPr>
              <w:t>1.3123</w:t>
            </w:r>
          </w:p>
        </w:tc>
      </w:tr>
      <w:tr w14:paraId="7F9DB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F4CDA2B">
            <w:pPr>
              <w:pStyle w:val="6"/>
              <w:spacing w:before="104" w:line="188" w:lineRule="auto"/>
              <w:ind w:left="619"/>
            </w:pPr>
            <w:r>
              <w:rPr>
                <w:spacing w:val="-1"/>
              </w:rPr>
              <w:t>4500.0</w:t>
            </w:r>
          </w:p>
        </w:tc>
        <w:tc>
          <w:tcPr>
            <w:tcW w:w="1708" w:type="dxa"/>
            <w:vAlign w:val="top"/>
          </w:tcPr>
          <w:p w14:paraId="02BF8BBD">
            <w:pPr>
              <w:pStyle w:val="6"/>
              <w:spacing w:before="104" w:line="188" w:lineRule="auto"/>
              <w:ind w:left="569"/>
            </w:pPr>
            <w:r>
              <w:rPr>
                <w:spacing w:val="-2"/>
              </w:rPr>
              <w:t>3.0364</w:t>
            </w:r>
          </w:p>
        </w:tc>
        <w:tc>
          <w:tcPr>
            <w:tcW w:w="1537" w:type="dxa"/>
            <w:vAlign w:val="top"/>
          </w:tcPr>
          <w:p w14:paraId="4594F416">
            <w:pPr>
              <w:pStyle w:val="6"/>
              <w:spacing w:before="104" w:line="188" w:lineRule="auto"/>
              <w:ind w:left="501"/>
            </w:pPr>
            <w:r>
              <w:rPr>
                <w:spacing w:val="-5"/>
              </w:rPr>
              <w:t>1.5182</w:t>
            </w:r>
          </w:p>
        </w:tc>
        <w:tc>
          <w:tcPr>
            <w:tcW w:w="1708" w:type="dxa"/>
            <w:vAlign w:val="top"/>
          </w:tcPr>
          <w:p w14:paraId="72751758">
            <w:pPr>
              <w:pStyle w:val="6"/>
              <w:spacing w:before="104" w:line="188" w:lineRule="auto"/>
              <w:ind w:left="570"/>
            </w:pPr>
            <w:r>
              <w:rPr>
                <w:spacing w:val="-2"/>
              </w:rPr>
              <w:t>0.1202</w:t>
            </w:r>
          </w:p>
        </w:tc>
        <w:tc>
          <w:tcPr>
            <w:tcW w:w="1540" w:type="dxa"/>
            <w:vAlign w:val="top"/>
          </w:tcPr>
          <w:p w14:paraId="508395E2">
            <w:pPr>
              <w:pStyle w:val="6"/>
              <w:spacing w:before="104" w:line="188" w:lineRule="auto"/>
              <w:ind w:left="502"/>
            </w:pPr>
            <w:r>
              <w:rPr>
                <w:spacing w:val="-5"/>
              </w:rPr>
              <w:t>1.2017</w:t>
            </w:r>
          </w:p>
        </w:tc>
      </w:tr>
      <w:tr w14:paraId="0F9C2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10C3A1C">
            <w:pPr>
              <w:pStyle w:val="6"/>
              <w:spacing w:before="103" w:line="188" w:lineRule="auto"/>
              <w:ind w:left="626"/>
            </w:pPr>
            <w:r>
              <w:rPr>
                <w:spacing w:val="-2"/>
              </w:rPr>
              <w:t>5000.0</w:t>
            </w:r>
          </w:p>
        </w:tc>
        <w:tc>
          <w:tcPr>
            <w:tcW w:w="1708" w:type="dxa"/>
            <w:vAlign w:val="top"/>
          </w:tcPr>
          <w:p w14:paraId="50A9FF35">
            <w:pPr>
              <w:pStyle w:val="6"/>
              <w:spacing w:before="103" w:line="188" w:lineRule="auto"/>
              <w:ind w:left="584"/>
            </w:pPr>
            <w:r>
              <w:rPr>
                <w:spacing w:val="-5"/>
              </w:rPr>
              <w:t>1.8879</w:t>
            </w:r>
          </w:p>
        </w:tc>
        <w:tc>
          <w:tcPr>
            <w:tcW w:w="1537" w:type="dxa"/>
            <w:vAlign w:val="top"/>
          </w:tcPr>
          <w:p w14:paraId="1B394F67">
            <w:pPr>
              <w:pStyle w:val="6"/>
              <w:spacing w:before="103" w:line="188" w:lineRule="auto"/>
              <w:ind w:left="484"/>
            </w:pPr>
            <w:r>
              <w:rPr>
                <w:spacing w:val="-2"/>
              </w:rPr>
              <w:t>0.9439</w:t>
            </w:r>
          </w:p>
        </w:tc>
        <w:tc>
          <w:tcPr>
            <w:tcW w:w="1708" w:type="dxa"/>
            <w:vAlign w:val="top"/>
          </w:tcPr>
          <w:p w14:paraId="1C4072C3">
            <w:pPr>
              <w:pStyle w:val="6"/>
              <w:spacing w:before="103" w:line="188" w:lineRule="auto"/>
              <w:ind w:left="570"/>
            </w:pPr>
            <w:r>
              <w:rPr>
                <w:spacing w:val="-2"/>
              </w:rPr>
              <w:t>0.0747</w:t>
            </w:r>
          </w:p>
        </w:tc>
        <w:tc>
          <w:tcPr>
            <w:tcW w:w="1540" w:type="dxa"/>
            <w:vAlign w:val="top"/>
          </w:tcPr>
          <w:p w14:paraId="40BAA929">
            <w:pPr>
              <w:pStyle w:val="6"/>
              <w:spacing w:before="103" w:line="188" w:lineRule="auto"/>
              <w:ind w:left="485"/>
            </w:pPr>
            <w:r>
              <w:rPr>
                <w:spacing w:val="-2"/>
              </w:rPr>
              <w:t>0.7472</w:t>
            </w:r>
          </w:p>
        </w:tc>
      </w:tr>
      <w:tr w14:paraId="06022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629D03E">
            <w:pPr>
              <w:pStyle w:val="6"/>
              <w:spacing w:before="104" w:line="188" w:lineRule="auto"/>
              <w:ind w:left="588"/>
            </w:pPr>
            <w:r>
              <w:rPr>
                <w:spacing w:val="-4"/>
              </w:rPr>
              <w:t>10000.0</w:t>
            </w:r>
          </w:p>
        </w:tc>
        <w:tc>
          <w:tcPr>
            <w:tcW w:w="1708" w:type="dxa"/>
            <w:vAlign w:val="top"/>
          </w:tcPr>
          <w:p w14:paraId="195C4EE0">
            <w:pPr>
              <w:pStyle w:val="6"/>
              <w:spacing w:before="104" w:line="188" w:lineRule="auto"/>
              <w:ind w:left="584"/>
            </w:pPr>
            <w:r>
              <w:rPr>
                <w:spacing w:val="-5"/>
              </w:rPr>
              <w:t>1.0386</w:t>
            </w:r>
          </w:p>
        </w:tc>
        <w:tc>
          <w:tcPr>
            <w:tcW w:w="1537" w:type="dxa"/>
            <w:vAlign w:val="top"/>
          </w:tcPr>
          <w:p w14:paraId="330F79C1">
            <w:pPr>
              <w:pStyle w:val="6"/>
              <w:spacing w:before="104" w:line="188" w:lineRule="auto"/>
              <w:ind w:left="484"/>
            </w:pPr>
            <w:r>
              <w:rPr>
                <w:spacing w:val="-2"/>
              </w:rPr>
              <w:t>0.5193</w:t>
            </w:r>
          </w:p>
        </w:tc>
        <w:tc>
          <w:tcPr>
            <w:tcW w:w="1708" w:type="dxa"/>
            <w:vAlign w:val="top"/>
          </w:tcPr>
          <w:p w14:paraId="6789D2AD">
            <w:pPr>
              <w:pStyle w:val="6"/>
              <w:spacing w:before="104" w:line="188" w:lineRule="auto"/>
              <w:ind w:left="573"/>
            </w:pPr>
            <w:r>
              <w:rPr>
                <w:spacing w:val="-2"/>
              </w:rPr>
              <w:t>0.0411</w:t>
            </w:r>
          </w:p>
        </w:tc>
        <w:tc>
          <w:tcPr>
            <w:tcW w:w="1540" w:type="dxa"/>
            <w:vAlign w:val="top"/>
          </w:tcPr>
          <w:p w14:paraId="4E0DFEC3">
            <w:pPr>
              <w:pStyle w:val="6"/>
              <w:spacing w:before="104" w:line="188" w:lineRule="auto"/>
              <w:ind w:left="494"/>
            </w:pPr>
            <w:r>
              <w:rPr>
                <w:spacing w:val="-3"/>
              </w:rPr>
              <w:t>0.4111</w:t>
            </w:r>
          </w:p>
        </w:tc>
      </w:tr>
      <w:tr w14:paraId="1FBD2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82B5B4A">
            <w:pPr>
              <w:pStyle w:val="6"/>
              <w:spacing w:before="103" w:line="188" w:lineRule="auto"/>
              <w:ind w:left="593"/>
            </w:pPr>
            <w:r>
              <w:rPr>
                <w:spacing w:val="-5"/>
              </w:rPr>
              <w:t>11000.0</w:t>
            </w:r>
          </w:p>
        </w:tc>
        <w:tc>
          <w:tcPr>
            <w:tcW w:w="1708" w:type="dxa"/>
            <w:vAlign w:val="top"/>
          </w:tcPr>
          <w:p w14:paraId="5CA8CD7F">
            <w:pPr>
              <w:pStyle w:val="6"/>
              <w:spacing w:before="103" w:line="188" w:lineRule="auto"/>
              <w:ind w:left="584"/>
            </w:pPr>
            <w:r>
              <w:rPr>
                <w:spacing w:val="-5"/>
              </w:rPr>
              <w:t>1.0193</w:t>
            </w:r>
          </w:p>
        </w:tc>
        <w:tc>
          <w:tcPr>
            <w:tcW w:w="1537" w:type="dxa"/>
            <w:vAlign w:val="top"/>
          </w:tcPr>
          <w:p w14:paraId="054D9D10">
            <w:pPr>
              <w:pStyle w:val="6"/>
              <w:spacing w:before="103" w:line="188" w:lineRule="auto"/>
              <w:ind w:left="484"/>
            </w:pPr>
            <w:r>
              <w:rPr>
                <w:spacing w:val="-2"/>
              </w:rPr>
              <w:t>0.5097</w:t>
            </w:r>
          </w:p>
        </w:tc>
        <w:tc>
          <w:tcPr>
            <w:tcW w:w="1708" w:type="dxa"/>
            <w:vAlign w:val="top"/>
          </w:tcPr>
          <w:p w14:paraId="67B3DB6E">
            <w:pPr>
              <w:pStyle w:val="6"/>
              <w:spacing w:before="103" w:line="188" w:lineRule="auto"/>
              <w:ind w:left="570"/>
            </w:pPr>
            <w:r>
              <w:rPr>
                <w:spacing w:val="-2"/>
              </w:rPr>
              <w:t>0.0403</w:t>
            </w:r>
          </w:p>
        </w:tc>
        <w:tc>
          <w:tcPr>
            <w:tcW w:w="1540" w:type="dxa"/>
            <w:vAlign w:val="top"/>
          </w:tcPr>
          <w:p w14:paraId="3E9FF8CF">
            <w:pPr>
              <w:pStyle w:val="6"/>
              <w:spacing w:before="103" w:line="188" w:lineRule="auto"/>
              <w:ind w:left="485"/>
            </w:pPr>
            <w:r>
              <w:rPr>
                <w:spacing w:val="-2"/>
              </w:rPr>
              <w:t>0.4034</w:t>
            </w:r>
          </w:p>
        </w:tc>
      </w:tr>
      <w:tr w14:paraId="3E56E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0812FC8A">
            <w:pPr>
              <w:pStyle w:val="6"/>
              <w:spacing w:before="104" w:line="188" w:lineRule="auto"/>
              <w:ind w:left="588"/>
            </w:pPr>
            <w:r>
              <w:rPr>
                <w:spacing w:val="-4"/>
              </w:rPr>
              <w:t>12000.0</w:t>
            </w:r>
          </w:p>
        </w:tc>
        <w:tc>
          <w:tcPr>
            <w:tcW w:w="1708" w:type="dxa"/>
            <w:vAlign w:val="top"/>
          </w:tcPr>
          <w:p w14:paraId="25FFD67E">
            <w:pPr>
              <w:pStyle w:val="6"/>
              <w:spacing w:before="104" w:line="188" w:lineRule="auto"/>
              <w:ind w:left="567"/>
            </w:pPr>
            <w:r>
              <w:rPr>
                <w:spacing w:val="-2"/>
              </w:rPr>
              <w:t>0.9361</w:t>
            </w:r>
          </w:p>
        </w:tc>
        <w:tc>
          <w:tcPr>
            <w:tcW w:w="1537" w:type="dxa"/>
            <w:vAlign w:val="top"/>
          </w:tcPr>
          <w:p w14:paraId="5C4ABB38">
            <w:pPr>
              <w:pStyle w:val="6"/>
              <w:spacing w:before="104" w:line="188" w:lineRule="auto"/>
              <w:ind w:left="484"/>
            </w:pPr>
            <w:r>
              <w:rPr>
                <w:spacing w:val="-2"/>
              </w:rPr>
              <w:t>0.4681</w:t>
            </w:r>
          </w:p>
        </w:tc>
        <w:tc>
          <w:tcPr>
            <w:tcW w:w="1708" w:type="dxa"/>
            <w:vAlign w:val="top"/>
          </w:tcPr>
          <w:p w14:paraId="095FFACA">
            <w:pPr>
              <w:pStyle w:val="6"/>
              <w:spacing w:before="104" w:line="188" w:lineRule="auto"/>
              <w:ind w:left="570"/>
            </w:pPr>
            <w:r>
              <w:rPr>
                <w:spacing w:val="-2"/>
              </w:rPr>
              <w:t>0.0370</w:t>
            </w:r>
          </w:p>
        </w:tc>
        <w:tc>
          <w:tcPr>
            <w:tcW w:w="1540" w:type="dxa"/>
            <w:vAlign w:val="top"/>
          </w:tcPr>
          <w:p w14:paraId="7C13DB1B">
            <w:pPr>
              <w:pStyle w:val="6"/>
              <w:spacing w:before="104" w:line="188" w:lineRule="auto"/>
              <w:ind w:left="485"/>
            </w:pPr>
            <w:r>
              <w:rPr>
                <w:spacing w:val="-2"/>
              </w:rPr>
              <w:t>0.3705</w:t>
            </w:r>
          </w:p>
        </w:tc>
      </w:tr>
      <w:tr w14:paraId="49DF7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07D507B">
            <w:pPr>
              <w:pStyle w:val="6"/>
              <w:spacing w:before="103" w:line="188" w:lineRule="auto"/>
              <w:ind w:left="588"/>
            </w:pPr>
            <w:r>
              <w:rPr>
                <w:spacing w:val="-4"/>
              </w:rPr>
              <w:t>13000.0</w:t>
            </w:r>
          </w:p>
        </w:tc>
        <w:tc>
          <w:tcPr>
            <w:tcW w:w="1708" w:type="dxa"/>
            <w:vAlign w:val="top"/>
          </w:tcPr>
          <w:p w14:paraId="30490C2C">
            <w:pPr>
              <w:pStyle w:val="6"/>
              <w:spacing w:before="103" w:line="188" w:lineRule="auto"/>
              <w:ind w:left="567"/>
            </w:pPr>
            <w:r>
              <w:rPr>
                <w:spacing w:val="-2"/>
              </w:rPr>
              <w:t>0.8620</w:t>
            </w:r>
          </w:p>
        </w:tc>
        <w:tc>
          <w:tcPr>
            <w:tcW w:w="1537" w:type="dxa"/>
            <w:vAlign w:val="top"/>
          </w:tcPr>
          <w:p w14:paraId="328057E7">
            <w:pPr>
              <w:pStyle w:val="6"/>
              <w:spacing w:before="103" w:line="188" w:lineRule="auto"/>
              <w:ind w:left="484"/>
            </w:pPr>
            <w:r>
              <w:rPr>
                <w:spacing w:val="-2"/>
              </w:rPr>
              <w:t>0.4310</w:t>
            </w:r>
          </w:p>
        </w:tc>
        <w:tc>
          <w:tcPr>
            <w:tcW w:w="1708" w:type="dxa"/>
            <w:vAlign w:val="top"/>
          </w:tcPr>
          <w:p w14:paraId="5B7D3DE7">
            <w:pPr>
              <w:pStyle w:val="6"/>
              <w:spacing w:before="103" w:line="188" w:lineRule="auto"/>
              <w:ind w:left="570"/>
            </w:pPr>
            <w:r>
              <w:rPr>
                <w:spacing w:val="-2"/>
              </w:rPr>
              <w:t>0.0341</w:t>
            </w:r>
          </w:p>
        </w:tc>
        <w:tc>
          <w:tcPr>
            <w:tcW w:w="1540" w:type="dxa"/>
            <w:vAlign w:val="top"/>
          </w:tcPr>
          <w:p w14:paraId="35090690">
            <w:pPr>
              <w:pStyle w:val="6"/>
              <w:spacing w:before="103" w:line="188" w:lineRule="auto"/>
              <w:ind w:left="485"/>
            </w:pPr>
            <w:r>
              <w:rPr>
                <w:spacing w:val="-2"/>
              </w:rPr>
              <w:t>0.3412</w:t>
            </w:r>
          </w:p>
        </w:tc>
      </w:tr>
      <w:tr w14:paraId="78F37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0DF9CD55">
            <w:pPr>
              <w:pStyle w:val="6"/>
              <w:spacing w:before="104" w:line="188" w:lineRule="auto"/>
              <w:ind w:left="588"/>
            </w:pPr>
            <w:r>
              <w:rPr>
                <w:spacing w:val="-4"/>
              </w:rPr>
              <w:t>14000.0</w:t>
            </w:r>
          </w:p>
        </w:tc>
        <w:tc>
          <w:tcPr>
            <w:tcW w:w="1708" w:type="dxa"/>
            <w:vAlign w:val="top"/>
          </w:tcPr>
          <w:p w14:paraId="371E352D">
            <w:pPr>
              <w:pStyle w:val="6"/>
              <w:spacing w:before="104" w:line="188" w:lineRule="auto"/>
              <w:ind w:left="571"/>
            </w:pPr>
            <w:r>
              <w:rPr>
                <w:spacing w:val="-2"/>
              </w:rPr>
              <w:t>0.7911</w:t>
            </w:r>
          </w:p>
        </w:tc>
        <w:tc>
          <w:tcPr>
            <w:tcW w:w="1537" w:type="dxa"/>
            <w:vAlign w:val="top"/>
          </w:tcPr>
          <w:p w14:paraId="72DEF264">
            <w:pPr>
              <w:pStyle w:val="6"/>
              <w:spacing w:before="104" w:line="188" w:lineRule="auto"/>
              <w:ind w:left="484"/>
            </w:pPr>
            <w:r>
              <w:rPr>
                <w:spacing w:val="-2"/>
              </w:rPr>
              <w:t>0.3955</w:t>
            </w:r>
          </w:p>
        </w:tc>
        <w:tc>
          <w:tcPr>
            <w:tcW w:w="1708" w:type="dxa"/>
            <w:vAlign w:val="top"/>
          </w:tcPr>
          <w:p w14:paraId="2241DA5B">
            <w:pPr>
              <w:pStyle w:val="6"/>
              <w:spacing w:before="104" w:line="188" w:lineRule="auto"/>
              <w:ind w:left="570"/>
            </w:pPr>
            <w:r>
              <w:rPr>
                <w:spacing w:val="-2"/>
              </w:rPr>
              <w:t>0.0313</w:t>
            </w:r>
          </w:p>
        </w:tc>
        <w:tc>
          <w:tcPr>
            <w:tcW w:w="1540" w:type="dxa"/>
            <w:vAlign w:val="top"/>
          </w:tcPr>
          <w:p w14:paraId="3163BD9C">
            <w:pPr>
              <w:pStyle w:val="6"/>
              <w:spacing w:before="104" w:line="188" w:lineRule="auto"/>
              <w:ind w:left="485"/>
            </w:pPr>
            <w:r>
              <w:rPr>
                <w:spacing w:val="-2"/>
              </w:rPr>
              <w:t>0.3131</w:t>
            </w:r>
          </w:p>
        </w:tc>
      </w:tr>
      <w:tr w14:paraId="5B546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42FA7C2">
            <w:pPr>
              <w:pStyle w:val="6"/>
              <w:spacing w:before="103" w:line="188" w:lineRule="auto"/>
              <w:ind w:left="588"/>
            </w:pPr>
            <w:r>
              <w:rPr>
                <w:spacing w:val="-4"/>
              </w:rPr>
              <w:t>15000.0</w:t>
            </w:r>
          </w:p>
        </w:tc>
        <w:tc>
          <w:tcPr>
            <w:tcW w:w="1708" w:type="dxa"/>
            <w:vAlign w:val="top"/>
          </w:tcPr>
          <w:p w14:paraId="1A875A0E">
            <w:pPr>
              <w:pStyle w:val="6"/>
              <w:spacing w:before="103" w:line="188" w:lineRule="auto"/>
              <w:ind w:left="567"/>
            </w:pPr>
            <w:r>
              <w:rPr>
                <w:spacing w:val="-2"/>
              </w:rPr>
              <w:t>0.7267</w:t>
            </w:r>
          </w:p>
        </w:tc>
        <w:tc>
          <w:tcPr>
            <w:tcW w:w="1537" w:type="dxa"/>
            <w:vAlign w:val="top"/>
          </w:tcPr>
          <w:p w14:paraId="18C3C5A9">
            <w:pPr>
              <w:pStyle w:val="6"/>
              <w:spacing w:before="103" w:line="188" w:lineRule="auto"/>
              <w:ind w:left="484"/>
            </w:pPr>
            <w:r>
              <w:rPr>
                <w:spacing w:val="-2"/>
              </w:rPr>
              <w:t>0.3634</w:t>
            </w:r>
          </w:p>
        </w:tc>
        <w:tc>
          <w:tcPr>
            <w:tcW w:w="1708" w:type="dxa"/>
            <w:vAlign w:val="top"/>
          </w:tcPr>
          <w:p w14:paraId="17087182">
            <w:pPr>
              <w:pStyle w:val="6"/>
              <w:spacing w:before="103" w:line="188" w:lineRule="auto"/>
              <w:ind w:left="570"/>
            </w:pPr>
            <w:r>
              <w:rPr>
                <w:spacing w:val="-2"/>
              </w:rPr>
              <w:t>0.0288</w:t>
            </w:r>
          </w:p>
        </w:tc>
        <w:tc>
          <w:tcPr>
            <w:tcW w:w="1540" w:type="dxa"/>
            <w:vAlign w:val="top"/>
          </w:tcPr>
          <w:p w14:paraId="5ADF445B">
            <w:pPr>
              <w:pStyle w:val="6"/>
              <w:spacing w:before="103" w:line="188" w:lineRule="auto"/>
              <w:ind w:left="485"/>
            </w:pPr>
            <w:r>
              <w:rPr>
                <w:spacing w:val="-2"/>
              </w:rPr>
              <w:t>0.2876</w:t>
            </w:r>
          </w:p>
        </w:tc>
      </w:tr>
      <w:tr w14:paraId="781F4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70099D6">
            <w:pPr>
              <w:pStyle w:val="6"/>
              <w:spacing w:before="104" w:line="188" w:lineRule="auto"/>
              <w:ind w:left="568"/>
            </w:pPr>
            <w:r>
              <w:rPr>
                <w:spacing w:val="-1"/>
              </w:rPr>
              <w:t>20000.0</w:t>
            </w:r>
          </w:p>
        </w:tc>
        <w:tc>
          <w:tcPr>
            <w:tcW w:w="1708" w:type="dxa"/>
            <w:vAlign w:val="top"/>
          </w:tcPr>
          <w:p w14:paraId="1B2B6649">
            <w:pPr>
              <w:pStyle w:val="6"/>
              <w:spacing w:before="104" w:line="188" w:lineRule="auto"/>
              <w:ind w:left="567"/>
            </w:pPr>
            <w:r>
              <w:rPr>
                <w:spacing w:val="-2"/>
              </w:rPr>
              <w:t>0.4867</w:t>
            </w:r>
          </w:p>
        </w:tc>
        <w:tc>
          <w:tcPr>
            <w:tcW w:w="1537" w:type="dxa"/>
            <w:vAlign w:val="top"/>
          </w:tcPr>
          <w:p w14:paraId="39844E10">
            <w:pPr>
              <w:pStyle w:val="6"/>
              <w:spacing w:before="104" w:line="188" w:lineRule="auto"/>
              <w:ind w:left="484"/>
            </w:pPr>
            <w:r>
              <w:rPr>
                <w:spacing w:val="-2"/>
              </w:rPr>
              <w:t>0.2433</w:t>
            </w:r>
          </w:p>
        </w:tc>
        <w:tc>
          <w:tcPr>
            <w:tcW w:w="1708" w:type="dxa"/>
            <w:vAlign w:val="top"/>
          </w:tcPr>
          <w:p w14:paraId="7C22892A">
            <w:pPr>
              <w:pStyle w:val="6"/>
              <w:spacing w:before="104" w:line="188" w:lineRule="auto"/>
              <w:ind w:left="570"/>
            </w:pPr>
            <w:r>
              <w:rPr>
                <w:spacing w:val="-2"/>
              </w:rPr>
              <w:t>0.0193</w:t>
            </w:r>
          </w:p>
        </w:tc>
        <w:tc>
          <w:tcPr>
            <w:tcW w:w="1540" w:type="dxa"/>
            <w:vAlign w:val="top"/>
          </w:tcPr>
          <w:p w14:paraId="0607004C">
            <w:pPr>
              <w:pStyle w:val="6"/>
              <w:spacing w:before="104" w:line="188" w:lineRule="auto"/>
              <w:ind w:left="485"/>
            </w:pPr>
            <w:r>
              <w:rPr>
                <w:spacing w:val="-2"/>
              </w:rPr>
              <w:t>0.1926</w:t>
            </w:r>
          </w:p>
        </w:tc>
      </w:tr>
      <w:tr w14:paraId="47D7D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9" w:type="dxa"/>
            <w:vAlign w:val="top"/>
          </w:tcPr>
          <w:p w14:paraId="22171FAD">
            <w:pPr>
              <w:pStyle w:val="6"/>
              <w:spacing w:before="103" w:line="188" w:lineRule="auto"/>
              <w:ind w:left="568"/>
            </w:pPr>
            <w:r>
              <w:rPr>
                <w:spacing w:val="-1"/>
              </w:rPr>
              <w:t>25000.0</w:t>
            </w:r>
          </w:p>
        </w:tc>
        <w:tc>
          <w:tcPr>
            <w:tcW w:w="1708" w:type="dxa"/>
            <w:vAlign w:val="top"/>
          </w:tcPr>
          <w:p w14:paraId="623516AD">
            <w:pPr>
              <w:pStyle w:val="6"/>
              <w:spacing w:before="103" w:line="188" w:lineRule="auto"/>
              <w:ind w:left="567"/>
            </w:pPr>
            <w:r>
              <w:rPr>
                <w:spacing w:val="-2"/>
              </w:rPr>
              <w:t>0.4020</w:t>
            </w:r>
          </w:p>
        </w:tc>
        <w:tc>
          <w:tcPr>
            <w:tcW w:w="1537" w:type="dxa"/>
            <w:vAlign w:val="top"/>
          </w:tcPr>
          <w:p w14:paraId="3BD2A7F7">
            <w:pPr>
              <w:pStyle w:val="6"/>
              <w:spacing w:before="103" w:line="188" w:lineRule="auto"/>
              <w:ind w:left="484"/>
            </w:pPr>
            <w:r>
              <w:rPr>
                <w:spacing w:val="-2"/>
              </w:rPr>
              <w:t>0.2010</w:t>
            </w:r>
          </w:p>
        </w:tc>
        <w:tc>
          <w:tcPr>
            <w:tcW w:w="1708" w:type="dxa"/>
            <w:vAlign w:val="top"/>
          </w:tcPr>
          <w:p w14:paraId="0AE25029">
            <w:pPr>
              <w:pStyle w:val="6"/>
              <w:spacing w:before="103" w:line="188" w:lineRule="auto"/>
              <w:ind w:left="570"/>
            </w:pPr>
            <w:r>
              <w:rPr>
                <w:spacing w:val="-2"/>
              </w:rPr>
              <w:t>0.0159</w:t>
            </w:r>
          </w:p>
        </w:tc>
        <w:tc>
          <w:tcPr>
            <w:tcW w:w="1540" w:type="dxa"/>
            <w:vAlign w:val="top"/>
          </w:tcPr>
          <w:p w14:paraId="47D3D86D">
            <w:pPr>
              <w:pStyle w:val="6"/>
              <w:spacing w:before="103" w:line="188" w:lineRule="auto"/>
              <w:ind w:left="485"/>
            </w:pPr>
            <w:r>
              <w:rPr>
                <w:spacing w:val="-2"/>
              </w:rPr>
              <w:t>0.1591</w:t>
            </w:r>
          </w:p>
        </w:tc>
      </w:tr>
    </w:tbl>
    <w:p w14:paraId="0D659A2B">
      <w:pPr>
        <w:pStyle w:val="2"/>
      </w:pPr>
    </w:p>
    <w:p w14:paraId="3CF94DA1">
      <w:pPr>
        <w:sectPr>
          <w:headerReference r:id="rId299" w:type="default"/>
          <w:footerReference r:id="rId300" w:type="default"/>
          <w:pgSz w:w="11905" w:h="16840"/>
          <w:pgMar w:top="1168" w:right="1573" w:bottom="1409" w:left="1770" w:header="828" w:footer="1244" w:gutter="0"/>
          <w:cols w:space="720" w:num="1"/>
        </w:sectPr>
      </w:pPr>
    </w:p>
    <w:p w14:paraId="4B1AD142">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4DEFF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351C26AE">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39B224AC">
            <w:pPr>
              <w:spacing w:before="63" w:line="219" w:lineRule="auto"/>
              <w:ind w:left="2733"/>
              <w:rPr>
                <w:rFonts w:ascii="宋体" w:hAnsi="宋体" w:eastAsia="宋体" w:cs="宋体"/>
                <w:sz w:val="21"/>
                <w:szCs w:val="21"/>
              </w:rPr>
            </w:pPr>
            <w:r>
              <w:rPr>
                <w:rFonts w:ascii="宋体" w:hAnsi="宋体" w:eastAsia="宋体" w:cs="宋体"/>
                <w:spacing w:val="-3"/>
                <w:sz w:val="21"/>
                <w:szCs w:val="21"/>
              </w:rPr>
              <w:t>育肥楼体源</w:t>
            </w:r>
          </w:p>
        </w:tc>
      </w:tr>
      <w:tr w14:paraId="79FD8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19" w:type="dxa"/>
            <w:vMerge w:val="continue"/>
            <w:tcBorders>
              <w:top w:val="nil"/>
            </w:tcBorders>
            <w:vAlign w:val="top"/>
          </w:tcPr>
          <w:p w14:paraId="16599E16">
            <w:pPr>
              <w:rPr>
                <w:rFonts w:ascii="Arial"/>
                <w:sz w:val="21"/>
              </w:rPr>
            </w:pPr>
          </w:p>
        </w:tc>
        <w:tc>
          <w:tcPr>
            <w:tcW w:w="1708" w:type="dxa"/>
            <w:vAlign w:val="top"/>
          </w:tcPr>
          <w:p w14:paraId="18A7EA7D">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3C159A66">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42324F46">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6F318585">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2F5FC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2506D6DE">
            <w:pPr>
              <w:spacing w:before="63" w:line="220" w:lineRule="auto"/>
              <w:ind w:left="184"/>
              <w:rPr>
                <w:rFonts w:ascii="宋体" w:hAnsi="宋体" w:eastAsia="宋体" w:cs="宋体"/>
                <w:sz w:val="21"/>
                <w:szCs w:val="21"/>
              </w:rPr>
            </w:pPr>
            <w:r>
              <w:rPr>
                <w:rFonts w:ascii="宋体" w:hAnsi="宋体" w:eastAsia="宋体" w:cs="宋体"/>
                <w:spacing w:val="-2"/>
                <w:sz w:val="21"/>
                <w:szCs w:val="21"/>
              </w:rPr>
              <w:t>下风向最大浓度</w:t>
            </w:r>
          </w:p>
        </w:tc>
        <w:tc>
          <w:tcPr>
            <w:tcW w:w="1708" w:type="dxa"/>
            <w:vAlign w:val="top"/>
          </w:tcPr>
          <w:p w14:paraId="0744A7C1">
            <w:pPr>
              <w:pStyle w:val="6"/>
              <w:spacing w:before="100" w:line="188" w:lineRule="auto"/>
              <w:ind w:left="532"/>
            </w:pPr>
            <w:r>
              <w:rPr>
                <w:spacing w:val="-4"/>
              </w:rPr>
              <w:t>18.7220</w:t>
            </w:r>
          </w:p>
        </w:tc>
        <w:tc>
          <w:tcPr>
            <w:tcW w:w="1537" w:type="dxa"/>
            <w:vAlign w:val="top"/>
          </w:tcPr>
          <w:p w14:paraId="45B8D08B">
            <w:pPr>
              <w:pStyle w:val="6"/>
              <w:spacing w:before="100" w:line="188" w:lineRule="auto"/>
              <w:ind w:left="485"/>
            </w:pPr>
            <w:r>
              <w:rPr>
                <w:spacing w:val="-2"/>
              </w:rPr>
              <w:t>9.3610</w:t>
            </w:r>
          </w:p>
        </w:tc>
        <w:tc>
          <w:tcPr>
            <w:tcW w:w="1708" w:type="dxa"/>
            <w:vAlign w:val="top"/>
          </w:tcPr>
          <w:p w14:paraId="5C99E546">
            <w:pPr>
              <w:pStyle w:val="6"/>
              <w:spacing w:before="100" w:line="188" w:lineRule="auto"/>
              <w:ind w:left="569"/>
            </w:pPr>
            <w:r>
              <w:rPr>
                <w:spacing w:val="-2"/>
              </w:rPr>
              <w:t>0.7410</w:t>
            </w:r>
          </w:p>
        </w:tc>
        <w:tc>
          <w:tcPr>
            <w:tcW w:w="1540" w:type="dxa"/>
            <w:vAlign w:val="top"/>
          </w:tcPr>
          <w:p w14:paraId="5CC06931">
            <w:pPr>
              <w:pStyle w:val="6"/>
              <w:spacing w:before="100" w:line="188" w:lineRule="auto"/>
              <w:ind w:left="485"/>
            </w:pPr>
            <w:r>
              <w:rPr>
                <w:spacing w:val="-2"/>
              </w:rPr>
              <w:t>7.4098</w:t>
            </w:r>
          </w:p>
        </w:tc>
      </w:tr>
      <w:tr w14:paraId="271AD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819" w:type="dxa"/>
            <w:vAlign w:val="top"/>
          </w:tcPr>
          <w:p w14:paraId="73A91B6E">
            <w:pPr>
              <w:spacing w:before="50" w:line="247" w:lineRule="auto"/>
              <w:ind w:left="511" w:right="173" w:hanging="327"/>
              <w:rPr>
                <w:rFonts w:ascii="宋体" w:hAnsi="宋体" w:eastAsia="宋体" w:cs="宋体"/>
                <w:sz w:val="21"/>
                <w:szCs w:val="21"/>
              </w:rPr>
            </w:pPr>
            <w:r>
              <w:rPr>
                <w:rFonts w:ascii="宋体" w:hAnsi="宋体" w:eastAsia="宋体" w:cs="宋体"/>
                <w:spacing w:val="-3"/>
                <w:sz w:val="21"/>
                <w:szCs w:val="21"/>
              </w:rPr>
              <w:t>下风向最大浓度</w:t>
            </w:r>
            <w:r>
              <w:rPr>
                <w:rFonts w:ascii="宋体" w:hAnsi="宋体" w:eastAsia="宋体" w:cs="宋体"/>
                <w:spacing w:val="-5"/>
                <w:sz w:val="21"/>
                <w:szCs w:val="21"/>
              </w:rPr>
              <w:t>出现距离</w:t>
            </w:r>
          </w:p>
        </w:tc>
        <w:tc>
          <w:tcPr>
            <w:tcW w:w="1708" w:type="dxa"/>
            <w:vAlign w:val="top"/>
          </w:tcPr>
          <w:p w14:paraId="4A2CB3EF">
            <w:pPr>
              <w:pStyle w:val="6"/>
              <w:spacing w:before="242" w:line="188" w:lineRule="auto"/>
              <w:ind w:left="678"/>
            </w:pPr>
            <w:r>
              <w:rPr>
                <w:spacing w:val="-3"/>
              </w:rPr>
              <w:t>85.0</w:t>
            </w:r>
          </w:p>
        </w:tc>
        <w:tc>
          <w:tcPr>
            <w:tcW w:w="1537" w:type="dxa"/>
            <w:vAlign w:val="top"/>
          </w:tcPr>
          <w:p w14:paraId="5DA93636">
            <w:pPr>
              <w:pStyle w:val="6"/>
              <w:spacing w:before="242" w:line="188" w:lineRule="auto"/>
              <w:ind w:left="594"/>
            </w:pPr>
            <w:r>
              <w:rPr>
                <w:spacing w:val="-3"/>
              </w:rPr>
              <w:t>85.0</w:t>
            </w:r>
          </w:p>
        </w:tc>
        <w:tc>
          <w:tcPr>
            <w:tcW w:w="1708" w:type="dxa"/>
            <w:vAlign w:val="top"/>
          </w:tcPr>
          <w:p w14:paraId="6653B907">
            <w:pPr>
              <w:pStyle w:val="6"/>
              <w:spacing w:before="242" w:line="188" w:lineRule="auto"/>
              <w:ind w:left="681"/>
            </w:pPr>
            <w:r>
              <w:rPr>
                <w:spacing w:val="-3"/>
              </w:rPr>
              <w:t>85.0</w:t>
            </w:r>
          </w:p>
        </w:tc>
        <w:tc>
          <w:tcPr>
            <w:tcW w:w="1540" w:type="dxa"/>
            <w:vAlign w:val="top"/>
          </w:tcPr>
          <w:p w14:paraId="3A7818F7">
            <w:pPr>
              <w:pStyle w:val="6"/>
              <w:spacing w:before="242" w:line="188" w:lineRule="auto"/>
              <w:ind w:left="596"/>
            </w:pPr>
            <w:r>
              <w:rPr>
                <w:spacing w:val="-3"/>
              </w:rPr>
              <w:t>85.0</w:t>
            </w:r>
          </w:p>
        </w:tc>
      </w:tr>
      <w:tr w14:paraId="755CA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8E02615">
            <w:pPr>
              <w:pStyle w:val="6"/>
              <w:spacing w:before="64" w:line="220" w:lineRule="auto"/>
              <w:ind w:left="220"/>
              <w:rPr>
                <w:rFonts w:ascii="宋体" w:hAnsi="宋体" w:eastAsia="宋体" w:cs="宋体"/>
              </w:rPr>
            </w:pPr>
            <w:r>
              <w:rPr>
                <w:spacing w:val="-1"/>
              </w:rPr>
              <w:t>D10%</w:t>
            </w:r>
            <w:r>
              <w:rPr>
                <w:rFonts w:ascii="宋体" w:hAnsi="宋体" w:eastAsia="宋体" w:cs="宋体"/>
                <w:spacing w:val="-1"/>
              </w:rPr>
              <w:t>最远距离</w:t>
            </w:r>
          </w:p>
        </w:tc>
        <w:tc>
          <w:tcPr>
            <w:tcW w:w="1708" w:type="dxa"/>
            <w:vAlign w:val="top"/>
          </w:tcPr>
          <w:p w14:paraId="145A9091">
            <w:pPr>
              <w:pStyle w:val="6"/>
              <w:spacing w:before="97" w:line="192" w:lineRule="auto"/>
              <w:ind w:left="819"/>
            </w:pPr>
            <w:r>
              <w:t>/</w:t>
            </w:r>
          </w:p>
        </w:tc>
        <w:tc>
          <w:tcPr>
            <w:tcW w:w="1537" w:type="dxa"/>
            <w:vAlign w:val="top"/>
          </w:tcPr>
          <w:p w14:paraId="085F6A30">
            <w:pPr>
              <w:pStyle w:val="6"/>
              <w:spacing w:before="97" w:line="192" w:lineRule="auto"/>
              <w:ind w:left="736"/>
            </w:pPr>
            <w:r>
              <w:t>/</w:t>
            </w:r>
          </w:p>
        </w:tc>
        <w:tc>
          <w:tcPr>
            <w:tcW w:w="1708" w:type="dxa"/>
            <w:vAlign w:val="top"/>
          </w:tcPr>
          <w:p w14:paraId="444C1331">
            <w:pPr>
              <w:pStyle w:val="6"/>
              <w:spacing w:before="97" w:line="192" w:lineRule="auto"/>
              <w:ind w:left="822"/>
            </w:pPr>
            <w:r>
              <w:t>/</w:t>
            </w:r>
          </w:p>
        </w:tc>
        <w:tc>
          <w:tcPr>
            <w:tcW w:w="1540" w:type="dxa"/>
            <w:vAlign w:val="top"/>
          </w:tcPr>
          <w:p w14:paraId="6F3B4F9E">
            <w:pPr>
              <w:pStyle w:val="6"/>
              <w:spacing w:before="97" w:line="192" w:lineRule="auto"/>
              <w:ind w:left="737"/>
            </w:pPr>
            <w:r>
              <w:t>/</w:t>
            </w:r>
          </w:p>
        </w:tc>
      </w:tr>
    </w:tbl>
    <w:p w14:paraId="439A2D1A">
      <w:pPr>
        <w:spacing w:before="247"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4.2-7  </w:t>
      </w:r>
      <w:r>
        <w:rPr>
          <w:rFonts w:ascii="黑体" w:hAnsi="黑体" w:eastAsia="黑体" w:cs="黑体"/>
          <w:spacing w:val="-1"/>
          <w:sz w:val="21"/>
          <w:szCs w:val="21"/>
        </w:rPr>
        <w:t>保育楼体源预测结果表</w:t>
      </w:r>
    </w:p>
    <w:p w14:paraId="111E5CEF">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5600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3" w:hRule="atLeast"/>
        </w:trPr>
        <w:tc>
          <w:tcPr>
            <w:tcW w:w="1819" w:type="dxa"/>
            <w:vMerge w:val="restart"/>
            <w:tcBorders>
              <w:bottom w:val="nil"/>
            </w:tcBorders>
            <w:vAlign w:val="top"/>
          </w:tcPr>
          <w:p w14:paraId="0B3EFD7C">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04105CF3">
            <w:pPr>
              <w:spacing w:before="63" w:line="220" w:lineRule="auto"/>
              <w:ind w:left="2725"/>
              <w:rPr>
                <w:rFonts w:ascii="宋体" w:hAnsi="宋体" w:eastAsia="宋体" w:cs="宋体"/>
                <w:sz w:val="21"/>
                <w:szCs w:val="21"/>
              </w:rPr>
            </w:pPr>
            <w:r>
              <w:rPr>
                <w:rFonts w:ascii="宋体" w:hAnsi="宋体" w:eastAsia="宋体" w:cs="宋体"/>
                <w:spacing w:val="-2"/>
                <w:sz w:val="21"/>
                <w:szCs w:val="21"/>
              </w:rPr>
              <w:t>保育楼体源</w:t>
            </w:r>
          </w:p>
        </w:tc>
      </w:tr>
      <w:tr w14:paraId="4A6C4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Merge w:val="continue"/>
            <w:tcBorders>
              <w:top w:val="nil"/>
            </w:tcBorders>
            <w:vAlign w:val="top"/>
          </w:tcPr>
          <w:p w14:paraId="0270D09A">
            <w:pPr>
              <w:rPr>
                <w:rFonts w:ascii="Arial"/>
                <w:sz w:val="21"/>
              </w:rPr>
            </w:pPr>
          </w:p>
        </w:tc>
        <w:tc>
          <w:tcPr>
            <w:tcW w:w="1708" w:type="dxa"/>
            <w:vAlign w:val="top"/>
          </w:tcPr>
          <w:p w14:paraId="1A635B40">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3EDA64A6">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1FAF5A52">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5645BA03">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2C813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4D95BC27">
            <w:pPr>
              <w:pStyle w:val="6"/>
              <w:spacing w:before="98" w:line="188" w:lineRule="auto"/>
              <w:ind w:left="732"/>
            </w:pPr>
            <w:r>
              <w:rPr>
                <w:spacing w:val="-3"/>
              </w:rPr>
              <w:t>50.0</w:t>
            </w:r>
          </w:p>
        </w:tc>
        <w:tc>
          <w:tcPr>
            <w:tcW w:w="1708" w:type="dxa"/>
            <w:vAlign w:val="top"/>
          </w:tcPr>
          <w:p w14:paraId="40B9D165">
            <w:pPr>
              <w:pStyle w:val="6"/>
              <w:spacing w:before="98" w:line="188" w:lineRule="auto"/>
              <w:ind w:left="563"/>
            </w:pPr>
            <w:r>
              <w:rPr>
                <w:spacing w:val="-1"/>
              </w:rPr>
              <w:t>4.9383</w:t>
            </w:r>
          </w:p>
        </w:tc>
        <w:tc>
          <w:tcPr>
            <w:tcW w:w="1537" w:type="dxa"/>
            <w:vAlign w:val="top"/>
          </w:tcPr>
          <w:p w14:paraId="7FFCE239">
            <w:pPr>
              <w:pStyle w:val="6"/>
              <w:spacing w:before="98" w:line="188" w:lineRule="auto"/>
              <w:ind w:left="481"/>
            </w:pPr>
            <w:r>
              <w:rPr>
                <w:spacing w:val="-1"/>
              </w:rPr>
              <w:t>2.4691</w:t>
            </w:r>
          </w:p>
        </w:tc>
        <w:tc>
          <w:tcPr>
            <w:tcW w:w="1708" w:type="dxa"/>
            <w:vAlign w:val="top"/>
          </w:tcPr>
          <w:p w14:paraId="4328A4C9">
            <w:pPr>
              <w:pStyle w:val="6"/>
              <w:spacing w:before="98" w:line="188" w:lineRule="auto"/>
              <w:ind w:left="570"/>
            </w:pPr>
            <w:r>
              <w:rPr>
                <w:spacing w:val="-2"/>
              </w:rPr>
              <w:t>0.1975</w:t>
            </w:r>
          </w:p>
        </w:tc>
        <w:tc>
          <w:tcPr>
            <w:tcW w:w="1540" w:type="dxa"/>
            <w:vAlign w:val="top"/>
          </w:tcPr>
          <w:p w14:paraId="5F2274B1">
            <w:pPr>
              <w:pStyle w:val="6"/>
              <w:spacing w:before="98" w:line="188" w:lineRule="auto"/>
              <w:ind w:left="502"/>
            </w:pPr>
            <w:r>
              <w:rPr>
                <w:spacing w:val="-5"/>
              </w:rPr>
              <w:t>1.9753</w:t>
            </w:r>
          </w:p>
        </w:tc>
      </w:tr>
      <w:tr w14:paraId="31AB5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C9C9465">
            <w:pPr>
              <w:pStyle w:val="6"/>
              <w:spacing w:before="99" w:line="188" w:lineRule="auto"/>
              <w:ind w:left="693"/>
            </w:pPr>
            <w:r>
              <w:rPr>
                <w:spacing w:val="-5"/>
              </w:rPr>
              <w:t>100.0</w:t>
            </w:r>
          </w:p>
        </w:tc>
        <w:tc>
          <w:tcPr>
            <w:tcW w:w="1708" w:type="dxa"/>
            <w:vAlign w:val="top"/>
          </w:tcPr>
          <w:p w14:paraId="45437A5F">
            <w:pPr>
              <w:pStyle w:val="6"/>
              <w:spacing w:before="99" w:line="188" w:lineRule="auto"/>
              <w:ind w:left="563"/>
            </w:pPr>
            <w:r>
              <w:rPr>
                <w:spacing w:val="-1"/>
              </w:rPr>
              <w:t>4.8881</w:t>
            </w:r>
          </w:p>
        </w:tc>
        <w:tc>
          <w:tcPr>
            <w:tcW w:w="1537" w:type="dxa"/>
            <w:vAlign w:val="top"/>
          </w:tcPr>
          <w:p w14:paraId="621D2D21">
            <w:pPr>
              <w:pStyle w:val="6"/>
              <w:spacing w:before="99" w:line="188" w:lineRule="auto"/>
              <w:ind w:left="481"/>
            </w:pPr>
            <w:r>
              <w:rPr>
                <w:spacing w:val="-1"/>
              </w:rPr>
              <w:t>2.4440</w:t>
            </w:r>
          </w:p>
        </w:tc>
        <w:tc>
          <w:tcPr>
            <w:tcW w:w="1708" w:type="dxa"/>
            <w:vAlign w:val="top"/>
          </w:tcPr>
          <w:p w14:paraId="70C0A15A">
            <w:pPr>
              <w:pStyle w:val="6"/>
              <w:spacing w:before="99" w:line="188" w:lineRule="auto"/>
              <w:ind w:left="570"/>
            </w:pPr>
            <w:r>
              <w:rPr>
                <w:spacing w:val="-2"/>
              </w:rPr>
              <w:t>0.1955</w:t>
            </w:r>
          </w:p>
        </w:tc>
        <w:tc>
          <w:tcPr>
            <w:tcW w:w="1540" w:type="dxa"/>
            <w:vAlign w:val="top"/>
          </w:tcPr>
          <w:p w14:paraId="575DDD8D">
            <w:pPr>
              <w:pStyle w:val="6"/>
              <w:spacing w:before="99" w:line="188" w:lineRule="auto"/>
              <w:ind w:left="502"/>
            </w:pPr>
            <w:r>
              <w:rPr>
                <w:spacing w:val="-5"/>
              </w:rPr>
              <w:t>1.9552</w:t>
            </w:r>
          </w:p>
        </w:tc>
      </w:tr>
      <w:tr w14:paraId="68A4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2180FCC">
            <w:pPr>
              <w:pStyle w:val="6"/>
              <w:spacing w:before="99" w:line="188" w:lineRule="auto"/>
              <w:ind w:left="673"/>
            </w:pPr>
            <w:r>
              <w:rPr>
                <w:spacing w:val="-1"/>
              </w:rPr>
              <w:t>200.0</w:t>
            </w:r>
          </w:p>
        </w:tc>
        <w:tc>
          <w:tcPr>
            <w:tcW w:w="1708" w:type="dxa"/>
            <w:vAlign w:val="top"/>
          </w:tcPr>
          <w:p w14:paraId="09EDDB5D">
            <w:pPr>
              <w:pStyle w:val="6"/>
              <w:spacing w:before="99" w:line="188" w:lineRule="auto"/>
              <w:ind w:left="570"/>
            </w:pPr>
            <w:r>
              <w:rPr>
                <w:spacing w:val="-2"/>
              </w:rPr>
              <w:t>5.5504</w:t>
            </w:r>
          </w:p>
        </w:tc>
        <w:tc>
          <w:tcPr>
            <w:tcW w:w="1537" w:type="dxa"/>
            <w:vAlign w:val="top"/>
          </w:tcPr>
          <w:p w14:paraId="7E9344C3">
            <w:pPr>
              <w:pStyle w:val="6"/>
              <w:spacing w:before="99" w:line="188" w:lineRule="auto"/>
              <w:ind w:left="481"/>
            </w:pPr>
            <w:r>
              <w:rPr>
                <w:spacing w:val="-1"/>
              </w:rPr>
              <w:t>2.7752</w:t>
            </w:r>
          </w:p>
        </w:tc>
        <w:tc>
          <w:tcPr>
            <w:tcW w:w="1708" w:type="dxa"/>
            <w:vAlign w:val="top"/>
          </w:tcPr>
          <w:p w14:paraId="3C24856F">
            <w:pPr>
              <w:pStyle w:val="6"/>
              <w:spacing w:before="99" w:line="188" w:lineRule="auto"/>
              <w:ind w:left="570"/>
            </w:pPr>
            <w:r>
              <w:rPr>
                <w:spacing w:val="-2"/>
              </w:rPr>
              <w:t>0.2220</w:t>
            </w:r>
          </w:p>
        </w:tc>
        <w:tc>
          <w:tcPr>
            <w:tcW w:w="1540" w:type="dxa"/>
            <w:vAlign w:val="top"/>
          </w:tcPr>
          <w:p w14:paraId="2BE129EC">
            <w:pPr>
              <w:pStyle w:val="6"/>
              <w:spacing w:before="99" w:line="188" w:lineRule="auto"/>
              <w:ind w:left="482"/>
            </w:pPr>
            <w:r>
              <w:rPr>
                <w:spacing w:val="-1"/>
              </w:rPr>
              <w:t>2.2202</w:t>
            </w:r>
          </w:p>
        </w:tc>
      </w:tr>
      <w:tr w14:paraId="6F2E7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AC8B893">
            <w:pPr>
              <w:pStyle w:val="6"/>
              <w:spacing w:before="99" w:line="188" w:lineRule="auto"/>
              <w:ind w:left="678"/>
            </w:pPr>
            <w:r>
              <w:rPr>
                <w:spacing w:val="-2"/>
              </w:rPr>
              <w:t>300.0</w:t>
            </w:r>
          </w:p>
        </w:tc>
        <w:tc>
          <w:tcPr>
            <w:tcW w:w="1708" w:type="dxa"/>
            <w:vAlign w:val="top"/>
          </w:tcPr>
          <w:p w14:paraId="768DD507">
            <w:pPr>
              <w:pStyle w:val="6"/>
              <w:spacing w:before="99" w:line="188" w:lineRule="auto"/>
              <w:ind w:left="568"/>
            </w:pPr>
            <w:r>
              <w:rPr>
                <w:spacing w:val="-2"/>
              </w:rPr>
              <w:t>3.4319</w:t>
            </w:r>
          </w:p>
        </w:tc>
        <w:tc>
          <w:tcPr>
            <w:tcW w:w="1537" w:type="dxa"/>
            <w:vAlign w:val="top"/>
          </w:tcPr>
          <w:p w14:paraId="410C01D9">
            <w:pPr>
              <w:pStyle w:val="6"/>
              <w:spacing w:before="99" w:line="188" w:lineRule="auto"/>
              <w:ind w:left="501"/>
            </w:pPr>
            <w:r>
              <w:rPr>
                <w:spacing w:val="-5"/>
              </w:rPr>
              <w:t>1.7160</w:t>
            </w:r>
          </w:p>
        </w:tc>
        <w:tc>
          <w:tcPr>
            <w:tcW w:w="1708" w:type="dxa"/>
            <w:vAlign w:val="top"/>
          </w:tcPr>
          <w:p w14:paraId="0D5267A3">
            <w:pPr>
              <w:pStyle w:val="6"/>
              <w:spacing w:before="99" w:line="188" w:lineRule="auto"/>
              <w:ind w:left="570"/>
            </w:pPr>
            <w:r>
              <w:rPr>
                <w:spacing w:val="-2"/>
              </w:rPr>
              <w:t>0.1373</w:t>
            </w:r>
          </w:p>
        </w:tc>
        <w:tc>
          <w:tcPr>
            <w:tcW w:w="1540" w:type="dxa"/>
            <w:vAlign w:val="top"/>
          </w:tcPr>
          <w:p w14:paraId="1B9D45F9">
            <w:pPr>
              <w:pStyle w:val="6"/>
              <w:spacing w:before="99" w:line="188" w:lineRule="auto"/>
              <w:ind w:left="502"/>
            </w:pPr>
            <w:r>
              <w:rPr>
                <w:spacing w:val="-5"/>
              </w:rPr>
              <w:t>1.3728</w:t>
            </w:r>
          </w:p>
        </w:tc>
      </w:tr>
      <w:tr w14:paraId="1BF81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586F767">
            <w:pPr>
              <w:pStyle w:val="6"/>
              <w:spacing w:before="99" w:line="188" w:lineRule="auto"/>
              <w:ind w:left="672"/>
            </w:pPr>
            <w:r>
              <w:rPr>
                <w:spacing w:val="-1"/>
              </w:rPr>
              <w:t>400.0</w:t>
            </w:r>
          </w:p>
        </w:tc>
        <w:tc>
          <w:tcPr>
            <w:tcW w:w="1708" w:type="dxa"/>
            <w:vAlign w:val="top"/>
          </w:tcPr>
          <w:p w14:paraId="084AD536">
            <w:pPr>
              <w:pStyle w:val="6"/>
              <w:spacing w:before="99" w:line="188" w:lineRule="auto"/>
              <w:ind w:left="568"/>
            </w:pPr>
            <w:r>
              <w:rPr>
                <w:spacing w:val="-2"/>
              </w:rPr>
              <w:t>3.2170</w:t>
            </w:r>
          </w:p>
        </w:tc>
        <w:tc>
          <w:tcPr>
            <w:tcW w:w="1537" w:type="dxa"/>
            <w:vAlign w:val="top"/>
          </w:tcPr>
          <w:p w14:paraId="046DDDC8">
            <w:pPr>
              <w:pStyle w:val="6"/>
              <w:spacing w:before="99" w:line="188" w:lineRule="auto"/>
              <w:ind w:left="501"/>
            </w:pPr>
            <w:r>
              <w:rPr>
                <w:spacing w:val="-5"/>
              </w:rPr>
              <w:t>1.6085</w:t>
            </w:r>
          </w:p>
        </w:tc>
        <w:tc>
          <w:tcPr>
            <w:tcW w:w="1708" w:type="dxa"/>
            <w:vAlign w:val="top"/>
          </w:tcPr>
          <w:p w14:paraId="1A791193">
            <w:pPr>
              <w:pStyle w:val="6"/>
              <w:spacing w:before="99" w:line="188" w:lineRule="auto"/>
              <w:ind w:left="570"/>
            </w:pPr>
            <w:r>
              <w:rPr>
                <w:spacing w:val="-2"/>
              </w:rPr>
              <w:t>0.1287</w:t>
            </w:r>
          </w:p>
        </w:tc>
        <w:tc>
          <w:tcPr>
            <w:tcW w:w="1540" w:type="dxa"/>
            <w:vAlign w:val="top"/>
          </w:tcPr>
          <w:p w14:paraId="2C38E16B">
            <w:pPr>
              <w:pStyle w:val="6"/>
              <w:spacing w:before="99" w:line="188" w:lineRule="auto"/>
              <w:ind w:left="502"/>
            </w:pPr>
            <w:r>
              <w:rPr>
                <w:spacing w:val="-5"/>
              </w:rPr>
              <w:t>1.2868</w:t>
            </w:r>
          </w:p>
        </w:tc>
      </w:tr>
      <w:tr w14:paraId="78188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5DCF8C5">
            <w:pPr>
              <w:pStyle w:val="6"/>
              <w:spacing w:before="99" w:line="188" w:lineRule="auto"/>
              <w:ind w:left="679"/>
            </w:pPr>
            <w:r>
              <w:rPr>
                <w:spacing w:val="-2"/>
              </w:rPr>
              <w:t>500.0</w:t>
            </w:r>
          </w:p>
        </w:tc>
        <w:tc>
          <w:tcPr>
            <w:tcW w:w="1708" w:type="dxa"/>
            <w:vAlign w:val="top"/>
          </w:tcPr>
          <w:p w14:paraId="019A97C3">
            <w:pPr>
              <w:pStyle w:val="6"/>
              <w:spacing w:before="99" w:line="188" w:lineRule="auto"/>
              <w:ind w:left="584"/>
            </w:pPr>
            <w:r>
              <w:rPr>
                <w:spacing w:val="-5"/>
              </w:rPr>
              <w:t>1.6360</w:t>
            </w:r>
          </w:p>
        </w:tc>
        <w:tc>
          <w:tcPr>
            <w:tcW w:w="1537" w:type="dxa"/>
            <w:vAlign w:val="top"/>
          </w:tcPr>
          <w:p w14:paraId="798A361B">
            <w:pPr>
              <w:pStyle w:val="6"/>
              <w:spacing w:before="99" w:line="188" w:lineRule="auto"/>
              <w:ind w:left="484"/>
            </w:pPr>
            <w:r>
              <w:rPr>
                <w:spacing w:val="-2"/>
              </w:rPr>
              <w:t>0.8180</w:t>
            </w:r>
          </w:p>
        </w:tc>
        <w:tc>
          <w:tcPr>
            <w:tcW w:w="1708" w:type="dxa"/>
            <w:vAlign w:val="top"/>
          </w:tcPr>
          <w:p w14:paraId="4CCF2B30">
            <w:pPr>
              <w:pStyle w:val="6"/>
              <w:spacing w:before="99" w:line="188" w:lineRule="auto"/>
              <w:ind w:left="570"/>
            </w:pPr>
            <w:r>
              <w:rPr>
                <w:spacing w:val="-2"/>
              </w:rPr>
              <w:t>0.0654</w:t>
            </w:r>
          </w:p>
        </w:tc>
        <w:tc>
          <w:tcPr>
            <w:tcW w:w="1540" w:type="dxa"/>
            <w:vAlign w:val="top"/>
          </w:tcPr>
          <w:p w14:paraId="034E464C">
            <w:pPr>
              <w:pStyle w:val="6"/>
              <w:spacing w:before="99" w:line="188" w:lineRule="auto"/>
              <w:ind w:left="485"/>
            </w:pPr>
            <w:r>
              <w:rPr>
                <w:spacing w:val="-2"/>
              </w:rPr>
              <w:t>0.6544</w:t>
            </w:r>
          </w:p>
        </w:tc>
      </w:tr>
      <w:tr w14:paraId="0DABF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62952D2C">
            <w:pPr>
              <w:pStyle w:val="6"/>
              <w:spacing w:before="99" w:line="188" w:lineRule="auto"/>
              <w:ind w:left="678"/>
            </w:pPr>
            <w:r>
              <w:rPr>
                <w:spacing w:val="-2"/>
              </w:rPr>
              <w:t>600.0</w:t>
            </w:r>
          </w:p>
        </w:tc>
        <w:tc>
          <w:tcPr>
            <w:tcW w:w="1708" w:type="dxa"/>
            <w:vAlign w:val="top"/>
          </w:tcPr>
          <w:p w14:paraId="35AC7532">
            <w:pPr>
              <w:pStyle w:val="6"/>
              <w:spacing w:before="99" w:line="188" w:lineRule="auto"/>
              <w:ind w:left="584"/>
            </w:pPr>
            <w:r>
              <w:rPr>
                <w:spacing w:val="-5"/>
              </w:rPr>
              <w:t>1.4445</w:t>
            </w:r>
          </w:p>
        </w:tc>
        <w:tc>
          <w:tcPr>
            <w:tcW w:w="1537" w:type="dxa"/>
            <w:vAlign w:val="top"/>
          </w:tcPr>
          <w:p w14:paraId="09741FCD">
            <w:pPr>
              <w:pStyle w:val="6"/>
              <w:spacing w:before="99" w:line="188" w:lineRule="auto"/>
              <w:ind w:left="484"/>
            </w:pPr>
            <w:r>
              <w:rPr>
                <w:spacing w:val="-2"/>
              </w:rPr>
              <w:t>0.7222</w:t>
            </w:r>
          </w:p>
        </w:tc>
        <w:tc>
          <w:tcPr>
            <w:tcW w:w="1708" w:type="dxa"/>
            <w:vAlign w:val="top"/>
          </w:tcPr>
          <w:p w14:paraId="7E2E95BE">
            <w:pPr>
              <w:pStyle w:val="6"/>
              <w:spacing w:before="99" w:line="188" w:lineRule="auto"/>
              <w:ind w:left="570"/>
            </w:pPr>
            <w:r>
              <w:rPr>
                <w:spacing w:val="-2"/>
              </w:rPr>
              <w:t>0.0578</w:t>
            </w:r>
          </w:p>
        </w:tc>
        <w:tc>
          <w:tcPr>
            <w:tcW w:w="1540" w:type="dxa"/>
            <w:vAlign w:val="top"/>
          </w:tcPr>
          <w:p w14:paraId="7CBD57D3">
            <w:pPr>
              <w:pStyle w:val="6"/>
              <w:spacing w:before="99" w:line="188" w:lineRule="auto"/>
              <w:ind w:left="485"/>
            </w:pPr>
            <w:r>
              <w:rPr>
                <w:spacing w:val="-2"/>
              </w:rPr>
              <w:t>0.5778</w:t>
            </w:r>
          </w:p>
        </w:tc>
      </w:tr>
      <w:tr w14:paraId="112E1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E2D4C3C">
            <w:pPr>
              <w:pStyle w:val="6"/>
              <w:spacing w:before="100" w:line="188" w:lineRule="auto"/>
              <w:ind w:left="677"/>
            </w:pPr>
            <w:r>
              <w:rPr>
                <w:spacing w:val="-2"/>
              </w:rPr>
              <w:t>700.0</w:t>
            </w:r>
          </w:p>
        </w:tc>
        <w:tc>
          <w:tcPr>
            <w:tcW w:w="1708" w:type="dxa"/>
            <w:vAlign w:val="top"/>
          </w:tcPr>
          <w:p w14:paraId="5B40D00D">
            <w:pPr>
              <w:pStyle w:val="6"/>
              <w:spacing w:before="100" w:line="188" w:lineRule="auto"/>
              <w:ind w:left="564"/>
            </w:pPr>
            <w:r>
              <w:rPr>
                <w:spacing w:val="-1"/>
              </w:rPr>
              <w:t>2.0878</w:t>
            </w:r>
          </w:p>
        </w:tc>
        <w:tc>
          <w:tcPr>
            <w:tcW w:w="1537" w:type="dxa"/>
            <w:vAlign w:val="top"/>
          </w:tcPr>
          <w:p w14:paraId="7D9629EC">
            <w:pPr>
              <w:pStyle w:val="6"/>
              <w:spacing w:before="100" w:line="188" w:lineRule="auto"/>
              <w:ind w:left="501"/>
            </w:pPr>
            <w:r>
              <w:rPr>
                <w:spacing w:val="-5"/>
              </w:rPr>
              <w:t>1.0439</w:t>
            </w:r>
          </w:p>
        </w:tc>
        <w:tc>
          <w:tcPr>
            <w:tcW w:w="1708" w:type="dxa"/>
            <w:vAlign w:val="top"/>
          </w:tcPr>
          <w:p w14:paraId="2FDF1CD5">
            <w:pPr>
              <w:pStyle w:val="6"/>
              <w:spacing w:before="100" w:line="188" w:lineRule="auto"/>
              <w:ind w:left="570"/>
            </w:pPr>
            <w:r>
              <w:rPr>
                <w:spacing w:val="-2"/>
              </w:rPr>
              <w:t>0.0835</w:t>
            </w:r>
          </w:p>
        </w:tc>
        <w:tc>
          <w:tcPr>
            <w:tcW w:w="1540" w:type="dxa"/>
            <w:vAlign w:val="top"/>
          </w:tcPr>
          <w:p w14:paraId="48F1EB8C">
            <w:pPr>
              <w:pStyle w:val="6"/>
              <w:spacing w:before="100" w:line="188" w:lineRule="auto"/>
              <w:ind w:left="485"/>
            </w:pPr>
            <w:r>
              <w:rPr>
                <w:spacing w:val="-2"/>
              </w:rPr>
              <w:t>0.8351</w:t>
            </w:r>
          </w:p>
        </w:tc>
      </w:tr>
      <w:tr w14:paraId="5A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37DB98F2">
            <w:pPr>
              <w:pStyle w:val="6"/>
              <w:spacing w:before="100" w:line="188" w:lineRule="auto"/>
              <w:ind w:left="682"/>
            </w:pPr>
            <w:r>
              <w:rPr>
                <w:spacing w:val="-3"/>
              </w:rPr>
              <w:t>800.0</w:t>
            </w:r>
          </w:p>
        </w:tc>
        <w:tc>
          <w:tcPr>
            <w:tcW w:w="1708" w:type="dxa"/>
            <w:vAlign w:val="top"/>
          </w:tcPr>
          <w:p w14:paraId="6974D531">
            <w:pPr>
              <w:pStyle w:val="6"/>
              <w:spacing w:before="100" w:line="188" w:lineRule="auto"/>
              <w:ind w:left="584"/>
            </w:pPr>
            <w:r>
              <w:rPr>
                <w:spacing w:val="-5"/>
              </w:rPr>
              <w:t>1.5630</w:t>
            </w:r>
          </w:p>
        </w:tc>
        <w:tc>
          <w:tcPr>
            <w:tcW w:w="1537" w:type="dxa"/>
            <w:vAlign w:val="top"/>
          </w:tcPr>
          <w:p w14:paraId="0E49D347">
            <w:pPr>
              <w:pStyle w:val="6"/>
              <w:spacing w:before="100" w:line="188" w:lineRule="auto"/>
              <w:ind w:left="484"/>
            </w:pPr>
            <w:r>
              <w:rPr>
                <w:spacing w:val="-2"/>
              </w:rPr>
              <w:t>0.7815</w:t>
            </w:r>
          </w:p>
        </w:tc>
        <w:tc>
          <w:tcPr>
            <w:tcW w:w="1708" w:type="dxa"/>
            <w:vAlign w:val="top"/>
          </w:tcPr>
          <w:p w14:paraId="59A5CA89">
            <w:pPr>
              <w:pStyle w:val="6"/>
              <w:spacing w:before="100" w:line="188" w:lineRule="auto"/>
              <w:ind w:left="570"/>
            </w:pPr>
            <w:r>
              <w:rPr>
                <w:spacing w:val="-2"/>
              </w:rPr>
              <w:t>0.0625</w:t>
            </w:r>
          </w:p>
        </w:tc>
        <w:tc>
          <w:tcPr>
            <w:tcW w:w="1540" w:type="dxa"/>
            <w:vAlign w:val="top"/>
          </w:tcPr>
          <w:p w14:paraId="1CC026B5">
            <w:pPr>
              <w:pStyle w:val="6"/>
              <w:spacing w:before="100" w:line="188" w:lineRule="auto"/>
              <w:ind w:left="485"/>
            </w:pPr>
            <w:r>
              <w:rPr>
                <w:spacing w:val="-2"/>
              </w:rPr>
              <w:t>0.6252</w:t>
            </w:r>
          </w:p>
        </w:tc>
      </w:tr>
      <w:tr w14:paraId="5A4EB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C99F840">
            <w:pPr>
              <w:pStyle w:val="6"/>
              <w:spacing w:before="101" w:line="188" w:lineRule="auto"/>
              <w:ind w:left="677"/>
            </w:pPr>
            <w:r>
              <w:rPr>
                <w:spacing w:val="-2"/>
              </w:rPr>
              <w:t>900.0</w:t>
            </w:r>
          </w:p>
        </w:tc>
        <w:tc>
          <w:tcPr>
            <w:tcW w:w="1708" w:type="dxa"/>
            <w:vAlign w:val="top"/>
          </w:tcPr>
          <w:p w14:paraId="7C8E06B7">
            <w:pPr>
              <w:pStyle w:val="6"/>
              <w:spacing w:before="101" w:line="188" w:lineRule="auto"/>
              <w:ind w:left="584"/>
            </w:pPr>
            <w:r>
              <w:rPr>
                <w:spacing w:val="-5"/>
              </w:rPr>
              <w:t>1.3189</w:t>
            </w:r>
          </w:p>
        </w:tc>
        <w:tc>
          <w:tcPr>
            <w:tcW w:w="1537" w:type="dxa"/>
            <w:vAlign w:val="top"/>
          </w:tcPr>
          <w:p w14:paraId="7633A0AB">
            <w:pPr>
              <w:pStyle w:val="6"/>
              <w:spacing w:before="101" w:line="188" w:lineRule="auto"/>
              <w:ind w:left="484"/>
            </w:pPr>
            <w:r>
              <w:rPr>
                <w:spacing w:val="-2"/>
              </w:rPr>
              <w:t>0.6594</w:t>
            </w:r>
          </w:p>
        </w:tc>
        <w:tc>
          <w:tcPr>
            <w:tcW w:w="1708" w:type="dxa"/>
            <w:vAlign w:val="top"/>
          </w:tcPr>
          <w:p w14:paraId="20ADE727">
            <w:pPr>
              <w:pStyle w:val="6"/>
              <w:spacing w:before="101" w:line="188" w:lineRule="auto"/>
              <w:ind w:left="570"/>
            </w:pPr>
            <w:r>
              <w:rPr>
                <w:spacing w:val="-2"/>
              </w:rPr>
              <w:t>0.0528</w:t>
            </w:r>
          </w:p>
        </w:tc>
        <w:tc>
          <w:tcPr>
            <w:tcW w:w="1540" w:type="dxa"/>
            <w:vAlign w:val="top"/>
          </w:tcPr>
          <w:p w14:paraId="42347B36">
            <w:pPr>
              <w:pStyle w:val="6"/>
              <w:spacing w:before="101" w:line="188" w:lineRule="auto"/>
              <w:ind w:left="485"/>
            </w:pPr>
            <w:r>
              <w:rPr>
                <w:spacing w:val="-2"/>
              </w:rPr>
              <w:t>0.5276</w:t>
            </w:r>
          </w:p>
        </w:tc>
      </w:tr>
      <w:tr w14:paraId="0879E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2E6175E">
            <w:pPr>
              <w:pStyle w:val="6"/>
              <w:spacing w:before="101" w:line="188" w:lineRule="auto"/>
              <w:ind w:left="641"/>
            </w:pPr>
            <w:r>
              <w:rPr>
                <w:spacing w:val="-4"/>
              </w:rPr>
              <w:t>1000.0</w:t>
            </w:r>
          </w:p>
        </w:tc>
        <w:tc>
          <w:tcPr>
            <w:tcW w:w="1708" w:type="dxa"/>
            <w:vAlign w:val="top"/>
          </w:tcPr>
          <w:p w14:paraId="12B60AA2">
            <w:pPr>
              <w:pStyle w:val="6"/>
              <w:spacing w:before="101" w:line="188" w:lineRule="auto"/>
              <w:ind w:left="584"/>
            </w:pPr>
            <w:r>
              <w:rPr>
                <w:spacing w:val="-5"/>
              </w:rPr>
              <w:t>1.1665</w:t>
            </w:r>
          </w:p>
        </w:tc>
        <w:tc>
          <w:tcPr>
            <w:tcW w:w="1537" w:type="dxa"/>
            <w:vAlign w:val="top"/>
          </w:tcPr>
          <w:p w14:paraId="7EAA647B">
            <w:pPr>
              <w:pStyle w:val="6"/>
              <w:spacing w:before="101" w:line="188" w:lineRule="auto"/>
              <w:ind w:left="484"/>
            </w:pPr>
            <w:r>
              <w:rPr>
                <w:spacing w:val="-2"/>
              </w:rPr>
              <w:t>0.5833</w:t>
            </w:r>
          </w:p>
        </w:tc>
        <w:tc>
          <w:tcPr>
            <w:tcW w:w="1708" w:type="dxa"/>
            <w:vAlign w:val="top"/>
          </w:tcPr>
          <w:p w14:paraId="3E2C4080">
            <w:pPr>
              <w:pStyle w:val="6"/>
              <w:spacing w:before="101" w:line="188" w:lineRule="auto"/>
              <w:ind w:left="570"/>
            </w:pPr>
            <w:r>
              <w:rPr>
                <w:spacing w:val="-2"/>
              </w:rPr>
              <w:t>0.0467</w:t>
            </w:r>
          </w:p>
        </w:tc>
        <w:tc>
          <w:tcPr>
            <w:tcW w:w="1540" w:type="dxa"/>
            <w:vAlign w:val="top"/>
          </w:tcPr>
          <w:p w14:paraId="65F72A56">
            <w:pPr>
              <w:pStyle w:val="6"/>
              <w:spacing w:before="101" w:line="188" w:lineRule="auto"/>
              <w:ind w:left="485"/>
            </w:pPr>
            <w:r>
              <w:rPr>
                <w:spacing w:val="-2"/>
              </w:rPr>
              <w:t>0.4666</w:t>
            </w:r>
          </w:p>
        </w:tc>
      </w:tr>
      <w:tr w14:paraId="53364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F9EAEC4">
            <w:pPr>
              <w:pStyle w:val="6"/>
              <w:spacing w:before="101" w:line="188" w:lineRule="auto"/>
              <w:ind w:left="641"/>
            </w:pPr>
            <w:r>
              <w:rPr>
                <w:spacing w:val="-4"/>
              </w:rPr>
              <w:t>1200.0</w:t>
            </w:r>
          </w:p>
        </w:tc>
        <w:tc>
          <w:tcPr>
            <w:tcW w:w="1708" w:type="dxa"/>
            <w:vAlign w:val="top"/>
          </w:tcPr>
          <w:p w14:paraId="5FC62B28">
            <w:pPr>
              <w:pStyle w:val="6"/>
              <w:spacing w:before="101" w:line="188" w:lineRule="auto"/>
              <w:ind w:left="564"/>
            </w:pPr>
            <w:r>
              <w:rPr>
                <w:spacing w:val="-1"/>
              </w:rPr>
              <w:t>2.4919</w:t>
            </w:r>
          </w:p>
        </w:tc>
        <w:tc>
          <w:tcPr>
            <w:tcW w:w="1537" w:type="dxa"/>
            <w:vAlign w:val="top"/>
          </w:tcPr>
          <w:p w14:paraId="215A6962">
            <w:pPr>
              <w:pStyle w:val="6"/>
              <w:spacing w:before="101" w:line="188" w:lineRule="auto"/>
              <w:ind w:left="501"/>
            </w:pPr>
            <w:r>
              <w:rPr>
                <w:spacing w:val="-5"/>
              </w:rPr>
              <w:t>1.2459</w:t>
            </w:r>
          </w:p>
        </w:tc>
        <w:tc>
          <w:tcPr>
            <w:tcW w:w="1708" w:type="dxa"/>
            <w:vAlign w:val="top"/>
          </w:tcPr>
          <w:p w14:paraId="2950F0A2">
            <w:pPr>
              <w:pStyle w:val="6"/>
              <w:spacing w:before="101" w:line="188" w:lineRule="auto"/>
              <w:ind w:left="570"/>
            </w:pPr>
            <w:r>
              <w:rPr>
                <w:spacing w:val="-2"/>
              </w:rPr>
              <w:t>0.0997</w:t>
            </w:r>
          </w:p>
        </w:tc>
        <w:tc>
          <w:tcPr>
            <w:tcW w:w="1540" w:type="dxa"/>
            <w:vAlign w:val="top"/>
          </w:tcPr>
          <w:p w14:paraId="203F5E82">
            <w:pPr>
              <w:pStyle w:val="6"/>
              <w:spacing w:before="101" w:line="188" w:lineRule="auto"/>
              <w:ind w:left="485"/>
            </w:pPr>
            <w:r>
              <w:rPr>
                <w:spacing w:val="-2"/>
              </w:rPr>
              <w:t>0.9968</w:t>
            </w:r>
          </w:p>
        </w:tc>
      </w:tr>
      <w:tr w14:paraId="7A721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8591354">
            <w:pPr>
              <w:pStyle w:val="6"/>
              <w:spacing w:before="101" w:line="188" w:lineRule="auto"/>
              <w:ind w:left="641"/>
            </w:pPr>
            <w:r>
              <w:rPr>
                <w:spacing w:val="-4"/>
              </w:rPr>
              <w:t>1400.0</w:t>
            </w:r>
          </w:p>
        </w:tc>
        <w:tc>
          <w:tcPr>
            <w:tcW w:w="1708" w:type="dxa"/>
            <w:vAlign w:val="top"/>
          </w:tcPr>
          <w:p w14:paraId="6462911E">
            <w:pPr>
              <w:pStyle w:val="6"/>
              <w:spacing w:before="101" w:line="188" w:lineRule="auto"/>
              <w:ind w:left="567"/>
            </w:pPr>
            <w:r>
              <w:rPr>
                <w:spacing w:val="-2"/>
              </w:rPr>
              <w:t>0.7807</w:t>
            </w:r>
          </w:p>
        </w:tc>
        <w:tc>
          <w:tcPr>
            <w:tcW w:w="1537" w:type="dxa"/>
            <w:vAlign w:val="top"/>
          </w:tcPr>
          <w:p w14:paraId="1A6DC3CD">
            <w:pPr>
              <w:pStyle w:val="6"/>
              <w:spacing w:before="101" w:line="188" w:lineRule="auto"/>
              <w:ind w:left="484"/>
            </w:pPr>
            <w:r>
              <w:rPr>
                <w:spacing w:val="-2"/>
              </w:rPr>
              <w:t>0.3904</w:t>
            </w:r>
          </w:p>
        </w:tc>
        <w:tc>
          <w:tcPr>
            <w:tcW w:w="1708" w:type="dxa"/>
            <w:vAlign w:val="top"/>
          </w:tcPr>
          <w:p w14:paraId="674BFCD5">
            <w:pPr>
              <w:pStyle w:val="6"/>
              <w:spacing w:before="101" w:line="188" w:lineRule="auto"/>
              <w:ind w:left="570"/>
            </w:pPr>
            <w:r>
              <w:rPr>
                <w:spacing w:val="-2"/>
              </w:rPr>
              <w:t>0.0312</w:t>
            </w:r>
          </w:p>
        </w:tc>
        <w:tc>
          <w:tcPr>
            <w:tcW w:w="1540" w:type="dxa"/>
            <w:vAlign w:val="top"/>
          </w:tcPr>
          <w:p w14:paraId="7D757370">
            <w:pPr>
              <w:pStyle w:val="6"/>
              <w:spacing w:before="101" w:line="188" w:lineRule="auto"/>
              <w:ind w:left="485"/>
            </w:pPr>
            <w:r>
              <w:rPr>
                <w:spacing w:val="-2"/>
              </w:rPr>
              <w:t>0.3123</w:t>
            </w:r>
          </w:p>
        </w:tc>
      </w:tr>
      <w:tr w14:paraId="09AEA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CA3210D">
            <w:pPr>
              <w:pStyle w:val="6"/>
              <w:spacing w:before="101" w:line="188" w:lineRule="auto"/>
              <w:ind w:left="641"/>
            </w:pPr>
            <w:r>
              <w:rPr>
                <w:spacing w:val="-4"/>
              </w:rPr>
              <w:t>1600.0</w:t>
            </w:r>
          </w:p>
        </w:tc>
        <w:tc>
          <w:tcPr>
            <w:tcW w:w="1708" w:type="dxa"/>
            <w:vAlign w:val="top"/>
          </w:tcPr>
          <w:p w14:paraId="11CB8A16">
            <w:pPr>
              <w:pStyle w:val="6"/>
              <w:spacing w:before="101" w:line="188" w:lineRule="auto"/>
              <w:ind w:left="584"/>
            </w:pPr>
            <w:r>
              <w:rPr>
                <w:spacing w:val="-5"/>
              </w:rPr>
              <w:t>1.1892</w:t>
            </w:r>
          </w:p>
        </w:tc>
        <w:tc>
          <w:tcPr>
            <w:tcW w:w="1537" w:type="dxa"/>
            <w:vAlign w:val="top"/>
          </w:tcPr>
          <w:p w14:paraId="6920D983">
            <w:pPr>
              <w:pStyle w:val="6"/>
              <w:spacing w:before="101" w:line="188" w:lineRule="auto"/>
              <w:ind w:left="484"/>
            </w:pPr>
            <w:r>
              <w:rPr>
                <w:spacing w:val="-2"/>
              </w:rPr>
              <w:t>0.5946</w:t>
            </w:r>
          </w:p>
        </w:tc>
        <w:tc>
          <w:tcPr>
            <w:tcW w:w="1708" w:type="dxa"/>
            <w:vAlign w:val="top"/>
          </w:tcPr>
          <w:p w14:paraId="35A22219">
            <w:pPr>
              <w:pStyle w:val="6"/>
              <w:spacing w:before="101" w:line="188" w:lineRule="auto"/>
              <w:ind w:left="570"/>
            </w:pPr>
            <w:r>
              <w:rPr>
                <w:spacing w:val="-2"/>
              </w:rPr>
              <w:t>0.0476</w:t>
            </w:r>
          </w:p>
        </w:tc>
        <w:tc>
          <w:tcPr>
            <w:tcW w:w="1540" w:type="dxa"/>
            <w:vAlign w:val="top"/>
          </w:tcPr>
          <w:p w14:paraId="51E68041">
            <w:pPr>
              <w:pStyle w:val="6"/>
              <w:spacing w:before="101" w:line="188" w:lineRule="auto"/>
              <w:ind w:left="485"/>
            </w:pPr>
            <w:r>
              <w:rPr>
                <w:spacing w:val="-2"/>
              </w:rPr>
              <w:t>0.4757</w:t>
            </w:r>
          </w:p>
        </w:tc>
      </w:tr>
      <w:tr w14:paraId="46383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E4F391F">
            <w:pPr>
              <w:pStyle w:val="6"/>
              <w:spacing w:before="101" w:line="188" w:lineRule="auto"/>
              <w:ind w:left="641"/>
            </w:pPr>
            <w:r>
              <w:rPr>
                <w:spacing w:val="-4"/>
              </w:rPr>
              <w:t>1800.0</w:t>
            </w:r>
          </w:p>
        </w:tc>
        <w:tc>
          <w:tcPr>
            <w:tcW w:w="1708" w:type="dxa"/>
            <w:vAlign w:val="top"/>
          </w:tcPr>
          <w:p w14:paraId="33461179">
            <w:pPr>
              <w:pStyle w:val="6"/>
              <w:spacing w:before="101" w:line="188" w:lineRule="auto"/>
              <w:ind w:left="584"/>
            </w:pPr>
            <w:r>
              <w:rPr>
                <w:spacing w:val="-5"/>
              </w:rPr>
              <w:t>1.0721</w:t>
            </w:r>
          </w:p>
        </w:tc>
        <w:tc>
          <w:tcPr>
            <w:tcW w:w="1537" w:type="dxa"/>
            <w:vAlign w:val="top"/>
          </w:tcPr>
          <w:p w14:paraId="1BC21EC8">
            <w:pPr>
              <w:pStyle w:val="6"/>
              <w:spacing w:before="101" w:line="188" w:lineRule="auto"/>
              <w:ind w:left="484"/>
            </w:pPr>
            <w:r>
              <w:rPr>
                <w:spacing w:val="-2"/>
              </w:rPr>
              <w:t>0.5361</w:t>
            </w:r>
          </w:p>
        </w:tc>
        <w:tc>
          <w:tcPr>
            <w:tcW w:w="1708" w:type="dxa"/>
            <w:vAlign w:val="top"/>
          </w:tcPr>
          <w:p w14:paraId="49F9CDE1">
            <w:pPr>
              <w:pStyle w:val="6"/>
              <w:spacing w:before="101" w:line="188" w:lineRule="auto"/>
              <w:ind w:left="570"/>
            </w:pPr>
            <w:r>
              <w:rPr>
                <w:spacing w:val="-2"/>
              </w:rPr>
              <w:t>0.0429</w:t>
            </w:r>
          </w:p>
        </w:tc>
        <w:tc>
          <w:tcPr>
            <w:tcW w:w="1540" w:type="dxa"/>
            <w:vAlign w:val="top"/>
          </w:tcPr>
          <w:p w14:paraId="36A3C807">
            <w:pPr>
              <w:pStyle w:val="6"/>
              <w:spacing w:before="101" w:line="188" w:lineRule="auto"/>
              <w:ind w:left="485"/>
            </w:pPr>
            <w:r>
              <w:rPr>
                <w:spacing w:val="-2"/>
              </w:rPr>
              <w:t>0.4288</w:t>
            </w:r>
          </w:p>
        </w:tc>
      </w:tr>
      <w:tr w14:paraId="6BEDF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4067A63">
            <w:pPr>
              <w:pStyle w:val="6"/>
              <w:spacing w:before="102" w:line="188" w:lineRule="auto"/>
              <w:ind w:left="621"/>
            </w:pPr>
            <w:r>
              <w:rPr>
                <w:spacing w:val="-1"/>
              </w:rPr>
              <w:t>2000.0</w:t>
            </w:r>
          </w:p>
        </w:tc>
        <w:tc>
          <w:tcPr>
            <w:tcW w:w="1708" w:type="dxa"/>
            <w:vAlign w:val="top"/>
          </w:tcPr>
          <w:p w14:paraId="6A32FE70">
            <w:pPr>
              <w:pStyle w:val="6"/>
              <w:spacing w:before="102" w:line="188" w:lineRule="auto"/>
              <w:ind w:left="584"/>
            </w:pPr>
            <w:r>
              <w:rPr>
                <w:spacing w:val="-5"/>
              </w:rPr>
              <w:t>1.4241</w:t>
            </w:r>
          </w:p>
        </w:tc>
        <w:tc>
          <w:tcPr>
            <w:tcW w:w="1537" w:type="dxa"/>
            <w:vAlign w:val="top"/>
          </w:tcPr>
          <w:p w14:paraId="1107BEE9">
            <w:pPr>
              <w:pStyle w:val="6"/>
              <w:spacing w:before="102" w:line="188" w:lineRule="auto"/>
              <w:ind w:left="484"/>
            </w:pPr>
            <w:r>
              <w:rPr>
                <w:spacing w:val="-2"/>
              </w:rPr>
              <w:t>0.7120</w:t>
            </w:r>
          </w:p>
        </w:tc>
        <w:tc>
          <w:tcPr>
            <w:tcW w:w="1708" w:type="dxa"/>
            <w:vAlign w:val="top"/>
          </w:tcPr>
          <w:p w14:paraId="2C6796AA">
            <w:pPr>
              <w:pStyle w:val="6"/>
              <w:spacing w:before="102" w:line="188" w:lineRule="auto"/>
              <w:ind w:left="570"/>
            </w:pPr>
            <w:r>
              <w:rPr>
                <w:spacing w:val="-2"/>
              </w:rPr>
              <w:t>0.0570</w:t>
            </w:r>
          </w:p>
        </w:tc>
        <w:tc>
          <w:tcPr>
            <w:tcW w:w="1540" w:type="dxa"/>
            <w:vAlign w:val="top"/>
          </w:tcPr>
          <w:p w14:paraId="153409F0">
            <w:pPr>
              <w:pStyle w:val="6"/>
              <w:spacing w:before="102" w:line="188" w:lineRule="auto"/>
              <w:ind w:left="485"/>
            </w:pPr>
            <w:r>
              <w:rPr>
                <w:spacing w:val="-2"/>
              </w:rPr>
              <w:t>0.5696</w:t>
            </w:r>
          </w:p>
        </w:tc>
      </w:tr>
      <w:tr w14:paraId="3CDB5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42FD67D8">
            <w:pPr>
              <w:pStyle w:val="6"/>
              <w:spacing w:before="102" w:line="188" w:lineRule="auto"/>
              <w:ind w:left="621"/>
            </w:pPr>
            <w:r>
              <w:rPr>
                <w:spacing w:val="-1"/>
              </w:rPr>
              <w:t>2500.0</w:t>
            </w:r>
          </w:p>
        </w:tc>
        <w:tc>
          <w:tcPr>
            <w:tcW w:w="1708" w:type="dxa"/>
            <w:vAlign w:val="top"/>
          </w:tcPr>
          <w:p w14:paraId="1BFB1461">
            <w:pPr>
              <w:pStyle w:val="6"/>
              <w:spacing w:before="102" w:line="188" w:lineRule="auto"/>
              <w:ind w:left="567"/>
            </w:pPr>
            <w:r>
              <w:rPr>
                <w:spacing w:val="-2"/>
              </w:rPr>
              <w:t>0.6542</w:t>
            </w:r>
          </w:p>
        </w:tc>
        <w:tc>
          <w:tcPr>
            <w:tcW w:w="1537" w:type="dxa"/>
            <w:vAlign w:val="top"/>
          </w:tcPr>
          <w:p w14:paraId="75712AE2">
            <w:pPr>
              <w:pStyle w:val="6"/>
              <w:spacing w:before="102" w:line="188" w:lineRule="auto"/>
              <w:ind w:left="484"/>
            </w:pPr>
            <w:r>
              <w:rPr>
                <w:spacing w:val="-2"/>
              </w:rPr>
              <w:t>0.3271</w:t>
            </w:r>
          </w:p>
        </w:tc>
        <w:tc>
          <w:tcPr>
            <w:tcW w:w="1708" w:type="dxa"/>
            <w:vAlign w:val="top"/>
          </w:tcPr>
          <w:p w14:paraId="502583A4">
            <w:pPr>
              <w:pStyle w:val="6"/>
              <w:spacing w:before="102" w:line="188" w:lineRule="auto"/>
              <w:ind w:left="570"/>
            </w:pPr>
            <w:r>
              <w:rPr>
                <w:spacing w:val="-2"/>
              </w:rPr>
              <w:t>0.0262</w:t>
            </w:r>
          </w:p>
        </w:tc>
        <w:tc>
          <w:tcPr>
            <w:tcW w:w="1540" w:type="dxa"/>
            <w:vAlign w:val="top"/>
          </w:tcPr>
          <w:p w14:paraId="282CDC68">
            <w:pPr>
              <w:pStyle w:val="6"/>
              <w:spacing w:before="102" w:line="188" w:lineRule="auto"/>
              <w:ind w:left="485"/>
            </w:pPr>
            <w:r>
              <w:rPr>
                <w:spacing w:val="-2"/>
              </w:rPr>
              <w:t>0.2617</w:t>
            </w:r>
          </w:p>
        </w:tc>
      </w:tr>
      <w:tr w14:paraId="3010E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C6C82B2">
            <w:pPr>
              <w:pStyle w:val="6"/>
              <w:spacing w:before="103" w:line="188" w:lineRule="auto"/>
              <w:ind w:left="625"/>
            </w:pPr>
            <w:r>
              <w:rPr>
                <w:spacing w:val="-2"/>
              </w:rPr>
              <w:t>3000.0</w:t>
            </w:r>
          </w:p>
        </w:tc>
        <w:tc>
          <w:tcPr>
            <w:tcW w:w="1708" w:type="dxa"/>
            <w:vAlign w:val="top"/>
          </w:tcPr>
          <w:p w14:paraId="5456FEEF">
            <w:pPr>
              <w:pStyle w:val="6"/>
              <w:spacing w:before="103" w:line="188" w:lineRule="auto"/>
              <w:ind w:left="567"/>
            </w:pPr>
            <w:r>
              <w:rPr>
                <w:spacing w:val="-2"/>
              </w:rPr>
              <w:t>0.9022</w:t>
            </w:r>
          </w:p>
        </w:tc>
        <w:tc>
          <w:tcPr>
            <w:tcW w:w="1537" w:type="dxa"/>
            <w:vAlign w:val="top"/>
          </w:tcPr>
          <w:p w14:paraId="7018B6E8">
            <w:pPr>
              <w:pStyle w:val="6"/>
              <w:spacing w:before="103" w:line="188" w:lineRule="auto"/>
              <w:ind w:left="488"/>
            </w:pPr>
            <w:r>
              <w:rPr>
                <w:spacing w:val="-2"/>
              </w:rPr>
              <w:t>0.4511</w:t>
            </w:r>
          </w:p>
        </w:tc>
        <w:tc>
          <w:tcPr>
            <w:tcW w:w="1708" w:type="dxa"/>
            <w:vAlign w:val="top"/>
          </w:tcPr>
          <w:p w14:paraId="00A520FB">
            <w:pPr>
              <w:pStyle w:val="6"/>
              <w:spacing w:before="103" w:line="188" w:lineRule="auto"/>
              <w:ind w:left="570"/>
            </w:pPr>
            <w:r>
              <w:rPr>
                <w:spacing w:val="-2"/>
              </w:rPr>
              <w:t>0.0361</w:t>
            </w:r>
          </w:p>
        </w:tc>
        <w:tc>
          <w:tcPr>
            <w:tcW w:w="1540" w:type="dxa"/>
            <w:vAlign w:val="top"/>
          </w:tcPr>
          <w:p w14:paraId="4EF8D6FB">
            <w:pPr>
              <w:pStyle w:val="6"/>
              <w:spacing w:before="103" w:line="188" w:lineRule="auto"/>
              <w:ind w:left="485"/>
            </w:pPr>
            <w:r>
              <w:rPr>
                <w:spacing w:val="-2"/>
              </w:rPr>
              <w:t>0.3609</w:t>
            </w:r>
          </w:p>
        </w:tc>
      </w:tr>
      <w:tr w14:paraId="03F67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B6A1BC7">
            <w:pPr>
              <w:pStyle w:val="6"/>
              <w:spacing w:before="103" w:line="188" w:lineRule="auto"/>
              <w:ind w:left="625"/>
            </w:pPr>
            <w:r>
              <w:rPr>
                <w:spacing w:val="-2"/>
              </w:rPr>
              <w:t>3500.0</w:t>
            </w:r>
          </w:p>
        </w:tc>
        <w:tc>
          <w:tcPr>
            <w:tcW w:w="1708" w:type="dxa"/>
            <w:vAlign w:val="top"/>
          </w:tcPr>
          <w:p w14:paraId="41465B64">
            <w:pPr>
              <w:pStyle w:val="6"/>
              <w:spacing w:before="103" w:line="188" w:lineRule="auto"/>
              <w:ind w:left="567"/>
            </w:pPr>
            <w:r>
              <w:rPr>
                <w:spacing w:val="-2"/>
              </w:rPr>
              <w:t>0.7625</w:t>
            </w:r>
          </w:p>
        </w:tc>
        <w:tc>
          <w:tcPr>
            <w:tcW w:w="1537" w:type="dxa"/>
            <w:vAlign w:val="top"/>
          </w:tcPr>
          <w:p w14:paraId="71CEE935">
            <w:pPr>
              <w:pStyle w:val="6"/>
              <w:spacing w:before="103" w:line="188" w:lineRule="auto"/>
              <w:ind w:left="484"/>
            </w:pPr>
            <w:r>
              <w:rPr>
                <w:spacing w:val="-2"/>
              </w:rPr>
              <w:t>0.3813</w:t>
            </w:r>
          </w:p>
        </w:tc>
        <w:tc>
          <w:tcPr>
            <w:tcW w:w="1708" w:type="dxa"/>
            <w:vAlign w:val="top"/>
          </w:tcPr>
          <w:p w14:paraId="7A8E3BE8">
            <w:pPr>
              <w:pStyle w:val="6"/>
              <w:spacing w:before="103" w:line="188" w:lineRule="auto"/>
              <w:ind w:left="570"/>
            </w:pPr>
            <w:r>
              <w:rPr>
                <w:spacing w:val="-2"/>
              </w:rPr>
              <w:t>0.0305</w:t>
            </w:r>
          </w:p>
        </w:tc>
        <w:tc>
          <w:tcPr>
            <w:tcW w:w="1540" w:type="dxa"/>
            <w:vAlign w:val="top"/>
          </w:tcPr>
          <w:p w14:paraId="353F0E61">
            <w:pPr>
              <w:pStyle w:val="6"/>
              <w:spacing w:before="103" w:line="188" w:lineRule="auto"/>
              <w:ind w:left="485"/>
            </w:pPr>
            <w:r>
              <w:rPr>
                <w:spacing w:val="-2"/>
              </w:rPr>
              <w:t>0.3050</w:t>
            </w:r>
          </w:p>
        </w:tc>
      </w:tr>
      <w:tr w14:paraId="77B04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1EA1C68">
            <w:pPr>
              <w:pStyle w:val="6"/>
              <w:spacing w:before="104" w:line="188" w:lineRule="auto"/>
              <w:ind w:left="619"/>
            </w:pPr>
            <w:r>
              <w:rPr>
                <w:spacing w:val="-1"/>
              </w:rPr>
              <w:t>4000.0</w:t>
            </w:r>
          </w:p>
        </w:tc>
        <w:tc>
          <w:tcPr>
            <w:tcW w:w="1708" w:type="dxa"/>
            <w:vAlign w:val="top"/>
          </w:tcPr>
          <w:p w14:paraId="3AC56401">
            <w:pPr>
              <w:pStyle w:val="6"/>
              <w:spacing w:before="104" w:line="188" w:lineRule="auto"/>
              <w:ind w:left="567"/>
            </w:pPr>
            <w:r>
              <w:rPr>
                <w:spacing w:val="-2"/>
              </w:rPr>
              <w:t>0.6726</w:t>
            </w:r>
          </w:p>
        </w:tc>
        <w:tc>
          <w:tcPr>
            <w:tcW w:w="1537" w:type="dxa"/>
            <w:vAlign w:val="top"/>
          </w:tcPr>
          <w:p w14:paraId="37C3F512">
            <w:pPr>
              <w:pStyle w:val="6"/>
              <w:spacing w:before="104" w:line="188" w:lineRule="auto"/>
              <w:ind w:left="484"/>
            </w:pPr>
            <w:r>
              <w:rPr>
                <w:spacing w:val="-2"/>
              </w:rPr>
              <w:t>0.3363</w:t>
            </w:r>
          </w:p>
        </w:tc>
        <w:tc>
          <w:tcPr>
            <w:tcW w:w="1708" w:type="dxa"/>
            <w:vAlign w:val="top"/>
          </w:tcPr>
          <w:p w14:paraId="7613164D">
            <w:pPr>
              <w:pStyle w:val="6"/>
              <w:spacing w:before="104" w:line="188" w:lineRule="auto"/>
              <w:ind w:left="570"/>
            </w:pPr>
            <w:r>
              <w:rPr>
                <w:spacing w:val="-2"/>
              </w:rPr>
              <w:t>0.0269</w:t>
            </w:r>
          </w:p>
        </w:tc>
        <w:tc>
          <w:tcPr>
            <w:tcW w:w="1540" w:type="dxa"/>
            <w:vAlign w:val="top"/>
          </w:tcPr>
          <w:p w14:paraId="7A08FDE4">
            <w:pPr>
              <w:pStyle w:val="6"/>
              <w:spacing w:before="104" w:line="188" w:lineRule="auto"/>
              <w:ind w:left="485"/>
            </w:pPr>
            <w:r>
              <w:rPr>
                <w:spacing w:val="-2"/>
              </w:rPr>
              <w:t>0.2691</w:t>
            </w:r>
          </w:p>
        </w:tc>
      </w:tr>
      <w:tr w14:paraId="43D50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CBB6002">
            <w:pPr>
              <w:pStyle w:val="6"/>
              <w:spacing w:before="104" w:line="188" w:lineRule="auto"/>
              <w:ind w:left="619"/>
            </w:pPr>
            <w:r>
              <w:rPr>
                <w:spacing w:val="-1"/>
              </w:rPr>
              <w:t>4500.0</w:t>
            </w:r>
          </w:p>
        </w:tc>
        <w:tc>
          <w:tcPr>
            <w:tcW w:w="1708" w:type="dxa"/>
            <w:vAlign w:val="top"/>
          </w:tcPr>
          <w:p w14:paraId="66F6DC3A">
            <w:pPr>
              <w:pStyle w:val="6"/>
              <w:spacing w:before="104" w:line="188" w:lineRule="auto"/>
              <w:ind w:left="571"/>
            </w:pPr>
            <w:r>
              <w:rPr>
                <w:spacing w:val="-3"/>
              </w:rPr>
              <w:t>0.4113</w:t>
            </w:r>
          </w:p>
        </w:tc>
        <w:tc>
          <w:tcPr>
            <w:tcW w:w="1537" w:type="dxa"/>
            <w:vAlign w:val="top"/>
          </w:tcPr>
          <w:p w14:paraId="30650426">
            <w:pPr>
              <w:pStyle w:val="6"/>
              <w:spacing w:before="104" w:line="188" w:lineRule="auto"/>
              <w:ind w:left="484"/>
            </w:pPr>
            <w:r>
              <w:rPr>
                <w:spacing w:val="-2"/>
              </w:rPr>
              <w:t>0.2056</w:t>
            </w:r>
          </w:p>
        </w:tc>
        <w:tc>
          <w:tcPr>
            <w:tcW w:w="1708" w:type="dxa"/>
            <w:vAlign w:val="top"/>
          </w:tcPr>
          <w:p w14:paraId="160DC3A9">
            <w:pPr>
              <w:pStyle w:val="6"/>
              <w:spacing w:before="104" w:line="188" w:lineRule="auto"/>
              <w:ind w:left="569"/>
            </w:pPr>
            <w:r>
              <w:rPr>
                <w:spacing w:val="-2"/>
              </w:rPr>
              <w:t>0.0164</w:t>
            </w:r>
          </w:p>
        </w:tc>
        <w:tc>
          <w:tcPr>
            <w:tcW w:w="1540" w:type="dxa"/>
            <w:vAlign w:val="top"/>
          </w:tcPr>
          <w:p w14:paraId="7F33F925">
            <w:pPr>
              <w:pStyle w:val="6"/>
              <w:spacing w:before="104" w:line="188" w:lineRule="auto"/>
              <w:ind w:left="485"/>
            </w:pPr>
            <w:r>
              <w:rPr>
                <w:spacing w:val="-2"/>
              </w:rPr>
              <w:t>0.1645</w:t>
            </w:r>
          </w:p>
        </w:tc>
      </w:tr>
      <w:tr w14:paraId="422E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9C21279">
            <w:pPr>
              <w:pStyle w:val="6"/>
              <w:spacing w:before="104" w:line="188" w:lineRule="auto"/>
              <w:ind w:left="626"/>
            </w:pPr>
            <w:r>
              <w:rPr>
                <w:spacing w:val="-2"/>
              </w:rPr>
              <w:t>5000.0</w:t>
            </w:r>
          </w:p>
        </w:tc>
        <w:tc>
          <w:tcPr>
            <w:tcW w:w="1708" w:type="dxa"/>
            <w:vAlign w:val="top"/>
          </w:tcPr>
          <w:p w14:paraId="3F418036">
            <w:pPr>
              <w:pStyle w:val="6"/>
              <w:spacing w:before="104" w:line="188" w:lineRule="auto"/>
              <w:ind w:left="567"/>
            </w:pPr>
            <w:r>
              <w:rPr>
                <w:spacing w:val="-2"/>
              </w:rPr>
              <w:t>0.5338</w:t>
            </w:r>
          </w:p>
        </w:tc>
        <w:tc>
          <w:tcPr>
            <w:tcW w:w="1537" w:type="dxa"/>
            <w:vAlign w:val="top"/>
          </w:tcPr>
          <w:p w14:paraId="7E9C8FC4">
            <w:pPr>
              <w:pStyle w:val="6"/>
              <w:spacing w:before="104" w:line="188" w:lineRule="auto"/>
              <w:ind w:left="484"/>
            </w:pPr>
            <w:r>
              <w:rPr>
                <w:spacing w:val="-2"/>
              </w:rPr>
              <w:t>0.2669</w:t>
            </w:r>
          </w:p>
        </w:tc>
        <w:tc>
          <w:tcPr>
            <w:tcW w:w="1708" w:type="dxa"/>
            <w:vAlign w:val="top"/>
          </w:tcPr>
          <w:p w14:paraId="1F98278A">
            <w:pPr>
              <w:pStyle w:val="6"/>
              <w:spacing w:before="104" w:line="188" w:lineRule="auto"/>
              <w:ind w:left="570"/>
            </w:pPr>
            <w:r>
              <w:rPr>
                <w:spacing w:val="-2"/>
              </w:rPr>
              <w:t>0.0214</w:t>
            </w:r>
          </w:p>
        </w:tc>
        <w:tc>
          <w:tcPr>
            <w:tcW w:w="1540" w:type="dxa"/>
            <w:vAlign w:val="top"/>
          </w:tcPr>
          <w:p w14:paraId="7F5AFBB6">
            <w:pPr>
              <w:pStyle w:val="6"/>
              <w:spacing w:before="104" w:line="188" w:lineRule="auto"/>
              <w:ind w:left="485"/>
            </w:pPr>
            <w:r>
              <w:rPr>
                <w:spacing w:val="-2"/>
              </w:rPr>
              <w:t>0.2135</w:t>
            </w:r>
          </w:p>
        </w:tc>
      </w:tr>
      <w:tr w14:paraId="07A86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BDDD4E3">
            <w:pPr>
              <w:pStyle w:val="6"/>
              <w:spacing w:before="104" w:line="188" w:lineRule="auto"/>
              <w:ind w:left="588"/>
            </w:pPr>
            <w:r>
              <w:rPr>
                <w:spacing w:val="-4"/>
              </w:rPr>
              <w:t>10000.0</w:t>
            </w:r>
          </w:p>
        </w:tc>
        <w:tc>
          <w:tcPr>
            <w:tcW w:w="1708" w:type="dxa"/>
            <w:vAlign w:val="top"/>
          </w:tcPr>
          <w:p w14:paraId="32DBA431">
            <w:pPr>
              <w:pStyle w:val="6"/>
              <w:spacing w:before="104" w:line="188" w:lineRule="auto"/>
              <w:ind w:left="567"/>
            </w:pPr>
            <w:r>
              <w:rPr>
                <w:spacing w:val="-2"/>
              </w:rPr>
              <w:t>0.2278</w:t>
            </w:r>
          </w:p>
        </w:tc>
        <w:tc>
          <w:tcPr>
            <w:tcW w:w="1537" w:type="dxa"/>
            <w:vAlign w:val="top"/>
          </w:tcPr>
          <w:p w14:paraId="55FE0246">
            <w:pPr>
              <w:pStyle w:val="6"/>
              <w:spacing w:before="104" w:line="188" w:lineRule="auto"/>
              <w:ind w:left="488"/>
            </w:pPr>
            <w:r>
              <w:rPr>
                <w:spacing w:val="-3"/>
              </w:rPr>
              <w:t>0.1139</w:t>
            </w:r>
          </w:p>
        </w:tc>
        <w:tc>
          <w:tcPr>
            <w:tcW w:w="1708" w:type="dxa"/>
            <w:vAlign w:val="top"/>
          </w:tcPr>
          <w:p w14:paraId="1EBF48F0">
            <w:pPr>
              <w:pStyle w:val="6"/>
              <w:spacing w:before="104" w:line="188" w:lineRule="auto"/>
              <w:ind w:left="570"/>
            </w:pPr>
            <w:r>
              <w:rPr>
                <w:spacing w:val="-2"/>
              </w:rPr>
              <w:t>0.0091</w:t>
            </w:r>
          </w:p>
        </w:tc>
        <w:tc>
          <w:tcPr>
            <w:tcW w:w="1540" w:type="dxa"/>
            <w:vAlign w:val="top"/>
          </w:tcPr>
          <w:p w14:paraId="5B0E31D2">
            <w:pPr>
              <w:pStyle w:val="6"/>
              <w:spacing w:before="104" w:line="188" w:lineRule="auto"/>
              <w:ind w:left="489"/>
            </w:pPr>
            <w:r>
              <w:rPr>
                <w:spacing w:val="-2"/>
              </w:rPr>
              <w:t>0.0911</w:t>
            </w:r>
          </w:p>
        </w:tc>
      </w:tr>
      <w:tr w14:paraId="5AA5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AC3E434">
            <w:pPr>
              <w:pStyle w:val="6"/>
              <w:spacing w:before="104" w:line="188" w:lineRule="auto"/>
              <w:ind w:left="593"/>
            </w:pPr>
            <w:r>
              <w:rPr>
                <w:spacing w:val="-5"/>
              </w:rPr>
              <w:t>11000.0</w:t>
            </w:r>
          </w:p>
        </w:tc>
        <w:tc>
          <w:tcPr>
            <w:tcW w:w="1708" w:type="dxa"/>
            <w:vAlign w:val="top"/>
          </w:tcPr>
          <w:p w14:paraId="4731155B">
            <w:pPr>
              <w:pStyle w:val="6"/>
              <w:spacing w:before="104" w:line="188" w:lineRule="auto"/>
              <w:ind w:left="567"/>
            </w:pPr>
            <w:r>
              <w:rPr>
                <w:spacing w:val="-2"/>
              </w:rPr>
              <w:t>0.2047</w:t>
            </w:r>
          </w:p>
        </w:tc>
        <w:tc>
          <w:tcPr>
            <w:tcW w:w="1537" w:type="dxa"/>
            <w:vAlign w:val="top"/>
          </w:tcPr>
          <w:p w14:paraId="58F7F986">
            <w:pPr>
              <w:pStyle w:val="6"/>
              <w:spacing w:before="104" w:line="188" w:lineRule="auto"/>
              <w:ind w:left="484"/>
            </w:pPr>
            <w:r>
              <w:rPr>
                <w:spacing w:val="-2"/>
              </w:rPr>
              <w:t>0.1024</w:t>
            </w:r>
          </w:p>
        </w:tc>
        <w:tc>
          <w:tcPr>
            <w:tcW w:w="1708" w:type="dxa"/>
            <w:vAlign w:val="top"/>
          </w:tcPr>
          <w:p w14:paraId="0DA3E032">
            <w:pPr>
              <w:pStyle w:val="6"/>
              <w:spacing w:before="104" w:line="188" w:lineRule="auto"/>
              <w:ind w:left="570"/>
            </w:pPr>
            <w:r>
              <w:rPr>
                <w:spacing w:val="-2"/>
              </w:rPr>
              <w:t>0.0082</w:t>
            </w:r>
          </w:p>
        </w:tc>
        <w:tc>
          <w:tcPr>
            <w:tcW w:w="1540" w:type="dxa"/>
            <w:vAlign w:val="top"/>
          </w:tcPr>
          <w:p w14:paraId="7199F737">
            <w:pPr>
              <w:pStyle w:val="6"/>
              <w:spacing w:before="104" w:line="188" w:lineRule="auto"/>
              <w:ind w:left="485"/>
            </w:pPr>
            <w:r>
              <w:rPr>
                <w:spacing w:val="-2"/>
              </w:rPr>
              <w:t>0.0819</w:t>
            </w:r>
          </w:p>
        </w:tc>
      </w:tr>
      <w:tr w14:paraId="11254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3000DBE">
            <w:pPr>
              <w:pStyle w:val="6"/>
              <w:spacing w:before="104" w:line="188" w:lineRule="auto"/>
              <w:ind w:left="588"/>
            </w:pPr>
            <w:r>
              <w:rPr>
                <w:spacing w:val="-4"/>
              </w:rPr>
              <w:t>12000.0</w:t>
            </w:r>
          </w:p>
        </w:tc>
        <w:tc>
          <w:tcPr>
            <w:tcW w:w="1708" w:type="dxa"/>
            <w:vAlign w:val="top"/>
          </w:tcPr>
          <w:p w14:paraId="1474F767">
            <w:pPr>
              <w:pStyle w:val="6"/>
              <w:spacing w:before="104" w:line="188" w:lineRule="auto"/>
              <w:ind w:left="567"/>
            </w:pPr>
            <w:r>
              <w:rPr>
                <w:spacing w:val="-2"/>
              </w:rPr>
              <w:t>0.1805</w:t>
            </w:r>
          </w:p>
        </w:tc>
        <w:tc>
          <w:tcPr>
            <w:tcW w:w="1537" w:type="dxa"/>
            <w:vAlign w:val="top"/>
          </w:tcPr>
          <w:p w14:paraId="48874C84">
            <w:pPr>
              <w:pStyle w:val="6"/>
              <w:spacing w:before="104" w:line="188" w:lineRule="auto"/>
              <w:ind w:left="484"/>
            </w:pPr>
            <w:r>
              <w:rPr>
                <w:spacing w:val="-2"/>
              </w:rPr>
              <w:t>0.0902</w:t>
            </w:r>
          </w:p>
        </w:tc>
        <w:tc>
          <w:tcPr>
            <w:tcW w:w="1708" w:type="dxa"/>
            <w:vAlign w:val="top"/>
          </w:tcPr>
          <w:p w14:paraId="43EE457F">
            <w:pPr>
              <w:pStyle w:val="6"/>
              <w:spacing w:before="104" w:line="188" w:lineRule="auto"/>
              <w:ind w:left="570"/>
            </w:pPr>
            <w:r>
              <w:rPr>
                <w:spacing w:val="-2"/>
              </w:rPr>
              <w:t>0.0072</w:t>
            </w:r>
          </w:p>
        </w:tc>
        <w:tc>
          <w:tcPr>
            <w:tcW w:w="1540" w:type="dxa"/>
            <w:vAlign w:val="top"/>
          </w:tcPr>
          <w:p w14:paraId="7E258253">
            <w:pPr>
              <w:pStyle w:val="6"/>
              <w:spacing w:before="104" w:line="188" w:lineRule="auto"/>
              <w:ind w:left="485"/>
            </w:pPr>
            <w:r>
              <w:rPr>
                <w:spacing w:val="-2"/>
              </w:rPr>
              <w:t>0.0722</w:t>
            </w:r>
          </w:p>
        </w:tc>
      </w:tr>
      <w:tr w14:paraId="57404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DB6E3C7">
            <w:pPr>
              <w:pStyle w:val="6"/>
              <w:spacing w:before="104" w:line="188" w:lineRule="auto"/>
              <w:ind w:left="588"/>
            </w:pPr>
            <w:r>
              <w:rPr>
                <w:spacing w:val="-4"/>
              </w:rPr>
              <w:t>13000.0</w:t>
            </w:r>
          </w:p>
        </w:tc>
        <w:tc>
          <w:tcPr>
            <w:tcW w:w="1708" w:type="dxa"/>
            <w:vAlign w:val="top"/>
          </w:tcPr>
          <w:p w14:paraId="49588FF4">
            <w:pPr>
              <w:pStyle w:val="6"/>
              <w:spacing w:before="104" w:line="188" w:lineRule="auto"/>
              <w:ind w:left="567"/>
            </w:pPr>
            <w:r>
              <w:rPr>
                <w:spacing w:val="-2"/>
              </w:rPr>
              <w:t>0.1719</w:t>
            </w:r>
          </w:p>
        </w:tc>
        <w:tc>
          <w:tcPr>
            <w:tcW w:w="1537" w:type="dxa"/>
            <w:vAlign w:val="top"/>
          </w:tcPr>
          <w:p w14:paraId="5910EB5C">
            <w:pPr>
              <w:pStyle w:val="6"/>
              <w:spacing w:before="104" w:line="188" w:lineRule="auto"/>
              <w:ind w:left="484"/>
            </w:pPr>
            <w:r>
              <w:rPr>
                <w:spacing w:val="-2"/>
              </w:rPr>
              <w:t>0.0860</w:t>
            </w:r>
          </w:p>
        </w:tc>
        <w:tc>
          <w:tcPr>
            <w:tcW w:w="1708" w:type="dxa"/>
            <w:vAlign w:val="top"/>
          </w:tcPr>
          <w:p w14:paraId="671E0FD8">
            <w:pPr>
              <w:pStyle w:val="6"/>
              <w:spacing w:before="104" w:line="188" w:lineRule="auto"/>
              <w:ind w:left="570"/>
            </w:pPr>
            <w:r>
              <w:rPr>
                <w:spacing w:val="-2"/>
              </w:rPr>
              <w:t>0.0069</w:t>
            </w:r>
          </w:p>
        </w:tc>
        <w:tc>
          <w:tcPr>
            <w:tcW w:w="1540" w:type="dxa"/>
            <w:vAlign w:val="top"/>
          </w:tcPr>
          <w:p w14:paraId="1F9AF34A">
            <w:pPr>
              <w:pStyle w:val="6"/>
              <w:spacing w:before="104" w:line="188" w:lineRule="auto"/>
              <w:ind w:left="485"/>
            </w:pPr>
            <w:r>
              <w:rPr>
                <w:spacing w:val="-2"/>
              </w:rPr>
              <w:t>0.0688</w:t>
            </w:r>
          </w:p>
        </w:tc>
      </w:tr>
      <w:tr w14:paraId="1C6EF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3124383">
            <w:pPr>
              <w:pStyle w:val="6"/>
              <w:spacing w:before="104" w:line="188" w:lineRule="auto"/>
              <w:ind w:left="588"/>
            </w:pPr>
            <w:r>
              <w:rPr>
                <w:spacing w:val="-4"/>
              </w:rPr>
              <w:t>14000.0</w:t>
            </w:r>
          </w:p>
        </w:tc>
        <w:tc>
          <w:tcPr>
            <w:tcW w:w="1708" w:type="dxa"/>
            <w:vAlign w:val="top"/>
          </w:tcPr>
          <w:p w14:paraId="42ECB528">
            <w:pPr>
              <w:pStyle w:val="6"/>
              <w:spacing w:before="104" w:line="188" w:lineRule="auto"/>
              <w:ind w:left="567"/>
            </w:pPr>
            <w:r>
              <w:rPr>
                <w:spacing w:val="-2"/>
              </w:rPr>
              <w:t>0.1398</w:t>
            </w:r>
          </w:p>
        </w:tc>
        <w:tc>
          <w:tcPr>
            <w:tcW w:w="1537" w:type="dxa"/>
            <w:vAlign w:val="top"/>
          </w:tcPr>
          <w:p w14:paraId="3E551B40">
            <w:pPr>
              <w:pStyle w:val="6"/>
              <w:spacing w:before="104" w:line="188" w:lineRule="auto"/>
              <w:ind w:left="484"/>
            </w:pPr>
            <w:r>
              <w:rPr>
                <w:spacing w:val="-2"/>
              </w:rPr>
              <w:t>0.0699</w:t>
            </w:r>
          </w:p>
        </w:tc>
        <w:tc>
          <w:tcPr>
            <w:tcW w:w="1708" w:type="dxa"/>
            <w:vAlign w:val="top"/>
          </w:tcPr>
          <w:p w14:paraId="31791EFC">
            <w:pPr>
              <w:pStyle w:val="6"/>
              <w:spacing w:before="104" w:line="188" w:lineRule="auto"/>
              <w:ind w:left="570"/>
            </w:pPr>
            <w:r>
              <w:rPr>
                <w:spacing w:val="-2"/>
              </w:rPr>
              <w:t>0.0056</w:t>
            </w:r>
          </w:p>
        </w:tc>
        <w:tc>
          <w:tcPr>
            <w:tcW w:w="1540" w:type="dxa"/>
            <w:vAlign w:val="top"/>
          </w:tcPr>
          <w:p w14:paraId="0422E84F">
            <w:pPr>
              <w:pStyle w:val="6"/>
              <w:spacing w:before="104" w:line="188" w:lineRule="auto"/>
              <w:ind w:left="485"/>
            </w:pPr>
            <w:r>
              <w:rPr>
                <w:spacing w:val="-2"/>
              </w:rPr>
              <w:t>0.0559</w:t>
            </w:r>
          </w:p>
        </w:tc>
      </w:tr>
      <w:tr w14:paraId="4C4B0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DD68820">
            <w:pPr>
              <w:pStyle w:val="6"/>
              <w:spacing w:before="104" w:line="188" w:lineRule="auto"/>
              <w:ind w:left="588"/>
            </w:pPr>
            <w:r>
              <w:rPr>
                <w:spacing w:val="-4"/>
              </w:rPr>
              <w:t>15000.0</w:t>
            </w:r>
          </w:p>
        </w:tc>
        <w:tc>
          <w:tcPr>
            <w:tcW w:w="1708" w:type="dxa"/>
            <w:vAlign w:val="top"/>
          </w:tcPr>
          <w:p w14:paraId="323EE6ED">
            <w:pPr>
              <w:pStyle w:val="6"/>
              <w:spacing w:before="104" w:line="188" w:lineRule="auto"/>
              <w:ind w:left="567"/>
            </w:pPr>
            <w:r>
              <w:rPr>
                <w:spacing w:val="-2"/>
              </w:rPr>
              <w:t>0.1475</w:t>
            </w:r>
          </w:p>
        </w:tc>
        <w:tc>
          <w:tcPr>
            <w:tcW w:w="1537" w:type="dxa"/>
            <w:vAlign w:val="top"/>
          </w:tcPr>
          <w:p w14:paraId="00871308">
            <w:pPr>
              <w:pStyle w:val="6"/>
              <w:spacing w:before="104" w:line="188" w:lineRule="auto"/>
              <w:ind w:left="484"/>
            </w:pPr>
            <w:r>
              <w:rPr>
                <w:spacing w:val="-2"/>
              </w:rPr>
              <w:t>0.0738</w:t>
            </w:r>
          </w:p>
        </w:tc>
        <w:tc>
          <w:tcPr>
            <w:tcW w:w="1708" w:type="dxa"/>
            <w:vAlign w:val="top"/>
          </w:tcPr>
          <w:p w14:paraId="6A3C5B48">
            <w:pPr>
              <w:pStyle w:val="6"/>
              <w:spacing w:before="104" w:line="188" w:lineRule="auto"/>
              <w:ind w:left="570"/>
            </w:pPr>
            <w:r>
              <w:rPr>
                <w:spacing w:val="-2"/>
              </w:rPr>
              <w:t>0.0059</w:t>
            </w:r>
          </w:p>
        </w:tc>
        <w:tc>
          <w:tcPr>
            <w:tcW w:w="1540" w:type="dxa"/>
            <w:vAlign w:val="top"/>
          </w:tcPr>
          <w:p w14:paraId="04FB4BF5">
            <w:pPr>
              <w:pStyle w:val="6"/>
              <w:spacing w:before="104" w:line="188" w:lineRule="auto"/>
              <w:ind w:left="485"/>
            </w:pPr>
            <w:r>
              <w:rPr>
                <w:spacing w:val="-2"/>
              </w:rPr>
              <w:t>0.0590</w:t>
            </w:r>
          </w:p>
        </w:tc>
      </w:tr>
      <w:tr w14:paraId="31112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0E3EB4D6">
            <w:pPr>
              <w:pStyle w:val="6"/>
              <w:spacing w:before="104" w:line="188" w:lineRule="auto"/>
              <w:ind w:left="568"/>
            </w:pPr>
            <w:r>
              <w:rPr>
                <w:spacing w:val="-1"/>
              </w:rPr>
              <w:t>20000.0</w:t>
            </w:r>
          </w:p>
        </w:tc>
        <w:tc>
          <w:tcPr>
            <w:tcW w:w="1708" w:type="dxa"/>
            <w:vAlign w:val="top"/>
          </w:tcPr>
          <w:p w14:paraId="601682CA">
            <w:pPr>
              <w:pStyle w:val="6"/>
              <w:spacing w:before="104" w:line="188" w:lineRule="auto"/>
              <w:ind w:left="567"/>
            </w:pPr>
            <w:r>
              <w:rPr>
                <w:spacing w:val="-2"/>
              </w:rPr>
              <w:t>0.0928</w:t>
            </w:r>
          </w:p>
        </w:tc>
        <w:tc>
          <w:tcPr>
            <w:tcW w:w="1537" w:type="dxa"/>
            <w:vAlign w:val="top"/>
          </w:tcPr>
          <w:p w14:paraId="57716C5E">
            <w:pPr>
              <w:pStyle w:val="6"/>
              <w:spacing w:before="104" w:line="188" w:lineRule="auto"/>
              <w:ind w:left="484"/>
            </w:pPr>
            <w:r>
              <w:rPr>
                <w:spacing w:val="-2"/>
              </w:rPr>
              <w:t>0.0464</w:t>
            </w:r>
          </w:p>
        </w:tc>
        <w:tc>
          <w:tcPr>
            <w:tcW w:w="1708" w:type="dxa"/>
            <w:vAlign w:val="top"/>
          </w:tcPr>
          <w:p w14:paraId="59B91776">
            <w:pPr>
              <w:pStyle w:val="6"/>
              <w:spacing w:before="104" w:line="188" w:lineRule="auto"/>
              <w:ind w:left="570"/>
            </w:pPr>
            <w:r>
              <w:rPr>
                <w:spacing w:val="-2"/>
              </w:rPr>
              <w:t>0.0037</w:t>
            </w:r>
          </w:p>
        </w:tc>
        <w:tc>
          <w:tcPr>
            <w:tcW w:w="1540" w:type="dxa"/>
            <w:vAlign w:val="top"/>
          </w:tcPr>
          <w:p w14:paraId="66E028FD">
            <w:pPr>
              <w:pStyle w:val="6"/>
              <w:spacing w:before="104" w:line="188" w:lineRule="auto"/>
              <w:ind w:left="485"/>
            </w:pPr>
            <w:r>
              <w:rPr>
                <w:spacing w:val="-2"/>
              </w:rPr>
              <w:t>0.0371</w:t>
            </w:r>
          </w:p>
        </w:tc>
      </w:tr>
      <w:tr w14:paraId="08FCE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Align w:val="top"/>
          </w:tcPr>
          <w:p w14:paraId="359BF537">
            <w:pPr>
              <w:pStyle w:val="6"/>
              <w:spacing w:before="104" w:line="188" w:lineRule="auto"/>
              <w:ind w:left="568"/>
            </w:pPr>
            <w:r>
              <w:rPr>
                <w:spacing w:val="-1"/>
              </w:rPr>
              <w:t>25000.0</w:t>
            </w:r>
          </w:p>
        </w:tc>
        <w:tc>
          <w:tcPr>
            <w:tcW w:w="1708" w:type="dxa"/>
            <w:vAlign w:val="top"/>
          </w:tcPr>
          <w:p w14:paraId="7B7953C0">
            <w:pPr>
              <w:pStyle w:val="6"/>
              <w:spacing w:before="104" w:line="188" w:lineRule="auto"/>
              <w:ind w:left="567"/>
            </w:pPr>
            <w:r>
              <w:rPr>
                <w:spacing w:val="-2"/>
              </w:rPr>
              <w:t>0.0731</w:t>
            </w:r>
          </w:p>
        </w:tc>
        <w:tc>
          <w:tcPr>
            <w:tcW w:w="1537" w:type="dxa"/>
            <w:vAlign w:val="top"/>
          </w:tcPr>
          <w:p w14:paraId="3B5644A6">
            <w:pPr>
              <w:pStyle w:val="6"/>
              <w:spacing w:before="104" w:line="188" w:lineRule="auto"/>
              <w:ind w:left="484"/>
            </w:pPr>
            <w:r>
              <w:rPr>
                <w:spacing w:val="-2"/>
              </w:rPr>
              <w:t>0.0365</w:t>
            </w:r>
          </w:p>
        </w:tc>
        <w:tc>
          <w:tcPr>
            <w:tcW w:w="1708" w:type="dxa"/>
            <w:vAlign w:val="top"/>
          </w:tcPr>
          <w:p w14:paraId="54AB5650">
            <w:pPr>
              <w:pStyle w:val="6"/>
              <w:spacing w:before="104" w:line="188" w:lineRule="auto"/>
              <w:ind w:left="570"/>
            </w:pPr>
            <w:r>
              <w:rPr>
                <w:spacing w:val="-2"/>
              </w:rPr>
              <w:t>0.0029</w:t>
            </w:r>
          </w:p>
        </w:tc>
        <w:tc>
          <w:tcPr>
            <w:tcW w:w="1540" w:type="dxa"/>
            <w:vAlign w:val="top"/>
          </w:tcPr>
          <w:p w14:paraId="70637637">
            <w:pPr>
              <w:pStyle w:val="6"/>
              <w:spacing w:before="104" w:line="188" w:lineRule="auto"/>
              <w:ind w:left="485"/>
            </w:pPr>
            <w:r>
              <w:rPr>
                <w:spacing w:val="-2"/>
              </w:rPr>
              <w:t>0.0292</w:t>
            </w:r>
          </w:p>
        </w:tc>
      </w:tr>
    </w:tbl>
    <w:p w14:paraId="1881A6B2">
      <w:pPr>
        <w:pStyle w:val="2"/>
      </w:pPr>
    </w:p>
    <w:p w14:paraId="11D9A51C">
      <w:pPr>
        <w:sectPr>
          <w:headerReference r:id="rId301" w:type="default"/>
          <w:footerReference r:id="rId302" w:type="default"/>
          <w:pgSz w:w="11905" w:h="16840"/>
          <w:pgMar w:top="1168" w:right="1768" w:bottom="1409" w:left="1770" w:header="828" w:footer="1244" w:gutter="0"/>
          <w:cols w:space="720" w:num="1"/>
        </w:sectPr>
      </w:pPr>
    </w:p>
    <w:p w14:paraId="03755E48">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4F192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41C27381">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2CECE915">
            <w:pPr>
              <w:spacing w:before="63" w:line="220" w:lineRule="auto"/>
              <w:ind w:left="2725"/>
              <w:rPr>
                <w:rFonts w:ascii="宋体" w:hAnsi="宋体" w:eastAsia="宋体" w:cs="宋体"/>
                <w:sz w:val="21"/>
                <w:szCs w:val="21"/>
              </w:rPr>
            </w:pPr>
            <w:r>
              <w:rPr>
                <w:rFonts w:ascii="宋体" w:hAnsi="宋体" w:eastAsia="宋体" w:cs="宋体"/>
                <w:spacing w:val="-2"/>
                <w:sz w:val="21"/>
                <w:szCs w:val="21"/>
              </w:rPr>
              <w:t>保育楼体源</w:t>
            </w:r>
          </w:p>
        </w:tc>
      </w:tr>
      <w:tr w14:paraId="3242B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19" w:type="dxa"/>
            <w:vMerge w:val="continue"/>
            <w:tcBorders>
              <w:top w:val="nil"/>
            </w:tcBorders>
            <w:vAlign w:val="top"/>
          </w:tcPr>
          <w:p w14:paraId="4051BCE7">
            <w:pPr>
              <w:rPr>
                <w:rFonts w:ascii="Arial"/>
                <w:sz w:val="21"/>
              </w:rPr>
            </w:pPr>
          </w:p>
        </w:tc>
        <w:tc>
          <w:tcPr>
            <w:tcW w:w="1708" w:type="dxa"/>
            <w:vAlign w:val="top"/>
          </w:tcPr>
          <w:p w14:paraId="5E6FBAAF">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195377D4">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114BC663">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2D76224C">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06C1E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1686EC25">
            <w:pPr>
              <w:spacing w:before="63" w:line="220" w:lineRule="auto"/>
              <w:ind w:left="184"/>
              <w:rPr>
                <w:rFonts w:ascii="宋体" w:hAnsi="宋体" w:eastAsia="宋体" w:cs="宋体"/>
                <w:sz w:val="21"/>
                <w:szCs w:val="21"/>
              </w:rPr>
            </w:pPr>
            <w:r>
              <w:rPr>
                <w:rFonts w:ascii="宋体" w:hAnsi="宋体" w:eastAsia="宋体" w:cs="宋体"/>
                <w:spacing w:val="-2"/>
                <w:sz w:val="21"/>
                <w:szCs w:val="21"/>
              </w:rPr>
              <w:t>下风向最大浓度</w:t>
            </w:r>
          </w:p>
        </w:tc>
        <w:tc>
          <w:tcPr>
            <w:tcW w:w="1708" w:type="dxa"/>
            <w:vAlign w:val="top"/>
          </w:tcPr>
          <w:p w14:paraId="2EBB5A07">
            <w:pPr>
              <w:pStyle w:val="6"/>
              <w:spacing w:before="100" w:line="188" w:lineRule="auto"/>
              <w:ind w:left="569"/>
            </w:pPr>
            <w:r>
              <w:rPr>
                <w:spacing w:val="-2"/>
              </w:rPr>
              <w:t>6.4450</w:t>
            </w:r>
          </w:p>
        </w:tc>
        <w:tc>
          <w:tcPr>
            <w:tcW w:w="1537" w:type="dxa"/>
            <w:vAlign w:val="top"/>
          </w:tcPr>
          <w:p w14:paraId="6181D530">
            <w:pPr>
              <w:pStyle w:val="6"/>
              <w:spacing w:before="100" w:line="188" w:lineRule="auto"/>
              <w:ind w:left="485"/>
            </w:pPr>
            <w:r>
              <w:rPr>
                <w:spacing w:val="-2"/>
              </w:rPr>
              <w:t>3.2225</w:t>
            </w:r>
          </w:p>
        </w:tc>
        <w:tc>
          <w:tcPr>
            <w:tcW w:w="1708" w:type="dxa"/>
            <w:vAlign w:val="top"/>
          </w:tcPr>
          <w:p w14:paraId="361F287E">
            <w:pPr>
              <w:pStyle w:val="6"/>
              <w:spacing w:before="100" w:line="188" w:lineRule="auto"/>
              <w:ind w:left="569"/>
            </w:pPr>
            <w:r>
              <w:rPr>
                <w:spacing w:val="-2"/>
              </w:rPr>
              <w:t>0.2578</w:t>
            </w:r>
          </w:p>
        </w:tc>
        <w:tc>
          <w:tcPr>
            <w:tcW w:w="1540" w:type="dxa"/>
            <w:vAlign w:val="top"/>
          </w:tcPr>
          <w:p w14:paraId="19A85C88">
            <w:pPr>
              <w:pStyle w:val="6"/>
              <w:spacing w:before="100" w:line="188" w:lineRule="auto"/>
              <w:ind w:left="482"/>
            </w:pPr>
            <w:r>
              <w:rPr>
                <w:spacing w:val="-1"/>
              </w:rPr>
              <w:t>2.5780</w:t>
            </w:r>
          </w:p>
        </w:tc>
      </w:tr>
      <w:tr w14:paraId="6F5CE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819" w:type="dxa"/>
            <w:vAlign w:val="top"/>
          </w:tcPr>
          <w:p w14:paraId="5C7E2E27">
            <w:pPr>
              <w:spacing w:before="50" w:line="247" w:lineRule="auto"/>
              <w:ind w:left="511" w:right="173" w:hanging="327"/>
              <w:rPr>
                <w:rFonts w:ascii="宋体" w:hAnsi="宋体" w:eastAsia="宋体" w:cs="宋体"/>
                <w:sz w:val="21"/>
                <w:szCs w:val="21"/>
              </w:rPr>
            </w:pPr>
            <w:r>
              <w:rPr>
                <w:rFonts w:ascii="宋体" w:hAnsi="宋体" w:eastAsia="宋体" w:cs="宋体"/>
                <w:spacing w:val="-3"/>
                <w:sz w:val="21"/>
                <w:szCs w:val="21"/>
              </w:rPr>
              <w:t>下风向最大浓度</w:t>
            </w:r>
            <w:r>
              <w:rPr>
                <w:rFonts w:ascii="宋体" w:hAnsi="宋体" w:eastAsia="宋体" w:cs="宋体"/>
                <w:spacing w:val="-5"/>
                <w:sz w:val="21"/>
                <w:szCs w:val="21"/>
              </w:rPr>
              <w:t>出现距离</w:t>
            </w:r>
          </w:p>
        </w:tc>
        <w:tc>
          <w:tcPr>
            <w:tcW w:w="1708" w:type="dxa"/>
            <w:vAlign w:val="top"/>
          </w:tcPr>
          <w:p w14:paraId="30F6AC39">
            <w:pPr>
              <w:pStyle w:val="6"/>
              <w:spacing w:before="242" w:line="188" w:lineRule="auto"/>
              <w:ind w:left="637"/>
            </w:pPr>
            <w:r>
              <w:rPr>
                <w:spacing w:val="-5"/>
              </w:rPr>
              <w:t>141.0</w:t>
            </w:r>
          </w:p>
        </w:tc>
        <w:tc>
          <w:tcPr>
            <w:tcW w:w="1537" w:type="dxa"/>
            <w:vAlign w:val="top"/>
          </w:tcPr>
          <w:p w14:paraId="757EF5B6">
            <w:pPr>
              <w:pStyle w:val="6"/>
              <w:spacing w:before="242" w:line="188" w:lineRule="auto"/>
              <w:ind w:left="553"/>
            </w:pPr>
            <w:r>
              <w:rPr>
                <w:spacing w:val="-5"/>
              </w:rPr>
              <w:t>141.0</w:t>
            </w:r>
          </w:p>
        </w:tc>
        <w:tc>
          <w:tcPr>
            <w:tcW w:w="1708" w:type="dxa"/>
            <w:vAlign w:val="top"/>
          </w:tcPr>
          <w:p w14:paraId="559A8D55">
            <w:pPr>
              <w:pStyle w:val="6"/>
              <w:spacing w:before="242" w:line="188" w:lineRule="auto"/>
              <w:ind w:left="640"/>
            </w:pPr>
            <w:r>
              <w:rPr>
                <w:spacing w:val="-5"/>
              </w:rPr>
              <w:t>141.0</w:t>
            </w:r>
          </w:p>
        </w:tc>
        <w:tc>
          <w:tcPr>
            <w:tcW w:w="1540" w:type="dxa"/>
            <w:vAlign w:val="top"/>
          </w:tcPr>
          <w:p w14:paraId="58F1B048">
            <w:pPr>
              <w:pStyle w:val="6"/>
              <w:spacing w:before="242" w:line="188" w:lineRule="auto"/>
              <w:ind w:left="555"/>
            </w:pPr>
            <w:r>
              <w:rPr>
                <w:spacing w:val="-5"/>
              </w:rPr>
              <w:t>141.0</w:t>
            </w:r>
          </w:p>
        </w:tc>
      </w:tr>
      <w:tr w14:paraId="0FB03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DEB1056">
            <w:pPr>
              <w:pStyle w:val="6"/>
              <w:spacing w:before="64" w:line="220" w:lineRule="auto"/>
              <w:ind w:left="220"/>
              <w:rPr>
                <w:rFonts w:ascii="宋体" w:hAnsi="宋体" w:eastAsia="宋体" w:cs="宋体"/>
              </w:rPr>
            </w:pPr>
            <w:r>
              <w:rPr>
                <w:spacing w:val="-1"/>
              </w:rPr>
              <w:t>D10%</w:t>
            </w:r>
            <w:r>
              <w:rPr>
                <w:rFonts w:ascii="宋体" w:hAnsi="宋体" w:eastAsia="宋体" w:cs="宋体"/>
                <w:spacing w:val="-1"/>
              </w:rPr>
              <w:t>最远距离</w:t>
            </w:r>
          </w:p>
        </w:tc>
        <w:tc>
          <w:tcPr>
            <w:tcW w:w="1708" w:type="dxa"/>
            <w:vAlign w:val="top"/>
          </w:tcPr>
          <w:p w14:paraId="75977EA6">
            <w:pPr>
              <w:pStyle w:val="6"/>
              <w:spacing w:before="97" w:line="192" w:lineRule="auto"/>
              <w:ind w:left="819"/>
            </w:pPr>
            <w:r>
              <w:t>/</w:t>
            </w:r>
          </w:p>
        </w:tc>
        <w:tc>
          <w:tcPr>
            <w:tcW w:w="1537" w:type="dxa"/>
            <w:vAlign w:val="top"/>
          </w:tcPr>
          <w:p w14:paraId="6C1E2833">
            <w:pPr>
              <w:pStyle w:val="6"/>
              <w:spacing w:before="97" w:line="192" w:lineRule="auto"/>
              <w:ind w:left="736"/>
            </w:pPr>
            <w:r>
              <w:t>/</w:t>
            </w:r>
          </w:p>
        </w:tc>
        <w:tc>
          <w:tcPr>
            <w:tcW w:w="1708" w:type="dxa"/>
            <w:vAlign w:val="top"/>
          </w:tcPr>
          <w:p w14:paraId="6715FDE6">
            <w:pPr>
              <w:pStyle w:val="6"/>
              <w:spacing w:before="97" w:line="192" w:lineRule="auto"/>
              <w:ind w:left="822"/>
            </w:pPr>
            <w:r>
              <w:t>/</w:t>
            </w:r>
          </w:p>
        </w:tc>
        <w:tc>
          <w:tcPr>
            <w:tcW w:w="1540" w:type="dxa"/>
            <w:vAlign w:val="top"/>
          </w:tcPr>
          <w:p w14:paraId="47437941">
            <w:pPr>
              <w:pStyle w:val="6"/>
              <w:spacing w:before="97" w:line="192" w:lineRule="auto"/>
              <w:ind w:left="737"/>
            </w:pPr>
            <w:r>
              <w:t>/</w:t>
            </w:r>
          </w:p>
        </w:tc>
      </w:tr>
    </w:tbl>
    <w:p w14:paraId="117E166B">
      <w:pPr>
        <w:spacing w:before="247"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4.2-8  </w:t>
      </w:r>
      <w:r>
        <w:rPr>
          <w:rFonts w:ascii="黑体" w:hAnsi="黑体" w:eastAsia="黑体" w:cs="黑体"/>
          <w:spacing w:val="-1"/>
          <w:sz w:val="21"/>
          <w:szCs w:val="21"/>
        </w:rPr>
        <w:t>转猪舍面源预测结果表</w:t>
      </w:r>
    </w:p>
    <w:p w14:paraId="5C3F18A3">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7688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9" w:type="dxa"/>
            <w:vMerge w:val="restart"/>
            <w:tcBorders>
              <w:bottom w:val="nil"/>
            </w:tcBorders>
            <w:vAlign w:val="top"/>
          </w:tcPr>
          <w:p w14:paraId="6D6A7AF1">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368295B4">
            <w:pPr>
              <w:spacing w:before="64" w:line="220" w:lineRule="auto"/>
              <w:ind w:left="2725"/>
              <w:rPr>
                <w:rFonts w:ascii="宋体" w:hAnsi="宋体" w:eastAsia="宋体" w:cs="宋体"/>
                <w:sz w:val="21"/>
                <w:szCs w:val="21"/>
              </w:rPr>
            </w:pPr>
            <w:r>
              <w:rPr>
                <w:rFonts w:ascii="宋体" w:hAnsi="宋体" w:eastAsia="宋体" w:cs="宋体"/>
                <w:spacing w:val="-2"/>
                <w:sz w:val="21"/>
                <w:szCs w:val="21"/>
              </w:rPr>
              <w:t>转猪舍面源</w:t>
            </w:r>
          </w:p>
        </w:tc>
      </w:tr>
      <w:tr w14:paraId="1CABC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Merge w:val="continue"/>
            <w:tcBorders>
              <w:top w:val="nil"/>
            </w:tcBorders>
            <w:vAlign w:val="top"/>
          </w:tcPr>
          <w:p w14:paraId="0DAA11BB">
            <w:pPr>
              <w:rPr>
                <w:rFonts w:ascii="Arial"/>
                <w:sz w:val="21"/>
              </w:rPr>
            </w:pPr>
          </w:p>
        </w:tc>
        <w:tc>
          <w:tcPr>
            <w:tcW w:w="1708" w:type="dxa"/>
            <w:vAlign w:val="top"/>
          </w:tcPr>
          <w:p w14:paraId="44CFBAA9">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7B626EB4">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4FC5F73E">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5E8E36A0">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3FBBA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45C0E16">
            <w:pPr>
              <w:pStyle w:val="6"/>
              <w:spacing w:before="98" w:line="188" w:lineRule="auto"/>
              <w:ind w:left="732"/>
            </w:pPr>
            <w:r>
              <w:rPr>
                <w:spacing w:val="-3"/>
              </w:rPr>
              <w:t>50.0</w:t>
            </w:r>
          </w:p>
        </w:tc>
        <w:tc>
          <w:tcPr>
            <w:tcW w:w="1708" w:type="dxa"/>
            <w:vAlign w:val="top"/>
          </w:tcPr>
          <w:p w14:paraId="384C15B4">
            <w:pPr>
              <w:pStyle w:val="6"/>
              <w:spacing w:before="98" w:line="188" w:lineRule="auto"/>
              <w:ind w:left="532"/>
            </w:pPr>
            <w:r>
              <w:rPr>
                <w:spacing w:val="-4"/>
              </w:rPr>
              <w:t>10.0410</w:t>
            </w:r>
          </w:p>
        </w:tc>
        <w:tc>
          <w:tcPr>
            <w:tcW w:w="1537" w:type="dxa"/>
            <w:vAlign w:val="top"/>
          </w:tcPr>
          <w:p w14:paraId="2AA7724E">
            <w:pPr>
              <w:pStyle w:val="6"/>
              <w:spacing w:before="98" w:line="188" w:lineRule="auto"/>
              <w:ind w:left="486"/>
            </w:pPr>
            <w:r>
              <w:rPr>
                <w:spacing w:val="-2"/>
              </w:rPr>
              <w:t>5.0205</w:t>
            </w:r>
          </w:p>
        </w:tc>
        <w:tc>
          <w:tcPr>
            <w:tcW w:w="1708" w:type="dxa"/>
            <w:vAlign w:val="top"/>
          </w:tcPr>
          <w:p w14:paraId="37C7E521">
            <w:pPr>
              <w:pStyle w:val="6"/>
              <w:spacing w:before="98" w:line="188" w:lineRule="auto"/>
              <w:ind w:left="569"/>
            </w:pPr>
            <w:r>
              <w:rPr>
                <w:spacing w:val="-2"/>
              </w:rPr>
              <w:t>0.4016</w:t>
            </w:r>
          </w:p>
        </w:tc>
        <w:tc>
          <w:tcPr>
            <w:tcW w:w="1540" w:type="dxa"/>
            <w:vAlign w:val="top"/>
          </w:tcPr>
          <w:p w14:paraId="07921D15">
            <w:pPr>
              <w:pStyle w:val="6"/>
              <w:spacing w:before="98" w:line="188" w:lineRule="auto"/>
              <w:ind w:left="481"/>
            </w:pPr>
            <w:r>
              <w:rPr>
                <w:spacing w:val="-1"/>
              </w:rPr>
              <w:t>4.0164</w:t>
            </w:r>
          </w:p>
        </w:tc>
      </w:tr>
      <w:tr w14:paraId="18575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AE81220">
            <w:pPr>
              <w:pStyle w:val="6"/>
              <w:spacing w:before="99" w:line="188" w:lineRule="auto"/>
              <w:ind w:left="693"/>
            </w:pPr>
            <w:r>
              <w:rPr>
                <w:spacing w:val="-5"/>
              </w:rPr>
              <w:t>100.0</w:t>
            </w:r>
          </w:p>
        </w:tc>
        <w:tc>
          <w:tcPr>
            <w:tcW w:w="1708" w:type="dxa"/>
            <w:vAlign w:val="top"/>
          </w:tcPr>
          <w:p w14:paraId="48A30BCD">
            <w:pPr>
              <w:pStyle w:val="6"/>
              <w:spacing w:before="99" w:line="188" w:lineRule="auto"/>
              <w:ind w:left="568"/>
            </w:pPr>
            <w:r>
              <w:rPr>
                <w:spacing w:val="-2"/>
              </w:rPr>
              <w:t>7.2782</w:t>
            </w:r>
          </w:p>
        </w:tc>
        <w:tc>
          <w:tcPr>
            <w:tcW w:w="1537" w:type="dxa"/>
            <w:vAlign w:val="top"/>
          </w:tcPr>
          <w:p w14:paraId="19AE93B7">
            <w:pPr>
              <w:pStyle w:val="6"/>
              <w:spacing w:before="99" w:line="188" w:lineRule="auto"/>
              <w:ind w:left="485"/>
            </w:pPr>
            <w:r>
              <w:rPr>
                <w:spacing w:val="-2"/>
              </w:rPr>
              <w:t>3.6391</w:t>
            </w:r>
          </w:p>
        </w:tc>
        <w:tc>
          <w:tcPr>
            <w:tcW w:w="1708" w:type="dxa"/>
            <w:vAlign w:val="top"/>
          </w:tcPr>
          <w:p w14:paraId="7F24B820">
            <w:pPr>
              <w:pStyle w:val="6"/>
              <w:spacing w:before="99" w:line="188" w:lineRule="auto"/>
              <w:ind w:left="573"/>
            </w:pPr>
            <w:r>
              <w:rPr>
                <w:spacing w:val="-2"/>
              </w:rPr>
              <w:t>0.2911</w:t>
            </w:r>
          </w:p>
        </w:tc>
        <w:tc>
          <w:tcPr>
            <w:tcW w:w="1540" w:type="dxa"/>
            <w:vAlign w:val="top"/>
          </w:tcPr>
          <w:p w14:paraId="4FA3B4C0">
            <w:pPr>
              <w:pStyle w:val="6"/>
              <w:spacing w:before="99" w:line="188" w:lineRule="auto"/>
              <w:ind w:left="486"/>
            </w:pPr>
            <w:r>
              <w:rPr>
                <w:spacing w:val="-2"/>
              </w:rPr>
              <w:t>2.9113</w:t>
            </w:r>
          </w:p>
        </w:tc>
      </w:tr>
      <w:tr w14:paraId="49811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7EAB12C">
            <w:pPr>
              <w:pStyle w:val="6"/>
              <w:spacing w:before="99" w:line="188" w:lineRule="auto"/>
              <w:ind w:left="673"/>
            </w:pPr>
            <w:r>
              <w:rPr>
                <w:spacing w:val="-1"/>
              </w:rPr>
              <w:t>200.0</w:t>
            </w:r>
          </w:p>
        </w:tc>
        <w:tc>
          <w:tcPr>
            <w:tcW w:w="1708" w:type="dxa"/>
            <w:vAlign w:val="top"/>
          </w:tcPr>
          <w:p w14:paraId="2F150504">
            <w:pPr>
              <w:pStyle w:val="6"/>
              <w:spacing w:before="99" w:line="188" w:lineRule="auto"/>
              <w:ind w:left="570"/>
            </w:pPr>
            <w:r>
              <w:rPr>
                <w:spacing w:val="-2"/>
              </w:rPr>
              <w:t>5.4055</w:t>
            </w:r>
          </w:p>
        </w:tc>
        <w:tc>
          <w:tcPr>
            <w:tcW w:w="1537" w:type="dxa"/>
            <w:vAlign w:val="top"/>
          </w:tcPr>
          <w:p w14:paraId="67034C72">
            <w:pPr>
              <w:pStyle w:val="6"/>
              <w:spacing w:before="99" w:line="188" w:lineRule="auto"/>
              <w:ind w:left="481"/>
            </w:pPr>
            <w:r>
              <w:rPr>
                <w:spacing w:val="-1"/>
              </w:rPr>
              <w:t>2.7027</w:t>
            </w:r>
          </w:p>
        </w:tc>
        <w:tc>
          <w:tcPr>
            <w:tcW w:w="1708" w:type="dxa"/>
            <w:vAlign w:val="top"/>
          </w:tcPr>
          <w:p w14:paraId="3E00B19D">
            <w:pPr>
              <w:pStyle w:val="6"/>
              <w:spacing w:before="99" w:line="188" w:lineRule="auto"/>
              <w:ind w:left="570"/>
            </w:pPr>
            <w:r>
              <w:rPr>
                <w:spacing w:val="-2"/>
              </w:rPr>
              <w:t>0.2162</w:t>
            </w:r>
          </w:p>
        </w:tc>
        <w:tc>
          <w:tcPr>
            <w:tcW w:w="1540" w:type="dxa"/>
            <w:vAlign w:val="top"/>
          </w:tcPr>
          <w:p w14:paraId="73C99813">
            <w:pPr>
              <w:pStyle w:val="6"/>
              <w:spacing w:before="99" w:line="188" w:lineRule="auto"/>
              <w:ind w:left="482"/>
            </w:pPr>
            <w:r>
              <w:rPr>
                <w:spacing w:val="-1"/>
              </w:rPr>
              <w:t>2.1622</w:t>
            </w:r>
          </w:p>
        </w:tc>
      </w:tr>
      <w:tr w14:paraId="51D5C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0631D52">
            <w:pPr>
              <w:pStyle w:val="6"/>
              <w:spacing w:before="99" w:line="188" w:lineRule="auto"/>
              <w:ind w:left="678"/>
            </w:pPr>
            <w:r>
              <w:rPr>
                <w:spacing w:val="-2"/>
              </w:rPr>
              <w:t>300.0</w:t>
            </w:r>
          </w:p>
        </w:tc>
        <w:tc>
          <w:tcPr>
            <w:tcW w:w="1708" w:type="dxa"/>
            <w:vAlign w:val="top"/>
          </w:tcPr>
          <w:p w14:paraId="068A0180">
            <w:pPr>
              <w:pStyle w:val="6"/>
              <w:spacing w:before="99" w:line="188" w:lineRule="auto"/>
              <w:ind w:left="563"/>
            </w:pPr>
            <w:r>
              <w:rPr>
                <w:spacing w:val="-1"/>
              </w:rPr>
              <w:t>4.1993</w:t>
            </w:r>
          </w:p>
        </w:tc>
        <w:tc>
          <w:tcPr>
            <w:tcW w:w="1537" w:type="dxa"/>
            <w:vAlign w:val="top"/>
          </w:tcPr>
          <w:p w14:paraId="391F8C13">
            <w:pPr>
              <w:pStyle w:val="6"/>
              <w:spacing w:before="99" w:line="188" w:lineRule="auto"/>
              <w:ind w:left="481"/>
            </w:pPr>
            <w:r>
              <w:rPr>
                <w:spacing w:val="-1"/>
              </w:rPr>
              <w:t>2.0997</w:t>
            </w:r>
          </w:p>
        </w:tc>
        <w:tc>
          <w:tcPr>
            <w:tcW w:w="1708" w:type="dxa"/>
            <w:vAlign w:val="top"/>
          </w:tcPr>
          <w:p w14:paraId="58E79BCB">
            <w:pPr>
              <w:pStyle w:val="6"/>
              <w:spacing w:before="99" w:line="188" w:lineRule="auto"/>
              <w:ind w:left="570"/>
            </w:pPr>
            <w:r>
              <w:rPr>
                <w:spacing w:val="-2"/>
              </w:rPr>
              <w:t>0.1680</w:t>
            </w:r>
          </w:p>
        </w:tc>
        <w:tc>
          <w:tcPr>
            <w:tcW w:w="1540" w:type="dxa"/>
            <w:vAlign w:val="top"/>
          </w:tcPr>
          <w:p w14:paraId="24980545">
            <w:pPr>
              <w:pStyle w:val="6"/>
              <w:spacing w:before="99" w:line="188" w:lineRule="auto"/>
              <w:ind w:left="502"/>
            </w:pPr>
            <w:r>
              <w:rPr>
                <w:spacing w:val="-5"/>
              </w:rPr>
              <w:t>1.6797</w:t>
            </w:r>
          </w:p>
        </w:tc>
      </w:tr>
      <w:tr w14:paraId="76E6F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D9A5C11">
            <w:pPr>
              <w:pStyle w:val="6"/>
              <w:spacing w:before="99" w:line="188" w:lineRule="auto"/>
              <w:ind w:left="672"/>
            </w:pPr>
            <w:r>
              <w:rPr>
                <w:spacing w:val="-1"/>
              </w:rPr>
              <w:t>400.0</w:t>
            </w:r>
          </w:p>
        </w:tc>
        <w:tc>
          <w:tcPr>
            <w:tcW w:w="1708" w:type="dxa"/>
            <w:vAlign w:val="top"/>
          </w:tcPr>
          <w:p w14:paraId="0A25E6A9">
            <w:pPr>
              <w:pStyle w:val="6"/>
              <w:spacing w:before="99" w:line="188" w:lineRule="auto"/>
              <w:ind w:left="568"/>
            </w:pPr>
            <w:r>
              <w:rPr>
                <w:spacing w:val="-2"/>
              </w:rPr>
              <w:t>3.4504</w:t>
            </w:r>
          </w:p>
        </w:tc>
        <w:tc>
          <w:tcPr>
            <w:tcW w:w="1537" w:type="dxa"/>
            <w:vAlign w:val="top"/>
          </w:tcPr>
          <w:p w14:paraId="0448A0AB">
            <w:pPr>
              <w:pStyle w:val="6"/>
              <w:spacing w:before="99" w:line="188" w:lineRule="auto"/>
              <w:ind w:left="501"/>
            </w:pPr>
            <w:r>
              <w:rPr>
                <w:spacing w:val="-5"/>
              </w:rPr>
              <w:t>1.7252</w:t>
            </w:r>
          </w:p>
        </w:tc>
        <w:tc>
          <w:tcPr>
            <w:tcW w:w="1708" w:type="dxa"/>
            <w:vAlign w:val="top"/>
          </w:tcPr>
          <w:p w14:paraId="499DB2A6">
            <w:pPr>
              <w:pStyle w:val="6"/>
              <w:spacing w:before="99" w:line="188" w:lineRule="auto"/>
              <w:ind w:left="570"/>
            </w:pPr>
            <w:r>
              <w:rPr>
                <w:spacing w:val="-2"/>
              </w:rPr>
              <w:t>0.1380</w:t>
            </w:r>
          </w:p>
        </w:tc>
        <w:tc>
          <w:tcPr>
            <w:tcW w:w="1540" w:type="dxa"/>
            <w:vAlign w:val="top"/>
          </w:tcPr>
          <w:p w14:paraId="3AABCB39">
            <w:pPr>
              <w:pStyle w:val="6"/>
              <w:spacing w:before="99" w:line="188" w:lineRule="auto"/>
              <w:ind w:left="502"/>
            </w:pPr>
            <w:r>
              <w:rPr>
                <w:spacing w:val="-5"/>
              </w:rPr>
              <w:t>1.3802</w:t>
            </w:r>
          </w:p>
        </w:tc>
      </w:tr>
      <w:tr w14:paraId="71F79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0A407F2">
            <w:pPr>
              <w:pStyle w:val="6"/>
              <w:spacing w:before="99" w:line="188" w:lineRule="auto"/>
              <w:ind w:left="679"/>
            </w:pPr>
            <w:r>
              <w:rPr>
                <w:spacing w:val="-2"/>
              </w:rPr>
              <w:t>500.0</w:t>
            </w:r>
          </w:p>
        </w:tc>
        <w:tc>
          <w:tcPr>
            <w:tcW w:w="1708" w:type="dxa"/>
            <w:vAlign w:val="top"/>
          </w:tcPr>
          <w:p w14:paraId="23302F67">
            <w:pPr>
              <w:pStyle w:val="6"/>
              <w:spacing w:before="99" w:line="188" w:lineRule="auto"/>
              <w:ind w:left="564"/>
            </w:pPr>
            <w:r>
              <w:rPr>
                <w:spacing w:val="-1"/>
              </w:rPr>
              <w:t>2.9069</w:t>
            </w:r>
          </w:p>
        </w:tc>
        <w:tc>
          <w:tcPr>
            <w:tcW w:w="1537" w:type="dxa"/>
            <w:vAlign w:val="top"/>
          </w:tcPr>
          <w:p w14:paraId="05FDA19D">
            <w:pPr>
              <w:pStyle w:val="6"/>
              <w:spacing w:before="99" w:line="188" w:lineRule="auto"/>
              <w:ind w:left="502"/>
            </w:pPr>
            <w:r>
              <w:rPr>
                <w:spacing w:val="-5"/>
              </w:rPr>
              <w:t>1.4534</w:t>
            </w:r>
          </w:p>
        </w:tc>
        <w:tc>
          <w:tcPr>
            <w:tcW w:w="1708" w:type="dxa"/>
            <w:vAlign w:val="top"/>
          </w:tcPr>
          <w:p w14:paraId="6DDFC580">
            <w:pPr>
              <w:pStyle w:val="6"/>
              <w:spacing w:before="99" w:line="188" w:lineRule="auto"/>
              <w:ind w:left="574"/>
            </w:pPr>
            <w:r>
              <w:rPr>
                <w:spacing w:val="-3"/>
              </w:rPr>
              <w:t>0.1163</w:t>
            </w:r>
          </w:p>
        </w:tc>
        <w:tc>
          <w:tcPr>
            <w:tcW w:w="1540" w:type="dxa"/>
            <w:vAlign w:val="top"/>
          </w:tcPr>
          <w:p w14:paraId="38659E6D">
            <w:pPr>
              <w:pStyle w:val="6"/>
              <w:spacing w:before="99" w:line="188" w:lineRule="auto"/>
              <w:ind w:left="503"/>
            </w:pPr>
            <w:r>
              <w:rPr>
                <w:spacing w:val="-5"/>
              </w:rPr>
              <w:t>1.1628</w:t>
            </w:r>
          </w:p>
        </w:tc>
      </w:tr>
      <w:tr w14:paraId="0D8E5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0C48A32">
            <w:pPr>
              <w:pStyle w:val="6"/>
              <w:spacing w:before="99" w:line="188" w:lineRule="auto"/>
              <w:ind w:left="678"/>
            </w:pPr>
            <w:r>
              <w:rPr>
                <w:spacing w:val="-2"/>
              </w:rPr>
              <w:t>600.0</w:t>
            </w:r>
          </w:p>
        </w:tc>
        <w:tc>
          <w:tcPr>
            <w:tcW w:w="1708" w:type="dxa"/>
            <w:vAlign w:val="top"/>
          </w:tcPr>
          <w:p w14:paraId="118D885C">
            <w:pPr>
              <w:pStyle w:val="6"/>
              <w:spacing w:before="99" w:line="188" w:lineRule="auto"/>
              <w:ind w:left="564"/>
            </w:pPr>
            <w:r>
              <w:rPr>
                <w:spacing w:val="-1"/>
              </w:rPr>
              <w:t>2.4977</w:t>
            </w:r>
          </w:p>
        </w:tc>
        <w:tc>
          <w:tcPr>
            <w:tcW w:w="1537" w:type="dxa"/>
            <w:vAlign w:val="top"/>
          </w:tcPr>
          <w:p w14:paraId="27A31EB1">
            <w:pPr>
              <w:pStyle w:val="6"/>
              <w:spacing w:before="99" w:line="188" w:lineRule="auto"/>
              <w:ind w:left="501"/>
            </w:pPr>
            <w:r>
              <w:rPr>
                <w:spacing w:val="-5"/>
              </w:rPr>
              <w:t>1.2489</w:t>
            </w:r>
          </w:p>
        </w:tc>
        <w:tc>
          <w:tcPr>
            <w:tcW w:w="1708" w:type="dxa"/>
            <w:vAlign w:val="top"/>
          </w:tcPr>
          <w:p w14:paraId="3434C8F6">
            <w:pPr>
              <w:pStyle w:val="6"/>
              <w:spacing w:before="99" w:line="188" w:lineRule="auto"/>
              <w:ind w:left="570"/>
            </w:pPr>
            <w:r>
              <w:rPr>
                <w:spacing w:val="-2"/>
              </w:rPr>
              <w:t>0.0999</w:t>
            </w:r>
          </w:p>
        </w:tc>
        <w:tc>
          <w:tcPr>
            <w:tcW w:w="1540" w:type="dxa"/>
            <w:vAlign w:val="top"/>
          </w:tcPr>
          <w:p w14:paraId="6D91B296">
            <w:pPr>
              <w:pStyle w:val="6"/>
              <w:spacing w:before="99" w:line="188" w:lineRule="auto"/>
              <w:ind w:left="485"/>
            </w:pPr>
            <w:r>
              <w:rPr>
                <w:spacing w:val="-2"/>
              </w:rPr>
              <w:t>0.9991</w:t>
            </w:r>
          </w:p>
        </w:tc>
      </w:tr>
      <w:tr w14:paraId="5060E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7404FA0">
            <w:pPr>
              <w:pStyle w:val="6"/>
              <w:spacing w:before="100" w:line="188" w:lineRule="auto"/>
              <w:ind w:left="677"/>
            </w:pPr>
            <w:r>
              <w:rPr>
                <w:spacing w:val="-2"/>
              </w:rPr>
              <w:t>700.0</w:t>
            </w:r>
          </w:p>
        </w:tc>
        <w:tc>
          <w:tcPr>
            <w:tcW w:w="1708" w:type="dxa"/>
            <w:vAlign w:val="top"/>
          </w:tcPr>
          <w:p w14:paraId="024F0E2C">
            <w:pPr>
              <w:pStyle w:val="6"/>
              <w:spacing w:before="100" w:line="188" w:lineRule="auto"/>
              <w:ind w:left="564"/>
            </w:pPr>
            <w:r>
              <w:rPr>
                <w:spacing w:val="-1"/>
              </w:rPr>
              <w:t>2.1803</w:t>
            </w:r>
          </w:p>
        </w:tc>
        <w:tc>
          <w:tcPr>
            <w:tcW w:w="1537" w:type="dxa"/>
            <w:vAlign w:val="top"/>
          </w:tcPr>
          <w:p w14:paraId="0ACD1AAF">
            <w:pPr>
              <w:pStyle w:val="6"/>
              <w:spacing w:before="100" w:line="188" w:lineRule="auto"/>
              <w:ind w:left="501"/>
            </w:pPr>
            <w:r>
              <w:rPr>
                <w:spacing w:val="-5"/>
              </w:rPr>
              <w:t>1.0901</w:t>
            </w:r>
          </w:p>
        </w:tc>
        <w:tc>
          <w:tcPr>
            <w:tcW w:w="1708" w:type="dxa"/>
            <w:vAlign w:val="top"/>
          </w:tcPr>
          <w:p w14:paraId="3D399683">
            <w:pPr>
              <w:pStyle w:val="6"/>
              <w:spacing w:before="100" w:line="188" w:lineRule="auto"/>
              <w:ind w:left="570"/>
            </w:pPr>
            <w:r>
              <w:rPr>
                <w:spacing w:val="-2"/>
              </w:rPr>
              <w:t>0.0872</w:t>
            </w:r>
          </w:p>
        </w:tc>
        <w:tc>
          <w:tcPr>
            <w:tcW w:w="1540" w:type="dxa"/>
            <w:vAlign w:val="top"/>
          </w:tcPr>
          <w:p w14:paraId="6C8C36B2">
            <w:pPr>
              <w:pStyle w:val="6"/>
              <w:spacing w:before="100" w:line="188" w:lineRule="auto"/>
              <w:ind w:left="485"/>
            </w:pPr>
            <w:r>
              <w:rPr>
                <w:spacing w:val="-2"/>
              </w:rPr>
              <w:t>0.8721</w:t>
            </w:r>
          </w:p>
        </w:tc>
      </w:tr>
      <w:tr w14:paraId="4EDA4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25051722">
            <w:pPr>
              <w:pStyle w:val="6"/>
              <w:spacing w:before="100" w:line="188" w:lineRule="auto"/>
              <w:ind w:left="682"/>
            </w:pPr>
            <w:r>
              <w:rPr>
                <w:spacing w:val="-3"/>
              </w:rPr>
              <w:t>800.0</w:t>
            </w:r>
          </w:p>
        </w:tc>
        <w:tc>
          <w:tcPr>
            <w:tcW w:w="1708" w:type="dxa"/>
            <w:vAlign w:val="top"/>
          </w:tcPr>
          <w:p w14:paraId="19F81C05">
            <w:pPr>
              <w:pStyle w:val="6"/>
              <w:spacing w:before="100" w:line="188" w:lineRule="auto"/>
              <w:ind w:left="584"/>
            </w:pPr>
            <w:r>
              <w:rPr>
                <w:spacing w:val="-5"/>
              </w:rPr>
              <w:t>1.9713</w:t>
            </w:r>
          </w:p>
        </w:tc>
        <w:tc>
          <w:tcPr>
            <w:tcW w:w="1537" w:type="dxa"/>
            <w:vAlign w:val="top"/>
          </w:tcPr>
          <w:p w14:paraId="06916E97">
            <w:pPr>
              <w:pStyle w:val="6"/>
              <w:spacing w:before="100" w:line="188" w:lineRule="auto"/>
              <w:ind w:left="484"/>
            </w:pPr>
            <w:r>
              <w:rPr>
                <w:spacing w:val="-2"/>
              </w:rPr>
              <w:t>0.9857</w:t>
            </w:r>
          </w:p>
        </w:tc>
        <w:tc>
          <w:tcPr>
            <w:tcW w:w="1708" w:type="dxa"/>
            <w:vAlign w:val="top"/>
          </w:tcPr>
          <w:p w14:paraId="1B2F8D4F">
            <w:pPr>
              <w:pStyle w:val="6"/>
              <w:spacing w:before="100" w:line="188" w:lineRule="auto"/>
              <w:ind w:left="570"/>
            </w:pPr>
            <w:r>
              <w:rPr>
                <w:spacing w:val="-2"/>
              </w:rPr>
              <w:t>0.0789</w:t>
            </w:r>
          </w:p>
        </w:tc>
        <w:tc>
          <w:tcPr>
            <w:tcW w:w="1540" w:type="dxa"/>
            <w:vAlign w:val="top"/>
          </w:tcPr>
          <w:p w14:paraId="5FA4191B">
            <w:pPr>
              <w:pStyle w:val="6"/>
              <w:spacing w:before="100" w:line="188" w:lineRule="auto"/>
              <w:ind w:left="485"/>
            </w:pPr>
            <w:r>
              <w:rPr>
                <w:spacing w:val="-2"/>
              </w:rPr>
              <w:t>0.7885</w:t>
            </w:r>
          </w:p>
        </w:tc>
      </w:tr>
      <w:tr w14:paraId="238A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283BB50">
            <w:pPr>
              <w:pStyle w:val="6"/>
              <w:spacing w:before="101" w:line="188" w:lineRule="auto"/>
              <w:ind w:left="677"/>
            </w:pPr>
            <w:r>
              <w:rPr>
                <w:spacing w:val="-2"/>
              </w:rPr>
              <w:t>900.0</w:t>
            </w:r>
          </w:p>
        </w:tc>
        <w:tc>
          <w:tcPr>
            <w:tcW w:w="1708" w:type="dxa"/>
            <w:vAlign w:val="top"/>
          </w:tcPr>
          <w:p w14:paraId="4A31E5EB">
            <w:pPr>
              <w:pStyle w:val="6"/>
              <w:spacing w:before="101" w:line="188" w:lineRule="auto"/>
              <w:ind w:left="584"/>
            </w:pPr>
            <w:r>
              <w:rPr>
                <w:spacing w:val="-5"/>
              </w:rPr>
              <w:t>1.8131</w:t>
            </w:r>
          </w:p>
        </w:tc>
        <w:tc>
          <w:tcPr>
            <w:tcW w:w="1537" w:type="dxa"/>
            <w:vAlign w:val="top"/>
          </w:tcPr>
          <w:p w14:paraId="78FCEB29">
            <w:pPr>
              <w:pStyle w:val="6"/>
              <w:spacing w:before="101" w:line="188" w:lineRule="auto"/>
              <w:ind w:left="484"/>
            </w:pPr>
            <w:r>
              <w:rPr>
                <w:spacing w:val="-2"/>
              </w:rPr>
              <w:t>0.9065</w:t>
            </w:r>
          </w:p>
        </w:tc>
        <w:tc>
          <w:tcPr>
            <w:tcW w:w="1708" w:type="dxa"/>
            <w:vAlign w:val="top"/>
          </w:tcPr>
          <w:p w14:paraId="530C6DFB">
            <w:pPr>
              <w:pStyle w:val="6"/>
              <w:spacing w:before="101" w:line="188" w:lineRule="auto"/>
              <w:ind w:left="570"/>
            </w:pPr>
            <w:r>
              <w:rPr>
                <w:spacing w:val="-2"/>
              </w:rPr>
              <w:t>0.0725</w:t>
            </w:r>
          </w:p>
        </w:tc>
        <w:tc>
          <w:tcPr>
            <w:tcW w:w="1540" w:type="dxa"/>
            <w:vAlign w:val="top"/>
          </w:tcPr>
          <w:p w14:paraId="2CC9411F">
            <w:pPr>
              <w:pStyle w:val="6"/>
              <w:spacing w:before="101" w:line="188" w:lineRule="auto"/>
              <w:ind w:left="485"/>
            </w:pPr>
            <w:r>
              <w:rPr>
                <w:spacing w:val="-2"/>
              </w:rPr>
              <w:t>0.7252</w:t>
            </w:r>
          </w:p>
        </w:tc>
      </w:tr>
      <w:tr w14:paraId="55D50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A1DC11A">
            <w:pPr>
              <w:pStyle w:val="6"/>
              <w:spacing w:before="101" w:line="188" w:lineRule="auto"/>
              <w:ind w:left="641"/>
            </w:pPr>
            <w:r>
              <w:rPr>
                <w:spacing w:val="-4"/>
              </w:rPr>
              <w:t>1000.0</w:t>
            </w:r>
          </w:p>
        </w:tc>
        <w:tc>
          <w:tcPr>
            <w:tcW w:w="1708" w:type="dxa"/>
            <w:vAlign w:val="top"/>
          </w:tcPr>
          <w:p w14:paraId="2158C0E7">
            <w:pPr>
              <w:pStyle w:val="6"/>
              <w:spacing w:before="101" w:line="188" w:lineRule="auto"/>
              <w:ind w:left="584"/>
            </w:pPr>
            <w:r>
              <w:rPr>
                <w:spacing w:val="-5"/>
              </w:rPr>
              <w:t>1.6757</w:t>
            </w:r>
          </w:p>
        </w:tc>
        <w:tc>
          <w:tcPr>
            <w:tcW w:w="1537" w:type="dxa"/>
            <w:vAlign w:val="top"/>
          </w:tcPr>
          <w:p w14:paraId="548F17D8">
            <w:pPr>
              <w:pStyle w:val="6"/>
              <w:spacing w:before="101" w:line="188" w:lineRule="auto"/>
              <w:ind w:left="484"/>
            </w:pPr>
            <w:r>
              <w:rPr>
                <w:spacing w:val="-2"/>
              </w:rPr>
              <w:t>0.8379</w:t>
            </w:r>
          </w:p>
        </w:tc>
        <w:tc>
          <w:tcPr>
            <w:tcW w:w="1708" w:type="dxa"/>
            <w:vAlign w:val="top"/>
          </w:tcPr>
          <w:p w14:paraId="5B9E4D14">
            <w:pPr>
              <w:pStyle w:val="6"/>
              <w:spacing w:before="101" w:line="188" w:lineRule="auto"/>
              <w:ind w:left="570"/>
            </w:pPr>
            <w:r>
              <w:rPr>
                <w:spacing w:val="-2"/>
              </w:rPr>
              <w:t>0.0670</w:t>
            </w:r>
          </w:p>
        </w:tc>
        <w:tc>
          <w:tcPr>
            <w:tcW w:w="1540" w:type="dxa"/>
            <w:vAlign w:val="top"/>
          </w:tcPr>
          <w:p w14:paraId="3E0E61CD">
            <w:pPr>
              <w:pStyle w:val="6"/>
              <w:spacing w:before="101" w:line="188" w:lineRule="auto"/>
              <w:ind w:left="485"/>
            </w:pPr>
            <w:r>
              <w:rPr>
                <w:spacing w:val="-2"/>
              </w:rPr>
              <w:t>0.6703</w:t>
            </w:r>
          </w:p>
        </w:tc>
      </w:tr>
      <w:tr w14:paraId="6F511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D08B540">
            <w:pPr>
              <w:pStyle w:val="6"/>
              <w:spacing w:before="101" w:line="188" w:lineRule="auto"/>
              <w:ind w:left="641"/>
            </w:pPr>
            <w:r>
              <w:rPr>
                <w:spacing w:val="-4"/>
              </w:rPr>
              <w:t>1200.0</w:t>
            </w:r>
          </w:p>
        </w:tc>
        <w:tc>
          <w:tcPr>
            <w:tcW w:w="1708" w:type="dxa"/>
            <w:vAlign w:val="top"/>
          </w:tcPr>
          <w:p w14:paraId="1CD14D7A">
            <w:pPr>
              <w:pStyle w:val="6"/>
              <w:spacing w:before="101" w:line="188" w:lineRule="auto"/>
              <w:ind w:left="584"/>
            </w:pPr>
            <w:r>
              <w:rPr>
                <w:spacing w:val="-5"/>
              </w:rPr>
              <w:t>1.4515</w:t>
            </w:r>
          </w:p>
        </w:tc>
        <w:tc>
          <w:tcPr>
            <w:tcW w:w="1537" w:type="dxa"/>
            <w:vAlign w:val="top"/>
          </w:tcPr>
          <w:p w14:paraId="44871174">
            <w:pPr>
              <w:pStyle w:val="6"/>
              <w:spacing w:before="101" w:line="188" w:lineRule="auto"/>
              <w:ind w:left="484"/>
            </w:pPr>
            <w:r>
              <w:rPr>
                <w:spacing w:val="-2"/>
              </w:rPr>
              <w:t>0.7258</w:t>
            </w:r>
          </w:p>
        </w:tc>
        <w:tc>
          <w:tcPr>
            <w:tcW w:w="1708" w:type="dxa"/>
            <w:vAlign w:val="top"/>
          </w:tcPr>
          <w:p w14:paraId="611C2542">
            <w:pPr>
              <w:pStyle w:val="6"/>
              <w:spacing w:before="101" w:line="188" w:lineRule="auto"/>
              <w:ind w:left="570"/>
            </w:pPr>
            <w:r>
              <w:rPr>
                <w:spacing w:val="-2"/>
              </w:rPr>
              <w:t>0.0581</w:t>
            </w:r>
          </w:p>
        </w:tc>
        <w:tc>
          <w:tcPr>
            <w:tcW w:w="1540" w:type="dxa"/>
            <w:vAlign w:val="top"/>
          </w:tcPr>
          <w:p w14:paraId="0370F721">
            <w:pPr>
              <w:pStyle w:val="6"/>
              <w:spacing w:before="101" w:line="188" w:lineRule="auto"/>
              <w:ind w:left="485"/>
            </w:pPr>
            <w:r>
              <w:rPr>
                <w:spacing w:val="-2"/>
              </w:rPr>
              <w:t>0.5806</w:t>
            </w:r>
          </w:p>
        </w:tc>
      </w:tr>
      <w:tr w14:paraId="0FDEE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1D6A7DD">
            <w:pPr>
              <w:pStyle w:val="6"/>
              <w:spacing w:before="101" w:line="188" w:lineRule="auto"/>
              <w:ind w:left="641"/>
            </w:pPr>
            <w:r>
              <w:rPr>
                <w:spacing w:val="-4"/>
              </w:rPr>
              <w:t>1400.0</w:t>
            </w:r>
          </w:p>
        </w:tc>
        <w:tc>
          <w:tcPr>
            <w:tcW w:w="1708" w:type="dxa"/>
            <w:vAlign w:val="top"/>
          </w:tcPr>
          <w:p w14:paraId="606BD740">
            <w:pPr>
              <w:pStyle w:val="6"/>
              <w:spacing w:before="101" w:line="188" w:lineRule="auto"/>
              <w:ind w:left="584"/>
            </w:pPr>
            <w:r>
              <w:rPr>
                <w:spacing w:val="-5"/>
              </w:rPr>
              <w:t>1.2823</w:t>
            </w:r>
          </w:p>
        </w:tc>
        <w:tc>
          <w:tcPr>
            <w:tcW w:w="1537" w:type="dxa"/>
            <w:vAlign w:val="top"/>
          </w:tcPr>
          <w:p w14:paraId="3ED65F00">
            <w:pPr>
              <w:pStyle w:val="6"/>
              <w:spacing w:before="101" w:line="188" w:lineRule="auto"/>
              <w:ind w:left="488"/>
            </w:pPr>
            <w:r>
              <w:rPr>
                <w:spacing w:val="-2"/>
              </w:rPr>
              <w:t>0.6411</w:t>
            </w:r>
          </w:p>
        </w:tc>
        <w:tc>
          <w:tcPr>
            <w:tcW w:w="1708" w:type="dxa"/>
            <w:vAlign w:val="top"/>
          </w:tcPr>
          <w:p w14:paraId="0FC45B15">
            <w:pPr>
              <w:pStyle w:val="6"/>
              <w:spacing w:before="101" w:line="188" w:lineRule="auto"/>
              <w:ind w:left="570"/>
            </w:pPr>
            <w:r>
              <w:rPr>
                <w:spacing w:val="-2"/>
              </w:rPr>
              <w:t>0.0513</w:t>
            </w:r>
          </w:p>
        </w:tc>
        <w:tc>
          <w:tcPr>
            <w:tcW w:w="1540" w:type="dxa"/>
            <w:vAlign w:val="top"/>
          </w:tcPr>
          <w:p w14:paraId="743C214E">
            <w:pPr>
              <w:pStyle w:val="6"/>
              <w:spacing w:before="101" w:line="188" w:lineRule="auto"/>
              <w:ind w:left="485"/>
            </w:pPr>
            <w:r>
              <w:rPr>
                <w:spacing w:val="-2"/>
              </w:rPr>
              <w:t>0.5129</w:t>
            </w:r>
          </w:p>
        </w:tc>
      </w:tr>
      <w:tr w14:paraId="6C7CD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881C639">
            <w:pPr>
              <w:pStyle w:val="6"/>
              <w:spacing w:before="101" w:line="188" w:lineRule="auto"/>
              <w:ind w:left="641"/>
            </w:pPr>
            <w:r>
              <w:rPr>
                <w:spacing w:val="-4"/>
              </w:rPr>
              <w:t>1600.0</w:t>
            </w:r>
          </w:p>
        </w:tc>
        <w:tc>
          <w:tcPr>
            <w:tcW w:w="1708" w:type="dxa"/>
            <w:vAlign w:val="top"/>
          </w:tcPr>
          <w:p w14:paraId="4E2FB992">
            <w:pPr>
              <w:pStyle w:val="6"/>
              <w:spacing w:before="101" w:line="188" w:lineRule="auto"/>
              <w:ind w:left="584"/>
            </w:pPr>
            <w:r>
              <w:rPr>
                <w:spacing w:val="-5"/>
              </w:rPr>
              <w:t>1.1541</w:t>
            </w:r>
          </w:p>
        </w:tc>
        <w:tc>
          <w:tcPr>
            <w:tcW w:w="1537" w:type="dxa"/>
            <w:vAlign w:val="top"/>
          </w:tcPr>
          <w:p w14:paraId="7095BEFE">
            <w:pPr>
              <w:pStyle w:val="6"/>
              <w:spacing w:before="101" w:line="188" w:lineRule="auto"/>
              <w:ind w:left="484"/>
            </w:pPr>
            <w:r>
              <w:rPr>
                <w:spacing w:val="-2"/>
              </w:rPr>
              <w:t>0.5770</w:t>
            </w:r>
          </w:p>
        </w:tc>
        <w:tc>
          <w:tcPr>
            <w:tcW w:w="1708" w:type="dxa"/>
            <w:vAlign w:val="top"/>
          </w:tcPr>
          <w:p w14:paraId="26594877">
            <w:pPr>
              <w:pStyle w:val="6"/>
              <w:spacing w:before="101" w:line="188" w:lineRule="auto"/>
              <w:ind w:left="570"/>
            </w:pPr>
            <w:r>
              <w:rPr>
                <w:spacing w:val="-2"/>
              </w:rPr>
              <w:t>0.0462</w:t>
            </w:r>
          </w:p>
        </w:tc>
        <w:tc>
          <w:tcPr>
            <w:tcW w:w="1540" w:type="dxa"/>
            <w:vAlign w:val="top"/>
          </w:tcPr>
          <w:p w14:paraId="486C0D7E">
            <w:pPr>
              <w:pStyle w:val="6"/>
              <w:spacing w:before="101" w:line="188" w:lineRule="auto"/>
              <w:ind w:left="485"/>
            </w:pPr>
            <w:r>
              <w:rPr>
                <w:spacing w:val="-2"/>
              </w:rPr>
              <w:t>0.4616</w:t>
            </w:r>
          </w:p>
        </w:tc>
      </w:tr>
      <w:tr w14:paraId="4F6AA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5A6F44CE">
            <w:pPr>
              <w:pStyle w:val="6"/>
              <w:spacing w:before="101" w:line="188" w:lineRule="auto"/>
              <w:ind w:left="641"/>
            </w:pPr>
            <w:r>
              <w:rPr>
                <w:spacing w:val="-4"/>
              </w:rPr>
              <w:t>1800.0</w:t>
            </w:r>
          </w:p>
        </w:tc>
        <w:tc>
          <w:tcPr>
            <w:tcW w:w="1708" w:type="dxa"/>
            <w:vAlign w:val="top"/>
          </w:tcPr>
          <w:p w14:paraId="09FC5843">
            <w:pPr>
              <w:pStyle w:val="6"/>
              <w:spacing w:before="101" w:line="188" w:lineRule="auto"/>
              <w:ind w:left="584"/>
            </w:pPr>
            <w:r>
              <w:rPr>
                <w:spacing w:val="-5"/>
              </w:rPr>
              <w:t>1.0509</w:t>
            </w:r>
          </w:p>
        </w:tc>
        <w:tc>
          <w:tcPr>
            <w:tcW w:w="1537" w:type="dxa"/>
            <w:vAlign w:val="top"/>
          </w:tcPr>
          <w:p w14:paraId="4AA96CC6">
            <w:pPr>
              <w:pStyle w:val="6"/>
              <w:spacing w:before="101" w:line="188" w:lineRule="auto"/>
              <w:ind w:left="484"/>
            </w:pPr>
            <w:r>
              <w:rPr>
                <w:spacing w:val="-2"/>
              </w:rPr>
              <w:t>0.5254</w:t>
            </w:r>
          </w:p>
        </w:tc>
        <w:tc>
          <w:tcPr>
            <w:tcW w:w="1708" w:type="dxa"/>
            <w:vAlign w:val="top"/>
          </w:tcPr>
          <w:p w14:paraId="286933D3">
            <w:pPr>
              <w:pStyle w:val="6"/>
              <w:spacing w:before="101" w:line="188" w:lineRule="auto"/>
              <w:ind w:left="570"/>
            </w:pPr>
            <w:r>
              <w:rPr>
                <w:spacing w:val="-2"/>
              </w:rPr>
              <w:t>0.0420</w:t>
            </w:r>
          </w:p>
        </w:tc>
        <w:tc>
          <w:tcPr>
            <w:tcW w:w="1540" w:type="dxa"/>
            <w:vAlign w:val="top"/>
          </w:tcPr>
          <w:p w14:paraId="3CE14E8E">
            <w:pPr>
              <w:pStyle w:val="6"/>
              <w:spacing w:before="101" w:line="188" w:lineRule="auto"/>
              <w:ind w:left="485"/>
            </w:pPr>
            <w:r>
              <w:rPr>
                <w:spacing w:val="-2"/>
              </w:rPr>
              <w:t>0.4204</w:t>
            </w:r>
          </w:p>
        </w:tc>
      </w:tr>
      <w:tr w14:paraId="3E604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ACA49C8">
            <w:pPr>
              <w:pStyle w:val="6"/>
              <w:spacing w:before="102" w:line="188" w:lineRule="auto"/>
              <w:ind w:left="621"/>
            </w:pPr>
            <w:r>
              <w:rPr>
                <w:spacing w:val="-1"/>
              </w:rPr>
              <w:t>2000.0</w:t>
            </w:r>
          </w:p>
        </w:tc>
        <w:tc>
          <w:tcPr>
            <w:tcW w:w="1708" w:type="dxa"/>
            <w:vAlign w:val="top"/>
          </w:tcPr>
          <w:p w14:paraId="55E36685">
            <w:pPr>
              <w:pStyle w:val="6"/>
              <w:spacing w:before="102" w:line="188" w:lineRule="auto"/>
              <w:ind w:left="567"/>
            </w:pPr>
            <w:r>
              <w:rPr>
                <w:spacing w:val="-2"/>
              </w:rPr>
              <w:t>0.9661</w:t>
            </w:r>
          </w:p>
        </w:tc>
        <w:tc>
          <w:tcPr>
            <w:tcW w:w="1537" w:type="dxa"/>
            <w:vAlign w:val="top"/>
          </w:tcPr>
          <w:p w14:paraId="67E020AD">
            <w:pPr>
              <w:pStyle w:val="6"/>
              <w:spacing w:before="102" w:line="188" w:lineRule="auto"/>
              <w:ind w:left="484"/>
            </w:pPr>
            <w:r>
              <w:rPr>
                <w:spacing w:val="-2"/>
              </w:rPr>
              <w:t>0.4831</w:t>
            </w:r>
          </w:p>
        </w:tc>
        <w:tc>
          <w:tcPr>
            <w:tcW w:w="1708" w:type="dxa"/>
            <w:vAlign w:val="top"/>
          </w:tcPr>
          <w:p w14:paraId="13683ECA">
            <w:pPr>
              <w:pStyle w:val="6"/>
              <w:spacing w:before="102" w:line="188" w:lineRule="auto"/>
              <w:ind w:left="570"/>
            </w:pPr>
            <w:r>
              <w:rPr>
                <w:spacing w:val="-2"/>
              </w:rPr>
              <w:t>0.0386</w:t>
            </w:r>
          </w:p>
        </w:tc>
        <w:tc>
          <w:tcPr>
            <w:tcW w:w="1540" w:type="dxa"/>
            <w:vAlign w:val="top"/>
          </w:tcPr>
          <w:p w14:paraId="1A3D28A0">
            <w:pPr>
              <w:pStyle w:val="6"/>
              <w:spacing w:before="102" w:line="188" w:lineRule="auto"/>
              <w:ind w:left="485"/>
            </w:pPr>
            <w:r>
              <w:rPr>
                <w:spacing w:val="-2"/>
              </w:rPr>
              <w:t>0.3865</w:t>
            </w:r>
          </w:p>
        </w:tc>
      </w:tr>
      <w:tr w14:paraId="74C10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B9CB4A7">
            <w:pPr>
              <w:pStyle w:val="6"/>
              <w:spacing w:before="102" w:line="188" w:lineRule="auto"/>
              <w:ind w:left="621"/>
            </w:pPr>
            <w:r>
              <w:rPr>
                <w:spacing w:val="-1"/>
              </w:rPr>
              <w:t>2500.0</w:t>
            </w:r>
          </w:p>
        </w:tc>
        <w:tc>
          <w:tcPr>
            <w:tcW w:w="1708" w:type="dxa"/>
            <w:vAlign w:val="top"/>
          </w:tcPr>
          <w:p w14:paraId="1B3B2386">
            <w:pPr>
              <w:pStyle w:val="6"/>
              <w:spacing w:before="102" w:line="188" w:lineRule="auto"/>
              <w:ind w:left="567"/>
            </w:pPr>
            <w:r>
              <w:rPr>
                <w:spacing w:val="-2"/>
              </w:rPr>
              <w:t>0.7996</w:t>
            </w:r>
          </w:p>
        </w:tc>
        <w:tc>
          <w:tcPr>
            <w:tcW w:w="1537" w:type="dxa"/>
            <w:vAlign w:val="top"/>
          </w:tcPr>
          <w:p w14:paraId="77254A30">
            <w:pPr>
              <w:pStyle w:val="6"/>
              <w:spacing w:before="102" w:line="188" w:lineRule="auto"/>
              <w:ind w:left="484"/>
            </w:pPr>
            <w:r>
              <w:rPr>
                <w:spacing w:val="-2"/>
              </w:rPr>
              <w:t>0.3998</w:t>
            </w:r>
          </w:p>
        </w:tc>
        <w:tc>
          <w:tcPr>
            <w:tcW w:w="1708" w:type="dxa"/>
            <w:vAlign w:val="top"/>
          </w:tcPr>
          <w:p w14:paraId="50D98BF2">
            <w:pPr>
              <w:pStyle w:val="6"/>
              <w:spacing w:before="102" w:line="188" w:lineRule="auto"/>
              <w:ind w:left="570"/>
            </w:pPr>
            <w:r>
              <w:rPr>
                <w:spacing w:val="-2"/>
              </w:rPr>
              <w:t>0.0320</w:t>
            </w:r>
          </w:p>
        </w:tc>
        <w:tc>
          <w:tcPr>
            <w:tcW w:w="1540" w:type="dxa"/>
            <w:vAlign w:val="top"/>
          </w:tcPr>
          <w:p w14:paraId="7B480F49">
            <w:pPr>
              <w:pStyle w:val="6"/>
              <w:spacing w:before="102" w:line="188" w:lineRule="auto"/>
              <w:ind w:left="485"/>
            </w:pPr>
            <w:r>
              <w:rPr>
                <w:spacing w:val="-2"/>
              </w:rPr>
              <w:t>0.3198</w:t>
            </w:r>
          </w:p>
        </w:tc>
      </w:tr>
      <w:tr w14:paraId="528F2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2FA28F5">
            <w:pPr>
              <w:pStyle w:val="6"/>
              <w:spacing w:before="103" w:line="188" w:lineRule="auto"/>
              <w:ind w:left="625"/>
            </w:pPr>
            <w:r>
              <w:rPr>
                <w:spacing w:val="-2"/>
              </w:rPr>
              <w:t>3000.0</w:t>
            </w:r>
          </w:p>
        </w:tc>
        <w:tc>
          <w:tcPr>
            <w:tcW w:w="1708" w:type="dxa"/>
            <w:vAlign w:val="top"/>
          </w:tcPr>
          <w:p w14:paraId="61B56276">
            <w:pPr>
              <w:pStyle w:val="6"/>
              <w:spacing w:before="103" w:line="188" w:lineRule="auto"/>
              <w:ind w:left="567"/>
            </w:pPr>
            <w:r>
              <w:rPr>
                <w:spacing w:val="-2"/>
              </w:rPr>
              <w:t>0.6780</w:t>
            </w:r>
          </w:p>
        </w:tc>
        <w:tc>
          <w:tcPr>
            <w:tcW w:w="1537" w:type="dxa"/>
            <w:vAlign w:val="top"/>
          </w:tcPr>
          <w:p w14:paraId="25C5A7CD">
            <w:pPr>
              <w:pStyle w:val="6"/>
              <w:spacing w:before="103" w:line="188" w:lineRule="auto"/>
              <w:ind w:left="484"/>
            </w:pPr>
            <w:r>
              <w:rPr>
                <w:spacing w:val="-2"/>
              </w:rPr>
              <w:t>0.3390</w:t>
            </w:r>
          </w:p>
        </w:tc>
        <w:tc>
          <w:tcPr>
            <w:tcW w:w="1708" w:type="dxa"/>
            <w:vAlign w:val="top"/>
          </w:tcPr>
          <w:p w14:paraId="53E23892">
            <w:pPr>
              <w:pStyle w:val="6"/>
              <w:spacing w:before="103" w:line="188" w:lineRule="auto"/>
              <w:ind w:left="570"/>
            </w:pPr>
            <w:r>
              <w:rPr>
                <w:spacing w:val="-2"/>
              </w:rPr>
              <w:t>0.0271</w:t>
            </w:r>
          </w:p>
        </w:tc>
        <w:tc>
          <w:tcPr>
            <w:tcW w:w="1540" w:type="dxa"/>
            <w:vAlign w:val="top"/>
          </w:tcPr>
          <w:p w14:paraId="108F9CEA">
            <w:pPr>
              <w:pStyle w:val="6"/>
              <w:spacing w:before="103" w:line="188" w:lineRule="auto"/>
              <w:ind w:left="485"/>
            </w:pPr>
            <w:r>
              <w:rPr>
                <w:spacing w:val="-2"/>
              </w:rPr>
              <w:t>0.2712</w:t>
            </w:r>
          </w:p>
        </w:tc>
      </w:tr>
      <w:tr w14:paraId="4B8DD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A8A4428">
            <w:pPr>
              <w:pStyle w:val="6"/>
              <w:spacing w:before="103" w:line="188" w:lineRule="auto"/>
              <w:ind w:left="625"/>
            </w:pPr>
            <w:r>
              <w:rPr>
                <w:spacing w:val="-2"/>
              </w:rPr>
              <w:t>3500.0</w:t>
            </w:r>
          </w:p>
        </w:tc>
        <w:tc>
          <w:tcPr>
            <w:tcW w:w="1708" w:type="dxa"/>
            <w:vAlign w:val="top"/>
          </w:tcPr>
          <w:p w14:paraId="0357710F">
            <w:pPr>
              <w:pStyle w:val="6"/>
              <w:spacing w:before="103" w:line="188" w:lineRule="auto"/>
              <w:ind w:left="567"/>
            </w:pPr>
            <w:r>
              <w:rPr>
                <w:spacing w:val="-2"/>
              </w:rPr>
              <w:t>0.5858</w:t>
            </w:r>
          </w:p>
        </w:tc>
        <w:tc>
          <w:tcPr>
            <w:tcW w:w="1537" w:type="dxa"/>
            <w:vAlign w:val="top"/>
          </w:tcPr>
          <w:p w14:paraId="357EFEB3">
            <w:pPr>
              <w:pStyle w:val="6"/>
              <w:spacing w:before="103" w:line="188" w:lineRule="auto"/>
              <w:ind w:left="484"/>
            </w:pPr>
            <w:r>
              <w:rPr>
                <w:spacing w:val="-2"/>
              </w:rPr>
              <w:t>0.2929</w:t>
            </w:r>
          </w:p>
        </w:tc>
        <w:tc>
          <w:tcPr>
            <w:tcW w:w="1708" w:type="dxa"/>
            <w:vAlign w:val="top"/>
          </w:tcPr>
          <w:p w14:paraId="49AB9D0D">
            <w:pPr>
              <w:pStyle w:val="6"/>
              <w:spacing w:before="103" w:line="188" w:lineRule="auto"/>
              <w:ind w:left="570"/>
            </w:pPr>
            <w:r>
              <w:rPr>
                <w:spacing w:val="-2"/>
              </w:rPr>
              <w:t>0.0234</w:t>
            </w:r>
          </w:p>
        </w:tc>
        <w:tc>
          <w:tcPr>
            <w:tcW w:w="1540" w:type="dxa"/>
            <w:vAlign w:val="top"/>
          </w:tcPr>
          <w:p w14:paraId="1F4504AC">
            <w:pPr>
              <w:pStyle w:val="6"/>
              <w:spacing w:before="103" w:line="188" w:lineRule="auto"/>
              <w:ind w:left="485"/>
            </w:pPr>
            <w:r>
              <w:rPr>
                <w:spacing w:val="-2"/>
              </w:rPr>
              <w:t>0.2343</w:t>
            </w:r>
          </w:p>
        </w:tc>
      </w:tr>
      <w:tr w14:paraId="0E882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1ACE148">
            <w:pPr>
              <w:pStyle w:val="6"/>
              <w:spacing w:before="104" w:line="188" w:lineRule="auto"/>
              <w:ind w:left="619"/>
            </w:pPr>
            <w:r>
              <w:rPr>
                <w:spacing w:val="-1"/>
              </w:rPr>
              <w:t>4000.0</w:t>
            </w:r>
          </w:p>
        </w:tc>
        <w:tc>
          <w:tcPr>
            <w:tcW w:w="1708" w:type="dxa"/>
            <w:vAlign w:val="top"/>
          </w:tcPr>
          <w:p w14:paraId="16BC6C9B">
            <w:pPr>
              <w:pStyle w:val="6"/>
              <w:spacing w:before="104" w:line="188" w:lineRule="auto"/>
              <w:ind w:left="567"/>
            </w:pPr>
            <w:r>
              <w:rPr>
                <w:spacing w:val="-2"/>
              </w:rPr>
              <w:t>0.5138</w:t>
            </w:r>
          </w:p>
        </w:tc>
        <w:tc>
          <w:tcPr>
            <w:tcW w:w="1537" w:type="dxa"/>
            <w:vAlign w:val="top"/>
          </w:tcPr>
          <w:p w14:paraId="7CA9063E">
            <w:pPr>
              <w:pStyle w:val="6"/>
              <w:spacing w:before="104" w:line="188" w:lineRule="auto"/>
              <w:ind w:left="484"/>
            </w:pPr>
            <w:r>
              <w:rPr>
                <w:spacing w:val="-2"/>
              </w:rPr>
              <w:t>0.2569</w:t>
            </w:r>
          </w:p>
        </w:tc>
        <w:tc>
          <w:tcPr>
            <w:tcW w:w="1708" w:type="dxa"/>
            <w:vAlign w:val="top"/>
          </w:tcPr>
          <w:p w14:paraId="51452048">
            <w:pPr>
              <w:pStyle w:val="6"/>
              <w:spacing w:before="104" w:line="188" w:lineRule="auto"/>
              <w:ind w:left="570"/>
            </w:pPr>
            <w:r>
              <w:rPr>
                <w:spacing w:val="-2"/>
              </w:rPr>
              <w:t>0.0206</w:t>
            </w:r>
          </w:p>
        </w:tc>
        <w:tc>
          <w:tcPr>
            <w:tcW w:w="1540" w:type="dxa"/>
            <w:vAlign w:val="top"/>
          </w:tcPr>
          <w:p w14:paraId="18C09529">
            <w:pPr>
              <w:pStyle w:val="6"/>
              <w:spacing w:before="104" w:line="188" w:lineRule="auto"/>
              <w:ind w:left="485"/>
            </w:pPr>
            <w:r>
              <w:rPr>
                <w:spacing w:val="-2"/>
              </w:rPr>
              <w:t>0.2055</w:t>
            </w:r>
          </w:p>
        </w:tc>
      </w:tr>
      <w:tr w14:paraId="46673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E6FDA8A">
            <w:pPr>
              <w:pStyle w:val="6"/>
              <w:spacing w:before="104" w:line="188" w:lineRule="auto"/>
              <w:ind w:left="619"/>
            </w:pPr>
            <w:r>
              <w:rPr>
                <w:spacing w:val="-1"/>
              </w:rPr>
              <w:t>4500.0</w:t>
            </w:r>
          </w:p>
        </w:tc>
        <w:tc>
          <w:tcPr>
            <w:tcW w:w="1708" w:type="dxa"/>
            <w:vAlign w:val="top"/>
          </w:tcPr>
          <w:p w14:paraId="2E06080C">
            <w:pPr>
              <w:pStyle w:val="6"/>
              <w:spacing w:before="104" w:line="188" w:lineRule="auto"/>
              <w:ind w:left="567"/>
            </w:pPr>
            <w:r>
              <w:rPr>
                <w:spacing w:val="-2"/>
              </w:rPr>
              <w:t>0.4563</w:t>
            </w:r>
          </w:p>
        </w:tc>
        <w:tc>
          <w:tcPr>
            <w:tcW w:w="1537" w:type="dxa"/>
            <w:vAlign w:val="top"/>
          </w:tcPr>
          <w:p w14:paraId="22AB52CE">
            <w:pPr>
              <w:pStyle w:val="6"/>
              <w:spacing w:before="104" w:line="188" w:lineRule="auto"/>
              <w:ind w:left="484"/>
            </w:pPr>
            <w:r>
              <w:rPr>
                <w:spacing w:val="-2"/>
              </w:rPr>
              <w:t>0.2281</w:t>
            </w:r>
          </w:p>
        </w:tc>
        <w:tc>
          <w:tcPr>
            <w:tcW w:w="1708" w:type="dxa"/>
            <w:vAlign w:val="top"/>
          </w:tcPr>
          <w:p w14:paraId="35F96D48">
            <w:pPr>
              <w:pStyle w:val="6"/>
              <w:spacing w:before="104" w:line="188" w:lineRule="auto"/>
              <w:ind w:left="570"/>
            </w:pPr>
            <w:r>
              <w:rPr>
                <w:spacing w:val="-2"/>
              </w:rPr>
              <w:t>0.0183</w:t>
            </w:r>
          </w:p>
        </w:tc>
        <w:tc>
          <w:tcPr>
            <w:tcW w:w="1540" w:type="dxa"/>
            <w:vAlign w:val="top"/>
          </w:tcPr>
          <w:p w14:paraId="14ED87D3">
            <w:pPr>
              <w:pStyle w:val="6"/>
              <w:spacing w:before="104" w:line="188" w:lineRule="auto"/>
              <w:ind w:left="485"/>
            </w:pPr>
            <w:r>
              <w:rPr>
                <w:spacing w:val="-2"/>
              </w:rPr>
              <w:t>0.1825</w:t>
            </w:r>
          </w:p>
        </w:tc>
      </w:tr>
      <w:tr w14:paraId="682DE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D99E5E8">
            <w:pPr>
              <w:pStyle w:val="6"/>
              <w:spacing w:before="104" w:line="188" w:lineRule="auto"/>
              <w:ind w:left="626"/>
            </w:pPr>
            <w:r>
              <w:rPr>
                <w:spacing w:val="-2"/>
              </w:rPr>
              <w:t>5000.0</w:t>
            </w:r>
          </w:p>
        </w:tc>
        <w:tc>
          <w:tcPr>
            <w:tcW w:w="1708" w:type="dxa"/>
            <w:vAlign w:val="top"/>
          </w:tcPr>
          <w:p w14:paraId="789FF3BF">
            <w:pPr>
              <w:pStyle w:val="6"/>
              <w:spacing w:before="104" w:line="188" w:lineRule="auto"/>
              <w:ind w:left="567"/>
            </w:pPr>
            <w:r>
              <w:rPr>
                <w:spacing w:val="-2"/>
              </w:rPr>
              <w:t>0.4093</w:t>
            </w:r>
          </w:p>
        </w:tc>
        <w:tc>
          <w:tcPr>
            <w:tcW w:w="1537" w:type="dxa"/>
            <w:vAlign w:val="top"/>
          </w:tcPr>
          <w:p w14:paraId="202FBEA5">
            <w:pPr>
              <w:pStyle w:val="6"/>
              <w:spacing w:before="104" w:line="188" w:lineRule="auto"/>
              <w:ind w:left="484"/>
            </w:pPr>
            <w:r>
              <w:rPr>
                <w:spacing w:val="-2"/>
              </w:rPr>
              <w:t>0.2047</w:t>
            </w:r>
          </w:p>
        </w:tc>
        <w:tc>
          <w:tcPr>
            <w:tcW w:w="1708" w:type="dxa"/>
            <w:vAlign w:val="top"/>
          </w:tcPr>
          <w:p w14:paraId="18047927">
            <w:pPr>
              <w:pStyle w:val="6"/>
              <w:spacing w:before="104" w:line="188" w:lineRule="auto"/>
              <w:ind w:left="570"/>
            </w:pPr>
            <w:r>
              <w:rPr>
                <w:spacing w:val="-2"/>
              </w:rPr>
              <w:t>0.0164</w:t>
            </w:r>
          </w:p>
        </w:tc>
        <w:tc>
          <w:tcPr>
            <w:tcW w:w="1540" w:type="dxa"/>
            <w:vAlign w:val="top"/>
          </w:tcPr>
          <w:p w14:paraId="3CCE8B5B">
            <w:pPr>
              <w:pStyle w:val="6"/>
              <w:spacing w:before="104" w:line="188" w:lineRule="auto"/>
              <w:ind w:left="485"/>
            </w:pPr>
            <w:r>
              <w:rPr>
                <w:spacing w:val="-2"/>
              </w:rPr>
              <w:t>0.1637</w:t>
            </w:r>
          </w:p>
        </w:tc>
      </w:tr>
      <w:tr w14:paraId="417B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0F151255">
            <w:pPr>
              <w:pStyle w:val="6"/>
              <w:spacing w:before="104" w:line="188" w:lineRule="auto"/>
              <w:ind w:left="588"/>
            </w:pPr>
            <w:r>
              <w:rPr>
                <w:spacing w:val="-4"/>
              </w:rPr>
              <w:t>10000.0</w:t>
            </w:r>
          </w:p>
        </w:tc>
        <w:tc>
          <w:tcPr>
            <w:tcW w:w="1708" w:type="dxa"/>
            <w:vAlign w:val="top"/>
          </w:tcPr>
          <w:p w14:paraId="7074040A">
            <w:pPr>
              <w:pStyle w:val="6"/>
              <w:spacing w:before="104" w:line="188" w:lineRule="auto"/>
              <w:ind w:left="567"/>
            </w:pPr>
            <w:r>
              <w:rPr>
                <w:spacing w:val="-2"/>
              </w:rPr>
              <w:t>0.1920</w:t>
            </w:r>
          </w:p>
        </w:tc>
        <w:tc>
          <w:tcPr>
            <w:tcW w:w="1537" w:type="dxa"/>
            <w:vAlign w:val="top"/>
          </w:tcPr>
          <w:p w14:paraId="41413B3A">
            <w:pPr>
              <w:pStyle w:val="6"/>
              <w:spacing w:before="104" w:line="188" w:lineRule="auto"/>
              <w:ind w:left="484"/>
            </w:pPr>
            <w:r>
              <w:rPr>
                <w:spacing w:val="-2"/>
              </w:rPr>
              <w:t>0.0960</w:t>
            </w:r>
          </w:p>
        </w:tc>
        <w:tc>
          <w:tcPr>
            <w:tcW w:w="1708" w:type="dxa"/>
            <w:vAlign w:val="top"/>
          </w:tcPr>
          <w:p w14:paraId="76E4C21D">
            <w:pPr>
              <w:pStyle w:val="6"/>
              <w:spacing w:before="104" w:line="188" w:lineRule="auto"/>
              <w:ind w:left="570"/>
            </w:pPr>
            <w:r>
              <w:rPr>
                <w:spacing w:val="-2"/>
              </w:rPr>
              <w:t>0.0077</w:t>
            </w:r>
          </w:p>
        </w:tc>
        <w:tc>
          <w:tcPr>
            <w:tcW w:w="1540" w:type="dxa"/>
            <w:vAlign w:val="top"/>
          </w:tcPr>
          <w:p w14:paraId="55944EEA">
            <w:pPr>
              <w:pStyle w:val="6"/>
              <w:spacing w:before="104" w:line="188" w:lineRule="auto"/>
              <w:ind w:left="485"/>
            </w:pPr>
            <w:r>
              <w:rPr>
                <w:spacing w:val="-2"/>
              </w:rPr>
              <w:t>0.0768</w:t>
            </w:r>
          </w:p>
        </w:tc>
      </w:tr>
      <w:tr w14:paraId="43F36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E5B2EDF">
            <w:pPr>
              <w:pStyle w:val="6"/>
              <w:spacing w:before="104" w:line="188" w:lineRule="auto"/>
              <w:ind w:left="593"/>
            </w:pPr>
            <w:r>
              <w:rPr>
                <w:spacing w:val="-5"/>
              </w:rPr>
              <w:t>11000.0</w:t>
            </w:r>
          </w:p>
        </w:tc>
        <w:tc>
          <w:tcPr>
            <w:tcW w:w="1708" w:type="dxa"/>
            <w:vAlign w:val="top"/>
          </w:tcPr>
          <w:p w14:paraId="787A94F2">
            <w:pPr>
              <w:pStyle w:val="6"/>
              <w:spacing w:before="104" w:line="188" w:lineRule="auto"/>
              <w:ind w:left="567"/>
            </w:pPr>
            <w:r>
              <w:rPr>
                <w:spacing w:val="-2"/>
              </w:rPr>
              <w:t>0.1722</w:t>
            </w:r>
          </w:p>
        </w:tc>
        <w:tc>
          <w:tcPr>
            <w:tcW w:w="1537" w:type="dxa"/>
            <w:vAlign w:val="top"/>
          </w:tcPr>
          <w:p w14:paraId="1EB395CB">
            <w:pPr>
              <w:pStyle w:val="6"/>
              <w:spacing w:before="104" w:line="188" w:lineRule="auto"/>
              <w:ind w:left="484"/>
            </w:pPr>
            <w:r>
              <w:rPr>
                <w:spacing w:val="-2"/>
              </w:rPr>
              <w:t>0.0861</w:t>
            </w:r>
          </w:p>
        </w:tc>
        <w:tc>
          <w:tcPr>
            <w:tcW w:w="1708" w:type="dxa"/>
            <w:vAlign w:val="top"/>
          </w:tcPr>
          <w:p w14:paraId="5753A6A4">
            <w:pPr>
              <w:pStyle w:val="6"/>
              <w:spacing w:before="104" w:line="188" w:lineRule="auto"/>
              <w:ind w:left="570"/>
            </w:pPr>
            <w:r>
              <w:rPr>
                <w:spacing w:val="-2"/>
              </w:rPr>
              <w:t>0.0069</w:t>
            </w:r>
          </w:p>
        </w:tc>
        <w:tc>
          <w:tcPr>
            <w:tcW w:w="1540" w:type="dxa"/>
            <w:vAlign w:val="top"/>
          </w:tcPr>
          <w:p w14:paraId="773DDBEB">
            <w:pPr>
              <w:pStyle w:val="6"/>
              <w:spacing w:before="104" w:line="188" w:lineRule="auto"/>
              <w:ind w:left="485"/>
            </w:pPr>
            <w:r>
              <w:rPr>
                <w:spacing w:val="-2"/>
              </w:rPr>
              <w:t>0.0689</w:t>
            </w:r>
          </w:p>
        </w:tc>
      </w:tr>
      <w:tr w14:paraId="012AA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09F92E7B">
            <w:pPr>
              <w:pStyle w:val="6"/>
              <w:spacing w:before="104" w:line="188" w:lineRule="auto"/>
              <w:ind w:left="588"/>
            </w:pPr>
            <w:r>
              <w:rPr>
                <w:spacing w:val="-4"/>
              </w:rPr>
              <w:t>12000.0</w:t>
            </w:r>
          </w:p>
        </w:tc>
        <w:tc>
          <w:tcPr>
            <w:tcW w:w="1708" w:type="dxa"/>
            <w:vAlign w:val="top"/>
          </w:tcPr>
          <w:p w14:paraId="2E432C41">
            <w:pPr>
              <w:pStyle w:val="6"/>
              <w:spacing w:before="104" w:line="188" w:lineRule="auto"/>
              <w:ind w:left="567"/>
            </w:pPr>
            <w:r>
              <w:rPr>
                <w:spacing w:val="-2"/>
              </w:rPr>
              <w:t>0.1559</w:t>
            </w:r>
          </w:p>
        </w:tc>
        <w:tc>
          <w:tcPr>
            <w:tcW w:w="1537" w:type="dxa"/>
            <w:vAlign w:val="top"/>
          </w:tcPr>
          <w:p w14:paraId="7C954229">
            <w:pPr>
              <w:pStyle w:val="6"/>
              <w:spacing w:before="104" w:line="188" w:lineRule="auto"/>
              <w:ind w:left="484"/>
            </w:pPr>
            <w:r>
              <w:rPr>
                <w:spacing w:val="-2"/>
              </w:rPr>
              <w:t>0.0779</w:t>
            </w:r>
          </w:p>
        </w:tc>
        <w:tc>
          <w:tcPr>
            <w:tcW w:w="1708" w:type="dxa"/>
            <w:vAlign w:val="top"/>
          </w:tcPr>
          <w:p w14:paraId="4C25E738">
            <w:pPr>
              <w:pStyle w:val="6"/>
              <w:spacing w:before="104" w:line="188" w:lineRule="auto"/>
              <w:ind w:left="570"/>
            </w:pPr>
            <w:r>
              <w:rPr>
                <w:spacing w:val="-2"/>
              </w:rPr>
              <w:t>0.0062</w:t>
            </w:r>
          </w:p>
        </w:tc>
        <w:tc>
          <w:tcPr>
            <w:tcW w:w="1540" w:type="dxa"/>
            <w:vAlign w:val="top"/>
          </w:tcPr>
          <w:p w14:paraId="7783A4CA">
            <w:pPr>
              <w:pStyle w:val="6"/>
              <w:spacing w:before="104" w:line="188" w:lineRule="auto"/>
              <w:ind w:left="485"/>
            </w:pPr>
            <w:r>
              <w:rPr>
                <w:spacing w:val="-2"/>
              </w:rPr>
              <w:t>0.0623</w:t>
            </w:r>
          </w:p>
        </w:tc>
      </w:tr>
      <w:tr w14:paraId="632E6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FED5176">
            <w:pPr>
              <w:pStyle w:val="6"/>
              <w:spacing w:before="104" w:line="188" w:lineRule="auto"/>
              <w:ind w:left="588"/>
            </w:pPr>
            <w:r>
              <w:rPr>
                <w:spacing w:val="-4"/>
              </w:rPr>
              <w:t>13000.0</w:t>
            </w:r>
          </w:p>
        </w:tc>
        <w:tc>
          <w:tcPr>
            <w:tcW w:w="1708" w:type="dxa"/>
            <w:vAlign w:val="top"/>
          </w:tcPr>
          <w:p w14:paraId="747A2D26">
            <w:pPr>
              <w:pStyle w:val="6"/>
              <w:spacing w:before="104" w:line="188" w:lineRule="auto"/>
              <w:ind w:left="567"/>
            </w:pPr>
            <w:r>
              <w:rPr>
                <w:spacing w:val="-2"/>
              </w:rPr>
              <w:t>0.1421</w:t>
            </w:r>
          </w:p>
        </w:tc>
        <w:tc>
          <w:tcPr>
            <w:tcW w:w="1537" w:type="dxa"/>
            <w:vAlign w:val="top"/>
          </w:tcPr>
          <w:p w14:paraId="555AD03A">
            <w:pPr>
              <w:pStyle w:val="6"/>
              <w:spacing w:before="104" w:line="188" w:lineRule="auto"/>
              <w:ind w:left="484"/>
            </w:pPr>
            <w:r>
              <w:rPr>
                <w:spacing w:val="-2"/>
              </w:rPr>
              <w:t>0.0710</w:t>
            </w:r>
          </w:p>
        </w:tc>
        <w:tc>
          <w:tcPr>
            <w:tcW w:w="1708" w:type="dxa"/>
            <w:vAlign w:val="top"/>
          </w:tcPr>
          <w:p w14:paraId="56893191">
            <w:pPr>
              <w:pStyle w:val="6"/>
              <w:spacing w:before="104" w:line="188" w:lineRule="auto"/>
              <w:ind w:left="570"/>
            </w:pPr>
            <w:r>
              <w:rPr>
                <w:spacing w:val="-2"/>
              </w:rPr>
              <w:t>0.0057</w:t>
            </w:r>
          </w:p>
        </w:tc>
        <w:tc>
          <w:tcPr>
            <w:tcW w:w="1540" w:type="dxa"/>
            <w:vAlign w:val="top"/>
          </w:tcPr>
          <w:p w14:paraId="0F719ACB">
            <w:pPr>
              <w:pStyle w:val="6"/>
              <w:spacing w:before="104" w:line="188" w:lineRule="auto"/>
              <w:ind w:left="485"/>
            </w:pPr>
            <w:r>
              <w:rPr>
                <w:spacing w:val="-2"/>
              </w:rPr>
              <w:t>0.0568</w:t>
            </w:r>
          </w:p>
        </w:tc>
      </w:tr>
      <w:tr w14:paraId="53156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4DCFC1C">
            <w:pPr>
              <w:pStyle w:val="6"/>
              <w:spacing w:before="104" w:line="188" w:lineRule="auto"/>
              <w:ind w:left="588"/>
            </w:pPr>
            <w:r>
              <w:rPr>
                <w:spacing w:val="-4"/>
              </w:rPr>
              <w:t>14000.0</w:t>
            </w:r>
          </w:p>
        </w:tc>
        <w:tc>
          <w:tcPr>
            <w:tcW w:w="1708" w:type="dxa"/>
            <w:vAlign w:val="top"/>
          </w:tcPr>
          <w:p w14:paraId="7DA23334">
            <w:pPr>
              <w:pStyle w:val="6"/>
              <w:spacing w:before="104" w:line="188" w:lineRule="auto"/>
              <w:ind w:left="567"/>
            </w:pPr>
            <w:r>
              <w:rPr>
                <w:spacing w:val="-2"/>
              </w:rPr>
              <w:t>0.1304</w:t>
            </w:r>
          </w:p>
        </w:tc>
        <w:tc>
          <w:tcPr>
            <w:tcW w:w="1537" w:type="dxa"/>
            <w:vAlign w:val="top"/>
          </w:tcPr>
          <w:p w14:paraId="3DBA284B">
            <w:pPr>
              <w:pStyle w:val="6"/>
              <w:spacing w:before="104" w:line="188" w:lineRule="auto"/>
              <w:ind w:left="484"/>
            </w:pPr>
            <w:r>
              <w:rPr>
                <w:spacing w:val="-2"/>
              </w:rPr>
              <w:t>0.0652</w:t>
            </w:r>
          </w:p>
        </w:tc>
        <w:tc>
          <w:tcPr>
            <w:tcW w:w="1708" w:type="dxa"/>
            <w:vAlign w:val="top"/>
          </w:tcPr>
          <w:p w14:paraId="3EEE77DB">
            <w:pPr>
              <w:pStyle w:val="6"/>
              <w:spacing w:before="104" w:line="188" w:lineRule="auto"/>
              <w:ind w:left="570"/>
            </w:pPr>
            <w:r>
              <w:rPr>
                <w:spacing w:val="-2"/>
              </w:rPr>
              <w:t>0.0052</w:t>
            </w:r>
          </w:p>
        </w:tc>
        <w:tc>
          <w:tcPr>
            <w:tcW w:w="1540" w:type="dxa"/>
            <w:vAlign w:val="top"/>
          </w:tcPr>
          <w:p w14:paraId="6C560E93">
            <w:pPr>
              <w:pStyle w:val="6"/>
              <w:spacing w:before="104" w:line="188" w:lineRule="auto"/>
              <w:ind w:left="485"/>
            </w:pPr>
            <w:r>
              <w:rPr>
                <w:spacing w:val="-2"/>
              </w:rPr>
              <w:t>0.0521</w:t>
            </w:r>
          </w:p>
        </w:tc>
      </w:tr>
      <w:tr w14:paraId="3EFF3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8BAE1A0">
            <w:pPr>
              <w:pStyle w:val="6"/>
              <w:spacing w:before="104" w:line="188" w:lineRule="auto"/>
              <w:ind w:left="588"/>
            </w:pPr>
            <w:r>
              <w:rPr>
                <w:spacing w:val="-4"/>
              </w:rPr>
              <w:t>15000.0</w:t>
            </w:r>
          </w:p>
        </w:tc>
        <w:tc>
          <w:tcPr>
            <w:tcW w:w="1708" w:type="dxa"/>
            <w:vAlign w:val="top"/>
          </w:tcPr>
          <w:p w14:paraId="032EB2D0">
            <w:pPr>
              <w:pStyle w:val="6"/>
              <w:spacing w:before="104" w:line="188" w:lineRule="auto"/>
              <w:ind w:left="567"/>
            </w:pPr>
            <w:r>
              <w:rPr>
                <w:spacing w:val="-2"/>
              </w:rPr>
              <w:t>0.1203</w:t>
            </w:r>
          </w:p>
        </w:tc>
        <w:tc>
          <w:tcPr>
            <w:tcW w:w="1537" w:type="dxa"/>
            <w:vAlign w:val="top"/>
          </w:tcPr>
          <w:p w14:paraId="63546D60">
            <w:pPr>
              <w:pStyle w:val="6"/>
              <w:spacing w:before="104" w:line="188" w:lineRule="auto"/>
              <w:ind w:left="484"/>
            </w:pPr>
            <w:r>
              <w:rPr>
                <w:spacing w:val="-2"/>
              </w:rPr>
              <w:t>0.0601</w:t>
            </w:r>
          </w:p>
        </w:tc>
        <w:tc>
          <w:tcPr>
            <w:tcW w:w="1708" w:type="dxa"/>
            <w:vAlign w:val="top"/>
          </w:tcPr>
          <w:p w14:paraId="2582923D">
            <w:pPr>
              <w:pStyle w:val="6"/>
              <w:spacing w:before="104" w:line="188" w:lineRule="auto"/>
              <w:ind w:left="570"/>
            </w:pPr>
            <w:r>
              <w:rPr>
                <w:spacing w:val="-2"/>
              </w:rPr>
              <w:t>0.0048</w:t>
            </w:r>
          </w:p>
        </w:tc>
        <w:tc>
          <w:tcPr>
            <w:tcW w:w="1540" w:type="dxa"/>
            <w:vAlign w:val="top"/>
          </w:tcPr>
          <w:p w14:paraId="1C4B0560">
            <w:pPr>
              <w:pStyle w:val="6"/>
              <w:spacing w:before="104" w:line="188" w:lineRule="auto"/>
              <w:ind w:left="485"/>
            </w:pPr>
            <w:r>
              <w:rPr>
                <w:spacing w:val="-2"/>
              </w:rPr>
              <w:t>0.0481</w:t>
            </w:r>
          </w:p>
        </w:tc>
      </w:tr>
      <w:tr w14:paraId="66254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546AF924">
            <w:pPr>
              <w:pStyle w:val="6"/>
              <w:spacing w:before="104" w:line="188" w:lineRule="auto"/>
              <w:ind w:left="568"/>
            </w:pPr>
            <w:r>
              <w:rPr>
                <w:spacing w:val="-1"/>
              </w:rPr>
              <w:t>20000.0</w:t>
            </w:r>
          </w:p>
        </w:tc>
        <w:tc>
          <w:tcPr>
            <w:tcW w:w="1708" w:type="dxa"/>
            <w:vAlign w:val="top"/>
          </w:tcPr>
          <w:p w14:paraId="5453B1C0">
            <w:pPr>
              <w:pStyle w:val="6"/>
              <w:spacing w:before="104" w:line="188" w:lineRule="auto"/>
              <w:ind w:left="567"/>
            </w:pPr>
            <w:r>
              <w:rPr>
                <w:spacing w:val="-2"/>
              </w:rPr>
              <w:t>0.0857</w:t>
            </w:r>
          </w:p>
        </w:tc>
        <w:tc>
          <w:tcPr>
            <w:tcW w:w="1537" w:type="dxa"/>
            <w:vAlign w:val="top"/>
          </w:tcPr>
          <w:p w14:paraId="308E23AD">
            <w:pPr>
              <w:pStyle w:val="6"/>
              <w:spacing w:before="104" w:line="188" w:lineRule="auto"/>
              <w:ind w:left="484"/>
            </w:pPr>
            <w:r>
              <w:rPr>
                <w:spacing w:val="-2"/>
              </w:rPr>
              <w:t>0.0428</w:t>
            </w:r>
          </w:p>
        </w:tc>
        <w:tc>
          <w:tcPr>
            <w:tcW w:w="1708" w:type="dxa"/>
            <w:vAlign w:val="top"/>
          </w:tcPr>
          <w:p w14:paraId="66E501D9">
            <w:pPr>
              <w:pStyle w:val="6"/>
              <w:spacing w:before="104" w:line="188" w:lineRule="auto"/>
              <w:ind w:left="570"/>
            </w:pPr>
            <w:r>
              <w:rPr>
                <w:spacing w:val="-2"/>
              </w:rPr>
              <w:t>0.0034</w:t>
            </w:r>
          </w:p>
        </w:tc>
        <w:tc>
          <w:tcPr>
            <w:tcW w:w="1540" w:type="dxa"/>
            <w:vAlign w:val="top"/>
          </w:tcPr>
          <w:p w14:paraId="732B1D07">
            <w:pPr>
              <w:pStyle w:val="6"/>
              <w:spacing w:before="104" w:line="188" w:lineRule="auto"/>
              <w:ind w:left="485"/>
            </w:pPr>
            <w:r>
              <w:rPr>
                <w:spacing w:val="-2"/>
              </w:rPr>
              <w:t>0.0343</w:t>
            </w:r>
          </w:p>
        </w:tc>
      </w:tr>
      <w:tr w14:paraId="776F4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Align w:val="top"/>
          </w:tcPr>
          <w:p w14:paraId="0A1DB973">
            <w:pPr>
              <w:pStyle w:val="6"/>
              <w:spacing w:before="104" w:line="188" w:lineRule="auto"/>
              <w:ind w:left="568"/>
            </w:pPr>
            <w:r>
              <w:rPr>
                <w:spacing w:val="-1"/>
              </w:rPr>
              <w:t>25000.0</w:t>
            </w:r>
          </w:p>
        </w:tc>
        <w:tc>
          <w:tcPr>
            <w:tcW w:w="1708" w:type="dxa"/>
            <w:vAlign w:val="top"/>
          </w:tcPr>
          <w:p w14:paraId="0778E0A1">
            <w:pPr>
              <w:pStyle w:val="6"/>
              <w:spacing w:before="104" w:line="188" w:lineRule="auto"/>
              <w:ind w:left="567"/>
            </w:pPr>
            <w:r>
              <w:rPr>
                <w:spacing w:val="-2"/>
              </w:rPr>
              <w:t>0.0656</w:t>
            </w:r>
          </w:p>
        </w:tc>
        <w:tc>
          <w:tcPr>
            <w:tcW w:w="1537" w:type="dxa"/>
            <w:vAlign w:val="top"/>
          </w:tcPr>
          <w:p w14:paraId="668C688D">
            <w:pPr>
              <w:pStyle w:val="6"/>
              <w:spacing w:before="104" w:line="188" w:lineRule="auto"/>
              <w:ind w:left="484"/>
            </w:pPr>
            <w:r>
              <w:rPr>
                <w:spacing w:val="-2"/>
              </w:rPr>
              <w:t>0.0328</w:t>
            </w:r>
          </w:p>
        </w:tc>
        <w:tc>
          <w:tcPr>
            <w:tcW w:w="1708" w:type="dxa"/>
            <w:vAlign w:val="top"/>
          </w:tcPr>
          <w:p w14:paraId="78A018CB">
            <w:pPr>
              <w:pStyle w:val="6"/>
              <w:spacing w:before="104" w:line="188" w:lineRule="auto"/>
              <w:ind w:left="570"/>
            </w:pPr>
            <w:r>
              <w:rPr>
                <w:spacing w:val="-2"/>
              </w:rPr>
              <w:t>0.0026</w:t>
            </w:r>
          </w:p>
        </w:tc>
        <w:tc>
          <w:tcPr>
            <w:tcW w:w="1540" w:type="dxa"/>
            <w:vAlign w:val="top"/>
          </w:tcPr>
          <w:p w14:paraId="45EFF79F">
            <w:pPr>
              <w:pStyle w:val="6"/>
              <w:spacing w:before="104" w:line="188" w:lineRule="auto"/>
              <w:ind w:left="485"/>
            </w:pPr>
            <w:r>
              <w:rPr>
                <w:spacing w:val="-2"/>
              </w:rPr>
              <w:t>0.0263</w:t>
            </w:r>
          </w:p>
        </w:tc>
      </w:tr>
    </w:tbl>
    <w:p w14:paraId="1A004DBE">
      <w:pPr>
        <w:pStyle w:val="2"/>
      </w:pPr>
    </w:p>
    <w:p w14:paraId="2704A270">
      <w:pPr>
        <w:sectPr>
          <w:footerReference r:id="rId303" w:type="default"/>
          <w:pgSz w:w="11905" w:h="16840"/>
          <w:pgMar w:top="1168" w:right="1768" w:bottom="1409" w:left="1770" w:header="828" w:footer="1244" w:gutter="0"/>
          <w:cols w:space="720" w:num="1"/>
        </w:sectPr>
      </w:pPr>
    </w:p>
    <w:p w14:paraId="58F86565">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237A4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2AC95D6C">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3E57BF03">
            <w:pPr>
              <w:spacing w:before="64" w:line="220" w:lineRule="auto"/>
              <w:ind w:left="2725"/>
              <w:rPr>
                <w:rFonts w:ascii="宋体" w:hAnsi="宋体" w:eastAsia="宋体" w:cs="宋体"/>
                <w:sz w:val="21"/>
                <w:szCs w:val="21"/>
              </w:rPr>
            </w:pPr>
            <w:r>
              <w:rPr>
                <w:rFonts w:ascii="宋体" w:hAnsi="宋体" w:eastAsia="宋体" w:cs="宋体"/>
                <w:spacing w:val="-2"/>
                <w:sz w:val="21"/>
                <w:szCs w:val="21"/>
              </w:rPr>
              <w:t>转猪舍面源</w:t>
            </w:r>
          </w:p>
        </w:tc>
      </w:tr>
      <w:tr w14:paraId="7D47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19" w:type="dxa"/>
            <w:vMerge w:val="continue"/>
            <w:tcBorders>
              <w:top w:val="nil"/>
            </w:tcBorders>
            <w:vAlign w:val="top"/>
          </w:tcPr>
          <w:p w14:paraId="5EDB6490">
            <w:pPr>
              <w:rPr>
                <w:rFonts w:ascii="Arial"/>
                <w:sz w:val="21"/>
              </w:rPr>
            </w:pPr>
          </w:p>
        </w:tc>
        <w:tc>
          <w:tcPr>
            <w:tcW w:w="1708" w:type="dxa"/>
            <w:vAlign w:val="top"/>
          </w:tcPr>
          <w:p w14:paraId="327064F3">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7200110A">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154A61B9">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28388E07">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4C997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32A06F5C">
            <w:pPr>
              <w:spacing w:before="63" w:line="220" w:lineRule="auto"/>
              <w:ind w:left="184"/>
              <w:rPr>
                <w:rFonts w:ascii="宋体" w:hAnsi="宋体" w:eastAsia="宋体" w:cs="宋体"/>
                <w:sz w:val="21"/>
                <w:szCs w:val="21"/>
              </w:rPr>
            </w:pPr>
            <w:r>
              <w:rPr>
                <w:rFonts w:ascii="宋体" w:hAnsi="宋体" w:eastAsia="宋体" w:cs="宋体"/>
                <w:spacing w:val="-2"/>
                <w:sz w:val="21"/>
                <w:szCs w:val="21"/>
              </w:rPr>
              <w:t>下风向最大浓度</w:t>
            </w:r>
          </w:p>
        </w:tc>
        <w:tc>
          <w:tcPr>
            <w:tcW w:w="1708" w:type="dxa"/>
            <w:vAlign w:val="top"/>
          </w:tcPr>
          <w:p w14:paraId="1A15D5F4">
            <w:pPr>
              <w:pStyle w:val="6"/>
              <w:spacing w:before="100" w:line="188" w:lineRule="auto"/>
              <w:ind w:left="532"/>
            </w:pPr>
            <w:r>
              <w:rPr>
                <w:spacing w:val="-4"/>
              </w:rPr>
              <w:t>13.6600</w:t>
            </w:r>
          </w:p>
        </w:tc>
        <w:tc>
          <w:tcPr>
            <w:tcW w:w="1537" w:type="dxa"/>
            <w:vAlign w:val="top"/>
          </w:tcPr>
          <w:p w14:paraId="6AA02AD0">
            <w:pPr>
              <w:pStyle w:val="6"/>
              <w:spacing w:before="100" w:line="188" w:lineRule="auto"/>
              <w:ind w:left="486"/>
            </w:pPr>
            <w:r>
              <w:rPr>
                <w:spacing w:val="-2"/>
              </w:rPr>
              <w:t>6.8300</w:t>
            </w:r>
          </w:p>
        </w:tc>
        <w:tc>
          <w:tcPr>
            <w:tcW w:w="1708" w:type="dxa"/>
            <w:vAlign w:val="top"/>
          </w:tcPr>
          <w:p w14:paraId="21F17216">
            <w:pPr>
              <w:pStyle w:val="6"/>
              <w:spacing w:before="100" w:line="188" w:lineRule="auto"/>
              <w:ind w:left="569"/>
            </w:pPr>
            <w:r>
              <w:rPr>
                <w:spacing w:val="-2"/>
              </w:rPr>
              <w:t>0.5464</w:t>
            </w:r>
          </w:p>
        </w:tc>
        <w:tc>
          <w:tcPr>
            <w:tcW w:w="1540" w:type="dxa"/>
            <w:vAlign w:val="top"/>
          </w:tcPr>
          <w:p w14:paraId="5B5AB651">
            <w:pPr>
              <w:pStyle w:val="6"/>
              <w:spacing w:before="100" w:line="188" w:lineRule="auto"/>
              <w:ind w:left="487"/>
            </w:pPr>
            <w:r>
              <w:rPr>
                <w:spacing w:val="-2"/>
              </w:rPr>
              <w:t>5.4640</w:t>
            </w:r>
          </w:p>
        </w:tc>
      </w:tr>
      <w:tr w14:paraId="5B129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819" w:type="dxa"/>
            <w:vAlign w:val="top"/>
          </w:tcPr>
          <w:p w14:paraId="7AAAC2EB">
            <w:pPr>
              <w:spacing w:before="50" w:line="247" w:lineRule="auto"/>
              <w:ind w:left="511" w:right="173" w:hanging="327"/>
              <w:rPr>
                <w:rFonts w:ascii="宋体" w:hAnsi="宋体" w:eastAsia="宋体" w:cs="宋体"/>
                <w:sz w:val="21"/>
                <w:szCs w:val="21"/>
              </w:rPr>
            </w:pPr>
            <w:r>
              <w:rPr>
                <w:rFonts w:ascii="宋体" w:hAnsi="宋体" w:eastAsia="宋体" w:cs="宋体"/>
                <w:spacing w:val="-3"/>
                <w:sz w:val="21"/>
                <w:szCs w:val="21"/>
              </w:rPr>
              <w:t>下风向最大浓度</w:t>
            </w:r>
            <w:r>
              <w:rPr>
                <w:rFonts w:ascii="宋体" w:hAnsi="宋体" w:eastAsia="宋体" w:cs="宋体"/>
                <w:spacing w:val="-5"/>
                <w:sz w:val="21"/>
                <w:szCs w:val="21"/>
              </w:rPr>
              <w:t>出现距离</w:t>
            </w:r>
          </w:p>
        </w:tc>
        <w:tc>
          <w:tcPr>
            <w:tcW w:w="1708" w:type="dxa"/>
            <w:vAlign w:val="top"/>
          </w:tcPr>
          <w:p w14:paraId="0DDF0EA2">
            <w:pPr>
              <w:pStyle w:val="6"/>
              <w:spacing w:before="242" w:line="188" w:lineRule="auto"/>
              <w:ind w:left="690"/>
            </w:pPr>
            <w:r>
              <w:rPr>
                <w:spacing w:val="-6"/>
              </w:rPr>
              <w:t>18.0</w:t>
            </w:r>
          </w:p>
        </w:tc>
        <w:tc>
          <w:tcPr>
            <w:tcW w:w="1537" w:type="dxa"/>
            <w:vAlign w:val="top"/>
          </w:tcPr>
          <w:p w14:paraId="58DC8DAD">
            <w:pPr>
              <w:pStyle w:val="6"/>
              <w:spacing w:before="242" w:line="188" w:lineRule="auto"/>
              <w:ind w:left="606"/>
            </w:pPr>
            <w:r>
              <w:rPr>
                <w:spacing w:val="-6"/>
              </w:rPr>
              <w:t>18.0</w:t>
            </w:r>
          </w:p>
        </w:tc>
        <w:tc>
          <w:tcPr>
            <w:tcW w:w="1708" w:type="dxa"/>
            <w:vAlign w:val="top"/>
          </w:tcPr>
          <w:p w14:paraId="65BA3346">
            <w:pPr>
              <w:pStyle w:val="6"/>
              <w:spacing w:before="242" w:line="188" w:lineRule="auto"/>
              <w:ind w:left="692"/>
            </w:pPr>
            <w:r>
              <w:rPr>
                <w:spacing w:val="-6"/>
              </w:rPr>
              <w:t>18.0</w:t>
            </w:r>
          </w:p>
        </w:tc>
        <w:tc>
          <w:tcPr>
            <w:tcW w:w="1540" w:type="dxa"/>
            <w:vAlign w:val="top"/>
          </w:tcPr>
          <w:p w14:paraId="4A18CAAB">
            <w:pPr>
              <w:pStyle w:val="6"/>
              <w:spacing w:before="242" w:line="188" w:lineRule="auto"/>
              <w:ind w:left="608"/>
            </w:pPr>
            <w:r>
              <w:rPr>
                <w:spacing w:val="-6"/>
              </w:rPr>
              <w:t>18.0</w:t>
            </w:r>
          </w:p>
        </w:tc>
      </w:tr>
      <w:tr w14:paraId="67E4C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52A5278">
            <w:pPr>
              <w:pStyle w:val="6"/>
              <w:spacing w:before="64" w:line="220" w:lineRule="auto"/>
              <w:ind w:left="220"/>
              <w:rPr>
                <w:rFonts w:ascii="宋体" w:hAnsi="宋体" w:eastAsia="宋体" w:cs="宋体"/>
              </w:rPr>
            </w:pPr>
            <w:r>
              <w:rPr>
                <w:spacing w:val="-1"/>
              </w:rPr>
              <w:t>D10%</w:t>
            </w:r>
            <w:r>
              <w:rPr>
                <w:rFonts w:ascii="宋体" w:hAnsi="宋体" w:eastAsia="宋体" w:cs="宋体"/>
                <w:spacing w:val="-1"/>
              </w:rPr>
              <w:t>最远距离</w:t>
            </w:r>
          </w:p>
        </w:tc>
        <w:tc>
          <w:tcPr>
            <w:tcW w:w="1708" w:type="dxa"/>
            <w:vAlign w:val="top"/>
          </w:tcPr>
          <w:p w14:paraId="381CE578">
            <w:pPr>
              <w:pStyle w:val="6"/>
              <w:spacing w:before="97" w:line="192" w:lineRule="auto"/>
              <w:ind w:left="819"/>
            </w:pPr>
            <w:r>
              <w:t>/</w:t>
            </w:r>
          </w:p>
        </w:tc>
        <w:tc>
          <w:tcPr>
            <w:tcW w:w="1537" w:type="dxa"/>
            <w:vAlign w:val="top"/>
          </w:tcPr>
          <w:p w14:paraId="6579A021">
            <w:pPr>
              <w:pStyle w:val="6"/>
              <w:spacing w:before="97" w:line="192" w:lineRule="auto"/>
              <w:ind w:left="736"/>
            </w:pPr>
            <w:r>
              <w:t>/</w:t>
            </w:r>
          </w:p>
        </w:tc>
        <w:tc>
          <w:tcPr>
            <w:tcW w:w="1708" w:type="dxa"/>
            <w:vAlign w:val="top"/>
          </w:tcPr>
          <w:p w14:paraId="57F7F9AD">
            <w:pPr>
              <w:pStyle w:val="6"/>
              <w:spacing w:before="97" w:line="192" w:lineRule="auto"/>
              <w:ind w:left="822"/>
            </w:pPr>
            <w:r>
              <w:t>/</w:t>
            </w:r>
          </w:p>
        </w:tc>
        <w:tc>
          <w:tcPr>
            <w:tcW w:w="1540" w:type="dxa"/>
            <w:vAlign w:val="top"/>
          </w:tcPr>
          <w:p w14:paraId="75A32653">
            <w:pPr>
              <w:pStyle w:val="6"/>
              <w:spacing w:before="97" w:line="192" w:lineRule="auto"/>
              <w:ind w:left="737"/>
            </w:pPr>
            <w:r>
              <w:t>/</w:t>
            </w:r>
          </w:p>
        </w:tc>
      </w:tr>
    </w:tbl>
    <w:p w14:paraId="46A6BF62">
      <w:pPr>
        <w:spacing w:before="247" w:line="221" w:lineRule="auto"/>
        <w:ind w:left="274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4.2-9  </w:t>
      </w:r>
      <w:r>
        <w:rPr>
          <w:rFonts w:ascii="黑体" w:hAnsi="黑体" w:eastAsia="黑体" w:cs="黑体"/>
          <w:spacing w:val="-1"/>
          <w:sz w:val="21"/>
          <w:szCs w:val="21"/>
        </w:rPr>
        <w:t>堆粪棚面源预测结果表</w:t>
      </w:r>
    </w:p>
    <w:p w14:paraId="41341EB6">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02889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9" w:type="dxa"/>
            <w:vMerge w:val="restart"/>
            <w:tcBorders>
              <w:bottom w:val="nil"/>
            </w:tcBorders>
            <w:vAlign w:val="top"/>
          </w:tcPr>
          <w:p w14:paraId="48C8A037">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39393BF0">
            <w:pPr>
              <w:spacing w:before="63" w:line="220" w:lineRule="auto"/>
              <w:ind w:left="2725"/>
              <w:rPr>
                <w:rFonts w:ascii="宋体" w:hAnsi="宋体" w:eastAsia="宋体" w:cs="宋体"/>
                <w:sz w:val="21"/>
                <w:szCs w:val="21"/>
              </w:rPr>
            </w:pPr>
            <w:r>
              <w:rPr>
                <w:rFonts w:ascii="宋体" w:hAnsi="宋体" w:eastAsia="宋体" w:cs="宋体"/>
                <w:spacing w:val="-2"/>
                <w:sz w:val="21"/>
                <w:szCs w:val="21"/>
              </w:rPr>
              <w:t>堆粪棚面源</w:t>
            </w:r>
          </w:p>
        </w:tc>
      </w:tr>
      <w:tr w14:paraId="0EC90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Merge w:val="continue"/>
            <w:tcBorders>
              <w:top w:val="nil"/>
            </w:tcBorders>
            <w:vAlign w:val="top"/>
          </w:tcPr>
          <w:p w14:paraId="5F53FD59">
            <w:pPr>
              <w:rPr>
                <w:rFonts w:ascii="Arial"/>
                <w:sz w:val="21"/>
              </w:rPr>
            </w:pPr>
          </w:p>
        </w:tc>
        <w:tc>
          <w:tcPr>
            <w:tcW w:w="1708" w:type="dxa"/>
            <w:vAlign w:val="top"/>
          </w:tcPr>
          <w:p w14:paraId="2C21ECF6">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6426BC7C">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15F81F6A">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7B2C0C2A">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5EA3B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6C7328F8">
            <w:pPr>
              <w:pStyle w:val="6"/>
              <w:spacing w:before="98" w:line="188" w:lineRule="auto"/>
              <w:ind w:left="732"/>
            </w:pPr>
            <w:r>
              <w:rPr>
                <w:spacing w:val="-3"/>
              </w:rPr>
              <w:t>50.0</w:t>
            </w:r>
          </w:p>
        </w:tc>
        <w:tc>
          <w:tcPr>
            <w:tcW w:w="1708" w:type="dxa"/>
            <w:vAlign w:val="top"/>
          </w:tcPr>
          <w:p w14:paraId="3DC82480">
            <w:pPr>
              <w:pStyle w:val="6"/>
              <w:spacing w:before="98" w:line="188" w:lineRule="auto"/>
              <w:ind w:left="563"/>
            </w:pPr>
            <w:r>
              <w:rPr>
                <w:spacing w:val="-1"/>
              </w:rPr>
              <w:t>4.9644</w:t>
            </w:r>
          </w:p>
        </w:tc>
        <w:tc>
          <w:tcPr>
            <w:tcW w:w="1537" w:type="dxa"/>
            <w:vAlign w:val="top"/>
          </w:tcPr>
          <w:p w14:paraId="28A0887E">
            <w:pPr>
              <w:pStyle w:val="6"/>
              <w:spacing w:before="98" w:line="188" w:lineRule="auto"/>
              <w:ind w:left="481"/>
            </w:pPr>
            <w:r>
              <w:rPr>
                <w:spacing w:val="-1"/>
              </w:rPr>
              <w:t>2.4822</w:t>
            </w:r>
          </w:p>
        </w:tc>
        <w:tc>
          <w:tcPr>
            <w:tcW w:w="1708" w:type="dxa"/>
            <w:vAlign w:val="top"/>
          </w:tcPr>
          <w:p w14:paraId="6EB7E76F">
            <w:pPr>
              <w:pStyle w:val="6"/>
              <w:spacing w:before="98" w:line="188" w:lineRule="auto"/>
              <w:ind w:left="570"/>
            </w:pPr>
            <w:r>
              <w:rPr>
                <w:spacing w:val="-2"/>
              </w:rPr>
              <w:t>0.4513</w:t>
            </w:r>
          </w:p>
        </w:tc>
        <w:tc>
          <w:tcPr>
            <w:tcW w:w="1540" w:type="dxa"/>
            <w:vAlign w:val="top"/>
          </w:tcPr>
          <w:p w14:paraId="50FD3DEF">
            <w:pPr>
              <w:pStyle w:val="6"/>
              <w:spacing w:before="98" w:line="188" w:lineRule="auto"/>
              <w:ind w:left="481"/>
            </w:pPr>
            <w:r>
              <w:rPr>
                <w:spacing w:val="-1"/>
              </w:rPr>
              <w:t>4.5131</w:t>
            </w:r>
          </w:p>
        </w:tc>
      </w:tr>
      <w:tr w14:paraId="68069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D5172AA">
            <w:pPr>
              <w:pStyle w:val="6"/>
              <w:spacing w:before="99" w:line="188" w:lineRule="auto"/>
              <w:ind w:left="693"/>
            </w:pPr>
            <w:r>
              <w:rPr>
                <w:spacing w:val="-5"/>
              </w:rPr>
              <w:t>100.0</w:t>
            </w:r>
          </w:p>
        </w:tc>
        <w:tc>
          <w:tcPr>
            <w:tcW w:w="1708" w:type="dxa"/>
            <w:vAlign w:val="top"/>
          </w:tcPr>
          <w:p w14:paraId="54CF42E2">
            <w:pPr>
              <w:pStyle w:val="6"/>
              <w:spacing w:before="99" w:line="188" w:lineRule="auto"/>
              <w:ind w:left="568"/>
            </w:pPr>
            <w:r>
              <w:rPr>
                <w:spacing w:val="-2"/>
              </w:rPr>
              <w:t>3.6648</w:t>
            </w:r>
          </w:p>
        </w:tc>
        <w:tc>
          <w:tcPr>
            <w:tcW w:w="1537" w:type="dxa"/>
            <w:vAlign w:val="top"/>
          </w:tcPr>
          <w:p w14:paraId="3006DD1F">
            <w:pPr>
              <w:pStyle w:val="6"/>
              <w:spacing w:before="99" w:line="188" w:lineRule="auto"/>
              <w:ind w:left="501"/>
            </w:pPr>
            <w:r>
              <w:rPr>
                <w:spacing w:val="-5"/>
              </w:rPr>
              <w:t>1.8324</w:t>
            </w:r>
          </w:p>
        </w:tc>
        <w:tc>
          <w:tcPr>
            <w:tcW w:w="1708" w:type="dxa"/>
            <w:vAlign w:val="top"/>
          </w:tcPr>
          <w:p w14:paraId="7A0A74E9">
            <w:pPr>
              <w:pStyle w:val="6"/>
              <w:spacing w:before="99" w:line="188" w:lineRule="auto"/>
              <w:ind w:left="570"/>
            </w:pPr>
            <w:r>
              <w:rPr>
                <w:spacing w:val="-2"/>
              </w:rPr>
              <w:t>0.3332</w:t>
            </w:r>
          </w:p>
        </w:tc>
        <w:tc>
          <w:tcPr>
            <w:tcW w:w="1540" w:type="dxa"/>
            <w:vAlign w:val="top"/>
          </w:tcPr>
          <w:p w14:paraId="48EB6304">
            <w:pPr>
              <w:pStyle w:val="6"/>
              <w:spacing w:before="99" w:line="188" w:lineRule="auto"/>
              <w:ind w:left="486"/>
            </w:pPr>
            <w:r>
              <w:rPr>
                <w:spacing w:val="-2"/>
              </w:rPr>
              <w:t>3.3316</w:t>
            </w:r>
          </w:p>
        </w:tc>
      </w:tr>
      <w:tr w14:paraId="1E3E4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37E5DD7">
            <w:pPr>
              <w:pStyle w:val="6"/>
              <w:spacing w:before="99" w:line="188" w:lineRule="auto"/>
              <w:ind w:left="673"/>
            </w:pPr>
            <w:r>
              <w:rPr>
                <w:spacing w:val="-1"/>
              </w:rPr>
              <w:t>200.0</w:t>
            </w:r>
          </w:p>
        </w:tc>
        <w:tc>
          <w:tcPr>
            <w:tcW w:w="1708" w:type="dxa"/>
            <w:vAlign w:val="top"/>
          </w:tcPr>
          <w:p w14:paraId="0911C95D">
            <w:pPr>
              <w:pStyle w:val="6"/>
              <w:spacing w:before="99" w:line="188" w:lineRule="auto"/>
              <w:ind w:left="564"/>
            </w:pPr>
            <w:r>
              <w:rPr>
                <w:spacing w:val="-1"/>
              </w:rPr>
              <w:t>2.6910</w:t>
            </w:r>
          </w:p>
        </w:tc>
        <w:tc>
          <w:tcPr>
            <w:tcW w:w="1537" w:type="dxa"/>
            <w:vAlign w:val="top"/>
          </w:tcPr>
          <w:p w14:paraId="60794EE3">
            <w:pPr>
              <w:pStyle w:val="6"/>
              <w:spacing w:before="99" w:line="188" w:lineRule="auto"/>
              <w:ind w:left="501"/>
            </w:pPr>
            <w:r>
              <w:rPr>
                <w:spacing w:val="-5"/>
              </w:rPr>
              <w:t>1.3455</w:t>
            </w:r>
          </w:p>
        </w:tc>
        <w:tc>
          <w:tcPr>
            <w:tcW w:w="1708" w:type="dxa"/>
            <w:vAlign w:val="top"/>
          </w:tcPr>
          <w:p w14:paraId="49ACF235">
            <w:pPr>
              <w:pStyle w:val="6"/>
              <w:spacing w:before="99" w:line="188" w:lineRule="auto"/>
              <w:ind w:left="570"/>
            </w:pPr>
            <w:r>
              <w:rPr>
                <w:spacing w:val="-2"/>
              </w:rPr>
              <w:t>0.2446</w:t>
            </w:r>
          </w:p>
        </w:tc>
        <w:tc>
          <w:tcPr>
            <w:tcW w:w="1540" w:type="dxa"/>
            <w:vAlign w:val="top"/>
          </w:tcPr>
          <w:p w14:paraId="38548F31">
            <w:pPr>
              <w:pStyle w:val="6"/>
              <w:spacing w:before="99" w:line="188" w:lineRule="auto"/>
              <w:ind w:left="482"/>
            </w:pPr>
            <w:r>
              <w:rPr>
                <w:spacing w:val="-1"/>
              </w:rPr>
              <w:t>2.4464</w:t>
            </w:r>
          </w:p>
        </w:tc>
      </w:tr>
      <w:tr w14:paraId="01640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FB2A8D9">
            <w:pPr>
              <w:pStyle w:val="6"/>
              <w:spacing w:before="99" w:line="188" w:lineRule="auto"/>
              <w:ind w:left="678"/>
            </w:pPr>
            <w:r>
              <w:rPr>
                <w:spacing w:val="-2"/>
              </w:rPr>
              <w:t>300.0</w:t>
            </w:r>
          </w:p>
        </w:tc>
        <w:tc>
          <w:tcPr>
            <w:tcW w:w="1708" w:type="dxa"/>
            <w:vAlign w:val="top"/>
          </w:tcPr>
          <w:p w14:paraId="4CFF7D43">
            <w:pPr>
              <w:pStyle w:val="6"/>
              <w:spacing w:before="99" w:line="188" w:lineRule="auto"/>
              <w:ind w:left="564"/>
            </w:pPr>
            <w:r>
              <w:rPr>
                <w:spacing w:val="-1"/>
              </w:rPr>
              <w:t>2.0624</w:t>
            </w:r>
          </w:p>
        </w:tc>
        <w:tc>
          <w:tcPr>
            <w:tcW w:w="1537" w:type="dxa"/>
            <w:vAlign w:val="top"/>
          </w:tcPr>
          <w:p w14:paraId="1180BAAC">
            <w:pPr>
              <w:pStyle w:val="6"/>
              <w:spacing w:before="99" w:line="188" w:lineRule="auto"/>
              <w:ind w:left="501"/>
            </w:pPr>
            <w:r>
              <w:rPr>
                <w:spacing w:val="-5"/>
              </w:rPr>
              <w:t>1.0312</w:t>
            </w:r>
          </w:p>
        </w:tc>
        <w:tc>
          <w:tcPr>
            <w:tcW w:w="1708" w:type="dxa"/>
            <w:vAlign w:val="top"/>
          </w:tcPr>
          <w:p w14:paraId="18B52B27">
            <w:pPr>
              <w:pStyle w:val="6"/>
              <w:spacing w:before="99" w:line="188" w:lineRule="auto"/>
              <w:ind w:left="570"/>
            </w:pPr>
            <w:r>
              <w:rPr>
                <w:spacing w:val="-2"/>
              </w:rPr>
              <w:t>0.1875</w:t>
            </w:r>
          </w:p>
        </w:tc>
        <w:tc>
          <w:tcPr>
            <w:tcW w:w="1540" w:type="dxa"/>
            <w:vAlign w:val="top"/>
          </w:tcPr>
          <w:p w14:paraId="1ACE1F33">
            <w:pPr>
              <w:pStyle w:val="6"/>
              <w:spacing w:before="99" w:line="188" w:lineRule="auto"/>
              <w:ind w:left="502"/>
            </w:pPr>
            <w:r>
              <w:rPr>
                <w:spacing w:val="-5"/>
              </w:rPr>
              <w:t>1.8749</w:t>
            </w:r>
          </w:p>
        </w:tc>
      </w:tr>
      <w:tr w14:paraId="262FB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B68C376">
            <w:pPr>
              <w:pStyle w:val="6"/>
              <w:spacing w:before="99" w:line="188" w:lineRule="auto"/>
              <w:ind w:left="672"/>
            </w:pPr>
            <w:r>
              <w:rPr>
                <w:spacing w:val="-1"/>
              </w:rPr>
              <w:t>400.0</w:t>
            </w:r>
          </w:p>
        </w:tc>
        <w:tc>
          <w:tcPr>
            <w:tcW w:w="1708" w:type="dxa"/>
            <w:vAlign w:val="top"/>
          </w:tcPr>
          <w:p w14:paraId="0E5920B4">
            <w:pPr>
              <w:pStyle w:val="6"/>
              <w:spacing w:before="99" w:line="188" w:lineRule="auto"/>
              <w:ind w:left="584"/>
            </w:pPr>
            <w:r>
              <w:rPr>
                <w:spacing w:val="-5"/>
              </w:rPr>
              <w:t>1.6724</w:t>
            </w:r>
          </w:p>
        </w:tc>
        <w:tc>
          <w:tcPr>
            <w:tcW w:w="1537" w:type="dxa"/>
            <w:vAlign w:val="top"/>
          </w:tcPr>
          <w:p w14:paraId="04342CB2">
            <w:pPr>
              <w:pStyle w:val="6"/>
              <w:spacing w:before="99" w:line="188" w:lineRule="auto"/>
              <w:ind w:left="484"/>
            </w:pPr>
            <w:r>
              <w:rPr>
                <w:spacing w:val="-2"/>
              </w:rPr>
              <w:t>0.8362</w:t>
            </w:r>
          </w:p>
        </w:tc>
        <w:tc>
          <w:tcPr>
            <w:tcW w:w="1708" w:type="dxa"/>
            <w:vAlign w:val="top"/>
          </w:tcPr>
          <w:p w14:paraId="0656CD20">
            <w:pPr>
              <w:pStyle w:val="6"/>
              <w:spacing w:before="99" w:line="188" w:lineRule="auto"/>
              <w:ind w:left="570"/>
            </w:pPr>
            <w:r>
              <w:rPr>
                <w:spacing w:val="-2"/>
              </w:rPr>
              <w:t>0.1520</w:t>
            </w:r>
          </w:p>
        </w:tc>
        <w:tc>
          <w:tcPr>
            <w:tcW w:w="1540" w:type="dxa"/>
            <w:vAlign w:val="top"/>
          </w:tcPr>
          <w:p w14:paraId="40C6FB99">
            <w:pPr>
              <w:pStyle w:val="6"/>
              <w:spacing w:before="99" w:line="188" w:lineRule="auto"/>
              <w:ind w:left="502"/>
            </w:pPr>
            <w:r>
              <w:rPr>
                <w:spacing w:val="-5"/>
              </w:rPr>
              <w:t>1.5204</w:t>
            </w:r>
          </w:p>
        </w:tc>
      </w:tr>
      <w:tr w14:paraId="7B8A0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B035BB8">
            <w:pPr>
              <w:pStyle w:val="6"/>
              <w:spacing w:before="99" w:line="188" w:lineRule="auto"/>
              <w:ind w:left="679"/>
            </w:pPr>
            <w:r>
              <w:rPr>
                <w:spacing w:val="-2"/>
              </w:rPr>
              <w:t>500.0</w:t>
            </w:r>
          </w:p>
        </w:tc>
        <w:tc>
          <w:tcPr>
            <w:tcW w:w="1708" w:type="dxa"/>
            <w:vAlign w:val="top"/>
          </w:tcPr>
          <w:p w14:paraId="7EA4E1A5">
            <w:pPr>
              <w:pStyle w:val="6"/>
              <w:spacing w:before="99" w:line="188" w:lineRule="auto"/>
              <w:ind w:left="584"/>
            </w:pPr>
            <w:r>
              <w:rPr>
                <w:spacing w:val="-5"/>
              </w:rPr>
              <w:t>1.4022</w:t>
            </w:r>
          </w:p>
        </w:tc>
        <w:tc>
          <w:tcPr>
            <w:tcW w:w="1537" w:type="dxa"/>
            <w:vAlign w:val="top"/>
          </w:tcPr>
          <w:p w14:paraId="28620CA2">
            <w:pPr>
              <w:pStyle w:val="6"/>
              <w:spacing w:before="99" w:line="188" w:lineRule="auto"/>
              <w:ind w:left="488"/>
            </w:pPr>
            <w:r>
              <w:rPr>
                <w:spacing w:val="-2"/>
              </w:rPr>
              <w:t>0.7011</w:t>
            </w:r>
          </w:p>
        </w:tc>
        <w:tc>
          <w:tcPr>
            <w:tcW w:w="1708" w:type="dxa"/>
            <w:vAlign w:val="top"/>
          </w:tcPr>
          <w:p w14:paraId="4E82E5B1">
            <w:pPr>
              <w:pStyle w:val="6"/>
              <w:spacing w:before="99" w:line="188" w:lineRule="auto"/>
              <w:ind w:left="570"/>
            </w:pPr>
            <w:r>
              <w:rPr>
                <w:spacing w:val="-2"/>
              </w:rPr>
              <w:t>0.1275</w:t>
            </w:r>
          </w:p>
        </w:tc>
        <w:tc>
          <w:tcPr>
            <w:tcW w:w="1540" w:type="dxa"/>
            <w:vAlign w:val="top"/>
          </w:tcPr>
          <w:p w14:paraId="1E905C10">
            <w:pPr>
              <w:pStyle w:val="6"/>
              <w:spacing w:before="99" w:line="188" w:lineRule="auto"/>
              <w:ind w:left="502"/>
            </w:pPr>
            <w:r>
              <w:rPr>
                <w:spacing w:val="-5"/>
              </w:rPr>
              <w:t>1.2747</w:t>
            </w:r>
          </w:p>
        </w:tc>
      </w:tr>
      <w:tr w14:paraId="1F837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50583E5C">
            <w:pPr>
              <w:pStyle w:val="6"/>
              <w:spacing w:before="99" w:line="188" w:lineRule="auto"/>
              <w:ind w:left="678"/>
            </w:pPr>
            <w:r>
              <w:rPr>
                <w:spacing w:val="-2"/>
              </w:rPr>
              <w:t>600.0</w:t>
            </w:r>
          </w:p>
        </w:tc>
        <w:tc>
          <w:tcPr>
            <w:tcW w:w="1708" w:type="dxa"/>
            <w:vAlign w:val="top"/>
          </w:tcPr>
          <w:p w14:paraId="67E1B14B">
            <w:pPr>
              <w:pStyle w:val="6"/>
              <w:spacing w:before="99" w:line="188" w:lineRule="auto"/>
              <w:ind w:left="584"/>
            </w:pPr>
            <w:r>
              <w:rPr>
                <w:spacing w:val="-5"/>
              </w:rPr>
              <w:t>1.1918</w:t>
            </w:r>
          </w:p>
        </w:tc>
        <w:tc>
          <w:tcPr>
            <w:tcW w:w="1537" w:type="dxa"/>
            <w:vAlign w:val="top"/>
          </w:tcPr>
          <w:p w14:paraId="51277E27">
            <w:pPr>
              <w:pStyle w:val="6"/>
              <w:spacing w:before="99" w:line="188" w:lineRule="auto"/>
              <w:ind w:left="484"/>
            </w:pPr>
            <w:r>
              <w:rPr>
                <w:spacing w:val="-2"/>
              </w:rPr>
              <w:t>0.5959</w:t>
            </w:r>
          </w:p>
        </w:tc>
        <w:tc>
          <w:tcPr>
            <w:tcW w:w="1708" w:type="dxa"/>
            <w:vAlign w:val="top"/>
          </w:tcPr>
          <w:p w14:paraId="3434FCA4">
            <w:pPr>
              <w:pStyle w:val="6"/>
              <w:spacing w:before="99" w:line="188" w:lineRule="auto"/>
              <w:ind w:left="570"/>
            </w:pPr>
            <w:r>
              <w:rPr>
                <w:spacing w:val="-2"/>
              </w:rPr>
              <w:t>0.1083</w:t>
            </w:r>
          </w:p>
        </w:tc>
        <w:tc>
          <w:tcPr>
            <w:tcW w:w="1540" w:type="dxa"/>
            <w:vAlign w:val="top"/>
          </w:tcPr>
          <w:p w14:paraId="4CDB9F92">
            <w:pPr>
              <w:pStyle w:val="6"/>
              <w:spacing w:before="99" w:line="188" w:lineRule="auto"/>
              <w:ind w:left="502"/>
            </w:pPr>
            <w:r>
              <w:rPr>
                <w:spacing w:val="-5"/>
              </w:rPr>
              <w:t>1.0835</w:t>
            </w:r>
          </w:p>
        </w:tc>
      </w:tr>
      <w:tr w14:paraId="0B0B5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F21930B">
            <w:pPr>
              <w:pStyle w:val="6"/>
              <w:spacing w:before="100" w:line="188" w:lineRule="auto"/>
              <w:ind w:left="677"/>
            </w:pPr>
            <w:r>
              <w:rPr>
                <w:spacing w:val="-2"/>
              </w:rPr>
              <w:t>700.0</w:t>
            </w:r>
          </w:p>
        </w:tc>
        <w:tc>
          <w:tcPr>
            <w:tcW w:w="1708" w:type="dxa"/>
            <w:vAlign w:val="top"/>
          </w:tcPr>
          <w:p w14:paraId="2F53D565">
            <w:pPr>
              <w:pStyle w:val="6"/>
              <w:spacing w:before="100" w:line="188" w:lineRule="auto"/>
              <w:ind w:left="584"/>
            </w:pPr>
            <w:r>
              <w:rPr>
                <w:spacing w:val="-5"/>
              </w:rPr>
              <w:t>1.0701</w:t>
            </w:r>
          </w:p>
        </w:tc>
        <w:tc>
          <w:tcPr>
            <w:tcW w:w="1537" w:type="dxa"/>
            <w:vAlign w:val="top"/>
          </w:tcPr>
          <w:p w14:paraId="2E434379">
            <w:pPr>
              <w:pStyle w:val="6"/>
              <w:spacing w:before="100" w:line="188" w:lineRule="auto"/>
              <w:ind w:left="484"/>
            </w:pPr>
            <w:r>
              <w:rPr>
                <w:spacing w:val="-2"/>
              </w:rPr>
              <w:t>0.5351</w:t>
            </w:r>
          </w:p>
        </w:tc>
        <w:tc>
          <w:tcPr>
            <w:tcW w:w="1708" w:type="dxa"/>
            <w:vAlign w:val="top"/>
          </w:tcPr>
          <w:p w14:paraId="7DD0878A">
            <w:pPr>
              <w:pStyle w:val="6"/>
              <w:spacing w:before="100" w:line="188" w:lineRule="auto"/>
              <w:ind w:left="570"/>
            </w:pPr>
            <w:r>
              <w:rPr>
                <w:spacing w:val="-2"/>
              </w:rPr>
              <w:t>0.0973</w:t>
            </w:r>
          </w:p>
        </w:tc>
        <w:tc>
          <w:tcPr>
            <w:tcW w:w="1540" w:type="dxa"/>
            <w:vAlign w:val="top"/>
          </w:tcPr>
          <w:p w14:paraId="2CC1C324">
            <w:pPr>
              <w:pStyle w:val="6"/>
              <w:spacing w:before="100" w:line="188" w:lineRule="auto"/>
              <w:ind w:left="485"/>
            </w:pPr>
            <w:r>
              <w:rPr>
                <w:spacing w:val="-2"/>
              </w:rPr>
              <w:t>0.9728</w:t>
            </w:r>
          </w:p>
        </w:tc>
      </w:tr>
      <w:tr w14:paraId="73065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56622854">
            <w:pPr>
              <w:pStyle w:val="6"/>
              <w:spacing w:before="100" w:line="188" w:lineRule="auto"/>
              <w:ind w:left="682"/>
            </w:pPr>
            <w:r>
              <w:rPr>
                <w:spacing w:val="-3"/>
              </w:rPr>
              <w:t>800.0</w:t>
            </w:r>
          </w:p>
        </w:tc>
        <w:tc>
          <w:tcPr>
            <w:tcW w:w="1708" w:type="dxa"/>
            <w:vAlign w:val="top"/>
          </w:tcPr>
          <w:p w14:paraId="0B160A22">
            <w:pPr>
              <w:pStyle w:val="6"/>
              <w:spacing w:before="100" w:line="188" w:lineRule="auto"/>
              <w:ind w:left="567"/>
            </w:pPr>
            <w:r>
              <w:rPr>
                <w:spacing w:val="-2"/>
              </w:rPr>
              <w:t>0.9704</w:t>
            </w:r>
          </w:p>
        </w:tc>
        <w:tc>
          <w:tcPr>
            <w:tcW w:w="1537" w:type="dxa"/>
            <w:vAlign w:val="top"/>
          </w:tcPr>
          <w:p w14:paraId="2E34B403">
            <w:pPr>
              <w:pStyle w:val="6"/>
              <w:spacing w:before="100" w:line="188" w:lineRule="auto"/>
              <w:ind w:left="484"/>
            </w:pPr>
            <w:r>
              <w:rPr>
                <w:spacing w:val="-2"/>
              </w:rPr>
              <w:t>0.4852</w:t>
            </w:r>
          </w:p>
        </w:tc>
        <w:tc>
          <w:tcPr>
            <w:tcW w:w="1708" w:type="dxa"/>
            <w:vAlign w:val="top"/>
          </w:tcPr>
          <w:p w14:paraId="326907F5">
            <w:pPr>
              <w:pStyle w:val="6"/>
              <w:spacing w:before="100" w:line="188" w:lineRule="auto"/>
              <w:ind w:left="570"/>
            </w:pPr>
            <w:r>
              <w:rPr>
                <w:spacing w:val="-2"/>
              </w:rPr>
              <w:t>0.0882</w:t>
            </w:r>
          </w:p>
        </w:tc>
        <w:tc>
          <w:tcPr>
            <w:tcW w:w="1540" w:type="dxa"/>
            <w:vAlign w:val="top"/>
          </w:tcPr>
          <w:p w14:paraId="32326562">
            <w:pPr>
              <w:pStyle w:val="6"/>
              <w:spacing w:before="100" w:line="188" w:lineRule="auto"/>
              <w:ind w:left="485"/>
            </w:pPr>
            <w:r>
              <w:rPr>
                <w:spacing w:val="-2"/>
              </w:rPr>
              <w:t>0.8822</w:t>
            </w:r>
          </w:p>
        </w:tc>
      </w:tr>
      <w:tr w14:paraId="20B10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6AEFDA4">
            <w:pPr>
              <w:pStyle w:val="6"/>
              <w:spacing w:before="101" w:line="188" w:lineRule="auto"/>
              <w:ind w:left="677"/>
            </w:pPr>
            <w:r>
              <w:rPr>
                <w:spacing w:val="-2"/>
              </w:rPr>
              <w:t>900.0</w:t>
            </w:r>
          </w:p>
        </w:tc>
        <w:tc>
          <w:tcPr>
            <w:tcW w:w="1708" w:type="dxa"/>
            <w:vAlign w:val="top"/>
          </w:tcPr>
          <w:p w14:paraId="10E5E021">
            <w:pPr>
              <w:pStyle w:val="6"/>
              <w:spacing w:before="101" w:line="188" w:lineRule="auto"/>
              <w:ind w:left="567"/>
            </w:pPr>
            <w:r>
              <w:rPr>
                <w:spacing w:val="-2"/>
              </w:rPr>
              <w:t>0.8856</w:t>
            </w:r>
          </w:p>
        </w:tc>
        <w:tc>
          <w:tcPr>
            <w:tcW w:w="1537" w:type="dxa"/>
            <w:vAlign w:val="top"/>
          </w:tcPr>
          <w:p w14:paraId="41F33201">
            <w:pPr>
              <w:pStyle w:val="6"/>
              <w:spacing w:before="101" w:line="188" w:lineRule="auto"/>
              <w:ind w:left="484"/>
            </w:pPr>
            <w:r>
              <w:rPr>
                <w:spacing w:val="-2"/>
              </w:rPr>
              <w:t>0.4428</w:t>
            </w:r>
          </w:p>
        </w:tc>
        <w:tc>
          <w:tcPr>
            <w:tcW w:w="1708" w:type="dxa"/>
            <w:vAlign w:val="top"/>
          </w:tcPr>
          <w:p w14:paraId="284E8092">
            <w:pPr>
              <w:pStyle w:val="6"/>
              <w:spacing w:before="101" w:line="188" w:lineRule="auto"/>
              <w:ind w:left="570"/>
            </w:pPr>
            <w:r>
              <w:rPr>
                <w:spacing w:val="-2"/>
              </w:rPr>
              <w:t>0.0805</w:t>
            </w:r>
          </w:p>
        </w:tc>
        <w:tc>
          <w:tcPr>
            <w:tcW w:w="1540" w:type="dxa"/>
            <w:vAlign w:val="top"/>
          </w:tcPr>
          <w:p w14:paraId="11CCF66E">
            <w:pPr>
              <w:pStyle w:val="6"/>
              <w:spacing w:before="101" w:line="188" w:lineRule="auto"/>
              <w:ind w:left="485"/>
            </w:pPr>
            <w:r>
              <w:rPr>
                <w:spacing w:val="-2"/>
              </w:rPr>
              <w:t>0.8051</w:t>
            </w:r>
          </w:p>
        </w:tc>
      </w:tr>
      <w:tr w14:paraId="07B62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B0B8D54">
            <w:pPr>
              <w:pStyle w:val="6"/>
              <w:spacing w:before="101" w:line="188" w:lineRule="auto"/>
              <w:ind w:left="641"/>
            </w:pPr>
            <w:r>
              <w:rPr>
                <w:spacing w:val="-4"/>
              </w:rPr>
              <w:t>1000.0</w:t>
            </w:r>
          </w:p>
        </w:tc>
        <w:tc>
          <w:tcPr>
            <w:tcW w:w="1708" w:type="dxa"/>
            <w:vAlign w:val="top"/>
          </w:tcPr>
          <w:p w14:paraId="36945851">
            <w:pPr>
              <w:pStyle w:val="6"/>
              <w:spacing w:before="101" w:line="188" w:lineRule="auto"/>
              <w:ind w:left="567"/>
            </w:pPr>
            <w:r>
              <w:rPr>
                <w:spacing w:val="-2"/>
              </w:rPr>
              <w:t>0.8141</w:t>
            </w:r>
          </w:p>
        </w:tc>
        <w:tc>
          <w:tcPr>
            <w:tcW w:w="1537" w:type="dxa"/>
            <w:vAlign w:val="top"/>
          </w:tcPr>
          <w:p w14:paraId="32557CCC">
            <w:pPr>
              <w:pStyle w:val="6"/>
              <w:spacing w:before="101" w:line="188" w:lineRule="auto"/>
              <w:ind w:left="484"/>
            </w:pPr>
            <w:r>
              <w:rPr>
                <w:spacing w:val="-2"/>
              </w:rPr>
              <w:t>0.4071</w:t>
            </w:r>
          </w:p>
        </w:tc>
        <w:tc>
          <w:tcPr>
            <w:tcW w:w="1708" w:type="dxa"/>
            <w:vAlign w:val="top"/>
          </w:tcPr>
          <w:p w14:paraId="4A94B0CF">
            <w:pPr>
              <w:pStyle w:val="6"/>
              <w:spacing w:before="101" w:line="188" w:lineRule="auto"/>
              <w:ind w:left="570"/>
            </w:pPr>
            <w:r>
              <w:rPr>
                <w:spacing w:val="-2"/>
              </w:rPr>
              <w:t>0.0740</w:t>
            </w:r>
          </w:p>
        </w:tc>
        <w:tc>
          <w:tcPr>
            <w:tcW w:w="1540" w:type="dxa"/>
            <w:vAlign w:val="top"/>
          </w:tcPr>
          <w:p w14:paraId="55BA9BF7">
            <w:pPr>
              <w:pStyle w:val="6"/>
              <w:spacing w:before="101" w:line="188" w:lineRule="auto"/>
              <w:ind w:left="485"/>
            </w:pPr>
            <w:r>
              <w:rPr>
                <w:spacing w:val="-2"/>
              </w:rPr>
              <w:t>0.7401</w:t>
            </w:r>
          </w:p>
        </w:tc>
      </w:tr>
      <w:tr w14:paraId="77D0C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D0BE4B0">
            <w:pPr>
              <w:pStyle w:val="6"/>
              <w:spacing w:before="101" w:line="188" w:lineRule="auto"/>
              <w:ind w:left="641"/>
            </w:pPr>
            <w:r>
              <w:rPr>
                <w:spacing w:val="-4"/>
              </w:rPr>
              <w:t>1200.0</w:t>
            </w:r>
          </w:p>
        </w:tc>
        <w:tc>
          <w:tcPr>
            <w:tcW w:w="1708" w:type="dxa"/>
            <w:vAlign w:val="top"/>
          </w:tcPr>
          <w:p w14:paraId="73CCA6C0">
            <w:pPr>
              <w:pStyle w:val="6"/>
              <w:spacing w:before="101" w:line="188" w:lineRule="auto"/>
              <w:ind w:left="567"/>
            </w:pPr>
            <w:r>
              <w:rPr>
                <w:spacing w:val="-2"/>
              </w:rPr>
              <w:t>0.7038</w:t>
            </w:r>
          </w:p>
        </w:tc>
        <w:tc>
          <w:tcPr>
            <w:tcW w:w="1537" w:type="dxa"/>
            <w:vAlign w:val="top"/>
          </w:tcPr>
          <w:p w14:paraId="2116B3DE">
            <w:pPr>
              <w:pStyle w:val="6"/>
              <w:spacing w:before="101" w:line="188" w:lineRule="auto"/>
              <w:ind w:left="484"/>
            </w:pPr>
            <w:r>
              <w:rPr>
                <w:spacing w:val="-2"/>
              </w:rPr>
              <w:t>0.3519</w:t>
            </w:r>
          </w:p>
        </w:tc>
        <w:tc>
          <w:tcPr>
            <w:tcW w:w="1708" w:type="dxa"/>
            <w:vAlign w:val="top"/>
          </w:tcPr>
          <w:p w14:paraId="0F0A89A2">
            <w:pPr>
              <w:pStyle w:val="6"/>
              <w:spacing w:before="101" w:line="188" w:lineRule="auto"/>
              <w:ind w:left="570"/>
            </w:pPr>
            <w:r>
              <w:rPr>
                <w:spacing w:val="-2"/>
              </w:rPr>
              <w:t>0.0640</w:t>
            </w:r>
          </w:p>
        </w:tc>
        <w:tc>
          <w:tcPr>
            <w:tcW w:w="1540" w:type="dxa"/>
            <w:vAlign w:val="top"/>
          </w:tcPr>
          <w:p w14:paraId="66C1FAE7">
            <w:pPr>
              <w:pStyle w:val="6"/>
              <w:spacing w:before="101" w:line="188" w:lineRule="auto"/>
              <w:ind w:left="485"/>
            </w:pPr>
            <w:r>
              <w:rPr>
                <w:spacing w:val="-2"/>
              </w:rPr>
              <w:t>0.6398</w:t>
            </w:r>
          </w:p>
        </w:tc>
      </w:tr>
      <w:tr w14:paraId="47262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791D1BA">
            <w:pPr>
              <w:pStyle w:val="6"/>
              <w:spacing w:before="101" w:line="188" w:lineRule="auto"/>
              <w:ind w:left="641"/>
            </w:pPr>
            <w:r>
              <w:rPr>
                <w:spacing w:val="-4"/>
              </w:rPr>
              <w:t>1400.0</w:t>
            </w:r>
          </w:p>
        </w:tc>
        <w:tc>
          <w:tcPr>
            <w:tcW w:w="1708" w:type="dxa"/>
            <w:vAlign w:val="top"/>
          </w:tcPr>
          <w:p w14:paraId="2374078C">
            <w:pPr>
              <w:pStyle w:val="6"/>
              <w:spacing w:before="101" w:line="188" w:lineRule="auto"/>
              <w:ind w:left="568"/>
            </w:pPr>
            <w:r>
              <w:rPr>
                <w:spacing w:val="-2"/>
              </w:rPr>
              <w:t>0.6225</w:t>
            </w:r>
          </w:p>
        </w:tc>
        <w:tc>
          <w:tcPr>
            <w:tcW w:w="1537" w:type="dxa"/>
            <w:vAlign w:val="top"/>
          </w:tcPr>
          <w:p w14:paraId="096C0ADA">
            <w:pPr>
              <w:pStyle w:val="6"/>
              <w:spacing w:before="101" w:line="188" w:lineRule="auto"/>
              <w:ind w:left="488"/>
            </w:pPr>
            <w:r>
              <w:rPr>
                <w:spacing w:val="-3"/>
              </w:rPr>
              <w:t>0.3113</w:t>
            </w:r>
          </w:p>
        </w:tc>
        <w:tc>
          <w:tcPr>
            <w:tcW w:w="1708" w:type="dxa"/>
            <w:vAlign w:val="top"/>
          </w:tcPr>
          <w:p w14:paraId="72335FFC">
            <w:pPr>
              <w:pStyle w:val="6"/>
              <w:spacing w:before="101" w:line="188" w:lineRule="auto"/>
              <w:ind w:left="570"/>
            </w:pPr>
            <w:r>
              <w:rPr>
                <w:spacing w:val="-2"/>
              </w:rPr>
              <w:t>0.0566</w:t>
            </w:r>
          </w:p>
        </w:tc>
        <w:tc>
          <w:tcPr>
            <w:tcW w:w="1540" w:type="dxa"/>
            <w:vAlign w:val="top"/>
          </w:tcPr>
          <w:p w14:paraId="48309C79">
            <w:pPr>
              <w:pStyle w:val="6"/>
              <w:spacing w:before="101" w:line="188" w:lineRule="auto"/>
              <w:ind w:left="485"/>
            </w:pPr>
            <w:r>
              <w:rPr>
                <w:spacing w:val="-2"/>
              </w:rPr>
              <w:t>0.5659</w:t>
            </w:r>
          </w:p>
        </w:tc>
      </w:tr>
      <w:tr w14:paraId="03CF4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19348BC">
            <w:pPr>
              <w:pStyle w:val="6"/>
              <w:spacing w:before="101" w:line="188" w:lineRule="auto"/>
              <w:ind w:left="641"/>
            </w:pPr>
            <w:r>
              <w:rPr>
                <w:spacing w:val="-4"/>
              </w:rPr>
              <w:t>1600.0</w:t>
            </w:r>
          </w:p>
        </w:tc>
        <w:tc>
          <w:tcPr>
            <w:tcW w:w="1708" w:type="dxa"/>
            <w:vAlign w:val="top"/>
          </w:tcPr>
          <w:p w14:paraId="0D692D6A">
            <w:pPr>
              <w:pStyle w:val="6"/>
              <w:spacing w:before="101" w:line="188" w:lineRule="auto"/>
              <w:ind w:left="567"/>
            </w:pPr>
            <w:r>
              <w:rPr>
                <w:spacing w:val="-2"/>
              </w:rPr>
              <w:t>0.5595</w:t>
            </w:r>
          </w:p>
        </w:tc>
        <w:tc>
          <w:tcPr>
            <w:tcW w:w="1537" w:type="dxa"/>
            <w:vAlign w:val="top"/>
          </w:tcPr>
          <w:p w14:paraId="6B8F5C95">
            <w:pPr>
              <w:pStyle w:val="6"/>
              <w:spacing w:before="101" w:line="188" w:lineRule="auto"/>
              <w:ind w:left="484"/>
            </w:pPr>
            <w:r>
              <w:rPr>
                <w:spacing w:val="-2"/>
              </w:rPr>
              <w:t>0.2798</w:t>
            </w:r>
          </w:p>
        </w:tc>
        <w:tc>
          <w:tcPr>
            <w:tcW w:w="1708" w:type="dxa"/>
            <w:vAlign w:val="top"/>
          </w:tcPr>
          <w:p w14:paraId="34C207C8">
            <w:pPr>
              <w:pStyle w:val="6"/>
              <w:spacing w:before="101" w:line="188" w:lineRule="auto"/>
              <w:ind w:left="570"/>
            </w:pPr>
            <w:r>
              <w:rPr>
                <w:spacing w:val="-2"/>
              </w:rPr>
              <w:t>0.0509</w:t>
            </w:r>
          </w:p>
        </w:tc>
        <w:tc>
          <w:tcPr>
            <w:tcW w:w="1540" w:type="dxa"/>
            <w:vAlign w:val="top"/>
          </w:tcPr>
          <w:p w14:paraId="314C9312">
            <w:pPr>
              <w:pStyle w:val="6"/>
              <w:spacing w:before="101" w:line="188" w:lineRule="auto"/>
              <w:ind w:left="485"/>
            </w:pPr>
            <w:r>
              <w:rPr>
                <w:spacing w:val="-2"/>
              </w:rPr>
              <w:t>0.5086</w:t>
            </w:r>
          </w:p>
        </w:tc>
      </w:tr>
      <w:tr w14:paraId="0B7C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1C7B7F34">
            <w:pPr>
              <w:pStyle w:val="6"/>
              <w:spacing w:before="101" w:line="188" w:lineRule="auto"/>
              <w:ind w:left="641"/>
            </w:pPr>
            <w:r>
              <w:rPr>
                <w:spacing w:val="-4"/>
              </w:rPr>
              <w:t>1800.0</w:t>
            </w:r>
          </w:p>
        </w:tc>
        <w:tc>
          <w:tcPr>
            <w:tcW w:w="1708" w:type="dxa"/>
            <w:vAlign w:val="top"/>
          </w:tcPr>
          <w:p w14:paraId="5453F64D">
            <w:pPr>
              <w:pStyle w:val="6"/>
              <w:spacing w:before="101" w:line="188" w:lineRule="auto"/>
              <w:ind w:left="567"/>
            </w:pPr>
            <w:r>
              <w:rPr>
                <w:spacing w:val="-2"/>
              </w:rPr>
              <w:t>0.5074</w:t>
            </w:r>
          </w:p>
        </w:tc>
        <w:tc>
          <w:tcPr>
            <w:tcW w:w="1537" w:type="dxa"/>
            <w:vAlign w:val="top"/>
          </w:tcPr>
          <w:p w14:paraId="5F60DCF5">
            <w:pPr>
              <w:pStyle w:val="6"/>
              <w:spacing w:before="101" w:line="188" w:lineRule="auto"/>
              <w:ind w:left="484"/>
            </w:pPr>
            <w:r>
              <w:rPr>
                <w:spacing w:val="-2"/>
              </w:rPr>
              <w:t>0.2537</w:t>
            </w:r>
          </w:p>
        </w:tc>
        <w:tc>
          <w:tcPr>
            <w:tcW w:w="1708" w:type="dxa"/>
            <w:vAlign w:val="top"/>
          </w:tcPr>
          <w:p w14:paraId="3EE212E7">
            <w:pPr>
              <w:pStyle w:val="6"/>
              <w:spacing w:before="101" w:line="188" w:lineRule="auto"/>
              <w:ind w:left="570"/>
            </w:pPr>
            <w:r>
              <w:rPr>
                <w:spacing w:val="-2"/>
              </w:rPr>
              <w:t>0.0461</w:t>
            </w:r>
          </w:p>
        </w:tc>
        <w:tc>
          <w:tcPr>
            <w:tcW w:w="1540" w:type="dxa"/>
            <w:vAlign w:val="top"/>
          </w:tcPr>
          <w:p w14:paraId="2F4F8B2E">
            <w:pPr>
              <w:pStyle w:val="6"/>
              <w:spacing w:before="101" w:line="188" w:lineRule="auto"/>
              <w:ind w:left="485"/>
            </w:pPr>
            <w:r>
              <w:rPr>
                <w:spacing w:val="-2"/>
              </w:rPr>
              <w:t>0.4612</w:t>
            </w:r>
          </w:p>
        </w:tc>
      </w:tr>
      <w:tr w14:paraId="56D53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20DEC11">
            <w:pPr>
              <w:pStyle w:val="6"/>
              <w:spacing w:before="102" w:line="188" w:lineRule="auto"/>
              <w:ind w:left="621"/>
            </w:pPr>
            <w:r>
              <w:rPr>
                <w:spacing w:val="-1"/>
              </w:rPr>
              <w:t>2000.0</w:t>
            </w:r>
          </w:p>
        </w:tc>
        <w:tc>
          <w:tcPr>
            <w:tcW w:w="1708" w:type="dxa"/>
            <w:vAlign w:val="top"/>
          </w:tcPr>
          <w:p w14:paraId="79DD4F07">
            <w:pPr>
              <w:pStyle w:val="6"/>
              <w:spacing w:before="102" w:line="188" w:lineRule="auto"/>
              <w:ind w:left="567"/>
            </w:pPr>
            <w:r>
              <w:rPr>
                <w:spacing w:val="-2"/>
              </w:rPr>
              <w:t>0.4631</w:t>
            </w:r>
          </w:p>
        </w:tc>
        <w:tc>
          <w:tcPr>
            <w:tcW w:w="1537" w:type="dxa"/>
            <w:vAlign w:val="top"/>
          </w:tcPr>
          <w:p w14:paraId="396F68A4">
            <w:pPr>
              <w:pStyle w:val="6"/>
              <w:spacing w:before="102" w:line="188" w:lineRule="auto"/>
              <w:ind w:left="484"/>
            </w:pPr>
            <w:r>
              <w:rPr>
                <w:spacing w:val="-2"/>
              </w:rPr>
              <w:t>0.2316</w:t>
            </w:r>
          </w:p>
        </w:tc>
        <w:tc>
          <w:tcPr>
            <w:tcW w:w="1708" w:type="dxa"/>
            <w:vAlign w:val="top"/>
          </w:tcPr>
          <w:p w14:paraId="227C0A10">
            <w:pPr>
              <w:pStyle w:val="6"/>
              <w:spacing w:before="102" w:line="188" w:lineRule="auto"/>
              <w:ind w:left="570"/>
            </w:pPr>
            <w:r>
              <w:rPr>
                <w:spacing w:val="-2"/>
              </w:rPr>
              <w:t>0.0421</w:t>
            </w:r>
          </w:p>
        </w:tc>
        <w:tc>
          <w:tcPr>
            <w:tcW w:w="1540" w:type="dxa"/>
            <w:vAlign w:val="top"/>
          </w:tcPr>
          <w:p w14:paraId="0B8606E9">
            <w:pPr>
              <w:pStyle w:val="6"/>
              <w:spacing w:before="102" w:line="188" w:lineRule="auto"/>
              <w:ind w:left="485"/>
            </w:pPr>
            <w:r>
              <w:rPr>
                <w:spacing w:val="-2"/>
              </w:rPr>
              <w:t>0.4210</w:t>
            </w:r>
          </w:p>
        </w:tc>
      </w:tr>
      <w:tr w14:paraId="1B978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4087CD4C">
            <w:pPr>
              <w:pStyle w:val="6"/>
              <w:spacing w:before="102" w:line="188" w:lineRule="auto"/>
              <w:ind w:left="621"/>
            </w:pPr>
            <w:r>
              <w:rPr>
                <w:spacing w:val="-1"/>
              </w:rPr>
              <w:t>2500.0</w:t>
            </w:r>
          </w:p>
        </w:tc>
        <w:tc>
          <w:tcPr>
            <w:tcW w:w="1708" w:type="dxa"/>
            <w:vAlign w:val="top"/>
          </w:tcPr>
          <w:p w14:paraId="44852004">
            <w:pPr>
              <w:pStyle w:val="6"/>
              <w:spacing w:before="102" w:line="188" w:lineRule="auto"/>
              <w:ind w:left="567"/>
            </w:pPr>
            <w:r>
              <w:rPr>
                <w:spacing w:val="-2"/>
              </w:rPr>
              <w:t>0.3777</w:t>
            </w:r>
          </w:p>
        </w:tc>
        <w:tc>
          <w:tcPr>
            <w:tcW w:w="1537" w:type="dxa"/>
            <w:vAlign w:val="top"/>
          </w:tcPr>
          <w:p w14:paraId="2F733328">
            <w:pPr>
              <w:pStyle w:val="6"/>
              <w:spacing w:before="102" w:line="188" w:lineRule="auto"/>
              <w:ind w:left="484"/>
            </w:pPr>
            <w:r>
              <w:rPr>
                <w:spacing w:val="-2"/>
              </w:rPr>
              <w:t>0.1888</w:t>
            </w:r>
          </w:p>
        </w:tc>
        <w:tc>
          <w:tcPr>
            <w:tcW w:w="1708" w:type="dxa"/>
            <w:vAlign w:val="top"/>
          </w:tcPr>
          <w:p w14:paraId="7721986C">
            <w:pPr>
              <w:pStyle w:val="6"/>
              <w:spacing w:before="102" w:line="188" w:lineRule="auto"/>
              <w:ind w:left="570"/>
            </w:pPr>
            <w:r>
              <w:rPr>
                <w:spacing w:val="-2"/>
              </w:rPr>
              <w:t>0.0343</w:t>
            </w:r>
          </w:p>
        </w:tc>
        <w:tc>
          <w:tcPr>
            <w:tcW w:w="1540" w:type="dxa"/>
            <w:vAlign w:val="top"/>
          </w:tcPr>
          <w:p w14:paraId="3ABD8D5D">
            <w:pPr>
              <w:pStyle w:val="6"/>
              <w:spacing w:before="102" w:line="188" w:lineRule="auto"/>
              <w:ind w:left="485"/>
            </w:pPr>
            <w:r>
              <w:rPr>
                <w:spacing w:val="-2"/>
              </w:rPr>
              <w:t>0.3434</w:t>
            </w:r>
          </w:p>
        </w:tc>
      </w:tr>
      <w:tr w14:paraId="62D23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D3C9C33">
            <w:pPr>
              <w:pStyle w:val="6"/>
              <w:spacing w:before="103" w:line="188" w:lineRule="auto"/>
              <w:ind w:left="625"/>
            </w:pPr>
            <w:r>
              <w:rPr>
                <w:spacing w:val="-2"/>
              </w:rPr>
              <w:t>3000.0</w:t>
            </w:r>
          </w:p>
        </w:tc>
        <w:tc>
          <w:tcPr>
            <w:tcW w:w="1708" w:type="dxa"/>
            <w:vAlign w:val="top"/>
          </w:tcPr>
          <w:p w14:paraId="167AF2E4">
            <w:pPr>
              <w:pStyle w:val="6"/>
              <w:spacing w:before="103" w:line="188" w:lineRule="auto"/>
              <w:ind w:left="567"/>
            </w:pPr>
            <w:r>
              <w:rPr>
                <w:spacing w:val="-2"/>
              </w:rPr>
              <w:t>0.3166</w:t>
            </w:r>
          </w:p>
        </w:tc>
        <w:tc>
          <w:tcPr>
            <w:tcW w:w="1537" w:type="dxa"/>
            <w:vAlign w:val="top"/>
          </w:tcPr>
          <w:p w14:paraId="1B18C580">
            <w:pPr>
              <w:pStyle w:val="6"/>
              <w:spacing w:before="103" w:line="188" w:lineRule="auto"/>
              <w:ind w:left="484"/>
            </w:pPr>
            <w:r>
              <w:rPr>
                <w:spacing w:val="-2"/>
              </w:rPr>
              <w:t>0.1583</w:t>
            </w:r>
          </w:p>
        </w:tc>
        <w:tc>
          <w:tcPr>
            <w:tcW w:w="1708" w:type="dxa"/>
            <w:vAlign w:val="top"/>
          </w:tcPr>
          <w:p w14:paraId="548B2373">
            <w:pPr>
              <w:pStyle w:val="6"/>
              <w:spacing w:before="103" w:line="188" w:lineRule="auto"/>
              <w:ind w:left="570"/>
            </w:pPr>
            <w:r>
              <w:rPr>
                <w:spacing w:val="-2"/>
              </w:rPr>
              <w:t>0.0288</w:t>
            </w:r>
          </w:p>
        </w:tc>
        <w:tc>
          <w:tcPr>
            <w:tcW w:w="1540" w:type="dxa"/>
            <w:vAlign w:val="top"/>
          </w:tcPr>
          <w:p w14:paraId="6C156435">
            <w:pPr>
              <w:pStyle w:val="6"/>
              <w:spacing w:before="103" w:line="188" w:lineRule="auto"/>
              <w:ind w:left="485"/>
            </w:pPr>
            <w:r>
              <w:rPr>
                <w:spacing w:val="-2"/>
              </w:rPr>
              <w:t>0.2878</w:t>
            </w:r>
          </w:p>
        </w:tc>
      </w:tr>
      <w:tr w14:paraId="2CAF4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55F94408">
            <w:pPr>
              <w:pStyle w:val="6"/>
              <w:spacing w:before="103" w:line="188" w:lineRule="auto"/>
              <w:ind w:left="625"/>
            </w:pPr>
            <w:r>
              <w:rPr>
                <w:spacing w:val="-2"/>
              </w:rPr>
              <w:t>3500.0</w:t>
            </w:r>
          </w:p>
        </w:tc>
        <w:tc>
          <w:tcPr>
            <w:tcW w:w="1708" w:type="dxa"/>
            <w:vAlign w:val="top"/>
          </w:tcPr>
          <w:p w14:paraId="24BC22D7">
            <w:pPr>
              <w:pStyle w:val="6"/>
              <w:spacing w:before="103" w:line="188" w:lineRule="auto"/>
              <w:ind w:left="571"/>
            </w:pPr>
            <w:r>
              <w:rPr>
                <w:spacing w:val="-2"/>
              </w:rPr>
              <w:t>0.2711</w:t>
            </w:r>
          </w:p>
        </w:tc>
        <w:tc>
          <w:tcPr>
            <w:tcW w:w="1537" w:type="dxa"/>
            <w:vAlign w:val="top"/>
          </w:tcPr>
          <w:p w14:paraId="115D68D0">
            <w:pPr>
              <w:pStyle w:val="6"/>
              <w:spacing w:before="103" w:line="188" w:lineRule="auto"/>
              <w:ind w:left="484"/>
            </w:pPr>
            <w:r>
              <w:rPr>
                <w:spacing w:val="-2"/>
              </w:rPr>
              <w:t>0.1355</w:t>
            </w:r>
          </w:p>
        </w:tc>
        <w:tc>
          <w:tcPr>
            <w:tcW w:w="1708" w:type="dxa"/>
            <w:vAlign w:val="top"/>
          </w:tcPr>
          <w:p w14:paraId="4AED276A">
            <w:pPr>
              <w:pStyle w:val="6"/>
              <w:spacing w:before="103" w:line="188" w:lineRule="auto"/>
              <w:ind w:left="570"/>
            </w:pPr>
            <w:r>
              <w:rPr>
                <w:spacing w:val="-2"/>
              </w:rPr>
              <w:t>0.0246</w:t>
            </w:r>
          </w:p>
        </w:tc>
        <w:tc>
          <w:tcPr>
            <w:tcW w:w="1540" w:type="dxa"/>
            <w:vAlign w:val="top"/>
          </w:tcPr>
          <w:p w14:paraId="299BE4EB">
            <w:pPr>
              <w:pStyle w:val="6"/>
              <w:spacing w:before="103" w:line="188" w:lineRule="auto"/>
              <w:ind w:left="485"/>
            </w:pPr>
            <w:r>
              <w:rPr>
                <w:spacing w:val="-2"/>
              </w:rPr>
              <w:t>0.2464</w:t>
            </w:r>
          </w:p>
        </w:tc>
      </w:tr>
      <w:tr w14:paraId="0EEF1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9C08874">
            <w:pPr>
              <w:pStyle w:val="6"/>
              <w:spacing w:before="104" w:line="188" w:lineRule="auto"/>
              <w:ind w:left="619"/>
            </w:pPr>
            <w:r>
              <w:rPr>
                <w:spacing w:val="-1"/>
              </w:rPr>
              <w:t>4000.0</w:t>
            </w:r>
          </w:p>
        </w:tc>
        <w:tc>
          <w:tcPr>
            <w:tcW w:w="1708" w:type="dxa"/>
            <w:vAlign w:val="top"/>
          </w:tcPr>
          <w:p w14:paraId="31AE5088">
            <w:pPr>
              <w:pStyle w:val="6"/>
              <w:spacing w:before="104" w:line="188" w:lineRule="auto"/>
              <w:ind w:left="568"/>
            </w:pPr>
            <w:r>
              <w:rPr>
                <w:spacing w:val="-2"/>
              </w:rPr>
              <w:t>0.2360</w:t>
            </w:r>
          </w:p>
        </w:tc>
        <w:tc>
          <w:tcPr>
            <w:tcW w:w="1537" w:type="dxa"/>
            <w:vAlign w:val="top"/>
          </w:tcPr>
          <w:p w14:paraId="74DC53E6">
            <w:pPr>
              <w:pStyle w:val="6"/>
              <w:spacing w:before="104" w:line="188" w:lineRule="auto"/>
              <w:ind w:left="488"/>
            </w:pPr>
            <w:r>
              <w:rPr>
                <w:spacing w:val="-3"/>
              </w:rPr>
              <w:t>0.1180</w:t>
            </w:r>
          </w:p>
        </w:tc>
        <w:tc>
          <w:tcPr>
            <w:tcW w:w="1708" w:type="dxa"/>
            <w:vAlign w:val="top"/>
          </w:tcPr>
          <w:p w14:paraId="3430D027">
            <w:pPr>
              <w:pStyle w:val="6"/>
              <w:spacing w:before="104" w:line="188" w:lineRule="auto"/>
              <w:ind w:left="570"/>
            </w:pPr>
            <w:r>
              <w:rPr>
                <w:spacing w:val="-2"/>
              </w:rPr>
              <w:t>0.0215</w:t>
            </w:r>
          </w:p>
        </w:tc>
        <w:tc>
          <w:tcPr>
            <w:tcW w:w="1540" w:type="dxa"/>
            <w:vAlign w:val="top"/>
          </w:tcPr>
          <w:p w14:paraId="521B70A0">
            <w:pPr>
              <w:pStyle w:val="6"/>
              <w:spacing w:before="104" w:line="188" w:lineRule="auto"/>
              <w:ind w:left="485"/>
            </w:pPr>
            <w:r>
              <w:rPr>
                <w:spacing w:val="-2"/>
              </w:rPr>
              <w:t>0.2145</w:t>
            </w:r>
          </w:p>
        </w:tc>
      </w:tr>
      <w:tr w14:paraId="40660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258C1B0">
            <w:pPr>
              <w:pStyle w:val="6"/>
              <w:spacing w:before="104" w:line="188" w:lineRule="auto"/>
              <w:ind w:left="619"/>
            </w:pPr>
            <w:r>
              <w:rPr>
                <w:spacing w:val="-1"/>
              </w:rPr>
              <w:t>4500.0</w:t>
            </w:r>
          </w:p>
        </w:tc>
        <w:tc>
          <w:tcPr>
            <w:tcW w:w="1708" w:type="dxa"/>
            <w:vAlign w:val="top"/>
          </w:tcPr>
          <w:p w14:paraId="1E7F91A9">
            <w:pPr>
              <w:pStyle w:val="6"/>
              <w:spacing w:before="104" w:line="188" w:lineRule="auto"/>
              <w:ind w:left="567"/>
            </w:pPr>
            <w:r>
              <w:rPr>
                <w:spacing w:val="-2"/>
              </w:rPr>
              <w:t>0.2082</w:t>
            </w:r>
          </w:p>
        </w:tc>
        <w:tc>
          <w:tcPr>
            <w:tcW w:w="1537" w:type="dxa"/>
            <w:vAlign w:val="top"/>
          </w:tcPr>
          <w:p w14:paraId="6E329DC2">
            <w:pPr>
              <w:pStyle w:val="6"/>
              <w:spacing w:before="104" w:line="188" w:lineRule="auto"/>
              <w:ind w:left="484"/>
            </w:pPr>
            <w:r>
              <w:rPr>
                <w:spacing w:val="-2"/>
              </w:rPr>
              <w:t>0.1041</w:t>
            </w:r>
          </w:p>
        </w:tc>
        <w:tc>
          <w:tcPr>
            <w:tcW w:w="1708" w:type="dxa"/>
            <w:vAlign w:val="top"/>
          </w:tcPr>
          <w:p w14:paraId="10C5647D">
            <w:pPr>
              <w:pStyle w:val="6"/>
              <w:spacing w:before="104" w:line="188" w:lineRule="auto"/>
              <w:ind w:left="570"/>
            </w:pPr>
            <w:r>
              <w:rPr>
                <w:spacing w:val="-2"/>
              </w:rPr>
              <w:t>0.0189</w:t>
            </w:r>
          </w:p>
        </w:tc>
        <w:tc>
          <w:tcPr>
            <w:tcW w:w="1540" w:type="dxa"/>
            <w:vAlign w:val="top"/>
          </w:tcPr>
          <w:p w14:paraId="6027B37C">
            <w:pPr>
              <w:pStyle w:val="6"/>
              <w:spacing w:before="104" w:line="188" w:lineRule="auto"/>
              <w:ind w:left="485"/>
            </w:pPr>
            <w:r>
              <w:rPr>
                <w:spacing w:val="-2"/>
              </w:rPr>
              <w:t>0.1893</w:t>
            </w:r>
          </w:p>
        </w:tc>
      </w:tr>
      <w:tr w14:paraId="64E79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1C33CE4">
            <w:pPr>
              <w:pStyle w:val="6"/>
              <w:spacing w:before="104" w:line="188" w:lineRule="auto"/>
              <w:ind w:left="626"/>
            </w:pPr>
            <w:r>
              <w:rPr>
                <w:spacing w:val="-2"/>
              </w:rPr>
              <w:t>5000.0</w:t>
            </w:r>
          </w:p>
        </w:tc>
        <w:tc>
          <w:tcPr>
            <w:tcW w:w="1708" w:type="dxa"/>
            <w:vAlign w:val="top"/>
          </w:tcPr>
          <w:p w14:paraId="583CBFD5">
            <w:pPr>
              <w:pStyle w:val="6"/>
              <w:spacing w:before="104" w:line="188" w:lineRule="auto"/>
              <w:ind w:left="567"/>
            </w:pPr>
            <w:r>
              <w:rPr>
                <w:spacing w:val="-2"/>
              </w:rPr>
              <w:t>0.1858</w:t>
            </w:r>
          </w:p>
        </w:tc>
        <w:tc>
          <w:tcPr>
            <w:tcW w:w="1537" w:type="dxa"/>
            <w:vAlign w:val="top"/>
          </w:tcPr>
          <w:p w14:paraId="0677F7FC">
            <w:pPr>
              <w:pStyle w:val="6"/>
              <w:spacing w:before="104" w:line="188" w:lineRule="auto"/>
              <w:ind w:left="484"/>
            </w:pPr>
            <w:r>
              <w:rPr>
                <w:spacing w:val="-2"/>
              </w:rPr>
              <w:t>0.0929</w:t>
            </w:r>
          </w:p>
        </w:tc>
        <w:tc>
          <w:tcPr>
            <w:tcW w:w="1708" w:type="dxa"/>
            <w:vAlign w:val="top"/>
          </w:tcPr>
          <w:p w14:paraId="6432411F">
            <w:pPr>
              <w:pStyle w:val="6"/>
              <w:spacing w:before="104" w:line="188" w:lineRule="auto"/>
              <w:ind w:left="570"/>
            </w:pPr>
            <w:r>
              <w:rPr>
                <w:spacing w:val="-2"/>
              </w:rPr>
              <w:t>0.0169</w:t>
            </w:r>
          </w:p>
        </w:tc>
        <w:tc>
          <w:tcPr>
            <w:tcW w:w="1540" w:type="dxa"/>
            <w:vAlign w:val="top"/>
          </w:tcPr>
          <w:p w14:paraId="4F43B020">
            <w:pPr>
              <w:pStyle w:val="6"/>
              <w:spacing w:before="104" w:line="188" w:lineRule="auto"/>
              <w:ind w:left="485"/>
            </w:pPr>
            <w:r>
              <w:rPr>
                <w:spacing w:val="-2"/>
              </w:rPr>
              <w:t>0.1689</w:t>
            </w:r>
          </w:p>
        </w:tc>
      </w:tr>
      <w:tr w14:paraId="14837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96350BB">
            <w:pPr>
              <w:pStyle w:val="6"/>
              <w:spacing w:before="104" w:line="188" w:lineRule="auto"/>
              <w:ind w:left="588"/>
            </w:pPr>
            <w:r>
              <w:rPr>
                <w:spacing w:val="-4"/>
              </w:rPr>
              <w:t>10000.0</w:t>
            </w:r>
          </w:p>
        </w:tc>
        <w:tc>
          <w:tcPr>
            <w:tcW w:w="1708" w:type="dxa"/>
            <w:vAlign w:val="top"/>
          </w:tcPr>
          <w:p w14:paraId="6F30CF62">
            <w:pPr>
              <w:pStyle w:val="6"/>
              <w:spacing w:before="104" w:line="188" w:lineRule="auto"/>
              <w:ind w:left="567"/>
            </w:pPr>
            <w:r>
              <w:rPr>
                <w:spacing w:val="-2"/>
              </w:rPr>
              <w:t>0.0846</w:t>
            </w:r>
          </w:p>
        </w:tc>
        <w:tc>
          <w:tcPr>
            <w:tcW w:w="1537" w:type="dxa"/>
            <w:vAlign w:val="top"/>
          </w:tcPr>
          <w:p w14:paraId="36C6A7CC">
            <w:pPr>
              <w:pStyle w:val="6"/>
              <w:spacing w:before="104" w:line="188" w:lineRule="auto"/>
              <w:ind w:left="484"/>
            </w:pPr>
            <w:r>
              <w:rPr>
                <w:spacing w:val="-2"/>
              </w:rPr>
              <w:t>0.0423</w:t>
            </w:r>
          </w:p>
        </w:tc>
        <w:tc>
          <w:tcPr>
            <w:tcW w:w="1708" w:type="dxa"/>
            <w:vAlign w:val="top"/>
          </w:tcPr>
          <w:p w14:paraId="18461902">
            <w:pPr>
              <w:pStyle w:val="6"/>
              <w:spacing w:before="104" w:line="188" w:lineRule="auto"/>
              <w:ind w:left="570"/>
            </w:pPr>
            <w:r>
              <w:rPr>
                <w:spacing w:val="-2"/>
              </w:rPr>
              <w:t>0.0077</w:t>
            </w:r>
          </w:p>
        </w:tc>
        <w:tc>
          <w:tcPr>
            <w:tcW w:w="1540" w:type="dxa"/>
            <w:vAlign w:val="top"/>
          </w:tcPr>
          <w:p w14:paraId="6E807388">
            <w:pPr>
              <w:pStyle w:val="6"/>
              <w:spacing w:before="104" w:line="188" w:lineRule="auto"/>
              <w:ind w:left="485"/>
            </w:pPr>
            <w:r>
              <w:rPr>
                <w:spacing w:val="-2"/>
              </w:rPr>
              <w:t>0.0769</w:t>
            </w:r>
          </w:p>
        </w:tc>
      </w:tr>
      <w:tr w14:paraId="1D314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14ABA49">
            <w:pPr>
              <w:pStyle w:val="6"/>
              <w:spacing w:before="104" w:line="188" w:lineRule="auto"/>
              <w:ind w:left="593"/>
            </w:pPr>
            <w:r>
              <w:rPr>
                <w:spacing w:val="-5"/>
              </w:rPr>
              <w:t>11000.0</w:t>
            </w:r>
          </w:p>
        </w:tc>
        <w:tc>
          <w:tcPr>
            <w:tcW w:w="1708" w:type="dxa"/>
            <w:vAlign w:val="top"/>
          </w:tcPr>
          <w:p w14:paraId="04624C31">
            <w:pPr>
              <w:pStyle w:val="6"/>
              <w:spacing w:before="104" w:line="188" w:lineRule="auto"/>
              <w:ind w:left="567"/>
            </w:pPr>
            <w:r>
              <w:rPr>
                <w:spacing w:val="-2"/>
              </w:rPr>
              <w:t>0.0756</w:t>
            </w:r>
          </w:p>
        </w:tc>
        <w:tc>
          <w:tcPr>
            <w:tcW w:w="1537" w:type="dxa"/>
            <w:vAlign w:val="top"/>
          </w:tcPr>
          <w:p w14:paraId="2496EFF5">
            <w:pPr>
              <w:pStyle w:val="6"/>
              <w:spacing w:before="104" w:line="188" w:lineRule="auto"/>
              <w:ind w:left="484"/>
            </w:pPr>
            <w:r>
              <w:rPr>
                <w:spacing w:val="-2"/>
              </w:rPr>
              <w:t>0.0378</w:t>
            </w:r>
          </w:p>
        </w:tc>
        <w:tc>
          <w:tcPr>
            <w:tcW w:w="1708" w:type="dxa"/>
            <w:vAlign w:val="top"/>
          </w:tcPr>
          <w:p w14:paraId="0C044950">
            <w:pPr>
              <w:pStyle w:val="6"/>
              <w:spacing w:before="104" w:line="188" w:lineRule="auto"/>
              <w:ind w:left="570"/>
            </w:pPr>
            <w:r>
              <w:rPr>
                <w:spacing w:val="-2"/>
              </w:rPr>
              <w:t>0.0069</w:t>
            </w:r>
          </w:p>
        </w:tc>
        <w:tc>
          <w:tcPr>
            <w:tcW w:w="1540" w:type="dxa"/>
            <w:vAlign w:val="top"/>
          </w:tcPr>
          <w:p w14:paraId="2A968F6E">
            <w:pPr>
              <w:pStyle w:val="6"/>
              <w:spacing w:before="104" w:line="188" w:lineRule="auto"/>
              <w:ind w:left="485"/>
            </w:pPr>
            <w:r>
              <w:rPr>
                <w:spacing w:val="-2"/>
              </w:rPr>
              <w:t>0.0687</w:t>
            </w:r>
          </w:p>
        </w:tc>
      </w:tr>
      <w:tr w14:paraId="6F04F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D252B7E">
            <w:pPr>
              <w:pStyle w:val="6"/>
              <w:spacing w:before="104" w:line="188" w:lineRule="auto"/>
              <w:ind w:left="588"/>
            </w:pPr>
            <w:r>
              <w:rPr>
                <w:spacing w:val="-4"/>
              </w:rPr>
              <w:t>12000.0</w:t>
            </w:r>
          </w:p>
        </w:tc>
        <w:tc>
          <w:tcPr>
            <w:tcW w:w="1708" w:type="dxa"/>
            <w:vAlign w:val="top"/>
          </w:tcPr>
          <w:p w14:paraId="04261DA6">
            <w:pPr>
              <w:pStyle w:val="6"/>
              <w:spacing w:before="104" w:line="188" w:lineRule="auto"/>
              <w:ind w:left="567"/>
            </w:pPr>
            <w:r>
              <w:rPr>
                <w:spacing w:val="-2"/>
              </w:rPr>
              <w:t>0.0682</w:t>
            </w:r>
          </w:p>
        </w:tc>
        <w:tc>
          <w:tcPr>
            <w:tcW w:w="1537" w:type="dxa"/>
            <w:vAlign w:val="top"/>
          </w:tcPr>
          <w:p w14:paraId="43F8A9DA">
            <w:pPr>
              <w:pStyle w:val="6"/>
              <w:spacing w:before="104" w:line="188" w:lineRule="auto"/>
              <w:ind w:left="484"/>
            </w:pPr>
            <w:r>
              <w:rPr>
                <w:spacing w:val="-2"/>
              </w:rPr>
              <w:t>0.0341</w:t>
            </w:r>
          </w:p>
        </w:tc>
        <w:tc>
          <w:tcPr>
            <w:tcW w:w="1708" w:type="dxa"/>
            <w:vAlign w:val="top"/>
          </w:tcPr>
          <w:p w14:paraId="4F10DDD3">
            <w:pPr>
              <w:pStyle w:val="6"/>
              <w:spacing w:before="104" w:line="188" w:lineRule="auto"/>
              <w:ind w:left="570"/>
            </w:pPr>
            <w:r>
              <w:rPr>
                <w:spacing w:val="-2"/>
              </w:rPr>
              <w:t>0.0062</w:t>
            </w:r>
          </w:p>
        </w:tc>
        <w:tc>
          <w:tcPr>
            <w:tcW w:w="1540" w:type="dxa"/>
            <w:vAlign w:val="top"/>
          </w:tcPr>
          <w:p w14:paraId="30B0A004">
            <w:pPr>
              <w:pStyle w:val="6"/>
              <w:spacing w:before="104" w:line="188" w:lineRule="auto"/>
              <w:ind w:left="485"/>
            </w:pPr>
            <w:r>
              <w:rPr>
                <w:spacing w:val="-2"/>
              </w:rPr>
              <w:t>0.0620</w:t>
            </w:r>
          </w:p>
        </w:tc>
      </w:tr>
      <w:tr w14:paraId="6E089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DD9282F">
            <w:pPr>
              <w:pStyle w:val="6"/>
              <w:spacing w:before="104" w:line="188" w:lineRule="auto"/>
              <w:ind w:left="588"/>
            </w:pPr>
            <w:r>
              <w:rPr>
                <w:spacing w:val="-4"/>
              </w:rPr>
              <w:t>13000.0</w:t>
            </w:r>
          </w:p>
        </w:tc>
        <w:tc>
          <w:tcPr>
            <w:tcW w:w="1708" w:type="dxa"/>
            <w:vAlign w:val="top"/>
          </w:tcPr>
          <w:p w14:paraId="0C80334D">
            <w:pPr>
              <w:pStyle w:val="6"/>
              <w:spacing w:before="104" w:line="188" w:lineRule="auto"/>
              <w:ind w:left="567"/>
            </w:pPr>
            <w:r>
              <w:rPr>
                <w:spacing w:val="-2"/>
              </w:rPr>
              <w:t>0.0620</w:t>
            </w:r>
          </w:p>
        </w:tc>
        <w:tc>
          <w:tcPr>
            <w:tcW w:w="1537" w:type="dxa"/>
            <w:vAlign w:val="top"/>
          </w:tcPr>
          <w:p w14:paraId="4311B8BE">
            <w:pPr>
              <w:pStyle w:val="6"/>
              <w:spacing w:before="104" w:line="188" w:lineRule="auto"/>
              <w:ind w:left="484"/>
            </w:pPr>
            <w:r>
              <w:rPr>
                <w:spacing w:val="-2"/>
              </w:rPr>
              <w:t>0.0310</w:t>
            </w:r>
          </w:p>
        </w:tc>
        <w:tc>
          <w:tcPr>
            <w:tcW w:w="1708" w:type="dxa"/>
            <w:vAlign w:val="top"/>
          </w:tcPr>
          <w:p w14:paraId="5D958611">
            <w:pPr>
              <w:pStyle w:val="6"/>
              <w:spacing w:before="104" w:line="188" w:lineRule="auto"/>
              <w:ind w:left="570"/>
            </w:pPr>
            <w:r>
              <w:rPr>
                <w:spacing w:val="-2"/>
              </w:rPr>
              <w:t>0.0056</w:t>
            </w:r>
          </w:p>
        </w:tc>
        <w:tc>
          <w:tcPr>
            <w:tcW w:w="1540" w:type="dxa"/>
            <w:vAlign w:val="top"/>
          </w:tcPr>
          <w:p w14:paraId="4A72DF5B">
            <w:pPr>
              <w:pStyle w:val="6"/>
              <w:spacing w:before="104" w:line="188" w:lineRule="auto"/>
              <w:ind w:left="485"/>
            </w:pPr>
            <w:r>
              <w:rPr>
                <w:spacing w:val="-2"/>
              </w:rPr>
              <w:t>0.0564</w:t>
            </w:r>
          </w:p>
        </w:tc>
      </w:tr>
      <w:tr w14:paraId="64FD4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50864934">
            <w:pPr>
              <w:pStyle w:val="6"/>
              <w:spacing w:before="104" w:line="188" w:lineRule="auto"/>
              <w:ind w:left="588"/>
            </w:pPr>
            <w:r>
              <w:rPr>
                <w:spacing w:val="-4"/>
              </w:rPr>
              <w:t>14000.0</w:t>
            </w:r>
          </w:p>
        </w:tc>
        <w:tc>
          <w:tcPr>
            <w:tcW w:w="1708" w:type="dxa"/>
            <w:vAlign w:val="top"/>
          </w:tcPr>
          <w:p w14:paraId="6FCCB5DA">
            <w:pPr>
              <w:pStyle w:val="6"/>
              <w:spacing w:before="104" w:line="188" w:lineRule="auto"/>
              <w:ind w:left="567"/>
            </w:pPr>
            <w:r>
              <w:rPr>
                <w:spacing w:val="-2"/>
              </w:rPr>
              <w:t>0.0567</w:t>
            </w:r>
          </w:p>
        </w:tc>
        <w:tc>
          <w:tcPr>
            <w:tcW w:w="1537" w:type="dxa"/>
            <w:vAlign w:val="top"/>
          </w:tcPr>
          <w:p w14:paraId="47C78A24">
            <w:pPr>
              <w:pStyle w:val="6"/>
              <w:spacing w:before="104" w:line="188" w:lineRule="auto"/>
              <w:ind w:left="484"/>
            </w:pPr>
            <w:r>
              <w:rPr>
                <w:spacing w:val="-2"/>
              </w:rPr>
              <w:t>0.0284</w:t>
            </w:r>
          </w:p>
        </w:tc>
        <w:tc>
          <w:tcPr>
            <w:tcW w:w="1708" w:type="dxa"/>
            <w:vAlign w:val="top"/>
          </w:tcPr>
          <w:p w14:paraId="1B7FBB55">
            <w:pPr>
              <w:pStyle w:val="6"/>
              <w:spacing w:before="104" w:line="188" w:lineRule="auto"/>
              <w:ind w:left="570"/>
            </w:pPr>
            <w:r>
              <w:rPr>
                <w:spacing w:val="-2"/>
              </w:rPr>
              <w:t>0.0052</w:t>
            </w:r>
          </w:p>
        </w:tc>
        <w:tc>
          <w:tcPr>
            <w:tcW w:w="1540" w:type="dxa"/>
            <w:vAlign w:val="top"/>
          </w:tcPr>
          <w:p w14:paraId="1E76983F">
            <w:pPr>
              <w:pStyle w:val="6"/>
              <w:spacing w:before="104" w:line="188" w:lineRule="auto"/>
              <w:ind w:left="485"/>
            </w:pPr>
            <w:r>
              <w:rPr>
                <w:spacing w:val="-2"/>
              </w:rPr>
              <w:t>0.0516</w:t>
            </w:r>
          </w:p>
        </w:tc>
      </w:tr>
      <w:tr w14:paraId="12016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9C74DE4">
            <w:pPr>
              <w:pStyle w:val="6"/>
              <w:spacing w:before="104" w:line="188" w:lineRule="auto"/>
              <w:ind w:left="588"/>
            </w:pPr>
            <w:r>
              <w:rPr>
                <w:spacing w:val="-4"/>
              </w:rPr>
              <w:t>15000.0</w:t>
            </w:r>
          </w:p>
        </w:tc>
        <w:tc>
          <w:tcPr>
            <w:tcW w:w="1708" w:type="dxa"/>
            <w:vAlign w:val="top"/>
          </w:tcPr>
          <w:p w14:paraId="57960622">
            <w:pPr>
              <w:pStyle w:val="6"/>
              <w:spacing w:before="104" w:line="188" w:lineRule="auto"/>
              <w:ind w:left="567"/>
            </w:pPr>
            <w:r>
              <w:rPr>
                <w:spacing w:val="-2"/>
              </w:rPr>
              <w:t>0.0522</w:t>
            </w:r>
          </w:p>
        </w:tc>
        <w:tc>
          <w:tcPr>
            <w:tcW w:w="1537" w:type="dxa"/>
            <w:vAlign w:val="top"/>
          </w:tcPr>
          <w:p w14:paraId="49367771">
            <w:pPr>
              <w:pStyle w:val="6"/>
              <w:spacing w:before="104" w:line="188" w:lineRule="auto"/>
              <w:ind w:left="484"/>
            </w:pPr>
            <w:r>
              <w:rPr>
                <w:spacing w:val="-2"/>
              </w:rPr>
              <w:t>0.0261</w:t>
            </w:r>
          </w:p>
        </w:tc>
        <w:tc>
          <w:tcPr>
            <w:tcW w:w="1708" w:type="dxa"/>
            <w:vAlign w:val="top"/>
          </w:tcPr>
          <w:p w14:paraId="1BFBCD84">
            <w:pPr>
              <w:pStyle w:val="6"/>
              <w:spacing w:before="104" w:line="188" w:lineRule="auto"/>
              <w:ind w:left="570"/>
            </w:pPr>
            <w:r>
              <w:rPr>
                <w:spacing w:val="-2"/>
              </w:rPr>
              <w:t>0.0047</w:t>
            </w:r>
          </w:p>
        </w:tc>
        <w:tc>
          <w:tcPr>
            <w:tcW w:w="1540" w:type="dxa"/>
            <w:vAlign w:val="top"/>
          </w:tcPr>
          <w:p w14:paraId="7B0F1E30">
            <w:pPr>
              <w:pStyle w:val="6"/>
              <w:spacing w:before="104" w:line="188" w:lineRule="auto"/>
              <w:ind w:left="485"/>
            </w:pPr>
            <w:r>
              <w:rPr>
                <w:spacing w:val="-2"/>
              </w:rPr>
              <w:t>0.0475</w:t>
            </w:r>
          </w:p>
        </w:tc>
      </w:tr>
      <w:tr w14:paraId="65997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E8F72B0">
            <w:pPr>
              <w:pStyle w:val="6"/>
              <w:spacing w:before="104" w:line="188" w:lineRule="auto"/>
              <w:ind w:left="568"/>
            </w:pPr>
            <w:r>
              <w:rPr>
                <w:spacing w:val="-1"/>
              </w:rPr>
              <w:t>20000.0</w:t>
            </w:r>
          </w:p>
        </w:tc>
        <w:tc>
          <w:tcPr>
            <w:tcW w:w="1708" w:type="dxa"/>
            <w:vAlign w:val="top"/>
          </w:tcPr>
          <w:p w14:paraId="77695256">
            <w:pPr>
              <w:pStyle w:val="6"/>
              <w:spacing w:before="104" w:line="188" w:lineRule="auto"/>
              <w:ind w:left="567"/>
            </w:pPr>
            <w:r>
              <w:rPr>
                <w:spacing w:val="-2"/>
              </w:rPr>
              <w:t>0.0369</w:t>
            </w:r>
          </w:p>
        </w:tc>
        <w:tc>
          <w:tcPr>
            <w:tcW w:w="1537" w:type="dxa"/>
            <w:vAlign w:val="top"/>
          </w:tcPr>
          <w:p w14:paraId="32E03010">
            <w:pPr>
              <w:pStyle w:val="6"/>
              <w:spacing w:before="104" w:line="188" w:lineRule="auto"/>
              <w:ind w:left="484"/>
            </w:pPr>
            <w:r>
              <w:rPr>
                <w:spacing w:val="-2"/>
              </w:rPr>
              <w:t>0.0184</w:t>
            </w:r>
          </w:p>
        </w:tc>
        <w:tc>
          <w:tcPr>
            <w:tcW w:w="1708" w:type="dxa"/>
            <w:vAlign w:val="top"/>
          </w:tcPr>
          <w:p w14:paraId="7EB16F2F">
            <w:pPr>
              <w:pStyle w:val="6"/>
              <w:spacing w:before="104" w:line="188" w:lineRule="auto"/>
              <w:ind w:left="570"/>
            </w:pPr>
            <w:r>
              <w:rPr>
                <w:spacing w:val="-2"/>
              </w:rPr>
              <w:t>0.0034</w:t>
            </w:r>
          </w:p>
        </w:tc>
        <w:tc>
          <w:tcPr>
            <w:tcW w:w="1540" w:type="dxa"/>
            <w:vAlign w:val="top"/>
          </w:tcPr>
          <w:p w14:paraId="08BA4B28">
            <w:pPr>
              <w:pStyle w:val="6"/>
              <w:spacing w:before="104" w:line="188" w:lineRule="auto"/>
              <w:ind w:left="485"/>
            </w:pPr>
            <w:r>
              <w:rPr>
                <w:spacing w:val="-2"/>
              </w:rPr>
              <w:t>0.0335</w:t>
            </w:r>
          </w:p>
        </w:tc>
      </w:tr>
      <w:tr w14:paraId="789B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Align w:val="top"/>
          </w:tcPr>
          <w:p w14:paraId="1693A7F8">
            <w:pPr>
              <w:pStyle w:val="6"/>
              <w:spacing w:before="104" w:line="188" w:lineRule="auto"/>
              <w:ind w:left="568"/>
            </w:pPr>
            <w:r>
              <w:rPr>
                <w:spacing w:val="-1"/>
              </w:rPr>
              <w:t>25000.0</w:t>
            </w:r>
          </w:p>
        </w:tc>
        <w:tc>
          <w:tcPr>
            <w:tcW w:w="1708" w:type="dxa"/>
            <w:vAlign w:val="top"/>
          </w:tcPr>
          <w:p w14:paraId="663E4316">
            <w:pPr>
              <w:pStyle w:val="6"/>
              <w:spacing w:before="104" w:line="188" w:lineRule="auto"/>
              <w:ind w:left="567"/>
            </w:pPr>
            <w:r>
              <w:rPr>
                <w:spacing w:val="-2"/>
              </w:rPr>
              <w:t>0.0281</w:t>
            </w:r>
          </w:p>
        </w:tc>
        <w:tc>
          <w:tcPr>
            <w:tcW w:w="1537" w:type="dxa"/>
            <w:vAlign w:val="top"/>
          </w:tcPr>
          <w:p w14:paraId="0F670900">
            <w:pPr>
              <w:pStyle w:val="6"/>
              <w:spacing w:before="104" w:line="188" w:lineRule="auto"/>
              <w:ind w:left="484"/>
            </w:pPr>
            <w:r>
              <w:rPr>
                <w:spacing w:val="-2"/>
              </w:rPr>
              <w:t>0.0140</w:t>
            </w:r>
          </w:p>
        </w:tc>
        <w:tc>
          <w:tcPr>
            <w:tcW w:w="1708" w:type="dxa"/>
            <w:vAlign w:val="top"/>
          </w:tcPr>
          <w:p w14:paraId="65468178">
            <w:pPr>
              <w:pStyle w:val="6"/>
              <w:spacing w:before="104" w:line="188" w:lineRule="auto"/>
              <w:ind w:left="570"/>
            </w:pPr>
            <w:r>
              <w:rPr>
                <w:spacing w:val="-2"/>
              </w:rPr>
              <w:t>0.0026</w:t>
            </w:r>
          </w:p>
        </w:tc>
        <w:tc>
          <w:tcPr>
            <w:tcW w:w="1540" w:type="dxa"/>
            <w:vAlign w:val="top"/>
          </w:tcPr>
          <w:p w14:paraId="1274E352">
            <w:pPr>
              <w:pStyle w:val="6"/>
              <w:spacing w:before="104" w:line="188" w:lineRule="auto"/>
              <w:ind w:left="485"/>
            </w:pPr>
            <w:r>
              <w:rPr>
                <w:spacing w:val="-2"/>
              </w:rPr>
              <w:t>0.0255</w:t>
            </w:r>
          </w:p>
        </w:tc>
      </w:tr>
    </w:tbl>
    <w:p w14:paraId="6BE7AE46">
      <w:pPr>
        <w:pStyle w:val="2"/>
      </w:pPr>
    </w:p>
    <w:p w14:paraId="67D60272">
      <w:pPr>
        <w:sectPr>
          <w:footerReference r:id="rId304" w:type="default"/>
          <w:pgSz w:w="11905" w:h="16840"/>
          <w:pgMar w:top="1168" w:right="1768" w:bottom="1409" w:left="1770" w:header="828" w:footer="1244" w:gutter="0"/>
          <w:cols w:space="720" w:num="1"/>
        </w:sectPr>
      </w:pPr>
    </w:p>
    <w:p w14:paraId="6583B6FB">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5C1BA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2A9D58D4">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22F6AAEB">
            <w:pPr>
              <w:spacing w:before="63" w:line="220" w:lineRule="auto"/>
              <w:ind w:left="2725"/>
              <w:rPr>
                <w:rFonts w:ascii="宋体" w:hAnsi="宋体" w:eastAsia="宋体" w:cs="宋体"/>
                <w:sz w:val="21"/>
                <w:szCs w:val="21"/>
              </w:rPr>
            </w:pPr>
            <w:r>
              <w:rPr>
                <w:rFonts w:ascii="宋体" w:hAnsi="宋体" w:eastAsia="宋体" w:cs="宋体"/>
                <w:spacing w:val="-2"/>
                <w:sz w:val="21"/>
                <w:szCs w:val="21"/>
              </w:rPr>
              <w:t>堆粪棚面源</w:t>
            </w:r>
          </w:p>
        </w:tc>
      </w:tr>
      <w:tr w14:paraId="01CF3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19" w:type="dxa"/>
            <w:vMerge w:val="continue"/>
            <w:tcBorders>
              <w:top w:val="nil"/>
            </w:tcBorders>
            <w:vAlign w:val="top"/>
          </w:tcPr>
          <w:p w14:paraId="7A0D3BDE">
            <w:pPr>
              <w:rPr>
                <w:rFonts w:ascii="Arial"/>
                <w:sz w:val="21"/>
              </w:rPr>
            </w:pPr>
          </w:p>
        </w:tc>
        <w:tc>
          <w:tcPr>
            <w:tcW w:w="1708" w:type="dxa"/>
            <w:vAlign w:val="top"/>
          </w:tcPr>
          <w:p w14:paraId="72E0E523">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3E402371">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5ABC096E">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2EA96B43">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61FF6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61F9D014">
            <w:pPr>
              <w:spacing w:before="63" w:line="220" w:lineRule="auto"/>
              <w:ind w:left="184"/>
              <w:rPr>
                <w:rFonts w:ascii="宋体" w:hAnsi="宋体" w:eastAsia="宋体" w:cs="宋体"/>
                <w:sz w:val="21"/>
                <w:szCs w:val="21"/>
              </w:rPr>
            </w:pPr>
            <w:r>
              <w:rPr>
                <w:rFonts w:ascii="宋体" w:hAnsi="宋体" w:eastAsia="宋体" w:cs="宋体"/>
                <w:spacing w:val="-2"/>
                <w:sz w:val="21"/>
                <w:szCs w:val="21"/>
              </w:rPr>
              <w:t>下风向最大浓度</w:t>
            </w:r>
          </w:p>
        </w:tc>
        <w:tc>
          <w:tcPr>
            <w:tcW w:w="1708" w:type="dxa"/>
            <w:vAlign w:val="top"/>
          </w:tcPr>
          <w:p w14:paraId="6E1B6BE1">
            <w:pPr>
              <w:pStyle w:val="6"/>
              <w:spacing w:before="100" w:line="188" w:lineRule="auto"/>
              <w:ind w:left="569"/>
            </w:pPr>
            <w:r>
              <w:rPr>
                <w:spacing w:val="-2"/>
              </w:rPr>
              <w:t>6.8866</w:t>
            </w:r>
          </w:p>
        </w:tc>
        <w:tc>
          <w:tcPr>
            <w:tcW w:w="1537" w:type="dxa"/>
            <w:vAlign w:val="top"/>
          </w:tcPr>
          <w:p w14:paraId="5CE45D38">
            <w:pPr>
              <w:pStyle w:val="6"/>
              <w:spacing w:before="100" w:line="188" w:lineRule="auto"/>
              <w:ind w:left="485"/>
            </w:pPr>
            <w:r>
              <w:rPr>
                <w:spacing w:val="-2"/>
              </w:rPr>
              <w:t>3.4433</w:t>
            </w:r>
          </w:p>
        </w:tc>
        <w:tc>
          <w:tcPr>
            <w:tcW w:w="1708" w:type="dxa"/>
            <w:vAlign w:val="top"/>
          </w:tcPr>
          <w:p w14:paraId="4C0D2197">
            <w:pPr>
              <w:pStyle w:val="6"/>
              <w:spacing w:before="100" w:line="188" w:lineRule="auto"/>
              <w:ind w:left="569"/>
            </w:pPr>
            <w:r>
              <w:rPr>
                <w:spacing w:val="-2"/>
              </w:rPr>
              <w:t>0.6261</w:t>
            </w:r>
          </w:p>
        </w:tc>
        <w:tc>
          <w:tcPr>
            <w:tcW w:w="1540" w:type="dxa"/>
            <w:vAlign w:val="top"/>
          </w:tcPr>
          <w:p w14:paraId="4748A66A">
            <w:pPr>
              <w:pStyle w:val="6"/>
              <w:spacing w:before="100" w:line="188" w:lineRule="auto"/>
              <w:ind w:left="486"/>
            </w:pPr>
            <w:r>
              <w:rPr>
                <w:spacing w:val="-2"/>
              </w:rPr>
              <w:t>6.2605</w:t>
            </w:r>
          </w:p>
        </w:tc>
      </w:tr>
      <w:tr w14:paraId="26F34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819" w:type="dxa"/>
            <w:vAlign w:val="top"/>
          </w:tcPr>
          <w:p w14:paraId="7546C96D">
            <w:pPr>
              <w:spacing w:before="50" w:line="247" w:lineRule="auto"/>
              <w:ind w:left="511" w:right="173" w:hanging="327"/>
              <w:rPr>
                <w:rFonts w:ascii="宋体" w:hAnsi="宋体" w:eastAsia="宋体" w:cs="宋体"/>
                <w:sz w:val="21"/>
                <w:szCs w:val="21"/>
              </w:rPr>
            </w:pPr>
            <w:r>
              <w:rPr>
                <w:rFonts w:ascii="宋体" w:hAnsi="宋体" w:eastAsia="宋体" w:cs="宋体"/>
                <w:spacing w:val="-3"/>
                <w:sz w:val="21"/>
                <w:szCs w:val="21"/>
              </w:rPr>
              <w:t>下风向最大浓度</w:t>
            </w:r>
            <w:r>
              <w:rPr>
                <w:rFonts w:ascii="宋体" w:hAnsi="宋体" w:eastAsia="宋体" w:cs="宋体"/>
                <w:spacing w:val="-5"/>
                <w:sz w:val="21"/>
                <w:szCs w:val="21"/>
              </w:rPr>
              <w:t>出现距离</w:t>
            </w:r>
          </w:p>
        </w:tc>
        <w:tc>
          <w:tcPr>
            <w:tcW w:w="1708" w:type="dxa"/>
            <w:vAlign w:val="top"/>
          </w:tcPr>
          <w:p w14:paraId="2FD092BC">
            <w:pPr>
              <w:pStyle w:val="6"/>
              <w:spacing w:before="242" w:line="188" w:lineRule="auto"/>
              <w:ind w:left="690"/>
            </w:pPr>
            <w:r>
              <w:rPr>
                <w:spacing w:val="-6"/>
              </w:rPr>
              <w:t>13.0</w:t>
            </w:r>
          </w:p>
        </w:tc>
        <w:tc>
          <w:tcPr>
            <w:tcW w:w="1537" w:type="dxa"/>
            <w:vAlign w:val="top"/>
          </w:tcPr>
          <w:p w14:paraId="3DAD5BB7">
            <w:pPr>
              <w:pStyle w:val="6"/>
              <w:spacing w:before="242" w:line="188" w:lineRule="auto"/>
              <w:ind w:left="606"/>
            </w:pPr>
            <w:r>
              <w:rPr>
                <w:spacing w:val="-6"/>
              </w:rPr>
              <w:t>13.0</w:t>
            </w:r>
          </w:p>
        </w:tc>
        <w:tc>
          <w:tcPr>
            <w:tcW w:w="1708" w:type="dxa"/>
            <w:vAlign w:val="top"/>
          </w:tcPr>
          <w:p w14:paraId="2C04D44D">
            <w:pPr>
              <w:pStyle w:val="6"/>
              <w:spacing w:before="242" w:line="188" w:lineRule="auto"/>
              <w:ind w:left="692"/>
            </w:pPr>
            <w:r>
              <w:rPr>
                <w:spacing w:val="-6"/>
              </w:rPr>
              <w:t>13.0</w:t>
            </w:r>
          </w:p>
        </w:tc>
        <w:tc>
          <w:tcPr>
            <w:tcW w:w="1540" w:type="dxa"/>
            <w:vAlign w:val="top"/>
          </w:tcPr>
          <w:p w14:paraId="30B32EBF">
            <w:pPr>
              <w:pStyle w:val="6"/>
              <w:spacing w:before="242" w:line="188" w:lineRule="auto"/>
              <w:ind w:left="608"/>
            </w:pPr>
            <w:r>
              <w:rPr>
                <w:spacing w:val="-6"/>
              </w:rPr>
              <w:t>13.0</w:t>
            </w:r>
          </w:p>
        </w:tc>
      </w:tr>
      <w:tr w14:paraId="73CAC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64065D62">
            <w:pPr>
              <w:pStyle w:val="6"/>
              <w:spacing w:before="64" w:line="220" w:lineRule="auto"/>
              <w:ind w:left="220"/>
              <w:rPr>
                <w:rFonts w:ascii="宋体" w:hAnsi="宋体" w:eastAsia="宋体" w:cs="宋体"/>
              </w:rPr>
            </w:pPr>
            <w:r>
              <w:rPr>
                <w:spacing w:val="-1"/>
              </w:rPr>
              <w:t>D10%</w:t>
            </w:r>
            <w:r>
              <w:rPr>
                <w:rFonts w:ascii="宋体" w:hAnsi="宋体" w:eastAsia="宋体" w:cs="宋体"/>
                <w:spacing w:val="-1"/>
              </w:rPr>
              <w:t>最远距离</w:t>
            </w:r>
          </w:p>
        </w:tc>
        <w:tc>
          <w:tcPr>
            <w:tcW w:w="1708" w:type="dxa"/>
            <w:vAlign w:val="top"/>
          </w:tcPr>
          <w:p w14:paraId="54135130">
            <w:pPr>
              <w:pStyle w:val="6"/>
              <w:spacing w:before="97" w:line="192" w:lineRule="auto"/>
              <w:ind w:left="819"/>
            </w:pPr>
            <w:r>
              <w:t>/</w:t>
            </w:r>
          </w:p>
        </w:tc>
        <w:tc>
          <w:tcPr>
            <w:tcW w:w="1537" w:type="dxa"/>
            <w:vAlign w:val="top"/>
          </w:tcPr>
          <w:p w14:paraId="7A0FC71E">
            <w:pPr>
              <w:pStyle w:val="6"/>
              <w:spacing w:before="97" w:line="192" w:lineRule="auto"/>
              <w:ind w:left="736"/>
            </w:pPr>
            <w:r>
              <w:t>/</w:t>
            </w:r>
          </w:p>
        </w:tc>
        <w:tc>
          <w:tcPr>
            <w:tcW w:w="1708" w:type="dxa"/>
            <w:vAlign w:val="top"/>
          </w:tcPr>
          <w:p w14:paraId="31C8FDBC">
            <w:pPr>
              <w:pStyle w:val="6"/>
              <w:spacing w:before="97" w:line="192" w:lineRule="auto"/>
              <w:ind w:left="822"/>
            </w:pPr>
            <w:r>
              <w:t>/</w:t>
            </w:r>
          </w:p>
        </w:tc>
        <w:tc>
          <w:tcPr>
            <w:tcW w:w="1540" w:type="dxa"/>
            <w:vAlign w:val="top"/>
          </w:tcPr>
          <w:p w14:paraId="739B2309">
            <w:pPr>
              <w:pStyle w:val="6"/>
              <w:spacing w:before="97" w:line="192" w:lineRule="auto"/>
              <w:ind w:left="737"/>
            </w:pPr>
            <w:r>
              <w:t>/</w:t>
            </w:r>
          </w:p>
        </w:tc>
      </w:tr>
    </w:tbl>
    <w:p w14:paraId="3AB3610D">
      <w:pPr>
        <w:spacing w:before="247" w:line="221" w:lineRule="auto"/>
        <w:ind w:left="247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4"/>
          <w:sz w:val="21"/>
          <w:szCs w:val="21"/>
        </w:rPr>
        <w:t xml:space="preserve"> </w:t>
      </w:r>
      <w:r>
        <w:rPr>
          <w:rFonts w:ascii="Times New Roman" w:hAnsi="Times New Roman" w:eastAsia="Times New Roman" w:cs="Times New Roman"/>
          <w:spacing w:val="-1"/>
          <w:sz w:val="21"/>
          <w:szCs w:val="21"/>
        </w:rPr>
        <w:t xml:space="preserve">4.2-10  </w:t>
      </w:r>
      <w:r>
        <w:rPr>
          <w:rFonts w:ascii="黑体" w:hAnsi="黑体" w:eastAsia="黑体" w:cs="黑体"/>
          <w:spacing w:val="-1"/>
          <w:sz w:val="21"/>
          <w:szCs w:val="21"/>
        </w:rPr>
        <w:t>污水处理站面源预测结果表</w:t>
      </w:r>
    </w:p>
    <w:p w14:paraId="4861E3C6">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62ABB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9" w:type="dxa"/>
            <w:vMerge w:val="restart"/>
            <w:tcBorders>
              <w:bottom w:val="nil"/>
            </w:tcBorders>
            <w:vAlign w:val="top"/>
          </w:tcPr>
          <w:p w14:paraId="1753B697">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14320FA3">
            <w:pPr>
              <w:spacing w:before="63" w:line="220" w:lineRule="auto"/>
              <w:ind w:left="2516"/>
              <w:rPr>
                <w:rFonts w:ascii="宋体" w:hAnsi="宋体" w:eastAsia="宋体" w:cs="宋体"/>
                <w:sz w:val="21"/>
                <w:szCs w:val="21"/>
              </w:rPr>
            </w:pPr>
            <w:r>
              <w:rPr>
                <w:rFonts w:ascii="宋体" w:hAnsi="宋体" w:eastAsia="宋体" w:cs="宋体"/>
                <w:spacing w:val="-2"/>
                <w:sz w:val="21"/>
                <w:szCs w:val="21"/>
              </w:rPr>
              <w:t>污水处理站面源</w:t>
            </w:r>
          </w:p>
        </w:tc>
      </w:tr>
      <w:tr w14:paraId="4C282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Merge w:val="continue"/>
            <w:tcBorders>
              <w:top w:val="nil"/>
            </w:tcBorders>
            <w:vAlign w:val="top"/>
          </w:tcPr>
          <w:p w14:paraId="36AD4E37">
            <w:pPr>
              <w:rPr>
                <w:rFonts w:ascii="Arial"/>
                <w:sz w:val="21"/>
              </w:rPr>
            </w:pPr>
          </w:p>
        </w:tc>
        <w:tc>
          <w:tcPr>
            <w:tcW w:w="1708" w:type="dxa"/>
            <w:vAlign w:val="top"/>
          </w:tcPr>
          <w:p w14:paraId="3E2BDC4C">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2F0725DD">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3BCE180A">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09B278E0">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6E400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3CB0748">
            <w:pPr>
              <w:pStyle w:val="6"/>
              <w:spacing w:before="98" w:line="188" w:lineRule="auto"/>
              <w:ind w:left="732"/>
            </w:pPr>
            <w:r>
              <w:rPr>
                <w:spacing w:val="-3"/>
              </w:rPr>
              <w:t>50.0</w:t>
            </w:r>
          </w:p>
        </w:tc>
        <w:tc>
          <w:tcPr>
            <w:tcW w:w="1708" w:type="dxa"/>
            <w:vAlign w:val="top"/>
          </w:tcPr>
          <w:p w14:paraId="2F18F7B6">
            <w:pPr>
              <w:pStyle w:val="6"/>
              <w:spacing w:before="98" w:line="188" w:lineRule="auto"/>
              <w:ind w:left="569"/>
            </w:pPr>
            <w:r>
              <w:rPr>
                <w:spacing w:val="-2"/>
              </w:rPr>
              <w:t>3.4008</w:t>
            </w:r>
          </w:p>
        </w:tc>
        <w:tc>
          <w:tcPr>
            <w:tcW w:w="1537" w:type="dxa"/>
            <w:vAlign w:val="top"/>
          </w:tcPr>
          <w:p w14:paraId="0F93293F">
            <w:pPr>
              <w:pStyle w:val="6"/>
              <w:spacing w:before="98" w:line="188" w:lineRule="auto"/>
              <w:ind w:left="501"/>
            </w:pPr>
            <w:r>
              <w:rPr>
                <w:spacing w:val="-5"/>
              </w:rPr>
              <w:t>1.7004</w:t>
            </w:r>
          </w:p>
        </w:tc>
        <w:tc>
          <w:tcPr>
            <w:tcW w:w="1708" w:type="dxa"/>
            <w:vAlign w:val="top"/>
          </w:tcPr>
          <w:p w14:paraId="127F5413">
            <w:pPr>
              <w:pStyle w:val="6"/>
              <w:spacing w:before="98" w:line="188" w:lineRule="auto"/>
              <w:ind w:left="570"/>
            </w:pPr>
            <w:r>
              <w:rPr>
                <w:spacing w:val="-2"/>
              </w:rPr>
              <w:t>0.1479</w:t>
            </w:r>
          </w:p>
        </w:tc>
        <w:tc>
          <w:tcPr>
            <w:tcW w:w="1540" w:type="dxa"/>
            <w:vAlign w:val="top"/>
          </w:tcPr>
          <w:p w14:paraId="0A4A4EC3">
            <w:pPr>
              <w:pStyle w:val="6"/>
              <w:spacing w:before="98" w:line="188" w:lineRule="auto"/>
              <w:ind w:left="502"/>
            </w:pPr>
            <w:r>
              <w:rPr>
                <w:spacing w:val="-5"/>
              </w:rPr>
              <w:t>1.4786</w:t>
            </w:r>
          </w:p>
        </w:tc>
      </w:tr>
      <w:tr w14:paraId="47159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6DA47F9">
            <w:pPr>
              <w:pStyle w:val="6"/>
              <w:spacing w:before="99" w:line="188" w:lineRule="auto"/>
              <w:ind w:left="693"/>
            </w:pPr>
            <w:r>
              <w:rPr>
                <w:spacing w:val="-5"/>
              </w:rPr>
              <w:t>100.0</w:t>
            </w:r>
          </w:p>
        </w:tc>
        <w:tc>
          <w:tcPr>
            <w:tcW w:w="1708" w:type="dxa"/>
            <w:vAlign w:val="top"/>
          </w:tcPr>
          <w:p w14:paraId="388DBD2E">
            <w:pPr>
              <w:pStyle w:val="6"/>
              <w:spacing w:before="99" w:line="188" w:lineRule="auto"/>
              <w:ind w:left="568"/>
            </w:pPr>
            <w:r>
              <w:rPr>
                <w:spacing w:val="-2"/>
              </w:rPr>
              <w:t>3.8666</w:t>
            </w:r>
          </w:p>
        </w:tc>
        <w:tc>
          <w:tcPr>
            <w:tcW w:w="1537" w:type="dxa"/>
            <w:vAlign w:val="top"/>
          </w:tcPr>
          <w:p w14:paraId="357227F4">
            <w:pPr>
              <w:pStyle w:val="6"/>
              <w:spacing w:before="99" w:line="188" w:lineRule="auto"/>
              <w:ind w:left="501"/>
            </w:pPr>
            <w:r>
              <w:rPr>
                <w:spacing w:val="-5"/>
              </w:rPr>
              <w:t>1.9333</w:t>
            </w:r>
          </w:p>
        </w:tc>
        <w:tc>
          <w:tcPr>
            <w:tcW w:w="1708" w:type="dxa"/>
            <w:vAlign w:val="top"/>
          </w:tcPr>
          <w:p w14:paraId="5845BC55">
            <w:pPr>
              <w:pStyle w:val="6"/>
              <w:spacing w:before="99" w:line="188" w:lineRule="auto"/>
              <w:ind w:left="570"/>
            </w:pPr>
            <w:r>
              <w:rPr>
                <w:spacing w:val="-2"/>
              </w:rPr>
              <w:t>0.1681</w:t>
            </w:r>
          </w:p>
        </w:tc>
        <w:tc>
          <w:tcPr>
            <w:tcW w:w="1540" w:type="dxa"/>
            <w:vAlign w:val="top"/>
          </w:tcPr>
          <w:p w14:paraId="28A4351D">
            <w:pPr>
              <w:pStyle w:val="6"/>
              <w:spacing w:before="99" w:line="188" w:lineRule="auto"/>
              <w:ind w:left="506"/>
            </w:pPr>
            <w:r>
              <w:rPr>
                <w:spacing w:val="-5"/>
              </w:rPr>
              <w:t>1.6811</w:t>
            </w:r>
          </w:p>
        </w:tc>
      </w:tr>
      <w:tr w14:paraId="0EA38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51C664B2">
            <w:pPr>
              <w:pStyle w:val="6"/>
              <w:spacing w:before="99" w:line="188" w:lineRule="auto"/>
              <w:ind w:left="673"/>
            </w:pPr>
            <w:r>
              <w:rPr>
                <w:spacing w:val="-1"/>
              </w:rPr>
              <w:t>200.0</w:t>
            </w:r>
          </w:p>
        </w:tc>
        <w:tc>
          <w:tcPr>
            <w:tcW w:w="1708" w:type="dxa"/>
            <w:vAlign w:val="top"/>
          </w:tcPr>
          <w:p w14:paraId="501309C8">
            <w:pPr>
              <w:pStyle w:val="6"/>
              <w:spacing w:before="99" w:line="188" w:lineRule="auto"/>
              <w:ind w:left="568"/>
            </w:pPr>
            <w:r>
              <w:rPr>
                <w:spacing w:val="-2"/>
              </w:rPr>
              <w:t>3.4770</w:t>
            </w:r>
          </w:p>
        </w:tc>
        <w:tc>
          <w:tcPr>
            <w:tcW w:w="1537" w:type="dxa"/>
            <w:vAlign w:val="top"/>
          </w:tcPr>
          <w:p w14:paraId="467EB2FF">
            <w:pPr>
              <w:pStyle w:val="6"/>
              <w:spacing w:before="99" w:line="188" w:lineRule="auto"/>
              <w:ind w:left="501"/>
            </w:pPr>
            <w:r>
              <w:rPr>
                <w:spacing w:val="-5"/>
              </w:rPr>
              <w:t>1.7385</w:t>
            </w:r>
          </w:p>
        </w:tc>
        <w:tc>
          <w:tcPr>
            <w:tcW w:w="1708" w:type="dxa"/>
            <w:vAlign w:val="top"/>
          </w:tcPr>
          <w:p w14:paraId="082BFC6C">
            <w:pPr>
              <w:pStyle w:val="6"/>
              <w:spacing w:before="99" w:line="188" w:lineRule="auto"/>
              <w:ind w:left="570"/>
            </w:pPr>
            <w:r>
              <w:rPr>
                <w:spacing w:val="-2"/>
              </w:rPr>
              <w:t>0.1512</w:t>
            </w:r>
          </w:p>
        </w:tc>
        <w:tc>
          <w:tcPr>
            <w:tcW w:w="1540" w:type="dxa"/>
            <w:vAlign w:val="top"/>
          </w:tcPr>
          <w:p w14:paraId="067634D3">
            <w:pPr>
              <w:pStyle w:val="6"/>
              <w:spacing w:before="99" w:line="188" w:lineRule="auto"/>
              <w:ind w:left="506"/>
            </w:pPr>
            <w:r>
              <w:rPr>
                <w:spacing w:val="-6"/>
              </w:rPr>
              <w:t>1.5117</w:t>
            </w:r>
          </w:p>
        </w:tc>
      </w:tr>
      <w:tr w14:paraId="1E41D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47606FB">
            <w:pPr>
              <w:pStyle w:val="6"/>
              <w:spacing w:before="99" w:line="188" w:lineRule="auto"/>
              <w:ind w:left="678"/>
            </w:pPr>
            <w:r>
              <w:rPr>
                <w:spacing w:val="-2"/>
              </w:rPr>
              <w:t>300.0</w:t>
            </w:r>
          </w:p>
        </w:tc>
        <w:tc>
          <w:tcPr>
            <w:tcW w:w="1708" w:type="dxa"/>
            <w:vAlign w:val="top"/>
          </w:tcPr>
          <w:p w14:paraId="0739F6E8">
            <w:pPr>
              <w:pStyle w:val="6"/>
              <w:spacing w:before="99" w:line="188" w:lineRule="auto"/>
              <w:ind w:left="564"/>
            </w:pPr>
            <w:r>
              <w:rPr>
                <w:spacing w:val="-1"/>
              </w:rPr>
              <w:t>2.8501</w:t>
            </w:r>
          </w:p>
        </w:tc>
        <w:tc>
          <w:tcPr>
            <w:tcW w:w="1537" w:type="dxa"/>
            <w:vAlign w:val="top"/>
          </w:tcPr>
          <w:p w14:paraId="51DE6A47">
            <w:pPr>
              <w:pStyle w:val="6"/>
              <w:spacing w:before="99" w:line="188" w:lineRule="auto"/>
              <w:ind w:left="501"/>
            </w:pPr>
            <w:r>
              <w:rPr>
                <w:spacing w:val="-5"/>
              </w:rPr>
              <w:t>1.4250</w:t>
            </w:r>
          </w:p>
        </w:tc>
        <w:tc>
          <w:tcPr>
            <w:tcW w:w="1708" w:type="dxa"/>
            <w:vAlign w:val="top"/>
          </w:tcPr>
          <w:p w14:paraId="6C5505D5">
            <w:pPr>
              <w:pStyle w:val="6"/>
              <w:spacing w:before="99" w:line="188" w:lineRule="auto"/>
              <w:ind w:left="570"/>
            </w:pPr>
            <w:r>
              <w:rPr>
                <w:spacing w:val="-2"/>
              </w:rPr>
              <w:t>0.1239</w:t>
            </w:r>
          </w:p>
        </w:tc>
        <w:tc>
          <w:tcPr>
            <w:tcW w:w="1540" w:type="dxa"/>
            <w:vAlign w:val="top"/>
          </w:tcPr>
          <w:p w14:paraId="0BBF5900">
            <w:pPr>
              <w:pStyle w:val="6"/>
              <w:spacing w:before="99" w:line="188" w:lineRule="auto"/>
              <w:ind w:left="502"/>
            </w:pPr>
            <w:r>
              <w:rPr>
                <w:spacing w:val="-5"/>
              </w:rPr>
              <w:t>1.2392</w:t>
            </w:r>
          </w:p>
        </w:tc>
      </w:tr>
      <w:tr w14:paraId="36D1D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62276A95">
            <w:pPr>
              <w:pStyle w:val="6"/>
              <w:spacing w:before="99" w:line="188" w:lineRule="auto"/>
              <w:ind w:left="672"/>
            </w:pPr>
            <w:r>
              <w:rPr>
                <w:spacing w:val="-1"/>
              </w:rPr>
              <w:t>400.0</w:t>
            </w:r>
          </w:p>
        </w:tc>
        <w:tc>
          <w:tcPr>
            <w:tcW w:w="1708" w:type="dxa"/>
            <w:vAlign w:val="top"/>
          </w:tcPr>
          <w:p w14:paraId="6FEFFE2E">
            <w:pPr>
              <w:pStyle w:val="6"/>
              <w:spacing w:before="99" w:line="188" w:lineRule="auto"/>
              <w:ind w:left="564"/>
            </w:pPr>
            <w:r>
              <w:rPr>
                <w:spacing w:val="-1"/>
              </w:rPr>
              <w:t>2.6159</w:t>
            </w:r>
          </w:p>
        </w:tc>
        <w:tc>
          <w:tcPr>
            <w:tcW w:w="1537" w:type="dxa"/>
            <w:vAlign w:val="top"/>
          </w:tcPr>
          <w:p w14:paraId="6658A025">
            <w:pPr>
              <w:pStyle w:val="6"/>
              <w:spacing w:before="99" w:line="188" w:lineRule="auto"/>
              <w:ind w:left="502"/>
            </w:pPr>
            <w:r>
              <w:rPr>
                <w:spacing w:val="-5"/>
              </w:rPr>
              <w:t>1.3079</w:t>
            </w:r>
          </w:p>
        </w:tc>
        <w:tc>
          <w:tcPr>
            <w:tcW w:w="1708" w:type="dxa"/>
            <w:vAlign w:val="top"/>
          </w:tcPr>
          <w:p w14:paraId="2DB65E24">
            <w:pPr>
              <w:pStyle w:val="6"/>
              <w:spacing w:before="99" w:line="188" w:lineRule="auto"/>
              <w:ind w:left="574"/>
            </w:pPr>
            <w:r>
              <w:rPr>
                <w:spacing w:val="-3"/>
              </w:rPr>
              <w:t>0.1137</w:t>
            </w:r>
          </w:p>
        </w:tc>
        <w:tc>
          <w:tcPr>
            <w:tcW w:w="1540" w:type="dxa"/>
            <w:vAlign w:val="top"/>
          </w:tcPr>
          <w:p w14:paraId="30F00C90">
            <w:pPr>
              <w:pStyle w:val="6"/>
              <w:spacing w:before="99" w:line="188" w:lineRule="auto"/>
              <w:ind w:left="503"/>
            </w:pPr>
            <w:r>
              <w:rPr>
                <w:spacing w:val="-5"/>
              </w:rPr>
              <w:t>1.1373</w:t>
            </w:r>
          </w:p>
        </w:tc>
      </w:tr>
      <w:tr w14:paraId="1915B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645A2D5">
            <w:pPr>
              <w:pStyle w:val="6"/>
              <w:spacing w:before="99" w:line="188" w:lineRule="auto"/>
              <w:ind w:left="679"/>
            </w:pPr>
            <w:r>
              <w:rPr>
                <w:spacing w:val="-2"/>
              </w:rPr>
              <w:t>500.0</w:t>
            </w:r>
          </w:p>
        </w:tc>
        <w:tc>
          <w:tcPr>
            <w:tcW w:w="1708" w:type="dxa"/>
            <w:vAlign w:val="top"/>
          </w:tcPr>
          <w:p w14:paraId="584CA1BF">
            <w:pPr>
              <w:pStyle w:val="6"/>
              <w:spacing w:before="99" w:line="188" w:lineRule="auto"/>
              <w:ind w:left="564"/>
            </w:pPr>
            <w:r>
              <w:rPr>
                <w:spacing w:val="-1"/>
              </w:rPr>
              <w:t>2.3890</w:t>
            </w:r>
          </w:p>
        </w:tc>
        <w:tc>
          <w:tcPr>
            <w:tcW w:w="1537" w:type="dxa"/>
            <w:vAlign w:val="top"/>
          </w:tcPr>
          <w:p w14:paraId="22FC818C">
            <w:pPr>
              <w:pStyle w:val="6"/>
              <w:spacing w:before="99" w:line="188" w:lineRule="auto"/>
              <w:ind w:left="501"/>
            </w:pPr>
            <w:r>
              <w:rPr>
                <w:spacing w:val="-5"/>
              </w:rPr>
              <w:t>1.1945</w:t>
            </w:r>
          </w:p>
        </w:tc>
        <w:tc>
          <w:tcPr>
            <w:tcW w:w="1708" w:type="dxa"/>
            <w:vAlign w:val="top"/>
          </w:tcPr>
          <w:p w14:paraId="500117A0">
            <w:pPr>
              <w:pStyle w:val="6"/>
              <w:spacing w:before="99" w:line="188" w:lineRule="auto"/>
              <w:ind w:left="570"/>
            </w:pPr>
            <w:r>
              <w:rPr>
                <w:spacing w:val="-2"/>
              </w:rPr>
              <w:t>0.1039</w:t>
            </w:r>
          </w:p>
        </w:tc>
        <w:tc>
          <w:tcPr>
            <w:tcW w:w="1540" w:type="dxa"/>
            <w:vAlign w:val="top"/>
          </w:tcPr>
          <w:p w14:paraId="35A21276">
            <w:pPr>
              <w:pStyle w:val="6"/>
              <w:spacing w:before="99" w:line="188" w:lineRule="auto"/>
              <w:ind w:left="502"/>
            </w:pPr>
            <w:r>
              <w:rPr>
                <w:spacing w:val="-5"/>
              </w:rPr>
              <w:t>1.0387</w:t>
            </w:r>
          </w:p>
        </w:tc>
      </w:tr>
      <w:tr w14:paraId="6E2EB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198190D">
            <w:pPr>
              <w:pStyle w:val="6"/>
              <w:spacing w:before="99" w:line="188" w:lineRule="auto"/>
              <w:ind w:left="678"/>
            </w:pPr>
            <w:r>
              <w:rPr>
                <w:spacing w:val="-2"/>
              </w:rPr>
              <w:t>600.0</w:t>
            </w:r>
          </w:p>
        </w:tc>
        <w:tc>
          <w:tcPr>
            <w:tcW w:w="1708" w:type="dxa"/>
            <w:vAlign w:val="top"/>
          </w:tcPr>
          <w:p w14:paraId="524A6253">
            <w:pPr>
              <w:pStyle w:val="6"/>
              <w:spacing w:before="99" w:line="188" w:lineRule="auto"/>
              <w:ind w:left="564"/>
            </w:pPr>
            <w:r>
              <w:rPr>
                <w:spacing w:val="-1"/>
              </w:rPr>
              <w:t>2.1841</w:t>
            </w:r>
          </w:p>
        </w:tc>
        <w:tc>
          <w:tcPr>
            <w:tcW w:w="1537" w:type="dxa"/>
            <w:vAlign w:val="top"/>
          </w:tcPr>
          <w:p w14:paraId="0F58007B">
            <w:pPr>
              <w:pStyle w:val="6"/>
              <w:spacing w:before="99" w:line="188" w:lineRule="auto"/>
              <w:ind w:left="501"/>
            </w:pPr>
            <w:r>
              <w:rPr>
                <w:spacing w:val="-5"/>
              </w:rPr>
              <w:t>1.0920</w:t>
            </w:r>
          </w:p>
        </w:tc>
        <w:tc>
          <w:tcPr>
            <w:tcW w:w="1708" w:type="dxa"/>
            <w:vAlign w:val="top"/>
          </w:tcPr>
          <w:p w14:paraId="1E6AE5DF">
            <w:pPr>
              <w:pStyle w:val="6"/>
              <w:spacing w:before="99" w:line="188" w:lineRule="auto"/>
              <w:ind w:left="570"/>
            </w:pPr>
            <w:r>
              <w:rPr>
                <w:spacing w:val="-2"/>
              </w:rPr>
              <w:t>0.0950</w:t>
            </w:r>
          </w:p>
        </w:tc>
        <w:tc>
          <w:tcPr>
            <w:tcW w:w="1540" w:type="dxa"/>
            <w:vAlign w:val="top"/>
          </w:tcPr>
          <w:p w14:paraId="111123AE">
            <w:pPr>
              <w:pStyle w:val="6"/>
              <w:spacing w:before="99" w:line="188" w:lineRule="auto"/>
              <w:ind w:left="485"/>
            </w:pPr>
            <w:r>
              <w:rPr>
                <w:spacing w:val="-2"/>
              </w:rPr>
              <w:t>0.9496</w:t>
            </w:r>
          </w:p>
        </w:tc>
      </w:tr>
      <w:tr w14:paraId="7B040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AF6A59B">
            <w:pPr>
              <w:pStyle w:val="6"/>
              <w:spacing w:before="100" w:line="188" w:lineRule="auto"/>
              <w:ind w:left="677"/>
            </w:pPr>
            <w:r>
              <w:rPr>
                <w:spacing w:val="-2"/>
              </w:rPr>
              <w:t>700.0</w:t>
            </w:r>
          </w:p>
        </w:tc>
        <w:tc>
          <w:tcPr>
            <w:tcW w:w="1708" w:type="dxa"/>
            <w:vAlign w:val="top"/>
          </w:tcPr>
          <w:p w14:paraId="56603846">
            <w:pPr>
              <w:pStyle w:val="6"/>
              <w:spacing w:before="100" w:line="188" w:lineRule="auto"/>
              <w:ind w:left="564"/>
            </w:pPr>
            <w:r>
              <w:rPr>
                <w:spacing w:val="-1"/>
              </w:rPr>
              <w:t>2.0035</w:t>
            </w:r>
          </w:p>
        </w:tc>
        <w:tc>
          <w:tcPr>
            <w:tcW w:w="1537" w:type="dxa"/>
            <w:vAlign w:val="top"/>
          </w:tcPr>
          <w:p w14:paraId="30F54C1F">
            <w:pPr>
              <w:pStyle w:val="6"/>
              <w:spacing w:before="100" w:line="188" w:lineRule="auto"/>
              <w:ind w:left="501"/>
            </w:pPr>
            <w:r>
              <w:rPr>
                <w:spacing w:val="-5"/>
              </w:rPr>
              <w:t>1.0017</w:t>
            </w:r>
          </w:p>
        </w:tc>
        <w:tc>
          <w:tcPr>
            <w:tcW w:w="1708" w:type="dxa"/>
            <w:vAlign w:val="top"/>
          </w:tcPr>
          <w:p w14:paraId="018D39D9">
            <w:pPr>
              <w:pStyle w:val="6"/>
              <w:spacing w:before="100" w:line="188" w:lineRule="auto"/>
              <w:ind w:left="570"/>
            </w:pPr>
            <w:r>
              <w:rPr>
                <w:spacing w:val="-2"/>
              </w:rPr>
              <w:t>0.0871</w:t>
            </w:r>
          </w:p>
        </w:tc>
        <w:tc>
          <w:tcPr>
            <w:tcW w:w="1540" w:type="dxa"/>
            <w:vAlign w:val="top"/>
          </w:tcPr>
          <w:p w14:paraId="1F7279D3">
            <w:pPr>
              <w:pStyle w:val="6"/>
              <w:spacing w:before="100" w:line="188" w:lineRule="auto"/>
              <w:ind w:left="489"/>
            </w:pPr>
            <w:r>
              <w:rPr>
                <w:spacing w:val="-2"/>
              </w:rPr>
              <w:t>0.8711</w:t>
            </w:r>
          </w:p>
        </w:tc>
      </w:tr>
      <w:tr w14:paraId="0FEC1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3AB1CC05">
            <w:pPr>
              <w:pStyle w:val="6"/>
              <w:spacing w:before="100" w:line="188" w:lineRule="auto"/>
              <w:ind w:left="682"/>
            </w:pPr>
            <w:r>
              <w:rPr>
                <w:spacing w:val="-3"/>
              </w:rPr>
              <w:t>800.0</w:t>
            </w:r>
          </w:p>
        </w:tc>
        <w:tc>
          <w:tcPr>
            <w:tcW w:w="1708" w:type="dxa"/>
            <w:vAlign w:val="top"/>
          </w:tcPr>
          <w:p w14:paraId="4634120F">
            <w:pPr>
              <w:pStyle w:val="6"/>
              <w:spacing w:before="100" w:line="188" w:lineRule="auto"/>
              <w:ind w:left="584"/>
            </w:pPr>
            <w:r>
              <w:rPr>
                <w:spacing w:val="-5"/>
              </w:rPr>
              <w:t>1.8443</w:t>
            </w:r>
          </w:p>
        </w:tc>
        <w:tc>
          <w:tcPr>
            <w:tcW w:w="1537" w:type="dxa"/>
            <w:vAlign w:val="top"/>
          </w:tcPr>
          <w:p w14:paraId="046B2FE3">
            <w:pPr>
              <w:pStyle w:val="6"/>
              <w:spacing w:before="100" w:line="188" w:lineRule="auto"/>
              <w:ind w:left="484"/>
            </w:pPr>
            <w:r>
              <w:rPr>
                <w:spacing w:val="-2"/>
              </w:rPr>
              <w:t>0.9222</w:t>
            </w:r>
          </w:p>
        </w:tc>
        <w:tc>
          <w:tcPr>
            <w:tcW w:w="1708" w:type="dxa"/>
            <w:vAlign w:val="top"/>
          </w:tcPr>
          <w:p w14:paraId="70BFAE89">
            <w:pPr>
              <w:pStyle w:val="6"/>
              <w:spacing w:before="100" w:line="188" w:lineRule="auto"/>
              <w:ind w:left="570"/>
            </w:pPr>
            <w:r>
              <w:rPr>
                <w:spacing w:val="-2"/>
              </w:rPr>
              <w:t>0.0802</w:t>
            </w:r>
          </w:p>
        </w:tc>
        <w:tc>
          <w:tcPr>
            <w:tcW w:w="1540" w:type="dxa"/>
            <w:vAlign w:val="top"/>
          </w:tcPr>
          <w:p w14:paraId="5CCA7F5B">
            <w:pPr>
              <w:pStyle w:val="6"/>
              <w:spacing w:before="100" w:line="188" w:lineRule="auto"/>
              <w:ind w:left="485"/>
            </w:pPr>
            <w:r>
              <w:rPr>
                <w:spacing w:val="-2"/>
              </w:rPr>
              <w:t>0.8019</w:t>
            </w:r>
          </w:p>
        </w:tc>
      </w:tr>
      <w:tr w14:paraId="6967F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BBC958C">
            <w:pPr>
              <w:pStyle w:val="6"/>
              <w:spacing w:before="101" w:line="188" w:lineRule="auto"/>
              <w:ind w:left="677"/>
            </w:pPr>
            <w:r>
              <w:rPr>
                <w:spacing w:val="-2"/>
              </w:rPr>
              <w:t>900.0</w:t>
            </w:r>
          </w:p>
        </w:tc>
        <w:tc>
          <w:tcPr>
            <w:tcW w:w="1708" w:type="dxa"/>
            <w:vAlign w:val="top"/>
          </w:tcPr>
          <w:p w14:paraId="7E63CD58">
            <w:pPr>
              <w:pStyle w:val="6"/>
              <w:spacing w:before="101" w:line="188" w:lineRule="auto"/>
              <w:ind w:left="584"/>
            </w:pPr>
            <w:r>
              <w:rPr>
                <w:spacing w:val="-5"/>
              </w:rPr>
              <w:t>1.7056</w:t>
            </w:r>
          </w:p>
        </w:tc>
        <w:tc>
          <w:tcPr>
            <w:tcW w:w="1537" w:type="dxa"/>
            <w:vAlign w:val="top"/>
          </w:tcPr>
          <w:p w14:paraId="5D54BF87">
            <w:pPr>
              <w:pStyle w:val="6"/>
              <w:spacing w:before="101" w:line="188" w:lineRule="auto"/>
              <w:ind w:left="484"/>
            </w:pPr>
            <w:r>
              <w:rPr>
                <w:spacing w:val="-2"/>
              </w:rPr>
              <w:t>0.8528</w:t>
            </w:r>
          </w:p>
        </w:tc>
        <w:tc>
          <w:tcPr>
            <w:tcW w:w="1708" w:type="dxa"/>
            <w:vAlign w:val="top"/>
          </w:tcPr>
          <w:p w14:paraId="1AB48A80">
            <w:pPr>
              <w:pStyle w:val="6"/>
              <w:spacing w:before="101" w:line="188" w:lineRule="auto"/>
              <w:ind w:left="570"/>
            </w:pPr>
            <w:r>
              <w:rPr>
                <w:spacing w:val="-2"/>
              </w:rPr>
              <w:t>0.0742</w:t>
            </w:r>
          </w:p>
        </w:tc>
        <w:tc>
          <w:tcPr>
            <w:tcW w:w="1540" w:type="dxa"/>
            <w:vAlign w:val="top"/>
          </w:tcPr>
          <w:p w14:paraId="1FA9587F">
            <w:pPr>
              <w:pStyle w:val="6"/>
              <w:spacing w:before="101" w:line="188" w:lineRule="auto"/>
              <w:ind w:left="485"/>
            </w:pPr>
            <w:r>
              <w:rPr>
                <w:spacing w:val="-2"/>
              </w:rPr>
              <w:t>0.7416</w:t>
            </w:r>
          </w:p>
        </w:tc>
      </w:tr>
      <w:tr w14:paraId="62F02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5D1422AD">
            <w:pPr>
              <w:pStyle w:val="6"/>
              <w:spacing w:before="101" w:line="188" w:lineRule="auto"/>
              <w:ind w:left="641"/>
            </w:pPr>
            <w:r>
              <w:rPr>
                <w:spacing w:val="-4"/>
              </w:rPr>
              <w:t>1000.0</w:t>
            </w:r>
          </w:p>
        </w:tc>
        <w:tc>
          <w:tcPr>
            <w:tcW w:w="1708" w:type="dxa"/>
            <w:vAlign w:val="top"/>
          </w:tcPr>
          <w:p w14:paraId="258CDBD1">
            <w:pPr>
              <w:pStyle w:val="6"/>
              <w:spacing w:before="101" w:line="188" w:lineRule="auto"/>
              <w:ind w:left="584"/>
            </w:pPr>
            <w:r>
              <w:rPr>
                <w:spacing w:val="-5"/>
              </w:rPr>
              <w:t>1.5836</w:t>
            </w:r>
          </w:p>
        </w:tc>
        <w:tc>
          <w:tcPr>
            <w:tcW w:w="1537" w:type="dxa"/>
            <w:vAlign w:val="top"/>
          </w:tcPr>
          <w:p w14:paraId="524238E6">
            <w:pPr>
              <w:pStyle w:val="6"/>
              <w:spacing w:before="101" w:line="188" w:lineRule="auto"/>
              <w:ind w:left="484"/>
            </w:pPr>
            <w:r>
              <w:rPr>
                <w:spacing w:val="-2"/>
              </w:rPr>
              <w:t>0.7918</w:t>
            </w:r>
          </w:p>
        </w:tc>
        <w:tc>
          <w:tcPr>
            <w:tcW w:w="1708" w:type="dxa"/>
            <w:vAlign w:val="top"/>
          </w:tcPr>
          <w:p w14:paraId="3F35D8CE">
            <w:pPr>
              <w:pStyle w:val="6"/>
              <w:spacing w:before="101" w:line="188" w:lineRule="auto"/>
              <w:ind w:left="570"/>
            </w:pPr>
            <w:r>
              <w:rPr>
                <w:spacing w:val="-2"/>
              </w:rPr>
              <w:t>0.0689</w:t>
            </w:r>
          </w:p>
        </w:tc>
        <w:tc>
          <w:tcPr>
            <w:tcW w:w="1540" w:type="dxa"/>
            <w:vAlign w:val="top"/>
          </w:tcPr>
          <w:p w14:paraId="26B12396">
            <w:pPr>
              <w:pStyle w:val="6"/>
              <w:spacing w:before="101" w:line="188" w:lineRule="auto"/>
              <w:ind w:left="485"/>
            </w:pPr>
            <w:r>
              <w:rPr>
                <w:spacing w:val="-2"/>
              </w:rPr>
              <w:t>0.6885</w:t>
            </w:r>
          </w:p>
        </w:tc>
      </w:tr>
      <w:tr w14:paraId="53870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EE46FF0">
            <w:pPr>
              <w:pStyle w:val="6"/>
              <w:spacing w:before="101" w:line="188" w:lineRule="auto"/>
              <w:ind w:left="641"/>
            </w:pPr>
            <w:r>
              <w:rPr>
                <w:spacing w:val="-4"/>
              </w:rPr>
              <w:t>1200.0</w:t>
            </w:r>
          </w:p>
        </w:tc>
        <w:tc>
          <w:tcPr>
            <w:tcW w:w="1708" w:type="dxa"/>
            <w:vAlign w:val="top"/>
          </w:tcPr>
          <w:p w14:paraId="439BAB4B">
            <w:pPr>
              <w:pStyle w:val="6"/>
              <w:spacing w:before="101" w:line="188" w:lineRule="auto"/>
              <w:ind w:left="584"/>
            </w:pPr>
            <w:r>
              <w:rPr>
                <w:spacing w:val="-5"/>
              </w:rPr>
              <w:t>1.3790</w:t>
            </w:r>
          </w:p>
        </w:tc>
        <w:tc>
          <w:tcPr>
            <w:tcW w:w="1537" w:type="dxa"/>
            <w:vAlign w:val="top"/>
          </w:tcPr>
          <w:p w14:paraId="116448BD">
            <w:pPr>
              <w:pStyle w:val="6"/>
              <w:spacing w:before="101" w:line="188" w:lineRule="auto"/>
              <w:ind w:left="484"/>
            </w:pPr>
            <w:r>
              <w:rPr>
                <w:spacing w:val="-2"/>
              </w:rPr>
              <w:t>0.6895</w:t>
            </w:r>
          </w:p>
        </w:tc>
        <w:tc>
          <w:tcPr>
            <w:tcW w:w="1708" w:type="dxa"/>
            <w:vAlign w:val="top"/>
          </w:tcPr>
          <w:p w14:paraId="2F604169">
            <w:pPr>
              <w:pStyle w:val="6"/>
              <w:spacing w:before="101" w:line="188" w:lineRule="auto"/>
              <w:ind w:left="570"/>
            </w:pPr>
            <w:r>
              <w:rPr>
                <w:spacing w:val="-2"/>
              </w:rPr>
              <w:t>0.0600</w:t>
            </w:r>
          </w:p>
        </w:tc>
        <w:tc>
          <w:tcPr>
            <w:tcW w:w="1540" w:type="dxa"/>
            <w:vAlign w:val="top"/>
          </w:tcPr>
          <w:p w14:paraId="40DDF01B">
            <w:pPr>
              <w:pStyle w:val="6"/>
              <w:spacing w:before="101" w:line="188" w:lineRule="auto"/>
              <w:ind w:left="485"/>
            </w:pPr>
            <w:r>
              <w:rPr>
                <w:spacing w:val="-2"/>
              </w:rPr>
              <w:t>0.5996</w:t>
            </w:r>
          </w:p>
        </w:tc>
      </w:tr>
      <w:tr w14:paraId="2AC62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515D273">
            <w:pPr>
              <w:pStyle w:val="6"/>
              <w:spacing w:before="101" w:line="188" w:lineRule="auto"/>
              <w:ind w:left="641"/>
            </w:pPr>
            <w:r>
              <w:rPr>
                <w:spacing w:val="-4"/>
              </w:rPr>
              <w:t>1400.0</w:t>
            </w:r>
          </w:p>
        </w:tc>
        <w:tc>
          <w:tcPr>
            <w:tcW w:w="1708" w:type="dxa"/>
            <w:vAlign w:val="top"/>
          </w:tcPr>
          <w:p w14:paraId="5058D81B">
            <w:pPr>
              <w:pStyle w:val="6"/>
              <w:spacing w:before="101" w:line="188" w:lineRule="auto"/>
              <w:ind w:left="584"/>
            </w:pPr>
            <w:r>
              <w:rPr>
                <w:spacing w:val="-5"/>
              </w:rPr>
              <w:t>1.2289</w:t>
            </w:r>
          </w:p>
        </w:tc>
        <w:tc>
          <w:tcPr>
            <w:tcW w:w="1537" w:type="dxa"/>
            <w:vAlign w:val="top"/>
          </w:tcPr>
          <w:p w14:paraId="04771B6D">
            <w:pPr>
              <w:pStyle w:val="6"/>
              <w:spacing w:before="101" w:line="188" w:lineRule="auto"/>
              <w:ind w:left="484"/>
            </w:pPr>
            <w:r>
              <w:rPr>
                <w:spacing w:val="-2"/>
              </w:rPr>
              <w:t>0.6145</w:t>
            </w:r>
          </w:p>
        </w:tc>
        <w:tc>
          <w:tcPr>
            <w:tcW w:w="1708" w:type="dxa"/>
            <w:vAlign w:val="top"/>
          </w:tcPr>
          <w:p w14:paraId="348B8BA8">
            <w:pPr>
              <w:pStyle w:val="6"/>
              <w:spacing w:before="101" w:line="188" w:lineRule="auto"/>
              <w:ind w:left="570"/>
            </w:pPr>
            <w:r>
              <w:rPr>
                <w:spacing w:val="-2"/>
              </w:rPr>
              <w:t>0.0534</w:t>
            </w:r>
          </w:p>
        </w:tc>
        <w:tc>
          <w:tcPr>
            <w:tcW w:w="1540" w:type="dxa"/>
            <w:vAlign w:val="top"/>
          </w:tcPr>
          <w:p w14:paraId="3B7A029A">
            <w:pPr>
              <w:pStyle w:val="6"/>
              <w:spacing w:before="101" w:line="188" w:lineRule="auto"/>
              <w:ind w:left="485"/>
            </w:pPr>
            <w:r>
              <w:rPr>
                <w:spacing w:val="-2"/>
              </w:rPr>
              <w:t>0.5343</w:t>
            </w:r>
          </w:p>
        </w:tc>
      </w:tr>
      <w:tr w14:paraId="3E689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2705CAD">
            <w:pPr>
              <w:pStyle w:val="6"/>
              <w:spacing w:before="101" w:line="188" w:lineRule="auto"/>
              <w:ind w:left="641"/>
            </w:pPr>
            <w:r>
              <w:rPr>
                <w:spacing w:val="-4"/>
              </w:rPr>
              <w:t>1600.0</w:t>
            </w:r>
          </w:p>
        </w:tc>
        <w:tc>
          <w:tcPr>
            <w:tcW w:w="1708" w:type="dxa"/>
            <w:vAlign w:val="top"/>
          </w:tcPr>
          <w:p w14:paraId="50C77076">
            <w:pPr>
              <w:pStyle w:val="6"/>
              <w:spacing w:before="101" w:line="188" w:lineRule="auto"/>
              <w:ind w:left="588"/>
            </w:pPr>
            <w:r>
              <w:rPr>
                <w:spacing w:val="-6"/>
              </w:rPr>
              <w:t>1.1106</w:t>
            </w:r>
          </w:p>
        </w:tc>
        <w:tc>
          <w:tcPr>
            <w:tcW w:w="1537" w:type="dxa"/>
            <w:vAlign w:val="top"/>
          </w:tcPr>
          <w:p w14:paraId="21CD5CF7">
            <w:pPr>
              <w:pStyle w:val="6"/>
              <w:spacing w:before="101" w:line="188" w:lineRule="auto"/>
              <w:ind w:left="484"/>
            </w:pPr>
            <w:r>
              <w:rPr>
                <w:spacing w:val="-2"/>
              </w:rPr>
              <w:t>0.5553</w:t>
            </w:r>
          </w:p>
        </w:tc>
        <w:tc>
          <w:tcPr>
            <w:tcW w:w="1708" w:type="dxa"/>
            <w:vAlign w:val="top"/>
          </w:tcPr>
          <w:p w14:paraId="69B425FE">
            <w:pPr>
              <w:pStyle w:val="6"/>
              <w:spacing w:before="101" w:line="188" w:lineRule="auto"/>
              <w:ind w:left="569"/>
            </w:pPr>
            <w:r>
              <w:rPr>
                <w:spacing w:val="-2"/>
              </w:rPr>
              <w:t>0.0483</w:t>
            </w:r>
          </w:p>
        </w:tc>
        <w:tc>
          <w:tcPr>
            <w:tcW w:w="1540" w:type="dxa"/>
            <w:vAlign w:val="top"/>
          </w:tcPr>
          <w:p w14:paraId="0AC5DE6C">
            <w:pPr>
              <w:pStyle w:val="6"/>
              <w:spacing w:before="101" w:line="188" w:lineRule="auto"/>
              <w:ind w:left="485"/>
            </w:pPr>
            <w:r>
              <w:rPr>
                <w:spacing w:val="-2"/>
              </w:rPr>
              <w:t>0.4829</w:t>
            </w:r>
          </w:p>
        </w:tc>
      </w:tr>
      <w:tr w14:paraId="73561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16A6E7B6">
            <w:pPr>
              <w:pStyle w:val="6"/>
              <w:spacing w:before="101" w:line="188" w:lineRule="auto"/>
              <w:ind w:left="641"/>
            </w:pPr>
            <w:r>
              <w:rPr>
                <w:spacing w:val="-4"/>
              </w:rPr>
              <w:t>1800.0</w:t>
            </w:r>
          </w:p>
        </w:tc>
        <w:tc>
          <w:tcPr>
            <w:tcW w:w="1708" w:type="dxa"/>
            <w:vAlign w:val="top"/>
          </w:tcPr>
          <w:p w14:paraId="6D0020F4">
            <w:pPr>
              <w:pStyle w:val="6"/>
              <w:spacing w:before="101" w:line="188" w:lineRule="auto"/>
              <w:ind w:left="584"/>
            </w:pPr>
            <w:r>
              <w:rPr>
                <w:spacing w:val="-5"/>
              </w:rPr>
              <w:t>1.0245</w:t>
            </w:r>
          </w:p>
        </w:tc>
        <w:tc>
          <w:tcPr>
            <w:tcW w:w="1537" w:type="dxa"/>
            <w:vAlign w:val="top"/>
          </w:tcPr>
          <w:p w14:paraId="3D45915C">
            <w:pPr>
              <w:pStyle w:val="6"/>
              <w:spacing w:before="101" w:line="188" w:lineRule="auto"/>
              <w:ind w:left="484"/>
            </w:pPr>
            <w:r>
              <w:rPr>
                <w:spacing w:val="-2"/>
              </w:rPr>
              <w:t>0.5122</w:t>
            </w:r>
          </w:p>
        </w:tc>
        <w:tc>
          <w:tcPr>
            <w:tcW w:w="1708" w:type="dxa"/>
            <w:vAlign w:val="top"/>
          </w:tcPr>
          <w:p w14:paraId="36F4DEBC">
            <w:pPr>
              <w:pStyle w:val="6"/>
              <w:spacing w:before="101" w:line="188" w:lineRule="auto"/>
              <w:ind w:left="570"/>
            </w:pPr>
            <w:r>
              <w:rPr>
                <w:spacing w:val="-2"/>
              </w:rPr>
              <w:t>0.0445</w:t>
            </w:r>
          </w:p>
        </w:tc>
        <w:tc>
          <w:tcPr>
            <w:tcW w:w="1540" w:type="dxa"/>
            <w:vAlign w:val="top"/>
          </w:tcPr>
          <w:p w14:paraId="7BA9D9FE">
            <w:pPr>
              <w:pStyle w:val="6"/>
              <w:spacing w:before="101" w:line="188" w:lineRule="auto"/>
              <w:ind w:left="485"/>
            </w:pPr>
            <w:r>
              <w:rPr>
                <w:spacing w:val="-2"/>
              </w:rPr>
              <w:t>0.4454</w:t>
            </w:r>
          </w:p>
        </w:tc>
      </w:tr>
      <w:tr w14:paraId="1AEF6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A1E2185">
            <w:pPr>
              <w:pStyle w:val="6"/>
              <w:spacing w:before="102" w:line="188" w:lineRule="auto"/>
              <w:ind w:left="621"/>
            </w:pPr>
            <w:r>
              <w:rPr>
                <w:spacing w:val="-1"/>
              </w:rPr>
              <w:t>2000.0</w:t>
            </w:r>
          </w:p>
        </w:tc>
        <w:tc>
          <w:tcPr>
            <w:tcW w:w="1708" w:type="dxa"/>
            <w:vAlign w:val="top"/>
          </w:tcPr>
          <w:p w14:paraId="338E89C1">
            <w:pPr>
              <w:pStyle w:val="6"/>
              <w:spacing w:before="102" w:line="188" w:lineRule="auto"/>
              <w:ind w:left="567"/>
            </w:pPr>
            <w:r>
              <w:rPr>
                <w:spacing w:val="-2"/>
              </w:rPr>
              <w:t>0.9377</w:t>
            </w:r>
          </w:p>
        </w:tc>
        <w:tc>
          <w:tcPr>
            <w:tcW w:w="1537" w:type="dxa"/>
            <w:vAlign w:val="top"/>
          </w:tcPr>
          <w:p w14:paraId="341DD023">
            <w:pPr>
              <w:pStyle w:val="6"/>
              <w:spacing w:before="102" w:line="188" w:lineRule="auto"/>
              <w:ind w:left="484"/>
            </w:pPr>
            <w:r>
              <w:rPr>
                <w:spacing w:val="-2"/>
              </w:rPr>
              <w:t>0.4689</w:t>
            </w:r>
          </w:p>
        </w:tc>
        <w:tc>
          <w:tcPr>
            <w:tcW w:w="1708" w:type="dxa"/>
            <w:vAlign w:val="top"/>
          </w:tcPr>
          <w:p w14:paraId="3821189B">
            <w:pPr>
              <w:pStyle w:val="6"/>
              <w:spacing w:before="102" w:line="188" w:lineRule="auto"/>
              <w:ind w:left="570"/>
            </w:pPr>
            <w:r>
              <w:rPr>
                <w:spacing w:val="-2"/>
              </w:rPr>
              <w:t>0.0408</w:t>
            </w:r>
          </w:p>
        </w:tc>
        <w:tc>
          <w:tcPr>
            <w:tcW w:w="1540" w:type="dxa"/>
            <w:vAlign w:val="top"/>
          </w:tcPr>
          <w:p w14:paraId="7A3D631E">
            <w:pPr>
              <w:pStyle w:val="6"/>
              <w:spacing w:before="102" w:line="188" w:lineRule="auto"/>
              <w:ind w:left="485"/>
            </w:pPr>
            <w:r>
              <w:rPr>
                <w:spacing w:val="-2"/>
              </w:rPr>
              <w:t>0.4077</w:t>
            </w:r>
          </w:p>
        </w:tc>
      </w:tr>
      <w:tr w14:paraId="210E1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8DF58B6">
            <w:pPr>
              <w:pStyle w:val="6"/>
              <w:spacing w:before="102" w:line="188" w:lineRule="auto"/>
              <w:ind w:left="621"/>
            </w:pPr>
            <w:r>
              <w:rPr>
                <w:spacing w:val="-1"/>
              </w:rPr>
              <w:t>2500.0</w:t>
            </w:r>
          </w:p>
        </w:tc>
        <w:tc>
          <w:tcPr>
            <w:tcW w:w="1708" w:type="dxa"/>
            <w:vAlign w:val="top"/>
          </w:tcPr>
          <w:p w14:paraId="23D657D1">
            <w:pPr>
              <w:pStyle w:val="6"/>
              <w:spacing w:before="102" w:line="188" w:lineRule="auto"/>
              <w:ind w:left="567"/>
            </w:pPr>
            <w:r>
              <w:rPr>
                <w:spacing w:val="-2"/>
              </w:rPr>
              <w:t>0.7786</w:t>
            </w:r>
          </w:p>
        </w:tc>
        <w:tc>
          <w:tcPr>
            <w:tcW w:w="1537" w:type="dxa"/>
            <w:vAlign w:val="top"/>
          </w:tcPr>
          <w:p w14:paraId="419A865F">
            <w:pPr>
              <w:pStyle w:val="6"/>
              <w:spacing w:before="102" w:line="188" w:lineRule="auto"/>
              <w:ind w:left="484"/>
            </w:pPr>
            <w:r>
              <w:rPr>
                <w:spacing w:val="-2"/>
              </w:rPr>
              <w:t>0.3893</w:t>
            </w:r>
          </w:p>
        </w:tc>
        <w:tc>
          <w:tcPr>
            <w:tcW w:w="1708" w:type="dxa"/>
            <w:vAlign w:val="top"/>
          </w:tcPr>
          <w:p w14:paraId="3C46CF9B">
            <w:pPr>
              <w:pStyle w:val="6"/>
              <w:spacing w:before="102" w:line="188" w:lineRule="auto"/>
              <w:ind w:left="570"/>
            </w:pPr>
            <w:r>
              <w:rPr>
                <w:spacing w:val="-2"/>
              </w:rPr>
              <w:t>0.0339</w:t>
            </w:r>
          </w:p>
        </w:tc>
        <w:tc>
          <w:tcPr>
            <w:tcW w:w="1540" w:type="dxa"/>
            <w:vAlign w:val="top"/>
          </w:tcPr>
          <w:p w14:paraId="2F568D36">
            <w:pPr>
              <w:pStyle w:val="6"/>
              <w:spacing w:before="102" w:line="188" w:lineRule="auto"/>
              <w:ind w:left="485"/>
            </w:pPr>
            <w:r>
              <w:rPr>
                <w:spacing w:val="-2"/>
              </w:rPr>
              <w:t>0.3385</w:t>
            </w:r>
          </w:p>
        </w:tc>
      </w:tr>
      <w:tr w14:paraId="5EC3D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BE1A30B">
            <w:pPr>
              <w:pStyle w:val="6"/>
              <w:spacing w:before="103" w:line="188" w:lineRule="auto"/>
              <w:ind w:left="625"/>
            </w:pPr>
            <w:r>
              <w:rPr>
                <w:spacing w:val="-2"/>
              </w:rPr>
              <w:t>3000.0</w:t>
            </w:r>
          </w:p>
        </w:tc>
        <w:tc>
          <w:tcPr>
            <w:tcW w:w="1708" w:type="dxa"/>
            <w:vAlign w:val="top"/>
          </w:tcPr>
          <w:p w14:paraId="172D7596">
            <w:pPr>
              <w:pStyle w:val="6"/>
              <w:spacing w:before="103" w:line="188" w:lineRule="auto"/>
              <w:ind w:left="567"/>
            </w:pPr>
            <w:r>
              <w:rPr>
                <w:spacing w:val="-2"/>
              </w:rPr>
              <w:t>0.6856</w:t>
            </w:r>
          </w:p>
        </w:tc>
        <w:tc>
          <w:tcPr>
            <w:tcW w:w="1537" w:type="dxa"/>
            <w:vAlign w:val="top"/>
          </w:tcPr>
          <w:p w14:paraId="747A1231">
            <w:pPr>
              <w:pStyle w:val="6"/>
              <w:spacing w:before="103" w:line="188" w:lineRule="auto"/>
              <w:ind w:left="484"/>
            </w:pPr>
            <w:r>
              <w:rPr>
                <w:spacing w:val="-2"/>
              </w:rPr>
              <w:t>0.3428</w:t>
            </w:r>
          </w:p>
        </w:tc>
        <w:tc>
          <w:tcPr>
            <w:tcW w:w="1708" w:type="dxa"/>
            <w:vAlign w:val="top"/>
          </w:tcPr>
          <w:p w14:paraId="18058162">
            <w:pPr>
              <w:pStyle w:val="6"/>
              <w:spacing w:before="103" w:line="188" w:lineRule="auto"/>
              <w:ind w:left="570"/>
            </w:pPr>
            <w:r>
              <w:rPr>
                <w:spacing w:val="-2"/>
              </w:rPr>
              <w:t>0.0298</w:t>
            </w:r>
          </w:p>
        </w:tc>
        <w:tc>
          <w:tcPr>
            <w:tcW w:w="1540" w:type="dxa"/>
            <w:vAlign w:val="top"/>
          </w:tcPr>
          <w:p w14:paraId="55013302">
            <w:pPr>
              <w:pStyle w:val="6"/>
              <w:spacing w:before="103" w:line="188" w:lineRule="auto"/>
              <w:ind w:left="485"/>
            </w:pPr>
            <w:r>
              <w:rPr>
                <w:spacing w:val="-2"/>
              </w:rPr>
              <w:t>0.2981</w:t>
            </w:r>
          </w:p>
        </w:tc>
      </w:tr>
      <w:tr w14:paraId="0D3B5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6A0E5586">
            <w:pPr>
              <w:pStyle w:val="6"/>
              <w:spacing w:before="103" w:line="188" w:lineRule="auto"/>
              <w:ind w:left="625"/>
            </w:pPr>
            <w:r>
              <w:rPr>
                <w:spacing w:val="-2"/>
              </w:rPr>
              <w:t>3500.0</w:t>
            </w:r>
          </w:p>
        </w:tc>
        <w:tc>
          <w:tcPr>
            <w:tcW w:w="1708" w:type="dxa"/>
            <w:vAlign w:val="top"/>
          </w:tcPr>
          <w:p w14:paraId="05EBA8C5">
            <w:pPr>
              <w:pStyle w:val="6"/>
              <w:spacing w:before="103" w:line="188" w:lineRule="auto"/>
              <w:ind w:left="567"/>
            </w:pPr>
            <w:r>
              <w:rPr>
                <w:spacing w:val="-2"/>
              </w:rPr>
              <w:t>0.6108</w:t>
            </w:r>
          </w:p>
        </w:tc>
        <w:tc>
          <w:tcPr>
            <w:tcW w:w="1537" w:type="dxa"/>
            <w:vAlign w:val="top"/>
          </w:tcPr>
          <w:p w14:paraId="015CEF37">
            <w:pPr>
              <w:pStyle w:val="6"/>
              <w:spacing w:before="103" w:line="188" w:lineRule="auto"/>
              <w:ind w:left="484"/>
            </w:pPr>
            <w:r>
              <w:rPr>
                <w:spacing w:val="-2"/>
              </w:rPr>
              <w:t>0.3054</w:t>
            </w:r>
          </w:p>
        </w:tc>
        <w:tc>
          <w:tcPr>
            <w:tcW w:w="1708" w:type="dxa"/>
            <w:vAlign w:val="top"/>
          </w:tcPr>
          <w:p w14:paraId="3ABF3B90">
            <w:pPr>
              <w:pStyle w:val="6"/>
              <w:spacing w:before="103" w:line="188" w:lineRule="auto"/>
              <w:ind w:left="570"/>
            </w:pPr>
            <w:r>
              <w:rPr>
                <w:spacing w:val="-2"/>
              </w:rPr>
              <w:t>0.0266</w:t>
            </w:r>
          </w:p>
        </w:tc>
        <w:tc>
          <w:tcPr>
            <w:tcW w:w="1540" w:type="dxa"/>
            <w:vAlign w:val="top"/>
          </w:tcPr>
          <w:p w14:paraId="36B22F81">
            <w:pPr>
              <w:pStyle w:val="6"/>
              <w:spacing w:before="103" w:line="188" w:lineRule="auto"/>
              <w:ind w:left="485"/>
            </w:pPr>
            <w:r>
              <w:rPr>
                <w:spacing w:val="-2"/>
              </w:rPr>
              <w:t>0.2656</w:t>
            </w:r>
          </w:p>
        </w:tc>
      </w:tr>
      <w:tr w14:paraId="2B8F4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1AA8D4B">
            <w:pPr>
              <w:pStyle w:val="6"/>
              <w:spacing w:before="104" w:line="188" w:lineRule="auto"/>
              <w:ind w:left="619"/>
            </w:pPr>
            <w:r>
              <w:rPr>
                <w:spacing w:val="-1"/>
              </w:rPr>
              <w:t>4000.0</w:t>
            </w:r>
          </w:p>
        </w:tc>
        <w:tc>
          <w:tcPr>
            <w:tcW w:w="1708" w:type="dxa"/>
            <w:vAlign w:val="top"/>
          </w:tcPr>
          <w:p w14:paraId="3D3D94CE">
            <w:pPr>
              <w:pStyle w:val="6"/>
              <w:spacing w:before="104" w:line="188" w:lineRule="auto"/>
              <w:ind w:left="567"/>
            </w:pPr>
            <w:r>
              <w:rPr>
                <w:spacing w:val="-2"/>
              </w:rPr>
              <w:t>0.5503</w:t>
            </w:r>
          </w:p>
        </w:tc>
        <w:tc>
          <w:tcPr>
            <w:tcW w:w="1537" w:type="dxa"/>
            <w:vAlign w:val="top"/>
          </w:tcPr>
          <w:p w14:paraId="2334FAB1">
            <w:pPr>
              <w:pStyle w:val="6"/>
              <w:spacing w:before="104" w:line="188" w:lineRule="auto"/>
              <w:ind w:left="484"/>
            </w:pPr>
            <w:r>
              <w:rPr>
                <w:spacing w:val="-2"/>
              </w:rPr>
              <w:t>0.2751</w:t>
            </w:r>
          </w:p>
        </w:tc>
        <w:tc>
          <w:tcPr>
            <w:tcW w:w="1708" w:type="dxa"/>
            <w:vAlign w:val="top"/>
          </w:tcPr>
          <w:p w14:paraId="1BEC056D">
            <w:pPr>
              <w:pStyle w:val="6"/>
              <w:spacing w:before="104" w:line="188" w:lineRule="auto"/>
              <w:ind w:left="570"/>
            </w:pPr>
            <w:r>
              <w:rPr>
                <w:spacing w:val="-2"/>
              </w:rPr>
              <w:t>0.0239</w:t>
            </w:r>
          </w:p>
        </w:tc>
        <w:tc>
          <w:tcPr>
            <w:tcW w:w="1540" w:type="dxa"/>
            <w:vAlign w:val="top"/>
          </w:tcPr>
          <w:p w14:paraId="61114387">
            <w:pPr>
              <w:pStyle w:val="6"/>
              <w:spacing w:before="104" w:line="188" w:lineRule="auto"/>
              <w:ind w:left="485"/>
            </w:pPr>
            <w:r>
              <w:rPr>
                <w:spacing w:val="-2"/>
              </w:rPr>
              <w:t>0.2392</w:t>
            </w:r>
          </w:p>
        </w:tc>
      </w:tr>
      <w:tr w14:paraId="6012A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6EDE9DC4">
            <w:pPr>
              <w:pStyle w:val="6"/>
              <w:spacing w:before="104" w:line="188" w:lineRule="auto"/>
              <w:ind w:left="619"/>
            </w:pPr>
            <w:r>
              <w:rPr>
                <w:spacing w:val="-1"/>
              </w:rPr>
              <w:t>4500.0</w:t>
            </w:r>
          </w:p>
        </w:tc>
        <w:tc>
          <w:tcPr>
            <w:tcW w:w="1708" w:type="dxa"/>
            <w:vAlign w:val="top"/>
          </w:tcPr>
          <w:p w14:paraId="0FF64EE9">
            <w:pPr>
              <w:pStyle w:val="6"/>
              <w:spacing w:before="104" w:line="188" w:lineRule="auto"/>
              <w:ind w:left="567"/>
            </w:pPr>
            <w:r>
              <w:rPr>
                <w:spacing w:val="-2"/>
              </w:rPr>
              <w:t>0.5015</w:t>
            </w:r>
          </w:p>
        </w:tc>
        <w:tc>
          <w:tcPr>
            <w:tcW w:w="1537" w:type="dxa"/>
            <w:vAlign w:val="top"/>
          </w:tcPr>
          <w:p w14:paraId="555D5134">
            <w:pPr>
              <w:pStyle w:val="6"/>
              <w:spacing w:before="104" w:line="188" w:lineRule="auto"/>
              <w:ind w:left="484"/>
            </w:pPr>
            <w:r>
              <w:rPr>
                <w:spacing w:val="-2"/>
              </w:rPr>
              <w:t>0.2507</w:t>
            </w:r>
          </w:p>
        </w:tc>
        <w:tc>
          <w:tcPr>
            <w:tcW w:w="1708" w:type="dxa"/>
            <w:vAlign w:val="top"/>
          </w:tcPr>
          <w:p w14:paraId="080F0A62">
            <w:pPr>
              <w:pStyle w:val="6"/>
              <w:spacing w:before="104" w:line="188" w:lineRule="auto"/>
              <w:ind w:left="570"/>
            </w:pPr>
            <w:r>
              <w:rPr>
                <w:spacing w:val="-2"/>
              </w:rPr>
              <w:t>0.0218</w:t>
            </w:r>
          </w:p>
        </w:tc>
        <w:tc>
          <w:tcPr>
            <w:tcW w:w="1540" w:type="dxa"/>
            <w:vAlign w:val="top"/>
          </w:tcPr>
          <w:p w14:paraId="691081FE">
            <w:pPr>
              <w:pStyle w:val="6"/>
              <w:spacing w:before="104" w:line="188" w:lineRule="auto"/>
              <w:ind w:left="485"/>
            </w:pPr>
            <w:r>
              <w:rPr>
                <w:spacing w:val="-2"/>
              </w:rPr>
              <w:t>0.2180</w:t>
            </w:r>
          </w:p>
        </w:tc>
      </w:tr>
      <w:tr w14:paraId="0EB3D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130E631">
            <w:pPr>
              <w:pStyle w:val="6"/>
              <w:spacing w:before="104" w:line="188" w:lineRule="auto"/>
              <w:ind w:left="626"/>
            </w:pPr>
            <w:r>
              <w:rPr>
                <w:spacing w:val="-2"/>
              </w:rPr>
              <w:t>5000.0</w:t>
            </w:r>
          </w:p>
        </w:tc>
        <w:tc>
          <w:tcPr>
            <w:tcW w:w="1708" w:type="dxa"/>
            <w:vAlign w:val="top"/>
          </w:tcPr>
          <w:p w14:paraId="30AF67CA">
            <w:pPr>
              <w:pStyle w:val="6"/>
              <w:spacing w:before="104" w:line="188" w:lineRule="auto"/>
              <w:ind w:left="567"/>
            </w:pPr>
            <w:r>
              <w:rPr>
                <w:spacing w:val="-2"/>
              </w:rPr>
              <w:t>0.4619</w:t>
            </w:r>
          </w:p>
        </w:tc>
        <w:tc>
          <w:tcPr>
            <w:tcW w:w="1537" w:type="dxa"/>
            <w:vAlign w:val="top"/>
          </w:tcPr>
          <w:p w14:paraId="7AB14495">
            <w:pPr>
              <w:pStyle w:val="6"/>
              <w:spacing w:before="104" w:line="188" w:lineRule="auto"/>
              <w:ind w:left="484"/>
            </w:pPr>
            <w:r>
              <w:rPr>
                <w:spacing w:val="-2"/>
              </w:rPr>
              <w:t>0.2309</w:t>
            </w:r>
          </w:p>
        </w:tc>
        <w:tc>
          <w:tcPr>
            <w:tcW w:w="1708" w:type="dxa"/>
            <w:vAlign w:val="top"/>
          </w:tcPr>
          <w:p w14:paraId="41569B79">
            <w:pPr>
              <w:pStyle w:val="6"/>
              <w:spacing w:before="104" w:line="188" w:lineRule="auto"/>
              <w:ind w:left="570"/>
            </w:pPr>
            <w:r>
              <w:rPr>
                <w:spacing w:val="-2"/>
              </w:rPr>
              <w:t>0.0201</w:t>
            </w:r>
          </w:p>
        </w:tc>
        <w:tc>
          <w:tcPr>
            <w:tcW w:w="1540" w:type="dxa"/>
            <w:vAlign w:val="top"/>
          </w:tcPr>
          <w:p w14:paraId="284ED961">
            <w:pPr>
              <w:pStyle w:val="6"/>
              <w:spacing w:before="104" w:line="188" w:lineRule="auto"/>
              <w:ind w:left="485"/>
            </w:pPr>
            <w:r>
              <w:rPr>
                <w:spacing w:val="-2"/>
              </w:rPr>
              <w:t>0.2008</w:t>
            </w:r>
          </w:p>
        </w:tc>
      </w:tr>
      <w:tr w14:paraId="2AB93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47BF4E1">
            <w:pPr>
              <w:pStyle w:val="6"/>
              <w:spacing w:before="104" w:line="188" w:lineRule="auto"/>
              <w:ind w:left="588"/>
            </w:pPr>
            <w:r>
              <w:rPr>
                <w:spacing w:val="-4"/>
              </w:rPr>
              <w:t>10000.0</w:t>
            </w:r>
          </w:p>
        </w:tc>
        <w:tc>
          <w:tcPr>
            <w:tcW w:w="1708" w:type="dxa"/>
            <w:vAlign w:val="top"/>
          </w:tcPr>
          <w:p w14:paraId="1A046ABC">
            <w:pPr>
              <w:pStyle w:val="6"/>
              <w:spacing w:before="104" w:line="188" w:lineRule="auto"/>
              <w:ind w:left="567"/>
            </w:pPr>
            <w:r>
              <w:rPr>
                <w:spacing w:val="-2"/>
              </w:rPr>
              <w:t>0.2609</w:t>
            </w:r>
          </w:p>
        </w:tc>
        <w:tc>
          <w:tcPr>
            <w:tcW w:w="1537" w:type="dxa"/>
            <w:vAlign w:val="top"/>
          </w:tcPr>
          <w:p w14:paraId="414EE59E">
            <w:pPr>
              <w:pStyle w:val="6"/>
              <w:spacing w:before="104" w:line="188" w:lineRule="auto"/>
              <w:ind w:left="484"/>
            </w:pPr>
            <w:r>
              <w:rPr>
                <w:spacing w:val="-2"/>
              </w:rPr>
              <w:t>0.1304</w:t>
            </w:r>
          </w:p>
        </w:tc>
        <w:tc>
          <w:tcPr>
            <w:tcW w:w="1708" w:type="dxa"/>
            <w:vAlign w:val="top"/>
          </w:tcPr>
          <w:p w14:paraId="3F034E47">
            <w:pPr>
              <w:pStyle w:val="6"/>
              <w:spacing w:before="104" w:line="188" w:lineRule="auto"/>
              <w:ind w:left="573"/>
            </w:pPr>
            <w:r>
              <w:rPr>
                <w:spacing w:val="-3"/>
              </w:rPr>
              <w:t>0.0113</w:t>
            </w:r>
          </w:p>
        </w:tc>
        <w:tc>
          <w:tcPr>
            <w:tcW w:w="1540" w:type="dxa"/>
            <w:vAlign w:val="top"/>
          </w:tcPr>
          <w:p w14:paraId="4B4495FC">
            <w:pPr>
              <w:pStyle w:val="6"/>
              <w:spacing w:before="104" w:line="188" w:lineRule="auto"/>
              <w:ind w:left="489"/>
            </w:pPr>
            <w:r>
              <w:rPr>
                <w:spacing w:val="-3"/>
              </w:rPr>
              <w:t>0.1134</w:t>
            </w:r>
          </w:p>
        </w:tc>
      </w:tr>
      <w:tr w14:paraId="7ADE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869F4F8">
            <w:pPr>
              <w:pStyle w:val="6"/>
              <w:spacing w:before="104" w:line="188" w:lineRule="auto"/>
              <w:ind w:left="593"/>
            </w:pPr>
            <w:r>
              <w:rPr>
                <w:spacing w:val="-5"/>
              </w:rPr>
              <w:t>11000.0</w:t>
            </w:r>
          </w:p>
        </w:tc>
        <w:tc>
          <w:tcPr>
            <w:tcW w:w="1708" w:type="dxa"/>
            <w:vAlign w:val="top"/>
          </w:tcPr>
          <w:p w14:paraId="76BC42E7">
            <w:pPr>
              <w:pStyle w:val="6"/>
              <w:spacing w:before="104" w:line="188" w:lineRule="auto"/>
              <w:ind w:left="568"/>
            </w:pPr>
            <w:r>
              <w:rPr>
                <w:spacing w:val="-2"/>
              </w:rPr>
              <w:t>0.2391</w:t>
            </w:r>
          </w:p>
        </w:tc>
        <w:tc>
          <w:tcPr>
            <w:tcW w:w="1537" w:type="dxa"/>
            <w:vAlign w:val="top"/>
          </w:tcPr>
          <w:p w14:paraId="30962136">
            <w:pPr>
              <w:pStyle w:val="6"/>
              <w:spacing w:before="104" w:line="188" w:lineRule="auto"/>
              <w:ind w:left="488"/>
            </w:pPr>
            <w:r>
              <w:rPr>
                <w:spacing w:val="-3"/>
              </w:rPr>
              <w:t>0.1195</w:t>
            </w:r>
          </w:p>
        </w:tc>
        <w:tc>
          <w:tcPr>
            <w:tcW w:w="1708" w:type="dxa"/>
            <w:vAlign w:val="top"/>
          </w:tcPr>
          <w:p w14:paraId="5E031421">
            <w:pPr>
              <w:pStyle w:val="6"/>
              <w:spacing w:before="104" w:line="188" w:lineRule="auto"/>
              <w:ind w:left="570"/>
            </w:pPr>
            <w:r>
              <w:rPr>
                <w:spacing w:val="-2"/>
              </w:rPr>
              <w:t>0.0104</w:t>
            </w:r>
          </w:p>
        </w:tc>
        <w:tc>
          <w:tcPr>
            <w:tcW w:w="1540" w:type="dxa"/>
            <w:vAlign w:val="top"/>
          </w:tcPr>
          <w:p w14:paraId="75F7CC4A">
            <w:pPr>
              <w:pStyle w:val="6"/>
              <w:spacing w:before="104" w:line="188" w:lineRule="auto"/>
              <w:ind w:left="485"/>
            </w:pPr>
            <w:r>
              <w:rPr>
                <w:spacing w:val="-2"/>
              </w:rPr>
              <w:t>0.1040</w:t>
            </w:r>
          </w:p>
        </w:tc>
      </w:tr>
      <w:tr w14:paraId="55F74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A4BEC87">
            <w:pPr>
              <w:pStyle w:val="6"/>
              <w:spacing w:before="104" w:line="188" w:lineRule="auto"/>
              <w:ind w:left="588"/>
            </w:pPr>
            <w:r>
              <w:rPr>
                <w:spacing w:val="-4"/>
              </w:rPr>
              <w:t>12000.0</w:t>
            </w:r>
          </w:p>
        </w:tc>
        <w:tc>
          <w:tcPr>
            <w:tcW w:w="1708" w:type="dxa"/>
            <w:vAlign w:val="top"/>
          </w:tcPr>
          <w:p w14:paraId="5C21179A">
            <w:pPr>
              <w:pStyle w:val="6"/>
              <w:spacing w:before="104" w:line="188" w:lineRule="auto"/>
              <w:ind w:left="567"/>
            </w:pPr>
            <w:r>
              <w:rPr>
                <w:spacing w:val="-2"/>
              </w:rPr>
              <w:t>0.2204</w:t>
            </w:r>
          </w:p>
        </w:tc>
        <w:tc>
          <w:tcPr>
            <w:tcW w:w="1537" w:type="dxa"/>
            <w:vAlign w:val="top"/>
          </w:tcPr>
          <w:p w14:paraId="657689BE">
            <w:pPr>
              <w:pStyle w:val="6"/>
              <w:spacing w:before="104" w:line="188" w:lineRule="auto"/>
              <w:ind w:left="488"/>
            </w:pPr>
            <w:r>
              <w:rPr>
                <w:spacing w:val="-3"/>
              </w:rPr>
              <w:t>0.1102</w:t>
            </w:r>
          </w:p>
        </w:tc>
        <w:tc>
          <w:tcPr>
            <w:tcW w:w="1708" w:type="dxa"/>
            <w:vAlign w:val="top"/>
          </w:tcPr>
          <w:p w14:paraId="1BCA66A2">
            <w:pPr>
              <w:pStyle w:val="6"/>
              <w:spacing w:before="104" w:line="188" w:lineRule="auto"/>
              <w:ind w:left="570"/>
            </w:pPr>
            <w:r>
              <w:rPr>
                <w:spacing w:val="-2"/>
              </w:rPr>
              <w:t>0.0096</w:t>
            </w:r>
          </w:p>
        </w:tc>
        <w:tc>
          <w:tcPr>
            <w:tcW w:w="1540" w:type="dxa"/>
            <w:vAlign w:val="top"/>
          </w:tcPr>
          <w:p w14:paraId="00E20259">
            <w:pPr>
              <w:pStyle w:val="6"/>
              <w:spacing w:before="104" w:line="188" w:lineRule="auto"/>
              <w:ind w:left="485"/>
            </w:pPr>
            <w:r>
              <w:rPr>
                <w:spacing w:val="-2"/>
              </w:rPr>
              <w:t>0.0958</w:t>
            </w:r>
          </w:p>
        </w:tc>
      </w:tr>
      <w:tr w14:paraId="22586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95923B1">
            <w:pPr>
              <w:pStyle w:val="6"/>
              <w:spacing w:before="104" w:line="188" w:lineRule="auto"/>
              <w:ind w:left="588"/>
            </w:pPr>
            <w:r>
              <w:rPr>
                <w:spacing w:val="-4"/>
              </w:rPr>
              <w:t>13000.0</w:t>
            </w:r>
          </w:p>
        </w:tc>
        <w:tc>
          <w:tcPr>
            <w:tcW w:w="1708" w:type="dxa"/>
            <w:vAlign w:val="top"/>
          </w:tcPr>
          <w:p w14:paraId="7D4D41F4">
            <w:pPr>
              <w:pStyle w:val="6"/>
              <w:spacing w:before="104" w:line="188" w:lineRule="auto"/>
              <w:ind w:left="567"/>
            </w:pPr>
            <w:r>
              <w:rPr>
                <w:spacing w:val="-2"/>
              </w:rPr>
              <w:t>0.2042</w:t>
            </w:r>
          </w:p>
        </w:tc>
        <w:tc>
          <w:tcPr>
            <w:tcW w:w="1537" w:type="dxa"/>
            <w:vAlign w:val="top"/>
          </w:tcPr>
          <w:p w14:paraId="3432E1F4">
            <w:pPr>
              <w:pStyle w:val="6"/>
              <w:spacing w:before="104" w:line="188" w:lineRule="auto"/>
              <w:ind w:left="484"/>
            </w:pPr>
            <w:r>
              <w:rPr>
                <w:spacing w:val="-2"/>
              </w:rPr>
              <w:t>0.1021</w:t>
            </w:r>
          </w:p>
        </w:tc>
        <w:tc>
          <w:tcPr>
            <w:tcW w:w="1708" w:type="dxa"/>
            <w:vAlign w:val="top"/>
          </w:tcPr>
          <w:p w14:paraId="542E55F2">
            <w:pPr>
              <w:pStyle w:val="6"/>
              <w:spacing w:before="104" w:line="188" w:lineRule="auto"/>
              <w:ind w:left="570"/>
            </w:pPr>
            <w:r>
              <w:rPr>
                <w:spacing w:val="-2"/>
              </w:rPr>
              <w:t>0.0089</w:t>
            </w:r>
          </w:p>
        </w:tc>
        <w:tc>
          <w:tcPr>
            <w:tcW w:w="1540" w:type="dxa"/>
            <w:vAlign w:val="top"/>
          </w:tcPr>
          <w:p w14:paraId="7B13325A">
            <w:pPr>
              <w:pStyle w:val="6"/>
              <w:spacing w:before="104" w:line="188" w:lineRule="auto"/>
              <w:ind w:left="485"/>
            </w:pPr>
            <w:r>
              <w:rPr>
                <w:spacing w:val="-2"/>
              </w:rPr>
              <w:t>0.0888</w:t>
            </w:r>
          </w:p>
        </w:tc>
      </w:tr>
      <w:tr w14:paraId="726D5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080CEB6">
            <w:pPr>
              <w:pStyle w:val="6"/>
              <w:spacing w:before="104" w:line="188" w:lineRule="auto"/>
              <w:ind w:left="588"/>
            </w:pPr>
            <w:r>
              <w:rPr>
                <w:spacing w:val="-4"/>
              </w:rPr>
              <w:t>14000.0</w:t>
            </w:r>
          </w:p>
        </w:tc>
        <w:tc>
          <w:tcPr>
            <w:tcW w:w="1708" w:type="dxa"/>
            <w:vAlign w:val="top"/>
          </w:tcPr>
          <w:p w14:paraId="4FB10634">
            <w:pPr>
              <w:pStyle w:val="6"/>
              <w:spacing w:before="104" w:line="188" w:lineRule="auto"/>
              <w:ind w:left="567"/>
            </w:pPr>
            <w:r>
              <w:rPr>
                <w:spacing w:val="-2"/>
              </w:rPr>
              <w:t>0.1901</w:t>
            </w:r>
          </w:p>
        </w:tc>
        <w:tc>
          <w:tcPr>
            <w:tcW w:w="1537" w:type="dxa"/>
            <w:vAlign w:val="top"/>
          </w:tcPr>
          <w:p w14:paraId="3C9CC6EC">
            <w:pPr>
              <w:pStyle w:val="6"/>
              <w:spacing w:before="104" w:line="188" w:lineRule="auto"/>
              <w:ind w:left="484"/>
            </w:pPr>
            <w:r>
              <w:rPr>
                <w:spacing w:val="-2"/>
              </w:rPr>
              <w:t>0.0950</w:t>
            </w:r>
          </w:p>
        </w:tc>
        <w:tc>
          <w:tcPr>
            <w:tcW w:w="1708" w:type="dxa"/>
            <w:vAlign w:val="top"/>
          </w:tcPr>
          <w:p w14:paraId="73267235">
            <w:pPr>
              <w:pStyle w:val="6"/>
              <w:spacing w:before="104" w:line="188" w:lineRule="auto"/>
              <w:ind w:left="570"/>
            </w:pPr>
            <w:r>
              <w:rPr>
                <w:spacing w:val="-2"/>
              </w:rPr>
              <w:t>0.0083</w:t>
            </w:r>
          </w:p>
        </w:tc>
        <w:tc>
          <w:tcPr>
            <w:tcW w:w="1540" w:type="dxa"/>
            <w:vAlign w:val="top"/>
          </w:tcPr>
          <w:p w14:paraId="12BE2720">
            <w:pPr>
              <w:pStyle w:val="6"/>
              <w:spacing w:before="104" w:line="188" w:lineRule="auto"/>
              <w:ind w:left="485"/>
            </w:pPr>
            <w:r>
              <w:rPr>
                <w:spacing w:val="-2"/>
              </w:rPr>
              <w:t>0.0827</w:t>
            </w:r>
          </w:p>
        </w:tc>
      </w:tr>
      <w:tr w14:paraId="1750E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8017001">
            <w:pPr>
              <w:pStyle w:val="6"/>
              <w:spacing w:before="104" w:line="188" w:lineRule="auto"/>
              <w:ind w:left="588"/>
            </w:pPr>
            <w:r>
              <w:rPr>
                <w:spacing w:val="-4"/>
              </w:rPr>
              <w:t>15000.0</w:t>
            </w:r>
          </w:p>
        </w:tc>
        <w:tc>
          <w:tcPr>
            <w:tcW w:w="1708" w:type="dxa"/>
            <w:vAlign w:val="top"/>
          </w:tcPr>
          <w:p w14:paraId="6B0DDF88">
            <w:pPr>
              <w:pStyle w:val="6"/>
              <w:spacing w:before="104" w:line="188" w:lineRule="auto"/>
              <w:ind w:left="567"/>
            </w:pPr>
            <w:r>
              <w:rPr>
                <w:spacing w:val="-2"/>
              </w:rPr>
              <w:t>0.1777</w:t>
            </w:r>
          </w:p>
        </w:tc>
        <w:tc>
          <w:tcPr>
            <w:tcW w:w="1537" w:type="dxa"/>
            <w:vAlign w:val="top"/>
          </w:tcPr>
          <w:p w14:paraId="64488993">
            <w:pPr>
              <w:pStyle w:val="6"/>
              <w:spacing w:before="104" w:line="188" w:lineRule="auto"/>
              <w:ind w:left="484"/>
            </w:pPr>
            <w:r>
              <w:rPr>
                <w:spacing w:val="-2"/>
              </w:rPr>
              <w:t>0.0888</w:t>
            </w:r>
          </w:p>
        </w:tc>
        <w:tc>
          <w:tcPr>
            <w:tcW w:w="1708" w:type="dxa"/>
            <w:vAlign w:val="top"/>
          </w:tcPr>
          <w:p w14:paraId="51CA067F">
            <w:pPr>
              <w:pStyle w:val="6"/>
              <w:spacing w:before="104" w:line="188" w:lineRule="auto"/>
              <w:ind w:left="570"/>
            </w:pPr>
            <w:r>
              <w:rPr>
                <w:spacing w:val="-2"/>
              </w:rPr>
              <w:t>0.0077</w:t>
            </w:r>
          </w:p>
        </w:tc>
        <w:tc>
          <w:tcPr>
            <w:tcW w:w="1540" w:type="dxa"/>
            <w:vAlign w:val="top"/>
          </w:tcPr>
          <w:p w14:paraId="1B266A01">
            <w:pPr>
              <w:pStyle w:val="6"/>
              <w:spacing w:before="104" w:line="188" w:lineRule="auto"/>
              <w:ind w:left="485"/>
            </w:pPr>
            <w:r>
              <w:rPr>
                <w:spacing w:val="-2"/>
              </w:rPr>
              <w:t>0.0772</w:t>
            </w:r>
          </w:p>
        </w:tc>
      </w:tr>
      <w:tr w14:paraId="16512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1817F1F7">
            <w:pPr>
              <w:pStyle w:val="6"/>
              <w:spacing w:before="104" w:line="188" w:lineRule="auto"/>
              <w:ind w:left="568"/>
            </w:pPr>
            <w:r>
              <w:rPr>
                <w:spacing w:val="-1"/>
              </w:rPr>
              <w:t>20000.0</w:t>
            </w:r>
          </w:p>
        </w:tc>
        <w:tc>
          <w:tcPr>
            <w:tcW w:w="1708" w:type="dxa"/>
            <w:vAlign w:val="top"/>
          </w:tcPr>
          <w:p w14:paraId="5B5164CC">
            <w:pPr>
              <w:pStyle w:val="6"/>
              <w:spacing w:before="104" w:line="188" w:lineRule="auto"/>
              <w:ind w:left="567"/>
            </w:pPr>
            <w:r>
              <w:rPr>
                <w:spacing w:val="-2"/>
              </w:rPr>
              <w:t>0.1328</w:t>
            </w:r>
          </w:p>
        </w:tc>
        <w:tc>
          <w:tcPr>
            <w:tcW w:w="1537" w:type="dxa"/>
            <w:vAlign w:val="top"/>
          </w:tcPr>
          <w:p w14:paraId="2F5DD5A1">
            <w:pPr>
              <w:pStyle w:val="6"/>
              <w:spacing w:before="104" w:line="188" w:lineRule="auto"/>
              <w:ind w:left="484"/>
            </w:pPr>
            <w:r>
              <w:rPr>
                <w:spacing w:val="-2"/>
              </w:rPr>
              <w:t>0.0664</w:t>
            </w:r>
          </w:p>
        </w:tc>
        <w:tc>
          <w:tcPr>
            <w:tcW w:w="1708" w:type="dxa"/>
            <w:vAlign w:val="top"/>
          </w:tcPr>
          <w:p w14:paraId="1885BB96">
            <w:pPr>
              <w:pStyle w:val="6"/>
              <w:spacing w:before="104" w:line="188" w:lineRule="auto"/>
              <w:ind w:left="570"/>
            </w:pPr>
            <w:r>
              <w:rPr>
                <w:spacing w:val="-2"/>
              </w:rPr>
              <w:t>0.0058</w:t>
            </w:r>
          </w:p>
        </w:tc>
        <w:tc>
          <w:tcPr>
            <w:tcW w:w="1540" w:type="dxa"/>
            <w:vAlign w:val="top"/>
          </w:tcPr>
          <w:p w14:paraId="065837E6">
            <w:pPr>
              <w:pStyle w:val="6"/>
              <w:spacing w:before="104" w:line="188" w:lineRule="auto"/>
              <w:ind w:left="485"/>
            </w:pPr>
            <w:r>
              <w:rPr>
                <w:spacing w:val="-2"/>
              </w:rPr>
              <w:t>0.0577</w:t>
            </w:r>
          </w:p>
        </w:tc>
      </w:tr>
      <w:tr w14:paraId="120D2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Align w:val="top"/>
          </w:tcPr>
          <w:p w14:paraId="7A3CEB5A">
            <w:pPr>
              <w:pStyle w:val="6"/>
              <w:spacing w:before="104" w:line="188" w:lineRule="auto"/>
              <w:ind w:left="568"/>
            </w:pPr>
            <w:r>
              <w:rPr>
                <w:spacing w:val="-1"/>
              </w:rPr>
              <w:t>25000.0</w:t>
            </w:r>
          </w:p>
        </w:tc>
        <w:tc>
          <w:tcPr>
            <w:tcW w:w="1708" w:type="dxa"/>
            <w:vAlign w:val="top"/>
          </w:tcPr>
          <w:p w14:paraId="5C5B01A7">
            <w:pPr>
              <w:pStyle w:val="6"/>
              <w:spacing w:before="104" w:line="188" w:lineRule="auto"/>
              <w:ind w:left="567"/>
            </w:pPr>
            <w:r>
              <w:rPr>
                <w:spacing w:val="-2"/>
              </w:rPr>
              <w:t>0.1050</w:t>
            </w:r>
          </w:p>
        </w:tc>
        <w:tc>
          <w:tcPr>
            <w:tcW w:w="1537" w:type="dxa"/>
            <w:vAlign w:val="top"/>
          </w:tcPr>
          <w:p w14:paraId="471A5545">
            <w:pPr>
              <w:pStyle w:val="6"/>
              <w:spacing w:before="104" w:line="188" w:lineRule="auto"/>
              <w:ind w:left="484"/>
            </w:pPr>
            <w:r>
              <w:rPr>
                <w:spacing w:val="-2"/>
              </w:rPr>
              <w:t>0.0525</w:t>
            </w:r>
          </w:p>
        </w:tc>
        <w:tc>
          <w:tcPr>
            <w:tcW w:w="1708" w:type="dxa"/>
            <w:vAlign w:val="top"/>
          </w:tcPr>
          <w:p w14:paraId="26FE2ED2">
            <w:pPr>
              <w:pStyle w:val="6"/>
              <w:spacing w:before="104" w:line="188" w:lineRule="auto"/>
              <w:ind w:left="570"/>
            </w:pPr>
            <w:r>
              <w:rPr>
                <w:spacing w:val="-2"/>
              </w:rPr>
              <w:t>0.0046</w:t>
            </w:r>
          </w:p>
        </w:tc>
        <w:tc>
          <w:tcPr>
            <w:tcW w:w="1540" w:type="dxa"/>
            <w:vAlign w:val="top"/>
          </w:tcPr>
          <w:p w14:paraId="46785A96">
            <w:pPr>
              <w:pStyle w:val="6"/>
              <w:spacing w:before="104" w:line="188" w:lineRule="auto"/>
              <w:ind w:left="485"/>
            </w:pPr>
            <w:r>
              <w:rPr>
                <w:spacing w:val="-2"/>
              </w:rPr>
              <w:t>0.0457</w:t>
            </w:r>
          </w:p>
        </w:tc>
      </w:tr>
    </w:tbl>
    <w:p w14:paraId="2D8A98C2">
      <w:pPr>
        <w:pStyle w:val="2"/>
      </w:pPr>
    </w:p>
    <w:p w14:paraId="343F8E52">
      <w:pPr>
        <w:sectPr>
          <w:footerReference r:id="rId305" w:type="default"/>
          <w:pgSz w:w="11905" w:h="16840"/>
          <w:pgMar w:top="1168" w:right="1768" w:bottom="1409" w:left="1770" w:header="828" w:footer="1244" w:gutter="0"/>
          <w:cols w:space="720" w:num="1"/>
        </w:sectPr>
      </w:pPr>
    </w:p>
    <w:p w14:paraId="395FB276">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0E57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65AD7661">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1290051E">
            <w:pPr>
              <w:spacing w:before="63" w:line="220" w:lineRule="auto"/>
              <w:ind w:left="2516"/>
              <w:rPr>
                <w:rFonts w:ascii="宋体" w:hAnsi="宋体" w:eastAsia="宋体" w:cs="宋体"/>
                <w:sz w:val="21"/>
                <w:szCs w:val="21"/>
              </w:rPr>
            </w:pPr>
            <w:r>
              <w:rPr>
                <w:rFonts w:ascii="宋体" w:hAnsi="宋体" w:eastAsia="宋体" w:cs="宋体"/>
                <w:spacing w:val="-2"/>
                <w:sz w:val="21"/>
                <w:szCs w:val="21"/>
              </w:rPr>
              <w:t>污水处理站面源</w:t>
            </w:r>
          </w:p>
        </w:tc>
      </w:tr>
      <w:tr w14:paraId="6DAA4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19" w:type="dxa"/>
            <w:vMerge w:val="continue"/>
            <w:tcBorders>
              <w:top w:val="nil"/>
            </w:tcBorders>
            <w:vAlign w:val="top"/>
          </w:tcPr>
          <w:p w14:paraId="6719F2C3">
            <w:pPr>
              <w:rPr>
                <w:rFonts w:ascii="Arial"/>
                <w:sz w:val="21"/>
              </w:rPr>
            </w:pPr>
          </w:p>
        </w:tc>
        <w:tc>
          <w:tcPr>
            <w:tcW w:w="1708" w:type="dxa"/>
            <w:vAlign w:val="top"/>
          </w:tcPr>
          <w:p w14:paraId="5ABF40E7">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688073A2">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48ADE9AF">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683E519B">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54A5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1CA990E2">
            <w:pPr>
              <w:spacing w:before="63" w:line="220" w:lineRule="auto"/>
              <w:ind w:left="184"/>
              <w:rPr>
                <w:rFonts w:ascii="宋体" w:hAnsi="宋体" w:eastAsia="宋体" w:cs="宋体"/>
                <w:sz w:val="21"/>
                <w:szCs w:val="21"/>
              </w:rPr>
            </w:pPr>
            <w:r>
              <w:rPr>
                <w:rFonts w:ascii="宋体" w:hAnsi="宋体" w:eastAsia="宋体" w:cs="宋体"/>
                <w:spacing w:val="-2"/>
                <w:sz w:val="21"/>
                <w:szCs w:val="21"/>
              </w:rPr>
              <w:t>下风向最大浓度</w:t>
            </w:r>
          </w:p>
        </w:tc>
        <w:tc>
          <w:tcPr>
            <w:tcW w:w="1708" w:type="dxa"/>
            <w:vAlign w:val="top"/>
          </w:tcPr>
          <w:p w14:paraId="4D51308A">
            <w:pPr>
              <w:pStyle w:val="6"/>
              <w:spacing w:before="100" w:line="188" w:lineRule="auto"/>
              <w:ind w:left="569"/>
            </w:pPr>
            <w:r>
              <w:rPr>
                <w:spacing w:val="-2"/>
              </w:rPr>
              <w:t>3.8863</w:t>
            </w:r>
          </w:p>
        </w:tc>
        <w:tc>
          <w:tcPr>
            <w:tcW w:w="1537" w:type="dxa"/>
            <w:vAlign w:val="top"/>
          </w:tcPr>
          <w:p w14:paraId="010A20C6">
            <w:pPr>
              <w:pStyle w:val="6"/>
              <w:spacing w:before="100" w:line="188" w:lineRule="auto"/>
              <w:ind w:left="501"/>
            </w:pPr>
            <w:r>
              <w:rPr>
                <w:spacing w:val="-5"/>
              </w:rPr>
              <w:t>1.9432</w:t>
            </w:r>
          </w:p>
        </w:tc>
        <w:tc>
          <w:tcPr>
            <w:tcW w:w="1708" w:type="dxa"/>
            <w:vAlign w:val="top"/>
          </w:tcPr>
          <w:p w14:paraId="7E684408">
            <w:pPr>
              <w:pStyle w:val="6"/>
              <w:spacing w:before="100" w:line="188" w:lineRule="auto"/>
              <w:ind w:left="569"/>
            </w:pPr>
            <w:r>
              <w:rPr>
                <w:spacing w:val="-2"/>
              </w:rPr>
              <w:t>0.1690</w:t>
            </w:r>
          </w:p>
        </w:tc>
        <w:tc>
          <w:tcPr>
            <w:tcW w:w="1540" w:type="dxa"/>
            <w:vAlign w:val="top"/>
          </w:tcPr>
          <w:p w14:paraId="7CAB5456">
            <w:pPr>
              <w:pStyle w:val="6"/>
              <w:spacing w:before="100" w:line="188" w:lineRule="auto"/>
              <w:ind w:left="502"/>
            </w:pPr>
            <w:r>
              <w:rPr>
                <w:spacing w:val="-5"/>
              </w:rPr>
              <w:t>1.6897</w:t>
            </w:r>
          </w:p>
        </w:tc>
      </w:tr>
      <w:tr w14:paraId="1FCF8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819" w:type="dxa"/>
            <w:vAlign w:val="top"/>
          </w:tcPr>
          <w:p w14:paraId="5E3349E8">
            <w:pPr>
              <w:spacing w:before="50" w:line="247" w:lineRule="auto"/>
              <w:ind w:left="511" w:right="173" w:hanging="327"/>
              <w:rPr>
                <w:rFonts w:ascii="宋体" w:hAnsi="宋体" w:eastAsia="宋体" w:cs="宋体"/>
                <w:sz w:val="21"/>
                <w:szCs w:val="21"/>
              </w:rPr>
            </w:pPr>
            <w:r>
              <w:rPr>
                <w:rFonts w:ascii="宋体" w:hAnsi="宋体" w:eastAsia="宋体" w:cs="宋体"/>
                <w:spacing w:val="-3"/>
                <w:sz w:val="21"/>
                <w:szCs w:val="21"/>
              </w:rPr>
              <w:t>下风向最大浓度</w:t>
            </w:r>
            <w:r>
              <w:rPr>
                <w:rFonts w:ascii="宋体" w:hAnsi="宋体" w:eastAsia="宋体" w:cs="宋体"/>
                <w:spacing w:val="-5"/>
                <w:sz w:val="21"/>
                <w:szCs w:val="21"/>
              </w:rPr>
              <w:t>出现距离</w:t>
            </w:r>
          </w:p>
        </w:tc>
        <w:tc>
          <w:tcPr>
            <w:tcW w:w="1708" w:type="dxa"/>
            <w:vAlign w:val="top"/>
          </w:tcPr>
          <w:p w14:paraId="36C53D72">
            <w:pPr>
              <w:pStyle w:val="6"/>
              <w:spacing w:before="242" w:line="188" w:lineRule="auto"/>
              <w:ind w:left="644"/>
            </w:pPr>
            <w:r>
              <w:rPr>
                <w:spacing w:val="-8"/>
              </w:rPr>
              <w:t>111.0</w:t>
            </w:r>
          </w:p>
        </w:tc>
        <w:tc>
          <w:tcPr>
            <w:tcW w:w="1537" w:type="dxa"/>
            <w:vAlign w:val="top"/>
          </w:tcPr>
          <w:p w14:paraId="426FF591">
            <w:pPr>
              <w:pStyle w:val="6"/>
              <w:spacing w:before="242" w:line="188" w:lineRule="auto"/>
              <w:ind w:left="561"/>
            </w:pPr>
            <w:r>
              <w:rPr>
                <w:spacing w:val="-8"/>
              </w:rPr>
              <w:t>111.0</w:t>
            </w:r>
          </w:p>
        </w:tc>
        <w:tc>
          <w:tcPr>
            <w:tcW w:w="1708" w:type="dxa"/>
            <w:vAlign w:val="top"/>
          </w:tcPr>
          <w:p w14:paraId="595B9C86">
            <w:pPr>
              <w:pStyle w:val="6"/>
              <w:spacing w:before="242" w:line="188" w:lineRule="auto"/>
              <w:ind w:left="646"/>
            </w:pPr>
            <w:r>
              <w:rPr>
                <w:spacing w:val="-8"/>
              </w:rPr>
              <w:t>111.0</w:t>
            </w:r>
          </w:p>
        </w:tc>
        <w:tc>
          <w:tcPr>
            <w:tcW w:w="1540" w:type="dxa"/>
            <w:vAlign w:val="top"/>
          </w:tcPr>
          <w:p w14:paraId="00897096">
            <w:pPr>
              <w:pStyle w:val="6"/>
              <w:spacing w:before="242" w:line="188" w:lineRule="auto"/>
              <w:ind w:left="562"/>
            </w:pPr>
            <w:r>
              <w:rPr>
                <w:spacing w:val="-8"/>
              </w:rPr>
              <w:t>111.0</w:t>
            </w:r>
          </w:p>
        </w:tc>
      </w:tr>
      <w:tr w14:paraId="65F71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13F82C7">
            <w:pPr>
              <w:pStyle w:val="6"/>
              <w:spacing w:before="64" w:line="220" w:lineRule="auto"/>
              <w:ind w:left="220"/>
              <w:rPr>
                <w:rFonts w:ascii="宋体" w:hAnsi="宋体" w:eastAsia="宋体" w:cs="宋体"/>
              </w:rPr>
            </w:pPr>
            <w:r>
              <w:rPr>
                <w:spacing w:val="-1"/>
              </w:rPr>
              <w:t>D10%</w:t>
            </w:r>
            <w:r>
              <w:rPr>
                <w:rFonts w:ascii="宋体" w:hAnsi="宋体" w:eastAsia="宋体" w:cs="宋体"/>
                <w:spacing w:val="-1"/>
              </w:rPr>
              <w:t>最远距离</w:t>
            </w:r>
          </w:p>
        </w:tc>
        <w:tc>
          <w:tcPr>
            <w:tcW w:w="1708" w:type="dxa"/>
            <w:vAlign w:val="top"/>
          </w:tcPr>
          <w:p w14:paraId="4CACA94D">
            <w:pPr>
              <w:pStyle w:val="6"/>
              <w:spacing w:before="97" w:line="192" w:lineRule="auto"/>
              <w:ind w:left="819"/>
            </w:pPr>
            <w:r>
              <w:t>/</w:t>
            </w:r>
          </w:p>
        </w:tc>
        <w:tc>
          <w:tcPr>
            <w:tcW w:w="1537" w:type="dxa"/>
            <w:vAlign w:val="top"/>
          </w:tcPr>
          <w:p w14:paraId="04558271">
            <w:pPr>
              <w:pStyle w:val="6"/>
              <w:spacing w:before="97" w:line="192" w:lineRule="auto"/>
              <w:ind w:left="736"/>
            </w:pPr>
            <w:r>
              <w:t>/</w:t>
            </w:r>
          </w:p>
        </w:tc>
        <w:tc>
          <w:tcPr>
            <w:tcW w:w="1708" w:type="dxa"/>
            <w:vAlign w:val="top"/>
          </w:tcPr>
          <w:p w14:paraId="1A029EC4">
            <w:pPr>
              <w:pStyle w:val="6"/>
              <w:spacing w:before="97" w:line="192" w:lineRule="auto"/>
              <w:ind w:left="822"/>
            </w:pPr>
            <w:r>
              <w:t>/</w:t>
            </w:r>
          </w:p>
        </w:tc>
        <w:tc>
          <w:tcPr>
            <w:tcW w:w="1540" w:type="dxa"/>
            <w:vAlign w:val="top"/>
          </w:tcPr>
          <w:p w14:paraId="12BBAB4A">
            <w:pPr>
              <w:pStyle w:val="6"/>
              <w:spacing w:before="97" w:line="192" w:lineRule="auto"/>
              <w:ind w:left="737"/>
            </w:pPr>
            <w:r>
              <w:t>/</w:t>
            </w:r>
          </w:p>
        </w:tc>
      </w:tr>
    </w:tbl>
    <w:p w14:paraId="5B08E300">
      <w:pPr>
        <w:spacing w:before="247" w:line="221" w:lineRule="auto"/>
        <w:ind w:left="268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6"/>
          <w:sz w:val="21"/>
          <w:szCs w:val="21"/>
        </w:rPr>
        <w:t xml:space="preserve"> </w:t>
      </w:r>
      <w:r>
        <w:rPr>
          <w:rFonts w:ascii="Times New Roman" w:hAnsi="Times New Roman" w:eastAsia="Times New Roman" w:cs="Times New Roman"/>
          <w:spacing w:val="-1"/>
          <w:sz w:val="21"/>
          <w:szCs w:val="21"/>
        </w:rPr>
        <w:t xml:space="preserve">4.2-11  </w:t>
      </w:r>
      <w:r>
        <w:rPr>
          <w:rFonts w:ascii="黑体" w:hAnsi="黑体" w:eastAsia="黑体" w:cs="黑体"/>
          <w:spacing w:val="-1"/>
          <w:sz w:val="21"/>
          <w:szCs w:val="21"/>
        </w:rPr>
        <w:t>堆粪棚点源预测结果表</w:t>
      </w:r>
    </w:p>
    <w:p w14:paraId="3C8AD6AA">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32749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9" w:type="dxa"/>
            <w:vMerge w:val="restart"/>
            <w:tcBorders>
              <w:bottom w:val="nil"/>
            </w:tcBorders>
            <w:vAlign w:val="top"/>
          </w:tcPr>
          <w:p w14:paraId="1C7250FD">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6000EF41">
            <w:pPr>
              <w:spacing w:before="63" w:line="220" w:lineRule="auto"/>
              <w:ind w:left="2725"/>
              <w:rPr>
                <w:rFonts w:ascii="宋体" w:hAnsi="宋体" w:eastAsia="宋体" w:cs="宋体"/>
                <w:sz w:val="21"/>
                <w:szCs w:val="21"/>
              </w:rPr>
            </w:pPr>
            <w:r>
              <w:rPr>
                <w:rFonts w:ascii="宋体" w:hAnsi="宋体" w:eastAsia="宋体" w:cs="宋体"/>
                <w:spacing w:val="-2"/>
                <w:sz w:val="21"/>
                <w:szCs w:val="21"/>
              </w:rPr>
              <w:t>堆粪棚点源</w:t>
            </w:r>
          </w:p>
        </w:tc>
      </w:tr>
      <w:tr w14:paraId="6501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Merge w:val="continue"/>
            <w:tcBorders>
              <w:top w:val="nil"/>
            </w:tcBorders>
            <w:vAlign w:val="top"/>
          </w:tcPr>
          <w:p w14:paraId="409096F7">
            <w:pPr>
              <w:rPr>
                <w:rFonts w:ascii="Arial"/>
                <w:sz w:val="21"/>
              </w:rPr>
            </w:pPr>
          </w:p>
        </w:tc>
        <w:tc>
          <w:tcPr>
            <w:tcW w:w="1708" w:type="dxa"/>
            <w:vAlign w:val="top"/>
          </w:tcPr>
          <w:p w14:paraId="3242D99C">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30B750EA">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5F28EC2A">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13A06C10">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5076A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40E2B97">
            <w:pPr>
              <w:pStyle w:val="6"/>
              <w:spacing w:before="98" w:line="188" w:lineRule="auto"/>
              <w:ind w:left="732"/>
            </w:pPr>
            <w:r>
              <w:rPr>
                <w:spacing w:val="-3"/>
              </w:rPr>
              <w:t>50.0</w:t>
            </w:r>
          </w:p>
        </w:tc>
        <w:tc>
          <w:tcPr>
            <w:tcW w:w="1708" w:type="dxa"/>
            <w:vAlign w:val="top"/>
          </w:tcPr>
          <w:p w14:paraId="1A913847">
            <w:pPr>
              <w:pStyle w:val="6"/>
              <w:spacing w:before="98" w:line="188" w:lineRule="auto"/>
              <w:ind w:left="567"/>
            </w:pPr>
            <w:r>
              <w:rPr>
                <w:spacing w:val="-2"/>
              </w:rPr>
              <w:t>0.0883</w:t>
            </w:r>
          </w:p>
        </w:tc>
        <w:tc>
          <w:tcPr>
            <w:tcW w:w="1537" w:type="dxa"/>
            <w:vAlign w:val="top"/>
          </w:tcPr>
          <w:p w14:paraId="03A44B3C">
            <w:pPr>
              <w:pStyle w:val="6"/>
              <w:spacing w:before="98" w:line="188" w:lineRule="auto"/>
              <w:ind w:left="484"/>
            </w:pPr>
            <w:r>
              <w:rPr>
                <w:spacing w:val="-2"/>
              </w:rPr>
              <w:t>0.0441</w:t>
            </w:r>
          </w:p>
        </w:tc>
        <w:tc>
          <w:tcPr>
            <w:tcW w:w="1708" w:type="dxa"/>
            <w:vAlign w:val="top"/>
          </w:tcPr>
          <w:p w14:paraId="3030C9CB">
            <w:pPr>
              <w:pStyle w:val="6"/>
              <w:spacing w:before="98" w:line="188" w:lineRule="auto"/>
              <w:ind w:left="570"/>
            </w:pPr>
            <w:r>
              <w:rPr>
                <w:spacing w:val="-2"/>
              </w:rPr>
              <w:t>0.0084</w:t>
            </w:r>
          </w:p>
        </w:tc>
        <w:tc>
          <w:tcPr>
            <w:tcW w:w="1540" w:type="dxa"/>
            <w:vAlign w:val="top"/>
          </w:tcPr>
          <w:p w14:paraId="1A844D76">
            <w:pPr>
              <w:pStyle w:val="6"/>
              <w:spacing w:before="98" w:line="188" w:lineRule="auto"/>
              <w:ind w:left="485"/>
            </w:pPr>
            <w:r>
              <w:rPr>
                <w:spacing w:val="-2"/>
              </w:rPr>
              <w:t>0.0841</w:t>
            </w:r>
          </w:p>
        </w:tc>
      </w:tr>
      <w:tr w14:paraId="38A92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E629941">
            <w:pPr>
              <w:pStyle w:val="6"/>
              <w:spacing w:before="99" w:line="188" w:lineRule="auto"/>
              <w:ind w:left="693"/>
            </w:pPr>
            <w:r>
              <w:rPr>
                <w:spacing w:val="-5"/>
              </w:rPr>
              <w:t>100.0</w:t>
            </w:r>
          </w:p>
        </w:tc>
        <w:tc>
          <w:tcPr>
            <w:tcW w:w="1708" w:type="dxa"/>
            <w:vAlign w:val="top"/>
          </w:tcPr>
          <w:p w14:paraId="7CEE1ED7">
            <w:pPr>
              <w:pStyle w:val="6"/>
              <w:spacing w:before="99" w:line="188" w:lineRule="auto"/>
              <w:ind w:left="567"/>
            </w:pPr>
            <w:r>
              <w:rPr>
                <w:spacing w:val="-2"/>
              </w:rPr>
              <w:t>0.1398</w:t>
            </w:r>
          </w:p>
        </w:tc>
        <w:tc>
          <w:tcPr>
            <w:tcW w:w="1537" w:type="dxa"/>
            <w:vAlign w:val="top"/>
          </w:tcPr>
          <w:p w14:paraId="0A59778A">
            <w:pPr>
              <w:pStyle w:val="6"/>
              <w:spacing w:before="99" w:line="188" w:lineRule="auto"/>
              <w:ind w:left="484"/>
            </w:pPr>
            <w:r>
              <w:rPr>
                <w:spacing w:val="-2"/>
              </w:rPr>
              <w:t>0.0699</w:t>
            </w:r>
          </w:p>
        </w:tc>
        <w:tc>
          <w:tcPr>
            <w:tcW w:w="1708" w:type="dxa"/>
            <w:vAlign w:val="top"/>
          </w:tcPr>
          <w:p w14:paraId="61CA725B">
            <w:pPr>
              <w:pStyle w:val="6"/>
              <w:spacing w:before="99" w:line="188" w:lineRule="auto"/>
              <w:ind w:left="570"/>
            </w:pPr>
            <w:r>
              <w:rPr>
                <w:spacing w:val="-2"/>
              </w:rPr>
              <w:t>0.0133</w:t>
            </w:r>
          </w:p>
        </w:tc>
        <w:tc>
          <w:tcPr>
            <w:tcW w:w="1540" w:type="dxa"/>
            <w:vAlign w:val="top"/>
          </w:tcPr>
          <w:p w14:paraId="57941685">
            <w:pPr>
              <w:pStyle w:val="6"/>
              <w:spacing w:before="99" w:line="188" w:lineRule="auto"/>
              <w:ind w:left="485"/>
            </w:pPr>
            <w:r>
              <w:rPr>
                <w:spacing w:val="-2"/>
              </w:rPr>
              <w:t>0.1332</w:t>
            </w:r>
          </w:p>
        </w:tc>
      </w:tr>
      <w:tr w14:paraId="62B46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90FBDC6">
            <w:pPr>
              <w:pStyle w:val="6"/>
              <w:spacing w:before="99" w:line="188" w:lineRule="auto"/>
              <w:ind w:left="673"/>
            </w:pPr>
            <w:r>
              <w:rPr>
                <w:spacing w:val="-1"/>
              </w:rPr>
              <w:t>200.0</w:t>
            </w:r>
          </w:p>
        </w:tc>
        <w:tc>
          <w:tcPr>
            <w:tcW w:w="1708" w:type="dxa"/>
            <w:vAlign w:val="top"/>
          </w:tcPr>
          <w:p w14:paraId="0F8383FD">
            <w:pPr>
              <w:pStyle w:val="6"/>
              <w:spacing w:before="99" w:line="188" w:lineRule="auto"/>
              <w:ind w:left="567"/>
            </w:pPr>
            <w:r>
              <w:rPr>
                <w:spacing w:val="-2"/>
              </w:rPr>
              <w:t>0.1880</w:t>
            </w:r>
          </w:p>
        </w:tc>
        <w:tc>
          <w:tcPr>
            <w:tcW w:w="1537" w:type="dxa"/>
            <w:vAlign w:val="top"/>
          </w:tcPr>
          <w:p w14:paraId="1ED716C5">
            <w:pPr>
              <w:pStyle w:val="6"/>
              <w:spacing w:before="99" w:line="188" w:lineRule="auto"/>
              <w:ind w:left="484"/>
            </w:pPr>
            <w:r>
              <w:rPr>
                <w:spacing w:val="-2"/>
              </w:rPr>
              <w:t>0.0940</w:t>
            </w:r>
          </w:p>
        </w:tc>
        <w:tc>
          <w:tcPr>
            <w:tcW w:w="1708" w:type="dxa"/>
            <w:vAlign w:val="top"/>
          </w:tcPr>
          <w:p w14:paraId="55C77EE8">
            <w:pPr>
              <w:pStyle w:val="6"/>
              <w:spacing w:before="99" w:line="188" w:lineRule="auto"/>
              <w:ind w:left="570"/>
            </w:pPr>
            <w:r>
              <w:rPr>
                <w:spacing w:val="-2"/>
              </w:rPr>
              <w:t>0.0179</w:t>
            </w:r>
          </w:p>
        </w:tc>
        <w:tc>
          <w:tcPr>
            <w:tcW w:w="1540" w:type="dxa"/>
            <w:vAlign w:val="top"/>
          </w:tcPr>
          <w:p w14:paraId="5A21BFC4">
            <w:pPr>
              <w:pStyle w:val="6"/>
              <w:spacing w:before="99" w:line="188" w:lineRule="auto"/>
              <w:ind w:left="485"/>
            </w:pPr>
            <w:r>
              <w:rPr>
                <w:spacing w:val="-2"/>
              </w:rPr>
              <w:t>0.1790</w:t>
            </w:r>
          </w:p>
        </w:tc>
      </w:tr>
      <w:tr w14:paraId="76136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1B58FB7">
            <w:pPr>
              <w:pStyle w:val="6"/>
              <w:spacing w:before="99" w:line="188" w:lineRule="auto"/>
              <w:ind w:left="678"/>
            </w:pPr>
            <w:r>
              <w:rPr>
                <w:spacing w:val="-2"/>
              </w:rPr>
              <w:t>300.0</w:t>
            </w:r>
          </w:p>
        </w:tc>
        <w:tc>
          <w:tcPr>
            <w:tcW w:w="1708" w:type="dxa"/>
            <w:vAlign w:val="top"/>
          </w:tcPr>
          <w:p w14:paraId="458C29E7">
            <w:pPr>
              <w:pStyle w:val="6"/>
              <w:spacing w:before="99" w:line="188" w:lineRule="auto"/>
              <w:ind w:left="567"/>
            </w:pPr>
            <w:r>
              <w:rPr>
                <w:spacing w:val="-2"/>
              </w:rPr>
              <w:t>0.1670</w:t>
            </w:r>
          </w:p>
        </w:tc>
        <w:tc>
          <w:tcPr>
            <w:tcW w:w="1537" w:type="dxa"/>
            <w:vAlign w:val="top"/>
          </w:tcPr>
          <w:p w14:paraId="35DF458F">
            <w:pPr>
              <w:pStyle w:val="6"/>
              <w:spacing w:before="99" w:line="188" w:lineRule="auto"/>
              <w:ind w:left="484"/>
            </w:pPr>
            <w:r>
              <w:rPr>
                <w:spacing w:val="-2"/>
              </w:rPr>
              <w:t>0.0835</w:t>
            </w:r>
          </w:p>
        </w:tc>
        <w:tc>
          <w:tcPr>
            <w:tcW w:w="1708" w:type="dxa"/>
            <w:vAlign w:val="top"/>
          </w:tcPr>
          <w:p w14:paraId="68BD61BD">
            <w:pPr>
              <w:pStyle w:val="6"/>
              <w:spacing w:before="99" w:line="188" w:lineRule="auto"/>
              <w:ind w:left="570"/>
            </w:pPr>
            <w:r>
              <w:rPr>
                <w:spacing w:val="-2"/>
              </w:rPr>
              <w:t>0.0159</w:t>
            </w:r>
          </w:p>
        </w:tc>
        <w:tc>
          <w:tcPr>
            <w:tcW w:w="1540" w:type="dxa"/>
            <w:vAlign w:val="top"/>
          </w:tcPr>
          <w:p w14:paraId="329C25F5">
            <w:pPr>
              <w:pStyle w:val="6"/>
              <w:spacing w:before="99" w:line="188" w:lineRule="auto"/>
              <w:ind w:left="485"/>
            </w:pPr>
            <w:r>
              <w:rPr>
                <w:spacing w:val="-2"/>
              </w:rPr>
              <w:t>0.1590</w:t>
            </w:r>
          </w:p>
        </w:tc>
      </w:tr>
      <w:tr w14:paraId="57968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5D593BB0">
            <w:pPr>
              <w:pStyle w:val="6"/>
              <w:spacing w:before="99" w:line="188" w:lineRule="auto"/>
              <w:ind w:left="672"/>
            </w:pPr>
            <w:r>
              <w:rPr>
                <w:spacing w:val="-1"/>
              </w:rPr>
              <w:t>400.0</w:t>
            </w:r>
          </w:p>
        </w:tc>
        <w:tc>
          <w:tcPr>
            <w:tcW w:w="1708" w:type="dxa"/>
            <w:vAlign w:val="top"/>
          </w:tcPr>
          <w:p w14:paraId="64E73D8C">
            <w:pPr>
              <w:pStyle w:val="6"/>
              <w:spacing w:before="99" w:line="188" w:lineRule="auto"/>
              <w:ind w:left="567"/>
            </w:pPr>
            <w:r>
              <w:rPr>
                <w:spacing w:val="-2"/>
              </w:rPr>
              <w:t>0.1340</w:t>
            </w:r>
          </w:p>
        </w:tc>
        <w:tc>
          <w:tcPr>
            <w:tcW w:w="1537" w:type="dxa"/>
            <w:vAlign w:val="top"/>
          </w:tcPr>
          <w:p w14:paraId="54FC3A05">
            <w:pPr>
              <w:pStyle w:val="6"/>
              <w:spacing w:before="99" w:line="188" w:lineRule="auto"/>
              <w:ind w:left="484"/>
            </w:pPr>
            <w:r>
              <w:rPr>
                <w:spacing w:val="-2"/>
              </w:rPr>
              <w:t>0.0670</w:t>
            </w:r>
          </w:p>
        </w:tc>
        <w:tc>
          <w:tcPr>
            <w:tcW w:w="1708" w:type="dxa"/>
            <w:vAlign w:val="top"/>
          </w:tcPr>
          <w:p w14:paraId="5997C223">
            <w:pPr>
              <w:pStyle w:val="6"/>
              <w:spacing w:before="99" w:line="188" w:lineRule="auto"/>
              <w:ind w:left="570"/>
            </w:pPr>
            <w:r>
              <w:rPr>
                <w:spacing w:val="-2"/>
              </w:rPr>
              <w:t>0.0128</w:t>
            </w:r>
          </w:p>
        </w:tc>
        <w:tc>
          <w:tcPr>
            <w:tcW w:w="1540" w:type="dxa"/>
            <w:vAlign w:val="top"/>
          </w:tcPr>
          <w:p w14:paraId="5BF40571">
            <w:pPr>
              <w:pStyle w:val="6"/>
              <w:spacing w:before="99" w:line="188" w:lineRule="auto"/>
              <w:ind w:left="485"/>
            </w:pPr>
            <w:r>
              <w:rPr>
                <w:spacing w:val="-2"/>
              </w:rPr>
              <w:t>0.1276</w:t>
            </w:r>
          </w:p>
        </w:tc>
      </w:tr>
      <w:tr w14:paraId="39A49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4263CB1">
            <w:pPr>
              <w:pStyle w:val="6"/>
              <w:spacing w:before="99" w:line="188" w:lineRule="auto"/>
              <w:ind w:left="679"/>
            </w:pPr>
            <w:r>
              <w:rPr>
                <w:spacing w:val="-2"/>
              </w:rPr>
              <w:t>500.0</w:t>
            </w:r>
          </w:p>
        </w:tc>
        <w:tc>
          <w:tcPr>
            <w:tcW w:w="1708" w:type="dxa"/>
            <w:vAlign w:val="top"/>
          </w:tcPr>
          <w:p w14:paraId="4078D108">
            <w:pPr>
              <w:pStyle w:val="6"/>
              <w:spacing w:before="99" w:line="188" w:lineRule="auto"/>
              <w:ind w:left="571"/>
            </w:pPr>
            <w:r>
              <w:rPr>
                <w:spacing w:val="-3"/>
              </w:rPr>
              <w:t>0.1101</w:t>
            </w:r>
          </w:p>
        </w:tc>
        <w:tc>
          <w:tcPr>
            <w:tcW w:w="1537" w:type="dxa"/>
            <w:vAlign w:val="top"/>
          </w:tcPr>
          <w:p w14:paraId="4DA88095">
            <w:pPr>
              <w:pStyle w:val="6"/>
              <w:spacing w:before="99" w:line="188" w:lineRule="auto"/>
              <w:ind w:left="484"/>
            </w:pPr>
            <w:r>
              <w:rPr>
                <w:spacing w:val="-2"/>
              </w:rPr>
              <w:t>0.0550</w:t>
            </w:r>
          </w:p>
        </w:tc>
        <w:tc>
          <w:tcPr>
            <w:tcW w:w="1708" w:type="dxa"/>
            <w:vAlign w:val="top"/>
          </w:tcPr>
          <w:p w14:paraId="35163A02">
            <w:pPr>
              <w:pStyle w:val="6"/>
              <w:spacing w:before="99" w:line="188" w:lineRule="auto"/>
              <w:ind w:left="569"/>
            </w:pPr>
            <w:r>
              <w:rPr>
                <w:spacing w:val="-2"/>
              </w:rPr>
              <w:t>0.0105</w:t>
            </w:r>
          </w:p>
        </w:tc>
        <w:tc>
          <w:tcPr>
            <w:tcW w:w="1540" w:type="dxa"/>
            <w:vAlign w:val="top"/>
          </w:tcPr>
          <w:p w14:paraId="01C0F3D8">
            <w:pPr>
              <w:pStyle w:val="6"/>
              <w:spacing w:before="99" w:line="188" w:lineRule="auto"/>
              <w:ind w:left="485"/>
            </w:pPr>
            <w:r>
              <w:rPr>
                <w:spacing w:val="-2"/>
              </w:rPr>
              <w:t>0.1048</w:t>
            </w:r>
          </w:p>
        </w:tc>
      </w:tr>
      <w:tr w14:paraId="31AD0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5F743DDE">
            <w:pPr>
              <w:pStyle w:val="6"/>
              <w:spacing w:before="99" w:line="188" w:lineRule="auto"/>
              <w:ind w:left="678"/>
            </w:pPr>
            <w:r>
              <w:rPr>
                <w:spacing w:val="-2"/>
              </w:rPr>
              <w:t>600.0</w:t>
            </w:r>
          </w:p>
        </w:tc>
        <w:tc>
          <w:tcPr>
            <w:tcW w:w="1708" w:type="dxa"/>
            <w:vAlign w:val="top"/>
          </w:tcPr>
          <w:p w14:paraId="59F58E46">
            <w:pPr>
              <w:pStyle w:val="6"/>
              <w:spacing w:before="99" w:line="188" w:lineRule="auto"/>
              <w:ind w:left="567"/>
            </w:pPr>
            <w:r>
              <w:rPr>
                <w:spacing w:val="-2"/>
              </w:rPr>
              <w:t>0.0995</w:t>
            </w:r>
          </w:p>
        </w:tc>
        <w:tc>
          <w:tcPr>
            <w:tcW w:w="1537" w:type="dxa"/>
            <w:vAlign w:val="top"/>
          </w:tcPr>
          <w:p w14:paraId="2F0922A4">
            <w:pPr>
              <w:pStyle w:val="6"/>
              <w:spacing w:before="99" w:line="188" w:lineRule="auto"/>
              <w:ind w:left="484"/>
            </w:pPr>
            <w:r>
              <w:rPr>
                <w:spacing w:val="-2"/>
              </w:rPr>
              <w:t>0.0497</w:t>
            </w:r>
          </w:p>
        </w:tc>
        <w:tc>
          <w:tcPr>
            <w:tcW w:w="1708" w:type="dxa"/>
            <w:vAlign w:val="top"/>
          </w:tcPr>
          <w:p w14:paraId="3579522A">
            <w:pPr>
              <w:pStyle w:val="6"/>
              <w:spacing w:before="99" w:line="188" w:lineRule="auto"/>
              <w:ind w:left="570"/>
            </w:pPr>
            <w:r>
              <w:rPr>
                <w:spacing w:val="-2"/>
              </w:rPr>
              <w:t>0.0095</w:t>
            </w:r>
          </w:p>
        </w:tc>
        <w:tc>
          <w:tcPr>
            <w:tcW w:w="1540" w:type="dxa"/>
            <w:vAlign w:val="top"/>
          </w:tcPr>
          <w:p w14:paraId="263D3651">
            <w:pPr>
              <w:pStyle w:val="6"/>
              <w:spacing w:before="99" w:line="188" w:lineRule="auto"/>
              <w:ind w:left="485"/>
            </w:pPr>
            <w:r>
              <w:rPr>
                <w:spacing w:val="-2"/>
              </w:rPr>
              <w:t>0.0948</w:t>
            </w:r>
          </w:p>
        </w:tc>
      </w:tr>
      <w:tr w14:paraId="25C59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F6A8C6B">
            <w:pPr>
              <w:pStyle w:val="6"/>
              <w:spacing w:before="100" w:line="188" w:lineRule="auto"/>
              <w:ind w:left="677"/>
            </w:pPr>
            <w:r>
              <w:rPr>
                <w:spacing w:val="-2"/>
              </w:rPr>
              <w:t>700.0</w:t>
            </w:r>
          </w:p>
        </w:tc>
        <w:tc>
          <w:tcPr>
            <w:tcW w:w="1708" w:type="dxa"/>
            <w:vAlign w:val="top"/>
          </w:tcPr>
          <w:p w14:paraId="24D12E71">
            <w:pPr>
              <w:pStyle w:val="6"/>
              <w:spacing w:before="100" w:line="188" w:lineRule="auto"/>
              <w:ind w:left="567"/>
            </w:pPr>
            <w:r>
              <w:rPr>
                <w:spacing w:val="-2"/>
              </w:rPr>
              <w:t>0.0967</w:t>
            </w:r>
          </w:p>
        </w:tc>
        <w:tc>
          <w:tcPr>
            <w:tcW w:w="1537" w:type="dxa"/>
            <w:vAlign w:val="top"/>
          </w:tcPr>
          <w:p w14:paraId="7CEF66BE">
            <w:pPr>
              <w:pStyle w:val="6"/>
              <w:spacing w:before="100" w:line="188" w:lineRule="auto"/>
              <w:ind w:left="484"/>
            </w:pPr>
            <w:r>
              <w:rPr>
                <w:spacing w:val="-2"/>
              </w:rPr>
              <w:t>0.0484</w:t>
            </w:r>
          </w:p>
        </w:tc>
        <w:tc>
          <w:tcPr>
            <w:tcW w:w="1708" w:type="dxa"/>
            <w:vAlign w:val="top"/>
          </w:tcPr>
          <w:p w14:paraId="3D882454">
            <w:pPr>
              <w:pStyle w:val="6"/>
              <w:spacing w:before="100" w:line="188" w:lineRule="auto"/>
              <w:ind w:left="570"/>
            </w:pPr>
            <w:r>
              <w:rPr>
                <w:spacing w:val="-2"/>
              </w:rPr>
              <w:t>0.0092</w:t>
            </w:r>
          </w:p>
        </w:tc>
        <w:tc>
          <w:tcPr>
            <w:tcW w:w="1540" w:type="dxa"/>
            <w:vAlign w:val="top"/>
          </w:tcPr>
          <w:p w14:paraId="70E41874">
            <w:pPr>
              <w:pStyle w:val="6"/>
              <w:spacing w:before="100" w:line="188" w:lineRule="auto"/>
              <w:ind w:left="485"/>
            </w:pPr>
            <w:r>
              <w:rPr>
                <w:spacing w:val="-2"/>
              </w:rPr>
              <w:t>0.0921</w:t>
            </w:r>
          </w:p>
        </w:tc>
      </w:tr>
      <w:tr w14:paraId="51079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0FBBFEEE">
            <w:pPr>
              <w:pStyle w:val="6"/>
              <w:spacing w:before="100" w:line="188" w:lineRule="auto"/>
              <w:ind w:left="682"/>
            </w:pPr>
            <w:r>
              <w:rPr>
                <w:spacing w:val="-3"/>
              </w:rPr>
              <w:t>800.0</w:t>
            </w:r>
          </w:p>
        </w:tc>
        <w:tc>
          <w:tcPr>
            <w:tcW w:w="1708" w:type="dxa"/>
            <w:vAlign w:val="top"/>
          </w:tcPr>
          <w:p w14:paraId="4D5AE758">
            <w:pPr>
              <w:pStyle w:val="6"/>
              <w:spacing w:before="100" w:line="188" w:lineRule="auto"/>
              <w:ind w:left="567"/>
            </w:pPr>
            <w:r>
              <w:rPr>
                <w:spacing w:val="-2"/>
              </w:rPr>
              <w:t>0.1528</w:t>
            </w:r>
          </w:p>
        </w:tc>
        <w:tc>
          <w:tcPr>
            <w:tcW w:w="1537" w:type="dxa"/>
            <w:vAlign w:val="top"/>
          </w:tcPr>
          <w:p w14:paraId="13BE8279">
            <w:pPr>
              <w:pStyle w:val="6"/>
              <w:spacing w:before="100" w:line="188" w:lineRule="auto"/>
              <w:ind w:left="484"/>
            </w:pPr>
            <w:r>
              <w:rPr>
                <w:spacing w:val="-2"/>
              </w:rPr>
              <w:t>0.0764</w:t>
            </w:r>
          </w:p>
        </w:tc>
        <w:tc>
          <w:tcPr>
            <w:tcW w:w="1708" w:type="dxa"/>
            <w:vAlign w:val="top"/>
          </w:tcPr>
          <w:p w14:paraId="15319D93">
            <w:pPr>
              <w:pStyle w:val="6"/>
              <w:spacing w:before="100" w:line="188" w:lineRule="auto"/>
              <w:ind w:left="570"/>
            </w:pPr>
            <w:r>
              <w:rPr>
                <w:spacing w:val="-2"/>
              </w:rPr>
              <w:t>0.0146</w:t>
            </w:r>
          </w:p>
        </w:tc>
        <w:tc>
          <w:tcPr>
            <w:tcW w:w="1540" w:type="dxa"/>
            <w:vAlign w:val="top"/>
          </w:tcPr>
          <w:p w14:paraId="0FDFFDF3">
            <w:pPr>
              <w:pStyle w:val="6"/>
              <w:spacing w:before="100" w:line="188" w:lineRule="auto"/>
              <w:ind w:left="485"/>
            </w:pPr>
            <w:r>
              <w:rPr>
                <w:spacing w:val="-2"/>
              </w:rPr>
              <w:t>0.1455</w:t>
            </w:r>
          </w:p>
        </w:tc>
      </w:tr>
      <w:tr w14:paraId="7BB8C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AFE4C02">
            <w:pPr>
              <w:pStyle w:val="6"/>
              <w:spacing w:before="101" w:line="188" w:lineRule="auto"/>
              <w:ind w:left="677"/>
            </w:pPr>
            <w:r>
              <w:rPr>
                <w:spacing w:val="-2"/>
              </w:rPr>
              <w:t>900.0</w:t>
            </w:r>
          </w:p>
        </w:tc>
        <w:tc>
          <w:tcPr>
            <w:tcW w:w="1708" w:type="dxa"/>
            <w:vAlign w:val="top"/>
          </w:tcPr>
          <w:p w14:paraId="665F11A6">
            <w:pPr>
              <w:pStyle w:val="6"/>
              <w:spacing w:before="101" w:line="188" w:lineRule="auto"/>
              <w:ind w:left="567"/>
            </w:pPr>
            <w:r>
              <w:rPr>
                <w:spacing w:val="-2"/>
              </w:rPr>
              <w:t>0.0845</w:t>
            </w:r>
          </w:p>
        </w:tc>
        <w:tc>
          <w:tcPr>
            <w:tcW w:w="1537" w:type="dxa"/>
            <w:vAlign w:val="top"/>
          </w:tcPr>
          <w:p w14:paraId="10246CA8">
            <w:pPr>
              <w:pStyle w:val="6"/>
              <w:spacing w:before="101" w:line="188" w:lineRule="auto"/>
              <w:ind w:left="484"/>
            </w:pPr>
            <w:r>
              <w:rPr>
                <w:spacing w:val="-2"/>
              </w:rPr>
              <w:t>0.0422</w:t>
            </w:r>
          </w:p>
        </w:tc>
        <w:tc>
          <w:tcPr>
            <w:tcW w:w="1708" w:type="dxa"/>
            <w:vAlign w:val="top"/>
          </w:tcPr>
          <w:p w14:paraId="6D7818BA">
            <w:pPr>
              <w:pStyle w:val="6"/>
              <w:spacing w:before="101" w:line="188" w:lineRule="auto"/>
              <w:ind w:left="570"/>
            </w:pPr>
            <w:r>
              <w:rPr>
                <w:spacing w:val="-2"/>
              </w:rPr>
              <w:t>0.0080</w:t>
            </w:r>
          </w:p>
        </w:tc>
        <w:tc>
          <w:tcPr>
            <w:tcW w:w="1540" w:type="dxa"/>
            <w:vAlign w:val="top"/>
          </w:tcPr>
          <w:p w14:paraId="78B26C4E">
            <w:pPr>
              <w:pStyle w:val="6"/>
              <w:spacing w:before="101" w:line="188" w:lineRule="auto"/>
              <w:ind w:left="485"/>
            </w:pPr>
            <w:r>
              <w:rPr>
                <w:spacing w:val="-2"/>
              </w:rPr>
              <w:t>0.0804</w:t>
            </w:r>
          </w:p>
        </w:tc>
      </w:tr>
      <w:tr w14:paraId="5245E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68A591D4">
            <w:pPr>
              <w:pStyle w:val="6"/>
              <w:spacing w:before="101" w:line="188" w:lineRule="auto"/>
              <w:ind w:left="641"/>
            </w:pPr>
            <w:r>
              <w:rPr>
                <w:spacing w:val="-4"/>
              </w:rPr>
              <w:t>1000.0</w:t>
            </w:r>
          </w:p>
        </w:tc>
        <w:tc>
          <w:tcPr>
            <w:tcW w:w="1708" w:type="dxa"/>
            <w:vAlign w:val="top"/>
          </w:tcPr>
          <w:p w14:paraId="6339D109">
            <w:pPr>
              <w:pStyle w:val="6"/>
              <w:spacing w:before="101" w:line="188" w:lineRule="auto"/>
              <w:ind w:left="567"/>
            </w:pPr>
            <w:r>
              <w:rPr>
                <w:spacing w:val="-2"/>
              </w:rPr>
              <w:t>0.2654</w:t>
            </w:r>
          </w:p>
        </w:tc>
        <w:tc>
          <w:tcPr>
            <w:tcW w:w="1537" w:type="dxa"/>
            <w:vAlign w:val="top"/>
          </w:tcPr>
          <w:p w14:paraId="67653283">
            <w:pPr>
              <w:pStyle w:val="6"/>
              <w:spacing w:before="101" w:line="188" w:lineRule="auto"/>
              <w:ind w:left="484"/>
            </w:pPr>
            <w:r>
              <w:rPr>
                <w:spacing w:val="-2"/>
              </w:rPr>
              <w:t>0.1327</w:t>
            </w:r>
          </w:p>
        </w:tc>
        <w:tc>
          <w:tcPr>
            <w:tcW w:w="1708" w:type="dxa"/>
            <w:vAlign w:val="top"/>
          </w:tcPr>
          <w:p w14:paraId="347A1D26">
            <w:pPr>
              <w:pStyle w:val="6"/>
              <w:spacing w:before="101" w:line="188" w:lineRule="auto"/>
              <w:ind w:left="570"/>
            </w:pPr>
            <w:r>
              <w:rPr>
                <w:spacing w:val="-2"/>
              </w:rPr>
              <w:t>0.0253</w:t>
            </w:r>
          </w:p>
        </w:tc>
        <w:tc>
          <w:tcPr>
            <w:tcW w:w="1540" w:type="dxa"/>
            <w:vAlign w:val="top"/>
          </w:tcPr>
          <w:p w14:paraId="7F15E85E">
            <w:pPr>
              <w:pStyle w:val="6"/>
              <w:spacing w:before="101" w:line="188" w:lineRule="auto"/>
              <w:ind w:left="485"/>
            </w:pPr>
            <w:r>
              <w:rPr>
                <w:spacing w:val="-2"/>
              </w:rPr>
              <w:t>0.2528</w:t>
            </w:r>
          </w:p>
        </w:tc>
      </w:tr>
      <w:tr w14:paraId="0F848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03140477">
            <w:pPr>
              <w:pStyle w:val="6"/>
              <w:spacing w:before="101" w:line="188" w:lineRule="auto"/>
              <w:ind w:left="641"/>
            </w:pPr>
            <w:r>
              <w:rPr>
                <w:spacing w:val="-4"/>
              </w:rPr>
              <w:t>1200.0</w:t>
            </w:r>
          </w:p>
        </w:tc>
        <w:tc>
          <w:tcPr>
            <w:tcW w:w="1708" w:type="dxa"/>
            <w:vAlign w:val="top"/>
          </w:tcPr>
          <w:p w14:paraId="1673D03C">
            <w:pPr>
              <w:pStyle w:val="6"/>
              <w:spacing w:before="101" w:line="188" w:lineRule="auto"/>
              <w:ind w:left="567"/>
            </w:pPr>
            <w:r>
              <w:rPr>
                <w:spacing w:val="-2"/>
              </w:rPr>
              <w:t>0.3048</w:t>
            </w:r>
          </w:p>
        </w:tc>
        <w:tc>
          <w:tcPr>
            <w:tcW w:w="1537" w:type="dxa"/>
            <w:vAlign w:val="top"/>
          </w:tcPr>
          <w:p w14:paraId="2AE7526B">
            <w:pPr>
              <w:pStyle w:val="6"/>
              <w:spacing w:before="101" w:line="188" w:lineRule="auto"/>
              <w:ind w:left="484"/>
            </w:pPr>
            <w:r>
              <w:rPr>
                <w:spacing w:val="-2"/>
              </w:rPr>
              <w:t>0.1524</w:t>
            </w:r>
          </w:p>
        </w:tc>
        <w:tc>
          <w:tcPr>
            <w:tcW w:w="1708" w:type="dxa"/>
            <w:vAlign w:val="top"/>
          </w:tcPr>
          <w:p w14:paraId="722FDDBE">
            <w:pPr>
              <w:pStyle w:val="6"/>
              <w:spacing w:before="101" w:line="188" w:lineRule="auto"/>
              <w:ind w:left="570"/>
            </w:pPr>
            <w:r>
              <w:rPr>
                <w:spacing w:val="-2"/>
              </w:rPr>
              <w:t>0.0290</w:t>
            </w:r>
          </w:p>
        </w:tc>
        <w:tc>
          <w:tcPr>
            <w:tcW w:w="1540" w:type="dxa"/>
            <w:vAlign w:val="top"/>
          </w:tcPr>
          <w:p w14:paraId="6FC58C47">
            <w:pPr>
              <w:pStyle w:val="6"/>
              <w:spacing w:before="101" w:line="188" w:lineRule="auto"/>
              <w:ind w:left="485"/>
            </w:pPr>
            <w:r>
              <w:rPr>
                <w:spacing w:val="-2"/>
              </w:rPr>
              <w:t>0.2902</w:t>
            </w:r>
          </w:p>
        </w:tc>
      </w:tr>
      <w:tr w14:paraId="0E4CE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E129B5A">
            <w:pPr>
              <w:pStyle w:val="6"/>
              <w:spacing w:before="101" w:line="188" w:lineRule="auto"/>
              <w:ind w:left="641"/>
            </w:pPr>
            <w:r>
              <w:rPr>
                <w:spacing w:val="-4"/>
              </w:rPr>
              <w:t>1400.0</w:t>
            </w:r>
          </w:p>
        </w:tc>
        <w:tc>
          <w:tcPr>
            <w:tcW w:w="1708" w:type="dxa"/>
            <w:vAlign w:val="top"/>
          </w:tcPr>
          <w:p w14:paraId="4BA3A29E">
            <w:pPr>
              <w:pStyle w:val="6"/>
              <w:spacing w:before="101" w:line="188" w:lineRule="auto"/>
              <w:ind w:left="567"/>
            </w:pPr>
            <w:r>
              <w:rPr>
                <w:spacing w:val="-2"/>
              </w:rPr>
              <w:t>0.0656</w:t>
            </w:r>
          </w:p>
        </w:tc>
        <w:tc>
          <w:tcPr>
            <w:tcW w:w="1537" w:type="dxa"/>
            <w:vAlign w:val="top"/>
          </w:tcPr>
          <w:p w14:paraId="596CF657">
            <w:pPr>
              <w:pStyle w:val="6"/>
              <w:spacing w:before="101" w:line="188" w:lineRule="auto"/>
              <w:ind w:left="484"/>
            </w:pPr>
            <w:r>
              <w:rPr>
                <w:spacing w:val="-2"/>
              </w:rPr>
              <w:t>0.0328</w:t>
            </w:r>
          </w:p>
        </w:tc>
        <w:tc>
          <w:tcPr>
            <w:tcW w:w="1708" w:type="dxa"/>
            <w:vAlign w:val="top"/>
          </w:tcPr>
          <w:p w14:paraId="7FA79302">
            <w:pPr>
              <w:pStyle w:val="6"/>
              <w:spacing w:before="101" w:line="188" w:lineRule="auto"/>
              <w:ind w:left="570"/>
            </w:pPr>
            <w:r>
              <w:rPr>
                <w:spacing w:val="-2"/>
              </w:rPr>
              <w:t>0.0062</w:t>
            </w:r>
          </w:p>
        </w:tc>
        <w:tc>
          <w:tcPr>
            <w:tcW w:w="1540" w:type="dxa"/>
            <w:vAlign w:val="top"/>
          </w:tcPr>
          <w:p w14:paraId="0B5EB5D7">
            <w:pPr>
              <w:pStyle w:val="6"/>
              <w:spacing w:before="101" w:line="188" w:lineRule="auto"/>
              <w:ind w:left="485"/>
            </w:pPr>
            <w:r>
              <w:rPr>
                <w:spacing w:val="-2"/>
              </w:rPr>
              <w:t>0.0625</w:t>
            </w:r>
          </w:p>
        </w:tc>
      </w:tr>
      <w:tr w14:paraId="4E2B9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BFE1BF0">
            <w:pPr>
              <w:pStyle w:val="6"/>
              <w:spacing w:before="101" w:line="188" w:lineRule="auto"/>
              <w:ind w:left="641"/>
            </w:pPr>
            <w:r>
              <w:rPr>
                <w:spacing w:val="-4"/>
              </w:rPr>
              <w:t>1600.0</w:t>
            </w:r>
          </w:p>
        </w:tc>
        <w:tc>
          <w:tcPr>
            <w:tcW w:w="1708" w:type="dxa"/>
            <w:vAlign w:val="top"/>
          </w:tcPr>
          <w:p w14:paraId="5BBAEDB4">
            <w:pPr>
              <w:pStyle w:val="6"/>
              <w:spacing w:before="101" w:line="188" w:lineRule="auto"/>
              <w:ind w:left="567"/>
            </w:pPr>
            <w:r>
              <w:rPr>
                <w:spacing w:val="-2"/>
              </w:rPr>
              <w:t>0.0834</w:t>
            </w:r>
          </w:p>
        </w:tc>
        <w:tc>
          <w:tcPr>
            <w:tcW w:w="1537" w:type="dxa"/>
            <w:vAlign w:val="top"/>
          </w:tcPr>
          <w:p w14:paraId="1FB83811">
            <w:pPr>
              <w:pStyle w:val="6"/>
              <w:spacing w:before="101" w:line="188" w:lineRule="auto"/>
              <w:ind w:left="484"/>
            </w:pPr>
            <w:r>
              <w:rPr>
                <w:spacing w:val="-2"/>
              </w:rPr>
              <w:t>0.0417</w:t>
            </w:r>
          </w:p>
        </w:tc>
        <w:tc>
          <w:tcPr>
            <w:tcW w:w="1708" w:type="dxa"/>
            <w:vAlign w:val="top"/>
          </w:tcPr>
          <w:p w14:paraId="707EF7FF">
            <w:pPr>
              <w:pStyle w:val="6"/>
              <w:spacing w:before="101" w:line="188" w:lineRule="auto"/>
              <w:ind w:left="570"/>
            </w:pPr>
            <w:r>
              <w:rPr>
                <w:spacing w:val="-2"/>
              </w:rPr>
              <w:t>0.0079</w:t>
            </w:r>
          </w:p>
        </w:tc>
        <w:tc>
          <w:tcPr>
            <w:tcW w:w="1540" w:type="dxa"/>
            <w:vAlign w:val="top"/>
          </w:tcPr>
          <w:p w14:paraId="5AE90F44">
            <w:pPr>
              <w:pStyle w:val="6"/>
              <w:spacing w:before="101" w:line="188" w:lineRule="auto"/>
              <w:ind w:left="485"/>
            </w:pPr>
            <w:r>
              <w:rPr>
                <w:spacing w:val="-2"/>
              </w:rPr>
              <w:t>0.0794</w:t>
            </w:r>
          </w:p>
        </w:tc>
      </w:tr>
      <w:tr w14:paraId="1F5D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6C4733E7">
            <w:pPr>
              <w:pStyle w:val="6"/>
              <w:spacing w:before="101" w:line="188" w:lineRule="auto"/>
              <w:ind w:left="641"/>
            </w:pPr>
            <w:r>
              <w:rPr>
                <w:spacing w:val="-4"/>
              </w:rPr>
              <w:t>1800.0</w:t>
            </w:r>
          </w:p>
        </w:tc>
        <w:tc>
          <w:tcPr>
            <w:tcW w:w="1708" w:type="dxa"/>
            <w:vAlign w:val="top"/>
          </w:tcPr>
          <w:p w14:paraId="7ECE9DD7">
            <w:pPr>
              <w:pStyle w:val="6"/>
              <w:spacing w:before="101" w:line="188" w:lineRule="auto"/>
              <w:ind w:left="567"/>
            </w:pPr>
            <w:r>
              <w:rPr>
                <w:spacing w:val="-2"/>
              </w:rPr>
              <w:t>0.2230</w:t>
            </w:r>
          </w:p>
        </w:tc>
        <w:tc>
          <w:tcPr>
            <w:tcW w:w="1537" w:type="dxa"/>
            <w:vAlign w:val="top"/>
          </w:tcPr>
          <w:p w14:paraId="3834DC5B">
            <w:pPr>
              <w:pStyle w:val="6"/>
              <w:spacing w:before="101" w:line="188" w:lineRule="auto"/>
              <w:ind w:left="491"/>
            </w:pPr>
            <w:r>
              <w:rPr>
                <w:spacing w:val="-4"/>
              </w:rPr>
              <w:t>0.1115</w:t>
            </w:r>
          </w:p>
        </w:tc>
        <w:tc>
          <w:tcPr>
            <w:tcW w:w="1708" w:type="dxa"/>
            <w:vAlign w:val="top"/>
          </w:tcPr>
          <w:p w14:paraId="6C0A614E">
            <w:pPr>
              <w:pStyle w:val="6"/>
              <w:spacing w:before="101" w:line="188" w:lineRule="auto"/>
              <w:ind w:left="570"/>
            </w:pPr>
            <w:r>
              <w:rPr>
                <w:spacing w:val="-2"/>
              </w:rPr>
              <w:t>0.0212</w:t>
            </w:r>
          </w:p>
        </w:tc>
        <w:tc>
          <w:tcPr>
            <w:tcW w:w="1540" w:type="dxa"/>
            <w:vAlign w:val="top"/>
          </w:tcPr>
          <w:p w14:paraId="0E0AC3DC">
            <w:pPr>
              <w:pStyle w:val="6"/>
              <w:spacing w:before="101" w:line="188" w:lineRule="auto"/>
              <w:ind w:left="485"/>
            </w:pPr>
            <w:r>
              <w:rPr>
                <w:spacing w:val="-2"/>
              </w:rPr>
              <w:t>0.2124</w:t>
            </w:r>
          </w:p>
        </w:tc>
      </w:tr>
      <w:tr w14:paraId="492F1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DED4DE6">
            <w:pPr>
              <w:pStyle w:val="6"/>
              <w:spacing w:before="102" w:line="188" w:lineRule="auto"/>
              <w:ind w:left="621"/>
            </w:pPr>
            <w:r>
              <w:rPr>
                <w:spacing w:val="-1"/>
              </w:rPr>
              <w:t>2000.0</w:t>
            </w:r>
          </w:p>
        </w:tc>
        <w:tc>
          <w:tcPr>
            <w:tcW w:w="1708" w:type="dxa"/>
            <w:vAlign w:val="top"/>
          </w:tcPr>
          <w:p w14:paraId="2DF6F863">
            <w:pPr>
              <w:pStyle w:val="6"/>
              <w:spacing w:before="102" w:line="188" w:lineRule="auto"/>
              <w:ind w:left="571"/>
            </w:pPr>
            <w:r>
              <w:rPr>
                <w:spacing w:val="-3"/>
              </w:rPr>
              <w:t>0.1168</w:t>
            </w:r>
          </w:p>
        </w:tc>
        <w:tc>
          <w:tcPr>
            <w:tcW w:w="1537" w:type="dxa"/>
            <w:vAlign w:val="top"/>
          </w:tcPr>
          <w:p w14:paraId="0E459467">
            <w:pPr>
              <w:pStyle w:val="6"/>
              <w:spacing w:before="102" w:line="188" w:lineRule="auto"/>
              <w:ind w:left="484"/>
            </w:pPr>
            <w:r>
              <w:rPr>
                <w:spacing w:val="-2"/>
              </w:rPr>
              <w:t>0.0584</w:t>
            </w:r>
          </w:p>
        </w:tc>
        <w:tc>
          <w:tcPr>
            <w:tcW w:w="1708" w:type="dxa"/>
            <w:vAlign w:val="top"/>
          </w:tcPr>
          <w:p w14:paraId="09F64F95">
            <w:pPr>
              <w:pStyle w:val="6"/>
              <w:spacing w:before="102" w:line="188" w:lineRule="auto"/>
              <w:ind w:left="578"/>
            </w:pPr>
            <w:r>
              <w:rPr>
                <w:spacing w:val="-3"/>
              </w:rPr>
              <w:t>0.0111</w:t>
            </w:r>
          </w:p>
        </w:tc>
        <w:tc>
          <w:tcPr>
            <w:tcW w:w="1540" w:type="dxa"/>
            <w:vAlign w:val="top"/>
          </w:tcPr>
          <w:p w14:paraId="1AE2FAF3">
            <w:pPr>
              <w:pStyle w:val="6"/>
              <w:spacing w:before="102" w:line="188" w:lineRule="auto"/>
              <w:ind w:left="494"/>
            </w:pPr>
            <w:r>
              <w:rPr>
                <w:spacing w:val="-4"/>
              </w:rPr>
              <w:t>0.1112</w:t>
            </w:r>
          </w:p>
        </w:tc>
      </w:tr>
      <w:tr w14:paraId="51213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51EDC13E">
            <w:pPr>
              <w:pStyle w:val="6"/>
              <w:spacing w:before="102" w:line="188" w:lineRule="auto"/>
              <w:ind w:left="621"/>
            </w:pPr>
            <w:r>
              <w:rPr>
                <w:spacing w:val="-1"/>
              </w:rPr>
              <w:t>2500.0</w:t>
            </w:r>
          </w:p>
        </w:tc>
        <w:tc>
          <w:tcPr>
            <w:tcW w:w="1708" w:type="dxa"/>
            <w:vAlign w:val="top"/>
          </w:tcPr>
          <w:p w14:paraId="129E132C">
            <w:pPr>
              <w:pStyle w:val="6"/>
              <w:spacing w:before="102" w:line="188" w:lineRule="auto"/>
              <w:ind w:left="567"/>
            </w:pPr>
            <w:r>
              <w:rPr>
                <w:spacing w:val="-2"/>
              </w:rPr>
              <w:t>0.1264</w:t>
            </w:r>
          </w:p>
        </w:tc>
        <w:tc>
          <w:tcPr>
            <w:tcW w:w="1537" w:type="dxa"/>
            <w:vAlign w:val="top"/>
          </w:tcPr>
          <w:p w14:paraId="4F358251">
            <w:pPr>
              <w:pStyle w:val="6"/>
              <w:spacing w:before="102" w:line="188" w:lineRule="auto"/>
              <w:ind w:left="484"/>
            </w:pPr>
            <w:r>
              <w:rPr>
                <w:spacing w:val="-2"/>
              </w:rPr>
              <w:t>0.0632</w:t>
            </w:r>
          </w:p>
        </w:tc>
        <w:tc>
          <w:tcPr>
            <w:tcW w:w="1708" w:type="dxa"/>
            <w:vAlign w:val="top"/>
          </w:tcPr>
          <w:p w14:paraId="316B0F88">
            <w:pPr>
              <w:pStyle w:val="6"/>
              <w:spacing w:before="102" w:line="188" w:lineRule="auto"/>
              <w:ind w:left="570"/>
            </w:pPr>
            <w:r>
              <w:rPr>
                <w:spacing w:val="-2"/>
              </w:rPr>
              <w:t>0.0120</w:t>
            </w:r>
          </w:p>
        </w:tc>
        <w:tc>
          <w:tcPr>
            <w:tcW w:w="1540" w:type="dxa"/>
            <w:vAlign w:val="top"/>
          </w:tcPr>
          <w:p w14:paraId="6E407178">
            <w:pPr>
              <w:pStyle w:val="6"/>
              <w:spacing w:before="102" w:line="188" w:lineRule="auto"/>
              <w:ind w:left="485"/>
            </w:pPr>
            <w:r>
              <w:rPr>
                <w:spacing w:val="-2"/>
              </w:rPr>
              <w:t>0.1204</w:t>
            </w:r>
          </w:p>
        </w:tc>
      </w:tr>
      <w:tr w14:paraId="0EE55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A634378">
            <w:pPr>
              <w:pStyle w:val="6"/>
              <w:spacing w:before="103" w:line="188" w:lineRule="auto"/>
              <w:ind w:left="625"/>
            </w:pPr>
            <w:r>
              <w:rPr>
                <w:spacing w:val="-2"/>
              </w:rPr>
              <w:t>3000.0</w:t>
            </w:r>
          </w:p>
        </w:tc>
        <w:tc>
          <w:tcPr>
            <w:tcW w:w="1708" w:type="dxa"/>
            <w:vAlign w:val="top"/>
          </w:tcPr>
          <w:p w14:paraId="19BFA288">
            <w:pPr>
              <w:pStyle w:val="6"/>
              <w:spacing w:before="103" w:line="188" w:lineRule="auto"/>
              <w:ind w:left="567"/>
            </w:pPr>
            <w:r>
              <w:rPr>
                <w:spacing w:val="-2"/>
              </w:rPr>
              <w:t>0.1066</w:t>
            </w:r>
          </w:p>
        </w:tc>
        <w:tc>
          <w:tcPr>
            <w:tcW w:w="1537" w:type="dxa"/>
            <w:vAlign w:val="top"/>
          </w:tcPr>
          <w:p w14:paraId="77702B23">
            <w:pPr>
              <w:pStyle w:val="6"/>
              <w:spacing w:before="103" w:line="188" w:lineRule="auto"/>
              <w:ind w:left="484"/>
            </w:pPr>
            <w:r>
              <w:rPr>
                <w:spacing w:val="-2"/>
              </w:rPr>
              <w:t>0.0533</w:t>
            </w:r>
          </w:p>
        </w:tc>
        <w:tc>
          <w:tcPr>
            <w:tcW w:w="1708" w:type="dxa"/>
            <w:vAlign w:val="top"/>
          </w:tcPr>
          <w:p w14:paraId="79684D4F">
            <w:pPr>
              <w:pStyle w:val="6"/>
              <w:spacing w:before="103" w:line="188" w:lineRule="auto"/>
              <w:ind w:left="570"/>
            </w:pPr>
            <w:r>
              <w:rPr>
                <w:spacing w:val="-2"/>
              </w:rPr>
              <w:t>0.0102</w:t>
            </w:r>
          </w:p>
        </w:tc>
        <w:tc>
          <w:tcPr>
            <w:tcW w:w="1540" w:type="dxa"/>
            <w:vAlign w:val="top"/>
          </w:tcPr>
          <w:p w14:paraId="399B0D0E">
            <w:pPr>
              <w:pStyle w:val="6"/>
              <w:spacing w:before="103" w:line="188" w:lineRule="auto"/>
              <w:ind w:left="485"/>
            </w:pPr>
            <w:r>
              <w:rPr>
                <w:spacing w:val="-2"/>
              </w:rPr>
              <w:t>0.1015</w:t>
            </w:r>
          </w:p>
        </w:tc>
      </w:tr>
      <w:tr w14:paraId="51F4F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26BC8FB0">
            <w:pPr>
              <w:pStyle w:val="6"/>
              <w:spacing w:before="103" w:line="188" w:lineRule="auto"/>
              <w:ind w:left="625"/>
            </w:pPr>
            <w:r>
              <w:rPr>
                <w:spacing w:val="-2"/>
              </w:rPr>
              <w:t>3500.0</w:t>
            </w:r>
          </w:p>
        </w:tc>
        <w:tc>
          <w:tcPr>
            <w:tcW w:w="1708" w:type="dxa"/>
            <w:vAlign w:val="top"/>
          </w:tcPr>
          <w:p w14:paraId="0C1290B7">
            <w:pPr>
              <w:pStyle w:val="6"/>
              <w:spacing w:before="103" w:line="188" w:lineRule="auto"/>
              <w:ind w:left="567"/>
            </w:pPr>
            <w:r>
              <w:rPr>
                <w:spacing w:val="-2"/>
              </w:rPr>
              <w:t>0.0691</w:t>
            </w:r>
          </w:p>
        </w:tc>
        <w:tc>
          <w:tcPr>
            <w:tcW w:w="1537" w:type="dxa"/>
            <w:vAlign w:val="top"/>
          </w:tcPr>
          <w:p w14:paraId="513E947E">
            <w:pPr>
              <w:pStyle w:val="6"/>
              <w:spacing w:before="103" w:line="188" w:lineRule="auto"/>
              <w:ind w:left="484"/>
            </w:pPr>
            <w:r>
              <w:rPr>
                <w:spacing w:val="-2"/>
              </w:rPr>
              <w:t>0.0346</w:t>
            </w:r>
          </w:p>
        </w:tc>
        <w:tc>
          <w:tcPr>
            <w:tcW w:w="1708" w:type="dxa"/>
            <w:vAlign w:val="top"/>
          </w:tcPr>
          <w:p w14:paraId="1AA53411">
            <w:pPr>
              <w:pStyle w:val="6"/>
              <w:spacing w:before="103" w:line="188" w:lineRule="auto"/>
              <w:ind w:left="570"/>
            </w:pPr>
            <w:r>
              <w:rPr>
                <w:spacing w:val="-2"/>
              </w:rPr>
              <w:t>0.0066</w:t>
            </w:r>
          </w:p>
        </w:tc>
        <w:tc>
          <w:tcPr>
            <w:tcW w:w="1540" w:type="dxa"/>
            <w:vAlign w:val="top"/>
          </w:tcPr>
          <w:p w14:paraId="665417CA">
            <w:pPr>
              <w:pStyle w:val="6"/>
              <w:spacing w:before="103" w:line="188" w:lineRule="auto"/>
              <w:ind w:left="485"/>
            </w:pPr>
            <w:r>
              <w:rPr>
                <w:spacing w:val="-2"/>
              </w:rPr>
              <w:t>0.0658</w:t>
            </w:r>
          </w:p>
        </w:tc>
      </w:tr>
      <w:tr w14:paraId="2D285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20AC16A9">
            <w:pPr>
              <w:pStyle w:val="6"/>
              <w:spacing w:before="104" w:line="188" w:lineRule="auto"/>
              <w:ind w:left="619"/>
            </w:pPr>
            <w:r>
              <w:rPr>
                <w:spacing w:val="-1"/>
              </w:rPr>
              <w:t>4000.0</w:t>
            </w:r>
          </w:p>
        </w:tc>
        <w:tc>
          <w:tcPr>
            <w:tcW w:w="1708" w:type="dxa"/>
            <w:vAlign w:val="top"/>
          </w:tcPr>
          <w:p w14:paraId="39247A66">
            <w:pPr>
              <w:pStyle w:val="6"/>
              <w:spacing w:before="104" w:line="188" w:lineRule="auto"/>
              <w:ind w:left="567"/>
            </w:pPr>
            <w:r>
              <w:rPr>
                <w:spacing w:val="-2"/>
              </w:rPr>
              <w:t>0.0864</w:t>
            </w:r>
          </w:p>
        </w:tc>
        <w:tc>
          <w:tcPr>
            <w:tcW w:w="1537" w:type="dxa"/>
            <w:vAlign w:val="top"/>
          </w:tcPr>
          <w:p w14:paraId="4765693F">
            <w:pPr>
              <w:pStyle w:val="6"/>
              <w:spacing w:before="104" w:line="188" w:lineRule="auto"/>
              <w:ind w:left="484"/>
            </w:pPr>
            <w:r>
              <w:rPr>
                <w:spacing w:val="-2"/>
              </w:rPr>
              <w:t>0.0432</w:t>
            </w:r>
          </w:p>
        </w:tc>
        <w:tc>
          <w:tcPr>
            <w:tcW w:w="1708" w:type="dxa"/>
            <w:vAlign w:val="top"/>
          </w:tcPr>
          <w:p w14:paraId="70C29678">
            <w:pPr>
              <w:pStyle w:val="6"/>
              <w:spacing w:before="104" w:line="188" w:lineRule="auto"/>
              <w:ind w:left="570"/>
            </w:pPr>
            <w:r>
              <w:rPr>
                <w:spacing w:val="-2"/>
              </w:rPr>
              <w:t>0.0082</w:t>
            </w:r>
          </w:p>
        </w:tc>
        <w:tc>
          <w:tcPr>
            <w:tcW w:w="1540" w:type="dxa"/>
            <w:vAlign w:val="top"/>
          </w:tcPr>
          <w:p w14:paraId="27C64CC5">
            <w:pPr>
              <w:pStyle w:val="6"/>
              <w:spacing w:before="104" w:line="188" w:lineRule="auto"/>
              <w:ind w:left="485"/>
            </w:pPr>
            <w:r>
              <w:rPr>
                <w:spacing w:val="-2"/>
              </w:rPr>
              <w:t>0.0823</w:t>
            </w:r>
          </w:p>
        </w:tc>
      </w:tr>
      <w:tr w14:paraId="52EAA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6597B6E2">
            <w:pPr>
              <w:pStyle w:val="6"/>
              <w:spacing w:before="104" w:line="188" w:lineRule="auto"/>
              <w:ind w:left="619"/>
            </w:pPr>
            <w:r>
              <w:rPr>
                <w:spacing w:val="-1"/>
              </w:rPr>
              <w:t>4500.0</w:t>
            </w:r>
          </w:p>
        </w:tc>
        <w:tc>
          <w:tcPr>
            <w:tcW w:w="1708" w:type="dxa"/>
            <w:vAlign w:val="top"/>
          </w:tcPr>
          <w:p w14:paraId="673E6D9C">
            <w:pPr>
              <w:pStyle w:val="6"/>
              <w:spacing w:before="104" w:line="188" w:lineRule="auto"/>
              <w:ind w:left="567"/>
            </w:pPr>
            <w:r>
              <w:rPr>
                <w:spacing w:val="-2"/>
              </w:rPr>
              <w:t>0.0714</w:t>
            </w:r>
          </w:p>
        </w:tc>
        <w:tc>
          <w:tcPr>
            <w:tcW w:w="1537" w:type="dxa"/>
            <w:vAlign w:val="top"/>
          </w:tcPr>
          <w:p w14:paraId="2731B146">
            <w:pPr>
              <w:pStyle w:val="6"/>
              <w:spacing w:before="104" w:line="188" w:lineRule="auto"/>
              <w:ind w:left="484"/>
            </w:pPr>
            <w:r>
              <w:rPr>
                <w:spacing w:val="-2"/>
              </w:rPr>
              <w:t>0.0357</w:t>
            </w:r>
          </w:p>
        </w:tc>
        <w:tc>
          <w:tcPr>
            <w:tcW w:w="1708" w:type="dxa"/>
            <w:vAlign w:val="top"/>
          </w:tcPr>
          <w:p w14:paraId="2205CF65">
            <w:pPr>
              <w:pStyle w:val="6"/>
              <w:spacing w:before="104" w:line="188" w:lineRule="auto"/>
              <w:ind w:left="570"/>
            </w:pPr>
            <w:r>
              <w:rPr>
                <w:spacing w:val="-2"/>
              </w:rPr>
              <w:t>0.0068</w:t>
            </w:r>
          </w:p>
        </w:tc>
        <w:tc>
          <w:tcPr>
            <w:tcW w:w="1540" w:type="dxa"/>
            <w:vAlign w:val="top"/>
          </w:tcPr>
          <w:p w14:paraId="59216D9A">
            <w:pPr>
              <w:pStyle w:val="6"/>
              <w:spacing w:before="104" w:line="188" w:lineRule="auto"/>
              <w:ind w:left="485"/>
            </w:pPr>
            <w:r>
              <w:rPr>
                <w:spacing w:val="-2"/>
              </w:rPr>
              <w:t>0.0680</w:t>
            </w:r>
          </w:p>
        </w:tc>
      </w:tr>
      <w:tr w14:paraId="0C38D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9FA6224">
            <w:pPr>
              <w:pStyle w:val="6"/>
              <w:spacing w:before="104" w:line="188" w:lineRule="auto"/>
              <w:ind w:left="626"/>
            </w:pPr>
            <w:r>
              <w:rPr>
                <w:spacing w:val="-2"/>
              </w:rPr>
              <w:t>5000.0</w:t>
            </w:r>
          </w:p>
        </w:tc>
        <w:tc>
          <w:tcPr>
            <w:tcW w:w="1708" w:type="dxa"/>
            <w:vAlign w:val="top"/>
          </w:tcPr>
          <w:p w14:paraId="341352CB">
            <w:pPr>
              <w:pStyle w:val="6"/>
              <w:spacing w:before="104" w:line="188" w:lineRule="auto"/>
              <w:ind w:left="567"/>
            </w:pPr>
            <w:r>
              <w:rPr>
                <w:spacing w:val="-2"/>
              </w:rPr>
              <w:t>0.0493</w:t>
            </w:r>
          </w:p>
        </w:tc>
        <w:tc>
          <w:tcPr>
            <w:tcW w:w="1537" w:type="dxa"/>
            <w:vAlign w:val="top"/>
          </w:tcPr>
          <w:p w14:paraId="5612EBBB">
            <w:pPr>
              <w:pStyle w:val="6"/>
              <w:spacing w:before="104" w:line="188" w:lineRule="auto"/>
              <w:ind w:left="484"/>
            </w:pPr>
            <w:r>
              <w:rPr>
                <w:spacing w:val="-2"/>
              </w:rPr>
              <w:t>0.0247</w:t>
            </w:r>
          </w:p>
        </w:tc>
        <w:tc>
          <w:tcPr>
            <w:tcW w:w="1708" w:type="dxa"/>
            <w:vAlign w:val="top"/>
          </w:tcPr>
          <w:p w14:paraId="755B2191">
            <w:pPr>
              <w:pStyle w:val="6"/>
              <w:spacing w:before="104" w:line="188" w:lineRule="auto"/>
              <w:ind w:left="570"/>
            </w:pPr>
            <w:r>
              <w:rPr>
                <w:spacing w:val="-2"/>
              </w:rPr>
              <w:t>0.0047</w:t>
            </w:r>
          </w:p>
        </w:tc>
        <w:tc>
          <w:tcPr>
            <w:tcW w:w="1540" w:type="dxa"/>
            <w:vAlign w:val="top"/>
          </w:tcPr>
          <w:p w14:paraId="402A83BF">
            <w:pPr>
              <w:pStyle w:val="6"/>
              <w:spacing w:before="104" w:line="188" w:lineRule="auto"/>
              <w:ind w:left="485"/>
            </w:pPr>
            <w:r>
              <w:rPr>
                <w:spacing w:val="-2"/>
              </w:rPr>
              <w:t>0.0470</w:t>
            </w:r>
          </w:p>
        </w:tc>
      </w:tr>
      <w:tr w14:paraId="6489C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6FB80944">
            <w:pPr>
              <w:pStyle w:val="6"/>
              <w:spacing w:before="104" w:line="188" w:lineRule="auto"/>
              <w:ind w:left="588"/>
            </w:pPr>
            <w:r>
              <w:rPr>
                <w:spacing w:val="-4"/>
              </w:rPr>
              <w:t>10000.0</w:t>
            </w:r>
          </w:p>
        </w:tc>
        <w:tc>
          <w:tcPr>
            <w:tcW w:w="1708" w:type="dxa"/>
            <w:vAlign w:val="top"/>
          </w:tcPr>
          <w:p w14:paraId="0B1A565F">
            <w:pPr>
              <w:pStyle w:val="6"/>
              <w:spacing w:before="104" w:line="188" w:lineRule="auto"/>
              <w:ind w:left="567"/>
            </w:pPr>
            <w:r>
              <w:rPr>
                <w:spacing w:val="-2"/>
              </w:rPr>
              <w:t>0.0282</w:t>
            </w:r>
          </w:p>
        </w:tc>
        <w:tc>
          <w:tcPr>
            <w:tcW w:w="1537" w:type="dxa"/>
            <w:vAlign w:val="top"/>
          </w:tcPr>
          <w:p w14:paraId="3DA4163B">
            <w:pPr>
              <w:pStyle w:val="6"/>
              <w:spacing w:before="104" w:line="188" w:lineRule="auto"/>
              <w:ind w:left="484"/>
            </w:pPr>
            <w:r>
              <w:rPr>
                <w:spacing w:val="-2"/>
              </w:rPr>
              <w:t>0.0141</w:t>
            </w:r>
          </w:p>
        </w:tc>
        <w:tc>
          <w:tcPr>
            <w:tcW w:w="1708" w:type="dxa"/>
            <w:vAlign w:val="top"/>
          </w:tcPr>
          <w:p w14:paraId="1BF22CCD">
            <w:pPr>
              <w:pStyle w:val="6"/>
              <w:spacing w:before="104" w:line="188" w:lineRule="auto"/>
              <w:ind w:left="570"/>
            </w:pPr>
            <w:r>
              <w:rPr>
                <w:spacing w:val="-2"/>
              </w:rPr>
              <w:t>0.0027</w:t>
            </w:r>
          </w:p>
        </w:tc>
        <w:tc>
          <w:tcPr>
            <w:tcW w:w="1540" w:type="dxa"/>
            <w:vAlign w:val="top"/>
          </w:tcPr>
          <w:p w14:paraId="034E2F37">
            <w:pPr>
              <w:pStyle w:val="6"/>
              <w:spacing w:before="104" w:line="188" w:lineRule="auto"/>
              <w:ind w:left="485"/>
            </w:pPr>
            <w:r>
              <w:rPr>
                <w:spacing w:val="-2"/>
              </w:rPr>
              <w:t>0.0268</w:t>
            </w:r>
          </w:p>
        </w:tc>
      </w:tr>
      <w:tr w14:paraId="10104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C846276">
            <w:pPr>
              <w:pStyle w:val="6"/>
              <w:spacing w:before="104" w:line="188" w:lineRule="auto"/>
              <w:ind w:left="593"/>
            </w:pPr>
            <w:r>
              <w:rPr>
                <w:spacing w:val="-5"/>
              </w:rPr>
              <w:t>11000.0</w:t>
            </w:r>
          </w:p>
        </w:tc>
        <w:tc>
          <w:tcPr>
            <w:tcW w:w="1708" w:type="dxa"/>
            <w:vAlign w:val="top"/>
          </w:tcPr>
          <w:p w14:paraId="3824F23F">
            <w:pPr>
              <w:pStyle w:val="6"/>
              <w:spacing w:before="104" w:line="188" w:lineRule="auto"/>
              <w:ind w:left="568"/>
            </w:pPr>
            <w:r>
              <w:rPr>
                <w:spacing w:val="-2"/>
              </w:rPr>
              <w:t>0.0225</w:t>
            </w:r>
          </w:p>
        </w:tc>
        <w:tc>
          <w:tcPr>
            <w:tcW w:w="1537" w:type="dxa"/>
            <w:vAlign w:val="top"/>
          </w:tcPr>
          <w:p w14:paraId="6184D531">
            <w:pPr>
              <w:pStyle w:val="6"/>
              <w:spacing w:before="104" w:line="188" w:lineRule="auto"/>
              <w:ind w:left="488"/>
            </w:pPr>
            <w:r>
              <w:rPr>
                <w:spacing w:val="-3"/>
              </w:rPr>
              <w:t>0.0112</w:t>
            </w:r>
          </w:p>
        </w:tc>
        <w:tc>
          <w:tcPr>
            <w:tcW w:w="1708" w:type="dxa"/>
            <w:vAlign w:val="top"/>
          </w:tcPr>
          <w:p w14:paraId="684610FD">
            <w:pPr>
              <w:pStyle w:val="6"/>
              <w:spacing w:before="104" w:line="188" w:lineRule="auto"/>
              <w:ind w:left="570"/>
            </w:pPr>
            <w:r>
              <w:rPr>
                <w:spacing w:val="-2"/>
              </w:rPr>
              <w:t>0.0021</w:t>
            </w:r>
          </w:p>
        </w:tc>
        <w:tc>
          <w:tcPr>
            <w:tcW w:w="1540" w:type="dxa"/>
            <w:vAlign w:val="top"/>
          </w:tcPr>
          <w:p w14:paraId="004D74FC">
            <w:pPr>
              <w:pStyle w:val="6"/>
              <w:spacing w:before="104" w:line="188" w:lineRule="auto"/>
              <w:ind w:left="485"/>
            </w:pPr>
            <w:r>
              <w:rPr>
                <w:spacing w:val="-2"/>
              </w:rPr>
              <w:t>0.0214</w:t>
            </w:r>
          </w:p>
        </w:tc>
      </w:tr>
      <w:tr w14:paraId="782DD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0B7F6CF5">
            <w:pPr>
              <w:pStyle w:val="6"/>
              <w:spacing w:before="104" w:line="188" w:lineRule="auto"/>
              <w:ind w:left="588"/>
            </w:pPr>
            <w:r>
              <w:rPr>
                <w:spacing w:val="-4"/>
              </w:rPr>
              <w:t>12000.0</w:t>
            </w:r>
          </w:p>
        </w:tc>
        <w:tc>
          <w:tcPr>
            <w:tcW w:w="1708" w:type="dxa"/>
            <w:vAlign w:val="top"/>
          </w:tcPr>
          <w:p w14:paraId="4B59468A">
            <w:pPr>
              <w:pStyle w:val="6"/>
              <w:spacing w:before="104" w:line="188" w:lineRule="auto"/>
              <w:ind w:left="567"/>
            </w:pPr>
            <w:r>
              <w:rPr>
                <w:spacing w:val="-2"/>
              </w:rPr>
              <w:t>0.0276</w:t>
            </w:r>
          </w:p>
        </w:tc>
        <w:tc>
          <w:tcPr>
            <w:tcW w:w="1537" w:type="dxa"/>
            <w:vAlign w:val="top"/>
          </w:tcPr>
          <w:p w14:paraId="3C9100E5">
            <w:pPr>
              <w:pStyle w:val="6"/>
              <w:spacing w:before="104" w:line="188" w:lineRule="auto"/>
              <w:ind w:left="484"/>
            </w:pPr>
            <w:r>
              <w:rPr>
                <w:spacing w:val="-2"/>
              </w:rPr>
              <w:t>0.0138</w:t>
            </w:r>
          </w:p>
        </w:tc>
        <w:tc>
          <w:tcPr>
            <w:tcW w:w="1708" w:type="dxa"/>
            <w:vAlign w:val="top"/>
          </w:tcPr>
          <w:p w14:paraId="5F9C236D">
            <w:pPr>
              <w:pStyle w:val="6"/>
              <w:spacing w:before="104" w:line="188" w:lineRule="auto"/>
              <w:ind w:left="570"/>
            </w:pPr>
            <w:r>
              <w:rPr>
                <w:spacing w:val="-2"/>
              </w:rPr>
              <w:t>0.0026</w:t>
            </w:r>
          </w:p>
        </w:tc>
        <w:tc>
          <w:tcPr>
            <w:tcW w:w="1540" w:type="dxa"/>
            <w:vAlign w:val="top"/>
          </w:tcPr>
          <w:p w14:paraId="4060545F">
            <w:pPr>
              <w:pStyle w:val="6"/>
              <w:spacing w:before="104" w:line="188" w:lineRule="auto"/>
              <w:ind w:left="485"/>
            </w:pPr>
            <w:r>
              <w:rPr>
                <w:spacing w:val="-2"/>
              </w:rPr>
              <w:t>0.0262</w:t>
            </w:r>
          </w:p>
        </w:tc>
      </w:tr>
      <w:tr w14:paraId="11A11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D82A7B5">
            <w:pPr>
              <w:pStyle w:val="6"/>
              <w:spacing w:before="104" w:line="188" w:lineRule="auto"/>
              <w:ind w:left="588"/>
            </w:pPr>
            <w:r>
              <w:rPr>
                <w:spacing w:val="-4"/>
              </w:rPr>
              <w:t>13000.0</w:t>
            </w:r>
          </w:p>
        </w:tc>
        <w:tc>
          <w:tcPr>
            <w:tcW w:w="1708" w:type="dxa"/>
            <w:vAlign w:val="top"/>
          </w:tcPr>
          <w:p w14:paraId="73864AEF">
            <w:pPr>
              <w:pStyle w:val="6"/>
              <w:spacing w:before="104" w:line="188" w:lineRule="auto"/>
              <w:ind w:left="567"/>
            </w:pPr>
            <w:r>
              <w:rPr>
                <w:spacing w:val="-2"/>
              </w:rPr>
              <w:t>0.0230</w:t>
            </w:r>
          </w:p>
        </w:tc>
        <w:tc>
          <w:tcPr>
            <w:tcW w:w="1537" w:type="dxa"/>
            <w:vAlign w:val="top"/>
          </w:tcPr>
          <w:p w14:paraId="43E97DF7">
            <w:pPr>
              <w:pStyle w:val="6"/>
              <w:spacing w:before="104" w:line="188" w:lineRule="auto"/>
              <w:ind w:left="488"/>
            </w:pPr>
            <w:r>
              <w:rPr>
                <w:spacing w:val="-3"/>
              </w:rPr>
              <w:t>0.0115</w:t>
            </w:r>
          </w:p>
        </w:tc>
        <w:tc>
          <w:tcPr>
            <w:tcW w:w="1708" w:type="dxa"/>
            <w:vAlign w:val="top"/>
          </w:tcPr>
          <w:p w14:paraId="50DAA7AB">
            <w:pPr>
              <w:pStyle w:val="6"/>
              <w:spacing w:before="104" w:line="188" w:lineRule="auto"/>
              <w:ind w:left="570"/>
            </w:pPr>
            <w:r>
              <w:rPr>
                <w:spacing w:val="-2"/>
              </w:rPr>
              <w:t>0.0022</w:t>
            </w:r>
          </w:p>
        </w:tc>
        <w:tc>
          <w:tcPr>
            <w:tcW w:w="1540" w:type="dxa"/>
            <w:vAlign w:val="top"/>
          </w:tcPr>
          <w:p w14:paraId="1126FBC1">
            <w:pPr>
              <w:pStyle w:val="6"/>
              <w:spacing w:before="104" w:line="188" w:lineRule="auto"/>
              <w:ind w:left="485"/>
            </w:pPr>
            <w:r>
              <w:rPr>
                <w:spacing w:val="-2"/>
              </w:rPr>
              <w:t>0.0219</w:t>
            </w:r>
          </w:p>
        </w:tc>
      </w:tr>
      <w:tr w14:paraId="23FEF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562043F2">
            <w:pPr>
              <w:pStyle w:val="6"/>
              <w:spacing w:before="104" w:line="188" w:lineRule="auto"/>
              <w:ind w:left="588"/>
            </w:pPr>
            <w:r>
              <w:rPr>
                <w:spacing w:val="-4"/>
              </w:rPr>
              <w:t>14000.0</w:t>
            </w:r>
          </w:p>
        </w:tc>
        <w:tc>
          <w:tcPr>
            <w:tcW w:w="1708" w:type="dxa"/>
            <w:vAlign w:val="top"/>
          </w:tcPr>
          <w:p w14:paraId="748AEBF9">
            <w:pPr>
              <w:pStyle w:val="6"/>
              <w:spacing w:before="104" w:line="188" w:lineRule="auto"/>
              <w:ind w:left="567"/>
            </w:pPr>
            <w:r>
              <w:rPr>
                <w:spacing w:val="-2"/>
              </w:rPr>
              <w:t>0.0223</w:t>
            </w:r>
          </w:p>
        </w:tc>
        <w:tc>
          <w:tcPr>
            <w:tcW w:w="1537" w:type="dxa"/>
            <w:vAlign w:val="top"/>
          </w:tcPr>
          <w:p w14:paraId="2AE61D9E">
            <w:pPr>
              <w:pStyle w:val="6"/>
              <w:spacing w:before="104" w:line="188" w:lineRule="auto"/>
              <w:ind w:left="492"/>
            </w:pPr>
            <w:r>
              <w:rPr>
                <w:spacing w:val="-3"/>
              </w:rPr>
              <w:t>0.0111</w:t>
            </w:r>
          </w:p>
        </w:tc>
        <w:tc>
          <w:tcPr>
            <w:tcW w:w="1708" w:type="dxa"/>
            <w:vAlign w:val="top"/>
          </w:tcPr>
          <w:p w14:paraId="3D2ECF12">
            <w:pPr>
              <w:pStyle w:val="6"/>
              <w:spacing w:before="104" w:line="188" w:lineRule="auto"/>
              <w:ind w:left="570"/>
            </w:pPr>
            <w:r>
              <w:rPr>
                <w:spacing w:val="-2"/>
              </w:rPr>
              <w:t>0.0021</w:t>
            </w:r>
          </w:p>
        </w:tc>
        <w:tc>
          <w:tcPr>
            <w:tcW w:w="1540" w:type="dxa"/>
            <w:vAlign w:val="top"/>
          </w:tcPr>
          <w:p w14:paraId="544DD629">
            <w:pPr>
              <w:pStyle w:val="6"/>
              <w:spacing w:before="104" w:line="188" w:lineRule="auto"/>
              <w:ind w:left="485"/>
            </w:pPr>
            <w:r>
              <w:rPr>
                <w:spacing w:val="-2"/>
              </w:rPr>
              <w:t>0.0212</w:t>
            </w:r>
          </w:p>
        </w:tc>
      </w:tr>
      <w:tr w14:paraId="34730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E4BD44F">
            <w:pPr>
              <w:pStyle w:val="6"/>
              <w:spacing w:before="104" w:line="188" w:lineRule="auto"/>
              <w:ind w:left="588"/>
            </w:pPr>
            <w:r>
              <w:rPr>
                <w:spacing w:val="-4"/>
              </w:rPr>
              <w:t>15000.0</w:t>
            </w:r>
          </w:p>
        </w:tc>
        <w:tc>
          <w:tcPr>
            <w:tcW w:w="1708" w:type="dxa"/>
            <w:vAlign w:val="top"/>
          </w:tcPr>
          <w:p w14:paraId="0E33001B">
            <w:pPr>
              <w:pStyle w:val="6"/>
              <w:spacing w:before="104" w:line="188" w:lineRule="auto"/>
              <w:ind w:left="567"/>
            </w:pPr>
            <w:r>
              <w:rPr>
                <w:spacing w:val="-2"/>
              </w:rPr>
              <w:t>0.0195</w:t>
            </w:r>
          </w:p>
        </w:tc>
        <w:tc>
          <w:tcPr>
            <w:tcW w:w="1537" w:type="dxa"/>
            <w:vAlign w:val="top"/>
          </w:tcPr>
          <w:p w14:paraId="2A12A840">
            <w:pPr>
              <w:pStyle w:val="6"/>
              <w:spacing w:before="104" w:line="188" w:lineRule="auto"/>
              <w:ind w:left="484"/>
            </w:pPr>
            <w:r>
              <w:rPr>
                <w:spacing w:val="-2"/>
              </w:rPr>
              <w:t>0.0097</w:t>
            </w:r>
          </w:p>
        </w:tc>
        <w:tc>
          <w:tcPr>
            <w:tcW w:w="1708" w:type="dxa"/>
            <w:vAlign w:val="top"/>
          </w:tcPr>
          <w:p w14:paraId="5CA1F030">
            <w:pPr>
              <w:pStyle w:val="6"/>
              <w:spacing w:before="104" w:line="188" w:lineRule="auto"/>
              <w:ind w:left="570"/>
            </w:pPr>
            <w:r>
              <w:rPr>
                <w:spacing w:val="-2"/>
              </w:rPr>
              <w:t>0.0019</w:t>
            </w:r>
          </w:p>
        </w:tc>
        <w:tc>
          <w:tcPr>
            <w:tcW w:w="1540" w:type="dxa"/>
            <w:vAlign w:val="top"/>
          </w:tcPr>
          <w:p w14:paraId="425E9CE2">
            <w:pPr>
              <w:pStyle w:val="6"/>
              <w:spacing w:before="104" w:line="188" w:lineRule="auto"/>
              <w:ind w:left="485"/>
            </w:pPr>
            <w:r>
              <w:rPr>
                <w:spacing w:val="-2"/>
              </w:rPr>
              <w:t>0.0185</w:t>
            </w:r>
          </w:p>
        </w:tc>
      </w:tr>
      <w:tr w14:paraId="242A1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62C95B5E">
            <w:pPr>
              <w:pStyle w:val="6"/>
              <w:spacing w:before="104" w:line="188" w:lineRule="auto"/>
              <w:ind w:left="568"/>
            </w:pPr>
            <w:r>
              <w:rPr>
                <w:spacing w:val="-1"/>
              </w:rPr>
              <w:t>20000.0</w:t>
            </w:r>
          </w:p>
        </w:tc>
        <w:tc>
          <w:tcPr>
            <w:tcW w:w="1708" w:type="dxa"/>
            <w:vAlign w:val="top"/>
          </w:tcPr>
          <w:p w14:paraId="580D5B76">
            <w:pPr>
              <w:pStyle w:val="6"/>
              <w:spacing w:before="104" w:line="188" w:lineRule="auto"/>
              <w:ind w:left="567"/>
            </w:pPr>
            <w:r>
              <w:rPr>
                <w:spacing w:val="-2"/>
              </w:rPr>
              <w:t>0.0121</w:t>
            </w:r>
          </w:p>
        </w:tc>
        <w:tc>
          <w:tcPr>
            <w:tcW w:w="1537" w:type="dxa"/>
            <w:vAlign w:val="top"/>
          </w:tcPr>
          <w:p w14:paraId="731D7DB5">
            <w:pPr>
              <w:pStyle w:val="6"/>
              <w:spacing w:before="104" w:line="188" w:lineRule="auto"/>
              <w:ind w:left="484"/>
            </w:pPr>
            <w:r>
              <w:rPr>
                <w:spacing w:val="-2"/>
              </w:rPr>
              <w:t>0.0061</w:t>
            </w:r>
          </w:p>
        </w:tc>
        <w:tc>
          <w:tcPr>
            <w:tcW w:w="1708" w:type="dxa"/>
            <w:vAlign w:val="top"/>
          </w:tcPr>
          <w:p w14:paraId="0D631A68">
            <w:pPr>
              <w:pStyle w:val="6"/>
              <w:spacing w:before="104" w:line="188" w:lineRule="auto"/>
              <w:ind w:left="570"/>
            </w:pPr>
            <w:r>
              <w:rPr>
                <w:spacing w:val="-2"/>
              </w:rPr>
              <w:t>0.0012</w:t>
            </w:r>
          </w:p>
        </w:tc>
        <w:tc>
          <w:tcPr>
            <w:tcW w:w="1540" w:type="dxa"/>
            <w:vAlign w:val="top"/>
          </w:tcPr>
          <w:p w14:paraId="4E7FC1DB">
            <w:pPr>
              <w:pStyle w:val="6"/>
              <w:spacing w:before="104" w:line="188" w:lineRule="auto"/>
              <w:ind w:left="489"/>
            </w:pPr>
            <w:r>
              <w:rPr>
                <w:spacing w:val="-3"/>
              </w:rPr>
              <w:t>0.0116</w:t>
            </w:r>
          </w:p>
        </w:tc>
      </w:tr>
      <w:tr w14:paraId="7FA7D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Align w:val="top"/>
          </w:tcPr>
          <w:p w14:paraId="468A57DD">
            <w:pPr>
              <w:pStyle w:val="6"/>
              <w:spacing w:before="104" w:line="188" w:lineRule="auto"/>
              <w:ind w:left="568"/>
            </w:pPr>
            <w:r>
              <w:rPr>
                <w:spacing w:val="-1"/>
              </w:rPr>
              <w:t>25000.0</w:t>
            </w:r>
          </w:p>
        </w:tc>
        <w:tc>
          <w:tcPr>
            <w:tcW w:w="1708" w:type="dxa"/>
            <w:vAlign w:val="top"/>
          </w:tcPr>
          <w:p w14:paraId="00CB6B3E">
            <w:pPr>
              <w:pStyle w:val="6"/>
              <w:spacing w:before="104" w:line="188" w:lineRule="auto"/>
              <w:ind w:left="567"/>
            </w:pPr>
            <w:r>
              <w:rPr>
                <w:spacing w:val="-2"/>
              </w:rPr>
              <w:t>0.0107</w:t>
            </w:r>
          </w:p>
        </w:tc>
        <w:tc>
          <w:tcPr>
            <w:tcW w:w="1537" w:type="dxa"/>
            <w:vAlign w:val="top"/>
          </w:tcPr>
          <w:p w14:paraId="4CF15EF0">
            <w:pPr>
              <w:pStyle w:val="6"/>
              <w:spacing w:before="104" w:line="188" w:lineRule="auto"/>
              <w:ind w:left="484"/>
            </w:pPr>
            <w:r>
              <w:rPr>
                <w:spacing w:val="-2"/>
              </w:rPr>
              <w:t>0.0054</w:t>
            </w:r>
          </w:p>
        </w:tc>
        <w:tc>
          <w:tcPr>
            <w:tcW w:w="1708" w:type="dxa"/>
            <w:vAlign w:val="top"/>
          </w:tcPr>
          <w:p w14:paraId="4E01C148">
            <w:pPr>
              <w:pStyle w:val="6"/>
              <w:spacing w:before="104" w:line="188" w:lineRule="auto"/>
              <w:ind w:left="570"/>
            </w:pPr>
            <w:r>
              <w:rPr>
                <w:spacing w:val="-2"/>
              </w:rPr>
              <w:t>0.0010</w:t>
            </w:r>
          </w:p>
        </w:tc>
        <w:tc>
          <w:tcPr>
            <w:tcW w:w="1540" w:type="dxa"/>
            <w:vAlign w:val="top"/>
          </w:tcPr>
          <w:p w14:paraId="30030B87">
            <w:pPr>
              <w:pStyle w:val="6"/>
              <w:spacing w:before="104" w:line="188" w:lineRule="auto"/>
              <w:ind w:left="485"/>
            </w:pPr>
            <w:r>
              <w:rPr>
                <w:spacing w:val="-2"/>
              </w:rPr>
              <w:t>0.0102</w:t>
            </w:r>
          </w:p>
        </w:tc>
      </w:tr>
    </w:tbl>
    <w:p w14:paraId="14C331FB">
      <w:pPr>
        <w:pStyle w:val="2"/>
      </w:pPr>
    </w:p>
    <w:p w14:paraId="798E5A72">
      <w:pPr>
        <w:sectPr>
          <w:footerReference r:id="rId306" w:type="default"/>
          <w:pgSz w:w="11905" w:h="16840"/>
          <w:pgMar w:top="1168" w:right="1768" w:bottom="1408" w:left="1770" w:header="828" w:footer="1244" w:gutter="0"/>
          <w:cols w:space="720" w:num="1"/>
        </w:sectPr>
      </w:pPr>
    </w:p>
    <w:p w14:paraId="5DAE8DB4">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10C6F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13A6A575">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196B55F8">
            <w:pPr>
              <w:spacing w:before="63" w:line="220" w:lineRule="auto"/>
              <w:ind w:left="2725"/>
              <w:rPr>
                <w:rFonts w:ascii="宋体" w:hAnsi="宋体" w:eastAsia="宋体" w:cs="宋体"/>
                <w:sz w:val="21"/>
                <w:szCs w:val="21"/>
              </w:rPr>
            </w:pPr>
            <w:r>
              <w:rPr>
                <w:rFonts w:ascii="宋体" w:hAnsi="宋体" w:eastAsia="宋体" w:cs="宋体"/>
                <w:spacing w:val="-2"/>
                <w:sz w:val="21"/>
                <w:szCs w:val="21"/>
              </w:rPr>
              <w:t>堆粪棚点源</w:t>
            </w:r>
          </w:p>
        </w:tc>
      </w:tr>
      <w:tr w14:paraId="742A1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19" w:type="dxa"/>
            <w:vMerge w:val="continue"/>
            <w:tcBorders>
              <w:top w:val="nil"/>
            </w:tcBorders>
            <w:vAlign w:val="top"/>
          </w:tcPr>
          <w:p w14:paraId="0D1F1091">
            <w:pPr>
              <w:rPr>
                <w:rFonts w:ascii="Arial"/>
                <w:sz w:val="21"/>
              </w:rPr>
            </w:pPr>
          </w:p>
        </w:tc>
        <w:tc>
          <w:tcPr>
            <w:tcW w:w="1708" w:type="dxa"/>
            <w:vAlign w:val="top"/>
          </w:tcPr>
          <w:p w14:paraId="1F0BCF79">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4E7A34D7">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5D04A8A7">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0F58311B">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5A166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47A3015F">
            <w:pPr>
              <w:spacing w:before="63" w:line="220" w:lineRule="auto"/>
              <w:ind w:left="184"/>
              <w:rPr>
                <w:rFonts w:ascii="宋体" w:hAnsi="宋体" w:eastAsia="宋体" w:cs="宋体"/>
                <w:sz w:val="21"/>
                <w:szCs w:val="21"/>
              </w:rPr>
            </w:pPr>
            <w:r>
              <w:rPr>
                <w:rFonts w:ascii="宋体" w:hAnsi="宋体" w:eastAsia="宋体" w:cs="宋体"/>
                <w:spacing w:val="-2"/>
                <w:sz w:val="21"/>
                <w:szCs w:val="21"/>
              </w:rPr>
              <w:t>下风向最大浓度</w:t>
            </w:r>
          </w:p>
        </w:tc>
        <w:tc>
          <w:tcPr>
            <w:tcW w:w="1708" w:type="dxa"/>
            <w:vAlign w:val="top"/>
          </w:tcPr>
          <w:p w14:paraId="3D573CDE">
            <w:pPr>
              <w:pStyle w:val="6"/>
              <w:spacing w:before="100" w:line="188" w:lineRule="auto"/>
              <w:ind w:left="567"/>
            </w:pPr>
            <w:r>
              <w:rPr>
                <w:spacing w:val="-2"/>
              </w:rPr>
              <w:t>0.5871</w:t>
            </w:r>
          </w:p>
        </w:tc>
        <w:tc>
          <w:tcPr>
            <w:tcW w:w="1537" w:type="dxa"/>
            <w:vAlign w:val="top"/>
          </w:tcPr>
          <w:p w14:paraId="6ADA5E0A">
            <w:pPr>
              <w:pStyle w:val="6"/>
              <w:spacing w:before="100" w:line="188" w:lineRule="auto"/>
              <w:ind w:left="484"/>
            </w:pPr>
            <w:r>
              <w:rPr>
                <w:spacing w:val="-2"/>
              </w:rPr>
              <w:t>0.2935</w:t>
            </w:r>
          </w:p>
        </w:tc>
        <w:tc>
          <w:tcPr>
            <w:tcW w:w="1708" w:type="dxa"/>
            <w:vAlign w:val="top"/>
          </w:tcPr>
          <w:p w14:paraId="54690347">
            <w:pPr>
              <w:pStyle w:val="6"/>
              <w:spacing w:before="100" w:line="188" w:lineRule="auto"/>
              <w:ind w:left="569"/>
            </w:pPr>
            <w:r>
              <w:rPr>
                <w:spacing w:val="-2"/>
              </w:rPr>
              <w:t>0.0559</w:t>
            </w:r>
          </w:p>
        </w:tc>
        <w:tc>
          <w:tcPr>
            <w:tcW w:w="1540" w:type="dxa"/>
            <w:vAlign w:val="top"/>
          </w:tcPr>
          <w:p w14:paraId="0A641B5F">
            <w:pPr>
              <w:pStyle w:val="6"/>
              <w:spacing w:before="100" w:line="188" w:lineRule="auto"/>
              <w:ind w:left="485"/>
            </w:pPr>
            <w:r>
              <w:rPr>
                <w:spacing w:val="-2"/>
              </w:rPr>
              <w:t>0.5591</w:t>
            </w:r>
          </w:p>
        </w:tc>
      </w:tr>
      <w:tr w14:paraId="6336F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819" w:type="dxa"/>
            <w:vAlign w:val="top"/>
          </w:tcPr>
          <w:p w14:paraId="5EEFFA39">
            <w:pPr>
              <w:spacing w:before="50" w:line="247" w:lineRule="auto"/>
              <w:ind w:left="511" w:right="173" w:hanging="327"/>
              <w:rPr>
                <w:rFonts w:ascii="宋体" w:hAnsi="宋体" w:eastAsia="宋体" w:cs="宋体"/>
                <w:sz w:val="21"/>
                <w:szCs w:val="21"/>
              </w:rPr>
            </w:pPr>
            <w:r>
              <w:rPr>
                <w:rFonts w:ascii="宋体" w:hAnsi="宋体" w:eastAsia="宋体" w:cs="宋体"/>
                <w:spacing w:val="-3"/>
                <w:sz w:val="21"/>
                <w:szCs w:val="21"/>
              </w:rPr>
              <w:t>下风向最大浓度</w:t>
            </w:r>
            <w:r>
              <w:rPr>
                <w:rFonts w:ascii="宋体" w:hAnsi="宋体" w:eastAsia="宋体" w:cs="宋体"/>
                <w:spacing w:val="-5"/>
                <w:sz w:val="21"/>
                <w:szCs w:val="21"/>
              </w:rPr>
              <w:t>出现距离</w:t>
            </w:r>
          </w:p>
        </w:tc>
        <w:tc>
          <w:tcPr>
            <w:tcW w:w="1708" w:type="dxa"/>
            <w:vAlign w:val="top"/>
          </w:tcPr>
          <w:p w14:paraId="4C008EA5">
            <w:pPr>
              <w:pStyle w:val="6"/>
              <w:spacing w:before="242" w:line="188" w:lineRule="auto"/>
              <w:ind w:left="584"/>
            </w:pPr>
            <w:r>
              <w:rPr>
                <w:spacing w:val="-4"/>
              </w:rPr>
              <w:t>1025.0</w:t>
            </w:r>
          </w:p>
        </w:tc>
        <w:tc>
          <w:tcPr>
            <w:tcW w:w="1537" w:type="dxa"/>
            <w:vAlign w:val="top"/>
          </w:tcPr>
          <w:p w14:paraId="59A7BABA">
            <w:pPr>
              <w:pStyle w:val="6"/>
              <w:spacing w:before="242" w:line="188" w:lineRule="auto"/>
              <w:ind w:left="501"/>
            </w:pPr>
            <w:r>
              <w:rPr>
                <w:spacing w:val="-4"/>
              </w:rPr>
              <w:t>1025.0</w:t>
            </w:r>
          </w:p>
        </w:tc>
        <w:tc>
          <w:tcPr>
            <w:tcW w:w="1708" w:type="dxa"/>
            <w:vAlign w:val="top"/>
          </w:tcPr>
          <w:p w14:paraId="5BE0D50E">
            <w:pPr>
              <w:pStyle w:val="6"/>
              <w:spacing w:before="242" w:line="188" w:lineRule="auto"/>
              <w:ind w:left="587"/>
            </w:pPr>
            <w:r>
              <w:rPr>
                <w:spacing w:val="-4"/>
              </w:rPr>
              <w:t>1025.0</w:t>
            </w:r>
          </w:p>
        </w:tc>
        <w:tc>
          <w:tcPr>
            <w:tcW w:w="1540" w:type="dxa"/>
            <w:vAlign w:val="top"/>
          </w:tcPr>
          <w:p w14:paraId="5F3BC669">
            <w:pPr>
              <w:pStyle w:val="6"/>
              <w:spacing w:before="242" w:line="188" w:lineRule="auto"/>
              <w:ind w:left="502"/>
            </w:pPr>
            <w:r>
              <w:rPr>
                <w:spacing w:val="-4"/>
              </w:rPr>
              <w:t>1025.0</w:t>
            </w:r>
          </w:p>
        </w:tc>
      </w:tr>
      <w:tr w14:paraId="5CAA5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7EB6BF8D">
            <w:pPr>
              <w:pStyle w:val="6"/>
              <w:spacing w:before="64" w:line="220" w:lineRule="auto"/>
              <w:ind w:left="220"/>
              <w:rPr>
                <w:rFonts w:ascii="宋体" w:hAnsi="宋体" w:eastAsia="宋体" w:cs="宋体"/>
              </w:rPr>
            </w:pPr>
            <w:r>
              <w:rPr>
                <w:spacing w:val="-1"/>
              </w:rPr>
              <w:t>D10%</w:t>
            </w:r>
            <w:r>
              <w:rPr>
                <w:rFonts w:ascii="宋体" w:hAnsi="宋体" w:eastAsia="宋体" w:cs="宋体"/>
                <w:spacing w:val="-1"/>
              </w:rPr>
              <w:t>最远距离</w:t>
            </w:r>
          </w:p>
        </w:tc>
        <w:tc>
          <w:tcPr>
            <w:tcW w:w="1708" w:type="dxa"/>
            <w:vAlign w:val="top"/>
          </w:tcPr>
          <w:p w14:paraId="3D65E930">
            <w:pPr>
              <w:pStyle w:val="6"/>
              <w:spacing w:before="97" w:line="192" w:lineRule="auto"/>
              <w:ind w:left="819"/>
            </w:pPr>
            <w:r>
              <w:t>/</w:t>
            </w:r>
          </w:p>
        </w:tc>
        <w:tc>
          <w:tcPr>
            <w:tcW w:w="1537" w:type="dxa"/>
            <w:vAlign w:val="top"/>
          </w:tcPr>
          <w:p w14:paraId="1DB1D28E">
            <w:pPr>
              <w:pStyle w:val="6"/>
              <w:spacing w:before="97" w:line="192" w:lineRule="auto"/>
              <w:ind w:left="736"/>
            </w:pPr>
            <w:r>
              <w:t>/</w:t>
            </w:r>
          </w:p>
        </w:tc>
        <w:tc>
          <w:tcPr>
            <w:tcW w:w="1708" w:type="dxa"/>
            <w:vAlign w:val="top"/>
          </w:tcPr>
          <w:p w14:paraId="6328E2AA">
            <w:pPr>
              <w:pStyle w:val="6"/>
              <w:spacing w:before="97" w:line="192" w:lineRule="auto"/>
              <w:ind w:left="822"/>
            </w:pPr>
            <w:r>
              <w:t>/</w:t>
            </w:r>
          </w:p>
        </w:tc>
        <w:tc>
          <w:tcPr>
            <w:tcW w:w="1540" w:type="dxa"/>
            <w:vAlign w:val="top"/>
          </w:tcPr>
          <w:p w14:paraId="40927C13">
            <w:pPr>
              <w:pStyle w:val="6"/>
              <w:spacing w:before="97" w:line="192" w:lineRule="auto"/>
              <w:ind w:left="737"/>
            </w:pPr>
            <w:r>
              <w:t>/</w:t>
            </w:r>
          </w:p>
        </w:tc>
      </w:tr>
    </w:tbl>
    <w:p w14:paraId="38BFBA39">
      <w:pPr>
        <w:spacing w:before="247" w:line="221" w:lineRule="auto"/>
        <w:ind w:left="247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4"/>
          <w:sz w:val="21"/>
          <w:szCs w:val="21"/>
        </w:rPr>
        <w:t xml:space="preserve"> </w:t>
      </w:r>
      <w:r>
        <w:rPr>
          <w:rFonts w:ascii="Times New Roman" w:hAnsi="Times New Roman" w:eastAsia="Times New Roman" w:cs="Times New Roman"/>
          <w:spacing w:val="-1"/>
          <w:sz w:val="21"/>
          <w:szCs w:val="21"/>
        </w:rPr>
        <w:t xml:space="preserve">4.2-12  </w:t>
      </w:r>
      <w:r>
        <w:rPr>
          <w:rFonts w:ascii="黑体" w:hAnsi="黑体" w:eastAsia="黑体" w:cs="黑体"/>
          <w:spacing w:val="-1"/>
          <w:sz w:val="21"/>
          <w:szCs w:val="21"/>
        </w:rPr>
        <w:t>污水处理站点源预测结果表</w:t>
      </w:r>
    </w:p>
    <w:p w14:paraId="701E3A9B">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69C39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819" w:type="dxa"/>
            <w:vMerge w:val="restart"/>
            <w:tcBorders>
              <w:bottom w:val="nil"/>
            </w:tcBorders>
            <w:vAlign w:val="top"/>
          </w:tcPr>
          <w:p w14:paraId="6975D3E6">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544BA5E2">
            <w:pPr>
              <w:spacing w:before="63" w:line="220" w:lineRule="auto"/>
              <w:ind w:left="2516"/>
              <w:rPr>
                <w:rFonts w:ascii="宋体" w:hAnsi="宋体" w:eastAsia="宋体" w:cs="宋体"/>
                <w:sz w:val="21"/>
                <w:szCs w:val="21"/>
              </w:rPr>
            </w:pPr>
            <w:r>
              <w:rPr>
                <w:rFonts w:ascii="宋体" w:hAnsi="宋体" w:eastAsia="宋体" w:cs="宋体"/>
                <w:spacing w:val="-2"/>
                <w:sz w:val="21"/>
                <w:szCs w:val="21"/>
              </w:rPr>
              <w:t>污水处理站点源</w:t>
            </w:r>
          </w:p>
        </w:tc>
      </w:tr>
      <w:tr w14:paraId="60A44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Merge w:val="continue"/>
            <w:tcBorders>
              <w:top w:val="nil"/>
            </w:tcBorders>
            <w:vAlign w:val="top"/>
          </w:tcPr>
          <w:p w14:paraId="0323469F">
            <w:pPr>
              <w:rPr>
                <w:rFonts w:ascii="Arial"/>
                <w:sz w:val="21"/>
              </w:rPr>
            </w:pPr>
          </w:p>
        </w:tc>
        <w:tc>
          <w:tcPr>
            <w:tcW w:w="1708" w:type="dxa"/>
            <w:vAlign w:val="top"/>
          </w:tcPr>
          <w:p w14:paraId="44C1E648">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49C81DC1">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7B0CF0DF">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129EFF5E">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42C2D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266220D">
            <w:pPr>
              <w:pStyle w:val="6"/>
              <w:spacing w:before="98" w:line="188" w:lineRule="auto"/>
              <w:ind w:left="732"/>
            </w:pPr>
            <w:r>
              <w:rPr>
                <w:spacing w:val="-3"/>
              </w:rPr>
              <w:t>50.0</w:t>
            </w:r>
          </w:p>
        </w:tc>
        <w:tc>
          <w:tcPr>
            <w:tcW w:w="1708" w:type="dxa"/>
            <w:vAlign w:val="top"/>
          </w:tcPr>
          <w:p w14:paraId="3EC83E67">
            <w:pPr>
              <w:pStyle w:val="6"/>
              <w:spacing w:before="98" w:line="188" w:lineRule="auto"/>
              <w:ind w:left="567"/>
            </w:pPr>
            <w:r>
              <w:rPr>
                <w:spacing w:val="-2"/>
              </w:rPr>
              <w:t>0.3700</w:t>
            </w:r>
          </w:p>
        </w:tc>
        <w:tc>
          <w:tcPr>
            <w:tcW w:w="1537" w:type="dxa"/>
            <w:vAlign w:val="top"/>
          </w:tcPr>
          <w:p w14:paraId="4EE5EC97">
            <w:pPr>
              <w:pStyle w:val="6"/>
              <w:spacing w:before="98" w:line="188" w:lineRule="auto"/>
              <w:ind w:left="484"/>
            </w:pPr>
            <w:r>
              <w:rPr>
                <w:spacing w:val="-2"/>
              </w:rPr>
              <w:t>0.1850</w:t>
            </w:r>
          </w:p>
        </w:tc>
        <w:tc>
          <w:tcPr>
            <w:tcW w:w="1708" w:type="dxa"/>
            <w:vAlign w:val="top"/>
          </w:tcPr>
          <w:p w14:paraId="063EBEE2">
            <w:pPr>
              <w:pStyle w:val="6"/>
              <w:spacing w:before="98" w:line="188" w:lineRule="auto"/>
              <w:ind w:left="570"/>
            </w:pPr>
            <w:r>
              <w:rPr>
                <w:spacing w:val="-2"/>
              </w:rPr>
              <w:t>0.0126</w:t>
            </w:r>
          </w:p>
        </w:tc>
        <w:tc>
          <w:tcPr>
            <w:tcW w:w="1540" w:type="dxa"/>
            <w:vAlign w:val="top"/>
          </w:tcPr>
          <w:p w14:paraId="7211FDC8">
            <w:pPr>
              <w:pStyle w:val="6"/>
              <w:spacing w:before="98" w:line="188" w:lineRule="auto"/>
              <w:ind w:left="485"/>
            </w:pPr>
            <w:r>
              <w:rPr>
                <w:spacing w:val="-2"/>
              </w:rPr>
              <w:t>0.1261</w:t>
            </w:r>
          </w:p>
        </w:tc>
      </w:tr>
      <w:tr w14:paraId="0001E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0E43019">
            <w:pPr>
              <w:pStyle w:val="6"/>
              <w:spacing w:before="99" w:line="188" w:lineRule="auto"/>
              <w:ind w:left="693"/>
            </w:pPr>
            <w:r>
              <w:rPr>
                <w:spacing w:val="-5"/>
              </w:rPr>
              <w:t>100.0</w:t>
            </w:r>
          </w:p>
        </w:tc>
        <w:tc>
          <w:tcPr>
            <w:tcW w:w="1708" w:type="dxa"/>
            <w:vAlign w:val="top"/>
          </w:tcPr>
          <w:p w14:paraId="2459E480">
            <w:pPr>
              <w:pStyle w:val="6"/>
              <w:spacing w:before="99" w:line="188" w:lineRule="auto"/>
              <w:ind w:left="567"/>
            </w:pPr>
            <w:r>
              <w:rPr>
                <w:spacing w:val="-2"/>
              </w:rPr>
              <w:t>0.7316</w:t>
            </w:r>
          </w:p>
        </w:tc>
        <w:tc>
          <w:tcPr>
            <w:tcW w:w="1537" w:type="dxa"/>
            <w:vAlign w:val="top"/>
          </w:tcPr>
          <w:p w14:paraId="7DBC6789">
            <w:pPr>
              <w:pStyle w:val="6"/>
              <w:spacing w:before="99" w:line="188" w:lineRule="auto"/>
              <w:ind w:left="484"/>
            </w:pPr>
            <w:r>
              <w:rPr>
                <w:spacing w:val="-2"/>
              </w:rPr>
              <w:t>0.3658</w:t>
            </w:r>
          </w:p>
        </w:tc>
        <w:tc>
          <w:tcPr>
            <w:tcW w:w="1708" w:type="dxa"/>
            <w:vAlign w:val="top"/>
          </w:tcPr>
          <w:p w14:paraId="321D4F62">
            <w:pPr>
              <w:pStyle w:val="6"/>
              <w:spacing w:before="99" w:line="188" w:lineRule="auto"/>
              <w:ind w:left="570"/>
            </w:pPr>
            <w:r>
              <w:rPr>
                <w:spacing w:val="-2"/>
              </w:rPr>
              <w:t>0.0249</w:t>
            </w:r>
          </w:p>
        </w:tc>
        <w:tc>
          <w:tcPr>
            <w:tcW w:w="1540" w:type="dxa"/>
            <w:vAlign w:val="top"/>
          </w:tcPr>
          <w:p w14:paraId="18429206">
            <w:pPr>
              <w:pStyle w:val="6"/>
              <w:spacing w:before="99" w:line="188" w:lineRule="auto"/>
              <w:ind w:left="485"/>
            </w:pPr>
            <w:r>
              <w:rPr>
                <w:spacing w:val="-2"/>
              </w:rPr>
              <w:t>0.2494</w:t>
            </w:r>
          </w:p>
        </w:tc>
      </w:tr>
      <w:tr w14:paraId="0645A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DEEDE45">
            <w:pPr>
              <w:pStyle w:val="6"/>
              <w:spacing w:before="99" w:line="188" w:lineRule="auto"/>
              <w:ind w:left="673"/>
            </w:pPr>
            <w:r>
              <w:rPr>
                <w:spacing w:val="-1"/>
              </w:rPr>
              <w:t>200.0</w:t>
            </w:r>
          </w:p>
        </w:tc>
        <w:tc>
          <w:tcPr>
            <w:tcW w:w="1708" w:type="dxa"/>
            <w:vAlign w:val="top"/>
          </w:tcPr>
          <w:p w14:paraId="5DD528EB">
            <w:pPr>
              <w:pStyle w:val="6"/>
              <w:spacing w:before="99" w:line="188" w:lineRule="auto"/>
              <w:ind w:left="568"/>
            </w:pPr>
            <w:r>
              <w:rPr>
                <w:spacing w:val="-2"/>
              </w:rPr>
              <w:t>7.1595</w:t>
            </w:r>
          </w:p>
        </w:tc>
        <w:tc>
          <w:tcPr>
            <w:tcW w:w="1537" w:type="dxa"/>
            <w:vAlign w:val="top"/>
          </w:tcPr>
          <w:p w14:paraId="35669BED">
            <w:pPr>
              <w:pStyle w:val="6"/>
              <w:spacing w:before="99" w:line="188" w:lineRule="auto"/>
              <w:ind w:left="485"/>
            </w:pPr>
            <w:r>
              <w:rPr>
                <w:spacing w:val="-2"/>
              </w:rPr>
              <w:t>3.5798</w:t>
            </w:r>
          </w:p>
        </w:tc>
        <w:tc>
          <w:tcPr>
            <w:tcW w:w="1708" w:type="dxa"/>
            <w:vAlign w:val="top"/>
          </w:tcPr>
          <w:p w14:paraId="29712B21">
            <w:pPr>
              <w:pStyle w:val="6"/>
              <w:spacing w:before="99" w:line="188" w:lineRule="auto"/>
              <w:ind w:left="570"/>
            </w:pPr>
            <w:r>
              <w:rPr>
                <w:spacing w:val="-2"/>
              </w:rPr>
              <w:t>0.2441</w:t>
            </w:r>
          </w:p>
        </w:tc>
        <w:tc>
          <w:tcPr>
            <w:tcW w:w="1540" w:type="dxa"/>
            <w:vAlign w:val="top"/>
          </w:tcPr>
          <w:p w14:paraId="1D567836">
            <w:pPr>
              <w:pStyle w:val="6"/>
              <w:spacing w:before="99" w:line="188" w:lineRule="auto"/>
              <w:ind w:left="482"/>
            </w:pPr>
            <w:r>
              <w:rPr>
                <w:spacing w:val="-1"/>
              </w:rPr>
              <w:t>2.4407</w:t>
            </w:r>
          </w:p>
        </w:tc>
      </w:tr>
      <w:tr w14:paraId="0F12C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DDA862F">
            <w:pPr>
              <w:pStyle w:val="6"/>
              <w:spacing w:before="99" w:line="188" w:lineRule="auto"/>
              <w:ind w:left="678"/>
            </w:pPr>
            <w:r>
              <w:rPr>
                <w:spacing w:val="-2"/>
              </w:rPr>
              <w:t>300.0</w:t>
            </w:r>
          </w:p>
        </w:tc>
        <w:tc>
          <w:tcPr>
            <w:tcW w:w="1708" w:type="dxa"/>
            <w:vAlign w:val="top"/>
          </w:tcPr>
          <w:p w14:paraId="46A67A35">
            <w:pPr>
              <w:pStyle w:val="6"/>
              <w:spacing w:before="99" w:line="188" w:lineRule="auto"/>
              <w:ind w:left="563"/>
            </w:pPr>
            <w:r>
              <w:rPr>
                <w:spacing w:val="-1"/>
              </w:rPr>
              <w:t>4.9592</w:t>
            </w:r>
          </w:p>
        </w:tc>
        <w:tc>
          <w:tcPr>
            <w:tcW w:w="1537" w:type="dxa"/>
            <w:vAlign w:val="top"/>
          </w:tcPr>
          <w:p w14:paraId="4C14CD18">
            <w:pPr>
              <w:pStyle w:val="6"/>
              <w:spacing w:before="99" w:line="188" w:lineRule="auto"/>
              <w:ind w:left="481"/>
            </w:pPr>
            <w:r>
              <w:rPr>
                <w:spacing w:val="-1"/>
              </w:rPr>
              <w:t>2.4796</w:t>
            </w:r>
          </w:p>
        </w:tc>
        <w:tc>
          <w:tcPr>
            <w:tcW w:w="1708" w:type="dxa"/>
            <w:vAlign w:val="top"/>
          </w:tcPr>
          <w:p w14:paraId="54880C71">
            <w:pPr>
              <w:pStyle w:val="6"/>
              <w:spacing w:before="99" w:line="188" w:lineRule="auto"/>
              <w:ind w:left="570"/>
            </w:pPr>
            <w:r>
              <w:rPr>
                <w:spacing w:val="-2"/>
              </w:rPr>
              <w:t>0.1691</w:t>
            </w:r>
          </w:p>
        </w:tc>
        <w:tc>
          <w:tcPr>
            <w:tcW w:w="1540" w:type="dxa"/>
            <w:vAlign w:val="top"/>
          </w:tcPr>
          <w:p w14:paraId="59E3E614">
            <w:pPr>
              <w:pStyle w:val="6"/>
              <w:spacing w:before="99" w:line="188" w:lineRule="auto"/>
              <w:ind w:left="502"/>
            </w:pPr>
            <w:r>
              <w:rPr>
                <w:spacing w:val="-5"/>
              </w:rPr>
              <w:t>1.6906</w:t>
            </w:r>
          </w:p>
        </w:tc>
      </w:tr>
      <w:tr w14:paraId="1055C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1E5FC35">
            <w:pPr>
              <w:pStyle w:val="6"/>
              <w:spacing w:before="99" w:line="188" w:lineRule="auto"/>
              <w:ind w:left="672"/>
            </w:pPr>
            <w:r>
              <w:rPr>
                <w:spacing w:val="-1"/>
              </w:rPr>
              <w:t>400.0</w:t>
            </w:r>
          </w:p>
        </w:tc>
        <w:tc>
          <w:tcPr>
            <w:tcW w:w="1708" w:type="dxa"/>
            <w:vAlign w:val="top"/>
          </w:tcPr>
          <w:p w14:paraId="5CF60059">
            <w:pPr>
              <w:pStyle w:val="6"/>
              <w:spacing w:before="99" w:line="188" w:lineRule="auto"/>
              <w:ind w:left="563"/>
            </w:pPr>
            <w:r>
              <w:rPr>
                <w:spacing w:val="-1"/>
              </w:rPr>
              <w:t>4.8688</w:t>
            </w:r>
          </w:p>
        </w:tc>
        <w:tc>
          <w:tcPr>
            <w:tcW w:w="1537" w:type="dxa"/>
            <w:vAlign w:val="top"/>
          </w:tcPr>
          <w:p w14:paraId="067F02A6">
            <w:pPr>
              <w:pStyle w:val="6"/>
              <w:spacing w:before="99" w:line="188" w:lineRule="auto"/>
              <w:ind w:left="481"/>
            </w:pPr>
            <w:r>
              <w:rPr>
                <w:spacing w:val="-1"/>
              </w:rPr>
              <w:t>2.4344</w:t>
            </w:r>
          </w:p>
        </w:tc>
        <w:tc>
          <w:tcPr>
            <w:tcW w:w="1708" w:type="dxa"/>
            <w:vAlign w:val="top"/>
          </w:tcPr>
          <w:p w14:paraId="2C7EABA8">
            <w:pPr>
              <w:pStyle w:val="6"/>
              <w:spacing w:before="99" w:line="188" w:lineRule="auto"/>
              <w:ind w:left="570"/>
            </w:pPr>
            <w:r>
              <w:rPr>
                <w:spacing w:val="-2"/>
              </w:rPr>
              <w:t>0.1660</w:t>
            </w:r>
          </w:p>
        </w:tc>
        <w:tc>
          <w:tcPr>
            <w:tcW w:w="1540" w:type="dxa"/>
            <w:vAlign w:val="top"/>
          </w:tcPr>
          <w:p w14:paraId="32AFAE69">
            <w:pPr>
              <w:pStyle w:val="6"/>
              <w:spacing w:before="99" w:line="188" w:lineRule="auto"/>
              <w:ind w:left="502"/>
            </w:pPr>
            <w:r>
              <w:rPr>
                <w:spacing w:val="-5"/>
              </w:rPr>
              <w:t>1.6598</w:t>
            </w:r>
          </w:p>
        </w:tc>
      </w:tr>
      <w:tr w14:paraId="3E299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16A5ED9">
            <w:pPr>
              <w:pStyle w:val="6"/>
              <w:spacing w:before="99" w:line="188" w:lineRule="auto"/>
              <w:ind w:left="679"/>
            </w:pPr>
            <w:r>
              <w:rPr>
                <w:spacing w:val="-2"/>
              </w:rPr>
              <w:t>500.0</w:t>
            </w:r>
          </w:p>
        </w:tc>
        <w:tc>
          <w:tcPr>
            <w:tcW w:w="1708" w:type="dxa"/>
            <w:vAlign w:val="top"/>
          </w:tcPr>
          <w:p w14:paraId="0E7394E5">
            <w:pPr>
              <w:pStyle w:val="6"/>
              <w:spacing w:before="99" w:line="188" w:lineRule="auto"/>
              <w:ind w:left="564"/>
            </w:pPr>
            <w:r>
              <w:rPr>
                <w:spacing w:val="-1"/>
              </w:rPr>
              <w:t>2.8719</w:t>
            </w:r>
          </w:p>
        </w:tc>
        <w:tc>
          <w:tcPr>
            <w:tcW w:w="1537" w:type="dxa"/>
            <w:vAlign w:val="top"/>
          </w:tcPr>
          <w:p w14:paraId="578F1CB4">
            <w:pPr>
              <w:pStyle w:val="6"/>
              <w:spacing w:before="99" w:line="188" w:lineRule="auto"/>
              <w:ind w:left="501"/>
            </w:pPr>
            <w:r>
              <w:rPr>
                <w:spacing w:val="-5"/>
              </w:rPr>
              <w:t>1.4360</w:t>
            </w:r>
          </w:p>
        </w:tc>
        <w:tc>
          <w:tcPr>
            <w:tcW w:w="1708" w:type="dxa"/>
            <w:vAlign w:val="top"/>
          </w:tcPr>
          <w:p w14:paraId="527E297C">
            <w:pPr>
              <w:pStyle w:val="6"/>
              <w:spacing w:before="99" w:line="188" w:lineRule="auto"/>
              <w:ind w:left="570"/>
            </w:pPr>
            <w:r>
              <w:rPr>
                <w:spacing w:val="-2"/>
              </w:rPr>
              <w:t>0.0979</w:t>
            </w:r>
          </w:p>
        </w:tc>
        <w:tc>
          <w:tcPr>
            <w:tcW w:w="1540" w:type="dxa"/>
            <w:vAlign w:val="top"/>
          </w:tcPr>
          <w:p w14:paraId="7302788A">
            <w:pPr>
              <w:pStyle w:val="6"/>
              <w:spacing w:before="99" w:line="188" w:lineRule="auto"/>
              <w:ind w:left="485"/>
            </w:pPr>
            <w:r>
              <w:rPr>
                <w:spacing w:val="-2"/>
              </w:rPr>
              <w:t>0.9791</w:t>
            </w:r>
          </w:p>
        </w:tc>
      </w:tr>
      <w:tr w14:paraId="7F16E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20A27BC">
            <w:pPr>
              <w:pStyle w:val="6"/>
              <w:spacing w:before="99" w:line="188" w:lineRule="auto"/>
              <w:ind w:left="678"/>
            </w:pPr>
            <w:r>
              <w:rPr>
                <w:spacing w:val="-2"/>
              </w:rPr>
              <w:t>600.0</w:t>
            </w:r>
          </w:p>
        </w:tc>
        <w:tc>
          <w:tcPr>
            <w:tcW w:w="1708" w:type="dxa"/>
            <w:vAlign w:val="top"/>
          </w:tcPr>
          <w:p w14:paraId="6DFA1F4B">
            <w:pPr>
              <w:pStyle w:val="6"/>
              <w:spacing w:before="99" w:line="188" w:lineRule="auto"/>
              <w:ind w:left="564"/>
            </w:pPr>
            <w:r>
              <w:rPr>
                <w:spacing w:val="-1"/>
              </w:rPr>
              <w:t>2.6738</w:t>
            </w:r>
          </w:p>
        </w:tc>
        <w:tc>
          <w:tcPr>
            <w:tcW w:w="1537" w:type="dxa"/>
            <w:vAlign w:val="top"/>
          </w:tcPr>
          <w:p w14:paraId="11F3556B">
            <w:pPr>
              <w:pStyle w:val="6"/>
              <w:spacing w:before="99" w:line="188" w:lineRule="auto"/>
              <w:ind w:left="501"/>
            </w:pPr>
            <w:r>
              <w:rPr>
                <w:spacing w:val="-5"/>
              </w:rPr>
              <w:t>1.3369</w:t>
            </w:r>
          </w:p>
        </w:tc>
        <w:tc>
          <w:tcPr>
            <w:tcW w:w="1708" w:type="dxa"/>
            <w:vAlign w:val="top"/>
          </w:tcPr>
          <w:p w14:paraId="03EA2610">
            <w:pPr>
              <w:pStyle w:val="6"/>
              <w:spacing w:before="99" w:line="188" w:lineRule="auto"/>
              <w:ind w:left="570"/>
            </w:pPr>
            <w:r>
              <w:rPr>
                <w:spacing w:val="-2"/>
              </w:rPr>
              <w:t>0.0912</w:t>
            </w:r>
          </w:p>
        </w:tc>
        <w:tc>
          <w:tcPr>
            <w:tcW w:w="1540" w:type="dxa"/>
            <w:vAlign w:val="top"/>
          </w:tcPr>
          <w:p w14:paraId="7961C025">
            <w:pPr>
              <w:pStyle w:val="6"/>
              <w:spacing w:before="99" w:line="188" w:lineRule="auto"/>
              <w:ind w:left="489"/>
            </w:pPr>
            <w:r>
              <w:rPr>
                <w:spacing w:val="-3"/>
              </w:rPr>
              <w:t>0.9115</w:t>
            </w:r>
          </w:p>
        </w:tc>
      </w:tr>
      <w:tr w14:paraId="1AD46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3DC33D0C">
            <w:pPr>
              <w:pStyle w:val="6"/>
              <w:spacing w:before="100" w:line="188" w:lineRule="auto"/>
              <w:ind w:left="677"/>
            </w:pPr>
            <w:r>
              <w:rPr>
                <w:spacing w:val="-2"/>
              </w:rPr>
              <w:t>700.0</w:t>
            </w:r>
          </w:p>
        </w:tc>
        <w:tc>
          <w:tcPr>
            <w:tcW w:w="1708" w:type="dxa"/>
            <w:vAlign w:val="top"/>
          </w:tcPr>
          <w:p w14:paraId="5BFCB64E">
            <w:pPr>
              <w:pStyle w:val="6"/>
              <w:spacing w:before="100" w:line="188" w:lineRule="auto"/>
              <w:ind w:left="564"/>
            </w:pPr>
            <w:r>
              <w:rPr>
                <w:spacing w:val="-1"/>
              </w:rPr>
              <w:t>2.4910</w:t>
            </w:r>
          </w:p>
        </w:tc>
        <w:tc>
          <w:tcPr>
            <w:tcW w:w="1537" w:type="dxa"/>
            <w:vAlign w:val="top"/>
          </w:tcPr>
          <w:p w14:paraId="353547AA">
            <w:pPr>
              <w:pStyle w:val="6"/>
              <w:spacing w:before="100" w:line="188" w:lineRule="auto"/>
              <w:ind w:left="501"/>
            </w:pPr>
            <w:r>
              <w:rPr>
                <w:spacing w:val="-5"/>
              </w:rPr>
              <w:t>1.2455</w:t>
            </w:r>
          </w:p>
        </w:tc>
        <w:tc>
          <w:tcPr>
            <w:tcW w:w="1708" w:type="dxa"/>
            <w:vAlign w:val="top"/>
          </w:tcPr>
          <w:p w14:paraId="32ECAC52">
            <w:pPr>
              <w:pStyle w:val="6"/>
              <w:spacing w:before="100" w:line="188" w:lineRule="auto"/>
              <w:ind w:left="570"/>
            </w:pPr>
            <w:r>
              <w:rPr>
                <w:spacing w:val="-2"/>
              </w:rPr>
              <w:t>0.0849</w:t>
            </w:r>
          </w:p>
        </w:tc>
        <w:tc>
          <w:tcPr>
            <w:tcW w:w="1540" w:type="dxa"/>
            <w:vAlign w:val="top"/>
          </w:tcPr>
          <w:p w14:paraId="2300FE6E">
            <w:pPr>
              <w:pStyle w:val="6"/>
              <w:spacing w:before="100" w:line="188" w:lineRule="auto"/>
              <w:ind w:left="485"/>
            </w:pPr>
            <w:r>
              <w:rPr>
                <w:spacing w:val="-2"/>
              </w:rPr>
              <w:t>0.8492</w:t>
            </w:r>
          </w:p>
        </w:tc>
      </w:tr>
      <w:tr w14:paraId="5DF8F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30E536D8">
            <w:pPr>
              <w:pStyle w:val="6"/>
              <w:spacing w:before="100" w:line="188" w:lineRule="auto"/>
              <w:ind w:left="682"/>
            </w:pPr>
            <w:r>
              <w:rPr>
                <w:spacing w:val="-3"/>
              </w:rPr>
              <w:t>800.0</w:t>
            </w:r>
          </w:p>
        </w:tc>
        <w:tc>
          <w:tcPr>
            <w:tcW w:w="1708" w:type="dxa"/>
            <w:vAlign w:val="top"/>
          </w:tcPr>
          <w:p w14:paraId="54F6958C">
            <w:pPr>
              <w:pStyle w:val="6"/>
              <w:spacing w:before="100" w:line="188" w:lineRule="auto"/>
              <w:ind w:left="584"/>
            </w:pPr>
            <w:r>
              <w:rPr>
                <w:spacing w:val="-5"/>
              </w:rPr>
              <w:t>1.1797</w:t>
            </w:r>
          </w:p>
        </w:tc>
        <w:tc>
          <w:tcPr>
            <w:tcW w:w="1537" w:type="dxa"/>
            <w:vAlign w:val="top"/>
          </w:tcPr>
          <w:p w14:paraId="5F112FB9">
            <w:pPr>
              <w:pStyle w:val="6"/>
              <w:spacing w:before="100" w:line="188" w:lineRule="auto"/>
              <w:ind w:left="484"/>
            </w:pPr>
            <w:r>
              <w:rPr>
                <w:spacing w:val="-2"/>
              </w:rPr>
              <w:t>0.5898</w:t>
            </w:r>
          </w:p>
        </w:tc>
        <w:tc>
          <w:tcPr>
            <w:tcW w:w="1708" w:type="dxa"/>
            <w:vAlign w:val="top"/>
          </w:tcPr>
          <w:p w14:paraId="453D76A8">
            <w:pPr>
              <w:pStyle w:val="6"/>
              <w:spacing w:before="100" w:line="188" w:lineRule="auto"/>
              <w:ind w:left="570"/>
            </w:pPr>
            <w:r>
              <w:rPr>
                <w:spacing w:val="-2"/>
              </w:rPr>
              <w:t>0.0402</w:t>
            </w:r>
          </w:p>
        </w:tc>
        <w:tc>
          <w:tcPr>
            <w:tcW w:w="1540" w:type="dxa"/>
            <w:vAlign w:val="top"/>
          </w:tcPr>
          <w:p w14:paraId="6F00B316">
            <w:pPr>
              <w:pStyle w:val="6"/>
              <w:spacing w:before="100" w:line="188" w:lineRule="auto"/>
              <w:ind w:left="485"/>
            </w:pPr>
            <w:r>
              <w:rPr>
                <w:spacing w:val="-2"/>
              </w:rPr>
              <w:t>0.4022</w:t>
            </w:r>
          </w:p>
        </w:tc>
      </w:tr>
      <w:tr w14:paraId="07333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3B39806">
            <w:pPr>
              <w:pStyle w:val="6"/>
              <w:spacing w:before="101" w:line="188" w:lineRule="auto"/>
              <w:ind w:left="677"/>
            </w:pPr>
            <w:r>
              <w:rPr>
                <w:spacing w:val="-2"/>
              </w:rPr>
              <w:t>900.0</w:t>
            </w:r>
          </w:p>
        </w:tc>
        <w:tc>
          <w:tcPr>
            <w:tcW w:w="1708" w:type="dxa"/>
            <w:vAlign w:val="top"/>
          </w:tcPr>
          <w:p w14:paraId="22A43A81">
            <w:pPr>
              <w:pStyle w:val="6"/>
              <w:spacing w:before="101" w:line="188" w:lineRule="auto"/>
              <w:ind w:left="564"/>
            </w:pPr>
            <w:r>
              <w:rPr>
                <w:spacing w:val="-1"/>
              </w:rPr>
              <w:t>2.6993</w:t>
            </w:r>
          </w:p>
        </w:tc>
        <w:tc>
          <w:tcPr>
            <w:tcW w:w="1537" w:type="dxa"/>
            <w:vAlign w:val="top"/>
          </w:tcPr>
          <w:p w14:paraId="70381290">
            <w:pPr>
              <w:pStyle w:val="6"/>
              <w:spacing w:before="101" w:line="188" w:lineRule="auto"/>
              <w:ind w:left="501"/>
            </w:pPr>
            <w:r>
              <w:rPr>
                <w:spacing w:val="-5"/>
              </w:rPr>
              <w:t>1.3497</w:t>
            </w:r>
          </w:p>
        </w:tc>
        <w:tc>
          <w:tcPr>
            <w:tcW w:w="1708" w:type="dxa"/>
            <w:vAlign w:val="top"/>
          </w:tcPr>
          <w:p w14:paraId="345B848E">
            <w:pPr>
              <w:pStyle w:val="6"/>
              <w:spacing w:before="101" w:line="188" w:lineRule="auto"/>
              <w:ind w:left="570"/>
            </w:pPr>
            <w:r>
              <w:rPr>
                <w:spacing w:val="-2"/>
              </w:rPr>
              <w:t>0.0920</w:t>
            </w:r>
          </w:p>
        </w:tc>
        <w:tc>
          <w:tcPr>
            <w:tcW w:w="1540" w:type="dxa"/>
            <w:vAlign w:val="top"/>
          </w:tcPr>
          <w:p w14:paraId="00079D79">
            <w:pPr>
              <w:pStyle w:val="6"/>
              <w:spacing w:before="101" w:line="188" w:lineRule="auto"/>
              <w:ind w:left="485"/>
            </w:pPr>
            <w:r>
              <w:rPr>
                <w:spacing w:val="-2"/>
              </w:rPr>
              <w:t>0.9202</w:t>
            </w:r>
          </w:p>
        </w:tc>
      </w:tr>
      <w:tr w14:paraId="604C9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B2D1EDD">
            <w:pPr>
              <w:pStyle w:val="6"/>
              <w:spacing w:before="101" w:line="188" w:lineRule="auto"/>
              <w:ind w:left="641"/>
            </w:pPr>
            <w:r>
              <w:rPr>
                <w:spacing w:val="-4"/>
              </w:rPr>
              <w:t>1000.0</w:t>
            </w:r>
          </w:p>
        </w:tc>
        <w:tc>
          <w:tcPr>
            <w:tcW w:w="1708" w:type="dxa"/>
            <w:vAlign w:val="top"/>
          </w:tcPr>
          <w:p w14:paraId="0733966C">
            <w:pPr>
              <w:pStyle w:val="6"/>
              <w:spacing w:before="101" w:line="188" w:lineRule="auto"/>
              <w:ind w:left="584"/>
            </w:pPr>
            <w:r>
              <w:rPr>
                <w:spacing w:val="-5"/>
              </w:rPr>
              <w:t>1.1845</w:t>
            </w:r>
          </w:p>
        </w:tc>
        <w:tc>
          <w:tcPr>
            <w:tcW w:w="1537" w:type="dxa"/>
            <w:vAlign w:val="top"/>
          </w:tcPr>
          <w:p w14:paraId="310A775A">
            <w:pPr>
              <w:pStyle w:val="6"/>
              <w:spacing w:before="101" w:line="188" w:lineRule="auto"/>
              <w:ind w:left="484"/>
            </w:pPr>
            <w:r>
              <w:rPr>
                <w:spacing w:val="-2"/>
              </w:rPr>
              <w:t>0.5923</w:t>
            </w:r>
          </w:p>
        </w:tc>
        <w:tc>
          <w:tcPr>
            <w:tcW w:w="1708" w:type="dxa"/>
            <w:vAlign w:val="top"/>
          </w:tcPr>
          <w:p w14:paraId="1364DE5A">
            <w:pPr>
              <w:pStyle w:val="6"/>
              <w:spacing w:before="101" w:line="188" w:lineRule="auto"/>
              <w:ind w:left="570"/>
            </w:pPr>
            <w:r>
              <w:rPr>
                <w:spacing w:val="-2"/>
              </w:rPr>
              <w:t>0.0404</w:t>
            </w:r>
          </w:p>
        </w:tc>
        <w:tc>
          <w:tcPr>
            <w:tcW w:w="1540" w:type="dxa"/>
            <w:vAlign w:val="top"/>
          </w:tcPr>
          <w:p w14:paraId="4A05CC21">
            <w:pPr>
              <w:pStyle w:val="6"/>
              <w:spacing w:before="101" w:line="188" w:lineRule="auto"/>
              <w:ind w:left="485"/>
            </w:pPr>
            <w:r>
              <w:rPr>
                <w:spacing w:val="-2"/>
              </w:rPr>
              <w:t>0.4038</w:t>
            </w:r>
          </w:p>
        </w:tc>
      </w:tr>
      <w:tr w14:paraId="53E36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5FFBBE3">
            <w:pPr>
              <w:pStyle w:val="6"/>
              <w:spacing w:before="101" w:line="188" w:lineRule="auto"/>
              <w:ind w:left="641"/>
            </w:pPr>
            <w:r>
              <w:rPr>
                <w:spacing w:val="-4"/>
              </w:rPr>
              <w:t>1200.0</w:t>
            </w:r>
          </w:p>
        </w:tc>
        <w:tc>
          <w:tcPr>
            <w:tcW w:w="1708" w:type="dxa"/>
            <w:vAlign w:val="top"/>
          </w:tcPr>
          <w:p w14:paraId="21F151E7">
            <w:pPr>
              <w:pStyle w:val="6"/>
              <w:spacing w:before="101" w:line="188" w:lineRule="auto"/>
              <w:ind w:left="567"/>
            </w:pPr>
            <w:r>
              <w:rPr>
                <w:spacing w:val="-2"/>
              </w:rPr>
              <w:t>0.7263</w:t>
            </w:r>
          </w:p>
        </w:tc>
        <w:tc>
          <w:tcPr>
            <w:tcW w:w="1537" w:type="dxa"/>
            <w:vAlign w:val="top"/>
          </w:tcPr>
          <w:p w14:paraId="211DC9FA">
            <w:pPr>
              <w:pStyle w:val="6"/>
              <w:spacing w:before="101" w:line="188" w:lineRule="auto"/>
              <w:ind w:left="484"/>
            </w:pPr>
            <w:r>
              <w:rPr>
                <w:spacing w:val="-2"/>
              </w:rPr>
              <w:t>0.3631</w:t>
            </w:r>
          </w:p>
        </w:tc>
        <w:tc>
          <w:tcPr>
            <w:tcW w:w="1708" w:type="dxa"/>
            <w:vAlign w:val="top"/>
          </w:tcPr>
          <w:p w14:paraId="382B740E">
            <w:pPr>
              <w:pStyle w:val="6"/>
              <w:spacing w:before="101" w:line="188" w:lineRule="auto"/>
              <w:ind w:left="570"/>
            </w:pPr>
            <w:r>
              <w:rPr>
                <w:spacing w:val="-2"/>
              </w:rPr>
              <w:t>0.0248</w:t>
            </w:r>
          </w:p>
        </w:tc>
        <w:tc>
          <w:tcPr>
            <w:tcW w:w="1540" w:type="dxa"/>
            <w:vAlign w:val="top"/>
          </w:tcPr>
          <w:p w14:paraId="75B9AC6A">
            <w:pPr>
              <w:pStyle w:val="6"/>
              <w:spacing w:before="101" w:line="188" w:lineRule="auto"/>
              <w:ind w:left="485"/>
            </w:pPr>
            <w:r>
              <w:rPr>
                <w:spacing w:val="-2"/>
              </w:rPr>
              <w:t>0.2476</w:t>
            </w:r>
          </w:p>
        </w:tc>
      </w:tr>
      <w:tr w14:paraId="6007B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283268C">
            <w:pPr>
              <w:pStyle w:val="6"/>
              <w:spacing w:before="101" w:line="188" w:lineRule="auto"/>
              <w:ind w:left="641"/>
            </w:pPr>
            <w:r>
              <w:rPr>
                <w:spacing w:val="-4"/>
              </w:rPr>
              <w:t>1400.0</w:t>
            </w:r>
          </w:p>
        </w:tc>
        <w:tc>
          <w:tcPr>
            <w:tcW w:w="1708" w:type="dxa"/>
            <w:vAlign w:val="top"/>
          </w:tcPr>
          <w:p w14:paraId="494BD0E9">
            <w:pPr>
              <w:pStyle w:val="6"/>
              <w:spacing w:before="101" w:line="188" w:lineRule="auto"/>
              <w:ind w:left="567"/>
            </w:pPr>
            <w:r>
              <w:rPr>
                <w:spacing w:val="-2"/>
              </w:rPr>
              <w:t>0.8149</w:t>
            </w:r>
          </w:p>
        </w:tc>
        <w:tc>
          <w:tcPr>
            <w:tcW w:w="1537" w:type="dxa"/>
            <w:vAlign w:val="top"/>
          </w:tcPr>
          <w:p w14:paraId="76FE1F58">
            <w:pPr>
              <w:pStyle w:val="6"/>
              <w:spacing w:before="101" w:line="188" w:lineRule="auto"/>
              <w:ind w:left="484"/>
            </w:pPr>
            <w:r>
              <w:rPr>
                <w:spacing w:val="-2"/>
              </w:rPr>
              <w:t>0.4074</w:t>
            </w:r>
          </w:p>
        </w:tc>
        <w:tc>
          <w:tcPr>
            <w:tcW w:w="1708" w:type="dxa"/>
            <w:vAlign w:val="top"/>
          </w:tcPr>
          <w:p w14:paraId="16361AD8">
            <w:pPr>
              <w:pStyle w:val="6"/>
              <w:spacing w:before="101" w:line="188" w:lineRule="auto"/>
              <w:ind w:left="570"/>
            </w:pPr>
            <w:r>
              <w:rPr>
                <w:spacing w:val="-2"/>
              </w:rPr>
              <w:t>0.0278</w:t>
            </w:r>
          </w:p>
        </w:tc>
        <w:tc>
          <w:tcPr>
            <w:tcW w:w="1540" w:type="dxa"/>
            <w:vAlign w:val="top"/>
          </w:tcPr>
          <w:p w14:paraId="33A86B23">
            <w:pPr>
              <w:pStyle w:val="6"/>
              <w:spacing w:before="101" w:line="188" w:lineRule="auto"/>
              <w:ind w:left="485"/>
            </w:pPr>
            <w:r>
              <w:rPr>
                <w:spacing w:val="-2"/>
              </w:rPr>
              <w:t>0.2778</w:t>
            </w:r>
          </w:p>
        </w:tc>
      </w:tr>
      <w:tr w14:paraId="40192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261F2C0">
            <w:pPr>
              <w:pStyle w:val="6"/>
              <w:spacing w:before="101" w:line="188" w:lineRule="auto"/>
              <w:ind w:left="641"/>
            </w:pPr>
            <w:r>
              <w:rPr>
                <w:spacing w:val="-4"/>
              </w:rPr>
              <w:t>1600.0</w:t>
            </w:r>
          </w:p>
        </w:tc>
        <w:tc>
          <w:tcPr>
            <w:tcW w:w="1708" w:type="dxa"/>
            <w:vAlign w:val="top"/>
          </w:tcPr>
          <w:p w14:paraId="32239BD5">
            <w:pPr>
              <w:pStyle w:val="6"/>
              <w:spacing w:before="101" w:line="188" w:lineRule="auto"/>
              <w:ind w:left="584"/>
            </w:pPr>
            <w:r>
              <w:rPr>
                <w:spacing w:val="-5"/>
              </w:rPr>
              <w:t>1.1968</w:t>
            </w:r>
          </w:p>
        </w:tc>
        <w:tc>
          <w:tcPr>
            <w:tcW w:w="1537" w:type="dxa"/>
            <w:vAlign w:val="top"/>
          </w:tcPr>
          <w:p w14:paraId="04A54AC7">
            <w:pPr>
              <w:pStyle w:val="6"/>
              <w:spacing w:before="101" w:line="188" w:lineRule="auto"/>
              <w:ind w:left="484"/>
            </w:pPr>
            <w:r>
              <w:rPr>
                <w:spacing w:val="-2"/>
              </w:rPr>
              <w:t>0.5984</w:t>
            </w:r>
          </w:p>
        </w:tc>
        <w:tc>
          <w:tcPr>
            <w:tcW w:w="1708" w:type="dxa"/>
            <w:vAlign w:val="top"/>
          </w:tcPr>
          <w:p w14:paraId="458E5BF4">
            <w:pPr>
              <w:pStyle w:val="6"/>
              <w:spacing w:before="101" w:line="188" w:lineRule="auto"/>
              <w:ind w:left="570"/>
            </w:pPr>
            <w:r>
              <w:rPr>
                <w:spacing w:val="-2"/>
              </w:rPr>
              <w:t>0.0408</w:t>
            </w:r>
          </w:p>
        </w:tc>
        <w:tc>
          <w:tcPr>
            <w:tcW w:w="1540" w:type="dxa"/>
            <w:vAlign w:val="top"/>
          </w:tcPr>
          <w:p w14:paraId="300EB9B3">
            <w:pPr>
              <w:pStyle w:val="6"/>
              <w:spacing w:before="101" w:line="188" w:lineRule="auto"/>
              <w:ind w:left="485"/>
            </w:pPr>
            <w:r>
              <w:rPr>
                <w:spacing w:val="-2"/>
              </w:rPr>
              <w:t>0.4080</w:t>
            </w:r>
          </w:p>
        </w:tc>
      </w:tr>
      <w:tr w14:paraId="02BE6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D1F0C8B">
            <w:pPr>
              <w:pStyle w:val="6"/>
              <w:spacing w:before="101" w:line="188" w:lineRule="auto"/>
              <w:ind w:left="641"/>
            </w:pPr>
            <w:r>
              <w:rPr>
                <w:spacing w:val="-4"/>
              </w:rPr>
              <w:t>1800.0</w:t>
            </w:r>
          </w:p>
        </w:tc>
        <w:tc>
          <w:tcPr>
            <w:tcW w:w="1708" w:type="dxa"/>
            <w:vAlign w:val="top"/>
          </w:tcPr>
          <w:p w14:paraId="3C5B0E0B">
            <w:pPr>
              <w:pStyle w:val="6"/>
              <w:spacing w:before="101" w:line="188" w:lineRule="auto"/>
              <w:ind w:left="567"/>
            </w:pPr>
            <w:r>
              <w:rPr>
                <w:spacing w:val="-2"/>
              </w:rPr>
              <w:t>0.8039</w:t>
            </w:r>
          </w:p>
        </w:tc>
        <w:tc>
          <w:tcPr>
            <w:tcW w:w="1537" w:type="dxa"/>
            <w:vAlign w:val="top"/>
          </w:tcPr>
          <w:p w14:paraId="2517AC11">
            <w:pPr>
              <w:pStyle w:val="6"/>
              <w:spacing w:before="101" w:line="188" w:lineRule="auto"/>
              <w:ind w:left="484"/>
            </w:pPr>
            <w:r>
              <w:rPr>
                <w:spacing w:val="-2"/>
              </w:rPr>
              <w:t>0.4020</w:t>
            </w:r>
          </w:p>
        </w:tc>
        <w:tc>
          <w:tcPr>
            <w:tcW w:w="1708" w:type="dxa"/>
            <w:vAlign w:val="top"/>
          </w:tcPr>
          <w:p w14:paraId="1B25D607">
            <w:pPr>
              <w:pStyle w:val="6"/>
              <w:spacing w:before="101" w:line="188" w:lineRule="auto"/>
              <w:ind w:left="570"/>
            </w:pPr>
            <w:r>
              <w:rPr>
                <w:spacing w:val="-2"/>
              </w:rPr>
              <w:t>0.0274</w:t>
            </w:r>
          </w:p>
        </w:tc>
        <w:tc>
          <w:tcPr>
            <w:tcW w:w="1540" w:type="dxa"/>
            <w:vAlign w:val="top"/>
          </w:tcPr>
          <w:p w14:paraId="25996DCD">
            <w:pPr>
              <w:pStyle w:val="6"/>
              <w:spacing w:before="101" w:line="188" w:lineRule="auto"/>
              <w:ind w:left="485"/>
            </w:pPr>
            <w:r>
              <w:rPr>
                <w:spacing w:val="-2"/>
              </w:rPr>
              <w:t>0.2741</w:t>
            </w:r>
          </w:p>
        </w:tc>
      </w:tr>
      <w:tr w14:paraId="4D159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FBABBF7">
            <w:pPr>
              <w:pStyle w:val="6"/>
              <w:spacing w:before="102" w:line="188" w:lineRule="auto"/>
              <w:ind w:left="621"/>
            </w:pPr>
            <w:r>
              <w:rPr>
                <w:spacing w:val="-1"/>
              </w:rPr>
              <w:t>2000.0</w:t>
            </w:r>
          </w:p>
        </w:tc>
        <w:tc>
          <w:tcPr>
            <w:tcW w:w="1708" w:type="dxa"/>
            <w:vAlign w:val="top"/>
          </w:tcPr>
          <w:p w14:paraId="3C53E66C">
            <w:pPr>
              <w:pStyle w:val="6"/>
              <w:spacing w:before="102" w:line="188" w:lineRule="auto"/>
              <w:ind w:left="584"/>
            </w:pPr>
            <w:r>
              <w:rPr>
                <w:spacing w:val="-5"/>
              </w:rPr>
              <w:t>1.1248</w:t>
            </w:r>
          </w:p>
        </w:tc>
        <w:tc>
          <w:tcPr>
            <w:tcW w:w="1537" w:type="dxa"/>
            <w:vAlign w:val="top"/>
          </w:tcPr>
          <w:p w14:paraId="7CDF28CE">
            <w:pPr>
              <w:pStyle w:val="6"/>
              <w:spacing w:before="102" w:line="188" w:lineRule="auto"/>
              <w:ind w:left="484"/>
            </w:pPr>
            <w:r>
              <w:rPr>
                <w:spacing w:val="-2"/>
              </w:rPr>
              <w:t>0.5624</w:t>
            </w:r>
          </w:p>
        </w:tc>
        <w:tc>
          <w:tcPr>
            <w:tcW w:w="1708" w:type="dxa"/>
            <w:vAlign w:val="top"/>
          </w:tcPr>
          <w:p w14:paraId="0CE4C4C7">
            <w:pPr>
              <w:pStyle w:val="6"/>
              <w:spacing w:before="102" w:line="188" w:lineRule="auto"/>
              <w:ind w:left="570"/>
            </w:pPr>
            <w:r>
              <w:rPr>
                <w:spacing w:val="-2"/>
              </w:rPr>
              <w:t>0.0383</w:t>
            </w:r>
          </w:p>
        </w:tc>
        <w:tc>
          <w:tcPr>
            <w:tcW w:w="1540" w:type="dxa"/>
            <w:vAlign w:val="top"/>
          </w:tcPr>
          <w:p w14:paraId="349C6B88">
            <w:pPr>
              <w:pStyle w:val="6"/>
              <w:spacing w:before="102" w:line="188" w:lineRule="auto"/>
              <w:ind w:left="485"/>
            </w:pPr>
            <w:r>
              <w:rPr>
                <w:spacing w:val="-2"/>
              </w:rPr>
              <w:t>0.3835</w:t>
            </w:r>
          </w:p>
        </w:tc>
      </w:tr>
      <w:tr w14:paraId="6E045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7EE99840">
            <w:pPr>
              <w:pStyle w:val="6"/>
              <w:spacing w:before="102" w:line="188" w:lineRule="auto"/>
              <w:ind w:left="621"/>
            </w:pPr>
            <w:r>
              <w:rPr>
                <w:spacing w:val="-1"/>
              </w:rPr>
              <w:t>2500.0</w:t>
            </w:r>
          </w:p>
        </w:tc>
        <w:tc>
          <w:tcPr>
            <w:tcW w:w="1708" w:type="dxa"/>
            <w:vAlign w:val="top"/>
          </w:tcPr>
          <w:p w14:paraId="2B6DAA2F">
            <w:pPr>
              <w:pStyle w:val="6"/>
              <w:spacing w:before="102" w:line="188" w:lineRule="auto"/>
              <w:ind w:left="567"/>
            </w:pPr>
            <w:r>
              <w:rPr>
                <w:spacing w:val="-2"/>
              </w:rPr>
              <w:t>0.8070</w:t>
            </w:r>
          </w:p>
        </w:tc>
        <w:tc>
          <w:tcPr>
            <w:tcW w:w="1537" w:type="dxa"/>
            <w:vAlign w:val="top"/>
          </w:tcPr>
          <w:p w14:paraId="7DC198AB">
            <w:pPr>
              <w:pStyle w:val="6"/>
              <w:spacing w:before="102" w:line="188" w:lineRule="auto"/>
              <w:ind w:left="484"/>
            </w:pPr>
            <w:r>
              <w:rPr>
                <w:spacing w:val="-2"/>
              </w:rPr>
              <w:t>0.4035</w:t>
            </w:r>
          </w:p>
        </w:tc>
        <w:tc>
          <w:tcPr>
            <w:tcW w:w="1708" w:type="dxa"/>
            <w:vAlign w:val="top"/>
          </w:tcPr>
          <w:p w14:paraId="6EFDBD8D">
            <w:pPr>
              <w:pStyle w:val="6"/>
              <w:spacing w:before="102" w:line="188" w:lineRule="auto"/>
              <w:ind w:left="570"/>
            </w:pPr>
            <w:r>
              <w:rPr>
                <w:spacing w:val="-2"/>
              </w:rPr>
              <w:t>0.0275</w:t>
            </w:r>
          </w:p>
        </w:tc>
        <w:tc>
          <w:tcPr>
            <w:tcW w:w="1540" w:type="dxa"/>
            <w:vAlign w:val="top"/>
          </w:tcPr>
          <w:p w14:paraId="4B9D2279">
            <w:pPr>
              <w:pStyle w:val="6"/>
              <w:spacing w:before="102" w:line="188" w:lineRule="auto"/>
              <w:ind w:left="485"/>
            </w:pPr>
            <w:r>
              <w:rPr>
                <w:spacing w:val="-2"/>
              </w:rPr>
              <w:t>0.2751</w:t>
            </w:r>
          </w:p>
        </w:tc>
      </w:tr>
      <w:tr w14:paraId="03D2F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565AD0A5">
            <w:pPr>
              <w:pStyle w:val="6"/>
              <w:spacing w:before="103" w:line="188" w:lineRule="auto"/>
              <w:ind w:left="625"/>
            </w:pPr>
            <w:r>
              <w:rPr>
                <w:spacing w:val="-2"/>
              </w:rPr>
              <w:t>3000.0</w:t>
            </w:r>
          </w:p>
        </w:tc>
        <w:tc>
          <w:tcPr>
            <w:tcW w:w="1708" w:type="dxa"/>
            <w:vAlign w:val="top"/>
          </w:tcPr>
          <w:p w14:paraId="45DAB1C8">
            <w:pPr>
              <w:pStyle w:val="6"/>
              <w:spacing w:before="103" w:line="188" w:lineRule="auto"/>
              <w:ind w:left="567"/>
            </w:pPr>
            <w:r>
              <w:rPr>
                <w:spacing w:val="-2"/>
              </w:rPr>
              <w:t>0.5944</w:t>
            </w:r>
          </w:p>
        </w:tc>
        <w:tc>
          <w:tcPr>
            <w:tcW w:w="1537" w:type="dxa"/>
            <w:vAlign w:val="top"/>
          </w:tcPr>
          <w:p w14:paraId="243A9EAE">
            <w:pPr>
              <w:pStyle w:val="6"/>
              <w:spacing w:before="103" w:line="188" w:lineRule="auto"/>
              <w:ind w:left="484"/>
            </w:pPr>
            <w:r>
              <w:rPr>
                <w:spacing w:val="-2"/>
              </w:rPr>
              <w:t>0.2972</w:t>
            </w:r>
          </w:p>
        </w:tc>
        <w:tc>
          <w:tcPr>
            <w:tcW w:w="1708" w:type="dxa"/>
            <w:vAlign w:val="top"/>
          </w:tcPr>
          <w:p w14:paraId="14CEE95B">
            <w:pPr>
              <w:pStyle w:val="6"/>
              <w:spacing w:before="103" w:line="188" w:lineRule="auto"/>
              <w:ind w:left="570"/>
            </w:pPr>
            <w:r>
              <w:rPr>
                <w:spacing w:val="-2"/>
              </w:rPr>
              <w:t>0.0203</w:t>
            </w:r>
          </w:p>
        </w:tc>
        <w:tc>
          <w:tcPr>
            <w:tcW w:w="1540" w:type="dxa"/>
            <w:vAlign w:val="top"/>
          </w:tcPr>
          <w:p w14:paraId="421F373B">
            <w:pPr>
              <w:pStyle w:val="6"/>
              <w:spacing w:before="103" w:line="188" w:lineRule="auto"/>
              <w:ind w:left="485"/>
            </w:pPr>
            <w:r>
              <w:rPr>
                <w:spacing w:val="-2"/>
              </w:rPr>
              <w:t>0.2026</w:t>
            </w:r>
          </w:p>
        </w:tc>
      </w:tr>
      <w:tr w14:paraId="33B5E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60CDA3BB">
            <w:pPr>
              <w:pStyle w:val="6"/>
              <w:spacing w:before="103" w:line="188" w:lineRule="auto"/>
              <w:ind w:left="625"/>
            </w:pPr>
            <w:r>
              <w:rPr>
                <w:spacing w:val="-2"/>
              </w:rPr>
              <w:t>3500.0</w:t>
            </w:r>
          </w:p>
        </w:tc>
        <w:tc>
          <w:tcPr>
            <w:tcW w:w="1708" w:type="dxa"/>
            <w:vAlign w:val="top"/>
          </w:tcPr>
          <w:p w14:paraId="67E6F9FF">
            <w:pPr>
              <w:pStyle w:val="6"/>
              <w:spacing w:before="103" w:line="188" w:lineRule="auto"/>
              <w:ind w:left="567"/>
            </w:pPr>
            <w:r>
              <w:rPr>
                <w:spacing w:val="-2"/>
              </w:rPr>
              <w:t>0.5467</w:t>
            </w:r>
          </w:p>
        </w:tc>
        <w:tc>
          <w:tcPr>
            <w:tcW w:w="1537" w:type="dxa"/>
            <w:vAlign w:val="top"/>
          </w:tcPr>
          <w:p w14:paraId="46701CA7">
            <w:pPr>
              <w:pStyle w:val="6"/>
              <w:spacing w:before="103" w:line="188" w:lineRule="auto"/>
              <w:ind w:left="484"/>
            </w:pPr>
            <w:r>
              <w:rPr>
                <w:spacing w:val="-2"/>
              </w:rPr>
              <w:t>0.2733</w:t>
            </w:r>
          </w:p>
        </w:tc>
        <w:tc>
          <w:tcPr>
            <w:tcW w:w="1708" w:type="dxa"/>
            <w:vAlign w:val="top"/>
          </w:tcPr>
          <w:p w14:paraId="4277731C">
            <w:pPr>
              <w:pStyle w:val="6"/>
              <w:spacing w:before="103" w:line="188" w:lineRule="auto"/>
              <w:ind w:left="570"/>
            </w:pPr>
            <w:r>
              <w:rPr>
                <w:spacing w:val="-2"/>
              </w:rPr>
              <w:t>0.0186</w:t>
            </w:r>
          </w:p>
        </w:tc>
        <w:tc>
          <w:tcPr>
            <w:tcW w:w="1540" w:type="dxa"/>
            <w:vAlign w:val="top"/>
          </w:tcPr>
          <w:p w14:paraId="4B49C602">
            <w:pPr>
              <w:pStyle w:val="6"/>
              <w:spacing w:before="103" w:line="188" w:lineRule="auto"/>
              <w:ind w:left="485"/>
            </w:pPr>
            <w:r>
              <w:rPr>
                <w:spacing w:val="-2"/>
              </w:rPr>
              <w:t>0.1864</w:t>
            </w:r>
          </w:p>
        </w:tc>
      </w:tr>
      <w:tr w14:paraId="7CA23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4BA78626">
            <w:pPr>
              <w:pStyle w:val="6"/>
              <w:spacing w:before="104" w:line="188" w:lineRule="auto"/>
              <w:ind w:left="619"/>
            </w:pPr>
            <w:r>
              <w:rPr>
                <w:spacing w:val="-1"/>
              </w:rPr>
              <w:t>4000.0</w:t>
            </w:r>
          </w:p>
        </w:tc>
        <w:tc>
          <w:tcPr>
            <w:tcW w:w="1708" w:type="dxa"/>
            <w:vAlign w:val="top"/>
          </w:tcPr>
          <w:p w14:paraId="12822DB8">
            <w:pPr>
              <w:pStyle w:val="6"/>
              <w:spacing w:before="104" w:line="188" w:lineRule="auto"/>
              <w:ind w:left="567"/>
            </w:pPr>
            <w:r>
              <w:rPr>
                <w:spacing w:val="-2"/>
              </w:rPr>
              <w:t>0.3028</w:t>
            </w:r>
          </w:p>
        </w:tc>
        <w:tc>
          <w:tcPr>
            <w:tcW w:w="1537" w:type="dxa"/>
            <w:vAlign w:val="top"/>
          </w:tcPr>
          <w:p w14:paraId="6C04E340">
            <w:pPr>
              <w:pStyle w:val="6"/>
              <w:spacing w:before="104" w:line="188" w:lineRule="auto"/>
              <w:ind w:left="484"/>
            </w:pPr>
            <w:r>
              <w:rPr>
                <w:spacing w:val="-2"/>
              </w:rPr>
              <w:t>0.1514</w:t>
            </w:r>
          </w:p>
        </w:tc>
        <w:tc>
          <w:tcPr>
            <w:tcW w:w="1708" w:type="dxa"/>
            <w:vAlign w:val="top"/>
          </w:tcPr>
          <w:p w14:paraId="6AD0285A">
            <w:pPr>
              <w:pStyle w:val="6"/>
              <w:spacing w:before="104" w:line="188" w:lineRule="auto"/>
              <w:ind w:left="570"/>
            </w:pPr>
            <w:r>
              <w:rPr>
                <w:spacing w:val="-2"/>
              </w:rPr>
              <w:t>0.0103</w:t>
            </w:r>
          </w:p>
        </w:tc>
        <w:tc>
          <w:tcPr>
            <w:tcW w:w="1540" w:type="dxa"/>
            <w:vAlign w:val="top"/>
          </w:tcPr>
          <w:p w14:paraId="29F6A35E">
            <w:pPr>
              <w:pStyle w:val="6"/>
              <w:spacing w:before="104" w:line="188" w:lineRule="auto"/>
              <w:ind w:left="485"/>
            </w:pPr>
            <w:r>
              <w:rPr>
                <w:spacing w:val="-2"/>
              </w:rPr>
              <w:t>0.1032</w:t>
            </w:r>
          </w:p>
        </w:tc>
      </w:tr>
      <w:tr w14:paraId="63981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C296BF6">
            <w:pPr>
              <w:pStyle w:val="6"/>
              <w:spacing w:before="104" w:line="188" w:lineRule="auto"/>
              <w:ind w:left="619"/>
            </w:pPr>
            <w:r>
              <w:rPr>
                <w:spacing w:val="-1"/>
              </w:rPr>
              <w:t>4500.0</w:t>
            </w:r>
          </w:p>
        </w:tc>
        <w:tc>
          <w:tcPr>
            <w:tcW w:w="1708" w:type="dxa"/>
            <w:vAlign w:val="top"/>
          </w:tcPr>
          <w:p w14:paraId="03126494">
            <w:pPr>
              <w:pStyle w:val="6"/>
              <w:spacing w:before="104" w:line="188" w:lineRule="auto"/>
              <w:ind w:left="567"/>
            </w:pPr>
            <w:r>
              <w:rPr>
                <w:spacing w:val="-2"/>
              </w:rPr>
              <w:t>0.3844</w:t>
            </w:r>
          </w:p>
        </w:tc>
        <w:tc>
          <w:tcPr>
            <w:tcW w:w="1537" w:type="dxa"/>
            <w:vAlign w:val="top"/>
          </w:tcPr>
          <w:p w14:paraId="754AC4CA">
            <w:pPr>
              <w:pStyle w:val="6"/>
              <w:spacing w:before="104" w:line="188" w:lineRule="auto"/>
              <w:ind w:left="484"/>
            </w:pPr>
            <w:r>
              <w:rPr>
                <w:spacing w:val="-2"/>
              </w:rPr>
              <w:t>0.1922</w:t>
            </w:r>
          </w:p>
        </w:tc>
        <w:tc>
          <w:tcPr>
            <w:tcW w:w="1708" w:type="dxa"/>
            <w:vAlign w:val="top"/>
          </w:tcPr>
          <w:p w14:paraId="75B71667">
            <w:pPr>
              <w:pStyle w:val="6"/>
              <w:spacing w:before="104" w:line="188" w:lineRule="auto"/>
              <w:ind w:left="570"/>
            </w:pPr>
            <w:r>
              <w:rPr>
                <w:spacing w:val="-2"/>
              </w:rPr>
              <w:t>0.0131</w:t>
            </w:r>
          </w:p>
        </w:tc>
        <w:tc>
          <w:tcPr>
            <w:tcW w:w="1540" w:type="dxa"/>
            <w:vAlign w:val="top"/>
          </w:tcPr>
          <w:p w14:paraId="706566C0">
            <w:pPr>
              <w:pStyle w:val="6"/>
              <w:spacing w:before="104" w:line="188" w:lineRule="auto"/>
              <w:ind w:left="489"/>
            </w:pPr>
            <w:r>
              <w:rPr>
                <w:spacing w:val="-2"/>
              </w:rPr>
              <w:t>0.1311</w:t>
            </w:r>
          </w:p>
        </w:tc>
      </w:tr>
      <w:tr w14:paraId="281FA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51525D8">
            <w:pPr>
              <w:pStyle w:val="6"/>
              <w:spacing w:before="104" w:line="188" w:lineRule="auto"/>
              <w:ind w:left="626"/>
            </w:pPr>
            <w:r>
              <w:rPr>
                <w:spacing w:val="-2"/>
              </w:rPr>
              <w:t>5000.0</w:t>
            </w:r>
          </w:p>
        </w:tc>
        <w:tc>
          <w:tcPr>
            <w:tcW w:w="1708" w:type="dxa"/>
            <w:vAlign w:val="top"/>
          </w:tcPr>
          <w:p w14:paraId="7115042D">
            <w:pPr>
              <w:pStyle w:val="6"/>
              <w:spacing w:before="104" w:line="188" w:lineRule="auto"/>
              <w:ind w:left="567"/>
            </w:pPr>
            <w:r>
              <w:rPr>
                <w:spacing w:val="-2"/>
              </w:rPr>
              <w:t>0.3428</w:t>
            </w:r>
          </w:p>
        </w:tc>
        <w:tc>
          <w:tcPr>
            <w:tcW w:w="1537" w:type="dxa"/>
            <w:vAlign w:val="top"/>
          </w:tcPr>
          <w:p w14:paraId="5A27C213">
            <w:pPr>
              <w:pStyle w:val="6"/>
              <w:spacing w:before="104" w:line="188" w:lineRule="auto"/>
              <w:ind w:left="484"/>
            </w:pPr>
            <w:r>
              <w:rPr>
                <w:spacing w:val="-2"/>
              </w:rPr>
              <w:t>0.1714</w:t>
            </w:r>
          </w:p>
        </w:tc>
        <w:tc>
          <w:tcPr>
            <w:tcW w:w="1708" w:type="dxa"/>
            <w:vAlign w:val="top"/>
          </w:tcPr>
          <w:p w14:paraId="29B88695">
            <w:pPr>
              <w:pStyle w:val="6"/>
              <w:spacing w:before="104" w:line="188" w:lineRule="auto"/>
              <w:ind w:left="573"/>
            </w:pPr>
            <w:r>
              <w:rPr>
                <w:spacing w:val="-3"/>
              </w:rPr>
              <w:t>0.0117</w:t>
            </w:r>
          </w:p>
        </w:tc>
        <w:tc>
          <w:tcPr>
            <w:tcW w:w="1540" w:type="dxa"/>
            <w:vAlign w:val="top"/>
          </w:tcPr>
          <w:p w14:paraId="24EDB7E9">
            <w:pPr>
              <w:pStyle w:val="6"/>
              <w:spacing w:before="104" w:line="188" w:lineRule="auto"/>
              <w:ind w:left="489"/>
            </w:pPr>
            <w:r>
              <w:rPr>
                <w:spacing w:val="-3"/>
              </w:rPr>
              <w:t>0.1169</w:t>
            </w:r>
          </w:p>
        </w:tc>
      </w:tr>
      <w:tr w14:paraId="60C23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262D5C9">
            <w:pPr>
              <w:pStyle w:val="6"/>
              <w:spacing w:before="104" w:line="188" w:lineRule="auto"/>
              <w:ind w:left="588"/>
            </w:pPr>
            <w:r>
              <w:rPr>
                <w:spacing w:val="-4"/>
              </w:rPr>
              <w:t>10000.0</w:t>
            </w:r>
          </w:p>
        </w:tc>
        <w:tc>
          <w:tcPr>
            <w:tcW w:w="1708" w:type="dxa"/>
            <w:vAlign w:val="top"/>
          </w:tcPr>
          <w:p w14:paraId="72D28187">
            <w:pPr>
              <w:pStyle w:val="6"/>
              <w:spacing w:before="104" w:line="188" w:lineRule="auto"/>
              <w:ind w:left="567"/>
            </w:pPr>
            <w:r>
              <w:rPr>
                <w:spacing w:val="-2"/>
              </w:rPr>
              <w:t>0.1452</w:t>
            </w:r>
          </w:p>
        </w:tc>
        <w:tc>
          <w:tcPr>
            <w:tcW w:w="1537" w:type="dxa"/>
            <w:vAlign w:val="top"/>
          </w:tcPr>
          <w:p w14:paraId="63A11F85">
            <w:pPr>
              <w:pStyle w:val="6"/>
              <w:spacing w:before="104" w:line="188" w:lineRule="auto"/>
              <w:ind w:left="484"/>
            </w:pPr>
            <w:r>
              <w:rPr>
                <w:spacing w:val="-2"/>
              </w:rPr>
              <w:t>0.0726</w:t>
            </w:r>
          </w:p>
        </w:tc>
        <w:tc>
          <w:tcPr>
            <w:tcW w:w="1708" w:type="dxa"/>
            <w:vAlign w:val="top"/>
          </w:tcPr>
          <w:p w14:paraId="546FC33A">
            <w:pPr>
              <w:pStyle w:val="6"/>
              <w:spacing w:before="104" w:line="188" w:lineRule="auto"/>
              <w:ind w:left="570"/>
            </w:pPr>
            <w:r>
              <w:rPr>
                <w:spacing w:val="-2"/>
              </w:rPr>
              <w:t>0.0049</w:t>
            </w:r>
          </w:p>
        </w:tc>
        <w:tc>
          <w:tcPr>
            <w:tcW w:w="1540" w:type="dxa"/>
            <w:vAlign w:val="top"/>
          </w:tcPr>
          <w:p w14:paraId="666CD45D">
            <w:pPr>
              <w:pStyle w:val="6"/>
              <w:spacing w:before="104" w:line="188" w:lineRule="auto"/>
              <w:ind w:left="485"/>
            </w:pPr>
            <w:r>
              <w:rPr>
                <w:spacing w:val="-2"/>
              </w:rPr>
              <w:t>0.0495</w:t>
            </w:r>
          </w:p>
        </w:tc>
      </w:tr>
      <w:tr w14:paraId="66B6B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1AD87141">
            <w:pPr>
              <w:pStyle w:val="6"/>
              <w:spacing w:before="104" w:line="188" w:lineRule="auto"/>
              <w:ind w:left="593"/>
            </w:pPr>
            <w:r>
              <w:rPr>
                <w:spacing w:val="-5"/>
              </w:rPr>
              <w:t>11000.0</w:t>
            </w:r>
          </w:p>
        </w:tc>
        <w:tc>
          <w:tcPr>
            <w:tcW w:w="1708" w:type="dxa"/>
            <w:vAlign w:val="top"/>
          </w:tcPr>
          <w:p w14:paraId="3B8F2531">
            <w:pPr>
              <w:pStyle w:val="6"/>
              <w:spacing w:before="104" w:line="188" w:lineRule="auto"/>
              <w:ind w:left="567"/>
            </w:pPr>
            <w:r>
              <w:rPr>
                <w:spacing w:val="-2"/>
              </w:rPr>
              <w:t>0.1262</w:t>
            </w:r>
          </w:p>
        </w:tc>
        <w:tc>
          <w:tcPr>
            <w:tcW w:w="1537" w:type="dxa"/>
            <w:vAlign w:val="top"/>
          </w:tcPr>
          <w:p w14:paraId="562C4DDC">
            <w:pPr>
              <w:pStyle w:val="6"/>
              <w:spacing w:before="104" w:line="188" w:lineRule="auto"/>
              <w:ind w:left="484"/>
            </w:pPr>
            <w:r>
              <w:rPr>
                <w:spacing w:val="-2"/>
              </w:rPr>
              <w:t>0.0631</w:t>
            </w:r>
          </w:p>
        </w:tc>
        <w:tc>
          <w:tcPr>
            <w:tcW w:w="1708" w:type="dxa"/>
            <w:vAlign w:val="top"/>
          </w:tcPr>
          <w:p w14:paraId="6AFA3DB6">
            <w:pPr>
              <w:pStyle w:val="6"/>
              <w:spacing w:before="104" w:line="188" w:lineRule="auto"/>
              <w:ind w:left="570"/>
            </w:pPr>
            <w:r>
              <w:rPr>
                <w:spacing w:val="-2"/>
              </w:rPr>
              <w:t>0.0043</w:t>
            </w:r>
          </w:p>
        </w:tc>
        <w:tc>
          <w:tcPr>
            <w:tcW w:w="1540" w:type="dxa"/>
            <w:vAlign w:val="top"/>
          </w:tcPr>
          <w:p w14:paraId="2615E7F8">
            <w:pPr>
              <w:pStyle w:val="6"/>
              <w:spacing w:before="104" w:line="188" w:lineRule="auto"/>
              <w:ind w:left="485"/>
            </w:pPr>
            <w:r>
              <w:rPr>
                <w:spacing w:val="-2"/>
              </w:rPr>
              <w:t>0.0430</w:t>
            </w:r>
          </w:p>
        </w:tc>
      </w:tr>
      <w:tr w14:paraId="317C5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F54F082">
            <w:pPr>
              <w:pStyle w:val="6"/>
              <w:spacing w:before="104" w:line="188" w:lineRule="auto"/>
              <w:ind w:left="588"/>
            </w:pPr>
            <w:r>
              <w:rPr>
                <w:spacing w:val="-4"/>
              </w:rPr>
              <w:t>12000.0</w:t>
            </w:r>
          </w:p>
        </w:tc>
        <w:tc>
          <w:tcPr>
            <w:tcW w:w="1708" w:type="dxa"/>
            <w:vAlign w:val="top"/>
          </w:tcPr>
          <w:p w14:paraId="64290A91">
            <w:pPr>
              <w:pStyle w:val="6"/>
              <w:spacing w:before="104" w:line="188" w:lineRule="auto"/>
              <w:ind w:left="571"/>
            </w:pPr>
            <w:r>
              <w:rPr>
                <w:spacing w:val="-3"/>
              </w:rPr>
              <w:t>0.1140</w:t>
            </w:r>
          </w:p>
        </w:tc>
        <w:tc>
          <w:tcPr>
            <w:tcW w:w="1537" w:type="dxa"/>
            <w:vAlign w:val="top"/>
          </w:tcPr>
          <w:p w14:paraId="73A64847">
            <w:pPr>
              <w:pStyle w:val="6"/>
              <w:spacing w:before="104" w:line="188" w:lineRule="auto"/>
              <w:ind w:left="484"/>
            </w:pPr>
            <w:r>
              <w:rPr>
                <w:spacing w:val="-2"/>
              </w:rPr>
              <w:t>0.0570</w:t>
            </w:r>
          </w:p>
        </w:tc>
        <w:tc>
          <w:tcPr>
            <w:tcW w:w="1708" w:type="dxa"/>
            <w:vAlign w:val="top"/>
          </w:tcPr>
          <w:p w14:paraId="69B68A6E">
            <w:pPr>
              <w:pStyle w:val="6"/>
              <w:spacing w:before="104" w:line="188" w:lineRule="auto"/>
              <w:ind w:left="570"/>
            </w:pPr>
            <w:r>
              <w:rPr>
                <w:spacing w:val="-2"/>
              </w:rPr>
              <w:t>0.0039</w:t>
            </w:r>
          </w:p>
        </w:tc>
        <w:tc>
          <w:tcPr>
            <w:tcW w:w="1540" w:type="dxa"/>
            <w:vAlign w:val="top"/>
          </w:tcPr>
          <w:p w14:paraId="0E23AD4D">
            <w:pPr>
              <w:pStyle w:val="6"/>
              <w:spacing w:before="104" w:line="188" w:lineRule="auto"/>
              <w:ind w:left="485"/>
            </w:pPr>
            <w:r>
              <w:rPr>
                <w:spacing w:val="-2"/>
              </w:rPr>
              <w:t>0.0389</w:t>
            </w:r>
          </w:p>
        </w:tc>
      </w:tr>
      <w:tr w14:paraId="4C223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65F39FD7">
            <w:pPr>
              <w:pStyle w:val="6"/>
              <w:spacing w:before="104" w:line="188" w:lineRule="auto"/>
              <w:ind w:left="588"/>
            </w:pPr>
            <w:r>
              <w:rPr>
                <w:spacing w:val="-4"/>
              </w:rPr>
              <w:t>13000.0</w:t>
            </w:r>
          </w:p>
        </w:tc>
        <w:tc>
          <w:tcPr>
            <w:tcW w:w="1708" w:type="dxa"/>
            <w:vAlign w:val="top"/>
          </w:tcPr>
          <w:p w14:paraId="17D1E4F1">
            <w:pPr>
              <w:pStyle w:val="6"/>
              <w:spacing w:before="104" w:line="188" w:lineRule="auto"/>
              <w:ind w:left="567"/>
            </w:pPr>
            <w:r>
              <w:rPr>
                <w:spacing w:val="-2"/>
              </w:rPr>
              <w:t>0.0940</w:t>
            </w:r>
          </w:p>
        </w:tc>
        <w:tc>
          <w:tcPr>
            <w:tcW w:w="1537" w:type="dxa"/>
            <w:vAlign w:val="top"/>
          </w:tcPr>
          <w:p w14:paraId="4B4ECEE6">
            <w:pPr>
              <w:pStyle w:val="6"/>
              <w:spacing w:before="104" w:line="188" w:lineRule="auto"/>
              <w:ind w:left="484"/>
            </w:pPr>
            <w:r>
              <w:rPr>
                <w:spacing w:val="-2"/>
              </w:rPr>
              <w:t>0.0470</w:t>
            </w:r>
          </w:p>
        </w:tc>
        <w:tc>
          <w:tcPr>
            <w:tcW w:w="1708" w:type="dxa"/>
            <w:vAlign w:val="top"/>
          </w:tcPr>
          <w:p w14:paraId="0763B666">
            <w:pPr>
              <w:pStyle w:val="6"/>
              <w:spacing w:before="104" w:line="188" w:lineRule="auto"/>
              <w:ind w:left="570"/>
            </w:pPr>
            <w:r>
              <w:rPr>
                <w:spacing w:val="-2"/>
              </w:rPr>
              <w:t>0.0032</w:t>
            </w:r>
          </w:p>
        </w:tc>
        <w:tc>
          <w:tcPr>
            <w:tcW w:w="1540" w:type="dxa"/>
            <w:vAlign w:val="top"/>
          </w:tcPr>
          <w:p w14:paraId="1772D120">
            <w:pPr>
              <w:pStyle w:val="6"/>
              <w:spacing w:before="104" w:line="188" w:lineRule="auto"/>
              <w:ind w:left="485"/>
            </w:pPr>
            <w:r>
              <w:rPr>
                <w:spacing w:val="-2"/>
              </w:rPr>
              <w:t>0.0321</w:t>
            </w:r>
          </w:p>
        </w:tc>
      </w:tr>
      <w:tr w14:paraId="78C2A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23CD3C15">
            <w:pPr>
              <w:pStyle w:val="6"/>
              <w:spacing w:before="104" w:line="188" w:lineRule="auto"/>
              <w:ind w:left="588"/>
            </w:pPr>
            <w:r>
              <w:rPr>
                <w:spacing w:val="-4"/>
              </w:rPr>
              <w:t>14000.0</w:t>
            </w:r>
          </w:p>
        </w:tc>
        <w:tc>
          <w:tcPr>
            <w:tcW w:w="1708" w:type="dxa"/>
            <w:vAlign w:val="top"/>
          </w:tcPr>
          <w:p w14:paraId="7AD6F7BE">
            <w:pPr>
              <w:pStyle w:val="6"/>
              <w:spacing w:before="104" w:line="188" w:lineRule="auto"/>
              <w:ind w:left="567"/>
            </w:pPr>
            <w:r>
              <w:rPr>
                <w:spacing w:val="-2"/>
              </w:rPr>
              <w:t>0.0835</w:t>
            </w:r>
          </w:p>
        </w:tc>
        <w:tc>
          <w:tcPr>
            <w:tcW w:w="1537" w:type="dxa"/>
            <w:vAlign w:val="top"/>
          </w:tcPr>
          <w:p w14:paraId="079065A0">
            <w:pPr>
              <w:pStyle w:val="6"/>
              <w:spacing w:before="104" w:line="188" w:lineRule="auto"/>
              <w:ind w:left="484"/>
            </w:pPr>
            <w:r>
              <w:rPr>
                <w:spacing w:val="-2"/>
              </w:rPr>
              <w:t>0.0417</w:t>
            </w:r>
          </w:p>
        </w:tc>
        <w:tc>
          <w:tcPr>
            <w:tcW w:w="1708" w:type="dxa"/>
            <w:vAlign w:val="top"/>
          </w:tcPr>
          <w:p w14:paraId="7C2A180C">
            <w:pPr>
              <w:pStyle w:val="6"/>
              <w:spacing w:before="104" w:line="188" w:lineRule="auto"/>
              <w:ind w:left="570"/>
            </w:pPr>
            <w:r>
              <w:rPr>
                <w:spacing w:val="-2"/>
              </w:rPr>
              <w:t>0.0028</w:t>
            </w:r>
          </w:p>
        </w:tc>
        <w:tc>
          <w:tcPr>
            <w:tcW w:w="1540" w:type="dxa"/>
            <w:vAlign w:val="top"/>
          </w:tcPr>
          <w:p w14:paraId="2D747F56">
            <w:pPr>
              <w:pStyle w:val="6"/>
              <w:spacing w:before="104" w:line="188" w:lineRule="auto"/>
              <w:ind w:left="485"/>
            </w:pPr>
            <w:r>
              <w:rPr>
                <w:spacing w:val="-2"/>
              </w:rPr>
              <w:t>0.0285</w:t>
            </w:r>
          </w:p>
        </w:tc>
      </w:tr>
      <w:tr w14:paraId="089C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819" w:type="dxa"/>
            <w:vAlign w:val="top"/>
          </w:tcPr>
          <w:p w14:paraId="752CE104">
            <w:pPr>
              <w:pStyle w:val="6"/>
              <w:spacing w:before="104" w:line="188" w:lineRule="auto"/>
              <w:ind w:left="588"/>
            </w:pPr>
            <w:r>
              <w:rPr>
                <w:spacing w:val="-4"/>
              </w:rPr>
              <w:t>15000.0</w:t>
            </w:r>
          </w:p>
        </w:tc>
        <w:tc>
          <w:tcPr>
            <w:tcW w:w="1708" w:type="dxa"/>
            <w:vAlign w:val="top"/>
          </w:tcPr>
          <w:p w14:paraId="7BBA67FA">
            <w:pPr>
              <w:pStyle w:val="6"/>
              <w:spacing w:before="104" w:line="188" w:lineRule="auto"/>
              <w:ind w:left="567"/>
            </w:pPr>
            <w:r>
              <w:rPr>
                <w:spacing w:val="-2"/>
              </w:rPr>
              <w:t>0.0862</w:t>
            </w:r>
          </w:p>
        </w:tc>
        <w:tc>
          <w:tcPr>
            <w:tcW w:w="1537" w:type="dxa"/>
            <w:vAlign w:val="top"/>
          </w:tcPr>
          <w:p w14:paraId="448A2033">
            <w:pPr>
              <w:pStyle w:val="6"/>
              <w:spacing w:before="104" w:line="188" w:lineRule="auto"/>
              <w:ind w:left="484"/>
            </w:pPr>
            <w:r>
              <w:rPr>
                <w:spacing w:val="-2"/>
              </w:rPr>
              <w:t>0.0431</w:t>
            </w:r>
          </w:p>
        </w:tc>
        <w:tc>
          <w:tcPr>
            <w:tcW w:w="1708" w:type="dxa"/>
            <w:vAlign w:val="top"/>
          </w:tcPr>
          <w:p w14:paraId="680581AD">
            <w:pPr>
              <w:pStyle w:val="6"/>
              <w:spacing w:before="104" w:line="188" w:lineRule="auto"/>
              <w:ind w:left="570"/>
            </w:pPr>
            <w:r>
              <w:rPr>
                <w:spacing w:val="-2"/>
              </w:rPr>
              <w:t>0.0029</w:t>
            </w:r>
          </w:p>
        </w:tc>
        <w:tc>
          <w:tcPr>
            <w:tcW w:w="1540" w:type="dxa"/>
            <w:vAlign w:val="top"/>
          </w:tcPr>
          <w:p w14:paraId="6BD8DADA">
            <w:pPr>
              <w:pStyle w:val="6"/>
              <w:spacing w:before="104" w:line="188" w:lineRule="auto"/>
              <w:ind w:left="485"/>
            </w:pPr>
            <w:r>
              <w:rPr>
                <w:spacing w:val="-2"/>
              </w:rPr>
              <w:t>0.0294</w:t>
            </w:r>
          </w:p>
        </w:tc>
      </w:tr>
      <w:tr w14:paraId="33F61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4F78B23C">
            <w:pPr>
              <w:pStyle w:val="6"/>
              <w:spacing w:before="104" w:line="188" w:lineRule="auto"/>
              <w:ind w:left="568"/>
            </w:pPr>
            <w:r>
              <w:rPr>
                <w:spacing w:val="-1"/>
              </w:rPr>
              <w:t>20000.0</w:t>
            </w:r>
          </w:p>
        </w:tc>
        <w:tc>
          <w:tcPr>
            <w:tcW w:w="1708" w:type="dxa"/>
            <w:vAlign w:val="top"/>
          </w:tcPr>
          <w:p w14:paraId="5CB0C8FA">
            <w:pPr>
              <w:pStyle w:val="6"/>
              <w:spacing w:before="104" w:line="188" w:lineRule="auto"/>
              <w:ind w:left="567"/>
            </w:pPr>
            <w:r>
              <w:rPr>
                <w:spacing w:val="-2"/>
              </w:rPr>
              <w:t>0.0599</w:t>
            </w:r>
          </w:p>
        </w:tc>
        <w:tc>
          <w:tcPr>
            <w:tcW w:w="1537" w:type="dxa"/>
            <w:vAlign w:val="top"/>
          </w:tcPr>
          <w:p w14:paraId="0154E3CA">
            <w:pPr>
              <w:pStyle w:val="6"/>
              <w:spacing w:before="104" w:line="188" w:lineRule="auto"/>
              <w:ind w:left="484"/>
            </w:pPr>
            <w:r>
              <w:rPr>
                <w:spacing w:val="-2"/>
              </w:rPr>
              <w:t>0.0300</w:t>
            </w:r>
          </w:p>
        </w:tc>
        <w:tc>
          <w:tcPr>
            <w:tcW w:w="1708" w:type="dxa"/>
            <w:vAlign w:val="top"/>
          </w:tcPr>
          <w:p w14:paraId="5AB063B7">
            <w:pPr>
              <w:pStyle w:val="6"/>
              <w:spacing w:before="104" w:line="188" w:lineRule="auto"/>
              <w:ind w:left="570"/>
            </w:pPr>
            <w:r>
              <w:rPr>
                <w:spacing w:val="-2"/>
              </w:rPr>
              <w:t>0.0020</w:t>
            </w:r>
          </w:p>
        </w:tc>
        <w:tc>
          <w:tcPr>
            <w:tcW w:w="1540" w:type="dxa"/>
            <w:vAlign w:val="top"/>
          </w:tcPr>
          <w:p w14:paraId="03603542">
            <w:pPr>
              <w:pStyle w:val="6"/>
              <w:spacing w:before="104" w:line="188" w:lineRule="auto"/>
              <w:ind w:left="485"/>
            </w:pPr>
            <w:r>
              <w:rPr>
                <w:spacing w:val="-2"/>
              </w:rPr>
              <w:t>0.0204</w:t>
            </w:r>
          </w:p>
        </w:tc>
      </w:tr>
      <w:tr w14:paraId="0750B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Align w:val="top"/>
          </w:tcPr>
          <w:p w14:paraId="5634E1E6">
            <w:pPr>
              <w:pStyle w:val="6"/>
              <w:spacing w:before="104" w:line="188" w:lineRule="auto"/>
              <w:ind w:left="568"/>
            </w:pPr>
            <w:r>
              <w:rPr>
                <w:spacing w:val="-1"/>
              </w:rPr>
              <w:t>25000.0</w:t>
            </w:r>
          </w:p>
        </w:tc>
        <w:tc>
          <w:tcPr>
            <w:tcW w:w="1708" w:type="dxa"/>
            <w:vAlign w:val="top"/>
          </w:tcPr>
          <w:p w14:paraId="4D97CCEB">
            <w:pPr>
              <w:pStyle w:val="6"/>
              <w:spacing w:before="104" w:line="188" w:lineRule="auto"/>
              <w:ind w:left="567"/>
            </w:pPr>
            <w:r>
              <w:rPr>
                <w:spacing w:val="-2"/>
              </w:rPr>
              <w:t>0.0427</w:t>
            </w:r>
          </w:p>
        </w:tc>
        <w:tc>
          <w:tcPr>
            <w:tcW w:w="1537" w:type="dxa"/>
            <w:vAlign w:val="top"/>
          </w:tcPr>
          <w:p w14:paraId="22E4E337">
            <w:pPr>
              <w:pStyle w:val="6"/>
              <w:spacing w:before="104" w:line="188" w:lineRule="auto"/>
              <w:ind w:left="484"/>
            </w:pPr>
            <w:r>
              <w:rPr>
                <w:spacing w:val="-2"/>
              </w:rPr>
              <w:t>0.0213</w:t>
            </w:r>
          </w:p>
        </w:tc>
        <w:tc>
          <w:tcPr>
            <w:tcW w:w="1708" w:type="dxa"/>
            <w:vAlign w:val="top"/>
          </w:tcPr>
          <w:p w14:paraId="50C01304">
            <w:pPr>
              <w:pStyle w:val="6"/>
              <w:spacing w:before="104" w:line="188" w:lineRule="auto"/>
              <w:ind w:left="570"/>
            </w:pPr>
            <w:r>
              <w:rPr>
                <w:spacing w:val="-2"/>
              </w:rPr>
              <w:t>0.0015</w:t>
            </w:r>
          </w:p>
        </w:tc>
        <w:tc>
          <w:tcPr>
            <w:tcW w:w="1540" w:type="dxa"/>
            <w:vAlign w:val="top"/>
          </w:tcPr>
          <w:p w14:paraId="0EE28FBF">
            <w:pPr>
              <w:pStyle w:val="6"/>
              <w:spacing w:before="104" w:line="188" w:lineRule="auto"/>
              <w:ind w:left="485"/>
            </w:pPr>
            <w:r>
              <w:rPr>
                <w:spacing w:val="-2"/>
              </w:rPr>
              <w:t>0.0145</w:t>
            </w:r>
          </w:p>
        </w:tc>
      </w:tr>
    </w:tbl>
    <w:p w14:paraId="5CB90B2B">
      <w:pPr>
        <w:pStyle w:val="2"/>
      </w:pPr>
    </w:p>
    <w:p w14:paraId="7AFE70FA">
      <w:pPr>
        <w:sectPr>
          <w:footerReference r:id="rId307" w:type="default"/>
          <w:pgSz w:w="11905" w:h="16840"/>
          <w:pgMar w:top="1168" w:right="1768" w:bottom="1409" w:left="1770" w:header="828" w:footer="1244" w:gutter="0"/>
          <w:cols w:space="720" w:num="1"/>
        </w:sectPr>
      </w:pPr>
    </w:p>
    <w:p w14:paraId="11D124D1">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08"/>
        <w:gridCol w:w="1537"/>
        <w:gridCol w:w="1708"/>
        <w:gridCol w:w="1540"/>
      </w:tblGrid>
      <w:tr w14:paraId="6390B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19" w:type="dxa"/>
            <w:vMerge w:val="restart"/>
            <w:tcBorders>
              <w:bottom w:val="nil"/>
            </w:tcBorders>
            <w:vAlign w:val="top"/>
          </w:tcPr>
          <w:p w14:paraId="53202BEE">
            <w:pPr>
              <w:spacing w:before="237" w:line="220" w:lineRule="auto"/>
              <w:ind w:left="394"/>
              <w:rPr>
                <w:rFonts w:ascii="宋体" w:hAnsi="宋体" w:eastAsia="宋体" w:cs="宋体"/>
                <w:sz w:val="21"/>
                <w:szCs w:val="21"/>
              </w:rPr>
            </w:pPr>
            <w:r>
              <w:rPr>
                <w:rFonts w:ascii="宋体" w:hAnsi="宋体" w:eastAsia="宋体" w:cs="宋体"/>
                <w:spacing w:val="-3"/>
                <w:sz w:val="21"/>
                <w:szCs w:val="21"/>
              </w:rPr>
              <w:t>下风向距离</w:t>
            </w:r>
          </w:p>
        </w:tc>
        <w:tc>
          <w:tcPr>
            <w:tcW w:w="6493" w:type="dxa"/>
            <w:gridSpan w:val="4"/>
            <w:vAlign w:val="top"/>
          </w:tcPr>
          <w:p w14:paraId="40708EAB">
            <w:pPr>
              <w:spacing w:before="63" w:line="220" w:lineRule="auto"/>
              <w:ind w:left="2516"/>
              <w:rPr>
                <w:rFonts w:ascii="宋体" w:hAnsi="宋体" w:eastAsia="宋体" w:cs="宋体"/>
                <w:sz w:val="21"/>
                <w:szCs w:val="21"/>
              </w:rPr>
            </w:pPr>
            <w:r>
              <w:rPr>
                <w:rFonts w:ascii="宋体" w:hAnsi="宋体" w:eastAsia="宋体" w:cs="宋体"/>
                <w:spacing w:val="-2"/>
                <w:sz w:val="21"/>
                <w:szCs w:val="21"/>
              </w:rPr>
              <w:t>污水处理站点源</w:t>
            </w:r>
          </w:p>
        </w:tc>
      </w:tr>
      <w:tr w14:paraId="4B5D3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819" w:type="dxa"/>
            <w:vMerge w:val="continue"/>
            <w:tcBorders>
              <w:top w:val="nil"/>
            </w:tcBorders>
            <w:vAlign w:val="top"/>
          </w:tcPr>
          <w:p w14:paraId="24565062">
            <w:pPr>
              <w:rPr>
                <w:rFonts w:ascii="Arial"/>
                <w:sz w:val="21"/>
              </w:rPr>
            </w:pPr>
          </w:p>
        </w:tc>
        <w:tc>
          <w:tcPr>
            <w:tcW w:w="1708" w:type="dxa"/>
            <w:vAlign w:val="top"/>
          </w:tcPr>
          <w:p w14:paraId="100AC4A0">
            <w:pPr>
              <w:pStyle w:val="6"/>
              <w:spacing w:before="61" w:line="212" w:lineRule="auto"/>
              <w:ind w:left="111"/>
            </w:pPr>
            <w:r>
              <w:rPr>
                <w:spacing w:val="-4"/>
              </w:rPr>
              <w:t>NH</w:t>
            </w:r>
            <w:r>
              <w:rPr>
                <w:spacing w:val="-4"/>
                <w:position w:val="-2"/>
                <w:sz w:val="14"/>
                <w:szCs w:val="14"/>
              </w:rPr>
              <w:t>3</w:t>
            </w:r>
            <w:r>
              <w:rPr>
                <w:spacing w:val="10"/>
                <w:w w:val="101"/>
                <w:position w:val="-2"/>
                <w:sz w:val="14"/>
                <w:szCs w:val="14"/>
              </w:rPr>
              <w:t xml:space="preserve"> </w:t>
            </w:r>
            <w:r>
              <w:rPr>
                <w:rFonts w:ascii="宋体" w:hAnsi="宋体" w:eastAsia="宋体" w:cs="宋体"/>
                <w:spacing w:val="-4"/>
              </w:rPr>
              <w:t>浓度</w:t>
            </w:r>
            <w:r>
              <w:rPr>
                <w:spacing w:val="-4"/>
              </w:rPr>
              <w:t>(μg/m3)</w:t>
            </w:r>
          </w:p>
        </w:tc>
        <w:tc>
          <w:tcPr>
            <w:tcW w:w="1537" w:type="dxa"/>
            <w:vAlign w:val="top"/>
          </w:tcPr>
          <w:p w14:paraId="5E5C77B5">
            <w:pPr>
              <w:pStyle w:val="6"/>
              <w:spacing w:before="61" w:line="212" w:lineRule="auto"/>
              <w:ind w:left="87"/>
            </w:pPr>
            <w:r>
              <w:rPr>
                <w:spacing w:val="-3"/>
              </w:rPr>
              <w:t>NH</w:t>
            </w:r>
            <w:r>
              <w:rPr>
                <w:spacing w:val="-3"/>
                <w:position w:val="-2"/>
                <w:sz w:val="14"/>
                <w:szCs w:val="14"/>
              </w:rPr>
              <w:t xml:space="preserve">3  </w:t>
            </w:r>
            <w:r>
              <w:rPr>
                <w:rFonts w:ascii="宋体" w:hAnsi="宋体" w:eastAsia="宋体" w:cs="宋体"/>
                <w:spacing w:val="-3"/>
              </w:rPr>
              <w:t>占标率</w:t>
            </w:r>
            <w:r>
              <w:rPr>
                <w:spacing w:val="-3"/>
              </w:rPr>
              <w:t>(%)</w:t>
            </w:r>
          </w:p>
        </w:tc>
        <w:tc>
          <w:tcPr>
            <w:tcW w:w="1708" w:type="dxa"/>
            <w:vAlign w:val="top"/>
          </w:tcPr>
          <w:p w14:paraId="4913FB28">
            <w:pPr>
              <w:pStyle w:val="6"/>
              <w:spacing w:before="61" w:line="212" w:lineRule="auto"/>
              <w:ind w:left="128"/>
            </w:pPr>
            <w:r>
              <w:rPr>
                <w:spacing w:val="-4"/>
              </w:rPr>
              <w:t>H</w:t>
            </w:r>
            <w:r>
              <w:rPr>
                <w:spacing w:val="-4"/>
                <w:position w:val="-2"/>
                <w:sz w:val="14"/>
                <w:szCs w:val="14"/>
              </w:rPr>
              <w:t>2</w:t>
            </w:r>
            <w:r>
              <w:rPr>
                <w:spacing w:val="-4"/>
              </w:rPr>
              <w:t xml:space="preserve">S </w:t>
            </w:r>
            <w:r>
              <w:rPr>
                <w:rFonts w:ascii="宋体" w:hAnsi="宋体" w:eastAsia="宋体" w:cs="宋体"/>
                <w:spacing w:val="-4"/>
              </w:rPr>
              <w:t>浓度</w:t>
            </w:r>
            <w:r>
              <w:rPr>
                <w:spacing w:val="-4"/>
              </w:rPr>
              <w:t>(μg/m3)</w:t>
            </w:r>
          </w:p>
        </w:tc>
        <w:tc>
          <w:tcPr>
            <w:tcW w:w="1540" w:type="dxa"/>
            <w:vAlign w:val="top"/>
          </w:tcPr>
          <w:p w14:paraId="5F9D9335">
            <w:pPr>
              <w:pStyle w:val="6"/>
              <w:spacing w:before="61" w:line="212" w:lineRule="auto"/>
              <w:ind w:left="102"/>
            </w:pPr>
            <w:r>
              <w:rPr>
                <w:spacing w:val="-6"/>
              </w:rPr>
              <w:t>H</w:t>
            </w:r>
            <w:r>
              <w:rPr>
                <w:spacing w:val="-6"/>
                <w:position w:val="-2"/>
                <w:sz w:val="14"/>
                <w:szCs w:val="14"/>
              </w:rPr>
              <w:t>2</w:t>
            </w:r>
            <w:r>
              <w:rPr>
                <w:spacing w:val="-6"/>
              </w:rPr>
              <w:t>S</w:t>
            </w:r>
            <w:r>
              <w:rPr>
                <w:spacing w:val="49"/>
                <w:w w:val="101"/>
              </w:rPr>
              <w:t xml:space="preserve"> </w:t>
            </w:r>
            <w:r>
              <w:rPr>
                <w:rFonts w:ascii="宋体" w:hAnsi="宋体" w:eastAsia="宋体" w:cs="宋体"/>
                <w:spacing w:val="-6"/>
              </w:rPr>
              <w:t>占标率</w:t>
            </w:r>
            <w:r>
              <w:rPr>
                <w:spacing w:val="-6"/>
              </w:rPr>
              <w:t>(%)</w:t>
            </w:r>
          </w:p>
        </w:tc>
      </w:tr>
      <w:tr w14:paraId="59621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19" w:type="dxa"/>
            <w:vAlign w:val="top"/>
          </w:tcPr>
          <w:p w14:paraId="642EE2C4">
            <w:pPr>
              <w:spacing w:before="63" w:line="220" w:lineRule="auto"/>
              <w:ind w:left="184"/>
              <w:rPr>
                <w:rFonts w:ascii="宋体" w:hAnsi="宋体" w:eastAsia="宋体" w:cs="宋体"/>
                <w:sz w:val="21"/>
                <w:szCs w:val="21"/>
              </w:rPr>
            </w:pPr>
            <w:r>
              <w:rPr>
                <w:rFonts w:ascii="宋体" w:hAnsi="宋体" w:eastAsia="宋体" w:cs="宋体"/>
                <w:spacing w:val="-2"/>
                <w:sz w:val="21"/>
                <w:szCs w:val="21"/>
              </w:rPr>
              <w:t>下风向最大浓度</w:t>
            </w:r>
          </w:p>
        </w:tc>
        <w:tc>
          <w:tcPr>
            <w:tcW w:w="1708" w:type="dxa"/>
            <w:vAlign w:val="top"/>
          </w:tcPr>
          <w:p w14:paraId="684571BB">
            <w:pPr>
              <w:pStyle w:val="6"/>
              <w:spacing w:before="100" w:line="188" w:lineRule="auto"/>
              <w:ind w:left="568"/>
            </w:pPr>
            <w:r>
              <w:rPr>
                <w:spacing w:val="-2"/>
              </w:rPr>
              <w:t>7.9461</w:t>
            </w:r>
          </w:p>
        </w:tc>
        <w:tc>
          <w:tcPr>
            <w:tcW w:w="1537" w:type="dxa"/>
            <w:vAlign w:val="top"/>
          </w:tcPr>
          <w:p w14:paraId="6697BEE9">
            <w:pPr>
              <w:pStyle w:val="6"/>
              <w:spacing w:before="100" w:line="188" w:lineRule="auto"/>
              <w:ind w:left="485"/>
            </w:pPr>
            <w:r>
              <w:rPr>
                <w:spacing w:val="-2"/>
              </w:rPr>
              <w:t>3.9731</w:t>
            </w:r>
          </w:p>
        </w:tc>
        <w:tc>
          <w:tcPr>
            <w:tcW w:w="1708" w:type="dxa"/>
            <w:vAlign w:val="top"/>
          </w:tcPr>
          <w:p w14:paraId="1F28E65E">
            <w:pPr>
              <w:pStyle w:val="6"/>
              <w:spacing w:before="100" w:line="188" w:lineRule="auto"/>
              <w:ind w:left="569"/>
            </w:pPr>
            <w:r>
              <w:rPr>
                <w:spacing w:val="-2"/>
              </w:rPr>
              <w:t>0.2709</w:t>
            </w:r>
          </w:p>
        </w:tc>
        <w:tc>
          <w:tcPr>
            <w:tcW w:w="1540" w:type="dxa"/>
            <w:vAlign w:val="top"/>
          </w:tcPr>
          <w:p w14:paraId="43907964">
            <w:pPr>
              <w:pStyle w:val="6"/>
              <w:spacing w:before="100" w:line="188" w:lineRule="auto"/>
              <w:ind w:left="482"/>
            </w:pPr>
            <w:r>
              <w:rPr>
                <w:spacing w:val="-1"/>
              </w:rPr>
              <w:t>2.7089</w:t>
            </w:r>
          </w:p>
        </w:tc>
      </w:tr>
      <w:tr w14:paraId="0BCBD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819" w:type="dxa"/>
            <w:vAlign w:val="top"/>
          </w:tcPr>
          <w:p w14:paraId="71241C7F">
            <w:pPr>
              <w:spacing w:before="50" w:line="247" w:lineRule="auto"/>
              <w:ind w:left="511" w:right="173" w:hanging="327"/>
              <w:rPr>
                <w:rFonts w:ascii="宋体" w:hAnsi="宋体" w:eastAsia="宋体" w:cs="宋体"/>
                <w:sz w:val="21"/>
                <w:szCs w:val="21"/>
              </w:rPr>
            </w:pPr>
            <w:r>
              <w:rPr>
                <w:rFonts w:ascii="宋体" w:hAnsi="宋体" w:eastAsia="宋体" w:cs="宋体"/>
                <w:spacing w:val="-3"/>
                <w:sz w:val="21"/>
                <w:szCs w:val="21"/>
              </w:rPr>
              <w:t>下风向最大浓度</w:t>
            </w:r>
            <w:r>
              <w:rPr>
                <w:rFonts w:ascii="宋体" w:hAnsi="宋体" w:eastAsia="宋体" w:cs="宋体"/>
                <w:spacing w:val="-5"/>
                <w:sz w:val="21"/>
                <w:szCs w:val="21"/>
              </w:rPr>
              <w:t>出现距离</w:t>
            </w:r>
          </w:p>
        </w:tc>
        <w:tc>
          <w:tcPr>
            <w:tcW w:w="1708" w:type="dxa"/>
            <w:vAlign w:val="top"/>
          </w:tcPr>
          <w:p w14:paraId="4E9A3048">
            <w:pPr>
              <w:pStyle w:val="6"/>
              <w:spacing w:before="242" w:line="188" w:lineRule="auto"/>
              <w:ind w:left="617"/>
            </w:pPr>
            <w:r>
              <w:rPr>
                <w:spacing w:val="-1"/>
              </w:rPr>
              <w:t>274.0</w:t>
            </w:r>
          </w:p>
        </w:tc>
        <w:tc>
          <w:tcPr>
            <w:tcW w:w="1537" w:type="dxa"/>
            <w:vAlign w:val="top"/>
          </w:tcPr>
          <w:p w14:paraId="5643BD00">
            <w:pPr>
              <w:pStyle w:val="6"/>
              <w:spacing w:before="242" w:line="188" w:lineRule="auto"/>
              <w:ind w:left="533"/>
            </w:pPr>
            <w:r>
              <w:rPr>
                <w:spacing w:val="-1"/>
              </w:rPr>
              <w:t>274.0</w:t>
            </w:r>
          </w:p>
        </w:tc>
        <w:tc>
          <w:tcPr>
            <w:tcW w:w="1708" w:type="dxa"/>
            <w:vAlign w:val="top"/>
          </w:tcPr>
          <w:p w14:paraId="41BA3C70">
            <w:pPr>
              <w:pStyle w:val="6"/>
              <w:spacing w:before="242" w:line="188" w:lineRule="auto"/>
              <w:ind w:left="619"/>
            </w:pPr>
            <w:r>
              <w:rPr>
                <w:spacing w:val="-1"/>
              </w:rPr>
              <w:t>274.0</w:t>
            </w:r>
          </w:p>
        </w:tc>
        <w:tc>
          <w:tcPr>
            <w:tcW w:w="1540" w:type="dxa"/>
            <w:vAlign w:val="top"/>
          </w:tcPr>
          <w:p w14:paraId="7499402D">
            <w:pPr>
              <w:pStyle w:val="6"/>
              <w:spacing w:before="242" w:line="188" w:lineRule="auto"/>
              <w:ind w:left="535"/>
            </w:pPr>
            <w:r>
              <w:rPr>
                <w:spacing w:val="-1"/>
              </w:rPr>
              <w:t>274.0</w:t>
            </w:r>
          </w:p>
        </w:tc>
      </w:tr>
      <w:tr w14:paraId="627EF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19" w:type="dxa"/>
            <w:vAlign w:val="top"/>
          </w:tcPr>
          <w:p w14:paraId="3B13A414">
            <w:pPr>
              <w:pStyle w:val="6"/>
              <w:spacing w:before="64" w:line="220" w:lineRule="auto"/>
              <w:ind w:left="220"/>
              <w:rPr>
                <w:rFonts w:ascii="宋体" w:hAnsi="宋体" w:eastAsia="宋体" w:cs="宋体"/>
              </w:rPr>
            </w:pPr>
            <w:r>
              <w:rPr>
                <w:spacing w:val="-1"/>
              </w:rPr>
              <w:t>D10%</w:t>
            </w:r>
            <w:r>
              <w:rPr>
                <w:rFonts w:ascii="宋体" w:hAnsi="宋体" w:eastAsia="宋体" w:cs="宋体"/>
                <w:spacing w:val="-1"/>
              </w:rPr>
              <w:t>最远距离</w:t>
            </w:r>
          </w:p>
        </w:tc>
        <w:tc>
          <w:tcPr>
            <w:tcW w:w="1708" w:type="dxa"/>
            <w:vAlign w:val="top"/>
          </w:tcPr>
          <w:p w14:paraId="33814BAD">
            <w:pPr>
              <w:pStyle w:val="6"/>
              <w:spacing w:before="97" w:line="192" w:lineRule="auto"/>
              <w:ind w:left="819"/>
            </w:pPr>
            <w:r>
              <w:t>/</w:t>
            </w:r>
          </w:p>
        </w:tc>
        <w:tc>
          <w:tcPr>
            <w:tcW w:w="1537" w:type="dxa"/>
            <w:vAlign w:val="top"/>
          </w:tcPr>
          <w:p w14:paraId="2EA20531">
            <w:pPr>
              <w:pStyle w:val="6"/>
              <w:spacing w:before="97" w:line="192" w:lineRule="auto"/>
              <w:ind w:left="736"/>
            </w:pPr>
            <w:r>
              <w:t>/</w:t>
            </w:r>
          </w:p>
        </w:tc>
        <w:tc>
          <w:tcPr>
            <w:tcW w:w="1708" w:type="dxa"/>
            <w:vAlign w:val="top"/>
          </w:tcPr>
          <w:p w14:paraId="7CA0DBBC">
            <w:pPr>
              <w:pStyle w:val="6"/>
              <w:spacing w:before="97" w:line="192" w:lineRule="auto"/>
              <w:ind w:left="822"/>
            </w:pPr>
            <w:r>
              <w:t>/</w:t>
            </w:r>
          </w:p>
        </w:tc>
        <w:tc>
          <w:tcPr>
            <w:tcW w:w="1540" w:type="dxa"/>
            <w:vAlign w:val="top"/>
          </w:tcPr>
          <w:p w14:paraId="5BDB5EF4">
            <w:pPr>
              <w:pStyle w:val="6"/>
              <w:spacing w:before="97" w:line="192" w:lineRule="auto"/>
              <w:ind w:left="737"/>
            </w:pPr>
            <w:r>
              <w:t>/</w:t>
            </w:r>
          </w:p>
        </w:tc>
      </w:tr>
    </w:tbl>
    <w:p w14:paraId="7AD76664">
      <w:pPr>
        <w:spacing w:before="171" w:line="227" w:lineRule="auto"/>
        <w:ind w:left="36"/>
        <w:rPr>
          <w:rFonts w:ascii="宋体" w:hAnsi="宋体" w:eastAsia="宋体" w:cs="宋体"/>
          <w:sz w:val="27"/>
          <w:szCs w:val="27"/>
        </w:rPr>
      </w:pPr>
      <w:r>
        <w:rPr>
          <w:rFonts w:ascii="Times New Roman" w:hAnsi="Times New Roman" w:eastAsia="Times New Roman" w:cs="Times New Roman"/>
          <w:b/>
          <w:bCs/>
          <w:spacing w:val="3"/>
          <w:sz w:val="27"/>
          <w:szCs w:val="27"/>
        </w:rPr>
        <w:t>4.2.1.5</w:t>
      </w:r>
      <w:r>
        <w:rPr>
          <w:rFonts w:ascii="Times New Roman" w:hAnsi="Times New Roman" w:eastAsia="Times New Roman" w:cs="Times New Roman"/>
          <w:b/>
          <w:bCs/>
          <w:spacing w:val="35"/>
          <w:w w:val="101"/>
          <w:sz w:val="27"/>
          <w:szCs w:val="27"/>
        </w:rPr>
        <w:t xml:space="preserve"> </w:t>
      </w:r>
      <w:r>
        <w:rPr>
          <w:rFonts w:ascii="宋体" w:hAnsi="宋体" w:eastAsia="宋体" w:cs="宋体"/>
          <w:b/>
          <w:bCs/>
          <w:spacing w:val="3"/>
          <w:sz w:val="27"/>
          <w:szCs w:val="27"/>
        </w:rPr>
        <w:t>防护距离的确定</w:t>
      </w:r>
    </w:p>
    <w:p w14:paraId="499E5209">
      <w:pPr>
        <w:spacing w:before="235"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）大气环境防护距离</w:t>
      </w:r>
    </w:p>
    <w:p w14:paraId="2FFA6450">
      <w:pPr>
        <w:spacing w:before="181" w:line="360" w:lineRule="auto"/>
        <w:ind w:left="43" w:firstLine="477"/>
        <w:jc w:val="both"/>
        <w:rPr>
          <w:rFonts w:ascii="宋体" w:hAnsi="宋体" w:eastAsia="宋体" w:cs="宋体"/>
          <w:sz w:val="24"/>
          <w:szCs w:val="24"/>
        </w:rPr>
      </w:pPr>
      <w:r>
        <w:rPr>
          <w:rFonts w:ascii="宋体" w:hAnsi="宋体" w:eastAsia="宋体" w:cs="宋体"/>
          <w:spacing w:val="-5"/>
          <w:sz w:val="24"/>
          <w:szCs w:val="24"/>
        </w:rPr>
        <w:t>本项目大气环境评价等级为二级，根据《环境影响评价技术导则</w:t>
      </w:r>
      <w:r>
        <w:rPr>
          <w:rFonts w:ascii="宋体" w:hAnsi="宋体" w:eastAsia="宋体" w:cs="宋体"/>
          <w:spacing w:val="50"/>
          <w:sz w:val="24"/>
          <w:szCs w:val="24"/>
        </w:rPr>
        <w:t xml:space="preserve"> </w:t>
      </w:r>
      <w:r>
        <w:rPr>
          <w:rFonts w:ascii="宋体" w:hAnsi="宋体" w:eastAsia="宋体" w:cs="宋体"/>
          <w:spacing w:val="-5"/>
          <w:sz w:val="24"/>
          <w:szCs w:val="24"/>
        </w:rPr>
        <w:t>大气环境》</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）规定，本项目无需进行大气环境防护距离计算，因此，本项目不</w:t>
      </w:r>
      <w:r>
        <w:rPr>
          <w:rFonts w:ascii="宋体" w:hAnsi="宋体" w:eastAsia="宋体" w:cs="宋体"/>
          <w:spacing w:val="-4"/>
          <w:sz w:val="24"/>
          <w:szCs w:val="24"/>
        </w:rPr>
        <w:t>设置大气环境防护距离。</w:t>
      </w:r>
    </w:p>
    <w:p w14:paraId="09A7180E">
      <w:pPr>
        <w:spacing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）卫生防护距离</w:t>
      </w:r>
    </w:p>
    <w:p w14:paraId="451D562A">
      <w:pPr>
        <w:spacing w:before="182" w:line="217" w:lineRule="auto"/>
        <w:ind w:left="520"/>
        <w:rPr>
          <w:rFonts w:ascii="宋体" w:hAnsi="宋体" w:eastAsia="宋体" w:cs="宋体"/>
          <w:sz w:val="24"/>
          <w:szCs w:val="24"/>
        </w:rPr>
      </w:pPr>
      <w:r>
        <w:rPr>
          <w:rFonts w:ascii="宋体" w:hAnsi="宋体" w:eastAsia="宋体" w:cs="宋体"/>
          <w:b/>
          <w:bCs/>
          <w:spacing w:val="-3"/>
          <w:sz w:val="24"/>
          <w:szCs w:val="24"/>
        </w:rPr>
        <w:t>①卫生防护距离的计算</w:t>
      </w:r>
    </w:p>
    <w:p w14:paraId="2796CFE3">
      <w:pPr>
        <w:spacing w:before="186" w:line="336" w:lineRule="auto"/>
        <w:ind w:left="45" w:right="120" w:firstLine="474"/>
        <w:rPr>
          <w:rFonts w:ascii="宋体" w:hAnsi="宋体" w:eastAsia="宋体" w:cs="宋体"/>
          <w:sz w:val="24"/>
          <w:szCs w:val="24"/>
        </w:rPr>
      </w:pPr>
      <w:r>
        <w:rPr>
          <w:rFonts w:ascii="宋体" w:hAnsi="宋体" w:eastAsia="宋体" w:cs="宋体"/>
          <w:spacing w:val="20"/>
          <w:sz w:val="24"/>
          <w:szCs w:val="24"/>
        </w:rPr>
        <w:t>本项目根据《大气有害物质无组织排放卫生防护距离推导技术导则》</w:t>
      </w:r>
      <w:r>
        <w:rPr>
          <w:rFonts w:ascii="宋体" w:hAnsi="宋体" w:eastAsia="宋体" w:cs="宋体"/>
          <w:spacing w:val="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GB/T39499-2020</w:t>
      </w:r>
      <w:r>
        <w:rPr>
          <w:rFonts w:ascii="宋体" w:hAnsi="宋体" w:eastAsia="宋体" w:cs="宋体"/>
          <w:spacing w:val="-2"/>
          <w:sz w:val="24"/>
          <w:szCs w:val="24"/>
        </w:rPr>
        <w:t>）进行项目卫生防护距</w:t>
      </w:r>
      <w:r>
        <w:rPr>
          <w:rFonts w:ascii="宋体" w:hAnsi="宋体" w:eastAsia="宋体" w:cs="宋体"/>
          <w:spacing w:val="-3"/>
          <w:sz w:val="24"/>
          <w:szCs w:val="24"/>
        </w:rPr>
        <w:t>离初值计算：</w:t>
      </w:r>
    </w:p>
    <w:p w14:paraId="081CD896">
      <w:pPr>
        <w:spacing w:line="584" w:lineRule="exact"/>
        <w:ind w:left="2789"/>
      </w:pPr>
      <w:r>
        <w:rPr>
          <w:position w:val="-12"/>
        </w:rPr>
        <w:drawing>
          <wp:inline distT="0" distB="0" distL="0" distR="0">
            <wp:extent cx="1763395" cy="37020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567"/>
                    <a:stretch>
                      <a:fillRect/>
                    </a:stretch>
                  </pic:blipFill>
                  <pic:spPr>
                    <a:xfrm>
                      <a:off x="0" y="0"/>
                      <a:ext cx="1764026" cy="370826"/>
                    </a:xfrm>
                    <a:prstGeom prst="rect">
                      <a:avLst/>
                    </a:prstGeom>
                  </pic:spPr>
                </pic:pic>
              </a:graphicData>
            </a:graphic>
          </wp:inline>
        </w:drawing>
      </w:r>
    </w:p>
    <w:p w14:paraId="6A0C4D1A">
      <w:pPr>
        <w:pStyle w:val="2"/>
        <w:spacing w:line="435" w:lineRule="auto"/>
      </w:pPr>
    </w:p>
    <w:p w14:paraId="2CA8683D">
      <w:pPr>
        <w:spacing w:before="78" w:line="212" w:lineRule="auto"/>
        <w:ind w:left="524"/>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i/>
          <w:iCs/>
          <w:spacing w:val="-1"/>
          <w:sz w:val="24"/>
          <w:szCs w:val="24"/>
        </w:rPr>
        <w:t>Q</w:t>
      </w:r>
      <w:r>
        <w:rPr>
          <w:rFonts w:ascii="Times New Roman" w:hAnsi="Times New Roman" w:eastAsia="Times New Roman" w:cs="Times New Roman"/>
          <w:i/>
          <w:iCs/>
          <w:spacing w:val="-1"/>
          <w:position w:val="-2"/>
          <w:sz w:val="15"/>
          <w:szCs w:val="15"/>
        </w:rPr>
        <w:t>c</w:t>
      </w:r>
      <w:r>
        <w:rPr>
          <w:rFonts w:ascii="Times New Roman" w:hAnsi="Times New Roman" w:eastAsia="Times New Roman" w:cs="Times New Roman"/>
          <w:spacing w:val="-1"/>
          <w:sz w:val="24"/>
          <w:szCs w:val="24"/>
        </w:rPr>
        <w:t>—</w:t>
      </w:r>
      <w:r>
        <w:rPr>
          <w:rFonts w:ascii="宋体" w:hAnsi="宋体" w:eastAsia="宋体" w:cs="宋体"/>
          <w:spacing w:val="-1"/>
          <w:sz w:val="24"/>
          <w:szCs w:val="24"/>
        </w:rPr>
        <w:t>大气有害物质的无组织排放量（</w:t>
      </w:r>
      <w:r>
        <w:rPr>
          <w:rFonts w:ascii="Times New Roman" w:hAnsi="Times New Roman" w:eastAsia="Times New Roman" w:cs="Times New Roman"/>
          <w:spacing w:val="-1"/>
          <w:sz w:val="24"/>
          <w:szCs w:val="24"/>
        </w:rPr>
        <w:t>kg/h</w:t>
      </w:r>
      <w:r>
        <w:rPr>
          <w:rFonts w:ascii="宋体" w:hAnsi="宋体" w:eastAsia="宋体" w:cs="宋体"/>
          <w:spacing w:val="-7"/>
          <w:sz w:val="24"/>
          <w:szCs w:val="24"/>
        </w:rPr>
        <w:t>）；</w:t>
      </w:r>
    </w:p>
    <w:p w14:paraId="7AFFD9AE">
      <w:pPr>
        <w:spacing w:before="246" w:line="226" w:lineRule="auto"/>
        <w:ind w:left="548"/>
        <w:rPr>
          <w:rFonts w:ascii="宋体" w:hAnsi="宋体" w:eastAsia="宋体" w:cs="宋体"/>
          <w:sz w:val="24"/>
          <w:szCs w:val="24"/>
        </w:rPr>
      </w:pPr>
      <w:r>
        <w:rPr>
          <w:rFonts w:ascii="Times New Roman" w:hAnsi="Times New Roman" w:eastAsia="Times New Roman" w:cs="Times New Roman"/>
          <w:spacing w:val="-9"/>
          <w:sz w:val="26"/>
          <w:szCs w:val="26"/>
        </w:rPr>
        <w:t>c</w:t>
      </w:r>
      <w:r>
        <w:rPr>
          <w:rFonts w:ascii="Times New Roman" w:hAnsi="Times New Roman" w:eastAsia="Times New Roman" w:cs="Times New Roman"/>
          <w:i/>
          <w:iCs/>
          <w:position w:val="-5"/>
          <w:sz w:val="15"/>
          <w:szCs w:val="15"/>
        </w:rPr>
        <w:t>m</w:t>
      </w:r>
      <w:r>
        <w:rPr>
          <w:rFonts w:ascii="Times New Roman" w:hAnsi="Times New Roman" w:eastAsia="Times New Roman" w:cs="Times New Roman"/>
          <w:i/>
          <w:iCs/>
          <w:spacing w:val="-12"/>
          <w:position w:val="-5"/>
          <w:sz w:val="15"/>
          <w:szCs w:val="15"/>
        </w:rPr>
        <w:t xml:space="preserve"> </w:t>
      </w:r>
      <w:r>
        <w:rPr>
          <w:rFonts w:ascii="Times New Roman" w:hAnsi="Times New Roman" w:eastAsia="Times New Roman" w:cs="Times New Roman"/>
          <w:sz w:val="24"/>
          <w:szCs w:val="24"/>
        </w:rPr>
        <w:t>—</w:t>
      </w:r>
      <w:r>
        <w:rPr>
          <w:rFonts w:ascii="宋体" w:hAnsi="宋体" w:eastAsia="宋体" w:cs="宋体"/>
          <w:sz w:val="24"/>
          <w:szCs w:val="24"/>
        </w:rPr>
        <w:t>大气有害物质环境空气质量的标准限值（</w:t>
      </w:r>
      <w:r>
        <w:rPr>
          <w:rFonts w:ascii="Times New Roman" w:hAnsi="Times New Roman" w:eastAsia="Times New Roman" w:cs="Times New Roman"/>
          <w:sz w:val="24"/>
          <w:szCs w:val="24"/>
        </w:rPr>
        <w:t>mg/m</w:t>
      </w:r>
      <w:r>
        <w:rPr>
          <w:rFonts w:ascii="Times New Roman" w:hAnsi="Times New Roman" w:eastAsia="Times New Roman" w:cs="Times New Roman"/>
          <w:position w:val="10"/>
          <w:sz w:val="15"/>
          <w:szCs w:val="15"/>
        </w:rPr>
        <w:t>3</w:t>
      </w:r>
      <w:r>
        <w:rPr>
          <w:rFonts w:ascii="宋体" w:hAnsi="宋体" w:eastAsia="宋体" w:cs="宋体"/>
          <w:spacing w:val="-14"/>
          <w:sz w:val="24"/>
          <w:szCs w:val="24"/>
        </w:rPr>
        <w:t>）；</w:t>
      </w:r>
    </w:p>
    <w:p w14:paraId="2E89FC8C">
      <w:pPr>
        <w:spacing w:before="263" w:line="220" w:lineRule="auto"/>
        <w:ind w:left="502"/>
        <w:rPr>
          <w:rFonts w:ascii="宋体" w:hAnsi="宋体" w:eastAsia="宋体" w:cs="宋体"/>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sz w:val="24"/>
          <w:szCs w:val="24"/>
        </w:rPr>
        <w:t>—</w:t>
      </w:r>
      <w:r>
        <w:rPr>
          <w:rFonts w:ascii="宋体" w:hAnsi="宋体" w:eastAsia="宋体" w:cs="宋体"/>
          <w:sz w:val="24"/>
          <w:szCs w:val="24"/>
        </w:rPr>
        <w:t>大气有害物质卫生防护距离初值（</w:t>
      </w:r>
      <w:r>
        <w:rPr>
          <w:rFonts w:ascii="Times New Roman" w:hAnsi="Times New Roman" w:eastAsia="Times New Roman" w:cs="Times New Roman"/>
          <w:sz w:val="24"/>
          <w:szCs w:val="24"/>
        </w:rPr>
        <w:t>m</w:t>
      </w:r>
      <w:r>
        <w:rPr>
          <w:rFonts w:ascii="宋体" w:hAnsi="宋体" w:eastAsia="宋体" w:cs="宋体"/>
          <w:spacing w:val="-11"/>
          <w:sz w:val="24"/>
          <w:szCs w:val="24"/>
        </w:rPr>
        <w:t>）；</w:t>
      </w:r>
    </w:p>
    <w:p w14:paraId="79579891">
      <w:pPr>
        <w:spacing w:before="182" w:line="359" w:lineRule="auto"/>
        <w:ind w:left="39" w:right="227" w:firstLine="475"/>
        <w:rPr>
          <w:rFonts w:ascii="宋体" w:hAnsi="宋体" w:eastAsia="宋体" w:cs="宋体"/>
          <w:sz w:val="24"/>
          <w:szCs w:val="24"/>
        </w:rPr>
      </w:pP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sz w:val="24"/>
          <w:szCs w:val="24"/>
        </w:rPr>
        <w:t>—</w:t>
      </w:r>
      <w:r>
        <w:rPr>
          <w:rFonts w:ascii="宋体" w:hAnsi="宋体" w:eastAsia="宋体" w:cs="宋体"/>
          <w:spacing w:val="-1"/>
          <w:sz w:val="24"/>
          <w:szCs w:val="24"/>
        </w:rPr>
        <w:t>大气有害物质无组织排放源所在生产单元的等效半径（</w:t>
      </w:r>
      <w:r>
        <w:rPr>
          <w:rFonts w:ascii="Times New Roman" w:hAnsi="Times New Roman" w:eastAsia="Times New Roman" w:cs="Times New Roman"/>
          <w:spacing w:val="-1"/>
          <w:sz w:val="24"/>
          <w:szCs w:val="24"/>
        </w:rPr>
        <w:t>m</w:t>
      </w:r>
      <w:r>
        <w:rPr>
          <w:rFonts w:ascii="宋体" w:hAnsi="宋体" w:eastAsia="宋体" w:cs="宋体"/>
          <w:spacing w:val="7"/>
          <w:sz w:val="24"/>
          <w:szCs w:val="24"/>
        </w:rPr>
        <w:t>），</w:t>
      </w:r>
      <w:r>
        <w:rPr>
          <w:rFonts w:ascii="宋体" w:hAnsi="宋体" w:eastAsia="宋体" w:cs="宋体"/>
          <w:spacing w:val="-1"/>
          <w:sz w:val="24"/>
          <w:szCs w:val="24"/>
        </w:rPr>
        <w:t>根据该生产单元占地面积</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2</w:t>
      </w:r>
      <w:r>
        <w:rPr>
          <w:rFonts w:ascii="宋体" w:hAnsi="宋体" w:eastAsia="宋体" w:cs="宋体"/>
          <w:spacing w:val="-1"/>
          <w:sz w:val="24"/>
          <w:szCs w:val="24"/>
        </w:rPr>
        <w:t>）计算，</w:t>
      </w:r>
      <w:r>
        <w:rPr>
          <w:rFonts w:ascii="Times New Roman" w:hAnsi="Times New Roman" w:eastAsia="Times New Roman" w:cs="Times New Roman"/>
          <w:spacing w:val="-1"/>
          <w:sz w:val="24"/>
          <w:szCs w:val="24"/>
        </w:rPr>
        <w:t>r=</w:t>
      </w:r>
      <w:r>
        <w:rPr>
          <w:rFonts w:ascii="宋体" w:hAnsi="宋体" w:eastAsia="宋体" w:cs="宋体"/>
          <w:spacing w:val="-1"/>
          <w:sz w:val="24"/>
          <w:szCs w:val="24"/>
        </w:rPr>
        <w:t>（</w:t>
      </w:r>
      <w:r>
        <w:rPr>
          <w:rFonts w:ascii="Times New Roman" w:hAnsi="Times New Roman" w:eastAsia="Times New Roman" w:cs="Times New Roman"/>
          <w:spacing w:val="-1"/>
          <w:sz w:val="24"/>
          <w:szCs w:val="24"/>
        </w:rPr>
        <w:t>S/π</w:t>
      </w:r>
      <w:r>
        <w:rPr>
          <w:rFonts w:ascii="宋体" w:hAnsi="宋体" w:eastAsia="宋体" w:cs="宋体"/>
          <w:spacing w:val="-1"/>
          <w:sz w:val="24"/>
          <w:szCs w:val="24"/>
        </w:rPr>
        <w:t xml:space="preserve">) </w:t>
      </w:r>
      <w:r>
        <w:rPr>
          <w:rFonts w:ascii="Times New Roman" w:hAnsi="Times New Roman" w:eastAsia="Times New Roman" w:cs="Times New Roman"/>
          <w:spacing w:val="-1"/>
          <w:position w:val="10"/>
          <w:sz w:val="15"/>
          <w:szCs w:val="15"/>
        </w:rPr>
        <w:t>0.5</w:t>
      </w:r>
      <w:r>
        <w:rPr>
          <w:rFonts w:ascii="宋体" w:hAnsi="宋体" w:eastAsia="宋体" w:cs="宋体"/>
          <w:spacing w:val="-1"/>
          <w:sz w:val="24"/>
          <w:szCs w:val="24"/>
        </w:rPr>
        <w:t>；</w:t>
      </w:r>
    </w:p>
    <w:p w14:paraId="17CF949B">
      <w:pPr>
        <w:spacing w:before="3" w:line="362" w:lineRule="auto"/>
        <w:ind w:left="57" w:right="111" w:firstLine="454"/>
        <w:rPr>
          <w:rFonts w:ascii="宋体" w:hAnsi="宋体" w:eastAsia="宋体" w:cs="宋体"/>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D—</w:t>
      </w:r>
      <w:r>
        <w:rPr>
          <w:rFonts w:ascii="宋体" w:hAnsi="宋体" w:eastAsia="宋体" w:cs="宋体"/>
          <w:spacing w:val="-4"/>
          <w:sz w:val="24"/>
          <w:szCs w:val="24"/>
        </w:rPr>
        <w:t>卫生防护距离初值计算系数，无因次，根据工业企业所在地</w:t>
      </w:r>
      <w:r>
        <w:rPr>
          <w:rFonts w:ascii="宋体" w:hAnsi="宋体" w:eastAsia="宋体" w:cs="宋体"/>
          <w:spacing w:val="-3"/>
          <w:sz w:val="24"/>
          <w:szCs w:val="24"/>
        </w:rPr>
        <w:t>区近</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年平均风速及大气污染源构成类别从下表查取。</w:t>
      </w:r>
    </w:p>
    <w:p w14:paraId="5797B6A7">
      <w:pPr>
        <w:spacing w:before="8" w:line="221" w:lineRule="auto"/>
        <w:ind w:left="247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4"/>
          <w:sz w:val="21"/>
          <w:szCs w:val="21"/>
        </w:rPr>
        <w:t xml:space="preserve"> </w:t>
      </w:r>
      <w:r>
        <w:rPr>
          <w:rFonts w:ascii="Times New Roman" w:hAnsi="Times New Roman" w:eastAsia="Times New Roman" w:cs="Times New Roman"/>
          <w:spacing w:val="-1"/>
          <w:sz w:val="21"/>
          <w:szCs w:val="21"/>
        </w:rPr>
        <w:t xml:space="preserve">4.2-13  </w:t>
      </w:r>
      <w:r>
        <w:rPr>
          <w:rFonts w:ascii="黑体" w:hAnsi="黑体" w:eastAsia="黑体" w:cs="黑体"/>
          <w:spacing w:val="-1"/>
          <w:sz w:val="21"/>
          <w:szCs w:val="21"/>
        </w:rPr>
        <w:t>卫生防护距离初值计算系数</w:t>
      </w:r>
    </w:p>
    <w:p w14:paraId="7E5D62E4">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2"/>
        <w:gridCol w:w="1618"/>
        <w:gridCol w:w="560"/>
        <w:gridCol w:w="581"/>
        <w:gridCol w:w="582"/>
        <w:gridCol w:w="596"/>
        <w:gridCol w:w="581"/>
        <w:gridCol w:w="582"/>
        <w:gridCol w:w="595"/>
        <w:gridCol w:w="582"/>
        <w:gridCol w:w="581"/>
      </w:tblGrid>
      <w:tr w14:paraId="3D06C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62" w:type="dxa"/>
            <w:vMerge w:val="restart"/>
            <w:tcBorders>
              <w:bottom w:val="nil"/>
            </w:tcBorders>
            <w:vAlign w:val="top"/>
          </w:tcPr>
          <w:p w14:paraId="7C01018A">
            <w:pPr>
              <w:spacing w:line="384" w:lineRule="auto"/>
              <w:rPr>
                <w:rFonts w:ascii="Arial"/>
                <w:sz w:val="21"/>
              </w:rPr>
            </w:pPr>
          </w:p>
          <w:p w14:paraId="59F1829D">
            <w:pPr>
              <w:spacing w:before="69" w:line="242" w:lineRule="auto"/>
              <w:ind w:left="103" w:right="97" w:firstLine="2"/>
              <w:rPr>
                <w:rFonts w:ascii="宋体" w:hAnsi="宋体" w:eastAsia="宋体" w:cs="宋体"/>
                <w:sz w:val="21"/>
                <w:szCs w:val="21"/>
              </w:rPr>
            </w:pPr>
            <w:r>
              <w:rPr>
                <w:rFonts w:ascii="宋体" w:hAnsi="宋体" w:eastAsia="宋体" w:cs="宋体"/>
                <w:b/>
                <w:bCs/>
                <w:spacing w:val="-4"/>
                <w:sz w:val="21"/>
                <w:szCs w:val="21"/>
              </w:rPr>
              <w:t>卫生防护距离</w:t>
            </w:r>
            <w:r>
              <w:rPr>
                <w:rFonts w:ascii="宋体" w:hAnsi="宋体" w:eastAsia="宋体" w:cs="宋体"/>
                <w:b/>
                <w:bCs/>
                <w:spacing w:val="-3"/>
                <w:sz w:val="21"/>
                <w:szCs w:val="21"/>
              </w:rPr>
              <w:t>初值计算系数</w:t>
            </w:r>
          </w:p>
        </w:tc>
        <w:tc>
          <w:tcPr>
            <w:tcW w:w="1618" w:type="dxa"/>
            <w:vMerge w:val="restart"/>
            <w:tcBorders>
              <w:bottom w:val="nil"/>
            </w:tcBorders>
            <w:vAlign w:val="top"/>
          </w:tcPr>
          <w:p w14:paraId="16F4DDA6">
            <w:pPr>
              <w:spacing w:line="251" w:lineRule="auto"/>
              <w:rPr>
                <w:rFonts w:ascii="Arial"/>
                <w:sz w:val="21"/>
              </w:rPr>
            </w:pPr>
          </w:p>
          <w:p w14:paraId="0B1055E6">
            <w:pPr>
              <w:spacing w:before="68" w:line="220" w:lineRule="auto"/>
              <w:ind w:left="78"/>
              <w:rPr>
                <w:rFonts w:ascii="宋体" w:hAnsi="宋体" w:eastAsia="宋体" w:cs="宋体"/>
                <w:sz w:val="21"/>
                <w:szCs w:val="21"/>
              </w:rPr>
            </w:pPr>
            <w:r>
              <w:rPr>
                <w:rFonts w:ascii="宋体" w:hAnsi="宋体" w:eastAsia="宋体" w:cs="宋体"/>
                <w:b/>
                <w:bCs/>
                <w:spacing w:val="-4"/>
                <w:sz w:val="21"/>
                <w:szCs w:val="21"/>
              </w:rPr>
              <w:t>工业企业所在地</w:t>
            </w:r>
          </w:p>
          <w:p w14:paraId="252547DD">
            <w:pPr>
              <w:pStyle w:val="6"/>
              <w:spacing w:before="21" w:line="220" w:lineRule="auto"/>
              <w:ind w:left="91"/>
              <w:rPr>
                <w:rFonts w:ascii="宋体" w:hAnsi="宋体" w:eastAsia="宋体" w:cs="宋体"/>
              </w:rPr>
            </w:pPr>
            <w:r>
              <w:rPr>
                <w:rFonts w:ascii="宋体" w:hAnsi="宋体" w:eastAsia="宋体" w:cs="宋体"/>
                <w:b/>
                <w:bCs/>
                <w:spacing w:val="-6"/>
              </w:rPr>
              <w:t>区近</w:t>
            </w:r>
            <w:r>
              <w:rPr>
                <w:rFonts w:ascii="宋体" w:hAnsi="宋体" w:eastAsia="宋体" w:cs="宋体"/>
                <w:spacing w:val="-38"/>
              </w:rPr>
              <w:t xml:space="preserve"> </w:t>
            </w:r>
            <w:r>
              <w:rPr>
                <w:b/>
                <w:bCs/>
                <w:spacing w:val="-6"/>
              </w:rPr>
              <w:t xml:space="preserve">5 </w:t>
            </w:r>
            <w:r>
              <w:rPr>
                <w:rFonts w:ascii="宋体" w:hAnsi="宋体" w:eastAsia="宋体" w:cs="宋体"/>
                <w:b/>
                <w:bCs/>
                <w:spacing w:val="-6"/>
              </w:rPr>
              <w:t>年平均风</w:t>
            </w:r>
          </w:p>
          <w:p w14:paraId="77255BA5">
            <w:pPr>
              <w:pStyle w:val="6"/>
              <w:spacing w:before="22" w:line="224" w:lineRule="auto"/>
              <w:ind w:left="309"/>
              <w:rPr>
                <w:rFonts w:ascii="宋体" w:hAnsi="宋体" w:eastAsia="宋体" w:cs="宋体"/>
              </w:rPr>
            </w:pPr>
            <w:r>
              <w:rPr>
                <w:rFonts w:ascii="宋体" w:hAnsi="宋体" w:eastAsia="宋体" w:cs="宋体"/>
                <w:b/>
                <w:bCs/>
                <w:spacing w:val="-2"/>
              </w:rPr>
              <w:t>速</w:t>
            </w:r>
            <w:r>
              <w:rPr>
                <w:b/>
                <w:bCs/>
                <w:spacing w:val="-2"/>
              </w:rPr>
              <w:t>/</w:t>
            </w:r>
            <w:r>
              <w:rPr>
                <w:rFonts w:ascii="宋体" w:hAnsi="宋体" w:eastAsia="宋体" w:cs="宋体"/>
                <w:b/>
                <w:bCs/>
                <w:spacing w:val="-2"/>
              </w:rPr>
              <w:t>（</w:t>
            </w:r>
            <w:r>
              <w:rPr>
                <w:b/>
                <w:bCs/>
                <w:spacing w:val="-2"/>
              </w:rPr>
              <w:t>m/s</w:t>
            </w:r>
            <w:r>
              <w:rPr>
                <w:rFonts w:ascii="宋体" w:hAnsi="宋体" w:eastAsia="宋体" w:cs="宋体"/>
                <w:b/>
                <w:bCs/>
                <w:spacing w:val="-2"/>
              </w:rPr>
              <w:t>）</w:t>
            </w:r>
          </w:p>
        </w:tc>
        <w:tc>
          <w:tcPr>
            <w:tcW w:w="5240" w:type="dxa"/>
            <w:gridSpan w:val="9"/>
            <w:vAlign w:val="top"/>
          </w:tcPr>
          <w:p w14:paraId="16071F8B">
            <w:pPr>
              <w:pStyle w:val="6"/>
              <w:spacing w:before="68" w:line="220" w:lineRule="auto"/>
              <w:ind w:left="1780"/>
            </w:pPr>
            <w:r>
              <w:rPr>
                <w:rFonts w:ascii="宋体" w:hAnsi="宋体" w:eastAsia="宋体" w:cs="宋体"/>
                <w:b/>
                <w:bCs/>
                <w:spacing w:val="-3"/>
              </w:rPr>
              <w:t>卫生防护距离</w:t>
            </w:r>
            <w:r>
              <w:rPr>
                <w:rFonts w:ascii="宋体" w:hAnsi="宋体" w:eastAsia="宋体" w:cs="宋体"/>
                <w:spacing w:val="-43"/>
              </w:rPr>
              <w:t xml:space="preserve"> </w:t>
            </w:r>
            <w:r>
              <w:rPr>
                <w:b/>
                <w:bCs/>
                <w:spacing w:val="-3"/>
              </w:rPr>
              <w:t>L/m</w:t>
            </w:r>
          </w:p>
        </w:tc>
      </w:tr>
      <w:tr w14:paraId="14655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62" w:type="dxa"/>
            <w:vMerge w:val="continue"/>
            <w:tcBorders>
              <w:top w:val="nil"/>
              <w:bottom w:val="nil"/>
            </w:tcBorders>
            <w:vAlign w:val="top"/>
          </w:tcPr>
          <w:p w14:paraId="610ACA6B">
            <w:pPr>
              <w:rPr>
                <w:rFonts w:ascii="Arial"/>
                <w:sz w:val="21"/>
              </w:rPr>
            </w:pPr>
          </w:p>
        </w:tc>
        <w:tc>
          <w:tcPr>
            <w:tcW w:w="1618" w:type="dxa"/>
            <w:vMerge w:val="continue"/>
            <w:tcBorders>
              <w:top w:val="nil"/>
              <w:bottom w:val="nil"/>
            </w:tcBorders>
            <w:vAlign w:val="top"/>
          </w:tcPr>
          <w:p w14:paraId="69F2F2CF">
            <w:pPr>
              <w:rPr>
                <w:rFonts w:ascii="Arial"/>
                <w:sz w:val="21"/>
              </w:rPr>
            </w:pPr>
          </w:p>
        </w:tc>
        <w:tc>
          <w:tcPr>
            <w:tcW w:w="1723" w:type="dxa"/>
            <w:gridSpan w:val="3"/>
            <w:vAlign w:val="top"/>
          </w:tcPr>
          <w:p w14:paraId="29B4F06E">
            <w:pPr>
              <w:pStyle w:val="6"/>
              <w:spacing w:before="102" w:line="188" w:lineRule="auto"/>
              <w:ind w:left="519"/>
            </w:pPr>
            <w:r>
              <w:rPr>
                <w:b/>
                <w:bCs/>
                <w:i/>
                <w:iCs/>
                <w:spacing w:val="1"/>
              </w:rPr>
              <w:t>L</w:t>
            </w:r>
            <w:r>
              <w:rPr>
                <w:b/>
                <w:bCs/>
                <w:spacing w:val="1"/>
              </w:rPr>
              <w:t>≤1000</w:t>
            </w:r>
          </w:p>
        </w:tc>
        <w:tc>
          <w:tcPr>
            <w:tcW w:w="1759" w:type="dxa"/>
            <w:gridSpan w:val="3"/>
            <w:vAlign w:val="top"/>
          </w:tcPr>
          <w:p w14:paraId="45763926">
            <w:pPr>
              <w:pStyle w:val="6"/>
              <w:spacing w:before="102" w:line="188" w:lineRule="auto"/>
              <w:ind w:left="290"/>
            </w:pPr>
            <w:r>
              <w:rPr>
                <w:b/>
                <w:bCs/>
                <w:spacing w:val="-2"/>
              </w:rPr>
              <w:t>1000&lt;</w:t>
            </w:r>
            <w:r>
              <w:rPr>
                <w:b/>
                <w:bCs/>
                <w:i/>
                <w:iCs/>
                <w:spacing w:val="-2"/>
              </w:rPr>
              <w:t>L</w:t>
            </w:r>
            <w:r>
              <w:rPr>
                <w:b/>
                <w:bCs/>
                <w:spacing w:val="-2"/>
              </w:rPr>
              <w:t>≤2000</w:t>
            </w:r>
          </w:p>
        </w:tc>
        <w:tc>
          <w:tcPr>
            <w:tcW w:w="1758" w:type="dxa"/>
            <w:gridSpan w:val="3"/>
            <w:vAlign w:val="top"/>
          </w:tcPr>
          <w:p w14:paraId="4579BE1F">
            <w:pPr>
              <w:pStyle w:val="6"/>
              <w:spacing w:before="64" w:line="236" w:lineRule="auto"/>
              <w:ind w:left="489"/>
            </w:pPr>
            <w:r>
              <w:rPr>
                <w:b/>
                <w:bCs/>
                <w:i/>
                <w:iCs/>
                <w:spacing w:val="1"/>
              </w:rPr>
              <w:t>L</w:t>
            </w:r>
            <w:r>
              <w:rPr>
                <w:rFonts w:ascii="宋体" w:hAnsi="宋体" w:eastAsia="宋体" w:cs="宋体"/>
                <w:b/>
                <w:bCs/>
                <w:spacing w:val="1"/>
              </w:rPr>
              <w:t>＞</w:t>
            </w:r>
            <w:r>
              <w:rPr>
                <w:b/>
                <w:bCs/>
                <w:spacing w:val="1"/>
              </w:rPr>
              <w:t>2000</w:t>
            </w:r>
          </w:p>
        </w:tc>
      </w:tr>
      <w:tr w14:paraId="0BAE5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62" w:type="dxa"/>
            <w:vMerge w:val="continue"/>
            <w:tcBorders>
              <w:top w:val="nil"/>
              <w:bottom w:val="nil"/>
            </w:tcBorders>
            <w:vAlign w:val="top"/>
          </w:tcPr>
          <w:p w14:paraId="588B309A">
            <w:pPr>
              <w:rPr>
                <w:rFonts w:ascii="Arial"/>
                <w:sz w:val="21"/>
              </w:rPr>
            </w:pPr>
          </w:p>
        </w:tc>
        <w:tc>
          <w:tcPr>
            <w:tcW w:w="1618" w:type="dxa"/>
            <w:vMerge w:val="continue"/>
            <w:tcBorders>
              <w:top w:val="nil"/>
              <w:bottom w:val="nil"/>
            </w:tcBorders>
            <w:vAlign w:val="top"/>
          </w:tcPr>
          <w:p w14:paraId="31C11854">
            <w:pPr>
              <w:rPr>
                <w:rFonts w:ascii="Arial"/>
                <w:sz w:val="21"/>
              </w:rPr>
            </w:pPr>
          </w:p>
        </w:tc>
        <w:tc>
          <w:tcPr>
            <w:tcW w:w="5240" w:type="dxa"/>
            <w:gridSpan w:val="9"/>
            <w:vAlign w:val="top"/>
          </w:tcPr>
          <w:p w14:paraId="75A638AE">
            <w:pPr>
              <w:spacing w:before="65" w:line="220" w:lineRule="auto"/>
              <w:ind w:left="1261"/>
              <w:rPr>
                <w:rFonts w:ascii="宋体" w:hAnsi="宋体" w:eastAsia="宋体" w:cs="宋体"/>
                <w:sz w:val="21"/>
                <w:szCs w:val="21"/>
              </w:rPr>
            </w:pPr>
            <w:r>
              <w:rPr>
                <w:rFonts w:ascii="宋体" w:hAnsi="宋体" w:eastAsia="宋体" w:cs="宋体"/>
                <w:spacing w:val="-1"/>
                <w:sz w:val="21"/>
                <w:szCs w:val="21"/>
              </w:rPr>
              <w:t>工业企业大气污染源构成类型</w:t>
            </w:r>
          </w:p>
        </w:tc>
      </w:tr>
      <w:tr w14:paraId="4F50F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62" w:type="dxa"/>
            <w:vMerge w:val="continue"/>
            <w:tcBorders>
              <w:top w:val="nil"/>
            </w:tcBorders>
            <w:vAlign w:val="top"/>
          </w:tcPr>
          <w:p w14:paraId="300BBADE">
            <w:pPr>
              <w:rPr>
                <w:rFonts w:ascii="Arial"/>
                <w:sz w:val="21"/>
              </w:rPr>
            </w:pPr>
          </w:p>
        </w:tc>
        <w:tc>
          <w:tcPr>
            <w:tcW w:w="1618" w:type="dxa"/>
            <w:vMerge w:val="continue"/>
            <w:tcBorders>
              <w:top w:val="nil"/>
            </w:tcBorders>
            <w:vAlign w:val="top"/>
          </w:tcPr>
          <w:p w14:paraId="1D439A0C">
            <w:pPr>
              <w:rPr>
                <w:rFonts w:ascii="Arial"/>
                <w:sz w:val="21"/>
              </w:rPr>
            </w:pPr>
          </w:p>
        </w:tc>
        <w:tc>
          <w:tcPr>
            <w:tcW w:w="560" w:type="dxa"/>
            <w:vAlign w:val="top"/>
          </w:tcPr>
          <w:p w14:paraId="486FB9E3">
            <w:pPr>
              <w:pStyle w:val="6"/>
              <w:spacing w:before="104" w:line="185" w:lineRule="auto"/>
              <w:ind w:left="246"/>
            </w:pPr>
            <w:r>
              <w:t>I</w:t>
            </w:r>
          </w:p>
        </w:tc>
        <w:tc>
          <w:tcPr>
            <w:tcW w:w="581" w:type="dxa"/>
            <w:vAlign w:val="top"/>
          </w:tcPr>
          <w:p w14:paraId="052B06BC">
            <w:pPr>
              <w:pStyle w:val="6"/>
              <w:spacing w:before="104" w:line="185" w:lineRule="auto"/>
              <w:ind w:left="223"/>
            </w:pPr>
            <w:r>
              <w:rPr>
                <w:spacing w:val="-2"/>
              </w:rPr>
              <w:t>II</w:t>
            </w:r>
          </w:p>
        </w:tc>
        <w:tc>
          <w:tcPr>
            <w:tcW w:w="582" w:type="dxa"/>
            <w:vAlign w:val="top"/>
          </w:tcPr>
          <w:p w14:paraId="405E3A5C">
            <w:pPr>
              <w:pStyle w:val="6"/>
              <w:spacing w:before="104" w:line="185" w:lineRule="auto"/>
              <w:ind w:left="189"/>
            </w:pPr>
            <w:r>
              <w:rPr>
                <w:spacing w:val="-2"/>
              </w:rPr>
              <w:t>III</w:t>
            </w:r>
          </w:p>
        </w:tc>
        <w:tc>
          <w:tcPr>
            <w:tcW w:w="596" w:type="dxa"/>
            <w:vAlign w:val="top"/>
          </w:tcPr>
          <w:p w14:paraId="3EC3B13B">
            <w:pPr>
              <w:pStyle w:val="6"/>
              <w:spacing w:before="104" w:line="185" w:lineRule="auto"/>
              <w:ind w:left="265"/>
            </w:pPr>
            <w:r>
              <w:t>I</w:t>
            </w:r>
          </w:p>
        </w:tc>
        <w:tc>
          <w:tcPr>
            <w:tcW w:w="581" w:type="dxa"/>
            <w:vAlign w:val="top"/>
          </w:tcPr>
          <w:p w14:paraId="3FB6010D">
            <w:pPr>
              <w:pStyle w:val="6"/>
              <w:spacing w:before="104" w:line="185" w:lineRule="auto"/>
              <w:ind w:left="224"/>
            </w:pPr>
            <w:r>
              <w:rPr>
                <w:spacing w:val="-3"/>
              </w:rPr>
              <w:t>II</w:t>
            </w:r>
          </w:p>
        </w:tc>
        <w:tc>
          <w:tcPr>
            <w:tcW w:w="582" w:type="dxa"/>
            <w:vAlign w:val="top"/>
          </w:tcPr>
          <w:p w14:paraId="7CC1F8D4">
            <w:pPr>
              <w:pStyle w:val="6"/>
              <w:spacing w:before="104" w:line="185" w:lineRule="auto"/>
              <w:ind w:left="190"/>
            </w:pPr>
            <w:r>
              <w:rPr>
                <w:spacing w:val="-2"/>
              </w:rPr>
              <w:t>III</w:t>
            </w:r>
          </w:p>
        </w:tc>
        <w:tc>
          <w:tcPr>
            <w:tcW w:w="595" w:type="dxa"/>
            <w:vAlign w:val="top"/>
          </w:tcPr>
          <w:p w14:paraId="3878DE34">
            <w:pPr>
              <w:pStyle w:val="6"/>
              <w:spacing w:before="104" w:line="185" w:lineRule="auto"/>
              <w:ind w:left="267"/>
            </w:pPr>
            <w:r>
              <w:t>I</w:t>
            </w:r>
          </w:p>
        </w:tc>
        <w:tc>
          <w:tcPr>
            <w:tcW w:w="582" w:type="dxa"/>
            <w:vAlign w:val="top"/>
          </w:tcPr>
          <w:p w14:paraId="6CD20423">
            <w:pPr>
              <w:pStyle w:val="6"/>
              <w:spacing w:before="104" w:line="185" w:lineRule="auto"/>
              <w:ind w:left="225"/>
            </w:pPr>
            <w:r>
              <w:rPr>
                <w:spacing w:val="-3"/>
              </w:rPr>
              <w:t>II</w:t>
            </w:r>
          </w:p>
        </w:tc>
        <w:tc>
          <w:tcPr>
            <w:tcW w:w="581" w:type="dxa"/>
            <w:vAlign w:val="top"/>
          </w:tcPr>
          <w:p w14:paraId="75337598">
            <w:pPr>
              <w:pStyle w:val="6"/>
              <w:spacing w:before="104" w:line="185" w:lineRule="auto"/>
              <w:ind w:left="188"/>
            </w:pPr>
            <w:r>
              <w:rPr>
                <w:spacing w:val="-2"/>
              </w:rPr>
              <w:t>III</w:t>
            </w:r>
          </w:p>
        </w:tc>
      </w:tr>
      <w:tr w14:paraId="32C42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1462" w:type="dxa"/>
            <w:vAlign w:val="top"/>
          </w:tcPr>
          <w:p w14:paraId="2AF0C059">
            <w:pPr>
              <w:spacing w:line="248" w:lineRule="auto"/>
              <w:rPr>
                <w:rFonts w:ascii="Arial"/>
                <w:sz w:val="21"/>
              </w:rPr>
            </w:pPr>
          </w:p>
          <w:p w14:paraId="58C19B91">
            <w:pPr>
              <w:pStyle w:val="6"/>
              <w:spacing w:before="60" w:line="189" w:lineRule="auto"/>
              <w:ind w:left="654"/>
            </w:pPr>
            <w:r>
              <w:t>A</w:t>
            </w:r>
          </w:p>
        </w:tc>
        <w:tc>
          <w:tcPr>
            <w:tcW w:w="1618" w:type="dxa"/>
            <w:vAlign w:val="top"/>
          </w:tcPr>
          <w:p w14:paraId="1AA9C3BD">
            <w:pPr>
              <w:pStyle w:val="6"/>
              <w:spacing w:before="54" w:line="188" w:lineRule="auto"/>
              <w:ind w:left="696"/>
            </w:pPr>
            <w:r>
              <w:rPr>
                <w:spacing w:val="-2"/>
              </w:rPr>
              <w:t>&lt;2</w:t>
            </w:r>
          </w:p>
          <w:p w14:paraId="7D6B5B5D">
            <w:pPr>
              <w:pStyle w:val="6"/>
              <w:spacing w:before="52" w:line="188" w:lineRule="auto"/>
              <w:ind w:left="647"/>
            </w:pPr>
            <w:r>
              <w:rPr>
                <w:spacing w:val="-1"/>
              </w:rPr>
              <w:t>2~4</w:t>
            </w:r>
          </w:p>
          <w:p w14:paraId="12070A23">
            <w:pPr>
              <w:pStyle w:val="6"/>
              <w:spacing w:before="30" w:line="205" w:lineRule="auto"/>
              <w:ind w:left="674"/>
            </w:pPr>
            <w:r>
              <w:rPr>
                <w:rFonts w:ascii="宋体" w:hAnsi="宋体" w:eastAsia="宋体" w:cs="宋体"/>
                <w:spacing w:val="16"/>
                <w:w w:val="121"/>
              </w:rPr>
              <w:t>&gt;</w:t>
            </w:r>
            <w:r>
              <w:rPr>
                <w:spacing w:val="16"/>
                <w:w w:val="121"/>
              </w:rPr>
              <w:t>4</w:t>
            </w:r>
          </w:p>
        </w:tc>
        <w:tc>
          <w:tcPr>
            <w:tcW w:w="560" w:type="dxa"/>
            <w:vAlign w:val="top"/>
          </w:tcPr>
          <w:p w14:paraId="132138E3">
            <w:pPr>
              <w:pStyle w:val="6"/>
              <w:spacing w:before="70" w:line="188" w:lineRule="auto"/>
              <w:ind w:left="122"/>
            </w:pPr>
            <w:r>
              <w:rPr>
                <w:spacing w:val="-1"/>
              </w:rPr>
              <w:t>400</w:t>
            </w:r>
          </w:p>
          <w:p w14:paraId="2B86B380">
            <w:pPr>
              <w:pStyle w:val="6"/>
              <w:spacing w:before="52" w:line="188" w:lineRule="auto"/>
              <w:ind w:left="126"/>
            </w:pPr>
            <w:r>
              <w:rPr>
                <w:spacing w:val="-3"/>
              </w:rPr>
              <w:t>700</w:t>
            </w:r>
          </w:p>
          <w:p w14:paraId="043FC943">
            <w:pPr>
              <w:pStyle w:val="6"/>
              <w:spacing w:before="52" w:line="188" w:lineRule="auto"/>
              <w:ind w:left="129"/>
            </w:pPr>
            <w:r>
              <w:rPr>
                <w:spacing w:val="-4"/>
              </w:rPr>
              <w:t>530</w:t>
            </w:r>
          </w:p>
        </w:tc>
        <w:tc>
          <w:tcPr>
            <w:tcW w:w="581" w:type="dxa"/>
            <w:vAlign w:val="top"/>
          </w:tcPr>
          <w:p w14:paraId="09114DDB">
            <w:pPr>
              <w:pStyle w:val="6"/>
              <w:spacing w:before="70" w:line="188" w:lineRule="auto"/>
              <w:ind w:left="133"/>
            </w:pPr>
            <w:r>
              <w:rPr>
                <w:spacing w:val="-1"/>
              </w:rPr>
              <w:t>400</w:t>
            </w:r>
          </w:p>
          <w:p w14:paraId="3AE42AAA">
            <w:pPr>
              <w:pStyle w:val="6"/>
              <w:spacing w:before="52" w:line="188" w:lineRule="auto"/>
              <w:ind w:left="133"/>
            </w:pPr>
            <w:r>
              <w:rPr>
                <w:spacing w:val="-1"/>
              </w:rPr>
              <w:t>470</w:t>
            </w:r>
          </w:p>
          <w:p w14:paraId="23DAB598">
            <w:pPr>
              <w:pStyle w:val="6"/>
              <w:spacing w:before="52" w:line="188" w:lineRule="auto"/>
              <w:ind w:left="138"/>
            </w:pPr>
            <w:r>
              <w:rPr>
                <w:spacing w:val="-3"/>
              </w:rPr>
              <w:t>350</w:t>
            </w:r>
          </w:p>
        </w:tc>
        <w:tc>
          <w:tcPr>
            <w:tcW w:w="582" w:type="dxa"/>
            <w:vAlign w:val="top"/>
          </w:tcPr>
          <w:p w14:paraId="78379A74">
            <w:pPr>
              <w:pStyle w:val="6"/>
              <w:spacing w:before="70" w:line="188" w:lineRule="auto"/>
              <w:ind w:left="134"/>
            </w:pPr>
            <w:r>
              <w:rPr>
                <w:spacing w:val="-1"/>
              </w:rPr>
              <w:t>400</w:t>
            </w:r>
          </w:p>
          <w:p w14:paraId="5B8FBE45">
            <w:pPr>
              <w:pStyle w:val="6"/>
              <w:spacing w:before="52" w:line="188" w:lineRule="auto"/>
              <w:ind w:left="139"/>
            </w:pPr>
            <w:r>
              <w:rPr>
                <w:spacing w:val="-3"/>
              </w:rPr>
              <w:t>350</w:t>
            </w:r>
          </w:p>
          <w:p w14:paraId="66FCDF5B">
            <w:pPr>
              <w:pStyle w:val="6"/>
              <w:spacing w:before="52" w:line="188" w:lineRule="auto"/>
              <w:ind w:left="135"/>
            </w:pPr>
            <w:r>
              <w:rPr>
                <w:spacing w:val="-2"/>
              </w:rPr>
              <w:t>260</w:t>
            </w:r>
          </w:p>
        </w:tc>
        <w:tc>
          <w:tcPr>
            <w:tcW w:w="596" w:type="dxa"/>
            <w:vAlign w:val="top"/>
          </w:tcPr>
          <w:p w14:paraId="468C7EDB">
            <w:pPr>
              <w:pStyle w:val="6"/>
              <w:spacing w:before="70" w:line="188" w:lineRule="auto"/>
              <w:ind w:left="141"/>
            </w:pPr>
            <w:r>
              <w:rPr>
                <w:spacing w:val="-1"/>
              </w:rPr>
              <w:t>400</w:t>
            </w:r>
          </w:p>
          <w:p w14:paraId="08D3768A">
            <w:pPr>
              <w:pStyle w:val="6"/>
              <w:spacing w:before="52" w:line="188" w:lineRule="auto"/>
              <w:ind w:left="146"/>
            </w:pPr>
            <w:r>
              <w:rPr>
                <w:spacing w:val="-3"/>
              </w:rPr>
              <w:t>700</w:t>
            </w:r>
          </w:p>
          <w:p w14:paraId="09E5574F">
            <w:pPr>
              <w:pStyle w:val="6"/>
              <w:spacing w:before="52" w:line="188" w:lineRule="auto"/>
              <w:ind w:left="148"/>
            </w:pPr>
            <w:r>
              <w:rPr>
                <w:spacing w:val="-4"/>
              </w:rPr>
              <w:t>530</w:t>
            </w:r>
          </w:p>
        </w:tc>
        <w:tc>
          <w:tcPr>
            <w:tcW w:w="581" w:type="dxa"/>
            <w:vAlign w:val="top"/>
          </w:tcPr>
          <w:p w14:paraId="55E4B4F6">
            <w:pPr>
              <w:pStyle w:val="6"/>
              <w:spacing w:before="70" w:line="188" w:lineRule="auto"/>
              <w:ind w:left="134"/>
            </w:pPr>
            <w:r>
              <w:rPr>
                <w:spacing w:val="-1"/>
              </w:rPr>
              <w:t>400</w:t>
            </w:r>
          </w:p>
          <w:p w14:paraId="5E3EDF7B">
            <w:pPr>
              <w:pStyle w:val="6"/>
              <w:spacing w:before="52" w:line="188" w:lineRule="auto"/>
              <w:ind w:left="134"/>
            </w:pPr>
            <w:r>
              <w:rPr>
                <w:spacing w:val="-1"/>
              </w:rPr>
              <w:t>470</w:t>
            </w:r>
          </w:p>
          <w:p w14:paraId="07A05A95">
            <w:pPr>
              <w:pStyle w:val="6"/>
              <w:spacing w:before="52" w:line="188" w:lineRule="auto"/>
              <w:ind w:left="140"/>
            </w:pPr>
            <w:r>
              <w:rPr>
                <w:spacing w:val="-3"/>
              </w:rPr>
              <w:t>350</w:t>
            </w:r>
          </w:p>
        </w:tc>
        <w:tc>
          <w:tcPr>
            <w:tcW w:w="582" w:type="dxa"/>
            <w:vAlign w:val="top"/>
          </w:tcPr>
          <w:p w14:paraId="2F7A7015">
            <w:pPr>
              <w:pStyle w:val="6"/>
              <w:spacing w:before="70" w:line="188" w:lineRule="auto"/>
              <w:ind w:left="135"/>
            </w:pPr>
            <w:r>
              <w:rPr>
                <w:spacing w:val="-1"/>
              </w:rPr>
              <w:t>400</w:t>
            </w:r>
          </w:p>
          <w:p w14:paraId="30D5C996">
            <w:pPr>
              <w:pStyle w:val="6"/>
              <w:spacing w:before="52" w:line="188" w:lineRule="auto"/>
              <w:ind w:left="141"/>
            </w:pPr>
            <w:r>
              <w:rPr>
                <w:spacing w:val="-3"/>
              </w:rPr>
              <w:t>350</w:t>
            </w:r>
          </w:p>
          <w:p w14:paraId="3A5DE2BE">
            <w:pPr>
              <w:pStyle w:val="6"/>
              <w:spacing w:before="52" w:line="188" w:lineRule="auto"/>
              <w:ind w:left="137"/>
            </w:pPr>
            <w:r>
              <w:rPr>
                <w:spacing w:val="-2"/>
              </w:rPr>
              <w:t>260</w:t>
            </w:r>
          </w:p>
        </w:tc>
        <w:tc>
          <w:tcPr>
            <w:tcW w:w="595" w:type="dxa"/>
            <w:vAlign w:val="top"/>
          </w:tcPr>
          <w:p w14:paraId="408B90A4">
            <w:pPr>
              <w:pStyle w:val="6"/>
              <w:spacing w:before="70" w:line="188" w:lineRule="auto"/>
              <w:ind w:left="204"/>
            </w:pPr>
            <w:r>
              <w:rPr>
                <w:spacing w:val="-4"/>
              </w:rPr>
              <w:t>80</w:t>
            </w:r>
          </w:p>
          <w:p w14:paraId="6B8510F6">
            <w:pPr>
              <w:pStyle w:val="6"/>
              <w:spacing w:before="52" w:line="188" w:lineRule="auto"/>
              <w:ind w:left="148"/>
            </w:pPr>
            <w:r>
              <w:rPr>
                <w:spacing w:val="-3"/>
              </w:rPr>
              <w:t>380</w:t>
            </w:r>
          </w:p>
          <w:p w14:paraId="7EC7C0BE">
            <w:pPr>
              <w:pStyle w:val="6"/>
              <w:spacing w:before="52" w:line="188" w:lineRule="auto"/>
              <w:ind w:left="144"/>
            </w:pPr>
            <w:r>
              <w:rPr>
                <w:spacing w:val="-2"/>
              </w:rPr>
              <w:t>290</w:t>
            </w:r>
          </w:p>
        </w:tc>
        <w:tc>
          <w:tcPr>
            <w:tcW w:w="582" w:type="dxa"/>
            <w:vAlign w:val="top"/>
          </w:tcPr>
          <w:p w14:paraId="4C536C26">
            <w:pPr>
              <w:pStyle w:val="6"/>
              <w:spacing w:before="70" w:line="188" w:lineRule="auto"/>
              <w:ind w:left="198"/>
            </w:pPr>
            <w:r>
              <w:rPr>
                <w:spacing w:val="-4"/>
              </w:rPr>
              <w:t>80</w:t>
            </w:r>
          </w:p>
          <w:p w14:paraId="4A0DCB65">
            <w:pPr>
              <w:pStyle w:val="6"/>
              <w:spacing w:before="52" w:line="188" w:lineRule="auto"/>
              <w:ind w:left="137"/>
            </w:pPr>
            <w:r>
              <w:rPr>
                <w:spacing w:val="-2"/>
              </w:rPr>
              <w:t>250</w:t>
            </w:r>
          </w:p>
          <w:p w14:paraId="06B973C7">
            <w:pPr>
              <w:pStyle w:val="6"/>
              <w:spacing w:before="52" w:line="188" w:lineRule="auto"/>
              <w:ind w:left="157"/>
            </w:pPr>
            <w:r>
              <w:rPr>
                <w:spacing w:val="-9"/>
              </w:rPr>
              <w:t>190</w:t>
            </w:r>
          </w:p>
        </w:tc>
        <w:tc>
          <w:tcPr>
            <w:tcW w:w="581" w:type="dxa"/>
            <w:vAlign w:val="top"/>
          </w:tcPr>
          <w:p w14:paraId="011B65EE">
            <w:pPr>
              <w:pStyle w:val="6"/>
              <w:spacing w:before="70" w:line="188" w:lineRule="auto"/>
              <w:ind w:left="196"/>
            </w:pPr>
            <w:r>
              <w:rPr>
                <w:spacing w:val="-4"/>
              </w:rPr>
              <w:t>80</w:t>
            </w:r>
          </w:p>
          <w:p w14:paraId="43945B3A">
            <w:pPr>
              <w:pStyle w:val="6"/>
              <w:spacing w:before="52" w:line="188" w:lineRule="auto"/>
              <w:ind w:left="154"/>
            </w:pPr>
            <w:r>
              <w:rPr>
                <w:spacing w:val="-8"/>
              </w:rPr>
              <w:t>190</w:t>
            </w:r>
          </w:p>
          <w:p w14:paraId="709B2DCD">
            <w:pPr>
              <w:pStyle w:val="6"/>
              <w:spacing w:before="52" w:line="188" w:lineRule="auto"/>
              <w:ind w:left="154"/>
            </w:pPr>
            <w:r>
              <w:rPr>
                <w:spacing w:val="-8"/>
              </w:rPr>
              <w:t>110</w:t>
            </w:r>
          </w:p>
        </w:tc>
      </w:tr>
      <w:tr w14:paraId="57C5C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62" w:type="dxa"/>
            <w:vAlign w:val="top"/>
          </w:tcPr>
          <w:p w14:paraId="0BEC03CB">
            <w:pPr>
              <w:pStyle w:val="6"/>
              <w:spacing w:before="108" w:line="185" w:lineRule="auto"/>
              <w:ind w:left="662"/>
            </w:pPr>
            <w:r>
              <w:t>B</w:t>
            </w:r>
          </w:p>
        </w:tc>
        <w:tc>
          <w:tcPr>
            <w:tcW w:w="1618" w:type="dxa"/>
            <w:vAlign w:val="top"/>
          </w:tcPr>
          <w:p w14:paraId="4C9593B5">
            <w:pPr>
              <w:pStyle w:val="6"/>
              <w:spacing w:before="105" w:line="188" w:lineRule="auto"/>
              <w:ind w:left="696"/>
            </w:pPr>
            <w:r>
              <w:rPr>
                <w:spacing w:val="-2"/>
              </w:rPr>
              <w:t>&lt;2</w:t>
            </w:r>
          </w:p>
        </w:tc>
        <w:tc>
          <w:tcPr>
            <w:tcW w:w="1723" w:type="dxa"/>
            <w:gridSpan w:val="3"/>
            <w:vAlign w:val="top"/>
          </w:tcPr>
          <w:p w14:paraId="47F8D1C7">
            <w:pPr>
              <w:pStyle w:val="6"/>
              <w:spacing w:before="105" w:line="188" w:lineRule="auto"/>
              <w:ind w:left="680"/>
            </w:pPr>
            <w:r>
              <w:rPr>
                <w:spacing w:val="-2"/>
              </w:rPr>
              <w:t>0.01</w:t>
            </w:r>
          </w:p>
        </w:tc>
        <w:tc>
          <w:tcPr>
            <w:tcW w:w="1759" w:type="dxa"/>
            <w:gridSpan w:val="3"/>
            <w:vAlign w:val="top"/>
          </w:tcPr>
          <w:p w14:paraId="5925EEF8">
            <w:pPr>
              <w:pStyle w:val="6"/>
              <w:spacing w:before="105" w:line="188" w:lineRule="auto"/>
              <w:ind w:left="647"/>
            </w:pPr>
            <w:r>
              <w:rPr>
                <w:spacing w:val="-2"/>
              </w:rPr>
              <w:t>0.015</w:t>
            </w:r>
          </w:p>
        </w:tc>
        <w:tc>
          <w:tcPr>
            <w:tcW w:w="1758" w:type="dxa"/>
            <w:gridSpan w:val="3"/>
            <w:vAlign w:val="top"/>
          </w:tcPr>
          <w:p w14:paraId="3FB2EE36">
            <w:pPr>
              <w:pStyle w:val="6"/>
              <w:spacing w:before="105" w:line="188" w:lineRule="auto"/>
              <w:ind w:left="645"/>
            </w:pPr>
            <w:r>
              <w:rPr>
                <w:spacing w:val="-2"/>
              </w:rPr>
              <w:t>0.015</w:t>
            </w:r>
          </w:p>
        </w:tc>
      </w:tr>
    </w:tbl>
    <w:p w14:paraId="5990DD52">
      <w:pPr>
        <w:pStyle w:val="2"/>
        <w:spacing w:line="136" w:lineRule="exact"/>
        <w:rPr>
          <w:sz w:val="11"/>
        </w:rPr>
      </w:pPr>
    </w:p>
    <w:p w14:paraId="1E3B7315">
      <w:pPr>
        <w:spacing w:line="136" w:lineRule="exact"/>
        <w:rPr>
          <w:sz w:val="11"/>
          <w:szCs w:val="11"/>
        </w:rPr>
        <w:sectPr>
          <w:headerReference r:id="rId308" w:type="default"/>
          <w:footerReference r:id="rId309" w:type="default"/>
          <w:pgSz w:w="11905" w:h="16840"/>
          <w:pgMar w:top="1168" w:right="1687" w:bottom="1409" w:left="1770" w:header="828" w:footer="1244" w:gutter="0"/>
          <w:cols w:space="720" w:num="1"/>
        </w:sectPr>
      </w:pPr>
    </w:p>
    <w:p w14:paraId="486A1F9C">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2"/>
        <w:gridCol w:w="1618"/>
        <w:gridCol w:w="560"/>
        <w:gridCol w:w="581"/>
        <w:gridCol w:w="582"/>
        <w:gridCol w:w="596"/>
        <w:gridCol w:w="581"/>
        <w:gridCol w:w="582"/>
        <w:gridCol w:w="595"/>
        <w:gridCol w:w="582"/>
        <w:gridCol w:w="581"/>
      </w:tblGrid>
      <w:tr w14:paraId="0BE6C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462" w:type="dxa"/>
            <w:vMerge w:val="restart"/>
            <w:tcBorders>
              <w:bottom w:val="nil"/>
            </w:tcBorders>
            <w:vAlign w:val="top"/>
          </w:tcPr>
          <w:p w14:paraId="478DF05A">
            <w:pPr>
              <w:spacing w:line="386" w:lineRule="auto"/>
              <w:rPr>
                <w:rFonts w:ascii="Arial"/>
                <w:sz w:val="21"/>
              </w:rPr>
            </w:pPr>
          </w:p>
          <w:p w14:paraId="470D1C1D">
            <w:pPr>
              <w:spacing w:before="68" w:line="242" w:lineRule="auto"/>
              <w:ind w:left="103" w:right="97" w:firstLine="2"/>
              <w:rPr>
                <w:rFonts w:ascii="宋体" w:hAnsi="宋体" w:eastAsia="宋体" w:cs="宋体"/>
                <w:sz w:val="21"/>
                <w:szCs w:val="21"/>
              </w:rPr>
            </w:pPr>
            <w:r>
              <w:rPr>
                <w:rFonts w:ascii="宋体" w:hAnsi="宋体" w:eastAsia="宋体" w:cs="宋体"/>
                <w:b/>
                <w:bCs/>
                <w:spacing w:val="-4"/>
                <w:sz w:val="21"/>
                <w:szCs w:val="21"/>
              </w:rPr>
              <w:t>卫生防护距离</w:t>
            </w:r>
            <w:r>
              <w:rPr>
                <w:rFonts w:ascii="宋体" w:hAnsi="宋体" w:eastAsia="宋体" w:cs="宋体"/>
                <w:b/>
                <w:bCs/>
                <w:spacing w:val="-3"/>
                <w:sz w:val="21"/>
                <w:szCs w:val="21"/>
              </w:rPr>
              <w:t>初值计算系数</w:t>
            </w:r>
          </w:p>
        </w:tc>
        <w:tc>
          <w:tcPr>
            <w:tcW w:w="1618" w:type="dxa"/>
            <w:vMerge w:val="restart"/>
            <w:tcBorders>
              <w:bottom w:val="nil"/>
            </w:tcBorders>
            <w:vAlign w:val="top"/>
          </w:tcPr>
          <w:p w14:paraId="3A1F452A">
            <w:pPr>
              <w:spacing w:line="251" w:lineRule="auto"/>
              <w:rPr>
                <w:rFonts w:ascii="Arial"/>
                <w:sz w:val="21"/>
              </w:rPr>
            </w:pPr>
          </w:p>
          <w:p w14:paraId="432E3168">
            <w:pPr>
              <w:spacing w:before="68" w:line="220" w:lineRule="auto"/>
              <w:ind w:left="78"/>
              <w:rPr>
                <w:rFonts w:ascii="宋体" w:hAnsi="宋体" w:eastAsia="宋体" w:cs="宋体"/>
                <w:sz w:val="21"/>
                <w:szCs w:val="21"/>
              </w:rPr>
            </w:pPr>
            <w:r>
              <w:rPr>
                <w:rFonts w:ascii="宋体" w:hAnsi="宋体" w:eastAsia="宋体" w:cs="宋体"/>
                <w:b/>
                <w:bCs/>
                <w:spacing w:val="-4"/>
                <w:sz w:val="21"/>
                <w:szCs w:val="21"/>
              </w:rPr>
              <w:t>工业企业所在地</w:t>
            </w:r>
          </w:p>
          <w:p w14:paraId="78E5A7DD">
            <w:pPr>
              <w:pStyle w:val="6"/>
              <w:spacing w:before="21" w:line="220" w:lineRule="auto"/>
              <w:ind w:left="91"/>
              <w:rPr>
                <w:rFonts w:ascii="宋体" w:hAnsi="宋体" w:eastAsia="宋体" w:cs="宋体"/>
              </w:rPr>
            </w:pPr>
            <w:r>
              <w:rPr>
                <w:rFonts w:ascii="宋体" w:hAnsi="宋体" w:eastAsia="宋体" w:cs="宋体"/>
                <w:b/>
                <w:bCs/>
                <w:spacing w:val="-6"/>
              </w:rPr>
              <w:t>区近</w:t>
            </w:r>
            <w:r>
              <w:rPr>
                <w:rFonts w:ascii="宋体" w:hAnsi="宋体" w:eastAsia="宋体" w:cs="宋体"/>
                <w:spacing w:val="-38"/>
              </w:rPr>
              <w:t xml:space="preserve"> </w:t>
            </w:r>
            <w:r>
              <w:rPr>
                <w:b/>
                <w:bCs/>
                <w:spacing w:val="-6"/>
              </w:rPr>
              <w:t xml:space="preserve">5 </w:t>
            </w:r>
            <w:r>
              <w:rPr>
                <w:rFonts w:ascii="宋体" w:hAnsi="宋体" w:eastAsia="宋体" w:cs="宋体"/>
                <w:b/>
                <w:bCs/>
                <w:spacing w:val="-6"/>
              </w:rPr>
              <w:t>年平均风</w:t>
            </w:r>
          </w:p>
          <w:p w14:paraId="7C0984ED">
            <w:pPr>
              <w:pStyle w:val="6"/>
              <w:spacing w:before="22" w:line="224" w:lineRule="auto"/>
              <w:ind w:left="309"/>
              <w:rPr>
                <w:rFonts w:ascii="宋体" w:hAnsi="宋体" w:eastAsia="宋体" w:cs="宋体"/>
              </w:rPr>
            </w:pPr>
            <w:r>
              <w:rPr>
                <w:rFonts w:ascii="宋体" w:hAnsi="宋体" w:eastAsia="宋体" w:cs="宋体"/>
                <w:b/>
                <w:bCs/>
                <w:spacing w:val="-2"/>
              </w:rPr>
              <w:t>速</w:t>
            </w:r>
            <w:r>
              <w:rPr>
                <w:b/>
                <w:bCs/>
                <w:spacing w:val="-2"/>
              </w:rPr>
              <w:t>/</w:t>
            </w:r>
            <w:r>
              <w:rPr>
                <w:rFonts w:ascii="宋体" w:hAnsi="宋体" w:eastAsia="宋体" w:cs="宋体"/>
                <w:b/>
                <w:bCs/>
                <w:spacing w:val="-2"/>
              </w:rPr>
              <w:t>（</w:t>
            </w:r>
            <w:r>
              <w:rPr>
                <w:b/>
                <w:bCs/>
                <w:spacing w:val="-2"/>
              </w:rPr>
              <w:t>m/s</w:t>
            </w:r>
            <w:r>
              <w:rPr>
                <w:rFonts w:ascii="宋体" w:hAnsi="宋体" w:eastAsia="宋体" w:cs="宋体"/>
                <w:b/>
                <w:bCs/>
                <w:spacing w:val="-2"/>
              </w:rPr>
              <w:t>）</w:t>
            </w:r>
          </w:p>
        </w:tc>
        <w:tc>
          <w:tcPr>
            <w:tcW w:w="5240" w:type="dxa"/>
            <w:gridSpan w:val="9"/>
            <w:vAlign w:val="top"/>
          </w:tcPr>
          <w:p w14:paraId="43A24A33">
            <w:pPr>
              <w:pStyle w:val="6"/>
              <w:spacing w:before="69" w:line="220" w:lineRule="auto"/>
              <w:ind w:left="1780"/>
            </w:pPr>
            <w:r>
              <w:rPr>
                <w:rFonts w:ascii="宋体" w:hAnsi="宋体" w:eastAsia="宋体" w:cs="宋体"/>
                <w:b/>
                <w:bCs/>
                <w:spacing w:val="-3"/>
              </w:rPr>
              <w:t>卫生防护距离</w:t>
            </w:r>
            <w:r>
              <w:rPr>
                <w:rFonts w:ascii="宋体" w:hAnsi="宋体" w:eastAsia="宋体" w:cs="宋体"/>
                <w:spacing w:val="-43"/>
              </w:rPr>
              <w:t xml:space="preserve"> </w:t>
            </w:r>
            <w:r>
              <w:rPr>
                <w:b/>
                <w:bCs/>
                <w:spacing w:val="-3"/>
              </w:rPr>
              <w:t>L/m</w:t>
            </w:r>
          </w:p>
        </w:tc>
      </w:tr>
      <w:tr w14:paraId="22B27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62" w:type="dxa"/>
            <w:vMerge w:val="continue"/>
            <w:tcBorders>
              <w:top w:val="nil"/>
              <w:bottom w:val="nil"/>
            </w:tcBorders>
            <w:vAlign w:val="top"/>
          </w:tcPr>
          <w:p w14:paraId="4755316B">
            <w:pPr>
              <w:rPr>
                <w:rFonts w:ascii="Arial"/>
                <w:sz w:val="21"/>
              </w:rPr>
            </w:pPr>
          </w:p>
        </w:tc>
        <w:tc>
          <w:tcPr>
            <w:tcW w:w="1618" w:type="dxa"/>
            <w:vMerge w:val="continue"/>
            <w:tcBorders>
              <w:top w:val="nil"/>
              <w:bottom w:val="nil"/>
            </w:tcBorders>
            <w:vAlign w:val="top"/>
          </w:tcPr>
          <w:p w14:paraId="26A6B154">
            <w:pPr>
              <w:rPr>
                <w:rFonts w:ascii="Arial"/>
                <w:sz w:val="21"/>
              </w:rPr>
            </w:pPr>
          </w:p>
        </w:tc>
        <w:tc>
          <w:tcPr>
            <w:tcW w:w="1723" w:type="dxa"/>
            <w:gridSpan w:val="3"/>
            <w:vAlign w:val="top"/>
          </w:tcPr>
          <w:p w14:paraId="5459F04E">
            <w:pPr>
              <w:pStyle w:val="6"/>
              <w:spacing w:before="100" w:line="188" w:lineRule="auto"/>
              <w:ind w:left="519"/>
            </w:pPr>
            <w:r>
              <w:rPr>
                <w:b/>
                <w:bCs/>
                <w:i/>
                <w:iCs/>
                <w:spacing w:val="1"/>
              </w:rPr>
              <w:t>L</w:t>
            </w:r>
            <w:r>
              <w:rPr>
                <w:b/>
                <w:bCs/>
                <w:spacing w:val="1"/>
              </w:rPr>
              <w:t>≤1000</w:t>
            </w:r>
          </w:p>
        </w:tc>
        <w:tc>
          <w:tcPr>
            <w:tcW w:w="1759" w:type="dxa"/>
            <w:gridSpan w:val="3"/>
            <w:vAlign w:val="top"/>
          </w:tcPr>
          <w:p w14:paraId="345A2A31">
            <w:pPr>
              <w:pStyle w:val="6"/>
              <w:spacing w:before="100" w:line="188" w:lineRule="auto"/>
              <w:ind w:left="290"/>
            </w:pPr>
            <w:r>
              <w:rPr>
                <w:b/>
                <w:bCs/>
                <w:spacing w:val="-2"/>
              </w:rPr>
              <w:t>1000&lt;</w:t>
            </w:r>
            <w:r>
              <w:rPr>
                <w:b/>
                <w:bCs/>
                <w:i/>
                <w:iCs/>
                <w:spacing w:val="-2"/>
              </w:rPr>
              <w:t>L</w:t>
            </w:r>
            <w:r>
              <w:rPr>
                <w:b/>
                <w:bCs/>
                <w:spacing w:val="-2"/>
              </w:rPr>
              <w:t>≤2000</w:t>
            </w:r>
          </w:p>
        </w:tc>
        <w:tc>
          <w:tcPr>
            <w:tcW w:w="1758" w:type="dxa"/>
            <w:gridSpan w:val="3"/>
            <w:vAlign w:val="top"/>
          </w:tcPr>
          <w:p w14:paraId="19DDC796">
            <w:pPr>
              <w:pStyle w:val="6"/>
              <w:spacing w:before="62" w:line="236" w:lineRule="auto"/>
              <w:ind w:left="489"/>
            </w:pPr>
            <w:r>
              <w:rPr>
                <w:b/>
                <w:bCs/>
                <w:i/>
                <w:iCs/>
                <w:spacing w:val="1"/>
              </w:rPr>
              <w:t>L</w:t>
            </w:r>
            <w:r>
              <w:rPr>
                <w:rFonts w:ascii="宋体" w:hAnsi="宋体" w:eastAsia="宋体" w:cs="宋体"/>
                <w:b/>
                <w:bCs/>
                <w:spacing w:val="1"/>
              </w:rPr>
              <w:t>＞</w:t>
            </w:r>
            <w:r>
              <w:rPr>
                <w:b/>
                <w:bCs/>
                <w:spacing w:val="1"/>
              </w:rPr>
              <w:t>2000</w:t>
            </w:r>
          </w:p>
        </w:tc>
      </w:tr>
      <w:tr w14:paraId="767CE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62" w:type="dxa"/>
            <w:vMerge w:val="continue"/>
            <w:tcBorders>
              <w:top w:val="nil"/>
              <w:bottom w:val="nil"/>
            </w:tcBorders>
            <w:vAlign w:val="top"/>
          </w:tcPr>
          <w:p w14:paraId="4A50BC22">
            <w:pPr>
              <w:rPr>
                <w:rFonts w:ascii="Arial"/>
                <w:sz w:val="21"/>
              </w:rPr>
            </w:pPr>
          </w:p>
        </w:tc>
        <w:tc>
          <w:tcPr>
            <w:tcW w:w="1618" w:type="dxa"/>
            <w:vMerge w:val="continue"/>
            <w:tcBorders>
              <w:top w:val="nil"/>
              <w:bottom w:val="nil"/>
            </w:tcBorders>
            <w:vAlign w:val="top"/>
          </w:tcPr>
          <w:p w14:paraId="777A70C1">
            <w:pPr>
              <w:rPr>
                <w:rFonts w:ascii="Arial"/>
                <w:sz w:val="21"/>
              </w:rPr>
            </w:pPr>
          </w:p>
        </w:tc>
        <w:tc>
          <w:tcPr>
            <w:tcW w:w="5240" w:type="dxa"/>
            <w:gridSpan w:val="9"/>
            <w:vAlign w:val="top"/>
          </w:tcPr>
          <w:p w14:paraId="24D772FF">
            <w:pPr>
              <w:spacing w:before="64" w:line="220" w:lineRule="auto"/>
              <w:ind w:left="1261"/>
              <w:rPr>
                <w:rFonts w:ascii="宋体" w:hAnsi="宋体" w:eastAsia="宋体" w:cs="宋体"/>
                <w:sz w:val="21"/>
                <w:szCs w:val="21"/>
              </w:rPr>
            </w:pPr>
            <w:r>
              <w:rPr>
                <w:rFonts w:ascii="宋体" w:hAnsi="宋体" w:eastAsia="宋体" w:cs="宋体"/>
                <w:spacing w:val="-1"/>
                <w:sz w:val="21"/>
                <w:szCs w:val="21"/>
              </w:rPr>
              <w:t>工业企业大气污染源构成类型</w:t>
            </w:r>
          </w:p>
        </w:tc>
      </w:tr>
      <w:tr w14:paraId="3F1CA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62" w:type="dxa"/>
            <w:vMerge w:val="continue"/>
            <w:tcBorders>
              <w:top w:val="nil"/>
            </w:tcBorders>
            <w:vAlign w:val="top"/>
          </w:tcPr>
          <w:p w14:paraId="6C743768">
            <w:pPr>
              <w:rPr>
                <w:rFonts w:ascii="Arial"/>
                <w:sz w:val="21"/>
              </w:rPr>
            </w:pPr>
          </w:p>
        </w:tc>
        <w:tc>
          <w:tcPr>
            <w:tcW w:w="1618" w:type="dxa"/>
            <w:vMerge w:val="continue"/>
            <w:tcBorders>
              <w:top w:val="nil"/>
            </w:tcBorders>
            <w:vAlign w:val="top"/>
          </w:tcPr>
          <w:p w14:paraId="62247486">
            <w:pPr>
              <w:rPr>
                <w:rFonts w:ascii="Arial"/>
                <w:sz w:val="21"/>
              </w:rPr>
            </w:pPr>
          </w:p>
        </w:tc>
        <w:tc>
          <w:tcPr>
            <w:tcW w:w="560" w:type="dxa"/>
            <w:vAlign w:val="top"/>
          </w:tcPr>
          <w:p w14:paraId="4E78EDE8">
            <w:pPr>
              <w:pStyle w:val="6"/>
              <w:spacing w:before="103" w:line="185" w:lineRule="auto"/>
              <w:ind w:left="246"/>
            </w:pPr>
            <w:r>
              <w:t>I</w:t>
            </w:r>
          </w:p>
        </w:tc>
        <w:tc>
          <w:tcPr>
            <w:tcW w:w="581" w:type="dxa"/>
            <w:vAlign w:val="top"/>
          </w:tcPr>
          <w:p w14:paraId="68D190A6">
            <w:pPr>
              <w:pStyle w:val="6"/>
              <w:spacing w:before="103" w:line="185" w:lineRule="auto"/>
              <w:ind w:left="223"/>
            </w:pPr>
            <w:r>
              <w:rPr>
                <w:spacing w:val="-2"/>
              </w:rPr>
              <w:t>II</w:t>
            </w:r>
          </w:p>
        </w:tc>
        <w:tc>
          <w:tcPr>
            <w:tcW w:w="582" w:type="dxa"/>
            <w:vAlign w:val="top"/>
          </w:tcPr>
          <w:p w14:paraId="2028A681">
            <w:pPr>
              <w:pStyle w:val="6"/>
              <w:spacing w:before="103" w:line="185" w:lineRule="auto"/>
              <w:ind w:left="189"/>
            </w:pPr>
            <w:r>
              <w:rPr>
                <w:spacing w:val="-2"/>
              </w:rPr>
              <w:t>III</w:t>
            </w:r>
          </w:p>
        </w:tc>
        <w:tc>
          <w:tcPr>
            <w:tcW w:w="596" w:type="dxa"/>
            <w:vAlign w:val="top"/>
          </w:tcPr>
          <w:p w14:paraId="7950067E">
            <w:pPr>
              <w:pStyle w:val="6"/>
              <w:spacing w:before="103" w:line="185" w:lineRule="auto"/>
              <w:ind w:left="265"/>
            </w:pPr>
            <w:r>
              <w:t>I</w:t>
            </w:r>
          </w:p>
        </w:tc>
        <w:tc>
          <w:tcPr>
            <w:tcW w:w="581" w:type="dxa"/>
            <w:vAlign w:val="top"/>
          </w:tcPr>
          <w:p w14:paraId="152A39E6">
            <w:pPr>
              <w:pStyle w:val="6"/>
              <w:spacing w:before="103" w:line="185" w:lineRule="auto"/>
              <w:ind w:left="224"/>
            </w:pPr>
            <w:r>
              <w:rPr>
                <w:spacing w:val="-3"/>
              </w:rPr>
              <w:t>II</w:t>
            </w:r>
          </w:p>
        </w:tc>
        <w:tc>
          <w:tcPr>
            <w:tcW w:w="582" w:type="dxa"/>
            <w:vAlign w:val="top"/>
          </w:tcPr>
          <w:p w14:paraId="74F6507A">
            <w:pPr>
              <w:pStyle w:val="6"/>
              <w:spacing w:before="103" w:line="185" w:lineRule="auto"/>
              <w:ind w:left="190"/>
            </w:pPr>
            <w:r>
              <w:rPr>
                <w:spacing w:val="-2"/>
              </w:rPr>
              <w:t>III</w:t>
            </w:r>
          </w:p>
        </w:tc>
        <w:tc>
          <w:tcPr>
            <w:tcW w:w="595" w:type="dxa"/>
            <w:vAlign w:val="top"/>
          </w:tcPr>
          <w:p w14:paraId="23658372">
            <w:pPr>
              <w:pStyle w:val="6"/>
              <w:spacing w:before="103" w:line="185" w:lineRule="auto"/>
              <w:ind w:left="267"/>
            </w:pPr>
            <w:r>
              <w:t>I</w:t>
            </w:r>
          </w:p>
        </w:tc>
        <w:tc>
          <w:tcPr>
            <w:tcW w:w="582" w:type="dxa"/>
            <w:vAlign w:val="top"/>
          </w:tcPr>
          <w:p w14:paraId="4A4ECAF3">
            <w:pPr>
              <w:pStyle w:val="6"/>
              <w:spacing w:before="103" w:line="185" w:lineRule="auto"/>
              <w:ind w:left="225"/>
            </w:pPr>
            <w:r>
              <w:rPr>
                <w:spacing w:val="-3"/>
              </w:rPr>
              <w:t>II</w:t>
            </w:r>
          </w:p>
        </w:tc>
        <w:tc>
          <w:tcPr>
            <w:tcW w:w="581" w:type="dxa"/>
            <w:vAlign w:val="top"/>
          </w:tcPr>
          <w:p w14:paraId="7CCFAEFE">
            <w:pPr>
              <w:pStyle w:val="6"/>
              <w:spacing w:before="103" w:line="185" w:lineRule="auto"/>
              <w:ind w:left="188"/>
            </w:pPr>
            <w:r>
              <w:rPr>
                <w:spacing w:val="-2"/>
              </w:rPr>
              <w:t>III</w:t>
            </w:r>
          </w:p>
        </w:tc>
      </w:tr>
      <w:tr w14:paraId="4DCC3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62" w:type="dxa"/>
            <w:vAlign w:val="top"/>
          </w:tcPr>
          <w:p w14:paraId="6301A2D4">
            <w:pPr>
              <w:rPr>
                <w:rFonts w:ascii="Arial"/>
                <w:sz w:val="21"/>
              </w:rPr>
            </w:pPr>
          </w:p>
        </w:tc>
        <w:tc>
          <w:tcPr>
            <w:tcW w:w="1618" w:type="dxa"/>
            <w:vAlign w:val="top"/>
          </w:tcPr>
          <w:p w14:paraId="4054FDFB">
            <w:pPr>
              <w:pStyle w:val="6"/>
              <w:spacing w:before="30" w:line="238" w:lineRule="auto"/>
              <w:ind w:left="674"/>
            </w:pPr>
            <w:r>
              <w:rPr>
                <w:rFonts w:ascii="宋体" w:hAnsi="宋体" w:eastAsia="宋体" w:cs="宋体"/>
                <w:spacing w:val="17"/>
                <w:w w:val="120"/>
              </w:rPr>
              <w:t>&gt;</w:t>
            </w:r>
            <w:r>
              <w:rPr>
                <w:spacing w:val="17"/>
                <w:w w:val="120"/>
              </w:rPr>
              <w:t>2</w:t>
            </w:r>
          </w:p>
        </w:tc>
        <w:tc>
          <w:tcPr>
            <w:tcW w:w="1723" w:type="dxa"/>
            <w:gridSpan w:val="3"/>
            <w:vAlign w:val="top"/>
          </w:tcPr>
          <w:p w14:paraId="2167E4BB">
            <w:pPr>
              <w:pStyle w:val="6"/>
              <w:spacing w:before="51" w:line="188" w:lineRule="auto"/>
              <w:ind w:left="629"/>
            </w:pPr>
            <w:r>
              <w:rPr>
                <w:spacing w:val="-2"/>
              </w:rPr>
              <w:t>0.021</w:t>
            </w:r>
          </w:p>
        </w:tc>
        <w:tc>
          <w:tcPr>
            <w:tcW w:w="1759" w:type="dxa"/>
            <w:gridSpan w:val="3"/>
            <w:vAlign w:val="top"/>
          </w:tcPr>
          <w:p w14:paraId="2153ECBA">
            <w:pPr>
              <w:pStyle w:val="6"/>
              <w:spacing w:before="51" w:line="188" w:lineRule="auto"/>
              <w:ind w:left="648"/>
            </w:pPr>
            <w:r>
              <w:rPr>
                <w:spacing w:val="-2"/>
              </w:rPr>
              <w:t>0.036</w:t>
            </w:r>
          </w:p>
        </w:tc>
        <w:tc>
          <w:tcPr>
            <w:tcW w:w="1758" w:type="dxa"/>
            <w:gridSpan w:val="3"/>
            <w:vAlign w:val="top"/>
          </w:tcPr>
          <w:p w14:paraId="407973BC">
            <w:pPr>
              <w:pStyle w:val="6"/>
              <w:spacing w:before="51" w:line="188" w:lineRule="auto"/>
              <w:ind w:left="646"/>
            </w:pPr>
            <w:r>
              <w:rPr>
                <w:spacing w:val="-2"/>
              </w:rPr>
              <w:t>0.036</w:t>
            </w:r>
          </w:p>
        </w:tc>
      </w:tr>
      <w:tr w14:paraId="03C1E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462" w:type="dxa"/>
            <w:vAlign w:val="top"/>
          </w:tcPr>
          <w:p w14:paraId="68DB2F84">
            <w:pPr>
              <w:pStyle w:val="6"/>
              <w:spacing w:before="188" w:line="188" w:lineRule="auto"/>
              <w:ind w:left="666"/>
            </w:pPr>
            <w:r>
              <w:t>C</w:t>
            </w:r>
          </w:p>
        </w:tc>
        <w:tc>
          <w:tcPr>
            <w:tcW w:w="1618" w:type="dxa"/>
            <w:vAlign w:val="top"/>
          </w:tcPr>
          <w:p w14:paraId="3CCA58E0">
            <w:pPr>
              <w:pStyle w:val="6"/>
              <w:spacing w:before="53" w:line="188" w:lineRule="auto"/>
              <w:ind w:left="696"/>
            </w:pPr>
            <w:r>
              <w:rPr>
                <w:spacing w:val="-2"/>
              </w:rPr>
              <w:t>&lt;2</w:t>
            </w:r>
          </w:p>
          <w:p w14:paraId="5BCE5486">
            <w:pPr>
              <w:pStyle w:val="6"/>
              <w:spacing w:before="31" w:line="207" w:lineRule="auto"/>
              <w:ind w:left="674"/>
            </w:pPr>
            <w:r>
              <w:rPr>
                <w:rFonts w:ascii="宋体" w:hAnsi="宋体" w:eastAsia="宋体" w:cs="宋体"/>
                <w:spacing w:val="17"/>
                <w:w w:val="120"/>
              </w:rPr>
              <w:t>&gt;</w:t>
            </w:r>
            <w:r>
              <w:rPr>
                <w:spacing w:val="17"/>
                <w:w w:val="120"/>
              </w:rPr>
              <w:t>2</w:t>
            </w:r>
          </w:p>
        </w:tc>
        <w:tc>
          <w:tcPr>
            <w:tcW w:w="1723" w:type="dxa"/>
            <w:gridSpan w:val="3"/>
            <w:vAlign w:val="top"/>
          </w:tcPr>
          <w:p w14:paraId="703E39F3">
            <w:pPr>
              <w:pStyle w:val="6"/>
              <w:spacing w:before="68" w:line="188" w:lineRule="auto"/>
              <w:ind w:left="699"/>
            </w:pPr>
            <w:r>
              <w:rPr>
                <w:spacing w:val="-7"/>
              </w:rPr>
              <w:t>1.85</w:t>
            </w:r>
          </w:p>
          <w:p w14:paraId="360174A1">
            <w:pPr>
              <w:pStyle w:val="6"/>
              <w:spacing w:before="52" w:line="188" w:lineRule="auto"/>
              <w:ind w:left="699"/>
            </w:pPr>
            <w:r>
              <w:rPr>
                <w:spacing w:val="-7"/>
              </w:rPr>
              <w:t>1.85</w:t>
            </w:r>
          </w:p>
        </w:tc>
        <w:tc>
          <w:tcPr>
            <w:tcW w:w="1759" w:type="dxa"/>
            <w:gridSpan w:val="3"/>
            <w:vAlign w:val="top"/>
          </w:tcPr>
          <w:p w14:paraId="445368ED">
            <w:pPr>
              <w:pStyle w:val="6"/>
              <w:spacing w:before="68" w:line="188" w:lineRule="auto"/>
              <w:ind w:left="718"/>
            </w:pPr>
            <w:r>
              <w:rPr>
                <w:spacing w:val="-7"/>
              </w:rPr>
              <w:t>1.79</w:t>
            </w:r>
          </w:p>
          <w:p w14:paraId="237652A2">
            <w:pPr>
              <w:pStyle w:val="6"/>
              <w:spacing w:before="52" w:line="188" w:lineRule="auto"/>
              <w:ind w:left="718"/>
            </w:pPr>
            <w:r>
              <w:rPr>
                <w:spacing w:val="-7"/>
              </w:rPr>
              <w:t>1.77</w:t>
            </w:r>
          </w:p>
        </w:tc>
        <w:tc>
          <w:tcPr>
            <w:tcW w:w="1758" w:type="dxa"/>
            <w:gridSpan w:val="3"/>
            <w:vAlign w:val="top"/>
          </w:tcPr>
          <w:p w14:paraId="7E39D9F8">
            <w:pPr>
              <w:pStyle w:val="6"/>
              <w:spacing w:before="68" w:line="188" w:lineRule="auto"/>
              <w:ind w:left="716"/>
            </w:pPr>
            <w:r>
              <w:rPr>
                <w:spacing w:val="-7"/>
              </w:rPr>
              <w:t>1.79</w:t>
            </w:r>
          </w:p>
          <w:p w14:paraId="02CBDD81">
            <w:pPr>
              <w:pStyle w:val="6"/>
              <w:spacing w:before="52" w:line="188" w:lineRule="auto"/>
              <w:ind w:left="716"/>
            </w:pPr>
            <w:r>
              <w:rPr>
                <w:spacing w:val="-7"/>
              </w:rPr>
              <w:t>1.77</w:t>
            </w:r>
          </w:p>
        </w:tc>
      </w:tr>
      <w:tr w14:paraId="385C6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62" w:type="dxa"/>
            <w:vAlign w:val="top"/>
          </w:tcPr>
          <w:p w14:paraId="19C2A9E6">
            <w:pPr>
              <w:pStyle w:val="6"/>
              <w:spacing w:before="192" w:line="185" w:lineRule="auto"/>
              <w:ind w:left="656"/>
            </w:pPr>
            <w:r>
              <w:t>D</w:t>
            </w:r>
          </w:p>
        </w:tc>
        <w:tc>
          <w:tcPr>
            <w:tcW w:w="1618" w:type="dxa"/>
            <w:vAlign w:val="top"/>
          </w:tcPr>
          <w:p w14:paraId="68F3D82C">
            <w:pPr>
              <w:pStyle w:val="6"/>
              <w:spacing w:before="52" w:line="188" w:lineRule="auto"/>
              <w:ind w:left="696"/>
            </w:pPr>
            <w:r>
              <w:rPr>
                <w:spacing w:val="-2"/>
              </w:rPr>
              <w:t>&lt;2</w:t>
            </w:r>
          </w:p>
          <w:p w14:paraId="01280FC0">
            <w:pPr>
              <w:pStyle w:val="6"/>
              <w:spacing w:before="31" w:line="206" w:lineRule="auto"/>
              <w:ind w:left="674"/>
            </w:pPr>
            <w:r>
              <w:rPr>
                <w:rFonts w:ascii="宋体" w:hAnsi="宋体" w:eastAsia="宋体" w:cs="宋体"/>
                <w:spacing w:val="17"/>
                <w:w w:val="120"/>
              </w:rPr>
              <w:t>&gt;</w:t>
            </w:r>
            <w:r>
              <w:rPr>
                <w:spacing w:val="17"/>
                <w:w w:val="120"/>
              </w:rPr>
              <w:t>2</w:t>
            </w:r>
          </w:p>
        </w:tc>
        <w:tc>
          <w:tcPr>
            <w:tcW w:w="1723" w:type="dxa"/>
            <w:gridSpan w:val="3"/>
            <w:vAlign w:val="top"/>
          </w:tcPr>
          <w:p w14:paraId="3DD766CF">
            <w:pPr>
              <w:pStyle w:val="6"/>
              <w:spacing w:before="67" w:line="188" w:lineRule="auto"/>
              <w:ind w:left="682"/>
            </w:pPr>
            <w:r>
              <w:rPr>
                <w:spacing w:val="-2"/>
              </w:rPr>
              <w:t>0.78</w:t>
            </w:r>
          </w:p>
          <w:p w14:paraId="4F81705C">
            <w:pPr>
              <w:pStyle w:val="6"/>
              <w:spacing w:before="52" w:line="188" w:lineRule="auto"/>
              <w:ind w:left="682"/>
            </w:pPr>
            <w:r>
              <w:rPr>
                <w:spacing w:val="-2"/>
              </w:rPr>
              <w:t>0.84</w:t>
            </w:r>
          </w:p>
        </w:tc>
        <w:tc>
          <w:tcPr>
            <w:tcW w:w="1759" w:type="dxa"/>
            <w:gridSpan w:val="3"/>
            <w:vAlign w:val="top"/>
          </w:tcPr>
          <w:p w14:paraId="00DCAED7">
            <w:pPr>
              <w:pStyle w:val="6"/>
              <w:spacing w:before="67" w:line="188" w:lineRule="auto"/>
              <w:ind w:left="701"/>
            </w:pPr>
            <w:r>
              <w:rPr>
                <w:spacing w:val="-2"/>
              </w:rPr>
              <w:t>0.78</w:t>
            </w:r>
          </w:p>
          <w:p w14:paraId="04D32D82">
            <w:pPr>
              <w:pStyle w:val="6"/>
              <w:spacing w:before="52" w:line="188" w:lineRule="auto"/>
              <w:ind w:left="701"/>
            </w:pPr>
            <w:r>
              <w:rPr>
                <w:spacing w:val="-2"/>
              </w:rPr>
              <w:t>0.84</w:t>
            </w:r>
          </w:p>
        </w:tc>
        <w:tc>
          <w:tcPr>
            <w:tcW w:w="1758" w:type="dxa"/>
            <w:gridSpan w:val="3"/>
            <w:vAlign w:val="top"/>
          </w:tcPr>
          <w:p w14:paraId="72034DA3">
            <w:pPr>
              <w:pStyle w:val="6"/>
              <w:spacing w:before="67" w:line="188" w:lineRule="auto"/>
              <w:ind w:left="699"/>
            </w:pPr>
            <w:r>
              <w:rPr>
                <w:spacing w:val="-2"/>
              </w:rPr>
              <w:t>0.57</w:t>
            </w:r>
          </w:p>
          <w:p w14:paraId="2DAD2824">
            <w:pPr>
              <w:pStyle w:val="6"/>
              <w:spacing w:before="52" w:line="188" w:lineRule="auto"/>
              <w:ind w:left="699"/>
            </w:pPr>
            <w:r>
              <w:rPr>
                <w:spacing w:val="-2"/>
              </w:rPr>
              <w:t>0.76</w:t>
            </w:r>
          </w:p>
        </w:tc>
      </w:tr>
      <w:tr w14:paraId="72DBE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8320" w:type="dxa"/>
            <w:gridSpan w:val="11"/>
            <w:vAlign w:val="top"/>
          </w:tcPr>
          <w:p w14:paraId="629E658E">
            <w:pPr>
              <w:pStyle w:val="6"/>
              <w:spacing w:before="34" w:line="239" w:lineRule="auto"/>
              <w:ind w:left="17" w:right="5" w:hanging="5"/>
              <w:rPr>
                <w:rFonts w:ascii="宋体" w:hAnsi="宋体" w:eastAsia="宋体" w:cs="宋体"/>
              </w:rPr>
            </w:pPr>
            <w:r>
              <w:rPr>
                <w:rFonts w:ascii="宋体" w:hAnsi="宋体" w:eastAsia="宋体" w:cs="宋体"/>
              </w:rPr>
              <w:t>注：</w:t>
            </w:r>
            <w:r>
              <w:t xml:space="preserve">I </w:t>
            </w:r>
            <w:r>
              <w:rPr>
                <w:rFonts w:ascii="宋体" w:hAnsi="宋体" w:eastAsia="宋体" w:cs="宋体"/>
              </w:rPr>
              <w:t>类：与无组织排放源共存的排放同种有害气体</w:t>
            </w:r>
            <w:r>
              <w:rPr>
                <w:rFonts w:ascii="宋体" w:hAnsi="宋体" w:eastAsia="宋体" w:cs="宋体"/>
                <w:spacing w:val="-1"/>
              </w:rPr>
              <w:t>的排气筒的排放量，大于或等于标准规</w:t>
            </w:r>
            <w:r>
              <w:rPr>
                <w:rFonts w:ascii="宋体" w:hAnsi="宋体" w:eastAsia="宋体" w:cs="宋体"/>
                <w:spacing w:val="-4"/>
              </w:rPr>
              <w:t>定的允许排放量的</w:t>
            </w:r>
            <w:r>
              <w:rPr>
                <w:rFonts w:ascii="宋体" w:hAnsi="宋体" w:eastAsia="宋体" w:cs="宋体"/>
                <w:spacing w:val="-21"/>
              </w:rPr>
              <w:t xml:space="preserve"> </w:t>
            </w:r>
            <w:r>
              <w:rPr>
                <w:spacing w:val="-4"/>
              </w:rPr>
              <w:t xml:space="preserve">1/3 </w:t>
            </w:r>
            <w:r>
              <w:rPr>
                <w:rFonts w:ascii="宋体" w:hAnsi="宋体" w:eastAsia="宋体" w:cs="宋体"/>
                <w:spacing w:val="-4"/>
              </w:rPr>
              <w:t>者。</w:t>
            </w:r>
          </w:p>
          <w:p w14:paraId="1217546D">
            <w:pPr>
              <w:pStyle w:val="6"/>
              <w:spacing w:line="239" w:lineRule="auto"/>
              <w:ind w:left="11" w:right="3" w:hanging="2"/>
              <w:rPr>
                <w:rFonts w:ascii="宋体" w:hAnsi="宋体" w:eastAsia="宋体" w:cs="宋体"/>
              </w:rPr>
            </w:pPr>
            <w:r>
              <w:rPr>
                <w:spacing w:val="-1"/>
              </w:rPr>
              <w:t>Ⅱ</w:t>
            </w:r>
            <w:r>
              <w:rPr>
                <w:rFonts w:ascii="宋体" w:hAnsi="宋体" w:eastAsia="宋体" w:cs="宋体"/>
                <w:spacing w:val="-1"/>
              </w:rPr>
              <w:t>类：与无组织排放源共存的排放同种有害气体的排气筒的排放量，小于标准规定的允许排放量的</w:t>
            </w:r>
            <w:r>
              <w:rPr>
                <w:rFonts w:ascii="宋体" w:hAnsi="宋体" w:eastAsia="宋体" w:cs="宋体"/>
                <w:spacing w:val="-15"/>
              </w:rPr>
              <w:t xml:space="preserve"> </w:t>
            </w:r>
            <w:r>
              <w:rPr>
                <w:spacing w:val="-1"/>
              </w:rPr>
              <w:t>1/3</w:t>
            </w:r>
            <w:r>
              <w:rPr>
                <w:rFonts w:ascii="宋体" w:hAnsi="宋体" w:eastAsia="宋体" w:cs="宋体"/>
                <w:spacing w:val="-1"/>
              </w:rPr>
              <w:t>，或虽无排放同种大气污染物之排气简共存，但无组织排放的有害物质的容许浓</w:t>
            </w:r>
            <w:r>
              <w:rPr>
                <w:rFonts w:ascii="宋体" w:hAnsi="宋体" w:eastAsia="宋体" w:cs="宋体"/>
                <w:spacing w:val="-3"/>
              </w:rPr>
              <w:t>度指标是按急性反应指标确定者。</w:t>
            </w:r>
          </w:p>
          <w:p w14:paraId="5D387AD6">
            <w:pPr>
              <w:pStyle w:val="6"/>
              <w:spacing w:before="1" w:line="224" w:lineRule="auto"/>
              <w:ind w:left="11" w:right="5" w:hanging="2"/>
              <w:rPr>
                <w:rFonts w:ascii="宋体" w:hAnsi="宋体" w:eastAsia="宋体" w:cs="宋体"/>
              </w:rPr>
            </w:pPr>
            <w:r>
              <w:rPr>
                <w:spacing w:val="-2"/>
              </w:rPr>
              <w:t>Ⅲ</w:t>
            </w:r>
            <w:r>
              <w:rPr>
                <w:rFonts w:ascii="宋体" w:hAnsi="宋体" w:eastAsia="宋体" w:cs="宋体"/>
                <w:spacing w:val="-2"/>
              </w:rPr>
              <w:t>类：无排放同种有害物质的排气筒与无组织排放源共存，但</w:t>
            </w:r>
            <w:r>
              <w:rPr>
                <w:rFonts w:ascii="宋体" w:hAnsi="宋体" w:eastAsia="宋体" w:cs="宋体"/>
                <w:spacing w:val="-3"/>
              </w:rPr>
              <w:t>无组织排放的有害物质的容许浓度是按慢性反应指标确定者。</w:t>
            </w:r>
          </w:p>
        </w:tc>
      </w:tr>
    </w:tbl>
    <w:p w14:paraId="42E51980">
      <w:pPr>
        <w:spacing w:before="233" w:line="219" w:lineRule="auto"/>
        <w:ind w:left="520"/>
        <w:rPr>
          <w:rFonts w:ascii="宋体" w:hAnsi="宋体" w:eastAsia="宋体" w:cs="宋体"/>
          <w:sz w:val="24"/>
          <w:szCs w:val="24"/>
        </w:rPr>
      </w:pPr>
      <w:r>
        <w:rPr>
          <w:rFonts w:ascii="宋体" w:hAnsi="宋体" w:eastAsia="宋体" w:cs="宋体"/>
          <w:spacing w:val="-4"/>
          <w:sz w:val="24"/>
          <w:szCs w:val="24"/>
        </w:rPr>
        <w:t>本项目卫生防护距离计算情况如下表：</w:t>
      </w:r>
    </w:p>
    <w:p w14:paraId="56DDAACD">
      <w:pPr>
        <w:spacing w:before="197" w:line="221" w:lineRule="auto"/>
        <w:ind w:left="237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3"/>
          <w:sz w:val="21"/>
          <w:szCs w:val="21"/>
        </w:rPr>
        <w:t xml:space="preserve"> </w:t>
      </w:r>
      <w:r>
        <w:rPr>
          <w:rFonts w:ascii="Times New Roman" w:hAnsi="Times New Roman" w:eastAsia="Times New Roman" w:cs="Times New Roman"/>
          <w:spacing w:val="-1"/>
          <w:sz w:val="21"/>
          <w:szCs w:val="21"/>
        </w:rPr>
        <w:t xml:space="preserve">4.2-14  </w:t>
      </w:r>
      <w:r>
        <w:rPr>
          <w:rFonts w:ascii="黑体" w:hAnsi="黑体" w:eastAsia="黑体" w:cs="黑体"/>
          <w:spacing w:val="-1"/>
          <w:sz w:val="21"/>
          <w:szCs w:val="21"/>
        </w:rPr>
        <w:t>项目卫生防护距离计算参数值</w:t>
      </w:r>
    </w:p>
    <w:p w14:paraId="55F4797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984"/>
        <w:gridCol w:w="986"/>
        <w:gridCol w:w="1130"/>
        <w:gridCol w:w="577"/>
        <w:gridCol w:w="577"/>
        <w:gridCol w:w="577"/>
        <w:gridCol w:w="578"/>
        <w:gridCol w:w="694"/>
        <w:gridCol w:w="704"/>
        <w:gridCol w:w="655"/>
      </w:tblGrid>
      <w:tr w14:paraId="215E4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8" w:type="dxa"/>
            <w:vAlign w:val="top"/>
          </w:tcPr>
          <w:p w14:paraId="008C9795">
            <w:pPr>
              <w:spacing w:before="210" w:line="220" w:lineRule="auto"/>
              <w:ind w:left="227"/>
              <w:rPr>
                <w:rFonts w:ascii="宋体" w:hAnsi="宋体" w:eastAsia="宋体" w:cs="宋体"/>
                <w:sz w:val="21"/>
                <w:szCs w:val="21"/>
              </w:rPr>
            </w:pPr>
            <w:r>
              <w:rPr>
                <w:rFonts w:ascii="宋体" w:hAnsi="宋体" w:eastAsia="宋体" w:cs="宋体"/>
                <w:spacing w:val="-3"/>
                <w:sz w:val="21"/>
                <w:szCs w:val="21"/>
              </w:rPr>
              <w:t>项目</w:t>
            </w:r>
          </w:p>
        </w:tc>
        <w:tc>
          <w:tcPr>
            <w:tcW w:w="984" w:type="dxa"/>
            <w:vAlign w:val="top"/>
          </w:tcPr>
          <w:p w14:paraId="36189EF1">
            <w:pPr>
              <w:spacing w:before="210" w:line="220" w:lineRule="auto"/>
              <w:ind w:left="177"/>
              <w:rPr>
                <w:rFonts w:ascii="宋体" w:hAnsi="宋体" w:eastAsia="宋体" w:cs="宋体"/>
                <w:sz w:val="21"/>
                <w:szCs w:val="21"/>
              </w:rPr>
            </w:pPr>
            <w:r>
              <w:rPr>
                <w:rFonts w:ascii="宋体" w:hAnsi="宋体" w:eastAsia="宋体" w:cs="宋体"/>
                <w:spacing w:val="-3"/>
                <w:sz w:val="21"/>
                <w:szCs w:val="21"/>
              </w:rPr>
              <w:t>污染物</w:t>
            </w:r>
          </w:p>
        </w:tc>
        <w:tc>
          <w:tcPr>
            <w:tcW w:w="986" w:type="dxa"/>
            <w:vAlign w:val="top"/>
          </w:tcPr>
          <w:p w14:paraId="12A37417">
            <w:pPr>
              <w:pStyle w:val="6"/>
              <w:spacing w:before="91" w:line="188" w:lineRule="auto"/>
              <w:ind w:left="340"/>
            </w:pPr>
            <w:r>
              <w:rPr>
                <w:spacing w:val="-2"/>
              </w:rPr>
              <w:t>Cm</w:t>
            </w:r>
          </w:p>
          <w:p w14:paraId="25AFA02D">
            <w:pPr>
              <w:pStyle w:val="6"/>
              <w:spacing w:before="86" w:line="212" w:lineRule="auto"/>
              <w:ind w:left="12"/>
              <w:rPr>
                <w:rFonts w:ascii="宋体" w:hAnsi="宋体" w:eastAsia="宋体" w:cs="宋体"/>
              </w:rPr>
            </w:pPr>
            <w:r>
              <w:rPr>
                <w:rFonts w:ascii="宋体" w:hAnsi="宋体" w:eastAsia="宋体" w:cs="宋体"/>
                <w:spacing w:val="-9"/>
              </w:rPr>
              <w:t>（</w:t>
            </w:r>
            <w:r>
              <w:rPr>
                <w:spacing w:val="-9"/>
              </w:rPr>
              <w:t>mg/m3</w:t>
            </w:r>
            <w:r>
              <w:rPr>
                <w:rFonts w:ascii="宋体" w:hAnsi="宋体" w:eastAsia="宋体" w:cs="宋体"/>
                <w:spacing w:val="-9"/>
              </w:rPr>
              <w:t>）</w:t>
            </w:r>
          </w:p>
        </w:tc>
        <w:tc>
          <w:tcPr>
            <w:tcW w:w="1130" w:type="dxa"/>
            <w:vAlign w:val="top"/>
          </w:tcPr>
          <w:p w14:paraId="37891009">
            <w:pPr>
              <w:pStyle w:val="6"/>
              <w:spacing w:before="91" w:line="188" w:lineRule="auto"/>
              <w:ind w:left="443"/>
            </w:pPr>
            <w:r>
              <w:rPr>
                <w:spacing w:val="-3"/>
              </w:rPr>
              <w:t>Qc</w:t>
            </w:r>
          </w:p>
          <w:p w14:paraId="70A3C54C">
            <w:pPr>
              <w:pStyle w:val="6"/>
              <w:spacing w:before="86" w:line="212" w:lineRule="auto"/>
              <w:ind w:left="174"/>
              <w:rPr>
                <w:rFonts w:ascii="宋体" w:hAnsi="宋体" w:eastAsia="宋体" w:cs="宋体"/>
              </w:rPr>
            </w:pPr>
            <w:r>
              <w:rPr>
                <w:rFonts w:ascii="宋体" w:hAnsi="宋体" w:eastAsia="宋体" w:cs="宋体"/>
                <w:spacing w:val="-3"/>
              </w:rPr>
              <w:t>（</w:t>
            </w:r>
            <w:r>
              <w:rPr>
                <w:spacing w:val="-3"/>
              </w:rPr>
              <w:t>kg/h</w:t>
            </w:r>
            <w:r>
              <w:rPr>
                <w:rFonts w:ascii="宋体" w:hAnsi="宋体" w:eastAsia="宋体" w:cs="宋体"/>
                <w:spacing w:val="-3"/>
              </w:rPr>
              <w:t>）</w:t>
            </w:r>
          </w:p>
        </w:tc>
        <w:tc>
          <w:tcPr>
            <w:tcW w:w="577" w:type="dxa"/>
            <w:vAlign w:val="top"/>
          </w:tcPr>
          <w:p w14:paraId="1DAF016F">
            <w:pPr>
              <w:pStyle w:val="6"/>
              <w:spacing w:before="246" w:line="189" w:lineRule="auto"/>
              <w:ind w:left="207"/>
            </w:pPr>
            <w:r>
              <w:t>A</w:t>
            </w:r>
          </w:p>
        </w:tc>
        <w:tc>
          <w:tcPr>
            <w:tcW w:w="577" w:type="dxa"/>
            <w:vAlign w:val="top"/>
          </w:tcPr>
          <w:p w14:paraId="794468C1">
            <w:pPr>
              <w:pStyle w:val="6"/>
              <w:spacing w:before="250" w:line="185" w:lineRule="auto"/>
              <w:ind w:left="215"/>
            </w:pPr>
            <w:r>
              <w:t>B</w:t>
            </w:r>
          </w:p>
        </w:tc>
        <w:tc>
          <w:tcPr>
            <w:tcW w:w="577" w:type="dxa"/>
            <w:vAlign w:val="top"/>
          </w:tcPr>
          <w:p w14:paraId="5E4F141F">
            <w:pPr>
              <w:pStyle w:val="6"/>
              <w:spacing w:before="246" w:line="188" w:lineRule="auto"/>
              <w:ind w:left="219"/>
            </w:pPr>
            <w:r>
              <w:t>C</w:t>
            </w:r>
          </w:p>
        </w:tc>
        <w:tc>
          <w:tcPr>
            <w:tcW w:w="578" w:type="dxa"/>
            <w:vAlign w:val="top"/>
          </w:tcPr>
          <w:p w14:paraId="3EE0B71F">
            <w:pPr>
              <w:pStyle w:val="6"/>
              <w:spacing w:before="250" w:line="185" w:lineRule="auto"/>
              <w:ind w:left="210"/>
            </w:pPr>
            <w:r>
              <w:t>D</w:t>
            </w:r>
          </w:p>
        </w:tc>
        <w:tc>
          <w:tcPr>
            <w:tcW w:w="694" w:type="dxa"/>
            <w:vAlign w:val="top"/>
          </w:tcPr>
          <w:p w14:paraId="53025A79">
            <w:pPr>
              <w:pStyle w:val="6"/>
              <w:spacing w:before="90" w:line="188" w:lineRule="auto"/>
              <w:ind w:left="295"/>
            </w:pPr>
            <w:r>
              <w:t>S</w:t>
            </w:r>
          </w:p>
          <w:p w14:paraId="4F162DC9">
            <w:pPr>
              <w:pStyle w:val="6"/>
              <w:spacing w:before="71" w:line="238" w:lineRule="auto"/>
              <w:ind w:left="28"/>
              <w:rPr>
                <w:rFonts w:ascii="宋体" w:hAnsi="宋体" w:eastAsia="宋体" w:cs="宋体"/>
              </w:rPr>
            </w:pPr>
            <w:r>
              <w:rPr>
                <w:rFonts w:ascii="宋体" w:hAnsi="宋体" w:eastAsia="宋体" w:cs="宋体"/>
                <w:spacing w:val="-4"/>
              </w:rPr>
              <w:t>（</w:t>
            </w:r>
            <w:r>
              <w:rPr>
                <w:spacing w:val="-4"/>
              </w:rPr>
              <w:t>m</w:t>
            </w:r>
            <w:r>
              <w:rPr>
                <w:spacing w:val="-4"/>
                <w:sz w:val="14"/>
                <w:szCs w:val="14"/>
              </w:rPr>
              <w:t>2</w:t>
            </w:r>
            <w:r>
              <w:rPr>
                <w:rFonts w:ascii="宋体" w:hAnsi="宋体" w:eastAsia="宋体" w:cs="宋体"/>
                <w:spacing w:val="-4"/>
              </w:rPr>
              <w:t>）</w:t>
            </w:r>
          </w:p>
        </w:tc>
        <w:tc>
          <w:tcPr>
            <w:tcW w:w="704" w:type="dxa"/>
            <w:vAlign w:val="top"/>
          </w:tcPr>
          <w:p w14:paraId="7DE0A7FF">
            <w:pPr>
              <w:pStyle w:val="6"/>
              <w:spacing w:before="210" w:line="232" w:lineRule="auto"/>
              <w:jc w:val="right"/>
              <w:rPr>
                <w:rFonts w:ascii="宋体" w:hAnsi="宋体" w:eastAsia="宋体" w:cs="宋体"/>
              </w:rPr>
            </w:pPr>
            <w:r>
              <w:rPr>
                <w:spacing w:val="-5"/>
              </w:rPr>
              <w:t>L</w:t>
            </w:r>
            <w:r>
              <w:rPr>
                <w:rFonts w:ascii="宋体" w:hAnsi="宋体" w:eastAsia="宋体" w:cs="宋体"/>
                <w:spacing w:val="-5"/>
              </w:rPr>
              <w:t>（</w:t>
            </w:r>
            <w:r>
              <w:rPr>
                <w:spacing w:val="-5"/>
              </w:rPr>
              <w:t>m</w:t>
            </w:r>
            <w:r>
              <w:rPr>
                <w:rFonts w:ascii="宋体" w:hAnsi="宋体" w:eastAsia="宋体" w:cs="宋体"/>
                <w:spacing w:val="-5"/>
              </w:rPr>
              <w:t>）</w:t>
            </w:r>
          </w:p>
        </w:tc>
        <w:tc>
          <w:tcPr>
            <w:tcW w:w="655" w:type="dxa"/>
            <w:vAlign w:val="top"/>
          </w:tcPr>
          <w:p w14:paraId="5EC51A34">
            <w:pPr>
              <w:pStyle w:val="6"/>
              <w:spacing w:before="55" w:line="249" w:lineRule="auto"/>
              <w:ind w:left="41" w:right="53" w:firstLine="78"/>
              <w:rPr>
                <w:rFonts w:ascii="宋体" w:hAnsi="宋体" w:eastAsia="宋体" w:cs="宋体"/>
              </w:rPr>
            </w:pPr>
            <w:r>
              <w:rPr>
                <w:rFonts w:ascii="宋体" w:hAnsi="宋体" w:eastAsia="宋体" w:cs="宋体"/>
                <w:spacing w:val="-6"/>
              </w:rPr>
              <w:t>取值</w:t>
            </w:r>
            <w:r>
              <w:rPr>
                <w:rFonts w:ascii="宋体" w:hAnsi="宋体" w:eastAsia="宋体" w:cs="宋体"/>
                <w:spacing w:val="-10"/>
              </w:rPr>
              <w:t>（</w:t>
            </w:r>
            <w:r>
              <w:rPr>
                <w:spacing w:val="-10"/>
              </w:rPr>
              <w:t>m</w:t>
            </w:r>
            <w:r>
              <w:rPr>
                <w:rFonts w:ascii="宋体" w:hAnsi="宋体" w:eastAsia="宋体" w:cs="宋体"/>
                <w:spacing w:val="-10"/>
              </w:rPr>
              <w:t>）</w:t>
            </w:r>
          </w:p>
        </w:tc>
      </w:tr>
      <w:tr w14:paraId="2E615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restart"/>
            <w:tcBorders>
              <w:bottom w:val="nil"/>
            </w:tcBorders>
            <w:vAlign w:val="top"/>
          </w:tcPr>
          <w:p w14:paraId="4874DAFE">
            <w:pPr>
              <w:spacing w:before="240" w:line="220" w:lineRule="auto"/>
              <w:ind w:left="120"/>
              <w:rPr>
                <w:rFonts w:ascii="宋体" w:hAnsi="宋体" w:eastAsia="宋体" w:cs="宋体"/>
                <w:sz w:val="21"/>
                <w:szCs w:val="21"/>
              </w:rPr>
            </w:pPr>
            <w:r>
              <w:rPr>
                <w:rFonts w:ascii="宋体" w:hAnsi="宋体" w:eastAsia="宋体" w:cs="宋体"/>
                <w:spacing w:val="-3"/>
                <w:sz w:val="21"/>
                <w:szCs w:val="21"/>
              </w:rPr>
              <w:t>堆粪棚</w:t>
            </w:r>
          </w:p>
        </w:tc>
        <w:tc>
          <w:tcPr>
            <w:tcW w:w="984" w:type="dxa"/>
            <w:vAlign w:val="top"/>
          </w:tcPr>
          <w:p w14:paraId="586626DD">
            <w:pPr>
              <w:pStyle w:val="6"/>
              <w:spacing w:before="105" w:line="195" w:lineRule="auto"/>
              <w:ind w:left="293"/>
              <w:rPr>
                <w:sz w:val="14"/>
                <w:szCs w:val="14"/>
              </w:rPr>
            </w:pPr>
            <w:r>
              <w:t>NH</w:t>
            </w:r>
            <w:r>
              <w:rPr>
                <w:spacing w:val="1"/>
                <w:position w:val="-2"/>
                <w:sz w:val="14"/>
                <w:szCs w:val="14"/>
              </w:rPr>
              <w:t>3</w:t>
            </w:r>
          </w:p>
        </w:tc>
        <w:tc>
          <w:tcPr>
            <w:tcW w:w="986" w:type="dxa"/>
            <w:vAlign w:val="top"/>
          </w:tcPr>
          <w:p w14:paraId="656DB91B">
            <w:pPr>
              <w:pStyle w:val="6"/>
              <w:spacing w:before="102" w:line="188" w:lineRule="auto"/>
              <w:ind w:left="361"/>
            </w:pPr>
            <w:r>
              <w:rPr>
                <w:spacing w:val="-3"/>
              </w:rPr>
              <w:t>0.2</w:t>
            </w:r>
          </w:p>
        </w:tc>
        <w:tc>
          <w:tcPr>
            <w:tcW w:w="1130" w:type="dxa"/>
            <w:vAlign w:val="top"/>
          </w:tcPr>
          <w:p w14:paraId="3D2391F3">
            <w:pPr>
              <w:pStyle w:val="6"/>
              <w:spacing w:before="102" w:line="188" w:lineRule="auto"/>
              <w:ind w:left="279"/>
            </w:pPr>
            <w:r>
              <w:rPr>
                <w:spacing w:val="-2"/>
              </w:rPr>
              <w:t>0.0011</w:t>
            </w:r>
          </w:p>
        </w:tc>
        <w:tc>
          <w:tcPr>
            <w:tcW w:w="577" w:type="dxa"/>
            <w:vMerge w:val="restart"/>
            <w:tcBorders>
              <w:bottom w:val="nil"/>
            </w:tcBorders>
            <w:vAlign w:val="top"/>
          </w:tcPr>
          <w:p w14:paraId="0E2EBE31">
            <w:pPr>
              <w:pStyle w:val="6"/>
              <w:spacing w:before="277" w:line="188" w:lineRule="auto"/>
              <w:ind w:left="127"/>
            </w:pPr>
            <w:r>
              <w:rPr>
                <w:spacing w:val="-1"/>
              </w:rPr>
              <w:t>400</w:t>
            </w:r>
          </w:p>
        </w:tc>
        <w:tc>
          <w:tcPr>
            <w:tcW w:w="577" w:type="dxa"/>
            <w:vMerge w:val="restart"/>
            <w:tcBorders>
              <w:bottom w:val="nil"/>
            </w:tcBorders>
            <w:vAlign w:val="top"/>
          </w:tcPr>
          <w:p w14:paraId="480EA8B1">
            <w:pPr>
              <w:pStyle w:val="6"/>
              <w:spacing w:before="277" w:line="188" w:lineRule="auto"/>
              <w:ind w:left="105"/>
            </w:pPr>
            <w:r>
              <w:rPr>
                <w:spacing w:val="-2"/>
              </w:rPr>
              <w:t>0.01</w:t>
            </w:r>
          </w:p>
        </w:tc>
        <w:tc>
          <w:tcPr>
            <w:tcW w:w="577" w:type="dxa"/>
            <w:vMerge w:val="restart"/>
            <w:tcBorders>
              <w:bottom w:val="nil"/>
            </w:tcBorders>
            <w:vAlign w:val="top"/>
          </w:tcPr>
          <w:p w14:paraId="00484738">
            <w:pPr>
              <w:pStyle w:val="6"/>
              <w:spacing w:before="277" w:line="188" w:lineRule="auto"/>
              <w:ind w:left="122"/>
            </w:pPr>
            <w:r>
              <w:rPr>
                <w:spacing w:val="-7"/>
              </w:rPr>
              <w:t>1.85</w:t>
            </w:r>
          </w:p>
        </w:tc>
        <w:tc>
          <w:tcPr>
            <w:tcW w:w="578" w:type="dxa"/>
            <w:vMerge w:val="restart"/>
            <w:tcBorders>
              <w:bottom w:val="nil"/>
            </w:tcBorders>
            <w:vAlign w:val="top"/>
          </w:tcPr>
          <w:p w14:paraId="40D726DC">
            <w:pPr>
              <w:pStyle w:val="6"/>
              <w:spacing w:before="277" w:line="188" w:lineRule="auto"/>
              <w:ind w:left="106"/>
            </w:pPr>
            <w:r>
              <w:rPr>
                <w:spacing w:val="-2"/>
              </w:rPr>
              <w:t>0.78</w:t>
            </w:r>
          </w:p>
        </w:tc>
        <w:tc>
          <w:tcPr>
            <w:tcW w:w="694" w:type="dxa"/>
            <w:vMerge w:val="restart"/>
            <w:tcBorders>
              <w:bottom w:val="nil"/>
            </w:tcBorders>
            <w:vAlign w:val="top"/>
          </w:tcPr>
          <w:p w14:paraId="2DFA8A26">
            <w:pPr>
              <w:pStyle w:val="6"/>
              <w:spacing w:before="277" w:line="188" w:lineRule="auto"/>
              <w:ind w:left="191"/>
            </w:pPr>
            <w:r>
              <w:rPr>
                <w:spacing w:val="-3"/>
              </w:rPr>
              <w:t>300</w:t>
            </w:r>
          </w:p>
        </w:tc>
        <w:tc>
          <w:tcPr>
            <w:tcW w:w="704" w:type="dxa"/>
            <w:vAlign w:val="top"/>
          </w:tcPr>
          <w:p w14:paraId="12CA3981">
            <w:pPr>
              <w:pStyle w:val="6"/>
              <w:spacing w:before="102" w:line="188" w:lineRule="auto"/>
              <w:ind w:left="170"/>
            </w:pPr>
            <w:r>
              <w:rPr>
                <w:spacing w:val="-2"/>
              </w:rPr>
              <w:t>0.36</w:t>
            </w:r>
          </w:p>
        </w:tc>
        <w:tc>
          <w:tcPr>
            <w:tcW w:w="655" w:type="dxa"/>
            <w:vAlign w:val="top"/>
          </w:tcPr>
          <w:p w14:paraId="19C43718">
            <w:pPr>
              <w:pStyle w:val="6"/>
              <w:spacing w:before="102" w:line="188" w:lineRule="auto"/>
              <w:ind w:left="225"/>
            </w:pPr>
            <w:r>
              <w:rPr>
                <w:spacing w:val="-3"/>
              </w:rPr>
              <w:t>50</w:t>
            </w:r>
          </w:p>
        </w:tc>
      </w:tr>
      <w:tr w14:paraId="02317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tcBorders>
            <w:vAlign w:val="top"/>
          </w:tcPr>
          <w:p w14:paraId="6C366D23">
            <w:pPr>
              <w:rPr>
                <w:rFonts w:ascii="Arial"/>
                <w:sz w:val="21"/>
              </w:rPr>
            </w:pPr>
          </w:p>
        </w:tc>
        <w:tc>
          <w:tcPr>
            <w:tcW w:w="984" w:type="dxa"/>
            <w:vAlign w:val="top"/>
          </w:tcPr>
          <w:p w14:paraId="7EC6AE8D">
            <w:pPr>
              <w:pStyle w:val="6"/>
              <w:spacing w:before="102" w:line="198" w:lineRule="auto"/>
              <w:ind w:left="316"/>
            </w:pPr>
            <w:r>
              <w:rPr>
                <w:spacing w:val="-2"/>
              </w:rPr>
              <w:t>H</w:t>
            </w:r>
            <w:r>
              <w:rPr>
                <w:spacing w:val="-2"/>
                <w:position w:val="-2"/>
                <w:sz w:val="14"/>
                <w:szCs w:val="14"/>
              </w:rPr>
              <w:t>2</w:t>
            </w:r>
            <w:r>
              <w:rPr>
                <w:spacing w:val="-2"/>
              </w:rPr>
              <w:t>S</w:t>
            </w:r>
          </w:p>
        </w:tc>
        <w:tc>
          <w:tcPr>
            <w:tcW w:w="986" w:type="dxa"/>
            <w:vAlign w:val="top"/>
          </w:tcPr>
          <w:p w14:paraId="4BC59BF0">
            <w:pPr>
              <w:pStyle w:val="6"/>
              <w:spacing w:before="102" w:line="188" w:lineRule="auto"/>
              <w:ind w:left="308"/>
            </w:pPr>
            <w:r>
              <w:rPr>
                <w:spacing w:val="-2"/>
              </w:rPr>
              <w:t>0.01</w:t>
            </w:r>
          </w:p>
        </w:tc>
        <w:tc>
          <w:tcPr>
            <w:tcW w:w="1130" w:type="dxa"/>
            <w:vAlign w:val="top"/>
          </w:tcPr>
          <w:p w14:paraId="0A57EC32">
            <w:pPr>
              <w:pStyle w:val="6"/>
              <w:spacing w:before="102" w:line="188" w:lineRule="auto"/>
              <w:ind w:left="276"/>
            </w:pPr>
            <w:r>
              <w:rPr>
                <w:spacing w:val="-2"/>
              </w:rPr>
              <w:t>0.0001</w:t>
            </w:r>
          </w:p>
        </w:tc>
        <w:tc>
          <w:tcPr>
            <w:tcW w:w="577" w:type="dxa"/>
            <w:vMerge w:val="continue"/>
            <w:tcBorders>
              <w:top w:val="nil"/>
            </w:tcBorders>
            <w:vAlign w:val="top"/>
          </w:tcPr>
          <w:p w14:paraId="6C2A61D1">
            <w:pPr>
              <w:rPr>
                <w:rFonts w:ascii="Arial"/>
                <w:sz w:val="21"/>
              </w:rPr>
            </w:pPr>
          </w:p>
        </w:tc>
        <w:tc>
          <w:tcPr>
            <w:tcW w:w="577" w:type="dxa"/>
            <w:vMerge w:val="continue"/>
            <w:tcBorders>
              <w:top w:val="nil"/>
            </w:tcBorders>
            <w:vAlign w:val="top"/>
          </w:tcPr>
          <w:p w14:paraId="13589640">
            <w:pPr>
              <w:rPr>
                <w:rFonts w:ascii="Arial"/>
                <w:sz w:val="21"/>
              </w:rPr>
            </w:pPr>
          </w:p>
        </w:tc>
        <w:tc>
          <w:tcPr>
            <w:tcW w:w="577" w:type="dxa"/>
            <w:vMerge w:val="continue"/>
            <w:tcBorders>
              <w:top w:val="nil"/>
            </w:tcBorders>
            <w:vAlign w:val="top"/>
          </w:tcPr>
          <w:p w14:paraId="773A838E">
            <w:pPr>
              <w:rPr>
                <w:rFonts w:ascii="Arial"/>
                <w:sz w:val="21"/>
              </w:rPr>
            </w:pPr>
          </w:p>
        </w:tc>
        <w:tc>
          <w:tcPr>
            <w:tcW w:w="578" w:type="dxa"/>
            <w:vMerge w:val="continue"/>
            <w:tcBorders>
              <w:top w:val="nil"/>
            </w:tcBorders>
            <w:vAlign w:val="top"/>
          </w:tcPr>
          <w:p w14:paraId="61BD16A3">
            <w:pPr>
              <w:rPr>
                <w:rFonts w:ascii="Arial"/>
                <w:sz w:val="21"/>
              </w:rPr>
            </w:pPr>
          </w:p>
        </w:tc>
        <w:tc>
          <w:tcPr>
            <w:tcW w:w="694" w:type="dxa"/>
            <w:vMerge w:val="continue"/>
            <w:tcBorders>
              <w:top w:val="nil"/>
            </w:tcBorders>
            <w:vAlign w:val="top"/>
          </w:tcPr>
          <w:p w14:paraId="2775CBD0">
            <w:pPr>
              <w:rPr>
                <w:rFonts w:ascii="Arial"/>
                <w:sz w:val="21"/>
              </w:rPr>
            </w:pPr>
          </w:p>
        </w:tc>
        <w:tc>
          <w:tcPr>
            <w:tcW w:w="704" w:type="dxa"/>
            <w:vAlign w:val="top"/>
          </w:tcPr>
          <w:p w14:paraId="00E210C7">
            <w:pPr>
              <w:pStyle w:val="6"/>
              <w:spacing w:before="102" w:line="188" w:lineRule="auto"/>
              <w:ind w:left="170"/>
            </w:pPr>
            <w:r>
              <w:rPr>
                <w:spacing w:val="-2"/>
              </w:rPr>
              <w:t>0.80</w:t>
            </w:r>
          </w:p>
        </w:tc>
        <w:tc>
          <w:tcPr>
            <w:tcW w:w="655" w:type="dxa"/>
            <w:vAlign w:val="top"/>
          </w:tcPr>
          <w:p w14:paraId="6D5AB831">
            <w:pPr>
              <w:pStyle w:val="6"/>
              <w:spacing w:before="102" w:line="188" w:lineRule="auto"/>
              <w:ind w:left="225"/>
            </w:pPr>
            <w:r>
              <w:rPr>
                <w:spacing w:val="-5"/>
              </w:rPr>
              <w:t>50</w:t>
            </w:r>
          </w:p>
        </w:tc>
      </w:tr>
      <w:tr w14:paraId="58FB8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restart"/>
            <w:tcBorders>
              <w:bottom w:val="nil"/>
            </w:tcBorders>
            <w:vAlign w:val="top"/>
          </w:tcPr>
          <w:p w14:paraId="77727BE3">
            <w:pPr>
              <w:spacing w:before="84" w:line="264" w:lineRule="auto"/>
              <w:ind w:left="123" w:right="111" w:firstLine="101"/>
              <w:rPr>
                <w:rFonts w:ascii="宋体" w:hAnsi="宋体" w:eastAsia="宋体" w:cs="宋体"/>
                <w:sz w:val="21"/>
                <w:szCs w:val="21"/>
              </w:rPr>
            </w:pPr>
            <w:r>
              <w:rPr>
                <w:rFonts w:ascii="宋体" w:hAnsi="宋体" w:eastAsia="宋体" w:cs="宋体"/>
                <w:spacing w:val="-5"/>
                <w:sz w:val="21"/>
                <w:szCs w:val="21"/>
              </w:rPr>
              <w:t>污水处理站</w:t>
            </w:r>
          </w:p>
        </w:tc>
        <w:tc>
          <w:tcPr>
            <w:tcW w:w="984" w:type="dxa"/>
            <w:vAlign w:val="top"/>
          </w:tcPr>
          <w:p w14:paraId="4FE94719">
            <w:pPr>
              <w:pStyle w:val="6"/>
              <w:spacing w:before="105" w:line="195" w:lineRule="auto"/>
              <w:ind w:left="293"/>
              <w:rPr>
                <w:sz w:val="14"/>
                <w:szCs w:val="14"/>
              </w:rPr>
            </w:pPr>
            <w:r>
              <w:t>NH</w:t>
            </w:r>
            <w:r>
              <w:rPr>
                <w:spacing w:val="1"/>
                <w:position w:val="-2"/>
                <w:sz w:val="14"/>
                <w:szCs w:val="14"/>
              </w:rPr>
              <w:t>3</w:t>
            </w:r>
          </w:p>
        </w:tc>
        <w:tc>
          <w:tcPr>
            <w:tcW w:w="986" w:type="dxa"/>
            <w:vAlign w:val="top"/>
          </w:tcPr>
          <w:p w14:paraId="67B667FB">
            <w:pPr>
              <w:pStyle w:val="6"/>
              <w:spacing w:before="102" w:line="188" w:lineRule="auto"/>
              <w:ind w:left="361"/>
            </w:pPr>
            <w:r>
              <w:rPr>
                <w:spacing w:val="-3"/>
              </w:rPr>
              <w:t>0.2</w:t>
            </w:r>
          </w:p>
        </w:tc>
        <w:tc>
          <w:tcPr>
            <w:tcW w:w="1130" w:type="dxa"/>
            <w:vAlign w:val="top"/>
          </w:tcPr>
          <w:p w14:paraId="3139FE2C">
            <w:pPr>
              <w:pStyle w:val="6"/>
              <w:spacing w:before="102" w:line="188" w:lineRule="auto"/>
              <w:ind w:left="276"/>
            </w:pPr>
            <w:r>
              <w:rPr>
                <w:spacing w:val="-2"/>
              </w:rPr>
              <w:t>0.0046</w:t>
            </w:r>
          </w:p>
        </w:tc>
        <w:tc>
          <w:tcPr>
            <w:tcW w:w="577" w:type="dxa"/>
            <w:vMerge w:val="restart"/>
            <w:tcBorders>
              <w:bottom w:val="nil"/>
            </w:tcBorders>
            <w:vAlign w:val="top"/>
          </w:tcPr>
          <w:p w14:paraId="3AEF1A37">
            <w:pPr>
              <w:pStyle w:val="6"/>
              <w:spacing w:before="277" w:line="188" w:lineRule="auto"/>
              <w:ind w:left="127"/>
            </w:pPr>
            <w:r>
              <w:rPr>
                <w:spacing w:val="-1"/>
              </w:rPr>
              <w:t>400</w:t>
            </w:r>
          </w:p>
        </w:tc>
        <w:tc>
          <w:tcPr>
            <w:tcW w:w="577" w:type="dxa"/>
            <w:vMerge w:val="restart"/>
            <w:tcBorders>
              <w:bottom w:val="nil"/>
            </w:tcBorders>
            <w:vAlign w:val="top"/>
          </w:tcPr>
          <w:p w14:paraId="39D5A26A">
            <w:pPr>
              <w:pStyle w:val="6"/>
              <w:spacing w:before="277" w:line="188" w:lineRule="auto"/>
              <w:ind w:left="105"/>
            </w:pPr>
            <w:r>
              <w:rPr>
                <w:spacing w:val="-2"/>
              </w:rPr>
              <w:t>0.01</w:t>
            </w:r>
          </w:p>
        </w:tc>
        <w:tc>
          <w:tcPr>
            <w:tcW w:w="577" w:type="dxa"/>
            <w:vMerge w:val="restart"/>
            <w:tcBorders>
              <w:bottom w:val="nil"/>
            </w:tcBorders>
            <w:vAlign w:val="top"/>
          </w:tcPr>
          <w:p w14:paraId="3F5B386E">
            <w:pPr>
              <w:pStyle w:val="6"/>
              <w:spacing w:before="277" w:line="188" w:lineRule="auto"/>
              <w:ind w:left="122"/>
            </w:pPr>
            <w:r>
              <w:rPr>
                <w:spacing w:val="-7"/>
              </w:rPr>
              <w:t>1.85</w:t>
            </w:r>
          </w:p>
        </w:tc>
        <w:tc>
          <w:tcPr>
            <w:tcW w:w="578" w:type="dxa"/>
            <w:vMerge w:val="restart"/>
            <w:tcBorders>
              <w:bottom w:val="nil"/>
            </w:tcBorders>
            <w:vAlign w:val="top"/>
          </w:tcPr>
          <w:p w14:paraId="55442C34">
            <w:pPr>
              <w:pStyle w:val="6"/>
              <w:spacing w:before="277" w:line="188" w:lineRule="auto"/>
              <w:ind w:left="106"/>
            </w:pPr>
            <w:r>
              <w:rPr>
                <w:spacing w:val="-2"/>
              </w:rPr>
              <w:t>0.78</w:t>
            </w:r>
          </w:p>
        </w:tc>
        <w:tc>
          <w:tcPr>
            <w:tcW w:w="694" w:type="dxa"/>
            <w:vMerge w:val="restart"/>
            <w:tcBorders>
              <w:bottom w:val="nil"/>
            </w:tcBorders>
            <w:vAlign w:val="top"/>
          </w:tcPr>
          <w:p w14:paraId="307FDAB4">
            <w:pPr>
              <w:pStyle w:val="6"/>
              <w:spacing w:before="277" w:line="188" w:lineRule="auto"/>
              <w:ind w:left="133"/>
            </w:pPr>
            <w:r>
              <w:rPr>
                <w:spacing w:val="-1"/>
              </w:rPr>
              <w:t>4500</w:t>
            </w:r>
          </w:p>
        </w:tc>
        <w:tc>
          <w:tcPr>
            <w:tcW w:w="704" w:type="dxa"/>
            <w:vAlign w:val="top"/>
          </w:tcPr>
          <w:p w14:paraId="7F6802BD">
            <w:pPr>
              <w:pStyle w:val="6"/>
              <w:spacing w:before="102" w:line="188" w:lineRule="auto"/>
              <w:ind w:left="170"/>
            </w:pPr>
            <w:r>
              <w:rPr>
                <w:spacing w:val="-2"/>
              </w:rPr>
              <w:t>0.40</w:t>
            </w:r>
          </w:p>
        </w:tc>
        <w:tc>
          <w:tcPr>
            <w:tcW w:w="655" w:type="dxa"/>
            <w:vAlign w:val="top"/>
          </w:tcPr>
          <w:p w14:paraId="43732795">
            <w:pPr>
              <w:pStyle w:val="6"/>
              <w:spacing w:before="102" w:line="188" w:lineRule="auto"/>
              <w:ind w:left="225"/>
            </w:pPr>
            <w:r>
              <w:rPr>
                <w:spacing w:val="-3"/>
              </w:rPr>
              <w:t>50</w:t>
            </w:r>
          </w:p>
        </w:tc>
      </w:tr>
      <w:tr w14:paraId="20519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continue"/>
            <w:tcBorders>
              <w:top w:val="nil"/>
            </w:tcBorders>
            <w:vAlign w:val="top"/>
          </w:tcPr>
          <w:p w14:paraId="7CCA8CB0">
            <w:pPr>
              <w:rPr>
                <w:rFonts w:ascii="Arial"/>
                <w:sz w:val="21"/>
              </w:rPr>
            </w:pPr>
          </w:p>
        </w:tc>
        <w:tc>
          <w:tcPr>
            <w:tcW w:w="984" w:type="dxa"/>
            <w:vAlign w:val="top"/>
          </w:tcPr>
          <w:p w14:paraId="5B5AD48A">
            <w:pPr>
              <w:pStyle w:val="6"/>
              <w:spacing w:before="103" w:line="198" w:lineRule="auto"/>
              <w:ind w:left="316"/>
            </w:pPr>
            <w:r>
              <w:rPr>
                <w:spacing w:val="-2"/>
              </w:rPr>
              <w:t>H</w:t>
            </w:r>
            <w:r>
              <w:rPr>
                <w:spacing w:val="-2"/>
                <w:position w:val="-2"/>
                <w:sz w:val="14"/>
                <w:szCs w:val="14"/>
              </w:rPr>
              <w:t>2</w:t>
            </w:r>
            <w:r>
              <w:rPr>
                <w:spacing w:val="-2"/>
              </w:rPr>
              <w:t>S</w:t>
            </w:r>
          </w:p>
        </w:tc>
        <w:tc>
          <w:tcPr>
            <w:tcW w:w="986" w:type="dxa"/>
            <w:vAlign w:val="top"/>
          </w:tcPr>
          <w:p w14:paraId="5F1D7661">
            <w:pPr>
              <w:pStyle w:val="6"/>
              <w:spacing w:before="103" w:line="188" w:lineRule="auto"/>
              <w:ind w:left="308"/>
            </w:pPr>
            <w:r>
              <w:rPr>
                <w:spacing w:val="-2"/>
              </w:rPr>
              <w:t>0.01</w:t>
            </w:r>
          </w:p>
        </w:tc>
        <w:tc>
          <w:tcPr>
            <w:tcW w:w="1130" w:type="dxa"/>
            <w:vAlign w:val="top"/>
          </w:tcPr>
          <w:p w14:paraId="6CFA7983">
            <w:pPr>
              <w:pStyle w:val="6"/>
              <w:spacing w:before="103" w:line="188" w:lineRule="auto"/>
              <w:ind w:left="276"/>
            </w:pPr>
            <w:r>
              <w:rPr>
                <w:spacing w:val="-2"/>
              </w:rPr>
              <w:t>0.0002</w:t>
            </w:r>
          </w:p>
        </w:tc>
        <w:tc>
          <w:tcPr>
            <w:tcW w:w="577" w:type="dxa"/>
            <w:vMerge w:val="continue"/>
            <w:tcBorders>
              <w:top w:val="nil"/>
            </w:tcBorders>
            <w:vAlign w:val="top"/>
          </w:tcPr>
          <w:p w14:paraId="4138EA10">
            <w:pPr>
              <w:rPr>
                <w:rFonts w:ascii="Arial"/>
                <w:sz w:val="21"/>
              </w:rPr>
            </w:pPr>
          </w:p>
        </w:tc>
        <w:tc>
          <w:tcPr>
            <w:tcW w:w="577" w:type="dxa"/>
            <w:vMerge w:val="continue"/>
            <w:tcBorders>
              <w:top w:val="nil"/>
            </w:tcBorders>
            <w:vAlign w:val="top"/>
          </w:tcPr>
          <w:p w14:paraId="34C3CA02">
            <w:pPr>
              <w:rPr>
                <w:rFonts w:ascii="Arial"/>
                <w:sz w:val="21"/>
              </w:rPr>
            </w:pPr>
          </w:p>
        </w:tc>
        <w:tc>
          <w:tcPr>
            <w:tcW w:w="577" w:type="dxa"/>
            <w:vMerge w:val="continue"/>
            <w:tcBorders>
              <w:top w:val="nil"/>
            </w:tcBorders>
            <w:vAlign w:val="top"/>
          </w:tcPr>
          <w:p w14:paraId="52A06A5E">
            <w:pPr>
              <w:rPr>
                <w:rFonts w:ascii="Arial"/>
                <w:sz w:val="21"/>
              </w:rPr>
            </w:pPr>
          </w:p>
        </w:tc>
        <w:tc>
          <w:tcPr>
            <w:tcW w:w="578" w:type="dxa"/>
            <w:vMerge w:val="continue"/>
            <w:tcBorders>
              <w:top w:val="nil"/>
            </w:tcBorders>
            <w:vAlign w:val="top"/>
          </w:tcPr>
          <w:p w14:paraId="538D9222">
            <w:pPr>
              <w:rPr>
                <w:rFonts w:ascii="Arial"/>
                <w:sz w:val="21"/>
              </w:rPr>
            </w:pPr>
          </w:p>
        </w:tc>
        <w:tc>
          <w:tcPr>
            <w:tcW w:w="694" w:type="dxa"/>
            <w:vMerge w:val="continue"/>
            <w:tcBorders>
              <w:top w:val="nil"/>
            </w:tcBorders>
            <w:vAlign w:val="top"/>
          </w:tcPr>
          <w:p w14:paraId="0932F5EB">
            <w:pPr>
              <w:rPr>
                <w:rFonts w:ascii="Arial"/>
                <w:sz w:val="21"/>
              </w:rPr>
            </w:pPr>
          </w:p>
        </w:tc>
        <w:tc>
          <w:tcPr>
            <w:tcW w:w="704" w:type="dxa"/>
            <w:vAlign w:val="top"/>
          </w:tcPr>
          <w:p w14:paraId="0945245E">
            <w:pPr>
              <w:pStyle w:val="6"/>
              <w:spacing w:before="103" w:line="188" w:lineRule="auto"/>
              <w:ind w:left="170"/>
            </w:pPr>
            <w:r>
              <w:rPr>
                <w:spacing w:val="-2"/>
              </w:rPr>
              <w:t>0.33</w:t>
            </w:r>
          </w:p>
        </w:tc>
        <w:tc>
          <w:tcPr>
            <w:tcW w:w="655" w:type="dxa"/>
            <w:vAlign w:val="top"/>
          </w:tcPr>
          <w:p w14:paraId="5705E471">
            <w:pPr>
              <w:pStyle w:val="6"/>
              <w:spacing w:before="103" w:line="188" w:lineRule="auto"/>
              <w:ind w:left="225"/>
            </w:pPr>
            <w:r>
              <w:rPr>
                <w:spacing w:val="-5"/>
              </w:rPr>
              <w:t>50</w:t>
            </w:r>
          </w:p>
        </w:tc>
      </w:tr>
      <w:tr w14:paraId="5F9E2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restart"/>
            <w:tcBorders>
              <w:bottom w:val="nil"/>
            </w:tcBorders>
            <w:vAlign w:val="top"/>
          </w:tcPr>
          <w:p w14:paraId="7C74BF1C">
            <w:pPr>
              <w:spacing w:before="241" w:line="220" w:lineRule="auto"/>
              <w:ind w:left="120"/>
              <w:rPr>
                <w:rFonts w:ascii="宋体" w:hAnsi="宋体" w:eastAsia="宋体" w:cs="宋体"/>
                <w:sz w:val="21"/>
                <w:szCs w:val="21"/>
              </w:rPr>
            </w:pPr>
            <w:r>
              <w:rPr>
                <w:rFonts w:ascii="宋体" w:hAnsi="宋体" w:eastAsia="宋体" w:cs="宋体"/>
                <w:spacing w:val="-3"/>
                <w:sz w:val="21"/>
                <w:szCs w:val="21"/>
              </w:rPr>
              <w:t>保育楼</w:t>
            </w:r>
          </w:p>
        </w:tc>
        <w:tc>
          <w:tcPr>
            <w:tcW w:w="984" w:type="dxa"/>
            <w:vAlign w:val="top"/>
          </w:tcPr>
          <w:p w14:paraId="659BD773">
            <w:pPr>
              <w:pStyle w:val="6"/>
              <w:spacing w:before="106" w:line="195" w:lineRule="auto"/>
              <w:ind w:left="293"/>
              <w:rPr>
                <w:sz w:val="14"/>
                <w:szCs w:val="14"/>
              </w:rPr>
            </w:pPr>
            <w:r>
              <w:t>NH</w:t>
            </w:r>
            <w:r>
              <w:rPr>
                <w:spacing w:val="1"/>
                <w:position w:val="-2"/>
                <w:sz w:val="14"/>
                <w:szCs w:val="14"/>
              </w:rPr>
              <w:t>3</w:t>
            </w:r>
          </w:p>
        </w:tc>
        <w:tc>
          <w:tcPr>
            <w:tcW w:w="986" w:type="dxa"/>
            <w:vAlign w:val="top"/>
          </w:tcPr>
          <w:p w14:paraId="2383244D">
            <w:pPr>
              <w:pStyle w:val="6"/>
              <w:spacing w:before="103" w:line="188" w:lineRule="auto"/>
              <w:ind w:left="361"/>
            </w:pPr>
            <w:r>
              <w:rPr>
                <w:spacing w:val="-3"/>
              </w:rPr>
              <w:t>0.2</w:t>
            </w:r>
          </w:p>
        </w:tc>
        <w:tc>
          <w:tcPr>
            <w:tcW w:w="1130" w:type="dxa"/>
            <w:vAlign w:val="top"/>
          </w:tcPr>
          <w:p w14:paraId="0F3F288C">
            <w:pPr>
              <w:pStyle w:val="6"/>
              <w:spacing w:before="103" w:line="188" w:lineRule="auto"/>
              <w:ind w:left="276"/>
            </w:pPr>
            <w:r>
              <w:rPr>
                <w:spacing w:val="-2"/>
              </w:rPr>
              <w:t>0.0150</w:t>
            </w:r>
          </w:p>
        </w:tc>
        <w:tc>
          <w:tcPr>
            <w:tcW w:w="577" w:type="dxa"/>
            <w:vMerge w:val="restart"/>
            <w:tcBorders>
              <w:bottom w:val="nil"/>
            </w:tcBorders>
            <w:vAlign w:val="top"/>
          </w:tcPr>
          <w:p w14:paraId="4CD5D60F">
            <w:pPr>
              <w:pStyle w:val="6"/>
              <w:spacing w:before="278" w:line="188" w:lineRule="auto"/>
              <w:ind w:left="127"/>
            </w:pPr>
            <w:r>
              <w:rPr>
                <w:spacing w:val="-1"/>
              </w:rPr>
              <w:t>400</w:t>
            </w:r>
          </w:p>
        </w:tc>
        <w:tc>
          <w:tcPr>
            <w:tcW w:w="577" w:type="dxa"/>
            <w:vMerge w:val="restart"/>
            <w:tcBorders>
              <w:bottom w:val="nil"/>
            </w:tcBorders>
            <w:vAlign w:val="top"/>
          </w:tcPr>
          <w:p w14:paraId="2A9706BC">
            <w:pPr>
              <w:pStyle w:val="6"/>
              <w:spacing w:before="278" w:line="188" w:lineRule="auto"/>
              <w:ind w:left="105"/>
            </w:pPr>
            <w:r>
              <w:rPr>
                <w:spacing w:val="-2"/>
              </w:rPr>
              <w:t>0.01</w:t>
            </w:r>
          </w:p>
        </w:tc>
        <w:tc>
          <w:tcPr>
            <w:tcW w:w="577" w:type="dxa"/>
            <w:vMerge w:val="restart"/>
            <w:tcBorders>
              <w:bottom w:val="nil"/>
            </w:tcBorders>
            <w:vAlign w:val="top"/>
          </w:tcPr>
          <w:p w14:paraId="5CAA17DE">
            <w:pPr>
              <w:pStyle w:val="6"/>
              <w:spacing w:before="278" w:line="188" w:lineRule="auto"/>
              <w:ind w:left="122"/>
            </w:pPr>
            <w:r>
              <w:rPr>
                <w:spacing w:val="-7"/>
              </w:rPr>
              <w:t>1.85</w:t>
            </w:r>
          </w:p>
        </w:tc>
        <w:tc>
          <w:tcPr>
            <w:tcW w:w="578" w:type="dxa"/>
            <w:vMerge w:val="restart"/>
            <w:tcBorders>
              <w:bottom w:val="nil"/>
            </w:tcBorders>
            <w:vAlign w:val="top"/>
          </w:tcPr>
          <w:p w14:paraId="15DDD859">
            <w:pPr>
              <w:pStyle w:val="6"/>
              <w:spacing w:before="278" w:line="188" w:lineRule="auto"/>
              <w:ind w:left="106"/>
            </w:pPr>
            <w:r>
              <w:rPr>
                <w:spacing w:val="-2"/>
              </w:rPr>
              <w:t>0.78</w:t>
            </w:r>
          </w:p>
        </w:tc>
        <w:tc>
          <w:tcPr>
            <w:tcW w:w="694" w:type="dxa"/>
            <w:vMerge w:val="restart"/>
            <w:tcBorders>
              <w:bottom w:val="nil"/>
            </w:tcBorders>
            <w:vAlign w:val="top"/>
          </w:tcPr>
          <w:p w14:paraId="41FCC6A6">
            <w:pPr>
              <w:pStyle w:val="6"/>
              <w:spacing w:before="278" w:line="188" w:lineRule="auto"/>
              <w:ind w:left="139"/>
            </w:pPr>
            <w:r>
              <w:rPr>
                <w:spacing w:val="-3"/>
              </w:rPr>
              <w:t>3006</w:t>
            </w:r>
          </w:p>
        </w:tc>
        <w:tc>
          <w:tcPr>
            <w:tcW w:w="704" w:type="dxa"/>
            <w:vAlign w:val="top"/>
          </w:tcPr>
          <w:p w14:paraId="72886574">
            <w:pPr>
              <w:pStyle w:val="6"/>
              <w:spacing w:before="103" w:line="188" w:lineRule="auto"/>
              <w:ind w:left="167"/>
            </w:pPr>
            <w:r>
              <w:rPr>
                <w:spacing w:val="-1"/>
              </w:rPr>
              <w:t>2.35</w:t>
            </w:r>
          </w:p>
        </w:tc>
        <w:tc>
          <w:tcPr>
            <w:tcW w:w="655" w:type="dxa"/>
            <w:vAlign w:val="top"/>
          </w:tcPr>
          <w:p w14:paraId="27B1E2A3">
            <w:pPr>
              <w:pStyle w:val="6"/>
              <w:spacing w:before="103" w:line="188" w:lineRule="auto"/>
              <w:ind w:left="225"/>
            </w:pPr>
            <w:r>
              <w:rPr>
                <w:spacing w:val="-3"/>
              </w:rPr>
              <w:t>50</w:t>
            </w:r>
          </w:p>
        </w:tc>
      </w:tr>
      <w:tr w14:paraId="6974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continue"/>
            <w:tcBorders>
              <w:top w:val="nil"/>
            </w:tcBorders>
            <w:vAlign w:val="top"/>
          </w:tcPr>
          <w:p w14:paraId="6DFEE0C1">
            <w:pPr>
              <w:rPr>
                <w:rFonts w:ascii="Arial"/>
                <w:sz w:val="21"/>
              </w:rPr>
            </w:pPr>
          </w:p>
        </w:tc>
        <w:tc>
          <w:tcPr>
            <w:tcW w:w="984" w:type="dxa"/>
            <w:vAlign w:val="top"/>
          </w:tcPr>
          <w:p w14:paraId="042063C9">
            <w:pPr>
              <w:pStyle w:val="6"/>
              <w:spacing w:before="103" w:line="198" w:lineRule="auto"/>
              <w:ind w:left="316"/>
            </w:pPr>
            <w:r>
              <w:rPr>
                <w:spacing w:val="-2"/>
              </w:rPr>
              <w:t>H</w:t>
            </w:r>
            <w:r>
              <w:rPr>
                <w:spacing w:val="-2"/>
                <w:position w:val="-2"/>
                <w:sz w:val="14"/>
                <w:szCs w:val="14"/>
              </w:rPr>
              <w:t>2</w:t>
            </w:r>
            <w:r>
              <w:rPr>
                <w:spacing w:val="-2"/>
              </w:rPr>
              <w:t>S</w:t>
            </w:r>
          </w:p>
        </w:tc>
        <w:tc>
          <w:tcPr>
            <w:tcW w:w="986" w:type="dxa"/>
            <w:vAlign w:val="top"/>
          </w:tcPr>
          <w:p w14:paraId="009DB657">
            <w:pPr>
              <w:pStyle w:val="6"/>
              <w:spacing w:before="103" w:line="188" w:lineRule="auto"/>
              <w:ind w:left="308"/>
            </w:pPr>
            <w:r>
              <w:rPr>
                <w:spacing w:val="-2"/>
              </w:rPr>
              <w:t>0.01</w:t>
            </w:r>
          </w:p>
        </w:tc>
        <w:tc>
          <w:tcPr>
            <w:tcW w:w="1130" w:type="dxa"/>
            <w:vAlign w:val="top"/>
          </w:tcPr>
          <w:p w14:paraId="04F9C93A">
            <w:pPr>
              <w:pStyle w:val="6"/>
              <w:spacing w:before="103" w:line="188" w:lineRule="auto"/>
              <w:ind w:left="276"/>
            </w:pPr>
            <w:r>
              <w:rPr>
                <w:spacing w:val="-2"/>
              </w:rPr>
              <w:t>0.0006</w:t>
            </w:r>
          </w:p>
        </w:tc>
        <w:tc>
          <w:tcPr>
            <w:tcW w:w="577" w:type="dxa"/>
            <w:vMerge w:val="continue"/>
            <w:tcBorders>
              <w:top w:val="nil"/>
            </w:tcBorders>
            <w:vAlign w:val="top"/>
          </w:tcPr>
          <w:p w14:paraId="11E39E95">
            <w:pPr>
              <w:rPr>
                <w:rFonts w:ascii="Arial"/>
                <w:sz w:val="21"/>
              </w:rPr>
            </w:pPr>
          </w:p>
        </w:tc>
        <w:tc>
          <w:tcPr>
            <w:tcW w:w="577" w:type="dxa"/>
            <w:vMerge w:val="continue"/>
            <w:tcBorders>
              <w:top w:val="nil"/>
            </w:tcBorders>
            <w:vAlign w:val="top"/>
          </w:tcPr>
          <w:p w14:paraId="1AE95EF8">
            <w:pPr>
              <w:rPr>
                <w:rFonts w:ascii="Arial"/>
                <w:sz w:val="21"/>
              </w:rPr>
            </w:pPr>
          </w:p>
        </w:tc>
        <w:tc>
          <w:tcPr>
            <w:tcW w:w="577" w:type="dxa"/>
            <w:vMerge w:val="continue"/>
            <w:tcBorders>
              <w:top w:val="nil"/>
            </w:tcBorders>
            <w:vAlign w:val="top"/>
          </w:tcPr>
          <w:p w14:paraId="25785E2E">
            <w:pPr>
              <w:rPr>
                <w:rFonts w:ascii="Arial"/>
                <w:sz w:val="21"/>
              </w:rPr>
            </w:pPr>
          </w:p>
        </w:tc>
        <w:tc>
          <w:tcPr>
            <w:tcW w:w="578" w:type="dxa"/>
            <w:vMerge w:val="continue"/>
            <w:tcBorders>
              <w:top w:val="nil"/>
            </w:tcBorders>
            <w:vAlign w:val="top"/>
          </w:tcPr>
          <w:p w14:paraId="29B7518F">
            <w:pPr>
              <w:rPr>
                <w:rFonts w:ascii="Arial"/>
                <w:sz w:val="21"/>
              </w:rPr>
            </w:pPr>
          </w:p>
        </w:tc>
        <w:tc>
          <w:tcPr>
            <w:tcW w:w="694" w:type="dxa"/>
            <w:vMerge w:val="continue"/>
            <w:tcBorders>
              <w:top w:val="nil"/>
            </w:tcBorders>
            <w:vAlign w:val="top"/>
          </w:tcPr>
          <w:p w14:paraId="183E78B3">
            <w:pPr>
              <w:rPr>
                <w:rFonts w:ascii="Arial"/>
                <w:sz w:val="21"/>
              </w:rPr>
            </w:pPr>
          </w:p>
        </w:tc>
        <w:tc>
          <w:tcPr>
            <w:tcW w:w="704" w:type="dxa"/>
            <w:vAlign w:val="top"/>
          </w:tcPr>
          <w:p w14:paraId="20A5B31C">
            <w:pPr>
              <w:pStyle w:val="6"/>
              <w:spacing w:before="103" w:line="188" w:lineRule="auto"/>
              <w:ind w:left="187"/>
            </w:pPr>
            <w:r>
              <w:rPr>
                <w:spacing w:val="-7"/>
              </w:rPr>
              <w:t>1.75</w:t>
            </w:r>
          </w:p>
        </w:tc>
        <w:tc>
          <w:tcPr>
            <w:tcW w:w="655" w:type="dxa"/>
            <w:vAlign w:val="top"/>
          </w:tcPr>
          <w:p w14:paraId="6F9F3000">
            <w:pPr>
              <w:pStyle w:val="6"/>
              <w:spacing w:before="103" w:line="188" w:lineRule="auto"/>
              <w:ind w:left="225"/>
            </w:pPr>
            <w:r>
              <w:rPr>
                <w:spacing w:val="-5"/>
              </w:rPr>
              <w:t>50</w:t>
            </w:r>
          </w:p>
        </w:tc>
      </w:tr>
      <w:tr w14:paraId="306FA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restart"/>
            <w:tcBorders>
              <w:bottom w:val="nil"/>
            </w:tcBorders>
            <w:vAlign w:val="top"/>
          </w:tcPr>
          <w:p w14:paraId="3D411CBA">
            <w:pPr>
              <w:spacing w:before="242" w:line="219" w:lineRule="auto"/>
              <w:ind w:left="127"/>
              <w:rPr>
                <w:rFonts w:ascii="宋体" w:hAnsi="宋体" w:eastAsia="宋体" w:cs="宋体"/>
                <w:sz w:val="21"/>
                <w:szCs w:val="21"/>
              </w:rPr>
            </w:pPr>
            <w:r>
              <w:rPr>
                <w:rFonts w:ascii="宋体" w:hAnsi="宋体" w:eastAsia="宋体" w:cs="宋体"/>
                <w:spacing w:val="-4"/>
                <w:sz w:val="21"/>
                <w:szCs w:val="21"/>
              </w:rPr>
              <w:t>育肥楼</w:t>
            </w:r>
          </w:p>
        </w:tc>
        <w:tc>
          <w:tcPr>
            <w:tcW w:w="984" w:type="dxa"/>
            <w:vAlign w:val="top"/>
          </w:tcPr>
          <w:p w14:paraId="4DE6E163">
            <w:pPr>
              <w:pStyle w:val="6"/>
              <w:spacing w:before="107" w:line="195" w:lineRule="auto"/>
              <w:ind w:left="293"/>
              <w:rPr>
                <w:sz w:val="14"/>
                <w:szCs w:val="14"/>
              </w:rPr>
            </w:pPr>
            <w:r>
              <w:t>NH</w:t>
            </w:r>
            <w:r>
              <w:rPr>
                <w:spacing w:val="1"/>
                <w:position w:val="-2"/>
                <w:sz w:val="14"/>
                <w:szCs w:val="14"/>
              </w:rPr>
              <w:t>3</w:t>
            </w:r>
          </w:p>
        </w:tc>
        <w:tc>
          <w:tcPr>
            <w:tcW w:w="986" w:type="dxa"/>
            <w:vAlign w:val="top"/>
          </w:tcPr>
          <w:p w14:paraId="00CFF3F0">
            <w:pPr>
              <w:pStyle w:val="6"/>
              <w:spacing w:before="104" w:line="188" w:lineRule="auto"/>
              <w:ind w:left="361"/>
            </w:pPr>
            <w:r>
              <w:rPr>
                <w:spacing w:val="-3"/>
              </w:rPr>
              <w:t>0.2</w:t>
            </w:r>
          </w:p>
        </w:tc>
        <w:tc>
          <w:tcPr>
            <w:tcW w:w="1130" w:type="dxa"/>
            <w:vAlign w:val="top"/>
          </w:tcPr>
          <w:p w14:paraId="1E522476">
            <w:pPr>
              <w:pStyle w:val="6"/>
              <w:spacing w:before="104" w:line="188" w:lineRule="auto"/>
              <w:ind w:left="276"/>
            </w:pPr>
            <w:r>
              <w:rPr>
                <w:spacing w:val="-2"/>
              </w:rPr>
              <w:t>0.0758</w:t>
            </w:r>
          </w:p>
        </w:tc>
        <w:tc>
          <w:tcPr>
            <w:tcW w:w="577" w:type="dxa"/>
            <w:vMerge w:val="restart"/>
            <w:tcBorders>
              <w:bottom w:val="nil"/>
            </w:tcBorders>
            <w:vAlign w:val="top"/>
          </w:tcPr>
          <w:p w14:paraId="2CEA9726">
            <w:pPr>
              <w:pStyle w:val="6"/>
              <w:spacing w:before="279" w:line="188" w:lineRule="auto"/>
              <w:ind w:left="127"/>
            </w:pPr>
            <w:r>
              <w:rPr>
                <w:spacing w:val="-1"/>
              </w:rPr>
              <w:t>400</w:t>
            </w:r>
          </w:p>
        </w:tc>
        <w:tc>
          <w:tcPr>
            <w:tcW w:w="577" w:type="dxa"/>
            <w:vMerge w:val="restart"/>
            <w:tcBorders>
              <w:bottom w:val="nil"/>
            </w:tcBorders>
            <w:vAlign w:val="top"/>
          </w:tcPr>
          <w:p w14:paraId="2277B611">
            <w:pPr>
              <w:pStyle w:val="6"/>
              <w:spacing w:before="279" w:line="188" w:lineRule="auto"/>
              <w:ind w:left="105"/>
            </w:pPr>
            <w:r>
              <w:rPr>
                <w:spacing w:val="-2"/>
              </w:rPr>
              <w:t>0.01</w:t>
            </w:r>
          </w:p>
        </w:tc>
        <w:tc>
          <w:tcPr>
            <w:tcW w:w="577" w:type="dxa"/>
            <w:vMerge w:val="restart"/>
            <w:tcBorders>
              <w:bottom w:val="nil"/>
            </w:tcBorders>
            <w:vAlign w:val="top"/>
          </w:tcPr>
          <w:p w14:paraId="659858F9">
            <w:pPr>
              <w:pStyle w:val="6"/>
              <w:spacing w:before="279" w:line="188" w:lineRule="auto"/>
              <w:ind w:left="122"/>
            </w:pPr>
            <w:r>
              <w:rPr>
                <w:spacing w:val="-7"/>
              </w:rPr>
              <w:t>1.85</w:t>
            </w:r>
          </w:p>
        </w:tc>
        <w:tc>
          <w:tcPr>
            <w:tcW w:w="578" w:type="dxa"/>
            <w:vMerge w:val="restart"/>
            <w:tcBorders>
              <w:bottom w:val="nil"/>
            </w:tcBorders>
            <w:vAlign w:val="top"/>
          </w:tcPr>
          <w:p w14:paraId="226C1EB7">
            <w:pPr>
              <w:pStyle w:val="6"/>
              <w:spacing w:before="279" w:line="188" w:lineRule="auto"/>
              <w:ind w:left="106"/>
            </w:pPr>
            <w:r>
              <w:rPr>
                <w:spacing w:val="-2"/>
              </w:rPr>
              <w:t>0.78</w:t>
            </w:r>
          </w:p>
        </w:tc>
        <w:tc>
          <w:tcPr>
            <w:tcW w:w="694" w:type="dxa"/>
            <w:vMerge w:val="restart"/>
            <w:tcBorders>
              <w:bottom w:val="nil"/>
            </w:tcBorders>
            <w:vAlign w:val="top"/>
          </w:tcPr>
          <w:p w14:paraId="5D41175D">
            <w:pPr>
              <w:pStyle w:val="6"/>
              <w:spacing w:before="279" w:line="188" w:lineRule="auto"/>
              <w:ind w:left="101"/>
            </w:pPr>
            <w:r>
              <w:rPr>
                <w:spacing w:val="-5"/>
              </w:rPr>
              <w:t>15328</w:t>
            </w:r>
          </w:p>
        </w:tc>
        <w:tc>
          <w:tcPr>
            <w:tcW w:w="704" w:type="dxa"/>
            <w:vAlign w:val="top"/>
          </w:tcPr>
          <w:p w14:paraId="732C8005">
            <w:pPr>
              <w:pStyle w:val="6"/>
              <w:spacing w:before="104" w:line="188" w:lineRule="auto"/>
              <w:ind w:left="172"/>
            </w:pPr>
            <w:r>
              <w:rPr>
                <w:spacing w:val="-2"/>
              </w:rPr>
              <w:t>6.56</w:t>
            </w:r>
          </w:p>
        </w:tc>
        <w:tc>
          <w:tcPr>
            <w:tcW w:w="655" w:type="dxa"/>
            <w:vAlign w:val="top"/>
          </w:tcPr>
          <w:p w14:paraId="55904D9F">
            <w:pPr>
              <w:pStyle w:val="6"/>
              <w:spacing w:before="104" w:line="188" w:lineRule="auto"/>
              <w:ind w:left="225"/>
            </w:pPr>
            <w:r>
              <w:rPr>
                <w:spacing w:val="-3"/>
              </w:rPr>
              <w:t>50</w:t>
            </w:r>
          </w:p>
        </w:tc>
      </w:tr>
      <w:tr w14:paraId="36AE8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58" w:type="dxa"/>
            <w:vMerge w:val="continue"/>
            <w:tcBorders>
              <w:top w:val="nil"/>
            </w:tcBorders>
            <w:vAlign w:val="top"/>
          </w:tcPr>
          <w:p w14:paraId="71FB6ED4">
            <w:pPr>
              <w:rPr>
                <w:rFonts w:ascii="Arial"/>
                <w:sz w:val="21"/>
              </w:rPr>
            </w:pPr>
          </w:p>
        </w:tc>
        <w:tc>
          <w:tcPr>
            <w:tcW w:w="984" w:type="dxa"/>
            <w:vAlign w:val="top"/>
          </w:tcPr>
          <w:p w14:paraId="36D707E7">
            <w:pPr>
              <w:pStyle w:val="6"/>
              <w:spacing w:before="104" w:line="198" w:lineRule="auto"/>
              <w:ind w:left="316"/>
            </w:pPr>
            <w:r>
              <w:rPr>
                <w:spacing w:val="-2"/>
              </w:rPr>
              <w:t>H</w:t>
            </w:r>
            <w:r>
              <w:rPr>
                <w:spacing w:val="-2"/>
                <w:position w:val="-2"/>
                <w:sz w:val="14"/>
                <w:szCs w:val="14"/>
              </w:rPr>
              <w:t>2</w:t>
            </w:r>
            <w:r>
              <w:rPr>
                <w:spacing w:val="-2"/>
              </w:rPr>
              <w:t>S</w:t>
            </w:r>
          </w:p>
        </w:tc>
        <w:tc>
          <w:tcPr>
            <w:tcW w:w="986" w:type="dxa"/>
            <w:vAlign w:val="top"/>
          </w:tcPr>
          <w:p w14:paraId="198305E2">
            <w:pPr>
              <w:pStyle w:val="6"/>
              <w:spacing w:before="104" w:line="188" w:lineRule="auto"/>
              <w:ind w:left="308"/>
            </w:pPr>
            <w:r>
              <w:rPr>
                <w:spacing w:val="-2"/>
              </w:rPr>
              <w:t>0.01</w:t>
            </w:r>
          </w:p>
        </w:tc>
        <w:tc>
          <w:tcPr>
            <w:tcW w:w="1130" w:type="dxa"/>
            <w:vAlign w:val="top"/>
          </w:tcPr>
          <w:p w14:paraId="54726229">
            <w:pPr>
              <w:pStyle w:val="6"/>
              <w:spacing w:before="104" w:line="188" w:lineRule="auto"/>
              <w:ind w:left="276"/>
            </w:pPr>
            <w:r>
              <w:rPr>
                <w:spacing w:val="-2"/>
              </w:rPr>
              <w:t>0.0030</w:t>
            </w:r>
          </w:p>
        </w:tc>
        <w:tc>
          <w:tcPr>
            <w:tcW w:w="577" w:type="dxa"/>
            <w:vMerge w:val="continue"/>
            <w:tcBorders>
              <w:top w:val="nil"/>
            </w:tcBorders>
            <w:vAlign w:val="top"/>
          </w:tcPr>
          <w:p w14:paraId="5794F402">
            <w:pPr>
              <w:rPr>
                <w:rFonts w:ascii="Arial"/>
                <w:sz w:val="21"/>
              </w:rPr>
            </w:pPr>
          </w:p>
        </w:tc>
        <w:tc>
          <w:tcPr>
            <w:tcW w:w="577" w:type="dxa"/>
            <w:vMerge w:val="continue"/>
            <w:tcBorders>
              <w:top w:val="nil"/>
            </w:tcBorders>
            <w:vAlign w:val="top"/>
          </w:tcPr>
          <w:p w14:paraId="4578D0DB">
            <w:pPr>
              <w:rPr>
                <w:rFonts w:ascii="Arial"/>
                <w:sz w:val="21"/>
              </w:rPr>
            </w:pPr>
          </w:p>
        </w:tc>
        <w:tc>
          <w:tcPr>
            <w:tcW w:w="577" w:type="dxa"/>
            <w:vMerge w:val="continue"/>
            <w:tcBorders>
              <w:top w:val="nil"/>
            </w:tcBorders>
            <w:vAlign w:val="top"/>
          </w:tcPr>
          <w:p w14:paraId="5B44D0CC">
            <w:pPr>
              <w:rPr>
                <w:rFonts w:ascii="Arial"/>
                <w:sz w:val="21"/>
              </w:rPr>
            </w:pPr>
          </w:p>
        </w:tc>
        <w:tc>
          <w:tcPr>
            <w:tcW w:w="578" w:type="dxa"/>
            <w:vMerge w:val="continue"/>
            <w:tcBorders>
              <w:top w:val="nil"/>
            </w:tcBorders>
            <w:vAlign w:val="top"/>
          </w:tcPr>
          <w:p w14:paraId="7F0955E5">
            <w:pPr>
              <w:rPr>
                <w:rFonts w:ascii="Arial"/>
                <w:sz w:val="21"/>
              </w:rPr>
            </w:pPr>
          </w:p>
        </w:tc>
        <w:tc>
          <w:tcPr>
            <w:tcW w:w="694" w:type="dxa"/>
            <w:vMerge w:val="continue"/>
            <w:tcBorders>
              <w:top w:val="nil"/>
            </w:tcBorders>
            <w:vAlign w:val="top"/>
          </w:tcPr>
          <w:p w14:paraId="38704F4B">
            <w:pPr>
              <w:rPr>
                <w:rFonts w:ascii="Arial"/>
                <w:sz w:val="21"/>
              </w:rPr>
            </w:pPr>
          </w:p>
        </w:tc>
        <w:tc>
          <w:tcPr>
            <w:tcW w:w="704" w:type="dxa"/>
            <w:vAlign w:val="top"/>
          </w:tcPr>
          <w:p w14:paraId="18817D22">
            <w:pPr>
              <w:pStyle w:val="6"/>
              <w:spacing w:before="104" w:line="188" w:lineRule="auto"/>
              <w:ind w:left="166"/>
            </w:pPr>
            <w:r>
              <w:rPr>
                <w:spacing w:val="-1"/>
              </w:rPr>
              <w:t>4.86</w:t>
            </w:r>
          </w:p>
        </w:tc>
        <w:tc>
          <w:tcPr>
            <w:tcW w:w="655" w:type="dxa"/>
            <w:vAlign w:val="top"/>
          </w:tcPr>
          <w:p w14:paraId="3BA3C87B">
            <w:pPr>
              <w:pStyle w:val="6"/>
              <w:spacing w:before="104" w:line="188" w:lineRule="auto"/>
              <w:ind w:left="225"/>
            </w:pPr>
            <w:r>
              <w:rPr>
                <w:spacing w:val="-5"/>
              </w:rPr>
              <w:t>50</w:t>
            </w:r>
          </w:p>
        </w:tc>
      </w:tr>
      <w:tr w14:paraId="7B468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restart"/>
            <w:tcBorders>
              <w:bottom w:val="nil"/>
            </w:tcBorders>
            <w:vAlign w:val="top"/>
          </w:tcPr>
          <w:p w14:paraId="16444CD6">
            <w:pPr>
              <w:spacing w:before="243" w:line="220" w:lineRule="auto"/>
              <w:ind w:left="120"/>
              <w:rPr>
                <w:rFonts w:ascii="宋体" w:hAnsi="宋体" w:eastAsia="宋体" w:cs="宋体"/>
                <w:sz w:val="21"/>
                <w:szCs w:val="21"/>
              </w:rPr>
            </w:pPr>
            <w:r>
              <w:rPr>
                <w:rFonts w:ascii="宋体" w:hAnsi="宋体" w:eastAsia="宋体" w:cs="宋体"/>
                <w:spacing w:val="-3"/>
                <w:sz w:val="21"/>
                <w:szCs w:val="21"/>
              </w:rPr>
              <w:t>转猪舍</w:t>
            </w:r>
          </w:p>
        </w:tc>
        <w:tc>
          <w:tcPr>
            <w:tcW w:w="984" w:type="dxa"/>
            <w:vAlign w:val="top"/>
          </w:tcPr>
          <w:p w14:paraId="3632F8A9">
            <w:pPr>
              <w:pStyle w:val="6"/>
              <w:spacing w:before="107" w:line="195" w:lineRule="auto"/>
              <w:ind w:left="293"/>
              <w:rPr>
                <w:sz w:val="14"/>
                <w:szCs w:val="14"/>
              </w:rPr>
            </w:pPr>
            <w:r>
              <w:t>NH</w:t>
            </w:r>
            <w:r>
              <w:rPr>
                <w:spacing w:val="1"/>
                <w:position w:val="-2"/>
                <w:sz w:val="14"/>
                <w:szCs w:val="14"/>
              </w:rPr>
              <w:t>3</w:t>
            </w:r>
          </w:p>
        </w:tc>
        <w:tc>
          <w:tcPr>
            <w:tcW w:w="986" w:type="dxa"/>
            <w:vAlign w:val="top"/>
          </w:tcPr>
          <w:p w14:paraId="3D832AA6">
            <w:pPr>
              <w:pStyle w:val="6"/>
              <w:spacing w:before="104" w:line="188" w:lineRule="auto"/>
              <w:ind w:left="361"/>
            </w:pPr>
            <w:r>
              <w:rPr>
                <w:spacing w:val="-3"/>
              </w:rPr>
              <w:t>0.2</w:t>
            </w:r>
          </w:p>
        </w:tc>
        <w:tc>
          <w:tcPr>
            <w:tcW w:w="1130" w:type="dxa"/>
            <w:vAlign w:val="top"/>
          </w:tcPr>
          <w:p w14:paraId="63834D21">
            <w:pPr>
              <w:pStyle w:val="6"/>
              <w:spacing w:before="104" w:line="188" w:lineRule="auto"/>
              <w:ind w:left="276"/>
            </w:pPr>
            <w:r>
              <w:rPr>
                <w:spacing w:val="-2"/>
              </w:rPr>
              <w:t>0.0025</w:t>
            </w:r>
          </w:p>
        </w:tc>
        <w:tc>
          <w:tcPr>
            <w:tcW w:w="577" w:type="dxa"/>
            <w:vMerge w:val="restart"/>
            <w:tcBorders>
              <w:bottom w:val="nil"/>
            </w:tcBorders>
            <w:vAlign w:val="top"/>
          </w:tcPr>
          <w:p w14:paraId="760F7D55">
            <w:pPr>
              <w:pStyle w:val="6"/>
              <w:spacing w:before="279" w:line="188" w:lineRule="auto"/>
              <w:ind w:left="127"/>
            </w:pPr>
            <w:r>
              <w:rPr>
                <w:spacing w:val="-1"/>
              </w:rPr>
              <w:t>400</w:t>
            </w:r>
          </w:p>
        </w:tc>
        <w:tc>
          <w:tcPr>
            <w:tcW w:w="577" w:type="dxa"/>
            <w:vMerge w:val="restart"/>
            <w:tcBorders>
              <w:bottom w:val="nil"/>
            </w:tcBorders>
            <w:vAlign w:val="top"/>
          </w:tcPr>
          <w:p w14:paraId="1C7F6A8D">
            <w:pPr>
              <w:pStyle w:val="6"/>
              <w:spacing w:before="279" w:line="188" w:lineRule="auto"/>
              <w:ind w:left="105"/>
            </w:pPr>
            <w:r>
              <w:rPr>
                <w:spacing w:val="-2"/>
              </w:rPr>
              <w:t>0.01</w:t>
            </w:r>
          </w:p>
        </w:tc>
        <w:tc>
          <w:tcPr>
            <w:tcW w:w="577" w:type="dxa"/>
            <w:vMerge w:val="restart"/>
            <w:tcBorders>
              <w:bottom w:val="nil"/>
            </w:tcBorders>
            <w:vAlign w:val="top"/>
          </w:tcPr>
          <w:p w14:paraId="69153DD0">
            <w:pPr>
              <w:pStyle w:val="6"/>
              <w:spacing w:before="279" w:line="188" w:lineRule="auto"/>
              <w:ind w:left="122"/>
            </w:pPr>
            <w:r>
              <w:rPr>
                <w:spacing w:val="-7"/>
              </w:rPr>
              <w:t>1.85</w:t>
            </w:r>
          </w:p>
        </w:tc>
        <w:tc>
          <w:tcPr>
            <w:tcW w:w="578" w:type="dxa"/>
            <w:vMerge w:val="restart"/>
            <w:tcBorders>
              <w:bottom w:val="nil"/>
            </w:tcBorders>
            <w:vAlign w:val="top"/>
          </w:tcPr>
          <w:p w14:paraId="35B485AA">
            <w:pPr>
              <w:pStyle w:val="6"/>
              <w:spacing w:before="279" w:line="188" w:lineRule="auto"/>
              <w:ind w:left="106"/>
            </w:pPr>
            <w:r>
              <w:rPr>
                <w:spacing w:val="-2"/>
              </w:rPr>
              <w:t>0.78</w:t>
            </w:r>
          </w:p>
        </w:tc>
        <w:tc>
          <w:tcPr>
            <w:tcW w:w="694" w:type="dxa"/>
            <w:vMerge w:val="restart"/>
            <w:tcBorders>
              <w:bottom w:val="nil"/>
            </w:tcBorders>
            <w:vAlign w:val="top"/>
          </w:tcPr>
          <w:p w14:paraId="47974160">
            <w:pPr>
              <w:pStyle w:val="6"/>
              <w:spacing w:before="279" w:line="188" w:lineRule="auto"/>
              <w:ind w:left="187"/>
            </w:pPr>
            <w:r>
              <w:rPr>
                <w:spacing w:val="-2"/>
              </w:rPr>
              <w:t>260</w:t>
            </w:r>
          </w:p>
        </w:tc>
        <w:tc>
          <w:tcPr>
            <w:tcW w:w="704" w:type="dxa"/>
            <w:vAlign w:val="top"/>
          </w:tcPr>
          <w:p w14:paraId="7F4528F4">
            <w:pPr>
              <w:pStyle w:val="6"/>
              <w:spacing w:before="104" w:line="188" w:lineRule="auto"/>
              <w:ind w:left="187"/>
            </w:pPr>
            <w:r>
              <w:rPr>
                <w:spacing w:val="-6"/>
              </w:rPr>
              <w:t>1.20</w:t>
            </w:r>
          </w:p>
        </w:tc>
        <w:tc>
          <w:tcPr>
            <w:tcW w:w="655" w:type="dxa"/>
            <w:vAlign w:val="top"/>
          </w:tcPr>
          <w:p w14:paraId="0655A836">
            <w:pPr>
              <w:pStyle w:val="6"/>
              <w:spacing w:before="104" w:line="188" w:lineRule="auto"/>
              <w:ind w:left="225"/>
            </w:pPr>
            <w:r>
              <w:rPr>
                <w:spacing w:val="-3"/>
              </w:rPr>
              <w:t>50</w:t>
            </w:r>
          </w:p>
        </w:tc>
      </w:tr>
      <w:tr w14:paraId="49D32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8" w:type="dxa"/>
            <w:vMerge w:val="continue"/>
            <w:tcBorders>
              <w:top w:val="nil"/>
            </w:tcBorders>
            <w:vAlign w:val="top"/>
          </w:tcPr>
          <w:p w14:paraId="2039471B">
            <w:pPr>
              <w:rPr>
                <w:rFonts w:ascii="Arial"/>
                <w:sz w:val="21"/>
              </w:rPr>
            </w:pPr>
          </w:p>
        </w:tc>
        <w:tc>
          <w:tcPr>
            <w:tcW w:w="984" w:type="dxa"/>
            <w:vAlign w:val="top"/>
          </w:tcPr>
          <w:p w14:paraId="0A400EF3">
            <w:pPr>
              <w:pStyle w:val="6"/>
              <w:spacing w:before="105" w:line="198" w:lineRule="auto"/>
              <w:ind w:left="316"/>
            </w:pPr>
            <w:r>
              <w:rPr>
                <w:spacing w:val="-2"/>
              </w:rPr>
              <w:t>H</w:t>
            </w:r>
            <w:r>
              <w:rPr>
                <w:spacing w:val="-2"/>
                <w:position w:val="-2"/>
                <w:sz w:val="14"/>
                <w:szCs w:val="14"/>
              </w:rPr>
              <w:t>2</w:t>
            </w:r>
            <w:r>
              <w:rPr>
                <w:spacing w:val="-2"/>
              </w:rPr>
              <w:t>S</w:t>
            </w:r>
          </w:p>
        </w:tc>
        <w:tc>
          <w:tcPr>
            <w:tcW w:w="986" w:type="dxa"/>
            <w:vAlign w:val="top"/>
          </w:tcPr>
          <w:p w14:paraId="11018A6F">
            <w:pPr>
              <w:pStyle w:val="6"/>
              <w:spacing w:before="105" w:line="188" w:lineRule="auto"/>
              <w:ind w:left="308"/>
            </w:pPr>
            <w:r>
              <w:rPr>
                <w:spacing w:val="-2"/>
              </w:rPr>
              <w:t>0.01</w:t>
            </w:r>
          </w:p>
        </w:tc>
        <w:tc>
          <w:tcPr>
            <w:tcW w:w="1130" w:type="dxa"/>
            <w:vAlign w:val="top"/>
          </w:tcPr>
          <w:p w14:paraId="63771037">
            <w:pPr>
              <w:pStyle w:val="6"/>
              <w:spacing w:before="105" w:line="188" w:lineRule="auto"/>
              <w:ind w:left="276"/>
            </w:pPr>
            <w:r>
              <w:rPr>
                <w:spacing w:val="-2"/>
              </w:rPr>
              <w:t>0.0001</w:t>
            </w:r>
          </w:p>
        </w:tc>
        <w:tc>
          <w:tcPr>
            <w:tcW w:w="577" w:type="dxa"/>
            <w:vMerge w:val="continue"/>
            <w:tcBorders>
              <w:top w:val="nil"/>
            </w:tcBorders>
            <w:vAlign w:val="top"/>
          </w:tcPr>
          <w:p w14:paraId="723421FA">
            <w:pPr>
              <w:rPr>
                <w:rFonts w:ascii="Arial"/>
                <w:sz w:val="21"/>
              </w:rPr>
            </w:pPr>
          </w:p>
        </w:tc>
        <w:tc>
          <w:tcPr>
            <w:tcW w:w="577" w:type="dxa"/>
            <w:vMerge w:val="continue"/>
            <w:tcBorders>
              <w:top w:val="nil"/>
            </w:tcBorders>
            <w:vAlign w:val="top"/>
          </w:tcPr>
          <w:p w14:paraId="5B45E540">
            <w:pPr>
              <w:rPr>
                <w:rFonts w:ascii="Arial"/>
                <w:sz w:val="21"/>
              </w:rPr>
            </w:pPr>
          </w:p>
        </w:tc>
        <w:tc>
          <w:tcPr>
            <w:tcW w:w="577" w:type="dxa"/>
            <w:vMerge w:val="continue"/>
            <w:tcBorders>
              <w:top w:val="nil"/>
            </w:tcBorders>
            <w:vAlign w:val="top"/>
          </w:tcPr>
          <w:p w14:paraId="064FFCA9">
            <w:pPr>
              <w:rPr>
                <w:rFonts w:ascii="Arial"/>
                <w:sz w:val="21"/>
              </w:rPr>
            </w:pPr>
          </w:p>
        </w:tc>
        <w:tc>
          <w:tcPr>
            <w:tcW w:w="578" w:type="dxa"/>
            <w:vMerge w:val="continue"/>
            <w:tcBorders>
              <w:top w:val="nil"/>
            </w:tcBorders>
            <w:vAlign w:val="top"/>
          </w:tcPr>
          <w:p w14:paraId="0D3568FD">
            <w:pPr>
              <w:rPr>
                <w:rFonts w:ascii="Arial"/>
                <w:sz w:val="21"/>
              </w:rPr>
            </w:pPr>
          </w:p>
        </w:tc>
        <w:tc>
          <w:tcPr>
            <w:tcW w:w="694" w:type="dxa"/>
            <w:vMerge w:val="continue"/>
            <w:tcBorders>
              <w:top w:val="nil"/>
            </w:tcBorders>
            <w:vAlign w:val="top"/>
          </w:tcPr>
          <w:p w14:paraId="3731035D">
            <w:pPr>
              <w:rPr>
                <w:rFonts w:ascii="Arial"/>
                <w:sz w:val="21"/>
              </w:rPr>
            </w:pPr>
          </w:p>
        </w:tc>
        <w:tc>
          <w:tcPr>
            <w:tcW w:w="704" w:type="dxa"/>
            <w:vAlign w:val="top"/>
          </w:tcPr>
          <w:p w14:paraId="5D7701C2">
            <w:pPr>
              <w:pStyle w:val="6"/>
              <w:spacing w:before="105" w:line="188" w:lineRule="auto"/>
              <w:ind w:left="170"/>
            </w:pPr>
            <w:r>
              <w:rPr>
                <w:spacing w:val="-2"/>
              </w:rPr>
              <w:t>0.90</w:t>
            </w:r>
          </w:p>
        </w:tc>
        <w:tc>
          <w:tcPr>
            <w:tcW w:w="655" w:type="dxa"/>
            <w:vAlign w:val="top"/>
          </w:tcPr>
          <w:p w14:paraId="1C9DAB31">
            <w:pPr>
              <w:pStyle w:val="6"/>
              <w:spacing w:before="105" w:line="188" w:lineRule="auto"/>
              <w:ind w:left="225"/>
            </w:pPr>
            <w:r>
              <w:rPr>
                <w:spacing w:val="-5"/>
              </w:rPr>
              <w:t>50</w:t>
            </w:r>
          </w:p>
        </w:tc>
      </w:tr>
    </w:tbl>
    <w:p w14:paraId="0DC3C2D0">
      <w:pPr>
        <w:spacing w:before="234" w:line="360" w:lineRule="auto"/>
        <w:ind w:left="38" w:right="85" w:firstLine="480"/>
        <w:jc w:val="both"/>
        <w:rPr>
          <w:rFonts w:ascii="宋体" w:hAnsi="宋体" w:eastAsia="宋体" w:cs="宋体"/>
          <w:sz w:val="24"/>
          <w:szCs w:val="24"/>
        </w:rPr>
      </w:pPr>
      <w:r>
        <w:rPr>
          <w:rFonts w:ascii="宋体" w:hAnsi="宋体" w:eastAsia="宋体" w:cs="宋体"/>
          <w:spacing w:val="46"/>
          <w:sz w:val="24"/>
          <w:szCs w:val="24"/>
        </w:rPr>
        <w:t>根据《大气有害物质无组织排放卫生</w:t>
      </w:r>
      <w:r>
        <w:rPr>
          <w:rFonts w:ascii="宋体" w:hAnsi="宋体" w:eastAsia="宋体" w:cs="宋体"/>
          <w:spacing w:val="-35"/>
          <w:sz w:val="24"/>
          <w:szCs w:val="24"/>
        </w:rPr>
        <w:t xml:space="preserve"> </w:t>
      </w:r>
      <w:r>
        <w:rPr>
          <w:rFonts w:ascii="宋体" w:hAnsi="宋体" w:eastAsia="宋体" w:cs="宋体"/>
          <w:spacing w:val="46"/>
          <w:sz w:val="24"/>
          <w:szCs w:val="24"/>
        </w:rPr>
        <w:t>防护距离推导技术导则》</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/T39499-2020</w:t>
      </w:r>
      <w:r>
        <w:rPr>
          <w:rFonts w:ascii="宋体" w:hAnsi="宋体" w:eastAsia="宋体" w:cs="宋体"/>
          <w:spacing w:val="3"/>
          <w:sz w:val="24"/>
          <w:szCs w:val="24"/>
        </w:rPr>
        <w:t>）关于多种特征大气</w:t>
      </w:r>
      <w:r>
        <w:rPr>
          <w:rFonts w:ascii="宋体" w:hAnsi="宋体" w:eastAsia="宋体" w:cs="宋体"/>
          <w:spacing w:val="2"/>
          <w:sz w:val="24"/>
          <w:szCs w:val="24"/>
        </w:rPr>
        <w:t>有害物质终值的确定：当企业某生产单</w:t>
      </w:r>
      <w:r>
        <w:rPr>
          <w:rFonts w:ascii="宋体" w:hAnsi="宋体" w:eastAsia="宋体" w:cs="宋体"/>
          <w:spacing w:val="-3"/>
          <w:sz w:val="24"/>
          <w:szCs w:val="24"/>
        </w:rPr>
        <w:t>元的无组织排放存在多种特征大气有害物质时，如果分别推导出的卫生防护距离初值在同一级别时，则该企业的卫生防护距离终值应提高一级；卫生防护距离初</w:t>
      </w:r>
      <w:r>
        <w:rPr>
          <w:rFonts w:ascii="宋体" w:hAnsi="宋体" w:eastAsia="宋体" w:cs="宋体"/>
          <w:spacing w:val="-2"/>
          <w:sz w:val="24"/>
          <w:szCs w:val="24"/>
        </w:rPr>
        <w:t>值不在同一级别的，以卫生防护距离终值较大者为准。</w:t>
      </w:r>
    </w:p>
    <w:p w14:paraId="4B284F92">
      <w:pPr>
        <w:spacing w:before="1" w:line="361" w:lineRule="auto"/>
        <w:ind w:left="39" w:firstLine="480"/>
        <w:jc w:val="both"/>
        <w:rPr>
          <w:rFonts w:ascii="宋体" w:hAnsi="宋体" w:eastAsia="宋体" w:cs="宋体"/>
          <w:sz w:val="24"/>
          <w:szCs w:val="24"/>
        </w:rPr>
      </w:pPr>
      <w:r>
        <w:rPr>
          <w:rFonts w:ascii="宋体" w:hAnsi="宋体" w:eastAsia="宋体" w:cs="宋体"/>
          <w:sz w:val="24"/>
          <w:szCs w:val="24"/>
        </w:rPr>
        <w:t>本项目堆粪棚、污水处理站、保育楼、育肥楼、转猪舍无组织排放存在</w:t>
      </w:r>
      <w:r>
        <w:rPr>
          <w:rFonts w:ascii="Times New Roman" w:hAnsi="Times New Roman" w:eastAsia="Times New Roman" w:cs="Times New Roman"/>
          <w:sz w:val="24"/>
          <w:szCs w:val="24"/>
        </w:rPr>
        <w:t>2</w:t>
      </w:r>
      <w:r>
        <w:rPr>
          <w:rFonts w:ascii="宋体" w:hAnsi="宋体" w:eastAsia="宋体" w:cs="宋体"/>
          <w:sz w:val="24"/>
          <w:szCs w:val="24"/>
        </w:rPr>
        <w:t>种</w:t>
      </w:r>
      <w:r>
        <w:rPr>
          <w:rFonts w:ascii="宋体" w:hAnsi="宋体" w:eastAsia="宋体" w:cs="宋体"/>
          <w:spacing w:val="1"/>
          <w:sz w:val="24"/>
          <w:szCs w:val="24"/>
        </w:rPr>
        <w:t>特征大气有害物质（</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7"/>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7"/>
          <w:sz w:val="24"/>
          <w:szCs w:val="24"/>
        </w:rPr>
        <w:t>），</w:t>
      </w:r>
      <w:r>
        <w:rPr>
          <w:rFonts w:ascii="宋体" w:hAnsi="宋体" w:eastAsia="宋体" w:cs="宋体"/>
          <w:spacing w:val="1"/>
          <w:sz w:val="24"/>
          <w:szCs w:val="24"/>
        </w:rPr>
        <w:t>推导出的卫生防护距离初值均在</w:t>
      </w:r>
      <w:r>
        <w:rPr>
          <w:rFonts w:ascii="Times New Roman" w:hAnsi="Times New Roman" w:eastAsia="Times New Roman" w:cs="Times New Roman"/>
          <w:spacing w:val="1"/>
          <w:sz w:val="24"/>
          <w:szCs w:val="24"/>
        </w:rPr>
        <w:t>50m</w:t>
      </w:r>
      <w:r>
        <w:rPr>
          <w:rFonts w:ascii="宋体" w:hAnsi="宋体" w:eastAsia="宋体" w:cs="宋体"/>
          <w:spacing w:val="1"/>
          <w:sz w:val="24"/>
          <w:szCs w:val="24"/>
        </w:rPr>
        <w:t>级别，</w:t>
      </w:r>
      <w:r>
        <w:rPr>
          <w:rFonts w:ascii="宋体" w:hAnsi="宋体" w:eastAsia="宋体" w:cs="宋体"/>
          <w:spacing w:val="-1"/>
          <w:sz w:val="24"/>
          <w:szCs w:val="24"/>
        </w:rPr>
        <w:t>因此，本项目卫生防护距离终值应提高一级，确定本项目堆粪棚、污水处理站、</w:t>
      </w:r>
    </w:p>
    <w:p w14:paraId="26E10C26">
      <w:pPr>
        <w:spacing w:line="361" w:lineRule="auto"/>
        <w:rPr>
          <w:rFonts w:ascii="宋体" w:hAnsi="宋体" w:eastAsia="宋体" w:cs="宋体"/>
          <w:sz w:val="24"/>
          <w:szCs w:val="24"/>
        </w:rPr>
        <w:sectPr>
          <w:headerReference r:id="rId310" w:type="default"/>
          <w:footerReference r:id="rId311" w:type="default"/>
          <w:pgSz w:w="11905" w:h="16840"/>
          <w:pgMar w:top="1168" w:right="1712" w:bottom="1408" w:left="1770" w:header="828" w:footer="1244" w:gutter="0"/>
          <w:cols w:space="720" w:num="1"/>
        </w:sectPr>
      </w:pPr>
    </w:p>
    <w:p w14:paraId="0CA38175">
      <w:pPr>
        <w:pStyle w:val="2"/>
        <w:spacing w:line="306" w:lineRule="auto"/>
      </w:pPr>
    </w:p>
    <w:p w14:paraId="1A5472BF">
      <w:pPr>
        <w:spacing w:before="78" w:line="219" w:lineRule="auto"/>
        <w:ind w:left="40"/>
        <w:rPr>
          <w:rFonts w:ascii="宋体" w:hAnsi="宋体" w:eastAsia="宋体" w:cs="宋体"/>
          <w:sz w:val="24"/>
          <w:szCs w:val="24"/>
        </w:rPr>
      </w:pPr>
      <w:r>
        <w:rPr>
          <w:rFonts w:ascii="宋体" w:hAnsi="宋体" w:eastAsia="宋体" w:cs="宋体"/>
          <w:spacing w:val="-1"/>
          <w:sz w:val="24"/>
          <w:szCs w:val="24"/>
        </w:rPr>
        <w:t>保育楼、育肥楼、转猪舍的卫生防护距离终值为</w:t>
      </w:r>
      <w:r>
        <w:rPr>
          <w:rFonts w:ascii="Times New Roman" w:hAnsi="Times New Roman" w:eastAsia="Times New Roman" w:cs="Times New Roman"/>
          <w:spacing w:val="-1"/>
          <w:sz w:val="24"/>
          <w:szCs w:val="24"/>
        </w:rPr>
        <w:t>100m</w:t>
      </w:r>
      <w:r>
        <w:rPr>
          <w:rFonts w:ascii="宋体" w:hAnsi="宋体" w:eastAsia="宋体" w:cs="宋体"/>
          <w:spacing w:val="-1"/>
          <w:sz w:val="24"/>
          <w:szCs w:val="24"/>
        </w:rPr>
        <w:t>。</w:t>
      </w:r>
    </w:p>
    <w:p w14:paraId="1C00825D">
      <w:pPr>
        <w:spacing w:before="184" w:line="217" w:lineRule="auto"/>
        <w:ind w:left="519"/>
        <w:rPr>
          <w:rFonts w:ascii="宋体" w:hAnsi="宋体" w:eastAsia="宋体" w:cs="宋体"/>
          <w:sz w:val="24"/>
          <w:szCs w:val="24"/>
        </w:rPr>
      </w:pPr>
      <w:r>
        <w:rPr>
          <w:rFonts w:ascii="宋体" w:hAnsi="宋体" w:eastAsia="宋体" w:cs="宋体"/>
          <w:b/>
          <w:bCs/>
          <w:spacing w:val="-3"/>
          <w:sz w:val="24"/>
          <w:szCs w:val="24"/>
        </w:rPr>
        <w:t>②卫生防护距离的确定</w:t>
      </w:r>
    </w:p>
    <w:p w14:paraId="64169A78">
      <w:pPr>
        <w:spacing w:before="185" w:line="360" w:lineRule="auto"/>
        <w:ind w:left="38" w:right="83" w:firstLine="480"/>
        <w:rPr>
          <w:rFonts w:ascii="宋体" w:hAnsi="宋体" w:eastAsia="宋体" w:cs="宋体"/>
          <w:sz w:val="24"/>
          <w:szCs w:val="24"/>
        </w:rPr>
      </w:pPr>
      <w:r>
        <w:rPr>
          <w:rFonts w:ascii="宋体" w:hAnsi="宋体" w:eastAsia="宋体" w:cs="宋体"/>
          <w:spacing w:val="-2"/>
          <w:sz w:val="24"/>
          <w:szCs w:val="24"/>
        </w:rPr>
        <w:t>根据《村镇规划卫生规范》（</w:t>
      </w:r>
      <w:r>
        <w:rPr>
          <w:rFonts w:ascii="Times New Roman" w:hAnsi="Times New Roman" w:eastAsia="Times New Roman" w:cs="Times New Roman"/>
          <w:spacing w:val="-2"/>
          <w:sz w:val="24"/>
          <w:szCs w:val="24"/>
        </w:rPr>
        <w:t>GB1805</w:t>
      </w:r>
      <w:r>
        <w:rPr>
          <w:rFonts w:ascii="Times New Roman" w:hAnsi="Times New Roman" w:eastAsia="Times New Roman" w:cs="Times New Roman"/>
          <w:spacing w:val="-3"/>
          <w:sz w:val="24"/>
          <w:szCs w:val="24"/>
        </w:rPr>
        <w:t>5-2012</w:t>
      </w:r>
      <w:r>
        <w:rPr>
          <w:rFonts w:ascii="宋体" w:hAnsi="宋体" w:eastAsia="宋体" w:cs="宋体"/>
          <w:spacing w:val="-3"/>
          <w:sz w:val="24"/>
          <w:szCs w:val="24"/>
        </w:rPr>
        <w:t>）中</w:t>
      </w:r>
      <w:r>
        <w:fldChar w:fldCharType="begin"/>
      </w:r>
      <w:r>
        <w:instrText xml:space="preserve"> HYPERLINK "4.4.4.3" </w:instrText>
      </w:r>
      <w:r>
        <w:fldChar w:fldCharType="separate"/>
      </w:r>
      <w:r>
        <w:rPr>
          <w:rFonts w:ascii="Times New Roman" w:hAnsi="Times New Roman" w:eastAsia="Times New Roman" w:cs="Times New Roman"/>
          <w:spacing w:val="-3"/>
          <w:sz w:val="24"/>
          <w:szCs w:val="24"/>
        </w:rPr>
        <w:t>4.4.4.3</w:t>
      </w:r>
      <w:r>
        <w:rPr>
          <w:rFonts w:ascii="Times New Roman" w:hAnsi="Times New Roman" w:eastAsia="Times New Roman" w:cs="Times New Roman"/>
          <w:spacing w:val="-3"/>
          <w:sz w:val="24"/>
          <w:szCs w:val="24"/>
        </w:rPr>
        <w:fldChar w:fldCharType="end"/>
      </w:r>
      <w:r>
        <w:rPr>
          <w:rFonts w:ascii="宋体" w:hAnsi="宋体" w:eastAsia="宋体" w:cs="宋体"/>
          <w:spacing w:val="-3"/>
          <w:sz w:val="24"/>
          <w:szCs w:val="24"/>
        </w:rPr>
        <w:t>规定：在</w:t>
      </w:r>
      <w:r>
        <w:rPr>
          <w:rFonts w:ascii="宋体" w:hAnsi="宋体" w:eastAsia="宋体" w:cs="宋体"/>
          <w:b/>
          <w:bCs/>
          <w:spacing w:val="-3"/>
          <w:sz w:val="24"/>
          <w:szCs w:val="24"/>
        </w:rPr>
        <w:t>复杂地形条件</w:t>
      </w:r>
      <w:r>
        <w:rPr>
          <w:rFonts w:ascii="宋体" w:hAnsi="宋体" w:eastAsia="宋体" w:cs="宋体"/>
          <w:spacing w:val="-3"/>
          <w:sz w:val="24"/>
          <w:szCs w:val="24"/>
        </w:rPr>
        <w:t>下的住宅区与产生有害因素场所之间的卫生防护距离，应根据环境影响评价报告，由建设单位主管部门与建设项目所在省、市、自治区的卫生、环境保护部门</w:t>
      </w:r>
      <w:r>
        <w:rPr>
          <w:rFonts w:ascii="宋体" w:hAnsi="宋体" w:eastAsia="宋体" w:cs="宋体"/>
          <w:spacing w:val="-7"/>
          <w:sz w:val="24"/>
          <w:szCs w:val="24"/>
        </w:rPr>
        <w:t>共同确定。</w:t>
      </w:r>
    </w:p>
    <w:p w14:paraId="17AC0E5D">
      <w:pPr>
        <w:spacing w:line="360" w:lineRule="auto"/>
        <w:ind w:left="39" w:right="94" w:firstLine="479"/>
        <w:jc w:val="both"/>
        <w:rPr>
          <w:rFonts w:ascii="宋体" w:hAnsi="宋体" w:eastAsia="宋体" w:cs="宋体"/>
          <w:sz w:val="24"/>
          <w:szCs w:val="24"/>
        </w:rPr>
      </w:pPr>
      <w:r>
        <w:rPr>
          <w:rFonts w:ascii="宋体" w:hAnsi="宋体" w:eastAsia="宋体" w:cs="宋体"/>
          <w:spacing w:val="50"/>
          <w:sz w:val="24"/>
          <w:szCs w:val="24"/>
        </w:rPr>
        <w:t>在</w:t>
      </w:r>
      <w:r>
        <w:rPr>
          <w:rFonts w:ascii="宋体" w:hAnsi="宋体" w:eastAsia="宋体" w:cs="宋体"/>
          <w:spacing w:val="-39"/>
          <w:sz w:val="24"/>
          <w:szCs w:val="24"/>
        </w:rPr>
        <w:t xml:space="preserve"> </w:t>
      </w:r>
      <w:r>
        <w:rPr>
          <w:rFonts w:ascii="宋体" w:hAnsi="宋体" w:eastAsia="宋体" w:cs="宋体"/>
          <w:spacing w:val="50"/>
          <w:sz w:val="24"/>
          <w:szCs w:val="24"/>
        </w:rPr>
        <w:t>《</w:t>
      </w:r>
      <w:r>
        <w:rPr>
          <w:rFonts w:ascii="宋体" w:hAnsi="宋体" w:eastAsia="宋体" w:cs="宋体"/>
          <w:spacing w:val="-21"/>
          <w:sz w:val="24"/>
          <w:szCs w:val="24"/>
        </w:rPr>
        <w:t xml:space="preserve"> </w:t>
      </w:r>
      <w:r>
        <w:rPr>
          <w:rFonts w:ascii="宋体" w:hAnsi="宋体" w:eastAsia="宋体" w:cs="宋体"/>
          <w:spacing w:val="50"/>
          <w:sz w:val="24"/>
          <w:szCs w:val="24"/>
        </w:rPr>
        <w:t>大气有害物质无组织排放卫生防护距离推导技术导则</w:t>
      </w:r>
      <w:r>
        <w:rPr>
          <w:rFonts w:ascii="宋体" w:hAnsi="宋体" w:eastAsia="宋体" w:cs="宋体"/>
          <w:spacing w:val="-34"/>
          <w:sz w:val="24"/>
          <w:szCs w:val="24"/>
        </w:rPr>
        <w:t xml:space="preserve"> </w:t>
      </w:r>
      <w:r>
        <w:rPr>
          <w:rFonts w:ascii="宋体" w:hAnsi="宋体" w:eastAsia="宋体" w:cs="宋体"/>
          <w:spacing w:val="50"/>
          <w:sz w:val="24"/>
          <w:szCs w:val="24"/>
        </w:rPr>
        <w:t>》</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/T39499-2020</w:t>
      </w:r>
      <w:r>
        <w:rPr>
          <w:rFonts w:ascii="宋体" w:hAnsi="宋体" w:eastAsia="宋体" w:cs="宋体"/>
          <w:spacing w:val="2"/>
          <w:sz w:val="24"/>
          <w:szCs w:val="24"/>
        </w:rPr>
        <w:t>）说明标准对于卫生防护距离初值的推导方法主要针对平原</w:t>
      </w:r>
      <w:r>
        <w:rPr>
          <w:rFonts w:ascii="宋体" w:hAnsi="宋体" w:eastAsia="宋体" w:cs="宋体"/>
          <w:spacing w:val="27"/>
          <w:sz w:val="24"/>
          <w:szCs w:val="24"/>
        </w:rPr>
        <w:t>地区。同时在《大气有害物质无组织排放卫生防护距离推导技术导则》</w:t>
      </w:r>
      <w:r>
        <w:rPr>
          <w:rFonts w:ascii="宋体" w:hAnsi="宋体" w:eastAsia="宋体" w:cs="宋体"/>
          <w:spacing w:val="8"/>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GB/T39499-2020</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3.10  </w:t>
      </w:r>
      <w:r>
        <w:rPr>
          <w:rFonts w:ascii="宋体" w:hAnsi="宋体" w:eastAsia="宋体" w:cs="宋体"/>
          <w:spacing w:val="-7"/>
          <w:sz w:val="24"/>
          <w:szCs w:val="24"/>
        </w:rPr>
        <w:t>对复杂地形的定义：除简单地形以外的其他地形，</w:t>
      </w:r>
      <w:r>
        <w:rPr>
          <w:rFonts w:ascii="楷体" w:hAnsi="楷体" w:eastAsia="楷体" w:cs="楷体"/>
          <w:spacing w:val="-7"/>
          <w:sz w:val="24"/>
          <w:szCs w:val="24"/>
        </w:rPr>
        <w:t>注</w:t>
      </w:r>
      <w:r>
        <w:rPr>
          <w:rFonts w:ascii="Times New Roman" w:hAnsi="Times New Roman" w:eastAsia="Times New Roman" w:cs="Times New Roman"/>
          <w:spacing w:val="-7"/>
          <w:sz w:val="24"/>
          <w:szCs w:val="24"/>
        </w:rPr>
        <w:t>1</w:t>
      </w:r>
      <w:r>
        <w:rPr>
          <w:rFonts w:ascii="楷体" w:hAnsi="楷体" w:eastAsia="楷体" w:cs="楷体"/>
          <w:spacing w:val="-7"/>
          <w:sz w:val="24"/>
          <w:szCs w:val="24"/>
        </w:rPr>
        <w:t>：</w:t>
      </w:r>
      <w:r>
        <w:rPr>
          <w:rFonts w:ascii="楷体" w:hAnsi="楷体" w:eastAsia="楷体" w:cs="楷体"/>
          <w:spacing w:val="-1"/>
          <w:sz w:val="24"/>
          <w:szCs w:val="24"/>
        </w:rPr>
        <w:t>常见的复杂地形有山区、</w:t>
      </w:r>
      <w:r>
        <w:rPr>
          <w:rFonts w:ascii="楷体" w:hAnsi="楷体" w:eastAsia="楷体" w:cs="楷体"/>
          <w:b/>
          <w:bCs/>
          <w:spacing w:val="-1"/>
          <w:sz w:val="24"/>
          <w:szCs w:val="24"/>
        </w:rPr>
        <w:t>丘陵、</w:t>
      </w:r>
      <w:r>
        <w:rPr>
          <w:rFonts w:ascii="楷体" w:hAnsi="楷体" w:eastAsia="楷体" w:cs="楷体"/>
          <w:spacing w:val="-1"/>
          <w:sz w:val="24"/>
          <w:szCs w:val="24"/>
        </w:rPr>
        <w:t>沿海等</w:t>
      </w:r>
      <w:r>
        <w:rPr>
          <w:rFonts w:ascii="宋体" w:hAnsi="宋体" w:eastAsia="宋体" w:cs="宋体"/>
          <w:spacing w:val="-1"/>
          <w:sz w:val="24"/>
          <w:szCs w:val="24"/>
        </w:rPr>
        <w:t>。</w:t>
      </w:r>
    </w:p>
    <w:p w14:paraId="1A188245">
      <w:pPr>
        <w:spacing w:line="360" w:lineRule="auto"/>
        <w:ind w:left="38" w:right="83" w:firstLine="480"/>
        <w:rPr>
          <w:rFonts w:ascii="宋体" w:hAnsi="宋体" w:eastAsia="宋体" w:cs="宋体"/>
          <w:sz w:val="24"/>
          <w:szCs w:val="24"/>
        </w:rPr>
      </w:pPr>
      <w:r>
        <w:rPr>
          <w:rFonts w:ascii="宋体" w:hAnsi="宋体" w:eastAsia="宋体" w:cs="宋体"/>
          <w:spacing w:val="-6"/>
          <w:sz w:val="24"/>
          <w:szCs w:val="24"/>
        </w:rPr>
        <w:t>根据评价区地形高程数据可知，区域地表形态起伏，评价区内最高为</w:t>
      </w:r>
      <w:r>
        <w:rPr>
          <w:rFonts w:ascii="Times New Roman" w:hAnsi="Times New Roman" w:eastAsia="Times New Roman" w:cs="Times New Roman"/>
          <w:spacing w:val="-6"/>
          <w:sz w:val="24"/>
          <w:szCs w:val="24"/>
        </w:rPr>
        <w:t>392m</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w:t>
      </w:r>
      <w:r>
        <w:rPr>
          <w:rFonts w:ascii="宋体" w:hAnsi="宋体" w:eastAsia="宋体" w:cs="宋体"/>
          <w:spacing w:val="-10"/>
          <w:sz w:val="24"/>
          <w:szCs w:val="24"/>
        </w:rPr>
        <w:t>最低为</w:t>
      </w:r>
      <w:r>
        <w:rPr>
          <w:rFonts w:ascii="Times New Roman" w:hAnsi="Times New Roman" w:eastAsia="Times New Roman" w:cs="Times New Roman"/>
          <w:spacing w:val="-10"/>
          <w:sz w:val="24"/>
          <w:szCs w:val="24"/>
        </w:rPr>
        <w:t>330m</w:t>
      </w:r>
      <w:r>
        <w:rPr>
          <w:rFonts w:ascii="宋体" w:hAnsi="宋体" w:eastAsia="宋体" w:cs="宋体"/>
          <w:spacing w:val="-10"/>
          <w:sz w:val="24"/>
          <w:szCs w:val="24"/>
        </w:rPr>
        <w:t>，海拔相差</w:t>
      </w:r>
      <w:r>
        <w:rPr>
          <w:rFonts w:ascii="Times New Roman" w:hAnsi="Times New Roman" w:eastAsia="Times New Roman" w:cs="Times New Roman"/>
          <w:spacing w:val="-10"/>
          <w:sz w:val="24"/>
          <w:szCs w:val="24"/>
        </w:rPr>
        <w:t>62m</w:t>
      </w:r>
      <w:r>
        <w:rPr>
          <w:rFonts w:ascii="宋体" w:hAnsi="宋体" w:eastAsia="宋体" w:cs="宋体"/>
          <w:spacing w:val="-10"/>
          <w:sz w:val="24"/>
          <w:szCs w:val="24"/>
        </w:rPr>
        <w:t>。结合丘陵定义（表面形态起</w:t>
      </w:r>
      <w:r>
        <w:rPr>
          <w:rFonts w:ascii="宋体" w:hAnsi="宋体" w:eastAsia="宋体" w:cs="宋体"/>
          <w:spacing w:val="-11"/>
          <w:sz w:val="24"/>
          <w:szCs w:val="24"/>
        </w:rPr>
        <w:t>伏和缓，绝对高度在</w:t>
      </w:r>
      <w:r>
        <w:rPr>
          <w:rFonts w:ascii="Times New Roman" w:hAnsi="Times New Roman" w:eastAsia="Times New Roman" w:cs="Times New Roman"/>
          <w:spacing w:val="-11"/>
          <w:sz w:val="24"/>
          <w:szCs w:val="24"/>
        </w:rPr>
        <w:t>500m</w:t>
      </w:r>
      <w:r>
        <w:rPr>
          <w:rFonts w:ascii="宋体" w:hAnsi="宋体" w:eastAsia="宋体" w:cs="宋体"/>
          <w:spacing w:val="2"/>
          <w:sz w:val="24"/>
          <w:szCs w:val="24"/>
        </w:rPr>
        <w:t>以内，相对高度不超过</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，由各种岩类组成的坡</w:t>
      </w:r>
      <w:r>
        <w:rPr>
          <w:rFonts w:ascii="宋体" w:hAnsi="宋体" w:eastAsia="宋体" w:cs="宋体"/>
          <w:spacing w:val="1"/>
          <w:sz w:val="24"/>
          <w:szCs w:val="24"/>
        </w:rPr>
        <w:t>面组合体）判定，本项目所</w:t>
      </w:r>
      <w:r>
        <w:rPr>
          <w:rFonts w:ascii="宋体" w:hAnsi="宋体" w:eastAsia="宋体" w:cs="宋体"/>
          <w:spacing w:val="-1"/>
          <w:sz w:val="24"/>
          <w:szCs w:val="24"/>
        </w:rPr>
        <w:t>在地属于典型的丘陵地带，本项目所在地属于</w:t>
      </w:r>
      <w:r>
        <w:rPr>
          <w:rFonts w:ascii="宋体" w:hAnsi="宋体" w:eastAsia="宋体" w:cs="宋体"/>
          <w:b/>
          <w:bCs/>
          <w:spacing w:val="-1"/>
          <w:sz w:val="24"/>
          <w:szCs w:val="24"/>
        </w:rPr>
        <w:t>复杂地形</w:t>
      </w:r>
      <w:r>
        <w:rPr>
          <w:rFonts w:ascii="宋体" w:hAnsi="宋体" w:eastAsia="宋体" w:cs="宋体"/>
          <w:spacing w:val="-1"/>
          <w:sz w:val="24"/>
          <w:szCs w:val="24"/>
        </w:rPr>
        <w:t>。</w:t>
      </w:r>
    </w:p>
    <w:p w14:paraId="66F389F6">
      <w:pPr>
        <w:spacing w:before="3" w:line="359" w:lineRule="auto"/>
        <w:ind w:left="41" w:right="85" w:firstLine="480"/>
        <w:jc w:val="both"/>
        <w:rPr>
          <w:rFonts w:ascii="宋体" w:hAnsi="宋体" w:eastAsia="宋体" w:cs="宋体"/>
          <w:sz w:val="24"/>
          <w:szCs w:val="24"/>
        </w:rPr>
      </w:pPr>
      <w:r>
        <w:rPr>
          <w:rFonts w:ascii="宋体" w:hAnsi="宋体" w:eastAsia="宋体" w:cs="宋体"/>
          <w:spacing w:val="-3"/>
          <w:sz w:val="24"/>
          <w:szCs w:val="24"/>
        </w:rPr>
        <w:t>综上，因本项目所在地属复杂地形，非平原地区，因</w:t>
      </w:r>
      <w:r>
        <w:rPr>
          <w:rFonts w:ascii="宋体" w:hAnsi="宋体" w:eastAsia="宋体" w:cs="宋体"/>
          <w:spacing w:val="-4"/>
          <w:sz w:val="24"/>
          <w:szCs w:val="24"/>
        </w:rPr>
        <w:t>此，本项目卫生防护距</w:t>
      </w:r>
      <w:r>
        <w:rPr>
          <w:rFonts w:ascii="宋体" w:hAnsi="宋体" w:eastAsia="宋体" w:cs="宋体"/>
          <w:spacing w:val="1"/>
          <w:sz w:val="24"/>
          <w:szCs w:val="24"/>
        </w:rPr>
        <w:t>离不适宜直接根据《村镇规划卫生规范》（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18055-2012</w:t>
      </w:r>
      <w:r>
        <w:rPr>
          <w:rFonts w:ascii="宋体" w:hAnsi="宋体" w:eastAsia="宋体" w:cs="宋体"/>
          <w:spacing w:val="1"/>
          <w:sz w:val="24"/>
          <w:szCs w:val="24"/>
        </w:rPr>
        <w:t>）、《大气有害物质</w:t>
      </w:r>
      <w:r>
        <w:rPr>
          <w:rFonts w:ascii="宋体" w:hAnsi="宋体" w:eastAsia="宋体" w:cs="宋体"/>
          <w:spacing w:val="-1"/>
          <w:sz w:val="24"/>
          <w:szCs w:val="24"/>
        </w:rPr>
        <w:t>无组织排放卫生防护距离推导技术导则》（</w:t>
      </w:r>
      <w:r>
        <w:rPr>
          <w:rFonts w:ascii="Times New Roman" w:hAnsi="Times New Roman" w:eastAsia="Times New Roman" w:cs="Times New Roman"/>
          <w:spacing w:val="-1"/>
          <w:sz w:val="24"/>
          <w:szCs w:val="24"/>
        </w:rPr>
        <w:t>GB/T39499-2020</w:t>
      </w:r>
      <w:r>
        <w:rPr>
          <w:rFonts w:ascii="宋体" w:hAnsi="宋体" w:eastAsia="宋体" w:cs="宋体"/>
          <w:spacing w:val="-1"/>
          <w:sz w:val="24"/>
          <w:szCs w:val="24"/>
        </w:rPr>
        <w:t>）规定</w:t>
      </w:r>
      <w:r>
        <w:rPr>
          <w:rFonts w:ascii="宋体" w:hAnsi="宋体" w:eastAsia="宋体" w:cs="宋体"/>
          <w:spacing w:val="-2"/>
          <w:sz w:val="24"/>
          <w:szCs w:val="24"/>
        </w:rPr>
        <w:t>取值。</w:t>
      </w:r>
    </w:p>
    <w:p w14:paraId="564A9AA0">
      <w:pPr>
        <w:spacing w:line="360" w:lineRule="auto"/>
        <w:ind w:left="39" w:right="84" w:firstLine="480"/>
        <w:rPr>
          <w:rFonts w:ascii="宋体" w:hAnsi="宋体" w:eastAsia="宋体" w:cs="宋体"/>
          <w:sz w:val="24"/>
          <w:szCs w:val="24"/>
        </w:rPr>
      </w:pPr>
      <w:r>
        <w:rPr>
          <w:rFonts w:ascii="宋体" w:hAnsi="宋体" w:eastAsia="宋体" w:cs="宋体"/>
          <w:spacing w:val="-3"/>
          <w:sz w:val="24"/>
          <w:szCs w:val="24"/>
        </w:rPr>
        <w:t>考虑到本项目大气污染物主要为恶臭气体，项目周边存在散居农</w:t>
      </w:r>
      <w:r>
        <w:rPr>
          <w:rFonts w:ascii="宋体" w:hAnsi="宋体" w:eastAsia="宋体" w:cs="宋体"/>
          <w:spacing w:val="-4"/>
          <w:sz w:val="24"/>
          <w:szCs w:val="24"/>
        </w:rPr>
        <w:t>户，一旦臭</w:t>
      </w:r>
      <w:r>
        <w:rPr>
          <w:rFonts w:ascii="宋体" w:hAnsi="宋体" w:eastAsia="宋体" w:cs="宋体"/>
          <w:spacing w:val="-3"/>
          <w:sz w:val="24"/>
          <w:szCs w:val="24"/>
        </w:rPr>
        <w:t>气超过人体嗅觉阈值，极易造成不和谐事件发生，为了避免恶臭气体对农户的影响，参考省内同类型养殖场的卫生防护距离设置情况，建议以本项目保育楼、育</w:t>
      </w:r>
      <w:r>
        <w:rPr>
          <w:rFonts w:ascii="宋体" w:hAnsi="宋体" w:eastAsia="宋体" w:cs="宋体"/>
          <w:spacing w:val="-11"/>
          <w:sz w:val="24"/>
          <w:szCs w:val="24"/>
        </w:rPr>
        <w:t>肥楼、转猪舍、堆粪棚、污水处理站（粪污收集池、水解酸化池、微生物曝氧塘、</w:t>
      </w:r>
      <w:r>
        <w:rPr>
          <w:rFonts w:ascii="宋体" w:hAnsi="宋体" w:eastAsia="宋体" w:cs="宋体"/>
          <w:spacing w:val="-2"/>
          <w:sz w:val="24"/>
          <w:szCs w:val="24"/>
        </w:rPr>
        <w:t>生化组合池）边界外扩</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范围设置卫生防护距离。</w:t>
      </w:r>
    </w:p>
    <w:p w14:paraId="19187EC0">
      <w:pPr>
        <w:spacing w:before="5" w:line="360" w:lineRule="auto"/>
        <w:ind w:left="35" w:firstLine="484"/>
        <w:jc w:val="both"/>
        <w:rPr>
          <w:rFonts w:ascii="宋体" w:hAnsi="宋体" w:eastAsia="宋体" w:cs="宋体"/>
          <w:sz w:val="24"/>
          <w:szCs w:val="24"/>
        </w:rPr>
      </w:pPr>
      <w:r>
        <w:rPr>
          <w:rFonts w:ascii="宋体" w:hAnsi="宋体" w:eastAsia="宋体" w:cs="宋体"/>
          <w:spacing w:val="4"/>
          <w:sz w:val="24"/>
          <w:szCs w:val="24"/>
        </w:rPr>
        <w:t>根据现场踏勘以及内江市广宇测绘科技有限公司提供的测绘报告，本项目</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卫生防护距离内共有</w:t>
      </w:r>
      <w:r>
        <w:rPr>
          <w:rFonts w:ascii="Times New Roman" w:hAnsi="Times New Roman" w:eastAsia="Times New Roman" w:cs="Times New Roman"/>
          <w:spacing w:val="2"/>
          <w:sz w:val="24"/>
          <w:szCs w:val="24"/>
        </w:rPr>
        <w:t>17</w:t>
      </w:r>
      <w:r>
        <w:rPr>
          <w:rFonts w:ascii="宋体" w:hAnsi="宋体" w:eastAsia="宋体" w:cs="宋体"/>
          <w:spacing w:val="2"/>
          <w:sz w:val="24"/>
          <w:szCs w:val="24"/>
        </w:rPr>
        <w:t>户散户居民，其中</w:t>
      </w:r>
      <w:r>
        <w:rPr>
          <w:rFonts w:ascii="Times New Roman" w:hAnsi="Times New Roman" w:eastAsia="Times New Roman" w:cs="Times New Roman"/>
          <w:spacing w:val="2"/>
          <w:sz w:val="24"/>
          <w:szCs w:val="24"/>
        </w:rPr>
        <w:t>100m</w:t>
      </w:r>
      <w:r>
        <w:rPr>
          <w:rFonts w:ascii="宋体" w:hAnsi="宋体" w:eastAsia="宋体" w:cs="宋体"/>
          <w:spacing w:val="2"/>
          <w:sz w:val="24"/>
          <w:szCs w:val="24"/>
        </w:rPr>
        <w:t>范围内</w:t>
      </w:r>
      <w:r>
        <w:rPr>
          <w:rFonts w:ascii="Times New Roman" w:hAnsi="Times New Roman" w:eastAsia="Times New Roman" w:cs="Times New Roman"/>
          <w:spacing w:val="2"/>
          <w:sz w:val="24"/>
          <w:szCs w:val="24"/>
        </w:rPr>
        <w:t>1</w:t>
      </w:r>
      <w:r>
        <w:rPr>
          <w:rFonts w:ascii="宋体" w:hAnsi="宋体" w:eastAsia="宋体" w:cs="宋体"/>
          <w:spacing w:val="2"/>
          <w:sz w:val="24"/>
          <w:szCs w:val="24"/>
        </w:rPr>
        <w:t>户，</w:t>
      </w:r>
      <w:r>
        <w:rPr>
          <w:rFonts w:ascii="Times New Roman" w:hAnsi="Times New Roman" w:eastAsia="Times New Roman" w:cs="Times New Roman"/>
          <w:spacing w:val="2"/>
          <w:sz w:val="24"/>
          <w:szCs w:val="24"/>
        </w:rPr>
        <w:t>100m~200m</w:t>
      </w:r>
      <w:r>
        <w:rPr>
          <w:rFonts w:ascii="宋体" w:hAnsi="宋体" w:eastAsia="宋体" w:cs="宋体"/>
          <w:spacing w:val="2"/>
          <w:sz w:val="24"/>
          <w:szCs w:val="24"/>
        </w:rPr>
        <w:t>范</w:t>
      </w:r>
      <w:r>
        <w:rPr>
          <w:rFonts w:ascii="宋体" w:hAnsi="宋体" w:eastAsia="宋体" w:cs="宋体"/>
          <w:spacing w:val="-6"/>
          <w:sz w:val="24"/>
          <w:szCs w:val="24"/>
        </w:rPr>
        <w:t>围有</w:t>
      </w:r>
      <w:r>
        <w:rPr>
          <w:rFonts w:ascii="Times New Roman" w:hAnsi="Times New Roman" w:eastAsia="Times New Roman" w:cs="Times New Roman"/>
          <w:spacing w:val="-6"/>
          <w:sz w:val="24"/>
          <w:szCs w:val="24"/>
        </w:rPr>
        <w:t>16</w:t>
      </w:r>
      <w:r>
        <w:rPr>
          <w:rFonts w:ascii="宋体" w:hAnsi="宋体" w:eastAsia="宋体" w:cs="宋体"/>
          <w:spacing w:val="-6"/>
          <w:sz w:val="24"/>
          <w:szCs w:val="24"/>
        </w:rPr>
        <w:t>户。为确保本项目对周边环境的影响控制到最小， 内江市东兴区白合镇人</w:t>
      </w:r>
      <w:r>
        <w:rPr>
          <w:rFonts w:ascii="宋体" w:hAnsi="宋体" w:eastAsia="宋体" w:cs="宋体"/>
          <w:spacing w:val="1"/>
          <w:sz w:val="24"/>
          <w:szCs w:val="24"/>
        </w:rPr>
        <w:t>民政府承诺对卫生防护距离</w:t>
      </w:r>
      <w:r>
        <w:rPr>
          <w:rFonts w:ascii="Times New Roman" w:hAnsi="Times New Roman" w:eastAsia="Times New Roman" w:cs="Times New Roman"/>
          <w:spacing w:val="1"/>
          <w:sz w:val="24"/>
          <w:szCs w:val="24"/>
        </w:rPr>
        <w:t>100m</w:t>
      </w:r>
      <w:r>
        <w:rPr>
          <w:rFonts w:ascii="宋体" w:hAnsi="宋体" w:eastAsia="宋体" w:cs="宋体"/>
          <w:spacing w:val="1"/>
          <w:sz w:val="24"/>
          <w:szCs w:val="24"/>
        </w:rPr>
        <w:t>范围内农户实施搬迁，建设单位对</w:t>
      </w:r>
      <w:r>
        <w:rPr>
          <w:rFonts w:ascii="Times New Roman" w:hAnsi="Times New Roman" w:eastAsia="Times New Roman" w:cs="Times New Roman"/>
          <w:spacing w:val="1"/>
          <w:sz w:val="24"/>
          <w:szCs w:val="24"/>
        </w:rPr>
        <w:t>100m~200m</w:t>
      </w:r>
      <w:r>
        <w:rPr>
          <w:rFonts w:ascii="宋体" w:hAnsi="宋体" w:eastAsia="宋体" w:cs="宋体"/>
          <w:spacing w:val="-5"/>
          <w:sz w:val="24"/>
          <w:szCs w:val="24"/>
        </w:rPr>
        <w:t>范围内农户签订租赁协议实现功能转换。为降低环境影响，</w:t>
      </w:r>
      <w:r>
        <w:rPr>
          <w:rFonts w:ascii="宋体" w:hAnsi="宋体" w:eastAsia="宋体" w:cs="宋体"/>
          <w:spacing w:val="-45"/>
          <w:sz w:val="24"/>
          <w:szCs w:val="24"/>
        </w:rPr>
        <w:t xml:space="preserve"> </w:t>
      </w:r>
      <w:r>
        <w:rPr>
          <w:rFonts w:ascii="宋体" w:hAnsi="宋体" w:eastAsia="宋体" w:cs="宋体"/>
          <w:spacing w:val="-5"/>
          <w:sz w:val="24"/>
          <w:szCs w:val="24"/>
        </w:rPr>
        <w:t>评价要求卫生防护距</w:t>
      </w:r>
      <w:r>
        <w:rPr>
          <w:rFonts w:ascii="宋体" w:hAnsi="宋体" w:eastAsia="宋体" w:cs="宋体"/>
          <w:sz w:val="24"/>
          <w:szCs w:val="24"/>
        </w:rPr>
        <w:t>离内不得再建设学校、医院、住宅等与项目</w:t>
      </w:r>
      <w:r>
        <w:rPr>
          <w:rFonts w:ascii="宋体" w:hAnsi="宋体" w:eastAsia="宋体" w:cs="宋体"/>
          <w:spacing w:val="-1"/>
          <w:sz w:val="24"/>
          <w:szCs w:val="24"/>
        </w:rPr>
        <w:t>不相容的企事业单位或民用设施等。</w:t>
      </w:r>
    </w:p>
    <w:p w14:paraId="4DE61AB4">
      <w:pPr>
        <w:spacing w:line="360" w:lineRule="auto"/>
        <w:rPr>
          <w:rFonts w:ascii="宋体" w:hAnsi="宋体" w:eastAsia="宋体" w:cs="宋体"/>
          <w:sz w:val="24"/>
          <w:szCs w:val="24"/>
        </w:rPr>
        <w:sectPr>
          <w:headerReference r:id="rId312" w:type="default"/>
          <w:footerReference r:id="rId313" w:type="default"/>
          <w:pgSz w:w="11905" w:h="16840"/>
          <w:pgMar w:top="1168" w:right="1713" w:bottom="1408" w:left="1770" w:header="828" w:footer="1244" w:gutter="0"/>
          <w:cols w:space="720" w:num="1"/>
        </w:sectPr>
      </w:pPr>
    </w:p>
    <w:p w14:paraId="62B2700D">
      <w:pPr>
        <w:pStyle w:val="2"/>
        <w:spacing w:line="305" w:lineRule="auto"/>
      </w:pPr>
    </w:p>
    <w:p w14:paraId="28B46969">
      <w:pPr>
        <w:spacing w:before="78" w:line="361" w:lineRule="auto"/>
        <w:ind w:left="40" w:right="185" w:firstLine="484"/>
        <w:jc w:val="both"/>
        <w:rPr>
          <w:rFonts w:ascii="宋体" w:hAnsi="宋体" w:eastAsia="宋体" w:cs="宋体"/>
          <w:sz w:val="24"/>
          <w:szCs w:val="24"/>
        </w:rPr>
      </w:pPr>
      <w:r>
        <w:rPr>
          <w:rFonts w:ascii="宋体" w:hAnsi="宋体" w:eastAsia="宋体" w:cs="宋体"/>
          <w:spacing w:val="-7"/>
          <w:sz w:val="24"/>
          <w:szCs w:val="24"/>
        </w:rPr>
        <w:t>结合项目外环境以耕地、荒地等农村环境为主， 植被覆盖度高，对恶臭气体</w:t>
      </w:r>
      <w:r>
        <w:rPr>
          <w:rFonts w:ascii="宋体" w:hAnsi="宋体" w:eastAsia="宋体" w:cs="宋体"/>
          <w:spacing w:val="-3"/>
          <w:sz w:val="24"/>
          <w:szCs w:val="24"/>
        </w:rPr>
        <w:t>有一定的吸收作用，项目与农户之间多以林地相隔，项目运行中切实做好本评价提出的废气污染防治措施，能有效降低对周围环境空气的影响；若对项目周围农</w:t>
      </w:r>
      <w:r>
        <w:rPr>
          <w:rFonts w:ascii="宋体" w:hAnsi="宋体" w:eastAsia="宋体" w:cs="宋体"/>
          <w:spacing w:val="-2"/>
          <w:sz w:val="24"/>
          <w:szCs w:val="24"/>
        </w:rPr>
        <w:t>户产生影响，建设单位应采取有效措施降低影响并协商妥善解决问题。</w:t>
      </w:r>
    </w:p>
    <w:p w14:paraId="17B27679">
      <w:pPr>
        <w:spacing w:before="5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4.2.1.6 </w:t>
      </w:r>
      <w:r>
        <w:rPr>
          <w:rFonts w:ascii="宋体" w:hAnsi="宋体" w:eastAsia="宋体" w:cs="宋体"/>
          <w:b/>
          <w:bCs/>
          <w:spacing w:val="5"/>
          <w:sz w:val="27"/>
          <w:szCs w:val="27"/>
        </w:rPr>
        <w:t>臭气浓度影响分析</w:t>
      </w:r>
    </w:p>
    <w:p w14:paraId="79FECF3F">
      <w:pPr>
        <w:spacing w:before="236" w:line="360" w:lineRule="auto"/>
        <w:ind w:left="38" w:right="99" w:firstLine="481"/>
        <w:rPr>
          <w:rFonts w:ascii="宋体" w:hAnsi="宋体" w:eastAsia="宋体" w:cs="宋体"/>
          <w:sz w:val="24"/>
          <w:szCs w:val="24"/>
        </w:rPr>
      </w:pPr>
      <w:r>
        <w:rPr>
          <w:rFonts w:ascii="宋体" w:hAnsi="宋体" w:eastAsia="宋体" w:cs="宋体"/>
          <w:spacing w:val="-11"/>
          <w:sz w:val="24"/>
          <w:szCs w:val="24"/>
        </w:rPr>
        <w:t>本项目为生猪养殖，养猪场恶臭源较多，恶臭主要来自猪只本</w:t>
      </w:r>
      <w:r>
        <w:rPr>
          <w:rFonts w:ascii="宋体" w:hAnsi="宋体" w:eastAsia="宋体" w:cs="宋体"/>
          <w:spacing w:val="-12"/>
          <w:sz w:val="24"/>
          <w:szCs w:val="24"/>
        </w:rPr>
        <w:t>身呼吸、皮肤、</w:t>
      </w:r>
      <w:r>
        <w:rPr>
          <w:rFonts w:ascii="宋体" w:hAnsi="宋体" w:eastAsia="宋体" w:cs="宋体"/>
          <w:spacing w:val="-3"/>
          <w:sz w:val="24"/>
          <w:szCs w:val="24"/>
        </w:rPr>
        <w:t>饲料和猪粪尿等。恶臭产生源主要集中在猪舍、污水处理站、堆粪棚等。动物本身包括猪只皮脂腺和汗腺的分泌物、猪只体外激素、黏附在体表的污物、呼出气</w:t>
      </w:r>
      <w:r>
        <w:rPr>
          <w:rFonts w:ascii="宋体" w:hAnsi="宋体" w:eastAsia="宋体" w:cs="宋体"/>
          <w:spacing w:val="2"/>
          <w:sz w:val="24"/>
          <w:szCs w:val="24"/>
        </w:rPr>
        <w:t>中的</w:t>
      </w:r>
      <w:r>
        <w:rPr>
          <w:rFonts w:ascii="Times New Roman" w:hAnsi="Times New Roman" w:eastAsia="Times New Roman" w:cs="Times New Roman"/>
          <w:sz w:val="24"/>
          <w:szCs w:val="24"/>
        </w:rPr>
        <w:t>CO</w:t>
      </w:r>
      <w:r>
        <w:rPr>
          <w:rFonts w:ascii="Times New Roman" w:hAnsi="Times New Roman" w:eastAsia="Times New Roman" w:cs="Times New Roman"/>
          <w:spacing w:val="2"/>
          <w:position w:val="-2"/>
          <w:sz w:val="15"/>
          <w:szCs w:val="15"/>
        </w:rPr>
        <w:t>2</w:t>
      </w:r>
      <w:r>
        <w:rPr>
          <w:rFonts w:ascii="宋体" w:hAnsi="宋体" w:eastAsia="宋体" w:cs="宋体"/>
          <w:spacing w:val="2"/>
          <w:sz w:val="24"/>
          <w:szCs w:val="24"/>
        </w:rPr>
        <w:t>（含量比大气约高</w:t>
      </w:r>
      <w:r>
        <w:rPr>
          <w:rFonts w:ascii="Times New Roman" w:hAnsi="Times New Roman" w:eastAsia="Times New Roman" w:cs="Times New Roman"/>
          <w:spacing w:val="2"/>
          <w:sz w:val="24"/>
          <w:szCs w:val="24"/>
        </w:rPr>
        <w:t>100</w:t>
      </w:r>
      <w:r>
        <w:rPr>
          <w:rFonts w:ascii="宋体" w:hAnsi="宋体" w:eastAsia="宋体" w:cs="宋体"/>
          <w:spacing w:val="2"/>
          <w:sz w:val="24"/>
          <w:szCs w:val="24"/>
        </w:rPr>
        <w:t>倍）等都会散发出难闻的气味等；饲料中纤维分</w:t>
      </w:r>
      <w:r>
        <w:rPr>
          <w:rFonts w:ascii="宋体" w:hAnsi="宋体" w:eastAsia="宋体" w:cs="宋体"/>
          <w:spacing w:val="-6"/>
          <w:sz w:val="24"/>
          <w:szCs w:val="24"/>
        </w:rPr>
        <w:t>解时产生的甲烷、饲料在猪只消化道内经过各种消化酶、肠道细菌</w:t>
      </w:r>
      <w:r>
        <w:rPr>
          <w:rFonts w:ascii="宋体" w:hAnsi="宋体" w:eastAsia="宋体" w:cs="宋体"/>
          <w:spacing w:val="-7"/>
          <w:sz w:val="24"/>
          <w:szCs w:val="24"/>
        </w:rPr>
        <w:t>的作用， 会产</w:t>
      </w:r>
      <w:r>
        <w:rPr>
          <w:rFonts w:ascii="宋体" w:hAnsi="宋体" w:eastAsia="宋体" w:cs="宋体"/>
          <w:spacing w:val="-1"/>
          <w:sz w:val="24"/>
          <w:szCs w:val="24"/>
        </w:rPr>
        <w:t>生吲哚、粪臭素、硫化氢等使粪有臭味的气体；猪舍中刚排泄出的粪尿中有氨、</w:t>
      </w:r>
      <w:r>
        <w:rPr>
          <w:rFonts w:ascii="宋体" w:hAnsi="宋体" w:eastAsia="宋体" w:cs="宋体"/>
          <w:spacing w:val="-12"/>
          <w:sz w:val="24"/>
          <w:szCs w:val="24"/>
        </w:rPr>
        <w:t>硫化氢、胺等有害气体，</w:t>
      </w:r>
      <w:r>
        <w:rPr>
          <w:rFonts w:ascii="宋体" w:hAnsi="宋体" w:eastAsia="宋体" w:cs="宋体"/>
          <w:spacing w:val="45"/>
          <w:sz w:val="24"/>
          <w:szCs w:val="24"/>
        </w:rPr>
        <w:t xml:space="preserve"> </w:t>
      </w:r>
      <w:r>
        <w:rPr>
          <w:rFonts w:ascii="宋体" w:hAnsi="宋体" w:eastAsia="宋体" w:cs="宋体"/>
          <w:spacing w:val="-12"/>
          <w:sz w:val="24"/>
          <w:szCs w:val="24"/>
        </w:rPr>
        <w:t>进而产生甲硫醇、多</w:t>
      </w:r>
      <w:r>
        <w:rPr>
          <w:rFonts w:ascii="宋体" w:hAnsi="宋体" w:eastAsia="宋体" w:cs="宋体"/>
          <w:spacing w:val="-13"/>
          <w:sz w:val="24"/>
          <w:szCs w:val="24"/>
        </w:rPr>
        <w:t>胺、脂肪酸、吲哚等，</w:t>
      </w:r>
      <w:r>
        <w:rPr>
          <w:rFonts w:ascii="宋体" w:hAnsi="宋体" w:eastAsia="宋体" w:cs="宋体"/>
          <w:spacing w:val="47"/>
          <w:sz w:val="24"/>
          <w:szCs w:val="24"/>
        </w:rPr>
        <w:t xml:space="preserve"> </w:t>
      </w:r>
      <w:r>
        <w:rPr>
          <w:rFonts w:ascii="宋体" w:hAnsi="宋体" w:eastAsia="宋体" w:cs="宋体"/>
          <w:spacing w:val="-13"/>
          <w:sz w:val="24"/>
          <w:szCs w:val="24"/>
        </w:rPr>
        <w:t>在高温季节</w:t>
      </w:r>
      <w:r>
        <w:rPr>
          <w:rFonts w:ascii="宋体" w:hAnsi="宋体" w:eastAsia="宋体" w:cs="宋体"/>
          <w:spacing w:val="1"/>
          <w:sz w:val="24"/>
          <w:szCs w:val="24"/>
        </w:rPr>
        <w:t>尤为明显，产生大量的有害气体，如</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7"/>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CH</w:t>
      </w:r>
      <w:r>
        <w:rPr>
          <w:rFonts w:ascii="Times New Roman" w:hAnsi="Times New Roman" w:eastAsia="Times New Roman" w:cs="Times New Roman"/>
          <w:spacing w:val="1"/>
          <w:position w:val="-2"/>
          <w:sz w:val="15"/>
          <w:szCs w:val="15"/>
        </w:rPr>
        <w:t>4</w:t>
      </w:r>
      <w:r>
        <w:rPr>
          <w:rFonts w:ascii="Times New Roman" w:hAnsi="Times New Roman" w:eastAsia="Times New Roman" w:cs="Times New Roman"/>
          <w:spacing w:val="-21"/>
          <w:position w:val="-2"/>
          <w:sz w:val="15"/>
          <w:szCs w:val="15"/>
        </w:rPr>
        <w:t xml:space="preserve"> </w:t>
      </w:r>
      <w:r>
        <w:rPr>
          <w:rFonts w:ascii="宋体" w:hAnsi="宋体" w:eastAsia="宋体" w:cs="宋体"/>
          <w:spacing w:val="1"/>
          <w:sz w:val="24"/>
          <w:szCs w:val="24"/>
        </w:rPr>
        <w:t>等恶化空气环境。</w:t>
      </w:r>
      <w:r>
        <w:rPr>
          <w:rFonts w:ascii="宋体" w:hAnsi="宋体" w:eastAsia="宋体" w:cs="宋体"/>
          <w:sz w:val="24"/>
          <w:szCs w:val="24"/>
        </w:rPr>
        <w:t>猪粪中</w:t>
      </w:r>
      <w:r>
        <w:rPr>
          <w:rFonts w:ascii="宋体" w:hAnsi="宋体" w:eastAsia="宋体" w:cs="宋体"/>
          <w:spacing w:val="-3"/>
          <w:sz w:val="24"/>
          <w:szCs w:val="24"/>
        </w:rPr>
        <w:t>可散发出恶臭味化合物共有</w:t>
      </w:r>
      <w:r>
        <w:rPr>
          <w:rFonts w:ascii="Times New Roman" w:hAnsi="Times New Roman" w:eastAsia="Times New Roman" w:cs="Times New Roman"/>
          <w:spacing w:val="-3"/>
          <w:sz w:val="24"/>
          <w:szCs w:val="24"/>
        </w:rPr>
        <w:t>75~168</w:t>
      </w:r>
      <w:r>
        <w:rPr>
          <w:rFonts w:ascii="宋体" w:hAnsi="宋体" w:eastAsia="宋体" w:cs="宋体"/>
          <w:spacing w:val="-3"/>
          <w:sz w:val="24"/>
          <w:szCs w:val="24"/>
        </w:rPr>
        <w:t>种之多。猪体内粗蛋白的代谢产物主要是硫化</w:t>
      </w:r>
      <w:r>
        <w:rPr>
          <w:rFonts w:ascii="宋体" w:hAnsi="宋体" w:eastAsia="宋体" w:cs="宋体"/>
          <w:spacing w:val="-8"/>
          <w:sz w:val="24"/>
          <w:szCs w:val="24"/>
        </w:rPr>
        <w:t>氢及醇类、醛类、酚类、前类、酰胺、吲哚等碳水化合物和含氮有机物，</w:t>
      </w:r>
      <w:r>
        <w:rPr>
          <w:rFonts w:ascii="宋体" w:hAnsi="宋体" w:eastAsia="宋体" w:cs="宋体"/>
          <w:spacing w:val="56"/>
          <w:sz w:val="24"/>
          <w:szCs w:val="24"/>
        </w:rPr>
        <w:t xml:space="preserve"> </w:t>
      </w:r>
      <w:r>
        <w:rPr>
          <w:rFonts w:ascii="宋体" w:hAnsi="宋体" w:eastAsia="宋体" w:cs="宋体"/>
          <w:spacing w:val="-8"/>
          <w:sz w:val="24"/>
          <w:szCs w:val="24"/>
        </w:rPr>
        <w:t>它们在</w:t>
      </w:r>
      <w:r>
        <w:rPr>
          <w:rFonts w:ascii="宋体" w:hAnsi="宋体" w:eastAsia="宋体" w:cs="宋体"/>
          <w:spacing w:val="-5"/>
          <w:sz w:val="24"/>
          <w:szCs w:val="24"/>
        </w:rPr>
        <w:t>有氧条件下可分解成二氧化碳和硝酸盐而无害化。若粪便大量堆积，</w:t>
      </w:r>
      <w:r>
        <w:rPr>
          <w:rFonts w:ascii="宋体" w:hAnsi="宋体" w:eastAsia="宋体" w:cs="宋体"/>
          <w:spacing w:val="-45"/>
          <w:sz w:val="24"/>
          <w:szCs w:val="24"/>
        </w:rPr>
        <w:t xml:space="preserve"> </w:t>
      </w:r>
      <w:r>
        <w:rPr>
          <w:rFonts w:ascii="宋体" w:hAnsi="宋体" w:eastAsia="宋体" w:cs="宋体"/>
          <w:spacing w:val="-5"/>
          <w:sz w:val="24"/>
          <w:szCs w:val="24"/>
        </w:rPr>
        <w:t>它</w:t>
      </w:r>
      <w:r>
        <w:rPr>
          <w:rFonts w:ascii="宋体" w:hAnsi="宋体" w:eastAsia="宋体" w:cs="宋体"/>
          <w:spacing w:val="-6"/>
          <w:sz w:val="24"/>
          <w:szCs w:val="24"/>
        </w:rPr>
        <w:t>们则在无氧条件下发酵。</w:t>
      </w:r>
    </w:p>
    <w:p w14:paraId="5A93B5F7">
      <w:pPr>
        <w:spacing w:line="357" w:lineRule="auto"/>
        <w:ind w:left="39" w:firstLine="483"/>
        <w:jc w:val="both"/>
        <w:rPr>
          <w:rFonts w:ascii="宋体" w:hAnsi="宋体" w:eastAsia="宋体" w:cs="宋体"/>
          <w:sz w:val="24"/>
          <w:szCs w:val="24"/>
        </w:rPr>
      </w:pPr>
      <w:r>
        <w:rPr>
          <w:rFonts w:ascii="宋体" w:hAnsi="宋体" w:eastAsia="宋体" w:cs="宋体"/>
          <w:spacing w:val="-3"/>
          <w:sz w:val="24"/>
          <w:szCs w:val="24"/>
        </w:rPr>
        <w:t>一般恶臭多为复合恶臭形式，其强度与恶臭物质的种类</w:t>
      </w:r>
      <w:r>
        <w:rPr>
          <w:rFonts w:ascii="宋体" w:hAnsi="宋体" w:eastAsia="宋体" w:cs="宋体"/>
          <w:spacing w:val="-4"/>
          <w:sz w:val="24"/>
          <w:szCs w:val="24"/>
        </w:rPr>
        <w:t>和浓度有关。有无气</w:t>
      </w:r>
      <w:r>
        <w:rPr>
          <w:rFonts w:ascii="宋体" w:hAnsi="宋体" w:eastAsia="宋体" w:cs="宋体"/>
          <w:spacing w:val="-3"/>
          <w:sz w:val="24"/>
          <w:szCs w:val="24"/>
        </w:rPr>
        <w:t>味及气味的大小与恶臭物质在空气中的浓度有关。根据华东理工大学乌锡康教授</w:t>
      </w:r>
      <w:r>
        <w:rPr>
          <w:rFonts w:ascii="宋体" w:hAnsi="宋体" w:eastAsia="宋体" w:cs="宋体"/>
          <w:spacing w:val="-10"/>
          <w:sz w:val="24"/>
          <w:szCs w:val="24"/>
        </w:rPr>
        <w:t>提供的有机化合物环境数据筒表和胡名操编制的《环境保护实用数据手册》、《恶</w:t>
      </w:r>
      <w:r>
        <w:rPr>
          <w:rFonts w:ascii="宋体" w:hAnsi="宋体" w:eastAsia="宋体" w:cs="宋体"/>
          <w:spacing w:val="-15"/>
          <w:sz w:val="24"/>
          <w:szCs w:val="24"/>
        </w:rPr>
        <w:t>臭环境管理和污染控制》等资料，根据嗅阙值（</w:t>
      </w:r>
      <w:r>
        <w:rPr>
          <w:rFonts w:ascii="Times New Roman" w:hAnsi="Times New Roman" w:eastAsia="Times New Roman" w:cs="Times New Roman"/>
          <w:spacing w:val="-15"/>
          <w:sz w:val="24"/>
          <w:szCs w:val="24"/>
        </w:rPr>
        <w:t>ppm</w:t>
      </w:r>
      <w:r>
        <w:rPr>
          <w:rFonts w:ascii="宋体" w:hAnsi="宋体" w:eastAsia="宋体" w:cs="宋体"/>
          <w:spacing w:val="-15"/>
          <w:sz w:val="24"/>
          <w:szCs w:val="24"/>
        </w:rPr>
        <w:t>）可以求得嗅阈浓度值（</w:t>
      </w:r>
      <w:r>
        <w:rPr>
          <w:rFonts w:ascii="Times New Roman" w:hAnsi="Times New Roman" w:eastAsia="Times New Roman" w:cs="Times New Roman"/>
          <w:spacing w:val="-15"/>
          <w:sz w:val="24"/>
          <w:szCs w:val="24"/>
        </w:rPr>
        <w:t>mg/m</w:t>
      </w:r>
      <w:r>
        <w:rPr>
          <w:rFonts w:ascii="Times New Roman" w:hAnsi="Times New Roman" w:eastAsia="Times New Roman" w:cs="Times New Roman"/>
          <w:spacing w:val="10"/>
          <w:position w:val="1"/>
          <w:sz w:val="15"/>
          <w:szCs w:val="15"/>
        </w:rPr>
        <w:t>3</w:t>
      </w:r>
      <w:r>
        <w:rPr>
          <w:rFonts w:ascii="宋体" w:hAnsi="宋体" w:eastAsia="宋体" w:cs="宋体"/>
          <w:spacing w:val="-56"/>
          <w:w w:val="88"/>
          <w:position w:val="1"/>
          <w:sz w:val="24"/>
          <w:szCs w:val="24"/>
        </w:rPr>
        <w:t>）</w:t>
      </w:r>
      <w:r>
        <w:rPr>
          <w:rFonts w:ascii="宋体" w:hAnsi="宋体" w:eastAsia="宋体" w:cs="宋体"/>
          <w:spacing w:val="-56"/>
          <w:w w:val="88"/>
          <w:sz w:val="24"/>
          <w:szCs w:val="24"/>
        </w:rPr>
        <w:t>，</w:t>
      </w:r>
      <w:r>
        <w:rPr>
          <w:rFonts w:ascii="宋体" w:hAnsi="宋体" w:eastAsia="宋体" w:cs="宋体"/>
          <w:spacing w:val="-11"/>
          <w:sz w:val="24"/>
          <w:szCs w:val="24"/>
        </w:rPr>
        <w:t>计算方法：</w:t>
      </w:r>
    </w:p>
    <w:p w14:paraId="62ECAFEC">
      <w:pPr>
        <w:spacing w:before="44" w:line="192" w:lineRule="auto"/>
        <w:ind w:left="2430"/>
        <w:rPr>
          <w:rFonts w:ascii="Times New Roman" w:hAnsi="Times New Roman" w:eastAsia="Times New Roman" w:cs="Times New Roman"/>
          <w:sz w:val="24"/>
          <w:szCs w:val="24"/>
        </w:rPr>
      </w:pPr>
      <w:r>
        <w:rPr>
          <w:rFonts w:ascii="Times New Roman" w:hAnsi="Times New Roman" w:eastAsia="Times New Roman" w:cs="Times New Roman"/>
          <w:color w:val="121212"/>
          <w:sz w:val="24"/>
          <w:szCs w:val="24"/>
        </w:rPr>
        <w:t>X=M/22.4×C×273/(273+T)×(Pa/10</w:t>
      </w:r>
      <w:r>
        <w:rPr>
          <w:rFonts w:ascii="Times New Roman" w:hAnsi="Times New Roman" w:eastAsia="Times New Roman" w:cs="Times New Roman"/>
          <w:color w:val="121212"/>
          <w:spacing w:val="-1"/>
          <w:sz w:val="24"/>
          <w:szCs w:val="24"/>
        </w:rPr>
        <w:t>1325)</w:t>
      </w:r>
    </w:p>
    <w:p w14:paraId="61EE7096">
      <w:pPr>
        <w:spacing w:before="212" w:line="220" w:lineRule="auto"/>
        <w:ind w:left="524"/>
        <w:rPr>
          <w:rFonts w:ascii="宋体" w:hAnsi="宋体" w:eastAsia="宋体" w:cs="宋体"/>
          <w:sz w:val="24"/>
          <w:szCs w:val="24"/>
        </w:rPr>
      </w:pPr>
      <w:r>
        <w:rPr>
          <w:rFonts w:ascii="宋体" w:hAnsi="宋体" w:eastAsia="宋体" w:cs="宋体"/>
          <w:spacing w:val="-16"/>
          <w:sz w:val="24"/>
          <w:szCs w:val="24"/>
        </w:rPr>
        <w:t>式中：</w:t>
      </w:r>
    </w:p>
    <w:p w14:paraId="5E3C73F1">
      <w:pPr>
        <w:spacing w:before="168" w:line="351" w:lineRule="auto"/>
        <w:ind w:left="34" w:right="184" w:firstLine="477"/>
        <w:rPr>
          <w:rFonts w:ascii="宋体" w:hAnsi="宋体" w:eastAsia="宋体" w:cs="宋体"/>
          <w:sz w:val="24"/>
          <w:szCs w:val="24"/>
        </w:rPr>
      </w:pPr>
      <w:r>
        <w:rPr>
          <w:rFonts w:ascii="Times New Roman" w:hAnsi="Times New Roman" w:eastAsia="Times New Roman" w:cs="Times New Roman"/>
          <w:spacing w:val="1"/>
          <w:sz w:val="24"/>
          <w:szCs w:val="24"/>
        </w:rPr>
        <w:t>X</w:t>
      </w:r>
      <w:r>
        <w:rPr>
          <w:rFonts w:ascii="宋体" w:hAnsi="宋体" w:eastAsia="宋体" w:cs="宋体"/>
          <w:spacing w:val="1"/>
          <w:sz w:val="24"/>
          <w:szCs w:val="24"/>
        </w:rPr>
        <w:t>—浓度，</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
          <w:sz w:val="24"/>
          <w:szCs w:val="24"/>
        </w:rPr>
        <w:t>；</w:t>
      </w:r>
      <w:r>
        <w:rPr>
          <w:rFonts w:ascii="Times New Roman" w:hAnsi="Times New Roman" w:eastAsia="Times New Roman" w:cs="Times New Roman"/>
          <w:spacing w:val="1"/>
          <w:sz w:val="24"/>
          <w:szCs w:val="24"/>
        </w:rPr>
        <w:t>C</w:t>
      </w:r>
      <w:r>
        <w:rPr>
          <w:rFonts w:ascii="宋体" w:hAnsi="宋体" w:eastAsia="宋体" w:cs="宋体"/>
          <w:spacing w:val="1"/>
          <w:sz w:val="24"/>
          <w:szCs w:val="24"/>
        </w:rPr>
        <w:t>—浓度，</w:t>
      </w:r>
      <w:r>
        <w:rPr>
          <w:rFonts w:ascii="Times New Roman" w:hAnsi="Times New Roman" w:eastAsia="Times New Roman" w:cs="Times New Roman"/>
          <w:sz w:val="24"/>
          <w:szCs w:val="24"/>
        </w:rPr>
        <w:t>ppm</w:t>
      </w:r>
      <w:r>
        <w:rPr>
          <w:rFonts w:ascii="宋体" w:hAnsi="宋体" w:eastAsia="宋体" w:cs="宋体"/>
          <w:spacing w:val="1"/>
          <w:sz w:val="24"/>
          <w:szCs w:val="24"/>
        </w:rPr>
        <w:t>；</w:t>
      </w:r>
      <w:r>
        <w:rPr>
          <w:rFonts w:ascii="Times New Roman" w:hAnsi="Times New Roman" w:eastAsia="Times New Roman" w:cs="Times New Roman"/>
          <w:spacing w:val="1"/>
          <w:sz w:val="24"/>
          <w:szCs w:val="24"/>
        </w:rPr>
        <w:t>T</w:t>
      </w:r>
      <w:r>
        <w:rPr>
          <w:rFonts w:ascii="宋体" w:hAnsi="宋体" w:eastAsia="宋体" w:cs="宋体"/>
          <w:spacing w:val="1"/>
          <w:sz w:val="24"/>
          <w:szCs w:val="24"/>
        </w:rPr>
        <w:t>—温度，</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r>
        <w:rPr>
          <w:rFonts w:ascii="Times New Roman" w:hAnsi="Times New Roman" w:eastAsia="Times New Roman" w:cs="Times New Roman"/>
          <w:spacing w:val="1"/>
          <w:sz w:val="24"/>
          <w:szCs w:val="24"/>
        </w:rPr>
        <w:t>M</w:t>
      </w:r>
      <w:r>
        <w:rPr>
          <w:rFonts w:ascii="宋体" w:hAnsi="宋体" w:eastAsia="宋体" w:cs="宋体"/>
          <w:spacing w:val="1"/>
          <w:sz w:val="24"/>
          <w:szCs w:val="24"/>
        </w:rPr>
        <w:t>—分</w:t>
      </w:r>
      <w:r>
        <w:rPr>
          <w:rFonts w:ascii="宋体" w:hAnsi="宋体" w:eastAsia="宋体" w:cs="宋体"/>
          <w:sz w:val="24"/>
          <w:szCs w:val="24"/>
        </w:rPr>
        <w:t>子量；</w:t>
      </w:r>
      <w:r>
        <w:rPr>
          <w:rFonts w:ascii="Times New Roman" w:hAnsi="Times New Roman" w:eastAsia="Times New Roman" w:cs="Times New Roman"/>
          <w:sz w:val="24"/>
          <w:szCs w:val="24"/>
        </w:rPr>
        <w:t>Pa</w:t>
      </w:r>
      <w:r>
        <w:rPr>
          <w:rFonts w:ascii="宋体" w:hAnsi="宋体" w:eastAsia="宋体" w:cs="宋体"/>
          <w:sz w:val="24"/>
          <w:szCs w:val="24"/>
        </w:rPr>
        <w:t>—压力</w:t>
      </w:r>
      <w:r>
        <w:rPr>
          <w:rFonts w:ascii="Times New Roman" w:hAnsi="Times New Roman" w:eastAsia="Times New Roman" w:cs="Times New Roman"/>
          <w:spacing w:val="-2"/>
          <w:sz w:val="24"/>
          <w:szCs w:val="24"/>
        </w:rPr>
        <w:t>Pa</w:t>
      </w:r>
      <w:r>
        <w:rPr>
          <w:rFonts w:ascii="宋体" w:hAnsi="宋体" w:eastAsia="宋体" w:cs="宋体"/>
          <w:spacing w:val="-2"/>
          <w:sz w:val="24"/>
          <w:szCs w:val="24"/>
        </w:rPr>
        <w:t>。</w:t>
      </w:r>
    </w:p>
    <w:p w14:paraId="14782DBB">
      <w:pPr>
        <w:spacing w:before="23" w:line="355" w:lineRule="auto"/>
        <w:ind w:left="43" w:right="200" w:firstLine="476"/>
        <w:rPr>
          <w:rFonts w:ascii="宋体" w:hAnsi="宋体" w:eastAsia="宋体" w:cs="宋体"/>
          <w:sz w:val="24"/>
          <w:szCs w:val="24"/>
        </w:rPr>
      </w:pPr>
      <w:r>
        <w:rPr>
          <w:rFonts w:ascii="宋体" w:hAnsi="宋体" w:eastAsia="宋体" w:cs="宋体"/>
          <w:spacing w:val="-1"/>
          <w:sz w:val="24"/>
          <w:szCs w:val="24"/>
        </w:rPr>
        <w:t>根据上式可求得嗅阙浓度值（</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7"/>
          <w:sz w:val="24"/>
          <w:szCs w:val="24"/>
        </w:rPr>
        <w:t>），</w:t>
      </w:r>
      <w:r>
        <w:rPr>
          <w:rFonts w:ascii="宋体" w:hAnsi="宋体" w:eastAsia="宋体" w:cs="宋体"/>
          <w:spacing w:val="-1"/>
          <w:sz w:val="24"/>
          <w:szCs w:val="24"/>
        </w:rPr>
        <w:t>本项目废气的嗅阙值和嗅</w:t>
      </w:r>
      <w:r>
        <w:rPr>
          <w:rFonts w:ascii="宋体" w:hAnsi="宋体" w:eastAsia="宋体" w:cs="宋体"/>
          <w:spacing w:val="-2"/>
          <w:sz w:val="24"/>
          <w:szCs w:val="24"/>
        </w:rPr>
        <w:t>阙值浓度</w:t>
      </w:r>
      <w:r>
        <w:rPr>
          <w:rFonts w:ascii="宋体" w:hAnsi="宋体" w:eastAsia="宋体" w:cs="宋体"/>
          <w:spacing w:val="-13"/>
          <w:sz w:val="24"/>
          <w:szCs w:val="24"/>
        </w:rPr>
        <w:t>见下表：</w:t>
      </w:r>
    </w:p>
    <w:p w14:paraId="6E03D69E">
      <w:pPr>
        <w:spacing w:line="355" w:lineRule="auto"/>
        <w:rPr>
          <w:rFonts w:ascii="宋体" w:hAnsi="宋体" w:eastAsia="宋体" w:cs="宋体"/>
          <w:sz w:val="24"/>
          <w:szCs w:val="24"/>
        </w:rPr>
        <w:sectPr>
          <w:headerReference r:id="rId314" w:type="default"/>
          <w:footerReference r:id="rId315" w:type="default"/>
          <w:pgSz w:w="11905" w:h="16840"/>
          <w:pgMar w:top="1168" w:right="1612" w:bottom="1409" w:left="1770" w:header="828" w:footer="1244" w:gutter="0"/>
          <w:cols w:space="720" w:num="1"/>
        </w:sectPr>
      </w:pPr>
    </w:p>
    <w:p w14:paraId="156E810E">
      <w:pPr>
        <w:pStyle w:val="2"/>
        <w:spacing w:line="329" w:lineRule="auto"/>
      </w:pPr>
    </w:p>
    <w:p w14:paraId="37259C30">
      <w:pPr>
        <w:spacing w:before="68" w:line="222" w:lineRule="auto"/>
        <w:ind w:left="279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6"/>
          <w:sz w:val="21"/>
          <w:szCs w:val="21"/>
        </w:rPr>
        <w:t xml:space="preserve"> </w:t>
      </w:r>
      <w:r>
        <w:rPr>
          <w:rFonts w:ascii="Times New Roman" w:hAnsi="Times New Roman" w:eastAsia="Times New Roman" w:cs="Times New Roman"/>
          <w:spacing w:val="-1"/>
          <w:sz w:val="21"/>
          <w:szCs w:val="21"/>
        </w:rPr>
        <w:t xml:space="preserve">4.2-14  </w:t>
      </w:r>
      <w:r>
        <w:rPr>
          <w:rFonts w:ascii="黑体" w:hAnsi="黑体" w:eastAsia="黑体" w:cs="黑体"/>
          <w:spacing w:val="-1"/>
          <w:sz w:val="21"/>
          <w:szCs w:val="21"/>
        </w:rPr>
        <w:t>嗅阈值和阈值浓度表</w:t>
      </w:r>
    </w:p>
    <w:p w14:paraId="630B4FE9">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2"/>
        <w:gridCol w:w="2078"/>
        <w:gridCol w:w="2599"/>
        <w:gridCol w:w="1561"/>
      </w:tblGrid>
      <w:tr w14:paraId="6C7A1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082" w:type="dxa"/>
            <w:vAlign w:val="top"/>
          </w:tcPr>
          <w:p w14:paraId="73AEBAB7">
            <w:pPr>
              <w:spacing w:before="69" w:line="220" w:lineRule="auto"/>
              <w:ind w:left="837"/>
              <w:rPr>
                <w:rFonts w:ascii="宋体" w:hAnsi="宋体" w:eastAsia="宋体" w:cs="宋体"/>
                <w:sz w:val="21"/>
                <w:szCs w:val="21"/>
              </w:rPr>
            </w:pPr>
            <w:r>
              <w:rPr>
                <w:rFonts w:ascii="宋体" w:hAnsi="宋体" w:eastAsia="宋体" w:cs="宋体"/>
                <w:spacing w:val="-3"/>
                <w:sz w:val="21"/>
                <w:szCs w:val="21"/>
              </w:rPr>
              <w:t>物质</w:t>
            </w:r>
          </w:p>
        </w:tc>
        <w:tc>
          <w:tcPr>
            <w:tcW w:w="2078" w:type="dxa"/>
            <w:vAlign w:val="top"/>
          </w:tcPr>
          <w:p w14:paraId="5118D0D2">
            <w:pPr>
              <w:pStyle w:val="6"/>
              <w:spacing w:before="69" w:line="212" w:lineRule="auto"/>
              <w:ind w:left="342"/>
              <w:rPr>
                <w:rFonts w:ascii="宋体" w:hAnsi="宋体" w:eastAsia="宋体" w:cs="宋体"/>
              </w:rPr>
            </w:pPr>
            <w:r>
              <w:rPr>
                <w:rFonts w:ascii="宋体" w:hAnsi="宋体" w:eastAsia="宋体" w:cs="宋体"/>
                <w:spacing w:val="-3"/>
              </w:rPr>
              <w:t>嗅阈值（</w:t>
            </w:r>
            <w:r>
              <w:rPr>
                <w:spacing w:val="-3"/>
              </w:rPr>
              <w:t>ppm</w:t>
            </w:r>
            <w:r>
              <w:rPr>
                <w:rFonts w:ascii="宋体" w:hAnsi="宋体" w:eastAsia="宋体" w:cs="宋体"/>
                <w:spacing w:val="-3"/>
              </w:rPr>
              <w:t>）</w:t>
            </w:r>
          </w:p>
        </w:tc>
        <w:tc>
          <w:tcPr>
            <w:tcW w:w="2599" w:type="dxa"/>
            <w:vAlign w:val="top"/>
          </w:tcPr>
          <w:p w14:paraId="4A1158B3">
            <w:pPr>
              <w:pStyle w:val="6"/>
              <w:spacing w:before="53" w:line="217" w:lineRule="auto"/>
              <w:ind w:left="301"/>
              <w:rPr>
                <w:rFonts w:ascii="宋体" w:hAnsi="宋体" w:eastAsia="宋体" w:cs="宋体"/>
              </w:rPr>
            </w:pPr>
            <w:r>
              <w:rPr>
                <w:rFonts w:ascii="宋体" w:hAnsi="宋体" w:eastAsia="宋体" w:cs="宋体"/>
                <w:spacing w:val="-2"/>
              </w:rPr>
              <w:t>嗅阈值浓度（</w:t>
            </w:r>
            <w:r>
              <w:rPr>
                <w:spacing w:val="-2"/>
              </w:rPr>
              <w:t>mg/m</w:t>
            </w:r>
            <w:r>
              <w:rPr>
                <w:spacing w:val="-2"/>
                <w:position w:val="1"/>
                <w:sz w:val="14"/>
                <w:szCs w:val="14"/>
              </w:rPr>
              <w:t>3</w:t>
            </w:r>
            <w:r>
              <w:rPr>
                <w:rFonts w:ascii="宋体" w:hAnsi="宋体" w:eastAsia="宋体" w:cs="宋体"/>
                <w:spacing w:val="-2"/>
                <w:position w:val="1"/>
              </w:rPr>
              <w:t>）</w:t>
            </w:r>
          </w:p>
        </w:tc>
        <w:tc>
          <w:tcPr>
            <w:tcW w:w="1561" w:type="dxa"/>
            <w:vAlign w:val="top"/>
          </w:tcPr>
          <w:p w14:paraId="7DB47472">
            <w:pPr>
              <w:spacing w:before="68" w:line="220" w:lineRule="auto"/>
              <w:ind w:left="574"/>
              <w:rPr>
                <w:rFonts w:ascii="宋体" w:hAnsi="宋体" w:eastAsia="宋体" w:cs="宋体"/>
                <w:sz w:val="21"/>
                <w:szCs w:val="21"/>
              </w:rPr>
            </w:pPr>
            <w:r>
              <w:rPr>
                <w:rFonts w:ascii="宋体" w:hAnsi="宋体" w:eastAsia="宋体" w:cs="宋体"/>
                <w:spacing w:val="-3"/>
                <w:sz w:val="21"/>
                <w:szCs w:val="21"/>
              </w:rPr>
              <w:t>特性</w:t>
            </w:r>
          </w:p>
        </w:tc>
      </w:tr>
      <w:tr w14:paraId="49599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082" w:type="dxa"/>
            <w:vAlign w:val="top"/>
          </w:tcPr>
          <w:p w14:paraId="24C19F75">
            <w:pPr>
              <w:spacing w:before="65" w:line="221" w:lineRule="auto"/>
              <w:ind w:left="730"/>
              <w:rPr>
                <w:rFonts w:ascii="宋体" w:hAnsi="宋体" w:eastAsia="宋体" w:cs="宋体"/>
                <w:sz w:val="21"/>
                <w:szCs w:val="21"/>
              </w:rPr>
            </w:pPr>
            <w:r>
              <w:rPr>
                <w:rFonts w:ascii="宋体" w:hAnsi="宋体" w:eastAsia="宋体" w:cs="宋体"/>
                <w:spacing w:val="-2"/>
                <w:sz w:val="21"/>
                <w:szCs w:val="21"/>
              </w:rPr>
              <w:t>硫化氢</w:t>
            </w:r>
          </w:p>
        </w:tc>
        <w:tc>
          <w:tcPr>
            <w:tcW w:w="2078" w:type="dxa"/>
            <w:vAlign w:val="top"/>
          </w:tcPr>
          <w:p w14:paraId="381BEAC2">
            <w:pPr>
              <w:pStyle w:val="6"/>
              <w:spacing w:before="101" w:line="188" w:lineRule="auto"/>
              <w:ind w:left="753"/>
            </w:pPr>
            <w:r>
              <w:rPr>
                <w:spacing w:val="-2"/>
              </w:rPr>
              <w:t>0.0005</w:t>
            </w:r>
          </w:p>
        </w:tc>
        <w:tc>
          <w:tcPr>
            <w:tcW w:w="2599" w:type="dxa"/>
            <w:vAlign w:val="top"/>
          </w:tcPr>
          <w:p w14:paraId="1C30200A">
            <w:pPr>
              <w:pStyle w:val="6"/>
              <w:spacing w:before="101" w:line="188" w:lineRule="auto"/>
              <w:ind w:left="1016"/>
            </w:pPr>
            <w:r>
              <w:rPr>
                <w:spacing w:val="-2"/>
              </w:rPr>
              <w:t>0.0008</w:t>
            </w:r>
          </w:p>
        </w:tc>
        <w:tc>
          <w:tcPr>
            <w:tcW w:w="1561" w:type="dxa"/>
            <w:vAlign w:val="top"/>
          </w:tcPr>
          <w:p w14:paraId="3A92BD1F">
            <w:pPr>
              <w:spacing w:before="64" w:line="220" w:lineRule="auto"/>
              <w:ind w:left="364"/>
              <w:rPr>
                <w:rFonts w:ascii="宋体" w:hAnsi="宋体" w:eastAsia="宋体" w:cs="宋体"/>
                <w:sz w:val="21"/>
                <w:szCs w:val="21"/>
              </w:rPr>
            </w:pPr>
            <w:r>
              <w:rPr>
                <w:rFonts w:ascii="宋体" w:hAnsi="宋体" w:eastAsia="宋体" w:cs="宋体"/>
                <w:spacing w:val="-2"/>
                <w:sz w:val="21"/>
                <w:szCs w:val="21"/>
              </w:rPr>
              <w:t>臭鸡蛋味</w:t>
            </w:r>
          </w:p>
        </w:tc>
      </w:tr>
      <w:tr w14:paraId="60AED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082" w:type="dxa"/>
            <w:vAlign w:val="top"/>
          </w:tcPr>
          <w:p w14:paraId="4FC26BFE">
            <w:pPr>
              <w:spacing w:before="67" w:line="220" w:lineRule="auto"/>
              <w:ind w:left="941"/>
              <w:rPr>
                <w:rFonts w:ascii="宋体" w:hAnsi="宋体" w:eastAsia="宋体" w:cs="宋体"/>
                <w:sz w:val="21"/>
                <w:szCs w:val="21"/>
              </w:rPr>
            </w:pPr>
            <w:r>
              <w:rPr>
                <w:rFonts w:ascii="宋体" w:hAnsi="宋体" w:eastAsia="宋体" w:cs="宋体"/>
                <w:sz w:val="21"/>
                <w:szCs w:val="21"/>
              </w:rPr>
              <w:t>氨</w:t>
            </w:r>
          </w:p>
        </w:tc>
        <w:tc>
          <w:tcPr>
            <w:tcW w:w="2078" w:type="dxa"/>
            <w:vAlign w:val="top"/>
          </w:tcPr>
          <w:p w14:paraId="79599E42">
            <w:pPr>
              <w:pStyle w:val="6"/>
              <w:spacing w:before="104" w:line="188" w:lineRule="auto"/>
              <w:ind w:left="910"/>
            </w:pPr>
            <w:r>
              <w:rPr>
                <w:spacing w:val="-3"/>
              </w:rPr>
              <w:t>0.8</w:t>
            </w:r>
          </w:p>
        </w:tc>
        <w:tc>
          <w:tcPr>
            <w:tcW w:w="2599" w:type="dxa"/>
            <w:vAlign w:val="top"/>
          </w:tcPr>
          <w:p w14:paraId="6A9AA782">
            <w:pPr>
              <w:pStyle w:val="6"/>
              <w:spacing w:before="104" w:line="188" w:lineRule="auto"/>
              <w:ind w:left="1174"/>
            </w:pPr>
            <w:r>
              <w:rPr>
                <w:spacing w:val="-3"/>
              </w:rPr>
              <w:t>0.6</w:t>
            </w:r>
          </w:p>
        </w:tc>
        <w:tc>
          <w:tcPr>
            <w:tcW w:w="1561" w:type="dxa"/>
            <w:vAlign w:val="top"/>
          </w:tcPr>
          <w:p w14:paraId="4D681DF1">
            <w:pPr>
              <w:spacing w:before="67" w:line="220" w:lineRule="auto"/>
              <w:ind w:left="472"/>
              <w:rPr>
                <w:rFonts w:ascii="宋体" w:hAnsi="宋体" w:eastAsia="宋体" w:cs="宋体"/>
                <w:sz w:val="21"/>
                <w:szCs w:val="21"/>
              </w:rPr>
            </w:pPr>
            <w:r>
              <w:rPr>
                <w:rFonts w:ascii="宋体" w:hAnsi="宋体" w:eastAsia="宋体" w:cs="宋体"/>
                <w:spacing w:val="-3"/>
                <w:sz w:val="21"/>
                <w:szCs w:val="21"/>
              </w:rPr>
              <w:t>粪尿味</w:t>
            </w:r>
          </w:p>
        </w:tc>
      </w:tr>
    </w:tbl>
    <w:p w14:paraId="56F24718">
      <w:pPr>
        <w:spacing w:before="233" w:line="361" w:lineRule="auto"/>
        <w:ind w:left="40" w:right="29" w:firstLine="480"/>
        <w:jc w:val="both"/>
        <w:rPr>
          <w:rFonts w:ascii="宋体" w:hAnsi="宋体" w:eastAsia="宋体" w:cs="宋体"/>
          <w:sz w:val="24"/>
          <w:szCs w:val="24"/>
        </w:rPr>
      </w:pPr>
      <w:r>
        <w:rPr>
          <w:rFonts w:ascii="宋体" w:hAnsi="宋体" w:eastAsia="宋体" w:cs="宋体"/>
          <w:spacing w:val="4"/>
          <w:sz w:val="24"/>
          <w:szCs w:val="24"/>
        </w:rPr>
        <w:t>恶臭的标准可以以人的嗅觉器官对气味的反应将臭味强度分为若干级的臭</w:t>
      </w:r>
      <w:r>
        <w:rPr>
          <w:rFonts w:ascii="宋体" w:hAnsi="宋体" w:eastAsia="宋体" w:cs="宋体"/>
          <w:spacing w:val="-3"/>
          <w:sz w:val="24"/>
          <w:szCs w:val="24"/>
        </w:rPr>
        <w:t>味强度等级法，该标准由日本制定，在国际上也比较通用。国家环境保护科技标</w:t>
      </w:r>
      <w:r>
        <w:rPr>
          <w:rFonts w:ascii="宋体" w:hAnsi="宋体" w:eastAsia="宋体" w:cs="宋体"/>
          <w:sz w:val="24"/>
          <w:szCs w:val="24"/>
        </w:rPr>
        <w:t>准司编制的《大气环境标准手册》 “恶臭污染物排放标准编制说明”中推荐臭</w:t>
      </w:r>
      <w:r>
        <w:rPr>
          <w:rFonts w:ascii="宋体" w:hAnsi="宋体" w:eastAsia="宋体" w:cs="宋体"/>
          <w:spacing w:val="-5"/>
          <w:sz w:val="24"/>
          <w:szCs w:val="24"/>
        </w:rPr>
        <w:t>气强度分级也相似。该标准中从嗅觉强度上将恶臭分为</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共六个</w:t>
      </w:r>
      <w:r>
        <w:rPr>
          <w:rFonts w:ascii="宋体" w:hAnsi="宋体" w:eastAsia="宋体" w:cs="宋体"/>
          <w:spacing w:val="-3"/>
          <w:sz w:val="24"/>
          <w:szCs w:val="24"/>
        </w:rPr>
        <w:t>等级，关于六个等级臭气强度与感觉的描述见下表：</w:t>
      </w:r>
    </w:p>
    <w:p w14:paraId="1DB8CE27">
      <w:pPr>
        <w:spacing w:before="7" w:line="222" w:lineRule="auto"/>
        <w:ind w:left="300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9"/>
          <w:sz w:val="21"/>
          <w:szCs w:val="21"/>
        </w:rPr>
        <w:t xml:space="preserve"> </w:t>
      </w:r>
      <w:r>
        <w:rPr>
          <w:rFonts w:ascii="Times New Roman" w:hAnsi="Times New Roman" w:eastAsia="Times New Roman" w:cs="Times New Roman"/>
          <w:spacing w:val="-1"/>
          <w:sz w:val="21"/>
          <w:szCs w:val="21"/>
        </w:rPr>
        <w:t xml:space="preserve">4.2-15  </w:t>
      </w:r>
      <w:r>
        <w:rPr>
          <w:rFonts w:ascii="黑体" w:hAnsi="黑体" w:eastAsia="黑体" w:cs="黑体"/>
          <w:spacing w:val="-1"/>
          <w:sz w:val="21"/>
          <w:szCs w:val="21"/>
        </w:rPr>
        <w:t>臭气强度的描述</w:t>
      </w:r>
    </w:p>
    <w:p w14:paraId="3E23E65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8"/>
        <w:gridCol w:w="3256"/>
        <w:gridCol w:w="2506"/>
      </w:tblGrid>
      <w:tr w14:paraId="7D790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58" w:type="dxa"/>
            <w:vAlign w:val="top"/>
          </w:tcPr>
          <w:p w14:paraId="710F1E80">
            <w:pPr>
              <w:spacing w:before="68" w:line="220" w:lineRule="auto"/>
              <w:ind w:left="865"/>
              <w:rPr>
                <w:rFonts w:ascii="宋体" w:hAnsi="宋体" w:eastAsia="宋体" w:cs="宋体"/>
                <w:sz w:val="21"/>
                <w:szCs w:val="21"/>
              </w:rPr>
            </w:pPr>
            <w:r>
              <w:rPr>
                <w:rFonts w:ascii="宋体" w:hAnsi="宋体" w:eastAsia="宋体" w:cs="宋体"/>
                <w:spacing w:val="-2"/>
                <w:sz w:val="21"/>
                <w:szCs w:val="21"/>
              </w:rPr>
              <w:t>恶臭等级</w:t>
            </w:r>
          </w:p>
        </w:tc>
        <w:tc>
          <w:tcPr>
            <w:tcW w:w="3256" w:type="dxa"/>
            <w:vAlign w:val="top"/>
          </w:tcPr>
          <w:p w14:paraId="7A4A90B8">
            <w:pPr>
              <w:spacing w:before="69" w:line="220" w:lineRule="auto"/>
              <w:ind w:left="1424"/>
              <w:rPr>
                <w:rFonts w:ascii="宋体" w:hAnsi="宋体" w:eastAsia="宋体" w:cs="宋体"/>
                <w:sz w:val="21"/>
                <w:szCs w:val="21"/>
              </w:rPr>
            </w:pPr>
            <w:r>
              <w:rPr>
                <w:rFonts w:ascii="宋体" w:hAnsi="宋体" w:eastAsia="宋体" w:cs="宋体"/>
                <w:spacing w:val="-3"/>
                <w:sz w:val="21"/>
                <w:szCs w:val="21"/>
              </w:rPr>
              <w:t>感觉</w:t>
            </w:r>
          </w:p>
        </w:tc>
        <w:tc>
          <w:tcPr>
            <w:tcW w:w="2506" w:type="dxa"/>
            <w:vAlign w:val="top"/>
          </w:tcPr>
          <w:p w14:paraId="1896382C">
            <w:pPr>
              <w:spacing w:before="68" w:line="220" w:lineRule="auto"/>
              <w:ind w:left="837"/>
              <w:rPr>
                <w:rFonts w:ascii="宋体" w:hAnsi="宋体" w:eastAsia="宋体" w:cs="宋体"/>
                <w:sz w:val="21"/>
                <w:szCs w:val="21"/>
              </w:rPr>
            </w:pPr>
            <w:r>
              <w:rPr>
                <w:rFonts w:ascii="宋体" w:hAnsi="宋体" w:eastAsia="宋体" w:cs="宋体"/>
                <w:spacing w:val="-2"/>
                <w:sz w:val="21"/>
                <w:szCs w:val="21"/>
              </w:rPr>
              <w:t>臭气强度</w:t>
            </w:r>
          </w:p>
        </w:tc>
      </w:tr>
      <w:tr w14:paraId="0C4B3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58" w:type="dxa"/>
            <w:vAlign w:val="top"/>
          </w:tcPr>
          <w:p w14:paraId="77346910">
            <w:pPr>
              <w:pStyle w:val="6"/>
              <w:spacing w:before="100" w:line="188" w:lineRule="auto"/>
              <w:ind w:left="1232"/>
            </w:pPr>
            <w:r>
              <w:t>0</w:t>
            </w:r>
          </w:p>
        </w:tc>
        <w:tc>
          <w:tcPr>
            <w:tcW w:w="3256" w:type="dxa"/>
            <w:vAlign w:val="top"/>
          </w:tcPr>
          <w:p w14:paraId="2A29E703">
            <w:pPr>
              <w:spacing w:before="63" w:line="220" w:lineRule="auto"/>
              <w:ind w:left="1424"/>
              <w:rPr>
                <w:rFonts w:ascii="宋体" w:hAnsi="宋体" w:eastAsia="宋体" w:cs="宋体"/>
                <w:sz w:val="21"/>
                <w:szCs w:val="21"/>
              </w:rPr>
            </w:pPr>
            <w:r>
              <w:rPr>
                <w:rFonts w:ascii="宋体" w:hAnsi="宋体" w:eastAsia="宋体" w:cs="宋体"/>
                <w:spacing w:val="-3"/>
                <w:sz w:val="21"/>
                <w:szCs w:val="21"/>
              </w:rPr>
              <w:t>无臭</w:t>
            </w:r>
          </w:p>
        </w:tc>
        <w:tc>
          <w:tcPr>
            <w:tcW w:w="2506" w:type="dxa"/>
            <w:vAlign w:val="top"/>
          </w:tcPr>
          <w:p w14:paraId="7CB85697">
            <w:pPr>
              <w:spacing w:before="63" w:line="220" w:lineRule="auto"/>
              <w:ind w:left="944"/>
              <w:rPr>
                <w:rFonts w:ascii="宋体" w:hAnsi="宋体" w:eastAsia="宋体" w:cs="宋体"/>
                <w:sz w:val="21"/>
                <w:szCs w:val="21"/>
              </w:rPr>
            </w:pPr>
            <w:r>
              <w:rPr>
                <w:rFonts w:ascii="宋体" w:hAnsi="宋体" w:eastAsia="宋体" w:cs="宋体"/>
                <w:spacing w:val="-3"/>
                <w:sz w:val="21"/>
                <w:szCs w:val="21"/>
              </w:rPr>
              <w:t>无臭味</w:t>
            </w:r>
          </w:p>
        </w:tc>
      </w:tr>
      <w:tr w14:paraId="3D0AA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558" w:type="dxa"/>
            <w:vAlign w:val="top"/>
          </w:tcPr>
          <w:p w14:paraId="2FA10AC9">
            <w:pPr>
              <w:pStyle w:val="6"/>
              <w:spacing w:before="101" w:line="188" w:lineRule="auto"/>
              <w:ind w:left="1249"/>
            </w:pPr>
            <w:r>
              <w:t>1</w:t>
            </w:r>
          </w:p>
        </w:tc>
        <w:tc>
          <w:tcPr>
            <w:tcW w:w="3256" w:type="dxa"/>
            <w:vAlign w:val="top"/>
          </w:tcPr>
          <w:p w14:paraId="47B67D6F">
            <w:pPr>
              <w:spacing w:before="64" w:line="220" w:lineRule="auto"/>
              <w:ind w:left="164"/>
              <w:rPr>
                <w:rFonts w:ascii="宋体" w:hAnsi="宋体" w:eastAsia="宋体" w:cs="宋体"/>
                <w:sz w:val="21"/>
                <w:szCs w:val="21"/>
              </w:rPr>
            </w:pPr>
            <w:r>
              <w:rPr>
                <w:rFonts w:ascii="宋体" w:hAnsi="宋体" w:eastAsia="宋体" w:cs="宋体"/>
                <w:spacing w:val="-2"/>
                <w:sz w:val="21"/>
                <w:szCs w:val="21"/>
              </w:rPr>
              <w:t>勉强感觉臭味存在（嗅觉阈值）</w:t>
            </w:r>
          </w:p>
        </w:tc>
        <w:tc>
          <w:tcPr>
            <w:tcW w:w="2506" w:type="dxa"/>
            <w:vAlign w:val="top"/>
          </w:tcPr>
          <w:p w14:paraId="4A9A88AB">
            <w:pPr>
              <w:spacing w:before="64" w:line="220" w:lineRule="auto"/>
              <w:ind w:left="1057"/>
              <w:rPr>
                <w:rFonts w:ascii="宋体" w:hAnsi="宋体" w:eastAsia="宋体" w:cs="宋体"/>
                <w:sz w:val="21"/>
                <w:szCs w:val="21"/>
              </w:rPr>
            </w:pPr>
            <w:r>
              <w:rPr>
                <w:rFonts w:ascii="宋体" w:hAnsi="宋体" w:eastAsia="宋体" w:cs="宋体"/>
                <w:spacing w:val="-5"/>
                <w:sz w:val="21"/>
                <w:szCs w:val="21"/>
              </w:rPr>
              <w:t>嗅阈</w:t>
            </w:r>
          </w:p>
        </w:tc>
      </w:tr>
      <w:tr w14:paraId="331E3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58" w:type="dxa"/>
            <w:vAlign w:val="top"/>
          </w:tcPr>
          <w:p w14:paraId="74E92E3E">
            <w:pPr>
              <w:pStyle w:val="6"/>
              <w:spacing w:before="103" w:line="188" w:lineRule="auto"/>
              <w:ind w:left="1229"/>
            </w:pPr>
            <w:r>
              <w:t>2</w:t>
            </w:r>
          </w:p>
        </w:tc>
        <w:tc>
          <w:tcPr>
            <w:tcW w:w="3256" w:type="dxa"/>
            <w:vAlign w:val="top"/>
          </w:tcPr>
          <w:p w14:paraId="5CB1B131">
            <w:pPr>
              <w:spacing w:before="66" w:line="220" w:lineRule="auto"/>
              <w:ind w:left="373"/>
              <w:rPr>
                <w:rFonts w:ascii="宋体" w:hAnsi="宋体" w:eastAsia="宋体" w:cs="宋体"/>
                <w:sz w:val="21"/>
                <w:szCs w:val="21"/>
              </w:rPr>
            </w:pPr>
            <w:r>
              <w:rPr>
                <w:rFonts w:ascii="宋体" w:hAnsi="宋体" w:eastAsia="宋体" w:cs="宋体"/>
                <w:spacing w:val="-2"/>
                <w:sz w:val="21"/>
                <w:szCs w:val="21"/>
              </w:rPr>
              <w:t>确认臭味存在（认知阈值）</w:t>
            </w:r>
          </w:p>
        </w:tc>
        <w:tc>
          <w:tcPr>
            <w:tcW w:w="2506" w:type="dxa"/>
            <w:vAlign w:val="top"/>
          </w:tcPr>
          <w:p w14:paraId="4CA1D0A5">
            <w:pPr>
              <w:spacing w:before="66" w:line="220" w:lineRule="auto"/>
              <w:ind w:left="1048"/>
              <w:rPr>
                <w:rFonts w:ascii="宋体" w:hAnsi="宋体" w:eastAsia="宋体" w:cs="宋体"/>
                <w:sz w:val="21"/>
                <w:szCs w:val="21"/>
              </w:rPr>
            </w:pPr>
            <w:r>
              <w:rPr>
                <w:rFonts w:ascii="宋体" w:hAnsi="宋体" w:eastAsia="宋体" w:cs="宋体"/>
                <w:spacing w:val="-3"/>
                <w:sz w:val="21"/>
                <w:szCs w:val="21"/>
              </w:rPr>
              <w:t>轻微</w:t>
            </w:r>
          </w:p>
        </w:tc>
      </w:tr>
      <w:tr w14:paraId="24C33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58" w:type="dxa"/>
            <w:vAlign w:val="top"/>
          </w:tcPr>
          <w:p w14:paraId="2FFF9AD4">
            <w:pPr>
              <w:pStyle w:val="6"/>
              <w:spacing w:before="102" w:line="188" w:lineRule="auto"/>
              <w:ind w:left="1233"/>
            </w:pPr>
            <w:r>
              <w:t>3</w:t>
            </w:r>
          </w:p>
        </w:tc>
        <w:tc>
          <w:tcPr>
            <w:tcW w:w="3256" w:type="dxa"/>
            <w:vAlign w:val="top"/>
          </w:tcPr>
          <w:p w14:paraId="16F31C87">
            <w:pPr>
              <w:spacing w:before="65" w:line="220" w:lineRule="auto"/>
              <w:ind w:left="795"/>
              <w:rPr>
                <w:rFonts w:ascii="宋体" w:hAnsi="宋体" w:eastAsia="宋体" w:cs="宋体"/>
                <w:sz w:val="21"/>
                <w:szCs w:val="21"/>
              </w:rPr>
            </w:pPr>
            <w:r>
              <w:rPr>
                <w:rFonts w:ascii="宋体" w:hAnsi="宋体" w:eastAsia="宋体" w:cs="宋体"/>
                <w:spacing w:val="-2"/>
                <w:sz w:val="21"/>
                <w:szCs w:val="21"/>
              </w:rPr>
              <w:t>极易感觉臭味存在</w:t>
            </w:r>
          </w:p>
        </w:tc>
        <w:tc>
          <w:tcPr>
            <w:tcW w:w="2506" w:type="dxa"/>
            <w:vAlign w:val="top"/>
          </w:tcPr>
          <w:p w14:paraId="277CD2E7">
            <w:pPr>
              <w:spacing w:before="65" w:line="220" w:lineRule="auto"/>
              <w:ind w:left="1066"/>
              <w:rPr>
                <w:rFonts w:ascii="宋体" w:hAnsi="宋体" w:eastAsia="宋体" w:cs="宋体"/>
                <w:sz w:val="21"/>
                <w:szCs w:val="21"/>
              </w:rPr>
            </w:pPr>
            <w:r>
              <w:rPr>
                <w:rFonts w:ascii="宋体" w:hAnsi="宋体" w:eastAsia="宋体" w:cs="宋体"/>
                <w:spacing w:val="-7"/>
                <w:sz w:val="21"/>
                <w:szCs w:val="21"/>
              </w:rPr>
              <w:t>明显</w:t>
            </w:r>
          </w:p>
        </w:tc>
      </w:tr>
      <w:tr w14:paraId="35933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558" w:type="dxa"/>
            <w:vAlign w:val="top"/>
          </w:tcPr>
          <w:p w14:paraId="58838993">
            <w:pPr>
              <w:pStyle w:val="6"/>
              <w:spacing w:before="103" w:line="188" w:lineRule="auto"/>
              <w:ind w:left="1228"/>
            </w:pPr>
            <w:r>
              <w:t>4</w:t>
            </w:r>
          </w:p>
        </w:tc>
        <w:tc>
          <w:tcPr>
            <w:tcW w:w="3256" w:type="dxa"/>
            <w:vAlign w:val="top"/>
          </w:tcPr>
          <w:p w14:paraId="0FA2E39B">
            <w:pPr>
              <w:spacing w:before="66" w:line="220" w:lineRule="auto"/>
              <w:ind w:left="1004"/>
              <w:rPr>
                <w:rFonts w:ascii="宋体" w:hAnsi="宋体" w:eastAsia="宋体" w:cs="宋体"/>
                <w:sz w:val="21"/>
                <w:szCs w:val="21"/>
              </w:rPr>
            </w:pPr>
            <w:r>
              <w:rPr>
                <w:rFonts w:ascii="宋体" w:hAnsi="宋体" w:eastAsia="宋体" w:cs="宋体"/>
                <w:spacing w:val="-2"/>
                <w:sz w:val="21"/>
                <w:szCs w:val="21"/>
              </w:rPr>
              <w:t>恶臭明显存在</w:t>
            </w:r>
          </w:p>
        </w:tc>
        <w:tc>
          <w:tcPr>
            <w:tcW w:w="2506" w:type="dxa"/>
            <w:vAlign w:val="top"/>
          </w:tcPr>
          <w:p w14:paraId="5BD147D0">
            <w:pPr>
              <w:spacing w:before="67" w:line="222" w:lineRule="auto"/>
              <w:ind w:left="1052"/>
              <w:rPr>
                <w:rFonts w:ascii="宋体" w:hAnsi="宋体" w:eastAsia="宋体" w:cs="宋体"/>
                <w:sz w:val="21"/>
                <w:szCs w:val="21"/>
              </w:rPr>
            </w:pPr>
            <w:r>
              <w:rPr>
                <w:rFonts w:ascii="宋体" w:hAnsi="宋体" w:eastAsia="宋体" w:cs="宋体"/>
                <w:spacing w:val="-4"/>
                <w:sz w:val="21"/>
                <w:szCs w:val="21"/>
              </w:rPr>
              <w:t>强烈</w:t>
            </w:r>
          </w:p>
        </w:tc>
      </w:tr>
      <w:tr w14:paraId="551DC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58" w:type="dxa"/>
            <w:vAlign w:val="top"/>
          </w:tcPr>
          <w:p w14:paraId="6EC59047">
            <w:pPr>
              <w:pStyle w:val="6"/>
              <w:spacing w:before="108" w:line="185" w:lineRule="auto"/>
              <w:ind w:left="1235"/>
            </w:pPr>
            <w:r>
              <w:t>5</w:t>
            </w:r>
          </w:p>
        </w:tc>
        <w:tc>
          <w:tcPr>
            <w:tcW w:w="3256" w:type="dxa"/>
            <w:vAlign w:val="top"/>
          </w:tcPr>
          <w:p w14:paraId="69B1AD56">
            <w:pPr>
              <w:spacing w:before="68" w:line="220" w:lineRule="auto"/>
              <w:ind w:left="1004"/>
              <w:rPr>
                <w:rFonts w:ascii="宋体" w:hAnsi="宋体" w:eastAsia="宋体" w:cs="宋体"/>
                <w:sz w:val="21"/>
                <w:szCs w:val="21"/>
              </w:rPr>
            </w:pPr>
            <w:r>
              <w:rPr>
                <w:rFonts w:ascii="宋体" w:hAnsi="宋体" w:eastAsia="宋体" w:cs="宋体"/>
                <w:spacing w:val="-2"/>
                <w:sz w:val="21"/>
                <w:szCs w:val="21"/>
              </w:rPr>
              <w:t>恶臭强烈存在</w:t>
            </w:r>
          </w:p>
        </w:tc>
        <w:tc>
          <w:tcPr>
            <w:tcW w:w="2506" w:type="dxa"/>
            <w:vAlign w:val="top"/>
          </w:tcPr>
          <w:p w14:paraId="6C803CAD">
            <w:pPr>
              <w:spacing w:before="69" w:line="220" w:lineRule="auto"/>
              <w:ind w:left="945"/>
              <w:rPr>
                <w:rFonts w:ascii="宋体" w:hAnsi="宋体" w:eastAsia="宋体" w:cs="宋体"/>
                <w:sz w:val="21"/>
                <w:szCs w:val="21"/>
              </w:rPr>
            </w:pPr>
            <w:r>
              <w:rPr>
                <w:rFonts w:ascii="宋体" w:hAnsi="宋体" w:eastAsia="宋体" w:cs="宋体"/>
                <w:spacing w:val="-3"/>
                <w:sz w:val="21"/>
                <w:szCs w:val="21"/>
              </w:rPr>
              <w:t>极强烈</w:t>
            </w:r>
          </w:p>
        </w:tc>
      </w:tr>
    </w:tbl>
    <w:p w14:paraId="71E300F6">
      <w:pPr>
        <w:spacing w:before="235" w:line="351" w:lineRule="auto"/>
        <w:ind w:left="39" w:right="28" w:firstLine="479"/>
        <w:jc w:val="both"/>
        <w:rPr>
          <w:rFonts w:ascii="宋体" w:hAnsi="宋体" w:eastAsia="宋体" w:cs="宋体"/>
          <w:sz w:val="24"/>
          <w:szCs w:val="24"/>
        </w:rPr>
      </w:pPr>
      <w:r>
        <w:rPr>
          <w:rFonts w:ascii="宋体" w:hAnsi="宋体" w:eastAsia="宋体" w:cs="宋体"/>
          <w:spacing w:val="-1"/>
          <w:sz w:val="24"/>
          <w:szCs w:val="24"/>
        </w:rPr>
        <w:t>臭气强度的确定可采用韦伯—费希内尔公式计算，即</w:t>
      </w:r>
      <w:r>
        <w:rPr>
          <w:rFonts w:ascii="Times New Roman" w:hAnsi="Times New Roman" w:eastAsia="Times New Roman" w:cs="Times New Roman"/>
          <w:spacing w:val="-1"/>
          <w:sz w:val="24"/>
          <w:szCs w:val="24"/>
        </w:rPr>
        <w:t>L=a+blo</w:t>
      </w:r>
      <w:r>
        <w:rPr>
          <w:rFonts w:ascii="Times New Roman" w:hAnsi="Times New Roman" w:eastAsia="Times New Roman" w:cs="Times New Roman"/>
          <w:spacing w:val="-2"/>
          <w:sz w:val="24"/>
          <w:szCs w:val="24"/>
        </w:rPr>
        <w:t>gC</w:t>
      </w:r>
      <w:r>
        <w:rPr>
          <w:rFonts w:ascii="宋体" w:hAnsi="宋体" w:eastAsia="宋体" w:cs="宋体"/>
          <w:spacing w:val="-2"/>
          <w:sz w:val="24"/>
          <w:szCs w:val="24"/>
        </w:rPr>
        <w:t>。式中</w:t>
      </w:r>
      <w:r>
        <w:rPr>
          <w:rFonts w:ascii="Times New Roman" w:hAnsi="Times New Roman" w:eastAsia="Times New Roman" w:cs="Times New Roman"/>
          <w:spacing w:val="-2"/>
          <w:sz w:val="24"/>
          <w:szCs w:val="24"/>
        </w:rPr>
        <w:t>: L</w:t>
      </w:r>
      <w:r>
        <w:rPr>
          <w:rFonts w:ascii="宋体" w:hAnsi="宋体" w:eastAsia="宋体" w:cs="宋体"/>
          <w:spacing w:val="-2"/>
          <w:sz w:val="24"/>
          <w:szCs w:val="24"/>
        </w:rPr>
        <w:t>为</w:t>
      </w:r>
      <w:r>
        <w:rPr>
          <w:rFonts w:ascii="宋体" w:hAnsi="宋体" w:eastAsia="宋体" w:cs="宋体"/>
          <w:spacing w:val="-3"/>
          <w:sz w:val="24"/>
          <w:szCs w:val="24"/>
        </w:rPr>
        <w:t>臭气强度</w:t>
      </w:r>
      <w:r>
        <w:rPr>
          <w:rFonts w:ascii="Times New Roman" w:hAnsi="Times New Roman" w:eastAsia="Times New Roman" w:cs="Times New Roman"/>
          <w:spacing w:val="-3"/>
          <w:sz w:val="24"/>
          <w:szCs w:val="24"/>
        </w:rPr>
        <w:t>(</w:t>
      </w:r>
      <w:r>
        <w:rPr>
          <w:rFonts w:ascii="宋体" w:hAnsi="宋体" w:eastAsia="宋体" w:cs="宋体"/>
          <w:spacing w:val="-3"/>
          <w:sz w:val="24"/>
          <w:szCs w:val="24"/>
        </w:rPr>
        <w:t>级数</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w:t>
      </w:r>
      <w:r>
        <w:rPr>
          <w:rFonts w:ascii="宋体" w:hAnsi="宋体" w:eastAsia="宋体" w:cs="宋体"/>
          <w:spacing w:val="-3"/>
          <w:sz w:val="24"/>
          <w:szCs w:val="24"/>
        </w:rPr>
        <w:t>为臭气浓度（</w:t>
      </w:r>
      <w:r>
        <w:rPr>
          <w:rFonts w:ascii="Times New Roman" w:hAnsi="Times New Roman" w:eastAsia="Times New Roman" w:cs="Times New Roman"/>
          <w:spacing w:val="-3"/>
          <w:sz w:val="24"/>
          <w:szCs w:val="24"/>
        </w:rPr>
        <w:t>mg/m</w:t>
      </w:r>
      <w:r>
        <w:rPr>
          <w:rFonts w:ascii="Times New Roman" w:hAnsi="Times New Roman" w:eastAsia="Times New Roman" w:cs="Times New Roman"/>
          <w:spacing w:val="-3"/>
          <w:position w:val="10"/>
          <w:sz w:val="15"/>
          <w:szCs w:val="15"/>
        </w:rPr>
        <w:t>3</w:t>
      </w:r>
      <w:r>
        <w:rPr>
          <w:rFonts w:ascii="宋体" w:hAnsi="宋体" w:eastAsia="宋体" w:cs="宋体"/>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r>
        <w:rPr>
          <w:rFonts w:ascii="Times New Roman" w:hAnsi="Times New Roman" w:eastAsia="Times New Roman" w:cs="Times New Roman"/>
          <w:spacing w:val="-3"/>
          <w:sz w:val="24"/>
          <w:szCs w:val="24"/>
        </w:rPr>
        <w:t>b</w:t>
      </w:r>
      <w:r>
        <w:rPr>
          <w:rFonts w:ascii="宋体" w:hAnsi="宋体" w:eastAsia="宋体" w:cs="宋体"/>
          <w:spacing w:val="-3"/>
          <w:sz w:val="24"/>
          <w:szCs w:val="24"/>
        </w:rPr>
        <w:t>为与臭气性质有关的常数。根据</w:t>
      </w:r>
      <w:r>
        <w:rPr>
          <w:rFonts w:ascii="宋体" w:hAnsi="宋体" w:eastAsia="宋体" w:cs="宋体"/>
          <w:spacing w:val="-4"/>
          <w:sz w:val="24"/>
          <w:szCs w:val="24"/>
        </w:rPr>
        <w:t>查询相关资料，废气因子的</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b</w:t>
      </w:r>
      <w:r>
        <w:rPr>
          <w:rFonts w:ascii="宋体" w:hAnsi="宋体" w:eastAsia="宋体" w:cs="宋体"/>
          <w:spacing w:val="-4"/>
          <w:sz w:val="24"/>
          <w:szCs w:val="24"/>
        </w:rPr>
        <w:t>值见下表：</w:t>
      </w:r>
    </w:p>
    <w:p w14:paraId="4660137C">
      <w:pPr>
        <w:spacing w:before="47" w:line="222" w:lineRule="auto"/>
        <w:ind w:left="205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1"/>
          <w:sz w:val="21"/>
          <w:szCs w:val="21"/>
        </w:rPr>
        <w:t xml:space="preserve"> </w:t>
      </w:r>
      <w:r>
        <w:rPr>
          <w:rFonts w:ascii="Times New Roman" w:hAnsi="Times New Roman" w:eastAsia="Times New Roman" w:cs="Times New Roman"/>
          <w:spacing w:val="-1"/>
          <w:sz w:val="21"/>
          <w:szCs w:val="21"/>
        </w:rPr>
        <w:t xml:space="preserve">4.2-16  </w:t>
      </w:r>
      <w:r>
        <w:rPr>
          <w:rFonts w:ascii="黑体" w:hAnsi="黑体" w:eastAsia="黑体" w:cs="黑体"/>
          <w:spacing w:val="-1"/>
          <w:sz w:val="21"/>
          <w:szCs w:val="21"/>
        </w:rPr>
        <w:t>主要污染因子的韦伯一费希内尔公式</w:t>
      </w:r>
    </w:p>
    <w:p w14:paraId="5B6A3EBE">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2"/>
        <w:gridCol w:w="2078"/>
        <w:gridCol w:w="2077"/>
        <w:gridCol w:w="2083"/>
      </w:tblGrid>
      <w:tr w14:paraId="3926B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082" w:type="dxa"/>
            <w:vAlign w:val="top"/>
          </w:tcPr>
          <w:p w14:paraId="43FE201D">
            <w:pPr>
              <w:spacing w:before="69" w:line="220" w:lineRule="auto"/>
              <w:ind w:left="628"/>
              <w:rPr>
                <w:rFonts w:ascii="宋体" w:hAnsi="宋体" w:eastAsia="宋体" w:cs="宋体"/>
                <w:sz w:val="21"/>
                <w:szCs w:val="21"/>
              </w:rPr>
            </w:pPr>
            <w:r>
              <w:rPr>
                <w:rFonts w:ascii="宋体" w:hAnsi="宋体" w:eastAsia="宋体" w:cs="宋体"/>
                <w:spacing w:val="-2"/>
                <w:sz w:val="21"/>
                <w:szCs w:val="21"/>
              </w:rPr>
              <w:t>污染因子</w:t>
            </w:r>
          </w:p>
        </w:tc>
        <w:tc>
          <w:tcPr>
            <w:tcW w:w="2078" w:type="dxa"/>
            <w:vAlign w:val="top"/>
          </w:tcPr>
          <w:p w14:paraId="48582A98">
            <w:pPr>
              <w:pStyle w:val="6"/>
              <w:spacing w:before="151" w:line="143" w:lineRule="exact"/>
              <w:ind w:left="996"/>
            </w:pPr>
            <w:r>
              <w:t>a</w:t>
            </w:r>
          </w:p>
        </w:tc>
        <w:tc>
          <w:tcPr>
            <w:tcW w:w="2077" w:type="dxa"/>
            <w:vAlign w:val="top"/>
          </w:tcPr>
          <w:p w14:paraId="3E13FD0D">
            <w:pPr>
              <w:pStyle w:val="6"/>
              <w:spacing w:before="101" w:line="192" w:lineRule="auto"/>
              <w:ind w:left="984"/>
            </w:pPr>
            <w:r>
              <w:t>b</w:t>
            </w:r>
          </w:p>
        </w:tc>
        <w:tc>
          <w:tcPr>
            <w:tcW w:w="2083" w:type="dxa"/>
            <w:vAlign w:val="top"/>
          </w:tcPr>
          <w:p w14:paraId="18A6BA31">
            <w:pPr>
              <w:spacing w:before="68" w:line="220" w:lineRule="auto"/>
              <w:ind w:left="837"/>
              <w:rPr>
                <w:rFonts w:ascii="宋体" w:hAnsi="宋体" w:eastAsia="宋体" w:cs="宋体"/>
                <w:sz w:val="21"/>
                <w:szCs w:val="21"/>
              </w:rPr>
            </w:pPr>
            <w:r>
              <w:rPr>
                <w:rFonts w:ascii="宋体" w:hAnsi="宋体" w:eastAsia="宋体" w:cs="宋体"/>
                <w:spacing w:val="-3"/>
                <w:sz w:val="21"/>
                <w:szCs w:val="21"/>
              </w:rPr>
              <w:t>特性</w:t>
            </w:r>
          </w:p>
        </w:tc>
      </w:tr>
      <w:tr w14:paraId="63C22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2" w:type="dxa"/>
            <w:vAlign w:val="top"/>
          </w:tcPr>
          <w:p w14:paraId="17D0B26D">
            <w:pPr>
              <w:spacing w:before="65" w:line="220" w:lineRule="auto"/>
              <w:ind w:left="941"/>
              <w:rPr>
                <w:rFonts w:ascii="宋体" w:hAnsi="宋体" w:eastAsia="宋体" w:cs="宋体"/>
                <w:sz w:val="21"/>
                <w:szCs w:val="21"/>
              </w:rPr>
            </w:pPr>
            <w:r>
              <w:rPr>
                <w:rFonts w:ascii="宋体" w:hAnsi="宋体" w:eastAsia="宋体" w:cs="宋体"/>
                <w:sz w:val="21"/>
                <w:szCs w:val="21"/>
              </w:rPr>
              <w:t>氨</w:t>
            </w:r>
          </w:p>
        </w:tc>
        <w:tc>
          <w:tcPr>
            <w:tcW w:w="2078" w:type="dxa"/>
            <w:vAlign w:val="top"/>
          </w:tcPr>
          <w:p w14:paraId="6DF9ECD0">
            <w:pPr>
              <w:pStyle w:val="6"/>
              <w:spacing w:before="101" w:line="188" w:lineRule="auto"/>
              <w:ind w:left="907"/>
            </w:pPr>
            <w:r>
              <w:rPr>
                <w:spacing w:val="-2"/>
              </w:rPr>
              <w:t>2.5</w:t>
            </w:r>
          </w:p>
        </w:tc>
        <w:tc>
          <w:tcPr>
            <w:tcW w:w="2077" w:type="dxa"/>
            <w:vAlign w:val="top"/>
          </w:tcPr>
          <w:p w14:paraId="5163E8E5">
            <w:pPr>
              <w:pStyle w:val="6"/>
              <w:spacing w:before="101" w:line="188" w:lineRule="auto"/>
              <w:ind w:left="877"/>
            </w:pPr>
            <w:r>
              <w:rPr>
                <w:spacing w:val="-7"/>
              </w:rPr>
              <w:t>1.53</w:t>
            </w:r>
          </w:p>
        </w:tc>
        <w:tc>
          <w:tcPr>
            <w:tcW w:w="2083" w:type="dxa"/>
            <w:vAlign w:val="top"/>
          </w:tcPr>
          <w:p w14:paraId="36938D5B">
            <w:pPr>
              <w:pStyle w:val="6"/>
              <w:spacing w:before="97" w:line="192" w:lineRule="auto"/>
              <w:ind w:left="341"/>
            </w:pPr>
            <w:r>
              <w:rPr>
                <w:spacing w:val="-1"/>
              </w:rPr>
              <w:t>L=2.5+1.53logC</w:t>
            </w:r>
          </w:p>
        </w:tc>
      </w:tr>
      <w:tr w14:paraId="1F418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082" w:type="dxa"/>
            <w:vAlign w:val="top"/>
          </w:tcPr>
          <w:p w14:paraId="1783A29C">
            <w:pPr>
              <w:spacing w:before="66" w:line="221" w:lineRule="auto"/>
              <w:ind w:left="730"/>
              <w:rPr>
                <w:rFonts w:ascii="宋体" w:hAnsi="宋体" w:eastAsia="宋体" w:cs="宋体"/>
                <w:sz w:val="21"/>
                <w:szCs w:val="21"/>
              </w:rPr>
            </w:pPr>
            <w:r>
              <w:rPr>
                <w:rFonts w:ascii="宋体" w:hAnsi="宋体" w:eastAsia="宋体" w:cs="宋体"/>
                <w:spacing w:val="-2"/>
                <w:sz w:val="21"/>
                <w:szCs w:val="21"/>
              </w:rPr>
              <w:t>硫化氢</w:t>
            </w:r>
          </w:p>
        </w:tc>
        <w:tc>
          <w:tcPr>
            <w:tcW w:w="2078" w:type="dxa"/>
            <w:vAlign w:val="top"/>
          </w:tcPr>
          <w:p w14:paraId="6CDBF968">
            <w:pPr>
              <w:pStyle w:val="6"/>
              <w:spacing w:before="103" w:line="188" w:lineRule="auto"/>
              <w:ind w:left="855"/>
            </w:pPr>
            <w:r>
              <w:rPr>
                <w:spacing w:val="-1"/>
              </w:rPr>
              <w:t>4.15</w:t>
            </w:r>
          </w:p>
        </w:tc>
        <w:tc>
          <w:tcPr>
            <w:tcW w:w="2077" w:type="dxa"/>
            <w:vAlign w:val="top"/>
          </w:tcPr>
          <w:p w14:paraId="5226855D">
            <w:pPr>
              <w:pStyle w:val="6"/>
              <w:spacing w:before="103" w:line="188" w:lineRule="auto"/>
              <w:ind w:left="861"/>
            </w:pPr>
            <w:r>
              <w:rPr>
                <w:spacing w:val="-2"/>
              </w:rPr>
              <w:t>0.96</w:t>
            </w:r>
          </w:p>
        </w:tc>
        <w:tc>
          <w:tcPr>
            <w:tcW w:w="2083" w:type="dxa"/>
            <w:vAlign w:val="top"/>
          </w:tcPr>
          <w:p w14:paraId="3847772F">
            <w:pPr>
              <w:pStyle w:val="6"/>
              <w:spacing w:before="99" w:line="192" w:lineRule="auto"/>
              <w:ind w:left="289"/>
            </w:pPr>
            <w:r>
              <w:rPr>
                <w:spacing w:val="-1"/>
              </w:rPr>
              <w:t>L=4.15+0.96logC</w:t>
            </w:r>
          </w:p>
        </w:tc>
      </w:tr>
    </w:tbl>
    <w:p w14:paraId="08B8308D">
      <w:pPr>
        <w:spacing w:before="235" w:line="362" w:lineRule="auto"/>
        <w:ind w:left="44" w:right="32" w:firstLine="475"/>
        <w:rPr>
          <w:rFonts w:ascii="宋体" w:hAnsi="宋体" w:eastAsia="宋体" w:cs="宋体"/>
          <w:sz w:val="24"/>
          <w:szCs w:val="24"/>
        </w:rPr>
      </w:pPr>
      <w:r>
        <w:rPr>
          <w:rFonts w:ascii="宋体" w:hAnsi="宋体" w:eastAsia="宋体" w:cs="宋体"/>
          <w:sz w:val="24"/>
          <w:szCs w:val="24"/>
        </w:rPr>
        <w:t>根据本次估算模型对</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3</w:t>
      </w:r>
      <w:r>
        <w:rPr>
          <w:rFonts w:ascii="Times New Roman" w:hAnsi="Times New Roman" w:eastAsia="Times New Roman" w:cs="Times New Roman"/>
          <w:spacing w:val="-5"/>
          <w:position w:val="-2"/>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20"/>
          <w:position w:val="-2"/>
          <w:sz w:val="15"/>
          <w:szCs w:val="15"/>
        </w:rPr>
        <w:t xml:space="preserve"> </w:t>
      </w:r>
      <w:r>
        <w:rPr>
          <w:rFonts w:ascii="Times New Roman" w:hAnsi="Times New Roman" w:eastAsia="Times New Roman" w:cs="Times New Roman"/>
          <w:sz w:val="24"/>
          <w:szCs w:val="24"/>
        </w:rPr>
        <w:t>S</w:t>
      </w:r>
      <w:r>
        <w:rPr>
          <w:rFonts w:ascii="宋体" w:hAnsi="宋体" w:eastAsia="宋体" w:cs="宋体"/>
          <w:sz w:val="24"/>
          <w:szCs w:val="24"/>
        </w:rPr>
        <w:t>最大落地浓度预测结果，采用韦伯—费希内</w:t>
      </w:r>
      <w:r>
        <w:rPr>
          <w:rFonts w:ascii="宋体" w:hAnsi="宋体" w:eastAsia="宋体" w:cs="宋体"/>
          <w:spacing w:val="-5"/>
          <w:sz w:val="24"/>
          <w:szCs w:val="24"/>
        </w:rPr>
        <w:t>尔公式计算臭气强度，结果如下：</w:t>
      </w:r>
    </w:p>
    <w:p w14:paraId="7B059EA6">
      <w:pPr>
        <w:spacing w:before="8" w:line="222" w:lineRule="auto"/>
        <w:ind w:left="258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5"/>
          <w:sz w:val="21"/>
          <w:szCs w:val="21"/>
        </w:rPr>
        <w:t xml:space="preserve"> </w:t>
      </w:r>
      <w:r>
        <w:rPr>
          <w:rFonts w:ascii="Times New Roman" w:hAnsi="Times New Roman" w:eastAsia="Times New Roman" w:cs="Times New Roman"/>
          <w:spacing w:val="-1"/>
          <w:sz w:val="21"/>
          <w:szCs w:val="21"/>
        </w:rPr>
        <w:t xml:space="preserve">4.2-17  </w:t>
      </w:r>
      <w:r>
        <w:rPr>
          <w:rFonts w:ascii="黑体" w:hAnsi="黑体" w:eastAsia="黑体" w:cs="黑体"/>
          <w:spacing w:val="-1"/>
          <w:sz w:val="21"/>
          <w:szCs w:val="21"/>
        </w:rPr>
        <w:t>本项目臭气强度评价结果</w:t>
      </w:r>
    </w:p>
    <w:p w14:paraId="5C3093D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0"/>
        <w:gridCol w:w="2545"/>
        <w:gridCol w:w="1416"/>
        <w:gridCol w:w="2789"/>
      </w:tblGrid>
      <w:tr w14:paraId="4B121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570" w:type="dxa"/>
            <w:vAlign w:val="top"/>
          </w:tcPr>
          <w:p w14:paraId="3751F546">
            <w:pPr>
              <w:spacing w:before="68" w:line="220" w:lineRule="auto"/>
              <w:ind w:left="372"/>
              <w:rPr>
                <w:rFonts w:ascii="宋体" w:hAnsi="宋体" w:eastAsia="宋体" w:cs="宋体"/>
                <w:sz w:val="21"/>
                <w:szCs w:val="21"/>
              </w:rPr>
            </w:pPr>
            <w:r>
              <w:rPr>
                <w:rFonts w:ascii="宋体" w:hAnsi="宋体" w:eastAsia="宋体" w:cs="宋体"/>
                <w:spacing w:val="-2"/>
                <w:sz w:val="21"/>
                <w:szCs w:val="21"/>
              </w:rPr>
              <w:t>污染因子</w:t>
            </w:r>
          </w:p>
        </w:tc>
        <w:tc>
          <w:tcPr>
            <w:tcW w:w="2545" w:type="dxa"/>
            <w:vAlign w:val="top"/>
          </w:tcPr>
          <w:p w14:paraId="219C880F">
            <w:pPr>
              <w:pStyle w:val="6"/>
              <w:spacing w:before="52" w:line="217" w:lineRule="auto"/>
              <w:ind w:left="158"/>
              <w:rPr>
                <w:rFonts w:ascii="宋体" w:hAnsi="宋体" w:eastAsia="宋体" w:cs="宋体"/>
              </w:rPr>
            </w:pPr>
            <w:r>
              <w:rPr>
                <w:rFonts w:ascii="宋体" w:hAnsi="宋体" w:eastAsia="宋体" w:cs="宋体"/>
                <w:spacing w:val="-1"/>
              </w:rPr>
              <w:t>最大落地浓度（</w:t>
            </w:r>
            <w:r>
              <w:rPr>
                <w:spacing w:val="-1"/>
              </w:rPr>
              <w:t>mg/m</w:t>
            </w:r>
            <w:r>
              <w:rPr>
                <w:spacing w:val="-1"/>
                <w:position w:val="1"/>
                <w:sz w:val="14"/>
                <w:szCs w:val="14"/>
              </w:rPr>
              <w:t>3</w:t>
            </w:r>
            <w:r>
              <w:rPr>
                <w:rFonts w:ascii="宋体" w:hAnsi="宋体" w:eastAsia="宋体" w:cs="宋体"/>
                <w:spacing w:val="-1"/>
                <w:position w:val="1"/>
              </w:rPr>
              <w:t>）</w:t>
            </w:r>
          </w:p>
        </w:tc>
        <w:tc>
          <w:tcPr>
            <w:tcW w:w="1416" w:type="dxa"/>
            <w:vAlign w:val="top"/>
          </w:tcPr>
          <w:p w14:paraId="2D3B58F8">
            <w:pPr>
              <w:pStyle w:val="6"/>
              <w:spacing w:before="107" w:line="185" w:lineRule="auto"/>
              <w:ind w:left="645"/>
            </w:pPr>
            <w:r>
              <w:t>L</w:t>
            </w:r>
          </w:p>
        </w:tc>
        <w:tc>
          <w:tcPr>
            <w:tcW w:w="2789" w:type="dxa"/>
            <w:vAlign w:val="top"/>
          </w:tcPr>
          <w:p w14:paraId="4E7BB1AA">
            <w:pPr>
              <w:spacing w:before="68" w:line="220" w:lineRule="auto"/>
              <w:ind w:left="1189"/>
              <w:rPr>
                <w:rFonts w:ascii="宋体" w:hAnsi="宋体" w:eastAsia="宋体" w:cs="宋体"/>
                <w:sz w:val="21"/>
                <w:szCs w:val="21"/>
              </w:rPr>
            </w:pPr>
            <w:r>
              <w:rPr>
                <w:rFonts w:ascii="宋体" w:hAnsi="宋体" w:eastAsia="宋体" w:cs="宋体"/>
                <w:spacing w:val="-3"/>
                <w:sz w:val="21"/>
                <w:szCs w:val="21"/>
              </w:rPr>
              <w:t>感觉</w:t>
            </w:r>
          </w:p>
        </w:tc>
      </w:tr>
      <w:tr w14:paraId="572F1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70" w:type="dxa"/>
            <w:vAlign w:val="top"/>
          </w:tcPr>
          <w:p w14:paraId="573B7FEB">
            <w:pPr>
              <w:spacing w:before="66" w:line="220" w:lineRule="auto"/>
              <w:ind w:left="685"/>
              <w:rPr>
                <w:rFonts w:ascii="宋体" w:hAnsi="宋体" w:eastAsia="宋体" w:cs="宋体"/>
                <w:sz w:val="21"/>
                <w:szCs w:val="21"/>
              </w:rPr>
            </w:pPr>
            <w:r>
              <w:rPr>
                <w:rFonts w:ascii="宋体" w:hAnsi="宋体" w:eastAsia="宋体" w:cs="宋体"/>
                <w:sz w:val="21"/>
                <w:szCs w:val="21"/>
              </w:rPr>
              <w:t>氨</w:t>
            </w:r>
          </w:p>
        </w:tc>
        <w:tc>
          <w:tcPr>
            <w:tcW w:w="2545" w:type="dxa"/>
            <w:vAlign w:val="top"/>
          </w:tcPr>
          <w:p w14:paraId="188C74D7">
            <w:pPr>
              <w:pStyle w:val="6"/>
              <w:spacing w:before="50" w:line="215" w:lineRule="auto"/>
              <w:ind w:left="729"/>
              <w:rPr>
                <w:sz w:val="14"/>
                <w:szCs w:val="14"/>
              </w:rPr>
            </w:pPr>
            <w:r>
              <w:rPr>
                <w:spacing w:val="-2"/>
              </w:rPr>
              <w:t>18.7220×10</w:t>
            </w:r>
            <w:r>
              <w:rPr>
                <w:spacing w:val="-2"/>
                <w:position w:val="9"/>
                <w:sz w:val="14"/>
                <w:szCs w:val="14"/>
              </w:rPr>
              <w:t>-3</w:t>
            </w:r>
          </w:p>
        </w:tc>
        <w:tc>
          <w:tcPr>
            <w:tcW w:w="1416" w:type="dxa"/>
            <w:vAlign w:val="top"/>
          </w:tcPr>
          <w:p w14:paraId="692F1993">
            <w:pPr>
              <w:pStyle w:val="6"/>
              <w:spacing w:before="102" w:line="188" w:lineRule="auto"/>
              <w:ind w:left="389"/>
            </w:pPr>
            <w:r>
              <w:rPr>
                <w:spacing w:val="-2"/>
              </w:rPr>
              <w:t>-0.1433</w:t>
            </w:r>
          </w:p>
        </w:tc>
        <w:tc>
          <w:tcPr>
            <w:tcW w:w="2789" w:type="dxa"/>
            <w:vAlign w:val="top"/>
          </w:tcPr>
          <w:p w14:paraId="0F79BC53">
            <w:pPr>
              <w:spacing w:before="65" w:line="220" w:lineRule="auto"/>
              <w:ind w:left="1190"/>
              <w:rPr>
                <w:rFonts w:ascii="宋体" w:hAnsi="宋体" w:eastAsia="宋体" w:cs="宋体"/>
                <w:sz w:val="21"/>
                <w:szCs w:val="21"/>
              </w:rPr>
            </w:pPr>
            <w:r>
              <w:rPr>
                <w:rFonts w:ascii="宋体" w:hAnsi="宋体" w:eastAsia="宋体" w:cs="宋体"/>
                <w:spacing w:val="-3"/>
                <w:sz w:val="21"/>
                <w:szCs w:val="21"/>
              </w:rPr>
              <w:t>无臭</w:t>
            </w:r>
          </w:p>
        </w:tc>
      </w:tr>
      <w:tr w14:paraId="4EE59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570" w:type="dxa"/>
            <w:vAlign w:val="top"/>
          </w:tcPr>
          <w:p w14:paraId="3BDDC6E0">
            <w:pPr>
              <w:spacing w:before="66" w:line="221" w:lineRule="auto"/>
              <w:ind w:left="475"/>
              <w:rPr>
                <w:rFonts w:ascii="宋体" w:hAnsi="宋体" w:eastAsia="宋体" w:cs="宋体"/>
                <w:sz w:val="21"/>
                <w:szCs w:val="21"/>
              </w:rPr>
            </w:pPr>
            <w:r>
              <w:rPr>
                <w:rFonts w:ascii="宋体" w:hAnsi="宋体" w:eastAsia="宋体" w:cs="宋体"/>
                <w:spacing w:val="-2"/>
                <w:sz w:val="21"/>
                <w:szCs w:val="21"/>
              </w:rPr>
              <w:t>硫化氢</w:t>
            </w:r>
          </w:p>
        </w:tc>
        <w:tc>
          <w:tcPr>
            <w:tcW w:w="2545" w:type="dxa"/>
            <w:vAlign w:val="top"/>
          </w:tcPr>
          <w:p w14:paraId="3B81510B">
            <w:pPr>
              <w:pStyle w:val="6"/>
              <w:spacing w:before="51" w:line="225" w:lineRule="auto"/>
              <w:ind w:left="765"/>
              <w:rPr>
                <w:sz w:val="14"/>
                <w:szCs w:val="14"/>
              </w:rPr>
            </w:pPr>
            <w:r>
              <w:rPr>
                <w:spacing w:val="-1"/>
              </w:rPr>
              <w:t>0.7410×10</w:t>
            </w:r>
            <w:r>
              <w:rPr>
                <w:spacing w:val="-1"/>
                <w:position w:val="8"/>
                <w:sz w:val="14"/>
                <w:szCs w:val="14"/>
              </w:rPr>
              <w:t>-3</w:t>
            </w:r>
          </w:p>
        </w:tc>
        <w:tc>
          <w:tcPr>
            <w:tcW w:w="1416" w:type="dxa"/>
            <w:vAlign w:val="top"/>
          </w:tcPr>
          <w:p w14:paraId="0FA18110">
            <w:pPr>
              <w:pStyle w:val="6"/>
              <w:spacing w:before="102" w:line="188" w:lineRule="auto"/>
              <w:ind w:left="441"/>
            </w:pPr>
            <w:r>
              <w:rPr>
                <w:spacing w:val="-5"/>
              </w:rPr>
              <w:t>1.1450</w:t>
            </w:r>
          </w:p>
        </w:tc>
        <w:tc>
          <w:tcPr>
            <w:tcW w:w="2789" w:type="dxa"/>
            <w:vAlign w:val="top"/>
          </w:tcPr>
          <w:p w14:paraId="18A1694A">
            <w:pPr>
              <w:spacing w:before="65" w:line="220" w:lineRule="auto"/>
              <w:ind w:left="138"/>
              <w:rPr>
                <w:rFonts w:ascii="宋体" w:hAnsi="宋体" w:eastAsia="宋体" w:cs="宋体"/>
                <w:sz w:val="21"/>
                <w:szCs w:val="21"/>
              </w:rPr>
            </w:pPr>
            <w:r>
              <w:rPr>
                <w:rFonts w:ascii="宋体" w:hAnsi="宋体" w:eastAsia="宋体" w:cs="宋体"/>
                <w:spacing w:val="-2"/>
                <w:sz w:val="21"/>
                <w:szCs w:val="21"/>
              </w:rPr>
              <w:t>确认臭味存在（认知阈值）</w:t>
            </w:r>
          </w:p>
        </w:tc>
      </w:tr>
    </w:tbl>
    <w:p w14:paraId="7FAEA912">
      <w:pPr>
        <w:spacing w:before="234" w:line="362" w:lineRule="auto"/>
        <w:ind w:left="41" w:right="28" w:firstLine="478"/>
        <w:rPr>
          <w:rFonts w:ascii="宋体" w:hAnsi="宋体" w:eastAsia="宋体" w:cs="宋体"/>
          <w:sz w:val="24"/>
          <w:szCs w:val="24"/>
        </w:rPr>
      </w:pPr>
      <w:r>
        <w:rPr>
          <w:rFonts w:ascii="宋体" w:hAnsi="宋体" w:eastAsia="宋体" w:cs="宋体"/>
          <w:sz w:val="24"/>
          <w:szCs w:val="24"/>
        </w:rPr>
        <w:t>臭气限制标准一般相当于臭气强度</w:t>
      </w:r>
      <w:r>
        <w:rPr>
          <w:rFonts w:ascii="Times New Roman" w:hAnsi="Times New Roman" w:eastAsia="Times New Roman" w:cs="Times New Roman"/>
          <w:sz w:val="24"/>
          <w:szCs w:val="24"/>
        </w:rPr>
        <w:t>2.5</w:t>
      </w:r>
      <w:r>
        <w:rPr>
          <w:rFonts w:ascii="宋体" w:hAnsi="宋体" w:eastAsia="宋体" w:cs="宋体"/>
          <w:sz w:val="24"/>
          <w:szCs w:val="24"/>
        </w:rPr>
        <w:t>～</w:t>
      </w:r>
      <w:r>
        <w:rPr>
          <w:rFonts w:ascii="Times New Roman" w:hAnsi="Times New Roman" w:eastAsia="Times New Roman" w:cs="Times New Roman"/>
          <w:sz w:val="24"/>
          <w:szCs w:val="24"/>
        </w:rPr>
        <w:t>3.5</w:t>
      </w:r>
      <w:r>
        <w:rPr>
          <w:rFonts w:ascii="宋体" w:hAnsi="宋体" w:eastAsia="宋体" w:cs="宋体"/>
          <w:sz w:val="24"/>
          <w:szCs w:val="24"/>
        </w:rPr>
        <w:t>级，超出该强度范围，即认为发</w:t>
      </w:r>
      <w:r>
        <w:rPr>
          <w:rFonts w:ascii="宋体" w:hAnsi="宋体" w:eastAsia="宋体" w:cs="宋体"/>
          <w:spacing w:val="-7"/>
          <w:sz w:val="24"/>
          <w:szCs w:val="24"/>
        </w:rPr>
        <w:t>生恶臭污染。由预测结果可知，项目最大落地浓度点处于无臭</w:t>
      </w:r>
      <w:r>
        <w:rPr>
          <w:rFonts w:ascii="Times New Roman" w:hAnsi="Times New Roman" w:eastAsia="Times New Roman" w:cs="Times New Roman"/>
          <w:spacing w:val="-7"/>
          <w:sz w:val="24"/>
          <w:szCs w:val="24"/>
        </w:rPr>
        <w:t>~</w:t>
      </w:r>
      <w:r>
        <w:rPr>
          <w:rFonts w:ascii="宋体" w:hAnsi="宋体" w:eastAsia="宋体" w:cs="宋体"/>
          <w:spacing w:val="-7"/>
          <w:sz w:val="24"/>
          <w:szCs w:val="24"/>
        </w:rPr>
        <w:t>确认臭味存在（认</w:t>
      </w:r>
    </w:p>
    <w:p w14:paraId="76B3D3A2">
      <w:pPr>
        <w:spacing w:line="362" w:lineRule="auto"/>
        <w:rPr>
          <w:rFonts w:ascii="宋体" w:hAnsi="宋体" w:eastAsia="宋体" w:cs="宋体"/>
          <w:sz w:val="24"/>
          <w:szCs w:val="24"/>
        </w:rPr>
        <w:sectPr>
          <w:headerReference r:id="rId316" w:type="default"/>
          <w:footerReference r:id="rId317" w:type="default"/>
          <w:pgSz w:w="11905" w:h="16840"/>
          <w:pgMar w:top="1168" w:right="1768" w:bottom="1408" w:left="1770" w:header="828" w:footer="1244" w:gutter="0"/>
          <w:cols w:space="720" w:num="1"/>
        </w:sectPr>
      </w:pPr>
    </w:p>
    <w:p w14:paraId="1346480A">
      <w:pPr>
        <w:pStyle w:val="2"/>
        <w:spacing w:line="305" w:lineRule="auto"/>
      </w:pPr>
    </w:p>
    <w:p w14:paraId="16A51849">
      <w:pPr>
        <w:spacing w:before="78" w:line="220" w:lineRule="auto"/>
        <w:ind w:left="44"/>
        <w:rPr>
          <w:rFonts w:ascii="宋体" w:hAnsi="宋体" w:eastAsia="宋体" w:cs="宋体"/>
          <w:sz w:val="24"/>
          <w:szCs w:val="24"/>
        </w:rPr>
      </w:pPr>
      <w:r>
        <w:rPr>
          <w:rFonts w:ascii="宋体" w:hAnsi="宋体" w:eastAsia="宋体" w:cs="宋体"/>
          <w:spacing w:val="-3"/>
          <w:sz w:val="24"/>
          <w:szCs w:val="24"/>
        </w:rPr>
        <w:t>知阈值）范围之间，未达到恶臭污染等级。</w:t>
      </w:r>
    </w:p>
    <w:p w14:paraId="0C0DBF28">
      <w:pPr>
        <w:spacing w:before="182" w:line="362" w:lineRule="auto"/>
        <w:ind w:left="44" w:right="42" w:firstLine="474"/>
        <w:rPr>
          <w:rFonts w:ascii="宋体" w:hAnsi="宋体" w:eastAsia="宋体" w:cs="宋体"/>
          <w:sz w:val="24"/>
          <w:szCs w:val="24"/>
        </w:rPr>
      </w:pPr>
      <w:r>
        <w:rPr>
          <w:rFonts w:ascii="宋体" w:hAnsi="宋体" w:eastAsia="宋体" w:cs="宋体"/>
          <w:spacing w:val="-4"/>
          <w:sz w:val="24"/>
          <w:szCs w:val="24"/>
        </w:rPr>
        <w:t>在《恶臭污染评价分级方法》（张欢、包景岭、王元刚）中提出，臭气浓度与臭气强度之间存在一定关系，如下表：</w:t>
      </w:r>
    </w:p>
    <w:p w14:paraId="6A7F2BBF">
      <w:pPr>
        <w:spacing w:before="7" w:line="222" w:lineRule="auto"/>
        <w:ind w:left="247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4"/>
          <w:sz w:val="21"/>
          <w:szCs w:val="21"/>
        </w:rPr>
        <w:t xml:space="preserve"> </w:t>
      </w:r>
      <w:r>
        <w:rPr>
          <w:rFonts w:ascii="Times New Roman" w:hAnsi="Times New Roman" w:eastAsia="Times New Roman" w:cs="Times New Roman"/>
          <w:spacing w:val="-1"/>
          <w:sz w:val="21"/>
          <w:szCs w:val="21"/>
        </w:rPr>
        <w:t xml:space="preserve">4.2-18  </w:t>
      </w:r>
      <w:r>
        <w:rPr>
          <w:rFonts w:ascii="黑体" w:hAnsi="黑体" w:eastAsia="黑体" w:cs="黑体"/>
          <w:spacing w:val="-1"/>
          <w:sz w:val="21"/>
          <w:szCs w:val="21"/>
        </w:rPr>
        <w:t>臭气浓度与臭气强度关系表</w:t>
      </w:r>
    </w:p>
    <w:p w14:paraId="691EE3D8">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75"/>
        <w:gridCol w:w="2769"/>
        <w:gridCol w:w="2776"/>
      </w:tblGrid>
      <w:tr w14:paraId="769BB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75" w:type="dxa"/>
            <w:vAlign w:val="top"/>
          </w:tcPr>
          <w:p w14:paraId="2F897A3B">
            <w:pPr>
              <w:spacing w:before="69" w:line="220" w:lineRule="auto"/>
              <w:ind w:left="1186"/>
              <w:rPr>
                <w:rFonts w:ascii="宋体" w:hAnsi="宋体" w:eastAsia="宋体" w:cs="宋体"/>
                <w:sz w:val="21"/>
                <w:szCs w:val="21"/>
              </w:rPr>
            </w:pPr>
            <w:r>
              <w:rPr>
                <w:rFonts w:ascii="宋体" w:hAnsi="宋体" w:eastAsia="宋体" w:cs="宋体"/>
                <w:spacing w:val="-3"/>
                <w:sz w:val="21"/>
                <w:szCs w:val="21"/>
              </w:rPr>
              <w:t>分级</w:t>
            </w:r>
          </w:p>
        </w:tc>
        <w:tc>
          <w:tcPr>
            <w:tcW w:w="2769" w:type="dxa"/>
            <w:vAlign w:val="top"/>
          </w:tcPr>
          <w:p w14:paraId="7AB78743">
            <w:pPr>
              <w:spacing w:before="68" w:line="220" w:lineRule="auto"/>
              <w:ind w:left="445"/>
              <w:rPr>
                <w:rFonts w:ascii="宋体" w:hAnsi="宋体" w:eastAsia="宋体" w:cs="宋体"/>
                <w:sz w:val="21"/>
                <w:szCs w:val="21"/>
              </w:rPr>
            </w:pPr>
            <w:r>
              <w:rPr>
                <w:rFonts w:ascii="宋体" w:hAnsi="宋体" w:eastAsia="宋体" w:cs="宋体"/>
                <w:spacing w:val="-3"/>
                <w:sz w:val="21"/>
                <w:szCs w:val="21"/>
              </w:rPr>
              <w:t>臭气强度（无量纲）</w:t>
            </w:r>
          </w:p>
        </w:tc>
        <w:tc>
          <w:tcPr>
            <w:tcW w:w="2776" w:type="dxa"/>
            <w:vAlign w:val="top"/>
          </w:tcPr>
          <w:p w14:paraId="3E0334F4">
            <w:pPr>
              <w:spacing w:before="68" w:line="220" w:lineRule="auto"/>
              <w:ind w:left="447"/>
              <w:rPr>
                <w:rFonts w:ascii="宋体" w:hAnsi="宋体" w:eastAsia="宋体" w:cs="宋体"/>
                <w:sz w:val="21"/>
                <w:szCs w:val="21"/>
              </w:rPr>
            </w:pPr>
            <w:r>
              <w:rPr>
                <w:rFonts w:ascii="宋体" w:hAnsi="宋体" w:eastAsia="宋体" w:cs="宋体"/>
                <w:spacing w:val="-3"/>
                <w:sz w:val="21"/>
                <w:szCs w:val="21"/>
              </w:rPr>
              <w:t>臭气浓度（无量纲）</w:t>
            </w:r>
          </w:p>
        </w:tc>
      </w:tr>
      <w:tr w14:paraId="76BEE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775" w:type="dxa"/>
            <w:vAlign w:val="top"/>
          </w:tcPr>
          <w:p w14:paraId="15EFC1AD">
            <w:pPr>
              <w:pStyle w:val="6"/>
              <w:spacing w:before="100" w:line="188" w:lineRule="auto"/>
              <w:ind w:left="1340"/>
            </w:pPr>
            <w:r>
              <w:t>0</w:t>
            </w:r>
          </w:p>
        </w:tc>
        <w:tc>
          <w:tcPr>
            <w:tcW w:w="2769" w:type="dxa"/>
            <w:vAlign w:val="top"/>
          </w:tcPr>
          <w:p w14:paraId="0C84A369">
            <w:pPr>
              <w:pStyle w:val="6"/>
              <w:spacing w:before="100" w:line="188" w:lineRule="auto"/>
              <w:ind w:left="1337"/>
            </w:pPr>
            <w:r>
              <w:t>0</w:t>
            </w:r>
          </w:p>
        </w:tc>
        <w:tc>
          <w:tcPr>
            <w:tcW w:w="2776" w:type="dxa"/>
            <w:vAlign w:val="top"/>
          </w:tcPr>
          <w:p w14:paraId="773DEC92">
            <w:pPr>
              <w:pStyle w:val="6"/>
              <w:spacing w:before="100" w:line="188" w:lineRule="auto"/>
              <w:ind w:left="1303"/>
            </w:pPr>
            <w:r>
              <w:rPr>
                <w:spacing w:val="-12"/>
              </w:rPr>
              <w:t>10</w:t>
            </w:r>
          </w:p>
        </w:tc>
      </w:tr>
      <w:tr w14:paraId="22257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75" w:type="dxa"/>
            <w:vAlign w:val="top"/>
          </w:tcPr>
          <w:p w14:paraId="33EE11BC">
            <w:pPr>
              <w:pStyle w:val="6"/>
              <w:spacing w:before="103" w:line="188" w:lineRule="auto"/>
              <w:ind w:left="1357"/>
            </w:pPr>
            <w:r>
              <w:t>1</w:t>
            </w:r>
          </w:p>
        </w:tc>
        <w:tc>
          <w:tcPr>
            <w:tcW w:w="2769" w:type="dxa"/>
            <w:vAlign w:val="top"/>
          </w:tcPr>
          <w:p w14:paraId="17F8F9F4">
            <w:pPr>
              <w:pStyle w:val="6"/>
              <w:spacing w:before="103" w:line="188" w:lineRule="auto"/>
              <w:ind w:left="1354"/>
            </w:pPr>
            <w:r>
              <w:t>1</w:t>
            </w:r>
          </w:p>
        </w:tc>
        <w:tc>
          <w:tcPr>
            <w:tcW w:w="2776" w:type="dxa"/>
            <w:vAlign w:val="top"/>
          </w:tcPr>
          <w:p w14:paraId="55D1F326">
            <w:pPr>
              <w:pStyle w:val="6"/>
              <w:spacing w:before="103" w:line="188" w:lineRule="auto"/>
              <w:ind w:left="1283"/>
            </w:pPr>
            <w:r>
              <w:rPr>
                <w:spacing w:val="-2"/>
              </w:rPr>
              <w:t>23</w:t>
            </w:r>
          </w:p>
        </w:tc>
      </w:tr>
      <w:tr w14:paraId="1D722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75" w:type="dxa"/>
            <w:vAlign w:val="top"/>
          </w:tcPr>
          <w:p w14:paraId="4F7ED9FD">
            <w:pPr>
              <w:pStyle w:val="6"/>
              <w:spacing w:before="102" w:line="188" w:lineRule="auto"/>
              <w:ind w:left="1337"/>
            </w:pPr>
            <w:r>
              <w:t>2</w:t>
            </w:r>
          </w:p>
        </w:tc>
        <w:tc>
          <w:tcPr>
            <w:tcW w:w="2769" w:type="dxa"/>
            <w:vAlign w:val="top"/>
          </w:tcPr>
          <w:p w14:paraId="17C1A035">
            <w:pPr>
              <w:pStyle w:val="6"/>
              <w:spacing w:before="102" w:line="188" w:lineRule="auto"/>
              <w:ind w:left="1334"/>
            </w:pPr>
            <w:r>
              <w:t>2</w:t>
            </w:r>
          </w:p>
        </w:tc>
        <w:tc>
          <w:tcPr>
            <w:tcW w:w="2776" w:type="dxa"/>
            <w:vAlign w:val="top"/>
          </w:tcPr>
          <w:p w14:paraId="2DA30D38">
            <w:pPr>
              <w:pStyle w:val="6"/>
              <w:spacing w:before="102" w:line="188" w:lineRule="auto"/>
              <w:ind w:left="1289"/>
            </w:pPr>
            <w:r>
              <w:rPr>
                <w:spacing w:val="-5"/>
              </w:rPr>
              <w:t>51</w:t>
            </w:r>
          </w:p>
        </w:tc>
      </w:tr>
      <w:tr w14:paraId="789C3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775" w:type="dxa"/>
            <w:vAlign w:val="top"/>
          </w:tcPr>
          <w:p w14:paraId="58D7104F">
            <w:pPr>
              <w:pStyle w:val="6"/>
              <w:spacing w:before="102" w:line="188" w:lineRule="auto"/>
              <w:ind w:left="1341"/>
            </w:pPr>
            <w:r>
              <w:t>3</w:t>
            </w:r>
          </w:p>
        </w:tc>
        <w:tc>
          <w:tcPr>
            <w:tcW w:w="2769" w:type="dxa"/>
            <w:vAlign w:val="top"/>
          </w:tcPr>
          <w:p w14:paraId="1450B167">
            <w:pPr>
              <w:pStyle w:val="6"/>
              <w:spacing w:before="102" w:line="188" w:lineRule="auto"/>
              <w:ind w:left="1338"/>
            </w:pPr>
            <w:r>
              <w:t>3</w:t>
            </w:r>
          </w:p>
        </w:tc>
        <w:tc>
          <w:tcPr>
            <w:tcW w:w="2776" w:type="dxa"/>
            <w:vAlign w:val="top"/>
          </w:tcPr>
          <w:p w14:paraId="10853567">
            <w:pPr>
              <w:pStyle w:val="6"/>
              <w:spacing w:before="102" w:line="188" w:lineRule="auto"/>
              <w:ind w:left="1255"/>
            </w:pPr>
            <w:r>
              <w:rPr>
                <w:spacing w:val="-11"/>
              </w:rPr>
              <w:t>117</w:t>
            </w:r>
          </w:p>
        </w:tc>
      </w:tr>
      <w:tr w14:paraId="1BCC0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75" w:type="dxa"/>
            <w:vAlign w:val="top"/>
          </w:tcPr>
          <w:p w14:paraId="30B8010C">
            <w:pPr>
              <w:pStyle w:val="6"/>
              <w:spacing w:before="105" w:line="188" w:lineRule="auto"/>
              <w:ind w:left="1336"/>
            </w:pPr>
            <w:r>
              <w:t>4</w:t>
            </w:r>
          </w:p>
        </w:tc>
        <w:tc>
          <w:tcPr>
            <w:tcW w:w="2769" w:type="dxa"/>
            <w:vAlign w:val="top"/>
          </w:tcPr>
          <w:p w14:paraId="63B2A3A3">
            <w:pPr>
              <w:pStyle w:val="6"/>
              <w:spacing w:before="105" w:line="188" w:lineRule="auto"/>
              <w:ind w:left="1333"/>
            </w:pPr>
            <w:r>
              <w:t>4</w:t>
            </w:r>
          </w:p>
        </w:tc>
        <w:tc>
          <w:tcPr>
            <w:tcW w:w="2776" w:type="dxa"/>
            <w:vAlign w:val="top"/>
          </w:tcPr>
          <w:p w14:paraId="2C14453A">
            <w:pPr>
              <w:pStyle w:val="6"/>
              <w:spacing w:before="105" w:line="188" w:lineRule="auto"/>
              <w:ind w:left="1231"/>
            </w:pPr>
            <w:r>
              <w:rPr>
                <w:spacing w:val="-2"/>
              </w:rPr>
              <w:t>265</w:t>
            </w:r>
          </w:p>
        </w:tc>
      </w:tr>
      <w:tr w14:paraId="35C5F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75" w:type="dxa"/>
            <w:vAlign w:val="top"/>
          </w:tcPr>
          <w:p w14:paraId="2B10F023">
            <w:pPr>
              <w:pStyle w:val="6"/>
              <w:spacing w:before="107" w:line="185" w:lineRule="auto"/>
              <w:ind w:left="1343"/>
            </w:pPr>
            <w:r>
              <w:t>5</w:t>
            </w:r>
          </w:p>
        </w:tc>
        <w:tc>
          <w:tcPr>
            <w:tcW w:w="2769" w:type="dxa"/>
            <w:vAlign w:val="top"/>
          </w:tcPr>
          <w:p w14:paraId="523B8931">
            <w:pPr>
              <w:pStyle w:val="6"/>
              <w:spacing w:before="107" w:line="185" w:lineRule="auto"/>
              <w:ind w:left="1340"/>
            </w:pPr>
            <w:r>
              <w:t>5</w:t>
            </w:r>
          </w:p>
        </w:tc>
        <w:tc>
          <w:tcPr>
            <w:tcW w:w="2776" w:type="dxa"/>
            <w:vAlign w:val="top"/>
          </w:tcPr>
          <w:p w14:paraId="01981F4D">
            <w:pPr>
              <w:pStyle w:val="6"/>
              <w:spacing w:before="104" w:line="188" w:lineRule="auto"/>
              <w:ind w:left="1236"/>
            </w:pPr>
            <w:r>
              <w:rPr>
                <w:spacing w:val="-4"/>
              </w:rPr>
              <w:t>600</w:t>
            </w:r>
          </w:p>
        </w:tc>
      </w:tr>
    </w:tbl>
    <w:p w14:paraId="25D84B1A">
      <w:pPr>
        <w:spacing w:before="234" w:line="360" w:lineRule="auto"/>
        <w:ind w:left="38" w:right="29" w:firstLine="480"/>
        <w:jc w:val="both"/>
        <w:rPr>
          <w:rFonts w:ascii="宋体" w:hAnsi="宋体" w:eastAsia="宋体" w:cs="宋体"/>
          <w:sz w:val="24"/>
          <w:szCs w:val="24"/>
        </w:rPr>
      </w:pPr>
      <w:r>
        <w:rPr>
          <w:rFonts w:ascii="宋体" w:hAnsi="宋体" w:eastAsia="宋体" w:cs="宋体"/>
          <w:spacing w:val="2"/>
          <w:sz w:val="24"/>
          <w:szCs w:val="24"/>
        </w:rPr>
        <w:t>根据预测结果，本项目最大落地浓度点点处臭气强度约</w:t>
      </w:r>
      <w:r>
        <w:rPr>
          <w:rFonts w:ascii="Times New Roman" w:hAnsi="Times New Roman" w:eastAsia="Times New Roman" w:cs="Times New Roman"/>
          <w:spacing w:val="2"/>
          <w:sz w:val="24"/>
          <w:szCs w:val="24"/>
        </w:rPr>
        <w:t>1.145</w:t>
      </w:r>
      <w:r>
        <w:rPr>
          <w:rFonts w:ascii="宋体" w:hAnsi="宋体" w:eastAsia="宋体" w:cs="宋体"/>
          <w:spacing w:val="1"/>
          <w:sz w:val="24"/>
          <w:szCs w:val="24"/>
        </w:rPr>
        <w:t>，对应臭气浓</w:t>
      </w:r>
      <w:r>
        <w:rPr>
          <w:rFonts w:ascii="宋体" w:hAnsi="宋体" w:eastAsia="宋体" w:cs="宋体"/>
          <w:spacing w:val="-6"/>
          <w:sz w:val="24"/>
          <w:szCs w:val="24"/>
        </w:rPr>
        <w:t>度在</w:t>
      </w:r>
      <w:r>
        <w:rPr>
          <w:rFonts w:ascii="Times New Roman" w:hAnsi="Times New Roman" w:eastAsia="Times New Roman" w:cs="Times New Roman"/>
          <w:spacing w:val="-6"/>
          <w:sz w:val="24"/>
          <w:szCs w:val="24"/>
        </w:rPr>
        <w:t>23~51</w:t>
      </w:r>
      <w:r>
        <w:rPr>
          <w:rFonts w:ascii="宋体" w:hAnsi="宋体" w:eastAsia="宋体" w:cs="宋体"/>
          <w:spacing w:val="-6"/>
          <w:sz w:val="24"/>
          <w:szCs w:val="24"/>
        </w:rPr>
        <w:t>之间，即厂界确认臭味存在（</w:t>
      </w:r>
      <w:r>
        <w:rPr>
          <w:rFonts w:ascii="宋体" w:hAnsi="宋体" w:eastAsia="宋体" w:cs="宋体"/>
          <w:spacing w:val="-7"/>
          <w:sz w:val="24"/>
          <w:szCs w:val="24"/>
        </w:rPr>
        <w:t>认知阈值）。另根据郑芳《规模化畜禽养</w:t>
      </w:r>
      <w:r>
        <w:rPr>
          <w:rFonts w:ascii="宋体" w:hAnsi="宋体" w:eastAsia="宋体" w:cs="宋体"/>
          <w:spacing w:val="-4"/>
          <w:sz w:val="24"/>
          <w:szCs w:val="24"/>
        </w:rPr>
        <w:t>殖场恶臭污染物扩散规律及其防护距离研究</w:t>
      </w:r>
      <w:r>
        <w:rPr>
          <w:rFonts w:ascii="宋体" w:hAnsi="宋体" w:eastAsia="宋体" w:cs="宋体"/>
          <w:spacing w:val="-5"/>
          <w:sz w:val="24"/>
          <w:szCs w:val="24"/>
        </w:rPr>
        <w:t>》学位论文研究发现，</w:t>
      </w:r>
      <w:r>
        <w:rPr>
          <w:rFonts w:ascii="宋体" w:hAnsi="宋体" w:eastAsia="宋体" w:cs="宋体"/>
          <w:spacing w:val="-68"/>
          <w:sz w:val="24"/>
          <w:szCs w:val="24"/>
        </w:rPr>
        <w:t xml:space="preserve"> </w:t>
      </w:r>
      <w:r>
        <w:rPr>
          <w:rFonts w:ascii="宋体" w:hAnsi="宋体" w:eastAsia="宋体" w:cs="宋体"/>
          <w:spacing w:val="-5"/>
          <w:sz w:val="24"/>
          <w:szCs w:val="24"/>
        </w:rPr>
        <w:t>下风向臭气浓</w:t>
      </w:r>
      <w:r>
        <w:rPr>
          <w:rFonts w:ascii="宋体" w:hAnsi="宋体" w:eastAsia="宋体" w:cs="宋体"/>
          <w:spacing w:val="-3"/>
          <w:sz w:val="24"/>
          <w:szCs w:val="24"/>
        </w:rPr>
        <w:t>度与距恶臭排放源的距离呈指数函数关系衰减，即经空气稀释及扩散后，项目各环境保护目标处的臭气浓度比厂界臭气浓度值要小，对应的臭气强度等级亦要比</w:t>
      </w:r>
      <w:r>
        <w:rPr>
          <w:rFonts w:ascii="宋体" w:hAnsi="宋体" w:eastAsia="宋体" w:cs="宋体"/>
          <w:spacing w:val="-4"/>
          <w:sz w:val="24"/>
          <w:szCs w:val="24"/>
        </w:rPr>
        <w:t>厂界臭气强度等级低。</w:t>
      </w:r>
    </w:p>
    <w:p w14:paraId="7157298B">
      <w:pPr>
        <w:spacing w:line="362" w:lineRule="auto"/>
        <w:ind w:left="38" w:right="29" w:firstLine="483"/>
        <w:rPr>
          <w:rFonts w:ascii="宋体" w:hAnsi="宋体" w:eastAsia="宋体" w:cs="宋体"/>
          <w:sz w:val="24"/>
          <w:szCs w:val="24"/>
        </w:rPr>
      </w:pPr>
      <w:r>
        <w:rPr>
          <w:rFonts w:ascii="宋体" w:hAnsi="宋体" w:eastAsia="宋体" w:cs="宋体"/>
          <w:spacing w:val="-3"/>
          <w:sz w:val="24"/>
          <w:szCs w:val="24"/>
        </w:rPr>
        <w:t>综上所述，本项目臭气经距离衰减及空气稀释后，在各环</w:t>
      </w:r>
      <w:r>
        <w:rPr>
          <w:rFonts w:ascii="宋体" w:hAnsi="宋体" w:eastAsia="宋体" w:cs="宋体"/>
          <w:spacing w:val="-4"/>
          <w:sz w:val="24"/>
          <w:szCs w:val="24"/>
        </w:rPr>
        <w:t>境保护目标处的浓度值较低，对其影响较小。</w:t>
      </w:r>
    </w:p>
    <w:p w14:paraId="33BE1050">
      <w:pPr>
        <w:spacing w:before="52"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4.2.1.7 </w:t>
      </w:r>
      <w:r>
        <w:rPr>
          <w:rFonts w:ascii="宋体" w:hAnsi="宋体" w:eastAsia="宋体" w:cs="宋体"/>
          <w:b/>
          <w:bCs/>
          <w:spacing w:val="5"/>
          <w:sz w:val="27"/>
          <w:szCs w:val="27"/>
        </w:rPr>
        <w:t>其他废气影响分析</w:t>
      </w:r>
    </w:p>
    <w:p w14:paraId="4954C6D9">
      <w:pPr>
        <w:spacing w:before="235" w:line="360" w:lineRule="auto"/>
        <w:ind w:left="40" w:right="29" w:firstLine="483"/>
        <w:rPr>
          <w:rFonts w:ascii="宋体" w:hAnsi="宋体" w:eastAsia="宋体" w:cs="宋体"/>
          <w:sz w:val="24"/>
          <w:szCs w:val="24"/>
        </w:rPr>
      </w:pPr>
      <w:r>
        <w:rPr>
          <w:rFonts w:ascii="宋体" w:hAnsi="宋体" w:eastAsia="宋体" w:cs="宋体"/>
          <w:spacing w:val="-3"/>
          <w:sz w:val="24"/>
          <w:szCs w:val="24"/>
        </w:rPr>
        <w:t>沼气燃烧废气：污水厌氧发酵过程产生沼气，沼气是</w:t>
      </w:r>
      <w:r>
        <w:rPr>
          <w:rFonts w:ascii="宋体" w:hAnsi="宋体" w:eastAsia="宋体" w:cs="宋体"/>
          <w:spacing w:val="-4"/>
          <w:sz w:val="24"/>
          <w:szCs w:val="24"/>
        </w:rPr>
        <w:t>清洁能源，燃烧后的主</w:t>
      </w:r>
      <w:r>
        <w:rPr>
          <w:rFonts w:ascii="宋体" w:hAnsi="宋体" w:eastAsia="宋体" w:cs="宋体"/>
          <w:spacing w:val="-2"/>
          <w:sz w:val="24"/>
          <w:szCs w:val="24"/>
        </w:rPr>
        <w:t>要产物为水和</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2"/>
          <w:position w:val="-2"/>
          <w:sz w:val="15"/>
          <w:szCs w:val="15"/>
        </w:rPr>
        <w:t>2</w:t>
      </w:r>
      <w:r>
        <w:rPr>
          <w:rFonts w:ascii="宋体" w:hAnsi="宋体" w:eastAsia="宋体" w:cs="宋体"/>
          <w:spacing w:val="-2"/>
          <w:sz w:val="24"/>
          <w:szCs w:val="24"/>
        </w:rPr>
        <w:t>，对大气环境的影响很小。</w:t>
      </w:r>
    </w:p>
    <w:p w14:paraId="3074E90F">
      <w:pPr>
        <w:spacing w:line="360" w:lineRule="auto"/>
        <w:ind w:left="38" w:right="29" w:firstLine="480"/>
        <w:jc w:val="both"/>
        <w:rPr>
          <w:rFonts w:ascii="宋体" w:hAnsi="宋体" w:eastAsia="宋体" w:cs="宋体"/>
          <w:sz w:val="24"/>
          <w:szCs w:val="24"/>
        </w:rPr>
      </w:pPr>
      <w:r>
        <w:rPr>
          <w:rFonts w:ascii="宋体" w:hAnsi="宋体" w:eastAsia="宋体" w:cs="宋体"/>
          <w:spacing w:val="-10"/>
          <w:sz w:val="24"/>
          <w:szCs w:val="24"/>
        </w:rPr>
        <w:t>运输恶臭及尾气：猪、猪粪外运过程中， 猪粪便、尿液等会散发出恶臭， 会</w:t>
      </w:r>
      <w:r>
        <w:rPr>
          <w:rFonts w:ascii="宋体" w:hAnsi="宋体" w:eastAsia="宋体" w:cs="宋体"/>
          <w:spacing w:val="-3"/>
          <w:sz w:val="24"/>
          <w:szCs w:val="24"/>
        </w:rPr>
        <w:t>对公路沿线的环境产生短暂的恶臭污染，待运输车辆远离后影响可消除。车辆运</w:t>
      </w:r>
      <w:r>
        <w:rPr>
          <w:rFonts w:ascii="宋体" w:hAnsi="宋体" w:eastAsia="宋体" w:cs="宋体"/>
          <w:spacing w:val="-2"/>
          <w:sz w:val="24"/>
          <w:szCs w:val="24"/>
        </w:rPr>
        <w:t>输产生的汽车尾气主要成分为</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HC</w:t>
      </w:r>
      <w:r>
        <w:rPr>
          <w:rFonts w:ascii="宋体" w:hAnsi="宋体" w:eastAsia="宋体" w:cs="宋体"/>
          <w:spacing w:val="-2"/>
          <w:sz w:val="24"/>
          <w:szCs w:val="24"/>
        </w:rPr>
        <w:t>和</w:t>
      </w:r>
      <w:r>
        <w:rPr>
          <w:rFonts w:ascii="Times New Roman" w:hAnsi="Times New Roman" w:eastAsia="Times New Roman" w:cs="Times New Roman"/>
          <w:spacing w:val="-2"/>
          <w:sz w:val="24"/>
          <w:szCs w:val="24"/>
        </w:rPr>
        <w:t>NOx</w:t>
      </w:r>
      <w:r>
        <w:rPr>
          <w:rFonts w:ascii="宋体" w:hAnsi="宋体" w:eastAsia="宋体" w:cs="宋体"/>
          <w:spacing w:val="-2"/>
          <w:sz w:val="24"/>
          <w:szCs w:val="24"/>
        </w:rPr>
        <w:t>，经过稀释扩散对沿线环境影响较</w:t>
      </w:r>
      <w:r>
        <w:rPr>
          <w:rFonts w:ascii="宋体" w:hAnsi="宋体" w:eastAsia="宋体" w:cs="宋体"/>
          <w:spacing w:val="-11"/>
          <w:sz w:val="24"/>
          <w:szCs w:val="24"/>
        </w:rPr>
        <w:t>小。</w:t>
      </w:r>
    </w:p>
    <w:p w14:paraId="38C27150">
      <w:pPr>
        <w:spacing w:before="1" w:line="361" w:lineRule="auto"/>
        <w:ind w:left="38" w:right="29" w:firstLine="480"/>
        <w:jc w:val="both"/>
        <w:rPr>
          <w:rFonts w:ascii="宋体" w:hAnsi="宋体" w:eastAsia="宋体" w:cs="宋体"/>
          <w:sz w:val="24"/>
          <w:szCs w:val="24"/>
        </w:rPr>
      </w:pPr>
      <w:r>
        <w:rPr>
          <w:rFonts w:ascii="宋体" w:hAnsi="宋体" w:eastAsia="宋体" w:cs="宋体"/>
          <w:spacing w:val="-3"/>
          <w:sz w:val="24"/>
          <w:szCs w:val="24"/>
        </w:rPr>
        <w:t>柴油发电机尾气：发电机仅停电时使用，燃料采用</w:t>
      </w:r>
      <w:r>
        <w:rPr>
          <w:rFonts w:ascii="Times New Roman" w:hAnsi="Times New Roman" w:eastAsia="Times New Roman" w:cs="Times New Roman"/>
          <w:spacing w:val="-3"/>
          <w:sz w:val="24"/>
          <w:szCs w:val="24"/>
        </w:rPr>
        <w:t>0#</w:t>
      </w:r>
      <w:r>
        <w:rPr>
          <w:rFonts w:ascii="宋体" w:hAnsi="宋体" w:eastAsia="宋体" w:cs="宋体"/>
          <w:spacing w:val="-3"/>
          <w:sz w:val="24"/>
          <w:szCs w:val="24"/>
        </w:rPr>
        <w:t>柴油，发电机尾气</w:t>
      </w:r>
      <w:r>
        <w:rPr>
          <w:rFonts w:ascii="宋体" w:hAnsi="宋体" w:eastAsia="宋体" w:cs="宋体"/>
          <w:spacing w:val="-4"/>
          <w:sz w:val="24"/>
          <w:szCs w:val="24"/>
        </w:rPr>
        <w:t>主要</w:t>
      </w:r>
      <w:r>
        <w:rPr>
          <w:rFonts w:ascii="宋体" w:hAnsi="宋体" w:eastAsia="宋体" w:cs="宋体"/>
          <w:spacing w:val="-1"/>
          <w:sz w:val="24"/>
          <w:szCs w:val="24"/>
        </w:rPr>
        <w:t>成分为烟尘、</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5"/>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NOx</w:t>
      </w:r>
      <w:r>
        <w:rPr>
          <w:rFonts w:ascii="宋体" w:hAnsi="宋体" w:eastAsia="宋体" w:cs="宋体"/>
          <w:spacing w:val="-1"/>
          <w:sz w:val="24"/>
          <w:szCs w:val="24"/>
        </w:rPr>
        <w:t>，引至房顶排放。发电机使用频率较低，严格按要求操</w:t>
      </w:r>
      <w:r>
        <w:rPr>
          <w:rFonts w:ascii="宋体" w:hAnsi="宋体" w:eastAsia="宋体" w:cs="宋体"/>
          <w:spacing w:val="-6"/>
          <w:sz w:val="24"/>
          <w:szCs w:val="24"/>
        </w:rPr>
        <w:t>作，控制好燃烧状况，燃烧废气中的主要污染物烟尘、</w:t>
      </w:r>
      <w:r>
        <w:rPr>
          <w:rFonts w:ascii="Times New Roman" w:hAnsi="Times New Roman" w:eastAsia="Times New Roman" w:cs="Times New Roman"/>
          <w:spacing w:val="-6"/>
          <w:sz w:val="24"/>
          <w:szCs w:val="24"/>
        </w:rPr>
        <w:t>NOx</w:t>
      </w:r>
      <w:r>
        <w:rPr>
          <w:rFonts w:ascii="宋体" w:hAnsi="宋体" w:eastAsia="宋体" w:cs="宋体"/>
          <w:spacing w:val="-6"/>
          <w:sz w:val="24"/>
          <w:szCs w:val="24"/>
        </w:rPr>
        <w:t>、</w:t>
      </w:r>
      <w:r>
        <w:rPr>
          <w:rFonts w:ascii="Times New Roman" w:hAnsi="Times New Roman" w:eastAsia="Times New Roman" w:cs="Times New Roman"/>
          <w:spacing w:val="-6"/>
          <w:sz w:val="24"/>
          <w:szCs w:val="24"/>
        </w:rPr>
        <w:t>SO</w:t>
      </w:r>
      <w:r>
        <w:rPr>
          <w:rFonts w:ascii="Times New Roman" w:hAnsi="Times New Roman" w:eastAsia="Times New Roman" w:cs="Times New Roman"/>
          <w:spacing w:val="-6"/>
          <w:position w:val="-2"/>
          <w:sz w:val="15"/>
          <w:szCs w:val="15"/>
        </w:rPr>
        <w:t>2</w:t>
      </w:r>
      <w:r>
        <w:rPr>
          <w:rFonts w:ascii="宋体" w:hAnsi="宋体" w:eastAsia="宋体" w:cs="宋体"/>
          <w:spacing w:val="-6"/>
          <w:sz w:val="24"/>
          <w:szCs w:val="24"/>
        </w:rPr>
        <w:t>均能</w:t>
      </w:r>
      <w:r>
        <w:rPr>
          <w:rFonts w:ascii="宋体" w:hAnsi="宋体" w:eastAsia="宋体" w:cs="宋体"/>
          <w:spacing w:val="-7"/>
          <w:sz w:val="24"/>
          <w:szCs w:val="24"/>
        </w:rPr>
        <w:t>达标排放，</w:t>
      </w:r>
      <w:r>
        <w:rPr>
          <w:rFonts w:ascii="宋体" w:hAnsi="宋体" w:eastAsia="宋体" w:cs="宋体"/>
          <w:spacing w:val="-5"/>
          <w:sz w:val="24"/>
          <w:szCs w:val="24"/>
        </w:rPr>
        <w:t>对周围环境影响小。</w:t>
      </w:r>
    </w:p>
    <w:p w14:paraId="7E1A5EF4">
      <w:pPr>
        <w:spacing w:line="361" w:lineRule="auto"/>
        <w:rPr>
          <w:rFonts w:ascii="宋体" w:hAnsi="宋体" w:eastAsia="宋体" w:cs="宋体"/>
          <w:sz w:val="24"/>
          <w:szCs w:val="24"/>
        </w:rPr>
        <w:sectPr>
          <w:footerReference r:id="rId318" w:type="default"/>
          <w:pgSz w:w="11905" w:h="16840"/>
          <w:pgMar w:top="1168" w:right="1768" w:bottom="1409" w:left="1770" w:header="828" w:footer="1244" w:gutter="0"/>
          <w:cols w:space="720" w:num="1"/>
        </w:sectPr>
      </w:pPr>
    </w:p>
    <w:p w14:paraId="690852B6">
      <w:pPr>
        <w:pStyle w:val="2"/>
        <w:spacing w:line="353" w:lineRule="auto"/>
      </w:pPr>
    </w:p>
    <w:p w14:paraId="2B4D2636">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4.2.1.8 </w:t>
      </w:r>
      <w:r>
        <w:rPr>
          <w:rFonts w:ascii="宋体" w:hAnsi="宋体" w:eastAsia="宋体" w:cs="宋体"/>
          <w:b/>
          <w:bCs/>
          <w:spacing w:val="5"/>
          <w:sz w:val="27"/>
          <w:szCs w:val="27"/>
        </w:rPr>
        <w:t>大气污染物排放量核算</w:t>
      </w:r>
    </w:p>
    <w:p w14:paraId="52CF1DE3">
      <w:pPr>
        <w:spacing w:before="236" w:line="360" w:lineRule="auto"/>
        <w:ind w:left="42" w:firstLine="478"/>
        <w:rPr>
          <w:rFonts w:ascii="宋体" w:hAnsi="宋体" w:eastAsia="宋体" w:cs="宋体"/>
          <w:sz w:val="24"/>
          <w:szCs w:val="24"/>
        </w:rPr>
      </w:pPr>
      <w:r>
        <w:rPr>
          <w:rFonts w:ascii="宋体" w:hAnsi="宋体" w:eastAsia="宋体" w:cs="宋体"/>
          <w:spacing w:val="-1"/>
          <w:sz w:val="24"/>
          <w:szCs w:val="24"/>
        </w:rPr>
        <w:t>本项目污染物排放量核算主要包括有组织排放量核算、无组织排放量核算、</w:t>
      </w:r>
      <w:r>
        <w:rPr>
          <w:rFonts w:ascii="宋体" w:hAnsi="宋体" w:eastAsia="宋体" w:cs="宋体"/>
          <w:spacing w:val="-4"/>
          <w:sz w:val="24"/>
          <w:szCs w:val="24"/>
        </w:rPr>
        <w:t>大气污染物年排放量核算。</w:t>
      </w:r>
    </w:p>
    <w:p w14:paraId="7D4CE39A">
      <w:pPr>
        <w:spacing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）有组织排放量核算</w:t>
      </w:r>
    </w:p>
    <w:p w14:paraId="4E567FA9">
      <w:pPr>
        <w:spacing w:before="182" w:line="360" w:lineRule="auto"/>
        <w:ind w:left="39" w:right="86" w:firstLine="480"/>
        <w:rPr>
          <w:rFonts w:ascii="宋体" w:hAnsi="宋体" w:eastAsia="宋体" w:cs="宋体"/>
          <w:sz w:val="24"/>
          <w:szCs w:val="24"/>
        </w:rPr>
      </w:pPr>
      <w:r>
        <w:rPr>
          <w:rFonts w:ascii="宋体" w:hAnsi="宋体" w:eastAsia="宋体" w:cs="宋体"/>
          <w:spacing w:val="-8"/>
          <w:sz w:val="24"/>
          <w:szCs w:val="24"/>
        </w:rPr>
        <w:t>根据《排污许可证申请与核发技术规范</w:t>
      </w:r>
      <w:r>
        <w:rPr>
          <w:rFonts w:ascii="宋体" w:hAnsi="宋体" w:eastAsia="宋体" w:cs="宋体"/>
          <w:spacing w:val="40"/>
          <w:sz w:val="24"/>
          <w:szCs w:val="24"/>
        </w:rPr>
        <w:t xml:space="preserve"> </w:t>
      </w:r>
      <w:r>
        <w:rPr>
          <w:rFonts w:ascii="宋体" w:hAnsi="宋体" w:eastAsia="宋体" w:cs="宋体"/>
          <w:spacing w:val="-8"/>
          <w:sz w:val="24"/>
          <w:szCs w:val="24"/>
        </w:rPr>
        <w:t>总则》：“废气排放口分为主要排放</w:t>
      </w:r>
      <w:r>
        <w:rPr>
          <w:rFonts w:ascii="宋体" w:hAnsi="宋体" w:eastAsia="宋体" w:cs="宋体"/>
          <w:spacing w:val="-3"/>
          <w:sz w:val="24"/>
          <w:szCs w:val="24"/>
        </w:rPr>
        <w:t>口、一般排放口和其他排放口。原则上将主体工程中的工业炉窑、化工类排污单位的主要反应设备、公用工程中出力</w:t>
      </w:r>
      <w:r>
        <w:rPr>
          <w:rFonts w:ascii="Times New Roman" w:hAnsi="Times New Roman" w:eastAsia="Times New Roman" w:cs="Times New Roman"/>
          <w:spacing w:val="-3"/>
          <w:sz w:val="24"/>
          <w:szCs w:val="24"/>
        </w:rPr>
        <w:t>10t/h</w:t>
      </w:r>
      <w:r>
        <w:rPr>
          <w:rFonts w:ascii="宋体" w:hAnsi="宋体" w:eastAsia="宋体" w:cs="宋体"/>
          <w:spacing w:val="-3"/>
          <w:sz w:val="24"/>
          <w:szCs w:val="24"/>
        </w:rPr>
        <w:t>及以上的燃料锅炉、燃气轮</w:t>
      </w:r>
      <w:r>
        <w:rPr>
          <w:rFonts w:ascii="宋体" w:hAnsi="宋体" w:eastAsia="宋体" w:cs="宋体"/>
          <w:spacing w:val="-4"/>
          <w:sz w:val="24"/>
          <w:szCs w:val="24"/>
        </w:rPr>
        <w:t>机组以及与</w:t>
      </w:r>
      <w:r>
        <w:rPr>
          <w:rFonts w:ascii="宋体" w:hAnsi="宋体" w:eastAsia="宋体" w:cs="宋体"/>
          <w:spacing w:val="-3"/>
          <w:sz w:val="24"/>
          <w:szCs w:val="24"/>
        </w:rPr>
        <w:t>出力</w:t>
      </w:r>
      <w:r>
        <w:rPr>
          <w:rFonts w:ascii="Times New Roman" w:hAnsi="Times New Roman" w:eastAsia="Times New Roman" w:cs="Times New Roman"/>
          <w:spacing w:val="-3"/>
          <w:sz w:val="24"/>
          <w:szCs w:val="24"/>
        </w:rPr>
        <w:t>10t/h</w:t>
      </w:r>
      <w:r>
        <w:rPr>
          <w:rFonts w:ascii="宋体" w:hAnsi="宋体" w:eastAsia="宋体" w:cs="宋体"/>
          <w:spacing w:val="-3"/>
          <w:sz w:val="24"/>
          <w:szCs w:val="24"/>
        </w:rPr>
        <w:t>及以上的燃料锅炉和燃气轮机组排放污染物相当的污染源，</w:t>
      </w:r>
      <w:r>
        <w:rPr>
          <w:rFonts w:ascii="宋体" w:hAnsi="宋体" w:eastAsia="宋体" w:cs="宋体"/>
          <w:spacing w:val="-4"/>
          <w:sz w:val="24"/>
          <w:szCs w:val="24"/>
        </w:rPr>
        <w:t>其对应的排</w:t>
      </w:r>
      <w:r>
        <w:rPr>
          <w:rFonts w:ascii="宋体" w:hAnsi="宋体" w:eastAsia="宋体" w:cs="宋体"/>
          <w:spacing w:val="-3"/>
          <w:sz w:val="24"/>
          <w:szCs w:val="24"/>
        </w:rPr>
        <w:t>放口为主要排放口；主体工程、辅助工程、储运工程中污染物排放量相对较小的污染源，其对应的排放口为一般排放口；公用工程中的火炬、放空管等污染物排</w:t>
      </w:r>
      <w:r>
        <w:rPr>
          <w:rFonts w:ascii="宋体" w:hAnsi="宋体" w:eastAsia="宋体" w:cs="宋体"/>
          <w:spacing w:val="4"/>
          <w:sz w:val="24"/>
          <w:szCs w:val="24"/>
        </w:rPr>
        <w:t>放标准中未明确污染物排放浓度限值要求的</w:t>
      </w:r>
      <w:r>
        <w:rPr>
          <w:rFonts w:ascii="宋体" w:hAnsi="宋体" w:eastAsia="宋体" w:cs="宋体"/>
          <w:spacing w:val="3"/>
          <w:sz w:val="24"/>
          <w:szCs w:val="24"/>
        </w:rPr>
        <w:t>排放口为其他排放口。”</w:t>
      </w:r>
    </w:p>
    <w:p w14:paraId="42FB664E">
      <w:pPr>
        <w:spacing w:before="1" w:line="218" w:lineRule="auto"/>
        <w:ind w:left="520"/>
        <w:rPr>
          <w:rFonts w:ascii="宋体" w:hAnsi="宋体" w:eastAsia="宋体" w:cs="宋体"/>
          <w:sz w:val="24"/>
          <w:szCs w:val="24"/>
        </w:rPr>
      </w:pPr>
      <w:r>
        <w:rPr>
          <w:rFonts w:ascii="宋体" w:hAnsi="宋体" w:eastAsia="宋体" w:cs="宋体"/>
          <w:spacing w:val="-2"/>
          <w:sz w:val="24"/>
          <w:szCs w:val="24"/>
        </w:rPr>
        <w:t>本项目废气排放口为恶臭气体处理排气筒，属于一般排放口。</w:t>
      </w:r>
    </w:p>
    <w:p w14:paraId="6ACA723F">
      <w:pPr>
        <w:spacing w:before="196" w:line="222" w:lineRule="auto"/>
        <w:ind w:left="195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39"/>
          <w:sz w:val="21"/>
          <w:szCs w:val="21"/>
        </w:rPr>
        <w:t xml:space="preserve"> </w:t>
      </w:r>
      <w:r>
        <w:rPr>
          <w:rFonts w:ascii="Times New Roman" w:hAnsi="Times New Roman" w:eastAsia="Times New Roman" w:cs="Times New Roman"/>
          <w:spacing w:val="-1"/>
          <w:sz w:val="21"/>
          <w:szCs w:val="21"/>
        </w:rPr>
        <w:t xml:space="preserve">4.2-19  </w:t>
      </w:r>
      <w:r>
        <w:rPr>
          <w:rFonts w:ascii="黑体" w:hAnsi="黑体" w:eastAsia="黑体" w:cs="黑体"/>
          <w:spacing w:val="-1"/>
          <w:sz w:val="21"/>
          <w:szCs w:val="21"/>
        </w:rPr>
        <w:t>本项目大气污染物有组织排放量核算表</w:t>
      </w:r>
    </w:p>
    <w:p w14:paraId="6D31330A">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837"/>
        <w:gridCol w:w="1319"/>
        <w:gridCol w:w="1596"/>
        <w:gridCol w:w="1600"/>
        <w:gridCol w:w="1388"/>
      </w:tblGrid>
      <w:tr w14:paraId="296D5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80" w:type="dxa"/>
            <w:vAlign w:val="top"/>
          </w:tcPr>
          <w:p w14:paraId="34D24DF8">
            <w:pPr>
              <w:spacing w:before="210" w:line="221" w:lineRule="auto"/>
              <w:ind w:left="85"/>
              <w:rPr>
                <w:rFonts w:ascii="宋体" w:hAnsi="宋体" w:eastAsia="宋体" w:cs="宋体"/>
                <w:sz w:val="21"/>
                <w:szCs w:val="21"/>
              </w:rPr>
            </w:pPr>
            <w:r>
              <w:rPr>
                <w:rFonts w:ascii="宋体" w:hAnsi="宋体" w:eastAsia="宋体" w:cs="宋体"/>
                <w:spacing w:val="-2"/>
                <w:sz w:val="21"/>
                <w:szCs w:val="21"/>
              </w:rPr>
              <w:t>序号</w:t>
            </w:r>
          </w:p>
        </w:tc>
        <w:tc>
          <w:tcPr>
            <w:tcW w:w="1837" w:type="dxa"/>
            <w:vAlign w:val="top"/>
          </w:tcPr>
          <w:p w14:paraId="2F55ABE2">
            <w:pPr>
              <w:spacing w:before="210" w:line="220" w:lineRule="auto"/>
              <w:ind w:left="392"/>
              <w:rPr>
                <w:rFonts w:ascii="宋体" w:hAnsi="宋体" w:eastAsia="宋体" w:cs="宋体"/>
                <w:sz w:val="21"/>
                <w:szCs w:val="21"/>
              </w:rPr>
            </w:pPr>
            <w:r>
              <w:rPr>
                <w:rFonts w:ascii="宋体" w:hAnsi="宋体" w:eastAsia="宋体" w:cs="宋体"/>
                <w:spacing w:val="-2"/>
                <w:sz w:val="21"/>
                <w:szCs w:val="21"/>
              </w:rPr>
              <w:t>排放口编号</w:t>
            </w:r>
          </w:p>
        </w:tc>
        <w:tc>
          <w:tcPr>
            <w:tcW w:w="1319" w:type="dxa"/>
            <w:vAlign w:val="top"/>
          </w:tcPr>
          <w:p w14:paraId="5993A08C">
            <w:pPr>
              <w:spacing w:before="210" w:line="220" w:lineRule="auto"/>
              <w:ind w:left="346"/>
              <w:rPr>
                <w:rFonts w:ascii="宋体" w:hAnsi="宋体" w:eastAsia="宋体" w:cs="宋体"/>
                <w:sz w:val="21"/>
                <w:szCs w:val="21"/>
              </w:rPr>
            </w:pPr>
            <w:r>
              <w:rPr>
                <w:rFonts w:ascii="宋体" w:hAnsi="宋体" w:eastAsia="宋体" w:cs="宋体"/>
                <w:spacing w:val="-3"/>
                <w:sz w:val="21"/>
                <w:szCs w:val="21"/>
              </w:rPr>
              <w:t>污染物</w:t>
            </w:r>
          </w:p>
        </w:tc>
        <w:tc>
          <w:tcPr>
            <w:tcW w:w="1596" w:type="dxa"/>
            <w:vAlign w:val="top"/>
          </w:tcPr>
          <w:p w14:paraId="117F93EE">
            <w:pPr>
              <w:pStyle w:val="6"/>
              <w:spacing w:before="54" w:line="245" w:lineRule="auto"/>
              <w:ind w:left="313" w:right="170" w:hanging="143"/>
              <w:rPr>
                <w:rFonts w:ascii="宋体" w:hAnsi="宋体" w:eastAsia="宋体" w:cs="宋体"/>
              </w:rPr>
            </w:pPr>
            <w:r>
              <w:rPr>
                <w:rFonts w:ascii="宋体" w:hAnsi="宋体" w:eastAsia="宋体" w:cs="宋体"/>
                <w:spacing w:val="-2"/>
              </w:rPr>
              <w:t>核算排放浓度</w:t>
            </w:r>
            <w:r>
              <w:rPr>
                <w:rFonts w:ascii="宋体" w:hAnsi="宋体" w:eastAsia="宋体" w:cs="宋体"/>
                <w:spacing w:val="-3"/>
              </w:rPr>
              <w:t>（</w:t>
            </w:r>
            <w:r>
              <w:rPr>
                <w:spacing w:val="-3"/>
              </w:rPr>
              <w:t>mg/m</w:t>
            </w:r>
            <w:r>
              <w:rPr>
                <w:spacing w:val="-3"/>
                <w:position w:val="1"/>
                <w:sz w:val="14"/>
                <w:szCs w:val="14"/>
              </w:rPr>
              <w:t>3</w:t>
            </w:r>
            <w:r>
              <w:rPr>
                <w:rFonts w:ascii="宋体" w:hAnsi="宋体" w:eastAsia="宋体" w:cs="宋体"/>
                <w:spacing w:val="-3"/>
                <w:position w:val="1"/>
              </w:rPr>
              <w:t>）</w:t>
            </w:r>
          </w:p>
        </w:tc>
        <w:tc>
          <w:tcPr>
            <w:tcW w:w="1600" w:type="dxa"/>
            <w:vAlign w:val="top"/>
          </w:tcPr>
          <w:p w14:paraId="2F34F269">
            <w:pPr>
              <w:spacing w:before="54" w:line="220" w:lineRule="auto"/>
              <w:ind w:left="174"/>
              <w:rPr>
                <w:rFonts w:ascii="宋体" w:hAnsi="宋体" w:eastAsia="宋体" w:cs="宋体"/>
                <w:sz w:val="21"/>
                <w:szCs w:val="21"/>
              </w:rPr>
            </w:pPr>
            <w:r>
              <w:rPr>
                <w:rFonts w:ascii="宋体" w:hAnsi="宋体" w:eastAsia="宋体" w:cs="宋体"/>
                <w:spacing w:val="-2"/>
                <w:sz w:val="21"/>
                <w:szCs w:val="21"/>
              </w:rPr>
              <w:t>核算排放速率</w:t>
            </w:r>
          </w:p>
          <w:p w14:paraId="3866A562">
            <w:pPr>
              <w:pStyle w:val="6"/>
              <w:spacing w:before="62" w:line="212" w:lineRule="auto"/>
              <w:ind w:left="411"/>
              <w:rPr>
                <w:rFonts w:ascii="宋体" w:hAnsi="宋体" w:eastAsia="宋体" w:cs="宋体"/>
              </w:rPr>
            </w:pPr>
            <w:r>
              <w:rPr>
                <w:rFonts w:ascii="宋体" w:hAnsi="宋体" w:eastAsia="宋体" w:cs="宋体"/>
                <w:spacing w:val="-3"/>
              </w:rPr>
              <w:t>（</w:t>
            </w:r>
            <w:r>
              <w:rPr>
                <w:spacing w:val="-3"/>
              </w:rPr>
              <w:t>kg/h</w:t>
            </w:r>
            <w:r>
              <w:rPr>
                <w:rFonts w:ascii="宋体" w:hAnsi="宋体" w:eastAsia="宋体" w:cs="宋体"/>
                <w:spacing w:val="-3"/>
              </w:rPr>
              <w:t>）</w:t>
            </w:r>
          </w:p>
        </w:tc>
        <w:tc>
          <w:tcPr>
            <w:tcW w:w="1388" w:type="dxa"/>
            <w:vAlign w:val="top"/>
          </w:tcPr>
          <w:p w14:paraId="0F7E227F">
            <w:pPr>
              <w:spacing w:before="54" w:line="220" w:lineRule="auto"/>
              <w:ind w:left="67"/>
              <w:rPr>
                <w:rFonts w:ascii="宋体" w:hAnsi="宋体" w:eastAsia="宋体" w:cs="宋体"/>
                <w:sz w:val="21"/>
                <w:szCs w:val="21"/>
              </w:rPr>
            </w:pPr>
            <w:r>
              <w:rPr>
                <w:rFonts w:ascii="宋体" w:hAnsi="宋体" w:eastAsia="宋体" w:cs="宋体"/>
                <w:spacing w:val="-2"/>
                <w:sz w:val="21"/>
                <w:szCs w:val="21"/>
              </w:rPr>
              <w:t>核算年排放量</w:t>
            </w:r>
          </w:p>
          <w:p w14:paraId="191EEC86">
            <w:pPr>
              <w:pStyle w:val="6"/>
              <w:spacing w:before="61" w:line="225" w:lineRule="auto"/>
              <w:ind w:left="386"/>
              <w:rPr>
                <w:rFonts w:ascii="宋体" w:hAnsi="宋体" w:eastAsia="宋体" w:cs="宋体"/>
              </w:rPr>
            </w:pPr>
            <w:r>
              <w:rPr>
                <w:rFonts w:ascii="宋体" w:hAnsi="宋体" w:eastAsia="宋体" w:cs="宋体"/>
                <w:spacing w:val="-3"/>
              </w:rPr>
              <w:t>（</w:t>
            </w:r>
            <w:r>
              <w:rPr>
                <w:spacing w:val="-3"/>
              </w:rPr>
              <w:t>t/a</w:t>
            </w:r>
            <w:r>
              <w:rPr>
                <w:rFonts w:ascii="宋体" w:hAnsi="宋体" w:eastAsia="宋体" w:cs="宋体"/>
                <w:spacing w:val="-3"/>
              </w:rPr>
              <w:t>）</w:t>
            </w:r>
          </w:p>
        </w:tc>
      </w:tr>
      <w:tr w14:paraId="01F27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restart"/>
            <w:tcBorders>
              <w:bottom w:val="nil"/>
            </w:tcBorders>
            <w:vAlign w:val="top"/>
          </w:tcPr>
          <w:p w14:paraId="21BF2D44">
            <w:pPr>
              <w:pStyle w:val="6"/>
              <w:spacing w:before="277" w:line="188" w:lineRule="auto"/>
              <w:ind w:left="259"/>
            </w:pPr>
            <w:r>
              <w:t>1</w:t>
            </w:r>
          </w:p>
        </w:tc>
        <w:tc>
          <w:tcPr>
            <w:tcW w:w="1837" w:type="dxa"/>
            <w:vMerge w:val="restart"/>
            <w:tcBorders>
              <w:bottom w:val="nil"/>
            </w:tcBorders>
            <w:vAlign w:val="top"/>
          </w:tcPr>
          <w:p w14:paraId="47FEF7CE">
            <w:pPr>
              <w:pStyle w:val="6"/>
              <w:spacing w:before="84" w:line="280" w:lineRule="auto"/>
              <w:ind w:left="604" w:right="81" w:hanging="524"/>
            </w:pPr>
            <w:r>
              <w:rPr>
                <w:rFonts w:ascii="宋体" w:hAnsi="宋体" w:eastAsia="宋体" w:cs="宋体"/>
                <w:spacing w:val="-2"/>
              </w:rPr>
              <w:t>污水处理站排气筒</w:t>
            </w:r>
            <w:r>
              <w:rPr>
                <w:spacing w:val="-1"/>
              </w:rPr>
              <w:t>DA001</w:t>
            </w:r>
          </w:p>
        </w:tc>
        <w:tc>
          <w:tcPr>
            <w:tcW w:w="1319" w:type="dxa"/>
            <w:vAlign w:val="top"/>
          </w:tcPr>
          <w:p w14:paraId="16119FDE">
            <w:pPr>
              <w:pStyle w:val="6"/>
              <w:spacing w:before="105" w:line="195" w:lineRule="auto"/>
              <w:ind w:left="462"/>
              <w:rPr>
                <w:sz w:val="14"/>
                <w:szCs w:val="14"/>
              </w:rPr>
            </w:pPr>
            <w:r>
              <w:t>NH</w:t>
            </w:r>
            <w:r>
              <w:rPr>
                <w:spacing w:val="1"/>
                <w:position w:val="-2"/>
                <w:sz w:val="14"/>
                <w:szCs w:val="14"/>
              </w:rPr>
              <w:t>3</w:t>
            </w:r>
          </w:p>
        </w:tc>
        <w:tc>
          <w:tcPr>
            <w:tcW w:w="1596" w:type="dxa"/>
            <w:vAlign w:val="top"/>
          </w:tcPr>
          <w:p w14:paraId="2C776192">
            <w:pPr>
              <w:pStyle w:val="6"/>
              <w:spacing w:before="102" w:line="188" w:lineRule="auto"/>
              <w:ind w:left="631"/>
            </w:pPr>
            <w:r>
              <w:rPr>
                <w:spacing w:val="-7"/>
              </w:rPr>
              <w:t>1.47</w:t>
            </w:r>
          </w:p>
        </w:tc>
        <w:tc>
          <w:tcPr>
            <w:tcW w:w="1600" w:type="dxa"/>
            <w:vAlign w:val="top"/>
          </w:tcPr>
          <w:p w14:paraId="1FA6ED52">
            <w:pPr>
              <w:pStyle w:val="6"/>
              <w:spacing w:before="102" w:line="188" w:lineRule="auto"/>
              <w:ind w:left="512"/>
            </w:pPr>
            <w:r>
              <w:rPr>
                <w:spacing w:val="-2"/>
              </w:rPr>
              <w:t>0.0088</w:t>
            </w:r>
          </w:p>
        </w:tc>
        <w:tc>
          <w:tcPr>
            <w:tcW w:w="1388" w:type="dxa"/>
            <w:vAlign w:val="top"/>
          </w:tcPr>
          <w:p w14:paraId="1B7F7AB3">
            <w:pPr>
              <w:pStyle w:val="6"/>
              <w:spacing w:before="102" w:line="188" w:lineRule="auto"/>
              <w:ind w:left="457"/>
            </w:pPr>
            <w:r>
              <w:rPr>
                <w:spacing w:val="-2"/>
              </w:rPr>
              <w:t>0.077</w:t>
            </w:r>
          </w:p>
        </w:tc>
      </w:tr>
      <w:tr w14:paraId="26E26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tcBorders>
            <w:vAlign w:val="top"/>
          </w:tcPr>
          <w:p w14:paraId="46A478B4">
            <w:pPr>
              <w:rPr>
                <w:rFonts w:ascii="Arial"/>
                <w:sz w:val="21"/>
              </w:rPr>
            </w:pPr>
          </w:p>
        </w:tc>
        <w:tc>
          <w:tcPr>
            <w:tcW w:w="1837" w:type="dxa"/>
            <w:vMerge w:val="continue"/>
            <w:tcBorders>
              <w:top w:val="nil"/>
            </w:tcBorders>
            <w:vAlign w:val="top"/>
          </w:tcPr>
          <w:p w14:paraId="65B0AC98">
            <w:pPr>
              <w:rPr>
                <w:rFonts w:ascii="Arial"/>
                <w:sz w:val="21"/>
              </w:rPr>
            </w:pPr>
          </w:p>
        </w:tc>
        <w:tc>
          <w:tcPr>
            <w:tcW w:w="1319" w:type="dxa"/>
            <w:vAlign w:val="top"/>
          </w:tcPr>
          <w:p w14:paraId="164A877C">
            <w:pPr>
              <w:pStyle w:val="6"/>
              <w:spacing w:before="102" w:line="198" w:lineRule="auto"/>
              <w:ind w:left="485"/>
            </w:pPr>
            <w:r>
              <w:rPr>
                <w:spacing w:val="-2"/>
              </w:rPr>
              <w:t>H</w:t>
            </w:r>
            <w:r>
              <w:rPr>
                <w:spacing w:val="-2"/>
                <w:position w:val="-2"/>
                <w:sz w:val="14"/>
                <w:szCs w:val="14"/>
              </w:rPr>
              <w:t>2</w:t>
            </w:r>
            <w:r>
              <w:rPr>
                <w:spacing w:val="-2"/>
              </w:rPr>
              <w:t>S</w:t>
            </w:r>
          </w:p>
        </w:tc>
        <w:tc>
          <w:tcPr>
            <w:tcW w:w="1596" w:type="dxa"/>
            <w:vAlign w:val="top"/>
          </w:tcPr>
          <w:p w14:paraId="52D7AFBB">
            <w:pPr>
              <w:pStyle w:val="6"/>
              <w:spacing w:before="102" w:line="188" w:lineRule="auto"/>
              <w:ind w:left="613"/>
            </w:pPr>
            <w:r>
              <w:rPr>
                <w:spacing w:val="-2"/>
              </w:rPr>
              <w:t>0.06</w:t>
            </w:r>
          </w:p>
        </w:tc>
        <w:tc>
          <w:tcPr>
            <w:tcW w:w="1600" w:type="dxa"/>
            <w:vAlign w:val="top"/>
          </w:tcPr>
          <w:p w14:paraId="6DB94EBE">
            <w:pPr>
              <w:pStyle w:val="6"/>
              <w:spacing w:before="102" w:line="188" w:lineRule="auto"/>
              <w:ind w:left="513"/>
            </w:pPr>
            <w:r>
              <w:rPr>
                <w:spacing w:val="-2"/>
              </w:rPr>
              <w:t>0.0003</w:t>
            </w:r>
          </w:p>
        </w:tc>
        <w:tc>
          <w:tcPr>
            <w:tcW w:w="1388" w:type="dxa"/>
            <w:vAlign w:val="top"/>
          </w:tcPr>
          <w:p w14:paraId="24116286">
            <w:pPr>
              <w:pStyle w:val="6"/>
              <w:spacing w:before="102" w:line="188" w:lineRule="auto"/>
              <w:ind w:left="457"/>
            </w:pPr>
            <w:r>
              <w:rPr>
                <w:spacing w:val="-2"/>
              </w:rPr>
              <w:t>0.003</w:t>
            </w:r>
          </w:p>
        </w:tc>
      </w:tr>
      <w:tr w14:paraId="6963E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0" w:type="dxa"/>
            <w:vMerge w:val="restart"/>
            <w:tcBorders>
              <w:bottom w:val="nil"/>
            </w:tcBorders>
            <w:vAlign w:val="top"/>
          </w:tcPr>
          <w:p w14:paraId="461E45A5">
            <w:pPr>
              <w:pStyle w:val="6"/>
              <w:spacing w:before="277" w:line="188" w:lineRule="auto"/>
              <w:ind w:left="239"/>
            </w:pPr>
            <w:r>
              <w:t>2</w:t>
            </w:r>
          </w:p>
        </w:tc>
        <w:tc>
          <w:tcPr>
            <w:tcW w:w="1837" w:type="dxa"/>
            <w:vMerge w:val="restart"/>
            <w:tcBorders>
              <w:bottom w:val="nil"/>
            </w:tcBorders>
            <w:vAlign w:val="top"/>
          </w:tcPr>
          <w:p w14:paraId="6F7C7D50">
            <w:pPr>
              <w:pStyle w:val="6"/>
              <w:spacing w:before="83" w:line="280" w:lineRule="auto"/>
              <w:ind w:left="603" w:right="291" w:hanging="314"/>
            </w:pPr>
            <w:r>
              <w:rPr>
                <w:rFonts w:ascii="宋体" w:hAnsi="宋体" w:eastAsia="宋体" w:cs="宋体"/>
                <w:spacing w:val="-2"/>
              </w:rPr>
              <w:t>堆粪棚排气筒</w:t>
            </w:r>
            <w:r>
              <w:rPr>
                <w:spacing w:val="-1"/>
              </w:rPr>
              <w:t>DA002</w:t>
            </w:r>
          </w:p>
        </w:tc>
        <w:tc>
          <w:tcPr>
            <w:tcW w:w="1319" w:type="dxa"/>
            <w:vAlign w:val="top"/>
          </w:tcPr>
          <w:p w14:paraId="1BBFF80C">
            <w:pPr>
              <w:pStyle w:val="6"/>
              <w:spacing w:before="105" w:line="195" w:lineRule="auto"/>
              <w:ind w:left="462"/>
              <w:rPr>
                <w:sz w:val="14"/>
                <w:szCs w:val="14"/>
              </w:rPr>
            </w:pPr>
            <w:r>
              <w:t>NH</w:t>
            </w:r>
            <w:r>
              <w:rPr>
                <w:spacing w:val="1"/>
                <w:position w:val="-2"/>
                <w:sz w:val="14"/>
                <w:szCs w:val="14"/>
              </w:rPr>
              <w:t>3</w:t>
            </w:r>
          </w:p>
        </w:tc>
        <w:tc>
          <w:tcPr>
            <w:tcW w:w="1596" w:type="dxa"/>
            <w:vAlign w:val="top"/>
          </w:tcPr>
          <w:p w14:paraId="592A539C">
            <w:pPr>
              <w:pStyle w:val="6"/>
              <w:spacing w:before="102" w:line="188" w:lineRule="auto"/>
              <w:ind w:left="614"/>
            </w:pPr>
            <w:r>
              <w:rPr>
                <w:spacing w:val="-2"/>
              </w:rPr>
              <w:t>0.34</w:t>
            </w:r>
          </w:p>
        </w:tc>
        <w:tc>
          <w:tcPr>
            <w:tcW w:w="1600" w:type="dxa"/>
            <w:vAlign w:val="top"/>
          </w:tcPr>
          <w:p w14:paraId="300F3C3D">
            <w:pPr>
              <w:pStyle w:val="6"/>
              <w:spacing w:before="102" w:line="188" w:lineRule="auto"/>
              <w:ind w:left="512"/>
            </w:pPr>
            <w:r>
              <w:rPr>
                <w:spacing w:val="-2"/>
              </w:rPr>
              <w:t>0.0021</w:t>
            </w:r>
          </w:p>
        </w:tc>
        <w:tc>
          <w:tcPr>
            <w:tcW w:w="1388" w:type="dxa"/>
            <w:vAlign w:val="top"/>
          </w:tcPr>
          <w:p w14:paraId="0488059B">
            <w:pPr>
              <w:pStyle w:val="6"/>
              <w:spacing w:before="102" w:line="188" w:lineRule="auto"/>
              <w:ind w:left="457"/>
            </w:pPr>
            <w:r>
              <w:rPr>
                <w:spacing w:val="-2"/>
              </w:rPr>
              <w:t>0.018</w:t>
            </w:r>
          </w:p>
        </w:tc>
      </w:tr>
      <w:tr w14:paraId="27515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0" w:type="dxa"/>
            <w:vMerge w:val="continue"/>
            <w:tcBorders>
              <w:top w:val="nil"/>
            </w:tcBorders>
            <w:vAlign w:val="top"/>
          </w:tcPr>
          <w:p w14:paraId="1E333C4E">
            <w:pPr>
              <w:rPr>
                <w:rFonts w:ascii="Arial"/>
                <w:sz w:val="21"/>
              </w:rPr>
            </w:pPr>
          </w:p>
        </w:tc>
        <w:tc>
          <w:tcPr>
            <w:tcW w:w="1837" w:type="dxa"/>
            <w:vMerge w:val="continue"/>
            <w:tcBorders>
              <w:top w:val="nil"/>
            </w:tcBorders>
            <w:vAlign w:val="top"/>
          </w:tcPr>
          <w:p w14:paraId="32CD0548">
            <w:pPr>
              <w:rPr>
                <w:rFonts w:ascii="Arial"/>
                <w:sz w:val="21"/>
              </w:rPr>
            </w:pPr>
          </w:p>
        </w:tc>
        <w:tc>
          <w:tcPr>
            <w:tcW w:w="1319" w:type="dxa"/>
            <w:vAlign w:val="top"/>
          </w:tcPr>
          <w:p w14:paraId="5F5876B5">
            <w:pPr>
              <w:pStyle w:val="6"/>
              <w:spacing w:before="103" w:line="198" w:lineRule="auto"/>
              <w:ind w:left="485"/>
            </w:pPr>
            <w:r>
              <w:rPr>
                <w:spacing w:val="-2"/>
              </w:rPr>
              <w:t>H</w:t>
            </w:r>
            <w:r>
              <w:rPr>
                <w:spacing w:val="-2"/>
                <w:position w:val="-2"/>
                <w:sz w:val="14"/>
                <w:szCs w:val="14"/>
              </w:rPr>
              <w:t>2</w:t>
            </w:r>
            <w:r>
              <w:rPr>
                <w:spacing w:val="-2"/>
              </w:rPr>
              <w:t>S</w:t>
            </w:r>
          </w:p>
        </w:tc>
        <w:tc>
          <w:tcPr>
            <w:tcW w:w="1596" w:type="dxa"/>
            <w:vAlign w:val="top"/>
          </w:tcPr>
          <w:p w14:paraId="726FDFA6">
            <w:pPr>
              <w:pStyle w:val="6"/>
              <w:spacing w:before="103" w:line="188" w:lineRule="auto"/>
              <w:ind w:left="613"/>
            </w:pPr>
            <w:r>
              <w:rPr>
                <w:spacing w:val="-2"/>
              </w:rPr>
              <w:t>0.03</w:t>
            </w:r>
          </w:p>
        </w:tc>
        <w:tc>
          <w:tcPr>
            <w:tcW w:w="1600" w:type="dxa"/>
            <w:vAlign w:val="top"/>
          </w:tcPr>
          <w:p w14:paraId="46EA6A58">
            <w:pPr>
              <w:pStyle w:val="6"/>
              <w:spacing w:before="103" w:line="188" w:lineRule="auto"/>
              <w:ind w:left="513"/>
            </w:pPr>
            <w:r>
              <w:rPr>
                <w:spacing w:val="-2"/>
              </w:rPr>
              <w:t>0.0002</w:t>
            </w:r>
          </w:p>
        </w:tc>
        <w:tc>
          <w:tcPr>
            <w:tcW w:w="1388" w:type="dxa"/>
            <w:vAlign w:val="top"/>
          </w:tcPr>
          <w:p w14:paraId="1B25F932">
            <w:pPr>
              <w:pStyle w:val="6"/>
              <w:spacing w:before="103" w:line="188" w:lineRule="auto"/>
              <w:ind w:left="457"/>
            </w:pPr>
            <w:r>
              <w:rPr>
                <w:spacing w:val="-2"/>
              </w:rPr>
              <w:t>0.002</w:t>
            </w:r>
          </w:p>
        </w:tc>
      </w:tr>
      <w:tr w14:paraId="4AEFA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17" w:type="dxa"/>
            <w:gridSpan w:val="2"/>
            <w:vMerge w:val="restart"/>
            <w:tcBorders>
              <w:bottom w:val="nil"/>
            </w:tcBorders>
            <w:vAlign w:val="top"/>
          </w:tcPr>
          <w:p w14:paraId="52F0EF83">
            <w:pPr>
              <w:spacing w:before="242" w:line="221" w:lineRule="auto"/>
              <w:ind w:left="482"/>
              <w:rPr>
                <w:rFonts w:ascii="宋体" w:hAnsi="宋体" w:eastAsia="宋体" w:cs="宋体"/>
                <w:sz w:val="21"/>
                <w:szCs w:val="21"/>
              </w:rPr>
            </w:pPr>
            <w:r>
              <w:rPr>
                <w:rFonts w:ascii="宋体" w:hAnsi="宋体" w:eastAsia="宋体" w:cs="宋体"/>
                <w:spacing w:val="-2"/>
                <w:sz w:val="21"/>
                <w:szCs w:val="21"/>
              </w:rPr>
              <w:t>一般排放口合计</w:t>
            </w:r>
          </w:p>
        </w:tc>
        <w:tc>
          <w:tcPr>
            <w:tcW w:w="4515" w:type="dxa"/>
            <w:gridSpan w:val="3"/>
            <w:vAlign w:val="top"/>
          </w:tcPr>
          <w:p w14:paraId="44D551CB">
            <w:pPr>
              <w:pStyle w:val="6"/>
              <w:spacing w:before="106" w:line="195" w:lineRule="auto"/>
              <w:ind w:left="2061"/>
              <w:rPr>
                <w:sz w:val="14"/>
                <w:szCs w:val="14"/>
              </w:rPr>
            </w:pPr>
            <w:r>
              <w:t>NH</w:t>
            </w:r>
            <w:r>
              <w:rPr>
                <w:spacing w:val="1"/>
                <w:position w:val="-2"/>
                <w:sz w:val="14"/>
                <w:szCs w:val="14"/>
              </w:rPr>
              <w:t>3</w:t>
            </w:r>
          </w:p>
        </w:tc>
        <w:tc>
          <w:tcPr>
            <w:tcW w:w="1388" w:type="dxa"/>
            <w:vAlign w:val="top"/>
          </w:tcPr>
          <w:p w14:paraId="540CD575">
            <w:pPr>
              <w:pStyle w:val="6"/>
              <w:spacing w:before="103" w:line="188" w:lineRule="auto"/>
              <w:ind w:left="457"/>
            </w:pPr>
            <w:r>
              <w:rPr>
                <w:spacing w:val="-2"/>
              </w:rPr>
              <w:t>0.095</w:t>
            </w:r>
          </w:p>
        </w:tc>
      </w:tr>
      <w:tr w14:paraId="79C9A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17" w:type="dxa"/>
            <w:gridSpan w:val="2"/>
            <w:vMerge w:val="continue"/>
            <w:tcBorders>
              <w:top w:val="nil"/>
            </w:tcBorders>
            <w:vAlign w:val="top"/>
          </w:tcPr>
          <w:p w14:paraId="46AF0241">
            <w:pPr>
              <w:rPr>
                <w:rFonts w:ascii="Arial"/>
                <w:sz w:val="21"/>
              </w:rPr>
            </w:pPr>
          </w:p>
        </w:tc>
        <w:tc>
          <w:tcPr>
            <w:tcW w:w="4515" w:type="dxa"/>
            <w:gridSpan w:val="3"/>
            <w:vAlign w:val="top"/>
          </w:tcPr>
          <w:p w14:paraId="78CEB78A">
            <w:pPr>
              <w:pStyle w:val="6"/>
              <w:spacing w:before="103" w:line="198" w:lineRule="auto"/>
              <w:ind w:left="2085"/>
            </w:pPr>
            <w:r>
              <w:rPr>
                <w:spacing w:val="-2"/>
              </w:rPr>
              <w:t>H</w:t>
            </w:r>
            <w:r>
              <w:rPr>
                <w:spacing w:val="-2"/>
                <w:position w:val="-2"/>
                <w:sz w:val="14"/>
                <w:szCs w:val="14"/>
              </w:rPr>
              <w:t>2</w:t>
            </w:r>
            <w:r>
              <w:rPr>
                <w:spacing w:val="-2"/>
              </w:rPr>
              <w:t>S</w:t>
            </w:r>
          </w:p>
        </w:tc>
        <w:tc>
          <w:tcPr>
            <w:tcW w:w="1388" w:type="dxa"/>
            <w:vAlign w:val="top"/>
          </w:tcPr>
          <w:p w14:paraId="5AA24C22">
            <w:pPr>
              <w:pStyle w:val="6"/>
              <w:spacing w:before="103" w:line="188" w:lineRule="auto"/>
              <w:ind w:left="457"/>
            </w:pPr>
            <w:r>
              <w:rPr>
                <w:spacing w:val="-2"/>
              </w:rPr>
              <w:t>0.005</w:t>
            </w:r>
          </w:p>
        </w:tc>
      </w:tr>
      <w:tr w14:paraId="53B73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20" w:type="dxa"/>
            <w:gridSpan w:val="6"/>
            <w:vAlign w:val="top"/>
          </w:tcPr>
          <w:p w14:paraId="4B3621D9">
            <w:pPr>
              <w:spacing w:before="67" w:line="220" w:lineRule="auto"/>
              <w:ind w:left="3431"/>
              <w:rPr>
                <w:rFonts w:ascii="宋体" w:hAnsi="宋体" w:eastAsia="宋体" w:cs="宋体"/>
                <w:sz w:val="21"/>
                <w:szCs w:val="21"/>
              </w:rPr>
            </w:pPr>
            <w:r>
              <w:rPr>
                <w:rFonts w:ascii="宋体" w:hAnsi="宋体" w:eastAsia="宋体" w:cs="宋体"/>
                <w:spacing w:val="-2"/>
                <w:sz w:val="21"/>
                <w:szCs w:val="21"/>
              </w:rPr>
              <w:t>有组织排放总计</w:t>
            </w:r>
          </w:p>
        </w:tc>
      </w:tr>
      <w:tr w14:paraId="49DEA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17" w:type="dxa"/>
            <w:gridSpan w:val="2"/>
            <w:vMerge w:val="restart"/>
            <w:tcBorders>
              <w:bottom w:val="nil"/>
            </w:tcBorders>
            <w:vAlign w:val="top"/>
          </w:tcPr>
          <w:p w14:paraId="3E9BE93C">
            <w:pPr>
              <w:spacing w:before="243" w:line="221" w:lineRule="auto"/>
              <w:ind w:left="482"/>
              <w:rPr>
                <w:rFonts w:ascii="宋体" w:hAnsi="宋体" w:eastAsia="宋体" w:cs="宋体"/>
                <w:sz w:val="21"/>
                <w:szCs w:val="21"/>
              </w:rPr>
            </w:pPr>
            <w:r>
              <w:rPr>
                <w:rFonts w:ascii="宋体" w:hAnsi="宋体" w:eastAsia="宋体" w:cs="宋体"/>
                <w:spacing w:val="-2"/>
                <w:sz w:val="21"/>
                <w:szCs w:val="21"/>
              </w:rPr>
              <w:t>一般排放口合计</w:t>
            </w:r>
          </w:p>
        </w:tc>
        <w:tc>
          <w:tcPr>
            <w:tcW w:w="4515" w:type="dxa"/>
            <w:gridSpan w:val="3"/>
            <w:vAlign w:val="top"/>
          </w:tcPr>
          <w:p w14:paraId="057EDEE2">
            <w:pPr>
              <w:pStyle w:val="6"/>
              <w:spacing w:before="107" w:line="195" w:lineRule="auto"/>
              <w:ind w:left="2061"/>
              <w:rPr>
                <w:sz w:val="14"/>
                <w:szCs w:val="14"/>
              </w:rPr>
            </w:pPr>
            <w:r>
              <w:t>NH</w:t>
            </w:r>
            <w:r>
              <w:rPr>
                <w:spacing w:val="1"/>
                <w:position w:val="-2"/>
                <w:sz w:val="14"/>
                <w:szCs w:val="14"/>
              </w:rPr>
              <w:t>3</w:t>
            </w:r>
          </w:p>
        </w:tc>
        <w:tc>
          <w:tcPr>
            <w:tcW w:w="1388" w:type="dxa"/>
            <w:vAlign w:val="top"/>
          </w:tcPr>
          <w:p w14:paraId="4A7D3AA0">
            <w:pPr>
              <w:pStyle w:val="6"/>
              <w:spacing w:before="104" w:line="188" w:lineRule="auto"/>
              <w:ind w:left="457"/>
            </w:pPr>
            <w:r>
              <w:rPr>
                <w:spacing w:val="-2"/>
              </w:rPr>
              <w:t>0.095</w:t>
            </w:r>
          </w:p>
        </w:tc>
      </w:tr>
      <w:tr w14:paraId="09CD5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417" w:type="dxa"/>
            <w:gridSpan w:val="2"/>
            <w:vMerge w:val="continue"/>
            <w:tcBorders>
              <w:top w:val="nil"/>
            </w:tcBorders>
            <w:vAlign w:val="top"/>
          </w:tcPr>
          <w:p w14:paraId="6B9411D9">
            <w:pPr>
              <w:rPr>
                <w:rFonts w:ascii="Arial"/>
                <w:sz w:val="21"/>
              </w:rPr>
            </w:pPr>
          </w:p>
        </w:tc>
        <w:tc>
          <w:tcPr>
            <w:tcW w:w="4515" w:type="dxa"/>
            <w:gridSpan w:val="3"/>
            <w:vAlign w:val="top"/>
          </w:tcPr>
          <w:p w14:paraId="24ED409E">
            <w:pPr>
              <w:pStyle w:val="6"/>
              <w:spacing w:before="104" w:line="198" w:lineRule="auto"/>
              <w:ind w:left="2085"/>
            </w:pPr>
            <w:r>
              <w:rPr>
                <w:spacing w:val="-2"/>
              </w:rPr>
              <w:t>H</w:t>
            </w:r>
            <w:r>
              <w:rPr>
                <w:spacing w:val="-2"/>
                <w:position w:val="-2"/>
                <w:sz w:val="14"/>
                <w:szCs w:val="14"/>
              </w:rPr>
              <w:t>2</w:t>
            </w:r>
            <w:r>
              <w:rPr>
                <w:spacing w:val="-2"/>
              </w:rPr>
              <w:t>S</w:t>
            </w:r>
          </w:p>
        </w:tc>
        <w:tc>
          <w:tcPr>
            <w:tcW w:w="1388" w:type="dxa"/>
            <w:vAlign w:val="top"/>
          </w:tcPr>
          <w:p w14:paraId="0AE8D4FB">
            <w:pPr>
              <w:pStyle w:val="6"/>
              <w:spacing w:before="104" w:line="188" w:lineRule="auto"/>
              <w:ind w:left="457"/>
            </w:pPr>
            <w:r>
              <w:rPr>
                <w:spacing w:val="-2"/>
              </w:rPr>
              <w:t>0.005</w:t>
            </w:r>
          </w:p>
        </w:tc>
      </w:tr>
    </w:tbl>
    <w:p w14:paraId="1EFB496B">
      <w:pPr>
        <w:spacing w:before="234"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）无组织排放量核算</w:t>
      </w:r>
    </w:p>
    <w:p w14:paraId="379C649F">
      <w:pPr>
        <w:spacing w:before="142" w:line="222" w:lineRule="auto"/>
        <w:ind w:left="195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39"/>
          <w:sz w:val="21"/>
          <w:szCs w:val="21"/>
        </w:rPr>
        <w:t xml:space="preserve"> </w:t>
      </w:r>
      <w:r>
        <w:rPr>
          <w:rFonts w:ascii="Times New Roman" w:hAnsi="Times New Roman" w:eastAsia="Times New Roman" w:cs="Times New Roman"/>
          <w:spacing w:val="-1"/>
          <w:sz w:val="21"/>
          <w:szCs w:val="21"/>
        </w:rPr>
        <w:t xml:space="preserve">4.2-20  </w:t>
      </w:r>
      <w:r>
        <w:rPr>
          <w:rFonts w:ascii="黑体" w:hAnsi="黑体" w:eastAsia="黑体" w:cs="黑体"/>
          <w:spacing w:val="-1"/>
          <w:sz w:val="21"/>
          <w:szCs w:val="21"/>
        </w:rPr>
        <w:t>本项目大气污染物无组织排放量核算表</w:t>
      </w:r>
    </w:p>
    <w:p w14:paraId="760A74FD">
      <w:pPr>
        <w:spacing w:line="32"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706"/>
        <w:gridCol w:w="570"/>
        <w:gridCol w:w="568"/>
        <w:gridCol w:w="2807"/>
        <w:gridCol w:w="1557"/>
        <w:gridCol w:w="1003"/>
        <w:gridCol w:w="814"/>
      </w:tblGrid>
      <w:tr w14:paraId="74FA6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95" w:type="dxa"/>
            <w:vMerge w:val="restart"/>
            <w:tcBorders>
              <w:bottom w:val="nil"/>
            </w:tcBorders>
            <w:textDirection w:val="tbRlV"/>
            <w:vAlign w:val="top"/>
          </w:tcPr>
          <w:p w14:paraId="2B3F8EB5">
            <w:pPr>
              <w:spacing w:before="40" w:line="210" w:lineRule="auto"/>
              <w:ind w:left="229"/>
              <w:rPr>
                <w:rFonts w:ascii="宋体" w:hAnsi="宋体" w:eastAsia="宋体" w:cs="宋体"/>
                <w:sz w:val="21"/>
                <w:szCs w:val="21"/>
              </w:rPr>
            </w:pPr>
            <w:r>
              <w:rPr>
                <w:rFonts w:ascii="宋体" w:hAnsi="宋体" w:eastAsia="宋体" w:cs="宋体"/>
                <w:spacing w:val="-2"/>
                <w:sz w:val="21"/>
                <w:szCs w:val="21"/>
              </w:rPr>
              <w:t>序 号</w:t>
            </w:r>
          </w:p>
        </w:tc>
        <w:tc>
          <w:tcPr>
            <w:tcW w:w="706" w:type="dxa"/>
            <w:vMerge w:val="restart"/>
            <w:tcBorders>
              <w:bottom w:val="nil"/>
            </w:tcBorders>
            <w:vAlign w:val="top"/>
          </w:tcPr>
          <w:p w14:paraId="19EA62AB">
            <w:pPr>
              <w:spacing w:before="230" w:line="276" w:lineRule="auto"/>
              <w:ind w:left="142" w:right="42" w:hanging="106"/>
              <w:rPr>
                <w:rFonts w:ascii="宋体" w:hAnsi="宋体" w:eastAsia="宋体" w:cs="宋体"/>
                <w:sz w:val="21"/>
                <w:szCs w:val="21"/>
              </w:rPr>
            </w:pPr>
            <w:r>
              <w:rPr>
                <w:rFonts w:ascii="宋体" w:hAnsi="宋体" w:eastAsia="宋体" w:cs="宋体"/>
                <w:spacing w:val="-3"/>
                <w:sz w:val="21"/>
                <w:szCs w:val="21"/>
              </w:rPr>
              <w:t>排放口编号</w:t>
            </w:r>
          </w:p>
        </w:tc>
        <w:tc>
          <w:tcPr>
            <w:tcW w:w="570" w:type="dxa"/>
            <w:vMerge w:val="restart"/>
            <w:tcBorders>
              <w:bottom w:val="nil"/>
            </w:tcBorders>
            <w:vAlign w:val="top"/>
          </w:tcPr>
          <w:p w14:paraId="63F415DD">
            <w:pPr>
              <w:spacing w:before="229" w:line="277" w:lineRule="auto"/>
              <w:ind w:left="73" w:right="79"/>
              <w:rPr>
                <w:rFonts w:ascii="宋体" w:hAnsi="宋体" w:eastAsia="宋体" w:cs="宋体"/>
                <w:sz w:val="21"/>
                <w:szCs w:val="21"/>
              </w:rPr>
            </w:pPr>
            <w:r>
              <w:rPr>
                <w:rFonts w:ascii="宋体" w:hAnsi="宋体" w:eastAsia="宋体" w:cs="宋体"/>
                <w:spacing w:val="-5"/>
                <w:sz w:val="21"/>
                <w:szCs w:val="21"/>
              </w:rPr>
              <w:t>产污环节</w:t>
            </w:r>
          </w:p>
        </w:tc>
        <w:tc>
          <w:tcPr>
            <w:tcW w:w="568" w:type="dxa"/>
            <w:vMerge w:val="restart"/>
            <w:tcBorders>
              <w:bottom w:val="nil"/>
            </w:tcBorders>
            <w:vAlign w:val="top"/>
          </w:tcPr>
          <w:p w14:paraId="3DF785F5">
            <w:pPr>
              <w:spacing w:before="229" w:line="277" w:lineRule="auto"/>
              <w:ind w:left="177" w:right="77" w:hanging="102"/>
              <w:rPr>
                <w:rFonts w:ascii="宋体" w:hAnsi="宋体" w:eastAsia="宋体" w:cs="宋体"/>
                <w:sz w:val="21"/>
                <w:szCs w:val="21"/>
              </w:rPr>
            </w:pPr>
            <w:r>
              <w:rPr>
                <w:rFonts w:ascii="宋体" w:hAnsi="宋体" w:eastAsia="宋体" w:cs="宋体"/>
                <w:spacing w:val="-5"/>
                <w:sz w:val="21"/>
                <w:szCs w:val="21"/>
              </w:rPr>
              <w:t>污染</w:t>
            </w:r>
            <w:r>
              <w:rPr>
                <w:rFonts w:ascii="宋体" w:hAnsi="宋体" w:eastAsia="宋体" w:cs="宋体"/>
                <w:sz w:val="21"/>
                <w:szCs w:val="21"/>
              </w:rPr>
              <w:t>物</w:t>
            </w:r>
          </w:p>
        </w:tc>
        <w:tc>
          <w:tcPr>
            <w:tcW w:w="2807" w:type="dxa"/>
            <w:vMerge w:val="restart"/>
            <w:tcBorders>
              <w:bottom w:val="nil"/>
            </w:tcBorders>
            <w:vAlign w:val="top"/>
          </w:tcPr>
          <w:p w14:paraId="6C263F66">
            <w:pPr>
              <w:spacing w:line="315" w:lineRule="auto"/>
              <w:rPr>
                <w:rFonts w:ascii="Arial"/>
                <w:sz w:val="21"/>
              </w:rPr>
            </w:pPr>
          </w:p>
          <w:p w14:paraId="0CB07CAA">
            <w:pPr>
              <w:spacing w:before="69" w:line="220" w:lineRule="auto"/>
              <w:ind w:left="565"/>
              <w:rPr>
                <w:rFonts w:ascii="宋体" w:hAnsi="宋体" w:eastAsia="宋体" w:cs="宋体"/>
                <w:sz w:val="21"/>
                <w:szCs w:val="21"/>
              </w:rPr>
            </w:pPr>
            <w:r>
              <w:rPr>
                <w:rFonts w:ascii="宋体" w:hAnsi="宋体" w:eastAsia="宋体" w:cs="宋体"/>
                <w:spacing w:val="-2"/>
                <w:sz w:val="21"/>
                <w:szCs w:val="21"/>
              </w:rPr>
              <w:t>主要污染防治措施</w:t>
            </w:r>
          </w:p>
        </w:tc>
        <w:tc>
          <w:tcPr>
            <w:tcW w:w="2560" w:type="dxa"/>
            <w:gridSpan w:val="2"/>
            <w:vAlign w:val="top"/>
          </w:tcPr>
          <w:p w14:paraId="571F124D">
            <w:pPr>
              <w:spacing w:before="69" w:line="220" w:lineRule="auto"/>
              <w:ind w:left="43"/>
              <w:rPr>
                <w:rFonts w:ascii="宋体" w:hAnsi="宋体" w:eastAsia="宋体" w:cs="宋体"/>
                <w:sz w:val="21"/>
                <w:szCs w:val="21"/>
              </w:rPr>
            </w:pPr>
            <w:r>
              <w:rPr>
                <w:rFonts w:ascii="宋体" w:hAnsi="宋体" w:eastAsia="宋体" w:cs="宋体"/>
                <w:spacing w:val="-3"/>
                <w:sz w:val="21"/>
                <w:szCs w:val="21"/>
              </w:rPr>
              <w:t>国家或地方污染物排放标准</w:t>
            </w:r>
          </w:p>
        </w:tc>
        <w:tc>
          <w:tcPr>
            <w:tcW w:w="814" w:type="dxa"/>
            <w:vMerge w:val="restart"/>
            <w:tcBorders>
              <w:bottom w:val="nil"/>
            </w:tcBorders>
            <w:vAlign w:val="top"/>
          </w:tcPr>
          <w:p w14:paraId="1642E1B6">
            <w:pPr>
              <w:pStyle w:val="6"/>
              <w:spacing w:before="230" w:line="279" w:lineRule="auto"/>
              <w:ind w:left="7" w:firstLine="84"/>
              <w:rPr>
                <w:rFonts w:ascii="宋体" w:hAnsi="宋体" w:eastAsia="宋体" w:cs="宋体"/>
              </w:rPr>
            </w:pPr>
            <w:r>
              <w:rPr>
                <w:rFonts w:ascii="宋体" w:hAnsi="宋体" w:eastAsia="宋体" w:cs="宋体"/>
                <w:spacing w:val="-8"/>
              </w:rPr>
              <w:t>年排放</w:t>
            </w:r>
            <w:r>
              <w:rPr>
                <w:rFonts w:ascii="宋体" w:hAnsi="宋体" w:eastAsia="宋体" w:cs="宋体"/>
                <w:spacing w:val="-7"/>
              </w:rPr>
              <w:t>量（</w:t>
            </w:r>
            <w:r>
              <w:rPr>
                <w:spacing w:val="-7"/>
              </w:rPr>
              <w:t>t/a</w:t>
            </w:r>
            <w:r>
              <w:rPr>
                <w:rFonts w:ascii="宋体" w:hAnsi="宋体" w:eastAsia="宋体" w:cs="宋体"/>
                <w:spacing w:val="-7"/>
              </w:rPr>
              <w:t>）</w:t>
            </w:r>
          </w:p>
        </w:tc>
      </w:tr>
      <w:tr w14:paraId="77378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95" w:type="dxa"/>
            <w:vMerge w:val="continue"/>
            <w:tcBorders>
              <w:top w:val="nil"/>
            </w:tcBorders>
            <w:textDirection w:val="tbRlV"/>
            <w:vAlign w:val="top"/>
          </w:tcPr>
          <w:p w14:paraId="4C94175F">
            <w:pPr>
              <w:rPr>
                <w:rFonts w:ascii="Arial"/>
                <w:sz w:val="21"/>
              </w:rPr>
            </w:pPr>
          </w:p>
        </w:tc>
        <w:tc>
          <w:tcPr>
            <w:tcW w:w="706" w:type="dxa"/>
            <w:vMerge w:val="continue"/>
            <w:tcBorders>
              <w:top w:val="nil"/>
            </w:tcBorders>
            <w:vAlign w:val="top"/>
          </w:tcPr>
          <w:p w14:paraId="15E3DF42">
            <w:pPr>
              <w:rPr>
                <w:rFonts w:ascii="Arial"/>
                <w:sz w:val="21"/>
              </w:rPr>
            </w:pPr>
          </w:p>
        </w:tc>
        <w:tc>
          <w:tcPr>
            <w:tcW w:w="570" w:type="dxa"/>
            <w:vMerge w:val="continue"/>
            <w:tcBorders>
              <w:top w:val="nil"/>
            </w:tcBorders>
            <w:vAlign w:val="top"/>
          </w:tcPr>
          <w:p w14:paraId="5AFEB961">
            <w:pPr>
              <w:rPr>
                <w:rFonts w:ascii="Arial"/>
                <w:sz w:val="21"/>
              </w:rPr>
            </w:pPr>
          </w:p>
        </w:tc>
        <w:tc>
          <w:tcPr>
            <w:tcW w:w="568" w:type="dxa"/>
            <w:vMerge w:val="continue"/>
            <w:tcBorders>
              <w:top w:val="nil"/>
            </w:tcBorders>
            <w:vAlign w:val="top"/>
          </w:tcPr>
          <w:p w14:paraId="7ED9FCCB">
            <w:pPr>
              <w:rPr>
                <w:rFonts w:ascii="Arial"/>
                <w:sz w:val="21"/>
              </w:rPr>
            </w:pPr>
          </w:p>
        </w:tc>
        <w:tc>
          <w:tcPr>
            <w:tcW w:w="2807" w:type="dxa"/>
            <w:vMerge w:val="continue"/>
            <w:tcBorders>
              <w:top w:val="nil"/>
            </w:tcBorders>
            <w:vAlign w:val="top"/>
          </w:tcPr>
          <w:p w14:paraId="0753F4C4">
            <w:pPr>
              <w:rPr>
                <w:rFonts w:ascii="Arial"/>
                <w:sz w:val="21"/>
              </w:rPr>
            </w:pPr>
          </w:p>
        </w:tc>
        <w:tc>
          <w:tcPr>
            <w:tcW w:w="1557" w:type="dxa"/>
            <w:vAlign w:val="top"/>
          </w:tcPr>
          <w:p w14:paraId="4FC21451">
            <w:pPr>
              <w:spacing w:before="208" w:line="220" w:lineRule="auto"/>
              <w:ind w:left="362"/>
              <w:rPr>
                <w:rFonts w:ascii="宋体" w:hAnsi="宋体" w:eastAsia="宋体" w:cs="宋体"/>
                <w:sz w:val="21"/>
                <w:szCs w:val="21"/>
              </w:rPr>
            </w:pPr>
            <w:r>
              <w:rPr>
                <w:rFonts w:ascii="宋体" w:hAnsi="宋体" w:eastAsia="宋体" w:cs="宋体"/>
                <w:spacing w:val="-2"/>
                <w:sz w:val="21"/>
                <w:szCs w:val="21"/>
              </w:rPr>
              <w:t>标准名称</w:t>
            </w:r>
          </w:p>
        </w:tc>
        <w:tc>
          <w:tcPr>
            <w:tcW w:w="1003" w:type="dxa"/>
            <w:vAlign w:val="top"/>
          </w:tcPr>
          <w:p w14:paraId="6A52BBB0">
            <w:pPr>
              <w:pStyle w:val="6"/>
              <w:spacing w:before="52" w:line="249" w:lineRule="auto"/>
              <w:ind w:left="152" w:right="82" w:hanging="69"/>
              <w:rPr>
                <w:rFonts w:ascii="宋体" w:hAnsi="宋体" w:eastAsia="宋体" w:cs="宋体"/>
              </w:rPr>
            </w:pPr>
            <w:r>
              <w:rPr>
                <w:rFonts w:ascii="宋体" w:hAnsi="宋体" w:eastAsia="宋体" w:cs="宋体"/>
                <w:spacing w:val="-3"/>
              </w:rPr>
              <w:t>浓度限值</w:t>
            </w:r>
            <w:r>
              <w:rPr>
                <w:rFonts w:ascii="宋体" w:hAnsi="宋体" w:eastAsia="宋体" w:cs="宋体"/>
                <w:spacing w:val="-2"/>
              </w:rPr>
              <w:t>(</w:t>
            </w:r>
            <w:r>
              <w:rPr>
                <w:spacing w:val="-2"/>
              </w:rPr>
              <w:t>μg/m³</w:t>
            </w:r>
            <w:r>
              <w:rPr>
                <w:spacing w:val="-23"/>
              </w:rPr>
              <w:t xml:space="preserve"> </w:t>
            </w:r>
            <w:r>
              <w:rPr>
                <w:rFonts w:ascii="宋体" w:hAnsi="宋体" w:eastAsia="宋体" w:cs="宋体"/>
                <w:spacing w:val="-2"/>
              </w:rPr>
              <w:t>)</w:t>
            </w:r>
          </w:p>
        </w:tc>
        <w:tc>
          <w:tcPr>
            <w:tcW w:w="814" w:type="dxa"/>
            <w:vMerge w:val="continue"/>
            <w:tcBorders>
              <w:top w:val="nil"/>
            </w:tcBorders>
            <w:vAlign w:val="top"/>
          </w:tcPr>
          <w:p w14:paraId="265ED4DE">
            <w:pPr>
              <w:rPr>
                <w:rFonts w:ascii="Arial"/>
                <w:sz w:val="21"/>
              </w:rPr>
            </w:pPr>
          </w:p>
        </w:tc>
      </w:tr>
      <w:tr w14:paraId="19E61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5" w:type="dxa"/>
            <w:vAlign w:val="top"/>
          </w:tcPr>
          <w:p w14:paraId="4D00EBE7">
            <w:pPr>
              <w:pStyle w:val="6"/>
              <w:spacing w:before="102" w:line="188" w:lineRule="auto"/>
              <w:ind w:left="116"/>
            </w:pPr>
            <w:r>
              <w:t>1</w:t>
            </w:r>
          </w:p>
        </w:tc>
        <w:tc>
          <w:tcPr>
            <w:tcW w:w="706" w:type="dxa"/>
            <w:vMerge w:val="restart"/>
            <w:tcBorders>
              <w:bottom w:val="nil"/>
            </w:tcBorders>
            <w:vAlign w:val="top"/>
          </w:tcPr>
          <w:p w14:paraId="319F1C18">
            <w:pPr>
              <w:spacing w:line="252" w:lineRule="auto"/>
              <w:rPr>
                <w:rFonts w:ascii="Arial"/>
                <w:sz w:val="21"/>
              </w:rPr>
            </w:pPr>
          </w:p>
          <w:p w14:paraId="779AC5D0">
            <w:pPr>
              <w:spacing w:line="253" w:lineRule="auto"/>
              <w:rPr>
                <w:rFonts w:ascii="Arial"/>
                <w:sz w:val="21"/>
              </w:rPr>
            </w:pPr>
          </w:p>
          <w:p w14:paraId="46898CD5">
            <w:pPr>
              <w:spacing w:line="253" w:lineRule="auto"/>
              <w:rPr>
                <w:rFonts w:ascii="Arial"/>
                <w:sz w:val="21"/>
              </w:rPr>
            </w:pPr>
          </w:p>
          <w:p w14:paraId="0803898D">
            <w:pPr>
              <w:spacing w:before="69" w:line="220" w:lineRule="auto"/>
              <w:ind w:left="38"/>
              <w:rPr>
                <w:rFonts w:ascii="宋体" w:hAnsi="宋体" w:eastAsia="宋体" w:cs="宋体"/>
                <w:sz w:val="21"/>
                <w:szCs w:val="21"/>
              </w:rPr>
            </w:pPr>
            <w:r>
              <w:rPr>
                <w:rFonts w:ascii="宋体" w:hAnsi="宋体" w:eastAsia="宋体" w:cs="宋体"/>
                <w:spacing w:val="-3"/>
                <w:sz w:val="21"/>
                <w:szCs w:val="21"/>
              </w:rPr>
              <w:t>无组织</w:t>
            </w:r>
          </w:p>
        </w:tc>
        <w:tc>
          <w:tcPr>
            <w:tcW w:w="570" w:type="dxa"/>
            <w:vMerge w:val="restart"/>
            <w:tcBorders>
              <w:bottom w:val="nil"/>
            </w:tcBorders>
            <w:vAlign w:val="top"/>
          </w:tcPr>
          <w:p w14:paraId="22CF4320">
            <w:pPr>
              <w:spacing w:before="207" w:line="220" w:lineRule="auto"/>
              <w:ind w:left="74"/>
              <w:rPr>
                <w:rFonts w:ascii="宋体" w:hAnsi="宋体" w:eastAsia="宋体" w:cs="宋体"/>
                <w:sz w:val="21"/>
                <w:szCs w:val="21"/>
              </w:rPr>
            </w:pPr>
            <w:r>
              <w:rPr>
                <w:rFonts w:ascii="宋体" w:hAnsi="宋体" w:eastAsia="宋体" w:cs="宋体"/>
                <w:spacing w:val="-3"/>
                <w:sz w:val="21"/>
                <w:szCs w:val="21"/>
              </w:rPr>
              <w:t>养殖</w:t>
            </w:r>
          </w:p>
          <w:p w14:paraId="5F90ED30">
            <w:pPr>
              <w:spacing w:before="61" w:line="225" w:lineRule="auto"/>
              <w:ind w:left="89"/>
              <w:rPr>
                <w:rFonts w:ascii="宋体" w:hAnsi="宋体" w:eastAsia="宋体" w:cs="宋体"/>
                <w:sz w:val="21"/>
                <w:szCs w:val="21"/>
              </w:rPr>
            </w:pPr>
            <w:r>
              <w:rPr>
                <w:rFonts w:ascii="宋体" w:hAnsi="宋体" w:eastAsia="宋体" w:cs="宋体"/>
                <w:spacing w:val="-14"/>
                <w:sz w:val="21"/>
                <w:szCs w:val="21"/>
              </w:rPr>
              <w:t>区、</w:t>
            </w:r>
          </w:p>
          <w:p w14:paraId="25E763A4">
            <w:pPr>
              <w:spacing w:before="56" w:line="220" w:lineRule="auto"/>
              <w:ind w:left="75"/>
              <w:rPr>
                <w:rFonts w:ascii="宋体" w:hAnsi="宋体" w:eastAsia="宋体" w:cs="宋体"/>
                <w:sz w:val="21"/>
                <w:szCs w:val="21"/>
              </w:rPr>
            </w:pPr>
            <w:r>
              <w:rPr>
                <w:rFonts w:ascii="宋体" w:hAnsi="宋体" w:eastAsia="宋体" w:cs="宋体"/>
                <w:spacing w:val="-3"/>
                <w:sz w:val="21"/>
                <w:szCs w:val="21"/>
              </w:rPr>
              <w:t>粪污</w:t>
            </w:r>
          </w:p>
          <w:p w14:paraId="7A35B1DB">
            <w:pPr>
              <w:spacing w:before="62" w:line="279" w:lineRule="auto"/>
              <w:ind w:left="193" w:right="79" w:hanging="116"/>
              <w:rPr>
                <w:rFonts w:ascii="宋体" w:hAnsi="宋体" w:eastAsia="宋体" w:cs="宋体"/>
                <w:sz w:val="21"/>
                <w:szCs w:val="21"/>
              </w:rPr>
            </w:pPr>
            <w:r>
              <w:rPr>
                <w:rFonts w:ascii="宋体" w:hAnsi="宋体" w:eastAsia="宋体" w:cs="宋体"/>
                <w:spacing w:val="-7"/>
                <w:sz w:val="21"/>
                <w:szCs w:val="21"/>
              </w:rPr>
              <w:t>处理</w:t>
            </w:r>
            <w:r>
              <w:rPr>
                <w:rFonts w:ascii="宋体" w:hAnsi="宋体" w:eastAsia="宋体" w:cs="宋体"/>
                <w:sz w:val="21"/>
                <w:szCs w:val="21"/>
              </w:rPr>
              <w:t>区</w:t>
            </w:r>
          </w:p>
        </w:tc>
        <w:tc>
          <w:tcPr>
            <w:tcW w:w="568" w:type="dxa"/>
            <w:vAlign w:val="top"/>
          </w:tcPr>
          <w:p w14:paraId="5E64B129">
            <w:pPr>
              <w:pStyle w:val="6"/>
              <w:spacing w:before="105" w:line="195" w:lineRule="auto"/>
              <w:ind w:left="85"/>
              <w:rPr>
                <w:sz w:val="14"/>
                <w:szCs w:val="14"/>
              </w:rPr>
            </w:pPr>
            <w:r>
              <w:t>NH</w:t>
            </w:r>
            <w:r>
              <w:rPr>
                <w:spacing w:val="1"/>
                <w:position w:val="-2"/>
                <w:sz w:val="14"/>
                <w:szCs w:val="14"/>
              </w:rPr>
              <w:t>3</w:t>
            </w:r>
          </w:p>
        </w:tc>
        <w:tc>
          <w:tcPr>
            <w:tcW w:w="2807" w:type="dxa"/>
            <w:vMerge w:val="restart"/>
            <w:tcBorders>
              <w:bottom w:val="nil"/>
            </w:tcBorders>
            <w:vAlign w:val="top"/>
          </w:tcPr>
          <w:p w14:paraId="42787C1B">
            <w:pPr>
              <w:spacing w:before="208" w:line="275" w:lineRule="auto"/>
              <w:ind w:left="4" w:right="5" w:firstLine="9"/>
              <w:jc w:val="both"/>
              <w:rPr>
                <w:rFonts w:ascii="宋体" w:hAnsi="宋体" w:eastAsia="宋体" w:cs="宋体"/>
                <w:sz w:val="21"/>
                <w:szCs w:val="21"/>
              </w:rPr>
            </w:pPr>
            <w:r>
              <w:rPr>
                <w:rFonts w:ascii="宋体" w:hAnsi="宋体" w:eastAsia="宋体" w:cs="宋体"/>
                <w:spacing w:val="4"/>
                <w:sz w:val="21"/>
                <w:szCs w:val="21"/>
              </w:rPr>
              <w:t>喷洒除臭剂、优化养殖工艺及饲料、控制饲养密度、及时清理猪舍、加强通风、堆粪棚封闭及时清运、污水管道设置为</w:t>
            </w:r>
            <w:r>
              <w:rPr>
                <w:rFonts w:ascii="宋体" w:hAnsi="宋体" w:eastAsia="宋体" w:cs="宋体"/>
                <w:spacing w:val="-4"/>
                <w:sz w:val="21"/>
                <w:szCs w:val="21"/>
              </w:rPr>
              <w:t>地埋式，加强绿化等。</w:t>
            </w:r>
          </w:p>
        </w:tc>
        <w:tc>
          <w:tcPr>
            <w:tcW w:w="1557" w:type="dxa"/>
            <w:vMerge w:val="restart"/>
            <w:tcBorders>
              <w:bottom w:val="nil"/>
            </w:tcBorders>
            <w:vAlign w:val="top"/>
          </w:tcPr>
          <w:p w14:paraId="07B68B63">
            <w:pPr>
              <w:spacing w:before="51" w:line="218" w:lineRule="auto"/>
              <w:ind w:left="46"/>
              <w:rPr>
                <w:rFonts w:ascii="宋体" w:hAnsi="宋体" w:eastAsia="宋体" w:cs="宋体"/>
                <w:sz w:val="21"/>
                <w:szCs w:val="21"/>
              </w:rPr>
            </w:pPr>
            <w:r>
              <w:rPr>
                <w:rFonts w:ascii="宋体" w:hAnsi="宋体" w:eastAsia="宋体" w:cs="宋体"/>
                <w:spacing w:val="-3"/>
                <w:sz w:val="21"/>
                <w:szCs w:val="21"/>
              </w:rPr>
              <w:t>《环境影响评价</w:t>
            </w:r>
          </w:p>
          <w:p w14:paraId="2F7637B2">
            <w:pPr>
              <w:spacing w:before="63" w:line="220" w:lineRule="auto"/>
              <w:ind w:left="309"/>
              <w:rPr>
                <w:rFonts w:ascii="宋体" w:hAnsi="宋体" w:eastAsia="宋体" w:cs="宋体"/>
                <w:sz w:val="21"/>
                <w:szCs w:val="21"/>
              </w:rPr>
            </w:pPr>
            <w:r>
              <w:rPr>
                <w:rFonts w:ascii="宋体" w:hAnsi="宋体" w:eastAsia="宋体" w:cs="宋体"/>
                <w:spacing w:val="-3"/>
                <w:sz w:val="21"/>
                <w:szCs w:val="21"/>
              </w:rPr>
              <w:t>技术导则》</w:t>
            </w:r>
          </w:p>
          <w:p w14:paraId="59C62057">
            <w:pPr>
              <w:pStyle w:val="6"/>
              <w:spacing w:before="62" w:line="219" w:lineRule="auto"/>
              <w:jc w:val="right"/>
              <w:rPr>
                <w:rFonts w:ascii="宋体" w:hAnsi="宋体" w:eastAsia="宋体" w:cs="宋体"/>
              </w:rPr>
            </w:pPr>
            <w:r>
              <w:rPr>
                <w:rFonts w:ascii="宋体" w:hAnsi="宋体" w:eastAsia="宋体" w:cs="宋体"/>
                <w:spacing w:val="-7"/>
              </w:rPr>
              <w:t>（</w:t>
            </w:r>
            <w:r>
              <w:rPr>
                <w:spacing w:val="-7"/>
              </w:rPr>
              <w:t>HJ2.2-2018</w:t>
            </w:r>
            <w:r>
              <w:rPr>
                <w:rFonts w:ascii="宋体" w:hAnsi="宋体" w:eastAsia="宋体" w:cs="宋体"/>
                <w:spacing w:val="-7"/>
              </w:rPr>
              <w:t>）附</w:t>
            </w:r>
          </w:p>
          <w:p w14:paraId="097C9BBF">
            <w:pPr>
              <w:pStyle w:val="6"/>
              <w:spacing w:before="63" w:line="220" w:lineRule="auto"/>
              <w:ind w:left="50"/>
              <w:rPr>
                <w:rFonts w:ascii="宋体" w:hAnsi="宋体" w:eastAsia="宋体" w:cs="宋体"/>
              </w:rPr>
            </w:pPr>
            <w:r>
              <w:rPr>
                <w:rFonts w:ascii="宋体" w:hAnsi="宋体" w:eastAsia="宋体" w:cs="宋体"/>
                <w:spacing w:val="-2"/>
              </w:rPr>
              <w:t>录</w:t>
            </w:r>
            <w:r>
              <w:rPr>
                <w:rFonts w:ascii="宋体" w:hAnsi="宋体" w:eastAsia="宋体" w:cs="宋体"/>
                <w:spacing w:val="-49"/>
              </w:rPr>
              <w:t xml:space="preserve"> </w:t>
            </w:r>
            <w:r>
              <w:rPr>
                <w:spacing w:val="-2"/>
              </w:rPr>
              <w:t>D</w:t>
            </w:r>
            <w:r>
              <w:rPr>
                <w:rFonts w:ascii="宋体" w:hAnsi="宋体" w:eastAsia="宋体" w:cs="宋体"/>
                <w:spacing w:val="-2"/>
              </w:rPr>
              <w:t>“其他污染</w:t>
            </w:r>
          </w:p>
          <w:p w14:paraId="02E4DD0F">
            <w:pPr>
              <w:spacing w:before="61" w:line="220" w:lineRule="auto"/>
              <w:ind w:left="45"/>
              <w:rPr>
                <w:rFonts w:ascii="宋体" w:hAnsi="宋体" w:eastAsia="宋体" w:cs="宋体"/>
                <w:sz w:val="21"/>
                <w:szCs w:val="21"/>
              </w:rPr>
            </w:pPr>
            <w:r>
              <w:rPr>
                <w:rFonts w:ascii="宋体" w:hAnsi="宋体" w:eastAsia="宋体" w:cs="宋体"/>
                <w:spacing w:val="-2"/>
                <w:sz w:val="21"/>
                <w:szCs w:val="21"/>
              </w:rPr>
              <w:t>物控制质量浓度</w:t>
            </w:r>
          </w:p>
          <w:p w14:paraId="3405EDC6">
            <w:pPr>
              <w:spacing w:before="61" w:line="220" w:lineRule="auto"/>
              <w:ind w:left="257"/>
              <w:rPr>
                <w:rFonts w:ascii="宋体" w:hAnsi="宋体" w:eastAsia="宋体" w:cs="宋体"/>
                <w:sz w:val="21"/>
                <w:szCs w:val="21"/>
              </w:rPr>
            </w:pPr>
            <w:r>
              <w:rPr>
                <w:rFonts w:ascii="宋体" w:hAnsi="宋体" w:eastAsia="宋体" w:cs="宋体"/>
                <w:spacing w:val="19"/>
                <w:sz w:val="21"/>
                <w:szCs w:val="21"/>
              </w:rPr>
              <w:t>参考限制”</w:t>
            </w:r>
          </w:p>
        </w:tc>
        <w:tc>
          <w:tcPr>
            <w:tcW w:w="1003" w:type="dxa"/>
            <w:vAlign w:val="top"/>
          </w:tcPr>
          <w:p w14:paraId="0A21FF38">
            <w:pPr>
              <w:pStyle w:val="6"/>
              <w:spacing w:before="102" w:line="188" w:lineRule="auto"/>
              <w:ind w:left="342"/>
            </w:pPr>
            <w:r>
              <w:rPr>
                <w:spacing w:val="-2"/>
              </w:rPr>
              <w:t>200</w:t>
            </w:r>
          </w:p>
        </w:tc>
        <w:tc>
          <w:tcPr>
            <w:tcW w:w="814" w:type="dxa"/>
            <w:vAlign w:val="top"/>
          </w:tcPr>
          <w:p w14:paraId="2CAD8EE7">
            <w:pPr>
              <w:pStyle w:val="6"/>
              <w:spacing w:before="102" w:line="188" w:lineRule="auto"/>
              <w:ind w:left="170"/>
            </w:pPr>
            <w:r>
              <w:rPr>
                <w:spacing w:val="-2"/>
              </w:rPr>
              <w:t>0.849</w:t>
            </w:r>
          </w:p>
        </w:tc>
      </w:tr>
      <w:tr w14:paraId="6ADDF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295" w:type="dxa"/>
            <w:vAlign w:val="top"/>
          </w:tcPr>
          <w:p w14:paraId="13DC48C1">
            <w:pPr>
              <w:spacing w:line="315" w:lineRule="auto"/>
              <w:rPr>
                <w:rFonts w:ascii="Arial"/>
                <w:sz w:val="21"/>
              </w:rPr>
            </w:pPr>
          </w:p>
          <w:p w14:paraId="34721ACE">
            <w:pPr>
              <w:spacing w:line="315" w:lineRule="auto"/>
              <w:rPr>
                <w:rFonts w:ascii="Arial"/>
                <w:sz w:val="21"/>
              </w:rPr>
            </w:pPr>
          </w:p>
          <w:p w14:paraId="5486B2E2">
            <w:pPr>
              <w:pStyle w:val="6"/>
              <w:spacing w:before="60" w:line="188" w:lineRule="auto"/>
              <w:ind w:left="96"/>
            </w:pPr>
            <w:r>
              <w:t>2</w:t>
            </w:r>
          </w:p>
        </w:tc>
        <w:tc>
          <w:tcPr>
            <w:tcW w:w="706" w:type="dxa"/>
            <w:vMerge w:val="continue"/>
            <w:tcBorders>
              <w:top w:val="nil"/>
            </w:tcBorders>
            <w:vAlign w:val="top"/>
          </w:tcPr>
          <w:p w14:paraId="2BD99A20">
            <w:pPr>
              <w:rPr>
                <w:rFonts w:ascii="Arial"/>
                <w:sz w:val="21"/>
              </w:rPr>
            </w:pPr>
          </w:p>
        </w:tc>
        <w:tc>
          <w:tcPr>
            <w:tcW w:w="570" w:type="dxa"/>
            <w:vMerge w:val="continue"/>
            <w:tcBorders>
              <w:top w:val="nil"/>
            </w:tcBorders>
            <w:vAlign w:val="top"/>
          </w:tcPr>
          <w:p w14:paraId="3EBF15D9">
            <w:pPr>
              <w:rPr>
                <w:rFonts w:ascii="Arial"/>
                <w:sz w:val="21"/>
              </w:rPr>
            </w:pPr>
          </w:p>
        </w:tc>
        <w:tc>
          <w:tcPr>
            <w:tcW w:w="568" w:type="dxa"/>
            <w:vAlign w:val="top"/>
          </w:tcPr>
          <w:p w14:paraId="79E7242D">
            <w:pPr>
              <w:spacing w:line="315" w:lineRule="auto"/>
              <w:rPr>
                <w:rFonts w:ascii="Arial"/>
                <w:sz w:val="21"/>
              </w:rPr>
            </w:pPr>
          </w:p>
          <w:p w14:paraId="20F1CB45">
            <w:pPr>
              <w:spacing w:line="315" w:lineRule="auto"/>
              <w:rPr>
                <w:rFonts w:ascii="Arial"/>
                <w:sz w:val="21"/>
              </w:rPr>
            </w:pPr>
          </w:p>
          <w:p w14:paraId="07EB2E2E">
            <w:pPr>
              <w:pStyle w:val="6"/>
              <w:spacing w:before="60" w:line="198" w:lineRule="auto"/>
              <w:ind w:left="109"/>
            </w:pPr>
            <w:r>
              <w:rPr>
                <w:spacing w:val="-2"/>
              </w:rPr>
              <w:t>H</w:t>
            </w:r>
            <w:r>
              <w:rPr>
                <w:spacing w:val="-2"/>
                <w:position w:val="-2"/>
                <w:sz w:val="14"/>
                <w:szCs w:val="14"/>
              </w:rPr>
              <w:t>2</w:t>
            </w:r>
            <w:r>
              <w:rPr>
                <w:spacing w:val="-2"/>
              </w:rPr>
              <w:t>S</w:t>
            </w:r>
          </w:p>
        </w:tc>
        <w:tc>
          <w:tcPr>
            <w:tcW w:w="2807" w:type="dxa"/>
            <w:vMerge w:val="continue"/>
            <w:tcBorders>
              <w:top w:val="nil"/>
            </w:tcBorders>
            <w:vAlign w:val="top"/>
          </w:tcPr>
          <w:p w14:paraId="39F341D5">
            <w:pPr>
              <w:rPr>
                <w:rFonts w:ascii="Arial"/>
                <w:sz w:val="21"/>
              </w:rPr>
            </w:pPr>
          </w:p>
        </w:tc>
        <w:tc>
          <w:tcPr>
            <w:tcW w:w="1557" w:type="dxa"/>
            <w:vMerge w:val="continue"/>
            <w:tcBorders>
              <w:top w:val="nil"/>
            </w:tcBorders>
            <w:vAlign w:val="top"/>
          </w:tcPr>
          <w:p w14:paraId="686830B1">
            <w:pPr>
              <w:rPr>
                <w:rFonts w:ascii="Arial"/>
                <w:sz w:val="21"/>
              </w:rPr>
            </w:pPr>
          </w:p>
        </w:tc>
        <w:tc>
          <w:tcPr>
            <w:tcW w:w="1003" w:type="dxa"/>
            <w:vAlign w:val="top"/>
          </w:tcPr>
          <w:p w14:paraId="403C2338">
            <w:pPr>
              <w:spacing w:line="315" w:lineRule="auto"/>
              <w:rPr>
                <w:rFonts w:ascii="Arial"/>
                <w:sz w:val="21"/>
              </w:rPr>
            </w:pPr>
          </w:p>
          <w:p w14:paraId="4EB4094B">
            <w:pPr>
              <w:spacing w:line="315" w:lineRule="auto"/>
              <w:rPr>
                <w:rFonts w:ascii="Arial"/>
                <w:sz w:val="21"/>
              </w:rPr>
            </w:pPr>
          </w:p>
          <w:p w14:paraId="3203A910">
            <w:pPr>
              <w:pStyle w:val="6"/>
              <w:spacing w:before="60" w:line="188" w:lineRule="auto"/>
              <w:ind w:left="416"/>
            </w:pPr>
            <w:r>
              <w:rPr>
                <w:spacing w:val="-7"/>
              </w:rPr>
              <w:t>10</w:t>
            </w:r>
          </w:p>
        </w:tc>
        <w:tc>
          <w:tcPr>
            <w:tcW w:w="814" w:type="dxa"/>
            <w:vAlign w:val="top"/>
          </w:tcPr>
          <w:p w14:paraId="50BF2EA6">
            <w:pPr>
              <w:spacing w:line="315" w:lineRule="auto"/>
              <w:rPr>
                <w:rFonts w:ascii="Arial"/>
                <w:sz w:val="21"/>
              </w:rPr>
            </w:pPr>
          </w:p>
          <w:p w14:paraId="37AB48D4">
            <w:pPr>
              <w:spacing w:line="315" w:lineRule="auto"/>
              <w:rPr>
                <w:rFonts w:ascii="Arial"/>
                <w:sz w:val="21"/>
              </w:rPr>
            </w:pPr>
          </w:p>
          <w:p w14:paraId="3D9359A0">
            <w:pPr>
              <w:pStyle w:val="6"/>
              <w:spacing w:before="60" w:line="188" w:lineRule="auto"/>
              <w:ind w:left="170"/>
            </w:pPr>
            <w:r>
              <w:rPr>
                <w:spacing w:val="-2"/>
              </w:rPr>
              <w:t>0.034</w:t>
            </w:r>
          </w:p>
        </w:tc>
      </w:tr>
    </w:tbl>
    <w:p w14:paraId="4A201EF9">
      <w:pPr>
        <w:pStyle w:val="2"/>
        <w:spacing w:line="124" w:lineRule="exact"/>
        <w:rPr>
          <w:sz w:val="10"/>
        </w:rPr>
      </w:pPr>
    </w:p>
    <w:p w14:paraId="643797CE">
      <w:pPr>
        <w:spacing w:line="124" w:lineRule="exact"/>
        <w:rPr>
          <w:sz w:val="10"/>
          <w:szCs w:val="10"/>
        </w:rPr>
        <w:sectPr>
          <w:headerReference r:id="rId319" w:type="default"/>
          <w:footerReference r:id="rId320" w:type="default"/>
          <w:pgSz w:w="11905" w:h="16840"/>
          <w:pgMar w:top="1168" w:right="1711" w:bottom="1409" w:left="1770" w:header="828" w:footer="1244" w:gutter="0"/>
          <w:cols w:space="720" w:num="1"/>
        </w:sectPr>
      </w:pPr>
    </w:p>
    <w:p w14:paraId="48F726AC">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706"/>
        <w:gridCol w:w="570"/>
        <w:gridCol w:w="568"/>
        <w:gridCol w:w="2807"/>
        <w:gridCol w:w="1557"/>
        <w:gridCol w:w="1003"/>
        <w:gridCol w:w="814"/>
      </w:tblGrid>
      <w:tr w14:paraId="1D6C4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5" w:type="dxa"/>
            <w:vMerge w:val="restart"/>
            <w:tcBorders>
              <w:bottom w:val="nil"/>
            </w:tcBorders>
            <w:textDirection w:val="tbRlV"/>
            <w:vAlign w:val="top"/>
          </w:tcPr>
          <w:p w14:paraId="62ABA2B1">
            <w:pPr>
              <w:spacing w:before="40" w:line="210" w:lineRule="auto"/>
              <w:ind w:left="229"/>
              <w:rPr>
                <w:rFonts w:ascii="宋体" w:hAnsi="宋体" w:eastAsia="宋体" w:cs="宋体"/>
                <w:sz w:val="21"/>
                <w:szCs w:val="21"/>
              </w:rPr>
            </w:pPr>
            <w:r>
              <w:rPr>
                <w:rFonts w:ascii="宋体" w:hAnsi="宋体" w:eastAsia="宋体" w:cs="宋体"/>
                <w:spacing w:val="-2"/>
                <w:sz w:val="21"/>
                <w:szCs w:val="21"/>
              </w:rPr>
              <w:t>序 号</w:t>
            </w:r>
          </w:p>
        </w:tc>
        <w:tc>
          <w:tcPr>
            <w:tcW w:w="706" w:type="dxa"/>
            <w:vMerge w:val="restart"/>
            <w:tcBorders>
              <w:bottom w:val="nil"/>
            </w:tcBorders>
            <w:vAlign w:val="top"/>
          </w:tcPr>
          <w:p w14:paraId="4BAD22FF">
            <w:pPr>
              <w:spacing w:before="230" w:line="276" w:lineRule="auto"/>
              <w:ind w:left="142" w:right="42" w:hanging="106"/>
              <w:rPr>
                <w:rFonts w:ascii="宋体" w:hAnsi="宋体" w:eastAsia="宋体" w:cs="宋体"/>
                <w:sz w:val="21"/>
                <w:szCs w:val="21"/>
              </w:rPr>
            </w:pPr>
            <w:r>
              <w:rPr>
                <w:rFonts w:ascii="宋体" w:hAnsi="宋体" w:eastAsia="宋体" w:cs="宋体"/>
                <w:spacing w:val="-3"/>
                <w:sz w:val="21"/>
                <w:szCs w:val="21"/>
              </w:rPr>
              <w:t>排放口编号</w:t>
            </w:r>
          </w:p>
        </w:tc>
        <w:tc>
          <w:tcPr>
            <w:tcW w:w="570" w:type="dxa"/>
            <w:vMerge w:val="restart"/>
            <w:tcBorders>
              <w:bottom w:val="nil"/>
            </w:tcBorders>
            <w:vAlign w:val="top"/>
          </w:tcPr>
          <w:p w14:paraId="7EFE0A14">
            <w:pPr>
              <w:spacing w:before="229" w:line="277" w:lineRule="auto"/>
              <w:ind w:left="73" w:right="79"/>
              <w:rPr>
                <w:rFonts w:ascii="宋体" w:hAnsi="宋体" w:eastAsia="宋体" w:cs="宋体"/>
                <w:sz w:val="21"/>
                <w:szCs w:val="21"/>
              </w:rPr>
            </w:pPr>
            <w:r>
              <w:rPr>
                <w:rFonts w:ascii="宋体" w:hAnsi="宋体" w:eastAsia="宋体" w:cs="宋体"/>
                <w:spacing w:val="-5"/>
                <w:sz w:val="21"/>
                <w:szCs w:val="21"/>
              </w:rPr>
              <w:t>产污环节</w:t>
            </w:r>
          </w:p>
        </w:tc>
        <w:tc>
          <w:tcPr>
            <w:tcW w:w="568" w:type="dxa"/>
            <w:vMerge w:val="restart"/>
            <w:tcBorders>
              <w:bottom w:val="nil"/>
            </w:tcBorders>
            <w:vAlign w:val="top"/>
          </w:tcPr>
          <w:p w14:paraId="0DAA8D7C">
            <w:pPr>
              <w:spacing w:before="229" w:line="277" w:lineRule="auto"/>
              <w:ind w:left="177" w:right="77" w:hanging="102"/>
              <w:rPr>
                <w:rFonts w:ascii="宋体" w:hAnsi="宋体" w:eastAsia="宋体" w:cs="宋体"/>
                <w:sz w:val="21"/>
                <w:szCs w:val="21"/>
              </w:rPr>
            </w:pPr>
            <w:r>
              <w:rPr>
                <w:rFonts w:ascii="宋体" w:hAnsi="宋体" w:eastAsia="宋体" w:cs="宋体"/>
                <w:spacing w:val="-5"/>
                <w:sz w:val="21"/>
                <w:szCs w:val="21"/>
              </w:rPr>
              <w:t>污染</w:t>
            </w:r>
            <w:r>
              <w:rPr>
                <w:rFonts w:ascii="宋体" w:hAnsi="宋体" w:eastAsia="宋体" w:cs="宋体"/>
                <w:sz w:val="21"/>
                <w:szCs w:val="21"/>
              </w:rPr>
              <w:t>物</w:t>
            </w:r>
          </w:p>
        </w:tc>
        <w:tc>
          <w:tcPr>
            <w:tcW w:w="2807" w:type="dxa"/>
            <w:vMerge w:val="restart"/>
            <w:tcBorders>
              <w:bottom w:val="nil"/>
            </w:tcBorders>
            <w:vAlign w:val="top"/>
          </w:tcPr>
          <w:p w14:paraId="3AAFB692">
            <w:pPr>
              <w:spacing w:line="315" w:lineRule="auto"/>
              <w:rPr>
                <w:rFonts w:ascii="Arial"/>
                <w:sz w:val="21"/>
              </w:rPr>
            </w:pPr>
          </w:p>
          <w:p w14:paraId="13BF4C1D">
            <w:pPr>
              <w:spacing w:before="69" w:line="220" w:lineRule="auto"/>
              <w:ind w:left="565"/>
              <w:rPr>
                <w:rFonts w:ascii="宋体" w:hAnsi="宋体" w:eastAsia="宋体" w:cs="宋体"/>
                <w:sz w:val="21"/>
                <w:szCs w:val="21"/>
              </w:rPr>
            </w:pPr>
            <w:r>
              <w:rPr>
                <w:rFonts w:ascii="宋体" w:hAnsi="宋体" w:eastAsia="宋体" w:cs="宋体"/>
                <w:spacing w:val="-2"/>
                <w:sz w:val="21"/>
                <w:szCs w:val="21"/>
              </w:rPr>
              <w:t>主要污染防治措施</w:t>
            </w:r>
          </w:p>
        </w:tc>
        <w:tc>
          <w:tcPr>
            <w:tcW w:w="2560" w:type="dxa"/>
            <w:gridSpan w:val="2"/>
            <w:vAlign w:val="top"/>
          </w:tcPr>
          <w:p w14:paraId="3681824A">
            <w:pPr>
              <w:spacing w:before="69" w:line="220" w:lineRule="auto"/>
              <w:ind w:left="43"/>
              <w:rPr>
                <w:rFonts w:ascii="宋体" w:hAnsi="宋体" w:eastAsia="宋体" w:cs="宋体"/>
                <w:sz w:val="21"/>
                <w:szCs w:val="21"/>
              </w:rPr>
            </w:pPr>
            <w:r>
              <w:rPr>
                <w:rFonts w:ascii="宋体" w:hAnsi="宋体" w:eastAsia="宋体" w:cs="宋体"/>
                <w:spacing w:val="-3"/>
                <w:sz w:val="21"/>
                <w:szCs w:val="21"/>
              </w:rPr>
              <w:t>国家或地方污染物排放标准</w:t>
            </w:r>
          </w:p>
        </w:tc>
        <w:tc>
          <w:tcPr>
            <w:tcW w:w="814" w:type="dxa"/>
            <w:vMerge w:val="restart"/>
            <w:tcBorders>
              <w:bottom w:val="nil"/>
            </w:tcBorders>
            <w:vAlign w:val="top"/>
          </w:tcPr>
          <w:p w14:paraId="532ED1C2">
            <w:pPr>
              <w:pStyle w:val="6"/>
              <w:spacing w:before="230" w:line="279" w:lineRule="auto"/>
              <w:ind w:left="7" w:firstLine="84"/>
              <w:rPr>
                <w:rFonts w:ascii="宋体" w:hAnsi="宋体" w:eastAsia="宋体" w:cs="宋体"/>
              </w:rPr>
            </w:pPr>
            <w:r>
              <w:rPr>
                <w:rFonts w:ascii="宋体" w:hAnsi="宋体" w:eastAsia="宋体" w:cs="宋体"/>
                <w:spacing w:val="-8"/>
              </w:rPr>
              <w:t>年排放</w:t>
            </w:r>
            <w:r>
              <w:rPr>
                <w:rFonts w:ascii="宋体" w:hAnsi="宋体" w:eastAsia="宋体" w:cs="宋体"/>
                <w:spacing w:val="-7"/>
              </w:rPr>
              <w:t>量（</w:t>
            </w:r>
            <w:r>
              <w:rPr>
                <w:spacing w:val="-7"/>
              </w:rPr>
              <w:t>t/a</w:t>
            </w:r>
            <w:r>
              <w:rPr>
                <w:rFonts w:ascii="宋体" w:hAnsi="宋体" w:eastAsia="宋体" w:cs="宋体"/>
                <w:spacing w:val="-7"/>
              </w:rPr>
              <w:t>）</w:t>
            </w:r>
          </w:p>
        </w:tc>
      </w:tr>
      <w:tr w14:paraId="31DDE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95" w:type="dxa"/>
            <w:vMerge w:val="continue"/>
            <w:tcBorders>
              <w:top w:val="nil"/>
            </w:tcBorders>
            <w:textDirection w:val="tbRlV"/>
            <w:vAlign w:val="top"/>
          </w:tcPr>
          <w:p w14:paraId="1E71E263">
            <w:pPr>
              <w:rPr>
                <w:rFonts w:ascii="Arial"/>
                <w:sz w:val="21"/>
              </w:rPr>
            </w:pPr>
          </w:p>
        </w:tc>
        <w:tc>
          <w:tcPr>
            <w:tcW w:w="706" w:type="dxa"/>
            <w:vMerge w:val="continue"/>
            <w:tcBorders>
              <w:top w:val="nil"/>
            </w:tcBorders>
            <w:vAlign w:val="top"/>
          </w:tcPr>
          <w:p w14:paraId="01B038CD">
            <w:pPr>
              <w:rPr>
                <w:rFonts w:ascii="Arial"/>
                <w:sz w:val="21"/>
              </w:rPr>
            </w:pPr>
          </w:p>
        </w:tc>
        <w:tc>
          <w:tcPr>
            <w:tcW w:w="570" w:type="dxa"/>
            <w:vMerge w:val="continue"/>
            <w:tcBorders>
              <w:top w:val="nil"/>
            </w:tcBorders>
            <w:vAlign w:val="top"/>
          </w:tcPr>
          <w:p w14:paraId="5C3B0612">
            <w:pPr>
              <w:rPr>
                <w:rFonts w:ascii="Arial"/>
                <w:sz w:val="21"/>
              </w:rPr>
            </w:pPr>
          </w:p>
        </w:tc>
        <w:tc>
          <w:tcPr>
            <w:tcW w:w="568" w:type="dxa"/>
            <w:vMerge w:val="continue"/>
            <w:tcBorders>
              <w:top w:val="nil"/>
            </w:tcBorders>
            <w:vAlign w:val="top"/>
          </w:tcPr>
          <w:p w14:paraId="7FFE4AEF">
            <w:pPr>
              <w:rPr>
                <w:rFonts w:ascii="Arial"/>
                <w:sz w:val="21"/>
              </w:rPr>
            </w:pPr>
          </w:p>
        </w:tc>
        <w:tc>
          <w:tcPr>
            <w:tcW w:w="2807" w:type="dxa"/>
            <w:vMerge w:val="continue"/>
            <w:tcBorders>
              <w:top w:val="nil"/>
            </w:tcBorders>
            <w:vAlign w:val="top"/>
          </w:tcPr>
          <w:p w14:paraId="6968AD86">
            <w:pPr>
              <w:rPr>
                <w:rFonts w:ascii="Arial"/>
                <w:sz w:val="21"/>
              </w:rPr>
            </w:pPr>
          </w:p>
        </w:tc>
        <w:tc>
          <w:tcPr>
            <w:tcW w:w="1557" w:type="dxa"/>
            <w:vAlign w:val="top"/>
          </w:tcPr>
          <w:p w14:paraId="269827B5">
            <w:pPr>
              <w:spacing w:before="207" w:line="220" w:lineRule="auto"/>
              <w:ind w:left="362"/>
              <w:rPr>
                <w:rFonts w:ascii="宋体" w:hAnsi="宋体" w:eastAsia="宋体" w:cs="宋体"/>
                <w:sz w:val="21"/>
                <w:szCs w:val="21"/>
              </w:rPr>
            </w:pPr>
            <w:r>
              <w:rPr>
                <w:rFonts w:ascii="宋体" w:hAnsi="宋体" w:eastAsia="宋体" w:cs="宋体"/>
                <w:spacing w:val="-2"/>
                <w:sz w:val="21"/>
                <w:szCs w:val="21"/>
              </w:rPr>
              <w:t>标准名称</w:t>
            </w:r>
          </w:p>
        </w:tc>
        <w:tc>
          <w:tcPr>
            <w:tcW w:w="1003" w:type="dxa"/>
            <w:vAlign w:val="top"/>
          </w:tcPr>
          <w:p w14:paraId="39DA3EFD">
            <w:pPr>
              <w:pStyle w:val="6"/>
              <w:spacing w:before="50" w:line="249" w:lineRule="auto"/>
              <w:ind w:left="152" w:right="55" w:hanging="69"/>
              <w:rPr>
                <w:rFonts w:ascii="宋体" w:hAnsi="宋体" w:eastAsia="宋体" w:cs="宋体"/>
              </w:rPr>
            </w:pPr>
            <w:r>
              <w:rPr>
                <w:rFonts w:ascii="宋体" w:hAnsi="宋体" w:eastAsia="宋体" w:cs="宋体"/>
                <w:spacing w:val="-3"/>
              </w:rPr>
              <w:t>浓度限值</w:t>
            </w:r>
            <w:r>
              <w:rPr>
                <w:rFonts w:ascii="宋体" w:hAnsi="宋体" w:eastAsia="宋体" w:cs="宋体"/>
                <w:spacing w:val="-11"/>
              </w:rPr>
              <w:t>(</w:t>
            </w:r>
            <w:r>
              <w:rPr>
                <w:spacing w:val="-11"/>
              </w:rPr>
              <w:t>μg/m3</w:t>
            </w:r>
            <w:r>
              <w:rPr>
                <w:rFonts w:ascii="宋体" w:hAnsi="宋体" w:eastAsia="宋体" w:cs="宋体"/>
                <w:spacing w:val="-11"/>
              </w:rPr>
              <w:t>）</w:t>
            </w:r>
          </w:p>
        </w:tc>
        <w:tc>
          <w:tcPr>
            <w:tcW w:w="814" w:type="dxa"/>
            <w:vMerge w:val="continue"/>
            <w:tcBorders>
              <w:top w:val="nil"/>
            </w:tcBorders>
            <w:vAlign w:val="top"/>
          </w:tcPr>
          <w:p w14:paraId="2D77B3C0">
            <w:pPr>
              <w:rPr>
                <w:rFonts w:ascii="Arial"/>
                <w:sz w:val="21"/>
              </w:rPr>
            </w:pPr>
          </w:p>
        </w:tc>
      </w:tr>
      <w:tr w14:paraId="3B87E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20" w:type="dxa"/>
            <w:gridSpan w:val="8"/>
            <w:vAlign w:val="top"/>
          </w:tcPr>
          <w:p w14:paraId="583C185E">
            <w:pPr>
              <w:spacing w:before="67" w:line="220" w:lineRule="auto"/>
              <w:ind w:left="3432"/>
              <w:rPr>
                <w:rFonts w:ascii="宋体" w:hAnsi="宋体" w:eastAsia="宋体" w:cs="宋体"/>
                <w:sz w:val="21"/>
                <w:szCs w:val="21"/>
              </w:rPr>
            </w:pPr>
            <w:r>
              <w:rPr>
                <w:rFonts w:ascii="宋体" w:hAnsi="宋体" w:eastAsia="宋体" w:cs="宋体"/>
                <w:spacing w:val="-2"/>
                <w:sz w:val="21"/>
                <w:szCs w:val="21"/>
              </w:rPr>
              <w:t>无组织排放总计</w:t>
            </w:r>
          </w:p>
        </w:tc>
      </w:tr>
      <w:tr w14:paraId="058B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139" w:type="dxa"/>
            <w:gridSpan w:val="4"/>
            <w:vMerge w:val="restart"/>
            <w:tcBorders>
              <w:bottom w:val="nil"/>
            </w:tcBorders>
            <w:vAlign w:val="top"/>
          </w:tcPr>
          <w:p w14:paraId="5741C141">
            <w:pPr>
              <w:spacing w:before="241" w:line="220" w:lineRule="auto"/>
              <w:ind w:left="342"/>
              <w:rPr>
                <w:rFonts w:ascii="宋体" w:hAnsi="宋体" w:eastAsia="宋体" w:cs="宋体"/>
                <w:sz w:val="21"/>
                <w:szCs w:val="21"/>
              </w:rPr>
            </w:pPr>
            <w:r>
              <w:rPr>
                <w:rFonts w:ascii="宋体" w:hAnsi="宋体" w:eastAsia="宋体" w:cs="宋体"/>
                <w:spacing w:val="-2"/>
                <w:sz w:val="21"/>
                <w:szCs w:val="21"/>
              </w:rPr>
              <w:t>无组织排放总计</w:t>
            </w:r>
          </w:p>
        </w:tc>
        <w:tc>
          <w:tcPr>
            <w:tcW w:w="4364" w:type="dxa"/>
            <w:gridSpan w:val="2"/>
            <w:vAlign w:val="top"/>
          </w:tcPr>
          <w:p w14:paraId="0AD437AE">
            <w:pPr>
              <w:pStyle w:val="6"/>
              <w:spacing w:before="106" w:line="195" w:lineRule="auto"/>
              <w:ind w:left="1986"/>
              <w:rPr>
                <w:sz w:val="14"/>
                <w:szCs w:val="14"/>
              </w:rPr>
            </w:pPr>
            <w:r>
              <w:t>NH</w:t>
            </w:r>
            <w:r>
              <w:rPr>
                <w:spacing w:val="1"/>
                <w:position w:val="-2"/>
                <w:sz w:val="14"/>
                <w:szCs w:val="14"/>
              </w:rPr>
              <w:t>3</w:t>
            </w:r>
          </w:p>
        </w:tc>
        <w:tc>
          <w:tcPr>
            <w:tcW w:w="1817" w:type="dxa"/>
            <w:gridSpan w:val="2"/>
            <w:vAlign w:val="top"/>
          </w:tcPr>
          <w:p w14:paraId="6405E626">
            <w:pPr>
              <w:pStyle w:val="6"/>
              <w:spacing w:before="103" w:line="188" w:lineRule="auto"/>
              <w:ind w:left="671"/>
            </w:pPr>
            <w:r>
              <w:rPr>
                <w:spacing w:val="-2"/>
              </w:rPr>
              <w:t>0.849</w:t>
            </w:r>
          </w:p>
        </w:tc>
      </w:tr>
      <w:tr w14:paraId="46CD6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9" w:type="dxa"/>
            <w:gridSpan w:val="4"/>
            <w:vMerge w:val="continue"/>
            <w:tcBorders>
              <w:top w:val="nil"/>
            </w:tcBorders>
            <w:vAlign w:val="top"/>
          </w:tcPr>
          <w:p w14:paraId="402527FC">
            <w:pPr>
              <w:rPr>
                <w:rFonts w:ascii="Arial"/>
                <w:sz w:val="21"/>
              </w:rPr>
            </w:pPr>
          </w:p>
        </w:tc>
        <w:tc>
          <w:tcPr>
            <w:tcW w:w="4364" w:type="dxa"/>
            <w:gridSpan w:val="2"/>
            <w:vAlign w:val="top"/>
          </w:tcPr>
          <w:p w14:paraId="5054B0F4">
            <w:pPr>
              <w:pStyle w:val="6"/>
              <w:spacing w:before="105" w:line="198" w:lineRule="auto"/>
              <w:ind w:left="2009"/>
            </w:pPr>
            <w:r>
              <w:rPr>
                <w:spacing w:val="-2"/>
              </w:rPr>
              <w:t>H</w:t>
            </w:r>
            <w:r>
              <w:rPr>
                <w:spacing w:val="-2"/>
                <w:position w:val="-2"/>
                <w:sz w:val="14"/>
                <w:szCs w:val="14"/>
              </w:rPr>
              <w:t>2</w:t>
            </w:r>
            <w:r>
              <w:rPr>
                <w:spacing w:val="-2"/>
              </w:rPr>
              <w:t>S</w:t>
            </w:r>
          </w:p>
        </w:tc>
        <w:tc>
          <w:tcPr>
            <w:tcW w:w="1817" w:type="dxa"/>
            <w:gridSpan w:val="2"/>
            <w:vAlign w:val="top"/>
          </w:tcPr>
          <w:p w14:paraId="6CE37F58">
            <w:pPr>
              <w:pStyle w:val="6"/>
              <w:spacing w:before="105" w:line="188" w:lineRule="auto"/>
              <w:ind w:left="671"/>
            </w:pPr>
            <w:r>
              <w:rPr>
                <w:spacing w:val="-2"/>
              </w:rPr>
              <w:t>0.034</w:t>
            </w:r>
          </w:p>
        </w:tc>
      </w:tr>
    </w:tbl>
    <w:p w14:paraId="03869D9E">
      <w:pPr>
        <w:spacing w:before="247" w:line="222" w:lineRule="auto"/>
        <w:ind w:left="216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1"/>
          <w:sz w:val="21"/>
          <w:szCs w:val="21"/>
        </w:rPr>
        <w:t xml:space="preserve"> </w:t>
      </w:r>
      <w:r>
        <w:rPr>
          <w:rFonts w:ascii="Times New Roman" w:hAnsi="Times New Roman" w:eastAsia="Times New Roman" w:cs="Times New Roman"/>
          <w:spacing w:val="-1"/>
          <w:sz w:val="21"/>
          <w:szCs w:val="21"/>
        </w:rPr>
        <w:t xml:space="preserve">4.2-21  </w:t>
      </w:r>
      <w:r>
        <w:rPr>
          <w:rFonts w:ascii="黑体" w:hAnsi="黑体" w:eastAsia="黑体" w:cs="黑体"/>
          <w:spacing w:val="-1"/>
          <w:sz w:val="21"/>
          <w:szCs w:val="21"/>
        </w:rPr>
        <w:t>本项目大气污染物年排放量核算表</w:t>
      </w:r>
    </w:p>
    <w:p w14:paraId="201BA438">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73"/>
        <w:gridCol w:w="2771"/>
        <w:gridCol w:w="2776"/>
      </w:tblGrid>
      <w:tr w14:paraId="36A4C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773" w:type="dxa"/>
            <w:vAlign w:val="top"/>
          </w:tcPr>
          <w:p w14:paraId="346B7526">
            <w:pPr>
              <w:spacing w:before="68" w:line="221" w:lineRule="auto"/>
              <w:ind w:left="1181"/>
              <w:rPr>
                <w:rFonts w:ascii="宋体" w:hAnsi="宋体" w:eastAsia="宋体" w:cs="宋体"/>
                <w:sz w:val="21"/>
                <w:szCs w:val="21"/>
              </w:rPr>
            </w:pPr>
            <w:r>
              <w:rPr>
                <w:rFonts w:ascii="宋体" w:hAnsi="宋体" w:eastAsia="宋体" w:cs="宋体"/>
                <w:spacing w:val="-2"/>
                <w:sz w:val="21"/>
                <w:szCs w:val="21"/>
              </w:rPr>
              <w:t>序号</w:t>
            </w:r>
          </w:p>
        </w:tc>
        <w:tc>
          <w:tcPr>
            <w:tcW w:w="2771" w:type="dxa"/>
            <w:vAlign w:val="top"/>
          </w:tcPr>
          <w:p w14:paraId="2D3671B9">
            <w:pPr>
              <w:spacing w:before="69" w:line="220" w:lineRule="auto"/>
              <w:ind w:left="1071"/>
              <w:rPr>
                <w:rFonts w:ascii="宋体" w:hAnsi="宋体" w:eastAsia="宋体" w:cs="宋体"/>
                <w:sz w:val="21"/>
                <w:szCs w:val="21"/>
              </w:rPr>
            </w:pPr>
            <w:r>
              <w:rPr>
                <w:rFonts w:ascii="宋体" w:hAnsi="宋体" w:eastAsia="宋体" w:cs="宋体"/>
                <w:spacing w:val="-3"/>
                <w:sz w:val="21"/>
                <w:szCs w:val="21"/>
              </w:rPr>
              <w:t>污染物</w:t>
            </w:r>
          </w:p>
        </w:tc>
        <w:tc>
          <w:tcPr>
            <w:tcW w:w="2776" w:type="dxa"/>
            <w:vAlign w:val="top"/>
          </w:tcPr>
          <w:p w14:paraId="0F00F803">
            <w:pPr>
              <w:pStyle w:val="6"/>
              <w:spacing w:before="68" w:line="220" w:lineRule="auto"/>
              <w:ind w:left="653"/>
              <w:rPr>
                <w:rFonts w:ascii="宋体" w:hAnsi="宋体" w:eastAsia="宋体" w:cs="宋体"/>
              </w:rPr>
            </w:pPr>
            <w:r>
              <w:rPr>
                <w:rFonts w:ascii="宋体" w:hAnsi="宋体" w:eastAsia="宋体" w:cs="宋体"/>
                <w:spacing w:val="-2"/>
              </w:rPr>
              <w:t>年排放量（</w:t>
            </w:r>
            <w:r>
              <w:rPr>
                <w:spacing w:val="-2"/>
              </w:rPr>
              <w:t>t/a</w:t>
            </w:r>
            <w:r>
              <w:rPr>
                <w:rFonts w:ascii="宋体" w:hAnsi="宋体" w:eastAsia="宋体" w:cs="宋体"/>
                <w:spacing w:val="-2"/>
              </w:rPr>
              <w:t>）</w:t>
            </w:r>
          </w:p>
        </w:tc>
      </w:tr>
      <w:tr w14:paraId="7A1C5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773" w:type="dxa"/>
            <w:vAlign w:val="top"/>
          </w:tcPr>
          <w:p w14:paraId="2847C117">
            <w:pPr>
              <w:pStyle w:val="6"/>
              <w:spacing w:before="103" w:line="188" w:lineRule="auto"/>
              <w:ind w:left="1356"/>
            </w:pPr>
            <w:r>
              <w:t>1</w:t>
            </w:r>
          </w:p>
        </w:tc>
        <w:tc>
          <w:tcPr>
            <w:tcW w:w="2771" w:type="dxa"/>
            <w:vAlign w:val="top"/>
          </w:tcPr>
          <w:p w14:paraId="49D861D2">
            <w:pPr>
              <w:pStyle w:val="6"/>
              <w:spacing w:before="105" w:line="195" w:lineRule="auto"/>
              <w:ind w:left="1187"/>
              <w:rPr>
                <w:sz w:val="14"/>
                <w:szCs w:val="14"/>
              </w:rPr>
            </w:pPr>
            <w:r>
              <w:t>NH</w:t>
            </w:r>
            <w:r>
              <w:rPr>
                <w:spacing w:val="1"/>
                <w:position w:val="-2"/>
                <w:sz w:val="14"/>
                <w:szCs w:val="14"/>
              </w:rPr>
              <w:t>3</w:t>
            </w:r>
          </w:p>
        </w:tc>
        <w:tc>
          <w:tcPr>
            <w:tcW w:w="2776" w:type="dxa"/>
            <w:vAlign w:val="top"/>
          </w:tcPr>
          <w:p w14:paraId="4BAF3B88">
            <w:pPr>
              <w:pStyle w:val="6"/>
              <w:spacing w:before="102" w:line="188" w:lineRule="auto"/>
              <w:ind w:left="1150"/>
            </w:pPr>
            <w:r>
              <w:rPr>
                <w:spacing w:val="-2"/>
              </w:rPr>
              <w:t>0.944</w:t>
            </w:r>
          </w:p>
        </w:tc>
      </w:tr>
      <w:tr w14:paraId="7DCB4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773" w:type="dxa"/>
            <w:vAlign w:val="top"/>
          </w:tcPr>
          <w:p w14:paraId="6147D8C9">
            <w:pPr>
              <w:pStyle w:val="6"/>
              <w:spacing w:before="104" w:line="188" w:lineRule="auto"/>
              <w:ind w:left="1336"/>
            </w:pPr>
            <w:r>
              <w:t>2</w:t>
            </w:r>
          </w:p>
        </w:tc>
        <w:tc>
          <w:tcPr>
            <w:tcW w:w="2771" w:type="dxa"/>
            <w:vAlign w:val="top"/>
          </w:tcPr>
          <w:p w14:paraId="3B306B28">
            <w:pPr>
              <w:pStyle w:val="6"/>
              <w:spacing w:before="104" w:line="198" w:lineRule="auto"/>
              <w:ind w:left="1211"/>
            </w:pPr>
            <w:r>
              <w:rPr>
                <w:spacing w:val="-2"/>
              </w:rPr>
              <w:t>H</w:t>
            </w:r>
            <w:r>
              <w:rPr>
                <w:spacing w:val="-2"/>
                <w:position w:val="-2"/>
                <w:sz w:val="14"/>
                <w:szCs w:val="14"/>
              </w:rPr>
              <w:t>2</w:t>
            </w:r>
            <w:r>
              <w:rPr>
                <w:spacing w:val="-2"/>
              </w:rPr>
              <w:t>S</w:t>
            </w:r>
          </w:p>
        </w:tc>
        <w:tc>
          <w:tcPr>
            <w:tcW w:w="2776" w:type="dxa"/>
            <w:vAlign w:val="top"/>
          </w:tcPr>
          <w:p w14:paraId="0D8F9AB9">
            <w:pPr>
              <w:pStyle w:val="6"/>
              <w:spacing w:before="104" w:line="188" w:lineRule="auto"/>
              <w:ind w:left="1150"/>
            </w:pPr>
            <w:r>
              <w:rPr>
                <w:spacing w:val="-2"/>
              </w:rPr>
              <w:t>0.039</w:t>
            </w:r>
          </w:p>
        </w:tc>
      </w:tr>
    </w:tbl>
    <w:p w14:paraId="797E9BE0">
      <w:pPr>
        <w:spacing w:before="282"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4.2.2  </w:t>
      </w:r>
      <w:r>
        <w:rPr>
          <w:rFonts w:ascii="宋体" w:hAnsi="宋体" w:eastAsia="宋体" w:cs="宋体"/>
          <w:b/>
          <w:bCs/>
          <w:spacing w:val="-2"/>
          <w:sz w:val="30"/>
          <w:szCs w:val="30"/>
        </w:rPr>
        <w:t>地表水环境影响评价</w:t>
      </w:r>
    </w:p>
    <w:p w14:paraId="0E38B3FE">
      <w:pPr>
        <w:pStyle w:val="2"/>
        <w:spacing w:line="308" w:lineRule="auto"/>
      </w:pPr>
    </w:p>
    <w:p w14:paraId="3E365F22">
      <w:pPr>
        <w:spacing w:before="88"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4.2.2.1 </w:t>
      </w:r>
      <w:r>
        <w:rPr>
          <w:rFonts w:ascii="宋体" w:hAnsi="宋体" w:eastAsia="宋体" w:cs="宋体"/>
          <w:b/>
          <w:bCs/>
          <w:spacing w:val="5"/>
          <w:sz w:val="27"/>
          <w:szCs w:val="27"/>
        </w:rPr>
        <w:t>评价等级及评价内容</w:t>
      </w:r>
    </w:p>
    <w:p w14:paraId="451AF461">
      <w:pPr>
        <w:spacing w:before="238" w:line="360" w:lineRule="auto"/>
        <w:ind w:left="39" w:firstLine="480"/>
        <w:rPr>
          <w:rFonts w:ascii="宋体" w:hAnsi="宋体" w:eastAsia="宋体" w:cs="宋体"/>
          <w:sz w:val="24"/>
          <w:szCs w:val="24"/>
        </w:rPr>
      </w:pPr>
      <w:r>
        <w:rPr>
          <w:rFonts w:ascii="宋体" w:hAnsi="宋体" w:eastAsia="宋体" w:cs="宋体"/>
          <w:spacing w:val="-1"/>
          <w:sz w:val="24"/>
          <w:szCs w:val="24"/>
        </w:rPr>
        <w:t>本项目建成后排水实施雨、污分流，雨水经过雨水沟收集后排放</w:t>
      </w:r>
      <w:r>
        <w:rPr>
          <w:rFonts w:ascii="宋体" w:hAnsi="宋体" w:eastAsia="宋体" w:cs="宋体"/>
          <w:spacing w:val="-2"/>
          <w:sz w:val="24"/>
          <w:szCs w:val="24"/>
        </w:rPr>
        <w:t>至场区外，</w:t>
      </w:r>
      <w:r>
        <w:rPr>
          <w:rFonts w:ascii="宋体" w:hAnsi="宋体" w:eastAsia="宋体" w:cs="宋体"/>
          <w:spacing w:val="-1"/>
          <w:sz w:val="24"/>
          <w:szCs w:val="24"/>
        </w:rPr>
        <w:t>运营期产生的废水主要为猪尿液、出栏猪舍冲洗废水以</w:t>
      </w:r>
      <w:r>
        <w:rPr>
          <w:rFonts w:ascii="宋体" w:hAnsi="宋体" w:eastAsia="宋体" w:cs="宋体"/>
          <w:spacing w:val="-2"/>
          <w:sz w:val="24"/>
          <w:szCs w:val="24"/>
        </w:rPr>
        <w:t>及职工办公生活污水。</w:t>
      </w:r>
    </w:p>
    <w:p w14:paraId="65D41A4D">
      <w:pPr>
        <w:spacing w:before="4" w:line="360" w:lineRule="auto"/>
        <w:ind w:left="39" w:right="67" w:firstLine="480"/>
        <w:rPr>
          <w:rFonts w:ascii="宋体" w:hAnsi="宋体" w:eastAsia="宋体" w:cs="宋体"/>
          <w:sz w:val="24"/>
          <w:szCs w:val="24"/>
        </w:rPr>
      </w:pPr>
      <w:r>
        <w:rPr>
          <w:rFonts w:ascii="宋体" w:hAnsi="宋体" w:eastAsia="宋体" w:cs="宋体"/>
          <w:spacing w:val="-3"/>
          <w:sz w:val="24"/>
          <w:szCs w:val="24"/>
        </w:rPr>
        <w:t>本项目为水污染影响型项目，根据地表水评价等级判定结果，</w:t>
      </w:r>
      <w:r>
        <w:rPr>
          <w:rFonts w:ascii="宋体" w:hAnsi="宋体" w:eastAsia="宋体" w:cs="宋体"/>
          <w:spacing w:val="-4"/>
          <w:sz w:val="24"/>
          <w:szCs w:val="24"/>
        </w:rPr>
        <w:t>评价等级为三</w:t>
      </w:r>
      <w:r>
        <w:rPr>
          <w:rFonts w:ascii="宋体" w:hAnsi="宋体" w:eastAsia="宋体" w:cs="宋体"/>
          <w:spacing w:val="-6"/>
          <w:sz w:val="24"/>
          <w:szCs w:val="24"/>
        </w:rPr>
        <w:t>级</w:t>
      </w:r>
      <w:r>
        <w:rPr>
          <w:rFonts w:ascii="Times New Roman" w:hAnsi="Times New Roman" w:eastAsia="Times New Roman" w:cs="Times New Roman"/>
          <w:spacing w:val="-6"/>
          <w:sz w:val="24"/>
          <w:szCs w:val="24"/>
        </w:rPr>
        <w:t>B</w:t>
      </w:r>
      <w:r>
        <w:rPr>
          <w:rFonts w:ascii="宋体" w:hAnsi="宋体" w:eastAsia="宋体" w:cs="宋体"/>
          <w:spacing w:val="-6"/>
          <w:sz w:val="24"/>
          <w:szCs w:val="24"/>
        </w:rPr>
        <w:t>。根据《环境影响评价技术导则</w:t>
      </w:r>
      <w:r>
        <w:rPr>
          <w:rFonts w:ascii="宋体" w:hAnsi="宋体" w:eastAsia="宋体" w:cs="宋体"/>
          <w:spacing w:val="31"/>
          <w:sz w:val="24"/>
          <w:szCs w:val="24"/>
        </w:rPr>
        <w:t xml:space="preserve"> </w:t>
      </w:r>
      <w:r>
        <w:rPr>
          <w:rFonts w:ascii="宋体" w:hAnsi="宋体" w:eastAsia="宋体" w:cs="宋体"/>
          <w:spacing w:val="-6"/>
          <w:sz w:val="24"/>
          <w:szCs w:val="24"/>
        </w:rPr>
        <w:t>地表水环境》（</w:t>
      </w:r>
      <w:r>
        <w:rPr>
          <w:rFonts w:ascii="Times New Roman" w:hAnsi="Times New Roman" w:eastAsia="Times New Roman" w:cs="Times New Roman"/>
          <w:spacing w:val="-6"/>
          <w:sz w:val="24"/>
          <w:szCs w:val="24"/>
        </w:rPr>
        <w:t>HJ2.3-2018</w:t>
      </w:r>
      <w:r>
        <w:rPr>
          <w:rFonts w:ascii="宋体" w:hAnsi="宋体" w:eastAsia="宋体" w:cs="宋体"/>
          <w:spacing w:val="-54"/>
          <w:sz w:val="24"/>
          <w:szCs w:val="24"/>
        </w:rPr>
        <w:t>），</w:t>
      </w:r>
      <w:r>
        <w:rPr>
          <w:rFonts w:ascii="宋体" w:hAnsi="宋体" w:eastAsia="宋体" w:cs="宋体"/>
          <w:spacing w:val="-6"/>
          <w:sz w:val="24"/>
          <w:szCs w:val="24"/>
        </w:rPr>
        <w:t>水污染影响型</w:t>
      </w:r>
      <w:r>
        <w:rPr>
          <w:rFonts w:ascii="宋体" w:hAnsi="宋体" w:eastAsia="宋体" w:cs="宋体"/>
          <w:spacing w:val="-1"/>
          <w:sz w:val="24"/>
          <w:szCs w:val="24"/>
        </w:rPr>
        <w:t>三级</w:t>
      </w:r>
      <w:r>
        <w:rPr>
          <w:rFonts w:ascii="Times New Roman" w:hAnsi="Times New Roman" w:eastAsia="Times New Roman" w:cs="Times New Roman"/>
          <w:spacing w:val="-1"/>
          <w:sz w:val="24"/>
          <w:szCs w:val="24"/>
        </w:rPr>
        <w:t>B</w:t>
      </w:r>
      <w:r>
        <w:rPr>
          <w:rFonts w:ascii="宋体" w:hAnsi="宋体" w:eastAsia="宋体" w:cs="宋体"/>
          <w:spacing w:val="-1"/>
          <w:sz w:val="24"/>
          <w:szCs w:val="24"/>
        </w:rPr>
        <w:t>评价主要包括水污染控制和水环境影响减缓措施有效性评价、依托污水处</w:t>
      </w:r>
      <w:r>
        <w:rPr>
          <w:rFonts w:ascii="宋体" w:hAnsi="宋体" w:eastAsia="宋体" w:cs="宋体"/>
          <w:spacing w:val="-4"/>
          <w:sz w:val="24"/>
          <w:szCs w:val="24"/>
        </w:rPr>
        <w:t>理设施的环境可行性评价。</w:t>
      </w:r>
    </w:p>
    <w:p w14:paraId="7E155889">
      <w:pPr>
        <w:spacing w:before="53" w:line="225"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4.2.2.2 </w:t>
      </w:r>
      <w:r>
        <w:rPr>
          <w:rFonts w:ascii="宋体" w:hAnsi="宋体" w:eastAsia="宋体" w:cs="宋体"/>
          <w:b/>
          <w:bCs/>
          <w:spacing w:val="6"/>
          <w:sz w:val="27"/>
          <w:szCs w:val="27"/>
        </w:rPr>
        <w:t>水污染控制和水环境影响减缓措施有效性评价</w:t>
      </w:r>
    </w:p>
    <w:p w14:paraId="1928F6A1">
      <w:pPr>
        <w:spacing w:before="238"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）猪舍清粪工艺可行性</w:t>
      </w:r>
    </w:p>
    <w:p w14:paraId="1645F3B2">
      <w:pPr>
        <w:spacing w:before="184" w:line="358" w:lineRule="auto"/>
        <w:ind w:left="38" w:firstLine="481"/>
        <w:jc w:val="both"/>
        <w:rPr>
          <w:rFonts w:ascii="宋体" w:hAnsi="宋体" w:eastAsia="宋体" w:cs="宋体"/>
          <w:sz w:val="24"/>
          <w:szCs w:val="24"/>
        </w:rPr>
      </w:pPr>
      <w:r>
        <w:rPr>
          <w:rFonts w:ascii="宋体" w:hAnsi="宋体" w:eastAsia="宋体" w:cs="宋体"/>
          <w:spacing w:val="-4"/>
          <w:sz w:val="24"/>
          <w:szCs w:val="24"/>
        </w:rPr>
        <w:t>本项目猪舍采用“原环保部认可的清粪工艺”（同牧原食品股份有限公司清</w:t>
      </w:r>
      <w:r>
        <w:rPr>
          <w:rFonts w:ascii="宋体" w:hAnsi="宋体" w:eastAsia="宋体" w:cs="宋体"/>
          <w:spacing w:val="-3"/>
          <w:sz w:val="24"/>
          <w:szCs w:val="24"/>
        </w:rPr>
        <w:t>粪工艺，为环保部认可具备干清粪工艺基本特征）。猪舍全漏</w:t>
      </w:r>
      <w:r>
        <w:rPr>
          <w:rFonts w:ascii="宋体" w:hAnsi="宋体" w:eastAsia="宋体" w:cs="宋体"/>
          <w:spacing w:val="-4"/>
          <w:sz w:val="24"/>
          <w:szCs w:val="24"/>
        </w:rPr>
        <w:t>缝地板下的粪尿储</w:t>
      </w:r>
      <w:r>
        <w:rPr>
          <w:rFonts w:ascii="宋体" w:hAnsi="宋体" w:eastAsia="宋体" w:cs="宋体"/>
          <w:spacing w:val="-1"/>
          <w:sz w:val="24"/>
          <w:szCs w:val="24"/>
        </w:rPr>
        <w:t>存池应及时清理，排空储存池时，工人用钩子提起排粪塞，随着排粪塞的打开，</w:t>
      </w:r>
      <w:r>
        <w:rPr>
          <w:rFonts w:ascii="宋体" w:hAnsi="宋体" w:eastAsia="宋体" w:cs="宋体"/>
          <w:spacing w:val="-3"/>
          <w:sz w:val="24"/>
          <w:szCs w:val="24"/>
        </w:rPr>
        <w:t>猪粪尿通过虹吸作用由储存池有序排出，再由埋地管道密闭输送至猪舍旁的地下收集池，通过干湿分离机对收集的粪尿立即进行干湿分离。该种工艺大大减少了废水产生量并实现粪尿及时清理。</w:t>
      </w:r>
    </w:p>
    <w:p w14:paraId="31E5A7B5">
      <w:pPr>
        <w:spacing w:before="2" w:line="363" w:lineRule="auto"/>
        <w:ind w:left="38" w:right="80" w:firstLine="481"/>
        <w:jc w:val="both"/>
        <w:rPr>
          <w:rFonts w:ascii="宋体" w:hAnsi="宋体" w:eastAsia="宋体" w:cs="宋体"/>
          <w:sz w:val="24"/>
          <w:szCs w:val="24"/>
        </w:rPr>
      </w:pPr>
      <w:r>
        <w:rPr>
          <w:rFonts w:ascii="宋体" w:hAnsi="宋体" w:eastAsia="宋体" w:cs="宋体"/>
          <w:spacing w:val="-4"/>
          <w:sz w:val="24"/>
          <w:szCs w:val="24"/>
        </w:rPr>
        <w:t>本项目运营期废水产生量为</w:t>
      </w:r>
      <w:r>
        <w:rPr>
          <w:rFonts w:ascii="Times New Roman" w:hAnsi="Times New Roman" w:eastAsia="Times New Roman" w:cs="Times New Roman"/>
          <w:spacing w:val="-4"/>
          <w:sz w:val="24"/>
          <w:szCs w:val="24"/>
        </w:rPr>
        <w:t>85169.</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sz w:val="24"/>
          <w:szCs w:val="24"/>
        </w:rPr>
        <w:t>/a</w:t>
      </w:r>
      <w:r>
        <w:rPr>
          <w:rFonts w:ascii="宋体" w:hAnsi="宋体" w:eastAsia="宋体" w:cs="宋体"/>
          <w:spacing w:val="-4"/>
          <w:sz w:val="24"/>
          <w:szCs w:val="24"/>
        </w:rPr>
        <w:t>，废水经污水处理站</w:t>
      </w:r>
      <w:r>
        <w:rPr>
          <w:rFonts w:ascii="宋体" w:hAnsi="宋体" w:eastAsia="宋体" w:cs="宋体"/>
          <w:spacing w:val="-5"/>
          <w:sz w:val="24"/>
          <w:szCs w:val="24"/>
        </w:rPr>
        <w:t>处理达《农田灌</w:t>
      </w:r>
      <w:r>
        <w:rPr>
          <w:rFonts w:ascii="宋体" w:hAnsi="宋体" w:eastAsia="宋体" w:cs="宋体"/>
          <w:spacing w:val="-1"/>
          <w:sz w:val="24"/>
          <w:szCs w:val="24"/>
        </w:rPr>
        <w:t>溉水质标准》（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）旱地作物标准后，全部用</w:t>
      </w:r>
      <w:r>
        <w:rPr>
          <w:rFonts w:ascii="宋体" w:hAnsi="宋体" w:eastAsia="宋体" w:cs="宋体"/>
          <w:spacing w:val="-2"/>
          <w:sz w:val="24"/>
          <w:szCs w:val="24"/>
        </w:rPr>
        <w:t>于周边消纳地农灌，不</w:t>
      </w:r>
      <w:r>
        <w:rPr>
          <w:rFonts w:ascii="宋体" w:hAnsi="宋体" w:eastAsia="宋体" w:cs="宋体"/>
          <w:spacing w:val="-10"/>
          <w:sz w:val="24"/>
          <w:szCs w:val="24"/>
        </w:rPr>
        <w:t>外排。</w:t>
      </w:r>
    </w:p>
    <w:p w14:paraId="63F99585">
      <w:pPr>
        <w:spacing w:before="1"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）废水处理工艺可行性</w:t>
      </w:r>
    </w:p>
    <w:p w14:paraId="616F8924">
      <w:pPr>
        <w:spacing w:line="219" w:lineRule="auto"/>
        <w:rPr>
          <w:rFonts w:ascii="宋体" w:hAnsi="宋体" w:eastAsia="宋体" w:cs="宋体"/>
          <w:sz w:val="24"/>
          <w:szCs w:val="24"/>
        </w:rPr>
        <w:sectPr>
          <w:headerReference r:id="rId321" w:type="default"/>
          <w:footerReference r:id="rId322" w:type="default"/>
          <w:pgSz w:w="11905" w:h="16840"/>
          <w:pgMar w:top="1168" w:right="1730" w:bottom="1409" w:left="1770" w:header="828" w:footer="1244" w:gutter="0"/>
          <w:cols w:space="720" w:num="1"/>
        </w:sectPr>
      </w:pPr>
    </w:p>
    <w:p w14:paraId="6E0E809B">
      <w:pPr>
        <w:pStyle w:val="2"/>
        <w:spacing w:line="306" w:lineRule="auto"/>
      </w:pPr>
    </w:p>
    <w:p w14:paraId="3C8DF309">
      <w:pPr>
        <w:spacing w:before="78" w:line="355" w:lineRule="auto"/>
        <w:ind w:left="34" w:right="30" w:firstLine="485"/>
        <w:jc w:val="both"/>
        <w:rPr>
          <w:rFonts w:ascii="宋体" w:hAnsi="宋体" w:eastAsia="宋体" w:cs="宋体"/>
          <w:sz w:val="24"/>
          <w:szCs w:val="24"/>
        </w:rPr>
      </w:pPr>
      <w:r>
        <w:rPr>
          <w:rFonts w:ascii="宋体" w:hAnsi="宋体" w:eastAsia="宋体" w:cs="宋体"/>
          <w:spacing w:val="-3"/>
          <w:sz w:val="24"/>
          <w:szCs w:val="24"/>
        </w:rPr>
        <w:t>本项目废水中主要污染物为</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2"/>
          <w:sz w:val="15"/>
          <w:szCs w:val="15"/>
        </w:rPr>
        <w:t>5</w:t>
      </w:r>
      <w:r>
        <w:rPr>
          <w:rFonts w:ascii="Times New Roman" w:hAnsi="Times New Roman" w:eastAsia="Times New Roman" w:cs="Times New Roman"/>
          <w:spacing w:val="-11"/>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Times New Roman" w:hAnsi="Times New Roman" w:eastAsia="Times New Roman" w:cs="Times New Roman"/>
          <w:spacing w:val="-3"/>
          <w:sz w:val="24"/>
          <w:szCs w:val="24"/>
        </w:rPr>
        <w:t>-N</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TP</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SS</w:t>
      </w:r>
      <w:r>
        <w:rPr>
          <w:rFonts w:ascii="宋体" w:hAnsi="宋体" w:eastAsia="宋体" w:cs="宋体"/>
          <w:spacing w:val="-3"/>
          <w:sz w:val="24"/>
          <w:szCs w:val="24"/>
        </w:rPr>
        <w:t>等，污水</w:t>
      </w:r>
      <w:r>
        <w:rPr>
          <w:rFonts w:ascii="宋体" w:hAnsi="宋体" w:eastAsia="宋体" w:cs="宋体"/>
          <w:spacing w:val="-4"/>
          <w:sz w:val="24"/>
          <w:szCs w:val="24"/>
        </w:rPr>
        <w:t>处理站</w:t>
      </w:r>
      <w:r>
        <w:rPr>
          <w:rFonts w:ascii="宋体" w:hAnsi="宋体" w:eastAsia="宋体" w:cs="宋体"/>
          <w:spacing w:val="-2"/>
          <w:sz w:val="24"/>
          <w:szCs w:val="24"/>
        </w:rPr>
        <w:t>设计采用“粪污收集池</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固液分离</w:t>
      </w:r>
      <w:r>
        <w:rPr>
          <w:rFonts w:ascii="Times New Roman" w:hAnsi="Times New Roman" w:eastAsia="Times New Roman" w:cs="Times New Roman"/>
          <w:spacing w:val="-2"/>
          <w:sz w:val="24"/>
          <w:szCs w:val="24"/>
        </w:rPr>
        <w:t>+</w:t>
      </w:r>
      <w:r>
        <w:rPr>
          <w:rFonts w:ascii="宋体" w:hAnsi="宋体" w:eastAsia="宋体" w:cs="宋体"/>
          <w:spacing w:val="-2"/>
          <w:sz w:val="24"/>
          <w:szCs w:val="24"/>
        </w:rPr>
        <w:t>水解酸化池</w:t>
      </w:r>
      <w:r>
        <w:rPr>
          <w:rFonts w:ascii="Times New Roman" w:hAnsi="Times New Roman" w:eastAsia="Times New Roman" w:cs="Times New Roman"/>
          <w:spacing w:val="-2"/>
          <w:sz w:val="24"/>
          <w:szCs w:val="24"/>
        </w:rPr>
        <w:t>+CSTR</w:t>
      </w:r>
      <w:r>
        <w:rPr>
          <w:rFonts w:ascii="宋体" w:hAnsi="宋体" w:eastAsia="宋体" w:cs="宋体"/>
          <w:spacing w:val="-2"/>
          <w:sz w:val="24"/>
          <w:szCs w:val="24"/>
        </w:rPr>
        <w:t>厌氧反应器</w:t>
      </w:r>
      <w:r>
        <w:rPr>
          <w:rFonts w:ascii="Times New Roman" w:hAnsi="Times New Roman" w:eastAsia="Times New Roman" w:cs="Times New Roman"/>
          <w:spacing w:val="-2"/>
          <w:sz w:val="24"/>
          <w:szCs w:val="24"/>
        </w:rPr>
        <w:t>+</w:t>
      </w:r>
      <w:r>
        <w:rPr>
          <w:rFonts w:ascii="宋体" w:hAnsi="宋体" w:eastAsia="宋体" w:cs="宋体"/>
          <w:spacing w:val="-2"/>
          <w:sz w:val="24"/>
          <w:szCs w:val="24"/>
        </w:rPr>
        <w:t>微生物曝氧塘</w:t>
      </w:r>
      <w:r>
        <w:rPr>
          <w:rFonts w:ascii="Times New Roman" w:hAnsi="Times New Roman" w:eastAsia="Times New Roman" w:cs="Times New Roman"/>
          <w:spacing w:val="1"/>
          <w:sz w:val="24"/>
          <w:szCs w:val="24"/>
        </w:rPr>
        <w:t>+</w:t>
      </w:r>
      <w:r>
        <w:rPr>
          <w:rFonts w:ascii="宋体" w:hAnsi="宋体" w:eastAsia="宋体" w:cs="宋体"/>
          <w:spacing w:val="1"/>
          <w:sz w:val="24"/>
          <w:szCs w:val="24"/>
        </w:rPr>
        <w:t>前置物化系统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二级好氧池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消毒池”工艺进行处理。</w:t>
      </w:r>
    </w:p>
    <w:p w14:paraId="169D92E9">
      <w:pPr>
        <w:spacing w:line="10735" w:lineRule="exact"/>
        <w:ind w:firstLine="21"/>
      </w:pPr>
      <w:r>
        <w:rPr>
          <w:position w:val="-214"/>
        </w:rPr>
        <w:drawing>
          <wp:inline distT="0" distB="0" distL="0" distR="0">
            <wp:extent cx="5288915" cy="681672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568"/>
                    <a:stretch>
                      <a:fillRect/>
                    </a:stretch>
                  </pic:blipFill>
                  <pic:spPr>
                    <a:xfrm>
                      <a:off x="0" y="0"/>
                      <a:ext cx="5289041" cy="6817359"/>
                    </a:xfrm>
                    <a:prstGeom prst="rect">
                      <a:avLst/>
                    </a:prstGeom>
                  </pic:spPr>
                </pic:pic>
              </a:graphicData>
            </a:graphic>
          </wp:inline>
        </w:drawing>
      </w:r>
    </w:p>
    <w:p w14:paraId="778B4413">
      <w:pPr>
        <w:spacing w:before="223" w:line="221" w:lineRule="auto"/>
        <w:ind w:left="2856"/>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9"/>
          <w:sz w:val="21"/>
          <w:szCs w:val="21"/>
        </w:rPr>
        <w:t xml:space="preserve"> </w:t>
      </w:r>
      <w:r>
        <w:rPr>
          <w:rFonts w:ascii="Times New Roman" w:hAnsi="Times New Roman" w:eastAsia="Times New Roman" w:cs="Times New Roman"/>
          <w:spacing w:val="-2"/>
          <w:sz w:val="21"/>
          <w:szCs w:val="21"/>
        </w:rPr>
        <w:t xml:space="preserve">4.2-2  </w:t>
      </w:r>
      <w:r>
        <w:rPr>
          <w:rFonts w:ascii="黑体" w:hAnsi="黑体" w:eastAsia="黑体" w:cs="黑体"/>
          <w:spacing w:val="-2"/>
          <w:sz w:val="21"/>
          <w:szCs w:val="21"/>
        </w:rPr>
        <w:t>污水处理工艺流程图</w:t>
      </w:r>
    </w:p>
    <w:p w14:paraId="31D25902">
      <w:pPr>
        <w:spacing w:line="221" w:lineRule="auto"/>
        <w:rPr>
          <w:rFonts w:ascii="黑体" w:hAnsi="黑体" w:eastAsia="黑体" w:cs="黑体"/>
          <w:sz w:val="21"/>
          <w:szCs w:val="21"/>
        </w:rPr>
        <w:sectPr>
          <w:headerReference r:id="rId323" w:type="default"/>
          <w:footerReference r:id="rId324" w:type="default"/>
          <w:pgSz w:w="11905" w:h="16840"/>
          <w:pgMar w:top="1168" w:right="1768" w:bottom="1409" w:left="1770" w:header="828" w:footer="1244" w:gutter="0"/>
          <w:cols w:space="720" w:num="1"/>
        </w:sectPr>
      </w:pPr>
    </w:p>
    <w:p w14:paraId="75964AAE">
      <w:pPr>
        <w:pStyle w:val="2"/>
        <w:spacing w:line="306" w:lineRule="auto"/>
      </w:pPr>
    </w:p>
    <w:p w14:paraId="737324E9">
      <w:pPr>
        <w:spacing w:before="78" w:line="217" w:lineRule="auto"/>
        <w:ind w:left="520"/>
        <w:rPr>
          <w:rFonts w:ascii="宋体" w:hAnsi="宋体" w:eastAsia="宋体" w:cs="宋体"/>
          <w:sz w:val="24"/>
          <w:szCs w:val="24"/>
        </w:rPr>
      </w:pPr>
      <w:r>
        <w:rPr>
          <w:rFonts w:ascii="宋体" w:hAnsi="宋体" w:eastAsia="宋体" w:cs="宋体"/>
          <w:b/>
          <w:bCs/>
          <w:spacing w:val="-6"/>
          <w:sz w:val="24"/>
          <w:szCs w:val="24"/>
        </w:rPr>
        <w:t>①《畜禽养殖业污染治理工程技术规范》（</w:t>
      </w:r>
      <w:r>
        <w:rPr>
          <w:rFonts w:ascii="Times New Roman" w:hAnsi="Times New Roman" w:eastAsia="Times New Roman" w:cs="Times New Roman"/>
          <w:b/>
          <w:bCs/>
          <w:spacing w:val="-6"/>
          <w:sz w:val="24"/>
          <w:szCs w:val="24"/>
        </w:rPr>
        <w:t>HJ497-2009</w:t>
      </w:r>
      <w:r>
        <w:rPr>
          <w:rFonts w:ascii="宋体" w:hAnsi="宋体" w:eastAsia="宋体" w:cs="宋体"/>
          <w:b/>
          <w:bCs/>
          <w:spacing w:val="-6"/>
          <w:sz w:val="24"/>
          <w:szCs w:val="24"/>
        </w:rPr>
        <w:t>）规定</w:t>
      </w:r>
    </w:p>
    <w:p w14:paraId="2ECE0F8A">
      <w:pPr>
        <w:spacing w:before="185" w:line="360" w:lineRule="auto"/>
        <w:ind w:left="39" w:right="66" w:firstLine="480"/>
        <w:jc w:val="both"/>
        <w:rPr>
          <w:rFonts w:ascii="宋体" w:hAnsi="宋体" w:eastAsia="宋体" w:cs="宋体"/>
          <w:sz w:val="24"/>
          <w:szCs w:val="24"/>
        </w:rPr>
      </w:pPr>
      <w:r>
        <w:rPr>
          <w:rFonts w:ascii="宋体" w:hAnsi="宋体" w:eastAsia="宋体" w:cs="宋体"/>
          <w:spacing w:val="-5"/>
          <w:sz w:val="24"/>
          <w:szCs w:val="24"/>
        </w:rPr>
        <w:t>根据《畜禽养殖业污染治理工程技术规范》（</w:t>
      </w:r>
      <w:r>
        <w:rPr>
          <w:rFonts w:ascii="Times New Roman" w:hAnsi="Times New Roman" w:eastAsia="Times New Roman" w:cs="Times New Roman"/>
          <w:spacing w:val="-5"/>
          <w:sz w:val="24"/>
          <w:szCs w:val="24"/>
        </w:rPr>
        <w:t>HJ497-2</w:t>
      </w:r>
      <w:r>
        <w:rPr>
          <w:rFonts w:ascii="Times New Roman" w:hAnsi="Times New Roman" w:eastAsia="Times New Roman" w:cs="Times New Roman"/>
          <w:spacing w:val="-6"/>
          <w:sz w:val="24"/>
          <w:szCs w:val="24"/>
        </w:rPr>
        <w:t>009</w:t>
      </w:r>
      <w:r>
        <w:rPr>
          <w:rFonts w:ascii="宋体" w:hAnsi="宋体" w:eastAsia="宋体" w:cs="宋体"/>
          <w:spacing w:val="-62"/>
          <w:w w:val="97"/>
          <w:sz w:val="24"/>
          <w:szCs w:val="24"/>
        </w:rPr>
        <w:t>）：</w:t>
      </w:r>
      <w:r>
        <w:rPr>
          <w:rFonts w:ascii="宋体" w:hAnsi="宋体" w:eastAsia="宋体" w:cs="宋体"/>
          <w:spacing w:val="-6"/>
          <w:sz w:val="24"/>
          <w:szCs w:val="24"/>
        </w:rPr>
        <w:t>“养殖规模在存</w:t>
      </w:r>
      <w:r>
        <w:rPr>
          <w:rFonts w:ascii="宋体" w:hAnsi="宋体" w:eastAsia="宋体" w:cs="宋体"/>
          <w:sz w:val="24"/>
          <w:szCs w:val="24"/>
        </w:rPr>
        <w:t>栏（以猪计）</w:t>
      </w:r>
      <w:r>
        <w:rPr>
          <w:rFonts w:ascii="Times New Roman" w:hAnsi="Times New Roman" w:eastAsia="Times New Roman" w:cs="Times New Roman"/>
          <w:sz w:val="24"/>
          <w:szCs w:val="24"/>
        </w:rPr>
        <w:t>10000</w:t>
      </w:r>
      <w:r>
        <w:rPr>
          <w:rFonts w:ascii="宋体" w:hAnsi="宋体" w:eastAsia="宋体" w:cs="宋体"/>
          <w:sz w:val="24"/>
          <w:szCs w:val="24"/>
        </w:rPr>
        <w:t>头及以上的，宜采用</w:t>
      </w:r>
      <w:r>
        <w:rPr>
          <w:rFonts w:ascii="Times New Roman" w:hAnsi="Times New Roman" w:eastAsia="Times New Roman" w:cs="Times New Roman"/>
          <w:sz w:val="24"/>
          <w:szCs w:val="24"/>
        </w:rPr>
        <w:t>6.2.4</w:t>
      </w:r>
      <w:r>
        <w:rPr>
          <w:rFonts w:ascii="宋体" w:hAnsi="宋体" w:eastAsia="宋体" w:cs="宋体"/>
          <w:sz w:val="24"/>
          <w:szCs w:val="24"/>
        </w:rPr>
        <w:t>模式</w:t>
      </w:r>
      <w:r>
        <w:rPr>
          <w:rFonts w:ascii="Times New Roman" w:hAnsi="Times New Roman" w:eastAsia="Times New Roman" w:cs="Times New Roman"/>
          <w:sz w:val="24"/>
          <w:szCs w:val="24"/>
        </w:rPr>
        <w:t>Ⅲ</w:t>
      </w:r>
      <w:r>
        <w:rPr>
          <w:rFonts w:ascii="宋体" w:hAnsi="宋体" w:eastAsia="宋体" w:cs="宋体"/>
          <w:sz w:val="24"/>
          <w:szCs w:val="24"/>
        </w:rPr>
        <w:t>处理工艺。</w:t>
      </w:r>
      <w:r>
        <w:rPr>
          <w:rFonts w:ascii="宋体" w:hAnsi="宋体" w:eastAsia="宋体" w:cs="宋体"/>
          <w:spacing w:val="-89"/>
          <w:sz w:val="24"/>
          <w:szCs w:val="24"/>
        </w:rPr>
        <w:t xml:space="preserve"> </w:t>
      </w:r>
      <w:r>
        <w:rPr>
          <w:rFonts w:ascii="宋体" w:hAnsi="宋体" w:eastAsia="宋体" w:cs="宋体"/>
          <w:sz w:val="24"/>
          <w:szCs w:val="24"/>
        </w:rPr>
        <w:t>…</w:t>
      </w:r>
      <w:r>
        <w:rPr>
          <w:rFonts w:ascii="宋体" w:hAnsi="宋体" w:eastAsia="宋体" w:cs="宋体"/>
          <w:spacing w:val="-1"/>
          <w:sz w:val="24"/>
          <w:szCs w:val="24"/>
        </w:rPr>
        <w:t>…能源需求不</w:t>
      </w:r>
      <w:r>
        <w:rPr>
          <w:rFonts w:ascii="宋体" w:hAnsi="宋体" w:eastAsia="宋体" w:cs="宋体"/>
          <w:spacing w:val="-3"/>
          <w:sz w:val="24"/>
          <w:szCs w:val="24"/>
        </w:rPr>
        <w:t>高且沼液和沼渣无法进行土地消纳，废水必须经处理后达标排放或回用的，应采</w:t>
      </w:r>
      <w:r>
        <w:rPr>
          <w:rFonts w:ascii="宋体" w:hAnsi="宋体" w:eastAsia="宋体" w:cs="宋体"/>
          <w:spacing w:val="-4"/>
          <w:sz w:val="24"/>
          <w:szCs w:val="24"/>
        </w:rPr>
        <w:t>用模式Ⅲ处理工艺”。</w:t>
      </w:r>
    </w:p>
    <w:p w14:paraId="5AD0ED12">
      <w:pPr>
        <w:spacing w:before="1" w:line="346" w:lineRule="auto"/>
        <w:ind w:left="40" w:right="65" w:firstLine="480"/>
        <w:jc w:val="both"/>
        <w:rPr>
          <w:rFonts w:ascii="宋体" w:hAnsi="宋体" w:eastAsia="宋体" w:cs="宋体"/>
          <w:sz w:val="24"/>
          <w:szCs w:val="24"/>
        </w:rPr>
      </w:pPr>
      <w:r>
        <w:rPr>
          <w:rFonts w:ascii="宋体" w:hAnsi="宋体" w:eastAsia="宋体" w:cs="宋体"/>
          <w:spacing w:val="-5"/>
          <w:sz w:val="24"/>
          <w:szCs w:val="24"/>
        </w:rPr>
        <w:t>本项目存栏量为</w:t>
      </w:r>
      <w:r>
        <w:rPr>
          <w:rFonts w:ascii="Times New Roman" w:hAnsi="Times New Roman" w:eastAsia="Times New Roman" w:cs="Times New Roman"/>
          <w:spacing w:val="-5"/>
          <w:sz w:val="24"/>
          <w:szCs w:val="24"/>
        </w:rPr>
        <w:t>52819</w:t>
      </w:r>
      <w:r>
        <w:rPr>
          <w:rFonts w:ascii="宋体" w:hAnsi="宋体" w:eastAsia="宋体" w:cs="宋体"/>
          <w:spacing w:val="-5"/>
          <w:sz w:val="24"/>
          <w:szCs w:val="24"/>
        </w:rPr>
        <w:t>头（折算</w:t>
      </w:r>
      <w:r>
        <w:rPr>
          <w:rFonts w:ascii="宋体" w:hAnsi="宋体" w:eastAsia="宋体" w:cs="宋体"/>
          <w:spacing w:val="-22"/>
          <w:sz w:val="24"/>
          <w:szCs w:val="24"/>
        </w:rPr>
        <w:t>），</w:t>
      </w:r>
      <w:r>
        <w:rPr>
          <w:rFonts w:ascii="宋体" w:hAnsi="宋体" w:eastAsia="宋体" w:cs="宋体"/>
          <w:spacing w:val="-5"/>
          <w:sz w:val="24"/>
          <w:szCs w:val="24"/>
        </w:rPr>
        <w:t>应采用模式</w:t>
      </w:r>
      <w:r>
        <w:rPr>
          <w:rFonts w:ascii="Times New Roman" w:hAnsi="Times New Roman" w:eastAsia="Times New Roman" w:cs="Times New Roman"/>
          <w:spacing w:val="-5"/>
          <w:sz w:val="24"/>
          <w:szCs w:val="24"/>
        </w:rPr>
        <w:t>Ⅲ</w:t>
      </w:r>
      <w:r>
        <w:rPr>
          <w:rFonts w:ascii="宋体" w:hAnsi="宋体" w:eastAsia="宋体" w:cs="宋体"/>
          <w:spacing w:val="-5"/>
          <w:sz w:val="24"/>
          <w:szCs w:val="24"/>
        </w:rPr>
        <w:t>处理工艺实施，本项目污水</w:t>
      </w:r>
      <w:r>
        <w:rPr>
          <w:rFonts w:ascii="宋体" w:hAnsi="宋体" w:eastAsia="宋体" w:cs="宋体"/>
          <w:spacing w:val="-4"/>
          <w:sz w:val="24"/>
          <w:szCs w:val="24"/>
        </w:rPr>
        <w:t>处理工艺与《畜禽养殖业污染治理工程技术规范》（</w:t>
      </w:r>
      <w:r>
        <w:rPr>
          <w:rFonts w:ascii="Times New Roman" w:hAnsi="Times New Roman" w:eastAsia="Times New Roman" w:cs="Times New Roman"/>
          <w:spacing w:val="-4"/>
          <w:sz w:val="24"/>
          <w:szCs w:val="24"/>
        </w:rPr>
        <w:t>HJ497-2009</w:t>
      </w:r>
      <w:r>
        <w:rPr>
          <w:rFonts w:ascii="宋体" w:hAnsi="宋体" w:eastAsia="宋体" w:cs="宋体"/>
          <w:spacing w:val="-4"/>
          <w:sz w:val="24"/>
          <w:szCs w:val="24"/>
        </w:rPr>
        <w:t>）中“</w:t>
      </w:r>
      <w:r>
        <w:rPr>
          <w:rFonts w:ascii="Times New Roman" w:hAnsi="Times New Roman" w:eastAsia="Times New Roman" w:cs="Times New Roman"/>
          <w:spacing w:val="-4"/>
          <w:sz w:val="24"/>
          <w:szCs w:val="24"/>
        </w:rPr>
        <w:t>6.2</w:t>
      </w:r>
      <w:r>
        <w:rPr>
          <w:rFonts w:ascii="宋体" w:hAnsi="宋体" w:eastAsia="宋体" w:cs="宋体"/>
          <w:spacing w:val="-4"/>
          <w:sz w:val="24"/>
          <w:szCs w:val="24"/>
        </w:rPr>
        <w:t>”规定</w:t>
      </w:r>
      <w:r>
        <w:rPr>
          <w:rFonts w:ascii="宋体" w:hAnsi="宋体" w:eastAsia="宋体" w:cs="宋体"/>
          <w:spacing w:val="-3"/>
          <w:sz w:val="24"/>
          <w:szCs w:val="24"/>
        </w:rPr>
        <w:t>的粪污处理基本工艺模式</w:t>
      </w:r>
      <w:r>
        <w:rPr>
          <w:rFonts w:ascii="Times New Roman" w:hAnsi="Times New Roman" w:eastAsia="Times New Roman" w:cs="Times New Roman"/>
          <w:spacing w:val="-3"/>
          <w:sz w:val="24"/>
          <w:szCs w:val="24"/>
        </w:rPr>
        <w:t>—</w:t>
      </w:r>
      <w:r>
        <w:rPr>
          <w:rFonts w:ascii="宋体" w:hAnsi="宋体" w:eastAsia="宋体" w:cs="宋体"/>
          <w:spacing w:val="-3"/>
          <w:sz w:val="24"/>
          <w:szCs w:val="24"/>
        </w:rPr>
        <w:t>模式</w:t>
      </w:r>
      <w:r>
        <w:rPr>
          <w:rFonts w:ascii="Times New Roman" w:hAnsi="Times New Roman" w:eastAsia="Times New Roman" w:cs="Times New Roman"/>
          <w:spacing w:val="-3"/>
          <w:sz w:val="24"/>
          <w:szCs w:val="24"/>
        </w:rPr>
        <w:t>Ⅲ</w:t>
      </w:r>
      <w:r>
        <w:rPr>
          <w:rFonts w:ascii="宋体" w:hAnsi="宋体" w:eastAsia="宋体" w:cs="宋体"/>
          <w:spacing w:val="-3"/>
          <w:sz w:val="24"/>
          <w:szCs w:val="24"/>
        </w:rPr>
        <w:t>相符，属于可行工艺。该处理工艺针对禽畜养</w:t>
      </w:r>
      <w:r>
        <w:rPr>
          <w:rFonts w:ascii="宋体" w:hAnsi="宋体" w:eastAsia="宋体" w:cs="宋体"/>
          <w:spacing w:val="-2"/>
          <w:sz w:val="24"/>
          <w:szCs w:val="24"/>
        </w:rPr>
        <w:t>殖废水特点设计，可确保废水稳定排放，满足环境可行性要求。</w:t>
      </w:r>
    </w:p>
    <w:p w14:paraId="1A9D5C10">
      <w:pPr>
        <w:spacing w:line="2721" w:lineRule="exact"/>
        <w:ind w:firstLine="21"/>
      </w:pPr>
      <w:r>
        <w:rPr>
          <w:position w:val="-54"/>
        </w:rPr>
        <w:drawing>
          <wp:inline distT="0" distB="0" distL="0" distR="0">
            <wp:extent cx="5283200" cy="172783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569"/>
                    <a:stretch>
                      <a:fillRect/>
                    </a:stretch>
                  </pic:blipFill>
                  <pic:spPr>
                    <a:xfrm>
                      <a:off x="0" y="0"/>
                      <a:ext cx="5283707" cy="1728215"/>
                    </a:xfrm>
                    <a:prstGeom prst="rect">
                      <a:avLst/>
                    </a:prstGeom>
                  </pic:spPr>
                </pic:pic>
              </a:graphicData>
            </a:graphic>
          </wp:inline>
        </w:drawing>
      </w:r>
    </w:p>
    <w:p w14:paraId="0903FDA2">
      <w:pPr>
        <w:spacing w:before="171" w:line="221" w:lineRule="auto"/>
        <w:ind w:left="2803"/>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40"/>
          <w:sz w:val="21"/>
          <w:szCs w:val="21"/>
        </w:rPr>
        <w:t xml:space="preserve"> </w:t>
      </w:r>
      <w:r>
        <w:rPr>
          <w:rFonts w:ascii="Times New Roman" w:hAnsi="Times New Roman" w:eastAsia="Times New Roman" w:cs="Times New Roman"/>
          <w:spacing w:val="-2"/>
          <w:sz w:val="21"/>
          <w:szCs w:val="21"/>
        </w:rPr>
        <w:t xml:space="preserve">4.2-3  </w:t>
      </w:r>
      <w:r>
        <w:rPr>
          <w:rFonts w:ascii="黑体" w:hAnsi="黑体" w:eastAsia="黑体" w:cs="黑体"/>
          <w:spacing w:val="-2"/>
          <w:sz w:val="21"/>
          <w:szCs w:val="21"/>
        </w:rPr>
        <w:t>模式</w:t>
      </w:r>
      <w:r>
        <w:rPr>
          <w:rFonts w:ascii="黑体" w:hAnsi="黑体" w:eastAsia="黑体" w:cs="黑体"/>
          <w:spacing w:val="-46"/>
          <w:sz w:val="21"/>
          <w:szCs w:val="21"/>
        </w:rPr>
        <w:t xml:space="preserve"> </w:t>
      </w:r>
      <w:r>
        <w:rPr>
          <w:rFonts w:ascii="Times New Roman" w:hAnsi="Times New Roman" w:eastAsia="Times New Roman" w:cs="Times New Roman"/>
          <w:spacing w:val="-2"/>
          <w:sz w:val="21"/>
          <w:szCs w:val="21"/>
        </w:rPr>
        <w:t xml:space="preserve">III </w:t>
      </w:r>
      <w:r>
        <w:rPr>
          <w:rFonts w:ascii="黑体" w:hAnsi="黑体" w:eastAsia="黑体" w:cs="黑体"/>
          <w:spacing w:val="-2"/>
          <w:sz w:val="21"/>
          <w:szCs w:val="21"/>
        </w:rPr>
        <w:t>处理工艺流程</w:t>
      </w:r>
    </w:p>
    <w:p w14:paraId="7D43837A">
      <w:pPr>
        <w:spacing w:before="204" w:line="217" w:lineRule="auto"/>
        <w:ind w:left="511"/>
        <w:rPr>
          <w:rFonts w:ascii="宋体" w:hAnsi="宋体" w:eastAsia="宋体" w:cs="宋体"/>
          <w:sz w:val="24"/>
          <w:szCs w:val="24"/>
        </w:rPr>
      </w:pPr>
      <w:r>
        <w:rPr>
          <w:rFonts w:ascii="宋体" w:hAnsi="宋体" w:eastAsia="宋体" w:cs="宋体"/>
          <w:b/>
          <w:bCs/>
          <w:spacing w:val="-5"/>
          <w:sz w:val="24"/>
          <w:szCs w:val="24"/>
        </w:rPr>
        <w:t>②《排污许可证申请与核发技术规范</w:t>
      </w:r>
      <w:r>
        <w:rPr>
          <w:rFonts w:ascii="宋体" w:hAnsi="宋体" w:eastAsia="宋体" w:cs="宋体"/>
          <w:spacing w:val="-5"/>
          <w:sz w:val="24"/>
          <w:szCs w:val="24"/>
        </w:rPr>
        <w:t xml:space="preserve"> </w:t>
      </w:r>
      <w:r>
        <w:rPr>
          <w:rFonts w:ascii="宋体" w:hAnsi="宋体" w:eastAsia="宋体" w:cs="宋体"/>
          <w:b/>
          <w:bCs/>
          <w:spacing w:val="-5"/>
          <w:sz w:val="24"/>
          <w:szCs w:val="24"/>
        </w:rPr>
        <w:t>畜禽养殖行业》（</w:t>
      </w:r>
      <w:r>
        <w:rPr>
          <w:rFonts w:ascii="Times New Roman" w:hAnsi="Times New Roman" w:eastAsia="Times New Roman" w:cs="Times New Roman"/>
          <w:b/>
          <w:bCs/>
          <w:spacing w:val="-5"/>
          <w:sz w:val="24"/>
          <w:szCs w:val="24"/>
        </w:rPr>
        <w:t>HJ1029-2019</w:t>
      </w:r>
      <w:r>
        <w:rPr>
          <w:rFonts w:ascii="宋体" w:hAnsi="宋体" w:eastAsia="宋体" w:cs="宋体"/>
          <w:b/>
          <w:bCs/>
          <w:spacing w:val="-5"/>
          <w:sz w:val="24"/>
          <w:szCs w:val="24"/>
        </w:rPr>
        <w:t>）</w:t>
      </w:r>
      <w:r>
        <w:rPr>
          <w:rFonts w:ascii="宋体" w:hAnsi="宋体" w:eastAsia="宋体" w:cs="宋体"/>
          <w:b/>
          <w:bCs/>
          <w:spacing w:val="-6"/>
          <w:sz w:val="24"/>
          <w:szCs w:val="24"/>
        </w:rPr>
        <w:t>规定</w:t>
      </w:r>
    </w:p>
    <w:p w14:paraId="02CE3643">
      <w:pPr>
        <w:spacing w:before="185" w:line="362" w:lineRule="auto"/>
        <w:ind w:left="38" w:firstLine="482"/>
        <w:rPr>
          <w:rFonts w:ascii="宋体" w:hAnsi="宋体" w:eastAsia="宋体" w:cs="宋体"/>
          <w:sz w:val="24"/>
          <w:szCs w:val="24"/>
        </w:rPr>
      </w:pPr>
      <w:r>
        <w:rPr>
          <w:rFonts w:ascii="宋体" w:hAnsi="宋体" w:eastAsia="宋体" w:cs="宋体"/>
          <w:spacing w:val="1"/>
          <w:sz w:val="24"/>
          <w:szCs w:val="24"/>
        </w:rPr>
        <w:t>参照《排污许可证申请与核发技术规范 畜禽养殖行业》</w:t>
      </w:r>
      <w:r>
        <w:rPr>
          <w:rFonts w:ascii="宋体" w:hAnsi="宋体" w:eastAsia="宋体" w:cs="宋体"/>
          <w:sz w:val="24"/>
          <w:szCs w:val="24"/>
        </w:rPr>
        <w:t>（</w:t>
      </w:r>
      <w:r>
        <w:rPr>
          <w:rFonts w:ascii="Times New Roman" w:hAnsi="Times New Roman" w:eastAsia="Times New Roman" w:cs="Times New Roman"/>
          <w:sz w:val="24"/>
          <w:szCs w:val="24"/>
        </w:rPr>
        <w:t>HJ1029-2019</w:t>
      </w:r>
      <w:r>
        <w:rPr>
          <w:rFonts w:ascii="宋体" w:hAnsi="宋体" w:eastAsia="宋体" w:cs="宋体"/>
          <w:spacing w:val="-26"/>
          <w:sz w:val="24"/>
          <w:szCs w:val="24"/>
        </w:rPr>
        <w:t>），</w:t>
      </w:r>
      <w:r>
        <w:rPr>
          <w:rFonts w:ascii="宋体" w:hAnsi="宋体" w:eastAsia="宋体" w:cs="宋体"/>
          <w:spacing w:val="-4"/>
          <w:sz w:val="24"/>
          <w:szCs w:val="24"/>
        </w:rPr>
        <w:t>废水污染防治可行技术如下。</w:t>
      </w:r>
    </w:p>
    <w:p w14:paraId="6A7236A8">
      <w:pPr>
        <w:spacing w:before="8" w:line="221" w:lineRule="auto"/>
        <w:ind w:left="132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34"/>
          <w:sz w:val="21"/>
          <w:szCs w:val="21"/>
        </w:rPr>
        <w:t xml:space="preserve"> </w:t>
      </w:r>
      <w:r>
        <w:rPr>
          <w:rFonts w:ascii="Times New Roman" w:hAnsi="Times New Roman" w:eastAsia="Times New Roman" w:cs="Times New Roman"/>
          <w:spacing w:val="-1"/>
          <w:sz w:val="21"/>
          <w:szCs w:val="21"/>
        </w:rPr>
        <w:t xml:space="preserve">4.2-22  </w:t>
      </w:r>
      <w:r>
        <w:rPr>
          <w:rFonts w:ascii="黑体" w:hAnsi="黑体" w:eastAsia="黑体" w:cs="黑体"/>
          <w:spacing w:val="-1"/>
          <w:sz w:val="21"/>
          <w:szCs w:val="21"/>
        </w:rPr>
        <w:t>畜禽养殖行业排污单位废水污染防治可行技术参考表</w:t>
      </w:r>
    </w:p>
    <w:p w14:paraId="1FE66D19">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990"/>
        <w:gridCol w:w="849"/>
        <w:gridCol w:w="5055"/>
      </w:tblGrid>
      <w:tr w14:paraId="28504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6" w:type="dxa"/>
            <w:vAlign w:val="top"/>
          </w:tcPr>
          <w:p w14:paraId="0DACBBB6">
            <w:pPr>
              <w:spacing w:before="68" w:line="220" w:lineRule="auto"/>
              <w:ind w:left="297"/>
              <w:rPr>
                <w:rFonts w:ascii="宋体" w:hAnsi="宋体" w:eastAsia="宋体" w:cs="宋体"/>
                <w:sz w:val="21"/>
                <w:szCs w:val="21"/>
              </w:rPr>
            </w:pPr>
            <w:r>
              <w:rPr>
                <w:rFonts w:ascii="宋体" w:hAnsi="宋体" w:eastAsia="宋体" w:cs="宋体"/>
                <w:spacing w:val="-2"/>
                <w:sz w:val="21"/>
                <w:szCs w:val="21"/>
              </w:rPr>
              <w:t>废水类别</w:t>
            </w:r>
          </w:p>
        </w:tc>
        <w:tc>
          <w:tcPr>
            <w:tcW w:w="990" w:type="dxa"/>
            <w:vAlign w:val="top"/>
          </w:tcPr>
          <w:p w14:paraId="04A56026">
            <w:pPr>
              <w:spacing w:before="68" w:line="221" w:lineRule="auto"/>
              <w:ind w:left="79"/>
              <w:rPr>
                <w:rFonts w:ascii="宋体" w:hAnsi="宋体" w:eastAsia="宋体" w:cs="宋体"/>
                <w:sz w:val="21"/>
                <w:szCs w:val="21"/>
              </w:rPr>
            </w:pPr>
            <w:r>
              <w:rPr>
                <w:rFonts w:ascii="宋体" w:hAnsi="宋体" w:eastAsia="宋体" w:cs="宋体"/>
                <w:spacing w:val="-2"/>
                <w:sz w:val="21"/>
                <w:szCs w:val="21"/>
              </w:rPr>
              <w:t>排放去向</w:t>
            </w:r>
          </w:p>
        </w:tc>
        <w:tc>
          <w:tcPr>
            <w:tcW w:w="849" w:type="dxa"/>
            <w:vAlign w:val="top"/>
          </w:tcPr>
          <w:p w14:paraId="075075E5">
            <w:pPr>
              <w:spacing w:before="68" w:line="220" w:lineRule="auto"/>
              <w:jc w:val="right"/>
              <w:rPr>
                <w:rFonts w:ascii="宋体" w:hAnsi="宋体" w:eastAsia="宋体" w:cs="宋体"/>
                <w:sz w:val="21"/>
                <w:szCs w:val="21"/>
              </w:rPr>
            </w:pPr>
            <w:r>
              <w:rPr>
                <w:rFonts w:ascii="宋体" w:hAnsi="宋体" w:eastAsia="宋体" w:cs="宋体"/>
                <w:spacing w:val="-2"/>
                <w:sz w:val="21"/>
                <w:szCs w:val="21"/>
              </w:rPr>
              <w:t>养殖规模</w:t>
            </w:r>
          </w:p>
        </w:tc>
        <w:tc>
          <w:tcPr>
            <w:tcW w:w="5055" w:type="dxa"/>
            <w:vAlign w:val="top"/>
          </w:tcPr>
          <w:p w14:paraId="000BFD8B">
            <w:pPr>
              <w:spacing w:before="68" w:line="220" w:lineRule="auto"/>
              <w:ind w:left="2113"/>
              <w:rPr>
                <w:rFonts w:ascii="宋体" w:hAnsi="宋体" w:eastAsia="宋体" w:cs="宋体"/>
                <w:sz w:val="21"/>
                <w:szCs w:val="21"/>
              </w:rPr>
            </w:pPr>
            <w:r>
              <w:rPr>
                <w:rFonts w:ascii="宋体" w:hAnsi="宋体" w:eastAsia="宋体" w:cs="宋体"/>
                <w:spacing w:val="-2"/>
                <w:sz w:val="21"/>
                <w:szCs w:val="21"/>
              </w:rPr>
              <w:t>可行技术</w:t>
            </w:r>
          </w:p>
        </w:tc>
      </w:tr>
      <w:tr w14:paraId="4C45E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6" w:type="dxa"/>
            <w:vMerge w:val="restart"/>
            <w:tcBorders>
              <w:bottom w:val="nil"/>
            </w:tcBorders>
            <w:vAlign w:val="top"/>
          </w:tcPr>
          <w:p w14:paraId="6DFA60C8">
            <w:pPr>
              <w:spacing w:line="259" w:lineRule="auto"/>
              <w:rPr>
                <w:rFonts w:ascii="Arial"/>
                <w:sz w:val="21"/>
              </w:rPr>
            </w:pPr>
          </w:p>
          <w:p w14:paraId="2C62BBBF">
            <w:pPr>
              <w:spacing w:line="259" w:lineRule="auto"/>
              <w:rPr>
                <w:rFonts w:ascii="Arial"/>
                <w:sz w:val="21"/>
              </w:rPr>
            </w:pPr>
          </w:p>
          <w:p w14:paraId="5CCFCBFB">
            <w:pPr>
              <w:spacing w:line="259" w:lineRule="auto"/>
              <w:rPr>
                <w:rFonts w:ascii="Arial"/>
                <w:sz w:val="21"/>
              </w:rPr>
            </w:pPr>
          </w:p>
          <w:p w14:paraId="19A4A11A">
            <w:pPr>
              <w:spacing w:line="260" w:lineRule="auto"/>
              <w:rPr>
                <w:rFonts w:ascii="Arial"/>
                <w:sz w:val="21"/>
              </w:rPr>
            </w:pPr>
          </w:p>
          <w:p w14:paraId="52002879">
            <w:pPr>
              <w:spacing w:line="260" w:lineRule="auto"/>
              <w:rPr>
                <w:rFonts w:ascii="Arial"/>
                <w:sz w:val="21"/>
              </w:rPr>
            </w:pPr>
          </w:p>
          <w:p w14:paraId="1053CF54">
            <w:pPr>
              <w:spacing w:line="260" w:lineRule="auto"/>
              <w:rPr>
                <w:rFonts w:ascii="Arial"/>
                <w:sz w:val="21"/>
              </w:rPr>
            </w:pPr>
          </w:p>
          <w:p w14:paraId="6C7DF2D2">
            <w:pPr>
              <w:spacing w:before="69" w:line="220" w:lineRule="auto"/>
              <w:ind w:left="87"/>
              <w:rPr>
                <w:rFonts w:ascii="宋体" w:hAnsi="宋体" w:eastAsia="宋体" w:cs="宋体"/>
                <w:sz w:val="21"/>
                <w:szCs w:val="21"/>
              </w:rPr>
            </w:pPr>
            <w:r>
              <w:rPr>
                <w:rFonts w:ascii="宋体" w:hAnsi="宋体" w:eastAsia="宋体" w:cs="宋体"/>
                <w:spacing w:val="-2"/>
                <w:sz w:val="21"/>
                <w:szCs w:val="21"/>
              </w:rPr>
              <w:t>场内综合污水</w:t>
            </w:r>
          </w:p>
          <w:p w14:paraId="30D205F3">
            <w:pPr>
              <w:spacing w:before="61" w:line="220" w:lineRule="auto"/>
              <w:jc w:val="right"/>
              <w:rPr>
                <w:rFonts w:ascii="宋体" w:hAnsi="宋体" w:eastAsia="宋体" w:cs="宋体"/>
                <w:sz w:val="21"/>
                <w:szCs w:val="21"/>
              </w:rPr>
            </w:pPr>
            <w:r>
              <w:rPr>
                <w:rFonts w:ascii="宋体" w:hAnsi="宋体" w:eastAsia="宋体" w:cs="宋体"/>
                <w:spacing w:val="-12"/>
                <w:sz w:val="21"/>
                <w:szCs w:val="21"/>
              </w:rPr>
              <w:t>（</w:t>
            </w:r>
            <w:r>
              <w:rPr>
                <w:rFonts w:ascii="宋体" w:hAnsi="宋体" w:eastAsia="宋体" w:cs="宋体"/>
                <w:spacing w:val="-11"/>
                <w:sz w:val="21"/>
                <w:szCs w:val="21"/>
              </w:rPr>
              <w:t>养殖废水、</w:t>
            </w:r>
            <w:r>
              <w:rPr>
                <w:rFonts w:ascii="宋体" w:hAnsi="宋体" w:eastAsia="宋体" w:cs="宋体"/>
                <w:spacing w:val="-10"/>
                <w:sz w:val="21"/>
                <w:szCs w:val="21"/>
              </w:rPr>
              <w:t>生</w:t>
            </w:r>
          </w:p>
          <w:p w14:paraId="3235913A">
            <w:pPr>
              <w:spacing w:before="61" w:line="220" w:lineRule="auto"/>
              <w:ind w:left="301"/>
              <w:rPr>
                <w:rFonts w:ascii="宋体" w:hAnsi="宋体" w:eastAsia="宋体" w:cs="宋体"/>
                <w:sz w:val="21"/>
                <w:szCs w:val="21"/>
              </w:rPr>
            </w:pPr>
            <w:r>
              <w:rPr>
                <w:rFonts w:ascii="宋体" w:hAnsi="宋体" w:eastAsia="宋体" w:cs="宋体"/>
                <w:spacing w:val="-5"/>
                <w:sz w:val="21"/>
                <w:szCs w:val="21"/>
              </w:rPr>
              <w:t>活污水）</w:t>
            </w:r>
          </w:p>
        </w:tc>
        <w:tc>
          <w:tcPr>
            <w:tcW w:w="990" w:type="dxa"/>
            <w:vMerge w:val="restart"/>
            <w:tcBorders>
              <w:bottom w:val="nil"/>
            </w:tcBorders>
            <w:vAlign w:val="top"/>
          </w:tcPr>
          <w:p w14:paraId="406BC5A3">
            <w:pPr>
              <w:spacing w:line="255" w:lineRule="auto"/>
              <w:rPr>
                <w:rFonts w:ascii="Arial"/>
                <w:sz w:val="21"/>
              </w:rPr>
            </w:pPr>
          </w:p>
          <w:p w14:paraId="65D2409A">
            <w:pPr>
              <w:spacing w:line="256" w:lineRule="auto"/>
              <w:rPr>
                <w:rFonts w:ascii="Arial"/>
                <w:sz w:val="21"/>
              </w:rPr>
            </w:pPr>
          </w:p>
          <w:p w14:paraId="76B073A9">
            <w:pPr>
              <w:spacing w:line="256" w:lineRule="auto"/>
              <w:rPr>
                <w:rFonts w:ascii="Arial"/>
                <w:sz w:val="21"/>
              </w:rPr>
            </w:pPr>
          </w:p>
          <w:p w14:paraId="593F0D88">
            <w:pPr>
              <w:spacing w:before="68" w:line="221" w:lineRule="auto"/>
              <w:ind w:left="95"/>
              <w:rPr>
                <w:rFonts w:ascii="宋体" w:hAnsi="宋体" w:eastAsia="宋体" w:cs="宋体"/>
                <w:sz w:val="21"/>
                <w:szCs w:val="21"/>
              </w:rPr>
            </w:pPr>
            <w:r>
              <w:rPr>
                <w:rFonts w:ascii="宋体" w:hAnsi="宋体" w:eastAsia="宋体" w:cs="宋体"/>
                <w:spacing w:val="-5"/>
                <w:sz w:val="21"/>
                <w:szCs w:val="21"/>
              </w:rPr>
              <w:t>间接排放</w:t>
            </w:r>
          </w:p>
        </w:tc>
        <w:tc>
          <w:tcPr>
            <w:tcW w:w="849" w:type="dxa"/>
            <w:vAlign w:val="top"/>
          </w:tcPr>
          <w:p w14:paraId="3AAF8DB1">
            <w:pPr>
              <w:spacing w:before="207" w:line="220" w:lineRule="auto"/>
              <w:ind w:left="222"/>
              <w:rPr>
                <w:rFonts w:ascii="宋体" w:hAnsi="宋体" w:eastAsia="宋体" w:cs="宋体"/>
                <w:sz w:val="21"/>
                <w:szCs w:val="21"/>
              </w:rPr>
            </w:pPr>
            <w:r>
              <w:rPr>
                <w:rFonts w:ascii="宋体" w:hAnsi="宋体" w:eastAsia="宋体" w:cs="宋体"/>
                <w:spacing w:val="-3"/>
                <w:sz w:val="21"/>
                <w:szCs w:val="21"/>
              </w:rPr>
              <w:t>大型</w:t>
            </w:r>
          </w:p>
        </w:tc>
        <w:tc>
          <w:tcPr>
            <w:tcW w:w="5055" w:type="dxa"/>
            <w:vAlign w:val="top"/>
          </w:tcPr>
          <w:p w14:paraId="55F45D46">
            <w:pPr>
              <w:pStyle w:val="6"/>
              <w:spacing w:before="51" w:line="249" w:lineRule="auto"/>
              <w:ind w:left="9"/>
              <w:rPr>
                <w:rFonts w:ascii="宋体" w:hAnsi="宋体" w:eastAsia="宋体" w:cs="宋体"/>
              </w:rPr>
            </w:pPr>
            <w:r>
              <w:rPr>
                <w:rFonts w:ascii="宋体" w:hAnsi="宋体" w:eastAsia="宋体" w:cs="宋体"/>
                <w:spacing w:val="-7"/>
              </w:rPr>
              <w:t>干清粪</w:t>
            </w:r>
            <w:r>
              <w:rPr>
                <w:spacing w:val="-7"/>
              </w:rPr>
              <w:t>+</w:t>
            </w:r>
            <w:r>
              <w:rPr>
                <w:spacing w:val="-24"/>
              </w:rPr>
              <w:t xml:space="preserve"> </w:t>
            </w:r>
            <w:r>
              <w:rPr>
                <w:rFonts w:ascii="宋体" w:hAnsi="宋体" w:eastAsia="宋体" w:cs="宋体"/>
                <w:spacing w:val="-7"/>
              </w:rPr>
              <w:t>固液分离</w:t>
            </w:r>
            <w:r>
              <w:rPr>
                <w:spacing w:val="-7"/>
              </w:rPr>
              <w:t>+</w:t>
            </w:r>
            <w:r>
              <w:rPr>
                <w:rFonts w:ascii="宋体" w:hAnsi="宋体" w:eastAsia="宋体" w:cs="宋体"/>
                <w:spacing w:val="-7"/>
              </w:rPr>
              <w:t>厌氧（</w:t>
            </w:r>
            <w:r>
              <w:rPr>
                <w:spacing w:val="-7"/>
              </w:rPr>
              <w:t>UASB</w:t>
            </w:r>
            <w:r>
              <w:rPr>
                <w:spacing w:val="-30"/>
              </w:rPr>
              <w:t xml:space="preserve"> </w:t>
            </w:r>
            <w:r>
              <w:rPr>
                <w:rFonts w:ascii="宋体" w:hAnsi="宋体" w:eastAsia="宋体" w:cs="宋体"/>
                <w:spacing w:val="-7"/>
              </w:rPr>
              <w:t>、</w:t>
            </w:r>
            <w:r>
              <w:rPr>
                <w:spacing w:val="-7"/>
              </w:rPr>
              <w:t>CSTR</w:t>
            </w:r>
            <w:r>
              <w:rPr>
                <w:rFonts w:ascii="宋体" w:hAnsi="宋体" w:eastAsia="宋体" w:cs="宋体"/>
                <w:spacing w:val="-7"/>
              </w:rPr>
              <w:t>）</w:t>
            </w:r>
            <w:r>
              <w:rPr>
                <w:spacing w:val="-7"/>
              </w:rPr>
              <w:t>+</w:t>
            </w:r>
            <w:r>
              <w:rPr>
                <w:rFonts w:ascii="宋体" w:hAnsi="宋体" w:eastAsia="宋体" w:cs="宋体"/>
                <w:spacing w:val="-7"/>
              </w:rPr>
              <w:t>好氧（</w:t>
            </w:r>
            <w:r>
              <w:rPr>
                <w:spacing w:val="-7"/>
              </w:rPr>
              <w:t>SBR</w:t>
            </w:r>
            <w:r>
              <w:rPr>
                <w:rFonts w:ascii="宋体" w:hAnsi="宋体" w:eastAsia="宋体" w:cs="宋体"/>
                <w:spacing w:val="-7"/>
              </w:rPr>
              <w:t>、</w:t>
            </w:r>
            <w:r>
              <w:rPr>
                <w:rFonts w:ascii="宋体" w:hAnsi="宋体" w:eastAsia="宋体" w:cs="宋体"/>
                <w:spacing w:val="-3"/>
              </w:rPr>
              <w:t>接触氧化、</w:t>
            </w:r>
            <w:r>
              <w:rPr>
                <w:spacing w:val="-3"/>
              </w:rPr>
              <w:t>MBR</w:t>
            </w:r>
            <w:r>
              <w:rPr>
                <w:rFonts w:ascii="宋体" w:hAnsi="宋体" w:eastAsia="宋体" w:cs="宋体"/>
                <w:spacing w:val="-3"/>
              </w:rPr>
              <w:t>）</w:t>
            </w:r>
          </w:p>
        </w:tc>
      </w:tr>
      <w:tr w14:paraId="23ACA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6" w:type="dxa"/>
            <w:vMerge w:val="continue"/>
            <w:tcBorders>
              <w:top w:val="nil"/>
              <w:bottom w:val="nil"/>
            </w:tcBorders>
            <w:vAlign w:val="top"/>
          </w:tcPr>
          <w:p w14:paraId="74D41D33">
            <w:pPr>
              <w:rPr>
                <w:rFonts w:ascii="Arial"/>
                <w:sz w:val="21"/>
              </w:rPr>
            </w:pPr>
          </w:p>
        </w:tc>
        <w:tc>
          <w:tcPr>
            <w:tcW w:w="990" w:type="dxa"/>
            <w:vMerge w:val="continue"/>
            <w:tcBorders>
              <w:top w:val="nil"/>
              <w:bottom w:val="nil"/>
            </w:tcBorders>
            <w:vAlign w:val="top"/>
          </w:tcPr>
          <w:p w14:paraId="1326E2A2">
            <w:pPr>
              <w:rPr>
                <w:rFonts w:ascii="Arial"/>
                <w:sz w:val="21"/>
              </w:rPr>
            </w:pPr>
          </w:p>
        </w:tc>
        <w:tc>
          <w:tcPr>
            <w:tcW w:w="849" w:type="dxa"/>
            <w:vAlign w:val="top"/>
          </w:tcPr>
          <w:p w14:paraId="63E84750">
            <w:pPr>
              <w:spacing w:before="207" w:line="220" w:lineRule="auto"/>
              <w:ind w:left="239"/>
              <w:rPr>
                <w:rFonts w:ascii="宋体" w:hAnsi="宋体" w:eastAsia="宋体" w:cs="宋体"/>
                <w:sz w:val="21"/>
                <w:szCs w:val="21"/>
              </w:rPr>
            </w:pPr>
            <w:r>
              <w:rPr>
                <w:rFonts w:ascii="宋体" w:hAnsi="宋体" w:eastAsia="宋体" w:cs="宋体"/>
                <w:spacing w:val="-8"/>
                <w:sz w:val="21"/>
                <w:szCs w:val="21"/>
              </w:rPr>
              <w:t>中型</w:t>
            </w:r>
          </w:p>
        </w:tc>
        <w:tc>
          <w:tcPr>
            <w:tcW w:w="5055" w:type="dxa"/>
            <w:vAlign w:val="top"/>
          </w:tcPr>
          <w:p w14:paraId="342C614B">
            <w:pPr>
              <w:pStyle w:val="6"/>
              <w:spacing w:before="51" w:line="249" w:lineRule="auto"/>
              <w:ind w:left="10" w:right="14" w:hanging="1"/>
              <w:rPr>
                <w:rFonts w:ascii="宋体" w:hAnsi="宋体" w:eastAsia="宋体" w:cs="宋体"/>
              </w:rPr>
            </w:pPr>
            <w:r>
              <w:rPr>
                <w:rFonts w:ascii="宋体" w:hAnsi="宋体" w:eastAsia="宋体" w:cs="宋体"/>
                <w:spacing w:val="-4"/>
              </w:rPr>
              <w:t>干清粪</w:t>
            </w:r>
            <w:r>
              <w:rPr>
                <w:spacing w:val="-4"/>
              </w:rPr>
              <w:t>+</w:t>
            </w:r>
            <w:r>
              <w:rPr>
                <w:spacing w:val="-20"/>
              </w:rPr>
              <w:t xml:space="preserve"> </w:t>
            </w:r>
            <w:r>
              <w:rPr>
                <w:rFonts w:ascii="宋体" w:hAnsi="宋体" w:eastAsia="宋体" w:cs="宋体"/>
                <w:spacing w:val="-4"/>
              </w:rPr>
              <w:t>固液分离</w:t>
            </w:r>
            <w:r>
              <w:rPr>
                <w:spacing w:val="-4"/>
              </w:rPr>
              <w:t>+</w:t>
            </w:r>
            <w:r>
              <w:rPr>
                <w:rFonts w:ascii="宋体" w:hAnsi="宋体" w:eastAsia="宋体" w:cs="宋体"/>
                <w:spacing w:val="-4"/>
              </w:rPr>
              <w:t>厌氧（</w:t>
            </w:r>
            <w:r>
              <w:rPr>
                <w:spacing w:val="-4"/>
              </w:rPr>
              <w:t>USR</w:t>
            </w:r>
            <w:r>
              <w:rPr>
                <w:rFonts w:ascii="宋体" w:hAnsi="宋体" w:eastAsia="宋体" w:cs="宋体"/>
                <w:spacing w:val="-4"/>
              </w:rPr>
              <w:t>、</w:t>
            </w:r>
            <w:r>
              <w:rPr>
                <w:spacing w:val="-4"/>
              </w:rPr>
              <w:t>UASB</w:t>
            </w:r>
            <w:r>
              <w:rPr>
                <w:rFonts w:ascii="宋体" w:hAnsi="宋体" w:eastAsia="宋体" w:cs="宋体"/>
                <w:spacing w:val="-4"/>
              </w:rPr>
              <w:t>）</w:t>
            </w:r>
            <w:r>
              <w:rPr>
                <w:spacing w:val="-4"/>
              </w:rPr>
              <w:t>+</w:t>
            </w:r>
            <w:r>
              <w:rPr>
                <w:rFonts w:ascii="宋体" w:hAnsi="宋体" w:eastAsia="宋体" w:cs="宋体"/>
                <w:spacing w:val="-4"/>
              </w:rPr>
              <w:t>好氧（完全混</w:t>
            </w:r>
            <w:r>
              <w:rPr>
                <w:rFonts w:ascii="宋体" w:hAnsi="宋体" w:eastAsia="宋体" w:cs="宋体"/>
                <w:spacing w:val="-1"/>
              </w:rPr>
              <w:t>合活性污泥法、</w:t>
            </w:r>
            <w:r>
              <w:rPr>
                <w:spacing w:val="-1"/>
              </w:rPr>
              <w:t>SBR</w:t>
            </w:r>
            <w:r>
              <w:rPr>
                <w:rFonts w:ascii="宋体" w:hAnsi="宋体" w:eastAsia="宋体" w:cs="宋体"/>
                <w:spacing w:val="-1"/>
              </w:rPr>
              <w:t>、接触氧化、</w:t>
            </w:r>
            <w:r>
              <w:rPr>
                <w:spacing w:val="-1"/>
              </w:rPr>
              <w:t>MBR</w:t>
            </w:r>
            <w:r>
              <w:rPr>
                <w:rFonts w:ascii="宋体" w:hAnsi="宋体" w:eastAsia="宋体" w:cs="宋体"/>
                <w:spacing w:val="-1"/>
              </w:rPr>
              <w:t>）</w:t>
            </w:r>
          </w:p>
        </w:tc>
      </w:tr>
      <w:tr w14:paraId="179DF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6" w:type="dxa"/>
            <w:vMerge w:val="continue"/>
            <w:tcBorders>
              <w:top w:val="nil"/>
              <w:bottom w:val="nil"/>
            </w:tcBorders>
            <w:vAlign w:val="top"/>
          </w:tcPr>
          <w:p w14:paraId="6274BC76">
            <w:pPr>
              <w:rPr>
                <w:rFonts w:ascii="Arial"/>
                <w:sz w:val="21"/>
              </w:rPr>
            </w:pPr>
          </w:p>
        </w:tc>
        <w:tc>
          <w:tcPr>
            <w:tcW w:w="990" w:type="dxa"/>
            <w:vMerge w:val="continue"/>
            <w:tcBorders>
              <w:top w:val="nil"/>
            </w:tcBorders>
            <w:vAlign w:val="top"/>
          </w:tcPr>
          <w:p w14:paraId="48E1B667">
            <w:pPr>
              <w:rPr>
                <w:rFonts w:ascii="Arial"/>
                <w:sz w:val="21"/>
              </w:rPr>
            </w:pPr>
          </w:p>
        </w:tc>
        <w:tc>
          <w:tcPr>
            <w:tcW w:w="849" w:type="dxa"/>
            <w:vAlign w:val="top"/>
          </w:tcPr>
          <w:p w14:paraId="619FE3E3">
            <w:pPr>
              <w:spacing w:before="209" w:line="222" w:lineRule="auto"/>
              <w:ind w:left="225"/>
              <w:rPr>
                <w:rFonts w:ascii="宋体" w:hAnsi="宋体" w:eastAsia="宋体" w:cs="宋体"/>
                <w:sz w:val="21"/>
                <w:szCs w:val="21"/>
              </w:rPr>
            </w:pPr>
            <w:r>
              <w:rPr>
                <w:rFonts w:ascii="宋体" w:hAnsi="宋体" w:eastAsia="宋体" w:cs="宋体"/>
                <w:spacing w:val="-4"/>
                <w:sz w:val="21"/>
                <w:szCs w:val="21"/>
              </w:rPr>
              <w:t>小型</w:t>
            </w:r>
          </w:p>
        </w:tc>
        <w:tc>
          <w:tcPr>
            <w:tcW w:w="5055" w:type="dxa"/>
            <w:vAlign w:val="top"/>
          </w:tcPr>
          <w:p w14:paraId="4DB85E0E">
            <w:pPr>
              <w:pStyle w:val="6"/>
              <w:spacing w:before="52" w:line="249" w:lineRule="auto"/>
              <w:ind w:left="11" w:right="83" w:hanging="2"/>
              <w:rPr>
                <w:rFonts w:ascii="宋体" w:hAnsi="宋体" w:eastAsia="宋体" w:cs="宋体"/>
              </w:rPr>
            </w:pPr>
            <w:r>
              <w:rPr>
                <w:rFonts w:ascii="宋体" w:hAnsi="宋体" w:eastAsia="宋体" w:cs="宋体"/>
                <w:spacing w:val="-2"/>
              </w:rPr>
              <w:t>干清粪</w:t>
            </w:r>
            <w:r>
              <w:rPr>
                <w:spacing w:val="-2"/>
              </w:rPr>
              <w:t>+</w:t>
            </w:r>
            <w:r>
              <w:rPr>
                <w:spacing w:val="-9"/>
              </w:rPr>
              <w:t xml:space="preserve"> </w:t>
            </w:r>
            <w:r>
              <w:rPr>
                <w:rFonts w:ascii="宋体" w:hAnsi="宋体" w:eastAsia="宋体" w:cs="宋体"/>
                <w:spacing w:val="-2"/>
              </w:rPr>
              <w:t>固液分离</w:t>
            </w:r>
            <w:r>
              <w:rPr>
                <w:spacing w:val="-2"/>
              </w:rPr>
              <w:t>+</w:t>
            </w:r>
            <w:r>
              <w:rPr>
                <w:rFonts w:ascii="宋体" w:hAnsi="宋体" w:eastAsia="宋体" w:cs="宋体"/>
                <w:spacing w:val="-2"/>
              </w:rPr>
              <w:t>厌氧（</w:t>
            </w:r>
            <w:r>
              <w:rPr>
                <w:spacing w:val="-2"/>
              </w:rPr>
              <w:t>USR</w:t>
            </w:r>
            <w:r>
              <w:rPr>
                <w:rFonts w:ascii="宋体" w:hAnsi="宋体" w:eastAsia="宋体" w:cs="宋体"/>
                <w:spacing w:val="-2"/>
              </w:rPr>
              <w:t>）</w:t>
            </w:r>
            <w:r>
              <w:rPr>
                <w:spacing w:val="-2"/>
              </w:rPr>
              <w:t>+</w:t>
            </w:r>
            <w:r>
              <w:rPr>
                <w:rFonts w:ascii="宋体" w:hAnsi="宋体" w:eastAsia="宋体" w:cs="宋体"/>
                <w:spacing w:val="-2"/>
              </w:rPr>
              <w:t>好氧（完全混合活性污泥法、</w:t>
            </w:r>
            <w:r>
              <w:rPr>
                <w:spacing w:val="-2"/>
              </w:rPr>
              <w:t>MBR</w:t>
            </w:r>
            <w:r>
              <w:rPr>
                <w:rFonts w:ascii="宋体" w:hAnsi="宋体" w:eastAsia="宋体" w:cs="宋体"/>
                <w:spacing w:val="-2"/>
              </w:rPr>
              <w:t>）</w:t>
            </w:r>
          </w:p>
        </w:tc>
      </w:tr>
      <w:tr w14:paraId="0F709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6" w:type="dxa"/>
            <w:vMerge w:val="continue"/>
            <w:tcBorders>
              <w:top w:val="nil"/>
              <w:bottom w:val="nil"/>
            </w:tcBorders>
            <w:vAlign w:val="top"/>
          </w:tcPr>
          <w:p w14:paraId="2388323D">
            <w:pPr>
              <w:rPr>
                <w:rFonts w:ascii="Arial"/>
                <w:sz w:val="21"/>
              </w:rPr>
            </w:pPr>
          </w:p>
        </w:tc>
        <w:tc>
          <w:tcPr>
            <w:tcW w:w="990" w:type="dxa"/>
            <w:vMerge w:val="restart"/>
            <w:tcBorders>
              <w:bottom w:val="nil"/>
            </w:tcBorders>
            <w:vAlign w:val="top"/>
          </w:tcPr>
          <w:p w14:paraId="5191757D">
            <w:pPr>
              <w:spacing w:line="308" w:lineRule="auto"/>
              <w:rPr>
                <w:rFonts w:ascii="Arial"/>
                <w:sz w:val="21"/>
              </w:rPr>
            </w:pPr>
          </w:p>
          <w:p w14:paraId="2C9309FA">
            <w:pPr>
              <w:spacing w:line="308" w:lineRule="auto"/>
              <w:rPr>
                <w:rFonts w:ascii="Arial"/>
                <w:sz w:val="21"/>
              </w:rPr>
            </w:pPr>
          </w:p>
          <w:p w14:paraId="2F6A65DE">
            <w:pPr>
              <w:spacing w:line="308" w:lineRule="auto"/>
              <w:rPr>
                <w:rFonts w:ascii="Arial"/>
                <w:sz w:val="21"/>
              </w:rPr>
            </w:pPr>
          </w:p>
          <w:p w14:paraId="2D546473">
            <w:pPr>
              <w:spacing w:before="68" w:line="221" w:lineRule="auto"/>
              <w:ind w:left="81"/>
              <w:rPr>
                <w:rFonts w:ascii="宋体" w:hAnsi="宋体" w:eastAsia="宋体" w:cs="宋体"/>
                <w:sz w:val="21"/>
                <w:szCs w:val="21"/>
              </w:rPr>
            </w:pPr>
            <w:r>
              <w:rPr>
                <w:rFonts w:ascii="宋体" w:hAnsi="宋体" w:eastAsia="宋体" w:cs="宋体"/>
                <w:spacing w:val="-2"/>
                <w:sz w:val="21"/>
                <w:szCs w:val="21"/>
              </w:rPr>
              <w:t>直接排放</w:t>
            </w:r>
          </w:p>
        </w:tc>
        <w:tc>
          <w:tcPr>
            <w:tcW w:w="849" w:type="dxa"/>
            <w:vAlign w:val="top"/>
          </w:tcPr>
          <w:p w14:paraId="1C7A75AC">
            <w:pPr>
              <w:spacing w:before="209" w:line="220" w:lineRule="auto"/>
              <w:ind w:left="222"/>
              <w:rPr>
                <w:rFonts w:ascii="宋体" w:hAnsi="宋体" w:eastAsia="宋体" w:cs="宋体"/>
                <w:sz w:val="21"/>
                <w:szCs w:val="21"/>
              </w:rPr>
            </w:pPr>
            <w:r>
              <w:rPr>
                <w:rFonts w:ascii="宋体" w:hAnsi="宋体" w:eastAsia="宋体" w:cs="宋体"/>
                <w:spacing w:val="-3"/>
                <w:sz w:val="21"/>
                <w:szCs w:val="21"/>
              </w:rPr>
              <w:t>大型</w:t>
            </w:r>
          </w:p>
        </w:tc>
        <w:tc>
          <w:tcPr>
            <w:tcW w:w="5055" w:type="dxa"/>
            <w:vAlign w:val="top"/>
          </w:tcPr>
          <w:p w14:paraId="235EB9FF">
            <w:pPr>
              <w:pStyle w:val="6"/>
              <w:spacing w:before="53" w:line="248" w:lineRule="auto"/>
              <w:ind w:left="9"/>
              <w:rPr>
                <w:rFonts w:ascii="宋体" w:hAnsi="宋体" w:eastAsia="宋体" w:cs="宋体"/>
              </w:rPr>
            </w:pPr>
            <w:r>
              <w:rPr>
                <w:rFonts w:ascii="宋体" w:hAnsi="宋体" w:eastAsia="宋体" w:cs="宋体"/>
                <w:spacing w:val="-7"/>
              </w:rPr>
              <w:t>干清粪</w:t>
            </w:r>
            <w:r>
              <w:rPr>
                <w:spacing w:val="-7"/>
              </w:rPr>
              <w:t>+</w:t>
            </w:r>
            <w:r>
              <w:rPr>
                <w:spacing w:val="-24"/>
              </w:rPr>
              <w:t xml:space="preserve"> </w:t>
            </w:r>
            <w:r>
              <w:rPr>
                <w:rFonts w:ascii="宋体" w:hAnsi="宋体" w:eastAsia="宋体" w:cs="宋体"/>
                <w:spacing w:val="-7"/>
              </w:rPr>
              <w:t>固液分离</w:t>
            </w:r>
            <w:r>
              <w:rPr>
                <w:spacing w:val="-7"/>
              </w:rPr>
              <w:t>+</w:t>
            </w:r>
            <w:r>
              <w:rPr>
                <w:rFonts w:ascii="宋体" w:hAnsi="宋体" w:eastAsia="宋体" w:cs="宋体"/>
                <w:spacing w:val="-7"/>
              </w:rPr>
              <w:t>厌氧（</w:t>
            </w:r>
            <w:r>
              <w:rPr>
                <w:spacing w:val="-7"/>
              </w:rPr>
              <w:t>UASB</w:t>
            </w:r>
            <w:r>
              <w:rPr>
                <w:spacing w:val="-30"/>
              </w:rPr>
              <w:t xml:space="preserve"> </w:t>
            </w:r>
            <w:r>
              <w:rPr>
                <w:rFonts w:ascii="宋体" w:hAnsi="宋体" w:eastAsia="宋体" w:cs="宋体"/>
                <w:spacing w:val="-7"/>
              </w:rPr>
              <w:t>、</w:t>
            </w:r>
            <w:r>
              <w:rPr>
                <w:spacing w:val="-7"/>
              </w:rPr>
              <w:t>CSTR</w:t>
            </w:r>
            <w:r>
              <w:rPr>
                <w:rFonts w:ascii="宋体" w:hAnsi="宋体" w:eastAsia="宋体" w:cs="宋体"/>
                <w:spacing w:val="-7"/>
              </w:rPr>
              <w:t>）</w:t>
            </w:r>
            <w:r>
              <w:rPr>
                <w:spacing w:val="-7"/>
              </w:rPr>
              <w:t>+</w:t>
            </w:r>
            <w:r>
              <w:rPr>
                <w:rFonts w:ascii="宋体" w:hAnsi="宋体" w:eastAsia="宋体" w:cs="宋体"/>
                <w:spacing w:val="-7"/>
              </w:rPr>
              <w:t>好氧（</w:t>
            </w:r>
            <w:r>
              <w:rPr>
                <w:spacing w:val="-7"/>
              </w:rPr>
              <w:t>SBR</w:t>
            </w:r>
            <w:r>
              <w:rPr>
                <w:rFonts w:ascii="宋体" w:hAnsi="宋体" w:eastAsia="宋体" w:cs="宋体"/>
                <w:spacing w:val="-7"/>
              </w:rPr>
              <w:t>、</w:t>
            </w:r>
            <w:r>
              <w:rPr>
                <w:rFonts w:ascii="宋体" w:hAnsi="宋体" w:eastAsia="宋体" w:cs="宋体"/>
                <w:spacing w:val="-5"/>
              </w:rPr>
              <w:t>接触氧化、</w:t>
            </w:r>
            <w:r>
              <w:rPr>
                <w:spacing w:val="-5"/>
              </w:rPr>
              <w:t>MBR</w:t>
            </w:r>
            <w:r>
              <w:rPr>
                <w:rFonts w:ascii="宋体" w:hAnsi="宋体" w:eastAsia="宋体" w:cs="宋体"/>
                <w:spacing w:val="-5"/>
              </w:rPr>
              <w:t>）</w:t>
            </w:r>
            <w:r>
              <w:rPr>
                <w:spacing w:val="-5"/>
              </w:rPr>
              <w:t>+</w:t>
            </w:r>
            <w:r>
              <w:rPr>
                <w:spacing w:val="-10"/>
              </w:rPr>
              <w:t xml:space="preserve"> </w:t>
            </w:r>
            <w:r>
              <w:rPr>
                <w:rFonts w:ascii="宋体" w:hAnsi="宋体" w:eastAsia="宋体" w:cs="宋体"/>
                <w:spacing w:val="-5"/>
              </w:rPr>
              <w:t>自然处理（人工湿地</w:t>
            </w:r>
            <w:r>
              <w:rPr>
                <w:rFonts w:ascii="宋体" w:hAnsi="宋体" w:eastAsia="宋体" w:cs="宋体"/>
                <w:spacing w:val="-6"/>
              </w:rPr>
              <w:t>、氧化塘）</w:t>
            </w:r>
          </w:p>
        </w:tc>
      </w:tr>
      <w:tr w14:paraId="53D3A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426" w:type="dxa"/>
            <w:vMerge w:val="continue"/>
            <w:tcBorders>
              <w:top w:val="nil"/>
              <w:bottom w:val="nil"/>
            </w:tcBorders>
            <w:vAlign w:val="top"/>
          </w:tcPr>
          <w:p w14:paraId="1FFA784B">
            <w:pPr>
              <w:rPr>
                <w:rFonts w:ascii="Arial"/>
                <w:sz w:val="21"/>
              </w:rPr>
            </w:pPr>
          </w:p>
        </w:tc>
        <w:tc>
          <w:tcPr>
            <w:tcW w:w="990" w:type="dxa"/>
            <w:vMerge w:val="continue"/>
            <w:tcBorders>
              <w:top w:val="nil"/>
              <w:bottom w:val="nil"/>
            </w:tcBorders>
            <w:vAlign w:val="top"/>
          </w:tcPr>
          <w:p w14:paraId="0CD7DF1F">
            <w:pPr>
              <w:rPr>
                <w:rFonts w:ascii="Arial"/>
                <w:sz w:val="21"/>
              </w:rPr>
            </w:pPr>
          </w:p>
        </w:tc>
        <w:tc>
          <w:tcPr>
            <w:tcW w:w="849" w:type="dxa"/>
            <w:vAlign w:val="top"/>
          </w:tcPr>
          <w:p w14:paraId="2FAF1BA1">
            <w:pPr>
              <w:spacing w:line="295" w:lineRule="auto"/>
              <w:rPr>
                <w:rFonts w:ascii="Arial"/>
                <w:sz w:val="21"/>
              </w:rPr>
            </w:pPr>
          </w:p>
          <w:p w14:paraId="3B2FF722">
            <w:pPr>
              <w:spacing w:before="69" w:line="220" w:lineRule="auto"/>
              <w:ind w:left="239"/>
              <w:rPr>
                <w:rFonts w:ascii="宋体" w:hAnsi="宋体" w:eastAsia="宋体" w:cs="宋体"/>
                <w:sz w:val="21"/>
                <w:szCs w:val="21"/>
              </w:rPr>
            </w:pPr>
            <w:r>
              <w:rPr>
                <w:rFonts w:ascii="宋体" w:hAnsi="宋体" w:eastAsia="宋体" w:cs="宋体"/>
                <w:spacing w:val="-8"/>
                <w:sz w:val="21"/>
                <w:szCs w:val="21"/>
              </w:rPr>
              <w:t>中型</w:t>
            </w:r>
          </w:p>
        </w:tc>
        <w:tc>
          <w:tcPr>
            <w:tcW w:w="5055" w:type="dxa"/>
            <w:vAlign w:val="top"/>
          </w:tcPr>
          <w:p w14:paraId="794ACB18">
            <w:pPr>
              <w:pStyle w:val="6"/>
              <w:spacing w:before="51" w:line="257" w:lineRule="auto"/>
              <w:ind w:left="10" w:right="5" w:hanging="1"/>
              <w:jc w:val="both"/>
              <w:rPr>
                <w:rFonts w:ascii="宋体" w:hAnsi="宋体" w:eastAsia="宋体" w:cs="宋体"/>
              </w:rPr>
            </w:pPr>
            <w:r>
              <w:rPr>
                <w:rFonts w:ascii="宋体" w:hAnsi="宋体" w:eastAsia="宋体" w:cs="宋体"/>
                <w:spacing w:val="-4"/>
              </w:rPr>
              <w:t>干清粪</w:t>
            </w:r>
            <w:r>
              <w:rPr>
                <w:spacing w:val="-4"/>
              </w:rPr>
              <w:t>+</w:t>
            </w:r>
            <w:r>
              <w:rPr>
                <w:spacing w:val="-20"/>
              </w:rPr>
              <w:t xml:space="preserve"> </w:t>
            </w:r>
            <w:r>
              <w:rPr>
                <w:rFonts w:ascii="宋体" w:hAnsi="宋体" w:eastAsia="宋体" w:cs="宋体"/>
                <w:spacing w:val="-4"/>
              </w:rPr>
              <w:t>固液分离</w:t>
            </w:r>
            <w:r>
              <w:rPr>
                <w:spacing w:val="-4"/>
              </w:rPr>
              <w:t>+</w:t>
            </w:r>
            <w:r>
              <w:rPr>
                <w:rFonts w:ascii="宋体" w:hAnsi="宋体" w:eastAsia="宋体" w:cs="宋体"/>
                <w:spacing w:val="-4"/>
              </w:rPr>
              <w:t>厌氧（</w:t>
            </w:r>
            <w:r>
              <w:rPr>
                <w:spacing w:val="-4"/>
              </w:rPr>
              <w:t>USR</w:t>
            </w:r>
            <w:r>
              <w:rPr>
                <w:rFonts w:ascii="宋体" w:hAnsi="宋体" w:eastAsia="宋体" w:cs="宋体"/>
                <w:spacing w:val="-4"/>
              </w:rPr>
              <w:t>、</w:t>
            </w:r>
            <w:r>
              <w:rPr>
                <w:spacing w:val="-4"/>
              </w:rPr>
              <w:t>UASB</w:t>
            </w:r>
            <w:r>
              <w:rPr>
                <w:rFonts w:ascii="宋体" w:hAnsi="宋体" w:eastAsia="宋体" w:cs="宋体"/>
                <w:spacing w:val="-4"/>
              </w:rPr>
              <w:t>）</w:t>
            </w:r>
            <w:r>
              <w:rPr>
                <w:spacing w:val="-4"/>
              </w:rPr>
              <w:t>+</w:t>
            </w:r>
            <w:r>
              <w:rPr>
                <w:rFonts w:ascii="宋体" w:hAnsi="宋体" w:eastAsia="宋体" w:cs="宋体"/>
                <w:spacing w:val="-4"/>
              </w:rPr>
              <w:t>好氧（完全混</w:t>
            </w:r>
            <w:r>
              <w:rPr>
                <w:rFonts w:ascii="宋体" w:hAnsi="宋体" w:eastAsia="宋体" w:cs="宋体"/>
                <w:spacing w:val="-7"/>
              </w:rPr>
              <w:t>合活性污泥法、</w:t>
            </w:r>
            <w:r>
              <w:rPr>
                <w:spacing w:val="-7"/>
              </w:rPr>
              <w:t>SBR</w:t>
            </w:r>
            <w:r>
              <w:rPr>
                <w:rFonts w:ascii="宋体" w:hAnsi="宋体" w:eastAsia="宋体" w:cs="宋体"/>
                <w:spacing w:val="-7"/>
              </w:rPr>
              <w:t>、接触氧化、</w:t>
            </w:r>
            <w:r>
              <w:rPr>
                <w:spacing w:val="-7"/>
              </w:rPr>
              <w:t>MBR</w:t>
            </w:r>
            <w:r>
              <w:rPr>
                <w:rFonts w:ascii="宋体" w:hAnsi="宋体" w:eastAsia="宋体" w:cs="宋体"/>
                <w:spacing w:val="-7"/>
              </w:rPr>
              <w:t>）</w:t>
            </w:r>
            <w:r>
              <w:rPr>
                <w:spacing w:val="-7"/>
              </w:rPr>
              <w:t>+</w:t>
            </w:r>
            <w:r>
              <w:rPr>
                <w:spacing w:val="-8"/>
              </w:rPr>
              <w:t xml:space="preserve"> </w:t>
            </w:r>
            <w:r>
              <w:rPr>
                <w:rFonts w:ascii="宋体" w:hAnsi="宋体" w:eastAsia="宋体" w:cs="宋体"/>
                <w:spacing w:val="-8"/>
              </w:rPr>
              <w:t>自然处理（人</w:t>
            </w:r>
            <w:r>
              <w:rPr>
                <w:rFonts w:ascii="宋体" w:hAnsi="宋体" w:eastAsia="宋体" w:cs="宋体"/>
                <w:spacing w:val="-3"/>
              </w:rPr>
              <w:t>工湿地、氧化塘）</w:t>
            </w:r>
          </w:p>
        </w:tc>
      </w:tr>
      <w:tr w14:paraId="4EFCF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426" w:type="dxa"/>
            <w:vMerge w:val="continue"/>
            <w:tcBorders>
              <w:top w:val="nil"/>
            </w:tcBorders>
            <w:vAlign w:val="top"/>
          </w:tcPr>
          <w:p w14:paraId="7CA6DF5D">
            <w:pPr>
              <w:rPr>
                <w:rFonts w:ascii="Arial"/>
                <w:sz w:val="21"/>
              </w:rPr>
            </w:pPr>
          </w:p>
        </w:tc>
        <w:tc>
          <w:tcPr>
            <w:tcW w:w="990" w:type="dxa"/>
            <w:vMerge w:val="continue"/>
            <w:tcBorders>
              <w:top w:val="nil"/>
            </w:tcBorders>
            <w:vAlign w:val="top"/>
          </w:tcPr>
          <w:p w14:paraId="14697AE2">
            <w:pPr>
              <w:rPr>
                <w:rFonts w:ascii="Arial"/>
                <w:sz w:val="21"/>
              </w:rPr>
            </w:pPr>
          </w:p>
        </w:tc>
        <w:tc>
          <w:tcPr>
            <w:tcW w:w="849" w:type="dxa"/>
            <w:vAlign w:val="top"/>
          </w:tcPr>
          <w:p w14:paraId="177FEC6D">
            <w:pPr>
              <w:spacing w:before="212" w:line="222" w:lineRule="auto"/>
              <w:ind w:left="225"/>
              <w:rPr>
                <w:rFonts w:ascii="宋体" w:hAnsi="宋体" w:eastAsia="宋体" w:cs="宋体"/>
                <w:sz w:val="21"/>
                <w:szCs w:val="21"/>
              </w:rPr>
            </w:pPr>
            <w:r>
              <w:rPr>
                <w:rFonts w:ascii="宋体" w:hAnsi="宋体" w:eastAsia="宋体" w:cs="宋体"/>
                <w:spacing w:val="-4"/>
                <w:sz w:val="21"/>
                <w:szCs w:val="21"/>
              </w:rPr>
              <w:t>小型</w:t>
            </w:r>
          </w:p>
        </w:tc>
        <w:tc>
          <w:tcPr>
            <w:tcW w:w="5055" w:type="dxa"/>
            <w:vAlign w:val="top"/>
          </w:tcPr>
          <w:p w14:paraId="03D1576D">
            <w:pPr>
              <w:pStyle w:val="6"/>
              <w:spacing w:before="57" w:line="249" w:lineRule="auto"/>
              <w:ind w:left="11" w:right="5" w:hanging="2"/>
              <w:rPr>
                <w:rFonts w:ascii="宋体" w:hAnsi="宋体" w:eastAsia="宋体" w:cs="宋体"/>
              </w:rPr>
            </w:pPr>
            <w:r>
              <w:rPr>
                <w:rFonts w:ascii="宋体" w:hAnsi="宋体" w:eastAsia="宋体" w:cs="宋体"/>
                <w:spacing w:val="1"/>
              </w:rPr>
              <w:t>干清粪</w:t>
            </w:r>
            <w:r>
              <w:rPr>
                <w:spacing w:val="1"/>
              </w:rPr>
              <w:t>+</w:t>
            </w:r>
            <w:r>
              <w:rPr>
                <w:spacing w:val="-6"/>
              </w:rPr>
              <w:t xml:space="preserve"> </w:t>
            </w:r>
            <w:r>
              <w:rPr>
                <w:rFonts w:ascii="宋体" w:hAnsi="宋体" w:eastAsia="宋体" w:cs="宋体"/>
                <w:spacing w:val="1"/>
              </w:rPr>
              <w:t>固液分离</w:t>
            </w:r>
            <w:r>
              <w:rPr>
                <w:spacing w:val="1"/>
              </w:rPr>
              <w:t>+</w:t>
            </w:r>
            <w:r>
              <w:rPr>
                <w:rFonts w:ascii="宋体" w:hAnsi="宋体" w:eastAsia="宋体" w:cs="宋体"/>
                <w:spacing w:val="1"/>
              </w:rPr>
              <w:t>厌氧（</w:t>
            </w:r>
            <w:r>
              <w:t>USR</w:t>
            </w:r>
            <w:r>
              <w:rPr>
                <w:rFonts w:ascii="宋体" w:hAnsi="宋体" w:eastAsia="宋体" w:cs="宋体"/>
                <w:spacing w:val="1"/>
              </w:rPr>
              <w:t>）</w:t>
            </w:r>
            <w:r>
              <w:rPr>
                <w:spacing w:val="1"/>
              </w:rPr>
              <w:t>+</w:t>
            </w:r>
            <w:r>
              <w:rPr>
                <w:rFonts w:ascii="宋体" w:hAnsi="宋体" w:eastAsia="宋体" w:cs="宋体"/>
                <w:spacing w:val="1"/>
              </w:rPr>
              <w:t>好氧（完全混合活性</w:t>
            </w:r>
            <w:r>
              <w:rPr>
                <w:rFonts w:ascii="宋体" w:hAnsi="宋体" w:eastAsia="宋体" w:cs="宋体"/>
                <w:spacing w:val="-3"/>
              </w:rPr>
              <w:t>污泥法、</w:t>
            </w:r>
            <w:r>
              <w:rPr>
                <w:spacing w:val="-3"/>
              </w:rPr>
              <w:t>MBR</w:t>
            </w:r>
            <w:r>
              <w:rPr>
                <w:rFonts w:ascii="宋体" w:hAnsi="宋体" w:eastAsia="宋体" w:cs="宋体"/>
                <w:spacing w:val="-3"/>
              </w:rPr>
              <w:t>）</w:t>
            </w:r>
            <w:r>
              <w:rPr>
                <w:spacing w:val="-3"/>
              </w:rPr>
              <w:t>+</w:t>
            </w:r>
            <w:r>
              <w:rPr>
                <w:spacing w:val="-8"/>
              </w:rPr>
              <w:t xml:space="preserve"> </w:t>
            </w:r>
            <w:r>
              <w:rPr>
                <w:rFonts w:ascii="宋体" w:hAnsi="宋体" w:eastAsia="宋体" w:cs="宋体"/>
                <w:spacing w:val="-3"/>
              </w:rPr>
              <w:t>自然处理（人工湿地、氧化塘）</w:t>
            </w:r>
          </w:p>
        </w:tc>
      </w:tr>
    </w:tbl>
    <w:p w14:paraId="1C65AB02">
      <w:pPr>
        <w:pStyle w:val="2"/>
        <w:spacing w:line="144" w:lineRule="exact"/>
        <w:rPr>
          <w:sz w:val="12"/>
        </w:rPr>
      </w:pPr>
    </w:p>
    <w:p w14:paraId="3AC64DB4">
      <w:pPr>
        <w:spacing w:line="144" w:lineRule="exact"/>
        <w:rPr>
          <w:sz w:val="12"/>
          <w:szCs w:val="12"/>
        </w:rPr>
        <w:sectPr>
          <w:headerReference r:id="rId325" w:type="default"/>
          <w:footerReference r:id="rId326" w:type="default"/>
          <w:pgSz w:w="11905" w:h="16840"/>
          <w:pgMar w:top="1168" w:right="1731" w:bottom="1409" w:left="1770" w:header="828" w:footer="1244" w:gutter="0"/>
          <w:cols w:space="720" w:num="1"/>
        </w:sectPr>
      </w:pPr>
    </w:p>
    <w:p w14:paraId="7540D362">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990"/>
        <w:gridCol w:w="849"/>
        <w:gridCol w:w="5055"/>
      </w:tblGrid>
      <w:tr w14:paraId="40B7D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6" w:type="dxa"/>
            <w:vAlign w:val="top"/>
          </w:tcPr>
          <w:p w14:paraId="21079B5B">
            <w:pPr>
              <w:spacing w:before="68" w:line="220" w:lineRule="auto"/>
              <w:ind w:left="297"/>
              <w:rPr>
                <w:rFonts w:ascii="宋体" w:hAnsi="宋体" w:eastAsia="宋体" w:cs="宋体"/>
                <w:sz w:val="21"/>
                <w:szCs w:val="21"/>
              </w:rPr>
            </w:pPr>
            <w:r>
              <w:rPr>
                <w:rFonts w:ascii="宋体" w:hAnsi="宋体" w:eastAsia="宋体" w:cs="宋体"/>
                <w:spacing w:val="-2"/>
                <w:sz w:val="21"/>
                <w:szCs w:val="21"/>
              </w:rPr>
              <w:t>废水类别</w:t>
            </w:r>
          </w:p>
        </w:tc>
        <w:tc>
          <w:tcPr>
            <w:tcW w:w="990" w:type="dxa"/>
            <w:vAlign w:val="top"/>
          </w:tcPr>
          <w:p w14:paraId="6778B4AB">
            <w:pPr>
              <w:spacing w:before="68" w:line="221" w:lineRule="auto"/>
              <w:ind w:left="79"/>
              <w:rPr>
                <w:rFonts w:ascii="宋体" w:hAnsi="宋体" w:eastAsia="宋体" w:cs="宋体"/>
                <w:sz w:val="21"/>
                <w:szCs w:val="21"/>
              </w:rPr>
            </w:pPr>
            <w:r>
              <w:rPr>
                <w:rFonts w:ascii="宋体" w:hAnsi="宋体" w:eastAsia="宋体" w:cs="宋体"/>
                <w:spacing w:val="-2"/>
                <w:sz w:val="21"/>
                <w:szCs w:val="21"/>
              </w:rPr>
              <w:t>排放去向</w:t>
            </w:r>
          </w:p>
        </w:tc>
        <w:tc>
          <w:tcPr>
            <w:tcW w:w="849" w:type="dxa"/>
            <w:vAlign w:val="top"/>
          </w:tcPr>
          <w:p w14:paraId="109F60C5">
            <w:pPr>
              <w:spacing w:before="68" w:line="220" w:lineRule="auto"/>
              <w:jc w:val="right"/>
              <w:rPr>
                <w:rFonts w:ascii="宋体" w:hAnsi="宋体" w:eastAsia="宋体" w:cs="宋体"/>
                <w:sz w:val="21"/>
                <w:szCs w:val="21"/>
              </w:rPr>
            </w:pPr>
            <w:r>
              <w:rPr>
                <w:rFonts w:ascii="宋体" w:hAnsi="宋体" w:eastAsia="宋体" w:cs="宋体"/>
                <w:spacing w:val="-3"/>
                <w:sz w:val="21"/>
                <w:szCs w:val="21"/>
              </w:rPr>
              <w:t>养殖规模</w:t>
            </w:r>
          </w:p>
        </w:tc>
        <w:tc>
          <w:tcPr>
            <w:tcW w:w="5055" w:type="dxa"/>
            <w:vAlign w:val="top"/>
          </w:tcPr>
          <w:p w14:paraId="208F192B">
            <w:pPr>
              <w:spacing w:before="68" w:line="220" w:lineRule="auto"/>
              <w:ind w:left="2113"/>
              <w:rPr>
                <w:rFonts w:ascii="宋体" w:hAnsi="宋体" w:eastAsia="宋体" w:cs="宋体"/>
                <w:sz w:val="21"/>
                <w:szCs w:val="21"/>
              </w:rPr>
            </w:pPr>
            <w:r>
              <w:rPr>
                <w:rFonts w:ascii="宋体" w:hAnsi="宋体" w:eastAsia="宋体" w:cs="宋体"/>
                <w:spacing w:val="-2"/>
                <w:sz w:val="21"/>
                <w:szCs w:val="21"/>
              </w:rPr>
              <w:t>可行技术</w:t>
            </w:r>
          </w:p>
        </w:tc>
      </w:tr>
      <w:tr w14:paraId="592A1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8320" w:type="dxa"/>
            <w:gridSpan w:val="4"/>
            <w:vAlign w:val="top"/>
          </w:tcPr>
          <w:p w14:paraId="319A4CF3">
            <w:pPr>
              <w:pStyle w:val="6"/>
              <w:spacing w:before="53" w:line="264" w:lineRule="auto"/>
              <w:ind w:left="11" w:right="2"/>
              <w:jc w:val="both"/>
              <w:rPr>
                <w:rFonts w:ascii="宋体" w:hAnsi="宋体" w:eastAsia="宋体" w:cs="宋体"/>
              </w:rPr>
            </w:pPr>
            <w:r>
              <w:rPr>
                <w:rFonts w:ascii="宋体" w:hAnsi="宋体" w:eastAsia="宋体" w:cs="宋体"/>
                <w:spacing w:val="-1"/>
              </w:rPr>
              <w:t>注：大型养殖规模为存栏大于等于</w:t>
            </w:r>
            <w:r>
              <w:rPr>
                <w:rFonts w:ascii="宋体" w:hAnsi="宋体" w:eastAsia="宋体" w:cs="宋体"/>
                <w:spacing w:val="-26"/>
              </w:rPr>
              <w:t xml:space="preserve"> </w:t>
            </w:r>
            <w:r>
              <w:rPr>
                <w:spacing w:val="-1"/>
              </w:rPr>
              <w:t>10000</w:t>
            </w:r>
            <w:r>
              <w:rPr>
                <w:spacing w:val="15"/>
                <w:w w:val="101"/>
              </w:rPr>
              <w:t xml:space="preserve"> </w:t>
            </w:r>
            <w:r>
              <w:rPr>
                <w:rFonts w:ascii="宋体" w:hAnsi="宋体" w:eastAsia="宋体" w:cs="宋体"/>
                <w:spacing w:val="-1"/>
              </w:rPr>
              <w:t>头</w:t>
            </w:r>
            <w:r>
              <w:rPr>
                <w:rFonts w:ascii="宋体" w:hAnsi="宋体" w:eastAsia="宋体" w:cs="宋体"/>
                <w:spacing w:val="-2"/>
              </w:rPr>
              <w:t>生猪、中型为存栏</w:t>
            </w:r>
            <w:r>
              <w:rPr>
                <w:rFonts w:ascii="宋体" w:hAnsi="宋体" w:eastAsia="宋体" w:cs="宋体"/>
                <w:spacing w:val="-37"/>
              </w:rPr>
              <w:t xml:space="preserve"> </w:t>
            </w:r>
            <w:r>
              <w:rPr>
                <w:spacing w:val="-2"/>
              </w:rPr>
              <w:t>2000</w:t>
            </w:r>
            <w:r>
              <w:rPr>
                <w:rFonts w:ascii="宋体" w:hAnsi="宋体" w:eastAsia="宋体" w:cs="宋体"/>
                <w:spacing w:val="-2"/>
              </w:rPr>
              <w:t>～</w:t>
            </w:r>
            <w:r>
              <w:rPr>
                <w:spacing w:val="-2"/>
              </w:rPr>
              <w:t>9999</w:t>
            </w:r>
            <w:r>
              <w:rPr>
                <w:spacing w:val="14"/>
                <w:w w:val="101"/>
              </w:rPr>
              <w:t xml:space="preserve"> </w:t>
            </w:r>
            <w:r>
              <w:rPr>
                <w:rFonts w:ascii="宋体" w:hAnsi="宋体" w:eastAsia="宋体" w:cs="宋体"/>
                <w:spacing w:val="-2"/>
              </w:rPr>
              <w:t>头生猪、小型为</w:t>
            </w:r>
            <w:r>
              <w:rPr>
                <w:rFonts w:ascii="宋体" w:hAnsi="宋体" w:eastAsia="宋体" w:cs="宋体"/>
                <w:spacing w:val="-4"/>
              </w:rPr>
              <w:t>存栏</w:t>
            </w:r>
            <w:r>
              <w:rPr>
                <w:rFonts w:ascii="宋体" w:hAnsi="宋体" w:eastAsia="宋体" w:cs="宋体"/>
                <w:spacing w:val="-43"/>
              </w:rPr>
              <w:t xml:space="preserve"> </w:t>
            </w:r>
            <w:r>
              <w:rPr>
                <w:spacing w:val="-4"/>
              </w:rPr>
              <w:t>500</w:t>
            </w:r>
            <w:r>
              <w:rPr>
                <w:rFonts w:ascii="宋体" w:hAnsi="宋体" w:eastAsia="宋体" w:cs="宋体"/>
                <w:spacing w:val="-4"/>
              </w:rPr>
              <w:t>～</w:t>
            </w:r>
            <w:r>
              <w:rPr>
                <w:spacing w:val="-4"/>
              </w:rPr>
              <w:t>1999</w:t>
            </w:r>
            <w:r>
              <w:rPr>
                <w:spacing w:val="13"/>
              </w:rPr>
              <w:t xml:space="preserve"> </w:t>
            </w:r>
            <w:r>
              <w:rPr>
                <w:rFonts w:ascii="宋体" w:hAnsi="宋体" w:eastAsia="宋体" w:cs="宋体"/>
                <w:spacing w:val="-4"/>
              </w:rPr>
              <w:t>头生猪。其他养殖品种依据存栏量按以下标</w:t>
            </w:r>
            <w:r>
              <w:rPr>
                <w:rFonts w:ascii="宋体" w:hAnsi="宋体" w:eastAsia="宋体" w:cs="宋体"/>
                <w:spacing w:val="-5"/>
              </w:rPr>
              <w:t xml:space="preserve">准折算成生猪： </w:t>
            </w:r>
            <w:r>
              <w:rPr>
                <w:spacing w:val="-5"/>
              </w:rPr>
              <w:t>1</w:t>
            </w:r>
            <w:r>
              <w:rPr>
                <w:spacing w:val="12"/>
              </w:rPr>
              <w:t xml:space="preserve"> </w:t>
            </w:r>
            <w:r>
              <w:rPr>
                <w:rFonts w:ascii="宋体" w:hAnsi="宋体" w:eastAsia="宋体" w:cs="宋体"/>
                <w:spacing w:val="-5"/>
              </w:rPr>
              <w:t>头奶牛折算成</w:t>
            </w:r>
            <w:r>
              <w:rPr>
                <w:spacing w:val="-5"/>
              </w:rPr>
              <w:t>10</w:t>
            </w:r>
            <w:r>
              <w:rPr>
                <w:spacing w:val="26"/>
              </w:rPr>
              <w:t xml:space="preserve"> </w:t>
            </w:r>
            <w:r>
              <w:rPr>
                <w:rFonts w:ascii="宋体" w:hAnsi="宋体" w:eastAsia="宋体" w:cs="宋体"/>
                <w:spacing w:val="-5"/>
              </w:rPr>
              <w:t>头猪，</w:t>
            </w:r>
            <w:r>
              <w:rPr>
                <w:spacing w:val="-5"/>
              </w:rPr>
              <w:t xml:space="preserve">1 </w:t>
            </w:r>
            <w:r>
              <w:rPr>
                <w:rFonts w:ascii="宋体" w:hAnsi="宋体" w:eastAsia="宋体" w:cs="宋体"/>
                <w:spacing w:val="-5"/>
              </w:rPr>
              <w:t>头肉牛折算成</w:t>
            </w:r>
            <w:r>
              <w:rPr>
                <w:rFonts w:ascii="宋体" w:hAnsi="宋体" w:eastAsia="宋体" w:cs="宋体"/>
                <w:spacing w:val="-43"/>
              </w:rPr>
              <w:t xml:space="preserve"> </w:t>
            </w:r>
            <w:r>
              <w:rPr>
                <w:spacing w:val="-5"/>
              </w:rPr>
              <w:t>5</w:t>
            </w:r>
            <w:r>
              <w:rPr>
                <w:spacing w:val="13"/>
              </w:rPr>
              <w:t xml:space="preserve"> </w:t>
            </w:r>
            <w:r>
              <w:rPr>
                <w:rFonts w:ascii="宋体" w:hAnsi="宋体" w:eastAsia="宋体" w:cs="宋体"/>
                <w:spacing w:val="-5"/>
              </w:rPr>
              <w:t>头猪，</w:t>
            </w:r>
            <w:r>
              <w:rPr>
                <w:spacing w:val="-5"/>
              </w:rPr>
              <w:t>30</w:t>
            </w:r>
            <w:r>
              <w:rPr>
                <w:spacing w:val="21"/>
                <w:w w:val="101"/>
              </w:rPr>
              <w:t xml:space="preserve"> </w:t>
            </w:r>
            <w:r>
              <w:rPr>
                <w:rFonts w:ascii="宋体" w:hAnsi="宋体" w:eastAsia="宋体" w:cs="宋体"/>
                <w:spacing w:val="-5"/>
              </w:rPr>
              <w:t>只蛋鸡折算</w:t>
            </w:r>
            <w:r>
              <w:rPr>
                <w:rFonts w:ascii="宋体" w:hAnsi="宋体" w:eastAsia="宋体" w:cs="宋体"/>
                <w:spacing w:val="-28"/>
              </w:rPr>
              <w:t xml:space="preserve"> </w:t>
            </w:r>
            <w:r>
              <w:rPr>
                <w:spacing w:val="-5"/>
              </w:rPr>
              <w:t>1</w:t>
            </w:r>
            <w:r>
              <w:rPr>
                <w:spacing w:val="13"/>
              </w:rPr>
              <w:t xml:space="preserve"> </w:t>
            </w:r>
            <w:r>
              <w:rPr>
                <w:rFonts w:ascii="宋体" w:hAnsi="宋体" w:eastAsia="宋体" w:cs="宋体"/>
                <w:spacing w:val="-5"/>
              </w:rPr>
              <w:t>头猪，</w:t>
            </w:r>
            <w:r>
              <w:rPr>
                <w:spacing w:val="-5"/>
              </w:rPr>
              <w:t>60</w:t>
            </w:r>
            <w:r>
              <w:rPr>
                <w:spacing w:val="21"/>
                <w:w w:val="101"/>
              </w:rPr>
              <w:t xml:space="preserve"> </w:t>
            </w:r>
            <w:r>
              <w:rPr>
                <w:rFonts w:ascii="宋体" w:hAnsi="宋体" w:eastAsia="宋体" w:cs="宋体"/>
                <w:spacing w:val="-5"/>
              </w:rPr>
              <w:t>只肉鸡折算成</w:t>
            </w:r>
            <w:r>
              <w:rPr>
                <w:rFonts w:ascii="宋体" w:hAnsi="宋体" w:eastAsia="宋体" w:cs="宋体"/>
                <w:spacing w:val="-28"/>
              </w:rPr>
              <w:t xml:space="preserve"> </w:t>
            </w:r>
            <w:r>
              <w:rPr>
                <w:spacing w:val="-5"/>
              </w:rPr>
              <w:t xml:space="preserve">1 </w:t>
            </w:r>
            <w:r>
              <w:rPr>
                <w:rFonts w:ascii="宋体" w:hAnsi="宋体" w:eastAsia="宋体" w:cs="宋体"/>
                <w:spacing w:val="-5"/>
              </w:rPr>
              <w:t>猪，</w:t>
            </w:r>
            <w:r>
              <w:rPr>
                <w:spacing w:val="-5"/>
              </w:rPr>
              <w:t>30</w:t>
            </w:r>
            <w:r>
              <w:rPr>
                <w:spacing w:val="20"/>
                <w:w w:val="101"/>
              </w:rPr>
              <w:t xml:space="preserve"> </w:t>
            </w:r>
            <w:r>
              <w:rPr>
                <w:rFonts w:ascii="宋体" w:hAnsi="宋体" w:eastAsia="宋体" w:cs="宋体"/>
                <w:spacing w:val="-5"/>
              </w:rPr>
              <w:t>只鸭折</w:t>
            </w:r>
            <w:r>
              <w:rPr>
                <w:rFonts w:ascii="宋体" w:hAnsi="宋体" w:eastAsia="宋体" w:cs="宋体"/>
                <w:spacing w:val="-6"/>
              </w:rPr>
              <w:t>算成</w:t>
            </w:r>
            <w:r>
              <w:rPr>
                <w:rFonts w:ascii="宋体" w:hAnsi="宋体" w:eastAsia="宋体" w:cs="宋体"/>
                <w:spacing w:val="-28"/>
              </w:rPr>
              <w:t xml:space="preserve"> </w:t>
            </w:r>
            <w:r>
              <w:rPr>
                <w:spacing w:val="-6"/>
              </w:rPr>
              <w:t>1</w:t>
            </w:r>
            <w:r>
              <w:rPr>
                <w:spacing w:val="12"/>
              </w:rPr>
              <w:t xml:space="preserve"> </w:t>
            </w:r>
            <w:r>
              <w:rPr>
                <w:rFonts w:ascii="宋体" w:hAnsi="宋体" w:eastAsia="宋体" w:cs="宋体"/>
                <w:spacing w:val="-6"/>
              </w:rPr>
              <w:t>头猪，</w:t>
            </w:r>
            <w:r>
              <w:rPr>
                <w:spacing w:val="-6"/>
              </w:rPr>
              <w:t>15</w:t>
            </w:r>
            <w:r>
              <w:rPr>
                <w:spacing w:val="22"/>
              </w:rPr>
              <w:t xml:space="preserve"> </w:t>
            </w:r>
            <w:r>
              <w:rPr>
                <w:rFonts w:ascii="宋体" w:hAnsi="宋体" w:eastAsia="宋体" w:cs="宋体"/>
                <w:spacing w:val="-6"/>
              </w:rPr>
              <w:t>只鹅折算成</w:t>
            </w:r>
            <w:r>
              <w:rPr>
                <w:rFonts w:ascii="宋体" w:hAnsi="宋体" w:eastAsia="宋体" w:cs="宋体"/>
                <w:spacing w:val="-28"/>
              </w:rPr>
              <w:t xml:space="preserve"> </w:t>
            </w:r>
            <w:r>
              <w:rPr>
                <w:spacing w:val="-6"/>
              </w:rPr>
              <w:t>1</w:t>
            </w:r>
            <w:r>
              <w:rPr>
                <w:spacing w:val="13"/>
              </w:rPr>
              <w:t xml:space="preserve"> </w:t>
            </w:r>
            <w:r>
              <w:rPr>
                <w:rFonts w:ascii="宋体" w:hAnsi="宋体" w:eastAsia="宋体" w:cs="宋体"/>
                <w:spacing w:val="-6"/>
              </w:rPr>
              <w:t>头猪，</w:t>
            </w:r>
            <w:r>
              <w:rPr>
                <w:spacing w:val="-6"/>
              </w:rPr>
              <w:t>3</w:t>
            </w:r>
            <w:r>
              <w:rPr>
                <w:spacing w:val="21"/>
                <w:w w:val="101"/>
              </w:rPr>
              <w:t xml:space="preserve"> </w:t>
            </w:r>
            <w:r>
              <w:rPr>
                <w:rFonts w:ascii="宋体" w:hAnsi="宋体" w:eastAsia="宋体" w:cs="宋体"/>
                <w:spacing w:val="-6"/>
              </w:rPr>
              <w:t>只羊折算成</w:t>
            </w:r>
            <w:r>
              <w:rPr>
                <w:rFonts w:ascii="宋体" w:hAnsi="宋体" w:eastAsia="宋体" w:cs="宋体"/>
                <w:spacing w:val="-28"/>
              </w:rPr>
              <w:t xml:space="preserve"> </w:t>
            </w:r>
            <w:r>
              <w:rPr>
                <w:spacing w:val="-6"/>
              </w:rPr>
              <w:t>1</w:t>
            </w:r>
            <w:r>
              <w:rPr>
                <w:spacing w:val="13"/>
              </w:rPr>
              <w:t xml:space="preserve"> </w:t>
            </w:r>
            <w:r>
              <w:rPr>
                <w:rFonts w:ascii="宋体" w:hAnsi="宋体" w:eastAsia="宋体" w:cs="宋体"/>
                <w:spacing w:val="-6"/>
              </w:rPr>
              <w:t>头猪，省级人</w:t>
            </w:r>
            <w:r>
              <w:rPr>
                <w:rFonts w:ascii="宋体" w:hAnsi="宋体" w:eastAsia="宋体" w:cs="宋体"/>
                <w:spacing w:val="-7"/>
              </w:rPr>
              <w:t>民政府明确规定规模标准</w:t>
            </w:r>
            <w:r>
              <w:rPr>
                <w:rFonts w:ascii="宋体" w:hAnsi="宋体" w:eastAsia="宋体" w:cs="宋体"/>
                <w:spacing w:val="-2"/>
              </w:rPr>
              <w:t>的其他养殖品种由省级人民政府自行设定折算系数。</w:t>
            </w:r>
          </w:p>
        </w:tc>
      </w:tr>
    </w:tbl>
    <w:p w14:paraId="133A69D6">
      <w:pPr>
        <w:spacing w:before="234" w:line="360" w:lineRule="auto"/>
        <w:ind w:left="37" w:firstLine="482"/>
        <w:rPr>
          <w:rFonts w:ascii="宋体" w:hAnsi="宋体" w:eastAsia="宋体" w:cs="宋体"/>
          <w:sz w:val="24"/>
          <w:szCs w:val="24"/>
        </w:rPr>
      </w:pPr>
      <w:r>
        <w:rPr>
          <w:rFonts w:ascii="宋体" w:hAnsi="宋体" w:eastAsia="宋体" w:cs="宋体"/>
          <w:spacing w:val="-6"/>
          <w:sz w:val="24"/>
          <w:szCs w:val="24"/>
        </w:rPr>
        <w:t>本项目存栏量为</w:t>
      </w:r>
      <w:r>
        <w:rPr>
          <w:rFonts w:ascii="Times New Roman" w:hAnsi="Times New Roman" w:eastAsia="Times New Roman" w:cs="Times New Roman"/>
          <w:spacing w:val="-6"/>
          <w:sz w:val="24"/>
          <w:szCs w:val="24"/>
        </w:rPr>
        <w:t>52819</w:t>
      </w:r>
      <w:r>
        <w:rPr>
          <w:rFonts w:ascii="宋体" w:hAnsi="宋体" w:eastAsia="宋体" w:cs="宋体"/>
          <w:spacing w:val="-6"/>
          <w:sz w:val="24"/>
          <w:szCs w:val="24"/>
        </w:rPr>
        <w:t>头（折算</w:t>
      </w:r>
      <w:r>
        <w:rPr>
          <w:rFonts w:ascii="宋体" w:hAnsi="宋体" w:eastAsia="宋体" w:cs="宋体"/>
          <w:spacing w:val="-14"/>
          <w:sz w:val="24"/>
          <w:szCs w:val="24"/>
        </w:rPr>
        <w:t>），</w:t>
      </w:r>
      <w:r>
        <w:rPr>
          <w:rFonts w:ascii="宋体" w:hAnsi="宋体" w:eastAsia="宋体" w:cs="宋体"/>
          <w:spacing w:val="-6"/>
          <w:sz w:val="24"/>
          <w:szCs w:val="24"/>
        </w:rPr>
        <w:t>采用“原环保部认可的清粪</w:t>
      </w:r>
      <w:r>
        <w:rPr>
          <w:rFonts w:ascii="宋体" w:hAnsi="宋体" w:eastAsia="宋体" w:cs="宋体"/>
          <w:spacing w:val="-7"/>
          <w:sz w:val="24"/>
          <w:szCs w:val="24"/>
        </w:rPr>
        <w:t>工艺”（同牧</w:t>
      </w:r>
      <w:r>
        <w:rPr>
          <w:rFonts w:ascii="宋体" w:hAnsi="宋体" w:eastAsia="宋体" w:cs="宋体"/>
          <w:spacing w:val="-3"/>
          <w:sz w:val="24"/>
          <w:szCs w:val="24"/>
        </w:rPr>
        <w:t>原食品股份有限公司清粪工艺，为环保部认</w:t>
      </w:r>
      <w:r>
        <w:rPr>
          <w:rFonts w:ascii="宋体" w:hAnsi="宋体" w:eastAsia="宋体" w:cs="宋体"/>
          <w:spacing w:val="-4"/>
          <w:sz w:val="24"/>
          <w:szCs w:val="24"/>
        </w:rPr>
        <w:t>可具备干清粪工艺基本特征</w:t>
      </w:r>
      <w:r>
        <w:rPr>
          <w:rFonts w:ascii="宋体" w:hAnsi="宋体" w:eastAsia="宋体" w:cs="宋体"/>
          <w:spacing w:val="-1"/>
          <w:sz w:val="24"/>
          <w:szCs w:val="24"/>
        </w:rPr>
        <w:t>），</w:t>
      </w:r>
      <w:r>
        <w:rPr>
          <w:rFonts w:ascii="宋体" w:hAnsi="宋体" w:eastAsia="宋体" w:cs="宋体"/>
          <w:spacing w:val="-4"/>
          <w:sz w:val="24"/>
          <w:szCs w:val="24"/>
        </w:rPr>
        <w:t>废水</w:t>
      </w:r>
      <w:r>
        <w:rPr>
          <w:rFonts w:ascii="宋体" w:hAnsi="宋体" w:eastAsia="宋体" w:cs="宋体"/>
          <w:spacing w:val="1"/>
          <w:sz w:val="24"/>
          <w:szCs w:val="24"/>
        </w:rPr>
        <w:t>采用“粪污收集池</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固液分离</w:t>
      </w:r>
      <w:r>
        <w:rPr>
          <w:rFonts w:ascii="Times New Roman" w:hAnsi="Times New Roman" w:eastAsia="Times New Roman" w:cs="Times New Roman"/>
          <w:spacing w:val="1"/>
          <w:sz w:val="24"/>
          <w:szCs w:val="24"/>
        </w:rPr>
        <w:t>+</w:t>
      </w:r>
      <w:r>
        <w:rPr>
          <w:rFonts w:ascii="宋体" w:hAnsi="宋体" w:eastAsia="宋体" w:cs="宋体"/>
          <w:spacing w:val="1"/>
          <w:sz w:val="24"/>
          <w:szCs w:val="24"/>
        </w:rPr>
        <w:t>水解酸化池</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CSTR</w:t>
      </w:r>
      <w:r>
        <w:rPr>
          <w:rFonts w:ascii="宋体" w:hAnsi="宋体" w:eastAsia="宋体" w:cs="宋体"/>
          <w:spacing w:val="1"/>
          <w:sz w:val="24"/>
          <w:szCs w:val="24"/>
        </w:rPr>
        <w:t>厌氧反应器</w:t>
      </w:r>
      <w:r>
        <w:rPr>
          <w:rFonts w:ascii="Times New Roman" w:hAnsi="Times New Roman" w:eastAsia="Times New Roman" w:cs="Times New Roman"/>
          <w:spacing w:val="1"/>
          <w:sz w:val="24"/>
          <w:szCs w:val="24"/>
        </w:rPr>
        <w:t>+</w:t>
      </w:r>
      <w:r>
        <w:rPr>
          <w:rFonts w:ascii="宋体" w:hAnsi="宋体" w:eastAsia="宋体" w:cs="宋体"/>
          <w:spacing w:val="1"/>
          <w:sz w:val="24"/>
          <w:szCs w:val="24"/>
        </w:rPr>
        <w:t>微生</w:t>
      </w:r>
      <w:r>
        <w:rPr>
          <w:rFonts w:ascii="宋体" w:hAnsi="宋体" w:eastAsia="宋体" w:cs="宋体"/>
          <w:sz w:val="24"/>
          <w:szCs w:val="24"/>
        </w:rPr>
        <w:t>物曝氧塘</w:t>
      </w:r>
      <w:r>
        <w:rPr>
          <w:rFonts w:ascii="Times New Roman" w:hAnsi="Times New Roman" w:eastAsia="Times New Roman" w:cs="Times New Roman"/>
          <w:sz w:val="24"/>
          <w:szCs w:val="24"/>
        </w:rPr>
        <w:t>+</w:t>
      </w:r>
      <w:r>
        <w:rPr>
          <w:rFonts w:ascii="宋体" w:hAnsi="宋体" w:eastAsia="宋体" w:cs="宋体"/>
          <w:sz w:val="24"/>
          <w:szCs w:val="24"/>
        </w:rPr>
        <w:t>前</w:t>
      </w:r>
      <w:r>
        <w:rPr>
          <w:rFonts w:ascii="宋体" w:hAnsi="宋体" w:eastAsia="宋体" w:cs="宋体"/>
          <w:spacing w:val="1"/>
          <w:sz w:val="24"/>
          <w:szCs w:val="24"/>
        </w:rPr>
        <w:t>置物化系统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w:t>
      </w:r>
      <w:r>
        <w:rPr>
          <w:rFonts w:ascii="宋体" w:hAnsi="宋体" w:eastAsia="宋体" w:cs="宋体"/>
          <w:spacing w:val="2"/>
          <w:sz w:val="24"/>
          <w:szCs w:val="24"/>
        </w:rPr>
        <w:t>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消毒池”工艺处理达标后用于周边消纳地灌溉，不外排。</w:t>
      </w:r>
      <w:r>
        <w:rPr>
          <w:rFonts w:ascii="宋体" w:hAnsi="宋体" w:eastAsia="宋体" w:cs="宋体"/>
          <w:spacing w:val="-1"/>
          <w:sz w:val="24"/>
          <w:szCs w:val="24"/>
        </w:rPr>
        <w:t>根据上表中“间接排放”的可行技术可知，本项目废水污染处理工艺符合要求，</w:t>
      </w:r>
      <w:r>
        <w:rPr>
          <w:rFonts w:ascii="宋体" w:hAnsi="宋体" w:eastAsia="宋体" w:cs="宋体"/>
          <w:spacing w:val="-6"/>
          <w:sz w:val="24"/>
          <w:szCs w:val="24"/>
        </w:rPr>
        <w:t>属于可行工艺。</w:t>
      </w:r>
    </w:p>
    <w:p w14:paraId="63E3E53C">
      <w:pPr>
        <w:spacing w:line="217" w:lineRule="auto"/>
        <w:ind w:left="519"/>
        <w:rPr>
          <w:rFonts w:ascii="宋体" w:hAnsi="宋体" w:eastAsia="宋体" w:cs="宋体"/>
          <w:sz w:val="24"/>
          <w:szCs w:val="24"/>
        </w:rPr>
      </w:pPr>
      <w:r>
        <w:rPr>
          <w:rFonts w:ascii="宋体" w:hAnsi="宋体" w:eastAsia="宋体" w:cs="宋体"/>
          <w:b/>
          <w:bCs/>
          <w:spacing w:val="-3"/>
          <w:sz w:val="24"/>
          <w:szCs w:val="24"/>
        </w:rPr>
        <w:t>③污水处理站设计参数</w:t>
      </w:r>
    </w:p>
    <w:p w14:paraId="41F5DD89">
      <w:pPr>
        <w:spacing w:before="185" w:line="362" w:lineRule="auto"/>
        <w:ind w:left="41" w:right="67" w:firstLine="478"/>
        <w:rPr>
          <w:rFonts w:ascii="宋体" w:hAnsi="宋体" w:eastAsia="宋体" w:cs="宋体"/>
          <w:sz w:val="24"/>
          <w:szCs w:val="24"/>
        </w:rPr>
      </w:pPr>
      <w:r>
        <w:rPr>
          <w:rFonts w:ascii="宋体" w:hAnsi="宋体" w:eastAsia="宋体" w:cs="宋体"/>
          <w:spacing w:val="-3"/>
          <w:sz w:val="24"/>
          <w:szCs w:val="24"/>
        </w:rPr>
        <w:t>根据设计单位提供的资料，本项目拟采取的污水处理工艺成熟，</w:t>
      </w:r>
      <w:r>
        <w:rPr>
          <w:rFonts w:ascii="宋体" w:hAnsi="宋体" w:eastAsia="宋体" w:cs="宋体"/>
          <w:spacing w:val="-4"/>
          <w:sz w:val="24"/>
          <w:szCs w:val="24"/>
        </w:rPr>
        <w:t>各污水处理单位的进出水水质及处理效率见下表：</w:t>
      </w:r>
    </w:p>
    <w:p w14:paraId="42E4AB6D">
      <w:pPr>
        <w:spacing w:before="7" w:line="222" w:lineRule="auto"/>
        <w:ind w:left="279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4.2-23  </w:t>
      </w:r>
      <w:r>
        <w:rPr>
          <w:rFonts w:ascii="黑体" w:hAnsi="黑体" w:eastAsia="黑体" w:cs="黑体"/>
          <w:spacing w:val="-1"/>
          <w:sz w:val="21"/>
          <w:szCs w:val="21"/>
        </w:rPr>
        <w:t>各单元去除率预测表</w:t>
      </w:r>
    </w:p>
    <w:p w14:paraId="38ABBE8B">
      <w:pPr>
        <w:spacing w:line="88" w:lineRule="exact"/>
      </w:pPr>
    </w:p>
    <w:tbl>
      <w:tblPr>
        <w:tblStyle w:val="5"/>
        <w:tblW w:w="8326" w:type="dxa"/>
        <w:tblInd w:w="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9"/>
        <w:gridCol w:w="1024"/>
        <w:gridCol w:w="1251"/>
        <w:gridCol w:w="1251"/>
        <w:gridCol w:w="1251"/>
        <w:gridCol w:w="1251"/>
        <w:gridCol w:w="1259"/>
      </w:tblGrid>
      <w:tr w14:paraId="18A0C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039" w:type="dxa"/>
            <w:vAlign w:val="top"/>
          </w:tcPr>
          <w:p w14:paraId="0D270F5E">
            <w:pPr>
              <w:spacing w:before="211" w:line="220" w:lineRule="auto"/>
              <w:ind w:left="105"/>
              <w:rPr>
                <w:rFonts w:ascii="宋体" w:hAnsi="宋体" w:eastAsia="宋体" w:cs="宋体"/>
                <w:sz w:val="21"/>
                <w:szCs w:val="21"/>
              </w:rPr>
            </w:pPr>
            <w:r>
              <w:rPr>
                <w:rFonts w:ascii="宋体" w:hAnsi="宋体" w:eastAsia="宋体" w:cs="宋体"/>
                <w:spacing w:val="-3"/>
                <w:sz w:val="21"/>
                <w:szCs w:val="21"/>
              </w:rPr>
              <w:t>处理单元</w:t>
            </w:r>
          </w:p>
        </w:tc>
        <w:tc>
          <w:tcPr>
            <w:tcW w:w="1024" w:type="dxa"/>
            <w:vAlign w:val="top"/>
          </w:tcPr>
          <w:p w14:paraId="5B695AB9">
            <w:pPr>
              <w:spacing w:before="211" w:line="220" w:lineRule="auto"/>
              <w:ind w:left="305"/>
              <w:rPr>
                <w:rFonts w:ascii="宋体" w:hAnsi="宋体" w:eastAsia="宋体" w:cs="宋体"/>
                <w:sz w:val="21"/>
                <w:szCs w:val="21"/>
              </w:rPr>
            </w:pPr>
            <w:r>
              <w:rPr>
                <w:rFonts w:ascii="宋体" w:hAnsi="宋体" w:eastAsia="宋体" w:cs="宋体"/>
                <w:spacing w:val="-3"/>
                <w:sz w:val="21"/>
                <w:szCs w:val="21"/>
              </w:rPr>
              <w:t>项目</w:t>
            </w:r>
          </w:p>
        </w:tc>
        <w:tc>
          <w:tcPr>
            <w:tcW w:w="1251" w:type="dxa"/>
            <w:vAlign w:val="top"/>
          </w:tcPr>
          <w:p w14:paraId="334EFF1B">
            <w:pPr>
              <w:pStyle w:val="6"/>
              <w:spacing w:before="211" w:line="212" w:lineRule="auto"/>
              <w:jc w:val="right"/>
              <w:rPr>
                <w:rFonts w:ascii="宋体" w:hAnsi="宋体" w:eastAsia="宋体" w:cs="宋体"/>
              </w:rPr>
            </w:pPr>
            <w:r>
              <w:rPr>
                <w:spacing w:val="-10"/>
              </w:rPr>
              <w:t>COD</w:t>
            </w:r>
            <w:r>
              <w:rPr>
                <w:rFonts w:ascii="宋体" w:hAnsi="宋体" w:eastAsia="宋体" w:cs="宋体"/>
                <w:spacing w:val="-10"/>
              </w:rPr>
              <w:t>（</w:t>
            </w:r>
            <w:r>
              <w:rPr>
                <w:spacing w:val="-10"/>
              </w:rPr>
              <w:t>mg/L</w:t>
            </w:r>
            <w:r>
              <w:rPr>
                <w:rFonts w:ascii="宋体" w:hAnsi="宋体" w:eastAsia="宋体" w:cs="宋体"/>
                <w:spacing w:val="-10"/>
              </w:rPr>
              <w:t>）</w:t>
            </w:r>
          </w:p>
        </w:tc>
        <w:tc>
          <w:tcPr>
            <w:tcW w:w="1251" w:type="dxa"/>
            <w:vAlign w:val="top"/>
          </w:tcPr>
          <w:p w14:paraId="366B6FBC">
            <w:pPr>
              <w:pStyle w:val="6"/>
              <w:spacing w:before="211" w:line="212" w:lineRule="auto"/>
              <w:jc w:val="right"/>
              <w:rPr>
                <w:rFonts w:ascii="宋体" w:hAnsi="宋体" w:eastAsia="宋体" w:cs="宋体"/>
              </w:rPr>
            </w:pPr>
            <w:r>
              <w:rPr>
                <w:spacing w:val="-22"/>
                <w:w w:val="98"/>
              </w:rPr>
              <w:t>BOD</w:t>
            </w:r>
            <w:r>
              <w:rPr>
                <w:spacing w:val="-22"/>
                <w:w w:val="98"/>
                <w:position w:val="-2"/>
                <w:sz w:val="14"/>
                <w:szCs w:val="14"/>
              </w:rPr>
              <w:t>5</w:t>
            </w:r>
            <w:r>
              <w:rPr>
                <w:rFonts w:ascii="宋体" w:hAnsi="宋体" w:eastAsia="宋体" w:cs="宋体"/>
                <w:spacing w:val="-22"/>
                <w:w w:val="98"/>
              </w:rPr>
              <w:t>（</w:t>
            </w:r>
            <w:r>
              <w:rPr>
                <w:spacing w:val="-6"/>
              </w:rPr>
              <w:t>mg/L</w:t>
            </w:r>
            <w:r>
              <w:rPr>
                <w:rFonts w:ascii="宋体" w:hAnsi="宋体" w:eastAsia="宋体" w:cs="宋体"/>
                <w:spacing w:val="-6"/>
              </w:rPr>
              <w:t>）</w:t>
            </w:r>
          </w:p>
        </w:tc>
        <w:tc>
          <w:tcPr>
            <w:tcW w:w="1251" w:type="dxa"/>
            <w:vAlign w:val="top"/>
          </w:tcPr>
          <w:p w14:paraId="7B326DAF">
            <w:pPr>
              <w:pStyle w:val="6"/>
              <w:spacing w:before="95" w:line="195" w:lineRule="auto"/>
              <w:ind w:left="322"/>
            </w:pPr>
            <w:r>
              <w:t>NH</w:t>
            </w:r>
            <w:r>
              <w:rPr>
                <w:position w:val="-2"/>
                <w:sz w:val="14"/>
                <w:szCs w:val="14"/>
              </w:rPr>
              <w:t>3</w:t>
            </w:r>
            <w:r>
              <w:t>-N</w:t>
            </w:r>
          </w:p>
          <w:p w14:paraId="2FB8D870">
            <w:pPr>
              <w:pStyle w:val="6"/>
              <w:spacing w:before="71" w:line="212" w:lineRule="auto"/>
              <w:ind w:left="198"/>
              <w:rPr>
                <w:rFonts w:ascii="宋体" w:hAnsi="宋体" w:eastAsia="宋体" w:cs="宋体"/>
              </w:rPr>
            </w:pPr>
            <w:r>
              <w:rPr>
                <w:rFonts w:ascii="宋体" w:hAnsi="宋体" w:eastAsia="宋体" w:cs="宋体"/>
                <w:spacing w:val="-3"/>
              </w:rPr>
              <w:t>（</w:t>
            </w:r>
            <w:r>
              <w:rPr>
                <w:spacing w:val="-3"/>
              </w:rPr>
              <w:t>mg/L</w:t>
            </w:r>
            <w:r>
              <w:rPr>
                <w:rFonts w:ascii="宋体" w:hAnsi="宋体" w:eastAsia="宋体" w:cs="宋体"/>
                <w:spacing w:val="-3"/>
              </w:rPr>
              <w:t>）</w:t>
            </w:r>
          </w:p>
        </w:tc>
        <w:tc>
          <w:tcPr>
            <w:tcW w:w="1251" w:type="dxa"/>
            <w:vAlign w:val="top"/>
          </w:tcPr>
          <w:p w14:paraId="37454513">
            <w:pPr>
              <w:pStyle w:val="6"/>
              <w:spacing w:before="95" w:line="185" w:lineRule="auto"/>
              <w:ind w:left="507"/>
            </w:pPr>
            <w:r>
              <w:rPr>
                <w:spacing w:val="-2"/>
              </w:rPr>
              <w:t>TP</w:t>
            </w:r>
          </w:p>
          <w:p w14:paraId="2C36C39F">
            <w:pPr>
              <w:pStyle w:val="6"/>
              <w:spacing w:before="86" w:line="212" w:lineRule="auto"/>
              <w:ind w:left="199"/>
              <w:rPr>
                <w:rFonts w:ascii="宋体" w:hAnsi="宋体" w:eastAsia="宋体" w:cs="宋体"/>
              </w:rPr>
            </w:pPr>
            <w:r>
              <w:rPr>
                <w:rFonts w:ascii="宋体" w:hAnsi="宋体" w:eastAsia="宋体" w:cs="宋体"/>
                <w:spacing w:val="-3"/>
              </w:rPr>
              <w:t>（</w:t>
            </w:r>
            <w:r>
              <w:rPr>
                <w:spacing w:val="-3"/>
              </w:rPr>
              <w:t>mg/L</w:t>
            </w:r>
            <w:r>
              <w:rPr>
                <w:rFonts w:ascii="宋体" w:hAnsi="宋体" w:eastAsia="宋体" w:cs="宋体"/>
                <w:spacing w:val="-3"/>
              </w:rPr>
              <w:t>）</w:t>
            </w:r>
          </w:p>
        </w:tc>
        <w:tc>
          <w:tcPr>
            <w:tcW w:w="1259" w:type="dxa"/>
            <w:vAlign w:val="top"/>
          </w:tcPr>
          <w:p w14:paraId="4C904F1F">
            <w:pPr>
              <w:pStyle w:val="6"/>
              <w:spacing w:before="92" w:line="188" w:lineRule="auto"/>
              <w:ind w:left="521"/>
            </w:pPr>
            <w:r>
              <w:rPr>
                <w:spacing w:val="-4"/>
              </w:rPr>
              <w:t>SS</w:t>
            </w:r>
          </w:p>
          <w:p w14:paraId="4AF3E117">
            <w:pPr>
              <w:pStyle w:val="6"/>
              <w:spacing w:before="86" w:line="212" w:lineRule="auto"/>
              <w:ind w:left="201"/>
              <w:rPr>
                <w:rFonts w:ascii="宋体" w:hAnsi="宋体" w:eastAsia="宋体" w:cs="宋体"/>
              </w:rPr>
            </w:pPr>
            <w:r>
              <w:rPr>
                <w:rFonts w:ascii="宋体" w:hAnsi="宋体" w:eastAsia="宋体" w:cs="宋体"/>
                <w:spacing w:val="-3"/>
              </w:rPr>
              <w:t>（</w:t>
            </w:r>
            <w:r>
              <w:rPr>
                <w:spacing w:val="-3"/>
              </w:rPr>
              <w:t>mg/L</w:t>
            </w:r>
            <w:r>
              <w:rPr>
                <w:rFonts w:ascii="宋体" w:hAnsi="宋体" w:eastAsia="宋体" w:cs="宋体"/>
                <w:spacing w:val="-3"/>
              </w:rPr>
              <w:t>）</w:t>
            </w:r>
          </w:p>
        </w:tc>
      </w:tr>
      <w:tr w14:paraId="5E284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Align w:val="top"/>
          </w:tcPr>
          <w:p w14:paraId="612C06CA">
            <w:pPr>
              <w:spacing w:before="61" w:line="220" w:lineRule="auto"/>
              <w:ind w:left="309"/>
              <w:rPr>
                <w:rFonts w:ascii="宋体" w:hAnsi="宋体" w:eastAsia="宋体" w:cs="宋体"/>
                <w:sz w:val="21"/>
                <w:szCs w:val="21"/>
              </w:rPr>
            </w:pPr>
            <w:r>
              <w:rPr>
                <w:rFonts w:ascii="宋体" w:hAnsi="宋体" w:eastAsia="宋体" w:cs="宋体"/>
                <w:spacing w:val="-2"/>
                <w:sz w:val="21"/>
                <w:szCs w:val="21"/>
              </w:rPr>
              <w:t>进水</w:t>
            </w:r>
          </w:p>
        </w:tc>
        <w:tc>
          <w:tcPr>
            <w:tcW w:w="1024" w:type="dxa"/>
            <w:vAlign w:val="top"/>
          </w:tcPr>
          <w:p w14:paraId="61D3FBF8">
            <w:pPr>
              <w:spacing w:before="61" w:line="220" w:lineRule="auto"/>
              <w:ind w:left="90"/>
              <w:rPr>
                <w:rFonts w:ascii="宋体" w:hAnsi="宋体" w:eastAsia="宋体" w:cs="宋体"/>
                <w:sz w:val="21"/>
                <w:szCs w:val="21"/>
              </w:rPr>
            </w:pPr>
            <w:r>
              <w:rPr>
                <w:rFonts w:ascii="宋体" w:hAnsi="宋体" w:eastAsia="宋体" w:cs="宋体"/>
                <w:spacing w:val="-2"/>
                <w:sz w:val="21"/>
                <w:szCs w:val="21"/>
              </w:rPr>
              <w:t>进水浓度</w:t>
            </w:r>
          </w:p>
        </w:tc>
        <w:tc>
          <w:tcPr>
            <w:tcW w:w="1251" w:type="dxa"/>
            <w:vAlign w:val="top"/>
          </w:tcPr>
          <w:p w14:paraId="2464D70A">
            <w:pPr>
              <w:pStyle w:val="6"/>
              <w:spacing w:before="98" w:line="188" w:lineRule="auto"/>
              <w:ind w:left="360"/>
            </w:pPr>
            <w:r>
              <w:rPr>
                <w:spacing w:val="-1"/>
              </w:rPr>
              <w:t>21600</w:t>
            </w:r>
          </w:p>
        </w:tc>
        <w:tc>
          <w:tcPr>
            <w:tcW w:w="1251" w:type="dxa"/>
            <w:vAlign w:val="top"/>
          </w:tcPr>
          <w:p w14:paraId="424D7E66">
            <w:pPr>
              <w:pStyle w:val="6"/>
              <w:spacing w:before="98" w:line="188" w:lineRule="auto"/>
              <w:ind w:left="423"/>
            </w:pPr>
            <w:r>
              <w:rPr>
                <w:spacing w:val="-4"/>
              </w:rPr>
              <w:t>8000</w:t>
            </w:r>
          </w:p>
        </w:tc>
        <w:tc>
          <w:tcPr>
            <w:tcW w:w="1251" w:type="dxa"/>
            <w:vAlign w:val="top"/>
          </w:tcPr>
          <w:p w14:paraId="53A0940A">
            <w:pPr>
              <w:pStyle w:val="6"/>
              <w:spacing w:before="98" w:line="188" w:lineRule="auto"/>
              <w:ind w:left="475"/>
            </w:pPr>
            <w:r>
              <w:rPr>
                <w:spacing w:val="-4"/>
              </w:rPr>
              <w:t>590</w:t>
            </w:r>
          </w:p>
        </w:tc>
        <w:tc>
          <w:tcPr>
            <w:tcW w:w="1251" w:type="dxa"/>
            <w:vAlign w:val="top"/>
          </w:tcPr>
          <w:p w14:paraId="43E4BA26">
            <w:pPr>
              <w:pStyle w:val="6"/>
              <w:spacing w:before="98" w:line="188" w:lineRule="auto"/>
              <w:ind w:left="491"/>
            </w:pPr>
            <w:r>
              <w:rPr>
                <w:spacing w:val="-9"/>
              </w:rPr>
              <w:t>127</w:t>
            </w:r>
          </w:p>
        </w:tc>
        <w:tc>
          <w:tcPr>
            <w:tcW w:w="1259" w:type="dxa"/>
            <w:vAlign w:val="top"/>
          </w:tcPr>
          <w:p w14:paraId="69E32AD8">
            <w:pPr>
              <w:pStyle w:val="6"/>
              <w:spacing w:before="98" w:line="188" w:lineRule="auto"/>
              <w:ind w:left="419"/>
            </w:pPr>
            <w:r>
              <w:rPr>
                <w:spacing w:val="-1"/>
              </w:rPr>
              <w:t>4000</w:t>
            </w:r>
          </w:p>
        </w:tc>
      </w:tr>
      <w:tr w14:paraId="7DF66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39" w:type="dxa"/>
            <w:vMerge w:val="restart"/>
            <w:tcBorders>
              <w:bottom w:val="nil"/>
            </w:tcBorders>
            <w:vAlign w:val="top"/>
          </w:tcPr>
          <w:p w14:paraId="0ECCD71C">
            <w:pPr>
              <w:spacing w:before="85" w:line="220" w:lineRule="auto"/>
              <w:ind w:left="119"/>
              <w:rPr>
                <w:rFonts w:ascii="宋体" w:hAnsi="宋体" w:eastAsia="宋体" w:cs="宋体"/>
                <w:sz w:val="21"/>
                <w:szCs w:val="21"/>
              </w:rPr>
            </w:pPr>
            <w:r>
              <w:rPr>
                <w:rFonts w:ascii="宋体" w:hAnsi="宋体" w:eastAsia="宋体" w:cs="宋体"/>
                <w:spacing w:val="-5"/>
                <w:sz w:val="21"/>
                <w:szCs w:val="21"/>
              </w:rPr>
              <w:t>固液分离</w:t>
            </w:r>
          </w:p>
          <w:p w14:paraId="2E21063A">
            <w:pPr>
              <w:spacing w:before="60" w:line="220" w:lineRule="auto"/>
              <w:ind w:left="103"/>
              <w:rPr>
                <w:rFonts w:ascii="宋体" w:hAnsi="宋体" w:eastAsia="宋体" w:cs="宋体"/>
                <w:sz w:val="21"/>
                <w:szCs w:val="21"/>
              </w:rPr>
            </w:pPr>
            <w:r>
              <w:rPr>
                <w:rFonts w:ascii="宋体" w:hAnsi="宋体" w:eastAsia="宋体" w:cs="宋体"/>
                <w:spacing w:val="-3"/>
                <w:sz w:val="21"/>
                <w:szCs w:val="21"/>
              </w:rPr>
              <w:t>水解酸化</w:t>
            </w:r>
          </w:p>
        </w:tc>
        <w:tc>
          <w:tcPr>
            <w:tcW w:w="1024" w:type="dxa"/>
            <w:vAlign w:val="top"/>
          </w:tcPr>
          <w:p w14:paraId="07A7A962">
            <w:pPr>
              <w:spacing w:before="63"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3FC60AAC">
            <w:pPr>
              <w:pStyle w:val="6"/>
              <w:spacing w:before="99" w:line="188" w:lineRule="auto"/>
              <w:ind w:left="350"/>
            </w:pPr>
            <w:r>
              <w:rPr>
                <w:spacing w:val="-1"/>
              </w:rPr>
              <w:t>20.0%</w:t>
            </w:r>
          </w:p>
        </w:tc>
        <w:tc>
          <w:tcPr>
            <w:tcW w:w="1251" w:type="dxa"/>
            <w:vAlign w:val="top"/>
          </w:tcPr>
          <w:p w14:paraId="5F79DCB8">
            <w:pPr>
              <w:pStyle w:val="6"/>
              <w:spacing w:before="99" w:line="188" w:lineRule="auto"/>
              <w:ind w:left="373"/>
            </w:pPr>
            <w:r>
              <w:rPr>
                <w:spacing w:val="-5"/>
              </w:rPr>
              <w:t>15.0%</w:t>
            </w:r>
          </w:p>
        </w:tc>
        <w:tc>
          <w:tcPr>
            <w:tcW w:w="1251" w:type="dxa"/>
            <w:vAlign w:val="top"/>
          </w:tcPr>
          <w:p w14:paraId="2AB4B79C">
            <w:pPr>
              <w:pStyle w:val="6"/>
              <w:spacing w:before="99" w:line="188" w:lineRule="auto"/>
              <w:ind w:left="453"/>
            </w:pPr>
            <w:r>
              <w:rPr>
                <w:spacing w:val="-5"/>
              </w:rPr>
              <w:t>10%</w:t>
            </w:r>
          </w:p>
        </w:tc>
        <w:tc>
          <w:tcPr>
            <w:tcW w:w="1251" w:type="dxa"/>
            <w:vAlign w:val="top"/>
          </w:tcPr>
          <w:p w14:paraId="1137C84C">
            <w:pPr>
              <w:pStyle w:val="6"/>
              <w:spacing w:before="99" w:line="188" w:lineRule="auto"/>
              <w:ind w:left="357"/>
            </w:pPr>
            <w:r>
              <w:rPr>
                <w:spacing w:val="-1"/>
              </w:rPr>
              <w:t>20.0%</w:t>
            </w:r>
          </w:p>
        </w:tc>
        <w:tc>
          <w:tcPr>
            <w:tcW w:w="1259" w:type="dxa"/>
            <w:vAlign w:val="top"/>
          </w:tcPr>
          <w:p w14:paraId="76923805">
            <w:pPr>
              <w:pStyle w:val="6"/>
              <w:spacing w:before="99" w:line="188" w:lineRule="auto"/>
              <w:ind w:left="364"/>
            </w:pPr>
            <w:r>
              <w:rPr>
                <w:spacing w:val="-2"/>
              </w:rPr>
              <w:t>50.0%</w:t>
            </w:r>
          </w:p>
        </w:tc>
      </w:tr>
      <w:tr w14:paraId="7EDAC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continue"/>
            <w:tcBorders>
              <w:top w:val="nil"/>
            </w:tcBorders>
            <w:vAlign w:val="top"/>
          </w:tcPr>
          <w:p w14:paraId="087D6F44">
            <w:pPr>
              <w:rPr>
                <w:rFonts w:ascii="Arial"/>
                <w:sz w:val="21"/>
              </w:rPr>
            </w:pPr>
          </w:p>
        </w:tc>
        <w:tc>
          <w:tcPr>
            <w:tcW w:w="1024" w:type="dxa"/>
            <w:vAlign w:val="top"/>
          </w:tcPr>
          <w:p w14:paraId="16507A38">
            <w:pPr>
              <w:spacing w:before="65"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74BC6308">
            <w:pPr>
              <w:pStyle w:val="6"/>
              <w:spacing w:before="102" w:line="188" w:lineRule="auto"/>
              <w:ind w:left="380"/>
            </w:pPr>
            <w:r>
              <w:rPr>
                <w:spacing w:val="-5"/>
              </w:rPr>
              <w:t>17280</w:t>
            </w:r>
          </w:p>
        </w:tc>
        <w:tc>
          <w:tcPr>
            <w:tcW w:w="1251" w:type="dxa"/>
            <w:vAlign w:val="top"/>
          </w:tcPr>
          <w:p w14:paraId="0CD8BB23">
            <w:pPr>
              <w:pStyle w:val="6"/>
              <w:spacing w:before="102" w:line="188" w:lineRule="auto"/>
              <w:ind w:left="419"/>
            </w:pPr>
            <w:r>
              <w:rPr>
                <w:spacing w:val="-3"/>
              </w:rPr>
              <w:t>6800</w:t>
            </w:r>
          </w:p>
        </w:tc>
        <w:tc>
          <w:tcPr>
            <w:tcW w:w="1251" w:type="dxa"/>
            <w:vAlign w:val="top"/>
          </w:tcPr>
          <w:p w14:paraId="73442040">
            <w:pPr>
              <w:pStyle w:val="6"/>
              <w:spacing w:before="102" w:line="188" w:lineRule="auto"/>
              <w:ind w:left="475"/>
            </w:pPr>
            <w:r>
              <w:rPr>
                <w:spacing w:val="-4"/>
              </w:rPr>
              <w:t>531</w:t>
            </w:r>
          </w:p>
        </w:tc>
        <w:tc>
          <w:tcPr>
            <w:tcW w:w="1251" w:type="dxa"/>
            <w:vAlign w:val="top"/>
          </w:tcPr>
          <w:p w14:paraId="2192B962">
            <w:pPr>
              <w:pStyle w:val="6"/>
              <w:spacing w:before="102" w:line="188" w:lineRule="auto"/>
              <w:ind w:left="412"/>
            </w:pPr>
            <w:r>
              <w:rPr>
                <w:spacing w:val="-5"/>
              </w:rPr>
              <w:t>101.6</w:t>
            </w:r>
          </w:p>
        </w:tc>
        <w:tc>
          <w:tcPr>
            <w:tcW w:w="1259" w:type="dxa"/>
            <w:vAlign w:val="top"/>
          </w:tcPr>
          <w:p w14:paraId="7D7B286F">
            <w:pPr>
              <w:pStyle w:val="6"/>
              <w:spacing w:before="102" w:line="188" w:lineRule="auto"/>
              <w:ind w:left="420"/>
            </w:pPr>
            <w:r>
              <w:rPr>
                <w:spacing w:val="-1"/>
              </w:rPr>
              <w:t>2000</w:t>
            </w:r>
          </w:p>
        </w:tc>
      </w:tr>
      <w:tr w14:paraId="49FB7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restart"/>
            <w:tcBorders>
              <w:bottom w:val="nil"/>
            </w:tcBorders>
            <w:vAlign w:val="top"/>
          </w:tcPr>
          <w:p w14:paraId="5AF721E5">
            <w:pPr>
              <w:pStyle w:val="6"/>
              <w:spacing w:before="87" w:line="265" w:lineRule="auto"/>
              <w:ind w:left="206" w:right="16" w:hanging="185"/>
              <w:rPr>
                <w:rFonts w:ascii="宋体" w:hAnsi="宋体" w:eastAsia="宋体" w:cs="宋体"/>
              </w:rPr>
            </w:pPr>
            <w:r>
              <w:rPr>
                <w:spacing w:val="-1"/>
              </w:rPr>
              <w:t xml:space="preserve">CSTR </w:t>
            </w:r>
            <w:r>
              <w:rPr>
                <w:rFonts w:ascii="宋体" w:hAnsi="宋体" w:eastAsia="宋体" w:cs="宋体"/>
                <w:spacing w:val="-1"/>
              </w:rPr>
              <w:t>厌氧</w:t>
            </w:r>
            <w:r>
              <w:rPr>
                <w:rFonts w:ascii="宋体" w:hAnsi="宋体" w:eastAsia="宋体" w:cs="宋体"/>
                <w:spacing w:val="-3"/>
              </w:rPr>
              <w:t>反应器</w:t>
            </w:r>
          </w:p>
        </w:tc>
        <w:tc>
          <w:tcPr>
            <w:tcW w:w="1024" w:type="dxa"/>
            <w:vAlign w:val="top"/>
          </w:tcPr>
          <w:p w14:paraId="78EF9976">
            <w:pPr>
              <w:spacing w:before="64"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45EA3001">
            <w:pPr>
              <w:pStyle w:val="6"/>
              <w:spacing w:before="101" w:line="188" w:lineRule="auto"/>
              <w:ind w:left="353"/>
            </w:pPr>
            <w:r>
              <w:rPr>
                <w:spacing w:val="-2"/>
              </w:rPr>
              <w:t>70.0%</w:t>
            </w:r>
          </w:p>
        </w:tc>
        <w:tc>
          <w:tcPr>
            <w:tcW w:w="1251" w:type="dxa"/>
            <w:vAlign w:val="top"/>
          </w:tcPr>
          <w:p w14:paraId="6E53C9D4">
            <w:pPr>
              <w:pStyle w:val="6"/>
              <w:spacing w:before="101" w:line="188" w:lineRule="auto"/>
              <w:ind w:left="357"/>
            </w:pPr>
            <w:r>
              <w:rPr>
                <w:spacing w:val="-2"/>
              </w:rPr>
              <w:t>70.0%</w:t>
            </w:r>
          </w:p>
        </w:tc>
        <w:tc>
          <w:tcPr>
            <w:tcW w:w="1251" w:type="dxa"/>
            <w:vAlign w:val="top"/>
          </w:tcPr>
          <w:p w14:paraId="46401E9D">
            <w:pPr>
              <w:pStyle w:val="6"/>
              <w:spacing w:before="101" w:line="188" w:lineRule="auto"/>
              <w:ind w:left="577"/>
            </w:pPr>
            <w:r>
              <w:t>0</w:t>
            </w:r>
          </w:p>
        </w:tc>
        <w:tc>
          <w:tcPr>
            <w:tcW w:w="1251" w:type="dxa"/>
            <w:vAlign w:val="top"/>
          </w:tcPr>
          <w:p w14:paraId="27F495FA">
            <w:pPr>
              <w:pStyle w:val="6"/>
              <w:spacing w:before="101" w:line="188" w:lineRule="auto"/>
              <w:ind w:left="360"/>
            </w:pPr>
            <w:r>
              <w:rPr>
                <w:spacing w:val="-2"/>
              </w:rPr>
              <w:t>70.0%</w:t>
            </w:r>
          </w:p>
        </w:tc>
        <w:tc>
          <w:tcPr>
            <w:tcW w:w="1259" w:type="dxa"/>
            <w:vAlign w:val="top"/>
          </w:tcPr>
          <w:p w14:paraId="5BD5F5F3">
            <w:pPr>
              <w:pStyle w:val="6"/>
              <w:spacing w:before="101" w:line="188" w:lineRule="auto"/>
              <w:ind w:left="367"/>
            </w:pPr>
            <w:r>
              <w:rPr>
                <w:spacing w:val="-3"/>
              </w:rPr>
              <w:t>80.0%</w:t>
            </w:r>
          </w:p>
        </w:tc>
      </w:tr>
      <w:tr w14:paraId="1FD06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continue"/>
            <w:tcBorders>
              <w:top w:val="nil"/>
            </w:tcBorders>
            <w:vAlign w:val="top"/>
          </w:tcPr>
          <w:p w14:paraId="034AF95A">
            <w:pPr>
              <w:rPr>
                <w:rFonts w:ascii="Arial"/>
                <w:sz w:val="21"/>
              </w:rPr>
            </w:pPr>
          </w:p>
        </w:tc>
        <w:tc>
          <w:tcPr>
            <w:tcW w:w="1024" w:type="dxa"/>
            <w:vAlign w:val="top"/>
          </w:tcPr>
          <w:p w14:paraId="09D5E3E0">
            <w:pPr>
              <w:spacing w:before="64"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3AC85D12">
            <w:pPr>
              <w:pStyle w:val="6"/>
              <w:spacing w:before="101" w:line="188" w:lineRule="auto"/>
              <w:ind w:left="417"/>
            </w:pPr>
            <w:r>
              <w:rPr>
                <w:spacing w:val="-3"/>
              </w:rPr>
              <w:t>5184</w:t>
            </w:r>
          </w:p>
        </w:tc>
        <w:tc>
          <w:tcPr>
            <w:tcW w:w="1251" w:type="dxa"/>
            <w:vAlign w:val="top"/>
          </w:tcPr>
          <w:p w14:paraId="16178372">
            <w:pPr>
              <w:pStyle w:val="6"/>
              <w:spacing w:before="101" w:line="188" w:lineRule="auto"/>
              <w:ind w:left="414"/>
            </w:pPr>
            <w:r>
              <w:rPr>
                <w:spacing w:val="-1"/>
              </w:rPr>
              <w:t>2040</w:t>
            </w:r>
          </w:p>
        </w:tc>
        <w:tc>
          <w:tcPr>
            <w:tcW w:w="1251" w:type="dxa"/>
            <w:vAlign w:val="top"/>
          </w:tcPr>
          <w:p w14:paraId="03D577AA">
            <w:pPr>
              <w:pStyle w:val="6"/>
              <w:spacing w:before="101" w:line="188" w:lineRule="auto"/>
              <w:ind w:left="475"/>
            </w:pPr>
            <w:r>
              <w:rPr>
                <w:spacing w:val="-4"/>
              </w:rPr>
              <w:t>531</w:t>
            </w:r>
          </w:p>
        </w:tc>
        <w:tc>
          <w:tcPr>
            <w:tcW w:w="1251" w:type="dxa"/>
            <w:vAlign w:val="top"/>
          </w:tcPr>
          <w:p w14:paraId="5646B2E0">
            <w:pPr>
              <w:pStyle w:val="6"/>
              <w:spacing w:before="101" w:line="188" w:lineRule="auto"/>
              <w:ind w:left="448"/>
            </w:pPr>
            <w:r>
              <w:rPr>
                <w:spacing w:val="-2"/>
              </w:rPr>
              <w:t>30.5</w:t>
            </w:r>
          </w:p>
        </w:tc>
        <w:tc>
          <w:tcPr>
            <w:tcW w:w="1259" w:type="dxa"/>
            <w:vAlign w:val="top"/>
          </w:tcPr>
          <w:p w14:paraId="302819AC">
            <w:pPr>
              <w:pStyle w:val="6"/>
              <w:spacing w:before="101" w:line="188" w:lineRule="auto"/>
              <w:ind w:left="471"/>
            </w:pPr>
            <w:r>
              <w:rPr>
                <w:spacing w:val="-2"/>
              </w:rPr>
              <w:t>400</w:t>
            </w:r>
          </w:p>
        </w:tc>
      </w:tr>
      <w:tr w14:paraId="76AE7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restart"/>
            <w:tcBorders>
              <w:bottom w:val="nil"/>
            </w:tcBorders>
            <w:vAlign w:val="top"/>
          </w:tcPr>
          <w:p w14:paraId="241C359D">
            <w:pPr>
              <w:spacing w:before="86" w:line="220" w:lineRule="auto"/>
              <w:ind w:left="205"/>
              <w:rPr>
                <w:rFonts w:ascii="宋体" w:hAnsi="宋体" w:eastAsia="宋体" w:cs="宋体"/>
                <w:sz w:val="21"/>
                <w:szCs w:val="21"/>
              </w:rPr>
            </w:pPr>
            <w:r>
              <w:rPr>
                <w:rFonts w:ascii="宋体" w:hAnsi="宋体" w:eastAsia="宋体" w:cs="宋体"/>
                <w:spacing w:val="-2"/>
                <w:sz w:val="21"/>
                <w:szCs w:val="21"/>
              </w:rPr>
              <w:t>微生物</w:t>
            </w:r>
          </w:p>
          <w:p w14:paraId="15AC0F47">
            <w:pPr>
              <w:spacing w:before="62" w:line="219" w:lineRule="auto"/>
              <w:ind w:left="214"/>
              <w:rPr>
                <w:rFonts w:ascii="宋体" w:hAnsi="宋体" w:eastAsia="宋体" w:cs="宋体"/>
                <w:sz w:val="21"/>
                <w:szCs w:val="21"/>
              </w:rPr>
            </w:pPr>
            <w:r>
              <w:rPr>
                <w:rFonts w:ascii="宋体" w:hAnsi="宋体" w:eastAsia="宋体" w:cs="宋体"/>
                <w:spacing w:val="-4"/>
                <w:sz w:val="21"/>
                <w:szCs w:val="21"/>
              </w:rPr>
              <w:t>曝氧塘</w:t>
            </w:r>
          </w:p>
        </w:tc>
        <w:tc>
          <w:tcPr>
            <w:tcW w:w="1024" w:type="dxa"/>
            <w:vAlign w:val="top"/>
          </w:tcPr>
          <w:p w14:paraId="25AC9500">
            <w:pPr>
              <w:spacing w:before="64"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1543DF02">
            <w:pPr>
              <w:pStyle w:val="6"/>
              <w:spacing w:before="101" w:line="188" w:lineRule="auto"/>
              <w:ind w:left="354"/>
            </w:pPr>
            <w:r>
              <w:rPr>
                <w:spacing w:val="-2"/>
              </w:rPr>
              <w:t>35.0%</w:t>
            </w:r>
          </w:p>
        </w:tc>
        <w:tc>
          <w:tcPr>
            <w:tcW w:w="1251" w:type="dxa"/>
            <w:vAlign w:val="top"/>
          </w:tcPr>
          <w:p w14:paraId="30112C2E">
            <w:pPr>
              <w:pStyle w:val="6"/>
              <w:spacing w:before="101" w:line="188" w:lineRule="auto"/>
              <w:ind w:left="357"/>
            </w:pPr>
            <w:r>
              <w:rPr>
                <w:spacing w:val="-2"/>
              </w:rPr>
              <w:t>30.0%</w:t>
            </w:r>
          </w:p>
        </w:tc>
        <w:tc>
          <w:tcPr>
            <w:tcW w:w="1251" w:type="dxa"/>
            <w:vAlign w:val="top"/>
          </w:tcPr>
          <w:p w14:paraId="74BE0B05">
            <w:pPr>
              <w:pStyle w:val="6"/>
              <w:spacing w:before="101" w:line="188" w:lineRule="auto"/>
              <w:ind w:left="359"/>
            </w:pPr>
            <w:r>
              <w:rPr>
                <w:spacing w:val="-2"/>
              </w:rPr>
              <w:t>30.0%</w:t>
            </w:r>
          </w:p>
        </w:tc>
        <w:tc>
          <w:tcPr>
            <w:tcW w:w="1251" w:type="dxa"/>
            <w:vAlign w:val="top"/>
          </w:tcPr>
          <w:p w14:paraId="771B98E0">
            <w:pPr>
              <w:pStyle w:val="6"/>
              <w:spacing w:before="101" w:line="188" w:lineRule="auto"/>
              <w:ind w:left="377"/>
            </w:pPr>
            <w:r>
              <w:rPr>
                <w:spacing w:val="-5"/>
              </w:rPr>
              <w:t>10.0%</w:t>
            </w:r>
          </w:p>
        </w:tc>
        <w:tc>
          <w:tcPr>
            <w:tcW w:w="1259" w:type="dxa"/>
            <w:vAlign w:val="top"/>
          </w:tcPr>
          <w:p w14:paraId="36E57962">
            <w:pPr>
              <w:pStyle w:val="6"/>
              <w:spacing w:before="101" w:line="188" w:lineRule="auto"/>
              <w:ind w:left="363"/>
            </w:pPr>
            <w:r>
              <w:rPr>
                <w:spacing w:val="-2"/>
              </w:rPr>
              <w:t>30.0%</w:t>
            </w:r>
          </w:p>
        </w:tc>
      </w:tr>
      <w:tr w14:paraId="2AB02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continue"/>
            <w:tcBorders>
              <w:top w:val="nil"/>
            </w:tcBorders>
            <w:vAlign w:val="top"/>
          </w:tcPr>
          <w:p w14:paraId="1A4DE463">
            <w:pPr>
              <w:rPr>
                <w:rFonts w:ascii="Arial"/>
                <w:sz w:val="21"/>
              </w:rPr>
            </w:pPr>
          </w:p>
        </w:tc>
        <w:tc>
          <w:tcPr>
            <w:tcW w:w="1024" w:type="dxa"/>
            <w:vAlign w:val="top"/>
          </w:tcPr>
          <w:p w14:paraId="2F99052E">
            <w:pPr>
              <w:spacing w:before="64"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7D5BBA26">
            <w:pPr>
              <w:pStyle w:val="6"/>
              <w:spacing w:before="101" w:line="188" w:lineRule="auto"/>
              <w:ind w:left="416"/>
            </w:pPr>
            <w:r>
              <w:rPr>
                <w:spacing w:val="-2"/>
              </w:rPr>
              <w:t>3370</w:t>
            </w:r>
          </w:p>
        </w:tc>
        <w:tc>
          <w:tcPr>
            <w:tcW w:w="1251" w:type="dxa"/>
            <w:vAlign w:val="top"/>
          </w:tcPr>
          <w:p w14:paraId="159925D9">
            <w:pPr>
              <w:pStyle w:val="6"/>
              <w:spacing w:before="101" w:line="188" w:lineRule="auto"/>
              <w:ind w:left="435"/>
            </w:pPr>
            <w:r>
              <w:rPr>
                <w:spacing w:val="-6"/>
              </w:rPr>
              <w:t>1428</w:t>
            </w:r>
          </w:p>
        </w:tc>
        <w:tc>
          <w:tcPr>
            <w:tcW w:w="1251" w:type="dxa"/>
            <w:vAlign w:val="top"/>
          </w:tcPr>
          <w:p w14:paraId="25B1392D">
            <w:pPr>
              <w:pStyle w:val="6"/>
              <w:spacing w:before="101" w:line="188" w:lineRule="auto"/>
              <w:ind w:left="394"/>
            </w:pPr>
            <w:r>
              <w:rPr>
                <w:spacing w:val="-2"/>
              </w:rPr>
              <w:t>371.7</w:t>
            </w:r>
          </w:p>
        </w:tc>
        <w:tc>
          <w:tcPr>
            <w:tcW w:w="1251" w:type="dxa"/>
            <w:vAlign w:val="top"/>
          </w:tcPr>
          <w:p w14:paraId="3BE62C65">
            <w:pPr>
              <w:pStyle w:val="6"/>
              <w:spacing w:before="101" w:line="188" w:lineRule="auto"/>
              <w:ind w:left="444"/>
            </w:pPr>
            <w:r>
              <w:rPr>
                <w:spacing w:val="-1"/>
              </w:rPr>
              <w:t>27.4</w:t>
            </w:r>
          </w:p>
        </w:tc>
        <w:tc>
          <w:tcPr>
            <w:tcW w:w="1259" w:type="dxa"/>
            <w:vAlign w:val="top"/>
          </w:tcPr>
          <w:p w14:paraId="7990404D">
            <w:pPr>
              <w:pStyle w:val="6"/>
              <w:spacing w:before="101" w:line="188" w:lineRule="auto"/>
              <w:ind w:left="472"/>
            </w:pPr>
            <w:r>
              <w:rPr>
                <w:spacing w:val="-2"/>
              </w:rPr>
              <w:t>280</w:t>
            </w:r>
          </w:p>
        </w:tc>
      </w:tr>
      <w:tr w14:paraId="29E91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39" w:type="dxa"/>
            <w:vMerge w:val="restart"/>
            <w:tcBorders>
              <w:bottom w:val="nil"/>
            </w:tcBorders>
            <w:vAlign w:val="top"/>
          </w:tcPr>
          <w:p w14:paraId="5F53557C">
            <w:pPr>
              <w:pStyle w:val="6"/>
              <w:spacing w:before="88" w:line="263" w:lineRule="auto"/>
              <w:ind w:left="419" w:right="8" w:hanging="404"/>
              <w:rPr>
                <w:rFonts w:ascii="宋体" w:hAnsi="宋体" w:eastAsia="宋体" w:cs="宋体"/>
              </w:rPr>
            </w:pPr>
            <w:r>
              <w:rPr>
                <w:rFonts w:ascii="宋体" w:hAnsi="宋体" w:eastAsia="宋体" w:cs="宋体"/>
                <w:spacing w:val="-5"/>
              </w:rPr>
              <w:t>一级</w:t>
            </w:r>
            <w:r>
              <w:rPr>
                <w:rFonts w:ascii="宋体" w:hAnsi="宋体" w:eastAsia="宋体" w:cs="宋体"/>
                <w:spacing w:val="-57"/>
              </w:rPr>
              <w:t xml:space="preserve"> </w:t>
            </w:r>
            <w:r>
              <w:rPr>
                <w:spacing w:val="-5"/>
              </w:rPr>
              <w:t xml:space="preserve">AO </w:t>
            </w:r>
            <w:r>
              <w:rPr>
                <w:rFonts w:ascii="宋体" w:hAnsi="宋体" w:eastAsia="宋体" w:cs="宋体"/>
                <w:spacing w:val="-5"/>
              </w:rPr>
              <w:t>系</w:t>
            </w:r>
            <w:r>
              <w:rPr>
                <w:rFonts w:ascii="宋体" w:hAnsi="宋体" w:eastAsia="宋体" w:cs="宋体"/>
              </w:rPr>
              <w:t>统</w:t>
            </w:r>
          </w:p>
        </w:tc>
        <w:tc>
          <w:tcPr>
            <w:tcW w:w="1024" w:type="dxa"/>
            <w:vAlign w:val="top"/>
          </w:tcPr>
          <w:p w14:paraId="24F3E796">
            <w:pPr>
              <w:spacing w:before="66"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3AA46879">
            <w:pPr>
              <w:pStyle w:val="6"/>
              <w:spacing w:before="102" w:line="188" w:lineRule="auto"/>
              <w:ind w:left="353"/>
            </w:pPr>
            <w:r>
              <w:rPr>
                <w:spacing w:val="-2"/>
              </w:rPr>
              <w:t>75.0%</w:t>
            </w:r>
          </w:p>
        </w:tc>
        <w:tc>
          <w:tcPr>
            <w:tcW w:w="1251" w:type="dxa"/>
            <w:vAlign w:val="top"/>
          </w:tcPr>
          <w:p w14:paraId="50CA16F5">
            <w:pPr>
              <w:pStyle w:val="6"/>
              <w:spacing w:before="102" w:line="188" w:lineRule="auto"/>
              <w:ind w:left="357"/>
            </w:pPr>
            <w:r>
              <w:rPr>
                <w:spacing w:val="-2"/>
              </w:rPr>
              <w:t>70.0%</w:t>
            </w:r>
          </w:p>
        </w:tc>
        <w:tc>
          <w:tcPr>
            <w:tcW w:w="1251" w:type="dxa"/>
            <w:vAlign w:val="top"/>
          </w:tcPr>
          <w:p w14:paraId="31F7B6E4">
            <w:pPr>
              <w:pStyle w:val="6"/>
              <w:spacing w:before="102" w:line="188" w:lineRule="auto"/>
              <w:ind w:left="354"/>
            </w:pPr>
            <w:r>
              <w:rPr>
                <w:spacing w:val="-1"/>
              </w:rPr>
              <w:t>40.0%</w:t>
            </w:r>
          </w:p>
        </w:tc>
        <w:tc>
          <w:tcPr>
            <w:tcW w:w="1251" w:type="dxa"/>
            <w:vAlign w:val="top"/>
          </w:tcPr>
          <w:p w14:paraId="727B3849">
            <w:pPr>
              <w:pStyle w:val="6"/>
              <w:spacing w:before="102" w:line="188" w:lineRule="auto"/>
              <w:ind w:left="361"/>
            </w:pPr>
            <w:r>
              <w:rPr>
                <w:spacing w:val="-2"/>
              </w:rPr>
              <w:t>30.0%</w:t>
            </w:r>
          </w:p>
        </w:tc>
        <w:tc>
          <w:tcPr>
            <w:tcW w:w="1259" w:type="dxa"/>
            <w:vAlign w:val="top"/>
          </w:tcPr>
          <w:p w14:paraId="71799DCE">
            <w:pPr>
              <w:pStyle w:val="6"/>
              <w:spacing w:before="102" w:line="188" w:lineRule="auto"/>
              <w:ind w:left="362"/>
            </w:pPr>
            <w:r>
              <w:rPr>
                <w:spacing w:val="-2"/>
              </w:rPr>
              <w:t>70.0%</w:t>
            </w:r>
          </w:p>
        </w:tc>
      </w:tr>
      <w:tr w14:paraId="7B3E5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continue"/>
            <w:tcBorders>
              <w:top w:val="nil"/>
            </w:tcBorders>
            <w:vAlign w:val="top"/>
          </w:tcPr>
          <w:p w14:paraId="4F55B230">
            <w:pPr>
              <w:rPr>
                <w:rFonts w:ascii="Arial"/>
                <w:sz w:val="21"/>
              </w:rPr>
            </w:pPr>
          </w:p>
        </w:tc>
        <w:tc>
          <w:tcPr>
            <w:tcW w:w="1024" w:type="dxa"/>
            <w:vAlign w:val="top"/>
          </w:tcPr>
          <w:p w14:paraId="56EA5187">
            <w:pPr>
              <w:spacing w:before="68"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063527CB">
            <w:pPr>
              <w:pStyle w:val="6"/>
              <w:spacing w:before="105" w:line="188" w:lineRule="auto"/>
              <w:ind w:left="473"/>
            </w:pPr>
            <w:r>
              <w:rPr>
                <w:spacing w:val="-5"/>
              </w:rPr>
              <w:t>842</w:t>
            </w:r>
          </w:p>
        </w:tc>
        <w:tc>
          <w:tcPr>
            <w:tcW w:w="1251" w:type="dxa"/>
            <w:vAlign w:val="top"/>
          </w:tcPr>
          <w:p w14:paraId="7F2A2B59">
            <w:pPr>
              <w:pStyle w:val="6"/>
              <w:spacing w:before="105" w:line="188" w:lineRule="auto"/>
              <w:ind w:left="466"/>
            </w:pPr>
            <w:r>
              <w:rPr>
                <w:spacing w:val="-2"/>
              </w:rPr>
              <w:t>428</w:t>
            </w:r>
          </w:p>
        </w:tc>
        <w:tc>
          <w:tcPr>
            <w:tcW w:w="1251" w:type="dxa"/>
            <w:vAlign w:val="top"/>
          </w:tcPr>
          <w:p w14:paraId="1282E892">
            <w:pPr>
              <w:pStyle w:val="6"/>
              <w:spacing w:before="105" w:line="188" w:lineRule="auto"/>
              <w:ind w:left="469"/>
            </w:pPr>
            <w:r>
              <w:rPr>
                <w:spacing w:val="-2"/>
              </w:rPr>
              <w:t>223</w:t>
            </w:r>
          </w:p>
        </w:tc>
        <w:tc>
          <w:tcPr>
            <w:tcW w:w="1251" w:type="dxa"/>
            <w:vAlign w:val="top"/>
          </w:tcPr>
          <w:p w14:paraId="29621690">
            <w:pPr>
              <w:pStyle w:val="6"/>
              <w:spacing w:before="105" w:line="188" w:lineRule="auto"/>
              <w:ind w:left="464"/>
            </w:pPr>
            <w:r>
              <w:rPr>
                <w:spacing w:val="-6"/>
              </w:rPr>
              <w:t>19.2</w:t>
            </w:r>
          </w:p>
        </w:tc>
        <w:tc>
          <w:tcPr>
            <w:tcW w:w="1259" w:type="dxa"/>
            <w:vAlign w:val="top"/>
          </w:tcPr>
          <w:p w14:paraId="135770EA">
            <w:pPr>
              <w:pStyle w:val="6"/>
              <w:spacing w:before="105" w:line="188" w:lineRule="auto"/>
              <w:ind w:left="533"/>
            </w:pPr>
            <w:r>
              <w:rPr>
                <w:spacing w:val="-7"/>
              </w:rPr>
              <w:t>84</w:t>
            </w:r>
          </w:p>
        </w:tc>
      </w:tr>
      <w:tr w14:paraId="00C00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restart"/>
            <w:tcBorders>
              <w:bottom w:val="nil"/>
            </w:tcBorders>
            <w:vAlign w:val="top"/>
          </w:tcPr>
          <w:p w14:paraId="428925E9">
            <w:pPr>
              <w:pStyle w:val="6"/>
              <w:spacing w:before="90" w:line="263" w:lineRule="auto"/>
              <w:ind w:left="419" w:right="8" w:hanging="404"/>
              <w:rPr>
                <w:rFonts w:ascii="宋体" w:hAnsi="宋体" w:eastAsia="宋体" w:cs="宋体"/>
              </w:rPr>
            </w:pPr>
            <w:r>
              <w:rPr>
                <w:rFonts w:ascii="宋体" w:hAnsi="宋体" w:eastAsia="宋体" w:cs="宋体"/>
                <w:spacing w:val="-5"/>
              </w:rPr>
              <w:t>二级</w:t>
            </w:r>
            <w:r>
              <w:rPr>
                <w:rFonts w:ascii="宋体" w:hAnsi="宋体" w:eastAsia="宋体" w:cs="宋体"/>
                <w:spacing w:val="-57"/>
              </w:rPr>
              <w:t xml:space="preserve"> </w:t>
            </w:r>
            <w:r>
              <w:rPr>
                <w:spacing w:val="-5"/>
              </w:rPr>
              <w:t xml:space="preserve">AO </w:t>
            </w:r>
            <w:r>
              <w:rPr>
                <w:rFonts w:ascii="宋体" w:hAnsi="宋体" w:eastAsia="宋体" w:cs="宋体"/>
                <w:spacing w:val="-5"/>
              </w:rPr>
              <w:t>系</w:t>
            </w:r>
            <w:r>
              <w:rPr>
                <w:rFonts w:ascii="宋体" w:hAnsi="宋体" w:eastAsia="宋体" w:cs="宋体"/>
              </w:rPr>
              <w:t>统</w:t>
            </w:r>
          </w:p>
        </w:tc>
        <w:tc>
          <w:tcPr>
            <w:tcW w:w="1024" w:type="dxa"/>
            <w:vAlign w:val="top"/>
          </w:tcPr>
          <w:p w14:paraId="22D1C821">
            <w:pPr>
              <w:spacing w:before="68"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0396846A">
            <w:pPr>
              <w:pStyle w:val="6"/>
              <w:spacing w:before="105" w:line="188" w:lineRule="auto"/>
              <w:ind w:left="355"/>
            </w:pPr>
            <w:r>
              <w:rPr>
                <w:spacing w:val="-2"/>
              </w:rPr>
              <w:t>60.0%</w:t>
            </w:r>
          </w:p>
        </w:tc>
        <w:tc>
          <w:tcPr>
            <w:tcW w:w="1251" w:type="dxa"/>
            <w:vAlign w:val="top"/>
          </w:tcPr>
          <w:p w14:paraId="595E745A">
            <w:pPr>
              <w:pStyle w:val="6"/>
              <w:spacing w:before="105" w:line="188" w:lineRule="auto"/>
              <w:ind w:left="357"/>
            </w:pPr>
            <w:r>
              <w:rPr>
                <w:spacing w:val="-2"/>
              </w:rPr>
              <w:t>70.0%</w:t>
            </w:r>
          </w:p>
        </w:tc>
        <w:tc>
          <w:tcPr>
            <w:tcW w:w="1251" w:type="dxa"/>
            <w:vAlign w:val="top"/>
          </w:tcPr>
          <w:p w14:paraId="49AD7FD9">
            <w:pPr>
              <w:pStyle w:val="6"/>
              <w:spacing w:before="105" w:line="188" w:lineRule="auto"/>
              <w:ind w:left="359"/>
            </w:pPr>
            <w:r>
              <w:rPr>
                <w:spacing w:val="-2"/>
              </w:rPr>
              <w:t>90.0%</w:t>
            </w:r>
          </w:p>
        </w:tc>
        <w:tc>
          <w:tcPr>
            <w:tcW w:w="1251" w:type="dxa"/>
            <w:vAlign w:val="top"/>
          </w:tcPr>
          <w:p w14:paraId="1782DE8E">
            <w:pPr>
              <w:pStyle w:val="6"/>
              <w:spacing w:before="105" w:line="188" w:lineRule="auto"/>
              <w:ind w:left="377"/>
            </w:pPr>
            <w:r>
              <w:rPr>
                <w:spacing w:val="-5"/>
              </w:rPr>
              <w:t>10.0%</w:t>
            </w:r>
          </w:p>
        </w:tc>
        <w:tc>
          <w:tcPr>
            <w:tcW w:w="1259" w:type="dxa"/>
            <w:vAlign w:val="top"/>
          </w:tcPr>
          <w:p w14:paraId="13E7C5BE">
            <w:pPr>
              <w:pStyle w:val="6"/>
              <w:spacing w:before="105" w:line="188" w:lineRule="auto"/>
              <w:ind w:left="363"/>
            </w:pPr>
            <w:r>
              <w:rPr>
                <w:spacing w:val="-2"/>
              </w:rPr>
              <w:t>65.0%</w:t>
            </w:r>
          </w:p>
        </w:tc>
      </w:tr>
      <w:tr w14:paraId="42277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continue"/>
            <w:tcBorders>
              <w:top w:val="nil"/>
            </w:tcBorders>
            <w:vAlign w:val="top"/>
          </w:tcPr>
          <w:p w14:paraId="78A8CF39">
            <w:pPr>
              <w:rPr>
                <w:rFonts w:ascii="Arial"/>
                <w:sz w:val="21"/>
              </w:rPr>
            </w:pPr>
          </w:p>
        </w:tc>
        <w:tc>
          <w:tcPr>
            <w:tcW w:w="1024" w:type="dxa"/>
            <w:vAlign w:val="top"/>
          </w:tcPr>
          <w:p w14:paraId="0FA2DEAB">
            <w:pPr>
              <w:spacing w:before="68"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7A2D0951">
            <w:pPr>
              <w:pStyle w:val="6"/>
              <w:spacing w:before="105" w:line="188" w:lineRule="auto"/>
              <w:ind w:left="468"/>
            </w:pPr>
            <w:r>
              <w:rPr>
                <w:spacing w:val="-3"/>
              </w:rPr>
              <w:t>337</w:t>
            </w:r>
          </w:p>
        </w:tc>
        <w:tc>
          <w:tcPr>
            <w:tcW w:w="1251" w:type="dxa"/>
            <w:vAlign w:val="top"/>
          </w:tcPr>
          <w:p w14:paraId="17EEFA25">
            <w:pPr>
              <w:pStyle w:val="6"/>
              <w:spacing w:before="105" w:line="188" w:lineRule="auto"/>
              <w:ind w:left="408"/>
            </w:pPr>
            <w:r>
              <w:rPr>
                <w:spacing w:val="-5"/>
              </w:rPr>
              <w:t>128.5</w:t>
            </w:r>
          </w:p>
        </w:tc>
        <w:tc>
          <w:tcPr>
            <w:tcW w:w="1251" w:type="dxa"/>
            <w:vAlign w:val="top"/>
          </w:tcPr>
          <w:p w14:paraId="5CF33D78">
            <w:pPr>
              <w:pStyle w:val="6"/>
              <w:spacing w:before="105" w:line="188" w:lineRule="auto"/>
              <w:ind w:left="443"/>
            </w:pPr>
            <w:r>
              <w:rPr>
                <w:spacing w:val="-1"/>
              </w:rPr>
              <w:t>22.3</w:t>
            </w:r>
          </w:p>
        </w:tc>
        <w:tc>
          <w:tcPr>
            <w:tcW w:w="1251" w:type="dxa"/>
            <w:vAlign w:val="top"/>
          </w:tcPr>
          <w:p w14:paraId="1016F466">
            <w:pPr>
              <w:pStyle w:val="6"/>
              <w:spacing w:before="105" w:line="188" w:lineRule="auto"/>
              <w:ind w:left="465"/>
            </w:pPr>
            <w:r>
              <w:rPr>
                <w:spacing w:val="-6"/>
              </w:rPr>
              <w:t>17.3</w:t>
            </w:r>
          </w:p>
        </w:tc>
        <w:tc>
          <w:tcPr>
            <w:tcW w:w="1259" w:type="dxa"/>
            <w:vAlign w:val="top"/>
          </w:tcPr>
          <w:p w14:paraId="585A99C5">
            <w:pPr>
              <w:pStyle w:val="6"/>
              <w:spacing w:before="105" w:line="188" w:lineRule="auto"/>
              <w:ind w:left="446"/>
            </w:pPr>
            <w:r>
              <w:rPr>
                <w:spacing w:val="-1"/>
              </w:rPr>
              <w:t>29.4</w:t>
            </w:r>
          </w:p>
        </w:tc>
      </w:tr>
      <w:tr w14:paraId="00489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restart"/>
            <w:tcBorders>
              <w:bottom w:val="nil"/>
            </w:tcBorders>
            <w:vAlign w:val="top"/>
          </w:tcPr>
          <w:p w14:paraId="72E126AE">
            <w:pPr>
              <w:spacing w:before="247" w:line="221" w:lineRule="auto"/>
              <w:ind w:left="101"/>
              <w:rPr>
                <w:rFonts w:ascii="宋体" w:hAnsi="宋体" w:eastAsia="宋体" w:cs="宋体"/>
                <w:sz w:val="21"/>
                <w:szCs w:val="21"/>
              </w:rPr>
            </w:pPr>
            <w:r>
              <w:rPr>
                <w:rFonts w:ascii="宋体" w:hAnsi="宋体" w:eastAsia="宋体" w:cs="宋体"/>
                <w:spacing w:val="-2"/>
                <w:sz w:val="21"/>
                <w:szCs w:val="21"/>
              </w:rPr>
              <w:t>物化系统</w:t>
            </w:r>
          </w:p>
        </w:tc>
        <w:tc>
          <w:tcPr>
            <w:tcW w:w="1024" w:type="dxa"/>
            <w:vAlign w:val="top"/>
          </w:tcPr>
          <w:p w14:paraId="6EC498FF">
            <w:pPr>
              <w:spacing w:before="69"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49AB01C4">
            <w:pPr>
              <w:pStyle w:val="6"/>
              <w:spacing w:before="106" w:line="188" w:lineRule="auto"/>
              <w:ind w:left="356"/>
            </w:pPr>
            <w:r>
              <w:rPr>
                <w:spacing w:val="-2"/>
              </w:rPr>
              <w:t>50.0%</w:t>
            </w:r>
          </w:p>
        </w:tc>
        <w:tc>
          <w:tcPr>
            <w:tcW w:w="1251" w:type="dxa"/>
            <w:vAlign w:val="top"/>
          </w:tcPr>
          <w:p w14:paraId="4BE5A485">
            <w:pPr>
              <w:pStyle w:val="6"/>
              <w:spacing w:before="106" w:line="188" w:lineRule="auto"/>
              <w:ind w:left="352"/>
            </w:pPr>
            <w:r>
              <w:rPr>
                <w:spacing w:val="-1"/>
              </w:rPr>
              <w:t>40.0%</w:t>
            </w:r>
          </w:p>
        </w:tc>
        <w:tc>
          <w:tcPr>
            <w:tcW w:w="1251" w:type="dxa"/>
            <w:vAlign w:val="top"/>
          </w:tcPr>
          <w:p w14:paraId="34C9ED0E">
            <w:pPr>
              <w:pStyle w:val="6"/>
              <w:spacing w:before="106" w:line="188" w:lineRule="auto"/>
              <w:ind w:left="577"/>
            </w:pPr>
            <w:r>
              <w:t>0</w:t>
            </w:r>
          </w:p>
        </w:tc>
        <w:tc>
          <w:tcPr>
            <w:tcW w:w="1251" w:type="dxa"/>
            <w:vAlign w:val="top"/>
          </w:tcPr>
          <w:p w14:paraId="0C386B05">
            <w:pPr>
              <w:pStyle w:val="6"/>
              <w:spacing w:before="106" w:line="188" w:lineRule="auto"/>
              <w:ind w:left="360"/>
            </w:pPr>
            <w:r>
              <w:rPr>
                <w:spacing w:val="-2"/>
              </w:rPr>
              <w:t>70.0%</w:t>
            </w:r>
          </w:p>
        </w:tc>
        <w:tc>
          <w:tcPr>
            <w:tcW w:w="1259" w:type="dxa"/>
            <w:vAlign w:val="top"/>
          </w:tcPr>
          <w:p w14:paraId="4E786145">
            <w:pPr>
              <w:pStyle w:val="6"/>
              <w:spacing w:before="106" w:line="188" w:lineRule="auto"/>
              <w:ind w:left="362"/>
            </w:pPr>
            <w:r>
              <w:rPr>
                <w:spacing w:val="-2"/>
              </w:rPr>
              <w:t>70.0%</w:t>
            </w:r>
          </w:p>
        </w:tc>
      </w:tr>
      <w:tr w14:paraId="45CD9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continue"/>
            <w:tcBorders>
              <w:top w:val="nil"/>
            </w:tcBorders>
            <w:vAlign w:val="top"/>
          </w:tcPr>
          <w:p w14:paraId="3F9645E5">
            <w:pPr>
              <w:rPr>
                <w:rFonts w:ascii="Arial"/>
                <w:sz w:val="21"/>
              </w:rPr>
            </w:pPr>
          </w:p>
        </w:tc>
        <w:tc>
          <w:tcPr>
            <w:tcW w:w="1024" w:type="dxa"/>
            <w:vAlign w:val="top"/>
          </w:tcPr>
          <w:p w14:paraId="7EB060F1">
            <w:pPr>
              <w:spacing w:before="69"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2551E091">
            <w:pPr>
              <w:pStyle w:val="6"/>
              <w:spacing w:before="106" w:line="188" w:lineRule="auto"/>
              <w:ind w:left="405"/>
            </w:pPr>
            <w:r>
              <w:rPr>
                <w:spacing w:val="-5"/>
              </w:rPr>
              <w:t>168.5</w:t>
            </w:r>
          </w:p>
        </w:tc>
        <w:tc>
          <w:tcPr>
            <w:tcW w:w="1251" w:type="dxa"/>
            <w:vAlign w:val="top"/>
          </w:tcPr>
          <w:p w14:paraId="32E8B19A">
            <w:pPr>
              <w:pStyle w:val="6"/>
              <w:spacing w:before="109" w:line="185" w:lineRule="auto"/>
              <w:ind w:left="521"/>
            </w:pPr>
            <w:r>
              <w:rPr>
                <w:spacing w:val="-4"/>
              </w:rPr>
              <w:t>77</w:t>
            </w:r>
          </w:p>
        </w:tc>
        <w:tc>
          <w:tcPr>
            <w:tcW w:w="1251" w:type="dxa"/>
            <w:vAlign w:val="top"/>
          </w:tcPr>
          <w:p w14:paraId="33A33DA0">
            <w:pPr>
              <w:pStyle w:val="6"/>
              <w:spacing w:before="106" w:line="188" w:lineRule="auto"/>
              <w:ind w:left="442"/>
            </w:pPr>
            <w:r>
              <w:rPr>
                <w:spacing w:val="-1"/>
              </w:rPr>
              <w:t>22.3</w:t>
            </w:r>
          </w:p>
        </w:tc>
        <w:tc>
          <w:tcPr>
            <w:tcW w:w="1251" w:type="dxa"/>
            <w:vAlign w:val="top"/>
          </w:tcPr>
          <w:p w14:paraId="55C47DEA">
            <w:pPr>
              <w:pStyle w:val="6"/>
              <w:spacing w:before="106" w:line="188" w:lineRule="auto"/>
              <w:ind w:left="501"/>
            </w:pPr>
            <w:r>
              <w:rPr>
                <w:spacing w:val="-4"/>
              </w:rPr>
              <w:t>5.2</w:t>
            </w:r>
          </w:p>
        </w:tc>
        <w:tc>
          <w:tcPr>
            <w:tcW w:w="1259" w:type="dxa"/>
            <w:vAlign w:val="top"/>
          </w:tcPr>
          <w:p w14:paraId="751A92A8">
            <w:pPr>
              <w:pStyle w:val="6"/>
              <w:spacing w:before="106" w:line="188" w:lineRule="auto"/>
              <w:ind w:left="506"/>
            </w:pPr>
            <w:r>
              <w:rPr>
                <w:spacing w:val="-4"/>
              </w:rPr>
              <w:t>8.8</w:t>
            </w:r>
          </w:p>
        </w:tc>
      </w:tr>
      <w:tr w14:paraId="0C6AE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063" w:type="dxa"/>
            <w:gridSpan w:val="2"/>
            <w:vAlign w:val="top"/>
          </w:tcPr>
          <w:p w14:paraId="63586848">
            <w:pPr>
              <w:spacing w:before="71" w:line="220" w:lineRule="auto"/>
              <w:ind w:left="631"/>
              <w:rPr>
                <w:rFonts w:ascii="宋体" w:hAnsi="宋体" w:eastAsia="宋体" w:cs="宋体"/>
                <w:sz w:val="21"/>
                <w:szCs w:val="21"/>
              </w:rPr>
            </w:pPr>
            <w:r>
              <w:rPr>
                <w:rFonts w:ascii="宋体" w:hAnsi="宋体" w:eastAsia="宋体" w:cs="宋体"/>
                <w:spacing w:val="-5"/>
                <w:sz w:val="21"/>
                <w:szCs w:val="21"/>
              </w:rPr>
              <w:t>出水标准</w:t>
            </w:r>
          </w:p>
        </w:tc>
        <w:tc>
          <w:tcPr>
            <w:tcW w:w="1251" w:type="dxa"/>
            <w:vAlign w:val="top"/>
          </w:tcPr>
          <w:p w14:paraId="56C104CF">
            <w:pPr>
              <w:pStyle w:val="6"/>
              <w:spacing w:before="108" w:line="188" w:lineRule="auto"/>
              <w:ind w:left="464"/>
            </w:pPr>
            <w:r>
              <w:rPr>
                <w:spacing w:val="-2"/>
              </w:rPr>
              <w:t>200</w:t>
            </w:r>
          </w:p>
        </w:tc>
        <w:tc>
          <w:tcPr>
            <w:tcW w:w="1251" w:type="dxa"/>
            <w:vAlign w:val="top"/>
          </w:tcPr>
          <w:p w14:paraId="0743A78A">
            <w:pPr>
              <w:pStyle w:val="6"/>
              <w:spacing w:before="108" w:line="188" w:lineRule="auto"/>
              <w:ind w:left="487"/>
            </w:pPr>
            <w:r>
              <w:rPr>
                <w:spacing w:val="-9"/>
              </w:rPr>
              <w:t>100</w:t>
            </w:r>
          </w:p>
        </w:tc>
        <w:tc>
          <w:tcPr>
            <w:tcW w:w="1251" w:type="dxa"/>
            <w:vAlign w:val="top"/>
          </w:tcPr>
          <w:p w14:paraId="261BAF7F">
            <w:pPr>
              <w:pStyle w:val="6"/>
              <w:spacing w:before="108" w:line="188" w:lineRule="auto"/>
              <w:ind w:left="529"/>
            </w:pPr>
            <w:r>
              <w:rPr>
                <w:spacing w:val="-7"/>
              </w:rPr>
              <w:t>80</w:t>
            </w:r>
          </w:p>
        </w:tc>
        <w:tc>
          <w:tcPr>
            <w:tcW w:w="1251" w:type="dxa"/>
            <w:vAlign w:val="top"/>
          </w:tcPr>
          <w:p w14:paraId="05C3B9FA">
            <w:pPr>
              <w:pStyle w:val="6"/>
              <w:spacing w:before="108" w:line="188" w:lineRule="auto"/>
              <w:ind w:left="583"/>
            </w:pPr>
            <w:r>
              <w:t>8</w:t>
            </w:r>
          </w:p>
        </w:tc>
        <w:tc>
          <w:tcPr>
            <w:tcW w:w="1259" w:type="dxa"/>
            <w:vAlign w:val="top"/>
          </w:tcPr>
          <w:p w14:paraId="3719718E">
            <w:pPr>
              <w:pStyle w:val="6"/>
              <w:spacing w:before="108" w:line="188" w:lineRule="auto"/>
              <w:ind w:left="493"/>
            </w:pPr>
            <w:r>
              <w:rPr>
                <w:spacing w:val="-9"/>
              </w:rPr>
              <w:t>100</w:t>
            </w:r>
          </w:p>
        </w:tc>
      </w:tr>
    </w:tbl>
    <w:p w14:paraId="4C7A2300">
      <w:pPr>
        <w:spacing w:before="235" w:line="355" w:lineRule="auto"/>
        <w:ind w:left="45" w:right="74" w:firstLine="502"/>
        <w:rPr>
          <w:rFonts w:ascii="宋体" w:hAnsi="宋体" w:eastAsia="宋体" w:cs="宋体"/>
          <w:sz w:val="24"/>
          <w:szCs w:val="24"/>
        </w:rPr>
      </w:pPr>
      <w:r>
        <w:rPr>
          <w:rFonts w:ascii="宋体" w:hAnsi="宋体" w:eastAsia="宋体" w:cs="宋体"/>
          <w:spacing w:val="11"/>
          <w:sz w:val="24"/>
          <w:szCs w:val="24"/>
        </w:rPr>
        <w:t>由上表可见，污水处理站设计出水水质能够满足《农田灌溉水质标</w:t>
      </w:r>
      <w:r>
        <w:rPr>
          <w:rFonts w:ascii="宋体" w:hAnsi="宋体" w:eastAsia="宋体" w:cs="宋体"/>
          <w:spacing w:val="10"/>
          <w:sz w:val="24"/>
          <w:szCs w:val="24"/>
        </w:rPr>
        <w:t>准》</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GB5084-2021</w:t>
      </w:r>
      <w:r>
        <w:rPr>
          <w:rFonts w:ascii="宋体" w:hAnsi="宋体" w:eastAsia="宋体" w:cs="宋体"/>
          <w:spacing w:val="-3"/>
          <w:sz w:val="24"/>
          <w:szCs w:val="24"/>
        </w:rPr>
        <w:t>）旱地作物标准要求。</w:t>
      </w:r>
    </w:p>
    <w:p w14:paraId="605DB1AA">
      <w:pPr>
        <w:spacing w:line="355" w:lineRule="auto"/>
        <w:rPr>
          <w:rFonts w:ascii="宋体" w:hAnsi="宋体" w:eastAsia="宋体" w:cs="宋体"/>
          <w:sz w:val="24"/>
          <w:szCs w:val="24"/>
        </w:rPr>
        <w:sectPr>
          <w:headerReference r:id="rId327" w:type="default"/>
          <w:footerReference r:id="rId328" w:type="default"/>
          <w:pgSz w:w="11905" w:h="16840"/>
          <w:pgMar w:top="1168" w:right="1730" w:bottom="1409" w:left="1770" w:header="828" w:footer="1244" w:gutter="0"/>
          <w:cols w:space="720" w:num="1"/>
        </w:sectPr>
      </w:pPr>
    </w:p>
    <w:p w14:paraId="2D3ED9E3">
      <w:pPr>
        <w:pStyle w:val="2"/>
        <w:spacing w:line="306" w:lineRule="auto"/>
      </w:pPr>
    </w:p>
    <w:p w14:paraId="046CE3E0">
      <w:pPr>
        <w:spacing w:before="78" w:line="217" w:lineRule="auto"/>
        <w:ind w:left="519"/>
        <w:rPr>
          <w:rFonts w:ascii="宋体" w:hAnsi="宋体" w:eastAsia="宋体" w:cs="宋体"/>
          <w:sz w:val="24"/>
          <w:szCs w:val="24"/>
        </w:rPr>
      </w:pPr>
      <w:r>
        <w:rPr>
          <w:rFonts w:ascii="宋体" w:hAnsi="宋体" w:eastAsia="宋体" w:cs="宋体"/>
          <w:b/>
          <w:bCs/>
          <w:spacing w:val="-2"/>
          <w:sz w:val="24"/>
          <w:szCs w:val="24"/>
        </w:rPr>
        <w:t>④书房村生猪规模化养殖场竣工环保验收监测类比分析</w:t>
      </w:r>
    </w:p>
    <w:p w14:paraId="503782E0">
      <w:pPr>
        <w:spacing w:before="185" w:line="360" w:lineRule="auto"/>
        <w:ind w:left="43" w:firstLine="480"/>
        <w:jc w:val="both"/>
        <w:rPr>
          <w:rFonts w:ascii="宋体" w:hAnsi="宋体" w:eastAsia="宋体" w:cs="宋体"/>
          <w:sz w:val="24"/>
          <w:szCs w:val="24"/>
        </w:rPr>
      </w:pPr>
      <w:r>
        <w:rPr>
          <w:rFonts w:ascii="宋体" w:hAnsi="宋体" w:eastAsia="宋体" w:cs="宋体"/>
          <w:spacing w:val="4"/>
          <w:sz w:val="24"/>
          <w:szCs w:val="24"/>
        </w:rPr>
        <w:t>书房村生猪规模化养殖场为集团公司在内江市东兴区双桥镇建设的育肥场</w:t>
      </w:r>
      <w:r>
        <w:rPr>
          <w:rFonts w:ascii="宋体" w:hAnsi="宋体" w:eastAsia="宋体" w:cs="宋体"/>
          <w:spacing w:val="1"/>
          <w:sz w:val="24"/>
          <w:szCs w:val="24"/>
        </w:rPr>
        <w:t>项目，设计年存栏保育猪</w:t>
      </w:r>
      <w:r>
        <w:rPr>
          <w:rFonts w:ascii="Times New Roman" w:hAnsi="Times New Roman" w:eastAsia="Times New Roman" w:cs="Times New Roman"/>
          <w:spacing w:val="1"/>
          <w:sz w:val="24"/>
          <w:szCs w:val="24"/>
        </w:rPr>
        <w:t>8800</w:t>
      </w:r>
      <w:r>
        <w:rPr>
          <w:rFonts w:ascii="宋体" w:hAnsi="宋体" w:eastAsia="宋体" w:cs="宋体"/>
          <w:spacing w:val="1"/>
          <w:sz w:val="24"/>
          <w:szCs w:val="24"/>
        </w:rPr>
        <w:t>头、存栏育肥猪</w:t>
      </w:r>
      <w:r>
        <w:rPr>
          <w:rFonts w:ascii="Times New Roman" w:hAnsi="Times New Roman" w:eastAsia="Times New Roman" w:cs="Times New Roman"/>
          <w:spacing w:val="1"/>
          <w:sz w:val="24"/>
          <w:szCs w:val="24"/>
        </w:rPr>
        <w:t>16800</w:t>
      </w:r>
      <w:r>
        <w:rPr>
          <w:rFonts w:ascii="宋体" w:hAnsi="宋体" w:eastAsia="宋体" w:cs="宋体"/>
          <w:spacing w:val="1"/>
          <w:sz w:val="24"/>
          <w:szCs w:val="24"/>
        </w:rPr>
        <w:t>头，年出栏育肥猪</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5</w:t>
      </w:r>
      <w:r>
        <w:rPr>
          <w:rFonts w:ascii="宋体" w:hAnsi="宋体" w:eastAsia="宋体" w:cs="宋体"/>
          <w:sz w:val="24"/>
          <w:szCs w:val="24"/>
        </w:rPr>
        <w:t>万头。该育肥场于</w:t>
      </w:r>
      <w:r>
        <w:rPr>
          <w:rFonts w:ascii="Times New Roman" w:hAnsi="Times New Roman" w:eastAsia="Times New Roman" w:cs="Times New Roman"/>
          <w:sz w:val="24"/>
          <w:szCs w:val="24"/>
        </w:rPr>
        <w:t>2022</w:t>
      </w:r>
      <w:r>
        <w:rPr>
          <w:rFonts w:ascii="宋体" w:hAnsi="宋体" w:eastAsia="宋体" w:cs="宋体"/>
          <w:sz w:val="24"/>
          <w:szCs w:val="24"/>
        </w:rPr>
        <w:t>年</w:t>
      </w:r>
      <w:r>
        <w:rPr>
          <w:rFonts w:ascii="Times New Roman" w:hAnsi="Times New Roman" w:eastAsia="Times New Roman" w:cs="Times New Roman"/>
          <w:sz w:val="24"/>
          <w:szCs w:val="24"/>
        </w:rPr>
        <w:t>12</w:t>
      </w:r>
      <w:r>
        <w:rPr>
          <w:rFonts w:ascii="宋体" w:hAnsi="宋体" w:eastAsia="宋体" w:cs="宋体"/>
          <w:sz w:val="24"/>
          <w:szCs w:val="24"/>
        </w:rPr>
        <w:t>月建成并进入调试阶段，</w:t>
      </w:r>
      <w:r>
        <w:rPr>
          <w:rFonts w:ascii="Times New Roman" w:hAnsi="Times New Roman" w:eastAsia="Times New Roman" w:cs="Times New Roman"/>
          <w:sz w:val="24"/>
          <w:szCs w:val="24"/>
        </w:rPr>
        <w:t>2023</w:t>
      </w:r>
      <w:r>
        <w:rPr>
          <w:rFonts w:ascii="宋体" w:hAnsi="宋体" w:eastAsia="宋体" w:cs="宋体"/>
          <w:sz w:val="24"/>
          <w:szCs w:val="24"/>
        </w:rPr>
        <w:t>年</w:t>
      </w:r>
      <w:r>
        <w:rPr>
          <w:rFonts w:ascii="Times New Roman" w:hAnsi="Times New Roman" w:eastAsia="Times New Roman" w:cs="Times New Roman"/>
          <w:sz w:val="24"/>
          <w:szCs w:val="24"/>
        </w:rPr>
        <w:t>2</w:t>
      </w:r>
      <w:r>
        <w:rPr>
          <w:rFonts w:ascii="宋体" w:hAnsi="宋体" w:eastAsia="宋体" w:cs="宋体"/>
          <w:sz w:val="24"/>
          <w:szCs w:val="24"/>
        </w:rPr>
        <w:t>月进行了自主竣工环保验</w:t>
      </w:r>
      <w:r>
        <w:rPr>
          <w:rFonts w:ascii="宋体" w:hAnsi="宋体" w:eastAsia="宋体" w:cs="宋体"/>
          <w:spacing w:val="-12"/>
          <w:sz w:val="24"/>
          <w:szCs w:val="24"/>
        </w:rPr>
        <w:t>收。</w:t>
      </w:r>
    </w:p>
    <w:p w14:paraId="60FA2A30">
      <w:pPr>
        <w:spacing w:line="360" w:lineRule="auto"/>
        <w:ind w:left="37" w:right="85" w:firstLine="486"/>
        <w:jc w:val="both"/>
        <w:rPr>
          <w:rFonts w:ascii="宋体" w:hAnsi="宋体" w:eastAsia="宋体" w:cs="宋体"/>
          <w:sz w:val="24"/>
          <w:szCs w:val="24"/>
        </w:rPr>
      </w:pPr>
      <w:r>
        <w:rPr>
          <w:rFonts w:ascii="宋体" w:hAnsi="宋体" w:eastAsia="宋体" w:cs="宋体"/>
          <w:spacing w:val="-3"/>
          <w:sz w:val="24"/>
          <w:szCs w:val="24"/>
        </w:rPr>
        <w:t>书房村生猪规模化养殖场采用的养殖工艺、清粪工艺</w:t>
      </w:r>
      <w:r>
        <w:rPr>
          <w:rFonts w:ascii="宋体" w:hAnsi="宋体" w:eastAsia="宋体" w:cs="宋体"/>
          <w:spacing w:val="-4"/>
          <w:sz w:val="24"/>
          <w:szCs w:val="24"/>
        </w:rPr>
        <w:t>均与本项目一致，其设</w:t>
      </w:r>
      <w:r>
        <w:rPr>
          <w:rFonts w:ascii="宋体" w:hAnsi="宋体" w:eastAsia="宋体" w:cs="宋体"/>
          <w:sz w:val="24"/>
          <w:szCs w:val="24"/>
        </w:rPr>
        <w:t>置</w:t>
      </w:r>
      <w:r>
        <w:rPr>
          <w:rFonts w:ascii="Times New Roman" w:hAnsi="Times New Roman" w:eastAsia="Times New Roman" w:cs="Times New Roman"/>
          <w:sz w:val="24"/>
          <w:szCs w:val="24"/>
        </w:rPr>
        <w:t>1</w:t>
      </w:r>
      <w:r>
        <w:rPr>
          <w:rFonts w:ascii="宋体" w:hAnsi="宋体" w:eastAsia="宋体" w:cs="宋体"/>
          <w:sz w:val="24"/>
          <w:szCs w:val="24"/>
        </w:rPr>
        <w:t>座污水处理站，处理能力</w:t>
      </w:r>
      <w:r>
        <w:rPr>
          <w:rFonts w:ascii="Times New Roman" w:hAnsi="Times New Roman" w:eastAsia="Times New Roman" w:cs="Times New Roman"/>
          <w:sz w:val="24"/>
          <w:szCs w:val="24"/>
        </w:rPr>
        <w:t>200m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，设计采用</w:t>
      </w:r>
      <w:r>
        <w:rPr>
          <w:rFonts w:ascii="宋体" w:hAnsi="宋体" w:eastAsia="宋体" w:cs="宋体"/>
          <w:spacing w:val="-89"/>
          <w:sz w:val="24"/>
          <w:szCs w:val="24"/>
        </w:rPr>
        <w:t xml:space="preserve"> </w:t>
      </w:r>
      <w:r>
        <w:rPr>
          <w:rFonts w:ascii="Times New Roman" w:hAnsi="Times New Roman" w:eastAsia="Times New Roman" w:cs="Times New Roman"/>
          <w:sz w:val="24"/>
          <w:szCs w:val="24"/>
        </w:rPr>
        <w:t>“</w:t>
      </w:r>
      <w:r>
        <w:rPr>
          <w:rFonts w:ascii="宋体" w:hAnsi="宋体" w:eastAsia="宋体" w:cs="宋体"/>
          <w:sz w:val="24"/>
          <w:szCs w:val="24"/>
        </w:rPr>
        <w:t>粪污收集池</w:t>
      </w:r>
      <w:r>
        <w:rPr>
          <w:rFonts w:ascii="Times New Roman" w:hAnsi="Times New Roman" w:eastAsia="Times New Roman" w:cs="Times New Roman"/>
          <w:sz w:val="24"/>
          <w:szCs w:val="24"/>
        </w:rPr>
        <w:t>+</w:t>
      </w:r>
      <w:r>
        <w:rPr>
          <w:rFonts w:ascii="宋体" w:hAnsi="宋体" w:eastAsia="宋体" w:cs="宋体"/>
          <w:sz w:val="24"/>
          <w:szCs w:val="24"/>
        </w:rPr>
        <w:t>一级固液分离</w:t>
      </w:r>
      <w:r>
        <w:rPr>
          <w:rFonts w:ascii="Times New Roman" w:hAnsi="Times New Roman" w:eastAsia="Times New Roman" w:cs="Times New Roman"/>
          <w:sz w:val="24"/>
          <w:szCs w:val="24"/>
        </w:rPr>
        <w:t>+</w:t>
      </w:r>
      <w:r>
        <w:rPr>
          <w:rFonts w:ascii="宋体" w:hAnsi="宋体" w:eastAsia="宋体" w:cs="宋体"/>
          <w:sz w:val="24"/>
          <w:szCs w:val="24"/>
        </w:rPr>
        <w:t>二</w:t>
      </w:r>
      <w:r>
        <w:rPr>
          <w:rFonts w:ascii="宋体" w:hAnsi="宋体" w:eastAsia="宋体" w:cs="宋体"/>
          <w:spacing w:val="1"/>
          <w:sz w:val="24"/>
          <w:szCs w:val="24"/>
        </w:rPr>
        <w:t>级固液分离</w:t>
      </w:r>
      <w:r>
        <w:rPr>
          <w:rFonts w:ascii="Times New Roman" w:hAnsi="Times New Roman" w:eastAsia="Times New Roman" w:cs="Times New Roman"/>
          <w:spacing w:val="1"/>
          <w:sz w:val="24"/>
          <w:szCs w:val="24"/>
        </w:rPr>
        <w:t>+</w:t>
      </w:r>
      <w:r>
        <w:rPr>
          <w:rFonts w:ascii="宋体" w:hAnsi="宋体" w:eastAsia="宋体" w:cs="宋体"/>
          <w:spacing w:val="1"/>
          <w:sz w:val="24"/>
          <w:szCs w:val="24"/>
        </w:rPr>
        <w:t>黑膜沼气池</w:t>
      </w:r>
      <w:r>
        <w:rPr>
          <w:rFonts w:ascii="Times New Roman" w:hAnsi="Times New Roman" w:eastAsia="Times New Roman" w:cs="Times New Roman"/>
          <w:spacing w:val="1"/>
          <w:sz w:val="24"/>
          <w:szCs w:val="24"/>
        </w:rPr>
        <w:t>+</w:t>
      </w:r>
      <w:r>
        <w:rPr>
          <w:rFonts w:ascii="宋体" w:hAnsi="宋体" w:eastAsia="宋体" w:cs="宋体"/>
          <w:spacing w:val="1"/>
          <w:sz w:val="24"/>
          <w:szCs w:val="24"/>
        </w:rPr>
        <w:t>微生物曝氧塘</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2"/>
          <w:sz w:val="24"/>
          <w:szCs w:val="24"/>
        </w:rPr>
        <w:t>二级缺氧池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二级好氧池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物化系统</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污水处理工艺，与本</w:t>
      </w:r>
      <w:r>
        <w:rPr>
          <w:rFonts w:ascii="宋体" w:hAnsi="宋体" w:eastAsia="宋体" w:cs="宋体"/>
          <w:spacing w:val="-3"/>
          <w:sz w:val="24"/>
          <w:szCs w:val="24"/>
        </w:rPr>
        <w:t>项目污水处理设计工艺基本一致，评价参照书房村生猪规模化养殖场竣工环保验收监测数据分析污水处理可行性。</w:t>
      </w:r>
    </w:p>
    <w:p w14:paraId="42A9BBF3">
      <w:pPr>
        <w:spacing w:before="5" w:line="360" w:lineRule="auto"/>
        <w:ind w:left="38" w:right="85" w:firstLine="503"/>
        <w:jc w:val="both"/>
        <w:rPr>
          <w:rFonts w:ascii="宋体" w:hAnsi="宋体" w:eastAsia="宋体" w:cs="宋体"/>
          <w:sz w:val="24"/>
          <w:szCs w:val="24"/>
        </w:rPr>
      </w:pPr>
      <w:r>
        <w:rPr>
          <w:rFonts w:ascii="宋体" w:hAnsi="宋体" w:eastAsia="宋体" w:cs="宋体"/>
          <w:sz w:val="24"/>
          <w:szCs w:val="24"/>
        </w:rPr>
        <w:t>四川瑞兴环保检测有限公司于</w:t>
      </w:r>
      <w:r>
        <w:rPr>
          <w:rFonts w:ascii="Times New Roman" w:hAnsi="Times New Roman" w:eastAsia="Times New Roman" w:cs="Times New Roman"/>
          <w:sz w:val="24"/>
          <w:szCs w:val="24"/>
        </w:rPr>
        <w:t>2022</w:t>
      </w:r>
      <w:r>
        <w:rPr>
          <w:rFonts w:ascii="宋体" w:hAnsi="宋体" w:eastAsia="宋体" w:cs="宋体"/>
          <w:sz w:val="24"/>
          <w:szCs w:val="24"/>
        </w:rPr>
        <w:t>年</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2</w:t>
      </w:r>
      <w:r>
        <w:rPr>
          <w:rFonts w:ascii="宋体" w:hAnsi="宋体" w:eastAsia="宋体" w:cs="宋体"/>
          <w:spacing w:val="-1"/>
          <w:sz w:val="24"/>
          <w:szCs w:val="24"/>
        </w:rPr>
        <w:t>月</w:t>
      </w:r>
      <w:r>
        <w:rPr>
          <w:rFonts w:ascii="Times New Roman" w:hAnsi="Times New Roman" w:eastAsia="Times New Roman" w:cs="Times New Roman"/>
          <w:spacing w:val="-1"/>
          <w:sz w:val="24"/>
          <w:szCs w:val="24"/>
        </w:rPr>
        <w:t>12~13</w:t>
      </w:r>
      <w:r>
        <w:rPr>
          <w:rFonts w:ascii="宋体" w:hAnsi="宋体" w:eastAsia="宋体" w:cs="宋体"/>
          <w:spacing w:val="-1"/>
          <w:sz w:val="24"/>
          <w:szCs w:val="24"/>
        </w:rPr>
        <w:t>日对书房村生猪规模化养殖</w:t>
      </w:r>
      <w:r>
        <w:rPr>
          <w:rFonts w:ascii="宋体" w:hAnsi="宋体" w:eastAsia="宋体" w:cs="宋体"/>
          <w:spacing w:val="-3"/>
          <w:sz w:val="24"/>
          <w:szCs w:val="24"/>
        </w:rPr>
        <w:t>场污水处理站出水进行了采样检测，由检测结果可知，污水处理站出水浓度能够</w:t>
      </w:r>
      <w:r>
        <w:rPr>
          <w:rFonts w:ascii="宋体" w:hAnsi="宋体" w:eastAsia="宋体" w:cs="宋体"/>
          <w:spacing w:val="-1"/>
          <w:sz w:val="24"/>
          <w:szCs w:val="24"/>
        </w:rPr>
        <w:t>满足《农田灌溉水质标准》（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）旱地作物标准要求，因此，本项目</w:t>
      </w:r>
      <w:r>
        <w:rPr>
          <w:rFonts w:ascii="宋体" w:hAnsi="宋体" w:eastAsia="宋体" w:cs="宋体"/>
          <w:spacing w:val="-2"/>
          <w:sz w:val="24"/>
          <w:szCs w:val="24"/>
        </w:rPr>
        <w:t>污水处理站采用“粪污收集池</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固液分离</w:t>
      </w:r>
      <w:r>
        <w:rPr>
          <w:rFonts w:ascii="Times New Roman" w:hAnsi="Times New Roman" w:eastAsia="Times New Roman" w:cs="Times New Roman"/>
          <w:spacing w:val="-2"/>
          <w:sz w:val="24"/>
          <w:szCs w:val="24"/>
        </w:rPr>
        <w:t>+</w:t>
      </w:r>
      <w:r>
        <w:rPr>
          <w:rFonts w:ascii="宋体" w:hAnsi="宋体" w:eastAsia="宋体" w:cs="宋体"/>
          <w:spacing w:val="-2"/>
          <w:sz w:val="24"/>
          <w:szCs w:val="24"/>
        </w:rPr>
        <w:t>水解酸化池</w:t>
      </w:r>
      <w:r>
        <w:rPr>
          <w:rFonts w:ascii="Times New Roman" w:hAnsi="Times New Roman" w:eastAsia="Times New Roman" w:cs="Times New Roman"/>
          <w:spacing w:val="-2"/>
          <w:sz w:val="24"/>
          <w:szCs w:val="24"/>
        </w:rPr>
        <w:t>+CSTR</w:t>
      </w:r>
      <w:r>
        <w:rPr>
          <w:rFonts w:ascii="宋体" w:hAnsi="宋体" w:eastAsia="宋体" w:cs="宋体"/>
          <w:spacing w:val="-2"/>
          <w:sz w:val="24"/>
          <w:szCs w:val="24"/>
        </w:rPr>
        <w:t>厌氧反应器</w:t>
      </w:r>
      <w:r>
        <w:rPr>
          <w:rFonts w:ascii="Times New Roman" w:hAnsi="Times New Roman" w:eastAsia="Times New Roman" w:cs="Times New Roman"/>
          <w:spacing w:val="-2"/>
          <w:sz w:val="24"/>
          <w:szCs w:val="24"/>
        </w:rPr>
        <w:t>+</w:t>
      </w:r>
      <w:r>
        <w:rPr>
          <w:rFonts w:ascii="宋体" w:hAnsi="宋体" w:eastAsia="宋体" w:cs="宋体"/>
          <w:spacing w:val="-2"/>
          <w:sz w:val="24"/>
          <w:szCs w:val="24"/>
        </w:rPr>
        <w:t>微生物</w:t>
      </w:r>
      <w:r>
        <w:rPr>
          <w:rFonts w:ascii="宋体" w:hAnsi="宋体" w:eastAsia="宋体" w:cs="宋体"/>
          <w:spacing w:val="1"/>
          <w:sz w:val="24"/>
          <w:szCs w:val="24"/>
        </w:rPr>
        <w:t>曝氧塘</w:t>
      </w:r>
      <w:r>
        <w:rPr>
          <w:rFonts w:ascii="Times New Roman" w:hAnsi="Times New Roman" w:eastAsia="Times New Roman" w:cs="Times New Roman"/>
          <w:spacing w:val="1"/>
          <w:sz w:val="24"/>
          <w:szCs w:val="24"/>
        </w:rPr>
        <w:t>+</w:t>
      </w:r>
      <w:r>
        <w:rPr>
          <w:rFonts w:ascii="宋体" w:hAnsi="宋体" w:eastAsia="宋体" w:cs="宋体"/>
          <w:spacing w:val="1"/>
          <w:sz w:val="24"/>
          <w:szCs w:val="24"/>
        </w:rPr>
        <w:t>前置物化系统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w:t>
      </w:r>
      <w:r>
        <w:rPr>
          <w:rFonts w:ascii="宋体" w:hAnsi="宋体" w:eastAsia="宋体" w:cs="宋体"/>
          <w:spacing w:val="-1"/>
          <w:sz w:val="24"/>
          <w:szCs w:val="24"/>
        </w:rPr>
        <w:t>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混凝沉淀</w:t>
      </w:r>
      <w:r>
        <w:rPr>
          <w:rFonts w:ascii="Times New Roman" w:hAnsi="Times New Roman" w:eastAsia="Times New Roman" w:cs="Times New Roman"/>
          <w:spacing w:val="-1"/>
          <w:sz w:val="24"/>
          <w:szCs w:val="24"/>
        </w:rPr>
        <w:t>+</w:t>
      </w:r>
      <w:r>
        <w:rPr>
          <w:rFonts w:ascii="宋体" w:hAnsi="宋体" w:eastAsia="宋体" w:cs="宋体"/>
          <w:spacing w:val="-1"/>
          <w:sz w:val="24"/>
          <w:szCs w:val="24"/>
        </w:rPr>
        <w:t>消毒池”污水处理工艺，经类比可知，出水能够满足《农田灌溉水质标准》（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）旱地</w:t>
      </w:r>
      <w:r>
        <w:rPr>
          <w:rFonts w:ascii="宋体" w:hAnsi="宋体" w:eastAsia="宋体" w:cs="宋体"/>
          <w:spacing w:val="-2"/>
          <w:sz w:val="24"/>
          <w:szCs w:val="24"/>
        </w:rPr>
        <w:t>作物标准要求。</w:t>
      </w:r>
    </w:p>
    <w:p w14:paraId="56B3228F">
      <w:pPr>
        <w:spacing w:before="8" w:line="220" w:lineRule="auto"/>
        <w:ind w:left="1009"/>
        <w:rPr>
          <w:rFonts w:ascii="黑体" w:hAnsi="黑体" w:eastAsia="黑体" w:cs="黑体"/>
          <w:sz w:val="21"/>
          <w:szCs w:val="21"/>
        </w:rPr>
      </w:pPr>
      <w:r>
        <w:rPr>
          <w:rFonts w:ascii="黑体" w:hAnsi="黑体" w:eastAsia="黑体" w:cs="黑体"/>
          <w:sz w:val="21"/>
          <w:szCs w:val="21"/>
        </w:rPr>
        <w:t>表</w:t>
      </w:r>
      <w:r>
        <w:rPr>
          <w:rFonts w:ascii="黑体" w:hAnsi="黑体" w:eastAsia="黑体" w:cs="黑体"/>
          <w:spacing w:val="-49"/>
          <w:sz w:val="21"/>
          <w:szCs w:val="21"/>
        </w:rPr>
        <w:t xml:space="preserve"> </w:t>
      </w:r>
      <w:r>
        <w:rPr>
          <w:rFonts w:ascii="Times New Roman" w:hAnsi="Times New Roman" w:eastAsia="Times New Roman" w:cs="Times New Roman"/>
          <w:sz w:val="21"/>
          <w:szCs w:val="21"/>
        </w:rPr>
        <w:t xml:space="preserve">4.2-24  </w:t>
      </w:r>
      <w:r>
        <w:rPr>
          <w:rFonts w:ascii="黑体" w:hAnsi="黑体" w:eastAsia="黑体" w:cs="黑体"/>
          <w:sz w:val="21"/>
          <w:szCs w:val="21"/>
        </w:rPr>
        <w:t>书房村生猪规模化养殖</w:t>
      </w:r>
      <w:r>
        <w:rPr>
          <w:rFonts w:ascii="黑体" w:hAnsi="黑体" w:eastAsia="黑体" w:cs="黑体"/>
          <w:spacing w:val="-1"/>
          <w:sz w:val="21"/>
          <w:szCs w:val="21"/>
        </w:rPr>
        <w:t>场污水处理站竣工环保验收检测数据</w:t>
      </w:r>
    </w:p>
    <w:p w14:paraId="513B1783">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0"/>
        <w:gridCol w:w="2534"/>
        <w:gridCol w:w="1010"/>
        <w:gridCol w:w="1010"/>
        <w:gridCol w:w="1010"/>
        <w:gridCol w:w="1009"/>
        <w:gridCol w:w="1017"/>
      </w:tblGrid>
      <w:tr w14:paraId="1EC55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264" w:type="dxa"/>
            <w:gridSpan w:val="2"/>
            <w:vAlign w:val="top"/>
          </w:tcPr>
          <w:p w14:paraId="601FF5F6">
            <w:pPr>
              <w:spacing w:before="67" w:line="220" w:lineRule="auto"/>
              <w:ind w:left="1218"/>
              <w:rPr>
                <w:rFonts w:ascii="宋体" w:hAnsi="宋体" w:eastAsia="宋体" w:cs="宋体"/>
                <w:sz w:val="21"/>
                <w:szCs w:val="21"/>
              </w:rPr>
            </w:pPr>
            <w:r>
              <w:rPr>
                <w:rFonts w:ascii="宋体" w:hAnsi="宋体" w:eastAsia="宋体" w:cs="宋体"/>
                <w:spacing w:val="-2"/>
                <w:sz w:val="21"/>
                <w:szCs w:val="21"/>
              </w:rPr>
              <w:t>检测日期</w:t>
            </w:r>
          </w:p>
        </w:tc>
        <w:tc>
          <w:tcPr>
            <w:tcW w:w="5056" w:type="dxa"/>
            <w:gridSpan w:val="5"/>
            <w:vAlign w:val="top"/>
          </w:tcPr>
          <w:p w14:paraId="542066C1">
            <w:pPr>
              <w:pStyle w:val="6"/>
              <w:spacing w:before="67" w:line="220" w:lineRule="auto"/>
              <w:ind w:left="1662"/>
              <w:rPr>
                <w:rFonts w:ascii="宋体" w:hAnsi="宋体" w:eastAsia="宋体" w:cs="宋体"/>
              </w:rPr>
            </w:pPr>
            <w:r>
              <w:rPr>
                <w:spacing w:val="-6"/>
              </w:rPr>
              <w:t xml:space="preserve">2022 </w:t>
            </w:r>
            <w:r>
              <w:rPr>
                <w:rFonts w:ascii="宋体" w:hAnsi="宋体" w:eastAsia="宋体" w:cs="宋体"/>
                <w:spacing w:val="-6"/>
              </w:rPr>
              <w:t>年</w:t>
            </w:r>
            <w:r>
              <w:rPr>
                <w:rFonts w:ascii="宋体" w:hAnsi="宋体" w:eastAsia="宋体" w:cs="宋体"/>
                <w:spacing w:val="-20"/>
              </w:rPr>
              <w:t xml:space="preserve"> </w:t>
            </w:r>
            <w:r>
              <w:rPr>
                <w:spacing w:val="-6"/>
              </w:rPr>
              <w:t>12</w:t>
            </w:r>
            <w:r>
              <w:rPr>
                <w:spacing w:val="13"/>
              </w:rPr>
              <w:t xml:space="preserve"> </w:t>
            </w:r>
            <w:r>
              <w:rPr>
                <w:rFonts w:ascii="宋体" w:hAnsi="宋体" w:eastAsia="宋体" w:cs="宋体"/>
                <w:spacing w:val="-6"/>
              </w:rPr>
              <w:t>月</w:t>
            </w:r>
            <w:r>
              <w:rPr>
                <w:rFonts w:ascii="宋体" w:hAnsi="宋体" w:eastAsia="宋体" w:cs="宋体"/>
                <w:spacing w:val="-28"/>
              </w:rPr>
              <w:t xml:space="preserve"> </w:t>
            </w:r>
            <w:r>
              <w:rPr>
                <w:spacing w:val="-6"/>
              </w:rPr>
              <w:t xml:space="preserve">12  </w:t>
            </w:r>
            <w:r>
              <w:rPr>
                <w:rFonts w:ascii="宋体" w:hAnsi="宋体" w:eastAsia="宋体" w:cs="宋体"/>
                <w:spacing w:val="-6"/>
              </w:rPr>
              <w:t>日</w:t>
            </w:r>
          </w:p>
        </w:tc>
      </w:tr>
      <w:tr w14:paraId="7B349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30" w:type="dxa"/>
            <w:vMerge w:val="restart"/>
            <w:tcBorders>
              <w:bottom w:val="nil"/>
            </w:tcBorders>
            <w:vAlign w:val="top"/>
          </w:tcPr>
          <w:p w14:paraId="6998DE1C">
            <w:pPr>
              <w:spacing w:before="102" w:line="242" w:lineRule="auto"/>
              <w:ind w:left="265" w:right="47" w:hanging="210"/>
              <w:rPr>
                <w:rFonts w:ascii="宋体" w:hAnsi="宋体" w:eastAsia="宋体" w:cs="宋体"/>
                <w:sz w:val="21"/>
                <w:szCs w:val="21"/>
              </w:rPr>
            </w:pPr>
            <w:r>
              <w:rPr>
                <w:rFonts w:ascii="宋体" w:hAnsi="宋体" w:eastAsia="宋体" w:cs="宋体"/>
                <w:spacing w:val="-3"/>
                <w:sz w:val="21"/>
                <w:szCs w:val="21"/>
              </w:rPr>
              <w:t>检测点</w:t>
            </w:r>
            <w:r>
              <w:rPr>
                <w:rFonts w:ascii="宋体" w:hAnsi="宋体" w:eastAsia="宋体" w:cs="宋体"/>
                <w:sz w:val="21"/>
                <w:szCs w:val="21"/>
              </w:rPr>
              <w:t>位</w:t>
            </w:r>
          </w:p>
        </w:tc>
        <w:tc>
          <w:tcPr>
            <w:tcW w:w="2534" w:type="dxa"/>
            <w:vMerge w:val="restart"/>
            <w:tcBorders>
              <w:bottom w:val="nil"/>
            </w:tcBorders>
            <w:vAlign w:val="top"/>
          </w:tcPr>
          <w:p w14:paraId="18B9B3E5">
            <w:pPr>
              <w:spacing w:before="237" w:line="220" w:lineRule="auto"/>
              <w:ind w:left="851"/>
              <w:rPr>
                <w:rFonts w:ascii="宋体" w:hAnsi="宋体" w:eastAsia="宋体" w:cs="宋体"/>
                <w:sz w:val="21"/>
                <w:szCs w:val="21"/>
              </w:rPr>
            </w:pPr>
            <w:r>
              <w:rPr>
                <w:rFonts w:ascii="宋体" w:hAnsi="宋体" w:eastAsia="宋体" w:cs="宋体"/>
                <w:spacing w:val="-2"/>
                <w:sz w:val="21"/>
                <w:szCs w:val="21"/>
              </w:rPr>
              <w:t>检测项目</w:t>
            </w:r>
          </w:p>
        </w:tc>
        <w:tc>
          <w:tcPr>
            <w:tcW w:w="5056" w:type="dxa"/>
            <w:gridSpan w:val="5"/>
            <w:vAlign w:val="top"/>
          </w:tcPr>
          <w:p w14:paraId="014448DD">
            <w:pPr>
              <w:spacing w:before="62" w:line="220" w:lineRule="auto"/>
              <w:ind w:left="2111"/>
              <w:rPr>
                <w:rFonts w:ascii="宋体" w:hAnsi="宋体" w:eastAsia="宋体" w:cs="宋体"/>
                <w:sz w:val="21"/>
                <w:szCs w:val="21"/>
              </w:rPr>
            </w:pPr>
            <w:r>
              <w:rPr>
                <w:rFonts w:ascii="宋体" w:hAnsi="宋体" w:eastAsia="宋体" w:cs="宋体"/>
                <w:spacing w:val="-2"/>
                <w:sz w:val="21"/>
                <w:szCs w:val="21"/>
              </w:rPr>
              <w:t>检测结果</w:t>
            </w:r>
          </w:p>
        </w:tc>
      </w:tr>
      <w:tr w14:paraId="778BA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tcBorders>
            <w:vAlign w:val="top"/>
          </w:tcPr>
          <w:p w14:paraId="333860A3">
            <w:pPr>
              <w:rPr>
                <w:rFonts w:ascii="Arial"/>
                <w:sz w:val="21"/>
              </w:rPr>
            </w:pPr>
          </w:p>
        </w:tc>
        <w:tc>
          <w:tcPr>
            <w:tcW w:w="2534" w:type="dxa"/>
            <w:vMerge w:val="continue"/>
            <w:tcBorders>
              <w:top w:val="nil"/>
            </w:tcBorders>
            <w:vAlign w:val="top"/>
          </w:tcPr>
          <w:p w14:paraId="607C61F7">
            <w:pPr>
              <w:rPr>
                <w:rFonts w:ascii="Arial"/>
                <w:sz w:val="21"/>
              </w:rPr>
            </w:pPr>
          </w:p>
        </w:tc>
        <w:tc>
          <w:tcPr>
            <w:tcW w:w="1010" w:type="dxa"/>
            <w:vAlign w:val="top"/>
          </w:tcPr>
          <w:p w14:paraId="781E7741">
            <w:pPr>
              <w:spacing w:before="64" w:line="220" w:lineRule="auto"/>
              <w:ind w:left="195"/>
              <w:rPr>
                <w:rFonts w:ascii="宋体" w:hAnsi="宋体" w:eastAsia="宋体" w:cs="宋体"/>
                <w:sz w:val="21"/>
                <w:szCs w:val="21"/>
              </w:rPr>
            </w:pPr>
            <w:r>
              <w:rPr>
                <w:rFonts w:ascii="宋体" w:hAnsi="宋体" w:eastAsia="宋体" w:cs="宋体"/>
                <w:spacing w:val="-3"/>
                <w:sz w:val="21"/>
                <w:szCs w:val="21"/>
              </w:rPr>
              <w:t>第一次</w:t>
            </w:r>
          </w:p>
        </w:tc>
        <w:tc>
          <w:tcPr>
            <w:tcW w:w="1010" w:type="dxa"/>
            <w:vAlign w:val="top"/>
          </w:tcPr>
          <w:p w14:paraId="03995783">
            <w:pPr>
              <w:spacing w:before="64" w:line="220" w:lineRule="auto"/>
              <w:ind w:left="195"/>
              <w:rPr>
                <w:rFonts w:ascii="宋体" w:hAnsi="宋体" w:eastAsia="宋体" w:cs="宋体"/>
                <w:sz w:val="21"/>
                <w:szCs w:val="21"/>
              </w:rPr>
            </w:pPr>
            <w:r>
              <w:rPr>
                <w:rFonts w:ascii="宋体" w:hAnsi="宋体" w:eastAsia="宋体" w:cs="宋体"/>
                <w:spacing w:val="-2"/>
                <w:sz w:val="21"/>
                <w:szCs w:val="21"/>
              </w:rPr>
              <w:t>第二次</w:t>
            </w:r>
          </w:p>
        </w:tc>
        <w:tc>
          <w:tcPr>
            <w:tcW w:w="1010" w:type="dxa"/>
            <w:vAlign w:val="top"/>
          </w:tcPr>
          <w:p w14:paraId="70E722CF">
            <w:pPr>
              <w:spacing w:before="64" w:line="220" w:lineRule="auto"/>
              <w:ind w:left="195"/>
              <w:rPr>
                <w:rFonts w:ascii="宋体" w:hAnsi="宋体" w:eastAsia="宋体" w:cs="宋体"/>
                <w:sz w:val="21"/>
                <w:szCs w:val="21"/>
              </w:rPr>
            </w:pPr>
            <w:r>
              <w:rPr>
                <w:rFonts w:ascii="宋体" w:hAnsi="宋体" w:eastAsia="宋体" w:cs="宋体"/>
                <w:spacing w:val="-2"/>
                <w:sz w:val="21"/>
                <w:szCs w:val="21"/>
              </w:rPr>
              <w:t>第三次</w:t>
            </w:r>
          </w:p>
        </w:tc>
        <w:tc>
          <w:tcPr>
            <w:tcW w:w="1009" w:type="dxa"/>
            <w:vAlign w:val="top"/>
          </w:tcPr>
          <w:p w14:paraId="7AD144F2">
            <w:pPr>
              <w:spacing w:before="64" w:line="220" w:lineRule="auto"/>
              <w:ind w:left="196"/>
              <w:rPr>
                <w:rFonts w:ascii="宋体" w:hAnsi="宋体" w:eastAsia="宋体" w:cs="宋体"/>
                <w:sz w:val="21"/>
                <w:szCs w:val="21"/>
              </w:rPr>
            </w:pPr>
            <w:r>
              <w:rPr>
                <w:rFonts w:ascii="宋体" w:hAnsi="宋体" w:eastAsia="宋体" w:cs="宋体"/>
                <w:spacing w:val="-2"/>
                <w:sz w:val="21"/>
                <w:szCs w:val="21"/>
              </w:rPr>
              <w:t>第四次</w:t>
            </w:r>
          </w:p>
        </w:tc>
        <w:tc>
          <w:tcPr>
            <w:tcW w:w="1017" w:type="dxa"/>
            <w:vAlign w:val="top"/>
          </w:tcPr>
          <w:p w14:paraId="3DCCC5C5">
            <w:pPr>
              <w:spacing w:before="64" w:line="220" w:lineRule="auto"/>
              <w:ind w:left="198"/>
              <w:rPr>
                <w:rFonts w:ascii="宋体" w:hAnsi="宋体" w:eastAsia="宋体" w:cs="宋体"/>
                <w:sz w:val="21"/>
                <w:szCs w:val="21"/>
              </w:rPr>
            </w:pPr>
            <w:r>
              <w:rPr>
                <w:rFonts w:ascii="宋体" w:hAnsi="宋体" w:eastAsia="宋体" w:cs="宋体"/>
                <w:spacing w:val="-2"/>
                <w:sz w:val="21"/>
                <w:szCs w:val="21"/>
              </w:rPr>
              <w:t>平均值</w:t>
            </w:r>
          </w:p>
        </w:tc>
      </w:tr>
      <w:tr w14:paraId="59609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730" w:type="dxa"/>
            <w:vMerge w:val="restart"/>
            <w:tcBorders>
              <w:bottom w:val="nil"/>
            </w:tcBorders>
            <w:vAlign w:val="top"/>
          </w:tcPr>
          <w:p w14:paraId="6D47A32F">
            <w:pPr>
              <w:spacing w:line="274" w:lineRule="auto"/>
              <w:rPr>
                <w:rFonts w:ascii="Arial"/>
                <w:sz w:val="21"/>
              </w:rPr>
            </w:pPr>
          </w:p>
          <w:p w14:paraId="332E7F5B">
            <w:pPr>
              <w:spacing w:line="274" w:lineRule="auto"/>
              <w:rPr>
                <w:rFonts w:ascii="Arial"/>
                <w:sz w:val="21"/>
              </w:rPr>
            </w:pPr>
          </w:p>
          <w:p w14:paraId="11BAC7F6">
            <w:pPr>
              <w:spacing w:line="274" w:lineRule="auto"/>
              <w:rPr>
                <w:rFonts w:ascii="Arial"/>
                <w:sz w:val="21"/>
              </w:rPr>
            </w:pPr>
          </w:p>
          <w:p w14:paraId="2D990158">
            <w:pPr>
              <w:spacing w:line="274" w:lineRule="auto"/>
              <w:rPr>
                <w:rFonts w:ascii="Arial"/>
                <w:sz w:val="21"/>
              </w:rPr>
            </w:pPr>
          </w:p>
          <w:p w14:paraId="67D0ADBA">
            <w:pPr>
              <w:spacing w:line="275" w:lineRule="auto"/>
              <w:rPr>
                <w:rFonts w:ascii="Arial"/>
                <w:sz w:val="21"/>
              </w:rPr>
            </w:pPr>
          </w:p>
          <w:p w14:paraId="53C5D2DF">
            <w:pPr>
              <w:spacing w:line="275" w:lineRule="auto"/>
              <w:rPr>
                <w:rFonts w:ascii="Arial"/>
                <w:sz w:val="21"/>
              </w:rPr>
            </w:pPr>
          </w:p>
          <w:p w14:paraId="3F9F2097">
            <w:pPr>
              <w:spacing w:before="69" w:line="220" w:lineRule="auto"/>
              <w:ind w:left="74"/>
              <w:rPr>
                <w:rFonts w:ascii="宋体" w:hAnsi="宋体" w:eastAsia="宋体" w:cs="宋体"/>
                <w:sz w:val="21"/>
                <w:szCs w:val="21"/>
              </w:rPr>
            </w:pPr>
            <w:r>
              <w:rPr>
                <w:rFonts w:ascii="宋体" w:hAnsi="宋体" w:eastAsia="宋体" w:cs="宋体"/>
                <w:spacing w:val="-6"/>
                <w:sz w:val="21"/>
                <w:szCs w:val="21"/>
              </w:rPr>
              <w:t>出水口</w:t>
            </w:r>
          </w:p>
        </w:tc>
        <w:tc>
          <w:tcPr>
            <w:tcW w:w="2534" w:type="dxa"/>
            <w:vAlign w:val="top"/>
          </w:tcPr>
          <w:p w14:paraId="17DB597B">
            <w:pPr>
              <w:pStyle w:val="6"/>
              <w:spacing w:before="54" w:line="185" w:lineRule="auto"/>
              <w:ind w:left="1134"/>
            </w:pPr>
            <w:r>
              <w:t>pH</w:t>
            </w:r>
          </w:p>
          <w:p w14:paraId="3B6F3282">
            <w:pPr>
              <w:spacing w:before="31" w:line="207" w:lineRule="auto"/>
              <w:ind w:left="752"/>
              <w:rPr>
                <w:rFonts w:ascii="宋体" w:hAnsi="宋体" w:eastAsia="宋体" w:cs="宋体"/>
                <w:sz w:val="21"/>
                <w:szCs w:val="21"/>
              </w:rPr>
            </w:pPr>
            <w:r>
              <w:rPr>
                <w:rFonts w:ascii="宋体" w:hAnsi="宋体" w:eastAsia="宋体" w:cs="宋体"/>
                <w:spacing w:val="-5"/>
                <w:sz w:val="21"/>
                <w:szCs w:val="21"/>
              </w:rPr>
              <w:t>（无量纲）</w:t>
            </w:r>
          </w:p>
        </w:tc>
        <w:tc>
          <w:tcPr>
            <w:tcW w:w="1010" w:type="dxa"/>
            <w:vAlign w:val="top"/>
          </w:tcPr>
          <w:p w14:paraId="22662A43">
            <w:pPr>
              <w:rPr>
                <w:rFonts w:ascii="Arial"/>
                <w:sz w:val="21"/>
              </w:rPr>
            </w:pPr>
          </w:p>
        </w:tc>
        <w:tc>
          <w:tcPr>
            <w:tcW w:w="1010" w:type="dxa"/>
            <w:vAlign w:val="top"/>
          </w:tcPr>
          <w:p w14:paraId="1112492F">
            <w:pPr>
              <w:rPr>
                <w:rFonts w:ascii="Arial"/>
                <w:sz w:val="21"/>
              </w:rPr>
            </w:pPr>
          </w:p>
        </w:tc>
        <w:tc>
          <w:tcPr>
            <w:tcW w:w="1010" w:type="dxa"/>
            <w:vAlign w:val="top"/>
          </w:tcPr>
          <w:p w14:paraId="6E01EA6A">
            <w:pPr>
              <w:rPr>
                <w:rFonts w:ascii="Arial"/>
                <w:sz w:val="21"/>
              </w:rPr>
            </w:pPr>
          </w:p>
        </w:tc>
        <w:tc>
          <w:tcPr>
            <w:tcW w:w="1009" w:type="dxa"/>
            <w:vAlign w:val="top"/>
          </w:tcPr>
          <w:p w14:paraId="4B95A411">
            <w:pPr>
              <w:rPr>
                <w:rFonts w:ascii="Arial"/>
                <w:sz w:val="21"/>
              </w:rPr>
            </w:pPr>
          </w:p>
        </w:tc>
        <w:tc>
          <w:tcPr>
            <w:tcW w:w="1017" w:type="dxa"/>
            <w:vAlign w:val="top"/>
          </w:tcPr>
          <w:p w14:paraId="720E7F1E">
            <w:pPr>
              <w:rPr>
                <w:rFonts w:ascii="Arial"/>
                <w:sz w:val="21"/>
              </w:rPr>
            </w:pPr>
          </w:p>
        </w:tc>
      </w:tr>
      <w:tr w14:paraId="11998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692CD2F6">
            <w:pPr>
              <w:rPr>
                <w:rFonts w:ascii="Arial"/>
                <w:sz w:val="21"/>
              </w:rPr>
            </w:pPr>
          </w:p>
        </w:tc>
        <w:tc>
          <w:tcPr>
            <w:tcW w:w="2534" w:type="dxa"/>
            <w:vAlign w:val="top"/>
          </w:tcPr>
          <w:p w14:paraId="4C554DA4">
            <w:pPr>
              <w:spacing w:before="65" w:line="220" w:lineRule="auto"/>
              <w:ind w:left="749"/>
              <w:rPr>
                <w:rFonts w:ascii="宋体" w:hAnsi="宋体" w:eastAsia="宋体" w:cs="宋体"/>
                <w:sz w:val="21"/>
                <w:szCs w:val="21"/>
              </w:rPr>
            </w:pPr>
            <w:r>
              <w:rPr>
                <w:rFonts w:ascii="宋体" w:hAnsi="宋体" w:eastAsia="宋体" w:cs="宋体"/>
                <w:spacing w:val="16"/>
                <w:sz w:val="21"/>
                <w:szCs w:val="21"/>
              </w:rPr>
              <w:t>水温(℃)</w:t>
            </w:r>
          </w:p>
        </w:tc>
        <w:tc>
          <w:tcPr>
            <w:tcW w:w="1010" w:type="dxa"/>
            <w:vAlign w:val="top"/>
          </w:tcPr>
          <w:p w14:paraId="32ECD6FF">
            <w:pPr>
              <w:rPr>
                <w:rFonts w:ascii="Arial"/>
                <w:sz w:val="21"/>
              </w:rPr>
            </w:pPr>
          </w:p>
        </w:tc>
        <w:tc>
          <w:tcPr>
            <w:tcW w:w="1010" w:type="dxa"/>
            <w:vAlign w:val="top"/>
          </w:tcPr>
          <w:p w14:paraId="3AAF363A">
            <w:pPr>
              <w:rPr>
                <w:rFonts w:ascii="Arial"/>
                <w:sz w:val="21"/>
              </w:rPr>
            </w:pPr>
          </w:p>
        </w:tc>
        <w:tc>
          <w:tcPr>
            <w:tcW w:w="1010" w:type="dxa"/>
            <w:vAlign w:val="top"/>
          </w:tcPr>
          <w:p w14:paraId="21B5976E">
            <w:pPr>
              <w:rPr>
                <w:rFonts w:ascii="Arial"/>
                <w:sz w:val="21"/>
              </w:rPr>
            </w:pPr>
          </w:p>
        </w:tc>
        <w:tc>
          <w:tcPr>
            <w:tcW w:w="1009" w:type="dxa"/>
            <w:vAlign w:val="top"/>
          </w:tcPr>
          <w:p w14:paraId="4462DDBE">
            <w:pPr>
              <w:rPr>
                <w:rFonts w:ascii="Arial"/>
                <w:sz w:val="21"/>
              </w:rPr>
            </w:pPr>
          </w:p>
        </w:tc>
        <w:tc>
          <w:tcPr>
            <w:tcW w:w="1017" w:type="dxa"/>
            <w:vAlign w:val="top"/>
          </w:tcPr>
          <w:p w14:paraId="285274D9">
            <w:pPr>
              <w:rPr>
                <w:rFonts w:ascii="Arial"/>
                <w:sz w:val="21"/>
              </w:rPr>
            </w:pPr>
          </w:p>
        </w:tc>
      </w:tr>
      <w:tr w14:paraId="4B698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51DD9FF3">
            <w:pPr>
              <w:rPr>
                <w:rFonts w:ascii="Arial"/>
                <w:sz w:val="21"/>
              </w:rPr>
            </w:pPr>
          </w:p>
        </w:tc>
        <w:tc>
          <w:tcPr>
            <w:tcW w:w="2534" w:type="dxa"/>
            <w:vAlign w:val="top"/>
          </w:tcPr>
          <w:p w14:paraId="1663E1F7">
            <w:pPr>
              <w:pStyle w:val="6"/>
              <w:spacing w:before="66" w:line="212" w:lineRule="auto"/>
              <w:ind w:left="518"/>
              <w:rPr>
                <w:rFonts w:ascii="宋体" w:hAnsi="宋体" w:eastAsia="宋体" w:cs="宋体"/>
              </w:rPr>
            </w:pPr>
            <w:r>
              <w:rPr>
                <w:rFonts w:ascii="宋体" w:hAnsi="宋体" w:eastAsia="宋体" w:cs="宋体"/>
                <w:spacing w:val="-1"/>
              </w:rPr>
              <w:t>全盐量（</w:t>
            </w:r>
            <w:r>
              <w:rPr>
                <w:spacing w:val="-1"/>
              </w:rPr>
              <w:t>mg/L</w:t>
            </w:r>
            <w:r>
              <w:rPr>
                <w:rFonts w:ascii="宋体" w:hAnsi="宋体" w:eastAsia="宋体" w:cs="宋体"/>
                <w:spacing w:val="-1"/>
              </w:rPr>
              <w:t>）</w:t>
            </w:r>
          </w:p>
        </w:tc>
        <w:tc>
          <w:tcPr>
            <w:tcW w:w="1010" w:type="dxa"/>
            <w:vAlign w:val="top"/>
          </w:tcPr>
          <w:p w14:paraId="2006B5B2">
            <w:pPr>
              <w:rPr>
                <w:rFonts w:ascii="Arial"/>
                <w:sz w:val="21"/>
              </w:rPr>
            </w:pPr>
          </w:p>
        </w:tc>
        <w:tc>
          <w:tcPr>
            <w:tcW w:w="1010" w:type="dxa"/>
            <w:vAlign w:val="top"/>
          </w:tcPr>
          <w:p w14:paraId="59317F74">
            <w:pPr>
              <w:rPr>
                <w:rFonts w:ascii="Arial"/>
                <w:sz w:val="21"/>
              </w:rPr>
            </w:pPr>
          </w:p>
        </w:tc>
        <w:tc>
          <w:tcPr>
            <w:tcW w:w="1010" w:type="dxa"/>
            <w:vAlign w:val="top"/>
          </w:tcPr>
          <w:p w14:paraId="00CE483B">
            <w:pPr>
              <w:rPr>
                <w:rFonts w:ascii="Arial"/>
                <w:sz w:val="21"/>
              </w:rPr>
            </w:pPr>
          </w:p>
        </w:tc>
        <w:tc>
          <w:tcPr>
            <w:tcW w:w="1009" w:type="dxa"/>
            <w:vAlign w:val="top"/>
          </w:tcPr>
          <w:p w14:paraId="58E4BB1D">
            <w:pPr>
              <w:rPr>
                <w:rFonts w:ascii="Arial"/>
                <w:sz w:val="21"/>
              </w:rPr>
            </w:pPr>
          </w:p>
        </w:tc>
        <w:tc>
          <w:tcPr>
            <w:tcW w:w="1017" w:type="dxa"/>
            <w:vAlign w:val="top"/>
          </w:tcPr>
          <w:p w14:paraId="3B894BFA">
            <w:pPr>
              <w:rPr>
                <w:rFonts w:ascii="Arial"/>
                <w:sz w:val="21"/>
              </w:rPr>
            </w:pPr>
          </w:p>
        </w:tc>
      </w:tr>
      <w:tr w14:paraId="70303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30" w:type="dxa"/>
            <w:vMerge w:val="continue"/>
            <w:tcBorders>
              <w:top w:val="nil"/>
              <w:bottom w:val="nil"/>
            </w:tcBorders>
            <w:vAlign w:val="top"/>
          </w:tcPr>
          <w:p w14:paraId="78306828">
            <w:pPr>
              <w:rPr>
                <w:rFonts w:ascii="Arial"/>
                <w:sz w:val="21"/>
              </w:rPr>
            </w:pPr>
          </w:p>
        </w:tc>
        <w:tc>
          <w:tcPr>
            <w:tcW w:w="2534" w:type="dxa"/>
            <w:vAlign w:val="top"/>
          </w:tcPr>
          <w:p w14:paraId="2C29C6F2">
            <w:pPr>
              <w:pStyle w:val="6"/>
              <w:spacing w:before="65" w:line="212" w:lineRule="auto"/>
              <w:ind w:left="309"/>
              <w:rPr>
                <w:rFonts w:ascii="宋体" w:hAnsi="宋体" w:eastAsia="宋体" w:cs="宋体"/>
              </w:rPr>
            </w:pPr>
            <w:r>
              <w:rPr>
                <w:rFonts w:ascii="宋体" w:hAnsi="宋体" w:eastAsia="宋体" w:cs="宋体"/>
                <w:spacing w:val="-1"/>
              </w:rPr>
              <w:t>化学需氧量（</w:t>
            </w:r>
            <w:r>
              <w:rPr>
                <w:spacing w:val="-1"/>
              </w:rPr>
              <w:t>mg/L</w:t>
            </w:r>
            <w:r>
              <w:rPr>
                <w:rFonts w:ascii="宋体" w:hAnsi="宋体" w:eastAsia="宋体" w:cs="宋体"/>
                <w:spacing w:val="-1"/>
              </w:rPr>
              <w:t>）</w:t>
            </w:r>
          </w:p>
        </w:tc>
        <w:tc>
          <w:tcPr>
            <w:tcW w:w="1010" w:type="dxa"/>
            <w:vAlign w:val="top"/>
          </w:tcPr>
          <w:p w14:paraId="246ED56E">
            <w:pPr>
              <w:rPr>
                <w:rFonts w:ascii="Arial"/>
                <w:sz w:val="21"/>
              </w:rPr>
            </w:pPr>
          </w:p>
        </w:tc>
        <w:tc>
          <w:tcPr>
            <w:tcW w:w="1010" w:type="dxa"/>
            <w:vAlign w:val="top"/>
          </w:tcPr>
          <w:p w14:paraId="25E1EDB4">
            <w:pPr>
              <w:rPr>
                <w:rFonts w:ascii="Arial"/>
                <w:sz w:val="21"/>
              </w:rPr>
            </w:pPr>
          </w:p>
        </w:tc>
        <w:tc>
          <w:tcPr>
            <w:tcW w:w="1010" w:type="dxa"/>
            <w:vAlign w:val="top"/>
          </w:tcPr>
          <w:p w14:paraId="49AD7BB4">
            <w:pPr>
              <w:rPr>
                <w:rFonts w:ascii="Arial"/>
                <w:sz w:val="21"/>
              </w:rPr>
            </w:pPr>
          </w:p>
        </w:tc>
        <w:tc>
          <w:tcPr>
            <w:tcW w:w="1009" w:type="dxa"/>
            <w:vAlign w:val="top"/>
          </w:tcPr>
          <w:p w14:paraId="7CB6F070">
            <w:pPr>
              <w:rPr>
                <w:rFonts w:ascii="Arial"/>
                <w:sz w:val="21"/>
              </w:rPr>
            </w:pPr>
          </w:p>
        </w:tc>
        <w:tc>
          <w:tcPr>
            <w:tcW w:w="1017" w:type="dxa"/>
            <w:vAlign w:val="top"/>
          </w:tcPr>
          <w:p w14:paraId="36682BDA">
            <w:pPr>
              <w:rPr>
                <w:rFonts w:ascii="Arial"/>
                <w:sz w:val="21"/>
              </w:rPr>
            </w:pPr>
          </w:p>
        </w:tc>
      </w:tr>
      <w:tr w14:paraId="15F53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5BA7A7E3">
            <w:pPr>
              <w:rPr>
                <w:rFonts w:ascii="Arial"/>
                <w:sz w:val="21"/>
              </w:rPr>
            </w:pPr>
          </w:p>
        </w:tc>
        <w:tc>
          <w:tcPr>
            <w:tcW w:w="2534" w:type="dxa"/>
            <w:vAlign w:val="top"/>
          </w:tcPr>
          <w:p w14:paraId="62037F26">
            <w:pPr>
              <w:pStyle w:val="6"/>
              <w:spacing w:before="67" w:line="212" w:lineRule="auto"/>
              <w:ind w:left="521"/>
              <w:rPr>
                <w:rFonts w:ascii="宋体" w:hAnsi="宋体" w:eastAsia="宋体" w:cs="宋体"/>
              </w:rPr>
            </w:pPr>
            <w:r>
              <w:rPr>
                <w:rFonts w:ascii="宋体" w:hAnsi="宋体" w:eastAsia="宋体" w:cs="宋体"/>
                <w:spacing w:val="-2"/>
              </w:rPr>
              <w:t>悬浮物（</w:t>
            </w:r>
            <w:r>
              <w:rPr>
                <w:spacing w:val="-2"/>
              </w:rPr>
              <w:t>mg/L</w:t>
            </w:r>
            <w:r>
              <w:rPr>
                <w:rFonts w:ascii="宋体" w:hAnsi="宋体" w:eastAsia="宋体" w:cs="宋体"/>
                <w:spacing w:val="-2"/>
              </w:rPr>
              <w:t>）</w:t>
            </w:r>
          </w:p>
        </w:tc>
        <w:tc>
          <w:tcPr>
            <w:tcW w:w="1010" w:type="dxa"/>
            <w:vAlign w:val="top"/>
          </w:tcPr>
          <w:p w14:paraId="2353C14C">
            <w:pPr>
              <w:rPr>
                <w:rFonts w:ascii="Arial"/>
                <w:sz w:val="21"/>
              </w:rPr>
            </w:pPr>
          </w:p>
        </w:tc>
        <w:tc>
          <w:tcPr>
            <w:tcW w:w="1010" w:type="dxa"/>
            <w:vAlign w:val="top"/>
          </w:tcPr>
          <w:p w14:paraId="6BF0F0F5">
            <w:pPr>
              <w:rPr>
                <w:rFonts w:ascii="Arial"/>
                <w:sz w:val="21"/>
              </w:rPr>
            </w:pPr>
          </w:p>
        </w:tc>
        <w:tc>
          <w:tcPr>
            <w:tcW w:w="1010" w:type="dxa"/>
            <w:vAlign w:val="top"/>
          </w:tcPr>
          <w:p w14:paraId="7250FD1F">
            <w:pPr>
              <w:rPr>
                <w:rFonts w:ascii="Arial"/>
                <w:sz w:val="21"/>
              </w:rPr>
            </w:pPr>
          </w:p>
        </w:tc>
        <w:tc>
          <w:tcPr>
            <w:tcW w:w="1009" w:type="dxa"/>
            <w:vAlign w:val="top"/>
          </w:tcPr>
          <w:p w14:paraId="378A17D6">
            <w:pPr>
              <w:rPr>
                <w:rFonts w:ascii="Arial"/>
                <w:sz w:val="21"/>
              </w:rPr>
            </w:pPr>
          </w:p>
        </w:tc>
        <w:tc>
          <w:tcPr>
            <w:tcW w:w="1017" w:type="dxa"/>
            <w:vAlign w:val="top"/>
          </w:tcPr>
          <w:p w14:paraId="01E014E4">
            <w:pPr>
              <w:rPr>
                <w:rFonts w:ascii="Arial"/>
                <w:sz w:val="21"/>
              </w:rPr>
            </w:pPr>
          </w:p>
        </w:tc>
      </w:tr>
      <w:tr w14:paraId="72D5A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6CFF1B9A">
            <w:pPr>
              <w:rPr>
                <w:rFonts w:ascii="Arial"/>
                <w:sz w:val="21"/>
              </w:rPr>
            </w:pPr>
          </w:p>
        </w:tc>
        <w:tc>
          <w:tcPr>
            <w:tcW w:w="2534" w:type="dxa"/>
            <w:vAlign w:val="top"/>
          </w:tcPr>
          <w:p w14:paraId="5C54E6EE">
            <w:pPr>
              <w:pStyle w:val="6"/>
              <w:spacing w:before="67" w:line="212" w:lineRule="auto"/>
              <w:ind w:left="517"/>
              <w:rPr>
                <w:rFonts w:ascii="宋体" w:hAnsi="宋体" w:eastAsia="宋体" w:cs="宋体"/>
              </w:rPr>
            </w:pPr>
            <w:r>
              <w:rPr>
                <w:rFonts w:ascii="宋体" w:hAnsi="宋体" w:eastAsia="宋体" w:cs="宋体"/>
                <w:spacing w:val="-1"/>
              </w:rPr>
              <w:t>硫化物（</w:t>
            </w:r>
            <w:r>
              <w:rPr>
                <w:spacing w:val="-1"/>
              </w:rPr>
              <w:t>mg/L</w:t>
            </w:r>
            <w:r>
              <w:rPr>
                <w:rFonts w:ascii="宋体" w:hAnsi="宋体" w:eastAsia="宋体" w:cs="宋体"/>
                <w:spacing w:val="-1"/>
              </w:rPr>
              <w:t>）</w:t>
            </w:r>
          </w:p>
        </w:tc>
        <w:tc>
          <w:tcPr>
            <w:tcW w:w="1010" w:type="dxa"/>
            <w:vAlign w:val="top"/>
          </w:tcPr>
          <w:p w14:paraId="2ACF0C8C">
            <w:pPr>
              <w:rPr>
                <w:rFonts w:ascii="Arial"/>
                <w:sz w:val="21"/>
              </w:rPr>
            </w:pPr>
          </w:p>
        </w:tc>
        <w:tc>
          <w:tcPr>
            <w:tcW w:w="1010" w:type="dxa"/>
            <w:vAlign w:val="top"/>
          </w:tcPr>
          <w:p w14:paraId="03A27772">
            <w:pPr>
              <w:rPr>
                <w:rFonts w:ascii="Arial"/>
                <w:sz w:val="21"/>
              </w:rPr>
            </w:pPr>
          </w:p>
        </w:tc>
        <w:tc>
          <w:tcPr>
            <w:tcW w:w="1010" w:type="dxa"/>
            <w:vAlign w:val="top"/>
          </w:tcPr>
          <w:p w14:paraId="063A032D">
            <w:pPr>
              <w:rPr>
                <w:rFonts w:ascii="Arial"/>
                <w:sz w:val="21"/>
              </w:rPr>
            </w:pPr>
          </w:p>
        </w:tc>
        <w:tc>
          <w:tcPr>
            <w:tcW w:w="1009" w:type="dxa"/>
            <w:vAlign w:val="top"/>
          </w:tcPr>
          <w:p w14:paraId="70FCBA53">
            <w:pPr>
              <w:rPr>
                <w:rFonts w:ascii="Arial"/>
                <w:sz w:val="21"/>
              </w:rPr>
            </w:pPr>
          </w:p>
        </w:tc>
        <w:tc>
          <w:tcPr>
            <w:tcW w:w="1017" w:type="dxa"/>
            <w:vAlign w:val="top"/>
          </w:tcPr>
          <w:p w14:paraId="22C721BB">
            <w:pPr>
              <w:rPr>
                <w:rFonts w:ascii="Arial"/>
                <w:sz w:val="21"/>
              </w:rPr>
            </w:pPr>
          </w:p>
        </w:tc>
      </w:tr>
      <w:tr w14:paraId="38E34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30" w:type="dxa"/>
            <w:vMerge w:val="continue"/>
            <w:tcBorders>
              <w:top w:val="nil"/>
              <w:bottom w:val="nil"/>
            </w:tcBorders>
            <w:vAlign w:val="top"/>
          </w:tcPr>
          <w:p w14:paraId="7726E0C0">
            <w:pPr>
              <w:rPr>
                <w:rFonts w:ascii="Arial"/>
                <w:sz w:val="21"/>
              </w:rPr>
            </w:pPr>
          </w:p>
        </w:tc>
        <w:tc>
          <w:tcPr>
            <w:tcW w:w="2534" w:type="dxa"/>
            <w:vAlign w:val="top"/>
          </w:tcPr>
          <w:p w14:paraId="612FEE0A">
            <w:pPr>
              <w:pStyle w:val="6"/>
              <w:spacing w:before="66" w:line="212" w:lineRule="auto"/>
              <w:ind w:left="82"/>
              <w:rPr>
                <w:rFonts w:ascii="宋体" w:hAnsi="宋体" w:eastAsia="宋体" w:cs="宋体"/>
              </w:rPr>
            </w:pPr>
            <w:r>
              <w:rPr>
                <w:rFonts w:ascii="宋体" w:hAnsi="宋体" w:eastAsia="宋体" w:cs="宋体"/>
                <w:spacing w:val="-11"/>
              </w:rPr>
              <w:t>阴离子表面活性剂（</w:t>
            </w:r>
            <w:r>
              <w:rPr>
                <w:spacing w:val="-11"/>
              </w:rPr>
              <w:t>mg/L</w:t>
            </w:r>
            <w:r>
              <w:rPr>
                <w:rFonts w:ascii="宋体" w:hAnsi="宋体" w:eastAsia="宋体" w:cs="宋体"/>
                <w:spacing w:val="-11"/>
              </w:rPr>
              <w:t>）</w:t>
            </w:r>
          </w:p>
        </w:tc>
        <w:tc>
          <w:tcPr>
            <w:tcW w:w="1010" w:type="dxa"/>
            <w:vAlign w:val="top"/>
          </w:tcPr>
          <w:p w14:paraId="7F6F2482">
            <w:pPr>
              <w:rPr>
                <w:rFonts w:ascii="Arial"/>
                <w:sz w:val="21"/>
              </w:rPr>
            </w:pPr>
          </w:p>
        </w:tc>
        <w:tc>
          <w:tcPr>
            <w:tcW w:w="1010" w:type="dxa"/>
            <w:vAlign w:val="top"/>
          </w:tcPr>
          <w:p w14:paraId="52450AE0">
            <w:pPr>
              <w:rPr>
                <w:rFonts w:ascii="Arial"/>
                <w:sz w:val="21"/>
              </w:rPr>
            </w:pPr>
          </w:p>
        </w:tc>
        <w:tc>
          <w:tcPr>
            <w:tcW w:w="1010" w:type="dxa"/>
            <w:vAlign w:val="top"/>
          </w:tcPr>
          <w:p w14:paraId="759DA4BF">
            <w:pPr>
              <w:rPr>
                <w:rFonts w:ascii="Arial"/>
                <w:sz w:val="21"/>
              </w:rPr>
            </w:pPr>
          </w:p>
        </w:tc>
        <w:tc>
          <w:tcPr>
            <w:tcW w:w="1009" w:type="dxa"/>
            <w:vAlign w:val="top"/>
          </w:tcPr>
          <w:p w14:paraId="789E6136">
            <w:pPr>
              <w:rPr>
                <w:rFonts w:ascii="Arial"/>
                <w:sz w:val="21"/>
              </w:rPr>
            </w:pPr>
          </w:p>
        </w:tc>
        <w:tc>
          <w:tcPr>
            <w:tcW w:w="1017" w:type="dxa"/>
            <w:vAlign w:val="top"/>
          </w:tcPr>
          <w:p w14:paraId="5D60AEC2">
            <w:pPr>
              <w:rPr>
                <w:rFonts w:ascii="Arial"/>
                <w:sz w:val="21"/>
              </w:rPr>
            </w:pPr>
          </w:p>
        </w:tc>
      </w:tr>
      <w:tr w14:paraId="7FF99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0B9D7D8C">
            <w:pPr>
              <w:rPr>
                <w:rFonts w:ascii="Arial"/>
                <w:sz w:val="21"/>
              </w:rPr>
            </w:pPr>
          </w:p>
        </w:tc>
        <w:tc>
          <w:tcPr>
            <w:tcW w:w="2534" w:type="dxa"/>
            <w:vAlign w:val="top"/>
          </w:tcPr>
          <w:p w14:paraId="225A7A73">
            <w:pPr>
              <w:pStyle w:val="6"/>
              <w:spacing w:before="67" w:line="220" w:lineRule="auto"/>
              <w:ind w:left="216"/>
              <w:rPr>
                <w:rFonts w:ascii="宋体" w:hAnsi="宋体" w:eastAsia="宋体" w:cs="宋体"/>
              </w:rPr>
            </w:pPr>
            <w:r>
              <w:rPr>
                <w:rFonts w:ascii="宋体" w:hAnsi="宋体" w:eastAsia="宋体" w:cs="宋体"/>
                <w:spacing w:val="-1"/>
              </w:rPr>
              <w:t>粪大肠菌群（</w:t>
            </w:r>
            <w:r>
              <w:rPr>
                <w:spacing w:val="-1"/>
              </w:rPr>
              <w:t>MPN/L</w:t>
            </w:r>
            <w:r>
              <w:rPr>
                <w:rFonts w:ascii="宋体" w:hAnsi="宋体" w:eastAsia="宋体" w:cs="宋体"/>
                <w:spacing w:val="-1"/>
              </w:rPr>
              <w:t>）</w:t>
            </w:r>
          </w:p>
        </w:tc>
        <w:tc>
          <w:tcPr>
            <w:tcW w:w="1010" w:type="dxa"/>
            <w:vAlign w:val="top"/>
          </w:tcPr>
          <w:p w14:paraId="09ED6EB3">
            <w:pPr>
              <w:rPr>
                <w:rFonts w:ascii="Arial"/>
                <w:sz w:val="21"/>
              </w:rPr>
            </w:pPr>
          </w:p>
        </w:tc>
        <w:tc>
          <w:tcPr>
            <w:tcW w:w="1010" w:type="dxa"/>
            <w:vAlign w:val="top"/>
          </w:tcPr>
          <w:p w14:paraId="19DBB2DD">
            <w:pPr>
              <w:rPr>
                <w:rFonts w:ascii="Arial"/>
                <w:sz w:val="21"/>
              </w:rPr>
            </w:pPr>
          </w:p>
        </w:tc>
        <w:tc>
          <w:tcPr>
            <w:tcW w:w="1010" w:type="dxa"/>
            <w:vAlign w:val="top"/>
          </w:tcPr>
          <w:p w14:paraId="69E4F9A2">
            <w:pPr>
              <w:rPr>
                <w:rFonts w:ascii="Arial"/>
                <w:sz w:val="21"/>
              </w:rPr>
            </w:pPr>
          </w:p>
        </w:tc>
        <w:tc>
          <w:tcPr>
            <w:tcW w:w="1009" w:type="dxa"/>
            <w:vAlign w:val="top"/>
          </w:tcPr>
          <w:p w14:paraId="4EDB3E85">
            <w:pPr>
              <w:rPr>
                <w:rFonts w:ascii="Arial"/>
                <w:sz w:val="21"/>
              </w:rPr>
            </w:pPr>
          </w:p>
        </w:tc>
        <w:tc>
          <w:tcPr>
            <w:tcW w:w="1017" w:type="dxa"/>
            <w:vAlign w:val="top"/>
          </w:tcPr>
          <w:p w14:paraId="0FF4255B">
            <w:pPr>
              <w:rPr>
                <w:rFonts w:ascii="Arial"/>
                <w:sz w:val="21"/>
              </w:rPr>
            </w:pPr>
          </w:p>
        </w:tc>
      </w:tr>
      <w:tr w14:paraId="5A9CC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799068A9">
            <w:pPr>
              <w:rPr>
                <w:rFonts w:ascii="Arial"/>
                <w:sz w:val="21"/>
              </w:rPr>
            </w:pPr>
          </w:p>
        </w:tc>
        <w:tc>
          <w:tcPr>
            <w:tcW w:w="2534" w:type="dxa"/>
            <w:vAlign w:val="top"/>
          </w:tcPr>
          <w:p w14:paraId="455509A0">
            <w:pPr>
              <w:pStyle w:val="6"/>
              <w:spacing w:before="68" w:line="212" w:lineRule="auto"/>
              <w:ind w:left="522"/>
              <w:rPr>
                <w:rFonts w:ascii="宋体" w:hAnsi="宋体" w:eastAsia="宋体" w:cs="宋体"/>
              </w:rPr>
            </w:pPr>
            <w:r>
              <w:rPr>
                <w:rFonts w:ascii="宋体" w:hAnsi="宋体" w:eastAsia="宋体" w:cs="宋体"/>
                <w:spacing w:val="-2"/>
              </w:rPr>
              <w:t>氯化物（</w:t>
            </w:r>
            <w:r>
              <w:rPr>
                <w:spacing w:val="-2"/>
              </w:rPr>
              <w:t>mg/L</w:t>
            </w:r>
            <w:r>
              <w:rPr>
                <w:rFonts w:ascii="宋体" w:hAnsi="宋体" w:eastAsia="宋体" w:cs="宋体"/>
                <w:spacing w:val="-2"/>
              </w:rPr>
              <w:t>）</w:t>
            </w:r>
          </w:p>
        </w:tc>
        <w:tc>
          <w:tcPr>
            <w:tcW w:w="1010" w:type="dxa"/>
            <w:vAlign w:val="top"/>
          </w:tcPr>
          <w:p w14:paraId="5349602D">
            <w:pPr>
              <w:rPr>
                <w:rFonts w:ascii="Arial"/>
                <w:sz w:val="21"/>
              </w:rPr>
            </w:pPr>
          </w:p>
        </w:tc>
        <w:tc>
          <w:tcPr>
            <w:tcW w:w="1010" w:type="dxa"/>
            <w:vAlign w:val="top"/>
          </w:tcPr>
          <w:p w14:paraId="27C4CD3B">
            <w:pPr>
              <w:rPr>
                <w:rFonts w:ascii="Arial"/>
                <w:sz w:val="21"/>
              </w:rPr>
            </w:pPr>
          </w:p>
        </w:tc>
        <w:tc>
          <w:tcPr>
            <w:tcW w:w="1010" w:type="dxa"/>
            <w:vAlign w:val="top"/>
          </w:tcPr>
          <w:p w14:paraId="1E31B4E5">
            <w:pPr>
              <w:rPr>
                <w:rFonts w:ascii="Arial"/>
                <w:sz w:val="21"/>
              </w:rPr>
            </w:pPr>
          </w:p>
        </w:tc>
        <w:tc>
          <w:tcPr>
            <w:tcW w:w="1009" w:type="dxa"/>
            <w:vAlign w:val="top"/>
          </w:tcPr>
          <w:p w14:paraId="79073B24">
            <w:pPr>
              <w:rPr>
                <w:rFonts w:ascii="Arial"/>
                <w:sz w:val="21"/>
              </w:rPr>
            </w:pPr>
          </w:p>
        </w:tc>
        <w:tc>
          <w:tcPr>
            <w:tcW w:w="1017" w:type="dxa"/>
            <w:vAlign w:val="top"/>
          </w:tcPr>
          <w:p w14:paraId="7399FCF8">
            <w:pPr>
              <w:rPr>
                <w:rFonts w:ascii="Arial"/>
                <w:sz w:val="21"/>
              </w:rPr>
            </w:pPr>
          </w:p>
        </w:tc>
      </w:tr>
      <w:tr w14:paraId="3E131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30" w:type="dxa"/>
            <w:vMerge w:val="continue"/>
            <w:tcBorders>
              <w:top w:val="nil"/>
            </w:tcBorders>
            <w:vAlign w:val="top"/>
          </w:tcPr>
          <w:p w14:paraId="20538262">
            <w:pPr>
              <w:rPr>
                <w:rFonts w:ascii="Arial"/>
                <w:sz w:val="21"/>
              </w:rPr>
            </w:pPr>
          </w:p>
        </w:tc>
        <w:tc>
          <w:tcPr>
            <w:tcW w:w="2534" w:type="dxa"/>
            <w:vAlign w:val="top"/>
          </w:tcPr>
          <w:p w14:paraId="21BFED07">
            <w:pPr>
              <w:pStyle w:val="6"/>
              <w:spacing w:before="67" w:line="212" w:lineRule="auto"/>
              <w:ind w:left="102"/>
              <w:rPr>
                <w:rFonts w:ascii="宋体" w:hAnsi="宋体" w:eastAsia="宋体" w:cs="宋体"/>
              </w:rPr>
            </w:pPr>
            <w:r>
              <w:rPr>
                <w:rFonts w:ascii="宋体" w:hAnsi="宋体" w:eastAsia="宋体" w:cs="宋体"/>
                <w:spacing w:val="-1"/>
              </w:rPr>
              <w:t>五日生化需氧量（</w:t>
            </w:r>
            <w:r>
              <w:rPr>
                <w:spacing w:val="-1"/>
              </w:rPr>
              <w:t>mg/L</w:t>
            </w:r>
            <w:r>
              <w:rPr>
                <w:rFonts w:ascii="宋体" w:hAnsi="宋体" w:eastAsia="宋体" w:cs="宋体"/>
                <w:spacing w:val="-1"/>
              </w:rPr>
              <w:t>）</w:t>
            </w:r>
          </w:p>
        </w:tc>
        <w:tc>
          <w:tcPr>
            <w:tcW w:w="1010" w:type="dxa"/>
            <w:vAlign w:val="top"/>
          </w:tcPr>
          <w:p w14:paraId="383AFC5D">
            <w:pPr>
              <w:rPr>
                <w:rFonts w:ascii="Arial"/>
                <w:sz w:val="21"/>
              </w:rPr>
            </w:pPr>
          </w:p>
        </w:tc>
        <w:tc>
          <w:tcPr>
            <w:tcW w:w="1010" w:type="dxa"/>
            <w:vAlign w:val="top"/>
          </w:tcPr>
          <w:p w14:paraId="38A060F2">
            <w:pPr>
              <w:rPr>
                <w:rFonts w:ascii="Arial"/>
                <w:sz w:val="21"/>
              </w:rPr>
            </w:pPr>
          </w:p>
        </w:tc>
        <w:tc>
          <w:tcPr>
            <w:tcW w:w="1010" w:type="dxa"/>
            <w:vAlign w:val="top"/>
          </w:tcPr>
          <w:p w14:paraId="2900424C">
            <w:pPr>
              <w:rPr>
                <w:rFonts w:ascii="Arial"/>
                <w:sz w:val="21"/>
              </w:rPr>
            </w:pPr>
          </w:p>
        </w:tc>
        <w:tc>
          <w:tcPr>
            <w:tcW w:w="1009" w:type="dxa"/>
            <w:vAlign w:val="top"/>
          </w:tcPr>
          <w:p w14:paraId="1E29F572">
            <w:pPr>
              <w:rPr>
                <w:rFonts w:ascii="Arial"/>
                <w:sz w:val="21"/>
              </w:rPr>
            </w:pPr>
          </w:p>
        </w:tc>
        <w:tc>
          <w:tcPr>
            <w:tcW w:w="1017" w:type="dxa"/>
            <w:vAlign w:val="top"/>
          </w:tcPr>
          <w:p w14:paraId="0A1E4765">
            <w:pPr>
              <w:rPr>
                <w:rFonts w:ascii="Arial"/>
                <w:sz w:val="21"/>
              </w:rPr>
            </w:pPr>
          </w:p>
        </w:tc>
      </w:tr>
    </w:tbl>
    <w:p w14:paraId="62CA3CAE">
      <w:pPr>
        <w:pStyle w:val="2"/>
      </w:pPr>
    </w:p>
    <w:p w14:paraId="491B1FB8">
      <w:pPr>
        <w:sectPr>
          <w:headerReference r:id="rId329" w:type="default"/>
          <w:footerReference r:id="rId330" w:type="default"/>
          <w:pgSz w:w="11905" w:h="16840"/>
          <w:pgMar w:top="1168" w:right="1712" w:bottom="1409" w:left="1770" w:header="828" w:footer="1244" w:gutter="0"/>
          <w:cols w:space="720" w:num="1"/>
        </w:sectPr>
      </w:pPr>
    </w:p>
    <w:p w14:paraId="3FAF7F67">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0"/>
        <w:gridCol w:w="2534"/>
        <w:gridCol w:w="1010"/>
        <w:gridCol w:w="1010"/>
        <w:gridCol w:w="1010"/>
        <w:gridCol w:w="1009"/>
        <w:gridCol w:w="1017"/>
      </w:tblGrid>
      <w:tr w14:paraId="798B1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264" w:type="dxa"/>
            <w:gridSpan w:val="2"/>
            <w:vAlign w:val="top"/>
          </w:tcPr>
          <w:p w14:paraId="631F5381">
            <w:pPr>
              <w:spacing w:before="68" w:line="220" w:lineRule="auto"/>
              <w:ind w:left="1218"/>
              <w:rPr>
                <w:rFonts w:ascii="宋体" w:hAnsi="宋体" w:eastAsia="宋体" w:cs="宋体"/>
                <w:sz w:val="21"/>
                <w:szCs w:val="21"/>
              </w:rPr>
            </w:pPr>
            <w:r>
              <w:rPr>
                <w:rFonts w:ascii="宋体" w:hAnsi="宋体" w:eastAsia="宋体" w:cs="宋体"/>
                <w:spacing w:val="-2"/>
                <w:sz w:val="21"/>
                <w:szCs w:val="21"/>
              </w:rPr>
              <w:t>检测日期</w:t>
            </w:r>
          </w:p>
        </w:tc>
        <w:tc>
          <w:tcPr>
            <w:tcW w:w="5056" w:type="dxa"/>
            <w:gridSpan w:val="5"/>
            <w:vAlign w:val="top"/>
          </w:tcPr>
          <w:p w14:paraId="3CE0D018">
            <w:pPr>
              <w:pStyle w:val="6"/>
              <w:spacing w:before="68" w:line="220" w:lineRule="auto"/>
              <w:ind w:left="1662"/>
              <w:rPr>
                <w:rFonts w:ascii="宋体" w:hAnsi="宋体" w:eastAsia="宋体" w:cs="宋体"/>
              </w:rPr>
            </w:pPr>
            <w:r>
              <w:rPr>
                <w:spacing w:val="-6"/>
              </w:rPr>
              <w:t xml:space="preserve">2022 </w:t>
            </w:r>
            <w:r>
              <w:rPr>
                <w:rFonts w:ascii="宋体" w:hAnsi="宋体" w:eastAsia="宋体" w:cs="宋体"/>
                <w:spacing w:val="-6"/>
              </w:rPr>
              <w:t>年</w:t>
            </w:r>
            <w:r>
              <w:rPr>
                <w:rFonts w:ascii="宋体" w:hAnsi="宋体" w:eastAsia="宋体" w:cs="宋体"/>
                <w:spacing w:val="-20"/>
              </w:rPr>
              <w:t xml:space="preserve"> </w:t>
            </w:r>
            <w:r>
              <w:rPr>
                <w:spacing w:val="-6"/>
              </w:rPr>
              <w:t>12</w:t>
            </w:r>
            <w:r>
              <w:rPr>
                <w:spacing w:val="13"/>
              </w:rPr>
              <w:t xml:space="preserve"> </w:t>
            </w:r>
            <w:r>
              <w:rPr>
                <w:rFonts w:ascii="宋体" w:hAnsi="宋体" w:eastAsia="宋体" w:cs="宋体"/>
                <w:spacing w:val="-6"/>
              </w:rPr>
              <w:t>月</w:t>
            </w:r>
            <w:r>
              <w:rPr>
                <w:rFonts w:ascii="宋体" w:hAnsi="宋体" w:eastAsia="宋体" w:cs="宋体"/>
                <w:spacing w:val="-28"/>
              </w:rPr>
              <w:t xml:space="preserve"> </w:t>
            </w:r>
            <w:r>
              <w:rPr>
                <w:spacing w:val="-6"/>
              </w:rPr>
              <w:t xml:space="preserve">13  </w:t>
            </w:r>
            <w:r>
              <w:rPr>
                <w:rFonts w:ascii="宋体" w:hAnsi="宋体" w:eastAsia="宋体" w:cs="宋体"/>
                <w:spacing w:val="-6"/>
              </w:rPr>
              <w:t>日</w:t>
            </w:r>
          </w:p>
        </w:tc>
      </w:tr>
      <w:tr w14:paraId="5E838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30" w:type="dxa"/>
            <w:vMerge w:val="restart"/>
            <w:tcBorders>
              <w:bottom w:val="nil"/>
            </w:tcBorders>
            <w:vAlign w:val="top"/>
          </w:tcPr>
          <w:p w14:paraId="4E04B608">
            <w:pPr>
              <w:spacing w:before="104" w:line="242" w:lineRule="auto"/>
              <w:ind w:left="265" w:right="47" w:hanging="210"/>
              <w:rPr>
                <w:rFonts w:ascii="宋体" w:hAnsi="宋体" w:eastAsia="宋体" w:cs="宋体"/>
                <w:sz w:val="21"/>
                <w:szCs w:val="21"/>
              </w:rPr>
            </w:pPr>
            <w:r>
              <w:rPr>
                <w:rFonts w:ascii="宋体" w:hAnsi="宋体" w:eastAsia="宋体" w:cs="宋体"/>
                <w:spacing w:val="-3"/>
                <w:sz w:val="21"/>
                <w:szCs w:val="21"/>
              </w:rPr>
              <w:t>检测点</w:t>
            </w:r>
            <w:r>
              <w:rPr>
                <w:rFonts w:ascii="宋体" w:hAnsi="宋体" w:eastAsia="宋体" w:cs="宋体"/>
                <w:sz w:val="21"/>
                <w:szCs w:val="21"/>
              </w:rPr>
              <w:t>位</w:t>
            </w:r>
          </w:p>
        </w:tc>
        <w:tc>
          <w:tcPr>
            <w:tcW w:w="2534" w:type="dxa"/>
            <w:vMerge w:val="restart"/>
            <w:tcBorders>
              <w:bottom w:val="nil"/>
            </w:tcBorders>
            <w:vAlign w:val="top"/>
          </w:tcPr>
          <w:p w14:paraId="4C5CC7AB">
            <w:pPr>
              <w:spacing w:before="238" w:line="220" w:lineRule="auto"/>
              <w:ind w:left="851"/>
              <w:rPr>
                <w:rFonts w:ascii="宋体" w:hAnsi="宋体" w:eastAsia="宋体" w:cs="宋体"/>
                <w:sz w:val="21"/>
                <w:szCs w:val="21"/>
              </w:rPr>
            </w:pPr>
            <w:r>
              <w:rPr>
                <w:rFonts w:ascii="宋体" w:hAnsi="宋体" w:eastAsia="宋体" w:cs="宋体"/>
                <w:spacing w:val="-2"/>
                <w:sz w:val="21"/>
                <w:szCs w:val="21"/>
              </w:rPr>
              <w:t>检测项目</w:t>
            </w:r>
          </w:p>
        </w:tc>
        <w:tc>
          <w:tcPr>
            <w:tcW w:w="5056" w:type="dxa"/>
            <w:gridSpan w:val="5"/>
            <w:vAlign w:val="top"/>
          </w:tcPr>
          <w:p w14:paraId="4DFC8AF0">
            <w:pPr>
              <w:spacing w:before="63" w:line="220" w:lineRule="auto"/>
              <w:ind w:left="2111"/>
              <w:rPr>
                <w:rFonts w:ascii="宋体" w:hAnsi="宋体" w:eastAsia="宋体" w:cs="宋体"/>
                <w:sz w:val="21"/>
                <w:szCs w:val="21"/>
              </w:rPr>
            </w:pPr>
            <w:r>
              <w:rPr>
                <w:rFonts w:ascii="宋体" w:hAnsi="宋体" w:eastAsia="宋体" w:cs="宋体"/>
                <w:spacing w:val="-2"/>
                <w:sz w:val="21"/>
                <w:szCs w:val="21"/>
              </w:rPr>
              <w:t>检测结果</w:t>
            </w:r>
          </w:p>
        </w:tc>
      </w:tr>
      <w:tr w14:paraId="38448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tcBorders>
            <w:vAlign w:val="top"/>
          </w:tcPr>
          <w:p w14:paraId="29D58903">
            <w:pPr>
              <w:rPr>
                <w:rFonts w:ascii="Arial"/>
                <w:sz w:val="21"/>
              </w:rPr>
            </w:pPr>
          </w:p>
        </w:tc>
        <w:tc>
          <w:tcPr>
            <w:tcW w:w="2534" w:type="dxa"/>
            <w:vMerge w:val="continue"/>
            <w:tcBorders>
              <w:top w:val="nil"/>
            </w:tcBorders>
            <w:vAlign w:val="top"/>
          </w:tcPr>
          <w:p w14:paraId="757AF479">
            <w:pPr>
              <w:rPr>
                <w:rFonts w:ascii="Arial"/>
                <w:sz w:val="21"/>
              </w:rPr>
            </w:pPr>
          </w:p>
        </w:tc>
        <w:tc>
          <w:tcPr>
            <w:tcW w:w="1010" w:type="dxa"/>
            <w:vAlign w:val="top"/>
          </w:tcPr>
          <w:p w14:paraId="7312591D">
            <w:pPr>
              <w:spacing w:before="65" w:line="220" w:lineRule="auto"/>
              <w:ind w:left="195"/>
              <w:rPr>
                <w:rFonts w:ascii="宋体" w:hAnsi="宋体" w:eastAsia="宋体" w:cs="宋体"/>
                <w:sz w:val="21"/>
                <w:szCs w:val="21"/>
              </w:rPr>
            </w:pPr>
            <w:r>
              <w:rPr>
                <w:rFonts w:ascii="宋体" w:hAnsi="宋体" w:eastAsia="宋体" w:cs="宋体"/>
                <w:spacing w:val="-3"/>
                <w:sz w:val="21"/>
                <w:szCs w:val="21"/>
              </w:rPr>
              <w:t>第一次</w:t>
            </w:r>
          </w:p>
        </w:tc>
        <w:tc>
          <w:tcPr>
            <w:tcW w:w="1010" w:type="dxa"/>
            <w:vAlign w:val="top"/>
          </w:tcPr>
          <w:p w14:paraId="36146725">
            <w:pPr>
              <w:spacing w:before="65" w:line="220" w:lineRule="auto"/>
              <w:ind w:left="195"/>
              <w:rPr>
                <w:rFonts w:ascii="宋体" w:hAnsi="宋体" w:eastAsia="宋体" w:cs="宋体"/>
                <w:sz w:val="21"/>
                <w:szCs w:val="21"/>
              </w:rPr>
            </w:pPr>
            <w:r>
              <w:rPr>
                <w:rFonts w:ascii="宋体" w:hAnsi="宋体" w:eastAsia="宋体" w:cs="宋体"/>
                <w:spacing w:val="-2"/>
                <w:sz w:val="21"/>
                <w:szCs w:val="21"/>
              </w:rPr>
              <w:t>第二次</w:t>
            </w:r>
          </w:p>
        </w:tc>
        <w:tc>
          <w:tcPr>
            <w:tcW w:w="1010" w:type="dxa"/>
            <w:vAlign w:val="top"/>
          </w:tcPr>
          <w:p w14:paraId="5E158F43">
            <w:pPr>
              <w:spacing w:before="65" w:line="220" w:lineRule="auto"/>
              <w:ind w:left="195"/>
              <w:rPr>
                <w:rFonts w:ascii="宋体" w:hAnsi="宋体" w:eastAsia="宋体" w:cs="宋体"/>
                <w:sz w:val="21"/>
                <w:szCs w:val="21"/>
              </w:rPr>
            </w:pPr>
            <w:r>
              <w:rPr>
                <w:rFonts w:ascii="宋体" w:hAnsi="宋体" w:eastAsia="宋体" w:cs="宋体"/>
                <w:spacing w:val="-2"/>
                <w:sz w:val="21"/>
                <w:szCs w:val="21"/>
              </w:rPr>
              <w:t>第三次</w:t>
            </w:r>
          </w:p>
        </w:tc>
        <w:tc>
          <w:tcPr>
            <w:tcW w:w="1009" w:type="dxa"/>
            <w:vAlign w:val="top"/>
          </w:tcPr>
          <w:p w14:paraId="5FBE05DE">
            <w:pPr>
              <w:spacing w:before="65" w:line="220" w:lineRule="auto"/>
              <w:ind w:left="196"/>
              <w:rPr>
                <w:rFonts w:ascii="宋体" w:hAnsi="宋体" w:eastAsia="宋体" w:cs="宋体"/>
                <w:sz w:val="21"/>
                <w:szCs w:val="21"/>
              </w:rPr>
            </w:pPr>
            <w:r>
              <w:rPr>
                <w:rFonts w:ascii="宋体" w:hAnsi="宋体" w:eastAsia="宋体" w:cs="宋体"/>
                <w:spacing w:val="-2"/>
                <w:sz w:val="21"/>
                <w:szCs w:val="21"/>
              </w:rPr>
              <w:t>第四次</w:t>
            </w:r>
          </w:p>
        </w:tc>
        <w:tc>
          <w:tcPr>
            <w:tcW w:w="1017" w:type="dxa"/>
            <w:vAlign w:val="top"/>
          </w:tcPr>
          <w:p w14:paraId="75B52102">
            <w:pPr>
              <w:spacing w:before="65" w:line="220" w:lineRule="auto"/>
              <w:ind w:left="198"/>
              <w:rPr>
                <w:rFonts w:ascii="宋体" w:hAnsi="宋体" w:eastAsia="宋体" w:cs="宋体"/>
                <w:sz w:val="21"/>
                <w:szCs w:val="21"/>
              </w:rPr>
            </w:pPr>
            <w:r>
              <w:rPr>
                <w:rFonts w:ascii="宋体" w:hAnsi="宋体" w:eastAsia="宋体" w:cs="宋体"/>
                <w:spacing w:val="-2"/>
                <w:sz w:val="21"/>
                <w:szCs w:val="21"/>
              </w:rPr>
              <w:t>平均值</w:t>
            </w:r>
          </w:p>
        </w:tc>
      </w:tr>
      <w:tr w14:paraId="0064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30" w:type="dxa"/>
            <w:vMerge w:val="restart"/>
            <w:tcBorders>
              <w:bottom w:val="nil"/>
            </w:tcBorders>
            <w:vAlign w:val="top"/>
          </w:tcPr>
          <w:p w14:paraId="45A32475">
            <w:pPr>
              <w:spacing w:line="274" w:lineRule="auto"/>
              <w:rPr>
                <w:rFonts w:ascii="Arial"/>
                <w:sz w:val="21"/>
              </w:rPr>
            </w:pPr>
          </w:p>
          <w:p w14:paraId="371E9712">
            <w:pPr>
              <w:spacing w:line="274" w:lineRule="auto"/>
              <w:rPr>
                <w:rFonts w:ascii="Arial"/>
                <w:sz w:val="21"/>
              </w:rPr>
            </w:pPr>
          </w:p>
          <w:p w14:paraId="213E1AC9">
            <w:pPr>
              <w:spacing w:line="274" w:lineRule="auto"/>
              <w:rPr>
                <w:rFonts w:ascii="Arial"/>
                <w:sz w:val="21"/>
              </w:rPr>
            </w:pPr>
          </w:p>
          <w:p w14:paraId="79F50320">
            <w:pPr>
              <w:spacing w:line="275" w:lineRule="auto"/>
              <w:rPr>
                <w:rFonts w:ascii="Arial"/>
                <w:sz w:val="21"/>
              </w:rPr>
            </w:pPr>
          </w:p>
          <w:p w14:paraId="5E122D48">
            <w:pPr>
              <w:spacing w:line="275" w:lineRule="auto"/>
              <w:rPr>
                <w:rFonts w:ascii="Arial"/>
                <w:sz w:val="21"/>
              </w:rPr>
            </w:pPr>
          </w:p>
          <w:p w14:paraId="4D03FBA7">
            <w:pPr>
              <w:spacing w:line="275" w:lineRule="auto"/>
              <w:rPr>
                <w:rFonts w:ascii="Arial"/>
                <w:sz w:val="21"/>
              </w:rPr>
            </w:pPr>
          </w:p>
          <w:p w14:paraId="7E0D59DD">
            <w:pPr>
              <w:spacing w:before="69" w:line="220" w:lineRule="auto"/>
              <w:ind w:left="74"/>
              <w:rPr>
                <w:rFonts w:ascii="宋体" w:hAnsi="宋体" w:eastAsia="宋体" w:cs="宋体"/>
                <w:sz w:val="21"/>
                <w:szCs w:val="21"/>
              </w:rPr>
            </w:pPr>
            <w:r>
              <w:rPr>
                <w:rFonts w:ascii="宋体" w:hAnsi="宋体" w:eastAsia="宋体" w:cs="宋体"/>
                <w:spacing w:val="-6"/>
                <w:sz w:val="21"/>
                <w:szCs w:val="21"/>
              </w:rPr>
              <w:t>出水口</w:t>
            </w:r>
          </w:p>
        </w:tc>
        <w:tc>
          <w:tcPr>
            <w:tcW w:w="2534" w:type="dxa"/>
            <w:vAlign w:val="top"/>
          </w:tcPr>
          <w:p w14:paraId="367A934A">
            <w:pPr>
              <w:pStyle w:val="6"/>
              <w:spacing w:before="55" w:line="185" w:lineRule="auto"/>
              <w:ind w:left="1134"/>
            </w:pPr>
            <w:r>
              <w:t>pH</w:t>
            </w:r>
          </w:p>
          <w:p w14:paraId="2FA872EE">
            <w:pPr>
              <w:spacing w:before="32" w:line="207" w:lineRule="auto"/>
              <w:ind w:left="752"/>
              <w:rPr>
                <w:rFonts w:ascii="宋体" w:hAnsi="宋体" w:eastAsia="宋体" w:cs="宋体"/>
                <w:sz w:val="21"/>
                <w:szCs w:val="21"/>
              </w:rPr>
            </w:pPr>
            <w:r>
              <w:rPr>
                <w:rFonts w:ascii="宋体" w:hAnsi="宋体" w:eastAsia="宋体" w:cs="宋体"/>
                <w:spacing w:val="-5"/>
                <w:sz w:val="21"/>
                <w:szCs w:val="21"/>
              </w:rPr>
              <w:t>（无量纲）</w:t>
            </w:r>
          </w:p>
        </w:tc>
        <w:tc>
          <w:tcPr>
            <w:tcW w:w="1010" w:type="dxa"/>
            <w:vAlign w:val="top"/>
          </w:tcPr>
          <w:p w14:paraId="6371B04D">
            <w:pPr>
              <w:rPr>
                <w:rFonts w:ascii="Arial"/>
                <w:sz w:val="21"/>
              </w:rPr>
            </w:pPr>
          </w:p>
        </w:tc>
        <w:tc>
          <w:tcPr>
            <w:tcW w:w="1010" w:type="dxa"/>
            <w:vAlign w:val="top"/>
          </w:tcPr>
          <w:p w14:paraId="2DF7B13C">
            <w:pPr>
              <w:rPr>
                <w:rFonts w:ascii="Arial"/>
                <w:sz w:val="21"/>
              </w:rPr>
            </w:pPr>
          </w:p>
        </w:tc>
        <w:tc>
          <w:tcPr>
            <w:tcW w:w="1010" w:type="dxa"/>
            <w:vAlign w:val="top"/>
          </w:tcPr>
          <w:p w14:paraId="488531C3">
            <w:pPr>
              <w:rPr>
                <w:rFonts w:ascii="Arial"/>
                <w:sz w:val="21"/>
              </w:rPr>
            </w:pPr>
          </w:p>
        </w:tc>
        <w:tc>
          <w:tcPr>
            <w:tcW w:w="1009" w:type="dxa"/>
            <w:vAlign w:val="top"/>
          </w:tcPr>
          <w:p w14:paraId="5FC52C82">
            <w:pPr>
              <w:rPr>
                <w:rFonts w:ascii="Arial"/>
                <w:sz w:val="21"/>
              </w:rPr>
            </w:pPr>
          </w:p>
        </w:tc>
        <w:tc>
          <w:tcPr>
            <w:tcW w:w="1017" w:type="dxa"/>
            <w:vAlign w:val="top"/>
          </w:tcPr>
          <w:p w14:paraId="095B7B21">
            <w:pPr>
              <w:rPr>
                <w:rFonts w:ascii="Arial"/>
                <w:sz w:val="21"/>
              </w:rPr>
            </w:pPr>
          </w:p>
        </w:tc>
      </w:tr>
      <w:tr w14:paraId="1E400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30" w:type="dxa"/>
            <w:vMerge w:val="continue"/>
            <w:tcBorders>
              <w:top w:val="nil"/>
              <w:bottom w:val="nil"/>
            </w:tcBorders>
            <w:vAlign w:val="top"/>
          </w:tcPr>
          <w:p w14:paraId="3C294D33">
            <w:pPr>
              <w:rPr>
                <w:rFonts w:ascii="Arial"/>
                <w:sz w:val="21"/>
              </w:rPr>
            </w:pPr>
          </w:p>
        </w:tc>
        <w:tc>
          <w:tcPr>
            <w:tcW w:w="2534" w:type="dxa"/>
            <w:vAlign w:val="top"/>
          </w:tcPr>
          <w:p w14:paraId="2ABE8F45">
            <w:pPr>
              <w:spacing w:before="64" w:line="220" w:lineRule="auto"/>
              <w:ind w:left="749"/>
              <w:rPr>
                <w:rFonts w:ascii="宋体" w:hAnsi="宋体" w:eastAsia="宋体" w:cs="宋体"/>
                <w:sz w:val="21"/>
                <w:szCs w:val="21"/>
              </w:rPr>
            </w:pPr>
            <w:r>
              <w:rPr>
                <w:rFonts w:ascii="宋体" w:hAnsi="宋体" w:eastAsia="宋体" w:cs="宋体"/>
                <w:spacing w:val="16"/>
                <w:sz w:val="21"/>
                <w:szCs w:val="21"/>
              </w:rPr>
              <w:t>水温(℃)</w:t>
            </w:r>
          </w:p>
        </w:tc>
        <w:tc>
          <w:tcPr>
            <w:tcW w:w="1010" w:type="dxa"/>
            <w:vAlign w:val="top"/>
          </w:tcPr>
          <w:p w14:paraId="3A96C9A8">
            <w:pPr>
              <w:rPr>
                <w:rFonts w:ascii="Arial"/>
                <w:sz w:val="21"/>
              </w:rPr>
            </w:pPr>
          </w:p>
        </w:tc>
        <w:tc>
          <w:tcPr>
            <w:tcW w:w="1010" w:type="dxa"/>
            <w:vAlign w:val="top"/>
          </w:tcPr>
          <w:p w14:paraId="1366C7B6">
            <w:pPr>
              <w:rPr>
                <w:rFonts w:ascii="Arial"/>
                <w:sz w:val="21"/>
              </w:rPr>
            </w:pPr>
          </w:p>
        </w:tc>
        <w:tc>
          <w:tcPr>
            <w:tcW w:w="1010" w:type="dxa"/>
            <w:vAlign w:val="top"/>
          </w:tcPr>
          <w:p w14:paraId="6DC9C3DE">
            <w:pPr>
              <w:rPr>
                <w:rFonts w:ascii="Arial"/>
                <w:sz w:val="21"/>
              </w:rPr>
            </w:pPr>
          </w:p>
        </w:tc>
        <w:tc>
          <w:tcPr>
            <w:tcW w:w="1009" w:type="dxa"/>
            <w:vAlign w:val="top"/>
          </w:tcPr>
          <w:p w14:paraId="1C989A3C">
            <w:pPr>
              <w:rPr>
                <w:rFonts w:ascii="Arial"/>
                <w:sz w:val="21"/>
              </w:rPr>
            </w:pPr>
          </w:p>
        </w:tc>
        <w:tc>
          <w:tcPr>
            <w:tcW w:w="1017" w:type="dxa"/>
            <w:vAlign w:val="top"/>
          </w:tcPr>
          <w:p w14:paraId="38C9949C">
            <w:pPr>
              <w:rPr>
                <w:rFonts w:ascii="Arial"/>
                <w:sz w:val="21"/>
              </w:rPr>
            </w:pPr>
          </w:p>
        </w:tc>
      </w:tr>
      <w:tr w14:paraId="79930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2D522DA2">
            <w:pPr>
              <w:rPr>
                <w:rFonts w:ascii="Arial"/>
                <w:sz w:val="21"/>
              </w:rPr>
            </w:pPr>
          </w:p>
        </w:tc>
        <w:tc>
          <w:tcPr>
            <w:tcW w:w="2534" w:type="dxa"/>
            <w:vAlign w:val="top"/>
          </w:tcPr>
          <w:p w14:paraId="3018DAA6">
            <w:pPr>
              <w:pStyle w:val="6"/>
              <w:spacing w:before="66" w:line="212" w:lineRule="auto"/>
              <w:ind w:left="518"/>
              <w:rPr>
                <w:rFonts w:ascii="宋体" w:hAnsi="宋体" w:eastAsia="宋体" w:cs="宋体"/>
              </w:rPr>
            </w:pPr>
            <w:r>
              <w:rPr>
                <w:rFonts w:ascii="宋体" w:hAnsi="宋体" w:eastAsia="宋体" w:cs="宋体"/>
                <w:spacing w:val="-1"/>
              </w:rPr>
              <w:t>全盐量（</w:t>
            </w:r>
            <w:r>
              <w:rPr>
                <w:spacing w:val="-1"/>
              </w:rPr>
              <w:t>mg/L</w:t>
            </w:r>
            <w:r>
              <w:rPr>
                <w:rFonts w:ascii="宋体" w:hAnsi="宋体" w:eastAsia="宋体" w:cs="宋体"/>
                <w:spacing w:val="-1"/>
              </w:rPr>
              <w:t>）</w:t>
            </w:r>
          </w:p>
        </w:tc>
        <w:tc>
          <w:tcPr>
            <w:tcW w:w="1010" w:type="dxa"/>
            <w:vAlign w:val="top"/>
          </w:tcPr>
          <w:p w14:paraId="1E81F6FF">
            <w:pPr>
              <w:rPr>
                <w:rFonts w:ascii="Arial"/>
                <w:sz w:val="21"/>
              </w:rPr>
            </w:pPr>
          </w:p>
        </w:tc>
        <w:tc>
          <w:tcPr>
            <w:tcW w:w="1010" w:type="dxa"/>
            <w:vAlign w:val="top"/>
          </w:tcPr>
          <w:p w14:paraId="74434142">
            <w:pPr>
              <w:rPr>
                <w:rFonts w:ascii="Arial"/>
                <w:sz w:val="21"/>
              </w:rPr>
            </w:pPr>
          </w:p>
        </w:tc>
        <w:tc>
          <w:tcPr>
            <w:tcW w:w="1010" w:type="dxa"/>
            <w:vAlign w:val="top"/>
          </w:tcPr>
          <w:p w14:paraId="2742ECDD">
            <w:pPr>
              <w:rPr>
                <w:rFonts w:ascii="Arial"/>
                <w:sz w:val="21"/>
              </w:rPr>
            </w:pPr>
          </w:p>
        </w:tc>
        <w:tc>
          <w:tcPr>
            <w:tcW w:w="1009" w:type="dxa"/>
            <w:vAlign w:val="top"/>
          </w:tcPr>
          <w:p w14:paraId="4228EDC2">
            <w:pPr>
              <w:rPr>
                <w:rFonts w:ascii="Arial"/>
                <w:sz w:val="21"/>
              </w:rPr>
            </w:pPr>
          </w:p>
        </w:tc>
        <w:tc>
          <w:tcPr>
            <w:tcW w:w="1017" w:type="dxa"/>
            <w:vAlign w:val="top"/>
          </w:tcPr>
          <w:p w14:paraId="59970096">
            <w:pPr>
              <w:rPr>
                <w:rFonts w:ascii="Arial"/>
                <w:sz w:val="21"/>
              </w:rPr>
            </w:pPr>
          </w:p>
        </w:tc>
      </w:tr>
      <w:tr w14:paraId="57A4C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5391D53A">
            <w:pPr>
              <w:rPr>
                <w:rFonts w:ascii="Arial"/>
                <w:sz w:val="21"/>
              </w:rPr>
            </w:pPr>
          </w:p>
        </w:tc>
        <w:tc>
          <w:tcPr>
            <w:tcW w:w="2534" w:type="dxa"/>
            <w:vAlign w:val="top"/>
          </w:tcPr>
          <w:p w14:paraId="726C301A">
            <w:pPr>
              <w:pStyle w:val="6"/>
              <w:spacing w:before="65" w:line="212" w:lineRule="auto"/>
              <w:ind w:left="309"/>
              <w:rPr>
                <w:rFonts w:ascii="宋体" w:hAnsi="宋体" w:eastAsia="宋体" w:cs="宋体"/>
              </w:rPr>
            </w:pPr>
            <w:r>
              <w:rPr>
                <w:rFonts w:ascii="宋体" w:hAnsi="宋体" w:eastAsia="宋体" w:cs="宋体"/>
                <w:spacing w:val="-1"/>
              </w:rPr>
              <w:t>化学需氧量（</w:t>
            </w:r>
            <w:r>
              <w:rPr>
                <w:spacing w:val="-1"/>
              </w:rPr>
              <w:t>mg/L</w:t>
            </w:r>
            <w:r>
              <w:rPr>
                <w:rFonts w:ascii="宋体" w:hAnsi="宋体" w:eastAsia="宋体" w:cs="宋体"/>
                <w:spacing w:val="-1"/>
              </w:rPr>
              <w:t>）</w:t>
            </w:r>
          </w:p>
        </w:tc>
        <w:tc>
          <w:tcPr>
            <w:tcW w:w="1010" w:type="dxa"/>
            <w:vAlign w:val="top"/>
          </w:tcPr>
          <w:p w14:paraId="3AE983D5">
            <w:pPr>
              <w:rPr>
                <w:rFonts w:ascii="Arial"/>
                <w:sz w:val="21"/>
              </w:rPr>
            </w:pPr>
          </w:p>
        </w:tc>
        <w:tc>
          <w:tcPr>
            <w:tcW w:w="1010" w:type="dxa"/>
            <w:vAlign w:val="top"/>
          </w:tcPr>
          <w:p w14:paraId="2F34B79C">
            <w:pPr>
              <w:rPr>
                <w:rFonts w:ascii="Arial"/>
                <w:sz w:val="21"/>
              </w:rPr>
            </w:pPr>
          </w:p>
        </w:tc>
        <w:tc>
          <w:tcPr>
            <w:tcW w:w="1010" w:type="dxa"/>
            <w:vAlign w:val="top"/>
          </w:tcPr>
          <w:p w14:paraId="6F924E17">
            <w:pPr>
              <w:rPr>
                <w:rFonts w:ascii="Arial"/>
                <w:sz w:val="21"/>
              </w:rPr>
            </w:pPr>
          </w:p>
        </w:tc>
        <w:tc>
          <w:tcPr>
            <w:tcW w:w="1009" w:type="dxa"/>
            <w:vAlign w:val="top"/>
          </w:tcPr>
          <w:p w14:paraId="5E1AE204">
            <w:pPr>
              <w:rPr>
                <w:rFonts w:ascii="Arial"/>
                <w:sz w:val="21"/>
              </w:rPr>
            </w:pPr>
          </w:p>
        </w:tc>
        <w:tc>
          <w:tcPr>
            <w:tcW w:w="1017" w:type="dxa"/>
            <w:vAlign w:val="top"/>
          </w:tcPr>
          <w:p w14:paraId="39E14701">
            <w:pPr>
              <w:rPr>
                <w:rFonts w:ascii="Arial"/>
                <w:sz w:val="21"/>
              </w:rPr>
            </w:pPr>
          </w:p>
        </w:tc>
      </w:tr>
      <w:tr w14:paraId="6A85F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30" w:type="dxa"/>
            <w:vMerge w:val="continue"/>
            <w:tcBorders>
              <w:top w:val="nil"/>
              <w:bottom w:val="nil"/>
            </w:tcBorders>
            <w:vAlign w:val="top"/>
          </w:tcPr>
          <w:p w14:paraId="0C9AA59E">
            <w:pPr>
              <w:rPr>
                <w:rFonts w:ascii="Arial"/>
                <w:sz w:val="21"/>
              </w:rPr>
            </w:pPr>
          </w:p>
        </w:tc>
        <w:tc>
          <w:tcPr>
            <w:tcW w:w="2534" w:type="dxa"/>
            <w:vAlign w:val="top"/>
          </w:tcPr>
          <w:p w14:paraId="5E421DD7">
            <w:pPr>
              <w:pStyle w:val="6"/>
              <w:spacing w:before="66" w:line="212" w:lineRule="auto"/>
              <w:ind w:left="521"/>
              <w:rPr>
                <w:rFonts w:ascii="宋体" w:hAnsi="宋体" w:eastAsia="宋体" w:cs="宋体"/>
              </w:rPr>
            </w:pPr>
            <w:r>
              <w:rPr>
                <w:rFonts w:ascii="宋体" w:hAnsi="宋体" w:eastAsia="宋体" w:cs="宋体"/>
                <w:spacing w:val="-2"/>
              </w:rPr>
              <w:t>悬浮物（</w:t>
            </w:r>
            <w:r>
              <w:rPr>
                <w:spacing w:val="-2"/>
              </w:rPr>
              <w:t>mg/L</w:t>
            </w:r>
            <w:r>
              <w:rPr>
                <w:rFonts w:ascii="宋体" w:hAnsi="宋体" w:eastAsia="宋体" w:cs="宋体"/>
                <w:spacing w:val="-2"/>
              </w:rPr>
              <w:t>）</w:t>
            </w:r>
          </w:p>
        </w:tc>
        <w:tc>
          <w:tcPr>
            <w:tcW w:w="1010" w:type="dxa"/>
            <w:vAlign w:val="top"/>
          </w:tcPr>
          <w:p w14:paraId="5D56D244">
            <w:pPr>
              <w:rPr>
                <w:rFonts w:ascii="Arial"/>
                <w:sz w:val="21"/>
              </w:rPr>
            </w:pPr>
          </w:p>
        </w:tc>
        <w:tc>
          <w:tcPr>
            <w:tcW w:w="1010" w:type="dxa"/>
            <w:vAlign w:val="top"/>
          </w:tcPr>
          <w:p w14:paraId="4474995D">
            <w:pPr>
              <w:rPr>
                <w:rFonts w:ascii="Arial"/>
                <w:sz w:val="21"/>
              </w:rPr>
            </w:pPr>
          </w:p>
        </w:tc>
        <w:tc>
          <w:tcPr>
            <w:tcW w:w="1010" w:type="dxa"/>
            <w:vAlign w:val="top"/>
          </w:tcPr>
          <w:p w14:paraId="6B0E47FC">
            <w:pPr>
              <w:rPr>
                <w:rFonts w:ascii="Arial"/>
                <w:sz w:val="21"/>
              </w:rPr>
            </w:pPr>
          </w:p>
        </w:tc>
        <w:tc>
          <w:tcPr>
            <w:tcW w:w="1009" w:type="dxa"/>
            <w:vAlign w:val="top"/>
          </w:tcPr>
          <w:p w14:paraId="749DA8C1">
            <w:pPr>
              <w:rPr>
                <w:rFonts w:ascii="Arial"/>
                <w:sz w:val="21"/>
              </w:rPr>
            </w:pPr>
          </w:p>
        </w:tc>
        <w:tc>
          <w:tcPr>
            <w:tcW w:w="1017" w:type="dxa"/>
            <w:vAlign w:val="top"/>
          </w:tcPr>
          <w:p w14:paraId="2A93E54E">
            <w:pPr>
              <w:rPr>
                <w:rFonts w:ascii="Arial"/>
                <w:sz w:val="21"/>
              </w:rPr>
            </w:pPr>
          </w:p>
        </w:tc>
      </w:tr>
      <w:tr w14:paraId="23B76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48177C7B">
            <w:pPr>
              <w:rPr>
                <w:rFonts w:ascii="Arial"/>
                <w:sz w:val="21"/>
              </w:rPr>
            </w:pPr>
          </w:p>
        </w:tc>
        <w:tc>
          <w:tcPr>
            <w:tcW w:w="2534" w:type="dxa"/>
            <w:vAlign w:val="top"/>
          </w:tcPr>
          <w:p w14:paraId="4DE10ECE">
            <w:pPr>
              <w:pStyle w:val="6"/>
              <w:spacing w:before="67" w:line="212" w:lineRule="auto"/>
              <w:ind w:left="517"/>
              <w:rPr>
                <w:rFonts w:ascii="宋体" w:hAnsi="宋体" w:eastAsia="宋体" w:cs="宋体"/>
              </w:rPr>
            </w:pPr>
            <w:r>
              <w:rPr>
                <w:rFonts w:ascii="宋体" w:hAnsi="宋体" w:eastAsia="宋体" w:cs="宋体"/>
                <w:spacing w:val="-1"/>
              </w:rPr>
              <w:t>硫化物（</w:t>
            </w:r>
            <w:r>
              <w:rPr>
                <w:spacing w:val="-1"/>
              </w:rPr>
              <w:t>mg/L</w:t>
            </w:r>
            <w:r>
              <w:rPr>
                <w:rFonts w:ascii="宋体" w:hAnsi="宋体" w:eastAsia="宋体" w:cs="宋体"/>
                <w:spacing w:val="-1"/>
              </w:rPr>
              <w:t>）</w:t>
            </w:r>
          </w:p>
        </w:tc>
        <w:tc>
          <w:tcPr>
            <w:tcW w:w="1010" w:type="dxa"/>
            <w:vAlign w:val="top"/>
          </w:tcPr>
          <w:p w14:paraId="516C2D15">
            <w:pPr>
              <w:rPr>
                <w:rFonts w:ascii="Arial"/>
                <w:sz w:val="21"/>
              </w:rPr>
            </w:pPr>
          </w:p>
        </w:tc>
        <w:tc>
          <w:tcPr>
            <w:tcW w:w="1010" w:type="dxa"/>
            <w:vAlign w:val="top"/>
          </w:tcPr>
          <w:p w14:paraId="32431090">
            <w:pPr>
              <w:rPr>
                <w:rFonts w:ascii="Arial"/>
                <w:sz w:val="21"/>
              </w:rPr>
            </w:pPr>
          </w:p>
        </w:tc>
        <w:tc>
          <w:tcPr>
            <w:tcW w:w="1010" w:type="dxa"/>
            <w:vAlign w:val="top"/>
          </w:tcPr>
          <w:p w14:paraId="51AFAA14">
            <w:pPr>
              <w:rPr>
                <w:rFonts w:ascii="Arial"/>
                <w:sz w:val="21"/>
              </w:rPr>
            </w:pPr>
          </w:p>
        </w:tc>
        <w:tc>
          <w:tcPr>
            <w:tcW w:w="1009" w:type="dxa"/>
            <w:vAlign w:val="top"/>
          </w:tcPr>
          <w:p w14:paraId="0C8F0710">
            <w:pPr>
              <w:rPr>
                <w:rFonts w:ascii="Arial"/>
                <w:sz w:val="21"/>
              </w:rPr>
            </w:pPr>
          </w:p>
        </w:tc>
        <w:tc>
          <w:tcPr>
            <w:tcW w:w="1017" w:type="dxa"/>
            <w:vAlign w:val="top"/>
          </w:tcPr>
          <w:p w14:paraId="6D8FCB16">
            <w:pPr>
              <w:rPr>
                <w:rFonts w:ascii="Arial"/>
                <w:sz w:val="21"/>
              </w:rPr>
            </w:pPr>
          </w:p>
        </w:tc>
      </w:tr>
      <w:tr w14:paraId="10E73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01808C58">
            <w:pPr>
              <w:rPr>
                <w:rFonts w:ascii="Arial"/>
                <w:sz w:val="21"/>
              </w:rPr>
            </w:pPr>
          </w:p>
        </w:tc>
        <w:tc>
          <w:tcPr>
            <w:tcW w:w="2534" w:type="dxa"/>
            <w:vAlign w:val="top"/>
          </w:tcPr>
          <w:p w14:paraId="3EEFA5FC">
            <w:pPr>
              <w:pStyle w:val="6"/>
              <w:spacing w:before="66" w:line="212" w:lineRule="auto"/>
              <w:ind w:left="82"/>
              <w:rPr>
                <w:rFonts w:ascii="宋体" w:hAnsi="宋体" w:eastAsia="宋体" w:cs="宋体"/>
              </w:rPr>
            </w:pPr>
            <w:r>
              <w:rPr>
                <w:rFonts w:ascii="宋体" w:hAnsi="宋体" w:eastAsia="宋体" w:cs="宋体"/>
                <w:spacing w:val="-11"/>
              </w:rPr>
              <w:t>阴离子表面活性剂（</w:t>
            </w:r>
            <w:r>
              <w:rPr>
                <w:spacing w:val="-11"/>
              </w:rPr>
              <w:t>mg/L</w:t>
            </w:r>
            <w:r>
              <w:rPr>
                <w:rFonts w:ascii="宋体" w:hAnsi="宋体" w:eastAsia="宋体" w:cs="宋体"/>
                <w:spacing w:val="-11"/>
              </w:rPr>
              <w:t>）</w:t>
            </w:r>
          </w:p>
        </w:tc>
        <w:tc>
          <w:tcPr>
            <w:tcW w:w="1010" w:type="dxa"/>
            <w:vAlign w:val="top"/>
          </w:tcPr>
          <w:p w14:paraId="6B44C03A">
            <w:pPr>
              <w:rPr>
                <w:rFonts w:ascii="Arial"/>
                <w:sz w:val="21"/>
              </w:rPr>
            </w:pPr>
          </w:p>
        </w:tc>
        <w:tc>
          <w:tcPr>
            <w:tcW w:w="1010" w:type="dxa"/>
            <w:vAlign w:val="top"/>
          </w:tcPr>
          <w:p w14:paraId="67FDE799">
            <w:pPr>
              <w:rPr>
                <w:rFonts w:ascii="Arial"/>
                <w:sz w:val="21"/>
              </w:rPr>
            </w:pPr>
          </w:p>
        </w:tc>
        <w:tc>
          <w:tcPr>
            <w:tcW w:w="1010" w:type="dxa"/>
            <w:vAlign w:val="top"/>
          </w:tcPr>
          <w:p w14:paraId="220429DA">
            <w:pPr>
              <w:rPr>
                <w:rFonts w:ascii="Arial"/>
                <w:sz w:val="21"/>
              </w:rPr>
            </w:pPr>
          </w:p>
        </w:tc>
        <w:tc>
          <w:tcPr>
            <w:tcW w:w="1009" w:type="dxa"/>
            <w:vAlign w:val="top"/>
          </w:tcPr>
          <w:p w14:paraId="33F9074B">
            <w:pPr>
              <w:rPr>
                <w:rFonts w:ascii="Arial"/>
                <w:sz w:val="21"/>
              </w:rPr>
            </w:pPr>
          </w:p>
        </w:tc>
        <w:tc>
          <w:tcPr>
            <w:tcW w:w="1017" w:type="dxa"/>
            <w:vAlign w:val="top"/>
          </w:tcPr>
          <w:p w14:paraId="38987F7B">
            <w:pPr>
              <w:rPr>
                <w:rFonts w:ascii="Arial"/>
                <w:sz w:val="21"/>
              </w:rPr>
            </w:pPr>
          </w:p>
        </w:tc>
      </w:tr>
      <w:tr w14:paraId="4B75D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30" w:type="dxa"/>
            <w:vMerge w:val="continue"/>
            <w:tcBorders>
              <w:top w:val="nil"/>
              <w:bottom w:val="nil"/>
            </w:tcBorders>
            <w:vAlign w:val="top"/>
          </w:tcPr>
          <w:p w14:paraId="2C69C8BB">
            <w:pPr>
              <w:rPr>
                <w:rFonts w:ascii="Arial"/>
                <w:sz w:val="21"/>
              </w:rPr>
            </w:pPr>
          </w:p>
        </w:tc>
        <w:tc>
          <w:tcPr>
            <w:tcW w:w="2534" w:type="dxa"/>
            <w:vAlign w:val="top"/>
          </w:tcPr>
          <w:p w14:paraId="7432D0D2">
            <w:pPr>
              <w:pStyle w:val="6"/>
              <w:spacing w:before="66" w:line="220" w:lineRule="auto"/>
              <w:ind w:left="216"/>
              <w:rPr>
                <w:rFonts w:ascii="宋体" w:hAnsi="宋体" w:eastAsia="宋体" w:cs="宋体"/>
              </w:rPr>
            </w:pPr>
            <w:r>
              <w:rPr>
                <w:rFonts w:ascii="宋体" w:hAnsi="宋体" w:eastAsia="宋体" w:cs="宋体"/>
                <w:spacing w:val="-1"/>
              </w:rPr>
              <w:t>粪大肠菌群（</w:t>
            </w:r>
            <w:r>
              <w:rPr>
                <w:spacing w:val="-1"/>
              </w:rPr>
              <w:t>MPN/L</w:t>
            </w:r>
            <w:r>
              <w:rPr>
                <w:rFonts w:ascii="宋体" w:hAnsi="宋体" w:eastAsia="宋体" w:cs="宋体"/>
                <w:spacing w:val="-1"/>
              </w:rPr>
              <w:t>）</w:t>
            </w:r>
          </w:p>
        </w:tc>
        <w:tc>
          <w:tcPr>
            <w:tcW w:w="1010" w:type="dxa"/>
            <w:vAlign w:val="top"/>
          </w:tcPr>
          <w:p w14:paraId="6BC405D2">
            <w:pPr>
              <w:rPr>
                <w:rFonts w:ascii="Arial"/>
                <w:sz w:val="21"/>
              </w:rPr>
            </w:pPr>
          </w:p>
        </w:tc>
        <w:tc>
          <w:tcPr>
            <w:tcW w:w="1010" w:type="dxa"/>
            <w:vAlign w:val="top"/>
          </w:tcPr>
          <w:p w14:paraId="2A44414B">
            <w:pPr>
              <w:rPr>
                <w:rFonts w:ascii="Arial"/>
                <w:sz w:val="21"/>
              </w:rPr>
            </w:pPr>
          </w:p>
        </w:tc>
        <w:tc>
          <w:tcPr>
            <w:tcW w:w="1010" w:type="dxa"/>
            <w:vAlign w:val="top"/>
          </w:tcPr>
          <w:p w14:paraId="0382A6AA">
            <w:pPr>
              <w:rPr>
                <w:rFonts w:ascii="Arial"/>
                <w:sz w:val="21"/>
              </w:rPr>
            </w:pPr>
          </w:p>
        </w:tc>
        <w:tc>
          <w:tcPr>
            <w:tcW w:w="1009" w:type="dxa"/>
            <w:vAlign w:val="top"/>
          </w:tcPr>
          <w:p w14:paraId="4CA10861">
            <w:pPr>
              <w:rPr>
                <w:rFonts w:ascii="Arial"/>
                <w:sz w:val="21"/>
              </w:rPr>
            </w:pPr>
          </w:p>
        </w:tc>
        <w:tc>
          <w:tcPr>
            <w:tcW w:w="1017" w:type="dxa"/>
            <w:vAlign w:val="top"/>
          </w:tcPr>
          <w:p w14:paraId="762E9FE7">
            <w:pPr>
              <w:rPr>
                <w:rFonts w:ascii="Arial"/>
                <w:sz w:val="21"/>
              </w:rPr>
            </w:pPr>
          </w:p>
        </w:tc>
      </w:tr>
      <w:tr w14:paraId="49651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0" w:type="dxa"/>
            <w:vMerge w:val="continue"/>
            <w:tcBorders>
              <w:top w:val="nil"/>
              <w:bottom w:val="nil"/>
            </w:tcBorders>
            <w:vAlign w:val="top"/>
          </w:tcPr>
          <w:p w14:paraId="33E65170">
            <w:pPr>
              <w:rPr>
                <w:rFonts w:ascii="Arial"/>
                <w:sz w:val="21"/>
              </w:rPr>
            </w:pPr>
          </w:p>
        </w:tc>
        <w:tc>
          <w:tcPr>
            <w:tcW w:w="2534" w:type="dxa"/>
            <w:vAlign w:val="top"/>
          </w:tcPr>
          <w:p w14:paraId="168360DA">
            <w:pPr>
              <w:pStyle w:val="6"/>
              <w:spacing w:before="68" w:line="212" w:lineRule="auto"/>
              <w:ind w:left="522"/>
              <w:rPr>
                <w:rFonts w:ascii="宋体" w:hAnsi="宋体" w:eastAsia="宋体" w:cs="宋体"/>
              </w:rPr>
            </w:pPr>
            <w:r>
              <w:rPr>
                <w:rFonts w:ascii="宋体" w:hAnsi="宋体" w:eastAsia="宋体" w:cs="宋体"/>
                <w:spacing w:val="-2"/>
              </w:rPr>
              <w:t>氯化物（</w:t>
            </w:r>
            <w:r>
              <w:rPr>
                <w:spacing w:val="-2"/>
              </w:rPr>
              <w:t>mg/L</w:t>
            </w:r>
            <w:r>
              <w:rPr>
                <w:rFonts w:ascii="宋体" w:hAnsi="宋体" w:eastAsia="宋体" w:cs="宋体"/>
                <w:spacing w:val="-2"/>
              </w:rPr>
              <w:t>）</w:t>
            </w:r>
          </w:p>
        </w:tc>
        <w:tc>
          <w:tcPr>
            <w:tcW w:w="1010" w:type="dxa"/>
            <w:vAlign w:val="top"/>
          </w:tcPr>
          <w:p w14:paraId="3EE14EC9">
            <w:pPr>
              <w:rPr>
                <w:rFonts w:ascii="Arial"/>
                <w:sz w:val="21"/>
              </w:rPr>
            </w:pPr>
          </w:p>
        </w:tc>
        <w:tc>
          <w:tcPr>
            <w:tcW w:w="1010" w:type="dxa"/>
            <w:vAlign w:val="top"/>
          </w:tcPr>
          <w:p w14:paraId="72DFCD1C">
            <w:pPr>
              <w:rPr>
                <w:rFonts w:ascii="Arial"/>
                <w:sz w:val="21"/>
              </w:rPr>
            </w:pPr>
          </w:p>
        </w:tc>
        <w:tc>
          <w:tcPr>
            <w:tcW w:w="1010" w:type="dxa"/>
            <w:vAlign w:val="top"/>
          </w:tcPr>
          <w:p w14:paraId="23B674E3">
            <w:pPr>
              <w:rPr>
                <w:rFonts w:ascii="Arial"/>
                <w:sz w:val="21"/>
              </w:rPr>
            </w:pPr>
          </w:p>
        </w:tc>
        <w:tc>
          <w:tcPr>
            <w:tcW w:w="1009" w:type="dxa"/>
            <w:vAlign w:val="top"/>
          </w:tcPr>
          <w:p w14:paraId="29CC590C">
            <w:pPr>
              <w:rPr>
                <w:rFonts w:ascii="Arial"/>
                <w:sz w:val="21"/>
              </w:rPr>
            </w:pPr>
          </w:p>
        </w:tc>
        <w:tc>
          <w:tcPr>
            <w:tcW w:w="1017" w:type="dxa"/>
            <w:vAlign w:val="top"/>
          </w:tcPr>
          <w:p w14:paraId="658318D7">
            <w:pPr>
              <w:rPr>
                <w:rFonts w:ascii="Arial"/>
                <w:sz w:val="21"/>
              </w:rPr>
            </w:pPr>
          </w:p>
        </w:tc>
      </w:tr>
      <w:tr w14:paraId="501EB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30" w:type="dxa"/>
            <w:vMerge w:val="continue"/>
            <w:tcBorders>
              <w:top w:val="nil"/>
            </w:tcBorders>
            <w:vAlign w:val="top"/>
          </w:tcPr>
          <w:p w14:paraId="42C846F2">
            <w:pPr>
              <w:rPr>
                <w:rFonts w:ascii="Arial"/>
                <w:sz w:val="21"/>
              </w:rPr>
            </w:pPr>
          </w:p>
        </w:tc>
        <w:tc>
          <w:tcPr>
            <w:tcW w:w="2534" w:type="dxa"/>
            <w:vAlign w:val="top"/>
          </w:tcPr>
          <w:p w14:paraId="243B808A">
            <w:pPr>
              <w:pStyle w:val="6"/>
              <w:spacing w:before="67" w:line="212" w:lineRule="auto"/>
              <w:ind w:left="102"/>
              <w:rPr>
                <w:rFonts w:ascii="宋体" w:hAnsi="宋体" w:eastAsia="宋体" w:cs="宋体"/>
              </w:rPr>
            </w:pPr>
            <w:r>
              <w:rPr>
                <w:rFonts w:ascii="宋体" w:hAnsi="宋体" w:eastAsia="宋体" w:cs="宋体"/>
                <w:spacing w:val="-1"/>
              </w:rPr>
              <w:t>五日生化需氧量（</w:t>
            </w:r>
            <w:r>
              <w:rPr>
                <w:spacing w:val="-1"/>
              </w:rPr>
              <w:t>mg/L</w:t>
            </w:r>
            <w:r>
              <w:rPr>
                <w:rFonts w:ascii="宋体" w:hAnsi="宋体" w:eastAsia="宋体" w:cs="宋体"/>
                <w:spacing w:val="-1"/>
              </w:rPr>
              <w:t>）</w:t>
            </w:r>
          </w:p>
        </w:tc>
        <w:tc>
          <w:tcPr>
            <w:tcW w:w="1010" w:type="dxa"/>
            <w:vAlign w:val="top"/>
          </w:tcPr>
          <w:p w14:paraId="6D0DF85A">
            <w:pPr>
              <w:rPr>
                <w:rFonts w:ascii="Arial"/>
                <w:sz w:val="21"/>
              </w:rPr>
            </w:pPr>
          </w:p>
        </w:tc>
        <w:tc>
          <w:tcPr>
            <w:tcW w:w="1010" w:type="dxa"/>
            <w:vAlign w:val="top"/>
          </w:tcPr>
          <w:p w14:paraId="75585534">
            <w:pPr>
              <w:rPr>
                <w:rFonts w:ascii="Arial"/>
                <w:sz w:val="21"/>
              </w:rPr>
            </w:pPr>
          </w:p>
        </w:tc>
        <w:tc>
          <w:tcPr>
            <w:tcW w:w="1010" w:type="dxa"/>
            <w:vAlign w:val="top"/>
          </w:tcPr>
          <w:p w14:paraId="7FDB6BDB">
            <w:pPr>
              <w:rPr>
                <w:rFonts w:ascii="Arial"/>
                <w:sz w:val="21"/>
              </w:rPr>
            </w:pPr>
          </w:p>
        </w:tc>
        <w:tc>
          <w:tcPr>
            <w:tcW w:w="1009" w:type="dxa"/>
            <w:vAlign w:val="top"/>
          </w:tcPr>
          <w:p w14:paraId="30F00AD4">
            <w:pPr>
              <w:rPr>
                <w:rFonts w:ascii="Arial"/>
                <w:sz w:val="21"/>
              </w:rPr>
            </w:pPr>
          </w:p>
        </w:tc>
        <w:tc>
          <w:tcPr>
            <w:tcW w:w="1017" w:type="dxa"/>
            <w:vAlign w:val="top"/>
          </w:tcPr>
          <w:p w14:paraId="07B6D76E">
            <w:pPr>
              <w:rPr>
                <w:rFonts w:ascii="Arial"/>
                <w:sz w:val="21"/>
              </w:rPr>
            </w:pPr>
          </w:p>
        </w:tc>
      </w:tr>
    </w:tbl>
    <w:p w14:paraId="5C54BB66">
      <w:pPr>
        <w:spacing w:before="113"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）污水处理能力可行性</w:t>
      </w:r>
    </w:p>
    <w:p w14:paraId="051394DA">
      <w:pPr>
        <w:spacing w:before="167" w:line="361" w:lineRule="auto"/>
        <w:ind w:left="40" w:right="40" w:firstLine="479"/>
        <w:jc w:val="both"/>
        <w:rPr>
          <w:rFonts w:ascii="宋体" w:hAnsi="宋体" w:eastAsia="宋体" w:cs="宋体"/>
          <w:sz w:val="24"/>
          <w:szCs w:val="24"/>
        </w:rPr>
      </w:pPr>
      <w:r>
        <w:rPr>
          <w:rFonts w:ascii="宋体" w:hAnsi="宋体" w:eastAsia="宋体" w:cs="宋体"/>
          <w:spacing w:val="-1"/>
          <w:sz w:val="24"/>
          <w:szCs w:val="24"/>
        </w:rPr>
        <w:t>根据工程分析，本项目污水最大产生量为</w:t>
      </w:r>
      <w:r>
        <w:rPr>
          <w:rFonts w:ascii="Times New Roman" w:hAnsi="Times New Roman" w:eastAsia="Times New Roman" w:cs="Times New Roman"/>
          <w:spacing w:val="-1"/>
          <w:sz w:val="24"/>
          <w:szCs w:val="24"/>
        </w:rPr>
        <w:t>247.46m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，根据污水处理站设计</w:t>
      </w:r>
      <w:r>
        <w:rPr>
          <w:rFonts w:ascii="宋体" w:hAnsi="宋体" w:eastAsia="宋体" w:cs="宋体"/>
          <w:spacing w:val="1"/>
          <w:sz w:val="24"/>
          <w:szCs w:val="24"/>
        </w:rPr>
        <w:t>资料，结合污水处理站的设计定位，污水处理站</w:t>
      </w:r>
      <w:r>
        <w:rPr>
          <w:rFonts w:ascii="宋体" w:hAnsi="宋体" w:eastAsia="宋体" w:cs="宋体"/>
          <w:sz w:val="24"/>
          <w:szCs w:val="24"/>
        </w:rPr>
        <w:t>设计总处理能力为</w:t>
      </w:r>
      <w:r>
        <w:rPr>
          <w:rFonts w:ascii="Times New Roman" w:hAnsi="Times New Roman" w:eastAsia="Times New Roman" w:cs="Times New Roman"/>
          <w:sz w:val="24"/>
          <w:szCs w:val="24"/>
        </w:rPr>
        <w:t>450m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，因</w:t>
      </w:r>
      <w:r>
        <w:rPr>
          <w:rFonts w:ascii="宋体" w:hAnsi="宋体" w:eastAsia="宋体" w:cs="宋体"/>
          <w:spacing w:val="-2"/>
          <w:sz w:val="24"/>
          <w:szCs w:val="24"/>
        </w:rPr>
        <w:t>此，污水处理站设计完全能满足本项目废水处理要求。</w:t>
      </w:r>
    </w:p>
    <w:p w14:paraId="160A7719">
      <w:pPr>
        <w:spacing w:before="6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4.2.2.3 </w:t>
      </w:r>
      <w:r>
        <w:rPr>
          <w:rFonts w:ascii="宋体" w:hAnsi="宋体" w:eastAsia="宋体" w:cs="宋体"/>
          <w:b/>
          <w:bCs/>
          <w:spacing w:val="5"/>
          <w:sz w:val="27"/>
          <w:szCs w:val="27"/>
        </w:rPr>
        <w:t>废水消纳可行性分析</w:t>
      </w:r>
    </w:p>
    <w:p w14:paraId="04ECFE92">
      <w:pPr>
        <w:spacing w:before="235"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）废水水质特性分析</w:t>
      </w:r>
    </w:p>
    <w:p w14:paraId="63C01295">
      <w:pPr>
        <w:spacing w:before="183" w:line="360" w:lineRule="auto"/>
        <w:ind w:left="40" w:right="30" w:firstLine="479"/>
        <w:jc w:val="both"/>
        <w:rPr>
          <w:rFonts w:ascii="宋体" w:hAnsi="宋体" w:eastAsia="宋体" w:cs="宋体"/>
          <w:sz w:val="24"/>
          <w:szCs w:val="24"/>
        </w:rPr>
      </w:pPr>
      <w:r>
        <w:rPr>
          <w:rFonts w:ascii="宋体" w:hAnsi="宋体" w:eastAsia="宋体" w:cs="宋体"/>
          <w:spacing w:val="-2"/>
          <w:sz w:val="24"/>
          <w:szCs w:val="24"/>
        </w:rPr>
        <w:t>根据工程分析，本项目废水污染物主要为</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2"/>
          <w:sz w:val="15"/>
          <w:szCs w:val="15"/>
        </w:rPr>
        <w:t>5</w:t>
      </w:r>
      <w:r>
        <w:rPr>
          <w:rFonts w:ascii="Times New Roman" w:hAnsi="Times New Roman" w:eastAsia="Times New Roman" w:cs="Times New Roman"/>
          <w:spacing w:val="-9"/>
          <w:position w:val="-2"/>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3"/>
          <w:sz w:val="24"/>
          <w:szCs w:val="24"/>
        </w:rPr>
        <w:t>TP</w:t>
      </w:r>
      <w:r>
        <w:rPr>
          <w:rFonts w:ascii="宋体" w:hAnsi="宋体" w:eastAsia="宋体" w:cs="宋体"/>
          <w:spacing w:val="-3"/>
          <w:sz w:val="24"/>
          <w:szCs w:val="24"/>
        </w:rPr>
        <w:t>，可生化性较高，不含第一类污染物，项目废水满足污水处理站设计进水水质要求，废</w:t>
      </w:r>
      <w:r>
        <w:rPr>
          <w:rFonts w:ascii="宋体" w:hAnsi="宋体" w:eastAsia="宋体" w:cs="宋体"/>
          <w:spacing w:val="-4"/>
          <w:sz w:val="24"/>
          <w:szCs w:val="24"/>
        </w:rPr>
        <w:t>水经处理达标后农灌使用。</w:t>
      </w:r>
    </w:p>
    <w:p w14:paraId="12B5A349">
      <w:pPr>
        <w:spacing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）灌溉水量可行性分析</w:t>
      </w:r>
    </w:p>
    <w:p w14:paraId="7778404F">
      <w:pPr>
        <w:spacing w:before="183" w:line="360" w:lineRule="auto"/>
        <w:ind w:left="39" w:right="27" w:firstLine="482"/>
        <w:jc w:val="both"/>
        <w:rPr>
          <w:rFonts w:ascii="宋体" w:hAnsi="宋体" w:eastAsia="宋体" w:cs="宋体"/>
          <w:sz w:val="24"/>
          <w:szCs w:val="24"/>
        </w:rPr>
      </w:pPr>
      <w:r>
        <w:rPr>
          <w:rFonts w:ascii="宋体" w:hAnsi="宋体" w:eastAsia="宋体" w:cs="宋体"/>
          <w:spacing w:val="2"/>
          <w:sz w:val="24"/>
          <w:szCs w:val="24"/>
        </w:rPr>
        <w:t>为了节约水资源，本项目采用“粪污收集池</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固液分离</w:t>
      </w:r>
      <w:r>
        <w:rPr>
          <w:rFonts w:ascii="Times New Roman" w:hAnsi="Times New Roman" w:eastAsia="Times New Roman" w:cs="Times New Roman"/>
          <w:spacing w:val="2"/>
          <w:sz w:val="24"/>
          <w:szCs w:val="24"/>
        </w:rPr>
        <w:t>+</w:t>
      </w:r>
      <w:r>
        <w:rPr>
          <w:rFonts w:ascii="宋体" w:hAnsi="宋体" w:eastAsia="宋体" w:cs="宋体"/>
          <w:spacing w:val="1"/>
          <w:sz w:val="24"/>
          <w:szCs w:val="24"/>
        </w:rPr>
        <w:t>水解酸化池</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CSTR</w:t>
      </w:r>
      <w:r>
        <w:rPr>
          <w:rFonts w:ascii="宋体" w:hAnsi="宋体" w:eastAsia="宋体" w:cs="宋体"/>
          <w:spacing w:val="5"/>
          <w:sz w:val="24"/>
          <w:szCs w:val="24"/>
        </w:rPr>
        <w:t>厌氧反应器</w:t>
      </w:r>
      <w:r>
        <w:rPr>
          <w:rFonts w:ascii="Times New Roman" w:hAnsi="Times New Roman" w:eastAsia="Times New Roman" w:cs="Times New Roman"/>
          <w:spacing w:val="5"/>
          <w:sz w:val="24"/>
          <w:szCs w:val="24"/>
        </w:rPr>
        <w:t>+</w:t>
      </w:r>
      <w:r>
        <w:rPr>
          <w:rFonts w:ascii="宋体" w:hAnsi="宋体" w:eastAsia="宋体" w:cs="宋体"/>
          <w:spacing w:val="5"/>
          <w:sz w:val="24"/>
          <w:szCs w:val="24"/>
        </w:rPr>
        <w:t>微生物曝氧塘</w:t>
      </w:r>
      <w:r>
        <w:rPr>
          <w:rFonts w:ascii="Times New Roman" w:hAnsi="Times New Roman" w:eastAsia="Times New Roman" w:cs="Times New Roman"/>
          <w:spacing w:val="5"/>
          <w:sz w:val="24"/>
          <w:szCs w:val="24"/>
        </w:rPr>
        <w:t>+</w:t>
      </w:r>
      <w:r>
        <w:rPr>
          <w:rFonts w:ascii="宋体" w:hAnsi="宋体" w:eastAsia="宋体" w:cs="宋体"/>
          <w:spacing w:val="5"/>
          <w:sz w:val="24"/>
          <w:szCs w:val="24"/>
        </w:rPr>
        <w:t>前置物化系统</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一级缺氧池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一级好氧池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w:t>
      </w:r>
      <w:r>
        <w:rPr>
          <w:rFonts w:ascii="宋体" w:hAnsi="宋体" w:eastAsia="宋体" w:cs="宋体"/>
          <w:spacing w:val="4"/>
          <w:sz w:val="24"/>
          <w:szCs w:val="24"/>
        </w:rPr>
        <w:t>沉淀</w:t>
      </w:r>
      <w:r>
        <w:rPr>
          <w:rFonts w:ascii="宋体" w:hAnsi="宋体" w:eastAsia="宋体" w:cs="宋体"/>
          <w:spacing w:val="-2"/>
          <w:sz w:val="24"/>
          <w:szCs w:val="24"/>
        </w:rPr>
        <w:t>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二级缺氧池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二级好氧池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消毒池”污水处理工艺，污</w:t>
      </w:r>
      <w:r>
        <w:rPr>
          <w:rFonts w:ascii="宋体" w:hAnsi="宋体" w:eastAsia="宋体" w:cs="宋体"/>
          <w:spacing w:val="-1"/>
          <w:sz w:val="24"/>
          <w:szCs w:val="24"/>
        </w:rPr>
        <w:t>水处理站出水达到《农田灌溉水质标准》（</w:t>
      </w:r>
      <w:r>
        <w:rPr>
          <w:rFonts w:ascii="Times New Roman" w:hAnsi="Times New Roman" w:eastAsia="Times New Roman" w:cs="Times New Roman"/>
          <w:spacing w:val="-1"/>
          <w:sz w:val="24"/>
          <w:szCs w:val="24"/>
        </w:rPr>
        <w:t>GB5084-2</w:t>
      </w:r>
      <w:r>
        <w:rPr>
          <w:rFonts w:ascii="Times New Roman" w:hAnsi="Times New Roman" w:eastAsia="Times New Roman" w:cs="Times New Roman"/>
          <w:spacing w:val="-2"/>
          <w:sz w:val="24"/>
          <w:szCs w:val="24"/>
        </w:rPr>
        <w:t>021</w:t>
      </w:r>
      <w:r>
        <w:rPr>
          <w:rFonts w:ascii="宋体" w:hAnsi="宋体" w:eastAsia="宋体" w:cs="宋体"/>
          <w:spacing w:val="-2"/>
          <w:sz w:val="24"/>
          <w:szCs w:val="24"/>
        </w:rPr>
        <w:t>）旱地作物标准后用于</w:t>
      </w:r>
      <w:r>
        <w:rPr>
          <w:rFonts w:ascii="宋体" w:hAnsi="宋体" w:eastAsia="宋体" w:cs="宋体"/>
          <w:spacing w:val="-1"/>
          <w:sz w:val="24"/>
          <w:szCs w:val="24"/>
        </w:rPr>
        <w:t>消纳地农灌，本项目可提供的灌溉水量为</w:t>
      </w:r>
      <w:r>
        <w:rPr>
          <w:rFonts w:ascii="Times New Roman" w:hAnsi="Times New Roman" w:eastAsia="Times New Roman" w:cs="Times New Roman"/>
          <w:spacing w:val="-1"/>
          <w:sz w:val="24"/>
          <w:szCs w:val="24"/>
        </w:rPr>
        <w:t>85169.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p>
    <w:p w14:paraId="5DA1CDEA">
      <w:pPr>
        <w:spacing w:before="2" w:line="353" w:lineRule="auto"/>
        <w:ind w:left="34" w:right="66" w:firstLine="495"/>
        <w:rPr>
          <w:rFonts w:ascii="楷体" w:hAnsi="楷体" w:eastAsia="楷体" w:cs="楷体"/>
          <w:sz w:val="24"/>
          <w:szCs w:val="24"/>
        </w:rPr>
      </w:pPr>
      <w:r>
        <w:rPr>
          <w:rFonts w:ascii="楷体" w:hAnsi="楷体" w:eastAsia="楷体" w:cs="楷体"/>
          <w:b/>
          <w:bCs/>
          <w:spacing w:val="-14"/>
          <w:sz w:val="24"/>
          <w:szCs w:val="24"/>
        </w:rPr>
        <w:t>本评价对水量可行性分析采取按单位面积供水，对照《四川省用水定额》（川</w:t>
      </w:r>
      <w:r>
        <w:rPr>
          <w:rFonts w:ascii="楷体" w:hAnsi="楷体" w:eastAsia="楷体" w:cs="楷体"/>
          <w:b/>
          <w:bCs/>
          <w:spacing w:val="-2"/>
          <w:sz w:val="24"/>
          <w:szCs w:val="24"/>
        </w:rPr>
        <w:t>府函</w:t>
      </w:r>
      <w:r>
        <w:rPr>
          <w:rFonts w:ascii="Times New Roman" w:hAnsi="Times New Roman" w:eastAsia="Times New Roman" w:cs="Times New Roman"/>
          <w:b/>
          <w:bCs/>
          <w:spacing w:val="-2"/>
          <w:sz w:val="24"/>
          <w:szCs w:val="24"/>
        </w:rPr>
        <w:t>[</w:t>
      </w:r>
      <w:r>
        <w:fldChar w:fldCharType="begin"/>
      </w:r>
      <w:r>
        <w:instrText xml:space="preserve"> HYPERLINK \l "bookmark164" </w:instrText>
      </w:r>
      <w:r>
        <w:fldChar w:fldCharType="separate"/>
      </w:r>
      <w:r>
        <w:rPr>
          <w:rFonts w:ascii="Times New Roman" w:hAnsi="Times New Roman" w:eastAsia="Times New Roman" w:cs="Times New Roman"/>
          <w:b/>
          <w:bCs/>
          <w:spacing w:val="-2"/>
          <w:sz w:val="24"/>
          <w:szCs w:val="24"/>
        </w:rPr>
        <w:t>2021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]8</w:t>
      </w:r>
      <w:r>
        <w:rPr>
          <w:rFonts w:ascii="楷体" w:hAnsi="楷体" w:eastAsia="楷体" w:cs="楷体"/>
          <w:b/>
          <w:bCs/>
          <w:spacing w:val="-2"/>
          <w:sz w:val="24"/>
          <w:szCs w:val="24"/>
        </w:rPr>
        <w:t>号）主要农作物灌溉用</w:t>
      </w:r>
      <w:r>
        <w:rPr>
          <w:rFonts w:ascii="楷体" w:hAnsi="楷体" w:eastAsia="楷体" w:cs="楷体"/>
          <w:b/>
          <w:bCs/>
          <w:spacing w:val="-3"/>
          <w:sz w:val="24"/>
          <w:szCs w:val="24"/>
        </w:rPr>
        <w:t>水定额系数进行计算与分析。</w:t>
      </w:r>
    </w:p>
    <w:p w14:paraId="271B8692">
      <w:pPr>
        <w:spacing w:before="16" w:line="362" w:lineRule="auto"/>
        <w:ind w:left="44" w:right="30" w:firstLine="478"/>
        <w:rPr>
          <w:rFonts w:ascii="宋体" w:hAnsi="宋体" w:eastAsia="宋体" w:cs="宋体"/>
          <w:sz w:val="24"/>
          <w:szCs w:val="24"/>
        </w:rPr>
      </w:pPr>
      <w:r>
        <w:rPr>
          <w:rFonts w:ascii="宋体" w:hAnsi="宋体" w:eastAsia="宋体" w:cs="宋体"/>
          <w:spacing w:val="-3"/>
          <w:sz w:val="24"/>
          <w:szCs w:val="24"/>
        </w:rPr>
        <w:t>为了有效解决本项目废水消纳问题，建设单位已流转</w:t>
      </w:r>
      <w:r>
        <w:rPr>
          <w:rFonts w:ascii="Times New Roman" w:hAnsi="Times New Roman" w:eastAsia="Times New Roman" w:cs="Times New Roman"/>
          <w:spacing w:val="-3"/>
          <w:sz w:val="24"/>
          <w:szCs w:val="24"/>
        </w:rPr>
        <w:t>2060</w:t>
      </w:r>
      <w:r>
        <w:rPr>
          <w:rFonts w:ascii="宋体" w:hAnsi="宋体" w:eastAsia="宋体" w:cs="宋体"/>
          <w:spacing w:val="-3"/>
          <w:sz w:val="24"/>
          <w:szCs w:val="24"/>
        </w:rPr>
        <w:t>亩土地用作本</w:t>
      </w:r>
      <w:r>
        <w:rPr>
          <w:rFonts w:ascii="宋体" w:hAnsi="宋体" w:eastAsia="宋体" w:cs="宋体"/>
          <w:spacing w:val="-4"/>
          <w:sz w:val="24"/>
          <w:szCs w:val="24"/>
        </w:rPr>
        <w:t>项目</w:t>
      </w:r>
      <w:r>
        <w:rPr>
          <w:rFonts w:ascii="宋体" w:hAnsi="宋体" w:eastAsia="宋体" w:cs="宋体"/>
          <w:spacing w:val="-11"/>
          <w:sz w:val="24"/>
          <w:szCs w:val="24"/>
        </w:rPr>
        <w:t>消纳土地，据调查，消纳地农作物现状主要种植大豆、玉米、油菜、红苕、柑橘、</w:t>
      </w:r>
    </w:p>
    <w:p w14:paraId="39025507">
      <w:pPr>
        <w:spacing w:line="362" w:lineRule="auto"/>
        <w:rPr>
          <w:rFonts w:ascii="宋体" w:hAnsi="宋体" w:eastAsia="宋体" w:cs="宋体"/>
          <w:sz w:val="24"/>
          <w:szCs w:val="24"/>
        </w:rPr>
        <w:sectPr>
          <w:headerReference r:id="rId331" w:type="default"/>
          <w:footerReference r:id="rId332" w:type="default"/>
          <w:pgSz w:w="11905" w:h="16840"/>
          <w:pgMar w:top="1168" w:right="1768" w:bottom="1409" w:left="1770" w:header="828" w:footer="1244" w:gutter="0"/>
          <w:cols w:space="720" w:num="1"/>
        </w:sectPr>
      </w:pPr>
    </w:p>
    <w:p w14:paraId="7CE58B13">
      <w:pPr>
        <w:pStyle w:val="2"/>
        <w:spacing w:line="306" w:lineRule="auto"/>
      </w:pPr>
    </w:p>
    <w:p w14:paraId="194EEE77">
      <w:pPr>
        <w:spacing w:before="78" w:line="360" w:lineRule="auto"/>
        <w:ind w:left="39" w:right="86" w:firstLine="4"/>
        <w:rPr>
          <w:rFonts w:ascii="宋体" w:hAnsi="宋体" w:eastAsia="宋体" w:cs="宋体"/>
          <w:sz w:val="24"/>
          <w:szCs w:val="24"/>
        </w:rPr>
      </w:pPr>
      <w:r>
        <w:rPr>
          <w:rFonts w:ascii="宋体" w:hAnsi="宋体" w:eastAsia="宋体" w:cs="宋体"/>
          <w:spacing w:val="-12"/>
          <w:sz w:val="24"/>
          <w:szCs w:val="24"/>
        </w:rPr>
        <w:t>蔬菜等，消纳土地整治后用于旱作农业，全部种植旱地</w:t>
      </w:r>
      <w:r>
        <w:rPr>
          <w:rFonts w:ascii="宋体" w:hAnsi="宋体" w:eastAsia="宋体" w:cs="宋体"/>
          <w:spacing w:val="-13"/>
          <w:sz w:val="24"/>
          <w:szCs w:val="24"/>
        </w:rPr>
        <w:t>农作物，主要种植天冬（</w:t>
      </w:r>
      <w:r>
        <w:rPr>
          <w:rFonts w:ascii="Times New Roman" w:hAnsi="Times New Roman" w:eastAsia="Times New Roman" w:cs="Times New Roman"/>
          <w:spacing w:val="-13"/>
          <w:sz w:val="24"/>
          <w:szCs w:val="24"/>
        </w:rPr>
        <w:t>800</w:t>
      </w:r>
      <w:r>
        <w:rPr>
          <w:rFonts w:ascii="宋体" w:hAnsi="宋体" w:eastAsia="宋体" w:cs="宋体"/>
          <w:spacing w:val="-13"/>
          <w:sz w:val="24"/>
          <w:szCs w:val="24"/>
        </w:rPr>
        <w:t>亩）、大豆（</w:t>
      </w:r>
      <w:r>
        <w:rPr>
          <w:rFonts w:ascii="Times New Roman" w:hAnsi="Times New Roman" w:eastAsia="Times New Roman" w:cs="Times New Roman"/>
          <w:spacing w:val="-13"/>
          <w:sz w:val="24"/>
          <w:szCs w:val="24"/>
        </w:rPr>
        <w:t>400</w:t>
      </w:r>
      <w:r>
        <w:rPr>
          <w:rFonts w:ascii="宋体" w:hAnsi="宋体" w:eastAsia="宋体" w:cs="宋体"/>
          <w:spacing w:val="-13"/>
          <w:sz w:val="24"/>
          <w:szCs w:val="24"/>
        </w:rPr>
        <w:t>亩）、玉米（</w:t>
      </w:r>
      <w:r>
        <w:rPr>
          <w:rFonts w:ascii="Times New Roman" w:hAnsi="Times New Roman" w:eastAsia="Times New Roman" w:cs="Times New Roman"/>
          <w:spacing w:val="-13"/>
          <w:sz w:val="24"/>
          <w:szCs w:val="24"/>
        </w:rPr>
        <w:t>460</w:t>
      </w:r>
      <w:r>
        <w:rPr>
          <w:rFonts w:ascii="宋体" w:hAnsi="宋体" w:eastAsia="宋体" w:cs="宋体"/>
          <w:spacing w:val="-13"/>
          <w:sz w:val="24"/>
          <w:szCs w:val="24"/>
        </w:rPr>
        <w:t>亩）、油菜（</w:t>
      </w:r>
      <w:r>
        <w:rPr>
          <w:rFonts w:ascii="Times New Roman" w:hAnsi="Times New Roman" w:eastAsia="Times New Roman" w:cs="Times New Roman"/>
          <w:spacing w:val="-13"/>
          <w:sz w:val="24"/>
          <w:szCs w:val="24"/>
        </w:rPr>
        <w:t>400</w:t>
      </w:r>
      <w:r>
        <w:rPr>
          <w:rFonts w:ascii="宋体" w:hAnsi="宋体" w:eastAsia="宋体" w:cs="宋体"/>
          <w:spacing w:val="-13"/>
          <w:sz w:val="24"/>
          <w:szCs w:val="24"/>
        </w:rPr>
        <w:t>亩）等。</w:t>
      </w:r>
    </w:p>
    <w:p w14:paraId="521A22A8">
      <w:pPr>
        <w:spacing w:line="360" w:lineRule="auto"/>
        <w:ind w:left="38" w:right="85" w:firstLine="481"/>
        <w:rPr>
          <w:rFonts w:ascii="宋体" w:hAnsi="宋体" w:eastAsia="宋体" w:cs="宋体"/>
          <w:sz w:val="24"/>
          <w:szCs w:val="24"/>
        </w:rPr>
      </w:pPr>
      <w:r>
        <w:rPr>
          <w:rFonts w:ascii="宋体" w:hAnsi="宋体" w:eastAsia="宋体" w:cs="宋体"/>
          <w:spacing w:val="3"/>
          <w:sz w:val="24"/>
          <w:szCs w:val="24"/>
        </w:rPr>
        <w:t>本项目建设单位—四川良牧庄养殖有限公司为</w:t>
      </w:r>
      <w:r>
        <w:rPr>
          <w:rFonts w:ascii="宋体" w:hAnsi="宋体" w:eastAsia="宋体" w:cs="宋体"/>
          <w:b/>
          <w:bCs/>
          <w:spacing w:val="3"/>
          <w:sz w:val="24"/>
          <w:szCs w:val="24"/>
        </w:rPr>
        <w:t>宇和泽农业有限公司</w:t>
      </w:r>
      <w:r>
        <w:rPr>
          <w:rFonts w:ascii="宋体" w:hAnsi="宋体" w:eastAsia="宋体" w:cs="宋体"/>
          <w:spacing w:val="3"/>
          <w:sz w:val="24"/>
          <w:szCs w:val="24"/>
        </w:rPr>
        <w:t>旗下子</w:t>
      </w:r>
      <w:r>
        <w:rPr>
          <w:rFonts w:ascii="宋体" w:hAnsi="宋体" w:eastAsia="宋体" w:cs="宋体"/>
          <w:spacing w:val="-7"/>
          <w:sz w:val="24"/>
          <w:szCs w:val="24"/>
        </w:rPr>
        <w:t>公司，宇和泽农业集团创立于</w:t>
      </w:r>
      <w:r>
        <w:rPr>
          <w:rFonts w:ascii="Times New Roman" w:hAnsi="Times New Roman" w:eastAsia="Times New Roman" w:cs="Times New Roman"/>
          <w:spacing w:val="-7"/>
          <w:sz w:val="24"/>
          <w:szCs w:val="24"/>
        </w:rPr>
        <w:t>2019</w:t>
      </w:r>
      <w:r>
        <w:rPr>
          <w:rFonts w:ascii="宋体" w:hAnsi="宋体" w:eastAsia="宋体" w:cs="宋体"/>
          <w:spacing w:val="-7"/>
          <w:sz w:val="24"/>
          <w:szCs w:val="24"/>
        </w:rPr>
        <w:t>年</w:t>
      </w:r>
      <w:r>
        <w:rPr>
          <w:rFonts w:ascii="Times New Roman" w:hAnsi="Times New Roman" w:eastAsia="Times New Roman" w:cs="Times New Roman"/>
          <w:spacing w:val="-7"/>
          <w:sz w:val="24"/>
          <w:szCs w:val="24"/>
        </w:rPr>
        <w:t>5</w:t>
      </w:r>
      <w:r>
        <w:rPr>
          <w:rFonts w:ascii="宋体" w:hAnsi="宋体" w:eastAsia="宋体" w:cs="宋体"/>
          <w:spacing w:val="-7"/>
          <w:sz w:val="24"/>
          <w:szCs w:val="24"/>
        </w:rPr>
        <w:t>月</w:t>
      </w:r>
      <w:r>
        <w:rPr>
          <w:rFonts w:ascii="Times New Roman" w:hAnsi="Times New Roman" w:eastAsia="Times New Roman" w:cs="Times New Roman"/>
          <w:spacing w:val="-7"/>
          <w:sz w:val="24"/>
          <w:szCs w:val="24"/>
        </w:rPr>
        <w:t>20</w:t>
      </w:r>
      <w:r>
        <w:rPr>
          <w:rFonts w:ascii="宋体" w:hAnsi="宋体" w:eastAsia="宋体" w:cs="宋体"/>
          <w:spacing w:val="-7"/>
          <w:sz w:val="24"/>
          <w:szCs w:val="24"/>
        </w:rPr>
        <w:t>日，旗下产业分为种植、养殖、加工、</w:t>
      </w:r>
      <w:r>
        <w:rPr>
          <w:rFonts w:ascii="宋体" w:hAnsi="宋体" w:eastAsia="宋体" w:cs="宋体"/>
          <w:spacing w:val="-3"/>
          <w:sz w:val="24"/>
          <w:szCs w:val="24"/>
        </w:rPr>
        <w:t>超市四个板块，即“种—养—工—市”产业循环化。宇和泽农业有限公司为解决内江区域内各养殖场所流转消纳土地的种植与管理，专门于</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11</w:t>
      </w:r>
      <w:r>
        <w:rPr>
          <w:rFonts w:ascii="宋体" w:hAnsi="宋体" w:eastAsia="宋体" w:cs="宋体"/>
          <w:spacing w:val="-3"/>
          <w:sz w:val="24"/>
          <w:szCs w:val="24"/>
        </w:rPr>
        <w:t>月在内江市</w:t>
      </w:r>
      <w:r>
        <w:rPr>
          <w:rFonts w:ascii="宋体" w:hAnsi="宋体" w:eastAsia="宋体" w:cs="宋体"/>
          <w:spacing w:val="-4"/>
          <w:sz w:val="24"/>
          <w:szCs w:val="24"/>
        </w:rPr>
        <w:t>东兴区成立了</w:t>
      </w:r>
      <w:r>
        <w:rPr>
          <w:rFonts w:ascii="宋体" w:hAnsi="宋体" w:eastAsia="宋体" w:cs="宋体"/>
          <w:b/>
          <w:bCs/>
          <w:spacing w:val="-4"/>
          <w:sz w:val="24"/>
          <w:szCs w:val="24"/>
        </w:rPr>
        <w:t>四川富器溢农业有限公司</w:t>
      </w:r>
      <w:r>
        <w:rPr>
          <w:rFonts w:ascii="宋体" w:hAnsi="宋体" w:eastAsia="宋体" w:cs="宋体"/>
          <w:spacing w:val="-4"/>
          <w:sz w:val="24"/>
          <w:szCs w:val="24"/>
        </w:rPr>
        <w:t>，全权负责宇和泽农业有限公司在内江市</w:t>
      </w:r>
      <w:r>
        <w:rPr>
          <w:rFonts w:ascii="宋体" w:hAnsi="宋体" w:eastAsia="宋体" w:cs="宋体"/>
          <w:spacing w:val="-3"/>
          <w:sz w:val="24"/>
          <w:szCs w:val="24"/>
        </w:rPr>
        <w:t>东兴区所建养殖场配套消纳土地的种植与管理，承担消纳土地内田间储存池、灌</w:t>
      </w:r>
      <w:r>
        <w:rPr>
          <w:rFonts w:ascii="宋体" w:hAnsi="宋体" w:eastAsia="宋体" w:cs="宋体"/>
          <w:spacing w:val="-4"/>
          <w:sz w:val="24"/>
          <w:szCs w:val="24"/>
        </w:rPr>
        <w:t>溉管网等维护工作，消纳土地、灌溉管网（养殖场粪污处理区至田间储存池之间</w:t>
      </w:r>
      <w:r>
        <w:rPr>
          <w:rFonts w:ascii="宋体" w:hAnsi="宋体" w:eastAsia="宋体" w:cs="宋体"/>
          <w:spacing w:val="-2"/>
          <w:sz w:val="24"/>
          <w:szCs w:val="24"/>
        </w:rPr>
        <w:t>管网，以及消纳土地内管网）的环境保护责任仍由建设单位负责。</w:t>
      </w:r>
    </w:p>
    <w:p w14:paraId="4DBA7148">
      <w:pPr>
        <w:spacing w:before="1" w:line="218" w:lineRule="auto"/>
        <w:ind w:left="520"/>
        <w:rPr>
          <w:rFonts w:ascii="宋体" w:hAnsi="宋体" w:eastAsia="宋体" w:cs="宋体"/>
          <w:sz w:val="24"/>
          <w:szCs w:val="24"/>
        </w:rPr>
      </w:pPr>
      <w:r>
        <w:rPr>
          <w:rFonts w:ascii="宋体" w:hAnsi="宋体" w:eastAsia="宋体" w:cs="宋体"/>
          <w:spacing w:val="-4"/>
          <w:sz w:val="24"/>
          <w:szCs w:val="24"/>
        </w:rPr>
        <w:t>本项目具体消纳土地统计情况见下表：</w:t>
      </w:r>
    </w:p>
    <w:p w14:paraId="490E3EF4">
      <w:pPr>
        <w:spacing w:before="197" w:line="221" w:lineRule="auto"/>
        <w:ind w:left="2322"/>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0"/>
          <w:sz w:val="21"/>
          <w:szCs w:val="21"/>
        </w:rPr>
        <w:t xml:space="preserve"> </w:t>
      </w:r>
      <w:r>
        <w:rPr>
          <w:rFonts w:ascii="Times New Roman" w:hAnsi="Times New Roman" w:eastAsia="Times New Roman" w:cs="Times New Roman"/>
          <w:spacing w:val="-1"/>
          <w:sz w:val="21"/>
          <w:szCs w:val="21"/>
        </w:rPr>
        <w:t xml:space="preserve">4.2-25  </w:t>
      </w:r>
      <w:r>
        <w:rPr>
          <w:rFonts w:ascii="黑体" w:hAnsi="黑体" w:eastAsia="黑体" w:cs="黑体"/>
          <w:spacing w:val="-1"/>
          <w:sz w:val="21"/>
          <w:szCs w:val="21"/>
        </w:rPr>
        <w:t>土地消纳面积统计表 单位：亩</w:t>
      </w:r>
    </w:p>
    <w:p w14:paraId="39848D98">
      <w:pPr>
        <w:spacing w:line="88" w:lineRule="exact"/>
      </w:pPr>
    </w:p>
    <w:tbl>
      <w:tblPr>
        <w:tblStyle w:val="5"/>
        <w:tblW w:w="8330"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3"/>
        <w:gridCol w:w="1383"/>
        <w:gridCol w:w="1384"/>
        <w:gridCol w:w="1383"/>
        <w:gridCol w:w="1384"/>
        <w:gridCol w:w="1373"/>
      </w:tblGrid>
      <w:tr w14:paraId="02424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23" w:type="dxa"/>
            <w:vMerge w:val="restart"/>
            <w:tcBorders>
              <w:bottom w:val="nil"/>
            </w:tcBorders>
            <w:vAlign w:val="top"/>
          </w:tcPr>
          <w:p w14:paraId="017653AC">
            <w:pPr>
              <w:spacing w:before="243" w:line="219" w:lineRule="auto"/>
              <w:ind w:left="403"/>
              <w:rPr>
                <w:rFonts w:ascii="宋体" w:hAnsi="宋体" w:eastAsia="宋体" w:cs="宋体"/>
                <w:sz w:val="21"/>
                <w:szCs w:val="21"/>
              </w:rPr>
            </w:pPr>
            <w:r>
              <w:rPr>
                <w:rFonts w:ascii="宋体" w:hAnsi="宋体" w:eastAsia="宋体" w:cs="宋体"/>
                <w:spacing w:val="-3"/>
                <w:sz w:val="21"/>
                <w:szCs w:val="21"/>
              </w:rPr>
              <w:t>村委会</w:t>
            </w:r>
          </w:p>
        </w:tc>
        <w:tc>
          <w:tcPr>
            <w:tcW w:w="5534" w:type="dxa"/>
            <w:gridSpan w:val="4"/>
            <w:vAlign w:val="top"/>
          </w:tcPr>
          <w:p w14:paraId="760E0805">
            <w:pPr>
              <w:spacing w:before="68" w:line="220" w:lineRule="auto"/>
              <w:ind w:left="2353"/>
              <w:rPr>
                <w:rFonts w:ascii="宋体" w:hAnsi="宋体" w:eastAsia="宋体" w:cs="宋体"/>
                <w:sz w:val="21"/>
                <w:szCs w:val="21"/>
              </w:rPr>
            </w:pPr>
            <w:r>
              <w:rPr>
                <w:rFonts w:ascii="宋体" w:hAnsi="宋体" w:eastAsia="宋体" w:cs="宋体"/>
                <w:spacing w:val="-2"/>
                <w:sz w:val="21"/>
                <w:szCs w:val="21"/>
              </w:rPr>
              <w:t>作物类型</w:t>
            </w:r>
          </w:p>
        </w:tc>
        <w:tc>
          <w:tcPr>
            <w:tcW w:w="1373" w:type="dxa"/>
            <w:vMerge w:val="restart"/>
            <w:tcBorders>
              <w:bottom w:val="nil"/>
            </w:tcBorders>
            <w:vAlign w:val="top"/>
          </w:tcPr>
          <w:p w14:paraId="3FC1B1AB">
            <w:pPr>
              <w:spacing w:before="244" w:line="221" w:lineRule="auto"/>
              <w:ind w:left="482"/>
              <w:rPr>
                <w:rFonts w:ascii="宋体" w:hAnsi="宋体" w:eastAsia="宋体" w:cs="宋体"/>
                <w:sz w:val="21"/>
                <w:szCs w:val="21"/>
              </w:rPr>
            </w:pPr>
            <w:r>
              <w:rPr>
                <w:rFonts w:ascii="宋体" w:hAnsi="宋体" w:eastAsia="宋体" w:cs="宋体"/>
                <w:spacing w:val="-3"/>
                <w:sz w:val="21"/>
                <w:szCs w:val="21"/>
              </w:rPr>
              <w:t>合计</w:t>
            </w:r>
          </w:p>
        </w:tc>
      </w:tr>
      <w:tr w14:paraId="7ACB7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23" w:type="dxa"/>
            <w:vMerge w:val="continue"/>
            <w:tcBorders>
              <w:top w:val="nil"/>
            </w:tcBorders>
            <w:vAlign w:val="top"/>
          </w:tcPr>
          <w:p w14:paraId="26EA5E68">
            <w:pPr>
              <w:rPr>
                <w:rFonts w:ascii="Arial"/>
                <w:sz w:val="21"/>
              </w:rPr>
            </w:pPr>
          </w:p>
        </w:tc>
        <w:tc>
          <w:tcPr>
            <w:tcW w:w="1383" w:type="dxa"/>
            <w:vAlign w:val="top"/>
          </w:tcPr>
          <w:p w14:paraId="4A97A046">
            <w:pPr>
              <w:spacing w:before="66" w:line="220" w:lineRule="auto"/>
              <w:ind w:left="489"/>
              <w:rPr>
                <w:rFonts w:ascii="宋体" w:hAnsi="宋体" w:eastAsia="宋体" w:cs="宋体"/>
                <w:sz w:val="21"/>
                <w:szCs w:val="21"/>
              </w:rPr>
            </w:pPr>
            <w:r>
              <w:rPr>
                <w:rFonts w:ascii="宋体" w:hAnsi="宋体" w:eastAsia="宋体" w:cs="宋体"/>
                <w:spacing w:val="-4"/>
                <w:sz w:val="21"/>
                <w:szCs w:val="21"/>
              </w:rPr>
              <w:t>天冬</w:t>
            </w:r>
          </w:p>
        </w:tc>
        <w:tc>
          <w:tcPr>
            <w:tcW w:w="1384" w:type="dxa"/>
            <w:vAlign w:val="top"/>
          </w:tcPr>
          <w:p w14:paraId="7185F905">
            <w:pPr>
              <w:spacing w:before="66" w:line="220" w:lineRule="auto"/>
              <w:ind w:left="488"/>
              <w:rPr>
                <w:rFonts w:ascii="宋体" w:hAnsi="宋体" w:eastAsia="宋体" w:cs="宋体"/>
                <w:sz w:val="21"/>
                <w:szCs w:val="21"/>
              </w:rPr>
            </w:pPr>
            <w:r>
              <w:rPr>
                <w:rFonts w:ascii="宋体" w:hAnsi="宋体" w:eastAsia="宋体" w:cs="宋体"/>
                <w:spacing w:val="-3"/>
                <w:sz w:val="21"/>
                <w:szCs w:val="21"/>
              </w:rPr>
              <w:t>大豆</w:t>
            </w:r>
          </w:p>
        </w:tc>
        <w:tc>
          <w:tcPr>
            <w:tcW w:w="1383" w:type="dxa"/>
            <w:vAlign w:val="top"/>
          </w:tcPr>
          <w:p w14:paraId="7D798BB9">
            <w:pPr>
              <w:spacing w:before="65" w:line="220" w:lineRule="auto"/>
              <w:ind w:left="488"/>
              <w:rPr>
                <w:rFonts w:ascii="宋体" w:hAnsi="宋体" w:eastAsia="宋体" w:cs="宋体"/>
                <w:sz w:val="21"/>
                <w:szCs w:val="21"/>
              </w:rPr>
            </w:pPr>
            <w:r>
              <w:rPr>
                <w:rFonts w:ascii="宋体" w:hAnsi="宋体" w:eastAsia="宋体" w:cs="宋体"/>
                <w:spacing w:val="-3"/>
                <w:sz w:val="21"/>
                <w:szCs w:val="21"/>
              </w:rPr>
              <w:t>玉米</w:t>
            </w:r>
          </w:p>
        </w:tc>
        <w:tc>
          <w:tcPr>
            <w:tcW w:w="1384" w:type="dxa"/>
            <w:vAlign w:val="top"/>
          </w:tcPr>
          <w:p w14:paraId="79C60071">
            <w:pPr>
              <w:spacing w:before="65" w:line="220" w:lineRule="auto"/>
              <w:ind w:left="492"/>
              <w:rPr>
                <w:rFonts w:ascii="宋体" w:hAnsi="宋体" w:eastAsia="宋体" w:cs="宋体"/>
                <w:sz w:val="21"/>
                <w:szCs w:val="21"/>
              </w:rPr>
            </w:pPr>
            <w:r>
              <w:rPr>
                <w:rFonts w:ascii="宋体" w:hAnsi="宋体" w:eastAsia="宋体" w:cs="宋体"/>
                <w:spacing w:val="-3"/>
                <w:sz w:val="21"/>
                <w:szCs w:val="21"/>
              </w:rPr>
              <w:t>油菜</w:t>
            </w:r>
          </w:p>
        </w:tc>
        <w:tc>
          <w:tcPr>
            <w:tcW w:w="1373" w:type="dxa"/>
            <w:vMerge w:val="continue"/>
            <w:tcBorders>
              <w:top w:val="nil"/>
            </w:tcBorders>
            <w:vAlign w:val="top"/>
          </w:tcPr>
          <w:p w14:paraId="1FEEFA75">
            <w:pPr>
              <w:rPr>
                <w:rFonts w:ascii="Arial"/>
                <w:sz w:val="21"/>
              </w:rPr>
            </w:pPr>
          </w:p>
        </w:tc>
      </w:tr>
      <w:tr w14:paraId="3C3F5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23" w:type="dxa"/>
            <w:vAlign w:val="top"/>
          </w:tcPr>
          <w:p w14:paraId="0690F283">
            <w:pPr>
              <w:spacing w:before="67" w:line="219" w:lineRule="auto"/>
              <w:ind w:left="306"/>
              <w:rPr>
                <w:rFonts w:ascii="宋体" w:hAnsi="宋体" w:eastAsia="宋体" w:cs="宋体"/>
                <w:sz w:val="21"/>
                <w:szCs w:val="21"/>
              </w:rPr>
            </w:pPr>
            <w:r>
              <w:rPr>
                <w:rFonts w:ascii="宋体" w:hAnsi="宋体" w:eastAsia="宋体" w:cs="宋体"/>
                <w:spacing w:val="-4"/>
                <w:sz w:val="21"/>
                <w:szCs w:val="21"/>
              </w:rPr>
              <w:t>喻家沟村</w:t>
            </w:r>
          </w:p>
        </w:tc>
        <w:tc>
          <w:tcPr>
            <w:tcW w:w="1383" w:type="dxa"/>
            <w:vAlign w:val="top"/>
          </w:tcPr>
          <w:p w14:paraId="5FF2058D">
            <w:pPr>
              <w:pStyle w:val="6"/>
              <w:spacing w:before="104" w:line="188" w:lineRule="auto"/>
              <w:ind w:left="543"/>
            </w:pPr>
            <w:r>
              <w:rPr>
                <w:spacing w:val="-5"/>
              </w:rPr>
              <w:t>800</w:t>
            </w:r>
          </w:p>
        </w:tc>
        <w:tc>
          <w:tcPr>
            <w:tcW w:w="1384" w:type="dxa"/>
            <w:vAlign w:val="top"/>
          </w:tcPr>
          <w:p w14:paraId="15D7B1E0">
            <w:pPr>
              <w:pStyle w:val="6"/>
              <w:spacing w:before="104" w:line="188" w:lineRule="auto"/>
              <w:ind w:left="534"/>
            </w:pPr>
            <w:r>
              <w:rPr>
                <w:spacing w:val="-2"/>
              </w:rPr>
              <w:t>400</w:t>
            </w:r>
          </w:p>
        </w:tc>
        <w:tc>
          <w:tcPr>
            <w:tcW w:w="1383" w:type="dxa"/>
            <w:vAlign w:val="top"/>
          </w:tcPr>
          <w:p w14:paraId="1EF36C3C">
            <w:pPr>
              <w:pStyle w:val="6"/>
              <w:spacing w:before="104" w:line="188" w:lineRule="auto"/>
              <w:ind w:left="535"/>
            </w:pPr>
            <w:r>
              <w:rPr>
                <w:spacing w:val="-2"/>
              </w:rPr>
              <w:t>460</w:t>
            </w:r>
          </w:p>
        </w:tc>
        <w:tc>
          <w:tcPr>
            <w:tcW w:w="1384" w:type="dxa"/>
            <w:vAlign w:val="top"/>
          </w:tcPr>
          <w:p w14:paraId="20867BB0">
            <w:pPr>
              <w:pStyle w:val="6"/>
              <w:spacing w:before="104" w:line="188" w:lineRule="auto"/>
              <w:ind w:left="536"/>
            </w:pPr>
            <w:r>
              <w:rPr>
                <w:spacing w:val="-2"/>
              </w:rPr>
              <w:t>400</w:t>
            </w:r>
          </w:p>
        </w:tc>
        <w:tc>
          <w:tcPr>
            <w:tcW w:w="1373" w:type="dxa"/>
            <w:vAlign w:val="top"/>
          </w:tcPr>
          <w:p w14:paraId="00AD145A">
            <w:pPr>
              <w:pStyle w:val="6"/>
              <w:spacing w:before="104" w:line="188" w:lineRule="auto"/>
              <w:ind w:left="477"/>
            </w:pPr>
            <w:r>
              <w:rPr>
                <w:spacing w:val="-1"/>
              </w:rPr>
              <w:t>2060</w:t>
            </w:r>
          </w:p>
        </w:tc>
      </w:tr>
    </w:tbl>
    <w:p w14:paraId="2D6457A2">
      <w:pPr>
        <w:spacing w:before="234" w:line="360" w:lineRule="auto"/>
        <w:ind w:left="38" w:right="85" w:firstLine="480"/>
        <w:jc w:val="both"/>
        <w:rPr>
          <w:rFonts w:ascii="宋体" w:hAnsi="宋体" w:eastAsia="宋体" w:cs="宋体"/>
          <w:sz w:val="24"/>
          <w:szCs w:val="24"/>
        </w:rPr>
      </w:pPr>
      <w:r>
        <w:rPr>
          <w:rFonts w:ascii="宋体" w:hAnsi="宋体" w:eastAsia="宋体" w:cs="宋体"/>
          <w:spacing w:val="-8"/>
          <w:sz w:val="24"/>
          <w:szCs w:val="24"/>
        </w:rPr>
        <w:t>根据《四川省用水定额》（川府函</w:t>
      </w:r>
      <w:r>
        <w:rPr>
          <w:rFonts w:ascii="Times New Roman" w:hAnsi="Times New Roman" w:eastAsia="Times New Roman" w:cs="Times New Roman"/>
          <w:spacing w:val="-8"/>
          <w:sz w:val="24"/>
          <w:szCs w:val="24"/>
        </w:rPr>
        <w:t>[</w:t>
      </w:r>
      <w:r>
        <w:fldChar w:fldCharType="begin"/>
      </w:r>
      <w:r>
        <w:instrText xml:space="preserve"> HYPERLINK \l "bookmark165" </w:instrText>
      </w:r>
      <w:r>
        <w:fldChar w:fldCharType="separate"/>
      </w:r>
      <w:r>
        <w:rPr>
          <w:rFonts w:ascii="Times New Roman" w:hAnsi="Times New Roman" w:eastAsia="Times New Roman" w:cs="Times New Roman"/>
          <w:spacing w:val="-8"/>
          <w:sz w:val="24"/>
          <w:szCs w:val="24"/>
        </w:rPr>
        <w:t>2021</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]8</w:t>
      </w:r>
      <w:r>
        <w:rPr>
          <w:rFonts w:ascii="宋体" w:hAnsi="宋体" w:eastAsia="宋体" w:cs="宋体"/>
          <w:spacing w:val="-8"/>
          <w:sz w:val="24"/>
          <w:szCs w:val="24"/>
        </w:rPr>
        <w:t>号</w:t>
      </w:r>
      <w:r>
        <w:rPr>
          <w:rFonts w:ascii="宋体" w:hAnsi="宋体" w:eastAsia="宋体" w:cs="宋体"/>
          <w:spacing w:val="-4"/>
          <w:sz w:val="24"/>
          <w:szCs w:val="24"/>
        </w:rPr>
        <w:t>），</w:t>
      </w:r>
      <w:r>
        <w:rPr>
          <w:rFonts w:ascii="宋体" w:hAnsi="宋体" w:eastAsia="宋体" w:cs="宋体"/>
          <w:spacing w:val="-8"/>
          <w:sz w:val="24"/>
          <w:szCs w:val="24"/>
        </w:rPr>
        <w:t>内江市东兴区属于</w:t>
      </w:r>
      <w:r>
        <w:rPr>
          <w:rFonts w:ascii="Times New Roman" w:hAnsi="Times New Roman" w:eastAsia="Times New Roman" w:cs="Times New Roman"/>
          <w:spacing w:val="-8"/>
          <w:sz w:val="24"/>
          <w:szCs w:val="24"/>
        </w:rPr>
        <w:t>II</w:t>
      </w:r>
      <w:r>
        <w:rPr>
          <w:rFonts w:ascii="宋体" w:hAnsi="宋体" w:eastAsia="宋体" w:cs="宋体"/>
          <w:spacing w:val="-8"/>
          <w:sz w:val="24"/>
          <w:szCs w:val="24"/>
        </w:rPr>
        <w:t>类区“盆</w:t>
      </w:r>
      <w:r>
        <w:rPr>
          <w:rFonts w:ascii="宋体" w:hAnsi="宋体" w:eastAsia="宋体" w:cs="宋体"/>
          <w:spacing w:val="-3"/>
          <w:sz w:val="24"/>
          <w:szCs w:val="24"/>
        </w:rPr>
        <w:t>中丘陵区”。由于消纳地采用管道输水，采取喷灌或滴灌等节水灌溉方</w:t>
      </w:r>
      <w:r>
        <w:rPr>
          <w:rFonts w:ascii="宋体" w:hAnsi="宋体" w:eastAsia="宋体" w:cs="宋体"/>
          <w:spacing w:val="-4"/>
          <w:sz w:val="24"/>
          <w:szCs w:val="24"/>
        </w:rPr>
        <w:t>式，</w:t>
      </w:r>
      <w:r>
        <w:rPr>
          <w:rFonts w:ascii="宋体" w:hAnsi="宋体" w:eastAsia="宋体" w:cs="宋体"/>
          <w:b/>
          <w:bCs/>
          <w:spacing w:val="-4"/>
          <w:sz w:val="24"/>
          <w:szCs w:val="24"/>
        </w:rPr>
        <w:t>本次</w:t>
      </w:r>
      <w:r>
        <w:rPr>
          <w:rFonts w:ascii="宋体" w:hAnsi="宋体" w:eastAsia="宋体" w:cs="宋体"/>
          <w:b/>
          <w:bCs/>
          <w:spacing w:val="-5"/>
          <w:sz w:val="24"/>
          <w:szCs w:val="24"/>
        </w:rPr>
        <w:t>评价采取《四川省用水定额》表</w:t>
      </w:r>
      <w:r>
        <w:rPr>
          <w:rFonts w:ascii="Times New Roman" w:hAnsi="Times New Roman" w:eastAsia="Times New Roman" w:cs="Times New Roman"/>
          <w:b/>
          <w:bCs/>
          <w:spacing w:val="-5"/>
          <w:sz w:val="24"/>
          <w:szCs w:val="24"/>
        </w:rPr>
        <w:t xml:space="preserve">2  </w:t>
      </w:r>
      <w:r>
        <w:rPr>
          <w:rFonts w:ascii="宋体" w:hAnsi="宋体" w:eastAsia="宋体" w:cs="宋体"/>
          <w:b/>
          <w:bCs/>
          <w:spacing w:val="-5"/>
          <w:sz w:val="24"/>
          <w:szCs w:val="24"/>
        </w:rPr>
        <w:t>主要作物灌溉用水定额中的“先进值</w:t>
      </w:r>
      <w:r>
        <w:rPr>
          <w:rFonts w:ascii="宋体" w:hAnsi="宋体" w:eastAsia="宋体" w:cs="宋体"/>
          <w:b/>
          <w:bCs/>
          <w:spacing w:val="-6"/>
          <w:sz w:val="24"/>
          <w:szCs w:val="24"/>
        </w:rPr>
        <w:t>”，以相</w:t>
      </w:r>
      <w:r>
        <w:rPr>
          <w:rFonts w:ascii="宋体" w:hAnsi="宋体" w:eastAsia="宋体" w:cs="宋体"/>
          <w:b/>
          <w:bCs/>
          <w:spacing w:val="-3"/>
          <w:sz w:val="24"/>
          <w:szCs w:val="24"/>
        </w:rPr>
        <w:t>对低的灌溉保证率（</w:t>
      </w:r>
      <w:r>
        <w:rPr>
          <w:rFonts w:ascii="Times New Roman" w:hAnsi="Times New Roman" w:eastAsia="Times New Roman" w:cs="Times New Roman"/>
          <w:b/>
          <w:bCs/>
          <w:spacing w:val="-3"/>
          <w:sz w:val="24"/>
          <w:szCs w:val="24"/>
        </w:rPr>
        <w:t>50%</w:t>
      </w:r>
      <w:r>
        <w:rPr>
          <w:rFonts w:ascii="宋体" w:hAnsi="宋体" w:eastAsia="宋体" w:cs="宋体"/>
          <w:b/>
          <w:bCs/>
          <w:spacing w:val="-3"/>
          <w:sz w:val="24"/>
          <w:szCs w:val="24"/>
        </w:rPr>
        <w:t>）下灌溉用水定额进行</w:t>
      </w:r>
      <w:r>
        <w:rPr>
          <w:rFonts w:ascii="宋体" w:hAnsi="宋体" w:eastAsia="宋体" w:cs="宋体"/>
          <w:b/>
          <w:bCs/>
          <w:spacing w:val="-4"/>
          <w:sz w:val="24"/>
          <w:szCs w:val="24"/>
        </w:rPr>
        <w:t>计算。</w:t>
      </w:r>
    </w:p>
    <w:p w14:paraId="0F9D55B6">
      <w:pPr>
        <w:spacing w:before="4" w:line="359" w:lineRule="auto"/>
        <w:ind w:left="42" w:firstLine="479"/>
        <w:jc w:val="both"/>
        <w:rPr>
          <w:rFonts w:ascii="宋体" w:hAnsi="宋体" w:eastAsia="宋体" w:cs="宋体"/>
          <w:sz w:val="24"/>
          <w:szCs w:val="24"/>
        </w:rPr>
      </w:pPr>
      <w:r>
        <w:rPr>
          <w:rFonts w:ascii="宋体" w:hAnsi="宋体" w:eastAsia="宋体" w:cs="宋体"/>
          <w:spacing w:val="-4"/>
          <w:sz w:val="24"/>
          <w:szCs w:val="24"/>
        </w:rPr>
        <w:t>经查阅资料，各种作物在一个生育期内单位面积的灌溉用水量（多年生作物</w:t>
      </w:r>
      <w:r>
        <w:rPr>
          <w:rFonts w:ascii="宋体" w:hAnsi="宋体" w:eastAsia="宋体" w:cs="宋体"/>
          <w:spacing w:val="-3"/>
          <w:sz w:val="24"/>
          <w:szCs w:val="24"/>
        </w:rPr>
        <w:t>为一年期内单位面积的灌溉用水量）如下：天冬（中药材）每亩地灌溉用</w:t>
      </w:r>
      <w:r>
        <w:rPr>
          <w:rFonts w:ascii="宋体" w:hAnsi="宋体" w:eastAsia="宋体" w:cs="宋体"/>
          <w:spacing w:val="-4"/>
          <w:sz w:val="24"/>
          <w:szCs w:val="24"/>
        </w:rPr>
        <w:t>水定额</w:t>
      </w:r>
      <w:r>
        <w:rPr>
          <w:rFonts w:ascii="宋体" w:hAnsi="宋体" w:eastAsia="宋体" w:cs="宋体"/>
          <w:spacing w:val="-1"/>
          <w:sz w:val="24"/>
          <w:szCs w:val="24"/>
        </w:rPr>
        <w:t>为</w:t>
      </w:r>
      <w:r>
        <w:rPr>
          <w:rFonts w:ascii="Times New Roman" w:hAnsi="Times New Roman" w:eastAsia="Times New Roman" w:cs="Times New Roman"/>
          <w:spacing w:val="-1"/>
          <w:sz w:val="24"/>
          <w:szCs w:val="24"/>
        </w:rPr>
        <w:t>105m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6"/>
          <w:position w:val="10"/>
          <w:sz w:val="15"/>
          <w:szCs w:val="15"/>
        </w:rPr>
        <w:t xml:space="preserve"> </w:t>
      </w:r>
      <w:r>
        <w:rPr>
          <w:rFonts w:ascii="宋体" w:hAnsi="宋体" w:eastAsia="宋体" w:cs="宋体"/>
          <w:spacing w:val="-1"/>
          <w:sz w:val="24"/>
          <w:szCs w:val="24"/>
        </w:rPr>
        <w:t>、大豆每亩地灌溉用水定额为</w:t>
      </w:r>
      <w:r>
        <w:rPr>
          <w:rFonts w:ascii="Times New Roman" w:hAnsi="Times New Roman" w:eastAsia="Times New Roman" w:cs="Times New Roman"/>
          <w:spacing w:val="-1"/>
          <w:sz w:val="24"/>
          <w:szCs w:val="24"/>
        </w:rPr>
        <w:t>40m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7"/>
          <w:position w:val="10"/>
          <w:sz w:val="15"/>
          <w:szCs w:val="15"/>
        </w:rPr>
        <w:t xml:space="preserve"> </w:t>
      </w:r>
      <w:r>
        <w:rPr>
          <w:rFonts w:ascii="宋体" w:hAnsi="宋体" w:eastAsia="宋体" w:cs="宋体"/>
          <w:spacing w:val="-1"/>
          <w:sz w:val="24"/>
          <w:szCs w:val="24"/>
        </w:rPr>
        <w:t>、玉米每亩地灌溉用水定额为</w:t>
      </w:r>
      <w:r>
        <w:rPr>
          <w:rFonts w:ascii="Times New Roman" w:hAnsi="Times New Roman" w:eastAsia="Times New Roman" w:cs="Times New Roman"/>
          <w:spacing w:val="-1"/>
          <w:sz w:val="24"/>
          <w:szCs w:val="24"/>
        </w:rPr>
        <w:t>43m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、油菜每亩地灌溉用水定额为</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w:t>
      </w:r>
    </w:p>
    <w:p w14:paraId="309A654E">
      <w:pPr>
        <w:spacing w:line="360" w:lineRule="auto"/>
        <w:ind w:left="39" w:right="21" w:firstLine="480"/>
        <w:jc w:val="both"/>
        <w:rPr>
          <w:rFonts w:ascii="宋体" w:hAnsi="宋体" w:eastAsia="宋体" w:cs="宋体"/>
          <w:sz w:val="24"/>
          <w:szCs w:val="24"/>
        </w:rPr>
      </w:pPr>
      <w:r>
        <w:rPr>
          <w:rFonts w:ascii="宋体" w:hAnsi="宋体" w:eastAsia="宋体" w:cs="宋体"/>
          <w:spacing w:val="-3"/>
          <w:sz w:val="24"/>
          <w:szCs w:val="24"/>
        </w:rPr>
        <w:t>根据内江市东兴区当地气候和咨询当地农户，了解各作物的生长</w:t>
      </w:r>
      <w:r>
        <w:rPr>
          <w:rFonts w:ascii="宋体" w:hAnsi="宋体" w:eastAsia="宋体" w:cs="宋体"/>
          <w:spacing w:val="-4"/>
          <w:sz w:val="24"/>
          <w:szCs w:val="24"/>
        </w:rPr>
        <w:t>习性和种植</w:t>
      </w:r>
      <w:r>
        <w:rPr>
          <w:rFonts w:ascii="宋体" w:hAnsi="宋体" w:eastAsia="宋体" w:cs="宋体"/>
          <w:spacing w:val="-3"/>
          <w:sz w:val="24"/>
          <w:szCs w:val="24"/>
        </w:rPr>
        <w:t>特点：天冬为中药材（东兴区为中国天冬之乡，近年大力发展以天冬为主导的中医药大健康产业，推进天冬育苗、种植、加工、交易、研发、品牌、康旅“七位一体”的发展模式</w:t>
      </w:r>
      <w:r>
        <w:rPr>
          <w:rFonts w:ascii="宋体" w:hAnsi="宋体" w:eastAsia="宋体" w:cs="宋体"/>
          <w:spacing w:val="-6"/>
          <w:sz w:val="24"/>
          <w:szCs w:val="24"/>
        </w:rPr>
        <w:t>），</w:t>
      </w:r>
      <w:r>
        <w:rPr>
          <w:rFonts w:ascii="宋体" w:hAnsi="宋体" w:eastAsia="宋体" w:cs="宋体"/>
          <w:spacing w:val="-3"/>
          <w:sz w:val="24"/>
          <w:szCs w:val="24"/>
        </w:rPr>
        <w:t>天冬属多年生攀援草本，块根肉质，一般在第一年的</w:t>
      </w:r>
      <w:r>
        <w:rPr>
          <w:rFonts w:ascii="Times New Roman" w:hAnsi="Times New Roman" w:eastAsia="Times New Roman" w:cs="Times New Roman"/>
          <w:spacing w:val="-3"/>
          <w:sz w:val="24"/>
          <w:szCs w:val="24"/>
        </w:rPr>
        <w:t>9~10</w:t>
      </w:r>
      <w:r>
        <w:rPr>
          <w:rFonts w:ascii="宋体" w:hAnsi="宋体" w:eastAsia="宋体" w:cs="宋体"/>
          <w:spacing w:val="-2"/>
          <w:sz w:val="24"/>
          <w:szCs w:val="24"/>
        </w:rPr>
        <w:t>月播种，种植期平均为</w:t>
      </w:r>
      <w:r>
        <w:rPr>
          <w:rFonts w:ascii="Times New Roman" w:hAnsi="Times New Roman" w:eastAsia="Times New Roman" w:cs="Times New Roman"/>
          <w:spacing w:val="-2"/>
          <w:sz w:val="24"/>
          <w:szCs w:val="24"/>
        </w:rPr>
        <w:t>2~3</w:t>
      </w:r>
      <w:r>
        <w:rPr>
          <w:rFonts w:ascii="宋体" w:hAnsi="宋体" w:eastAsia="宋体" w:cs="宋体"/>
          <w:spacing w:val="-2"/>
          <w:sz w:val="24"/>
          <w:szCs w:val="24"/>
        </w:rPr>
        <w:t>年，</w:t>
      </w:r>
      <w:r>
        <w:rPr>
          <w:rFonts w:ascii="Times New Roman" w:hAnsi="Times New Roman" w:eastAsia="Times New Roman" w:cs="Times New Roman"/>
          <w:spacing w:val="-2"/>
          <w:sz w:val="24"/>
          <w:szCs w:val="24"/>
        </w:rPr>
        <w:t>4~5</w:t>
      </w:r>
      <w:r>
        <w:rPr>
          <w:rFonts w:ascii="宋体" w:hAnsi="宋体" w:eastAsia="宋体" w:cs="宋体"/>
          <w:spacing w:val="-2"/>
          <w:sz w:val="24"/>
          <w:szCs w:val="24"/>
        </w:rPr>
        <w:t>年为高产时期，种植周期长，不受季节影响；</w:t>
      </w:r>
      <w:r>
        <w:rPr>
          <w:rFonts w:ascii="宋体" w:hAnsi="宋体" w:eastAsia="宋体" w:cs="宋体"/>
          <w:spacing w:val="-1"/>
          <w:sz w:val="24"/>
          <w:szCs w:val="24"/>
        </w:rPr>
        <w:t>大豆种植期</w:t>
      </w:r>
      <w:r>
        <w:rPr>
          <w:rFonts w:ascii="Times New Roman" w:hAnsi="Times New Roman" w:eastAsia="Times New Roman" w:cs="Times New Roman"/>
          <w:spacing w:val="-1"/>
          <w:sz w:val="24"/>
          <w:szCs w:val="24"/>
        </w:rPr>
        <w:t>6</w:t>
      </w:r>
      <w:r>
        <w:rPr>
          <w:rFonts w:ascii="宋体" w:hAnsi="宋体" w:eastAsia="宋体" w:cs="宋体"/>
          <w:spacing w:val="-1"/>
          <w:sz w:val="24"/>
          <w:szCs w:val="24"/>
        </w:rPr>
        <w:t>月</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月，玉米种植期</w:t>
      </w:r>
      <w:r>
        <w:rPr>
          <w:rFonts w:ascii="Times New Roman" w:hAnsi="Times New Roman" w:eastAsia="Times New Roman" w:cs="Times New Roman"/>
          <w:spacing w:val="-1"/>
          <w:sz w:val="24"/>
          <w:szCs w:val="24"/>
        </w:rPr>
        <w:t>4</w:t>
      </w:r>
      <w:r>
        <w:rPr>
          <w:rFonts w:ascii="宋体" w:hAnsi="宋体" w:eastAsia="宋体" w:cs="宋体"/>
          <w:spacing w:val="-1"/>
          <w:sz w:val="24"/>
          <w:szCs w:val="24"/>
        </w:rPr>
        <w:t>月</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月，油菜种植期</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月</w:t>
      </w:r>
      <w:r>
        <w:rPr>
          <w:rFonts w:ascii="Times New Roman" w:hAnsi="Times New Roman" w:eastAsia="Times New Roman" w:cs="Times New Roman"/>
          <w:spacing w:val="-1"/>
          <w:sz w:val="24"/>
          <w:szCs w:val="24"/>
        </w:rPr>
        <w:t>~</w:t>
      </w:r>
      <w:r>
        <w:rPr>
          <w:rFonts w:ascii="宋体" w:hAnsi="宋体" w:eastAsia="宋体" w:cs="宋体"/>
          <w:spacing w:val="-1"/>
          <w:sz w:val="24"/>
          <w:szCs w:val="24"/>
        </w:rPr>
        <w:t>次年</w:t>
      </w:r>
      <w:r>
        <w:rPr>
          <w:rFonts w:ascii="Times New Roman" w:hAnsi="Times New Roman" w:eastAsia="Times New Roman" w:cs="Times New Roman"/>
          <w:spacing w:val="-1"/>
          <w:sz w:val="24"/>
          <w:szCs w:val="24"/>
        </w:rPr>
        <w:t>4</w:t>
      </w:r>
      <w:r>
        <w:rPr>
          <w:rFonts w:ascii="宋体" w:hAnsi="宋体" w:eastAsia="宋体" w:cs="宋体"/>
          <w:spacing w:val="-1"/>
          <w:sz w:val="24"/>
          <w:szCs w:val="24"/>
        </w:rPr>
        <w:t>月。</w:t>
      </w:r>
    </w:p>
    <w:p w14:paraId="0EC84221">
      <w:pPr>
        <w:spacing w:before="1" w:line="219" w:lineRule="auto"/>
        <w:ind w:left="519"/>
        <w:rPr>
          <w:rFonts w:ascii="宋体" w:hAnsi="宋体" w:eastAsia="宋体" w:cs="宋体"/>
          <w:sz w:val="24"/>
          <w:szCs w:val="24"/>
        </w:rPr>
      </w:pPr>
      <w:r>
        <w:rPr>
          <w:rFonts w:ascii="宋体" w:hAnsi="宋体" w:eastAsia="宋体" w:cs="宋体"/>
          <w:sz w:val="24"/>
          <w:szCs w:val="24"/>
        </w:rPr>
        <w:t>根据历史气象资料，内江年降雨天数平均约</w:t>
      </w:r>
      <w:r>
        <w:rPr>
          <w:rFonts w:ascii="Times New Roman" w:hAnsi="Times New Roman" w:eastAsia="Times New Roman" w:cs="Times New Roman"/>
          <w:sz w:val="24"/>
          <w:szCs w:val="24"/>
        </w:rPr>
        <w:t>90</w:t>
      </w:r>
      <w:r>
        <w:rPr>
          <w:rFonts w:ascii="宋体" w:hAnsi="宋体" w:eastAsia="宋体" w:cs="宋体"/>
          <w:sz w:val="24"/>
          <w:szCs w:val="24"/>
        </w:rPr>
        <w:t>天，</w:t>
      </w:r>
      <w:r>
        <w:rPr>
          <w:rFonts w:ascii="Times New Roman" w:hAnsi="Times New Roman" w:eastAsia="Times New Roman" w:cs="Times New Roman"/>
          <w:sz w:val="24"/>
          <w:szCs w:val="24"/>
        </w:rPr>
        <w:t>6</w:t>
      </w:r>
      <w:r>
        <w:rPr>
          <w:rFonts w:ascii="宋体" w:hAnsi="宋体" w:eastAsia="宋体" w:cs="宋体"/>
          <w:sz w:val="24"/>
          <w:szCs w:val="24"/>
        </w:rPr>
        <w:t>月</w:t>
      </w:r>
      <w:r>
        <w:rPr>
          <w:rFonts w:ascii="Times New Roman" w:hAnsi="Times New Roman" w:eastAsia="Times New Roman" w:cs="Times New Roman"/>
          <w:sz w:val="24"/>
          <w:szCs w:val="24"/>
        </w:rPr>
        <w:t>~9</w:t>
      </w:r>
      <w:r>
        <w:rPr>
          <w:rFonts w:ascii="宋体" w:hAnsi="宋体" w:eastAsia="宋体" w:cs="宋体"/>
          <w:sz w:val="24"/>
          <w:szCs w:val="24"/>
        </w:rPr>
        <w:t>月降雨较频繁，平</w:t>
      </w:r>
    </w:p>
    <w:p w14:paraId="6D9FA6FE">
      <w:pPr>
        <w:spacing w:line="219" w:lineRule="auto"/>
        <w:rPr>
          <w:rFonts w:ascii="宋体" w:hAnsi="宋体" w:eastAsia="宋体" w:cs="宋体"/>
          <w:sz w:val="24"/>
          <w:szCs w:val="24"/>
        </w:rPr>
        <w:sectPr>
          <w:headerReference r:id="rId333" w:type="default"/>
          <w:footerReference r:id="rId334" w:type="default"/>
          <w:pgSz w:w="11905" w:h="16840"/>
          <w:pgMar w:top="1168" w:right="1712" w:bottom="1409" w:left="1770" w:header="828" w:footer="1244" w:gutter="0"/>
          <w:cols w:space="720" w:num="1"/>
        </w:sectPr>
      </w:pPr>
    </w:p>
    <w:p w14:paraId="7963D774">
      <w:pPr>
        <w:pStyle w:val="2"/>
        <w:spacing w:line="305" w:lineRule="auto"/>
      </w:pPr>
    </w:p>
    <w:p w14:paraId="203FDD39">
      <w:pPr>
        <w:spacing w:before="78" w:line="362" w:lineRule="auto"/>
        <w:ind w:left="42" w:right="66" w:hanging="2"/>
        <w:rPr>
          <w:rFonts w:ascii="宋体" w:hAnsi="宋体" w:eastAsia="宋体" w:cs="宋体"/>
          <w:sz w:val="24"/>
          <w:szCs w:val="24"/>
        </w:rPr>
      </w:pPr>
      <w:r>
        <w:rPr>
          <w:rFonts w:ascii="宋体" w:hAnsi="宋体" w:eastAsia="宋体" w:cs="宋体"/>
          <w:spacing w:val="-5"/>
          <w:sz w:val="24"/>
          <w:szCs w:val="24"/>
        </w:rPr>
        <w:t>均约</w:t>
      </w:r>
      <w:r>
        <w:rPr>
          <w:rFonts w:ascii="Times New Roman" w:hAnsi="Times New Roman" w:eastAsia="Times New Roman" w:cs="Times New Roman"/>
          <w:spacing w:val="-5"/>
          <w:sz w:val="24"/>
          <w:szCs w:val="24"/>
        </w:rPr>
        <w:t>45</w:t>
      </w:r>
      <w:r>
        <w:rPr>
          <w:rFonts w:ascii="宋体" w:hAnsi="宋体" w:eastAsia="宋体" w:cs="宋体"/>
          <w:spacing w:val="-5"/>
          <w:sz w:val="24"/>
          <w:szCs w:val="24"/>
        </w:rPr>
        <w:t>天。根据各农作物种植时期以及需水量，</w:t>
      </w:r>
      <w:r>
        <w:rPr>
          <w:rFonts w:ascii="宋体" w:hAnsi="宋体" w:eastAsia="宋体" w:cs="宋体"/>
          <w:spacing w:val="-40"/>
          <w:sz w:val="24"/>
          <w:szCs w:val="24"/>
        </w:rPr>
        <w:t xml:space="preserve"> </w:t>
      </w:r>
      <w:r>
        <w:rPr>
          <w:rFonts w:ascii="宋体" w:hAnsi="宋体" w:eastAsia="宋体" w:cs="宋体"/>
          <w:spacing w:val="-5"/>
          <w:sz w:val="24"/>
          <w:szCs w:val="24"/>
        </w:rPr>
        <w:t>本项目考虑</w:t>
      </w:r>
      <w:r>
        <w:rPr>
          <w:rFonts w:ascii="Times New Roman" w:hAnsi="Times New Roman" w:eastAsia="Times New Roman" w:cs="Times New Roman"/>
          <w:spacing w:val="-5"/>
          <w:sz w:val="24"/>
          <w:szCs w:val="24"/>
        </w:rPr>
        <w:t>90</w:t>
      </w:r>
      <w:r>
        <w:rPr>
          <w:rFonts w:ascii="宋体" w:hAnsi="宋体" w:eastAsia="宋体" w:cs="宋体"/>
          <w:spacing w:val="-5"/>
          <w:sz w:val="24"/>
          <w:szCs w:val="24"/>
        </w:rPr>
        <w:t>天的降雨期无法进</w:t>
      </w:r>
      <w:r>
        <w:rPr>
          <w:rFonts w:ascii="宋体" w:hAnsi="宋体" w:eastAsia="宋体" w:cs="宋体"/>
          <w:spacing w:val="-3"/>
          <w:sz w:val="24"/>
          <w:szCs w:val="24"/>
        </w:rPr>
        <w:t>行消纳，则本项目消纳废水统计如下。</w:t>
      </w:r>
    </w:p>
    <w:p w14:paraId="20A2CA39">
      <w:pPr>
        <w:spacing w:before="8" w:line="222" w:lineRule="auto"/>
        <w:ind w:left="247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4"/>
          <w:sz w:val="21"/>
          <w:szCs w:val="21"/>
        </w:rPr>
        <w:t xml:space="preserve"> </w:t>
      </w:r>
      <w:r>
        <w:rPr>
          <w:rFonts w:ascii="Times New Roman" w:hAnsi="Times New Roman" w:eastAsia="Times New Roman" w:cs="Times New Roman"/>
          <w:spacing w:val="-1"/>
          <w:sz w:val="21"/>
          <w:szCs w:val="21"/>
        </w:rPr>
        <w:t xml:space="preserve">4.2-26  </w:t>
      </w:r>
      <w:r>
        <w:rPr>
          <w:rFonts w:ascii="黑体" w:hAnsi="黑体" w:eastAsia="黑体" w:cs="黑体"/>
          <w:spacing w:val="-1"/>
          <w:sz w:val="21"/>
          <w:szCs w:val="21"/>
        </w:rPr>
        <w:t>项目农作物所需水量分析表</w:t>
      </w:r>
    </w:p>
    <w:p w14:paraId="0DD0A4C7">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205"/>
        <w:gridCol w:w="1368"/>
        <w:gridCol w:w="1369"/>
        <w:gridCol w:w="1370"/>
        <w:gridCol w:w="1557"/>
        <w:gridCol w:w="802"/>
      </w:tblGrid>
      <w:tr w14:paraId="488B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854" w:type="dxa"/>
            <w:gridSpan w:val="2"/>
            <w:vMerge w:val="restart"/>
            <w:tcBorders>
              <w:bottom w:val="nil"/>
            </w:tcBorders>
            <w:vAlign w:val="top"/>
          </w:tcPr>
          <w:p w14:paraId="37E885FA">
            <w:pPr>
              <w:spacing w:before="243" w:line="220" w:lineRule="auto"/>
              <w:ind w:left="723"/>
              <w:rPr>
                <w:rFonts w:ascii="宋体" w:hAnsi="宋体" w:eastAsia="宋体" w:cs="宋体"/>
                <w:sz w:val="21"/>
                <w:szCs w:val="21"/>
              </w:rPr>
            </w:pPr>
            <w:r>
              <w:rPr>
                <w:rFonts w:ascii="宋体" w:hAnsi="宋体" w:eastAsia="宋体" w:cs="宋体"/>
                <w:spacing w:val="-3"/>
                <w:sz w:val="21"/>
                <w:szCs w:val="21"/>
              </w:rPr>
              <w:t>参数</w:t>
            </w:r>
          </w:p>
        </w:tc>
        <w:tc>
          <w:tcPr>
            <w:tcW w:w="5664" w:type="dxa"/>
            <w:gridSpan w:val="4"/>
            <w:vAlign w:val="top"/>
          </w:tcPr>
          <w:p w14:paraId="54BCBBA4">
            <w:pPr>
              <w:spacing w:before="68" w:line="220" w:lineRule="auto"/>
              <w:ind w:left="2418"/>
              <w:rPr>
                <w:rFonts w:ascii="宋体" w:hAnsi="宋体" w:eastAsia="宋体" w:cs="宋体"/>
                <w:sz w:val="21"/>
                <w:szCs w:val="21"/>
              </w:rPr>
            </w:pPr>
            <w:r>
              <w:rPr>
                <w:rFonts w:ascii="宋体" w:hAnsi="宋体" w:eastAsia="宋体" w:cs="宋体"/>
                <w:spacing w:val="-2"/>
                <w:sz w:val="21"/>
                <w:szCs w:val="21"/>
              </w:rPr>
              <w:t>作物类型</w:t>
            </w:r>
          </w:p>
        </w:tc>
        <w:tc>
          <w:tcPr>
            <w:tcW w:w="802" w:type="dxa"/>
            <w:vMerge w:val="restart"/>
            <w:tcBorders>
              <w:bottom w:val="nil"/>
            </w:tcBorders>
            <w:vAlign w:val="top"/>
          </w:tcPr>
          <w:p w14:paraId="6839F740">
            <w:pPr>
              <w:spacing w:line="268" w:lineRule="auto"/>
              <w:rPr>
                <w:rFonts w:ascii="Arial"/>
                <w:sz w:val="21"/>
              </w:rPr>
            </w:pPr>
          </w:p>
          <w:p w14:paraId="0766C28F">
            <w:pPr>
              <w:spacing w:line="268" w:lineRule="auto"/>
              <w:rPr>
                <w:rFonts w:ascii="Arial"/>
                <w:sz w:val="21"/>
              </w:rPr>
            </w:pPr>
          </w:p>
          <w:p w14:paraId="2A6536AD">
            <w:pPr>
              <w:spacing w:line="268" w:lineRule="auto"/>
              <w:rPr>
                <w:rFonts w:ascii="Arial"/>
                <w:sz w:val="21"/>
              </w:rPr>
            </w:pPr>
          </w:p>
          <w:p w14:paraId="0414A505">
            <w:pPr>
              <w:spacing w:line="269" w:lineRule="auto"/>
              <w:rPr>
                <w:rFonts w:ascii="Arial"/>
                <w:sz w:val="21"/>
              </w:rPr>
            </w:pPr>
          </w:p>
          <w:p w14:paraId="0DD13FE6">
            <w:pPr>
              <w:spacing w:line="269" w:lineRule="auto"/>
              <w:rPr>
                <w:rFonts w:ascii="Arial"/>
                <w:sz w:val="21"/>
              </w:rPr>
            </w:pPr>
          </w:p>
          <w:p w14:paraId="52ACB1D8">
            <w:pPr>
              <w:spacing w:before="68" w:line="221" w:lineRule="auto"/>
              <w:ind w:left="197"/>
              <w:rPr>
                <w:rFonts w:ascii="宋体" w:hAnsi="宋体" w:eastAsia="宋体" w:cs="宋体"/>
                <w:sz w:val="21"/>
                <w:szCs w:val="21"/>
              </w:rPr>
            </w:pPr>
            <w:r>
              <w:rPr>
                <w:rFonts w:ascii="宋体" w:hAnsi="宋体" w:eastAsia="宋体" w:cs="宋体"/>
                <w:spacing w:val="-3"/>
                <w:sz w:val="21"/>
                <w:szCs w:val="21"/>
              </w:rPr>
              <w:t>合计</w:t>
            </w:r>
          </w:p>
        </w:tc>
      </w:tr>
      <w:tr w14:paraId="08F90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54" w:type="dxa"/>
            <w:gridSpan w:val="2"/>
            <w:vMerge w:val="continue"/>
            <w:tcBorders>
              <w:top w:val="nil"/>
            </w:tcBorders>
            <w:vAlign w:val="top"/>
          </w:tcPr>
          <w:p w14:paraId="4993CA05">
            <w:pPr>
              <w:rPr>
                <w:rFonts w:ascii="Arial"/>
                <w:sz w:val="21"/>
              </w:rPr>
            </w:pPr>
          </w:p>
        </w:tc>
        <w:tc>
          <w:tcPr>
            <w:tcW w:w="1368" w:type="dxa"/>
            <w:vAlign w:val="top"/>
          </w:tcPr>
          <w:p w14:paraId="0E4AC0E5">
            <w:pPr>
              <w:spacing w:before="64" w:line="220" w:lineRule="auto"/>
              <w:ind w:left="482"/>
              <w:rPr>
                <w:rFonts w:ascii="宋体" w:hAnsi="宋体" w:eastAsia="宋体" w:cs="宋体"/>
                <w:sz w:val="21"/>
                <w:szCs w:val="21"/>
              </w:rPr>
            </w:pPr>
            <w:r>
              <w:rPr>
                <w:rFonts w:ascii="宋体" w:hAnsi="宋体" w:eastAsia="宋体" w:cs="宋体"/>
                <w:spacing w:val="-4"/>
                <w:sz w:val="21"/>
                <w:szCs w:val="21"/>
              </w:rPr>
              <w:t>天冬</w:t>
            </w:r>
          </w:p>
        </w:tc>
        <w:tc>
          <w:tcPr>
            <w:tcW w:w="1369" w:type="dxa"/>
            <w:vAlign w:val="top"/>
          </w:tcPr>
          <w:p w14:paraId="3212E269">
            <w:pPr>
              <w:spacing w:before="64" w:line="220" w:lineRule="auto"/>
              <w:ind w:left="482"/>
              <w:rPr>
                <w:rFonts w:ascii="宋体" w:hAnsi="宋体" w:eastAsia="宋体" w:cs="宋体"/>
                <w:sz w:val="21"/>
                <w:szCs w:val="21"/>
              </w:rPr>
            </w:pPr>
            <w:r>
              <w:rPr>
                <w:rFonts w:ascii="宋体" w:hAnsi="宋体" w:eastAsia="宋体" w:cs="宋体"/>
                <w:spacing w:val="-3"/>
                <w:sz w:val="21"/>
                <w:szCs w:val="21"/>
              </w:rPr>
              <w:t>大豆</w:t>
            </w:r>
          </w:p>
        </w:tc>
        <w:tc>
          <w:tcPr>
            <w:tcW w:w="1370" w:type="dxa"/>
            <w:vAlign w:val="top"/>
          </w:tcPr>
          <w:p w14:paraId="67D1C7E6">
            <w:pPr>
              <w:spacing w:before="63" w:line="220" w:lineRule="auto"/>
              <w:ind w:left="481"/>
              <w:rPr>
                <w:rFonts w:ascii="宋体" w:hAnsi="宋体" w:eastAsia="宋体" w:cs="宋体"/>
                <w:sz w:val="21"/>
                <w:szCs w:val="21"/>
              </w:rPr>
            </w:pPr>
            <w:r>
              <w:rPr>
                <w:rFonts w:ascii="宋体" w:hAnsi="宋体" w:eastAsia="宋体" w:cs="宋体"/>
                <w:spacing w:val="-3"/>
                <w:sz w:val="21"/>
                <w:szCs w:val="21"/>
              </w:rPr>
              <w:t>玉米</w:t>
            </w:r>
          </w:p>
        </w:tc>
        <w:tc>
          <w:tcPr>
            <w:tcW w:w="1557" w:type="dxa"/>
            <w:vAlign w:val="top"/>
          </w:tcPr>
          <w:p w14:paraId="375AE8C1">
            <w:pPr>
              <w:spacing w:before="63" w:line="220" w:lineRule="auto"/>
              <w:ind w:left="579"/>
              <w:rPr>
                <w:rFonts w:ascii="宋体" w:hAnsi="宋体" w:eastAsia="宋体" w:cs="宋体"/>
                <w:sz w:val="21"/>
                <w:szCs w:val="21"/>
              </w:rPr>
            </w:pPr>
            <w:r>
              <w:rPr>
                <w:rFonts w:ascii="宋体" w:hAnsi="宋体" w:eastAsia="宋体" w:cs="宋体"/>
                <w:spacing w:val="-3"/>
                <w:sz w:val="21"/>
                <w:szCs w:val="21"/>
              </w:rPr>
              <w:t>油菜</w:t>
            </w:r>
          </w:p>
        </w:tc>
        <w:tc>
          <w:tcPr>
            <w:tcW w:w="802" w:type="dxa"/>
            <w:vMerge w:val="continue"/>
            <w:tcBorders>
              <w:top w:val="nil"/>
              <w:bottom w:val="nil"/>
            </w:tcBorders>
            <w:vAlign w:val="top"/>
          </w:tcPr>
          <w:p w14:paraId="32A6A5D8">
            <w:pPr>
              <w:rPr>
                <w:rFonts w:ascii="Arial"/>
                <w:sz w:val="21"/>
              </w:rPr>
            </w:pPr>
          </w:p>
        </w:tc>
      </w:tr>
      <w:tr w14:paraId="1A92F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854" w:type="dxa"/>
            <w:gridSpan w:val="2"/>
            <w:vAlign w:val="top"/>
          </w:tcPr>
          <w:p w14:paraId="04007638">
            <w:pPr>
              <w:spacing w:line="293" w:lineRule="auto"/>
              <w:rPr>
                <w:rFonts w:ascii="Arial"/>
                <w:sz w:val="21"/>
              </w:rPr>
            </w:pPr>
          </w:p>
          <w:p w14:paraId="55CABEA8">
            <w:pPr>
              <w:spacing w:before="69" w:line="220" w:lineRule="auto"/>
              <w:ind w:left="617"/>
              <w:rPr>
                <w:rFonts w:ascii="宋体" w:hAnsi="宋体" w:eastAsia="宋体" w:cs="宋体"/>
                <w:sz w:val="21"/>
                <w:szCs w:val="21"/>
              </w:rPr>
            </w:pPr>
            <w:r>
              <w:rPr>
                <w:rFonts w:ascii="宋体" w:hAnsi="宋体" w:eastAsia="宋体" w:cs="宋体"/>
                <w:spacing w:val="-2"/>
                <w:sz w:val="21"/>
                <w:szCs w:val="21"/>
              </w:rPr>
              <w:t>种植期</w:t>
            </w:r>
          </w:p>
        </w:tc>
        <w:tc>
          <w:tcPr>
            <w:tcW w:w="1368" w:type="dxa"/>
            <w:vAlign w:val="top"/>
          </w:tcPr>
          <w:p w14:paraId="033B40ED">
            <w:pPr>
              <w:pStyle w:val="6"/>
              <w:spacing w:before="30" w:line="220" w:lineRule="auto"/>
              <w:ind w:left="281"/>
              <w:rPr>
                <w:rFonts w:ascii="宋体" w:hAnsi="宋体" w:eastAsia="宋体" w:cs="宋体"/>
              </w:rPr>
            </w:pPr>
            <w:r>
              <w:rPr>
                <w:spacing w:val="-4"/>
              </w:rPr>
              <w:t>1</w:t>
            </w:r>
            <w:r>
              <w:rPr>
                <w:rFonts w:ascii="宋体" w:hAnsi="宋体" w:eastAsia="宋体" w:cs="宋体"/>
                <w:spacing w:val="-4"/>
              </w:rPr>
              <w:t>月</w:t>
            </w:r>
            <w:r>
              <w:rPr>
                <w:spacing w:val="-4"/>
              </w:rPr>
              <w:t>~12</w:t>
            </w:r>
            <w:r>
              <w:rPr>
                <w:rFonts w:ascii="宋体" w:hAnsi="宋体" w:eastAsia="宋体" w:cs="宋体"/>
                <w:spacing w:val="-4"/>
              </w:rPr>
              <w:t>月</w:t>
            </w:r>
          </w:p>
          <w:p w14:paraId="6ED9D139">
            <w:pPr>
              <w:pStyle w:val="6"/>
              <w:spacing w:before="63" w:line="208" w:lineRule="auto"/>
              <w:ind w:left="24"/>
              <w:rPr>
                <w:rFonts w:ascii="宋体" w:hAnsi="宋体" w:eastAsia="宋体" w:cs="宋体"/>
              </w:rPr>
            </w:pPr>
            <w:r>
              <w:rPr>
                <w:spacing w:val="-1"/>
              </w:rPr>
              <w:t>(12</w:t>
            </w:r>
            <w:r>
              <w:rPr>
                <w:rFonts w:ascii="宋体" w:hAnsi="宋体" w:eastAsia="宋体" w:cs="宋体"/>
                <w:spacing w:val="-1"/>
              </w:rPr>
              <w:t>个月，减去</w:t>
            </w:r>
          </w:p>
          <w:p w14:paraId="292DD0A0">
            <w:pPr>
              <w:pStyle w:val="6"/>
              <w:spacing w:before="76" w:line="208" w:lineRule="auto"/>
              <w:ind w:left="233"/>
            </w:pPr>
            <w:r>
              <w:rPr>
                <w:spacing w:val="-2"/>
              </w:rPr>
              <w:t>90</w:t>
            </w:r>
            <w:r>
              <w:rPr>
                <w:rFonts w:ascii="宋体" w:hAnsi="宋体" w:eastAsia="宋体" w:cs="宋体"/>
                <w:spacing w:val="-2"/>
              </w:rPr>
              <w:t>天雨天</w:t>
            </w:r>
            <w:r>
              <w:rPr>
                <w:spacing w:val="-2"/>
              </w:rPr>
              <w:t>)</w:t>
            </w:r>
          </w:p>
        </w:tc>
        <w:tc>
          <w:tcPr>
            <w:tcW w:w="1369" w:type="dxa"/>
            <w:vAlign w:val="top"/>
          </w:tcPr>
          <w:p w14:paraId="78880A43">
            <w:pPr>
              <w:pStyle w:val="6"/>
              <w:spacing w:before="30" w:line="220" w:lineRule="auto"/>
              <w:ind w:left="266"/>
              <w:rPr>
                <w:rFonts w:ascii="宋体" w:hAnsi="宋体" w:eastAsia="宋体" w:cs="宋体"/>
              </w:rPr>
            </w:pPr>
            <w:r>
              <w:rPr>
                <w:spacing w:val="-2"/>
              </w:rPr>
              <w:t>6</w:t>
            </w:r>
            <w:r>
              <w:rPr>
                <w:rFonts w:ascii="宋体" w:hAnsi="宋体" w:eastAsia="宋体" w:cs="宋体"/>
                <w:spacing w:val="-2"/>
              </w:rPr>
              <w:t>月</w:t>
            </w:r>
            <w:r>
              <w:rPr>
                <w:spacing w:val="-2"/>
              </w:rPr>
              <w:t>~10</w:t>
            </w:r>
            <w:r>
              <w:rPr>
                <w:rFonts w:ascii="宋体" w:hAnsi="宋体" w:eastAsia="宋体" w:cs="宋体"/>
                <w:spacing w:val="-2"/>
              </w:rPr>
              <w:t>月</w:t>
            </w:r>
          </w:p>
          <w:p w14:paraId="323B52E9">
            <w:pPr>
              <w:pStyle w:val="6"/>
              <w:spacing w:before="63" w:line="208" w:lineRule="auto"/>
              <w:ind w:right="1"/>
              <w:jc w:val="right"/>
            </w:pPr>
            <w:r>
              <w:rPr>
                <w:spacing w:val="-11"/>
              </w:rPr>
              <w:t>(</w:t>
            </w:r>
            <w:r>
              <w:rPr>
                <w:spacing w:val="-10"/>
              </w:rPr>
              <w:t>5</w:t>
            </w:r>
            <w:r>
              <w:rPr>
                <w:rFonts w:ascii="宋体" w:hAnsi="宋体" w:eastAsia="宋体" w:cs="宋体"/>
                <w:spacing w:val="-10"/>
              </w:rPr>
              <w:t>个月，减去</w:t>
            </w:r>
            <w:r>
              <w:rPr>
                <w:spacing w:val="-10"/>
              </w:rPr>
              <w:t>5</w:t>
            </w:r>
            <w:r>
              <w:rPr>
                <w:spacing w:val="-9"/>
              </w:rPr>
              <w:t>0</w:t>
            </w:r>
          </w:p>
          <w:p w14:paraId="54510DE7">
            <w:pPr>
              <w:pStyle w:val="6"/>
              <w:spacing w:before="76" w:line="208" w:lineRule="auto"/>
              <w:ind w:left="344"/>
            </w:pPr>
            <w:r>
              <w:rPr>
                <w:rFonts w:ascii="宋体" w:hAnsi="宋体" w:eastAsia="宋体" w:cs="宋体"/>
                <w:spacing w:val="-4"/>
              </w:rPr>
              <w:t>天雨天</w:t>
            </w:r>
            <w:r>
              <w:rPr>
                <w:spacing w:val="-4"/>
              </w:rPr>
              <w:t>)</w:t>
            </w:r>
          </w:p>
        </w:tc>
        <w:tc>
          <w:tcPr>
            <w:tcW w:w="1370" w:type="dxa"/>
            <w:vAlign w:val="top"/>
          </w:tcPr>
          <w:p w14:paraId="385BA6E6">
            <w:pPr>
              <w:pStyle w:val="6"/>
              <w:spacing w:before="30" w:line="220" w:lineRule="auto"/>
              <w:ind w:left="262"/>
              <w:rPr>
                <w:rFonts w:ascii="宋体" w:hAnsi="宋体" w:eastAsia="宋体" w:cs="宋体"/>
              </w:rPr>
            </w:pPr>
            <w:r>
              <w:rPr>
                <w:spacing w:val="-1"/>
              </w:rPr>
              <w:t>4</w:t>
            </w:r>
            <w:r>
              <w:rPr>
                <w:rFonts w:ascii="宋体" w:hAnsi="宋体" w:eastAsia="宋体" w:cs="宋体"/>
                <w:spacing w:val="-1"/>
              </w:rPr>
              <w:t>月</w:t>
            </w:r>
            <w:r>
              <w:rPr>
                <w:spacing w:val="-1"/>
              </w:rPr>
              <w:t>~10</w:t>
            </w:r>
            <w:r>
              <w:rPr>
                <w:rFonts w:ascii="宋体" w:hAnsi="宋体" w:eastAsia="宋体" w:cs="宋体"/>
                <w:spacing w:val="-1"/>
              </w:rPr>
              <w:t>月</w:t>
            </w:r>
          </w:p>
          <w:p w14:paraId="1ACAF63F">
            <w:pPr>
              <w:pStyle w:val="6"/>
              <w:spacing w:before="63" w:line="208" w:lineRule="auto"/>
              <w:jc w:val="right"/>
            </w:pPr>
            <w:r>
              <w:rPr>
                <w:spacing w:val="-10"/>
              </w:rPr>
              <w:t>(7</w:t>
            </w:r>
            <w:r>
              <w:rPr>
                <w:rFonts w:ascii="宋体" w:hAnsi="宋体" w:eastAsia="宋体" w:cs="宋体"/>
                <w:spacing w:val="-10"/>
              </w:rPr>
              <w:t>个月，减去</w:t>
            </w:r>
            <w:r>
              <w:rPr>
                <w:spacing w:val="-10"/>
              </w:rPr>
              <w:t>55</w:t>
            </w:r>
          </w:p>
          <w:p w14:paraId="090104A6">
            <w:pPr>
              <w:pStyle w:val="6"/>
              <w:spacing w:before="76" w:line="208" w:lineRule="auto"/>
              <w:ind w:left="346"/>
            </w:pPr>
            <w:r>
              <w:rPr>
                <w:rFonts w:ascii="宋体" w:hAnsi="宋体" w:eastAsia="宋体" w:cs="宋体"/>
                <w:spacing w:val="-4"/>
              </w:rPr>
              <w:t>天雨天</w:t>
            </w:r>
            <w:r>
              <w:rPr>
                <w:spacing w:val="-4"/>
              </w:rPr>
              <w:t>)</w:t>
            </w:r>
          </w:p>
        </w:tc>
        <w:tc>
          <w:tcPr>
            <w:tcW w:w="1557" w:type="dxa"/>
            <w:vAlign w:val="top"/>
          </w:tcPr>
          <w:p w14:paraId="660F27C7">
            <w:pPr>
              <w:pStyle w:val="6"/>
              <w:spacing w:before="53" w:line="258" w:lineRule="auto"/>
              <w:ind w:left="12" w:firstLine="15"/>
              <w:jc w:val="both"/>
            </w:pPr>
            <w:r>
              <w:rPr>
                <w:spacing w:val="-11"/>
              </w:rPr>
              <w:t xml:space="preserve">10 </w:t>
            </w:r>
            <w:r>
              <w:rPr>
                <w:rFonts w:ascii="宋体" w:hAnsi="宋体" w:eastAsia="宋体" w:cs="宋体"/>
                <w:spacing w:val="-11"/>
              </w:rPr>
              <w:t>月底</w:t>
            </w:r>
            <w:r>
              <w:rPr>
                <w:spacing w:val="-11"/>
              </w:rPr>
              <w:t>~</w:t>
            </w:r>
            <w:r>
              <w:rPr>
                <w:rFonts w:ascii="宋体" w:hAnsi="宋体" w:eastAsia="宋体" w:cs="宋体"/>
                <w:spacing w:val="-11"/>
              </w:rPr>
              <w:t>次年</w:t>
            </w:r>
            <w:r>
              <w:rPr>
                <w:spacing w:val="-11"/>
              </w:rPr>
              <w:t xml:space="preserve">4 </w:t>
            </w:r>
            <w:r>
              <w:rPr>
                <w:rFonts w:ascii="宋体" w:hAnsi="宋体" w:eastAsia="宋体" w:cs="宋体"/>
                <w:spacing w:val="-11"/>
              </w:rPr>
              <w:t>月</w:t>
            </w:r>
            <w:r>
              <w:rPr>
                <w:spacing w:val="-9"/>
              </w:rPr>
              <w:t xml:space="preserve">(5  </w:t>
            </w:r>
            <w:r>
              <w:rPr>
                <w:rFonts w:ascii="宋体" w:hAnsi="宋体" w:eastAsia="宋体" w:cs="宋体"/>
                <w:spacing w:val="-9"/>
              </w:rPr>
              <w:t xml:space="preserve">个月，减去 </w:t>
            </w:r>
            <w:r>
              <w:rPr>
                <w:spacing w:val="-9"/>
              </w:rPr>
              <w:t>28</w:t>
            </w:r>
            <w:r>
              <w:rPr>
                <w:rFonts w:ascii="宋体" w:hAnsi="宋体" w:eastAsia="宋体" w:cs="宋体"/>
                <w:spacing w:val="-13"/>
              </w:rPr>
              <w:t>天雨天</w:t>
            </w:r>
            <w:r>
              <w:rPr>
                <w:spacing w:val="-13"/>
              </w:rPr>
              <w:t>)</w:t>
            </w:r>
          </w:p>
        </w:tc>
        <w:tc>
          <w:tcPr>
            <w:tcW w:w="802" w:type="dxa"/>
            <w:vMerge w:val="continue"/>
            <w:tcBorders>
              <w:top w:val="nil"/>
              <w:bottom w:val="nil"/>
            </w:tcBorders>
            <w:vAlign w:val="top"/>
          </w:tcPr>
          <w:p w14:paraId="13FC44F1">
            <w:pPr>
              <w:rPr>
                <w:rFonts w:ascii="Arial"/>
                <w:sz w:val="21"/>
              </w:rPr>
            </w:pPr>
          </w:p>
        </w:tc>
      </w:tr>
      <w:tr w14:paraId="6181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54" w:type="dxa"/>
            <w:gridSpan w:val="2"/>
            <w:vAlign w:val="top"/>
          </w:tcPr>
          <w:p w14:paraId="2AEE4F25">
            <w:pPr>
              <w:spacing w:before="65" w:line="220" w:lineRule="auto"/>
              <w:ind w:left="198"/>
              <w:rPr>
                <w:rFonts w:ascii="宋体" w:hAnsi="宋体" w:eastAsia="宋体" w:cs="宋体"/>
                <w:sz w:val="21"/>
                <w:szCs w:val="21"/>
              </w:rPr>
            </w:pPr>
            <w:r>
              <w:rPr>
                <w:rFonts w:ascii="宋体" w:hAnsi="宋体" w:eastAsia="宋体" w:cs="宋体"/>
                <w:spacing w:val="-3"/>
                <w:sz w:val="21"/>
                <w:szCs w:val="21"/>
              </w:rPr>
              <w:t>浇灌天数（天）</w:t>
            </w:r>
          </w:p>
        </w:tc>
        <w:tc>
          <w:tcPr>
            <w:tcW w:w="1368" w:type="dxa"/>
            <w:vAlign w:val="top"/>
          </w:tcPr>
          <w:p w14:paraId="3FF59960">
            <w:pPr>
              <w:pStyle w:val="6"/>
              <w:spacing w:before="83" w:line="188" w:lineRule="auto"/>
              <w:ind w:left="527"/>
            </w:pPr>
            <w:r>
              <w:rPr>
                <w:spacing w:val="-2"/>
              </w:rPr>
              <w:t>275</w:t>
            </w:r>
          </w:p>
        </w:tc>
        <w:tc>
          <w:tcPr>
            <w:tcW w:w="1369" w:type="dxa"/>
            <w:vAlign w:val="top"/>
          </w:tcPr>
          <w:p w14:paraId="77AD5599">
            <w:pPr>
              <w:pStyle w:val="6"/>
              <w:spacing w:before="83" w:line="188" w:lineRule="auto"/>
              <w:ind w:left="548"/>
            </w:pPr>
            <w:r>
              <w:rPr>
                <w:spacing w:val="-9"/>
              </w:rPr>
              <w:t>103</w:t>
            </w:r>
          </w:p>
        </w:tc>
        <w:tc>
          <w:tcPr>
            <w:tcW w:w="1370" w:type="dxa"/>
            <w:vAlign w:val="top"/>
          </w:tcPr>
          <w:p w14:paraId="1FDB65AE">
            <w:pPr>
              <w:pStyle w:val="6"/>
              <w:spacing w:before="83" w:line="188" w:lineRule="auto"/>
              <w:ind w:left="550"/>
            </w:pPr>
            <w:r>
              <w:rPr>
                <w:spacing w:val="-9"/>
              </w:rPr>
              <w:t>159</w:t>
            </w:r>
          </w:p>
        </w:tc>
        <w:tc>
          <w:tcPr>
            <w:tcW w:w="1557" w:type="dxa"/>
            <w:vAlign w:val="top"/>
          </w:tcPr>
          <w:p w14:paraId="33A288FB">
            <w:pPr>
              <w:pStyle w:val="6"/>
              <w:spacing w:before="102" w:line="188" w:lineRule="auto"/>
              <w:ind w:left="645"/>
            </w:pPr>
            <w:r>
              <w:rPr>
                <w:spacing w:val="-9"/>
              </w:rPr>
              <w:t>123</w:t>
            </w:r>
          </w:p>
        </w:tc>
        <w:tc>
          <w:tcPr>
            <w:tcW w:w="802" w:type="dxa"/>
            <w:vMerge w:val="continue"/>
            <w:tcBorders>
              <w:top w:val="nil"/>
              <w:bottom w:val="nil"/>
            </w:tcBorders>
            <w:vAlign w:val="top"/>
          </w:tcPr>
          <w:p w14:paraId="371E1911">
            <w:pPr>
              <w:rPr>
                <w:rFonts w:ascii="Arial"/>
                <w:sz w:val="21"/>
              </w:rPr>
            </w:pPr>
          </w:p>
        </w:tc>
      </w:tr>
      <w:tr w14:paraId="5579E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54" w:type="dxa"/>
            <w:gridSpan w:val="2"/>
            <w:vAlign w:val="top"/>
          </w:tcPr>
          <w:p w14:paraId="678C73C2">
            <w:pPr>
              <w:pStyle w:val="6"/>
              <w:spacing w:before="65" w:line="220" w:lineRule="auto"/>
              <w:jc w:val="right"/>
              <w:rPr>
                <w:rFonts w:ascii="宋体" w:hAnsi="宋体" w:eastAsia="宋体" w:cs="宋体"/>
              </w:rPr>
            </w:pPr>
            <w:r>
              <w:rPr>
                <w:rFonts w:ascii="宋体" w:hAnsi="宋体" w:eastAsia="宋体" w:cs="宋体"/>
                <w:spacing w:val="-12"/>
              </w:rPr>
              <w:t>作物生育期（天</w:t>
            </w:r>
            <w:r>
              <w:rPr>
                <w:spacing w:val="-12"/>
              </w:rPr>
              <w:t>/</w:t>
            </w:r>
            <w:r>
              <w:rPr>
                <w:rFonts w:ascii="宋体" w:hAnsi="宋体" w:eastAsia="宋体" w:cs="宋体"/>
                <w:spacing w:val="-12"/>
              </w:rPr>
              <w:t>年）</w:t>
            </w:r>
          </w:p>
        </w:tc>
        <w:tc>
          <w:tcPr>
            <w:tcW w:w="1368" w:type="dxa"/>
            <w:vAlign w:val="top"/>
          </w:tcPr>
          <w:p w14:paraId="342EEF10">
            <w:pPr>
              <w:pStyle w:val="6"/>
              <w:spacing w:before="84" w:line="188" w:lineRule="auto"/>
              <w:ind w:left="531"/>
            </w:pPr>
            <w:r>
              <w:rPr>
                <w:spacing w:val="-3"/>
              </w:rPr>
              <w:t>365</w:t>
            </w:r>
          </w:p>
        </w:tc>
        <w:tc>
          <w:tcPr>
            <w:tcW w:w="1369" w:type="dxa"/>
            <w:vAlign w:val="top"/>
          </w:tcPr>
          <w:p w14:paraId="10C1C18E">
            <w:pPr>
              <w:pStyle w:val="6"/>
              <w:spacing w:before="84" w:line="188" w:lineRule="auto"/>
              <w:ind w:left="548"/>
            </w:pPr>
            <w:r>
              <w:rPr>
                <w:spacing w:val="-9"/>
              </w:rPr>
              <w:t>153</w:t>
            </w:r>
          </w:p>
        </w:tc>
        <w:tc>
          <w:tcPr>
            <w:tcW w:w="1370" w:type="dxa"/>
            <w:vAlign w:val="top"/>
          </w:tcPr>
          <w:p w14:paraId="4769EA57">
            <w:pPr>
              <w:pStyle w:val="6"/>
              <w:spacing w:before="84" w:line="188" w:lineRule="auto"/>
              <w:ind w:left="530"/>
            </w:pPr>
            <w:r>
              <w:rPr>
                <w:spacing w:val="-2"/>
              </w:rPr>
              <w:t>214</w:t>
            </w:r>
          </w:p>
        </w:tc>
        <w:tc>
          <w:tcPr>
            <w:tcW w:w="1557" w:type="dxa"/>
            <w:vAlign w:val="top"/>
          </w:tcPr>
          <w:p w14:paraId="1544DC02">
            <w:pPr>
              <w:pStyle w:val="6"/>
              <w:spacing w:before="102" w:line="188" w:lineRule="auto"/>
              <w:ind w:left="645"/>
            </w:pPr>
            <w:r>
              <w:rPr>
                <w:spacing w:val="-9"/>
              </w:rPr>
              <w:t>151</w:t>
            </w:r>
          </w:p>
        </w:tc>
        <w:tc>
          <w:tcPr>
            <w:tcW w:w="802" w:type="dxa"/>
            <w:vMerge w:val="continue"/>
            <w:tcBorders>
              <w:top w:val="nil"/>
              <w:bottom w:val="nil"/>
            </w:tcBorders>
            <w:vAlign w:val="top"/>
          </w:tcPr>
          <w:p w14:paraId="13F3F457">
            <w:pPr>
              <w:rPr>
                <w:rFonts w:ascii="Arial"/>
                <w:sz w:val="21"/>
              </w:rPr>
            </w:pPr>
          </w:p>
        </w:tc>
      </w:tr>
      <w:tr w14:paraId="311E5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54" w:type="dxa"/>
            <w:gridSpan w:val="2"/>
            <w:vAlign w:val="top"/>
          </w:tcPr>
          <w:p w14:paraId="3D512FF1">
            <w:pPr>
              <w:spacing w:before="66" w:line="220" w:lineRule="auto"/>
              <w:jc w:val="right"/>
              <w:rPr>
                <w:rFonts w:ascii="宋体" w:hAnsi="宋体" w:eastAsia="宋体" w:cs="宋体"/>
                <w:sz w:val="21"/>
                <w:szCs w:val="21"/>
              </w:rPr>
            </w:pPr>
            <w:r>
              <w:rPr>
                <w:rFonts w:ascii="宋体" w:hAnsi="宋体" w:eastAsia="宋体" w:cs="宋体"/>
                <w:spacing w:val="-7"/>
                <w:sz w:val="21"/>
                <w:szCs w:val="21"/>
              </w:rPr>
              <w:t>消纳土地面积（亩）</w:t>
            </w:r>
          </w:p>
        </w:tc>
        <w:tc>
          <w:tcPr>
            <w:tcW w:w="1368" w:type="dxa"/>
            <w:vAlign w:val="top"/>
          </w:tcPr>
          <w:p w14:paraId="7A743782">
            <w:pPr>
              <w:pStyle w:val="6"/>
              <w:spacing w:before="103" w:line="188" w:lineRule="auto"/>
              <w:ind w:left="535"/>
            </w:pPr>
            <w:r>
              <w:rPr>
                <w:spacing w:val="-5"/>
              </w:rPr>
              <w:t>800</w:t>
            </w:r>
          </w:p>
        </w:tc>
        <w:tc>
          <w:tcPr>
            <w:tcW w:w="1369" w:type="dxa"/>
            <w:vAlign w:val="top"/>
          </w:tcPr>
          <w:p w14:paraId="687E475A">
            <w:pPr>
              <w:pStyle w:val="6"/>
              <w:spacing w:before="103" w:line="188" w:lineRule="auto"/>
              <w:ind w:left="527"/>
            </w:pPr>
            <w:r>
              <w:rPr>
                <w:spacing w:val="-2"/>
              </w:rPr>
              <w:t>400</w:t>
            </w:r>
          </w:p>
        </w:tc>
        <w:tc>
          <w:tcPr>
            <w:tcW w:w="1370" w:type="dxa"/>
            <w:vAlign w:val="top"/>
          </w:tcPr>
          <w:p w14:paraId="10345C98">
            <w:pPr>
              <w:pStyle w:val="6"/>
              <w:spacing w:before="103" w:line="188" w:lineRule="auto"/>
              <w:ind w:left="528"/>
            </w:pPr>
            <w:r>
              <w:rPr>
                <w:spacing w:val="-2"/>
              </w:rPr>
              <w:t>460</w:t>
            </w:r>
          </w:p>
        </w:tc>
        <w:tc>
          <w:tcPr>
            <w:tcW w:w="1557" w:type="dxa"/>
            <w:vAlign w:val="top"/>
          </w:tcPr>
          <w:p w14:paraId="09EA6680">
            <w:pPr>
              <w:pStyle w:val="6"/>
              <w:spacing w:before="103" w:line="188" w:lineRule="auto"/>
              <w:ind w:left="624"/>
            </w:pPr>
            <w:r>
              <w:rPr>
                <w:spacing w:val="-2"/>
              </w:rPr>
              <w:t>400</w:t>
            </w:r>
          </w:p>
        </w:tc>
        <w:tc>
          <w:tcPr>
            <w:tcW w:w="802" w:type="dxa"/>
            <w:vMerge w:val="continue"/>
            <w:tcBorders>
              <w:top w:val="nil"/>
              <w:bottom w:val="nil"/>
            </w:tcBorders>
            <w:vAlign w:val="top"/>
          </w:tcPr>
          <w:p w14:paraId="27BEA580">
            <w:pPr>
              <w:rPr>
                <w:rFonts w:ascii="Arial"/>
                <w:sz w:val="21"/>
              </w:rPr>
            </w:pPr>
          </w:p>
        </w:tc>
      </w:tr>
      <w:tr w14:paraId="3A964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54" w:type="dxa"/>
            <w:gridSpan w:val="2"/>
            <w:vAlign w:val="top"/>
          </w:tcPr>
          <w:p w14:paraId="46DA7426">
            <w:pPr>
              <w:pStyle w:val="6"/>
              <w:spacing w:before="52" w:line="225" w:lineRule="auto"/>
              <w:ind w:left="52"/>
              <w:rPr>
                <w:rFonts w:ascii="宋体" w:hAnsi="宋体" w:eastAsia="宋体" w:cs="宋体"/>
              </w:rPr>
            </w:pPr>
            <w:r>
              <w:rPr>
                <w:rFonts w:ascii="宋体" w:hAnsi="宋体" w:eastAsia="宋体" w:cs="宋体"/>
                <w:spacing w:val="-2"/>
              </w:rPr>
              <w:t>用水定额（</w:t>
            </w:r>
            <w:r>
              <w:rPr>
                <w:spacing w:val="-2"/>
              </w:rPr>
              <w:t>m</w:t>
            </w:r>
            <w:r>
              <w:rPr>
                <w:spacing w:val="-2"/>
                <w:position w:val="9"/>
                <w:sz w:val="14"/>
                <w:szCs w:val="14"/>
              </w:rPr>
              <w:t>3</w:t>
            </w:r>
            <w:r>
              <w:rPr>
                <w:spacing w:val="-2"/>
              </w:rPr>
              <w:t>/</w:t>
            </w:r>
            <w:r>
              <w:rPr>
                <w:rFonts w:ascii="宋体" w:hAnsi="宋体" w:eastAsia="宋体" w:cs="宋体"/>
                <w:spacing w:val="-2"/>
              </w:rPr>
              <w:t>亩）</w:t>
            </w:r>
          </w:p>
        </w:tc>
        <w:tc>
          <w:tcPr>
            <w:tcW w:w="1368" w:type="dxa"/>
            <w:vAlign w:val="top"/>
          </w:tcPr>
          <w:p w14:paraId="02F0AE51">
            <w:pPr>
              <w:pStyle w:val="6"/>
              <w:spacing w:before="103" w:line="188" w:lineRule="auto"/>
              <w:ind w:left="547"/>
            </w:pPr>
            <w:r>
              <w:rPr>
                <w:spacing w:val="-9"/>
              </w:rPr>
              <w:t>105</w:t>
            </w:r>
          </w:p>
        </w:tc>
        <w:tc>
          <w:tcPr>
            <w:tcW w:w="1369" w:type="dxa"/>
            <w:vAlign w:val="top"/>
          </w:tcPr>
          <w:p w14:paraId="5FEF98B4">
            <w:pPr>
              <w:pStyle w:val="6"/>
              <w:spacing w:before="103" w:line="188" w:lineRule="auto"/>
              <w:ind w:left="580"/>
            </w:pPr>
            <w:r>
              <w:rPr>
                <w:spacing w:val="-2"/>
              </w:rPr>
              <w:t>40</w:t>
            </w:r>
          </w:p>
        </w:tc>
        <w:tc>
          <w:tcPr>
            <w:tcW w:w="1370" w:type="dxa"/>
            <w:vAlign w:val="top"/>
          </w:tcPr>
          <w:p w14:paraId="3701DB48">
            <w:pPr>
              <w:pStyle w:val="6"/>
              <w:spacing w:before="103" w:line="188" w:lineRule="auto"/>
              <w:ind w:left="581"/>
            </w:pPr>
            <w:r>
              <w:rPr>
                <w:spacing w:val="-2"/>
              </w:rPr>
              <w:t>43</w:t>
            </w:r>
          </w:p>
        </w:tc>
        <w:tc>
          <w:tcPr>
            <w:tcW w:w="1557" w:type="dxa"/>
            <w:vAlign w:val="top"/>
          </w:tcPr>
          <w:p w14:paraId="4DEDD2DB">
            <w:pPr>
              <w:pStyle w:val="6"/>
              <w:spacing w:before="103" w:line="188" w:lineRule="auto"/>
              <w:ind w:left="682"/>
            </w:pPr>
            <w:r>
              <w:rPr>
                <w:spacing w:val="-5"/>
              </w:rPr>
              <w:t>50</w:t>
            </w:r>
          </w:p>
        </w:tc>
        <w:tc>
          <w:tcPr>
            <w:tcW w:w="802" w:type="dxa"/>
            <w:vMerge w:val="continue"/>
            <w:tcBorders>
              <w:top w:val="nil"/>
            </w:tcBorders>
            <w:vAlign w:val="top"/>
          </w:tcPr>
          <w:p w14:paraId="5911D86F">
            <w:pPr>
              <w:rPr>
                <w:rFonts w:ascii="Arial"/>
                <w:sz w:val="21"/>
              </w:rPr>
            </w:pPr>
          </w:p>
        </w:tc>
      </w:tr>
      <w:tr w14:paraId="41331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9" w:type="dxa"/>
            <w:vMerge w:val="restart"/>
            <w:tcBorders>
              <w:bottom w:val="nil"/>
            </w:tcBorders>
            <w:vAlign w:val="top"/>
          </w:tcPr>
          <w:p w14:paraId="177C999C">
            <w:pPr>
              <w:spacing w:before="241" w:line="220" w:lineRule="auto"/>
              <w:ind w:left="15"/>
              <w:rPr>
                <w:rFonts w:ascii="宋体" w:hAnsi="宋体" w:eastAsia="宋体" w:cs="宋体"/>
                <w:sz w:val="21"/>
                <w:szCs w:val="21"/>
              </w:rPr>
            </w:pPr>
            <w:r>
              <w:rPr>
                <w:rFonts w:ascii="宋体" w:hAnsi="宋体" w:eastAsia="宋体" w:cs="宋体"/>
                <w:spacing w:val="-3"/>
                <w:sz w:val="21"/>
                <w:szCs w:val="21"/>
              </w:rPr>
              <w:t>用水量</w:t>
            </w:r>
          </w:p>
        </w:tc>
        <w:tc>
          <w:tcPr>
            <w:tcW w:w="1205" w:type="dxa"/>
            <w:vAlign w:val="top"/>
          </w:tcPr>
          <w:p w14:paraId="21E9D34D">
            <w:pPr>
              <w:pStyle w:val="6"/>
              <w:spacing w:before="41" w:line="234" w:lineRule="auto"/>
              <w:ind w:left="293"/>
              <w:rPr>
                <w:rFonts w:ascii="宋体" w:hAnsi="宋体" w:eastAsia="宋体" w:cs="宋体"/>
                <w:sz w:val="11"/>
                <w:szCs w:val="11"/>
              </w:rPr>
            </w:pPr>
            <w:r>
              <w:rPr>
                <w:spacing w:val="-1"/>
                <w:position w:val="-2"/>
              </w:rPr>
              <w:t>m</w:t>
            </w:r>
            <w:r>
              <w:rPr>
                <w:spacing w:val="-1"/>
                <w:position w:val="7"/>
                <w:sz w:val="14"/>
                <w:szCs w:val="14"/>
              </w:rPr>
              <w:t>3</w:t>
            </w:r>
            <w:r>
              <w:rPr>
                <w:spacing w:val="-1"/>
                <w:position w:val="-2"/>
              </w:rPr>
              <w:t>/</w:t>
            </w:r>
            <w:r>
              <w:rPr>
                <w:rFonts w:ascii="宋体" w:hAnsi="宋体" w:eastAsia="宋体" w:cs="宋体"/>
                <w:spacing w:val="-1"/>
                <w:position w:val="-2"/>
              </w:rPr>
              <w:t>年</w:t>
            </w:r>
            <w:r>
              <w:rPr>
                <w:rFonts w:ascii="宋体" w:hAnsi="宋体" w:eastAsia="宋体" w:cs="宋体"/>
                <w:spacing w:val="-1"/>
                <w:position w:val="8"/>
                <w:sz w:val="11"/>
                <w:szCs w:val="11"/>
              </w:rPr>
              <w:t>①</w:t>
            </w:r>
          </w:p>
        </w:tc>
        <w:tc>
          <w:tcPr>
            <w:tcW w:w="1368" w:type="dxa"/>
            <w:vAlign w:val="top"/>
          </w:tcPr>
          <w:p w14:paraId="6BC709E2">
            <w:pPr>
              <w:pStyle w:val="6"/>
              <w:spacing w:before="103" w:line="188" w:lineRule="auto"/>
              <w:ind w:left="348"/>
            </w:pPr>
            <w:r>
              <w:rPr>
                <w:spacing w:val="-2"/>
              </w:rPr>
              <w:t>63287.7</w:t>
            </w:r>
          </w:p>
        </w:tc>
        <w:tc>
          <w:tcPr>
            <w:tcW w:w="1369" w:type="dxa"/>
            <w:vAlign w:val="top"/>
          </w:tcPr>
          <w:p w14:paraId="365CF4CD">
            <w:pPr>
              <w:pStyle w:val="6"/>
              <w:spacing w:before="103" w:line="188" w:lineRule="auto"/>
              <w:ind w:left="364"/>
            </w:pPr>
            <w:r>
              <w:rPr>
                <w:spacing w:val="-4"/>
              </w:rPr>
              <w:t>10771.2</w:t>
            </w:r>
          </w:p>
        </w:tc>
        <w:tc>
          <w:tcPr>
            <w:tcW w:w="1370" w:type="dxa"/>
            <w:vAlign w:val="top"/>
          </w:tcPr>
          <w:p w14:paraId="12272B62">
            <w:pPr>
              <w:pStyle w:val="6"/>
              <w:spacing w:before="103" w:line="188" w:lineRule="auto"/>
              <w:ind w:left="365"/>
            </w:pPr>
            <w:r>
              <w:rPr>
                <w:spacing w:val="-4"/>
              </w:rPr>
              <w:t>14696.4</w:t>
            </w:r>
          </w:p>
        </w:tc>
        <w:tc>
          <w:tcPr>
            <w:tcW w:w="1557" w:type="dxa"/>
            <w:vAlign w:val="top"/>
          </w:tcPr>
          <w:p w14:paraId="04EC61C1">
            <w:pPr>
              <w:pStyle w:val="6"/>
              <w:spacing w:before="103" w:line="188" w:lineRule="auto"/>
              <w:ind w:left="459"/>
            </w:pPr>
            <w:r>
              <w:rPr>
                <w:spacing w:val="-4"/>
              </w:rPr>
              <w:t>16291.4</w:t>
            </w:r>
          </w:p>
        </w:tc>
        <w:tc>
          <w:tcPr>
            <w:tcW w:w="802" w:type="dxa"/>
            <w:vAlign w:val="top"/>
          </w:tcPr>
          <w:p w14:paraId="54A8FA88">
            <w:pPr>
              <w:pStyle w:val="6"/>
              <w:spacing w:before="103" w:line="188" w:lineRule="auto"/>
              <w:ind w:left="27"/>
            </w:pPr>
            <w:r>
              <w:rPr>
                <w:spacing w:val="-3"/>
              </w:rPr>
              <w:t>105046.7</w:t>
            </w:r>
          </w:p>
        </w:tc>
      </w:tr>
      <w:tr w14:paraId="3C73B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9" w:type="dxa"/>
            <w:vMerge w:val="continue"/>
            <w:tcBorders>
              <w:top w:val="nil"/>
            </w:tcBorders>
            <w:vAlign w:val="top"/>
          </w:tcPr>
          <w:p w14:paraId="45F2F91C">
            <w:pPr>
              <w:rPr>
                <w:rFonts w:ascii="Arial"/>
                <w:sz w:val="21"/>
              </w:rPr>
            </w:pPr>
          </w:p>
        </w:tc>
        <w:tc>
          <w:tcPr>
            <w:tcW w:w="1205" w:type="dxa"/>
            <w:vAlign w:val="top"/>
          </w:tcPr>
          <w:p w14:paraId="75226C97">
            <w:pPr>
              <w:pStyle w:val="6"/>
              <w:spacing w:before="42" w:line="234" w:lineRule="auto"/>
              <w:ind w:left="293"/>
              <w:rPr>
                <w:rFonts w:ascii="宋体" w:hAnsi="宋体" w:eastAsia="宋体" w:cs="宋体"/>
                <w:sz w:val="11"/>
                <w:szCs w:val="11"/>
              </w:rPr>
            </w:pPr>
            <w:r>
              <w:rPr>
                <w:spacing w:val="-1"/>
                <w:position w:val="-2"/>
              </w:rPr>
              <w:t>m</w:t>
            </w:r>
            <w:r>
              <w:rPr>
                <w:spacing w:val="-1"/>
                <w:position w:val="7"/>
                <w:sz w:val="14"/>
                <w:szCs w:val="14"/>
              </w:rPr>
              <w:t>3</w:t>
            </w:r>
            <w:r>
              <w:rPr>
                <w:spacing w:val="-1"/>
                <w:position w:val="-2"/>
              </w:rPr>
              <w:t>/</w:t>
            </w:r>
            <w:r>
              <w:rPr>
                <w:rFonts w:ascii="宋体" w:hAnsi="宋体" w:eastAsia="宋体" w:cs="宋体"/>
                <w:spacing w:val="-1"/>
                <w:position w:val="-2"/>
              </w:rPr>
              <w:t>天</w:t>
            </w:r>
            <w:r>
              <w:rPr>
                <w:rFonts w:ascii="宋体" w:hAnsi="宋体" w:eastAsia="宋体" w:cs="宋体"/>
                <w:spacing w:val="-1"/>
                <w:position w:val="8"/>
                <w:sz w:val="11"/>
                <w:szCs w:val="11"/>
              </w:rPr>
              <w:t>②</w:t>
            </w:r>
          </w:p>
        </w:tc>
        <w:tc>
          <w:tcPr>
            <w:tcW w:w="1368" w:type="dxa"/>
            <w:vAlign w:val="top"/>
          </w:tcPr>
          <w:p w14:paraId="45BD446C">
            <w:pPr>
              <w:pStyle w:val="6"/>
              <w:spacing w:before="104" w:line="188" w:lineRule="auto"/>
              <w:ind w:left="468"/>
            </w:pPr>
            <w:r>
              <w:rPr>
                <w:spacing w:val="-5"/>
              </w:rPr>
              <w:t>173.4</w:t>
            </w:r>
          </w:p>
        </w:tc>
        <w:tc>
          <w:tcPr>
            <w:tcW w:w="1369" w:type="dxa"/>
            <w:vAlign w:val="top"/>
          </w:tcPr>
          <w:p w14:paraId="54807B3D">
            <w:pPr>
              <w:pStyle w:val="6"/>
              <w:spacing w:before="104" w:line="188" w:lineRule="auto"/>
              <w:ind w:left="505"/>
            </w:pPr>
            <w:r>
              <w:rPr>
                <w:spacing w:val="-2"/>
              </w:rPr>
              <w:t>70.4</w:t>
            </w:r>
          </w:p>
        </w:tc>
        <w:tc>
          <w:tcPr>
            <w:tcW w:w="1370" w:type="dxa"/>
            <w:vAlign w:val="top"/>
          </w:tcPr>
          <w:p w14:paraId="0AC9F8C1">
            <w:pPr>
              <w:pStyle w:val="6"/>
              <w:spacing w:before="104" w:line="188" w:lineRule="auto"/>
              <w:ind w:left="508"/>
            </w:pPr>
            <w:r>
              <w:rPr>
                <w:spacing w:val="-2"/>
              </w:rPr>
              <w:t>68.7</w:t>
            </w:r>
          </w:p>
        </w:tc>
        <w:tc>
          <w:tcPr>
            <w:tcW w:w="1557" w:type="dxa"/>
            <w:vAlign w:val="top"/>
          </w:tcPr>
          <w:p w14:paraId="62E61652">
            <w:pPr>
              <w:pStyle w:val="6"/>
              <w:spacing w:before="104" w:line="188" w:lineRule="auto"/>
              <w:ind w:left="566"/>
            </w:pPr>
            <w:r>
              <w:rPr>
                <w:spacing w:val="-5"/>
              </w:rPr>
              <w:t>107.9</w:t>
            </w:r>
          </w:p>
        </w:tc>
        <w:tc>
          <w:tcPr>
            <w:tcW w:w="802" w:type="dxa"/>
            <w:vAlign w:val="top"/>
          </w:tcPr>
          <w:p w14:paraId="41F17AB5">
            <w:pPr>
              <w:pStyle w:val="6"/>
              <w:spacing w:before="104" w:line="188" w:lineRule="auto"/>
              <w:ind w:left="165"/>
            </w:pPr>
            <w:r>
              <w:rPr>
                <w:spacing w:val="-1"/>
              </w:rPr>
              <w:t>420.4</w:t>
            </w:r>
          </w:p>
        </w:tc>
      </w:tr>
      <w:tr w14:paraId="0B20B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20" w:type="dxa"/>
            <w:gridSpan w:val="7"/>
            <w:vAlign w:val="top"/>
          </w:tcPr>
          <w:p w14:paraId="3CA3460D">
            <w:pPr>
              <w:pStyle w:val="6"/>
              <w:spacing w:before="28" w:line="236" w:lineRule="auto"/>
              <w:ind w:left="19"/>
              <w:rPr>
                <w:rFonts w:ascii="仿宋" w:hAnsi="仿宋" w:eastAsia="仿宋" w:cs="仿宋"/>
              </w:rPr>
            </w:pPr>
            <w:r>
              <w:rPr>
                <w:rFonts w:ascii="仿宋" w:hAnsi="仿宋" w:eastAsia="仿宋" w:cs="仿宋"/>
                <w:spacing w:val="-3"/>
              </w:rPr>
              <w:t>说明：</w:t>
            </w:r>
            <w:r>
              <w:rPr>
                <w:rFonts w:ascii="宋体" w:hAnsi="宋体" w:eastAsia="宋体" w:cs="宋体"/>
                <w:spacing w:val="-3"/>
                <w:position w:val="10"/>
                <w:sz w:val="11"/>
                <w:szCs w:val="11"/>
              </w:rPr>
              <w:t>①</w:t>
            </w:r>
            <w:r>
              <w:rPr>
                <w:rFonts w:ascii="宋体" w:hAnsi="宋体" w:eastAsia="宋体" w:cs="宋体"/>
                <w:spacing w:val="-26"/>
                <w:position w:val="10"/>
                <w:sz w:val="11"/>
                <w:szCs w:val="11"/>
              </w:rPr>
              <w:t xml:space="preserve"> </w:t>
            </w:r>
            <w:r>
              <w:rPr>
                <w:rFonts w:ascii="仿宋" w:hAnsi="仿宋" w:eastAsia="仿宋" w:cs="仿宋"/>
                <w:spacing w:val="-3"/>
              </w:rPr>
              <w:t>年用水量（</w:t>
            </w:r>
            <w:r>
              <w:rPr>
                <w:spacing w:val="-3"/>
              </w:rPr>
              <w:t>m</w:t>
            </w:r>
            <w:r>
              <w:rPr>
                <w:spacing w:val="-3"/>
                <w:position w:val="9"/>
                <w:sz w:val="14"/>
                <w:szCs w:val="14"/>
              </w:rPr>
              <w:t>3</w:t>
            </w:r>
            <w:r>
              <w:rPr>
                <w:spacing w:val="-3"/>
              </w:rPr>
              <w:t>/</w:t>
            </w:r>
            <w:r>
              <w:rPr>
                <w:rFonts w:ascii="仿宋" w:hAnsi="仿宋" w:eastAsia="仿宋" w:cs="仿宋"/>
                <w:spacing w:val="-3"/>
              </w:rPr>
              <w:t>年）</w:t>
            </w:r>
            <w:r>
              <w:rPr>
                <w:spacing w:val="-3"/>
              </w:rPr>
              <w:t>=</w:t>
            </w:r>
            <w:r>
              <w:rPr>
                <w:rFonts w:ascii="仿宋" w:hAnsi="仿宋" w:eastAsia="仿宋" w:cs="仿宋"/>
                <w:spacing w:val="-3"/>
              </w:rPr>
              <w:t>消纳土地面积</w:t>
            </w:r>
            <w:r>
              <w:rPr>
                <w:spacing w:val="-3"/>
              </w:rPr>
              <w:t>×</w:t>
            </w:r>
            <w:r>
              <w:rPr>
                <w:rFonts w:ascii="仿宋" w:hAnsi="仿宋" w:eastAsia="仿宋" w:cs="仿宋"/>
                <w:spacing w:val="-3"/>
              </w:rPr>
              <w:t>用水定额；</w:t>
            </w:r>
          </w:p>
          <w:p w14:paraId="5A2594B5">
            <w:pPr>
              <w:pStyle w:val="6"/>
              <w:spacing w:before="35" w:line="234" w:lineRule="auto"/>
              <w:ind w:left="638"/>
              <w:rPr>
                <w:rFonts w:ascii="仿宋" w:hAnsi="仿宋" w:eastAsia="仿宋" w:cs="仿宋"/>
              </w:rPr>
            </w:pPr>
            <w:r>
              <w:rPr>
                <w:rFonts w:ascii="宋体" w:hAnsi="宋体" w:eastAsia="宋体" w:cs="宋体"/>
                <w:spacing w:val="-1"/>
                <w:position w:val="10"/>
                <w:sz w:val="11"/>
                <w:szCs w:val="11"/>
              </w:rPr>
              <w:t>②</w:t>
            </w:r>
            <w:r>
              <w:rPr>
                <w:rFonts w:ascii="仿宋" w:hAnsi="仿宋" w:eastAsia="仿宋" w:cs="仿宋"/>
                <w:spacing w:val="-1"/>
              </w:rPr>
              <w:t>平均日用水量（</w:t>
            </w:r>
            <w:r>
              <w:rPr>
                <w:spacing w:val="-1"/>
              </w:rPr>
              <w:t>m</w:t>
            </w:r>
            <w:r>
              <w:rPr>
                <w:spacing w:val="-1"/>
                <w:position w:val="9"/>
                <w:sz w:val="14"/>
                <w:szCs w:val="14"/>
              </w:rPr>
              <w:t>3</w:t>
            </w:r>
            <w:r>
              <w:rPr>
                <w:spacing w:val="-1"/>
              </w:rPr>
              <w:t>/</w:t>
            </w:r>
            <w:r>
              <w:rPr>
                <w:rFonts w:ascii="仿宋" w:hAnsi="仿宋" w:eastAsia="仿宋" w:cs="仿宋"/>
                <w:spacing w:val="-1"/>
              </w:rPr>
              <w:t>天）</w:t>
            </w:r>
            <w:r>
              <w:rPr>
                <w:spacing w:val="-1"/>
              </w:rPr>
              <w:t>=</w:t>
            </w:r>
            <w:r>
              <w:rPr>
                <w:rFonts w:ascii="仿宋" w:hAnsi="仿宋" w:eastAsia="仿宋" w:cs="仿宋"/>
                <w:spacing w:val="-1"/>
              </w:rPr>
              <w:t>年用水量（</w:t>
            </w:r>
            <w:r>
              <w:rPr>
                <w:spacing w:val="-1"/>
              </w:rPr>
              <w:t>m</w:t>
            </w:r>
            <w:r>
              <w:rPr>
                <w:spacing w:val="-1"/>
                <w:position w:val="9"/>
                <w:sz w:val="14"/>
                <w:szCs w:val="14"/>
              </w:rPr>
              <w:t>3</w:t>
            </w:r>
            <w:r>
              <w:rPr>
                <w:spacing w:val="-1"/>
              </w:rPr>
              <w:t>/</w:t>
            </w:r>
            <w:r>
              <w:rPr>
                <w:rFonts w:ascii="仿宋" w:hAnsi="仿宋" w:eastAsia="仿宋" w:cs="仿宋"/>
                <w:spacing w:val="-1"/>
              </w:rPr>
              <w:t>年）</w:t>
            </w:r>
            <w:r>
              <w:rPr>
                <w:spacing w:val="-1"/>
              </w:rPr>
              <w:t>/</w:t>
            </w:r>
            <w:r>
              <w:rPr>
                <w:rFonts w:ascii="仿宋" w:hAnsi="仿宋" w:eastAsia="仿宋" w:cs="仿宋"/>
                <w:spacing w:val="-1"/>
              </w:rPr>
              <w:t>作物生育期。</w:t>
            </w:r>
          </w:p>
        </w:tc>
      </w:tr>
    </w:tbl>
    <w:p w14:paraId="41F079F7">
      <w:pPr>
        <w:spacing w:before="233" w:line="359" w:lineRule="auto"/>
        <w:ind w:left="38" w:firstLine="510"/>
        <w:jc w:val="both"/>
        <w:rPr>
          <w:rFonts w:ascii="宋体" w:hAnsi="宋体" w:eastAsia="宋体" w:cs="宋体"/>
          <w:sz w:val="24"/>
          <w:szCs w:val="24"/>
        </w:rPr>
      </w:pPr>
      <w:r>
        <w:rPr>
          <w:rFonts w:ascii="宋体" w:hAnsi="宋体" w:eastAsia="宋体" w:cs="宋体"/>
          <w:spacing w:val="-2"/>
          <w:sz w:val="24"/>
          <w:szCs w:val="24"/>
        </w:rPr>
        <w:t>由上表计算得知，本项目消纳土地的各种作物生长所需灌溉用水量之和为：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105046.7m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420.4m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（日平均）。</w:t>
      </w:r>
      <w:r>
        <w:rPr>
          <w:rFonts w:ascii="宋体" w:hAnsi="宋体" w:eastAsia="宋体" w:cs="宋体"/>
          <w:b/>
          <w:bCs/>
          <w:spacing w:val="-2"/>
          <w:sz w:val="24"/>
          <w:szCs w:val="24"/>
        </w:rPr>
        <w:t>本项目年废水量为</w:t>
      </w:r>
      <w:r>
        <w:rPr>
          <w:rFonts w:ascii="Times New Roman" w:hAnsi="Times New Roman" w:eastAsia="Times New Roman" w:cs="Times New Roman"/>
          <w:b/>
          <w:bCs/>
          <w:spacing w:val="-2"/>
          <w:sz w:val="24"/>
          <w:szCs w:val="24"/>
        </w:rPr>
        <w:t>85169.1m</w:t>
      </w:r>
      <w:r>
        <w:rPr>
          <w:rFonts w:ascii="Times New Roman" w:hAnsi="Times New Roman" w:eastAsia="Times New Roman" w:cs="Times New Roman"/>
          <w:b/>
          <w:bCs/>
          <w:spacing w:val="-2"/>
          <w:position w:val="10"/>
          <w:sz w:val="15"/>
          <w:szCs w:val="15"/>
        </w:rPr>
        <w:t>3</w:t>
      </w:r>
      <w:r>
        <w:rPr>
          <w:rFonts w:ascii="Times New Roman" w:hAnsi="Times New Roman" w:eastAsia="Times New Roman" w:cs="Times New Roman"/>
          <w:b/>
          <w:bCs/>
          <w:spacing w:val="-2"/>
          <w:sz w:val="24"/>
          <w:szCs w:val="24"/>
        </w:rPr>
        <w:t>/a</w:t>
      </w:r>
      <w:r>
        <w:rPr>
          <w:rFonts w:ascii="宋体" w:hAnsi="宋体" w:eastAsia="宋体" w:cs="宋体"/>
          <w:b/>
          <w:bCs/>
          <w:spacing w:val="-2"/>
          <w:sz w:val="24"/>
          <w:szCs w:val="24"/>
        </w:rPr>
        <w:t>，平均日废</w:t>
      </w:r>
      <w:r>
        <w:rPr>
          <w:rFonts w:ascii="宋体" w:hAnsi="宋体" w:eastAsia="宋体" w:cs="宋体"/>
          <w:b/>
          <w:bCs/>
          <w:spacing w:val="-4"/>
          <w:sz w:val="24"/>
          <w:szCs w:val="24"/>
        </w:rPr>
        <w:t>水量为</w:t>
      </w:r>
      <w:r>
        <w:rPr>
          <w:rFonts w:ascii="Times New Roman" w:hAnsi="Times New Roman" w:eastAsia="Times New Roman" w:cs="Times New Roman"/>
          <w:b/>
          <w:bCs/>
          <w:spacing w:val="-4"/>
          <w:sz w:val="24"/>
          <w:szCs w:val="24"/>
        </w:rPr>
        <w:t>233.3m</w:t>
      </w:r>
      <w:r>
        <w:rPr>
          <w:rFonts w:ascii="Times New Roman" w:hAnsi="Times New Roman" w:eastAsia="Times New Roman" w:cs="Times New Roman"/>
          <w:b/>
          <w:bCs/>
          <w:spacing w:val="-4"/>
          <w:position w:val="10"/>
          <w:sz w:val="15"/>
          <w:szCs w:val="15"/>
        </w:rPr>
        <w:t>3</w:t>
      </w:r>
      <w:r>
        <w:rPr>
          <w:rFonts w:ascii="Times New Roman" w:hAnsi="Times New Roman" w:eastAsia="Times New Roman" w:cs="Times New Roman"/>
          <w:b/>
          <w:bCs/>
          <w:spacing w:val="-4"/>
          <w:sz w:val="24"/>
          <w:szCs w:val="24"/>
        </w:rPr>
        <w:t>/d</w:t>
      </w:r>
      <w:r>
        <w:rPr>
          <w:rFonts w:ascii="宋体" w:hAnsi="宋体" w:eastAsia="宋体" w:cs="宋体"/>
          <w:b/>
          <w:bCs/>
          <w:spacing w:val="-4"/>
          <w:sz w:val="24"/>
          <w:szCs w:val="24"/>
        </w:rPr>
        <w:t>，分别占消纳土地灌溉所需年用水量的</w:t>
      </w:r>
      <w:r>
        <w:rPr>
          <w:rFonts w:ascii="Times New Roman" w:hAnsi="Times New Roman" w:eastAsia="Times New Roman" w:cs="Times New Roman"/>
          <w:b/>
          <w:bCs/>
          <w:spacing w:val="-4"/>
          <w:sz w:val="24"/>
          <w:szCs w:val="24"/>
        </w:rPr>
        <w:t>81.1%</w:t>
      </w:r>
      <w:r>
        <w:rPr>
          <w:rFonts w:ascii="宋体" w:hAnsi="宋体" w:eastAsia="宋体" w:cs="宋体"/>
          <w:b/>
          <w:bCs/>
          <w:spacing w:val="-4"/>
          <w:sz w:val="24"/>
          <w:szCs w:val="24"/>
        </w:rPr>
        <w:t>、平均日用</w:t>
      </w:r>
      <w:r>
        <w:rPr>
          <w:rFonts w:ascii="宋体" w:hAnsi="宋体" w:eastAsia="宋体" w:cs="宋体"/>
          <w:b/>
          <w:bCs/>
          <w:spacing w:val="-5"/>
          <w:sz w:val="24"/>
          <w:szCs w:val="24"/>
        </w:rPr>
        <w:t>水量的</w:t>
      </w:r>
      <w:r>
        <w:rPr>
          <w:rFonts w:ascii="Times New Roman" w:hAnsi="Times New Roman" w:eastAsia="Times New Roman" w:cs="Times New Roman"/>
          <w:b/>
          <w:bCs/>
          <w:spacing w:val="-2"/>
          <w:sz w:val="24"/>
          <w:szCs w:val="24"/>
        </w:rPr>
        <w:t>55.5%</w:t>
      </w:r>
      <w:r>
        <w:rPr>
          <w:rFonts w:ascii="Times New Roman" w:hAnsi="Times New Roman" w:eastAsia="Times New Roman" w:cs="Times New Roman"/>
          <w:b/>
          <w:bCs/>
          <w:spacing w:val="-28"/>
          <w:sz w:val="24"/>
          <w:szCs w:val="24"/>
        </w:rPr>
        <w:t xml:space="preserve"> </w:t>
      </w:r>
      <w:r>
        <w:rPr>
          <w:rFonts w:ascii="宋体" w:hAnsi="宋体" w:eastAsia="宋体" w:cs="宋体"/>
          <w:b/>
          <w:bCs/>
          <w:spacing w:val="-2"/>
          <w:sz w:val="24"/>
          <w:szCs w:val="24"/>
        </w:rPr>
        <w:t>。</w:t>
      </w:r>
      <w:r>
        <w:rPr>
          <w:rFonts w:ascii="宋体" w:hAnsi="宋体" w:eastAsia="宋体" w:cs="宋体"/>
          <w:spacing w:val="-2"/>
          <w:sz w:val="24"/>
          <w:szCs w:val="24"/>
        </w:rPr>
        <w:t>因此，建设单位已流转的喻家沟村共</w:t>
      </w:r>
      <w:r>
        <w:rPr>
          <w:rFonts w:ascii="Times New Roman" w:hAnsi="Times New Roman" w:eastAsia="Times New Roman" w:cs="Times New Roman"/>
          <w:spacing w:val="-2"/>
          <w:sz w:val="24"/>
          <w:szCs w:val="24"/>
        </w:rPr>
        <w:t>2060</w:t>
      </w:r>
      <w:r>
        <w:rPr>
          <w:rFonts w:ascii="宋体" w:hAnsi="宋体" w:eastAsia="宋体" w:cs="宋体"/>
          <w:spacing w:val="-2"/>
          <w:sz w:val="24"/>
          <w:szCs w:val="24"/>
        </w:rPr>
        <w:t>亩土地完全可以消纳本项目产</w:t>
      </w:r>
      <w:r>
        <w:rPr>
          <w:rFonts w:ascii="宋体" w:hAnsi="宋体" w:eastAsia="宋体" w:cs="宋体"/>
          <w:spacing w:val="-7"/>
          <w:sz w:val="24"/>
          <w:szCs w:val="24"/>
        </w:rPr>
        <w:t>生的废水。</w:t>
      </w:r>
    </w:p>
    <w:p w14:paraId="4BB310F4">
      <w:pPr>
        <w:spacing w:before="7"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）灌溉养分可行性分析</w:t>
      </w:r>
    </w:p>
    <w:p w14:paraId="6F276785">
      <w:pPr>
        <w:spacing w:before="186" w:line="359" w:lineRule="auto"/>
        <w:ind w:left="38" w:right="66" w:firstLine="480"/>
        <w:jc w:val="both"/>
        <w:rPr>
          <w:rFonts w:ascii="宋体" w:hAnsi="宋体" w:eastAsia="宋体" w:cs="宋体"/>
          <w:sz w:val="24"/>
          <w:szCs w:val="24"/>
        </w:rPr>
      </w:pPr>
      <w:r>
        <w:rPr>
          <w:rFonts w:ascii="宋体" w:hAnsi="宋体" w:eastAsia="宋体" w:cs="宋体"/>
          <w:spacing w:val="-3"/>
          <w:sz w:val="24"/>
          <w:szCs w:val="24"/>
        </w:rPr>
        <w:t>根据农业农村部办公厅生态环境部办公厅《关于进一步明确畜禽</w:t>
      </w:r>
      <w:r>
        <w:rPr>
          <w:rFonts w:ascii="宋体" w:hAnsi="宋体" w:eastAsia="宋体" w:cs="宋体"/>
          <w:spacing w:val="-4"/>
          <w:sz w:val="24"/>
          <w:szCs w:val="24"/>
        </w:rPr>
        <w:t>粪污还田利</w:t>
      </w:r>
      <w:r>
        <w:rPr>
          <w:rFonts w:ascii="宋体" w:hAnsi="宋体" w:eastAsia="宋体" w:cs="宋体"/>
          <w:spacing w:val="-6"/>
          <w:sz w:val="24"/>
          <w:szCs w:val="24"/>
        </w:rPr>
        <w:t>用要求强化养殖污染监管的通知》（农办牧</w:t>
      </w:r>
      <w:r>
        <w:rPr>
          <w:rFonts w:ascii="Times New Roman" w:hAnsi="Times New Roman" w:eastAsia="Times New Roman" w:cs="Times New Roman"/>
          <w:spacing w:val="-6"/>
          <w:sz w:val="24"/>
          <w:szCs w:val="24"/>
        </w:rPr>
        <w:t>[</w:t>
      </w:r>
      <w:r>
        <w:fldChar w:fldCharType="begin"/>
      </w:r>
      <w:r>
        <w:instrText xml:space="preserve"> HYPERLINK \l "bookmark166" </w:instrText>
      </w:r>
      <w:r>
        <w:fldChar w:fldCharType="separate"/>
      </w:r>
      <w:r>
        <w:rPr>
          <w:rFonts w:ascii="Times New Roman" w:hAnsi="Times New Roman" w:eastAsia="Times New Roman" w:cs="Times New Roman"/>
          <w:spacing w:val="-6"/>
          <w:sz w:val="24"/>
          <w:szCs w:val="24"/>
        </w:rPr>
        <w:t>2020</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]23</w:t>
      </w:r>
      <w:r>
        <w:rPr>
          <w:rFonts w:ascii="宋体" w:hAnsi="宋体" w:eastAsia="宋体" w:cs="宋体"/>
          <w:spacing w:val="-6"/>
          <w:sz w:val="24"/>
          <w:szCs w:val="24"/>
        </w:rPr>
        <w:t>号</w:t>
      </w:r>
      <w:r>
        <w:rPr>
          <w:rFonts w:ascii="宋体" w:hAnsi="宋体" w:eastAsia="宋体" w:cs="宋体"/>
          <w:spacing w:val="-18"/>
          <w:sz w:val="24"/>
          <w:szCs w:val="24"/>
        </w:rPr>
        <w:t>），</w:t>
      </w:r>
      <w:r>
        <w:rPr>
          <w:rFonts w:ascii="宋体" w:hAnsi="宋体" w:eastAsia="宋体" w:cs="宋体"/>
          <w:spacing w:val="-6"/>
          <w:sz w:val="24"/>
          <w:szCs w:val="24"/>
        </w:rPr>
        <w:t>对配套土地充足的养殖</w:t>
      </w:r>
      <w:r>
        <w:rPr>
          <w:rFonts w:ascii="宋体" w:hAnsi="宋体" w:eastAsia="宋体" w:cs="宋体"/>
          <w:spacing w:val="-3"/>
          <w:sz w:val="24"/>
          <w:szCs w:val="24"/>
        </w:rPr>
        <w:t>场户，粪污经无害化处理后还田利用具体要求及限量应符合</w:t>
      </w:r>
      <w:r>
        <w:rPr>
          <w:rFonts w:ascii="宋体" w:hAnsi="宋体" w:eastAsia="宋体" w:cs="宋体"/>
          <w:spacing w:val="-4"/>
          <w:sz w:val="24"/>
          <w:szCs w:val="24"/>
        </w:rPr>
        <w:t>《畜禽粪便无害化处</w:t>
      </w:r>
      <w:r>
        <w:rPr>
          <w:rFonts w:ascii="宋体" w:hAnsi="宋体" w:eastAsia="宋体" w:cs="宋体"/>
          <w:spacing w:val="-6"/>
          <w:sz w:val="24"/>
          <w:szCs w:val="24"/>
        </w:rPr>
        <w:t>理技术规范》（</w:t>
      </w:r>
      <w:r>
        <w:rPr>
          <w:rFonts w:ascii="Times New Roman" w:hAnsi="Times New Roman" w:eastAsia="Times New Roman" w:cs="Times New Roman"/>
          <w:spacing w:val="-6"/>
          <w:sz w:val="24"/>
          <w:szCs w:val="24"/>
        </w:rPr>
        <w:t>GB/T</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6"/>
          <w:sz w:val="24"/>
          <w:szCs w:val="24"/>
        </w:rPr>
        <w:t>36195</w:t>
      </w:r>
      <w:r>
        <w:rPr>
          <w:rFonts w:ascii="宋体" w:hAnsi="宋体" w:eastAsia="宋体" w:cs="宋体"/>
          <w:spacing w:val="-6"/>
          <w:sz w:val="24"/>
          <w:szCs w:val="24"/>
        </w:rPr>
        <w:t>）和《畜禽粪便还田技术规范》（</w:t>
      </w:r>
      <w:r>
        <w:rPr>
          <w:rFonts w:ascii="Times New Roman" w:hAnsi="Times New Roman" w:eastAsia="Times New Roman" w:cs="Times New Roman"/>
          <w:spacing w:val="-6"/>
          <w:sz w:val="24"/>
          <w:szCs w:val="24"/>
        </w:rPr>
        <w:t>GB/T 25246</w:t>
      </w:r>
      <w:r>
        <w:rPr>
          <w:rFonts w:ascii="宋体" w:hAnsi="宋体" w:eastAsia="宋体" w:cs="宋体"/>
          <w:spacing w:val="-64"/>
          <w:sz w:val="24"/>
          <w:szCs w:val="24"/>
        </w:rPr>
        <w:t>），</w:t>
      </w:r>
      <w:r>
        <w:rPr>
          <w:rFonts w:ascii="宋体" w:hAnsi="宋体" w:eastAsia="宋体" w:cs="宋体"/>
          <w:spacing w:val="-6"/>
          <w:sz w:val="24"/>
          <w:szCs w:val="24"/>
        </w:rPr>
        <w:t>配套</w:t>
      </w:r>
      <w:r>
        <w:rPr>
          <w:rFonts w:ascii="宋体" w:hAnsi="宋体" w:eastAsia="宋体" w:cs="宋体"/>
          <w:spacing w:val="-4"/>
          <w:sz w:val="24"/>
          <w:szCs w:val="24"/>
        </w:rPr>
        <w:t>土地面积应达到《畜禽粪污土地承载力测算技术指南》</w:t>
      </w:r>
      <w:r>
        <w:rPr>
          <w:rFonts w:ascii="宋体" w:hAnsi="宋体" w:eastAsia="宋体" w:cs="宋体"/>
          <w:spacing w:val="-5"/>
          <w:sz w:val="24"/>
          <w:szCs w:val="24"/>
        </w:rPr>
        <w:t>（农办牧</w:t>
      </w:r>
      <w:r>
        <w:rPr>
          <w:rFonts w:ascii="Times New Roman" w:hAnsi="Times New Roman" w:eastAsia="Times New Roman" w:cs="Times New Roman"/>
          <w:spacing w:val="-5"/>
          <w:sz w:val="24"/>
          <w:szCs w:val="24"/>
        </w:rPr>
        <w:t>[</w:t>
      </w:r>
      <w:r>
        <w:fldChar w:fldCharType="begin"/>
      </w:r>
      <w:r>
        <w:instrText xml:space="preserve"> HYPERLINK \l "bookmark167" </w:instrText>
      </w:r>
      <w:r>
        <w:fldChar w:fldCharType="separate"/>
      </w:r>
      <w:r>
        <w:rPr>
          <w:rFonts w:ascii="Times New Roman" w:hAnsi="Times New Roman" w:eastAsia="Times New Roman" w:cs="Times New Roman"/>
          <w:spacing w:val="-5"/>
          <w:sz w:val="24"/>
          <w:szCs w:val="24"/>
        </w:rPr>
        <w:t>2018</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号）要求</w:t>
      </w:r>
      <w:r>
        <w:rPr>
          <w:rFonts w:ascii="宋体" w:hAnsi="宋体" w:eastAsia="宋体" w:cs="宋体"/>
          <w:spacing w:val="-6"/>
          <w:sz w:val="24"/>
          <w:szCs w:val="24"/>
        </w:rPr>
        <w:t>的最小面积。</w:t>
      </w:r>
    </w:p>
    <w:p w14:paraId="37A43FC9">
      <w:pPr>
        <w:spacing w:before="3" w:line="359" w:lineRule="auto"/>
        <w:ind w:left="38" w:right="66" w:firstLine="481"/>
        <w:jc w:val="both"/>
        <w:rPr>
          <w:rFonts w:ascii="宋体" w:hAnsi="宋体" w:eastAsia="宋体" w:cs="宋体"/>
          <w:sz w:val="24"/>
          <w:szCs w:val="24"/>
        </w:rPr>
      </w:pPr>
      <w:r>
        <w:rPr>
          <w:rFonts w:ascii="宋体" w:hAnsi="宋体" w:eastAsia="宋体" w:cs="宋体"/>
          <w:spacing w:val="-3"/>
          <w:sz w:val="24"/>
          <w:szCs w:val="24"/>
        </w:rPr>
        <w:t>本项目产生的固体粪渣交有机肥生产企业综合利用，液体经污</w:t>
      </w:r>
      <w:r>
        <w:rPr>
          <w:rFonts w:ascii="宋体" w:hAnsi="宋体" w:eastAsia="宋体" w:cs="宋体"/>
          <w:spacing w:val="-4"/>
          <w:sz w:val="24"/>
          <w:szCs w:val="24"/>
        </w:rPr>
        <w:t>水处理站处理</w:t>
      </w:r>
      <w:r>
        <w:rPr>
          <w:rFonts w:ascii="宋体" w:hAnsi="宋体" w:eastAsia="宋体" w:cs="宋体"/>
          <w:spacing w:val="-3"/>
          <w:sz w:val="24"/>
          <w:szCs w:val="24"/>
        </w:rPr>
        <w:t>达标后全部用于消纳土地灌溉利用，本次畜禽粪污土地承载力及规模养殖场配套</w:t>
      </w:r>
      <w:r>
        <w:rPr>
          <w:rFonts w:ascii="宋体" w:hAnsi="宋体" w:eastAsia="宋体" w:cs="宋体"/>
          <w:spacing w:val="-7"/>
          <w:sz w:val="24"/>
          <w:szCs w:val="24"/>
        </w:rPr>
        <w:t>土地面积测算以粪肥氮、磷养分供给为基础进行核算， 采取《畜禽粪污土地承载</w:t>
      </w:r>
      <w:r>
        <w:rPr>
          <w:rFonts w:ascii="宋体" w:hAnsi="宋体" w:eastAsia="宋体" w:cs="宋体"/>
          <w:spacing w:val="-3"/>
          <w:sz w:val="24"/>
          <w:szCs w:val="24"/>
        </w:rPr>
        <w:t>力测算技术指南》（农办牧</w:t>
      </w:r>
      <w:r>
        <w:rPr>
          <w:rFonts w:ascii="Times New Roman" w:hAnsi="Times New Roman" w:eastAsia="Times New Roman" w:cs="Times New Roman"/>
          <w:spacing w:val="-3"/>
          <w:sz w:val="24"/>
          <w:szCs w:val="24"/>
        </w:rPr>
        <w:t>[</w:t>
      </w:r>
      <w:r>
        <w:fldChar w:fldCharType="begin"/>
      </w:r>
      <w:r>
        <w:instrText xml:space="preserve"> HYPERLINK \l "bookmark168" </w:instrText>
      </w:r>
      <w:r>
        <w:fldChar w:fldCharType="separate"/>
      </w:r>
      <w:r>
        <w:rPr>
          <w:rFonts w:ascii="Times New Roman" w:hAnsi="Times New Roman" w:eastAsia="Times New Roman" w:cs="Times New Roman"/>
          <w:spacing w:val="-3"/>
          <w:sz w:val="24"/>
          <w:szCs w:val="24"/>
        </w:rPr>
        <w:t>2018</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号）之“</w:t>
      </w:r>
      <w:r>
        <w:rPr>
          <w:rFonts w:ascii="Times New Roman" w:hAnsi="Times New Roman" w:eastAsia="Times New Roman" w:cs="Times New Roman"/>
          <w:spacing w:val="-3"/>
          <w:sz w:val="24"/>
          <w:szCs w:val="24"/>
        </w:rPr>
        <w:t xml:space="preserve">5.2  </w:t>
      </w:r>
      <w:r>
        <w:rPr>
          <w:rFonts w:ascii="宋体" w:hAnsi="宋体" w:eastAsia="宋体" w:cs="宋体"/>
          <w:spacing w:val="-3"/>
          <w:sz w:val="24"/>
          <w:szCs w:val="24"/>
        </w:rPr>
        <w:t>规模养殖场配套土地面积测算方</w:t>
      </w:r>
      <w:r>
        <w:rPr>
          <w:rFonts w:ascii="宋体" w:hAnsi="宋体" w:eastAsia="宋体" w:cs="宋体"/>
          <w:spacing w:val="-14"/>
          <w:sz w:val="24"/>
          <w:szCs w:val="24"/>
        </w:rPr>
        <w:t>法</w:t>
      </w:r>
      <w:r>
        <w:rPr>
          <w:rFonts w:ascii="宋体" w:hAnsi="宋体" w:eastAsia="宋体" w:cs="宋体"/>
          <w:spacing w:val="-88"/>
          <w:sz w:val="24"/>
          <w:szCs w:val="24"/>
        </w:rPr>
        <w:t xml:space="preserve"> </w:t>
      </w:r>
      <w:r>
        <w:rPr>
          <w:rFonts w:ascii="宋体" w:hAnsi="宋体" w:eastAsia="宋体" w:cs="宋体"/>
          <w:spacing w:val="-14"/>
          <w:sz w:val="24"/>
          <w:szCs w:val="24"/>
        </w:rPr>
        <w:t>”。</w:t>
      </w:r>
    </w:p>
    <w:p w14:paraId="6BEBBFFB">
      <w:pPr>
        <w:spacing w:line="359" w:lineRule="auto"/>
        <w:rPr>
          <w:rFonts w:ascii="宋体" w:hAnsi="宋体" w:eastAsia="宋体" w:cs="宋体"/>
          <w:sz w:val="24"/>
          <w:szCs w:val="24"/>
        </w:rPr>
        <w:sectPr>
          <w:headerReference r:id="rId335" w:type="default"/>
          <w:footerReference r:id="rId336" w:type="default"/>
          <w:pgSz w:w="11905" w:h="16840"/>
          <w:pgMar w:top="1168" w:right="1731" w:bottom="1409" w:left="1770" w:header="828" w:footer="1244" w:gutter="0"/>
          <w:cols w:space="720" w:num="1"/>
        </w:sectPr>
      </w:pPr>
    </w:p>
    <w:p w14:paraId="0BE94D5B">
      <w:pPr>
        <w:pStyle w:val="2"/>
        <w:spacing w:line="306" w:lineRule="auto"/>
      </w:pPr>
    </w:p>
    <w:p w14:paraId="685E4CDC">
      <w:pPr>
        <w:spacing w:before="78" w:line="217" w:lineRule="auto"/>
        <w:ind w:left="520"/>
        <w:rPr>
          <w:rFonts w:ascii="宋体" w:hAnsi="宋体" w:eastAsia="宋体" w:cs="宋体"/>
          <w:sz w:val="24"/>
          <w:szCs w:val="24"/>
        </w:rPr>
      </w:pPr>
      <w:r>
        <w:rPr>
          <w:rFonts w:ascii="宋体" w:hAnsi="宋体" w:eastAsia="宋体" w:cs="宋体"/>
          <w:b/>
          <w:bCs/>
          <w:spacing w:val="-3"/>
          <w:sz w:val="24"/>
          <w:szCs w:val="24"/>
        </w:rPr>
        <w:t>①规模养殖场粪肥养分供给量</w:t>
      </w:r>
    </w:p>
    <w:p w14:paraId="7B91CACE">
      <w:pPr>
        <w:spacing w:before="185" w:line="360" w:lineRule="auto"/>
        <w:ind w:left="39" w:right="39" w:firstLine="509"/>
        <w:jc w:val="both"/>
        <w:rPr>
          <w:rFonts w:ascii="宋体" w:hAnsi="宋体" w:eastAsia="宋体" w:cs="宋体"/>
          <w:sz w:val="24"/>
          <w:szCs w:val="24"/>
        </w:rPr>
      </w:pPr>
      <w:r>
        <w:rPr>
          <w:rFonts w:ascii="宋体" w:hAnsi="宋体" w:eastAsia="宋体" w:cs="宋体"/>
          <w:spacing w:val="-2"/>
          <w:sz w:val="24"/>
          <w:szCs w:val="24"/>
        </w:rPr>
        <w:t>由于本项目液体粪污经处理达到《农田灌溉水质标准》（</w:t>
      </w:r>
      <w:r>
        <w:rPr>
          <w:rFonts w:ascii="Times New Roman" w:hAnsi="Times New Roman" w:eastAsia="Times New Roman" w:cs="Times New Roman"/>
          <w:spacing w:val="-2"/>
          <w:sz w:val="24"/>
          <w:szCs w:val="24"/>
        </w:rPr>
        <w:t>GB5084-20</w:t>
      </w:r>
      <w:r>
        <w:rPr>
          <w:rFonts w:ascii="Times New Roman" w:hAnsi="Times New Roman" w:eastAsia="Times New Roman" w:cs="Times New Roman"/>
          <w:spacing w:val="-3"/>
          <w:sz w:val="24"/>
          <w:szCs w:val="24"/>
        </w:rPr>
        <w:t>21</w:t>
      </w:r>
      <w:r>
        <w:rPr>
          <w:rFonts w:ascii="宋体" w:hAnsi="宋体" w:eastAsia="宋体" w:cs="宋体"/>
          <w:spacing w:val="-3"/>
          <w:sz w:val="24"/>
          <w:szCs w:val="24"/>
        </w:rPr>
        <w:t>）旱</w:t>
      </w:r>
      <w:r>
        <w:rPr>
          <w:rFonts w:ascii="宋体" w:hAnsi="宋体" w:eastAsia="宋体" w:cs="宋体"/>
          <w:spacing w:val="-4"/>
          <w:sz w:val="24"/>
          <w:szCs w:val="24"/>
        </w:rPr>
        <w:t>地作物标准后作为灌溉水还田利用，</w:t>
      </w:r>
      <w:r>
        <w:rPr>
          <w:rFonts w:ascii="宋体" w:hAnsi="宋体" w:eastAsia="宋体" w:cs="宋体"/>
          <w:b/>
          <w:bCs/>
          <w:spacing w:val="-4"/>
          <w:sz w:val="24"/>
          <w:szCs w:val="24"/>
        </w:rPr>
        <w:t>非粪肥利用</w:t>
      </w:r>
      <w:r>
        <w:rPr>
          <w:rFonts w:ascii="宋体" w:hAnsi="宋体" w:eastAsia="宋体" w:cs="宋体"/>
          <w:spacing w:val="-4"/>
          <w:sz w:val="24"/>
          <w:szCs w:val="24"/>
        </w:rPr>
        <w:t>，因此</w:t>
      </w:r>
      <w:r>
        <w:rPr>
          <w:rFonts w:ascii="宋体" w:hAnsi="宋体" w:eastAsia="宋体" w:cs="宋体"/>
          <w:spacing w:val="-5"/>
          <w:sz w:val="24"/>
          <w:szCs w:val="24"/>
        </w:rPr>
        <w:t>，</w:t>
      </w:r>
      <w:r>
        <w:rPr>
          <w:rFonts w:ascii="宋体" w:hAnsi="宋体" w:eastAsia="宋体" w:cs="宋体"/>
          <w:b/>
          <w:bCs/>
          <w:spacing w:val="-5"/>
          <w:sz w:val="24"/>
          <w:szCs w:val="24"/>
        </w:rPr>
        <w:t>不宜用《畜禽粪污土地承载力测算技术指南》（农办牧</w:t>
      </w:r>
      <w:r>
        <w:rPr>
          <w:rFonts w:ascii="Times New Roman" w:hAnsi="Times New Roman" w:eastAsia="Times New Roman" w:cs="Times New Roman"/>
          <w:b/>
          <w:bCs/>
          <w:spacing w:val="-5"/>
          <w:sz w:val="24"/>
          <w:szCs w:val="24"/>
        </w:rPr>
        <w:t>[</w:t>
      </w:r>
      <w:r>
        <w:fldChar w:fldCharType="begin"/>
      </w:r>
      <w:r>
        <w:instrText xml:space="preserve"> HYPERLINK \l "bookmark169" </w:instrText>
      </w:r>
      <w:r>
        <w:fldChar w:fldCharType="separate"/>
      </w:r>
      <w:r>
        <w:rPr>
          <w:rFonts w:ascii="Times New Roman" w:hAnsi="Times New Roman" w:eastAsia="Times New Roman" w:cs="Times New Roman"/>
          <w:b/>
          <w:bCs/>
          <w:spacing w:val="-5"/>
          <w:sz w:val="24"/>
          <w:szCs w:val="24"/>
        </w:rPr>
        <w:t>2018</w:t>
      </w:r>
      <w:r>
        <w:rPr>
          <w:rFonts w:ascii="Times New Roman" w:hAnsi="Times New Roman" w:eastAsia="Times New Roman" w:cs="Times New Roman"/>
          <w:b/>
          <w:bCs/>
          <w:spacing w:val="-5"/>
          <w:sz w:val="24"/>
          <w:szCs w:val="24"/>
        </w:rPr>
        <w:fldChar w:fldCharType="end"/>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号</w:t>
      </w:r>
      <w:r>
        <w:rPr>
          <w:rFonts w:ascii="宋体" w:hAnsi="宋体" w:eastAsia="宋体" w:cs="宋体"/>
          <w:b/>
          <w:bCs/>
          <w:spacing w:val="-6"/>
          <w:sz w:val="24"/>
          <w:szCs w:val="24"/>
        </w:rPr>
        <w:t>）的猪当量进行计算</w:t>
      </w:r>
      <w:r>
        <w:rPr>
          <w:rFonts w:ascii="宋体" w:hAnsi="宋体" w:eastAsia="宋体" w:cs="宋体"/>
          <w:spacing w:val="-6"/>
          <w:sz w:val="24"/>
          <w:szCs w:val="24"/>
        </w:rPr>
        <w:t>。</w:t>
      </w:r>
    </w:p>
    <w:p w14:paraId="13741D67">
      <w:pPr>
        <w:spacing w:line="360" w:lineRule="auto"/>
        <w:ind w:left="539" w:right="711" w:hanging="19"/>
        <w:rPr>
          <w:rFonts w:ascii="宋体" w:hAnsi="宋体" w:eastAsia="宋体" w:cs="宋体"/>
          <w:sz w:val="24"/>
          <w:szCs w:val="24"/>
        </w:rPr>
      </w:pPr>
      <w:r>
        <w:rPr>
          <w:rFonts w:ascii="宋体" w:hAnsi="宋体" w:eastAsia="宋体" w:cs="宋体"/>
          <w:spacing w:val="-2"/>
          <w:sz w:val="24"/>
          <w:szCs w:val="24"/>
        </w:rPr>
        <w:t>本评价以污水处理站出水中的氮、磷浓度计算氮、磷</w:t>
      </w:r>
      <w:r>
        <w:rPr>
          <w:rFonts w:ascii="宋体" w:hAnsi="宋体" w:eastAsia="宋体" w:cs="宋体"/>
          <w:spacing w:val="-3"/>
          <w:sz w:val="24"/>
          <w:szCs w:val="24"/>
        </w:rPr>
        <w:t>元素的供给量：</w:t>
      </w:r>
      <w:r>
        <w:rPr>
          <w:rFonts w:ascii="宋体" w:hAnsi="宋体" w:eastAsia="宋体" w:cs="宋体"/>
          <w:spacing w:val="-1"/>
          <w:sz w:val="24"/>
          <w:szCs w:val="24"/>
        </w:rPr>
        <w:t>出水中氮元素总供给量：</w:t>
      </w:r>
      <w:r>
        <w:rPr>
          <w:rFonts w:ascii="Times New Roman" w:hAnsi="Times New Roman" w:eastAsia="Times New Roman" w:cs="Times New Roman"/>
          <w:spacing w:val="-1"/>
          <w:sz w:val="24"/>
          <w:szCs w:val="24"/>
        </w:rPr>
        <w:t>85169.</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1t/a×80mg/L/100</w:t>
      </w:r>
      <w:r>
        <w:rPr>
          <w:rFonts w:ascii="Times New Roman" w:hAnsi="Times New Roman" w:eastAsia="Times New Roman" w:cs="Times New Roman"/>
          <w:spacing w:val="-2"/>
          <w:sz w:val="24"/>
          <w:szCs w:val="24"/>
        </w:rPr>
        <w:t>0=6813.53kg/a</w:t>
      </w:r>
      <w:r>
        <w:rPr>
          <w:rFonts w:ascii="宋体" w:hAnsi="宋体" w:eastAsia="宋体" w:cs="宋体"/>
          <w:spacing w:val="-2"/>
          <w:sz w:val="24"/>
          <w:szCs w:val="24"/>
        </w:rPr>
        <w:t>；</w:t>
      </w:r>
    </w:p>
    <w:p w14:paraId="29C2FDCA">
      <w:pPr>
        <w:spacing w:line="212" w:lineRule="auto"/>
        <w:ind w:left="539"/>
        <w:rPr>
          <w:rFonts w:ascii="宋体" w:hAnsi="宋体" w:eastAsia="宋体" w:cs="宋体"/>
          <w:sz w:val="24"/>
          <w:szCs w:val="24"/>
        </w:rPr>
      </w:pPr>
      <w:r>
        <w:rPr>
          <w:rFonts w:ascii="宋体" w:hAnsi="宋体" w:eastAsia="宋体" w:cs="宋体"/>
          <w:spacing w:val="-1"/>
          <w:sz w:val="24"/>
          <w:szCs w:val="24"/>
        </w:rPr>
        <w:t>出水中磷元素总供给量：</w:t>
      </w:r>
      <w:r>
        <w:rPr>
          <w:rFonts w:ascii="Times New Roman" w:hAnsi="Times New Roman" w:eastAsia="Times New Roman" w:cs="Times New Roman"/>
          <w:spacing w:val="-1"/>
          <w:sz w:val="24"/>
          <w:szCs w:val="24"/>
        </w:rPr>
        <w:t>85169.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1t/a×8mg/L/1</w:t>
      </w:r>
      <w:r>
        <w:rPr>
          <w:rFonts w:ascii="Times New Roman" w:hAnsi="Times New Roman" w:eastAsia="Times New Roman" w:cs="Times New Roman"/>
          <w:spacing w:val="-2"/>
          <w:sz w:val="24"/>
          <w:szCs w:val="24"/>
        </w:rPr>
        <w:t>000=681.35kg/a</w:t>
      </w:r>
      <w:r>
        <w:rPr>
          <w:rFonts w:ascii="宋体" w:hAnsi="宋体" w:eastAsia="宋体" w:cs="宋体"/>
          <w:spacing w:val="-2"/>
          <w:sz w:val="24"/>
          <w:szCs w:val="24"/>
        </w:rPr>
        <w:t>。</w:t>
      </w:r>
    </w:p>
    <w:p w14:paraId="7D3CAB0D">
      <w:pPr>
        <w:spacing w:before="192" w:line="217" w:lineRule="auto"/>
        <w:ind w:left="519"/>
        <w:rPr>
          <w:rFonts w:ascii="宋体" w:hAnsi="宋体" w:eastAsia="宋体" w:cs="宋体"/>
          <w:sz w:val="24"/>
          <w:szCs w:val="24"/>
        </w:rPr>
      </w:pPr>
      <w:r>
        <w:rPr>
          <w:rFonts w:ascii="宋体" w:hAnsi="宋体" w:eastAsia="宋体" w:cs="宋体"/>
          <w:b/>
          <w:bCs/>
          <w:spacing w:val="-3"/>
          <w:sz w:val="24"/>
          <w:szCs w:val="24"/>
        </w:rPr>
        <w:t>②单位土地粪肥养分需求量</w:t>
      </w:r>
    </w:p>
    <w:p w14:paraId="783122C3">
      <w:pPr>
        <w:spacing w:before="185" w:line="344" w:lineRule="auto"/>
        <w:ind w:left="39" w:right="30" w:firstLine="479"/>
        <w:jc w:val="both"/>
        <w:rPr>
          <w:rFonts w:ascii="宋体" w:hAnsi="宋体" w:eastAsia="宋体" w:cs="宋体"/>
          <w:sz w:val="24"/>
          <w:szCs w:val="24"/>
        </w:rPr>
      </w:pPr>
      <w:r>
        <w:rPr>
          <w:rFonts w:ascii="宋体" w:hAnsi="宋体" w:eastAsia="宋体" w:cs="宋体"/>
          <w:spacing w:val="-4"/>
          <w:sz w:val="24"/>
          <w:szCs w:val="24"/>
        </w:rPr>
        <w:t>根据《畜禽粪污土地承载力测算技术指南》（农办牧</w:t>
      </w:r>
      <w:r>
        <w:rPr>
          <w:rFonts w:ascii="Times New Roman" w:hAnsi="Times New Roman" w:eastAsia="Times New Roman" w:cs="Times New Roman"/>
          <w:spacing w:val="-4"/>
          <w:sz w:val="24"/>
          <w:szCs w:val="24"/>
        </w:rPr>
        <w:t>[</w:t>
      </w:r>
      <w:r>
        <w:fldChar w:fldCharType="begin"/>
      </w:r>
      <w:r>
        <w:instrText xml:space="preserve"> HYPERLINK \l "bookmark170" </w:instrText>
      </w:r>
      <w:r>
        <w:fldChar w:fldCharType="separate"/>
      </w:r>
      <w:r>
        <w:rPr>
          <w:rFonts w:ascii="Times New Roman" w:hAnsi="Times New Roman" w:eastAsia="Times New Roman" w:cs="Times New Roman"/>
          <w:spacing w:val="-4"/>
          <w:sz w:val="24"/>
          <w:szCs w:val="24"/>
        </w:rPr>
        <w:t>2018</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号</w:t>
      </w:r>
      <w:r>
        <w:rPr>
          <w:rFonts w:ascii="宋体" w:hAnsi="宋体" w:eastAsia="宋体" w:cs="宋体"/>
          <w:spacing w:val="-22"/>
          <w:sz w:val="24"/>
          <w:szCs w:val="24"/>
        </w:rPr>
        <w:t>），</w:t>
      </w:r>
      <w:r>
        <w:rPr>
          <w:rFonts w:ascii="宋体" w:hAnsi="宋体" w:eastAsia="宋体" w:cs="宋体"/>
          <w:spacing w:val="-4"/>
          <w:sz w:val="24"/>
          <w:szCs w:val="24"/>
        </w:rPr>
        <w:t>不同土壤</w:t>
      </w:r>
      <w:r>
        <w:rPr>
          <w:rFonts w:ascii="宋体" w:hAnsi="宋体" w:eastAsia="宋体" w:cs="宋体"/>
          <w:spacing w:val="-3"/>
          <w:sz w:val="24"/>
          <w:szCs w:val="24"/>
        </w:rPr>
        <w:t>肥力下，单位土地养分需求量、施肥比例、粪肥占施肥比例和粪肥当季利用效率</w:t>
      </w:r>
      <w:r>
        <w:rPr>
          <w:rFonts w:ascii="宋体" w:hAnsi="宋体" w:eastAsia="宋体" w:cs="宋体"/>
          <w:spacing w:val="-6"/>
          <w:sz w:val="24"/>
          <w:szCs w:val="24"/>
        </w:rPr>
        <w:t>测算，计算方法如下：</w:t>
      </w:r>
    </w:p>
    <w:p w14:paraId="51262368">
      <w:pPr>
        <w:spacing w:line="833" w:lineRule="exact"/>
        <w:ind w:firstLine="733"/>
      </w:pPr>
      <w:r>
        <w:rPr>
          <w:position w:val="-16"/>
        </w:rPr>
        <w:drawing>
          <wp:inline distT="0" distB="0" distL="0" distR="0">
            <wp:extent cx="4374515" cy="52832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570"/>
                    <a:stretch>
                      <a:fillRect/>
                    </a:stretch>
                  </pic:blipFill>
                  <pic:spPr>
                    <a:xfrm>
                      <a:off x="0" y="0"/>
                      <a:ext cx="4374641" cy="528827"/>
                    </a:xfrm>
                    <a:prstGeom prst="rect">
                      <a:avLst/>
                    </a:prstGeom>
                  </pic:spPr>
                </pic:pic>
              </a:graphicData>
            </a:graphic>
          </wp:inline>
        </w:drawing>
      </w:r>
    </w:p>
    <w:p w14:paraId="703D2EA6">
      <w:pPr>
        <w:spacing w:before="165" w:line="360" w:lineRule="auto"/>
        <w:ind w:left="42" w:right="31" w:firstLine="481"/>
        <w:rPr>
          <w:rFonts w:ascii="宋体" w:hAnsi="宋体" w:eastAsia="宋体" w:cs="宋体"/>
          <w:sz w:val="24"/>
          <w:szCs w:val="24"/>
        </w:rPr>
      </w:pPr>
      <w:r>
        <w:rPr>
          <w:rFonts w:ascii="宋体" w:hAnsi="宋体" w:eastAsia="宋体" w:cs="宋体"/>
          <w:b/>
          <w:bCs/>
          <w:spacing w:val="1"/>
          <w:sz w:val="24"/>
          <w:szCs w:val="24"/>
        </w:rPr>
        <w:t>单位土地养分需求量、施肥比例、粪肥占施肥比例和粪肥当季利用效率的</w:t>
      </w:r>
      <w:r>
        <w:rPr>
          <w:rFonts w:ascii="宋体" w:hAnsi="宋体" w:eastAsia="宋体" w:cs="宋体"/>
          <w:b/>
          <w:bCs/>
          <w:spacing w:val="-8"/>
          <w:sz w:val="24"/>
          <w:szCs w:val="24"/>
        </w:rPr>
        <w:t>各项参数取值介绍如下：</w:t>
      </w:r>
    </w:p>
    <w:p w14:paraId="1AC4D90B">
      <w:pPr>
        <w:spacing w:line="212" w:lineRule="auto"/>
        <w:ind w:left="521"/>
        <w:rPr>
          <w:rFonts w:ascii="宋体" w:hAnsi="宋体" w:eastAsia="宋体" w:cs="宋体"/>
          <w:sz w:val="24"/>
          <w:szCs w:val="24"/>
        </w:rPr>
      </w:pPr>
      <w:r>
        <w:rPr>
          <w:rFonts w:ascii="Times New Roman" w:hAnsi="Times New Roman" w:eastAsia="Times New Roman" w:cs="Times New Roman"/>
          <w:b/>
          <w:bCs/>
          <w:spacing w:val="-2"/>
          <w:sz w:val="24"/>
          <w:szCs w:val="24"/>
        </w:rPr>
        <w:t>(a)</w:t>
      </w:r>
      <w:r>
        <w:rPr>
          <w:rFonts w:ascii="宋体" w:hAnsi="宋体" w:eastAsia="宋体" w:cs="宋体"/>
          <w:b/>
          <w:bCs/>
          <w:spacing w:val="-2"/>
          <w:sz w:val="24"/>
          <w:szCs w:val="24"/>
        </w:rPr>
        <w:t>单位土地养分需求量参数</w:t>
      </w:r>
    </w:p>
    <w:p w14:paraId="776420A5">
      <w:pPr>
        <w:spacing w:before="193" w:line="360" w:lineRule="auto"/>
        <w:ind w:left="39" w:right="29" w:firstLine="481"/>
        <w:jc w:val="both"/>
        <w:rPr>
          <w:rFonts w:ascii="宋体" w:hAnsi="宋体" w:eastAsia="宋体" w:cs="宋体"/>
          <w:sz w:val="24"/>
          <w:szCs w:val="24"/>
        </w:rPr>
      </w:pPr>
      <w:r>
        <w:rPr>
          <w:rFonts w:ascii="宋体" w:hAnsi="宋体" w:eastAsia="宋体" w:cs="宋体"/>
          <w:spacing w:val="4"/>
          <w:sz w:val="24"/>
          <w:szCs w:val="24"/>
        </w:rPr>
        <w:t>单位土地养分需求量为规模养殖场单位面积配套土地种植的各类作物在目</w:t>
      </w:r>
      <w:r>
        <w:rPr>
          <w:rFonts w:ascii="宋体" w:hAnsi="宋体" w:eastAsia="宋体" w:cs="宋体"/>
          <w:spacing w:val="-3"/>
          <w:sz w:val="24"/>
          <w:szCs w:val="24"/>
        </w:rPr>
        <w:t>标产量下的氮（磷）养分需求量之和，各类作物的目标产品可以根据当地平均产</w:t>
      </w:r>
      <w:r>
        <w:rPr>
          <w:rFonts w:ascii="宋体" w:hAnsi="宋体" w:eastAsia="宋体" w:cs="宋体"/>
          <w:spacing w:val="-9"/>
          <w:sz w:val="24"/>
          <w:szCs w:val="24"/>
        </w:rPr>
        <w:t>量确定。</w:t>
      </w:r>
    </w:p>
    <w:p w14:paraId="2E4BE4EB">
      <w:pPr>
        <w:spacing w:before="3" w:line="356" w:lineRule="auto"/>
        <w:ind w:left="38" w:right="28" w:firstLine="487"/>
        <w:rPr>
          <w:rFonts w:ascii="宋体" w:hAnsi="宋体" w:eastAsia="宋体" w:cs="宋体"/>
          <w:sz w:val="24"/>
          <w:szCs w:val="24"/>
        </w:rPr>
      </w:pPr>
      <w:r>
        <w:rPr>
          <w:rFonts w:ascii="宋体" w:hAnsi="宋体" w:eastAsia="宋体" w:cs="宋体"/>
          <w:b/>
          <w:bCs/>
          <w:sz w:val="24"/>
          <w:szCs w:val="24"/>
        </w:rPr>
        <w:t>天冬</w:t>
      </w:r>
      <w:r>
        <w:rPr>
          <w:rFonts w:ascii="宋体" w:hAnsi="宋体" w:eastAsia="宋体" w:cs="宋体"/>
          <w:sz w:val="24"/>
          <w:szCs w:val="24"/>
        </w:rPr>
        <w:t>：属于中药材，氮、磷量推荐值参照“技术指南”表</w:t>
      </w:r>
      <w:r>
        <w:rPr>
          <w:rFonts w:ascii="Times New Roman" w:hAnsi="Times New Roman" w:eastAsia="Times New Roman" w:cs="Times New Roman"/>
          <w:sz w:val="24"/>
          <w:szCs w:val="24"/>
        </w:rPr>
        <w:t>1</w:t>
      </w:r>
      <w:r>
        <w:rPr>
          <w:rFonts w:ascii="宋体" w:hAnsi="宋体" w:eastAsia="宋体" w:cs="宋体"/>
          <w:sz w:val="24"/>
          <w:szCs w:val="24"/>
        </w:rPr>
        <w:t>中经济作物</w:t>
      </w:r>
      <w:r>
        <w:rPr>
          <w:rFonts w:ascii="Times New Roman" w:hAnsi="Times New Roman" w:eastAsia="Times New Roman" w:cs="Times New Roman"/>
          <w:sz w:val="24"/>
          <w:szCs w:val="24"/>
        </w:rPr>
        <w:t>—</w:t>
      </w:r>
      <w:r>
        <w:rPr>
          <w:rFonts w:ascii="宋体" w:hAnsi="宋体" w:eastAsia="宋体" w:cs="宋体"/>
          <w:sz w:val="24"/>
          <w:szCs w:val="24"/>
        </w:rPr>
        <w:t>油</w:t>
      </w:r>
      <w:r>
        <w:rPr>
          <w:rFonts w:ascii="宋体" w:hAnsi="宋体" w:eastAsia="宋体" w:cs="宋体"/>
          <w:spacing w:val="1"/>
          <w:sz w:val="24"/>
          <w:szCs w:val="24"/>
        </w:rPr>
        <w:t>料的吸收氮磷、量推荐值，即每产</w:t>
      </w:r>
      <w:r>
        <w:rPr>
          <w:rFonts w:ascii="Times New Roman" w:hAnsi="Times New Roman" w:eastAsia="Times New Roman" w:cs="Times New Roman"/>
          <w:spacing w:val="1"/>
          <w:sz w:val="24"/>
          <w:szCs w:val="24"/>
        </w:rPr>
        <w:t>100</w:t>
      </w:r>
      <w:r>
        <w:rPr>
          <w:rFonts w:ascii="Times New Roman" w:hAnsi="Times New Roman" w:eastAsia="Times New Roman" w:cs="Times New Roman"/>
          <w:sz w:val="24"/>
          <w:szCs w:val="24"/>
        </w:rPr>
        <w:t>kg</w:t>
      </w:r>
      <w:r>
        <w:rPr>
          <w:rFonts w:ascii="宋体" w:hAnsi="宋体" w:eastAsia="宋体" w:cs="宋体"/>
          <w:spacing w:val="1"/>
          <w:sz w:val="24"/>
          <w:szCs w:val="24"/>
        </w:rPr>
        <w:t>天冬（全株）需要吸收</w:t>
      </w:r>
      <w:r>
        <w:rPr>
          <w:rFonts w:ascii="Times New Roman" w:hAnsi="Times New Roman" w:eastAsia="Times New Roman" w:cs="Times New Roman"/>
          <w:spacing w:val="1"/>
          <w:sz w:val="24"/>
          <w:szCs w:val="24"/>
        </w:rPr>
        <w:t>7.19</w:t>
      </w:r>
      <w:r>
        <w:rPr>
          <w:rFonts w:ascii="Times New Roman" w:hAnsi="Times New Roman" w:eastAsia="Times New Roman" w:cs="Times New Roman"/>
          <w:sz w:val="24"/>
          <w:szCs w:val="24"/>
        </w:rPr>
        <w:t>kg</w:t>
      </w:r>
      <w:r>
        <w:rPr>
          <w:rFonts w:ascii="宋体" w:hAnsi="宋体" w:eastAsia="宋体" w:cs="宋体"/>
          <w:spacing w:val="1"/>
          <w:sz w:val="24"/>
          <w:szCs w:val="24"/>
        </w:rPr>
        <w:t>氮元素、</w:t>
      </w:r>
      <w:r>
        <w:rPr>
          <w:rFonts w:ascii="宋体" w:hAnsi="宋体" w:eastAsia="宋体" w:cs="宋体"/>
          <w:spacing w:val="4"/>
          <w:sz w:val="24"/>
          <w:szCs w:val="24"/>
        </w:rPr>
        <w:t xml:space="preserve"> </w:t>
      </w:r>
      <w:r>
        <w:rPr>
          <w:rFonts w:ascii="Times New Roman" w:hAnsi="Times New Roman" w:eastAsia="Times New Roman" w:cs="Times New Roman"/>
          <w:spacing w:val="-1"/>
          <w:sz w:val="24"/>
          <w:szCs w:val="24"/>
        </w:rPr>
        <w:t>0.887kg</w:t>
      </w:r>
      <w:r>
        <w:rPr>
          <w:rFonts w:ascii="宋体" w:hAnsi="宋体" w:eastAsia="宋体" w:cs="宋体"/>
          <w:spacing w:val="-1"/>
          <w:sz w:val="24"/>
          <w:szCs w:val="24"/>
        </w:rPr>
        <w:t>磷元素，天冬（全株）产量为</w:t>
      </w:r>
      <w:r>
        <w:rPr>
          <w:rFonts w:ascii="Times New Roman" w:hAnsi="Times New Roman" w:eastAsia="Times New Roman" w:cs="Times New Roman"/>
          <w:spacing w:val="-1"/>
          <w:sz w:val="24"/>
          <w:szCs w:val="24"/>
        </w:rPr>
        <w:t>4500kg/</w:t>
      </w:r>
      <w:r>
        <w:rPr>
          <w:rFonts w:ascii="宋体" w:hAnsi="宋体" w:eastAsia="宋体" w:cs="宋体"/>
          <w:spacing w:val="-1"/>
          <w:sz w:val="24"/>
          <w:szCs w:val="24"/>
        </w:rPr>
        <w:t>亩。</w:t>
      </w:r>
    </w:p>
    <w:p w14:paraId="38A70CF2">
      <w:pPr>
        <w:spacing w:before="13" w:line="350" w:lineRule="auto"/>
        <w:ind w:left="39" w:right="31" w:firstLine="485"/>
        <w:rPr>
          <w:rFonts w:ascii="宋体" w:hAnsi="宋体" w:eastAsia="宋体" w:cs="宋体"/>
          <w:sz w:val="24"/>
          <w:szCs w:val="24"/>
        </w:rPr>
      </w:pPr>
      <w:r>
        <w:rPr>
          <w:rFonts w:ascii="宋体" w:hAnsi="宋体" w:eastAsia="宋体" w:cs="宋体"/>
          <w:b/>
          <w:bCs/>
          <w:spacing w:val="-8"/>
          <w:sz w:val="24"/>
          <w:szCs w:val="24"/>
        </w:rPr>
        <w:t>大豆：</w:t>
      </w:r>
      <w:r>
        <w:rPr>
          <w:rFonts w:ascii="宋体" w:hAnsi="宋体" w:eastAsia="宋体" w:cs="宋体"/>
          <w:spacing w:val="-8"/>
          <w:sz w:val="24"/>
          <w:szCs w:val="24"/>
        </w:rPr>
        <w:t>属于大田作物，每产</w:t>
      </w:r>
      <w:r>
        <w:rPr>
          <w:rFonts w:ascii="Times New Roman" w:hAnsi="Times New Roman" w:eastAsia="Times New Roman" w:cs="Times New Roman"/>
          <w:spacing w:val="-8"/>
          <w:sz w:val="24"/>
          <w:szCs w:val="24"/>
        </w:rPr>
        <w:t>100kg</w:t>
      </w:r>
      <w:r>
        <w:rPr>
          <w:rFonts w:ascii="宋体" w:hAnsi="宋体" w:eastAsia="宋体" w:cs="宋体"/>
          <w:spacing w:val="-8"/>
          <w:sz w:val="24"/>
          <w:szCs w:val="24"/>
        </w:rPr>
        <w:t>玉米（全株）需要吸收</w:t>
      </w:r>
      <w:r>
        <w:rPr>
          <w:rFonts w:ascii="Times New Roman" w:hAnsi="Times New Roman" w:eastAsia="Times New Roman" w:cs="Times New Roman"/>
          <w:spacing w:val="-8"/>
          <w:sz w:val="24"/>
          <w:szCs w:val="24"/>
        </w:rPr>
        <w:t>7</w:t>
      </w:r>
      <w:r>
        <w:rPr>
          <w:rFonts w:ascii="Times New Roman" w:hAnsi="Times New Roman" w:eastAsia="Times New Roman" w:cs="Times New Roman"/>
          <w:spacing w:val="-9"/>
          <w:sz w:val="24"/>
          <w:szCs w:val="24"/>
        </w:rPr>
        <w:t>.2kg</w:t>
      </w:r>
      <w:r>
        <w:rPr>
          <w:rFonts w:ascii="宋体" w:hAnsi="宋体" w:eastAsia="宋体" w:cs="宋体"/>
          <w:spacing w:val="-9"/>
          <w:sz w:val="24"/>
          <w:szCs w:val="24"/>
        </w:rPr>
        <w:t>氮元素和</w:t>
      </w:r>
      <w:r>
        <w:rPr>
          <w:rFonts w:ascii="Times New Roman" w:hAnsi="Times New Roman" w:eastAsia="Times New Roman" w:cs="Times New Roman"/>
          <w:spacing w:val="-9"/>
          <w:sz w:val="24"/>
          <w:szCs w:val="24"/>
        </w:rPr>
        <w:t>0.748kg</w:t>
      </w:r>
      <w:r>
        <w:rPr>
          <w:rFonts w:ascii="宋体" w:hAnsi="宋体" w:eastAsia="宋体" w:cs="宋体"/>
          <w:spacing w:val="-2"/>
          <w:sz w:val="24"/>
          <w:szCs w:val="24"/>
        </w:rPr>
        <w:t>磷元素，大豆（全株）产量为</w:t>
      </w:r>
      <w:r>
        <w:rPr>
          <w:rFonts w:ascii="Times New Roman" w:hAnsi="Times New Roman" w:eastAsia="Times New Roman" w:cs="Times New Roman"/>
          <w:spacing w:val="-2"/>
          <w:sz w:val="24"/>
          <w:szCs w:val="24"/>
        </w:rPr>
        <w:t>150kg/</w:t>
      </w:r>
      <w:r>
        <w:rPr>
          <w:rFonts w:ascii="宋体" w:hAnsi="宋体" w:eastAsia="宋体" w:cs="宋体"/>
          <w:spacing w:val="-2"/>
          <w:sz w:val="24"/>
          <w:szCs w:val="24"/>
        </w:rPr>
        <w:t>亩。</w:t>
      </w:r>
    </w:p>
    <w:p w14:paraId="41764BA8">
      <w:pPr>
        <w:spacing w:before="26" w:line="350" w:lineRule="auto"/>
        <w:ind w:left="39" w:right="31" w:firstLine="483"/>
        <w:rPr>
          <w:rFonts w:ascii="宋体" w:hAnsi="宋体" w:eastAsia="宋体" w:cs="宋体"/>
          <w:sz w:val="24"/>
          <w:szCs w:val="24"/>
        </w:rPr>
      </w:pPr>
      <w:r>
        <w:rPr>
          <w:rFonts w:ascii="宋体" w:hAnsi="宋体" w:eastAsia="宋体" w:cs="宋体"/>
          <w:b/>
          <w:bCs/>
          <w:spacing w:val="-3"/>
          <w:sz w:val="24"/>
          <w:szCs w:val="24"/>
        </w:rPr>
        <w:t>玉米：</w:t>
      </w:r>
      <w:r>
        <w:rPr>
          <w:rFonts w:ascii="宋体" w:hAnsi="宋体" w:eastAsia="宋体" w:cs="宋体"/>
          <w:spacing w:val="-3"/>
          <w:sz w:val="24"/>
          <w:szCs w:val="24"/>
        </w:rPr>
        <w:t>属于大田作物，每产</w:t>
      </w:r>
      <w:r>
        <w:rPr>
          <w:rFonts w:ascii="Times New Roman" w:hAnsi="Times New Roman" w:eastAsia="Times New Roman" w:cs="Times New Roman"/>
          <w:spacing w:val="-3"/>
          <w:sz w:val="24"/>
          <w:szCs w:val="24"/>
        </w:rPr>
        <w:t>100kg</w:t>
      </w:r>
      <w:r>
        <w:rPr>
          <w:rFonts w:ascii="宋体" w:hAnsi="宋体" w:eastAsia="宋体" w:cs="宋体"/>
          <w:spacing w:val="-3"/>
          <w:sz w:val="24"/>
          <w:szCs w:val="24"/>
        </w:rPr>
        <w:t>玉米（全株）需要吸收</w:t>
      </w:r>
      <w:r>
        <w:rPr>
          <w:rFonts w:ascii="Times New Roman" w:hAnsi="Times New Roman" w:eastAsia="Times New Roman" w:cs="Times New Roman"/>
          <w:spacing w:val="-3"/>
          <w:sz w:val="24"/>
          <w:szCs w:val="24"/>
        </w:rPr>
        <w:t>2.3kg</w:t>
      </w:r>
      <w:r>
        <w:rPr>
          <w:rFonts w:ascii="宋体" w:hAnsi="宋体" w:eastAsia="宋体" w:cs="宋体"/>
          <w:spacing w:val="-3"/>
          <w:sz w:val="24"/>
          <w:szCs w:val="24"/>
        </w:rPr>
        <w:t>氮元素和</w:t>
      </w:r>
      <w:r>
        <w:rPr>
          <w:rFonts w:ascii="Times New Roman" w:hAnsi="Times New Roman" w:eastAsia="Times New Roman" w:cs="Times New Roman"/>
          <w:spacing w:val="-3"/>
          <w:sz w:val="24"/>
          <w:szCs w:val="24"/>
        </w:rPr>
        <w:t>0.3kg</w:t>
      </w:r>
      <w:r>
        <w:rPr>
          <w:rFonts w:ascii="宋体" w:hAnsi="宋体" w:eastAsia="宋体" w:cs="宋体"/>
          <w:spacing w:val="-2"/>
          <w:sz w:val="24"/>
          <w:szCs w:val="24"/>
        </w:rPr>
        <w:t>磷元素，玉米（全株）产量为</w:t>
      </w:r>
      <w:r>
        <w:rPr>
          <w:rFonts w:ascii="Times New Roman" w:hAnsi="Times New Roman" w:eastAsia="Times New Roman" w:cs="Times New Roman"/>
          <w:spacing w:val="-2"/>
          <w:sz w:val="24"/>
          <w:szCs w:val="24"/>
        </w:rPr>
        <w:t>1400kg/</w:t>
      </w:r>
      <w:r>
        <w:rPr>
          <w:rFonts w:ascii="宋体" w:hAnsi="宋体" w:eastAsia="宋体" w:cs="宋体"/>
          <w:spacing w:val="-2"/>
          <w:sz w:val="24"/>
          <w:szCs w:val="24"/>
        </w:rPr>
        <w:t>亩。</w:t>
      </w:r>
    </w:p>
    <w:p w14:paraId="79B6C0F6">
      <w:pPr>
        <w:spacing w:before="26" w:line="350" w:lineRule="auto"/>
        <w:ind w:left="41" w:right="30" w:firstLine="483"/>
        <w:rPr>
          <w:rFonts w:ascii="宋体" w:hAnsi="宋体" w:eastAsia="宋体" w:cs="宋体"/>
          <w:sz w:val="24"/>
          <w:szCs w:val="24"/>
        </w:rPr>
      </w:pPr>
      <w:r>
        <w:rPr>
          <w:rFonts w:ascii="宋体" w:hAnsi="宋体" w:eastAsia="宋体" w:cs="宋体"/>
          <w:b/>
          <w:bCs/>
          <w:spacing w:val="-1"/>
          <w:sz w:val="24"/>
          <w:szCs w:val="24"/>
        </w:rPr>
        <w:t>油菜：</w:t>
      </w:r>
      <w:r>
        <w:rPr>
          <w:rFonts w:ascii="宋体" w:hAnsi="宋体" w:eastAsia="宋体" w:cs="宋体"/>
          <w:spacing w:val="-1"/>
          <w:sz w:val="24"/>
          <w:szCs w:val="24"/>
        </w:rPr>
        <w:t>属于经济作物，每产</w:t>
      </w:r>
      <w:r>
        <w:rPr>
          <w:rFonts w:ascii="Times New Roman" w:hAnsi="Times New Roman" w:eastAsia="Times New Roman" w:cs="Times New Roman"/>
          <w:spacing w:val="-1"/>
          <w:sz w:val="24"/>
          <w:szCs w:val="24"/>
        </w:rPr>
        <w:t>100kg</w:t>
      </w:r>
      <w:r>
        <w:rPr>
          <w:rFonts w:ascii="宋体" w:hAnsi="宋体" w:eastAsia="宋体" w:cs="宋体"/>
          <w:spacing w:val="-1"/>
          <w:sz w:val="24"/>
          <w:szCs w:val="24"/>
        </w:rPr>
        <w:t>油菜需要吸收</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19kg</w:t>
      </w:r>
      <w:r>
        <w:rPr>
          <w:rFonts w:ascii="宋体" w:hAnsi="宋体" w:eastAsia="宋体" w:cs="宋体"/>
          <w:spacing w:val="-1"/>
          <w:sz w:val="24"/>
          <w:szCs w:val="24"/>
        </w:rPr>
        <w:t>氮元素和</w:t>
      </w:r>
      <w:r>
        <w:rPr>
          <w:rFonts w:ascii="Times New Roman" w:hAnsi="Times New Roman" w:eastAsia="Times New Roman" w:cs="Times New Roman"/>
          <w:spacing w:val="-1"/>
          <w:sz w:val="24"/>
          <w:szCs w:val="24"/>
        </w:rPr>
        <w:t>0.887kg</w:t>
      </w:r>
      <w:r>
        <w:rPr>
          <w:rFonts w:ascii="宋体" w:hAnsi="宋体" w:eastAsia="宋体" w:cs="宋体"/>
          <w:spacing w:val="-1"/>
          <w:sz w:val="24"/>
          <w:szCs w:val="24"/>
        </w:rPr>
        <w:t>磷元</w:t>
      </w:r>
      <w:r>
        <w:rPr>
          <w:rFonts w:ascii="宋体" w:hAnsi="宋体" w:eastAsia="宋体" w:cs="宋体"/>
          <w:spacing w:val="-2"/>
          <w:sz w:val="24"/>
          <w:szCs w:val="24"/>
        </w:rPr>
        <w:t>素，油菜（全株）产量为</w:t>
      </w:r>
      <w:r>
        <w:rPr>
          <w:rFonts w:ascii="Times New Roman" w:hAnsi="Times New Roman" w:eastAsia="Times New Roman" w:cs="Times New Roman"/>
          <w:spacing w:val="-2"/>
          <w:sz w:val="24"/>
          <w:szCs w:val="24"/>
        </w:rPr>
        <w:t>400kg/</w:t>
      </w:r>
      <w:r>
        <w:rPr>
          <w:rFonts w:ascii="宋体" w:hAnsi="宋体" w:eastAsia="宋体" w:cs="宋体"/>
          <w:spacing w:val="-2"/>
          <w:sz w:val="24"/>
          <w:szCs w:val="24"/>
        </w:rPr>
        <w:t>亩。</w:t>
      </w:r>
    </w:p>
    <w:p w14:paraId="6BEC3136">
      <w:pPr>
        <w:spacing w:before="25" w:line="212" w:lineRule="auto"/>
        <w:ind w:left="521"/>
        <w:rPr>
          <w:rFonts w:ascii="宋体" w:hAnsi="宋体" w:eastAsia="宋体" w:cs="宋体"/>
          <w:sz w:val="24"/>
          <w:szCs w:val="24"/>
        </w:rPr>
      </w:pPr>
      <w:r>
        <w:rPr>
          <w:rFonts w:ascii="Times New Roman" w:hAnsi="Times New Roman" w:eastAsia="Times New Roman" w:cs="Times New Roman"/>
          <w:b/>
          <w:bCs/>
          <w:spacing w:val="-2"/>
          <w:sz w:val="24"/>
          <w:szCs w:val="24"/>
        </w:rPr>
        <w:t>(b)</w:t>
      </w:r>
      <w:r>
        <w:rPr>
          <w:rFonts w:ascii="宋体" w:hAnsi="宋体" w:eastAsia="宋体" w:cs="宋体"/>
          <w:b/>
          <w:bCs/>
          <w:spacing w:val="-2"/>
          <w:sz w:val="24"/>
          <w:szCs w:val="24"/>
        </w:rPr>
        <w:t>施肥供给养分占比、粪肥占施肥比例参数</w:t>
      </w:r>
    </w:p>
    <w:p w14:paraId="7FE1B6B2">
      <w:pPr>
        <w:spacing w:line="212" w:lineRule="auto"/>
        <w:rPr>
          <w:rFonts w:ascii="宋体" w:hAnsi="宋体" w:eastAsia="宋体" w:cs="宋体"/>
          <w:sz w:val="24"/>
          <w:szCs w:val="24"/>
        </w:rPr>
        <w:sectPr>
          <w:headerReference r:id="rId337" w:type="default"/>
          <w:footerReference r:id="rId338" w:type="default"/>
          <w:pgSz w:w="11905" w:h="16840"/>
          <w:pgMar w:top="1168" w:right="1768" w:bottom="1409" w:left="1770" w:header="828" w:footer="1244" w:gutter="0"/>
          <w:cols w:space="720" w:num="1"/>
        </w:sectPr>
      </w:pPr>
    </w:p>
    <w:p w14:paraId="0F100ED1">
      <w:pPr>
        <w:pStyle w:val="2"/>
        <w:spacing w:line="306" w:lineRule="auto"/>
      </w:pPr>
    </w:p>
    <w:p w14:paraId="543B00F2">
      <w:pPr>
        <w:spacing w:before="78" w:line="360" w:lineRule="auto"/>
        <w:ind w:left="39" w:right="188" w:firstLine="479"/>
        <w:rPr>
          <w:rFonts w:ascii="宋体" w:hAnsi="宋体" w:eastAsia="宋体" w:cs="宋体"/>
          <w:sz w:val="24"/>
          <w:szCs w:val="24"/>
        </w:rPr>
      </w:pPr>
      <w:r>
        <w:rPr>
          <w:rFonts w:ascii="宋体" w:hAnsi="宋体" w:eastAsia="宋体" w:cs="宋体"/>
          <w:spacing w:val="-1"/>
          <w:sz w:val="24"/>
          <w:szCs w:val="24"/>
        </w:rPr>
        <w:t>施肥供给养分占比可以根据《畜禽粪污土地承载力测算技术指南》中表</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w:t>
      </w:r>
      <w:r>
        <w:rPr>
          <w:rFonts w:ascii="宋体" w:hAnsi="宋体" w:eastAsia="宋体" w:cs="宋体"/>
          <w:spacing w:val="-6"/>
          <w:sz w:val="24"/>
          <w:szCs w:val="24"/>
        </w:rPr>
        <w:t>结合土壤氮、磷含量确定， 本评价从不利原则考虑，按消</w:t>
      </w:r>
      <w:r>
        <w:rPr>
          <w:rFonts w:ascii="宋体" w:hAnsi="宋体" w:eastAsia="宋体" w:cs="宋体"/>
          <w:spacing w:val="-7"/>
          <w:sz w:val="24"/>
          <w:szCs w:val="24"/>
        </w:rPr>
        <w:t>纳地土壤氮、磷养分分</w:t>
      </w:r>
      <w:r>
        <w:rPr>
          <w:rFonts w:ascii="宋体" w:hAnsi="宋体" w:eastAsia="宋体" w:cs="宋体"/>
          <w:spacing w:val="-3"/>
          <w:sz w:val="24"/>
          <w:szCs w:val="24"/>
        </w:rPr>
        <w:t>级为Ⅰ类，即施肥供给占比值最小（</w:t>
      </w:r>
      <w:r>
        <w:rPr>
          <w:rFonts w:ascii="Times New Roman" w:hAnsi="Times New Roman" w:eastAsia="Times New Roman" w:cs="Times New Roman"/>
          <w:spacing w:val="-3"/>
          <w:sz w:val="24"/>
          <w:szCs w:val="24"/>
        </w:rPr>
        <w:t>35%</w:t>
      </w:r>
      <w:r>
        <w:rPr>
          <w:rFonts w:ascii="宋体" w:hAnsi="宋体" w:eastAsia="宋体" w:cs="宋体"/>
          <w:spacing w:val="-3"/>
          <w:sz w:val="24"/>
          <w:szCs w:val="24"/>
        </w:rPr>
        <w:t>）。鉴于本项目污水处理站出水中氮、</w:t>
      </w:r>
      <w:r>
        <w:rPr>
          <w:rFonts w:ascii="宋体" w:hAnsi="宋体" w:eastAsia="宋体" w:cs="宋体"/>
          <w:spacing w:val="-2"/>
          <w:sz w:val="24"/>
          <w:szCs w:val="24"/>
        </w:rPr>
        <w:t>磷元素含量相对较低，粪肥占施肥比例按</w:t>
      </w:r>
      <w:r>
        <w:rPr>
          <w:rFonts w:ascii="Times New Roman" w:hAnsi="Times New Roman" w:eastAsia="Times New Roman" w:cs="Times New Roman"/>
          <w:spacing w:val="-2"/>
          <w:sz w:val="24"/>
          <w:szCs w:val="24"/>
        </w:rPr>
        <w:t>50%</w:t>
      </w:r>
      <w:r>
        <w:rPr>
          <w:rFonts w:ascii="宋体" w:hAnsi="宋体" w:eastAsia="宋体" w:cs="宋体"/>
          <w:spacing w:val="-2"/>
          <w:sz w:val="24"/>
          <w:szCs w:val="24"/>
        </w:rPr>
        <w:t>取值。</w:t>
      </w:r>
    </w:p>
    <w:p w14:paraId="4E455F25">
      <w:pPr>
        <w:spacing w:line="212" w:lineRule="auto"/>
        <w:ind w:left="522"/>
        <w:rPr>
          <w:rFonts w:ascii="宋体" w:hAnsi="宋体" w:eastAsia="宋体" w:cs="宋体"/>
          <w:sz w:val="24"/>
          <w:szCs w:val="24"/>
        </w:rPr>
      </w:pPr>
      <w:r>
        <w:rPr>
          <w:rFonts w:ascii="Times New Roman" w:hAnsi="Times New Roman" w:eastAsia="Times New Roman" w:cs="Times New Roman"/>
          <w:b/>
          <w:bCs/>
          <w:spacing w:val="-3"/>
          <w:sz w:val="24"/>
          <w:szCs w:val="24"/>
        </w:rPr>
        <w:t>(c)</w:t>
      </w:r>
      <w:r>
        <w:rPr>
          <w:rFonts w:ascii="宋体" w:hAnsi="宋体" w:eastAsia="宋体" w:cs="宋体"/>
          <w:b/>
          <w:bCs/>
          <w:spacing w:val="-3"/>
          <w:sz w:val="24"/>
          <w:szCs w:val="24"/>
        </w:rPr>
        <w:t>粪肥当季利用率参数</w:t>
      </w:r>
    </w:p>
    <w:p w14:paraId="37CF7FA1">
      <w:pPr>
        <w:spacing w:before="192" w:line="360" w:lineRule="auto"/>
        <w:ind w:left="41" w:right="194" w:firstLine="478"/>
        <w:jc w:val="both"/>
        <w:rPr>
          <w:rFonts w:ascii="宋体" w:hAnsi="宋体" w:eastAsia="宋体" w:cs="宋体"/>
          <w:sz w:val="24"/>
          <w:szCs w:val="24"/>
        </w:rPr>
      </w:pPr>
      <w:r>
        <w:rPr>
          <w:rFonts w:ascii="宋体" w:hAnsi="宋体" w:eastAsia="宋体" w:cs="宋体"/>
          <w:spacing w:val="-3"/>
          <w:sz w:val="24"/>
          <w:szCs w:val="24"/>
        </w:rPr>
        <w:t>根据《畜禽粪污土地承载力测算技术指南》，</w:t>
      </w:r>
      <w:r>
        <w:rPr>
          <w:rFonts w:ascii="宋体" w:hAnsi="宋体" w:eastAsia="宋体" w:cs="宋体"/>
          <w:spacing w:val="-4"/>
          <w:sz w:val="24"/>
          <w:szCs w:val="24"/>
        </w:rPr>
        <w:t>粪肥中氮素当季利用率推荐值</w:t>
      </w:r>
      <w:r>
        <w:rPr>
          <w:rFonts w:ascii="宋体" w:hAnsi="宋体" w:eastAsia="宋体" w:cs="宋体"/>
          <w:sz w:val="24"/>
          <w:szCs w:val="24"/>
        </w:rPr>
        <w:t>为</w:t>
      </w:r>
      <w:r>
        <w:rPr>
          <w:rFonts w:ascii="Times New Roman" w:hAnsi="Times New Roman" w:eastAsia="Times New Roman" w:cs="Times New Roman"/>
          <w:sz w:val="24"/>
          <w:szCs w:val="24"/>
        </w:rPr>
        <w:t>25%~30%</w:t>
      </w:r>
      <w:r>
        <w:rPr>
          <w:rFonts w:ascii="宋体" w:hAnsi="宋体" w:eastAsia="宋体" w:cs="宋体"/>
          <w:sz w:val="24"/>
          <w:szCs w:val="24"/>
        </w:rPr>
        <w:t>，磷素当季利用率推荐值为</w:t>
      </w:r>
      <w:r>
        <w:rPr>
          <w:rFonts w:ascii="Times New Roman" w:hAnsi="Times New Roman" w:eastAsia="Times New Roman" w:cs="Times New Roman"/>
          <w:sz w:val="24"/>
          <w:szCs w:val="24"/>
        </w:rPr>
        <w:t>30%~35%</w:t>
      </w:r>
      <w:r>
        <w:rPr>
          <w:rFonts w:ascii="宋体" w:hAnsi="宋体" w:eastAsia="宋体" w:cs="宋体"/>
          <w:sz w:val="24"/>
          <w:szCs w:val="24"/>
        </w:rPr>
        <w:t>，本次评价氮素、磷素当季利</w:t>
      </w:r>
      <w:r>
        <w:rPr>
          <w:rFonts w:ascii="宋体" w:hAnsi="宋体" w:eastAsia="宋体" w:cs="宋体"/>
          <w:spacing w:val="-3"/>
          <w:sz w:val="24"/>
          <w:szCs w:val="24"/>
        </w:rPr>
        <w:t>用率分别取值</w:t>
      </w:r>
      <w:r>
        <w:rPr>
          <w:rFonts w:ascii="Times New Roman" w:hAnsi="Times New Roman" w:eastAsia="Times New Roman" w:cs="Times New Roman"/>
          <w:spacing w:val="-3"/>
          <w:sz w:val="24"/>
          <w:szCs w:val="24"/>
        </w:rPr>
        <w:t>25%</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30%</w:t>
      </w:r>
      <w:r>
        <w:rPr>
          <w:rFonts w:ascii="宋体" w:hAnsi="宋体" w:eastAsia="宋体" w:cs="宋体"/>
          <w:spacing w:val="-3"/>
          <w:sz w:val="24"/>
          <w:szCs w:val="24"/>
        </w:rPr>
        <w:t>。</w:t>
      </w:r>
    </w:p>
    <w:p w14:paraId="524A1354">
      <w:pPr>
        <w:spacing w:line="212" w:lineRule="auto"/>
        <w:ind w:left="522"/>
        <w:rPr>
          <w:rFonts w:ascii="宋体" w:hAnsi="宋体" w:eastAsia="宋体" w:cs="宋体"/>
          <w:sz w:val="24"/>
          <w:szCs w:val="24"/>
        </w:rPr>
      </w:pPr>
      <w:r>
        <w:rPr>
          <w:rFonts w:ascii="Times New Roman" w:hAnsi="Times New Roman" w:eastAsia="Times New Roman" w:cs="Times New Roman"/>
          <w:b/>
          <w:bCs/>
          <w:spacing w:val="-2"/>
          <w:sz w:val="24"/>
          <w:szCs w:val="24"/>
        </w:rPr>
        <w:t>(d)</w:t>
      </w:r>
      <w:r>
        <w:rPr>
          <w:rFonts w:ascii="宋体" w:hAnsi="宋体" w:eastAsia="宋体" w:cs="宋体"/>
          <w:b/>
          <w:bCs/>
          <w:spacing w:val="-2"/>
          <w:sz w:val="24"/>
          <w:szCs w:val="24"/>
        </w:rPr>
        <w:t>单位土地粪肥养分需求量计算</w:t>
      </w:r>
    </w:p>
    <w:p w14:paraId="002F5BA8">
      <w:pPr>
        <w:spacing w:before="192" w:line="219" w:lineRule="auto"/>
        <w:ind w:left="519"/>
        <w:rPr>
          <w:rFonts w:ascii="宋体" w:hAnsi="宋体" w:eastAsia="宋体" w:cs="宋体"/>
          <w:sz w:val="24"/>
          <w:szCs w:val="24"/>
        </w:rPr>
      </w:pPr>
      <w:r>
        <w:rPr>
          <w:rFonts w:ascii="宋体" w:hAnsi="宋体" w:eastAsia="宋体" w:cs="宋体"/>
          <w:spacing w:val="-2"/>
          <w:sz w:val="24"/>
          <w:szCs w:val="24"/>
        </w:rPr>
        <w:t>计算出本项目消纳地各种作物的单位土地粪肥养分需求量，如下。</w:t>
      </w:r>
    </w:p>
    <w:p w14:paraId="7C7F4D9D">
      <w:pPr>
        <w:spacing w:before="197" w:line="221" w:lineRule="auto"/>
        <w:ind w:left="205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1"/>
          <w:sz w:val="21"/>
          <w:szCs w:val="21"/>
        </w:rPr>
        <w:t xml:space="preserve"> </w:t>
      </w:r>
      <w:r>
        <w:rPr>
          <w:rFonts w:ascii="Times New Roman" w:hAnsi="Times New Roman" w:eastAsia="Times New Roman" w:cs="Times New Roman"/>
          <w:spacing w:val="-1"/>
          <w:sz w:val="21"/>
          <w:szCs w:val="21"/>
        </w:rPr>
        <w:t xml:space="preserve">4.2-27  </w:t>
      </w:r>
      <w:r>
        <w:rPr>
          <w:rFonts w:ascii="黑体" w:hAnsi="黑体" w:eastAsia="黑体" w:cs="黑体"/>
          <w:spacing w:val="-1"/>
          <w:sz w:val="21"/>
          <w:szCs w:val="21"/>
        </w:rPr>
        <w:t>单位土地粪肥养分需求量计算一览表</w:t>
      </w:r>
    </w:p>
    <w:p w14:paraId="505536E0">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883"/>
        <w:gridCol w:w="927"/>
        <w:gridCol w:w="927"/>
        <w:gridCol w:w="959"/>
        <w:gridCol w:w="850"/>
        <w:gridCol w:w="736"/>
        <w:gridCol w:w="736"/>
        <w:gridCol w:w="798"/>
        <w:gridCol w:w="802"/>
      </w:tblGrid>
      <w:tr w14:paraId="77239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02" w:type="dxa"/>
            <w:vMerge w:val="restart"/>
            <w:tcBorders>
              <w:bottom w:val="nil"/>
            </w:tcBorders>
            <w:vAlign w:val="top"/>
          </w:tcPr>
          <w:p w14:paraId="1A88AFF4">
            <w:pPr>
              <w:spacing w:before="230" w:line="276" w:lineRule="auto"/>
              <w:ind w:left="145" w:right="139"/>
              <w:rPr>
                <w:rFonts w:ascii="宋体" w:hAnsi="宋体" w:eastAsia="宋体" w:cs="宋体"/>
                <w:sz w:val="21"/>
                <w:szCs w:val="21"/>
              </w:rPr>
            </w:pPr>
            <w:r>
              <w:rPr>
                <w:rFonts w:ascii="宋体" w:hAnsi="宋体" w:eastAsia="宋体" w:cs="宋体"/>
                <w:spacing w:val="-5"/>
                <w:sz w:val="21"/>
                <w:szCs w:val="21"/>
              </w:rPr>
              <w:t>种植类型</w:t>
            </w:r>
          </w:p>
        </w:tc>
        <w:tc>
          <w:tcPr>
            <w:tcW w:w="883" w:type="dxa"/>
            <w:vMerge w:val="restart"/>
            <w:tcBorders>
              <w:bottom w:val="nil"/>
            </w:tcBorders>
            <w:vAlign w:val="top"/>
          </w:tcPr>
          <w:p w14:paraId="40723C6D">
            <w:pPr>
              <w:pStyle w:val="6"/>
              <w:spacing w:before="230" w:line="272" w:lineRule="auto"/>
              <w:ind w:left="134" w:right="22" w:hanging="71"/>
            </w:pPr>
            <w:r>
              <w:rPr>
                <w:rFonts w:ascii="宋体" w:hAnsi="宋体" w:eastAsia="宋体" w:cs="宋体"/>
                <w:spacing w:val="-13"/>
              </w:rPr>
              <w:t>目标产量</w:t>
            </w:r>
            <w:r>
              <w:rPr>
                <w:spacing w:val="-2"/>
              </w:rPr>
              <w:t>(kg/</w:t>
            </w:r>
            <w:r>
              <w:rPr>
                <w:rFonts w:ascii="宋体" w:hAnsi="宋体" w:eastAsia="宋体" w:cs="宋体"/>
                <w:spacing w:val="-2"/>
              </w:rPr>
              <w:t>亩</w:t>
            </w:r>
            <w:r>
              <w:rPr>
                <w:spacing w:val="-2"/>
              </w:rPr>
              <w:t>)</w:t>
            </w:r>
          </w:p>
        </w:tc>
        <w:tc>
          <w:tcPr>
            <w:tcW w:w="1854" w:type="dxa"/>
            <w:gridSpan w:val="2"/>
            <w:vAlign w:val="top"/>
          </w:tcPr>
          <w:p w14:paraId="51355A22">
            <w:pPr>
              <w:pStyle w:val="6"/>
              <w:spacing w:before="55" w:line="249" w:lineRule="auto"/>
              <w:ind w:left="98" w:right="34" w:hanging="58"/>
              <w:rPr>
                <w:rFonts w:ascii="宋体" w:hAnsi="宋体" w:eastAsia="宋体" w:cs="宋体"/>
              </w:rPr>
            </w:pPr>
            <w:r>
              <w:rPr>
                <w:rFonts w:ascii="宋体" w:hAnsi="宋体" w:eastAsia="宋体" w:cs="宋体"/>
                <w:spacing w:val="-2"/>
              </w:rPr>
              <w:t>形成</w:t>
            </w:r>
            <w:r>
              <w:rPr>
                <w:spacing w:val="-2"/>
              </w:rPr>
              <w:t>100kg</w:t>
            </w:r>
            <w:r>
              <w:rPr>
                <w:rFonts w:ascii="宋体" w:hAnsi="宋体" w:eastAsia="宋体" w:cs="宋体"/>
                <w:spacing w:val="-2"/>
              </w:rPr>
              <w:t>产量需要吸收的养分（</w:t>
            </w:r>
            <w:r>
              <w:rPr>
                <w:spacing w:val="-2"/>
              </w:rPr>
              <w:t>kg</w:t>
            </w:r>
            <w:r>
              <w:rPr>
                <w:rFonts w:ascii="宋体" w:hAnsi="宋体" w:eastAsia="宋体" w:cs="宋体"/>
                <w:spacing w:val="-2"/>
              </w:rPr>
              <w:t>）</w:t>
            </w:r>
          </w:p>
        </w:tc>
        <w:tc>
          <w:tcPr>
            <w:tcW w:w="959" w:type="dxa"/>
            <w:vMerge w:val="restart"/>
            <w:tcBorders>
              <w:bottom w:val="nil"/>
            </w:tcBorders>
            <w:vAlign w:val="top"/>
          </w:tcPr>
          <w:p w14:paraId="778521F9">
            <w:pPr>
              <w:spacing w:before="73" w:line="219" w:lineRule="auto"/>
              <w:ind w:left="63"/>
              <w:rPr>
                <w:rFonts w:ascii="宋体" w:hAnsi="宋体" w:eastAsia="宋体" w:cs="宋体"/>
                <w:sz w:val="21"/>
                <w:szCs w:val="21"/>
              </w:rPr>
            </w:pPr>
            <w:r>
              <w:rPr>
                <w:rFonts w:ascii="宋体" w:hAnsi="宋体" w:eastAsia="宋体" w:cs="宋体"/>
                <w:spacing w:val="-2"/>
                <w:sz w:val="21"/>
                <w:szCs w:val="21"/>
              </w:rPr>
              <w:t>施肥供给</w:t>
            </w:r>
          </w:p>
          <w:p w14:paraId="1DB24167">
            <w:pPr>
              <w:spacing w:before="62" w:line="220" w:lineRule="auto"/>
              <w:ind w:left="65"/>
              <w:rPr>
                <w:rFonts w:ascii="宋体" w:hAnsi="宋体" w:eastAsia="宋体" w:cs="宋体"/>
                <w:sz w:val="21"/>
                <w:szCs w:val="21"/>
              </w:rPr>
            </w:pPr>
            <w:r>
              <w:rPr>
                <w:rFonts w:ascii="宋体" w:hAnsi="宋体" w:eastAsia="宋体" w:cs="宋体"/>
                <w:spacing w:val="-2"/>
                <w:sz w:val="21"/>
                <w:szCs w:val="21"/>
              </w:rPr>
              <w:t>养分占比</w:t>
            </w:r>
          </w:p>
          <w:p w14:paraId="6C120FBD">
            <w:pPr>
              <w:pStyle w:val="6"/>
              <w:spacing w:before="94" w:line="192" w:lineRule="auto"/>
              <w:ind w:left="327"/>
            </w:pPr>
            <w:r>
              <w:rPr>
                <w:spacing w:val="-3"/>
              </w:rPr>
              <w:t>(%)</w:t>
            </w:r>
          </w:p>
        </w:tc>
        <w:tc>
          <w:tcPr>
            <w:tcW w:w="850" w:type="dxa"/>
            <w:vMerge w:val="restart"/>
            <w:tcBorders>
              <w:bottom w:val="nil"/>
            </w:tcBorders>
            <w:vAlign w:val="top"/>
          </w:tcPr>
          <w:p w14:paraId="4D80039D">
            <w:pPr>
              <w:spacing w:before="73" w:line="276" w:lineRule="auto"/>
              <w:ind w:left="114" w:right="2" w:hanging="102"/>
              <w:rPr>
                <w:rFonts w:ascii="宋体" w:hAnsi="宋体" w:eastAsia="宋体" w:cs="宋体"/>
                <w:sz w:val="21"/>
                <w:szCs w:val="21"/>
              </w:rPr>
            </w:pPr>
            <w:r>
              <w:rPr>
                <w:rFonts w:ascii="宋体" w:hAnsi="宋体" w:eastAsia="宋体" w:cs="宋体"/>
                <w:spacing w:val="-3"/>
                <w:sz w:val="21"/>
                <w:szCs w:val="21"/>
              </w:rPr>
              <w:t>粪肥占施</w:t>
            </w:r>
            <w:r>
              <w:rPr>
                <w:rFonts w:ascii="宋体" w:hAnsi="宋体" w:eastAsia="宋体" w:cs="宋体"/>
                <w:spacing w:val="-2"/>
                <w:sz w:val="21"/>
                <w:szCs w:val="21"/>
              </w:rPr>
              <w:t>肥比例</w:t>
            </w:r>
          </w:p>
          <w:p w14:paraId="56546D85">
            <w:pPr>
              <w:pStyle w:val="6"/>
              <w:spacing w:before="28" w:line="192" w:lineRule="auto"/>
              <w:ind w:left="273"/>
            </w:pPr>
            <w:r>
              <w:rPr>
                <w:spacing w:val="-3"/>
              </w:rPr>
              <w:t>(%)</w:t>
            </w:r>
          </w:p>
        </w:tc>
        <w:tc>
          <w:tcPr>
            <w:tcW w:w="1472" w:type="dxa"/>
            <w:gridSpan w:val="2"/>
            <w:vAlign w:val="top"/>
          </w:tcPr>
          <w:p w14:paraId="34ACD6A4">
            <w:pPr>
              <w:pStyle w:val="6"/>
              <w:spacing w:before="55" w:line="249" w:lineRule="auto"/>
              <w:ind w:left="340" w:right="102" w:hanging="226"/>
              <w:rPr>
                <w:rFonts w:ascii="宋体" w:hAnsi="宋体" w:eastAsia="宋体" w:cs="宋体"/>
              </w:rPr>
            </w:pPr>
            <w:r>
              <w:rPr>
                <w:rFonts w:ascii="宋体" w:hAnsi="宋体" w:eastAsia="宋体" w:cs="宋体"/>
                <w:spacing w:val="-2"/>
              </w:rPr>
              <w:t>粪肥当季利用</w:t>
            </w:r>
            <w:r>
              <w:rPr>
                <w:rFonts w:ascii="宋体" w:hAnsi="宋体" w:eastAsia="宋体" w:cs="宋体"/>
                <w:spacing w:val="-3"/>
              </w:rPr>
              <w:t>率（</w:t>
            </w:r>
            <w:r>
              <w:rPr>
                <w:spacing w:val="-3"/>
              </w:rPr>
              <w:t>%</w:t>
            </w:r>
            <w:r>
              <w:rPr>
                <w:rFonts w:ascii="宋体" w:hAnsi="宋体" w:eastAsia="宋体" w:cs="宋体"/>
                <w:spacing w:val="-3"/>
              </w:rPr>
              <w:t>）</w:t>
            </w:r>
          </w:p>
        </w:tc>
        <w:tc>
          <w:tcPr>
            <w:tcW w:w="1600" w:type="dxa"/>
            <w:gridSpan w:val="2"/>
            <w:vAlign w:val="top"/>
          </w:tcPr>
          <w:p w14:paraId="46AB7332">
            <w:pPr>
              <w:pStyle w:val="6"/>
              <w:spacing w:before="55" w:line="249" w:lineRule="auto"/>
              <w:ind w:left="186" w:right="167" w:hanging="11"/>
              <w:rPr>
                <w:rFonts w:ascii="宋体" w:hAnsi="宋体" w:eastAsia="宋体" w:cs="宋体"/>
              </w:rPr>
            </w:pPr>
            <w:r>
              <w:rPr>
                <w:rFonts w:ascii="宋体" w:hAnsi="宋体" w:eastAsia="宋体" w:cs="宋体"/>
                <w:spacing w:val="-2"/>
              </w:rPr>
              <w:t>每亩土地养分</w:t>
            </w:r>
            <w:r>
              <w:rPr>
                <w:rFonts w:ascii="宋体" w:hAnsi="宋体" w:eastAsia="宋体" w:cs="宋体"/>
                <w:spacing w:val="-5"/>
              </w:rPr>
              <w:t>需求量（</w:t>
            </w:r>
            <w:r>
              <w:rPr>
                <w:spacing w:val="-5"/>
              </w:rPr>
              <w:t>kg</w:t>
            </w:r>
            <w:r>
              <w:rPr>
                <w:rFonts w:ascii="宋体" w:hAnsi="宋体" w:eastAsia="宋体" w:cs="宋体"/>
                <w:spacing w:val="-5"/>
              </w:rPr>
              <w:t>）</w:t>
            </w:r>
          </w:p>
        </w:tc>
      </w:tr>
      <w:tr w14:paraId="64AC6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2" w:type="dxa"/>
            <w:vMerge w:val="continue"/>
            <w:tcBorders>
              <w:top w:val="nil"/>
            </w:tcBorders>
            <w:vAlign w:val="top"/>
          </w:tcPr>
          <w:p w14:paraId="60BF554F">
            <w:pPr>
              <w:rPr>
                <w:rFonts w:ascii="Arial"/>
                <w:sz w:val="21"/>
              </w:rPr>
            </w:pPr>
          </w:p>
        </w:tc>
        <w:tc>
          <w:tcPr>
            <w:tcW w:w="883" w:type="dxa"/>
            <w:vMerge w:val="continue"/>
            <w:tcBorders>
              <w:top w:val="nil"/>
            </w:tcBorders>
            <w:vAlign w:val="top"/>
          </w:tcPr>
          <w:p w14:paraId="38ADE073">
            <w:pPr>
              <w:rPr>
                <w:rFonts w:ascii="Arial"/>
                <w:sz w:val="21"/>
              </w:rPr>
            </w:pPr>
          </w:p>
        </w:tc>
        <w:tc>
          <w:tcPr>
            <w:tcW w:w="927" w:type="dxa"/>
            <w:vAlign w:val="top"/>
          </w:tcPr>
          <w:p w14:paraId="0AAC0345">
            <w:pPr>
              <w:spacing w:before="65" w:line="219" w:lineRule="auto"/>
              <w:ind w:left="254"/>
              <w:rPr>
                <w:rFonts w:ascii="宋体" w:hAnsi="宋体" w:eastAsia="宋体" w:cs="宋体"/>
                <w:sz w:val="21"/>
                <w:szCs w:val="21"/>
              </w:rPr>
            </w:pPr>
            <w:r>
              <w:rPr>
                <w:rFonts w:ascii="宋体" w:hAnsi="宋体" w:eastAsia="宋体" w:cs="宋体"/>
                <w:spacing w:val="-2"/>
                <w:sz w:val="21"/>
                <w:szCs w:val="21"/>
              </w:rPr>
              <w:t>氮值</w:t>
            </w:r>
          </w:p>
        </w:tc>
        <w:tc>
          <w:tcPr>
            <w:tcW w:w="927" w:type="dxa"/>
            <w:vAlign w:val="top"/>
          </w:tcPr>
          <w:p w14:paraId="08C3948C">
            <w:pPr>
              <w:spacing w:before="65" w:line="220" w:lineRule="auto"/>
              <w:ind w:left="257"/>
              <w:rPr>
                <w:rFonts w:ascii="宋体" w:hAnsi="宋体" w:eastAsia="宋体" w:cs="宋体"/>
                <w:sz w:val="21"/>
                <w:szCs w:val="21"/>
              </w:rPr>
            </w:pPr>
            <w:r>
              <w:rPr>
                <w:rFonts w:ascii="宋体" w:hAnsi="宋体" w:eastAsia="宋体" w:cs="宋体"/>
                <w:spacing w:val="-3"/>
                <w:sz w:val="21"/>
                <w:szCs w:val="21"/>
              </w:rPr>
              <w:t>磷值</w:t>
            </w:r>
          </w:p>
        </w:tc>
        <w:tc>
          <w:tcPr>
            <w:tcW w:w="959" w:type="dxa"/>
            <w:vMerge w:val="continue"/>
            <w:tcBorders>
              <w:top w:val="nil"/>
            </w:tcBorders>
            <w:vAlign w:val="top"/>
          </w:tcPr>
          <w:p w14:paraId="784B1C08">
            <w:pPr>
              <w:rPr>
                <w:rFonts w:ascii="Arial"/>
                <w:sz w:val="21"/>
              </w:rPr>
            </w:pPr>
          </w:p>
        </w:tc>
        <w:tc>
          <w:tcPr>
            <w:tcW w:w="850" w:type="dxa"/>
            <w:vMerge w:val="continue"/>
            <w:tcBorders>
              <w:top w:val="nil"/>
            </w:tcBorders>
            <w:vAlign w:val="top"/>
          </w:tcPr>
          <w:p w14:paraId="4653FCDB">
            <w:pPr>
              <w:rPr>
                <w:rFonts w:ascii="Arial"/>
                <w:sz w:val="21"/>
              </w:rPr>
            </w:pPr>
          </w:p>
        </w:tc>
        <w:tc>
          <w:tcPr>
            <w:tcW w:w="736" w:type="dxa"/>
            <w:vAlign w:val="top"/>
          </w:tcPr>
          <w:p w14:paraId="0FFE0C93">
            <w:pPr>
              <w:spacing w:before="65" w:line="219" w:lineRule="auto"/>
              <w:ind w:left="163"/>
              <w:rPr>
                <w:rFonts w:ascii="宋体" w:hAnsi="宋体" w:eastAsia="宋体" w:cs="宋体"/>
                <w:sz w:val="21"/>
                <w:szCs w:val="21"/>
              </w:rPr>
            </w:pPr>
            <w:r>
              <w:rPr>
                <w:rFonts w:ascii="宋体" w:hAnsi="宋体" w:eastAsia="宋体" w:cs="宋体"/>
                <w:spacing w:val="-2"/>
                <w:sz w:val="21"/>
                <w:szCs w:val="21"/>
              </w:rPr>
              <w:t>氮素</w:t>
            </w:r>
          </w:p>
        </w:tc>
        <w:tc>
          <w:tcPr>
            <w:tcW w:w="736" w:type="dxa"/>
            <w:vAlign w:val="top"/>
          </w:tcPr>
          <w:p w14:paraId="086F25C4">
            <w:pPr>
              <w:spacing w:before="65" w:line="220" w:lineRule="auto"/>
              <w:ind w:left="165"/>
              <w:rPr>
                <w:rFonts w:ascii="宋体" w:hAnsi="宋体" w:eastAsia="宋体" w:cs="宋体"/>
                <w:sz w:val="21"/>
                <w:szCs w:val="21"/>
              </w:rPr>
            </w:pPr>
            <w:r>
              <w:rPr>
                <w:rFonts w:ascii="宋体" w:hAnsi="宋体" w:eastAsia="宋体" w:cs="宋体"/>
                <w:spacing w:val="-3"/>
                <w:sz w:val="21"/>
                <w:szCs w:val="21"/>
              </w:rPr>
              <w:t>磷素</w:t>
            </w:r>
          </w:p>
        </w:tc>
        <w:tc>
          <w:tcPr>
            <w:tcW w:w="798" w:type="dxa"/>
            <w:vAlign w:val="top"/>
          </w:tcPr>
          <w:p w14:paraId="3A1B43AA">
            <w:pPr>
              <w:spacing w:before="65" w:line="219" w:lineRule="auto"/>
              <w:ind w:left="90"/>
              <w:rPr>
                <w:rFonts w:ascii="宋体" w:hAnsi="宋体" w:eastAsia="宋体" w:cs="宋体"/>
                <w:sz w:val="21"/>
                <w:szCs w:val="21"/>
              </w:rPr>
            </w:pPr>
            <w:r>
              <w:rPr>
                <w:rFonts w:ascii="宋体" w:hAnsi="宋体" w:eastAsia="宋体" w:cs="宋体"/>
                <w:spacing w:val="-2"/>
                <w:sz w:val="21"/>
                <w:szCs w:val="21"/>
              </w:rPr>
              <w:t>氮养分</w:t>
            </w:r>
          </w:p>
        </w:tc>
        <w:tc>
          <w:tcPr>
            <w:tcW w:w="802" w:type="dxa"/>
            <w:vAlign w:val="top"/>
          </w:tcPr>
          <w:p w14:paraId="0E2270A0">
            <w:pPr>
              <w:spacing w:before="65" w:line="220" w:lineRule="auto"/>
              <w:ind w:left="91"/>
              <w:rPr>
                <w:rFonts w:ascii="宋体" w:hAnsi="宋体" w:eastAsia="宋体" w:cs="宋体"/>
                <w:sz w:val="21"/>
                <w:szCs w:val="21"/>
              </w:rPr>
            </w:pPr>
            <w:r>
              <w:rPr>
                <w:rFonts w:ascii="宋体" w:hAnsi="宋体" w:eastAsia="宋体" w:cs="宋体"/>
                <w:spacing w:val="-2"/>
                <w:sz w:val="21"/>
                <w:szCs w:val="21"/>
              </w:rPr>
              <w:t>磷养分</w:t>
            </w:r>
          </w:p>
        </w:tc>
      </w:tr>
      <w:tr w14:paraId="6A5E7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2" w:type="dxa"/>
            <w:vAlign w:val="top"/>
          </w:tcPr>
          <w:p w14:paraId="15998BD3">
            <w:pPr>
              <w:spacing w:before="66" w:line="220" w:lineRule="auto"/>
              <w:ind w:left="150"/>
              <w:rPr>
                <w:rFonts w:ascii="宋体" w:hAnsi="宋体" w:eastAsia="宋体" w:cs="宋体"/>
                <w:sz w:val="21"/>
                <w:szCs w:val="21"/>
              </w:rPr>
            </w:pPr>
            <w:r>
              <w:rPr>
                <w:rFonts w:ascii="宋体" w:hAnsi="宋体" w:eastAsia="宋体" w:cs="宋体"/>
                <w:spacing w:val="-4"/>
                <w:sz w:val="21"/>
                <w:szCs w:val="21"/>
              </w:rPr>
              <w:t>天冬</w:t>
            </w:r>
          </w:p>
        </w:tc>
        <w:tc>
          <w:tcPr>
            <w:tcW w:w="883" w:type="dxa"/>
            <w:vAlign w:val="top"/>
          </w:tcPr>
          <w:p w14:paraId="503F6698">
            <w:pPr>
              <w:pStyle w:val="6"/>
              <w:spacing w:before="102" w:line="188" w:lineRule="auto"/>
              <w:ind w:left="228"/>
            </w:pPr>
            <w:r>
              <w:rPr>
                <w:spacing w:val="-1"/>
              </w:rPr>
              <w:t>4500</w:t>
            </w:r>
          </w:p>
        </w:tc>
        <w:tc>
          <w:tcPr>
            <w:tcW w:w="927" w:type="dxa"/>
            <w:vAlign w:val="top"/>
          </w:tcPr>
          <w:p w14:paraId="23F8DC91">
            <w:pPr>
              <w:pStyle w:val="6"/>
              <w:spacing w:before="102" w:line="188" w:lineRule="auto"/>
              <w:ind w:left="282"/>
            </w:pPr>
            <w:r>
              <w:rPr>
                <w:spacing w:val="-2"/>
              </w:rPr>
              <w:t>7.19</w:t>
            </w:r>
          </w:p>
        </w:tc>
        <w:tc>
          <w:tcPr>
            <w:tcW w:w="927" w:type="dxa"/>
            <w:vAlign w:val="top"/>
          </w:tcPr>
          <w:p w14:paraId="3C118B5D">
            <w:pPr>
              <w:pStyle w:val="6"/>
              <w:spacing w:before="102" w:line="188" w:lineRule="auto"/>
              <w:ind w:left="230"/>
            </w:pPr>
            <w:r>
              <w:rPr>
                <w:spacing w:val="-2"/>
              </w:rPr>
              <w:t>0.887</w:t>
            </w:r>
          </w:p>
        </w:tc>
        <w:tc>
          <w:tcPr>
            <w:tcW w:w="959" w:type="dxa"/>
            <w:vAlign w:val="top"/>
          </w:tcPr>
          <w:p w14:paraId="1DD50063">
            <w:pPr>
              <w:pStyle w:val="6"/>
              <w:spacing w:before="102" w:line="188" w:lineRule="auto"/>
              <w:ind w:left="379"/>
            </w:pPr>
            <w:r>
              <w:rPr>
                <w:spacing w:val="-5"/>
              </w:rPr>
              <w:t>35</w:t>
            </w:r>
          </w:p>
        </w:tc>
        <w:tc>
          <w:tcPr>
            <w:tcW w:w="850" w:type="dxa"/>
            <w:vAlign w:val="top"/>
          </w:tcPr>
          <w:p w14:paraId="3F87EC56">
            <w:pPr>
              <w:pStyle w:val="6"/>
              <w:spacing w:before="102" w:line="188" w:lineRule="auto"/>
              <w:ind w:left="326"/>
            </w:pPr>
            <w:r>
              <w:rPr>
                <w:spacing w:val="-5"/>
              </w:rPr>
              <w:t>50</w:t>
            </w:r>
          </w:p>
        </w:tc>
        <w:tc>
          <w:tcPr>
            <w:tcW w:w="736" w:type="dxa"/>
            <w:vAlign w:val="top"/>
          </w:tcPr>
          <w:p w14:paraId="47332ED0">
            <w:pPr>
              <w:pStyle w:val="6"/>
              <w:spacing w:before="102" w:line="188" w:lineRule="auto"/>
              <w:ind w:left="265"/>
            </w:pPr>
            <w:r>
              <w:rPr>
                <w:spacing w:val="-2"/>
              </w:rPr>
              <w:t>25</w:t>
            </w:r>
          </w:p>
        </w:tc>
        <w:tc>
          <w:tcPr>
            <w:tcW w:w="736" w:type="dxa"/>
            <w:vAlign w:val="top"/>
          </w:tcPr>
          <w:p w14:paraId="77AAB76D">
            <w:pPr>
              <w:pStyle w:val="6"/>
              <w:spacing w:before="102" w:line="188" w:lineRule="auto"/>
              <w:ind w:left="270"/>
            </w:pPr>
            <w:r>
              <w:rPr>
                <w:spacing w:val="-5"/>
              </w:rPr>
              <w:t>30</w:t>
            </w:r>
          </w:p>
        </w:tc>
        <w:tc>
          <w:tcPr>
            <w:tcW w:w="798" w:type="dxa"/>
            <w:vAlign w:val="top"/>
          </w:tcPr>
          <w:p w14:paraId="1DE7829A">
            <w:pPr>
              <w:pStyle w:val="6"/>
              <w:spacing w:before="102" w:line="188" w:lineRule="auto"/>
              <w:ind w:left="114"/>
            </w:pPr>
            <w:r>
              <w:rPr>
                <w:spacing w:val="-1"/>
              </w:rPr>
              <w:t>226.49</w:t>
            </w:r>
          </w:p>
        </w:tc>
        <w:tc>
          <w:tcPr>
            <w:tcW w:w="802" w:type="dxa"/>
            <w:vAlign w:val="top"/>
          </w:tcPr>
          <w:p w14:paraId="05C5D0D5">
            <w:pPr>
              <w:pStyle w:val="6"/>
              <w:spacing w:before="102" w:line="188" w:lineRule="auto"/>
              <w:ind w:left="166"/>
            </w:pPr>
            <w:r>
              <w:rPr>
                <w:spacing w:val="-1"/>
              </w:rPr>
              <w:t>23.28</w:t>
            </w:r>
          </w:p>
        </w:tc>
      </w:tr>
      <w:tr w14:paraId="432D8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02" w:type="dxa"/>
            <w:vAlign w:val="top"/>
          </w:tcPr>
          <w:p w14:paraId="68676BE6">
            <w:pPr>
              <w:spacing w:before="66" w:line="220" w:lineRule="auto"/>
              <w:ind w:left="148"/>
              <w:rPr>
                <w:rFonts w:ascii="宋体" w:hAnsi="宋体" w:eastAsia="宋体" w:cs="宋体"/>
                <w:sz w:val="21"/>
                <w:szCs w:val="21"/>
              </w:rPr>
            </w:pPr>
            <w:r>
              <w:rPr>
                <w:rFonts w:ascii="宋体" w:hAnsi="宋体" w:eastAsia="宋体" w:cs="宋体"/>
                <w:spacing w:val="-3"/>
                <w:sz w:val="21"/>
                <w:szCs w:val="21"/>
              </w:rPr>
              <w:t>大豆</w:t>
            </w:r>
          </w:p>
        </w:tc>
        <w:tc>
          <w:tcPr>
            <w:tcW w:w="883" w:type="dxa"/>
            <w:vAlign w:val="top"/>
          </w:tcPr>
          <w:p w14:paraId="02F03103">
            <w:pPr>
              <w:pStyle w:val="6"/>
              <w:spacing w:before="102" w:line="188" w:lineRule="auto"/>
              <w:ind w:left="302"/>
            </w:pPr>
            <w:r>
              <w:rPr>
                <w:spacing w:val="-9"/>
              </w:rPr>
              <w:t>150</w:t>
            </w:r>
          </w:p>
        </w:tc>
        <w:tc>
          <w:tcPr>
            <w:tcW w:w="927" w:type="dxa"/>
            <w:vAlign w:val="top"/>
          </w:tcPr>
          <w:p w14:paraId="7B804A98">
            <w:pPr>
              <w:pStyle w:val="6"/>
              <w:spacing w:before="102" w:line="188" w:lineRule="auto"/>
              <w:ind w:left="335"/>
            </w:pPr>
            <w:r>
              <w:rPr>
                <w:spacing w:val="-3"/>
              </w:rPr>
              <w:t>7.2</w:t>
            </w:r>
          </w:p>
        </w:tc>
        <w:tc>
          <w:tcPr>
            <w:tcW w:w="927" w:type="dxa"/>
            <w:vAlign w:val="top"/>
          </w:tcPr>
          <w:p w14:paraId="77AC041A">
            <w:pPr>
              <w:pStyle w:val="6"/>
              <w:spacing w:before="102" w:line="188" w:lineRule="auto"/>
              <w:ind w:left="230"/>
            </w:pPr>
            <w:r>
              <w:rPr>
                <w:spacing w:val="-2"/>
              </w:rPr>
              <w:t>0.748</w:t>
            </w:r>
          </w:p>
        </w:tc>
        <w:tc>
          <w:tcPr>
            <w:tcW w:w="959" w:type="dxa"/>
            <w:vAlign w:val="top"/>
          </w:tcPr>
          <w:p w14:paraId="1D900ACB">
            <w:pPr>
              <w:pStyle w:val="6"/>
              <w:spacing w:before="102" w:line="188" w:lineRule="auto"/>
              <w:ind w:left="379"/>
            </w:pPr>
            <w:r>
              <w:rPr>
                <w:spacing w:val="-5"/>
              </w:rPr>
              <w:t>35</w:t>
            </w:r>
          </w:p>
        </w:tc>
        <w:tc>
          <w:tcPr>
            <w:tcW w:w="850" w:type="dxa"/>
            <w:vAlign w:val="top"/>
          </w:tcPr>
          <w:p w14:paraId="384789C0">
            <w:pPr>
              <w:pStyle w:val="6"/>
              <w:spacing w:before="102" w:line="188" w:lineRule="auto"/>
              <w:ind w:left="326"/>
            </w:pPr>
            <w:r>
              <w:rPr>
                <w:spacing w:val="-5"/>
              </w:rPr>
              <w:t>50</w:t>
            </w:r>
          </w:p>
        </w:tc>
        <w:tc>
          <w:tcPr>
            <w:tcW w:w="736" w:type="dxa"/>
            <w:vAlign w:val="top"/>
          </w:tcPr>
          <w:p w14:paraId="4F339E67">
            <w:pPr>
              <w:pStyle w:val="6"/>
              <w:spacing w:before="102" w:line="188" w:lineRule="auto"/>
              <w:ind w:left="265"/>
            </w:pPr>
            <w:r>
              <w:rPr>
                <w:spacing w:val="-2"/>
              </w:rPr>
              <w:t>25</w:t>
            </w:r>
          </w:p>
        </w:tc>
        <w:tc>
          <w:tcPr>
            <w:tcW w:w="736" w:type="dxa"/>
            <w:vAlign w:val="top"/>
          </w:tcPr>
          <w:p w14:paraId="4C8A1F71">
            <w:pPr>
              <w:pStyle w:val="6"/>
              <w:spacing w:before="102" w:line="188" w:lineRule="auto"/>
              <w:ind w:left="270"/>
            </w:pPr>
            <w:r>
              <w:rPr>
                <w:spacing w:val="-5"/>
              </w:rPr>
              <w:t>30</w:t>
            </w:r>
          </w:p>
        </w:tc>
        <w:tc>
          <w:tcPr>
            <w:tcW w:w="798" w:type="dxa"/>
            <w:vAlign w:val="top"/>
          </w:tcPr>
          <w:p w14:paraId="2B4E6AE2">
            <w:pPr>
              <w:pStyle w:val="6"/>
              <w:spacing w:before="102" w:line="188" w:lineRule="auto"/>
              <w:ind w:left="222"/>
            </w:pPr>
            <w:r>
              <w:rPr>
                <w:spacing w:val="-2"/>
              </w:rPr>
              <w:t>7.56</w:t>
            </w:r>
          </w:p>
        </w:tc>
        <w:tc>
          <w:tcPr>
            <w:tcW w:w="802" w:type="dxa"/>
            <w:vAlign w:val="top"/>
          </w:tcPr>
          <w:p w14:paraId="5C8CBF0A">
            <w:pPr>
              <w:pStyle w:val="6"/>
              <w:spacing w:before="102" w:line="188" w:lineRule="auto"/>
              <w:ind w:left="222"/>
            </w:pPr>
            <w:r>
              <w:rPr>
                <w:spacing w:val="-2"/>
              </w:rPr>
              <w:t>0.65</w:t>
            </w:r>
          </w:p>
        </w:tc>
      </w:tr>
      <w:tr w14:paraId="3DCA4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2" w:type="dxa"/>
            <w:vAlign w:val="top"/>
          </w:tcPr>
          <w:p w14:paraId="41FA38C2">
            <w:pPr>
              <w:spacing w:before="67" w:line="220" w:lineRule="auto"/>
              <w:ind w:left="146"/>
              <w:rPr>
                <w:rFonts w:ascii="宋体" w:hAnsi="宋体" w:eastAsia="宋体" w:cs="宋体"/>
                <w:sz w:val="21"/>
                <w:szCs w:val="21"/>
              </w:rPr>
            </w:pPr>
            <w:r>
              <w:rPr>
                <w:rFonts w:ascii="宋体" w:hAnsi="宋体" w:eastAsia="宋体" w:cs="宋体"/>
                <w:spacing w:val="-3"/>
                <w:sz w:val="21"/>
                <w:szCs w:val="21"/>
              </w:rPr>
              <w:t>玉米</w:t>
            </w:r>
          </w:p>
        </w:tc>
        <w:tc>
          <w:tcPr>
            <w:tcW w:w="883" w:type="dxa"/>
            <w:vAlign w:val="top"/>
          </w:tcPr>
          <w:p w14:paraId="189F1673">
            <w:pPr>
              <w:pStyle w:val="6"/>
              <w:spacing w:before="104" w:line="188" w:lineRule="auto"/>
              <w:ind w:left="249"/>
            </w:pPr>
            <w:r>
              <w:rPr>
                <w:spacing w:val="-6"/>
              </w:rPr>
              <w:t>1400</w:t>
            </w:r>
          </w:p>
        </w:tc>
        <w:tc>
          <w:tcPr>
            <w:tcW w:w="927" w:type="dxa"/>
            <w:vAlign w:val="top"/>
          </w:tcPr>
          <w:p w14:paraId="7937A657">
            <w:pPr>
              <w:pStyle w:val="6"/>
              <w:spacing w:before="104" w:line="188" w:lineRule="auto"/>
              <w:ind w:left="332"/>
            </w:pPr>
            <w:r>
              <w:rPr>
                <w:spacing w:val="-1"/>
              </w:rPr>
              <w:t>2.3</w:t>
            </w:r>
          </w:p>
        </w:tc>
        <w:tc>
          <w:tcPr>
            <w:tcW w:w="927" w:type="dxa"/>
            <w:vAlign w:val="top"/>
          </w:tcPr>
          <w:p w14:paraId="47894CB3">
            <w:pPr>
              <w:pStyle w:val="6"/>
              <w:spacing w:before="104" w:line="188" w:lineRule="auto"/>
              <w:ind w:left="335"/>
            </w:pPr>
            <w:r>
              <w:rPr>
                <w:spacing w:val="-2"/>
              </w:rPr>
              <w:t>0.3</w:t>
            </w:r>
          </w:p>
        </w:tc>
        <w:tc>
          <w:tcPr>
            <w:tcW w:w="959" w:type="dxa"/>
            <w:vAlign w:val="top"/>
          </w:tcPr>
          <w:p w14:paraId="59AB6762">
            <w:pPr>
              <w:pStyle w:val="6"/>
              <w:spacing w:before="104" w:line="188" w:lineRule="auto"/>
              <w:ind w:left="379"/>
            </w:pPr>
            <w:r>
              <w:rPr>
                <w:spacing w:val="-3"/>
              </w:rPr>
              <w:t>35</w:t>
            </w:r>
          </w:p>
        </w:tc>
        <w:tc>
          <w:tcPr>
            <w:tcW w:w="850" w:type="dxa"/>
            <w:vAlign w:val="top"/>
          </w:tcPr>
          <w:p w14:paraId="17250739">
            <w:pPr>
              <w:pStyle w:val="6"/>
              <w:spacing w:before="104" w:line="188" w:lineRule="auto"/>
              <w:ind w:left="326"/>
            </w:pPr>
            <w:r>
              <w:rPr>
                <w:spacing w:val="-5"/>
              </w:rPr>
              <w:t>50</w:t>
            </w:r>
          </w:p>
        </w:tc>
        <w:tc>
          <w:tcPr>
            <w:tcW w:w="736" w:type="dxa"/>
            <w:vAlign w:val="top"/>
          </w:tcPr>
          <w:p w14:paraId="1C5935EA">
            <w:pPr>
              <w:pStyle w:val="6"/>
              <w:spacing w:before="104" w:line="188" w:lineRule="auto"/>
              <w:ind w:left="265"/>
            </w:pPr>
            <w:r>
              <w:rPr>
                <w:spacing w:val="-1"/>
              </w:rPr>
              <w:t>25</w:t>
            </w:r>
          </w:p>
        </w:tc>
        <w:tc>
          <w:tcPr>
            <w:tcW w:w="736" w:type="dxa"/>
            <w:vAlign w:val="top"/>
          </w:tcPr>
          <w:p w14:paraId="4B1E675D">
            <w:pPr>
              <w:pStyle w:val="6"/>
              <w:spacing w:before="104" w:line="188" w:lineRule="auto"/>
              <w:ind w:left="270"/>
            </w:pPr>
            <w:r>
              <w:rPr>
                <w:spacing w:val="-5"/>
              </w:rPr>
              <w:t>30</w:t>
            </w:r>
          </w:p>
        </w:tc>
        <w:tc>
          <w:tcPr>
            <w:tcW w:w="798" w:type="dxa"/>
            <w:vAlign w:val="top"/>
          </w:tcPr>
          <w:p w14:paraId="3DB46C9A">
            <w:pPr>
              <w:pStyle w:val="6"/>
              <w:spacing w:before="104" w:line="188" w:lineRule="auto"/>
              <w:ind w:left="166"/>
            </w:pPr>
            <w:r>
              <w:rPr>
                <w:spacing w:val="-1"/>
              </w:rPr>
              <w:t>22.54</w:t>
            </w:r>
          </w:p>
        </w:tc>
        <w:tc>
          <w:tcPr>
            <w:tcW w:w="802" w:type="dxa"/>
            <w:vAlign w:val="top"/>
          </w:tcPr>
          <w:p w14:paraId="440D1075">
            <w:pPr>
              <w:pStyle w:val="6"/>
              <w:spacing w:before="104" w:line="188" w:lineRule="auto"/>
              <w:ind w:left="219"/>
            </w:pPr>
            <w:r>
              <w:rPr>
                <w:spacing w:val="-1"/>
              </w:rPr>
              <w:t>2.45</w:t>
            </w:r>
          </w:p>
        </w:tc>
      </w:tr>
      <w:tr w14:paraId="7F151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02" w:type="dxa"/>
            <w:vAlign w:val="top"/>
          </w:tcPr>
          <w:p w14:paraId="29B4D02E">
            <w:pPr>
              <w:spacing w:before="67" w:line="220" w:lineRule="auto"/>
              <w:ind w:left="149"/>
              <w:rPr>
                <w:rFonts w:ascii="宋体" w:hAnsi="宋体" w:eastAsia="宋体" w:cs="宋体"/>
                <w:sz w:val="21"/>
                <w:szCs w:val="21"/>
              </w:rPr>
            </w:pPr>
            <w:r>
              <w:rPr>
                <w:rFonts w:ascii="宋体" w:hAnsi="宋体" w:eastAsia="宋体" w:cs="宋体"/>
                <w:spacing w:val="-3"/>
                <w:sz w:val="21"/>
                <w:szCs w:val="21"/>
              </w:rPr>
              <w:t>油菜</w:t>
            </w:r>
          </w:p>
        </w:tc>
        <w:tc>
          <w:tcPr>
            <w:tcW w:w="883" w:type="dxa"/>
            <w:vAlign w:val="top"/>
          </w:tcPr>
          <w:p w14:paraId="59566C8D">
            <w:pPr>
              <w:pStyle w:val="6"/>
              <w:spacing w:before="104" w:line="188" w:lineRule="auto"/>
              <w:ind w:left="281"/>
            </w:pPr>
            <w:r>
              <w:rPr>
                <w:spacing w:val="-2"/>
              </w:rPr>
              <w:t>400</w:t>
            </w:r>
          </w:p>
        </w:tc>
        <w:tc>
          <w:tcPr>
            <w:tcW w:w="927" w:type="dxa"/>
            <w:vAlign w:val="top"/>
          </w:tcPr>
          <w:p w14:paraId="37A2AAC6">
            <w:pPr>
              <w:pStyle w:val="6"/>
              <w:spacing w:before="104" w:line="188" w:lineRule="auto"/>
              <w:ind w:left="282"/>
            </w:pPr>
            <w:r>
              <w:rPr>
                <w:spacing w:val="-2"/>
              </w:rPr>
              <w:t>7.19</w:t>
            </w:r>
          </w:p>
        </w:tc>
        <w:tc>
          <w:tcPr>
            <w:tcW w:w="927" w:type="dxa"/>
            <w:vAlign w:val="top"/>
          </w:tcPr>
          <w:p w14:paraId="5D2C8E22">
            <w:pPr>
              <w:pStyle w:val="6"/>
              <w:spacing w:before="104" w:line="188" w:lineRule="auto"/>
              <w:ind w:left="230"/>
            </w:pPr>
            <w:r>
              <w:rPr>
                <w:spacing w:val="-2"/>
              </w:rPr>
              <w:t>0.887</w:t>
            </w:r>
          </w:p>
        </w:tc>
        <w:tc>
          <w:tcPr>
            <w:tcW w:w="959" w:type="dxa"/>
            <w:vAlign w:val="top"/>
          </w:tcPr>
          <w:p w14:paraId="5CEE04E6">
            <w:pPr>
              <w:pStyle w:val="6"/>
              <w:spacing w:before="104" w:line="188" w:lineRule="auto"/>
              <w:ind w:left="379"/>
            </w:pPr>
            <w:r>
              <w:rPr>
                <w:spacing w:val="-5"/>
              </w:rPr>
              <w:t>35</w:t>
            </w:r>
          </w:p>
        </w:tc>
        <w:tc>
          <w:tcPr>
            <w:tcW w:w="850" w:type="dxa"/>
            <w:vAlign w:val="top"/>
          </w:tcPr>
          <w:p w14:paraId="3F3B28E7">
            <w:pPr>
              <w:pStyle w:val="6"/>
              <w:spacing w:before="104" w:line="188" w:lineRule="auto"/>
              <w:ind w:left="326"/>
            </w:pPr>
            <w:r>
              <w:rPr>
                <w:spacing w:val="-5"/>
              </w:rPr>
              <w:t>50</w:t>
            </w:r>
          </w:p>
        </w:tc>
        <w:tc>
          <w:tcPr>
            <w:tcW w:w="736" w:type="dxa"/>
            <w:vAlign w:val="top"/>
          </w:tcPr>
          <w:p w14:paraId="2A8B6867">
            <w:pPr>
              <w:pStyle w:val="6"/>
              <w:spacing w:before="104" w:line="188" w:lineRule="auto"/>
              <w:ind w:left="265"/>
            </w:pPr>
            <w:r>
              <w:rPr>
                <w:spacing w:val="-2"/>
              </w:rPr>
              <w:t>25</w:t>
            </w:r>
          </w:p>
        </w:tc>
        <w:tc>
          <w:tcPr>
            <w:tcW w:w="736" w:type="dxa"/>
            <w:vAlign w:val="top"/>
          </w:tcPr>
          <w:p w14:paraId="24B27771">
            <w:pPr>
              <w:pStyle w:val="6"/>
              <w:spacing w:before="104" w:line="188" w:lineRule="auto"/>
              <w:ind w:left="270"/>
            </w:pPr>
            <w:r>
              <w:rPr>
                <w:spacing w:val="-5"/>
              </w:rPr>
              <w:t>30</w:t>
            </w:r>
          </w:p>
        </w:tc>
        <w:tc>
          <w:tcPr>
            <w:tcW w:w="798" w:type="dxa"/>
            <w:vAlign w:val="top"/>
          </w:tcPr>
          <w:p w14:paraId="240189DE">
            <w:pPr>
              <w:pStyle w:val="6"/>
              <w:spacing w:before="104" w:line="188" w:lineRule="auto"/>
              <w:ind w:left="166"/>
            </w:pPr>
            <w:r>
              <w:rPr>
                <w:spacing w:val="-1"/>
              </w:rPr>
              <w:t>20.13</w:t>
            </w:r>
          </w:p>
        </w:tc>
        <w:tc>
          <w:tcPr>
            <w:tcW w:w="802" w:type="dxa"/>
            <w:vAlign w:val="top"/>
          </w:tcPr>
          <w:p w14:paraId="43720541">
            <w:pPr>
              <w:pStyle w:val="6"/>
              <w:spacing w:before="104" w:line="188" w:lineRule="auto"/>
              <w:ind w:left="219"/>
            </w:pPr>
            <w:r>
              <w:rPr>
                <w:spacing w:val="-1"/>
              </w:rPr>
              <w:t>2.07</w:t>
            </w:r>
          </w:p>
        </w:tc>
      </w:tr>
    </w:tbl>
    <w:p w14:paraId="4488330D">
      <w:pPr>
        <w:spacing w:before="234" w:line="217" w:lineRule="auto"/>
        <w:ind w:left="519"/>
        <w:rPr>
          <w:rFonts w:ascii="宋体" w:hAnsi="宋体" w:eastAsia="宋体" w:cs="宋体"/>
          <w:sz w:val="24"/>
          <w:szCs w:val="24"/>
        </w:rPr>
      </w:pPr>
      <w:r>
        <w:rPr>
          <w:rFonts w:ascii="宋体" w:hAnsi="宋体" w:eastAsia="宋体" w:cs="宋体"/>
          <w:b/>
          <w:bCs/>
          <w:spacing w:val="-3"/>
          <w:sz w:val="24"/>
          <w:szCs w:val="24"/>
        </w:rPr>
        <w:t>③配套消纳土地面积计算</w:t>
      </w:r>
    </w:p>
    <w:p w14:paraId="6AA1B0F1">
      <w:pPr>
        <w:spacing w:before="185" w:line="360" w:lineRule="auto"/>
        <w:ind w:left="40" w:right="186" w:firstLine="479"/>
        <w:rPr>
          <w:rFonts w:ascii="宋体" w:hAnsi="宋体" w:eastAsia="宋体" w:cs="宋体"/>
          <w:sz w:val="24"/>
          <w:szCs w:val="24"/>
        </w:rPr>
      </w:pPr>
      <w:r>
        <w:rPr>
          <w:rFonts w:ascii="宋体" w:hAnsi="宋体" w:eastAsia="宋体" w:cs="宋体"/>
          <w:spacing w:val="-3"/>
          <w:sz w:val="24"/>
          <w:szCs w:val="24"/>
        </w:rPr>
        <w:t>根据《畜禽粪污土地承载力测算技术指南》中规模养殖场配套土</w:t>
      </w:r>
      <w:r>
        <w:rPr>
          <w:rFonts w:ascii="宋体" w:hAnsi="宋体" w:eastAsia="宋体" w:cs="宋体"/>
          <w:spacing w:val="-4"/>
          <w:sz w:val="24"/>
          <w:szCs w:val="24"/>
        </w:rPr>
        <w:t>地面积测算</w:t>
      </w:r>
      <w:r>
        <w:rPr>
          <w:rFonts w:ascii="宋体" w:hAnsi="宋体" w:eastAsia="宋体" w:cs="宋体"/>
          <w:spacing w:val="-2"/>
          <w:sz w:val="24"/>
          <w:szCs w:val="24"/>
        </w:rPr>
        <w:t>方法：消纳土地面积</w:t>
      </w:r>
      <w:r>
        <w:rPr>
          <w:rFonts w:ascii="Times New Roman" w:hAnsi="Times New Roman" w:eastAsia="Times New Roman" w:cs="Times New Roman"/>
          <w:spacing w:val="-2"/>
          <w:sz w:val="24"/>
          <w:szCs w:val="24"/>
        </w:rPr>
        <w:t>=</w:t>
      </w:r>
      <w:r>
        <w:rPr>
          <w:rFonts w:ascii="宋体" w:hAnsi="宋体" w:eastAsia="宋体" w:cs="宋体"/>
          <w:spacing w:val="-2"/>
          <w:sz w:val="24"/>
          <w:szCs w:val="24"/>
        </w:rPr>
        <w:t>粪肥养分供给量÷单位土地粪肥需求量。</w:t>
      </w:r>
    </w:p>
    <w:p w14:paraId="1DF21A57">
      <w:pPr>
        <w:spacing w:before="5" w:line="357" w:lineRule="auto"/>
        <w:ind w:left="38" w:firstLine="486"/>
        <w:jc w:val="both"/>
        <w:rPr>
          <w:rFonts w:ascii="宋体" w:hAnsi="宋体" w:eastAsia="宋体" w:cs="宋体"/>
          <w:sz w:val="24"/>
          <w:szCs w:val="24"/>
        </w:rPr>
      </w:pPr>
      <w:r>
        <w:rPr>
          <w:rFonts w:ascii="宋体" w:hAnsi="宋体" w:eastAsia="宋体" w:cs="宋体"/>
          <w:sz w:val="24"/>
          <w:szCs w:val="24"/>
        </w:rPr>
        <w:t>结合上页计算出的本项目出水中的氮、磷元素供给量（氮元素</w:t>
      </w:r>
      <w:r>
        <w:rPr>
          <w:rFonts w:ascii="Times New Roman" w:hAnsi="Times New Roman" w:eastAsia="Times New Roman" w:cs="Times New Roman"/>
          <w:sz w:val="24"/>
          <w:szCs w:val="24"/>
        </w:rPr>
        <w:t>6813.53kg/a</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w:t>
      </w:r>
      <w:r>
        <w:rPr>
          <w:rFonts w:ascii="宋体" w:hAnsi="宋体" w:eastAsia="宋体" w:cs="宋体"/>
          <w:spacing w:val="-6"/>
          <w:sz w:val="24"/>
          <w:szCs w:val="24"/>
        </w:rPr>
        <w:t>磷元素</w:t>
      </w:r>
      <w:r>
        <w:rPr>
          <w:rFonts w:ascii="Times New Roman" w:hAnsi="Times New Roman" w:eastAsia="Times New Roman" w:cs="Times New Roman"/>
          <w:spacing w:val="-6"/>
          <w:sz w:val="24"/>
          <w:szCs w:val="24"/>
        </w:rPr>
        <w:t>681.35kg/a</w:t>
      </w:r>
      <w:r>
        <w:rPr>
          <w:rFonts w:ascii="宋体" w:hAnsi="宋体" w:eastAsia="宋体" w:cs="宋体"/>
          <w:spacing w:val="-6"/>
          <w:sz w:val="24"/>
          <w:szCs w:val="24"/>
        </w:rPr>
        <w:t>）、消纳土地的单位土地</w:t>
      </w:r>
      <w:r>
        <w:rPr>
          <w:rFonts w:ascii="宋体" w:hAnsi="宋体" w:eastAsia="宋体" w:cs="宋体"/>
          <w:spacing w:val="-7"/>
          <w:sz w:val="24"/>
          <w:szCs w:val="24"/>
        </w:rPr>
        <w:t>粪肥养分需求量及消纳地作物种植面积，</w:t>
      </w:r>
      <w:r>
        <w:rPr>
          <w:rFonts w:ascii="宋体" w:hAnsi="宋体" w:eastAsia="宋体" w:cs="宋体"/>
          <w:spacing w:val="1"/>
          <w:sz w:val="24"/>
          <w:szCs w:val="24"/>
        </w:rPr>
        <w:t>对</w:t>
      </w:r>
      <w:r>
        <w:rPr>
          <w:rFonts w:ascii="宋体" w:hAnsi="宋体" w:eastAsia="宋体" w:cs="宋体"/>
          <w:b/>
          <w:bCs/>
          <w:spacing w:val="1"/>
          <w:sz w:val="24"/>
          <w:szCs w:val="24"/>
        </w:rPr>
        <w:t>消纳土地上各种作物氮、磷养分的需求量与本项目出水中的氮、磷元素供给</w:t>
      </w:r>
      <w:r>
        <w:rPr>
          <w:rFonts w:ascii="宋体" w:hAnsi="宋体" w:eastAsia="宋体" w:cs="宋体"/>
          <w:b/>
          <w:bCs/>
          <w:spacing w:val="-6"/>
          <w:sz w:val="24"/>
          <w:szCs w:val="24"/>
        </w:rPr>
        <w:t>量进行对比，结果如下。</w:t>
      </w:r>
    </w:p>
    <w:p w14:paraId="017C9E2C">
      <w:pPr>
        <w:spacing w:before="25" w:line="221" w:lineRule="auto"/>
        <w:ind w:left="121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33"/>
          <w:sz w:val="21"/>
          <w:szCs w:val="21"/>
        </w:rPr>
        <w:t xml:space="preserve"> </w:t>
      </w:r>
      <w:r>
        <w:rPr>
          <w:rFonts w:ascii="Times New Roman" w:hAnsi="Times New Roman" w:eastAsia="Times New Roman" w:cs="Times New Roman"/>
          <w:spacing w:val="-1"/>
          <w:sz w:val="21"/>
          <w:szCs w:val="21"/>
        </w:rPr>
        <w:t xml:space="preserve">4.2-28  </w:t>
      </w:r>
      <w:r>
        <w:rPr>
          <w:rFonts w:ascii="黑体" w:hAnsi="黑体" w:eastAsia="黑体" w:cs="黑体"/>
          <w:spacing w:val="-1"/>
          <w:sz w:val="21"/>
          <w:szCs w:val="21"/>
        </w:rPr>
        <w:t>本项目消纳土地各种作物生长所需氮、磷养分计算结果</w:t>
      </w:r>
    </w:p>
    <w:p w14:paraId="7CCFAE52">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3"/>
        <w:gridCol w:w="1122"/>
        <w:gridCol w:w="1123"/>
        <w:gridCol w:w="1121"/>
        <w:gridCol w:w="1123"/>
        <w:gridCol w:w="1128"/>
      </w:tblGrid>
      <w:tr w14:paraId="7A6F3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03" w:type="dxa"/>
            <w:vAlign w:val="top"/>
          </w:tcPr>
          <w:p w14:paraId="4C32326C">
            <w:pPr>
              <w:spacing w:before="69" w:line="220" w:lineRule="auto"/>
              <w:ind w:left="1151"/>
              <w:rPr>
                <w:rFonts w:ascii="宋体" w:hAnsi="宋体" w:eastAsia="宋体" w:cs="宋体"/>
                <w:sz w:val="21"/>
                <w:szCs w:val="21"/>
              </w:rPr>
            </w:pPr>
            <w:r>
              <w:rPr>
                <w:rFonts w:ascii="宋体" w:hAnsi="宋体" w:eastAsia="宋体" w:cs="宋体"/>
                <w:spacing w:val="-3"/>
                <w:sz w:val="21"/>
                <w:szCs w:val="21"/>
              </w:rPr>
              <w:t>项目</w:t>
            </w:r>
          </w:p>
        </w:tc>
        <w:tc>
          <w:tcPr>
            <w:tcW w:w="1122" w:type="dxa"/>
            <w:vAlign w:val="top"/>
          </w:tcPr>
          <w:p w14:paraId="26843DA6">
            <w:pPr>
              <w:spacing w:before="69" w:line="220" w:lineRule="auto"/>
              <w:ind w:left="359"/>
              <w:rPr>
                <w:rFonts w:ascii="宋体" w:hAnsi="宋体" w:eastAsia="宋体" w:cs="宋体"/>
                <w:sz w:val="21"/>
                <w:szCs w:val="21"/>
              </w:rPr>
            </w:pPr>
            <w:r>
              <w:rPr>
                <w:rFonts w:ascii="宋体" w:hAnsi="宋体" w:eastAsia="宋体" w:cs="宋体"/>
                <w:spacing w:val="-4"/>
                <w:sz w:val="21"/>
                <w:szCs w:val="21"/>
              </w:rPr>
              <w:t>天冬</w:t>
            </w:r>
          </w:p>
        </w:tc>
        <w:tc>
          <w:tcPr>
            <w:tcW w:w="1123" w:type="dxa"/>
            <w:vAlign w:val="top"/>
          </w:tcPr>
          <w:p w14:paraId="1A96521D">
            <w:pPr>
              <w:spacing w:before="69" w:line="220" w:lineRule="auto"/>
              <w:ind w:left="359"/>
              <w:rPr>
                <w:rFonts w:ascii="宋体" w:hAnsi="宋体" w:eastAsia="宋体" w:cs="宋体"/>
                <w:sz w:val="21"/>
                <w:szCs w:val="21"/>
              </w:rPr>
            </w:pPr>
            <w:r>
              <w:rPr>
                <w:rFonts w:ascii="宋体" w:hAnsi="宋体" w:eastAsia="宋体" w:cs="宋体"/>
                <w:spacing w:val="-3"/>
                <w:sz w:val="21"/>
                <w:szCs w:val="21"/>
              </w:rPr>
              <w:t>大豆</w:t>
            </w:r>
          </w:p>
        </w:tc>
        <w:tc>
          <w:tcPr>
            <w:tcW w:w="1121" w:type="dxa"/>
            <w:vAlign w:val="top"/>
          </w:tcPr>
          <w:p w14:paraId="63BC9CD9">
            <w:pPr>
              <w:spacing w:before="68" w:line="220" w:lineRule="auto"/>
              <w:ind w:left="357"/>
              <w:rPr>
                <w:rFonts w:ascii="宋体" w:hAnsi="宋体" w:eastAsia="宋体" w:cs="宋体"/>
                <w:sz w:val="21"/>
                <w:szCs w:val="21"/>
              </w:rPr>
            </w:pPr>
            <w:r>
              <w:rPr>
                <w:rFonts w:ascii="宋体" w:hAnsi="宋体" w:eastAsia="宋体" w:cs="宋体"/>
                <w:spacing w:val="-3"/>
                <w:sz w:val="21"/>
                <w:szCs w:val="21"/>
              </w:rPr>
              <w:t>玉米</w:t>
            </w:r>
          </w:p>
        </w:tc>
        <w:tc>
          <w:tcPr>
            <w:tcW w:w="1123" w:type="dxa"/>
            <w:vAlign w:val="top"/>
          </w:tcPr>
          <w:p w14:paraId="11A66F70">
            <w:pPr>
              <w:spacing w:before="68" w:line="220" w:lineRule="auto"/>
              <w:ind w:left="361"/>
              <w:rPr>
                <w:rFonts w:ascii="宋体" w:hAnsi="宋体" w:eastAsia="宋体" w:cs="宋体"/>
                <w:sz w:val="21"/>
                <w:szCs w:val="21"/>
              </w:rPr>
            </w:pPr>
            <w:r>
              <w:rPr>
                <w:rFonts w:ascii="宋体" w:hAnsi="宋体" w:eastAsia="宋体" w:cs="宋体"/>
                <w:spacing w:val="-3"/>
                <w:sz w:val="21"/>
                <w:szCs w:val="21"/>
              </w:rPr>
              <w:t>油菜</w:t>
            </w:r>
          </w:p>
        </w:tc>
        <w:tc>
          <w:tcPr>
            <w:tcW w:w="1128" w:type="dxa"/>
            <w:vAlign w:val="top"/>
          </w:tcPr>
          <w:p w14:paraId="162CCAAA">
            <w:pPr>
              <w:spacing w:before="68" w:line="221" w:lineRule="auto"/>
              <w:ind w:left="360"/>
              <w:rPr>
                <w:rFonts w:ascii="宋体" w:hAnsi="宋体" w:eastAsia="宋体" w:cs="宋体"/>
                <w:sz w:val="21"/>
                <w:szCs w:val="21"/>
              </w:rPr>
            </w:pPr>
            <w:r>
              <w:rPr>
                <w:rFonts w:ascii="宋体" w:hAnsi="宋体" w:eastAsia="宋体" w:cs="宋体"/>
                <w:spacing w:val="-3"/>
                <w:sz w:val="21"/>
                <w:szCs w:val="21"/>
              </w:rPr>
              <w:t>合计</w:t>
            </w:r>
          </w:p>
        </w:tc>
      </w:tr>
      <w:tr w14:paraId="534F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703" w:type="dxa"/>
            <w:vAlign w:val="top"/>
          </w:tcPr>
          <w:p w14:paraId="1B0E910A">
            <w:pPr>
              <w:pStyle w:val="6"/>
              <w:spacing w:before="65" w:line="212" w:lineRule="auto"/>
              <w:ind w:left="132"/>
            </w:pPr>
            <w:r>
              <w:rPr>
                <w:rFonts w:ascii="宋体" w:hAnsi="宋体" w:eastAsia="宋体" w:cs="宋体"/>
                <w:spacing w:val="-1"/>
              </w:rPr>
              <w:t>每亩土地氮养分需求量</w:t>
            </w:r>
            <w:r>
              <w:rPr>
                <w:spacing w:val="-1"/>
              </w:rPr>
              <w:t>(kg)</w:t>
            </w:r>
          </w:p>
        </w:tc>
        <w:tc>
          <w:tcPr>
            <w:tcW w:w="1122" w:type="dxa"/>
            <w:vAlign w:val="top"/>
          </w:tcPr>
          <w:p w14:paraId="5B141503">
            <w:pPr>
              <w:pStyle w:val="6"/>
              <w:spacing w:before="101" w:line="188" w:lineRule="auto"/>
              <w:ind w:left="274"/>
            </w:pPr>
            <w:r>
              <w:rPr>
                <w:spacing w:val="-1"/>
              </w:rPr>
              <w:t>226.49</w:t>
            </w:r>
          </w:p>
        </w:tc>
        <w:tc>
          <w:tcPr>
            <w:tcW w:w="1123" w:type="dxa"/>
            <w:vAlign w:val="top"/>
          </w:tcPr>
          <w:p w14:paraId="264824E9">
            <w:pPr>
              <w:pStyle w:val="6"/>
              <w:spacing w:before="101" w:line="188" w:lineRule="auto"/>
              <w:ind w:left="384"/>
            </w:pPr>
            <w:r>
              <w:rPr>
                <w:spacing w:val="-2"/>
              </w:rPr>
              <w:t>7.56</w:t>
            </w:r>
          </w:p>
        </w:tc>
        <w:tc>
          <w:tcPr>
            <w:tcW w:w="1121" w:type="dxa"/>
            <w:vAlign w:val="top"/>
          </w:tcPr>
          <w:p w14:paraId="234AF06B">
            <w:pPr>
              <w:pStyle w:val="6"/>
              <w:spacing w:before="101" w:line="188" w:lineRule="auto"/>
              <w:ind w:left="328"/>
            </w:pPr>
            <w:r>
              <w:rPr>
                <w:spacing w:val="-1"/>
              </w:rPr>
              <w:t>22.54</w:t>
            </w:r>
          </w:p>
        </w:tc>
        <w:tc>
          <w:tcPr>
            <w:tcW w:w="1123" w:type="dxa"/>
            <w:vAlign w:val="top"/>
          </w:tcPr>
          <w:p w14:paraId="1C5E9651">
            <w:pPr>
              <w:pStyle w:val="6"/>
              <w:spacing w:before="101" w:line="188" w:lineRule="auto"/>
              <w:ind w:left="328"/>
            </w:pPr>
            <w:r>
              <w:rPr>
                <w:spacing w:val="-1"/>
              </w:rPr>
              <w:t>20.13</w:t>
            </w:r>
          </w:p>
        </w:tc>
        <w:tc>
          <w:tcPr>
            <w:tcW w:w="1128" w:type="dxa"/>
            <w:vAlign w:val="top"/>
          </w:tcPr>
          <w:p w14:paraId="239A5FF3">
            <w:pPr>
              <w:pStyle w:val="6"/>
              <w:spacing w:before="97" w:line="192" w:lineRule="auto"/>
              <w:ind w:left="531"/>
            </w:pPr>
            <w:r>
              <w:t>/</w:t>
            </w:r>
          </w:p>
        </w:tc>
      </w:tr>
      <w:tr w14:paraId="72050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03" w:type="dxa"/>
            <w:vAlign w:val="top"/>
          </w:tcPr>
          <w:p w14:paraId="397DBF85">
            <w:pPr>
              <w:pStyle w:val="6"/>
              <w:spacing w:before="66" w:line="212" w:lineRule="auto"/>
              <w:ind w:left="132"/>
            </w:pPr>
            <w:r>
              <w:rPr>
                <w:rFonts w:ascii="宋体" w:hAnsi="宋体" w:eastAsia="宋体" w:cs="宋体"/>
                <w:spacing w:val="-1"/>
              </w:rPr>
              <w:t>每亩土地磷养分需求量</w:t>
            </w:r>
            <w:r>
              <w:rPr>
                <w:spacing w:val="-1"/>
              </w:rPr>
              <w:t>(kg)</w:t>
            </w:r>
          </w:p>
        </w:tc>
        <w:tc>
          <w:tcPr>
            <w:tcW w:w="1122" w:type="dxa"/>
            <w:vAlign w:val="top"/>
          </w:tcPr>
          <w:p w14:paraId="7E32C997">
            <w:pPr>
              <w:pStyle w:val="6"/>
              <w:spacing w:before="103" w:line="188" w:lineRule="auto"/>
              <w:ind w:left="326"/>
            </w:pPr>
            <w:r>
              <w:rPr>
                <w:spacing w:val="-1"/>
              </w:rPr>
              <w:t>23.28</w:t>
            </w:r>
          </w:p>
        </w:tc>
        <w:tc>
          <w:tcPr>
            <w:tcW w:w="1123" w:type="dxa"/>
            <w:vAlign w:val="top"/>
          </w:tcPr>
          <w:p w14:paraId="0DAC9E37">
            <w:pPr>
              <w:pStyle w:val="6"/>
              <w:spacing w:before="103" w:line="188" w:lineRule="auto"/>
              <w:ind w:left="382"/>
            </w:pPr>
            <w:r>
              <w:rPr>
                <w:spacing w:val="-2"/>
              </w:rPr>
              <w:t>0.65</w:t>
            </w:r>
          </w:p>
        </w:tc>
        <w:tc>
          <w:tcPr>
            <w:tcW w:w="1121" w:type="dxa"/>
            <w:vAlign w:val="top"/>
          </w:tcPr>
          <w:p w14:paraId="5E4FB249">
            <w:pPr>
              <w:pStyle w:val="6"/>
              <w:spacing w:before="103" w:line="188" w:lineRule="auto"/>
              <w:ind w:left="379"/>
            </w:pPr>
            <w:r>
              <w:rPr>
                <w:spacing w:val="-1"/>
              </w:rPr>
              <w:t>2.45</w:t>
            </w:r>
          </w:p>
        </w:tc>
        <w:tc>
          <w:tcPr>
            <w:tcW w:w="1123" w:type="dxa"/>
            <w:vAlign w:val="top"/>
          </w:tcPr>
          <w:p w14:paraId="4E168173">
            <w:pPr>
              <w:pStyle w:val="6"/>
              <w:spacing w:before="103" w:line="188" w:lineRule="auto"/>
              <w:ind w:left="380"/>
            </w:pPr>
            <w:r>
              <w:rPr>
                <w:spacing w:val="-1"/>
              </w:rPr>
              <w:t>2.07</w:t>
            </w:r>
          </w:p>
        </w:tc>
        <w:tc>
          <w:tcPr>
            <w:tcW w:w="1128" w:type="dxa"/>
            <w:vAlign w:val="top"/>
          </w:tcPr>
          <w:p w14:paraId="7227C861">
            <w:pPr>
              <w:pStyle w:val="6"/>
              <w:spacing w:before="99" w:line="192" w:lineRule="auto"/>
              <w:ind w:left="531"/>
            </w:pPr>
            <w:r>
              <w:t>/</w:t>
            </w:r>
          </w:p>
        </w:tc>
      </w:tr>
      <w:tr w14:paraId="62C93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03" w:type="dxa"/>
            <w:vAlign w:val="top"/>
          </w:tcPr>
          <w:p w14:paraId="6B6E204B">
            <w:pPr>
              <w:pStyle w:val="6"/>
              <w:spacing w:before="67" w:line="212" w:lineRule="auto"/>
              <w:ind w:left="553"/>
            </w:pPr>
            <w:r>
              <w:rPr>
                <w:rFonts w:ascii="宋体" w:hAnsi="宋体" w:eastAsia="宋体" w:cs="宋体"/>
                <w:spacing w:val="-2"/>
              </w:rPr>
              <w:t>作物种植面积</w:t>
            </w:r>
            <w:r>
              <w:rPr>
                <w:spacing w:val="-2"/>
              </w:rPr>
              <w:t>(</w:t>
            </w:r>
            <w:r>
              <w:rPr>
                <w:rFonts w:ascii="宋体" w:hAnsi="宋体" w:eastAsia="宋体" w:cs="宋体"/>
                <w:spacing w:val="-2"/>
              </w:rPr>
              <w:t>亩</w:t>
            </w:r>
            <w:r>
              <w:rPr>
                <w:spacing w:val="-2"/>
              </w:rPr>
              <w:t>)</w:t>
            </w:r>
          </w:p>
        </w:tc>
        <w:tc>
          <w:tcPr>
            <w:tcW w:w="1122" w:type="dxa"/>
            <w:vAlign w:val="top"/>
          </w:tcPr>
          <w:p w14:paraId="30F63A13">
            <w:pPr>
              <w:pStyle w:val="6"/>
              <w:spacing w:before="103" w:line="188" w:lineRule="auto"/>
              <w:ind w:left="412"/>
            </w:pPr>
            <w:r>
              <w:rPr>
                <w:spacing w:val="-5"/>
              </w:rPr>
              <w:t>800</w:t>
            </w:r>
          </w:p>
        </w:tc>
        <w:tc>
          <w:tcPr>
            <w:tcW w:w="1123" w:type="dxa"/>
            <w:vAlign w:val="top"/>
          </w:tcPr>
          <w:p w14:paraId="63C44696">
            <w:pPr>
              <w:pStyle w:val="6"/>
              <w:spacing w:before="103" w:line="188" w:lineRule="auto"/>
              <w:ind w:left="404"/>
            </w:pPr>
            <w:r>
              <w:rPr>
                <w:spacing w:val="-2"/>
              </w:rPr>
              <w:t>400</w:t>
            </w:r>
          </w:p>
        </w:tc>
        <w:tc>
          <w:tcPr>
            <w:tcW w:w="1121" w:type="dxa"/>
            <w:vAlign w:val="top"/>
          </w:tcPr>
          <w:p w14:paraId="19EA942F">
            <w:pPr>
              <w:pStyle w:val="6"/>
              <w:spacing w:before="103" w:line="188" w:lineRule="auto"/>
              <w:ind w:left="404"/>
            </w:pPr>
            <w:r>
              <w:rPr>
                <w:spacing w:val="-2"/>
              </w:rPr>
              <w:t>460</w:t>
            </w:r>
          </w:p>
        </w:tc>
        <w:tc>
          <w:tcPr>
            <w:tcW w:w="1123" w:type="dxa"/>
            <w:vAlign w:val="top"/>
          </w:tcPr>
          <w:p w14:paraId="2609328F">
            <w:pPr>
              <w:pStyle w:val="6"/>
              <w:spacing w:before="103" w:line="188" w:lineRule="auto"/>
              <w:ind w:left="405"/>
            </w:pPr>
            <w:r>
              <w:rPr>
                <w:spacing w:val="-2"/>
              </w:rPr>
              <w:t>400</w:t>
            </w:r>
          </w:p>
        </w:tc>
        <w:tc>
          <w:tcPr>
            <w:tcW w:w="1128" w:type="dxa"/>
            <w:vAlign w:val="top"/>
          </w:tcPr>
          <w:p w14:paraId="7B692FDB">
            <w:pPr>
              <w:pStyle w:val="6"/>
              <w:spacing w:before="103" w:line="188" w:lineRule="auto"/>
              <w:ind w:left="355"/>
            </w:pPr>
            <w:r>
              <w:rPr>
                <w:spacing w:val="-1"/>
              </w:rPr>
              <w:t>2060</w:t>
            </w:r>
          </w:p>
        </w:tc>
      </w:tr>
      <w:tr w14:paraId="7D6EB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703" w:type="dxa"/>
            <w:vAlign w:val="top"/>
          </w:tcPr>
          <w:p w14:paraId="79EA02E9">
            <w:pPr>
              <w:pStyle w:val="6"/>
              <w:spacing w:before="67" w:line="212" w:lineRule="auto"/>
              <w:ind w:left="61"/>
            </w:pPr>
            <w:r>
              <w:rPr>
                <w:rFonts w:ascii="宋体" w:hAnsi="宋体" w:eastAsia="宋体" w:cs="宋体"/>
                <w:spacing w:val="-1"/>
              </w:rPr>
              <w:t>消纳土地氮养分需求量</w:t>
            </w:r>
            <w:r>
              <w:rPr>
                <w:spacing w:val="-1"/>
              </w:rPr>
              <w:t>(kg/a)</w:t>
            </w:r>
          </w:p>
        </w:tc>
        <w:tc>
          <w:tcPr>
            <w:tcW w:w="1122" w:type="dxa"/>
            <w:vAlign w:val="top"/>
          </w:tcPr>
          <w:p w14:paraId="2B333908">
            <w:pPr>
              <w:pStyle w:val="6"/>
              <w:spacing w:before="103" w:line="188" w:lineRule="auto"/>
              <w:ind w:left="192"/>
            </w:pPr>
            <w:r>
              <w:rPr>
                <w:spacing w:val="-4"/>
              </w:rPr>
              <w:t>181188.0</w:t>
            </w:r>
          </w:p>
        </w:tc>
        <w:tc>
          <w:tcPr>
            <w:tcW w:w="1123" w:type="dxa"/>
            <w:vAlign w:val="top"/>
          </w:tcPr>
          <w:p w14:paraId="32729684">
            <w:pPr>
              <w:pStyle w:val="6"/>
              <w:spacing w:before="103" w:line="188" w:lineRule="auto"/>
              <w:ind w:left="280"/>
            </w:pPr>
            <w:r>
              <w:rPr>
                <w:spacing w:val="-2"/>
              </w:rPr>
              <w:t>3024.0</w:t>
            </w:r>
          </w:p>
        </w:tc>
        <w:tc>
          <w:tcPr>
            <w:tcW w:w="1121" w:type="dxa"/>
            <w:vAlign w:val="top"/>
          </w:tcPr>
          <w:p w14:paraId="0C43CBDC">
            <w:pPr>
              <w:pStyle w:val="6"/>
              <w:spacing w:before="103" w:line="188" w:lineRule="auto"/>
              <w:ind w:left="243"/>
            </w:pPr>
            <w:r>
              <w:rPr>
                <w:spacing w:val="-4"/>
              </w:rPr>
              <w:t>10368.4</w:t>
            </w:r>
          </w:p>
        </w:tc>
        <w:tc>
          <w:tcPr>
            <w:tcW w:w="1123" w:type="dxa"/>
            <w:vAlign w:val="top"/>
          </w:tcPr>
          <w:p w14:paraId="131DB46D">
            <w:pPr>
              <w:pStyle w:val="6"/>
              <w:spacing w:before="103" w:line="188" w:lineRule="auto"/>
              <w:ind w:left="285"/>
            </w:pPr>
            <w:r>
              <w:rPr>
                <w:spacing w:val="-2"/>
              </w:rPr>
              <w:t>8052.8</w:t>
            </w:r>
          </w:p>
        </w:tc>
        <w:tc>
          <w:tcPr>
            <w:tcW w:w="1128" w:type="dxa"/>
            <w:vAlign w:val="top"/>
          </w:tcPr>
          <w:p w14:paraId="78CBC15F">
            <w:pPr>
              <w:pStyle w:val="6"/>
              <w:spacing w:before="103" w:line="188" w:lineRule="auto"/>
              <w:ind w:left="172"/>
            </w:pPr>
            <w:r>
              <w:rPr>
                <w:spacing w:val="-1"/>
              </w:rPr>
              <w:t>202633.2</w:t>
            </w:r>
          </w:p>
        </w:tc>
      </w:tr>
      <w:tr w14:paraId="7C9AC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03" w:type="dxa"/>
            <w:vAlign w:val="top"/>
          </w:tcPr>
          <w:p w14:paraId="1516EFF3">
            <w:pPr>
              <w:pStyle w:val="6"/>
              <w:spacing w:before="68" w:line="212" w:lineRule="auto"/>
              <w:ind w:left="61"/>
            </w:pPr>
            <w:r>
              <w:rPr>
                <w:rFonts w:ascii="宋体" w:hAnsi="宋体" w:eastAsia="宋体" w:cs="宋体"/>
                <w:spacing w:val="-1"/>
              </w:rPr>
              <w:t>消纳土地磷养分需求量</w:t>
            </w:r>
            <w:r>
              <w:rPr>
                <w:spacing w:val="-1"/>
              </w:rPr>
              <w:t>(kg/a)</w:t>
            </w:r>
          </w:p>
        </w:tc>
        <w:tc>
          <w:tcPr>
            <w:tcW w:w="1122" w:type="dxa"/>
            <w:vAlign w:val="top"/>
          </w:tcPr>
          <w:p w14:paraId="66A8120C">
            <w:pPr>
              <w:pStyle w:val="6"/>
              <w:spacing w:before="105" w:line="188" w:lineRule="auto"/>
              <w:ind w:left="241"/>
            </w:pPr>
            <w:r>
              <w:rPr>
                <w:spacing w:val="-4"/>
              </w:rPr>
              <w:t>18627.0</w:t>
            </w:r>
          </w:p>
        </w:tc>
        <w:tc>
          <w:tcPr>
            <w:tcW w:w="1123" w:type="dxa"/>
            <w:vAlign w:val="top"/>
          </w:tcPr>
          <w:p w14:paraId="673EB295">
            <w:pPr>
              <w:pStyle w:val="6"/>
              <w:spacing w:before="105" w:line="188" w:lineRule="auto"/>
              <w:ind w:left="327"/>
            </w:pPr>
            <w:r>
              <w:rPr>
                <w:spacing w:val="-1"/>
              </w:rPr>
              <w:t>261.8</w:t>
            </w:r>
          </w:p>
        </w:tc>
        <w:tc>
          <w:tcPr>
            <w:tcW w:w="1121" w:type="dxa"/>
            <w:vAlign w:val="top"/>
          </w:tcPr>
          <w:p w14:paraId="412980F3">
            <w:pPr>
              <w:pStyle w:val="6"/>
              <w:spacing w:before="105" w:line="188" w:lineRule="auto"/>
              <w:ind w:left="299"/>
            </w:pPr>
            <w:r>
              <w:rPr>
                <w:spacing w:val="-6"/>
              </w:rPr>
              <w:t>1127.0</w:t>
            </w:r>
          </w:p>
        </w:tc>
        <w:tc>
          <w:tcPr>
            <w:tcW w:w="1123" w:type="dxa"/>
            <w:vAlign w:val="top"/>
          </w:tcPr>
          <w:p w14:paraId="2B8B0D2E">
            <w:pPr>
              <w:pStyle w:val="6"/>
              <w:spacing w:before="105" w:line="188" w:lineRule="auto"/>
              <w:ind w:left="336"/>
            </w:pPr>
            <w:r>
              <w:rPr>
                <w:spacing w:val="-3"/>
              </w:rPr>
              <w:t>827.9</w:t>
            </w:r>
          </w:p>
        </w:tc>
        <w:tc>
          <w:tcPr>
            <w:tcW w:w="1128" w:type="dxa"/>
            <w:vAlign w:val="top"/>
          </w:tcPr>
          <w:p w14:paraId="30AF3574">
            <w:pPr>
              <w:pStyle w:val="6"/>
              <w:spacing w:before="105" w:line="188" w:lineRule="auto"/>
              <w:ind w:left="224"/>
            </w:pPr>
            <w:r>
              <w:rPr>
                <w:spacing w:val="-1"/>
              </w:rPr>
              <w:t>20843.7</w:t>
            </w:r>
          </w:p>
        </w:tc>
      </w:tr>
    </w:tbl>
    <w:p w14:paraId="2923D43E">
      <w:pPr>
        <w:pStyle w:val="2"/>
      </w:pPr>
    </w:p>
    <w:p w14:paraId="2BD76EB9">
      <w:pPr>
        <w:sectPr>
          <w:headerReference r:id="rId339" w:type="default"/>
          <w:footerReference r:id="rId340" w:type="default"/>
          <w:pgSz w:w="11905" w:h="16840"/>
          <w:pgMar w:top="1168" w:right="1611" w:bottom="1409" w:left="1770" w:header="828" w:footer="1244" w:gutter="0"/>
          <w:cols w:space="720" w:num="1"/>
        </w:sectPr>
      </w:pPr>
    </w:p>
    <w:p w14:paraId="3046CBD0">
      <w:pPr>
        <w:pStyle w:val="2"/>
        <w:spacing w:line="329" w:lineRule="auto"/>
      </w:pPr>
    </w:p>
    <w:p w14:paraId="79B6C2E0">
      <w:pPr>
        <w:spacing w:before="68" w:line="221" w:lineRule="auto"/>
        <w:ind w:left="195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39"/>
          <w:sz w:val="21"/>
          <w:szCs w:val="21"/>
        </w:rPr>
        <w:t xml:space="preserve"> </w:t>
      </w:r>
      <w:r>
        <w:rPr>
          <w:rFonts w:ascii="Times New Roman" w:hAnsi="Times New Roman" w:eastAsia="Times New Roman" w:cs="Times New Roman"/>
          <w:spacing w:val="-1"/>
          <w:sz w:val="21"/>
          <w:szCs w:val="21"/>
        </w:rPr>
        <w:t xml:space="preserve">4.2-29  </w:t>
      </w:r>
      <w:r>
        <w:rPr>
          <w:rFonts w:ascii="黑体" w:hAnsi="黑体" w:eastAsia="黑体" w:cs="黑体"/>
          <w:spacing w:val="-1"/>
          <w:sz w:val="21"/>
          <w:szCs w:val="21"/>
        </w:rPr>
        <w:t>本项目养分供给量与需求量关系情况表</w:t>
      </w:r>
    </w:p>
    <w:p w14:paraId="46D7F8F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1888"/>
        <w:gridCol w:w="2075"/>
        <w:gridCol w:w="1698"/>
        <w:gridCol w:w="1374"/>
      </w:tblGrid>
      <w:tr w14:paraId="4341D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85" w:type="dxa"/>
            <w:vAlign w:val="top"/>
          </w:tcPr>
          <w:p w14:paraId="57722E1B">
            <w:pPr>
              <w:spacing w:before="210" w:line="220" w:lineRule="auto"/>
              <w:ind w:left="438"/>
              <w:rPr>
                <w:rFonts w:ascii="宋体" w:hAnsi="宋体" w:eastAsia="宋体" w:cs="宋体"/>
                <w:sz w:val="21"/>
                <w:szCs w:val="21"/>
              </w:rPr>
            </w:pPr>
            <w:r>
              <w:rPr>
                <w:rFonts w:ascii="宋体" w:hAnsi="宋体" w:eastAsia="宋体" w:cs="宋体"/>
                <w:spacing w:val="-3"/>
                <w:sz w:val="21"/>
                <w:szCs w:val="21"/>
              </w:rPr>
              <w:t>类别</w:t>
            </w:r>
          </w:p>
        </w:tc>
        <w:tc>
          <w:tcPr>
            <w:tcW w:w="1888" w:type="dxa"/>
            <w:vAlign w:val="top"/>
          </w:tcPr>
          <w:p w14:paraId="2A767480">
            <w:pPr>
              <w:spacing w:before="54" w:line="219" w:lineRule="auto"/>
              <w:ind w:left="108"/>
              <w:rPr>
                <w:rFonts w:ascii="宋体" w:hAnsi="宋体" w:eastAsia="宋体" w:cs="宋体"/>
                <w:sz w:val="21"/>
                <w:szCs w:val="21"/>
              </w:rPr>
            </w:pPr>
            <w:r>
              <w:rPr>
                <w:rFonts w:ascii="宋体" w:hAnsi="宋体" w:eastAsia="宋体" w:cs="宋体"/>
                <w:spacing w:val="-1"/>
                <w:sz w:val="21"/>
                <w:szCs w:val="21"/>
              </w:rPr>
              <w:t>本项目养分供给量</w:t>
            </w:r>
          </w:p>
          <w:p w14:paraId="12FDE205">
            <w:pPr>
              <w:pStyle w:val="6"/>
              <w:spacing w:before="95" w:line="192" w:lineRule="auto"/>
              <w:ind w:left="697"/>
            </w:pPr>
            <w:r>
              <w:rPr>
                <w:spacing w:val="-1"/>
              </w:rPr>
              <w:t>(kg/a)</w:t>
            </w:r>
          </w:p>
        </w:tc>
        <w:tc>
          <w:tcPr>
            <w:tcW w:w="2075" w:type="dxa"/>
            <w:vAlign w:val="top"/>
          </w:tcPr>
          <w:p w14:paraId="11B5D406">
            <w:pPr>
              <w:spacing w:before="54" w:line="220" w:lineRule="auto"/>
              <w:ind w:left="207"/>
              <w:rPr>
                <w:rFonts w:ascii="宋体" w:hAnsi="宋体" w:eastAsia="宋体" w:cs="宋体"/>
                <w:sz w:val="21"/>
                <w:szCs w:val="21"/>
              </w:rPr>
            </w:pPr>
            <w:r>
              <w:rPr>
                <w:rFonts w:ascii="宋体" w:hAnsi="宋体" w:eastAsia="宋体" w:cs="宋体"/>
                <w:spacing w:val="-2"/>
                <w:sz w:val="21"/>
                <w:szCs w:val="21"/>
              </w:rPr>
              <w:t>消纳地养分需求量</w:t>
            </w:r>
          </w:p>
          <w:p w14:paraId="4F857C34">
            <w:pPr>
              <w:pStyle w:val="6"/>
              <w:spacing w:before="94" w:line="192" w:lineRule="auto"/>
              <w:ind w:left="793"/>
            </w:pPr>
            <w:r>
              <w:rPr>
                <w:spacing w:val="-1"/>
              </w:rPr>
              <w:t>(kg/a)</w:t>
            </w:r>
          </w:p>
        </w:tc>
        <w:tc>
          <w:tcPr>
            <w:tcW w:w="1698" w:type="dxa"/>
            <w:vAlign w:val="top"/>
          </w:tcPr>
          <w:p w14:paraId="16A07C5C">
            <w:pPr>
              <w:spacing w:before="210" w:line="219" w:lineRule="auto"/>
              <w:ind w:left="16"/>
              <w:rPr>
                <w:rFonts w:ascii="宋体" w:hAnsi="宋体" w:eastAsia="宋体" w:cs="宋体"/>
                <w:sz w:val="21"/>
                <w:szCs w:val="21"/>
              </w:rPr>
            </w:pPr>
            <w:r>
              <w:rPr>
                <w:rFonts w:ascii="宋体" w:hAnsi="宋体" w:eastAsia="宋体" w:cs="宋体"/>
                <w:spacing w:val="-1"/>
                <w:sz w:val="21"/>
                <w:szCs w:val="21"/>
              </w:rPr>
              <w:t>养分供给与需求比</w:t>
            </w:r>
          </w:p>
        </w:tc>
        <w:tc>
          <w:tcPr>
            <w:tcW w:w="1374" w:type="dxa"/>
            <w:vAlign w:val="top"/>
          </w:tcPr>
          <w:p w14:paraId="057EACDE">
            <w:pPr>
              <w:spacing w:before="210" w:line="220" w:lineRule="auto"/>
              <w:ind w:left="64"/>
              <w:rPr>
                <w:rFonts w:ascii="宋体" w:hAnsi="宋体" w:eastAsia="宋体" w:cs="宋体"/>
                <w:sz w:val="21"/>
                <w:szCs w:val="21"/>
              </w:rPr>
            </w:pPr>
            <w:r>
              <w:rPr>
                <w:rFonts w:ascii="宋体" w:hAnsi="宋体" w:eastAsia="宋体" w:cs="宋体"/>
                <w:spacing w:val="-2"/>
                <w:sz w:val="21"/>
                <w:szCs w:val="21"/>
              </w:rPr>
              <w:t>是否满足消纳</w:t>
            </w:r>
          </w:p>
        </w:tc>
      </w:tr>
      <w:tr w14:paraId="6AFB7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85" w:type="dxa"/>
            <w:vAlign w:val="top"/>
          </w:tcPr>
          <w:p w14:paraId="13225F4D">
            <w:pPr>
              <w:spacing w:before="66" w:line="219" w:lineRule="auto"/>
              <w:ind w:left="331"/>
              <w:rPr>
                <w:rFonts w:ascii="宋体" w:hAnsi="宋体" w:eastAsia="宋体" w:cs="宋体"/>
                <w:sz w:val="21"/>
                <w:szCs w:val="21"/>
              </w:rPr>
            </w:pPr>
            <w:r>
              <w:rPr>
                <w:rFonts w:ascii="宋体" w:hAnsi="宋体" w:eastAsia="宋体" w:cs="宋体"/>
                <w:spacing w:val="-2"/>
                <w:sz w:val="21"/>
                <w:szCs w:val="21"/>
              </w:rPr>
              <w:t>氮养分</w:t>
            </w:r>
          </w:p>
        </w:tc>
        <w:tc>
          <w:tcPr>
            <w:tcW w:w="1888" w:type="dxa"/>
            <w:vAlign w:val="top"/>
          </w:tcPr>
          <w:p w14:paraId="652EBED4">
            <w:pPr>
              <w:pStyle w:val="6"/>
              <w:spacing w:before="103" w:line="188" w:lineRule="auto"/>
              <w:ind w:left="607"/>
            </w:pPr>
            <w:r>
              <w:rPr>
                <w:spacing w:val="-2"/>
              </w:rPr>
              <w:t>6813.53</w:t>
            </w:r>
          </w:p>
        </w:tc>
        <w:tc>
          <w:tcPr>
            <w:tcW w:w="2075" w:type="dxa"/>
            <w:vAlign w:val="top"/>
          </w:tcPr>
          <w:p w14:paraId="6275C172">
            <w:pPr>
              <w:pStyle w:val="6"/>
              <w:spacing w:before="103" w:line="188" w:lineRule="auto"/>
              <w:ind w:left="645"/>
            </w:pPr>
            <w:r>
              <w:rPr>
                <w:spacing w:val="-1"/>
              </w:rPr>
              <w:t>202633.2</w:t>
            </w:r>
          </w:p>
        </w:tc>
        <w:tc>
          <w:tcPr>
            <w:tcW w:w="1698" w:type="dxa"/>
            <w:vAlign w:val="top"/>
          </w:tcPr>
          <w:p w14:paraId="49D74C6B">
            <w:pPr>
              <w:pStyle w:val="6"/>
              <w:spacing w:before="102" w:line="188" w:lineRule="auto"/>
              <w:ind w:left="636"/>
            </w:pPr>
            <w:r>
              <w:rPr>
                <w:spacing w:val="-2"/>
              </w:rPr>
              <w:t>3.4%</w:t>
            </w:r>
          </w:p>
        </w:tc>
        <w:tc>
          <w:tcPr>
            <w:tcW w:w="1374" w:type="dxa"/>
            <w:vAlign w:val="top"/>
          </w:tcPr>
          <w:p w14:paraId="23F42A7C">
            <w:pPr>
              <w:spacing w:before="66" w:line="220" w:lineRule="auto"/>
              <w:ind w:left="481"/>
              <w:rPr>
                <w:rFonts w:ascii="宋体" w:hAnsi="宋体" w:eastAsia="宋体" w:cs="宋体"/>
                <w:sz w:val="21"/>
                <w:szCs w:val="21"/>
              </w:rPr>
            </w:pPr>
            <w:r>
              <w:rPr>
                <w:rFonts w:ascii="宋体" w:hAnsi="宋体" w:eastAsia="宋体" w:cs="宋体"/>
                <w:spacing w:val="-3"/>
                <w:sz w:val="21"/>
                <w:szCs w:val="21"/>
              </w:rPr>
              <w:t>满足</w:t>
            </w:r>
          </w:p>
        </w:tc>
      </w:tr>
      <w:tr w14:paraId="27979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85" w:type="dxa"/>
            <w:vAlign w:val="top"/>
          </w:tcPr>
          <w:p w14:paraId="5FA13298">
            <w:pPr>
              <w:spacing w:before="67" w:line="220" w:lineRule="auto"/>
              <w:ind w:left="333"/>
              <w:rPr>
                <w:rFonts w:ascii="宋体" w:hAnsi="宋体" w:eastAsia="宋体" w:cs="宋体"/>
                <w:sz w:val="21"/>
                <w:szCs w:val="21"/>
              </w:rPr>
            </w:pPr>
            <w:r>
              <w:rPr>
                <w:rFonts w:ascii="宋体" w:hAnsi="宋体" w:eastAsia="宋体" w:cs="宋体"/>
                <w:spacing w:val="-2"/>
                <w:sz w:val="21"/>
                <w:szCs w:val="21"/>
              </w:rPr>
              <w:t>磷养分</w:t>
            </w:r>
          </w:p>
        </w:tc>
        <w:tc>
          <w:tcPr>
            <w:tcW w:w="1888" w:type="dxa"/>
            <w:vAlign w:val="top"/>
          </w:tcPr>
          <w:p w14:paraId="0FCBFCED">
            <w:pPr>
              <w:pStyle w:val="6"/>
              <w:spacing w:before="104" w:line="188" w:lineRule="auto"/>
              <w:ind w:left="660"/>
            </w:pPr>
            <w:r>
              <w:rPr>
                <w:spacing w:val="-2"/>
              </w:rPr>
              <w:t>681.35</w:t>
            </w:r>
          </w:p>
        </w:tc>
        <w:tc>
          <w:tcPr>
            <w:tcW w:w="2075" w:type="dxa"/>
            <w:vAlign w:val="top"/>
          </w:tcPr>
          <w:p w14:paraId="666FA8ED">
            <w:pPr>
              <w:pStyle w:val="6"/>
              <w:spacing w:before="104" w:line="188" w:lineRule="auto"/>
              <w:ind w:left="697"/>
            </w:pPr>
            <w:r>
              <w:rPr>
                <w:spacing w:val="-1"/>
              </w:rPr>
              <w:t>20843.7</w:t>
            </w:r>
          </w:p>
        </w:tc>
        <w:tc>
          <w:tcPr>
            <w:tcW w:w="1698" w:type="dxa"/>
            <w:vAlign w:val="top"/>
          </w:tcPr>
          <w:p w14:paraId="7CA9099D">
            <w:pPr>
              <w:pStyle w:val="6"/>
              <w:spacing w:before="104" w:line="188" w:lineRule="auto"/>
              <w:ind w:left="637"/>
            </w:pPr>
            <w:r>
              <w:rPr>
                <w:spacing w:val="-2"/>
              </w:rPr>
              <w:t>3.3%</w:t>
            </w:r>
          </w:p>
        </w:tc>
        <w:tc>
          <w:tcPr>
            <w:tcW w:w="1374" w:type="dxa"/>
            <w:vAlign w:val="top"/>
          </w:tcPr>
          <w:p w14:paraId="11209F6C">
            <w:pPr>
              <w:spacing w:before="67" w:line="220" w:lineRule="auto"/>
              <w:ind w:left="481"/>
              <w:rPr>
                <w:rFonts w:ascii="宋体" w:hAnsi="宋体" w:eastAsia="宋体" w:cs="宋体"/>
                <w:sz w:val="21"/>
                <w:szCs w:val="21"/>
              </w:rPr>
            </w:pPr>
            <w:r>
              <w:rPr>
                <w:rFonts w:ascii="宋体" w:hAnsi="宋体" w:eastAsia="宋体" w:cs="宋体"/>
                <w:spacing w:val="-3"/>
                <w:sz w:val="21"/>
                <w:szCs w:val="21"/>
              </w:rPr>
              <w:t>满足</w:t>
            </w:r>
          </w:p>
        </w:tc>
      </w:tr>
    </w:tbl>
    <w:p w14:paraId="62AD5665">
      <w:pPr>
        <w:spacing w:before="234" w:line="360" w:lineRule="auto"/>
        <w:ind w:left="42" w:right="186" w:firstLine="479"/>
        <w:jc w:val="both"/>
        <w:rPr>
          <w:rFonts w:ascii="宋体" w:hAnsi="宋体" w:eastAsia="宋体" w:cs="宋体"/>
          <w:sz w:val="24"/>
          <w:szCs w:val="24"/>
        </w:rPr>
      </w:pPr>
      <w:r>
        <w:rPr>
          <w:rFonts w:ascii="宋体" w:hAnsi="宋体" w:eastAsia="宋体" w:cs="宋体"/>
          <w:spacing w:val="-3"/>
          <w:sz w:val="24"/>
          <w:szCs w:val="24"/>
        </w:rPr>
        <w:t>可知，本项目污水处理站出水中的氮元素、磷元素供给量仅</w:t>
      </w:r>
      <w:r>
        <w:rPr>
          <w:rFonts w:ascii="宋体" w:hAnsi="宋体" w:eastAsia="宋体" w:cs="宋体"/>
          <w:spacing w:val="-4"/>
          <w:sz w:val="24"/>
          <w:szCs w:val="24"/>
        </w:rPr>
        <w:t>占配套消纳土地</w:t>
      </w:r>
      <w:r>
        <w:rPr>
          <w:rFonts w:ascii="宋体" w:hAnsi="宋体" w:eastAsia="宋体" w:cs="宋体"/>
          <w:spacing w:val="1"/>
          <w:sz w:val="24"/>
          <w:szCs w:val="24"/>
        </w:rPr>
        <w:t>（</w:t>
      </w:r>
      <w:r>
        <w:rPr>
          <w:rFonts w:ascii="Times New Roman" w:hAnsi="Times New Roman" w:eastAsia="Times New Roman" w:cs="Times New Roman"/>
          <w:spacing w:val="1"/>
          <w:sz w:val="24"/>
          <w:szCs w:val="24"/>
        </w:rPr>
        <w:t>2060</w:t>
      </w:r>
      <w:r>
        <w:rPr>
          <w:rFonts w:ascii="宋体" w:hAnsi="宋体" w:eastAsia="宋体" w:cs="宋体"/>
          <w:spacing w:val="1"/>
          <w:sz w:val="24"/>
          <w:szCs w:val="24"/>
        </w:rPr>
        <w:t>亩）氮养分、磷养分需求量的</w:t>
      </w:r>
      <w:r>
        <w:rPr>
          <w:rFonts w:ascii="Times New Roman" w:hAnsi="Times New Roman" w:eastAsia="Times New Roman" w:cs="Times New Roman"/>
          <w:spacing w:val="1"/>
          <w:sz w:val="24"/>
          <w:szCs w:val="24"/>
        </w:rPr>
        <w:t>3.4%</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3.3%</w:t>
      </w:r>
      <w:r>
        <w:rPr>
          <w:rFonts w:ascii="宋体" w:hAnsi="宋体" w:eastAsia="宋体" w:cs="宋体"/>
          <w:spacing w:val="1"/>
          <w:sz w:val="24"/>
          <w:szCs w:val="24"/>
        </w:rPr>
        <w:t>，所占比例均较低，说明从养</w:t>
      </w:r>
      <w:r>
        <w:rPr>
          <w:rFonts w:ascii="宋体" w:hAnsi="宋体" w:eastAsia="宋体" w:cs="宋体"/>
          <w:spacing w:val="-2"/>
          <w:sz w:val="24"/>
          <w:szCs w:val="24"/>
        </w:rPr>
        <w:t>分角度分析，本项目消纳土地可完全消纳本项目产生的废水。</w:t>
      </w:r>
    </w:p>
    <w:p w14:paraId="45E412B6">
      <w:pPr>
        <w:spacing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）废水消纳小结</w:t>
      </w:r>
    </w:p>
    <w:p w14:paraId="4ED7E9B3">
      <w:pPr>
        <w:spacing w:before="183" w:line="360" w:lineRule="auto"/>
        <w:ind w:left="40" w:right="239" w:firstLine="500"/>
        <w:rPr>
          <w:rFonts w:ascii="宋体" w:hAnsi="宋体" w:eastAsia="宋体" w:cs="宋体"/>
          <w:sz w:val="24"/>
          <w:szCs w:val="24"/>
        </w:rPr>
      </w:pPr>
      <w:r>
        <w:rPr>
          <w:rFonts w:ascii="宋体" w:hAnsi="宋体" w:eastAsia="宋体" w:cs="宋体"/>
          <w:b/>
          <w:bCs/>
          <w:spacing w:val="-8"/>
          <w:sz w:val="24"/>
          <w:szCs w:val="24"/>
        </w:rPr>
        <w:t>因此，从消纳土地作物生长所需水量、灌溉养分两个方面的分析结果来看，</w:t>
      </w:r>
      <w:r>
        <w:rPr>
          <w:rFonts w:ascii="宋体" w:hAnsi="宋体" w:eastAsia="宋体" w:cs="宋体"/>
          <w:b/>
          <w:bCs/>
          <w:spacing w:val="-4"/>
          <w:sz w:val="24"/>
          <w:szCs w:val="24"/>
        </w:rPr>
        <w:t>本项目流转</w:t>
      </w:r>
      <w:r>
        <w:rPr>
          <w:rFonts w:ascii="Times New Roman" w:hAnsi="Times New Roman" w:eastAsia="Times New Roman" w:cs="Times New Roman"/>
          <w:b/>
          <w:bCs/>
          <w:spacing w:val="-4"/>
          <w:sz w:val="24"/>
          <w:szCs w:val="24"/>
        </w:rPr>
        <w:t>2060</w:t>
      </w:r>
      <w:r>
        <w:rPr>
          <w:rFonts w:ascii="宋体" w:hAnsi="宋体" w:eastAsia="宋体" w:cs="宋体"/>
          <w:b/>
          <w:bCs/>
          <w:spacing w:val="-4"/>
          <w:sz w:val="24"/>
          <w:szCs w:val="24"/>
        </w:rPr>
        <w:t>亩土地用作消纳土地是可行的。</w:t>
      </w:r>
    </w:p>
    <w:p w14:paraId="6EE285F5">
      <w:pPr>
        <w:spacing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5</w:t>
      </w:r>
      <w:r>
        <w:rPr>
          <w:rFonts w:ascii="宋体" w:hAnsi="宋体" w:eastAsia="宋体" w:cs="宋体"/>
          <w:b/>
          <w:bCs/>
          <w:spacing w:val="-4"/>
          <w:sz w:val="24"/>
          <w:szCs w:val="24"/>
        </w:rPr>
        <w:t>）废水灌溉量对农田的影响</w:t>
      </w:r>
    </w:p>
    <w:p w14:paraId="6A1766E7">
      <w:pPr>
        <w:spacing w:before="184" w:line="359" w:lineRule="auto"/>
        <w:ind w:left="40" w:right="122" w:firstLine="479"/>
        <w:jc w:val="both"/>
        <w:rPr>
          <w:rFonts w:ascii="宋体" w:hAnsi="宋体" w:eastAsia="宋体" w:cs="宋体"/>
          <w:sz w:val="24"/>
          <w:szCs w:val="24"/>
        </w:rPr>
      </w:pPr>
      <w:r>
        <w:rPr>
          <w:rFonts w:ascii="宋体" w:hAnsi="宋体" w:eastAsia="宋体" w:cs="宋体"/>
          <w:spacing w:val="-3"/>
          <w:sz w:val="24"/>
          <w:szCs w:val="24"/>
        </w:rPr>
        <w:t>根据本地区气候特征可知，本地区年蒸发量略高于年降雨量，农</w:t>
      </w:r>
      <w:r>
        <w:rPr>
          <w:rFonts w:ascii="宋体" w:hAnsi="宋体" w:eastAsia="宋体" w:cs="宋体"/>
          <w:spacing w:val="-4"/>
          <w:sz w:val="24"/>
          <w:szCs w:val="24"/>
        </w:rPr>
        <w:t>作物在生长</w:t>
      </w:r>
      <w:r>
        <w:rPr>
          <w:rFonts w:ascii="宋体" w:hAnsi="宋体" w:eastAsia="宋体" w:cs="宋体"/>
          <w:spacing w:val="-6"/>
          <w:sz w:val="24"/>
          <w:szCs w:val="24"/>
        </w:rPr>
        <w:t>过程中需进行灌溉、施肥， 本项目废水处理达标后用于消纳</w:t>
      </w:r>
      <w:r>
        <w:rPr>
          <w:rFonts w:ascii="宋体" w:hAnsi="宋体" w:eastAsia="宋体" w:cs="宋体"/>
          <w:spacing w:val="-7"/>
          <w:sz w:val="24"/>
          <w:szCs w:val="24"/>
        </w:rPr>
        <w:t>土地农灌，每年农灌</w:t>
      </w:r>
      <w:r>
        <w:rPr>
          <w:rFonts w:ascii="宋体" w:hAnsi="宋体" w:eastAsia="宋体" w:cs="宋体"/>
          <w:sz w:val="24"/>
          <w:szCs w:val="24"/>
        </w:rPr>
        <w:t>水量为</w:t>
      </w:r>
      <w:r>
        <w:rPr>
          <w:rFonts w:ascii="Times New Roman" w:hAnsi="Times New Roman" w:eastAsia="Times New Roman" w:cs="Times New Roman"/>
          <w:sz w:val="24"/>
          <w:szCs w:val="24"/>
        </w:rPr>
        <w:t>85169.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1m</w:t>
      </w:r>
      <w:r>
        <w:rPr>
          <w:rFonts w:ascii="Times New Roman" w:hAnsi="Times New Roman" w:eastAsia="Times New Roman" w:cs="Times New Roman"/>
          <w:position w:val="10"/>
          <w:sz w:val="15"/>
          <w:szCs w:val="15"/>
        </w:rPr>
        <w:t xml:space="preserve">3 </w:t>
      </w:r>
      <w:r>
        <w:rPr>
          <w:rFonts w:ascii="宋体" w:hAnsi="宋体" w:eastAsia="宋体" w:cs="宋体"/>
          <w:sz w:val="24"/>
          <w:szCs w:val="24"/>
        </w:rPr>
        <w:t>，以提供的消纳土地</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060</w:t>
      </w:r>
      <w:r>
        <w:rPr>
          <w:rFonts w:ascii="宋体" w:hAnsi="宋体" w:eastAsia="宋体" w:cs="宋体"/>
          <w:spacing w:val="-1"/>
          <w:sz w:val="24"/>
          <w:szCs w:val="24"/>
        </w:rPr>
        <w:t>亩计，相当于年降雨量约为</w:t>
      </w:r>
      <w:r>
        <w:rPr>
          <w:rFonts w:ascii="Times New Roman" w:hAnsi="Times New Roman" w:eastAsia="Times New Roman" w:cs="Times New Roman"/>
          <w:spacing w:val="-1"/>
          <w:sz w:val="24"/>
          <w:szCs w:val="24"/>
        </w:rPr>
        <w:t>62.0mm</w:t>
      </w:r>
      <w:r>
        <w:rPr>
          <w:rFonts w:ascii="宋体" w:hAnsi="宋体" w:eastAsia="宋体" w:cs="宋体"/>
          <w:spacing w:val="-1"/>
          <w:sz w:val="24"/>
          <w:szCs w:val="24"/>
        </w:rPr>
        <w:t>，</w:t>
      </w:r>
      <w:r>
        <w:rPr>
          <w:rFonts w:ascii="宋体" w:hAnsi="宋体" w:eastAsia="宋体" w:cs="宋体"/>
          <w:spacing w:val="-3"/>
          <w:sz w:val="24"/>
          <w:szCs w:val="24"/>
        </w:rPr>
        <w:t>此水量不会对农作物生长造成不利影响。</w:t>
      </w:r>
    </w:p>
    <w:p w14:paraId="5DFE7765">
      <w:pPr>
        <w:spacing w:before="61" w:line="226"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4.2.2.4 </w:t>
      </w:r>
      <w:r>
        <w:rPr>
          <w:rFonts w:ascii="宋体" w:hAnsi="宋体" w:eastAsia="宋体" w:cs="宋体"/>
          <w:b/>
          <w:bCs/>
          <w:spacing w:val="6"/>
          <w:sz w:val="27"/>
          <w:szCs w:val="27"/>
        </w:rPr>
        <w:t>非灌溉期废水储存可行性分析</w:t>
      </w:r>
    </w:p>
    <w:p w14:paraId="3199A867">
      <w:pPr>
        <w:spacing w:before="237" w:line="212" w:lineRule="auto"/>
        <w:ind w:left="519"/>
        <w:rPr>
          <w:rFonts w:ascii="宋体" w:hAnsi="宋体" w:eastAsia="宋体" w:cs="宋体"/>
          <w:sz w:val="24"/>
          <w:szCs w:val="24"/>
        </w:rPr>
      </w:pPr>
      <w:r>
        <w:rPr>
          <w:rFonts w:ascii="宋体" w:hAnsi="宋体" w:eastAsia="宋体" w:cs="宋体"/>
          <w:spacing w:val="-9"/>
          <w:sz w:val="24"/>
          <w:szCs w:val="24"/>
        </w:rPr>
        <w:t>根据《四川省畜禽养殖污染防治技术指南》的通知（川农业函</w:t>
      </w:r>
      <w:r>
        <w:rPr>
          <w:rFonts w:ascii="Times New Roman" w:hAnsi="Times New Roman" w:eastAsia="Times New Roman" w:cs="Times New Roman"/>
          <w:spacing w:val="-9"/>
          <w:sz w:val="24"/>
          <w:szCs w:val="24"/>
        </w:rPr>
        <w:t>[</w:t>
      </w:r>
      <w:r>
        <w:fldChar w:fldCharType="begin"/>
      </w:r>
      <w:r>
        <w:instrText xml:space="preserve"> HYPERLINK \l "bookmark171" </w:instrText>
      </w:r>
      <w:r>
        <w:fldChar w:fldCharType="separate"/>
      </w:r>
      <w:r>
        <w:rPr>
          <w:rFonts w:ascii="Times New Roman" w:hAnsi="Times New Roman" w:eastAsia="Times New Roman" w:cs="Times New Roman"/>
          <w:spacing w:val="-9"/>
          <w:sz w:val="24"/>
          <w:szCs w:val="24"/>
        </w:rPr>
        <w:t>2017</w:t>
      </w:r>
      <w:r>
        <w:rPr>
          <w:rFonts w:ascii="Times New Roman" w:hAnsi="Times New Roman" w:eastAsia="Times New Roman" w:cs="Times New Roman"/>
          <w:spacing w:val="-9"/>
          <w:sz w:val="24"/>
          <w:szCs w:val="24"/>
        </w:rPr>
        <w:fldChar w:fldCharType="end"/>
      </w:r>
      <w:r>
        <w:rPr>
          <w:rFonts w:ascii="Times New Roman" w:hAnsi="Times New Roman" w:eastAsia="Times New Roman" w:cs="Times New Roman"/>
          <w:spacing w:val="-9"/>
          <w:sz w:val="24"/>
          <w:szCs w:val="24"/>
        </w:rPr>
        <w:t>]64</w:t>
      </w:r>
      <w:r>
        <w:rPr>
          <w:rFonts w:ascii="Times New Roman" w:hAnsi="Times New Roman" w:eastAsia="Times New Roman" w:cs="Times New Roman"/>
          <w:spacing w:val="-10"/>
          <w:sz w:val="24"/>
          <w:szCs w:val="24"/>
        </w:rPr>
        <w:t>7</w:t>
      </w:r>
      <w:r>
        <w:rPr>
          <w:rFonts w:ascii="宋体" w:hAnsi="宋体" w:eastAsia="宋体" w:cs="宋体"/>
          <w:spacing w:val="-10"/>
          <w:sz w:val="24"/>
          <w:szCs w:val="24"/>
        </w:rPr>
        <w:t>号</w:t>
      </w:r>
      <w:r>
        <w:rPr>
          <w:rFonts w:ascii="宋体" w:hAnsi="宋体" w:eastAsia="宋体" w:cs="宋体"/>
          <w:spacing w:val="-34"/>
          <w:sz w:val="24"/>
          <w:szCs w:val="24"/>
        </w:rPr>
        <w:t>）：</w:t>
      </w:r>
    </w:p>
    <w:p w14:paraId="05F14ABC">
      <w:pPr>
        <w:spacing w:before="192" w:line="360" w:lineRule="auto"/>
        <w:ind w:left="37" w:hanging="15"/>
        <w:rPr>
          <w:rFonts w:ascii="宋体" w:hAnsi="宋体" w:eastAsia="宋体" w:cs="宋体"/>
          <w:sz w:val="24"/>
          <w:szCs w:val="24"/>
        </w:rPr>
      </w:pPr>
      <w:r>
        <w:rPr>
          <w:rFonts w:ascii="宋体" w:hAnsi="宋体" w:eastAsia="宋体" w:cs="宋体"/>
          <w:spacing w:val="-3"/>
          <w:sz w:val="24"/>
          <w:szCs w:val="24"/>
        </w:rPr>
        <w:t>“畜禽养殖过程中产生的污水应坚持种养结合的原则，经无害化处理后尽量充分</w:t>
      </w:r>
      <w:r>
        <w:rPr>
          <w:rFonts w:ascii="宋体" w:hAnsi="宋体" w:eastAsia="宋体" w:cs="宋体"/>
          <w:spacing w:val="-4"/>
          <w:sz w:val="24"/>
          <w:szCs w:val="24"/>
        </w:rPr>
        <w:t>还田，实现污水资源化利用。畜禽养殖场污水引入农田前必须进行预处理（采用</w:t>
      </w:r>
      <w:r>
        <w:rPr>
          <w:rFonts w:ascii="宋体" w:hAnsi="宋体" w:eastAsia="宋体" w:cs="宋体"/>
          <w:spacing w:val="-3"/>
          <w:sz w:val="24"/>
          <w:szCs w:val="24"/>
        </w:rPr>
        <w:t>格栅、厌氧、沉淀等工艺流程</w:t>
      </w:r>
      <w:r>
        <w:rPr>
          <w:rFonts w:ascii="宋体" w:hAnsi="宋体" w:eastAsia="宋体" w:cs="宋体"/>
          <w:spacing w:val="-5"/>
          <w:sz w:val="24"/>
          <w:szCs w:val="24"/>
        </w:rPr>
        <w:t>），</w:t>
      </w:r>
      <w:r>
        <w:rPr>
          <w:rFonts w:ascii="宋体" w:hAnsi="宋体" w:eastAsia="宋体" w:cs="宋体"/>
          <w:spacing w:val="-3"/>
          <w:sz w:val="24"/>
          <w:szCs w:val="24"/>
        </w:rPr>
        <w:t>应配套设置田间储存</w:t>
      </w:r>
      <w:r>
        <w:rPr>
          <w:rFonts w:ascii="宋体" w:hAnsi="宋体" w:eastAsia="宋体" w:cs="宋体"/>
          <w:spacing w:val="-4"/>
          <w:sz w:val="24"/>
          <w:szCs w:val="24"/>
        </w:rPr>
        <w:t>池，解决农田在非施肥期间的污水出路问题。在畜禽养殖场与还田利用的农田</w:t>
      </w:r>
      <w:r>
        <w:rPr>
          <w:rFonts w:ascii="宋体" w:hAnsi="宋体" w:eastAsia="宋体" w:cs="宋体"/>
          <w:spacing w:val="-5"/>
          <w:sz w:val="24"/>
          <w:szCs w:val="24"/>
        </w:rPr>
        <w:t>之间应建立有效的输送网络，</w:t>
      </w:r>
      <w:r>
        <w:rPr>
          <w:rFonts w:ascii="宋体" w:hAnsi="宋体" w:eastAsia="宋体" w:cs="宋体"/>
          <w:spacing w:val="-2"/>
          <w:sz w:val="24"/>
          <w:szCs w:val="24"/>
        </w:rPr>
        <w:t>通过车载或管道形式将处理（置）后的污水输送至农田”。</w:t>
      </w:r>
    </w:p>
    <w:p w14:paraId="50940D1A">
      <w:pPr>
        <w:spacing w:before="1"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）田间储存池</w:t>
      </w:r>
    </w:p>
    <w:p w14:paraId="4D655AA7">
      <w:pPr>
        <w:spacing w:before="182" w:line="360" w:lineRule="auto"/>
        <w:ind w:left="39" w:right="186" w:firstLine="480"/>
        <w:jc w:val="both"/>
        <w:rPr>
          <w:rFonts w:ascii="宋体" w:hAnsi="宋体" w:eastAsia="宋体" w:cs="宋体"/>
          <w:sz w:val="24"/>
          <w:szCs w:val="24"/>
        </w:rPr>
      </w:pPr>
      <w:r>
        <w:rPr>
          <w:rFonts w:ascii="宋体" w:hAnsi="宋体" w:eastAsia="宋体" w:cs="宋体"/>
          <w:spacing w:val="-3"/>
          <w:sz w:val="24"/>
          <w:szCs w:val="24"/>
        </w:rPr>
        <w:t>本项目共流转消纳土地</w:t>
      </w:r>
      <w:r>
        <w:rPr>
          <w:rFonts w:ascii="Times New Roman" w:hAnsi="Times New Roman" w:eastAsia="Times New Roman" w:cs="Times New Roman"/>
          <w:spacing w:val="-3"/>
          <w:sz w:val="24"/>
          <w:szCs w:val="24"/>
        </w:rPr>
        <w:t>2060</w:t>
      </w:r>
      <w:r>
        <w:rPr>
          <w:rFonts w:ascii="宋体" w:hAnsi="宋体" w:eastAsia="宋体" w:cs="宋体"/>
          <w:spacing w:val="-3"/>
          <w:sz w:val="24"/>
          <w:szCs w:val="24"/>
        </w:rPr>
        <w:t>亩，根据现场踏勘，消纳地内尚未修建田间储存</w:t>
      </w:r>
      <w:r>
        <w:rPr>
          <w:rFonts w:ascii="宋体" w:hAnsi="宋体" w:eastAsia="宋体" w:cs="宋体"/>
          <w:spacing w:val="-10"/>
          <w:sz w:val="24"/>
          <w:szCs w:val="24"/>
        </w:rPr>
        <w:t>池。根据《畜禽养殖业污染防治技术规范》、《四川省畜禽养殖污染防治技术指南</w:t>
      </w:r>
      <w:r>
        <w:rPr>
          <w:rFonts w:ascii="宋体" w:hAnsi="宋体" w:eastAsia="宋体" w:cs="宋体"/>
          <w:spacing w:val="-3"/>
          <w:sz w:val="24"/>
          <w:szCs w:val="24"/>
        </w:rPr>
        <w:t>（试行）》等要求，对于种养结合的养殖场，</w:t>
      </w:r>
      <w:r>
        <w:rPr>
          <w:rFonts w:ascii="宋体" w:hAnsi="宋体" w:eastAsia="宋体" w:cs="宋体"/>
          <w:spacing w:val="-4"/>
          <w:sz w:val="24"/>
          <w:szCs w:val="24"/>
        </w:rPr>
        <w:t>畜禽粪便贮存设施的总容积不得低</w:t>
      </w:r>
      <w:r>
        <w:rPr>
          <w:rFonts w:ascii="宋体" w:hAnsi="宋体" w:eastAsia="宋体" w:cs="宋体"/>
          <w:spacing w:val="-2"/>
          <w:sz w:val="24"/>
          <w:szCs w:val="24"/>
        </w:rPr>
        <w:t>于配套农林作物生产用肥的最大间隔时间内养殖场所产生粪便的总量。</w:t>
      </w:r>
    </w:p>
    <w:p w14:paraId="2B7B0DAA">
      <w:pPr>
        <w:spacing w:before="2" w:line="361" w:lineRule="auto"/>
        <w:ind w:left="40" w:right="185" w:firstLine="480"/>
        <w:rPr>
          <w:rFonts w:ascii="宋体" w:hAnsi="宋体" w:eastAsia="宋体" w:cs="宋体"/>
          <w:sz w:val="24"/>
          <w:szCs w:val="24"/>
        </w:rPr>
      </w:pPr>
      <w:r>
        <w:rPr>
          <w:rFonts w:ascii="宋体" w:hAnsi="宋体" w:eastAsia="宋体" w:cs="宋体"/>
          <w:spacing w:val="-3"/>
          <w:sz w:val="24"/>
          <w:szCs w:val="24"/>
        </w:rPr>
        <w:t>本项目消纳土地整治后用于旱作农业，全部种植旱地农作物，</w:t>
      </w:r>
      <w:r>
        <w:rPr>
          <w:rFonts w:ascii="宋体" w:hAnsi="宋体" w:eastAsia="宋体" w:cs="宋体"/>
          <w:spacing w:val="-4"/>
          <w:sz w:val="24"/>
          <w:szCs w:val="24"/>
        </w:rPr>
        <w:t>种植天冬、大</w:t>
      </w:r>
      <w:r>
        <w:rPr>
          <w:rFonts w:ascii="宋体" w:hAnsi="宋体" w:eastAsia="宋体" w:cs="宋体"/>
          <w:spacing w:val="4"/>
          <w:sz w:val="24"/>
          <w:szCs w:val="24"/>
        </w:rPr>
        <w:t>豆、玉米、油菜等，非施肥期间以内江降雨期</w:t>
      </w:r>
      <w:r>
        <w:rPr>
          <w:rFonts w:ascii="Times New Roman" w:hAnsi="Times New Roman" w:eastAsia="Times New Roman" w:cs="Times New Roman"/>
          <w:spacing w:val="4"/>
          <w:sz w:val="24"/>
          <w:szCs w:val="24"/>
        </w:rPr>
        <w:t>90</w:t>
      </w:r>
      <w:r>
        <w:rPr>
          <w:rFonts w:ascii="宋体" w:hAnsi="宋体" w:eastAsia="宋体" w:cs="宋体"/>
          <w:spacing w:val="4"/>
          <w:sz w:val="24"/>
          <w:szCs w:val="24"/>
        </w:rPr>
        <w:t>天来计。本项目夏季</w:t>
      </w:r>
      <w:r>
        <w:rPr>
          <w:rFonts w:ascii="宋体" w:hAnsi="宋体" w:eastAsia="宋体" w:cs="宋体"/>
          <w:spacing w:val="3"/>
          <w:sz w:val="24"/>
          <w:szCs w:val="24"/>
        </w:rPr>
        <w:t>废水量约</w:t>
      </w:r>
    </w:p>
    <w:p w14:paraId="762D25E8">
      <w:pPr>
        <w:spacing w:line="361" w:lineRule="auto"/>
        <w:rPr>
          <w:rFonts w:ascii="宋体" w:hAnsi="宋体" w:eastAsia="宋体" w:cs="宋体"/>
          <w:sz w:val="24"/>
          <w:szCs w:val="24"/>
        </w:rPr>
        <w:sectPr>
          <w:footerReference r:id="rId341" w:type="default"/>
          <w:pgSz w:w="11905" w:h="16840"/>
          <w:pgMar w:top="1168" w:right="1611" w:bottom="1409" w:left="1770" w:header="828" w:footer="1244" w:gutter="0"/>
          <w:cols w:space="720" w:num="1"/>
        </w:sectPr>
      </w:pPr>
    </w:p>
    <w:p w14:paraId="4B41C6D9">
      <w:pPr>
        <w:pStyle w:val="2"/>
        <w:spacing w:line="292" w:lineRule="auto"/>
      </w:pPr>
    </w:p>
    <w:p w14:paraId="2D0D8A19">
      <w:pPr>
        <w:spacing w:before="78" w:line="361" w:lineRule="auto"/>
        <w:ind w:left="39" w:right="216" w:hanging="4"/>
        <w:rPr>
          <w:rFonts w:ascii="宋体" w:hAnsi="宋体" w:eastAsia="宋体" w:cs="宋体"/>
          <w:sz w:val="24"/>
          <w:szCs w:val="24"/>
        </w:rPr>
      </w:pPr>
      <w:r>
        <w:rPr>
          <w:rFonts w:ascii="Times New Roman" w:hAnsi="Times New Roman" w:eastAsia="Times New Roman" w:cs="Times New Roman"/>
          <w:spacing w:val="-10"/>
          <w:sz w:val="24"/>
          <w:szCs w:val="24"/>
        </w:rPr>
        <w:t>247.46m</w:t>
      </w:r>
      <w:r>
        <w:rPr>
          <w:rFonts w:ascii="Times New Roman" w:hAnsi="Times New Roman" w:eastAsia="Times New Roman" w:cs="Times New Roman"/>
          <w:spacing w:val="-10"/>
          <w:position w:val="10"/>
          <w:sz w:val="15"/>
          <w:szCs w:val="15"/>
        </w:rPr>
        <w:t>3</w:t>
      </w:r>
      <w:r>
        <w:rPr>
          <w:rFonts w:ascii="Times New Roman" w:hAnsi="Times New Roman" w:eastAsia="Times New Roman" w:cs="Times New Roman"/>
          <w:spacing w:val="-10"/>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10"/>
          <w:sz w:val="24"/>
          <w:szCs w:val="24"/>
        </w:rPr>
        <w:t>，</w:t>
      </w:r>
      <w:r>
        <w:rPr>
          <w:rFonts w:ascii="宋体" w:hAnsi="宋体" w:eastAsia="宋体" w:cs="宋体"/>
          <w:spacing w:val="-51"/>
          <w:sz w:val="24"/>
          <w:szCs w:val="24"/>
        </w:rPr>
        <w:t xml:space="preserve"> </w:t>
      </w:r>
      <w:r>
        <w:rPr>
          <w:rFonts w:ascii="宋体" w:hAnsi="宋体" w:eastAsia="宋体" w:cs="宋体"/>
          <w:spacing w:val="-10"/>
          <w:sz w:val="24"/>
          <w:szCs w:val="24"/>
        </w:rPr>
        <w:t>根</w:t>
      </w:r>
      <w:r>
        <w:rPr>
          <w:rFonts w:ascii="宋体" w:hAnsi="宋体" w:eastAsia="宋体" w:cs="宋体"/>
          <w:spacing w:val="-52"/>
          <w:sz w:val="24"/>
          <w:szCs w:val="24"/>
        </w:rPr>
        <w:t xml:space="preserve"> </w:t>
      </w:r>
      <w:r>
        <w:rPr>
          <w:rFonts w:ascii="宋体" w:hAnsi="宋体" w:eastAsia="宋体" w:cs="宋体"/>
          <w:spacing w:val="-10"/>
          <w:sz w:val="24"/>
          <w:szCs w:val="24"/>
        </w:rPr>
        <w:t>据</w:t>
      </w:r>
      <w:r>
        <w:rPr>
          <w:rFonts w:ascii="宋体" w:hAnsi="宋体" w:eastAsia="宋体" w:cs="宋体"/>
          <w:spacing w:val="-49"/>
          <w:sz w:val="24"/>
          <w:szCs w:val="24"/>
        </w:rPr>
        <w:t xml:space="preserve"> </w:t>
      </w:r>
      <w:r>
        <w:rPr>
          <w:rFonts w:ascii="宋体" w:hAnsi="宋体" w:eastAsia="宋体" w:cs="宋体"/>
          <w:spacing w:val="-10"/>
          <w:sz w:val="24"/>
          <w:szCs w:val="24"/>
        </w:rPr>
        <w:t>规</w:t>
      </w:r>
      <w:r>
        <w:rPr>
          <w:rFonts w:ascii="宋体" w:hAnsi="宋体" w:eastAsia="宋体" w:cs="宋体"/>
          <w:spacing w:val="-46"/>
          <w:sz w:val="24"/>
          <w:szCs w:val="24"/>
        </w:rPr>
        <w:t xml:space="preserve"> </w:t>
      </w:r>
      <w:r>
        <w:rPr>
          <w:rFonts w:ascii="宋体" w:hAnsi="宋体" w:eastAsia="宋体" w:cs="宋体"/>
          <w:spacing w:val="-10"/>
          <w:sz w:val="24"/>
          <w:szCs w:val="24"/>
        </w:rPr>
        <w:t>范</w:t>
      </w:r>
      <w:r>
        <w:rPr>
          <w:rFonts w:ascii="宋体" w:hAnsi="宋体" w:eastAsia="宋体" w:cs="宋体"/>
          <w:spacing w:val="-51"/>
          <w:sz w:val="24"/>
          <w:szCs w:val="24"/>
        </w:rPr>
        <w:t xml:space="preserve"> </w:t>
      </w:r>
      <w:r>
        <w:rPr>
          <w:rFonts w:ascii="宋体" w:hAnsi="宋体" w:eastAsia="宋体" w:cs="宋体"/>
          <w:spacing w:val="-10"/>
          <w:sz w:val="24"/>
          <w:szCs w:val="24"/>
        </w:rPr>
        <w:t>及</w:t>
      </w:r>
      <w:r>
        <w:rPr>
          <w:rFonts w:ascii="宋体" w:hAnsi="宋体" w:eastAsia="宋体" w:cs="宋体"/>
          <w:spacing w:val="-48"/>
          <w:sz w:val="24"/>
          <w:szCs w:val="24"/>
        </w:rPr>
        <w:t xml:space="preserve"> </w:t>
      </w:r>
      <w:r>
        <w:rPr>
          <w:rFonts w:ascii="宋体" w:hAnsi="宋体" w:eastAsia="宋体" w:cs="宋体"/>
          <w:spacing w:val="-10"/>
          <w:sz w:val="24"/>
          <w:szCs w:val="24"/>
        </w:rPr>
        <w:t>指</w:t>
      </w:r>
      <w:r>
        <w:rPr>
          <w:rFonts w:ascii="宋体" w:hAnsi="宋体" w:eastAsia="宋体" w:cs="宋体"/>
          <w:spacing w:val="-48"/>
          <w:sz w:val="24"/>
          <w:szCs w:val="24"/>
        </w:rPr>
        <w:t xml:space="preserve"> </w:t>
      </w:r>
      <w:r>
        <w:rPr>
          <w:rFonts w:ascii="宋体" w:hAnsi="宋体" w:eastAsia="宋体" w:cs="宋体"/>
          <w:spacing w:val="-10"/>
          <w:sz w:val="24"/>
          <w:szCs w:val="24"/>
        </w:rPr>
        <w:t>南</w:t>
      </w:r>
      <w:r>
        <w:rPr>
          <w:rFonts w:ascii="宋体" w:hAnsi="宋体" w:eastAsia="宋体" w:cs="宋体"/>
          <w:spacing w:val="-50"/>
          <w:sz w:val="24"/>
          <w:szCs w:val="24"/>
        </w:rPr>
        <w:t xml:space="preserve"> </w:t>
      </w:r>
      <w:r>
        <w:rPr>
          <w:rFonts w:ascii="宋体" w:hAnsi="宋体" w:eastAsia="宋体" w:cs="宋体"/>
          <w:spacing w:val="-10"/>
          <w:sz w:val="24"/>
          <w:szCs w:val="24"/>
        </w:rPr>
        <w:t>要</w:t>
      </w:r>
      <w:r>
        <w:rPr>
          <w:rFonts w:ascii="宋体" w:hAnsi="宋体" w:eastAsia="宋体" w:cs="宋体"/>
          <w:spacing w:val="-49"/>
          <w:sz w:val="24"/>
          <w:szCs w:val="24"/>
        </w:rPr>
        <w:t xml:space="preserve"> </w:t>
      </w:r>
      <w:r>
        <w:rPr>
          <w:rFonts w:ascii="宋体" w:hAnsi="宋体" w:eastAsia="宋体" w:cs="宋体"/>
          <w:spacing w:val="-10"/>
          <w:sz w:val="24"/>
          <w:szCs w:val="24"/>
        </w:rPr>
        <w:t>求</w:t>
      </w:r>
      <w:r>
        <w:rPr>
          <w:rFonts w:ascii="宋体" w:hAnsi="宋体" w:eastAsia="宋体" w:cs="宋体"/>
          <w:spacing w:val="-31"/>
          <w:sz w:val="24"/>
          <w:szCs w:val="24"/>
        </w:rPr>
        <w:t xml:space="preserve"> </w:t>
      </w:r>
      <w:r>
        <w:rPr>
          <w:rFonts w:ascii="宋体" w:hAnsi="宋体" w:eastAsia="宋体" w:cs="宋体"/>
          <w:spacing w:val="-10"/>
          <w:sz w:val="24"/>
          <w:szCs w:val="24"/>
        </w:rPr>
        <w:t>，</w:t>
      </w:r>
      <w:r>
        <w:rPr>
          <w:rFonts w:ascii="宋体" w:hAnsi="宋体" w:eastAsia="宋体" w:cs="宋体"/>
          <w:spacing w:val="-46"/>
          <w:sz w:val="24"/>
          <w:szCs w:val="24"/>
        </w:rPr>
        <w:t xml:space="preserve"> </w:t>
      </w:r>
      <w:r>
        <w:rPr>
          <w:rFonts w:ascii="宋体" w:hAnsi="宋体" w:eastAsia="宋体" w:cs="宋体"/>
          <w:spacing w:val="-10"/>
          <w:sz w:val="24"/>
          <w:szCs w:val="24"/>
        </w:rPr>
        <w:t>则 田</w:t>
      </w:r>
      <w:r>
        <w:rPr>
          <w:rFonts w:ascii="宋体" w:hAnsi="宋体" w:eastAsia="宋体" w:cs="宋体"/>
          <w:spacing w:val="-33"/>
          <w:sz w:val="24"/>
          <w:szCs w:val="24"/>
        </w:rPr>
        <w:t xml:space="preserve"> </w:t>
      </w:r>
      <w:r>
        <w:rPr>
          <w:rFonts w:ascii="宋体" w:hAnsi="宋体" w:eastAsia="宋体" w:cs="宋体"/>
          <w:spacing w:val="-14"/>
          <w:sz w:val="24"/>
          <w:szCs w:val="24"/>
        </w:rPr>
        <w:t>间</w:t>
      </w:r>
      <w:r>
        <w:rPr>
          <w:rFonts w:ascii="宋体" w:hAnsi="宋体" w:eastAsia="宋体" w:cs="宋体"/>
          <w:spacing w:val="-51"/>
          <w:sz w:val="24"/>
          <w:szCs w:val="24"/>
        </w:rPr>
        <w:t xml:space="preserve"> </w:t>
      </w:r>
      <w:r>
        <w:rPr>
          <w:rFonts w:ascii="宋体" w:hAnsi="宋体" w:eastAsia="宋体" w:cs="宋体"/>
          <w:spacing w:val="-14"/>
          <w:sz w:val="24"/>
          <w:szCs w:val="24"/>
        </w:rPr>
        <w:t>储</w:t>
      </w:r>
      <w:r>
        <w:rPr>
          <w:rFonts w:ascii="宋体" w:hAnsi="宋体" w:eastAsia="宋体" w:cs="宋体"/>
          <w:spacing w:val="-52"/>
          <w:sz w:val="24"/>
          <w:szCs w:val="24"/>
        </w:rPr>
        <w:t xml:space="preserve"> </w:t>
      </w:r>
      <w:r>
        <w:rPr>
          <w:rFonts w:ascii="宋体" w:hAnsi="宋体" w:eastAsia="宋体" w:cs="宋体"/>
          <w:spacing w:val="-14"/>
          <w:sz w:val="24"/>
          <w:szCs w:val="24"/>
        </w:rPr>
        <w:t>存</w:t>
      </w:r>
      <w:r>
        <w:rPr>
          <w:rFonts w:ascii="宋体" w:hAnsi="宋体" w:eastAsia="宋体" w:cs="宋体"/>
          <w:spacing w:val="-51"/>
          <w:sz w:val="24"/>
          <w:szCs w:val="24"/>
        </w:rPr>
        <w:t xml:space="preserve"> </w:t>
      </w:r>
      <w:r>
        <w:rPr>
          <w:rFonts w:ascii="宋体" w:hAnsi="宋体" w:eastAsia="宋体" w:cs="宋体"/>
          <w:spacing w:val="-14"/>
          <w:sz w:val="24"/>
          <w:szCs w:val="24"/>
        </w:rPr>
        <w:t>池</w:t>
      </w:r>
      <w:r>
        <w:rPr>
          <w:rFonts w:ascii="宋体" w:hAnsi="宋体" w:eastAsia="宋体" w:cs="宋体"/>
          <w:spacing w:val="-31"/>
          <w:sz w:val="24"/>
          <w:szCs w:val="24"/>
        </w:rPr>
        <w:t xml:space="preserve"> </w:t>
      </w:r>
      <w:r>
        <w:rPr>
          <w:rFonts w:ascii="宋体" w:hAnsi="宋体" w:eastAsia="宋体" w:cs="宋体"/>
          <w:spacing w:val="-14"/>
          <w:sz w:val="24"/>
          <w:szCs w:val="24"/>
        </w:rPr>
        <w:t>的</w:t>
      </w:r>
      <w:r>
        <w:rPr>
          <w:rFonts w:ascii="宋体" w:hAnsi="宋体" w:eastAsia="宋体" w:cs="宋体"/>
          <w:spacing w:val="-50"/>
          <w:sz w:val="24"/>
          <w:szCs w:val="24"/>
        </w:rPr>
        <w:t xml:space="preserve"> </w:t>
      </w:r>
      <w:r>
        <w:rPr>
          <w:rFonts w:ascii="宋体" w:hAnsi="宋体" w:eastAsia="宋体" w:cs="宋体"/>
          <w:spacing w:val="-14"/>
          <w:sz w:val="24"/>
          <w:szCs w:val="24"/>
        </w:rPr>
        <w:t>规</w:t>
      </w:r>
      <w:r>
        <w:rPr>
          <w:rFonts w:ascii="宋体" w:hAnsi="宋体" w:eastAsia="宋体" w:cs="宋体"/>
          <w:spacing w:val="-52"/>
          <w:sz w:val="24"/>
          <w:szCs w:val="24"/>
        </w:rPr>
        <w:t xml:space="preserve"> </w:t>
      </w:r>
      <w:r>
        <w:rPr>
          <w:rFonts w:ascii="宋体" w:hAnsi="宋体" w:eastAsia="宋体" w:cs="宋体"/>
          <w:spacing w:val="-14"/>
          <w:sz w:val="24"/>
          <w:szCs w:val="24"/>
        </w:rPr>
        <w:t>模</w:t>
      </w:r>
      <w:r>
        <w:rPr>
          <w:rFonts w:ascii="宋体" w:hAnsi="宋体" w:eastAsia="宋体" w:cs="宋体"/>
          <w:spacing w:val="-51"/>
          <w:sz w:val="24"/>
          <w:szCs w:val="24"/>
        </w:rPr>
        <w:t xml:space="preserve"> </w:t>
      </w:r>
      <w:r>
        <w:rPr>
          <w:rFonts w:ascii="宋体" w:hAnsi="宋体" w:eastAsia="宋体" w:cs="宋体"/>
          <w:spacing w:val="-14"/>
          <w:sz w:val="24"/>
          <w:szCs w:val="24"/>
        </w:rPr>
        <w:t>应</w:t>
      </w:r>
      <w:r>
        <w:rPr>
          <w:rFonts w:ascii="宋体" w:hAnsi="宋体" w:eastAsia="宋体" w:cs="宋体"/>
          <w:spacing w:val="-47"/>
          <w:sz w:val="24"/>
          <w:szCs w:val="24"/>
        </w:rPr>
        <w:t xml:space="preserve"> </w:t>
      </w:r>
      <w:r>
        <w:rPr>
          <w:rFonts w:ascii="宋体" w:hAnsi="宋体" w:eastAsia="宋体" w:cs="宋体"/>
          <w:spacing w:val="-14"/>
          <w:sz w:val="24"/>
          <w:szCs w:val="24"/>
        </w:rPr>
        <w:t>不</w:t>
      </w:r>
      <w:r>
        <w:rPr>
          <w:rFonts w:ascii="宋体" w:hAnsi="宋体" w:eastAsia="宋体" w:cs="宋体"/>
          <w:spacing w:val="-52"/>
          <w:sz w:val="24"/>
          <w:szCs w:val="24"/>
        </w:rPr>
        <w:t xml:space="preserve"> </w:t>
      </w:r>
      <w:r>
        <w:rPr>
          <w:rFonts w:ascii="宋体" w:hAnsi="宋体" w:eastAsia="宋体" w:cs="宋体"/>
          <w:spacing w:val="-14"/>
          <w:sz w:val="24"/>
          <w:szCs w:val="24"/>
        </w:rPr>
        <w:t>低</w:t>
      </w:r>
      <w:r>
        <w:rPr>
          <w:rFonts w:ascii="宋体" w:hAnsi="宋体" w:eastAsia="宋体" w:cs="宋体"/>
          <w:spacing w:val="-47"/>
          <w:sz w:val="24"/>
          <w:szCs w:val="24"/>
        </w:rPr>
        <w:t xml:space="preserve"> </w:t>
      </w:r>
      <w:r>
        <w:rPr>
          <w:rFonts w:ascii="宋体" w:hAnsi="宋体" w:eastAsia="宋体" w:cs="宋体"/>
          <w:spacing w:val="-14"/>
          <w:sz w:val="24"/>
          <w:szCs w:val="24"/>
        </w:rPr>
        <w:t>于</w:t>
      </w:r>
      <w:r>
        <w:rPr>
          <w:rFonts w:ascii="Times New Roman" w:hAnsi="Times New Roman" w:eastAsia="Times New Roman" w:cs="Times New Roman"/>
          <w:spacing w:val="-1"/>
          <w:sz w:val="24"/>
          <w:szCs w:val="24"/>
        </w:rPr>
        <w:t>90×247.46=22271m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，故，本项目田间储存池的规模定为</w:t>
      </w:r>
      <w:r>
        <w:rPr>
          <w:rFonts w:ascii="Times New Roman" w:hAnsi="Times New Roman" w:eastAsia="Times New Roman" w:cs="Times New Roman"/>
          <w:spacing w:val="-1"/>
          <w:sz w:val="24"/>
          <w:szCs w:val="24"/>
        </w:rPr>
        <w:t>22500m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是合理的。</w:t>
      </w:r>
    </w:p>
    <w:p w14:paraId="0F9830EE">
      <w:pPr>
        <w:spacing w:before="10"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）田间储存池的数量</w:t>
      </w:r>
    </w:p>
    <w:p w14:paraId="719FC471">
      <w:pPr>
        <w:spacing w:before="182" w:line="360" w:lineRule="auto"/>
        <w:ind w:left="39" w:firstLine="482"/>
        <w:jc w:val="both"/>
        <w:rPr>
          <w:rFonts w:ascii="宋体" w:hAnsi="宋体" w:eastAsia="宋体" w:cs="宋体"/>
          <w:sz w:val="24"/>
          <w:szCs w:val="24"/>
        </w:rPr>
      </w:pPr>
      <w:r>
        <w:rPr>
          <w:rFonts w:ascii="宋体" w:hAnsi="宋体" w:eastAsia="宋体" w:cs="宋体"/>
          <w:spacing w:val="-3"/>
          <w:sz w:val="24"/>
          <w:szCs w:val="24"/>
        </w:rPr>
        <w:t>从本项目流转的消纳地分布来看，消纳地总体西侧地势较</w:t>
      </w:r>
      <w:r>
        <w:rPr>
          <w:rFonts w:ascii="宋体" w:hAnsi="宋体" w:eastAsia="宋体" w:cs="宋体"/>
          <w:spacing w:val="-4"/>
          <w:sz w:val="24"/>
          <w:szCs w:val="24"/>
        </w:rPr>
        <w:t>高，田间储存池宜</w:t>
      </w:r>
      <w:r>
        <w:rPr>
          <w:rFonts w:ascii="宋体" w:hAnsi="宋体" w:eastAsia="宋体" w:cs="宋体"/>
          <w:spacing w:val="-5"/>
          <w:sz w:val="24"/>
          <w:szCs w:val="24"/>
        </w:rPr>
        <w:t>布置在地势相对较高的地方。结合本项目消纳区地形及分布情况，</w:t>
      </w:r>
      <w:r>
        <w:rPr>
          <w:rFonts w:ascii="宋体" w:hAnsi="宋体" w:eastAsia="宋体" w:cs="宋体"/>
          <w:spacing w:val="-46"/>
          <w:sz w:val="24"/>
          <w:szCs w:val="24"/>
        </w:rPr>
        <w:t xml:space="preserve"> </w:t>
      </w:r>
      <w:r>
        <w:rPr>
          <w:rFonts w:ascii="宋体" w:hAnsi="宋体" w:eastAsia="宋体" w:cs="宋体"/>
          <w:spacing w:val="-5"/>
          <w:sz w:val="24"/>
          <w:szCs w:val="24"/>
        </w:rPr>
        <w:t>建设单</w:t>
      </w:r>
      <w:r>
        <w:rPr>
          <w:rFonts w:ascii="宋体" w:hAnsi="宋体" w:eastAsia="宋体" w:cs="宋体"/>
          <w:spacing w:val="-6"/>
          <w:sz w:val="24"/>
          <w:szCs w:val="24"/>
        </w:rPr>
        <w:t>位拟在</w:t>
      </w:r>
      <w:r>
        <w:rPr>
          <w:rFonts w:ascii="宋体" w:hAnsi="宋体" w:eastAsia="宋体" w:cs="宋体"/>
          <w:spacing w:val="-12"/>
          <w:sz w:val="24"/>
          <w:szCs w:val="24"/>
        </w:rPr>
        <w:t>消纳地西侧、西北侧、西南侧共设</w:t>
      </w:r>
      <w:r>
        <w:rPr>
          <w:rFonts w:ascii="Times New Roman" w:hAnsi="Times New Roman" w:eastAsia="Times New Roman" w:cs="Times New Roman"/>
          <w:spacing w:val="-12"/>
          <w:sz w:val="24"/>
          <w:szCs w:val="24"/>
        </w:rPr>
        <w:t>5</w:t>
      </w:r>
      <w:r>
        <w:rPr>
          <w:rFonts w:ascii="宋体" w:hAnsi="宋体" w:eastAsia="宋体" w:cs="宋体"/>
          <w:spacing w:val="-12"/>
          <w:sz w:val="24"/>
          <w:szCs w:val="24"/>
        </w:rPr>
        <w:t>座田间储存池，容积</w:t>
      </w:r>
      <w:r>
        <w:rPr>
          <w:rFonts w:ascii="Times New Roman" w:hAnsi="Times New Roman" w:eastAsia="Times New Roman" w:cs="Times New Roman"/>
          <w:spacing w:val="-12"/>
          <w:sz w:val="24"/>
          <w:szCs w:val="24"/>
        </w:rPr>
        <w:t>4500m</w:t>
      </w:r>
      <w:r>
        <w:rPr>
          <w:rFonts w:ascii="Times New Roman" w:hAnsi="Times New Roman" w:eastAsia="Times New Roman" w:cs="Times New Roman"/>
          <w:spacing w:val="7"/>
          <w:position w:val="10"/>
          <w:sz w:val="15"/>
          <w:szCs w:val="15"/>
        </w:rPr>
        <w:t>3</w:t>
      </w:r>
      <w:r>
        <w:rPr>
          <w:rFonts w:ascii="Times New Roman" w:hAnsi="Times New Roman" w:eastAsia="Times New Roman" w:cs="Times New Roman"/>
          <w:spacing w:val="7"/>
          <w:sz w:val="24"/>
          <w:szCs w:val="24"/>
        </w:rPr>
        <w:t>/</w:t>
      </w:r>
      <w:r>
        <w:rPr>
          <w:rFonts w:ascii="宋体" w:hAnsi="宋体" w:eastAsia="宋体" w:cs="宋体"/>
          <w:spacing w:val="-11"/>
          <w:sz w:val="24"/>
          <w:szCs w:val="24"/>
        </w:rPr>
        <w:t>座，总容积</w:t>
      </w:r>
      <w:r>
        <w:rPr>
          <w:rFonts w:ascii="Times New Roman" w:hAnsi="Times New Roman" w:eastAsia="Times New Roman" w:cs="Times New Roman"/>
          <w:spacing w:val="-11"/>
          <w:sz w:val="24"/>
          <w:szCs w:val="24"/>
        </w:rPr>
        <w:t>22500m</w:t>
      </w:r>
      <w:r>
        <w:rPr>
          <w:rFonts w:ascii="Times New Roman" w:hAnsi="Times New Roman" w:eastAsia="Times New Roman" w:cs="Times New Roman"/>
          <w:spacing w:val="10"/>
          <w:position w:val="10"/>
          <w:sz w:val="15"/>
          <w:szCs w:val="15"/>
        </w:rPr>
        <w:t>3</w:t>
      </w:r>
      <w:r>
        <w:rPr>
          <w:rFonts w:ascii="宋体" w:hAnsi="宋体" w:eastAsia="宋体" w:cs="宋体"/>
          <w:spacing w:val="-34"/>
          <w:sz w:val="24"/>
          <w:szCs w:val="24"/>
        </w:rPr>
        <w:t>。</w:t>
      </w:r>
    </w:p>
    <w:p w14:paraId="621F63D1">
      <w:pPr>
        <w:spacing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）灌溉输送方式</w:t>
      </w:r>
    </w:p>
    <w:p w14:paraId="61D365D4">
      <w:pPr>
        <w:spacing w:before="183" w:line="360" w:lineRule="auto"/>
        <w:ind w:left="38" w:right="204" w:firstLine="480"/>
        <w:jc w:val="both"/>
        <w:rPr>
          <w:rFonts w:ascii="宋体" w:hAnsi="宋体" w:eastAsia="宋体" w:cs="宋体"/>
          <w:sz w:val="24"/>
          <w:szCs w:val="24"/>
        </w:rPr>
      </w:pPr>
      <w:r>
        <w:rPr>
          <w:rFonts w:ascii="宋体" w:hAnsi="宋体" w:eastAsia="宋体" w:cs="宋体"/>
          <w:spacing w:val="-3"/>
          <w:sz w:val="24"/>
          <w:szCs w:val="24"/>
        </w:rPr>
        <w:t>根据现场踏勘及地形图判别，对于低于污水处理站标高的部分消</w:t>
      </w:r>
      <w:r>
        <w:rPr>
          <w:rFonts w:ascii="宋体" w:hAnsi="宋体" w:eastAsia="宋体" w:cs="宋体"/>
          <w:spacing w:val="-4"/>
          <w:sz w:val="24"/>
          <w:szCs w:val="24"/>
        </w:rPr>
        <w:t>纳地，可以</w:t>
      </w:r>
      <w:r>
        <w:rPr>
          <w:rFonts w:ascii="宋体" w:hAnsi="宋体" w:eastAsia="宋体" w:cs="宋体"/>
          <w:spacing w:val="-3"/>
          <w:sz w:val="24"/>
          <w:szCs w:val="24"/>
        </w:rPr>
        <w:t>采用自流的方式；对于高于污水处理站标高的消纳地，建设单位拟采用泵送方式</w:t>
      </w:r>
      <w:r>
        <w:rPr>
          <w:rFonts w:ascii="宋体" w:hAnsi="宋体" w:eastAsia="宋体" w:cs="宋体"/>
          <w:spacing w:val="-4"/>
          <w:sz w:val="24"/>
          <w:szCs w:val="24"/>
        </w:rPr>
        <w:t>输水，在每座田间储存池旁设置</w:t>
      </w:r>
      <w:r>
        <w:rPr>
          <w:rFonts w:ascii="Times New Roman" w:hAnsi="Times New Roman" w:eastAsia="Times New Roman" w:cs="Times New Roman"/>
          <w:spacing w:val="-4"/>
          <w:sz w:val="24"/>
          <w:szCs w:val="24"/>
        </w:rPr>
        <w:t>1</w:t>
      </w:r>
      <w:r>
        <w:rPr>
          <w:rFonts w:ascii="宋体" w:hAnsi="宋体" w:eastAsia="宋体" w:cs="宋体"/>
          <w:spacing w:val="-4"/>
          <w:sz w:val="24"/>
          <w:szCs w:val="24"/>
        </w:rPr>
        <w:t>座提升泵站（内置提升泵）。</w:t>
      </w:r>
    </w:p>
    <w:p w14:paraId="3A242D79">
      <w:pPr>
        <w:spacing w:before="3" w:line="359" w:lineRule="auto"/>
        <w:ind w:left="41" w:right="204" w:firstLine="480"/>
        <w:jc w:val="both"/>
        <w:rPr>
          <w:rFonts w:ascii="宋体" w:hAnsi="宋体" w:eastAsia="宋体" w:cs="宋体"/>
          <w:sz w:val="24"/>
          <w:szCs w:val="24"/>
        </w:rPr>
      </w:pPr>
      <w:r>
        <w:rPr>
          <w:rFonts w:ascii="宋体" w:hAnsi="宋体" w:eastAsia="宋体" w:cs="宋体"/>
          <w:spacing w:val="-3"/>
          <w:sz w:val="24"/>
          <w:szCs w:val="24"/>
        </w:rPr>
        <w:t>为了完善消纳地灌溉系统，建设单位拟在后期对消纳地进</w:t>
      </w:r>
      <w:r>
        <w:rPr>
          <w:rFonts w:ascii="宋体" w:hAnsi="宋体" w:eastAsia="宋体" w:cs="宋体"/>
          <w:spacing w:val="-4"/>
          <w:sz w:val="24"/>
          <w:szCs w:val="24"/>
        </w:rPr>
        <w:t>行详细调查的基础</w:t>
      </w:r>
      <w:r>
        <w:rPr>
          <w:rFonts w:ascii="宋体" w:hAnsi="宋体" w:eastAsia="宋体" w:cs="宋体"/>
          <w:spacing w:val="-3"/>
          <w:sz w:val="24"/>
          <w:szCs w:val="24"/>
        </w:rPr>
        <w:t>上，结合消纳地地形及种植结构，布置一定数量的田间分配池，田间分配池计划以服务半径</w:t>
      </w:r>
      <w:r>
        <w:rPr>
          <w:rFonts w:ascii="Times New Roman" w:hAnsi="Times New Roman" w:eastAsia="Times New Roman" w:cs="Times New Roman"/>
          <w:spacing w:val="-3"/>
          <w:sz w:val="24"/>
          <w:szCs w:val="24"/>
        </w:rPr>
        <w:t>200m</w:t>
      </w:r>
      <w:r>
        <w:rPr>
          <w:rFonts w:ascii="宋体" w:hAnsi="宋体" w:eastAsia="宋体" w:cs="宋体"/>
          <w:spacing w:val="-3"/>
          <w:sz w:val="24"/>
          <w:szCs w:val="24"/>
        </w:rPr>
        <w:t>左右。</w:t>
      </w:r>
    </w:p>
    <w:p w14:paraId="1B0463A5">
      <w:pPr>
        <w:spacing w:line="360" w:lineRule="auto"/>
        <w:ind w:left="42" w:right="205" w:firstLine="480"/>
        <w:rPr>
          <w:rFonts w:ascii="宋体" w:hAnsi="宋体" w:eastAsia="宋体" w:cs="宋体"/>
          <w:sz w:val="24"/>
          <w:szCs w:val="24"/>
        </w:rPr>
      </w:pPr>
      <w:r>
        <w:rPr>
          <w:rFonts w:ascii="宋体" w:hAnsi="宋体" w:eastAsia="宋体" w:cs="宋体"/>
          <w:spacing w:val="-3"/>
          <w:sz w:val="24"/>
          <w:szCs w:val="24"/>
        </w:rPr>
        <w:t>设计采用</w:t>
      </w:r>
      <w:r>
        <w:rPr>
          <w:rFonts w:ascii="Times New Roman" w:hAnsi="Times New Roman" w:eastAsia="Times New Roman" w:cs="Times New Roman"/>
          <w:spacing w:val="-3"/>
          <w:sz w:val="24"/>
          <w:szCs w:val="24"/>
        </w:rPr>
        <w:t>DN110</w:t>
      </w:r>
      <w:r>
        <w:rPr>
          <w:rFonts w:ascii="宋体" w:hAnsi="宋体" w:eastAsia="宋体" w:cs="宋体"/>
          <w:spacing w:val="-3"/>
          <w:sz w:val="24"/>
          <w:szCs w:val="24"/>
        </w:rPr>
        <w:t>输水主管连接污水处理站及田间储存池，田间储存池与田间</w:t>
      </w:r>
      <w:r>
        <w:rPr>
          <w:rFonts w:ascii="宋体" w:hAnsi="宋体" w:eastAsia="宋体" w:cs="宋体"/>
          <w:spacing w:val="-5"/>
          <w:sz w:val="24"/>
          <w:szCs w:val="24"/>
        </w:rPr>
        <w:t>分配池、消纳地田间采用</w:t>
      </w:r>
      <w:r>
        <w:rPr>
          <w:rFonts w:ascii="Times New Roman" w:hAnsi="Times New Roman" w:eastAsia="Times New Roman" w:cs="Times New Roman"/>
          <w:spacing w:val="-5"/>
          <w:sz w:val="24"/>
          <w:szCs w:val="24"/>
        </w:rPr>
        <w:t>DN90</w:t>
      </w:r>
      <w:r>
        <w:rPr>
          <w:rFonts w:ascii="宋体" w:hAnsi="宋体" w:eastAsia="宋体" w:cs="宋体"/>
          <w:spacing w:val="-5"/>
          <w:sz w:val="24"/>
          <w:szCs w:val="24"/>
        </w:rPr>
        <w:t>灌溉主管及</w:t>
      </w:r>
      <w:r>
        <w:rPr>
          <w:rFonts w:ascii="Times New Roman" w:hAnsi="Times New Roman" w:eastAsia="Times New Roman" w:cs="Times New Roman"/>
          <w:spacing w:val="-5"/>
          <w:sz w:val="24"/>
          <w:szCs w:val="24"/>
        </w:rPr>
        <w:t>DN6.3</w:t>
      </w:r>
      <w:r>
        <w:rPr>
          <w:rFonts w:ascii="宋体" w:hAnsi="宋体" w:eastAsia="宋体" w:cs="宋体"/>
          <w:spacing w:val="-5"/>
          <w:sz w:val="24"/>
          <w:szCs w:val="24"/>
        </w:rPr>
        <w:t>灌溉支管，管网总长度约</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6"/>
          <w:sz w:val="24"/>
          <w:szCs w:val="24"/>
        </w:rPr>
        <w:t>0km</w:t>
      </w:r>
      <w:r>
        <w:rPr>
          <w:rFonts w:ascii="宋体" w:hAnsi="宋体" w:eastAsia="宋体" w:cs="宋体"/>
          <w:spacing w:val="-6"/>
          <w:sz w:val="24"/>
          <w:szCs w:val="24"/>
        </w:rPr>
        <w:t>。</w:t>
      </w:r>
    </w:p>
    <w:p w14:paraId="77836F89">
      <w:pPr>
        <w:spacing w:line="360" w:lineRule="auto"/>
        <w:ind w:left="41" w:right="203" w:firstLine="477"/>
        <w:rPr>
          <w:rFonts w:ascii="宋体" w:hAnsi="宋体" w:eastAsia="宋体" w:cs="宋体"/>
          <w:sz w:val="24"/>
          <w:szCs w:val="24"/>
        </w:rPr>
      </w:pPr>
      <w:r>
        <w:rPr>
          <w:rFonts w:ascii="宋体" w:hAnsi="宋体" w:eastAsia="宋体" w:cs="宋体"/>
          <w:spacing w:val="-3"/>
          <w:sz w:val="24"/>
          <w:szCs w:val="24"/>
        </w:rPr>
        <w:t>根据建设单位对养殖场消纳地调研，泵站在配置电力抽排机时为</w:t>
      </w:r>
      <w:r>
        <w:rPr>
          <w:rFonts w:ascii="宋体" w:hAnsi="宋体" w:eastAsia="宋体" w:cs="宋体"/>
          <w:spacing w:val="-4"/>
          <w:sz w:val="24"/>
          <w:szCs w:val="24"/>
        </w:rPr>
        <w:t>保证输送动</w:t>
      </w:r>
      <w:r>
        <w:rPr>
          <w:rFonts w:ascii="宋体" w:hAnsi="宋体" w:eastAsia="宋体" w:cs="宋体"/>
          <w:spacing w:val="2"/>
          <w:sz w:val="24"/>
          <w:szCs w:val="24"/>
        </w:rPr>
        <w:t>力采用</w:t>
      </w:r>
      <w:r>
        <w:rPr>
          <w:rFonts w:ascii="Times New Roman" w:hAnsi="Times New Roman" w:eastAsia="Times New Roman" w:cs="Times New Roman"/>
          <w:spacing w:val="2"/>
          <w:sz w:val="24"/>
          <w:szCs w:val="24"/>
        </w:rPr>
        <w:t>7.5</w:t>
      </w:r>
      <w:r>
        <w:rPr>
          <w:rFonts w:ascii="宋体" w:hAnsi="宋体" w:eastAsia="宋体" w:cs="宋体"/>
          <w:spacing w:val="2"/>
          <w:sz w:val="24"/>
          <w:szCs w:val="24"/>
        </w:rPr>
        <w:t>千瓦的串联双电机组，这种动力配置在相对平缓地势情况下可以达到</w:t>
      </w:r>
      <w:r>
        <w:rPr>
          <w:rFonts w:ascii="Times New Roman" w:hAnsi="Times New Roman" w:eastAsia="Times New Roman" w:cs="Times New Roman"/>
          <w:spacing w:val="-5"/>
          <w:sz w:val="24"/>
          <w:szCs w:val="24"/>
        </w:rPr>
        <w:t>5km</w:t>
      </w:r>
      <w:r>
        <w:rPr>
          <w:rFonts w:ascii="宋体" w:hAnsi="宋体" w:eastAsia="宋体" w:cs="宋体"/>
          <w:spacing w:val="-5"/>
          <w:sz w:val="24"/>
          <w:szCs w:val="24"/>
        </w:rPr>
        <w:t>的输送距离。根据本项目消纳地分布情况， 消纳地距离田间储存池最远距离</w:t>
      </w:r>
      <w:r>
        <w:rPr>
          <w:rFonts w:ascii="宋体" w:hAnsi="宋体" w:eastAsia="宋体" w:cs="宋体"/>
          <w:sz w:val="24"/>
          <w:szCs w:val="24"/>
        </w:rPr>
        <w:t>不足</w:t>
      </w:r>
      <w:r>
        <w:rPr>
          <w:rFonts w:ascii="Times New Roman" w:hAnsi="Times New Roman" w:eastAsia="Times New Roman" w:cs="Times New Roman"/>
          <w:sz w:val="24"/>
          <w:szCs w:val="24"/>
        </w:rPr>
        <w:t>3km</w:t>
      </w:r>
      <w:r>
        <w:rPr>
          <w:rFonts w:ascii="宋体" w:hAnsi="宋体" w:eastAsia="宋体" w:cs="宋体"/>
          <w:sz w:val="24"/>
          <w:szCs w:val="24"/>
        </w:rPr>
        <w:t>，处于</w:t>
      </w:r>
      <w:r>
        <w:rPr>
          <w:rFonts w:ascii="Times New Roman" w:hAnsi="Times New Roman" w:eastAsia="Times New Roman" w:cs="Times New Roman"/>
          <w:sz w:val="24"/>
          <w:szCs w:val="24"/>
        </w:rPr>
        <w:t>5km</w:t>
      </w:r>
      <w:r>
        <w:rPr>
          <w:rFonts w:ascii="宋体" w:hAnsi="宋体" w:eastAsia="宋体" w:cs="宋体"/>
          <w:sz w:val="24"/>
          <w:szCs w:val="24"/>
        </w:rPr>
        <w:t>的输送距离范围内。因此，采用串联双电机组对养殖污水进</w:t>
      </w:r>
      <w:r>
        <w:rPr>
          <w:rFonts w:ascii="宋体" w:hAnsi="宋体" w:eastAsia="宋体" w:cs="宋体"/>
          <w:spacing w:val="-6"/>
          <w:sz w:val="24"/>
          <w:szCs w:val="24"/>
        </w:rPr>
        <w:t>行输送是可行的。</w:t>
      </w:r>
    </w:p>
    <w:p w14:paraId="6A0D816E">
      <w:pPr>
        <w:spacing w:before="2" w:line="361" w:lineRule="auto"/>
        <w:ind w:left="40" w:right="205" w:firstLine="482"/>
        <w:jc w:val="both"/>
        <w:rPr>
          <w:rFonts w:ascii="宋体" w:hAnsi="宋体" w:eastAsia="宋体" w:cs="宋体"/>
          <w:sz w:val="24"/>
          <w:szCs w:val="24"/>
        </w:rPr>
      </w:pPr>
      <w:r>
        <w:rPr>
          <w:rFonts w:ascii="宋体" w:hAnsi="宋体" w:eastAsia="宋体" w:cs="宋体"/>
          <w:b/>
          <w:bCs/>
          <w:spacing w:val="1"/>
          <w:sz w:val="24"/>
          <w:szCs w:val="24"/>
        </w:rPr>
        <w:t>本项目消纳地的田间储存池、田间分配池及灌溉管网工程由四川良牧庄养殖有限公司出资和修建，运营期由四川富器溢农业有限公司负责消纳土地灌溉</w:t>
      </w:r>
      <w:r>
        <w:rPr>
          <w:rFonts w:ascii="宋体" w:hAnsi="宋体" w:eastAsia="宋体" w:cs="宋体"/>
          <w:b/>
          <w:bCs/>
          <w:spacing w:val="-8"/>
          <w:sz w:val="24"/>
          <w:szCs w:val="24"/>
        </w:rPr>
        <w:t>管网维护工作。</w:t>
      </w:r>
    </w:p>
    <w:p w14:paraId="23090B28">
      <w:pPr>
        <w:spacing w:before="52" w:line="226"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4.2.2.5 </w:t>
      </w:r>
      <w:r>
        <w:rPr>
          <w:rFonts w:ascii="宋体" w:hAnsi="宋体" w:eastAsia="宋体" w:cs="宋体"/>
          <w:b/>
          <w:bCs/>
          <w:spacing w:val="6"/>
          <w:sz w:val="27"/>
          <w:szCs w:val="27"/>
        </w:rPr>
        <w:t>废水灌溉对周围地表水环境影响</w:t>
      </w:r>
    </w:p>
    <w:p w14:paraId="47342214">
      <w:pPr>
        <w:spacing w:before="235"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）周围地表水体及环境质量</w:t>
      </w:r>
    </w:p>
    <w:p w14:paraId="4B5351AF">
      <w:pPr>
        <w:spacing w:before="183" w:line="360" w:lineRule="auto"/>
        <w:ind w:left="41" w:right="203" w:firstLine="507"/>
        <w:rPr>
          <w:rFonts w:ascii="宋体" w:hAnsi="宋体" w:eastAsia="宋体" w:cs="宋体"/>
          <w:sz w:val="24"/>
          <w:szCs w:val="24"/>
        </w:rPr>
      </w:pPr>
      <w:r>
        <w:rPr>
          <w:rFonts w:ascii="宋体" w:hAnsi="宋体" w:eastAsia="宋体" w:cs="宋体"/>
          <w:spacing w:val="-4"/>
          <w:sz w:val="24"/>
          <w:szCs w:val="24"/>
        </w:rPr>
        <w:t>由本项目外环境关系可知，项目东北侧</w:t>
      </w:r>
      <w:r>
        <w:rPr>
          <w:rFonts w:ascii="Times New Roman" w:hAnsi="Times New Roman" w:eastAsia="Times New Roman" w:cs="Times New Roman"/>
          <w:spacing w:val="-4"/>
          <w:sz w:val="24"/>
          <w:szCs w:val="24"/>
        </w:rPr>
        <w:t>1040m</w:t>
      </w:r>
      <w:r>
        <w:rPr>
          <w:rFonts w:ascii="宋体" w:hAnsi="宋体" w:eastAsia="宋体" w:cs="宋体"/>
          <w:spacing w:val="-4"/>
          <w:sz w:val="24"/>
          <w:szCs w:val="24"/>
        </w:rPr>
        <w:t>为大清流河、北侧</w:t>
      </w:r>
      <w:r>
        <w:rPr>
          <w:rFonts w:ascii="Times New Roman" w:hAnsi="Times New Roman" w:eastAsia="Times New Roman" w:cs="Times New Roman"/>
          <w:spacing w:val="-4"/>
          <w:sz w:val="24"/>
          <w:szCs w:val="24"/>
        </w:rPr>
        <w:t>700m</w:t>
      </w:r>
      <w:r>
        <w:rPr>
          <w:rFonts w:ascii="宋体" w:hAnsi="宋体" w:eastAsia="宋体" w:cs="宋体"/>
          <w:spacing w:val="-4"/>
          <w:sz w:val="24"/>
          <w:szCs w:val="24"/>
        </w:rPr>
        <w:t>处为五</w:t>
      </w:r>
      <w:r>
        <w:rPr>
          <w:rFonts w:ascii="宋体" w:hAnsi="宋体" w:eastAsia="宋体" w:cs="宋体"/>
          <w:spacing w:val="-1"/>
          <w:sz w:val="24"/>
          <w:szCs w:val="24"/>
        </w:rPr>
        <w:t>桂溪、南侧</w:t>
      </w:r>
      <w:r>
        <w:rPr>
          <w:rFonts w:ascii="Times New Roman" w:hAnsi="Times New Roman" w:eastAsia="Times New Roman" w:cs="Times New Roman"/>
          <w:spacing w:val="-1"/>
          <w:sz w:val="24"/>
          <w:szCs w:val="24"/>
        </w:rPr>
        <w:t>228m</w:t>
      </w:r>
      <w:r>
        <w:rPr>
          <w:rFonts w:ascii="宋体" w:hAnsi="宋体" w:eastAsia="宋体" w:cs="宋体"/>
          <w:spacing w:val="-1"/>
          <w:sz w:val="24"/>
          <w:szCs w:val="24"/>
        </w:rPr>
        <w:t>处为石核河，其中五桂溪、石核河均为大清流河一级</w:t>
      </w:r>
      <w:r>
        <w:rPr>
          <w:rFonts w:ascii="宋体" w:hAnsi="宋体" w:eastAsia="宋体" w:cs="宋体"/>
          <w:spacing w:val="-2"/>
          <w:sz w:val="24"/>
          <w:szCs w:val="24"/>
        </w:rPr>
        <w:t>支流。</w:t>
      </w:r>
    </w:p>
    <w:p w14:paraId="162CDE63">
      <w:pPr>
        <w:spacing w:before="1" w:line="217" w:lineRule="auto"/>
        <w:ind w:left="520"/>
        <w:rPr>
          <w:rFonts w:ascii="宋体" w:hAnsi="宋体" w:eastAsia="宋体" w:cs="宋体"/>
          <w:sz w:val="24"/>
          <w:szCs w:val="24"/>
        </w:rPr>
      </w:pPr>
      <w:r>
        <w:rPr>
          <w:rFonts w:ascii="宋体" w:hAnsi="宋体" w:eastAsia="宋体" w:cs="宋体"/>
          <w:b/>
          <w:bCs/>
          <w:spacing w:val="-3"/>
          <w:sz w:val="24"/>
          <w:szCs w:val="24"/>
        </w:rPr>
        <w:t>①大清流河环境质量</w:t>
      </w:r>
    </w:p>
    <w:p w14:paraId="79C4D331">
      <w:pPr>
        <w:spacing w:before="185" w:line="218" w:lineRule="auto"/>
        <w:ind w:left="520"/>
        <w:rPr>
          <w:rFonts w:ascii="宋体" w:hAnsi="宋体" w:eastAsia="宋体" w:cs="宋体"/>
          <w:sz w:val="24"/>
          <w:szCs w:val="24"/>
        </w:rPr>
      </w:pPr>
      <w:r>
        <w:rPr>
          <w:rFonts w:ascii="宋体" w:hAnsi="宋体" w:eastAsia="宋体" w:cs="宋体"/>
          <w:spacing w:val="12"/>
          <w:sz w:val="24"/>
          <w:szCs w:val="24"/>
        </w:rPr>
        <w:t>本次评价对大清流河的环境质量分析主要结合内江市生态环境局公布的</w:t>
      </w:r>
    </w:p>
    <w:p w14:paraId="576F71BE">
      <w:pPr>
        <w:spacing w:line="218" w:lineRule="auto"/>
        <w:rPr>
          <w:rFonts w:ascii="宋体" w:hAnsi="宋体" w:eastAsia="宋体" w:cs="宋体"/>
          <w:sz w:val="24"/>
          <w:szCs w:val="24"/>
        </w:rPr>
        <w:sectPr>
          <w:headerReference r:id="rId342" w:type="default"/>
          <w:footerReference r:id="rId343" w:type="default"/>
          <w:pgSz w:w="11905" w:h="16840"/>
          <w:pgMar w:top="1168" w:right="1594" w:bottom="1409" w:left="1770" w:header="828" w:footer="1244" w:gutter="0"/>
          <w:cols w:space="720" w:num="1"/>
        </w:sectPr>
      </w:pPr>
    </w:p>
    <w:p w14:paraId="40D91258">
      <w:pPr>
        <w:pStyle w:val="2"/>
        <w:spacing w:line="306" w:lineRule="auto"/>
      </w:pPr>
    </w:p>
    <w:p w14:paraId="58E2873B">
      <w:pPr>
        <w:spacing w:before="78" w:line="360" w:lineRule="auto"/>
        <w:ind w:left="39" w:right="32" w:hanging="4"/>
        <w:rPr>
          <w:rFonts w:ascii="宋体" w:hAnsi="宋体" w:eastAsia="宋体" w:cs="宋体"/>
          <w:sz w:val="24"/>
          <w:szCs w:val="24"/>
        </w:rPr>
      </w:pPr>
      <w:r>
        <w:rPr>
          <w:rFonts w:ascii="Times New Roman" w:hAnsi="Times New Roman" w:eastAsia="Times New Roman" w:cs="Times New Roman"/>
          <w:sz w:val="24"/>
          <w:szCs w:val="24"/>
        </w:rPr>
        <w:t>2021~2022</w:t>
      </w:r>
      <w:r>
        <w:rPr>
          <w:rFonts w:ascii="宋体" w:hAnsi="宋体" w:eastAsia="宋体" w:cs="宋体"/>
          <w:sz w:val="24"/>
          <w:szCs w:val="24"/>
        </w:rPr>
        <w:t>年度《内江市生态环境状况公报》以及《内江市“十三五”期间河流</w:t>
      </w:r>
      <w:r>
        <w:rPr>
          <w:rFonts w:ascii="宋体" w:hAnsi="宋体" w:eastAsia="宋体" w:cs="宋体"/>
          <w:spacing w:val="-2"/>
          <w:sz w:val="24"/>
          <w:szCs w:val="24"/>
        </w:rPr>
        <w:t>地表水水环境质量变化分析》（周开锡、李敏）等研究资料进行。</w:t>
      </w:r>
    </w:p>
    <w:p w14:paraId="24B9A37D">
      <w:pPr>
        <w:spacing w:line="360" w:lineRule="auto"/>
        <w:ind w:left="38" w:right="28" w:firstLine="480"/>
        <w:jc w:val="both"/>
        <w:rPr>
          <w:rFonts w:ascii="宋体" w:hAnsi="宋体" w:eastAsia="宋体" w:cs="宋体"/>
          <w:sz w:val="24"/>
          <w:szCs w:val="24"/>
        </w:rPr>
      </w:pPr>
      <w:r>
        <w:rPr>
          <w:rFonts w:ascii="宋体" w:hAnsi="宋体" w:eastAsia="宋体" w:cs="宋体"/>
          <w:spacing w:val="-3"/>
          <w:sz w:val="24"/>
          <w:szCs w:val="24"/>
        </w:rPr>
        <w:t>研究资料表明，内江市主要河流水环境质量在“十三五”期</w:t>
      </w:r>
      <w:r>
        <w:rPr>
          <w:rFonts w:ascii="宋体" w:hAnsi="宋体" w:eastAsia="宋体" w:cs="宋体"/>
          <w:spacing w:val="-4"/>
          <w:sz w:val="24"/>
          <w:szCs w:val="24"/>
        </w:rPr>
        <w:t>间明显好转，其</w:t>
      </w:r>
      <w:r>
        <w:rPr>
          <w:rFonts w:ascii="宋体" w:hAnsi="宋体" w:eastAsia="宋体" w:cs="宋体"/>
          <w:sz w:val="24"/>
          <w:szCs w:val="24"/>
        </w:rPr>
        <w:t>中大清流河在“十三五”期间水环境质量为：大清流河</w:t>
      </w:r>
      <w:r>
        <w:rPr>
          <w:rFonts w:ascii="Times New Roman" w:hAnsi="Times New Roman" w:eastAsia="Times New Roman" w:cs="Times New Roman"/>
          <w:sz w:val="24"/>
          <w:szCs w:val="24"/>
        </w:rPr>
        <w:t>6</w:t>
      </w:r>
      <w:r>
        <w:rPr>
          <w:rFonts w:ascii="宋体" w:hAnsi="宋体" w:eastAsia="宋体" w:cs="宋体"/>
          <w:sz w:val="24"/>
          <w:szCs w:val="24"/>
        </w:rPr>
        <w:t>个监测断面中永福、小</w:t>
      </w:r>
      <w:r>
        <w:rPr>
          <w:rFonts w:ascii="宋体" w:hAnsi="宋体" w:eastAsia="宋体" w:cs="宋体"/>
          <w:spacing w:val="-3"/>
          <w:sz w:val="24"/>
          <w:szCs w:val="24"/>
        </w:rPr>
        <w:t>河口大桥、七星村、李家碥</w:t>
      </w:r>
      <w:r>
        <w:rPr>
          <w:rFonts w:ascii="Times New Roman" w:hAnsi="Times New Roman" w:eastAsia="Times New Roman" w:cs="Times New Roman"/>
          <w:spacing w:val="-3"/>
          <w:sz w:val="24"/>
          <w:szCs w:val="24"/>
        </w:rPr>
        <w:t>4</w:t>
      </w:r>
      <w:r>
        <w:rPr>
          <w:rFonts w:ascii="宋体" w:hAnsi="宋体" w:eastAsia="宋体" w:cs="宋体"/>
          <w:spacing w:val="-3"/>
          <w:sz w:val="24"/>
          <w:szCs w:val="24"/>
        </w:rPr>
        <w:t>个断面为</w:t>
      </w:r>
      <w:r>
        <w:rPr>
          <w:rFonts w:ascii="Times New Roman" w:hAnsi="Times New Roman" w:eastAsia="Times New Roman" w:cs="Times New Roman"/>
          <w:spacing w:val="-3"/>
          <w:sz w:val="24"/>
          <w:szCs w:val="24"/>
        </w:rPr>
        <w:t>Ⅲ</w:t>
      </w:r>
      <w:r>
        <w:rPr>
          <w:rFonts w:ascii="宋体" w:hAnsi="宋体" w:eastAsia="宋体" w:cs="宋体"/>
          <w:spacing w:val="-3"/>
          <w:sz w:val="24"/>
          <w:szCs w:val="24"/>
        </w:rPr>
        <w:t>类水质，黄家坝、大埂</w:t>
      </w:r>
      <w:r>
        <w:rPr>
          <w:rFonts w:ascii="Times New Roman" w:hAnsi="Times New Roman" w:eastAsia="Times New Roman" w:cs="Times New Roman"/>
          <w:spacing w:val="-3"/>
          <w:sz w:val="24"/>
          <w:szCs w:val="24"/>
        </w:rPr>
        <w:t>2</w:t>
      </w:r>
      <w:r>
        <w:rPr>
          <w:rFonts w:ascii="宋体" w:hAnsi="宋体" w:eastAsia="宋体" w:cs="宋体"/>
          <w:spacing w:val="-3"/>
          <w:sz w:val="24"/>
          <w:szCs w:val="24"/>
        </w:rPr>
        <w:t>个断面为</w:t>
      </w:r>
      <w:r>
        <w:rPr>
          <w:rFonts w:ascii="Times New Roman" w:hAnsi="Times New Roman" w:eastAsia="Times New Roman" w:cs="Times New Roman"/>
          <w:spacing w:val="-3"/>
          <w:sz w:val="24"/>
          <w:szCs w:val="24"/>
        </w:rPr>
        <w:t>IV</w:t>
      </w:r>
      <w:r>
        <w:rPr>
          <w:rFonts w:ascii="宋体" w:hAnsi="宋体" w:eastAsia="宋体" w:cs="宋体"/>
          <w:spacing w:val="-3"/>
          <w:sz w:val="24"/>
          <w:szCs w:val="24"/>
        </w:rPr>
        <w:t>类水</w:t>
      </w:r>
      <w:r>
        <w:rPr>
          <w:rFonts w:ascii="宋体" w:hAnsi="宋体" w:eastAsia="宋体" w:cs="宋体"/>
          <w:spacing w:val="-6"/>
          <w:sz w:val="24"/>
          <w:szCs w:val="24"/>
        </w:rPr>
        <w:t>质。根据</w:t>
      </w:r>
      <w:r>
        <w:rPr>
          <w:rFonts w:ascii="Times New Roman" w:hAnsi="Times New Roman" w:eastAsia="Times New Roman" w:cs="Times New Roman"/>
          <w:spacing w:val="-6"/>
          <w:sz w:val="24"/>
          <w:szCs w:val="24"/>
        </w:rPr>
        <w:t>2021</w:t>
      </w:r>
      <w:r>
        <w:rPr>
          <w:rFonts w:ascii="宋体" w:hAnsi="宋体" w:eastAsia="宋体" w:cs="宋体"/>
          <w:spacing w:val="-6"/>
          <w:sz w:val="24"/>
          <w:szCs w:val="24"/>
        </w:rPr>
        <w:t>、</w:t>
      </w:r>
      <w:r>
        <w:rPr>
          <w:rFonts w:ascii="Times New Roman" w:hAnsi="Times New Roman" w:eastAsia="Times New Roman" w:cs="Times New Roman"/>
          <w:spacing w:val="-6"/>
          <w:sz w:val="24"/>
          <w:szCs w:val="24"/>
        </w:rPr>
        <w:t>2022</w:t>
      </w:r>
      <w:r>
        <w:rPr>
          <w:rFonts w:ascii="宋体" w:hAnsi="宋体" w:eastAsia="宋体" w:cs="宋体"/>
          <w:spacing w:val="-6"/>
          <w:sz w:val="24"/>
          <w:szCs w:val="24"/>
        </w:rPr>
        <w:t>年度《内江市生态环境状况公报》， 内江市河流水质优良率</w:t>
      </w:r>
      <w:r>
        <w:rPr>
          <w:rFonts w:ascii="宋体" w:hAnsi="宋体" w:eastAsia="宋体" w:cs="宋体"/>
          <w:spacing w:val="1"/>
          <w:sz w:val="24"/>
          <w:szCs w:val="24"/>
        </w:rPr>
        <w:t>总体有所上升。大清流河</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年水质总体优，同比明显</w:t>
      </w:r>
      <w:r>
        <w:rPr>
          <w:rFonts w:ascii="宋体" w:hAnsi="宋体" w:eastAsia="宋体" w:cs="宋体"/>
          <w:sz w:val="24"/>
          <w:szCs w:val="24"/>
        </w:rPr>
        <w:t>好转，</w:t>
      </w:r>
      <w:r>
        <w:rPr>
          <w:rFonts w:ascii="Times New Roman" w:hAnsi="Times New Roman" w:eastAsia="Times New Roman" w:cs="Times New Roman"/>
          <w:sz w:val="24"/>
          <w:szCs w:val="24"/>
        </w:rPr>
        <w:t>7</w:t>
      </w:r>
      <w:r>
        <w:rPr>
          <w:rFonts w:ascii="宋体" w:hAnsi="宋体" w:eastAsia="宋体" w:cs="宋体"/>
          <w:sz w:val="24"/>
          <w:szCs w:val="24"/>
        </w:rPr>
        <w:t>个断面均为</w:t>
      </w:r>
      <w:r>
        <w:rPr>
          <w:rFonts w:ascii="Times New Roman" w:hAnsi="Times New Roman" w:eastAsia="Times New Roman" w:cs="Times New Roman"/>
          <w:sz w:val="24"/>
          <w:szCs w:val="24"/>
        </w:rPr>
        <w:t>Ⅲ</w:t>
      </w:r>
      <w:r>
        <w:rPr>
          <w:rFonts w:ascii="宋体" w:hAnsi="宋体" w:eastAsia="宋体" w:cs="宋体"/>
          <w:sz w:val="24"/>
          <w:szCs w:val="24"/>
        </w:rPr>
        <w:t>类</w:t>
      </w:r>
      <w:r>
        <w:rPr>
          <w:rFonts w:ascii="宋体" w:hAnsi="宋体" w:eastAsia="宋体" w:cs="宋体"/>
          <w:spacing w:val="-2"/>
          <w:sz w:val="24"/>
          <w:szCs w:val="24"/>
        </w:rPr>
        <w:t>水质，占比</w:t>
      </w:r>
      <w:r>
        <w:rPr>
          <w:rFonts w:ascii="Times New Roman" w:hAnsi="Times New Roman" w:eastAsia="Times New Roman" w:cs="Times New Roman"/>
          <w:spacing w:val="-2"/>
          <w:sz w:val="24"/>
          <w:szCs w:val="24"/>
        </w:rPr>
        <w:t>100%</w:t>
      </w:r>
      <w:r>
        <w:rPr>
          <w:rFonts w:ascii="宋体" w:hAnsi="宋体" w:eastAsia="宋体" w:cs="宋体"/>
          <w:spacing w:val="-2"/>
          <w:sz w:val="24"/>
          <w:szCs w:val="24"/>
        </w:rPr>
        <w:t>；</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年大清流河水质总体优，与上年相比保持不变，</w:t>
      </w:r>
      <w:r>
        <w:rPr>
          <w:rFonts w:ascii="Times New Roman" w:hAnsi="Times New Roman" w:eastAsia="Times New Roman" w:cs="Times New Roman"/>
          <w:spacing w:val="-2"/>
          <w:sz w:val="24"/>
          <w:szCs w:val="24"/>
        </w:rPr>
        <w:t>7</w:t>
      </w:r>
      <w:r>
        <w:rPr>
          <w:rFonts w:ascii="宋体" w:hAnsi="宋体" w:eastAsia="宋体" w:cs="宋体"/>
          <w:spacing w:val="-2"/>
          <w:sz w:val="24"/>
          <w:szCs w:val="24"/>
        </w:rPr>
        <w:t>个断面</w:t>
      </w:r>
      <w:r>
        <w:rPr>
          <w:rFonts w:ascii="宋体" w:hAnsi="宋体" w:eastAsia="宋体" w:cs="宋体"/>
          <w:spacing w:val="2"/>
          <w:sz w:val="24"/>
          <w:szCs w:val="24"/>
        </w:rPr>
        <w:t>均为</w:t>
      </w:r>
      <w:r>
        <w:rPr>
          <w:rFonts w:ascii="Times New Roman" w:hAnsi="Times New Roman" w:eastAsia="Times New Roman" w:cs="Times New Roman"/>
          <w:spacing w:val="2"/>
          <w:sz w:val="24"/>
          <w:szCs w:val="24"/>
        </w:rPr>
        <w:t>Ⅰ~Ⅲ</w:t>
      </w:r>
      <w:r>
        <w:rPr>
          <w:rFonts w:ascii="宋体" w:hAnsi="宋体" w:eastAsia="宋体" w:cs="宋体"/>
          <w:spacing w:val="2"/>
          <w:sz w:val="24"/>
          <w:szCs w:val="24"/>
        </w:rPr>
        <w:t>类水质，占比</w:t>
      </w:r>
      <w:r>
        <w:rPr>
          <w:rFonts w:ascii="Times New Roman" w:hAnsi="Times New Roman" w:eastAsia="Times New Roman" w:cs="Times New Roman"/>
          <w:spacing w:val="2"/>
          <w:sz w:val="24"/>
          <w:szCs w:val="24"/>
        </w:rPr>
        <w:t>100%</w:t>
      </w:r>
      <w:r>
        <w:rPr>
          <w:rFonts w:ascii="宋体" w:hAnsi="宋体" w:eastAsia="宋体" w:cs="宋体"/>
          <w:spacing w:val="2"/>
          <w:sz w:val="24"/>
          <w:szCs w:val="24"/>
        </w:rPr>
        <w:t>。统计资料表明，相比于“十三五”期</w:t>
      </w:r>
      <w:r>
        <w:rPr>
          <w:rFonts w:ascii="宋体" w:hAnsi="宋体" w:eastAsia="宋体" w:cs="宋体"/>
          <w:spacing w:val="1"/>
          <w:sz w:val="24"/>
          <w:szCs w:val="24"/>
        </w:rPr>
        <w:t>间水环境质</w:t>
      </w:r>
      <w:r>
        <w:rPr>
          <w:rFonts w:ascii="宋体" w:hAnsi="宋体" w:eastAsia="宋体" w:cs="宋体"/>
          <w:spacing w:val="-3"/>
          <w:sz w:val="24"/>
          <w:szCs w:val="24"/>
        </w:rPr>
        <w:t>量，大清流河水质已得到持续改善。</w:t>
      </w:r>
    </w:p>
    <w:p w14:paraId="0DFF8B45">
      <w:pPr>
        <w:spacing w:line="217" w:lineRule="auto"/>
        <w:ind w:left="519"/>
        <w:rPr>
          <w:rFonts w:ascii="宋体" w:hAnsi="宋体" w:eastAsia="宋体" w:cs="宋体"/>
          <w:sz w:val="24"/>
          <w:szCs w:val="24"/>
        </w:rPr>
      </w:pPr>
      <w:r>
        <w:rPr>
          <w:rFonts w:ascii="宋体" w:hAnsi="宋体" w:eastAsia="宋体" w:cs="宋体"/>
          <w:b/>
          <w:bCs/>
          <w:spacing w:val="-3"/>
          <w:sz w:val="24"/>
          <w:szCs w:val="24"/>
        </w:rPr>
        <w:t>②五桂溪、石核河环境质量</w:t>
      </w:r>
    </w:p>
    <w:p w14:paraId="08EB9881">
      <w:pPr>
        <w:spacing w:before="185" w:line="360" w:lineRule="auto"/>
        <w:ind w:left="38" w:right="29" w:firstLine="480"/>
        <w:rPr>
          <w:rFonts w:ascii="宋体" w:hAnsi="宋体" w:eastAsia="宋体" w:cs="宋体"/>
          <w:sz w:val="24"/>
          <w:szCs w:val="24"/>
        </w:rPr>
      </w:pPr>
      <w:r>
        <w:rPr>
          <w:rFonts w:ascii="宋体" w:hAnsi="宋体" w:eastAsia="宋体" w:cs="宋体"/>
          <w:spacing w:val="1"/>
          <w:sz w:val="24"/>
          <w:szCs w:val="24"/>
        </w:rPr>
        <w:t>根据《内江市东兴区人民政府办公室关于印发</w:t>
      </w:r>
      <w:r>
        <w:rPr>
          <w:rFonts w:ascii="Times New Roman" w:hAnsi="Times New Roman" w:eastAsia="Times New Roman" w:cs="Times New Roman"/>
          <w:spacing w:val="1"/>
          <w:sz w:val="24"/>
          <w:szCs w:val="24"/>
        </w:rPr>
        <w:t>&lt;</w:t>
      </w:r>
      <w:r>
        <w:rPr>
          <w:rFonts w:ascii="宋体" w:hAnsi="宋体" w:eastAsia="宋体" w:cs="宋体"/>
          <w:spacing w:val="1"/>
          <w:sz w:val="24"/>
          <w:szCs w:val="24"/>
        </w:rPr>
        <w:t>内江市东兴区劣</w:t>
      </w:r>
      <w:r>
        <w:rPr>
          <w:rFonts w:ascii="Times New Roman" w:hAnsi="Times New Roman" w:eastAsia="Times New Roman" w:cs="Times New Roman"/>
          <w:spacing w:val="1"/>
          <w:sz w:val="24"/>
          <w:szCs w:val="24"/>
        </w:rPr>
        <w:t>V</w:t>
      </w:r>
      <w:r>
        <w:rPr>
          <w:rFonts w:ascii="宋体" w:hAnsi="宋体" w:eastAsia="宋体" w:cs="宋体"/>
          <w:spacing w:val="1"/>
          <w:sz w:val="24"/>
          <w:szCs w:val="24"/>
        </w:rPr>
        <w:t>类河</w:t>
      </w:r>
      <w:r>
        <w:rPr>
          <w:rFonts w:ascii="宋体" w:hAnsi="宋体" w:eastAsia="宋体" w:cs="宋体"/>
          <w:sz w:val="24"/>
          <w:szCs w:val="24"/>
        </w:rPr>
        <w:t>流、水库整治三年行动方案</w:t>
      </w:r>
      <w:r>
        <w:rPr>
          <w:rFonts w:ascii="Times New Roman" w:hAnsi="Times New Roman" w:eastAsia="Times New Roman" w:cs="Times New Roman"/>
          <w:sz w:val="24"/>
          <w:szCs w:val="24"/>
        </w:rPr>
        <w:t>&gt;</w:t>
      </w:r>
      <w:r>
        <w:rPr>
          <w:rFonts w:ascii="宋体" w:hAnsi="宋体" w:eastAsia="宋体" w:cs="宋体"/>
          <w:sz w:val="24"/>
          <w:szCs w:val="24"/>
        </w:rPr>
        <w:t>的通知》（内东区</w:t>
      </w:r>
      <w:r>
        <w:rPr>
          <w:rFonts w:ascii="宋体" w:hAnsi="宋体" w:eastAsia="宋体" w:cs="宋体"/>
          <w:spacing w:val="-1"/>
          <w:sz w:val="24"/>
          <w:szCs w:val="24"/>
        </w:rPr>
        <w:t>府办发</w:t>
      </w:r>
      <w:r>
        <w:rPr>
          <w:rFonts w:ascii="Times New Roman" w:hAnsi="Times New Roman" w:eastAsia="Times New Roman" w:cs="Times New Roman"/>
          <w:spacing w:val="-1"/>
          <w:sz w:val="24"/>
          <w:szCs w:val="24"/>
        </w:rPr>
        <w:t>[</w:t>
      </w:r>
      <w:r>
        <w:fldChar w:fldCharType="begin"/>
      </w:r>
      <w:r>
        <w:instrText xml:space="preserve"> HYPERLINK \l "bookmark172" </w:instrText>
      </w:r>
      <w:r>
        <w:fldChar w:fldCharType="separate"/>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rPr>
          <w:rFonts w:ascii="Times New Roman" w:hAnsi="Times New Roman" w:eastAsia="Times New Roman" w:cs="Times New Roman"/>
          <w:spacing w:val="41"/>
          <w:w w:val="101"/>
          <w:sz w:val="24"/>
          <w:szCs w:val="24"/>
        </w:rPr>
        <w:t xml:space="preserve"> </w:t>
      </w:r>
      <w:r>
        <w:rPr>
          <w:rFonts w:ascii="Times New Roman" w:hAnsi="Times New Roman" w:eastAsia="Times New Roman" w:cs="Times New Roman"/>
          <w:spacing w:val="-1"/>
          <w:sz w:val="24"/>
          <w:szCs w:val="24"/>
        </w:rPr>
        <w:t>74</w:t>
      </w:r>
      <w:r>
        <w:rPr>
          <w:rFonts w:ascii="宋体" w:hAnsi="宋体" w:eastAsia="宋体" w:cs="宋体"/>
          <w:spacing w:val="-1"/>
          <w:sz w:val="24"/>
          <w:szCs w:val="24"/>
        </w:rPr>
        <w:t>号</w:t>
      </w:r>
      <w:r>
        <w:rPr>
          <w:rFonts w:ascii="宋体" w:hAnsi="宋体" w:eastAsia="宋体" w:cs="宋体"/>
          <w:sz w:val="24"/>
          <w:szCs w:val="24"/>
        </w:rPr>
        <w:t>），</w:t>
      </w:r>
      <w:r>
        <w:rPr>
          <w:rFonts w:ascii="宋体" w:hAnsi="宋体" w:eastAsia="宋体" w:cs="宋体"/>
          <w:spacing w:val="-1"/>
          <w:sz w:val="24"/>
          <w:szCs w:val="24"/>
        </w:rPr>
        <w:t>东兴区</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宋体" w:hAnsi="宋体" w:eastAsia="宋体" w:cs="宋体"/>
          <w:spacing w:val="2"/>
          <w:sz w:val="24"/>
          <w:szCs w:val="24"/>
        </w:rPr>
        <w:t>有</w:t>
      </w:r>
      <w:r>
        <w:rPr>
          <w:rFonts w:ascii="Times New Roman" w:hAnsi="Times New Roman" w:eastAsia="Times New Roman" w:cs="Times New Roman"/>
          <w:spacing w:val="2"/>
          <w:sz w:val="24"/>
          <w:szCs w:val="24"/>
        </w:rPr>
        <w:t>7</w:t>
      </w:r>
      <w:r>
        <w:rPr>
          <w:rFonts w:ascii="宋体" w:hAnsi="宋体" w:eastAsia="宋体" w:cs="宋体"/>
          <w:spacing w:val="2"/>
          <w:sz w:val="24"/>
          <w:szCs w:val="24"/>
        </w:rPr>
        <w:t>条劣</w:t>
      </w:r>
      <w:r>
        <w:rPr>
          <w:rFonts w:ascii="Times New Roman" w:hAnsi="Times New Roman" w:eastAsia="Times New Roman" w:cs="Times New Roman"/>
          <w:spacing w:val="2"/>
          <w:sz w:val="24"/>
          <w:szCs w:val="24"/>
        </w:rPr>
        <w:t>Ⅴ</w:t>
      </w:r>
      <w:r>
        <w:rPr>
          <w:rFonts w:ascii="宋体" w:hAnsi="宋体" w:eastAsia="宋体" w:cs="宋体"/>
          <w:spacing w:val="2"/>
          <w:sz w:val="24"/>
          <w:szCs w:val="24"/>
        </w:rPr>
        <w:t>类河流，石核河、五桂溪位列其中。根据东兴生态环境局</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年对五</w:t>
      </w:r>
      <w:r>
        <w:rPr>
          <w:rFonts w:ascii="宋体" w:hAnsi="宋体" w:eastAsia="宋体" w:cs="宋体"/>
          <w:spacing w:val="1"/>
          <w:sz w:val="24"/>
          <w:szCs w:val="24"/>
        </w:rPr>
        <w:t>桂溪水质监测结果表明，五桂溪不能稳定达到</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类水质，全年</w:t>
      </w:r>
      <w:r>
        <w:rPr>
          <w:rFonts w:ascii="宋体" w:hAnsi="宋体" w:eastAsia="宋体" w:cs="宋体"/>
          <w:sz w:val="24"/>
          <w:szCs w:val="24"/>
        </w:rPr>
        <w:t>仅</w:t>
      </w:r>
      <w:r>
        <w:rPr>
          <w:rFonts w:ascii="Times New Roman" w:hAnsi="Times New Roman" w:eastAsia="Times New Roman" w:cs="Times New Roman"/>
          <w:sz w:val="24"/>
          <w:szCs w:val="24"/>
        </w:rPr>
        <w:t>4</w:t>
      </w:r>
      <w:r>
        <w:rPr>
          <w:rFonts w:ascii="宋体" w:hAnsi="宋体" w:eastAsia="宋体" w:cs="宋体"/>
          <w:sz w:val="24"/>
          <w:szCs w:val="24"/>
        </w:rPr>
        <w:t>个月份监测数</w:t>
      </w:r>
      <w:r>
        <w:rPr>
          <w:rFonts w:ascii="宋体" w:hAnsi="宋体" w:eastAsia="宋体" w:cs="宋体"/>
          <w:spacing w:val="-5"/>
          <w:sz w:val="24"/>
          <w:szCs w:val="24"/>
        </w:rPr>
        <w:t>据达到</w:t>
      </w:r>
      <w:r>
        <w:rPr>
          <w:rFonts w:ascii="Times New Roman" w:hAnsi="Times New Roman" w:eastAsia="Times New Roman" w:cs="Times New Roman"/>
          <w:spacing w:val="-5"/>
          <w:sz w:val="24"/>
          <w:szCs w:val="24"/>
        </w:rPr>
        <w:t>Ⅲ</w:t>
      </w:r>
      <w:r>
        <w:rPr>
          <w:rFonts w:ascii="宋体" w:hAnsi="宋体" w:eastAsia="宋体" w:cs="宋体"/>
          <w:spacing w:val="-5"/>
          <w:sz w:val="24"/>
          <w:szCs w:val="24"/>
        </w:rPr>
        <w:t>类水质，其余月份为</w:t>
      </w:r>
      <w:r>
        <w:rPr>
          <w:rFonts w:ascii="Times New Roman" w:hAnsi="Times New Roman" w:eastAsia="Times New Roman" w:cs="Times New Roman"/>
          <w:spacing w:val="-5"/>
          <w:sz w:val="24"/>
          <w:szCs w:val="24"/>
        </w:rPr>
        <w:t>Ⅳ~</w:t>
      </w:r>
      <w:r>
        <w:rPr>
          <w:rFonts w:ascii="宋体" w:hAnsi="宋体" w:eastAsia="宋体" w:cs="宋体"/>
          <w:spacing w:val="-5"/>
          <w:sz w:val="24"/>
          <w:szCs w:val="24"/>
        </w:rPr>
        <w:t>劣</w:t>
      </w:r>
      <w:r>
        <w:rPr>
          <w:rFonts w:ascii="Times New Roman" w:hAnsi="Times New Roman" w:eastAsia="Times New Roman" w:cs="Times New Roman"/>
          <w:spacing w:val="-5"/>
          <w:sz w:val="24"/>
          <w:szCs w:val="24"/>
        </w:rPr>
        <w:t>Ⅴ</w:t>
      </w:r>
      <w:r>
        <w:rPr>
          <w:rFonts w:ascii="宋体" w:hAnsi="宋体" w:eastAsia="宋体" w:cs="宋体"/>
          <w:spacing w:val="-5"/>
          <w:sz w:val="24"/>
          <w:szCs w:val="24"/>
        </w:rPr>
        <w:t>类水质。结合本次评价对石核河补充监测，</w:t>
      </w:r>
      <w:r>
        <w:rPr>
          <w:rFonts w:ascii="宋体" w:hAnsi="宋体" w:eastAsia="宋体" w:cs="宋体"/>
          <w:spacing w:val="-3"/>
          <w:sz w:val="24"/>
          <w:szCs w:val="24"/>
        </w:rPr>
        <w:t>结果表明石核河不能达到</w:t>
      </w:r>
      <w:r>
        <w:rPr>
          <w:rFonts w:ascii="Times New Roman" w:hAnsi="Times New Roman" w:eastAsia="Times New Roman" w:cs="Times New Roman"/>
          <w:spacing w:val="-3"/>
          <w:sz w:val="24"/>
          <w:szCs w:val="24"/>
        </w:rPr>
        <w:t>Ⅲ</w:t>
      </w:r>
      <w:r>
        <w:rPr>
          <w:rFonts w:ascii="宋体" w:hAnsi="宋体" w:eastAsia="宋体" w:cs="宋体"/>
          <w:spacing w:val="-3"/>
          <w:sz w:val="24"/>
          <w:szCs w:val="24"/>
        </w:rPr>
        <w:t>类水质。</w:t>
      </w:r>
    </w:p>
    <w:p w14:paraId="3BA7475F">
      <w:pPr>
        <w:spacing w:before="2" w:line="361" w:lineRule="auto"/>
        <w:ind w:left="38" w:right="29" w:firstLine="480"/>
        <w:jc w:val="both"/>
        <w:rPr>
          <w:rFonts w:ascii="宋体" w:hAnsi="宋体" w:eastAsia="宋体" w:cs="宋体"/>
          <w:sz w:val="24"/>
          <w:szCs w:val="24"/>
        </w:rPr>
      </w:pPr>
      <w:r>
        <w:rPr>
          <w:rFonts w:ascii="宋体" w:hAnsi="宋体" w:eastAsia="宋体" w:cs="宋体"/>
          <w:spacing w:val="1"/>
          <w:sz w:val="24"/>
          <w:szCs w:val="24"/>
        </w:rPr>
        <w:t>在《内江市东兴区劣</w:t>
      </w:r>
      <w:r>
        <w:rPr>
          <w:rFonts w:ascii="Times New Roman" w:hAnsi="Times New Roman" w:eastAsia="Times New Roman" w:cs="Times New Roman"/>
          <w:spacing w:val="1"/>
          <w:sz w:val="24"/>
          <w:szCs w:val="24"/>
        </w:rPr>
        <w:t>V</w:t>
      </w:r>
      <w:r>
        <w:rPr>
          <w:rFonts w:ascii="宋体" w:hAnsi="宋体" w:eastAsia="宋体" w:cs="宋体"/>
          <w:spacing w:val="1"/>
          <w:sz w:val="24"/>
          <w:szCs w:val="24"/>
        </w:rPr>
        <w:t>类河流、水库整治三年行动方案》中对</w:t>
      </w:r>
      <w:r>
        <w:rPr>
          <w:rFonts w:ascii="Times New Roman" w:hAnsi="Times New Roman" w:eastAsia="Times New Roman" w:cs="Times New Roman"/>
          <w:sz w:val="24"/>
          <w:szCs w:val="24"/>
        </w:rPr>
        <w:t>2021</w:t>
      </w:r>
      <w:r>
        <w:rPr>
          <w:rFonts w:ascii="宋体" w:hAnsi="宋体" w:eastAsia="宋体" w:cs="宋体"/>
          <w:sz w:val="24"/>
          <w:szCs w:val="24"/>
        </w:rPr>
        <w:t>年劣</w:t>
      </w:r>
      <w:r>
        <w:rPr>
          <w:rFonts w:ascii="Times New Roman" w:hAnsi="Times New Roman" w:eastAsia="Times New Roman" w:cs="Times New Roman"/>
          <w:sz w:val="24"/>
          <w:szCs w:val="24"/>
        </w:rPr>
        <w:t>Ⅴ</w:t>
      </w:r>
      <w:r>
        <w:rPr>
          <w:rFonts w:ascii="宋体" w:hAnsi="宋体" w:eastAsia="宋体" w:cs="宋体"/>
          <w:sz w:val="24"/>
          <w:szCs w:val="24"/>
        </w:rPr>
        <w:t>类</w:t>
      </w:r>
      <w:r>
        <w:rPr>
          <w:rFonts w:ascii="宋体" w:hAnsi="宋体" w:eastAsia="宋体" w:cs="宋体"/>
          <w:spacing w:val="-3"/>
          <w:sz w:val="24"/>
          <w:szCs w:val="24"/>
        </w:rPr>
        <w:t>河流问题污染源进行了调查，并提出了整改目标及整改措施，其中石核河、五桂</w:t>
      </w:r>
      <w:r>
        <w:rPr>
          <w:rFonts w:ascii="宋体" w:hAnsi="宋体" w:eastAsia="宋体" w:cs="宋体"/>
          <w:spacing w:val="-9"/>
          <w:sz w:val="24"/>
          <w:szCs w:val="24"/>
        </w:rPr>
        <w:t>溪摘录如下：</w:t>
      </w:r>
    </w:p>
    <w:p w14:paraId="1F625F2F">
      <w:pPr>
        <w:spacing w:before="7" w:line="221" w:lineRule="auto"/>
        <w:ind w:left="1350"/>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4.2-30  </w:t>
      </w:r>
      <w:r>
        <w:rPr>
          <w:rFonts w:ascii="黑体" w:hAnsi="黑体" w:eastAsia="黑体" w:cs="黑体"/>
          <w:spacing w:val="-1"/>
          <w:sz w:val="21"/>
          <w:szCs w:val="21"/>
        </w:rPr>
        <w:t>东兴区</w:t>
      </w:r>
      <w:r>
        <w:rPr>
          <w:rFonts w:ascii="Times New Roman" w:hAnsi="Times New Roman" w:eastAsia="Times New Roman" w:cs="Times New Roman"/>
          <w:spacing w:val="-1"/>
          <w:sz w:val="21"/>
          <w:szCs w:val="21"/>
        </w:rPr>
        <w:t>2021</w:t>
      </w:r>
      <w:r>
        <w:rPr>
          <w:rFonts w:ascii="黑体" w:hAnsi="黑体" w:eastAsia="黑体" w:cs="黑体"/>
          <w:spacing w:val="-1"/>
          <w:sz w:val="21"/>
          <w:szCs w:val="21"/>
        </w:rPr>
        <w:t>年劣Ⅴ类河流问题和任务清单表（摘录）</w:t>
      </w:r>
    </w:p>
    <w:p w14:paraId="7C44793A">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
        <w:gridCol w:w="709"/>
        <w:gridCol w:w="709"/>
        <w:gridCol w:w="1699"/>
        <w:gridCol w:w="993"/>
        <w:gridCol w:w="1275"/>
        <w:gridCol w:w="2644"/>
      </w:tblGrid>
      <w:tr w14:paraId="3BD51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91" w:type="dxa"/>
            <w:textDirection w:val="tbRlV"/>
            <w:vAlign w:val="top"/>
          </w:tcPr>
          <w:p w14:paraId="37E10F7F">
            <w:pPr>
              <w:spacing w:before="37" w:line="210" w:lineRule="auto"/>
              <w:ind w:left="54"/>
              <w:rPr>
                <w:rFonts w:ascii="宋体" w:hAnsi="宋体" w:eastAsia="宋体" w:cs="宋体"/>
                <w:sz w:val="21"/>
                <w:szCs w:val="21"/>
              </w:rPr>
            </w:pPr>
            <w:r>
              <w:rPr>
                <w:rFonts w:ascii="宋体" w:hAnsi="宋体" w:eastAsia="宋体" w:cs="宋体"/>
                <w:spacing w:val="-2"/>
                <w:sz w:val="21"/>
                <w:szCs w:val="21"/>
              </w:rPr>
              <w:t>序 号</w:t>
            </w:r>
          </w:p>
        </w:tc>
        <w:tc>
          <w:tcPr>
            <w:tcW w:w="709" w:type="dxa"/>
            <w:vAlign w:val="top"/>
          </w:tcPr>
          <w:p w14:paraId="7954EFD5">
            <w:pPr>
              <w:spacing w:before="54" w:line="222" w:lineRule="auto"/>
              <w:ind w:left="146"/>
              <w:rPr>
                <w:rFonts w:ascii="宋体" w:hAnsi="宋体" w:eastAsia="宋体" w:cs="宋体"/>
                <w:sz w:val="21"/>
                <w:szCs w:val="21"/>
              </w:rPr>
            </w:pPr>
            <w:r>
              <w:rPr>
                <w:rFonts w:ascii="宋体" w:hAnsi="宋体" w:eastAsia="宋体" w:cs="宋体"/>
                <w:spacing w:val="-2"/>
                <w:sz w:val="21"/>
                <w:szCs w:val="21"/>
              </w:rPr>
              <w:t>河流</w:t>
            </w:r>
          </w:p>
          <w:p w14:paraId="3BAD3E67">
            <w:pPr>
              <w:spacing w:before="59" w:line="222" w:lineRule="auto"/>
              <w:ind w:left="150"/>
              <w:rPr>
                <w:rFonts w:ascii="宋体" w:hAnsi="宋体" w:eastAsia="宋体" w:cs="宋体"/>
                <w:sz w:val="21"/>
                <w:szCs w:val="21"/>
              </w:rPr>
            </w:pPr>
            <w:r>
              <w:rPr>
                <w:rFonts w:ascii="宋体" w:hAnsi="宋体" w:eastAsia="宋体" w:cs="宋体"/>
                <w:spacing w:val="-3"/>
                <w:sz w:val="21"/>
                <w:szCs w:val="21"/>
              </w:rPr>
              <w:t>名称</w:t>
            </w:r>
          </w:p>
        </w:tc>
        <w:tc>
          <w:tcPr>
            <w:tcW w:w="709" w:type="dxa"/>
            <w:vAlign w:val="top"/>
          </w:tcPr>
          <w:p w14:paraId="0B7238F1">
            <w:pPr>
              <w:spacing w:before="54" w:line="250" w:lineRule="auto"/>
              <w:ind w:left="146" w:right="39" w:hanging="104"/>
              <w:rPr>
                <w:rFonts w:ascii="宋体" w:hAnsi="宋体" w:eastAsia="宋体" w:cs="宋体"/>
                <w:sz w:val="21"/>
                <w:szCs w:val="21"/>
              </w:rPr>
            </w:pPr>
            <w:r>
              <w:rPr>
                <w:rFonts w:ascii="宋体" w:hAnsi="宋体" w:eastAsia="宋体" w:cs="宋体"/>
                <w:spacing w:val="-3"/>
                <w:sz w:val="21"/>
                <w:szCs w:val="21"/>
              </w:rPr>
              <w:t>镇（街</w:t>
            </w:r>
            <w:r>
              <w:rPr>
                <w:rFonts w:ascii="宋体" w:hAnsi="宋体" w:eastAsia="宋体" w:cs="宋体"/>
                <w:spacing w:val="-6"/>
                <w:sz w:val="21"/>
                <w:szCs w:val="21"/>
              </w:rPr>
              <w:t>道）</w:t>
            </w:r>
          </w:p>
        </w:tc>
        <w:tc>
          <w:tcPr>
            <w:tcW w:w="1699" w:type="dxa"/>
            <w:vAlign w:val="top"/>
          </w:tcPr>
          <w:p w14:paraId="1DC76254">
            <w:pPr>
              <w:spacing w:before="210" w:line="220" w:lineRule="auto"/>
              <w:ind w:left="541"/>
              <w:rPr>
                <w:rFonts w:ascii="宋体" w:hAnsi="宋体" w:eastAsia="宋体" w:cs="宋体"/>
                <w:sz w:val="21"/>
                <w:szCs w:val="21"/>
              </w:rPr>
            </w:pPr>
            <w:r>
              <w:rPr>
                <w:rFonts w:ascii="宋体" w:hAnsi="宋体" w:eastAsia="宋体" w:cs="宋体"/>
                <w:spacing w:val="-3"/>
                <w:sz w:val="21"/>
                <w:szCs w:val="21"/>
              </w:rPr>
              <w:t>污染源</w:t>
            </w:r>
          </w:p>
        </w:tc>
        <w:tc>
          <w:tcPr>
            <w:tcW w:w="993" w:type="dxa"/>
            <w:vAlign w:val="top"/>
          </w:tcPr>
          <w:p w14:paraId="22061140">
            <w:pPr>
              <w:spacing w:before="54" w:line="250" w:lineRule="auto"/>
              <w:ind w:left="86" w:right="88" w:firstLine="204"/>
              <w:rPr>
                <w:rFonts w:ascii="宋体" w:hAnsi="宋体" w:eastAsia="宋体" w:cs="宋体"/>
                <w:sz w:val="21"/>
                <w:szCs w:val="21"/>
              </w:rPr>
            </w:pPr>
            <w:r>
              <w:rPr>
                <w:rFonts w:ascii="宋体" w:hAnsi="宋体" w:eastAsia="宋体" w:cs="宋体"/>
                <w:spacing w:val="-5"/>
                <w:sz w:val="21"/>
                <w:szCs w:val="21"/>
              </w:rPr>
              <w:t>地址</w:t>
            </w:r>
            <w:r>
              <w:rPr>
                <w:rFonts w:ascii="宋体" w:hAnsi="宋体" w:eastAsia="宋体" w:cs="宋体"/>
                <w:spacing w:val="-7"/>
                <w:sz w:val="21"/>
                <w:szCs w:val="21"/>
              </w:rPr>
              <w:t>（村名）</w:t>
            </w:r>
          </w:p>
        </w:tc>
        <w:tc>
          <w:tcPr>
            <w:tcW w:w="1275" w:type="dxa"/>
            <w:vAlign w:val="top"/>
          </w:tcPr>
          <w:p w14:paraId="1C20BCF4">
            <w:pPr>
              <w:spacing w:before="210" w:line="220" w:lineRule="auto"/>
              <w:ind w:left="224"/>
              <w:rPr>
                <w:rFonts w:ascii="宋体" w:hAnsi="宋体" w:eastAsia="宋体" w:cs="宋体"/>
                <w:sz w:val="21"/>
                <w:szCs w:val="21"/>
              </w:rPr>
            </w:pPr>
            <w:r>
              <w:rPr>
                <w:rFonts w:ascii="宋体" w:hAnsi="宋体" w:eastAsia="宋体" w:cs="宋体"/>
                <w:spacing w:val="-2"/>
                <w:sz w:val="21"/>
                <w:szCs w:val="21"/>
              </w:rPr>
              <w:t>整改目标</w:t>
            </w:r>
          </w:p>
        </w:tc>
        <w:tc>
          <w:tcPr>
            <w:tcW w:w="2644" w:type="dxa"/>
            <w:vAlign w:val="top"/>
          </w:tcPr>
          <w:p w14:paraId="3BA7F041">
            <w:pPr>
              <w:spacing w:before="210" w:line="220" w:lineRule="auto"/>
              <w:ind w:left="907"/>
              <w:rPr>
                <w:rFonts w:ascii="宋体" w:hAnsi="宋体" w:eastAsia="宋体" w:cs="宋体"/>
                <w:sz w:val="21"/>
                <w:szCs w:val="21"/>
              </w:rPr>
            </w:pPr>
            <w:r>
              <w:rPr>
                <w:rFonts w:ascii="宋体" w:hAnsi="宋体" w:eastAsia="宋体" w:cs="宋体"/>
                <w:spacing w:val="-2"/>
                <w:sz w:val="21"/>
                <w:szCs w:val="21"/>
              </w:rPr>
              <w:t>整改措施</w:t>
            </w:r>
          </w:p>
        </w:tc>
      </w:tr>
      <w:tr w14:paraId="1DD66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91" w:type="dxa"/>
            <w:vMerge w:val="restart"/>
            <w:tcBorders>
              <w:bottom w:val="nil"/>
            </w:tcBorders>
            <w:vAlign w:val="top"/>
          </w:tcPr>
          <w:p w14:paraId="14B1A876">
            <w:pPr>
              <w:rPr>
                <w:rFonts w:ascii="Arial"/>
                <w:sz w:val="21"/>
              </w:rPr>
            </w:pPr>
          </w:p>
          <w:p w14:paraId="50F1E77D">
            <w:pPr>
              <w:rPr>
                <w:rFonts w:ascii="Arial"/>
                <w:sz w:val="21"/>
              </w:rPr>
            </w:pPr>
          </w:p>
          <w:p w14:paraId="4A8A3029">
            <w:pPr>
              <w:spacing w:line="241" w:lineRule="auto"/>
              <w:rPr>
                <w:rFonts w:ascii="Arial"/>
                <w:sz w:val="21"/>
              </w:rPr>
            </w:pPr>
          </w:p>
          <w:p w14:paraId="709E8765">
            <w:pPr>
              <w:spacing w:line="241" w:lineRule="auto"/>
              <w:rPr>
                <w:rFonts w:ascii="Arial"/>
                <w:sz w:val="21"/>
              </w:rPr>
            </w:pPr>
          </w:p>
          <w:p w14:paraId="10E3E24B">
            <w:pPr>
              <w:pStyle w:val="6"/>
              <w:spacing w:before="60" w:line="188" w:lineRule="auto"/>
              <w:ind w:left="115"/>
            </w:pPr>
            <w:r>
              <w:t>1</w:t>
            </w:r>
          </w:p>
        </w:tc>
        <w:tc>
          <w:tcPr>
            <w:tcW w:w="709" w:type="dxa"/>
            <w:vMerge w:val="restart"/>
            <w:tcBorders>
              <w:bottom w:val="nil"/>
            </w:tcBorders>
            <w:vAlign w:val="top"/>
          </w:tcPr>
          <w:p w14:paraId="3031049C">
            <w:pPr>
              <w:spacing w:line="306" w:lineRule="auto"/>
              <w:rPr>
                <w:rFonts w:ascii="Arial"/>
                <w:sz w:val="21"/>
              </w:rPr>
            </w:pPr>
          </w:p>
          <w:p w14:paraId="65B07476">
            <w:pPr>
              <w:spacing w:line="306" w:lineRule="auto"/>
              <w:rPr>
                <w:rFonts w:ascii="Arial"/>
                <w:sz w:val="21"/>
              </w:rPr>
            </w:pPr>
          </w:p>
          <w:p w14:paraId="12AB572B">
            <w:pPr>
              <w:spacing w:line="306" w:lineRule="auto"/>
              <w:rPr>
                <w:rFonts w:ascii="Arial"/>
                <w:sz w:val="21"/>
              </w:rPr>
            </w:pPr>
          </w:p>
          <w:p w14:paraId="5F22D493">
            <w:pPr>
              <w:spacing w:before="68" w:line="220" w:lineRule="auto"/>
              <w:ind w:left="43"/>
              <w:rPr>
                <w:rFonts w:ascii="宋体" w:hAnsi="宋体" w:eastAsia="宋体" w:cs="宋体"/>
                <w:sz w:val="21"/>
                <w:szCs w:val="21"/>
              </w:rPr>
            </w:pPr>
            <w:r>
              <w:rPr>
                <w:rFonts w:ascii="宋体" w:hAnsi="宋体" w:eastAsia="宋体" w:cs="宋体"/>
                <w:spacing w:val="-3"/>
                <w:sz w:val="21"/>
                <w:szCs w:val="21"/>
              </w:rPr>
              <w:t>石核河</w:t>
            </w:r>
          </w:p>
        </w:tc>
        <w:tc>
          <w:tcPr>
            <w:tcW w:w="709" w:type="dxa"/>
            <w:vAlign w:val="top"/>
          </w:tcPr>
          <w:p w14:paraId="3723BC4D">
            <w:pPr>
              <w:spacing w:line="447" w:lineRule="auto"/>
              <w:rPr>
                <w:rFonts w:ascii="Arial"/>
                <w:sz w:val="21"/>
              </w:rPr>
            </w:pPr>
          </w:p>
          <w:p w14:paraId="3FD10E57">
            <w:pPr>
              <w:spacing w:before="69" w:line="220" w:lineRule="auto"/>
              <w:ind w:left="72"/>
              <w:rPr>
                <w:rFonts w:ascii="宋体" w:hAnsi="宋体" w:eastAsia="宋体" w:cs="宋体"/>
                <w:sz w:val="21"/>
                <w:szCs w:val="21"/>
              </w:rPr>
            </w:pPr>
            <w:r>
              <w:rPr>
                <w:rFonts w:ascii="宋体" w:hAnsi="宋体" w:eastAsia="宋体" w:cs="宋体"/>
                <w:spacing w:val="-9"/>
                <w:sz w:val="21"/>
                <w:szCs w:val="21"/>
              </w:rPr>
              <w:t>白合镇</w:t>
            </w:r>
          </w:p>
        </w:tc>
        <w:tc>
          <w:tcPr>
            <w:tcW w:w="1699" w:type="dxa"/>
            <w:vAlign w:val="top"/>
          </w:tcPr>
          <w:p w14:paraId="03A085D6">
            <w:pPr>
              <w:spacing w:line="448" w:lineRule="auto"/>
              <w:rPr>
                <w:rFonts w:ascii="Arial"/>
                <w:sz w:val="21"/>
              </w:rPr>
            </w:pPr>
          </w:p>
          <w:p w14:paraId="0C2EB6B9">
            <w:pPr>
              <w:pStyle w:val="6"/>
              <w:spacing w:before="68" w:line="220" w:lineRule="auto"/>
              <w:ind w:left="25"/>
              <w:rPr>
                <w:rFonts w:ascii="宋体" w:hAnsi="宋体" w:eastAsia="宋体" w:cs="宋体"/>
              </w:rPr>
            </w:pPr>
            <w:r>
              <w:rPr>
                <w:spacing w:val="-3"/>
              </w:rPr>
              <w:t>1.</w:t>
            </w:r>
            <w:r>
              <w:rPr>
                <w:rFonts w:ascii="宋体" w:hAnsi="宋体" w:eastAsia="宋体" w:cs="宋体"/>
                <w:spacing w:val="-3"/>
              </w:rPr>
              <w:t>农业面源污染</w:t>
            </w:r>
          </w:p>
        </w:tc>
        <w:tc>
          <w:tcPr>
            <w:tcW w:w="993" w:type="dxa"/>
            <w:vAlign w:val="top"/>
          </w:tcPr>
          <w:p w14:paraId="1B450303">
            <w:pPr>
              <w:spacing w:line="293" w:lineRule="auto"/>
              <w:rPr>
                <w:rFonts w:ascii="Arial"/>
                <w:sz w:val="21"/>
              </w:rPr>
            </w:pPr>
          </w:p>
          <w:p w14:paraId="432A72B9">
            <w:pPr>
              <w:spacing w:before="68" w:line="219" w:lineRule="auto"/>
              <w:ind w:left="82"/>
              <w:rPr>
                <w:rFonts w:ascii="宋体" w:hAnsi="宋体" w:eastAsia="宋体" w:cs="宋体"/>
                <w:sz w:val="21"/>
                <w:szCs w:val="21"/>
              </w:rPr>
            </w:pPr>
            <w:r>
              <w:rPr>
                <w:rFonts w:ascii="宋体" w:hAnsi="宋体" w:eastAsia="宋体" w:cs="宋体"/>
                <w:spacing w:val="-2"/>
                <w:sz w:val="21"/>
                <w:szCs w:val="21"/>
              </w:rPr>
              <w:t>石板田村</w:t>
            </w:r>
          </w:p>
          <w:p w14:paraId="5FA6B280">
            <w:pPr>
              <w:spacing w:before="62" w:line="219" w:lineRule="auto"/>
              <w:ind w:left="90"/>
              <w:rPr>
                <w:rFonts w:ascii="宋体" w:hAnsi="宋体" w:eastAsia="宋体" w:cs="宋体"/>
                <w:sz w:val="21"/>
                <w:szCs w:val="21"/>
              </w:rPr>
            </w:pPr>
            <w:r>
              <w:rPr>
                <w:rFonts w:ascii="宋体" w:hAnsi="宋体" w:eastAsia="宋体" w:cs="宋体"/>
                <w:spacing w:val="-4"/>
                <w:sz w:val="21"/>
                <w:szCs w:val="21"/>
              </w:rPr>
              <w:t>喻家沟村</w:t>
            </w:r>
          </w:p>
        </w:tc>
        <w:tc>
          <w:tcPr>
            <w:tcW w:w="1275" w:type="dxa"/>
            <w:vAlign w:val="top"/>
          </w:tcPr>
          <w:p w14:paraId="1F181D4E">
            <w:pPr>
              <w:spacing w:line="292" w:lineRule="auto"/>
              <w:rPr>
                <w:rFonts w:ascii="Arial"/>
                <w:sz w:val="21"/>
              </w:rPr>
            </w:pPr>
          </w:p>
          <w:p w14:paraId="3ABDFE44">
            <w:pPr>
              <w:pStyle w:val="6"/>
              <w:spacing w:before="69" w:line="278" w:lineRule="auto"/>
              <w:ind w:left="327" w:right="33" w:hanging="282"/>
              <w:rPr>
                <w:rFonts w:ascii="宋体" w:hAnsi="宋体" w:eastAsia="宋体" w:cs="宋体"/>
              </w:rPr>
            </w:pPr>
            <w:r>
              <w:rPr>
                <w:rFonts w:ascii="宋体" w:hAnsi="宋体" w:eastAsia="宋体" w:cs="宋体"/>
                <w:spacing w:val="-2"/>
              </w:rPr>
              <w:t>水质达到</w:t>
            </w:r>
            <w:r>
              <w:rPr>
                <w:spacing w:val="-2"/>
              </w:rPr>
              <w:t>Ⅴ</w:t>
            </w:r>
            <w:r>
              <w:rPr>
                <w:rFonts w:ascii="宋体" w:hAnsi="宋体" w:eastAsia="宋体" w:cs="宋体"/>
                <w:spacing w:val="-2"/>
              </w:rPr>
              <w:t>类及以上</w:t>
            </w:r>
          </w:p>
        </w:tc>
        <w:tc>
          <w:tcPr>
            <w:tcW w:w="2644" w:type="dxa"/>
            <w:vAlign w:val="top"/>
          </w:tcPr>
          <w:p w14:paraId="72DE5A81">
            <w:pPr>
              <w:spacing w:before="49" w:line="262" w:lineRule="auto"/>
              <w:ind w:left="11" w:right="5"/>
              <w:jc w:val="both"/>
              <w:rPr>
                <w:rFonts w:ascii="宋体" w:hAnsi="宋体" w:eastAsia="宋体" w:cs="宋体"/>
                <w:sz w:val="21"/>
                <w:szCs w:val="21"/>
              </w:rPr>
            </w:pPr>
            <w:r>
              <w:rPr>
                <w:rFonts w:ascii="宋体" w:hAnsi="宋体" w:eastAsia="宋体" w:cs="宋体"/>
                <w:spacing w:val="-9"/>
                <w:sz w:val="21"/>
                <w:szCs w:val="21"/>
              </w:rPr>
              <w:t>针对莲藕种植，加强化肥农用使用监管，对上游鱼塘养殖户签订承诺书，要求养殖户不投</w:t>
            </w:r>
            <w:r>
              <w:rPr>
                <w:rFonts w:ascii="宋体" w:hAnsi="宋体" w:eastAsia="宋体" w:cs="宋体"/>
                <w:spacing w:val="-4"/>
                <w:sz w:val="21"/>
                <w:szCs w:val="21"/>
              </w:rPr>
              <w:t>放畜禽粪便和违规药品。</w:t>
            </w:r>
          </w:p>
        </w:tc>
      </w:tr>
      <w:tr w14:paraId="2FB6F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91" w:type="dxa"/>
            <w:vMerge w:val="continue"/>
            <w:tcBorders>
              <w:top w:val="nil"/>
            </w:tcBorders>
            <w:vAlign w:val="top"/>
          </w:tcPr>
          <w:p w14:paraId="00BA105F">
            <w:pPr>
              <w:rPr>
                <w:rFonts w:ascii="Arial"/>
                <w:sz w:val="21"/>
              </w:rPr>
            </w:pPr>
          </w:p>
        </w:tc>
        <w:tc>
          <w:tcPr>
            <w:tcW w:w="709" w:type="dxa"/>
            <w:vMerge w:val="continue"/>
            <w:tcBorders>
              <w:top w:val="nil"/>
            </w:tcBorders>
            <w:vAlign w:val="top"/>
          </w:tcPr>
          <w:p w14:paraId="79B48B75">
            <w:pPr>
              <w:rPr>
                <w:rFonts w:ascii="Arial"/>
                <w:sz w:val="21"/>
              </w:rPr>
            </w:pPr>
          </w:p>
        </w:tc>
        <w:tc>
          <w:tcPr>
            <w:tcW w:w="709" w:type="dxa"/>
            <w:vAlign w:val="top"/>
          </w:tcPr>
          <w:p w14:paraId="3137795C">
            <w:pPr>
              <w:spacing w:line="293" w:lineRule="auto"/>
              <w:rPr>
                <w:rFonts w:ascii="Arial"/>
                <w:sz w:val="21"/>
              </w:rPr>
            </w:pPr>
          </w:p>
          <w:p w14:paraId="05BA1B33">
            <w:pPr>
              <w:spacing w:before="68" w:line="220" w:lineRule="auto"/>
              <w:ind w:left="43"/>
              <w:rPr>
                <w:rFonts w:ascii="宋体" w:hAnsi="宋体" w:eastAsia="宋体" w:cs="宋体"/>
                <w:sz w:val="21"/>
                <w:szCs w:val="21"/>
              </w:rPr>
            </w:pPr>
            <w:r>
              <w:rPr>
                <w:rFonts w:ascii="宋体" w:hAnsi="宋体" w:eastAsia="宋体" w:cs="宋体"/>
                <w:spacing w:val="-3"/>
                <w:sz w:val="21"/>
                <w:szCs w:val="21"/>
              </w:rPr>
              <w:t>石子镇</w:t>
            </w:r>
          </w:p>
        </w:tc>
        <w:tc>
          <w:tcPr>
            <w:tcW w:w="1699" w:type="dxa"/>
            <w:vAlign w:val="top"/>
          </w:tcPr>
          <w:p w14:paraId="4A3E4346">
            <w:pPr>
              <w:pStyle w:val="6"/>
              <w:spacing w:before="207" w:line="220" w:lineRule="auto"/>
              <w:ind w:left="25"/>
              <w:rPr>
                <w:rFonts w:ascii="宋体" w:hAnsi="宋体" w:eastAsia="宋体" w:cs="宋体"/>
              </w:rPr>
            </w:pPr>
            <w:r>
              <w:rPr>
                <w:spacing w:val="-3"/>
              </w:rPr>
              <w:t>1.</w:t>
            </w:r>
            <w:r>
              <w:rPr>
                <w:rFonts w:ascii="宋体" w:hAnsi="宋体" w:eastAsia="宋体" w:cs="宋体"/>
                <w:spacing w:val="-3"/>
              </w:rPr>
              <w:t>河头有少量畜禽</w:t>
            </w:r>
          </w:p>
          <w:p w14:paraId="65EE11ED">
            <w:pPr>
              <w:pStyle w:val="6"/>
              <w:spacing w:before="62" w:line="220" w:lineRule="auto"/>
              <w:ind w:left="5"/>
              <w:rPr>
                <w:rFonts w:ascii="宋体" w:hAnsi="宋体" w:eastAsia="宋体" w:cs="宋体"/>
              </w:rPr>
            </w:pPr>
            <w:r>
              <w:rPr>
                <w:spacing w:val="-1"/>
              </w:rPr>
              <w:t>2.</w:t>
            </w:r>
            <w:r>
              <w:rPr>
                <w:rFonts w:ascii="宋体" w:hAnsi="宋体" w:eastAsia="宋体" w:cs="宋体"/>
                <w:spacing w:val="-1"/>
              </w:rPr>
              <w:t>农业面源污染</w:t>
            </w:r>
          </w:p>
        </w:tc>
        <w:tc>
          <w:tcPr>
            <w:tcW w:w="993" w:type="dxa"/>
            <w:vAlign w:val="top"/>
          </w:tcPr>
          <w:p w14:paraId="751DF322">
            <w:pPr>
              <w:spacing w:line="293" w:lineRule="auto"/>
              <w:rPr>
                <w:rFonts w:ascii="Arial"/>
                <w:sz w:val="21"/>
              </w:rPr>
            </w:pPr>
          </w:p>
          <w:p w14:paraId="4B8F0988">
            <w:pPr>
              <w:spacing w:before="68" w:line="219" w:lineRule="auto"/>
              <w:ind w:left="186"/>
              <w:rPr>
                <w:rFonts w:ascii="宋体" w:hAnsi="宋体" w:eastAsia="宋体" w:cs="宋体"/>
                <w:sz w:val="21"/>
                <w:szCs w:val="21"/>
              </w:rPr>
            </w:pPr>
            <w:r>
              <w:rPr>
                <w:rFonts w:ascii="宋体" w:hAnsi="宋体" w:eastAsia="宋体" w:cs="宋体"/>
                <w:spacing w:val="-2"/>
                <w:sz w:val="21"/>
                <w:szCs w:val="21"/>
              </w:rPr>
              <w:t>太和村</w:t>
            </w:r>
          </w:p>
        </w:tc>
        <w:tc>
          <w:tcPr>
            <w:tcW w:w="1275" w:type="dxa"/>
            <w:vAlign w:val="top"/>
          </w:tcPr>
          <w:p w14:paraId="2B4B8906">
            <w:pPr>
              <w:pStyle w:val="6"/>
              <w:spacing w:before="207" w:line="278" w:lineRule="auto"/>
              <w:ind w:left="327" w:right="33" w:hanging="282"/>
              <w:rPr>
                <w:rFonts w:ascii="宋体" w:hAnsi="宋体" w:eastAsia="宋体" w:cs="宋体"/>
              </w:rPr>
            </w:pPr>
            <w:r>
              <w:rPr>
                <w:rFonts w:ascii="宋体" w:hAnsi="宋体" w:eastAsia="宋体" w:cs="宋体"/>
                <w:spacing w:val="-2"/>
              </w:rPr>
              <w:t>水质达到</w:t>
            </w:r>
            <w:r>
              <w:rPr>
                <w:spacing w:val="-2"/>
              </w:rPr>
              <w:t>Ⅴ</w:t>
            </w:r>
            <w:r>
              <w:rPr>
                <w:rFonts w:ascii="宋体" w:hAnsi="宋体" w:eastAsia="宋体" w:cs="宋体"/>
                <w:spacing w:val="-2"/>
              </w:rPr>
              <w:t>类及以上</w:t>
            </w:r>
          </w:p>
        </w:tc>
        <w:tc>
          <w:tcPr>
            <w:tcW w:w="2644" w:type="dxa"/>
            <w:vAlign w:val="top"/>
          </w:tcPr>
          <w:p w14:paraId="513A34B8">
            <w:pPr>
              <w:pStyle w:val="6"/>
              <w:spacing w:before="51" w:line="220" w:lineRule="auto"/>
              <w:ind w:left="27"/>
              <w:rPr>
                <w:rFonts w:ascii="宋体" w:hAnsi="宋体" w:eastAsia="宋体" w:cs="宋体"/>
              </w:rPr>
            </w:pPr>
            <w:r>
              <w:rPr>
                <w:spacing w:val="-6"/>
              </w:rPr>
              <w:t>1.</w:t>
            </w:r>
            <w:r>
              <w:rPr>
                <w:rFonts w:ascii="宋体" w:hAnsi="宋体" w:eastAsia="宋体" w:cs="宋体"/>
                <w:spacing w:val="-6"/>
              </w:rPr>
              <w:t>禁止畜禽入河；</w:t>
            </w:r>
          </w:p>
          <w:p w14:paraId="47B52C98">
            <w:pPr>
              <w:pStyle w:val="6"/>
              <w:spacing w:before="63" w:line="248" w:lineRule="auto"/>
              <w:ind w:left="21" w:right="5" w:hanging="14"/>
              <w:rPr>
                <w:rFonts w:ascii="宋体" w:hAnsi="宋体" w:eastAsia="宋体" w:cs="宋体"/>
              </w:rPr>
            </w:pPr>
            <w:r>
              <w:rPr>
                <w:spacing w:val="12"/>
              </w:rPr>
              <w:t>2.</w:t>
            </w:r>
            <w:r>
              <w:rPr>
                <w:rFonts w:ascii="宋体" w:hAnsi="宋体" w:eastAsia="宋体" w:cs="宋体"/>
                <w:spacing w:val="12"/>
              </w:rPr>
              <w:t>设立农业面源污染物回收</w:t>
            </w:r>
            <w:r>
              <w:rPr>
                <w:rFonts w:ascii="宋体" w:hAnsi="宋体" w:eastAsia="宋体" w:cs="宋体"/>
                <w:spacing w:val="-3"/>
              </w:rPr>
              <w:t>点，加强宣传指导</w:t>
            </w:r>
          </w:p>
        </w:tc>
      </w:tr>
      <w:tr w14:paraId="5382F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291" w:type="dxa"/>
            <w:vAlign w:val="top"/>
          </w:tcPr>
          <w:p w14:paraId="7DD7200F">
            <w:pPr>
              <w:spacing w:line="247" w:lineRule="auto"/>
              <w:rPr>
                <w:rFonts w:ascii="Arial"/>
                <w:sz w:val="21"/>
              </w:rPr>
            </w:pPr>
          </w:p>
          <w:p w14:paraId="2FA2308C">
            <w:pPr>
              <w:spacing w:line="247" w:lineRule="auto"/>
              <w:rPr>
                <w:rFonts w:ascii="Arial"/>
                <w:sz w:val="21"/>
              </w:rPr>
            </w:pPr>
          </w:p>
          <w:p w14:paraId="27867A78">
            <w:pPr>
              <w:pStyle w:val="6"/>
              <w:spacing w:before="61" w:line="188" w:lineRule="auto"/>
              <w:ind w:left="95"/>
            </w:pPr>
            <w:r>
              <w:t>2</w:t>
            </w:r>
          </w:p>
        </w:tc>
        <w:tc>
          <w:tcPr>
            <w:tcW w:w="709" w:type="dxa"/>
            <w:vAlign w:val="top"/>
          </w:tcPr>
          <w:p w14:paraId="1B4450F9">
            <w:pPr>
              <w:spacing w:line="450" w:lineRule="auto"/>
              <w:rPr>
                <w:rFonts w:ascii="Arial"/>
                <w:sz w:val="21"/>
              </w:rPr>
            </w:pPr>
          </w:p>
          <w:p w14:paraId="0D9DE343">
            <w:pPr>
              <w:spacing w:before="68" w:line="220" w:lineRule="auto"/>
              <w:ind w:left="45"/>
              <w:rPr>
                <w:rFonts w:ascii="宋体" w:hAnsi="宋体" w:eastAsia="宋体" w:cs="宋体"/>
                <w:sz w:val="21"/>
                <w:szCs w:val="21"/>
              </w:rPr>
            </w:pPr>
            <w:r>
              <w:rPr>
                <w:rFonts w:ascii="宋体" w:hAnsi="宋体" w:eastAsia="宋体" w:cs="宋体"/>
                <w:spacing w:val="-3"/>
                <w:sz w:val="21"/>
                <w:szCs w:val="21"/>
              </w:rPr>
              <w:t>五桂溪</w:t>
            </w:r>
          </w:p>
        </w:tc>
        <w:tc>
          <w:tcPr>
            <w:tcW w:w="709" w:type="dxa"/>
            <w:vAlign w:val="top"/>
          </w:tcPr>
          <w:p w14:paraId="342F4FE3">
            <w:pPr>
              <w:spacing w:line="450" w:lineRule="auto"/>
              <w:rPr>
                <w:rFonts w:ascii="Arial"/>
                <w:sz w:val="21"/>
              </w:rPr>
            </w:pPr>
          </w:p>
          <w:p w14:paraId="5CB2E800">
            <w:pPr>
              <w:spacing w:before="68" w:line="220" w:lineRule="auto"/>
              <w:ind w:left="72"/>
              <w:rPr>
                <w:rFonts w:ascii="宋体" w:hAnsi="宋体" w:eastAsia="宋体" w:cs="宋体"/>
                <w:sz w:val="21"/>
                <w:szCs w:val="21"/>
              </w:rPr>
            </w:pPr>
            <w:r>
              <w:rPr>
                <w:rFonts w:ascii="宋体" w:hAnsi="宋体" w:eastAsia="宋体" w:cs="宋体"/>
                <w:spacing w:val="-9"/>
                <w:sz w:val="21"/>
                <w:szCs w:val="21"/>
              </w:rPr>
              <w:t>白合镇</w:t>
            </w:r>
          </w:p>
        </w:tc>
        <w:tc>
          <w:tcPr>
            <w:tcW w:w="1699" w:type="dxa"/>
            <w:vAlign w:val="top"/>
          </w:tcPr>
          <w:p w14:paraId="7AAA29E4">
            <w:pPr>
              <w:pStyle w:val="6"/>
              <w:spacing w:before="54" w:line="274" w:lineRule="auto"/>
              <w:ind w:left="29" w:right="1" w:hanging="4"/>
              <w:rPr>
                <w:rFonts w:ascii="宋体" w:hAnsi="宋体" w:eastAsia="宋体" w:cs="宋体"/>
              </w:rPr>
            </w:pPr>
            <w:r>
              <w:rPr>
                <w:spacing w:val="4"/>
              </w:rPr>
              <w:t>1.</w:t>
            </w:r>
            <w:r>
              <w:rPr>
                <w:rFonts w:ascii="宋体" w:hAnsi="宋体" w:eastAsia="宋体" w:cs="宋体"/>
                <w:spacing w:val="4"/>
              </w:rPr>
              <w:t>场镇存在个别居</w:t>
            </w:r>
            <w:r>
              <w:rPr>
                <w:rFonts w:ascii="宋体" w:hAnsi="宋体" w:eastAsia="宋体" w:cs="宋体"/>
                <w:spacing w:val="-9"/>
              </w:rPr>
              <w:t>民生活污水直排；</w:t>
            </w:r>
          </w:p>
          <w:p w14:paraId="42D8E6D5">
            <w:pPr>
              <w:pStyle w:val="6"/>
              <w:spacing w:line="250" w:lineRule="auto"/>
              <w:ind w:left="12" w:right="1" w:hanging="7"/>
              <w:rPr>
                <w:rFonts w:ascii="宋体" w:hAnsi="宋体" w:eastAsia="宋体" w:cs="宋体"/>
              </w:rPr>
            </w:pPr>
            <w:r>
              <w:rPr>
                <w:spacing w:val="6"/>
              </w:rPr>
              <w:t>2.</w:t>
            </w:r>
            <w:r>
              <w:rPr>
                <w:rFonts w:ascii="宋体" w:hAnsi="宋体" w:eastAsia="宋体" w:cs="宋体"/>
                <w:spacing w:val="6"/>
              </w:rPr>
              <w:t>场镇段淤泥清除</w:t>
            </w:r>
            <w:r>
              <w:rPr>
                <w:rFonts w:ascii="宋体" w:hAnsi="宋体" w:eastAsia="宋体" w:cs="宋体"/>
                <w:spacing w:val="-14"/>
              </w:rPr>
              <w:t>不够；</w:t>
            </w:r>
          </w:p>
        </w:tc>
        <w:tc>
          <w:tcPr>
            <w:tcW w:w="993" w:type="dxa"/>
            <w:vAlign w:val="top"/>
          </w:tcPr>
          <w:p w14:paraId="7F770BF4">
            <w:pPr>
              <w:spacing w:before="53" w:line="219" w:lineRule="auto"/>
              <w:ind w:left="185"/>
              <w:rPr>
                <w:rFonts w:ascii="宋体" w:hAnsi="宋体" w:eastAsia="宋体" w:cs="宋体"/>
                <w:sz w:val="21"/>
                <w:szCs w:val="21"/>
              </w:rPr>
            </w:pPr>
            <w:r>
              <w:rPr>
                <w:rFonts w:ascii="宋体" w:hAnsi="宋体" w:eastAsia="宋体" w:cs="宋体"/>
                <w:spacing w:val="-2"/>
                <w:sz w:val="21"/>
                <w:szCs w:val="21"/>
              </w:rPr>
              <w:t>福台村</w:t>
            </w:r>
          </w:p>
          <w:p w14:paraId="51B7BB42">
            <w:pPr>
              <w:spacing w:before="63" w:line="274" w:lineRule="auto"/>
              <w:ind w:left="111" w:right="75" w:firstLine="75"/>
              <w:rPr>
                <w:rFonts w:ascii="宋体" w:hAnsi="宋体" w:eastAsia="宋体" w:cs="宋体"/>
                <w:sz w:val="21"/>
                <w:szCs w:val="21"/>
              </w:rPr>
            </w:pPr>
            <w:r>
              <w:rPr>
                <w:rFonts w:ascii="宋体" w:hAnsi="宋体" w:eastAsia="宋体" w:cs="宋体"/>
                <w:spacing w:val="-4"/>
                <w:sz w:val="21"/>
                <w:szCs w:val="21"/>
              </w:rPr>
              <w:t>板桥村</w:t>
            </w:r>
            <w:r>
              <w:rPr>
                <w:rFonts w:ascii="宋体" w:hAnsi="宋体" w:eastAsia="宋体" w:cs="宋体"/>
                <w:spacing w:val="-10"/>
                <w:sz w:val="21"/>
                <w:szCs w:val="21"/>
              </w:rPr>
              <w:t>白合社区</w:t>
            </w:r>
          </w:p>
          <w:p w14:paraId="5C9D3C4B">
            <w:pPr>
              <w:spacing w:line="218" w:lineRule="auto"/>
              <w:ind w:right="19"/>
              <w:jc w:val="right"/>
              <w:rPr>
                <w:rFonts w:ascii="宋体" w:hAnsi="宋体" w:eastAsia="宋体" w:cs="宋体"/>
                <w:sz w:val="21"/>
                <w:szCs w:val="21"/>
              </w:rPr>
            </w:pPr>
            <w:r>
              <w:rPr>
                <w:rFonts w:ascii="宋体" w:hAnsi="宋体" w:eastAsia="宋体" w:cs="宋体"/>
                <w:spacing w:val="-2"/>
                <w:sz w:val="21"/>
                <w:szCs w:val="21"/>
              </w:rPr>
              <w:t>报恩寺村</w:t>
            </w:r>
          </w:p>
        </w:tc>
        <w:tc>
          <w:tcPr>
            <w:tcW w:w="1275" w:type="dxa"/>
            <w:vAlign w:val="top"/>
          </w:tcPr>
          <w:p w14:paraId="3AC3C2A2">
            <w:pPr>
              <w:spacing w:line="295" w:lineRule="auto"/>
              <w:rPr>
                <w:rFonts w:ascii="Arial"/>
                <w:sz w:val="21"/>
              </w:rPr>
            </w:pPr>
          </w:p>
          <w:p w14:paraId="64BCE31C">
            <w:pPr>
              <w:pStyle w:val="6"/>
              <w:spacing w:before="68" w:line="278" w:lineRule="auto"/>
              <w:ind w:left="327" w:right="33" w:hanging="282"/>
              <w:rPr>
                <w:rFonts w:ascii="宋体" w:hAnsi="宋体" w:eastAsia="宋体" w:cs="宋体"/>
              </w:rPr>
            </w:pPr>
            <w:r>
              <w:rPr>
                <w:rFonts w:ascii="宋体" w:hAnsi="宋体" w:eastAsia="宋体" w:cs="宋体"/>
                <w:spacing w:val="-2"/>
              </w:rPr>
              <w:t>水质达到</w:t>
            </w:r>
            <w:r>
              <w:rPr>
                <w:spacing w:val="-2"/>
              </w:rPr>
              <w:t>Ⅴ</w:t>
            </w:r>
            <w:r>
              <w:rPr>
                <w:rFonts w:ascii="宋体" w:hAnsi="宋体" w:eastAsia="宋体" w:cs="宋体"/>
                <w:spacing w:val="-2"/>
              </w:rPr>
              <w:t>类及以上</w:t>
            </w:r>
          </w:p>
        </w:tc>
        <w:tc>
          <w:tcPr>
            <w:tcW w:w="2644" w:type="dxa"/>
            <w:vAlign w:val="top"/>
          </w:tcPr>
          <w:p w14:paraId="7058418E">
            <w:pPr>
              <w:pStyle w:val="6"/>
              <w:spacing w:before="54" w:line="262" w:lineRule="auto"/>
              <w:ind w:left="11" w:right="5" w:firstLine="16"/>
              <w:jc w:val="both"/>
              <w:rPr>
                <w:rFonts w:ascii="宋体" w:hAnsi="宋体" w:eastAsia="宋体" w:cs="宋体"/>
              </w:rPr>
            </w:pPr>
            <w:r>
              <w:rPr>
                <w:spacing w:val="10"/>
              </w:rPr>
              <w:t>1.</w:t>
            </w:r>
            <w:r>
              <w:rPr>
                <w:rFonts w:ascii="宋体" w:hAnsi="宋体" w:eastAsia="宋体" w:cs="宋体"/>
                <w:spacing w:val="10"/>
              </w:rPr>
              <w:t>所有场镇居民生活污水全</w:t>
            </w:r>
            <w:r>
              <w:rPr>
                <w:rFonts w:ascii="宋体" w:hAnsi="宋体" w:eastAsia="宋体" w:cs="宋体"/>
                <w:spacing w:val="-9"/>
              </w:rPr>
              <w:t>部接入污水管网，不在污水管网覆盖区的，新建三格式化粪</w:t>
            </w:r>
            <w:r>
              <w:rPr>
                <w:rFonts w:ascii="宋体" w:hAnsi="宋体" w:eastAsia="宋体" w:cs="宋体"/>
                <w:spacing w:val="-6"/>
              </w:rPr>
              <w:t>池，杜绝污水直排；</w:t>
            </w:r>
          </w:p>
        </w:tc>
      </w:tr>
    </w:tbl>
    <w:p w14:paraId="408DCD7A">
      <w:pPr>
        <w:pStyle w:val="2"/>
        <w:spacing w:line="46" w:lineRule="exact"/>
        <w:rPr>
          <w:sz w:val="3"/>
        </w:rPr>
      </w:pPr>
    </w:p>
    <w:p w14:paraId="29B56457">
      <w:pPr>
        <w:spacing w:line="46" w:lineRule="exact"/>
        <w:rPr>
          <w:sz w:val="3"/>
          <w:szCs w:val="3"/>
        </w:rPr>
        <w:sectPr>
          <w:headerReference r:id="rId344" w:type="default"/>
          <w:footerReference r:id="rId345" w:type="default"/>
          <w:pgSz w:w="11905" w:h="16840"/>
          <w:pgMar w:top="1168" w:right="1768" w:bottom="1409" w:left="1770" w:header="828" w:footer="1244" w:gutter="0"/>
          <w:cols w:space="720" w:num="1"/>
        </w:sectPr>
      </w:pPr>
    </w:p>
    <w:p w14:paraId="38440304">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
        <w:gridCol w:w="709"/>
        <w:gridCol w:w="709"/>
        <w:gridCol w:w="1699"/>
        <w:gridCol w:w="993"/>
        <w:gridCol w:w="1275"/>
        <w:gridCol w:w="2644"/>
      </w:tblGrid>
      <w:tr w14:paraId="12BF2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91" w:type="dxa"/>
            <w:textDirection w:val="tbRlV"/>
            <w:vAlign w:val="top"/>
          </w:tcPr>
          <w:p w14:paraId="5A579409">
            <w:pPr>
              <w:spacing w:before="37" w:line="210" w:lineRule="auto"/>
              <w:ind w:left="54"/>
              <w:rPr>
                <w:rFonts w:ascii="宋体" w:hAnsi="宋体" w:eastAsia="宋体" w:cs="宋体"/>
                <w:sz w:val="21"/>
                <w:szCs w:val="21"/>
              </w:rPr>
            </w:pPr>
            <w:r>
              <w:rPr>
                <w:rFonts w:ascii="宋体" w:hAnsi="宋体" w:eastAsia="宋体" w:cs="宋体"/>
                <w:spacing w:val="-2"/>
                <w:sz w:val="21"/>
                <w:szCs w:val="21"/>
              </w:rPr>
              <w:t>序 号</w:t>
            </w:r>
          </w:p>
        </w:tc>
        <w:tc>
          <w:tcPr>
            <w:tcW w:w="709" w:type="dxa"/>
            <w:vAlign w:val="top"/>
          </w:tcPr>
          <w:p w14:paraId="7B167669">
            <w:pPr>
              <w:spacing w:before="54" w:line="222" w:lineRule="auto"/>
              <w:ind w:left="146"/>
              <w:rPr>
                <w:rFonts w:ascii="宋体" w:hAnsi="宋体" w:eastAsia="宋体" w:cs="宋体"/>
                <w:sz w:val="21"/>
                <w:szCs w:val="21"/>
              </w:rPr>
            </w:pPr>
            <w:r>
              <w:rPr>
                <w:rFonts w:ascii="宋体" w:hAnsi="宋体" w:eastAsia="宋体" w:cs="宋体"/>
                <w:spacing w:val="-2"/>
                <w:sz w:val="21"/>
                <w:szCs w:val="21"/>
              </w:rPr>
              <w:t>河流</w:t>
            </w:r>
          </w:p>
          <w:p w14:paraId="478B846E">
            <w:pPr>
              <w:spacing w:before="59" w:line="222" w:lineRule="auto"/>
              <w:ind w:left="150"/>
              <w:rPr>
                <w:rFonts w:ascii="宋体" w:hAnsi="宋体" w:eastAsia="宋体" w:cs="宋体"/>
                <w:sz w:val="21"/>
                <w:szCs w:val="21"/>
              </w:rPr>
            </w:pPr>
            <w:r>
              <w:rPr>
                <w:rFonts w:ascii="宋体" w:hAnsi="宋体" w:eastAsia="宋体" w:cs="宋体"/>
                <w:spacing w:val="-3"/>
                <w:sz w:val="21"/>
                <w:szCs w:val="21"/>
              </w:rPr>
              <w:t>名称</w:t>
            </w:r>
          </w:p>
        </w:tc>
        <w:tc>
          <w:tcPr>
            <w:tcW w:w="709" w:type="dxa"/>
            <w:vAlign w:val="top"/>
          </w:tcPr>
          <w:p w14:paraId="5E6FE225">
            <w:pPr>
              <w:spacing w:before="54" w:line="250" w:lineRule="auto"/>
              <w:ind w:left="146" w:right="39" w:hanging="104"/>
              <w:rPr>
                <w:rFonts w:ascii="宋体" w:hAnsi="宋体" w:eastAsia="宋体" w:cs="宋体"/>
                <w:sz w:val="21"/>
                <w:szCs w:val="21"/>
              </w:rPr>
            </w:pPr>
            <w:r>
              <w:rPr>
                <w:rFonts w:ascii="宋体" w:hAnsi="宋体" w:eastAsia="宋体" w:cs="宋体"/>
                <w:spacing w:val="-3"/>
                <w:sz w:val="21"/>
                <w:szCs w:val="21"/>
              </w:rPr>
              <w:t>镇（街</w:t>
            </w:r>
            <w:r>
              <w:rPr>
                <w:rFonts w:ascii="宋体" w:hAnsi="宋体" w:eastAsia="宋体" w:cs="宋体"/>
                <w:spacing w:val="-6"/>
                <w:sz w:val="21"/>
                <w:szCs w:val="21"/>
              </w:rPr>
              <w:t>道）</w:t>
            </w:r>
          </w:p>
        </w:tc>
        <w:tc>
          <w:tcPr>
            <w:tcW w:w="1699" w:type="dxa"/>
            <w:vAlign w:val="top"/>
          </w:tcPr>
          <w:p w14:paraId="38D2DA72">
            <w:pPr>
              <w:spacing w:before="210" w:line="220" w:lineRule="auto"/>
              <w:ind w:left="541"/>
              <w:rPr>
                <w:rFonts w:ascii="宋体" w:hAnsi="宋体" w:eastAsia="宋体" w:cs="宋体"/>
                <w:sz w:val="21"/>
                <w:szCs w:val="21"/>
              </w:rPr>
            </w:pPr>
            <w:r>
              <w:rPr>
                <w:rFonts w:ascii="宋体" w:hAnsi="宋体" w:eastAsia="宋体" w:cs="宋体"/>
                <w:spacing w:val="-3"/>
                <w:sz w:val="21"/>
                <w:szCs w:val="21"/>
              </w:rPr>
              <w:t>污染源</w:t>
            </w:r>
          </w:p>
        </w:tc>
        <w:tc>
          <w:tcPr>
            <w:tcW w:w="993" w:type="dxa"/>
            <w:vAlign w:val="top"/>
          </w:tcPr>
          <w:p w14:paraId="3AFCDF1C">
            <w:pPr>
              <w:spacing w:before="54" w:line="250" w:lineRule="auto"/>
              <w:ind w:left="86" w:right="88" w:firstLine="204"/>
              <w:rPr>
                <w:rFonts w:ascii="宋体" w:hAnsi="宋体" w:eastAsia="宋体" w:cs="宋体"/>
                <w:sz w:val="21"/>
                <w:szCs w:val="21"/>
              </w:rPr>
            </w:pPr>
            <w:r>
              <w:rPr>
                <w:rFonts w:ascii="宋体" w:hAnsi="宋体" w:eastAsia="宋体" w:cs="宋体"/>
                <w:spacing w:val="-5"/>
                <w:sz w:val="21"/>
                <w:szCs w:val="21"/>
              </w:rPr>
              <w:t>地址</w:t>
            </w:r>
            <w:r>
              <w:rPr>
                <w:rFonts w:ascii="宋体" w:hAnsi="宋体" w:eastAsia="宋体" w:cs="宋体"/>
                <w:spacing w:val="-7"/>
                <w:sz w:val="21"/>
                <w:szCs w:val="21"/>
              </w:rPr>
              <w:t>（村名）</w:t>
            </w:r>
          </w:p>
        </w:tc>
        <w:tc>
          <w:tcPr>
            <w:tcW w:w="1275" w:type="dxa"/>
            <w:vAlign w:val="top"/>
          </w:tcPr>
          <w:p w14:paraId="22388C03">
            <w:pPr>
              <w:spacing w:before="210" w:line="220" w:lineRule="auto"/>
              <w:ind w:left="224"/>
              <w:rPr>
                <w:rFonts w:ascii="宋体" w:hAnsi="宋体" w:eastAsia="宋体" w:cs="宋体"/>
                <w:sz w:val="21"/>
                <w:szCs w:val="21"/>
              </w:rPr>
            </w:pPr>
            <w:r>
              <w:rPr>
                <w:rFonts w:ascii="宋体" w:hAnsi="宋体" w:eastAsia="宋体" w:cs="宋体"/>
                <w:spacing w:val="-2"/>
                <w:sz w:val="21"/>
                <w:szCs w:val="21"/>
              </w:rPr>
              <w:t>整改目标</w:t>
            </w:r>
          </w:p>
        </w:tc>
        <w:tc>
          <w:tcPr>
            <w:tcW w:w="2644" w:type="dxa"/>
            <w:vAlign w:val="top"/>
          </w:tcPr>
          <w:p w14:paraId="5CABFF98">
            <w:pPr>
              <w:spacing w:before="210" w:line="220" w:lineRule="auto"/>
              <w:ind w:left="907"/>
              <w:rPr>
                <w:rFonts w:ascii="宋体" w:hAnsi="宋体" w:eastAsia="宋体" w:cs="宋体"/>
                <w:sz w:val="21"/>
                <w:szCs w:val="21"/>
              </w:rPr>
            </w:pPr>
            <w:r>
              <w:rPr>
                <w:rFonts w:ascii="宋体" w:hAnsi="宋体" w:eastAsia="宋体" w:cs="宋体"/>
                <w:spacing w:val="-2"/>
                <w:sz w:val="21"/>
                <w:szCs w:val="21"/>
              </w:rPr>
              <w:t>整改措施</w:t>
            </w:r>
          </w:p>
        </w:tc>
      </w:tr>
      <w:tr w14:paraId="0B75B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8" w:hRule="atLeast"/>
        </w:trPr>
        <w:tc>
          <w:tcPr>
            <w:tcW w:w="291" w:type="dxa"/>
            <w:vAlign w:val="top"/>
          </w:tcPr>
          <w:p w14:paraId="185D5226">
            <w:pPr>
              <w:rPr>
                <w:rFonts w:ascii="Arial"/>
                <w:sz w:val="21"/>
              </w:rPr>
            </w:pPr>
          </w:p>
        </w:tc>
        <w:tc>
          <w:tcPr>
            <w:tcW w:w="709" w:type="dxa"/>
            <w:vAlign w:val="top"/>
          </w:tcPr>
          <w:p w14:paraId="73086690">
            <w:pPr>
              <w:rPr>
                <w:rFonts w:ascii="Arial"/>
                <w:sz w:val="21"/>
              </w:rPr>
            </w:pPr>
          </w:p>
        </w:tc>
        <w:tc>
          <w:tcPr>
            <w:tcW w:w="709" w:type="dxa"/>
            <w:vAlign w:val="top"/>
          </w:tcPr>
          <w:p w14:paraId="2D00756B">
            <w:pPr>
              <w:rPr>
                <w:rFonts w:ascii="Arial"/>
                <w:sz w:val="21"/>
              </w:rPr>
            </w:pPr>
          </w:p>
        </w:tc>
        <w:tc>
          <w:tcPr>
            <w:tcW w:w="1699" w:type="dxa"/>
            <w:vAlign w:val="top"/>
          </w:tcPr>
          <w:p w14:paraId="286FA6D3">
            <w:pPr>
              <w:pStyle w:val="6"/>
              <w:spacing w:before="51" w:line="220" w:lineRule="auto"/>
              <w:ind w:left="9"/>
              <w:rPr>
                <w:rFonts w:ascii="宋体" w:hAnsi="宋体" w:eastAsia="宋体" w:cs="宋体"/>
              </w:rPr>
            </w:pPr>
            <w:r>
              <w:rPr>
                <w:spacing w:val="-4"/>
              </w:rPr>
              <w:t>3.</w:t>
            </w:r>
            <w:r>
              <w:rPr>
                <w:rFonts w:ascii="宋体" w:hAnsi="宋体" w:eastAsia="宋体" w:cs="宋体"/>
                <w:spacing w:val="-4"/>
              </w:rPr>
              <w:t>农业面源污染；</w:t>
            </w:r>
          </w:p>
          <w:p w14:paraId="06BADE44">
            <w:pPr>
              <w:pStyle w:val="6"/>
              <w:spacing w:before="62" w:line="274" w:lineRule="auto"/>
              <w:ind w:left="7" w:right="1" w:hanging="3"/>
              <w:rPr>
                <w:rFonts w:ascii="宋体" w:hAnsi="宋体" w:eastAsia="宋体" w:cs="宋体"/>
              </w:rPr>
            </w:pPr>
            <w:r>
              <w:rPr>
                <w:spacing w:val="6"/>
              </w:rPr>
              <w:t>4.</w:t>
            </w:r>
            <w:r>
              <w:rPr>
                <w:rFonts w:ascii="宋体" w:hAnsi="宋体" w:eastAsia="宋体" w:cs="宋体"/>
                <w:spacing w:val="6"/>
              </w:rPr>
              <w:t>上游养殖鱼塘存</w:t>
            </w:r>
            <w:r>
              <w:rPr>
                <w:rFonts w:ascii="宋体" w:hAnsi="宋体" w:eastAsia="宋体" w:cs="宋体"/>
              </w:rPr>
              <w:t>在不符合排放要求</w:t>
            </w:r>
            <w:r>
              <w:rPr>
                <w:rFonts w:ascii="宋体" w:hAnsi="宋体" w:eastAsia="宋体" w:cs="宋体"/>
                <w:spacing w:val="-7"/>
              </w:rPr>
              <w:t>的不规范排水；</w:t>
            </w:r>
          </w:p>
          <w:p w14:paraId="56523D7C">
            <w:pPr>
              <w:pStyle w:val="6"/>
              <w:spacing w:before="1" w:line="276" w:lineRule="auto"/>
              <w:ind w:left="21" w:right="1" w:hanging="11"/>
              <w:rPr>
                <w:rFonts w:ascii="宋体" w:hAnsi="宋体" w:eastAsia="宋体" w:cs="宋体"/>
              </w:rPr>
            </w:pPr>
            <w:r>
              <w:rPr>
                <w:spacing w:val="6"/>
              </w:rPr>
              <w:t>5.</w:t>
            </w:r>
            <w:r>
              <w:rPr>
                <w:rFonts w:ascii="宋体" w:hAnsi="宋体" w:eastAsia="宋体" w:cs="宋体"/>
                <w:spacing w:val="6"/>
              </w:rPr>
              <w:t>城镇段污水管网</w:t>
            </w:r>
            <w:r>
              <w:rPr>
                <w:rFonts w:ascii="宋体" w:hAnsi="宋体" w:eastAsia="宋体" w:cs="宋体"/>
                <w:spacing w:val="-7"/>
              </w:rPr>
              <w:t>易堵塞和渗透。</w:t>
            </w:r>
          </w:p>
        </w:tc>
        <w:tc>
          <w:tcPr>
            <w:tcW w:w="993" w:type="dxa"/>
            <w:vAlign w:val="top"/>
          </w:tcPr>
          <w:p w14:paraId="3D3CA7EA">
            <w:pPr>
              <w:spacing w:before="51" w:line="219" w:lineRule="auto"/>
              <w:ind w:left="190"/>
              <w:rPr>
                <w:rFonts w:ascii="宋体" w:hAnsi="宋体" w:eastAsia="宋体" w:cs="宋体"/>
                <w:sz w:val="21"/>
                <w:szCs w:val="21"/>
              </w:rPr>
            </w:pPr>
            <w:r>
              <w:rPr>
                <w:rFonts w:ascii="宋体" w:hAnsi="宋体" w:eastAsia="宋体" w:cs="宋体"/>
                <w:spacing w:val="-3"/>
                <w:sz w:val="21"/>
                <w:szCs w:val="21"/>
              </w:rPr>
              <w:t>交通村</w:t>
            </w:r>
          </w:p>
          <w:p w14:paraId="072B3122">
            <w:pPr>
              <w:spacing w:before="63" w:line="276" w:lineRule="auto"/>
              <w:ind w:left="90" w:right="75" w:firstLine="102"/>
              <w:rPr>
                <w:rFonts w:ascii="宋体" w:hAnsi="宋体" w:eastAsia="宋体" w:cs="宋体"/>
                <w:sz w:val="21"/>
                <w:szCs w:val="21"/>
              </w:rPr>
            </w:pPr>
            <w:r>
              <w:rPr>
                <w:rFonts w:ascii="宋体" w:hAnsi="宋体" w:eastAsia="宋体" w:cs="宋体"/>
                <w:spacing w:val="-5"/>
                <w:sz w:val="21"/>
                <w:szCs w:val="21"/>
              </w:rPr>
              <w:t>丈雪村喻家沟村</w:t>
            </w:r>
          </w:p>
        </w:tc>
        <w:tc>
          <w:tcPr>
            <w:tcW w:w="1275" w:type="dxa"/>
            <w:vAlign w:val="top"/>
          </w:tcPr>
          <w:p w14:paraId="7522541A">
            <w:pPr>
              <w:rPr>
                <w:rFonts w:ascii="Arial"/>
                <w:sz w:val="21"/>
              </w:rPr>
            </w:pPr>
          </w:p>
        </w:tc>
        <w:tc>
          <w:tcPr>
            <w:tcW w:w="2644" w:type="dxa"/>
            <w:vAlign w:val="top"/>
          </w:tcPr>
          <w:p w14:paraId="00B9FD0F">
            <w:pPr>
              <w:pStyle w:val="6"/>
              <w:spacing w:before="52" w:line="274" w:lineRule="auto"/>
              <w:ind w:left="9" w:right="4" w:hanging="2"/>
              <w:rPr>
                <w:rFonts w:ascii="宋体" w:hAnsi="宋体" w:eastAsia="宋体" w:cs="宋体"/>
              </w:rPr>
            </w:pPr>
            <w:r>
              <w:rPr>
                <w:spacing w:val="-4"/>
              </w:rPr>
              <w:t>2.</w:t>
            </w:r>
            <w:r>
              <w:rPr>
                <w:rFonts w:ascii="宋体" w:hAnsi="宋体" w:eastAsia="宋体" w:cs="宋体"/>
                <w:spacing w:val="-4"/>
              </w:rPr>
              <w:t>实施场镇段清淤工程，彻底</w:t>
            </w:r>
            <w:r>
              <w:rPr>
                <w:rFonts w:ascii="宋体" w:hAnsi="宋体" w:eastAsia="宋体" w:cs="宋体"/>
                <w:spacing w:val="-9"/>
              </w:rPr>
              <w:t>对五桂溪场镇段全面清淤，同</w:t>
            </w:r>
            <w:r>
              <w:rPr>
                <w:rFonts w:ascii="宋体" w:hAnsi="宋体" w:eastAsia="宋体" w:cs="宋体"/>
                <w:spacing w:val="-6"/>
              </w:rPr>
              <w:t>时加强漂浮物打捞；</w:t>
            </w:r>
          </w:p>
          <w:p w14:paraId="11A61761">
            <w:pPr>
              <w:pStyle w:val="6"/>
              <w:spacing w:line="274" w:lineRule="auto"/>
              <w:ind w:left="10" w:right="5" w:firstLine="1"/>
              <w:rPr>
                <w:rFonts w:ascii="宋体" w:hAnsi="宋体" w:eastAsia="宋体" w:cs="宋体"/>
              </w:rPr>
            </w:pPr>
            <w:r>
              <w:rPr>
                <w:spacing w:val="-4"/>
              </w:rPr>
              <w:t>3.</w:t>
            </w:r>
            <w:r>
              <w:rPr>
                <w:rFonts w:ascii="宋体" w:hAnsi="宋体" w:eastAsia="宋体" w:cs="宋体"/>
                <w:spacing w:val="-4"/>
              </w:rPr>
              <w:t>针对农业面源污染，加强农</w:t>
            </w:r>
            <w:r>
              <w:rPr>
                <w:rFonts w:ascii="宋体" w:hAnsi="宋体" w:eastAsia="宋体" w:cs="宋体"/>
                <w:spacing w:val="-7"/>
              </w:rPr>
              <w:t>业用药用肥管控；</w:t>
            </w:r>
          </w:p>
          <w:p w14:paraId="495FDA93">
            <w:pPr>
              <w:pStyle w:val="6"/>
              <w:spacing w:before="1" w:line="274" w:lineRule="auto"/>
              <w:ind w:left="10" w:hanging="4"/>
              <w:rPr>
                <w:rFonts w:ascii="宋体" w:hAnsi="宋体" w:eastAsia="宋体" w:cs="宋体"/>
              </w:rPr>
            </w:pPr>
            <w:r>
              <w:rPr>
                <w:spacing w:val="-7"/>
              </w:rPr>
              <w:t>4.</w:t>
            </w:r>
            <w:r>
              <w:rPr>
                <w:rFonts w:ascii="宋体" w:hAnsi="宋体" w:eastAsia="宋体" w:cs="宋体"/>
                <w:spacing w:val="-7"/>
              </w:rPr>
              <w:t>规范上游鱼塘养殖，签订规</w:t>
            </w:r>
            <w:r>
              <w:rPr>
                <w:rFonts w:ascii="宋体" w:hAnsi="宋体" w:eastAsia="宋体" w:cs="宋体"/>
                <w:spacing w:val="-12"/>
              </w:rPr>
              <w:t>范养殖协议，做好养殖尾水处理措施，养殖尾水未达标严禁外排，种植净化水生植物，生</w:t>
            </w:r>
            <w:r>
              <w:rPr>
                <w:rFonts w:ascii="宋体" w:hAnsi="宋体" w:eastAsia="宋体" w:cs="宋体"/>
                <w:spacing w:val="-8"/>
              </w:rPr>
              <w:t>物制剂调水，同时安装监控，</w:t>
            </w:r>
            <w:r>
              <w:rPr>
                <w:rFonts w:ascii="宋体" w:hAnsi="宋体" w:eastAsia="宋体" w:cs="宋体"/>
                <w:spacing w:val="-10"/>
              </w:rPr>
              <w:t>加大监控力度；</w:t>
            </w:r>
          </w:p>
          <w:p w14:paraId="513ABCEC">
            <w:pPr>
              <w:pStyle w:val="6"/>
              <w:spacing w:line="274" w:lineRule="auto"/>
              <w:ind w:left="9" w:firstLine="3"/>
              <w:rPr>
                <w:rFonts w:ascii="宋体" w:hAnsi="宋体" w:eastAsia="宋体" w:cs="宋体"/>
              </w:rPr>
            </w:pPr>
            <w:r>
              <w:rPr>
                <w:spacing w:val="-8"/>
              </w:rPr>
              <w:t>5.</w:t>
            </w:r>
            <w:r>
              <w:rPr>
                <w:rFonts w:ascii="宋体" w:hAnsi="宋体" w:eastAsia="宋体" w:cs="宋体"/>
                <w:spacing w:val="-8"/>
              </w:rPr>
              <w:t>整改疏通污水管网，加强巡查，及时疏通污水管网堵塞，</w:t>
            </w:r>
            <w:r>
              <w:rPr>
                <w:rFonts w:ascii="宋体" w:hAnsi="宋体" w:eastAsia="宋体" w:cs="宋体"/>
                <w:spacing w:val="-9"/>
              </w:rPr>
              <w:t>避免污水渗透漏排；</w:t>
            </w:r>
          </w:p>
          <w:p w14:paraId="0385F0C0">
            <w:pPr>
              <w:pStyle w:val="6"/>
              <w:spacing w:before="1" w:line="219" w:lineRule="auto"/>
              <w:jc w:val="right"/>
              <w:rPr>
                <w:rFonts w:ascii="宋体" w:hAnsi="宋体" w:eastAsia="宋体" w:cs="宋体"/>
              </w:rPr>
            </w:pPr>
            <w:r>
              <w:rPr>
                <w:spacing w:val="-4"/>
              </w:rPr>
              <w:t>6.</w:t>
            </w:r>
            <w:r>
              <w:rPr>
                <w:rFonts w:ascii="宋体" w:hAnsi="宋体" w:eastAsia="宋体" w:cs="宋体"/>
                <w:spacing w:val="-4"/>
              </w:rPr>
              <w:t>加强巡查力度和巡查频率；</w:t>
            </w:r>
          </w:p>
          <w:p w14:paraId="3BBBC101">
            <w:pPr>
              <w:pStyle w:val="6"/>
              <w:spacing w:before="62" w:line="219" w:lineRule="auto"/>
              <w:jc w:val="right"/>
              <w:rPr>
                <w:rFonts w:ascii="宋体" w:hAnsi="宋体" w:eastAsia="宋体" w:cs="宋体"/>
              </w:rPr>
            </w:pPr>
            <w:r>
              <w:rPr>
                <w:spacing w:val="-18"/>
              </w:rPr>
              <w:t>7.</w:t>
            </w:r>
            <w:r>
              <w:rPr>
                <w:rFonts w:ascii="宋体" w:hAnsi="宋体" w:eastAsia="宋体" w:cs="宋体"/>
                <w:spacing w:val="-18"/>
              </w:rPr>
              <w:t>加强宣传、执法和水质检测。</w:t>
            </w:r>
          </w:p>
        </w:tc>
      </w:tr>
    </w:tbl>
    <w:p w14:paraId="53B079E8">
      <w:pPr>
        <w:spacing w:before="233" w:line="220" w:lineRule="auto"/>
        <w:ind w:left="548"/>
        <w:rPr>
          <w:rFonts w:ascii="宋体" w:hAnsi="宋体" w:eastAsia="宋体" w:cs="宋体"/>
          <w:sz w:val="24"/>
          <w:szCs w:val="24"/>
        </w:rPr>
      </w:pPr>
      <w:r>
        <w:rPr>
          <w:rFonts w:ascii="宋体" w:hAnsi="宋体" w:eastAsia="宋体" w:cs="宋体"/>
          <w:spacing w:val="-11"/>
          <w:sz w:val="24"/>
          <w:szCs w:val="24"/>
        </w:rPr>
        <w:t>由调查结果得知：</w:t>
      </w:r>
    </w:p>
    <w:p w14:paraId="524C1382">
      <w:pPr>
        <w:spacing w:before="182" w:line="360" w:lineRule="auto"/>
        <w:ind w:left="40" w:right="240" w:firstLine="480"/>
        <w:jc w:val="both"/>
        <w:rPr>
          <w:rFonts w:ascii="宋体" w:hAnsi="宋体" w:eastAsia="宋体" w:cs="宋体"/>
          <w:sz w:val="24"/>
          <w:szCs w:val="24"/>
        </w:rPr>
      </w:pPr>
      <w:r>
        <w:rPr>
          <w:rFonts w:ascii="宋体" w:hAnsi="宋体" w:eastAsia="宋体" w:cs="宋体"/>
          <w:spacing w:val="-3"/>
          <w:sz w:val="24"/>
          <w:szCs w:val="24"/>
        </w:rPr>
        <w:t>石核河主要污染源为农业面源污染，主要源头是白合镇部分水</w:t>
      </w:r>
      <w:r>
        <w:rPr>
          <w:rFonts w:ascii="宋体" w:hAnsi="宋体" w:eastAsia="宋体" w:cs="宋体"/>
          <w:spacing w:val="-4"/>
          <w:sz w:val="24"/>
          <w:szCs w:val="24"/>
        </w:rPr>
        <w:t>塘种植莲藕或</w:t>
      </w:r>
      <w:r>
        <w:rPr>
          <w:rFonts w:ascii="宋体" w:hAnsi="宋体" w:eastAsia="宋体" w:cs="宋体"/>
          <w:spacing w:val="-6"/>
          <w:sz w:val="24"/>
          <w:szCs w:val="24"/>
        </w:rPr>
        <w:t>养鱼，种植莲藕施用化肥、养鱼投放畜禽粪便等造成水体营养</w:t>
      </w:r>
      <w:r>
        <w:rPr>
          <w:rFonts w:ascii="宋体" w:hAnsi="宋体" w:eastAsia="宋体" w:cs="宋体"/>
          <w:spacing w:val="-7"/>
          <w:sz w:val="24"/>
          <w:szCs w:val="24"/>
        </w:rPr>
        <w:t>物质过剩； 石子镇</w:t>
      </w:r>
      <w:r>
        <w:rPr>
          <w:rFonts w:ascii="宋体" w:hAnsi="宋体" w:eastAsia="宋体" w:cs="宋体"/>
          <w:spacing w:val="-3"/>
          <w:sz w:val="24"/>
          <w:szCs w:val="24"/>
        </w:rPr>
        <w:t>段还存在河流中散养鸭等家禽。五桂溪主要污染源为白合镇生活污水、农业面源污染，部分场镇居民生活污水未接入污水管网、农业种植施用化肥及鱼塘肥水养</w:t>
      </w:r>
      <w:r>
        <w:rPr>
          <w:rFonts w:ascii="宋体" w:hAnsi="宋体" w:eastAsia="宋体" w:cs="宋体"/>
          <w:spacing w:val="-11"/>
          <w:sz w:val="24"/>
          <w:szCs w:val="24"/>
        </w:rPr>
        <w:t>殖等。</w:t>
      </w:r>
    </w:p>
    <w:p w14:paraId="4C6E748D">
      <w:pPr>
        <w:spacing w:line="360" w:lineRule="auto"/>
        <w:ind w:left="40" w:right="240" w:firstLine="480"/>
        <w:jc w:val="both"/>
        <w:rPr>
          <w:rFonts w:ascii="宋体" w:hAnsi="宋体" w:eastAsia="宋体" w:cs="宋体"/>
          <w:sz w:val="24"/>
          <w:szCs w:val="24"/>
        </w:rPr>
      </w:pPr>
      <w:r>
        <w:rPr>
          <w:rFonts w:ascii="宋体" w:hAnsi="宋体" w:eastAsia="宋体" w:cs="宋体"/>
          <w:spacing w:val="-3"/>
          <w:sz w:val="24"/>
          <w:szCs w:val="24"/>
        </w:rPr>
        <w:t>石核河、五桂溪为大清流河右岸一级支流，携带营养物质的不</w:t>
      </w:r>
      <w:r>
        <w:rPr>
          <w:rFonts w:ascii="宋体" w:hAnsi="宋体" w:eastAsia="宋体" w:cs="宋体"/>
          <w:spacing w:val="-4"/>
          <w:sz w:val="24"/>
          <w:szCs w:val="24"/>
        </w:rPr>
        <w:t>达标水体汇入</w:t>
      </w:r>
      <w:r>
        <w:rPr>
          <w:rFonts w:ascii="宋体" w:hAnsi="宋体" w:eastAsia="宋体" w:cs="宋体"/>
          <w:spacing w:val="-3"/>
          <w:sz w:val="24"/>
          <w:szCs w:val="24"/>
        </w:rPr>
        <w:t>大清流河形成潜在污染源，在汇入口及下游混合段容易造成水质超标，必须进行</w:t>
      </w:r>
      <w:r>
        <w:rPr>
          <w:rFonts w:ascii="宋体" w:hAnsi="宋体" w:eastAsia="宋体" w:cs="宋体"/>
          <w:spacing w:val="-11"/>
          <w:sz w:val="24"/>
          <w:szCs w:val="24"/>
        </w:rPr>
        <w:t>整治。</w:t>
      </w:r>
    </w:p>
    <w:p w14:paraId="4BEA35D3">
      <w:pPr>
        <w:spacing w:line="360" w:lineRule="auto"/>
        <w:ind w:left="32" w:right="240" w:firstLine="495"/>
        <w:rPr>
          <w:rFonts w:ascii="宋体" w:hAnsi="宋体" w:eastAsia="宋体" w:cs="宋体"/>
          <w:sz w:val="24"/>
          <w:szCs w:val="24"/>
        </w:rPr>
      </w:pPr>
      <w:r>
        <w:rPr>
          <w:rFonts w:ascii="宋体" w:hAnsi="宋体" w:eastAsia="宋体" w:cs="宋体"/>
          <w:spacing w:val="-7"/>
          <w:sz w:val="24"/>
          <w:szCs w:val="24"/>
        </w:rPr>
        <w:t>东兴区、白合镇等各级政府机关发布了相应整治方</w:t>
      </w:r>
      <w:r>
        <w:rPr>
          <w:rFonts w:ascii="宋体" w:hAnsi="宋体" w:eastAsia="宋体" w:cs="宋体"/>
          <w:spacing w:val="-8"/>
          <w:sz w:val="24"/>
          <w:szCs w:val="24"/>
        </w:rPr>
        <w:t>案， 在《内江市东兴区劣</w:t>
      </w:r>
      <w:r>
        <w:rPr>
          <w:rFonts w:ascii="Times New Roman" w:hAnsi="Times New Roman" w:eastAsia="Times New Roman" w:cs="Times New Roman"/>
          <w:spacing w:val="-5"/>
          <w:sz w:val="24"/>
          <w:szCs w:val="24"/>
        </w:rPr>
        <w:t>V</w:t>
      </w:r>
      <w:r>
        <w:rPr>
          <w:rFonts w:ascii="宋体" w:hAnsi="宋体" w:eastAsia="宋体" w:cs="宋体"/>
          <w:spacing w:val="-5"/>
          <w:sz w:val="24"/>
          <w:szCs w:val="24"/>
        </w:rPr>
        <w:t>类河流、水库整治三年行动方案》中，</w:t>
      </w:r>
      <w:r>
        <w:rPr>
          <w:rFonts w:ascii="宋体" w:hAnsi="宋体" w:eastAsia="宋体" w:cs="宋体"/>
          <w:spacing w:val="34"/>
          <w:sz w:val="24"/>
          <w:szCs w:val="24"/>
        </w:rPr>
        <w:t xml:space="preserve"> </w:t>
      </w:r>
      <w:r>
        <w:rPr>
          <w:rFonts w:ascii="宋体" w:hAnsi="宋体" w:eastAsia="宋体" w:cs="宋体"/>
          <w:spacing w:val="-5"/>
          <w:sz w:val="24"/>
          <w:szCs w:val="24"/>
        </w:rPr>
        <w:t>内江市东兴区人民</w:t>
      </w:r>
      <w:r>
        <w:rPr>
          <w:rFonts w:ascii="宋体" w:hAnsi="宋体" w:eastAsia="宋体" w:cs="宋体"/>
          <w:spacing w:val="-6"/>
          <w:sz w:val="24"/>
          <w:szCs w:val="24"/>
        </w:rPr>
        <w:t>政府针对石核河、五</w:t>
      </w:r>
      <w:r>
        <w:rPr>
          <w:rFonts w:ascii="宋体" w:hAnsi="宋体" w:eastAsia="宋体" w:cs="宋体"/>
          <w:spacing w:val="-3"/>
          <w:sz w:val="24"/>
          <w:szCs w:val="24"/>
        </w:rPr>
        <w:t>桂溪污染状况提出了针对性整改措施，针对农业面源污染，主要是加强农业施用</w:t>
      </w:r>
      <w:r>
        <w:rPr>
          <w:rFonts w:ascii="宋体" w:hAnsi="宋体" w:eastAsia="宋体" w:cs="宋体"/>
          <w:spacing w:val="-6"/>
          <w:sz w:val="24"/>
          <w:szCs w:val="24"/>
        </w:rPr>
        <w:t>化肥管控、规范鱼塘养殖及尾水处理， 持续</w:t>
      </w:r>
      <w:r>
        <w:rPr>
          <w:rFonts w:ascii="宋体" w:hAnsi="宋体" w:eastAsia="宋体" w:cs="宋体"/>
          <w:spacing w:val="-7"/>
          <w:sz w:val="24"/>
          <w:szCs w:val="24"/>
        </w:rPr>
        <w:t>提升河流生态环境质量。在《内江市</w:t>
      </w:r>
      <w:r>
        <w:rPr>
          <w:rFonts w:ascii="宋体" w:hAnsi="宋体" w:eastAsia="宋体" w:cs="宋体"/>
          <w:spacing w:val="-5"/>
          <w:sz w:val="24"/>
          <w:szCs w:val="24"/>
        </w:rPr>
        <w:t>东兴区农业系统实施农业面源污染防治三年行动计划工作方案（</w:t>
      </w:r>
      <w:r>
        <w:rPr>
          <w:rFonts w:ascii="Times New Roman" w:hAnsi="Times New Roman" w:eastAsia="Times New Roman" w:cs="Times New Roman"/>
          <w:spacing w:val="-5"/>
          <w:sz w:val="24"/>
          <w:szCs w:val="24"/>
        </w:rPr>
        <w:t>2021-2023</w:t>
      </w:r>
      <w:r>
        <w:rPr>
          <w:rFonts w:ascii="宋体" w:hAnsi="宋体" w:eastAsia="宋体" w:cs="宋体"/>
          <w:spacing w:val="-5"/>
          <w:sz w:val="24"/>
          <w:szCs w:val="24"/>
        </w:rPr>
        <w:t>年）》</w:t>
      </w:r>
    </w:p>
    <w:p w14:paraId="7871BD90">
      <w:pPr>
        <w:spacing w:line="361" w:lineRule="auto"/>
        <w:ind w:left="45" w:firstLine="16"/>
        <w:rPr>
          <w:rFonts w:ascii="宋体" w:hAnsi="宋体" w:eastAsia="宋体" w:cs="宋体"/>
          <w:sz w:val="24"/>
          <w:szCs w:val="24"/>
        </w:rPr>
      </w:pPr>
      <w:r>
        <w:rPr>
          <w:rFonts w:ascii="宋体" w:hAnsi="宋体" w:eastAsia="宋体" w:cs="宋体"/>
          <w:spacing w:val="3"/>
          <w:sz w:val="24"/>
          <w:szCs w:val="24"/>
        </w:rPr>
        <w:t>中，明确到</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年，农业面源污染加剧趋势得到有效遏制，实现“两减三基本”</w:t>
      </w:r>
      <w:r>
        <w:rPr>
          <w:rFonts w:ascii="宋体" w:hAnsi="宋体" w:eastAsia="宋体" w:cs="宋体"/>
          <w:spacing w:val="-3"/>
          <w:sz w:val="24"/>
          <w:szCs w:val="24"/>
        </w:rPr>
        <w:t>目标，“两减”：即减少化肥和农药使用量，全区主要农作物化肥、</w:t>
      </w:r>
      <w:r>
        <w:rPr>
          <w:rFonts w:ascii="宋体" w:hAnsi="宋体" w:eastAsia="宋体" w:cs="宋体"/>
          <w:spacing w:val="-4"/>
          <w:sz w:val="24"/>
          <w:szCs w:val="24"/>
        </w:rPr>
        <w:t>农药使用量</w:t>
      </w:r>
      <w:r>
        <w:rPr>
          <w:rFonts w:ascii="宋体" w:hAnsi="宋体" w:eastAsia="宋体" w:cs="宋体"/>
          <w:sz w:val="24"/>
          <w:szCs w:val="24"/>
        </w:rPr>
        <w:t xml:space="preserve"> </w:t>
      </w:r>
      <w:r>
        <w:rPr>
          <w:rFonts w:ascii="宋体" w:hAnsi="宋体" w:eastAsia="宋体" w:cs="宋体"/>
          <w:spacing w:val="-11"/>
          <w:sz w:val="24"/>
          <w:szCs w:val="24"/>
        </w:rPr>
        <w:t>实现负增长；“三基本”：即农作物秸秆、畜禽粪便、农田残膜基本资源化利用。</w:t>
      </w:r>
    </w:p>
    <w:p w14:paraId="325DF67A">
      <w:pPr>
        <w:spacing w:line="361" w:lineRule="auto"/>
        <w:rPr>
          <w:rFonts w:ascii="宋体" w:hAnsi="宋体" w:eastAsia="宋体" w:cs="宋体"/>
          <w:sz w:val="24"/>
          <w:szCs w:val="24"/>
        </w:rPr>
        <w:sectPr>
          <w:headerReference r:id="rId346" w:type="default"/>
          <w:footerReference r:id="rId347" w:type="default"/>
          <w:pgSz w:w="11905" w:h="16840"/>
          <w:pgMar w:top="1168" w:right="1557" w:bottom="1409" w:left="1770" w:header="828" w:footer="1244" w:gutter="0"/>
          <w:cols w:space="720" w:num="1"/>
        </w:sectPr>
      </w:pPr>
    </w:p>
    <w:p w14:paraId="3B1E01C3">
      <w:pPr>
        <w:pStyle w:val="2"/>
        <w:spacing w:line="306" w:lineRule="auto"/>
      </w:pPr>
    </w:p>
    <w:p w14:paraId="1F4B35ED">
      <w:pPr>
        <w:spacing w:before="78" w:line="360" w:lineRule="auto"/>
        <w:ind w:left="42" w:right="44" w:firstLine="5"/>
        <w:jc w:val="both"/>
        <w:rPr>
          <w:rFonts w:ascii="宋体" w:hAnsi="宋体" w:eastAsia="宋体" w:cs="宋体"/>
          <w:sz w:val="24"/>
          <w:szCs w:val="24"/>
        </w:rPr>
      </w:pPr>
      <w:r>
        <w:rPr>
          <w:rFonts w:ascii="宋体" w:hAnsi="宋体" w:eastAsia="宋体" w:cs="宋体"/>
          <w:spacing w:val="-3"/>
          <w:sz w:val="24"/>
          <w:szCs w:val="24"/>
        </w:rPr>
        <w:t>东兴区白合镇人民政府为切实抓好白合镇五桂溪、石核河、马</w:t>
      </w:r>
      <w:r>
        <w:rPr>
          <w:rFonts w:ascii="宋体" w:hAnsi="宋体" w:eastAsia="宋体" w:cs="宋体"/>
          <w:spacing w:val="-4"/>
          <w:sz w:val="24"/>
          <w:szCs w:val="24"/>
        </w:rPr>
        <w:t>滩地河水质均呈下</w:t>
      </w:r>
      <w:r>
        <w:rPr>
          <w:rFonts w:ascii="宋体" w:hAnsi="宋体" w:eastAsia="宋体" w:cs="宋体"/>
          <w:sz w:val="24"/>
          <w:szCs w:val="24"/>
        </w:rPr>
        <w:t>降趋势且未达地表水三类标准突出环保问题整治，于</w:t>
      </w:r>
      <w:r>
        <w:rPr>
          <w:rFonts w:ascii="Times New Roman" w:hAnsi="Times New Roman" w:eastAsia="Times New Roman" w:cs="Times New Roman"/>
          <w:sz w:val="24"/>
          <w:szCs w:val="24"/>
        </w:rPr>
        <w:t>2022</w:t>
      </w:r>
      <w:r>
        <w:rPr>
          <w:rFonts w:ascii="宋体" w:hAnsi="宋体" w:eastAsia="宋体" w:cs="宋体"/>
          <w:sz w:val="24"/>
          <w:szCs w:val="24"/>
        </w:rPr>
        <w:t>年</w:t>
      </w:r>
      <w:r>
        <w:rPr>
          <w:rFonts w:ascii="Times New Roman" w:hAnsi="Times New Roman" w:eastAsia="Times New Roman" w:cs="Times New Roman"/>
          <w:sz w:val="24"/>
          <w:szCs w:val="24"/>
        </w:rPr>
        <w:t>8</w:t>
      </w:r>
      <w:r>
        <w:rPr>
          <w:rFonts w:ascii="宋体" w:hAnsi="宋体" w:eastAsia="宋体" w:cs="宋体"/>
          <w:sz w:val="24"/>
          <w:szCs w:val="24"/>
        </w:rPr>
        <w:t>月</w:t>
      </w:r>
      <w:r>
        <w:rPr>
          <w:rFonts w:ascii="Times New Roman" w:hAnsi="Times New Roman" w:eastAsia="Times New Roman" w:cs="Times New Roman"/>
          <w:sz w:val="24"/>
          <w:szCs w:val="24"/>
        </w:rPr>
        <w:t>31</w:t>
      </w:r>
      <w:r>
        <w:rPr>
          <w:rFonts w:ascii="宋体" w:hAnsi="宋体" w:eastAsia="宋体" w:cs="宋体"/>
          <w:sz w:val="24"/>
          <w:szCs w:val="24"/>
        </w:rPr>
        <w:t>日发布《内江</w:t>
      </w:r>
      <w:r>
        <w:rPr>
          <w:rFonts w:ascii="宋体" w:hAnsi="宋体" w:eastAsia="宋体" w:cs="宋体"/>
          <w:spacing w:val="-8"/>
          <w:sz w:val="24"/>
          <w:szCs w:val="24"/>
        </w:rPr>
        <w:t>市东兴区白合镇水质不达标河流水环境整治方案》，以整治三条河流水环境目标，</w:t>
      </w:r>
      <w:r>
        <w:rPr>
          <w:rFonts w:ascii="宋体" w:hAnsi="宋体" w:eastAsia="宋体" w:cs="宋体"/>
          <w:spacing w:val="-3"/>
          <w:sz w:val="24"/>
          <w:szCs w:val="24"/>
        </w:rPr>
        <w:t>持续改善白合镇水生态环境质量。</w:t>
      </w:r>
    </w:p>
    <w:p w14:paraId="452FE2FD">
      <w:pPr>
        <w:spacing w:before="1" w:line="218" w:lineRule="auto"/>
        <w:ind w:left="528"/>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）本项目废水进行周围地表水体可能性分析</w:t>
      </w:r>
    </w:p>
    <w:p w14:paraId="05F36202">
      <w:pPr>
        <w:spacing w:before="183" w:line="360" w:lineRule="auto"/>
        <w:ind w:left="41" w:firstLine="493"/>
        <w:jc w:val="both"/>
        <w:rPr>
          <w:rFonts w:ascii="宋体" w:hAnsi="宋体" w:eastAsia="宋体" w:cs="宋体"/>
          <w:sz w:val="24"/>
          <w:szCs w:val="24"/>
        </w:rPr>
      </w:pPr>
      <w:r>
        <w:rPr>
          <w:rFonts w:ascii="宋体" w:hAnsi="宋体" w:eastAsia="宋体" w:cs="宋体"/>
          <w:spacing w:val="-4"/>
          <w:sz w:val="24"/>
          <w:szCs w:val="24"/>
        </w:rPr>
        <w:t>畜禽养殖业对地表水环境的污染很大原因在于农牧脱节，没有足够的土地消</w:t>
      </w:r>
      <w:r>
        <w:rPr>
          <w:rFonts w:ascii="宋体" w:hAnsi="宋体" w:eastAsia="宋体" w:cs="宋体"/>
          <w:spacing w:val="-3"/>
          <w:sz w:val="24"/>
          <w:szCs w:val="24"/>
        </w:rPr>
        <w:t>纳粪便和污水。本项目流转白合镇喻家沟村</w:t>
      </w:r>
      <w:r>
        <w:rPr>
          <w:rFonts w:ascii="Times New Roman" w:hAnsi="Times New Roman" w:eastAsia="Times New Roman" w:cs="Times New Roman"/>
          <w:spacing w:val="-3"/>
          <w:sz w:val="24"/>
          <w:szCs w:val="24"/>
        </w:rPr>
        <w:t>2060</w:t>
      </w:r>
      <w:r>
        <w:rPr>
          <w:rFonts w:ascii="宋体" w:hAnsi="宋体" w:eastAsia="宋体" w:cs="宋体"/>
          <w:spacing w:val="-3"/>
          <w:sz w:val="24"/>
          <w:szCs w:val="24"/>
        </w:rPr>
        <w:t>亩耕地作为项目配套消纳地，消</w:t>
      </w:r>
      <w:r>
        <w:rPr>
          <w:rFonts w:ascii="宋体" w:hAnsi="宋体" w:eastAsia="宋体" w:cs="宋体"/>
          <w:sz w:val="24"/>
          <w:szCs w:val="24"/>
        </w:rPr>
        <w:t>纳地全部种植旱作，本项目所有废水经污水处理站处理达《农田灌溉水质标准》</w:t>
      </w:r>
      <w:r>
        <w:rPr>
          <w:rFonts w:ascii="宋体" w:hAnsi="宋体" w:eastAsia="宋体" w:cs="宋体"/>
          <w:spacing w:val="5"/>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GB5084-2021</w:t>
      </w:r>
      <w:r>
        <w:rPr>
          <w:rFonts w:ascii="宋体" w:hAnsi="宋体" w:eastAsia="宋体" w:cs="宋体"/>
          <w:sz w:val="24"/>
          <w:szCs w:val="24"/>
        </w:rPr>
        <w:t>）旱地作物标准后才用于消纳地农灌。结</w:t>
      </w:r>
      <w:r>
        <w:rPr>
          <w:rFonts w:ascii="宋体" w:hAnsi="宋体" w:eastAsia="宋体" w:cs="宋体"/>
          <w:spacing w:val="-1"/>
          <w:sz w:val="24"/>
          <w:szCs w:val="24"/>
        </w:rPr>
        <w:t>合“</w:t>
      </w:r>
      <w:r>
        <w:fldChar w:fldCharType="begin"/>
      </w:r>
      <w:r>
        <w:instrText xml:space="preserve"> HYPERLINK "4.2.2.3" </w:instrText>
      </w:r>
      <w:r>
        <w:fldChar w:fldCharType="separate"/>
      </w:r>
      <w:r>
        <w:rPr>
          <w:rFonts w:ascii="Times New Roman" w:hAnsi="Times New Roman" w:eastAsia="Times New Roman" w:cs="Times New Roman"/>
          <w:spacing w:val="-1"/>
          <w:sz w:val="24"/>
          <w:szCs w:val="24"/>
        </w:rPr>
        <w:t>4.2.2.3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”小节分析</w:t>
      </w:r>
      <w:r>
        <w:rPr>
          <w:rFonts w:ascii="宋体" w:hAnsi="宋体" w:eastAsia="宋体" w:cs="宋体"/>
          <w:spacing w:val="-6"/>
          <w:sz w:val="24"/>
          <w:szCs w:val="24"/>
        </w:rPr>
        <w:t>可知，从消纳土地作物生长所需水量、灌溉养分两个方面的</w:t>
      </w:r>
      <w:r>
        <w:rPr>
          <w:rFonts w:ascii="宋体" w:hAnsi="宋体" w:eastAsia="宋体" w:cs="宋体"/>
          <w:spacing w:val="-7"/>
          <w:sz w:val="24"/>
          <w:szCs w:val="24"/>
        </w:rPr>
        <w:t>分析结果来看， 本项</w:t>
      </w:r>
      <w:r>
        <w:rPr>
          <w:rFonts w:ascii="宋体" w:hAnsi="宋体" w:eastAsia="宋体" w:cs="宋体"/>
          <w:spacing w:val="-1"/>
          <w:sz w:val="24"/>
          <w:szCs w:val="24"/>
        </w:rPr>
        <w:t>目流转</w:t>
      </w:r>
      <w:r>
        <w:rPr>
          <w:rFonts w:ascii="Times New Roman" w:hAnsi="Times New Roman" w:eastAsia="Times New Roman" w:cs="Times New Roman"/>
          <w:spacing w:val="-1"/>
          <w:sz w:val="24"/>
          <w:szCs w:val="24"/>
        </w:rPr>
        <w:t>2060</w:t>
      </w:r>
      <w:r>
        <w:rPr>
          <w:rFonts w:ascii="宋体" w:hAnsi="宋体" w:eastAsia="宋体" w:cs="宋体"/>
          <w:spacing w:val="-1"/>
          <w:sz w:val="24"/>
          <w:szCs w:val="24"/>
        </w:rPr>
        <w:t>亩土地用作消纳土地是可行的，可完全</w:t>
      </w:r>
      <w:r>
        <w:rPr>
          <w:rFonts w:ascii="宋体" w:hAnsi="宋体" w:eastAsia="宋体" w:cs="宋体"/>
          <w:spacing w:val="-2"/>
          <w:sz w:val="24"/>
          <w:szCs w:val="24"/>
        </w:rPr>
        <w:t>消纳本项目产生的废水。</w:t>
      </w:r>
    </w:p>
    <w:p w14:paraId="5367C0E6">
      <w:pPr>
        <w:spacing w:line="360" w:lineRule="auto"/>
        <w:ind w:left="38" w:right="43" w:firstLine="479"/>
        <w:jc w:val="both"/>
        <w:rPr>
          <w:rFonts w:ascii="宋体" w:hAnsi="宋体" w:eastAsia="宋体" w:cs="宋体"/>
          <w:sz w:val="24"/>
          <w:szCs w:val="24"/>
        </w:rPr>
      </w:pPr>
      <w:r>
        <w:rPr>
          <w:rFonts w:ascii="宋体" w:hAnsi="宋体" w:eastAsia="宋体" w:cs="宋体"/>
          <w:spacing w:val="-8"/>
          <w:sz w:val="24"/>
          <w:szCs w:val="24"/>
        </w:rPr>
        <w:t>在农业生产中，如果作物过度灌溉，会导致作物根部无法吸收到氧气</w:t>
      </w:r>
      <w:r>
        <w:rPr>
          <w:rFonts w:ascii="宋体" w:hAnsi="宋体" w:eastAsia="宋体" w:cs="宋体"/>
          <w:spacing w:val="-9"/>
          <w:sz w:val="24"/>
          <w:szCs w:val="24"/>
        </w:rPr>
        <w:t>和养分，</w:t>
      </w:r>
      <w:r>
        <w:rPr>
          <w:rFonts w:ascii="宋体" w:hAnsi="宋体" w:eastAsia="宋体" w:cs="宋体"/>
          <w:spacing w:val="-1"/>
          <w:sz w:val="24"/>
          <w:szCs w:val="24"/>
        </w:rPr>
        <w:t>而导致根茎腐烂，进而枯萎死亡。本项目将按照报告书要求严格做好农灌制度，</w:t>
      </w:r>
      <w:r>
        <w:rPr>
          <w:rFonts w:ascii="宋体" w:hAnsi="宋体" w:eastAsia="宋体" w:cs="宋体"/>
          <w:spacing w:val="-3"/>
          <w:sz w:val="24"/>
          <w:szCs w:val="24"/>
        </w:rPr>
        <w:t>按照《四川省用水定额》（川府函</w:t>
      </w:r>
      <w:r>
        <w:rPr>
          <w:rFonts w:ascii="宋体" w:hAnsi="宋体" w:eastAsia="宋体" w:cs="宋体"/>
          <w:spacing w:val="-72"/>
          <w:sz w:val="24"/>
          <w:szCs w:val="24"/>
        </w:rPr>
        <w:t xml:space="preserve"> </w:t>
      </w:r>
      <w:r>
        <w:rPr>
          <w:rFonts w:ascii="Times New Roman" w:hAnsi="Times New Roman" w:eastAsia="Times New Roman" w:cs="Times New Roman"/>
          <w:spacing w:val="-3"/>
          <w:sz w:val="24"/>
          <w:szCs w:val="24"/>
        </w:rPr>
        <w:t>[</w:t>
      </w:r>
      <w:r>
        <w:fldChar w:fldCharType="begin"/>
      </w:r>
      <w:r>
        <w:instrText xml:space="preserve"> HYPERLINK \l "bookmark173" </w:instrText>
      </w:r>
      <w:r>
        <w:fldChar w:fldCharType="separate"/>
      </w:r>
      <w:r>
        <w:rPr>
          <w:rFonts w:ascii="Times New Roman" w:hAnsi="Times New Roman" w:eastAsia="Times New Roman" w:cs="Times New Roman"/>
          <w:spacing w:val="-3"/>
          <w:sz w:val="24"/>
          <w:szCs w:val="24"/>
        </w:rPr>
        <w:t>2021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]8</w:t>
      </w:r>
      <w:r>
        <w:rPr>
          <w:rFonts w:ascii="宋体" w:hAnsi="宋体" w:eastAsia="宋体" w:cs="宋体"/>
          <w:spacing w:val="-3"/>
          <w:sz w:val="24"/>
          <w:szCs w:val="24"/>
        </w:rPr>
        <w:t>号）中相应种植作物的</w:t>
      </w:r>
      <w:r>
        <w:rPr>
          <w:rFonts w:ascii="宋体" w:hAnsi="宋体" w:eastAsia="宋体" w:cs="宋体"/>
          <w:spacing w:val="-4"/>
          <w:sz w:val="24"/>
          <w:szCs w:val="24"/>
        </w:rPr>
        <w:t>灌溉用水定额，</w:t>
      </w:r>
      <w:r>
        <w:rPr>
          <w:rFonts w:ascii="宋体" w:hAnsi="宋体" w:eastAsia="宋体" w:cs="宋体"/>
          <w:spacing w:val="-3"/>
          <w:sz w:val="24"/>
          <w:szCs w:val="24"/>
        </w:rPr>
        <w:t>结合作物生育期合理灌溉，避免过度灌溉。并采用滴灌或喷</w:t>
      </w:r>
      <w:r>
        <w:rPr>
          <w:rFonts w:ascii="宋体" w:hAnsi="宋体" w:eastAsia="宋体" w:cs="宋体"/>
          <w:spacing w:val="-4"/>
          <w:sz w:val="24"/>
          <w:szCs w:val="24"/>
        </w:rPr>
        <w:t>灌（参照《微灌工程</w:t>
      </w:r>
      <w:r>
        <w:rPr>
          <w:rFonts w:ascii="宋体" w:hAnsi="宋体" w:eastAsia="宋体" w:cs="宋体"/>
          <w:spacing w:val="-3"/>
          <w:sz w:val="24"/>
          <w:szCs w:val="24"/>
        </w:rPr>
        <w:t>技术标准》相关要求</w:t>
      </w:r>
      <w:r>
        <w:rPr>
          <w:rFonts w:ascii="宋体" w:hAnsi="宋体" w:eastAsia="宋体" w:cs="宋体"/>
          <w:spacing w:val="2"/>
          <w:sz w:val="24"/>
          <w:szCs w:val="24"/>
        </w:rPr>
        <w:t>），</w:t>
      </w:r>
      <w:r>
        <w:rPr>
          <w:rFonts w:ascii="宋体" w:hAnsi="宋体" w:eastAsia="宋体" w:cs="宋体"/>
          <w:spacing w:val="-3"/>
          <w:sz w:val="24"/>
          <w:szCs w:val="24"/>
        </w:rPr>
        <w:t>禁止使用大水漫灌方式。大水漫灌为粗放型灌溉方式，漫灌会导致水资源利用效率低，过多未利用灌溉水可能会流入周围地表水体。本项目消纳地禁止采用大水漫灌方式，采用滴灌或喷灌等节水灌溉方式，提高水资源利用率，减少水肥流失，则在正常灌溉制度下，灌溉废水基本不会流入周围地</w:t>
      </w:r>
      <w:r>
        <w:rPr>
          <w:rFonts w:ascii="宋体" w:hAnsi="宋体" w:eastAsia="宋体" w:cs="宋体"/>
          <w:spacing w:val="-9"/>
          <w:sz w:val="24"/>
          <w:szCs w:val="24"/>
        </w:rPr>
        <w:t>表水体。</w:t>
      </w:r>
    </w:p>
    <w:p w14:paraId="0F166CC5">
      <w:pPr>
        <w:spacing w:before="6" w:line="359" w:lineRule="auto"/>
        <w:ind w:left="37" w:right="44" w:firstLine="481"/>
        <w:jc w:val="both"/>
        <w:rPr>
          <w:rFonts w:ascii="宋体" w:hAnsi="宋体" w:eastAsia="宋体" w:cs="宋体"/>
          <w:sz w:val="24"/>
          <w:szCs w:val="24"/>
        </w:rPr>
      </w:pPr>
      <w:r>
        <w:rPr>
          <w:rFonts w:ascii="宋体" w:hAnsi="宋体" w:eastAsia="宋体" w:cs="宋体"/>
          <w:spacing w:val="-11"/>
          <w:sz w:val="24"/>
          <w:szCs w:val="24"/>
        </w:rPr>
        <w:t>根据《畜禽养殖业污染防治技术规范》、《四川省畜禽养殖污染防治技术指南</w:t>
      </w:r>
      <w:r>
        <w:rPr>
          <w:rFonts w:ascii="宋体" w:hAnsi="宋体" w:eastAsia="宋体" w:cs="宋体"/>
          <w:spacing w:val="-3"/>
          <w:sz w:val="24"/>
          <w:szCs w:val="24"/>
        </w:rPr>
        <w:t>（试行）》等要求，消纳地在雨季期间不进行灌溉作业，本</w:t>
      </w:r>
      <w:r>
        <w:rPr>
          <w:rFonts w:ascii="宋体" w:hAnsi="宋体" w:eastAsia="宋体" w:cs="宋体"/>
          <w:spacing w:val="-4"/>
          <w:sz w:val="24"/>
          <w:szCs w:val="24"/>
        </w:rPr>
        <w:t>项目在消纳地内共设</w:t>
      </w:r>
      <w:r>
        <w:rPr>
          <w:rFonts w:ascii="宋体" w:hAnsi="宋体" w:eastAsia="宋体" w:cs="宋体"/>
          <w:spacing w:val="2"/>
          <w:sz w:val="24"/>
          <w:szCs w:val="24"/>
        </w:rPr>
        <w:t>置</w:t>
      </w:r>
      <w:r>
        <w:rPr>
          <w:rFonts w:ascii="Times New Roman" w:hAnsi="Times New Roman" w:eastAsia="Times New Roman" w:cs="Times New Roman"/>
          <w:spacing w:val="2"/>
          <w:sz w:val="24"/>
          <w:szCs w:val="24"/>
        </w:rPr>
        <w:t>5</w:t>
      </w:r>
      <w:r>
        <w:rPr>
          <w:rFonts w:ascii="宋体" w:hAnsi="宋体" w:eastAsia="宋体" w:cs="宋体"/>
          <w:spacing w:val="2"/>
          <w:sz w:val="24"/>
          <w:szCs w:val="24"/>
        </w:rPr>
        <w:t>座田间储存池，总容积</w:t>
      </w:r>
      <w:r>
        <w:rPr>
          <w:rFonts w:ascii="Times New Roman" w:hAnsi="Times New Roman" w:eastAsia="Times New Roman" w:cs="Times New Roman"/>
          <w:spacing w:val="2"/>
          <w:sz w:val="24"/>
          <w:szCs w:val="24"/>
        </w:rPr>
        <w:t>22500m</w:t>
      </w:r>
      <w:r>
        <w:rPr>
          <w:rFonts w:ascii="Times New Roman" w:hAnsi="Times New Roman" w:eastAsia="Times New Roman" w:cs="Times New Roman"/>
          <w:spacing w:val="2"/>
          <w:position w:val="10"/>
          <w:sz w:val="15"/>
          <w:szCs w:val="15"/>
        </w:rPr>
        <w:t xml:space="preserve">3 </w:t>
      </w:r>
      <w:r>
        <w:rPr>
          <w:rFonts w:ascii="宋体" w:hAnsi="宋体" w:eastAsia="宋体" w:cs="宋体"/>
          <w:spacing w:val="2"/>
          <w:sz w:val="24"/>
          <w:szCs w:val="24"/>
        </w:rPr>
        <w:t>，能够暂存约</w:t>
      </w:r>
      <w:r>
        <w:rPr>
          <w:rFonts w:ascii="Times New Roman" w:hAnsi="Times New Roman" w:eastAsia="Times New Roman" w:cs="Times New Roman"/>
          <w:spacing w:val="2"/>
          <w:sz w:val="24"/>
          <w:szCs w:val="24"/>
        </w:rPr>
        <w:t>91</w:t>
      </w:r>
      <w:r>
        <w:rPr>
          <w:rFonts w:ascii="宋体" w:hAnsi="宋体" w:eastAsia="宋体" w:cs="宋体"/>
          <w:spacing w:val="2"/>
          <w:sz w:val="24"/>
          <w:szCs w:val="24"/>
        </w:rPr>
        <w:t>的废水量，可以满足</w:t>
      </w:r>
      <w:r>
        <w:rPr>
          <w:rFonts w:ascii="宋体" w:hAnsi="宋体" w:eastAsia="宋体" w:cs="宋体"/>
          <w:spacing w:val="1"/>
          <w:sz w:val="24"/>
          <w:szCs w:val="24"/>
        </w:rPr>
        <w:t>内江降</w:t>
      </w:r>
      <w:r>
        <w:rPr>
          <w:rFonts w:ascii="宋体" w:hAnsi="宋体" w:eastAsia="宋体" w:cs="宋体"/>
          <w:spacing w:val="-1"/>
          <w:sz w:val="24"/>
          <w:szCs w:val="24"/>
        </w:rPr>
        <w:t>雨期（</w:t>
      </w:r>
      <w:r>
        <w:rPr>
          <w:rFonts w:ascii="Times New Roman" w:hAnsi="Times New Roman" w:eastAsia="Times New Roman" w:cs="Times New Roman"/>
          <w:spacing w:val="-1"/>
          <w:sz w:val="24"/>
          <w:szCs w:val="24"/>
        </w:rPr>
        <w:t>90</w:t>
      </w:r>
      <w:r>
        <w:rPr>
          <w:rFonts w:ascii="宋体" w:hAnsi="宋体" w:eastAsia="宋体" w:cs="宋体"/>
          <w:spacing w:val="-1"/>
          <w:sz w:val="24"/>
          <w:szCs w:val="24"/>
        </w:rPr>
        <w:t>天）的废水暂存要求。因此，建设单位在严格落实田间暂存池建设后，</w:t>
      </w:r>
      <w:r>
        <w:rPr>
          <w:rFonts w:ascii="宋体" w:hAnsi="宋体" w:eastAsia="宋体" w:cs="宋体"/>
          <w:spacing w:val="-6"/>
          <w:sz w:val="24"/>
          <w:szCs w:val="24"/>
        </w:rPr>
        <w:t>做好田间暂存池的防渗措施，确保废水不下渗、不外溢， 灌溉废</w:t>
      </w:r>
      <w:r>
        <w:rPr>
          <w:rFonts w:ascii="宋体" w:hAnsi="宋体" w:eastAsia="宋体" w:cs="宋体"/>
          <w:spacing w:val="-7"/>
          <w:sz w:val="24"/>
          <w:szCs w:val="24"/>
        </w:rPr>
        <w:t>水在雨季期间不</w:t>
      </w:r>
      <w:r>
        <w:rPr>
          <w:rFonts w:ascii="宋体" w:hAnsi="宋体" w:eastAsia="宋体" w:cs="宋体"/>
          <w:spacing w:val="-4"/>
          <w:sz w:val="24"/>
          <w:szCs w:val="24"/>
        </w:rPr>
        <w:t>会流入周围地表水体。</w:t>
      </w:r>
    </w:p>
    <w:p w14:paraId="49F69A87">
      <w:pPr>
        <w:spacing w:line="220" w:lineRule="auto"/>
        <w:ind w:left="528"/>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）消纳地回归水对地表水体影响分析</w:t>
      </w:r>
    </w:p>
    <w:p w14:paraId="1CE9C031">
      <w:pPr>
        <w:spacing w:before="182" w:line="362" w:lineRule="auto"/>
        <w:ind w:left="41" w:right="111" w:firstLine="479"/>
        <w:rPr>
          <w:rFonts w:ascii="宋体" w:hAnsi="宋体" w:eastAsia="宋体" w:cs="宋体"/>
          <w:sz w:val="24"/>
          <w:szCs w:val="24"/>
        </w:rPr>
      </w:pPr>
      <w:r>
        <w:rPr>
          <w:rFonts w:ascii="宋体" w:hAnsi="宋体" w:eastAsia="宋体" w:cs="宋体"/>
          <w:spacing w:val="-1"/>
          <w:sz w:val="24"/>
          <w:szCs w:val="24"/>
        </w:rPr>
        <w:t>本项目废水经处理达《农田灌溉水质标准》（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）旱地作物</w:t>
      </w:r>
      <w:r>
        <w:rPr>
          <w:rFonts w:ascii="宋体" w:hAnsi="宋体" w:eastAsia="宋体" w:cs="宋体"/>
          <w:spacing w:val="-2"/>
          <w:sz w:val="24"/>
          <w:szCs w:val="24"/>
        </w:rPr>
        <w:t>标准</w:t>
      </w:r>
      <w:r>
        <w:rPr>
          <w:rFonts w:ascii="宋体" w:hAnsi="宋体" w:eastAsia="宋体" w:cs="宋体"/>
          <w:spacing w:val="-6"/>
          <w:sz w:val="24"/>
          <w:szCs w:val="24"/>
        </w:rPr>
        <w:t>后用于消纳地农灌，废水浓度已实现达标。在此基础上，</w:t>
      </w:r>
      <w:r>
        <w:rPr>
          <w:rFonts w:ascii="宋体" w:hAnsi="宋体" w:eastAsia="宋体" w:cs="宋体"/>
          <w:spacing w:val="-7"/>
          <w:sz w:val="24"/>
          <w:szCs w:val="24"/>
        </w:rPr>
        <w:t xml:space="preserve"> 废水进入土壤后，废水</w:t>
      </w:r>
    </w:p>
    <w:p w14:paraId="319F5417">
      <w:pPr>
        <w:spacing w:line="362" w:lineRule="auto"/>
        <w:rPr>
          <w:rFonts w:ascii="宋体" w:hAnsi="宋体" w:eastAsia="宋体" w:cs="宋体"/>
          <w:sz w:val="24"/>
          <w:szCs w:val="24"/>
        </w:rPr>
        <w:sectPr>
          <w:headerReference r:id="rId348" w:type="default"/>
          <w:footerReference r:id="rId349" w:type="default"/>
          <w:pgSz w:w="11905" w:h="16840"/>
          <w:pgMar w:top="1168" w:right="1686" w:bottom="1409" w:left="1770" w:header="828" w:footer="1244" w:gutter="0"/>
          <w:cols w:space="720" w:num="1"/>
        </w:sectPr>
      </w:pPr>
    </w:p>
    <w:p w14:paraId="1185C48C">
      <w:pPr>
        <w:pStyle w:val="2"/>
        <w:spacing w:line="306" w:lineRule="auto"/>
      </w:pPr>
    </w:p>
    <w:p w14:paraId="5949B2D9">
      <w:pPr>
        <w:spacing w:before="78" w:line="360" w:lineRule="auto"/>
        <w:ind w:left="39" w:firstLine="22"/>
        <w:rPr>
          <w:rFonts w:ascii="宋体" w:hAnsi="宋体" w:eastAsia="宋体" w:cs="宋体"/>
          <w:sz w:val="24"/>
          <w:szCs w:val="24"/>
        </w:rPr>
      </w:pPr>
      <w:r>
        <w:rPr>
          <w:rFonts w:ascii="宋体" w:hAnsi="宋体" w:eastAsia="宋体" w:cs="宋体"/>
          <w:sz w:val="24"/>
          <w:szCs w:val="24"/>
        </w:rPr>
        <w:t>中的有机碳（与</w:t>
      </w:r>
      <w:r>
        <w:rPr>
          <w:rFonts w:ascii="Times New Roman" w:hAnsi="Times New Roman" w:eastAsia="Times New Roman" w:cs="Times New Roman"/>
          <w:sz w:val="24"/>
          <w:szCs w:val="24"/>
        </w:rPr>
        <w:t>BOD</w:t>
      </w:r>
      <w:r>
        <w:rPr>
          <w:rFonts w:ascii="宋体" w:hAnsi="宋体" w:eastAsia="宋体" w:cs="宋体"/>
          <w:sz w:val="24"/>
          <w:szCs w:val="24"/>
        </w:rPr>
        <w:t>成正比）可以逐渐被土壤中微生物分解吸收，</w:t>
      </w:r>
      <w:r>
        <w:rPr>
          <w:rFonts w:ascii="宋体" w:hAnsi="宋体" w:eastAsia="宋体" w:cs="宋体"/>
          <w:spacing w:val="-1"/>
          <w:sz w:val="24"/>
          <w:szCs w:val="24"/>
        </w:rPr>
        <w:t>而</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P</w:t>
      </w:r>
      <w:r>
        <w:rPr>
          <w:rFonts w:ascii="宋体" w:hAnsi="宋体" w:eastAsia="宋体" w:cs="宋体"/>
          <w:spacing w:val="-1"/>
          <w:sz w:val="24"/>
          <w:szCs w:val="24"/>
        </w:rPr>
        <w:t>元素</w:t>
      </w:r>
      <w:r>
        <w:rPr>
          <w:rFonts w:ascii="宋体" w:hAnsi="宋体" w:eastAsia="宋体" w:cs="宋体"/>
          <w:spacing w:val="-3"/>
          <w:sz w:val="24"/>
          <w:szCs w:val="24"/>
        </w:rPr>
        <w:t>为植物所需营养元素，可以被作物生长直接吸收，进一步削减了废水中污染物的</w:t>
      </w:r>
      <w:r>
        <w:rPr>
          <w:rFonts w:ascii="宋体" w:hAnsi="宋体" w:eastAsia="宋体" w:cs="宋体"/>
          <w:spacing w:val="-2"/>
          <w:sz w:val="24"/>
          <w:szCs w:val="24"/>
        </w:rPr>
        <w:t>含量，不会造成元素的大量聚集和向水体迁移的情况。结合“</w:t>
      </w:r>
      <w:r>
        <w:fldChar w:fldCharType="begin"/>
      </w:r>
      <w:r>
        <w:instrText xml:space="preserve"> HYPERLINK "4.2.2.3" </w:instrText>
      </w:r>
      <w:r>
        <w:fldChar w:fldCharType="separate"/>
      </w:r>
      <w:r>
        <w:rPr>
          <w:rFonts w:ascii="Times New Roman" w:hAnsi="Times New Roman" w:eastAsia="Times New Roman" w:cs="Times New Roman"/>
          <w:spacing w:val="-2"/>
          <w:sz w:val="24"/>
          <w:szCs w:val="24"/>
        </w:rPr>
        <w:t>4.2.2.3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”小节分析</w:t>
      </w:r>
      <w:r>
        <w:rPr>
          <w:rFonts w:ascii="宋体" w:hAnsi="宋体" w:eastAsia="宋体" w:cs="宋体"/>
          <w:spacing w:val="-1"/>
          <w:sz w:val="24"/>
          <w:szCs w:val="24"/>
        </w:rPr>
        <w:t>可知，项目达标废水可提供的肥力和水量远低于废水消纳地所需的肥力和水</w:t>
      </w:r>
      <w:r>
        <w:rPr>
          <w:rFonts w:ascii="宋体" w:hAnsi="宋体" w:eastAsia="宋体" w:cs="宋体"/>
          <w:spacing w:val="-2"/>
          <w:sz w:val="24"/>
          <w:szCs w:val="24"/>
        </w:rPr>
        <w:t>量，</w:t>
      </w:r>
      <w:r>
        <w:rPr>
          <w:rFonts w:ascii="宋体" w:hAnsi="宋体" w:eastAsia="宋体" w:cs="宋体"/>
          <w:sz w:val="24"/>
          <w:szCs w:val="24"/>
        </w:rPr>
        <w:t>其中水量占消纳土地灌溉所需用水量的</w:t>
      </w:r>
      <w:r>
        <w:rPr>
          <w:rFonts w:ascii="Times New Roman" w:hAnsi="Times New Roman" w:eastAsia="Times New Roman" w:cs="Times New Roman"/>
          <w:sz w:val="24"/>
          <w:szCs w:val="24"/>
        </w:rPr>
        <w:t>81.</w:t>
      </w:r>
      <w:r>
        <w:rPr>
          <w:rFonts w:ascii="Times New Roman" w:hAnsi="Times New Roman" w:eastAsia="Times New Roman" w:cs="Times New Roman"/>
          <w:spacing w:val="-1"/>
          <w:sz w:val="24"/>
          <w:szCs w:val="24"/>
        </w:rPr>
        <w:t>1%</w:t>
      </w:r>
      <w:r>
        <w:rPr>
          <w:rFonts w:ascii="宋体" w:hAnsi="宋体" w:eastAsia="宋体" w:cs="宋体"/>
          <w:spacing w:val="-1"/>
          <w:sz w:val="24"/>
          <w:szCs w:val="24"/>
        </w:rPr>
        <w:t>，氮元素、磷元素供给量仅占配套</w:t>
      </w:r>
      <w:r>
        <w:rPr>
          <w:rFonts w:ascii="宋体" w:hAnsi="宋体" w:eastAsia="宋体" w:cs="宋体"/>
          <w:spacing w:val="1"/>
          <w:sz w:val="24"/>
          <w:szCs w:val="24"/>
        </w:rPr>
        <w:t>消纳土地氮养分、磷养分需求量的</w:t>
      </w:r>
      <w:r>
        <w:rPr>
          <w:rFonts w:ascii="Times New Roman" w:hAnsi="Times New Roman" w:eastAsia="Times New Roman" w:cs="Times New Roman"/>
          <w:spacing w:val="1"/>
          <w:sz w:val="24"/>
          <w:szCs w:val="24"/>
        </w:rPr>
        <w:t>3.4%</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3.3%</w:t>
      </w:r>
      <w:r>
        <w:rPr>
          <w:rFonts w:ascii="宋体" w:hAnsi="宋体" w:eastAsia="宋体" w:cs="宋体"/>
          <w:spacing w:val="1"/>
          <w:sz w:val="24"/>
          <w:szCs w:val="24"/>
        </w:rPr>
        <w:t>。在严格按照消纳地农作物的生</w:t>
      </w:r>
      <w:r>
        <w:rPr>
          <w:rFonts w:ascii="宋体" w:hAnsi="宋体" w:eastAsia="宋体" w:cs="宋体"/>
          <w:spacing w:val="-9"/>
          <w:sz w:val="24"/>
          <w:szCs w:val="24"/>
        </w:rPr>
        <w:t>长特性，合理、定量消纳利用的前提下，项目废水及废水污染物</w:t>
      </w:r>
      <w:r>
        <w:rPr>
          <w:rFonts w:ascii="宋体" w:hAnsi="宋体" w:eastAsia="宋体" w:cs="宋体"/>
          <w:spacing w:val="-10"/>
          <w:sz w:val="24"/>
          <w:szCs w:val="24"/>
        </w:rPr>
        <w:t>可被农作物吸收、</w:t>
      </w:r>
      <w:r>
        <w:rPr>
          <w:rFonts w:ascii="宋体" w:hAnsi="宋体" w:eastAsia="宋体" w:cs="宋体"/>
          <w:spacing w:val="-3"/>
          <w:sz w:val="24"/>
          <w:szCs w:val="24"/>
        </w:rPr>
        <w:t>土壤净化，随地表径流或地下水排入地表水体的污染物和废水量均十分有限。因此，项目消纳地回归水对地表水体影响轻微。</w:t>
      </w:r>
    </w:p>
    <w:p w14:paraId="6479E4C8">
      <w:pPr>
        <w:spacing w:before="1" w:line="218" w:lineRule="auto"/>
        <w:ind w:left="528"/>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）本项目对削减区域农业面源污染分析</w:t>
      </w:r>
    </w:p>
    <w:p w14:paraId="55974BD9">
      <w:pPr>
        <w:spacing w:before="183" w:line="360" w:lineRule="auto"/>
        <w:ind w:left="38" w:firstLine="510"/>
        <w:jc w:val="both"/>
        <w:rPr>
          <w:rFonts w:ascii="宋体" w:hAnsi="宋体" w:eastAsia="宋体" w:cs="宋体"/>
          <w:sz w:val="24"/>
          <w:szCs w:val="24"/>
        </w:rPr>
      </w:pPr>
      <w:r>
        <w:rPr>
          <w:rFonts w:ascii="宋体" w:hAnsi="宋体" w:eastAsia="宋体" w:cs="宋体"/>
          <w:spacing w:val="-2"/>
          <w:sz w:val="24"/>
          <w:szCs w:val="24"/>
        </w:rPr>
        <w:t>由前文调查资料，白合镇主要的农业面源污染在于种植过程过多施用化肥，</w:t>
      </w:r>
      <w:r>
        <w:rPr>
          <w:rFonts w:ascii="宋体" w:hAnsi="宋体" w:eastAsia="宋体" w:cs="宋体"/>
          <w:spacing w:val="-5"/>
          <w:sz w:val="24"/>
          <w:szCs w:val="24"/>
        </w:rPr>
        <w:t>未被作物吸收的化肥在雨季随地表径流进入石核河、五桂溪等水体，</w:t>
      </w:r>
      <w:r>
        <w:rPr>
          <w:rFonts w:ascii="宋体" w:hAnsi="宋体" w:eastAsia="宋体" w:cs="宋体"/>
          <w:spacing w:val="-49"/>
          <w:sz w:val="24"/>
          <w:szCs w:val="24"/>
        </w:rPr>
        <w:t xml:space="preserve"> </w:t>
      </w:r>
      <w:r>
        <w:rPr>
          <w:rFonts w:ascii="宋体" w:hAnsi="宋体" w:eastAsia="宋体" w:cs="宋体"/>
          <w:spacing w:val="-5"/>
          <w:sz w:val="24"/>
          <w:szCs w:val="24"/>
        </w:rPr>
        <w:t>径流水可能</w:t>
      </w:r>
      <w:r>
        <w:rPr>
          <w:rFonts w:ascii="宋体" w:hAnsi="宋体" w:eastAsia="宋体" w:cs="宋体"/>
          <w:spacing w:val="1"/>
          <w:sz w:val="24"/>
          <w:szCs w:val="24"/>
        </w:rPr>
        <w:t>挟带</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P</w:t>
      </w:r>
      <w:r>
        <w:rPr>
          <w:rFonts w:ascii="宋体" w:hAnsi="宋体" w:eastAsia="宋体" w:cs="宋体"/>
          <w:spacing w:val="1"/>
          <w:sz w:val="24"/>
          <w:szCs w:val="24"/>
        </w:rPr>
        <w:t>营养物质进入地表水体而形成农业面源污染，农业面源污染容易造成</w:t>
      </w:r>
      <w:r>
        <w:rPr>
          <w:rFonts w:ascii="宋体" w:hAnsi="宋体" w:eastAsia="宋体" w:cs="宋体"/>
          <w:spacing w:val="-2"/>
          <w:sz w:val="24"/>
          <w:szCs w:val="24"/>
        </w:rPr>
        <w:t>水体含氧量降低及形成水华等现象，影响水体功能。</w:t>
      </w:r>
    </w:p>
    <w:p w14:paraId="5A05D3E5">
      <w:pPr>
        <w:spacing w:line="360" w:lineRule="auto"/>
        <w:ind w:left="38" w:right="67" w:firstLine="479"/>
        <w:rPr>
          <w:rFonts w:ascii="宋体" w:hAnsi="宋体" w:eastAsia="宋体" w:cs="宋体"/>
          <w:sz w:val="24"/>
          <w:szCs w:val="24"/>
        </w:rPr>
      </w:pPr>
      <w:r>
        <w:rPr>
          <w:rFonts w:ascii="宋体" w:hAnsi="宋体" w:eastAsia="宋体" w:cs="宋体"/>
          <w:spacing w:val="-7"/>
          <w:sz w:val="24"/>
          <w:szCs w:val="24"/>
        </w:rPr>
        <w:t>据调查，本项目消纳地范围内农户已基本无散养生猪、牛等牲畜， 主要是散</w:t>
      </w:r>
      <w:r>
        <w:rPr>
          <w:rFonts w:ascii="宋体" w:hAnsi="宋体" w:eastAsia="宋体" w:cs="宋体"/>
          <w:spacing w:val="-6"/>
          <w:sz w:val="24"/>
          <w:szCs w:val="24"/>
        </w:rPr>
        <w:t>养鸡、鸭、鹅等家禽， 农户种植农作物使用农家肥较少，不</w:t>
      </w:r>
      <w:r>
        <w:rPr>
          <w:rFonts w:ascii="宋体" w:hAnsi="宋体" w:eastAsia="宋体" w:cs="宋体"/>
          <w:spacing w:val="-7"/>
          <w:sz w:val="24"/>
          <w:szCs w:val="24"/>
        </w:rPr>
        <w:t>能满足作物生长所需</w:t>
      </w:r>
      <w:r>
        <w:rPr>
          <w:rFonts w:ascii="宋体" w:hAnsi="宋体" w:eastAsia="宋体" w:cs="宋体"/>
          <w:spacing w:val="-16"/>
          <w:sz w:val="24"/>
          <w:szCs w:val="24"/>
        </w:rPr>
        <w:t>养分，故通常采取施用化肥，包括氮肥（尿素、碳酸氢铵等）、磷肥（过磷酸钙）、</w:t>
      </w:r>
      <w:r>
        <w:rPr>
          <w:rFonts w:ascii="宋体" w:hAnsi="宋体" w:eastAsia="宋体" w:cs="宋体"/>
          <w:spacing w:val="-6"/>
          <w:sz w:val="24"/>
          <w:szCs w:val="24"/>
        </w:rPr>
        <w:t>复合肥或复混肥等。长期大量施用化肥， 尤其在连续施用单一</w:t>
      </w:r>
      <w:r>
        <w:rPr>
          <w:rFonts w:ascii="宋体" w:hAnsi="宋体" w:eastAsia="宋体" w:cs="宋体"/>
          <w:spacing w:val="-7"/>
          <w:sz w:val="24"/>
          <w:szCs w:val="24"/>
        </w:rPr>
        <w:t>品种化肥时，容易</w:t>
      </w:r>
      <w:r>
        <w:rPr>
          <w:rFonts w:ascii="宋体" w:hAnsi="宋体" w:eastAsia="宋体" w:cs="宋体"/>
          <w:spacing w:val="-6"/>
          <w:sz w:val="24"/>
          <w:szCs w:val="24"/>
        </w:rPr>
        <w:t>造成土壤结构被破坏，导致土壤板结。从而造成土壤有机质下降，</w:t>
      </w:r>
      <w:r>
        <w:rPr>
          <w:rFonts w:ascii="宋体" w:hAnsi="宋体" w:eastAsia="宋体" w:cs="宋体"/>
          <w:spacing w:val="-7"/>
          <w:sz w:val="24"/>
          <w:szCs w:val="24"/>
        </w:rPr>
        <w:t xml:space="preserve"> 化肥无法补偿</w:t>
      </w:r>
      <w:r>
        <w:rPr>
          <w:rFonts w:ascii="宋体" w:hAnsi="宋体" w:eastAsia="宋体" w:cs="宋体"/>
          <w:spacing w:val="-3"/>
          <w:sz w:val="24"/>
          <w:szCs w:val="24"/>
        </w:rPr>
        <w:t>有机质的缺乏，进一步影响了土壤微生物的生存，直接破坏了土壤肥力结构，降</w:t>
      </w:r>
      <w:r>
        <w:rPr>
          <w:rFonts w:ascii="宋体" w:hAnsi="宋体" w:eastAsia="宋体" w:cs="宋体"/>
          <w:spacing w:val="-5"/>
          <w:sz w:val="24"/>
          <w:szCs w:val="24"/>
        </w:rPr>
        <w:t>低了肥效。而长期大量施用化肥对环境的危害主要是农业面源污染，</w:t>
      </w:r>
      <w:r>
        <w:rPr>
          <w:rFonts w:ascii="宋体" w:hAnsi="宋体" w:eastAsia="宋体" w:cs="宋体"/>
          <w:spacing w:val="-49"/>
          <w:sz w:val="24"/>
          <w:szCs w:val="24"/>
        </w:rPr>
        <w:t xml:space="preserve"> </w:t>
      </w:r>
      <w:r>
        <w:rPr>
          <w:rFonts w:ascii="宋体" w:hAnsi="宋体" w:eastAsia="宋体" w:cs="宋体"/>
          <w:spacing w:val="-5"/>
          <w:sz w:val="24"/>
          <w:szCs w:val="24"/>
        </w:rPr>
        <w:t>这也是当地</w:t>
      </w:r>
      <w:r>
        <w:rPr>
          <w:rFonts w:ascii="宋体" w:hAnsi="宋体" w:eastAsia="宋体" w:cs="宋体"/>
          <w:spacing w:val="-1"/>
          <w:sz w:val="24"/>
          <w:szCs w:val="24"/>
        </w:rPr>
        <w:t>政府部门着力解决水体污染的重要举措之一。</w:t>
      </w:r>
    </w:p>
    <w:p w14:paraId="03EC5AFC">
      <w:pPr>
        <w:spacing w:line="360" w:lineRule="auto"/>
        <w:ind w:left="38" w:firstLine="481"/>
        <w:rPr>
          <w:rFonts w:ascii="宋体" w:hAnsi="宋体" w:eastAsia="宋体" w:cs="宋体"/>
          <w:sz w:val="24"/>
          <w:szCs w:val="24"/>
        </w:rPr>
      </w:pPr>
      <w:r>
        <w:rPr>
          <w:rFonts w:ascii="宋体" w:hAnsi="宋体" w:eastAsia="宋体" w:cs="宋体"/>
          <w:spacing w:val="1"/>
          <w:sz w:val="24"/>
          <w:szCs w:val="24"/>
        </w:rPr>
        <w:t>本项目废水中含有一定量的</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P</w:t>
      </w:r>
      <w:r>
        <w:rPr>
          <w:rFonts w:ascii="宋体" w:hAnsi="宋体" w:eastAsia="宋体" w:cs="宋体"/>
          <w:spacing w:val="1"/>
          <w:sz w:val="24"/>
          <w:szCs w:val="24"/>
        </w:rPr>
        <w:t>营养元素和有机质，可以逐步改善土壤理</w:t>
      </w:r>
      <w:r>
        <w:rPr>
          <w:rFonts w:ascii="宋体" w:hAnsi="宋体" w:eastAsia="宋体" w:cs="宋体"/>
          <w:spacing w:val="-9"/>
          <w:sz w:val="24"/>
          <w:szCs w:val="24"/>
        </w:rPr>
        <w:t>化性质，提髙肥力，提高作物收成量，对促进农业增产</w:t>
      </w:r>
      <w:r>
        <w:rPr>
          <w:rFonts w:ascii="宋体" w:hAnsi="宋体" w:eastAsia="宋体" w:cs="宋体"/>
          <w:spacing w:val="-10"/>
          <w:sz w:val="24"/>
          <w:szCs w:val="24"/>
        </w:rPr>
        <w:t>和农民增收具有重要意义。</w:t>
      </w:r>
      <w:r>
        <w:rPr>
          <w:rFonts w:ascii="宋体" w:hAnsi="宋体" w:eastAsia="宋体" w:cs="宋体"/>
          <w:spacing w:val="-1"/>
          <w:sz w:val="24"/>
          <w:szCs w:val="24"/>
        </w:rPr>
        <w:t>同时，消纳地集中管理，避免了盲目施用化肥现象，有助于减少农业面源污染，</w:t>
      </w:r>
      <w:r>
        <w:rPr>
          <w:rFonts w:ascii="宋体" w:hAnsi="宋体" w:eastAsia="宋体" w:cs="宋体"/>
          <w:spacing w:val="-3"/>
          <w:sz w:val="24"/>
          <w:szCs w:val="24"/>
        </w:rPr>
        <w:t>对削减区域农业面源污染具有重要影响，也有助于减轻周围水体受农业面源污染影响程度，水体水质有望逐步得以改善。</w:t>
      </w:r>
    </w:p>
    <w:p w14:paraId="204119BC">
      <w:pPr>
        <w:spacing w:line="362" w:lineRule="auto"/>
        <w:ind w:left="39" w:right="67" w:firstLine="482"/>
        <w:rPr>
          <w:rFonts w:ascii="宋体" w:hAnsi="宋体" w:eastAsia="宋体" w:cs="宋体"/>
          <w:sz w:val="24"/>
          <w:szCs w:val="24"/>
        </w:rPr>
      </w:pPr>
      <w:r>
        <w:rPr>
          <w:rFonts w:ascii="宋体" w:hAnsi="宋体" w:eastAsia="宋体" w:cs="宋体"/>
          <w:spacing w:val="-3"/>
          <w:sz w:val="24"/>
          <w:szCs w:val="24"/>
        </w:rPr>
        <w:t>综上，本项目消纳地在落实好上述农灌制度及措施情况下</w:t>
      </w:r>
      <w:r>
        <w:rPr>
          <w:rFonts w:ascii="宋体" w:hAnsi="宋体" w:eastAsia="宋体" w:cs="宋体"/>
          <w:spacing w:val="-4"/>
          <w:sz w:val="24"/>
          <w:szCs w:val="24"/>
        </w:rPr>
        <w:t>，农灌废水对周围地表水体的环境影响轻微。</w:t>
      </w:r>
    </w:p>
    <w:p w14:paraId="23CE0D89">
      <w:pPr>
        <w:spacing w:line="362" w:lineRule="auto"/>
        <w:rPr>
          <w:rFonts w:ascii="宋体" w:hAnsi="宋体" w:eastAsia="宋体" w:cs="宋体"/>
          <w:sz w:val="24"/>
          <w:szCs w:val="24"/>
        </w:rPr>
        <w:sectPr>
          <w:headerReference r:id="rId350" w:type="default"/>
          <w:footerReference r:id="rId351" w:type="default"/>
          <w:pgSz w:w="11905" w:h="16840"/>
          <w:pgMar w:top="1168" w:right="1730" w:bottom="1409" w:left="1770" w:header="828" w:footer="1244" w:gutter="0"/>
          <w:cols w:space="720" w:num="1"/>
        </w:sectPr>
      </w:pPr>
    </w:p>
    <w:p w14:paraId="0298DB6E">
      <w:pPr>
        <w:pStyle w:val="2"/>
        <w:spacing w:line="353" w:lineRule="auto"/>
      </w:pPr>
    </w:p>
    <w:p w14:paraId="5C016C85">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4.2.2.6 </w:t>
      </w:r>
      <w:r>
        <w:rPr>
          <w:rFonts w:ascii="宋体" w:hAnsi="宋体" w:eastAsia="宋体" w:cs="宋体"/>
          <w:b/>
          <w:bCs/>
          <w:spacing w:val="5"/>
          <w:sz w:val="27"/>
          <w:szCs w:val="27"/>
        </w:rPr>
        <w:t>废水非正常排放影响分析</w:t>
      </w:r>
    </w:p>
    <w:p w14:paraId="1180174A">
      <w:pPr>
        <w:spacing w:before="238" w:line="359" w:lineRule="auto"/>
        <w:ind w:left="39" w:right="66" w:firstLine="480"/>
        <w:jc w:val="both"/>
        <w:rPr>
          <w:rFonts w:ascii="宋体" w:hAnsi="宋体" w:eastAsia="宋体" w:cs="宋体"/>
          <w:sz w:val="24"/>
          <w:szCs w:val="24"/>
        </w:rPr>
      </w:pPr>
      <w:r>
        <w:rPr>
          <w:rFonts w:ascii="宋体" w:hAnsi="宋体" w:eastAsia="宋体" w:cs="宋体"/>
          <w:spacing w:val="-3"/>
          <w:sz w:val="24"/>
          <w:szCs w:val="24"/>
        </w:rPr>
        <w:t>根据工程分析，本项目可能发生的非正常排放情况主要为废水未</w:t>
      </w:r>
      <w:r>
        <w:rPr>
          <w:rFonts w:ascii="宋体" w:hAnsi="宋体" w:eastAsia="宋体" w:cs="宋体"/>
          <w:spacing w:val="-4"/>
          <w:sz w:val="24"/>
          <w:szCs w:val="24"/>
        </w:rPr>
        <w:t>经污水处理</w:t>
      </w:r>
      <w:r>
        <w:rPr>
          <w:rFonts w:ascii="宋体" w:hAnsi="宋体" w:eastAsia="宋体" w:cs="宋体"/>
          <w:sz w:val="24"/>
          <w:szCs w:val="24"/>
        </w:rPr>
        <w:t>站处理直接排放（污水处理设施出现事故情况）。事故废水排放量按</w:t>
      </w:r>
      <w:r>
        <w:rPr>
          <w:rFonts w:ascii="Times New Roman" w:hAnsi="Times New Roman" w:eastAsia="Times New Roman" w:cs="Times New Roman"/>
          <w:sz w:val="24"/>
          <w:szCs w:val="24"/>
        </w:rPr>
        <w:t>1</w:t>
      </w:r>
      <w:r>
        <w:rPr>
          <w:rFonts w:ascii="宋体" w:hAnsi="宋体" w:eastAsia="宋体" w:cs="宋体"/>
          <w:sz w:val="24"/>
          <w:szCs w:val="24"/>
        </w:rPr>
        <w:t>天污水量估算，本项目废水最大产生量为</w:t>
      </w:r>
      <w:r>
        <w:rPr>
          <w:rFonts w:ascii="Times New Roman" w:hAnsi="Times New Roman" w:eastAsia="Times New Roman" w:cs="Times New Roman"/>
          <w:sz w:val="24"/>
          <w:szCs w:val="24"/>
        </w:rPr>
        <w:t>247.46m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。非正</w:t>
      </w:r>
      <w:r>
        <w:rPr>
          <w:rFonts w:ascii="宋体" w:hAnsi="宋体" w:eastAsia="宋体" w:cs="宋体"/>
          <w:spacing w:val="-1"/>
          <w:sz w:val="24"/>
          <w:szCs w:val="24"/>
        </w:rPr>
        <w:t>常排放废水中主要污染物浓度</w:t>
      </w:r>
      <w:r>
        <w:rPr>
          <w:rFonts w:ascii="宋体" w:hAnsi="宋体" w:eastAsia="宋体" w:cs="宋体"/>
          <w:spacing w:val="-13"/>
          <w:sz w:val="24"/>
          <w:szCs w:val="24"/>
        </w:rPr>
        <w:t>见下表：</w:t>
      </w:r>
    </w:p>
    <w:p w14:paraId="509A7EEA">
      <w:pPr>
        <w:spacing w:before="16" w:line="222" w:lineRule="auto"/>
        <w:ind w:left="2506"/>
        <w:rPr>
          <w:rFonts w:ascii="黑体" w:hAnsi="黑体" w:eastAsia="黑体" w:cs="黑体"/>
          <w:sz w:val="21"/>
          <w:szCs w:val="21"/>
        </w:rPr>
      </w:pPr>
      <w:r>
        <w:rPr>
          <w:rFonts w:ascii="黑体" w:hAnsi="黑体" w:eastAsia="黑体" w:cs="黑体"/>
          <w:spacing w:val="-1"/>
          <w:sz w:val="21"/>
          <w:szCs w:val="21"/>
        </w:rPr>
        <w:t>表</w:t>
      </w:r>
      <w:r>
        <w:rPr>
          <w:rFonts w:ascii="Times New Roman" w:hAnsi="Times New Roman" w:eastAsia="Times New Roman" w:cs="Times New Roman"/>
          <w:spacing w:val="-1"/>
          <w:sz w:val="21"/>
          <w:szCs w:val="21"/>
        </w:rPr>
        <w:t xml:space="preserve">4.2-31  </w:t>
      </w:r>
      <w:r>
        <w:rPr>
          <w:rFonts w:ascii="黑体" w:hAnsi="黑体" w:eastAsia="黑体" w:cs="黑体"/>
          <w:spacing w:val="-1"/>
          <w:sz w:val="21"/>
          <w:szCs w:val="21"/>
        </w:rPr>
        <w:t>项目废水非正常排放情况表</w:t>
      </w:r>
    </w:p>
    <w:p w14:paraId="5EA54AA4">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0"/>
        <w:gridCol w:w="1321"/>
        <w:gridCol w:w="1322"/>
        <w:gridCol w:w="1320"/>
        <w:gridCol w:w="1322"/>
        <w:gridCol w:w="1325"/>
      </w:tblGrid>
      <w:tr w14:paraId="68DBD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10" w:type="dxa"/>
            <w:vAlign w:val="top"/>
          </w:tcPr>
          <w:p w14:paraId="28480970">
            <w:pPr>
              <w:spacing w:before="69" w:line="220" w:lineRule="auto"/>
              <w:ind w:left="654"/>
              <w:rPr>
                <w:rFonts w:ascii="宋体" w:hAnsi="宋体" w:eastAsia="宋体" w:cs="宋体"/>
                <w:sz w:val="21"/>
                <w:szCs w:val="21"/>
              </w:rPr>
            </w:pPr>
            <w:r>
              <w:rPr>
                <w:rFonts w:ascii="宋体" w:hAnsi="宋体" w:eastAsia="宋体" w:cs="宋体"/>
                <w:spacing w:val="-3"/>
                <w:sz w:val="21"/>
                <w:szCs w:val="21"/>
              </w:rPr>
              <w:t>项目</w:t>
            </w:r>
          </w:p>
        </w:tc>
        <w:tc>
          <w:tcPr>
            <w:tcW w:w="1321" w:type="dxa"/>
            <w:vAlign w:val="top"/>
          </w:tcPr>
          <w:p w14:paraId="696A9E8C">
            <w:pPr>
              <w:pStyle w:val="6"/>
              <w:spacing w:before="105" w:line="188" w:lineRule="auto"/>
              <w:ind w:left="444"/>
            </w:pPr>
            <w:r>
              <w:rPr>
                <w:spacing w:val="-3"/>
              </w:rPr>
              <w:t>COD</w:t>
            </w:r>
          </w:p>
        </w:tc>
        <w:tc>
          <w:tcPr>
            <w:tcW w:w="1322" w:type="dxa"/>
            <w:vAlign w:val="top"/>
          </w:tcPr>
          <w:p w14:paraId="06AE62E7">
            <w:pPr>
              <w:pStyle w:val="6"/>
              <w:spacing w:before="105" w:line="198" w:lineRule="auto"/>
              <w:ind w:left="404"/>
              <w:rPr>
                <w:sz w:val="14"/>
                <w:szCs w:val="14"/>
              </w:rPr>
            </w:pPr>
            <w:r>
              <w:rPr>
                <w:spacing w:val="-2"/>
              </w:rPr>
              <w:t>BOD</w:t>
            </w:r>
            <w:r>
              <w:rPr>
                <w:spacing w:val="-2"/>
                <w:position w:val="-2"/>
                <w:sz w:val="14"/>
                <w:szCs w:val="14"/>
              </w:rPr>
              <w:t>5</w:t>
            </w:r>
          </w:p>
        </w:tc>
        <w:tc>
          <w:tcPr>
            <w:tcW w:w="1320" w:type="dxa"/>
            <w:vAlign w:val="top"/>
          </w:tcPr>
          <w:p w14:paraId="7615777C">
            <w:pPr>
              <w:pStyle w:val="6"/>
              <w:spacing w:before="108" w:line="195" w:lineRule="auto"/>
              <w:ind w:left="357"/>
            </w:pPr>
            <w:r>
              <w:t>NH</w:t>
            </w:r>
            <w:r>
              <w:rPr>
                <w:position w:val="-2"/>
                <w:sz w:val="14"/>
                <w:szCs w:val="14"/>
              </w:rPr>
              <w:t>3</w:t>
            </w:r>
            <w:r>
              <w:t>-N</w:t>
            </w:r>
          </w:p>
        </w:tc>
        <w:tc>
          <w:tcPr>
            <w:tcW w:w="1322" w:type="dxa"/>
            <w:vAlign w:val="top"/>
          </w:tcPr>
          <w:p w14:paraId="36BD66C1">
            <w:pPr>
              <w:pStyle w:val="6"/>
              <w:spacing w:before="105" w:line="188" w:lineRule="auto"/>
              <w:ind w:left="556"/>
            </w:pPr>
            <w:r>
              <w:rPr>
                <w:spacing w:val="-7"/>
              </w:rPr>
              <w:t>SS</w:t>
            </w:r>
          </w:p>
        </w:tc>
        <w:tc>
          <w:tcPr>
            <w:tcW w:w="1325" w:type="dxa"/>
            <w:vAlign w:val="top"/>
          </w:tcPr>
          <w:p w14:paraId="1EA0072E">
            <w:pPr>
              <w:pStyle w:val="6"/>
              <w:spacing w:before="108" w:line="185" w:lineRule="auto"/>
              <w:ind w:left="543"/>
            </w:pPr>
            <w:r>
              <w:rPr>
                <w:spacing w:val="-2"/>
              </w:rPr>
              <w:t>TP</w:t>
            </w:r>
          </w:p>
        </w:tc>
      </w:tr>
      <w:tr w14:paraId="1FAB1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10" w:type="dxa"/>
            <w:vAlign w:val="top"/>
          </w:tcPr>
          <w:p w14:paraId="02EF0A4C">
            <w:pPr>
              <w:pStyle w:val="6"/>
              <w:spacing w:before="67" w:line="212" w:lineRule="auto"/>
              <w:ind w:left="213"/>
              <w:rPr>
                <w:rFonts w:ascii="宋体" w:hAnsi="宋体" w:eastAsia="宋体" w:cs="宋体"/>
              </w:rPr>
            </w:pPr>
            <w:r>
              <w:rPr>
                <w:rFonts w:ascii="宋体" w:hAnsi="宋体" w:eastAsia="宋体" w:cs="宋体"/>
                <w:spacing w:val="-2"/>
              </w:rPr>
              <w:t>浓度（</w:t>
            </w:r>
            <w:r>
              <w:rPr>
                <w:spacing w:val="-2"/>
              </w:rPr>
              <w:t>mg/L</w:t>
            </w:r>
            <w:r>
              <w:rPr>
                <w:rFonts w:ascii="宋体" w:hAnsi="宋体" w:eastAsia="宋体" w:cs="宋体"/>
                <w:spacing w:val="-2"/>
              </w:rPr>
              <w:t>）</w:t>
            </w:r>
          </w:p>
        </w:tc>
        <w:tc>
          <w:tcPr>
            <w:tcW w:w="1321" w:type="dxa"/>
            <w:vAlign w:val="top"/>
          </w:tcPr>
          <w:p w14:paraId="59142B57">
            <w:pPr>
              <w:pStyle w:val="6"/>
              <w:spacing w:before="103" w:line="188" w:lineRule="auto"/>
              <w:ind w:left="321"/>
            </w:pPr>
            <w:r>
              <w:rPr>
                <w:spacing w:val="-1"/>
              </w:rPr>
              <w:t>20996.2</w:t>
            </w:r>
          </w:p>
        </w:tc>
        <w:tc>
          <w:tcPr>
            <w:tcW w:w="1322" w:type="dxa"/>
            <w:vAlign w:val="top"/>
          </w:tcPr>
          <w:p w14:paraId="3A48767F">
            <w:pPr>
              <w:pStyle w:val="6"/>
              <w:spacing w:before="103" w:line="188" w:lineRule="auto"/>
              <w:ind w:left="377"/>
            </w:pPr>
            <w:r>
              <w:rPr>
                <w:spacing w:val="-2"/>
              </w:rPr>
              <w:t>7778.9</w:t>
            </w:r>
          </w:p>
        </w:tc>
        <w:tc>
          <w:tcPr>
            <w:tcW w:w="1320" w:type="dxa"/>
            <w:vAlign w:val="top"/>
          </w:tcPr>
          <w:p w14:paraId="0234B75A">
            <w:pPr>
              <w:pStyle w:val="6"/>
              <w:spacing w:before="103" w:line="188" w:lineRule="auto"/>
              <w:ind w:left="431"/>
            </w:pPr>
            <w:r>
              <w:rPr>
                <w:spacing w:val="-2"/>
              </w:rPr>
              <w:t>574.5</w:t>
            </w:r>
          </w:p>
        </w:tc>
        <w:tc>
          <w:tcPr>
            <w:tcW w:w="1322" w:type="dxa"/>
            <w:vAlign w:val="top"/>
          </w:tcPr>
          <w:p w14:paraId="31617DD9">
            <w:pPr>
              <w:pStyle w:val="6"/>
              <w:spacing w:before="103" w:line="188" w:lineRule="auto"/>
              <w:ind w:left="380"/>
            </w:pPr>
            <w:r>
              <w:rPr>
                <w:spacing w:val="-2"/>
              </w:rPr>
              <w:t>3892.0</w:t>
            </w:r>
          </w:p>
        </w:tc>
        <w:tc>
          <w:tcPr>
            <w:tcW w:w="1325" w:type="dxa"/>
            <w:vAlign w:val="top"/>
          </w:tcPr>
          <w:p w14:paraId="58010AF9">
            <w:pPr>
              <w:pStyle w:val="6"/>
              <w:spacing w:before="103" w:line="188" w:lineRule="auto"/>
              <w:ind w:left="447"/>
            </w:pPr>
            <w:r>
              <w:rPr>
                <w:spacing w:val="-5"/>
              </w:rPr>
              <w:t>124.0</w:t>
            </w:r>
          </w:p>
        </w:tc>
      </w:tr>
    </w:tbl>
    <w:p w14:paraId="14EAB2B3">
      <w:pPr>
        <w:spacing w:before="234" w:line="360" w:lineRule="auto"/>
        <w:ind w:left="38" w:right="66" w:firstLine="510"/>
        <w:jc w:val="both"/>
        <w:rPr>
          <w:rFonts w:ascii="宋体" w:hAnsi="宋体" w:eastAsia="宋体" w:cs="宋体"/>
          <w:sz w:val="24"/>
          <w:szCs w:val="24"/>
        </w:rPr>
      </w:pPr>
      <w:r>
        <w:rPr>
          <w:rFonts w:ascii="宋体" w:hAnsi="宋体" w:eastAsia="宋体" w:cs="宋体"/>
          <w:spacing w:val="-4"/>
          <w:sz w:val="24"/>
          <w:szCs w:val="24"/>
        </w:rPr>
        <w:t>由上表可知，未经处理的废水中各种污染物质含量较高，远远超出农作物能</w:t>
      </w:r>
      <w:r>
        <w:rPr>
          <w:rFonts w:ascii="宋体" w:hAnsi="宋体" w:eastAsia="宋体" w:cs="宋体"/>
          <w:spacing w:val="-3"/>
          <w:sz w:val="24"/>
          <w:szCs w:val="24"/>
        </w:rPr>
        <w:t>够消纳的粪肥浓度，如果直接外排，将会对周围环境造成一定的污染，也会对土</w:t>
      </w:r>
      <w:r>
        <w:rPr>
          <w:rFonts w:ascii="宋体" w:hAnsi="宋体" w:eastAsia="宋体" w:cs="宋体"/>
          <w:spacing w:val="-1"/>
          <w:sz w:val="24"/>
          <w:szCs w:val="24"/>
        </w:rPr>
        <w:t>壤中农作物正常生长造成严重影响，因此，要坚决杜</w:t>
      </w:r>
      <w:r>
        <w:rPr>
          <w:rFonts w:ascii="宋体" w:hAnsi="宋体" w:eastAsia="宋体" w:cs="宋体"/>
          <w:spacing w:val="-2"/>
          <w:sz w:val="24"/>
          <w:szCs w:val="24"/>
        </w:rPr>
        <w:t>绝废水的非正常排放。</w:t>
      </w:r>
    </w:p>
    <w:p w14:paraId="686C1CBA">
      <w:pPr>
        <w:spacing w:before="4" w:line="358" w:lineRule="auto"/>
        <w:ind w:left="37" w:right="66" w:firstLine="481"/>
        <w:jc w:val="both"/>
        <w:rPr>
          <w:rFonts w:ascii="宋体" w:hAnsi="宋体" w:eastAsia="宋体" w:cs="宋体"/>
          <w:sz w:val="24"/>
          <w:szCs w:val="24"/>
        </w:rPr>
      </w:pPr>
      <w:r>
        <w:rPr>
          <w:rFonts w:ascii="宋体" w:hAnsi="宋体" w:eastAsia="宋体" w:cs="宋体"/>
          <w:spacing w:val="-3"/>
          <w:sz w:val="24"/>
          <w:szCs w:val="24"/>
        </w:rPr>
        <w:t>根据污水处理站设计资料，污水处理站设计有回水管连接微生物</w:t>
      </w:r>
      <w:r>
        <w:rPr>
          <w:rFonts w:ascii="宋体" w:hAnsi="宋体" w:eastAsia="宋体" w:cs="宋体"/>
          <w:spacing w:val="-4"/>
          <w:sz w:val="24"/>
          <w:szCs w:val="24"/>
        </w:rPr>
        <w:t>曝氧塘，如</w:t>
      </w:r>
      <w:r>
        <w:rPr>
          <w:rFonts w:ascii="宋体" w:hAnsi="宋体" w:eastAsia="宋体" w:cs="宋体"/>
          <w:spacing w:val="2"/>
          <w:sz w:val="24"/>
          <w:szCs w:val="24"/>
        </w:rPr>
        <w:t>出水不能达标则直接回流至微生物曝氧塘，微生物曝氧塘容积</w:t>
      </w:r>
      <w:r>
        <w:rPr>
          <w:rFonts w:ascii="Times New Roman" w:hAnsi="Times New Roman" w:eastAsia="Times New Roman" w:cs="Times New Roman"/>
          <w:spacing w:val="2"/>
          <w:sz w:val="24"/>
          <w:szCs w:val="24"/>
        </w:rPr>
        <w:t>8000m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7"/>
          <w:position w:val="10"/>
          <w:sz w:val="15"/>
          <w:szCs w:val="15"/>
        </w:rPr>
        <w:t xml:space="preserve"> </w:t>
      </w:r>
      <w:r>
        <w:rPr>
          <w:rFonts w:ascii="宋体" w:hAnsi="宋体" w:eastAsia="宋体" w:cs="宋体"/>
          <w:spacing w:val="2"/>
          <w:sz w:val="24"/>
          <w:szCs w:val="24"/>
        </w:rPr>
        <w:t>、有</w:t>
      </w:r>
      <w:r>
        <w:rPr>
          <w:rFonts w:ascii="宋体" w:hAnsi="宋体" w:eastAsia="宋体" w:cs="宋体"/>
          <w:spacing w:val="1"/>
          <w:sz w:val="24"/>
          <w:szCs w:val="24"/>
        </w:rPr>
        <w:t>效容</w:t>
      </w:r>
      <w:r>
        <w:rPr>
          <w:rFonts w:ascii="宋体" w:hAnsi="宋体" w:eastAsia="宋体" w:cs="宋体"/>
          <w:spacing w:val="-2"/>
          <w:sz w:val="24"/>
          <w:szCs w:val="24"/>
        </w:rPr>
        <w:t>积</w:t>
      </w:r>
      <w:r>
        <w:rPr>
          <w:rFonts w:ascii="Times New Roman" w:hAnsi="Times New Roman" w:eastAsia="Times New Roman" w:cs="Times New Roman"/>
          <w:spacing w:val="-2"/>
          <w:sz w:val="24"/>
          <w:szCs w:val="24"/>
        </w:rPr>
        <w:t>7000m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8"/>
          <w:position w:val="10"/>
          <w:sz w:val="15"/>
          <w:szCs w:val="15"/>
        </w:rPr>
        <w:t xml:space="preserve"> </w:t>
      </w:r>
      <w:r>
        <w:rPr>
          <w:rFonts w:ascii="宋体" w:hAnsi="宋体" w:eastAsia="宋体" w:cs="宋体"/>
          <w:spacing w:val="-2"/>
          <w:sz w:val="24"/>
          <w:szCs w:val="24"/>
        </w:rPr>
        <w:t>，微生物曝氧塘可用于调节作用的容积为</w:t>
      </w:r>
      <w:r>
        <w:rPr>
          <w:rFonts w:ascii="Times New Roman" w:hAnsi="Times New Roman" w:eastAsia="Times New Roman" w:cs="Times New Roman"/>
          <w:spacing w:val="-2"/>
          <w:sz w:val="24"/>
          <w:szCs w:val="24"/>
        </w:rPr>
        <w:t>1000m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8"/>
          <w:position w:val="10"/>
          <w:sz w:val="15"/>
          <w:szCs w:val="15"/>
        </w:rPr>
        <w:t xml:space="preserve"> </w:t>
      </w:r>
      <w:r>
        <w:rPr>
          <w:rFonts w:ascii="宋体" w:hAnsi="宋体" w:eastAsia="宋体" w:cs="宋体"/>
          <w:spacing w:val="-2"/>
          <w:sz w:val="24"/>
          <w:szCs w:val="24"/>
        </w:rPr>
        <w:t>，能够蓄积约</w:t>
      </w:r>
      <w:r>
        <w:rPr>
          <w:rFonts w:ascii="Times New Roman" w:hAnsi="Times New Roman" w:eastAsia="Times New Roman" w:cs="Times New Roman"/>
          <w:spacing w:val="-2"/>
          <w:sz w:val="24"/>
          <w:szCs w:val="24"/>
        </w:rPr>
        <w:t>4</w:t>
      </w:r>
      <w:r>
        <w:rPr>
          <w:rFonts w:ascii="宋体" w:hAnsi="宋体" w:eastAsia="宋体" w:cs="宋体"/>
          <w:spacing w:val="-3"/>
          <w:sz w:val="24"/>
          <w:szCs w:val="24"/>
        </w:rPr>
        <w:t>天的污</w:t>
      </w:r>
      <w:r>
        <w:rPr>
          <w:rFonts w:ascii="宋体" w:hAnsi="宋体" w:eastAsia="宋体" w:cs="宋体"/>
          <w:spacing w:val="-2"/>
          <w:sz w:val="24"/>
          <w:szCs w:val="24"/>
        </w:rPr>
        <w:t>水量（以夏季污水量计</w:t>
      </w:r>
      <w:r>
        <w:rPr>
          <w:rFonts w:ascii="宋体" w:hAnsi="宋体" w:eastAsia="宋体" w:cs="宋体"/>
          <w:spacing w:val="-19"/>
          <w:sz w:val="24"/>
          <w:szCs w:val="24"/>
        </w:rPr>
        <w:t>），</w:t>
      </w:r>
      <w:r>
        <w:rPr>
          <w:rFonts w:ascii="宋体" w:hAnsi="宋体" w:eastAsia="宋体" w:cs="宋体"/>
          <w:spacing w:val="-2"/>
          <w:sz w:val="24"/>
          <w:szCs w:val="24"/>
        </w:rPr>
        <w:t>一旦污水处理站发生故障不能有效处理污水时，可以</w:t>
      </w:r>
      <w:r>
        <w:rPr>
          <w:rFonts w:ascii="宋体" w:hAnsi="宋体" w:eastAsia="宋体" w:cs="宋体"/>
          <w:spacing w:val="-3"/>
          <w:sz w:val="24"/>
          <w:szCs w:val="24"/>
        </w:rPr>
        <w:t>将废水暂存在微生物曝氧塘。</w:t>
      </w:r>
    </w:p>
    <w:p w14:paraId="0537C5CC">
      <w:pPr>
        <w:spacing w:before="9" w:line="362" w:lineRule="auto"/>
        <w:ind w:left="42" w:right="66" w:firstLine="476"/>
        <w:rPr>
          <w:rFonts w:ascii="宋体" w:hAnsi="宋体" w:eastAsia="宋体" w:cs="宋体"/>
          <w:sz w:val="24"/>
          <w:szCs w:val="24"/>
        </w:rPr>
      </w:pPr>
      <w:r>
        <w:rPr>
          <w:rFonts w:ascii="宋体" w:hAnsi="宋体" w:eastAsia="宋体" w:cs="宋体"/>
          <w:spacing w:val="-3"/>
          <w:sz w:val="24"/>
          <w:szCs w:val="24"/>
        </w:rPr>
        <w:t>在上述工程措施保证前提下，建设单位应在污水处理站发生故障</w:t>
      </w:r>
      <w:r>
        <w:rPr>
          <w:rFonts w:ascii="宋体" w:hAnsi="宋体" w:eastAsia="宋体" w:cs="宋体"/>
          <w:spacing w:val="-4"/>
          <w:sz w:val="24"/>
          <w:szCs w:val="24"/>
        </w:rPr>
        <w:t>的第一时间</w:t>
      </w:r>
      <w:r>
        <w:rPr>
          <w:rFonts w:ascii="宋体" w:hAnsi="宋体" w:eastAsia="宋体" w:cs="宋体"/>
          <w:spacing w:val="-1"/>
          <w:sz w:val="24"/>
          <w:szCs w:val="24"/>
        </w:rPr>
        <w:t>组织专业人员维修，这样可以保证污水处理站发</w:t>
      </w:r>
      <w:r>
        <w:rPr>
          <w:rFonts w:ascii="宋体" w:hAnsi="宋体" w:eastAsia="宋体" w:cs="宋体"/>
          <w:spacing w:val="-2"/>
          <w:sz w:val="24"/>
          <w:szCs w:val="24"/>
        </w:rPr>
        <w:t>生故障时废水不满溢、外排。</w:t>
      </w:r>
    </w:p>
    <w:p w14:paraId="28F2A9FE">
      <w:pPr>
        <w:spacing w:before="51"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4.2.2.7 </w:t>
      </w:r>
      <w:r>
        <w:rPr>
          <w:rFonts w:ascii="宋体" w:hAnsi="宋体" w:eastAsia="宋体" w:cs="宋体"/>
          <w:b/>
          <w:bCs/>
          <w:spacing w:val="5"/>
          <w:sz w:val="27"/>
          <w:szCs w:val="27"/>
        </w:rPr>
        <w:t>地表水环境影响评价小结</w:t>
      </w:r>
    </w:p>
    <w:p w14:paraId="398CA6EA">
      <w:pPr>
        <w:spacing w:before="239" w:line="361" w:lineRule="auto"/>
        <w:ind w:left="40" w:firstLine="481"/>
        <w:jc w:val="both"/>
        <w:rPr>
          <w:rFonts w:ascii="宋体" w:hAnsi="宋体" w:eastAsia="宋体" w:cs="宋体"/>
          <w:sz w:val="24"/>
          <w:szCs w:val="24"/>
        </w:rPr>
      </w:pPr>
      <w:r>
        <w:rPr>
          <w:rFonts w:ascii="宋体" w:hAnsi="宋体" w:eastAsia="宋体" w:cs="宋体"/>
          <w:spacing w:val="-7"/>
          <w:sz w:val="24"/>
          <w:szCs w:val="24"/>
        </w:rPr>
        <w:t>综上，本项目废水处理工艺、处理能力能满足需求， 废水经处理后全部用于</w:t>
      </w:r>
      <w:r>
        <w:rPr>
          <w:rFonts w:ascii="宋体" w:hAnsi="宋体" w:eastAsia="宋体" w:cs="宋体"/>
          <w:spacing w:val="-8"/>
          <w:sz w:val="24"/>
          <w:szCs w:val="24"/>
        </w:rPr>
        <w:t>周围消纳地农灌，不外排，且配套的消纳土地完全能够满足本项目废水消纳需求，</w:t>
      </w:r>
      <w:r>
        <w:rPr>
          <w:rFonts w:ascii="宋体" w:hAnsi="宋体" w:eastAsia="宋体" w:cs="宋体"/>
          <w:spacing w:val="-1"/>
          <w:sz w:val="24"/>
          <w:szCs w:val="24"/>
        </w:rPr>
        <w:t>故本项目废水还田可行。因此，正常情况下，本项目</w:t>
      </w:r>
      <w:r>
        <w:rPr>
          <w:rFonts w:ascii="宋体" w:hAnsi="宋体" w:eastAsia="宋体" w:cs="宋体"/>
          <w:spacing w:val="-2"/>
          <w:sz w:val="24"/>
          <w:szCs w:val="24"/>
        </w:rPr>
        <w:t>对地表水环境影响轻微。</w:t>
      </w:r>
    </w:p>
    <w:p w14:paraId="404DC9B4">
      <w:pPr>
        <w:spacing w:before="164"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4.2.3  </w:t>
      </w:r>
      <w:r>
        <w:rPr>
          <w:rFonts w:ascii="宋体" w:hAnsi="宋体" w:eastAsia="宋体" w:cs="宋体"/>
          <w:b/>
          <w:bCs/>
          <w:spacing w:val="-2"/>
          <w:sz w:val="30"/>
          <w:szCs w:val="30"/>
        </w:rPr>
        <w:t>地下水环境影响评价</w:t>
      </w:r>
    </w:p>
    <w:p w14:paraId="6A6603E3">
      <w:pPr>
        <w:pStyle w:val="2"/>
        <w:spacing w:line="309" w:lineRule="auto"/>
      </w:pPr>
    </w:p>
    <w:p w14:paraId="3DBD36C6">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4.2.3.1 </w:t>
      </w:r>
      <w:r>
        <w:rPr>
          <w:rFonts w:ascii="宋体" w:hAnsi="宋体" w:eastAsia="宋体" w:cs="宋体"/>
          <w:b/>
          <w:bCs/>
          <w:spacing w:val="4"/>
          <w:sz w:val="27"/>
          <w:szCs w:val="27"/>
        </w:rPr>
        <w:t>地质条件</w:t>
      </w:r>
    </w:p>
    <w:p w14:paraId="21235D6A">
      <w:pPr>
        <w:spacing w:before="235"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）场地地层构成及特征</w:t>
      </w:r>
    </w:p>
    <w:p w14:paraId="100A8BF3">
      <w:pPr>
        <w:spacing w:before="164" w:line="344" w:lineRule="auto"/>
        <w:ind w:left="39" w:right="78" w:firstLine="479"/>
        <w:jc w:val="both"/>
        <w:rPr>
          <w:rFonts w:ascii="宋体" w:hAnsi="宋体" w:eastAsia="宋体" w:cs="宋体"/>
          <w:sz w:val="24"/>
          <w:szCs w:val="24"/>
        </w:rPr>
      </w:pPr>
      <w:r>
        <w:rPr>
          <w:rFonts w:ascii="宋体" w:hAnsi="宋体" w:eastAsia="宋体" w:cs="宋体"/>
          <w:spacing w:val="1"/>
          <w:sz w:val="24"/>
          <w:szCs w:val="24"/>
        </w:rPr>
        <w:t>根据勘察结果，场地内地层由第四系全新统人工填土</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3"/>
          <w:sz w:val="15"/>
          <w:szCs w:val="15"/>
        </w:rPr>
        <w:t>4</w:t>
      </w:r>
      <w:r>
        <w:rPr>
          <w:rFonts w:ascii="Times New Roman" w:hAnsi="Times New Roman" w:eastAsia="Times New Roman" w:cs="Times New Roman"/>
          <w:position w:val="3"/>
          <w:sz w:val="15"/>
          <w:szCs w:val="15"/>
        </w:rPr>
        <w:t>ml</w:t>
      </w:r>
      <w:r>
        <w:rPr>
          <w:rFonts w:ascii="Times New Roman" w:hAnsi="Times New Roman" w:eastAsia="Times New Roman" w:cs="Times New Roman"/>
          <w:spacing w:val="1"/>
          <w:position w:val="3"/>
          <w:sz w:val="24"/>
          <w:szCs w:val="24"/>
        </w:rPr>
        <w:t>)</w:t>
      </w:r>
      <w:r>
        <w:rPr>
          <w:rFonts w:ascii="宋体" w:hAnsi="宋体" w:eastAsia="宋体" w:cs="宋体"/>
          <w:spacing w:val="1"/>
          <w:sz w:val="24"/>
          <w:szCs w:val="24"/>
        </w:rPr>
        <w:t>、第四系全新统残坡积粉质黏土层</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3"/>
          <w:sz w:val="15"/>
          <w:szCs w:val="15"/>
        </w:rPr>
        <w:t>4</w:t>
      </w:r>
      <w:r>
        <w:rPr>
          <w:rFonts w:ascii="Times New Roman" w:hAnsi="Times New Roman" w:eastAsia="Times New Roman" w:cs="Times New Roman"/>
          <w:position w:val="5"/>
          <w:sz w:val="15"/>
          <w:szCs w:val="15"/>
        </w:rPr>
        <w:t>el</w:t>
      </w:r>
      <w:r>
        <w:rPr>
          <w:rFonts w:ascii="Times New Roman" w:hAnsi="Times New Roman" w:eastAsia="Times New Roman" w:cs="Times New Roman"/>
          <w:spacing w:val="1"/>
          <w:position w:val="5"/>
          <w:sz w:val="15"/>
          <w:szCs w:val="15"/>
        </w:rPr>
        <w:t>+</w:t>
      </w:r>
      <w:r>
        <w:rPr>
          <w:rFonts w:ascii="Times New Roman" w:hAnsi="Times New Roman" w:eastAsia="Times New Roman" w:cs="Times New Roman"/>
          <w:position w:val="5"/>
          <w:sz w:val="15"/>
          <w:szCs w:val="15"/>
        </w:rPr>
        <w:t>dl</w:t>
      </w:r>
      <w:r>
        <w:rPr>
          <w:rFonts w:ascii="Times New Roman" w:hAnsi="Times New Roman" w:eastAsia="Times New Roman" w:cs="Times New Roman"/>
          <w:spacing w:val="1"/>
          <w:position w:val="5"/>
          <w:sz w:val="24"/>
          <w:szCs w:val="24"/>
        </w:rPr>
        <w:t>)</w:t>
      </w:r>
      <w:r>
        <w:rPr>
          <w:rFonts w:ascii="宋体" w:hAnsi="宋体" w:eastAsia="宋体" w:cs="宋体"/>
          <w:spacing w:val="1"/>
          <w:sz w:val="24"/>
          <w:szCs w:val="24"/>
        </w:rPr>
        <w:t>和下伏侏罗系中统上沙溪庙组（</w:t>
      </w:r>
      <w:r>
        <w:rPr>
          <w:rFonts w:ascii="Times New Roman" w:hAnsi="Times New Roman" w:eastAsia="Times New Roman" w:cs="Times New Roman"/>
          <w:sz w:val="24"/>
          <w:szCs w:val="24"/>
        </w:rPr>
        <w:t>J</w:t>
      </w:r>
      <w:r>
        <w:rPr>
          <w:rFonts w:ascii="Times New Roman" w:hAnsi="Times New Roman" w:eastAsia="Times New Roman" w:cs="Times New Roman"/>
          <w:position w:val="-3"/>
          <w:sz w:val="15"/>
          <w:szCs w:val="15"/>
        </w:rPr>
        <w:t>2s</w:t>
      </w:r>
      <w:r>
        <w:rPr>
          <w:rFonts w:ascii="Times New Roman" w:hAnsi="Times New Roman" w:eastAsia="Times New Roman" w:cs="Times New Roman"/>
          <w:position w:val="10"/>
          <w:sz w:val="15"/>
          <w:szCs w:val="15"/>
        </w:rPr>
        <w:t xml:space="preserve">2 </w:t>
      </w:r>
      <w:r>
        <w:rPr>
          <w:rFonts w:ascii="宋体" w:hAnsi="宋体" w:eastAsia="宋体" w:cs="宋体"/>
          <w:sz w:val="24"/>
          <w:szCs w:val="24"/>
        </w:rPr>
        <w:t>）泥岩、砂岩组基</w:t>
      </w:r>
      <w:r>
        <w:rPr>
          <w:rFonts w:ascii="宋体" w:hAnsi="宋体" w:eastAsia="宋体" w:cs="宋体"/>
          <w:spacing w:val="-4"/>
          <w:sz w:val="24"/>
          <w:szCs w:val="24"/>
        </w:rPr>
        <w:t>岩成，现按地层从新到老的顺序分述如下：</w:t>
      </w:r>
    </w:p>
    <w:p w14:paraId="1A1BA9C5">
      <w:pPr>
        <w:spacing w:line="344" w:lineRule="auto"/>
        <w:rPr>
          <w:rFonts w:ascii="宋体" w:hAnsi="宋体" w:eastAsia="宋体" w:cs="宋体"/>
          <w:sz w:val="24"/>
          <w:szCs w:val="24"/>
        </w:rPr>
        <w:sectPr>
          <w:headerReference r:id="rId352" w:type="default"/>
          <w:footerReference r:id="rId353" w:type="default"/>
          <w:pgSz w:w="11905" w:h="16840"/>
          <w:pgMar w:top="1168" w:right="1731" w:bottom="1409" w:left="1770" w:header="828" w:footer="1244" w:gutter="0"/>
          <w:cols w:space="720" w:num="1"/>
        </w:sectPr>
      </w:pPr>
    </w:p>
    <w:p w14:paraId="7B59C340">
      <w:pPr>
        <w:pStyle w:val="2"/>
        <w:spacing w:line="289" w:lineRule="auto"/>
      </w:pPr>
    </w:p>
    <w:p w14:paraId="1468F892">
      <w:pPr>
        <w:spacing w:before="78" w:line="202" w:lineRule="auto"/>
        <w:ind w:left="538"/>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）第四系全新统人工填土层（</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3"/>
          <w:sz w:val="15"/>
          <w:szCs w:val="15"/>
        </w:rPr>
        <w:t>4</w:t>
      </w:r>
      <w:r>
        <w:rPr>
          <w:rFonts w:ascii="Times New Roman" w:hAnsi="Times New Roman" w:eastAsia="Times New Roman" w:cs="Times New Roman"/>
          <w:spacing w:val="-1"/>
          <w:position w:val="3"/>
          <w:sz w:val="15"/>
          <w:szCs w:val="15"/>
        </w:rPr>
        <w:t>ml</w:t>
      </w:r>
      <w:r>
        <w:rPr>
          <w:rFonts w:ascii="宋体" w:hAnsi="宋体" w:eastAsia="宋体" w:cs="宋体"/>
          <w:spacing w:val="-1"/>
          <w:position w:val="3"/>
          <w:sz w:val="24"/>
          <w:szCs w:val="24"/>
        </w:rPr>
        <w:t>）</w:t>
      </w:r>
    </w:p>
    <w:p w14:paraId="7343548B">
      <w:pPr>
        <w:spacing w:before="191" w:line="356" w:lineRule="auto"/>
        <w:ind w:left="38" w:right="186" w:firstLine="483"/>
        <w:rPr>
          <w:rFonts w:ascii="宋体" w:hAnsi="宋体" w:eastAsia="宋体" w:cs="宋体"/>
          <w:sz w:val="24"/>
          <w:szCs w:val="24"/>
        </w:rPr>
      </w:pPr>
      <w:r>
        <w:rPr>
          <w:rFonts w:ascii="宋体" w:hAnsi="宋体" w:eastAsia="宋体" w:cs="宋体"/>
          <w:spacing w:val="-3"/>
          <w:sz w:val="24"/>
          <w:szCs w:val="24"/>
        </w:rPr>
        <w:t>为素填土，主要分布于场地东南侧及西侧原斜坡地带，呈</w:t>
      </w:r>
      <w:r>
        <w:rPr>
          <w:rFonts w:ascii="宋体" w:hAnsi="宋体" w:eastAsia="宋体" w:cs="宋体"/>
          <w:spacing w:val="-4"/>
          <w:sz w:val="24"/>
          <w:szCs w:val="24"/>
        </w:rPr>
        <w:t>杂色，骨架颗粒主要为砂岩、泥岩碎石， 粒径约</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2~20 </w:t>
      </w:r>
      <w:r>
        <w:rPr>
          <w:rFonts w:ascii="宋体" w:hAnsi="宋体" w:eastAsia="宋体" w:cs="宋体"/>
          <w:spacing w:val="-4"/>
          <w:sz w:val="24"/>
          <w:szCs w:val="24"/>
        </w:rPr>
        <w:t>厘米不等，含量约</w:t>
      </w:r>
      <w:r>
        <w:rPr>
          <w:rFonts w:ascii="Times New Roman" w:hAnsi="Times New Roman" w:eastAsia="Times New Roman" w:cs="Times New Roman"/>
          <w:spacing w:val="-4"/>
          <w:sz w:val="24"/>
          <w:szCs w:val="24"/>
        </w:rPr>
        <w:t>70%~80%</w:t>
      </w:r>
      <w:r>
        <w:rPr>
          <w:rFonts w:ascii="宋体" w:hAnsi="宋体" w:eastAsia="宋体" w:cs="宋体"/>
          <w:spacing w:val="-4"/>
          <w:sz w:val="24"/>
          <w:szCs w:val="24"/>
        </w:rPr>
        <w:t>，以</w:t>
      </w:r>
      <w:r>
        <w:rPr>
          <w:rFonts w:ascii="宋体" w:hAnsi="宋体" w:eastAsia="宋体" w:cs="宋体"/>
          <w:spacing w:val="-5"/>
          <w:sz w:val="24"/>
          <w:szCs w:val="24"/>
        </w:rPr>
        <w:t>少量黏性土</w:t>
      </w:r>
      <w:r>
        <w:rPr>
          <w:rFonts w:ascii="宋体" w:hAnsi="宋体" w:eastAsia="宋体" w:cs="宋体"/>
          <w:spacing w:val="-3"/>
          <w:sz w:val="24"/>
          <w:szCs w:val="24"/>
        </w:rPr>
        <w:t>及风化岩屑充填，总体呈稍密、稍湿状。</w:t>
      </w:r>
    </w:p>
    <w:p w14:paraId="3DDEDAF9">
      <w:pPr>
        <w:spacing w:line="186" w:lineRule="auto"/>
        <w:ind w:left="51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）第四系全新统残坡积层（</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3"/>
          <w:sz w:val="15"/>
          <w:szCs w:val="15"/>
        </w:rPr>
        <w:t>4</w:t>
      </w:r>
      <w:r>
        <w:rPr>
          <w:rFonts w:ascii="Times New Roman" w:hAnsi="Times New Roman" w:eastAsia="Times New Roman" w:cs="Times New Roman"/>
          <w:position w:val="5"/>
          <w:sz w:val="15"/>
          <w:szCs w:val="15"/>
        </w:rPr>
        <w:t>el</w:t>
      </w:r>
      <w:r>
        <w:rPr>
          <w:rFonts w:ascii="Times New Roman" w:hAnsi="Times New Roman" w:eastAsia="Times New Roman" w:cs="Times New Roman"/>
          <w:spacing w:val="1"/>
          <w:position w:val="5"/>
          <w:sz w:val="15"/>
          <w:szCs w:val="15"/>
        </w:rPr>
        <w:t>+</w:t>
      </w:r>
      <w:r>
        <w:rPr>
          <w:rFonts w:ascii="Times New Roman" w:hAnsi="Times New Roman" w:eastAsia="Times New Roman" w:cs="Times New Roman"/>
          <w:position w:val="5"/>
          <w:sz w:val="15"/>
          <w:szCs w:val="15"/>
        </w:rPr>
        <w:t>dl</w:t>
      </w:r>
      <w:r>
        <w:rPr>
          <w:rFonts w:ascii="宋体" w:hAnsi="宋体" w:eastAsia="宋体" w:cs="宋体"/>
          <w:spacing w:val="1"/>
          <w:position w:val="5"/>
          <w:sz w:val="24"/>
          <w:szCs w:val="24"/>
        </w:rPr>
        <w:t>）</w:t>
      </w:r>
    </w:p>
    <w:p w14:paraId="7DEC95A5">
      <w:pPr>
        <w:spacing w:before="191" w:line="355" w:lineRule="auto"/>
        <w:ind w:left="66" w:right="121" w:firstLine="455"/>
        <w:rPr>
          <w:rFonts w:ascii="宋体" w:hAnsi="宋体" w:eastAsia="宋体" w:cs="宋体"/>
          <w:sz w:val="24"/>
          <w:szCs w:val="24"/>
        </w:rPr>
      </w:pPr>
      <w:r>
        <w:rPr>
          <w:rFonts w:ascii="宋体" w:hAnsi="宋体" w:eastAsia="宋体" w:cs="宋体"/>
          <w:spacing w:val="-1"/>
          <w:sz w:val="24"/>
          <w:szCs w:val="24"/>
        </w:rPr>
        <w:t>为粉质黏土，主要分布于场地原斜坡地带，呈红棕色，</w:t>
      </w:r>
      <w:r>
        <w:rPr>
          <w:rFonts w:ascii="宋体" w:hAnsi="宋体" w:eastAsia="宋体" w:cs="宋体"/>
          <w:spacing w:val="-2"/>
          <w:sz w:val="24"/>
          <w:szCs w:val="24"/>
        </w:rPr>
        <w:t>局部表层覆盖植被，</w:t>
      </w:r>
      <w:r>
        <w:rPr>
          <w:rFonts w:ascii="宋体" w:hAnsi="宋体" w:eastAsia="宋体" w:cs="宋体"/>
          <w:spacing w:val="-3"/>
          <w:sz w:val="24"/>
          <w:szCs w:val="24"/>
        </w:rPr>
        <w:t>以黏土矿物为主，干强度及韧性中等，无摇振反应，呈可塑状。</w:t>
      </w:r>
    </w:p>
    <w:p w14:paraId="36F4A6D7">
      <w:pPr>
        <w:spacing w:line="216" w:lineRule="auto"/>
        <w:ind w:left="519"/>
        <w:rPr>
          <w:rFonts w:ascii="宋体" w:hAnsi="宋体" w:eastAsia="宋体" w:cs="宋体"/>
          <w:sz w:val="24"/>
          <w:szCs w:val="24"/>
        </w:rPr>
      </w:pPr>
      <w:r>
        <w:rPr>
          <w:rFonts w:ascii="Times New Roman" w:hAnsi="Times New Roman" w:eastAsia="Times New Roman" w:cs="Times New Roman"/>
          <w:sz w:val="24"/>
          <w:szCs w:val="24"/>
        </w:rPr>
        <w:t>3</w:t>
      </w:r>
      <w:r>
        <w:rPr>
          <w:rFonts w:ascii="宋体" w:hAnsi="宋体" w:eastAsia="宋体" w:cs="宋体"/>
          <w:sz w:val="24"/>
          <w:szCs w:val="24"/>
        </w:rPr>
        <w:t>）侏罗系中统上沙溪庙组基岩（</w:t>
      </w:r>
      <w:r>
        <w:rPr>
          <w:rFonts w:ascii="Times New Roman" w:hAnsi="Times New Roman" w:eastAsia="Times New Roman" w:cs="Times New Roman"/>
          <w:sz w:val="24"/>
          <w:szCs w:val="24"/>
        </w:rPr>
        <w:t>J</w:t>
      </w:r>
      <w:r>
        <w:rPr>
          <w:rFonts w:ascii="Times New Roman" w:hAnsi="Times New Roman" w:eastAsia="Times New Roman" w:cs="Times New Roman"/>
          <w:position w:val="-3"/>
          <w:sz w:val="15"/>
          <w:szCs w:val="15"/>
        </w:rPr>
        <w:t>2S</w:t>
      </w:r>
      <w:r>
        <w:rPr>
          <w:rFonts w:ascii="Times New Roman" w:hAnsi="Times New Roman" w:eastAsia="Times New Roman" w:cs="Times New Roman"/>
          <w:position w:val="1"/>
          <w:sz w:val="15"/>
          <w:szCs w:val="15"/>
        </w:rPr>
        <w:t>2</w:t>
      </w:r>
      <w:r>
        <w:rPr>
          <w:rFonts w:ascii="宋体" w:hAnsi="宋体" w:eastAsia="宋体" w:cs="宋体"/>
          <w:position w:val="1"/>
          <w:sz w:val="24"/>
          <w:szCs w:val="24"/>
        </w:rPr>
        <w:t>）</w:t>
      </w:r>
    </w:p>
    <w:p w14:paraId="568949AF">
      <w:pPr>
        <w:spacing w:before="190" w:line="360" w:lineRule="auto"/>
        <w:ind w:left="41" w:right="102" w:firstLine="477"/>
        <w:rPr>
          <w:rFonts w:ascii="宋体" w:hAnsi="宋体" w:eastAsia="宋体" w:cs="宋体"/>
          <w:sz w:val="24"/>
          <w:szCs w:val="24"/>
        </w:rPr>
      </w:pPr>
      <w:r>
        <w:rPr>
          <w:rFonts w:ascii="宋体" w:hAnsi="宋体" w:eastAsia="宋体" w:cs="宋体"/>
          <w:spacing w:val="-1"/>
          <w:sz w:val="24"/>
          <w:szCs w:val="24"/>
        </w:rPr>
        <w:t>场地基岩为侏罗系中统上沙溪庙组地层，属内陆河湖相红色碎屑沉积之砂、</w:t>
      </w:r>
      <w:r>
        <w:rPr>
          <w:rFonts w:ascii="宋体" w:hAnsi="宋体" w:eastAsia="宋体" w:cs="宋体"/>
          <w:spacing w:val="-3"/>
          <w:sz w:val="24"/>
          <w:szCs w:val="24"/>
        </w:rPr>
        <w:t>泥岩，夹与之呈过渡相变关系的泥质粉砂岩和粉砂质泥岩，砂、泥岩呈互层状产出，并具透镜体、尖灭等构造特征。</w:t>
      </w:r>
    </w:p>
    <w:p w14:paraId="4E9BD973">
      <w:pPr>
        <w:spacing w:before="4" w:line="359" w:lineRule="auto"/>
        <w:ind w:left="40" w:firstLine="480"/>
        <w:jc w:val="both"/>
        <w:rPr>
          <w:rFonts w:ascii="宋体" w:hAnsi="宋体" w:eastAsia="宋体" w:cs="宋体"/>
          <w:sz w:val="24"/>
          <w:szCs w:val="24"/>
        </w:rPr>
      </w:pPr>
      <w:r>
        <w:rPr>
          <w:rFonts w:ascii="宋体" w:hAnsi="宋体" w:eastAsia="宋体" w:cs="宋体"/>
          <w:spacing w:val="-5"/>
          <w:sz w:val="24"/>
          <w:szCs w:val="24"/>
        </w:rPr>
        <w:t>本次勘察揭露范围基岩以巨厚层泥岩夹砂岩产出，基岩表层岩石风化较强烈，</w:t>
      </w:r>
      <w:r>
        <w:rPr>
          <w:rFonts w:ascii="宋体" w:hAnsi="宋体" w:eastAsia="宋体" w:cs="宋体"/>
          <w:spacing w:val="-3"/>
          <w:sz w:val="24"/>
          <w:szCs w:val="24"/>
        </w:rPr>
        <w:t>质地较软，基岩强风化层厚度大约为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0.30</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1.20 </w:t>
      </w:r>
      <w:r>
        <w:rPr>
          <w:rFonts w:ascii="宋体" w:hAnsi="宋体" w:eastAsia="宋体" w:cs="宋体"/>
          <w:spacing w:val="-3"/>
          <w:sz w:val="24"/>
          <w:szCs w:val="24"/>
        </w:rPr>
        <w:t>米，部分区域为平场开挖后二次风化产物，强风化层以下为基岩中等风化层。</w:t>
      </w:r>
    </w:p>
    <w:p w14:paraId="57068FAB">
      <w:pPr>
        <w:spacing w:line="360" w:lineRule="auto"/>
        <w:ind w:left="39" w:right="187" w:firstLine="479"/>
        <w:rPr>
          <w:rFonts w:ascii="宋体" w:hAnsi="宋体" w:eastAsia="宋体" w:cs="宋体"/>
          <w:sz w:val="24"/>
          <w:szCs w:val="24"/>
        </w:rPr>
      </w:pPr>
      <w:r>
        <w:rPr>
          <w:rFonts w:ascii="宋体" w:hAnsi="宋体" w:eastAsia="宋体" w:cs="宋体"/>
          <w:spacing w:val="-3"/>
          <w:sz w:val="24"/>
          <w:szCs w:val="24"/>
        </w:rPr>
        <w:t>①泥岩：红棕色，泥质结构，巨厚层状构造，局部含砂质，夹</w:t>
      </w:r>
      <w:r>
        <w:rPr>
          <w:rFonts w:ascii="宋体" w:hAnsi="宋体" w:eastAsia="宋体" w:cs="宋体"/>
          <w:spacing w:val="-4"/>
          <w:sz w:val="24"/>
          <w:szCs w:val="24"/>
        </w:rPr>
        <w:t>少量红棕色或</w:t>
      </w:r>
      <w:r>
        <w:rPr>
          <w:rFonts w:ascii="宋体" w:hAnsi="宋体" w:eastAsia="宋体" w:cs="宋体"/>
          <w:spacing w:val="-3"/>
          <w:sz w:val="24"/>
          <w:szCs w:val="24"/>
        </w:rPr>
        <w:t>灰绿色砂岩团块及薄层状砂岩，岩芯表面凹凸，岩质较软，易风化。强风化层网状风化裂隙发育，岩质软，岩芯破碎，呈碎块～圆饼状；中风化层岩芯呈短～长柱状，节长</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厘米。</w:t>
      </w:r>
    </w:p>
    <w:p w14:paraId="0190E9C1">
      <w:pPr>
        <w:spacing w:line="360" w:lineRule="auto"/>
        <w:ind w:left="39" w:right="187" w:firstLine="478"/>
        <w:rPr>
          <w:rFonts w:ascii="宋体" w:hAnsi="宋体" w:eastAsia="宋体" w:cs="宋体"/>
          <w:sz w:val="24"/>
          <w:szCs w:val="24"/>
        </w:rPr>
      </w:pPr>
      <w:r>
        <w:rPr>
          <w:rFonts w:ascii="宋体" w:hAnsi="宋体" w:eastAsia="宋体" w:cs="宋体"/>
          <w:spacing w:val="-3"/>
          <w:sz w:val="24"/>
          <w:szCs w:val="24"/>
        </w:rPr>
        <w:t>②砂岩：呈灰绿色，细粒结构，泥钙质胶结，主要矿物成份为长</w:t>
      </w:r>
      <w:r>
        <w:rPr>
          <w:rFonts w:ascii="宋体" w:hAnsi="宋体" w:eastAsia="宋体" w:cs="宋体"/>
          <w:spacing w:val="-4"/>
          <w:sz w:val="24"/>
          <w:szCs w:val="24"/>
        </w:rPr>
        <w:t>石、石英及</w:t>
      </w:r>
      <w:r>
        <w:rPr>
          <w:rFonts w:ascii="宋体" w:hAnsi="宋体" w:eastAsia="宋体" w:cs="宋体"/>
          <w:spacing w:val="-10"/>
          <w:sz w:val="24"/>
          <w:szCs w:val="24"/>
        </w:rPr>
        <w:t>白云母，岩质较硬。强风化层岩芯呈碎块～圆饼状；中风化层岩芯呈短～长柱状，</w:t>
      </w:r>
      <w:r>
        <w:rPr>
          <w:rFonts w:ascii="宋体" w:hAnsi="宋体" w:eastAsia="宋体" w:cs="宋体"/>
          <w:spacing w:val="-4"/>
          <w:sz w:val="24"/>
          <w:szCs w:val="24"/>
        </w:rPr>
        <w:t>节长</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5</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25 </w:t>
      </w:r>
      <w:r>
        <w:rPr>
          <w:rFonts w:ascii="宋体" w:hAnsi="宋体" w:eastAsia="宋体" w:cs="宋体"/>
          <w:spacing w:val="-4"/>
          <w:sz w:val="24"/>
          <w:szCs w:val="24"/>
        </w:rPr>
        <w:t>厘米。</w:t>
      </w:r>
    </w:p>
    <w:p w14:paraId="1EC41E99">
      <w:pPr>
        <w:spacing w:line="360" w:lineRule="auto"/>
        <w:ind w:left="38" w:right="186" w:firstLine="480"/>
        <w:rPr>
          <w:rFonts w:ascii="宋体" w:hAnsi="宋体" w:eastAsia="宋体" w:cs="宋体"/>
          <w:sz w:val="24"/>
          <w:szCs w:val="24"/>
        </w:rPr>
      </w:pPr>
      <w:r>
        <w:rPr>
          <w:rFonts w:ascii="宋体" w:hAnsi="宋体" w:eastAsia="宋体" w:cs="宋体"/>
          <w:spacing w:val="-3"/>
          <w:sz w:val="24"/>
          <w:szCs w:val="24"/>
        </w:rPr>
        <w:t>场地下伏基岩剥蚀面与原地形地貌变化基本一致，主要表现为由</w:t>
      </w:r>
      <w:r>
        <w:rPr>
          <w:rFonts w:ascii="宋体" w:hAnsi="宋体" w:eastAsia="宋体" w:cs="宋体"/>
          <w:spacing w:val="-4"/>
          <w:sz w:val="24"/>
          <w:szCs w:val="24"/>
        </w:rPr>
        <w:t>浅丘丘顶向</w:t>
      </w:r>
      <w:r>
        <w:rPr>
          <w:rFonts w:ascii="宋体" w:hAnsi="宋体" w:eastAsia="宋体" w:cs="宋体"/>
          <w:spacing w:val="-2"/>
          <w:sz w:val="24"/>
          <w:szCs w:val="24"/>
        </w:rPr>
        <w:t>斜坡倾伏，倾伏角一般为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度，局部呈陡坎状。</w:t>
      </w:r>
    </w:p>
    <w:p w14:paraId="1833E5D2">
      <w:pPr>
        <w:spacing w:before="1" w:line="220" w:lineRule="auto"/>
        <w:ind w:left="528"/>
        <w:rPr>
          <w:rFonts w:ascii="宋体" w:hAnsi="宋体" w:eastAsia="宋体" w:cs="宋体"/>
          <w:sz w:val="24"/>
          <w:szCs w:val="24"/>
        </w:rPr>
      </w:pPr>
      <w:r>
        <w:rPr>
          <w:rFonts w:ascii="宋体" w:hAnsi="宋体" w:eastAsia="宋体" w:cs="宋体"/>
          <w:b/>
          <w:bCs/>
          <w:spacing w:val="-7"/>
          <w:sz w:val="24"/>
          <w:szCs w:val="24"/>
        </w:rPr>
        <w:t>（</w:t>
      </w:r>
      <w:r>
        <w:rPr>
          <w:rFonts w:ascii="Times New Roman" w:hAnsi="Times New Roman" w:eastAsia="Times New Roman" w:cs="Times New Roman"/>
          <w:b/>
          <w:bCs/>
          <w:spacing w:val="-7"/>
          <w:sz w:val="24"/>
          <w:szCs w:val="24"/>
        </w:rPr>
        <w:t>2</w:t>
      </w:r>
      <w:r>
        <w:rPr>
          <w:rFonts w:ascii="宋体" w:hAnsi="宋体" w:eastAsia="宋体" w:cs="宋体"/>
          <w:b/>
          <w:bCs/>
          <w:spacing w:val="-7"/>
          <w:sz w:val="24"/>
          <w:szCs w:val="24"/>
        </w:rPr>
        <w:t>）不良地质作用</w:t>
      </w:r>
    </w:p>
    <w:p w14:paraId="21C62576">
      <w:pPr>
        <w:spacing w:before="181" w:line="360" w:lineRule="auto"/>
        <w:ind w:left="38" w:right="186" w:firstLine="480"/>
        <w:jc w:val="both"/>
        <w:rPr>
          <w:rFonts w:ascii="宋体" w:hAnsi="宋体" w:eastAsia="宋体" w:cs="宋体"/>
          <w:sz w:val="24"/>
          <w:szCs w:val="24"/>
        </w:rPr>
      </w:pPr>
      <w:r>
        <w:rPr>
          <w:rFonts w:ascii="宋体" w:hAnsi="宋体" w:eastAsia="宋体" w:cs="宋体"/>
          <w:spacing w:val="-3"/>
          <w:sz w:val="24"/>
          <w:szCs w:val="24"/>
        </w:rPr>
        <w:t>拟建场地所属地貌单元较复杂，原始地形变化较大，场地勘察期</w:t>
      </w:r>
      <w:r>
        <w:rPr>
          <w:rFonts w:ascii="宋体" w:hAnsi="宋体" w:eastAsia="宋体" w:cs="宋体"/>
          <w:spacing w:val="-4"/>
          <w:sz w:val="24"/>
          <w:szCs w:val="24"/>
        </w:rPr>
        <w:t>间未发现危</w:t>
      </w:r>
      <w:r>
        <w:rPr>
          <w:rFonts w:ascii="宋体" w:hAnsi="宋体" w:eastAsia="宋体" w:cs="宋体"/>
          <w:spacing w:val="-3"/>
          <w:sz w:val="24"/>
          <w:szCs w:val="24"/>
        </w:rPr>
        <w:t>及场地安全的如滑坡、崩塌、岩溶、泥石流、采空区等危及场地及工程建设的重大不良地质作用。也未发现埋藏河道、沟浜、墓穴、防空洞、孤石等对工程不利</w:t>
      </w:r>
      <w:r>
        <w:rPr>
          <w:rFonts w:ascii="宋体" w:hAnsi="宋体" w:eastAsia="宋体" w:cs="宋体"/>
          <w:spacing w:val="-7"/>
          <w:sz w:val="24"/>
          <w:szCs w:val="24"/>
        </w:rPr>
        <w:t>的埋藏物。</w:t>
      </w:r>
    </w:p>
    <w:p w14:paraId="6B96F2CD">
      <w:pPr>
        <w:spacing w:line="218"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）场地稳定性评价</w:t>
      </w:r>
    </w:p>
    <w:p w14:paraId="5CCD2734">
      <w:pPr>
        <w:spacing w:line="218" w:lineRule="auto"/>
        <w:rPr>
          <w:rFonts w:ascii="宋体" w:hAnsi="宋体" w:eastAsia="宋体" w:cs="宋体"/>
          <w:sz w:val="24"/>
          <w:szCs w:val="24"/>
        </w:rPr>
        <w:sectPr>
          <w:headerReference r:id="rId354" w:type="default"/>
          <w:footerReference r:id="rId355" w:type="default"/>
          <w:pgSz w:w="11905" w:h="16840"/>
          <w:pgMar w:top="1168" w:right="1611" w:bottom="1409" w:left="1770" w:header="828" w:footer="1244" w:gutter="0"/>
          <w:cols w:space="720" w:num="1"/>
        </w:sectPr>
      </w:pPr>
    </w:p>
    <w:p w14:paraId="43166F27">
      <w:pPr>
        <w:pStyle w:val="2"/>
        <w:spacing w:line="306" w:lineRule="auto"/>
      </w:pPr>
    </w:p>
    <w:p w14:paraId="2B00DDAA">
      <w:pPr>
        <w:spacing w:before="78" w:line="361" w:lineRule="auto"/>
        <w:ind w:left="39" w:right="69" w:firstLine="480"/>
        <w:rPr>
          <w:rFonts w:ascii="宋体" w:hAnsi="宋体" w:eastAsia="宋体" w:cs="宋体"/>
          <w:sz w:val="24"/>
          <w:szCs w:val="24"/>
        </w:rPr>
      </w:pPr>
      <w:r>
        <w:rPr>
          <w:rFonts w:ascii="宋体" w:hAnsi="宋体" w:eastAsia="宋体" w:cs="宋体"/>
          <w:spacing w:val="-3"/>
          <w:sz w:val="24"/>
          <w:szCs w:val="24"/>
        </w:rPr>
        <w:t>本区新构造活动较微弱，区域构造稳定性较好。场地未发</w:t>
      </w:r>
      <w:r>
        <w:rPr>
          <w:rFonts w:ascii="宋体" w:hAnsi="宋体" w:eastAsia="宋体" w:cs="宋体"/>
          <w:spacing w:val="-4"/>
          <w:sz w:val="24"/>
          <w:szCs w:val="24"/>
        </w:rPr>
        <w:t>现滑坡、崩塌、泥</w:t>
      </w:r>
      <w:r>
        <w:rPr>
          <w:rFonts w:ascii="宋体" w:hAnsi="宋体" w:eastAsia="宋体" w:cs="宋体"/>
          <w:spacing w:val="-10"/>
          <w:sz w:val="24"/>
          <w:szCs w:val="24"/>
        </w:rPr>
        <w:t>石流、采空区等危及工程建设的不良地质作用，场地稳定，场地未发现埋藏河道、</w:t>
      </w:r>
      <w:r>
        <w:rPr>
          <w:rFonts w:ascii="宋体" w:hAnsi="宋体" w:eastAsia="宋体" w:cs="宋体"/>
          <w:spacing w:val="-6"/>
          <w:sz w:val="24"/>
          <w:szCs w:val="24"/>
        </w:rPr>
        <w:t>沟滨、墓穴、防空洞、孤石等对工程不利的埋藏物， 下伏</w:t>
      </w:r>
      <w:r>
        <w:rPr>
          <w:rFonts w:ascii="宋体" w:hAnsi="宋体" w:eastAsia="宋体" w:cs="宋体"/>
          <w:spacing w:val="-7"/>
          <w:sz w:val="24"/>
          <w:szCs w:val="24"/>
        </w:rPr>
        <w:t>基岩中不存在岩溶、洞</w:t>
      </w:r>
      <w:r>
        <w:rPr>
          <w:rFonts w:ascii="宋体" w:hAnsi="宋体" w:eastAsia="宋体" w:cs="宋体"/>
          <w:spacing w:val="-3"/>
          <w:sz w:val="24"/>
          <w:szCs w:val="24"/>
        </w:rPr>
        <w:t>穴、软弱夹层等，地基稳定，适宜工程建设。</w:t>
      </w:r>
    </w:p>
    <w:p w14:paraId="59DCF388">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4.2.3.2 </w:t>
      </w:r>
      <w:r>
        <w:rPr>
          <w:rFonts w:ascii="宋体" w:hAnsi="宋体" w:eastAsia="宋体" w:cs="宋体"/>
          <w:b/>
          <w:bCs/>
          <w:spacing w:val="5"/>
          <w:sz w:val="27"/>
          <w:szCs w:val="27"/>
        </w:rPr>
        <w:t>水文地质条件</w:t>
      </w:r>
    </w:p>
    <w:p w14:paraId="62004202">
      <w:pPr>
        <w:spacing w:before="235"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）地下水类型及赋存条件</w:t>
      </w:r>
    </w:p>
    <w:p w14:paraId="07E7E1DC">
      <w:pPr>
        <w:spacing w:before="182" w:line="360" w:lineRule="auto"/>
        <w:ind w:left="39" w:firstLine="480"/>
        <w:jc w:val="both"/>
        <w:rPr>
          <w:rFonts w:ascii="宋体" w:hAnsi="宋体" w:eastAsia="宋体" w:cs="宋体"/>
          <w:sz w:val="24"/>
          <w:szCs w:val="24"/>
        </w:rPr>
      </w:pPr>
      <w:r>
        <w:rPr>
          <w:rFonts w:ascii="宋体" w:hAnsi="宋体" w:eastAsia="宋体" w:cs="宋体"/>
          <w:spacing w:val="-1"/>
          <w:sz w:val="24"/>
          <w:szCs w:val="24"/>
        </w:rPr>
        <w:t>地下水的赋存与分布，主要受地质构造、地貌、岩性、气候等条件</w:t>
      </w:r>
      <w:r>
        <w:rPr>
          <w:rFonts w:ascii="宋体" w:hAnsi="宋体" w:eastAsia="宋体" w:cs="宋体"/>
          <w:spacing w:val="-2"/>
          <w:sz w:val="24"/>
          <w:szCs w:val="24"/>
        </w:rPr>
        <w:t>的控制，</w:t>
      </w:r>
      <w:r>
        <w:rPr>
          <w:rFonts w:ascii="宋体" w:hAnsi="宋体" w:eastAsia="宋体" w:cs="宋体"/>
          <w:spacing w:val="-3"/>
          <w:sz w:val="24"/>
          <w:szCs w:val="24"/>
        </w:rPr>
        <w:t>根据赋存条件，项目区所在水文地质单元地下水类型主要有第四系松散岩类孔隙</w:t>
      </w:r>
      <w:r>
        <w:rPr>
          <w:rFonts w:ascii="宋体" w:hAnsi="宋体" w:eastAsia="宋体" w:cs="宋体"/>
          <w:spacing w:val="-5"/>
          <w:sz w:val="24"/>
          <w:szCs w:val="24"/>
        </w:rPr>
        <w:t>水和基岩裂隙水。</w:t>
      </w:r>
    </w:p>
    <w:p w14:paraId="0962EC3F">
      <w:pPr>
        <w:spacing w:before="1" w:line="217" w:lineRule="auto"/>
        <w:ind w:left="518"/>
        <w:rPr>
          <w:rFonts w:ascii="宋体" w:hAnsi="宋体" w:eastAsia="宋体" w:cs="宋体"/>
          <w:sz w:val="24"/>
          <w:szCs w:val="24"/>
        </w:rPr>
      </w:pPr>
      <w:r>
        <w:rPr>
          <w:rFonts w:ascii="宋体" w:hAnsi="宋体" w:eastAsia="宋体" w:cs="宋体"/>
          <w:spacing w:val="-1"/>
          <w:sz w:val="24"/>
          <w:szCs w:val="24"/>
        </w:rPr>
        <w:t>①第四系松散岩类孔隙水</w:t>
      </w:r>
    </w:p>
    <w:p w14:paraId="5EC4CA42">
      <w:pPr>
        <w:spacing w:before="185" w:line="360" w:lineRule="auto"/>
        <w:ind w:left="39" w:right="67" w:firstLine="481"/>
        <w:rPr>
          <w:rFonts w:ascii="宋体" w:hAnsi="宋体" w:eastAsia="宋体" w:cs="宋体"/>
          <w:sz w:val="24"/>
          <w:szCs w:val="24"/>
        </w:rPr>
      </w:pPr>
      <w:r>
        <w:rPr>
          <w:rFonts w:ascii="宋体" w:hAnsi="宋体" w:eastAsia="宋体" w:cs="宋体"/>
          <w:spacing w:val="-3"/>
          <w:sz w:val="24"/>
          <w:szCs w:val="24"/>
        </w:rPr>
        <w:t>主要分布于原始谷底中相对低洼地带，局部以上层滞水形式</w:t>
      </w:r>
      <w:r>
        <w:rPr>
          <w:rFonts w:ascii="宋体" w:hAnsi="宋体" w:eastAsia="宋体" w:cs="宋体"/>
          <w:spacing w:val="-4"/>
          <w:sz w:val="24"/>
          <w:szCs w:val="24"/>
        </w:rPr>
        <w:t>存在。含水介质</w:t>
      </w:r>
      <w:r>
        <w:rPr>
          <w:rFonts w:ascii="宋体" w:hAnsi="宋体" w:eastAsia="宋体" w:cs="宋体"/>
          <w:spacing w:val="-3"/>
          <w:sz w:val="24"/>
          <w:szCs w:val="24"/>
        </w:rPr>
        <w:t>为第四系土层，含水介质物质成份、结构、厚度变化以及分布面积等决定了堆积</w:t>
      </w:r>
      <w:r>
        <w:rPr>
          <w:rFonts w:ascii="宋体" w:hAnsi="宋体" w:eastAsia="宋体" w:cs="宋体"/>
          <w:spacing w:val="-5"/>
          <w:sz w:val="24"/>
          <w:szCs w:val="24"/>
        </w:rPr>
        <w:t>体透水性和含水性强弱而不均。在冲沟及沟谷地带多为水田，</w:t>
      </w:r>
      <w:r>
        <w:rPr>
          <w:rFonts w:ascii="宋体" w:hAnsi="宋体" w:eastAsia="宋体" w:cs="宋体"/>
          <w:spacing w:val="-46"/>
          <w:sz w:val="24"/>
          <w:szCs w:val="24"/>
        </w:rPr>
        <w:t xml:space="preserve"> </w:t>
      </w:r>
      <w:r>
        <w:rPr>
          <w:rFonts w:ascii="宋体" w:hAnsi="宋体" w:eastAsia="宋体" w:cs="宋体"/>
          <w:spacing w:val="-5"/>
          <w:sz w:val="24"/>
          <w:szCs w:val="24"/>
        </w:rPr>
        <w:t>水田下粉质</w:t>
      </w:r>
      <w:r>
        <w:rPr>
          <w:rFonts w:ascii="宋体" w:hAnsi="宋体" w:eastAsia="宋体" w:cs="宋体"/>
          <w:spacing w:val="-6"/>
          <w:sz w:val="24"/>
          <w:szCs w:val="24"/>
        </w:rPr>
        <w:t>粘土基</w:t>
      </w:r>
      <w:r>
        <w:rPr>
          <w:rFonts w:ascii="宋体" w:hAnsi="宋体" w:eastAsia="宋体" w:cs="宋体"/>
          <w:spacing w:val="-10"/>
          <w:sz w:val="24"/>
          <w:szCs w:val="24"/>
        </w:rPr>
        <w:t>本无水。地下水埋藏深度不均匀，主要接受大</w:t>
      </w:r>
      <w:r>
        <w:rPr>
          <w:rFonts w:ascii="宋体" w:hAnsi="宋体" w:eastAsia="宋体" w:cs="宋体"/>
          <w:spacing w:val="-11"/>
          <w:sz w:val="24"/>
          <w:szCs w:val="24"/>
        </w:rPr>
        <w:t>气降水补给，水位随季节变化较大。</w:t>
      </w:r>
    </w:p>
    <w:p w14:paraId="677993D2">
      <w:pPr>
        <w:spacing w:line="217" w:lineRule="auto"/>
        <w:ind w:left="517"/>
        <w:rPr>
          <w:rFonts w:ascii="宋体" w:hAnsi="宋体" w:eastAsia="宋体" w:cs="宋体"/>
          <w:sz w:val="24"/>
          <w:szCs w:val="24"/>
        </w:rPr>
      </w:pPr>
      <w:r>
        <w:rPr>
          <w:rFonts w:ascii="宋体" w:hAnsi="宋体" w:eastAsia="宋体" w:cs="宋体"/>
          <w:spacing w:val="-2"/>
          <w:sz w:val="24"/>
          <w:szCs w:val="24"/>
        </w:rPr>
        <w:t>②基岩裂隙水</w:t>
      </w:r>
    </w:p>
    <w:p w14:paraId="3D4F6E6E">
      <w:pPr>
        <w:spacing w:before="186" w:line="360" w:lineRule="auto"/>
        <w:ind w:left="40" w:right="67" w:firstLine="480"/>
        <w:rPr>
          <w:rFonts w:ascii="宋体" w:hAnsi="宋体" w:eastAsia="宋体" w:cs="宋体"/>
          <w:sz w:val="24"/>
          <w:szCs w:val="24"/>
        </w:rPr>
      </w:pPr>
      <w:r>
        <w:rPr>
          <w:rFonts w:ascii="宋体" w:hAnsi="宋体" w:eastAsia="宋体" w:cs="宋体"/>
          <w:spacing w:val="4"/>
          <w:sz w:val="24"/>
          <w:szCs w:val="24"/>
        </w:rPr>
        <w:t>主要分布于侏罗系地层的网状微细裂隙发育的强风化和浅层裂隙发育中等</w:t>
      </w:r>
      <w:r>
        <w:rPr>
          <w:rFonts w:ascii="宋体" w:hAnsi="宋体" w:eastAsia="宋体" w:cs="宋体"/>
          <w:spacing w:val="-6"/>
          <w:sz w:val="24"/>
          <w:szCs w:val="24"/>
        </w:rPr>
        <w:t>风化粉砂质泥岩层中，属潜水类型。据区域水文地质资料和调</w:t>
      </w:r>
      <w:r>
        <w:rPr>
          <w:rFonts w:ascii="宋体" w:hAnsi="宋体" w:eastAsia="宋体" w:cs="宋体"/>
          <w:spacing w:val="-7"/>
          <w:sz w:val="24"/>
          <w:szCs w:val="24"/>
        </w:rPr>
        <w:t>查施工钻探， 调查</w:t>
      </w:r>
      <w:r>
        <w:rPr>
          <w:rFonts w:ascii="宋体" w:hAnsi="宋体" w:eastAsia="宋体" w:cs="宋体"/>
          <w:spacing w:val="-3"/>
          <w:sz w:val="24"/>
          <w:szCs w:val="24"/>
        </w:rPr>
        <w:t>区基岩裂隙水属风化网状裂隙水亚类，富水性整体相对较差，属水量贫乏区，排</w:t>
      </w:r>
      <w:r>
        <w:rPr>
          <w:rFonts w:ascii="宋体" w:hAnsi="宋体" w:eastAsia="宋体" w:cs="宋体"/>
          <w:spacing w:val="-4"/>
          <w:sz w:val="24"/>
          <w:szCs w:val="24"/>
        </w:rPr>
        <w:t>泄径流途径距离相对较远。</w:t>
      </w:r>
    </w:p>
    <w:p w14:paraId="48800106">
      <w:pPr>
        <w:spacing w:before="1"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）地下水径流、补给和排泄条件</w:t>
      </w:r>
    </w:p>
    <w:p w14:paraId="7B62524A">
      <w:pPr>
        <w:spacing w:before="183" w:line="217" w:lineRule="auto"/>
        <w:ind w:left="518"/>
        <w:rPr>
          <w:rFonts w:ascii="宋体" w:hAnsi="宋体" w:eastAsia="宋体" w:cs="宋体"/>
          <w:sz w:val="24"/>
          <w:szCs w:val="24"/>
        </w:rPr>
      </w:pPr>
      <w:r>
        <w:rPr>
          <w:rFonts w:ascii="宋体" w:hAnsi="宋体" w:eastAsia="宋体" w:cs="宋体"/>
          <w:spacing w:val="-2"/>
          <w:sz w:val="24"/>
          <w:szCs w:val="24"/>
        </w:rPr>
        <w:t>①补给</w:t>
      </w:r>
    </w:p>
    <w:p w14:paraId="606E943A">
      <w:pPr>
        <w:spacing w:before="180" w:line="361" w:lineRule="auto"/>
        <w:ind w:left="38" w:right="67" w:firstLine="484"/>
        <w:rPr>
          <w:rFonts w:ascii="宋体" w:hAnsi="宋体" w:eastAsia="宋体" w:cs="宋体"/>
          <w:sz w:val="24"/>
          <w:szCs w:val="24"/>
        </w:rPr>
      </w:pPr>
      <w:r>
        <w:rPr>
          <w:rFonts w:ascii="宋体" w:hAnsi="宋体" w:eastAsia="宋体" w:cs="宋体"/>
          <w:spacing w:val="-3"/>
          <w:sz w:val="24"/>
          <w:szCs w:val="24"/>
        </w:rPr>
        <w:t>项目位于丘陵地区，评价区域内地下水主要受大气降水</w:t>
      </w:r>
      <w:r>
        <w:rPr>
          <w:rFonts w:ascii="宋体" w:hAnsi="宋体" w:eastAsia="宋体" w:cs="宋体"/>
          <w:spacing w:val="-4"/>
          <w:sz w:val="24"/>
          <w:szCs w:val="24"/>
        </w:rPr>
        <w:t>补给，第四系土层松</w:t>
      </w:r>
      <w:r>
        <w:rPr>
          <w:rFonts w:ascii="宋体" w:hAnsi="宋体" w:eastAsia="宋体" w:cs="宋体"/>
          <w:spacing w:val="-3"/>
          <w:sz w:val="24"/>
          <w:szCs w:val="24"/>
        </w:rPr>
        <w:t>散岩类孔隙水和基岩风化带网状裂隙水的补给区主要是含水层的露头区。由于含水层主要接受降水补给，与降水联系强烈，地下水水位随着补给量的大小波动而变化，气象因素是影响地下水动态变化的主要因素，使地下水具有明显的季节性</w:t>
      </w:r>
      <w:r>
        <w:rPr>
          <w:rFonts w:ascii="宋体" w:hAnsi="宋体" w:eastAsia="宋体" w:cs="宋体"/>
          <w:spacing w:val="-4"/>
          <w:sz w:val="24"/>
          <w:szCs w:val="24"/>
        </w:rPr>
        <w:t>与周期性的变化规律，</w:t>
      </w:r>
      <w:r>
        <w:rPr>
          <w:rFonts w:ascii="Times New Roman" w:hAnsi="Times New Roman" w:eastAsia="Times New Roman" w:cs="Times New Roman"/>
          <w:spacing w:val="-4"/>
          <w:sz w:val="24"/>
          <w:szCs w:val="24"/>
        </w:rPr>
        <w:t>6</w:t>
      </w: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24"/>
          <w:w w:val="101"/>
          <w:sz w:val="24"/>
          <w:szCs w:val="24"/>
        </w:rPr>
        <w:t xml:space="preserve"> </w:t>
      </w:r>
      <w:r>
        <w:rPr>
          <w:rFonts w:ascii="宋体" w:hAnsi="宋体" w:eastAsia="宋体" w:cs="宋体"/>
          <w:spacing w:val="-4"/>
          <w:sz w:val="24"/>
          <w:szCs w:val="24"/>
        </w:rPr>
        <w:t>月随着降雨量的增加，地下水水位高，</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月后，降水</w:t>
      </w:r>
      <w:r>
        <w:rPr>
          <w:rFonts w:ascii="宋体" w:hAnsi="宋体" w:eastAsia="宋体" w:cs="宋体"/>
          <w:spacing w:val="-10"/>
          <w:sz w:val="24"/>
          <w:szCs w:val="24"/>
        </w:rPr>
        <w:t>量减少，地下水水位日渐下降。地下水动态变化较大。一般每</w:t>
      </w:r>
      <w:r>
        <w:rPr>
          <w:rFonts w:ascii="宋体" w:hAnsi="宋体" w:eastAsia="宋体" w:cs="宋体"/>
          <w:spacing w:val="-11"/>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月地下水水量、</w:t>
      </w:r>
      <w:r>
        <w:rPr>
          <w:rFonts w:ascii="宋体" w:hAnsi="宋体" w:eastAsia="宋体" w:cs="宋体"/>
          <w:spacing w:val="-7"/>
          <w:sz w:val="24"/>
          <w:szCs w:val="24"/>
        </w:rPr>
        <w:t>水位开始回升，</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19"/>
          <w:w w:val="101"/>
          <w:sz w:val="24"/>
          <w:szCs w:val="24"/>
        </w:rPr>
        <w:t xml:space="preserve"> </w:t>
      </w:r>
      <w:r>
        <w:rPr>
          <w:rFonts w:ascii="宋体" w:hAnsi="宋体" w:eastAsia="宋体" w:cs="宋体"/>
          <w:spacing w:val="-7"/>
          <w:sz w:val="24"/>
          <w:szCs w:val="24"/>
        </w:rPr>
        <w:t>月为最高值，</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月进入平水期，水位、水量开始逐渐递减， 到</w:t>
      </w:r>
      <w:r>
        <w:rPr>
          <w:rFonts w:ascii="宋体" w:hAnsi="宋体" w:eastAsia="宋体" w:cs="宋体"/>
          <w:spacing w:val="-6"/>
          <w:sz w:val="24"/>
          <w:szCs w:val="24"/>
        </w:rPr>
        <w:t>第二年</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月份降为最低值。</w:t>
      </w:r>
    </w:p>
    <w:p w14:paraId="49D7C99F">
      <w:pPr>
        <w:spacing w:line="361" w:lineRule="auto"/>
        <w:rPr>
          <w:rFonts w:ascii="宋体" w:hAnsi="宋体" w:eastAsia="宋体" w:cs="宋体"/>
          <w:sz w:val="24"/>
          <w:szCs w:val="24"/>
        </w:rPr>
        <w:sectPr>
          <w:headerReference r:id="rId356" w:type="default"/>
          <w:footerReference r:id="rId357" w:type="default"/>
          <w:pgSz w:w="11905" w:h="16840"/>
          <w:pgMar w:top="1168" w:right="1730" w:bottom="1409" w:left="1770" w:header="828" w:footer="1244" w:gutter="0"/>
          <w:cols w:space="720" w:num="1"/>
        </w:sectPr>
      </w:pPr>
    </w:p>
    <w:p w14:paraId="2B203B15">
      <w:pPr>
        <w:pStyle w:val="2"/>
        <w:spacing w:line="306" w:lineRule="auto"/>
      </w:pPr>
    </w:p>
    <w:p w14:paraId="75E0237A">
      <w:pPr>
        <w:spacing w:before="78" w:line="217" w:lineRule="auto"/>
        <w:ind w:left="517"/>
        <w:rPr>
          <w:rFonts w:ascii="宋体" w:hAnsi="宋体" w:eastAsia="宋体" w:cs="宋体"/>
          <w:sz w:val="24"/>
          <w:szCs w:val="24"/>
        </w:rPr>
      </w:pPr>
      <w:r>
        <w:rPr>
          <w:rFonts w:ascii="宋体" w:hAnsi="宋体" w:eastAsia="宋体" w:cs="宋体"/>
          <w:spacing w:val="-2"/>
          <w:sz w:val="24"/>
          <w:szCs w:val="24"/>
        </w:rPr>
        <w:t>②径流</w:t>
      </w:r>
    </w:p>
    <w:p w14:paraId="69720DF4">
      <w:pPr>
        <w:spacing w:before="185" w:line="360" w:lineRule="auto"/>
        <w:ind w:left="40" w:right="66" w:firstLine="480"/>
        <w:rPr>
          <w:rFonts w:ascii="宋体" w:hAnsi="宋体" w:eastAsia="宋体" w:cs="宋体"/>
          <w:sz w:val="24"/>
          <w:szCs w:val="24"/>
        </w:rPr>
      </w:pPr>
      <w:r>
        <w:rPr>
          <w:rFonts w:ascii="宋体" w:hAnsi="宋体" w:eastAsia="宋体" w:cs="宋体"/>
          <w:spacing w:val="4"/>
          <w:sz w:val="24"/>
          <w:szCs w:val="24"/>
        </w:rPr>
        <w:t>调查区水文单元边界分水岭以周边低山丘包包顶及鞍部和地表区域河沟为</w:t>
      </w:r>
      <w:r>
        <w:rPr>
          <w:rFonts w:ascii="宋体" w:hAnsi="宋体" w:eastAsia="宋体" w:cs="宋体"/>
          <w:spacing w:val="-3"/>
          <w:sz w:val="24"/>
          <w:szCs w:val="24"/>
        </w:rPr>
        <w:t>界，丘包斜坡至坡顶在降水入渗补给后，浅层风化带网状裂隙孔隙水随地形坡降向坡下分散径流至沟谷中储集埋藏再沿沟谷方向向下游径流，含水岩组露头受大</w:t>
      </w:r>
      <w:r>
        <w:rPr>
          <w:rFonts w:ascii="宋体" w:hAnsi="宋体" w:eastAsia="宋体" w:cs="宋体"/>
          <w:spacing w:val="-2"/>
          <w:sz w:val="24"/>
          <w:szCs w:val="24"/>
        </w:rPr>
        <w:t>气降水补给后，随地形坡降和沿网状裂隙系统向冲沟地带分散径流。</w:t>
      </w:r>
    </w:p>
    <w:p w14:paraId="13361A28">
      <w:pPr>
        <w:spacing w:line="217" w:lineRule="auto"/>
        <w:ind w:left="517"/>
        <w:rPr>
          <w:rFonts w:ascii="宋体" w:hAnsi="宋体" w:eastAsia="宋体" w:cs="宋体"/>
          <w:sz w:val="24"/>
          <w:szCs w:val="24"/>
        </w:rPr>
      </w:pPr>
      <w:r>
        <w:rPr>
          <w:rFonts w:ascii="宋体" w:hAnsi="宋体" w:eastAsia="宋体" w:cs="宋体"/>
          <w:spacing w:val="-2"/>
          <w:sz w:val="24"/>
          <w:szCs w:val="24"/>
        </w:rPr>
        <w:t>③排泄</w:t>
      </w:r>
    </w:p>
    <w:p w14:paraId="2AB019B6">
      <w:pPr>
        <w:spacing w:before="185" w:line="360" w:lineRule="auto"/>
        <w:ind w:left="40" w:firstLine="480"/>
        <w:rPr>
          <w:rFonts w:ascii="宋体" w:hAnsi="宋体" w:eastAsia="宋体" w:cs="宋体"/>
          <w:sz w:val="24"/>
          <w:szCs w:val="24"/>
        </w:rPr>
      </w:pPr>
      <w:r>
        <w:rPr>
          <w:rFonts w:ascii="宋体" w:hAnsi="宋体" w:eastAsia="宋体" w:cs="宋体"/>
          <w:spacing w:val="-3"/>
          <w:sz w:val="24"/>
          <w:szCs w:val="24"/>
        </w:rPr>
        <w:t>调查区内无泉点出露，主要是周围农户机井，机井目前属居</w:t>
      </w:r>
      <w:r>
        <w:rPr>
          <w:rFonts w:ascii="宋体" w:hAnsi="宋体" w:eastAsia="宋体" w:cs="宋体"/>
          <w:spacing w:val="-4"/>
          <w:sz w:val="24"/>
          <w:szCs w:val="24"/>
        </w:rPr>
        <w:t>民散户水源开采</w:t>
      </w:r>
      <w:r>
        <w:rPr>
          <w:rFonts w:ascii="宋体" w:hAnsi="宋体" w:eastAsia="宋体" w:cs="宋体"/>
          <w:spacing w:val="-1"/>
          <w:sz w:val="24"/>
          <w:szCs w:val="24"/>
        </w:rPr>
        <w:t>点，主要为农户生活用水。排泄分为浅层风化带网状裂隙排泄和层间径流</w:t>
      </w:r>
      <w:r>
        <w:rPr>
          <w:rFonts w:ascii="宋体" w:hAnsi="宋体" w:eastAsia="宋体" w:cs="宋体"/>
          <w:spacing w:val="-2"/>
          <w:sz w:val="24"/>
          <w:szCs w:val="24"/>
        </w:rPr>
        <w:t>排泄，</w:t>
      </w:r>
      <w:r>
        <w:rPr>
          <w:rFonts w:ascii="宋体" w:hAnsi="宋体" w:eastAsia="宋体" w:cs="宋体"/>
          <w:spacing w:val="-3"/>
          <w:sz w:val="24"/>
          <w:szCs w:val="24"/>
        </w:rPr>
        <w:t>浅层风化带网状裂隙排泄以就近地形低洼处为排泄点，层间径流受构造和地形控</w:t>
      </w:r>
      <w:r>
        <w:rPr>
          <w:rFonts w:ascii="宋体" w:hAnsi="宋体" w:eastAsia="宋体" w:cs="宋体"/>
          <w:spacing w:val="-2"/>
          <w:sz w:val="24"/>
          <w:szCs w:val="24"/>
        </w:rPr>
        <w:t>制，浅层风化带网状裂隙排泄和层间径流排泄位置为石核河。</w:t>
      </w:r>
    </w:p>
    <w:p w14:paraId="7A9AD6B4">
      <w:pPr>
        <w:spacing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）地下水开发利用情况及污染源调查</w:t>
      </w:r>
    </w:p>
    <w:p w14:paraId="66B14C2A">
      <w:pPr>
        <w:spacing w:before="183" w:line="360" w:lineRule="auto"/>
        <w:ind w:left="40" w:right="67" w:firstLine="479"/>
        <w:jc w:val="both"/>
        <w:rPr>
          <w:rFonts w:ascii="宋体" w:hAnsi="宋体" w:eastAsia="宋体" w:cs="宋体"/>
          <w:sz w:val="24"/>
          <w:szCs w:val="24"/>
        </w:rPr>
      </w:pPr>
      <w:r>
        <w:rPr>
          <w:rFonts w:ascii="宋体" w:hAnsi="宋体" w:eastAsia="宋体" w:cs="宋体"/>
          <w:spacing w:val="-3"/>
          <w:sz w:val="24"/>
          <w:szCs w:val="24"/>
        </w:rPr>
        <w:t>本项目位于东兴区白合镇喻家沟村</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组，通过现</w:t>
      </w:r>
      <w:r>
        <w:rPr>
          <w:rFonts w:ascii="宋体" w:hAnsi="宋体" w:eastAsia="宋体" w:cs="宋体"/>
          <w:spacing w:val="-4"/>
          <w:sz w:val="24"/>
          <w:szCs w:val="24"/>
        </w:rPr>
        <w:t>场水文地质调查及实地</w:t>
      </w:r>
      <w:r>
        <w:rPr>
          <w:rFonts w:ascii="宋体" w:hAnsi="宋体" w:eastAsia="宋体" w:cs="宋体"/>
          <w:spacing w:val="-6"/>
          <w:sz w:val="24"/>
          <w:szCs w:val="24"/>
        </w:rPr>
        <w:t>踏勘，项目区内主要为耕地、林地、农户等， 地下水开</w:t>
      </w:r>
      <w:r>
        <w:rPr>
          <w:rFonts w:ascii="宋体" w:hAnsi="宋体" w:eastAsia="宋体" w:cs="宋体"/>
          <w:spacing w:val="-7"/>
          <w:sz w:val="24"/>
          <w:szCs w:val="24"/>
        </w:rPr>
        <w:t>发利用以农户的生活饮用</w:t>
      </w:r>
      <w:r>
        <w:rPr>
          <w:rFonts w:ascii="宋体" w:hAnsi="宋体" w:eastAsia="宋体" w:cs="宋体"/>
          <w:spacing w:val="-3"/>
          <w:sz w:val="24"/>
          <w:szCs w:val="24"/>
        </w:rPr>
        <w:t>为主，无集中式地下水水源保护区分布。</w:t>
      </w:r>
    </w:p>
    <w:p w14:paraId="7D7FECFD">
      <w:pPr>
        <w:spacing w:before="1" w:line="218" w:lineRule="auto"/>
        <w:ind w:left="523"/>
        <w:rPr>
          <w:rFonts w:ascii="宋体" w:hAnsi="宋体" w:eastAsia="宋体" w:cs="宋体"/>
          <w:sz w:val="24"/>
          <w:szCs w:val="24"/>
        </w:rPr>
      </w:pPr>
      <w:r>
        <w:rPr>
          <w:rFonts w:ascii="宋体" w:hAnsi="宋体" w:eastAsia="宋体" w:cs="宋体"/>
          <w:spacing w:val="-5"/>
          <w:sz w:val="24"/>
          <w:szCs w:val="24"/>
        </w:rPr>
        <w:t>项目区附近地下水污染源状况如下：</w:t>
      </w:r>
    </w:p>
    <w:p w14:paraId="606FF98D">
      <w:pPr>
        <w:spacing w:before="184" w:line="217" w:lineRule="auto"/>
        <w:ind w:left="518"/>
        <w:rPr>
          <w:rFonts w:ascii="宋体" w:hAnsi="宋体" w:eastAsia="宋体" w:cs="宋体"/>
          <w:sz w:val="24"/>
          <w:szCs w:val="24"/>
        </w:rPr>
      </w:pPr>
      <w:r>
        <w:rPr>
          <w:rFonts w:ascii="宋体" w:hAnsi="宋体" w:eastAsia="宋体" w:cs="宋体"/>
          <w:spacing w:val="-2"/>
          <w:sz w:val="24"/>
          <w:szCs w:val="24"/>
        </w:rPr>
        <w:t>①生活污染源</w:t>
      </w:r>
    </w:p>
    <w:p w14:paraId="1754C042">
      <w:pPr>
        <w:spacing w:before="185" w:line="360" w:lineRule="auto"/>
        <w:ind w:left="45" w:right="67" w:firstLine="478"/>
        <w:rPr>
          <w:rFonts w:ascii="宋体" w:hAnsi="宋体" w:eastAsia="宋体" w:cs="宋体"/>
          <w:sz w:val="24"/>
          <w:szCs w:val="24"/>
        </w:rPr>
      </w:pPr>
      <w:r>
        <w:rPr>
          <w:rFonts w:ascii="宋体" w:hAnsi="宋体" w:eastAsia="宋体" w:cs="宋体"/>
          <w:spacing w:val="-3"/>
          <w:sz w:val="24"/>
          <w:szCs w:val="24"/>
        </w:rPr>
        <w:t>项目养殖场周边分布有农户，主要污染物为生活垃圾，</w:t>
      </w:r>
      <w:r>
        <w:rPr>
          <w:rFonts w:ascii="宋体" w:hAnsi="宋体" w:eastAsia="宋体" w:cs="宋体"/>
          <w:spacing w:val="-4"/>
          <w:sz w:val="24"/>
          <w:szCs w:val="24"/>
        </w:rPr>
        <w:t>生活垃圾集中存放并</w:t>
      </w:r>
      <w:r>
        <w:rPr>
          <w:rFonts w:ascii="宋体" w:hAnsi="宋体" w:eastAsia="宋体" w:cs="宋体"/>
          <w:spacing w:val="-3"/>
          <w:sz w:val="24"/>
          <w:szCs w:val="24"/>
        </w:rPr>
        <w:t>定期由环卫部门清运，产生污染较小。</w:t>
      </w:r>
    </w:p>
    <w:p w14:paraId="05158551">
      <w:pPr>
        <w:spacing w:before="1" w:line="217" w:lineRule="auto"/>
        <w:ind w:left="517"/>
        <w:rPr>
          <w:rFonts w:ascii="宋体" w:hAnsi="宋体" w:eastAsia="宋体" w:cs="宋体"/>
          <w:sz w:val="24"/>
          <w:szCs w:val="24"/>
        </w:rPr>
      </w:pPr>
      <w:r>
        <w:rPr>
          <w:rFonts w:ascii="宋体" w:hAnsi="宋体" w:eastAsia="宋体" w:cs="宋体"/>
          <w:spacing w:val="-2"/>
          <w:sz w:val="24"/>
          <w:szCs w:val="24"/>
        </w:rPr>
        <w:t>②工业污染源</w:t>
      </w:r>
    </w:p>
    <w:p w14:paraId="0B592CE7">
      <w:pPr>
        <w:spacing w:before="185" w:line="219" w:lineRule="auto"/>
        <w:ind w:left="520"/>
        <w:rPr>
          <w:rFonts w:ascii="宋体" w:hAnsi="宋体" w:eastAsia="宋体" w:cs="宋体"/>
          <w:sz w:val="24"/>
          <w:szCs w:val="24"/>
        </w:rPr>
      </w:pPr>
      <w:r>
        <w:rPr>
          <w:rFonts w:ascii="宋体" w:hAnsi="宋体" w:eastAsia="宋体" w:cs="宋体"/>
          <w:spacing w:val="-5"/>
          <w:sz w:val="24"/>
          <w:szCs w:val="24"/>
        </w:rPr>
        <w:t>本项目周边</w:t>
      </w:r>
      <w:r>
        <w:rPr>
          <w:rFonts w:ascii="宋体" w:hAnsi="宋体" w:eastAsia="宋体" w:cs="宋体"/>
          <w:spacing w:val="-15"/>
          <w:sz w:val="24"/>
          <w:szCs w:val="24"/>
        </w:rPr>
        <w:t xml:space="preserve"> </w:t>
      </w:r>
      <w:r>
        <w:rPr>
          <w:rFonts w:ascii="Times New Roman" w:hAnsi="Times New Roman" w:eastAsia="Times New Roman" w:cs="Times New Roman"/>
          <w:spacing w:val="-5"/>
          <w:sz w:val="24"/>
          <w:szCs w:val="24"/>
        </w:rPr>
        <w:t>1000m</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范围内无工业污染源。</w:t>
      </w:r>
    </w:p>
    <w:p w14:paraId="27F2775C">
      <w:pPr>
        <w:spacing w:before="184" w:line="217" w:lineRule="auto"/>
        <w:ind w:left="517"/>
        <w:rPr>
          <w:rFonts w:ascii="宋体" w:hAnsi="宋体" w:eastAsia="宋体" w:cs="宋体"/>
          <w:sz w:val="24"/>
          <w:szCs w:val="24"/>
        </w:rPr>
      </w:pPr>
      <w:r>
        <w:rPr>
          <w:rFonts w:ascii="宋体" w:hAnsi="宋体" w:eastAsia="宋体" w:cs="宋体"/>
          <w:spacing w:val="-2"/>
          <w:sz w:val="24"/>
          <w:szCs w:val="24"/>
        </w:rPr>
        <w:t>③农业污染源</w:t>
      </w:r>
    </w:p>
    <w:p w14:paraId="58B3F723">
      <w:pPr>
        <w:spacing w:before="185" w:line="360" w:lineRule="auto"/>
        <w:ind w:left="45" w:right="67" w:firstLine="475"/>
        <w:rPr>
          <w:rFonts w:ascii="宋体" w:hAnsi="宋体" w:eastAsia="宋体" w:cs="宋体"/>
          <w:sz w:val="24"/>
          <w:szCs w:val="24"/>
        </w:rPr>
      </w:pPr>
      <w:r>
        <w:rPr>
          <w:rFonts w:ascii="宋体" w:hAnsi="宋体" w:eastAsia="宋体" w:cs="宋体"/>
          <w:spacing w:val="-7"/>
          <w:sz w:val="24"/>
          <w:szCs w:val="24"/>
        </w:rPr>
        <w:t>本项目周边以耕地、林地为主， 当地农户基本都有散养鸡、鸭、鹅等家禽传</w:t>
      </w:r>
      <w:r>
        <w:rPr>
          <w:rFonts w:ascii="宋体" w:hAnsi="宋体" w:eastAsia="宋体" w:cs="宋体"/>
          <w:spacing w:val="-3"/>
          <w:sz w:val="24"/>
          <w:szCs w:val="24"/>
        </w:rPr>
        <w:t>统，家禽散养过程中产生的粪便容易在降雨时进入土壤或周围鱼塘，</w:t>
      </w:r>
      <w:r>
        <w:rPr>
          <w:rFonts w:ascii="宋体" w:hAnsi="宋体" w:eastAsia="宋体" w:cs="宋体"/>
          <w:spacing w:val="-4"/>
          <w:sz w:val="24"/>
          <w:szCs w:val="24"/>
        </w:rPr>
        <w:t>容易污染地</w:t>
      </w:r>
      <w:r>
        <w:rPr>
          <w:rFonts w:ascii="宋体" w:hAnsi="宋体" w:eastAsia="宋体" w:cs="宋体"/>
          <w:spacing w:val="-6"/>
          <w:sz w:val="24"/>
          <w:szCs w:val="24"/>
        </w:rPr>
        <w:t>下水。该土壤类型主要为砂质粘土和细砂石， 覆</w:t>
      </w:r>
      <w:r>
        <w:rPr>
          <w:rFonts w:ascii="宋体" w:hAnsi="宋体" w:eastAsia="宋体" w:cs="宋体"/>
          <w:spacing w:val="-7"/>
          <w:sz w:val="24"/>
          <w:szCs w:val="24"/>
        </w:rPr>
        <w:t>盖层一般厚度较大，污染程度有</w:t>
      </w:r>
      <w:r>
        <w:rPr>
          <w:rFonts w:ascii="宋体" w:hAnsi="宋体" w:eastAsia="宋体" w:cs="宋体"/>
          <w:spacing w:val="-5"/>
          <w:sz w:val="24"/>
          <w:szCs w:val="24"/>
        </w:rPr>
        <w:t>限且具有局部性特征。</w:t>
      </w:r>
    </w:p>
    <w:p w14:paraId="733D93B0">
      <w:pPr>
        <w:spacing w:before="3" w:line="361" w:lineRule="auto"/>
        <w:ind w:left="38" w:right="67" w:firstLine="483"/>
        <w:jc w:val="both"/>
        <w:rPr>
          <w:rFonts w:ascii="宋体" w:hAnsi="宋体" w:eastAsia="宋体" w:cs="宋体"/>
          <w:sz w:val="24"/>
          <w:szCs w:val="24"/>
        </w:rPr>
      </w:pPr>
      <w:r>
        <w:rPr>
          <w:rFonts w:ascii="宋体" w:hAnsi="宋体" w:eastAsia="宋体" w:cs="宋体"/>
          <w:spacing w:val="-3"/>
          <w:sz w:val="24"/>
          <w:szCs w:val="24"/>
        </w:rPr>
        <w:t>综上所述，目前对地下水产生污染的污染源主要为居民的</w:t>
      </w:r>
      <w:r>
        <w:rPr>
          <w:rFonts w:ascii="宋体" w:hAnsi="宋体" w:eastAsia="宋体" w:cs="宋体"/>
          <w:spacing w:val="-4"/>
          <w:sz w:val="24"/>
          <w:szCs w:val="24"/>
        </w:rPr>
        <w:t>生活污染源及少量</w:t>
      </w:r>
      <w:r>
        <w:rPr>
          <w:rFonts w:ascii="宋体" w:hAnsi="宋体" w:eastAsia="宋体" w:cs="宋体"/>
          <w:spacing w:val="-3"/>
          <w:sz w:val="24"/>
          <w:szCs w:val="24"/>
        </w:rPr>
        <w:t>农业污染源，可能造成污染物下渗对地下水系统造成的小部分污染，但总体污染</w:t>
      </w:r>
      <w:r>
        <w:rPr>
          <w:rFonts w:ascii="宋体" w:hAnsi="宋体" w:eastAsia="宋体" w:cs="宋体"/>
          <w:spacing w:val="-5"/>
          <w:sz w:val="24"/>
          <w:szCs w:val="24"/>
        </w:rPr>
        <w:t>程度弱，污染量小。</w:t>
      </w:r>
    </w:p>
    <w:p w14:paraId="6F5C393F">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4.2.3.3 </w:t>
      </w:r>
      <w:r>
        <w:rPr>
          <w:rFonts w:ascii="宋体" w:hAnsi="宋体" w:eastAsia="宋体" w:cs="宋体"/>
          <w:b/>
          <w:bCs/>
          <w:spacing w:val="5"/>
          <w:sz w:val="27"/>
          <w:szCs w:val="27"/>
        </w:rPr>
        <w:t>地下水环境质量现状</w:t>
      </w:r>
    </w:p>
    <w:p w14:paraId="24EFDC31">
      <w:pPr>
        <w:spacing w:line="226" w:lineRule="auto"/>
        <w:rPr>
          <w:rFonts w:ascii="宋体" w:hAnsi="宋体" w:eastAsia="宋体" w:cs="宋体"/>
          <w:sz w:val="27"/>
          <w:szCs w:val="27"/>
        </w:rPr>
        <w:sectPr>
          <w:headerReference r:id="rId358" w:type="default"/>
          <w:footerReference r:id="rId359" w:type="default"/>
          <w:pgSz w:w="11905" w:h="16840"/>
          <w:pgMar w:top="1168" w:right="1730" w:bottom="1409" w:left="1770" w:header="828" w:footer="1244" w:gutter="0"/>
          <w:cols w:space="720" w:num="1"/>
        </w:sectPr>
      </w:pPr>
    </w:p>
    <w:p w14:paraId="64BD2255">
      <w:pPr>
        <w:pStyle w:val="2"/>
        <w:spacing w:line="306" w:lineRule="auto"/>
      </w:pPr>
    </w:p>
    <w:p w14:paraId="434DF0EE">
      <w:pPr>
        <w:spacing w:before="78" w:line="362" w:lineRule="auto"/>
        <w:ind w:left="38" w:right="101" w:firstLine="484"/>
        <w:rPr>
          <w:rFonts w:ascii="宋体" w:hAnsi="宋体" w:eastAsia="宋体" w:cs="宋体"/>
          <w:sz w:val="24"/>
          <w:szCs w:val="24"/>
        </w:rPr>
      </w:pPr>
      <w:r>
        <w:rPr>
          <w:rFonts w:ascii="宋体" w:hAnsi="宋体" w:eastAsia="宋体" w:cs="宋体"/>
          <w:spacing w:val="-7"/>
          <w:sz w:val="24"/>
          <w:szCs w:val="24"/>
        </w:rPr>
        <w:t>项目所有监测井水质监测项目均达到《地下水质量标准》（</w:t>
      </w:r>
      <w:r>
        <w:rPr>
          <w:rFonts w:ascii="Times New Roman" w:hAnsi="Times New Roman" w:eastAsia="Times New Roman" w:cs="Times New Roman"/>
          <w:spacing w:val="-7"/>
          <w:sz w:val="24"/>
          <w:szCs w:val="24"/>
        </w:rPr>
        <w:t>GB/T14848-2017</w:t>
      </w:r>
      <w:r>
        <w:rPr>
          <w:rFonts w:ascii="宋体" w:hAnsi="宋体" w:eastAsia="宋体" w:cs="宋体"/>
          <w:spacing w:val="-7"/>
          <w:sz w:val="24"/>
          <w:szCs w:val="24"/>
        </w:rPr>
        <w:t>）</w:t>
      </w:r>
      <w:r>
        <w:rPr>
          <w:rFonts w:ascii="宋体" w:hAnsi="宋体" w:eastAsia="宋体" w:cs="宋体"/>
          <w:spacing w:val="16"/>
          <w:sz w:val="24"/>
          <w:szCs w:val="24"/>
        </w:rPr>
        <w:t xml:space="preserve"> </w:t>
      </w:r>
      <w:r>
        <w:rPr>
          <w:rFonts w:ascii="宋体" w:hAnsi="宋体" w:eastAsia="宋体" w:cs="宋体"/>
          <w:spacing w:val="-7"/>
          <w:sz w:val="24"/>
          <w:szCs w:val="24"/>
        </w:rPr>
        <w:t>Ⅲ类标准。</w:t>
      </w:r>
    </w:p>
    <w:p w14:paraId="140B10A2">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4.2.3.4 </w:t>
      </w:r>
      <w:r>
        <w:rPr>
          <w:rFonts w:ascii="宋体" w:hAnsi="宋体" w:eastAsia="宋体" w:cs="宋体"/>
          <w:b/>
          <w:bCs/>
          <w:spacing w:val="5"/>
          <w:sz w:val="27"/>
          <w:szCs w:val="27"/>
        </w:rPr>
        <w:t>地下水污染分析</w:t>
      </w:r>
    </w:p>
    <w:p w14:paraId="28852CB9">
      <w:pPr>
        <w:spacing w:before="235"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）地下水敏感目标</w:t>
      </w:r>
    </w:p>
    <w:p w14:paraId="1FA3848D">
      <w:pPr>
        <w:spacing w:before="182" w:line="360" w:lineRule="auto"/>
        <w:ind w:left="38" w:right="138" w:firstLine="481"/>
        <w:jc w:val="both"/>
        <w:rPr>
          <w:rFonts w:ascii="宋体" w:hAnsi="宋体" w:eastAsia="宋体" w:cs="宋体"/>
          <w:sz w:val="24"/>
          <w:szCs w:val="24"/>
        </w:rPr>
      </w:pPr>
      <w:r>
        <w:rPr>
          <w:rFonts w:ascii="宋体" w:hAnsi="宋体" w:eastAsia="宋体" w:cs="宋体"/>
          <w:spacing w:val="-3"/>
          <w:sz w:val="24"/>
          <w:szCs w:val="24"/>
        </w:rPr>
        <w:t>本项目评价范围内无集中式饮用水源地，项目周边的地下水环</w:t>
      </w:r>
      <w:r>
        <w:rPr>
          <w:rFonts w:ascii="宋体" w:hAnsi="宋体" w:eastAsia="宋体" w:cs="宋体"/>
          <w:spacing w:val="-4"/>
          <w:sz w:val="24"/>
          <w:szCs w:val="24"/>
        </w:rPr>
        <w:t>境敏感目标主要为周边农户地下水井。本项目养殖废水经污水处理站处理达到《农田灌溉水质</w:t>
      </w:r>
      <w:r>
        <w:rPr>
          <w:rFonts w:ascii="宋体" w:hAnsi="宋体" w:eastAsia="宋体" w:cs="宋体"/>
          <w:spacing w:val="-2"/>
          <w:sz w:val="24"/>
          <w:szCs w:val="24"/>
        </w:rPr>
        <w:t>标准》（</w:t>
      </w:r>
      <w:r>
        <w:rPr>
          <w:rFonts w:ascii="Times New Roman" w:hAnsi="Times New Roman" w:eastAsia="Times New Roman" w:cs="Times New Roman"/>
          <w:spacing w:val="-2"/>
          <w:sz w:val="24"/>
          <w:szCs w:val="24"/>
        </w:rPr>
        <w:t>GB5084-2021</w:t>
      </w:r>
      <w:r>
        <w:rPr>
          <w:rFonts w:ascii="宋体" w:hAnsi="宋体" w:eastAsia="宋体" w:cs="宋体"/>
          <w:spacing w:val="-2"/>
          <w:sz w:val="24"/>
          <w:szCs w:val="24"/>
        </w:rPr>
        <w:t xml:space="preserve">）表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旱地作物限值后，全</w:t>
      </w:r>
      <w:r>
        <w:rPr>
          <w:rFonts w:ascii="宋体" w:hAnsi="宋体" w:eastAsia="宋体" w:cs="宋体"/>
          <w:spacing w:val="-3"/>
          <w:sz w:val="24"/>
          <w:szCs w:val="24"/>
        </w:rPr>
        <w:t>部用于周围消纳地农灌，其水</w:t>
      </w:r>
      <w:r>
        <w:rPr>
          <w:rFonts w:ascii="宋体" w:hAnsi="宋体" w:eastAsia="宋体" w:cs="宋体"/>
          <w:spacing w:val="-1"/>
          <w:sz w:val="24"/>
          <w:szCs w:val="24"/>
        </w:rPr>
        <w:t>质污染物浓度较低，同时土壤按需灌溉，经包气带进入地下水的的可能性较小，</w:t>
      </w:r>
      <w:r>
        <w:rPr>
          <w:rFonts w:ascii="宋体" w:hAnsi="宋体" w:eastAsia="宋体" w:cs="宋体"/>
          <w:spacing w:val="-6"/>
          <w:sz w:val="24"/>
          <w:szCs w:val="24"/>
        </w:rPr>
        <w:t>对地下水的影响较小。本项目消纳地分布在项目西侧， 无饮用</w:t>
      </w:r>
      <w:r>
        <w:rPr>
          <w:rFonts w:ascii="宋体" w:hAnsi="宋体" w:eastAsia="宋体" w:cs="宋体"/>
          <w:spacing w:val="-7"/>
          <w:sz w:val="24"/>
          <w:szCs w:val="24"/>
        </w:rPr>
        <w:t>水水源保护区，并</w:t>
      </w:r>
      <w:r>
        <w:rPr>
          <w:rFonts w:ascii="宋体" w:hAnsi="宋体" w:eastAsia="宋体" w:cs="宋体"/>
          <w:spacing w:val="-1"/>
          <w:sz w:val="24"/>
          <w:szCs w:val="24"/>
        </w:rPr>
        <w:t xml:space="preserve">且评价要求在农户水井四周 </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54"/>
          <w:sz w:val="24"/>
          <w:szCs w:val="24"/>
        </w:rPr>
        <w:t xml:space="preserve"> </w:t>
      </w:r>
      <w:r>
        <w:rPr>
          <w:rFonts w:ascii="宋体" w:hAnsi="宋体" w:eastAsia="宋体" w:cs="宋体"/>
          <w:spacing w:val="-1"/>
          <w:sz w:val="24"/>
          <w:szCs w:val="24"/>
        </w:rPr>
        <w:t>范围内禁止灌溉，因此，项</w:t>
      </w:r>
      <w:r>
        <w:rPr>
          <w:rFonts w:ascii="宋体" w:hAnsi="宋体" w:eastAsia="宋体" w:cs="宋体"/>
          <w:spacing w:val="-2"/>
          <w:sz w:val="24"/>
          <w:szCs w:val="24"/>
        </w:rPr>
        <w:t>目的正常实施对周</w:t>
      </w:r>
      <w:r>
        <w:rPr>
          <w:rFonts w:ascii="宋体" w:hAnsi="宋体" w:eastAsia="宋体" w:cs="宋体"/>
          <w:spacing w:val="-3"/>
          <w:sz w:val="24"/>
          <w:szCs w:val="24"/>
        </w:rPr>
        <w:t>边地下水环境敏感目标不会产生影响。</w:t>
      </w:r>
    </w:p>
    <w:p w14:paraId="5B64D193">
      <w:pPr>
        <w:spacing w:before="1"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）地下水污染途径</w:t>
      </w:r>
    </w:p>
    <w:p w14:paraId="5577FB83">
      <w:pPr>
        <w:spacing w:before="182" w:line="360" w:lineRule="auto"/>
        <w:ind w:left="39" w:right="120" w:firstLine="481"/>
        <w:jc w:val="both"/>
        <w:rPr>
          <w:rFonts w:ascii="宋体" w:hAnsi="宋体" w:eastAsia="宋体" w:cs="宋体"/>
          <w:sz w:val="24"/>
          <w:szCs w:val="24"/>
        </w:rPr>
      </w:pPr>
      <w:r>
        <w:rPr>
          <w:rFonts w:ascii="宋体" w:hAnsi="宋体" w:eastAsia="宋体" w:cs="宋体"/>
          <w:spacing w:val="-3"/>
          <w:sz w:val="24"/>
          <w:szCs w:val="24"/>
        </w:rPr>
        <w:t>污染物从污染源进入地下水所经过路径称为地下水污染途径</w:t>
      </w:r>
      <w:r>
        <w:rPr>
          <w:rFonts w:ascii="宋体" w:hAnsi="宋体" w:eastAsia="宋体" w:cs="宋体"/>
          <w:spacing w:val="-4"/>
          <w:sz w:val="24"/>
          <w:szCs w:val="24"/>
        </w:rPr>
        <w:t>，地下水污染途</w:t>
      </w:r>
      <w:r>
        <w:rPr>
          <w:rFonts w:ascii="宋体" w:hAnsi="宋体" w:eastAsia="宋体" w:cs="宋体"/>
          <w:spacing w:val="-3"/>
          <w:sz w:val="24"/>
          <w:szCs w:val="24"/>
        </w:rPr>
        <w:t>径是多种多样的。项目运营期污染物进入地下水环境的途径主要是粪污、废水等通过垂直渗透进入包气带，进入包气带的污染物在物理、化学和生物作用下经吸</w:t>
      </w:r>
      <w:r>
        <w:rPr>
          <w:rFonts w:ascii="宋体" w:hAnsi="宋体" w:eastAsia="宋体" w:cs="宋体"/>
          <w:spacing w:val="-6"/>
          <w:sz w:val="24"/>
          <w:szCs w:val="24"/>
        </w:rPr>
        <w:t>附、转化、迁移和分解后输入地下水。因此， 包气带是联接地</w:t>
      </w:r>
      <w:r>
        <w:rPr>
          <w:rFonts w:ascii="宋体" w:hAnsi="宋体" w:eastAsia="宋体" w:cs="宋体"/>
          <w:spacing w:val="-7"/>
          <w:sz w:val="24"/>
          <w:szCs w:val="24"/>
        </w:rPr>
        <w:t>面污染物与地下含水层的主要通道和过渡带，既是污染物媒介体，又是污染物的净化</w:t>
      </w:r>
      <w:r>
        <w:rPr>
          <w:rFonts w:ascii="宋体" w:hAnsi="宋体" w:eastAsia="宋体" w:cs="宋体"/>
          <w:spacing w:val="-8"/>
          <w:sz w:val="24"/>
          <w:szCs w:val="24"/>
        </w:rPr>
        <w:t>场所和防护层。</w:t>
      </w:r>
      <w:r>
        <w:rPr>
          <w:rFonts w:ascii="宋体" w:hAnsi="宋体" w:eastAsia="宋体" w:cs="宋体"/>
          <w:spacing w:val="-3"/>
          <w:sz w:val="24"/>
          <w:szCs w:val="24"/>
        </w:rPr>
        <w:t>一般说来，土壤粒细而且紧密，渗透性差，则污染慢；反之，颗粒太松散，渗透</w:t>
      </w:r>
      <w:r>
        <w:rPr>
          <w:rFonts w:ascii="宋体" w:hAnsi="宋体" w:eastAsia="宋体" w:cs="宋体"/>
          <w:spacing w:val="-5"/>
          <w:sz w:val="24"/>
          <w:szCs w:val="24"/>
        </w:rPr>
        <w:t>性能良好则污染重。</w:t>
      </w:r>
    </w:p>
    <w:p w14:paraId="175BF112">
      <w:pPr>
        <w:spacing w:before="6" w:line="360" w:lineRule="auto"/>
        <w:ind w:left="38" w:firstLine="481"/>
        <w:jc w:val="both"/>
        <w:rPr>
          <w:rFonts w:ascii="宋体" w:hAnsi="宋体" w:eastAsia="宋体" w:cs="宋体"/>
          <w:sz w:val="24"/>
          <w:szCs w:val="24"/>
        </w:rPr>
      </w:pPr>
      <w:r>
        <w:rPr>
          <w:rFonts w:ascii="宋体" w:hAnsi="宋体" w:eastAsia="宋体" w:cs="宋体"/>
          <w:spacing w:val="-3"/>
          <w:sz w:val="24"/>
          <w:szCs w:val="24"/>
        </w:rPr>
        <w:t>本项目建成后，养猪粪污经固液分离后，固体粪渣在堆粪棚暂</w:t>
      </w:r>
      <w:r>
        <w:rPr>
          <w:rFonts w:ascii="宋体" w:hAnsi="宋体" w:eastAsia="宋体" w:cs="宋体"/>
          <w:spacing w:val="-4"/>
          <w:sz w:val="24"/>
          <w:szCs w:val="24"/>
        </w:rPr>
        <w:t>存，及时送有机肥厂生产有机肥；液体粪污进入污水处理站经处理达标后用于周边消纳地农灌。</w:t>
      </w:r>
      <w:r>
        <w:rPr>
          <w:rFonts w:ascii="宋体" w:hAnsi="宋体" w:eastAsia="宋体" w:cs="宋体"/>
          <w:spacing w:val="-3"/>
          <w:sz w:val="24"/>
          <w:szCs w:val="24"/>
        </w:rPr>
        <w:t>以上污染因素若不加以管理，收集池、堆粪棚及污水处理站等存在下渗污染地下水的隐患，评价针对污染途径提出相应处理措施，项目废水污染地下水途径及防</w:t>
      </w:r>
      <w:r>
        <w:rPr>
          <w:rFonts w:ascii="宋体" w:hAnsi="宋体" w:eastAsia="宋体" w:cs="宋体"/>
          <w:spacing w:val="-7"/>
          <w:sz w:val="24"/>
          <w:szCs w:val="24"/>
        </w:rPr>
        <w:t>治措施分析见下表：</w:t>
      </w:r>
    </w:p>
    <w:p w14:paraId="69B9E133">
      <w:pPr>
        <w:spacing w:before="8" w:line="221" w:lineRule="auto"/>
        <w:ind w:left="195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0"/>
          <w:sz w:val="21"/>
          <w:szCs w:val="21"/>
        </w:rPr>
        <w:t xml:space="preserve"> </w:t>
      </w:r>
      <w:r>
        <w:rPr>
          <w:rFonts w:ascii="Times New Roman" w:hAnsi="Times New Roman" w:eastAsia="Times New Roman" w:cs="Times New Roman"/>
          <w:spacing w:val="-1"/>
          <w:sz w:val="21"/>
          <w:szCs w:val="21"/>
        </w:rPr>
        <w:t xml:space="preserve">4.2-32  </w:t>
      </w:r>
      <w:r>
        <w:rPr>
          <w:rFonts w:ascii="黑体" w:hAnsi="黑体" w:eastAsia="黑体" w:cs="黑体"/>
          <w:spacing w:val="-1"/>
          <w:sz w:val="21"/>
          <w:szCs w:val="21"/>
        </w:rPr>
        <w:t>项目污染地下水途径及防治措施一览表</w:t>
      </w:r>
    </w:p>
    <w:p w14:paraId="2AE1881A">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1414"/>
        <w:gridCol w:w="3964"/>
        <w:gridCol w:w="2365"/>
      </w:tblGrid>
      <w:tr w14:paraId="44B68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77" w:type="dxa"/>
            <w:vAlign w:val="top"/>
          </w:tcPr>
          <w:p w14:paraId="49AB5F99">
            <w:pPr>
              <w:spacing w:before="68" w:line="221" w:lineRule="auto"/>
              <w:ind w:left="82"/>
              <w:rPr>
                <w:rFonts w:ascii="宋体" w:hAnsi="宋体" w:eastAsia="宋体" w:cs="宋体"/>
                <w:sz w:val="21"/>
                <w:szCs w:val="21"/>
              </w:rPr>
            </w:pPr>
            <w:r>
              <w:rPr>
                <w:rFonts w:ascii="宋体" w:hAnsi="宋体" w:eastAsia="宋体" w:cs="宋体"/>
                <w:spacing w:val="-2"/>
                <w:sz w:val="21"/>
                <w:szCs w:val="21"/>
              </w:rPr>
              <w:t>序号</w:t>
            </w:r>
          </w:p>
        </w:tc>
        <w:tc>
          <w:tcPr>
            <w:tcW w:w="1414" w:type="dxa"/>
            <w:vAlign w:val="top"/>
          </w:tcPr>
          <w:p w14:paraId="33444B5C">
            <w:pPr>
              <w:spacing w:before="69" w:line="220" w:lineRule="auto"/>
              <w:ind w:left="503"/>
              <w:rPr>
                <w:rFonts w:ascii="宋体" w:hAnsi="宋体" w:eastAsia="宋体" w:cs="宋体"/>
                <w:sz w:val="21"/>
                <w:szCs w:val="21"/>
              </w:rPr>
            </w:pPr>
            <w:r>
              <w:rPr>
                <w:rFonts w:ascii="宋体" w:hAnsi="宋体" w:eastAsia="宋体" w:cs="宋体"/>
                <w:spacing w:val="-3"/>
                <w:sz w:val="21"/>
                <w:szCs w:val="21"/>
              </w:rPr>
              <w:t>项目</w:t>
            </w:r>
          </w:p>
        </w:tc>
        <w:tc>
          <w:tcPr>
            <w:tcW w:w="3964" w:type="dxa"/>
            <w:vAlign w:val="top"/>
          </w:tcPr>
          <w:p w14:paraId="647616ED">
            <w:pPr>
              <w:spacing w:before="69" w:line="220" w:lineRule="auto"/>
              <w:ind w:left="1568"/>
              <w:rPr>
                <w:rFonts w:ascii="宋体" w:hAnsi="宋体" w:eastAsia="宋体" w:cs="宋体"/>
                <w:sz w:val="21"/>
                <w:szCs w:val="21"/>
              </w:rPr>
            </w:pPr>
            <w:r>
              <w:rPr>
                <w:rFonts w:ascii="宋体" w:hAnsi="宋体" w:eastAsia="宋体" w:cs="宋体"/>
                <w:spacing w:val="-2"/>
                <w:sz w:val="21"/>
                <w:szCs w:val="21"/>
              </w:rPr>
              <w:t>保护措施</w:t>
            </w:r>
          </w:p>
        </w:tc>
        <w:tc>
          <w:tcPr>
            <w:tcW w:w="2365" w:type="dxa"/>
            <w:vAlign w:val="top"/>
          </w:tcPr>
          <w:p w14:paraId="1D3A43CE">
            <w:pPr>
              <w:spacing w:before="69" w:line="220" w:lineRule="auto"/>
              <w:ind w:left="767"/>
              <w:rPr>
                <w:rFonts w:ascii="宋体" w:hAnsi="宋体" w:eastAsia="宋体" w:cs="宋体"/>
                <w:sz w:val="21"/>
                <w:szCs w:val="21"/>
              </w:rPr>
            </w:pPr>
            <w:r>
              <w:rPr>
                <w:rFonts w:ascii="宋体" w:hAnsi="宋体" w:eastAsia="宋体" w:cs="宋体"/>
                <w:spacing w:val="-2"/>
                <w:sz w:val="21"/>
                <w:szCs w:val="21"/>
              </w:rPr>
              <w:t>达到效果</w:t>
            </w:r>
          </w:p>
        </w:tc>
      </w:tr>
      <w:tr w14:paraId="75B8A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77" w:type="dxa"/>
            <w:vAlign w:val="top"/>
          </w:tcPr>
          <w:p w14:paraId="0B50176A">
            <w:pPr>
              <w:pStyle w:val="6"/>
              <w:spacing w:before="243" w:line="188" w:lineRule="auto"/>
              <w:ind w:left="257"/>
            </w:pPr>
            <w:r>
              <w:t>1</w:t>
            </w:r>
          </w:p>
        </w:tc>
        <w:tc>
          <w:tcPr>
            <w:tcW w:w="1414" w:type="dxa"/>
            <w:vAlign w:val="top"/>
          </w:tcPr>
          <w:p w14:paraId="55243EB0">
            <w:pPr>
              <w:spacing w:before="206" w:line="220" w:lineRule="auto"/>
              <w:ind w:left="187"/>
              <w:rPr>
                <w:rFonts w:ascii="宋体" w:hAnsi="宋体" w:eastAsia="宋体" w:cs="宋体"/>
                <w:sz w:val="21"/>
                <w:szCs w:val="21"/>
              </w:rPr>
            </w:pPr>
            <w:r>
              <w:rPr>
                <w:rFonts w:ascii="宋体" w:hAnsi="宋体" w:eastAsia="宋体" w:cs="宋体"/>
                <w:spacing w:val="-2"/>
                <w:sz w:val="21"/>
                <w:szCs w:val="21"/>
              </w:rPr>
              <w:t>污水处理站</w:t>
            </w:r>
          </w:p>
        </w:tc>
        <w:tc>
          <w:tcPr>
            <w:tcW w:w="3964" w:type="dxa"/>
            <w:vAlign w:val="top"/>
          </w:tcPr>
          <w:p w14:paraId="1E09E7D3">
            <w:pPr>
              <w:spacing w:before="50" w:line="249" w:lineRule="auto"/>
              <w:ind w:left="10" w:right="1" w:firstLine="1"/>
              <w:rPr>
                <w:rFonts w:ascii="宋体" w:hAnsi="宋体" w:eastAsia="宋体" w:cs="宋体"/>
                <w:sz w:val="21"/>
                <w:szCs w:val="21"/>
              </w:rPr>
            </w:pPr>
            <w:r>
              <w:rPr>
                <w:rFonts w:ascii="宋体" w:hAnsi="宋体" w:eastAsia="宋体" w:cs="宋体"/>
                <w:spacing w:val="-3"/>
                <w:sz w:val="21"/>
                <w:szCs w:val="21"/>
              </w:rPr>
              <w:t>设施多采用地下式钢筋混凝土结构，评价要求严格做好防渗、防漏措施。</w:t>
            </w:r>
          </w:p>
        </w:tc>
        <w:tc>
          <w:tcPr>
            <w:tcW w:w="2365" w:type="dxa"/>
            <w:vMerge w:val="restart"/>
            <w:tcBorders>
              <w:bottom w:val="nil"/>
            </w:tcBorders>
            <w:vAlign w:val="top"/>
          </w:tcPr>
          <w:p w14:paraId="7D058288">
            <w:pPr>
              <w:pStyle w:val="6"/>
              <w:spacing w:before="53" w:line="266" w:lineRule="auto"/>
              <w:ind w:left="12" w:firstLine="7"/>
              <w:jc w:val="both"/>
              <w:rPr>
                <w:rFonts w:ascii="宋体" w:hAnsi="宋体" w:eastAsia="宋体" w:cs="宋体"/>
              </w:rPr>
            </w:pPr>
            <w:r>
              <w:rPr>
                <w:rFonts w:ascii="宋体" w:hAnsi="宋体" w:eastAsia="宋体" w:cs="宋体"/>
                <w:spacing w:val="-6"/>
              </w:rPr>
              <w:t>雨污分流，废水处理达到</w:t>
            </w:r>
            <w:r>
              <w:rPr>
                <w:rFonts w:ascii="宋体" w:hAnsi="宋体" w:eastAsia="宋体" w:cs="宋体"/>
                <w:spacing w:val="24"/>
              </w:rPr>
              <w:t>《农田灌溉水质标准》</w:t>
            </w:r>
            <w:r>
              <w:rPr>
                <w:rFonts w:ascii="宋体" w:hAnsi="宋体" w:eastAsia="宋体" w:cs="宋体"/>
                <w:spacing w:val="6"/>
              </w:rPr>
              <w:t xml:space="preserve"> </w:t>
            </w:r>
            <w:r>
              <w:rPr>
                <w:rFonts w:ascii="宋体" w:hAnsi="宋体" w:eastAsia="宋体" w:cs="宋体"/>
                <w:spacing w:val="-1"/>
              </w:rPr>
              <w:t>（</w:t>
            </w:r>
            <w:r>
              <w:rPr>
                <w:spacing w:val="-1"/>
              </w:rPr>
              <w:t>GB5084-2021</w:t>
            </w:r>
            <w:r>
              <w:rPr>
                <w:rFonts w:ascii="宋体" w:hAnsi="宋体" w:eastAsia="宋体" w:cs="宋体"/>
                <w:spacing w:val="-1"/>
              </w:rPr>
              <w:t>）旱地作</w:t>
            </w:r>
            <w:r>
              <w:rPr>
                <w:rFonts w:ascii="宋体" w:hAnsi="宋体" w:eastAsia="宋体" w:cs="宋体"/>
                <w:spacing w:val="15"/>
              </w:rPr>
              <w:t>物标准后用于消纳地农</w:t>
            </w:r>
            <w:r>
              <w:rPr>
                <w:rFonts w:ascii="宋体" w:hAnsi="宋体" w:eastAsia="宋体" w:cs="宋体"/>
                <w:spacing w:val="-10"/>
              </w:rPr>
              <w:t>灌，做好防渗漏等措施。</w:t>
            </w:r>
          </w:p>
        </w:tc>
      </w:tr>
      <w:tr w14:paraId="19DD9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577" w:type="dxa"/>
            <w:vAlign w:val="top"/>
          </w:tcPr>
          <w:p w14:paraId="69DCC610">
            <w:pPr>
              <w:spacing w:line="338" w:lineRule="auto"/>
              <w:rPr>
                <w:rFonts w:ascii="Arial"/>
                <w:sz w:val="21"/>
              </w:rPr>
            </w:pPr>
          </w:p>
          <w:p w14:paraId="2D293937">
            <w:pPr>
              <w:pStyle w:val="6"/>
              <w:spacing w:before="61" w:line="188" w:lineRule="auto"/>
              <w:ind w:left="237"/>
            </w:pPr>
            <w:r>
              <w:t>2</w:t>
            </w:r>
          </w:p>
        </w:tc>
        <w:tc>
          <w:tcPr>
            <w:tcW w:w="1414" w:type="dxa"/>
            <w:vAlign w:val="top"/>
          </w:tcPr>
          <w:p w14:paraId="7E3FEC65">
            <w:pPr>
              <w:spacing w:line="293" w:lineRule="auto"/>
              <w:rPr>
                <w:rFonts w:ascii="Arial"/>
                <w:sz w:val="21"/>
              </w:rPr>
            </w:pPr>
          </w:p>
          <w:p w14:paraId="4FF8B991">
            <w:pPr>
              <w:spacing w:before="69" w:line="220" w:lineRule="auto"/>
              <w:ind w:left="189"/>
              <w:rPr>
                <w:rFonts w:ascii="宋体" w:hAnsi="宋体" w:eastAsia="宋体" w:cs="宋体"/>
                <w:sz w:val="21"/>
                <w:szCs w:val="21"/>
              </w:rPr>
            </w:pPr>
            <w:r>
              <w:rPr>
                <w:rFonts w:ascii="宋体" w:hAnsi="宋体" w:eastAsia="宋体" w:cs="宋体"/>
                <w:spacing w:val="-2"/>
                <w:sz w:val="21"/>
                <w:szCs w:val="21"/>
              </w:rPr>
              <w:t>消纳地农灌</w:t>
            </w:r>
          </w:p>
        </w:tc>
        <w:tc>
          <w:tcPr>
            <w:tcW w:w="3964" w:type="dxa"/>
            <w:vAlign w:val="top"/>
          </w:tcPr>
          <w:p w14:paraId="7615DDDF">
            <w:pPr>
              <w:pStyle w:val="6"/>
              <w:spacing w:before="51" w:line="256" w:lineRule="auto"/>
              <w:ind w:left="7" w:right="1" w:firstLine="4"/>
              <w:jc w:val="both"/>
              <w:rPr>
                <w:rFonts w:ascii="宋体" w:hAnsi="宋体" w:eastAsia="宋体" w:cs="宋体"/>
              </w:rPr>
            </w:pPr>
            <w:r>
              <w:rPr>
                <w:rFonts w:ascii="宋体" w:hAnsi="宋体" w:eastAsia="宋体" w:cs="宋体"/>
                <w:spacing w:val="3"/>
              </w:rPr>
              <w:t>为满足农闲期废水产生量，</w:t>
            </w:r>
            <w:r>
              <w:rPr>
                <w:spacing w:val="3"/>
              </w:rPr>
              <w:t>5</w:t>
            </w:r>
            <w:r>
              <w:rPr>
                <w:rFonts w:ascii="宋体" w:hAnsi="宋体" w:eastAsia="宋体" w:cs="宋体"/>
                <w:spacing w:val="3"/>
              </w:rPr>
              <w:t>座田间储存池</w:t>
            </w:r>
            <w:r>
              <w:rPr>
                <w:rFonts w:ascii="宋体" w:hAnsi="宋体" w:eastAsia="宋体" w:cs="宋体"/>
                <w:spacing w:val="-1"/>
              </w:rPr>
              <w:t>总容积</w:t>
            </w:r>
            <w:r>
              <w:rPr>
                <w:spacing w:val="-1"/>
              </w:rPr>
              <w:t>22500m</w:t>
            </w:r>
            <w:r>
              <w:rPr>
                <w:spacing w:val="-1"/>
                <w:position w:val="9"/>
                <w:sz w:val="14"/>
                <w:szCs w:val="14"/>
              </w:rPr>
              <w:t xml:space="preserve">3 </w:t>
            </w:r>
            <w:r>
              <w:rPr>
                <w:rFonts w:ascii="宋体" w:hAnsi="宋体" w:eastAsia="宋体" w:cs="宋体"/>
                <w:spacing w:val="-1"/>
              </w:rPr>
              <w:t>，采取防渗处理措施，池底</w:t>
            </w:r>
            <w:r>
              <w:rPr>
                <w:rFonts w:ascii="宋体" w:hAnsi="宋体" w:eastAsia="宋体" w:cs="宋体"/>
                <w:spacing w:val="-3"/>
              </w:rPr>
              <w:t>钢筋混凝土结构，采取滴灌或喷灌。</w:t>
            </w:r>
          </w:p>
        </w:tc>
        <w:tc>
          <w:tcPr>
            <w:tcW w:w="2365" w:type="dxa"/>
            <w:vMerge w:val="continue"/>
            <w:tcBorders>
              <w:top w:val="nil"/>
            </w:tcBorders>
            <w:vAlign w:val="top"/>
          </w:tcPr>
          <w:p w14:paraId="0DE55A04">
            <w:pPr>
              <w:rPr>
                <w:rFonts w:ascii="Arial"/>
                <w:sz w:val="21"/>
              </w:rPr>
            </w:pPr>
          </w:p>
        </w:tc>
      </w:tr>
    </w:tbl>
    <w:p w14:paraId="020EC2F5">
      <w:pPr>
        <w:pStyle w:val="2"/>
        <w:spacing w:line="183" w:lineRule="exact"/>
        <w:rPr>
          <w:sz w:val="15"/>
        </w:rPr>
      </w:pPr>
    </w:p>
    <w:p w14:paraId="569F2EFB">
      <w:pPr>
        <w:spacing w:line="183" w:lineRule="exact"/>
        <w:rPr>
          <w:sz w:val="15"/>
          <w:szCs w:val="15"/>
        </w:rPr>
        <w:sectPr>
          <w:headerReference r:id="rId360" w:type="default"/>
          <w:footerReference r:id="rId361" w:type="default"/>
          <w:pgSz w:w="11905" w:h="16840"/>
          <w:pgMar w:top="1168" w:right="1592" w:bottom="1409" w:left="1770" w:header="828" w:footer="1244" w:gutter="0"/>
          <w:cols w:space="720" w:num="1"/>
        </w:sectPr>
      </w:pPr>
    </w:p>
    <w:p w14:paraId="15CE6D6C">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1414"/>
        <w:gridCol w:w="3964"/>
        <w:gridCol w:w="2365"/>
      </w:tblGrid>
      <w:tr w14:paraId="6B22C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77" w:type="dxa"/>
            <w:vAlign w:val="top"/>
          </w:tcPr>
          <w:p w14:paraId="1BD92D89">
            <w:pPr>
              <w:spacing w:before="68" w:line="221" w:lineRule="auto"/>
              <w:ind w:left="82"/>
              <w:rPr>
                <w:rFonts w:ascii="宋体" w:hAnsi="宋体" w:eastAsia="宋体" w:cs="宋体"/>
                <w:sz w:val="21"/>
                <w:szCs w:val="21"/>
              </w:rPr>
            </w:pPr>
            <w:r>
              <w:rPr>
                <w:rFonts w:ascii="宋体" w:hAnsi="宋体" w:eastAsia="宋体" w:cs="宋体"/>
                <w:spacing w:val="-2"/>
                <w:sz w:val="21"/>
                <w:szCs w:val="21"/>
              </w:rPr>
              <w:t>序号</w:t>
            </w:r>
          </w:p>
        </w:tc>
        <w:tc>
          <w:tcPr>
            <w:tcW w:w="1414" w:type="dxa"/>
            <w:vAlign w:val="top"/>
          </w:tcPr>
          <w:p w14:paraId="115E4D09">
            <w:pPr>
              <w:spacing w:before="69" w:line="220" w:lineRule="auto"/>
              <w:ind w:left="503"/>
              <w:rPr>
                <w:rFonts w:ascii="宋体" w:hAnsi="宋体" w:eastAsia="宋体" w:cs="宋体"/>
                <w:sz w:val="21"/>
                <w:szCs w:val="21"/>
              </w:rPr>
            </w:pPr>
            <w:r>
              <w:rPr>
                <w:rFonts w:ascii="宋体" w:hAnsi="宋体" w:eastAsia="宋体" w:cs="宋体"/>
                <w:spacing w:val="-3"/>
                <w:sz w:val="21"/>
                <w:szCs w:val="21"/>
              </w:rPr>
              <w:t>项目</w:t>
            </w:r>
          </w:p>
        </w:tc>
        <w:tc>
          <w:tcPr>
            <w:tcW w:w="3964" w:type="dxa"/>
            <w:vAlign w:val="top"/>
          </w:tcPr>
          <w:p w14:paraId="30C2BC30">
            <w:pPr>
              <w:spacing w:before="69" w:line="220" w:lineRule="auto"/>
              <w:ind w:left="1568"/>
              <w:rPr>
                <w:rFonts w:ascii="宋体" w:hAnsi="宋体" w:eastAsia="宋体" w:cs="宋体"/>
                <w:sz w:val="21"/>
                <w:szCs w:val="21"/>
              </w:rPr>
            </w:pPr>
            <w:r>
              <w:rPr>
                <w:rFonts w:ascii="宋体" w:hAnsi="宋体" w:eastAsia="宋体" w:cs="宋体"/>
                <w:spacing w:val="-2"/>
                <w:sz w:val="21"/>
                <w:szCs w:val="21"/>
              </w:rPr>
              <w:t>保护措施</w:t>
            </w:r>
          </w:p>
        </w:tc>
        <w:tc>
          <w:tcPr>
            <w:tcW w:w="2365" w:type="dxa"/>
            <w:vAlign w:val="top"/>
          </w:tcPr>
          <w:p w14:paraId="7754B9BB">
            <w:pPr>
              <w:spacing w:before="69" w:line="220" w:lineRule="auto"/>
              <w:ind w:left="767"/>
              <w:rPr>
                <w:rFonts w:ascii="宋体" w:hAnsi="宋体" w:eastAsia="宋体" w:cs="宋体"/>
                <w:sz w:val="21"/>
                <w:szCs w:val="21"/>
              </w:rPr>
            </w:pPr>
            <w:r>
              <w:rPr>
                <w:rFonts w:ascii="宋体" w:hAnsi="宋体" w:eastAsia="宋体" w:cs="宋体"/>
                <w:spacing w:val="-2"/>
                <w:sz w:val="21"/>
                <w:szCs w:val="21"/>
              </w:rPr>
              <w:t>达到效果</w:t>
            </w:r>
          </w:p>
        </w:tc>
      </w:tr>
      <w:tr w14:paraId="0E7D2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77" w:type="dxa"/>
            <w:vAlign w:val="top"/>
          </w:tcPr>
          <w:p w14:paraId="0CB34A1C">
            <w:pPr>
              <w:spacing w:line="337" w:lineRule="auto"/>
              <w:rPr>
                <w:rFonts w:ascii="Arial"/>
                <w:sz w:val="21"/>
              </w:rPr>
            </w:pPr>
          </w:p>
          <w:p w14:paraId="4A9B5132">
            <w:pPr>
              <w:pStyle w:val="6"/>
              <w:spacing w:before="60" w:line="188" w:lineRule="auto"/>
              <w:ind w:left="241"/>
            </w:pPr>
            <w:r>
              <w:t>3</w:t>
            </w:r>
          </w:p>
        </w:tc>
        <w:tc>
          <w:tcPr>
            <w:tcW w:w="1414" w:type="dxa"/>
            <w:vAlign w:val="top"/>
          </w:tcPr>
          <w:p w14:paraId="7330FD41">
            <w:pPr>
              <w:spacing w:line="292" w:lineRule="auto"/>
              <w:rPr>
                <w:rFonts w:ascii="Arial"/>
                <w:sz w:val="21"/>
              </w:rPr>
            </w:pPr>
          </w:p>
          <w:p w14:paraId="615D61ED">
            <w:pPr>
              <w:spacing w:before="68" w:line="220" w:lineRule="auto"/>
              <w:ind w:left="79"/>
              <w:rPr>
                <w:rFonts w:ascii="宋体" w:hAnsi="宋体" w:eastAsia="宋体" w:cs="宋体"/>
                <w:sz w:val="21"/>
                <w:szCs w:val="21"/>
              </w:rPr>
            </w:pPr>
            <w:r>
              <w:rPr>
                <w:rFonts w:ascii="宋体" w:hAnsi="宋体" w:eastAsia="宋体" w:cs="宋体"/>
                <w:spacing w:val="-2"/>
                <w:sz w:val="21"/>
                <w:szCs w:val="21"/>
              </w:rPr>
              <w:t>场区雨污管网</w:t>
            </w:r>
          </w:p>
        </w:tc>
        <w:tc>
          <w:tcPr>
            <w:tcW w:w="3964" w:type="dxa"/>
            <w:vAlign w:val="top"/>
          </w:tcPr>
          <w:p w14:paraId="6882C8FF">
            <w:pPr>
              <w:spacing w:before="50" w:line="258" w:lineRule="auto"/>
              <w:ind w:left="9" w:right="1" w:firstLine="8"/>
              <w:jc w:val="both"/>
              <w:rPr>
                <w:rFonts w:ascii="宋体" w:hAnsi="宋体" w:eastAsia="宋体" w:cs="宋体"/>
                <w:sz w:val="21"/>
                <w:szCs w:val="21"/>
              </w:rPr>
            </w:pPr>
            <w:r>
              <w:rPr>
                <w:rFonts w:ascii="宋体" w:hAnsi="宋体" w:eastAsia="宋体" w:cs="宋体"/>
                <w:spacing w:val="-3"/>
                <w:sz w:val="21"/>
                <w:szCs w:val="21"/>
              </w:rPr>
              <w:t>雨污分流制，初期雨水经雨水沟渠收集后排出场界，转猪区域初期雨水及污水经管道收</w:t>
            </w:r>
            <w:r>
              <w:rPr>
                <w:rFonts w:ascii="宋体" w:hAnsi="宋体" w:eastAsia="宋体" w:cs="宋体"/>
                <w:spacing w:val="-4"/>
                <w:sz w:val="21"/>
                <w:szCs w:val="21"/>
              </w:rPr>
              <w:t>集后进入污水处理站。</w:t>
            </w:r>
          </w:p>
        </w:tc>
        <w:tc>
          <w:tcPr>
            <w:tcW w:w="2365" w:type="dxa"/>
            <w:vAlign w:val="top"/>
          </w:tcPr>
          <w:p w14:paraId="60C6BD56">
            <w:pPr>
              <w:spacing w:line="292" w:lineRule="auto"/>
              <w:rPr>
                <w:rFonts w:ascii="Arial"/>
                <w:sz w:val="21"/>
              </w:rPr>
            </w:pPr>
          </w:p>
          <w:p w14:paraId="76FEC04B">
            <w:pPr>
              <w:spacing w:before="68" w:line="220" w:lineRule="auto"/>
              <w:ind w:left="34"/>
              <w:rPr>
                <w:rFonts w:ascii="宋体" w:hAnsi="宋体" w:eastAsia="宋体" w:cs="宋体"/>
                <w:sz w:val="21"/>
                <w:szCs w:val="21"/>
              </w:rPr>
            </w:pPr>
            <w:r>
              <w:rPr>
                <w:rFonts w:ascii="宋体" w:hAnsi="宋体" w:eastAsia="宋体" w:cs="宋体"/>
                <w:spacing w:val="-1"/>
                <w:sz w:val="21"/>
                <w:szCs w:val="21"/>
              </w:rPr>
              <w:t>污水不得与雨水混合排放</w:t>
            </w:r>
          </w:p>
        </w:tc>
      </w:tr>
    </w:tbl>
    <w:p w14:paraId="23A5D5B3">
      <w:pPr>
        <w:spacing w:before="233"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）地下水分区防渗措施</w:t>
      </w:r>
    </w:p>
    <w:p w14:paraId="4804F4CF">
      <w:pPr>
        <w:spacing w:before="182" w:line="361" w:lineRule="auto"/>
        <w:ind w:left="38" w:right="196" w:firstLine="480"/>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宋体" w:hAnsi="宋体" w:eastAsia="宋体" w:cs="宋体"/>
          <w:sz w:val="24"/>
          <w:szCs w:val="24"/>
        </w:rPr>
        <w:t>》（</w:t>
      </w:r>
      <w:r>
        <w:rPr>
          <w:rFonts w:ascii="Times New Roman" w:hAnsi="Times New Roman" w:eastAsia="Times New Roman" w:cs="Times New Roman"/>
          <w:sz w:val="24"/>
          <w:szCs w:val="24"/>
        </w:rPr>
        <w:t>HJ610-2016</w:t>
      </w:r>
      <w:r>
        <w:rPr>
          <w:rFonts w:ascii="宋体" w:hAnsi="宋体" w:eastAsia="宋体" w:cs="宋体"/>
          <w:sz w:val="24"/>
          <w:szCs w:val="24"/>
        </w:rPr>
        <w:t>）、《畜禽养殖</w:t>
      </w:r>
      <w:r>
        <w:rPr>
          <w:rFonts w:ascii="宋体" w:hAnsi="宋体" w:eastAsia="宋体" w:cs="宋体"/>
          <w:spacing w:val="1"/>
          <w:sz w:val="24"/>
          <w:szCs w:val="24"/>
        </w:rPr>
        <w:t>业污染防治技术规范》（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/T81-2001</w:t>
      </w:r>
      <w:r>
        <w:rPr>
          <w:rFonts w:ascii="宋体" w:hAnsi="宋体" w:eastAsia="宋体" w:cs="宋体"/>
          <w:spacing w:val="1"/>
          <w:sz w:val="24"/>
          <w:szCs w:val="24"/>
        </w:rPr>
        <w:t>）要求，结合本项目各生产环节及构筑物</w:t>
      </w:r>
      <w:r>
        <w:rPr>
          <w:rFonts w:ascii="宋体" w:hAnsi="宋体" w:eastAsia="宋体" w:cs="宋体"/>
          <w:spacing w:val="-2"/>
          <w:sz w:val="24"/>
          <w:szCs w:val="24"/>
        </w:rPr>
        <w:t>污染防控难易程度，评价要求本项目严格落实分区防渗措施。</w:t>
      </w:r>
    </w:p>
    <w:p w14:paraId="79DC5A3A">
      <w:pPr>
        <w:spacing w:before="10" w:line="221" w:lineRule="auto"/>
        <w:ind w:left="258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5"/>
          <w:sz w:val="21"/>
          <w:szCs w:val="21"/>
        </w:rPr>
        <w:t xml:space="preserve"> </w:t>
      </w:r>
      <w:r>
        <w:rPr>
          <w:rFonts w:ascii="Times New Roman" w:hAnsi="Times New Roman" w:eastAsia="Times New Roman" w:cs="Times New Roman"/>
          <w:spacing w:val="-1"/>
          <w:sz w:val="21"/>
          <w:szCs w:val="21"/>
        </w:rPr>
        <w:t xml:space="preserve">4.2-33  </w:t>
      </w:r>
      <w:r>
        <w:rPr>
          <w:rFonts w:ascii="黑体" w:hAnsi="黑体" w:eastAsia="黑体" w:cs="黑体"/>
          <w:spacing w:val="-1"/>
          <w:sz w:val="21"/>
          <w:szCs w:val="21"/>
        </w:rPr>
        <w:t>本项目地下水防渗分区表</w:t>
      </w:r>
    </w:p>
    <w:p w14:paraId="0A35D062">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2123"/>
        <w:gridCol w:w="1556"/>
        <w:gridCol w:w="3923"/>
      </w:tblGrid>
      <w:tr w14:paraId="74696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18" w:type="dxa"/>
            <w:vAlign w:val="top"/>
          </w:tcPr>
          <w:p w14:paraId="2E6AD1F7">
            <w:pPr>
              <w:spacing w:before="68" w:line="220" w:lineRule="auto"/>
              <w:ind w:left="154"/>
              <w:rPr>
                <w:rFonts w:ascii="宋体" w:hAnsi="宋体" w:eastAsia="宋体" w:cs="宋体"/>
                <w:sz w:val="21"/>
                <w:szCs w:val="21"/>
              </w:rPr>
            </w:pPr>
            <w:r>
              <w:rPr>
                <w:rFonts w:ascii="宋体" w:hAnsi="宋体" w:eastAsia="宋体" w:cs="宋体"/>
                <w:spacing w:val="-3"/>
                <w:sz w:val="21"/>
                <w:szCs w:val="21"/>
              </w:rPr>
              <w:t>类别</w:t>
            </w:r>
          </w:p>
        </w:tc>
        <w:tc>
          <w:tcPr>
            <w:tcW w:w="2123" w:type="dxa"/>
            <w:vAlign w:val="top"/>
          </w:tcPr>
          <w:p w14:paraId="4876582C">
            <w:pPr>
              <w:spacing w:before="68" w:line="219" w:lineRule="auto"/>
              <w:ind w:left="648"/>
              <w:rPr>
                <w:rFonts w:ascii="宋体" w:hAnsi="宋体" w:eastAsia="宋体" w:cs="宋体"/>
                <w:sz w:val="21"/>
                <w:szCs w:val="21"/>
              </w:rPr>
            </w:pPr>
            <w:r>
              <w:rPr>
                <w:rFonts w:ascii="宋体" w:hAnsi="宋体" w:eastAsia="宋体" w:cs="宋体"/>
                <w:spacing w:val="-3"/>
                <w:sz w:val="21"/>
                <w:szCs w:val="21"/>
              </w:rPr>
              <w:t>分区依据</w:t>
            </w:r>
          </w:p>
        </w:tc>
        <w:tc>
          <w:tcPr>
            <w:tcW w:w="1556" w:type="dxa"/>
            <w:vAlign w:val="top"/>
          </w:tcPr>
          <w:p w14:paraId="6C7A9564">
            <w:pPr>
              <w:spacing w:before="69" w:line="220" w:lineRule="auto"/>
              <w:ind w:left="379"/>
              <w:rPr>
                <w:rFonts w:ascii="宋体" w:hAnsi="宋体" w:eastAsia="宋体" w:cs="宋体"/>
                <w:sz w:val="21"/>
                <w:szCs w:val="21"/>
              </w:rPr>
            </w:pPr>
            <w:r>
              <w:rPr>
                <w:rFonts w:ascii="宋体" w:hAnsi="宋体" w:eastAsia="宋体" w:cs="宋体"/>
                <w:spacing w:val="-5"/>
                <w:sz w:val="21"/>
                <w:szCs w:val="21"/>
              </w:rPr>
              <w:t>区域名称</w:t>
            </w:r>
          </w:p>
        </w:tc>
        <w:tc>
          <w:tcPr>
            <w:tcW w:w="3923" w:type="dxa"/>
            <w:vAlign w:val="top"/>
          </w:tcPr>
          <w:p w14:paraId="544ED830">
            <w:pPr>
              <w:spacing w:before="68" w:line="220" w:lineRule="auto"/>
              <w:ind w:left="1230"/>
              <w:rPr>
                <w:rFonts w:ascii="宋体" w:hAnsi="宋体" w:eastAsia="宋体" w:cs="宋体"/>
                <w:sz w:val="21"/>
                <w:szCs w:val="21"/>
              </w:rPr>
            </w:pPr>
            <w:r>
              <w:rPr>
                <w:rFonts w:ascii="宋体" w:hAnsi="宋体" w:eastAsia="宋体" w:cs="宋体"/>
                <w:spacing w:val="-2"/>
                <w:sz w:val="21"/>
                <w:szCs w:val="21"/>
              </w:rPr>
              <w:t>地下水防护措施</w:t>
            </w:r>
          </w:p>
        </w:tc>
      </w:tr>
      <w:tr w14:paraId="0F436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18" w:type="dxa"/>
            <w:vMerge w:val="restart"/>
            <w:tcBorders>
              <w:bottom w:val="nil"/>
            </w:tcBorders>
            <w:vAlign w:val="top"/>
          </w:tcPr>
          <w:p w14:paraId="265A24C8">
            <w:pPr>
              <w:spacing w:line="245" w:lineRule="auto"/>
              <w:rPr>
                <w:rFonts w:ascii="Arial"/>
                <w:sz w:val="21"/>
              </w:rPr>
            </w:pPr>
          </w:p>
          <w:p w14:paraId="5285E77D">
            <w:pPr>
              <w:spacing w:line="245" w:lineRule="auto"/>
              <w:rPr>
                <w:rFonts w:ascii="Arial"/>
                <w:sz w:val="21"/>
              </w:rPr>
            </w:pPr>
          </w:p>
          <w:p w14:paraId="13C4847A">
            <w:pPr>
              <w:spacing w:line="245" w:lineRule="auto"/>
              <w:rPr>
                <w:rFonts w:ascii="Arial"/>
                <w:sz w:val="21"/>
              </w:rPr>
            </w:pPr>
          </w:p>
          <w:p w14:paraId="5441AA02">
            <w:pPr>
              <w:spacing w:line="245" w:lineRule="auto"/>
              <w:rPr>
                <w:rFonts w:ascii="Arial"/>
                <w:sz w:val="21"/>
              </w:rPr>
            </w:pPr>
          </w:p>
          <w:p w14:paraId="79325B96">
            <w:pPr>
              <w:spacing w:line="246" w:lineRule="auto"/>
              <w:rPr>
                <w:rFonts w:ascii="Arial"/>
                <w:sz w:val="21"/>
              </w:rPr>
            </w:pPr>
          </w:p>
          <w:p w14:paraId="5174E765">
            <w:pPr>
              <w:spacing w:before="68" w:line="277" w:lineRule="auto"/>
              <w:ind w:left="63" w:right="41" w:firstLine="92"/>
              <w:rPr>
                <w:rFonts w:ascii="宋体" w:hAnsi="宋体" w:eastAsia="宋体" w:cs="宋体"/>
                <w:sz w:val="21"/>
                <w:szCs w:val="21"/>
              </w:rPr>
            </w:pPr>
            <w:r>
              <w:rPr>
                <w:rFonts w:ascii="宋体" w:hAnsi="宋体" w:eastAsia="宋体" w:cs="宋体"/>
                <w:spacing w:val="-5"/>
                <w:sz w:val="21"/>
                <w:szCs w:val="21"/>
              </w:rPr>
              <w:t>重点</w:t>
            </w:r>
            <w:r>
              <w:rPr>
                <w:rFonts w:ascii="宋体" w:hAnsi="宋体" w:eastAsia="宋体" w:cs="宋体"/>
                <w:spacing w:val="-8"/>
                <w:sz w:val="21"/>
                <w:szCs w:val="21"/>
              </w:rPr>
              <w:t>防渗区</w:t>
            </w:r>
          </w:p>
        </w:tc>
        <w:tc>
          <w:tcPr>
            <w:tcW w:w="2123" w:type="dxa"/>
            <w:vMerge w:val="restart"/>
            <w:tcBorders>
              <w:bottom w:val="nil"/>
            </w:tcBorders>
            <w:vAlign w:val="top"/>
          </w:tcPr>
          <w:p w14:paraId="266BF996">
            <w:pPr>
              <w:spacing w:line="267" w:lineRule="auto"/>
              <w:rPr>
                <w:rFonts w:ascii="Arial"/>
                <w:sz w:val="21"/>
              </w:rPr>
            </w:pPr>
          </w:p>
          <w:p w14:paraId="4DD88540">
            <w:pPr>
              <w:spacing w:line="268" w:lineRule="auto"/>
              <w:rPr>
                <w:rFonts w:ascii="Arial"/>
                <w:sz w:val="21"/>
              </w:rPr>
            </w:pPr>
          </w:p>
          <w:p w14:paraId="71A1FFE7">
            <w:pPr>
              <w:spacing w:line="268" w:lineRule="auto"/>
              <w:rPr>
                <w:rFonts w:ascii="Arial"/>
                <w:sz w:val="21"/>
              </w:rPr>
            </w:pPr>
          </w:p>
          <w:p w14:paraId="51E51672">
            <w:pPr>
              <w:spacing w:line="268" w:lineRule="auto"/>
              <w:rPr>
                <w:rFonts w:ascii="Arial"/>
                <w:sz w:val="21"/>
              </w:rPr>
            </w:pPr>
          </w:p>
          <w:p w14:paraId="372F0CFB">
            <w:pPr>
              <w:spacing w:before="68" w:line="276" w:lineRule="auto"/>
              <w:ind w:left="7" w:right="5"/>
              <w:jc w:val="both"/>
              <w:rPr>
                <w:rFonts w:ascii="宋体" w:hAnsi="宋体" w:eastAsia="宋体" w:cs="宋体"/>
                <w:sz w:val="21"/>
                <w:szCs w:val="21"/>
              </w:rPr>
            </w:pPr>
            <w:r>
              <w:rPr>
                <w:rFonts w:ascii="宋体" w:hAnsi="宋体" w:eastAsia="宋体" w:cs="宋体"/>
                <w:sz w:val="21"/>
                <w:szCs w:val="21"/>
              </w:rPr>
              <w:t>对地下水环境有污染的</w:t>
            </w:r>
            <w:r>
              <w:rPr>
                <w:rFonts w:ascii="宋体" w:hAnsi="宋体" w:eastAsia="宋体" w:cs="宋体"/>
                <w:spacing w:val="-1"/>
                <w:sz w:val="21"/>
                <w:szCs w:val="21"/>
              </w:rPr>
              <w:t>物料或污染物泄漏后，不能及时发现和处理</w:t>
            </w:r>
          </w:p>
        </w:tc>
        <w:tc>
          <w:tcPr>
            <w:tcW w:w="1556" w:type="dxa"/>
            <w:vAlign w:val="top"/>
          </w:tcPr>
          <w:p w14:paraId="40DE71E8">
            <w:pPr>
              <w:spacing w:line="291" w:lineRule="auto"/>
              <w:rPr>
                <w:rFonts w:ascii="Arial"/>
                <w:sz w:val="21"/>
              </w:rPr>
            </w:pPr>
          </w:p>
          <w:p w14:paraId="44190D82">
            <w:pPr>
              <w:spacing w:before="68" w:line="276" w:lineRule="auto"/>
              <w:ind w:left="11" w:right="1"/>
              <w:jc w:val="both"/>
              <w:rPr>
                <w:rFonts w:ascii="宋体" w:hAnsi="宋体" w:eastAsia="宋体" w:cs="宋体"/>
                <w:sz w:val="21"/>
                <w:szCs w:val="21"/>
              </w:rPr>
            </w:pPr>
            <w:r>
              <w:rPr>
                <w:rFonts w:ascii="宋体" w:hAnsi="宋体" w:eastAsia="宋体" w:cs="宋体"/>
                <w:spacing w:val="8"/>
                <w:sz w:val="21"/>
                <w:szCs w:val="21"/>
              </w:rPr>
              <w:t>污水处理站、堆</w:t>
            </w:r>
            <w:r>
              <w:rPr>
                <w:rFonts w:ascii="宋体" w:hAnsi="宋体" w:eastAsia="宋体" w:cs="宋体"/>
                <w:spacing w:val="9"/>
                <w:sz w:val="21"/>
                <w:szCs w:val="21"/>
              </w:rPr>
              <w:t>粪棚、危废暂存</w:t>
            </w:r>
            <w:r>
              <w:rPr>
                <w:rFonts w:ascii="宋体" w:hAnsi="宋体" w:eastAsia="宋体" w:cs="宋体"/>
                <w:spacing w:val="-2"/>
                <w:sz w:val="21"/>
                <w:szCs w:val="21"/>
              </w:rPr>
              <w:t>间、储油间</w:t>
            </w:r>
          </w:p>
        </w:tc>
        <w:tc>
          <w:tcPr>
            <w:tcW w:w="3923" w:type="dxa"/>
            <w:vAlign w:val="top"/>
          </w:tcPr>
          <w:p w14:paraId="2FED1727">
            <w:pPr>
              <w:pStyle w:val="6"/>
              <w:spacing w:before="51" w:line="261" w:lineRule="auto"/>
              <w:ind w:left="6" w:right="2" w:firstLine="4"/>
              <w:jc w:val="both"/>
            </w:pPr>
            <w:r>
              <w:rPr>
                <w:rFonts w:ascii="宋体" w:hAnsi="宋体" w:eastAsia="宋体" w:cs="宋体"/>
              </w:rPr>
              <w:t>池体采取防渗混凝土</w:t>
            </w:r>
            <w:r>
              <w:t>+</w:t>
            </w:r>
            <w:r>
              <w:rPr>
                <w:rFonts w:ascii="宋体" w:hAnsi="宋体" w:eastAsia="宋体" w:cs="宋体"/>
              </w:rPr>
              <w:t>粘土防渗层，确保防</w:t>
            </w:r>
            <w:r>
              <w:rPr>
                <w:rFonts w:ascii="宋体" w:hAnsi="宋体" w:eastAsia="宋体" w:cs="宋体"/>
                <w:spacing w:val="-4"/>
              </w:rPr>
              <w:t>渗性能等效粘土防渗层</w:t>
            </w:r>
            <w:r>
              <w:rPr>
                <w:spacing w:val="-4"/>
              </w:rPr>
              <w:t>Mb≥6.0m</w:t>
            </w:r>
            <w:r>
              <w:rPr>
                <w:rFonts w:ascii="宋体" w:hAnsi="宋体" w:eastAsia="宋体" w:cs="宋体"/>
                <w:spacing w:val="-4"/>
              </w:rPr>
              <w:t>，其渗透系</w:t>
            </w:r>
            <w:r>
              <w:rPr>
                <w:rFonts w:ascii="宋体" w:hAnsi="宋体" w:eastAsia="宋体" w:cs="宋体"/>
              </w:rPr>
              <w:t>数</w:t>
            </w:r>
            <w:r>
              <w:t>K≤10</w:t>
            </w:r>
            <w:r>
              <w:rPr>
                <w:position w:val="9"/>
                <w:sz w:val="14"/>
                <w:szCs w:val="14"/>
              </w:rPr>
              <w:t>-7</w:t>
            </w:r>
            <w:r>
              <w:t>cm/s</w:t>
            </w:r>
            <w:r>
              <w:rPr>
                <w:rFonts w:ascii="宋体" w:hAnsi="宋体" w:eastAsia="宋体" w:cs="宋体"/>
              </w:rPr>
              <w:t>，或参照</w:t>
            </w:r>
            <w:r>
              <w:t>GB18598</w:t>
            </w:r>
            <w:r>
              <w:rPr>
                <w:rFonts w:ascii="宋体" w:hAnsi="宋体" w:eastAsia="宋体" w:cs="宋体"/>
              </w:rPr>
              <w:t>执行；</w:t>
            </w:r>
            <w:r>
              <w:rPr>
                <w:rFonts w:ascii="宋体" w:hAnsi="宋体" w:eastAsia="宋体" w:cs="宋体"/>
                <w:spacing w:val="-1"/>
              </w:rPr>
              <w:t>其中</w:t>
            </w:r>
            <w:r>
              <w:rPr>
                <w:rFonts w:ascii="宋体" w:hAnsi="宋体" w:eastAsia="宋体" w:cs="宋体"/>
                <w:spacing w:val="12"/>
              </w:rPr>
              <w:t>危废暂存间要求采用防渗混凝土</w:t>
            </w:r>
            <w:r>
              <w:rPr>
                <w:spacing w:val="12"/>
              </w:rPr>
              <w:t>+2</w:t>
            </w:r>
            <w:r>
              <w:t>mm</w:t>
            </w:r>
            <w:r>
              <w:rPr>
                <w:rFonts w:ascii="宋体" w:hAnsi="宋体" w:eastAsia="宋体" w:cs="宋体"/>
                <w:spacing w:val="12"/>
              </w:rPr>
              <w:t>厚</w:t>
            </w:r>
            <w:r>
              <w:rPr>
                <w:spacing w:val="-1"/>
              </w:rPr>
              <w:t>HDPE</w:t>
            </w:r>
            <w:r>
              <w:rPr>
                <w:rFonts w:ascii="宋体" w:hAnsi="宋体" w:eastAsia="宋体" w:cs="宋体"/>
                <w:spacing w:val="-1"/>
              </w:rPr>
              <w:t>防渗层，渗透系数</w:t>
            </w:r>
            <w:r>
              <w:rPr>
                <w:spacing w:val="-1"/>
              </w:rPr>
              <w:t>K≤10</w:t>
            </w:r>
            <w:r>
              <w:rPr>
                <w:spacing w:val="-1"/>
                <w:position w:val="9"/>
                <w:sz w:val="14"/>
                <w:szCs w:val="14"/>
              </w:rPr>
              <w:t>-10</w:t>
            </w:r>
            <w:r>
              <w:rPr>
                <w:spacing w:val="-1"/>
              </w:rPr>
              <w:t>cm/s</w:t>
            </w:r>
          </w:p>
        </w:tc>
      </w:tr>
      <w:tr w14:paraId="09D95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18" w:type="dxa"/>
            <w:vMerge w:val="continue"/>
            <w:tcBorders>
              <w:top w:val="nil"/>
            </w:tcBorders>
            <w:vAlign w:val="top"/>
          </w:tcPr>
          <w:p w14:paraId="4B78F6C0">
            <w:pPr>
              <w:rPr>
                <w:rFonts w:ascii="Arial"/>
                <w:sz w:val="21"/>
              </w:rPr>
            </w:pPr>
          </w:p>
        </w:tc>
        <w:tc>
          <w:tcPr>
            <w:tcW w:w="2123" w:type="dxa"/>
            <w:vMerge w:val="continue"/>
            <w:tcBorders>
              <w:top w:val="nil"/>
            </w:tcBorders>
            <w:vAlign w:val="top"/>
          </w:tcPr>
          <w:p w14:paraId="04DF2BA4">
            <w:pPr>
              <w:rPr>
                <w:rFonts w:ascii="Arial"/>
                <w:sz w:val="21"/>
              </w:rPr>
            </w:pPr>
          </w:p>
        </w:tc>
        <w:tc>
          <w:tcPr>
            <w:tcW w:w="1556" w:type="dxa"/>
            <w:vAlign w:val="top"/>
          </w:tcPr>
          <w:p w14:paraId="22CA2A11">
            <w:pPr>
              <w:spacing w:line="450" w:lineRule="auto"/>
              <w:rPr>
                <w:rFonts w:ascii="Arial"/>
                <w:sz w:val="21"/>
              </w:rPr>
            </w:pPr>
          </w:p>
          <w:p w14:paraId="7AFC1EF6">
            <w:pPr>
              <w:spacing w:before="68" w:line="276" w:lineRule="auto"/>
              <w:ind w:left="10" w:right="1"/>
              <w:rPr>
                <w:rFonts w:ascii="宋体" w:hAnsi="宋体" w:eastAsia="宋体" w:cs="宋体"/>
                <w:sz w:val="21"/>
                <w:szCs w:val="21"/>
              </w:rPr>
            </w:pPr>
            <w:r>
              <w:rPr>
                <w:rFonts w:ascii="宋体" w:hAnsi="宋体" w:eastAsia="宋体" w:cs="宋体"/>
                <w:spacing w:val="9"/>
                <w:sz w:val="21"/>
                <w:szCs w:val="21"/>
              </w:rPr>
              <w:t>污水管网（埋地</w:t>
            </w:r>
            <w:r>
              <w:rPr>
                <w:rFonts w:ascii="宋体" w:hAnsi="宋体" w:eastAsia="宋体" w:cs="宋体"/>
                <w:spacing w:val="-6"/>
                <w:sz w:val="21"/>
                <w:szCs w:val="21"/>
              </w:rPr>
              <w:t>敷设）</w:t>
            </w:r>
          </w:p>
        </w:tc>
        <w:tc>
          <w:tcPr>
            <w:tcW w:w="3923" w:type="dxa"/>
            <w:vAlign w:val="top"/>
          </w:tcPr>
          <w:p w14:paraId="7980BA53">
            <w:pPr>
              <w:spacing w:before="52" w:line="264" w:lineRule="auto"/>
              <w:ind w:left="10" w:right="4" w:firstLine="2"/>
              <w:jc w:val="both"/>
              <w:rPr>
                <w:rFonts w:ascii="宋体" w:hAnsi="宋体" w:eastAsia="宋体" w:cs="宋体"/>
                <w:sz w:val="21"/>
                <w:szCs w:val="21"/>
              </w:rPr>
            </w:pPr>
            <w:r>
              <w:rPr>
                <w:rFonts w:ascii="宋体" w:hAnsi="宋体" w:eastAsia="宋体" w:cs="宋体"/>
                <w:spacing w:val="-5"/>
                <w:sz w:val="21"/>
                <w:szCs w:val="21"/>
              </w:rPr>
              <w:t>污水输送全部采用管道输送，管道材料应视</w:t>
            </w:r>
            <w:r>
              <w:rPr>
                <w:rFonts w:ascii="宋体" w:hAnsi="宋体" w:eastAsia="宋体" w:cs="宋体"/>
                <w:spacing w:val="6"/>
                <w:sz w:val="21"/>
                <w:szCs w:val="21"/>
              </w:rPr>
              <w:t>输送介质的不同选择合适材质并做表面的</w:t>
            </w:r>
            <w:r>
              <w:rPr>
                <w:rFonts w:ascii="宋体" w:hAnsi="宋体" w:eastAsia="宋体" w:cs="宋体"/>
                <w:spacing w:val="-8"/>
                <w:sz w:val="21"/>
                <w:szCs w:val="21"/>
              </w:rPr>
              <w:t>防腐、防锈蚀处理，</w:t>
            </w:r>
            <w:r>
              <w:rPr>
                <w:rFonts w:ascii="宋体" w:hAnsi="宋体" w:eastAsia="宋体" w:cs="宋体"/>
                <w:spacing w:val="-41"/>
                <w:sz w:val="21"/>
                <w:szCs w:val="21"/>
              </w:rPr>
              <w:t xml:space="preserve"> </w:t>
            </w:r>
            <w:r>
              <w:rPr>
                <w:rFonts w:ascii="宋体" w:hAnsi="宋体" w:eastAsia="宋体" w:cs="宋体"/>
                <w:spacing w:val="-8"/>
                <w:sz w:val="21"/>
                <w:szCs w:val="21"/>
              </w:rPr>
              <w:t>减轻管道腐蚀造成的渗</w:t>
            </w:r>
            <w:r>
              <w:rPr>
                <w:rFonts w:ascii="宋体" w:hAnsi="宋体" w:eastAsia="宋体" w:cs="宋体"/>
                <w:spacing w:val="-5"/>
                <w:sz w:val="21"/>
                <w:szCs w:val="21"/>
              </w:rPr>
              <w:t>漏，并进行定期检查，防止跑冒滴漏的现象</w:t>
            </w:r>
            <w:r>
              <w:rPr>
                <w:rFonts w:ascii="宋体" w:hAnsi="宋体" w:eastAsia="宋体" w:cs="宋体"/>
                <w:spacing w:val="-9"/>
                <w:sz w:val="21"/>
                <w:szCs w:val="21"/>
              </w:rPr>
              <w:t>发生。</w:t>
            </w:r>
          </w:p>
        </w:tc>
      </w:tr>
      <w:tr w14:paraId="3E85B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18" w:type="dxa"/>
            <w:vAlign w:val="top"/>
          </w:tcPr>
          <w:p w14:paraId="7C956704">
            <w:pPr>
              <w:spacing w:before="208" w:line="277" w:lineRule="auto"/>
              <w:ind w:left="63" w:right="41" w:firstLine="94"/>
              <w:rPr>
                <w:rFonts w:ascii="宋体" w:hAnsi="宋体" w:eastAsia="宋体" w:cs="宋体"/>
                <w:sz w:val="21"/>
                <w:szCs w:val="21"/>
              </w:rPr>
            </w:pPr>
            <w:r>
              <w:rPr>
                <w:rFonts w:ascii="宋体" w:hAnsi="宋体" w:eastAsia="宋体" w:cs="宋体"/>
                <w:spacing w:val="-6"/>
                <w:sz w:val="21"/>
                <w:szCs w:val="21"/>
              </w:rPr>
              <w:t>一般</w:t>
            </w:r>
            <w:r>
              <w:rPr>
                <w:rFonts w:ascii="宋体" w:hAnsi="宋体" w:eastAsia="宋体" w:cs="宋体"/>
                <w:spacing w:val="-8"/>
                <w:sz w:val="21"/>
                <w:szCs w:val="21"/>
              </w:rPr>
              <w:t>防渗区</w:t>
            </w:r>
          </w:p>
        </w:tc>
        <w:tc>
          <w:tcPr>
            <w:tcW w:w="2123" w:type="dxa"/>
            <w:vAlign w:val="top"/>
          </w:tcPr>
          <w:p w14:paraId="11AA44E1">
            <w:pPr>
              <w:spacing w:before="51" w:line="257" w:lineRule="auto"/>
              <w:ind w:left="7" w:right="5"/>
              <w:jc w:val="both"/>
              <w:rPr>
                <w:rFonts w:ascii="宋体" w:hAnsi="宋体" w:eastAsia="宋体" w:cs="宋体"/>
                <w:sz w:val="21"/>
                <w:szCs w:val="21"/>
              </w:rPr>
            </w:pPr>
            <w:r>
              <w:rPr>
                <w:rFonts w:ascii="宋体" w:hAnsi="宋体" w:eastAsia="宋体" w:cs="宋体"/>
                <w:sz w:val="21"/>
                <w:szCs w:val="21"/>
              </w:rPr>
              <w:t>对地下水环境有污染的</w:t>
            </w:r>
            <w:r>
              <w:rPr>
                <w:rFonts w:ascii="宋体" w:hAnsi="宋体" w:eastAsia="宋体" w:cs="宋体"/>
                <w:spacing w:val="-1"/>
                <w:sz w:val="21"/>
                <w:szCs w:val="21"/>
              </w:rPr>
              <w:t>物料或污染物泄漏后，可及时发现和处理</w:t>
            </w:r>
          </w:p>
        </w:tc>
        <w:tc>
          <w:tcPr>
            <w:tcW w:w="1556" w:type="dxa"/>
            <w:vAlign w:val="top"/>
          </w:tcPr>
          <w:p w14:paraId="41D3C029">
            <w:pPr>
              <w:spacing w:before="51" w:line="257" w:lineRule="auto"/>
              <w:ind w:left="12" w:right="1" w:hanging="3"/>
              <w:rPr>
                <w:rFonts w:ascii="宋体" w:hAnsi="宋体" w:eastAsia="宋体" w:cs="宋体"/>
                <w:sz w:val="21"/>
                <w:szCs w:val="21"/>
              </w:rPr>
            </w:pPr>
            <w:r>
              <w:rPr>
                <w:rFonts w:ascii="宋体" w:hAnsi="宋体" w:eastAsia="宋体" w:cs="宋体"/>
                <w:spacing w:val="5"/>
                <w:sz w:val="21"/>
                <w:szCs w:val="21"/>
              </w:rPr>
              <w:t>猪舍、转猪舍、</w:t>
            </w:r>
            <w:r>
              <w:rPr>
                <w:rFonts w:ascii="宋体" w:hAnsi="宋体" w:eastAsia="宋体" w:cs="宋体"/>
                <w:spacing w:val="9"/>
                <w:sz w:val="21"/>
                <w:szCs w:val="21"/>
              </w:rPr>
              <w:t>发电机房、洗消</w:t>
            </w:r>
            <w:r>
              <w:rPr>
                <w:rFonts w:ascii="宋体" w:hAnsi="宋体" w:eastAsia="宋体" w:cs="宋体"/>
                <w:spacing w:val="-2"/>
                <w:sz w:val="21"/>
                <w:szCs w:val="21"/>
              </w:rPr>
              <w:t>区、田间暂存池</w:t>
            </w:r>
          </w:p>
        </w:tc>
        <w:tc>
          <w:tcPr>
            <w:tcW w:w="3923" w:type="dxa"/>
            <w:vAlign w:val="top"/>
          </w:tcPr>
          <w:p w14:paraId="4CDA97F3">
            <w:pPr>
              <w:pStyle w:val="6"/>
              <w:spacing w:before="53" w:line="254" w:lineRule="auto"/>
              <w:ind w:left="12" w:right="2"/>
              <w:jc w:val="both"/>
              <w:rPr>
                <w:rFonts w:ascii="宋体" w:hAnsi="宋体" w:eastAsia="宋体" w:cs="宋体"/>
              </w:rPr>
            </w:pPr>
            <w:r>
              <w:rPr>
                <w:rFonts w:ascii="宋体" w:hAnsi="宋体" w:eastAsia="宋体" w:cs="宋体"/>
              </w:rPr>
              <w:t>要求采取防渗混凝土</w:t>
            </w:r>
            <w:r>
              <w:t>+</w:t>
            </w:r>
            <w:r>
              <w:rPr>
                <w:rFonts w:ascii="宋体" w:hAnsi="宋体" w:eastAsia="宋体" w:cs="宋体"/>
              </w:rPr>
              <w:t>粘土防渗层，确保防</w:t>
            </w:r>
            <w:r>
              <w:rPr>
                <w:rFonts w:ascii="宋体" w:hAnsi="宋体" w:eastAsia="宋体" w:cs="宋体"/>
                <w:spacing w:val="-4"/>
              </w:rPr>
              <w:t>渗性能等效粘土防渗层</w:t>
            </w:r>
            <w:r>
              <w:rPr>
                <w:spacing w:val="-4"/>
              </w:rPr>
              <w:t>Mb≥1.5m</w:t>
            </w:r>
            <w:r>
              <w:rPr>
                <w:rFonts w:ascii="宋体" w:hAnsi="宋体" w:eastAsia="宋体" w:cs="宋体"/>
                <w:spacing w:val="-4"/>
              </w:rPr>
              <w:t>，其渗透系</w:t>
            </w:r>
            <w:r>
              <w:rPr>
                <w:rFonts w:ascii="宋体" w:hAnsi="宋体" w:eastAsia="宋体" w:cs="宋体"/>
                <w:spacing w:val="-1"/>
              </w:rPr>
              <w:t>数</w:t>
            </w:r>
            <w:r>
              <w:rPr>
                <w:spacing w:val="-1"/>
              </w:rPr>
              <w:t>K≤10</w:t>
            </w:r>
            <w:r>
              <w:rPr>
                <w:spacing w:val="-1"/>
                <w:position w:val="9"/>
                <w:sz w:val="14"/>
                <w:szCs w:val="14"/>
              </w:rPr>
              <w:t>-7</w:t>
            </w:r>
            <w:r>
              <w:rPr>
                <w:spacing w:val="-1"/>
              </w:rPr>
              <w:t>cm/s</w:t>
            </w:r>
            <w:r>
              <w:rPr>
                <w:rFonts w:ascii="宋体" w:hAnsi="宋体" w:eastAsia="宋体" w:cs="宋体"/>
                <w:spacing w:val="-1"/>
              </w:rPr>
              <w:t>；或参照</w:t>
            </w:r>
            <w:r>
              <w:rPr>
                <w:spacing w:val="-1"/>
              </w:rPr>
              <w:t>GB16889</w:t>
            </w:r>
            <w:r>
              <w:rPr>
                <w:rFonts w:ascii="宋体" w:hAnsi="宋体" w:eastAsia="宋体" w:cs="宋体"/>
                <w:spacing w:val="-1"/>
              </w:rPr>
              <w:t>执行</w:t>
            </w:r>
          </w:p>
        </w:tc>
      </w:tr>
      <w:tr w14:paraId="3864C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18" w:type="dxa"/>
            <w:vAlign w:val="top"/>
          </w:tcPr>
          <w:p w14:paraId="20822B5F">
            <w:pPr>
              <w:spacing w:before="55" w:line="250" w:lineRule="auto"/>
              <w:ind w:left="63" w:right="41" w:firstLine="95"/>
              <w:rPr>
                <w:rFonts w:ascii="宋体" w:hAnsi="宋体" w:eastAsia="宋体" w:cs="宋体"/>
                <w:sz w:val="21"/>
                <w:szCs w:val="21"/>
              </w:rPr>
            </w:pPr>
            <w:r>
              <w:rPr>
                <w:rFonts w:ascii="宋体" w:hAnsi="宋体" w:eastAsia="宋体" w:cs="宋体"/>
                <w:spacing w:val="-7"/>
                <w:sz w:val="21"/>
                <w:szCs w:val="21"/>
              </w:rPr>
              <w:t>简单</w:t>
            </w:r>
            <w:r>
              <w:rPr>
                <w:rFonts w:ascii="宋体" w:hAnsi="宋体" w:eastAsia="宋体" w:cs="宋体"/>
                <w:spacing w:val="-8"/>
                <w:sz w:val="21"/>
                <w:szCs w:val="21"/>
              </w:rPr>
              <w:t>防渗区</w:t>
            </w:r>
          </w:p>
        </w:tc>
        <w:tc>
          <w:tcPr>
            <w:tcW w:w="2123" w:type="dxa"/>
            <w:vAlign w:val="top"/>
          </w:tcPr>
          <w:p w14:paraId="619B1479">
            <w:pPr>
              <w:spacing w:before="55" w:line="250" w:lineRule="auto"/>
              <w:ind w:left="23" w:right="5" w:hanging="14"/>
              <w:rPr>
                <w:rFonts w:ascii="宋体" w:hAnsi="宋体" w:eastAsia="宋体" w:cs="宋体"/>
                <w:sz w:val="21"/>
                <w:szCs w:val="21"/>
              </w:rPr>
            </w:pPr>
            <w:r>
              <w:rPr>
                <w:rFonts w:ascii="宋体" w:hAnsi="宋体" w:eastAsia="宋体" w:cs="宋体"/>
                <w:sz w:val="21"/>
                <w:szCs w:val="21"/>
              </w:rPr>
              <w:t>重点防渗区和一般防渗</w:t>
            </w:r>
            <w:r>
              <w:rPr>
                <w:rFonts w:ascii="宋体" w:hAnsi="宋体" w:eastAsia="宋体" w:cs="宋体"/>
                <w:spacing w:val="-4"/>
                <w:sz w:val="21"/>
                <w:szCs w:val="21"/>
              </w:rPr>
              <w:t>区之外的区域</w:t>
            </w:r>
          </w:p>
        </w:tc>
        <w:tc>
          <w:tcPr>
            <w:tcW w:w="1556" w:type="dxa"/>
            <w:vAlign w:val="top"/>
          </w:tcPr>
          <w:p w14:paraId="0E91F01D">
            <w:pPr>
              <w:spacing w:before="55" w:line="250" w:lineRule="auto"/>
              <w:ind w:left="35" w:right="14" w:hanging="21"/>
              <w:rPr>
                <w:rFonts w:ascii="宋体" w:hAnsi="宋体" w:eastAsia="宋体" w:cs="宋体"/>
                <w:sz w:val="21"/>
                <w:szCs w:val="21"/>
              </w:rPr>
            </w:pPr>
            <w:r>
              <w:rPr>
                <w:rFonts w:ascii="宋体" w:hAnsi="宋体" w:eastAsia="宋体" w:cs="宋体"/>
                <w:spacing w:val="7"/>
                <w:sz w:val="21"/>
                <w:szCs w:val="21"/>
              </w:rPr>
              <w:t>办公生活区、场</w:t>
            </w:r>
            <w:r>
              <w:rPr>
                <w:rFonts w:ascii="宋体" w:hAnsi="宋体" w:eastAsia="宋体" w:cs="宋体"/>
                <w:spacing w:val="-8"/>
                <w:sz w:val="21"/>
                <w:szCs w:val="21"/>
              </w:rPr>
              <w:t>内道路</w:t>
            </w:r>
          </w:p>
        </w:tc>
        <w:tc>
          <w:tcPr>
            <w:tcW w:w="3923" w:type="dxa"/>
            <w:vAlign w:val="top"/>
          </w:tcPr>
          <w:p w14:paraId="6CBFE4FE">
            <w:pPr>
              <w:spacing w:before="210" w:line="219" w:lineRule="auto"/>
              <w:ind w:left="10"/>
              <w:rPr>
                <w:rFonts w:ascii="宋体" w:hAnsi="宋体" w:eastAsia="宋体" w:cs="宋体"/>
                <w:sz w:val="21"/>
                <w:szCs w:val="21"/>
              </w:rPr>
            </w:pPr>
            <w:r>
              <w:rPr>
                <w:rFonts w:ascii="宋体" w:hAnsi="宋体" w:eastAsia="宋体" w:cs="宋体"/>
                <w:spacing w:val="-1"/>
                <w:sz w:val="21"/>
                <w:szCs w:val="21"/>
              </w:rPr>
              <w:t>采取一般地面硬化</w:t>
            </w:r>
          </w:p>
        </w:tc>
      </w:tr>
    </w:tbl>
    <w:p w14:paraId="33FE7D47">
      <w:pPr>
        <w:spacing w:before="233" w:line="220" w:lineRule="auto"/>
        <w:ind w:left="528"/>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）预防地下水污染途径的环境管理建议</w:t>
      </w:r>
    </w:p>
    <w:p w14:paraId="75B50FF5">
      <w:pPr>
        <w:spacing w:before="183" w:line="360" w:lineRule="auto"/>
        <w:ind w:left="42" w:right="119" w:firstLine="476"/>
        <w:rPr>
          <w:rFonts w:ascii="宋体" w:hAnsi="宋体" w:eastAsia="宋体" w:cs="宋体"/>
          <w:sz w:val="24"/>
          <w:szCs w:val="24"/>
        </w:rPr>
      </w:pPr>
      <w:r>
        <w:rPr>
          <w:rFonts w:ascii="宋体" w:hAnsi="宋体" w:eastAsia="宋体" w:cs="宋体"/>
          <w:spacing w:val="1"/>
          <w:sz w:val="24"/>
          <w:szCs w:val="24"/>
        </w:rPr>
        <w:t>①《畜禽养殖业污染防治技术规范》（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/T81-2001</w:t>
      </w:r>
      <w:r>
        <w:rPr>
          <w:rFonts w:ascii="宋体" w:hAnsi="宋体" w:eastAsia="宋体" w:cs="宋体"/>
          <w:spacing w:val="1"/>
          <w:sz w:val="24"/>
          <w:szCs w:val="24"/>
        </w:rPr>
        <w:t>）规定，养殖场的排水</w:t>
      </w:r>
      <w:r>
        <w:rPr>
          <w:rFonts w:ascii="宋体" w:hAnsi="宋体" w:eastAsia="宋体" w:cs="宋体"/>
          <w:spacing w:val="-1"/>
          <w:sz w:val="24"/>
          <w:szCs w:val="24"/>
        </w:rPr>
        <w:t>系统应实施雨水和污水收集输送系统分离，在场区内设置的污水收集</w:t>
      </w:r>
      <w:r>
        <w:rPr>
          <w:rFonts w:ascii="宋体" w:hAnsi="宋体" w:eastAsia="宋体" w:cs="宋体"/>
          <w:spacing w:val="-2"/>
          <w:sz w:val="24"/>
          <w:szCs w:val="24"/>
        </w:rPr>
        <w:t>输送系统，</w:t>
      </w:r>
      <w:r>
        <w:rPr>
          <w:rFonts w:ascii="宋体" w:hAnsi="宋体" w:eastAsia="宋体" w:cs="宋体"/>
          <w:spacing w:val="-6"/>
          <w:sz w:val="24"/>
          <w:szCs w:val="24"/>
        </w:rPr>
        <w:t>不得采用明沟布设。排污管应采取管道形式，</w:t>
      </w:r>
      <w:r>
        <w:rPr>
          <w:rFonts w:ascii="宋体" w:hAnsi="宋体" w:eastAsia="宋体" w:cs="宋体"/>
          <w:spacing w:val="-17"/>
          <w:sz w:val="24"/>
          <w:szCs w:val="24"/>
        </w:rPr>
        <w:t xml:space="preserve"> </w:t>
      </w:r>
      <w:r>
        <w:rPr>
          <w:rFonts w:ascii="宋体" w:hAnsi="宋体" w:eastAsia="宋体" w:cs="宋体"/>
          <w:spacing w:val="-6"/>
          <w:sz w:val="24"/>
          <w:szCs w:val="24"/>
        </w:rPr>
        <w:t>同时应具备防止淤积以利于定期清</w:t>
      </w:r>
      <w:r>
        <w:rPr>
          <w:rFonts w:ascii="宋体" w:hAnsi="宋体" w:eastAsia="宋体" w:cs="宋体"/>
          <w:spacing w:val="-8"/>
          <w:sz w:val="24"/>
          <w:szCs w:val="24"/>
        </w:rPr>
        <w:t>理的条件。</w:t>
      </w:r>
    </w:p>
    <w:p w14:paraId="2FA430D3">
      <w:pPr>
        <w:spacing w:line="360" w:lineRule="auto"/>
        <w:ind w:left="39" w:right="186" w:firstLine="478"/>
        <w:rPr>
          <w:rFonts w:ascii="宋体" w:hAnsi="宋体" w:eastAsia="宋体" w:cs="宋体"/>
          <w:sz w:val="24"/>
          <w:szCs w:val="24"/>
        </w:rPr>
      </w:pPr>
      <w:r>
        <w:rPr>
          <w:rFonts w:ascii="宋体" w:hAnsi="宋体" w:eastAsia="宋体" w:cs="宋体"/>
          <w:spacing w:val="-6"/>
          <w:sz w:val="24"/>
          <w:szCs w:val="24"/>
        </w:rPr>
        <w:t>②污水处理站池体、污泥及猪粪贮存设施应采取有效地防渗处理工艺，</w:t>
      </w:r>
      <w:r>
        <w:rPr>
          <w:rFonts w:ascii="宋体" w:hAnsi="宋体" w:eastAsia="宋体" w:cs="宋体"/>
          <w:spacing w:val="-25"/>
          <w:sz w:val="24"/>
          <w:szCs w:val="24"/>
        </w:rPr>
        <w:t xml:space="preserve"> </w:t>
      </w:r>
      <w:r>
        <w:rPr>
          <w:rFonts w:ascii="宋体" w:hAnsi="宋体" w:eastAsia="宋体" w:cs="宋体"/>
          <w:spacing w:val="-6"/>
          <w:sz w:val="24"/>
          <w:szCs w:val="24"/>
        </w:rPr>
        <w:t>防止</w:t>
      </w:r>
      <w:r>
        <w:rPr>
          <w:rFonts w:ascii="宋体" w:hAnsi="宋体" w:eastAsia="宋体" w:cs="宋体"/>
          <w:spacing w:val="-3"/>
          <w:sz w:val="24"/>
          <w:szCs w:val="24"/>
        </w:rPr>
        <w:t>粪便滤液污染地下水，贮存设施应采取设置顶盖或围堰等防止降雨（水）进入的</w:t>
      </w:r>
      <w:r>
        <w:rPr>
          <w:rFonts w:ascii="宋体" w:hAnsi="宋体" w:eastAsia="宋体" w:cs="宋体"/>
          <w:spacing w:val="-10"/>
          <w:sz w:val="24"/>
          <w:szCs w:val="24"/>
        </w:rPr>
        <w:t>措施。</w:t>
      </w:r>
    </w:p>
    <w:p w14:paraId="0F887CD4">
      <w:pPr>
        <w:spacing w:line="362" w:lineRule="auto"/>
        <w:ind w:left="48" w:firstLine="468"/>
        <w:rPr>
          <w:rFonts w:ascii="宋体" w:hAnsi="宋体" w:eastAsia="宋体" w:cs="宋体"/>
          <w:sz w:val="24"/>
          <w:szCs w:val="24"/>
        </w:rPr>
      </w:pPr>
      <w:r>
        <w:rPr>
          <w:rFonts w:ascii="宋体" w:hAnsi="宋体" w:eastAsia="宋体" w:cs="宋体"/>
          <w:spacing w:val="-5"/>
          <w:sz w:val="24"/>
          <w:szCs w:val="24"/>
        </w:rPr>
        <w:t>③做好田间暂存池工程等的防渗工作，应充分考虑农间作期时间和雨季影响，</w:t>
      </w:r>
      <w:r>
        <w:rPr>
          <w:rFonts w:ascii="宋体" w:hAnsi="宋体" w:eastAsia="宋体" w:cs="宋体"/>
          <w:spacing w:val="-3"/>
          <w:sz w:val="24"/>
          <w:szCs w:val="24"/>
        </w:rPr>
        <w:t>能够保证有足够的容量以容纳养殖场产生的废水。养殖场废</w:t>
      </w:r>
      <w:r>
        <w:rPr>
          <w:rFonts w:ascii="宋体" w:hAnsi="宋体" w:eastAsia="宋体" w:cs="宋体"/>
          <w:spacing w:val="-4"/>
          <w:sz w:val="24"/>
          <w:szCs w:val="24"/>
        </w:rPr>
        <w:t>水处理工程应按期清</w:t>
      </w:r>
    </w:p>
    <w:p w14:paraId="7186FB33">
      <w:pPr>
        <w:spacing w:line="362" w:lineRule="auto"/>
        <w:rPr>
          <w:rFonts w:ascii="宋体" w:hAnsi="宋体" w:eastAsia="宋体" w:cs="宋体"/>
          <w:sz w:val="24"/>
          <w:szCs w:val="24"/>
        </w:rPr>
        <w:sectPr>
          <w:headerReference r:id="rId362" w:type="default"/>
          <w:footerReference r:id="rId363" w:type="default"/>
          <w:pgSz w:w="11905" w:h="16840"/>
          <w:pgMar w:top="1168" w:right="1611" w:bottom="1409" w:left="1770" w:header="828" w:footer="1244" w:gutter="0"/>
          <w:cols w:space="720" w:num="1"/>
        </w:sectPr>
      </w:pPr>
    </w:p>
    <w:p w14:paraId="55348BA7">
      <w:pPr>
        <w:pStyle w:val="2"/>
        <w:spacing w:line="306" w:lineRule="auto"/>
      </w:pPr>
    </w:p>
    <w:p w14:paraId="3ECC0228">
      <w:pPr>
        <w:spacing w:before="78" w:line="360" w:lineRule="auto"/>
        <w:ind w:left="40" w:right="241" w:hanging="1"/>
        <w:rPr>
          <w:rFonts w:ascii="宋体" w:hAnsi="宋体" w:eastAsia="宋体" w:cs="宋体"/>
          <w:sz w:val="24"/>
          <w:szCs w:val="24"/>
        </w:rPr>
      </w:pPr>
      <w:r>
        <w:rPr>
          <w:rFonts w:ascii="宋体" w:hAnsi="宋体" w:eastAsia="宋体" w:cs="宋体"/>
          <w:spacing w:val="1"/>
          <w:sz w:val="24"/>
          <w:szCs w:val="24"/>
        </w:rPr>
        <w:t>淤，地上各池体建设时应高出地面至少</w:t>
      </w:r>
      <w:r>
        <w:rPr>
          <w:rFonts w:ascii="Times New Roman" w:hAnsi="Times New Roman" w:eastAsia="Times New Roman" w:cs="Times New Roman"/>
          <w:spacing w:val="1"/>
          <w:sz w:val="24"/>
          <w:szCs w:val="24"/>
        </w:rPr>
        <w:t>20</w:t>
      </w:r>
      <w:r>
        <w:rPr>
          <w:rFonts w:ascii="Times New Roman" w:hAnsi="Times New Roman" w:eastAsia="Times New Roman" w:cs="Times New Roman"/>
          <w:sz w:val="24"/>
          <w:szCs w:val="24"/>
        </w:rPr>
        <w:t>cm</w:t>
      </w:r>
      <w:r>
        <w:rPr>
          <w:rFonts w:ascii="宋体" w:hAnsi="宋体" w:eastAsia="宋体" w:cs="宋体"/>
          <w:spacing w:val="1"/>
          <w:sz w:val="24"/>
          <w:szCs w:val="24"/>
        </w:rPr>
        <w:t>以上，以保证大雨时雨水不进入、</w:t>
      </w:r>
      <w:r>
        <w:rPr>
          <w:rFonts w:ascii="宋体" w:hAnsi="宋体" w:eastAsia="宋体" w:cs="宋体"/>
          <w:spacing w:val="-7"/>
          <w:sz w:val="24"/>
          <w:szCs w:val="24"/>
        </w:rPr>
        <w:t>污水不外溢。</w:t>
      </w:r>
    </w:p>
    <w:p w14:paraId="26CFABE6">
      <w:pPr>
        <w:spacing w:before="2" w:line="359" w:lineRule="auto"/>
        <w:ind w:left="38" w:right="205" w:firstLine="479"/>
        <w:rPr>
          <w:rFonts w:ascii="宋体" w:hAnsi="宋体" w:eastAsia="宋体" w:cs="宋体"/>
          <w:sz w:val="24"/>
          <w:szCs w:val="24"/>
        </w:rPr>
      </w:pPr>
      <w:r>
        <w:rPr>
          <w:rFonts w:ascii="宋体" w:hAnsi="宋体" w:eastAsia="宋体" w:cs="宋体"/>
          <w:spacing w:val="-3"/>
          <w:sz w:val="24"/>
          <w:szCs w:val="24"/>
        </w:rPr>
        <w:t>④充分做好排污管道的防渗处理，杜绝污水防漏，确保污水收集处</w:t>
      </w:r>
      <w:r>
        <w:rPr>
          <w:rFonts w:ascii="宋体" w:hAnsi="宋体" w:eastAsia="宋体" w:cs="宋体"/>
          <w:spacing w:val="-4"/>
          <w:sz w:val="24"/>
          <w:szCs w:val="24"/>
        </w:rPr>
        <w:t>理系统衔</w:t>
      </w:r>
      <w:r>
        <w:rPr>
          <w:rFonts w:ascii="宋体" w:hAnsi="宋体" w:eastAsia="宋体" w:cs="宋体"/>
          <w:spacing w:val="-2"/>
          <w:sz w:val="24"/>
          <w:szCs w:val="24"/>
        </w:rPr>
        <w:t>接良好，严格用水管理，防止污水“跑、冒、滴、漏”现象的发生。</w:t>
      </w:r>
    </w:p>
    <w:p w14:paraId="2456EDBB">
      <w:pPr>
        <w:spacing w:line="362" w:lineRule="auto"/>
        <w:ind w:left="38" w:right="206" w:firstLine="483"/>
        <w:rPr>
          <w:rFonts w:ascii="宋体" w:hAnsi="宋体" w:eastAsia="宋体" w:cs="宋体"/>
          <w:sz w:val="24"/>
          <w:szCs w:val="24"/>
        </w:rPr>
      </w:pPr>
      <w:r>
        <w:rPr>
          <w:rFonts w:ascii="宋体" w:hAnsi="宋体" w:eastAsia="宋体" w:cs="宋体"/>
          <w:spacing w:val="-7"/>
          <w:sz w:val="24"/>
          <w:szCs w:val="24"/>
        </w:rPr>
        <w:t>综上分析，在落实好防渗、防污措施后， 本项目污染物能得到有效处理，能</w:t>
      </w:r>
      <w:r>
        <w:rPr>
          <w:rFonts w:ascii="宋体" w:hAnsi="宋体" w:eastAsia="宋体" w:cs="宋体"/>
          <w:spacing w:val="-3"/>
          <w:sz w:val="24"/>
          <w:szCs w:val="24"/>
        </w:rPr>
        <w:t>够避免因下渗或泄漏对地下水造成影响。</w:t>
      </w:r>
    </w:p>
    <w:p w14:paraId="14D1CB26">
      <w:pPr>
        <w:spacing w:before="51"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4.2.3.5 </w:t>
      </w:r>
      <w:r>
        <w:rPr>
          <w:rFonts w:ascii="宋体" w:hAnsi="宋体" w:eastAsia="宋体" w:cs="宋体"/>
          <w:b/>
          <w:bCs/>
          <w:spacing w:val="5"/>
          <w:sz w:val="27"/>
          <w:szCs w:val="27"/>
        </w:rPr>
        <w:t>地下水环境影响预测评价</w:t>
      </w:r>
    </w:p>
    <w:p w14:paraId="5E728DA9">
      <w:pPr>
        <w:spacing w:before="238" w:line="360" w:lineRule="auto"/>
        <w:ind w:left="39" w:firstLine="480"/>
        <w:jc w:val="both"/>
        <w:rPr>
          <w:rFonts w:ascii="宋体" w:hAnsi="宋体" w:eastAsia="宋体" w:cs="宋体"/>
          <w:sz w:val="24"/>
          <w:szCs w:val="24"/>
        </w:rPr>
      </w:pPr>
      <w:r>
        <w:rPr>
          <w:rFonts w:ascii="宋体" w:hAnsi="宋体" w:eastAsia="宋体" w:cs="宋体"/>
          <w:spacing w:val="-4"/>
          <w:sz w:val="24"/>
          <w:szCs w:val="24"/>
        </w:rPr>
        <w:t>本项目所在区域无集中式地下水饮用水源地，项目生产及生活用水为</w:t>
      </w:r>
      <w:r>
        <w:rPr>
          <w:rFonts w:ascii="宋体" w:hAnsi="宋体" w:eastAsia="宋体" w:cs="宋体"/>
          <w:spacing w:val="-5"/>
          <w:sz w:val="24"/>
          <w:szCs w:val="24"/>
        </w:rPr>
        <w:t>地下水。</w:t>
      </w:r>
      <w:r>
        <w:rPr>
          <w:rFonts w:ascii="宋体" w:hAnsi="宋体" w:eastAsia="宋体" w:cs="宋体"/>
          <w:sz w:val="24"/>
          <w:szCs w:val="24"/>
        </w:rPr>
        <w:t>按照《环境影响评价技术导则 地下水环境》（</w:t>
      </w:r>
      <w:r>
        <w:rPr>
          <w:rFonts w:ascii="Times New Roman" w:hAnsi="Times New Roman" w:eastAsia="Times New Roman" w:cs="Times New Roman"/>
          <w:sz w:val="24"/>
          <w:szCs w:val="24"/>
        </w:rPr>
        <w:t>HJ610-2016</w:t>
      </w:r>
      <w:r>
        <w:rPr>
          <w:rFonts w:ascii="宋体" w:hAnsi="宋体" w:eastAsia="宋体" w:cs="宋体"/>
          <w:sz w:val="24"/>
          <w:szCs w:val="24"/>
        </w:rPr>
        <w:t>）要求，本项目地下</w:t>
      </w:r>
      <w:r>
        <w:rPr>
          <w:rFonts w:ascii="宋体" w:hAnsi="宋体" w:eastAsia="宋体" w:cs="宋体"/>
          <w:spacing w:val="-3"/>
          <w:sz w:val="24"/>
          <w:szCs w:val="24"/>
        </w:rPr>
        <w:t>水环境影响评价等级为三级。根据养殖项目自身性质及拟建项目场址附近有当地</w:t>
      </w:r>
      <w:r>
        <w:rPr>
          <w:rFonts w:ascii="宋体" w:hAnsi="宋体" w:eastAsia="宋体" w:cs="宋体"/>
          <w:spacing w:val="-1"/>
          <w:sz w:val="24"/>
          <w:szCs w:val="24"/>
        </w:rPr>
        <w:t>农户分散式饮用水井，为预测和评价项目运营后对地下水环境可能造成的影</w:t>
      </w:r>
      <w:r>
        <w:rPr>
          <w:rFonts w:ascii="宋体" w:hAnsi="宋体" w:eastAsia="宋体" w:cs="宋体"/>
          <w:spacing w:val="-2"/>
          <w:sz w:val="24"/>
          <w:szCs w:val="24"/>
        </w:rPr>
        <w:t>响，</w:t>
      </w:r>
      <w:r>
        <w:rPr>
          <w:rFonts w:ascii="宋体" w:hAnsi="宋体" w:eastAsia="宋体" w:cs="宋体"/>
          <w:spacing w:val="-3"/>
          <w:sz w:val="24"/>
          <w:szCs w:val="24"/>
        </w:rPr>
        <w:t>并针对这种影响提出防治对策，从而达到预防与控制环境恶化，保护地下水资源</w:t>
      </w:r>
      <w:r>
        <w:rPr>
          <w:rFonts w:ascii="宋体" w:hAnsi="宋体" w:eastAsia="宋体" w:cs="宋体"/>
          <w:spacing w:val="-2"/>
          <w:sz w:val="24"/>
          <w:szCs w:val="24"/>
        </w:rPr>
        <w:t>的目的，本次评价采用解析法进行地下水环境影响预测。</w:t>
      </w:r>
    </w:p>
    <w:p w14:paraId="2BB8DC62">
      <w:pPr>
        <w:spacing w:before="3" w:line="359" w:lineRule="auto"/>
        <w:ind w:left="38" w:right="205" w:firstLine="481"/>
        <w:jc w:val="both"/>
        <w:rPr>
          <w:rFonts w:ascii="宋体" w:hAnsi="宋体" w:eastAsia="宋体" w:cs="宋体"/>
          <w:sz w:val="24"/>
          <w:szCs w:val="24"/>
        </w:rPr>
      </w:pPr>
      <w:r>
        <w:rPr>
          <w:rFonts w:ascii="宋体" w:hAnsi="宋体" w:eastAsia="宋体" w:cs="宋体"/>
          <w:spacing w:val="-3"/>
          <w:sz w:val="24"/>
          <w:szCs w:val="24"/>
        </w:rPr>
        <w:t>本评价从正常情况、非正常情况对地下水环境影响进行分析。</w:t>
      </w:r>
      <w:r>
        <w:rPr>
          <w:rFonts w:ascii="宋体" w:hAnsi="宋体" w:eastAsia="宋体" w:cs="宋体"/>
          <w:spacing w:val="-4"/>
          <w:sz w:val="24"/>
          <w:szCs w:val="24"/>
        </w:rPr>
        <w:t>鉴于本项目所</w:t>
      </w:r>
      <w:r>
        <w:rPr>
          <w:rFonts w:ascii="宋体" w:hAnsi="宋体" w:eastAsia="宋体" w:cs="宋体"/>
          <w:spacing w:val="-6"/>
          <w:sz w:val="24"/>
          <w:szCs w:val="24"/>
        </w:rPr>
        <w:t>在地下水资源，以及地下水排泄补给、径流、排泄方式， 本</w:t>
      </w:r>
      <w:r>
        <w:rPr>
          <w:rFonts w:ascii="宋体" w:hAnsi="宋体" w:eastAsia="宋体" w:cs="宋体"/>
          <w:spacing w:val="-7"/>
          <w:sz w:val="24"/>
          <w:szCs w:val="24"/>
        </w:rPr>
        <w:t>次评价重点关注评价</w:t>
      </w:r>
      <w:r>
        <w:rPr>
          <w:rFonts w:ascii="宋体" w:hAnsi="宋体" w:eastAsia="宋体" w:cs="宋体"/>
          <w:spacing w:val="-3"/>
          <w:sz w:val="24"/>
          <w:szCs w:val="24"/>
        </w:rPr>
        <w:t>范围内下游分散式水井的地下水环境影响。</w:t>
      </w:r>
    </w:p>
    <w:p w14:paraId="2FE52F3C">
      <w:pPr>
        <w:spacing w:before="1" w:line="219"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）情景设定</w:t>
      </w:r>
    </w:p>
    <w:p w14:paraId="128FC968">
      <w:pPr>
        <w:spacing w:before="183" w:line="217" w:lineRule="auto"/>
        <w:ind w:left="520"/>
        <w:rPr>
          <w:rFonts w:ascii="宋体" w:hAnsi="宋体" w:eastAsia="宋体" w:cs="宋体"/>
          <w:sz w:val="24"/>
          <w:szCs w:val="24"/>
        </w:rPr>
      </w:pPr>
      <w:r>
        <w:rPr>
          <w:rFonts w:ascii="宋体" w:hAnsi="宋体" w:eastAsia="宋体" w:cs="宋体"/>
          <w:b/>
          <w:bCs/>
          <w:spacing w:val="-4"/>
          <w:sz w:val="24"/>
          <w:szCs w:val="24"/>
        </w:rPr>
        <w:t>①正常状况</w:t>
      </w:r>
    </w:p>
    <w:p w14:paraId="3319C569">
      <w:pPr>
        <w:spacing w:before="185" w:line="360" w:lineRule="auto"/>
        <w:ind w:left="34" w:right="205" w:firstLine="485"/>
        <w:jc w:val="both"/>
        <w:rPr>
          <w:rFonts w:ascii="宋体" w:hAnsi="宋体" w:eastAsia="宋体" w:cs="宋体"/>
          <w:sz w:val="24"/>
          <w:szCs w:val="24"/>
        </w:rPr>
      </w:pPr>
      <w:r>
        <w:rPr>
          <w:rFonts w:ascii="宋体" w:hAnsi="宋体" w:eastAsia="宋体" w:cs="宋体"/>
          <w:spacing w:val="20"/>
          <w:sz w:val="24"/>
          <w:szCs w:val="24"/>
        </w:rPr>
        <w:t>本项目按照分区防渗、分区防治的原则，微生物曝氧塘采用素土夯实</w:t>
      </w:r>
      <w:r>
        <w:rPr>
          <w:rFonts w:ascii="Times New Roman" w:hAnsi="Times New Roman" w:eastAsia="Times New Roman" w:cs="Times New Roman"/>
          <w:spacing w:val="-2"/>
          <w:sz w:val="24"/>
          <w:szCs w:val="24"/>
        </w:rPr>
        <w:t>+1.5mmHDPE</w:t>
      </w:r>
      <w:r>
        <w:rPr>
          <w:rFonts w:ascii="宋体" w:hAnsi="宋体" w:eastAsia="宋体" w:cs="宋体"/>
          <w:spacing w:val="-2"/>
          <w:sz w:val="24"/>
          <w:szCs w:val="24"/>
        </w:rPr>
        <w:t>膜，污水处理站各构筑物采</w:t>
      </w:r>
      <w:r>
        <w:rPr>
          <w:rFonts w:ascii="宋体" w:hAnsi="宋体" w:eastAsia="宋体" w:cs="宋体"/>
          <w:spacing w:val="-3"/>
          <w:sz w:val="24"/>
          <w:szCs w:val="24"/>
        </w:rPr>
        <w:t>用防渗水泥混凝土等进行防渗，污水全</w:t>
      </w:r>
      <w:r>
        <w:rPr>
          <w:rFonts w:ascii="宋体" w:hAnsi="宋体" w:eastAsia="宋体" w:cs="宋体"/>
          <w:spacing w:val="3"/>
          <w:sz w:val="24"/>
          <w:szCs w:val="24"/>
        </w:rPr>
        <w:t>部采用</w:t>
      </w:r>
      <w:r>
        <w:rPr>
          <w:rFonts w:ascii="Times New Roman" w:hAnsi="Times New Roman" w:eastAsia="Times New Roman" w:cs="Times New Roman"/>
          <w:sz w:val="24"/>
          <w:szCs w:val="24"/>
        </w:rPr>
        <w:t>PE</w:t>
      </w:r>
      <w:r>
        <w:rPr>
          <w:rFonts w:ascii="宋体" w:hAnsi="宋体" w:eastAsia="宋体" w:cs="宋体"/>
          <w:spacing w:val="3"/>
          <w:sz w:val="24"/>
          <w:szCs w:val="24"/>
        </w:rPr>
        <w:t>管网埋地敷设，正常状况下污水处理站及污水管网不会对地下水产生</w:t>
      </w:r>
      <w:r>
        <w:rPr>
          <w:rFonts w:ascii="宋体" w:hAnsi="宋体" w:eastAsia="宋体" w:cs="宋体"/>
          <w:spacing w:val="-3"/>
          <w:sz w:val="24"/>
          <w:szCs w:val="24"/>
        </w:rPr>
        <w:t>影响，可不进行正常状况下的情景预测。</w:t>
      </w:r>
    </w:p>
    <w:p w14:paraId="7E66E575">
      <w:pPr>
        <w:spacing w:before="1" w:line="217" w:lineRule="auto"/>
        <w:ind w:left="519"/>
        <w:rPr>
          <w:rFonts w:ascii="宋体" w:hAnsi="宋体" w:eastAsia="宋体" w:cs="宋体"/>
          <w:sz w:val="24"/>
          <w:szCs w:val="24"/>
        </w:rPr>
      </w:pPr>
      <w:r>
        <w:rPr>
          <w:rFonts w:ascii="宋体" w:hAnsi="宋体" w:eastAsia="宋体" w:cs="宋体"/>
          <w:b/>
          <w:bCs/>
          <w:spacing w:val="-3"/>
          <w:sz w:val="24"/>
          <w:szCs w:val="24"/>
        </w:rPr>
        <w:t>②非正常状况</w:t>
      </w:r>
    </w:p>
    <w:p w14:paraId="22375917">
      <w:pPr>
        <w:spacing w:before="185" w:line="360" w:lineRule="auto"/>
        <w:ind w:left="38" w:right="205" w:firstLine="481"/>
        <w:jc w:val="both"/>
        <w:rPr>
          <w:rFonts w:ascii="宋体" w:hAnsi="宋体" w:eastAsia="宋体" w:cs="宋体"/>
          <w:sz w:val="24"/>
          <w:szCs w:val="24"/>
        </w:rPr>
      </w:pPr>
      <w:r>
        <w:rPr>
          <w:rFonts w:ascii="宋体" w:hAnsi="宋体" w:eastAsia="宋体" w:cs="宋体"/>
          <w:spacing w:val="-3"/>
          <w:sz w:val="24"/>
          <w:szCs w:val="24"/>
        </w:rPr>
        <w:t>本项目非正常状况主要考虑以下情景：污水处理站的粪污收集</w:t>
      </w:r>
      <w:r>
        <w:rPr>
          <w:rFonts w:ascii="宋体" w:hAnsi="宋体" w:eastAsia="宋体" w:cs="宋体"/>
          <w:spacing w:val="-4"/>
          <w:sz w:val="24"/>
          <w:szCs w:val="24"/>
        </w:rPr>
        <w:t>池、微生物曝</w:t>
      </w:r>
      <w:r>
        <w:rPr>
          <w:rFonts w:ascii="宋体" w:hAnsi="宋体" w:eastAsia="宋体" w:cs="宋体"/>
          <w:spacing w:val="-5"/>
          <w:sz w:val="24"/>
          <w:szCs w:val="24"/>
        </w:rPr>
        <w:t>氧塘等池体防渗层由于老化、腐蚀等原因或者受外力作用后出现破裂，</w:t>
      </w:r>
      <w:r>
        <w:rPr>
          <w:rFonts w:ascii="宋体" w:hAnsi="宋体" w:eastAsia="宋体" w:cs="宋体"/>
          <w:spacing w:val="-49"/>
          <w:sz w:val="24"/>
          <w:szCs w:val="24"/>
        </w:rPr>
        <w:t xml:space="preserve"> </w:t>
      </w:r>
      <w:r>
        <w:rPr>
          <w:rFonts w:ascii="宋体" w:hAnsi="宋体" w:eastAsia="宋体" w:cs="宋体"/>
          <w:spacing w:val="-5"/>
          <w:sz w:val="24"/>
          <w:szCs w:val="24"/>
        </w:rPr>
        <w:t>存在潜在</w:t>
      </w:r>
      <w:r>
        <w:rPr>
          <w:rFonts w:ascii="宋体" w:hAnsi="宋体" w:eastAsia="宋体" w:cs="宋体"/>
          <w:spacing w:val="-6"/>
          <w:sz w:val="24"/>
          <w:szCs w:val="24"/>
        </w:rPr>
        <w:t>泄露的风险，污水有可能通过破裂处渗漏。如果不能及时发现和</w:t>
      </w:r>
      <w:r>
        <w:rPr>
          <w:rFonts w:ascii="宋体" w:hAnsi="宋体" w:eastAsia="宋体" w:cs="宋体"/>
          <w:spacing w:val="-7"/>
          <w:sz w:val="24"/>
          <w:szCs w:val="24"/>
        </w:rPr>
        <w:t>处理， 将会导致</w:t>
      </w:r>
      <w:r>
        <w:rPr>
          <w:rFonts w:ascii="宋体" w:hAnsi="宋体" w:eastAsia="宋体" w:cs="宋体"/>
          <w:spacing w:val="-10"/>
          <w:sz w:val="24"/>
          <w:szCs w:val="24"/>
        </w:rPr>
        <w:t>废水持续泄漏，可能进入地下水系统中，并且下渗</w:t>
      </w:r>
      <w:r>
        <w:rPr>
          <w:rFonts w:ascii="宋体" w:hAnsi="宋体" w:eastAsia="宋体" w:cs="宋体"/>
          <w:spacing w:val="-11"/>
          <w:sz w:val="24"/>
          <w:szCs w:val="24"/>
        </w:rPr>
        <w:t>进入含水层，造成地下水污染。</w:t>
      </w:r>
    </w:p>
    <w:p w14:paraId="741ACFD4">
      <w:pPr>
        <w:spacing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）预测时段、预测因子及源强</w:t>
      </w:r>
    </w:p>
    <w:p w14:paraId="1C8FA3F7">
      <w:pPr>
        <w:spacing w:before="183" w:line="217" w:lineRule="auto"/>
        <w:ind w:left="520"/>
        <w:rPr>
          <w:rFonts w:ascii="宋体" w:hAnsi="宋体" w:eastAsia="宋体" w:cs="宋体"/>
          <w:sz w:val="24"/>
          <w:szCs w:val="24"/>
        </w:rPr>
      </w:pPr>
      <w:r>
        <w:rPr>
          <w:rFonts w:ascii="宋体" w:hAnsi="宋体" w:eastAsia="宋体" w:cs="宋体"/>
          <w:b/>
          <w:bCs/>
          <w:spacing w:val="-4"/>
          <w:sz w:val="24"/>
          <w:szCs w:val="24"/>
        </w:rPr>
        <w:t>①预测时段</w:t>
      </w:r>
    </w:p>
    <w:p w14:paraId="2C5B802C">
      <w:pPr>
        <w:spacing w:line="217" w:lineRule="auto"/>
        <w:rPr>
          <w:rFonts w:ascii="宋体" w:hAnsi="宋体" w:eastAsia="宋体" w:cs="宋体"/>
          <w:sz w:val="24"/>
          <w:szCs w:val="24"/>
        </w:rPr>
        <w:sectPr>
          <w:headerReference r:id="rId364" w:type="default"/>
          <w:footerReference r:id="rId365" w:type="default"/>
          <w:pgSz w:w="11905" w:h="16840"/>
          <w:pgMar w:top="1168" w:right="1592" w:bottom="1409" w:left="1770" w:header="828" w:footer="1244" w:gutter="0"/>
          <w:cols w:space="720" w:num="1"/>
        </w:sectPr>
      </w:pPr>
    </w:p>
    <w:p w14:paraId="6D389A89">
      <w:pPr>
        <w:pStyle w:val="2"/>
        <w:spacing w:line="306" w:lineRule="auto"/>
      </w:pPr>
    </w:p>
    <w:p w14:paraId="463C8513">
      <w:pPr>
        <w:spacing w:before="78" w:line="360" w:lineRule="auto"/>
        <w:ind w:left="51" w:right="196" w:firstLine="467"/>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宋体" w:hAnsi="宋体" w:eastAsia="宋体" w:cs="宋体"/>
          <w:sz w:val="24"/>
          <w:szCs w:val="24"/>
        </w:rPr>
        <w:t>（</w:t>
      </w:r>
      <w:r>
        <w:rPr>
          <w:rFonts w:ascii="Times New Roman" w:hAnsi="Times New Roman" w:eastAsia="Times New Roman" w:cs="Times New Roman"/>
          <w:sz w:val="24"/>
          <w:szCs w:val="24"/>
        </w:rPr>
        <w:t>HJ610-2016</w:t>
      </w:r>
      <w:r>
        <w:rPr>
          <w:rFonts w:ascii="宋体" w:hAnsi="宋体" w:eastAsia="宋体" w:cs="宋体"/>
          <w:sz w:val="24"/>
          <w:szCs w:val="24"/>
        </w:rPr>
        <w:t>），结合项目特</w:t>
      </w:r>
      <w:r>
        <w:rPr>
          <w:rFonts w:ascii="宋体" w:hAnsi="宋体" w:eastAsia="宋体" w:cs="宋体"/>
          <w:spacing w:val="-12"/>
          <w:sz w:val="24"/>
          <w:szCs w:val="24"/>
        </w:rPr>
        <w:t>点，将运营期的地下水环境影响预测时段限定为</w:t>
      </w:r>
      <w:r>
        <w:rPr>
          <w:rFonts w:ascii="Times New Roman" w:hAnsi="Times New Roman" w:eastAsia="Times New Roman" w:cs="Times New Roman"/>
          <w:spacing w:val="-12"/>
          <w:sz w:val="24"/>
          <w:szCs w:val="24"/>
        </w:rPr>
        <w:t>100</w:t>
      </w:r>
      <w:r>
        <w:rPr>
          <w:rFonts w:ascii="宋体" w:hAnsi="宋体" w:eastAsia="宋体" w:cs="宋体"/>
          <w:spacing w:val="-12"/>
          <w:sz w:val="24"/>
          <w:szCs w:val="24"/>
        </w:rPr>
        <w:t>天、</w:t>
      </w:r>
      <w:r>
        <w:rPr>
          <w:rFonts w:ascii="Times New Roman" w:hAnsi="Times New Roman" w:eastAsia="Times New Roman" w:cs="Times New Roman"/>
          <w:spacing w:val="-12"/>
          <w:sz w:val="24"/>
          <w:szCs w:val="24"/>
        </w:rPr>
        <w:t>1000</w:t>
      </w:r>
      <w:r>
        <w:rPr>
          <w:rFonts w:ascii="宋体" w:hAnsi="宋体" w:eastAsia="宋体" w:cs="宋体"/>
          <w:spacing w:val="-12"/>
          <w:sz w:val="24"/>
          <w:szCs w:val="24"/>
        </w:rPr>
        <w:t>天、</w:t>
      </w:r>
      <w:r>
        <w:rPr>
          <w:rFonts w:ascii="Times New Roman" w:hAnsi="Times New Roman" w:eastAsia="Times New Roman" w:cs="Times New Roman"/>
          <w:spacing w:val="-12"/>
          <w:sz w:val="24"/>
          <w:szCs w:val="24"/>
        </w:rPr>
        <w:t>3650</w:t>
      </w:r>
      <w:r>
        <w:rPr>
          <w:rFonts w:ascii="宋体" w:hAnsi="宋体" w:eastAsia="宋体" w:cs="宋体"/>
          <w:spacing w:val="-12"/>
          <w:sz w:val="24"/>
          <w:szCs w:val="24"/>
        </w:rPr>
        <w:t>天（</w:t>
      </w:r>
      <w:r>
        <w:rPr>
          <w:rFonts w:ascii="Times New Roman" w:hAnsi="Times New Roman" w:eastAsia="Times New Roman" w:cs="Times New Roman"/>
          <w:spacing w:val="-12"/>
          <w:sz w:val="24"/>
          <w:szCs w:val="24"/>
        </w:rPr>
        <w:t>10</w:t>
      </w:r>
      <w:r>
        <w:rPr>
          <w:rFonts w:ascii="宋体" w:hAnsi="宋体" w:eastAsia="宋体" w:cs="宋体"/>
          <w:spacing w:val="-12"/>
          <w:sz w:val="24"/>
          <w:szCs w:val="24"/>
        </w:rPr>
        <w:t>年）。</w:t>
      </w:r>
    </w:p>
    <w:p w14:paraId="12F3EAB7">
      <w:pPr>
        <w:spacing w:line="217" w:lineRule="auto"/>
        <w:ind w:left="519"/>
        <w:rPr>
          <w:rFonts w:ascii="宋体" w:hAnsi="宋体" w:eastAsia="宋体" w:cs="宋体"/>
          <w:sz w:val="24"/>
          <w:szCs w:val="24"/>
        </w:rPr>
      </w:pPr>
      <w:r>
        <w:rPr>
          <w:rFonts w:ascii="宋体" w:hAnsi="宋体" w:eastAsia="宋体" w:cs="宋体"/>
          <w:b/>
          <w:bCs/>
          <w:spacing w:val="-3"/>
          <w:sz w:val="24"/>
          <w:szCs w:val="24"/>
        </w:rPr>
        <w:t>②预测范围</w:t>
      </w:r>
    </w:p>
    <w:p w14:paraId="275EA8CA">
      <w:pPr>
        <w:spacing w:before="185" w:line="360" w:lineRule="auto"/>
        <w:ind w:left="38" w:right="187" w:firstLine="481"/>
        <w:jc w:val="both"/>
        <w:rPr>
          <w:rFonts w:ascii="宋体" w:hAnsi="宋体" w:eastAsia="宋体" w:cs="宋体"/>
          <w:sz w:val="24"/>
          <w:szCs w:val="24"/>
        </w:rPr>
      </w:pPr>
      <w:r>
        <w:rPr>
          <w:rFonts w:ascii="宋体" w:hAnsi="宋体" w:eastAsia="宋体" w:cs="宋体"/>
          <w:spacing w:val="-3"/>
          <w:sz w:val="24"/>
          <w:szCs w:val="24"/>
        </w:rPr>
        <w:t>本次地下水预测范围主要考虑污水浓度最高、储存量大的粪污</w:t>
      </w:r>
      <w:r>
        <w:rPr>
          <w:rFonts w:ascii="宋体" w:hAnsi="宋体" w:eastAsia="宋体" w:cs="宋体"/>
          <w:spacing w:val="-4"/>
          <w:sz w:val="24"/>
          <w:szCs w:val="24"/>
        </w:rPr>
        <w:t>收集池防渗层</w:t>
      </w:r>
      <w:r>
        <w:rPr>
          <w:rFonts w:ascii="宋体" w:hAnsi="宋体" w:eastAsia="宋体" w:cs="宋体"/>
          <w:spacing w:val="-3"/>
          <w:sz w:val="24"/>
          <w:szCs w:val="24"/>
        </w:rPr>
        <w:t>出现破裂，从而导致废水持续泄漏进入地下水，并且下渗进入含水层，对地下水</w:t>
      </w:r>
      <w:r>
        <w:rPr>
          <w:rFonts w:ascii="宋体" w:hAnsi="宋体" w:eastAsia="宋体" w:cs="宋体"/>
          <w:spacing w:val="-2"/>
          <w:sz w:val="24"/>
          <w:szCs w:val="24"/>
        </w:rPr>
        <w:t>造成污染，重点预测池体破裂对下游地下水的影响。</w:t>
      </w:r>
    </w:p>
    <w:p w14:paraId="650981F6">
      <w:pPr>
        <w:spacing w:line="217" w:lineRule="auto"/>
        <w:ind w:left="519"/>
        <w:rPr>
          <w:rFonts w:ascii="宋体" w:hAnsi="宋体" w:eastAsia="宋体" w:cs="宋体"/>
          <w:sz w:val="24"/>
          <w:szCs w:val="24"/>
        </w:rPr>
      </w:pPr>
      <w:r>
        <w:rPr>
          <w:rFonts w:ascii="宋体" w:hAnsi="宋体" w:eastAsia="宋体" w:cs="宋体"/>
          <w:b/>
          <w:bCs/>
          <w:spacing w:val="-3"/>
          <w:sz w:val="24"/>
          <w:szCs w:val="24"/>
        </w:rPr>
        <w:t>③预测因子及源强</w:t>
      </w:r>
    </w:p>
    <w:p w14:paraId="3D7886BD">
      <w:pPr>
        <w:spacing w:before="185" w:line="360" w:lineRule="auto"/>
        <w:ind w:left="39" w:right="187" w:firstLine="480"/>
        <w:jc w:val="both"/>
        <w:rPr>
          <w:rFonts w:ascii="宋体" w:hAnsi="宋体" w:eastAsia="宋体" w:cs="宋体"/>
          <w:sz w:val="24"/>
          <w:szCs w:val="24"/>
        </w:rPr>
      </w:pPr>
      <w:r>
        <w:rPr>
          <w:rFonts w:ascii="宋体" w:hAnsi="宋体" w:eastAsia="宋体" w:cs="宋体"/>
          <w:spacing w:val="-2"/>
          <w:sz w:val="24"/>
          <w:szCs w:val="24"/>
        </w:rPr>
        <w:t>根据工程分析可知，本项目进水中主要污染物为</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2"/>
          <w:sz w:val="15"/>
          <w:szCs w:val="15"/>
        </w:rPr>
        <w:t>5</w:t>
      </w:r>
      <w:r>
        <w:rPr>
          <w:rFonts w:ascii="Times New Roman" w:hAnsi="Times New Roman" w:eastAsia="Times New Roman" w:cs="Times New Roman"/>
          <w:spacing w:val="-11"/>
          <w:position w:val="-2"/>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TP</w:t>
      </w:r>
      <w:r>
        <w:rPr>
          <w:rFonts w:ascii="宋体" w:hAnsi="宋体" w:eastAsia="宋体" w:cs="宋体"/>
          <w:spacing w:val="-6"/>
          <w:sz w:val="24"/>
          <w:szCs w:val="24"/>
        </w:rPr>
        <w:t>等。根据建设项目污染物的实际情况和预测的可行性，</w:t>
      </w:r>
      <w:r>
        <w:rPr>
          <w:rFonts w:ascii="宋体" w:hAnsi="宋体" w:eastAsia="宋体" w:cs="宋体"/>
          <w:spacing w:val="-14"/>
          <w:sz w:val="24"/>
          <w:szCs w:val="24"/>
        </w:rPr>
        <w:t xml:space="preserve"> </w:t>
      </w:r>
      <w:r>
        <w:rPr>
          <w:rFonts w:ascii="宋体" w:hAnsi="宋体" w:eastAsia="宋体" w:cs="宋体"/>
          <w:spacing w:val="-6"/>
          <w:sz w:val="24"/>
          <w:szCs w:val="24"/>
        </w:rPr>
        <w:t>同时考虑预测因子的代表</w:t>
      </w:r>
      <w:r>
        <w:rPr>
          <w:rFonts w:ascii="宋体" w:hAnsi="宋体" w:eastAsia="宋体" w:cs="宋体"/>
          <w:spacing w:val="-1"/>
          <w:sz w:val="24"/>
          <w:szCs w:val="24"/>
        </w:rPr>
        <w:t>性，本次评价选取</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2"/>
          <w:sz w:val="15"/>
          <w:szCs w:val="15"/>
        </w:rPr>
        <w:t>Mn</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1"/>
          <w:sz w:val="24"/>
          <w:szCs w:val="24"/>
        </w:rPr>
        <w:t>-N</w:t>
      </w:r>
      <w:r>
        <w:rPr>
          <w:rFonts w:ascii="宋体" w:hAnsi="宋体" w:eastAsia="宋体" w:cs="宋体"/>
          <w:spacing w:val="-1"/>
          <w:sz w:val="24"/>
          <w:szCs w:val="24"/>
        </w:rPr>
        <w:t>为预测</w:t>
      </w:r>
      <w:r>
        <w:rPr>
          <w:rFonts w:ascii="宋体" w:hAnsi="宋体" w:eastAsia="宋体" w:cs="宋体"/>
          <w:spacing w:val="-2"/>
          <w:sz w:val="24"/>
          <w:szCs w:val="24"/>
        </w:rPr>
        <w:t>因子，以各污染源的污染物最高浓度为</w:t>
      </w:r>
      <w:r>
        <w:rPr>
          <w:rFonts w:ascii="宋体" w:hAnsi="宋体" w:eastAsia="宋体" w:cs="宋体"/>
          <w:spacing w:val="-5"/>
          <w:sz w:val="24"/>
          <w:szCs w:val="24"/>
        </w:rPr>
        <w:t>地下水预测源强。</w:t>
      </w:r>
    </w:p>
    <w:p w14:paraId="44AA5C59">
      <w:pPr>
        <w:spacing w:line="360" w:lineRule="auto"/>
        <w:ind w:left="39" w:right="187" w:firstLine="481"/>
        <w:jc w:val="both"/>
        <w:rPr>
          <w:rFonts w:ascii="宋体" w:hAnsi="宋体" w:eastAsia="宋体" w:cs="宋体"/>
          <w:sz w:val="24"/>
          <w:szCs w:val="24"/>
        </w:rPr>
      </w:pPr>
      <w:r>
        <w:rPr>
          <w:rFonts w:ascii="宋体" w:hAnsi="宋体" w:eastAsia="宋体" w:cs="宋体"/>
          <w:spacing w:val="-3"/>
          <w:sz w:val="24"/>
          <w:szCs w:val="24"/>
        </w:rPr>
        <w:t>预测污水处理站的粪污收集池和水解酸化池，发生泄漏后在</w:t>
      </w:r>
      <w:r>
        <w:rPr>
          <w:rFonts w:ascii="宋体" w:hAnsi="宋体" w:eastAsia="宋体" w:cs="宋体"/>
          <w:spacing w:val="-4"/>
          <w:sz w:val="24"/>
          <w:szCs w:val="24"/>
        </w:rPr>
        <w:t>较短时间内很难</w:t>
      </w:r>
      <w:r>
        <w:rPr>
          <w:rFonts w:ascii="宋体" w:hAnsi="宋体" w:eastAsia="宋体" w:cs="宋体"/>
          <w:spacing w:val="-3"/>
          <w:sz w:val="24"/>
          <w:szCs w:val="24"/>
        </w:rPr>
        <w:t>发现，假设污染源连续泄漏</w:t>
      </w:r>
      <w:r>
        <w:rPr>
          <w:rFonts w:ascii="Times New Roman" w:hAnsi="Times New Roman" w:eastAsia="Times New Roman" w:cs="Times New Roman"/>
          <w:spacing w:val="-3"/>
          <w:sz w:val="24"/>
          <w:szCs w:val="24"/>
        </w:rPr>
        <w:t>30d</w:t>
      </w:r>
      <w:r>
        <w:rPr>
          <w:rFonts w:ascii="宋体" w:hAnsi="宋体" w:eastAsia="宋体" w:cs="宋体"/>
          <w:spacing w:val="-3"/>
          <w:sz w:val="24"/>
          <w:szCs w:val="24"/>
        </w:rPr>
        <w:t>，</w:t>
      </w:r>
      <w:r>
        <w:rPr>
          <w:rFonts w:ascii="Times New Roman" w:hAnsi="Times New Roman" w:eastAsia="Times New Roman" w:cs="Times New Roman"/>
          <w:spacing w:val="-3"/>
          <w:sz w:val="24"/>
          <w:szCs w:val="24"/>
        </w:rPr>
        <w:t>30d</w:t>
      </w:r>
      <w:r>
        <w:rPr>
          <w:rFonts w:ascii="宋体" w:hAnsi="宋体" w:eastAsia="宋体" w:cs="宋体"/>
          <w:spacing w:val="-3"/>
          <w:sz w:val="24"/>
          <w:szCs w:val="24"/>
        </w:rPr>
        <w:t>后由于监测发现泄漏后及时采取措施，污染</w:t>
      </w:r>
      <w:r>
        <w:rPr>
          <w:rFonts w:ascii="宋体" w:hAnsi="宋体" w:eastAsia="宋体" w:cs="宋体"/>
          <w:spacing w:val="-7"/>
          <w:sz w:val="24"/>
          <w:szCs w:val="24"/>
        </w:rPr>
        <w:t>物不再泄漏。</w:t>
      </w:r>
    </w:p>
    <w:p w14:paraId="4900454E">
      <w:pPr>
        <w:spacing w:before="2" w:line="356" w:lineRule="auto"/>
        <w:ind w:left="38" w:right="186" w:firstLine="484"/>
        <w:rPr>
          <w:rFonts w:ascii="宋体" w:hAnsi="宋体" w:eastAsia="宋体" w:cs="宋体"/>
          <w:sz w:val="24"/>
          <w:szCs w:val="24"/>
        </w:rPr>
      </w:pPr>
      <w:r>
        <w:rPr>
          <w:rFonts w:ascii="宋体" w:hAnsi="宋体" w:eastAsia="宋体" w:cs="宋体"/>
          <w:spacing w:val="2"/>
          <w:sz w:val="24"/>
          <w:szCs w:val="24"/>
        </w:rPr>
        <w:t>非正常工况条件下，假设池底部防渗层</w:t>
      </w:r>
      <w:r>
        <w:rPr>
          <w:rFonts w:ascii="Times New Roman" w:hAnsi="Times New Roman" w:eastAsia="Times New Roman" w:cs="Times New Roman"/>
          <w:spacing w:val="2"/>
          <w:sz w:val="24"/>
          <w:szCs w:val="24"/>
        </w:rPr>
        <w:t>5%</w:t>
      </w:r>
      <w:r>
        <w:rPr>
          <w:rFonts w:ascii="宋体" w:hAnsi="宋体" w:eastAsia="宋体" w:cs="宋体"/>
          <w:spacing w:val="2"/>
          <w:sz w:val="24"/>
          <w:szCs w:val="24"/>
        </w:rPr>
        <w:t>发</w:t>
      </w:r>
      <w:r>
        <w:rPr>
          <w:rFonts w:ascii="宋体" w:hAnsi="宋体" w:eastAsia="宋体" w:cs="宋体"/>
          <w:spacing w:val="1"/>
          <w:sz w:val="24"/>
          <w:szCs w:val="24"/>
        </w:rPr>
        <w:t>生破裂，池体为满水，池水进</w:t>
      </w:r>
      <w:r>
        <w:rPr>
          <w:rFonts w:ascii="宋体" w:hAnsi="宋体" w:eastAsia="宋体" w:cs="宋体"/>
          <w:spacing w:val="-2"/>
          <w:sz w:val="24"/>
          <w:szCs w:val="24"/>
        </w:rPr>
        <w:t>入地下属于有压渗透，根据达西公式计算源强，计算公</w:t>
      </w:r>
      <w:r>
        <w:rPr>
          <w:rFonts w:ascii="宋体" w:hAnsi="宋体" w:eastAsia="宋体" w:cs="宋体"/>
          <w:spacing w:val="-3"/>
          <w:sz w:val="24"/>
          <w:szCs w:val="24"/>
        </w:rPr>
        <w:t>式见下式：</w:t>
      </w:r>
    </w:p>
    <w:p w14:paraId="775F3E79">
      <w:pPr>
        <w:ind w:left="3403"/>
        <w:rPr>
          <w:rFonts w:ascii="宋体" w:hAnsi="宋体" w:eastAsia="宋体" w:cs="宋体"/>
          <w:sz w:val="15"/>
          <w:szCs w:val="15"/>
        </w:rPr>
      </w:pPr>
      <w:r>
        <w:rPr>
          <w:rFonts w:ascii="Cambria" w:hAnsi="Cambria" w:eastAsia="Cambria" w:cs="Cambria"/>
          <w:spacing w:val="-5"/>
          <w:position w:val="-1"/>
          <w:sz w:val="25"/>
          <w:szCs w:val="25"/>
        </w:rPr>
        <w:t>Q</w:t>
      </w:r>
      <w:r>
        <w:rPr>
          <w:rFonts w:ascii="Cambria" w:hAnsi="Cambria" w:eastAsia="Cambria" w:cs="Cambria"/>
          <w:spacing w:val="-6"/>
          <w:position w:val="-1"/>
          <w:sz w:val="25"/>
          <w:szCs w:val="25"/>
        </w:rPr>
        <w:t xml:space="preserve"> </w:t>
      </w:r>
      <w:r>
        <w:rPr>
          <w:rFonts w:ascii="Cambria" w:hAnsi="Cambria" w:eastAsia="Cambria" w:cs="Cambria"/>
          <w:spacing w:val="-5"/>
          <w:position w:val="-1"/>
          <w:sz w:val="25"/>
          <w:szCs w:val="25"/>
        </w:rPr>
        <w:t>=</w:t>
      </w:r>
      <w:r>
        <w:rPr>
          <w:rFonts w:ascii="Cambria" w:hAnsi="Cambria" w:eastAsia="Cambria" w:cs="Cambria"/>
          <w:spacing w:val="35"/>
          <w:position w:val="-1"/>
          <w:sz w:val="25"/>
          <w:szCs w:val="25"/>
        </w:rPr>
        <w:t xml:space="preserve"> </w:t>
      </w:r>
      <w:r>
        <w:rPr>
          <w:rFonts w:ascii="Cambria" w:hAnsi="Cambria" w:eastAsia="Cambria" w:cs="Cambria"/>
          <w:spacing w:val="-5"/>
          <w:position w:val="-1"/>
          <w:sz w:val="25"/>
          <w:szCs w:val="25"/>
        </w:rPr>
        <w:t>K</w:t>
      </w:r>
      <w:r>
        <w:rPr>
          <w:rFonts w:ascii="Cambria" w:hAnsi="Cambria" w:eastAsia="Cambria" w:cs="Cambria"/>
          <w:spacing w:val="-5"/>
          <w:position w:val="-6"/>
          <w:sz w:val="17"/>
          <w:szCs w:val="17"/>
        </w:rPr>
        <w:t xml:space="preserve">a </w:t>
      </w:r>
      <w:r>
        <w:rPr>
          <w:position w:val="-11"/>
          <w:sz w:val="17"/>
          <w:szCs w:val="17"/>
        </w:rPr>
        <w:drawing>
          <wp:inline distT="0" distB="0" distL="0" distR="0">
            <wp:extent cx="367665" cy="28511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571"/>
                    <a:stretch>
                      <a:fillRect/>
                    </a:stretch>
                  </pic:blipFill>
                  <pic:spPr>
                    <a:xfrm>
                      <a:off x="0" y="0"/>
                      <a:ext cx="367868" cy="285297"/>
                    </a:xfrm>
                    <a:prstGeom prst="rect">
                      <a:avLst/>
                    </a:prstGeom>
                  </pic:spPr>
                </pic:pic>
              </a:graphicData>
            </a:graphic>
          </wp:inline>
        </w:drawing>
      </w:r>
      <w:r>
        <w:rPr>
          <w:rFonts w:ascii="Cambria" w:hAnsi="Cambria" w:eastAsia="Cambria" w:cs="Cambria"/>
          <w:spacing w:val="-5"/>
          <w:position w:val="-1"/>
          <w:sz w:val="25"/>
          <w:szCs w:val="25"/>
        </w:rPr>
        <w:t>A</w:t>
      </w:r>
      <w:r>
        <w:rPr>
          <w:rFonts w:ascii="宋体" w:hAnsi="宋体" w:eastAsia="宋体" w:cs="宋体"/>
          <w:spacing w:val="-5"/>
          <w:position w:val="-9"/>
          <w:sz w:val="15"/>
          <w:szCs w:val="15"/>
        </w:rPr>
        <w:t>裂缝</w:t>
      </w:r>
    </w:p>
    <w:p w14:paraId="241F1117">
      <w:pPr>
        <w:spacing w:before="145" w:line="223" w:lineRule="auto"/>
        <w:ind w:left="524"/>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Q—</w:t>
      </w:r>
      <w:r>
        <w:rPr>
          <w:rFonts w:ascii="宋体" w:hAnsi="宋体" w:eastAsia="宋体" w:cs="宋体"/>
          <w:spacing w:val="-1"/>
          <w:sz w:val="24"/>
          <w:szCs w:val="24"/>
        </w:rPr>
        <w:t>渗入到地下的污水量，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5EE7F9A4">
      <w:pPr>
        <w:spacing w:before="192" w:line="219" w:lineRule="auto"/>
        <w:ind w:left="1234"/>
        <w:rPr>
          <w:rFonts w:ascii="宋体" w:hAnsi="宋体" w:eastAsia="宋体" w:cs="宋体"/>
          <w:sz w:val="24"/>
          <w:szCs w:val="24"/>
        </w:rPr>
      </w:pPr>
      <w:r>
        <w:rPr>
          <w:rFonts w:ascii="Times New Roman" w:hAnsi="Times New Roman" w:eastAsia="Times New Roman" w:cs="Times New Roman"/>
          <w:spacing w:val="-2"/>
          <w:sz w:val="24"/>
          <w:szCs w:val="24"/>
        </w:rPr>
        <w:t>K</w:t>
      </w:r>
      <w:r>
        <w:rPr>
          <w:rFonts w:ascii="Times New Roman" w:hAnsi="Times New Roman" w:eastAsia="Times New Roman" w:cs="Times New Roman"/>
          <w:spacing w:val="-2"/>
          <w:position w:val="-2"/>
          <w:sz w:val="15"/>
          <w:szCs w:val="15"/>
        </w:rPr>
        <w:t>a</w:t>
      </w:r>
      <w:r>
        <w:rPr>
          <w:rFonts w:ascii="Times New Roman" w:hAnsi="Times New Roman" w:eastAsia="Times New Roman" w:cs="Times New Roman"/>
          <w:spacing w:val="-2"/>
          <w:sz w:val="24"/>
          <w:szCs w:val="24"/>
        </w:rPr>
        <w:t>—</w:t>
      </w:r>
      <w:r>
        <w:rPr>
          <w:rFonts w:ascii="宋体" w:hAnsi="宋体" w:eastAsia="宋体" w:cs="宋体"/>
          <w:spacing w:val="-2"/>
          <w:sz w:val="24"/>
          <w:szCs w:val="24"/>
        </w:rPr>
        <w:t>地面垂向渗透系数，本次取值</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15m/d</w:t>
      </w:r>
      <w:r>
        <w:rPr>
          <w:rFonts w:ascii="宋体" w:hAnsi="宋体" w:eastAsia="宋体" w:cs="宋体"/>
          <w:spacing w:val="-2"/>
          <w:sz w:val="24"/>
          <w:szCs w:val="24"/>
        </w:rPr>
        <w:t>；</w:t>
      </w:r>
    </w:p>
    <w:p w14:paraId="7F44978A">
      <w:pPr>
        <w:spacing w:before="183" w:line="220" w:lineRule="auto"/>
        <w:ind w:left="1234"/>
        <w:rPr>
          <w:rFonts w:ascii="宋体" w:hAnsi="宋体" w:eastAsia="宋体" w:cs="宋体"/>
          <w:sz w:val="24"/>
          <w:szCs w:val="24"/>
        </w:rPr>
      </w:pPr>
      <w:r>
        <w:rPr>
          <w:rFonts w:ascii="Times New Roman" w:hAnsi="Times New Roman" w:eastAsia="Times New Roman" w:cs="Times New Roman"/>
          <w:spacing w:val="-8"/>
          <w:sz w:val="24"/>
          <w:szCs w:val="24"/>
        </w:rPr>
        <w:t>H—</w:t>
      </w:r>
      <w:r>
        <w:rPr>
          <w:rFonts w:ascii="宋体" w:hAnsi="宋体" w:eastAsia="宋体" w:cs="宋体"/>
          <w:spacing w:val="-8"/>
          <w:sz w:val="24"/>
          <w:szCs w:val="24"/>
        </w:rPr>
        <w:t>池内水深；</w:t>
      </w:r>
    </w:p>
    <w:p w14:paraId="1F21DB86">
      <w:pPr>
        <w:spacing w:before="182" w:line="220" w:lineRule="auto"/>
        <w:ind w:left="1234"/>
        <w:rPr>
          <w:rFonts w:ascii="宋体" w:hAnsi="宋体" w:eastAsia="宋体" w:cs="宋体"/>
          <w:sz w:val="24"/>
          <w:szCs w:val="24"/>
        </w:rPr>
      </w:pPr>
      <w:r>
        <w:rPr>
          <w:rFonts w:ascii="Times New Roman" w:hAnsi="Times New Roman" w:eastAsia="Times New Roman" w:cs="Times New Roman"/>
          <w:spacing w:val="-3"/>
          <w:sz w:val="24"/>
          <w:szCs w:val="24"/>
        </w:rPr>
        <w:t>D—</w:t>
      </w:r>
      <w:r>
        <w:rPr>
          <w:rFonts w:ascii="宋体" w:hAnsi="宋体" w:eastAsia="宋体" w:cs="宋体"/>
          <w:spacing w:val="-3"/>
          <w:sz w:val="24"/>
          <w:szCs w:val="24"/>
        </w:rPr>
        <w:t>地下水埋深，</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8m</w:t>
      </w:r>
      <w:r>
        <w:rPr>
          <w:rFonts w:ascii="宋体" w:hAnsi="宋体" w:eastAsia="宋体" w:cs="宋体"/>
          <w:spacing w:val="-3"/>
          <w:sz w:val="24"/>
          <w:szCs w:val="24"/>
        </w:rPr>
        <w:t>；</w:t>
      </w:r>
    </w:p>
    <w:p w14:paraId="4CCEFA30">
      <w:pPr>
        <w:spacing w:before="169" w:line="230" w:lineRule="auto"/>
        <w:ind w:left="1231"/>
        <w:rPr>
          <w:rFonts w:ascii="宋体" w:hAnsi="宋体" w:eastAsia="宋体" w:cs="宋体"/>
          <w:sz w:val="24"/>
          <w:szCs w:val="24"/>
        </w:rPr>
      </w:pPr>
      <w:r>
        <w:rPr>
          <w:rFonts w:ascii="Times New Roman" w:hAnsi="Times New Roman" w:eastAsia="Times New Roman" w:cs="Times New Roman"/>
          <w:sz w:val="24"/>
          <w:szCs w:val="24"/>
        </w:rPr>
        <w:t>A—</w:t>
      </w:r>
      <w:r>
        <w:rPr>
          <w:rFonts w:ascii="宋体" w:hAnsi="宋体" w:eastAsia="宋体" w:cs="宋体"/>
          <w:sz w:val="24"/>
          <w:szCs w:val="24"/>
        </w:rPr>
        <w:t>裂缝为污水池底裂缝总面积，</w:t>
      </w:r>
      <w:r>
        <w:rPr>
          <w:rFonts w:ascii="Times New Roman" w:hAnsi="Times New Roman" w:eastAsia="Times New Roman" w:cs="Times New Roman"/>
          <w:sz w:val="24"/>
          <w:szCs w:val="24"/>
        </w:rPr>
        <w:t>m</w:t>
      </w:r>
      <w:r>
        <w:rPr>
          <w:rFonts w:ascii="Times New Roman" w:hAnsi="Times New Roman" w:eastAsia="Times New Roman" w:cs="Times New Roman"/>
          <w:position w:val="10"/>
          <w:sz w:val="15"/>
          <w:szCs w:val="15"/>
        </w:rPr>
        <w:t>2</w:t>
      </w:r>
      <w:r>
        <w:rPr>
          <w:rFonts w:ascii="宋体" w:hAnsi="宋体" w:eastAsia="宋体" w:cs="宋体"/>
          <w:sz w:val="24"/>
          <w:szCs w:val="24"/>
        </w:rPr>
        <w:t>。</w:t>
      </w:r>
    </w:p>
    <w:p w14:paraId="3BD30C50">
      <w:pPr>
        <w:tabs>
          <w:tab w:val="left" w:pos="8522"/>
        </w:tabs>
        <w:spacing w:before="168" w:line="361" w:lineRule="auto"/>
        <w:ind w:left="38" w:firstLine="480"/>
        <w:jc w:val="both"/>
        <w:rPr>
          <w:rFonts w:ascii="宋体" w:hAnsi="宋体" w:eastAsia="宋体" w:cs="宋体"/>
          <w:sz w:val="24"/>
          <w:szCs w:val="24"/>
        </w:rPr>
      </w:pPr>
      <w:r>
        <w:rPr>
          <w:rFonts w:ascii="宋体" w:hAnsi="宋体" w:eastAsia="宋体" w:cs="宋体"/>
          <w:spacing w:val="-1"/>
          <w:sz w:val="24"/>
          <w:szCs w:val="24"/>
        </w:rPr>
        <w:t>根据污水处理站设计资料，粪污收集池面积为</w:t>
      </w:r>
      <w:r>
        <w:rPr>
          <w:rFonts w:ascii="Times New Roman" w:hAnsi="Times New Roman" w:eastAsia="Times New Roman" w:cs="Times New Roman"/>
          <w:spacing w:val="-1"/>
          <w:sz w:val="24"/>
          <w:szCs w:val="24"/>
        </w:rPr>
        <w:t>120m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8"/>
          <w:position w:val="10"/>
          <w:sz w:val="15"/>
          <w:szCs w:val="15"/>
        </w:rPr>
        <w:t xml:space="preserve"> </w:t>
      </w:r>
      <w:r>
        <w:rPr>
          <w:rFonts w:ascii="宋体" w:hAnsi="宋体" w:eastAsia="宋体" w:cs="宋体"/>
          <w:spacing w:val="-1"/>
          <w:sz w:val="24"/>
          <w:szCs w:val="24"/>
        </w:rPr>
        <w:t>，有效水深</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
          <w:sz w:val="24"/>
          <w:szCs w:val="24"/>
        </w:rPr>
        <w:t>5m</w:t>
      </w:r>
      <w:r>
        <w:rPr>
          <w:rFonts w:ascii="宋体" w:hAnsi="宋体" w:eastAsia="宋体" w:cs="宋体"/>
          <w:spacing w:val="-2"/>
          <w:sz w:val="24"/>
          <w:szCs w:val="24"/>
        </w:rPr>
        <w:t>；水解</w:t>
      </w:r>
      <w:r>
        <w:rPr>
          <w:rFonts w:ascii="宋体" w:hAnsi="宋体" w:eastAsia="宋体" w:cs="宋体"/>
          <w:spacing w:val="-8"/>
          <w:sz w:val="24"/>
          <w:szCs w:val="24"/>
        </w:rPr>
        <w:t>酸化面积为</w:t>
      </w:r>
      <w:r>
        <w:rPr>
          <w:rFonts w:ascii="Times New Roman" w:hAnsi="Times New Roman" w:eastAsia="Times New Roman" w:cs="Times New Roman"/>
          <w:spacing w:val="-8"/>
          <w:sz w:val="24"/>
          <w:szCs w:val="24"/>
        </w:rPr>
        <w:t>90m</w:t>
      </w:r>
      <w:r>
        <w:rPr>
          <w:rFonts w:ascii="Times New Roman" w:hAnsi="Times New Roman" w:eastAsia="Times New Roman" w:cs="Times New Roman"/>
          <w:spacing w:val="-8"/>
          <w:position w:val="10"/>
          <w:sz w:val="15"/>
          <w:szCs w:val="15"/>
        </w:rPr>
        <w:t>2</w:t>
      </w:r>
      <w:r>
        <w:rPr>
          <w:rFonts w:ascii="宋体" w:hAnsi="宋体" w:eastAsia="宋体" w:cs="宋体"/>
          <w:spacing w:val="-8"/>
          <w:sz w:val="24"/>
          <w:szCs w:val="24"/>
        </w:rPr>
        <w:t>，有效水深</w:t>
      </w:r>
      <w:r>
        <w:rPr>
          <w:rFonts w:ascii="Times New Roman" w:hAnsi="Times New Roman" w:eastAsia="Times New Roman" w:cs="Times New Roman"/>
          <w:spacing w:val="-8"/>
          <w:sz w:val="24"/>
          <w:szCs w:val="24"/>
        </w:rPr>
        <w:t>4.5m</w:t>
      </w:r>
      <w:r>
        <w:rPr>
          <w:rFonts w:ascii="宋体" w:hAnsi="宋体" w:eastAsia="宋体" w:cs="宋体"/>
          <w:spacing w:val="-8"/>
          <w:sz w:val="24"/>
          <w:szCs w:val="24"/>
        </w:rPr>
        <w:t>，经计算，渗漏的废水量分别为</w:t>
      </w:r>
      <w:r>
        <w:rPr>
          <w:rFonts w:ascii="Times New Roman" w:hAnsi="Times New Roman" w:eastAsia="Times New Roman" w:cs="Times New Roman"/>
          <w:spacing w:val="-8"/>
          <w:sz w:val="24"/>
          <w:szCs w:val="24"/>
        </w:rPr>
        <w:t>1.4</w:t>
      </w:r>
      <w:r>
        <w:rPr>
          <w:rFonts w:ascii="Times New Roman" w:hAnsi="Times New Roman" w:eastAsia="Times New Roman" w:cs="Times New Roman"/>
          <w:spacing w:val="-9"/>
          <w:sz w:val="24"/>
          <w:szCs w:val="24"/>
        </w:rPr>
        <w:t>1m</w:t>
      </w:r>
      <w:r>
        <w:rPr>
          <w:rFonts w:ascii="Times New Roman" w:hAnsi="Times New Roman" w:eastAsia="Times New Roman" w:cs="Times New Roman"/>
          <w:spacing w:val="-9"/>
          <w:position w:val="10"/>
          <w:sz w:val="15"/>
          <w:szCs w:val="15"/>
        </w:rPr>
        <w:t>3</w:t>
      </w:r>
      <w:r>
        <w:rPr>
          <w:rFonts w:ascii="Times New Roman" w:hAnsi="Times New Roman" w:eastAsia="Times New Roman" w:cs="Times New Roman"/>
          <w:spacing w:val="-9"/>
          <w:sz w:val="24"/>
          <w:szCs w:val="24"/>
        </w:rPr>
        <w:t>/d</w:t>
      </w:r>
      <w:r>
        <w:rPr>
          <w:rFonts w:ascii="宋体" w:hAnsi="宋体" w:eastAsia="宋体" w:cs="宋体"/>
          <w:spacing w:val="-18"/>
          <w:sz w:val="24"/>
          <w:szCs w:val="24"/>
        </w:rPr>
        <w:t>、</w:t>
      </w:r>
      <w:r>
        <w:rPr>
          <w:rFonts w:ascii="Times New Roman" w:hAnsi="Times New Roman" w:eastAsia="Times New Roman" w:cs="Times New Roman"/>
          <w:spacing w:val="-18"/>
          <w:sz w:val="24"/>
          <w:szCs w:val="24"/>
        </w:rPr>
        <w:t>1.05m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/d</w:t>
      </w:r>
      <w:r>
        <w:rPr>
          <w:rFonts w:ascii="宋体" w:hAnsi="宋体" w:eastAsia="宋体" w:cs="宋体"/>
          <w:spacing w:val="-54"/>
          <w:sz w:val="24"/>
          <w:szCs w:val="24"/>
        </w:rPr>
        <w:t>，</w:t>
      </w:r>
      <w:r>
        <w:rPr>
          <w:rFonts w:ascii="宋体" w:hAnsi="宋体" w:eastAsia="宋体" w:cs="宋体"/>
          <w:spacing w:val="-1"/>
          <w:sz w:val="24"/>
          <w:szCs w:val="24"/>
        </w:rPr>
        <w:t>废水总渗漏量为</w:t>
      </w:r>
      <w:r>
        <w:rPr>
          <w:rFonts w:ascii="Times New Roman" w:hAnsi="Times New Roman" w:eastAsia="Times New Roman" w:cs="Times New Roman"/>
          <w:spacing w:val="-1"/>
          <w:sz w:val="24"/>
          <w:szCs w:val="24"/>
        </w:rPr>
        <w:t>2.46m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4EDE63D7">
      <w:pPr>
        <w:spacing w:before="10" w:line="361" w:lineRule="auto"/>
        <w:ind w:left="32" w:right="187" w:firstLine="516"/>
        <w:jc w:val="both"/>
        <w:rPr>
          <w:rFonts w:ascii="宋体" w:hAnsi="宋体" w:eastAsia="宋体" w:cs="宋体"/>
          <w:sz w:val="24"/>
          <w:szCs w:val="24"/>
        </w:rPr>
      </w:pPr>
      <w:r>
        <w:rPr>
          <w:rFonts w:ascii="宋体" w:hAnsi="宋体" w:eastAsia="宋体" w:cs="宋体"/>
          <w:spacing w:val="-4"/>
          <w:sz w:val="24"/>
          <w:szCs w:val="24"/>
        </w:rPr>
        <w:t>由于粪污收集池和水解酸化池相距较近，考虑最不利因素，本次评价假</w:t>
      </w:r>
      <w:r>
        <w:rPr>
          <w:rFonts w:ascii="宋体" w:hAnsi="宋体" w:eastAsia="宋体" w:cs="宋体"/>
          <w:spacing w:val="-5"/>
          <w:sz w:val="24"/>
          <w:szCs w:val="24"/>
        </w:rPr>
        <w:t>设同</w:t>
      </w:r>
      <w:r>
        <w:rPr>
          <w:rFonts w:ascii="宋体" w:hAnsi="宋体" w:eastAsia="宋体" w:cs="宋体"/>
          <w:spacing w:val="1"/>
          <w:sz w:val="24"/>
          <w:szCs w:val="24"/>
        </w:rPr>
        <w:t>时泄漏，将两个泄漏点合并成</w:t>
      </w:r>
      <w:r>
        <w:rPr>
          <w:rFonts w:ascii="Times New Roman" w:hAnsi="Times New Roman" w:eastAsia="Times New Roman" w:cs="Times New Roman"/>
          <w:spacing w:val="1"/>
          <w:sz w:val="24"/>
          <w:szCs w:val="24"/>
        </w:rPr>
        <w:t>1</w:t>
      </w:r>
      <w:r>
        <w:rPr>
          <w:rFonts w:ascii="宋体" w:hAnsi="宋体" w:eastAsia="宋体" w:cs="宋体"/>
          <w:spacing w:val="1"/>
          <w:sz w:val="24"/>
          <w:szCs w:val="24"/>
        </w:rPr>
        <w:t>个源，以粪污收集池</w:t>
      </w:r>
      <w:r>
        <w:rPr>
          <w:rFonts w:ascii="宋体" w:hAnsi="宋体" w:eastAsia="宋体" w:cs="宋体"/>
          <w:sz w:val="24"/>
          <w:szCs w:val="24"/>
        </w:rPr>
        <w:t>和水解酸化池拟合区域为原</w:t>
      </w:r>
      <w:r>
        <w:rPr>
          <w:rFonts w:ascii="宋体" w:hAnsi="宋体" w:eastAsia="宋体" w:cs="宋体"/>
          <w:spacing w:val="-7"/>
          <w:sz w:val="24"/>
          <w:szCs w:val="24"/>
        </w:rPr>
        <w:t>点。根据项目区地下水排泄走向，</w:t>
      </w:r>
      <w:r>
        <w:rPr>
          <w:rFonts w:ascii="宋体" w:hAnsi="宋体" w:eastAsia="宋体" w:cs="宋体"/>
          <w:spacing w:val="93"/>
          <w:sz w:val="24"/>
          <w:szCs w:val="24"/>
        </w:rPr>
        <w:t xml:space="preserve"> </w:t>
      </w:r>
      <w:r>
        <w:rPr>
          <w:rFonts w:ascii="宋体" w:hAnsi="宋体" w:eastAsia="宋体" w:cs="宋体"/>
          <w:spacing w:val="-7"/>
          <w:sz w:val="24"/>
          <w:szCs w:val="24"/>
        </w:rPr>
        <w:t>以地下水流向为</w:t>
      </w:r>
      <w:r>
        <w:rPr>
          <w:rFonts w:ascii="Times New Roman" w:hAnsi="Times New Roman" w:eastAsia="Times New Roman" w:cs="Times New Roman"/>
          <w:spacing w:val="-7"/>
          <w:sz w:val="24"/>
          <w:szCs w:val="24"/>
        </w:rPr>
        <w:t>X</w:t>
      </w:r>
      <w:r>
        <w:rPr>
          <w:rFonts w:ascii="宋体" w:hAnsi="宋体" w:eastAsia="宋体" w:cs="宋体"/>
          <w:spacing w:val="-7"/>
          <w:sz w:val="24"/>
          <w:szCs w:val="24"/>
        </w:rPr>
        <w:t>轴，地下水流向垂直方向为</w:t>
      </w:r>
      <w:r>
        <w:rPr>
          <w:rFonts w:ascii="Times New Roman" w:hAnsi="Times New Roman" w:eastAsia="Times New Roman" w:cs="Times New Roman"/>
          <w:spacing w:val="-2"/>
          <w:sz w:val="24"/>
          <w:szCs w:val="24"/>
        </w:rPr>
        <w:t>Y</w:t>
      </w:r>
      <w:r>
        <w:rPr>
          <w:rFonts w:ascii="宋体" w:hAnsi="宋体" w:eastAsia="宋体" w:cs="宋体"/>
          <w:spacing w:val="-2"/>
          <w:sz w:val="24"/>
          <w:szCs w:val="24"/>
        </w:rPr>
        <w:t>轴。污水处理站的地下水污染源强计算见下表。</w:t>
      </w:r>
    </w:p>
    <w:p w14:paraId="4BFBB2ED">
      <w:pPr>
        <w:spacing w:line="361" w:lineRule="auto"/>
        <w:rPr>
          <w:rFonts w:ascii="宋体" w:hAnsi="宋体" w:eastAsia="宋体" w:cs="宋体"/>
          <w:sz w:val="24"/>
          <w:szCs w:val="24"/>
        </w:rPr>
        <w:sectPr>
          <w:headerReference r:id="rId366" w:type="default"/>
          <w:footerReference r:id="rId367" w:type="default"/>
          <w:pgSz w:w="11905" w:h="16840"/>
          <w:pgMar w:top="1168" w:right="1610" w:bottom="1409" w:left="1770" w:header="828" w:footer="1244" w:gutter="0"/>
          <w:cols w:space="720" w:num="1"/>
        </w:sectPr>
      </w:pPr>
    </w:p>
    <w:p w14:paraId="3F4F0CA5">
      <w:pPr>
        <w:pStyle w:val="2"/>
        <w:spacing w:line="329" w:lineRule="auto"/>
      </w:pPr>
    </w:p>
    <w:p w14:paraId="2D3CBC79">
      <w:pPr>
        <w:spacing w:before="68" w:line="221" w:lineRule="auto"/>
        <w:ind w:left="216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1"/>
          <w:sz w:val="21"/>
          <w:szCs w:val="21"/>
        </w:rPr>
        <w:t xml:space="preserve"> </w:t>
      </w:r>
      <w:r>
        <w:rPr>
          <w:rFonts w:ascii="Times New Roman" w:hAnsi="Times New Roman" w:eastAsia="Times New Roman" w:cs="Times New Roman"/>
          <w:spacing w:val="-1"/>
          <w:sz w:val="21"/>
          <w:szCs w:val="21"/>
        </w:rPr>
        <w:t xml:space="preserve">4.2-34  </w:t>
      </w:r>
      <w:r>
        <w:rPr>
          <w:rFonts w:ascii="黑体" w:hAnsi="黑体" w:eastAsia="黑体" w:cs="黑体"/>
          <w:spacing w:val="-1"/>
          <w:sz w:val="21"/>
          <w:szCs w:val="21"/>
        </w:rPr>
        <w:t>非正常工况条件下污染源强的计算</w:t>
      </w:r>
    </w:p>
    <w:p w14:paraId="39C4F507">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4"/>
        <w:gridCol w:w="2407"/>
        <w:gridCol w:w="3639"/>
      </w:tblGrid>
      <w:tr w14:paraId="10645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274" w:type="dxa"/>
            <w:vMerge w:val="restart"/>
            <w:tcBorders>
              <w:bottom w:val="nil"/>
            </w:tcBorders>
            <w:vAlign w:val="top"/>
          </w:tcPr>
          <w:p w14:paraId="6FD93CED">
            <w:pPr>
              <w:spacing w:before="244" w:line="220" w:lineRule="auto"/>
              <w:ind w:left="724"/>
              <w:rPr>
                <w:rFonts w:ascii="宋体" w:hAnsi="宋体" w:eastAsia="宋体" w:cs="宋体"/>
                <w:sz w:val="21"/>
                <w:szCs w:val="21"/>
              </w:rPr>
            </w:pPr>
            <w:r>
              <w:rPr>
                <w:rFonts w:ascii="宋体" w:hAnsi="宋体" w:eastAsia="宋体" w:cs="宋体"/>
                <w:spacing w:val="-2"/>
                <w:sz w:val="21"/>
                <w:szCs w:val="21"/>
              </w:rPr>
              <w:t>预测因子</w:t>
            </w:r>
          </w:p>
        </w:tc>
        <w:tc>
          <w:tcPr>
            <w:tcW w:w="2407" w:type="dxa"/>
            <w:vMerge w:val="restart"/>
            <w:tcBorders>
              <w:bottom w:val="nil"/>
            </w:tcBorders>
            <w:vAlign w:val="top"/>
          </w:tcPr>
          <w:p w14:paraId="23366715">
            <w:pPr>
              <w:spacing w:before="244" w:line="220" w:lineRule="auto"/>
              <w:ind w:left="679"/>
              <w:rPr>
                <w:rFonts w:ascii="宋体" w:hAnsi="宋体" w:eastAsia="宋体" w:cs="宋体"/>
                <w:sz w:val="21"/>
                <w:szCs w:val="21"/>
              </w:rPr>
            </w:pPr>
            <w:r>
              <w:rPr>
                <w:rFonts w:ascii="宋体" w:hAnsi="宋体" w:eastAsia="宋体" w:cs="宋体"/>
                <w:spacing w:val="-2"/>
                <w:sz w:val="21"/>
                <w:szCs w:val="21"/>
              </w:rPr>
              <w:t>污染物浓度</w:t>
            </w:r>
          </w:p>
        </w:tc>
        <w:tc>
          <w:tcPr>
            <w:tcW w:w="3639" w:type="dxa"/>
            <w:vAlign w:val="top"/>
          </w:tcPr>
          <w:p w14:paraId="1B46A11B">
            <w:pPr>
              <w:spacing w:before="69" w:line="220" w:lineRule="auto"/>
              <w:ind w:left="982"/>
              <w:rPr>
                <w:rFonts w:ascii="宋体" w:hAnsi="宋体" w:eastAsia="宋体" w:cs="宋体"/>
                <w:sz w:val="21"/>
                <w:szCs w:val="21"/>
              </w:rPr>
            </w:pPr>
            <w:r>
              <w:rPr>
                <w:rFonts w:ascii="宋体" w:hAnsi="宋体" w:eastAsia="宋体" w:cs="宋体"/>
                <w:spacing w:val="-2"/>
                <w:sz w:val="21"/>
                <w:szCs w:val="21"/>
              </w:rPr>
              <w:t>非正常工况泄漏量</w:t>
            </w:r>
          </w:p>
        </w:tc>
      </w:tr>
      <w:tr w14:paraId="5F23F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274" w:type="dxa"/>
            <w:vMerge w:val="continue"/>
            <w:tcBorders>
              <w:top w:val="nil"/>
            </w:tcBorders>
            <w:vAlign w:val="top"/>
          </w:tcPr>
          <w:p w14:paraId="4A759D55">
            <w:pPr>
              <w:rPr>
                <w:rFonts w:ascii="Arial"/>
                <w:sz w:val="21"/>
              </w:rPr>
            </w:pPr>
          </w:p>
        </w:tc>
        <w:tc>
          <w:tcPr>
            <w:tcW w:w="2407" w:type="dxa"/>
            <w:vMerge w:val="continue"/>
            <w:tcBorders>
              <w:top w:val="nil"/>
            </w:tcBorders>
            <w:vAlign w:val="top"/>
          </w:tcPr>
          <w:p w14:paraId="0460ABA7">
            <w:pPr>
              <w:rPr>
                <w:rFonts w:ascii="Arial"/>
                <w:sz w:val="21"/>
              </w:rPr>
            </w:pPr>
          </w:p>
        </w:tc>
        <w:tc>
          <w:tcPr>
            <w:tcW w:w="3639" w:type="dxa"/>
            <w:vAlign w:val="top"/>
          </w:tcPr>
          <w:p w14:paraId="4456895D">
            <w:pPr>
              <w:spacing w:before="64" w:line="220" w:lineRule="auto"/>
              <w:ind w:left="666"/>
              <w:rPr>
                <w:rFonts w:ascii="宋体" w:hAnsi="宋体" w:eastAsia="宋体" w:cs="宋体"/>
                <w:sz w:val="21"/>
                <w:szCs w:val="21"/>
              </w:rPr>
            </w:pPr>
            <w:r>
              <w:rPr>
                <w:rFonts w:ascii="宋体" w:hAnsi="宋体" w:eastAsia="宋体" w:cs="宋体"/>
                <w:spacing w:val="-1"/>
                <w:sz w:val="21"/>
                <w:szCs w:val="21"/>
              </w:rPr>
              <w:t>粪污收集池、水解酸化池</w:t>
            </w:r>
          </w:p>
        </w:tc>
      </w:tr>
      <w:tr w14:paraId="0A763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81" w:type="dxa"/>
            <w:gridSpan w:val="2"/>
            <w:vAlign w:val="top"/>
          </w:tcPr>
          <w:p w14:paraId="1CD34D59">
            <w:pPr>
              <w:spacing w:before="66" w:line="220" w:lineRule="auto"/>
              <w:ind w:left="1930"/>
              <w:rPr>
                <w:rFonts w:ascii="宋体" w:hAnsi="宋体" w:eastAsia="宋体" w:cs="宋体"/>
                <w:sz w:val="21"/>
                <w:szCs w:val="21"/>
              </w:rPr>
            </w:pPr>
            <w:r>
              <w:rPr>
                <w:rFonts w:ascii="宋体" w:hAnsi="宋体" w:eastAsia="宋体" w:cs="宋体"/>
                <w:spacing w:val="-3"/>
                <w:sz w:val="21"/>
                <w:szCs w:val="21"/>
              </w:rPr>
              <w:t>泄漏强度</w:t>
            </w:r>
          </w:p>
        </w:tc>
        <w:tc>
          <w:tcPr>
            <w:tcW w:w="3639" w:type="dxa"/>
            <w:vAlign w:val="top"/>
          </w:tcPr>
          <w:p w14:paraId="2205C561">
            <w:pPr>
              <w:pStyle w:val="6"/>
              <w:spacing w:before="51" w:line="215" w:lineRule="auto"/>
              <w:ind w:left="1433"/>
            </w:pPr>
            <w:r>
              <w:rPr>
                <w:spacing w:val="-1"/>
              </w:rPr>
              <w:t>2.46m</w:t>
            </w:r>
            <w:r>
              <w:rPr>
                <w:spacing w:val="-1"/>
                <w:position w:val="9"/>
                <w:sz w:val="14"/>
                <w:szCs w:val="14"/>
              </w:rPr>
              <w:t>3</w:t>
            </w:r>
            <w:r>
              <w:rPr>
                <w:spacing w:val="-1"/>
              </w:rPr>
              <w:t>/d</w:t>
            </w:r>
          </w:p>
        </w:tc>
      </w:tr>
      <w:tr w14:paraId="141FD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681" w:type="dxa"/>
            <w:gridSpan w:val="2"/>
            <w:vAlign w:val="top"/>
          </w:tcPr>
          <w:p w14:paraId="3BE80681">
            <w:pPr>
              <w:spacing w:before="66" w:line="221" w:lineRule="auto"/>
              <w:ind w:left="1930"/>
              <w:rPr>
                <w:rFonts w:ascii="宋体" w:hAnsi="宋体" w:eastAsia="宋体" w:cs="宋体"/>
                <w:sz w:val="21"/>
                <w:szCs w:val="21"/>
              </w:rPr>
            </w:pPr>
            <w:r>
              <w:rPr>
                <w:rFonts w:ascii="宋体" w:hAnsi="宋体" w:eastAsia="宋体" w:cs="宋体"/>
                <w:spacing w:val="-3"/>
                <w:sz w:val="21"/>
                <w:szCs w:val="21"/>
              </w:rPr>
              <w:t>泄漏时间</w:t>
            </w:r>
          </w:p>
        </w:tc>
        <w:tc>
          <w:tcPr>
            <w:tcW w:w="3639" w:type="dxa"/>
            <w:vAlign w:val="top"/>
          </w:tcPr>
          <w:p w14:paraId="321CAF4F">
            <w:pPr>
              <w:pStyle w:val="6"/>
              <w:spacing w:before="99" w:line="192" w:lineRule="auto"/>
              <w:ind w:left="1662"/>
            </w:pPr>
            <w:r>
              <w:rPr>
                <w:spacing w:val="-3"/>
              </w:rPr>
              <w:t>30d</w:t>
            </w:r>
          </w:p>
        </w:tc>
      </w:tr>
      <w:tr w14:paraId="47421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681" w:type="dxa"/>
            <w:gridSpan w:val="2"/>
            <w:vAlign w:val="top"/>
          </w:tcPr>
          <w:p w14:paraId="4757D786">
            <w:pPr>
              <w:spacing w:before="67" w:line="221" w:lineRule="auto"/>
              <w:ind w:left="2035"/>
              <w:rPr>
                <w:rFonts w:ascii="宋体" w:hAnsi="宋体" w:eastAsia="宋体" w:cs="宋体"/>
                <w:sz w:val="21"/>
                <w:szCs w:val="21"/>
              </w:rPr>
            </w:pPr>
            <w:r>
              <w:rPr>
                <w:rFonts w:ascii="宋体" w:hAnsi="宋体" w:eastAsia="宋体" w:cs="宋体"/>
                <w:spacing w:val="-3"/>
                <w:sz w:val="21"/>
                <w:szCs w:val="21"/>
              </w:rPr>
              <w:t>泄漏量</w:t>
            </w:r>
          </w:p>
        </w:tc>
        <w:tc>
          <w:tcPr>
            <w:tcW w:w="3639" w:type="dxa"/>
            <w:vAlign w:val="top"/>
          </w:tcPr>
          <w:p w14:paraId="76754FB1">
            <w:pPr>
              <w:pStyle w:val="6"/>
              <w:spacing w:before="52" w:line="225" w:lineRule="auto"/>
              <w:ind w:left="1518"/>
              <w:rPr>
                <w:sz w:val="14"/>
                <w:szCs w:val="14"/>
              </w:rPr>
            </w:pPr>
            <w:r>
              <w:rPr>
                <w:spacing w:val="-2"/>
              </w:rPr>
              <w:t>73.8m</w:t>
            </w:r>
            <w:r>
              <w:rPr>
                <w:spacing w:val="-2"/>
                <w:position w:val="8"/>
                <w:sz w:val="14"/>
                <w:szCs w:val="14"/>
              </w:rPr>
              <w:t>3</w:t>
            </w:r>
          </w:p>
        </w:tc>
      </w:tr>
      <w:tr w14:paraId="75DAE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74" w:type="dxa"/>
            <w:vAlign w:val="top"/>
          </w:tcPr>
          <w:p w14:paraId="7E094630">
            <w:pPr>
              <w:pStyle w:val="6"/>
              <w:spacing w:before="104" w:line="198" w:lineRule="auto"/>
              <w:ind w:left="823"/>
              <w:rPr>
                <w:sz w:val="14"/>
                <w:szCs w:val="14"/>
              </w:rPr>
            </w:pPr>
            <w:r>
              <w:rPr>
                <w:spacing w:val="-2"/>
              </w:rPr>
              <w:t>COD</w:t>
            </w:r>
            <w:r>
              <w:rPr>
                <w:spacing w:val="-2"/>
                <w:position w:val="-2"/>
                <w:sz w:val="14"/>
                <w:szCs w:val="14"/>
              </w:rPr>
              <w:t>Mn</w:t>
            </w:r>
          </w:p>
        </w:tc>
        <w:tc>
          <w:tcPr>
            <w:tcW w:w="2407" w:type="dxa"/>
            <w:vAlign w:val="top"/>
          </w:tcPr>
          <w:p w14:paraId="5BF557B5">
            <w:pPr>
              <w:pStyle w:val="6"/>
              <w:spacing w:before="100" w:line="192" w:lineRule="auto"/>
              <w:ind w:left="688"/>
            </w:pPr>
            <w:r>
              <w:rPr>
                <w:spacing w:val="-1"/>
              </w:rPr>
              <w:t>6187.4mg/L</w:t>
            </w:r>
          </w:p>
        </w:tc>
        <w:tc>
          <w:tcPr>
            <w:tcW w:w="3639" w:type="dxa"/>
            <w:vAlign w:val="top"/>
          </w:tcPr>
          <w:p w14:paraId="41E35E54">
            <w:pPr>
              <w:pStyle w:val="6"/>
              <w:spacing w:before="104" w:line="188" w:lineRule="auto"/>
              <w:ind w:left="1447"/>
            </w:pPr>
            <w:r>
              <w:rPr>
                <w:spacing w:val="-1"/>
              </w:rPr>
              <w:t>456801g</w:t>
            </w:r>
          </w:p>
        </w:tc>
      </w:tr>
      <w:tr w14:paraId="08A2D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274" w:type="dxa"/>
            <w:vAlign w:val="top"/>
          </w:tcPr>
          <w:p w14:paraId="295EA260">
            <w:pPr>
              <w:pStyle w:val="6"/>
              <w:spacing w:before="107" w:line="195" w:lineRule="auto"/>
              <w:ind w:left="834"/>
            </w:pPr>
            <w:r>
              <w:t>NH</w:t>
            </w:r>
            <w:r>
              <w:rPr>
                <w:position w:val="-2"/>
                <w:sz w:val="14"/>
                <w:szCs w:val="14"/>
              </w:rPr>
              <w:t>3</w:t>
            </w:r>
            <w:r>
              <w:t>-N</w:t>
            </w:r>
          </w:p>
        </w:tc>
        <w:tc>
          <w:tcPr>
            <w:tcW w:w="2407" w:type="dxa"/>
            <w:vAlign w:val="top"/>
          </w:tcPr>
          <w:p w14:paraId="79F90C0E">
            <w:pPr>
              <w:pStyle w:val="6"/>
              <w:spacing w:before="100" w:line="192" w:lineRule="auto"/>
              <w:ind w:left="740"/>
            </w:pPr>
            <w:r>
              <w:rPr>
                <w:spacing w:val="-2"/>
              </w:rPr>
              <w:t>574.5mg/L</w:t>
            </w:r>
          </w:p>
        </w:tc>
        <w:tc>
          <w:tcPr>
            <w:tcW w:w="3639" w:type="dxa"/>
            <w:vAlign w:val="top"/>
          </w:tcPr>
          <w:p w14:paraId="394B09E8">
            <w:pPr>
              <w:pStyle w:val="6"/>
              <w:spacing w:before="104" w:line="188" w:lineRule="auto"/>
              <w:ind w:left="1499"/>
            </w:pPr>
            <w:r>
              <w:rPr>
                <w:spacing w:val="-1"/>
              </w:rPr>
              <w:t>42414g</w:t>
            </w:r>
          </w:p>
        </w:tc>
      </w:tr>
      <w:tr w14:paraId="61B1F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20" w:type="dxa"/>
            <w:gridSpan w:val="3"/>
            <w:vAlign w:val="top"/>
          </w:tcPr>
          <w:p w14:paraId="779BBF18">
            <w:pPr>
              <w:pStyle w:val="6"/>
              <w:spacing w:before="53" w:line="229" w:lineRule="auto"/>
              <w:ind w:left="31" w:hanging="19"/>
              <w:rPr>
                <w:rFonts w:ascii="Cambria" w:hAnsi="Cambria" w:eastAsia="Cambria" w:cs="Cambria"/>
                <w:sz w:val="15"/>
                <w:szCs w:val="15"/>
              </w:rPr>
            </w:pPr>
            <w:r>
              <w:rPr>
                <w:rFonts w:ascii="宋体" w:hAnsi="宋体" w:eastAsia="宋体" w:cs="宋体"/>
                <w:spacing w:val="-6"/>
              </w:rPr>
              <w:t>注：</w:t>
            </w:r>
            <w:r>
              <w:rPr>
                <w:spacing w:val="-6"/>
              </w:rPr>
              <w:t>COD</w:t>
            </w:r>
            <w:r>
              <w:rPr>
                <w:spacing w:val="11"/>
              </w:rPr>
              <w:t xml:space="preserve"> </w:t>
            </w:r>
            <w:r>
              <w:rPr>
                <w:rFonts w:ascii="宋体" w:hAnsi="宋体" w:eastAsia="宋体" w:cs="宋体"/>
                <w:spacing w:val="-6"/>
              </w:rPr>
              <w:t>与</w:t>
            </w:r>
            <w:r>
              <w:rPr>
                <w:rFonts w:ascii="宋体" w:hAnsi="宋体" w:eastAsia="宋体" w:cs="宋体"/>
                <w:spacing w:val="-45"/>
              </w:rPr>
              <w:t xml:space="preserve"> </w:t>
            </w:r>
            <w:r>
              <w:rPr>
                <w:spacing w:val="-6"/>
              </w:rPr>
              <w:t>COD</w:t>
            </w:r>
            <w:r>
              <w:rPr>
                <w:spacing w:val="-6"/>
                <w:position w:val="-2"/>
                <w:sz w:val="14"/>
                <w:szCs w:val="14"/>
              </w:rPr>
              <w:t>Mn</w:t>
            </w:r>
            <w:r>
              <w:rPr>
                <w:spacing w:val="25"/>
                <w:w w:val="101"/>
                <w:position w:val="-2"/>
                <w:sz w:val="14"/>
                <w:szCs w:val="14"/>
              </w:rPr>
              <w:t xml:space="preserve"> </w:t>
            </w:r>
            <w:r>
              <w:rPr>
                <w:rFonts w:ascii="宋体" w:hAnsi="宋体" w:eastAsia="宋体" w:cs="宋体"/>
                <w:spacing w:val="-6"/>
              </w:rPr>
              <w:t>的关系参考《印染废水</w:t>
            </w:r>
            <w:r>
              <w:rPr>
                <w:rFonts w:ascii="宋体" w:hAnsi="宋体" w:eastAsia="宋体" w:cs="宋体"/>
                <w:spacing w:val="-36"/>
              </w:rPr>
              <w:t xml:space="preserve"> </w:t>
            </w:r>
            <w:r>
              <w:rPr>
                <w:spacing w:val="-6"/>
              </w:rPr>
              <w:t>COD</w:t>
            </w:r>
            <w:r>
              <w:rPr>
                <w:rFonts w:ascii="宋体" w:hAnsi="宋体" w:eastAsia="宋体" w:cs="宋体"/>
                <w:spacing w:val="-6"/>
              </w:rPr>
              <w:t>（锰法）</w:t>
            </w:r>
            <w:r>
              <w:rPr>
                <w:rFonts w:ascii="宋体" w:hAnsi="宋体" w:eastAsia="宋体" w:cs="宋体"/>
                <w:spacing w:val="-7"/>
              </w:rPr>
              <w:t>与</w:t>
            </w:r>
            <w:r>
              <w:rPr>
                <w:rFonts w:ascii="宋体" w:hAnsi="宋体" w:eastAsia="宋体" w:cs="宋体"/>
                <w:spacing w:val="-45"/>
              </w:rPr>
              <w:t xml:space="preserve"> </w:t>
            </w:r>
            <w:r>
              <w:rPr>
                <w:spacing w:val="-7"/>
              </w:rPr>
              <w:t>COD</w:t>
            </w:r>
            <w:r>
              <w:rPr>
                <w:rFonts w:ascii="宋体" w:hAnsi="宋体" w:eastAsia="宋体" w:cs="宋体"/>
                <w:spacing w:val="-7"/>
              </w:rPr>
              <w:t>（铬法）相关关系的测定》</w:t>
            </w:r>
            <w:r>
              <w:rPr>
                <w:rFonts w:ascii="宋体" w:hAnsi="宋体" w:eastAsia="宋体" w:cs="宋体"/>
                <w:spacing w:val="-9"/>
                <w:position w:val="-1"/>
              </w:rPr>
              <w:t>中计算公式进行换算，换算公式为：</w:t>
            </w:r>
            <w:r>
              <w:rPr>
                <w:rFonts w:ascii="宋体" w:hAnsi="宋体" w:eastAsia="宋体" w:cs="宋体"/>
                <w:spacing w:val="-53"/>
                <w:position w:val="-1"/>
              </w:rPr>
              <w:t xml:space="preserve"> </w:t>
            </w:r>
            <w:r>
              <w:rPr>
                <w:rFonts w:ascii="Cambria" w:hAnsi="Cambria" w:eastAsia="Cambria" w:cs="Cambria"/>
                <w:spacing w:val="-9"/>
                <w:position w:val="5"/>
              </w:rPr>
              <w:t>C</w:t>
            </w:r>
            <w:r>
              <w:rPr>
                <w:rFonts w:ascii="Cambria" w:hAnsi="Cambria" w:eastAsia="Cambria" w:cs="Cambria"/>
                <w:spacing w:val="-9"/>
                <w:position w:val="1"/>
                <w:sz w:val="15"/>
                <w:szCs w:val="15"/>
              </w:rPr>
              <w:t xml:space="preserve">(COD)  </w:t>
            </w:r>
            <w:r>
              <w:rPr>
                <w:rFonts w:ascii="Cambria" w:hAnsi="Cambria" w:eastAsia="Cambria" w:cs="Cambria"/>
                <w:spacing w:val="-9"/>
                <w:position w:val="5"/>
              </w:rPr>
              <w:t>= 8</w:t>
            </w:r>
            <w:r>
              <w:rPr>
                <w:rFonts w:ascii="Cambria" w:hAnsi="Cambria" w:eastAsia="Cambria" w:cs="Cambria"/>
                <w:spacing w:val="-19"/>
                <w:position w:val="5"/>
              </w:rPr>
              <w:t xml:space="preserve"> </w:t>
            </w:r>
            <w:r>
              <w:rPr>
                <w:rFonts w:ascii="Cambria" w:hAnsi="Cambria" w:eastAsia="Cambria" w:cs="Cambria"/>
                <w:spacing w:val="-9"/>
                <w:position w:val="5"/>
              </w:rPr>
              <w:t>2.93</w:t>
            </w:r>
            <w:r>
              <w:rPr>
                <w:rFonts w:ascii="Cambria" w:hAnsi="Cambria" w:eastAsia="Cambria" w:cs="Cambria"/>
                <w:spacing w:val="-18"/>
                <w:position w:val="5"/>
              </w:rPr>
              <w:t xml:space="preserve"> </w:t>
            </w:r>
            <w:r>
              <w:rPr>
                <w:rFonts w:ascii="Cambria" w:hAnsi="Cambria" w:eastAsia="Cambria" w:cs="Cambria"/>
                <w:spacing w:val="-9"/>
                <w:position w:val="5"/>
              </w:rPr>
              <w:t>+ 3</w:t>
            </w:r>
            <w:r>
              <w:rPr>
                <w:rFonts w:ascii="Cambria" w:hAnsi="Cambria" w:eastAsia="Cambria" w:cs="Cambria"/>
                <w:spacing w:val="-20"/>
                <w:position w:val="5"/>
              </w:rPr>
              <w:t xml:space="preserve"> </w:t>
            </w:r>
            <w:r>
              <w:rPr>
                <w:rFonts w:ascii="Cambria" w:hAnsi="Cambria" w:eastAsia="Cambria" w:cs="Cambria"/>
                <w:spacing w:val="-9"/>
                <w:position w:val="5"/>
              </w:rPr>
              <w:t xml:space="preserve">.38 </w:t>
            </w:r>
            <w:r>
              <w:rPr>
                <w:rFonts w:ascii="MS Gothic" w:hAnsi="MS Gothic" w:eastAsia="MS Gothic" w:cs="MS Gothic"/>
                <w:spacing w:val="-9"/>
                <w:position w:val="5"/>
                <w:sz w:val="18"/>
                <w:szCs w:val="18"/>
              </w:rPr>
              <w:t>*</w:t>
            </w:r>
            <w:r>
              <w:rPr>
                <w:rFonts w:ascii="MS Gothic" w:hAnsi="MS Gothic" w:eastAsia="MS Gothic" w:cs="MS Gothic"/>
                <w:spacing w:val="-43"/>
                <w:position w:val="5"/>
                <w:sz w:val="18"/>
                <w:szCs w:val="18"/>
              </w:rPr>
              <w:t xml:space="preserve"> </w:t>
            </w:r>
            <w:r>
              <w:rPr>
                <w:rFonts w:ascii="Cambria" w:hAnsi="Cambria" w:eastAsia="Cambria" w:cs="Cambria"/>
                <w:spacing w:val="-9"/>
                <w:position w:val="5"/>
              </w:rPr>
              <w:t>C</w:t>
            </w:r>
            <w:r>
              <w:rPr>
                <w:rFonts w:ascii="Cambria" w:hAnsi="Cambria" w:eastAsia="Cambria" w:cs="Cambria"/>
                <w:spacing w:val="-9"/>
                <w:sz w:val="15"/>
                <w:szCs w:val="15"/>
              </w:rPr>
              <w:t>(CO</w:t>
            </w:r>
            <w:r>
              <w:rPr>
                <w:rFonts w:ascii="Cambria" w:hAnsi="Cambria" w:eastAsia="Cambria" w:cs="Cambria"/>
                <w:spacing w:val="-10"/>
                <w:sz w:val="15"/>
                <w:szCs w:val="15"/>
              </w:rPr>
              <w:t>D</w:t>
            </w:r>
            <w:r>
              <w:rPr>
                <w:rFonts w:ascii="Cambria" w:hAnsi="Cambria" w:eastAsia="Cambria" w:cs="Cambria"/>
                <w:spacing w:val="-10"/>
                <w:sz w:val="12"/>
                <w:szCs w:val="12"/>
              </w:rPr>
              <w:t>Mn</w:t>
            </w:r>
            <w:r>
              <w:rPr>
                <w:rFonts w:ascii="Cambria" w:hAnsi="Cambria" w:eastAsia="Cambria" w:cs="Cambria"/>
                <w:spacing w:val="-10"/>
                <w:sz w:val="15"/>
                <w:szCs w:val="15"/>
              </w:rPr>
              <w:t>)</w:t>
            </w:r>
          </w:p>
        </w:tc>
      </w:tr>
    </w:tbl>
    <w:p w14:paraId="54D01FCB">
      <w:pPr>
        <w:spacing w:before="234" w:line="217" w:lineRule="auto"/>
        <w:ind w:left="519"/>
        <w:rPr>
          <w:rFonts w:ascii="宋体" w:hAnsi="宋体" w:eastAsia="宋体" w:cs="宋体"/>
          <w:sz w:val="24"/>
          <w:szCs w:val="24"/>
        </w:rPr>
      </w:pPr>
      <w:r>
        <w:rPr>
          <w:rFonts w:ascii="宋体" w:hAnsi="宋体" w:eastAsia="宋体" w:cs="宋体"/>
          <w:b/>
          <w:bCs/>
          <w:spacing w:val="-3"/>
          <w:sz w:val="24"/>
          <w:szCs w:val="24"/>
        </w:rPr>
        <w:t>④预测方法</w:t>
      </w:r>
    </w:p>
    <w:p w14:paraId="7BFC5A8A">
      <w:pPr>
        <w:spacing w:before="187" w:line="361" w:lineRule="auto"/>
        <w:ind w:left="38" w:right="205" w:firstLine="480"/>
        <w:jc w:val="both"/>
        <w:rPr>
          <w:rFonts w:ascii="宋体" w:hAnsi="宋体" w:eastAsia="宋体" w:cs="宋体"/>
          <w:sz w:val="24"/>
          <w:szCs w:val="24"/>
        </w:rPr>
      </w:pPr>
      <w:r>
        <w:rPr>
          <w:rFonts w:ascii="宋体" w:hAnsi="宋体" w:eastAsia="宋体" w:cs="宋体"/>
          <w:spacing w:val="-2"/>
          <w:sz w:val="24"/>
          <w:szCs w:val="24"/>
        </w:rPr>
        <w:t>根据《环境影响评价技术导则</w:t>
      </w:r>
      <w:r>
        <w:rPr>
          <w:rFonts w:ascii="宋体" w:hAnsi="宋体" w:eastAsia="宋体" w:cs="宋体"/>
          <w:spacing w:val="31"/>
          <w:sz w:val="24"/>
          <w:szCs w:val="24"/>
        </w:rPr>
        <w:t xml:space="preserve"> </w:t>
      </w:r>
      <w:r>
        <w:rPr>
          <w:rFonts w:ascii="宋体" w:hAnsi="宋体" w:eastAsia="宋体" w:cs="宋体"/>
          <w:spacing w:val="-2"/>
          <w:sz w:val="24"/>
          <w:szCs w:val="24"/>
        </w:rPr>
        <w:t>地下水环境》（</w:t>
      </w:r>
      <w:r>
        <w:rPr>
          <w:rFonts w:ascii="Times New Roman" w:hAnsi="Times New Roman" w:eastAsia="Times New Roman" w:cs="Times New Roman"/>
          <w:spacing w:val="-2"/>
          <w:sz w:val="24"/>
          <w:szCs w:val="24"/>
        </w:rPr>
        <w:t>HJ 610-2016</w:t>
      </w:r>
      <w:r>
        <w:rPr>
          <w:rFonts w:ascii="宋体" w:hAnsi="宋体" w:eastAsia="宋体" w:cs="宋体"/>
          <w:spacing w:val="5"/>
          <w:sz w:val="24"/>
          <w:szCs w:val="24"/>
        </w:rPr>
        <w:t>），</w:t>
      </w:r>
      <w:r>
        <w:rPr>
          <w:rFonts w:ascii="宋体" w:hAnsi="宋体" w:eastAsia="宋体" w:cs="宋体"/>
          <w:spacing w:val="-2"/>
          <w:sz w:val="24"/>
          <w:szCs w:val="24"/>
        </w:rPr>
        <w:t>结合本项目</w:t>
      </w:r>
      <w:r>
        <w:rPr>
          <w:rFonts w:ascii="宋体" w:hAnsi="宋体" w:eastAsia="宋体" w:cs="宋体"/>
          <w:spacing w:val="-3"/>
          <w:sz w:val="24"/>
          <w:szCs w:val="24"/>
        </w:rPr>
        <w:t>的工程特性及水文地质条件，本次评价选择导则中瞬时注入示踪剂</w:t>
      </w:r>
      <w:r>
        <w:rPr>
          <w:rFonts w:ascii="Times New Roman" w:hAnsi="Times New Roman" w:eastAsia="Times New Roman" w:cs="Times New Roman"/>
          <w:spacing w:val="-3"/>
          <w:sz w:val="24"/>
          <w:szCs w:val="24"/>
        </w:rPr>
        <w:t>—</w:t>
      </w:r>
      <w:r>
        <w:rPr>
          <w:rFonts w:ascii="宋体" w:hAnsi="宋体" w:eastAsia="宋体" w:cs="宋体"/>
          <w:spacing w:val="-3"/>
          <w:sz w:val="24"/>
          <w:szCs w:val="24"/>
        </w:rPr>
        <w:t>平面瞬时点</w:t>
      </w:r>
      <w:r>
        <w:rPr>
          <w:rFonts w:ascii="宋体" w:hAnsi="宋体" w:eastAsia="宋体" w:cs="宋体"/>
          <w:spacing w:val="-6"/>
          <w:sz w:val="24"/>
          <w:szCs w:val="24"/>
        </w:rPr>
        <w:t>源预测模型。</w:t>
      </w:r>
    </w:p>
    <w:p w14:paraId="7E40B64D">
      <w:pPr>
        <w:spacing w:before="49" w:line="646" w:lineRule="exact"/>
        <w:ind w:left="2475"/>
      </w:pPr>
      <w:r>
        <w:rPr>
          <w:position w:val="-13"/>
        </w:rPr>
        <w:drawing>
          <wp:inline distT="0" distB="0" distL="0" distR="0">
            <wp:extent cx="2164715" cy="40957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572"/>
                    <a:stretch>
                      <a:fillRect/>
                    </a:stretch>
                  </pic:blipFill>
                  <pic:spPr>
                    <a:xfrm>
                      <a:off x="0" y="0"/>
                      <a:ext cx="2165182" cy="409956"/>
                    </a:xfrm>
                    <a:prstGeom prst="rect">
                      <a:avLst/>
                    </a:prstGeom>
                  </pic:spPr>
                </pic:pic>
              </a:graphicData>
            </a:graphic>
          </wp:inline>
        </w:drawing>
      </w:r>
    </w:p>
    <w:p w14:paraId="62259804">
      <w:pPr>
        <w:spacing w:before="235" w:line="212" w:lineRule="auto"/>
        <w:ind w:left="524"/>
        <w:rPr>
          <w:rFonts w:ascii="宋体" w:hAnsi="宋体" w:eastAsia="宋体" w:cs="宋体"/>
          <w:sz w:val="24"/>
          <w:szCs w:val="24"/>
        </w:rPr>
      </w:pPr>
      <w:r>
        <w:rPr>
          <w:rFonts w:ascii="宋体" w:hAnsi="宋体" w:eastAsia="宋体" w:cs="宋体"/>
          <w:spacing w:val="-6"/>
          <w:sz w:val="24"/>
          <w:szCs w:val="24"/>
        </w:rPr>
        <w:t>式中：</w:t>
      </w:r>
      <w:r>
        <w:rPr>
          <w:rFonts w:ascii="Times New Roman" w:hAnsi="Times New Roman" w:eastAsia="Times New Roman" w:cs="Times New Roman"/>
          <w:spacing w:val="-6"/>
          <w:sz w:val="24"/>
          <w:szCs w:val="24"/>
        </w:rPr>
        <w:t>x</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y—</w:t>
      </w:r>
      <w:r>
        <w:rPr>
          <w:rFonts w:ascii="宋体" w:hAnsi="宋体" w:eastAsia="宋体" w:cs="宋体"/>
          <w:spacing w:val="-6"/>
          <w:sz w:val="24"/>
          <w:szCs w:val="24"/>
        </w:rPr>
        <w:t>计算点处的位置坐标；</w:t>
      </w:r>
    </w:p>
    <w:p w14:paraId="1254FD6E">
      <w:pPr>
        <w:spacing w:before="192" w:line="222" w:lineRule="auto"/>
        <w:ind w:left="1232"/>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时间，</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5FA78DD9">
      <w:pPr>
        <w:spacing w:before="181" w:line="221" w:lineRule="auto"/>
        <w:ind w:left="1246"/>
        <w:rPr>
          <w:rFonts w:ascii="宋体" w:hAnsi="宋体" w:eastAsia="宋体" w:cs="宋体"/>
          <w:sz w:val="24"/>
          <w:szCs w:val="24"/>
        </w:rPr>
      </w:pPr>
      <w:r>
        <w:rPr>
          <w:rFonts w:ascii="Times New Roman" w:hAnsi="Times New Roman" w:eastAsia="Times New Roman" w:cs="Times New Roman"/>
          <w:i/>
          <w:iCs/>
          <w:spacing w:val="-1"/>
          <w:sz w:val="24"/>
          <w:szCs w:val="24"/>
        </w:rPr>
        <w:t>C</w:t>
      </w:r>
      <w:r>
        <w:rPr>
          <w:rFonts w:ascii="Times New Roman" w:hAnsi="Times New Roman" w:eastAsia="Times New Roman" w:cs="Times New Roman"/>
          <w:i/>
          <w:iCs/>
          <w:spacing w:val="-1"/>
          <w:position w:val="-2"/>
          <w:sz w:val="15"/>
          <w:szCs w:val="15"/>
        </w:rPr>
        <w:t>(x,y,t)</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32"/>
          <w:w w:val="101"/>
          <w:sz w:val="24"/>
          <w:szCs w:val="24"/>
        </w:rPr>
        <w:t xml:space="preserve"> </w:t>
      </w:r>
      <w:r>
        <w:rPr>
          <w:rFonts w:ascii="宋体" w:hAnsi="宋体" w:eastAsia="宋体" w:cs="宋体"/>
          <w:spacing w:val="-1"/>
          <w:sz w:val="24"/>
          <w:szCs w:val="24"/>
        </w:rPr>
        <w:t>时刻点</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 xml:space="preserve">x,y </w:t>
      </w:r>
      <w:r>
        <w:rPr>
          <w:rFonts w:ascii="宋体" w:hAnsi="宋体" w:eastAsia="宋体" w:cs="宋体"/>
          <w:spacing w:val="-1"/>
          <w:sz w:val="24"/>
          <w:szCs w:val="24"/>
        </w:rPr>
        <w:t>处的示踪剂浓度，</w:t>
      </w:r>
      <w:r>
        <w:rPr>
          <w:rFonts w:ascii="Times New Roman" w:hAnsi="Times New Roman" w:eastAsia="Times New Roman" w:cs="Times New Roman"/>
          <w:spacing w:val="-1"/>
          <w:sz w:val="24"/>
          <w:szCs w:val="24"/>
        </w:rPr>
        <w:t>g/L</w:t>
      </w:r>
      <w:r>
        <w:rPr>
          <w:rFonts w:ascii="宋体" w:hAnsi="宋体" w:eastAsia="宋体" w:cs="宋体"/>
          <w:spacing w:val="-1"/>
          <w:sz w:val="24"/>
          <w:szCs w:val="24"/>
        </w:rPr>
        <w:t>；</w:t>
      </w:r>
    </w:p>
    <w:p w14:paraId="4E1E08C4">
      <w:pPr>
        <w:spacing w:before="179" w:line="220" w:lineRule="auto"/>
        <w:ind w:left="1222"/>
        <w:rPr>
          <w:rFonts w:ascii="宋体" w:hAnsi="宋体" w:eastAsia="宋体" w:cs="宋体"/>
          <w:sz w:val="24"/>
          <w:szCs w:val="24"/>
        </w:rPr>
      </w:pPr>
      <w:r>
        <w:rPr>
          <w:rFonts w:ascii="Times New Roman" w:hAnsi="Times New Roman" w:eastAsia="Times New Roman" w:cs="Times New Roman"/>
          <w:i/>
          <w:iCs/>
          <w:sz w:val="24"/>
          <w:szCs w:val="24"/>
        </w:rPr>
        <w:t>M</w:t>
      </w:r>
      <w:r>
        <w:rPr>
          <w:rFonts w:ascii="Times New Roman" w:hAnsi="Times New Roman" w:eastAsia="Times New Roman" w:cs="Times New Roman"/>
          <w:sz w:val="24"/>
          <w:szCs w:val="24"/>
        </w:rPr>
        <w:t>—</w:t>
      </w:r>
      <w:r>
        <w:rPr>
          <w:rFonts w:ascii="宋体" w:hAnsi="宋体" w:eastAsia="宋体" w:cs="宋体"/>
          <w:sz w:val="24"/>
          <w:szCs w:val="24"/>
        </w:rPr>
        <w:t>承压含水层的厚度，</w:t>
      </w:r>
      <w:r>
        <w:rPr>
          <w:rFonts w:ascii="Times New Roman" w:hAnsi="Times New Roman" w:eastAsia="Times New Roman" w:cs="Times New Roman"/>
          <w:sz w:val="24"/>
          <w:szCs w:val="24"/>
        </w:rPr>
        <w:t>m</w:t>
      </w:r>
      <w:r>
        <w:rPr>
          <w:rFonts w:ascii="宋体" w:hAnsi="宋体" w:eastAsia="宋体" w:cs="宋体"/>
          <w:sz w:val="24"/>
          <w:szCs w:val="24"/>
        </w:rPr>
        <w:t>；</w:t>
      </w:r>
    </w:p>
    <w:p w14:paraId="70A9451B">
      <w:pPr>
        <w:spacing w:before="183" w:line="212" w:lineRule="auto"/>
        <w:ind w:left="1234"/>
        <w:rPr>
          <w:rFonts w:ascii="宋体" w:hAnsi="宋体" w:eastAsia="宋体" w:cs="宋体"/>
          <w:sz w:val="24"/>
          <w:szCs w:val="24"/>
        </w:rPr>
      </w:pPr>
      <w:r>
        <w:rPr>
          <w:rFonts w:ascii="Times New Roman" w:hAnsi="Times New Roman" w:eastAsia="Times New Roman" w:cs="Times New Roman"/>
          <w:i/>
          <w:iCs/>
          <w:spacing w:val="-2"/>
          <w:sz w:val="24"/>
          <w:szCs w:val="24"/>
        </w:rPr>
        <w:t>m</w:t>
      </w:r>
      <w:r>
        <w:rPr>
          <w:rFonts w:ascii="Times New Roman" w:hAnsi="Times New Roman" w:eastAsia="Times New Roman" w:cs="Times New Roman"/>
          <w:i/>
          <w:iCs/>
          <w:spacing w:val="-2"/>
          <w:position w:val="-2"/>
          <w:sz w:val="15"/>
          <w:szCs w:val="15"/>
        </w:rPr>
        <w:t>M</w:t>
      </w:r>
      <w:r>
        <w:rPr>
          <w:rFonts w:ascii="Times New Roman" w:hAnsi="Times New Roman" w:eastAsia="Times New Roman" w:cs="Times New Roman"/>
          <w:spacing w:val="-2"/>
          <w:sz w:val="24"/>
          <w:szCs w:val="24"/>
        </w:rPr>
        <w:t>—</w:t>
      </w:r>
      <w:r>
        <w:rPr>
          <w:rFonts w:ascii="宋体" w:hAnsi="宋体" w:eastAsia="宋体" w:cs="宋体"/>
          <w:spacing w:val="-2"/>
          <w:sz w:val="24"/>
          <w:szCs w:val="24"/>
        </w:rPr>
        <w:t>长度为</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的线源瞬时注入的示踪剂质量，</w:t>
      </w:r>
      <w:r>
        <w:rPr>
          <w:rFonts w:ascii="Times New Roman" w:hAnsi="Times New Roman" w:eastAsia="Times New Roman" w:cs="Times New Roman"/>
          <w:spacing w:val="-2"/>
          <w:sz w:val="24"/>
          <w:szCs w:val="24"/>
        </w:rPr>
        <w:t>kg</w:t>
      </w:r>
      <w:r>
        <w:rPr>
          <w:rFonts w:ascii="宋体" w:hAnsi="宋体" w:eastAsia="宋体" w:cs="宋体"/>
          <w:spacing w:val="-2"/>
          <w:sz w:val="24"/>
          <w:szCs w:val="24"/>
        </w:rPr>
        <w:t>；</w:t>
      </w:r>
    </w:p>
    <w:p w14:paraId="0081ACEB">
      <w:pPr>
        <w:spacing w:before="192" w:line="220" w:lineRule="auto"/>
        <w:ind w:left="1236"/>
        <w:rPr>
          <w:rFonts w:ascii="宋体" w:hAnsi="宋体" w:eastAsia="宋体" w:cs="宋体"/>
          <w:sz w:val="24"/>
          <w:szCs w:val="24"/>
        </w:rPr>
      </w:pPr>
      <w:r>
        <w:rPr>
          <w:rFonts w:ascii="Times New Roman" w:hAnsi="Times New Roman" w:eastAsia="Times New Roman" w:cs="Times New Roman"/>
          <w:i/>
          <w:iCs/>
          <w:spacing w:val="-1"/>
          <w:sz w:val="24"/>
          <w:szCs w:val="24"/>
        </w:rPr>
        <w:t>u</w:t>
      </w:r>
      <w:r>
        <w:rPr>
          <w:rFonts w:ascii="Times New Roman" w:hAnsi="Times New Roman" w:eastAsia="Times New Roman" w:cs="Times New Roman"/>
          <w:spacing w:val="-1"/>
          <w:sz w:val="24"/>
          <w:szCs w:val="24"/>
        </w:rPr>
        <w:t>—</w:t>
      </w:r>
      <w:r>
        <w:rPr>
          <w:rFonts w:ascii="宋体" w:hAnsi="宋体" w:eastAsia="宋体" w:cs="宋体"/>
          <w:spacing w:val="-1"/>
          <w:sz w:val="24"/>
          <w:szCs w:val="24"/>
        </w:rPr>
        <w:t>水流速度，</w:t>
      </w:r>
      <w:r>
        <w:rPr>
          <w:rFonts w:ascii="Times New Roman" w:hAnsi="Times New Roman" w:eastAsia="Times New Roman" w:cs="Times New Roman"/>
          <w:spacing w:val="-1"/>
          <w:sz w:val="24"/>
          <w:szCs w:val="24"/>
        </w:rPr>
        <w:t>m/d</w:t>
      </w:r>
      <w:r>
        <w:rPr>
          <w:rFonts w:ascii="宋体" w:hAnsi="宋体" w:eastAsia="宋体" w:cs="宋体"/>
          <w:spacing w:val="-1"/>
          <w:sz w:val="24"/>
          <w:szCs w:val="24"/>
        </w:rPr>
        <w:t>；</w:t>
      </w:r>
    </w:p>
    <w:p w14:paraId="7A15A71B">
      <w:pPr>
        <w:spacing w:before="182" w:line="220" w:lineRule="auto"/>
        <w:ind w:left="1234"/>
        <w:rPr>
          <w:rFonts w:ascii="宋体" w:hAnsi="宋体" w:eastAsia="宋体" w:cs="宋体"/>
          <w:sz w:val="24"/>
          <w:szCs w:val="24"/>
        </w:rPr>
      </w:pPr>
      <w:r>
        <w:rPr>
          <w:rFonts w:ascii="Times New Roman" w:hAnsi="Times New Roman" w:eastAsia="Times New Roman" w:cs="Times New Roman"/>
          <w:i/>
          <w:iCs/>
          <w:spacing w:val="-5"/>
          <w:sz w:val="24"/>
          <w:szCs w:val="24"/>
        </w:rPr>
        <w:t>n</w:t>
      </w:r>
      <w:r>
        <w:rPr>
          <w:rFonts w:ascii="Times New Roman" w:hAnsi="Times New Roman" w:eastAsia="Times New Roman" w:cs="Times New Roman"/>
          <w:spacing w:val="-5"/>
          <w:sz w:val="24"/>
          <w:szCs w:val="24"/>
        </w:rPr>
        <w:t>—</w:t>
      </w:r>
      <w:r>
        <w:rPr>
          <w:rFonts w:ascii="宋体" w:hAnsi="宋体" w:eastAsia="宋体" w:cs="宋体"/>
          <w:spacing w:val="-5"/>
          <w:sz w:val="24"/>
          <w:szCs w:val="24"/>
        </w:rPr>
        <w:t>有效孔隙度，无量纲；</w:t>
      </w:r>
    </w:p>
    <w:p w14:paraId="2BB9A77F">
      <w:pPr>
        <w:spacing w:before="168" w:line="226" w:lineRule="auto"/>
        <w:ind w:left="1223"/>
        <w:rPr>
          <w:rFonts w:ascii="宋体" w:hAnsi="宋体" w:eastAsia="宋体" w:cs="宋体"/>
          <w:sz w:val="24"/>
          <w:szCs w:val="24"/>
        </w:rPr>
      </w:pPr>
      <w:r>
        <w:rPr>
          <w:rFonts w:ascii="Times New Roman" w:hAnsi="Times New Roman" w:eastAsia="Times New Roman" w:cs="Times New Roman"/>
          <w:i/>
          <w:iCs/>
          <w:sz w:val="24"/>
          <w:szCs w:val="24"/>
        </w:rPr>
        <w:t>D</w:t>
      </w:r>
      <w:r>
        <w:rPr>
          <w:rFonts w:ascii="Times New Roman" w:hAnsi="Times New Roman" w:eastAsia="Times New Roman" w:cs="Times New Roman"/>
          <w:i/>
          <w:iCs/>
          <w:position w:val="-3"/>
          <w:sz w:val="15"/>
          <w:szCs w:val="15"/>
        </w:rPr>
        <w:t>L</w:t>
      </w:r>
      <w:r>
        <w:rPr>
          <w:rFonts w:ascii="Times New Roman" w:hAnsi="Times New Roman" w:eastAsia="Times New Roman" w:cs="Times New Roman"/>
          <w:spacing w:val="1"/>
          <w:sz w:val="24"/>
          <w:szCs w:val="24"/>
        </w:rPr>
        <w:t>—</w:t>
      </w:r>
      <w:r>
        <w:rPr>
          <w:rFonts w:ascii="宋体" w:hAnsi="宋体" w:eastAsia="宋体" w:cs="宋体"/>
          <w:spacing w:val="1"/>
          <w:sz w:val="24"/>
          <w:szCs w:val="24"/>
        </w:rPr>
        <w:t>纵向弥散系数，</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2</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47F7ACB4">
      <w:pPr>
        <w:spacing w:before="174" w:line="223" w:lineRule="auto"/>
        <w:ind w:left="1223"/>
        <w:rPr>
          <w:rFonts w:ascii="宋体" w:hAnsi="宋体" w:eastAsia="宋体" w:cs="宋体"/>
          <w:sz w:val="24"/>
          <w:szCs w:val="24"/>
        </w:rPr>
      </w:pPr>
      <w:r>
        <w:rPr>
          <w:rFonts w:ascii="Times New Roman" w:hAnsi="Times New Roman" w:eastAsia="Times New Roman" w:cs="Times New Roman"/>
          <w:i/>
          <w:iCs/>
          <w:sz w:val="24"/>
          <w:szCs w:val="24"/>
        </w:rPr>
        <w:t>D</w:t>
      </w:r>
      <w:r>
        <w:rPr>
          <w:rFonts w:ascii="Times New Roman" w:hAnsi="Times New Roman" w:eastAsia="Times New Roman" w:cs="Times New Roman"/>
          <w:i/>
          <w:iCs/>
          <w:position w:val="-3"/>
          <w:sz w:val="15"/>
          <w:szCs w:val="15"/>
        </w:rPr>
        <w:t>T</w:t>
      </w:r>
      <w:r>
        <w:rPr>
          <w:rFonts w:ascii="Times New Roman" w:hAnsi="Times New Roman" w:eastAsia="Times New Roman" w:cs="Times New Roman"/>
          <w:sz w:val="24"/>
          <w:szCs w:val="24"/>
        </w:rPr>
        <w:t>—</w:t>
      </w:r>
      <w:r>
        <w:rPr>
          <w:rFonts w:ascii="宋体" w:hAnsi="宋体" w:eastAsia="宋体" w:cs="宋体"/>
          <w:sz w:val="24"/>
          <w:szCs w:val="24"/>
        </w:rPr>
        <w:t>横向</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 xml:space="preserve">y </w:t>
      </w:r>
      <w:r>
        <w:rPr>
          <w:rFonts w:ascii="宋体" w:hAnsi="宋体" w:eastAsia="宋体" w:cs="宋体"/>
          <w:sz w:val="24"/>
          <w:szCs w:val="24"/>
        </w:rPr>
        <w:t>方向的弥散系数，</w:t>
      </w:r>
      <w:r>
        <w:rPr>
          <w:rFonts w:ascii="Times New Roman" w:hAnsi="Times New Roman" w:eastAsia="Times New Roman" w:cs="Times New Roman"/>
          <w:sz w:val="24"/>
          <w:szCs w:val="24"/>
        </w:rPr>
        <w:t>m</w:t>
      </w:r>
      <w:r>
        <w:rPr>
          <w:rFonts w:ascii="Times New Roman" w:hAnsi="Times New Roman" w:eastAsia="Times New Roman" w:cs="Times New Roman"/>
          <w:position w:val="10"/>
          <w:sz w:val="15"/>
          <w:szCs w:val="15"/>
        </w:rPr>
        <w:t>2</w:t>
      </w:r>
      <w:r>
        <w:rPr>
          <w:rFonts w:ascii="Times New Roman" w:hAnsi="Times New Roman" w:eastAsia="Times New Roman" w:cs="Times New Roman"/>
          <w:sz w:val="24"/>
          <w:szCs w:val="24"/>
        </w:rPr>
        <w:t>/d</w:t>
      </w:r>
      <w:r>
        <w:rPr>
          <w:rFonts w:ascii="宋体" w:hAnsi="宋体" w:eastAsia="宋体" w:cs="宋体"/>
          <w:sz w:val="24"/>
          <w:szCs w:val="24"/>
        </w:rPr>
        <w:t>；</w:t>
      </w:r>
    </w:p>
    <w:p w14:paraId="57550290">
      <w:pPr>
        <w:spacing w:before="192" w:line="220" w:lineRule="auto"/>
        <w:ind w:left="1231"/>
        <w:rPr>
          <w:rFonts w:ascii="宋体" w:hAnsi="宋体" w:eastAsia="宋体" w:cs="宋体"/>
          <w:sz w:val="24"/>
          <w:szCs w:val="24"/>
        </w:rPr>
      </w:pPr>
      <w:r>
        <w:rPr>
          <w:rFonts w:ascii="Times New Roman" w:hAnsi="Times New Roman" w:eastAsia="Times New Roman" w:cs="Times New Roman"/>
          <w:spacing w:val="-5"/>
          <w:sz w:val="24"/>
          <w:szCs w:val="24"/>
        </w:rPr>
        <w:t>π—</w:t>
      </w:r>
      <w:r>
        <w:rPr>
          <w:rFonts w:ascii="宋体" w:hAnsi="宋体" w:eastAsia="宋体" w:cs="宋体"/>
          <w:spacing w:val="-5"/>
          <w:sz w:val="24"/>
          <w:szCs w:val="24"/>
        </w:rPr>
        <w:t>圆周率。</w:t>
      </w:r>
    </w:p>
    <w:p w14:paraId="75C4E74F">
      <w:pPr>
        <w:spacing w:before="183" w:line="217" w:lineRule="auto"/>
        <w:ind w:left="519"/>
        <w:rPr>
          <w:rFonts w:ascii="宋体" w:hAnsi="宋体" w:eastAsia="宋体" w:cs="宋体"/>
          <w:sz w:val="24"/>
          <w:szCs w:val="24"/>
        </w:rPr>
      </w:pPr>
      <w:r>
        <w:rPr>
          <w:rFonts w:ascii="宋体" w:hAnsi="宋体" w:eastAsia="宋体" w:cs="宋体"/>
          <w:b/>
          <w:bCs/>
          <w:spacing w:val="-3"/>
          <w:sz w:val="24"/>
          <w:szCs w:val="24"/>
        </w:rPr>
        <w:t>⑤参数取值</w:t>
      </w:r>
    </w:p>
    <w:p w14:paraId="6C432DB0">
      <w:pPr>
        <w:spacing w:before="185" w:line="220" w:lineRule="auto"/>
        <w:ind w:left="523"/>
        <w:rPr>
          <w:rFonts w:ascii="宋体" w:hAnsi="宋体" w:eastAsia="宋体" w:cs="宋体"/>
          <w:sz w:val="24"/>
          <w:szCs w:val="24"/>
        </w:rPr>
      </w:pPr>
      <w:r>
        <w:rPr>
          <w:rFonts w:ascii="Times New Roman" w:hAnsi="Times New Roman" w:eastAsia="Times New Roman" w:cs="Times New Roman"/>
          <w:b/>
          <w:bCs/>
          <w:spacing w:val="-3"/>
          <w:sz w:val="24"/>
          <w:szCs w:val="24"/>
        </w:rPr>
        <w:t>a.</w:t>
      </w:r>
      <w:r>
        <w:rPr>
          <w:rFonts w:ascii="宋体" w:hAnsi="宋体" w:eastAsia="宋体" w:cs="宋体"/>
          <w:b/>
          <w:bCs/>
          <w:spacing w:val="-3"/>
          <w:sz w:val="24"/>
          <w:szCs w:val="24"/>
        </w:rPr>
        <w:t>纵向弥散度</w:t>
      </w:r>
    </w:p>
    <w:p w14:paraId="5BB9009B">
      <w:pPr>
        <w:spacing w:before="182" w:line="219" w:lineRule="auto"/>
        <w:jc w:val="right"/>
        <w:rPr>
          <w:rFonts w:ascii="宋体" w:hAnsi="宋体" w:eastAsia="宋体" w:cs="宋体"/>
          <w:sz w:val="24"/>
          <w:szCs w:val="24"/>
        </w:rPr>
      </w:pPr>
      <w:r>
        <w:rPr>
          <w:rFonts w:ascii="宋体" w:hAnsi="宋体" w:eastAsia="宋体" w:cs="宋体"/>
          <w:spacing w:val="-4"/>
          <w:sz w:val="24"/>
          <w:szCs w:val="24"/>
        </w:rPr>
        <w:t>弥散度是一个和试验规模有关的参数，即弥散度随着试</w:t>
      </w:r>
      <w:r>
        <w:rPr>
          <w:rFonts w:ascii="宋体" w:hAnsi="宋体" w:eastAsia="宋体" w:cs="宋体"/>
          <w:spacing w:val="-5"/>
          <w:sz w:val="24"/>
          <w:szCs w:val="24"/>
        </w:rPr>
        <w:t>验尺度的增大而增大。</w:t>
      </w:r>
    </w:p>
    <w:p w14:paraId="62D36820">
      <w:pPr>
        <w:spacing w:before="185" w:line="331" w:lineRule="auto"/>
        <w:ind w:left="39" w:right="138" w:hanging="5"/>
        <w:jc w:val="both"/>
        <w:rPr>
          <w:rFonts w:ascii="宋体" w:hAnsi="宋体" w:eastAsia="宋体" w:cs="宋体"/>
          <w:sz w:val="24"/>
          <w:szCs w:val="24"/>
        </w:rPr>
      </w:pPr>
      <w:r>
        <w:rPr>
          <w:rFonts w:ascii="Times New Roman" w:hAnsi="Times New Roman" w:eastAsia="Times New Roman" w:cs="Times New Roman"/>
          <w:spacing w:val="-1"/>
          <w:sz w:val="24"/>
          <w:szCs w:val="24"/>
        </w:rPr>
        <w:t>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S. Makuch</w:t>
      </w:r>
      <w:r>
        <w:rPr>
          <w:rFonts w:ascii="宋体" w:hAnsi="宋体" w:eastAsia="宋体" w:cs="宋体"/>
          <w:spacing w:val="-1"/>
          <w:sz w:val="24"/>
          <w:szCs w:val="24"/>
        </w:rPr>
        <w:t>（</w:t>
      </w:r>
      <w:r>
        <w:rPr>
          <w:rFonts w:ascii="Times New Roman" w:hAnsi="Times New Roman" w:eastAsia="Times New Roman" w:cs="Times New Roman"/>
          <w:spacing w:val="-1"/>
          <w:sz w:val="24"/>
          <w:szCs w:val="24"/>
        </w:rPr>
        <w:t>2005</w:t>
      </w:r>
      <w:r>
        <w:rPr>
          <w:rFonts w:ascii="宋体" w:hAnsi="宋体" w:eastAsia="宋体" w:cs="宋体"/>
          <w:spacing w:val="-1"/>
          <w:sz w:val="24"/>
          <w:szCs w:val="24"/>
        </w:rPr>
        <w:t>）综合了其他人的研究成果，对不同岩性和不同尺度条件下介质的弥散度大小进行了统计，获得了污染物在不同岩性中迁移的纵向弥散</w:t>
      </w:r>
      <w:r>
        <w:rPr>
          <w:rFonts w:ascii="宋体" w:hAnsi="宋体" w:eastAsia="宋体" w:cs="宋体"/>
          <w:spacing w:val="-2"/>
          <w:sz w:val="24"/>
          <w:szCs w:val="24"/>
        </w:rPr>
        <w:t>度，</w:t>
      </w:r>
      <w:r>
        <w:rPr>
          <w:rFonts w:ascii="宋体" w:hAnsi="宋体" w:eastAsia="宋体" w:cs="宋体"/>
          <w:spacing w:val="-3"/>
          <w:sz w:val="24"/>
          <w:szCs w:val="24"/>
        </w:rPr>
        <w:t>并存在尺度效应现象，松散沉积物纵向弥散度与研究区尺度关系。结合本项目地</w:t>
      </w:r>
    </w:p>
    <w:p w14:paraId="3925D883">
      <w:pPr>
        <w:spacing w:line="331" w:lineRule="auto"/>
        <w:rPr>
          <w:rFonts w:ascii="宋体" w:hAnsi="宋体" w:eastAsia="宋体" w:cs="宋体"/>
          <w:sz w:val="24"/>
          <w:szCs w:val="24"/>
        </w:rPr>
        <w:sectPr>
          <w:headerReference r:id="rId368" w:type="default"/>
          <w:footerReference r:id="rId369" w:type="default"/>
          <w:pgSz w:w="11905" w:h="16840"/>
          <w:pgMar w:top="1168" w:right="1592" w:bottom="1409" w:left="1770" w:header="828" w:footer="1244" w:gutter="0"/>
          <w:cols w:space="720" w:num="1"/>
        </w:sectPr>
      </w:pPr>
    </w:p>
    <w:p w14:paraId="6B02EA9B">
      <w:pPr>
        <w:pStyle w:val="2"/>
        <w:spacing w:line="306" w:lineRule="auto"/>
      </w:pPr>
    </w:p>
    <w:p w14:paraId="5D35341E">
      <w:pPr>
        <w:spacing w:before="78" w:line="218" w:lineRule="auto"/>
        <w:ind w:left="46"/>
        <w:rPr>
          <w:rFonts w:ascii="宋体" w:hAnsi="宋体" w:eastAsia="宋体" w:cs="宋体"/>
          <w:sz w:val="24"/>
          <w:szCs w:val="24"/>
        </w:rPr>
      </w:pPr>
      <w:r>
        <w:rPr>
          <w:rFonts w:ascii="宋体" w:hAnsi="宋体" w:eastAsia="宋体" w:cs="宋体"/>
          <w:spacing w:val="-2"/>
          <w:sz w:val="24"/>
          <w:szCs w:val="24"/>
        </w:rPr>
        <w:t>下水评价范围，确定本项目纵向弥散度约</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10m</w:t>
      </w:r>
      <w:r>
        <w:rPr>
          <w:rFonts w:ascii="宋体" w:hAnsi="宋体" w:eastAsia="宋体" w:cs="宋体"/>
          <w:spacing w:val="-2"/>
          <w:sz w:val="24"/>
          <w:szCs w:val="24"/>
        </w:rPr>
        <w:t>。</w:t>
      </w:r>
    </w:p>
    <w:p w14:paraId="6EAEBA50">
      <w:pPr>
        <w:spacing w:before="183" w:line="220" w:lineRule="auto"/>
        <w:ind w:left="517"/>
        <w:rPr>
          <w:rFonts w:ascii="宋体" w:hAnsi="宋体" w:eastAsia="宋体" w:cs="宋体"/>
          <w:sz w:val="24"/>
          <w:szCs w:val="24"/>
        </w:rPr>
      </w:pPr>
      <w:r>
        <w:rPr>
          <w:rFonts w:ascii="Times New Roman" w:hAnsi="Times New Roman" w:eastAsia="Times New Roman" w:cs="Times New Roman"/>
          <w:b/>
          <w:bCs/>
          <w:spacing w:val="-2"/>
          <w:sz w:val="24"/>
          <w:szCs w:val="24"/>
        </w:rPr>
        <w:t>b.</w:t>
      </w:r>
      <w:r>
        <w:rPr>
          <w:rFonts w:ascii="宋体" w:hAnsi="宋体" w:eastAsia="宋体" w:cs="宋体"/>
          <w:b/>
          <w:bCs/>
          <w:spacing w:val="-2"/>
          <w:sz w:val="24"/>
          <w:szCs w:val="24"/>
        </w:rPr>
        <w:t>其他参数</w:t>
      </w:r>
    </w:p>
    <w:p w14:paraId="614E433A">
      <w:pPr>
        <w:spacing w:before="182" w:line="360" w:lineRule="auto"/>
        <w:ind w:left="38" w:right="38" w:firstLine="475"/>
        <w:jc w:val="both"/>
        <w:rPr>
          <w:rFonts w:ascii="宋体" w:hAnsi="宋体" w:eastAsia="宋体" w:cs="宋体"/>
          <w:sz w:val="24"/>
          <w:szCs w:val="24"/>
        </w:rPr>
      </w:pPr>
      <w:r>
        <w:rPr>
          <w:rFonts w:ascii="Times New Roman" w:hAnsi="Times New Roman" w:eastAsia="Times New Roman" w:cs="Times New Roman"/>
          <w:spacing w:val="2"/>
          <w:sz w:val="24"/>
          <w:szCs w:val="24"/>
        </w:rPr>
        <w:t>K—</w:t>
      </w:r>
      <w:r>
        <w:rPr>
          <w:rFonts w:ascii="宋体" w:hAnsi="宋体" w:eastAsia="宋体" w:cs="宋体"/>
          <w:spacing w:val="2"/>
          <w:sz w:val="24"/>
          <w:szCs w:val="24"/>
        </w:rPr>
        <w:t>渗透系数，</w:t>
      </w:r>
      <w:r>
        <w:rPr>
          <w:rFonts w:ascii="Times New Roman" w:hAnsi="Times New Roman" w:eastAsia="Times New Roman" w:cs="Times New Roman"/>
          <w:spacing w:val="2"/>
          <w:sz w:val="24"/>
          <w:szCs w:val="24"/>
        </w:rPr>
        <w:t>m/d</w:t>
      </w:r>
      <w:r>
        <w:rPr>
          <w:rFonts w:ascii="宋体" w:hAnsi="宋体" w:eastAsia="宋体" w:cs="宋体"/>
          <w:spacing w:val="2"/>
          <w:sz w:val="24"/>
          <w:szCs w:val="24"/>
        </w:rPr>
        <w:t>，根据本项目岩土工程勘察报告，项</w:t>
      </w:r>
      <w:r>
        <w:rPr>
          <w:rFonts w:ascii="宋体" w:hAnsi="宋体" w:eastAsia="宋体" w:cs="宋体"/>
          <w:spacing w:val="1"/>
          <w:sz w:val="24"/>
          <w:szCs w:val="24"/>
        </w:rPr>
        <w:t>目场地基岩主要是</w:t>
      </w:r>
      <w:r>
        <w:rPr>
          <w:rFonts w:ascii="宋体" w:hAnsi="宋体" w:eastAsia="宋体" w:cs="宋体"/>
          <w:spacing w:val="21"/>
          <w:sz w:val="24"/>
          <w:szCs w:val="24"/>
        </w:rPr>
        <w:t>泥质粉砂岩和粉砂质泥岩，根据《环境影响评价技术导则</w:t>
      </w:r>
      <w:r>
        <w:rPr>
          <w:rFonts w:ascii="宋体" w:hAnsi="宋体" w:eastAsia="宋体" w:cs="宋体"/>
          <w:spacing w:val="75"/>
          <w:sz w:val="24"/>
          <w:szCs w:val="24"/>
        </w:rPr>
        <w:t xml:space="preserve"> </w:t>
      </w:r>
      <w:r>
        <w:rPr>
          <w:rFonts w:ascii="宋体" w:hAnsi="宋体" w:eastAsia="宋体" w:cs="宋体"/>
          <w:spacing w:val="21"/>
          <w:sz w:val="24"/>
          <w:szCs w:val="24"/>
        </w:rPr>
        <w:t>地下水环境》</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HJ610-2016</w:t>
      </w:r>
      <w:r>
        <w:rPr>
          <w:rFonts w:ascii="宋体" w:hAnsi="宋体" w:eastAsia="宋体" w:cs="宋体"/>
          <w:spacing w:val="-1"/>
          <w:sz w:val="24"/>
          <w:szCs w:val="24"/>
        </w:rPr>
        <w:t>）附录</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B</w:t>
      </w:r>
      <w:r>
        <w:rPr>
          <w:rFonts w:ascii="宋体" w:hAnsi="宋体" w:eastAsia="宋体" w:cs="宋体"/>
          <w:spacing w:val="-1"/>
          <w:sz w:val="24"/>
          <w:szCs w:val="24"/>
        </w:rPr>
        <w:t>，粉土质砂渗透系数为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0.5~1.0m/d</w:t>
      </w:r>
      <w:r>
        <w:rPr>
          <w:rFonts w:ascii="宋体" w:hAnsi="宋体" w:eastAsia="宋体" w:cs="宋体"/>
          <w:spacing w:val="-2"/>
          <w:sz w:val="24"/>
          <w:szCs w:val="24"/>
        </w:rPr>
        <w:t>，结合本项目岩土工程</w:t>
      </w:r>
      <w:r>
        <w:rPr>
          <w:rFonts w:ascii="宋体" w:hAnsi="宋体" w:eastAsia="宋体" w:cs="宋体"/>
          <w:spacing w:val="-1"/>
          <w:sz w:val="24"/>
          <w:szCs w:val="24"/>
        </w:rPr>
        <w:t>勘察结果，综合确定渗透系数取值</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0.7m/d</w:t>
      </w:r>
      <w:r>
        <w:rPr>
          <w:rFonts w:ascii="宋体" w:hAnsi="宋体" w:eastAsia="宋体" w:cs="宋体"/>
          <w:spacing w:val="-1"/>
          <w:sz w:val="24"/>
          <w:szCs w:val="24"/>
        </w:rPr>
        <w:t>。</w:t>
      </w:r>
    </w:p>
    <w:p w14:paraId="24C63B0C">
      <w:pPr>
        <w:spacing w:line="362" w:lineRule="auto"/>
        <w:ind w:left="57" w:right="29" w:firstLine="462"/>
        <w:rPr>
          <w:rFonts w:ascii="宋体" w:hAnsi="宋体" w:eastAsia="宋体" w:cs="宋体"/>
          <w:sz w:val="24"/>
          <w:szCs w:val="24"/>
        </w:rPr>
      </w:pPr>
      <w:r>
        <w:rPr>
          <w:rFonts w:ascii="宋体" w:hAnsi="宋体" w:eastAsia="宋体" w:cs="宋体"/>
          <w:spacing w:val="-3"/>
          <w:sz w:val="24"/>
          <w:szCs w:val="24"/>
        </w:rPr>
        <w:t>根据建设单位提供的岩土工程勘察报告，并结合《水文地质手册</w:t>
      </w:r>
      <w:r>
        <w:rPr>
          <w:rFonts w:ascii="宋体" w:hAnsi="宋体" w:eastAsia="宋体" w:cs="宋体"/>
          <w:spacing w:val="-4"/>
          <w:sz w:val="24"/>
          <w:szCs w:val="24"/>
        </w:rPr>
        <w:t>》以及评价</w:t>
      </w:r>
      <w:r>
        <w:rPr>
          <w:rFonts w:ascii="宋体" w:hAnsi="宋体" w:eastAsia="宋体" w:cs="宋体"/>
          <w:spacing w:val="-3"/>
          <w:sz w:val="24"/>
          <w:szCs w:val="24"/>
        </w:rPr>
        <w:t>区水文地质条件等，确定其他水文地质参数。</w:t>
      </w:r>
    </w:p>
    <w:p w14:paraId="401EDFCA">
      <w:pPr>
        <w:spacing w:before="7" w:line="222" w:lineRule="auto"/>
        <w:ind w:left="3214"/>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9"/>
          <w:sz w:val="21"/>
          <w:szCs w:val="21"/>
        </w:rPr>
        <w:t xml:space="preserve"> </w:t>
      </w:r>
      <w:r>
        <w:rPr>
          <w:rFonts w:ascii="Times New Roman" w:hAnsi="Times New Roman" w:eastAsia="Times New Roman" w:cs="Times New Roman"/>
          <w:spacing w:val="-1"/>
          <w:sz w:val="21"/>
          <w:szCs w:val="21"/>
        </w:rPr>
        <w:t xml:space="preserve">4.2-35  </w:t>
      </w:r>
      <w:r>
        <w:rPr>
          <w:rFonts w:ascii="黑体" w:hAnsi="黑体" w:eastAsia="黑体" w:cs="黑体"/>
          <w:spacing w:val="-1"/>
          <w:sz w:val="21"/>
          <w:szCs w:val="21"/>
        </w:rPr>
        <w:t>参数选择表</w:t>
      </w:r>
    </w:p>
    <w:p w14:paraId="7957A4D3">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2809"/>
        <w:gridCol w:w="2077"/>
        <w:gridCol w:w="2083"/>
      </w:tblGrid>
      <w:tr w14:paraId="0C2C6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51" w:type="dxa"/>
            <w:vAlign w:val="top"/>
          </w:tcPr>
          <w:p w14:paraId="5C603A65">
            <w:pPr>
              <w:spacing w:before="68" w:line="221" w:lineRule="auto"/>
              <w:ind w:left="470"/>
              <w:rPr>
                <w:rFonts w:ascii="宋体" w:hAnsi="宋体" w:eastAsia="宋体" w:cs="宋体"/>
                <w:sz w:val="21"/>
                <w:szCs w:val="21"/>
              </w:rPr>
            </w:pPr>
            <w:r>
              <w:rPr>
                <w:rFonts w:ascii="宋体" w:hAnsi="宋体" w:eastAsia="宋体" w:cs="宋体"/>
                <w:spacing w:val="-2"/>
                <w:sz w:val="21"/>
                <w:szCs w:val="21"/>
              </w:rPr>
              <w:t>序号</w:t>
            </w:r>
          </w:p>
        </w:tc>
        <w:tc>
          <w:tcPr>
            <w:tcW w:w="2809" w:type="dxa"/>
            <w:vAlign w:val="top"/>
          </w:tcPr>
          <w:p w14:paraId="444B52D1">
            <w:pPr>
              <w:spacing w:before="68" w:line="220" w:lineRule="auto"/>
              <w:ind w:left="1200"/>
              <w:rPr>
                <w:rFonts w:ascii="宋体" w:hAnsi="宋体" w:eastAsia="宋体" w:cs="宋体"/>
                <w:sz w:val="21"/>
                <w:szCs w:val="21"/>
              </w:rPr>
            </w:pPr>
            <w:r>
              <w:rPr>
                <w:rFonts w:ascii="宋体" w:hAnsi="宋体" w:eastAsia="宋体" w:cs="宋体"/>
                <w:spacing w:val="-3"/>
                <w:sz w:val="21"/>
                <w:szCs w:val="21"/>
              </w:rPr>
              <w:t>参数</w:t>
            </w:r>
          </w:p>
        </w:tc>
        <w:tc>
          <w:tcPr>
            <w:tcW w:w="2077" w:type="dxa"/>
            <w:vAlign w:val="top"/>
          </w:tcPr>
          <w:p w14:paraId="0B5A8E81">
            <w:pPr>
              <w:spacing w:before="69" w:line="220" w:lineRule="auto"/>
              <w:ind w:left="836"/>
              <w:rPr>
                <w:rFonts w:ascii="宋体" w:hAnsi="宋体" w:eastAsia="宋体" w:cs="宋体"/>
                <w:sz w:val="21"/>
                <w:szCs w:val="21"/>
              </w:rPr>
            </w:pPr>
            <w:r>
              <w:rPr>
                <w:rFonts w:ascii="宋体" w:hAnsi="宋体" w:eastAsia="宋体" w:cs="宋体"/>
                <w:spacing w:val="-3"/>
                <w:sz w:val="21"/>
                <w:szCs w:val="21"/>
              </w:rPr>
              <w:t>单位</w:t>
            </w:r>
          </w:p>
        </w:tc>
        <w:tc>
          <w:tcPr>
            <w:tcW w:w="2083" w:type="dxa"/>
            <w:vAlign w:val="top"/>
          </w:tcPr>
          <w:p w14:paraId="6A08E4F1">
            <w:pPr>
              <w:spacing w:before="68" w:line="220" w:lineRule="auto"/>
              <w:ind w:left="840"/>
              <w:rPr>
                <w:rFonts w:ascii="宋体" w:hAnsi="宋体" w:eastAsia="宋体" w:cs="宋体"/>
                <w:sz w:val="21"/>
                <w:szCs w:val="21"/>
              </w:rPr>
            </w:pPr>
            <w:r>
              <w:rPr>
                <w:rFonts w:ascii="宋体" w:hAnsi="宋体" w:eastAsia="宋体" w:cs="宋体"/>
                <w:spacing w:val="-3"/>
                <w:sz w:val="21"/>
                <w:szCs w:val="21"/>
              </w:rPr>
              <w:t>取值</w:t>
            </w:r>
          </w:p>
        </w:tc>
      </w:tr>
      <w:tr w14:paraId="0DC74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51" w:type="dxa"/>
            <w:vAlign w:val="top"/>
          </w:tcPr>
          <w:p w14:paraId="515F67D1">
            <w:pPr>
              <w:pStyle w:val="6"/>
              <w:spacing w:before="102" w:line="188" w:lineRule="auto"/>
              <w:ind w:left="645"/>
            </w:pPr>
            <w:r>
              <w:t>1</w:t>
            </w:r>
          </w:p>
        </w:tc>
        <w:tc>
          <w:tcPr>
            <w:tcW w:w="2809" w:type="dxa"/>
            <w:vAlign w:val="top"/>
          </w:tcPr>
          <w:p w14:paraId="1B4AA20A">
            <w:pPr>
              <w:pStyle w:val="6"/>
              <w:spacing w:before="64" w:line="220" w:lineRule="auto"/>
              <w:ind w:left="911"/>
            </w:pPr>
            <w:r>
              <w:rPr>
                <w:rFonts w:ascii="宋体" w:hAnsi="宋体" w:eastAsia="宋体" w:cs="宋体"/>
                <w:spacing w:val="-2"/>
              </w:rPr>
              <w:t>渗透系数</w:t>
            </w:r>
            <w:r>
              <w:rPr>
                <w:rFonts w:ascii="宋体" w:hAnsi="宋体" w:eastAsia="宋体" w:cs="宋体"/>
                <w:spacing w:val="-51"/>
              </w:rPr>
              <w:t xml:space="preserve"> </w:t>
            </w:r>
            <w:r>
              <w:rPr>
                <w:spacing w:val="-2"/>
              </w:rPr>
              <w:t>k</w:t>
            </w:r>
          </w:p>
        </w:tc>
        <w:tc>
          <w:tcPr>
            <w:tcW w:w="2077" w:type="dxa"/>
            <w:vAlign w:val="top"/>
          </w:tcPr>
          <w:p w14:paraId="06788F41">
            <w:pPr>
              <w:pStyle w:val="6"/>
              <w:spacing w:before="97" w:line="192" w:lineRule="auto"/>
              <w:ind w:left="875"/>
            </w:pPr>
            <w:r>
              <w:rPr>
                <w:spacing w:val="-1"/>
              </w:rPr>
              <w:t>m/d</w:t>
            </w:r>
          </w:p>
        </w:tc>
        <w:tc>
          <w:tcPr>
            <w:tcW w:w="2083" w:type="dxa"/>
            <w:vAlign w:val="top"/>
          </w:tcPr>
          <w:p w14:paraId="6E168596">
            <w:pPr>
              <w:pStyle w:val="6"/>
              <w:spacing w:before="101" w:line="188" w:lineRule="auto"/>
              <w:ind w:left="915"/>
            </w:pPr>
            <w:r>
              <w:rPr>
                <w:spacing w:val="-2"/>
              </w:rPr>
              <w:t>0.7</w:t>
            </w:r>
          </w:p>
        </w:tc>
      </w:tr>
      <w:tr w14:paraId="424D7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51" w:type="dxa"/>
            <w:vAlign w:val="top"/>
          </w:tcPr>
          <w:p w14:paraId="3808D368">
            <w:pPr>
              <w:pStyle w:val="6"/>
              <w:spacing w:before="103" w:line="188" w:lineRule="auto"/>
              <w:ind w:left="625"/>
            </w:pPr>
            <w:r>
              <w:t>2</w:t>
            </w:r>
          </w:p>
        </w:tc>
        <w:tc>
          <w:tcPr>
            <w:tcW w:w="2809" w:type="dxa"/>
            <w:vAlign w:val="top"/>
          </w:tcPr>
          <w:p w14:paraId="5760ECD3">
            <w:pPr>
              <w:pStyle w:val="6"/>
              <w:spacing w:before="66" w:line="220" w:lineRule="auto"/>
              <w:ind w:left="764"/>
            </w:pPr>
            <w:r>
              <w:rPr>
                <w:rFonts w:ascii="宋体" w:hAnsi="宋体" w:eastAsia="宋体" w:cs="宋体"/>
                <w:spacing w:val="-2"/>
              </w:rPr>
              <w:t>含水层厚度</w:t>
            </w:r>
            <w:r>
              <w:rPr>
                <w:rFonts w:ascii="宋体" w:hAnsi="宋体" w:eastAsia="宋体" w:cs="宋体"/>
                <w:spacing w:val="-46"/>
              </w:rPr>
              <w:t xml:space="preserve"> </w:t>
            </w:r>
            <w:r>
              <w:rPr>
                <w:spacing w:val="-2"/>
              </w:rPr>
              <w:t>M</w:t>
            </w:r>
          </w:p>
        </w:tc>
        <w:tc>
          <w:tcPr>
            <w:tcW w:w="2077" w:type="dxa"/>
            <w:vAlign w:val="top"/>
          </w:tcPr>
          <w:p w14:paraId="780B7F16">
            <w:pPr>
              <w:pStyle w:val="6"/>
              <w:spacing w:before="148" w:line="144" w:lineRule="exact"/>
              <w:ind w:left="956"/>
            </w:pPr>
            <w:r>
              <w:rPr>
                <w:position w:val="-1"/>
              </w:rPr>
              <w:t>m</w:t>
            </w:r>
          </w:p>
        </w:tc>
        <w:tc>
          <w:tcPr>
            <w:tcW w:w="2083" w:type="dxa"/>
            <w:vAlign w:val="top"/>
          </w:tcPr>
          <w:p w14:paraId="710714C7">
            <w:pPr>
              <w:pStyle w:val="6"/>
              <w:spacing w:before="103" w:line="188" w:lineRule="auto"/>
              <w:ind w:left="938"/>
            </w:pPr>
            <w:r>
              <w:rPr>
                <w:spacing w:val="-2"/>
              </w:rPr>
              <w:t>20</w:t>
            </w:r>
          </w:p>
        </w:tc>
      </w:tr>
      <w:tr w14:paraId="4D3DE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51" w:type="dxa"/>
            <w:vAlign w:val="top"/>
          </w:tcPr>
          <w:p w14:paraId="5740D3F7">
            <w:pPr>
              <w:pStyle w:val="6"/>
              <w:spacing w:before="103" w:line="188" w:lineRule="auto"/>
              <w:ind w:left="630"/>
            </w:pPr>
            <w:r>
              <w:t>3</w:t>
            </w:r>
          </w:p>
        </w:tc>
        <w:tc>
          <w:tcPr>
            <w:tcW w:w="2809" w:type="dxa"/>
            <w:vAlign w:val="top"/>
          </w:tcPr>
          <w:p w14:paraId="24196D63">
            <w:pPr>
              <w:pStyle w:val="6"/>
              <w:spacing w:before="67" w:line="220" w:lineRule="auto"/>
              <w:ind w:left="805"/>
            </w:pPr>
            <w:r>
              <w:rPr>
                <w:rFonts w:ascii="宋体" w:hAnsi="宋体" w:eastAsia="宋体" w:cs="宋体"/>
                <w:spacing w:val="-2"/>
              </w:rPr>
              <w:t>有效孔隙度</w:t>
            </w:r>
            <w:r>
              <w:rPr>
                <w:rFonts w:ascii="宋体" w:hAnsi="宋体" w:eastAsia="宋体" w:cs="宋体"/>
                <w:spacing w:val="-49"/>
              </w:rPr>
              <w:t xml:space="preserve"> </w:t>
            </w:r>
            <w:r>
              <w:rPr>
                <w:spacing w:val="-2"/>
              </w:rPr>
              <w:t>n</w:t>
            </w:r>
          </w:p>
        </w:tc>
        <w:tc>
          <w:tcPr>
            <w:tcW w:w="2077" w:type="dxa"/>
            <w:vAlign w:val="top"/>
          </w:tcPr>
          <w:p w14:paraId="27605FE1">
            <w:pPr>
              <w:pStyle w:val="6"/>
              <w:spacing w:before="99" w:line="192" w:lineRule="auto"/>
              <w:ind w:left="1007"/>
            </w:pPr>
            <w:r>
              <w:t>/</w:t>
            </w:r>
          </w:p>
        </w:tc>
        <w:tc>
          <w:tcPr>
            <w:tcW w:w="2083" w:type="dxa"/>
            <w:vAlign w:val="top"/>
          </w:tcPr>
          <w:p w14:paraId="5BEF67B9">
            <w:pPr>
              <w:pStyle w:val="6"/>
              <w:spacing w:before="103" w:line="188" w:lineRule="auto"/>
              <w:ind w:left="863"/>
            </w:pPr>
            <w:r>
              <w:rPr>
                <w:spacing w:val="-2"/>
              </w:rPr>
              <w:t>0.10</w:t>
            </w:r>
          </w:p>
        </w:tc>
      </w:tr>
      <w:tr w14:paraId="2A465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51" w:type="dxa"/>
            <w:vAlign w:val="top"/>
          </w:tcPr>
          <w:p w14:paraId="3CA94169">
            <w:pPr>
              <w:pStyle w:val="6"/>
              <w:spacing w:before="104" w:line="188" w:lineRule="auto"/>
              <w:ind w:left="624"/>
            </w:pPr>
            <w:r>
              <w:t>4</w:t>
            </w:r>
          </w:p>
        </w:tc>
        <w:tc>
          <w:tcPr>
            <w:tcW w:w="2809" w:type="dxa"/>
            <w:vAlign w:val="top"/>
          </w:tcPr>
          <w:p w14:paraId="5B3CB7A9">
            <w:pPr>
              <w:pStyle w:val="6"/>
              <w:spacing w:before="66" w:line="220" w:lineRule="auto"/>
              <w:ind w:left="935"/>
            </w:pPr>
            <w:r>
              <w:rPr>
                <w:rFonts w:ascii="宋体" w:hAnsi="宋体" w:eastAsia="宋体" w:cs="宋体"/>
                <w:spacing w:val="-3"/>
              </w:rPr>
              <w:t>水力坡度</w:t>
            </w:r>
            <w:r>
              <w:rPr>
                <w:rFonts w:ascii="宋体" w:hAnsi="宋体" w:eastAsia="宋体" w:cs="宋体"/>
                <w:spacing w:val="-43"/>
              </w:rPr>
              <w:t xml:space="preserve"> </w:t>
            </w:r>
            <w:r>
              <w:rPr>
                <w:spacing w:val="-3"/>
              </w:rPr>
              <w:t>i</w:t>
            </w:r>
          </w:p>
        </w:tc>
        <w:tc>
          <w:tcPr>
            <w:tcW w:w="2077" w:type="dxa"/>
            <w:vAlign w:val="top"/>
          </w:tcPr>
          <w:p w14:paraId="4BC95098">
            <w:pPr>
              <w:pStyle w:val="6"/>
              <w:spacing w:before="99" w:line="192" w:lineRule="auto"/>
              <w:ind w:left="1007"/>
            </w:pPr>
            <w:r>
              <w:t>/</w:t>
            </w:r>
          </w:p>
        </w:tc>
        <w:tc>
          <w:tcPr>
            <w:tcW w:w="2083" w:type="dxa"/>
            <w:vAlign w:val="top"/>
          </w:tcPr>
          <w:p w14:paraId="2CDB070C">
            <w:pPr>
              <w:pStyle w:val="6"/>
              <w:spacing w:before="103" w:line="188" w:lineRule="auto"/>
              <w:ind w:left="810"/>
            </w:pPr>
            <w:r>
              <w:rPr>
                <w:spacing w:val="-2"/>
              </w:rPr>
              <w:t>0.055</w:t>
            </w:r>
          </w:p>
        </w:tc>
      </w:tr>
      <w:tr w14:paraId="295EA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51" w:type="dxa"/>
            <w:vAlign w:val="top"/>
          </w:tcPr>
          <w:p w14:paraId="561F6FD9">
            <w:pPr>
              <w:pStyle w:val="6"/>
              <w:spacing w:before="107" w:line="185" w:lineRule="auto"/>
              <w:ind w:left="631"/>
            </w:pPr>
            <w:r>
              <w:t>5</w:t>
            </w:r>
          </w:p>
        </w:tc>
        <w:tc>
          <w:tcPr>
            <w:tcW w:w="2809" w:type="dxa"/>
            <w:vAlign w:val="top"/>
          </w:tcPr>
          <w:p w14:paraId="37F49621">
            <w:pPr>
              <w:pStyle w:val="6"/>
              <w:spacing w:before="67" w:line="212" w:lineRule="auto"/>
              <w:ind w:left="460"/>
            </w:pPr>
            <w:r>
              <w:rPr>
                <w:rFonts w:ascii="宋体" w:hAnsi="宋体" w:eastAsia="宋体" w:cs="宋体"/>
                <w:spacing w:val="-1"/>
              </w:rPr>
              <w:t>地下水流速</w:t>
            </w:r>
            <w:r>
              <w:rPr>
                <w:rFonts w:ascii="宋体" w:hAnsi="宋体" w:eastAsia="宋体" w:cs="宋体"/>
                <w:spacing w:val="-47"/>
              </w:rPr>
              <w:t xml:space="preserve"> </w:t>
            </w:r>
            <w:r>
              <w:rPr>
                <w:spacing w:val="-1"/>
              </w:rPr>
              <w:t>u(u=ki/n)</w:t>
            </w:r>
          </w:p>
        </w:tc>
        <w:tc>
          <w:tcPr>
            <w:tcW w:w="2077" w:type="dxa"/>
            <w:vAlign w:val="top"/>
          </w:tcPr>
          <w:p w14:paraId="4781207D">
            <w:pPr>
              <w:pStyle w:val="6"/>
              <w:spacing w:before="100" w:line="192" w:lineRule="auto"/>
              <w:ind w:left="875"/>
            </w:pPr>
            <w:r>
              <w:rPr>
                <w:spacing w:val="-1"/>
              </w:rPr>
              <w:t>m/d</w:t>
            </w:r>
          </w:p>
        </w:tc>
        <w:tc>
          <w:tcPr>
            <w:tcW w:w="2083" w:type="dxa"/>
            <w:vAlign w:val="top"/>
          </w:tcPr>
          <w:p w14:paraId="43F557FF">
            <w:pPr>
              <w:pStyle w:val="6"/>
              <w:spacing w:before="104" w:line="188" w:lineRule="auto"/>
              <w:ind w:left="810"/>
            </w:pPr>
            <w:r>
              <w:rPr>
                <w:spacing w:val="-2"/>
              </w:rPr>
              <w:t>0.385</w:t>
            </w:r>
          </w:p>
        </w:tc>
      </w:tr>
      <w:tr w14:paraId="5F22E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51" w:type="dxa"/>
            <w:vAlign w:val="top"/>
          </w:tcPr>
          <w:p w14:paraId="3EC85888">
            <w:pPr>
              <w:pStyle w:val="6"/>
              <w:spacing w:before="104" w:line="188" w:lineRule="auto"/>
              <w:ind w:left="630"/>
            </w:pPr>
            <w:r>
              <w:t>6</w:t>
            </w:r>
          </w:p>
        </w:tc>
        <w:tc>
          <w:tcPr>
            <w:tcW w:w="2809" w:type="dxa"/>
            <w:vAlign w:val="top"/>
          </w:tcPr>
          <w:p w14:paraId="425BB1A3">
            <w:pPr>
              <w:spacing w:before="74" w:line="194" w:lineRule="auto"/>
              <w:ind w:left="767"/>
              <w:rPr>
                <w:rFonts w:ascii="Cambria" w:hAnsi="Cambria" w:eastAsia="Cambria" w:cs="Cambria"/>
                <w:sz w:val="16"/>
                <w:szCs w:val="16"/>
              </w:rPr>
            </w:pPr>
            <w:r>
              <w:rPr>
                <w:rFonts w:ascii="宋体" w:hAnsi="宋体" w:eastAsia="宋体" w:cs="宋体"/>
                <w:spacing w:val="-8"/>
                <w:sz w:val="21"/>
                <w:szCs w:val="21"/>
              </w:rPr>
              <w:t>纵向弥散度</w:t>
            </w:r>
            <w:r>
              <w:rPr>
                <w:rFonts w:ascii="宋体" w:hAnsi="宋体" w:eastAsia="宋体" w:cs="宋体"/>
                <w:spacing w:val="-45"/>
                <w:sz w:val="21"/>
                <w:szCs w:val="21"/>
              </w:rPr>
              <w:t xml:space="preserve"> </w:t>
            </w:r>
            <w:r>
              <w:rPr>
                <w:rFonts w:ascii="Cambria" w:hAnsi="Cambria" w:eastAsia="Cambria" w:cs="Cambria"/>
                <w:spacing w:val="-8"/>
                <w:position w:val="4"/>
                <w:sz w:val="22"/>
                <w:szCs w:val="22"/>
              </w:rPr>
              <w:t>∂</w:t>
            </w:r>
            <w:r>
              <w:rPr>
                <w:rFonts w:ascii="Cambria" w:hAnsi="Cambria" w:eastAsia="Cambria" w:cs="Cambria"/>
                <w:spacing w:val="-8"/>
                <w:sz w:val="16"/>
                <w:szCs w:val="16"/>
              </w:rPr>
              <w:t>L</w:t>
            </w:r>
          </w:p>
        </w:tc>
        <w:tc>
          <w:tcPr>
            <w:tcW w:w="2077" w:type="dxa"/>
            <w:vAlign w:val="top"/>
          </w:tcPr>
          <w:p w14:paraId="26DAE7C8">
            <w:pPr>
              <w:pStyle w:val="6"/>
              <w:spacing w:before="150" w:line="143" w:lineRule="exact"/>
              <w:ind w:left="957"/>
            </w:pPr>
            <w:r>
              <w:rPr>
                <w:position w:val="-1"/>
              </w:rPr>
              <w:t>m</w:t>
            </w:r>
          </w:p>
        </w:tc>
        <w:tc>
          <w:tcPr>
            <w:tcW w:w="2083" w:type="dxa"/>
            <w:vAlign w:val="top"/>
          </w:tcPr>
          <w:p w14:paraId="4DD94459">
            <w:pPr>
              <w:pStyle w:val="6"/>
              <w:spacing w:before="104" w:line="188" w:lineRule="auto"/>
              <w:ind w:left="958"/>
            </w:pPr>
            <w:r>
              <w:rPr>
                <w:spacing w:val="-7"/>
              </w:rPr>
              <w:t>10</w:t>
            </w:r>
          </w:p>
        </w:tc>
      </w:tr>
      <w:tr w14:paraId="29C5C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51" w:type="dxa"/>
            <w:vAlign w:val="top"/>
          </w:tcPr>
          <w:p w14:paraId="454907BA">
            <w:pPr>
              <w:pStyle w:val="6"/>
              <w:spacing w:before="107" w:line="185" w:lineRule="auto"/>
              <w:ind w:left="629"/>
            </w:pPr>
            <w:r>
              <w:t>7</w:t>
            </w:r>
          </w:p>
        </w:tc>
        <w:tc>
          <w:tcPr>
            <w:tcW w:w="2809" w:type="dxa"/>
            <w:vAlign w:val="top"/>
          </w:tcPr>
          <w:p w14:paraId="40110053">
            <w:pPr>
              <w:pStyle w:val="6"/>
              <w:spacing w:before="43" w:line="209" w:lineRule="auto"/>
              <w:ind w:left="211"/>
              <w:rPr>
                <w:rFonts w:ascii="宋体" w:hAnsi="宋体" w:eastAsia="宋体" w:cs="宋体"/>
              </w:rPr>
            </w:pPr>
            <w:r>
              <w:rPr>
                <w:rFonts w:ascii="宋体" w:hAnsi="宋体" w:eastAsia="宋体" w:cs="宋体"/>
                <w:spacing w:val="-16"/>
                <w:position w:val="-1"/>
              </w:rPr>
              <w:t>纵向弥散系数</w:t>
            </w:r>
            <w:r>
              <w:rPr>
                <w:rFonts w:ascii="Cambria" w:hAnsi="Cambria" w:eastAsia="Cambria" w:cs="Cambria"/>
                <w:spacing w:val="-16"/>
                <w:position w:val="-1"/>
                <w:sz w:val="25"/>
                <w:szCs w:val="25"/>
              </w:rPr>
              <w:t>D</w:t>
            </w:r>
            <w:r>
              <w:rPr>
                <w:rFonts w:ascii="Cambria" w:hAnsi="Cambria" w:eastAsia="Cambria" w:cs="Cambria"/>
                <w:spacing w:val="-16"/>
                <w:position w:val="-2"/>
                <w:sz w:val="17"/>
                <w:szCs w:val="17"/>
              </w:rPr>
              <w:t>L</w:t>
            </w:r>
            <w:r>
              <w:rPr>
                <w:rFonts w:ascii="宋体" w:hAnsi="宋体" w:eastAsia="宋体" w:cs="宋体"/>
                <w:spacing w:val="-16"/>
                <w:position w:val="2"/>
              </w:rPr>
              <w:t>（</w:t>
            </w:r>
            <w:r>
              <w:rPr>
                <w:rFonts w:ascii="Cambria" w:hAnsi="Cambria" w:eastAsia="Cambria" w:cs="Cambria"/>
                <w:spacing w:val="-16"/>
                <w:position w:val="2"/>
                <w:sz w:val="25"/>
                <w:szCs w:val="25"/>
              </w:rPr>
              <w:t>D</w:t>
            </w:r>
            <w:r>
              <w:rPr>
                <w:rFonts w:ascii="Cambria" w:hAnsi="Cambria" w:eastAsia="Cambria" w:cs="Cambria"/>
                <w:spacing w:val="-16"/>
                <w:position w:val="1"/>
                <w:sz w:val="17"/>
                <w:szCs w:val="17"/>
              </w:rPr>
              <w:t>L</w:t>
            </w:r>
            <w:r>
              <w:rPr>
                <w:spacing w:val="-16"/>
                <w:position w:val="1"/>
              </w:rPr>
              <w:t>=u*</w:t>
            </w:r>
            <w:r>
              <w:rPr>
                <w:rFonts w:ascii="Cambria" w:hAnsi="Cambria" w:eastAsia="Cambria" w:cs="Cambria"/>
                <w:spacing w:val="-16"/>
                <w:position w:val="1"/>
                <w:sz w:val="25"/>
                <w:szCs w:val="25"/>
              </w:rPr>
              <w:t>∂</w:t>
            </w:r>
            <w:r>
              <w:rPr>
                <w:rFonts w:ascii="Cambria" w:hAnsi="Cambria" w:eastAsia="Cambria" w:cs="Cambria"/>
                <w:spacing w:val="-16"/>
                <w:position w:val="1"/>
                <w:sz w:val="17"/>
                <w:szCs w:val="17"/>
              </w:rPr>
              <w:t>L</w:t>
            </w:r>
            <w:r>
              <w:rPr>
                <w:rFonts w:ascii="宋体" w:hAnsi="宋体" w:eastAsia="宋体" w:cs="宋体"/>
                <w:spacing w:val="-16"/>
                <w:position w:val="1"/>
              </w:rPr>
              <w:t>）</w:t>
            </w:r>
          </w:p>
        </w:tc>
        <w:tc>
          <w:tcPr>
            <w:tcW w:w="2077" w:type="dxa"/>
            <w:vAlign w:val="top"/>
          </w:tcPr>
          <w:p w14:paraId="7299D7F0">
            <w:pPr>
              <w:pStyle w:val="6"/>
              <w:spacing w:before="53" w:line="215" w:lineRule="auto"/>
              <w:ind w:left="839"/>
            </w:pPr>
            <w:r>
              <w:rPr>
                <w:spacing w:val="-1"/>
                <w:position w:val="-1"/>
              </w:rPr>
              <w:t>m</w:t>
            </w:r>
            <w:r>
              <w:rPr>
                <w:spacing w:val="-1"/>
                <w:position w:val="8"/>
                <w:sz w:val="14"/>
                <w:szCs w:val="14"/>
              </w:rPr>
              <w:t>2</w:t>
            </w:r>
            <w:r>
              <w:rPr>
                <w:spacing w:val="-1"/>
                <w:position w:val="-1"/>
              </w:rPr>
              <w:t>/d</w:t>
            </w:r>
          </w:p>
        </w:tc>
        <w:tc>
          <w:tcPr>
            <w:tcW w:w="2083" w:type="dxa"/>
            <w:vAlign w:val="top"/>
          </w:tcPr>
          <w:p w14:paraId="4E23B2B0">
            <w:pPr>
              <w:pStyle w:val="6"/>
              <w:spacing w:before="104" w:line="188" w:lineRule="auto"/>
              <w:ind w:left="864"/>
            </w:pPr>
            <w:r>
              <w:rPr>
                <w:spacing w:val="-3"/>
              </w:rPr>
              <w:t>3.85</w:t>
            </w:r>
          </w:p>
        </w:tc>
      </w:tr>
      <w:tr w14:paraId="3718E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51" w:type="dxa"/>
            <w:vAlign w:val="top"/>
          </w:tcPr>
          <w:p w14:paraId="0460F071">
            <w:pPr>
              <w:pStyle w:val="6"/>
              <w:spacing w:before="105" w:line="188" w:lineRule="auto"/>
              <w:ind w:left="634"/>
            </w:pPr>
            <w:r>
              <w:t>8</w:t>
            </w:r>
          </w:p>
        </w:tc>
        <w:tc>
          <w:tcPr>
            <w:tcW w:w="2809" w:type="dxa"/>
            <w:vAlign w:val="top"/>
          </w:tcPr>
          <w:p w14:paraId="64E280B8">
            <w:pPr>
              <w:pStyle w:val="6"/>
              <w:spacing w:before="68" w:line="220" w:lineRule="auto"/>
              <w:ind w:left="637"/>
              <w:rPr>
                <w:sz w:val="14"/>
                <w:szCs w:val="14"/>
              </w:rPr>
            </w:pPr>
            <w:r>
              <w:rPr>
                <w:rFonts w:ascii="宋体" w:hAnsi="宋体" w:eastAsia="宋体" w:cs="宋体"/>
                <w:spacing w:val="1"/>
              </w:rPr>
              <w:t>横向弥散系数</w:t>
            </w:r>
            <w:r>
              <w:rPr>
                <w:rFonts w:ascii="宋体" w:hAnsi="宋体" w:eastAsia="宋体" w:cs="宋体"/>
                <w:spacing w:val="-54"/>
              </w:rPr>
              <w:t xml:space="preserve"> </w:t>
            </w:r>
            <w:r>
              <w:rPr>
                <w:i/>
                <w:iCs/>
              </w:rPr>
              <w:t>D</w:t>
            </w:r>
            <w:r>
              <w:rPr>
                <w:i/>
                <w:iCs/>
                <w:position w:val="-2"/>
                <w:sz w:val="14"/>
                <w:szCs w:val="14"/>
              </w:rPr>
              <w:t>T</w:t>
            </w:r>
          </w:p>
        </w:tc>
        <w:tc>
          <w:tcPr>
            <w:tcW w:w="2077" w:type="dxa"/>
            <w:vAlign w:val="top"/>
          </w:tcPr>
          <w:p w14:paraId="4971AF86">
            <w:pPr>
              <w:pStyle w:val="6"/>
              <w:spacing w:before="53" w:line="215" w:lineRule="auto"/>
              <w:ind w:left="839"/>
            </w:pPr>
            <w:r>
              <w:rPr>
                <w:spacing w:val="-1"/>
                <w:position w:val="-1"/>
              </w:rPr>
              <w:t>m</w:t>
            </w:r>
            <w:r>
              <w:rPr>
                <w:spacing w:val="-1"/>
                <w:position w:val="8"/>
                <w:sz w:val="14"/>
                <w:szCs w:val="14"/>
              </w:rPr>
              <w:t>2</w:t>
            </w:r>
            <w:r>
              <w:rPr>
                <w:spacing w:val="-1"/>
                <w:position w:val="-1"/>
              </w:rPr>
              <w:t>/d</w:t>
            </w:r>
          </w:p>
        </w:tc>
        <w:tc>
          <w:tcPr>
            <w:tcW w:w="2083" w:type="dxa"/>
            <w:vAlign w:val="top"/>
          </w:tcPr>
          <w:p w14:paraId="1709F796">
            <w:pPr>
              <w:pStyle w:val="6"/>
              <w:spacing w:before="105" w:line="188" w:lineRule="auto"/>
              <w:ind w:left="810"/>
            </w:pPr>
            <w:r>
              <w:rPr>
                <w:spacing w:val="-2"/>
              </w:rPr>
              <w:t>0.385</w:t>
            </w:r>
          </w:p>
        </w:tc>
      </w:tr>
    </w:tbl>
    <w:p w14:paraId="56DAD942">
      <w:pPr>
        <w:spacing w:before="235" w:line="217" w:lineRule="auto"/>
        <w:ind w:left="519"/>
        <w:rPr>
          <w:rFonts w:ascii="宋体" w:hAnsi="宋体" w:eastAsia="宋体" w:cs="宋体"/>
          <w:sz w:val="24"/>
          <w:szCs w:val="24"/>
        </w:rPr>
      </w:pPr>
      <w:r>
        <w:rPr>
          <w:rFonts w:ascii="宋体" w:hAnsi="宋体" w:eastAsia="宋体" w:cs="宋体"/>
          <w:b/>
          <w:bCs/>
          <w:spacing w:val="-3"/>
          <w:sz w:val="24"/>
          <w:szCs w:val="24"/>
        </w:rPr>
        <w:t>⑥预测结果</w:t>
      </w:r>
    </w:p>
    <w:p w14:paraId="226FDF07">
      <w:pPr>
        <w:spacing w:before="186" w:line="360" w:lineRule="auto"/>
        <w:ind w:left="43" w:right="29" w:firstLine="476"/>
        <w:rPr>
          <w:rFonts w:ascii="宋体" w:hAnsi="宋体" w:eastAsia="宋体" w:cs="宋体"/>
          <w:sz w:val="24"/>
          <w:szCs w:val="24"/>
        </w:rPr>
      </w:pPr>
      <w:r>
        <w:rPr>
          <w:rFonts w:ascii="宋体" w:hAnsi="宋体" w:eastAsia="宋体" w:cs="宋体"/>
          <w:spacing w:val="-1"/>
          <w:sz w:val="24"/>
          <w:szCs w:val="24"/>
        </w:rPr>
        <w:t>根据项目工程分析，对于污水处理选取</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2"/>
          <w:sz w:val="15"/>
          <w:szCs w:val="15"/>
        </w:rPr>
        <w:t>Mn</w:t>
      </w:r>
      <w:r>
        <w:rPr>
          <w:rFonts w:ascii="Times New Roman" w:hAnsi="Times New Roman" w:eastAsia="Times New Roman" w:cs="Times New Roman"/>
          <w:spacing w:val="-10"/>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40"/>
          <w:sz w:val="24"/>
          <w:szCs w:val="24"/>
        </w:rPr>
        <w:t xml:space="preserve"> </w:t>
      </w:r>
      <w:r>
        <w:rPr>
          <w:rFonts w:ascii="宋体" w:hAnsi="宋体" w:eastAsia="宋体" w:cs="宋体"/>
          <w:spacing w:val="-1"/>
          <w:sz w:val="24"/>
          <w:szCs w:val="24"/>
        </w:rPr>
        <w:t>为预测因子</w:t>
      </w:r>
      <w:r>
        <w:rPr>
          <w:rFonts w:ascii="宋体" w:hAnsi="宋体" w:eastAsia="宋体" w:cs="宋体"/>
          <w:spacing w:val="-2"/>
          <w:sz w:val="24"/>
          <w:szCs w:val="24"/>
        </w:rPr>
        <w:t>，预测</w:t>
      </w:r>
      <w:r>
        <w:rPr>
          <w:rFonts w:ascii="宋体" w:hAnsi="宋体" w:eastAsia="宋体" w:cs="宋体"/>
          <w:spacing w:val="-3"/>
          <w:sz w:val="24"/>
          <w:szCs w:val="24"/>
        </w:rPr>
        <w:t>非正常工况下污染物在地下水中的迁移规律，预测结果如下：</w:t>
      </w:r>
    </w:p>
    <w:p w14:paraId="4A4610C7">
      <w:pPr>
        <w:spacing w:line="220" w:lineRule="auto"/>
        <w:ind w:left="599"/>
        <w:rPr>
          <w:rFonts w:ascii="宋体" w:hAnsi="宋体" w:eastAsia="宋体" w:cs="宋体"/>
          <w:sz w:val="24"/>
          <w:szCs w:val="24"/>
        </w:rPr>
      </w:pPr>
      <w:r>
        <w:rPr>
          <w:rFonts w:ascii="宋体" w:hAnsi="宋体" w:eastAsia="宋体" w:cs="宋体"/>
          <w:b/>
          <w:bCs/>
          <w:spacing w:val="-18"/>
          <w:sz w:val="24"/>
          <w:szCs w:val="24"/>
        </w:rPr>
        <w:t>Ⅰ、</w:t>
      </w:r>
      <w:r>
        <w:rPr>
          <w:rFonts w:ascii="Times New Roman" w:hAnsi="Times New Roman" w:eastAsia="Times New Roman" w:cs="Times New Roman"/>
          <w:b/>
          <w:bCs/>
          <w:spacing w:val="-18"/>
          <w:sz w:val="24"/>
          <w:szCs w:val="24"/>
        </w:rPr>
        <w:t>COD</w:t>
      </w:r>
      <w:r>
        <w:rPr>
          <w:rFonts w:ascii="Times New Roman" w:hAnsi="Times New Roman" w:eastAsia="Times New Roman" w:cs="Times New Roman"/>
          <w:b/>
          <w:bCs/>
          <w:spacing w:val="-1"/>
          <w:position w:val="-2"/>
          <w:sz w:val="15"/>
          <w:szCs w:val="15"/>
        </w:rPr>
        <w:t>Mn</w:t>
      </w:r>
      <w:r>
        <w:rPr>
          <w:rFonts w:ascii="Times New Roman" w:hAnsi="Times New Roman" w:eastAsia="Times New Roman" w:cs="Times New Roman"/>
          <w:b/>
          <w:bCs/>
          <w:spacing w:val="15"/>
          <w:w w:val="101"/>
          <w:position w:val="-2"/>
          <w:sz w:val="15"/>
          <w:szCs w:val="15"/>
        </w:rPr>
        <w:t xml:space="preserve"> </w:t>
      </w:r>
      <w:r>
        <w:rPr>
          <w:rFonts w:ascii="宋体" w:hAnsi="宋体" w:eastAsia="宋体" w:cs="宋体"/>
          <w:b/>
          <w:bCs/>
          <w:spacing w:val="-1"/>
          <w:sz w:val="24"/>
          <w:szCs w:val="24"/>
        </w:rPr>
        <w:t>预测结果分析</w:t>
      </w:r>
    </w:p>
    <w:p w14:paraId="3BA9ACB1">
      <w:pPr>
        <w:spacing w:before="181" w:line="359" w:lineRule="auto"/>
        <w:ind w:left="38" w:right="29" w:firstLine="495"/>
        <w:jc w:val="both"/>
        <w:rPr>
          <w:rFonts w:ascii="宋体" w:hAnsi="宋体" w:eastAsia="宋体" w:cs="宋体"/>
          <w:sz w:val="24"/>
          <w:szCs w:val="24"/>
        </w:rPr>
      </w:pPr>
      <w:r>
        <w:rPr>
          <w:rFonts w:ascii="宋体" w:hAnsi="宋体" w:eastAsia="宋体" w:cs="宋体"/>
          <w:spacing w:val="-3"/>
          <w:sz w:val="24"/>
          <w:szCs w:val="24"/>
        </w:rPr>
        <w:t>当污水处理站池体破裂污水泄漏</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100d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1000d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3650d </w:t>
      </w:r>
      <w:r>
        <w:rPr>
          <w:rFonts w:ascii="宋体" w:hAnsi="宋体" w:eastAsia="宋体" w:cs="宋体"/>
          <w:spacing w:val="-3"/>
          <w:sz w:val="24"/>
          <w:szCs w:val="24"/>
        </w:rPr>
        <w:t>后，</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
          <w:position w:val="-2"/>
          <w:sz w:val="15"/>
          <w:szCs w:val="15"/>
        </w:rPr>
        <w:t>Mn</w:t>
      </w:r>
      <w:r>
        <w:rPr>
          <w:rFonts w:ascii="Times New Roman" w:hAnsi="Times New Roman" w:eastAsia="Times New Roman" w:cs="Times New Roman"/>
          <w:spacing w:val="12"/>
          <w:position w:val="-2"/>
          <w:sz w:val="15"/>
          <w:szCs w:val="15"/>
        </w:rPr>
        <w:t xml:space="preserve"> </w:t>
      </w:r>
      <w:r>
        <w:rPr>
          <w:rFonts w:ascii="宋体" w:hAnsi="宋体" w:eastAsia="宋体" w:cs="宋体"/>
          <w:spacing w:val="-3"/>
          <w:sz w:val="24"/>
          <w:szCs w:val="24"/>
        </w:rPr>
        <w:t>迁移规律</w:t>
      </w:r>
      <w:r>
        <w:rPr>
          <w:rFonts w:ascii="宋体" w:hAnsi="宋体" w:eastAsia="宋体" w:cs="宋体"/>
          <w:spacing w:val="1"/>
          <w:sz w:val="24"/>
          <w:szCs w:val="24"/>
        </w:rPr>
        <w:t xml:space="preserve">预测结果见图 </w:t>
      </w:r>
      <w:r>
        <w:rPr>
          <w:rFonts w:ascii="Times New Roman" w:hAnsi="Times New Roman" w:eastAsia="Times New Roman" w:cs="Times New Roman"/>
          <w:spacing w:val="1"/>
          <w:sz w:val="24"/>
          <w:szCs w:val="24"/>
        </w:rPr>
        <w:t>4.2-4</w:t>
      </w:r>
      <w:r>
        <w:rPr>
          <w:rFonts w:ascii="宋体" w:hAnsi="宋体" w:eastAsia="宋体" w:cs="宋体"/>
          <w:spacing w:val="1"/>
          <w:sz w:val="24"/>
          <w:szCs w:val="24"/>
        </w:rPr>
        <w:t>。由预测结果可知，污水泄漏发生</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100d</w:t>
      </w:r>
      <w:r>
        <w:rPr>
          <w:rFonts w:ascii="宋体" w:hAnsi="宋体" w:eastAsia="宋体" w:cs="宋体"/>
          <w:spacing w:val="1"/>
          <w:sz w:val="24"/>
          <w:szCs w:val="24"/>
        </w:rPr>
        <w:t>，周围地下水中的</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2"/>
          <w:sz w:val="15"/>
          <w:szCs w:val="15"/>
        </w:rPr>
        <w:t>Mn</w:t>
      </w:r>
      <w:r>
        <w:rPr>
          <w:rFonts w:ascii="Times New Roman" w:hAnsi="Times New Roman" w:eastAsia="Times New Roman" w:cs="Times New Roman"/>
          <w:spacing w:val="14"/>
          <w:w w:val="101"/>
          <w:position w:val="-2"/>
          <w:sz w:val="15"/>
          <w:szCs w:val="15"/>
        </w:rPr>
        <w:t xml:space="preserve"> </w:t>
      </w:r>
      <w:r>
        <w:rPr>
          <w:rFonts w:ascii="宋体" w:hAnsi="宋体" w:eastAsia="宋体" w:cs="宋体"/>
          <w:spacing w:val="-2"/>
          <w:sz w:val="24"/>
          <w:szCs w:val="24"/>
        </w:rPr>
        <w:t xml:space="preserve">污染物最大贡献值为 </w:t>
      </w:r>
      <w:r>
        <w:rPr>
          <w:rFonts w:ascii="Times New Roman" w:hAnsi="Times New Roman" w:eastAsia="Times New Roman" w:cs="Times New Roman"/>
          <w:spacing w:val="-2"/>
          <w:sz w:val="24"/>
          <w:szCs w:val="24"/>
        </w:rPr>
        <w:t>149m</w:t>
      </w:r>
      <w:r>
        <w:rPr>
          <w:rFonts w:ascii="Times New Roman" w:hAnsi="Times New Roman" w:eastAsia="Times New Roman" w:cs="Times New Roman"/>
          <w:spacing w:val="-3"/>
          <w:sz w:val="24"/>
          <w:szCs w:val="24"/>
        </w:rPr>
        <w:t>g/L</w:t>
      </w:r>
      <w:r>
        <w:rPr>
          <w:rFonts w:ascii="宋体" w:hAnsi="宋体" w:eastAsia="宋体" w:cs="宋体"/>
          <w:spacing w:val="-3"/>
          <w:sz w:val="24"/>
          <w:szCs w:val="24"/>
        </w:rPr>
        <w:t xml:space="preserve">，发生在泄漏源下游约 </w:t>
      </w:r>
      <w:r>
        <w:rPr>
          <w:rFonts w:ascii="Times New Roman" w:hAnsi="Times New Roman" w:eastAsia="Times New Roman" w:cs="Times New Roman"/>
          <w:spacing w:val="-3"/>
          <w:sz w:val="24"/>
          <w:szCs w:val="24"/>
        </w:rPr>
        <w:t>40m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处；污水泄漏发生</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1000d </w:t>
      </w:r>
      <w:r>
        <w:rPr>
          <w:rFonts w:ascii="宋体" w:hAnsi="宋体" w:eastAsia="宋体" w:cs="宋体"/>
          <w:spacing w:val="-3"/>
          <w:sz w:val="24"/>
          <w:szCs w:val="24"/>
        </w:rPr>
        <w:t>后最高贡献值浓度降为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14.7mg/L</w:t>
      </w:r>
      <w:r>
        <w:rPr>
          <w:rFonts w:ascii="宋体" w:hAnsi="宋体" w:eastAsia="宋体" w:cs="宋体"/>
          <w:spacing w:val="-4"/>
          <w:sz w:val="24"/>
          <w:szCs w:val="24"/>
        </w:rPr>
        <w:t>，发生在泄漏源下游约</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400m </w:t>
      </w:r>
      <w:r>
        <w:rPr>
          <w:rFonts w:ascii="宋体" w:hAnsi="宋体" w:eastAsia="宋体" w:cs="宋体"/>
          <w:spacing w:val="-4"/>
          <w:sz w:val="24"/>
          <w:szCs w:val="24"/>
        </w:rPr>
        <w:t>处；随</w:t>
      </w:r>
      <w:r>
        <w:rPr>
          <w:rFonts w:ascii="宋体" w:hAnsi="宋体" w:eastAsia="宋体" w:cs="宋体"/>
          <w:spacing w:val="-6"/>
          <w:sz w:val="24"/>
          <w:szCs w:val="24"/>
        </w:rPr>
        <w:t>着时间的推移，</w:t>
      </w:r>
      <w:r>
        <w:rPr>
          <w:rFonts w:ascii="Times New Roman" w:hAnsi="Times New Roman" w:eastAsia="Times New Roman" w:cs="Times New Roman"/>
          <w:spacing w:val="-6"/>
          <w:sz w:val="24"/>
          <w:szCs w:val="24"/>
        </w:rPr>
        <w:t>COD</w:t>
      </w:r>
      <w:r>
        <w:rPr>
          <w:rFonts w:ascii="Times New Roman" w:hAnsi="Times New Roman" w:eastAsia="Times New Roman" w:cs="Times New Roman"/>
          <w:spacing w:val="-6"/>
          <w:position w:val="-2"/>
          <w:sz w:val="15"/>
          <w:szCs w:val="15"/>
        </w:rPr>
        <w:t>Mn</w:t>
      </w:r>
      <w:r>
        <w:rPr>
          <w:rFonts w:ascii="Times New Roman" w:hAnsi="Times New Roman" w:eastAsia="Times New Roman" w:cs="Times New Roman"/>
          <w:spacing w:val="33"/>
          <w:w w:val="102"/>
          <w:position w:val="-2"/>
          <w:sz w:val="15"/>
          <w:szCs w:val="15"/>
        </w:rPr>
        <w:t xml:space="preserve"> </w:t>
      </w:r>
      <w:r>
        <w:rPr>
          <w:rFonts w:ascii="宋体" w:hAnsi="宋体" w:eastAsia="宋体" w:cs="宋体"/>
          <w:spacing w:val="-6"/>
          <w:sz w:val="24"/>
          <w:szCs w:val="24"/>
        </w:rPr>
        <w:t>污染物的扩散范围逐渐增大，与此同时地下水中的</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COD</w:t>
      </w:r>
      <w:r>
        <w:rPr>
          <w:rFonts w:ascii="Times New Roman" w:hAnsi="Times New Roman" w:eastAsia="Times New Roman" w:cs="Times New Roman"/>
          <w:spacing w:val="-6"/>
          <w:position w:val="-2"/>
          <w:sz w:val="15"/>
          <w:szCs w:val="15"/>
        </w:rPr>
        <w:t>Mn</w:t>
      </w:r>
      <w:r>
        <w:rPr>
          <w:rFonts w:ascii="宋体" w:hAnsi="宋体" w:eastAsia="宋体" w:cs="宋体"/>
          <w:spacing w:val="-1"/>
          <w:sz w:val="24"/>
          <w:szCs w:val="24"/>
        </w:rPr>
        <w:t>浓度逐渐降低，污水泄漏发生</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3650d </w:t>
      </w:r>
      <w:r>
        <w:rPr>
          <w:rFonts w:ascii="宋体" w:hAnsi="宋体" w:eastAsia="宋体" w:cs="宋体"/>
          <w:spacing w:val="-1"/>
          <w:sz w:val="24"/>
          <w:szCs w:val="24"/>
        </w:rPr>
        <w:t>后，最高贡献值浓度降为</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4.1mg/L</w:t>
      </w:r>
      <w:r>
        <w:rPr>
          <w:rFonts w:ascii="宋体" w:hAnsi="宋体" w:eastAsia="宋体" w:cs="宋体"/>
          <w:spacing w:val="-1"/>
          <w:sz w:val="24"/>
          <w:szCs w:val="24"/>
        </w:rPr>
        <w:t>，发生在</w:t>
      </w:r>
      <w:r>
        <w:rPr>
          <w:rFonts w:ascii="宋体" w:hAnsi="宋体" w:eastAsia="宋体" w:cs="宋体"/>
          <w:spacing w:val="-4"/>
          <w:sz w:val="24"/>
          <w:szCs w:val="24"/>
        </w:rPr>
        <w:t>泄漏源下游约</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 xml:space="preserve">1400m </w:t>
      </w:r>
      <w:r>
        <w:rPr>
          <w:rFonts w:ascii="宋体" w:hAnsi="宋体" w:eastAsia="宋体" w:cs="宋体"/>
          <w:spacing w:val="-4"/>
          <w:sz w:val="24"/>
          <w:szCs w:val="24"/>
        </w:rPr>
        <w:t>处。</w:t>
      </w:r>
    </w:p>
    <w:p w14:paraId="76568260">
      <w:pPr>
        <w:spacing w:line="359" w:lineRule="auto"/>
        <w:rPr>
          <w:rFonts w:ascii="宋体" w:hAnsi="宋体" w:eastAsia="宋体" w:cs="宋体"/>
          <w:sz w:val="24"/>
          <w:szCs w:val="24"/>
        </w:rPr>
        <w:sectPr>
          <w:headerReference r:id="rId370" w:type="default"/>
          <w:footerReference r:id="rId371" w:type="default"/>
          <w:pgSz w:w="11905" w:h="16840"/>
          <w:pgMar w:top="1168" w:right="1768" w:bottom="1409" w:left="1770" w:header="828" w:footer="1244" w:gutter="0"/>
          <w:cols w:space="720" w:num="1"/>
        </w:sectPr>
      </w:pPr>
    </w:p>
    <w:p w14:paraId="104DD338">
      <w:pPr>
        <w:pStyle w:val="2"/>
        <w:spacing w:line="320" w:lineRule="auto"/>
      </w:pPr>
    </w:p>
    <w:p w14:paraId="5244BBD2">
      <w:pPr>
        <w:spacing w:line="3020" w:lineRule="exact"/>
        <w:ind w:firstLine="1700"/>
      </w:pPr>
      <w:r>
        <mc:AlternateContent>
          <mc:Choice Requires="wps">
            <w:drawing>
              <wp:anchor distT="0" distB="0" distL="0" distR="0" simplePos="0" relativeHeight="251709440" behindDoc="0" locked="0" layoutInCell="1" allowOverlap="1">
                <wp:simplePos x="0" y="0"/>
                <wp:positionH relativeFrom="column">
                  <wp:posOffset>1092835</wp:posOffset>
                </wp:positionH>
                <wp:positionV relativeFrom="paragraph">
                  <wp:posOffset>711835</wp:posOffset>
                </wp:positionV>
                <wp:extent cx="335280" cy="157480"/>
                <wp:effectExtent l="0" t="0" r="0" b="0"/>
                <wp:wrapNone/>
                <wp:docPr id="232" name="TextBox 232"/>
                <wp:cNvGraphicFramePr/>
                <a:graphic xmlns:a="http://schemas.openxmlformats.org/drawingml/2006/main">
                  <a:graphicData uri="http://schemas.microsoft.com/office/word/2010/wordprocessingShape">
                    <wps:wsp>
                      <wps:cNvSpPr txBox="1"/>
                      <wps:spPr>
                        <a:xfrm rot="16200000">
                          <a:off x="1093065" y="712116"/>
                          <a:ext cx="335279" cy="1574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3912E5">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 o:spid="_x0000_s1026" o:spt="202" type="#_x0000_t202" style="position:absolute;left:0pt;margin-left:86.05pt;margin-top:56.05pt;height:12.4pt;width:26.4pt;rotation:-5898240f;z-index:251709440;mso-width-relative:page;mso-height-relative:page;" filled="f" stroked="f" coordsize="21600,21600" o:gfxdata="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ozKz2AAAAAsBAAAP&#10;AAAAAAAAAAEAIAAAACIAAABkcnMvZG93bnJldi54bWxQSwECFAAUAAAACACHTuJAJSR2N1ECAACk&#10;BAAADgAAAAAAAAABACAAAAAnAQAAZHJzL2Uyb0RvYy54bWxQSwUGAAAAAAYABgBZAQAA6gUAAAAA&#10;">
                <v:fill on="f" focussize="0,0"/>
                <v:stroke on="f" weight="0pt" miterlimit="0" joinstyle="miter"/>
                <v:imagedata o:title=""/>
                <o:lock v:ext="edit" aspectratio="f"/>
                <v:textbox inset="0mm,0mm,0mm,0mm">
                  <w:txbxContent>
                    <w:p w14:paraId="263912E5">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v:textbox>
              </v:shape>
            </w:pict>
          </mc:Fallback>
        </mc:AlternateContent>
      </w:r>
      <w:r>
        <w:rPr>
          <w:position w:val="-60"/>
        </w:rPr>
        <w:pict>
          <v:group id="_x0000_s1067" o:spid="_x0000_s1067" o:spt="203" style="height:151.05pt;width:248.25pt;" coordsize="4965,3021">
            <o:lock v:ext="edit"/>
            <v:shape id="_x0000_s1068" o:spid="_x0000_s1068" o:spt="75" type="#_x0000_t75" style="position:absolute;left:0;top:0;height:3021;width:4965;" filled="f" stroked="f" coordsize="21600,21600">
              <v:path/>
              <v:fill on="f" focussize="0,0"/>
              <v:stroke on="f"/>
              <v:imagedata r:id="rId573" o:title=""/>
              <o:lock v:ext="edit" aspectratio="t"/>
            </v:shape>
            <v:shape id="_x0000_s1069" o:spid="_x0000_s1069" o:spt="202" type="#_x0000_t202" style="position:absolute;left:413;top:96;height:2735;width:4402;" filled="f" stroked="f" coordsize="21600,21600">
              <v:path/>
              <v:fill on="f" focussize="0,0"/>
              <v:stroke on="f"/>
              <v:imagedata o:title=""/>
              <o:lock v:ext="edit" aspectratio="f"/>
              <v:textbox inset="0mm,0mm,0mm,0mm">
                <w:txbxContent>
                  <w:p w14:paraId="2B67DBE0">
                    <w:pPr>
                      <w:spacing w:before="20" w:line="189" w:lineRule="auto"/>
                      <w:ind w:left="20"/>
                      <w:rPr>
                        <w:rFonts w:ascii="Calibri" w:hAnsi="Calibri" w:eastAsia="Calibri" w:cs="Calibri"/>
                        <w:sz w:val="14"/>
                        <w:szCs w:val="14"/>
                      </w:rPr>
                    </w:pPr>
                    <w:r>
                      <w:rPr>
                        <w:rFonts w:ascii="Calibri" w:hAnsi="Calibri" w:eastAsia="Calibri" w:cs="Calibri"/>
                        <w:spacing w:val="2"/>
                        <w:sz w:val="14"/>
                        <w:szCs w:val="14"/>
                      </w:rPr>
                      <w:t>160.00</w:t>
                    </w:r>
                  </w:p>
                  <w:p w14:paraId="6E08DBF0">
                    <w:pPr>
                      <w:spacing w:before="134" w:line="189" w:lineRule="auto"/>
                      <w:ind w:left="20"/>
                      <w:rPr>
                        <w:rFonts w:ascii="Calibri" w:hAnsi="Calibri" w:eastAsia="Calibri" w:cs="Calibri"/>
                        <w:sz w:val="14"/>
                        <w:szCs w:val="14"/>
                      </w:rPr>
                    </w:pPr>
                    <w:r>
                      <w:rPr>
                        <w:rFonts w:ascii="Calibri" w:hAnsi="Calibri" w:eastAsia="Calibri" w:cs="Calibri"/>
                        <w:spacing w:val="2"/>
                        <w:sz w:val="14"/>
                        <w:szCs w:val="14"/>
                      </w:rPr>
                      <w:t>140.00</w:t>
                    </w:r>
                  </w:p>
                  <w:p w14:paraId="29C0CCB9">
                    <w:pPr>
                      <w:spacing w:before="135" w:line="189" w:lineRule="auto"/>
                      <w:ind w:left="20"/>
                      <w:rPr>
                        <w:rFonts w:ascii="Calibri" w:hAnsi="Calibri" w:eastAsia="Calibri" w:cs="Calibri"/>
                        <w:sz w:val="14"/>
                        <w:szCs w:val="14"/>
                      </w:rPr>
                    </w:pPr>
                    <w:r>
                      <w:rPr>
                        <w:rFonts w:ascii="Calibri" w:hAnsi="Calibri" w:eastAsia="Calibri" w:cs="Calibri"/>
                        <w:spacing w:val="2"/>
                        <w:sz w:val="14"/>
                        <w:szCs w:val="14"/>
                      </w:rPr>
                      <w:t>120.00</w:t>
                    </w:r>
                  </w:p>
                  <w:p w14:paraId="786EEF6B">
                    <w:pPr>
                      <w:spacing w:before="134" w:line="189" w:lineRule="auto"/>
                      <w:ind w:left="20"/>
                      <w:rPr>
                        <w:rFonts w:ascii="Calibri" w:hAnsi="Calibri" w:eastAsia="Calibri" w:cs="Calibri"/>
                        <w:sz w:val="14"/>
                        <w:szCs w:val="14"/>
                      </w:rPr>
                    </w:pPr>
                    <w:r>
                      <w:rPr>
                        <w:rFonts w:ascii="Calibri" w:hAnsi="Calibri" w:eastAsia="Calibri" w:cs="Calibri"/>
                        <w:spacing w:val="2"/>
                        <w:sz w:val="14"/>
                        <w:szCs w:val="14"/>
                      </w:rPr>
                      <w:t>100.00</w:t>
                    </w:r>
                  </w:p>
                  <w:p w14:paraId="03174E59">
                    <w:pPr>
                      <w:spacing w:before="134" w:line="189" w:lineRule="auto"/>
                      <w:ind w:left="88"/>
                      <w:rPr>
                        <w:rFonts w:ascii="Calibri" w:hAnsi="Calibri" w:eastAsia="Calibri" w:cs="Calibri"/>
                        <w:sz w:val="14"/>
                        <w:szCs w:val="14"/>
                      </w:rPr>
                    </w:pPr>
                    <w:r>
                      <w:rPr>
                        <w:rFonts w:ascii="Calibri" w:hAnsi="Calibri" w:eastAsia="Calibri" w:cs="Calibri"/>
                        <w:spacing w:val="3"/>
                        <w:sz w:val="14"/>
                        <w:szCs w:val="14"/>
                      </w:rPr>
                      <w:t>80.00</w:t>
                    </w:r>
                  </w:p>
                  <w:p w14:paraId="5CCBB0C8">
                    <w:pPr>
                      <w:spacing w:before="134" w:line="189" w:lineRule="auto"/>
                      <w:ind w:left="90"/>
                      <w:rPr>
                        <w:rFonts w:ascii="Calibri" w:hAnsi="Calibri" w:eastAsia="Calibri" w:cs="Calibri"/>
                        <w:sz w:val="14"/>
                        <w:szCs w:val="14"/>
                      </w:rPr>
                    </w:pPr>
                    <w:r>
                      <w:rPr>
                        <w:rFonts w:ascii="Calibri" w:hAnsi="Calibri" w:eastAsia="Calibri" w:cs="Calibri"/>
                        <w:spacing w:val="3"/>
                        <w:sz w:val="14"/>
                        <w:szCs w:val="14"/>
                      </w:rPr>
                      <w:t>60.00</w:t>
                    </w:r>
                  </w:p>
                  <w:p w14:paraId="3F532487">
                    <w:pPr>
                      <w:spacing w:before="134" w:line="189" w:lineRule="auto"/>
                      <w:ind w:left="86"/>
                      <w:rPr>
                        <w:rFonts w:ascii="Calibri" w:hAnsi="Calibri" w:eastAsia="Calibri" w:cs="Calibri"/>
                        <w:sz w:val="14"/>
                        <w:szCs w:val="14"/>
                      </w:rPr>
                    </w:pPr>
                    <w:r>
                      <w:rPr>
                        <w:rFonts w:ascii="Calibri" w:hAnsi="Calibri" w:eastAsia="Calibri" w:cs="Calibri"/>
                        <w:spacing w:val="3"/>
                        <w:sz w:val="14"/>
                        <w:szCs w:val="14"/>
                      </w:rPr>
                      <w:t>40.00</w:t>
                    </w:r>
                  </w:p>
                  <w:p w14:paraId="2C5BDBF9">
                    <w:pPr>
                      <w:spacing w:before="134" w:line="189" w:lineRule="auto"/>
                      <w:ind w:left="91"/>
                      <w:rPr>
                        <w:rFonts w:ascii="Calibri" w:hAnsi="Calibri" w:eastAsia="Calibri" w:cs="Calibri"/>
                        <w:sz w:val="14"/>
                        <w:szCs w:val="14"/>
                      </w:rPr>
                    </w:pPr>
                    <w:r>
                      <w:rPr>
                        <w:rFonts w:ascii="Calibri" w:hAnsi="Calibri" w:eastAsia="Calibri" w:cs="Calibri"/>
                        <w:spacing w:val="2"/>
                        <w:sz w:val="14"/>
                        <w:szCs w:val="14"/>
                      </w:rPr>
                      <w:t>20.00</w:t>
                    </w:r>
                  </w:p>
                  <w:p w14:paraId="685581FE">
                    <w:pPr>
                      <w:spacing w:before="134" w:line="189" w:lineRule="auto"/>
                      <w:ind w:left="164"/>
                      <w:rPr>
                        <w:rFonts w:ascii="Calibri" w:hAnsi="Calibri" w:eastAsia="Calibri" w:cs="Calibri"/>
                        <w:sz w:val="14"/>
                        <w:szCs w:val="14"/>
                      </w:rPr>
                    </w:pPr>
                    <w:r>
                      <w:rPr>
                        <w:rFonts w:ascii="Calibri" w:hAnsi="Calibri" w:eastAsia="Calibri" w:cs="Calibri"/>
                        <w:spacing w:val="2"/>
                        <w:sz w:val="14"/>
                        <w:szCs w:val="14"/>
                      </w:rPr>
                      <w:t>0.00</w:t>
                    </w:r>
                  </w:p>
                  <w:p w14:paraId="2897EF78">
                    <w:pPr>
                      <w:spacing w:before="59" w:line="189" w:lineRule="auto"/>
                      <w:ind w:right="20"/>
                      <w:jc w:val="right"/>
                      <w:rPr>
                        <w:rFonts w:ascii="Calibri" w:hAnsi="Calibri" w:eastAsia="Calibri" w:cs="Calibri"/>
                        <w:sz w:val="14"/>
                        <w:szCs w:val="14"/>
                      </w:rPr>
                    </w:pPr>
                    <w:r>
                      <w:rPr>
                        <w:rFonts w:ascii="Calibri" w:hAnsi="Calibri" w:eastAsia="Calibri" w:cs="Calibri"/>
                        <w:spacing w:val="2"/>
                        <w:sz w:val="14"/>
                        <w:szCs w:val="14"/>
                      </w:rPr>
                      <w:t>0               50             100</w:t>
                    </w:r>
                    <w:r>
                      <w:rPr>
                        <w:rFonts w:ascii="Calibri" w:hAnsi="Calibri" w:eastAsia="Calibri" w:cs="Calibri"/>
                        <w:spacing w:val="1"/>
                        <w:sz w:val="14"/>
                        <w:szCs w:val="14"/>
                      </w:rPr>
                      <w:t xml:space="preserve">            </w:t>
                    </w:r>
                    <w:r>
                      <w:rPr>
                        <w:rFonts w:ascii="Calibri" w:hAnsi="Calibri" w:eastAsia="Calibri" w:cs="Calibri"/>
                        <w:spacing w:val="2"/>
                        <w:sz w:val="14"/>
                        <w:szCs w:val="14"/>
                      </w:rPr>
                      <w:t>15</w:t>
                    </w:r>
                    <w:r>
                      <w:rPr>
                        <w:rFonts w:ascii="Calibri" w:hAnsi="Calibri" w:eastAsia="Calibri" w:cs="Calibri"/>
                        <w:spacing w:val="1"/>
                        <w:sz w:val="14"/>
                        <w:szCs w:val="14"/>
                      </w:rPr>
                      <w:t>0            200            250            300</w:t>
                    </w:r>
                  </w:p>
                  <w:p w14:paraId="67F12ACD">
                    <w:pPr>
                      <w:spacing w:before="83" w:line="202" w:lineRule="auto"/>
                      <w:ind w:left="2138"/>
                      <w:rPr>
                        <w:rFonts w:ascii="Calibri" w:hAnsi="Calibri" w:eastAsia="Calibri" w:cs="Calibri"/>
                        <w:sz w:val="14"/>
                        <w:szCs w:val="14"/>
                      </w:rPr>
                    </w:pPr>
                    <w:r>
                      <w:rPr>
                        <w:rFonts w:ascii="Calibri" w:hAnsi="Calibri" w:eastAsia="Calibri" w:cs="Calibri"/>
                        <w:b/>
                        <w:bCs/>
                        <w:spacing w:val="4"/>
                        <w:sz w:val="14"/>
                        <w:szCs w:val="14"/>
                      </w:rPr>
                      <w:t>x(m)</w:t>
                    </w:r>
                  </w:p>
                </w:txbxContent>
              </v:textbox>
            </v:shape>
            <w10:wrap type="none"/>
            <w10:anchorlock/>
          </v:group>
        </w:pict>
      </w:r>
    </w:p>
    <w:p w14:paraId="2CAF8269">
      <w:pPr>
        <w:spacing w:before="99" w:line="3021" w:lineRule="exact"/>
        <w:ind w:firstLine="1700"/>
      </w:pPr>
      <w:r>
        <mc:AlternateContent>
          <mc:Choice Requires="wps">
            <w:drawing>
              <wp:anchor distT="0" distB="0" distL="0" distR="0" simplePos="0" relativeHeight="251708416" behindDoc="0" locked="0" layoutInCell="1" allowOverlap="1">
                <wp:simplePos x="0" y="0"/>
                <wp:positionH relativeFrom="column">
                  <wp:posOffset>1092835</wp:posOffset>
                </wp:positionH>
                <wp:positionV relativeFrom="paragraph">
                  <wp:posOffset>774700</wp:posOffset>
                </wp:positionV>
                <wp:extent cx="335280" cy="157480"/>
                <wp:effectExtent l="0" t="0" r="0" b="0"/>
                <wp:wrapNone/>
                <wp:docPr id="234" name="TextBox 234"/>
                <wp:cNvGraphicFramePr/>
                <a:graphic xmlns:a="http://schemas.openxmlformats.org/drawingml/2006/main">
                  <a:graphicData uri="http://schemas.microsoft.com/office/word/2010/wordprocessingShape">
                    <wps:wsp>
                      <wps:cNvSpPr txBox="1"/>
                      <wps:spPr>
                        <a:xfrm rot="16200000">
                          <a:off x="1093084" y="775148"/>
                          <a:ext cx="335279" cy="1574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B4209E">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86.05pt;margin-top:61pt;height:12.4pt;width:26.4pt;rotation:-5898240f;z-index:251708416;mso-width-relative:page;mso-height-relative:page;" filled="f" stroked="f" coordsize="21600,21600" o:gfxdata="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uuXF7YAAAACwEAAA8A&#10;AAAAAAAAAQAgAAAAIgAAAGRycy9kb3ducmV2LnhtbFBLAQIUABQAAAAIAIdO4kCAIFKCUAIAAKQE&#10;AAAOAAAAAAAAAAEAIAAAACcBAABkcnMvZTJvRG9jLnhtbFBLBQYAAAAABgAGAFkBAADpBQAAAAA=&#10;">
                <v:fill on="f" focussize="0,0"/>
                <v:stroke on="f" weight="0pt" miterlimit="0" joinstyle="miter"/>
                <v:imagedata o:title=""/>
                <o:lock v:ext="edit" aspectratio="f"/>
                <v:textbox inset="0mm,0mm,0mm,0mm">
                  <w:txbxContent>
                    <w:p w14:paraId="1BB4209E">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v:textbox>
              </v:shape>
            </w:pict>
          </mc:Fallback>
        </mc:AlternateContent>
      </w:r>
      <w:r>
        <w:rPr>
          <w:position w:val="-60"/>
        </w:rPr>
        <w:pict>
          <v:group id="_x0000_s1070" o:spid="_x0000_s1070" o:spt="203" style="height:151.05pt;width:248.25pt;" coordsize="4965,3021">
            <o:lock v:ext="edit"/>
            <v:shape id="_x0000_s1071" o:spid="_x0000_s1071" o:spt="75" type="#_x0000_t75" style="position:absolute;left:0;top:0;height:3021;width:4965;" filled="f" stroked="f" coordsize="21600,21600">
              <v:path/>
              <v:fill on="f" focussize="0,0"/>
              <v:stroke on="f"/>
              <v:imagedata r:id="rId574" o:title=""/>
              <o:lock v:ext="edit" aspectratio="t"/>
            </v:shape>
            <v:shape id="_x0000_s1072" o:spid="_x0000_s1072" o:spt="202" type="#_x0000_t202" style="position:absolute;left:413;top:96;height:2735;width:4402;" filled="f" stroked="f" coordsize="21600,21600">
              <v:path/>
              <v:fill on="f" focussize="0,0"/>
              <v:stroke on="f"/>
              <v:imagedata o:title=""/>
              <o:lock v:ext="edit" aspectratio="f"/>
              <v:textbox inset="0mm,0mm,0mm,0mm">
                <w:txbxContent>
                  <w:p w14:paraId="6061642D">
                    <w:pPr>
                      <w:spacing w:before="20" w:line="189" w:lineRule="auto"/>
                      <w:ind w:left="20"/>
                      <w:rPr>
                        <w:rFonts w:ascii="Calibri" w:hAnsi="Calibri" w:eastAsia="Calibri" w:cs="Calibri"/>
                        <w:sz w:val="14"/>
                        <w:szCs w:val="14"/>
                      </w:rPr>
                    </w:pPr>
                    <w:r>
                      <w:rPr>
                        <w:rFonts w:ascii="Calibri" w:hAnsi="Calibri" w:eastAsia="Calibri" w:cs="Calibri"/>
                        <w:spacing w:val="2"/>
                        <w:sz w:val="14"/>
                        <w:szCs w:val="14"/>
                      </w:rPr>
                      <w:t>16.00</w:t>
                    </w:r>
                  </w:p>
                  <w:p w14:paraId="10683A4A">
                    <w:pPr>
                      <w:spacing w:before="134" w:line="189" w:lineRule="auto"/>
                      <w:ind w:left="20"/>
                      <w:rPr>
                        <w:rFonts w:ascii="Calibri" w:hAnsi="Calibri" w:eastAsia="Calibri" w:cs="Calibri"/>
                        <w:sz w:val="14"/>
                        <w:szCs w:val="14"/>
                      </w:rPr>
                    </w:pPr>
                    <w:r>
                      <w:rPr>
                        <w:rFonts w:ascii="Calibri" w:hAnsi="Calibri" w:eastAsia="Calibri" w:cs="Calibri"/>
                        <w:spacing w:val="2"/>
                        <w:sz w:val="14"/>
                        <w:szCs w:val="14"/>
                      </w:rPr>
                      <w:t>14.00</w:t>
                    </w:r>
                  </w:p>
                  <w:p w14:paraId="30C4391C">
                    <w:pPr>
                      <w:spacing w:before="135" w:line="189" w:lineRule="auto"/>
                      <w:ind w:left="20"/>
                      <w:rPr>
                        <w:rFonts w:ascii="Calibri" w:hAnsi="Calibri" w:eastAsia="Calibri" w:cs="Calibri"/>
                        <w:sz w:val="14"/>
                        <w:szCs w:val="14"/>
                      </w:rPr>
                    </w:pPr>
                    <w:r>
                      <w:rPr>
                        <w:rFonts w:ascii="Calibri" w:hAnsi="Calibri" w:eastAsia="Calibri" w:cs="Calibri"/>
                        <w:spacing w:val="2"/>
                        <w:sz w:val="14"/>
                        <w:szCs w:val="14"/>
                      </w:rPr>
                      <w:t>12.00</w:t>
                    </w:r>
                  </w:p>
                  <w:p w14:paraId="19E60BF7">
                    <w:pPr>
                      <w:spacing w:before="134" w:line="189" w:lineRule="auto"/>
                      <w:ind w:left="20"/>
                      <w:rPr>
                        <w:rFonts w:ascii="Calibri" w:hAnsi="Calibri" w:eastAsia="Calibri" w:cs="Calibri"/>
                        <w:sz w:val="14"/>
                        <w:szCs w:val="14"/>
                      </w:rPr>
                    </w:pPr>
                    <w:r>
                      <w:rPr>
                        <w:rFonts w:ascii="Calibri" w:hAnsi="Calibri" w:eastAsia="Calibri" w:cs="Calibri"/>
                        <w:spacing w:val="2"/>
                        <w:sz w:val="14"/>
                        <w:szCs w:val="14"/>
                      </w:rPr>
                      <w:t>10.00</w:t>
                    </w:r>
                  </w:p>
                  <w:p w14:paraId="3B472A04">
                    <w:pPr>
                      <w:spacing w:before="134" w:line="189" w:lineRule="auto"/>
                      <w:ind w:left="88"/>
                      <w:rPr>
                        <w:rFonts w:ascii="Calibri" w:hAnsi="Calibri" w:eastAsia="Calibri" w:cs="Calibri"/>
                        <w:sz w:val="14"/>
                        <w:szCs w:val="14"/>
                      </w:rPr>
                    </w:pPr>
                    <w:r>
                      <w:rPr>
                        <w:rFonts w:ascii="Calibri" w:hAnsi="Calibri" w:eastAsia="Calibri" w:cs="Calibri"/>
                        <w:spacing w:val="3"/>
                        <w:sz w:val="14"/>
                        <w:szCs w:val="14"/>
                      </w:rPr>
                      <w:t>8.00</w:t>
                    </w:r>
                  </w:p>
                  <w:p w14:paraId="56726C66">
                    <w:pPr>
                      <w:spacing w:before="134" w:line="189" w:lineRule="auto"/>
                      <w:ind w:left="90"/>
                      <w:rPr>
                        <w:rFonts w:ascii="Calibri" w:hAnsi="Calibri" w:eastAsia="Calibri" w:cs="Calibri"/>
                        <w:sz w:val="14"/>
                        <w:szCs w:val="14"/>
                      </w:rPr>
                    </w:pPr>
                    <w:r>
                      <w:rPr>
                        <w:rFonts w:ascii="Calibri" w:hAnsi="Calibri" w:eastAsia="Calibri" w:cs="Calibri"/>
                        <w:spacing w:val="2"/>
                        <w:sz w:val="14"/>
                        <w:szCs w:val="14"/>
                      </w:rPr>
                      <w:t>6.00</w:t>
                    </w:r>
                  </w:p>
                  <w:p w14:paraId="1FC8DE18">
                    <w:pPr>
                      <w:spacing w:before="134" w:line="189" w:lineRule="auto"/>
                      <w:ind w:left="86"/>
                      <w:rPr>
                        <w:rFonts w:ascii="Calibri" w:hAnsi="Calibri" w:eastAsia="Calibri" w:cs="Calibri"/>
                        <w:sz w:val="14"/>
                        <w:szCs w:val="14"/>
                      </w:rPr>
                    </w:pPr>
                    <w:r>
                      <w:rPr>
                        <w:rFonts w:ascii="Calibri" w:hAnsi="Calibri" w:eastAsia="Calibri" w:cs="Calibri"/>
                        <w:spacing w:val="3"/>
                        <w:sz w:val="14"/>
                        <w:szCs w:val="14"/>
                      </w:rPr>
                      <w:t>4.00</w:t>
                    </w:r>
                  </w:p>
                  <w:p w14:paraId="22C35FFF">
                    <w:pPr>
                      <w:spacing w:before="134" w:line="189" w:lineRule="auto"/>
                      <w:ind w:left="91"/>
                      <w:rPr>
                        <w:rFonts w:ascii="Calibri" w:hAnsi="Calibri" w:eastAsia="Calibri" w:cs="Calibri"/>
                        <w:sz w:val="14"/>
                        <w:szCs w:val="14"/>
                      </w:rPr>
                    </w:pPr>
                    <w:r>
                      <w:rPr>
                        <w:rFonts w:ascii="Calibri" w:hAnsi="Calibri" w:eastAsia="Calibri" w:cs="Calibri"/>
                        <w:spacing w:val="2"/>
                        <w:sz w:val="14"/>
                        <w:szCs w:val="14"/>
                      </w:rPr>
                      <w:t>2.00</w:t>
                    </w:r>
                  </w:p>
                  <w:p w14:paraId="421EBC8D">
                    <w:pPr>
                      <w:spacing w:before="134" w:line="189" w:lineRule="auto"/>
                      <w:ind w:left="88"/>
                      <w:rPr>
                        <w:rFonts w:ascii="Calibri" w:hAnsi="Calibri" w:eastAsia="Calibri" w:cs="Calibri"/>
                        <w:sz w:val="14"/>
                        <w:szCs w:val="14"/>
                      </w:rPr>
                    </w:pPr>
                    <w:r>
                      <w:rPr>
                        <w:rFonts w:ascii="Calibri" w:hAnsi="Calibri" w:eastAsia="Calibri" w:cs="Calibri"/>
                        <w:spacing w:val="3"/>
                        <w:sz w:val="14"/>
                        <w:szCs w:val="14"/>
                      </w:rPr>
                      <w:t>0.00</w:t>
                    </w:r>
                  </w:p>
                  <w:p w14:paraId="27B199A3">
                    <w:pPr>
                      <w:spacing w:before="59" w:line="189" w:lineRule="auto"/>
                      <w:ind w:right="20"/>
                      <w:jc w:val="right"/>
                      <w:rPr>
                        <w:rFonts w:ascii="Calibri" w:hAnsi="Calibri" w:eastAsia="Calibri" w:cs="Calibri"/>
                        <w:sz w:val="14"/>
                        <w:szCs w:val="14"/>
                      </w:rPr>
                    </w:pPr>
                    <w:r>
                      <w:rPr>
                        <w:rFonts w:ascii="Calibri" w:hAnsi="Calibri" w:eastAsia="Calibri" w:cs="Calibri"/>
                        <w:spacing w:val="2"/>
                        <w:sz w:val="14"/>
                        <w:szCs w:val="14"/>
                      </w:rPr>
                      <w:t xml:space="preserve">0                  200       </w:t>
                    </w:r>
                    <w:r>
                      <w:rPr>
                        <w:rFonts w:ascii="Calibri" w:hAnsi="Calibri" w:eastAsia="Calibri" w:cs="Calibri"/>
                        <w:spacing w:val="1"/>
                        <w:sz w:val="14"/>
                        <w:szCs w:val="14"/>
                      </w:rPr>
                      <w:t xml:space="preserve">         400</w:t>
                    </w:r>
                    <w:r>
                      <w:rPr>
                        <w:rFonts w:ascii="Calibri" w:hAnsi="Calibri" w:eastAsia="Calibri" w:cs="Calibri"/>
                        <w:sz w:val="14"/>
                        <w:szCs w:val="14"/>
                      </w:rPr>
                      <w:t xml:space="preserve">                </w:t>
                    </w:r>
                    <w:r>
                      <w:rPr>
                        <w:rFonts w:ascii="Calibri" w:hAnsi="Calibri" w:eastAsia="Calibri" w:cs="Calibri"/>
                        <w:spacing w:val="1"/>
                        <w:sz w:val="14"/>
                        <w:szCs w:val="14"/>
                      </w:rPr>
                      <w:t>600                800               1000</w:t>
                    </w:r>
                  </w:p>
                  <w:p w14:paraId="239CFC95">
                    <w:pPr>
                      <w:spacing w:before="83" w:line="202" w:lineRule="auto"/>
                      <w:ind w:left="2138"/>
                      <w:rPr>
                        <w:rFonts w:ascii="Calibri" w:hAnsi="Calibri" w:eastAsia="Calibri" w:cs="Calibri"/>
                        <w:sz w:val="14"/>
                        <w:szCs w:val="14"/>
                      </w:rPr>
                    </w:pPr>
                    <w:r>
                      <w:rPr>
                        <w:rFonts w:ascii="Calibri" w:hAnsi="Calibri" w:eastAsia="Calibri" w:cs="Calibri"/>
                        <w:b/>
                        <w:bCs/>
                        <w:spacing w:val="4"/>
                        <w:sz w:val="14"/>
                        <w:szCs w:val="14"/>
                      </w:rPr>
                      <w:t>x(m)</w:t>
                    </w:r>
                  </w:p>
                </w:txbxContent>
              </v:textbox>
            </v:shape>
            <w10:wrap type="none"/>
            <w10:anchorlock/>
          </v:group>
        </w:pict>
      </w:r>
    </w:p>
    <w:p w14:paraId="3A2489F0">
      <w:pPr>
        <w:spacing w:before="99" w:line="3021" w:lineRule="exact"/>
        <w:ind w:firstLine="1700"/>
      </w:pPr>
      <w:r>
        <mc:AlternateContent>
          <mc:Choice Requires="wps">
            <w:drawing>
              <wp:anchor distT="0" distB="0" distL="0" distR="0" simplePos="0" relativeHeight="251707392" behindDoc="0" locked="0" layoutInCell="1" allowOverlap="1">
                <wp:simplePos x="0" y="0"/>
                <wp:positionH relativeFrom="column">
                  <wp:posOffset>1092835</wp:posOffset>
                </wp:positionH>
                <wp:positionV relativeFrom="paragraph">
                  <wp:posOffset>774700</wp:posOffset>
                </wp:positionV>
                <wp:extent cx="335280" cy="157480"/>
                <wp:effectExtent l="0" t="0" r="0" b="0"/>
                <wp:wrapNone/>
                <wp:docPr id="236" name="TextBox 236"/>
                <wp:cNvGraphicFramePr/>
                <a:graphic xmlns:a="http://schemas.openxmlformats.org/drawingml/2006/main">
                  <a:graphicData uri="http://schemas.microsoft.com/office/word/2010/wordprocessingShape">
                    <wps:wsp>
                      <wps:cNvSpPr txBox="1"/>
                      <wps:spPr>
                        <a:xfrm rot="16200000">
                          <a:off x="1093084" y="775149"/>
                          <a:ext cx="335279" cy="1574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5431912">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86.05pt;margin-top:61pt;height:12.4pt;width:26.4pt;rotation:-5898240f;z-index:251707392;mso-width-relative:page;mso-height-relative:page;" filled="f" stroked="f" coordsize="21600,21600" o:gfxdata="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brlxe2AAAAAsBAAAP&#10;AAAAAAAAAAEAIAAAACIAAABkcnMvZG93bnJldi54bWxQSwECFAAUAAAACACHTuJAsoW971ECAACk&#10;BAAADgAAAAAAAAABACAAAAAnAQAAZHJzL2Uyb0RvYy54bWxQSwUGAAAAAAYABgBZAQAA6gUAAAAA&#10;">
                <v:fill on="f" focussize="0,0"/>
                <v:stroke on="f" weight="0pt" miterlimit="0" joinstyle="miter"/>
                <v:imagedata o:title=""/>
                <o:lock v:ext="edit" aspectratio="f"/>
                <v:textbox inset="0mm,0mm,0mm,0mm">
                  <w:txbxContent>
                    <w:p w14:paraId="75431912">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v:textbox>
              </v:shape>
            </w:pict>
          </mc:Fallback>
        </mc:AlternateContent>
      </w:r>
      <w:r>
        <w:rPr>
          <w:position w:val="-60"/>
        </w:rPr>
        <w:pict>
          <v:group id="_x0000_s1073" o:spid="_x0000_s1073" o:spt="203" style="height:151.05pt;width:248.25pt;" coordsize="4965,3021">
            <o:lock v:ext="edit"/>
            <v:shape id="_x0000_s1074" o:spid="_x0000_s1074" o:spt="75" type="#_x0000_t75" style="position:absolute;left:0;top:0;height:3021;width:4965;" filled="f" stroked="f" coordsize="21600,21600">
              <v:path/>
              <v:fill on="f" focussize="0,0"/>
              <v:stroke on="f"/>
              <v:imagedata r:id="rId575" o:title=""/>
              <o:lock v:ext="edit" aspectratio="t"/>
            </v:shape>
            <v:shape id="_x0000_s1075" o:spid="_x0000_s1075" o:spt="202" type="#_x0000_t202" style="position:absolute;left:404;top:96;height:2735;width:4412;" filled="f" stroked="f" coordsize="21600,21600">
              <v:path/>
              <v:fill on="f" focussize="0,0"/>
              <v:stroke on="f"/>
              <v:imagedata o:title=""/>
              <o:lock v:ext="edit" aspectratio="f"/>
              <v:textbox inset="0mm,0mm,0mm,0mm">
                <w:txbxContent>
                  <w:p w14:paraId="126F24CD">
                    <w:pPr>
                      <w:spacing w:before="20" w:line="189" w:lineRule="auto"/>
                      <w:ind w:left="24"/>
                      <w:rPr>
                        <w:rFonts w:ascii="Calibri" w:hAnsi="Calibri" w:eastAsia="Calibri" w:cs="Calibri"/>
                        <w:sz w:val="14"/>
                        <w:szCs w:val="14"/>
                      </w:rPr>
                    </w:pPr>
                    <w:r>
                      <w:rPr>
                        <w:rFonts w:ascii="Calibri" w:hAnsi="Calibri" w:eastAsia="Calibri" w:cs="Calibri"/>
                        <w:spacing w:val="2"/>
                        <w:sz w:val="14"/>
                        <w:szCs w:val="14"/>
                      </w:rPr>
                      <w:t>6.00</w:t>
                    </w:r>
                  </w:p>
                  <w:p w14:paraId="0281290C">
                    <w:pPr>
                      <w:spacing w:before="224" w:line="189" w:lineRule="auto"/>
                      <w:ind w:left="23"/>
                      <w:rPr>
                        <w:rFonts w:ascii="Calibri" w:hAnsi="Calibri" w:eastAsia="Calibri" w:cs="Calibri"/>
                        <w:sz w:val="14"/>
                        <w:szCs w:val="14"/>
                      </w:rPr>
                    </w:pPr>
                    <w:r>
                      <w:rPr>
                        <w:rFonts w:ascii="Calibri" w:hAnsi="Calibri" w:eastAsia="Calibri" w:cs="Calibri"/>
                        <w:spacing w:val="2"/>
                        <w:sz w:val="14"/>
                        <w:szCs w:val="14"/>
                      </w:rPr>
                      <w:t>5.00</w:t>
                    </w:r>
                  </w:p>
                  <w:p w14:paraId="6005B4C9">
                    <w:pPr>
                      <w:spacing w:before="224" w:line="189" w:lineRule="auto"/>
                      <w:ind w:left="20"/>
                      <w:rPr>
                        <w:rFonts w:ascii="Calibri" w:hAnsi="Calibri" w:eastAsia="Calibri" w:cs="Calibri"/>
                        <w:sz w:val="14"/>
                        <w:szCs w:val="14"/>
                      </w:rPr>
                    </w:pPr>
                    <w:r>
                      <w:rPr>
                        <w:rFonts w:ascii="Calibri" w:hAnsi="Calibri" w:eastAsia="Calibri" w:cs="Calibri"/>
                        <w:spacing w:val="3"/>
                        <w:sz w:val="14"/>
                        <w:szCs w:val="14"/>
                      </w:rPr>
                      <w:t>4.00</w:t>
                    </w:r>
                  </w:p>
                  <w:p w14:paraId="3689B87B">
                    <w:pPr>
                      <w:spacing w:before="224" w:line="189" w:lineRule="auto"/>
                      <w:ind w:left="24"/>
                      <w:rPr>
                        <w:rFonts w:ascii="Calibri" w:hAnsi="Calibri" w:eastAsia="Calibri" w:cs="Calibri"/>
                        <w:sz w:val="14"/>
                        <w:szCs w:val="14"/>
                      </w:rPr>
                    </w:pPr>
                    <w:r>
                      <w:rPr>
                        <w:rFonts w:ascii="Calibri" w:hAnsi="Calibri" w:eastAsia="Calibri" w:cs="Calibri"/>
                        <w:spacing w:val="2"/>
                        <w:sz w:val="14"/>
                        <w:szCs w:val="14"/>
                      </w:rPr>
                      <w:t>3.00</w:t>
                    </w:r>
                  </w:p>
                  <w:p w14:paraId="0735F570">
                    <w:pPr>
                      <w:spacing w:before="223" w:line="189" w:lineRule="auto"/>
                      <w:ind w:left="24"/>
                      <w:rPr>
                        <w:rFonts w:ascii="Calibri" w:hAnsi="Calibri" w:eastAsia="Calibri" w:cs="Calibri"/>
                        <w:sz w:val="14"/>
                        <w:szCs w:val="14"/>
                      </w:rPr>
                    </w:pPr>
                    <w:r>
                      <w:rPr>
                        <w:rFonts w:ascii="Calibri" w:hAnsi="Calibri" w:eastAsia="Calibri" w:cs="Calibri"/>
                        <w:spacing w:val="2"/>
                        <w:sz w:val="14"/>
                        <w:szCs w:val="14"/>
                      </w:rPr>
                      <w:t>2.00</w:t>
                    </w:r>
                  </w:p>
                  <w:p w14:paraId="492A08F3">
                    <w:pPr>
                      <w:spacing w:before="224" w:line="189" w:lineRule="auto"/>
                      <w:ind w:left="29"/>
                      <w:rPr>
                        <w:rFonts w:ascii="Calibri" w:hAnsi="Calibri" w:eastAsia="Calibri" w:cs="Calibri"/>
                        <w:sz w:val="14"/>
                        <w:szCs w:val="14"/>
                      </w:rPr>
                    </w:pPr>
                    <w:r>
                      <w:rPr>
                        <w:rFonts w:ascii="Calibri" w:hAnsi="Calibri" w:eastAsia="Calibri" w:cs="Calibri"/>
                        <w:spacing w:val="1"/>
                        <w:sz w:val="14"/>
                        <w:szCs w:val="14"/>
                      </w:rPr>
                      <w:t>1.00</w:t>
                    </w:r>
                  </w:p>
                  <w:p w14:paraId="2895B771">
                    <w:pPr>
                      <w:spacing w:before="224" w:line="189" w:lineRule="auto"/>
                      <w:ind w:left="21"/>
                      <w:rPr>
                        <w:rFonts w:ascii="Calibri" w:hAnsi="Calibri" w:eastAsia="Calibri" w:cs="Calibri"/>
                        <w:sz w:val="14"/>
                        <w:szCs w:val="14"/>
                      </w:rPr>
                    </w:pPr>
                    <w:r>
                      <w:rPr>
                        <w:rFonts w:ascii="Calibri" w:hAnsi="Calibri" w:eastAsia="Calibri" w:cs="Calibri"/>
                        <w:spacing w:val="3"/>
                        <w:sz w:val="14"/>
                        <w:szCs w:val="14"/>
                      </w:rPr>
                      <w:t>0.00</w:t>
                    </w:r>
                  </w:p>
                  <w:p w14:paraId="51D798AF">
                    <w:pPr>
                      <w:spacing w:before="59" w:line="189" w:lineRule="auto"/>
                      <w:ind w:right="20"/>
                      <w:jc w:val="right"/>
                      <w:rPr>
                        <w:rFonts w:ascii="Calibri" w:hAnsi="Calibri" w:eastAsia="Calibri" w:cs="Calibri"/>
                        <w:sz w:val="14"/>
                        <w:szCs w:val="14"/>
                      </w:rPr>
                    </w:pPr>
                    <w:r>
                      <w:rPr>
                        <w:rFonts w:ascii="Calibri" w:hAnsi="Calibri" w:eastAsia="Calibri" w:cs="Calibri"/>
                        <w:spacing w:val="2"/>
                        <w:sz w:val="14"/>
                        <w:szCs w:val="14"/>
                      </w:rPr>
                      <w:t>0</w:t>
                    </w:r>
                    <w:r>
                      <w:rPr>
                        <w:rFonts w:ascii="Calibri" w:hAnsi="Calibri" w:eastAsia="Calibri" w:cs="Calibri"/>
                        <w:sz w:val="14"/>
                        <w:szCs w:val="14"/>
                      </w:rPr>
                      <w:t xml:space="preserve">                   </w:t>
                    </w:r>
                    <w:r>
                      <w:rPr>
                        <w:rFonts w:ascii="Calibri" w:hAnsi="Calibri" w:eastAsia="Calibri" w:cs="Calibri"/>
                        <w:spacing w:val="2"/>
                        <w:sz w:val="14"/>
                        <w:szCs w:val="14"/>
                      </w:rPr>
                      <w:t xml:space="preserve">500               1000              1500              2000 </w:t>
                    </w:r>
                    <w:r>
                      <w:rPr>
                        <w:rFonts w:ascii="Calibri" w:hAnsi="Calibri" w:eastAsia="Calibri" w:cs="Calibri"/>
                        <w:spacing w:val="1"/>
                        <w:sz w:val="14"/>
                        <w:szCs w:val="14"/>
                      </w:rPr>
                      <w:t xml:space="preserve">             2500</w:t>
                    </w:r>
                  </w:p>
                  <w:p w14:paraId="4EC2BEB7">
                    <w:pPr>
                      <w:spacing w:before="83" w:line="202" w:lineRule="auto"/>
                      <w:ind w:left="2147"/>
                      <w:rPr>
                        <w:rFonts w:ascii="Calibri" w:hAnsi="Calibri" w:eastAsia="Calibri" w:cs="Calibri"/>
                        <w:sz w:val="14"/>
                        <w:szCs w:val="14"/>
                      </w:rPr>
                    </w:pPr>
                    <w:r>
                      <w:rPr>
                        <w:rFonts w:ascii="Calibri" w:hAnsi="Calibri" w:eastAsia="Calibri" w:cs="Calibri"/>
                        <w:b/>
                        <w:bCs/>
                        <w:spacing w:val="4"/>
                        <w:sz w:val="14"/>
                        <w:szCs w:val="14"/>
                      </w:rPr>
                      <w:t>x(m)</w:t>
                    </w:r>
                  </w:p>
                </w:txbxContent>
              </v:textbox>
            </v:shape>
            <w10:wrap type="none"/>
            <w10:anchorlock/>
          </v:group>
        </w:pict>
      </w:r>
    </w:p>
    <w:p w14:paraId="17272FF1">
      <w:pPr>
        <w:spacing w:before="176" w:line="222" w:lineRule="auto"/>
        <w:ind w:left="1549"/>
        <w:rPr>
          <w:rFonts w:ascii="黑体" w:hAnsi="黑体" w:eastAsia="黑体" w:cs="黑体"/>
          <w:sz w:val="21"/>
          <w:szCs w:val="21"/>
        </w:rPr>
      </w:pPr>
      <w:r>
        <w:rPr>
          <w:rFonts w:ascii="黑体" w:hAnsi="黑体" w:eastAsia="黑体" w:cs="黑体"/>
          <w:spacing w:val="-3"/>
          <w:sz w:val="21"/>
          <w:szCs w:val="21"/>
        </w:rPr>
        <w:t>图</w:t>
      </w:r>
      <w:r>
        <w:rPr>
          <w:rFonts w:ascii="黑体" w:hAnsi="黑体" w:eastAsia="黑体" w:cs="黑体"/>
          <w:spacing w:val="-42"/>
          <w:sz w:val="21"/>
          <w:szCs w:val="21"/>
        </w:rPr>
        <w:t xml:space="preserve"> </w:t>
      </w:r>
      <w:r>
        <w:rPr>
          <w:rFonts w:ascii="Times New Roman" w:hAnsi="Times New Roman" w:eastAsia="Times New Roman" w:cs="Times New Roman"/>
          <w:spacing w:val="-3"/>
          <w:sz w:val="21"/>
          <w:szCs w:val="21"/>
        </w:rPr>
        <w:t>4.2-4 COD</w:t>
      </w:r>
      <w:r>
        <w:rPr>
          <w:rFonts w:ascii="Times New Roman" w:hAnsi="Times New Roman" w:eastAsia="Times New Roman" w:cs="Times New Roman"/>
          <w:spacing w:val="-3"/>
          <w:position w:val="-2"/>
          <w:sz w:val="14"/>
          <w:szCs w:val="14"/>
        </w:rPr>
        <w:t xml:space="preserve">Mn </w:t>
      </w:r>
      <w:r>
        <w:rPr>
          <w:rFonts w:ascii="黑体" w:hAnsi="黑体" w:eastAsia="黑体" w:cs="黑体"/>
          <w:spacing w:val="-3"/>
          <w:sz w:val="21"/>
          <w:szCs w:val="21"/>
        </w:rPr>
        <w:t>在</w:t>
      </w:r>
      <w:r>
        <w:rPr>
          <w:rFonts w:ascii="黑体" w:hAnsi="黑体" w:eastAsia="黑体" w:cs="黑体"/>
          <w:spacing w:val="-27"/>
          <w:sz w:val="21"/>
          <w:szCs w:val="21"/>
        </w:rPr>
        <w:t xml:space="preserve"> </w:t>
      </w:r>
      <w:r>
        <w:rPr>
          <w:rFonts w:ascii="Times New Roman" w:hAnsi="Times New Roman" w:eastAsia="Times New Roman" w:cs="Times New Roman"/>
          <w:spacing w:val="-3"/>
          <w:sz w:val="21"/>
          <w:szCs w:val="21"/>
        </w:rPr>
        <w:t>100d</w:t>
      </w:r>
      <w:r>
        <w:rPr>
          <w:rFonts w:ascii="Times New Roman" w:hAnsi="Times New Roman" w:eastAsia="Times New Roman" w:cs="Times New Roman"/>
          <w:spacing w:val="-24"/>
          <w:sz w:val="21"/>
          <w:szCs w:val="21"/>
        </w:rPr>
        <w:t xml:space="preserve"> </w:t>
      </w:r>
      <w:r>
        <w:rPr>
          <w:rFonts w:ascii="黑体" w:hAnsi="黑体" w:eastAsia="黑体" w:cs="黑体"/>
          <w:spacing w:val="-3"/>
          <w:sz w:val="21"/>
          <w:szCs w:val="21"/>
        </w:rPr>
        <w:t>、</w:t>
      </w:r>
      <w:r>
        <w:rPr>
          <w:rFonts w:ascii="Times New Roman" w:hAnsi="Times New Roman" w:eastAsia="Times New Roman" w:cs="Times New Roman"/>
          <w:spacing w:val="-3"/>
          <w:sz w:val="21"/>
          <w:szCs w:val="21"/>
        </w:rPr>
        <w:t>1000d</w:t>
      </w:r>
      <w:r>
        <w:rPr>
          <w:rFonts w:ascii="Times New Roman" w:hAnsi="Times New Roman" w:eastAsia="Times New Roman" w:cs="Times New Roman"/>
          <w:spacing w:val="-23"/>
          <w:sz w:val="21"/>
          <w:szCs w:val="21"/>
        </w:rPr>
        <w:t xml:space="preserve"> </w:t>
      </w:r>
      <w:r>
        <w:rPr>
          <w:rFonts w:ascii="黑体" w:hAnsi="黑体" w:eastAsia="黑体" w:cs="黑体"/>
          <w:spacing w:val="-3"/>
          <w:sz w:val="21"/>
          <w:szCs w:val="21"/>
        </w:rPr>
        <w:t>、</w:t>
      </w:r>
      <w:r>
        <w:rPr>
          <w:rFonts w:ascii="Times New Roman" w:hAnsi="Times New Roman" w:eastAsia="Times New Roman" w:cs="Times New Roman"/>
          <w:spacing w:val="-3"/>
          <w:sz w:val="21"/>
          <w:szCs w:val="21"/>
        </w:rPr>
        <w:t xml:space="preserve">3650d </w:t>
      </w:r>
      <w:r>
        <w:rPr>
          <w:rFonts w:ascii="黑体" w:hAnsi="黑体" w:eastAsia="黑体" w:cs="黑体"/>
          <w:spacing w:val="-3"/>
          <w:sz w:val="21"/>
          <w:szCs w:val="21"/>
        </w:rPr>
        <w:t>迁移规律预测结果</w:t>
      </w:r>
    </w:p>
    <w:p w14:paraId="0653DB16">
      <w:pPr>
        <w:spacing w:before="202" w:line="220" w:lineRule="auto"/>
        <w:ind w:left="560"/>
        <w:rPr>
          <w:rFonts w:ascii="宋体" w:hAnsi="宋体" w:eastAsia="宋体" w:cs="宋体"/>
          <w:sz w:val="24"/>
          <w:szCs w:val="24"/>
        </w:rPr>
      </w:pPr>
      <w:r>
        <w:rPr>
          <w:rFonts w:ascii="宋体" w:hAnsi="宋体" w:eastAsia="宋体" w:cs="宋体"/>
          <w:spacing w:val="-13"/>
          <w:sz w:val="24"/>
          <w:szCs w:val="24"/>
        </w:rPr>
        <w:t>Ⅱ、</w:t>
      </w:r>
      <w:r>
        <w:rPr>
          <w:rFonts w:ascii="Times New Roman" w:hAnsi="Times New Roman" w:eastAsia="Times New Roman" w:cs="Times New Roman"/>
          <w:spacing w:val="-13"/>
          <w:sz w:val="24"/>
          <w:szCs w:val="24"/>
        </w:rPr>
        <w:t>NH</w:t>
      </w:r>
      <w:r>
        <w:rPr>
          <w:rFonts w:ascii="Times New Roman" w:hAnsi="Times New Roman" w:eastAsia="Times New Roman" w:cs="Times New Roman"/>
          <w:position w:val="-2"/>
          <w:sz w:val="15"/>
          <w:szCs w:val="15"/>
        </w:rPr>
        <w:t>3</w:t>
      </w:r>
      <w:r>
        <w:rPr>
          <w:rFonts w:ascii="Times New Roman" w:hAnsi="Times New Roman" w:eastAsia="Times New Roman" w:cs="Times New Roman"/>
          <w:sz w:val="24"/>
          <w:szCs w:val="24"/>
        </w:rPr>
        <w:t xml:space="preserve">-N </w:t>
      </w:r>
      <w:r>
        <w:rPr>
          <w:rFonts w:ascii="宋体" w:hAnsi="宋体" w:eastAsia="宋体" w:cs="宋体"/>
          <w:sz w:val="24"/>
          <w:szCs w:val="24"/>
        </w:rPr>
        <w:t>预测结果分析</w:t>
      </w:r>
    </w:p>
    <w:p w14:paraId="05119FF5">
      <w:pPr>
        <w:spacing w:before="185" w:line="359" w:lineRule="auto"/>
        <w:ind w:left="27" w:right="28" w:firstLine="507"/>
        <w:rPr>
          <w:rFonts w:ascii="宋体" w:hAnsi="宋体" w:eastAsia="宋体" w:cs="宋体"/>
          <w:sz w:val="24"/>
          <w:szCs w:val="24"/>
        </w:rPr>
      </w:pPr>
      <w:r>
        <w:rPr>
          <w:rFonts w:ascii="宋体" w:hAnsi="宋体" w:eastAsia="宋体" w:cs="宋体"/>
          <w:spacing w:val="-2"/>
          <w:sz w:val="24"/>
          <w:szCs w:val="24"/>
        </w:rPr>
        <w:t>当污水处理站池体破裂污水泄漏</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100d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1000d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3650d </w:t>
      </w:r>
      <w:r>
        <w:rPr>
          <w:rFonts w:ascii="宋体" w:hAnsi="宋体" w:eastAsia="宋体" w:cs="宋体"/>
          <w:spacing w:val="-2"/>
          <w:sz w:val="24"/>
          <w:szCs w:val="24"/>
        </w:rPr>
        <w:t>后，</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Times New Roman" w:hAnsi="Times New Roman" w:eastAsia="Times New Roman" w:cs="Times New Roman"/>
          <w:spacing w:val="-3"/>
          <w:sz w:val="24"/>
          <w:szCs w:val="24"/>
        </w:rPr>
        <w:t xml:space="preserve">-N </w:t>
      </w:r>
      <w:r>
        <w:rPr>
          <w:rFonts w:ascii="宋体" w:hAnsi="宋体" w:eastAsia="宋体" w:cs="宋体"/>
          <w:spacing w:val="-3"/>
          <w:sz w:val="24"/>
          <w:szCs w:val="24"/>
        </w:rPr>
        <w:t>迁移规律</w:t>
      </w:r>
      <w:r>
        <w:rPr>
          <w:rFonts w:ascii="宋体" w:hAnsi="宋体" w:eastAsia="宋体" w:cs="宋体"/>
          <w:spacing w:val="2"/>
          <w:sz w:val="24"/>
          <w:szCs w:val="24"/>
        </w:rPr>
        <w:t xml:space="preserve">预测结果见图 </w:t>
      </w:r>
      <w:r>
        <w:rPr>
          <w:rFonts w:ascii="Times New Roman" w:hAnsi="Times New Roman" w:eastAsia="Times New Roman" w:cs="Times New Roman"/>
          <w:spacing w:val="2"/>
          <w:sz w:val="24"/>
          <w:szCs w:val="24"/>
        </w:rPr>
        <w:t>4.2-5</w:t>
      </w:r>
      <w:r>
        <w:rPr>
          <w:rFonts w:ascii="宋体" w:hAnsi="宋体" w:eastAsia="宋体" w:cs="宋体"/>
          <w:spacing w:val="2"/>
          <w:sz w:val="24"/>
          <w:szCs w:val="24"/>
        </w:rPr>
        <w:t>。由预测结果可知，污水泄漏</w:t>
      </w:r>
      <w:r>
        <w:rPr>
          <w:rFonts w:ascii="宋体" w:hAnsi="宋体" w:eastAsia="宋体" w:cs="宋体"/>
          <w:spacing w:val="1"/>
          <w:sz w:val="24"/>
          <w:szCs w:val="24"/>
        </w:rPr>
        <w:t>发生</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100d</w:t>
      </w:r>
      <w:r>
        <w:rPr>
          <w:rFonts w:ascii="宋体" w:hAnsi="宋体" w:eastAsia="宋体" w:cs="宋体"/>
          <w:spacing w:val="1"/>
          <w:sz w:val="24"/>
          <w:szCs w:val="24"/>
        </w:rPr>
        <w:t>，周围地下水中的</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污染物最大贡献值为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13.8mg/L</w:t>
      </w:r>
      <w:r>
        <w:rPr>
          <w:rFonts w:ascii="宋体" w:hAnsi="宋体" w:eastAsia="宋体" w:cs="宋体"/>
          <w:spacing w:val="-2"/>
          <w:sz w:val="24"/>
          <w:szCs w:val="24"/>
        </w:rPr>
        <w:t>，发生在泄漏源下游约</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40m</w:t>
      </w:r>
      <w:r>
        <w:rPr>
          <w:rFonts w:ascii="Times New Roman" w:hAnsi="Times New Roman" w:eastAsia="Times New Roman" w:cs="Times New Roman"/>
          <w:spacing w:val="18"/>
          <w:w w:val="101"/>
          <w:sz w:val="24"/>
          <w:szCs w:val="24"/>
        </w:rPr>
        <w:t xml:space="preserve"> </w:t>
      </w:r>
      <w:r>
        <w:rPr>
          <w:rFonts w:ascii="宋体" w:hAnsi="宋体" w:eastAsia="宋体" w:cs="宋体"/>
          <w:spacing w:val="-2"/>
          <w:sz w:val="24"/>
          <w:szCs w:val="24"/>
        </w:rPr>
        <w:t>处；污水泄漏</w:t>
      </w:r>
      <w:r>
        <w:rPr>
          <w:rFonts w:ascii="宋体" w:hAnsi="宋体" w:eastAsia="宋体" w:cs="宋体"/>
          <w:spacing w:val="-3"/>
          <w:sz w:val="24"/>
          <w:szCs w:val="24"/>
        </w:rPr>
        <w:t>发生</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1000d </w:t>
      </w:r>
      <w:r>
        <w:rPr>
          <w:rFonts w:ascii="宋体" w:hAnsi="宋体" w:eastAsia="宋体" w:cs="宋体"/>
          <w:spacing w:val="-3"/>
          <w:sz w:val="24"/>
          <w:szCs w:val="24"/>
        </w:rPr>
        <w:t>后最高贡献值浓度降为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1.37mg/L</w:t>
      </w:r>
      <w:r>
        <w:rPr>
          <w:rFonts w:ascii="宋体" w:hAnsi="宋体" w:eastAsia="宋体" w:cs="宋体"/>
          <w:spacing w:val="-3"/>
          <w:sz w:val="24"/>
          <w:szCs w:val="24"/>
        </w:rPr>
        <w:t>，发生在泄漏源下游约</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4"/>
          <w:sz w:val="24"/>
          <w:szCs w:val="24"/>
        </w:rPr>
        <w:t xml:space="preserve">00m </w:t>
      </w:r>
      <w:r>
        <w:rPr>
          <w:rFonts w:ascii="宋体" w:hAnsi="宋体" w:eastAsia="宋体" w:cs="宋体"/>
          <w:spacing w:val="-4"/>
          <w:sz w:val="24"/>
          <w:szCs w:val="24"/>
        </w:rPr>
        <w:t>处；随</w:t>
      </w:r>
      <w:r>
        <w:rPr>
          <w:rFonts w:ascii="宋体" w:hAnsi="宋体" w:eastAsia="宋体" w:cs="宋体"/>
          <w:spacing w:val="-3"/>
          <w:sz w:val="24"/>
          <w:szCs w:val="24"/>
        </w:rPr>
        <w:t>着时间的推移，</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Times New Roman" w:hAnsi="Times New Roman" w:eastAsia="Times New Roman" w:cs="Times New Roman"/>
          <w:spacing w:val="-3"/>
          <w:sz w:val="24"/>
          <w:szCs w:val="24"/>
        </w:rPr>
        <w:t xml:space="preserve">-N </w:t>
      </w:r>
      <w:r>
        <w:rPr>
          <w:rFonts w:ascii="宋体" w:hAnsi="宋体" w:eastAsia="宋体" w:cs="宋体"/>
          <w:spacing w:val="-3"/>
          <w:sz w:val="24"/>
          <w:szCs w:val="24"/>
        </w:rPr>
        <w:t>污染物的扩散范围逐渐增大，与此同时地下水中的</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Times New Roman" w:hAnsi="Times New Roman" w:eastAsia="Times New Roman" w:cs="Times New Roman"/>
          <w:spacing w:val="-3"/>
          <w:sz w:val="24"/>
          <w:szCs w:val="24"/>
        </w:rPr>
        <w:t>-N</w:t>
      </w:r>
      <w:r>
        <w:rPr>
          <w:rFonts w:ascii="宋体" w:hAnsi="宋体" w:eastAsia="宋体" w:cs="宋体"/>
          <w:spacing w:val="-1"/>
          <w:sz w:val="24"/>
          <w:szCs w:val="24"/>
        </w:rPr>
        <w:t>浓度逐渐降低，污水泄漏发生</w:t>
      </w:r>
      <w:r>
        <w:rPr>
          <w:rFonts w:ascii="宋体" w:hAnsi="宋体" w:eastAsia="宋体" w:cs="宋体"/>
          <w:spacing w:val="-18"/>
          <w:sz w:val="24"/>
          <w:szCs w:val="24"/>
        </w:rPr>
        <w:t xml:space="preserve"> </w:t>
      </w:r>
      <w:r>
        <w:rPr>
          <w:rFonts w:ascii="Times New Roman" w:hAnsi="Times New Roman" w:eastAsia="Times New Roman" w:cs="Times New Roman"/>
          <w:spacing w:val="-1"/>
          <w:sz w:val="24"/>
          <w:szCs w:val="24"/>
        </w:rPr>
        <w:t>3650d</w:t>
      </w:r>
      <w:r>
        <w:rPr>
          <w:rFonts w:ascii="Times New Roman" w:hAnsi="Times New Roman" w:eastAsia="Times New Roman" w:cs="Times New Roman"/>
          <w:spacing w:val="27"/>
          <w:w w:val="101"/>
          <w:sz w:val="24"/>
          <w:szCs w:val="24"/>
        </w:rPr>
        <w:t xml:space="preserve"> </w:t>
      </w:r>
      <w:r>
        <w:rPr>
          <w:rFonts w:ascii="宋体" w:hAnsi="宋体" w:eastAsia="宋体" w:cs="宋体"/>
          <w:spacing w:val="-1"/>
          <w:sz w:val="24"/>
          <w:szCs w:val="24"/>
        </w:rPr>
        <w:t>后，周围地下水中的</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27"/>
          <w:w w:val="101"/>
          <w:sz w:val="24"/>
          <w:szCs w:val="24"/>
        </w:rPr>
        <w:t xml:space="preserve"> </w:t>
      </w:r>
      <w:r>
        <w:rPr>
          <w:rFonts w:ascii="宋体" w:hAnsi="宋体" w:eastAsia="宋体" w:cs="宋体"/>
          <w:spacing w:val="-1"/>
          <w:sz w:val="24"/>
          <w:szCs w:val="24"/>
        </w:rPr>
        <w:t>污染物贡献值</w:t>
      </w:r>
      <w:r>
        <w:rPr>
          <w:rFonts w:ascii="宋体" w:hAnsi="宋体" w:eastAsia="宋体" w:cs="宋体"/>
          <w:spacing w:val="-4"/>
          <w:sz w:val="24"/>
          <w:szCs w:val="24"/>
        </w:rPr>
        <w:t>基本维持在</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0.38mg/L</w:t>
      </w:r>
      <w:r>
        <w:rPr>
          <w:rFonts w:ascii="Times New Roman" w:hAnsi="Times New Roman" w:eastAsia="Times New Roman" w:cs="Times New Roman"/>
          <w:spacing w:val="36"/>
          <w:sz w:val="24"/>
          <w:szCs w:val="24"/>
        </w:rPr>
        <w:t xml:space="preserve"> </w:t>
      </w:r>
      <w:r>
        <w:rPr>
          <w:rFonts w:ascii="宋体" w:hAnsi="宋体" w:eastAsia="宋体" w:cs="宋体"/>
          <w:spacing w:val="-4"/>
          <w:sz w:val="24"/>
          <w:szCs w:val="24"/>
        </w:rPr>
        <w:t>以下。</w:t>
      </w:r>
    </w:p>
    <w:p w14:paraId="02EF1E2D">
      <w:pPr>
        <w:spacing w:line="359" w:lineRule="auto"/>
        <w:rPr>
          <w:rFonts w:ascii="宋体" w:hAnsi="宋体" w:eastAsia="宋体" w:cs="宋体"/>
          <w:sz w:val="24"/>
          <w:szCs w:val="24"/>
        </w:rPr>
        <w:sectPr>
          <w:footerReference r:id="rId372" w:type="default"/>
          <w:pgSz w:w="11905" w:h="16840"/>
          <w:pgMar w:top="1168" w:right="1768" w:bottom="1409" w:left="1770" w:header="828" w:footer="1244" w:gutter="0"/>
          <w:cols w:space="720" w:num="1"/>
        </w:sectPr>
      </w:pPr>
    </w:p>
    <w:p w14:paraId="4C8913EB">
      <w:pPr>
        <w:pStyle w:val="2"/>
        <w:spacing w:line="275" w:lineRule="auto"/>
      </w:pPr>
    </w:p>
    <w:p w14:paraId="5ED9239A">
      <w:pPr>
        <w:spacing w:line="2799" w:lineRule="exact"/>
        <w:ind w:firstLine="1697"/>
      </w:pPr>
      <w:r>
        <mc:AlternateContent>
          <mc:Choice Requires="wps">
            <w:drawing>
              <wp:anchor distT="0" distB="0" distL="0" distR="0" simplePos="0" relativeHeight="251712512" behindDoc="0" locked="0" layoutInCell="1" allowOverlap="1">
                <wp:simplePos x="0" y="0"/>
                <wp:positionH relativeFrom="column">
                  <wp:posOffset>1091565</wp:posOffset>
                </wp:positionH>
                <wp:positionV relativeFrom="paragraph">
                  <wp:posOffset>640715</wp:posOffset>
                </wp:positionV>
                <wp:extent cx="334645" cy="157480"/>
                <wp:effectExtent l="0" t="0" r="0" b="0"/>
                <wp:wrapNone/>
                <wp:docPr id="238" name="TextBox 238"/>
                <wp:cNvGraphicFramePr/>
                <a:graphic xmlns:a="http://schemas.openxmlformats.org/drawingml/2006/main">
                  <a:graphicData uri="http://schemas.microsoft.com/office/word/2010/wordprocessingShape">
                    <wps:wsp>
                      <wps:cNvSpPr txBox="1"/>
                      <wps:spPr>
                        <a:xfrm rot="16200000">
                          <a:off x="1091755" y="641222"/>
                          <a:ext cx="334645" cy="1574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4F9ED1">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85.95pt;margin-top:50.45pt;height:12.4pt;width:26.35pt;rotation:-5898240f;z-index:251712512;mso-width-relative:page;mso-height-relative:page;" filled="f" stroked="f" coordsize="21600,21600" o:gfxdata="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h9vC/2AAAAAsBAAAP&#10;AAAAAAAAAAEAIAAAACIAAABkcnMvZG93bnJldi54bWxQSwECFAAUAAAACACHTuJAqMWNi1ECAACk&#10;BAAADgAAAAAAAAABACAAAAAnAQAAZHJzL2Uyb0RvYy54bWxQSwUGAAAAAAYABgBZAQAA6gUAAAAA&#10;">
                <v:fill on="f" focussize="0,0"/>
                <v:stroke on="f" weight="0pt" miterlimit="0" joinstyle="miter"/>
                <v:imagedata o:title=""/>
                <o:lock v:ext="edit" aspectratio="f"/>
                <v:textbox inset="0mm,0mm,0mm,0mm">
                  <w:txbxContent>
                    <w:p w14:paraId="5F4F9ED1">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v:textbox>
              </v:shape>
            </w:pict>
          </mc:Fallback>
        </mc:AlternateContent>
      </w:r>
      <w:r>
        <w:rPr>
          <w:position w:val="-55"/>
        </w:rPr>
        <w:pict>
          <v:group id="_x0000_s1076" o:spid="_x0000_s1076" o:spt="203" style="height:140pt;width:248.55pt;" coordsize="4971,2800">
            <o:lock v:ext="edit"/>
            <v:shape id="_x0000_s1077" o:spid="_x0000_s1077" o:spt="75" type="#_x0000_t75" style="position:absolute;left:0;top:0;height:2800;width:4971;" filled="f" stroked="f" coordsize="21600,21600">
              <v:path/>
              <v:fill on="f" focussize="0,0"/>
              <v:stroke on="f"/>
              <v:imagedata r:id="rId576" o:title=""/>
              <o:lock v:ext="edit" aspectratio="t"/>
            </v:shape>
            <v:shape id="_x0000_s1078" o:spid="_x0000_s1078" o:spt="202" type="#_x0000_t202" style="position:absolute;left:409;top:97;height:2541;width:4411;" filled="f" stroked="f" coordsize="21600,21600">
              <v:path/>
              <v:fill on="f" focussize="0,0"/>
              <v:stroke on="f"/>
              <v:imagedata o:title=""/>
              <o:lock v:ext="edit" aspectratio="f"/>
              <v:textbox inset="0mm,0mm,0mm,0mm">
                <w:txbxContent>
                  <w:p w14:paraId="35D77F0E">
                    <w:pPr>
                      <w:tabs>
                        <w:tab w:val="left" w:pos="96"/>
                      </w:tabs>
                      <w:spacing w:before="21" w:line="271" w:lineRule="auto"/>
                      <w:ind w:left="24" w:right="4056" w:hanging="4"/>
                      <w:rPr>
                        <w:rFonts w:ascii="Calibri" w:hAnsi="Calibri" w:eastAsia="Calibri" w:cs="Calibri"/>
                        <w:sz w:val="14"/>
                        <w:szCs w:val="14"/>
                      </w:rPr>
                    </w:pPr>
                    <w:r>
                      <w:rPr>
                        <w:rFonts w:ascii="Calibri" w:hAnsi="Calibri" w:eastAsia="Calibri" w:cs="Calibri"/>
                        <w:spacing w:val="2"/>
                        <w:sz w:val="14"/>
                        <w:szCs w:val="14"/>
                      </w:rPr>
                      <w:t>20.00</w:t>
                    </w:r>
                    <w:r>
                      <w:rPr>
                        <w:rFonts w:ascii="Calibri" w:hAnsi="Calibri" w:eastAsia="Calibri" w:cs="Calibri"/>
                        <w:spacing w:val="3"/>
                        <w:sz w:val="14"/>
                        <w:szCs w:val="14"/>
                      </w:rPr>
                      <w:t xml:space="preserve"> </w:t>
                    </w:r>
                    <w:r>
                      <w:rPr>
                        <w:rFonts w:ascii="Calibri" w:hAnsi="Calibri" w:eastAsia="Calibri" w:cs="Calibri"/>
                        <w:spacing w:val="2"/>
                        <w:sz w:val="14"/>
                        <w:szCs w:val="14"/>
                      </w:rPr>
                      <w:t>18.00</w:t>
                    </w:r>
                    <w:r>
                      <w:rPr>
                        <w:rFonts w:ascii="Calibri" w:hAnsi="Calibri" w:eastAsia="Calibri" w:cs="Calibri"/>
                        <w:sz w:val="14"/>
                        <w:szCs w:val="14"/>
                      </w:rPr>
                      <w:t xml:space="preserve"> </w:t>
                    </w:r>
                    <w:r>
                      <w:rPr>
                        <w:rFonts w:ascii="Calibri" w:hAnsi="Calibri" w:eastAsia="Calibri" w:cs="Calibri"/>
                        <w:spacing w:val="2"/>
                        <w:sz w:val="14"/>
                        <w:szCs w:val="14"/>
                      </w:rPr>
                      <w:t>16.00</w:t>
                    </w:r>
                    <w:r>
                      <w:rPr>
                        <w:rFonts w:ascii="Calibri" w:hAnsi="Calibri" w:eastAsia="Calibri" w:cs="Calibri"/>
                        <w:sz w:val="14"/>
                        <w:szCs w:val="14"/>
                      </w:rPr>
                      <w:t xml:space="preserve"> </w:t>
                    </w:r>
                    <w:r>
                      <w:rPr>
                        <w:rFonts w:ascii="Calibri" w:hAnsi="Calibri" w:eastAsia="Calibri" w:cs="Calibri"/>
                        <w:spacing w:val="2"/>
                        <w:sz w:val="14"/>
                        <w:szCs w:val="14"/>
                      </w:rPr>
                      <w:t>14.00</w:t>
                    </w:r>
                    <w:r>
                      <w:rPr>
                        <w:rFonts w:ascii="Calibri" w:hAnsi="Calibri" w:eastAsia="Calibri" w:cs="Calibri"/>
                        <w:sz w:val="14"/>
                        <w:szCs w:val="14"/>
                      </w:rPr>
                      <w:t xml:space="preserve"> </w:t>
                    </w:r>
                    <w:r>
                      <w:rPr>
                        <w:rFonts w:ascii="Calibri" w:hAnsi="Calibri" w:eastAsia="Calibri" w:cs="Calibri"/>
                        <w:spacing w:val="2"/>
                        <w:sz w:val="14"/>
                        <w:szCs w:val="14"/>
                      </w:rPr>
                      <w:t>12.00</w:t>
                    </w:r>
                    <w:r>
                      <w:rPr>
                        <w:rFonts w:ascii="Calibri" w:hAnsi="Calibri" w:eastAsia="Calibri" w:cs="Calibri"/>
                        <w:sz w:val="14"/>
                        <w:szCs w:val="14"/>
                      </w:rPr>
                      <w:t xml:space="preserve"> </w:t>
                    </w:r>
                    <w:r>
                      <w:rPr>
                        <w:rFonts w:ascii="Calibri" w:hAnsi="Calibri" w:eastAsia="Calibri" w:cs="Calibri"/>
                        <w:spacing w:val="2"/>
                        <w:sz w:val="14"/>
                        <w:szCs w:val="14"/>
                      </w:rPr>
                      <w:t>10.00</w:t>
                    </w:r>
                    <w:r>
                      <w:rPr>
                        <w:rFonts w:ascii="Calibri" w:hAnsi="Calibri" w:eastAsia="Calibri" w:cs="Calibri"/>
                        <w:sz w:val="14"/>
                        <w:szCs w:val="14"/>
                      </w:rPr>
                      <w:t xml:space="preserve"> </w:t>
                    </w:r>
                    <w:r>
                      <w:rPr>
                        <w:rFonts w:ascii="Calibri" w:hAnsi="Calibri" w:eastAsia="Calibri" w:cs="Calibri"/>
                        <w:spacing w:val="13"/>
                        <w:w w:val="112"/>
                        <w:sz w:val="14"/>
                        <w:szCs w:val="14"/>
                      </w:rPr>
                      <w:t>8.00</w:t>
                    </w:r>
                    <w:r>
                      <w:rPr>
                        <w:rFonts w:ascii="Calibri" w:hAnsi="Calibri" w:eastAsia="Calibri" w:cs="Calibri"/>
                        <w:sz w:val="14"/>
                        <w:szCs w:val="14"/>
                      </w:rPr>
                      <w:tab/>
                    </w:r>
                    <w:r>
                      <w:rPr>
                        <w:rFonts w:ascii="Calibri" w:hAnsi="Calibri" w:eastAsia="Calibri" w:cs="Calibri"/>
                        <w:spacing w:val="2"/>
                        <w:sz w:val="14"/>
                        <w:szCs w:val="14"/>
                      </w:rPr>
                      <w:t>6.00</w:t>
                    </w:r>
                    <w:r>
                      <w:rPr>
                        <w:rFonts w:ascii="Calibri" w:hAnsi="Calibri" w:eastAsia="Calibri" w:cs="Calibri"/>
                        <w:spacing w:val="1"/>
                        <w:sz w:val="14"/>
                        <w:szCs w:val="14"/>
                      </w:rPr>
                      <w:t xml:space="preserve"> </w:t>
                    </w:r>
                    <w:r>
                      <w:rPr>
                        <w:rFonts w:ascii="Calibri" w:hAnsi="Calibri" w:eastAsia="Calibri" w:cs="Calibri"/>
                        <w:spacing w:val="11"/>
                        <w:w w:val="115"/>
                        <w:sz w:val="14"/>
                        <w:szCs w:val="14"/>
                      </w:rPr>
                      <w:t>4.00</w:t>
                    </w:r>
                    <w:r>
                      <w:rPr>
                        <w:rFonts w:ascii="Calibri" w:hAnsi="Calibri" w:eastAsia="Calibri" w:cs="Calibri"/>
                        <w:sz w:val="14"/>
                        <w:szCs w:val="14"/>
                      </w:rPr>
                      <w:tab/>
                    </w:r>
                    <w:r>
                      <w:rPr>
                        <w:rFonts w:ascii="Calibri" w:hAnsi="Calibri" w:eastAsia="Calibri" w:cs="Calibri"/>
                        <w:spacing w:val="2"/>
                        <w:sz w:val="14"/>
                        <w:szCs w:val="14"/>
                      </w:rPr>
                      <w:t>2.00</w:t>
                    </w:r>
                    <w:r>
                      <w:rPr>
                        <w:rFonts w:ascii="Calibri" w:hAnsi="Calibri" w:eastAsia="Calibri" w:cs="Calibri"/>
                        <w:spacing w:val="1"/>
                        <w:sz w:val="14"/>
                        <w:szCs w:val="14"/>
                      </w:rPr>
                      <w:t xml:space="preserve"> </w:t>
                    </w:r>
                    <w:r>
                      <w:rPr>
                        <w:rFonts w:ascii="Calibri" w:hAnsi="Calibri" w:eastAsia="Calibri" w:cs="Calibri"/>
                        <w:spacing w:val="12"/>
                        <w:w w:val="113"/>
                        <w:sz w:val="14"/>
                        <w:szCs w:val="14"/>
                      </w:rPr>
                      <w:t>0.00</w:t>
                    </w:r>
                  </w:p>
                  <w:p w14:paraId="589F86DB">
                    <w:pPr>
                      <w:spacing w:line="189" w:lineRule="auto"/>
                      <w:ind w:right="20"/>
                      <w:jc w:val="right"/>
                      <w:rPr>
                        <w:rFonts w:ascii="Calibri" w:hAnsi="Calibri" w:eastAsia="Calibri" w:cs="Calibri"/>
                        <w:sz w:val="14"/>
                        <w:szCs w:val="14"/>
                      </w:rPr>
                    </w:pPr>
                    <w:r>
                      <w:rPr>
                        <w:rFonts w:ascii="Calibri" w:hAnsi="Calibri" w:eastAsia="Calibri" w:cs="Calibri"/>
                        <w:spacing w:val="1"/>
                        <w:sz w:val="14"/>
                        <w:szCs w:val="14"/>
                      </w:rPr>
                      <w:t>0                50              100</w:t>
                    </w:r>
                    <w:r>
                      <w:rPr>
                        <w:rFonts w:ascii="Calibri" w:hAnsi="Calibri" w:eastAsia="Calibri" w:cs="Calibri"/>
                        <w:spacing w:val="2"/>
                        <w:sz w:val="14"/>
                        <w:szCs w:val="14"/>
                      </w:rPr>
                      <w:t xml:space="preserve">            </w:t>
                    </w:r>
                    <w:r>
                      <w:rPr>
                        <w:rFonts w:ascii="Calibri" w:hAnsi="Calibri" w:eastAsia="Calibri" w:cs="Calibri"/>
                        <w:spacing w:val="1"/>
                        <w:sz w:val="14"/>
                        <w:szCs w:val="14"/>
                      </w:rPr>
                      <w:t>150            200             250            300</w:t>
                    </w:r>
                  </w:p>
                  <w:p w14:paraId="5E50F340">
                    <w:pPr>
                      <w:spacing w:before="111" w:line="203" w:lineRule="auto"/>
                      <w:ind w:left="2145"/>
                      <w:rPr>
                        <w:rFonts w:ascii="Calibri" w:hAnsi="Calibri" w:eastAsia="Calibri" w:cs="Calibri"/>
                        <w:sz w:val="14"/>
                        <w:szCs w:val="14"/>
                      </w:rPr>
                    </w:pPr>
                    <w:r>
                      <w:rPr>
                        <w:rFonts w:ascii="Calibri" w:hAnsi="Calibri" w:eastAsia="Calibri" w:cs="Calibri"/>
                        <w:b/>
                        <w:bCs/>
                        <w:spacing w:val="4"/>
                        <w:sz w:val="14"/>
                        <w:szCs w:val="14"/>
                      </w:rPr>
                      <w:t>x(m)</w:t>
                    </w:r>
                  </w:p>
                </w:txbxContent>
              </v:textbox>
            </v:shape>
            <w10:wrap type="none"/>
            <w10:anchorlock/>
          </v:group>
        </w:pict>
      </w:r>
    </w:p>
    <w:p w14:paraId="67A0C8D3">
      <w:pPr>
        <w:spacing w:before="8" w:line="2800" w:lineRule="exact"/>
        <w:ind w:firstLine="1697"/>
      </w:pPr>
      <w:r>
        <mc:AlternateContent>
          <mc:Choice Requires="wps">
            <w:drawing>
              <wp:anchor distT="0" distB="0" distL="0" distR="0" simplePos="0" relativeHeight="251711488" behindDoc="0" locked="0" layoutInCell="1" allowOverlap="1">
                <wp:simplePos x="0" y="0"/>
                <wp:positionH relativeFrom="column">
                  <wp:posOffset>1091565</wp:posOffset>
                </wp:positionH>
                <wp:positionV relativeFrom="paragraph">
                  <wp:posOffset>646430</wp:posOffset>
                </wp:positionV>
                <wp:extent cx="334645" cy="157480"/>
                <wp:effectExtent l="0" t="0" r="0" b="0"/>
                <wp:wrapNone/>
                <wp:docPr id="240" name="TextBox 240"/>
                <wp:cNvGraphicFramePr/>
                <a:graphic xmlns:a="http://schemas.openxmlformats.org/drawingml/2006/main">
                  <a:graphicData uri="http://schemas.microsoft.com/office/word/2010/wordprocessingShape">
                    <wps:wsp>
                      <wps:cNvSpPr txBox="1"/>
                      <wps:spPr>
                        <a:xfrm rot="16200000">
                          <a:off x="1091755" y="646527"/>
                          <a:ext cx="334645" cy="1574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FAFA6B">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85.95pt;margin-top:50.9pt;height:12.4pt;width:26.35pt;rotation:-5898240f;z-index:251711488;mso-width-relative:page;mso-height-relative:page;" filled="f" stroked="f" coordsize="21600,21600" o:gfxdata="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7Rw8rYAAAACwEAAA8A&#10;AAAAAAAAAQAgAAAAIgAAAGRycy9kb3ducmV2LnhtbFBLAQIUABQAAAAIAIdO4kAopUo+UAIAAKQE&#10;AAAOAAAAAAAAAAEAIAAAACcBAABkcnMvZTJvRG9jLnhtbFBLBQYAAAAABgAGAFkBAADpBQAAAAA=&#10;">
                <v:fill on="f" focussize="0,0"/>
                <v:stroke on="f" weight="0pt" miterlimit="0" joinstyle="miter"/>
                <v:imagedata o:title=""/>
                <o:lock v:ext="edit" aspectratio="f"/>
                <v:textbox inset="0mm,0mm,0mm,0mm">
                  <w:txbxContent>
                    <w:p w14:paraId="5DFAFA6B">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v:textbox>
              </v:shape>
            </w:pict>
          </mc:Fallback>
        </mc:AlternateContent>
      </w:r>
      <w:r>
        <w:rPr>
          <w:position w:val="-55"/>
        </w:rPr>
        <w:pict>
          <v:group id="_x0000_s1079" o:spid="_x0000_s1079" o:spt="203" style="height:140pt;width:248.55pt;" coordsize="4971,2800">
            <o:lock v:ext="edit"/>
            <v:shape id="_x0000_s1080" o:spid="_x0000_s1080" o:spt="75" type="#_x0000_t75" style="position:absolute;left:0;top:0;height:2800;width:4971;" filled="f" stroked="f" coordsize="21600,21600">
              <v:path/>
              <v:fill on="f" focussize="0,0"/>
              <v:stroke on="f"/>
              <v:imagedata r:id="rId577" o:title=""/>
              <o:lock v:ext="edit" aspectratio="t"/>
            </v:shape>
            <v:shape id="_x0000_s1081" o:spid="_x0000_s1081" o:spt="202" type="#_x0000_t202" style="position:absolute;left:406;top:97;height:2541;width:4415;" filled="f" stroked="f" coordsize="21600,21600">
              <v:path/>
              <v:fill on="f" focussize="0,0"/>
              <v:stroke on="f"/>
              <v:imagedata o:title=""/>
              <o:lock v:ext="edit" aspectratio="f"/>
              <v:textbox inset="0mm,0mm,0mm,0mm">
                <w:txbxContent>
                  <w:p w14:paraId="2675FA33">
                    <w:pPr>
                      <w:spacing w:before="21" w:line="271" w:lineRule="auto"/>
                      <w:ind w:left="20" w:right="4132" w:firstLine="3"/>
                      <w:rPr>
                        <w:rFonts w:ascii="Calibri" w:hAnsi="Calibri" w:eastAsia="Calibri" w:cs="Calibri"/>
                        <w:sz w:val="14"/>
                        <w:szCs w:val="14"/>
                      </w:rPr>
                    </w:pPr>
                    <w:r>
                      <w:rPr>
                        <w:rFonts w:ascii="Calibri" w:hAnsi="Calibri" w:eastAsia="Calibri" w:cs="Calibri"/>
                        <w:spacing w:val="2"/>
                        <w:sz w:val="14"/>
                        <w:szCs w:val="14"/>
                      </w:rPr>
                      <w:t>2.00</w:t>
                    </w:r>
                    <w:r>
                      <w:rPr>
                        <w:rFonts w:ascii="Calibri" w:hAnsi="Calibri" w:eastAsia="Calibri" w:cs="Calibri"/>
                        <w:sz w:val="14"/>
                        <w:szCs w:val="14"/>
                      </w:rPr>
                      <w:t xml:space="preserve"> </w:t>
                    </w:r>
                    <w:r>
                      <w:rPr>
                        <w:rFonts w:ascii="Calibri" w:hAnsi="Calibri" w:eastAsia="Calibri" w:cs="Calibri"/>
                        <w:spacing w:val="3"/>
                        <w:sz w:val="14"/>
                        <w:szCs w:val="14"/>
                      </w:rPr>
                      <w:t>1.80</w:t>
                    </w:r>
                    <w:r>
                      <w:rPr>
                        <w:rFonts w:ascii="Calibri" w:hAnsi="Calibri" w:eastAsia="Calibri" w:cs="Calibri"/>
                        <w:sz w:val="14"/>
                        <w:szCs w:val="14"/>
                      </w:rPr>
                      <w:t xml:space="preserve"> </w:t>
                    </w:r>
                    <w:r>
                      <w:rPr>
                        <w:rFonts w:ascii="Calibri" w:hAnsi="Calibri" w:eastAsia="Calibri" w:cs="Calibri"/>
                        <w:spacing w:val="3"/>
                        <w:sz w:val="14"/>
                        <w:szCs w:val="14"/>
                      </w:rPr>
                      <w:t>1.60</w:t>
                    </w:r>
                    <w:r>
                      <w:rPr>
                        <w:rFonts w:ascii="Calibri" w:hAnsi="Calibri" w:eastAsia="Calibri" w:cs="Calibri"/>
                        <w:sz w:val="14"/>
                        <w:szCs w:val="14"/>
                      </w:rPr>
                      <w:t xml:space="preserve"> </w:t>
                    </w:r>
                    <w:r>
                      <w:rPr>
                        <w:rFonts w:ascii="Calibri" w:hAnsi="Calibri" w:eastAsia="Calibri" w:cs="Calibri"/>
                        <w:spacing w:val="3"/>
                        <w:sz w:val="14"/>
                        <w:szCs w:val="14"/>
                      </w:rPr>
                      <w:t>1.40</w:t>
                    </w:r>
                    <w:r>
                      <w:rPr>
                        <w:rFonts w:ascii="Calibri" w:hAnsi="Calibri" w:eastAsia="Calibri" w:cs="Calibri"/>
                        <w:sz w:val="14"/>
                        <w:szCs w:val="14"/>
                      </w:rPr>
                      <w:t xml:space="preserve"> </w:t>
                    </w:r>
                    <w:r>
                      <w:rPr>
                        <w:rFonts w:ascii="Calibri" w:hAnsi="Calibri" w:eastAsia="Calibri" w:cs="Calibri"/>
                        <w:spacing w:val="3"/>
                        <w:sz w:val="14"/>
                        <w:szCs w:val="14"/>
                      </w:rPr>
                      <w:t>1.20</w:t>
                    </w:r>
                    <w:r>
                      <w:rPr>
                        <w:rFonts w:ascii="Calibri" w:hAnsi="Calibri" w:eastAsia="Calibri" w:cs="Calibri"/>
                        <w:sz w:val="14"/>
                        <w:szCs w:val="14"/>
                      </w:rPr>
                      <w:t xml:space="preserve"> </w:t>
                    </w:r>
                    <w:r>
                      <w:rPr>
                        <w:rFonts w:ascii="Calibri" w:hAnsi="Calibri" w:eastAsia="Calibri" w:cs="Calibri"/>
                        <w:spacing w:val="3"/>
                        <w:sz w:val="14"/>
                        <w:szCs w:val="14"/>
                      </w:rPr>
                      <w:t>1.00</w:t>
                    </w:r>
                    <w:r>
                      <w:rPr>
                        <w:rFonts w:ascii="Calibri" w:hAnsi="Calibri" w:eastAsia="Calibri" w:cs="Calibri"/>
                        <w:sz w:val="14"/>
                        <w:szCs w:val="14"/>
                      </w:rPr>
                      <w:t xml:space="preserve"> </w:t>
                    </w:r>
                    <w:r>
                      <w:rPr>
                        <w:rFonts w:ascii="Calibri" w:hAnsi="Calibri" w:eastAsia="Calibri" w:cs="Calibri"/>
                        <w:spacing w:val="3"/>
                        <w:sz w:val="14"/>
                        <w:szCs w:val="14"/>
                      </w:rPr>
                      <w:t>0.80</w:t>
                    </w:r>
                    <w:r>
                      <w:rPr>
                        <w:rFonts w:ascii="Calibri" w:hAnsi="Calibri" w:eastAsia="Calibri" w:cs="Calibri"/>
                        <w:sz w:val="14"/>
                        <w:szCs w:val="14"/>
                      </w:rPr>
                      <w:t xml:space="preserve"> </w:t>
                    </w:r>
                    <w:r>
                      <w:rPr>
                        <w:rFonts w:ascii="Calibri" w:hAnsi="Calibri" w:eastAsia="Calibri" w:cs="Calibri"/>
                        <w:spacing w:val="3"/>
                        <w:sz w:val="14"/>
                        <w:szCs w:val="14"/>
                      </w:rPr>
                      <w:t>0.60</w:t>
                    </w:r>
                    <w:r>
                      <w:rPr>
                        <w:rFonts w:ascii="Calibri" w:hAnsi="Calibri" w:eastAsia="Calibri" w:cs="Calibri"/>
                        <w:sz w:val="14"/>
                        <w:szCs w:val="14"/>
                      </w:rPr>
                      <w:t xml:space="preserve"> </w:t>
                    </w:r>
                    <w:r>
                      <w:rPr>
                        <w:rFonts w:ascii="Calibri" w:hAnsi="Calibri" w:eastAsia="Calibri" w:cs="Calibri"/>
                        <w:spacing w:val="3"/>
                        <w:sz w:val="14"/>
                        <w:szCs w:val="14"/>
                      </w:rPr>
                      <w:t>0.40</w:t>
                    </w:r>
                    <w:r>
                      <w:rPr>
                        <w:rFonts w:ascii="Calibri" w:hAnsi="Calibri" w:eastAsia="Calibri" w:cs="Calibri"/>
                        <w:sz w:val="14"/>
                        <w:szCs w:val="14"/>
                      </w:rPr>
                      <w:t xml:space="preserve"> </w:t>
                    </w:r>
                    <w:r>
                      <w:rPr>
                        <w:rFonts w:ascii="Calibri" w:hAnsi="Calibri" w:eastAsia="Calibri" w:cs="Calibri"/>
                        <w:spacing w:val="3"/>
                        <w:sz w:val="14"/>
                        <w:szCs w:val="14"/>
                      </w:rPr>
                      <w:t>0.20</w:t>
                    </w:r>
                    <w:r>
                      <w:rPr>
                        <w:rFonts w:ascii="Calibri" w:hAnsi="Calibri" w:eastAsia="Calibri" w:cs="Calibri"/>
                        <w:sz w:val="14"/>
                        <w:szCs w:val="14"/>
                      </w:rPr>
                      <w:t xml:space="preserve"> </w:t>
                    </w:r>
                    <w:r>
                      <w:rPr>
                        <w:rFonts w:ascii="Calibri" w:hAnsi="Calibri" w:eastAsia="Calibri" w:cs="Calibri"/>
                        <w:spacing w:val="3"/>
                        <w:sz w:val="14"/>
                        <w:szCs w:val="14"/>
                      </w:rPr>
                      <w:t>0.00</w:t>
                    </w:r>
                  </w:p>
                  <w:p w14:paraId="3ADFEE46">
                    <w:pPr>
                      <w:spacing w:line="189" w:lineRule="auto"/>
                      <w:ind w:right="20"/>
                      <w:jc w:val="right"/>
                      <w:rPr>
                        <w:rFonts w:ascii="Calibri" w:hAnsi="Calibri" w:eastAsia="Calibri" w:cs="Calibri"/>
                        <w:sz w:val="14"/>
                        <w:szCs w:val="14"/>
                      </w:rPr>
                    </w:pPr>
                    <w:r>
                      <w:rPr>
                        <w:rFonts w:ascii="Calibri" w:hAnsi="Calibri" w:eastAsia="Calibri" w:cs="Calibri"/>
                        <w:spacing w:val="2"/>
                        <w:sz w:val="14"/>
                        <w:szCs w:val="14"/>
                      </w:rPr>
                      <w:t>0</w:t>
                    </w:r>
                    <w:r>
                      <w:rPr>
                        <w:rFonts w:ascii="Calibri" w:hAnsi="Calibri" w:eastAsia="Calibri" w:cs="Calibri"/>
                        <w:sz w:val="14"/>
                        <w:szCs w:val="14"/>
                      </w:rPr>
                      <w:t xml:space="preserve">                   </w:t>
                    </w:r>
                    <w:r>
                      <w:rPr>
                        <w:rFonts w:ascii="Calibri" w:hAnsi="Calibri" w:eastAsia="Calibri" w:cs="Calibri"/>
                        <w:spacing w:val="2"/>
                        <w:sz w:val="14"/>
                        <w:szCs w:val="14"/>
                      </w:rPr>
                      <w:t>200                400                600                800               1000</w:t>
                    </w:r>
                  </w:p>
                  <w:p w14:paraId="59485BC9">
                    <w:pPr>
                      <w:spacing w:before="111" w:line="203" w:lineRule="auto"/>
                      <w:ind w:left="2148"/>
                      <w:rPr>
                        <w:rFonts w:ascii="Calibri" w:hAnsi="Calibri" w:eastAsia="Calibri" w:cs="Calibri"/>
                        <w:sz w:val="14"/>
                        <w:szCs w:val="14"/>
                      </w:rPr>
                    </w:pPr>
                    <w:r>
                      <w:rPr>
                        <w:rFonts w:ascii="Calibri" w:hAnsi="Calibri" w:eastAsia="Calibri" w:cs="Calibri"/>
                        <w:b/>
                        <w:bCs/>
                        <w:spacing w:val="4"/>
                        <w:sz w:val="14"/>
                        <w:szCs w:val="14"/>
                      </w:rPr>
                      <w:t>x(m)</w:t>
                    </w:r>
                  </w:p>
                </w:txbxContent>
              </v:textbox>
            </v:shape>
            <w10:wrap type="none"/>
            <w10:anchorlock/>
          </v:group>
        </w:pict>
      </w:r>
    </w:p>
    <w:p w14:paraId="1ADAD02B">
      <w:pPr>
        <w:spacing w:before="8" w:line="2800" w:lineRule="exact"/>
        <w:ind w:firstLine="1697"/>
      </w:pPr>
      <w:r>
        <mc:AlternateContent>
          <mc:Choice Requires="wps">
            <w:drawing>
              <wp:anchor distT="0" distB="0" distL="0" distR="0" simplePos="0" relativeHeight="251710464" behindDoc="0" locked="0" layoutInCell="1" allowOverlap="1">
                <wp:simplePos x="0" y="0"/>
                <wp:positionH relativeFrom="column">
                  <wp:posOffset>1091565</wp:posOffset>
                </wp:positionH>
                <wp:positionV relativeFrom="paragraph">
                  <wp:posOffset>646430</wp:posOffset>
                </wp:positionV>
                <wp:extent cx="334645" cy="157480"/>
                <wp:effectExtent l="0" t="0" r="0" b="0"/>
                <wp:wrapNone/>
                <wp:docPr id="242" name="TextBox 242"/>
                <wp:cNvGraphicFramePr/>
                <a:graphic xmlns:a="http://schemas.openxmlformats.org/drawingml/2006/main">
                  <a:graphicData uri="http://schemas.microsoft.com/office/word/2010/wordprocessingShape">
                    <wps:wsp>
                      <wps:cNvSpPr txBox="1"/>
                      <wps:spPr>
                        <a:xfrm rot="16200000">
                          <a:off x="1091755" y="646529"/>
                          <a:ext cx="334645" cy="1574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242358">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85.95pt;margin-top:50.9pt;height:12.4pt;width:26.35pt;rotation:-5898240f;z-index:251710464;mso-width-relative:page;mso-height-relative:page;" filled="f" stroked="f" coordsize="21600,21600" o:gfxdata="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O0cPK2AAAAAsBAAAP&#10;AAAAAAAAAAEAIAAAACIAAABkcnMvZG93bnJldi54bWxQSwECFAAUAAAACACHTuJARC4uI1ECAACk&#10;BAAADgAAAAAAAAABACAAAAAnAQAAZHJzL2Uyb0RvYy54bWxQSwUGAAAAAAYABgBZAQAA6gUAAAAA&#10;">
                <v:fill on="f" focussize="0,0"/>
                <v:stroke on="f" weight="0pt" miterlimit="0" joinstyle="miter"/>
                <v:imagedata o:title=""/>
                <o:lock v:ext="edit" aspectratio="f"/>
                <v:textbox inset="0mm,0mm,0mm,0mm">
                  <w:txbxContent>
                    <w:p w14:paraId="4C242358">
                      <w:pPr>
                        <w:spacing w:before="20" w:line="207" w:lineRule="exact"/>
                        <w:ind w:left="20"/>
                        <w:rPr>
                          <w:rFonts w:ascii="Calibri" w:hAnsi="Calibri" w:eastAsia="Calibri" w:cs="Calibri"/>
                          <w:sz w:val="14"/>
                          <w:szCs w:val="14"/>
                        </w:rPr>
                      </w:pPr>
                      <w:r>
                        <w:rPr>
                          <w:rFonts w:ascii="Calibri" w:hAnsi="Calibri" w:eastAsia="Calibri" w:cs="Calibri"/>
                          <w:b/>
                          <w:bCs/>
                          <w:spacing w:val="5"/>
                          <w:position w:val="2"/>
                          <w:sz w:val="14"/>
                          <w:szCs w:val="14"/>
                        </w:rPr>
                        <w:t>C(</w:t>
                      </w:r>
                      <w:r>
                        <w:rPr>
                          <w:rFonts w:ascii="Calibri" w:hAnsi="Calibri" w:eastAsia="Calibri" w:cs="Calibri"/>
                          <w:b/>
                          <w:bCs/>
                          <w:position w:val="2"/>
                          <w:sz w:val="14"/>
                          <w:szCs w:val="14"/>
                        </w:rPr>
                        <w:t>mg</w:t>
                      </w:r>
                      <w:r>
                        <w:rPr>
                          <w:rFonts w:ascii="Calibri" w:hAnsi="Calibri" w:eastAsia="Calibri" w:cs="Calibri"/>
                          <w:b/>
                          <w:bCs/>
                          <w:spacing w:val="5"/>
                          <w:position w:val="2"/>
                          <w:sz w:val="14"/>
                          <w:szCs w:val="14"/>
                        </w:rPr>
                        <w:t>/L)</w:t>
                      </w:r>
                    </w:p>
                  </w:txbxContent>
                </v:textbox>
              </v:shape>
            </w:pict>
          </mc:Fallback>
        </mc:AlternateContent>
      </w:r>
      <w:r>
        <w:rPr>
          <w:position w:val="-55"/>
        </w:rPr>
        <w:pict>
          <v:group id="_x0000_s1082" o:spid="_x0000_s1082" o:spt="203" style="height:140pt;width:248.55pt;" coordsize="4971,2800">
            <o:lock v:ext="edit"/>
            <v:shape id="_x0000_s1083" o:spid="_x0000_s1083" o:spt="75" type="#_x0000_t75" style="position:absolute;left:0;top:0;height:2800;width:4971;" filled="f" stroked="f" coordsize="21600,21600">
              <v:path/>
              <v:fill on="f" focussize="0,0"/>
              <v:stroke on="f"/>
              <v:imagedata r:id="rId578" o:title=""/>
              <o:lock v:ext="edit" aspectratio="t"/>
            </v:shape>
            <v:shape id="_x0000_s1084" o:spid="_x0000_s1084" o:spt="202" type="#_x0000_t202" style="position:absolute;left:406;top:97;height:2541;width:4415;" filled="f" stroked="f" coordsize="21600,21600">
              <v:path/>
              <v:fill on="f" focussize="0,0"/>
              <v:stroke on="f"/>
              <v:imagedata o:title=""/>
              <o:lock v:ext="edit" aspectratio="f"/>
              <v:textbox inset="0mm,0mm,0mm,0mm">
                <w:txbxContent>
                  <w:p w14:paraId="545FDA3D">
                    <w:pPr>
                      <w:spacing w:before="21" w:line="271" w:lineRule="auto"/>
                      <w:ind w:left="20" w:right="4132"/>
                      <w:rPr>
                        <w:rFonts w:ascii="Calibri" w:hAnsi="Calibri" w:eastAsia="Calibri" w:cs="Calibri"/>
                        <w:sz w:val="14"/>
                        <w:szCs w:val="14"/>
                      </w:rPr>
                    </w:pPr>
                    <w:r>
                      <w:rPr>
                        <w:rFonts w:ascii="Calibri" w:hAnsi="Calibri" w:eastAsia="Calibri" w:cs="Calibri"/>
                        <w:spacing w:val="3"/>
                        <w:sz w:val="14"/>
                        <w:szCs w:val="14"/>
                      </w:rPr>
                      <w:t>0.50</w:t>
                    </w:r>
                    <w:r>
                      <w:rPr>
                        <w:rFonts w:ascii="Calibri" w:hAnsi="Calibri" w:eastAsia="Calibri" w:cs="Calibri"/>
                        <w:sz w:val="14"/>
                        <w:szCs w:val="14"/>
                      </w:rPr>
                      <w:t xml:space="preserve"> </w:t>
                    </w:r>
                    <w:r>
                      <w:rPr>
                        <w:rFonts w:ascii="Calibri" w:hAnsi="Calibri" w:eastAsia="Calibri" w:cs="Calibri"/>
                        <w:spacing w:val="3"/>
                        <w:sz w:val="14"/>
                        <w:szCs w:val="14"/>
                      </w:rPr>
                      <w:t>0.45</w:t>
                    </w:r>
                    <w:r>
                      <w:rPr>
                        <w:rFonts w:ascii="Calibri" w:hAnsi="Calibri" w:eastAsia="Calibri" w:cs="Calibri"/>
                        <w:sz w:val="14"/>
                        <w:szCs w:val="14"/>
                      </w:rPr>
                      <w:t xml:space="preserve"> </w:t>
                    </w:r>
                    <w:r>
                      <w:rPr>
                        <w:rFonts w:ascii="Calibri" w:hAnsi="Calibri" w:eastAsia="Calibri" w:cs="Calibri"/>
                        <w:spacing w:val="3"/>
                        <w:sz w:val="14"/>
                        <w:szCs w:val="14"/>
                      </w:rPr>
                      <w:t>0.40</w:t>
                    </w:r>
                    <w:r>
                      <w:rPr>
                        <w:rFonts w:ascii="Calibri" w:hAnsi="Calibri" w:eastAsia="Calibri" w:cs="Calibri"/>
                        <w:sz w:val="14"/>
                        <w:szCs w:val="14"/>
                      </w:rPr>
                      <w:t xml:space="preserve"> </w:t>
                    </w:r>
                    <w:r>
                      <w:rPr>
                        <w:rFonts w:ascii="Calibri" w:hAnsi="Calibri" w:eastAsia="Calibri" w:cs="Calibri"/>
                        <w:spacing w:val="3"/>
                        <w:sz w:val="14"/>
                        <w:szCs w:val="14"/>
                      </w:rPr>
                      <w:t>0.35</w:t>
                    </w:r>
                    <w:r>
                      <w:rPr>
                        <w:rFonts w:ascii="Calibri" w:hAnsi="Calibri" w:eastAsia="Calibri" w:cs="Calibri"/>
                        <w:sz w:val="14"/>
                        <w:szCs w:val="14"/>
                      </w:rPr>
                      <w:t xml:space="preserve"> </w:t>
                    </w:r>
                    <w:r>
                      <w:rPr>
                        <w:rFonts w:ascii="Calibri" w:hAnsi="Calibri" w:eastAsia="Calibri" w:cs="Calibri"/>
                        <w:spacing w:val="3"/>
                        <w:sz w:val="14"/>
                        <w:szCs w:val="14"/>
                      </w:rPr>
                      <w:t>0.30</w:t>
                    </w:r>
                    <w:r>
                      <w:rPr>
                        <w:rFonts w:ascii="Calibri" w:hAnsi="Calibri" w:eastAsia="Calibri" w:cs="Calibri"/>
                        <w:sz w:val="14"/>
                        <w:szCs w:val="14"/>
                      </w:rPr>
                      <w:t xml:space="preserve"> </w:t>
                    </w:r>
                    <w:r>
                      <w:rPr>
                        <w:rFonts w:ascii="Calibri" w:hAnsi="Calibri" w:eastAsia="Calibri" w:cs="Calibri"/>
                        <w:spacing w:val="3"/>
                        <w:sz w:val="14"/>
                        <w:szCs w:val="14"/>
                      </w:rPr>
                      <w:t>0.25</w:t>
                    </w:r>
                    <w:r>
                      <w:rPr>
                        <w:rFonts w:ascii="Calibri" w:hAnsi="Calibri" w:eastAsia="Calibri" w:cs="Calibri"/>
                        <w:sz w:val="14"/>
                        <w:szCs w:val="14"/>
                      </w:rPr>
                      <w:t xml:space="preserve"> </w:t>
                    </w:r>
                    <w:r>
                      <w:rPr>
                        <w:rFonts w:ascii="Calibri" w:hAnsi="Calibri" w:eastAsia="Calibri" w:cs="Calibri"/>
                        <w:spacing w:val="3"/>
                        <w:sz w:val="14"/>
                        <w:szCs w:val="14"/>
                      </w:rPr>
                      <w:t>0.20</w:t>
                    </w:r>
                    <w:r>
                      <w:rPr>
                        <w:rFonts w:ascii="Calibri" w:hAnsi="Calibri" w:eastAsia="Calibri" w:cs="Calibri"/>
                        <w:sz w:val="14"/>
                        <w:szCs w:val="14"/>
                      </w:rPr>
                      <w:t xml:space="preserve"> </w:t>
                    </w:r>
                    <w:r>
                      <w:rPr>
                        <w:rFonts w:ascii="Calibri" w:hAnsi="Calibri" w:eastAsia="Calibri" w:cs="Calibri"/>
                        <w:spacing w:val="3"/>
                        <w:sz w:val="14"/>
                        <w:szCs w:val="14"/>
                      </w:rPr>
                      <w:t>0.15</w:t>
                    </w:r>
                    <w:r>
                      <w:rPr>
                        <w:rFonts w:ascii="Calibri" w:hAnsi="Calibri" w:eastAsia="Calibri" w:cs="Calibri"/>
                        <w:sz w:val="14"/>
                        <w:szCs w:val="14"/>
                      </w:rPr>
                      <w:t xml:space="preserve"> </w:t>
                    </w:r>
                    <w:r>
                      <w:rPr>
                        <w:rFonts w:ascii="Calibri" w:hAnsi="Calibri" w:eastAsia="Calibri" w:cs="Calibri"/>
                        <w:spacing w:val="3"/>
                        <w:sz w:val="14"/>
                        <w:szCs w:val="14"/>
                      </w:rPr>
                      <w:t>0.10</w:t>
                    </w:r>
                    <w:r>
                      <w:rPr>
                        <w:rFonts w:ascii="Calibri" w:hAnsi="Calibri" w:eastAsia="Calibri" w:cs="Calibri"/>
                        <w:sz w:val="14"/>
                        <w:szCs w:val="14"/>
                      </w:rPr>
                      <w:t xml:space="preserve"> </w:t>
                    </w:r>
                    <w:r>
                      <w:rPr>
                        <w:rFonts w:ascii="Calibri" w:hAnsi="Calibri" w:eastAsia="Calibri" w:cs="Calibri"/>
                        <w:spacing w:val="3"/>
                        <w:sz w:val="14"/>
                        <w:szCs w:val="14"/>
                      </w:rPr>
                      <w:t>0.05</w:t>
                    </w:r>
                    <w:r>
                      <w:rPr>
                        <w:rFonts w:ascii="Calibri" w:hAnsi="Calibri" w:eastAsia="Calibri" w:cs="Calibri"/>
                        <w:sz w:val="14"/>
                        <w:szCs w:val="14"/>
                      </w:rPr>
                      <w:t xml:space="preserve"> </w:t>
                    </w:r>
                    <w:r>
                      <w:rPr>
                        <w:rFonts w:ascii="Calibri" w:hAnsi="Calibri" w:eastAsia="Calibri" w:cs="Calibri"/>
                        <w:spacing w:val="3"/>
                        <w:sz w:val="14"/>
                        <w:szCs w:val="14"/>
                      </w:rPr>
                      <w:t>0.00</w:t>
                    </w:r>
                  </w:p>
                  <w:p w14:paraId="5A246904">
                    <w:pPr>
                      <w:spacing w:line="189" w:lineRule="auto"/>
                      <w:ind w:right="20"/>
                      <w:jc w:val="right"/>
                      <w:rPr>
                        <w:rFonts w:ascii="Calibri" w:hAnsi="Calibri" w:eastAsia="Calibri" w:cs="Calibri"/>
                        <w:sz w:val="14"/>
                        <w:szCs w:val="14"/>
                      </w:rPr>
                    </w:pPr>
                    <w:r>
                      <w:rPr>
                        <w:rFonts w:ascii="Calibri" w:hAnsi="Calibri" w:eastAsia="Calibri" w:cs="Calibri"/>
                        <w:spacing w:val="2"/>
                        <w:sz w:val="14"/>
                        <w:szCs w:val="14"/>
                      </w:rPr>
                      <w:t>0</w:t>
                    </w:r>
                    <w:r>
                      <w:rPr>
                        <w:rFonts w:ascii="Calibri" w:hAnsi="Calibri" w:eastAsia="Calibri" w:cs="Calibri"/>
                        <w:sz w:val="14"/>
                        <w:szCs w:val="14"/>
                      </w:rPr>
                      <w:t xml:space="preserve">                   </w:t>
                    </w:r>
                    <w:r>
                      <w:rPr>
                        <w:rFonts w:ascii="Calibri" w:hAnsi="Calibri" w:eastAsia="Calibri" w:cs="Calibri"/>
                        <w:spacing w:val="2"/>
                        <w:sz w:val="14"/>
                        <w:szCs w:val="14"/>
                      </w:rPr>
                      <w:t>500               1000              1500              200</w:t>
                    </w:r>
                    <w:r>
                      <w:rPr>
                        <w:rFonts w:ascii="Calibri" w:hAnsi="Calibri" w:eastAsia="Calibri" w:cs="Calibri"/>
                        <w:spacing w:val="1"/>
                        <w:sz w:val="14"/>
                        <w:szCs w:val="14"/>
                      </w:rPr>
                      <w:t>0              2500</w:t>
                    </w:r>
                  </w:p>
                  <w:p w14:paraId="51498CC2">
                    <w:pPr>
                      <w:spacing w:before="111" w:line="203" w:lineRule="auto"/>
                      <w:ind w:left="2148"/>
                      <w:rPr>
                        <w:rFonts w:ascii="Calibri" w:hAnsi="Calibri" w:eastAsia="Calibri" w:cs="Calibri"/>
                        <w:sz w:val="14"/>
                        <w:szCs w:val="14"/>
                      </w:rPr>
                    </w:pPr>
                    <w:r>
                      <w:rPr>
                        <w:rFonts w:ascii="Calibri" w:hAnsi="Calibri" w:eastAsia="Calibri" w:cs="Calibri"/>
                        <w:b/>
                        <w:bCs/>
                        <w:spacing w:val="4"/>
                        <w:sz w:val="14"/>
                        <w:szCs w:val="14"/>
                      </w:rPr>
                      <w:t>x(m)</w:t>
                    </w:r>
                  </w:p>
                </w:txbxContent>
              </v:textbox>
            </v:shape>
            <w10:wrap type="none"/>
            <w10:anchorlock/>
          </v:group>
        </w:pict>
      </w:r>
    </w:p>
    <w:p w14:paraId="2F73FA53">
      <w:pPr>
        <w:spacing w:before="131" w:line="222" w:lineRule="auto"/>
        <w:ind w:left="1561"/>
        <w:rPr>
          <w:rFonts w:ascii="黑体" w:hAnsi="黑体" w:eastAsia="黑体" w:cs="黑体"/>
          <w:sz w:val="21"/>
          <w:szCs w:val="21"/>
        </w:rPr>
      </w:pPr>
      <w:r>
        <w:rPr>
          <w:rFonts w:ascii="黑体" w:hAnsi="黑体" w:eastAsia="黑体" w:cs="黑体"/>
          <w:spacing w:val="-3"/>
          <w:sz w:val="21"/>
          <w:szCs w:val="21"/>
        </w:rPr>
        <w:t>图</w:t>
      </w:r>
      <w:r>
        <w:rPr>
          <w:rFonts w:ascii="黑体" w:hAnsi="黑体" w:eastAsia="黑体" w:cs="黑体"/>
          <w:spacing w:val="-42"/>
          <w:sz w:val="21"/>
          <w:szCs w:val="21"/>
        </w:rPr>
        <w:t xml:space="preserve"> </w:t>
      </w:r>
      <w:r>
        <w:rPr>
          <w:rFonts w:ascii="Times New Roman" w:hAnsi="Times New Roman" w:eastAsia="Times New Roman" w:cs="Times New Roman"/>
          <w:spacing w:val="-3"/>
          <w:sz w:val="21"/>
          <w:szCs w:val="21"/>
        </w:rPr>
        <w:t>4.2-5 NH</w:t>
      </w:r>
      <w:r>
        <w:rPr>
          <w:rFonts w:ascii="Times New Roman" w:hAnsi="Times New Roman" w:eastAsia="Times New Roman" w:cs="Times New Roman"/>
          <w:spacing w:val="-3"/>
          <w:position w:val="-2"/>
          <w:sz w:val="14"/>
          <w:szCs w:val="14"/>
        </w:rPr>
        <w:t>3</w:t>
      </w:r>
      <w:r>
        <w:rPr>
          <w:rFonts w:ascii="Times New Roman" w:hAnsi="Times New Roman" w:eastAsia="Times New Roman" w:cs="Times New Roman"/>
          <w:spacing w:val="-3"/>
          <w:sz w:val="21"/>
          <w:szCs w:val="21"/>
        </w:rPr>
        <w:t xml:space="preserve">-N </w:t>
      </w:r>
      <w:r>
        <w:rPr>
          <w:rFonts w:ascii="黑体" w:hAnsi="黑体" w:eastAsia="黑体" w:cs="黑体"/>
          <w:spacing w:val="-3"/>
          <w:sz w:val="21"/>
          <w:szCs w:val="21"/>
        </w:rPr>
        <w:t>在</w:t>
      </w:r>
      <w:r>
        <w:rPr>
          <w:rFonts w:ascii="黑体" w:hAnsi="黑体" w:eastAsia="黑体" w:cs="黑体"/>
          <w:spacing w:val="-27"/>
          <w:sz w:val="21"/>
          <w:szCs w:val="21"/>
        </w:rPr>
        <w:t xml:space="preserve"> </w:t>
      </w:r>
      <w:r>
        <w:rPr>
          <w:rFonts w:ascii="Times New Roman" w:hAnsi="Times New Roman" w:eastAsia="Times New Roman" w:cs="Times New Roman"/>
          <w:spacing w:val="-3"/>
          <w:sz w:val="21"/>
          <w:szCs w:val="21"/>
        </w:rPr>
        <w:t>100d</w:t>
      </w:r>
      <w:r>
        <w:rPr>
          <w:rFonts w:ascii="Times New Roman" w:hAnsi="Times New Roman" w:eastAsia="Times New Roman" w:cs="Times New Roman"/>
          <w:spacing w:val="-23"/>
          <w:sz w:val="21"/>
          <w:szCs w:val="21"/>
        </w:rPr>
        <w:t xml:space="preserve"> </w:t>
      </w:r>
      <w:r>
        <w:rPr>
          <w:rFonts w:ascii="黑体" w:hAnsi="黑体" w:eastAsia="黑体" w:cs="黑体"/>
          <w:spacing w:val="-3"/>
          <w:sz w:val="21"/>
          <w:szCs w:val="21"/>
        </w:rPr>
        <w:t>、</w:t>
      </w:r>
      <w:r>
        <w:rPr>
          <w:rFonts w:ascii="Times New Roman" w:hAnsi="Times New Roman" w:eastAsia="Times New Roman" w:cs="Times New Roman"/>
          <w:spacing w:val="-3"/>
          <w:sz w:val="21"/>
          <w:szCs w:val="21"/>
        </w:rPr>
        <w:t>1000d</w:t>
      </w:r>
      <w:r>
        <w:rPr>
          <w:rFonts w:ascii="Times New Roman" w:hAnsi="Times New Roman" w:eastAsia="Times New Roman" w:cs="Times New Roman"/>
          <w:spacing w:val="-23"/>
          <w:sz w:val="21"/>
          <w:szCs w:val="21"/>
        </w:rPr>
        <w:t xml:space="preserve"> </w:t>
      </w:r>
      <w:r>
        <w:rPr>
          <w:rFonts w:ascii="黑体" w:hAnsi="黑体" w:eastAsia="黑体" w:cs="黑体"/>
          <w:spacing w:val="-3"/>
          <w:sz w:val="21"/>
          <w:szCs w:val="21"/>
        </w:rPr>
        <w:t>、</w:t>
      </w:r>
      <w:r>
        <w:rPr>
          <w:rFonts w:ascii="Times New Roman" w:hAnsi="Times New Roman" w:eastAsia="Times New Roman" w:cs="Times New Roman"/>
          <w:spacing w:val="-3"/>
          <w:sz w:val="21"/>
          <w:szCs w:val="21"/>
        </w:rPr>
        <w:t xml:space="preserve">3650d </w:t>
      </w:r>
      <w:r>
        <w:rPr>
          <w:rFonts w:ascii="黑体" w:hAnsi="黑体" w:eastAsia="黑体" w:cs="黑体"/>
          <w:spacing w:val="-3"/>
          <w:sz w:val="21"/>
          <w:szCs w:val="21"/>
        </w:rPr>
        <w:t>迁移规律预测结果</w:t>
      </w:r>
    </w:p>
    <w:p w14:paraId="2A992538">
      <w:pPr>
        <w:spacing w:before="202" w:line="221" w:lineRule="auto"/>
        <w:ind w:left="518"/>
        <w:rPr>
          <w:rFonts w:ascii="宋体" w:hAnsi="宋体" w:eastAsia="宋体" w:cs="宋体"/>
          <w:sz w:val="24"/>
          <w:szCs w:val="24"/>
        </w:rPr>
      </w:pPr>
      <w:r>
        <w:rPr>
          <w:rFonts w:ascii="宋体" w:hAnsi="宋体" w:eastAsia="宋体" w:cs="宋体"/>
          <w:spacing w:val="-2"/>
          <w:sz w:val="24"/>
          <w:szCs w:val="24"/>
        </w:rPr>
        <w:t>Ⅲ、小结</w:t>
      </w:r>
    </w:p>
    <w:p w14:paraId="003E3890">
      <w:pPr>
        <w:spacing w:before="180" w:line="220" w:lineRule="auto"/>
        <w:ind w:left="519"/>
        <w:rPr>
          <w:rFonts w:ascii="宋体" w:hAnsi="宋体" w:eastAsia="宋体" w:cs="宋体"/>
          <w:sz w:val="24"/>
          <w:szCs w:val="24"/>
        </w:rPr>
      </w:pPr>
      <w:r>
        <w:rPr>
          <w:rFonts w:ascii="宋体" w:hAnsi="宋体" w:eastAsia="宋体" w:cs="宋体"/>
          <w:spacing w:val="-3"/>
          <w:sz w:val="24"/>
          <w:szCs w:val="24"/>
        </w:rPr>
        <w:t>根据预测结果，当污水处理站粪污收集池防渗层老化失效造成污</w:t>
      </w:r>
      <w:r>
        <w:rPr>
          <w:rFonts w:ascii="宋体" w:hAnsi="宋体" w:eastAsia="宋体" w:cs="宋体"/>
          <w:spacing w:val="-4"/>
          <w:sz w:val="24"/>
          <w:szCs w:val="24"/>
        </w:rPr>
        <w:t>水泄漏进入</w:t>
      </w:r>
    </w:p>
    <w:p w14:paraId="01EA9E0F">
      <w:pPr>
        <w:spacing w:before="182" w:line="360" w:lineRule="auto"/>
        <w:ind w:left="39"/>
        <w:rPr>
          <w:rFonts w:ascii="宋体" w:hAnsi="宋体" w:eastAsia="宋体" w:cs="宋体"/>
          <w:sz w:val="24"/>
          <w:szCs w:val="24"/>
        </w:rPr>
      </w:pPr>
      <w:r>
        <w:rPr>
          <w:rFonts w:ascii="宋体" w:hAnsi="宋体" w:eastAsia="宋体" w:cs="宋体"/>
          <w:spacing w:val="-1"/>
          <w:sz w:val="24"/>
          <w:szCs w:val="24"/>
        </w:rPr>
        <w:t>地下水，地下水中</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2"/>
          <w:sz w:val="15"/>
          <w:szCs w:val="15"/>
        </w:rPr>
        <w:t>Mn</w:t>
      </w:r>
      <w:r>
        <w:rPr>
          <w:rFonts w:ascii="Times New Roman" w:hAnsi="Times New Roman" w:eastAsia="Times New Roman" w:cs="Times New Roman"/>
          <w:spacing w:val="-11"/>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36"/>
          <w:sz w:val="24"/>
          <w:szCs w:val="24"/>
        </w:rPr>
        <w:t xml:space="preserve"> </w:t>
      </w:r>
      <w:r>
        <w:rPr>
          <w:rFonts w:ascii="宋体" w:hAnsi="宋体" w:eastAsia="宋体" w:cs="宋体"/>
          <w:spacing w:val="-1"/>
          <w:sz w:val="24"/>
          <w:szCs w:val="24"/>
        </w:rPr>
        <w:t>进入地下水后，在短时间内浓度增加并出现</w:t>
      </w:r>
      <w:r>
        <w:rPr>
          <w:rFonts w:ascii="宋体" w:hAnsi="宋体" w:eastAsia="宋体" w:cs="宋体"/>
          <w:spacing w:val="-3"/>
          <w:sz w:val="24"/>
          <w:szCs w:val="24"/>
        </w:rPr>
        <w:t>不同程度超标现象，在地下水水流作用下污染晕不断向周边扩散，污染物主要向</w:t>
      </w:r>
      <w:r>
        <w:rPr>
          <w:rFonts w:ascii="宋体" w:hAnsi="宋体" w:eastAsia="宋体" w:cs="宋体"/>
          <w:spacing w:val="-13"/>
          <w:sz w:val="24"/>
          <w:szCs w:val="24"/>
        </w:rPr>
        <w:t>地下水下游方向运移，预测</w:t>
      </w:r>
      <w:r>
        <w:rPr>
          <w:rFonts w:ascii="宋体" w:hAnsi="宋体" w:eastAsia="宋体" w:cs="宋体"/>
          <w:spacing w:val="-40"/>
          <w:sz w:val="24"/>
          <w:szCs w:val="24"/>
        </w:rPr>
        <w:t xml:space="preserve"> </w:t>
      </w:r>
      <w:r>
        <w:rPr>
          <w:rFonts w:ascii="Times New Roman" w:hAnsi="Times New Roman" w:eastAsia="Times New Roman" w:cs="Times New Roman"/>
          <w:spacing w:val="-13"/>
          <w:sz w:val="24"/>
          <w:szCs w:val="24"/>
        </w:rPr>
        <w:t>COD</w:t>
      </w:r>
      <w:r>
        <w:rPr>
          <w:rFonts w:ascii="Times New Roman" w:hAnsi="Times New Roman" w:eastAsia="Times New Roman" w:cs="Times New Roman"/>
          <w:spacing w:val="-13"/>
          <w:position w:val="-2"/>
          <w:sz w:val="15"/>
          <w:szCs w:val="15"/>
        </w:rPr>
        <w:t>Mn</w:t>
      </w:r>
      <w:r>
        <w:rPr>
          <w:rFonts w:ascii="宋体" w:hAnsi="宋体" w:eastAsia="宋体" w:cs="宋体"/>
          <w:spacing w:val="-13"/>
          <w:sz w:val="24"/>
          <w:szCs w:val="24"/>
        </w:rPr>
        <w:t>、</w:t>
      </w:r>
      <w:r>
        <w:rPr>
          <w:rFonts w:ascii="Times New Roman" w:hAnsi="Times New Roman" w:eastAsia="Times New Roman" w:cs="Times New Roman"/>
          <w:spacing w:val="-13"/>
          <w:sz w:val="24"/>
          <w:szCs w:val="24"/>
        </w:rPr>
        <w:t>NH</w:t>
      </w:r>
      <w:r>
        <w:rPr>
          <w:rFonts w:ascii="Times New Roman" w:hAnsi="Times New Roman" w:eastAsia="Times New Roman" w:cs="Times New Roman"/>
          <w:spacing w:val="-6"/>
          <w:position w:val="-2"/>
          <w:sz w:val="15"/>
          <w:szCs w:val="15"/>
        </w:rPr>
        <w:t>3</w:t>
      </w:r>
      <w:r>
        <w:rPr>
          <w:rFonts w:ascii="Times New Roman" w:hAnsi="Times New Roman" w:eastAsia="Times New Roman" w:cs="Times New Roman"/>
          <w:spacing w:val="-6"/>
          <w:sz w:val="24"/>
          <w:szCs w:val="24"/>
        </w:rPr>
        <w:t xml:space="preserve">-N </w:t>
      </w:r>
      <w:r>
        <w:rPr>
          <w:rFonts w:ascii="宋体" w:hAnsi="宋体" w:eastAsia="宋体" w:cs="宋体"/>
          <w:spacing w:val="-6"/>
          <w:sz w:val="24"/>
          <w:szCs w:val="24"/>
        </w:rPr>
        <w:t>最远超标距离分别为</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1800m</w:t>
      </w:r>
      <w:r>
        <w:rPr>
          <w:rFonts w:ascii="宋体" w:hAnsi="宋体" w:eastAsia="宋体" w:cs="宋体"/>
          <w:spacing w:val="-6"/>
          <w:sz w:val="24"/>
          <w:szCs w:val="24"/>
        </w:rPr>
        <w:t>、</w:t>
      </w:r>
      <w:r>
        <w:rPr>
          <w:rFonts w:ascii="Times New Roman" w:hAnsi="Times New Roman" w:eastAsia="Times New Roman" w:cs="Times New Roman"/>
          <w:spacing w:val="-6"/>
          <w:sz w:val="24"/>
          <w:szCs w:val="24"/>
        </w:rPr>
        <w:t>1000m</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w:t>
      </w:r>
      <w:r>
        <w:rPr>
          <w:rFonts w:ascii="宋体" w:hAnsi="宋体" w:eastAsia="宋体" w:cs="宋体"/>
          <w:spacing w:val="-3"/>
          <w:sz w:val="24"/>
          <w:szCs w:val="24"/>
        </w:rPr>
        <w:t>随着时间的增加，污染羽的范围不断扩大，中心浓度也随着地下水水流向下游方</w:t>
      </w:r>
      <w:r>
        <w:rPr>
          <w:rFonts w:ascii="宋体" w:hAnsi="宋体" w:eastAsia="宋体" w:cs="宋体"/>
          <w:spacing w:val="-7"/>
          <w:sz w:val="24"/>
          <w:szCs w:val="24"/>
        </w:rPr>
        <w:t>向发生迁移，但在地下水的稀释和岩土体的物理化学作用下，中心</w:t>
      </w:r>
      <w:r>
        <w:rPr>
          <w:rFonts w:ascii="宋体" w:hAnsi="宋体" w:eastAsia="宋体" w:cs="宋体"/>
          <w:spacing w:val="-8"/>
          <w:sz w:val="24"/>
          <w:szCs w:val="24"/>
        </w:rPr>
        <w:t>浓度不断减小。</w:t>
      </w:r>
    </w:p>
    <w:p w14:paraId="59DAD665">
      <w:pPr>
        <w:spacing w:line="217" w:lineRule="auto"/>
        <w:ind w:left="519"/>
        <w:rPr>
          <w:rFonts w:ascii="宋体" w:hAnsi="宋体" w:eastAsia="宋体" w:cs="宋体"/>
          <w:sz w:val="24"/>
          <w:szCs w:val="24"/>
        </w:rPr>
      </w:pPr>
      <w:r>
        <w:rPr>
          <w:rFonts w:ascii="宋体" w:hAnsi="宋体" w:eastAsia="宋体" w:cs="宋体"/>
          <w:b/>
          <w:bCs/>
          <w:spacing w:val="-3"/>
          <w:sz w:val="24"/>
          <w:szCs w:val="24"/>
        </w:rPr>
        <w:t>⑦泄漏对分散农户饮用水的影响分析</w:t>
      </w:r>
    </w:p>
    <w:p w14:paraId="225AF3C2">
      <w:pPr>
        <w:spacing w:before="184" w:line="362" w:lineRule="auto"/>
        <w:ind w:left="42" w:right="85" w:firstLine="478"/>
        <w:rPr>
          <w:rFonts w:ascii="Times New Roman" w:hAnsi="Times New Roman" w:eastAsia="Times New Roman" w:cs="Times New Roman"/>
          <w:sz w:val="24"/>
          <w:szCs w:val="24"/>
        </w:rPr>
      </w:pPr>
      <w:r>
        <w:rPr>
          <w:rFonts w:ascii="宋体" w:hAnsi="宋体" w:eastAsia="宋体" w:cs="宋体"/>
          <w:spacing w:val="-2"/>
          <w:sz w:val="24"/>
          <w:szCs w:val="24"/>
        </w:rPr>
        <w:t>本项目地下水下游</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500m </w:t>
      </w:r>
      <w:r>
        <w:rPr>
          <w:rFonts w:ascii="宋体" w:hAnsi="宋体" w:eastAsia="宋体" w:cs="宋体"/>
          <w:spacing w:val="-2"/>
          <w:sz w:val="24"/>
          <w:szCs w:val="24"/>
        </w:rPr>
        <w:t>范围内现状有农户分布，农户采用地下水作为饮用</w:t>
      </w:r>
      <w:r>
        <w:rPr>
          <w:rFonts w:ascii="宋体" w:hAnsi="宋体" w:eastAsia="宋体" w:cs="宋体"/>
          <w:spacing w:val="-1"/>
          <w:sz w:val="24"/>
          <w:szCs w:val="24"/>
        </w:rPr>
        <w:t xml:space="preserve">水。正常情况下，污水处理站各个池体采取有效的防渗措施，污水管道采用 </w:t>
      </w:r>
      <w:r>
        <w:rPr>
          <w:rFonts w:ascii="Times New Roman" w:hAnsi="Times New Roman" w:eastAsia="Times New Roman" w:cs="Times New Roman"/>
          <w:spacing w:val="-1"/>
          <w:sz w:val="24"/>
          <w:szCs w:val="24"/>
        </w:rPr>
        <w:t>PE</w:t>
      </w:r>
    </w:p>
    <w:p w14:paraId="6207E449">
      <w:pPr>
        <w:spacing w:line="362" w:lineRule="auto"/>
        <w:rPr>
          <w:rFonts w:ascii="Times New Roman" w:hAnsi="Times New Roman" w:eastAsia="Times New Roman" w:cs="Times New Roman"/>
          <w:sz w:val="24"/>
          <w:szCs w:val="24"/>
        </w:rPr>
        <w:sectPr>
          <w:headerReference r:id="rId373" w:type="default"/>
          <w:footerReference r:id="rId374" w:type="default"/>
          <w:pgSz w:w="11905" w:h="16840"/>
          <w:pgMar w:top="1168" w:right="1712" w:bottom="1409" w:left="1770" w:header="828" w:footer="1244" w:gutter="0"/>
          <w:cols w:space="720" w:num="1"/>
        </w:sectPr>
      </w:pPr>
    </w:p>
    <w:p w14:paraId="0C2D7494">
      <w:pPr>
        <w:pStyle w:val="2"/>
        <w:spacing w:line="306" w:lineRule="auto"/>
      </w:pPr>
    </w:p>
    <w:p w14:paraId="4AA2D4DA">
      <w:pPr>
        <w:spacing w:before="78" w:line="360" w:lineRule="auto"/>
        <w:ind w:left="39" w:right="83" w:firstLine="5"/>
        <w:rPr>
          <w:rFonts w:ascii="宋体" w:hAnsi="宋体" w:eastAsia="宋体" w:cs="宋体"/>
          <w:sz w:val="24"/>
          <w:szCs w:val="24"/>
        </w:rPr>
      </w:pPr>
      <w:r>
        <w:rPr>
          <w:rFonts w:ascii="宋体" w:hAnsi="宋体" w:eastAsia="宋体" w:cs="宋体"/>
          <w:spacing w:val="-3"/>
          <w:sz w:val="24"/>
          <w:szCs w:val="24"/>
        </w:rPr>
        <w:t>管并做好连接处密封，项目运营期废水不会对周围农户地下水环境造</w:t>
      </w:r>
      <w:r>
        <w:rPr>
          <w:rFonts w:ascii="宋体" w:hAnsi="宋体" w:eastAsia="宋体" w:cs="宋体"/>
          <w:spacing w:val="-4"/>
          <w:sz w:val="24"/>
          <w:szCs w:val="24"/>
        </w:rPr>
        <w:t>成二次污染</w:t>
      </w:r>
      <w:r>
        <w:rPr>
          <w:rFonts w:ascii="宋体" w:hAnsi="宋体" w:eastAsia="宋体" w:cs="宋体"/>
          <w:spacing w:val="-10"/>
          <w:sz w:val="24"/>
          <w:szCs w:val="24"/>
        </w:rPr>
        <w:t>影响。</w:t>
      </w:r>
    </w:p>
    <w:p w14:paraId="1AE9EE39">
      <w:pPr>
        <w:spacing w:line="360" w:lineRule="auto"/>
        <w:ind w:left="40" w:firstLine="480"/>
        <w:jc w:val="both"/>
        <w:rPr>
          <w:rFonts w:ascii="宋体" w:hAnsi="宋体" w:eastAsia="宋体" w:cs="宋体"/>
          <w:sz w:val="24"/>
          <w:szCs w:val="24"/>
        </w:rPr>
      </w:pPr>
      <w:r>
        <w:rPr>
          <w:rFonts w:ascii="宋体" w:hAnsi="宋体" w:eastAsia="宋体" w:cs="宋体"/>
          <w:spacing w:val="-3"/>
          <w:sz w:val="24"/>
          <w:szCs w:val="24"/>
        </w:rPr>
        <w:t>若污水处理站的防渗设施破裂，发生废水泄漏，外泄废水往低</w:t>
      </w:r>
      <w:r>
        <w:rPr>
          <w:rFonts w:ascii="宋体" w:hAnsi="宋体" w:eastAsia="宋体" w:cs="宋体"/>
          <w:spacing w:val="-4"/>
          <w:sz w:val="24"/>
          <w:szCs w:val="24"/>
        </w:rPr>
        <w:t>洼处漫流，可</w:t>
      </w:r>
      <w:r>
        <w:rPr>
          <w:rFonts w:ascii="宋体" w:hAnsi="宋体" w:eastAsia="宋体" w:cs="宋体"/>
          <w:spacing w:val="-3"/>
          <w:sz w:val="24"/>
          <w:szCs w:val="24"/>
        </w:rPr>
        <w:t>能会对区域低洼地区产生一定的影响。结合前文非正常工况下污染物的预测结果</w:t>
      </w:r>
      <w:r>
        <w:rPr>
          <w:rFonts w:ascii="宋体" w:hAnsi="宋体" w:eastAsia="宋体" w:cs="宋体"/>
          <w:spacing w:val="-1"/>
          <w:sz w:val="24"/>
          <w:szCs w:val="24"/>
        </w:rPr>
        <w:t>来看，非正常工况下泄漏的污染物可能对场界外分散居民饮用井水质造成影响。</w:t>
      </w:r>
    </w:p>
    <w:p w14:paraId="6CE025C0">
      <w:pPr>
        <w:spacing w:before="7" w:line="360" w:lineRule="auto"/>
        <w:ind w:left="39" w:right="83" w:firstLine="482"/>
        <w:jc w:val="both"/>
        <w:rPr>
          <w:rFonts w:ascii="宋体" w:hAnsi="宋体" w:eastAsia="宋体" w:cs="宋体"/>
          <w:sz w:val="24"/>
          <w:szCs w:val="24"/>
        </w:rPr>
      </w:pPr>
      <w:r>
        <w:rPr>
          <w:rFonts w:ascii="宋体" w:hAnsi="宋体" w:eastAsia="宋体" w:cs="宋体"/>
          <w:spacing w:val="-6"/>
          <w:sz w:val="24"/>
          <w:szCs w:val="24"/>
        </w:rPr>
        <w:t>为此，本项目在粪污处理区的下游设置</w:t>
      </w:r>
      <w:r>
        <w:rPr>
          <w:rFonts w:ascii="宋体" w:hAnsi="宋体" w:eastAsia="宋体" w:cs="宋体"/>
          <w:spacing w:val="-15"/>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46"/>
          <w:sz w:val="24"/>
          <w:szCs w:val="24"/>
        </w:rPr>
        <w:t xml:space="preserve"> </w:t>
      </w:r>
      <w:r>
        <w:rPr>
          <w:rFonts w:ascii="宋体" w:hAnsi="宋体" w:eastAsia="宋体" w:cs="宋体"/>
          <w:spacing w:val="-6"/>
          <w:sz w:val="24"/>
          <w:szCs w:val="24"/>
        </w:rPr>
        <w:t>口地下水污染监控井，以监测项目</w:t>
      </w:r>
      <w:r>
        <w:rPr>
          <w:rFonts w:ascii="宋体" w:hAnsi="宋体" w:eastAsia="宋体" w:cs="宋体"/>
          <w:spacing w:val="-3"/>
          <w:sz w:val="24"/>
          <w:szCs w:val="24"/>
        </w:rPr>
        <w:t>周边的地下水水质，故本项目不会发生长期污染地下水水质的情况。本项目需在</w:t>
      </w:r>
      <w:r>
        <w:rPr>
          <w:rFonts w:ascii="宋体" w:hAnsi="宋体" w:eastAsia="宋体" w:cs="宋体"/>
          <w:spacing w:val="-6"/>
          <w:sz w:val="24"/>
          <w:szCs w:val="24"/>
        </w:rPr>
        <w:t>做好池体防渗措施、污水管道连接处密封措施的情况下， 定期</w:t>
      </w:r>
      <w:r>
        <w:rPr>
          <w:rFonts w:ascii="宋体" w:hAnsi="宋体" w:eastAsia="宋体" w:cs="宋体"/>
          <w:spacing w:val="-7"/>
          <w:sz w:val="24"/>
          <w:szCs w:val="24"/>
        </w:rPr>
        <w:t>监测地下水，本项</w:t>
      </w:r>
      <w:r>
        <w:rPr>
          <w:rFonts w:ascii="宋体" w:hAnsi="宋体" w:eastAsia="宋体" w:cs="宋体"/>
          <w:spacing w:val="-5"/>
          <w:sz w:val="24"/>
          <w:szCs w:val="24"/>
        </w:rPr>
        <w:t>目对周边分散居民饮用水影响能够接受。此外，</w:t>
      </w:r>
      <w:r>
        <w:rPr>
          <w:rFonts w:ascii="宋体" w:hAnsi="宋体" w:eastAsia="宋体" w:cs="宋体"/>
          <w:spacing w:val="-49"/>
          <w:sz w:val="24"/>
          <w:szCs w:val="24"/>
        </w:rPr>
        <w:t xml:space="preserve"> </w:t>
      </w:r>
      <w:r>
        <w:rPr>
          <w:rFonts w:ascii="宋体" w:hAnsi="宋体" w:eastAsia="宋体" w:cs="宋体"/>
          <w:spacing w:val="-5"/>
          <w:sz w:val="24"/>
          <w:szCs w:val="24"/>
        </w:rPr>
        <w:t>本项目要求建设单位加强管理与</w:t>
      </w:r>
      <w:r>
        <w:rPr>
          <w:rFonts w:ascii="宋体" w:hAnsi="宋体" w:eastAsia="宋体" w:cs="宋体"/>
          <w:spacing w:val="-3"/>
          <w:sz w:val="24"/>
          <w:szCs w:val="24"/>
        </w:rPr>
        <w:t>监测，加强设备设施的维护和巡查，避免非正常状况发生，避免对下游取用水居</w:t>
      </w:r>
      <w:r>
        <w:rPr>
          <w:rFonts w:ascii="宋体" w:hAnsi="宋体" w:eastAsia="宋体" w:cs="宋体"/>
          <w:spacing w:val="-7"/>
          <w:sz w:val="24"/>
          <w:szCs w:val="24"/>
        </w:rPr>
        <w:t>民造成影响。</w:t>
      </w:r>
    </w:p>
    <w:p w14:paraId="0796573D">
      <w:pPr>
        <w:spacing w:before="50"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4.2.3.6 </w:t>
      </w:r>
      <w:r>
        <w:rPr>
          <w:rFonts w:ascii="宋体" w:hAnsi="宋体" w:eastAsia="宋体" w:cs="宋体"/>
          <w:b/>
          <w:bCs/>
          <w:spacing w:val="5"/>
          <w:sz w:val="27"/>
          <w:szCs w:val="27"/>
        </w:rPr>
        <w:t>废水农灌对地下水的影响</w:t>
      </w:r>
    </w:p>
    <w:p w14:paraId="34669A66">
      <w:pPr>
        <w:spacing w:before="236" w:line="360" w:lineRule="auto"/>
        <w:ind w:left="39" w:right="83" w:firstLine="480"/>
        <w:jc w:val="both"/>
        <w:rPr>
          <w:rFonts w:ascii="宋体" w:hAnsi="宋体" w:eastAsia="宋体" w:cs="宋体"/>
          <w:sz w:val="24"/>
          <w:szCs w:val="24"/>
        </w:rPr>
      </w:pPr>
      <w:r>
        <w:rPr>
          <w:rFonts w:ascii="宋体" w:hAnsi="宋体" w:eastAsia="宋体" w:cs="宋体"/>
          <w:spacing w:val="4"/>
          <w:sz w:val="24"/>
          <w:szCs w:val="24"/>
        </w:rPr>
        <w:t>本项目运营期产生的养殖废水经污水处理站收集处理后全部作为农田灌溉</w:t>
      </w:r>
      <w:r>
        <w:rPr>
          <w:rFonts w:ascii="宋体" w:hAnsi="宋体" w:eastAsia="宋体" w:cs="宋体"/>
          <w:spacing w:val="-3"/>
          <w:sz w:val="24"/>
          <w:szCs w:val="24"/>
        </w:rPr>
        <w:t>用水，废水经污水处理站处理后污染物浓度大大降低，可以节省大量化肥，提高作物产量，还可以改善土壤的物理化学性质，提高土壤肥力，有利于农作物的生</w:t>
      </w:r>
      <w:r>
        <w:rPr>
          <w:rFonts w:ascii="宋体" w:hAnsi="宋体" w:eastAsia="宋体" w:cs="宋体"/>
          <w:spacing w:val="-6"/>
          <w:sz w:val="24"/>
          <w:szCs w:val="24"/>
        </w:rPr>
        <w:t>长，节约水资源，减少污染物排放量，通过农作物吸收、土</w:t>
      </w:r>
      <w:r>
        <w:rPr>
          <w:rFonts w:ascii="宋体" w:hAnsi="宋体" w:eastAsia="宋体" w:cs="宋体"/>
          <w:spacing w:val="-7"/>
          <w:sz w:val="24"/>
          <w:szCs w:val="24"/>
        </w:rPr>
        <w:t>壤净化等， 对地下水</w:t>
      </w:r>
      <w:r>
        <w:rPr>
          <w:rFonts w:ascii="宋体" w:hAnsi="宋体" w:eastAsia="宋体" w:cs="宋体"/>
          <w:spacing w:val="-6"/>
          <w:sz w:val="24"/>
          <w:szCs w:val="24"/>
        </w:rPr>
        <w:t>影响很小。同时， 加强对当地农户宣传管理，要求灌溉区域</w:t>
      </w:r>
      <w:r>
        <w:rPr>
          <w:rFonts w:ascii="宋体" w:hAnsi="宋体" w:eastAsia="宋体" w:cs="宋体"/>
          <w:spacing w:val="-7"/>
          <w:sz w:val="24"/>
          <w:szCs w:val="24"/>
        </w:rPr>
        <w:t>限制施用化肥、避免</w:t>
      </w:r>
      <w:r>
        <w:rPr>
          <w:rFonts w:ascii="宋体" w:hAnsi="宋体" w:eastAsia="宋体" w:cs="宋体"/>
          <w:spacing w:val="-5"/>
          <w:sz w:val="24"/>
          <w:szCs w:val="24"/>
        </w:rPr>
        <w:t>土壤和地下水污染。</w:t>
      </w:r>
    </w:p>
    <w:p w14:paraId="582D0961">
      <w:pPr>
        <w:spacing w:before="5" w:line="357" w:lineRule="auto"/>
        <w:ind w:left="38" w:right="16" w:firstLine="480"/>
        <w:jc w:val="both"/>
        <w:rPr>
          <w:rFonts w:ascii="宋体" w:hAnsi="宋体" w:eastAsia="宋体" w:cs="宋体"/>
          <w:sz w:val="24"/>
          <w:szCs w:val="24"/>
        </w:rPr>
      </w:pPr>
      <w:r>
        <w:rPr>
          <w:rFonts w:ascii="宋体" w:hAnsi="宋体" w:eastAsia="宋体" w:cs="宋体"/>
          <w:spacing w:val="-3"/>
          <w:sz w:val="24"/>
          <w:szCs w:val="24"/>
        </w:rPr>
        <w:t>根据现场调查走访，本项目消纳地周边分布有部分居民散户水井</w:t>
      </w:r>
      <w:r>
        <w:rPr>
          <w:rFonts w:ascii="宋体" w:hAnsi="宋体" w:eastAsia="宋体" w:cs="宋体"/>
          <w:spacing w:val="-4"/>
          <w:sz w:val="24"/>
          <w:szCs w:val="24"/>
        </w:rPr>
        <w:t>。项目养殖</w:t>
      </w:r>
      <w:r>
        <w:rPr>
          <w:rFonts w:ascii="宋体" w:hAnsi="宋体" w:eastAsia="宋体" w:cs="宋体"/>
          <w:spacing w:val="-1"/>
          <w:sz w:val="24"/>
          <w:szCs w:val="24"/>
        </w:rPr>
        <w:t>废水及生活污水经处理后施用于附近农田、耕地，经农作物吸收、土壤净化等，</w:t>
      </w:r>
      <w:r>
        <w:rPr>
          <w:rFonts w:ascii="宋体" w:hAnsi="宋体" w:eastAsia="宋体" w:cs="宋体"/>
          <w:spacing w:val="-3"/>
          <w:sz w:val="24"/>
          <w:szCs w:val="24"/>
        </w:rPr>
        <w:t>严格按照消纳区域农作物的生长特性，合理、定量消纳利用的前提下基本不会对附近居民饮用水源水质造成影响。同时为降低灌溉区居民饮用地下水受污染的可</w:t>
      </w:r>
      <w:r>
        <w:rPr>
          <w:rFonts w:ascii="宋体" w:hAnsi="宋体" w:eastAsia="宋体" w:cs="宋体"/>
          <w:spacing w:val="-2"/>
          <w:sz w:val="24"/>
          <w:szCs w:val="24"/>
        </w:rPr>
        <w:t>能，评价要求，项目灌溉区水井周围</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50m </w:t>
      </w:r>
      <w:r>
        <w:rPr>
          <w:rFonts w:ascii="宋体" w:hAnsi="宋体" w:eastAsia="宋体" w:cs="宋体"/>
          <w:spacing w:val="-2"/>
          <w:sz w:val="24"/>
          <w:szCs w:val="24"/>
        </w:rPr>
        <w:t>范围内禁止废水灌溉，降低风险。</w:t>
      </w:r>
    </w:p>
    <w:p w14:paraId="41A37C5F">
      <w:pPr>
        <w:spacing w:before="2" w:line="363" w:lineRule="auto"/>
        <w:ind w:left="42" w:firstLine="482"/>
        <w:jc w:val="both"/>
        <w:rPr>
          <w:rFonts w:ascii="宋体" w:hAnsi="宋体" w:eastAsia="宋体" w:cs="宋体"/>
          <w:sz w:val="24"/>
          <w:szCs w:val="24"/>
        </w:rPr>
      </w:pPr>
      <w:r>
        <w:rPr>
          <w:rFonts w:ascii="宋体" w:hAnsi="宋体" w:eastAsia="宋体" w:cs="宋体"/>
          <w:spacing w:val="-2"/>
          <w:sz w:val="24"/>
          <w:szCs w:val="24"/>
        </w:rPr>
        <w:t>结合消纳地区域地形，拟在消纳地设置</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座田间暂存池，总容积</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22500m</w:t>
      </w:r>
      <w:r>
        <w:rPr>
          <w:rFonts w:ascii="Times New Roman" w:hAnsi="Times New Roman" w:eastAsia="Times New Roman" w:cs="Times New Roman"/>
          <w:spacing w:val="-2"/>
          <w:position w:val="10"/>
          <w:sz w:val="15"/>
          <w:szCs w:val="15"/>
        </w:rPr>
        <w:t>3</w:t>
      </w:r>
      <w:r>
        <w:rPr>
          <w:rFonts w:ascii="宋体" w:hAnsi="宋体" w:eastAsia="宋体" w:cs="宋体"/>
          <w:spacing w:val="-2"/>
          <w:sz w:val="24"/>
          <w:szCs w:val="24"/>
        </w:rPr>
        <w:t>。</w:t>
      </w:r>
      <w:r>
        <w:rPr>
          <w:rFonts w:ascii="宋体" w:hAnsi="宋体" w:eastAsia="宋体" w:cs="宋体"/>
          <w:spacing w:val="-1"/>
          <w:sz w:val="24"/>
          <w:szCs w:val="24"/>
        </w:rPr>
        <w:t>田间暂存池可以储存约</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91</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天的废水量，使得本项目在雨季及灌溉间隔时间</w:t>
      </w:r>
      <w:r>
        <w:rPr>
          <w:rFonts w:ascii="宋体" w:hAnsi="宋体" w:eastAsia="宋体" w:cs="宋体"/>
          <w:spacing w:val="-2"/>
          <w:sz w:val="24"/>
          <w:szCs w:val="24"/>
        </w:rPr>
        <w:t>对污</w:t>
      </w:r>
      <w:r>
        <w:rPr>
          <w:rFonts w:ascii="宋体" w:hAnsi="宋体" w:eastAsia="宋体" w:cs="宋体"/>
          <w:spacing w:val="-4"/>
          <w:sz w:val="24"/>
          <w:szCs w:val="24"/>
        </w:rPr>
        <w:t>水进行储存，避免污水外溢。</w:t>
      </w:r>
    </w:p>
    <w:p w14:paraId="5C8B4F7C">
      <w:pPr>
        <w:spacing w:before="1" w:line="361" w:lineRule="auto"/>
        <w:ind w:left="39" w:right="84" w:firstLine="498"/>
        <w:rPr>
          <w:rFonts w:ascii="宋体" w:hAnsi="宋体" w:eastAsia="宋体" w:cs="宋体"/>
          <w:sz w:val="24"/>
          <w:szCs w:val="24"/>
        </w:rPr>
      </w:pPr>
      <w:r>
        <w:rPr>
          <w:rFonts w:ascii="宋体" w:hAnsi="宋体" w:eastAsia="宋体" w:cs="宋体"/>
          <w:spacing w:val="-4"/>
          <w:sz w:val="24"/>
          <w:szCs w:val="24"/>
        </w:rPr>
        <w:t>因此，评价认为在上述相关措施得到切实落实的前提下，项目实施对评价区</w:t>
      </w:r>
      <w:r>
        <w:rPr>
          <w:rFonts w:ascii="宋体" w:hAnsi="宋体" w:eastAsia="宋体" w:cs="宋体"/>
          <w:spacing w:val="-2"/>
          <w:sz w:val="24"/>
          <w:szCs w:val="24"/>
        </w:rPr>
        <w:t>地下水环境不会造成污染影响，不改变其现有水环境现状和功能。</w:t>
      </w:r>
    </w:p>
    <w:p w14:paraId="1E0B410E">
      <w:pPr>
        <w:spacing w:before="53"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4.2.3.7 </w:t>
      </w:r>
      <w:r>
        <w:rPr>
          <w:rFonts w:ascii="宋体" w:hAnsi="宋体" w:eastAsia="宋体" w:cs="宋体"/>
          <w:b/>
          <w:bCs/>
          <w:spacing w:val="5"/>
          <w:sz w:val="27"/>
          <w:szCs w:val="27"/>
        </w:rPr>
        <w:t>地下水跟踪监测计划</w:t>
      </w:r>
    </w:p>
    <w:p w14:paraId="62E5D717">
      <w:pPr>
        <w:spacing w:line="226" w:lineRule="auto"/>
        <w:rPr>
          <w:rFonts w:ascii="宋体" w:hAnsi="宋体" w:eastAsia="宋体" w:cs="宋体"/>
          <w:sz w:val="27"/>
          <w:szCs w:val="27"/>
        </w:rPr>
        <w:sectPr>
          <w:headerReference r:id="rId375" w:type="default"/>
          <w:footerReference r:id="rId376" w:type="default"/>
          <w:pgSz w:w="11905" w:h="16840"/>
          <w:pgMar w:top="1168" w:right="1714" w:bottom="1409" w:left="1770" w:header="828" w:footer="1244" w:gutter="0"/>
          <w:cols w:space="720" w:num="1"/>
        </w:sectPr>
      </w:pPr>
    </w:p>
    <w:p w14:paraId="0CFE7A7A">
      <w:pPr>
        <w:pStyle w:val="2"/>
        <w:spacing w:line="306" w:lineRule="auto"/>
      </w:pPr>
    </w:p>
    <w:p w14:paraId="0B6DB869">
      <w:pPr>
        <w:spacing w:before="78" w:line="360" w:lineRule="auto"/>
        <w:ind w:left="39" w:right="186" w:firstLine="480"/>
        <w:jc w:val="both"/>
        <w:rPr>
          <w:rFonts w:ascii="宋体" w:hAnsi="宋体" w:eastAsia="宋体" w:cs="宋体"/>
          <w:sz w:val="24"/>
          <w:szCs w:val="24"/>
        </w:rPr>
      </w:pPr>
      <w:r>
        <w:rPr>
          <w:rFonts w:ascii="宋体" w:hAnsi="宋体" w:eastAsia="宋体" w:cs="宋体"/>
          <w:spacing w:val="-3"/>
          <w:sz w:val="24"/>
          <w:szCs w:val="24"/>
        </w:rPr>
        <w:t>本评价要求建设单位建立地下水环境监测管理体系，包括制定</w:t>
      </w:r>
      <w:r>
        <w:rPr>
          <w:rFonts w:ascii="宋体" w:hAnsi="宋体" w:eastAsia="宋体" w:cs="宋体"/>
          <w:spacing w:val="-4"/>
          <w:sz w:val="24"/>
          <w:szCs w:val="24"/>
        </w:rPr>
        <w:t>地下水环境影</w:t>
      </w:r>
      <w:r>
        <w:rPr>
          <w:rFonts w:ascii="宋体" w:hAnsi="宋体" w:eastAsia="宋体" w:cs="宋体"/>
          <w:spacing w:val="-6"/>
          <w:sz w:val="24"/>
          <w:szCs w:val="24"/>
        </w:rPr>
        <w:t>响跟踪监测计划、建立地下水环境影响跟踪监测制度， 以便及</w:t>
      </w:r>
      <w:r>
        <w:rPr>
          <w:rFonts w:ascii="宋体" w:hAnsi="宋体" w:eastAsia="宋体" w:cs="宋体"/>
          <w:spacing w:val="-7"/>
          <w:sz w:val="24"/>
          <w:szCs w:val="24"/>
        </w:rPr>
        <w:t>时发现问题，采取</w:t>
      </w:r>
      <w:r>
        <w:rPr>
          <w:rFonts w:ascii="宋体" w:hAnsi="宋体" w:eastAsia="宋体" w:cs="宋体"/>
          <w:spacing w:val="-10"/>
          <w:sz w:val="24"/>
          <w:szCs w:val="24"/>
        </w:rPr>
        <w:t>措施。</w:t>
      </w:r>
    </w:p>
    <w:p w14:paraId="050751A2">
      <w:pPr>
        <w:spacing w:before="2" w:line="359" w:lineRule="auto"/>
        <w:ind w:left="39" w:right="186" w:firstLine="480"/>
        <w:rPr>
          <w:rFonts w:ascii="宋体" w:hAnsi="宋体" w:eastAsia="宋体" w:cs="宋体"/>
          <w:sz w:val="24"/>
          <w:szCs w:val="24"/>
        </w:rPr>
      </w:pPr>
      <w:r>
        <w:rPr>
          <w:rFonts w:ascii="宋体" w:hAnsi="宋体" w:eastAsia="宋体" w:cs="宋体"/>
          <w:spacing w:val="-5"/>
          <w:sz w:val="24"/>
          <w:szCs w:val="24"/>
        </w:rPr>
        <w:t>监控井布置：在养殖场的下游设置</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46"/>
          <w:sz w:val="24"/>
          <w:szCs w:val="24"/>
        </w:rPr>
        <w:t xml:space="preserve"> </w:t>
      </w:r>
      <w:r>
        <w:rPr>
          <w:rFonts w:ascii="宋体" w:hAnsi="宋体" w:eastAsia="宋体" w:cs="宋体"/>
          <w:spacing w:val="-5"/>
          <w:sz w:val="24"/>
          <w:szCs w:val="24"/>
        </w:rPr>
        <w:t>口地下</w:t>
      </w:r>
      <w:r>
        <w:rPr>
          <w:rFonts w:ascii="宋体" w:hAnsi="宋体" w:eastAsia="宋体" w:cs="宋体"/>
          <w:spacing w:val="-6"/>
          <w:sz w:val="24"/>
          <w:szCs w:val="24"/>
        </w:rPr>
        <w:t>水污染监控井，地下水污染监控</w:t>
      </w:r>
      <w:r>
        <w:rPr>
          <w:rFonts w:ascii="宋体" w:hAnsi="宋体" w:eastAsia="宋体" w:cs="宋体"/>
          <w:spacing w:val="-3"/>
          <w:sz w:val="24"/>
          <w:szCs w:val="24"/>
        </w:rPr>
        <w:t>井监测层位以浅层承压水层为主。</w:t>
      </w:r>
    </w:p>
    <w:p w14:paraId="096D7C1B">
      <w:pPr>
        <w:spacing w:before="1" w:line="218" w:lineRule="auto"/>
        <w:ind w:left="520"/>
        <w:rPr>
          <w:rFonts w:ascii="宋体" w:hAnsi="宋体" w:eastAsia="宋体" w:cs="宋体"/>
          <w:sz w:val="24"/>
          <w:szCs w:val="24"/>
        </w:rPr>
      </w:pPr>
      <w:r>
        <w:rPr>
          <w:rFonts w:ascii="宋体" w:hAnsi="宋体" w:eastAsia="宋体" w:cs="宋体"/>
          <w:spacing w:val="-2"/>
          <w:sz w:val="24"/>
          <w:szCs w:val="24"/>
        </w:rPr>
        <w:t>监测因子：耗氧量、氨氮、溶解性总固体、总大肠菌群、菌落总数。</w:t>
      </w:r>
    </w:p>
    <w:p w14:paraId="166E0B20">
      <w:pPr>
        <w:spacing w:before="182" w:line="220" w:lineRule="auto"/>
        <w:ind w:left="520"/>
        <w:rPr>
          <w:rFonts w:ascii="宋体" w:hAnsi="宋体" w:eastAsia="宋体" w:cs="宋体"/>
          <w:sz w:val="24"/>
          <w:szCs w:val="24"/>
        </w:rPr>
      </w:pPr>
      <w:r>
        <w:rPr>
          <w:rFonts w:ascii="宋体" w:hAnsi="宋体" w:eastAsia="宋体" w:cs="宋体"/>
          <w:spacing w:val="-3"/>
          <w:sz w:val="24"/>
          <w:szCs w:val="24"/>
        </w:rPr>
        <w:t>监测频次：</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次</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p>
    <w:p w14:paraId="25CF8B5E">
      <w:pPr>
        <w:spacing w:before="239"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4.2.3.8 </w:t>
      </w:r>
      <w:r>
        <w:rPr>
          <w:rFonts w:ascii="宋体" w:hAnsi="宋体" w:eastAsia="宋体" w:cs="宋体"/>
          <w:b/>
          <w:bCs/>
          <w:spacing w:val="5"/>
          <w:sz w:val="27"/>
          <w:szCs w:val="27"/>
        </w:rPr>
        <w:t>取水对地下水资源影响分析</w:t>
      </w:r>
    </w:p>
    <w:p w14:paraId="4AE62EFB">
      <w:pPr>
        <w:spacing w:before="225" w:line="363" w:lineRule="auto"/>
        <w:ind w:left="38" w:right="195" w:firstLine="510"/>
        <w:jc w:val="both"/>
        <w:rPr>
          <w:rFonts w:ascii="宋体" w:hAnsi="宋体" w:eastAsia="宋体" w:cs="宋体"/>
          <w:sz w:val="24"/>
          <w:szCs w:val="24"/>
        </w:rPr>
      </w:pPr>
      <w:r>
        <w:rPr>
          <w:rFonts w:ascii="宋体" w:hAnsi="宋体" w:eastAsia="宋体" w:cs="宋体"/>
          <w:spacing w:val="-3"/>
          <w:sz w:val="24"/>
          <w:szCs w:val="24"/>
        </w:rPr>
        <w:t>由工程分析可知，本项目最高日用水量为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645.03m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，折</w:t>
      </w:r>
      <w:r>
        <w:rPr>
          <w:rFonts w:ascii="宋体" w:hAnsi="宋体" w:eastAsia="宋体" w:cs="宋体"/>
          <w:spacing w:val="-4"/>
          <w:sz w:val="24"/>
          <w:szCs w:val="24"/>
        </w:rPr>
        <w:t>算标准生猪存栏量</w:t>
      </w:r>
      <w:r>
        <w:rPr>
          <w:rFonts w:ascii="宋体" w:hAnsi="宋体" w:eastAsia="宋体" w:cs="宋体"/>
          <w:spacing w:val="-2"/>
          <w:sz w:val="24"/>
          <w:szCs w:val="24"/>
        </w:rPr>
        <w:t>为</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52819 </w:t>
      </w:r>
      <w:r>
        <w:rPr>
          <w:rFonts w:ascii="宋体" w:hAnsi="宋体" w:eastAsia="宋体" w:cs="宋体"/>
          <w:spacing w:val="-2"/>
          <w:sz w:val="24"/>
          <w:szCs w:val="24"/>
        </w:rPr>
        <w:t>头，则用水系数约为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
          <w:sz w:val="24"/>
          <w:szCs w:val="24"/>
        </w:rPr>
        <w:t>2L/</w:t>
      </w:r>
      <w:r>
        <w:rPr>
          <w:rFonts w:ascii="宋体" w:hAnsi="宋体" w:eastAsia="宋体" w:cs="宋体"/>
          <w:spacing w:val="-3"/>
          <w:sz w:val="24"/>
          <w:szCs w:val="24"/>
        </w:rPr>
        <w:t>头</w:t>
      </w:r>
      <w:r>
        <w:rPr>
          <w:rFonts w:ascii="Times New Roman" w:hAnsi="Times New Roman" w:eastAsia="Times New Roman" w:cs="Times New Roman"/>
          <w:spacing w:val="-3"/>
          <w:sz w:val="24"/>
          <w:szCs w:val="24"/>
        </w:rPr>
        <w:t>ꞏd</w:t>
      </w:r>
      <w:r>
        <w:rPr>
          <w:rFonts w:ascii="宋体" w:hAnsi="宋体" w:eastAsia="宋体" w:cs="宋体"/>
          <w:spacing w:val="-3"/>
          <w:sz w:val="24"/>
          <w:szCs w:val="24"/>
        </w:rPr>
        <w:t>，此系数满足《四川省用水定额》（川</w:t>
      </w:r>
      <w:r>
        <w:rPr>
          <w:rFonts w:ascii="宋体" w:hAnsi="宋体" w:eastAsia="宋体" w:cs="宋体"/>
          <w:spacing w:val="-2"/>
          <w:sz w:val="24"/>
          <w:szCs w:val="24"/>
        </w:rPr>
        <w:t>府函</w:t>
      </w:r>
      <w:r>
        <w:rPr>
          <w:rFonts w:ascii="Times New Roman" w:hAnsi="Times New Roman" w:eastAsia="Times New Roman" w:cs="Times New Roman"/>
          <w:spacing w:val="-2"/>
          <w:sz w:val="24"/>
          <w:szCs w:val="24"/>
        </w:rPr>
        <w:t>[</w:t>
      </w:r>
      <w:r>
        <w:fldChar w:fldCharType="begin"/>
      </w:r>
      <w:r>
        <w:instrText xml:space="preserve"> HYPERLINK \l "bookmark174" </w:instrText>
      </w:r>
      <w:r>
        <w:fldChar w:fldCharType="separate"/>
      </w:r>
      <w:r>
        <w:rPr>
          <w:rFonts w:ascii="Times New Roman" w:hAnsi="Times New Roman" w:eastAsia="Times New Roman" w:cs="Times New Roman"/>
          <w:spacing w:val="-2"/>
          <w:sz w:val="24"/>
          <w:szCs w:val="24"/>
        </w:rPr>
        <w:t>2021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]8</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25~28L/</w:t>
      </w:r>
      <w:r>
        <w:rPr>
          <w:rFonts w:ascii="宋体" w:hAnsi="宋体" w:eastAsia="宋体" w:cs="宋体"/>
          <w:spacing w:val="-2"/>
          <w:sz w:val="24"/>
          <w:szCs w:val="24"/>
        </w:rPr>
        <w:t>头</w:t>
      </w:r>
      <w:r>
        <w:rPr>
          <w:rFonts w:ascii="Times New Roman" w:hAnsi="Times New Roman" w:eastAsia="Times New Roman" w:cs="Times New Roman"/>
          <w:spacing w:val="-2"/>
          <w:sz w:val="24"/>
          <w:szCs w:val="24"/>
        </w:rPr>
        <w:t>ꞏd</w:t>
      </w:r>
      <w:r>
        <w:rPr>
          <w:rFonts w:ascii="宋体" w:hAnsi="宋体" w:eastAsia="宋体" w:cs="宋体"/>
          <w:spacing w:val="-2"/>
          <w:sz w:val="24"/>
          <w:szCs w:val="24"/>
        </w:rPr>
        <w:t>”用水限值要求。</w:t>
      </w:r>
    </w:p>
    <w:p w14:paraId="5891EC41">
      <w:pPr>
        <w:spacing w:line="360" w:lineRule="auto"/>
        <w:ind w:left="39" w:firstLine="480"/>
        <w:jc w:val="both"/>
        <w:rPr>
          <w:rFonts w:ascii="宋体" w:hAnsi="宋体" w:eastAsia="宋体" w:cs="宋体"/>
          <w:sz w:val="24"/>
          <w:szCs w:val="24"/>
        </w:rPr>
      </w:pPr>
      <w:r>
        <w:rPr>
          <w:rFonts w:ascii="宋体" w:hAnsi="宋体" w:eastAsia="宋体" w:cs="宋体"/>
          <w:spacing w:val="-5"/>
          <w:sz w:val="24"/>
          <w:szCs w:val="24"/>
        </w:rPr>
        <w:t>本项目评价区地下水主要接受大气降水补给，含水层水量受降雨量影响明显，</w:t>
      </w:r>
      <w:r>
        <w:rPr>
          <w:rFonts w:ascii="宋体" w:hAnsi="宋体" w:eastAsia="宋体" w:cs="宋体"/>
          <w:spacing w:val="-3"/>
          <w:sz w:val="24"/>
          <w:szCs w:val="24"/>
        </w:rPr>
        <w:t>地下水水位随着补给量的大小波动而变化，气象因素是影响地下水动态变化的主</w:t>
      </w:r>
      <w:r>
        <w:rPr>
          <w:rFonts w:ascii="宋体" w:hAnsi="宋体" w:eastAsia="宋体" w:cs="宋体"/>
          <w:spacing w:val="-6"/>
          <w:sz w:val="24"/>
          <w:szCs w:val="24"/>
        </w:rPr>
        <w:t>要因素。区域属于亚热带湿润季风气候， 降雨量较为充沛，可</w:t>
      </w:r>
      <w:r>
        <w:rPr>
          <w:rFonts w:ascii="宋体" w:hAnsi="宋体" w:eastAsia="宋体" w:cs="宋体"/>
          <w:spacing w:val="-7"/>
          <w:sz w:val="24"/>
          <w:szCs w:val="24"/>
        </w:rPr>
        <w:t>充分补给区域地下</w:t>
      </w:r>
      <w:r>
        <w:rPr>
          <w:rFonts w:ascii="宋体" w:hAnsi="宋体" w:eastAsia="宋体" w:cs="宋体"/>
          <w:spacing w:val="-12"/>
          <w:sz w:val="24"/>
          <w:szCs w:val="24"/>
        </w:rPr>
        <w:t>水。</w:t>
      </w:r>
    </w:p>
    <w:p w14:paraId="5D3B568F">
      <w:pPr>
        <w:spacing w:before="4" w:line="360" w:lineRule="auto"/>
        <w:ind w:left="38" w:right="186" w:firstLine="480"/>
        <w:jc w:val="both"/>
        <w:rPr>
          <w:rFonts w:ascii="宋体" w:hAnsi="宋体" w:eastAsia="宋体" w:cs="宋体"/>
          <w:sz w:val="24"/>
          <w:szCs w:val="24"/>
        </w:rPr>
      </w:pPr>
      <w:r>
        <w:rPr>
          <w:rFonts w:ascii="宋体" w:hAnsi="宋体" w:eastAsia="宋体" w:cs="宋体"/>
          <w:spacing w:val="-3"/>
          <w:sz w:val="24"/>
          <w:szCs w:val="24"/>
        </w:rPr>
        <w:t>据调查，区域地下水开采主要为农户饮用地下水井，本项目取水</w:t>
      </w:r>
      <w:r>
        <w:rPr>
          <w:rFonts w:ascii="宋体" w:hAnsi="宋体" w:eastAsia="宋体" w:cs="宋体"/>
          <w:spacing w:val="-4"/>
          <w:sz w:val="24"/>
          <w:szCs w:val="24"/>
        </w:rPr>
        <w:t>对当地地下</w:t>
      </w:r>
      <w:r>
        <w:rPr>
          <w:rFonts w:ascii="宋体" w:hAnsi="宋体" w:eastAsia="宋体" w:cs="宋体"/>
          <w:spacing w:val="-8"/>
          <w:sz w:val="24"/>
          <w:szCs w:val="24"/>
        </w:rPr>
        <w:t>水资源影响有限。评价要求，</w:t>
      </w:r>
      <w:r>
        <w:rPr>
          <w:rFonts w:ascii="宋体" w:hAnsi="宋体" w:eastAsia="宋体" w:cs="宋体"/>
          <w:spacing w:val="51"/>
          <w:sz w:val="24"/>
          <w:szCs w:val="24"/>
        </w:rPr>
        <w:t xml:space="preserve"> </w:t>
      </w:r>
      <w:r>
        <w:rPr>
          <w:rFonts w:ascii="宋体" w:hAnsi="宋体" w:eastAsia="宋体" w:cs="宋体"/>
          <w:spacing w:val="-8"/>
          <w:sz w:val="24"/>
          <w:szCs w:val="24"/>
        </w:rPr>
        <w:t>建设单位应按照《中华人民</w:t>
      </w:r>
      <w:r>
        <w:rPr>
          <w:rFonts w:ascii="宋体" w:hAnsi="宋体" w:eastAsia="宋体" w:cs="宋体"/>
          <w:spacing w:val="-9"/>
          <w:sz w:val="24"/>
          <w:szCs w:val="24"/>
        </w:rPr>
        <w:t>共和国水法》、《地下</w:t>
      </w:r>
      <w:r>
        <w:rPr>
          <w:rFonts w:ascii="宋体" w:hAnsi="宋体" w:eastAsia="宋体" w:cs="宋体"/>
          <w:spacing w:val="-6"/>
          <w:sz w:val="24"/>
          <w:szCs w:val="24"/>
        </w:rPr>
        <w:t>水管理条例》、《建设项目水资源论证管理办法》等法规条例</w:t>
      </w:r>
      <w:r>
        <w:rPr>
          <w:rFonts w:ascii="宋体" w:hAnsi="宋体" w:eastAsia="宋体" w:cs="宋体"/>
          <w:spacing w:val="-7"/>
          <w:sz w:val="24"/>
          <w:szCs w:val="24"/>
        </w:rPr>
        <w:t>要求， 编制建设项</w:t>
      </w:r>
      <w:r>
        <w:rPr>
          <w:rFonts w:ascii="宋体" w:hAnsi="宋体" w:eastAsia="宋体" w:cs="宋体"/>
          <w:spacing w:val="-3"/>
          <w:sz w:val="24"/>
          <w:szCs w:val="24"/>
        </w:rPr>
        <w:t>目水资源论证报告，完善水资源论证及取水许可手续，取水申请经批准后建设取水工程或者设施，同时安装计量设施，取水工程或者设施竣工后，应向取水审批</w:t>
      </w:r>
      <w:r>
        <w:rPr>
          <w:rFonts w:ascii="宋体" w:hAnsi="宋体" w:eastAsia="宋体" w:cs="宋体"/>
          <w:spacing w:val="-4"/>
          <w:sz w:val="24"/>
          <w:szCs w:val="24"/>
        </w:rPr>
        <w:t>机关申请验收及取水许可证。</w:t>
      </w:r>
    </w:p>
    <w:p w14:paraId="57834BE9">
      <w:pPr>
        <w:spacing w:before="52"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4.2.3.9 </w:t>
      </w:r>
      <w:r>
        <w:rPr>
          <w:rFonts w:ascii="宋体" w:hAnsi="宋体" w:eastAsia="宋体" w:cs="宋体"/>
          <w:b/>
          <w:bCs/>
          <w:spacing w:val="5"/>
          <w:sz w:val="27"/>
          <w:szCs w:val="27"/>
        </w:rPr>
        <w:t>地下水环境影响评价小结</w:t>
      </w:r>
    </w:p>
    <w:p w14:paraId="2E127D15">
      <w:pPr>
        <w:spacing w:before="240" w:line="361" w:lineRule="auto"/>
        <w:ind w:left="39" w:right="186" w:firstLine="482"/>
        <w:jc w:val="both"/>
        <w:rPr>
          <w:rFonts w:ascii="宋体" w:hAnsi="宋体" w:eastAsia="宋体" w:cs="宋体"/>
          <w:sz w:val="24"/>
          <w:szCs w:val="24"/>
        </w:rPr>
      </w:pPr>
      <w:r>
        <w:rPr>
          <w:rFonts w:ascii="宋体" w:hAnsi="宋体" w:eastAsia="宋体" w:cs="宋体"/>
          <w:spacing w:val="-3"/>
          <w:sz w:val="24"/>
          <w:szCs w:val="24"/>
        </w:rPr>
        <w:t>综上所述，项目场地水文地质条件简单，项目对可能产生</w:t>
      </w:r>
      <w:r>
        <w:rPr>
          <w:rFonts w:ascii="宋体" w:hAnsi="宋体" w:eastAsia="宋体" w:cs="宋体"/>
          <w:spacing w:val="-4"/>
          <w:sz w:val="24"/>
          <w:szCs w:val="24"/>
        </w:rPr>
        <w:t>地下水影响的各项</w:t>
      </w:r>
      <w:r>
        <w:rPr>
          <w:rFonts w:ascii="宋体" w:hAnsi="宋体" w:eastAsia="宋体" w:cs="宋体"/>
          <w:spacing w:val="-3"/>
          <w:sz w:val="24"/>
          <w:szCs w:val="24"/>
        </w:rPr>
        <w:t>途径均进行有效预防，在确保各项防渗措施得以落实，并加强维护和加强项目环</w:t>
      </w:r>
      <w:r>
        <w:rPr>
          <w:rFonts w:ascii="宋体" w:hAnsi="宋体" w:eastAsia="宋体" w:cs="宋体"/>
          <w:spacing w:val="-1"/>
          <w:sz w:val="24"/>
          <w:szCs w:val="24"/>
        </w:rPr>
        <w:t>境管理的前提下，可有效控制废水污染物下渗，对区域</w:t>
      </w:r>
      <w:r>
        <w:rPr>
          <w:rFonts w:ascii="宋体" w:hAnsi="宋体" w:eastAsia="宋体" w:cs="宋体"/>
          <w:spacing w:val="-2"/>
          <w:sz w:val="24"/>
          <w:szCs w:val="24"/>
        </w:rPr>
        <w:t>地下水环境影响较小。</w:t>
      </w:r>
    </w:p>
    <w:p w14:paraId="6AB52702">
      <w:pPr>
        <w:spacing w:before="163"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4.2.4  </w:t>
      </w:r>
      <w:r>
        <w:rPr>
          <w:rFonts w:ascii="宋体" w:hAnsi="宋体" w:eastAsia="宋体" w:cs="宋体"/>
          <w:b/>
          <w:bCs/>
          <w:spacing w:val="-2"/>
          <w:sz w:val="30"/>
          <w:szCs w:val="30"/>
        </w:rPr>
        <w:t>声环境影响评价</w:t>
      </w:r>
    </w:p>
    <w:p w14:paraId="1D1C1D55">
      <w:pPr>
        <w:pStyle w:val="2"/>
        <w:spacing w:line="308" w:lineRule="auto"/>
      </w:pPr>
    </w:p>
    <w:p w14:paraId="3CE0E39B">
      <w:pPr>
        <w:spacing w:before="89" w:line="227" w:lineRule="auto"/>
        <w:ind w:left="36"/>
        <w:rPr>
          <w:rFonts w:ascii="宋体" w:hAnsi="宋体" w:eastAsia="宋体" w:cs="宋体"/>
          <w:sz w:val="27"/>
          <w:szCs w:val="27"/>
        </w:rPr>
      </w:pPr>
      <w:r>
        <w:rPr>
          <w:rFonts w:ascii="Times New Roman" w:hAnsi="Times New Roman" w:eastAsia="Times New Roman" w:cs="Times New Roman"/>
          <w:b/>
          <w:bCs/>
          <w:spacing w:val="2"/>
          <w:sz w:val="27"/>
          <w:szCs w:val="27"/>
        </w:rPr>
        <w:t>4.2.4.1</w:t>
      </w:r>
      <w:r>
        <w:rPr>
          <w:rFonts w:ascii="Times New Roman" w:hAnsi="Times New Roman" w:eastAsia="Times New Roman" w:cs="Times New Roman"/>
          <w:b/>
          <w:bCs/>
          <w:spacing w:val="30"/>
          <w:w w:val="101"/>
          <w:sz w:val="27"/>
          <w:szCs w:val="27"/>
        </w:rPr>
        <w:t xml:space="preserve"> </w:t>
      </w:r>
      <w:r>
        <w:rPr>
          <w:rFonts w:ascii="宋体" w:hAnsi="宋体" w:eastAsia="宋体" w:cs="宋体"/>
          <w:b/>
          <w:bCs/>
          <w:spacing w:val="2"/>
          <w:sz w:val="27"/>
          <w:szCs w:val="27"/>
        </w:rPr>
        <w:t>噪声源强</w:t>
      </w:r>
    </w:p>
    <w:p w14:paraId="5F5A85E2">
      <w:pPr>
        <w:spacing w:before="234" w:line="219" w:lineRule="auto"/>
        <w:ind w:left="520"/>
        <w:rPr>
          <w:rFonts w:ascii="宋体" w:hAnsi="宋体" w:eastAsia="宋体" w:cs="宋体"/>
          <w:sz w:val="24"/>
          <w:szCs w:val="24"/>
        </w:rPr>
      </w:pPr>
      <w:r>
        <w:rPr>
          <w:rFonts w:ascii="宋体" w:hAnsi="宋体" w:eastAsia="宋体" w:cs="宋体"/>
          <w:spacing w:val="-11"/>
          <w:sz w:val="24"/>
          <w:szCs w:val="24"/>
        </w:rPr>
        <w:t>本项目运营期主要噪声源为猪叫声、通风机、水泵、固液分离</w:t>
      </w:r>
      <w:r>
        <w:rPr>
          <w:rFonts w:ascii="宋体" w:hAnsi="宋体" w:eastAsia="宋体" w:cs="宋体"/>
          <w:spacing w:val="-12"/>
          <w:sz w:val="24"/>
          <w:szCs w:val="24"/>
        </w:rPr>
        <w:t>机、发电机等。</w:t>
      </w:r>
    </w:p>
    <w:p w14:paraId="0B349FC4">
      <w:pPr>
        <w:spacing w:line="219" w:lineRule="auto"/>
        <w:rPr>
          <w:rFonts w:ascii="宋体" w:hAnsi="宋体" w:eastAsia="宋体" w:cs="宋体"/>
          <w:sz w:val="24"/>
          <w:szCs w:val="24"/>
        </w:rPr>
        <w:sectPr>
          <w:headerReference r:id="rId377" w:type="default"/>
          <w:footerReference r:id="rId378" w:type="default"/>
          <w:pgSz w:w="11905" w:h="16840"/>
          <w:pgMar w:top="1168" w:right="1611" w:bottom="1409" w:left="1770" w:header="828" w:footer="1244" w:gutter="0"/>
          <w:cols w:space="720" w:num="1"/>
        </w:sectPr>
      </w:pPr>
    </w:p>
    <w:p w14:paraId="19E9801C">
      <w:pPr>
        <w:pStyle w:val="2"/>
        <w:spacing w:line="305" w:lineRule="auto"/>
      </w:pPr>
    </w:p>
    <w:p w14:paraId="46F3FA13">
      <w:pPr>
        <w:spacing w:before="78" w:line="220" w:lineRule="auto"/>
        <w:ind w:left="43"/>
        <w:rPr>
          <w:rFonts w:ascii="宋体" w:hAnsi="宋体" w:eastAsia="宋体" w:cs="宋体"/>
          <w:sz w:val="24"/>
          <w:szCs w:val="24"/>
        </w:rPr>
      </w:pPr>
      <w:r>
        <w:rPr>
          <w:rFonts w:ascii="宋体" w:hAnsi="宋体" w:eastAsia="宋体" w:cs="宋体"/>
          <w:spacing w:val="-5"/>
          <w:sz w:val="24"/>
          <w:szCs w:val="24"/>
        </w:rPr>
        <w:t>项目噪声治理措施及源强见下表：</w:t>
      </w:r>
    </w:p>
    <w:p w14:paraId="60EBD8D3">
      <w:pPr>
        <w:spacing w:before="196" w:line="221" w:lineRule="auto"/>
        <w:ind w:left="268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7"/>
          <w:sz w:val="21"/>
          <w:szCs w:val="21"/>
        </w:rPr>
        <w:t xml:space="preserve"> </w:t>
      </w:r>
      <w:r>
        <w:rPr>
          <w:rFonts w:ascii="Times New Roman" w:hAnsi="Times New Roman" w:eastAsia="Times New Roman" w:cs="Times New Roman"/>
          <w:spacing w:val="-1"/>
          <w:sz w:val="21"/>
          <w:szCs w:val="21"/>
        </w:rPr>
        <w:t xml:space="preserve">4.2-36  </w:t>
      </w:r>
      <w:r>
        <w:rPr>
          <w:rFonts w:ascii="黑体" w:hAnsi="黑体" w:eastAsia="黑体" w:cs="黑体"/>
          <w:spacing w:val="-1"/>
          <w:sz w:val="21"/>
          <w:szCs w:val="21"/>
        </w:rPr>
        <w:t>噪声污染源源强一览表</w:t>
      </w:r>
    </w:p>
    <w:p w14:paraId="1AFB0BF3">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992"/>
        <w:gridCol w:w="1414"/>
        <w:gridCol w:w="848"/>
        <w:gridCol w:w="2120"/>
        <w:gridCol w:w="1694"/>
        <w:gridCol w:w="667"/>
      </w:tblGrid>
      <w:tr w14:paraId="439F8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85" w:type="dxa"/>
            <w:vAlign w:val="top"/>
          </w:tcPr>
          <w:p w14:paraId="79329AB4">
            <w:pPr>
              <w:spacing w:before="68" w:line="221" w:lineRule="auto"/>
              <w:ind w:left="87"/>
              <w:rPr>
                <w:rFonts w:ascii="宋体" w:hAnsi="宋体" w:eastAsia="宋体" w:cs="宋体"/>
                <w:sz w:val="21"/>
                <w:szCs w:val="21"/>
              </w:rPr>
            </w:pPr>
            <w:r>
              <w:rPr>
                <w:rFonts w:ascii="宋体" w:hAnsi="宋体" w:eastAsia="宋体" w:cs="宋体"/>
                <w:spacing w:val="-2"/>
                <w:sz w:val="21"/>
                <w:szCs w:val="21"/>
              </w:rPr>
              <w:t>序号</w:t>
            </w:r>
          </w:p>
        </w:tc>
        <w:tc>
          <w:tcPr>
            <w:tcW w:w="992" w:type="dxa"/>
            <w:vAlign w:val="top"/>
          </w:tcPr>
          <w:p w14:paraId="75D869B1">
            <w:pPr>
              <w:spacing w:before="69" w:line="220" w:lineRule="auto"/>
              <w:ind w:left="188"/>
              <w:rPr>
                <w:rFonts w:ascii="宋体" w:hAnsi="宋体" w:eastAsia="宋体" w:cs="宋体"/>
                <w:sz w:val="21"/>
                <w:szCs w:val="21"/>
              </w:rPr>
            </w:pPr>
            <w:r>
              <w:rPr>
                <w:rFonts w:ascii="宋体" w:hAnsi="宋体" w:eastAsia="宋体" w:cs="宋体"/>
                <w:spacing w:val="-5"/>
                <w:sz w:val="21"/>
                <w:szCs w:val="21"/>
              </w:rPr>
              <w:t>噪声源</w:t>
            </w:r>
          </w:p>
        </w:tc>
        <w:tc>
          <w:tcPr>
            <w:tcW w:w="1414" w:type="dxa"/>
            <w:vAlign w:val="top"/>
          </w:tcPr>
          <w:p w14:paraId="25ACB226">
            <w:pPr>
              <w:spacing w:before="69" w:line="220" w:lineRule="auto"/>
              <w:ind w:left="191"/>
              <w:rPr>
                <w:rFonts w:ascii="宋体" w:hAnsi="宋体" w:eastAsia="宋体" w:cs="宋体"/>
                <w:sz w:val="21"/>
                <w:szCs w:val="21"/>
              </w:rPr>
            </w:pPr>
            <w:r>
              <w:rPr>
                <w:rFonts w:ascii="宋体" w:hAnsi="宋体" w:eastAsia="宋体" w:cs="宋体"/>
                <w:spacing w:val="-3"/>
                <w:sz w:val="21"/>
                <w:szCs w:val="21"/>
              </w:rPr>
              <w:t>噪声源名称</w:t>
            </w:r>
          </w:p>
        </w:tc>
        <w:tc>
          <w:tcPr>
            <w:tcW w:w="848" w:type="dxa"/>
            <w:vAlign w:val="top"/>
          </w:tcPr>
          <w:p w14:paraId="334C08B8">
            <w:pPr>
              <w:spacing w:before="68" w:line="220" w:lineRule="auto"/>
              <w:ind w:left="215"/>
              <w:rPr>
                <w:rFonts w:ascii="宋体" w:hAnsi="宋体" w:eastAsia="宋体" w:cs="宋体"/>
                <w:sz w:val="21"/>
                <w:szCs w:val="21"/>
              </w:rPr>
            </w:pPr>
            <w:r>
              <w:rPr>
                <w:rFonts w:ascii="宋体" w:hAnsi="宋体" w:eastAsia="宋体" w:cs="宋体"/>
                <w:spacing w:val="-3"/>
                <w:sz w:val="21"/>
                <w:szCs w:val="21"/>
              </w:rPr>
              <w:t>数量</w:t>
            </w:r>
          </w:p>
        </w:tc>
        <w:tc>
          <w:tcPr>
            <w:tcW w:w="2120" w:type="dxa"/>
            <w:vAlign w:val="top"/>
          </w:tcPr>
          <w:p w14:paraId="6EF091F4">
            <w:pPr>
              <w:spacing w:before="69" w:line="220" w:lineRule="auto"/>
              <w:ind w:left="433"/>
              <w:rPr>
                <w:rFonts w:ascii="宋体" w:hAnsi="宋体" w:eastAsia="宋体" w:cs="宋体"/>
                <w:sz w:val="21"/>
                <w:szCs w:val="21"/>
              </w:rPr>
            </w:pPr>
            <w:r>
              <w:rPr>
                <w:rFonts w:ascii="宋体" w:hAnsi="宋体" w:eastAsia="宋体" w:cs="宋体"/>
                <w:spacing w:val="-2"/>
                <w:sz w:val="21"/>
                <w:szCs w:val="21"/>
              </w:rPr>
              <w:t>主要治理措施</w:t>
            </w:r>
          </w:p>
        </w:tc>
        <w:tc>
          <w:tcPr>
            <w:tcW w:w="1694" w:type="dxa"/>
            <w:vAlign w:val="top"/>
          </w:tcPr>
          <w:p w14:paraId="7AAB4FB2">
            <w:pPr>
              <w:pStyle w:val="6"/>
              <w:spacing w:before="69" w:line="212" w:lineRule="auto"/>
              <w:ind w:left="161"/>
            </w:pPr>
            <w:r>
              <w:rPr>
                <w:rFonts w:ascii="宋体" w:hAnsi="宋体" w:eastAsia="宋体" w:cs="宋体"/>
                <w:spacing w:val="-1"/>
              </w:rPr>
              <w:t>排放源强</w:t>
            </w:r>
            <w:r>
              <w:rPr>
                <w:spacing w:val="-1"/>
              </w:rPr>
              <w:t>dB(A)</w:t>
            </w:r>
          </w:p>
        </w:tc>
        <w:tc>
          <w:tcPr>
            <w:tcW w:w="667" w:type="dxa"/>
            <w:vAlign w:val="top"/>
          </w:tcPr>
          <w:p w14:paraId="7106205F">
            <w:pPr>
              <w:spacing w:before="68" w:line="220" w:lineRule="auto"/>
              <w:ind w:left="123"/>
              <w:rPr>
                <w:rFonts w:ascii="宋体" w:hAnsi="宋体" w:eastAsia="宋体" w:cs="宋体"/>
                <w:sz w:val="21"/>
                <w:szCs w:val="21"/>
              </w:rPr>
            </w:pPr>
            <w:r>
              <w:rPr>
                <w:rFonts w:ascii="宋体" w:hAnsi="宋体" w:eastAsia="宋体" w:cs="宋体"/>
                <w:spacing w:val="-3"/>
                <w:sz w:val="21"/>
                <w:szCs w:val="21"/>
              </w:rPr>
              <w:t>特性</w:t>
            </w:r>
          </w:p>
        </w:tc>
      </w:tr>
      <w:tr w14:paraId="682F1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85" w:type="dxa"/>
            <w:vAlign w:val="top"/>
          </w:tcPr>
          <w:p w14:paraId="311D69A9">
            <w:pPr>
              <w:pStyle w:val="6"/>
              <w:spacing w:before="102" w:line="188" w:lineRule="auto"/>
              <w:ind w:left="261"/>
            </w:pPr>
            <w:r>
              <w:t>1</w:t>
            </w:r>
          </w:p>
        </w:tc>
        <w:tc>
          <w:tcPr>
            <w:tcW w:w="992" w:type="dxa"/>
            <w:vMerge w:val="restart"/>
            <w:tcBorders>
              <w:bottom w:val="nil"/>
            </w:tcBorders>
            <w:vAlign w:val="top"/>
          </w:tcPr>
          <w:p w14:paraId="25DDB8D5">
            <w:pPr>
              <w:spacing w:before="239" w:line="220" w:lineRule="auto"/>
              <w:ind w:left="284"/>
              <w:rPr>
                <w:rFonts w:ascii="宋体" w:hAnsi="宋体" w:eastAsia="宋体" w:cs="宋体"/>
                <w:sz w:val="21"/>
                <w:szCs w:val="21"/>
              </w:rPr>
            </w:pPr>
            <w:r>
              <w:rPr>
                <w:rFonts w:ascii="宋体" w:hAnsi="宋体" w:eastAsia="宋体" w:cs="宋体"/>
                <w:spacing w:val="-3"/>
                <w:sz w:val="21"/>
                <w:szCs w:val="21"/>
              </w:rPr>
              <w:t>猪舍</w:t>
            </w:r>
          </w:p>
        </w:tc>
        <w:tc>
          <w:tcPr>
            <w:tcW w:w="1414" w:type="dxa"/>
            <w:vAlign w:val="top"/>
          </w:tcPr>
          <w:p w14:paraId="796E80AF">
            <w:pPr>
              <w:spacing w:before="65" w:line="220" w:lineRule="auto"/>
              <w:ind w:left="496"/>
              <w:rPr>
                <w:rFonts w:ascii="宋体" w:hAnsi="宋体" w:eastAsia="宋体" w:cs="宋体"/>
                <w:sz w:val="21"/>
                <w:szCs w:val="21"/>
              </w:rPr>
            </w:pPr>
            <w:r>
              <w:rPr>
                <w:rFonts w:ascii="宋体" w:hAnsi="宋体" w:eastAsia="宋体" w:cs="宋体"/>
                <w:spacing w:val="-3"/>
                <w:sz w:val="21"/>
                <w:szCs w:val="21"/>
              </w:rPr>
              <w:t>猪叫</w:t>
            </w:r>
          </w:p>
        </w:tc>
        <w:tc>
          <w:tcPr>
            <w:tcW w:w="848" w:type="dxa"/>
            <w:vAlign w:val="top"/>
          </w:tcPr>
          <w:p w14:paraId="06D30BCD">
            <w:pPr>
              <w:pStyle w:val="6"/>
              <w:spacing w:before="97" w:line="192" w:lineRule="auto"/>
              <w:ind w:left="385"/>
            </w:pPr>
            <w:r>
              <w:t>/</w:t>
            </w:r>
          </w:p>
        </w:tc>
        <w:tc>
          <w:tcPr>
            <w:tcW w:w="2120" w:type="dxa"/>
            <w:vAlign w:val="top"/>
          </w:tcPr>
          <w:p w14:paraId="5E0B6A94">
            <w:pPr>
              <w:spacing w:before="64" w:line="220" w:lineRule="auto"/>
              <w:ind w:left="115"/>
              <w:rPr>
                <w:rFonts w:ascii="宋体" w:hAnsi="宋体" w:eastAsia="宋体" w:cs="宋体"/>
                <w:sz w:val="21"/>
                <w:szCs w:val="21"/>
              </w:rPr>
            </w:pPr>
            <w:r>
              <w:rPr>
                <w:rFonts w:ascii="宋体" w:hAnsi="宋体" w:eastAsia="宋体" w:cs="宋体"/>
                <w:spacing w:val="-1"/>
                <w:sz w:val="21"/>
                <w:szCs w:val="21"/>
              </w:rPr>
              <w:t>加强管理、墙体隔音</w:t>
            </w:r>
          </w:p>
        </w:tc>
        <w:tc>
          <w:tcPr>
            <w:tcW w:w="1694" w:type="dxa"/>
            <w:vAlign w:val="top"/>
          </w:tcPr>
          <w:p w14:paraId="136060BF">
            <w:pPr>
              <w:pStyle w:val="6"/>
              <w:spacing w:before="104" w:line="185" w:lineRule="auto"/>
              <w:ind w:left="681"/>
            </w:pPr>
            <w:r>
              <w:rPr>
                <w:spacing w:val="-1"/>
              </w:rPr>
              <w:t>~55</w:t>
            </w:r>
          </w:p>
        </w:tc>
        <w:tc>
          <w:tcPr>
            <w:tcW w:w="667" w:type="dxa"/>
            <w:vAlign w:val="top"/>
          </w:tcPr>
          <w:p w14:paraId="0FC327F4">
            <w:pPr>
              <w:spacing w:before="65" w:line="220" w:lineRule="auto"/>
              <w:ind w:left="124"/>
              <w:rPr>
                <w:rFonts w:ascii="宋体" w:hAnsi="宋体" w:eastAsia="宋体" w:cs="宋体"/>
                <w:sz w:val="21"/>
                <w:szCs w:val="21"/>
              </w:rPr>
            </w:pPr>
            <w:r>
              <w:rPr>
                <w:rFonts w:ascii="宋体" w:hAnsi="宋体" w:eastAsia="宋体" w:cs="宋体"/>
                <w:spacing w:val="-3"/>
                <w:sz w:val="21"/>
                <w:szCs w:val="21"/>
              </w:rPr>
              <w:t>频发</w:t>
            </w:r>
          </w:p>
        </w:tc>
      </w:tr>
      <w:tr w14:paraId="2F8A7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5" w:type="dxa"/>
            <w:vAlign w:val="top"/>
          </w:tcPr>
          <w:p w14:paraId="0EE49FE1">
            <w:pPr>
              <w:pStyle w:val="6"/>
              <w:spacing w:before="103" w:line="188" w:lineRule="auto"/>
              <w:ind w:left="241"/>
            </w:pPr>
            <w:r>
              <w:t>2</w:t>
            </w:r>
          </w:p>
        </w:tc>
        <w:tc>
          <w:tcPr>
            <w:tcW w:w="992" w:type="dxa"/>
            <w:vMerge w:val="continue"/>
            <w:tcBorders>
              <w:top w:val="nil"/>
            </w:tcBorders>
            <w:vAlign w:val="top"/>
          </w:tcPr>
          <w:p w14:paraId="7FBCF2E3">
            <w:pPr>
              <w:rPr>
                <w:rFonts w:ascii="Arial"/>
                <w:sz w:val="21"/>
              </w:rPr>
            </w:pPr>
          </w:p>
        </w:tc>
        <w:tc>
          <w:tcPr>
            <w:tcW w:w="1414" w:type="dxa"/>
            <w:vAlign w:val="top"/>
          </w:tcPr>
          <w:p w14:paraId="7A929D5D">
            <w:pPr>
              <w:spacing w:before="66" w:line="219" w:lineRule="auto"/>
              <w:ind w:left="391"/>
              <w:rPr>
                <w:rFonts w:ascii="宋体" w:hAnsi="宋体" w:eastAsia="宋体" w:cs="宋体"/>
                <w:sz w:val="21"/>
                <w:szCs w:val="21"/>
              </w:rPr>
            </w:pPr>
            <w:r>
              <w:rPr>
                <w:rFonts w:ascii="宋体" w:hAnsi="宋体" w:eastAsia="宋体" w:cs="宋体"/>
                <w:spacing w:val="-2"/>
                <w:sz w:val="21"/>
                <w:szCs w:val="21"/>
              </w:rPr>
              <w:t>通风机</w:t>
            </w:r>
          </w:p>
        </w:tc>
        <w:tc>
          <w:tcPr>
            <w:tcW w:w="848" w:type="dxa"/>
            <w:vAlign w:val="top"/>
          </w:tcPr>
          <w:p w14:paraId="765CE0D6">
            <w:pPr>
              <w:pStyle w:val="6"/>
              <w:spacing w:before="103" w:line="188" w:lineRule="auto"/>
              <w:ind w:left="266"/>
            </w:pPr>
            <w:r>
              <w:rPr>
                <w:spacing w:val="-3"/>
              </w:rPr>
              <w:t>397</w:t>
            </w:r>
          </w:p>
        </w:tc>
        <w:tc>
          <w:tcPr>
            <w:tcW w:w="2120" w:type="dxa"/>
            <w:vAlign w:val="top"/>
          </w:tcPr>
          <w:p w14:paraId="2C5F07D4">
            <w:pPr>
              <w:spacing w:before="66" w:line="221" w:lineRule="auto"/>
              <w:ind w:left="114"/>
              <w:rPr>
                <w:rFonts w:ascii="宋体" w:hAnsi="宋体" w:eastAsia="宋体" w:cs="宋体"/>
                <w:sz w:val="21"/>
                <w:szCs w:val="21"/>
              </w:rPr>
            </w:pPr>
            <w:r>
              <w:rPr>
                <w:rFonts w:ascii="宋体" w:hAnsi="宋体" w:eastAsia="宋体" w:cs="宋体"/>
                <w:spacing w:val="-1"/>
                <w:sz w:val="21"/>
                <w:szCs w:val="21"/>
              </w:rPr>
              <w:t>低噪设备、墙体隔音</w:t>
            </w:r>
          </w:p>
        </w:tc>
        <w:tc>
          <w:tcPr>
            <w:tcW w:w="1694" w:type="dxa"/>
            <w:vAlign w:val="top"/>
          </w:tcPr>
          <w:p w14:paraId="69AB85A7">
            <w:pPr>
              <w:pStyle w:val="6"/>
              <w:spacing w:before="103" w:line="188" w:lineRule="auto"/>
              <w:ind w:left="606"/>
            </w:pPr>
            <w:r>
              <w:rPr>
                <w:spacing w:val="-2"/>
              </w:rPr>
              <w:t>55-65</w:t>
            </w:r>
          </w:p>
        </w:tc>
        <w:tc>
          <w:tcPr>
            <w:tcW w:w="667" w:type="dxa"/>
            <w:vAlign w:val="top"/>
          </w:tcPr>
          <w:p w14:paraId="155BC18D">
            <w:pPr>
              <w:spacing w:before="66" w:line="219" w:lineRule="auto"/>
              <w:ind w:left="124"/>
              <w:rPr>
                <w:rFonts w:ascii="宋体" w:hAnsi="宋体" w:eastAsia="宋体" w:cs="宋体"/>
                <w:sz w:val="21"/>
                <w:szCs w:val="21"/>
              </w:rPr>
            </w:pPr>
            <w:r>
              <w:rPr>
                <w:rFonts w:ascii="宋体" w:hAnsi="宋体" w:eastAsia="宋体" w:cs="宋体"/>
                <w:spacing w:val="-3"/>
                <w:sz w:val="21"/>
                <w:szCs w:val="21"/>
              </w:rPr>
              <w:t>偶发</w:t>
            </w:r>
          </w:p>
        </w:tc>
      </w:tr>
      <w:tr w14:paraId="07836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5" w:type="dxa"/>
            <w:vAlign w:val="top"/>
          </w:tcPr>
          <w:p w14:paraId="5493A7BB">
            <w:pPr>
              <w:pStyle w:val="6"/>
              <w:spacing w:before="103" w:line="188" w:lineRule="auto"/>
              <w:ind w:left="246"/>
            </w:pPr>
            <w:r>
              <w:t>3</w:t>
            </w:r>
          </w:p>
        </w:tc>
        <w:tc>
          <w:tcPr>
            <w:tcW w:w="992" w:type="dxa"/>
            <w:vMerge w:val="restart"/>
            <w:tcBorders>
              <w:bottom w:val="nil"/>
            </w:tcBorders>
            <w:vAlign w:val="top"/>
          </w:tcPr>
          <w:p w14:paraId="326821F7">
            <w:pPr>
              <w:spacing w:before="241" w:line="220" w:lineRule="auto"/>
              <w:ind w:left="76"/>
              <w:rPr>
                <w:rFonts w:ascii="宋体" w:hAnsi="宋体" w:eastAsia="宋体" w:cs="宋体"/>
                <w:sz w:val="21"/>
                <w:szCs w:val="21"/>
              </w:rPr>
            </w:pPr>
            <w:r>
              <w:rPr>
                <w:rFonts w:ascii="宋体" w:hAnsi="宋体" w:eastAsia="宋体" w:cs="宋体"/>
                <w:spacing w:val="-2"/>
                <w:sz w:val="21"/>
                <w:szCs w:val="21"/>
              </w:rPr>
              <w:t>粪污处理</w:t>
            </w:r>
          </w:p>
        </w:tc>
        <w:tc>
          <w:tcPr>
            <w:tcW w:w="1414" w:type="dxa"/>
            <w:vAlign w:val="top"/>
          </w:tcPr>
          <w:p w14:paraId="42E8A3F6">
            <w:pPr>
              <w:spacing w:before="66" w:line="220" w:lineRule="auto"/>
              <w:ind w:left="498"/>
              <w:rPr>
                <w:rFonts w:ascii="宋体" w:hAnsi="宋体" w:eastAsia="宋体" w:cs="宋体"/>
                <w:sz w:val="21"/>
                <w:szCs w:val="21"/>
              </w:rPr>
            </w:pPr>
            <w:r>
              <w:rPr>
                <w:rFonts w:ascii="宋体" w:hAnsi="宋体" w:eastAsia="宋体" w:cs="宋体"/>
                <w:spacing w:val="-3"/>
                <w:sz w:val="21"/>
                <w:szCs w:val="21"/>
              </w:rPr>
              <w:t>水泵</w:t>
            </w:r>
          </w:p>
        </w:tc>
        <w:tc>
          <w:tcPr>
            <w:tcW w:w="848" w:type="dxa"/>
            <w:vAlign w:val="top"/>
          </w:tcPr>
          <w:p w14:paraId="072D5B50">
            <w:pPr>
              <w:pStyle w:val="6"/>
              <w:spacing w:before="103" w:line="188" w:lineRule="auto"/>
              <w:ind w:left="334"/>
            </w:pPr>
            <w:r>
              <w:rPr>
                <w:spacing w:val="-12"/>
              </w:rPr>
              <w:t>10</w:t>
            </w:r>
          </w:p>
        </w:tc>
        <w:tc>
          <w:tcPr>
            <w:tcW w:w="2120" w:type="dxa"/>
            <w:vAlign w:val="top"/>
          </w:tcPr>
          <w:p w14:paraId="2E32CF1D">
            <w:pPr>
              <w:spacing w:before="66" w:line="220" w:lineRule="auto"/>
              <w:ind w:left="114"/>
              <w:rPr>
                <w:rFonts w:ascii="宋体" w:hAnsi="宋体" w:eastAsia="宋体" w:cs="宋体"/>
                <w:sz w:val="21"/>
                <w:szCs w:val="21"/>
              </w:rPr>
            </w:pPr>
            <w:r>
              <w:rPr>
                <w:rFonts w:ascii="宋体" w:hAnsi="宋体" w:eastAsia="宋体" w:cs="宋体"/>
                <w:spacing w:val="-1"/>
                <w:sz w:val="21"/>
                <w:szCs w:val="21"/>
              </w:rPr>
              <w:t>低噪设备、潜水安装</w:t>
            </w:r>
          </w:p>
        </w:tc>
        <w:tc>
          <w:tcPr>
            <w:tcW w:w="1694" w:type="dxa"/>
            <w:vAlign w:val="top"/>
          </w:tcPr>
          <w:p w14:paraId="5721E614">
            <w:pPr>
              <w:pStyle w:val="6"/>
              <w:spacing w:before="103" w:line="188" w:lineRule="auto"/>
              <w:ind w:left="744"/>
            </w:pPr>
            <w:r>
              <w:rPr>
                <w:spacing w:val="-2"/>
              </w:rPr>
              <w:t>70</w:t>
            </w:r>
          </w:p>
        </w:tc>
        <w:tc>
          <w:tcPr>
            <w:tcW w:w="667" w:type="dxa"/>
            <w:vAlign w:val="top"/>
          </w:tcPr>
          <w:p w14:paraId="00BA5FD1">
            <w:pPr>
              <w:spacing w:before="67" w:line="220" w:lineRule="auto"/>
              <w:ind w:left="124"/>
              <w:rPr>
                <w:rFonts w:ascii="宋体" w:hAnsi="宋体" w:eastAsia="宋体" w:cs="宋体"/>
                <w:sz w:val="21"/>
                <w:szCs w:val="21"/>
              </w:rPr>
            </w:pPr>
            <w:r>
              <w:rPr>
                <w:rFonts w:ascii="宋体" w:hAnsi="宋体" w:eastAsia="宋体" w:cs="宋体"/>
                <w:spacing w:val="-3"/>
                <w:sz w:val="21"/>
                <w:szCs w:val="21"/>
              </w:rPr>
              <w:t>频发</w:t>
            </w:r>
          </w:p>
        </w:tc>
      </w:tr>
      <w:tr w14:paraId="101B9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5" w:type="dxa"/>
            <w:vAlign w:val="top"/>
          </w:tcPr>
          <w:p w14:paraId="5DBBF07E">
            <w:pPr>
              <w:pStyle w:val="6"/>
              <w:spacing w:before="104" w:line="188" w:lineRule="auto"/>
              <w:ind w:left="240"/>
            </w:pPr>
            <w:r>
              <w:t>4</w:t>
            </w:r>
          </w:p>
        </w:tc>
        <w:tc>
          <w:tcPr>
            <w:tcW w:w="992" w:type="dxa"/>
            <w:vMerge w:val="continue"/>
            <w:tcBorders>
              <w:top w:val="nil"/>
            </w:tcBorders>
            <w:vAlign w:val="top"/>
          </w:tcPr>
          <w:p w14:paraId="740C89D7">
            <w:pPr>
              <w:rPr>
                <w:rFonts w:ascii="Arial"/>
                <w:sz w:val="21"/>
              </w:rPr>
            </w:pPr>
          </w:p>
        </w:tc>
        <w:tc>
          <w:tcPr>
            <w:tcW w:w="1414" w:type="dxa"/>
            <w:vAlign w:val="top"/>
          </w:tcPr>
          <w:p w14:paraId="7AEFF2FC">
            <w:pPr>
              <w:spacing w:before="67" w:line="219" w:lineRule="auto"/>
              <w:ind w:left="199"/>
              <w:rPr>
                <w:rFonts w:ascii="宋体" w:hAnsi="宋体" w:eastAsia="宋体" w:cs="宋体"/>
                <w:sz w:val="21"/>
                <w:szCs w:val="21"/>
              </w:rPr>
            </w:pPr>
            <w:r>
              <w:rPr>
                <w:rFonts w:ascii="宋体" w:hAnsi="宋体" w:eastAsia="宋体" w:cs="宋体"/>
                <w:spacing w:val="-5"/>
                <w:sz w:val="21"/>
                <w:szCs w:val="21"/>
              </w:rPr>
              <w:t>固液分离机</w:t>
            </w:r>
          </w:p>
        </w:tc>
        <w:tc>
          <w:tcPr>
            <w:tcW w:w="848" w:type="dxa"/>
            <w:vAlign w:val="top"/>
          </w:tcPr>
          <w:p w14:paraId="1BDA5DB1">
            <w:pPr>
              <w:pStyle w:val="6"/>
              <w:spacing w:before="104" w:line="188" w:lineRule="auto"/>
              <w:ind w:left="367"/>
            </w:pPr>
            <w:r>
              <w:t>2</w:t>
            </w:r>
          </w:p>
        </w:tc>
        <w:tc>
          <w:tcPr>
            <w:tcW w:w="2120" w:type="dxa"/>
            <w:vAlign w:val="top"/>
          </w:tcPr>
          <w:p w14:paraId="37777494">
            <w:pPr>
              <w:spacing w:before="67" w:line="221" w:lineRule="auto"/>
              <w:ind w:left="114"/>
              <w:rPr>
                <w:rFonts w:ascii="宋体" w:hAnsi="宋体" w:eastAsia="宋体" w:cs="宋体"/>
                <w:sz w:val="21"/>
                <w:szCs w:val="21"/>
              </w:rPr>
            </w:pPr>
            <w:r>
              <w:rPr>
                <w:rFonts w:ascii="宋体" w:hAnsi="宋体" w:eastAsia="宋体" w:cs="宋体"/>
                <w:spacing w:val="-1"/>
                <w:sz w:val="21"/>
                <w:szCs w:val="21"/>
              </w:rPr>
              <w:t>低噪设备、墙体隔音</w:t>
            </w:r>
          </w:p>
        </w:tc>
        <w:tc>
          <w:tcPr>
            <w:tcW w:w="1694" w:type="dxa"/>
            <w:vAlign w:val="top"/>
          </w:tcPr>
          <w:p w14:paraId="0E929800">
            <w:pPr>
              <w:pStyle w:val="6"/>
              <w:spacing w:before="103" w:line="188" w:lineRule="auto"/>
              <w:ind w:left="744"/>
            </w:pPr>
            <w:r>
              <w:rPr>
                <w:spacing w:val="-2"/>
              </w:rPr>
              <w:t>70</w:t>
            </w:r>
          </w:p>
        </w:tc>
        <w:tc>
          <w:tcPr>
            <w:tcW w:w="667" w:type="dxa"/>
            <w:vAlign w:val="top"/>
          </w:tcPr>
          <w:p w14:paraId="1B9A8BDA">
            <w:pPr>
              <w:spacing w:before="67" w:line="220" w:lineRule="auto"/>
              <w:ind w:left="124"/>
              <w:rPr>
                <w:rFonts w:ascii="宋体" w:hAnsi="宋体" w:eastAsia="宋体" w:cs="宋体"/>
                <w:sz w:val="21"/>
                <w:szCs w:val="21"/>
              </w:rPr>
            </w:pPr>
            <w:r>
              <w:rPr>
                <w:rFonts w:ascii="宋体" w:hAnsi="宋体" w:eastAsia="宋体" w:cs="宋体"/>
                <w:spacing w:val="-3"/>
                <w:sz w:val="21"/>
                <w:szCs w:val="21"/>
              </w:rPr>
              <w:t>频发</w:t>
            </w:r>
          </w:p>
        </w:tc>
      </w:tr>
      <w:tr w14:paraId="699F3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5" w:type="dxa"/>
            <w:vAlign w:val="top"/>
          </w:tcPr>
          <w:p w14:paraId="7969728E">
            <w:pPr>
              <w:pStyle w:val="6"/>
              <w:spacing w:before="107" w:line="185" w:lineRule="auto"/>
              <w:ind w:left="247"/>
            </w:pPr>
            <w:r>
              <w:t>5</w:t>
            </w:r>
          </w:p>
        </w:tc>
        <w:tc>
          <w:tcPr>
            <w:tcW w:w="992" w:type="dxa"/>
            <w:vAlign w:val="top"/>
          </w:tcPr>
          <w:p w14:paraId="66AC4647">
            <w:pPr>
              <w:spacing w:before="67" w:line="220" w:lineRule="auto"/>
              <w:ind w:left="76"/>
              <w:rPr>
                <w:rFonts w:ascii="宋体" w:hAnsi="宋体" w:eastAsia="宋体" w:cs="宋体"/>
                <w:sz w:val="21"/>
                <w:szCs w:val="21"/>
              </w:rPr>
            </w:pPr>
            <w:r>
              <w:rPr>
                <w:rFonts w:ascii="宋体" w:hAnsi="宋体" w:eastAsia="宋体" w:cs="宋体"/>
                <w:spacing w:val="-2"/>
                <w:sz w:val="21"/>
                <w:szCs w:val="21"/>
              </w:rPr>
              <w:t>生物除臭</w:t>
            </w:r>
          </w:p>
        </w:tc>
        <w:tc>
          <w:tcPr>
            <w:tcW w:w="1414" w:type="dxa"/>
            <w:vAlign w:val="top"/>
          </w:tcPr>
          <w:p w14:paraId="7677CF2F">
            <w:pPr>
              <w:spacing w:before="67" w:line="219" w:lineRule="auto"/>
              <w:ind w:left="497"/>
              <w:rPr>
                <w:rFonts w:ascii="宋体" w:hAnsi="宋体" w:eastAsia="宋体" w:cs="宋体"/>
                <w:sz w:val="21"/>
                <w:szCs w:val="21"/>
              </w:rPr>
            </w:pPr>
            <w:r>
              <w:rPr>
                <w:rFonts w:ascii="宋体" w:hAnsi="宋体" w:eastAsia="宋体" w:cs="宋体"/>
                <w:spacing w:val="-3"/>
                <w:sz w:val="21"/>
                <w:szCs w:val="21"/>
              </w:rPr>
              <w:t>风机</w:t>
            </w:r>
          </w:p>
        </w:tc>
        <w:tc>
          <w:tcPr>
            <w:tcW w:w="848" w:type="dxa"/>
            <w:vAlign w:val="top"/>
          </w:tcPr>
          <w:p w14:paraId="55AA00C8">
            <w:pPr>
              <w:pStyle w:val="6"/>
              <w:spacing w:before="104" w:line="188" w:lineRule="auto"/>
              <w:ind w:left="367"/>
            </w:pPr>
            <w:r>
              <w:t>2</w:t>
            </w:r>
          </w:p>
        </w:tc>
        <w:tc>
          <w:tcPr>
            <w:tcW w:w="2120" w:type="dxa"/>
            <w:vAlign w:val="top"/>
          </w:tcPr>
          <w:p w14:paraId="4ACB3040">
            <w:pPr>
              <w:spacing w:before="67" w:line="220" w:lineRule="auto"/>
              <w:ind w:left="115"/>
              <w:rPr>
                <w:rFonts w:ascii="宋体" w:hAnsi="宋体" w:eastAsia="宋体" w:cs="宋体"/>
                <w:sz w:val="21"/>
                <w:szCs w:val="21"/>
              </w:rPr>
            </w:pPr>
            <w:r>
              <w:rPr>
                <w:rFonts w:ascii="宋体" w:hAnsi="宋体" w:eastAsia="宋体" w:cs="宋体"/>
                <w:spacing w:val="-1"/>
                <w:sz w:val="21"/>
                <w:szCs w:val="21"/>
              </w:rPr>
              <w:t>减震基础、设消声器</w:t>
            </w:r>
          </w:p>
        </w:tc>
        <w:tc>
          <w:tcPr>
            <w:tcW w:w="1694" w:type="dxa"/>
            <w:vAlign w:val="top"/>
          </w:tcPr>
          <w:p w14:paraId="211A7FE4">
            <w:pPr>
              <w:pStyle w:val="6"/>
              <w:spacing w:before="107" w:line="185" w:lineRule="auto"/>
              <w:ind w:left="744"/>
            </w:pPr>
            <w:r>
              <w:rPr>
                <w:spacing w:val="-2"/>
              </w:rPr>
              <w:t>75</w:t>
            </w:r>
          </w:p>
        </w:tc>
        <w:tc>
          <w:tcPr>
            <w:tcW w:w="667" w:type="dxa"/>
            <w:vAlign w:val="top"/>
          </w:tcPr>
          <w:p w14:paraId="15A20A36">
            <w:pPr>
              <w:spacing w:before="67" w:line="220" w:lineRule="auto"/>
              <w:ind w:left="124"/>
              <w:rPr>
                <w:rFonts w:ascii="宋体" w:hAnsi="宋体" w:eastAsia="宋体" w:cs="宋体"/>
                <w:sz w:val="21"/>
                <w:szCs w:val="21"/>
              </w:rPr>
            </w:pPr>
            <w:r>
              <w:rPr>
                <w:rFonts w:ascii="宋体" w:hAnsi="宋体" w:eastAsia="宋体" w:cs="宋体"/>
                <w:spacing w:val="-3"/>
                <w:sz w:val="21"/>
                <w:szCs w:val="21"/>
              </w:rPr>
              <w:t>频发</w:t>
            </w:r>
          </w:p>
        </w:tc>
      </w:tr>
      <w:tr w14:paraId="3E811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5" w:type="dxa"/>
            <w:vAlign w:val="top"/>
          </w:tcPr>
          <w:p w14:paraId="12E232BA">
            <w:pPr>
              <w:pStyle w:val="6"/>
              <w:spacing w:before="104" w:line="188" w:lineRule="auto"/>
              <w:ind w:left="246"/>
            </w:pPr>
            <w:r>
              <w:t>6</w:t>
            </w:r>
          </w:p>
        </w:tc>
        <w:tc>
          <w:tcPr>
            <w:tcW w:w="992" w:type="dxa"/>
            <w:vAlign w:val="top"/>
          </w:tcPr>
          <w:p w14:paraId="4695D892">
            <w:pPr>
              <w:spacing w:before="67" w:line="219" w:lineRule="auto"/>
              <w:ind w:left="77"/>
              <w:rPr>
                <w:rFonts w:ascii="宋体" w:hAnsi="宋体" w:eastAsia="宋体" w:cs="宋体"/>
                <w:sz w:val="21"/>
                <w:szCs w:val="21"/>
              </w:rPr>
            </w:pPr>
            <w:r>
              <w:rPr>
                <w:rFonts w:ascii="宋体" w:hAnsi="宋体" w:eastAsia="宋体" w:cs="宋体"/>
                <w:spacing w:val="-3"/>
                <w:sz w:val="21"/>
                <w:szCs w:val="21"/>
              </w:rPr>
              <w:t>发电机房</w:t>
            </w:r>
          </w:p>
        </w:tc>
        <w:tc>
          <w:tcPr>
            <w:tcW w:w="1414" w:type="dxa"/>
            <w:vAlign w:val="top"/>
          </w:tcPr>
          <w:p w14:paraId="208077A0">
            <w:pPr>
              <w:spacing w:before="67" w:line="219" w:lineRule="auto"/>
              <w:ind w:left="395"/>
              <w:rPr>
                <w:rFonts w:ascii="宋体" w:hAnsi="宋体" w:eastAsia="宋体" w:cs="宋体"/>
                <w:sz w:val="21"/>
                <w:szCs w:val="21"/>
              </w:rPr>
            </w:pPr>
            <w:r>
              <w:rPr>
                <w:rFonts w:ascii="宋体" w:hAnsi="宋体" w:eastAsia="宋体" w:cs="宋体"/>
                <w:spacing w:val="-3"/>
                <w:sz w:val="21"/>
                <w:szCs w:val="21"/>
              </w:rPr>
              <w:t>发电机</w:t>
            </w:r>
          </w:p>
        </w:tc>
        <w:tc>
          <w:tcPr>
            <w:tcW w:w="848" w:type="dxa"/>
            <w:vAlign w:val="top"/>
          </w:tcPr>
          <w:p w14:paraId="42228CDC">
            <w:pPr>
              <w:pStyle w:val="6"/>
              <w:spacing w:before="104" w:line="188" w:lineRule="auto"/>
              <w:ind w:left="367"/>
            </w:pPr>
            <w:r>
              <w:t>2</w:t>
            </w:r>
          </w:p>
        </w:tc>
        <w:tc>
          <w:tcPr>
            <w:tcW w:w="2120" w:type="dxa"/>
            <w:vAlign w:val="top"/>
          </w:tcPr>
          <w:p w14:paraId="4ED7B2DF">
            <w:pPr>
              <w:spacing w:before="68" w:line="220" w:lineRule="auto"/>
              <w:ind w:left="115"/>
              <w:rPr>
                <w:rFonts w:ascii="宋体" w:hAnsi="宋体" w:eastAsia="宋体" w:cs="宋体"/>
                <w:sz w:val="21"/>
                <w:szCs w:val="21"/>
              </w:rPr>
            </w:pPr>
            <w:r>
              <w:rPr>
                <w:rFonts w:ascii="宋体" w:hAnsi="宋体" w:eastAsia="宋体" w:cs="宋体"/>
                <w:spacing w:val="-1"/>
                <w:sz w:val="21"/>
                <w:szCs w:val="21"/>
              </w:rPr>
              <w:t>减震消音、墙体隔音</w:t>
            </w:r>
          </w:p>
        </w:tc>
        <w:tc>
          <w:tcPr>
            <w:tcW w:w="1694" w:type="dxa"/>
            <w:vAlign w:val="top"/>
          </w:tcPr>
          <w:p w14:paraId="23305C95">
            <w:pPr>
              <w:pStyle w:val="6"/>
              <w:spacing w:before="107" w:line="185" w:lineRule="auto"/>
              <w:ind w:left="744"/>
            </w:pPr>
            <w:r>
              <w:rPr>
                <w:spacing w:val="-2"/>
              </w:rPr>
              <w:t>75</w:t>
            </w:r>
          </w:p>
        </w:tc>
        <w:tc>
          <w:tcPr>
            <w:tcW w:w="667" w:type="dxa"/>
            <w:vAlign w:val="top"/>
          </w:tcPr>
          <w:p w14:paraId="44903233">
            <w:pPr>
              <w:spacing w:before="67" w:line="219" w:lineRule="auto"/>
              <w:ind w:left="124"/>
              <w:rPr>
                <w:rFonts w:ascii="宋体" w:hAnsi="宋体" w:eastAsia="宋体" w:cs="宋体"/>
                <w:sz w:val="21"/>
                <w:szCs w:val="21"/>
              </w:rPr>
            </w:pPr>
            <w:r>
              <w:rPr>
                <w:rFonts w:ascii="宋体" w:hAnsi="宋体" w:eastAsia="宋体" w:cs="宋体"/>
                <w:spacing w:val="-3"/>
                <w:sz w:val="21"/>
                <w:szCs w:val="21"/>
              </w:rPr>
              <w:t>偶发</w:t>
            </w:r>
          </w:p>
        </w:tc>
      </w:tr>
      <w:tr w14:paraId="6999D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5" w:type="dxa"/>
            <w:vAlign w:val="top"/>
          </w:tcPr>
          <w:p w14:paraId="7BC51359">
            <w:pPr>
              <w:pStyle w:val="6"/>
              <w:spacing w:before="107" w:line="185" w:lineRule="auto"/>
              <w:ind w:left="245"/>
            </w:pPr>
            <w:r>
              <w:t>7</w:t>
            </w:r>
          </w:p>
        </w:tc>
        <w:tc>
          <w:tcPr>
            <w:tcW w:w="992" w:type="dxa"/>
            <w:vAlign w:val="top"/>
          </w:tcPr>
          <w:p w14:paraId="408B7845">
            <w:pPr>
              <w:spacing w:before="67" w:line="220" w:lineRule="auto"/>
              <w:ind w:left="73"/>
              <w:rPr>
                <w:rFonts w:ascii="宋体" w:hAnsi="宋体" w:eastAsia="宋体" w:cs="宋体"/>
                <w:sz w:val="21"/>
                <w:szCs w:val="21"/>
              </w:rPr>
            </w:pPr>
            <w:r>
              <w:rPr>
                <w:rFonts w:ascii="宋体" w:hAnsi="宋体" w:eastAsia="宋体" w:cs="宋体"/>
                <w:spacing w:val="-2"/>
                <w:sz w:val="21"/>
                <w:szCs w:val="21"/>
              </w:rPr>
              <w:t>场内道路</w:t>
            </w:r>
          </w:p>
        </w:tc>
        <w:tc>
          <w:tcPr>
            <w:tcW w:w="1414" w:type="dxa"/>
            <w:vAlign w:val="top"/>
          </w:tcPr>
          <w:p w14:paraId="76239787">
            <w:pPr>
              <w:spacing w:before="67" w:line="220" w:lineRule="auto"/>
              <w:ind w:left="496"/>
              <w:rPr>
                <w:rFonts w:ascii="宋体" w:hAnsi="宋体" w:eastAsia="宋体" w:cs="宋体"/>
                <w:sz w:val="21"/>
                <w:szCs w:val="21"/>
              </w:rPr>
            </w:pPr>
            <w:r>
              <w:rPr>
                <w:rFonts w:ascii="宋体" w:hAnsi="宋体" w:eastAsia="宋体" w:cs="宋体"/>
                <w:spacing w:val="-3"/>
                <w:sz w:val="21"/>
                <w:szCs w:val="21"/>
              </w:rPr>
              <w:t>汽车</w:t>
            </w:r>
          </w:p>
        </w:tc>
        <w:tc>
          <w:tcPr>
            <w:tcW w:w="848" w:type="dxa"/>
            <w:vAlign w:val="top"/>
          </w:tcPr>
          <w:p w14:paraId="137BF71E">
            <w:pPr>
              <w:pStyle w:val="6"/>
              <w:spacing w:before="100" w:line="192" w:lineRule="auto"/>
              <w:ind w:left="385"/>
            </w:pPr>
            <w:r>
              <w:t>/</w:t>
            </w:r>
          </w:p>
        </w:tc>
        <w:tc>
          <w:tcPr>
            <w:tcW w:w="2120" w:type="dxa"/>
            <w:vAlign w:val="top"/>
          </w:tcPr>
          <w:p w14:paraId="44C449F3">
            <w:pPr>
              <w:spacing w:before="67" w:line="220" w:lineRule="auto"/>
              <w:ind w:left="656"/>
              <w:rPr>
                <w:rFonts w:ascii="宋体" w:hAnsi="宋体" w:eastAsia="宋体" w:cs="宋体"/>
                <w:sz w:val="21"/>
                <w:szCs w:val="21"/>
              </w:rPr>
            </w:pPr>
            <w:r>
              <w:rPr>
                <w:rFonts w:ascii="宋体" w:hAnsi="宋体" w:eastAsia="宋体" w:cs="宋体"/>
                <w:spacing w:val="-5"/>
                <w:sz w:val="21"/>
                <w:szCs w:val="21"/>
              </w:rPr>
              <w:t>限速禁鸣</w:t>
            </w:r>
          </w:p>
        </w:tc>
        <w:tc>
          <w:tcPr>
            <w:tcW w:w="1694" w:type="dxa"/>
            <w:vAlign w:val="top"/>
          </w:tcPr>
          <w:p w14:paraId="78837968">
            <w:pPr>
              <w:pStyle w:val="6"/>
              <w:spacing w:before="104" w:line="188" w:lineRule="auto"/>
              <w:ind w:left="605"/>
            </w:pPr>
            <w:r>
              <w:rPr>
                <w:spacing w:val="-2"/>
              </w:rPr>
              <w:t>65-75</w:t>
            </w:r>
          </w:p>
        </w:tc>
        <w:tc>
          <w:tcPr>
            <w:tcW w:w="667" w:type="dxa"/>
            <w:vAlign w:val="top"/>
          </w:tcPr>
          <w:p w14:paraId="240EA5DB">
            <w:pPr>
              <w:spacing w:before="68" w:line="219" w:lineRule="auto"/>
              <w:ind w:left="124"/>
              <w:rPr>
                <w:rFonts w:ascii="宋体" w:hAnsi="宋体" w:eastAsia="宋体" w:cs="宋体"/>
                <w:sz w:val="21"/>
                <w:szCs w:val="21"/>
              </w:rPr>
            </w:pPr>
            <w:r>
              <w:rPr>
                <w:rFonts w:ascii="宋体" w:hAnsi="宋体" w:eastAsia="宋体" w:cs="宋体"/>
                <w:spacing w:val="-3"/>
                <w:sz w:val="21"/>
                <w:szCs w:val="21"/>
              </w:rPr>
              <w:t>偶发</w:t>
            </w:r>
          </w:p>
        </w:tc>
      </w:tr>
      <w:tr w14:paraId="5223B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85" w:type="dxa"/>
            <w:vAlign w:val="top"/>
          </w:tcPr>
          <w:p w14:paraId="017DFA05">
            <w:pPr>
              <w:pStyle w:val="6"/>
              <w:spacing w:before="105" w:line="188" w:lineRule="auto"/>
              <w:ind w:left="250"/>
            </w:pPr>
            <w:r>
              <w:t>8</w:t>
            </w:r>
          </w:p>
        </w:tc>
        <w:tc>
          <w:tcPr>
            <w:tcW w:w="992" w:type="dxa"/>
            <w:vAlign w:val="top"/>
          </w:tcPr>
          <w:p w14:paraId="522C665B">
            <w:pPr>
              <w:spacing w:before="68" w:line="221" w:lineRule="auto"/>
              <w:ind w:left="183"/>
              <w:rPr>
                <w:rFonts w:ascii="宋体" w:hAnsi="宋体" w:eastAsia="宋体" w:cs="宋体"/>
                <w:sz w:val="21"/>
                <w:szCs w:val="21"/>
              </w:rPr>
            </w:pPr>
            <w:r>
              <w:rPr>
                <w:rFonts w:ascii="宋体" w:hAnsi="宋体" w:eastAsia="宋体" w:cs="宋体"/>
                <w:spacing w:val="-3"/>
                <w:sz w:val="21"/>
                <w:szCs w:val="21"/>
              </w:rPr>
              <w:t>消纳地</w:t>
            </w:r>
          </w:p>
        </w:tc>
        <w:tc>
          <w:tcPr>
            <w:tcW w:w="1414" w:type="dxa"/>
            <w:vAlign w:val="top"/>
          </w:tcPr>
          <w:p w14:paraId="335D9456">
            <w:pPr>
              <w:spacing w:before="68" w:line="220" w:lineRule="auto"/>
              <w:ind w:left="498"/>
              <w:rPr>
                <w:rFonts w:ascii="宋体" w:hAnsi="宋体" w:eastAsia="宋体" w:cs="宋体"/>
                <w:sz w:val="21"/>
                <w:szCs w:val="21"/>
              </w:rPr>
            </w:pPr>
            <w:r>
              <w:rPr>
                <w:rFonts w:ascii="宋体" w:hAnsi="宋体" w:eastAsia="宋体" w:cs="宋体"/>
                <w:spacing w:val="-3"/>
                <w:sz w:val="21"/>
                <w:szCs w:val="21"/>
              </w:rPr>
              <w:t>水泵</w:t>
            </w:r>
          </w:p>
        </w:tc>
        <w:tc>
          <w:tcPr>
            <w:tcW w:w="848" w:type="dxa"/>
            <w:vAlign w:val="top"/>
          </w:tcPr>
          <w:p w14:paraId="43876811">
            <w:pPr>
              <w:pStyle w:val="6"/>
              <w:spacing w:before="105" w:line="188" w:lineRule="auto"/>
              <w:ind w:left="366"/>
            </w:pPr>
            <w:r>
              <w:t>4</w:t>
            </w:r>
          </w:p>
        </w:tc>
        <w:tc>
          <w:tcPr>
            <w:tcW w:w="2120" w:type="dxa"/>
            <w:vAlign w:val="top"/>
          </w:tcPr>
          <w:p w14:paraId="3E92F198">
            <w:pPr>
              <w:spacing w:before="68" w:line="221" w:lineRule="auto"/>
              <w:ind w:left="114"/>
              <w:rPr>
                <w:rFonts w:ascii="宋体" w:hAnsi="宋体" w:eastAsia="宋体" w:cs="宋体"/>
                <w:sz w:val="21"/>
                <w:szCs w:val="21"/>
              </w:rPr>
            </w:pPr>
            <w:r>
              <w:rPr>
                <w:rFonts w:ascii="宋体" w:hAnsi="宋体" w:eastAsia="宋体" w:cs="宋体"/>
                <w:spacing w:val="-1"/>
                <w:sz w:val="21"/>
                <w:szCs w:val="21"/>
              </w:rPr>
              <w:t>低噪设备，墙体隔音</w:t>
            </w:r>
          </w:p>
        </w:tc>
        <w:tc>
          <w:tcPr>
            <w:tcW w:w="1694" w:type="dxa"/>
            <w:vAlign w:val="top"/>
          </w:tcPr>
          <w:p w14:paraId="23414102">
            <w:pPr>
              <w:pStyle w:val="6"/>
              <w:spacing w:before="105" w:line="188" w:lineRule="auto"/>
              <w:ind w:left="749"/>
            </w:pPr>
            <w:r>
              <w:rPr>
                <w:spacing w:val="-4"/>
              </w:rPr>
              <w:t>80</w:t>
            </w:r>
          </w:p>
        </w:tc>
        <w:tc>
          <w:tcPr>
            <w:tcW w:w="667" w:type="dxa"/>
            <w:vAlign w:val="top"/>
          </w:tcPr>
          <w:p w14:paraId="4DFD1325">
            <w:pPr>
              <w:spacing w:before="68" w:line="219" w:lineRule="auto"/>
              <w:ind w:left="124"/>
              <w:rPr>
                <w:rFonts w:ascii="宋体" w:hAnsi="宋体" w:eastAsia="宋体" w:cs="宋体"/>
                <w:sz w:val="21"/>
                <w:szCs w:val="21"/>
              </w:rPr>
            </w:pPr>
            <w:r>
              <w:rPr>
                <w:rFonts w:ascii="宋体" w:hAnsi="宋体" w:eastAsia="宋体" w:cs="宋体"/>
                <w:spacing w:val="-3"/>
                <w:sz w:val="21"/>
                <w:szCs w:val="21"/>
              </w:rPr>
              <w:t>偶发</w:t>
            </w:r>
          </w:p>
        </w:tc>
      </w:tr>
    </w:tbl>
    <w:p w14:paraId="66E6ECEE">
      <w:pPr>
        <w:spacing w:before="291"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 xml:space="preserve">4.2.4.2 </w:t>
      </w:r>
      <w:r>
        <w:rPr>
          <w:rFonts w:ascii="宋体" w:hAnsi="宋体" w:eastAsia="宋体" w:cs="宋体"/>
          <w:b/>
          <w:bCs/>
          <w:spacing w:val="4"/>
          <w:sz w:val="27"/>
          <w:szCs w:val="27"/>
        </w:rPr>
        <w:t>预测模式</w:t>
      </w:r>
    </w:p>
    <w:p w14:paraId="15DF08E1">
      <w:pPr>
        <w:spacing w:before="236" w:line="360" w:lineRule="auto"/>
        <w:ind w:left="44" w:right="40" w:firstLine="476"/>
        <w:rPr>
          <w:rFonts w:ascii="宋体" w:hAnsi="宋体" w:eastAsia="宋体" w:cs="宋体"/>
          <w:sz w:val="24"/>
          <w:szCs w:val="24"/>
        </w:rPr>
      </w:pPr>
      <w:r>
        <w:rPr>
          <w:rFonts w:ascii="宋体" w:hAnsi="宋体" w:eastAsia="宋体" w:cs="宋体"/>
          <w:spacing w:val="2"/>
          <w:sz w:val="24"/>
          <w:szCs w:val="24"/>
        </w:rPr>
        <w:t>本次评价采用《环境影响评价技术导则 声环境》（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2.4-2009</w:t>
      </w:r>
      <w:r>
        <w:rPr>
          <w:rFonts w:ascii="宋体" w:hAnsi="宋体" w:eastAsia="宋体" w:cs="宋体"/>
          <w:spacing w:val="2"/>
          <w:sz w:val="24"/>
          <w:szCs w:val="24"/>
        </w:rPr>
        <w:t>）推荐的模</w:t>
      </w:r>
      <w:r>
        <w:rPr>
          <w:rFonts w:ascii="宋体" w:hAnsi="宋体" w:eastAsia="宋体" w:cs="宋体"/>
          <w:spacing w:val="-7"/>
          <w:sz w:val="24"/>
          <w:szCs w:val="24"/>
        </w:rPr>
        <w:t>式进行预测。</w:t>
      </w:r>
    </w:p>
    <w:p w14:paraId="6F365EF7">
      <w:pPr>
        <w:spacing w:before="1"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）室内声源等效为室外声源的计算</w:t>
      </w:r>
    </w:p>
    <w:p w14:paraId="2A9D485F">
      <w:pPr>
        <w:spacing w:before="183" w:line="217" w:lineRule="auto"/>
        <w:ind w:left="518"/>
        <w:rPr>
          <w:rFonts w:ascii="宋体" w:hAnsi="宋体" w:eastAsia="宋体" w:cs="宋体"/>
          <w:sz w:val="24"/>
          <w:szCs w:val="24"/>
        </w:rPr>
      </w:pPr>
      <w:r>
        <w:rPr>
          <w:rFonts w:ascii="宋体" w:hAnsi="宋体" w:eastAsia="宋体" w:cs="宋体"/>
          <w:spacing w:val="-1"/>
          <w:sz w:val="24"/>
          <w:szCs w:val="24"/>
        </w:rPr>
        <w:t>①首先计算出某个室内靠近围护结构处的倍频带声压级</w:t>
      </w:r>
    </w:p>
    <w:p w14:paraId="0B81E44D">
      <w:pPr>
        <w:spacing w:before="141" w:line="515" w:lineRule="exact"/>
        <w:ind w:left="2742"/>
      </w:pPr>
      <w:r>
        <w:rPr>
          <w:position w:val="-10"/>
        </w:rPr>
        <w:drawing>
          <wp:inline distT="0" distB="0" distL="0" distR="0">
            <wp:extent cx="1833245" cy="32702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579"/>
                    <a:stretch>
                      <a:fillRect/>
                    </a:stretch>
                  </pic:blipFill>
                  <pic:spPr>
                    <a:xfrm>
                      <a:off x="0" y="0"/>
                      <a:ext cx="1833524" cy="327202"/>
                    </a:xfrm>
                    <a:prstGeom prst="rect">
                      <a:avLst/>
                    </a:prstGeom>
                  </pic:spPr>
                </pic:pic>
              </a:graphicData>
            </a:graphic>
          </wp:inline>
        </w:drawing>
      </w:r>
    </w:p>
    <w:p w14:paraId="1457965D">
      <w:pPr>
        <w:spacing w:before="153" w:line="220" w:lineRule="auto"/>
        <w:ind w:left="524"/>
        <w:rPr>
          <w:rFonts w:ascii="宋体" w:hAnsi="宋体" w:eastAsia="宋体" w:cs="宋体"/>
          <w:sz w:val="24"/>
          <w:szCs w:val="24"/>
        </w:rPr>
      </w:pPr>
      <w:r>
        <w:rPr>
          <w:rFonts w:ascii="宋体" w:hAnsi="宋体" w:eastAsia="宋体" w:cs="宋体"/>
          <w:spacing w:val="-16"/>
          <w:sz w:val="24"/>
          <w:szCs w:val="24"/>
        </w:rPr>
        <w:t>式中：</w:t>
      </w:r>
    </w:p>
    <w:p w14:paraId="7C1E2FD4">
      <w:pPr>
        <w:spacing w:before="183" w:line="221" w:lineRule="auto"/>
        <w:ind w:left="502"/>
        <w:rPr>
          <w:rFonts w:ascii="宋体" w:hAnsi="宋体" w:eastAsia="宋体" w:cs="宋体"/>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i/>
          <w:iCs/>
          <w:position w:val="-2"/>
          <w:sz w:val="15"/>
          <w:szCs w:val="15"/>
        </w:rPr>
        <w:t>p</w:t>
      </w:r>
      <w:r>
        <w:rPr>
          <w:rFonts w:ascii="Times New Roman" w:hAnsi="Times New Roman" w:eastAsia="Times New Roman" w:cs="Times New Roman"/>
          <w:position w:val="-2"/>
          <w:sz w:val="15"/>
          <w:szCs w:val="15"/>
        </w:rPr>
        <w:t>1</w:t>
      </w:r>
      <w:r>
        <w:rPr>
          <w:rFonts w:ascii="Times New Roman" w:hAnsi="Times New Roman" w:eastAsia="Times New Roman" w:cs="Times New Roman"/>
          <w:sz w:val="24"/>
          <w:szCs w:val="24"/>
        </w:rPr>
        <w:t>——</w:t>
      </w:r>
      <w:r>
        <w:rPr>
          <w:rFonts w:ascii="宋体" w:hAnsi="宋体" w:eastAsia="宋体" w:cs="宋体"/>
          <w:sz w:val="24"/>
          <w:szCs w:val="24"/>
        </w:rPr>
        <w:t>靠近开口处（或窗户）室内某倍频带的声压级或</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A </w:t>
      </w:r>
      <w:r>
        <w:rPr>
          <w:rFonts w:ascii="宋体" w:hAnsi="宋体" w:eastAsia="宋体" w:cs="宋体"/>
          <w:sz w:val="24"/>
          <w:szCs w:val="24"/>
        </w:rPr>
        <w:t>声级，</w:t>
      </w:r>
      <w:r>
        <w:rPr>
          <w:rFonts w:ascii="Times New Roman" w:hAnsi="Times New Roman" w:eastAsia="Times New Roman" w:cs="Times New Roman"/>
          <w:sz w:val="24"/>
          <w:szCs w:val="24"/>
        </w:rPr>
        <w:t>dB</w:t>
      </w:r>
      <w:r>
        <w:rPr>
          <w:rFonts w:ascii="宋体" w:hAnsi="宋体" w:eastAsia="宋体" w:cs="宋体"/>
          <w:sz w:val="24"/>
          <w:szCs w:val="24"/>
        </w:rPr>
        <w:t>；</w:t>
      </w:r>
    </w:p>
    <w:p w14:paraId="111AF945">
      <w:pPr>
        <w:spacing w:before="179" w:line="220" w:lineRule="auto"/>
        <w:ind w:left="502"/>
        <w:rPr>
          <w:rFonts w:ascii="宋体" w:hAnsi="宋体" w:eastAsia="宋体" w:cs="宋体"/>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i/>
          <w:iCs/>
          <w:position w:val="-2"/>
          <w:sz w:val="15"/>
          <w:szCs w:val="15"/>
        </w:rPr>
        <w:t>w</w:t>
      </w:r>
      <w:r>
        <w:rPr>
          <w:rFonts w:ascii="Times New Roman" w:hAnsi="Times New Roman" w:eastAsia="Times New Roman" w:cs="Times New Roman"/>
          <w:sz w:val="24"/>
          <w:szCs w:val="24"/>
        </w:rPr>
        <w:t>——</w:t>
      </w:r>
      <w:r>
        <w:rPr>
          <w:rFonts w:ascii="宋体" w:hAnsi="宋体" w:eastAsia="宋体" w:cs="宋体"/>
          <w:sz w:val="24"/>
          <w:szCs w:val="24"/>
        </w:rPr>
        <w:t>点声源声功率级（</w:t>
      </w:r>
      <w:r>
        <w:rPr>
          <w:rFonts w:ascii="Times New Roman" w:hAnsi="Times New Roman" w:eastAsia="Times New Roman" w:cs="Times New Roman"/>
          <w:sz w:val="24"/>
          <w:szCs w:val="24"/>
        </w:rPr>
        <w:t xml:space="preserve">A  </w:t>
      </w:r>
      <w:r>
        <w:rPr>
          <w:rFonts w:ascii="宋体" w:hAnsi="宋体" w:eastAsia="宋体" w:cs="宋体"/>
          <w:sz w:val="24"/>
          <w:szCs w:val="24"/>
        </w:rPr>
        <w:t>计权或倍频带</w:t>
      </w:r>
      <w:r>
        <w:rPr>
          <w:rFonts w:ascii="宋体" w:hAnsi="宋体" w:eastAsia="宋体" w:cs="宋体"/>
          <w:spacing w:val="6"/>
          <w:sz w:val="24"/>
          <w:szCs w:val="24"/>
        </w:rPr>
        <w:t>），</w:t>
      </w:r>
      <w:r>
        <w:rPr>
          <w:rFonts w:ascii="Times New Roman" w:hAnsi="Times New Roman" w:eastAsia="Times New Roman" w:cs="Times New Roman"/>
          <w:sz w:val="24"/>
          <w:szCs w:val="24"/>
        </w:rPr>
        <w:t>dB</w:t>
      </w:r>
      <w:r>
        <w:rPr>
          <w:rFonts w:ascii="宋体" w:hAnsi="宋体" w:eastAsia="宋体" w:cs="宋体"/>
          <w:sz w:val="24"/>
          <w:szCs w:val="24"/>
        </w:rPr>
        <w:t>；</w:t>
      </w:r>
    </w:p>
    <w:p w14:paraId="2ED003BC">
      <w:pPr>
        <w:spacing w:before="183" w:line="354" w:lineRule="auto"/>
        <w:ind w:left="43" w:right="44" w:firstLine="478"/>
        <w:rPr>
          <w:rFonts w:ascii="宋体" w:hAnsi="宋体" w:eastAsia="宋体" w:cs="宋体"/>
          <w:sz w:val="24"/>
          <w:szCs w:val="24"/>
        </w:rPr>
      </w:pPr>
      <w:r>
        <w:rPr>
          <w:rFonts w:ascii="Times New Roman" w:hAnsi="Times New Roman" w:eastAsia="Times New Roman" w:cs="Times New Roman"/>
          <w:i/>
          <w:iCs/>
          <w:sz w:val="24"/>
          <w:szCs w:val="24"/>
        </w:rPr>
        <w:t>Q</w:t>
      </w:r>
      <w:r>
        <w:rPr>
          <w:rFonts w:ascii="Times New Roman" w:hAnsi="Times New Roman" w:eastAsia="Times New Roman" w:cs="Times New Roman"/>
          <w:sz w:val="24"/>
          <w:szCs w:val="24"/>
        </w:rPr>
        <w:t>——</w:t>
      </w:r>
      <w:r>
        <w:rPr>
          <w:rFonts w:ascii="宋体" w:hAnsi="宋体" w:eastAsia="宋体" w:cs="宋体"/>
          <w:sz w:val="24"/>
          <w:szCs w:val="24"/>
        </w:rPr>
        <w:t>指向性因数；通常对无指向性声源，当声源放在房间中心时，</w:t>
      </w:r>
      <w:r>
        <w:rPr>
          <w:rFonts w:ascii="Times New Roman" w:hAnsi="Times New Roman" w:eastAsia="Times New Roman" w:cs="Times New Roman"/>
          <w:i/>
          <w:iCs/>
          <w:sz w:val="24"/>
          <w:szCs w:val="24"/>
        </w:rPr>
        <w:t>Q</w:t>
      </w:r>
      <w:r>
        <w:rPr>
          <w:rFonts w:ascii="Times New Roman" w:hAnsi="Times New Roman" w:eastAsia="Times New Roman" w:cs="Times New Roman"/>
          <w:spacing w:val="-1"/>
          <w:sz w:val="24"/>
          <w:szCs w:val="24"/>
        </w:rPr>
        <w:t>=1</w:t>
      </w:r>
      <w:r>
        <w:rPr>
          <w:rFonts w:ascii="宋体" w:hAnsi="宋体" w:eastAsia="宋体" w:cs="宋体"/>
          <w:spacing w:val="-1"/>
          <w:sz w:val="24"/>
          <w:szCs w:val="24"/>
        </w:rPr>
        <w:t>；当放在一面墙的中心时，</w:t>
      </w:r>
      <w:r>
        <w:rPr>
          <w:rFonts w:ascii="Times New Roman" w:hAnsi="Times New Roman" w:eastAsia="Times New Roman" w:cs="Times New Roman"/>
          <w:i/>
          <w:iCs/>
          <w:spacing w:val="-1"/>
          <w:sz w:val="24"/>
          <w:szCs w:val="24"/>
        </w:rPr>
        <w:t>Q</w:t>
      </w:r>
      <w:r>
        <w:rPr>
          <w:rFonts w:ascii="Times New Roman" w:hAnsi="Times New Roman" w:eastAsia="Times New Roman" w:cs="Times New Roman"/>
          <w:spacing w:val="-1"/>
          <w:sz w:val="24"/>
          <w:szCs w:val="24"/>
        </w:rPr>
        <w:t>=2</w:t>
      </w:r>
      <w:r>
        <w:rPr>
          <w:rFonts w:ascii="宋体" w:hAnsi="宋体" w:eastAsia="宋体" w:cs="宋体"/>
          <w:spacing w:val="-1"/>
          <w:sz w:val="24"/>
          <w:szCs w:val="24"/>
        </w:rPr>
        <w:t>；当放在两面墙夹角处时，</w:t>
      </w:r>
      <w:r>
        <w:rPr>
          <w:rFonts w:ascii="Times New Roman" w:hAnsi="Times New Roman" w:eastAsia="Times New Roman" w:cs="Times New Roman"/>
          <w:i/>
          <w:iCs/>
          <w:spacing w:val="-1"/>
          <w:sz w:val="24"/>
          <w:szCs w:val="24"/>
        </w:rPr>
        <w:t>Q</w:t>
      </w:r>
      <w:r>
        <w:rPr>
          <w:rFonts w:ascii="Times New Roman" w:hAnsi="Times New Roman" w:eastAsia="Times New Roman" w:cs="Times New Roman"/>
          <w:spacing w:val="-1"/>
          <w:sz w:val="24"/>
          <w:szCs w:val="24"/>
        </w:rPr>
        <w:t>=4</w:t>
      </w:r>
      <w:r>
        <w:rPr>
          <w:rFonts w:ascii="宋体" w:hAnsi="宋体" w:eastAsia="宋体" w:cs="宋体"/>
          <w:spacing w:val="-1"/>
          <w:sz w:val="24"/>
          <w:szCs w:val="24"/>
        </w:rPr>
        <w:t>；当放在三面墙夹</w:t>
      </w:r>
      <w:r>
        <w:rPr>
          <w:rFonts w:ascii="宋体" w:hAnsi="宋体" w:eastAsia="宋体" w:cs="宋体"/>
          <w:spacing w:val="-2"/>
          <w:sz w:val="24"/>
          <w:szCs w:val="24"/>
        </w:rPr>
        <w:t>角处时，</w:t>
      </w:r>
      <w:r>
        <w:rPr>
          <w:rFonts w:ascii="Times New Roman" w:hAnsi="Times New Roman" w:eastAsia="Times New Roman" w:cs="Times New Roman"/>
          <w:i/>
          <w:iCs/>
          <w:spacing w:val="-2"/>
          <w:sz w:val="24"/>
          <w:szCs w:val="24"/>
        </w:rPr>
        <w:t>Q</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7E64FB4D">
      <w:pPr>
        <w:spacing w:before="9" w:line="223" w:lineRule="auto"/>
        <w:ind w:left="484"/>
        <w:rPr>
          <w:rFonts w:ascii="宋体" w:hAnsi="宋体" w:eastAsia="宋体" w:cs="宋体"/>
          <w:sz w:val="24"/>
          <w:szCs w:val="24"/>
        </w:rPr>
      </w:pPr>
      <w:r>
        <w:rPr>
          <w:rFonts w:ascii="Times New Roman" w:hAnsi="Times New Roman" w:eastAsia="Times New Roman" w:cs="Times New Roman"/>
          <w:i/>
          <w:iCs/>
          <w:spacing w:val="-9"/>
          <w:sz w:val="24"/>
          <w:szCs w:val="24"/>
        </w:rPr>
        <w:t>R</w:t>
      </w:r>
      <w:r>
        <w:rPr>
          <w:rFonts w:ascii="Times New Roman" w:hAnsi="Times New Roman" w:eastAsia="Times New Roman" w:cs="Times New Roman"/>
          <w:spacing w:val="-9"/>
          <w:sz w:val="24"/>
          <w:szCs w:val="24"/>
        </w:rPr>
        <w:t>——</w:t>
      </w:r>
      <w:r>
        <w:rPr>
          <w:rFonts w:ascii="宋体" w:hAnsi="宋体" w:eastAsia="宋体" w:cs="宋体"/>
          <w:spacing w:val="-9"/>
          <w:sz w:val="24"/>
          <w:szCs w:val="24"/>
        </w:rPr>
        <w:t>房间常数；</w:t>
      </w:r>
      <w:r>
        <w:rPr>
          <w:rFonts w:ascii="Times New Roman" w:hAnsi="Times New Roman" w:eastAsia="Times New Roman" w:cs="Times New Roman"/>
          <w:i/>
          <w:iCs/>
          <w:spacing w:val="-9"/>
          <w:sz w:val="24"/>
          <w:szCs w:val="24"/>
        </w:rPr>
        <w:t>R=Sα/</w:t>
      </w:r>
      <w:r>
        <w:rPr>
          <w:rFonts w:ascii="Times New Roman" w:hAnsi="Times New Roman" w:eastAsia="Times New Roman" w:cs="Times New Roman"/>
          <w:spacing w:val="-9"/>
          <w:sz w:val="24"/>
          <w:szCs w:val="24"/>
        </w:rPr>
        <w:t>(1</w:t>
      </w:r>
      <w:r>
        <w:rPr>
          <w:rFonts w:ascii="Times New Roman" w:hAnsi="Times New Roman" w:eastAsia="Times New Roman" w:cs="Times New Roman"/>
          <w:i/>
          <w:iCs/>
          <w:spacing w:val="-9"/>
          <w:sz w:val="24"/>
          <w:szCs w:val="24"/>
        </w:rPr>
        <w:t>-α</w:t>
      </w:r>
      <w:r>
        <w:rPr>
          <w:rFonts w:ascii="Times New Roman" w:hAnsi="Times New Roman" w:eastAsia="Times New Roman" w:cs="Times New Roman"/>
          <w:spacing w:val="-9"/>
          <w:sz w:val="24"/>
          <w:szCs w:val="24"/>
        </w:rPr>
        <w:t>)</w:t>
      </w:r>
      <w:r>
        <w:rPr>
          <w:rFonts w:ascii="宋体" w:hAnsi="宋体" w:eastAsia="宋体" w:cs="宋体"/>
          <w:spacing w:val="-9"/>
          <w:sz w:val="24"/>
          <w:szCs w:val="24"/>
        </w:rPr>
        <w:t>，</w:t>
      </w:r>
      <w:r>
        <w:rPr>
          <w:rFonts w:ascii="Times New Roman" w:hAnsi="Times New Roman" w:eastAsia="Times New Roman" w:cs="Times New Roman"/>
          <w:i/>
          <w:iCs/>
          <w:spacing w:val="-9"/>
          <w:sz w:val="24"/>
          <w:szCs w:val="24"/>
        </w:rPr>
        <w:t xml:space="preserve">S </w:t>
      </w:r>
      <w:r>
        <w:rPr>
          <w:rFonts w:ascii="宋体" w:hAnsi="宋体" w:eastAsia="宋体" w:cs="宋体"/>
          <w:spacing w:val="-9"/>
          <w:sz w:val="24"/>
          <w:szCs w:val="24"/>
        </w:rPr>
        <w:t>为房间内表面面积，</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10"/>
          <w:sz w:val="15"/>
          <w:szCs w:val="15"/>
        </w:rPr>
        <w:t>2</w:t>
      </w:r>
      <w:r>
        <w:rPr>
          <w:rFonts w:ascii="Times New Roman" w:hAnsi="Times New Roman" w:eastAsia="Times New Roman" w:cs="Times New Roman"/>
          <w:spacing w:val="-1"/>
          <w:position w:val="10"/>
          <w:sz w:val="15"/>
          <w:szCs w:val="15"/>
        </w:rPr>
        <w:t xml:space="preserve"> </w:t>
      </w:r>
      <w:r>
        <w:rPr>
          <w:rFonts w:ascii="宋体" w:hAnsi="宋体" w:eastAsia="宋体" w:cs="宋体"/>
          <w:spacing w:val="-9"/>
          <w:sz w:val="24"/>
          <w:szCs w:val="24"/>
        </w:rPr>
        <w:t>；</w:t>
      </w:r>
      <w:r>
        <w:rPr>
          <w:rFonts w:ascii="Times New Roman" w:hAnsi="Times New Roman" w:eastAsia="Times New Roman" w:cs="Times New Roman"/>
          <w:i/>
          <w:iCs/>
          <w:spacing w:val="-9"/>
          <w:sz w:val="24"/>
          <w:szCs w:val="24"/>
        </w:rPr>
        <w:t xml:space="preserve">α </w:t>
      </w:r>
      <w:r>
        <w:rPr>
          <w:rFonts w:ascii="宋体" w:hAnsi="宋体" w:eastAsia="宋体" w:cs="宋体"/>
          <w:spacing w:val="-9"/>
          <w:sz w:val="24"/>
          <w:szCs w:val="24"/>
        </w:rPr>
        <w:t>为平均吸声系数；</w:t>
      </w:r>
    </w:p>
    <w:p w14:paraId="472C90AB">
      <w:pPr>
        <w:spacing w:before="193" w:line="220" w:lineRule="auto"/>
        <w:ind w:left="494"/>
        <w:rPr>
          <w:rFonts w:ascii="宋体" w:hAnsi="宋体" w:eastAsia="宋体" w:cs="宋体"/>
          <w:sz w:val="24"/>
          <w:szCs w:val="24"/>
        </w:rPr>
      </w:pP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sz w:val="24"/>
          <w:szCs w:val="24"/>
        </w:rPr>
        <w:t>——</w:t>
      </w:r>
      <w:r>
        <w:rPr>
          <w:rFonts w:ascii="宋体" w:hAnsi="宋体" w:eastAsia="宋体" w:cs="宋体"/>
          <w:spacing w:val="-1"/>
          <w:sz w:val="24"/>
          <w:szCs w:val="24"/>
        </w:rPr>
        <w:t>声源到靠近围护结构某点处的距离，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75D20265">
      <w:pPr>
        <w:spacing w:before="182" w:line="217" w:lineRule="auto"/>
        <w:ind w:left="517"/>
        <w:rPr>
          <w:rFonts w:ascii="宋体" w:hAnsi="宋体" w:eastAsia="宋体" w:cs="宋体"/>
          <w:sz w:val="24"/>
          <w:szCs w:val="24"/>
        </w:rPr>
      </w:pPr>
      <w:r>
        <w:rPr>
          <w:rFonts w:ascii="宋体" w:hAnsi="宋体" w:eastAsia="宋体" w:cs="宋体"/>
          <w:spacing w:val="-1"/>
          <w:sz w:val="24"/>
          <w:szCs w:val="24"/>
        </w:rPr>
        <w:t>②计算出所有室内声源在围护结构处产生的</w:t>
      </w:r>
      <w:r>
        <w:rPr>
          <w:rFonts w:ascii="宋体" w:hAnsi="宋体" w:eastAsia="宋体" w:cs="宋体"/>
          <w:spacing w:val="-38"/>
          <w:sz w:val="24"/>
          <w:szCs w:val="24"/>
        </w:rPr>
        <w:t xml:space="preserve"> </w:t>
      </w:r>
      <w:r>
        <w:rPr>
          <w:rFonts w:ascii="Times New Roman" w:hAnsi="Times New Roman" w:eastAsia="Times New Roman" w:cs="Times New Roman"/>
          <w:i/>
          <w:iCs/>
          <w:spacing w:val="-1"/>
          <w:sz w:val="24"/>
          <w:szCs w:val="24"/>
        </w:rPr>
        <w:t xml:space="preserve">i </w:t>
      </w:r>
      <w:r>
        <w:rPr>
          <w:rFonts w:ascii="宋体" w:hAnsi="宋体" w:eastAsia="宋体" w:cs="宋体"/>
          <w:spacing w:val="-1"/>
          <w:sz w:val="24"/>
          <w:szCs w:val="24"/>
        </w:rPr>
        <w:t>倍频带叠加声压级</w:t>
      </w:r>
    </w:p>
    <w:p w14:paraId="3C279023">
      <w:pPr>
        <w:spacing w:before="108" w:line="887" w:lineRule="exact"/>
        <w:ind w:left="2659"/>
      </w:pPr>
      <w:r>
        <w:rPr>
          <w:position w:val="-18"/>
        </w:rPr>
        <w:drawing>
          <wp:inline distT="0" distB="0" distL="0" distR="0">
            <wp:extent cx="1939290" cy="56324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580"/>
                    <a:stretch>
                      <a:fillRect/>
                    </a:stretch>
                  </pic:blipFill>
                  <pic:spPr>
                    <a:xfrm>
                      <a:off x="0" y="0"/>
                      <a:ext cx="1939290" cy="563727"/>
                    </a:xfrm>
                    <a:prstGeom prst="rect">
                      <a:avLst/>
                    </a:prstGeom>
                  </pic:spPr>
                </pic:pic>
              </a:graphicData>
            </a:graphic>
          </wp:inline>
        </w:drawing>
      </w:r>
    </w:p>
    <w:p w14:paraId="149E3DC1">
      <w:pPr>
        <w:spacing w:before="126" w:line="220" w:lineRule="auto"/>
        <w:ind w:left="524"/>
        <w:rPr>
          <w:rFonts w:ascii="宋体" w:hAnsi="宋体" w:eastAsia="宋体" w:cs="宋体"/>
          <w:sz w:val="24"/>
          <w:szCs w:val="24"/>
        </w:rPr>
      </w:pPr>
      <w:r>
        <w:rPr>
          <w:rFonts w:ascii="宋体" w:hAnsi="宋体" w:eastAsia="宋体" w:cs="宋体"/>
          <w:spacing w:val="-16"/>
          <w:sz w:val="24"/>
          <w:szCs w:val="24"/>
        </w:rPr>
        <w:t>式中：</w:t>
      </w:r>
    </w:p>
    <w:p w14:paraId="4E11A0A5">
      <w:pPr>
        <w:spacing w:before="248" w:line="221" w:lineRule="auto"/>
        <w:ind w:left="474"/>
        <w:rPr>
          <w:rFonts w:ascii="宋体" w:hAnsi="宋体" w:eastAsia="宋体" w:cs="宋体"/>
          <w:sz w:val="24"/>
          <w:szCs w:val="24"/>
        </w:rPr>
      </w:pPr>
      <w:r>
        <w:rPr>
          <w:rFonts w:ascii="Times New Roman" w:hAnsi="Times New Roman" w:eastAsia="Times New Roman" w:cs="Times New Roman"/>
          <w:i/>
          <w:iCs/>
          <w:spacing w:val="-1"/>
          <w:position w:val="1"/>
          <w:sz w:val="24"/>
          <w:szCs w:val="24"/>
        </w:rPr>
        <w:t>L</w:t>
      </w:r>
      <w:r>
        <w:rPr>
          <w:rFonts w:ascii="Times New Roman" w:hAnsi="Times New Roman" w:eastAsia="Times New Roman" w:cs="Times New Roman"/>
          <w:i/>
          <w:iCs/>
          <w:spacing w:val="-1"/>
          <w:position w:val="-6"/>
          <w:sz w:val="15"/>
          <w:szCs w:val="15"/>
        </w:rPr>
        <w:t>p</w:t>
      </w:r>
      <w:r>
        <w:rPr>
          <w:rFonts w:ascii="Times New Roman" w:hAnsi="Times New Roman" w:eastAsia="Times New Roman" w:cs="Times New Roman"/>
          <w:spacing w:val="-1"/>
          <w:position w:val="-6"/>
          <w:sz w:val="15"/>
          <w:szCs w:val="15"/>
        </w:rPr>
        <w:t>1</w:t>
      </w:r>
      <w:r>
        <w:rPr>
          <w:rFonts w:ascii="Times New Roman" w:hAnsi="Times New Roman" w:eastAsia="Times New Roman" w:cs="Times New Roman"/>
          <w:i/>
          <w:iCs/>
          <w:spacing w:val="-1"/>
          <w:position w:val="-6"/>
          <w:sz w:val="15"/>
          <w:szCs w:val="15"/>
        </w:rPr>
        <w:t>i</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i/>
          <w:iCs/>
          <w:spacing w:val="-1"/>
          <w:position w:val="-3"/>
          <w:sz w:val="24"/>
          <w:szCs w:val="24"/>
        </w:rPr>
        <w:t>T</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靠近围护结构处室内</w:t>
      </w:r>
      <w:r>
        <w:rPr>
          <w:rFonts w:ascii="宋体" w:hAnsi="宋体" w:eastAsia="宋体" w:cs="宋体"/>
          <w:spacing w:val="-51"/>
          <w:sz w:val="24"/>
          <w:szCs w:val="24"/>
        </w:rPr>
        <w:t xml:space="preserve"> </w:t>
      </w:r>
      <w:r>
        <w:rPr>
          <w:rFonts w:ascii="Times New Roman" w:hAnsi="Times New Roman" w:eastAsia="Times New Roman" w:cs="Times New Roman"/>
          <w:i/>
          <w:iCs/>
          <w:spacing w:val="-1"/>
          <w:sz w:val="24"/>
          <w:szCs w:val="24"/>
        </w:rPr>
        <w:t>N</w:t>
      </w:r>
      <w:r>
        <w:rPr>
          <w:rFonts w:ascii="Times New Roman" w:hAnsi="Times New Roman" w:eastAsia="Times New Roman" w:cs="Times New Roman"/>
          <w:i/>
          <w:iCs/>
          <w:spacing w:val="-14"/>
          <w:sz w:val="24"/>
          <w:szCs w:val="24"/>
        </w:rPr>
        <w:t xml:space="preserve"> </w:t>
      </w:r>
      <w:r>
        <w:rPr>
          <w:rFonts w:ascii="宋体" w:hAnsi="宋体" w:eastAsia="宋体" w:cs="宋体"/>
          <w:spacing w:val="-1"/>
          <w:sz w:val="24"/>
          <w:szCs w:val="24"/>
        </w:rPr>
        <w:t>个声源</w:t>
      </w:r>
      <w:r>
        <w:rPr>
          <w:rFonts w:ascii="宋体" w:hAnsi="宋体" w:eastAsia="宋体" w:cs="宋体"/>
          <w:spacing w:val="-50"/>
          <w:sz w:val="24"/>
          <w:szCs w:val="24"/>
        </w:rPr>
        <w:t xml:space="preserve"> </w:t>
      </w:r>
      <w:r>
        <w:rPr>
          <w:rFonts w:ascii="Times New Roman" w:hAnsi="Times New Roman" w:eastAsia="Times New Roman" w:cs="Times New Roman"/>
          <w:i/>
          <w:iCs/>
          <w:spacing w:val="-1"/>
          <w:sz w:val="24"/>
          <w:szCs w:val="24"/>
        </w:rPr>
        <w:t xml:space="preserve">i </w:t>
      </w:r>
      <w:r>
        <w:rPr>
          <w:rFonts w:ascii="宋体" w:hAnsi="宋体" w:eastAsia="宋体" w:cs="宋体"/>
          <w:spacing w:val="-1"/>
          <w:sz w:val="24"/>
          <w:szCs w:val="24"/>
        </w:rPr>
        <w:t>倍频带的叠加声压级，</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14:paraId="46A7C7AF">
      <w:pPr>
        <w:spacing w:line="221" w:lineRule="auto"/>
        <w:rPr>
          <w:rFonts w:ascii="宋体" w:hAnsi="宋体" w:eastAsia="宋体" w:cs="宋体"/>
          <w:sz w:val="24"/>
          <w:szCs w:val="24"/>
        </w:rPr>
        <w:sectPr>
          <w:headerReference r:id="rId379" w:type="default"/>
          <w:footerReference r:id="rId380" w:type="default"/>
          <w:pgSz w:w="11905" w:h="16840"/>
          <w:pgMar w:top="1168" w:right="1768" w:bottom="1409" w:left="1770" w:header="828" w:footer="1244" w:gutter="0"/>
          <w:cols w:space="720" w:num="1"/>
        </w:sectPr>
      </w:pPr>
    </w:p>
    <w:p w14:paraId="71476C79">
      <w:pPr>
        <w:pStyle w:val="2"/>
        <w:spacing w:line="372" w:lineRule="auto"/>
      </w:pPr>
    </w:p>
    <w:p w14:paraId="608529E9">
      <w:pPr>
        <w:spacing w:before="78" w:line="221" w:lineRule="auto"/>
        <w:ind w:left="474"/>
        <w:rPr>
          <w:rFonts w:ascii="宋体" w:hAnsi="宋体" w:eastAsia="宋体" w:cs="宋体"/>
          <w:sz w:val="24"/>
          <w:szCs w:val="24"/>
        </w:rPr>
      </w:pPr>
      <w:r>
        <w:rPr>
          <w:rFonts w:ascii="Times New Roman" w:hAnsi="Times New Roman" w:eastAsia="Times New Roman" w:cs="Times New Roman"/>
          <w:i/>
          <w:iCs/>
          <w:position w:val="1"/>
          <w:sz w:val="24"/>
          <w:szCs w:val="24"/>
        </w:rPr>
        <w:t>L</w:t>
      </w:r>
      <w:r>
        <w:rPr>
          <w:rFonts w:ascii="Times New Roman" w:hAnsi="Times New Roman" w:eastAsia="Times New Roman" w:cs="Times New Roman"/>
          <w:i/>
          <w:iCs/>
          <w:position w:val="-6"/>
          <w:sz w:val="15"/>
          <w:szCs w:val="15"/>
        </w:rPr>
        <w:t>p</w:t>
      </w:r>
      <w:r>
        <w:rPr>
          <w:rFonts w:ascii="Times New Roman" w:hAnsi="Times New Roman" w:eastAsia="Times New Roman" w:cs="Times New Roman"/>
          <w:spacing w:val="3"/>
          <w:position w:val="-6"/>
          <w:sz w:val="15"/>
          <w:szCs w:val="15"/>
        </w:rPr>
        <w:t>1</w:t>
      </w:r>
      <w:r>
        <w:rPr>
          <w:rFonts w:ascii="Times New Roman" w:hAnsi="Times New Roman" w:eastAsia="Times New Roman" w:cs="Times New Roman"/>
          <w:i/>
          <w:iCs/>
          <w:position w:val="-6"/>
          <w:sz w:val="15"/>
          <w:szCs w:val="15"/>
        </w:rPr>
        <w:t>ij</w:t>
      </w:r>
      <w:r>
        <w:rPr>
          <w:rFonts w:ascii="Times New Roman" w:hAnsi="Times New Roman" w:eastAsia="Times New Roman" w:cs="Times New Roman"/>
          <w:spacing w:val="3"/>
          <w:sz w:val="24"/>
          <w:szCs w:val="24"/>
        </w:rPr>
        <w:t>——</w:t>
      </w:r>
      <w:r>
        <w:rPr>
          <w:rFonts w:ascii="宋体" w:hAnsi="宋体" w:eastAsia="宋体" w:cs="宋体"/>
          <w:spacing w:val="3"/>
          <w:sz w:val="24"/>
          <w:szCs w:val="24"/>
        </w:rPr>
        <w:t>室内</w:t>
      </w:r>
      <w:r>
        <w:rPr>
          <w:rFonts w:ascii="Times New Roman" w:hAnsi="Times New Roman" w:eastAsia="Times New Roman" w:cs="Times New Roman"/>
          <w:i/>
          <w:iCs/>
          <w:spacing w:val="3"/>
          <w:sz w:val="24"/>
          <w:szCs w:val="24"/>
        </w:rPr>
        <w:t xml:space="preserve">j </w:t>
      </w:r>
      <w:r>
        <w:rPr>
          <w:rFonts w:ascii="宋体" w:hAnsi="宋体" w:eastAsia="宋体" w:cs="宋体"/>
          <w:spacing w:val="3"/>
          <w:sz w:val="24"/>
          <w:szCs w:val="24"/>
        </w:rPr>
        <w:t>声源</w:t>
      </w:r>
      <w:r>
        <w:rPr>
          <w:rFonts w:ascii="宋体" w:hAnsi="宋体" w:eastAsia="宋体" w:cs="宋体"/>
          <w:spacing w:val="-42"/>
          <w:sz w:val="24"/>
          <w:szCs w:val="24"/>
        </w:rPr>
        <w:t xml:space="preserve"> </w:t>
      </w:r>
      <w:r>
        <w:rPr>
          <w:rFonts w:ascii="Times New Roman" w:hAnsi="Times New Roman" w:eastAsia="Times New Roman" w:cs="Times New Roman"/>
          <w:i/>
          <w:iCs/>
          <w:spacing w:val="3"/>
          <w:sz w:val="24"/>
          <w:szCs w:val="24"/>
        </w:rPr>
        <w:t xml:space="preserve">i </w:t>
      </w:r>
      <w:r>
        <w:rPr>
          <w:rFonts w:ascii="宋体" w:hAnsi="宋体" w:eastAsia="宋体" w:cs="宋体"/>
          <w:spacing w:val="3"/>
          <w:sz w:val="24"/>
          <w:szCs w:val="24"/>
        </w:rPr>
        <w:t>倍频带的声压级，</w:t>
      </w:r>
      <w:r>
        <w:rPr>
          <w:rFonts w:ascii="Times New Roman" w:hAnsi="Times New Roman" w:eastAsia="Times New Roman" w:cs="Times New Roman"/>
          <w:sz w:val="24"/>
          <w:szCs w:val="24"/>
        </w:rPr>
        <w:t>dB</w:t>
      </w:r>
      <w:r>
        <w:rPr>
          <w:rFonts w:ascii="宋体" w:hAnsi="宋体" w:eastAsia="宋体" w:cs="宋体"/>
          <w:spacing w:val="3"/>
          <w:sz w:val="24"/>
          <w:szCs w:val="24"/>
        </w:rPr>
        <w:t>；</w:t>
      </w:r>
    </w:p>
    <w:p w14:paraId="2DDD901C">
      <w:pPr>
        <w:spacing w:before="247" w:line="220" w:lineRule="auto"/>
        <w:ind w:left="503"/>
        <w:rPr>
          <w:rFonts w:ascii="宋体" w:hAnsi="宋体" w:eastAsia="宋体" w:cs="宋体"/>
          <w:sz w:val="24"/>
          <w:szCs w:val="24"/>
        </w:rPr>
      </w:pPr>
      <w:r>
        <w:rPr>
          <w:rFonts w:ascii="Times New Roman" w:hAnsi="Times New Roman" w:eastAsia="Times New Roman" w:cs="Times New Roman"/>
          <w:i/>
          <w:iCs/>
          <w:spacing w:val="-3"/>
          <w:sz w:val="24"/>
          <w:szCs w:val="24"/>
        </w:rPr>
        <w:t>N</w:t>
      </w:r>
      <w:r>
        <w:rPr>
          <w:rFonts w:ascii="Times New Roman" w:hAnsi="Times New Roman" w:eastAsia="Times New Roman" w:cs="Times New Roman"/>
          <w:spacing w:val="-3"/>
          <w:sz w:val="24"/>
          <w:szCs w:val="24"/>
        </w:rPr>
        <w:t>——</w:t>
      </w:r>
      <w:r>
        <w:rPr>
          <w:rFonts w:ascii="宋体" w:hAnsi="宋体" w:eastAsia="宋体" w:cs="宋体"/>
          <w:spacing w:val="-3"/>
          <w:sz w:val="24"/>
          <w:szCs w:val="24"/>
        </w:rPr>
        <w:t>室内声源总数。</w:t>
      </w:r>
    </w:p>
    <w:p w14:paraId="691AD587">
      <w:pPr>
        <w:spacing w:before="183" w:line="217" w:lineRule="auto"/>
        <w:ind w:left="517"/>
        <w:rPr>
          <w:rFonts w:ascii="宋体" w:hAnsi="宋体" w:eastAsia="宋体" w:cs="宋体"/>
          <w:sz w:val="24"/>
          <w:szCs w:val="24"/>
        </w:rPr>
      </w:pPr>
      <w:r>
        <w:rPr>
          <w:rFonts w:ascii="宋体" w:hAnsi="宋体" w:eastAsia="宋体" w:cs="宋体"/>
          <w:spacing w:val="-1"/>
          <w:sz w:val="24"/>
          <w:szCs w:val="24"/>
        </w:rPr>
        <w:t>③计算出靠近室外围护结构处的声压级</w:t>
      </w:r>
    </w:p>
    <w:p w14:paraId="77AA6F3B">
      <w:pPr>
        <w:spacing w:before="196" w:line="172" w:lineRule="auto"/>
        <w:ind w:left="2650"/>
        <w:rPr>
          <w:rFonts w:ascii="Cambria" w:hAnsi="Cambria" w:eastAsia="Cambria" w:cs="Cambria"/>
          <w:sz w:val="28"/>
          <w:szCs w:val="28"/>
        </w:rPr>
      </w:pPr>
      <w:r>
        <w:rPr>
          <w:rFonts w:ascii="Cambria" w:hAnsi="Cambria" w:eastAsia="Cambria" w:cs="Cambria"/>
          <w:spacing w:val="-11"/>
          <w:sz w:val="28"/>
          <w:szCs w:val="28"/>
        </w:rPr>
        <w:t>L</w:t>
      </w:r>
      <w:r>
        <w:rPr>
          <w:rFonts w:ascii="Cambria" w:hAnsi="Cambria" w:eastAsia="Cambria" w:cs="Cambria"/>
          <w:spacing w:val="-11"/>
          <w:position w:val="-4"/>
          <w:sz w:val="19"/>
          <w:szCs w:val="19"/>
        </w:rPr>
        <w:t xml:space="preserve">p2i </w:t>
      </w:r>
      <w:r>
        <w:rPr>
          <w:rFonts w:ascii="Cambria" w:hAnsi="Cambria" w:eastAsia="Cambria" w:cs="Cambria"/>
          <w:spacing w:val="-11"/>
          <w:position w:val="1"/>
          <w:sz w:val="28"/>
          <w:szCs w:val="28"/>
        </w:rPr>
        <w:t>(T)</w:t>
      </w:r>
      <w:r>
        <w:rPr>
          <w:rFonts w:ascii="Cambria" w:hAnsi="Cambria" w:eastAsia="Cambria" w:cs="Cambria"/>
          <w:spacing w:val="25"/>
          <w:w w:val="101"/>
          <w:position w:val="1"/>
          <w:sz w:val="28"/>
          <w:szCs w:val="28"/>
        </w:rPr>
        <w:t xml:space="preserve"> </w:t>
      </w:r>
      <w:r>
        <w:rPr>
          <w:rFonts w:ascii="Cambria" w:hAnsi="Cambria" w:eastAsia="Cambria" w:cs="Cambria"/>
          <w:spacing w:val="-11"/>
          <w:sz w:val="28"/>
          <w:szCs w:val="28"/>
        </w:rPr>
        <w:t>=</w:t>
      </w:r>
      <w:r>
        <w:rPr>
          <w:rFonts w:ascii="Cambria" w:hAnsi="Cambria" w:eastAsia="Cambria" w:cs="Cambria"/>
          <w:spacing w:val="12"/>
          <w:sz w:val="28"/>
          <w:szCs w:val="28"/>
        </w:rPr>
        <w:t xml:space="preserve"> </w:t>
      </w:r>
      <w:r>
        <w:rPr>
          <w:rFonts w:ascii="Cambria" w:hAnsi="Cambria" w:eastAsia="Cambria" w:cs="Cambria"/>
          <w:spacing w:val="-11"/>
          <w:sz w:val="28"/>
          <w:szCs w:val="28"/>
        </w:rPr>
        <w:t>L</w:t>
      </w:r>
      <w:r>
        <w:rPr>
          <w:rFonts w:ascii="Cambria" w:hAnsi="Cambria" w:eastAsia="Cambria" w:cs="Cambria"/>
          <w:spacing w:val="-11"/>
          <w:position w:val="-4"/>
          <w:sz w:val="19"/>
          <w:szCs w:val="19"/>
        </w:rPr>
        <w:t xml:space="preserve">p1i </w:t>
      </w:r>
      <w:r>
        <w:rPr>
          <w:rFonts w:ascii="Cambria" w:hAnsi="Cambria" w:eastAsia="Cambria" w:cs="Cambria"/>
          <w:spacing w:val="-11"/>
          <w:position w:val="1"/>
          <w:sz w:val="28"/>
          <w:szCs w:val="28"/>
        </w:rPr>
        <w:t>(T)</w:t>
      </w:r>
      <w:r>
        <w:rPr>
          <w:rFonts w:ascii="Cambria" w:hAnsi="Cambria" w:eastAsia="Cambria" w:cs="Cambria"/>
          <w:spacing w:val="9"/>
          <w:position w:val="1"/>
          <w:sz w:val="28"/>
          <w:szCs w:val="28"/>
        </w:rPr>
        <w:t xml:space="preserve"> </w:t>
      </w:r>
      <w:r>
        <w:rPr>
          <w:rFonts w:ascii="Cambria" w:hAnsi="Cambria" w:eastAsia="Cambria" w:cs="Cambria"/>
          <w:spacing w:val="-11"/>
          <w:sz w:val="28"/>
          <w:szCs w:val="28"/>
        </w:rPr>
        <w:t>__</w:t>
      </w:r>
      <w:r>
        <w:rPr>
          <w:rFonts w:ascii="Cambria" w:hAnsi="Cambria" w:eastAsia="Cambria" w:cs="Cambria"/>
          <w:spacing w:val="13"/>
          <w:sz w:val="28"/>
          <w:szCs w:val="28"/>
        </w:rPr>
        <w:t xml:space="preserve"> </w:t>
      </w:r>
      <w:r>
        <w:rPr>
          <w:rFonts w:ascii="Cambria" w:hAnsi="Cambria" w:eastAsia="Cambria" w:cs="Cambria"/>
          <w:spacing w:val="-11"/>
          <w:position w:val="1"/>
          <w:sz w:val="28"/>
          <w:szCs w:val="28"/>
        </w:rPr>
        <w:t>(TL</w:t>
      </w:r>
      <w:r>
        <w:rPr>
          <w:rFonts w:ascii="Cambria" w:hAnsi="Cambria" w:eastAsia="Cambria" w:cs="Cambria"/>
          <w:spacing w:val="-11"/>
          <w:position w:val="-4"/>
          <w:sz w:val="19"/>
          <w:szCs w:val="19"/>
        </w:rPr>
        <w:t xml:space="preserve">i  </w:t>
      </w:r>
      <w:r>
        <w:rPr>
          <w:rFonts w:ascii="Cambria" w:hAnsi="Cambria" w:eastAsia="Cambria" w:cs="Cambria"/>
          <w:spacing w:val="12"/>
          <w:position w:val="1"/>
          <w:sz w:val="28"/>
          <w:szCs w:val="28"/>
        </w:rPr>
        <w:t>+6)</w:t>
      </w:r>
    </w:p>
    <w:p w14:paraId="43DDD01D">
      <w:pPr>
        <w:spacing w:before="191" w:line="220" w:lineRule="auto"/>
        <w:ind w:left="524"/>
        <w:rPr>
          <w:rFonts w:ascii="宋体" w:hAnsi="宋体" w:eastAsia="宋体" w:cs="宋体"/>
          <w:sz w:val="24"/>
          <w:szCs w:val="24"/>
        </w:rPr>
      </w:pPr>
      <w:r>
        <w:rPr>
          <w:rFonts w:ascii="宋体" w:hAnsi="宋体" w:eastAsia="宋体" w:cs="宋体"/>
          <w:spacing w:val="-16"/>
          <w:sz w:val="24"/>
          <w:szCs w:val="24"/>
        </w:rPr>
        <w:t>式中：</w:t>
      </w:r>
    </w:p>
    <w:p w14:paraId="221C1BA4">
      <w:pPr>
        <w:spacing w:before="247" w:line="221" w:lineRule="auto"/>
        <w:ind w:left="474"/>
        <w:rPr>
          <w:rFonts w:ascii="宋体" w:hAnsi="宋体" w:eastAsia="宋体" w:cs="宋体"/>
          <w:sz w:val="24"/>
          <w:szCs w:val="24"/>
        </w:rPr>
      </w:pPr>
      <w:r>
        <w:rPr>
          <w:rFonts w:ascii="Times New Roman" w:hAnsi="Times New Roman" w:eastAsia="Times New Roman" w:cs="Times New Roman"/>
          <w:i/>
          <w:iCs/>
          <w:position w:val="1"/>
          <w:sz w:val="24"/>
          <w:szCs w:val="24"/>
        </w:rPr>
        <w:t>L</w:t>
      </w:r>
      <w:r>
        <w:rPr>
          <w:rFonts w:ascii="Times New Roman" w:hAnsi="Times New Roman" w:eastAsia="Times New Roman" w:cs="Times New Roman"/>
          <w:i/>
          <w:iCs/>
          <w:position w:val="-6"/>
          <w:sz w:val="15"/>
          <w:szCs w:val="15"/>
        </w:rPr>
        <w:t>p</w:t>
      </w:r>
      <w:r>
        <w:rPr>
          <w:rFonts w:ascii="Times New Roman" w:hAnsi="Times New Roman" w:eastAsia="Times New Roman" w:cs="Times New Roman"/>
          <w:spacing w:val="1"/>
          <w:position w:val="-6"/>
          <w:sz w:val="15"/>
          <w:szCs w:val="15"/>
        </w:rPr>
        <w:t>2</w:t>
      </w:r>
      <w:r>
        <w:rPr>
          <w:rFonts w:ascii="Times New Roman" w:hAnsi="Times New Roman" w:eastAsia="Times New Roman" w:cs="Times New Roman"/>
          <w:i/>
          <w:iCs/>
          <w:spacing w:val="1"/>
          <w:position w:val="-6"/>
          <w:sz w:val="15"/>
          <w:szCs w:val="15"/>
        </w:rPr>
        <w:t>i</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i/>
          <w:iCs/>
          <w:spacing w:val="1"/>
          <w:position w:val="-3"/>
          <w:sz w:val="24"/>
          <w:szCs w:val="24"/>
        </w:rPr>
        <w:t>T</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靠近围护结构处室外</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N</w:t>
      </w:r>
      <w:r>
        <w:rPr>
          <w:rFonts w:ascii="Times New Roman" w:hAnsi="Times New Roman" w:eastAsia="Times New Roman" w:cs="Times New Roman"/>
          <w:i/>
          <w:iCs/>
          <w:spacing w:val="-14"/>
          <w:sz w:val="24"/>
          <w:szCs w:val="24"/>
        </w:rPr>
        <w:t xml:space="preserve"> </w:t>
      </w:r>
      <w:r>
        <w:rPr>
          <w:rFonts w:ascii="宋体" w:hAnsi="宋体" w:eastAsia="宋体" w:cs="宋体"/>
          <w:spacing w:val="1"/>
          <w:sz w:val="24"/>
          <w:szCs w:val="24"/>
        </w:rPr>
        <w:t>个声源</w:t>
      </w:r>
      <w:r>
        <w:rPr>
          <w:rFonts w:ascii="宋体" w:hAnsi="宋体" w:eastAsia="宋体" w:cs="宋体"/>
          <w:spacing w:val="-50"/>
          <w:sz w:val="24"/>
          <w:szCs w:val="24"/>
        </w:rPr>
        <w:t xml:space="preserve"> </w:t>
      </w:r>
      <w:r>
        <w:rPr>
          <w:rFonts w:ascii="Times New Roman" w:hAnsi="Times New Roman" w:eastAsia="Times New Roman" w:cs="Times New Roman"/>
          <w:i/>
          <w:iCs/>
          <w:spacing w:val="1"/>
          <w:sz w:val="24"/>
          <w:szCs w:val="24"/>
        </w:rPr>
        <w:t xml:space="preserve">i </w:t>
      </w:r>
      <w:r>
        <w:rPr>
          <w:rFonts w:ascii="宋体" w:hAnsi="宋体" w:eastAsia="宋体" w:cs="宋体"/>
          <w:spacing w:val="1"/>
          <w:sz w:val="24"/>
          <w:szCs w:val="24"/>
        </w:rPr>
        <w:t>倍频带的叠加声压级</w:t>
      </w:r>
      <w:r>
        <w:rPr>
          <w:rFonts w:ascii="宋体" w:hAnsi="宋体" w:eastAsia="宋体" w:cs="宋体"/>
          <w:sz w:val="24"/>
          <w:szCs w:val="24"/>
        </w:rPr>
        <w:t>，</w:t>
      </w:r>
      <w:r>
        <w:rPr>
          <w:rFonts w:ascii="Times New Roman" w:hAnsi="Times New Roman" w:eastAsia="Times New Roman" w:cs="Times New Roman"/>
          <w:sz w:val="24"/>
          <w:szCs w:val="24"/>
        </w:rPr>
        <w:t>dB</w:t>
      </w:r>
      <w:r>
        <w:rPr>
          <w:rFonts w:ascii="宋体" w:hAnsi="宋体" w:eastAsia="宋体" w:cs="宋体"/>
          <w:sz w:val="24"/>
          <w:szCs w:val="24"/>
        </w:rPr>
        <w:t>；</w:t>
      </w:r>
    </w:p>
    <w:p w14:paraId="4DC56787">
      <w:pPr>
        <w:spacing w:before="314" w:line="221" w:lineRule="auto"/>
        <w:ind w:left="474"/>
        <w:rPr>
          <w:rFonts w:ascii="宋体" w:hAnsi="宋体" w:eastAsia="宋体" w:cs="宋体"/>
          <w:sz w:val="24"/>
          <w:szCs w:val="24"/>
        </w:rPr>
      </w:pPr>
      <w:r>
        <w:rPr>
          <w:rFonts w:ascii="Times New Roman" w:hAnsi="Times New Roman" w:eastAsia="Times New Roman" w:cs="Times New Roman"/>
          <w:i/>
          <w:iCs/>
          <w:position w:val="1"/>
          <w:sz w:val="24"/>
          <w:szCs w:val="24"/>
        </w:rPr>
        <w:t>L</w:t>
      </w:r>
      <w:r>
        <w:rPr>
          <w:rFonts w:ascii="Times New Roman" w:hAnsi="Times New Roman" w:eastAsia="Times New Roman" w:cs="Times New Roman"/>
          <w:i/>
          <w:iCs/>
          <w:position w:val="-6"/>
          <w:sz w:val="15"/>
          <w:szCs w:val="15"/>
        </w:rPr>
        <w:t>p</w:t>
      </w:r>
      <w:r>
        <w:rPr>
          <w:rFonts w:ascii="Times New Roman" w:hAnsi="Times New Roman" w:eastAsia="Times New Roman" w:cs="Times New Roman"/>
          <w:spacing w:val="1"/>
          <w:position w:val="-6"/>
          <w:sz w:val="15"/>
          <w:szCs w:val="15"/>
        </w:rPr>
        <w:t>1</w:t>
      </w:r>
      <w:r>
        <w:rPr>
          <w:rFonts w:ascii="Times New Roman" w:hAnsi="Times New Roman" w:eastAsia="Times New Roman" w:cs="Times New Roman"/>
          <w:i/>
          <w:iCs/>
          <w:spacing w:val="1"/>
          <w:position w:val="-6"/>
          <w:sz w:val="15"/>
          <w:szCs w:val="15"/>
        </w:rPr>
        <w:t>i</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i/>
          <w:iCs/>
          <w:spacing w:val="1"/>
          <w:position w:val="-3"/>
          <w:sz w:val="24"/>
          <w:szCs w:val="24"/>
        </w:rPr>
        <w:t>T</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靠近围护结构处室内</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N</w:t>
      </w:r>
      <w:r>
        <w:rPr>
          <w:rFonts w:ascii="Times New Roman" w:hAnsi="Times New Roman" w:eastAsia="Times New Roman" w:cs="Times New Roman"/>
          <w:i/>
          <w:iCs/>
          <w:spacing w:val="-14"/>
          <w:sz w:val="24"/>
          <w:szCs w:val="24"/>
        </w:rPr>
        <w:t xml:space="preserve"> </w:t>
      </w:r>
      <w:r>
        <w:rPr>
          <w:rFonts w:ascii="宋体" w:hAnsi="宋体" w:eastAsia="宋体" w:cs="宋体"/>
          <w:spacing w:val="1"/>
          <w:sz w:val="24"/>
          <w:szCs w:val="24"/>
        </w:rPr>
        <w:t>个声源</w:t>
      </w:r>
      <w:r>
        <w:rPr>
          <w:rFonts w:ascii="宋体" w:hAnsi="宋体" w:eastAsia="宋体" w:cs="宋体"/>
          <w:spacing w:val="-50"/>
          <w:sz w:val="24"/>
          <w:szCs w:val="24"/>
        </w:rPr>
        <w:t xml:space="preserve"> </w:t>
      </w:r>
      <w:r>
        <w:rPr>
          <w:rFonts w:ascii="Times New Roman" w:hAnsi="Times New Roman" w:eastAsia="Times New Roman" w:cs="Times New Roman"/>
          <w:i/>
          <w:iCs/>
          <w:spacing w:val="1"/>
          <w:sz w:val="24"/>
          <w:szCs w:val="24"/>
        </w:rPr>
        <w:t xml:space="preserve">i </w:t>
      </w:r>
      <w:r>
        <w:rPr>
          <w:rFonts w:ascii="宋体" w:hAnsi="宋体" w:eastAsia="宋体" w:cs="宋体"/>
          <w:spacing w:val="1"/>
          <w:sz w:val="24"/>
          <w:szCs w:val="24"/>
        </w:rPr>
        <w:t>倍频带的叠加声压级</w:t>
      </w:r>
      <w:r>
        <w:rPr>
          <w:rFonts w:ascii="宋体" w:hAnsi="宋体" w:eastAsia="宋体" w:cs="宋体"/>
          <w:sz w:val="24"/>
          <w:szCs w:val="24"/>
        </w:rPr>
        <w:t>，</w:t>
      </w:r>
      <w:r>
        <w:rPr>
          <w:rFonts w:ascii="Times New Roman" w:hAnsi="Times New Roman" w:eastAsia="Times New Roman" w:cs="Times New Roman"/>
          <w:sz w:val="24"/>
          <w:szCs w:val="24"/>
        </w:rPr>
        <w:t>dB</w:t>
      </w:r>
      <w:r>
        <w:rPr>
          <w:rFonts w:ascii="宋体" w:hAnsi="宋体" w:eastAsia="宋体" w:cs="宋体"/>
          <w:sz w:val="24"/>
          <w:szCs w:val="24"/>
        </w:rPr>
        <w:t>；</w:t>
      </w:r>
    </w:p>
    <w:p w14:paraId="382B5736">
      <w:pPr>
        <w:spacing w:before="314" w:line="220" w:lineRule="auto"/>
        <w:ind w:left="499"/>
        <w:rPr>
          <w:rFonts w:ascii="宋体" w:hAnsi="宋体" w:eastAsia="宋体" w:cs="宋体"/>
          <w:sz w:val="24"/>
          <w:szCs w:val="24"/>
        </w:rPr>
      </w:pPr>
      <w:r>
        <w:rPr>
          <w:rFonts w:ascii="Times New Roman" w:hAnsi="Times New Roman" w:eastAsia="Times New Roman" w:cs="Times New Roman"/>
          <w:i/>
          <w:iCs/>
          <w:spacing w:val="-2"/>
          <w:sz w:val="24"/>
          <w:szCs w:val="24"/>
        </w:rPr>
        <w:t>TL</w:t>
      </w:r>
      <w:r>
        <w:rPr>
          <w:rFonts w:ascii="Times New Roman" w:hAnsi="Times New Roman" w:eastAsia="Times New Roman" w:cs="Times New Roman"/>
          <w:i/>
          <w:iCs/>
          <w:spacing w:val="-2"/>
          <w:position w:val="-6"/>
          <w:sz w:val="15"/>
          <w:szCs w:val="15"/>
        </w:rPr>
        <w:t>i</w:t>
      </w:r>
      <w:r>
        <w:rPr>
          <w:rFonts w:ascii="Times New Roman" w:hAnsi="Times New Roman" w:eastAsia="Times New Roman" w:cs="Times New Roman"/>
          <w:spacing w:val="-2"/>
          <w:sz w:val="24"/>
          <w:szCs w:val="24"/>
        </w:rPr>
        <w:t>——</w:t>
      </w:r>
      <w:r>
        <w:rPr>
          <w:rFonts w:ascii="宋体" w:hAnsi="宋体" w:eastAsia="宋体" w:cs="宋体"/>
          <w:spacing w:val="-2"/>
          <w:sz w:val="24"/>
          <w:szCs w:val="24"/>
        </w:rPr>
        <w:t>围护结构</w:t>
      </w:r>
      <w:r>
        <w:rPr>
          <w:rFonts w:ascii="宋体" w:hAnsi="宋体" w:eastAsia="宋体" w:cs="宋体"/>
          <w:spacing w:val="-49"/>
          <w:sz w:val="24"/>
          <w:szCs w:val="24"/>
        </w:rPr>
        <w:t xml:space="preserve"> </w:t>
      </w:r>
      <w:r>
        <w:rPr>
          <w:rFonts w:ascii="Times New Roman" w:hAnsi="Times New Roman" w:eastAsia="Times New Roman" w:cs="Times New Roman"/>
          <w:i/>
          <w:iCs/>
          <w:spacing w:val="-2"/>
          <w:sz w:val="24"/>
          <w:szCs w:val="24"/>
        </w:rPr>
        <w:t xml:space="preserve">i </w:t>
      </w:r>
      <w:r>
        <w:rPr>
          <w:rFonts w:ascii="宋体" w:hAnsi="宋体" w:eastAsia="宋体" w:cs="宋体"/>
          <w:spacing w:val="-2"/>
          <w:sz w:val="24"/>
          <w:szCs w:val="24"/>
        </w:rPr>
        <w:t>倍频带的隔声量，</w:t>
      </w:r>
      <w:r>
        <w:rPr>
          <w:rFonts w:ascii="Times New Roman" w:hAnsi="Times New Roman" w:eastAsia="Times New Roman" w:cs="Times New Roman"/>
          <w:spacing w:val="-3"/>
          <w:sz w:val="24"/>
          <w:szCs w:val="24"/>
        </w:rPr>
        <w:t>dB</w:t>
      </w:r>
      <w:r>
        <w:rPr>
          <w:rFonts w:ascii="宋体" w:hAnsi="宋体" w:eastAsia="宋体" w:cs="宋体"/>
          <w:spacing w:val="-3"/>
          <w:sz w:val="24"/>
          <w:szCs w:val="24"/>
        </w:rPr>
        <w:t>。</w:t>
      </w:r>
    </w:p>
    <w:p w14:paraId="654E3F88">
      <w:pPr>
        <w:spacing w:before="250" w:line="362" w:lineRule="auto"/>
        <w:ind w:left="39" w:right="29" w:firstLine="478"/>
        <w:rPr>
          <w:rFonts w:ascii="宋体" w:hAnsi="宋体" w:eastAsia="宋体" w:cs="宋体"/>
          <w:sz w:val="24"/>
          <w:szCs w:val="24"/>
        </w:rPr>
      </w:pPr>
      <w:r>
        <w:rPr>
          <w:rFonts w:ascii="宋体" w:hAnsi="宋体" w:eastAsia="宋体" w:cs="宋体"/>
          <w:spacing w:val="-3"/>
          <w:sz w:val="24"/>
          <w:szCs w:val="24"/>
        </w:rPr>
        <w:t>④将室外声源的声压级和透过面积换算成等效的室外声源，计算出</w:t>
      </w:r>
      <w:r>
        <w:rPr>
          <w:rFonts w:ascii="宋体" w:hAnsi="宋体" w:eastAsia="宋体" w:cs="宋体"/>
          <w:spacing w:val="-4"/>
          <w:sz w:val="24"/>
          <w:szCs w:val="24"/>
        </w:rPr>
        <w:t>中心位置</w:t>
      </w:r>
      <w:r>
        <w:rPr>
          <w:rFonts w:ascii="宋体" w:hAnsi="宋体" w:eastAsia="宋体" w:cs="宋体"/>
          <w:spacing w:val="-1"/>
          <w:sz w:val="24"/>
          <w:szCs w:val="24"/>
        </w:rPr>
        <w:t>位于透声面积（</w:t>
      </w:r>
      <w:r>
        <w:rPr>
          <w:rFonts w:ascii="Times New Roman" w:hAnsi="Times New Roman" w:eastAsia="Times New Roman" w:cs="Times New Roman"/>
          <w:i/>
          <w:iCs/>
          <w:spacing w:val="-1"/>
          <w:sz w:val="24"/>
          <w:szCs w:val="24"/>
        </w:rPr>
        <w:t>S</w:t>
      </w:r>
      <w:r>
        <w:rPr>
          <w:rFonts w:ascii="宋体" w:hAnsi="宋体" w:eastAsia="宋体" w:cs="宋体"/>
          <w:spacing w:val="-1"/>
          <w:sz w:val="24"/>
          <w:szCs w:val="24"/>
        </w:rPr>
        <w:t>）处的等效声源的倍频带声功率级</w:t>
      </w:r>
    </w:p>
    <w:p w14:paraId="0EB2BA21">
      <w:pPr>
        <w:spacing w:before="5" w:line="172" w:lineRule="auto"/>
        <w:ind w:left="3073"/>
        <w:rPr>
          <w:rFonts w:ascii="Cambria" w:hAnsi="Cambria" w:eastAsia="Cambria" w:cs="Cambria"/>
          <w:sz w:val="28"/>
          <w:szCs w:val="28"/>
        </w:rPr>
      </w:pPr>
      <w:r>
        <w:rPr>
          <w:rFonts w:ascii="Cambria" w:hAnsi="Cambria" w:eastAsia="Cambria" w:cs="Cambria"/>
          <w:spacing w:val="-9"/>
          <w:sz w:val="28"/>
          <w:szCs w:val="28"/>
        </w:rPr>
        <w:t>L</w:t>
      </w:r>
      <w:r>
        <w:rPr>
          <w:rFonts w:ascii="Cambria" w:hAnsi="Cambria" w:eastAsia="Cambria" w:cs="Cambria"/>
          <w:spacing w:val="-9"/>
          <w:position w:val="-4"/>
          <w:sz w:val="19"/>
          <w:szCs w:val="19"/>
        </w:rPr>
        <w:t>w</w:t>
      </w:r>
      <w:r>
        <w:rPr>
          <w:rFonts w:ascii="Cambria" w:hAnsi="Cambria" w:eastAsia="Cambria" w:cs="Cambria"/>
          <w:spacing w:val="14"/>
          <w:w w:val="101"/>
          <w:position w:val="-4"/>
          <w:sz w:val="19"/>
          <w:szCs w:val="19"/>
        </w:rPr>
        <w:t xml:space="preserve">  </w:t>
      </w:r>
      <w:r>
        <w:rPr>
          <w:rFonts w:ascii="Cambria" w:hAnsi="Cambria" w:eastAsia="Cambria" w:cs="Cambria"/>
          <w:spacing w:val="-9"/>
          <w:sz w:val="28"/>
          <w:szCs w:val="28"/>
        </w:rPr>
        <w:t>=</w:t>
      </w:r>
      <w:r>
        <w:rPr>
          <w:rFonts w:ascii="Cambria" w:hAnsi="Cambria" w:eastAsia="Cambria" w:cs="Cambria"/>
          <w:spacing w:val="12"/>
          <w:sz w:val="28"/>
          <w:szCs w:val="28"/>
        </w:rPr>
        <w:t xml:space="preserve"> </w:t>
      </w:r>
      <w:r>
        <w:rPr>
          <w:rFonts w:ascii="Cambria" w:hAnsi="Cambria" w:eastAsia="Cambria" w:cs="Cambria"/>
          <w:spacing w:val="-9"/>
          <w:sz w:val="28"/>
          <w:szCs w:val="28"/>
        </w:rPr>
        <w:t>L</w:t>
      </w:r>
      <w:r>
        <w:rPr>
          <w:rFonts w:ascii="Cambria" w:hAnsi="Cambria" w:eastAsia="Cambria" w:cs="Cambria"/>
          <w:spacing w:val="-9"/>
          <w:position w:val="-4"/>
          <w:sz w:val="19"/>
          <w:szCs w:val="19"/>
        </w:rPr>
        <w:t>p2</w:t>
      </w:r>
      <w:r>
        <w:rPr>
          <w:rFonts w:ascii="Cambria" w:hAnsi="Cambria" w:eastAsia="Cambria" w:cs="Cambria"/>
          <w:spacing w:val="-10"/>
          <w:position w:val="-4"/>
          <w:sz w:val="19"/>
          <w:szCs w:val="19"/>
        </w:rPr>
        <w:t xml:space="preserve"> </w:t>
      </w:r>
      <w:r>
        <w:rPr>
          <w:rFonts w:ascii="Cambria" w:hAnsi="Cambria" w:eastAsia="Cambria" w:cs="Cambria"/>
          <w:spacing w:val="-9"/>
          <w:position w:val="1"/>
          <w:sz w:val="28"/>
          <w:szCs w:val="28"/>
        </w:rPr>
        <w:t xml:space="preserve">(T) </w:t>
      </w:r>
      <w:r>
        <w:rPr>
          <w:rFonts w:ascii="Cambria" w:hAnsi="Cambria" w:eastAsia="Cambria" w:cs="Cambria"/>
          <w:spacing w:val="-9"/>
          <w:sz w:val="28"/>
          <w:szCs w:val="28"/>
        </w:rPr>
        <w:t>+10</w:t>
      </w:r>
      <w:r>
        <w:rPr>
          <w:rFonts w:ascii="Cambria" w:hAnsi="Cambria" w:eastAsia="Cambria" w:cs="Cambria"/>
          <w:spacing w:val="-14"/>
          <w:sz w:val="28"/>
          <w:szCs w:val="28"/>
        </w:rPr>
        <w:t xml:space="preserve"> </w:t>
      </w:r>
      <w:r>
        <w:rPr>
          <w:rFonts w:ascii="Cambria" w:hAnsi="Cambria" w:eastAsia="Cambria" w:cs="Cambria"/>
          <w:spacing w:val="-9"/>
          <w:sz w:val="28"/>
          <w:szCs w:val="28"/>
        </w:rPr>
        <w:t>lg</w:t>
      </w:r>
      <w:r>
        <w:rPr>
          <w:rFonts w:ascii="Cambria" w:hAnsi="Cambria" w:eastAsia="Cambria" w:cs="Cambria"/>
          <w:spacing w:val="-19"/>
          <w:sz w:val="28"/>
          <w:szCs w:val="28"/>
        </w:rPr>
        <w:t xml:space="preserve"> </w:t>
      </w:r>
      <w:r>
        <w:rPr>
          <w:rFonts w:ascii="Cambria" w:hAnsi="Cambria" w:eastAsia="Cambria" w:cs="Cambria"/>
          <w:spacing w:val="-9"/>
          <w:sz w:val="28"/>
          <w:szCs w:val="28"/>
        </w:rPr>
        <w:t>s</w:t>
      </w:r>
    </w:p>
    <w:p w14:paraId="77BBD9B5">
      <w:pPr>
        <w:spacing w:before="192" w:line="220" w:lineRule="auto"/>
        <w:ind w:left="524"/>
        <w:rPr>
          <w:rFonts w:ascii="宋体" w:hAnsi="宋体" w:eastAsia="宋体" w:cs="宋体"/>
          <w:sz w:val="24"/>
          <w:szCs w:val="24"/>
        </w:rPr>
      </w:pPr>
      <w:r>
        <w:rPr>
          <w:rFonts w:ascii="宋体" w:hAnsi="宋体" w:eastAsia="宋体" w:cs="宋体"/>
          <w:spacing w:val="-16"/>
          <w:sz w:val="24"/>
          <w:szCs w:val="24"/>
        </w:rPr>
        <w:t>式中：</w:t>
      </w:r>
    </w:p>
    <w:p w14:paraId="2D0A28F5">
      <w:pPr>
        <w:spacing w:before="181" w:line="220" w:lineRule="auto"/>
        <w:ind w:left="494"/>
        <w:rPr>
          <w:rFonts w:ascii="宋体" w:hAnsi="宋体" w:eastAsia="宋体" w:cs="宋体"/>
          <w:sz w:val="24"/>
          <w:szCs w:val="24"/>
        </w:rPr>
      </w:pPr>
      <w:r>
        <w:rPr>
          <w:rFonts w:ascii="Times New Roman" w:hAnsi="Times New Roman" w:eastAsia="Times New Roman" w:cs="Times New Roman"/>
          <w:i/>
          <w:iCs/>
          <w:spacing w:val="-3"/>
          <w:sz w:val="24"/>
          <w:szCs w:val="24"/>
        </w:rPr>
        <w:t>L</w:t>
      </w:r>
      <w:r>
        <w:rPr>
          <w:rFonts w:ascii="Times New Roman" w:hAnsi="Times New Roman" w:eastAsia="Times New Roman" w:cs="Times New Roman"/>
          <w:i/>
          <w:iCs/>
          <w:spacing w:val="-3"/>
          <w:position w:val="-2"/>
          <w:sz w:val="15"/>
          <w:szCs w:val="15"/>
        </w:rPr>
        <w:t>w</w:t>
      </w:r>
      <w:r>
        <w:rPr>
          <w:rFonts w:ascii="Times New Roman" w:hAnsi="Times New Roman" w:eastAsia="Times New Roman" w:cs="Times New Roman"/>
          <w:spacing w:val="-3"/>
          <w:sz w:val="24"/>
          <w:szCs w:val="24"/>
        </w:rPr>
        <w:t>——</w:t>
      </w:r>
      <w:r>
        <w:rPr>
          <w:rFonts w:ascii="宋体" w:hAnsi="宋体" w:eastAsia="宋体" w:cs="宋体"/>
          <w:spacing w:val="-3"/>
          <w:sz w:val="24"/>
          <w:szCs w:val="24"/>
        </w:rPr>
        <w:t>中心位置位于透声面积（</w:t>
      </w:r>
      <w:r>
        <w:rPr>
          <w:rFonts w:ascii="Times New Roman" w:hAnsi="Times New Roman" w:eastAsia="Times New Roman" w:cs="Times New Roman"/>
          <w:i/>
          <w:iCs/>
          <w:spacing w:val="-3"/>
          <w:sz w:val="24"/>
          <w:szCs w:val="24"/>
        </w:rPr>
        <w:t>S</w:t>
      </w:r>
      <w:r>
        <w:rPr>
          <w:rFonts w:ascii="宋体" w:hAnsi="宋体" w:eastAsia="宋体" w:cs="宋体"/>
          <w:spacing w:val="-3"/>
          <w:sz w:val="24"/>
          <w:szCs w:val="24"/>
        </w:rPr>
        <w:t>）处的等效声源的倍频带声功率级</w:t>
      </w:r>
      <w:r>
        <w:rPr>
          <w:rFonts w:ascii="宋体" w:hAnsi="宋体" w:eastAsia="宋体" w:cs="宋体"/>
          <w:spacing w:val="-4"/>
          <w:sz w:val="24"/>
          <w:szCs w:val="24"/>
        </w:rPr>
        <w:t>，</w:t>
      </w:r>
      <w:r>
        <w:rPr>
          <w:rFonts w:ascii="Times New Roman" w:hAnsi="Times New Roman" w:eastAsia="Times New Roman" w:cs="Times New Roman"/>
          <w:spacing w:val="-4"/>
          <w:sz w:val="24"/>
          <w:szCs w:val="24"/>
        </w:rPr>
        <w:t>dB</w:t>
      </w:r>
      <w:r>
        <w:rPr>
          <w:rFonts w:ascii="宋体" w:hAnsi="宋体" w:eastAsia="宋体" w:cs="宋体"/>
          <w:spacing w:val="-4"/>
          <w:sz w:val="24"/>
          <w:szCs w:val="24"/>
        </w:rPr>
        <w:t>；</w:t>
      </w:r>
    </w:p>
    <w:p w14:paraId="6DC275C5">
      <w:pPr>
        <w:spacing w:before="183" w:line="221" w:lineRule="auto"/>
        <w:ind w:left="502"/>
        <w:rPr>
          <w:rFonts w:ascii="宋体" w:hAnsi="宋体" w:eastAsia="宋体" w:cs="宋体"/>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i/>
          <w:iCs/>
          <w:position w:val="-2"/>
          <w:sz w:val="15"/>
          <w:szCs w:val="15"/>
        </w:rPr>
        <w:t>p</w:t>
      </w:r>
      <w:r>
        <w:rPr>
          <w:rFonts w:ascii="Times New Roman" w:hAnsi="Times New Roman" w:eastAsia="Times New Roman" w:cs="Times New Roman"/>
          <w:position w:val="-2"/>
          <w:sz w:val="15"/>
          <w:szCs w:val="15"/>
        </w:rPr>
        <w:t>2</w:t>
      </w:r>
      <w:r>
        <w:rPr>
          <w:rFonts w:ascii="Times New Roman" w:hAnsi="Times New Roman" w:eastAsia="Times New Roman" w:cs="Times New Roman"/>
          <w:sz w:val="24"/>
          <w:szCs w:val="24"/>
        </w:rPr>
        <w:t>(</w:t>
      </w:r>
      <w:r>
        <w:rPr>
          <w:rFonts w:ascii="Times New Roman" w:hAnsi="Times New Roman" w:eastAsia="Times New Roman" w:cs="Times New Roman"/>
          <w:i/>
          <w:iCs/>
          <w:sz w:val="24"/>
          <w:szCs w:val="24"/>
        </w:rPr>
        <w:t>T</w:t>
      </w:r>
      <w:r>
        <w:rPr>
          <w:rFonts w:ascii="Times New Roman" w:hAnsi="Times New Roman" w:eastAsia="Times New Roman" w:cs="Times New Roman"/>
          <w:sz w:val="24"/>
          <w:szCs w:val="24"/>
        </w:rPr>
        <w:t>)——</w:t>
      </w:r>
      <w:r>
        <w:rPr>
          <w:rFonts w:ascii="宋体" w:hAnsi="宋体" w:eastAsia="宋体" w:cs="宋体"/>
          <w:sz w:val="24"/>
          <w:szCs w:val="24"/>
        </w:rPr>
        <w:t>靠近围护结构处室外声源的声压级，</w:t>
      </w:r>
      <w:r>
        <w:rPr>
          <w:rFonts w:ascii="Times New Roman" w:hAnsi="Times New Roman" w:eastAsia="Times New Roman" w:cs="Times New Roman"/>
          <w:sz w:val="24"/>
          <w:szCs w:val="24"/>
        </w:rPr>
        <w:t>dB</w:t>
      </w:r>
      <w:r>
        <w:rPr>
          <w:rFonts w:ascii="宋体" w:hAnsi="宋体" w:eastAsia="宋体" w:cs="宋体"/>
          <w:sz w:val="24"/>
          <w:szCs w:val="24"/>
        </w:rPr>
        <w:t>；</w:t>
      </w:r>
    </w:p>
    <w:p w14:paraId="46B0BBED">
      <w:pPr>
        <w:spacing w:before="167" w:line="231" w:lineRule="auto"/>
        <w:ind w:left="511"/>
        <w:rPr>
          <w:rFonts w:ascii="宋体" w:hAnsi="宋体" w:eastAsia="宋体" w:cs="宋体"/>
          <w:sz w:val="24"/>
          <w:szCs w:val="24"/>
        </w:rPr>
      </w:pPr>
      <w:r>
        <w:rPr>
          <w:rFonts w:ascii="Times New Roman" w:hAnsi="Times New Roman" w:eastAsia="Times New Roman" w:cs="Times New Roman"/>
          <w:i/>
          <w:iCs/>
          <w:sz w:val="24"/>
          <w:szCs w:val="24"/>
        </w:rPr>
        <w:t>S</w:t>
      </w:r>
      <w:r>
        <w:rPr>
          <w:rFonts w:ascii="Times New Roman" w:hAnsi="Times New Roman" w:eastAsia="Times New Roman" w:cs="Times New Roman"/>
          <w:sz w:val="24"/>
          <w:szCs w:val="24"/>
        </w:rPr>
        <w:t>——</w:t>
      </w:r>
      <w:r>
        <w:rPr>
          <w:rFonts w:ascii="宋体" w:hAnsi="宋体" w:eastAsia="宋体" w:cs="宋体"/>
          <w:sz w:val="24"/>
          <w:szCs w:val="24"/>
        </w:rPr>
        <w:t>透声面积，</w:t>
      </w:r>
      <w:r>
        <w:rPr>
          <w:rFonts w:ascii="Times New Roman" w:hAnsi="Times New Roman" w:eastAsia="Times New Roman" w:cs="Times New Roman"/>
          <w:sz w:val="24"/>
          <w:szCs w:val="24"/>
        </w:rPr>
        <w:t>m</w:t>
      </w:r>
      <w:r>
        <w:rPr>
          <w:rFonts w:ascii="Times New Roman" w:hAnsi="Times New Roman" w:eastAsia="Times New Roman" w:cs="Times New Roman"/>
          <w:position w:val="10"/>
          <w:sz w:val="15"/>
          <w:szCs w:val="15"/>
        </w:rPr>
        <w:t>2</w:t>
      </w:r>
      <w:r>
        <w:rPr>
          <w:rFonts w:ascii="宋体" w:hAnsi="宋体" w:eastAsia="宋体" w:cs="宋体"/>
          <w:sz w:val="24"/>
          <w:szCs w:val="24"/>
        </w:rPr>
        <w:t>。</w:t>
      </w:r>
    </w:p>
    <w:p w14:paraId="02E95BE6">
      <w:pPr>
        <w:spacing w:before="18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）单个室外点声源在预测点产生的</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声级的计算</w:t>
      </w:r>
    </w:p>
    <w:p w14:paraId="39F73BB2">
      <w:pPr>
        <w:spacing w:before="246" w:line="378" w:lineRule="auto"/>
        <w:ind w:left="524" w:right="1353" w:firstLine="836"/>
        <w:rPr>
          <w:rFonts w:ascii="宋体" w:hAnsi="宋体" w:eastAsia="宋体" w:cs="宋体"/>
          <w:sz w:val="24"/>
          <w:szCs w:val="24"/>
        </w:rPr>
      </w:pPr>
      <w:r>
        <w:rPr>
          <w:rFonts w:ascii="Cambria" w:hAnsi="Cambria" w:eastAsia="Cambria" w:cs="Cambria"/>
          <w:position w:val="1"/>
          <w:sz w:val="28"/>
          <w:szCs w:val="28"/>
        </w:rPr>
        <w:t>L</w:t>
      </w:r>
      <w:r>
        <w:rPr>
          <w:rFonts w:ascii="Cambria" w:hAnsi="Cambria" w:eastAsia="Cambria" w:cs="Cambria"/>
          <w:position w:val="-3"/>
          <w:sz w:val="19"/>
          <w:szCs w:val="19"/>
        </w:rPr>
        <w:t>p</w:t>
      </w:r>
      <w:r>
        <w:rPr>
          <w:rFonts w:ascii="Cambria" w:hAnsi="Cambria" w:eastAsia="Cambria" w:cs="Cambria"/>
          <w:spacing w:val="-5"/>
          <w:position w:val="-3"/>
          <w:sz w:val="19"/>
          <w:szCs w:val="19"/>
        </w:rPr>
        <w:t xml:space="preserve"> </w:t>
      </w:r>
      <w:r>
        <w:rPr>
          <w:rFonts w:ascii="Cambria" w:hAnsi="Cambria" w:eastAsia="Cambria" w:cs="Cambria"/>
          <w:spacing w:val="5"/>
          <w:position w:val="1"/>
          <w:sz w:val="28"/>
          <w:szCs w:val="28"/>
        </w:rPr>
        <w:t>(r)</w:t>
      </w:r>
      <w:r>
        <w:rPr>
          <w:rFonts w:ascii="Cambria" w:hAnsi="Cambria" w:eastAsia="Cambria" w:cs="Cambria"/>
          <w:spacing w:val="23"/>
          <w:position w:val="1"/>
          <w:sz w:val="28"/>
          <w:szCs w:val="28"/>
        </w:rPr>
        <w:t xml:space="preserve"> </w:t>
      </w:r>
      <w:r>
        <w:rPr>
          <w:rFonts w:ascii="Cambria" w:hAnsi="Cambria" w:eastAsia="Cambria" w:cs="Cambria"/>
          <w:spacing w:val="5"/>
          <w:position w:val="1"/>
          <w:sz w:val="28"/>
          <w:szCs w:val="28"/>
        </w:rPr>
        <w:t xml:space="preserve">= </w:t>
      </w:r>
      <w:r>
        <w:rPr>
          <w:rFonts w:ascii="Cambria" w:hAnsi="Cambria" w:eastAsia="Cambria" w:cs="Cambria"/>
          <w:position w:val="1"/>
          <w:sz w:val="28"/>
          <w:szCs w:val="28"/>
        </w:rPr>
        <w:t>L</w:t>
      </w:r>
      <w:r>
        <w:rPr>
          <w:rFonts w:ascii="Cambria" w:hAnsi="Cambria" w:eastAsia="Cambria" w:cs="Cambria"/>
          <w:position w:val="-3"/>
          <w:sz w:val="19"/>
          <w:szCs w:val="19"/>
        </w:rPr>
        <w:t>w</w:t>
      </w:r>
      <w:r>
        <w:rPr>
          <w:rFonts w:ascii="Cambria" w:hAnsi="Cambria" w:eastAsia="Cambria" w:cs="Cambria"/>
          <w:spacing w:val="5"/>
          <w:position w:val="-3"/>
          <w:sz w:val="19"/>
          <w:szCs w:val="19"/>
        </w:rPr>
        <w:t xml:space="preserve">  </w:t>
      </w:r>
      <w:r>
        <w:rPr>
          <w:rFonts w:ascii="Cambria" w:hAnsi="Cambria" w:eastAsia="Cambria" w:cs="Cambria"/>
          <w:spacing w:val="5"/>
          <w:position w:val="1"/>
          <w:sz w:val="28"/>
          <w:szCs w:val="28"/>
        </w:rPr>
        <w:t>+</w:t>
      </w:r>
      <w:r>
        <w:rPr>
          <w:rFonts w:ascii="Cambria" w:hAnsi="Cambria" w:eastAsia="Cambria" w:cs="Cambria"/>
          <w:position w:val="1"/>
          <w:sz w:val="28"/>
          <w:szCs w:val="28"/>
        </w:rPr>
        <w:t>D</w:t>
      </w:r>
      <w:r>
        <w:rPr>
          <w:rFonts w:ascii="Cambria" w:hAnsi="Cambria" w:eastAsia="Cambria" w:cs="Cambria"/>
          <w:position w:val="-3"/>
          <w:sz w:val="19"/>
          <w:szCs w:val="19"/>
        </w:rPr>
        <w:t>c</w:t>
      </w:r>
      <w:r>
        <w:rPr>
          <w:rFonts w:ascii="Cambria" w:hAnsi="Cambria" w:eastAsia="Cambria" w:cs="Cambria"/>
          <w:spacing w:val="5"/>
          <w:position w:val="-3"/>
          <w:sz w:val="19"/>
          <w:szCs w:val="19"/>
        </w:rPr>
        <w:t xml:space="preserve">  </w:t>
      </w:r>
      <w:r>
        <w:rPr>
          <w:rFonts w:ascii="Cambria" w:hAnsi="Cambria" w:eastAsia="Cambria" w:cs="Cambria"/>
          <w:spacing w:val="5"/>
          <w:position w:val="1"/>
          <w:sz w:val="28"/>
          <w:szCs w:val="28"/>
        </w:rPr>
        <w:t>__ (</w:t>
      </w:r>
      <w:r>
        <w:rPr>
          <w:rFonts w:ascii="Cambria" w:hAnsi="Cambria" w:eastAsia="Cambria" w:cs="Cambria"/>
          <w:position w:val="1"/>
          <w:sz w:val="28"/>
          <w:szCs w:val="28"/>
        </w:rPr>
        <w:t>A</w:t>
      </w:r>
      <w:r>
        <w:rPr>
          <w:rFonts w:ascii="Cambria" w:hAnsi="Cambria" w:eastAsia="Cambria" w:cs="Cambria"/>
          <w:position w:val="-3"/>
          <w:sz w:val="19"/>
          <w:szCs w:val="19"/>
        </w:rPr>
        <w:t>div</w:t>
      </w:r>
      <w:r>
        <w:rPr>
          <w:rFonts w:ascii="Cambria" w:hAnsi="Cambria" w:eastAsia="Cambria" w:cs="Cambria"/>
          <w:spacing w:val="5"/>
          <w:position w:val="-3"/>
          <w:sz w:val="19"/>
          <w:szCs w:val="19"/>
        </w:rPr>
        <w:t xml:space="preserve">  </w:t>
      </w:r>
      <w:r>
        <w:rPr>
          <w:rFonts w:ascii="Cambria" w:hAnsi="Cambria" w:eastAsia="Cambria" w:cs="Cambria"/>
          <w:spacing w:val="5"/>
          <w:position w:val="1"/>
          <w:sz w:val="28"/>
          <w:szCs w:val="28"/>
        </w:rPr>
        <w:t>+</w:t>
      </w:r>
      <w:r>
        <w:rPr>
          <w:rFonts w:ascii="Cambria" w:hAnsi="Cambria" w:eastAsia="Cambria" w:cs="Cambria"/>
          <w:position w:val="1"/>
          <w:sz w:val="28"/>
          <w:szCs w:val="28"/>
        </w:rPr>
        <w:t>A</w:t>
      </w:r>
      <w:r>
        <w:rPr>
          <w:rFonts w:ascii="Cambria" w:hAnsi="Cambria" w:eastAsia="Cambria" w:cs="Cambria"/>
          <w:position w:val="-3"/>
          <w:sz w:val="19"/>
          <w:szCs w:val="19"/>
        </w:rPr>
        <w:t>atm</w:t>
      </w:r>
      <w:r>
        <w:rPr>
          <w:rFonts w:ascii="Cambria" w:hAnsi="Cambria" w:eastAsia="Cambria" w:cs="Cambria"/>
          <w:spacing w:val="5"/>
          <w:position w:val="-3"/>
          <w:sz w:val="19"/>
          <w:szCs w:val="19"/>
        </w:rPr>
        <w:t xml:space="preserve">  </w:t>
      </w:r>
      <w:r>
        <w:rPr>
          <w:rFonts w:ascii="Cambria" w:hAnsi="Cambria" w:eastAsia="Cambria" w:cs="Cambria"/>
          <w:spacing w:val="5"/>
          <w:position w:val="1"/>
          <w:sz w:val="28"/>
          <w:szCs w:val="28"/>
        </w:rPr>
        <w:t>+</w:t>
      </w:r>
      <w:r>
        <w:rPr>
          <w:rFonts w:ascii="Cambria" w:hAnsi="Cambria" w:eastAsia="Cambria" w:cs="Cambria"/>
          <w:position w:val="1"/>
          <w:sz w:val="28"/>
          <w:szCs w:val="28"/>
        </w:rPr>
        <w:t>A</w:t>
      </w:r>
      <w:r>
        <w:rPr>
          <w:rFonts w:ascii="Cambria" w:hAnsi="Cambria" w:eastAsia="Cambria" w:cs="Cambria"/>
          <w:position w:val="-3"/>
          <w:sz w:val="19"/>
          <w:szCs w:val="19"/>
        </w:rPr>
        <w:t>gr</w:t>
      </w:r>
      <w:r>
        <w:rPr>
          <w:rFonts w:ascii="Cambria" w:hAnsi="Cambria" w:eastAsia="Cambria" w:cs="Cambria"/>
          <w:spacing w:val="5"/>
          <w:position w:val="-3"/>
          <w:sz w:val="19"/>
          <w:szCs w:val="19"/>
        </w:rPr>
        <w:t xml:space="preserve">  </w:t>
      </w:r>
      <w:r>
        <w:rPr>
          <w:rFonts w:ascii="Cambria" w:hAnsi="Cambria" w:eastAsia="Cambria" w:cs="Cambria"/>
          <w:spacing w:val="5"/>
          <w:position w:val="1"/>
          <w:sz w:val="28"/>
          <w:szCs w:val="28"/>
        </w:rPr>
        <w:t>+</w:t>
      </w:r>
      <w:r>
        <w:rPr>
          <w:rFonts w:ascii="Cambria" w:hAnsi="Cambria" w:eastAsia="Cambria" w:cs="Cambria"/>
          <w:position w:val="1"/>
          <w:sz w:val="28"/>
          <w:szCs w:val="28"/>
        </w:rPr>
        <w:t>A</w:t>
      </w:r>
      <w:r>
        <w:rPr>
          <w:rFonts w:ascii="Cambria" w:hAnsi="Cambria" w:eastAsia="Cambria" w:cs="Cambria"/>
          <w:position w:val="-3"/>
          <w:sz w:val="19"/>
          <w:szCs w:val="19"/>
        </w:rPr>
        <w:t>bar</w:t>
      </w:r>
      <w:r>
        <w:rPr>
          <w:rFonts w:ascii="Cambria" w:hAnsi="Cambria" w:eastAsia="Cambria" w:cs="Cambria"/>
          <w:spacing w:val="5"/>
          <w:position w:val="-3"/>
          <w:sz w:val="19"/>
          <w:szCs w:val="19"/>
        </w:rPr>
        <w:t xml:space="preserve">  </w:t>
      </w:r>
      <w:r>
        <w:rPr>
          <w:rFonts w:ascii="Cambria" w:hAnsi="Cambria" w:eastAsia="Cambria" w:cs="Cambria"/>
          <w:spacing w:val="5"/>
          <w:position w:val="1"/>
          <w:sz w:val="28"/>
          <w:szCs w:val="28"/>
        </w:rPr>
        <w:t>+</w:t>
      </w:r>
      <w:r>
        <w:rPr>
          <w:rFonts w:ascii="Cambria" w:hAnsi="Cambria" w:eastAsia="Cambria" w:cs="Cambria"/>
          <w:position w:val="1"/>
          <w:sz w:val="28"/>
          <w:szCs w:val="28"/>
        </w:rPr>
        <w:t>A</w:t>
      </w:r>
      <w:r>
        <w:rPr>
          <w:rFonts w:ascii="Cambria" w:hAnsi="Cambria" w:eastAsia="Cambria" w:cs="Cambria"/>
          <w:sz w:val="19"/>
          <w:szCs w:val="19"/>
        </w:rPr>
        <w:t>misc</w:t>
      </w:r>
      <w:r>
        <w:rPr>
          <w:rFonts w:ascii="Cambria" w:hAnsi="Cambria" w:eastAsia="Cambria" w:cs="Cambria"/>
          <w:spacing w:val="5"/>
          <w:sz w:val="28"/>
          <w:szCs w:val="28"/>
        </w:rPr>
        <w:t>)</w:t>
      </w:r>
      <w:r>
        <w:rPr>
          <w:rFonts w:ascii="宋体" w:hAnsi="宋体" w:eastAsia="宋体" w:cs="宋体"/>
          <w:spacing w:val="-16"/>
          <w:sz w:val="24"/>
          <w:szCs w:val="24"/>
        </w:rPr>
        <w:t>式中：</w:t>
      </w:r>
    </w:p>
    <w:p w14:paraId="2AE9B780">
      <w:pPr>
        <w:spacing w:line="221" w:lineRule="auto"/>
        <w:ind w:left="502"/>
        <w:rPr>
          <w:rFonts w:ascii="宋体" w:hAnsi="宋体" w:eastAsia="宋体" w:cs="宋体"/>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i/>
          <w:iCs/>
          <w:position w:val="-2"/>
          <w:sz w:val="15"/>
          <w:szCs w:val="15"/>
        </w:rPr>
        <w:t>p</w:t>
      </w:r>
      <w:r>
        <w:rPr>
          <w:rFonts w:ascii="Times New Roman" w:hAnsi="Times New Roman" w:eastAsia="Times New Roman" w:cs="Times New Roman"/>
          <w:sz w:val="24"/>
          <w:szCs w:val="24"/>
        </w:rPr>
        <w:t>(</w:t>
      </w:r>
      <w:r>
        <w:rPr>
          <w:rFonts w:ascii="Times New Roman" w:hAnsi="Times New Roman" w:eastAsia="Times New Roman" w:cs="Times New Roman"/>
          <w:i/>
          <w:iCs/>
          <w:sz w:val="24"/>
          <w:szCs w:val="24"/>
        </w:rPr>
        <w:t>r</w:t>
      </w:r>
      <w:r>
        <w:rPr>
          <w:rFonts w:ascii="Times New Roman" w:hAnsi="Times New Roman" w:eastAsia="Times New Roman" w:cs="Times New Roman"/>
          <w:sz w:val="24"/>
          <w:szCs w:val="24"/>
        </w:rPr>
        <w:t>)——</w:t>
      </w:r>
      <w:r>
        <w:rPr>
          <w:rFonts w:ascii="宋体" w:hAnsi="宋体" w:eastAsia="宋体" w:cs="宋体"/>
          <w:sz w:val="24"/>
          <w:szCs w:val="24"/>
        </w:rPr>
        <w:t>预测点处声压级，</w:t>
      </w:r>
      <w:r>
        <w:rPr>
          <w:rFonts w:ascii="Times New Roman" w:hAnsi="Times New Roman" w:eastAsia="Times New Roman" w:cs="Times New Roman"/>
          <w:sz w:val="24"/>
          <w:szCs w:val="24"/>
        </w:rPr>
        <w:t>dB</w:t>
      </w:r>
      <w:r>
        <w:rPr>
          <w:rFonts w:ascii="宋体" w:hAnsi="宋体" w:eastAsia="宋体" w:cs="宋体"/>
          <w:sz w:val="24"/>
          <w:szCs w:val="24"/>
        </w:rPr>
        <w:t>；</w:t>
      </w:r>
    </w:p>
    <w:p w14:paraId="345F7069">
      <w:pPr>
        <w:spacing w:before="180" w:line="220" w:lineRule="auto"/>
        <w:ind w:left="494"/>
        <w:rPr>
          <w:rFonts w:ascii="宋体" w:hAnsi="宋体" w:eastAsia="宋体" w:cs="宋体"/>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i/>
          <w:iCs/>
          <w:position w:val="-2"/>
          <w:sz w:val="15"/>
          <w:szCs w:val="15"/>
        </w:rPr>
        <w:t>w</w:t>
      </w:r>
      <w:r>
        <w:rPr>
          <w:rFonts w:ascii="Times New Roman" w:hAnsi="Times New Roman" w:eastAsia="Times New Roman" w:cs="Times New Roman"/>
          <w:sz w:val="24"/>
          <w:szCs w:val="24"/>
        </w:rPr>
        <w:t>——</w:t>
      </w:r>
      <w:r>
        <w:rPr>
          <w:rFonts w:ascii="宋体" w:hAnsi="宋体" w:eastAsia="宋体" w:cs="宋体"/>
          <w:sz w:val="24"/>
          <w:szCs w:val="24"/>
        </w:rPr>
        <w:t>由点声源产生的声功率级（</w:t>
      </w:r>
      <w:r>
        <w:rPr>
          <w:rFonts w:ascii="Times New Roman" w:hAnsi="Times New Roman" w:eastAsia="Times New Roman" w:cs="Times New Roman"/>
          <w:sz w:val="24"/>
          <w:szCs w:val="24"/>
        </w:rPr>
        <w:t xml:space="preserve">A </w:t>
      </w:r>
      <w:r>
        <w:rPr>
          <w:rFonts w:ascii="宋体" w:hAnsi="宋体" w:eastAsia="宋体" w:cs="宋体"/>
          <w:sz w:val="24"/>
          <w:szCs w:val="24"/>
        </w:rPr>
        <w:t>计权或倍频带</w:t>
      </w:r>
      <w:r>
        <w:rPr>
          <w:rFonts w:ascii="宋体" w:hAnsi="宋体" w:eastAsia="宋体" w:cs="宋体"/>
          <w:spacing w:val="1"/>
          <w:sz w:val="24"/>
          <w:szCs w:val="24"/>
        </w:rPr>
        <w:t>），</w:t>
      </w:r>
      <w:r>
        <w:rPr>
          <w:rFonts w:ascii="Times New Roman" w:hAnsi="Times New Roman" w:eastAsia="Times New Roman" w:cs="Times New Roman"/>
          <w:sz w:val="24"/>
          <w:szCs w:val="24"/>
        </w:rPr>
        <w:t>dB</w:t>
      </w:r>
      <w:r>
        <w:rPr>
          <w:rFonts w:ascii="宋体" w:hAnsi="宋体" w:eastAsia="宋体" w:cs="宋体"/>
          <w:sz w:val="24"/>
          <w:szCs w:val="24"/>
        </w:rPr>
        <w:t>；</w:t>
      </w:r>
    </w:p>
    <w:p w14:paraId="1841CA73">
      <w:pPr>
        <w:spacing w:before="183" w:line="360" w:lineRule="auto"/>
        <w:ind w:left="39" w:right="31" w:firstLine="463"/>
        <w:rPr>
          <w:rFonts w:ascii="宋体" w:hAnsi="宋体" w:eastAsia="宋体" w:cs="宋体"/>
          <w:sz w:val="24"/>
          <w:szCs w:val="24"/>
        </w:rPr>
      </w:pPr>
      <w:r>
        <w:rPr>
          <w:rFonts w:ascii="Times New Roman" w:hAnsi="Times New Roman" w:eastAsia="Times New Roman" w:cs="Times New Roman"/>
          <w:i/>
          <w:iCs/>
          <w:sz w:val="24"/>
          <w:szCs w:val="24"/>
        </w:rPr>
        <w:t>D</w:t>
      </w:r>
      <w:r>
        <w:rPr>
          <w:rFonts w:ascii="Times New Roman" w:hAnsi="Times New Roman" w:eastAsia="Times New Roman" w:cs="Times New Roman"/>
          <w:i/>
          <w:iCs/>
          <w:position w:val="-2"/>
          <w:sz w:val="15"/>
          <w:szCs w:val="15"/>
        </w:rPr>
        <w:t>c</w:t>
      </w:r>
      <w:r>
        <w:rPr>
          <w:rFonts w:ascii="Times New Roman" w:hAnsi="Times New Roman" w:eastAsia="Times New Roman" w:cs="Times New Roman"/>
          <w:sz w:val="24"/>
          <w:szCs w:val="24"/>
        </w:rPr>
        <w:t>——</w:t>
      </w:r>
      <w:r>
        <w:rPr>
          <w:rFonts w:ascii="宋体" w:hAnsi="宋体" w:eastAsia="宋体" w:cs="宋体"/>
          <w:sz w:val="24"/>
          <w:szCs w:val="24"/>
        </w:rPr>
        <w:t>指向性校正，它描述点声源的等效连续声压级与产生声功率级</w:t>
      </w:r>
      <w:r>
        <w:rPr>
          <w:rFonts w:ascii="宋体" w:hAnsi="宋体" w:eastAsia="宋体" w:cs="宋体"/>
          <w:spacing w:val="-35"/>
          <w:sz w:val="24"/>
          <w:szCs w:val="24"/>
        </w:rPr>
        <w:t xml:space="preserve"> </w:t>
      </w:r>
      <w:r>
        <w:rPr>
          <w:rFonts w:ascii="Times New Roman" w:hAnsi="Times New Roman" w:eastAsia="Times New Roman" w:cs="Times New Roman"/>
          <w:i/>
          <w:iCs/>
          <w:sz w:val="24"/>
          <w:szCs w:val="24"/>
        </w:rPr>
        <w:t>L</w:t>
      </w:r>
      <w:r>
        <w:rPr>
          <w:rFonts w:ascii="Times New Roman" w:hAnsi="Times New Roman" w:eastAsia="Times New Roman" w:cs="Times New Roman"/>
          <w:i/>
          <w:iCs/>
          <w:position w:val="-2"/>
          <w:sz w:val="15"/>
          <w:szCs w:val="15"/>
        </w:rPr>
        <w:t>w</w:t>
      </w:r>
      <w:r>
        <w:rPr>
          <w:rFonts w:ascii="Times New Roman" w:hAnsi="Times New Roman" w:eastAsia="Times New Roman" w:cs="Times New Roman"/>
          <w:i/>
          <w:iCs/>
          <w:spacing w:val="-1"/>
          <w:position w:val="-2"/>
          <w:sz w:val="15"/>
          <w:szCs w:val="15"/>
        </w:rPr>
        <w:t xml:space="preserve">  </w:t>
      </w:r>
      <w:r>
        <w:rPr>
          <w:rFonts w:ascii="宋体" w:hAnsi="宋体" w:eastAsia="宋体" w:cs="宋体"/>
          <w:spacing w:val="-1"/>
          <w:sz w:val="24"/>
          <w:szCs w:val="24"/>
        </w:rPr>
        <w:t>的全向点声源在规定方向的声级的偏差程度，</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14:paraId="3988053A">
      <w:pPr>
        <w:spacing w:before="1" w:line="218" w:lineRule="auto"/>
        <w:ind w:left="498"/>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position w:val="-2"/>
          <w:sz w:val="15"/>
          <w:szCs w:val="15"/>
        </w:rPr>
        <w:t>div</w:t>
      </w:r>
      <w:r>
        <w:rPr>
          <w:rFonts w:ascii="Times New Roman" w:hAnsi="Times New Roman" w:eastAsia="Times New Roman" w:cs="Times New Roman"/>
          <w:spacing w:val="1"/>
          <w:sz w:val="24"/>
          <w:szCs w:val="24"/>
        </w:rPr>
        <w:t>——</w:t>
      </w:r>
      <w:r>
        <w:rPr>
          <w:rFonts w:ascii="宋体" w:hAnsi="宋体" w:eastAsia="宋体" w:cs="宋体"/>
          <w:spacing w:val="1"/>
          <w:sz w:val="24"/>
          <w:szCs w:val="24"/>
        </w:rPr>
        <w:t>几何发散引起的衰减，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28BE20FD">
      <w:pPr>
        <w:spacing w:before="183" w:line="220" w:lineRule="auto"/>
        <w:ind w:left="498"/>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position w:val="-2"/>
          <w:sz w:val="15"/>
          <w:szCs w:val="15"/>
        </w:rPr>
        <w:t>atm</w:t>
      </w:r>
      <w:r>
        <w:rPr>
          <w:rFonts w:ascii="Times New Roman" w:hAnsi="Times New Roman" w:eastAsia="Times New Roman" w:cs="Times New Roman"/>
          <w:spacing w:val="2"/>
          <w:sz w:val="24"/>
          <w:szCs w:val="24"/>
        </w:rPr>
        <w:t>——</w:t>
      </w:r>
      <w:r>
        <w:rPr>
          <w:rFonts w:ascii="宋体" w:hAnsi="宋体" w:eastAsia="宋体" w:cs="宋体"/>
          <w:spacing w:val="2"/>
          <w:sz w:val="24"/>
          <w:szCs w:val="24"/>
        </w:rPr>
        <w:t>大气吸收引起的衰减，</w:t>
      </w:r>
      <w:r>
        <w:rPr>
          <w:rFonts w:ascii="Times New Roman" w:hAnsi="Times New Roman" w:eastAsia="Times New Roman" w:cs="Times New Roman"/>
          <w:sz w:val="24"/>
          <w:szCs w:val="24"/>
        </w:rPr>
        <w:t>dB</w:t>
      </w:r>
      <w:r>
        <w:rPr>
          <w:rFonts w:ascii="宋体" w:hAnsi="宋体" w:eastAsia="宋体" w:cs="宋体"/>
          <w:spacing w:val="2"/>
          <w:sz w:val="24"/>
          <w:szCs w:val="24"/>
        </w:rPr>
        <w:t>；</w:t>
      </w:r>
    </w:p>
    <w:p w14:paraId="367AFB93">
      <w:pPr>
        <w:spacing w:before="183" w:line="221" w:lineRule="auto"/>
        <w:ind w:left="498"/>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position w:val="-2"/>
          <w:sz w:val="15"/>
          <w:szCs w:val="15"/>
        </w:rPr>
        <w:t>gr</w:t>
      </w:r>
      <w:r>
        <w:rPr>
          <w:rFonts w:ascii="Times New Roman" w:hAnsi="Times New Roman" w:eastAsia="Times New Roman" w:cs="Times New Roman"/>
          <w:spacing w:val="1"/>
          <w:sz w:val="24"/>
          <w:szCs w:val="24"/>
        </w:rPr>
        <w:t>——</w:t>
      </w:r>
      <w:r>
        <w:rPr>
          <w:rFonts w:ascii="宋体" w:hAnsi="宋体" w:eastAsia="宋体" w:cs="宋体"/>
          <w:spacing w:val="1"/>
          <w:sz w:val="24"/>
          <w:szCs w:val="24"/>
        </w:rPr>
        <w:t>地面效应引起的衰减，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564F9866">
      <w:pPr>
        <w:spacing w:before="179" w:line="220" w:lineRule="auto"/>
        <w:ind w:left="498"/>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position w:val="-2"/>
          <w:sz w:val="15"/>
          <w:szCs w:val="15"/>
        </w:rPr>
        <w:t>bar</w:t>
      </w:r>
      <w:r>
        <w:rPr>
          <w:rFonts w:ascii="Times New Roman" w:hAnsi="Times New Roman" w:eastAsia="Times New Roman" w:cs="Times New Roman"/>
          <w:spacing w:val="31"/>
          <w:position w:val="-2"/>
          <w:sz w:val="15"/>
          <w:szCs w:val="15"/>
        </w:rPr>
        <w:t xml:space="preserve"> </w:t>
      </w:r>
      <w:r>
        <w:rPr>
          <w:rFonts w:ascii="Times New Roman" w:hAnsi="Times New Roman" w:eastAsia="Times New Roman" w:cs="Times New Roman"/>
          <w:spacing w:val="1"/>
          <w:sz w:val="24"/>
          <w:szCs w:val="24"/>
        </w:rPr>
        <w:t>——</w:t>
      </w:r>
      <w:r>
        <w:rPr>
          <w:rFonts w:ascii="宋体" w:hAnsi="宋体" w:eastAsia="宋体" w:cs="宋体"/>
          <w:spacing w:val="1"/>
          <w:sz w:val="24"/>
          <w:szCs w:val="24"/>
        </w:rPr>
        <w:t>障碍物屏蔽引起的衰减，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0B81E151">
      <w:pPr>
        <w:spacing w:before="183" w:line="220" w:lineRule="auto"/>
        <w:ind w:left="498"/>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position w:val="-2"/>
          <w:sz w:val="15"/>
          <w:szCs w:val="15"/>
        </w:rPr>
        <w:t>misc</w:t>
      </w:r>
      <w:r>
        <w:rPr>
          <w:rFonts w:ascii="Times New Roman" w:hAnsi="Times New Roman" w:eastAsia="Times New Roman" w:cs="Times New Roman"/>
          <w:spacing w:val="1"/>
          <w:sz w:val="24"/>
          <w:szCs w:val="24"/>
        </w:rPr>
        <w:t>——</w:t>
      </w:r>
      <w:r>
        <w:rPr>
          <w:rFonts w:ascii="宋体" w:hAnsi="宋体" w:eastAsia="宋体" w:cs="宋体"/>
          <w:spacing w:val="1"/>
          <w:sz w:val="24"/>
          <w:szCs w:val="24"/>
        </w:rPr>
        <w:t>其他多方面效应引起的衰减，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4CC4333C">
      <w:pPr>
        <w:spacing w:before="182" w:line="221"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）声源对预测点产生的贡献值（</w:t>
      </w:r>
      <w:r>
        <w:rPr>
          <w:rFonts w:ascii="Times New Roman" w:hAnsi="Times New Roman" w:eastAsia="Times New Roman" w:cs="Times New Roman"/>
          <w:i/>
          <w:iCs/>
          <w:spacing w:val="-1"/>
          <w:sz w:val="24"/>
          <w:szCs w:val="24"/>
        </w:rPr>
        <w:t>L</w:t>
      </w:r>
      <w:r>
        <w:rPr>
          <w:rFonts w:ascii="Times New Roman" w:hAnsi="Times New Roman" w:eastAsia="Times New Roman" w:cs="Times New Roman"/>
          <w:spacing w:val="-1"/>
          <w:position w:val="-2"/>
          <w:sz w:val="15"/>
          <w:szCs w:val="15"/>
        </w:rPr>
        <w:t>eqg</w:t>
      </w:r>
      <w:r>
        <w:rPr>
          <w:rFonts w:ascii="宋体" w:hAnsi="宋体" w:eastAsia="宋体" w:cs="宋体"/>
          <w:spacing w:val="-1"/>
          <w:sz w:val="24"/>
          <w:szCs w:val="24"/>
        </w:rPr>
        <w:t>）</w:t>
      </w:r>
    </w:p>
    <w:p w14:paraId="75A79076">
      <w:pPr>
        <w:spacing w:line="221" w:lineRule="auto"/>
        <w:rPr>
          <w:rFonts w:ascii="宋体" w:hAnsi="宋体" w:eastAsia="宋体" w:cs="宋体"/>
          <w:sz w:val="24"/>
          <w:szCs w:val="24"/>
        </w:rPr>
        <w:sectPr>
          <w:footerReference r:id="rId381" w:type="default"/>
          <w:pgSz w:w="11905" w:h="16840"/>
          <w:pgMar w:top="1168" w:right="1768" w:bottom="1409" w:left="1770" w:header="828" w:footer="1244" w:gutter="0"/>
          <w:cols w:space="720" w:num="1"/>
        </w:sectPr>
      </w:pPr>
    </w:p>
    <w:p w14:paraId="548D32CF">
      <w:pPr>
        <w:pStyle w:val="2"/>
        <w:spacing w:line="301" w:lineRule="auto"/>
      </w:pPr>
    </w:p>
    <w:p w14:paraId="2DA33F05">
      <w:pPr>
        <w:spacing w:line="900" w:lineRule="exact"/>
        <w:ind w:left="1757"/>
      </w:pPr>
      <w:r>
        <w:rPr>
          <w:position w:val="-18"/>
        </w:rPr>
        <w:drawing>
          <wp:inline distT="0" distB="0" distL="0" distR="0">
            <wp:extent cx="3084830" cy="57086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581"/>
                    <a:stretch>
                      <a:fillRect/>
                    </a:stretch>
                  </pic:blipFill>
                  <pic:spPr>
                    <a:xfrm>
                      <a:off x="0" y="0"/>
                      <a:ext cx="3085338" cy="571347"/>
                    </a:xfrm>
                    <a:prstGeom prst="rect">
                      <a:avLst/>
                    </a:prstGeom>
                  </pic:spPr>
                </pic:pic>
              </a:graphicData>
            </a:graphic>
          </wp:inline>
        </w:drawing>
      </w:r>
    </w:p>
    <w:p w14:paraId="0E610916">
      <w:pPr>
        <w:spacing w:before="119" w:line="220" w:lineRule="auto"/>
        <w:ind w:left="524"/>
        <w:rPr>
          <w:rFonts w:ascii="宋体" w:hAnsi="宋体" w:eastAsia="宋体" w:cs="宋体"/>
          <w:sz w:val="24"/>
          <w:szCs w:val="24"/>
        </w:rPr>
      </w:pPr>
      <w:r>
        <w:rPr>
          <w:rFonts w:ascii="宋体" w:hAnsi="宋体" w:eastAsia="宋体" w:cs="宋体"/>
          <w:spacing w:val="-16"/>
          <w:sz w:val="24"/>
          <w:szCs w:val="24"/>
        </w:rPr>
        <w:t>式中：</w:t>
      </w:r>
    </w:p>
    <w:p w14:paraId="64BDED8D">
      <w:pPr>
        <w:spacing w:before="182" w:line="221" w:lineRule="auto"/>
        <w:ind w:left="502"/>
        <w:rPr>
          <w:rFonts w:ascii="宋体" w:hAnsi="宋体" w:eastAsia="宋体" w:cs="宋体"/>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position w:val="-2"/>
          <w:sz w:val="15"/>
          <w:szCs w:val="15"/>
        </w:rPr>
        <w:t>eqg</w:t>
      </w:r>
      <w:r>
        <w:rPr>
          <w:rFonts w:ascii="Times New Roman" w:hAnsi="Times New Roman" w:eastAsia="Times New Roman" w:cs="Times New Roman"/>
          <w:spacing w:val="1"/>
          <w:sz w:val="24"/>
          <w:szCs w:val="24"/>
        </w:rPr>
        <w:t>——</w:t>
      </w:r>
      <w:r>
        <w:rPr>
          <w:rFonts w:ascii="宋体" w:hAnsi="宋体" w:eastAsia="宋体" w:cs="宋体"/>
          <w:spacing w:val="1"/>
          <w:sz w:val="24"/>
          <w:szCs w:val="24"/>
        </w:rPr>
        <w:t>建设项目声源在预测点产生的噪声贡献值，</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3328B7CC">
      <w:pPr>
        <w:spacing w:before="179" w:line="220" w:lineRule="auto"/>
        <w:ind w:left="526"/>
        <w:rPr>
          <w:rFonts w:ascii="宋体" w:hAnsi="宋体" w:eastAsia="宋体" w:cs="宋体"/>
          <w:sz w:val="24"/>
          <w:szCs w:val="24"/>
        </w:rPr>
      </w:pPr>
      <w:r>
        <w:rPr>
          <w:rFonts w:ascii="Times New Roman" w:hAnsi="Times New Roman" w:eastAsia="Times New Roman" w:cs="Times New Roman"/>
          <w:i/>
          <w:iCs/>
          <w:sz w:val="24"/>
          <w:szCs w:val="24"/>
        </w:rPr>
        <w:t>T</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sz w:val="24"/>
          <w:szCs w:val="24"/>
        </w:rPr>
        <w:t>——</w:t>
      </w:r>
      <w:r>
        <w:rPr>
          <w:rFonts w:ascii="宋体" w:hAnsi="宋体" w:eastAsia="宋体" w:cs="宋体"/>
          <w:sz w:val="24"/>
          <w:szCs w:val="24"/>
        </w:rPr>
        <w:t>用于计算等效声级的时间，</w:t>
      </w:r>
      <w:r>
        <w:rPr>
          <w:rFonts w:ascii="Times New Roman" w:hAnsi="Times New Roman" w:eastAsia="Times New Roman" w:cs="Times New Roman"/>
          <w:sz w:val="24"/>
          <w:szCs w:val="24"/>
        </w:rPr>
        <w:t>s</w:t>
      </w:r>
      <w:r>
        <w:rPr>
          <w:rFonts w:ascii="宋体" w:hAnsi="宋体" w:eastAsia="宋体" w:cs="宋体"/>
          <w:sz w:val="24"/>
          <w:szCs w:val="24"/>
        </w:rPr>
        <w:t>；</w:t>
      </w:r>
    </w:p>
    <w:p w14:paraId="3E76450D">
      <w:pPr>
        <w:spacing w:before="181" w:line="220" w:lineRule="auto"/>
        <w:ind w:left="503"/>
        <w:rPr>
          <w:rFonts w:ascii="宋体" w:hAnsi="宋体" w:eastAsia="宋体" w:cs="宋体"/>
          <w:sz w:val="24"/>
          <w:szCs w:val="24"/>
        </w:rPr>
      </w:pPr>
      <w:r>
        <w:rPr>
          <w:rFonts w:ascii="Times New Roman" w:hAnsi="Times New Roman" w:eastAsia="Times New Roman" w:cs="Times New Roman"/>
          <w:i/>
          <w:iCs/>
          <w:spacing w:val="-2"/>
          <w:sz w:val="24"/>
          <w:szCs w:val="24"/>
        </w:rPr>
        <w:t>N</w:t>
      </w:r>
      <w:r>
        <w:rPr>
          <w:rFonts w:ascii="Times New Roman" w:hAnsi="Times New Roman" w:eastAsia="Times New Roman" w:cs="Times New Roman"/>
          <w:i/>
          <w:iCs/>
          <w:spacing w:val="-23"/>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室外声源个数；</w:t>
      </w:r>
    </w:p>
    <w:p w14:paraId="605278AA">
      <w:pPr>
        <w:spacing w:before="182" w:line="220" w:lineRule="auto"/>
        <w:ind w:left="519"/>
        <w:rPr>
          <w:rFonts w:ascii="宋体" w:hAnsi="宋体" w:eastAsia="宋体" w:cs="宋体"/>
          <w:sz w:val="24"/>
          <w:szCs w:val="24"/>
        </w:rPr>
      </w:pPr>
      <w:r>
        <w:rPr>
          <w:rFonts w:ascii="Times New Roman" w:hAnsi="Times New Roman" w:eastAsia="Times New Roman" w:cs="Times New Roman"/>
          <w:i/>
          <w:iCs/>
          <w:spacing w:val="-5"/>
          <w:sz w:val="24"/>
          <w:szCs w:val="24"/>
        </w:rPr>
        <w:t>t</w:t>
      </w:r>
      <w:r>
        <w:rPr>
          <w:rFonts w:ascii="Times New Roman" w:hAnsi="Times New Roman" w:eastAsia="Times New Roman" w:cs="Times New Roman"/>
          <w:i/>
          <w:iCs/>
          <w:spacing w:val="-3"/>
          <w:position w:val="-2"/>
          <w:sz w:val="15"/>
          <w:szCs w:val="15"/>
        </w:rPr>
        <w:t>i</w:t>
      </w:r>
      <w:r>
        <w:rPr>
          <w:rFonts w:ascii="Times New Roman" w:hAnsi="Times New Roman" w:eastAsia="Times New Roman" w:cs="Times New Roman"/>
          <w:spacing w:val="-3"/>
          <w:sz w:val="24"/>
          <w:szCs w:val="24"/>
        </w:rPr>
        <w:t>——</w:t>
      </w:r>
      <w:r>
        <w:rPr>
          <w:rFonts w:ascii="宋体" w:hAnsi="宋体" w:eastAsia="宋体" w:cs="宋体"/>
          <w:spacing w:val="-3"/>
          <w:sz w:val="24"/>
          <w:szCs w:val="24"/>
        </w:rPr>
        <w:t>在</w:t>
      </w:r>
      <w:r>
        <w:rPr>
          <w:rFonts w:ascii="宋体" w:hAnsi="宋体" w:eastAsia="宋体" w:cs="宋体"/>
          <w:spacing w:val="-31"/>
          <w:sz w:val="24"/>
          <w:szCs w:val="24"/>
        </w:rPr>
        <w:t xml:space="preserve"> </w:t>
      </w:r>
      <w:r>
        <w:rPr>
          <w:rFonts w:ascii="Times New Roman" w:hAnsi="Times New Roman" w:eastAsia="Times New Roman" w:cs="Times New Roman"/>
          <w:i/>
          <w:iCs/>
          <w:spacing w:val="-3"/>
          <w:sz w:val="24"/>
          <w:szCs w:val="24"/>
        </w:rPr>
        <w:t xml:space="preserve">T </w:t>
      </w:r>
      <w:r>
        <w:rPr>
          <w:rFonts w:ascii="宋体" w:hAnsi="宋体" w:eastAsia="宋体" w:cs="宋体"/>
          <w:spacing w:val="-3"/>
          <w:sz w:val="24"/>
          <w:szCs w:val="24"/>
        </w:rPr>
        <w:t>时间内</w:t>
      </w:r>
      <w:r>
        <w:rPr>
          <w:rFonts w:ascii="宋体" w:hAnsi="宋体" w:eastAsia="宋体" w:cs="宋体"/>
          <w:spacing w:val="-50"/>
          <w:sz w:val="24"/>
          <w:szCs w:val="24"/>
        </w:rPr>
        <w:t xml:space="preserve"> </w:t>
      </w:r>
      <w:r>
        <w:rPr>
          <w:rFonts w:ascii="Times New Roman" w:hAnsi="Times New Roman" w:eastAsia="Times New Roman" w:cs="Times New Roman"/>
          <w:i/>
          <w:iCs/>
          <w:spacing w:val="-3"/>
          <w:sz w:val="24"/>
          <w:szCs w:val="24"/>
        </w:rPr>
        <w:t>i</w:t>
      </w:r>
      <w:r>
        <w:rPr>
          <w:rFonts w:ascii="Times New Roman" w:hAnsi="Times New Roman" w:eastAsia="Times New Roman" w:cs="Times New Roman"/>
          <w:i/>
          <w:iCs/>
          <w:spacing w:val="15"/>
          <w:w w:val="101"/>
          <w:sz w:val="24"/>
          <w:szCs w:val="24"/>
        </w:rPr>
        <w:t xml:space="preserve"> </w:t>
      </w:r>
      <w:r>
        <w:rPr>
          <w:rFonts w:ascii="宋体" w:hAnsi="宋体" w:eastAsia="宋体" w:cs="宋体"/>
          <w:spacing w:val="-3"/>
          <w:sz w:val="24"/>
          <w:szCs w:val="24"/>
        </w:rPr>
        <w:t>声源工作时间，</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p>
    <w:p w14:paraId="0FE39A66">
      <w:pPr>
        <w:spacing w:before="182" w:line="220" w:lineRule="auto"/>
        <w:ind w:left="502"/>
        <w:rPr>
          <w:rFonts w:ascii="宋体" w:hAnsi="宋体" w:eastAsia="宋体" w:cs="宋体"/>
          <w:sz w:val="24"/>
          <w:szCs w:val="24"/>
        </w:rPr>
      </w:pPr>
      <w:r>
        <w:rPr>
          <w:rFonts w:ascii="Times New Roman" w:hAnsi="Times New Roman" w:eastAsia="Times New Roman" w:cs="Times New Roman"/>
          <w:i/>
          <w:iCs/>
          <w:spacing w:val="-2"/>
          <w:sz w:val="24"/>
          <w:szCs w:val="24"/>
        </w:rPr>
        <w:t>M</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等效室外声源个数；</w:t>
      </w:r>
    </w:p>
    <w:p w14:paraId="21766C7D">
      <w:pPr>
        <w:spacing w:before="183" w:line="221" w:lineRule="auto"/>
        <w:ind w:left="519"/>
        <w:rPr>
          <w:rFonts w:ascii="宋体" w:hAnsi="宋体" w:eastAsia="宋体" w:cs="宋体"/>
          <w:sz w:val="24"/>
          <w:szCs w:val="24"/>
        </w:rPr>
      </w:pPr>
      <w:r>
        <w:rPr>
          <w:rFonts w:ascii="Times New Roman" w:hAnsi="Times New Roman" w:eastAsia="Times New Roman" w:cs="Times New Roman"/>
          <w:i/>
          <w:iCs/>
          <w:spacing w:val="-5"/>
          <w:sz w:val="24"/>
          <w:szCs w:val="24"/>
        </w:rPr>
        <w:t>t</w:t>
      </w:r>
      <w:r>
        <w:rPr>
          <w:rFonts w:ascii="Times New Roman" w:hAnsi="Times New Roman" w:eastAsia="Times New Roman" w:cs="Times New Roman"/>
          <w:i/>
          <w:iCs/>
          <w:position w:val="-2"/>
          <w:sz w:val="15"/>
          <w:szCs w:val="15"/>
        </w:rPr>
        <w:t>j</w:t>
      </w:r>
      <w:r>
        <w:rPr>
          <w:rFonts w:ascii="Times New Roman" w:hAnsi="Times New Roman" w:eastAsia="Times New Roman" w:cs="Times New Roman"/>
          <w:i/>
          <w:iCs/>
          <w:spacing w:val="2"/>
          <w:position w:val="-2"/>
          <w:sz w:val="15"/>
          <w:szCs w:val="15"/>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在</w:t>
      </w:r>
      <w:r>
        <w:rPr>
          <w:rFonts w:ascii="宋体" w:hAnsi="宋体" w:eastAsia="宋体" w:cs="宋体"/>
          <w:spacing w:val="-41"/>
          <w:sz w:val="24"/>
          <w:szCs w:val="24"/>
        </w:rPr>
        <w:t xml:space="preserve"> </w:t>
      </w:r>
      <w:r>
        <w:rPr>
          <w:rFonts w:ascii="Times New Roman" w:hAnsi="Times New Roman" w:eastAsia="Times New Roman" w:cs="Times New Roman"/>
          <w:i/>
          <w:iCs/>
          <w:spacing w:val="2"/>
          <w:sz w:val="24"/>
          <w:szCs w:val="24"/>
        </w:rPr>
        <w:t xml:space="preserve">T </w:t>
      </w:r>
      <w:r>
        <w:rPr>
          <w:rFonts w:ascii="宋体" w:hAnsi="宋体" w:eastAsia="宋体" w:cs="宋体"/>
          <w:spacing w:val="2"/>
          <w:sz w:val="24"/>
          <w:szCs w:val="24"/>
        </w:rPr>
        <w:t>时间内</w:t>
      </w:r>
      <w:r>
        <w:rPr>
          <w:rFonts w:ascii="Times New Roman" w:hAnsi="Times New Roman" w:eastAsia="Times New Roman" w:cs="Times New Roman"/>
          <w:i/>
          <w:iCs/>
          <w:spacing w:val="2"/>
          <w:sz w:val="24"/>
          <w:szCs w:val="24"/>
        </w:rPr>
        <w:t xml:space="preserve">j </w:t>
      </w:r>
      <w:r>
        <w:rPr>
          <w:rFonts w:ascii="宋体" w:hAnsi="宋体" w:eastAsia="宋体" w:cs="宋体"/>
          <w:spacing w:val="2"/>
          <w:sz w:val="24"/>
          <w:szCs w:val="24"/>
        </w:rPr>
        <w:t>声源工作时间，</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p>
    <w:p w14:paraId="2FFF089C">
      <w:pPr>
        <w:spacing w:before="180"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）参数的确定</w:t>
      </w:r>
    </w:p>
    <w:p w14:paraId="5C2FB74C">
      <w:pPr>
        <w:spacing w:before="182" w:line="190" w:lineRule="auto"/>
        <w:ind w:left="518"/>
        <w:rPr>
          <w:rFonts w:ascii="宋体" w:hAnsi="宋体" w:eastAsia="宋体" w:cs="宋体"/>
          <w:sz w:val="24"/>
          <w:szCs w:val="24"/>
        </w:rPr>
      </w:pPr>
      <w:r>
        <w:rPr>
          <w:rFonts w:ascii="宋体" w:hAnsi="宋体" w:eastAsia="宋体" w:cs="宋体"/>
          <w:spacing w:val="-9"/>
          <w:sz w:val="24"/>
          <w:szCs w:val="24"/>
        </w:rPr>
        <w:t>①声波几何发散引起的</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A</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声级衰减量</w:t>
      </w:r>
      <w:r>
        <w:rPr>
          <w:rFonts w:ascii="Times New Roman" w:hAnsi="Times New Roman" w:eastAsia="Times New Roman" w:cs="Times New Roman"/>
          <w:spacing w:val="-9"/>
          <w:sz w:val="24"/>
          <w:szCs w:val="24"/>
        </w:rPr>
        <w:t>(</w:t>
      </w:r>
      <w:r>
        <w:rPr>
          <w:rFonts w:ascii="宋体" w:hAnsi="宋体" w:eastAsia="宋体" w:cs="宋体"/>
          <w:spacing w:val="-9"/>
          <w:sz w:val="24"/>
          <w:szCs w:val="24"/>
        </w:rPr>
        <w:t>工业噪声源</w:t>
      </w:r>
      <w:r>
        <w:rPr>
          <w:rFonts w:ascii="Times New Roman" w:hAnsi="Times New Roman" w:eastAsia="Times New Roman" w:cs="Times New Roman"/>
          <w:spacing w:val="-9"/>
          <w:sz w:val="24"/>
          <w:szCs w:val="24"/>
        </w:rPr>
        <w:t>)</w:t>
      </w:r>
      <w:r>
        <w:rPr>
          <w:rFonts w:ascii="宋体" w:hAnsi="宋体" w:eastAsia="宋体" w:cs="宋体"/>
          <w:spacing w:val="-9"/>
          <w:sz w:val="24"/>
          <w:szCs w:val="24"/>
        </w:rPr>
        <w:t>：</w:t>
      </w:r>
      <w:r>
        <w:rPr>
          <w:rFonts w:ascii="宋体" w:hAnsi="宋体" w:eastAsia="宋体" w:cs="宋体"/>
          <w:spacing w:val="-9"/>
          <w:sz w:val="28"/>
          <w:szCs w:val="28"/>
        </w:rPr>
        <w:t>A</w:t>
      </w:r>
      <w:r>
        <w:rPr>
          <w:rFonts w:ascii="宋体" w:hAnsi="宋体" w:eastAsia="宋体" w:cs="宋体"/>
          <w:spacing w:val="-9"/>
          <w:position w:val="-4"/>
          <w:sz w:val="19"/>
          <w:szCs w:val="19"/>
        </w:rPr>
        <w:t xml:space="preserve">div </w:t>
      </w:r>
      <w:r>
        <w:rPr>
          <w:rFonts w:ascii="宋体" w:hAnsi="宋体" w:eastAsia="宋体" w:cs="宋体"/>
          <w:spacing w:val="-9"/>
          <w:sz w:val="28"/>
          <w:szCs w:val="28"/>
        </w:rPr>
        <w:t>=</w:t>
      </w:r>
      <w:r>
        <w:rPr>
          <w:rFonts w:ascii="宋体" w:hAnsi="宋体" w:eastAsia="宋体" w:cs="宋体"/>
          <w:spacing w:val="-59"/>
          <w:sz w:val="28"/>
          <w:szCs w:val="28"/>
        </w:rPr>
        <w:t xml:space="preserve"> </w:t>
      </w:r>
      <w:r>
        <w:rPr>
          <w:rFonts w:ascii="宋体" w:hAnsi="宋体" w:eastAsia="宋体" w:cs="宋体"/>
          <w:spacing w:val="-9"/>
          <w:sz w:val="28"/>
          <w:szCs w:val="28"/>
        </w:rPr>
        <w:t>20lg</w:t>
      </w:r>
      <w:r>
        <w:rPr>
          <w:rFonts w:ascii="宋体" w:hAnsi="宋体" w:eastAsia="宋体" w:cs="宋体"/>
          <w:spacing w:val="-10"/>
          <w:sz w:val="28"/>
          <w:szCs w:val="28"/>
        </w:rPr>
        <w:t>(r/r</w:t>
      </w:r>
      <w:r>
        <w:rPr>
          <w:rFonts w:ascii="宋体" w:hAnsi="宋体" w:eastAsia="宋体" w:cs="宋体"/>
          <w:spacing w:val="-10"/>
          <w:sz w:val="19"/>
          <w:szCs w:val="19"/>
        </w:rPr>
        <w:t>。</w:t>
      </w:r>
      <w:r>
        <w:rPr>
          <w:rFonts w:ascii="宋体" w:hAnsi="宋体" w:eastAsia="宋体" w:cs="宋体"/>
          <w:spacing w:val="-10"/>
          <w:sz w:val="28"/>
          <w:szCs w:val="28"/>
        </w:rPr>
        <w:t>)</w:t>
      </w:r>
      <w:r>
        <w:rPr>
          <w:rFonts w:ascii="宋体" w:hAnsi="宋体" w:eastAsia="宋体" w:cs="宋体"/>
          <w:spacing w:val="-10"/>
          <w:sz w:val="24"/>
          <w:szCs w:val="24"/>
        </w:rPr>
        <w:t>；</w:t>
      </w:r>
    </w:p>
    <w:p w14:paraId="13C73FD9">
      <w:pPr>
        <w:spacing w:before="167" w:line="217" w:lineRule="auto"/>
        <w:ind w:left="517"/>
        <w:rPr>
          <w:rFonts w:ascii="Times New Roman" w:hAnsi="Times New Roman" w:eastAsia="Times New Roman" w:cs="Times New Roman"/>
          <w:sz w:val="15"/>
          <w:szCs w:val="15"/>
        </w:rPr>
      </w:pPr>
      <w:r>
        <w:rPr>
          <w:rFonts w:ascii="宋体" w:hAnsi="宋体" w:eastAsia="宋体" w:cs="宋体"/>
          <w:spacing w:val="1"/>
          <w:sz w:val="24"/>
          <w:szCs w:val="24"/>
        </w:rPr>
        <w:t>②空气吸收引起的衰减量</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A</w:t>
      </w:r>
      <w:r>
        <w:rPr>
          <w:rFonts w:ascii="Times New Roman" w:hAnsi="Times New Roman" w:eastAsia="Times New Roman" w:cs="Times New Roman"/>
          <w:position w:val="-2"/>
          <w:sz w:val="15"/>
          <w:szCs w:val="15"/>
        </w:rPr>
        <w:t>atm</w:t>
      </w:r>
    </w:p>
    <w:p w14:paraId="05F85121">
      <w:pPr>
        <w:spacing w:before="185" w:line="219" w:lineRule="auto"/>
        <w:ind w:left="520"/>
        <w:rPr>
          <w:rFonts w:ascii="宋体" w:hAnsi="宋体" w:eastAsia="宋体" w:cs="宋体"/>
          <w:sz w:val="24"/>
          <w:szCs w:val="24"/>
        </w:rPr>
      </w:pPr>
      <w:r>
        <w:rPr>
          <w:rFonts w:ascii="宋体" w:hAnsi="宋体" w:eastAsia="宋体" w:cs="宋体"/>
          <w:spacing w:val="-1"/>
          <w:sz w:val="24"/>
          <w:szCs w:val="24"/>
        </w:rPr>
        <w:t>本项目噪声以中低频为主，空气吸收性衰减</w:t>
      </w:r>
      <w:r>
        <w:rPr>
          <w:rFonts w:ascii="宋体" w:hAnsi="宋体" w:eastAsia="宋体" w:cs="宋体"/>
          <w:spacing w:val="-2"/>
          <w:sz w:val="24"/>
          <w:szCs w:val="24"/>
        </w:rPr>
        <w:t>很少，本次预测时忽略不计。</w:t>
      </w:r>
    </w:p>
    <w:p w14:paraId="64C2B6F2">
      <w:pPr>
        <w:spacing w:before="184" w:line="221" w:lineRule="auto"/>
        <w:ind w:left="517"/>
        <w:rPr>
          <w:rFonts w:ascii="Times New Roman" w:hAnsi="Times New Roman" w:eastAsia="Times New Roman" w:cs="Times New Roman"/>
          <w:sz w:val="15"/>
          <w:szCs w:val="15"/>
        </w:rPr>
      </w:pPr>
      <w:r>
        <w:rPr>
          <w:rFonts w:ascii="宋体" w:hAnsi="宋体" w:eastAsia="宋体" w:cs="宋体"/>
          <w:spacing w:val="1"/>
          <w:sz w:val="24"/>
          <w:szCs w:val="24"/>
        </w:rPr>
        <w:t>③地面效应引起的衰减量</w:t>
      </w:r>
      <w:r>
        <w:rPr>
          <w:rFonts w:ascii="宋体" w:hAnsi="宋体" w:eastAsia="宋体" w:cs="宋体"/>
          <w:spacing w:val="-71"/>
          <w:sz w:val="24"/>
          <w:szCs w:val="24"/>
        </w:rPr>
        <w:t xml:space="preserve"> </w:t>
      </w:r>
      <w:r>
        <w:rPr>
          <w:rFonts w:ascii="Times New Roman" w:hAnsi="Times New Roman" w:eastAsia="Times New Roman" w:cs="Times New Roman"/>
          <w:i/>
          <w:iCs/>
          <w:sz w:val="24"/>
          <w:szCs w:val="24"/>
        </w:rPr>
        <w:t>A</w:t>
      </w:r>
      <w:r>
        <w:rPr>
          <w:rFonts w:ascii="Times New Roman" w:hAnsi="Times New Roman" w:eastAsia="Times New Roman" w:cs="Times New Roman"/>
          <w:position w:val="-2"/>
          <w:sz w:val="15"/>
          <w:szCs w:val="15"/>
        </w:rPr>
        <w:t>gr</w:t>
      </w:r>
    </w:p>
    <w:p w14:paraId="0053F1D6">
      <w:pPr>
        <w:spacing w:before="180" w:line="360" w:lineRule="auto"/>
        <w:ind w:left="39" w:right="29" w:firstLine="480"/>
        <w:rPr>
          <w:rFonts w:ascii="宋体" w:hAnsi="宋体" w:eastAsia="宋体" w:cs="宋体"/>
          <w:sz w:val="24"/>
          <w:szCs w:val="24"/>
        </w:rPr>
      </w:pPr>
      <w:r>
        <w:rPr>
          <w:rFonts w:ascii="宋体" w:hAnsi="宋体" w:eastAsia="宋体" w:cs="宋体"/>
          <w:spacing w:val="-3"/>
          <w:sz w:val="24"/>
          <w:szCs w:val="24"/>
        </w:rPr>
        <w:t>本项目内地面为硬化地面，地面效应引起的衰减量很小，本次</w:t>
      </w:r>
      <w:r>
        <w:rPr>
          <w:rFonts w:ascii="宋体" w:hAnsi="宋体" w:eastAsia="宋体" w:cs="宋体"/>
          <w:spacing w:val="-4"/>
          <w:sz w:val="24"/>
          <w:szCs w:val="24"/>
        </w:rPr>
        <w:t>预测时忽略不</w:t>
      </w:r>
      <w:r>
        <w:rPr>
          <w:rFonts w:ascii="宋体" w:hAnsi="宋体" w:eastAsia="宋体" w:cs="宋体"/>
          <w:spacing w:val="-12"/>
          <w:sz w:val="24"/>
          <w:szCs w:val="24"/>
        </w:rPr>
        <w:t>计。</w:t>
      </w:r>
    </w:p>
    <w:p w14:paraId="138D2C30">
      <w:pPr>
        <w:spacing w:before="1" w:line="217" w:lineRule="auto"/>
        <w:ind w:left="517"/>
        <w:rPr>
          <w:rFonts w:ascii="Times New Roman" w:hAnsi="Times New Roman" w:eastAsia="Times New Roman" w:cs="Times New Roman"/>
          <w:sz w:val="15"/>
          <w:szCs w:val="15"/>
        </w:rPr>
      </w:pPr>
      <w:r>
        <w:rPr>
          <w:rFonts w:ascii="宋体" w:hAnsi="宋体" w:eastAsia="宋体" w:cs="宋体"/>
          <w:sz w:val="24"/>
          <w:szCs w:val="24"/>
        </w:rPr>
        <w:t>④屏障引起的衰减</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position w:val="-2"/>
          <w:sz w:val="15"/>
          <w:szCs w:val="15"/>
        </w:rPr>
        <w:t>bar</w:t>
      </w:r>
    </w:p>
    <w:p w14:paraId="5DCCABD9">
      <w:pPr>
        <w:spacing w:before="185" w:line="360" w:lineRule="auto"/>
        <w:ind w:left="59" w:right="29" w:firstLine="471"/>
        <w:rPr>
          <w:rFonts w:ascii="宋体" w:hAnsi="宋体" w:eastAsia="宋体" w:cs="宋体"/>
          <w:sz w:val="24"/>
          <w:szCs w:val="24"/>
        </w:rPr>
      </w:pPr>
      <w:r>
        <w:rPr>
          <w:rFonts w:ascii="宋体" w:hAnsi="宋体" w:eastAsia="宋体" w:cs="宋体"/>
          <w:spacing w:val="-4"/>
          <w:sz w:val="24"/>
          <w:szCs w:val="24"/>
        </w:rPr>
        <w:t>噪声在向外传播过程中将受到建筑或其他物体的阻挡影响，从而引起声能量</w:t>
      </w:r>
      <w:r>
        <w:rPr>
          <w:rFonts w:ascii="宋体" w:hAnsi="宋体" w:eastAsia="宋体" w:cs="宋体"/>
          <w:spacing w:val="-3"/>
          <w:sz w:val="24"/>
          <w:szCs w:val="24"/>
        </w:rPr>
        <w:t>的衰减，具体衰减根据不同声级的传播途径而定。</w:t>
      </w:r>
    </w:p>
    <w:p w14:paraId="5E2F2E38">
      <w:pPr>
        <w:spacing w:line="217" w:lineRule="auto"/>
        <w:ind w:left="517"/>
        <w:rPr>
          <w:rFonts w:ascii="Times New Roman" w:hAnsi="Times New Roman" w:eastAsia="Times New Roman" w:cs="Times New Roman"/>
          <w:sz w:val="15"/>
          <w:szCs w:val="15"/>
        </w:rPr>
      </w:pPr>
      <w:r>
        <w:rPr>
          <w:rFonts w:ascii="宋体" w:hAnsi="宋体" w:eastAsia="宋体" w:cs="宋体"/>
          <w:sz w:val="24"/>
          <w:szCs w:val="24"/>
        </w:rPr>
        <w:t xml:space="preserve">⑤其他多方面原因引起的衰减量 </w:t>
      </w:r>
      <w:r>
        <w:rPr>
          <w:rFonts w:ascii="Times New Roman" w:hAnsi="Times New Roman" w:eastAsia="Times New Roman" w:cs="Times New Roman"/>
          <w:sz w:val="24"/>
          <w:szCs w:val="24"/>
        </w:rPr>
        <w:t>A</w:t>
      </w:r>
      <w:r>
        <w:rPr>
          <w:rFonts w:ascii="Times New Roman" w:hAnsi="Times New Roman" w:eastAsia="Times New Roman" w:cs="Times New Roman"/>
          <w:position w:val="-2"/>
          <w:sz w:val="15"/>
          <w:szCs w:val="15"/>
        </w:rPr>
        <w:t>misc</w:t>
      </w:r>
    </w:p>
    <w:p w14:paraId="38770D08">
      <w:pPr>
        <w:spacing w:before="186" w:line="219" w:lineRule="auto"/>
        <w:ind w:left="520"/>
        <w:rPr>
          <w:rFonts w:ascii="宋体" w:hAnsi="宋体" w:eastAsia="宋体" w:cs="宋体"/>
          <w:sz w:val="24"/>
          <w:szCs w:val="24"/>
        </w:rPr>
      </w:pPr>
      <w:r>
        <w:rPr>
          <w:rFonts w:ascii="宋体" w:hAnsi="宋体" w:eastAsia="宋体" w:cs="宋体"/>
          <w:spacing w:val="-5"/>
          <w:sz w:val="24"/>
          <w:szCs w:val="24"/>
        </w:rPr>
        <w:t>本次预测时忽略不计。</w:t>
      </w:r>
    </w:p>
    <w:p w14:paraId="3382DDDC">
      <w:pPr>
        <w:spacing w:before="240" w:line="225"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4.2.4.3</w:t>
      </w:r>
      <w:r>
        <w:rPr>
          <w:rFonts w:ascii="Times New Roman" w:hAnsi="Times New Roman" w:eastAsia="Times New Roman" w:cs="Times New Roman"/>
          <w:b/>
          <w:bCs/>
          <w:spacing w:val="29"/>
          <w:w w:val="101"/>
          <w:sz w:val="27"/>
          <w:szCs w:val="27"/>
        </w:rPr>
        <w:t xml:space="preserve"> </w:t>
      </w:r>
      <w:r>
        <w:rPr>
          <w:rFonts w:ascii="宋体" w:hAnsi="宋体" w:eastAsia="宋体" w:cs="宋体"/>
          <w:b/>
          <w:bCs/>
          <w:spacing w:val="4"/>
          <w:sz w:val="27"/>
          <w:szCs w:val="27"/>
        </w:rPr>
        <w:t>声环境影响预测评价</w:t>
      </w:r>
    </w:p>
    <w:p w14:paraId="4119DD45">
      <w:pPr>
        <w:spacing w:before="238" w:line="360" w:lineRule="auto"/>
        <w:ind w:left="85" w:right="44" w:firstLine="434"/>
        <w:rPr>
          <w:rFonts w:ascii="宋体" w:hAnsi="宋体" w:eastAsia="宋体" w:cs="宋体"/>
          <w:sz w:val="24"/>
          <w:szCs w:val="24"/>
        </w:rPr>
      </w:pPr>
      <w:r>
        <w:rPr>
          <w:rFonts w:ascii="宋体" w:hAnsi="宋体" w:eastAsia="宋体" w:cs="宋体"/>
          <w:spacing w:val="2"/>
          <w:sz w:val="24"/>
          <w:szCs w:val="24"/>
        </w:rPr>
        <w:t>根据《环境影响评价技术导则 声环境》（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2.4-2021</w:t>
      </w:r>
      <w:r>
        <w:rPr>
          <w:rFonts w:ascii="宋体" w:hAnsi="宋体" w:eastAsia="宋体" w:cs="宋体"/>
          <w:spacing w:val="2"/>
          <w:sz w:val="24"/>
          <w:szCs w:val="24"/>
        </w:rPr>
        <w:t>）规定要求，建设项</w:t>
      </w:r>
      <w:r>
        <w:rPr>
          <w:rFonts w:ascii="宋体" w:hAnsi="宋体" w:eastAsia="宋体" w:cs="宋体"/>
          <w:spacing w:val="-3"/>
          <w:sz w:val="24"/>
          <w:szCs w:val="24"/>
        </w:rPr>
        <w:t>目评价范围内声环境保护目标和建设项目厂界应作为预测点和评价点。</w:t>
      </w:r>
    </w:p>
    <w:p w14:paraId="2E7DFAFF">
      <w:pPr>
        <w:spacing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）厂界噪声预测</w:t>
      </w:r>
    </w:p>
    <w:p w14:paraId="66D35FCC">
      <w:pPr>
        <w:spacing w:before="182" w:line="362" w:lineRule="auto"/>
        <w:ind w:left="42" w:right="29" w:firstLine="478"/>
        <w:rPr>
          <w:rFonts w:ascii="宋体" w:hAnsi="宋体" w:eastAsia="宋体" w:cs="宋体"/>
          <w:sz w:val="24"/>
          <w:szCs w:val="24"/>
        </w:rPr>
      </w:pPr>
      <w:r>
        <w:rPr>
          <w:rFonts w:ascii="宋体" w:hAnsi="宋体" w:eastAsia="宋体" w:cs="宋体"/>
          <w:spacing w:val="-4"/>
          <w:sz w:val="24"/>
          <w:szCs w:val="24"/>
        </w:rPr>
        <w:t>本项目实行三班制，每班</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小时，昼夜源强情况大致相同，运营期</w:t>
      </w:r>
      <w:r>
        <w:rPr>
          <w:rFonts w:ascii="宋体" w:hAnsi="宋体" w:eastAsia="宋体" w:cs="宋体"/>
          <w:spacing w:val="-5"/>
          <w:sz w:val="24"/>
          <w:szCs w:val="24"/>
        </w:rPr>
        <w:t>厂界噪声</w:t>
      </w:r>
      <w:r>
        <w:rPr>
          <w:rFonts w:ascii="宋体" w:hAnsi="宋体" w:eastAsia="宋体" w:cs="宋体"/>
          <w:spacing w:val="-3"/>
          <w:sz w:val="24"/>
          <w:szCs w:val="24"/>
        </w:rPr>
        <w:t>贡献值预测情况见下表，等声级线图见下图。</w:t>
      </w:r>
    </w:p>
    <w:p w14:paraId="4962FDA1">
      <w:pPr>
        <w:spacing w:line="362" w:lineRule="auto"/>
        <w:rPr>
          <w:rFonts w:ascii="宋体" w:hAnsi="宋体" w:eastAsia="宋体" w:cs="宋体"/>
          <w:sz w:val="24"/>
          <w:szCs w:val="24"/>
        </w:rPr>
        <w:sectPr>
          <w:footerReference r:id="rId382" w:type="default"/>
          <w:pgSz w:w="11905" w:h="16840"/>
          <w:pgMar w:top="1168" w:right="1768" w:bottom="1409" w:left="1770" w:header="828" w:footer="1244" w:gutter="0"/>
          <w:cols w:space="720" w:num="1"/>
        </w:sectPr>
      </w:pPr>
    </w:p>
    <w:p w14:paraId="1F98B55E">
      <w:pPr>
        <w:pStyle w:val="2"/>
        <w:spacing w:line="329" w:lineRule="auto"/>
      </w:pPr>
    </w:p>
    <w:p w14:paraId="55AD023D">
      <w:pPr>
        <w:spacing w:before="68" w:line="221" w:lineRule="auto"/>
        <w:ind w:left="289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8"/>
          <w:sz w:val="21"/>
          <w:szCs w:val="21"/>
        </w:rPr>
        <w:t xml:space="preserve"> </w:t>
      </w:r>
      <w:r>
        <w:rPr>
          <w:rFonts w:ascii="Times New Roman" w:hAnsi="Times New Roman" w:eastAsia="Times New Roman" w:cs="Times New Roman"/>
          <w:spacing w:val="-1"/>
          <w:sz w:val="21"/>
          <w:szCs w:val="21"/>
        </w:rPr>
        <w:t xml:space="preserve">4.2-37  </w:t>
      </w:r>
      <w:r>
        <w:rPr>
          <w:rFonts w:ascii="黑体" w:hAnsi="黑体" w:eastAsia="黑体" w:cs="黑体"/>
          <w:spacing w:val="-1"/>
          <w:sz w:val="21"/>
          <w:szCs w:val="21"/>
        </w:rPr>
        <w:t>厂界噪声预测结果</w:t>
      </w:r>
    </w:p>
    <w:p w14:paraId="2310DAD4">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3"/>
        <w:gridCol w:w="1306"/>
        <w:gridCol w:w="1306"/>
        <w:gridCol w:w="931"/>
        <w:gridCol w:w="929"/>
        <w:gridCol w:w="930"/>
        <w:gridCol w:w="925"/>
      </w:tblGrid>
      <w:tr w14:paraId="5E79D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3" w:type="dxa"/>
            <w:vMerge w:val="restart"/>
            <w:tcBorders>
              <w:bottom w:val="nil"/>
            </w:tcBorders>
            <w:vAlign w:val="top"/>
          </w:tcPr>
          <w:p w14:paraId="7ED6E186">
            <w:pPr>
              <w:spacing w:before="244" w:line="220" w:lineRule="auto"/>
              <w:ind w:left="795"/>
              <w:rPr>
                <w:rFonts w:ascii="宋体" w:hAnsi="宋体" w:eastAsia="宋体" w:cs="宋体"/>
                <w:sz w:val="21"/>
                <w:szCs w:val="21"/>
              </w:rPr>
            </w:pPr>
            <w:r>
              <w:rPr>
                <w:rFonts w:ascii="宋体" w:hAnsi="宋体" w:eastAsia="宋体" w:cs="宋体"/>
                <w:spacing w:val="-3"/>
                <w:sz w:val="21"/>
                <w:szCs w:val="21"/>
              </w:rPr>
              <w:t>厂界</w:t>
            </w:r>
          </w:p>
        </w:tc>
        <w:tc>
          <w:tcPr>
            <w:tcW w:w="2612" w:type="dxa"/>
            <w:gridSpan w:val="2"/>
            <w:vAlign w:val="top"/>
          </w:tcPr>
          <w:p w14:paraId="7AAC582D">
            <w:pPr>
              <w:pStyle w:val="6"/>
              <w:spacing w:before="69" w:line="212" w:lineRule="auto"/>
              <w:ind w:left="493"/>
            </w:pPr>
            <w:r>
              <w:rPr>
                <w:rFonts w:ascii="宋体" w:hAnsi="宋体" w:eastAsia="宋体" w:cs="宋体"/>
                <w:spacing w:val="-2"/>
              </w:rPr>
              <w:t>噪声贡献值</w:t>
            </w:r>
            <w:r>
              <w:rPr>
                <w:spacing w:val="-2"/>
              </w:rPr>
              <w:t>/dB(A)</w:t>
            </w:r>
          </w:p>
        </w:tc>
        <w:tc>
          <w:tcPr>
            <w:tcW w:w="1860" w:type="dxa"/>
            <w:gridSpan w:val="2"/>
            <w:vAlign w:val="top"/>
          </w:tcPr>
          <w:p w14:paraId="0E2231CF">
            <w:pPr>
              <w:pStyle w:val="6"/>
              <w:spacing w:before="69" w:line="212" w:lineRule="auto"/>
              <w:ind w:left="223"/>
            </w:pPr>
            <w:r>
              <w:rPr>
                <w:rFonts w:ascii="宋体" w:hAnsi="宋体" w:eastAsia="宋体" w:cs="宋体"/>
                <w:spacing w:val="-2"/>
              </w:rPr>
              <w:t>噪声标准</w:t>
            </w:r>
            <w:r>
              <w:rPr>
                <w:spacing w:val="-2"/>
              </w:rPr>
              <w:t>/dB(A)</w:t>
            </w:r>
          </w:p>
        </w:tc>
        <w:tc>
          <w:tcPr>
            <w:tcW w:w="1855" w:type="dxa"/>
            <w:gridSpan w:val="2"/>
            <w:vAlign w:val="top"/>
          </w:tcPr>
          <w:p w14:paraId="3ACE857E">
            <w:pPr>
              <w:spacing w:before="69" w:line="220" w:lineRule="auto"/>
              <w:ind w:left="191"/>
              <w:rPr>
                <w:rFonts w:ascii="宋体" w:hAnsi="宋体" w:eastAsia="宋体" w:cs="宋体"/>
                <w:sz w:val="21"/>
                <w:szCs w:val="21"/>
              </w:rPr>
            </w:pPr>
            <w:r>
              <w:rPr>
                <w:rFonts w:ascii="宋体" w:hAnsi="宋体" w:eastAsia="宋体" w:cs="宋体"/>
                <w:spacing w:val="-1"/>
                <w:sz w:val="21"/>
                <w:szCs w:val="21"/>
              </w:rPr>
              <w:t>超标和达标情况</w:t>
            </w:r>
          </w:p>
        </w:tc>
      </w:tr>
      <w:tr w14:paraId="43424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3" w:type="dxa"/>
            <w:vMerge w:val="continue"/>
            <w:tcBorders>
              <w:top w:val="nil"/>
            </w:tcBorders>
            <w:vAlign w:val="top"/>
          </w:tcPr>
          <w:p w14:paraId="2FCCE366">
            <w:pPr>
              <w:rPr>
                <w:rFonts w:ascii="Arial"/>
                <w:sz w:val="21"/>
              </w:rPr>
            </w:pPr>
          </w:p>
        </w:tc>
        <w:tc>
          <w:tcPr>
            <w:tcW w:w="1306" w:type="dxa"/>
            <w:vAlign w:val="top"/>
          </w:tcPr>
          <w:p w14:paraId="56AFA711">
            <w:pPr>
              <w:spacing w:before="65" w:line="222" w:lineRule="auto"/>
              <w:ind w:left="441"/>
              <w:rPr>
                <w:rFonts w:ascii="宋体" w:hAnsi="宋体" w:eastAsia="宋体" w:cs="宋体"/>
                <w:sz w:val="21"/>
                <w:szCs w:val="21"/>
              </w:rPr>
            </w:pPr>
            <w:r>
              <w:rPr>
                <w:rFonts w:ascii="宋体" w:hAnsi="宋体" w:eastAsia="宋体" w:cs="宋体"/>
                <w:spacing w:val="-2"/>
                <w:sz w:val="21"/>
                <w:szCs w:val="21"/>
              </w:rPr>
              <w:t>昼间</w:t>
            </w:r>
          </w:p>
        </w:tc>
        <w:tc>
          <w:tcPr>
            <w:tcW w:w="1306" w:type="dxa"/>
            <w:vAlign w:val="top"/>
          </w:tcPr>
          <w:p w14:paraId="1D444909">
            <w:pPr>
              <w:spacing w:before="64" w:line="220" w:lineRule="auto"/>
              <w:ind w:left="446"/>
              <w:rPr>
                <w:rFonts w:ascii="宋体" w:hAnsi="宋体" w:eastAsia="宋体" w:cs="宋体"/>
                <w:sz w:val="21"/>
                <w:szCs w:val="21"/>
              </w:rPr>
            </w:pPr>
            <w:r>
              <w:rPr>
                <w:rFonts w:ascii="宋体" w:hAnsi="宋体" w:eastAsia="宋体" w:cs="宋体"/>
                <w:spacing w:val="-3"/>
                <w:sz w:val="21"/>
                <w:szCs w:val="21"/>
              </w:rPr>
              <w:t>夜间</w:t>
            </w:r>
          </w:p>
        </w:tc>
        <w:tc>
          <w:tcPr>
            <w:tcW w:w="931" w:type="dxa"/>
            <w:vAlign w:val="top"/>
          </w:tcPr>
          <w:p w14:paraId="79BB8E76">
            <w:pPr>
              <w:spacing w:before="65" w:line="222" w:lineRule="auto"/>
              <w:ind w:left="256"/>
              <w:rPr>
                <w:rFonts w:ascii="宋体" w:hAnsi="宋体" w:eastAsia="宋体" w:cs="宋体"/>
                <w:sz w:val="21"/>
                <w:szCs w:val="21"/>
              </w:rPr>
            </w:pPr>
            <w:r>
              <w:rPr>
                <w:rFonts w:ascii="宋体" w:hAnsi="宋体" w:eastAsia="宋体" w:cs="宋体"/>
                <w:spacing w:val="-2"/>
                <w:sz w:val="21"/>
                <w:szCs w:val="21"/>
              </w:rPr>
              <w:t>昼间</w:t>
            </w:r>
          </w:p>
        </w:tc>
        <w:tc>
          <w:tcPr>
            <w:tcW w:w="929" w:type="dxa"/>
            <w:vAlign w:val="top"/>
          </w:tcPr>
          <w:p w14:paraId="67D38A37">
            <w:pPr>
              <w:spacing w:before="64" w:line="220" w:lineRule="auto"/>
              <w:ind w:left="259"/>
              <w:rPr>
                <w:rFonts w:ascii="宋体" w:hAnsi="宋体" w:eastAsia="宋体" w:cs="宋体"/>
                <w:sz w:val="21"/>
                <w:szCs w:val="21"/>
              </w:rPr>
            </w:pPr>
            <w:r>
              <w:rPr>
                <w:rFonts w:ascii="宋体" w:hAnsi="宋体" w:eastAsia="宋体" w:cs="宋体"/>
                <w:spacing w:val="-3"/>
                <w:sz w:val="21"/>
                <w:szCs w:val="21"/>
              </w:rPr>
              <w:t>夜间</w:t>
            </w:r>
          </w:p>
        </w:tc>
        <w:tc>
          <w:tcPr>
            <w:tcW w:w="930" w:type="dxa"/>
            <w:vAlign w:val="top"/>
          </w:tcPr>
          <w:p w14:paraId="66E44190">
            <w:pPr>
              <w:spacing w:before="65" w:line="222" w:lineRule="auto"/>
              <w:ind w:left="257"/>
              <w:rPr>
                <w:rFonts w:ascii="宋体" w:hAnsi="宋体" w:eastAsia="宋体" w:cs="宋体"/>
                <w:sz w:val="21"/>
                <w:szCs w:val="21"/>
              </w:rPr>
            </w:pPr>
            <w:r>
              <w:rPr>
                <w:rFonts w:ascii="宋体" w:hAnsi="宋体" w:eastAsia="宋体" w:cs="宋体"/>
                <w:spacing w:val="-2"/>
                <w:sz w:val="21"/>
                <w:szCs w:val="21"/>
              </w:rPr>
              <w:t>昼间</w:t>
            </w:r>
          </w:p>
        </w:tc>
        <w:tc>
          <w:tcPr>
            <w:tcW w:w="925" w:type="dxa"/>
            <w:vAlign w:val="top"/>
          </w:tcPr>
          <w:p w14:paraId="778299BF">
            <w:pPr>
              <w:spacing w:before="64" w:line="220" w:lineRule="auto"/>
              <w:ind w:left="256"/>
              <w:rPr>
                <w:rFonts w:ascii="宋体" w:hAnsi="宋体" w:eastAsia="宋体" w:cs="宋体"/>
                <w:sz w:val="21"/>
                <w:szCs w:val="21"/>
              </w:rPr>
            </w:pPr>
            <w:r>
              <w:rPr>
                <w:rFonts w:ascii="宋体" w:hAnsi="宋体" w:eastAsia="宋体" w:cs="宋体"/>
                <w:spacing w:val="-3"/>
                <w:sz w:val="21"/>
                <w:szCs w:val="21"/>
              </w:rPr>
              <w:t>夜间</w:t>
            </w:r>
          </w:p>
        </w:tc>
      </w:tr>
      <w:tr w14:paraId="6882A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3" w:type="dxa"/>
            <w:vAlign w:val="top"/>
          </w:tcPr>
          <w:p w14:paraId="6ED0590F">
            <w:pPr>
              <w:spacing w:before="66" w:line="220" w:lineRule="auto"/>
              <w:ind w:left="590"/>
              <w:rPr>
                <w:rFonts w:ascii="宋体" w:hAnsi="宋体" w:eastAsia="宋体" w:cs="宋体"/>
                <w:sz w:val="21"/>
                <w:szCs w:val="21"/>
              </w:rPr>
            </w:pPr>
            <w:r>
              <w:rPr>
                <w:rFonts w:ascii="宋体" w:hAnsi="宋体" w:eastAsia="宋体" w:cs="宋体"/>
                <w:spacing w:val="-3"/>
                <w:sz w:val="21"/>
                <w:szCs w:val="21"/>
              </w:rPr>
              <w:t>东侧厂界</w:t>
            </w:r>
          </w:p>
        </w:tc>
        <w:tc>
          <w:tcPr>
            <w:tcW w:w="1306" w:type="dxa"/>
            <w:vAlign w:val="top"/>
          </w:tcPr>
          <w:p w14:paraId="747230B8">
            <w:pPr>
              <w:pStyle w:val="6"/>
              <w:spacing w:before="103" w:line="188" w:lineRule="auto"/>
              <w:ind w:left="464"/>
            </w:pPr>
            <w:r>
              <w:rPr>
                <w:spacing w:val="-1"/>
              </w:rPr>
              <w:t>41.4</w:t>
            </w:r>
          </w:p>
        </w:tc>
        <w:tc>
          <w:tcPr>
            <w:tcW w:w="1306" w:type="dxa"/>
            <w:vAlign w:val="top"/>
          </w:tcPr>
          <w:p w14:paraId="72281962">
            <w:pPr>
              <w:pStyle w:val="6"/>
              <w:spacing w:before="103" w:line="188" w:lineRule="auto"/>
              <w:ind w:left="464"/>
            </w:pPr>
            <w:r>
              <w:rPr>
                <w:spacing w:val="-1"/>
              </w:rPr>
              <w:t>41.4</w:t>
            </w:r>
          </w:p>
        </w:tc>
        <w:tc>
          <w:tcPr>
            <w:tcW w:w="931" w:type="dxa"/>
            <w:vMerge w:val="restart"/>
            <w:tcBorders>
              <w:bottom w:val="nil"/>
            </w:tcBorders>
            <w:vAlign w:val="top"/>
          </w:tcPr>
          <w:p w14:paraId="70899337">
            <w:pPr>
              <w:spacing w:line="282" w:lineRule="auto"/>
              <w:rPr>
                <w:rFonts w:ascii="Arial"/>
                <w:sz w:val="21"/>
              </w:rPr>
            </w:pPr>
          </w:p>
          <w:p w14:paraId="0EFE4973">
            <w:pPr>
              <w:spacing w:line="282" w:lineRule="auto"/>
              <w:rPr>
                <w:rFonts w:ascii="Arial"/>
                <w:sz w:val="21"/>
              </w:rPr>
            </w:pPr>
          </w:p>
          <w:p w14:paraId="098C1441">
            <w:pPr>
              <w:pStyle w:val="6"/>
              <w:spacing w:before="61" w:line="188" w:lineRule="auto"/>
              <w:ind w:left="362"/>
            </w:pPr>
            <w:r>
              <w:rPr>
                <w:spacing w:val="-3"/>
              </w:rPr>
              <w:t>60</w:t>
            </w:r>
          </w:p>
        </w:tc>
        <w:tc>
          <w:tcPr>
            <w:tcW w:w="929" w:type="dxa"/>
            <w:vMerge w:val="restart"/>
            <w:tcBorders>
              <w:bottom w:val="nil"/>
            </w:tcBorders>
            <w:vAlign w:val="top"/>
          </w:tcPr>
          <w:p w14:paraId="08FAA2A8">
            <w:pPr>
              <w:spacing w:line="282" w:lineRule="auto"/>
              <w:rPr>
                <w:rFonts w:ascii="Arial"/>
                <w:sz w:val="21"/>
              </w:rPr>
            </w:pPr>
          </w:p>
          <w:p w14:paraId="0698E162">
            <w:pPr>
              <w:spacing w:line="282" w:lineRule="auto"/>
              <w:rPr>
                <w:rFonts w:ascii="Arial"/>
                <w:sz w:val="21"/>
              </w:rPr>
            </w:pPr>
          </w:p>
          <w:p w14:paraId="7A559941">
            <w:pPr>
              <w:pStyle w:val="6"/>
              <w:spacing w:before="61" w:line="188" w:lineRule="auto"/>
              <w:ind w:left="362"/>
            </w:pPr>
            <w:r>
              <w:rPr>
                <w:spacing w:val="-5"/>
              </w:rPr>
              <w:t>50</w:t>
            </w:r>
          </w:p>
        </w:tc>
        <w:tc>
          <w:tcPr>
            <w:tcW w:w="930" w:type="dxa"/>
            <w:vAlign w:val="top"/>
          </w:tcPr>
          <w:p w14:paraId="0622B196">
            <w:pPr>
              <w:spacing w:before="66" w:line="220" w:lineRule="auto"/>
              <w:ind w:left="257"/>
              <w:rPr>
                <w:rFonts w:ascii="宋体" w:hAnsi="宋体" w:eastAsia="宋体" w:cs="宋体"/>
                <w:sz w:val="21"/>
                <w:szCs w:val="21"/>
              </w:rPr>
            </w:pPr>
            <w:r>
              <w:rPr>
                <w:rFonts w:ascii="宋体" w:hAnsi="宋体" w:eastAsia="宋体" w:cs="宋体"/>
                <w:spacing w:val="-2"/>
                <w:sz w:val="21"/>
                <w:szCs w:val="21"/>
              </w:rPr>
              <w:t>达标</w:t>
            </w:r>
          </w:p>
        </w:tc>
        <w:tc>
          <w:tcPr>
            <w:tcW w:w="925" w:type="dxa"/>
            <w:vAlign w:val="top"/>
          </w:tcPr>
          <w:p w14:paraId="4862BF50">
            <w:pPr>
              <w:spacing w:before="66" w:line="220" w:lineRule="auto"/>
              <w:ind w:left="252"/>
              <w:rPr>
                <w:rFonts w:ascii="宋体" w:hAnsi="宋体" w:eastAsia="宋体" w:cs="宋体"/>
                <w:sz w:val="21"/>
                <w:szCs w:val="21"/>
              </w:rPr>
            </w:pPr>
            <w:r>
              <w:rPr>
                <w:rFonts w:ascii="宋体" w:hAnsi="宋体" w:eastAsia="宋体" w:cs="宋体"/>
                <w:spacing w:val="-2"/>
                <w:sz w:val="21"/>
                <w:szCs w:val="21"/>
              </w:rPr>
              <w:t>达标</w:t>
            </w:r>
          </w:p>
        </w:tc>
      </w:tr>
      <w:tr w14:paraId="30596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3" w:type="dxa"/>
            <w:vAlign w:val="top"/>
          </w:tcPr>
          <w:p w14:paraId="0696826F">
            <w:pPr>
              <w:spacing w:before="66" w:line="220" w:lineRule="auto"/>
              <w:ind w:left="585"/>
              <w:rPr>
                <w:rFonts w:ascii="宋体" w:hAnsi="宋体" w:eastAsia="宋体" w:cs="宋体"/>
                <w:sz w:val="21"/>
                <w:szCs w:val="21"/>
              </w:rPr>
            </w:pPr>
            <w:r>
              <w:rPr>
                <w:rFonts w:ascii="宋体" w:hAnsi="宋体" w:eastAsia="宋体" w:cs="宋体"/>
                <w:spacing w:val="-3"/>
                <w:sz w:val="21"/>
                <w:szCs w:val="21"/>
              </w:rPr>
              <w:t>南侧厂界</w:t>
            </w:r>
          </w:p>
        </w:tc>
        <w:tc>
          <w:tcPr>
            <w:tcW w:w="1306" w:type="dxa"/>
            <w:vAlign w:val="top"/>
          </w:tcPr>
          <w:p w14:paraId="4ED1D0F9">
            <w:pPr>
              <w:pStyle w:val="6"/>
              <w:spacing w:before="103" w:line="188" w:lineRule="auto"/>
              <w:ind w:left="464"/>
            </w:pPr>
            <w:r>
              <w:rPr>
                <w:spacing w:val="-1"/>
              </w:rPr>
              <w:t>41.8</w:t>
            </w:r>
          </w:p>
        </w:tc>
        <w:tc>
          <w:tcPr>
            <w:tcW w:w="1306" w:type="dxa"/>
            <w:vAlign w:val="top"/>
          </w:tcPr>
          <w:p w14:paraId="4519F0F8">
            <w:pPr>
              <w:pStyle w:val="6"/>
              <w:spacing w:before="103" w:line="188" w:lineRule="auto"/>
              <w:ind w:left="464"/>
            </w:pPr>
            <w:r>
              <w:rPr>
                <w:spacing w:val="-1"/>
              </w:rPr>
              <w:t>41.8</w:t>
            </w:r>
          </w:p>
        </w:tc>
        <w:tc>
          <w:tcPr>
            <w:tcW w:w="931" w:type="dxa"/>
            <w:vMerge w:val="continue"/>
            <w:tcBorders>
              <w:top w:val="nil"/>
              <w:bottom w:val="nil"/>
            </w:tcBorders>
            <w:vAlign w:val="top"/>
          </w:tcPr>
          <w:p w14:paraId="3399F5B0">
            <w:pPr>
              <w:rPr>
                <w:rFonts w:ascii="Arial"/>
                <w:sz w:val="21"/>
              </w:rPr>
            </w:pPr>
          </w:p>
        </w:tc>
        <w:tc>
          <w:tcPr>
            <w:tcW w:w="929" w:type="dxa"/>
            <w:vMerge w:val="continue"/>
            <w:tcBorders>
              <w:top w:val="nil"/>
              <w:bottom w:val="nil"/>
            </w:tcBorders>
            <w:vAlign w:val="top"/>
          </w:tcPr>
          <w:p w14:paraId="74DE1CD1">
            <w:pPr>
              <w:rPr>
                <w:rFonts w:ascii="Arial"/>
                <w:sz w:val="21"/>
              </w:rPr>
            </w:pPr>
          </w:p>
        </w:tc>
        <w:tc>
          <w:tcPr>
            <w:tcW w:w="930" w:type="dxa"/>
            <w:vAlign w:val="top"/>
          </w:tcPr>
          <w:p w14:paraId="35CE08D0">
            <w:pPr>
              <w:spacing w:before="67" w:line="220" w:lineRule="auto"/>
              <w:ind w:left="257"/>
              <w:rPr>
                <w:rFonts w:ascii="宋体" w:hAnsi="宋体" w:eastAsia="宋体" w:cs="宋体"/>
                <w:sz w:val="21"/>
                <w:szCs w:val="21"/>
              </w:rPr>
            </w:pPr>
            <w:r>
              <w:rPr>
                <w:rFonts w:ascii="宋体" w:hAnsi="宋体" w:eastAsia="宋体" w:cs="宋体"/>
                <w:spacing w:val="-2"/>
                <w:sz w:val="21"/>
                <w:szCs w:val="21"/>
              </w:rPr>
              <w:t>达标</w:t>
            </w:r>
          </w:p>
        </w:tc>
        <w:tc>
          <w:tcPr>
            <w:tcW w:w="925" w:type="dxa"/>
            <w:vAlign w:val="top"/>
          </w:tcPr>
          <w:p w14:paraId="1976764C">
            <w:pPr>
              <w:spacing w:before="67" w:line="220" w:lineRule="auto"/>
              <w:ind w:left="252"/>
              <w:rPr>
                <w:rFonts w:ascii="宋体" w:hAnsi="宋体" w:eastAsia="宋体" w:cs="宋体"/>
                <w:sz w:val="21"/>
                <w:szCs w:val="21"/>
              </w:rPr>
            </w:pPr>
            <w:r>
              <w:rPr>
                <w:rFonts w:ascii="宋体" w:hAnsi="宋体" w:eastAsia="宋体" w:cs="宋体"/>
                <w:spacing w:val="-2"/>
                <w:sz w:val="21"/>
                <w:szCs w:val="21"/>
              </w:rPr>
              <w:t>达标</w:t>
            </w:r>
          </w:p>
        </w:tc>
      </w:tr>
      <w:tr w14:paraId="6853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3" w:type="dxa"/>
            <w:vAlign w:val="top"/>
          </w:tcPr>
          <w:p w14:paraId="2F5254EE">
            <w:pPr>
              <w:spacing w:before="66" w:line="220" w:lineRule="auto"/>
              <w:ind w:left="587"/>
              <w:rPr>
                <w:rFonts w:ascii="宋体" w:hAnsi="宋体" w:eastAsia="宋体" w:cs="宋体"/>
                <w:sz w:val="21"/>
                <w:szCs w:val="21"/>
              </w:rPr>
            </w:pPr>
            <w:r>
              <w:rPr>
                <w:rFonts w:ascii="宋体" w:hAnsi="宋体" w:eastAsia="宋体" w:cs="宋体"/>
                <w:spacing w:val="-3"/>
                <w:sz w:val="21"/>
                <w:szCs w:val="21"/>
              </w:rPr>
              <w:t>西侧厂界</w:t>
            </w:r>
          </w:p>
        </w:tc>
        <w:tc>
          <w:tcPr>
            <w:tcW w:w="1306" w:type="dxa"/>
            <w:vAlign w:val="top"/>
          </w:tcPr>
          <w:p w14:paraId="6926E9CB">
            <w:pPr>
              <w:pStyle w:val="6"/>
              <w:spacing w:before="103" w:line="188" w:lineRule="auto"/>
              <w:ind w:left="464"/>
            </w:pPr>
            <w:r>
              <w:rPr>
                <w:spacing w:val="-1"/>
              </w:rPr>
              <w:t>42.1</w:t>
            </w:r>
          </w:p>
        </w:tc>
        <w:tc>
          <w:tcPr>
            <w:tcW w:w="1306" w:type="dxa"/>
            <w:vAlign w:val="top"/>
          </w:tcPr>
          <w:p w14:paraId="1EECB0FE">
            <w:pPr>
              <w:pStyle w:val="6"/>
              <w:spacing w:before="103" w:line="188" w:lineRule="auto"/>
              <w:ind w:left="464"/>
            </w:pPr>
            <w:r>
              <w:rPr>
                <w:spacing w:val="-1"/>
              </w:rPr>
              <w:t>42.1</w:t>
            </w:r>
          </w:p>
        </w:tc>
        <w:tc>
          <w:tcPr>
            <w:tcW w:w="931" w:type="dxa"/>
            <w:vMerge w:val="continue"/>
            <w:tcBorders>
              <w:top w:val="nil"/>
              <w:bottom w:val="nil"/>
            </w:tcBorders>
            <w:vAlign w:val="top"/>
          </w:tcPr>
          <w:p w14:paraId="179573F6">
            <w:pPr>
              <w:rPr>
                <w:rFonts w:ascii="Arial"/>
                <w:sz w:val="21"/>
              </w:rPr>
            </w:pPr>
          </w:p>
        </w:tc>
        <w:tc>
          <w:tcPr>
            <w:tcW w:w="929" w:type="dxa"/>
            <w:vMerge w:val="continue"/>
            <w:tcBorders>
              <w:top w:val="nil"/>
              <w:bottom w:val="nil"/>
            </w:tcBorders>
            <w:vAlign w:val="top"/>
          </w:tcPr>
          <w:p w14:paraId="0FA4E57F">
            <w:pPr>
              <w:rPr>
                <w:rFonts w:ascii="Arial"/>
                <w:sz w:val="21"/>
              </w:rPr>
            </w:pPr>
          </w:p>
        </w:tc>
        <w:tc>
          <w:tcPr>
            <w:tcW w:w="930" w:type="dxa"/>
            <w:vAlign w:val="top"/>
          </w:tcPr>
          <w:p w14:paraId="0E0CD135">
            <w:pPr>
              <w:spacing w:before="67" w:line="220" w:lineRule="auto"/>
              <w:ind w:left="257"/>
              <w:rPr>
                <w:rFonts w:ascii="宋体" w:hAnsi="宋体" w:eastAsia="宋体" w:cs="宋体"/>
                <w:sz w:val="21"/>
                <w:szCs w:val="21"/>
              </w:rPr>
            </w:pPr>
            <w:r>
              <w:rPr>
                <w:rFonts w:ascii="宋体" w:hAnsi="宋体" w:eastAsia="宋体" w:cs="宋体"/>
                <w:spacing w:val="-2"/>
                <w:sz w:val="21"/>
                <w:szCs w:val="21"/>
              </w:rPr>
              <w:t>达标</w:t>
            </w:r>
          </w:p>
        </w:tc>
        <w:tc>
          <w:tcPr>
            <w:tcW w:w="925" w:type="dxa"/>
            <w:vAlign w:val="top"/>
          </w:tcPr>
          <w:p w14:paraId="022DD04E">
            <w:pPr>
              <w:spacing w:before="67" w:line="220" w:lineRule="auto"/>
              <w:ind w:left="252"/>
              <w:rPr>
                <w:rFonts w:ascii="宋体" w:hAnsi="宋体" w:eastAsia="宋体" w:cs="宋体"/>
                <w:sz w:val="21"/>
                <w:szCs w:val="21"/>
              </w:rPr>
            </w:pPr>
            <w:r>
              <w:rPr>
                <w:rFonts w:ascii="宋体" w:hAnsi="宋体" w:eastAsia="宋体" w:cs="宋体"/>
                <w:spacing w:val="-2"/>
                <w:sz w:val="21"/>
                <w:szCs w:val="21"/>
              </w:rPr>
              <w:t>达标</w:t>
            </w:r>
          </w:p>
        </w:tc>
      </w:tr>
      <w:tr w14:paraId="4C4D9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3" w:type="dxa"/>
            <w:vAlign w:val="top"/>
          </w:tcPr>
          <w:p w14:paraId="7598013F">
            <w:pPr>
              <w:spacing w:before="68" w:line="220" w:lineRule="auto"/>
              <w:ind w:left="586"/>
              <w:rPr>
                <w:rFonts w:ascii="宋体" w:hAnsi="宋体" w:eastAsia="宋体" w:cs="宋体"/>
                <w:sz w:val="21"/>
                <w:szCs w:val="21"/>
              </w:rPr>
            </w:pPr>
            <w:r>
              <w:rPr>
                <w:rFonts w:ascii="宋体" w:hAnsi="宋体" w:eastAsia="宋体" w:cs="宋体"/>
                <w:spacing w:val="-3"/>
                <w:sz w:val="21"/>
                <w:szCs w:val="21"/>
              </w:rPr>
              <w:t>北侧厂界</w:t>
            </w:r>
          </w:p>
        </w:tc>
        <w:tc>
          <w:tcPr>
            <w:tcW w:w="1306" w:type="dxa"/>
            <w:vAlign w:val="top"/>
          </w:tcPr>
          <w:p w14:paraId="5F1474E5">
            <w:pPr>
              <w:pStyle w:val="6"/>
              <w:spacing w:before="105" w:line="188" w:lineRule="auto"/>
              <w:ind w:left="464"/>
            </w:pPr>
            <w:r>
              <w:rPr>
                <w:spacing w:val="-1"/>
              </w:rPr>
              <w:t>40.1</w:t>
            </w:r>
          </w:p>
        </w:tc>
        <w:tc>
          <w:tcPr>
            <w:tcW w:w="1306" w:type="dxa"/>
            <w:vAlign w:val="top"/>
          </w:tcPr>
          <w:p w14:paraId="74F072B4">
            <w:pPr>
              <w:pStyle w:val="6"/>
              <w:spacing w:before="105" w:line="188" w:lineRule="auto"/>
              <w:ind w:left="464"/>
            </w:pPr>
            <w:r>
              <w:rPr>
                <w:spacing w:val="-1"/>
              </w:rPr>
              <w:t>40.1</w:t>
            </w:r>
          </w:p>
        </w:tc>
        <w:tc>
          <w:tcPr>
            <w:tcW w:w="931" w:type="dxa"/>
            <w:vMerge w:val="continue"/>
            <w:tcBorders>
              <w:top w:val="nil"/>
            </w:tcBorders>
            <w:vAlign w:val="top"/>
          </w:tcPr>
          <w:p w14:paraId="0FBC86D0">
            <w:pPr>
              <w:rPr>
                <w:rFonts w:ascii="Arial"/>
                <w:sz w:val="21"/>
              </w:rPr>
            </w:pPr>
          </w:p>
        </w:tc>
        <w:tc>
          <w:tcPr>
            <w:tcW w:w="929" w:type="dxa"/>
            <w:vMerge w:val="continue"/>
            <w:tcBorders>
              <w:top w:val="nil"/>
            </w:tcBorders>
            <w:vAlign w:val="top"/>
          </w:tcPr>
          <w:p w14:paraId="4A5FD940">
            <w:pPr>
              <w:rPr>
                <w:rFonts w:ascii="Arial"/>
                <w:sz w:val="21"/>
              </w:rPr>
            </w:pPr>
          </w:p>
        </w:tc>
        <w:tc>
          <w:tcPr>
            <w:tcW w:w="930" w:type="dxa"/>
            <w:vAlign w:val="top"/>
          </w:tcPr>
          <w:p w14:paraId="7EFC43AB">
            <w:pPr>
              <w:spacing w:before="68" w:line="220" w:lineRule="auto"/>
              <w:ind w:left="257"/>
              <w:rPr>
                <w:rFonts w:ascii="宋体" w:hAnsi="宋体" w:eastAsia="宋体" w:cs="宋体"/>
                <w:sz w:val="21"/>
                <w:szCs w:val="21"/>
              </w:rPr>
            </w:pPr>
            <w:r>
              <w:rPr>
                <w:rFonts w:ascii="宋体" w:hAnsi="宋体" w:eastAsia="宋体" w:cs="宋体"/>
                <w:spacing w:val="-2"/>
                <w:sz w:val="21"/>
                <w:szCs w:val="21"/>
              </w:rPr>
              <w:t>达标</w:t>
            </w:r>
          </w:p>
        </w:tc>
        <w:tc>
          <w:tcPr>
            <w:tcW w:w="925" w:type="dxa"/>
            <w:vAlign w:val="top"/>
          </w:tcPr>
          <w:p w14:paraId="5CB94253">
            <w:pPr>
              <w:spacing w:before="68" w:line="220" w:lineRule="auto"/>
              <w:ind w:left="252"/>
              <w:rPr>
                <w:rFonts w:ascii="宋体" w:hAnsi="宋体" w:eastAsia="宋体" w:cs="宋体"/>
                <w:sz w:val="21"/>
                <w:szCs w:val="21"/>
              </w:rPr>
            </w:pPr>
            <w:r>
              <w:rPr>
                <w:rFonts w:ascii="宋体" w:hAnsi="宋体" w:eastAsia="宋体" w:cs="宋体"/>
                <w:spacing w:val="-2"/>
                <w:sz w:val="21"/>
                <w:szCs w:val="21"/>
              </w:rPr>
              <w:t>达标</w:t>
            </w:r>
          </w:p>
        </w:tc>
      </w:tr>
    </w:tbl>
    <w:p w14:paraId="5C7F180A">
      <w:pPr>
        <w:spacing w:before="150" w:line="6587" w:lineRule="exact"/>
        <w:ind w:firstLine="213"/>
      </w:pPr>
      <w:r>
        <w:rPr>
          <w:position w:val="-131"/>
        </w:rPr>
        <w:drawing>
          <wp:inline distT="0" distB="0" distL="0" distR="0">
            <wp:extent cx="5051425" cy="418274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582"/>
                    <a:stretch>
                      <a:fillRect/>
                    </a:stretch>
                  </pic:blipFill>
                  <pic:spPr>
                    <a:xfrm>
                      <a:off x="0" y="0"/>
                      <a:ext cx="5052059" cy="4183379"/>
                    </a:xfrm>
                    <a:prstGeom prst="rect">
                      <a:avLst/>
                    </a:prstGeom>
                  </pic:spPr>
                </pic:pic>
              </a:graphicData>
            </a:graphic>
          </wp:inline>
        </w:drawing>
      </w:r>
    </w:p>
    <w:p w14:paraId="68EB63B3">
      <w:pPr>
        <w:spacing w:before="254" w:line="219" w:lineRule="auto"/>
        <w:ind w:left="2750"/>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8"/>
          <w:sz w:val="21"/>
          <w:szCs w:val="21"/>
        </w:rPr>
        <w:t xml:space="preserve"> </w:t>
      </w:r>
      <w:r>
        <w:rPr>
          <w:rFonts w:ascii="Times New Roman" w:hAnsi="Times New Roman" w:eastAsia="Times New Roman" w:cs="Times New Roman"/>
          <w:spacing w:val="-2"/>
          <w:sz w:val="21"/>
          <w:szCs w:val="21"/>
        </w:rPr>
        <w:t xml:space="preserve">4.2-6  </w:t>
      </w:r>
      <w:r>
        <w:rPr>
          <w:rFonts w:ascii="黑体" w:hAnsi="黑体" w:eastAsia="黑体" w:cs="黑体"/>
          <w:spacing w:val="-2"/>
          <w:sz w:val="21"/>
          <w:szCs w:val="21"/>
        </w:rPr>
        <w:t>项目噪声值等声级线图</w:t>
      </w:r>
    </w:p>
    <w:p w14:paraId="1627D3DB">
      <w:pPr>
        <w:spacing w:before="205" w:line="360" w:lineRule="auto"/>
        <w:ind w:left="38" w:right="31" w:firstLine="480"/>
        <w:jc w:val="both"/>
        <w:rPr>
          <w:rFonts w:ascii="宋体" w:hAnsi="宋体" w:eastAsia="宋体" w:cs="宋体"/>
          <w:sz w:val="24"/>
          <w:szCs w:val="24"/>
        </w:rPr>
      </w:pPr>
      <w:r>
        <w:rPr>
          <w:rFonts w:ascii="宋体" w:hAnsi="宋体" w:eastAsia="宋体" w:cs="宋体"/>
          <w:spacing w:val="-3"/>
          <w:sz w:val="24"/>
          <w:szCs w:val="24"/>
        </w:rPr>
        <w:t>根据预测结果可知，本项目投入运行后，通过采取上述建筑</w:t>
      </w:r>
      <w:r>
        <w:rPr>
          <w:rFonts w:ascii="宋体" w:hAnsi="宋体" w:eastAsia="宋体" w:cs="宋体"/>
          <w:spacing w:val="-4"/>
          <w:sz w:val="24"/>
          <w:szCs w:val="24"/>
        </w:rPr>
        <w:t>隔声、消声、减</w:t>
      </w:r>
      <w:r>
        <w:rPr>
          <w:rFonts w:ascii="宋体" w:hAnsi="宋体" w:eastAsia="宋体" w:cs="宋体"/>
          <w:spacing w:val="11"/>
          <w:sz w:val="24"/>
          <w:szCs w:val="24"/>
        </w:rPr>
        <w:t>振等降噪措施，厂界噪声贡献值可满足《工业企业厂界环境噪声排放标准》</w:t>
      </w:r>
      <w:r>
        <w:rPr>
          <w:rFonts w:ascii="宋体" w:hAnsi="宋体" w:eastAsia="宋体" w:cs="宋体"/>
          <w:spacing w:val="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GB12348-2008</w:t>
      </w:r>
      <w:r>
        <w:rPr>
          <w:rFonts w:ascii="宋体" w:hAnsi="宋体" w:eastAsia="宋体" w:cs="宋体"/>
          <w:spacing w:val="-2"/>
          <w:sz w:val="24"/>
          <w:szCs w:val="24"/>
        </w:rPr>
        <w:t>）中的</w:t>
      </w:r>
      <w:r>
        <w:rPr>
          <w:rFonts w:ascii="Times New Roman" w:hAnsi="Times New Roman" w:eastAsia="Times New Roman" w:cs="Times New Roman"/>
          <w:spacing w:val="-2"/>
          <w:sz w:val="24"/>
          <w:szCs w:val="24"/>
        </w:rPr>
        <w:t>2</w:t>
      </w:r>
      <w:r>
        <w:rPr>
          <w:rFonts w:ascii="宋体" w:hAnsi="宋体" w:eastAsia="宋体" w:cs="宋体"/>
          <w:spacing w:val="-2"/>
          <w:sz w:val="24"/>
          <w:szCs w:val="24"/>
        </w:rPr>
        <w:t>类标准要求。</w:t>
      </w:r>
    </w:p>
    <w:p w14:paraId="409BCDAF">
      <w:pPr>
        <w:spacing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）声环境保护目标噪声预测</w:t>
      </w:r>
    </w:p>
    <w:p w14:paraId="3A6C6877">
      <w:pPr>
        <w:spacing w:before="184" w:line="361" w:lineRule="auto"/>
        <w:ind w:left="41" w:right="30" w:firstLine="477"/>
        <w:jc w:val="both"/>
        <w:rPr>
          <w:rFonts w:ascii="宋体" w:hAnsi="宋体" w:eastAsia="宋体" w:cs="宋体"/>
          <w:sz w:val="24"/>
          <w:szCs w:val="24"/>
        </w:rPr>
      </w:pPr>
      <w:r>
        <w:rPr>
          <w:rFonts w:ascii="宋体" w:hAnsi="宋体" w:eastAsia="宋体" w:cs="宋体"/>
          <w:spacing w:val="-3"/>
          <w:sz w:val="24"/>
          <w:szCs w:val="24"/>
        </w:rPr>
        <w:t>选取距离本项目最近的声环境保护目标进行运营期噪声影响预测</w:t>
      </w:r>
      <w:r>
        <w:rPr>
          <w:rFonts w:ascii="宋体" w:hAnsi="宋体" w:eastAsia="宋体" w:cs="宋体"/>
          <w:spacing w:val="-4"/>
          <w:sz w:val="24"/>
          <w:szCs w:val="24"/>
        </w:rPr>
        <w:t>，预测结果</w:t>
      </w:r>
      <w:r>
        <w:rPr>
          <w:rFonts w:ascii="宋体" w:hAnsi="宋体" w:eastAsia="宋体" w:cs="宋体"/>
          <w:spacing w:val="-7"/>
          <w:sz w:val="24"/>
          <w:szCs w:val="24"/>
        </w:rPr>
        <w:t>见下表。根据预测结果可知， 本项目周边声环境保护目标均满足《声环境质量标</w:t>
      </w:r>
      <w:r>
        <w:rPr>
          <w:rFonts w:ascii="宋体" w:hAnsi="宋体" w:eastAsia="宋体" w:cs="宋体"/>
          <w:spacing w:val="-2"/>
          <w:sz w:val="24"/>
          <w:szCs w:val="24"/>
        </w:rPr>
        <w:t>准》（</w:t>
      </w:r>
      <w:r>
        <w:rPr>
          <w:rFonts w:ascii="Times New Roman" w:hAnsi="Times New Roman" w:eastAsia="Times New Roman" w:cs="Times New Roman"/>
          <w:spacing w:val="-2"/>
          <w:sz w:val="24"/>
          <w:szCs w:val="24"/>
        </w:rPr>
        <w:t>GB3096-2008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类标准要求。</w:t>
      </w:r>
    </w:p>
    <w:p w14:paraId="47D2680C">
      <w:pPr>
        <w:spacing w:line="361" w:lineRule="auto"/>
        <w:rPr>
          <w:rFonts w:ascii="宋体" w:hAnsi="宋体" w:eastAsia="宋体" w:cs="宋体"/>
          <w:sz w:val="24"/>
          <w:szCs w:val="24"/>
        </w:rPr>
        <w:sectPr>
          <w:headerReference r:id="rId383" w:type="default"/>
          <w:footerReference r:id="rId384" w:type="default"/>
          <w:pgSz w:w="11905" w:h="16840"/>
          <w:pgMar w:top="1168" w:right="1768" w:bottom="1409" w:left="1770" w:header="828" w:footer="1244" w:gutter="0"/>
          <w:cols w:space="720" w:num="1"/>
        </w:sectPr>
      </w:pPr>
    </w:p>
    <w:p w14:paraId="042AD4AB">
      <w:pPr>
        <w:pStyle w:val="2"/>
        <w:spacing w:line="329" w:lineRule="auto"/>
      </w:pPr>
    </w:p>
    <w:p w14:paraId="1C8E75B5">
      <w:pPr>
        <w:spacing w:before="68" w:line="222" w:lineRule="auto"/>
        <w:ind w:left="205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0"/>
          <w:sz w:val="21"/>
          <w:szCs w:val="21"/>
        </w:rPr>
        <w:t xml:space="preserve"> </w:t>
      </w:r>
      <w:r>
        <w:rPr>
          <w:rFonts w:ascii="Times New Roman" w:hAnsi="Times New Roman" w:eastAsia="Times New Roman" w:cs="Times New Roman"/>
          <w:spacing w:val="-1"/>
          <w:sz w:val="21"/>
          <w:szCs w:val="21"/>
        </w:rPr>
        <w:t xml:space="preserve">4.2-38  </w:t>
      </w:r>
      <w:r>
        <w:rPr>
          <w:rFonts w:ascii="黑体" w:hAnsi="黑体" w:eastAsia="黑体" w:cs="黑体"/>
          <w:spacing w:val="-1"/>
          <w:sz w:val="21"/>
          <w:szCs w:val="21"/>
        </w:rPr>
        <w:t>本项目声环境保护目标噪声预测结果</w:t>
      </w:r>
    </w:p>
    <w:p w14:paraId="42DAFD20">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
        <w:gridCol w:w="751"/>
        <w:gridCol w:w="517"/>
        <w:gridCol w:w="589"/>
        <w:gridCol w:w="519"/>
        <w:gridCol w:w="520"/>
        <w:gridCol w:w="519"/>
        <w:gridCol w:w="520"/>
        <w:gridCol w:w="518"/>
        <w:gridCol w:w="519"/>
        <w:gridCol w:w="521"/>
        <w:gridCol w:w="522"/>
        <w:gridCol w:w="518"/>
        <w:gridCol w:w="519"/>
        <w:gridCol w:w="486"/>
        <w:gridCol w:w="491"/>
      </w:tblGrid>
      <w:tr w14:paraId="0BEB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91" w:type="dxa"/>
            <w:vMerge w:val="restart"/>
            <w:tcBorders>
              <w:bottom w:val="nil"/>
            </w:tcBorders>
            <w:textDirection w:val="tbRlV"/>
            <w:vAlign w:val="top"/>
          </w:tcPr>
          <w:p w14:paraId="25C2DBB3">
            <w:pPr>
              <w:spacing w:before="37" w:line="210" w:lineRule="auto"/>
              <w:ind w:left="229"/>
              <w:rPr>
                <w:rFonts w:ascii="宋体" w:hAnsi="宋体" w:eastAsia="宋体" w:cs="宋体"/>
                <w:sz w:val="21"/>
                <w:szCs w:val="21"/>
              </w:rPr>
            </w:pPr>
            <w:r>
              <w:rPr>
                <w:rFonts w:ascii="宋体" w:hAnsi="宋体" w:eastAsia="宋体" w:cs="宋体"/>
                <w:spacing w:val="-2"/>
                <w:sz w:val="21"/>
                <w:szCs w:val="21"/>
              </w:rPr>
              <w:t>序 号</w:t>
            </w:r>
          </w:p>
        </w:tc>
        <w:tc>
          <w:tcPr>
            <w:tcW w:w="751" w:type="dxa"/>
            <w:vMerge w:val="restart"/>
            <w:tcBorders>
              <w:bottom w:val="nil"/>
            </w:tcBorders>
            <w:vAlign w:val="top"/>
          </w:tcPr>
          <w:p w14:paraId="7E9C85BE">
            <w:pPr>
              <w:spacing w:before="74" w:line="220" w:lineRule="auto"/>
              <w:ind w:left="67"/>
              <w:rPr>
                <w:rFonts w:ascii="宋体" w:hAnsi="宋体" w:eastAsia="宋体" w:cs="宋体"/>
                <w:sz w:val="21"/>
                <w:szCs w:val="21"/>
              </w:rPr>
            </w:pPr>
            <w:r>
              <w:rPr>
                <w:rFonts w:ascii="宋体" w:hAnsi="宋体" w:eastAsia="宋体" w:cs="宋体"/>
                <w:spacing w:val="-3"/>
                <w:sz w:val="21"/>
                <w:szCs w:val="21"/>
              </w:rPr>
              <w:t>声环境</w:t>
            </w:r>
          </w:p>
          <w:p w14:paraId="03CCF95A">
            <w:pPr>
              <w:spacing w:before="61" w:line="220" w:lineRule="auto"/>
              <w:ind w:left="64"/>
              <w:rPr>
                <w:rFonts w:ascii="宋体" w:hAnsi="宋体" w:eastAsia="宋体" w:cs="宋体"/>
                <w:sz w:val="21"/>
                <w:szCs w:val="21"/>
              </w:rPr>
            </w:pPr>
            <w:r>
              <w:rPr>
                <w:rFonts w:ascii="宋体" w:hAnsi="宋体" w:eastAsia="宋体" w:cs="宋体"/>
                <w:spacing w:val="-3"/>
                <w:sz w:val="21"/>
                <w:szCs w:val="21"/>
              </w:rPr>
              <w:t>保护目</w:t>
            </w:r>
          </w:p>
          <w:p w14:paraId="4D69C05A">
            <w:pPr>
              <w:spacing w:before="61" w:line="220" w:lineRule="auto"/>
              <w:ind w:left="64"/>
              <w:rPr>
                <w:rFonts w:ascii="宋体" w:hAnsi="宋体" w:eastAsia="宋体" w:cs="宋体"/>
                <w:sz w:val="21"/>
                <w:szCs w:val="21"/>
              </w:rPr>
            </w:pPr>
            <w:r>
              <w:rPr>
                <w:rFonts w:ascii="宋体" w:hAnsi="宋体" w:eastAsia="宋体" w:cs="宋体"/>
                <w:spacing w:val="-3"/>
                <w:sz w:val="21"/>
                <w:szCs w:val="21"/>
              </w:rPr>
              <w:t>标名称</w:t>
            </w:r>
          </w:p>
        </w:tc>
        <w:tc>
          <w:tcPr>
            <w:tcW w:w="1106" w:type="dxa"/>
            <w:gridSpan w:val="2"/>
            <w:vAlign w:val="top"/>
          </w:tcPr>
          <w:p w14:paraId="7032BA19">
            <w:pPr>
              <w:pStyle w:val="6"/>
              <w:spacing w:before="53" w:line="265" w:lineRule="auto"/>
              <w:ind w:left="251" w:right="27" w:hanging="210"/>
            </w:pPr>
            <w:r>
              <w:rPr>
                <w:rFonts w:ascii="宋体" w:hAnsi="宋体" w:eastAsia="宋体" w:cs="宋体"/>
                <w:spacing w:val="-4"/>
              </w:rPr>
              <w:t>噪声背景值</w:t>
            </w:r>
            <w:r>
              <w:rPr>
                <w:spacing w:val="-1"/>
              </w:rPr>
              <w:t>/dB(A)</w:t>
            </w:r>
          </w:p>
        </w:tc>
        <w:tc>
          <w:tcPr>
            <w:tcW w:w="1039" w:type="dxa"/>
            <w:gridSpan w:val="2"/>
            <w:vAlign w:val="top"/>
          </w:tcPr>
          <w:p w14:paraId="339FCED4">
            <w:pPr>
              <w:pStyle w:val="6"/>
              <w:spacing w:before="55" w:line="249" w:lineRule="auto"/>
              <w:ind w:left="121" w:right="97" w:hanging="6"/>
            </w:pPr>
            <w:r>
              <w:rPr>
                <w:rFonts w:ascii="宋体" w:hAnsi="宋体" w:eastAsia="宋体" w:cs="宋体"/>
                <w:spacing w:val="-5"/>
              </w:rPr>
              <w:t>噪声现状</w:t>
            </w:r>
            <w:r>
              <w:rPr>
                <w:rFonts w:ascii="宋体" w:hAnsi="宋体" w:eastAsia="宋体" w:cs="宋体"/>
                <w:spacing w:val="-2"/>
              </w:rPr>
              <w:t>值</w:t>
            </w:r>
            <w:r>
              <w:rPr>
                <w:spacing w:val="-2"/>
              </w:rPr>
              <w:t>/dB(A)</w:t>
            </w:r>
          </w:p>
        </w:tc>
        <w:tc>
          <w:tcPr>
            <w:tcW w:w="1039" w:type="dxa"/>
            <w:gridSpan w:val="2"/>
            <w:vAlign w:val="top"/>
          </w:tcPr>
          <w:p w14:paraId="6C499115">
            <w:pPr>
              <w:pStyle w:val="6"/>
              <w:spacing w:before="53" w:line="265" w:lineRule="auto"/>
              <w:ind w:left="219" w:right="96" w:hanging="104"/>
            </w:pPr>
            <w:r>
              <w:rPr>
                <w:rFonts w:ascii="宋体" w:hAnsi="宋体" w:eastAsia="宋体" w:cs="宋体"/>
                <w:spacing w:val="-5"/>
              </w:rPr>
              <w:t>噪声标准</w:t>
            </w:r>
            <w:r>
              <w:rPr>
                <w:spacing w:val="-1"/>
              </w:rPr>
              <w:t>/dB(A)</w:t>
            </w:r>
          </w:p>
        </w:tc>
        <w:tc>
          <w:tcPr>
            <w:tcW w:w="1037" w:type="dxa"/>
            <w:gridSpan w:val="2"/>
            <w:vAlign w:val="top"/>
          </w:tcPr>
          <w:p w14:paraId="3BC74257">
            <w:pPr>
              <w:pStyle w:val="6"/>
              <w:spacing w:before="55" w:line="249" w:lineRule="auto"/>
              <w:ind w:left="123" w:right="94" w:hanging="8"/>
            </w:pPr>
            <w:r>
              <w:rPr>
                <w:rFonts w:ascii="宋体" w:hAnsi="宋体" w:eastAsia="宋体" w:cs="宋体"/>
                <w:spacing w:val="-5"/>
              </w:rPr>
              <w:t>噪声贡献</w:t>
            </w:r>
            <w:r>
              <w:rPr>
                <w:rFonts w:ascii="宋体" w:hAnsi="宋体" w:eastAsia="宋体" w:cs="宋体"/>
                <w:spacing w:val="-2"/>
              </w:rPr>
              <w:t>值</w:t>
            </w:r>
            <w:r>
              <w:rPr>
                <w:spacing w:val="-2"/>
              </w:rPr>
              <w:t>/dB(A)</w:t>
            </w:r>
          </w:p>
        </w:tc>
        <w:tc>
          <w:tcPr>
            <w:tcW w:w="1043" w:type="dxa"/>
            <w:gridSpan w:val="2"/>
            <w:vAlign w:val="top"/>
          </w:tcPr>
          <w:p w14:paraId="60297394">
            <w:pPr>
              <w:pStyle w:val="6"/>
              <w:spacing w:before="55" w:line="249" w:lineRule="auto"/>
              <w:ind w:left="126" w:right="97" w:hanging="8"/>
            </w:pPr>
            <w:r>
              <w:rPr>
                <w:rFonts w:ascii="宋体" w:hAnsi="宋体" w:eastAsia="宋体" w:cs="宋体"/>
                <w:spacing w:val="-5"/>
              </w:rPr>
              <w:t>噪声预测</w:t>
            </w:r>
            <w:r>
              <w:rPr>
                <w:rFonts w:ascii="宋体" w:hAnsi="宋体" w:eastAsia="宋体" w:cs="宋体"/>
                <w:spacing w:val="-2"/>
              </w:rPr>
              <w:t>值</w:t>
            </w:r>
            <w:r>
              <w:rPr>
                <w:spacing w:val="-2"/>
              </w:rPr>
              <w:t>/dB(A)</w:t>
            </w:r>
          </w:p>
        </w:tc>
        <w:tc>
          <w:tcPr>
            <w:tcW w:w="1037" w:type="dxa"/>
            <w:gridSpan w:val="2"/>
            <w:vAlign w:val="top"/>
          </w:tcPr>
          <w:p w14:paraId="6D05E064">
            <w:pPr>
              <w:pStyle w:val="6"/>
              <w:spacing w:before="55" w:line="249" w:lineRule="auto"/>
              <w:ind w:left="123" w:right="93" w:hanging="17"/>
            </w:pPr>
            <w:r>
              <w:rPr>
                <w:rFonts w:ascii="宋体" w:hAnsi="宋体" w:eastAsia="宋体" w:cs="宋体"/>
                <w:spacing w:val="-3"/>
              </w:rPr>
              <w:t>较现状增</w:t>
            </w:r>
            <w:r>
              <w:rPr>
                <w:rFonts w:ascii="宋体" w:hAnsi="宋体" w:eastAsia="宋体" w:cs="宋体"/>
                <w:spacing w:val="-2"/>
              </w:rPr>
              <w:t>量</w:t>
            </w:r>
            <w:r>
              <w:rPr>
                <w:spacing w:val="-2"/>
              </w:rPr>
              <w:t>/dB(A)</w:t>
            </w:r>
          </w:p>
        </w:tc>
        <w:tc>
          <w:tcPr>
            <w:tcW w:w="977" w:type="dxa"/>
            <w:gridSpan w:val="2"/>
            <w:vAlign w:val="top"/>
          </w:tcPr>
          <w:p w14:paraId="61F7A7CD">
            <w:pPr>
              <w:spacing w:before="55" w:line="249" w:lineRule="auto"/>
              <w:ind w:left="180" w:right="65" w:hanging="106"/>
              <w:rPr>
                <w:rFonts w:ascii="宋体" w:hAnsi="宋体" w:eastAsia="宋体" w:cs="宋体"/>
                <w:sz w:val="21"/>
                <w:szCs w:val="21"/>
              </w:rPr>
            </w:pPr>
            <w:r>
              <w:rPr>
                <w:rFonts w:ascii="宋体" w:hAnsi="宋体" w:eastAsia="宋体" w:cs="宋体"/>
                <w:spacing w:val="-2"/>
                <w:sz w:val="21"/>
                <w:szCs w:val="21"/>
              </w:rPr>
              <w:t>超标和达</w:t>
            </w:r>
            <w:r>
              <w:rPr>
                <w:rFonts w:ascii="宋体" w:hAnsi="宋体" w:eastAsia="宋体" w:cs="宋体"/>
                <w:spacing w:val="-3"/>
                <w:sz w:val="21"/>
                <w:szCs w:val="21"/>
              </w:rPr>
              <w:t>标情况</w:t>
            </w:r>
          </w:p>
        </w:tc>
      </w:tr>
      <w:tr w14:paraId="1E1C0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1" w:type="dxa"/>
            <w:vMerge w:val="continue"/>
            <w:tcBorders>
              <w:top w:val="nil"/>
            </w:tcBorders>
            <w:textDirection w:val="tbRlV"/>
            <w:vAlign w:val="top"/>
          </w:tcPr>
          <w:p w14:paraId="593D4B86">
            <w:pPr>
              <w:rPr>
                <w:rFonts w:ascii="Arial"/>
                <w:sz w:val="21"/>
              </w:rPr>
            </w:pPr>
          </w:p>
        </w:tc>
        <w:tc>
          <w:tcPr>
            <w:tcW w:w="751" w:type="dxa"/>
            <w:vMerge w:val="continue"/>
            <w:tcBorders>
              <w:top w:val="nil"/>
            </w:tcBorders>
            <w:vAlign w:val="top"/>
          </w:tcPr>
          <w:p w14:paraId="03C8969F">
            <w:pPr>
              <w:rPr>
                <w:rFonts w:ascii="Arial"/>
                <w:sz w:val="21"/>
              </w:rPr>
            </w:pPr>
          </w:p>
        </w:tc>
        <w:tc>
          <w:tcPr>
            <w:tcW w:w="517" w:type="dxa"/>
            <w:vAlign w:val="top"/>
          </w:tcPr>
          <w:p w14:paraId="3921EEE3">
            <w:pPr>
              <w:spacing w:before="66" w:line="222" w:lineRule="auto"/>
              <w:ind w:left="51"/>
              <w:rPr>
                <w:rFonts w:ascii="宋体" w:hAnsi="宋体" w:eastAsia="宋体" w:cs="宋体"/>
                <w:sz w:val="21"/>
                <w:szCs w:val="21"/>
              </w:rPr>
            </w:pPr>
            <w:r>
              <w:rPr>
                <w:rFonts w:ascii="宋体" w:hAnsi="宋体" w:eastAsia="宋体" w:cs="宋体"/>
                <w:spacing w:val="-2"/>
                <w:sz w:val="21"/>
                <w:szCs w:val="21"/>
              </w:rPr>
              <w:t>昼间</w:t>
            </w:r>
          </w:p>
        </w:tc>
        <w:tc>
          <w:tcPr>
            <w:tcW w:w="589" w:type="dxa"/>
            <w:vAlign w:val="top"/>
          </w:tcPr>
          <w:p w14:paraId="7F7FB4C7">
            <w:pPr>
              <w:spacing w:before="65" w:line="220" w:lineRule="auto"/>
              <w:ind w:left="91"/>
              <w:rPr>
                <w:rFonts w:ascii="宋体" w:hAnsi="宋体" w:eastAsia="宋体" w:cs="宋体"/>
                <w:sz w:val="21"/>
                <w:szCs w:val="21"/>
              </w:rPr>
            </w:pPr>
            <w:r>
              <w:rPr>
                <w:rFonts w:ascii="宋体" w:hAnsi="宋体" w:eastAsia="宋体" w:cs="宋体"/>
                <w:spacing w:val="-3"/>
                <w:sz w:val="21"/>
                <w:szCs w:val="21"/>
              </w:rPr>
              <w:t>夜间</w:t>
            </w:r>
          </w:p>
        </w:tc>
        <w:tc>
          <w:tcPr>
            <w:tcW w:w="519" w:type="dxa"/>
            <w:vAlign w:val="top"/>
          </w:tcPr>
          <w:p w14:paraId="046F5A57">
            <w:pPr>
              <w:spacing w:before="66" w:line="222" w:lineRule="auto"/>
              <w:ind w:left="53"/>
              <w:rPr>
                <w:rFonts w:ascii="宋体" w:hAnsi="宋体" w:eastAsia="宋体" w:cs="宋体"/>
                <w:sz w:val="21"/>
                <w:szCs w:val="21"/>
              </w:rPr>
            </w:pPr>
            <w:r>
              <w:rPr>
                <w:rFonts w:ascii="宋体" w:hAnsi="宋体" w:eastAsia="宋体" w:cs="宋体"/>
                <w:spacing w:val="-2"/>
                <w:sz w:val="21"/>
                <w:szCs w:val="21"/>
              </w:rPr>
              <w:t>昼间</w:t>
            </w:r>
          </w:p>
        </w:tc>
        <w:tc>
          <w:tcPr>
            <w:tcW w:w="520" w:type="dxa"/>
            <w:vAlign w:val="top"/>
          </w:tcPr>
          <w:p w14:paraId="3909FED5">
            <w:pPr>
              <w:spacing w:before="65" w:line="220" w:lineRule="auto"/>
              <w:ind w:left="58"/>
              <w:rPr>
                <w:rFonts w:ascii="宋体" w:hAnsi="宋体" w:eastAsia="宋体" w:cs="宋体"/>
                <w:sz w:val="21"/>
                <w:szCs w:val="21"/>
              </w:rPr>
            </w:pPr>
            <w:r>
              <w:rPr>
                <w:rFonts w:ascii="宋体" w:hAnsi="宋体" w:eastAsia="宋体" w:cs="宋体"/>
                <w:spacing w:val="-3"/>
                <w:sz w:val="21"/>
                <w:szCs w:val="21"/>
              </w:rPr>
              <w:t>夜间</w:t>
            </w:r>
          </w:p>
        </w:tc>
        <w:tc>
          <w:tcPr>
            <w:tcW w:w="519" w:type="dxa"/>
            <w:vAlign w:val="top"/>
          </w:tcPr>
          <w:p w14:paraId="2E7755C9">
            <w:pPr>
              <w:spacing w:before="66" w:line="222" w:lineRule="auto"/>
              <w:ind w:left="54"/>
              <w:rPr>
                <w:rFonts w:ascii="宋体" w:hAnsi="宋体" w:eastAsia="宋体" w:cs="宋体"/>
                <w:sz w:val="21"/>
                <w:szCs w:val="21"/>
              </w:rPr>
            </w:pPr>
            <w:r>
              <w:rPr>
                <w:rFonts w:ascii="宋体" w:hAnsi="宋体" w:eastAsia="宋体" w:cs="宋体"/>
                <w:spacing w:val="-2"/>
                <w:sz w:val="21"/>
                <w:szCs w:val="21"/>
              </w:rPr>
              <w:t>昼间</w:t>
            </w:r>
          </w:p>
        </w:tc>
        <w:tc>
          <w:tcPr>
            <w:tcW w:w="520" w:type="dxa"/>
            <w:vAlign w:val="top"/>
          </w:tcPr>
          <w:p w14:paraId="70D343A3">
            <w:pPr>
              <w:spacing w:before="65" w:line="220" w:lineRule="auto"/>
              <w:ind w:left="60"/>
              <w:rPr>
                <w:rFonts w:ascii="宋体" w:hAnsi="宋体" w:eastAsia="宋体" w:cs="宋体"/>
                <w:sz w:val="21"/>
                <w:szCs w:val="21"/>
              </w:rPr>
            </w:pPr>
            <w:r>
              <w:rPr>
                <w:rFonts w:ascii="宋体" w:hAnsi="宋体" w:eastAsia="宋体" w:cs="宋体"/>
                <w:spacing w:val="-3"/>
                <w:sz w:val="21"/>
                <w:szCs w:val="21"/>
              </w:rPr>
              <w:t>夜间</w:t>
            </w:r>
          </w:p>
        </w:tc>
        <w:tc>
          <w:tcPr>
            <w:tcW w:w="518" w:type="dxa"/>
            <w:vAlign w:val="top"/>
          </w:tcPr>
          <w:p w14:paraId="1EBD238B">
            <w:pPr>
              <w:spacing w:before="66" w:line="222" w:lineRule="auto"/>
              <w:ind w:left="55"/>
              <w:rPr>
                <w:rFonts w:ascii="宋体" w:hAnsi="宋体" w:eastAsia="宋体" w:cs="宋体"/>
                <w:sz w:val="21"/>
                <w:szCs w:val="21"/>
              </w:rPr>
            </w:pPr>
            <w:r>
              <w:rPr>
                <w:rFonts w:ascii="宋体" w:hAnsi="宋体" w:eastAsia="宋体" w:cs="宋体"/>
                <w:spacing w:val="-2"/>
                <w:sz w:val="21"/>
                <w:szCs w:val="21"/>
              </w:rPr>
              <w:t>昼间</w:t>
            </w:r>
          </w:p>
        </w:tc>
        <w:tc>
          <w:tcPr>
            <w:tcW w:w="519" w:type="dxa"/>
            <w:vAlign w:val="top"/>
          </w:tcPr>
          <w:p w14:paraId="3BA2ED3A">
            <w:pPr>
              <w:spacing w:before="65" w:line="220" w:lineRule="auto"/>
              <w:ind w:left="60"/>
              <w:rPr>
                <w:rFonts w:ascii="宋体" w:hAnsi="宋体" w:eastAsia="宋体" w:cs="宋体"/>
                <w:sz w:val="21"/>
                <w:szCs w:val="21"/>
              </w:rPr>
            </w:pPr>
            <w:r>
              <w:rPr>
                <w:rFonts w:ascii="宋体" w:hAnsi="宋体" w:eastAsia="宋体" w:cs="宋体"/>
                <w:spacing w:val="-3"/>
                <w:sz w:val="21"/>
                <w:szCs w:val="21"/>
              </w:rPr>
              <w:t>夜间</w:t>
            </w:r>
          </w:p>
        </w:tc>
        <w:tc>
          <w:tcPr>
            <w:tcW w:w="521" w:type="dxa"/>
            <w:vAlign w:val="top"/>
          </w:tcPr>
          <w:p w14:paraId="466F463A">
            <w:pPr>
              <w:spacing w:before="66" w:line="222" w:lineRule="auto"/>
              <w:ind w:left="57"/>
              <w:rPr>
                <w:rFonts w:ascii="宋体" w:hAnsi="宋体" w:eastAsia="宋体" w:cs="宋体"/>
                <w:sz w:val="21"/>
                <w:szCs w:val="21"/>
              </w:rPr>
            </w:pPr>
            <w:r>
              <w:rPr>
                <w:rFonts w:ascii="宋体" w:hAnsi="宋体" w:eastAsia="宋体" w:cs="宋体"/>
                <w:spacing w:val="-2"/>
                <w:sz w:val="21"/>
                <w:szCs w:val="21"/>
              </w:rPr>
              <w:t>昼间</w:t>
            </w:r>
          </w:p>
        </w:tc>
        <w:tc>
          <w:tcPr>
            <w:tcW w:w="522" w:type="dxa"/>
            <w:vAlign w:val="top"/>
          </w:tcPr>
          <w:p w14:paraId="182F0B65">
            <w:pPr>
              <w:spacing w:before="65" w:line="220" w:lineRule="auto"/>
              <w:ind w:left="61"/>
              <w:rPr>
                <w:rFonts w:ascii="宋体" w:hAnsi="宋体" w:eastAsia="宋体" w:cs="宋体"/>
                <w:sz w:val="21"/>
                <w:szCs w:val="21"/>
              </w:rPr>
            </w:pPr>
            <w:r>
              <w:rPr>
                <w:rFonts w:ascii="宋体" w:hAnsi="宋体" w:eastAsia="宋体" w:cs="宋体"/>
                <w:spacing w:val="-3"/>
                <w:sz w:val="21"/>
                <w:szCs w:val="21"/>
              </w:rPr>
              <w:t>夜间</w:t>
            </w:r>
          </w:p>
        </w:tc>
        <w:tc>
          <w:tcPr>
            <w:tcW w:w="518" w:type="dxa"/>
            <w:vAlign w:val="top"/>
          </w:tcPr>
          <w:p w14:paraId="2B2F4149">
            <w:pPr>
              <w:spacing w:before="66" w:line="222" w:lineRule="auto"/>
              <w:ind w:left="56"/>
              <w:rPr>
                <w:rFonts w:ascii="宋体" w:hAnsi="宋体" w:eastAsia="宋体" w:cs="宋体"/>
                <w:sz w:val="21"/>
                <w:szCs w:val="21"/>
              </w:rPr>
            </w:pPr>
            <w:r>
              <w:rPr>
                <w:rFonts w:ascii="宋体" w:hAnsi="宋体" w:eastAsia="宋体" w:cs="宋体"/>
                <w:spacing w:val="-2"/>
                <w:sz w:val="21"/>
                <w:szCs w:val="21"/>
              </w:rPr>
              <w:t>昼间</w:t>
            </w:r>
          </w:p>
        </w:tc>
        <w:tc>
          <w:tcPr>
            <w:tcW w:w="519" w:type="dxa"/>
            <w:vAlign w:val="top"/>
          </w:tcPr>
          <w:p w14:paraId="598B37F2">
            <w:pPr>
              <w:spacing w:before="65" w:line="220" w:lineRule="auto"/>
              <w:ind w:left="62"/>
              <w:rPr>
                <w:rFonts w:ascii="宋体" w:hAnsi="宋体" w:eastAsia="宋体" w:cs="宋体"/>
                <w:sz w:val="21"/>
                <w:szCs w:val="21"/>
              </w:rPr>
            </w:pPr>
            <w:r>
              <w:rPr>
                <w:rFonts w:ascii="宋体" w:hAnsi="宋体" w:eastAsia="宋体" w:cs="宋体"/>
                <w:spacing w:val="-3"/>
                <w:sz w:val="21"/>
                <w:szCs w:val="21"/>
              </w:rPr>
              <w:t>夜间</w:t>
            </w:r>
          </w:p>
        </w:tc>
        <w:tc>
          <w:tcPr>
            <w:tcW w:w="486" w:type="dxa"/>
            <w:vAlign w:val="top"/>
          </w:tcPr>
          <w:p w14:paraId="5C23575B">
            <w:pPr>
              <w:spacing w:before="66" w:line="222" w:lineRule="auto"/>
              <w:ind w:left="40"/>
              <w:rPr>
                <w:rFonts w:ascii="宋体" w:hAnsi="宋体" w:eastAsia="宋体" w:cs="宋体"/>
                <w:sz w:val="21"/>
                <w:szCs w:val="21"/>
              </w:rPr>
            </w:pPr>
            <w:r>
              <w:rPr>
                <w:rFonts w:ascii="宋体" w:hAnsi="宋体" w:eastAsia="宋体" w:cs="宋体"/>
                <w:spacing w:val="-2"/>
                <w:sz w:val="21"/>
                <w:szCs w:val="21"/>
              </w:rPr>
              <w:t>昼间</w:t>
            </w:r>
          </w:p>
        </w:tc>
        <w:tc>
          <w:tcPr>
            <w:tcW w:w="491" w:type="dxa"/>
            <w:vAlign w:val="top"/>
          </w:tcPr>
          <w:p w14:paraId="76A2EF9E">
            <w:pPr>
              <w:spacing w:before="65" w:line="220" w:lineRule="auto"/>
              <w:ind w:left="44"/>
              <w:rPr>
                <w:rFonts w:ascii="宋体" w:hAnsi="宋体" w:eastAsia="宋体" w:cs="宋体"/>
                <w:sz w:val="21"/>
                <w:szCs w:val="21"/>
              </w:rPr>
            </w:pPr>
            <w:r>
              <w:rPr>
                <w:rFonts w:ascii="宋体" w:hAnsi="宋体" w:eastAsia="宋体" w:cs="宋体"/>
                <w:spacing w:val="-3"/>
                <w:sz w:val="21"/>
                <w:szCs w:val="21"/>
              </w:rPr>
              <w:t>夜间</w:t>
            </w:r>
          </w:p>
        </w:tc>
      </w:tr>
      <w:tr w14:paraId="2FD0D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1" w:type="dxa"/>
            <w:vAlign w:val="top"/>
          </w:tcPr>
          <w:p w14:paraId="1D0C32DB">
            <w:pPr>
              <w:pStyle w:val="6"/>
              <w:spacing w:before="102" w:line="188" w:lineRule="auto"/>
              <w:ind w:left="115"/>
            </w:pPr>
            <w:r>
              <w:t>1</w:t>
            </w:r>
          </w:p>
        </w:tc>
        <w:tc>
          <w:tcPr>
            <w:tcW w:w="751" w:type="dxa"/>
            <w:vAlign w:val="top"/>
          </w:tcPr>
          <w:p w14:paraId="14320147">
            <w:pPr>
              <w:spacing w:before="65" w:line="220" w:lineRule="auto"/>
              <w:jc w:val="right"/>
              <w:rPr>
                <w:rFonts w:ascii="宋体" w:hAnsi="宋体" w:eastAsia="宋体" w:cs="宋体"/>
                <w:sz w:val="21"/>
                <w:szCs w:val="21"/>
              </w:rPr>
            </w:pPr>
            <w:r>
              <w:rPr>
                <w:rFonts w:ascii="宋体" w:hAnsi="宋体" w:eastAsia="宋体" w:cs="宋体"/>
                <w:spacing w:val="-20"/>
                <w:w w:val="95"/>
                <w:sz w:val="21"/>
                <w:szCs w:val="21"/>
              </w:rPr>
              <w:t>东北农户</w:t>
            </w:r>
          </w:p>
        </w:tc>
        <w:tc>
          <w:tcPr>
            <w:tcW w:w="517" w:type="dxa"/>
            <w:vAlign w:val="top"/>
          </w:tcPr>
          <w:p w14:paraId="4075B641">
            <w:pPr>
              <w:pStyle w:val="6"/>
              <w:spacing w:before="105" w:line="185" w:lineRule="auto"/>
              <w:ind w:left="159"/>
            </w:pPr>
            <w:r>
              <w:rPr>
                <w:spacing w:val="-5"/>
              </w:rPr>
              <w:t>57</w:t>
            </w:r>
          </w:p>
        </w:tc>
        <w:tc>
          <w:tcPr>
            <w:tcW w:w="589" w:type="dxa"/>
            <w:vAlign w:val="top"/>
          </w:tcPr>
          <w:p w14:paraId="5619ADFF">
            <w:pPr>
              <w:pStyle w:val="6"/>
              <w:spacing w:before="102" w:line="188" w:lineRule="auto"/>
              <w:ind w:left="188"/>
            </w:pPr>
            <w:r>
              <w:rPr>
                <w:spacing w:val="-1"/>
              </w:rPr>
              <w:t>45</w:t>
            </w:r>
          </w:p>
        </w:tc>
        <w:tc>
          <w:tcPr>
            <w:tcW w:w="519" w:type="dxa"/>
            <w:vAlign w:val="top"/>
          </w:tcPr>
          <w:p w14:paraId="71C128D3">
            <w:pPr>
              <w:pStyle w:val="6"/>
              <w:spacing w:before="105" w:line="185" w:lineRule="auto"/>
              <w:ind w:left="161"/>
            </w:pPr>
            <w:r>
              <w:rPr>
                <w:spacing w:val="-5"/>
              </w:rPr>
              <w:t>57</w:t>
            </w:r>
          </w:p>
        </w:tc>
        <w:tc>
          <w:tcPr>
            <w:tcW w:w="520" w:type="dxa"/>
            <w:vAlign w:val="top"/>
          </w:tcPr>
          <w:p w14:paraId="1124C3B8">
            <w:pPr>
              <w:pStyle w:val="6"/>
              <w:spacing w:before="102" w:line="188" w:lineRule="auto"/>
              <w:ind w:left="154"/>
            </w:pPr>
            <w:r>
              <w:rPr>
                <w:spacing w:val="-1"/>
              </w:rPr>
              <w:t>45</w:t>
            </w:r>
          </w:p>
        </w:tc>
        <w:tc>
          <w:tcPr>
            <w:tcW w:w="519" w:type="dxa"/>
            <w:vAlign w:val="top"/>
          </w:tcPr>
          <w:p w14:paraId="5ADCFB1D">
            <w:pPr>
              <w:pStyle w:val="6"/>
              <w:spacing w:before="102" w:line="188" w:lineRule="auto"/>
              <w:ind w:left="160"/>
            </w:pPr>
            <w:r>
              <w:rPr>
                <w:spacing w:val="-5"/>
              </w:rPr>
              <w:t>60</w:t>
            </w:r>
          </w:p>
        </w:tc>
        <w:tc>
          <w:tcPr>
            <w:tcW w:w="520" w:type="dxa"/>
            <w:vAlign w:val="top"/>
          </w:tcPr>
          <w:p w14:paraId="27AAB029">
            <w:pPr>
              <w:pStyle w:val="6"/>
              <w:spacing w:before="102" w:line="188" w:lineRule="auto"/>
              <w:ind w:left="162"/>
            </w:pPr>
            <w:r>
              <w:rPr>
                <w:spacing w:val="-5"/>
              </w:rPr>
              <w:t>50</w:t>
            </w:r>
          </w:p>
        </w:tc>
        <w:tc>
          <w:tcPr>
            <w:tcW w:w="518" w:type="dxa"/>
            <w:vAlign w:val="top"/>
          </w:tcPr>
          <w:p w14:paraId="3DC27B08">
            <w:pPr>
              <w:pStyle w:val="6"/>
              <w:spacing w:before="102" w:line="188" w:lineRule="auto"/>
              <w:ind w:left="83"/>
            </w:pPr>
            <w:r>
              <w:rPr>
                <w:spacing w:val="-2"/>
              </w:rPr>
              <w:t>39.0</w:t>
            </w:r>
          </w:p>
        </w:tc>
        <w:tc>
          <w:tcPr>
            <w:tcW w:w="519" w:type="dxa"/>
            <w:vAlign w:val="top"/>
          </w:tcPr>
          <w:p w14:paraId="141F09A2">
            <w:pPr>
              <w:pStyle w:val="6"/>
              <w:spacing w:before="102" w:line="188" w:lineRule="auto"/>
              <w:ind w:left="83"/>
            </w:pPr>
            <w:r>
              <w:rPr>
                <w:spacing w:val="-2"/>
              </w:rPr>
              <w:t>39.0</w:t>
            </w:r>
          </w:p>
        </w:tc>
        <w:tc>
          <w:tcPr>
            <w:tcW w:w="521" w:type="dxa"/>
            <w:vAlign w:val="top"/>
          </w:tcPr>
          <w:p w14:paraId="4E0B027B">
            <w:pPr>
              <w:pStyle w:val="6"/>
              <w:spacing w:before="102" w:line="188" w:lineRule="auto"/>
              <w:ind w:left="86"/>
            </w:pPr>
            <w:r>
              <w:rPr>
                <w:spacing w:val="-3"/>
              </w:rPr>
              <w:t>57.1</w:t>
            </w:r>
          </w:p>
        </w:tc>
        <w:tc>
          <w:tcPr>
            <w:tcW w:w="522" w:type="dxa"/>
            <w:vAlign w:val="top"/>
          </w:tcPr>
          <w:p w14:paraId="67158226">
            <w:pPr>
              <w:pStyle w:val="6"/>
              <w:spacing w:before="102" w:line="188" w:lineRule="auto"/>
              <w:ind w:left="79"/>
            </w:pPr>
            <w:r>
              <w:rPr>
                <w:spacing w:val="-1"/>
              </w:rPr>
              <w:t>46.0</w:t>
            </w:r>
          </w:p>
        </w:tc>
        <w:tc>
          <w:tcPr>
            <w:tcW w:w="518" w:type="dxa"/>
            <w:vAlign w:val="top"/>
          </w:tcPr>
          <w:p w14:paraId="0EE03596">
            <w:pPr>
              <w:pStyle w:val="6"/>
              <w:spacing w:before="102" w:line="188" w:lineRule="auto"/>
              <w:ind w:left="134"/>
            </w:pPr>
            <w:r>
              <w:rPr>
                <w:spacing w:val="-3"/>
              </w:rPr>
              <w:t>0.1</w:t>
            </w:r>
          </w:p>
        </w:tc>
        <w:tc>
          <w:tcPr>
            <w:tcW w:w="519" w:type="dxa"/>
            <w:vAlign w:val="top"/>
          </w:tcPr>
          <w:p w14:paraId="5E85F4E6">
            <w:pPr>
              <w:pStyle w:val="6"/>
              <w:spacing w:before="102" w:line="188" w:lineRule="auto"/>
              <w:ind w:left="152"/>
            </w:pPr>
            <w:r>
              <w:rPr>
                <w:spacing w:val="-8"/>
              </w:rPr>
              <w:t>1.0</w:t>
            </w:r>
          </w:p>
        </w:tc>
        <w:tc>
          <w:tcPr>
            <w:tcW w:w="486" w:type="dxa"/>
            <w:vAlign w:val="top"/>
          </w:tcPr>
          <w:p w14:paraId="4A5ADE23">
            <w:pPr>
              <w:spacing w:before="66" w:line="220" w:lineRule="auto"/>
              <w:ind w:left="40"/>
              <w:rPr>
                <w:rFonts w:ascii="宋体" w:hAnsi="宋体" w:eastAsia="宋体" w:cs="宋体"/>
                <w:sz w:val="21"/>
                <w:szCs w:val="21"/>
              </w:rPr>
            </w:pPr>
            <w:r>
              <w:rPr>
                <w:rFonts w:ascii="宋体" w:hAnsi="宋体" w:eastAsia="宋体" w:cs="宋体"/>
                <w:spacing w:val="-2"/>
                <w:sz w:val="21"/>
                <w:szCs w:val="21"/>
              </w:rPr>
              <w:t>达标</w:t>
            </w:r>
          </w:p>
        </w:tc>
        <w:tc>
          <w:tcPr>
            <w:tcW w:w="491" w:type="dxa"/>
            <w:vAlign w:val="top"/>
          </w:tcPr>
          <w:p w14:paraId="254C46E3">
            <w:pPr>
              <w:spacing w:before="66" w:line="220" w:lineRule="auto"/>
              <w:ind w:left="40"/>
              <w:rPr>
                <w:rFonts w:ascii="宋体" w:hAnsi="宋体" w:eastAsia="宋体" w:cs="宋体"/>
                <w:sz w:val="21"/>
                <w:szCs w:val="21"/>
              </w:rPr>
            </w:pPr>
            <w:r>
              <w:rPr>
                <w:rFonts w:ascii="宋体" w:hAnsi="宋体" w:eastAsia="宋体" w:cs="宋体"/>
                <w:spacing w:val="-2"/>
                <w:sz w:val="21"/>
                <w:szCs w:val="21"/>
              </w:rPr>
              <w:t>达标</w:t>
            </w:r>
          </w:p>
        </w:tc>
      </w:tr>
      <w:tr w14:paraId="654A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91" w:type="dxa"/>
            <w:vAlign w:val="top"/>
          </w:tcPr>
          <w:p w14:paraId="611E3FD1">
            <w:pPr>
              <w:pStyle w:val="6"/>
              <w:spacing w:before="103" w:line="188" w:lineRule="auto"/>
              <w:ind w:left="95"/>
            </w:pPr>
            <w:r>
              <w:t>2</w:t>
            </w:r>
          </w:p>
        </w:tc>
        <w:tc>
          <w:tcPr>
            <w:tcW w:w="751" w:type="dxa"/>
            <w:vAlign w:val="top"/>
          </w:tcPr>
          <w:p w14:paraId="0E36C627">
            <w:pPr>
              <w:spacing w:before="65" w:line="220" w:lineRule="auto"/>
              <w:jc w:val="right"/>
              <w:rPr>
                <w:rFonts w:ascii="宋体" w:hAnsi="宋体" w:eastAsia="宋体" w:cs="宋体"/>
                <w:sz w:val="21"/>
                <w:szCs w:val="21"/>
              </w:rPr>
            </w:pPr>
            <w:r>
              <w:rPr>
                <w:rFonts w:ascii="宋体" w:hAnsi="宋体" w:eastAsia="宋体" w:cs="宋体"/>
                <w:spacing w:val="-18"/>
                <w:w w:val="94"/>
                <w:sz w:val="21"/>
                <w:szCs w:val="21"/>
              </w:rPr>
              <w:t>东侧农户</w:t>
            </w:r>
          </w:p>
        </w:tc>
        <w:tc>
          <w:tcPr>
            <w:tcW w:w="517" w:type="dxa"/>
            <w:vAlign w:val="top"/>
          </w:tcPr>
          <w:p w14:paraId="795CB53E">
            <w:pPr>
              <w:pStyle w:val="6"/>
              <w:spacing w:before="102" w:line="188" w:lineRule="auto"/>
              <w:ind w:left="159"/>
            </w:pPr>
            <w:r>
              <w:rPr>
                <w:spacing w:val="-5"/>
              </w:rPr>
              <w:t>56</w:t>
            </w:r>
          </w:p>
        </w:tc>
        <w:tc>
          <w:tcPr>
            <w:tcW w:w="589" w:type="dxa"/>
            <w:vAlign w:val="top"/>
          </w:tcPr>
          <w:p w14:paraId="16EE6EA6">
            <w:pPr>
              <w:pStyle w:val="6"/>
              <w:spacing w:before="102" w:line="188" w:lineRule="auto"/>
              <w:ind w:left="188"/>
            </w:pPr>
            <w:r>
              <w:rPr>
                <w:spacing w:val="-1"/>
              </w:rPr>
              <w:t>46</w:t>
            </w:r>
          </w:p>
        </w:tc>
        <w:tc>
          <w:tcPr>
            <w:tcW w:w="519" w:type="dxa"/>
            <w:vAlign w:val="top"/>
          </w:tcPr>
          <w:p w14:paraId="55E92F21">
            <w:pPr>
              <w:pStyle w:val="6"/>
              <w:spacing w:before="102" w:line="188" w:lineRule="auto"/>
              <w:ind w:left="161"/>
            </w:pPr>
            <w:r>
              <w:rPr>
                <w:spacing w:val="-5"/>
              </w:rPr>
              <w:t>56</w:t>
            </w:r>
          </w:p>
        </w:tc>
        <w:tc>
          <w:tcPr>
            <w:tcW w:w="520" w:type="dxa"/>
            <w:vAlign w:val="top"/>
          </w:tcPr>
          <w:p w14:paraId="598DC13E">
            <w:pPr>
              <w:pStyle w:val="6"/>
              <w:spacing w:before="102" w:line="188" w:lineRule="auto"/>
              <w:ind w:left="154"/>
            </w:pPr>
            <w:r>
              <w:rPr>
                <w:spacing w:val="-1"/>
              </w:rPr>
              <w:t>46</w:t>
            </w:r>
          </w:p>
        </w:tc>
        <w:tc>
          <w:tcPr>
            <w:tcW w:w="519" w:type="dxa"/>
            <w:vAlign w:val="top"/>
          </w:tcPr>
          <w:p w14:paraId="71D44FC3">
            <w:pPr>
              <w:pStyle w:val="6"/>
              <w:spacing w:before="102" w:line="188" w:lineRule="auto"/>
              <w:ind w:left="160"/>
            </w:pPr>
            <w:r>
              <w:rPr>
                <w:spacing w:val="-5"/>
              </w:rPr>
              <w:t>60</w:t>
            </w:r>
          </w:p>
        </w:tc>
        <w:tc>
          <w:tcPr>
            <w:tcW w:w="520" w:type="dxa"/>
            <w:vAlign w:val="top"/>
          </w:tcPr>
          <w:p w14:paraId="7869E76F">
            <w:pPr>
              <w:pStyle w:val="6"/>
              <w:spacing w:before="102" w:line="188" w:lineRule="auto"/>
              <w:ind w:left="162"/>
            </w:pPr>
            <w:r>
              <w:rPr>
                <w:spacing w:val="-5"/>
              </w:rPr>
              <w:t>50</w:t>
            </w:r>
          </w:p>
        </w:tc>
        <w:tc>
          <w:tcPr>
            <w:tcW w:w="518" w:type="dxa"/>
            <w:vAlign w:val="top"/>
          </w:tcPr>
          <w:p w14:paraId="71C917DA">
            <w:pPr>
              <w:pStyle w:val="6"/>
              <w:spacing w:before="102" w:line="188" w:lineRule="auto"/>
              <w:ind w:left="83"/>
            </w:pPr>
            <w:r>
              <w:rPr>
                <w:spacing w:val="-2"/>
              </w:rPr>
              <w:t>39.9</w:t>
            </w:r>
          </w:p>
        </w:tc>
        <w:tc>
          <w:tcPr>
            <w:tcW w:w="519" w:type="dxa"/>
            <w:vAlign w:val="top"/>
          </w:tcPr>
          <w:p w14:paraId="669695C5">
            <w:pPr>
              <w:pStyle w:val="6"/>
              <w:spacing w:before="102" w:line="188" w:lineRule="auto"/>
              <w:ind w:left="83"/>
            </w:pPr>
            <w:r>
              <w:rPr>
                <w:spacing w:val="-2"/>
              </w:rPr>
              <w:t>39.9</w:t>
            </w:r>
          </w:p>
        </w:tc>
        <w:tc>
          <w:tcPr>
            <w:tcW w:w="521" w:type="dxa"/>
            <w:vAlign w:val="top"/>
          </w:tcPr>
          <w:p w14:paraId="1FD2004D">
            <w:pPr>
              <w:pStyle w:val="6"/>
              <w:spacing w:before="102" w:line="188" w:lineRule="auto"/>
              <w:ind w:left="86"/>
            </w:pPr>
            <w:r>
              <w:rPr>
                <w:spacing w:val="-3"/>
              </w:rPr>
              <w:t>56.1</w:t>
            </w:r>
          </w:p>
        </w:tc>
        <w:tc>
          <w:tcPr>
            <w:tcW w:w="522" w:type="dxa"/>
            <w:vAlign w:val="top"/>
          </w:tcPr>
          <w:p w14:paraId="5716F044">
            <w:pPr>
              <w:pStyle w:val="6"/>
              <w:spacing w:before="102" w:line="188" w:lineRule="auto"/>
              <w:ind w:left="79"/>
            </w:pPr>
            <w:r>
              <w:rPr>
                <w:spacing w:val="-1"/>
              </w:rPr>
              <w:t>47.0</w:t>
            </w:r>
          </w:p>
        </w:tc>
        <w:tc>
          <w:tcPr>
            <w:tcW w:w="518" w:type="dxa"/>
            <w:vAlign w:val="top"/>
          </w:tcPr>
          <w:p w14:paraId="24F4B0C0">
            <w:pPr>
              <w:pStyle w:val="6"/>
              <w:spacing w:before="102" w:line="188" w:lineRule="auto"/>
              <w:ind w:left="134"/>
            </w:pPr>
            <w:r>
              <w:rPr>
                <w:spacing w:val="-3"/>
              </w:rPr>
              <w:t>0.1</w:t>
            </w:r>
          </w:p>
        </w:tc>
        <w:tc>
          <w:tcPr>
            <w:tcW w:w="519" w:type="dxa"/>
            <w:vAlign w:val="top"/>
          </w:tcPr>
          <w:p w14:paraId="323AE1E4">
            <w:pPr>
              <w:pStyle w:val="6"/>
              <w:spacing w:before="102" w:line="188" w:lineRule="auto"/>
              <w:ind w:left="152"/>
            </w:pPr>
            <w:r>
              <w:rPr>
                <w:spacing w:val="-8"/>
              </w:rPr>
              <w:t>1.0</w:t>
            </w:r>
          </w:p>
        </w:tc>
        <w:tc>
          <w:tcPr>
            <w:tcW w:w="486" w:type="dxa"/>
            <w:vAlign w:val="top"/>
          </w:tcPr>
          <w:p w14:paraId="6507249C">
            <w:pPr>
              <w:spacing w:before="66" w:line="220" w:lineRule="auto"/>
              <w:ind w:left="40"/>
              <w:rPr>
                <w:rFonts w:ascii="宋体" w:hAnsi="宋体" w:eastAsia="宋体" w:cs="宋体"/>
                <w:sz w:val="21"/>
                <w:szCs w:val="21"/>
              </w:rPr>
            </w:pPr>
            <w:r>
              <w:rPr>
                <w:rFonts w:ascii="宋体" w:hAnsi="宋体" w:eastAsia="宋体" w:cs="宋体"/>
                <w:spacing w:val="-2"/>
                <w:sz w:val="21"/>
                <w:szCs w:val="21"/>
              </w:rPr>
              <w:t>达标</w:t>
            </w:r>
          </w:p>
        </w:tc>
        <w:tc>
          <w:tcPr>
            <w:tcW w:w="491" w:type="dxa"/>
            <w:vAlign w:val="top"/>
          </w:tcPr>
          <w:p w14:paraId="0D8574E8">
            <w:pPr>
              <w:spacing w:before="66" w:line="220" w:lineRule="auto"/>
              <w:ind w:left="40"/>
              <w:rPr>
                <w:rFonts w:ascii="宋体" w:hAnsi="宋体" w:eastAsia="宋体" w:cs="宋体"/>
                <w:sz w:val="21"/>
                <w:szCs w:val="21"/>
              </w:rPr>
            </w:pPr>
            <w:r>
              <w:rPr>
                <w:rFonts w:ascii="宋体" w:hAnsi="宋体" w:eastAsia="宋体" w:cs="宋体"/>
                <w:spacing w:val="-2"/>
                <w:sz w:val="21"/>
                <w:szCs w:val="21"/>
              </w:rPr>
              <w:t>达标</w:t>
            </w:r>
          </w:p>
        </w:tc>
      </w:tr>
      <w:tr w14:paraId="4A912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1" w:type="dxa"/>
            <w:vAlign w:val="top"/>
          </w:tcPr>
          <w:p w14:paraId="0BE873DC">
            <w:pPr>
              <w:pStyle w:val="6"/>
              <w:spacing w:before="104" w:line="188" w:lineRule="auto"/>
              <w:ind w:left="99"/>
            </w:pPr>
            <w:r>
              <w:t>3</w:t>
            </w:r>
          </w:p>
        </w:tc>
        <w:tc>
          <w:tcPr>
            <w:tcW w:w="751" w:type="dxa"/>
            <w:vAlign w:val="top"/>
          </w:tcPr>
          <w:p w14:paraId="7D6BC2DB">
            <w:pPr>
              <w:spacing w:before="67" w:line="220" w:lineRule="auto"/>
              <w:jc w:val="right"/>
              <w:rPr>
                <w:rFonts w:ascii="宋体" w:hAnsi="宋体" w:eastAsia="宋体" w:cs="宋体"/>
                <w:sz w:val="21"/>
                <w:szCs w:val="21"/>
              </w:rPr>
            </w:pPr>
            <w:r>
              <w:rPr>
                <w:rFonts w:ascii="宋体" w:hAnsi="宋体" w:eastAsia="宋体" w:cs="宋体"/>
                <w:spacing w:val="-20"/>
                <w:w w:val="95"/>
                <w:sz w:val="21"/>
                <w:szCs w:val="21"/>
              </w:rPr>
              <w:t>东南农户</w:t>
            </w:r>
          </w:p>
        </w:tc>
        <w:tc>
          <w:tcPr>
            <w:tcW w:w="517" w:type="dxa"/>
            <w:vAlign w:val="top"/>
          </w:tcPr>
          <w:p w14:paraId="43533CE8">
            <w:pPr>
              <w:pStyle w:val="6"/>
              <w:spacing w:before="104" w:line="188" w:lineRule="auto"/>
              <w:ind w:left="159"/>
            </w:pPr>
            <w:r>
              <w:rPr>
                <w:spacing w:val="-5"/>
              </w:rPr>
              <w:t>56</w:t>
            </w:r>
          </w:p>
        </w:tc>
        <w:tc>
          <w:tcPr>
            <w:tcW w:w="589" w:type="dxa"/>
            <w:vAlign w:val="top"/>
          </w:tcPr>
          <w:p w14:paraId="1D5D3358">
            <w:pPr>
              <w:pStyle w:val="6"/>
              <w:spacing w:before="104" w:line="188" w:lineRule="auto"/>
              <w:ind w:left="188"/>
            </w:pPr>
            <w:r>
              <w:rPr>
                <w:spacing w:val="-1"/>
              </w:rPr>
              <w:t>46</w:t>
            </w:r>
          </w:p>
        </w:tc>
        <w:tc>
          <w:tcPr>
            <w:tcW w:w="519" w:type="dxa"/>
            <w:vAlign w:val="top"/>
          </w:tcPr>
          <w:p w14:paraId="0160A30F">
            <w:pPr>
              <w:pStyle w:val="6"/>
              <w:spacing w:before="104" w:line="188" w:lineRule="auto"/>
              <w:ind w:left="161"/>
            </w:pPr>
            <w:r>
              <w:rPr>
                <w:spacing w:val="-5"/>
              </w:rPr>
              <w:t>56</w:t>
            </w:r>
          </w:p>
        </w:tc>
        <w:tc>
          <w:tcPr>
            <w:tcW w:w="520" w:type="dxa"/>
            <w:vAlign w:val="top"/>
          </w:tcPr>
          <w:p w14:paraId="6C907E4E">
            <w:pPr>
              <w:pStyle w:val="6"/>
              <w:spacing w:before="104" w:line="188" w:lineRule="auto"/>
              <w:ind w:left="154"/>
            </w:pPr>
            <w:r>
              <w:rPr>
                <w:spacing w:val="-1"/>
              </w:rPr>
              <w:t>46</w:t>
            </w:r>
          </w:p>
        </w:tc>
        <w:tc>
          <w:tcPr>
            <w:tcW w:w="519" w:type="dxa"/>
            <w:vAlign w:val="top"/>
          </w:tcPr>
          <w:p w14:paraId="4F4B61FB">
            <w:pPr>
              <w:pStyle w:val="6"/>
              <w:spacing w:before="104" w:line="188" w:lineRule="auto"/>
              <w:ind w:left="160"/>
            </w:pPr>
            <w:r>
              <w:rPr>
                <w:spacing w:val="-5"/>
              </w:rPr>
              <w:t>60</w:t>
            </w:r>
          </w:p>
        </w:tc>
        <w:tc>
          <w:tcPr>
            <w:tcW w:w="520" w:type="dxa"/>
            <w:vAlign w:val="top"/>
          </w:tcPr>
          <w:p w14:paraId="77D78173">
            <w:pPr>
              <w:pStyle w:val="6"/>
              <w:spacing w:before="104" w:line="188" w:lineRule="auto"/>
              <w:ind w:left="163"/>
            </w:pPr>
            <w:r>
              <w:rPr>
                <w:spacing w:val="-5"/>
              </w:rPr>
              <w:t>50</w:t>
            </w:r>
          </w:p>
        </w:tc>
        <w:tc>
          <w:tcPr>
            <w:tcW w:w="518" w:type="dxa"/>
            <w:vAlign w:val="top"/>
          </w:tcPr>
          <w:p w14:paraId="7C435AA7">
            <w:pPr>
              <w:pStyle w:val="6"/>
              <w:spacing w:before="104" w:line="188" w:lineRule="auto"/>
              <w:ind w:left="83"/>
            </w:pPr>
            <w:r>
              <w:rPr>
                <w:spacing w:val="-2"/>
              </w:rPr>
              <w:t>32.9</w:t>
            </w:r>
          </w:p>
        </w:tc>
        <w:tc>
          <w:tcPr>
            <w:tcW w:w="519" w:type="dxa"/>
            <w:vAlign w:val="top"/>
          </w:tcPr>
          <w:p w14:paraId="252D4E7C">
            <w:pPr>
              <w:pStyle w:val="6"/>
              <w:spacing w:before="104" w:line="188" w:lineRule="auto"/>
              <w:ind w:left="83"/>
            </w:pPr>
            <w:r>
              <w:rPr>
                <w:spacing w:val="-2"/>
              </w:rPr>
              <w:t>32.9</w:t>
            </w:r>
          </w:p>
        </w:tc>
        <w:tc>
          <w:tcPr>
            <w:tcW w:w="521" w:type="dxa"/>
            <w:vAlign w:val="top"/>
          </w:tcPr>
          <w:p w14:paraId="0FDC80E1">
            <w:pPr>
              <w:pStyle w:val="6"/>
              <w:spacing w:before="104" w:line="188" w:lineRule="auto"/>
              <w:ind w:left="86"/>
            </w:pPr>
            <w:r>
              <w:rPr>
                <w:spacing w:val="-3"/>
              </w:rPr>
              <w:t>56.0</w:t>
            </w:r>
          </w:p>
        </w:tc>
        <w:tc>
          <w:tcPr>
            <w:tcW w:w="522" w:type="dxa"/>
            <w:vAlign w:val="top"/>
          </w:tcPr>
          <w:p w14:paraId="089CDB84">
            <w:pPr>
              <w:pStyle w:val="6"/>
              <w:spacing w:before="104" w:line="188" w:lineRule="auto"/>
              <w:ind w:left="79"/>
            </w:pPr>
            <w:r>
              <w:rPr>
                <w:spacing w:val="-1"/>
              </w:rPr>
              <w:t>46.2</w:t>
            </w:r>
          </w:p>
        </w:tc>
        <w:tc>
          <w:tcPr>
            <w:tcW w:w="518" w:type="dxa"/>
            <w:vAlign w:val="top"/>
          </w:tcPr>
          <w:p w14:paraId="722EC436">
            <w:pPr>
              <w:pStyle w:val="6"/>
              <w:spacing w:before="104" w:line="188" w:lineRule="auto"/>
              <w:ind w:left="213"/>
            </w:pPr>
            <w:r>
              <w:t>0</w:t>
            </w:r>
          </w:p>
        </w:tc>
        <w:tc>
          <w:tcPr>
            <w:tcW w:w="519" w:type="dxa"/>
            <w:vAlign w:val="top"/>
          </w:tcPr>
          <w:p w14:paraId="4A88AEB3">
            <w:pPr>
              <w:pStyle w:val="6"/>
              <w:spacing w:before="104" w:line="188" w:lineRule="auto"/>
              <w:ind w:left="135"/>
            </w:pPr>
            <w:r>
              <w:rPr>
                <w:spacing w:val="-3"/>
              </w:rPr>
              <w:t>0.2</w:t>
            </w:r>
          </w:p>
        </w:tc>
        <w:tc>
          <w:tcPr>
            <w:tcW w:w="486" w:type="dxa"/>
            <w:vAlign w:val="top"/>
          </w:tcPr>
          <w:p w14:paraId="61C19CCD">
            <w:pPr>
              <w:spacing w:before="67" w:line="220" w:lineRule="auto"/>
              <w:ind w:left="40"/>
              <w:rPr>
                <w:rFonts w:ascii="宋体" w:hAnsi="宋体" w:eastAsia="宋体" w:cs="宋体"/>
                <w:sz w:val="21"/>
                <w:szCs w:val="21"/>
              </w:rPr>
            </w:pPr>
            <w:r>
              <w:rPr>
                <w:rFonts w:ascii="宋体" w:hAnsi="宋体" w:eastAsia="宋体" w:cs="宋体"/>
                <w:spacing w:val="-2"/>
                <w:sz w:val="21"/>
                <w:szCs w:val="21"/>
              </w:rPr>
              <w:t>达标</w:t>
            </w:r>
          </w:p>
        </w:tc>
        <w:tc>
          <w:tcPr>
            <w:tcW w:w="491" w:type="dxa"/>
            <w:vAlign w:val="top"/>
          </w:tcPr>
          <w:p w14:paraId="7FDF62A4">
            <w:pPr>
              <w:spacing w:before="67" w:line="220" w:lineRule="auto"/>
              <w:ind w:left="40"/>
              <w:rPr>
                <w:rFonts w:ascii="宋体" w:hAnsi="宋体" w:eastAsia="宋体" w:cs="宋体"/>
                <w:sz w:val="21"/>
                <w:szCs w:val="21"/>
              </w:rPr>
            </w:pPr>
            <w:r>
              <w:rPr>
                <w:rFonts w:ascii="宋体" w:hAnsi="宋体" w:eastAsia="宋体" w:cs="宋体"/>
                <w:spacing w:val="-2"/>
                <w:sz w:val="21"/>
                <w:szCs w:val="21"/>
              </w:rPr>
              <w:t>达标</w:t>
            </w:r>
          </w:p>
        </w:tc>
      </w:tr>
      <w:tr w14:paraId="16F54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1" w:type="dxa"/>
            <w:vAlign w:val="top"/>
          </w:tcPr>
          <w:p w14:paraId="6B0D5994">
            <w:pPr>
              <w:pStyle w:val="6"/>
              <w:spacing w:before="104" w:line="188" w:lineRule="auto"/>
              <w:ind w:left="94"/>
            </w:pPr>
            <w:r>
              <w:t>4</w:t>
            </w:r>
          </w:p>
        </w:tc>
        <w:tc>
          <w:tcPr>
            <w:tcW w:w="751" w:type="dxa"/>
            <w:vAlign w:val="top"/>
          </w:tcPr>
          <w:p w14:paraId="50D7B32F">
            <w:pPr>
              <w:spacing w:before="68" w:line="220" w:lineRule="auto"/>
              <w:jc w:val="right"/>
              <w:rPr>
                <w:rFonts w:ascii="宋体" w:hAnsi="宋体" w:eastAsia="宋体" w:cs="宋体"/>
                <w:sz w:val="21"/>
                <w:szCs w:val="21"/>
              </w:rPr>
            </w:pPr>
            <w:r>
              <w:rPr>
                <w:rFonts w:ascii="宋体" w:hAnsi="宋体" w:eastAsia="宋体" w:cs="宋体"/>
                <w:spacing w:val="-19"/>
                <w:w w:val="95"/>
                <w:sz w:val="21"/>
                <w:szCs w:val="21"/>
              </w:rPr>
              <w:t>西南农户</w:t>
            </w:r>
          </w:p>
        </w:tc>
        <w:tc>
          <w:tcPr>
            <w:tcW w:w="517" w:type="dxa"/>
            <w:vAlign w:val="top"/>
          </w:tcPr>
          <w:p w14:paraId="48CED115">
            <w:pPr>
              <w:pStyle w:val="6"/>
              <w:spacing w:before="107" w:line="185" w:lineRule="auto"/>
              <w:ind w:left="159"/>
            </w:pPr>
            <w:r>
              <w:rPr>
                <w:spacing w:val="-5"/>
              </w:rPr>
              <w:t>55</w:t>
            </w:r>
          </w:p>
        </w:tc>
        <w:tc>
          <w:tcPr>
            <w:tcW w:w="589" w:type="dxa"/>
            <w:vAlign w:val="top"/>
          </w:tcPr>
          <w:p w14:paraId="70A1D0CE">
            <w:pPr>
              <w:pStyle w:val="6"/>
              <w:spacing w:before="104" w:line="188" w:lineRule="auto"/>
              <w:ind w:left="188"/>
            </w:pPr>
            <w:r>
              <w:rPr>
                <w:spacing w:val="-1"/>
              </w:rPr>
              <w:t>48</w:t>
            </w:r>
          </w:p>
        </w:tc>
        <w:tc>
          <w:tcPr>
            <w:tcW w:w="519" w:type="dxa"/>
            <w:vAlign w:val="top"/>
          </w:tcPr>
          <w:p w14:paraId="2BB2839D">
            <w:pPr>
              <w:pStyle w:val="6"/>
              <w:spacing w:before="107" w:line="185" w:lineRule="auto"/>
              <w:ind w:left="161"/>
            </w:pPr>
            <w:r>
              <w:rPr>
                <w:spacing w:val="-5"/>
              </w:rPr>
              <w:t>55</w:t>
            </w:r>
          </w:p>
        </w:tc>
        <w:tc>
          <w:tcPr>
            <w:tcW w:w="520" w:type="dxa"/>
            <w:vAlign w:val="top"/>
          </w:tcPr>
          <w:p w14:paraId="0633C525">
            <w:pPr>
              <w:pStyle w:val="6"/>
              <w:spacing w:before="104" w:line="188" w:lineRule="auto"/>
              <w:ind w:left="154"/>
            </w:pPr>
            <w:r>
              <w:rPr>
                <w:spacing w:val="-1"/>
              </w:rPr>
              <w:t>48</w:t>
            </w:r>
          </w:p>
        </w:tc>
        <w:tc>
          <w:tcPr>
            <w:tcW w:w="519" w:type="dxa"/>
            <w:vAlign w:val="top"/>
          </w:tcPr>
          <w:p w14:paraId="64D253F5">
            <w:pPr>
              <w:pStyle w:val="6"/>
              <w:spacing w:before="104" w:line="188" w:lineRule="auto"/>
              <w:ind w:left="160"/>
            </w:pPr>
            <w:r>
              <w:rPr>
                <w:spacing w:val="-5"/>
              </w:rPr>
              <w:t>60</w:t>
            </w:r>
          </w:p>
        </w:tc>
        <w:tc>
          <w:tcPr>
            <w:tcW w:w="520" w:type="dxa"/>
            <w:vAlign w:val="top"/>
          </w:tcPr>
          <w:p w14:paraId="77D838FE">
            <w:pPr>
              <w:pStyle w:val="6"/>
              <w:spacing w:before="104" w:line="188" w:lineRule="auto"/>
              <w:ind w:left="162"/>
            </w:pPr>
            <w:r>
              <w:rPr>
                <w:spacing w:val="-5"/>
              </w:rPr>
              <w:t>50</w:t>
            </w:r>
          </w:p>
        </w:tc>
        <w:tc>
          <w:tcPr>
            <w:tcW w:w="518" w:type="dxa"/>
            <w:vAlign w:val="top"/>
          </w:tcPr>
          <w:p w14:paraId="7A0CDD68">
            <w:pPr>
              <w:pStyle w:val="6"/>
              <w:spacing w:before="104" w:line="188" w:lineRule="auto"/>
              <w:ind w:left="83"/>
            </w:pPr>
            <w:r>
              <w:rPr>
                <w:spacing w:val="-2"/>
              </w:rPr>
              <w:t>37.3</w:t>
            </w:r>
          </w:p>
        </w:tc>
        <w:tc>
          <w:tcPr>
            <w:tcW w:w="519" w:type="dxa"/>
            <w:vAlign w:val="top"/>
          </w:tcPr>
          <w:p w14:paraId="140D38DF">
            <w:pPr>
              <w:pStyle w:val="6"/>
              <w:spacing w:before="104" w:line="188" w:lineRule="auto"/>
              <w:ind w:left="83"/>
            </w:pPr>
            <w:r>
              <w:rPr>
                <w:spacing w:val="-2"/>
              </w:rPr>
              <w:t>37.3</w:t>
            </w:r>
          </w:p>
        </w:tc>
        <w:tc>
          <w:tcPr>
            <w:tcW w:w="521" w:type="dxa"/>
            <w:vAlign w:val="top"/>
          </w:tcPr>
          <w:p w14:paraId="6BCE4596">
            <w:pPr>
              <w:pStyle w:val="6"/>
              <w:spacing w:before="104" w:line="188" w:lineRule="auto"/>
              <w:ind w:left="86"/>
            </w:pPr>
            <w:r>
              <w:rPr>
                <w:spacing w:val="-3"/>
              </w:rPr>
              <w:t>55.1</w:t>
            </w:r>
          </w:p>
        </w:tc>
        <w:tc>
          <w:tcPr>
            <w:tcW w:w="522" w:type="dxa"/>
            <w:vAlign w:val="top"/>
          </w:tcPr>
          <w:p w14:paraId="7FBD2A4D">
            <w:pPr>
              <w:pStyle w:val="6"/>
              <w:spacing w:before="104" w:line="188" w:lineRule="auto"/>
              <w:ind w:left="79"/>
            </w:pPr>
            <w:r>
              <w:rPr>
                <w:spacing w:val="-1"/>
              </w:rPr>
              <w:t>48.4</w:t>
            </w:r>
          </w:p>
        </w:tc>
        <w:tc>
          <w:tcPr>
            <w:tcW w:w="518" w:type="dxa"/>
            <w:vAlign w:val="top"/>
          </w:tcPr>
          <w:p w14:paraId="713AC29C">
            <w:pPr>
              <w:pStyle w:val="6"/>
              <w:spacing w:before="104" w:line="188" w:lineRule="auto"/>
              <w:ind w:left="134"/>
            </w:pPr>
            <w:r>
              <w:rPr>
                <w:spacing w:val="-3"/>
              </w:rPr>
              <w:t>0.1</w:t>
            </w:r>
          </w:p>
        </w:tc>
        <w:tc>
          <w:tcPr>
            <w:tcW w:w="519" w:type="dxa"/>
            <w:vAlign w:val="top"/>
          </w:tcPr>
          <w:p w14:paraId="1A38F4BA">
            <w:pPr>
              <w:pStyle w:val="6"/>
              <w:spacing w:before="104" w:line="188" w:lineRule="auto"/>
              <w:ind w:left="135"/>
            </w:pPr>
            <w:r>
              <w:rPr>
                <w:spacing w:val="-3"/>
              </w:rPr>
              <w:t>0.4</w:t>
            </w:r>
          </w:p>
        </w:tc>
        <w:tc>
          <w:tcPr>
            <w:tcW w:w="486" w:type="dxa"/>
            <w:vAlign w:val="top"/>
          </w:tcPr>
          <w:p w14:paraId="0BE31A1D">
            <w:pPr>
              <w:spacing w:before="68" w:line="220" w:lineRule="auto"/>
              <w:ind w:left="40"/>
              <w:rPr>
                <w:rFonts w:ascii="宋体" w:hAnsi="宋体" w:eastAsia="宋体" w:cs="宋体"/>
                <w:sz w:val="21"/>
                <w:szCs w:val="21"/>
              </w:rPr>
            </w:pPr>
            <w:r>
              <w:rPr>
                <w:rFonts w:ascii="宋体" w:hAnsi="宋体" w:eastAsia="宋体" w:cs="宋体"/>
                <w:spacing w:val="-2"/>
                <w:sz w:val="21"/>
                <w:szCs w:val="21"/>
              </w:rPr>
              <w:t>达标</w:t>
            </w:r>
          </w:p>
        </w:tc>
        <w:tc>
          <w:tcPr>
            <w:tcW w:w="491" w:type="dxa"/>
            <w:vAlign w:val="top"/>
          </w:tcPr>
          <w:p w14:paraId="5D2F8BF3">
            <w:pPr>
              <w:spacing w:before="68" w:line="220" w:lineRule="auto"/>
              <w:ind w:left="40"/>
              <w:rPr>
                <w:rFonts w:ascii="宋体" w:hAnsi="宋体" w:eastAsia="宋体" w:cs="宋体"/>
                <w:sz w:val="21"/>
                <w:szCs w:val="21"/>
              </w:rPr>
            </w:pPr>
            <w:r>
              <w:rPr>
                <w:rFonts w:ascii="宋体" w:hAnsi="宋体" w:eastAsia="宋体" w:cs="宋体"/>
                <w:spacing w:val="-2"/>
                <w:sz w:val="21"/>
                <w:szCs w:val="21"/>
              </w:rPr>
              <w:t>达标</w:t>
            </w:r>
          </w:p>
        </w:tc>
      </w:tr>
      <w:tr w14:paraId="5185C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1" w:type="dxa"/>
            <w:vAlign w:val="top"/>
          </w:tcPr>
          <w:p w14:paraId="18FBAAC4">
            <w:pPr>
              <w:pStyle w:val="6"/>
              <w:spacing w:before="107" w:line="185" w:lineRule="auto"/>
              <w:ind w:left="101"/>
            </w:pPr>
            <w:r>
              <w:t>5</w:t>
            </w:r>
          </w:p>
        </w:tc>
        <w:tc>
          <w:tcPr>
            <w:tcW w:w="751" w:type="dxa"/>
            <w:vAlign w:val="top"/>
          </w:tcPr>
          <w:p w14:paraId="29B90D2D">
            <w:pPr>
              <w:spacing w:before="67" w:line="220" w:lineRule="auto"/>
              <w:jc w:val="right"/>
              <w:rPr>
                <w:rFonts w:ascii="宋体" w:hAnsi="宋体" w:eastAsia="宋体" w:cs="宋体"/>
                <w:sz w:val="21"/>
                <w:szCs w:val="21"/>
              </w:rPr>
            </w:pPr>
            <w:r>
              <w:rPr>
                <w:rFonts w:ascii="宋体" w:hAnsi="宋体" w:eastAsia="宋体" w:cs="宋体"/>
                <w:spacing w:val="-17"/>
                <w:w w:val="94"/>
                <w:sz w:val="21"/>
                <w:szCs w:val="21"/>
              </w:rPr>
              <w:t>西侧农户</w:t>
            </w:r>
          </w:p>
        </w:tc>
        <w:tc>
          <w:tcPr>
            <w:tcW w:w="517" w:type="dxa"/>
            <w:vAlign w:val="top"/>
          </w:tcPr>
          <w:p w14:paraId="5C9CC83D">
            <w:pPr>
              <w:pStyle w:val="6"/>
              <w:spacing w:before="107" w:line="185" w:lineRule="auto"/>
              <w:ind w:left="159"/>
            </w:pPr>
            <w:r>
              <w:rPr>
                <w:spacing w:val="-5"/>
              </w:rPr>
              <w:t>55</w:t>
            </w:r>
          </w:p>
        </w:tc>
        <w:tc>
          <w:tcPr>
            <w:tcW w:w="589" w:type="dxa"/>
            <w:vAlign w:val="top"/>
          </w:tcPr>
          <w:p w14:paraId="0A95C340">
            <w:pPr>
              <w:pStyle w:val="6"/>
              <w:spacing w:before="104" w:line="188" w:lineRule="auto"/>
              <w:ind w:left="188"/>
            </w:pPr>
            <w:r>
              <w:rPr>
                <w:spacing w:val="-1"/>
              </w:rPr>
              <w:t>48</w:t>
            </w:r>
          </w:p>
        </w:tc>
        <w:tc>
          <w:tcPr>
            <w:tcW w:w="519" w:type="dxa"/>
            <w:vAlign w:val="top"/>
          </w:tcPr>
          <w:p w14:paraId="3EA698F9">
            <w:pPr>
              <w:pStyle w:val="6"/>
              <w:spacing w:before="107" w:line="185" w:lineRule="auto"/>
              <w:ind w:left="161"/>
            </w:pPr>
            <w:r>
              <w:rPr>
                <w:spacing w:val="-5"/>
              </w:rPr>
              <w:t>55</w:t>
            </w:r>
          </w:p>
        </w:tc>
        <w:tc>
          <w:tcPr>
            <w:tcW w:w="520" w:type="dxa"/>
            <w:vAlign w:val="top"/>
          </w:tcPr>
          <w:p w14:paraId="01BB2D49">
            <w:pPr>
              <w:pStyle w:val="6"/>
              <w:spacing w:before="104" w:line="188" w:lineRule="auto"/>
              <w:ind w:left="154"/>
            </w:pPr>
            <w:r>
              <w:rPr>
                <w:spacing w:val="-1"/>
              </w:rPr>
              <w:t>48</w:t>
            </w:r>
          </w:p>
        </w:tc>
        <w:tc>
          <w:tcPr>
            <w:tcW w:w="519" w:type="dxa"/>
            <w:vAlign w:val="top"/>
          </w:tcPr>
          <w:p w14:paraId="50283326">
            <w:pPr>
              <w:pStyle w:val="6"/>
              <w:spacing w:before="104" w:line="188" w:lineRule="auto"/>
              <w:ind w:left="160"/>
            </w:pPr>
            <w:r>
              <w:rPr>
                <w:spacing w:val="-5"/>
              </w:rPr>
              <w:t>60</w:t>
            </w:r>
          </w:p>
        </w:tc>
        <w:tc>
          <w:tcPr>
            <w:tcW w:w="520" w:type="dxa"/>
            <w:vAlign w:val="top"/>
          </w:tcPr>
          <w:p w14:paraId="48D78FF4">
            <w:pPr>
              <w:pStyle w:val="6"/>
              <w:spacing w:before="104" w:line="188" w:lineRule="auto"/>
              <w:ind w:left="162"/>
            </w:pPr>
            <w:r>
              <w:rPr>
                <w:spacing w:val="-5"/>
              </w:rPr>
              <w:t>50</w:t>
            </w:r>
          </w:p>
        </w:tc>
        <w:tc>
          <w:tcPr>
            <w:tcW w:w="518" w:type="dxa"/>
            <w:vAlign w:val="top"/>
          </w:tcPr>
          <w:p w14:paraId="7035EBE2">
            <w:pPr>
              <w:pStyle w:val="6"/>
              <w:spacing w:before="104" w:line="188" w:lineRule="auto"/>
              <w:ind w:left="83"/>
            </w:pPr>
            <w:r>
              <w:rPr>
                <w:spacing w:val="-2"/>
              </w:rPr>
              <w:t>35.9</w:t>
            </w:r>
          </w:p>
        </w:tc>
        <w:tc>
          <w:tcPr>
            <w:tcW w:w="519" w:type="dxa"/>
            <w:vAlign w:val="top"/>
          </w:tcPr>
          <w:p w14:paraId="3A104190">
            <w:pPr>
              <w:pStyle w:val="6"/>
              <w:spacing w:before="104" w:line="188" w:lineRule="auto"/>
              <w:ind w:left="83"/>
            </w:pPr>
            <w:r>
              <w:rPr>
                <w:spacing w:val="-2"/>
              </w:rPr>
              <w:t>35.9</w:t>
            </w:r>
          </w:p>
        </w:tc>
        <w:tc>
          <w:tcPr>
            <w:tcW w:w="521" w:type="dxa"/>
            <w:vAlign w:val="top"/>
          </w:tcPr>
          <w:p w14:paraId="69D7F3F5">
            <w:pPr>
              <w:pStyle w:val="6"/>
              <w:spacing w:before="104" w:line="188" w:lineRule="auto"/>
              <w:ind w:left="86"/>
            </w:pPr>
            <w:r>
              <w:rPr>
                <w:spacing w:val="-3"/>
              </w:rPr>
              <w:t>55.1</w:t>
            </w:r>
          </w:p>
        </w:tc>
        <w:tc>
          <w:tcPr>
            <w:tcW w:w="522" w:type="dxa"/>
            <w:vAlign w:val="top"/>
          </w:tcPr>
          <w:p w14:paraId="70550229">
            <w:pPr>
              <w:pStyle w:val="6"/>
              <w:spacing w:before="104" w:line="188" w:lineRule="auto"/>
              <w:ind w:left="79"/>
            </w:pPr>
            <w:r>
              <w:rPr>
                <w:spacing w:val="-1"/>
              </w:rPr>
              <w:t>48.3</w:t>
            </w:r>
          </w:p>
        </w:tc>
        <w:tc>
          <w:tcPr>
            <w:tcW w:w="518" w:type="dxa"/>
            <w:vAlign w:val="top"/>
          </w:tcPr>
          <w:p w14:paraId="6CCA3D17">
            <w:pPr>
              <w:pStyle w:val="6"/>
              <w:spacing w:before="104" w:line="188" w:lineRule="auto"/>
              <w:ind w:left="134"/>
            </w:pPr>
            <w:r>
              <w:rPr>
                <w:spacing w:val="-3"/>
              </w:rPr>
              <w:t>0.1</w:t>
            </w:r>
          </w:p>
        </w:tc>
        <w:tc>
          <w:tcPr>
            <w:tcW w:w="519" w:type="dxa"/>
            <w:vAlign w:val="top"/>
          </w:tcPr>
          <w:p w14:paraId="7994B85D">
            <w:pPr>
              <w:pStyle w:val="6"/>
              <w:spacing w:before="104" w:line="188" w:lineRule="auto"/>
              <w:ind w:left="135"/>
            </w:pPr>
            <w:r>
              <w:rPr>
                <w:spacing w:val="-3"/>
              </w:rPr>
              <w:t>0.3</w:t>
            </w:r>
          </w:p>
        </w:tc>
        <w:tc>
          <w:tcPr>
            <w:tcW w:w="486" w:type="dxa"/>
            <w:vAlign w:val="top"/>
          </w:tcPr>
          <w:p w14:paraId="0F114623">
            <w:pPr>
              <w:spacing w:before="68" w:line="220" w:lineRule="auto"/>
              <w:ind w:left="40"/>
              <w:rPr>
                <w:rFonts w:ascii="宋体" w:hAnsi="宋体" w:eastAsia="宋体" w:cs="宋体"/>
                <w:sz w:val="21"/>
                <w:szCs w:val="21"/>
              </w:rPr>
            </w:pPr>
            <w:r>
              <w:rPr>
                <w:rFonts w:ascii="宋体" w:hAnsi="宋体" w:eastAsia="宋体" w:cs="宋体"/>
                <w:spacing w:val="-2"/>
                <w:sz w:val="21"/>
                <w:szCs w:val="21"/>
              </w:rPr>
              <w:t>达标</w:t>
            </w:r>
          </w:p>
        </w:tc>
        <w:tc>
          <w:tcPr>
            <w:tcW w:w="491" w:type="dxa"/>
            <w:vAlign w:val="top"/>
          </w:tcPr>
          <w:p w14:paraId="7B85E81E">
            <w:pPr>
              <w:spacing w:before="68" w:line="220" w:lineRule="auto"/>
              <w:ind w:left="40"/>
              <w:rPr>
                <w:rFonts w:ascii="宋体" w:hAnsi="宋体" w:eastAsia="宋体" w:cs="宋体"/>
                <w:sz w:val="21"/>
                <w:szCs w:val="21"/>
              </w:rPr>
            </w:pPr>
            <w:r>
              <w:rPr>
                <w:rFonts w:ascii="宋体" w:hAnsi="宋体" w:eastAsia="宋体" w:cs="宋体"/>
                <w:spacing w:val="-2"/>
                <w:sz w:val="21"/>
                <w:szCs w:val="21"/>
              </w:rPr>
              <w:t>达标</w:t>
            </w:r>
          </w:p>
        </w:tc>
      </w:tr>
    </w:tbl>
    <w:p w14:paraId="40CE39D6">
      <w:pPr>
        <w:spacing w:before="113"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）运输噪声影响分析</w:t>
      </w:r>
    </w:p>
    <w:p w14:paraId="5D7B679D">
      <w:pPr>
        <w:spacing w:before="182" w:line="361" w:lineRule="auto"/>
        <w:ind w:left="38" w:right="29" w:firstLine="484"/>
        <w:jc w:val="both"/>
        <w:rPr>
          <w:rFonts w:ascii="宋体" w:hAnsi="宋体" w:eastAsia="宋体" w:cs="宋体"/>
          <w:sz w:val="24"/>
          <w:szCs w:val="24"/>
        </w:rPr>
      </w:pPr>
      <w:r>
        <w:rPr>
          <w:rFonts w:ascii="宋体" w:hAnsi="宋体" w:eastAsia="宋体" w:cs="宋体"/>
          <w:spacing w:val="-5"/>
          <w:sz w:val="24"/>
          <w:szCs w:val="24"/>
        </w:rPr>
        <w:t>项目猪只、饲料及固废运输时，</w:t>
      </w:r>
      <w:r>
        <w:rPr>
          <w:rFonts w:ascii="宋体" w:hAnsi="宋体" w:eastAsia="宋体" w:cs="宋体"/>
          <w:spacing w:val="-49"/>
          <w:sz w:val="24"/>
          <w:szCs w:val="24"/>
        </w:rPr>
        <w:t xml:space="preserve"> </w:t>
      </w:r>
      <w:r>
        <w:rPr>
          <w:rFonts w:ascii="宋体" w:hAnsi="宋体" w:eastAsia="宋体" w:cs="宋体"/>
          <w:spacing w:val="-5"/>
          <w:sz w:val="24"/>
          <w:szCs w:val="24"/>
        </w:rPr>
        <w:t>运输车辆将</w:t>
      </w:r>
      <w:r>
        <w:rPr>
          <w:rFonts w:ascii="宋体" w:hAnsi="宋体" w:eastAsia="宋体" w:cs="宋体"/>
          <w:spacing w:val="-6"/>
          <w:sz w:val="24"/>
          <w:szCs w:val="24"/>
        </w:rPr>
        <w:t>对运输路线沿线的声环境敏感点</w:t>
      </w:r>
      <w:r>
        <w:rPr>
          <w:rFonts w:ascii="宋体" w:hAnsi="宋体" w:eastAsia="宋体" w:cs="宋体"/>
          <w:spacing w:val="-3"/>
          <w:sz w:val="24"/>
          <w:szCs w:val="24"/>
        </w:rPr>
        <w:t>造成影响，为了有效减轻运输噪声污染，建设单位应合理安排运输时间和运输路线，避免夜间时段运输，运输过程控制车速，减少鸣笛次数，尽量减少运输噪声</w:t>
      </w:r>
      <w:r>
        <w:rPr>
          <w:rFonts w:ascii="宋体" w:hAnsi="宋体" w:eastAsia="宋体" w:cs="宋体"/>
          <w:spacing w:val="-6"/>
          <w:sz w:val="24"/>
          <w:szCs w:val="24"/>
        </w:rPr>
        <w:t>对沿线居民的影响。因此， 在采取有效的控制措施后，项目运输</w:t>
      </w:r>
      <w:r>
        <w:rPr>
          <w:rFonts w:ascii="宋体" w:hAnsi="宋体" w:eastAsia="宋体" w:cs="宋体"/>
          <w:spacing w:val="-7"/>
          <w:sz w:val="24"/>
          <w:szCs w:val="24"/>
        </w:rPr>
        <w:t>噪声对运输沿线</w:t>
      </w:r>
      <w:r>
        <w:rPr>
          <w:rFonts w:ascii="宋体" w:hAnsi="宋体" w:eastAsia="宋体" w:cs="宋体"/>
          <w:spacing w:val="-5"/>
          <w:sz w:val="24"/>
          <w:szCs w:val="24"/>
        </w:rPr>
        <w:t>声环境影响不大。</w:t>
      </w:r>
    </w:p>
    <w:p w14:paraId="4CA1378B">
      <w:pPr>
        <w:spacing w:before="50" w:line="228" w:lineRule="auto"/>
        <w:ind w:left="36"/>
        <w:rPr>
          <w:rFonts w:ascii="宋体" w:hAnsi="宋体" w:eastAsia="宋体" w:cs="宋体"/>
          <w:sz w:val="27"/>
          <w:szCs w:val="27"/>
        </w:rPr>
      </w:pPr>
      <w:r>
        <w:rPr>
          <w:rFonts w:ascii="Times New Roman" w:hAnsi="Times New Roman" w:eastAsia="Times New Roman" w:cs="Times New Roman"/>
          <w:b/>
          <w:bCs/>
          <w:spacing w:val="1"/>
          <w:sz w:val="27"/>
          <w:szCs w:val="27"/>
        </w:rPr>
        <w:t>4.2.4.4</w:t>
      </w:r>
      <w:r>
        <w:rPr>
          <w:rFonts w:ascii="Times New Roman" w:hAnsi="Times New Roman" w:eastAsia="Times New Roman" w:cs="Times New Roman"/>
          <w:b/>
          <w:bCs/>
          <w:spacing w:val="27"/>
          <w:w w:val="101"/>
          <w:sz w:val="27"/>
          <w:szCs w:val="27"/>
        </w:rPr>
        <w:t xml:space="preserve"> </w:t>
      </w:r>
      <w:r>
        <w:rPr>
          <w:rFonts w:ascii="宋体" w:hAnsi="宋体" w:eastAsia="宋体" w:cs="宋体"/>
          <w:b/>
          <w:bCs/>
          <w:spacing w:val="1"/>
          <w:sz w:val="27"/>
          <w:szCs w:val="27"/>
        </w:rPr>
        <w:t>小结</w:t>
      </w:r>
    </w:p>
    <w:p w14:paraId="09F0667C">
      <w:pPr>
        <w:spacing w:before="235" w:line="361" w:lineRule="auto"/>
        <w:ind w:left="39" w:right="29" w:firstLine="480"/>
        <w:jc w:val="both"/>
        <w:rPr>
          <w:rFonts w:ascii="宋体" w:hAnsi="宋体" w:eastAsia="宋体" w:cs="宋体"/>
          <w:sz w:val="24"/>
          <w:szCs w:val="24"/>
        </w:rPr>
      </w:pPr>
      <w:r>
        <w:rPr>
          <w:rFonts w:ascii="宋体" w:hAnsi="宋体" w:eastAsia="宋体" w:cs="宋体"/>
          <w:spacing w:val="-4"/>
          <w:sz w:val="24"/>
          <w:szCs w:val="24"/>
        </w:rPr>
        <w:t>根据预测结果可知，本项目运营期厂界噪声满足《工业企业厂界环境噪声排</w:t>
      </w:r>
      <w:r>
        <w:rPr>
          <w:rFonts w:ascii="宋体" w:hAnsi="宋体" w:eastAsia="宋体" w:cs="宋体"/>
          <w:spacing w:val="-1"/>
          <w:sz w:val="24"/>
          <w:szCs w:val="24"/>
        </w:rPr>
        <w:t>放标准》（</w:t>
      </w:r>
      <w:r>
        <w:rPr>
          <w:rFonts w:ascii="Times New Roman" w:hAnsi="Times New Roman" w:eastAsia="Times New Roman" w:cs="Times New Roman"/>
          <w:spacing w:val="-1"/>
          <w:sz w:val="24"/>
          <w:szCs w:val="24"/>
        </w:rPr>
        <w:t>GB12348-2008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类标准；声环境保护目标噪声</w:t>
      </w:r>
      <w:r>
        <w:rPr>
          <w:rFonts w:ascii="宋体" w:hAnsi="宋体" w:eastAsia="宋体" w:cs="宋体"/>
          <w:spacing w:val="-2"/>
          <w:sz w:val="24"/>
          <w:szCs w:val="24"/>
        </w:rPr>
        <w:t>预测值满足《声环境</w:t>
      </w:r>
      <w:r>
        <w:rPr>
          <w:rFonts w:ascii="宋体" w:hAnsi="宋体" w:eastAsia="宋体" w:cs="宋体"/>
          <w:spacing w:val="2"/>
          <w:sz w:val="24"/>
          <w:szCs w:val="24"/>
        </w:rPr>
        <w:t>质量标准》（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3096-2008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类标准，未出现超标现象，不改变区域声环境级</w:t>
      </w:r>
      <w:r>
        <w:rPr>
          <w:rFonts w:ascii="宋体" w:hAnsi="宋体" w:eastAsia="宋体" w:cs="宋体"/>
          <w:spacing w:val="-12"/>
          <w:sz w:val="24"/>
          <w:szCs w:val="24"/>
        </w:rPr>
        <w:t>别。</w:t>
      </w:r>
    </w:p>
    <w:p w14:paraId="4D3D7FB1">
      <w:pPr>
        <w:spacing w:before="162" w:line="220" w:lineRule="auto"/>
        <w:ind w:left="37"/>
        <w:rPr>
          <w:rFonts w:ascii="宋体" w:hAnsi="宋体" w:eastAsia="宋体" w:cs="宋体"/>
          <w:sz w:val="30"/>
          <w:szCs w:val="30"/>
        </w:rPr>
      </w:pPr>
      <w:r>
        <w:rPr>
          <w:rFonts w:ascii="Times New Roman" w:hAnsi="Times New Roman" w:eastAsia="Times New Roman" w:cs="Times New Roman"/>
          <w:b/>
          <w:bCs/>
          <w:spacing w:val="-5"/>
          <w:sz w:val="30"/>
          <w:szCs w:val="30"/>
        </w:rPr>
        <w:t>4.2.5</w:t>
      </w:r>
      <w:r>
        <w:rPr>
          <w:rFonts w:ascii="Times New Roman" w:hAnsi="Times New Roman" w:eastAsia="Times New Roman" w:cs="Times New Roman"/>
          <w:b/>
          <w:bCs/>
          <w:spacing w:val="21"/>
          <w:w w:val="101"/>
          <w:sz w:val="30"/>
          <w:szCs w:val="30"/>
        </w:rPr>
        <w:t xml:space="preserve">  </w:t>
      </w:r>
      <w:r>
        <w:rPr>
          <w:rFonts w:ascii="宋体" w:hAnsi="宋体" w:eastAsia="宋体" w:cs="宋体"/>
          <w:b/>
          <w:bCs/>
          <w:spacing w:val="-5"/>
          <w:sz w:val="30"/>
          <w:szCs w:val="30"/>
        </w:rPr>
        <w:t>固废环境影响分析</w:t>
      </w:r>
    </w:p>
    <w:p w14:paraId="0ED7838D">
      <w:pPr>
        <w:pStyle w:val="2"/>
        <w:spacing w:line="305" w:lineRule="auto"/>
      </w:pPr>
    </w:p>
    <w:p w14:paraId="204842BF">
      <w:pPr>
        <w:spacing w:before="89" w:line="226"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4.2.5.1</w:t>
      </w:r>
      <w:r>
        <w:rPr>
          <w:rFonts w:ascii="Times New Roman" w:hAnsi="Times New Roman" w:eastAsia="Times New Roman" w:cs="Times New Roman"/>
          <w:b/>
          <w:bCs/>
          <w:spacing w:val="55"/>
          <w:w w:val="101"/>
          <w:sz w:val="27"/>
          <w:szCs w:val="27"/>
        </w:rPr>
        <w:t xml:space="preserve"> </w:t>
      </w:r>
      <w:r>
        <w:rPr>
          <w:rFonts w:ascii="宋体" w:hAnsi="宋体" w:eastAsia="宋体" w:cs="宋体"/>
          <w:b/>
          <w:bCs/>
          <w:spacing w:val="4"/>
          <w:sz w:val="27"/>
          <w:szCs w:val="27"/>
        </w:rPr>
        <w:t>固体废物性质、产生量及处置方式</w:t>
      </w:r>
    </w:p>
    <w:p w14:paraId="3D040348">
      <w:pPr>
        <w:spacing w:before="238" w:line="361" w:lineRule="auto"/>
        <w:ind w:left="38" w:right="30" w:firstLine="481"/>
        <w:jc w:val="both"/>
        <w:rPr>
          <w:rFonts w:ascii="宋体" w:hAnsi="宋体" w:eastAsia="宋体" w:cs="宋体"/>
          <w:sz w:val="24"/>
          <w:szCs w:val="24"/>
        </w:rPr>
      </w:pPr>
      <w:r>
        <w:rPr>
          <w:rFonts w:ascii="宋体" w:hAnsi="宋体" w:eastAsia="宋体" w:cs="宋体"/>
          <w:spacing w:val="-3"/>
          <w:sz w:val="24"/>
          <w:szCs w:val="24"/>
        </w:rPr>
        <w:t>本项目产生的固体废物主要为猪粪、沼渣、污水处理站污泥</w:t>
      </w:r>
      <w:r>
        <w:rPr>
          <w:rFonts w:ascii="宋体" w:hAnsi="宋体" w:eastAsia="宋体" w:cs="宋体"/>
          <w:spacing w:val="-4"/>
          <w:sz w:val="24"/>
          <w:szCs w:val="24"/>
        </w:rPr>
        <w:t>、废脱硫剂、废</w:t>
      </w:r>
      <w:r>
        <w:rPr>
          <w:rFonts w:ascii="宋体" w:hAnsi="宋体" w:eastAsia="宋体" w:cs="宋体"/>
          <w:spacing w:val="-6"/>
          <w:sz w:val="24"/>
          <w:szCs w:val="24"/>
        </w:rPr>
        <w:t>包装材料、生活垃圾、病死猪、危险废物。本项目产生固废去向</w:t>
      </w:r>
      <w:r>
        <w:rPr>
          <w:rFonts w:ascii="宋体" w:hAnsi="宋体" w:eastAsia="宋体" w:cs="宋体"/>
          <w:spacing w:val="-7"/>
          <w:sz w:val="24"/>
          <w:szCs w:val="24"/>
        </w:rPr>
        <w:t>合理明确， 不会</w:t>
      </w:r>
      <w:r>
        <w:rPr>
          <w:rFonts w:ascii="宋体" w:hAnsi="宋体" w:eastAsia="宋体" w:cs="宋体"/>
          <w:spacing w:val="-6"/>
          <w:sz w:val="24"/>
          <w:szCs w:val="24"/>
        </w:rPr>
        <w:t>造成二次污染。</w:t>
      </w:r>
    </w:p>
    <w:p w14:paraId="5290AFC1">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3"/>
          <w:sz w:val="27"/>
          <w:szCs w:val="27"/>
        </w:rPr>
        <w:t>4.2.5.2</w:t>
      </w:r>
      <w:r>
        <w:rPr>
          <w:rFonts w:ascii="Times New Roman" w:hAnsi="Times New Roman" w:eastAsia="Times New Roman" w:cs="Times New Roman"/>
          <w:b/>
          <w:bCs/>
          <w:spacing w:val="51"/>
          <w:w w:val="101"/>
          <w:sz w:val="27"/>
          <w:szCs w:val="27"/>
        </w:rPr>
        <w:t xml:space="preserve"> </w:t>
      </w:r>
      <w:r>
        <w:rPr>
          <w:rFonts w:ascii="宋体" w:hAnsi="宋体" w:eastAsia="宋体" w:cs="宋体"/>
          <w:b/>
          <w:bCs/>
          <w:spacing w:val="3"/>
          <w:sz w:val="27"/>
          <w:szCs w:val="27"/>
        </w:rPr>
        <w:t>固体废物环境影响分析</w:t>
      </w:r>
    </w:p>
    <w:p w14:paraId="2D2FD798">
      <w:pPr>
        <w:spacing w:before="235"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）猪粪便</w:t>
      </w:r>
    </w:p>
    <w:p w14:paraId="4C8E66D3">
      <w:pPr>
        <w:spacing w:before="182" w:line="360" w:lineRule="auto"/>
        <w:ind w:left="38" w:right="29" w:firstLine="481"/>
        <w:rPr>
          <w:rFonts w:ascii="宋体" w:hAnsi="宋体" w:eastAsia="宋体" w:cs="宋体"/>
          <w:sz w:val="24"/>
          <w:szCs w:val="24"/>
        </w:rPr>
      </w:pPr>
      <w:r>
        <w:rPr>
          <w:rFonts w:ascii="宋体" w:hAnsi="宋体" w:eastAsia="宋体" w:cs="宋体"/>
          <w:spacing w:val="-3"/>
          <w:sz w:val="24"/>
          <w:szCs w:val="24"/>
        </w:rPr>
        <w:t>本项目产生的各类固废中以猪粪产生量最为显著，污染影响也</w:t>
      </w:r>
      <w:r>
        <w:rPr>
          <w:rFonts w:ascii="宋体" w:hAnsi="宋体" w:eastAsia="宋体" w:cs="宋体"/>
          <w:spacing w:val="-4"/>
          <w:sz w:val="24"/>
          <w:szCs w:val="24"/>
        </w:rPr>
        <w:t>最大，主要来源于清粪工艺中的粪便。</w:t>
      </w:r>
    </w:p>
    <w:p w14:paraId="31ABA1AF">
      <w:pPr>
        <w:spacing w:before="1" w:line="219" w:lineRule="auto"/>
        <w:ind w:right="29"/>
        <w:jc w:val="right"/>
        <w:rPr>
          <w:rFonts w:ascii="宋体" w:hAnsi="宋体" w:eastAsia="宋体" w:cs="宋体"/>
          <w:sz w:val="24"/>
          <w:szCs w:val="24"/>
        </w:rPr>
      </w:pPr>
      <w:r>
        <w:rPr>
          <w:rFonts w:ascii="宋体" w:hAnsi="宋体" w:eastAsia="宋体" w:cs="宋体"/>
          <w:spacing w:val="-4"/>
          <w:sz w:val="24"/>
          <w:szCs w:val="24"/>
        </w:rPr>
        <w:t>随着养殖业的发展，大量畜禽粪便直接排放已成为引起农业生态环境恶化的</w:t>
      </w:r>
    </w:p>
    <w:p w14:paraId="1F66C5D5">
      <w:pPr>
        <w:spacing w:line="219" w:lineRule="auto"/>
        <w:rPr>
          <w:rFonts w:ascii="宋体" w:hAnsi="宋体" w:eastAsia="宋体" w:cs="宋体"/>
          <w:sz w:val="24"/>
          <w:szCs w:val="24"/>
        </w:rPr>
        <w:sectPr>
          <w:headerReference r:id="rId385" w:type="default"/>
          <w:footerReference r:id="rId386" w:type="default"/>
          <w:pgSz w:w="11905" w:h="16840"/>
          <w:pgMar w:top="1168" w:right="1768" w:bottom="1409" w:left="1770" w:header="828" w:footer="1244" w:gutter="0"/>
          <w:cols w:space="720" w:num="1"/>
        </w:sectPr>
      </w:pPr>
    </w:p>
    <w:p w14:paraId="506EC99F">
      <w:pPr>
        <w:pStyle w:val="2"/>
        <w:spacing w:line="306" w:lineRule="auto"/>
      </w:pPr>
    </w:p>
    <w:p w14:paraId="4315AAA7">
      <w:pPr>
        <w:spacing w:before="78" w:line="360" w:lineRule="auto"/>
        <w:ind w:left="38" w:firstLine="4"/>
        <w:jc w:val="both"/>
        <w:rPr>
          <w:rFonts w:ascii="宋体" w:hAnsi="宋体" w:eastAsia="宋体" w:cs="宋体"/>
          <w:sz w:val="24"/>
          <w:szCs w:val="24"/>
        </w:rPr>
      </w:pPr>
      <w:r>
        <w:rPr>
          <w:rFonts w:ascii="宋体" w:hAnsi="宋体" w:eastAsia="宋体" w:cs="宋体"/>
          <w:spacing w:val="-6"/>
          <w:sz w:val="24"/>
          <w:szCs w:val="24"/>
        </w:rPr>
        <w:t>一个主要原因。因此， 对畜禽粪便进行无害化处</w:t>
      </w:r>
      <w:r>
        <w:rPr>
          <w:rFonts w:ascii="宋体" w:hAnsi="宋体" w:eastAsia="宋体" w:cs="宋体"/>
          <w:spacing w:val="-7"/>
          <w:sz w:val="24"/>
          <w:szCs w:val="24"/>
        </w:rPr>
        <w:t>理，实现资源化利用，防止和消</w:t>
      </w:r>
      <w:r>
        <w:rPr>
          <w:rFonts w:ascii="宋体" w:hAnsi="宋体" w:eastAsia="宋体" w:cs="宋体"/>
          <w:spacing w:val="-3"/>
          <w:sz w:val="24"/>
          <w:szCs w:val="24"/>
        </w:rPr>
        <w:t>除畜禽养殖粪便的污染，对于保护生态环境，推动农业可持续发展和增强我国农</w:t>
      </w:r>
      <w:r>
        <w:rPr>
          <w:rFonts w:ascii="宋体" w:hAnsi="宋体" w:eastAsia="宋体" w:cs="宋体"/>
          <w:spacing w:val="-6"/>
          <w:sz w:val="24"/>
          <w:szCs w:val="24"/>
        </w:rPr>
        <w:t>产品市场竞争力具有十分重要的意义。畜禽粪便中含有丰富</w:t>
      </w:r>
      <w:r>
        <w:rPr>
          <w:rFonts w:ascii="宋体" w:hAnsi="宋体" w:eastAsia="宋体" w:cs="宋体"/>
          <w:spacing w:val="-7"/>
          <w:sz w:val="24"/>
          <w:szCs w:val="24"/>
        </w:rPr>
        <w:t>的氮、磷、钾， 这些</w:t>
      </w:r>
      <w:r>
        <w:rPr>
          <w:rFonts w:ascii="宋体" w:hAnsi="宋体" w:eastAsia="宋体" w:cs="宋体"/>
          <w:spacing w:val="-4"/>
          <w:sz w:val="24"/>
          <w:szCs w:val="24"/>
        </w:rPr>
        <w:t>成分是农作物生长所必需的营养物质，在过去一直作</w:t>
      </w:r>
      <w:r>
        <w:rPr>
          <w:rFonts w:ascii="宋体" w:hAnsi="宋体" w:eastAsia="宋体" w:cs="宋体"/>
          <w:spacing w:val="-5"/>
          <w:sz w:val="24"/>
          <w:szCs w:val="24"/>
        </w:rPr>
        <w:t>为农业生产中宝贵的有机肥，</w:t>
      </w:r>
      <w:r>
        <w:rPr>
          <w:rFonts w:ascii="宋体" w:hAnsi="宋体" w:eastAsia="宋体" w:cs="宋体"/>
          <w:spacing w:val="-1"/>
          <w:sz w:val="24"/>
          <w:szCs w:val="24"/>
        </w:rPr>
        <w:t>施于农田有助于改良土壤结构，提高土壤的有机质含</w:t>
      </w:r>
      <w:r>
        <w:rPr>
          <w:rFonts w:ascii="宋体" w:hAnsi="宋体" w:eastAsia="宋体" w:cs="宋体"/>
          <w:spacing w:val="-2"/>
          <w:sz w:val="24"/>
          <w:szCs w:val="24"/>
        </w:rPr>
        <w:t>量，促进农作物增产。</w:t>
      </w:r>
    </w:p>
    <w:p w14:paraId="3E850680">
      <w:pPr>
        <w:spacing w:before="5" w:line="359" w:lineRule="auto"/>
        <w:ind w:left="41" w:right="119" w:firstLine="478"/>
        <w:jc w:val="both"/>
        <w:rPr>
          <w:rFonts w:ascii="宋体" w:hAnsi="宋体" w:eastAsia="宋体" w:cs="宋体"/>
          <w:sz w:val="24"/>
          <w:szCs w:val="24"/>
        </w:rPr>
      </w:pPr>
      <w:r>
        <w:rPr>
          <w:rFonts w:ascii="宋体" w:hAnsi="宋体" w:eastAsia="宋体" w:cs="宋体"/>
          <w:spacing w:val="-6"/>
          <w:sz w:val="24"/>
          <w:szCs w:val="24"/>
        </w:rPr>
        <w:t>根据《畜禽养殖业污染防治技术规范》中的有关规定，</w:t>
      </w:r>
      <w:r>
        <w:rPr>
          <w:rFonts w:ascii="宋体" w:hAnsi="宋体" w:eastAsia="宋体" w:cs="宋体"/>
          <w:spacing w:val="-26"/>
          <w:sz w:val="24"/>
          <w:szCs w:val="24"/>
        </w:rPr>
        <w:t xml:space="preserve"> </w:t>
      </w:r>
      <w:r>
        <w:rPr>
          <w:rFonts w:ascii="宋体" w:hAnsi="宋体" w:eastAsia="宋体" w:cs="宋体"/>
          <w:spacing w:val="-6"/>
          <w:sz w:val="24"/>
          <w:szCs w:val="24"/>
        </w:rPr>
        <w:t>本项目猪舍产生的粪</w:t>
      </w:r>
      <w:r>
        <w:rPr>
          <w:rFonts w:ascii="宋体" w:hAnsi="宋体" w:eastAsia="宋体" w:cs="宋体"/>
          <w:spacing w:val="-3"/>
          <w:sz w:val="24"/>
          <w:szCs w:val="24"/>
        </w:rPr>
        <w:t>污经固液分离机分离后，液体粪污进入污水处理站进行处理，固液分离机分离出</w:t>
      </w:r>
      <w:r>
        <w:rPr>
          <w:rFonts w:ascii="宋体" w:hAnsi="宋体" w:eastAsia="宋体" w:cs="宋体"/>
          <w:spacing w:val="-1"/>
          <w:sz w:val="24"/>
          <w:szCs w:val="24"/>
        </w:rPr>
        <w:t>的固体粪便在堆粪棚暂存，及时送往四川正威实业有限公司生产有机肥</w:t>
      </w:r>
      <w:r>
        <w:rPr>
          <w:rFonts w:ascii="宋体" w:hAnsi="宋体" w:eastAsia="宋体" w:cs="宋体"/>
          <w:spacing w:val="-2"/>
          <w:sz w:val="24"/>
          <w:szCs w:val="24"/>
        </w:rPr>
        <w:t>。因此，</w:t>
      </w:r>
      <w:r>
        <w:rPr>
          <w:rFonts w:ascii="宋体" w:hAnsi="宋体" w:eastAsia="宋体" w:cs="宋体"/>
          <w:spacing w:val="-3"/>
          <w:sz w:val="24"/>
          <w:szCs w:val="24"/>
        </w:rPr>
        <w:t>该项目产生的猪粪不会对周围环境产生影响。</w:t>
      </w:r>
    </w:p>
    <w:p w14:paraId="25C0EF59">
      <w:pPr>
        <w:spacing w:line="221"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）沼渣、污泥</w:t>
      </w:r>
    </w:p>
    <w:p w14:paraId="13BD9A5E">
      <w:pPr>
        <w:spacing w:before="179" w:line="360" w:lineRule="auto"/>
        <w:ind w:left="39" w:right="119" w:firstLine="484"/>
        <w:jc w:val="both"/>
        <w:rPr>
          <w:rFonts w:ascii="宋体" w:hAnsi="宋体" w:eastAsia="宋体" w:cs="宋体"/>
          <w:sz w:val="24"/>
          <w:szCs w:val="24"/>
        </w:rPr>
      </w:pPr>
      <w:r>
        <w:rPr>
          <w:rFonts w:ascii="宋体" w:hAnsi="宋体" w:eastAsia="宋体" w:cs="宋体"/>
          <w:spacing w:val="-3"/>
          <w:sz w:val="24"/>
          <w:szCs w:val="24"/>
        </w:rPr>
        <w:t>沼渣是有机物质发酵后剩余的固形物质，沼渣富含有</w:t>
      </w:r>
      <w:r>
        <w:rPr>
          <w:rFonts w:ascii="宋体" w:hAnsi="宋体" w:eastAsia="宋体" w:cs="宋体"/>
          <w:spacing w:val="-4"/>
          <w:sz w:val="24"/>
          <w:szCs w:val="24"/>
        </w:rPr>
        <w:t>机质、腐殖酸、微量营</w:t>
      </w:r>
      <w:r>
        <w:rPr>
          <w:rFonts w:ascii="宋体" w:hAnsi="宋体" w:eastAsia="宋体" w:cs="宋体"/>
          <w:spacing w:val="-6"/>
          <w:sz w:val="24"/>
          <w:szCs w:val="24"/>
        </w:rPr>
        <w:t>养元素、多种氨基酸、酶类和有益微生物等， 能起到很好</w:t>
      </w:r>
      <w:r>
        <w:rPr>
          <w:rFonts w:ascii="宋体" w:hAnsi="宋体" w:eastAsia="宋体" w:cs="宋体"/>
          <w:spacing w:val="-7"/>
          <w:sz w:val="24"/>
          <w:szCs w:val="24"/>
        </w:rPr>
        <w:t>的改良土壤的作用。沼</w:t>
      </w:r>
      <w:r>
        <w:rPr>
          <w:rFonts w:ascii="宋体" w:hAnsi="宋体" w:eastAsia="宋体" w:cs="宋体"/>
          <w:spacing w:val="-1"/>
          <w:sz w:val="24"/>
          <w:szCs w:val="24"/>
        </w:rPr>
        <w:t>渣还含有氮、磷、钾等元素，能满足作物生长的需要。沼渣在综合利用过程</w:t>
      </w:r>
      <w:r>
        <w:rPr>
          <w:rFonts w:ascii="宋体" w:hAnsi="宋体" w:eastAsia="宋体" w:cs="宋体"/>
          <w:spacing w:val="-2"/>
          <w:sz w:val="24"/>
          <w:szCs w:val="24"/>
        </w:rPr>
        <w:t>中，</w:t>
      </w:r>
      <w:r>
        <w:rPr>
          <w:rFonts w:ascii="宋体" w:hAnsi="宋体" w:eastAsia="宋体" w:cs="宋体"/>
          <w:spacing w:val="-6"/>
          <w:sz w:val="24"/>
          <w:szCs w:val="24"/>
        </w:rPr>
        <w:t>具有速效、迟效两种功能， 可作基肥和追肥，长期施用沼</w:t>
      </w:r>
      <w:r>
        <w:rPr>
          <w:rFonts w:ascii="宋体" w:hAnsi="宋体" w:eastAsia="宋体" w:cs="宋体"/>
          <w:spacing w:val="-7"/>
          <w:sz w:val="24"/>
          <w:szCs w:val="24"/>
        </w:rPr>
        <w:t>渣肥能使土壤疏松、肥</w:t>
      </w:r>
      <w:r>
        <w:rPr>
          <w:rFonts w:ascii="宋体" w:hAnsi="宋体" w:eastAsia="宋体" w:cs="宋体"/>
          <w:spacing w:val="-4"/>
          <w:sz w:val="24"/>
          <w:szCs w:val="24"/>
        </w:rPr>
        <w:t>力增加、通透良好、不板结。</w:t>
      </w:r>
    </w:p>
    <w:p w14:paraId="6B71EB53">
      <w:pPr>
        <w:spacing w:line="360" w:lineRule="auto"/>
        <w:ind w:left="38" w:right="186" w:firstLine="484"/>
        <w:jc w:val="both"/>
        <w:rPr>
          <w:rFonts w:ascii="宋体" w:hAnsi="宋体" w:eastAsia="宋体" w:cs="宋体"/>
          <w:sz w:val="24"/>
          <w:szCs w:val="24"/>
        </w:rPr>
      </w:pPr>
      <w:r>
        <w:rPr>
          <w:rFonts w:ascii="宋体" w:hAnsi="宋体" w:eastAsia="宋体" w:cs="宋体"/>
          <w:spacing w:val="-3"/>
          <w:sz w:val="24"/>
          <w:szCs w:val="24"/>
        </w:rPr>
        <w:t>项目产生的污泥主要是废水生化处理过程产生的污泥，</w:t>
      </w:r>
      <w:r>
        <w:rPr>
          <w:rFonts w:ascii="宋体" w:hAnsi="宋体" w:eastAsia="宋体" w:cs="宋体"/>
          <w:spacing w:val="-4"/>
          <w:sz w:val="24"/>
          <w:szCs w:val="24"/>
        </w:rPr>
        <w:t>项目沼渣、污泥和猪</w:t>
      </w:r>
      <w:r>
        <w:rPr>
          <w:rFonts w:ascii="宋体" w:hAnsi="宋体" w:eastAsia="宋体" w:cs="宋体"/>
          <w:spacing w:val="-3"/>
          <w:sz w:val="24"/>
          <w:szCs w:val="24"/>
        </w:rPr>
        <w:t>粪经固液分离后于堆粪棚暂存，及时送往四川正威实业有限公司生产有机肥，不</w:t>
      </w:r>
      <w:r>
        <w:rPr>
          <w:rFonts w:ascii="宋体" w:hAnsi="宋体" w:eastAsia="宋体" w:cs="宋体"/>
          <w:spacing w:val="-4"/>
          <w:sz w:val="24"/>
          <w:szCs w:val="24"/>
        </w:rPr>
        <w:t>会给周围环境带来不利影响。</w:t>
      </w:r>
    </w:p>
    <w:p w14:paraId="04B44D7F">
      <w:pPr>
        <w:spacing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3</w:t>
      </w:r>
      <w:r>
        <w:rPr>
          <w:rFonts w:ascii="宋体" w:hAnsi="宋体" w:eastAsia="宋体" w:cs="宋体"/>
          <w:b/>
          <w:bCs/>
          <w:spacing w:val="-6"/>
          <w:sz w:val="24"/>
          <w:szCs w:val="24"/>
        </w:rPr>
        <w:t>）病死猪</w:t>
      </w:r>
    </w:p>
    <w:p w14:paraId="54DCFB00">
      <w:pPr>
        <w:spacing w:before="182" w:line="360" w:lineRule="auto"/>
        <w:ind w:left="38" w:right="187" w:firstLine="480"/>
        <w:jc w:val="both"/>
        <w:rPr>
          <w:rFonts w:ascii="宋体" w:hAnsi="宋体" w:eastAsia="宋体" w:cs="宋体"/>
          <w:sz w:val="24"/>
          <w:szCs w:val="24"/>
        </w:rPr>
      </w:pPr>
      <w:r>
        <w:rPr>
          <w:rFonts w:ascii="宋体" w:hAnsi="宋体" w:eastAsia="宋体" w:cs="宋体"/>
          <w:spacing w:val="-4"/>
          <w:sz w:val="24"/>
          <w:szCs w:val="24"/>
        </w:rPr>
        <w:t>病死猪只必须妥善处置，防止二次污染，并杜绝传播疾病。根据《中华人民</w:t>
      </w:r>
      <w:r>
        <w:rPr>
          <w:rFonts w:ascii="宋体" w:hAnsi="宋体" w:eastAsia="宋体" w:cs="宋体"/>
          <w:spacing w:val="-3"/>
          <w:sz w:val="24"/>
          <w:szCs w:val="24"/>
        </w:rPr>
        <w:t>共和国动物防疫法》、《病死畜禽和病害畜禽产品无害化处理管理办法》规定及</w:t>
      </w:r>
      <w:r>
        <w:rPr>
          <w:rFonts w:ascii="宋体" w:hAnsi="宋体" w:eastAsia="宋体" w:cs="宋体"/>
          <w:spacing w:val="-1"/>
          <w:sz w:val="24"/>
          <w:szCs w:val="24"/>
        </w:rPr>
        <w:t>企业实际情况，建设单位采取病死猪委托有</w:t>
      </w:r>
      <w:r>
        <w:rPr>
          <w:rFonts w:ascii="宋体" w:hAnsi="宋体" w:eastAsia="宋体" w:cs="宋体"/>
          <w:spacing w:val="-2"/>
          <w:sz w:val="24"/>
          <w:szCs w:val="24"/>
        </w:rPr>
        <w:t>相应处理资质的单位处置。</w:t>
      </w:r>
    </w:p>
    <w:p w14:paraId="1466721F">
      <w:pPr>
        <w:spacing w:line="360" w:lineRule="auto"/>
        <w:ind w:left="38" w:right="186" w:firstLine="484"/>
        <w:jc w:val="both"/>
        <w:rPr>
          <w:rFonts w:ascii="宋体" w:hAnsi="宋体" w:eastAsia="宋体" w:cs="宋体"/>
          <w:sz w:val="24"/>
          <w:szCs w:val="24"/>
        </w:rPr>
      </w:pPr>
      <w:r>
        <w:rPr>
          <w:rFonts w:ascii="宋体" w:hAnsi="宋体" w:eastAsia="宋体" w:cs="宋体"/>
          <w:spacing w:val="-3"/>
          <w:sz w:val="24"/>
          <w:szCs w:val="24"/>
        </w:rPr>
        <w:t>如果诊断结果疑似重大动物疫病，必须严格按照重大动</w:t>
      </w:r>
      <w:r>
        <w:rPr>
          <w:rFonts w:ascii="宋体" w:hAnsi="宋体" w:eastAsia="宋体" w:cs="宋体"/>
          <w:spacing w:val="-4"/>
          <w:sz w:val="24"/>
          <w:szCs w:val="24"/>
        </w:rPr>
        <w:t>物疫病防控原则，及</w:t>
      </w:r>
      <w:r>
        <w:rPr>
          <w:rFonts w:ascii="宋体" w:hAnsi="宋体" w:eastAsia="宋体" w:cs="宋体"/>
          <w:spacing w:val="-3"/>
          <w:sz w:val="24"/>
          <w:szCs w:val="24"/>
        </w:rPr>
        <w:t>时向猪场所在地畜牧兽医主管部门上报疫情，当地有关部门派遣兽医专家前往猪场诊断疫情，一旦确诊为重大动物疫情，未感染的生猪应进行隔离观察，已感染</w:t>
      </w:r>
      <w:r>
        <w:rPr>
          <w:rFonts w:ascii="宋体" w:hAnsi="宋体" w:eastAsia="宋体" w:cs="宋体"/>
          <w:spacing w:val="-2"/>
          <w:sz w:val="24"/>
          <w:szCs w:val="24"/>
        </w:rPr>
        <w:t>的病猪迅速扑杀染疫猪群，将疫情控制在最小范围。</w:t>
      </w:r>
    </w:p>
    <w:p w14:paraId="459396DC">
      <w:pPr>
        <w:spacing w:before="2" w:line="359" w:lineRule="auto"/>
        <w:ind w:left="33" w:right="186" w:firstLine="480"/>
        <w:jc w:val="both"/>
        <w:rPr>
          <w:rFonts w:ascii="楷体" w:hAnsi="楷体" w:eastAsia="楷体" w:cs="楷体"/>
          <w:sz w:val="24"/>
          <w:szCs w:val="24"/>
        </w:rPr>
      </w:pPr>
      <w:r>
        <w:rPr>
          <w:rFonts w:ascii="楷体" w:hAnsi="楷体" w:eastAsia="楷体" w:cs="楷体"/>
          <w:spacing w:val="-5"/>
          <w:sz w:val="24"/>
          <w:szCs w:val="24"/>
        </w:rPr>
        <w:t>在《病死畜禽和病害畜禽产品无害化处理管理办法》第四条</w:t>
      </w:r>
      <w:r>
        <w:rPr>
          <w:rFonts w:ascii="楷体" w:hAnsi="楷体" w:eastAsia="楷体" w:cs="楷体"/>
          <w:spacing w:val="-6"/>
          <w:sz w:val="24"/>
          <w:szCs w:val="24"/>
        </w:rPr>
        <w:t>规定：</w:t>
      </w:r>
      <w:r>
        <w:rPr>
          <w:rFonts w:ascii="楷体" w:hAnsi="楷体" w:eastAsia="楷体" w:cs="楷体"/>
          <w:spacing w:val="-48"/>
          <w:sz w:val="24"/>
          <w:szCs w:val="24"/>
        </w:rPr>
        <w:t xml:space="preserve"> </w:t>
      </w:r>
      <w:r>
        <w:rPr>
          <w:rFonts w:ascii="楷体" w:hAnsi="楷体" w:eastAsia="楷体" w:cs="楷体"/>
          <w:spacing w:val="-6"/>
          <w:sz w:val="24"/>
          <w:szCs w:val="24"/>
        </w:rPr>
        <w:t>病死畜禽</w:t>
      </w:r>
      <w:r>
        <w:rPr>
          <w:rFonts w:ascii="楷体" w:hAnsi="楷体" w:eastAsia="楷体" w:cs="楷体"/>
          <w:spacing w:val="-3"/>
          <w:sz w:val="24"/>
          <w:szCs w:val="24"/>
        </w:rPr>
        <w:t>和病害畜禽产品无害化处理坚持统筹规划与属地负责相结合、政府监管与市场运</w:t>
      </w:r>
      <w:r>
        <w:rPr>
          <w:rFonts w:ascii="楷体" w:hAnsi="楷体" w:eastAsia="楷体" w:cs="楷体"/>
          <w:spacing w:val="-7"/>
          <w:sz w:val="24"/>
          <w:szCs w:val="24"/>
        </w:rPr>
        <w:t xml:space="preserve">作相结合、财政补助与保险联动相结合、 </w:t>
      </w:r>
      <w:r>
        <w:rPr>
          <w:rFonts w:ascii="楷体" w:hAnsi="楷体" w:eastAsia="楷体" w:cs="楷体"/>
          <w:b/>
          <w:bCs/>
          <w:spacing w:val="-7"/>
          <w:sz w:val="24"/>
          <w:szCs w:val="24"/>
        </w:rPr>
        <w:t>集中处理与自行处理相结合</w:t>
      </w:r>
      <w:r>
        <w:rPr>
          <w:rFonts w:ascii="楷体" w:hAnsi="楷体" w:eastAsia="楷体" w:cs="楷体"/>
          <w:spacing w:val="-7"/>
          <w:sz w:val="24"/>
          <w:szCs w:val="24"/>
        </w:rPr>
        <w:t>的原则。第</w:t>
      </w:r>
    </w:p>
    <w:p w14:paraId="1261E38D">
      <w:pPr>
        <w:spacing w:line="359" w:lineRule="auto"/>
        <w:rPr>
          <w:rFonts w:ascii="楷体" w:hAnsi="楷体" w:eastAsia="楷体" w:cs="楷体"/>
          <w:sz w:val="24"/>
          <w:szCs w:val="24"/>
        </w:rPr>
        <w:sectPr>
          <w:headerReference r:id="rId387" w:type="default"/>
          <w:footerReference r:id="rId388" w:type="default"/>
          <w:pgSz w:w="11905" w:h="16840"/>
          <w:pgMar w:top="1168" w:right="1611" w:bottom="1409" w:left="1770" w:header="828" w:footer="1244" w:gutter="0"/>
          <w:cols w:space="720" w:num="1"/>
        </w:sectPr>
      </w:pPr>
    </w:p>
    <w:p w14:paraId="03BC2290">
      <w:pPr>
        <w:pStyle w:val="2"/>
        <w:spacing w:line="306" w:lineRule="auto"/>
      </w:pPr>
    </w:p>
    <w:p w14:paraId="227040E6">
      <w:pPr>
        <w:spacing w:before="78" w:line="360" w:lineRule="auto"/>
        <w:ind w:left="40" w:right="86" w:firstLine="5"/>
        <w:rPr>
          <w:rFonts w:ascii="楷体" w:hAnsi="楷体" w:eastAsia="楷体" w:cs="楷体"/>
          <w:sz w:val="24"/>
          <w:szCs w:val="24"/>
        </w:rPr>
      </w:pPr>
      <w:r>
        <w:rPr>
          <w:rFonts w:ascii="楷体" w:hAnsi="楷体" w:eastAsia="楷体" w:cs="楷体"/>
          <w:spacing w:val="-4"/>
          <w:sz w:val="24"/>
          <w:szCs w:val="24"/>
        </w:rPr>
        <w:t>十七条规定：病死畜禽和病害畜禽产品无害化处理以集中处理为主，</w:t>
      </w:r>
      <w:r>
        <w:rPr>
          <w:rFonts w:ascii="楷体" w:hAnsi="楷体" w:eastAsia="楷体" w:cs="楷体"/>
          <w:b/>
          <w:bCs/>
          <w:spacing w:val="-4"/>
          <w:sz w:val="24"/>
          <w:szCs w:val="24"/>
        </w:rPr>
        <w:t>自行处理为</w:t>
      </w:r>
      <w:r>
        <w:rPr>
          <w:rFonts w:ascii="楷体" w:hAnsi="楷体" w:eastAsia="楷体" w:cs="楷体"/>
          <w:b/>
          <w:bCs/>
          <w:spacing w:val="-5"/>
          <w:sz w:val="24"/>
          <w:szCs w:val="24"/>
        </w:rPr>
        <w:t>补充</w:t>
      </w:r>
      <w:r>
        <w:rPr>
          <w:rFonts w:ascii="楷体" w:hAnsi="楷体" w:eastAsia="楷体" w:cs="楷体"/>
          <w:spacing w:val="-5"/>
          <w:sz w:val="24"/>
          <w:szCs w:val="24"/>
        </w:rPr>
        <w:t>。</w:t>
      </w:r>
    </w:p>
    <w:p w14:paraId="29DF6F49">
      <w:pPr>
        <w:spacing w:line="360" w:lineRule="auto"/>
        <w:ind w:left="38" w:right="86" w:firstLine="481"/>
        <w:jc w:val="both"/>
        <w:rPr>
          <w:rFonts w:ascii="宋体" w:hAnsi="宋体" w:eastAsia="宋体" w:cs="宋体"/>
          <w:sz w:val="24"/>
          <w:szCs w:val="24"/>
        </w:rPr>
      </w:pPr>
      <w:r>
        <w:rPr>
          <w:rFonts w:ascii="宋体" w:hAnsi="宋体" w:eastAsia="宋体" w:cs="宋体"/>
          <w:sz w:val="24"/>
          <w:szCs w:val="24"/>
        </w:rPr>
        <w:t>本项目病死猪委托有相应处理资质的单位处置外，项目自备</w:t>
      </w:r>
      <w:r>
        <w:rPr>
          <w:rFonts w:ascii="Times New Roman" w:hAnsi="Times New Roman" w:eastAsia="Times New Roman" w:cs="Times New Roman"/>
          <w:sz w:val="24"/>
          <w:szCs w:val="24"/>
        </w:rPr>
        <w:t>1</w:t>
      </w:r>
      <w:r>
        <w:rPr>
          <w:rFonts w:ascii="宋体" w:hAnsi="宋体" w:eastAsia="宋体" w:cs="宋体"/>
          <w:sz w:val="24"/>
          <w:szCs w:val="24"/>
        </w:rPr>
        <w:t>台无害化降解</w:t>
      </w:r>
      <w:r>
        <w:rPr>
          <w:rFonts w:ascii="宋体" w:hAnsi="宋体" w:eastAsia="宋体" w:cs="宋体"/>
          <w:spacing w:val="-5"/>
          <w:sz w:val="24"/>
          <w:szCs w:val="24"/>
        </w:rPr>
        <w:t>处理机作为病死猪处理补充措施。在出现大批量疫病死猪，</w:t>
      </w:r>
      <w:r>
        <w:rPr>
          <w:rFonts w:ascii="宋体" w:hAnsi="宋体" w:eastAsia="宋体" w:cs="宋体"/>
          <w:spacing w:val="-48"/>
          <w:sz w:val="24"/>
          <w:szCs w:val="24"/>
        </w:rPr>
        <w:t xml:space="preserve"> </w:t>
      </w:r>
      <w:r>
        <w:rPr>
          <w:rFonts w:ascii="宋体" w:hAnsi="宋体" w:eastAsia="宋体" w:cs="宋体"/>
          <w:spacing w:val="-5"/>
          <w:sz w:val="24"/>
          <w:szCs w:val="24"/>
        </w:rPr>
        <w:t>无害化处理单位无法</w:t>
      </w:r>
      <w:r>
        <w:rPr>
          <w:rFonts w:ascii="宋体" w:hAnsi="宋体" w:eastAsia="宋体" w:cs="宋体"/>
          <w:spacing w:val="-3"/>
          <w:sz w:val="24"/>
          <w:szCs w:val="24"/>
        </w:rPr>
        <w:t>及时进行无害化情况下，项目启动无害化降解处理机对感染疫病病死猪进行无害</w:t>
      </w:r>
      <w:r>
        <w:rPr>
          <w:rFonts w:ascii="宋体" w:hAnsi="宋体" w:eastAsia="宋体" w:cs="宋体"/>
          <w:spacing w:val="-6"/>
          <w:sz w:val="24"/>
          <w:szCs w:val="24"/>
        </w:rPr>
        <w:t>化降解处理。</w:t>
      </w:r>
    </w:p>
    <w:p w14:paraId="66FB6BD6">
      <w:pPr>
        <w:spacing w:line="220" w:lineRule="auto"/>
        <w:ind w:left="520"/>
        <w:rPr>
          <w:rFonts w:ascii="宋体" w:hAnsi="宋体" w:eastAsia="宋体" w:cs="宋体"/>
          <w:sz w:val="24"/>
          <w:szCs w:val="24"/>
        </w:rPr>
      </w:pPr>
      <w:r>
        <w:rPr>
          <w:rFonts w:ascii="宋体" w:hAnsi="宋体" w:eastAsia="宋体" w:cs="宋体"/>
          <w:b/>
          <w:bCs/>
          <w:spacing w:val="-7"/>
          <w:sz w:val="24"/>
          <w:szCs w:val="24"/>
        </w:rPr>
        <w:t>病死猪处理流程及防治措施：</w:t>
      </w:r>
    </w:p>
    <w:p w14:paraId="1840BAC2">
      <w:pPr>
        <w:spacing w:before="181" w:line="360" w:lineRule="auto"/>
        <w:ind w:left="43" w:right="86" w:firstLine="475"/>
        <w:rPr>
          <w:rFonts w:ascii="宋体" w:hAnsi="宋体" w:eastAsia="宋体" w:cs="宋体"/>
          <w:sz w:val="24"/>
          <w:szCs w:val="24"/>
        </w:rPr>
      </w:pPr>
      <w:r>
        <w:rPr>
          <w:rFonts w:ascii="宋体" w:hAnsi="宋体" w:eastAsia="宋体" w:cs="宋体"/>
          <w:spacing w:val="-3"/>
          <w:sz w:val="24"/>
          <w:szCs w:val="24"/>
        </w:rPr>
        <w:t>①病死猪必须坚持“五不一处理”原则：即不宰杀、不贩运、不</w:t>
      </w:r>
      <w:r>
        <w:rPr>
          <w:rFonts w:ascii="宋体" w:hAnsi="宋体" w:eastAsia="宋体" w:cs="宋体"/>
          <w:spacing w:val="-4"/>
          <w:sz w:val="24"/>
          <w:szCs w:val="24"/>
        </w:rPr>
        <w:t>买卖、不丢</w:t>
      </w:r>
      <w:r>
        <w:rPr>
          <w:rFonts w:ascii="宋体" w:hAnsi="宋体" w:eastAsia="宋体" w:cs="宋体"/>
          <w:spacing w:val="-3"/>
          <w:sz w:val="24"/>
          <w:szCs w:val="24"/>
        </w:rPr>
        <w:t>弃、不食用，同时进行彻底的无害化处理。</w:t>
      </w:r>
    </w:p>
    <w:p w14:paraId="77FD63DB">
      <w:pPr>
        <w:spacing w:line="360" w:lineRule="auto"/>
        <w:ind w:left="54" w:right="86" w:firstLine="462"/>
        <w:rPr>
          <w:rFonts w:ascii="宋体" w:hAnsi="宋体" w:eastAsia="宋体" w:cs="宋体"/>
          <w:sz w:val="24"/>
          <w:szCs w:val="24"/>
        </w:rPr>
      </w:pPr>
      <w:r>
        <w:rPr>
          <w:rFonts w:ascii="宋体" w:hAnsi="宋体" w:eastAsia="宋体" w:cs="宋体"/>
          <w:spacing w:val="-3"/>
          <w:sz w:val="24"/>
          <w:szCs w:val="24"/>
        </w:rPr>
        <w:t>②当发生重大动物疫情时，除对病死动物进行无害化处理外，还应</w:t>
      </w:r>
      <w:r>
        <w:rPr>
          <w:rFonts w:ascii="宋体" w:hAnsi="宋体" w:eastAsia="宋体" w:cs="宋体"/>
          <w:spacing w:val="-4"/>
          <w:sz w:val="24"/>
          <w:szCs w:val="24"/>
        </w:rPr>
        <w:t>根据动物</w:t>
      </w:r>
      <w:r>
        <w:rPr>
          <w:rFonts w:ascii="宋体" w:hAnsi="宋体" w:eastAsia="宋体" w:cs="宋体"/>
          <w:spacing w:val="-2"/>
          <w:sz w:val="24"/>
          <w:szCs w:val="24"/>
        </w:rPr>
        <w:t>防疫主管部门的决定，对同群或染疫的动物进行扑杀，并进行无害化处理。</w:t>
      </w:r>
    </w:p>
    <w:p w14:paraId="09740A20">
      <w:pPr>
        <w:spacing w:before="2" w:line="359" w:lineRule="auto"/>
        <w:ind w:left="45" w:right="87" w:firstLine="472"/>
        <w:rPr>
          <w:rFonts w:ascii="宋体" w:hAnsi="宋体" w:eastAsia="宋体" w:cs="宋体"/>
          <w:sz w:val="24"/>
          <w:szCs w:val="24"/>
        </w:rPr>
      </w:pPr>
      <w:r>
        <w:rPr>
          <w:rFonts w:ascii="宋体" w:hAnsi="宋体" w:eastAsia="宋体" w:cs="宋体"/>
          <w:spacing w:val="-7"/>
          <w:sz w:val="24"/>
          <w:szCs w:val="24"/>
        </w:rPr>
        <w:t>③无害化处理完后，须彻底对其圈舍、用具、道路等进行彻底消毒， 防止病</w:t>
      </w:r>
      <w:r>
        <w:rPr>
          <w:rFonts w:ascii="宋体" w:hAnsi="宋体" w:eastAsia="宋体" w:cs="宋体"/>
          <w:spacing w:val="-10"/>
          <w:sz w:val="24"/>
          <w:szCs w:val="24"/>
        </w:rPr>
        <w:t>原传播。</w:t>
      </w:r>
    </w:p>
    <w:p w14:paraId="0FCCF4AA">
      <w:pPr>
        <w:spacing w:line="360" w:lineRule="auto"/>
        <w:ind w:left="40" w:right="86" w:firstLine="477"/>
        <w:rPr>
          <w:rFonts w:ascii="宋体" w:hAnsi="宋体" w:eastAsia="宋体" w:cs="宋体"/>
          <w:sz w:val="24"/>
          <w:szCs w:val="24"/>
        </w:rPr>
      </w:pPr>
      <w:r>
        <w:rPr>
          <w:rFonts w:ascii="宋体" w:hAnsi="宋体" w:eastAsia="宋体" w:cs="宋体"/>
          <w:spacing w:val="-3"/>
          <w:sz w:val="24"/>
          <w:szCs w:val="24"/>
        </w:rPr>
        <w:t>④无害化处理过程中及疫病流行期间要注意个人防护，防止人畜共</w:t>
      </w:r>
      <w:r>
        <w:rPr>
          <w:rFonts w:ascii="宋体" w:hAnsi="宋体" w:eastAsia="宋体" w:cs="宋体"/>
          <w:spacing w:val="-4"/>
          <w:sz w:val="24"/>
          <w:szCs w:val="24"/>
        </w:rPr>
        <w:t>患病传染</w:t>
      </w:r>
      <w:r>
        <w:rPr>
          <w:rFonts w:ascii="宋体" w:hAnsi="宋体" w:eastAsia="宋体" w:cs="宋体"/>
          <w:spacing w:val="-11"/>
          <w:sz w:val="24"/>
          <w:szCs w:val="24"/>
        </w:rPr>
        <w:t>给人。</w:t>
      </w:r>
    </w:p>
    <w:p w14:paraId="7F23FBB7">
      <w:pPr>
        <w:spacing w:before="3" w:line="357" w:lineRule="auto"/>
        <w:ind w:left="40" w:right="97" w:firstLine="479"/>
        <w:jc w:val="both"/>
        <w:rPr>
          <w:rFonts w:ascii="宋体" w:hAnsi="宋体" w:eastAsia="宋体" w:cs="宋体"/>
          <w:sz w:val="24"/>
          <w:szCs w:val="24"/>
        </w:rPr>
      </w:pPr>
      <w:r>
        <w:rPr>
          <w:rFonts w:ascii="宋体" w:hAnsi="宋体" w:eastAsia="宋体" w:cs="宋体"/>
          <w:spacing w:val="-4"/>
          <w:sz w:val="24"/>
          <w:szCs w:val="24"/>
        </w:rPr>
        <w:t>通过以上措施，本项目病死猪固体废物得到了妥善处置和利用，符合《畜禽</w:t>
      </w:r>
      <w:r>
        <w:rPr>
          <w:rFonts w:ascii="宋体" w:hAnsi="宋体" w:eastAsia="宋体" w:cs="宋体"/>
          <w:sz w:val="24"/>
          <w:szCs w:val="24"/>
        </w:rPr>
        <w:t>养殖业污染防治技术政策》（环发</w:t>
      </w:r>
      <w:r>
        <w:rPr>
          <w:rFonts w:ascii="Times New Roman" w:hAnsi="Times New Roman" w:eastAsia="Times New Roman" w:cs="Times New Roman"/>
          <w:sz w:val="24"/>
          <w:szCs w:val="24"/>
        </w:rPr>
        <w:t>[</w:t>
      </w:r>
      <w:r>
        <w:fldChar w:fldCharType="begin"/>
      </w:r>
      <w:r>
        <w:instrText xml:space="preserve"> HYPERLINK \l "bookmark175" </w:instrText>
      </w:r>
      <w:r>
        <w:fldChar w:fldCharType="separate"/>
      </w:r>
      <w:r>
        <w:rPr>
          <w:rFonts w:ascii="Times New Roman" w:hAnsi="Times New Roman" w:eastAsia="Times New Roman" w:cs="Times New Roman"/>
          <w:sz w:val="24"/>
          <w:szCs w:val="24"/>
        </w:rPr>
        <w:t>2010</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151</w:t>
      </w:r>
      <w:r>
        <w:rPr>
          <w:rFonts w:ascii="宋体" w:hAnsi="宋体" w:eastAsia="宋体" w:cs="宋体"/>
          <w:sz w:val="24"/>
          <w:szCs w:val="24"/>
        </w:rPr>
        <w:t>号</w:t>
      </w:r>
      <w:r>
        <w:rPr>
          <w:rFonts w:ascii="宋体" w:hAnsi="宋体" w:eastAsia="宋体" w:cs="宋体"/>
          <w:spacing w:val="7"/>
          <w:sz w:val="24"/>
          <w:szCs w:val="24"/>
        </w:rPr>
        <w:t>），</w:t>
      </w:r>
      <w:r>
        <w:rPr>
          <w:rFonts w:ascii="宋体" w:hAnsi="宋体" w:eastAsia="宋体" w:cs="宋体"/>
          <w:sz w:val="24"/>
          <w:szCs w:val="24"/>
        </w:rPr>
        <w:t>固体废物的处置措施妥当，</w:t>
      </w:r>
      <w:r>
        <w:rPr>
          <w:rFonts w:ascii="宋体" w:hAnsi="宋体" w:eastAsia="宋体" w:cs="宋体"/>
          <w:spacing w:val="-3"/>
          <w:sz w:val="24"/>
          <w:szCs w:val="24"/>
        </w:rPr>
        <w:t>去向明确，不会对环境造成二次污染。</w:t>
      </w:r>
    </w:p>
    <w:p w14:paraId="58C2C53A">
      <w:pPr>
        <w:spacing w:before="8"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）废包装材料</w:t>
      </w:r>
    </w:p>
    <w:p w14:paraId="1DE4288C">
      <w:pPr>
        <w:spacing w:before="183" w:line="360" w:lineRule="auto"/>
        <w:ind w:left="39" w:right="86" w:firstLine="483"/>
        <w:rPr>
          <w:rFonts w:ascii="宋体" w:hAnsi="宋体" w:eastAsia="宋体" w:cs="宋体"/>
          <w:sz w:val="24"/>
          <w:szCs w:val="24"/>
        </w:rPr>
      </w:pPr>
      <w:r>
        <w:rPr>
          <w:rFonts w:ascii="宋体" w:hAnsi="宋体" w:eastAsia="宋体" w:cs="宋体"/>
          <w:spacing w:val="-3"/>
          <w:sz w:val="24"/>
          <w:szCs w:val="24"/>
        </w:rPr>
        <w:t>项目废包装材料收集后定期外售物资回收站，不会对周</w:t>
      </w:r>
      <w:r>
        <w:rPr>
          <w:rFonts w:ascii="宋体" w:hAnsi="宋体" w:eastAsia="宋体" w:cs="宋体"/>
          <w:spacing w:val="-4"/>
          <w:sz w:val="24"/>
          <w:szCs w:val="24"/>
        </w:rPr>
        <w:t>围环境产生明显不利</w:t>
      </w:r>
      <w:r>
        <w:rPr>
          <w:rFonts w:ascii="宋体" w:hAnsi="宋体" w:eastAsia="宋体" w:cs="宋体"/>
          <w:spacing w:val="-10"/>
          <w:sz w:val="24"/>
          <w:szCs w:val="24"/>
        </w:rPr>
        <w:t>影响。</w:t>
      </w:r>
    </w:p>
    <w:p w14:paraId="542F213D">
      <w:pPr>
        <w:spacing w:before="1" w:line="218"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5</w:t>
      </w:r>
      <w:r>
        <w:rPr>
          <w:rFonts w:ascii="宋体" w:hAnsi="宋体" w:eastAsia="宋体" w:cs="宋体"/>
          <w:b/>
          <w:bCs/>
          <w:spacing w:val="-6"/>
          <w:sz w:val="24"/>
          <w:szCs w:val="24"/>
        </w:rPr>
        <w:t>）废脱硫剂</w:t>
      </w:r>
    </w:p>
    <w:p w14:paraId="7D0F5D7B">
      <w:pPr>
        <w:spacing w:before="184" w:line="360" w:lineRule="auto"/>
        <w:ind w:left="42" w:firstLine="478"/>
        <w:jc w:val="both"/>
        <w:rPr>
          <w:rFonts w:ascii="宋体" w:hAnsi="宋体" w:eastAsia="宋体" w:cs="宋体"/>
          <w:sz w:val="24"/>
          <w:szCs w:val="24"/>
        </w:rPr>
      </w:pPr>
      <w:r>
        <w:rPr>
          <w:rFonts w:ascii="宋体" w:hAnsi="宋体" w:eastAsia="宋体" w:cs="宋体"/>
          <w:spacing w:val="-1"/>
          <w:sz w:val="24"/>
          <w:szCs w:val="24"/>
        </w:rPr>
        <w:t>本项目沼气工程采用低压脱硫和内循环均匀布气，沼气与脱硫剂可以缓慢、</w:t>
      </w:r>
      <w:r>
        <w:rPr>
          <w:rFonts w:ascii="宋体" w:hAnsi="宋体" w:eastAsia="宋体" w:cs="宋体"/>
          <w:spacing w:val="-3"/>
          <w:sz w:val="24"/>
          <w:szCs w:val="24"/>
        </w:rPr>
        <w:t>充分接触，脱硫效果好，本项目废脱硫剂属于一般固体废物，定期交脱硫剂</w:t>
      </w:r>
      <w:r>
        <w:rPr>
          <w:rFonts w:ascii="宋体" w:hAnsi="宋体" w:eastAsia="宋体" w:cs="宋体"/>
          <w:spacing w:val="-4"/>
          <w:sz w:val="24"/>
          <w:szCs w:val="24"/>
        </w:rPr>
        <w:t>厂家</w:t>
      </w:r>
      <w:r>
        <w:rPr>
          <w:rFonts w:ascii="宋体" w:hAnsi="宋体" w:eastAsia="宋体" w:cs="宋体"/>
          <w:spacing w:val="-7"/>
          <w:sz w:val="24"/>
          <w:szCs w:val="24"/>
        </w:rPr>
        <w:t>回收再利用。</w:t>
      </w:r>
    </w:p>
    <w:p w14:paraId="34FBF97A">
      <w:pPr>
        <w:spacing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6</w:t>
      </w:r>
      <w:r>
        <w:rPr>
          <w:rFonts w:ascii="宋体" w:hAnsi="宋体" w:eastAsia="宋体" w:cs="宋体"/>
          <w:b/>
          <w:bCs/>
          <w:spacing w:val="-5"/>
          <w:sz w:val="24"/>
          <w:szCs w:val="24"/>
        </w:rPr>
        <w:t>）生活垃圾</w:t>
      </w:r>
    </w:p>
    <w:p w14:paraId="058B5C5B">
      <w:pPr>
        <w:spacing w:before="183" w:line="361" w:lineRule="auto"/>
        <w:ind w:left="38" w:right="86" w:firstLine="482"/>
        <w:jc w:val="both"/>
        <w:rPr>
          <w:rFonts w:ascii="宋体" w:hAnsi="宋体" w:eastAsia="宋体" w:cs="宋体"/>
          <w:sz w:val="24"/>
          <w:szCs w:val="24"/>
        </w:rPr>
      </w:pPr>
      <w:r>
        <w:rPr>
          <w:rFonts w:ascii="宋体" w:hAnsi="宋体" w:eastAsia="宋体" w:cs="宋体"/>
          <w:spacing w:val="-7"/>
          <w:sz w:val="24"/>
          <w:szCs w:val="24"/>
        </w:rPr>
        <w:t>生活垃圾如不及时清理，会腐烂发臭变质，引起细菌、蚊蝇的大量繁殖， 导</w:t>
      </w:r>
      <w:r>
        <w:rPr>
          <w:rFonts w:ascii="宋体" w:hAnsi="宋体" w:eastAsia="宋体" w:cs="宋体"/>
          <w:spacing w:val="-3"/>
          <w:sz w:val="24"/>
          <w:szCs w:val="24"/>
        </w:rPr>
        <w:t>致当地传染病易于传播和发病率的上升，污染陆域环境，传播疾病，危害人体健</w:t>
      </w:r>
      <w:r>
        <w:rPr>
          <w:rFonts w:ascii="宋体" w:hAnsi="宋体" w:eastAsia="宋体" w:cs="宋体"/>
          <w:spacing w:val="-6"/>
          <w:sz w:val="24"/>
          <w:szCs w:val="24"/>
        </w:rPr>
        <w:t>康，影响区域景观。如就地掩埋， 还有可能会污染地下水，</w:t>
      </w:r>
      <w:r>
        <w:rPr>
          <w:rFonts w:ascii="宋体" w:hAnsi="宋体" w:eastAsia="宋体" w:cs="宋体"/>
          <w:spacing w:val="-7"/>
          <w:sz w:val="24"/>
          <w:szCs w:val="24"/>
        </w:rPr>
        <w:t>一旦被雨水冲出还会</w:t>
      </w:r>
    </w:p>
    <w:p w14:paraId="0741A163">
      <w:pPr>
        <w:spacing w:line="361" w:lineRule="auto"/>
        <w:rPr>
          <w:rFonts w:ascii="宋体" w:hAnsi="宋体" w:eastAsia="宋体" w:cs="宋体"/>
          <w:sz w:val="24"/>
          <w:szCs w:val="24"/>
        </w:rPr>
        <w:sectPr>
          <w:headerReference r:id="rId389" w:type="default"/>
          <w:footerReference r:id="rId390" w:type="default"/>
          <w:pgSz w:w="11905" w:h="16840"/>
          <w:pgMar w:top="1168" w:right="1711" w:bottom="1409" w:left="1770" w:header="828" w:footer="1244" w:gutter="0"/>
          <w:cols w:space="720" w:num="1"/>
        </w:sectPr>
      </w:pPr>
    </w:p>
    <w:p w14:paraId="6640A0D2">
      <w:pPr>
        <w:pStyle w:val="2"/>
        <w:spacing w:line="306" w:lineRule="auto"/>
      </w:pPr>
    </w:p>
    <w:p w14:paraId="4B9D11C1">
      <w:pPr>
        <w:spacing w:before="78" w:line="360" w:lineRule="auto"/>
        <w:ind w:left="37" w:right="86"/>
        <w:jc w:val="both"/>
        <w:rPr>
          <w:rFonts w:ascii="宋体" w:hAnsi="宋体" w:eastAsia="宋体" w:cs="宋体"/>
          <w:sz w:val="24"/>
          <w:szCs w:val="24"/>
        </w:rPr>
      </w:pPr>
      <w:r>
        <w:rPr>
          <w:rFonts w:ascii="宋体" w:hAnsi="宋体" w:eastAsia="宋体" w:cs="宋体"/>
          <w:spacing w:val="-6"/>
          <w:sz w:val="24"/>
          <w:szCs w:val="24"/>
        </w:rPr>
        <w:t>造成二次污染。因此， 生活垃圾必须妥善处理，避免对环境</w:t>
      </w:r>
      <w:r>
        <w:rPr>
          <w:rFonts w:ascii="宋体" w:hAnsi="宋体" w:eastAsia="宋体" w:cs="宋体"/>
          <w:spacing w:val="-7"/>
          <w:sz w:val="24"/>
          <w:szCs w:val="24"/>
        </w:rPr>
        <w:t>造成污染。本项目设</w:t>
      </w:r>
      <w:r>
        <w:rPr>
          <w:rFonts w:ascii="宋体" w:hAnsi="宋体" w:eastAsia="宋体" w:cs="宋体"/>
          <w:spacing w:val="-3"/>
          <w:sz w:val="24"/>
          <w:szCs w:val="24"/>
        </w:rPr>
        <w:t>置垃圾桶收集生活垃圾，生活垃圾定期转运至喻家沟村垃圾转运点，由当地环卫部门统一清运处置，对周围环境影响较小。</w:t>
      </w:r>
    </w:p>
    <w:p w14:paraId="534C063F">
      <w:pPr>
        <w:spacing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7</w:t>
      </w:r>
      <w:r>
        <w:rPr>
          <w:rFonts w:ascii="宋体" w:hAnsi="宋体" w:eastAsia="宋体" w:cs="宋体"/>
          <w:b/>
          <w:bCs/>
          <w:spacing w:val="-5"/>
          <w:sz w:val="24"/>
          <w:szCs w:val="24"/>
        </w:rPr>
        <w:t>）诊疗废弃物</w:t>
      </w:r>
    </w:p>
    <w:p w14:paraId="561DBE2D">
      <w:pPr>
        <w:spacing w:before="182" w:line="360" w:lineRule="auto"/>
        <w:ind w:left="39" w:right="1" w:firstLine="480"/>
        <w:jc w:val="both"/>
        <w:rPr>
          <w:rFonts w:ascii="宋体" w:hAnsi="宋体" w:eastAsia="宋体" w:cs="宋体"/>
          <w:sz w:val="24"/>
          <w:szCs w:val="24"/>
        </w:rPr>
      </w:pPr>
      <w:r>
        <w:rPr>
          <w:rFonts w:ascii="宋体" w:hAnsi="宋体" w:eastAsia="宋体" w:cs="宋体"/>
          <w:spacing w:val="-8"/>
          <w:sz w:val="24"/>
          <w:szCs w:val="24"/>
        </w:rPr>
        <w:t>本项目由于防疫需要，会产生诊疗废弃物，动物诊疗废弃物不属于医疗废物、</w:t>
      </w:r>
      <w:r>
        <w:rPr>
          <w:rFonts w:ascii="宋体" w:hAnsi="宋体" w:eastAsia="宋体" w:cs="宋体"/>
          <w:spacing w:val="-6"/>
          <w:sz w:val="24"/>
          <w:szCs w:val="24"/>
        </w:rPr>
        <w:t>不属于危险废物，应根据《中华人民共和国动物防疫法》相关法规要求，</w:t>
      </w:r>
      <w:r>
        <w:rPr>
          <w:rFonts w:ascii="宋体" w:hAnsi="宋体" w:eastAsia="宋体" w:cs="宋体"/>
          <w:spacing w:val="-16"/>
          <w:sz w:val="24"/>
          <w:szCs w:val="24"/>
        </w:rPr>
        <w:t xml:space="preserve"> </w:t>
      </w:r>
      <w:r>
        <w:rPr>
          <w:rFonts w:ascii="宋体" w:hAnsi="宋体" w:eastAsia="宋体" w:cs="宋体"/>
          <w:spacing w:val="-6"/>
          <w:sz w:val="24"/>
          <w:szCs w:val="24"/>
        </w:rPr>
        <w:t>并按当</w:t>
      </w:r>
      <w:r>
        <w:rPr>
          <w:rFonts w:ascii="宋体" w:hAnsi="宋体" w:eastAsia="宋体" w:cs="宋体"/>
          <w:spacing w:val="-2"/>
          <w:sz w:val="24"/>
          <w:szCs w:val="24"/>
        </w:rPr>
        <w:t>地按畜牧兽医主管部门规定收集处置，做好无害化处置工作。</w:t>
      </w:r>
    </w:p>
    <w:p w14:paraId="11FD883E">
      <w:pPr>
        <w:spacing w:line="219" w:lineRule="auto"/>
        <w:ind w:left="528"/>
        <w:rPr>
          <w:rFonts w:ascii="宋体" w:hAnsi="宋体" w:eastAsia="宋体" w:cs="宋体"/>
          <w:sz w:val="24"/>
          <w:szCs w:val="24"/>
        </w:rPr>
      </w:pPr>
      <w:r>
        <w:rPr>
          <w:rFonts w:ascii="宋体" w:hAnsi="宋体" w:eastAsia="宋体" w:cs="宋体"/>
          <w:b/>
          <w:bCs/>
          <w:spacing w:val="-7"/>
          <w:sz w:val="24"/>
          <w:szCs w:val="24"/>
        </w:rPr>
        <w:t>（</w:t>
      </w:r>
      <w:r>
        <w:rPr>
          <w:rFonts w:ascii="Times New Roman" w:hAnsi="Times New Roman" w:eastAsia="Times New Roman" w:cs="Times New Roman"/>
          <w:b/>
          <w:bCs/>
          <w:spacing w:val="-7"/>
          <w:sz w:val="24"/>
          <w:szCs w:val="24"/>
        </w:rPr>
        <w:t>8</w:t>
      </w:r>
      <w:r>
        <w:rPr>
          <w:rFonts w:ascii="宋体" w:hAnsi="宋体" w:eastAsia="宋体" w:cs="宋体"/>
          <w:b/>
          <w:bCs/>
          <w:spacing w:val="-7"/>
          <w:sz w:val="24"/>
          <w:szCs w:val="24"/>
        </w:rPr>
        <w:t>）废矿物油</w:t>
      </w:r>
    </w:p>
    <w:p w14:paraId="34B17C73">
      <w:pPr>
        <w:spacing w:before="182" w:line="360" w:lineRule="auto"/>
        <w:ind w:left="39" w:right="86" w:firstLine="480"/>
        <w:jc w:val="both"/>
        <w:rPr>
          <w:rFonts w:ascii="宋体" w:hAnsi="宋体" w:eastAsia="宋体" w:cs="宋体"/>
          <w:sz w:val="24"/>
          <w:szCs w:val="24"/>
        </w:rPr>
      </w:pPr>
      <w:r>
        <w:rPr>
          <w:rFonts w:ascii="宋体" w:hAnsi="宋体" w:eastAsia="宋体" w:cs="宋体"/>
          <w:spacing w:val="-7"/>
          <w:sz w:val="24"/>
          <w:szCs w:val="24"/>
        </w:rPr>
        <w:t>本项目养殖区、粪污处理区广泛使用机械设备， 机械设备保养维护过程，会</w:t>
      </w:r>
      <w:r>
        <w:rPr>
          <w:rFonts w:ascii="宋体" w:hAnsi="宋体" w:eastAsia="宋体" w:cs="宋体"/>
          <w:spacing w:val="-9"/>
          <w:sz w:val="24"/>
          <w:szCs w:val="24"/>
        </w:rPr>
        <w:t>产生废矿物油及沾染废矿物油的手套等，此类废物属于《国家危险废物名录（</w:t>
      </w:r>
      <w:r>
        <w:rPr>
          <w:rFonts w:ascii="Times New Roman" w:hAnsi="Times New Roman" w:eastAsia="Times New Roman" w:cs="Times New Roman"/>
          <w:spacing w:val="-10"/>
          <w:sz w:val="24"/>
          <w:szCs w:val="24"/>
        </w:rPr>
        <w:t>2021</w:t>
      </w:r>
      <w:r>
        <w:rPr>
          <w:rFonts w:ascii="宋体" w:hAnsi="宋体" w:eastAsia="宋体" w:cs="宋体"/>
          <w:spacing w:val="-2"/>
          <w:sz w:val="24"/>
          <w:szCs w:val="24"/>
        </w:rPr>
        <w:t>版）》中“</w:t>
      </w:r>
      <w:r>
        <w:rPr>
          <w:rFonts w:ascii="Times New Roman" w:hAnsi="Times New Roman" w:eastAsia="Times New Roman" w:cs="Times New Roman"/>
          <w:spacing w:val="-2"/>
          <w:sz w:val="24"/>
          <w:szCs w:val="24"/>
        </w:rPr>
        <w:t>HW08</w:t>
      </w:r>
      <w:r>
        <w:rPr>
          <w:rFonts w:ascii="宋体" w:hAnsi="宋体" w:eastAsia="宋体" w:cs="宋体"/>
          <w:spacing w:val="-2"/>
          <w:sz w:val="24"/>
          <w:szCs w:val="24"/>
        </w:rPr>
        <w:t>废矿物油与含矿物油废物</w:t>
      </w:r>
      <w:r>
        <w:rPr>
          <w:rFonts w:ascii="Times New Roman" w:hAnsi="Times New Roman" w:eastAsia="Times New Roman" w:cs="Times New Roman"/>
          <w:spacing w:val="-2"/>
          <w:sz w:val="24"/>
          <w:szCs w:val="24"/>
        </w:rPr>
        <w:t>/</w:t>
      </w:r>
      <w:r>
        <w:rPr>
          <w:rFonts w:ascii="宋体" w:hAnsi="宋体" w:eastAsia="宋体" w:cs="宋体"/>
          <w:spacing w:val="-2"/>
          <w:sz w:val="24"/>
          <w:szCs w:val="24"/>
        </w:rPr>
        <w:t>非特定行业</w:t>
      </w:r>
      <w:r>
        <w:rPr>
          <w:rFonts w:ascii="Times New Roman" w:hAnsi="Times New Roman" w:eastAsia="Times New Roman" w:cs="Times New Roman"/>
          <w:spacing w:val="-2"/>
          <w:sz w:val="24"/>
          <w:szCs w:val="24"/>
        </w:rPr>
        <w:t>/900-249-08</w:t>
      </w:r>
      <w:r>
        <w:rPr>
          <w:rFonts w:ascii="宋体" w:hAnsi="宋体" w:eastAsia="宋体" w:cs="宋体"/>
          <w:spacing w:val="-2"/>
          <w:sz w:val="24"/>
          <w:szCs w:val="24"/>
        </w:rPr>
        <w:t>其他生产、销</w:t>
      </w:r>
      <w:r>
        <w:rPr>
          <w:rFonts w:ascii="宋体" w:hAnsi="宋体" w:eastAsia="宋体" w:cs="宋体"/>
          <w:spacing w:val="-5"/>
          <w:sz w:val="24"/>
          <w:szCs w:val="24"/>
        </w:rPr>
        <w:t>售、使用过程中产生的废矿物油及沾染矿物油的废弃包装物”，</w:t>
      </w:r>
      <w:r>
        <w:rPr>
          <w:rFonts w:ascii="宋体" w:hAnsi="宋体" w:eastAsia="宋体" w:cs="宋体"/>
          <w:spacing w:val="-49"/>
          <w:sz w:val="24"/>
          <w:szCs w:val="24"/>
        </w:rPr>
        <w:t xml:space="preserve"> </w:t>
      </w:r>
      <w:r>
        <w:rPr>
          <w:rFonts w:ascii="宋体" w:hAnsi="宋体" w:eastAsia="宋体" w:cs="宋体"/>
          <w:spacing w:val="-5"/>
          <w:sz w:val="24"/>
          <w:szCs w:val="24"/>
        </w:rPr>
        <w:t>废矿物油桶装封</w:t>
      </w:r>
      <w:r>
        <w:rPr>
          <w:rFonts w:ascii="宋体" w:hAnsi="宋体" w:eastAsia="宋体" w:cs="宋体"/>
          <w:spacing w:val="2"/>
          <w:sz w:val="24"/>
          <w:szCs w:val="24"/>
        </w:rPr>
        <w:t>盖收集后暂存于危废暂存间（设置于无害化处理间内，面积</w:t>
      </w:r>
      <w:r>
        <w:rPr>
          <w:rFonts w:ascii="Times New Roman" w:hAnsi="Times New Roman" w:eastAsia="Times New Roman" w:cs="Times New Roman"/>
          <w:spacing w:val="2"/>
          <w:sz w:val="24"/>
          <w:szCs w:val="24"/>
        </w:rPr>
        <w:t>15m</w:t>
      </w:r>
      <w:r>
        <w:rPr>
          <w:rFonts w:ascii="Times New Roman" w:hAnsi="Times New Roman" w:eastAsia="Times New Roman" w:cs="Times New Roman"/>
          <w:spacing w:val="2"/>
          <w:position w:val="10"/>
          <w:sz w:val="15"/>
          <w:szCs w:val="15"/>
        </w:rPr>
        <w:t xml:space="preserve">2 </w:t>
      </w:r>
      <w:r>
        <w:rPr>
          <w:rFonts w:ascii="宋体" w:hAnsi="宋体" w:eastAsia="宋体" w:cs="宋体"/>
          <w:spacing w:val="-5"/>
          <w:sz w:val="24"/>
          <w:szCs w:val="24"/>
        </w:rPr>
        <w:t>），</w:t>
      </w:r>
      <w:r>
        <w:rPr>
          <w:rFonts w:ascii="宋体" w:hAnsi="宋体" w:eastAsia="宋体" w:cs="宋体"/>
          <w:spacing w:val="2"/>
          <w:sz w:val="24"/>
          <w:szCs w:val="24"/>
        </w:rPr>
        <w:t>交由有资</w:t>
      </w:r>
      <w:r>
        <w:rPr>
          <w:rFonts w:ascii="宋体" w:hAnsi="宋体" w:eastAsia="宋体" w:cs="宋体"/>
          <w:spacing w:val="-6"/>
          <w:sz w:val="24"/>
          <w:szCs w:val="24"/>
        </w:rPr>
        <w:t>质单位统一处置。因此， 本项目产生的废矿物油可以得到妥善</w:t>
      </w:r>
      <w:r>
        <w:rPr>
          <w:rFonts w:ascii="宋体" w:hAnsi="宋体" w:eastAsia="宋体" w:cs="宋体"/>
          <w:spacing w:val="-7"/>
          <w:sz w:val="24"/>
          <w:szCs w:val="24"/>
        </w:rPr>
        <w:t>处置，不会对环境</w:t>
      </w:r>
      <w:r>
        <w:rPr>
          <w:rFonts w:ascii="宋体" w:hAnsi="宋体" w:eastAsia="宋体" w:cs="宋体"/>
          <w:spacing w:val="-6"/>
          <w:sz w:val="24"/>
          <w:szCs w:val="24"/>
        </w:rPr>
        <w:t>带来不利影响。</w:t>
      </w:r>
    </w:p>
    <w:p w14:paraId="4F667BAF">
      <w:pPr>
        <w:spacing w:before="3" w:line="359" w:lineRule="auto"/>
        <w:ind w:left="42" w:right="96" w:firstLine="477"/>
        <w:rPr>
          <w:rFonts w:ascii="宋体" w:hAnsi="宋体" w:eastAsia="宋体" w:cs="宋体"/>
          <w:sz w:val="24"/>
          <w:szCs w:val="24"/>
        </w:rPr>
      </w:pPr>
      <w:r>
        <w:rPr>
          <w:rFonts w:ascii="宋体" w:hAnsi="宋体" w:eastAsia="宋体" w:cs="宋体"/>
          <w:spacing w:val="2"/>
          <w:sz w:val="24"/>
          <w:szCs w:val="24"/>
        </w:rPr>
        <w:t>根据《危险废物贮存污染控制标准》（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18597-2001</w:t>
      </w:r>
      <w:r>
        <w:rPr>
          <w:rFonts w:ascii="宋体" w:hAnsi="宋体" w:eastAsia="宋体" w:cs="宋体"/>
          <w:spacing w:val="2"/>
          <w:sz w:val="24"/>
          <w:szCs w:val="24"/>
        </w:rPr>
        <w:t>），危险废物具有长</w:t>
      </w:r>
      <w:r>
        <w:rPr>
          <w:rFonts w:ascii="宋体" w:hAnsi="宋体" w:eastAsia="宋体" w:cs="宋体"/>
          <w:spacing w:val="-2"/>
          <w:sz w:val="24"/>
          <w:szCs w:val="24"/>
        </w:rPr>
        <w:t>期性、隐蔽性和潜在性，必须加强管理力度，其暂存</w:t>
      </w:r>
      <w:r>
        <w:rPr>
          <w:rFonts w:ascii="宋体" w:hAnsi="宋体" w:eastAsia="宋体" w:cs="宋体"/>
          <w:spacing w:val="-3"/>
          <w:sz w:val="24"/>
          <w:szCs w:val="24"/>
        </w:rPr>
        <w:t>管理要求如下：</w:t>
      </w:r>
    </w:p>
    <w:p w14:paraId="004ACE5F">
      <w:pPr>
        <w:spacing w:line="217" w:lineRule="auto"/>
        <w:ind w:left="518"/>
        <w:rPr>
          <w:rFonts w:ascii="宋体" w:hAnsi="宋体" w:eastAsia="宋体" w:cs="宋体"/>
          <w:sz w:val="24"/>
          <w:szCs w:val="24"/>
        </w:rPr>
      </w:pPr>
      <w:r>
        <w:rPr>
          <w:rFonts w:ascii="宋体" w:hAnsi="宋体" w:eastAsia="宋体" w:cs="宋体"/>
          <w:spacing w:val="-3"/>
          <w:sz w:val="24"/>
          <w:szCs w:val="24"/>
        </w:rPr>
        <w:t>①首先对危险废物的产生源及固废产生量进行申报登记；</w:t>
      </w:r>
    </w:p>
    <w:p w14:paraId="5437069E">
      <w:pPr>
        <w:spacing w:before="186" w:line="217" w:lineRule="auto"/>
        <w:ind w:left="517"/>
        <w:rPr>
          <w:rFonts w:ascii="宋体" w:hAnsi="宋体" w:eastAsia="宋体" w:cs="宋体"/>
          <w:sz w:val="24"/>
          <w:szCs w:val="24"/>
        </w:rPr>
      </w:pPr>
      <w:r>
        <w:rPr>
          <w:rFonts w:ascii="宋体" w:hAnsi="宋体" w:eastAsia="宋体" w:cs="宋体"/>
          <w:spacing w:val="-2"/>
          <w:sz w:val="24"/>
          <w:szCs w:val="24"/>
        </w:rPr>
        <w:t>②危险废物应建立专人专管的交接台账制度，并明确危废转运处置去向；</w:t>
      </w:r>
    </w:p>
    <w:p w14:paraId="09BC55AB">
      <w:pPr>
        <w:spacing w:before="186" w:line="360" w:lineRule="auto"/>
        <w:ind w:left="41" w:right="86" w:firstLine="476"/>
        <w:rPr>
          <w:rFonts w:ascii="宋体" w:hAnsi="宋体" w:eastAsia="宋体" w:cs="宋体"/>
          <w:sz w:val="24"/>
          <w:szCs w:val="24"/>
        </w:rPr>
      </w:pPr>
      <w:r>
        <w:rPr>
          <w:rFonts w:ascii="宋体" w:hAnsi="宋体" w:eastAsia="宋体" w:cs="宋体"/>
          <w:spacing w:val="-6"/>
          <w:sz w:val="24"/>
          <w:szCs w:val="24"/>
        </w:rPr>
        <w:t>③对危险废物的转移运输要实行《危险废物转移联单管理办法》，</w:t>
      </w:r>
      <w:r>
        <w:rPr>
          <w:rFonts w:ascii="宋体" w:hAnsi="宋体" w:eastAsia="宋体" w:cs="宋体"/>
          <w:spacing w:val="-25"/>
          <w:sz w:val="24"/>
          <w:szCs w:val="24"/>
        </w:rPr>
        <w:t xml:space="preserve"> </w:t>
      </w:r>
      <w:r>
        <w:rPr>
          <w:rFonts w:ascii="宋体" w:hAnsi="宋体" w:eastAsia="宋体" w:cs="宋体"/>
          <w:spacing w:val="-6"/>
          <w:sz w:val="24"/>
          <w:szCs w:val="24"/>
        </w:rPr>
        <w:t>实行五联</w:t>
      </w:r>
      <w:r>
        <w:rPr>
          <w:rFonts w:ascii="宋体" w:hAnsi="宋体" w:eastAsia="宋体" w:cs="宋体"/>
          <w:spacing w:val="-2"/>
          <w:sz w:val="24"/>
          <w:szCs w:val="24"/>
        </w:rPr>
        <w:t>单制度，运输单位、接受单位及当地生态环境部门进行跟踪联单。</w:t>
      </w:r>
    </w:p>
    <w:p w14:paraId="1D9B669A">
      <w:pPr>
        <w:spacing w:before="2" w:line="361" w:lineRule="auto"/>
        <w:ind w:left="40" w:firstLine="481"/>
        <w:jc w:val="both"/>
        <w:rPr>
          <w:rFonts w:ascii="宋体" w:hAnsi="宋体" w:eastAsia="宋体" w:cs="宋体"/>
          <w:sz w:val="24"/>
          <w:szCs w:val="24"/>
        </w:rPr>
      </w:pPr>
      <w:r>
        <w:rPr>
          <w:rFonts w:ascii="宋体" w:hAnsi="宋体" w:eastAsia="宋体" w:cs="宋体"/>
          <w:spacing w:val="-1"/>
          <w:sz w:val="24"/>
          <w:szCs w:val="24"/>
        </w:rPr>
        <w:t>危废暂存间应严格按照《危险废物储存污染控制标准》要求设计防渗措施。</w:t>
      </w:r>
      <w:r>
        <w:rPr>
          <w:rFonts w:ascii="宋体" w:hAnsi="宋体" w:eastAsia="宋体" w:cs="宋体"/>
          <w:spacing w:val="-3"/>
          <w:sz w:val="24"/>
          <w:szCs w:val="24"/>
        </w:rPr>
        <w:t>危废全部暂存于危废暂存间内，做到防风、防雨、防晒、防渗漏。危废暂存</w:t>
      </w:r>
      <w:r>
        <w:rPr>
          <w:rFonts w:ascii="宋体" w:hAnsi="宋体" w:eastAsia="宋体" w:cs="宋体"/>
          <w:spacing w:val="-4"/>
          <w:sz w:val="24"/>
          <w:szCs w:val="24"/>
        </w:rPr>
        <w:t>间地</w:t>
      </w:r>
      <w:r>
        <w:rPr>
          <w:rFonts w:ascii="宋体" w:hAnsi="宋体" w:eastAsia="宋体" w:cs="宋体"/>
          <w:spacing w:val="-1"/>
          <w:sz w:val="24"/>
          <w:szCs w:val="24"/>
        </w:rPr>
        <w:t>面基础必须防渗，防渗层采用防渗混泥土</w:t>
      </w:r>
      <w:r>
        <w:rPr>
          <w:rFonts w:ascii="Times New Roman" w:hAnsi="Times New Roman" w:eastAsia="Times New Roman" w:cs="Times New Roman"/>
          <w:spacing w:val="-1"/>
          <w:sz w:val="24"/>
          <w:szCs w:val="24"/>
        </w:rPr>
        <w:t>+2mm</w:t>
      </w:r>
      <w:r>
        <w:rPr>
          <w:rFonts w:ascii="宋体" w:hAnsi="宋体" w:eastAsia="宋体" w:cs="宋体"/>
          <w:spacing w:val="-1"/>
          <w:sz w:val="24"/>
          <w:szCs w:val="24"/>
        </w:rPr>
        <w:t>厚高密度聚乙烯或至少</w:t>
      </w:r>
      <w:r>
        <w:rPr>
          <w:rFonts w:ascii="Times New Roman" w:hAnsi="Times New Roman" w:eastAsia="Times New Roman" w:cs="Times New Roman"/>
          <w:spacing w:val="-1"/>
          <w:sz w:val="24"/>
          <w:szCs w:val="24"/>
        </w:rPr>
        <w:t>2mm</w:t>
      </w:r>
      <w:r>
        <w:rPr>
          <w:rFonts w:ascii="宋体" w:hAnsi="宋体" w:eastAsia="宋体" w:cs="宋体"/>
          <w:spacing w:val="-1"/>
          <w:sz w:val="24"/>
          <w:szCs w:val="24"/>
        </w:rPr>
        <w:t>厚的</w:t>
      </w:r>
      <w:r>
        <w:rPr>
          <w:rFonts w:ascii="宋体" w:hAnsi="宋体" w:eastAsia="宋体" w:cs="宋体"/>
          <w:sz w:val="24"/>
          <w:szCs w:val="24"/>
        </w:rPr>
        <w:t>其它人工材料进行防渗，渗透系数</w:t>
      </w:r>
      <w:r>
        <w:rPr>
          <w:rFonts w:ascii="Times New Roman" w:hAnsi="Times New Roman" w:eastAsia="Times New Roman" w:cs="Times New Roman"/>
          <w:sz w:val="24"/>
          <w:szCs w:val="24"/>
        </w:rPr>
        <w:t>≤10</w:t>
      </w:r>
      <w:r>
        <w:rPr>
          <w:rFonts w:ascii="Times New Roman" w:hAnsi="Times New Roman" w:eastAsia="Times New Roman" w:cs="Times New Roman"/>
          <w:position w:val="10"/>
          <w:sz w:val="15"/>
          <w:szCs w:val="15"/>
        </w:rPr>
        <w:t>-10</w:t>
      </w:r>
      <w:r>
        <w:rPr>
          <w:rFonts w:ascii="Times New Roman" w:hAnsi="Times New Roman" w:eastAsia="Times New Roman" w:cs="Times New Roman"/>
          <w:sz w:val="24"/>
          <w:szCs w:val="24"/>
        </w:rPr>
        <w:t>cm/s</w:t>
      </w:r>
      <w:r>
        <w:rPr>
          <w:rFonts w:ascii="宋体" w:hAnsi="宋体" w:eastAsia="宋体" w:cs="宋体"/>
          <w:sz w:val="24"/>
          <w:szCs w:val="24"/>
        </w:rPr>
        <w:t>。</w:t>
      </w:r>
    </w:p>
    <w:p w14:paraId="6FDD62C8">
      <w:pPr>
        <w:spacing w:before="49" w:line="225" w:lineRule="auto"/>
        <w:ind w:left="36"/>
        <w:rPr>
          <w:rFonts w:ascii="宋体" w:hAnsi="宋体" w:eastAsia="宋体" w:cs="宋体"/>
          <w:sz w:val="27"/>
          <w:szCs w:val="27"/>
        </w:rPr>
      </w:pPr>
      <w:r>
        <w:rPr>
          <w:rFonts w:ascii="Times New Roman" w:hAnsi="Times New Roman" w:eastAsia="Times New Roman" w:cs="Times New Roman"/>
          <w:b/>
          <w:bCs/>
          <w:spacing w:val="3"/>
          <w:sz w:val="27"/>
          <w:szCs w:val="27"/>
        </w:rPr>
        <w:t>4.2.5.3</w:t>
      </w:r>
      <w:r>
        <w:rPr>
          <w:rFonts w:ascii="Times New Roman" w:hAnsi="Times New Roman" w:eastAsia="Times New Roman" w:cs="Times New Roman"/>
          <w:b/>
          <w:bCs/>
          <w:spacing w:val="51"/>
          <w:w w:val="101"/>
          <w:sz w:val="27"/>
          <w:szCs w:val="27"/>
        </w:rPr>
        <w:t xml:space="preserve"> </w:t>
      </w:r>
      <w:r>
        <w:rPr>
          <w:rFonts w:ascii="宋体" w:hAnsi="宋体" w:eastAsia="宋体" w:cs="宋体"/>
          <w:b/>
          <w:bCs/>
          <w:spacing w:val="3"/>
          <w:sz w:val="27"/>
          <w:szCs w:val="27"/>
        </w:rPr>
        <w:t>固废环境影响评价小结</w:t>
      </w:r>
    </w:p>
    <w:p w14:paraId="2A47C3D7">
      <w:pPr>
        <w:spacing w:before="239" w:line="361" w:lineRule="auto"/>
        <w:ind w:left="44" w:right="86" w:firstLine="478"/>
        <w:jc w:val="both"/>
        <w:rPr>
          <w:rFonts w:ascii="宋体" w:hAnsi="宋体" w:eastAsia="宋体" w:cs="宋体"/>
          <w:sz w:val="24"/>
          <w:szCs w:val="24"/>
        </w:rPr>
      </w:pPr>
      <w:r>
        <w:rPr>
          <w:rFonts w:ascii="宋体" w:hAnsi="宋体" w:eastAsia="宋体" w:cs="宋体"/>
          <w:spacing w:val="-3"/>
          <w:sz w:val="24"/>
          <w:szCs w:val="24"/>
        </w:rPr>
        <w:t>综上所述，项目拟采取的各项固体废物处置措施可行，从</w:t>
      </w:r>
      <w:r>
        <w:rPr>
          <w:rFonts w:ascii="宋体" w:hAnsi="宋体" w:eastAsia="宋体" w:cs="宋体"/>
          <w:spacing w:val="-4"/>
          <w:sz w:val="24"/>
          <w:szCs w:val="24"/>
        </w:rPr>
        <w:t>一定程度上体现了</w:t>
      </w:r>
      <w:r>
        <w:rPr>
          <w:rFonts w:ascii="宋体" w:hAnsi="宋体" w:eastAsia="宋体" w:cs="宋体"/>
          <w:spacing w:val="-3"/>
          <w:sz w:val="24"/>
          <w:szCs w:val="24"/>
        </w:rPr>
        <w:t>固体废物无害化和资源化利用的原则，只要在生产运营中将各项处理措</w:t>
      </w:r>
      <w:r>
        <w:rPr>
          <w:rFonts w:ascii="宋体" w:hAnsi="宋体" w:eastAsia="宋体" w:cs="宋体"/>
          <w:spacing w:val="-4"/>
          <w:sz w:val="24"/>
          <w:szCs w:val="24"/>
        </w:rPr>
        <w:t>施落到实</w:t>
      </w:r>
      <w:r>
        <w:rPr>
          <w:rFonts w:ascii="宋体" w:hAnsi="宋体" w:eastAsia="宋体" w:cs="宋体"/>
          <w:spacing w:val="-3"/>
          <w:sz w:val="24"/>
          <w:szCs w:val="24"/>
        </w:rPr>
        <w:t>处，可有效防止固体废物的逸散和对环境的二次污染，不会对周围环境</w:t>
      </w:r>
      <w:r>
        <w:rPr>
          <w:rFonts w:ascii="宋体" w:hAnsi="宋体" w:eastAsia="宋体" w:cs="宋体"/>
          <w:spacing w:val="-4"/>
          <w:sz w:val="24"/>
          <w:szCs w:val="24"/>
        </w:rPr>
        <w:t>造成明显</w:t>
      </w:r>
    </w:p>
    <w:p w14:paraId="1309EBF5">
      <w:pPr>
        <w:spacing w:line="361" w:lineRule="auto"/>
        <w:rPr>
          <w:rFonts w:ascii="宋体" w:hAnsi="宋体" w:eastAsia="宋体" w:cs="宋体"/>
          <w:sz w:val="24"/>
          <w:szCs w:val="24"/>
        </w:rPr>
        <w:sectPr>
          <w:headerReference r:id="rId391" w:type="default"/>
          <w:footerReference r:id="rId392" w:type="default"/>
          <w:pgSz w:w="11905" w:h="16840"/>
          <w:pgMar w:top="1168" w:right="1711" w:bottom="1409" w:left="1770" w:header="828" w:footer="1244" w:gutter="0"/>
          <w:cols w:space="720" w:num="1"/>
        </w:sectPr>
      </w:pPr>
    </w:p>
    <w:p w14:paraId="3A533018">
      <w:pPr>
        <w:pStyle w:val="2"/>
        <w:spacing w:line="305" w:lineRule="auto"/>
      </w:pPr>
    </w:p>
    <w:p w14:paraId="73D6E47B">
      <w:pPr>
        <w:spacing w:before="78" w:line="222" w:lineRule="auto"/>
        <w:ind w:left="43"/>
        <w:rPr>
          <w:rFonts w:ascii="宋体" w:hAnsi="宋体" w:eastAsia="宋体" w:cs="宋体"/>
          <w:sz w:val="24"/>
          <w:szCs w:val="24"/>
        </w:rPr>
      </w:pPr>
      <w:r>
        <w:rPr>
          <w:rFonts w:ascii="宋体" w:hAnsi="宋体" w:eastAsia="宋体" w:cs="宋体"/>
          <w:spacing w:val="-8"/>
          <w:sz w:val="24"/>
          <w:szCs w:val="24"/>
        </w:rPr>
        <w:t>不利影响。</w:t>
      </w:r>
    </w:p>
    <w:p w14:paraId="371FD941">
      <w:pPr>
        <w:pStyle w:val="2"/>
        <w:spacing w:line="248" w:lineRule="auto"/>
      </w:pPr>
    </w:p>
    <w:p w14:paraId="20EF2996">
      <w:pPr>
        <w:spacing w:before="98"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4.2.6  </w:t>
      </w:r>
      <w:r>
        <w:rPr>
          <w:rFonts w:ascii="宋体" w:hAnsi="宋体" w:eastAsia="宋体" w:cs="宋体"/>
          <w:b/>
          <w:bCs/>
          <w:spacing w:val="-2"/>
          <w:sz w:val="30"/>
          <w:szCs w:val="30"/>
        </w:rPr>
        <w:t>土壤环境影响评价</w:t>
      </w:r>
    </w:p>
    <w:p w14:paraId="6973C188">
      <w:pPr>
        <w:pStyle w:val="2"/>
        <w:spacing w:line="260" w:lineRule="auto"/>
      </w:pPr>
    </w:p>
    <w:p w14:paraId="7BE5D844">
      <w:pPr>
        <w:spacing w:before="78" w:line="362" w:lineRule="auto"/>
        <w:ind w:left="40" w:right="36" w:firstLine="479"/>
        <w:jc w:val="both"/>
        <w:rPr>
          <w:rFonts w:ascii="宋体" w:hAnsi="宋体" w:eastAsia="宋体" w:cs="宋体"/>
          <w:sz w:val="24"/>
          <w:szCs w:val="24"/>
        </w:rPr>
      </w:pPr>
      <w:r>
        <w:rPr>
          <w:rFonts w:ascii="宋体" w:hAnsi="宋体" w:eastAsia="宋体" w:cs="宋体"/>
          <w:spacing w:val="-1"/>
          <w:sz w:val="24"/>
          <w:szCs w:val="24"/>
        </w:rPr>
        <w:t>根据前文土壤环境影响评价工作等级判定，土壤环境评价工作等级</w:t>
      </w:r>
      <w:r>
        <w:rPr>
          <w:rFonts w:ascii="宋体" w:hAnsi="宋体" w:eastAsia="宋体" w:cs="宋体"/>
          <w:spacing w:val="-2"/>
          <w:sz w:val="24"/>
          <w:szCs w:val="24"/>
        </w:rPr>
        <w:t>为二级，</w:t>
      </w:r>
      <w:r>
        <w:rPr>
          <w:rFonts w:ascii="宋体" w:hAnsi="宋体" w:eastAsia="宋体" w:cs="宋体"/>
          <w:spacing w:val="-3"/>
          <w:sz w:val="24"/>
          <w:szCs w:val="24"/>
        </w:rPr>
        <w:t>土壤环境影响评价主要内容为项目场地废水、固废对周边土壤污染的环境影响分</w:t>
      </w:r>
      <w:r>
        <w:rPr>
          <w:rFonts w:ascii="宋体" w:hAnsi="宋体" w:eastAsia="宋体" w:cs="宋体"/>
          <w:spacing w:val="-12"/>
          <w:sz w:val="24"/>
          <w:szCs w:val="24"/>
        </w:rPr>
        <w:t>析。</w:t>
      </w:r>
    </w:p>
    <w:p w14:paraId="1290FF00">
      <w:pPr>
        <w:spacing w:before="50" w:line="225"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4.2.6.1</w:t>
      </w:r>
      <w:r>
        <w:rPr>
          <w:rFonts w:ascii="Times New Roman" w:hAnsi="Times New Roman" w:eastAsia="Times New Roman" w:cs="Times New Roman"/>
          <w:b/>
          <w:bCs/>
          <w:spacing w:val="46"/>
          <w:sz w:val="27"/>
          <w:szCs w:val="27"/>
        </w:rPr>
        <w:t xml:space="preserve"> </w:t>
      </w:r>
      <w:r>
        <w:rPr>
          <w:rFonts w:ascii="宋体" w:hAnsi="宋体" w:eastAsia="宋体" w:cs="宋体"/>
          <w:b/>
          <w:bCs/>
          <w:spacing w:val="4"/>
          <w:sz w:val="27"/>
          <w:szCs w:val="27"/>
        </w:rPr>
        <w:t>区域土壤环境现状调查与评价</w:t>
      </w:r>
    </w:p>
    <w:p w14:paraId="26B92EA2">
      <w:pPr>
        <w:spacing w:before="237"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）土壤类型</w:t>
      </w:r>
    </w:p>
    <w:p w14:paraId="1AF3BB96">
      <w:pPr>
        <w:spacing w:before="183" w:line="360" w:lineRule="auto"/>
        <w:ind w:left="40" w:right="102" w:firstLine="479"/>
        <w:rPr>
          <w:rFonts w:ascii="宋体" w:hAnsi="宋体" w:eastAsia="宋体" w:cs="宋体"/>
          <w:sz w:val="24"/>
          <w:szCs w:val="24"/>
        </w:rPr>
      </w:pPr>
      <w:r>
        <w:rPr>
          <w:rFonts w:ascii="宋体" w:hAnsi="宋体" w:eastAsia="宋体" w:cs="宋体"/>
          <w:sz w:val="24"/>
          <w:szCs w:val="24"/>
        </w:rPr>
        <w:t>根据国家土壤信息服务平台—中国</w:t>
      </w:r>
      <w:r>
        <w:rPr>
          <w:rFonts w:ascii="Times New Roman" w:hAnsi="Times New Roman" w:eastAsia="Times New Roman" w:cs="Times New Roman"/>
          <w:sz w:val="24"/>
          <w:szCs w:val="24"/>
        </w:rPr>
        <w:t>1</w:t>
      </w:r>
      <w:r>
        <w:rPr>
          <w:rFonts w:ascii="宋体" w:hAnsi="宋体" w:eastAsia="宋体" w:cs="宋体"/>
          <w:sz w:val="24"/>
          <w:szCs w:val="24"/>
        </w:rPr>
        <w:t>公里发生分类土壤图，查询项目所在地</w:t>
      </w:r>
      <w:r>
        <w:rPr>
          <w:rFonts w:ascii="宋体" w:hAnsi="宋体" w:eastAsia="宋体" w:cs="宋体"/>
          <w:spacing w:val="-3"/>
          <w:sz w:val="24"/>
          <w:szCs w:val="24"/>
        </w:rPr>
        <w:t>土壤类型分布，根据查询结果，本项目评价范围内土壤类型有：渗育水稻土</w:t>
      </w:r>
      <w:r>
        <w:rPr>
          <w:rFonts w:ascii="宋体" w:hAnsi="宋体" w:eastAsia="宋体" w:cs="宋体"/>
          <w:spacing w:val="-4"/>
          <w:sz w:val="24"/>
          <w:szCs w:val="24"/>
        </w:rPr>
        <w:t>、石</w:t>
      </w:r>
      <w:r>
        <w:rPr>
          <w:rFonts w:ascii="宋体" w:hAnsi="宋体" w:eastAsia="宋体" w:cs="宋体"/>
          <w:spacing w:val="-5"/>
          <w:sz w:val="24"/>
          <w:szCs w:val="24"/>
        </w:rPr>
        <w:t>灰性紫色土两类。</w:t>
      </w:r>
    </w:p>
    <w:p w14:paraId="2C049DEA">
      <w:pPr>
        <w:spacing w:before="1"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）土壤环境质量现状监测</w:t>
      </w:r>
    </w:p>
    <w:p w14:paraId="3877C035">
      <w:pPr>
        <w:spacing w:before="182" w:line="360" w:lineRule="auto"/>
        <w:ind w:left="40" w:firstLine="479"/>
        <w:rPr>
          <w:rFonts w:ascii="宋体" w:hAnsi="宋体" w:eastAsia="宋体" w:cs="宋体"/>
          <w:sz w:val="24"/>
          <w:szCs w:val="24"/>
        </w:rPr>
      </w:pPr>
      <w:r>
        <w:rPr>
          <w:rFonts w:ascii="宋体" w:hAnsi="宋体" w:eastAsia="宋体" w:cs="宋体"/>
          <w:spacing w:val="-3"/>
          <w:sz w:val="24"/>
          <w:szCs w:val="24"/>
        </w:rPr>
        <w:t>根据本次评价开展的评价范围土壤现状监测结果可知，土壤监测</w:t>
      </w:r>
      <w:r>
        <w:rPr>
          <w:rFonts w:ascii="宋体" w:hAnsi="宋体" w:eastAsia="宋体" w:cs="宋体"/>
          <w:spacing w:val="-4"/>
          <w:sz w:val="24"/>
          <w:szCs w:val="24"/>
        </w:rPr>
        <w:t>点的监测指</w:t>
      </w:r>
      <w:r>
        <w:rPr>
          <w:rFonts w:ascii="宋体" w:hAnsi="宋体" w:eastAsia="宋体" w:cs="宋体"/>
          <w:spacing w:val="2"/>
          <w:sz w:val="24"/>
          <w:szCs w:val="24"/>
        </w:rPr>
        <w:t>标全部满足《土壤环境质量 农用地土壤污染风险管控标准</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15618-2018</w:t>
      </w:r>
      <w:r>
        <w:rPr>
          <w:rFonts w:ascii="宋体" w:hAnsi="宋体" w:eastAsia="宋体" w:cs="宋体"/>
          <w:spacing w:val="1"/>
          <w:sz w:val="24"/>
          <w:szCs w:val="24"/>
        </w:rPr>
        <w:t>）</w:t>
      </w:r>
      <w:r>
        <w:rPr>
          <w:rFonts w:ascii="宋体" w:hAnsi="宋体" w:eastAsia="宋体" w:cs="宋体"/>
          <w:spacing w:val="-3"/>
          <w:sz w:val="24"/>
          <w:szCs w:val="24"/>
        </w:rPr>
        <w:t>中表</w:t>
      </w:r>
      <w:r>
        <w:rPr>
          <w:rFonts w:ascii="Times New Roman" w:hAnsi="Times New Roman" w:eastAsia="Times New Roman" w:cs="Times New Roman"/>
          <w:spacing w:val="-3"/>
          <w:sz w:val="24"/>
          <w:szCs w:val="24"/>
        </w:rPr>
        <w:t>1</w:t>
      </w:r>
      <w:r>
        <w:rPr>
          <w:rFonts w:ascii="宋体" w:hAnsi="宋体" w:eastAsia="宋体" w:cs="宋体"/>
          <w:spacing w:val="-3"/>
          <w:sz w:val="24"/>
          <w:szCs w:val="24"/>
        </w:rPr>
        <w:t>其他类的风险筛选值标准以及表</w:t>
      </w:r>
      <w:r>
        <w:rPr>
          <w:rFonts w:ascii="Times New Roman" w:hAnsi="Times New Roman" w:eastAsia="Times New Roman" w:cs="Times New Roman"/>
          <w:spacing w:val="-3"/>
          <w:sz w:val="24"/>
          <w:szCs w:val="24"/>
        </w:rPr>
        <w:t>2</w:t>
      </w:r>
      <w:r>
        <w:rPr>
          <w:rFonts w:ascii="宋体" w:hAnsi="宋体" w:eastAsia="宋体" w:cs="宋体"/>
          <w:spacing w:val="-3"/>
          <w:sz w:val="24"/>
          <w:szCs w:val="24"/>
        </w:rPr>
        <w:t>中风险筛选值标准，表明本项目所在地的</w:t>
      </w:r>
      <w:r>
        <w:rPr>
          <w:rFonts w:ascii="宋体" w:hAnsi="宋体" w:eastAsia="宋体" w:cs="宋体"/>
          <w:spacing w:val="-2"/>
          <w:sz w:val="24"/>
          <w:szCs w:val="24"/>
        </w:rPr>
        <w:t>土壤环境质量均较好，不存在潜在的土壤环境风险问题。</w:t>
      </w:r>
    </w:p>
    <w:p w14:paraId="61ABB331">
      <w:pPr>
        <w:spacing w:before="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）土壤环境影响污染源调查</w:t>
      </w:r>
    </w:p>
    <w:p w14:paraId="02C1AD0C">
      <w:pPr>
        <w:spacing w:before="178" w:line="361" w:lineRule="auto"/>
        <w:ind w:left="39" w:right="104" w:firstLine="480"/>
        <w:rPr>
          <w:rFonts w:ascii="宋体" w:hAnsi="宋体" w:eastAsia="宋体" w:cs="宋体"/>
          <w:sz w:val="24"/>
          <w:szCs w:val="24"/>
        </w:rPr>
      </w:pPr>
      <w:r>
        <w:rPr>
          <w:rFonts w:ascii="宋体" w:hAnsi="宋体" w:eastAsia="宋体" w:cs="宋体"/>
          <w:spacing w:val="-3"/>
          <w:sz w:val="24"/>
          <w:szCs w:val="24"/>
        </w:rPr>
        <w:t>本次对土壤环境影响评价范围内的区域潜在土壤环境污染源进</w:t>
      </w:r>
      <w:r>
        <w:rPr>
          <w:rFonts w:ascii="宋体" w:hAnsi="宋体" w:eastAsia="宋体" w:cs="宋体"/>
          <w:spacing w:val="-4"/>
          <w:sz w:val="24"/>
          <w:szCs w:val="24"/>
        </w:rPr>
        <w:t>行调查，调查</w:t>
      </w:r>
      <w:r>
        <w:rPr>
          <w:rFonts w:ascii="宋体" w:hAnsi="宋体" w:eastAsia="宋体" w:cs="宋体"/>
          <w:spacing w:val="-3"/>
          <w:sz w:val="24"/>
          <w:szCs w:val="24"/>
        </w:rPr>
        <w:t>主要采取现场踏勘及收集资料的方式，评价范围内仅有部分农业用地会产生农业面源污染，不存在其他工业污染源，其可能存在的潜在土壤污染源主要为农田施肥过程中，使用的肥料过量，超出作物生长所需，多余肥料累积容易造成土壤污</w:t>
      </w:r>
      <w:r>
        <w:rPr>
          <w:rFonts w:ascii="宋体" w:hAnsi="宋体" w:eastAsia="宋体" w:cs="宋体"/>
          <w:spacing w:val="-6"/>
          <w:sz w:val="24"/>
          <w:szCs w:val="24"/>
        </w:rPr>
        <w:t>染。主要表现为促进土壤腐殖质的矿化， 分散土壤胶体，改变</w:t>
      </w:r>
      <w:r>
        <w:rPr>
          <w:rFonts w:ascii="宋体" w:hAnsi="宋体" w:eastAsia="宋体" w:cs="宋体"/>
          <w:spacing w:val="-7"/>
          <w:sz w:val="24"/>
          <w:szCs w:val="24"/>
        </w:rPr>
        <w:t>土壤的物理性质和</w:t>
      </w:r>
      <w:r>
        <w:rPr>
          <w:rFonts w:ascii="宋体" w:hAnsi="宋体" w:eastAsia="宋体" w:cs="宋体"/>
          <w:spacing w:val="-3"/>
          <w:sz w:val="24"/>
          <w:szCs w:val="24"/>
        </w:rPr>
        <w:t>化学性质，降低土壤微生物的生物量和活性，造成土壤板结；还可使土壤中某些元素活性改变，变成植物难以吸收的形态。</w:t>
      </w:r>
    </w:p>
    <w:p w14:paraId="7F344E2E">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4.2.6.2 </w:t>
      </w:r>
      <w:r>
        <w:rPr>
          <w:rFonts w:ascii="宋体" w:hAnsi="宋体" w:eastAsia="宋体" w:cs="宋体"/>
          <w:b/>
          <w:bCs/>
          <w:spacing w:val="5"/>
          <w:sz w:val="27"/>
          <w:szCs w:val="27"/>
        </w:rPr>
        <w:t>土壤敏感点调查</w:t>
      </w:r>
    </w:p>
    <w:p w14:paraId="0307E58F">
      <w:pPr>
        <w:spacing w:before="237" w:line="218" w:lineRule="auto"/>
        <w:ind w:left="523"/>
        <w:rPr>
          <w:rFonts w:ascii="宋体" w:hAnsi="宋体" w:eastAsia="宋体" w:cs="宋体"/>
          <w:sz w:val="24"/>
          <w:szCs w:val="24"/>
        </w:rPr>
      </w:pPr>
      <w:r>
        <w:rPr>
          <w:rFonts w:ascii="宋体" w:hAnsi="宋体" w:eastAsia="宋体" w:cs="宋体"/>
          <w:spacing w:val="-2"/>
          <w:sz w:val="24"/>
          <w:szCs w:val="24"/>
        </w:rPr>
        <w:t>项目评价范围内，存在主要土壤敏感点为项目周围的耕地和林地。</w:t>
      </w:r>
    </w:p>
    <w:p w14:paraId="7F4FE063">
      <w:pPr>
        <w:spacing w:before="24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4.2.6.3 </w:t>
      </w:r>
      <w:r>
        <w:rPr>
          <w:rFonts w:ascii="宋体" w:hAnsi="宋体" w:eastAsia="宋体" w:cs="宋体"/>
          <w:b/>
          <w:bCs/>
          <w:spacing w:val="5"/>
          <w:sz w:val="27"/>
          <w:szCs w:val="27"/>
        </w:rPr>
        <w:t>土壤影响途径分析</w:t>
      </w:r>
    </w:p>
    <w:p w14:paraId="6D7BDD22">
      <w:pPr>
        <w:spacing w:before="235" w:line="321" w:lineRule="auto"/>
        <w:ind w:left="43" w:right="104" w:firstLine="477"/>
        <w:rPr>
          <w:rFonts w:ascii="宋体" w:hAnsi="宋体" w:eastAsia="宋体" w:cs="宋体"/>
          <w:sz w:val="24"/>
          <w:szCs w:val="24"/>
        </w:rPr>
      </w:pPr>
      <w:r>
        <w:rPr>
          <w:rFonts w:ascii="宋体" w:hAnsi="宋体" w:eastAsia="宋体" w:cs="宋体"/>
          <w:spacing w:val="-3"/>
          <w:sz w:val="24"/>
          <w:szCs w:val="24"/>
        </w:rPr>
        <w:t>本项目运营期对周边土壤的影响：一是养殖过程中产生的废水</w:t>
      </w:r>
      <w:r>
        <w:rPr>
          <w:rFonts w:ascii="宋体" w:hAnsi="宋体" w:eastAsia="宋体" w:cs="宋体"/>
          <w:spacing w:val="-4"/>
          <w:sz w:val="24"/>
          <w:szCs w:val="24"/>
        </w:rPr>
        <w:t>、猪粪等发生</w:t>
      </w:r>
      <w:r>
        <w:rPr>
          <w:rFonts w:ascii="宋体" w:hAnsi="宋体" w:eastAsia="宋体" w:cs="宋体"/>
          <w:spacing w:val="-3"/>
          <w:sz w:val="24"/>
          <w:szCs w:val="24"/>
        </w:rPr>
        <w:t>泄漏，通过地表漫流进入周边土壤；二是粪污处理区的收集池、堆粪棚等</w:t>
      </w:r>
      <w:r>
        <w:rPr>
          <w:rFonts w:ascii="宋体" w:hAnsi="宋体" w:eastAsia="宋体" w:cs="宋体"/>
          <w:spacing w:val="-4"/>
          <w:sz w:val="24"/>
          <w:szCs w:val="24"/>
        </w:rPr>
        <w:t>地面未</w:t>
      </w:r>
    </w:p>
    <w:p w14:paraId="75EC0D10">
      <w:pPr>
        <w:spacing w:line="321" w:lineRule="auto"/>
        <w:rPr>
          <w:rFonts w:ascii="宋体" w:hAnsi="宋体" w:eastAsia="宋体" w:cs="宋体"/>
          <w:sz w:val="24"/>
          <w:szCs w:val="24"/>
        </w:rPr>
        <w:sectPr>
          <w:headerReference r:id="rId393" w:type="default"/>
          <w:footerReference r:id="rId394" w:type="default"/>
          <w:pgSz w:w="11905" w:h="16840"/>
          <w:pgMar w:top="1168" w:right="1693" w:bottom="1409" w:left="1770" w:header="828" w:footer="1244" w:gutter="0"/>
          <w:cols w:space="720" w:num="1"/>
        </w:sectPr>
      </w:pPr>
    </w:p>
    <w:p w14:paraId="4DF16B47">
      <w:pPr>
        <w:pStyle w:val="2"/>
        <w:spacing w:line="305" w:lineRule="auto"/>
      </w:pPr>
    </w:p>
    <w:p w14:paraId="0EE48451">
      <w:pPr>
        <w:spacing w:before="78" w:line="220" w:lineRule="auto"/>
        <w:ind w:left="39"/>
        <w:rPr>
          <w:rFonts w:ascii="宋体" w:hAnsi="宋体" w:eastAsia="宋体" w:cs="宋体"/>
          <w:sz w:val="24"/>
          <w:szCs w:val="24"/>
        </w:rPr>
      </w:pPr>
      <w:r>
        <w:rPr>
          <w:rFonts w:ascii="宋体" w:hAnsi="宋体" w:eastAsia="宋体" w:cs="宋体"/>
          <w:spacing w:val="-2"/>
          <w:sz w:val="24"/>
          <w:szCs w:val="24"/>
        </w:rPr>
        <w:t>做防渗，造成废水渗漏进入场地以及周边土</w:t>
      </w:r>
      <w:r>
        <w:rPr>
          <w:rFonts w:ascii="宋体" w:hAnsi="宋体" w:eastAsia="宋体" w:cs="宋体"/>
          <w:spacing w:val="-3"/>
          <w:sz w:val="24"/>
          <w:szCs w:val="24"/>
        </w:rPr>
        <w:t>壤。</w:t>
      </w:r>
    </w:p>
    <w:p w14:paraId="3B2E6132">
      <w:pPr>
        <w:spacing w:before="182" w:line="220" w:lineRule="auto"/>
        <w:ind w:left="523"/>
        <w:rPr>
          <w:rFonts w:ascii="宋体" w:hAnsi="宋体" w:eastAsia="宋体" w:cs="宋体"/>
          <w:sz w:val="24"/>
          <w:szCs w:val="24"/>
        </w:rPr>
      </w:pPr>
      <w:r>
        <w:rPr>
          <w:rFonts w:ascii="宋体" w:hAnsi="宋体" w:eastAsia="宋体" w:cs="宋体"/>
          <w:spacing w:val="-4"/>
          <w:sz w:val="24"/>
          <w:szCs w:val="24"/>
        </w:rPr>
        <w:t>项目土壤环境影响类型、影响途径识别如下：</w:t>
      </w:r>
    </w:p>
    <w:p w14:paraId="1479291C">
      <w:pPr>
        <w:spacing w:before="196" w:line="221" w:lineRule="auto"/>
        <w:ind w:left="184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38"/>
          <w:sz w:val="21"/>
          <w:szCs w:val="21"/>
        </w:rPr>
        <w:t xml:space="preserve"> </w:t>
      </w:r>
      <w:r>
        <w:rPr>
          <w:rFonts w:ascii="Times New Roman" w:hAnsi="Times New Roman" w:eastAsia="Times New Roman" w:cs="Times New Roman"/>
          <w:spacing w:val="-1"/>
          <w:sz w:val="21"/>
          <w:szCs w:val="21"/>
        </w:rPr>
        <w:t xml:space="preserve">4.2-39  </w:t>
      </w:r>
      <w:r>
        <w:rPr>
          <w:rFonts w:ascii="黑体" w:hAnsi="黑体" w:eastAsia="黑体" w:cs="黑体"/>
          <w:spacing w:val="-1"/>
          <w:sz w:val="21"/>
          <w:szCs w:val="21"/>
        </w:rPr>
        <w:t>建设项目土壤环境影响类型与影响途径表</w:t>
      </w:r>
    </w:p>
    <w:p w14:paraId="6F34ECA3">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8"/>
        <w:gridCol w:w="1661"/>
        <w:gridCol w:w="1662"/>
        <w:gridCol w:w="1662"/>
        <w:gridCol w:w="1667"/>
      </w:tblGrid>
      <w:tr w14:paraId="026B4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68" w:type="dxa"/>
            <w:vMerge w:val="restart"/>
            <w:tcBorders>
              <w:bottom w:val="nil"/>
            </w:tcBorders>
            <w:vAlign w:val="top"/>
          </w:tcPr>
          <w:p w14:paraId="3484DF1B">
            <w:pPr>
              <w:spacing w:before="244" w:line="221" w:lineRule="auto"/>
              <w:ind w:left="422"/>
              <w:rPr>
                <w:rFonts w:ascii="宋体" w:hAnsi="宋体" w:eastAsia="宋体" w:cs="宋体"/>
                <w:sz w:val="21"/>
                <w:szCs w:val="21"/>
              </w:rPr>
            </w:pPr>
            <w:r>
              <w:rPr>
                <w:rFonts w:ascii="宋体" w:hAnsi="宋体" w:eastAsia="宋体" w:cs="宋体"/>
                <w:spacing w:val="-3"/>
                <w:sz w:val="21"/>
                <w:szCs w:val="21"/>
              </w:rPr>
              <w:t>不同时段</w:t>
            </w:r>
          </w:p>
        </w:tc>
        <w:tc>
          <w:tcPr>
            <w:tcW w:w="6652" w:type="dxa"/>
            <w:gridSpan w:val="4"/>
            <w:vAlign w:val="top"/>
          </w:tcPr>
          <w:p w14:paraId="5DF547DE">
            <w:pPr>
              <w:spacing w:before="69" w:line="220" w:lineRule="auto"/>
              <w:ind w:left="2806"/>
              <w:rPr>
                <w:rFonts w:ascii="宋体" w:hAnsi="宋体" w:eastAsia="宋体" w:cs="宋体"/>
                <w:sz w:val="21"/>
                <w:szCs w:val="21"/>
              </w:rPr>
            </w:pPr>
            <w:r>
              <w:rPr>
                <w:rFonts w:ascii="宋体" w:hAnsi="宋体" w:eastAsia="宋体" w:cs="宋体"/>
                <w:spacing w:val="-2"/>
                <w:sz w:val="21"/>
                <w:szCs w:val="21"/>
              </w:rPr>
              <w:t>污染影响型</w:t>
            </w:r>
          </w:p>
        </w:tc>
      </w:tr>
      <w:tr w14:paraId="4EE2E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668" w:type="dxa"/>
            <w:vMerge w:val="continue"/>
            <w:tcBorders>
              <w:top w:val="nil"/>
            </w:tcBorders>
            <w:vAlign w:val="top"/>
          </w:tcPr>
          <w:p w14:paraId="3293888E">
            <w:pPr>
              <w:rPr>
                <w:rFonts w:ascii="Arial"/>
                <w:sz w:val="21"/>
              </w:rPr>
            </w:pPr>
          </w:p>
        </w:tc>
        <w:tc>
          <w:tcPr>
            <w:tcW w:w="1661" w:type="dxa"/>
            <w:vAlign w:val="top"/>
          </w:tcPr>
          <w:p w14:paraId="1604C6F1">
            <w:pPr>
              <w:spacing w:before="64" w:line="220" w:lineRule="auto"/>
              <w:ind w:left="417"/>
              <w:rPr>
                <w:rFonts w:ascii="宋体" w:hAnsi="宋体" w:eastAsia="宋体" w:cs="宋体"/>
                <w:sz w:val="21"/>
                <w:szCs w:val="21"/>
              </w:rPr>
            </w:pPr>
            <w:r>
              <w:rPr>
                <w:rFonts w:ascii="宋体" w:hAnsi="宋体" w:eastAsia="宋体" w:cs="宋体"/>
                <w:spacing w:val="-3"/>
                <w:sz w:val="21"/>
                <w:szCs w:val="21"/>
              </w:rPr>
              <w:t>大气沉降</w:t>
            </w:r>
          </w:p>
        </w:tc>
        <w:tc>
          <w:tcPr>
            <w:tcW w:w="1662" w:type="dxa"/>
            <w:vAlign w:val="top"/>
          </w:tcPr>
          <w:p w14:paraId="0F56FA56">
            <w:pPr>
              <w:spacing w:before="65" w:line="220" w:lineRule="auto"/>
              <w:ind w:left="416"/>
              <w:rPr>
                <w:rFonts w:ascii="宋体" w:hAnsi="宋体" w:eastAsia="宋体" w:cs="宋体"/>
                <w:sz w:val="21"/>
                <w:szCs w:val="21"/>
              </w:rPr>
            </w:pPr>
            <w:r>
              <w:rPr>
                <w:rFonts w:ascii="宋体" w:hAnsi="宋体" w:eastAsia="宋体" w:cs="宋体"/>
                <w:spacing w:val="-2"/>
                <w:sz w:val="21"/>
                <w:szCs w:val="21"/>
              </w:rPr>
              <w:t>地面漫流</w:t>
            </w:r>
          </w:p>
        </w:tc>
        <w:tc>
          <w:tcPr>
            <w:tcW w:w="1662" w:type="dxa"/>
            <w:vAlign w:val="top"/>
          </w:tcPr>
          <w:p w14:paraId="7CE9FDAB">
            <w:pPr>
              <w:spacing w:before="65" w:line="220" w:lineRule="auto"/>
              <w:ind w:left="417"/>
              <w:rPr>
                <w:rFonts w:ascii="宋体" w:hAnsi="宋体" w:eastAsia="宋体" w:cs="宋体"/>
                <w:sz w:val="21"/>
                <w:szCs w:val="21"/>
              </w:rPr>
            </w:pPr>
            <w:r>
              <w:rPr>
                <w:rFonts w:ascii="宋体" w:hAnsi="宋体" w:eastAsia="宋体" w:cs="宋体"/>
                <w:spacing w:val="-2"/>
                <w:sz w:val="21"/>
                <w:szCs w:val="21"/>
              </w:rPr>
              <w:t>垂直入渗</w:t>
            </w:r>
          </w:p>
        </w:tc>
        <w:tc>
          <w:tcPr>
            <w:tcW w:w="1667" w:type="dxa"/>
            <w:vAlign w:val="top"/>
          </w:tcPr>
          <w:p w14:paraId="4C04F2E1">
            <w:pPr>
              <w:spacing w:before="65" w:line="220" w:lineRule="auto"/>
              <w:ind w:left="629"/>
              <w:rPr>
                <w:rFonts w:ascii="宋体" w:hAnsi="宋体" w:eastAsia="宋体" w:cs="宋体"/>
                <w:sz w:val="21"/>
                <w:szCs w:val="21"/>
              </w:rPr>
            </w:pPr>
            <w:r>
              <w:rPr>
                <w:rFonts w:ascii="宋体" w:hAnsi="宋体" w:eastAsia="宋体" w:cs="宋体"/>
                <w:spacing w:val="-3"/>
                <w:sz w:val="21"/>
                <w:szCs w:val="21"/>
              </w:rPr>
              <w:t>其他</w:t>
            </w:r>
          </w:p>
        </w:tc>
      </w:tr>
      <w:tr w14:paraId="57505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668" w:type="dxa"/>
            <w:vAlign w:val="top"/>
          </w:tcPr>
          <w:p w14:paraId="585590DA">
            <w:pPr>
              <w:spacing w:before="66" w:line="220" w:lineRule="auto"/>
              <w:ind w:left="526"/>
              <w:rPr>
                <w:rFonts w:ascii="宋体" w:hAnsi="宋体" w:eastAsia="宋体" w:cs="宋体"/>
                <w:sz w:val="21"/>
                <w:szCs w:val="21"/>
              </w:rPr>
            </w:pPr>
            <w:r>
              <w:rPr>
                <w:rFonts w:ascii="宋体" w:hAnsi="宋体" w:eastAsia="宋体" w:cs="宋体"/>
                <w:spacing w:val="-3"/>
                <w:sz w:val="21"/>
                <w:szCs w:val="21"/>
              </w:rPr>
              <w:t>建设期</w:t>
            </w:r>
          </w:p>
        </w:tc>
        <w:tc>
          <w:tcPr>
            <w:tcW w:w="1661" w:type="dxa"/>
            <w:vAlign w:val="top"/>
          </w:tcPr>
          <w:p w14:paraId="6C1D4C62">
            <w:pPr>
              <w:pStyle w:val="6"/>
              <w:spacing w:before="99" w:line="192" w:lineRule="auto"/>
              <w:ind w:left="798"/>
            </w:pPr>
            <w:r>
              <w:t>/</w:t>
            </w:r>
          </w:p>
        </w:tc>
        <w:tc>
          <w:tcPr>
            <w:tcW w:w="1662" w:type="dxa"/>
            <w:vAlign w:val="top"/>
          </w:tcPr>
          <w:p w14:paraId="420B48EE">
            <w:pPr>
              <w:pStyle w:val="6"/>
              <w:spacing w:before="99" w:line="192" w:lineRule="auto"/>
              <w:ind w:left="800"/>
            </w:pPr>
            <w:r>
              <w:t>/</w:t>
            </w:r>
          </w:p>
        </w:tc>
        <w:tc>
          <w:tcPr>
            <w:tcW w:w="1662" w:type="dxa"/>
            <w:vAlign w:val="top"/>
          </w:tcPr>
          <w:p w14:paraId="2F3DBFA1">
            <w:pPr>
              <w:pStyle w:val="6"/>
              <w:spacing w:before="99" w:line="192" w:lineRule="auto"/>
              <w:ind w:left="800"/>
            </w:pPr>
            <w:r>
              <w:t>/</w:t>
            </w:r>
          </w:p>
        </w:tc>
        <w:tc>
          <w:tcPr>
            <w:tcW w:w="1667" w:type="dxa"/>
            <w:vAlign w:val="top"/>
          </w:tcPr>
          <w:p w14:paraId="7057DE95">
            <w:pPr>
              <w:pStyle w:val="6"/>
              <w:spacing w:before="99" w:line="192" w:lineRule="auto"/>
              <w:ind w:left="801"/>
            </w:pPr>
            <w:r>
              <w:t>/</w:t>
            </w:r>
          </w:p>
        </w:tc>
      </w:tr>
      <w:tr w14:paraId="17936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68" w:type="dxa"/>
            <w:vAlign w:val="top"/>
          </w:tcPr>
          <w:p w14:paraId="0DF87AA4">
            <w:pPr>
              <w:spacing w:before="68" w:line="220" w:lineRule="auto"/>
              <w:ind w:left="523"/>
              <w:rPr>
                <w:rFonts w:ascii="宋体" w:hAnsi="宋体" w:eastAsia="宋体" w:cs="宋体"/>
                <w:sz w:val="21"/>
                <w:szCs w:val="21"/>
              </w:rPr>
            </w:pPr>
            <w:r>
              <w:rPr>
                <w:rFonts w:ascii="宋体" w:hAnsi="宋体" w:eastAsia="宋体" w:cs="宋体"/>
                <w:spacing w:val="-2"/>
                <w:sz w:val="21"/>
                <w:szCs w:val="21"/>
              </w:rPr>
              <w:t>运营期</w:t>
            </w:r>
          </w:p>
        </w:tc>
        <w:tc>
          <w:tcPr>
            <w:tcW w:w="1661" w:type="dxa"/>
            <w:vAlign w:val="top"/>
          </w:tcPr>
          <w:p w14:paraId="2F3E0F4F">
            <w:pPr>
              <w:pStyle w:val="6"/>
              <w:spacing w:before="100" w:line="192" w:lineRule="auto"/>
              <w:ind w:left="798"/>
            </w:pPr>
            <w:r>
              <w:t>/</w:t>
            </w:r>
          </w:p>
        </w:tc>
        <w:tc>
          <w:tcPr>
            <w:tcW w:w="1662" w:type="dxa"/>
            <w:vAlign w:val="top"/>
          </w:tcPr>
          <w:p w14:paraId="17BBD9CC">
            <w:pPr>
              <w:pStyle w:val="6"/>
              <w:spacing w:before="29" w:line="283" w:lineRule="exact"/>
              <w:ind w:left="779"/>
            </w:pPr>
            <w:r>
              <w:rPr>
                <w:position w:val="-1"/>
              </w:rPr>
              <w:t>√</w:t>
            </w:r>
          </w:p>
        </w:tc>
        <w:tc>
          <w:tcPr>
            <w:tcW w:w="1662" w:type="dxa"/>
            <w:vAlign w:val="top"/>
          </w:tcPr>
          <w:p w14:paraId="2D4C30A9">
            <w:pPr>
              <w:pStyle w:val="6"/>
              <w:spacing w:before="29" w:line="283" w:lineRule="exact"/>
              <w:ind w:left="779"/>
            </w:pPr>
            <w:r>
              <w:rPr>
                <w:position w:val="-1"/>
              </w:rPr>
              <w:t>√</w:t>
            </w:r>
          </w:p>
        </w:tc>
        <w:tc>
          <w:tcPr>
            <w:tcW w:w="1667" w:type="dxa"/>
            <w:vAlign w:val="top"/>
          </w:tcPr>
          <w:p w14:paraId="4DEBF7ED">
            <w:pPr>
              <w:rPr>
                <w:rFonts w:ascii="Arial"/>
                <w:sz w:val="21"/>
              </w:rPr>
            </w:pPr>
          </w:p>
        </w:tc>
      </w:tr>
    </w:tbl>
    <w:p w14:paraId="03AC999B">
      <w:pPr>
        <w:spacing w:before="247" w:line="221" w:lineRule="auto"/>
        <w:ind w:left="121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32"/>
          <w:sz w:val="21"/>
          <w:szCs w:val="21"/>
        </w:rPr>
        <w:t xml:space="preserve"> </w:t>
      </w:r>
      <w:r>
        <w:rPr>
          <w:rFonts w:ascii="Times New Roman" w:hAnsi="Times New Roman" w:eastAsia="Times New Roman" w:cs="Times New Roman"/>
          <w:spacing w:val="-1"/>
          <w:sz w:val="21"/>
          <w:szCs w:val="21"/>
        </w:rPr>
        <w:t xml:space="preserve">4.2-40  </w:t>
      </w:r>
      <w:r>
        <w:rPr>
          <w:rFonts w:ascii="黑体" w:hAnsi="黑体" w:eastAsia="黑体" w:cs="黑体"/>
          <w:spacing w:val="-1"/>
          <w:sz w:val="21"/>
          <w:szCs w:val="21"/>
        </w:rPr>
        <w:t>污染影响型建设项目土壤环境影响源及影响因子识别表</w:t>
      </w:r>
    </w:p>
    <w:p w14:paraId="5EFEBAF0">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7"/>
        <w:gridCol w:w="1458"/>
        <w:gridCol w:w="1405"/>
        <w:gridCol w:w="2123"/>
        <w:gridCol w:w="1667"/>
      </w:tblGrid>
      <w:tr w14:paraId="0130D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67" w:type="dxa"/>
            <w:vAlign w:val="top"/>
          </w:tcPr>
          <w:p w14:paraId="2537FBB9">
            <w:pPr>
              <w:spacing w:before="69" w:line="220" w:lineRule="auto"/>
              <w:ind w:left="525"/>
              <w:rPr>
                <w:rFonts w:ascii="宋体" w:hAnsi="宋体" w:eastAsia="宋体" w:cs="宋体"/>
                <w:sz w:val="21"/>
                <w:szCs w:val="21"/>
              </w:rPr>
            </w:pPr>
            <w:r>
              <w:rPr>
                <w:rFonts w:ascii="宋体" w:hAnsi="宋体" w:eastAsia="宋体" w:cs="宋体"/>
                <w:spacing w:val="-3"/>
                <w:sz w:val="21"/>
                <w:szCs w:val="21"/>
              </w:rPr>
              <w:t>污染源</w:t>
            </w:r>
          </w:p>
        </w:tc>
        <w:tc>
          <w:tcPr>
            <w:tcW w:w="1458" w:type="dxa"/>
            <w:vAlign w:val="top"/>
          </w:tcPr>
          <w:p w14:paraId="2FBFA760">
            <w:pPr>
              <w:pStyle w:val="6"/>
              <w:spacing w:before="69" w:line="220" w:lineRule="auto"/>
              <w:ind w:left="76"/>
              <w:rPr>
                <w:rFonts w:ascii="宋体" w:hAnsi="宋体" w:eastAsia="宋体" w:cs="宋体"/>
              </w:rPr>
            </w:pPr>
            <w:r>
              <w:rPr>
                <w:rFonts w:ascii="宋体" w:hAnsi="宋体" w:eastAsia="宋体" w:cs="宋体"/>
                <w:spacing w:val="-2"/>
              </w:rPr>
              <w:t>工艺流程</w:t>
            </w:r>
            <w:r>
              <w:rPr>
                <w:spacing w:val="-2"/>
              </w:rPr>
              <w:t>/</w:t>
            </w:r>
            <w:r>
              <w:rPr>
                <w:rFonts w:ascii="宋体" w:hAnsi="宋体" w:eastAsia="宋体" w:cs="宋体"/>
                <w:spacing w:val="-2"/>
              </w:rPr>
              <w:t>节点</w:t>
            </w:r>
          </w:p>
        </w:tc>
        <w:tc>
          <w:tcPr>
            <w:tcW w:w="1405" w:type="dxa"/>
            <w:vAlign w:val="top"/>
          </w:tcPr>
          <w:p w14:paraId="03792AA9">
            <w:pPr>
              <w:spacing w:before="68" w:line="220" w:lineRule="auto"/>
              <w:ind w:left="290"/>
              <w:rPr>
                <w:rFonts w:ascii="宋体" w:hAnsi="宋体" w:eastAsia="宋体" w:cs="宋体"/>
                <w:sz w:val="21"/>
                <w:szCs w:val="21"/>
              </w:rPr>
            </w:pPr>
            <w:r>
              <w:rPr>
                <w:rFonts w:ascii="宋体" w:hAnsi="宋体" w:eastAsia="宋体" w:cs="宋体"/>
                <w:spacing w:val="-2"/>
                <w:sz w:val="21"/>
                <w:szCs w:val="21"/>
              </w:rPr>
              <w:t>污染途径</w:t>
            </w:r>
          </w:p>
        </w:tc>
        <w:tc>
          <w:tcPr>
            <w:tcW w:w="2123" w:type="dxa"/>
            <w:vAlign w:val="top"/>
          </w:tcPr>
          <w:p w14:paraId="3B562967">
            <w:pPr>
              <w:pStyle w:val="6"/>
              <w:spacing w:before="68" w:line="212" w:lineRule="auto"/>
              <w:ind w:left="381"/>
              <w:rPr>
                <w:sz w:val="14"/>
                <w:szCs w:val="14"/>
              </w:rPr>
            </w:pPr>
            <w:r>
              <w:rPr>
                <w:rFonts w:ascii="宋体" w:hAnsi="宋体" w:eastAsia="宋体" w:cs="宋体"/>
                <w:spacing w:val="-2"/>
              </w:rPr>
              <w:t>全部污染指标</w:t>
            </w:r>
            <w:r>
              <w:rPr>
                <w:rFonts w:ascii="宋体" w:hAnsi="宋体" w:eastAsia="宋体" w:cs="宋体"/>
                <w:spacing w:val="-43"/>
              </w:rPr>
              <w:t xml:space="preserve"> </w:t>
            </w:r>
            <w:r>
              <w:rPr>
                <w:spacing w:val="-2"/>
                <w:position w:val="9"/>
                <w:sz w:val="14"/>
                <w:szCs w:val="14"/>
              </w:rPr>
              <w:t>a</w:t>
            </w:r>
          </w:p>
        </w:tc>
        <w:tc>
          <w:tcPr>
            <w:tcW w:w="1667" w:type="dxa"/>
            <w:vAlign w:val="top"/>
          </w:tcPr>
          <w:p w14:paraId="2888FA09">
            <w:pPr>
              <w:pStyle w:val="6"/>
              <w:spacing w:before="51" w:line="229" w:lineRule="auto"/>
              <w:ind w:left="569"/>
              <w:rPr>
                <w:sz w:val="14"/>
                <w:szCs w:val="14"/>
              </w:rPr>
            </w:pPr>
            <w:r>
              <w:rPr>
                <w:rFonts w:ascii="宋体" w:hAnsi="宋体" w:eastAsia="宋体" w:cs="宋体"/>
                <w:spacing w:val="-4"/>
                <w:position w:val="-1"/>
              </w:rPr>
              <w:t>备注</w:t>
            </w:r>
            <w:r>
              <w:rPr>
                <w:rFonts w:ascii="宋体" w:hAnsi="宋体" w:eastAsia="宋体" w:cs="宋体"/>
                <w:spacing w:val="-52"/>
                <w:position w:val="-1"/>
              </w:rPr>
              <w:t xml:space="preserve"> </w:t>
            </w:r>
            <w:r>
              <w:rPr>
                <w:spacing w:val="-4"/>
                <w:position w:val="8"/>
                <w:sz w:val="14"/>
                <w:szCs w:val="14"/>
              </w:rPr>
              <w:t>b</w:t>
            </w:r>
          </w:p>
        </w:tc>
      </w:tr>
      <w:tr w14:paraId="09E46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667" w:type="dxa"/>
            <w:vMerge w:val="restart"/>
            <w:tcBorders>
              <w:bottom w:val="nil"/>
            </w:tcBorders>
            <w:vAlign w:val="top"/>
          </w:tcPr>
          <w:p w14:paraId="38BD171A">
            <w:pPr>
              <w:spacing w:line="343" w:lineRule="auto"/>
              <w:rPr>
                <w:rFonts w:ascii="Arial"/>
                <w:sz w:val="21"/>
              </w:rPr>
            </w:pPr>
          </w:p>
          <w:p w14:paraId="733E0562">
            <w:pPr>
              <w:spacing w:before="68" w:line="220" w:lineRule="auto"/>
              <w:ind w:left="315"/>
              <w:rPr>
                <w:rFonts w:ascii="宋体" w:hAnsi="宋体" w:eastAsia="宋体" w:cs="宋体"/>
                <w:sz w:val="21"/>
                <w:szCs w:val="21"/>
              </w:rPr>
            </w:pPr>
            <w:r>
              <w:rPr>
                <w:rFonts w:ascii="宋体" w:hAnsi="宋体" w:eastAsia="宋体" w:cs="宋体"/>
                <w:spacing w:val="-2"/>
                <w:sz w:val="21"/>
                <w:szCs w:val="21"/>
              </w:rPr>
              <w:t>粪污处理区</w:t>
            </w:r>
          </w:p>
        </w:tc>
        <w:tc>
          <w:tcPr>
            <w:tcW w:w="1458" w:type="dxa"/>
            <w:vMerge w:val="restart"/>
            <w:tcBorders>
              <w:bottom w:val="nil"/>
            </w:tcBorders>
            <w:vAlign w:val="top"/>
          </w:tcPr>
          <w:p w14:paraId="7F42D42A">
            <w:pPr>
              <w:spacing w:line="343" w:lineRule="auto"/>
              <w:rPr>
                <w:rFonts w:ascii="Arial"/>
                <w:sz w:val="21"/>
              </w:rPr>
            </w:pPr>
          </w:p>
          <w:p w14:paraId="09715776">
            <w:pPr>
              <w:spacing w:before="68" w:line="220" w:lineRule="auto"/>
              <w:ind w:left="314"/>
              <w:rPr>
                <w:rFonts w:ascii="宋体" w:hAnsi="宋体" w:eastAsia="宋体" w:cs="宋体"/>
                <w:sz w:val="21"/>
                <w:szCs w:val="21"/>
              </w:rPr>
            </w:pPr>
            <w:r>
              <w:rPr>
                <w:rFonts w:ascii="宋体" w:hAnsi="宋体" w:eastAsia="宋体" w:cs="宋体"/>
                <w:spacing w:val="-2"/>
                <w:sz w:val="21"/>
                <w:szCs w:val="21"/>
              </w:rPr>
              <w:t>粪污处理</w:t>
            </w:r>
          </w:p>
        </w:tc>
        <w:tc>
          <w:tcPr>
            <w:tcW w:w="1405" w:type="dxa"/>
            <w:vAlign w:val="top"/>
          </w:tcPr>
          <w:p w14:paraId="4A0F0D5E">
            <w:pPr>
              <w:spacing w:before="64" w:line="220" w:lineRule="auto"/>
              <w:ind w:left="291"/>
              <w:rPr>
                <w:rFonts w:ascii="宋体" w:hAnsi="宋体" w:eastAsia="宋体" w:cs="宋体"/>
                <w:sz w:val="21"/>
                <w:szCs w:val="21"/>
              </w:rPr>
            </w:pPr>
            <w:r>
              <w:rPr>
                <w:rFonts w:ascii="宋体" w:hAnsi="宋体" w:eastAsia="宋体" w:cs="宋体"/>
                <w:spacing w:val="-3"/>
                <w:sz w:val="21"/>
                <w:szCs w:val="21"/>
              </w:rPr>
              <w:t>大气沉降</w:t>
            </w:r>
          </w:p>
        </w:tc>
        <w:tc>
          <w:tcPr>
            <w:tcW w:w="2123" w:type="dxa"/>
            <w:vAlign w:val="top"/>
          </w:tcPr>
          <w:p w14:paraId="75F12ED5">
            <w:pPr>
              <w:pStyle w:val="6"/>
              <w:spacing w:before="97" w:line="192" w:lineRule="auto"/>
              <w:ind w:left="1030"/>
            </w:pPr>
            <w:r>
              <w:t>/</w:t>
            </w:r>
          </w:p>
        </w:tc>
        <w:tc>
          <w:tcPr>
            <w:tcW w:w="1667" w:type="dxa"/>
            <w:vAlign w:val="top"/>
          </w:tcPr>
          <w:p w14:paraId="5B4EB0F1">
            <w:pPr>
              <w:pStyle w:val="6"/>
              <w:spacing w:before="97" w:line="192" w:lineRule="auto"/>
              <w:ind w:left="801"/>
            </w:pPr>
            <w:r>
              <w:t>/</w:t>
            </w:r>
          </w:p>
        </w:tc>
      </w:tr>
      <w:tr w14:paraId="0B6FC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67" w:type="dxa"/>
            <w:vMerge w:val="continue"/>
            <w:tcBorders>
              <w:top w:val="nil"/>
              <w:bottom w:val="nil"/>
            </w:tcBorders>
            <w:vAlign w:val="top"/>
          </w:tcPr>
          <w:p w14:paraId="18E2AA21">
            <w:pPr>
              <w:rPr>
                <w:rFonts w:ascii="Arial"/>
                <w:sz w:val="21"/>
              </w:rPr>
            </w:pPr>
          </w:p>
        </w:tc>
        <w:tc>
          <w:tcPr>
            <w:tcW w:w="1458" w:type="dxa"/>
            <w:vMerge w:val="continue"/>
            <w:tcBorders>
              <w:top w:val="nil"/>
              <w:bottom w:val="nil"/>
            </w:tcBorders>
            <w:vAlign w:val="top"/>
          </w:tcPr>
          <w:p w14:paraId="57EFBB7E">
            <w:pPr>
              <w:rPr>
                <w:rFonts w:ascii="Arial"/>
                <w:sz w:val="21"/>
              </w:rPr>
            </w:pPr>
          </w:p>
        </w:tc>
        <w:tc>
          <w:tcPr>
            <w:tcW w:w="1405" w:type="dxa"/>
            <w:vAlign w:val="top"/>
          </w:tcPr>
          <w:p w14:paraId="634CF84B">
            <w:pPr>
              <w:spacing w:before="66" w:line="220" w:lineRule="auto"/>
              <w:ind w:left="288"/>
              <w:rPr>
                <w:rFonts w:ascii="宋体" w:hAnsi="宋体" w:eastAsia="宋体" w:cs="宋体"/>
                <w:sz w:val="21"/>
                <w:szCs w:val="21"/>
              </w:rPr>
            </w:pPr>
            <w:r>
              <w:rPr>
                <w:rFonts w:ascii="宋体" w:hAnsi="宋体" w:eastAsia="宋体" w:cs="宋体"/>
                <w:spacing w:val="-2"/>
                <w:sz w:val="21"/>
                <w:szCs w:val="21"/>
              </w:rPr>
              <w:t>地面漫流</w:t>
            </w:r>
          </w:p>
        </w:tc>
        <w:tc>
          <w:tcPr>
            <w:tcW w:w="2123" w:type="dxa"/>
            <w:vAlign w:val="top"/>
          </w:tcPr>
          <w:p w14:paraId="165AD09E">
            <w:pPr>
              <w:pStyle w:val="6"/>
              <w:spacing w:before="66" w:line="219" w:lineRule="auto"/>
              <w:ind w:left="216"/>
              <w:rPr>
                <w:rFonts w:ascii="宋体" w:hAnsi="宋体" w:eastAsia="宋体" w:cs="宋体"/>
              </w:rPr>
            </w:pPr>
            <w:r>
              <w:rPr>
                <w:spacing w:val="-2"/>
              </w:rPr>
              <w:t>COD</w:t>
            </w:r>
            <w:r>
              <w:rPr>
                <w:rFonts w:ascii="宋体" w:hAnsi="宋体" w:eastAsia="宋体" w:cs="宋体"/>
                <w:spacing w:val="-2"/>
              </w:rPr>
              <w:t>、氨氮、总磷</w:t>
            </w:r>
          </w:p>
        </w:tc>
        <w:tc>
          <w:tcPr>
            <w:tcW w:w="1667" w:type="dxa"/>
            <w:vAlign w:val="top"/>
          </w:tcPr>
          <w:p w14:paraId="66AAEA38">
            <w:pPr>
              <w:spacing w:before="66" w:line="220" w:lineRule="auto"/>
              <w:ind w:left="628"/>
              <w:rPr>
                <w:rFonts w:ascii="宋体" w:hAnsi="宋体" w:eastAsia="宋体" w:cs="宋体"/>
                <w:sz w:val="21"/>
                <w:szCs w:val="21"/>
              </w:rPr>
            </w:pPr>
            <w:r>
              <w:rPr>
                <w:rFonts w:ascii="宋体" w:hAnsi="宋体" w:eastAsia="宋体" w:cs="宋体"/>
                <w:spacing w:val="-3"/>
                <w:sz w:val="21"/>
                <w:szCs w:val="21"/>
              </w:rPr>
              <w:t>事故</w:t>
            </w:r>
          </w:p>
        </w:tc>
      </w:tr>
      <w:tr w14:paraId="60088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67" w:type="dxa"/>
            <w:vMerge w:val="continue"/>
            <w:tcBorders>
              <w:top w:val="nil"/>
            </w:tcBorders>
            <w:vAlign w:val="top"/>
          </w:tcPr>
          <w:p w14:paraId="42E9E241">
            <w:pPr>
              <w:rPr>
                <w:rFonts w:ascii="Arial"/>
                <w:sz w:val="21"/>
              </w:rPr>
            </w:pPr>
          </w:p>
        </w:tc>
        <w:tc>
          <w:tcPr>
            <w:tcW w:w="1458" w:type="dxa"/>
            <w:vMerge w:val="continue"/>
            <w:tcBorders>
              <w:top w:val="nil"/>
            </w:tcBorders>
            <w:vAlign w:val="top"/>
          </w:tcPr>
          <w:p w14:paraId="1D12E7FF">
            <w:pPr>
              <w:rPr>
                <w:rFonts w:ascii="Arial"/>
                <w:sz w:val="21"/>
              </w:rPr>
            </w:pPr>
          </w:p>
        </w:tc>
        <w:tc>
          <w:tcPr>
            <w:tcW w:w="1405" w:type="dxa"/>
            <w:vAlign w:val="top"/>
          </w:tcPr>
          <w:p w14:paraId="1DA49871">
            <w:pPr>
              <w:spacing w:before="67" w:line="220" w:lineRule="auto"/>
              <w:ind w:left="289"/>
              <w:rPr>
                <w:rFonts w:ascii="宋体" w:hAnsi="宋体" w:eastAsia="宋体" w:cs="宋体"/>
                <w:sz w:val="21"/>
                <w:szCs w:val="21"/>
              </w:rPr>
            </w:pPr>
            <w:r>
              <w:rPr>
                <w:rFonts w:ascii="宋体" w:hAnsi="宋体" w:eastAsia="宋体" w:cs="宋体"/>
                <w:spacing w:val="-2"/>
                <w:sz w:val="21"/>
                <w:szCs w:val="21"/>
              </w:rPr>
              <w:t>垂直入渗</w:t>
            </w:r>
          </w:p>
        </w:tc>
        <w:tc>
          <w:tcPr>
            <w:tcW w:w="2123" w:type="dxa"/>
            <w:vAlign w:val="top"/>
          </w:tcPr>
          <w:p w14:paraId="24816E0B">
            <w:pPr>
              <w:pStyle w:val="6"/>
              <w:spacing w:before="66" w:line="219" w:lineRule="auto"/>
              <w:ind w:left="216"/>
              <w:rPr>
                <w:rFonts w:ascii="宋体" w:hAnsi="宋体" w:eastAsia="宋体" w:cs="宋体"/>
              </w:rPr>
            </w:pPr>
            <w:r>
              <w:rPr>
                <w:spacing w:val="-2"/>
              </w:rPr>
              <w:t>COD</w:t>
            </w:r>
            <w:r>
              <w:rPr>
                <w:rFonts w:ascii="宋体" w:hAnsi="宋体" w:eastAsia="宋体" w:cs="宋体"/>
                <w:spacing w:val="-2"/>
              </w:rPr>
              <w:t>、氨氮、总磷</w:t>
            </w:r>
          </w:p>
        </w:tc>
        <w:tc>
          <w:tcPr>
            <w:tcW w:w="1667" w:type="dxa"/>
            <w:vAlign w:val="top"/>
          </w:tcPr>
          <w:p w14:paraId="65A21204">
            <w:pPr>
              <w:spacing w:before="67" w:line="220" w:lineRule="auto"/>
              <w:ind w:left="628"/>
              <w:rPr>
                <w:rFonts w:ascii="宋体" w:hAnsi="宋体" w:eastAsia="宋体" w:cs="宋体"/>
                <w:sz w:val="21"/>
                <w:szCs w:val="21"/>
              </w:rPr>
            </w:pPr>
            <w:r>
              <w:rPr>
                <w:rFonts w:ascii="宋体" w:hAnsi="宋体" w:eastAsia="宋体" w:cs="宋体"/>
                <w:spacing w:val="-3"/>
                <w:sz w:val="21"/>
                <w:szCs w:val="21"/>
              </w:rPr>
              <w:t>事故</w:t>
            </w:r>
          </w:p>
        </w:tc>
      </w:tr>
      <w:tr w14:paraId="0C3B0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320" w:type="dxa"/>
            <w:gridSpan w:val="5"/>
            <w:vAlign w:val="top"/>
          </w:tcPr>
          <w:p w14:paraId="50470DF8">
            <w:pPr>
              <w:pStyle w:val="6"/>
              <w:spacing w:before="68" w:line="220" w:lineRule="auto"/>
              <w:ind w:left="11"/>
              <w:rPr>
                <w:rFonts w:ascii="宋体" w:hAnsi="宋体" w:eastAsia="宋体" w:cs="宋体"/>
                <w:sz w:val="18"/>
                <w:szCs w:val="18"/>
              </w:rPr>
            </w:pPr>
            <w:r>
              <w:rPr>
                <w:spacing w:val="-3"/>
                <w:sz w:val="18"/>
                <w:szCs w:val="18"/>
              </w:rPr>
              <w:t xml:space="preserve">a </w:t>
            </w:r>
            <w:r>
              <w:rPr>
                <w:rFonts w:ascii="宋体" w:hAnsi="宋体" w:eastAsia="宋体" w:cs="宋体"/>
                <w:spacing w:val="-3"/>
                <w:sz w:val="18"/>
                <w:szCs w:val="18"/>
              </w:rPr>
              <w:t>根据工程分析结果填写。</w:t>
            </w:r>
          </w:p>
          <w:p w14:paraId="32AFA76C">
            <w:pPr>
              <w:pStyle w:val="6"/>
              <w:spacing w:before="97" w:line="283" w:lineRule="auto"/>
              <w:ind w:left="191" w:right="5" w:hanging="187"/>
              <w:rPr>
                <w:rFonts w:ascii="宋体" w:hAnsi="宋体" w:eastAsia="宋体" w:cs="宋体"/>
                <w:sz w:val="18"/>
                <w:szCs w:val="18"/>
              </w:rPr>
            </w:pPr>
            <w:r>
              <w:rPr>
                <w:spacing w:val="1"/>
                <w:sz w:val="18"/>
                <w:szCs w:val="18"/>
              </w:rPr>
              <w:t xml:space="preserve">b  </w:t>
            </w:r>
            <w:r>
              <w:rPr>
                <w:rFonts w:ascii="宋体" w:hAnsi="宋体" w:eastAsia="宋体" w:cs="宋体"/>
                <w:spacing w:val="1"/>
                <w:sz w:val="18"/>
                <w:szCs w:val="18"/>
              </w:rPr>
              <w:t>应描述污染源特征，如连续、间断、正常、事故</w:t>
            </w:r>
            <w:r>
              <w:rPr>
                <w:rFonts w:ascii="宋体" w:hAnsi="宋体" w:eastAsia="宋体" w:cs="宋体"/>
                <w:sz w:val="18"/>
                <w:szCs w:val="18"/>
              </w:rPr>
              <w:t>等；涉及大气沉降途径的，应识别建设项目周边的土壤</w:t>
            </w:r>
            <w:r>
              <w:rPr>
                <w:rFonts w:ascii="宋体" w:hAnsi="宋体" w:eastAsia="宋体" w:cs="宋体"/>
                <w:spacing w:val="-5"/>
                <w:sz w:val="18"/>
                <w:szCs w:val="18"/>
              </w:rPr>
              <w:t>环境敏感目标。</w:t>
            </w:r>
          </w:p>
        </w:tc>
      </w:tr>
    </w:tbl>
    <w:p w14:paraId="69243BDF">
      <w:pPr>
        <w:spacing w:before="234" w:line="362" w:lineRule="auto"/>
        <w:ind w:left="41" w:right="85" w:firstLine="479"/>
        <w:rPr>
          <w:rFonts w:ascii="宋体" w:hAnsi="宋体" w:eastAsia="宋体" w:cs="宋体"/>
          <w:sz w:val="24"/>
          <w:szCs w:val="24"/>
        </w:rPr>
      </w:pPr>
      <w:r>
        <w:rPr>
          <w:rFonts w:ascii="宋体" w:hAnsi="宋体" w:eastAsia="宋体" w:cs="宋体"/>
          <w:spacing w:val="-3"/>
          <w:sz w:val="24"/>
          <w:szCs w:val="24"/>
        </w:rPr>
        <w:t>本项目影响途径主要为运营期事故状况下污水入渗进入土壤环</w:t>
      </w:r>
      <w:r>
        <w:rPr>
          <w:rFonts w:ascii="宋体" w:hAnsi="宋体" w:eastAsia="宋体" w:cs="宋体"/>
          <w:spacing w:val="-4"/>
          <w:sz w:val="24"/>
          <w:szCs w:val="24"/>
        </w:rPr>
        <w:t>境，引起土壤</w:t>
      </w:r>
      <w:r>
        <w:rPr>
          <w:rFonts w:ascii="宋体" w:hAnsi="宋体" w:eastAsia="宋体" w:cs="宋体"/>
          <w:spacing w:val="-2"/>
          <w:sz w:val="24"/>
          <w:szCs w:val="24"/>
        </w:rPr>
        <w:t>污染，同时消纳地废水灌溉对土壤的积累性影响也需关注。</w:t>
      </w:r>
    </w:p>
    <w:p w14:paraId="706A214F">
      <w:pPr>
        <w:spacing w:before="52"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4.2.6.4 </w:t>
      </w:r>
      <w:r>
        <w:rPr>
          <w:rFonts w:ascii="宋体" w:hAnsi="宋体" w:eastAsia="宋体" w:cs="宋体"/>
          <w:b/>
          <w:bCs/>
          <w:spacing w:val="5"/>
          <w:sz w:val="27"/>
          <w:szCs w:val="27"/>
        </w:rPr>
        <w:t>土壤环境影响分析</w:t>
      </w:r>
    </w:p>
    <w:p w14:paraId="0FD57251">
      <w:pPr>
        <w:spacing w:before="234"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）大气沉降对土壤环境的影响分析</w:t>
      </w:r>
    </w:p>
    <w:p w14:paraId="7C823A50">
      <w:pPr>
        <w:spacing w:before="183" w:line="360" w:lineRule="auto"/>
        <w:ind w:left="39" w:right="85" w:firstLine="483"/>
        <w:jc w:val="both"/>
        <w:rPr>
          <w:rFonts w:ascii="宋体" w:hAnsi="宋体" w:eastAsia="宋体" w:cs="宋体"/>
          <w:sz w:val="24"/>
          <w:szCs w:val="24"/>
        </w:rPr>
      </w:pPr>
      <w:r>
        <w:rPr>
          <w:rFonts w:ascii="宋体" w:hAnsi="宋体" w:eastAsia="宋体" w:cs="宋体"/>
          <w:spacing w:val="-3"/>
          <w:sz w:val="24"/>
          <w:szCs w:val="24"/>
        </w:rPr>
        <w:t>项目运营期产生的大气污染物主要是氨和硫化氢，以气</w:t>
      </w:r>
      <w:r>
        <w:rPr>
          <w:rFonts w:ascii="宋体" w:hAnsi="宋体" w:eastAsia="宋体" w:cs="宋体"/>
          <w:spacing w:val="-4"/>
          <w:sz w:val="24"/>
          <w:szCs w:val="24"/>
        </w:rPr>
        <w:t>态形式存在，沉降性</w:t>
      </w:r>
      <w:r>
        <w:rPr>
          <w:rFonts w:ascii="宋体" w:hAnsi="宋体" w:eastAsia="宋体" w:cs="宋体"/>
          <w:spacing w:val="-3"/>
          <w:sz w:val="24"/>
          <w:szCs w:val="24"/>
        </w:rPr>
        <w:t>较差，且不涉及土壤污染重点污染物，因此不会对土壤产生明显的污染，改变土</w:t>
      </w:r>
      <w:r>
        <w:rPr>
          <w:rFonts w:ascii="宋体" w:hAnsi="宋体" w:eastAsia="宋体" w:cs="宋体"/>
          <w:spacing w:val="-2"/>
          <w:sz w:val="24"/>
          <w:szCs w:val="24"/>
        </w:rPr>
        <w:t>壤的环境质量，在采取保护措施后土壤环境影响较小。</w:t>
      </w:r>
    </w:p>
    <w:p w14:paraId="2694D3C3">
      <w:pPr>
        <w:spacing w:before="1"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）垂直入渗对场区内土壤环境影响</w:t>
      </w:r>
    </w:p>
    <w:p w14:paraId="7D408DD2">
      <w:pPr>
        <w:spacing w:before="182" w:line="360" w:lineRule="auto"/>
        <w:ind w:left="40" w:right="85" w:firstLine="479"/>
        <w:rPr>
          <w:rFonts w:ascii="宋体" w:hAnsi="宋体" w:eastAsia="宋体" w:cs="宋体"/>
          <w:sz w:val="24"/>
          <w:szCs w:val="24"/>
        </w:rPr>
      </w:pPr>
      <w:r>
        <w:rPr>
          <w:rFonts w:ascii="宋体" w:hAnsi="宋体" w:eastAsia="宋体" w:cs="宋体"/>
          <w:spacing w:val="-3"/>
          <w:sz w:val="24"/>
          <w:szCs w:val="24"/>
        </w:rPr>
        <w:t>根据项目土壤环境质量现状监测结果，项目占地范围内，各监测</w:t>
      </w:r>
      <w:r>
        <w:rPr>
          <w:rFonts w:ascii="宋体" w:hAnsi="宋体" w:eastAsia="宋体" w:cs="宋体"/>
          <w:spacing w:val="-4"/>
          <w:sz w:val="24"/>
          <w:szCs w:val="24"/>
        </w:rPr>
        <w:t>点位各项因</w:t>
      </w:r>
      <w:r>
        <w:rPr>
          <w:rFonts w:ascii="宋体" w:hAnsi="宋体" w:eastAsia="宋体" w:cs="宋体"/>
          <w:spacing w:val="-1"/>
          <w:sz w:val="24"/>
          <w:szCs w:val="24"/>
        </w:rPr>
        <w:t>子均能满足相应土壤环境质量标准要求，表明占</w:t>
      </w:r>
      <w:r>
        <w:rPr>
          <w:rFonts w:ascii="宋体" w:hAnsi="宋体" w:eastAsia="宋体" w:cs="宋体"/>
          <w:spacing w:val="-2"/>
          <w:sz w:val="24"/>
          <w:szCs w:val="24"/>
        </w:rPr>
        <w:t>地范围内土壤未受到污染。</w:t>
      </w:r>
    </w:p>
    <w:p w14:paraId="4B8FFF17">
      <w:pPr>
        <w:spacing w:line="360" w:lineRule="auto"/>
        <w:ind w:left="40" w:firstLine="482"/>
        <w:jc w:val="both"/>
        <w:rPr>
          <w:rFonts w:ascii="宋体" w:hAnsi="宋体" w:eastAsia="宋体" w:cs="宋体"/>
          <w:sz w:val="24"/>
          <w:szCs w:val="24"/>
        </w:rPr>
      </w:pPr>
      <w:r>
        <w:rPr>
          <w:rFonts w:ascii="宋体" w:hAnsi="宋体" w:eastAsia="宋体" w:cs="宋体"/>
          <w:spacing w:val="-7"/>
          <w:sz w:val="24"/>
          <w:szCs w:val="24"/>
        </w:rPr>
        <w:t>项目运营过程中，养殖区、粪污处理区内除绿化用地外， 均进行地面硬化防</w:t>
      </w:r>
      <w:r>
        <w:rPr>
          <w:rFonts w:ascii="宋体" w:hAnsi="宋体" w:eastAsia="宋体" w:cs="宋体"/>
          <w:spacing w:val="-3"/>
          <w:sz w:val="24"/>
          <w:szCs w:val="24"/>
        </w:rPr>
        <w:t>渗处理，因此产生的泄漏物料等污染物，不会直接与土壤接触下渗或随雨水外流</w:t>
      </w:r>
      <w:r>
        <w:rPr>
          <w:rFonts w:ascii="宋体" w:hAnsi="宋体" w:eastAsia="宋体" w:cs="宋体"/>
          <w:spacing w:val="-1"/>
          <w:sz w:val="24"/>
          <w:szCs w:val="24"/>
        </w:rPr>
        <w:t>污染土壤环境。粪污处理区内设置专门的堆粪棚，且按照相应的标准进行防腐、防渗处理，因此固体废物存放中产生的渗滤液等，不</w:t>
      </w:r>
      <w:r>
        <w:rPr>
          <w:rFonts w:ascii="宋体" w:hAnsi="宋体" w:eastAsia="宋体" w:cs="宋体"/>
          <w:spacing w:val="-2"/>
          <w:sz w:val="24"/>
          <w:szCs w:val="24"/>
        </w:rPr>
        <w:t>会与土壤直接接触下渗。</w:t>
      </w:r>
    </w:p>
    <w:p w14:paraId="4DF60593">
      <w:pPr>
        <w:spacing w:before="1" w:line="328" w:lineRule="auto"/>
        <w:ind w:left="41" w:firstLine="479"/>
        <w:jc w:val="both"/>
        <w:rPr>
          <w:rFonts w:ascii="宋体" w:hAnsi="宋体" w:eastAsia="宋体" w:cs="宋体"/>
          <w:sz w:val="24"/>
          <w:szCs w:val="24"/>
        </w:rPr>
      </w:pPr>
      <w:r>
        <w:rPr>
          <w:rFonts w:ascii="宋体" w:hAnsi="宋体" w:eastAsia="宋体" w:cs="宋体"/>
          <w:spacing w:val="-3"/>
          <w:sz w:val="24"/>
          <w:szCs w:val="24"/>
        </w:rPr>
        <w:t>本项目采取分区防渗的措施，根据项目可能泄漏至地面区域污</w:t>
      </w:r>
      <w:r>
        <w:rPr>
          <w:rFonts w:ascii="宋体" w:hAnsi="宋体" w:eastAsia="宋体" w:cs="宋体"/>
          <w:spacing w:val="-4"/>
          <w:sz w:val="24"/>
          <w:szCs w:val="24"/>
        </w:rPr>
        <w:t>染物的性质和</w:t>
      </w:r>
      <w:r>
        <w:rPr>
          <w:rFonts w:ascii="宋体" w:hAnsi="宋体" w:eastAsia="宋体" w:cs="宋体"/>
          <w:spacing w:val="-7"/>
          <w:sz w:val="24"/>
          <w:szCs w:val="24"/>
        </w:rPr>
        <w:t>生产单元的构筑方式，将评价区域划分为重点防渗区、一般防</w:t>
      </w:r>
      <w:r>
        <w:rPr>
          <w:rFonts w:ascii="宋体" w:hAnsi="宋体" w:eastAsia="宋体" w:cs="宋体"/>
          <w:spacing w:val="-8"/>
          <w:sz w:val="24"/>
          <w:szCs w:val="24"/>
        </w:rPr>
        <w:t>渗区和简单防渗区。</w:t>
      </w:r>
      <w:r>
        <w:rPr>
          <w:rFonts w:ascii="宋体" w:hAnsi="宋体" w:eastAsia="宋体" w:cs="宋体"/>
          <w:spacing w:val="-3"/>
          <w:sz w:val="24"/>
          <w:szCs w:val="24"/>
        </w:rPr>
        <w:t>项目建设过程中对污水处理站池体及堆粪棚等均进行严格的防渗，可避免废水发</w:t>
      </w:r>
    </w:p>
    <w:p w14:paraId="650E1D7F">
      <w:pPr>
        <w:spacing w:line="328" w:lineRule="auto"/>
        <w:rPr>
          <w:rFonts w:ascii="宋体" w:hAnsi="宋体" w:eastAsia="宋体" w:cs="宋体"/>
          <w:sz w:val="24"/>
          <w:szCs w:val="24"/>
        </w:rPr>
        <w:sectPr>
          <w:headerReference r:id="rId395" w:type="default"/>
          <w:footerReference r:id="rId396" w:type="default"/>
          <w:pgSz w:w="11905" w:h="16840"/>
          <w:pgMar w:top="1168" w:right="1712" w:bottom="1409" w:left="1770" w:header="828" w:footer="1244" w:gutter="0"/>
          <w:cols w:space="720" w:num="1"/>
        </w:sectPr>
      </w:pPr>
    </w:p>
    <w:p w14:paraId="3EDDDED4">
      <w:pPr>
        <w:pStyle w:val="2"/>
        <w:spacing w:line="306" w:lineRule="auto"/>
      </w:pPr>
    </w:p>
    <w:p w14:paraId="3A417D59">
      <w:pPr>
        <w:spacing w:before="78" w:line="360" w:lineRule="auto"/>
        <w:ind w:left="39" w:right="186" w:firstLine="1"/>
        <w:jc w:val="both"/>
        <w:rPr>
          <w:rFonts w:ascii="宋体" w:hAnsi="宋体" w:eastAsia="宋体" w:cs="宋体"/>
          <w:sz w:val="24"/>
          <w:szCs w:val="24"/>
        </w:rPr>
      </w:pPr>
      <w:bookmarkStart w:id="41" w:name="bookmark176"/>
      <w:bookmarkEnd w:id="41"/>
      <w:r>
        <w:rPr>
          <w:rFonts w:ascii="宋体" w:hAnsi="宋体" w:eastAsia="宋体" w:cs="宋体"/>
          <w:spacing w:val="-3"/>
          <w:sz w:val="24"/>
          <w:szCs w:val="24"/>
        </w:rPr>
        <w:t>生“跑、冒、滴、漏”现象污染土壤环境。本项目废水不涉及重金属和持</w:t>
      </w:r>
      <w:r>
        <w:rPr>
          <w:rFonts w:ascii="宋体" w:hAnsi="宋体" w:eastAsia="宋体" w:cs="宋体"/>
          <w:spacing w:val="-4"/>
          <w:sz w:val="24"/>
          <w:szCs w:val="24"/>
        </w:rPr>
        <w:t>久性土</w:t>
      </w:r>
      <w:r>
        <w:rPr>
          <w:rFonts w:ascii="宋体" w:hAnsi="宋体" w:eastAsia="宋体" w:cs="宋体"/>
          <w:spacing w:val="-3"/>
          <w:sz w:val="24"/>
          <w:szCs w:val="24"/>
        </w:rPr>
        <w:t>壤污染物，易吸附降解，一旦发生泄漏，在泄漏发生点周围泄漏液体被土壤迅速吸附，随着泄漏持续，泄漏液向更远更深层位移动，沿着液体运动方向，随着路</w:t>
      </w:r>
      <w:r>
        <w:rPr>
          <w:rFonts w:ascii="宋体" w:hAnsi="宋体" w:eastAsia="宋体" w:cs="宋体"/>
          <w:spacing w:val="-10"/>
          <w:sz w:val="24"/>
          <w:szCs w:val="24"/>
        </w:rPr>
        <w:t>径的增加，土壤中污染物含量降低。当泄漏液量足够大时，污染可达到潜水面（事</w:t>
      </w:r>
      <w:r>
        <w:rPr>
          <w:rFonts w:ascii="宋体" w:hAnsi="宋体" w:eastAsia="宋体" w:cs="宋体"/>
          <w:spacing w:val="-2"/>
          <w:sz w:val="24"/>
          <w:szCs w:val="24"/>
        </w:rPr>
        <w:t>故下泄漏对地下水影响见地下水影响预测章节）。</w:t>
      </w:r>
    </w:p>
    <w:p w14:paraId="0981FBFA">
      <w:pPr>
        <w:spacing w:before="2" w:line="359" w:lineRule="auto"/>
        <w:ind w:left="38" w:right="186" w:firstLine="481"/>
        <w:rPr>
          <w:rFonts w:ascii="宋体" w:hAnsi="宋体" w:eastAsia="宋体" w:cs="宋体"/>
          <w:sz w:val="24"/>
          <w:szCs w:val="24"/>
        </w:rPr>
      </w:pPr>
      <w:r>
        <w:rPr>
          <w:rFonts w:ascii="宋体" w:hAnsi="宋体" w:eastAsia="宋体" w:cs="宋体"/>
          <w:spacing w:val="-3"/>
          <w:sz w:val="24"/>
          <w:szCs w:val="24"/>
        </w:rPr>
        <w:t>本项目产生的危险废物收集后全部委托有资质的单位进行合理</w:t>
      </w:r>
      <w:r>
        <w:rPr>
          <w:rFonts w:ascii="宋体" w:hAnsi="宋体" w:eastAsia="宋体" w:cs="宋体"/>
          <w:spacing w:val="-4"/>
          <w:sz w:val="24"/>
          <w:szCs w:val="24"/>
        </w:rPr>
        <w:t>处置，一般固</w:t>
      </w:r>
      <w:r>
        <w:rPr>
          <w:rFonts w:ascii="宋体" w:hAnsi="宋体" w:eastAsia="宋体" w:cs="宋体"/>
          <w:spacing w:val="-2"/>
          <w:sz w:val="24"/>
          <w:szCs w:val="24"/>
        </w:rPr>
        <w:t>废也得全部得到合理的处理，发生随意丢弃的可能性较小。</w:t>
      </w:r>
    </w:p>
    <w:p w14:paraId="388DB8EF">
      <w:pPr>
        <w:spacing w:before="1" w:line="218" w:lineRule="auto"/>
        <w:ind w:left="538"/>
        <w:rPr>
          <w:rFonts w:ascii="宋体" w:hAnsi="宋体" w:eastAsia="宋体" w:cs="宋体"/>
          <w:sz w:val="24"/>
          <w:szCs w:val="24"/>
        </w:rPr>
      </w:pPr>
      <w:r>
        <w:rPr>
          <w:rFonts w:ascii="宋体" w:hAnsi="宋体" w:eastAsia="宋体" w:cs="宋体"/>
          <w:spacing w:val="-3"/>
          <w:sz w:val="24"/>
          <w:szCs w:val="24"/>
        </w:rPr>
        <w:t>因此，本项目建成运营后，对场区内土壤环境影响较小。</w:t>
      </w:r>
    </w:p>
    <w:p w14:paraId="3887FD28">
      <w:pPr>
        <w:spacing w:before="182" w:line="220" w:lineRule="auto"/>
        <w:ind w:left="528"/>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）废水农灌对消纳地土壤的影响分析</w:t>
      </w:r>
    </w:p>
    <w:p w14:paraId="0F3C93A8">
      <w:pPr>
        <w:spacing w:before="182" w:line="360" w:lineRule="auto"/>
        <w:ind w:left="40" w:right="186" w:firstLine="479"/>
        <w:jc w:val="both"/>
        <w:rPr>
          <w:rFonts w:ascii="宋体" w:hAnsi="宋体" w:eastAsia="宋体" w:cs="宋体"/>
          <w:sz w:val="24"/>
          <w:szCs w:val="24"/>
        </w:rPr>
      </w:pPr>
      <w:r>
        <w:rPr>
          <w:rFonts w:ascii="宋体" w:hAnsi="宋体" w:eastAsia="宋体" w:cs="宋体"/>
          <w:spacing w:val="-3"/>
          <w:sz w:val="24"/>
          <w:szCs w:val="24"/>
        </w:rPr>
        <w:t>研究表明，粪肥施用可明显降低农业面源污染，长期合理施用粪</w:t>
      </w:r>
      <w:r>
        <w:rPr>
          <w:rFonts w:ascii="宋体" w:hAnsi="宋体" w:eastAsia="宋体" w:cs="宋体"/>
          <w:spacing w:val="-4"/>
          <w:sz w:val="24"/>
          <w:szCs w:val="24"/>
        </w:rPr>
        <w:t>肥可显著提</w:t>
      </w:r>
      <w:r>
        <w:rPr>
          <w:rFonts w:ascii="宋体" w:hAnsi="宋体" w:eastAsia="宋体" w:cs="宋体"/>
          <w:spacing w:val="-5"/>
          <w:sz w:val="24"/>
          <w:szCs w:val="24"/>
        </w:rPr>
        <w:t>高土壤有机质、全氮的含量及土壤酶活性，</w:t>
      </w:r>
      <w:r>
        <w:rPr>
          <w:rFonts w:ascii="宋体" w:hAnsi="宋体" w:eastAsia="宋体" w:cs="宋体"/>
          <w:spacing w:val="-47"/>
          <w:sz w:val="24"/>
          <w:szCs w:val="24"/>
        </w:rPr>
        <w:t xml:space="preserve"> </w:t>
      </w:r>
      <w:r>
        <w:rPr>
          <w:rFonts w:ascii="宋体" w:hAnsi="宋体" w:eastAsia="宋体" w:cs="宋体"/>
          <w:spacing w:val="-5"/>
          <w:sz w:val="24"/>
          <w:szCs w:val="24"/>
        </w:rPr>
        <w:t>粪肥中含有大量的氨基酸等有</w:t>
      </w:r>
      <w:r>
        <w:rPr>
          <w:rFonts w:ascii="宋体" w:hAnsi="宋体" w:eastAsia="宋体" w:cs="宋体"/>
          <w:spacing w:val="-6"/>
          <w:sz w:val="24"/>
          <w:szCs w:val="24"/>
        </w:rPr>
        <w:t>机物质</w:t>
      </w:r>
      <w:r>
        <w:rPr>
          <w:rFonts w:ascii="宋体" w:hAnsi="宋体" w:eastAsia="宋体" w:cs="宋体"/>
          <w:spacing w:val="-3"/>
          <w:sz w:val="24"/>
          <w:szCs w:val="24"/>
        </w:rPr>
        <w:t>有利于改善土壤结构及土壤的理化性质。</w:t>
      </w:r>
    </w:p>
    <w:p w14:paraId="776F96A2">
      <w:pPr>
        <w:spacing w:line="360" w:lineRule="auto"/>
        <w:ind w:left="40" w:right="186" w:firstLine="480"/>
        <w:jc w:val="both"/>
        <w:rPr>
          <w:rFonts w:ascii="宋体" w:hAnsi="宋体" w:eastAsia="宋体" w:cs="宋体"/>
          <w:sz w:val="24"/>
          <w:szCs w:val="24"/>
        </w:rPr>
      </w:pPr>
      <w:r>
        <w:rPr>
          <w:rFonts w:ascii="宋体" w:hAnsi="宋体" w:eastAsia="宋体" w:cs="宋体"/>
          <w:spacing w:val="-4"/>
          <w:sz w:val="24"/>
          <w:szCs w:val="24"/>
        </w:rPr>
        <w:t>本项目养殖废水经处理达标后用于消纳地农灌，出水水质满足《农田灌溉水</w:t>
      </w:r>
      <w:r>
        <w:rPr>
          <w:rFonts w:ascii="宋体" w:hAnsi="宋体" w:eastAsia="宋体" w:cs="宋体"/>
          <w:spacing w:val="-3"/>
          <w:sz w:val="24"/>
          <w:szCs w:val="24"/>
        </w:rPr>
        <w:t>质标准》（</w:t>
      </w:r>
      <w:r>
        <w:rPr>
          <w:rFonts w:ascii="Times New Roman" w:hAnsi="Times New Roman" w:eastAsia="Times New Roman" w:cs="Times New Roman"/>
          <w:spacing w:val="-3"/>
          <w:sz w:val="24"/>
          <w:szCs w:val="24"/>
        </w:rPr>
        <w:t>GB5084-2021</w:t>
      </w:r>
      <w:r>
        <w:rPr>
          <w:rFonts w:ascii="宋体" w:hAnsi="宋体" w:eastAsia="宋体" w:cs="宋体"/>
          <w:spacing w:val="-3"/>
          <w:sz w:val="24"/>
          <w:szCs w:val="24"/>
        </w:rPr>
        <w:t>）旱地作物标准，其</w:t>
      </w:r>
      <w:r>
        <w:rPr>
          <w:rFonts w:ascii="Times New Roman" w:hAnsi="Times New Roman" w:eastAsia="Times New Roman" w:cs="Times New Roman"/>
          <w:spacing w:val="-3"/>
          <w:sz w:val="24"/>
          <w:szCs w:val="24"/>
        </w:rPr>
        <w:t>N</w:t>
      </w:r>
      <w:r>
        <w:rPr>
          <w:rFonts w:ascii="宋体" w:hAnsi="宋体" w:eastAsia="宋体" w:cs="宋体"/>
          <w:spacing w:val="-3"/>
          <w:sz w:val="24"/>
          <w:szCs w:val="24"/>
        </w:rPr>
        <w:t>、</w:t>
      </w:r>
      <w:r>
        <w:rPr>
          <w:rFonts w:ascii="Times New Roman" w:hAnsi="Times New Roman" w:eastAsia="Times New Roman" w:cs="Times New Roman"/>
          <w:spacing w:val="-3"/>
          <w:sz w:val="24"/>
          <w:szCs w:val="24"/>
        </w:rPr>
        <w:t>P</w:t>
      </w:r>
      <w:r>
        <w:rPr>
          <w:rFonts w:ascii="宋体" w:hAnsi="宋体" w:eastAsia="宋体" w:cs="宋体"/>
          <w:spacing w:val="-3"/>
          <w:sz w:val="24"/>
          <w:szCs w:val="24"/>
        </w:rPr>
        <w:t>养分完全没有超过农作物的需求量，因此在本项目尾水用于农灌时可根据在土壤中的迁移规律、作物对液肥的吸收能力，进行合理灌溉，项目尾水用于农灌不会导致土壤退化和土地盐碱化现</w:t>
      </w:r>
      <w:r>
        <w:rPr>
          <w:rFonts w:ascii="宋体" w:hAnsi="宋体" w:eastAsia="宋体" w:cs="宋体"/>
          <w:spacing w:val="-8"/>
          <w:sz w:val="24"/>
          <w:szCs w:val="24"/>
        </w:rPr>
        <w:t>象的发生。</w:t>
      </w:r>
    </w:p>
    <w:p w14:paraId="7643B9EF">
      <w:pPr>
        <w:spacing w:before="4" w:line="359" w:lineRule="auto"/>
        <w:ind w:left="45" w:right="186" w:firstLine="473"/>
        <w:jc w:val="both"/>
        <w:rPr>
          <w:rFonts w:ascii="宋体" w:hAnsi="宋体" w:eastAsia="宋体" w:cs="宋体"/>
          <w:sz w:val="24"/>
          <w:szCs w:val="24"/>
        </w:rPr>
      </w:pPr>
      <w:r>
        <w:rPr>
          <w:rFonts w:ascii="宋体" w:hAnsi="宋体" w:eastAsia="宋体" w:cs="宋体"/>
          <w:spacing w:val="-11"/>
          <w:sz w:val="24"/>
          <w:szCs w:val="24"/>
        </w:rPr>
        <w:t>评价要求废水农灌时，应参照《农田面源污染防治技术指南》（环办</w:t>
      </w:r>
      <w:r>
        <w:rPr>
          <w:rFonts w:ascii="Times New Roman" w:hAnsi="Times New Roman" w:eastAsia="Times New Roman" w:cs="Times New Roman"/>
          <w:spacing w:val="-11"/>
          <w:sz w:val="24"/>
          <w:szCs w:val="24"/>
        </w:rPr>
        <w:t>[</w:t>
      </w:r>
      <w:r>
        <w:fldChar w:fldCharType="begin"/>
      </w:r>
      <w:r>
        <w:instrText xml:space="preserve"> HYPERLINK \l "bookmark177" </w:instrText>
      </w:r>
      <w:r>
        <w:fldChar w:fldCharType="separate"/>
      </w:r>
      <w:r>
        <w:rPr>
          <w:rFonts w:ascii="Times New Roman" w:hAnsi="Times New Roman" w:eastAsia="Times New Roman" w:cs="Times New Roman"/>
          <w:spacing w:val="-11"/>
          <w:sz w:val="24"/>
          <w:szCs w:val="24"/>
        </w:rPr>
        <w:t>2014</w:t>
      </w:r>
      <w:r>
        <w:rPr>
          <w:rFonts w:ascii="Times New Roman" w:hAnsi="Times New Roman" w:eastAsia="Times New Roman" w:cs="Times New Roman"/>
          <w:spacing w:val="-11"/>
          <w:sz w:val="24"/>
          <w:szCs w:val="24"/>
        </w:rPr>
        <w:fldChar w:fldCharType="end"/>
      </w:r>
      <w:r>
        <w:rPr>
          <w:rFonts w:ascii="Times New Roman" w:hAnsi="Times New Roman" w:eastAsia="Times New Roman" w:cs="Times New Roman"/>
          <w:spacing w:val="-11"/>
          <w:sz w:val="24"/>
          <w:szCs w:val="24"/>
        </w:rPr>
        <w: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1"/>
          <w:sz w:val="24"/>
          <w:szCs w:val="24"/>
        </w:rPr>
        <w:t>111</w:t>
      </w:r>
      <w:r>
        <w:rPr>
          <w:rFonts w:ascii="宋体" w:hAnsi="宋体" w:eastAsia="宋体" w:cs="宋体"/>
          <w:spacing w:val="-3"/>
          <w:sz w:val="24"/>
          <w:szCs w:val="24"/>
        </w:rPr>
        <w:t>号）要求进行科学施肥，按照农作物生长需要严格控制施用量，避免</w:t>
      </w:r>
      <w:r>
        <w:rPr>
          <w:rFonts w:ascii="宋体" w:hAnsi="宋体" w:eastAsia="宋体" w:cs="宋体"/>
          <w:spacing w:val="-4"/>
          <w:sz w:val="24"/>
          <w:szCs w:val="24"/>
        </w:rPr>
        <w:t>盲目追求肥</w:t>
      </w:r>
      <w:r>
        <w:rPr>
          <w:rFonts w:ascii="宋体" w:hAnsi="宋体" w:eastAsia="宋体" w:cs="宋体"/>
          <w:spacing w:val="-6"/>
          <w:sz w:val="24"/>
          <w:szCs w:val="24"/>
        </w:rPr>
        <w:t>效，出现过量施肥情况，超过土壤承载能力。同</w:t>
      </w:r>
      <w:r>
        <w:rPr>
          <w:rFonts w:ascii="宋体" w:hAnsi="宋体" w:eastAsia="宋体" w:cs="宋体"/>
          <w:spacing w:val="-7"/>
          <w:sz w:val="24"/>
          <w:szCs w:val="24"/>
        </w:rPr>
        <w:t>时采用科学合理的施肥方式， 做</w:t>
      </w:r>
      <w:r>
        <w:rPr>
          <w:rFonts w:ascii="宋体" w:hAnsi="宋体" w:eastAsia="宋体" w:cs="宋体"/>
          <w:spacing w:val="-3"/>
          <w:sz w:val="24"/>
          <w:szCs w:val="24"/>
        </w:rPr>
        <w:t>到均匀施肥，避免出现局部过量的情况。</w:t>
      </w:r>
    </w:p>
    <w:p w14:paraId="2973BA22">
      <w:pPr>
        <w:spacing w:before="1"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4</w:t>
      </w:r>
      <w:r>
        <w:rPr>
          <w:rFonts w:ascii="宋体" w:hAnsi="宋体" w:eastAsia="宋体" w:cs="宋体"/>
          <w:b/>
          <w:bCs/>
          <w:spacing w:val="-4"/>
          <w:sz w:val="24"/>
          <w:szCs w:val="24"/>
        </w:rPr>
        <w:t>）兽药使用对土壤的影响分析</w:t>
      </w:r>
    </w:p>
    <w:p w14:paraId="69294326">
      <w:pPr>
        <w:spacing w:before="182" w:line="360" w:lineRule="auto"/>
        <w:ind w:left="37" w:firstLine="482"/>
        <w:jc w:val="both"/>
        <w:rPr>
          <w:rFonts w:ascii="宋体" w:hAnsi="宋体" w:eastAsia="宋体" w:cs="宋体"/>
          <w:sz w:val="24"/>
          <w:szCs w:val="24"/>
        </w:rPr>
      </w:pPr>
      <w:r>
        <w:rPr>
          <w:rFonts w:ascii="宋体" w:hAnsi="宋体" w:eastAsia="宋体" w:cs="宋体"/>
          <w:spacing w:val="-5"/>
          <w:sz w:val="24"/>
          <w:szCs w:val="24"/>
        </w:rPr>
        <w:t>养殖废水中的抗生素受到关注，粪污处理中的厌氧发酵等可降解某些抗生素，</w:t>
      </w:r>
      <w:r>
        <w:rPr>
          <w:rFonts w:ascii="宋体" w:hAnsi="宋体" w:eastAsia="宋体" w:cs="宋体"/>
          <w:spacing w:val="-1"/>
          <w:sz w:val="24"/>
          <w:szCs w:val="24"/>
        </w:rPr>
        <w:t>但仍会有少数抗生素留存于废水中，废水农灌使用时，抗生素会残存在土壤中，</w:t>
      </w:r>
      <w:r>
        <w:rPr>
          <w:rFonts w:ascii="宋体" w:hAnsi="宋体" w:eastAsia="宋体" w:cs="宋体"/>
          <w:spacing w:val="-2"/>
          <w:sz w:val="24"/>
          <w:szCs w:val="24"/>
        </w:rPr>
        <w:t>甚至被植物所吸收，对整体生物链产生不良作用。</w:t>
      </w:r>
    </w:p>
    <w:p w14:paraId="5CC64A79">
      <w:pPr>
        <w:spacing w:before="5" w:line="360" w:lineRule="auto"/>
        <w:ind w:left="39" w:right="122" w:firstLine="480"/>
        <w:jc w:val="both"/>
        <w:rPr>
          <w:rFonts w:ascii="宋体" w:hAnsi="宋体" w:eastAsia="宋体" w:cs="宋体"/>
          <w:sz w:val="24"/>
          <w:szCs w:val="24"/>
        </w:rPr>
      </w:pPr>
      <w:r>
        <w:rPr>
          <w:rFonts w:ascii="宋体" w:hAnsi="宋体" w:eastAsia="宋体" w:cs="宋体"/>
          <w:sz w:val="24"/>
          <w:szCs w:val="24"/>
        </w:rPr>
        <w:t>兽药使用的管制在世界各地都是相当严格的，欧盟已于</w:t>
      </w:r>
      <w:r>
        <w:rPr>
          <w:rFonts w:ascii="Times New Roman" w:hAnsi="Times New Roman" w:eastAsia="Times New Roman" w:cs="Times New Roman"/>
          <w:sz w:val="24"/>
          <w:szCs w:val="24"/>
        </w:rPr>
        <w:t>2002</w:t>
      </w:r>
      <w:r>
        <w:rPr>
          <w:rFonts w:ascii="宋体" w:hAnsi="宋体" w:eastAsia="宋体" w:cs="宋体"/>
          <w:sz w:val="24"/>
          <w:szCs w:val="24"/>
        </w:rPr>
        <w:t>年</w:t>
      </w:r>
      <w:r>
        <w:rPr>
          <w:rFonts w:ascii="Times New Roman" w:hAnsi="Times New Roman" w:eastAsia="Times New Roman" w:cs="Times New Roman"/>
          <w:sz w:val="24"/>
          <w:szCs w:val="24"/>
        </w:rPr>
        <w:t>3</w:t>
      </w:r>
      <w:r>
        <w:rPr>
          <w:rFonts w:ascii="宋体" w:hAnsi="宋体" w:eastAsia="宋体" w:cs="宋体"/>
          <w:sz w:val="24"/>
          <w:szCs w:val="24"/>
        </w:rPr>
        <w:t>月底全面禁</w:t>
      </w:r>
      <w:r>
        <w:rPr>
          <w:rFonts w:ascii="宋体" w:hAnsi="宋体" w:eastAsia="宋体" w:cs="宋体"/>
          <w:spacing w:val="-3"/>
          <w:sz w:val="24"/>
          <w:szCs w:val="24"/>
        </w:rPr>
        <w:t>止在饲料中使用生长激素类抗生素；瑞典政府自</w:t>
      </w:r>
      <w:r>
        <w:rPr>
          <w:rFonts w:ascii="Times New Roman" w:hAnsi="Times New Roman" w:eastAsia="Times New Roman" w:cs="Times New Roman"/>
          <w:spacing w:val="-3"/>
          <w:sz w:val="24"/>
          <w:szCs w:val="24"/>
        </w:rPr>
        <w:t>1986</w:t>
      </w:r>
      <w:r>
        <w:rPr>
          <w:rFonts w:ascii="宋体" w:hAnsi="宋体" w:eastAsia="宋体" w:cs="宋体"/>
          <w:spacing w:val="-3"/>
          <w:sz w:val="24"/>
          <w:szCs w:val="24"/>
        </w:rPr>
        <w:t>年就已经禁止在供肉类的动</w:t>
      </w:r>
      <w:r>
        <w:rPr>
          <w:rFonts w:ascii="宋体" w:hAnsi="宋体" w:eastAsia="宋体" w:cs="宋体"/>
          <w:spacing w:val="-8"/>
          <w:sz w:val="24"/>
          <w:szCs w:val="24"/>
        </w:rPr>
        <w:t>物饲料中添加各种抗生素；在英国，四环素类兽药是明令禁止作为饲料添加剂的；</w:t>
      </w:r>
      <w:r>
        <w:rPr>
          <w:rFonts w:ascii="宋体" w:hAnsi="宋体" w:eastAsia="宋体" w:cs="宋体"/>
          <w:spacing w:val="-6"/>
          <w:sz w:val="24"/>
          <w:szCs w:val="24"/>
        </w:rPr>
        <w:t>而参考日本和加拿大的标准，各类兽药中只有恩诺沙星类允许使用。在我国，</w:t>
      </w:r>
      <w:r>
        <w:rPr>
          <w:rFonts w:ascii="宋体" w:hAnsi="宋体" w:eastAsia="宋体" w:cs="宋体"/>
          <w:spacing w:val="41"/>
          <w:sz w:val="24"/>
          <w:szCs w:val="24"/>
        </w:rPr>
        <w:t xml:space="preserve"> </w:t>
      </w:r>
      <w:r>
        <w:rPr>
          <w:rFonts w:ascii="宋体" w:hAnsi="宋体" w:eastAsia="宋体" w:cs="宋体"/>
          <w:spacing w:val="-6"/>
          <w:sz w:val="24"/>
          <w:szCs w:val="24"/>
        </w:rPr>
        <w:t>目</w:t>
      </w:r>
    </w:p>
    <w:p w14:paraId="4EFEF0CF">
      <w:pPr>
        <w:spacing w:line="360" w:lineRule="auto"/>
        <w:rPr>
          <w:rFonts w:ascii="宋体" w:hAnsi="宋体" w:eastAsia="宋体" w:cs="宋体"/>
          <w:sz w:val="24"/>
          <w:szCs w:val="24"/>
        </w:rPr>
        <w:sectPr>
          <w:headerReference r:id="rId397" w:type="default"/>
          <w:footerReference r:id="rId398" w:type="default"/>
          <w:pgSz w:w="11905" w:h="16840"/>
          <w:pgMar w:top="1168" w:right="1611" w:bottom="1409" w:left="1770" w:header="828" w:footer="1244" w:gutter="0"/>
          <w:cols w:space="720" w:num="1"/>
        </w:sectPr>
      </w:pPr>
    </w:p>
    <w:p w14:paraId="03F8278C">
      <w:pPr>
        <w:pStyle w:val="2"/>
        <w:spacing w:line="306" w:lineRule="auto"/>
      </w:pPr>
    </w:p>
    <w:p w14:paraId="1D998C7D">
      <w:pPr>
        <w:spacing w:before="78" w:line="360" w:lineRule="auto"/>
        <w:ind w:left="61" w:right="29" w:hanging="18"/>
        <w:rPr>
          <w:rFonts w:ascii="宋体" w:hAnsi="宋体" w:eastAsia="宋体" w:cs="宋体"/>
          <w:sz w:val="24"/>
          <w:szCs w:val="24"/>
        </w:rPr>
      </w:pPr>
      <w:r>
        <w:rPr>
          <w:rFonts w:ascii="宋体" w:hAnsi="宋体" w:eastAsia="宋体" w:cs="宋体"/>
          <w:spacing w:val="-3"/>
          <w:sz w:val="24"/>
          <w:szCs w:val="24"/>
        </w:rPr>
        <w:t>前还没有出台相关土壤兽药残留评价标准，若项目在饲养过程中添加的微</w:t>
      </w:r>
      <w:r>
        <w:rPr>
          <w:rFonts w:ascii="宋体" w:hAnsi="宋体" w:eastAsia="宋体" w:cs="宋体"/>
          <w:spacing w:val="-4"/>
          <w:sz w:val="24"/>
          <w:szCs w:val="24"/>
        </w:rPr>
        <w:t>量元素</w:t>
      </w:r>
      <w:r>
        <w:rPr>
          <w:rFonts w:ascii="宋体" w:hAnsi="宋体" w:eastAsia="宋体" w:cs="宋体"/>
          <w:spacing w:val="-2"/>
          <w:sz w:val="24"/>
          <w:szCs w:val="24"/>
        </w:rPr>
        <w:t>中含有大量或超标的重金属及激素类物种时，则存在抗生素富</w:t>
      </w:r>
      <w:r>
        <w:rPr>
          <w:rFonts w:ascii="宋体" w:hAnsi="宋体" w:eastAsia="宋体" w:cs="宋体"/>
          <w:spacing w:val="-3"/>
          <w:sz w:val="24"/>
          <w:szCs w:val="24"/>
        </w:rPr>
        <w:t>集风险。</w:t>
      </w:r>
    </w:p>
    <w:p w14:paraId="18A2C52F">
      <w:pPr>
        <w:spacing w:line="361" w:lineRule="auto"/>
        <w:ind w:left="39" w:right="29" w:firstLine="480"/>
        <w:jc w:val="both"/>
        <w:rPr>
          <w:rFonts w:ascii="宋体" w:hAnsi="宋体" w:eastAsia="宋体" w:cs="宋体"/>
          <w:sz w:val="24"/>
          <w:szCs w:val="24"/>
        </w:rPr>
      </w:pPr>
      <w:r>
        <w:rPr>
          <w:rFonts w:ascii="宋体" w:hAnsi="宋体" w:eastAsia="宋体" w:cs="宋体"/>
          <w:spacing w:val="-3"/>
          <w:sz w:val="24"/>
          <w:szCs w:val="24"/>
        </w:rPr>
        <w:t>本项目在饲养过程中采用安全环保的微量元素添加剂，科学饲</w:t>
      </w:r>
      <w:r>
        <w:rPr>
          <w:rFonts w:ascii="宋体" w:hAnsi="宋体" w:eastAsia="宋体" w:cs="宋体"/>
          <w:spacing w:val="-4"/>
          <w:sz w:val="24"/>
          <w:szCs w:val="24"/>
        </w:rPr>
        <w:t>养，严禁在饲</w:t>
      </w:r>
      <w:r>
        <w:rPr>
          <w:rFonts w:ascii="宋体" w:hAnsi="宋体" w:eastAsia="宋体" w:cs="宋体"/>
          <w:spacing w:val="-3"/>
          <w:sz w:val="24"/>
          <w:szCs w:val="24"/>
        </w:rPr>
        <w:t>料中添加生长激素类抗生素和含有大量重金属的微量元素，并严格按照消纳场地的消纳能力进行适量施肥，防止过量施肥，在源头上防止粪肥施用导致的土壤重金属和激素富集和超标，防止污染土壤环境。</w:t>
      </w:r>
    </w:p>
    <w:p w14:paraId="56FBF8C5">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4.2.6.5 </w:t>
      </w:r>
      <w:r>
        <w:rPr>
          <w:rFonts w:ascii="宋体" w:hAnsi="宋体" w:eastAsia="宋体" w:cs="宋体"/>
          <w:b/>
          <w:bCs/>
          <w:spacing w:val="5"/>
          <w:sz w:val="27"/>
          <w:szCs w:val="27"/>
        </w:rPr>
        <w:t>土壤污染防治措施</w:t>
      </w:r>
    </w:p>
    <w:p w14:paraId="0B763870">
      <w:pPr>
        <w:spacing w:before="234"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）项目养殖场及粪污处理区</w:t>
      </w:r>
    </w:p>
    <w:p w14:paraId="241086BE">
      <w:pPr>
        <w:spacing w:before="182" w:line="219" w:lineRule="auto"/>
        <w:ind w:left="520"/>
        <w:rPr>
          <w:rFonts w:ascii="宋体" w:hAnsi="宋体" w:eastAsia="宋体" w:cs="宋体"/>
          <w:sz w:val="24"/>
          <w:szCs w:val="24"/>
        </w:rPr>
      </w:pPr>
      <w:r>
        <w:rPr>
          <w:rFonts w:ascii="宋体" w:hAnsi="宋体" w:eastAsia="宋体" w:cs="宋体"/>
          <w:spacing w:val="-5"/>
          <w:sz w:val="24"/>
          <w:szCs w:val="24"/>
        </w:rPr>
        <w:t>本项目采取的污染防治措施如下：</w:t>
      </w:r>
    </w:p>
    <w:p w14:paraId="5E99DD95">
      <w:pPr>
        <w:spacing w:before="184" w:line="217" w:lineRule="auto"/>
        <w:ind w:left="518"/>
        <w:rPr>
          <w:rFonts w:ascii="宋体" w:hAnsi="宋体" w:eastAsia="宋体" w:cs="宋体"/>
          <w:sz w:val="24"/>
          <w:szCs w:val="24"/>
        </w:rPr>
      </w:pPr>
      <w:r>
        <w:rPr>
          <w:rFonts w:ascii="宋体" w:hAnsi="宋体" w:eastAsia="宋体" w:cs="宋体"/>
          <w:spacing w:val="-2"/>
          <w:sz w:val="24"/>
          <w:szCs w:val="24"/>
        </w:rPr>
        <w:t>①废气处理措施</w:t>
      </w:r>
    </w:p>
    <w:p w14:paraId="6BAC62D1">
      <w:pPr>
        <w:spacing w:before="185" w:line="360" w:lineRule="auto"/>
        <w:ind w:left="37" w:right="29" w:firstLine="482"/>
        <w:rPr>
          <w:rFonts w:ascii="宋体" w:hAnsi="宋体" w:eastAsia="宋体" w:cs="宋体"/>
          <w:sz w:val="24"/>
          <w:szCs w:val="24"/>
        </w:rPr>
      </w:pPr>
      <w:r>
        <w:rPr>
          <w:rFonts w:ascii="宋体" w:hAnsi="宋体" w:eastAsia="宋体" w:cs="宋体"/>
          <w:sz w:val="24"/>
          <w:szCs w:val="24"/>
        </w:rPr>
        <w:t>养殖过程</w:t>
      </w: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16"/>
          <w:position w:val="-2"/>
          <w:sz w:val="15"/>
          <w:szCs w:val="15"/>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3</w:t>
      </w:r>
      <w:r>
        <w:rPr>
          <w:rFonts w:ascii="宋体" w:hAnsi="宋体" w:eastAsia="宋体" w:cs="宋体"/>
          <w:sz w:val="24"/>
          <w:szCs w:val="24"/>
        </w:rPr>
        <w:t>主要来自于猪舍、粪污处理区，其中猪舍产生的恶臭主</w:t>
      </w:r>
      <w:r>
        <w:rPr>
          <w:rFonts w:ascii="宋体" w:hAnsi="宋体" w:eastAsia="宋体" w:cs="宋体"/>
          <w:spacing w:val="-3"/>
          <w:sz w:val="24"/>
          <w:szCs w:val="24"/>
        </w:rPr>
        <w:t>要通过采用投放除臭剂、加强消毒和通风、设置生物除臭网、科学设计日粮、加强绿化等措施进行控制。污水处理站粪污收集池、污泥池采取加盖密闭、投放除</w:t>
      </w:r>
      <w:r>
        <w:rPr>
          <w:rFonts w:ascii="宋体" w:hAnsi="宋体" w:eastAsia="宋体" w:cs="宋体"/>
          <w:spacing w:val="1"/>
          <w:sz w:val="24"/>
          <w:szCs w:val="24"/>
        </w:rPr>
        <w:t>臭剂、暗管输送。粪污收集池、污泥池、</w:t>
      </w:r>
      <w:r>
        <w:rPr>
          <w:rFonts w:ascii="Times New Roman" w:hAnsi="Times New Roman" w:eastAsia="Times New Roman" w:cs="Times New Roman"/>
          <w:sz w:val="24"/>
          <w:szCs w:val="24"/>
        </w:rPr>
        <w:t>AO</w:t>
      </w:r>
      <w:r>
        <w:rPr>
          <w:rFonts w:ascii="宋体" w:hAnsi="宋体" w:eastAsia="宋体" w:cs="宋体"/>
          <w:spacing w:val="1"/>
          <w:sz w:val="24"/>
          <w:szCs w:val="24"/>
        </w:rPr>
        <w:t>池臭气经收集后引至生物除臭</w:t>
      </w:r>
      <w:r>
        <w:rPr>
          <w:rFonts w:ascii="宋体" w:hAnsi="宋体" w:eastAsia="宋体" w:cs="宋体"/>
          <w:sz w:val="24"/>
          <w:szCs w:val="24"/>
        </w:rPr>
        <w:t>设施</w:t>
      </w:r>
      <w:r>
        <w:rPr>
          <w:rFonts w:ascii="宋体" w:hAnsi="宋体" w:eastAsia="宋体" w:cs="宋体"/>
          <w:spacing w:val="2"/>
          <w:sz w:val="24"/>
          <w:szCs w:val="24"/>
        </w:rPr>
        <w:t>进行处理后由</w:t>
      </w:r>
      <w:r>
        <w:rPr>
          <w:rFonts w:ascii="Times New Roman" w:hAnsi="Times New Roman" w:eastAsia="Times New Roman" w:cs="Times New Roman"/>
          <w:spacing w:val="2"/>
          <w:sz w:val="24"/>
          <w:szCs w:val="24"/>
        </w:rPr>
        <w:t>1</w:t>
      </w:r>
      <w:r>
        <w:rPr>
          <w:rFonts w:ascii="宋体" w:hAnsi="宋体" w:eastAsia="宋体" w:cs="宋体"/>
          <w:spacing w:val="2"/>
          <w:sz w:val="24"/>
          <w:szCs w:val="24"/>
        </w:rPr>
        <w:t>根</w:t>
      </w:r>
      <w:r>
        <w:rPr>
          <w:rFonts w:ascii="Times New Roman" w:hAnsi="Times New Roman" w:eastAsia="Times New Roman" w:cs="Times New Roman"/>
          <w:spacing w:val="2"/>
          <w:sz w:val="24"/>
          <w:szCs w:val="24"/>
        </w:rPr>
        <w:t>15m</w:t>
      </w:r>
      <w:r>
        <w:rPr>
          <w:rFonts w:ascii="宋体" w:hAnsi="宋体" w:eastAsia="宋体" w:cs="宋体"/>
          <w:spacing w:val="2"/>
          <w:sz w:val="24"/>
          <w:szCs w:val="24"/>
        </w:rPr>
        <w:t>高排气筒排放，堆粪棚臭气经收集后引至生物除臭设施进</w:t>
      </w:r>
      <w:r>
        <w:rPr>
          <w:rFonts w:ascii="宋体" w:hAnsi="宋体" w:eastAsia="宋体" w:cs="宋体"/>
          <w:spacing w:val="-3"/>
          <w:sz w:val="24"/>
          <w:szCs w:val="24"/>
        </w:rPr>
        <w:t>行处理后由</w:t>
      </w:r>
      <w:r>
        <w:rPr>
          <w:rFonts w:ascii="Times New Roman" w:hAnsi="Times New Roman" w:eastAsia="Times New Roman" w:cs="Times New Roman"/>
          <w:spacing w:val="-3"/>
          <w:sz w:val="24"/>
          <w:szCs w:val="24"/>
        </w:rPr>
        <w:t>1</w:t>
      </w:r>
      <w:r>
        <w:rPr>
          <w:rFonts w:ascii="宋体" w:hAnsi="宋体" w:eastAsia="宋体" w:cs="宋体"/>
          <w:spacing w:val="-3"/>
          <w:sz w:val="24"/>
          <w:szCs w:val="24"/>
        </w:rPr>
        <w:t>根</w:t>
      </w:r>
      <w:r>
        <w:rPr>
          <w:rFonts w:ascii="Times New Roman" w:hAnsi="Times New Roman" w:eastAsia="Times New Roman" w:cs="Times New Roman"/>
          <w:spacing w:val="-3"/>
          <w:sz w:val="24"/>
          <w:szCs w:val="24"/>
        </w:rPr>
        <w:t>15m</w:t>
      </w:r>
      <w:r>
        <w:rPr>
          <w:rFonts w:ascii="宋体" w:hAnsi="宋体" w:eastAsia="宋体" w:cs="宋体"/>
          <w:spacing w:val="-3"/>
          <w:sz w:val="24"/>
          <w:szCs w:val="24"/>
        </w:rPr>
        <w:t>高排气筒排放。</w:t>
      </w:r>
    </w:p>
    <w:p w14:paraId="2D217CB8">
      <w:pPr>
        <w:spacing w:before="2" w:line="359" w:lineRule="auto"/>
        <w:ind w:left="43" w:right="32" w:firstLine="476"/>
        <w:rPr>
          <w:rFonts w:ascii="宋体" w:hAnsi="宋体" w:eastAsia="宋体" w:cs="宋体"/>
          <w:sz w:val="24"/>
          <w:szCs w:val="24"/>
        </w:rPr>
      </w:pPr>
      <w:r>
        <w:rPr>
          <w:rFonts w:ascii="宋体" w:hAnsi="宋体" w:eastAsia="宋体" w:cs="宋体"/>
          <w:sz w:val="24"/>
          <w:szCs w:val="24"/>
        </w:rPr>
        <w:t>通过上述措施后，项目</w:t>
      </w: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15"/>
          <w:position w:val="-2"/>
          <w:sz w:val="15"/>
          <w:szCs w:val="15"/>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3</w:t>
      </w:r>
      <w:r>
        <w:rPr>
          <w:rFonts w:ascii="宋体" w:hAnsi="宋体" w:eastAsia="宋体" w:cs="宋体"/>
          <w:sz w:val="24"/>
          <w:szCs w:val="24"/>
        </w:rPr>
        <w:t>可实现达标排放，污染物排放量极少，污</w:t>
      </w:r>
      <w:r>
        <w:rPr>
          <w:rFonts w:ascii="宋体" w:hAnsi="宋体" w:eastAsia="宋体" w:cs="宋体"/>
          <w:spacing w:val="-1"/>
          <w:sz w:val="24"/>
          <w:szCs w:val="24"/>
        </w:rPr>
        <w:t>染物为可降解且环境中广泛存在的物质，不存</w:t>
      </w:r>
      <w:r>
        <w:rPr>
          <w:rFonts w:ascii="宋体" w:hAnsi="宋体" w:eastAsia="宋体" w:cs="宋体"/>
          <w:spacing w:val="-2"/>
          <w:sz w:val="24"/>
          <w:szCs w:val="24"/>
        </w:rPr>
        <w:t>在无法降解的永久性污染物质。</w:t>
      </w:r>
    </w:p>
    <w:p w14:paraId="1DB738A6">
      <w:pPr>
        <w:spacing w:before="1" w:line="217" w:lineRule="auto"/>
        <w:ind w:left="517"/>
        <w:rPr>
          <w:rFonts w:ascii="宋体" w:hAnsi="宋体" w:eastAsia="宋体" w:cs="宋体"/>
          <w:sz w:val="24"/>
          <w:szCs w:val="24"/>
        </w:rPr>
      </w:pPr>
      <w:r>
        <w:rPr>
          <w:rFonts w:ascii="宋体" w:hAnsi="宋体" w:eastAsia="宋体" w:cs="宋体"/>
          <w:spacing w:val="-1"/>
          <w:sz w:val="24"/>
          <w:szCs w:val="24"/>
        </w:rPr>
        <w:t>②废水处理措施</w:t>
      </w:r>
    </w:p>
    <w:p w14:paraId="72F61E42">
      <w:pPr>
        <w:spacing w:before="185" w:line="360" w:lineRule="auto"/>
        <w:ind w:left="39" w:right="29" w:firstLine="480"/>
        <w:rPr>
          <w:rFonts w:ascii="宋体" w:hAnsi="宋体" w:eastAsia="宋体" w:cs="宋体"/>
          <w:sz w:val="24"/>
          <w:szCs w:val="24"/>
        </w:rPr>
      </w:pPr>
      <w:r>
        <w:rPr>
          <w:rFonts w:ascii="宋体" w:hAnsi="宋体" w:eastAsia="宋体" w:cs="宋体"/>
          <w:spacing w:val="-3"/>
          <w:sz w:val="24"/>
          <w:szCs w:val="24"/>
        </w:rPr>
        <w:t>根据设计，项目场区内排水系统采用雨、污分流制。场内养殖废</w:t>
      </w:r>
      <w:r>
        <w:rPr>
          <w:rFonts w:ascii="宋体" w:hAnsi="宋体" w:eastAsia="宋体" w:cs="宋体"/>
          <w:spacing w:val="-4"/>
          <w:sz w:val="24"/>
          <w:szCs w:val="24"/>
        </w:rPr>
        <w:t>水及生活污</w:t>
      </w:r>
      <w:r>
        <w:rPr>
          <w:rFonts w:ascii="宋体" w:hAnsi="宋体" w:eastAsia="宋体" w:cs="宋体"/>
          <w:spacing w:val="2"/>
          <w:sz w:val="24"/>
          <w:szCs w:val="24"/>
        </w:rPr>
        <w:t>水经污水处理站（采用</w:t>
      </w:r>
      <w:r>
        <w:rPr>
          <w:rFonts w:ascii="Times New Roman" w:hAnsi="Times New Roman" w:eastAsia="Times New Roman" w:cs="Times New Roman"/>
          <w:spacing w:val="2"/>
          <w:sz w:val="24"/>
          <w:szCs w:val="24"/>
        </w:rPr>
        <w:t>“</w:t>
      </w:r>
      <w:r>
        <w:rPr>
          <w:rFonts w:ascii="宋体" w:hAnsi="宋体" w:eastAsia="宋体" w:cs="宋体"/>
          <w:spacing w:val="2"/>
          <w:sz w:val="24"/>
          <w:szCs w:val="24"/>
        </w:rPr>
        <w:t>粪污收集池</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固液</w:t>
      </w:r>
      <w:r>
        <w:rPr>
          <w:rFonts w:ascii="宋体" w:hAnsi="宋体" w:eastAsia="宋体" w:cs="宋体"/>
          <w:spacing w:val="1"/>
          <w:sz w:val="24"/>
          <w:szCs w:val="24"/>
        </w:rPr>
        <w:t>分离</w:t>
      </w:r>
      <w:r>
        <w:rPr>
          <w:rFonts w:ascii="Times New Roman" w:hAnsi="Times New Roman" w:eastAsia="Times New Roman" w:cs="Times New Roman"/>
          <w:spacing w:val="1"/>
          <w:sz w:val="24"/>
          <w:szCs w:val="24"/>
        </w:rPr>
        <w:t>+</w:t>
      </w:r>
      <w:r>
        <w:rPr>
          <w:rFonts w:ascii="宋体" w:hAnsi="宋体" w:eastAsia="宋体" w:cs="宋体"/>
          <w:spacing w:val="1"/>
          <w:sz w:val="24"/>
          <w:szCs w:val="24"/>
        </w:rPr>
        <w:t>水解酸化池</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CSTR</w:t>
      </w:r>
      <w:r>
        <w:rPr>
          <w:rFonts w:ascii="宋体" w:hAnsi="宋体" w:eastAsia="宋体" w:cs="宋体"/>
          <w:spacing w:val="1"/>
          <w:sz w:val="24"/>
          <w:szCs w:val="24"/>
        </w:rPr>
        <w:t>厌氧反应器</w:t>
      </w:r>
      <w:r>
        <w:rPr>
          <w:rFonts w:ascii="Times New Roman" w:hAnsi="Times New Roman" w:eastAsia="Times New Roman" w:cs="Times New Roman"/>
          <w:spacing w:val="1"/>
          <w:sz w:val="24"/>
          <w:szCs w:val="24"/>
        </w:rPr>
        <w:t>+</w:t>
      </w:r>
      <w:r>
        <w:rPr>
          <w:rFonts w:ascii="宋体" w:hAnsi="宋体" w:eastAsia="宋体" w:cs="宋体"/>
          <w:spacing w:val="5"/>
          <w:sz w:val="24"/>
          <w:szCs w:val="24"/>
        </w:rPr>
        <w:t>微生物曝氧塘</w:t>
      </w:r>
      <w:r>
        <w:rPr>
          <w:rFonts w:ascii="Times New Roman" w:hAnsi="Times New Roman" w:eastAsia="Times New Roman" w:cs="Times New Roman"/>
          <w:spacing w:val="5"/>
          <w:sz w:val="24"/>
          <w:szCs w:val="24"/>
        </w:rPr>
        <w:t>+</w:t>
      </w:r>
      <w:r>
        <w:rPr>
          <w:rFonts w:ascii="宋体" w:hAnsi="宋体" w:eastAsia="宋体" w:cs="宋体"/>
          <w:spacing w:val="5"/>
          <w:sz w:val="24"/>
          <w:szCs w:val="24"/>
        </w:rPr>
        <w:t>前置物化系统</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一级缺氧池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一级好氧池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一级沉淀池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二级</w:t>
      </w:r>
      <w:r>
        <w:rPr>
          <w:rFonts w:ascii="宋体" w:hAnsi="宋体" w:eastAsia="宋体" w:cs="宋体"/>
          <w:spacing w:val="4"/>
          <w:sz w:val="24"/>
          <w:szCs w:val="24"/>
        </w:rPr>
        <w:t>缺氧</w:t>
      </w:r>
      <w:r>
        <w:rPr>
          <w:rFonts w:ascii="宋体" w:hAnsi="宋体" w:eastAsia="宋体" w:cs="宋体"/>
          <w:spacing w:val="2"/>
          <w:sz w:val="24"/>
          <w:szCs w:val="24"/>
        </w:rPr>
        <w:t>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二级好氧池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消毒池”工艺）处理达《农田灌溉水质</w:t>
      </w:r>
      <w:r>
        <w:rPr>
          <w:rFonts w:ascii="宋体" w:hAnsi="宋体" w:eastAsia="宋体" w:cs="宋体"/>
          <w:spacing w:val="-1"/>
          <w:sz w:val="24"/>
          <w:szCs w:val="24"/>
        </w:rPr>
        <w:t>标准》（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）中旱地作物标准后用于周边消纳地灌溉，不外排，运营</w:t>
      </w:r>
      <w:r>
        <w:rPr>
          <w:rFonts w:ascii="宋体" w:hAnsi="宋体" w:eastAsia="宋体" w:cs="宋体"/>
          <w:spacing w:val="-4"/>
          <w:sz w:val="24"/>
          <w:szCs w:val="24"/>
        </w:rPr>
        <w:t>期废水可实现零排放。</w:t>
      </w:r>
    </w:p>
    <w:p w14:paraId="4B16C3EF">
      <w:pPr>
        <w:spacing w:before="1" w:line="217" w:lineRule="auto"/>
        <w:ind w:left="517"/>
        <w:rPr>
          <w:rFonts w:ascii="宋体" w:hAnsi="宋体" w:eastAsia="宋体" w:cs="宋体"/>
          <w:sz w:val="24"/>
          <w:szCs w:val="24"/>
        </w:rPr>
      </w:pPr>
      <w:r>
        <w:rPr>
          <w:rFonts w:ascii="宋体" w:hAnsi="宋体" w:eastAsia="宋体" w:cs="宋体"/>
          <w:spacing w:val="-1"/>
          <w:sz w:val="24"/>
          <w:szCs w:val="24"/>
        </w:rPr>
        <w:t>③地下水防渗措施</w:t>
      </w:r>
    </w:p>
    <w:p w14:paraId="57D0CF90">
      <w:pPr>
        <w:spacing w:before="185" w:line="360" w:lineRule="auto"/>
        <w:ind w:left="54" w:right="29" w:firstLine="463"/>
        <w:rPr>
          <w:rFonts w:ascii="宋体" w:hAnsi="宋体" w:eastAsia="宋体" w:cs="宋体"/>
          <w:sz w:val="24"/>
          <w:szCs w:val="24"/>
        </w:rPr>
      </w:pPr>
      <w:r>
        <w:rPr>
          <w:rFonts w:ascii="宋体" w:hAnsi="宋体" w:eastAsia="宋体" w:cs="宋体"/>
          <w:spacing w:val="-3"/>
          <w:sz w:val="24"/>
          <w:szCs w:val="24"/>
        </w:rPr>
        <w:t>评价要求将养殖场区地下水污染防治区分为简单防渗区、一般防渗</w:t>
      </w:r>
      <w:r>
        <w:rPr>
          <w:rFonts w:ascii="宋体" w:hAnsi="宋体" w:eastAsia="宋体" w:cs="宋体"/>
          <w:spacing w:val="-4"/>
          <w:sz w:val="24"/>
          <w:szCs w:val="24"/>
        </w:rPr>
        <w:t>区和重点</w:t>
      </w:r>
      <w:r>
        <w:rPr>
          <w:rFonts w:ascii="宋体" w:hAnsi="宋体" w:eastAsia="宋体" w:cs="宋体"/>
          <w:spacing w:val="-2"/>
          <w:sz w:val="24"/>
          <w:szCs w:val="24"/>
        </w:rPr>
        <w:t>防渗区。建设单位在建设过程中严格按照做好分区防渗（详见分区防渗图）。</w:t>
      </w:r>
    </w:p>
    <w:p w14:paraId="2B34B03B">
      <w:pPr>
        <w:spacing w:line="218" w:lineRule="auto"/>
        <w:ind w:left="520"/>
        <w:rPr>
          <w:rFonts w:ascii="宋体" w:hAnsi="宋体" w:eastAsia="宋体" w:cs="宋体"/>
          <w:sz w:val="24"/>
          <w:szCs w:val="24"/>
        </w:rPr>
      </w:pPr>
      <w:r>
        <w:rPr>
          <w:rFonts w:ascii="宋体" w:hAnsi="宋体" w:eastAsia="宋体" w:cs="宋体"/>
          <w:spacing w:val="-3"/>
          <w:sz w:val="24"/>
          <w:szCs w:val="24"/>
        </w:rPr>
        <w:t>此外，评价要求建设单位在运营期还应做到以下要求：</w:t>
      </w:r>
    </w:p>
    <w:p w14:paraId="2F0D1FFE">
      <w:pPr>
        <w:spacing w:line="218" w:lineRule="auto"/>
        <w:rPr>
          <w:rFonts w:ascii="宋体" w:hAnsi="宋体" w:eastAsia="宋体" w:cs="宋体"/>
          <w:sz w:val="24"/>
          <w:szCs w:val="24"/>
        </w:rPr>
        <w:sectPr>
          <w:headerReference r:id="rId399" w:type="default"/>
          <w:footerReference r:id="rId400" w:type="default"/>
          <w:pgSz w:w="11905" w:h="16840"/>
          <w:pgMar w:top="1168" w:right="1768" w:bottom="1409" w:left="1770" w:header="828" w:footer="1244" w:gutter="0"/>
          <w:cols w:space="720" w:num="1"/>
        </w:sectPr>
      </w:pPr>
    </w:p>
    <w:p w14:paraId="033F15CC">
      <w:pPr>
        <w:pStyle w:val="2"/>
        <w:spacing w:line="306" w:lineRule="auto"/>
      </w:pPr>
    </w:p>
    <w:p w14:paraId="14F8ABBB">
      <w:pPr>
        <w:spacing w:before="78" w:line="360" w:lineRule="auto"/>
        <w:ind w:left="39" w:right="42" w:firstLine="479"/>
        <w:rPr>
          <w:rFonts w:ascii="宋体" w:hAnsi="宋体" w:eastAsia="宋体" w:cs="宋体"/>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、加强粪污输送管道及各类池体的维修管理，避免</w:t>
      </w:r>
      <w:r>
        <w:rPr>
          <w:rFonts w:ascii="宋体" w:hAnsi="宋体" w:eastAsia="宋体" w:cs="宋体"/>
          <w:spacing w:val="-1"/>
          <w:sz w:val="24"/>
          <w:szCs w:val="24"/>
        </w:rPr>
        <w:t>粪污渗入土壤，导致土</w:t>
      </w:r>
      <w:r>
        <w:rPr>
          <w:rFonts w:ascii="宋体" w:hAnsi="宋体" w:eastAsia="宋体" w:cs="宋体"/>
          <w:spacing w:val="-9"/>
          <w:sz w:val="24"/>
          <w:szCs w:val="24"/>
        </w:rPr>
        <w:t>壤污染。</w:t>
      </w:r>
    </w:p>
    <w:p w14:paraId="64D6CAAD">
      <w:pPr>
        <w:spacing w:line="360" w:lineRule="auto"/>
        <w:ind w:left="44" w:right="30" w:firstLine="465"/>
        <w:rPr>
          <w:rFonts w:ascii="宋体" w:hAnsi="宋体" w:eastAsia="宋体" w:cs="宋体"/>
          <w:sz w:val="24"/>
          <w:szCs w:val="24"/>
        </w:rPr>
      </w:pPr>
      <w:r>
        <w:rPr>
          <w:rFonts w:ascii="Times New Roman" w:hAnsi="Times New Roman" w:eastAsia="Times New Roman" w:cs="Times New Roman"/>
          <w:spacing w:val="-1"/>
          <w:sz w:val="24"/>
          <w:szCs w:val="24"/>
        </w:rPr>
        <w:t>b</w:t>
      </w:r>
      <w:r>
        <w:rPr>
          <w:rFonts w:ascii="宋体" w:hAnsi="宋体" w:eastAsia="宋体" w:cs="宋体"/>
          <w:spacing w:val="-1"/>
          <w:sz w:val="24"/>
          <w:szCs w:val="24"/>
        </w:rPr>
        <w:t>、当污水处理站发生故障时，可将废水经回流管导入微生物曝氧塘暂存，</w:t>
      </w:r>
      <w:r>
        <w:rPr>
          <w:rFonts w:ascii="宋体" w:hAnsi="宋体" w:eastAsia="宋体" w:cs="宋体"/>
          <w:spacing w:val="-3"/>
          <w:sz w:val="24"/>
          <w:szCs w:val="24"/>
        </w:rPr>
        <w:t>当污水处理实施修缮好后再导入污水处理设施内进行处理，避免事故状</w:t>
      </w:r>
      <w:r>
        <w:rPr>
          <w:rFonts w:ascii="宋体" w:hAnsi="宋体" w:eastAsia="宋体" w:cs="宋体"/>
          <w:spacing w:val="-4"/>
          <w:sz w:val="24"/>
          <w:szCs w:val="24"/>
        </w:rPr>
        <w:t>态下废水</w:t>
      </w:r>
      <w:r>
        <w:rPr>
          <w:rFonts w:ascii="宋体" w:hAnsi="宋体" w:eastAsia="宋体" w:cs="宋体"/>
          <w:spacing w:val="-5"/>
          <w:sz w:val="24"/>
          <w:szCs w:val="24"/>
        </w:rPr>
        <w:t>外泄造成土壤污染。</w:t>
      </w:r>
    </w:p>
    <w:p w14:paraId="1F433E8D">
      <w:pPr>
        <w:spacing w:before="2" w:line="359" w:lineRule="auto"/>
        <w:ind w:left="37" w:right="43" w:firstLine="480"/>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、项目养殖场运营过程中若发生养殖粪污等大量</w:t>
      </w:r>
      <w:r>
        <w:rPr>
          <w:rFonts w:ascii="宋体" w:hAnsi="宋体" w:eastAsia="宋体" w:cs="宋体"/>
          <w:spacing w:val="-1"/>
          <w:sz w:val="24"/>
          <w:szCs w:val="24"/>
        </w:rPr>
        <w:t>渗漏进入土壤，可采取购</w:t>
      </w:r>
      <w:r>
        <w:rPr>
          <w:rFonts w:ascii="宋体" w:hAnsi="宋体" w:eastAsia="宋体" w:cs="宋体"/>
          <w:spacing w:val="-2"/>
          <w:sz w:val="24"/>
          <w:szCs w:val="24"/>
        </w:rPr>
        <w:t>置石灰进行抛洒，养殖场场区内采取一定的绿化措施。</w:t>
      </w:r>
    </w:p>
    <w:p w14:paraId="73A1AE24">
      <w:pPr>
        <w:spacing w:line="360" w:lineRule="auto"/>
        <w:ind w:left="39" w:right="28" w:firstLine="478"/>
        <w:rPr>
          <w:rFonts w:ascii="宋体" w:hAnsi="宋体" w:eastAsia="宋体" w:cs="宋体"/>
          <w:sz w:val="24"/>
          <w:szCs w:val="24"/>
        </w:rPr>
      </w:pPr>
      <w:r>
        <w:rPr>
          <w:rFonts w:ascii="Times New Roman" w:hAnsi="Times New Roman" w:eastAsia="Times New Roman" w:cs="Times New Roman"/>
          <w:sz w:val="24"/>
          <w:szCs w:val="24"/>
        </w:rPr>
        <w:t>d</w:t>
      </w:r>
      <w:r>
        <w:rPr>
          <w:rFonts w:ascii="宋体" w:hAnsi="宋体" w:eastAsia="宋体" w:cs="宋体"/>
          <w:sz w:val="24"/>
          <w:szCs w:val="24"/>
        </w:rPr>
        <w:t>、项目为设施农业用地，因此项目退役后需对养殖舍、各类池体等重点区</w:t>
      </w:r>
      <w:r>
        <w:rPr>
          <w:rFonts w:ascii="宋体" w:hAnsi="宋体" w:eastAsia="宋体" w:cs="宋体"/>
          <w:spacing w:val="-3"/>
          <w:sz w:val="24"/>
          <w:szCs w:val="24"/>
        </w:rPr>
        <w:t>域取样检测，超标区域应制定针对性的治理措施，治理达标后方可恢复至原有土</w:t>
      </w:r>
      <w:r>
        <w:rPr>
          <w:rFonts w:ascii="宋体" w:hAnsi="宋体" w:eastAsia="宋体" w:cs="宋体"/>
          <w:spacing w:val="-7"/>
          <w:sz w:val="24"/>
          <w:szCs w:val="24"/>
        </w:rPr>
        <w:t>地利用方式。</w:t>
      </w:r>
    </w:p>
    <w:p w14:paraId="292B352A">
      <w:pPr>
        <w:spacing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）项目消纳地</w:t>
      </w:r>
    </w:p>
    <w:p w14:paraId="00F90BE2">
      <w:pPr>
        <w:spacing w:before="181" w:line="220" w:lineRule="auto"/>
        <w:ind w:left="528"/>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）影响农业生产的土壤障碍因子</w:t>
      </w:r>
    </w:p>
    <w:p w14:paraId="7AE1E718">
      <w:pPr>
        <w:spacing w:before="182" w:line="220" w:lineRule="auto"/>
        <w:ind w:left="519"/>
        <w:rPr>
          <w:rFonts w:ascii="宋体" w:hAnsi="宋体" w:eastAsia="宋体" w:cs="宋体"/>
          <w:sz w:val="24"/>
          <w:szCs w:val="24"/>
        </w:rPr>
      </w:pPr>
      <w:r>
        <w:rPr>
          <w:rFonts w:ascii="宋体" w:hAnsi="宋体" w:eastAsia="宋体" w:cs="宋体"/>
          <w:spacing w:val="-4"/>
          <w:sz w:val="24"/>
          <w:szCs w:val="24"/>
        </w:rPr>
        <w:t>根据调查，农业生产的主要土壤障碍因子有：</w:t>
      </w:r>
    </w:p>
    <w:p w14:paraId="35A440A3">
      <w:pPr>
        <w:spacing w:before="183" w:line="217" w:lineRule="auto"/>
        <w:ind w:left="518"/>
        <w:rPr>
          <w:rFonts w:ascii="宋体" w:hAnsi="宋体" w:eastAsia="宋体" w:cs="宋体"/>
          <w:sz w:val="24"/>
          <w:szCs w:val="24"/>
        </w:rPr>
      </w:pPr>
      <w:r>
        <w:rPr>
          <w:rFonts w:ascii="宋体" w:hAnsi="宋体" w:eastAsia="宋体" w:cs="宋体"/>
          <w:spacing w:val="-2"/>
          <w:sz w:val="24"/>
          <w:szCs w:val="24"/>
        </w:rPr>
        <w:t>①土壤耕作层浅、砂性重、石砾多、质地偏粗、易漏水漏肥。</w:t>
      </w:r>
    </w:p>
    <w:p w14:paraId="11BAA5E1">
      <w:pPr>
        <w:spacing w:before="185" w:line="217" w:lineRule="auto"/>
        <w:ind w:left="517"/>
        <w:rPr>
          <w:rFonts w:ascii="宋体" w:hAnsi="宋体" w:eastAsia="宋体" w:cs="宋体"/>
          <w:sz w:val="24"/>
          <w:szCs w:val="24"/>
        </w:rPr>
      </w:pPr>
      <w:r>
        <w:rPr>
          <w:rFonts w:ascii="宋体" w:hAnsi="宋体" w:eastAsia="宋体" w:cs="宋体"/>
          <w:spacing w:val="-5"/>
          <w:sz w:val="24"/>
          <w:szCs w:val="24"/>
        </w:rPr>
        <w:t>②土壤养分含量低。</w:t>
      </w:r>
    </w:p>
    <w:p w14:paraId="025F4174">
      <w:pPr>
        <w:spacing w:before="185" w:line="360" w:lineRule="auto"/>
        <w:ind w:left="39" w:right="31" w:firstLine="478"/>
        <w:rPr>
          <w:rFonts w:ascii="宋体" w:hAnsi="宋体" w:eastAsia="宋体" w:cs="宋体"/>
          <w:sz w:val="24"/>
          <w:szCs w:val="24"/>
        </w:rPr>
      </w:pPr>
      <w:r>
        <w:rPr>
          <w:rFonts w:ascii="宋体" w:hAnsi="宋体" w:eastAsia="宋体" w:cs="宋体"/>
          <w:spacing w:val="-7"/>
          <w:sz w:val="24"/>
          <w:szCs w:val="24"/>
        </w:rPr>
        <w:t>③盐碱、土壤侵蚀、沙化、水土流失较为严重， 促使地下水中的盐分沿着土</w:t>
      </w:r>
      <w:r>
        <w:rPr>
          <w:rFonts w:ascii="宋体" w:hAnsi="宋体" w:eastAsia="宋体" w:cs="宋体"/>
          <w:spacing w:val="-2"/>
          <w:sz w:val="24"/>
          <w:szCs w:val="24"/>
        </w:rPr>
        <w:t>壤毛管空隙上升并在地表积累，易发生盐碱危害。</w:t>
      </w:r>
    </w:p>
    <w:p w14:paraId="34AE4259">
      <w:pPr>
        <w:spacing w:before="1" w:line="219" w:lineRule="auto"/>
        <w:ind w:left="518"/>
        <w:rPr>
          <w:rFonts w:ascii="宋体" w:hAnsi="宋体" w:eastAsia="宋体" w:cs="宋体"/>
          <w:sz w:val="24"/>
          <w:szCs w:val="24"/>
        </w:rPr>
      </w:pP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）土壤改良途经</w:t>
      </w:r>
    </w:p>
    <w:p w14:paraId="5B8925E0">
      <w:pPr>
        <w:spacing w:before="182" w:line="220" w:lineRule="auto"/>
        <w:ind w:left="519"/>
        <w:rPr>
          <w:rFonts w:ascii="宋体" w:hAnsi="宋体" w:eastAsia="宋体" w:cs="宋体"/>
          <w:sz w:val="24"/>
          <w:szCs w:val="24"/>
        </w:rPr>
      </w:pPr>
      <w:r>
        <w:rPr>
          <w:rFonts w:ascii="宋体" w:hAnsi="宋体" w:eastAsia="宋体" w:cs="宋体"/>
          <w:spacing w:val="-2"/>
          <w:sz w:val="24"/>
          <w:szCs w:val="24"/>
        </w:rPr>
        <w:t>针对这些影响农业生产的障碍因子，提出的改良利用</w:t>
      </w:r>
      <w:r>
        <w:rPr>
          <w:rFonts w:ascii="宋体" w:hAnsi="宋体" w:eastAsia="宋体" w:cs="宋体"/>
          <w:spacing w:val="-3"/>
          <w:sz w:val="24"/>
          <w:szCs w:val="24"/>
        </w:rPr>
        <w:t>途经有四个：</w:t>
      </w:r>
    </w:p>
    <w:p w14:paraId="2FA7345A">
      <w:pPr>
        <w:spacing w:before="183" w:line="217" w:lineRule="auto"/>
        <w:ind w:left="518"/>
        <w:rPr>
          <w:rFonts w:ascii="宋体" w:hAnsi="宋体" w:eastAsia="宋体" w:cs="宋体"/>
          <w:sz w:val="24"/>
          <w:szCs w:val="24"/>
        </w:rPr>
      </w:pPr>
      <w:r>
        <w:rPr>
          <w:rFonts w:ascii="宋体" w:hAnsi="宋体" w:eastAsia="宋体" w:cs="宋体"/>
          <w:spacing w:val="-3"/>
          <w:sz w:val="24"/>
          <w:szCs w:val="24"/>
        </w:rPr>
        <w:t>①增施有机肥、合理施用化学肥料，改良土壤性质；</w:t>
      </w:r>
    </w:p>
    <w:p w14:paraId="5BDBC9E9">
      <w:pPr>
        <w:spacing w:before="186" w:line="217" w:lineRule="auto"/>
        <w:ind w:left="517"/>
        <w:rPr>
          <w:rFonts w:ascii="宋体" w:hAnsi="宋体" w:eastAsia="宋体" w:cs="宋体"/>
          <w:sz w:val="24"/>
          <w:szCs w:val="24"/>
        </w:rPr>
      </w:pPr>
      <w:r>
        <w:rPr>
          <w:rFonts w:ascii="宋体" w:hAnsi="宋体" w:eastAsia="宋体" w:cs="宋体"/>
          <w:spacing w:val="-3"/>
          <w:sz w:val="24"/>
          <w:szCs w:val="24"/>
        </w:rPr>
        <w:t>②掺沙掺黏，客土调剂、平整土地、搞好农田基本建设；</w:t>
      </w:r>
    </w:p>
    <w:p w14:paraId="6B3134A8">
      <w:pPr>
        <w:spacing w:before="186" w:line="217" w:lineRule="auto"/>
        <w:ind w:left="517"/>
        <w:rPr>
          <w:rFonts w:ascii="宋体" w:hAnsi="宋体" w:eastAsia="宋体" w:cs="宋体"/>
          <w:sz w:val="24"/>
          <w:szCs w:val="24"/>
        </w:rPr>
      </w:pPr>
      <w:r>
        <w:rPr>
          <w:rFonts w:ascii="宋体" w:hAnsi="宋体" w:eastAsia="宋体" w:cs="宋体"/>
          <w:spacing w:val="-4"/>
          <w:sz w:val="24"/>
          <w:szCs w:val="24"/>
        </w:rPr>
        <w:t>③坚持农田水利建设、防治水土流失；</w:t>
      </w:r>
    </w:p>
    <w:p w14:paraId="75DEE0E3">
      <w:pPr>
        <w:spacing w:before="186" w:line="361" w:lineRule="auto"/>
        <w:ind w:left="39" w:right="30" w:firstLine="478"/>
        <w:rPr>
          <w:rFonts w:ascii="宋体" w:hAnsi="宋体" w:eastAsia="宋体" w:cs="宋体"/>
          <w:sz w:val="24"/>
          <w:szCs w:val="24"/>
        </w:rPr>
      </w:pPr>
      <w:r>
        <w:rPr>
          <w:rFonts w:ascii="宋体" w:hAnsi="宋体" w:eastAsia="宋体" w:cs="宋体"/>
          <w:spacing w:val="-3"/>
          <w:sz w:val="24"/>
          <w:szCs w:val="24"/>
        </w:rPr>
        <w:t>④试行合理轮作和种植绿肥，其中大量增施有机肥能直接增加土壤</w:t>
      </w:r>
      <w:r>
        <w:rPr>
          <w:rFonts w:ascii="宋体" w:hAnsi="宋体" w:eastAsia="宋体" w:cs="宋体"/>
          <w:spacing w:val="-4"/>
          <w:sz w:val="24"/>
          <w:szCs w:val="24"/>
        </w:rPr>
        <w:t>有机质含</w:t>
      </w:r>
      <w:r>
        <w:rPr>
          <w:rFonts w:ascii="宋体" w:hAnsi="宋体" w:eastAsia="宋体" w:cs="宋体"/>
          <w:spacing w:val="-3"/>
          <w:sz w:val="24"/>
          <w:szCs w:val="24"/>
        </w:rPr>
        <w:t>量和各类土壤养分，也可以促进沙粒的团聚，使原先松散的无结构的沙质土壤粘</w:t>
      </w:r>
      <w:r>
        <w:rPr>
          <w:rFonts w:ascii="宋体" w:hAnsi="宋体" w:eastAsia="宋体" w:cs="宋体"/>
          <w:spacing w:val="-2"/>
          <w:sz w:val="24"/>
          <w:szCs w:val="24"/>
        </w:rPr>
        <w:t>结成团聚体，从而达到改良土壤性质，提高土壤肥力的目的。</w:t>
      </w:r>
    </w:p>
    <w:p w14:paraId="073B5393">
      <w:pPr>
        <w:spacing w:before="52"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4.2.6.6 </w:t>
      </w:r>
      <w:r>
        <w:rPr>
          <w:rFonts w:ascii="宋体" w:hAnsi="宋体" w:eastAsia="宋体" w:cs="宋体"/>
          <w:b/>
          <w:bCs/>
          <w:spacing w:val="5"/>
          <w:sz w:val="27"/>
          <w:szCs w:val="27"/>
        </w:rPr>
        <w:t>土壤环境影响评价小结</w:t>
      </w:r>
    </w:p>
    <w:p w14:paraId="55FAAC74">
      <w:pPr>
        <w:spacing w:before="240" w:line="361" w:lineRule="auto"/>
        <w:ind w:left="38" w:right="28" w:firstLine="481"/>
        <w:jc w:val="both"/>
        <w:rPr>
          <w:rFonts w:ascii="宋体" w:hAnsi="宋体" w:eastAsia="宋体" w:cs="宋体"/>
          <w:sz w:val="24"/>
          <w:szCs w:val="24"/>
        </w:rPr>
      </w:pPr>
      <w:r>
        <w:rPr>
          <w:rFonts w:ascii="宋体" w:hAnsi="宋体" w:eastAsia="宋体" w:cs="宋体"/>
          <w:sz w:val="24"/>
          <w:szCs w:val="24"/>
        </w:rPr>
        <w:t>本项目用地及消纳地内土壤环境满足《土壤环境质量 农用地土壤污染风险</w:t>
      </w:r>
      <w:r>
        <w:rPr>
          <w:rFonts w:ascii="宋体" w:hAnsi="宋体" w:eastAsia="宋体" w:cs="宋体"/>
          <w:spacing w:val="2"/>
          <w:sz w:val="24"/>
          <w:szCs w:val="24"/>
        </w:rPr>
        <w:t>管控标准》（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15618-2018</w:t>
      </w:r>
      <w:r>
        <w:rPr>
          <w:rFonts w:ascii="宋体" w:hAnsi="宋体" w:eastAsia="宋体" w:cs="宋体"/>
          <w:spacing w:val="2"/>
          <w:sz w:val="24"/>
          <w:szCs w:val="24"/>
        </w:rPr>
        <w:t>）标准值要求，废水经污水处理站处理达</w:t>
      </w:r>
      <w:r>
        <w:rPr>
          <w:rFonts w:ascii="宋体" w:hAnsi="宋体" w:eastAsia="宋体" w:cs="宋体"/>
          <w:spacing w:val="1"/>
          <w:sz w:val="24"/>
          <w:szCs w:val="24"/>
        </w:rPr>
        <w:t>《农田灌</w:t>
      </w:r>
      <w:r>
        <w:rPr>
          <w:rFonts w:ascii="宋体" w:hAnsi="宋体" w:eastAsia="宋体" w:cs="宋体"/>
          <w:spacing w:val="-1"/>
          <w:sz w:val="24"/>
          <w:szCs w:val="24"/>
        </w:rPr>
        <w:t>溉水质标准》（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）旱地作物标准后用于消纳地农灌，不外排；固体</w:t>
      </w:r>
    </w:p>
    <w:p w14:paraId="4A9D005C">
      <w:pPr>
        <w:spacing w:line="361" w:lineRule="auto"/>
        <w:rPr>
          <w:rFonts w:ascii="宋体" w:hAnsi="宋体" w:eastAsia="宋体" w:cs="宋体"/>
          <w:sz w:val="24"/>
          <w:szCs w:val="24"/>
        </w:rPr>
        <w:sectPr>
          <w:footerReference r:id="rId401" w:type="default"/>
          <w:pgSz w:w="11905" w:h="16840"/>
          <w:pgMar w:top="1168" w:right="1768" w:bottom="1409" w:left="1770" w:header="828" w:footer="1244" w:gutter="0"/>
          <w:cols w:space="720" w:num="1"/>
        </w:sectPr>
      </w:pPr>
    </w:p>
    <w:p w14:paraId="26B8667B">
      <w:pPr>
        <w:pStyle w:val="2"/>
        <w:spacing w:line="307" w:lineRule="auto"/>
      </w:pPr>
    </w:p>
    <w:p w14:paraId="4161657C">
      <w:pPr>
        <w:spacing w:before="78" w:line="361" w:lineRule="auto"/>
        <w:ind w:left="38" w:right="85" w:firstLine="2"/>
        <w:jc w:val="both"/>
        <w:rPr>
          <w:rFonts w:ascii="宋体" w:hAnsi="宋体" w:eastAsia="宋体" w:cs="宋体"/>
          <w:sz w:val="24"/>
          <w:szCs w:val="24"/>
        </w:rPr>
      </w:pPr>
      <w:r>
        <w:rPr>
          <w:rFonts w:ascii="宋体" w:hAnsi="宋体" w:eastAsia="宋体" w:cs="宋体"/>
          <w:spacing w:val="-3"/>
          <w:sz w:val="24"/>
          <w:szCs w:val="24"/>
        </w:rPr>
        <w:t>粪渣经堆粪棚暂存，及时送四川正威实业有限公司生产有机肥。项目拟对各养殖场内区域实行分区防渗管控，从源头和过程控制减轻项目建设及运营对土壤可能</w:t>
      </w:r>
      <w:r>
        <w:rPr>
          <w:rFonts w:ascii="宋体" w:hAnsi="宋体" w:eastAsia="宋体" w:cs="宋体"/>
          <w:spacing w:val="-6"/>
          <w:sz w:val="24"/>
          <w:szCs w:val="24"/>
        </w:rPr>
        <w:t>造成的影响。因此， 只要建设单位严格落实本报告提出的污染防</w:t>
      </w:r>
      <w:r>
        <w:rPr>
          <w:rFonts w:ascii="宋体" w:hAnsi="宋体" w:eastAsia="宋体" w:cs="宋体"/>
          <w:spacing w:val="-7"/>
          <w:sz w:val="24"/>
          <w:szCs w:val="24"/>
        </w:rPr>
        <w:t>治措施，项目对</w:t>
      </w:r>
      <w:r>
        <w:rPr>
          <w:rFonts w:ascii="宋体" w:hAnsi="宋体" w:eastAsia="宋体" w:cs="宋体"/>
          <w:spacing w:val="-3"/>
          <w:sz w:val="24"/>
          <w:szCs w:val="24"/>
        </w:rPr>
        <w:t>区域土壤环境影响是可接受的。</w:t>
      </w:r>
    </w:p>
    <w:p w14:paraId="35060735">
      <w:pPr>
        <w:spacing w:before="160"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4.2.7  </w:t>
      </w:r>
      <w:r>
        <w:rPr>
          <w:rFonts w:ascii="宋体" w:hAnsi="宋体" w:eastAsia="宋体" w:cs="宋体"/>
          <w:b/>
          <w:bCs/>
          <w:spacing w:val="-2"/>
          <w:sz w:val="30"/>
          <w:szCs w:val="30"/>
        </w:rPr>
        <w:t>运输环境影响分析</w:t>
      </w:r>
    </w:p>
    <w:p w14:paraId="0CFA5B51">
      <w:pPr>
        <w:pStyle w:val="2"/>
        <w:spacing w:line="265" w:lineRule="auto"/>
      </w:pPr>
    </w:p>
    <w:p w14:paraId="5BBB0E68">
      <w:pPr>
        <w:spacing w:before="78" w:line="360" w:lineRule="auto"/>
        <w:ind w:left="38" w:firstLine="481"/>
        <w:jc w:val="both"/>
        <w:rPr>
          <w:rFonts w:ascii="宋体" w:hAnsi="宋体" w:eastAsia="宋体" w:cs="宋体"/>
          <w:sz w:val="24"/>
          <w:szCs w:val="24"/>
        </w:rPr>
      </w:pPr>
      <w:r>
        <w:rPr>
          <w:rFonts w:ascii="宋体" w:hAnsi="宋体" w:eastAsia="宋体" w:cs="宋体"/>
          <w:spacing w:val="2"/>
          <w:sz w:val="24"/>
          <w:szCs w:val="24"/>
        </w:rPr>
        <w:t>本项目运输车流量平均约</w:t>
      </w:r>
      <w:r>
        <w:rPr>
          <w:rFonts w:ascii="Times New Roman" w:hAnsi="Times New Roman" w:eastAsia="Times New Roman" w:cs="Times New Roman"/>
          <w:spacing w:val="2"/>
          <w:sz w:val="24"/>
          <w:szCs w:val="24"/>
        </w:rPr>
        <w:t>20</w:t>
      </w:r>
      <w:r>
        <w:rPr>
          <w:rFonts w:ascii="宋体" w:hAnsi="宋体" w:eastAsia="宋体" w:cs="宋体"/>
          <w:spacing w:val="2"/>
          <w:sz w:val="24"/>
          <w:szCs w:val="24"/>
        </w:rPr>
        <w:t>次</w:t>
      </w:r>
      <w:r>
        <w:rPr>
          <w:rFonts w:ascii="Times New Roman" w:hAnsi="Times New Roman" w:eastAsia="Times New Roman" w:cs="Times New Roman"/>
          <w:spacing w:val="2"/>
          <w:sz w:val="24"/>
          <w:szCs w:val="24"/>
        </w:rPr>
        <w:t>/d</w:t>
      </w:r>
      <w:r>
        <w:rPr>
          <w:rFonts w:ascii="宋体" w:hAnsi="宋体" w:eastAsia="宋体" w:cs="宋体"/>
          <w:spacing w:val="2"/>
          <w:sz w:val="24"/>
          <w:szCs w:val="24"/>
        </w:rPr>
        <w:t>（往返算</w:t>
      </w:r>
      <w:r>
        <w:rPr>
          <w:rFonts w:ascii="Times New Roman" w:hAnsi="Times New Roman" w:eastAsia="Times New Roman" w:cs="Times New Roman"/>
          <w:spacing w:val="2"/>
          <w:sz w:val="24"/>
          <w:szCs w:val="24"/>
        </w:rPr>
        <w:t>1</w:t>
      </w:r>
      <w:r>
        <w:rPr>
          <w:rFonts w:ascii="宋体" w:hAnsi="宋体" w:eastAsia="宋体" w:cs="宋体"/>
          <w:spacing w:val="2"/>
          <w:sz w:val="24"/>
          <w:szCs w:val="24"/>
        </w:rPr>
        <w:t>次），项目建设对当地</w:t>
      </w:r>
      <w:r>
        <w:rPr>
          <w:rFonts w:ascii="宋体" w:hAnsi="宋体" w:eastAsia="宋体" w:cs="宋体"/>
          <w:spacing w:val="1"/>
          <w:sz w:val="24"/>
          <w:szCs w:val="24"/>
        </w:rPr>
        <w:t>公路交通</w:t>
      </w:r>
      <w:r>
        <w:rPr>
          <w:rFonts w:ascii="宋体" w:hAnsi="宋体" w:eastAsia="宋体" w:cs="宋体"/>
          <w:spacing w:val="-3"/>
          <w:sz w:val="24"/>
          <w:szCs w:val="24"/>
        </w:rPr>
        <w:t>噪声和车流量影响有限。运输过程对周围环境造成的影响主要为载猪车辆及猪粪</w:t>
      </w:r>
      <w:r>
        <w:rPr>
          <w:rFonts w:ascii="宋体" w:hAnsi="宋体" w:eastAsia="宋体" w:cs="宋体"/>
          <w:spacing w:val="-5"/>
          <w:sz w:val="24"/>
          <w:szCs w:val="24"/>
        </w:rPr>
        <w:t>运输散发的恶臭所产生的影响。类比同类型项目，</w:t>
      </w:r>
      <w:r>
        <w:rPr>
          <w:rFonts w:ascii="宋体" w:hAnsi="宋体" w:eastAsia="宋体" w:cs="宋体"/>
          <w:spacing w:val="-45"/>
          <w:sz w:val="24"/>
          <w:szCs w:val="24"/>
        </w:rPr>
        <w:t xml:space="preserve"> </w:t>
      </w:r>
      <w:r>
        <w:rPr>
          <w:rFonts w:ascii="宋体" w:hAnsi="宋体" w:eastAsia="宋体" w:cs="宋体"/>
          <w:spacing w:val="-5"/>
          <w:sz w:val="24"/>
          <w:szCs w:val="24"/>
        </w:rPr>
        <w:t>一般运输猪只及猪粪运</w:t>
      </w:r>
      <w:r>
        <w:rPr>
          <w:rFonts w:ascii="宋体" w:hAnsi="宋体" w:eastAsia="宋体" w:cs="宋体"/>
          <w:spacing w:val="-6"/>
          <w:sz w:val="24"/>
          <w:szCs w:val="24"/>
        </w:rPr>
        <w:t>输车辆</w:t>
      </w:r>
      <w:r>
        <w:rPr>
          <w:rFonts w:ascii="宋体" w:hAnsi="宋体" w:eastAsia="宋体" w:cs="宋体"/>
          <w:spacing w:val="-1"/>
          <w:sz w:val="24"/>
          <w:szCs w:val="24"/>
        </w:rPr>
        <w:t>的恶臭影响范围在道路两侧</w:t>
      </w:r>
      <w:r>
        <w:rPr>
          <w:rFonts w:ascii="Times New Roman" w:hAnsi="Times New Roman" w:eastAsia="Times New Roman" w:cs="Times New Roman"/>
          <w:spacing w:val="-1"/>
          <w:sz w:val="24"/>
          <w:szCs w:val="24"/>
        </w:rPr>
        <w:t>50m</w:t>
      </w:r>
      <w:r>
        <w:rPr>
          <w:rFonts w:ascii="宋体" w:hAnsi="宋体" w:eastAsia="宋体" w:cs="宋体"/>
          <w:spacing w:val="-1"/>
          <w:sz w:val="24"/>
          <w:szCs w:val="24"/>
        </w:rPr>
        <w:t>内，结合内江市公</w:t>
      </w:r>
      <w:r>
        <w:rPr>
          <w:rFonts w:ascii="宋体" w:hAnsi="宋体" w:eastAsia="宋体" w:cs="宋体"/>
          <w:spacing w:val="-2"/>
          <w:sz w:val="24"/>
          <w:szCs w:val="24"/>
        </w:rPr>
        <w:t>路设置，项目猪粪运至四川正</w:t>
      </w:r>
      <w:r>
        <w:rPr>
          <w:rFonts w:ascii="宋体" w:hAnsi="宋体" w:eastAsia="宋体" w:cs="宋体"/>
          <w:spacing w:val="-5"/>
          <w:sz w:val="24"/>
          <w:szCs w:val="24"/>
        </w:rPr>
        <w:t>威实业有限公司主要经过省道</w:t>
      </w:r>
      <w:r>
        <w:rPr>
          <w:rFonts w:ascii="Times New Roman" w:hAnsi="Times New Roman" w:eastAsia="Times New Roman" w:cs="Times New Roman"/>
          <w:spacing w:val="-5"/>
          <w:sz w:val="24"/>
          <w:szCs w:val="24"/>
        </w:rPr>
        <w:t>S206</w:t>
      </w:r>
      <w:r>
        <w:rPr>
          <w:rFonts w:ascii="宋体" w:hAnsi="宋体" w:eastAsia="宋体" w:cs="宋体"/>
          <w:spacing w:val="-5"/>
          <w:sz w:val="24"/>
          <w:szCs w:val="24"/>
        </w:rPr>
        <w:t>、内荣高速及村庄道路，</w:t>
      </w:r>
      <w:r>
        <w:rPr>
          <w:rFonts w:ascii="宋体" w:hAnsi="宋体" w:eastAsia="宋体" w:cs="宋体"/>
          <w:spacing w:val="-53"/>
          <w:sz w:val="24"/>
          <w:szCs w:val="24"/>
        </w:rPr>
        <w:t xml:space="preserve"> </w:t>
      </w:r>
      <w:r>
        <w:rPr>
          <w:rFonts w:ascii="宋体" w:hAnsi="宋体" w:eastAsia="宋体" w:cs="宋体"/>
          <w:spacing w:val="-5"/>
          <w:sz w:val="24"/>
          <w:szCs w:val="24"/>
        </w:rPr>
        <w:t>沿线无饮用水水源保</w:t>
      </w:r>
      <w:r>
        <w:rPr>
          <w:rFonts w:ascii="宋体" w:hAnsi="宋体" w:eastAsia="宋体" w:cs="宋体"/>
          <w:spacing w:val="1"/>
          <w:sz w:val="24"/>
          <w:szCs w:val="24"/>
        </w:rPr>
        <w:t>护区等环境敏感区，项目运输主要对道路两侧</w:t>
      </w:r>
      <w:r>
        <w:rPr>
          <w:rFonts w:ascii="Times New Roman" w:hAnsi="Times New Roman" w:eastAsia="Times New Roman" w:cs="Times New Roman"/>
          <w:spacing w:val="1"/>
          <w:sz w:val="24"/>
          <w:szCs w:val="24"/>
        </w:rPr>
        <w:t>50m</w:t>
      </w:r>
      <w:r>
        <w:rPr>
          <w:rFonts w:ascii="宋体" w:hAnsi="宋体" w:eastAsia="宋体" w:cs="宋体"/>
          <w:spacing w:val="1"/>
          <w:sz w:val="24"/>
          <w:szCs w:val="24"/>
        </w:rPr>
        <w:t>范围内的居民会有一定影响。</w:t>
      </w:r>
      <w:r>
        <w:rPr>
          <w:rFonts w:ascii="宋体" w:hAnsi="宋体" w:eastAsia="宋体" w:cs="宋体"/>
          <w:spacing w:val="-3"/>
          <w:sz w:val="24"/>
          <w:szCs w:val="24"/>
        </w:rPr>
        <w:t>因运输车辆处于动态，影响时间</w:t>
      </w:r>
      <w:r>
        <w:rPr>
          <w:rFonts w:ascii="Times New Roman" w:hAnsi="Times New Roman" w:eastAsia="Times New Roman" w:cs="Times New Roman"/>
          <w:spacing w:val="-3"/>
          <w:sz w:val="24"/>
          <w:szCs w:val="24"/>
        </w:rPr>
        <w:t>1~2min</w:t>
      </w:r>
      <w:r>
        <w:rPr>
          <w:rFonts w:ascii="宋体" w:hAnsi="宋体" w:eastAsia="宋体" w:cs="宋体"/>
          <w:spacing w:val="-3"/>
          <w:sz w:val="24"/>
          <w:szCs w:val="24"/>
        </w:rPr>
        <w:t>左右，随</w:t>
      </w:r>
      <w:r>
        <w:rPr>
          <w:rFonts w:ascii="宋体" w:hAnsi="宋体" w:eastAsia="宋体" w:cs="宋体"/>
          <w:spacing w:val="-4"/>
          <w:sz w:val="24"/>
          <w:szCs w:val="24"/>
        </w:rPr>
        <w:t>着运输车辆的离开，恶臭影响也</w:t>
      </w:r>
      <w:r>
        <w:rPr>
          <w:rFonts w:ascii="宋体" w:hAnsi="宋体" w:eastAsia="宋体" w:cs="宋体"/>
          <w:spacing w:val="-7"/>
          <w:sz w:val="24"/>
          <w:szCs w:val="24"/>
        </w:rPr>
        <w:t>逐渐消失。评价要求运输猪只车辆车厢内铺设垫料，以吸收猪只运输</w:t>
      </w:r>
      <w:r>
        <w:rPr>
          <w:rFonts w:ascii="宋体" w:hAnsi="宋体" w:eastAsia="宋体" w:cs="宋体"/>
          <w:spacing w:val="-8"/>
          <w:sz w:val="24"/>
          <w:szCs w:val="24"/>
        </w:rPr>
        <w:t>途中排泄物；</w:t>
      </w:r>
      <w:r>
        <w:rPr>
          <w:rFonts w:ascii="宋体" w:hAnsi="宋体" w:eastAsia="宋体" w:cs="宋体"/>
          <w:spacing w:val="-3"/>
          <w:sz w:val="24"/>
          <w:szCs w:val="24"/>
        </w:rPr>
        <w:t>运输猪粪车辆应密闭运输；加强运输车辆车厢密闭性检查，防止粪污运输途中撒漏；合理安排运输时间，运输应全部安排在白天进行，则对运输道路沿途的农户</w:t>
      </w:r>
      <w:r>
        <w:rPr>
          <w:rFonts w:ascii="宋体" w:hAnsi="宋体" w:eastAsia="宋体" w:cs="宋体"/>
          <w:spacing w:val="-7"/>
          <w:sz w:val="24"/>
          <w:szCs w:val="24"/>
        </w:rPr>
        <w:t>影响不大。</w:t>
      </w:r>
    </w:p>
    <w:p w14:paraId="22CD9901">
      <w:pPr>
        <w:spacing w:before="162"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4.2.8  </w:t>
      </w:r>
      <w:r>
        <w:rPr>
          <w:rFonts w:ascii="宋体" w:hAnsi="宋体" w:eastAsia="宋体" w:cs="宋体"/>
          <w:b/>
          <w:bCs/>
          <w:spacing w:val="-2"/>
          <w:sz w:val="30"/>
          <w:szCs w:val="30"/>
        </w:rPr>
        <w:t>生态环境影响分析</w:t>
      </w:r>
    </w:p>
    <w:p w14:paraId="520E5D89">
      <w:pPr>
        <w:pStyle w:val="2"/>
        <w:spacing w:line="258" w:lineRule="auto"/>
      </w:pPr>
    </w:p>
    <w:p w14:paraId="6DB50DCC">
      <w:pPr>
        <w:spacing w:before="78" w:line="360" w:lineRule="auto"/>
        <w:ind w:left="38" w:right="18" w:firstLine="479"/>
        <w:jc w:val="both"/>
        <w:rPr>
          <w:rFonts w:ascii="宋体" w:hAnsi="宋体" w:eastAsia="宋体" w:cs="宋体"/>
          <w:sz w:val="24"/>
          <w:szCs w:val="24"/>
        </w:rPr>
      </w:pPr>
      <w:r>
        <w:rPr>
          <w:rFonts w:ascii="宋体" w:hAnsi="宋体" w:eastAsia="宋体" w:cs="宋体"/>
          <w:spacing w:val="-3"/>
          <w:sz w:val="24"/>
          <w:szCs w:val="24"/>
        </w:rPr>
        <w:t>据现场调查，项目所在地附近无珍稀野生动物，只有一些小型啮齿</w:t>
      </w:r>
      <w:r>
        <w:rPr>
          <w:rFonts w:ascii="宋体" w:hAnsi="宋体" w:eastAsia="宋体" w:cs="宋体"/>
          <w:spacing w:val="-4"/>
          <w:sz w:val="24"/>
          <w:szCs w:val="24"/>
        </w:rPr>
        <w:t>类动物和</w:t>
      </w:r>
      <w:r>
        <w:rPr>
          <w:rFonts w:ascii="宋体" w:hAnsi="宋体" w:eastAsia="宋体" w:cs="宋体"/>
          <w:spacing w:val="-6"/>
          <w:sz w:val="24"/>
          <w:szCs w:val="24"/>
        </w:rPr>
        <w:t>鸟类，均为当地常见物种。项目施工造成部分植被被损坏， 对植</w:t>
      </w:r>
      <w:r>
        <w:rPr>
          <w:rFonts w:ascii="宋体" w:hAnsi="宋体" w:eastAsia="宋体" w:cs="宋体"/>
          <w:spacing w:val="-7"/>
          <w:sz w:val="24"/>
          <w:szCs w:val="24"/>
        </w:rPr>
        <w:t>物群落造成了一</w:t>
      </w:r>
      <w:r>
        <w:rPr>
          <w:rFonts w:ascii="宋体" w:hAnsi="宋体" w:eastAsia="宋体" w:cs="宋体"/>
          <w:spacing w:val="-1"/>
          <w:sz w:val="24"/>
          <w:szCs w:val="24"/>
        </w:rPr>
        <w:t>定程度的损坏。在项目建设运行后，养殖场内部空地和场界四周通过加强绿化，</w:t>
      </w:r>
      <w:r>
        <w:rPr>
          <w:rFonts w:ascii="宋体" w:hAnsi="宋体" w:eastAsia="宋体" w:cs="宋体"/>
          <w:spacing w:val="-9"/>
          <w:sz w:val="24"/>
          <w:szCs w:val="24"/>
        </w:rPr>
        <w:t>辅以乔、灌、草等相结合的形式，相对增加了植物群落的多样性。随着绿化种植，</w:t>
      </w:r>
      <w:r>
        <w:rPr>
          <w:rFonts w:ascii="宋体" w:hAnsi="宋体" w:eastAsia="宋体" w:cs="宋体"/>
          <w:spacing w:val="-3"/>
          <w:sz w:val="24"/>
          <w:szCs w:val="24"/>
        </w:rPr>
        <w:t>施工时的人为干扰消失，一部分外迁动物又会回归，对该地区动物生态系统影响</w:t>
      </w:r>
      <w:r>
        <w:rPr>
          <w:rFonts w:ascii="宋体" w:hAnsi="宋体" w:eastAsia="宋体" w:cs="宋体"/>
          <w:spacing w:val="-6"/>
          <w:sz w:val="24"/>
          <w:szCs w:val="24"/>
        </w:rPr>
        <w:t>不大。本项目建成运行后， 场界主要种植高大乔木辅以灌木，场</w:t>
      </w:r>
      <w:r>
        <w:rPr>
          <w:rFonts w:ascii="宋体" w:hAnsi="宋体" w:eastAsia="宋体" w:cs="宋体"/>
          <w:spacing w:val="-7"/>
          <w:sz w:val="24"/>
          <w:szCs w:val="24"/>
        </w:rPr>
        <w:t>内以灌木草坪为</w:t>
      </w:r>
      <w:r>
        <w:rPr>
          <w:rFonts w:ascii="宋体" w:hAnsi="宋体" w:eastAsia="宋体" w:cs="宋体"/>
          <w:spacing w:val="-1"/>
          <w:sz w:val="24"/>
          <w:szCs w:val="24"/>
        </w:rPr>
        <w:t>主，对氨和硫化氢有一定的吸收作用，可减轻猪舍臭</w:t>
      </w:r>
      <w:r>
        <w:rPr>
          <w:rFonts w:ascii="宋体" w:hAnsi="宋体" w:eastAsia="宋体" w:cs="宋体"/>
          <w:spacing w:val="-2"/>
          <w:sz w:val="24"/>
          <w:szCs w:val="24"/>
        </w:rPr>
        <w:t>气对大气环境的影响。</w:t>
      </w:r>
    </w:p>
    <w:p w14:paraId="4E0FC11C">
      <w:pPr>
        <w:spacing w:before="1" w:line="218" w:lineRule="auto"/>
        <w:ind w:left="548"/>
        <w:rPr>
          <w:rFonts w:ascii="宋体" w:hAnsi="宋体" w:eastAsia="宋体" w:cs="宋体"/>
          <w:sz w:val="24"/>
          <w:szCs w:val="24"/>
        </w:rPr>
      </w:pPr>
      <w:r>
        <w:rPr>
          <w:rFonts w:ascii="宋体" w:hAnsi="宋体" w:eastAsia="宋体" w:cs="宋体"/>
          <w:spacing w:val="-3"/>
          <w:sz w:val="24"/>
          <w:szCs w:val="24"/>
        </w:rPr>
        <w:t>由此可知，本项目实施后对当地生态环境影响</w:t>
      </w:r>
      <w:r>
        <w:rPr>
          <w:rFonts w:ascii="宋体" w:hAnsi="宋体" w:eastAsia="宋体" w:cs="宋体"/>
          <w:spacing w:val="-4"/>
          <w:sz w:val="24"/>
          <w:szCs w:val="24"/>
        </w:rPr>
        <w:t>不大。</w:t>
      </w:r>
    </w:p>
    <w:p w14:paraId="1843914D">
      <w:pPr>
        <w:spacing w:line="218" w:lineRule="auto"/>
        <w:rPr>
          <w:rFonts w:ascii="宋体" w:hAnsi="宋体" w:eastAsia="宋体" w:cs="宋体"/>
          <w:sz w:val="24"/>
          <w:szCs w:val="24"/>
        </w:rPr>
        <w:sectPr>
          <w:headerReference r:id="rId402" w:type="default"/>
          <w:footerReference r:id="rId403" w:type="default"/>
          <w:pgSz w:w="11905" w:h="16840"/>
          <w:pgMar w:top="1168" w:right="1712" w:bottom="1409" w:left="1770" w:header="828" w:footer="1244" w:gutter="0"/>
          <w:cols w:space="720" w:num="1"/>
        </w:sectPr>
      </w:pPr>
    </w:p>
    <w:p w14:paraId="317CED6D">
      <w:pPr>
        <w:pStyle w:val="2"/>
        <w:spacing w:line="317" w:lineRule="auto"/>
      </w:pPr>
    </w:p>
    <w:p w14:paraId="0E051185">
      <w:pPr>
        <w:spacing w:before="104" w:line="218" w:lineRule="auto"/>
        <w:ind w:left="38"/>
        <w:outlineLvl w:val="1"/>
        <w:rPr>
          <w:rFonts w:ascii="宋体" w:hAnsi="宋体" w:eastAsia="宋体" w:cs="宋体"/>
          <w:sz w:val="32"/>
          <w:szCs w:val="32"/>
        </w:rPr>
      </w:pPr>
      <w:bookmarkStart w:id="42" w:name="bookmark26"/>
      <w:bookmarkEnd w:id="42"/>
      <w:r>
        <w:rPr>
          <w:rFonts w:ascii="Times New Roman" w:hAnsi="Times New Roman" w:eastAsia="Times New Roman" w:cs="Times New Roman"/>
          <w:b/>
          <w:bCs/>
          <w:spacing w:val="-2"/>
          <w:sz w:val="32"/>
          <w:szCs w:val="32"/>
        </w:rPr>
        <w:t xml:space="preserve">4.3  </w:t>
      </w:r>
      <w:r>
        <w:rPr>
          <w:rFonts w:ascii="宋体" w:hAnsi="宋体" w:eastAsia="宋体" w:cs="宋体"/>
          <w:b/>
          <w:bCs/>
          <w:spacing w:val="-2"/>
          <w:sz w:val="32"/>
          <w:szCs w:val="32"/>
        </w:rPr>
        <w:t>环境风险评价</w:t>
      </w:r>
    </w:p>
    <w:p w14:paraId="2C34BB56">
      <w:pPr>
        <w:pStyle w:val="2"/>
        <w:spacing w:line="278" w:lineRule="auto"/>
      </w:pPr>
    </w:p>
    <w:p w14:paraId="7440DFC6">
      <w:pPr>
        <w:spacing w:before="97"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4.3.1  </w:t>
      </w:r>
      <w:r>
        <w:rPr>
          <w:rFonts w:ascii="宋体" w:hAnsi="宋体" w:eastAsia="宋体" w:cs="宋体"/>
          <w:b/>
          <w:bCs/>
          <w:spacing w:val="-2"/>
          <w:sz w:val="30"/>
          <w:szCs w:val="30"/>
        </w:rPr>
        <w:t>环境风险评价目的</w:t>
      </w:r>
    </w:p>
    <w:p w14:paraId="24AFD7E7">
      <w:pPr>
        <w:pStyle w:val="2"/>
        <w:spacing w:line="260" w:lineRule="auto"/>
      </w:pPr>
    </w:p>
    <w:p w14:paraId="25D634F5">
      <w:pPr>
        <w:spacing w:before="78" w:line="361" w:lineRule="auto"/>
        <w:ind w:left="39" w:right="64" w:firstLine="482"/>
        <w:jc w:val="both"/>
        <w:rPr>
          <w:rFonts w:ascii="宋体" w:hAnsi="宋体" w:eastAsia="宋体" w:cs="宋体"/>
          <w:sz w:val="24"/>
          <w:szCs w:val="24"/>
        </w:rPr>
      </w:pPr>
      <w:r>
        <w:rPr>
          <w:rFonts w:ascii="宋体" w:hAnsi="宋体" w:eastAsia="宋体" w:cs="宋体"/>
          <w:spacing w:val="4"/>
          <w:sz w:val="24"/>
          <w:szCs w:val="24"/>
        </w:rPr>
        <w:t>建设项目环境风险评价的目的是对建设项目建设和运行期间发生的可预测</w:t>
      </w:r>
      <w:r>
        <w:rPr>
          <w:rFonts w:ascii="宋体" w:hAnsi="宋体" w:eastAsia="宋体" w:cs="宋体"/>
          <w:spacing w:val="-3"/>
          <w:sz w:val="24"/>
          <w:szCs w:val="24"/>
        </w:rPr>
        <w:t>的突发性事件或事故（一般不包括人为破坏及自然灾害）引起有毒有害、易燃易爆等物质泄漏、或突发事件产生的新的有毒有害物质所造成的对人身安全与环境</w:t>
      </w:r>
      <w:r>
        <w:rPr>
          <w:rFonts w:ascii="宋体" w:hAnsi="宋体" w:eastAsia="宋体" w:cs="宋体"/>
          <w:spacing w:val="-6"/>
          <w:sz w:val="24"/>
          <w:szCs w:val="24"/>
        </w:rPr>
        <w:t>的影响和损害进行评估，提出防范、应急与减缓措施， 以</w:t>
      </w:r>
      <w:r>
        <w:rPr>
          <w:rFonts w:ascii="宋体" w:hAnsi="宋体" w:eastAsia="宋体" w:cs="宋体"/>
          <w:spacing w:val="-7"/>
          <w:sz w:val="24"/>
          <w:szCs w:val="24"/>
        </w:rPr>
        <w:t>使建设项目事故率、损</w:t>
      </w:r>
      <w:r>
        <w:rPr>
          <w:rFonts w:ascii="宋体" w:hAnsi="宋体" w:eastAsia="宋体" w:cs="宋体"/>
          <w:spacing w:val="-3"/>
          <w:sz w:val="24"/>
          <w:szCs w:val="24"/>
        </w:rPr>
        <w:t>失和环境影响达到可接受水平。</w:t>
      </w:r>
    </w:p>
    <w:p w14:paraId="3CD24A39">
      <w:pPr>
        <w:spacing w:before="161"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4.3.2  </w:t>
      </w:r>
      <w:r>
        <w:rPr>
          <w:rFonts w:ascii="宋体" w:hAnsi="宋体" w:eastAsia="宋体" w:cs="宋体"/>
          <w:b/>
          <w:bCs/>
          <w:spacing w:val="-2"/>
          <w:sz w:val="30"/>
          <w:szCs w:val="30"/>
        </w:rPr>
        <w:t>风险潜势初判</w:t>
      </w:r>
    </w:p>
    <w:p w14:paraId="3BC5E3FD">
      <w:pPr>
        <w:pStyle w:val="2"/>
        <w:spacing w:line="306" w:lineRule="auto"/>
      </w:pPr>
    </w:p>
    <w:p w14:paraId="3455468C">
      <w:pPr>
        <w:spacing w:before="89"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4.3.2.1 </w:t>
      </w:r>
      <w:r>
        <w:rPr>
          <w:rFonts w:ascii="宋体" w:hAnsi="宋体" w:eastAsia="宋体" w:cs="宋体"/>
          <w:b/>
          <w:bCs/>
          <w:spacing w:val="5"/>
          <w:sz w:val="27"/>
          <w:szCs w:val="27"/>
        </w:rPr>
        <w:t>环境风险潜势划分</w:t>
      </w:r>
    </w:p>
    <w:p w14:paraId="5BFC6A2F">
      <w:pPr>
        <w:spacing w:before="236" w:line="361" w:lineRule="auto"/>
        <w:ind w:left="39" w:right="65" w:firstLine="480"/>
        <w:jc w:val="both"/>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pacing w:val="-2"/>
          <w:sz w:val="24"/>
          <w:szCs w:val="24"/>
        </w:rPr>
        <w:t>HJ169-2018</w:t>
      </w:r>
      <w:r>
        <w:rPr>
          <w:rFonts w:ascii="宋体" w:hAnsi="宋体" w:eastAsia="宋体" w:cs="宋体"/>
          <w:spacing w:val="-10"/>
          <w:sz w:val="24"/>
          <w:szCs w:val="24"/>
        </w:rPr>
        <w:t>），</w:t>
      </w:r>
      <w:r>
        <w:rPr>
          <w:rFonts w:ascii="宋体" w:hAnsi="宋体" w:eastAsia="宋体" w:cs="宋体"/>
          <w:spacing w:val="-2"/>
          <w:sz w:val="24"/>
          <w:szCs w:val="24"/>
        </w:rPr>
        <w:t>建设项目环境风</w:t>
      </w:r>
      <w:r>
        <w:rPr>
          <w:rFonts w:ascii="宋体" w:hAnsi="宋体" w:eastAsia="宋体" w:cs="宋体"/>
          <w:sz w:val="24"/>
          <w:szCs w:val="24"/>
        </w:rPr>
        <w:t>险潜势划分为Ⅰ、Ⅱ、Ⅲ、Ⅳ、Ⅳ</w:t>
      </w:r>
      <w:r>
        <w:rPr>
          <w:rFonts w:ascii="Times New Roman" w:hAnsi="Times New Roman" w:eastAsia="Times New Roman" w:cs="Times New Roman"/>
          <w:sz w:val="24"/>
          <w:szCs w:val="24"/>
        </w:rPr>
        <w:t>+</w:t>
      </w:r>
      <w:r>
        <w:rPr>
          <w:rFonts w:ascii="宋体" w:hAnsi="宋体" w:eastAsia="宋体" w:cs="宋体"/>
          <w:sz w:val="24"/>
          <w:szCs w:val="24"/>
        </w:rPr>
        <w:t>级，根据建设项目涉及的物质和工艺系</w:t>
      </w:r>
      <w:r>
        <w:rPr>
          <w:rFonts w:ascii="宋体" w:hAnsi="宋体" w:eastAsia="宋体" w:cs="宋体"/>
          <w:spacing w:val="-1"/>
          <w:sz w:val="24"/>
          <w:szCs w:val="24"/>
        </w:rPr>
        <w:t>统的</w:t>
      </w:r>
      <w:r>
        <w:rPr>
          <w:rFonts w:ascii="宋体" w:hAnsi="宋体" w:eastAsia="宋体" w:cs="宋体"/>
          <w:spacing w:val="-3"/>
          <w:sz w:val="24"/>
          <w:szCs w:val="24"/>
        </w:rPr>
        <w:t>危险性以及所在地的环境敏感程度，结合事故下的环境影响途径，按照下表确定</w:t>
      </w:r>
      <w:r>
        <w:rPr>
          <w:rFonts w:ascii="宋体" w:hAnsi="宋体" w:eastAsia="宋体" w:cs="宋体"/>
          <w:spacing w:val="-6"/>
          <w:sz w:val="24"/>
          <w:szCs w:val="24"/>
        </w:rPr>
        <w:t>环境风险潜势。</w:t>
      </w:r>
    </w:p>
    <w:p w14:paraId="4A7884A8">
      <w:pPr>
        <w:spacing w:before="8" w:line="222" w:lineRule="auto"/>
        <w:ind w:left="253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5"/>
          <w:sz w:val="21"/>
          <w:szCs w:val="21"/>
        </w:rPr>
        <w:t xml:space="preserve"> </w:t>
      </w:r>
      <w:r>
        <w:rPr>
          <w:rFonts w:ascii="Times New Roman" w:hAnsi="Times New Roman" w:eastAsia="Times New Roman" w:cs="Times New Roman"/>
          <w:spacing w:val="-1"/>
          <w:sz w:val="21"/>
          <w:szCs w:val="21"/>
        </w:rPr>
        <w:t xml:space="preserve">4.3-1  </w:t>
      </w:r>
      <w:r>
        <w:rPr>
          <w:rFonts w:ascii="黑体" w:hAnsi="黑体" w:eastAsia="黑体" w:cs="黑体"/>
          <w:spacing w:val="-1"/>
          <w:sz w:val="21"/>
          <w:szCs w:val="21"/>
        </w:rPr>
        <w:t>建设项目环境风险潜势划分</w:t>
      </w:r>
    </w:p>
    <w:p w14:paraId="63AB5F82">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1336"/>
        <w:gridCol w:w="1662"/>
        <w:gridCol w:w="1661"/>
        <w:gridCol w:w="1669"/>
      </w:tblGrid>
      <w:tr w14:paraId="2C172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2" w:type="dxa"/>
            <w:vMerge w:val="restart"/>
            <w:tcBorders>
              <w:bottom w:val="nil"/>
            </w:tcBorders>
            <w:vAlign w:val="top"/>
          </w:tcPr>
          <w:p w14:paraId="2EF9706D">
            <w:pPr>
              <w:pStyle w:val="6"/>
              <w:spacing w:before="244" w:line="212" w:lineRule="auto"/>
              <w:ind w:left="237"/>
            </w:pPr>
            <w:r>
              <w:rPr>
                <w:rFonts w:ascii="宋体" w:hAnsi="宋体" w:eastAsia="宋体" w:cs="宋体"/>
                <w:spacing w:val="-1"/>
              </w:rPr>
              <w:t>环境敏感程度</w:t>
            </w:r>
            <w:r>
              <w:rPr>
                <w:spacing w:val="-1"/>
              </w:rPr>
              <w:t>(E)</w:t>
            </w:r>
          </w:p>
        </w:tc>
        <w:tc>
          <w:tcPr>
            <w:tcW w:w="6328" w:type="dxa"/>
            <w:gridSpan w:val="4"/>
            <w:vAlign w:val="top"/>
          </w:tcPr>
          <w:p w14:paraId="6E7B8F51">
            <w:pPr>
              <w:pStyle w:val="6"/>
              <w:spacing w:before="69" w:line="212" w:lineRule="auto"/>
              <w:ind w:left="1775"/>
            </w:pPr>
            <w:r>
              <w:rPr>
                <w:rFonts w:ascii="宋体" w:hAnsi="宋体" w:eastAsia="宋体" w:cs="宋体"/>
                <w:spacing w:val="-1"/>
              </w:rPr>
              <w:t>危险物质及工艺系统危险性</w:t>
            </w:r>
            <w:r>
              <w:rPr>
                <w:spacing w:val="-1"/>
              </w:rPr>
              <w:t>(P)</w:t>
            </w:r>
          </w:p>
        </w:tc>
      </w:tr>
      <w:tr w14:paraId="6A7FF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2" w:type="dxa"/>
            <w:vMerge w:val="continue"/>
            <w:tcBorders>
              <w:top w:val="nil"/>
            </w:tcBorders>
            <w:vAlign w:val="top"/>
          </w:tcPr>
          <w:p w14:paraId="421F9565">
            <w:pPr>
              <w:rPr>
                <w:rFonts w:ascii="Arial"/>
                <w:sz w:val="21"/>
              </w:rPr>
            </w:pPr>
          </w:p>
        </w:tc>
        <w:tc>
          <w:tcPr>
            <w:tcW w:w="1336" w:type="dxa"/>
            <w:vAlign w:val="top"/>
          </w:tcPr>
          <w:p w14:paraId="37F6F9ED">
            <w:pPr>
              <w:pStyle w:val="6"/>
              <w:spacing w:before="65" w:line="212" w:lineRule="auto"/>
              <w:ind w:left="68"/>
            </w:pPr>
            <w:r>
              <w:rPr>
                <w:rFonts w:ascii="宋体" w:hAnsi="宋体" w:eastAsia="宋体" w:cs="宋体"/>
                <w:spacing w:val="-2"/>
              </w:rPr>
              <w:t>极高危害</w:t>
            </w:r>
            <w:r>
              <w:rPr>
                <w:spacing w:val="-2"/>
              </w:rPr>
              <w:t>(P1)</w:t>
            </w:r>
          </w:p>
        </w:tc>
        <w:tc>
          <w:tcPr>
            <w:tcW w:w="1662" w:type="dxa"/>
            <w:vAlign w:val="top"/>
          </w:tcPr>
          <w:p w14:paraId="5BE5C808">
            <w:pPr>
              <w:pStyle w:val="6"/>
              <w:spacing w:before="65" w:line="212" w:lineRule="auto"/>
              <w:ind w:left="236"/>
            </w:pPr>
            <w:r>
              <w:rPr>
                <w:rFonts w:ascii="宋体" w:hAnsi="宋体" w:eastAsia="宋体" w:cs="宋体"/>
                <w:spacing w:val="-2"/>
              </w:rPr>
              <w:t>高度危害</w:t>
            </w:r>
            <w:r>
              <w:rPr>
                <w:spacing w:val="-2"/>
              </w:rPr>
              <w:t>(P2)</w:t>
            </w:r>
          </w:p>
        </w:tc>
        <w:tc>
          <w:tcPr>
            <w:tcW w:w="1661" w:type="dxa"/>
            <w:vAlign w:val="top"/>
          </w:tcPr>
          <w:p w14:paraId="090C87F0">
            <w:pPr>
              <w:pStyle w:val="6"/>
              <w:spacing w:before="65" w:line="212" w:lineRule="auto"/>
              <w:ind w:left="250"/>
            </w:pPr>
            <w:r>
              <w:rPr>
                <w:rFonts w:ascii="宋体" w:hAnsi="宋体" w:eastAsia="宋体" w:cs="宋体"/>
                <w:spacing w:val="-4"/>
              </w:rPr>
              <w:t>中度危害</w:t>
            </w:r>
            <w:r>
              <w:rPr>
                <w:spacing w:val="-4"/>
              </w:rPr>
              <w:t>(P3)</w:t>
            </w:r>
          </w:p>
        </w:tc>
        <w:tc>
          <w:tcPr>
            <w:tcW w:w="1669" w:type="dxa"/>
            <w:vAlign w:val="top"/>
          </w:tcPr>
          <w:p w14:paraId="598B2EB2">
            <w:pPr>
              <w:pStyle w:val="6"/>
              <w:spacing w:before="65" w:line="212" w:lineRule="auto"/>
              <w:ind w:left="235"/>
            </w:pPr>
            <w:r>
              <w:rPr>
                <w:rFonts w:ascii="宋体" w:hAnsi="宋体" w:eastAsia="宋体" w:cs="宋体"/>
                <w:spacing w:val="-2"/>
              </w:rPr>
              <w:t>轻度危害</w:t>
            </w:r>
            <w:r>
              <w:rPr>
                <w:spacing w:val="-2"/>
              </w:rPr>
              <w:t>(P4)</w:t>
            </w:r>
          </w:p>
        </w:tc>
      </w:tr>
      <w:tr w14:paraId="3C604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Align w:val="top"/>
          </w:tcPr>
          <w:p w14:paraId="1A796378">
            <w:pPr>
              <w:pStyle w:val="6"/>
              <w:spacing w:before="66" w:line="212" w:lineRule="auto"/>
              <w:ind w:left="184"/>
            </w:pPr>
            <w:r>
              <w:rPr>
                <w:rFonts w:ascii="宋体" w:hAnsi="宋体" w:eastAsia="宋体" w:cs="宋体"/>
                <w:spacing w:val="-1"/>
              </w:rPr>
              <w:t>环境高度敏感</w:t>
            </w:r>
            <w:r>
              <w:rPr>
                <w:spacing w:val="-1"/>
              </w:rPr>
              <w:t>(E1)</w:t>
            </w:r>
          </w:p>
        </w:tc>
        <w:tc>
          <w:tcPr>
            <w:tcW w:w="1336" w:type="dxa"/>
            <w:vAlign w:val="top"/>
          </w:tcPr>
          <w:p w14:paraId="19BC4AAE">
            <w:pPr>
              <w:pStyle w:val="6"/>
              <w:spacing w:before="106" w:line="185" w:lineRule="auto"/>
              <w:ind w:left="493"/>
            </w:pPr>
            <w:r>
              <w:rPr>
                <w:spacing w:val="-2"/>
              </w:rPr>
              <w:t>Ⅳ+</w:t>
            </w:r>
          </w:p>
        </w:tc>
        <w:tc>
          <w:tcPr>
            <w:tcW w:w="1662" w:type="dxa"/>
            <w:vAlign w:val="top"/>
          </w:tcPr>
          <w:p w14:paraId="6F382257">
            <w:pPr>
              <w:pStyle w:val="6"/>
              <w:spacing w:before="106" w:line="185" w:lineRule="auto"/>
              <w:ind w:left="717"/>
            </w:pPr>
            <w:r>
              <w:t>Ⅳ</w:t>
            </w:r>
          </w:p>
        </w:tc>
        <w:tc>
          <w:tcPr>
            <w:tcW w:w="1661" w:type="dxa"/>
            <w:vAlign w:val="top"/>
          </w:tcPr>
          <w:p w14:paraId="07A4632A">
            <w:pPr>
              <w:pStyle w:val="6"/>
              <w:spacing w:before="106" w:line="185" w:lineRule="auto"/>
              <w:ind w:left="727"/>
            </w:pPr>
            <w:r>
              <w:t>Ⅲ</w:t>
            </w:r>
          </w:p>
        </w:tc>
        <w:tc>
          <w:tcPr>
            <w:tcW w:w="1669" w:type="dxa"/>
            <w:vAlign w:val="top"/>
          </w:tcPr>
          <w:p w14:paraId="4158616B">
            <w:pPr>
              <w:pStyle w:val="6"/>
              <w:spacing w:before="106" w:line="185" w:lineRule="auto"/>
              <w:ind w:left="730"/>
            </w:pPr>
            <w:r>
              <w:t>Ⅲ</w:t>
            </w:r>
          </w:p>
        </w:tc>
      </w:tr>
      <w:tr w14:paraId="05549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2" w:type="dxa"/>
            <w:vAlign w:val="top"/>
          </w:tcPr>
          <w:p w14:paraId="6FEFD58C">
            <w:pPr>
              <w:pStyle w:val="6"/>
              <w:spacing w:before="67" w:line="212" w:lineRule="auto"/>
              <w:ind w:left="184"/>
            </w:pPr>
            <w:r>
              <w:rPr>
                <w:rFonts w:ascii="宋体" w:hAnsi="宋体" w:eastAsia="宋体" w:cs="宋体"/>
                <w:spacing w:val="-1"/>
              </w:rPr>
              <w:t>环境中度敏感</w:t>
            </w:r>
            <w:r>
              <w:rPr>
                <w:spacing w:val="-1"/>
              </w:rPr>
              <w:t>(E2)</w:t>
            </w:r>
          </w:p>
        </w:tc>
        <w:tc>
          <w:tcPr>
            <w:tcW w:w="1336" w:type="dxa"/>
            <w:vAlign w:val="top"/>
          </w:tcPr>
          <w:p w14:paraId="40C741A6">
            <w:pPr>
              <w:pStyle w:val="6"/>
              <w:spacing w:before="106" w:line="185" w:lineRule="auto"/>
              <w:ind w:left="553"/>
            </w:pPr>
            <w:r>
              <w:t>Ⅳ</w:t>
            </w:r>
          </w:p>
        </w:tc>
        <w:tc>
          <w:tcPr>
            <w:tcW w:w="1662" w:type="dxa"/>
            <w:vAlign w:val="top"/>
          </w:tcPr>
          <w:p w14:paraId="1974D0A1">
            <w:pPr>
              <w:pStyle w:val="6"/>
              <w:spacing w:before="106" w:line="185" w:lineRule="auto"/>
              <w:ind w:left="727"/>
            </w:pPr>
            <w:r>
              <w:t>Ⅲ</w:t>
            </w:r>
          </w:p>
        </w:tc>
        <w:tc>
          <w:tcPr>
            <w:tcW w:w="1661" w:type="dxa"/>
            <w:vAlign w:val="top"/>
          </w:tcPr>
          <w:p w14:paraId="05BD1357">
            <w:pPr>
              <w:pStyle w:val="6"/>
              <w:spacing w:before="106" w:line="185" w:lineRule="auto"/>
              <w:ind w:left="727"/>
            </w:pPr>
            <w:r>
              <w:t>Ⅲ</w:t>
            </w:r>
          </w:p>
        </w:tc>
        <w:tc>
          <w:tcPr>
            <w:tcW w:w="1669" w:type="dxa"/>
            <w:vAlign w:val="top"/>
          </w:tcPr>
          <w:p w14:paraId="2639359A">
            <w:pPr>
              <w:pStyle w:val="6"/>
              <w:spacing w:before="106" w:line="185" w:lineRule="auto"/>
              <w:ind w:left="761"/>
            </w:pPr>
            <w:r>
              <w:rPr>
                <w:spacing w:val="-2"/>
              </w:rPr>
              <w:t>II</w:t>
            </w:r>
          </w:p>
        </w:tc>
      </w:tr>
      <w:tr w14:paraId="5D332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2" w:type="dxa"/>
            <w:vAlign w:val="top"/>
          </w:tcPr>
          <w:p w14:paraId="5072A583">
            <w:pPr>
              <w:pStyle w:val="6"/>
              <w:spacing w:before="67" w:line="212" w:lineRule="auto"/>
              <w:ind w:left="184"/>
            </w:pPr>
            <w:r>
              <w:rPr>
                <w:rFonts w:ascii="宋体" w:hAnsi="宋体" w:eastAsia="宋体" w:cs="宋体"/>
                <w:spacing w:val="-1"/>
              </w:rPr>
              <w:t>环境低度敏感</w:t>
            </w:r>
            <w:r>
              <w:rPr>
                <w:spacing w:val="-1"/>
              </w:rPr>
              <w:t>(E3)</w:t>
            </w:r>
          </w:p>
        </w:tc>
        <w:tc>
          <w:tcPr>
            <w:tcW w:w="1336" w:type="dxa"/>
            <w:vAlign w:val="top"/>
          </w:tcPr>
          <w:p w14:paraId="1FE539F1">
            <w:pPr>
              <w:pStyle w:val="6"/>
              <w:spacing w:before="107" w:line="185" w:lineRule="auto"/>
              <w:ind w:left="562"/>
            </w:pPr>
            <w:r>
              <w:t>Ⅲ</w:t>
            </w:r>
          </w:p>
        </w:tc>
        <w:tc>
          <w:tcPr>
            <w:tcW w:w="1662" w:type="dxa"/>
            <w:vAlign w:val="top"/>
          </w:tcPr>
          <w:p w14:paraId="596C99D8">
            <w:pPr>
              <w:pStyle w:val="6"/>
              <w:spacing w:before="107" w:line="185" w:lineRule="auto"/>
              <w:ind w:left="726"/>
            </w:pPr>
            <w:r>
              <w:t>Ⅲ</w:t>
            </w:r>
          </w:p>
        </w:tc>
        <w:tc>
          <w:tcPr>
            <w:tcW w:w="1661" w:type="dxa"/>
            <w:vAlign w:val="top"/>
          </w:tcPr>
          <w:p w14:paraId="3147BCD7">
            <w:pPr>
              <w:pStyle w:val="6"/>
              <w:spacing w:before="107" w:line="185" w:lineRule="auto"/>
              <w:ind w:left="760"/>
            </w:pPr>
            <w:r>
              <w:t>Ⅱ</w:t>
            </w:r>
          </w:p>
        </w:tc>
        <w:tc>
          <w:tcPr>
            <w:tcW w:w="1669" w:type="dxa"/>
            <w:vAlign w:val="top"/>
          </w:tcPr>
          <w:p w14:paraId="3AFE621D">
            <w:pPr>
              <w:pStyle w:val="6"/>
              <w:spacing w:before="107" w:line="185" w:lineRule="auto"/>
              <w:ind w:left="795"/>
            </w:pPr>
            <w:r>
              <w:t>Ⅰ</w:t>
            </w:r>
          </w:p>
        </w:tc>
      </w:tr>
      <w:tr w14:paraId="3E04F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320" w:type="dxa"/>
            <w:gridSpan w:val="5"/>
            <w:vAlign w:val="top"/>
          </w:tcPr>
          <w:p w14:paraId="5D846282">
            <w:pPr>
              <w:pStyle w:val="6"/>
              <w:spacing w:before="84" w:line="220" w:lineRule="auto"/>
              <w:ind w:left="191"/>
              <w:rPr>
                <w:rFonts w:ascii="宋体" w:hAnsi="宋体" w:eastAsia="宋体" w:cs="宋体"/>
                <w:sz w:val="18"/>
                <w:szCs w:val="18"/>
              </w:rPr>
            </w:pPr>
            <w:r>
              <w:rPr>
                <w:rFonts w:ascii="宋体" w:hAnsi="宋体" w:eastAsia="宋体" w:cs="宋体"/>
                <w:spacing w:val="-1"/>
                <w:sz w:val="18"/>
                <w:szCs w:val="18"/>
              </w:rPr>
              <w:t>注：</w:t>
            </w:r>
            <w:r>
              <w:rPr>
                <w:spacing w:val="-1"/>
                <w:sz w:val="18"/>
                <w:szCs w:val="18"/>
              </w:rPr>
              <w:t>Ⅳ+</w:t>
            </w:r>
            <w:r>
              <w:rPr>
                <w:rFonts w:ascii="宋体" w:hAnsi="宋体" w:eastAsia="宋体" w:cs="宋体"/>
                <w:spacing w:val="-1"/>
                <w:sz w:val="18"/>
                <w:szCs w:val="18"/>
              </w:rPr>
              <w:t>为极高环境风险</w:t>
            </w:r>
          </w:p>
        </w:tc>
      </w:tr>
    </w:tbl>
    <w:p w14:paraId="1F2C6915">
      <w:pPr>
        <w:spacing w:before="291" w:line="227"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4.3.3.2 </w:t>
      </w:r>
      <w:r>
        <w:rPr>
          <w:rFonts w:ascii="宋体" w:hAnsi="宋体" w:eastAsia="宋体" w:cs="宋体"/>
          <w:b/>
          <w:bCs/>
          <w:spacing w:val="6"/>
          <w:sz w:val="27"/>
          <w:szCs w:val="27"/>
        </w:rPr>
        <w:t>危险物质及工艺系统危险性（</w:t>
      </w:r>
      <w:r>
        <w:rPr>
          <w:rFonts w:ascii="Times New Roman" w:hAnsi="Times New Roman" w:eastAsia="Times New Roman" w:cs="Times New Roman"/>
          <w:b/>
          <w:bCs/>
          <w:spacing w:val="6"/>
          <w:sz w:val="27"/>
          <w:szCs w:val="27"/>
        </w:rPr>
        <w:t>P</w:t>
      </w:r>
      <w:r>
        <w:rPr>
          <w:rFonts w:ascii="宋体" w:hAnsi="宋体" w:eastAsia="宋体" w:cs="宋体"/>
          <w:b/>
          <w:bCs/>
          <w:spacing w:val="6"/>
          <w:sz w:val="27"/>
          <w:szCs w:val="27"/>
        </w:rPr>
        <w:t>）</w:t>
      </w:r>
      <w:r>
        <w:rPr>
          <w:rFonts w:ascii="宋体" w:hAnsi="宋体" w:eastAsia="宋体" w:cs="宋体"/>
          <w:b/>
          <w:bCs/>
          <w:spacing w:val="5"/>
          <w:sz w:val="27"/>
          <w:szCs w:val="27"/>
        </w:rPr>
        <w:t>的分级确定</w:t>
      </w:r>
    </w:p>
    <w:p w14:paraId="57AAFAE2">
      <w:pPr>
        <w:spacing w:before="234" w:line="358" w:lineRule="auto"/>
        <w:ind w:left="38" w:firstLine="480"/>
        <w:jc w:val="both"/>
        <w:rPr>
          <w:rFonts w:ascii="宋体" w:hAnsi="宋体" w:eastAsia="宋体" w:cs="宋体"/>
          <w:sz w:val="24"/>
          <w:szCs w:val="24"/>
        </w:rPr>
      </w:pPr>
      <w:r>
        <w:rPr>
          <w:rFonts w:ascii="宋体" w:hAnsi="宋体" w:eastAsia="宋体" w:cs="宋体"/>
          <w:spacing w:val="4"/>
          <w:sz w:val="24"/>
          <w:szCs w:val="24"/>
        </w:rPr>
        <w:t>根据本项目的实际情况，确定本项目涉及的风险物质为柴油（最大储量为</w:t>
      </w:r>
      <w:r>
        <w:rPr>
          <w:rFonts w:ascii="Times New Roman" w:hAnsi="Times New Roman" w:eastAsia="Times New Roman" w:cs="Times New Roman"/>
          <w:spacing w:val="-6"/>
          <w:sz w:val="24"/>
          <w:szCs w:val="24"/>
        </w:rPr>
        <w:t>600L</w:t>
      </w:r>
      <w:r>
        <w:rPr>
          <w:rFonts w:ascii="宋体" w:hAnsi="宋体" w:eastAsia="宋体" w:cs="宋体"/>
          <w:spacing w:val="9"/>
          <w:sz w:val="24"/>
          <w:szCs w:val="24"/>
        </w:rPr>
        <w:t>），</w:t>
      </w:r>
      <w:r>
        <w:rPr>
          <w:rFonts w:ascii="宋体" w:hAnsi="宋体" w:eastAsia="宋体" w:cs="宋体"/>
          <w:spacing w:val="-6"/>
          <w:sz w:val="24"/>
          <w:szCs w:val="24"/>
        </w:rPr>
        <w:t>次氯酸钠（最大储量为</w:t>
      </w:r>
      <w:r>
        <w:rPr>
          <w:rFonts w:ascii="Times New Roman" w:hAnsi="Times New Roman" w:eastAsia="Times New Roman" w:cs="Times New Roman"/>
          <w:spacing w:val="-6"/>
          <w:sz w:val="24"/>
          <w:szCs w:val="24"/>
        </w:rPr>
        <w:t>0.9t</w:t>
      </w:r>
      <w:r>
        <w:rPr>
          <w:rFonts w:ascii="宋体" w:hAnsi="宋体" w:eastAsia="宋体" w:cs="宋体"/>
          <w:spacing w:val="-6"/>
          <w:sz w:val="24"/>
          <w:szCs w:val="24"/>
        </w:rPr>
        <w:t>）。根据项目工程分析，</w:t>
      </w:r>
      <w:r>
        <w:rPr>
          <w:rFonts w:ascii="宋体" w:hAnsi="宋体" w:eastAsia="宋体" w:cs="宋体"/>
          <w:spacing w:val="62"/>
          <w:sz w:val="24"/>
          <w:szCs w:val="24"/>
        </w:rPr>
        <w:t xml:space="preserve"> </w:t>
      </w:r>
      <w:r>
        <w:rPr>
          <w:rFonts w:ascii="宋体" w:hAnsi="宋体" w:eastAsia="宋体" w:cs="宋体"/>
          <w:spacing w:val="-6"/>
          <w:sz w:val="24"/>
          <w:szCs w:val="24"/>
        </w:rPr>
        <w:t>项目设置</w:t>
      </w:r>
      <w:r>
        <w:rPr>
          <w:rFonts w:ascii="Times New Roman" w:hAnsi="Times New Roman" w:eastAsia="Times New Roman" w:cs="Times New Roman"/>
          <w:spacing w:val="-6"/>
          <w:sz w:val="24"/>
          <w:szCs w:val="24"/>
        </w:rPr>
        <w:t>2</w:t>
      </w:r>
      <w:r>
        <w:rPr>
          <w:rFonts w:ascii="宋体" w:hAnsi="宋体" w:eastAsia="宋体" w:cs="宋体"/>
          <w:spacing w:val="-6"/>
          <w:sz w:val="24"/>
          <w:szCs w:val="24"/>
        </w:rPr>
        <w:t>个</w:t>
      </w:r>
      <w:r>
        <w:rPr>
          <w:rFonts w:ascii="Times New Roman" w:hAnsi="Times New Roman" w:eastAsia="Times New Roman" w:cs="Times New Roman"/>
          <w:spacing w:val="-6"/>
          <w:sz w:val="24"/>
          <w:szCs w:val="24"/>
        </w:rPr>
        <w:t>400m</w:t>
      </w:r>
      <w:r>
        <w:rPr>
          <w:rFonts w:ascii="Times New Roman" w:hAnsi="Times New Roman" w:eastAsia="Times New Roman" w:cs="Times New Roman"/>
          <w:spacing w:val="-6"/>
          <w:position w:val="10"/>
          <w:sz w:val="15"/>
          <w:szCs w:val="15"/>
        </w:rPr>
        <w:t>3</w:t>
      </w:r>
      <w:r>
        <w:rPr>
          <w:rFonts w:ascii="宋体" w:hAnsi="宋体" w:eastAsia="宋体" w:cs="宋体"/>
          <w:spacing w:val="-6"/>
          <w:sz w:val="24"/>
          <w:szCs w:val="24"/>
        </w:rPr>
        <w:t>沼气柜，沼气热值约为</w:t>
      </w:r>
      <w:r>
        <w:rPr>
          <w:rFonts w:ascii="Times New Roman" w:hAnsi="Times New Roman" w:eastAsia="Times New Roman" w:cs="Times New Roman"/>
          <w:spacing w:val="-6"/>
          <w:sz w:val="24"/>
          <w:szCs w:val="24"/>
        </w:rPr>
        <w:t>20.514MJ/m</w:t>
      </w:r>
      <w:r>
        <w:rPr>
          <w:rFonts w:ascii="Times New Roman" w:hAnsi="Times New Roman" w:eastAsia="Times New Roman" w:cs="Times New Roman"/>
          <w:spacing w:val="-6"/>
          <w:position w:val="10"/>
          <w:sz w:val="15"/>
          <w:szCs w:val="15"/>
        </w:rPr>
        <w:t>3</w:t>
      </w:r>
      <w:r>
        <w:rPr>
          <w:rFonts w:ascii="宋体" w:hAnsi="宋体" w:eastAsia="宋体" w:cs="宋体"/>
          <w:spacing w:val="-6"/>
          <w:sz w:val="24"/>
          <w:szCs w:val="24"/>
        </w:rPr>
        <w:t>，天然气热值为</w:t>
      </w:r>
      <w:r>
        <w:rPr>
          <w:rFonts w:ascii="Times New Roman" w:hAnsi="Times New Roman" w:eastAsia="Times New Roman" w:cs="Times New Roman"/>
          <w:spacing w:val="-6"/>
          <w:sz w:val="24"/>
          <w:szCs w:val="24"/>
        </w:rPr>
        <w:t>35.588MJ/m</w:t>
      </w:r>
      <w:r>
        <w:rPr>
          <w:rFonts w:ascii="Times New Roman" w:hAnsi="Times New Roman" w:eastAsia="Times New Roman" w:cs="Times New Roman"/>
          <w:spacing w:val="-6"/>
          <w:position w:val="10"/>
          <w:sz w:val="15"/>
          <w:szCs w:val="15"/>
        </w:rPr>
        <w:t>3</w:t>
      </w:r>
      <w:r>
        <w:rPr>
          <w:rFonts w:ascii="宋体" w:hAnsi="宋体" w:eastAsia="宋体" w:cs="宋体"/>
          <w:spacing w:val="-6"/>
          <w:sz w:val="24"/>
          <w:szCs w:val="24"/>
        </w:rPr>
        <w:t>，根据热</w:t>
      </w:r>
      <w:r>
        <w:rPr>
          <w:rFonts w:ascii="宋体" w:hAnsi="宋体" w:eastAsia="宋体" w:cs="宋体"/>
          <w:spacing w:val="-7"/>
          <w:sz w:val="24"/>
          <w:szCs w:val="24"/>
        </w:rPr>
        <w:t>值估算，</w:t>
      </w:r>
      <w:r>
        <w:rPr>
          <w:rFonts w:ascii="宋体" w:hAnsi="宋体" w:eastAsia="宋体" w:cs="宋体"/>
          <w:sz w:val="24"/>
          <w:szCs w:val="24"/>
        </w:rPr>
        <w:t>单个沼气柜相当于</w:t>
      </w:r>
      <w:r>
        <w:rPr>
          <w:rFonts w:ascii="Times New Roman" w:hAnsi="Times New Roman" w:eastAsia="Times New Roman" w:cs="Times New Roman"/>
          <w:sz w:val="24"/>
          <w:szCs w:val="24"/>
        </w:rPr>
        <w:t>231m</w:t>
      </w:r>
      <w:r>
        <w:rPr>
          <w:rFonts w:ascii="Times New Roman" w:hAnsi="Times New Roman" w:eastAsia="Times New Roman" w:cs="Times New Roman"/>
          <w:position w:val="10"/>
          <w:sz w:val="15"/>
          <w:szCs w:val="15"/>
        </w:rPr>
        <w:t>3</w:t>
      </w:r>
      <w:r>
        <w:rPr>
          <w:rFonts w:ascii="Times New Roman" w:hAnsi="Times New Roman" w:eastAsia="Times New Roman" w:cs="Times New Roman"/>
          <w:spacing w:val="-21"/>
          <w:position w:val="10"/>
          <w:sz w:val="15"/>
          <w:szCs w:val="15"/>
        </w:rPr>
        <w:t xml:space="preserve"> </w:t>
      </w:r>
      <w:r>
        <w:rPr>
          <w:rFonts w:ascii="宋体" w:hAnsi="宋体" w:eastAsia="宋体" w:cs="宋体"/>
          <w:sz w:val="24"/>
          <w:szCs w:val="24"/>
        </w:rPr>
        <w:t>天然气，约</w:t>
      </w:r>
      <w:r>
        <w:rPr>
          <w:rFonts w:ascii="Times New Roman" w:hAnsi="Times New Roman" w:eastAsia="Times New Roman" w:cs="Times New Roman"/>
          <w:sz w:val="24"/>
          <w:szCs w:val="24"/>
        </w:rPr>
        <w:t>0.</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17t</w:t>
      </w:r>
      <w:r>
        <w:rPr>
          <w:rFonts w:ascii="宋体" w:hAnsi="宋体" w:eastAsia="宋体" w:cs="宋体"/>
          <w:sz w:val="24"/>
          <w:szCs w:val="24"/>
        </w:rPr>
        <w:t>（常温</w:t>
      </w:r>
      <w:r>
        <w:rPr>
          <w:rFonts w:ascii="宋体" w:hAnsi="宋体" w:eastAsia="宋体" w:cs="宋体"/>
          <w:spacing w:val="-1"/>
          <w:sz w:val="24"/>
          <w:szCs w:val="24"/>
        </w:rPr>
        <w:t>常压下天然气密度</w:t>
      </w:r>
      <w:r>
        <w:rPr>
          <w:rFonts w:ascii="Times New Roman" w:hAnsi="Times New Roman" w:eastAsia="Times New Roman" w:cs="Times New Roman"/>
          <w:spacing w:val="-1"/>
          <w:sz w:val="24"/>
          <w:szCs w:val="24"/>
        </w:rPr>
        <w:t>0.7174kg/m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w:t>
      </w:r>
      <w:r>
        <w:rPr>
          <w:rFonts w:ascii="宋体" w:hAnsi="宋体" w:eastAsia="宋体" w:cs="宋体"/>
          <w:spacing w:val="2"/>
          <w:sz w:val="24"/>
          <w:szCs w:val="24"/>
        </w:rPr>
        <w:t>按甲烷纯度</w:t>
      </w:r>
      <w:r>
        <w:rPr>
          <w:rFonts w:ascii="Times New Roman" w:hAnsi="Times New Roman" w:eastAsia="Times New Roman" w:cs="Times New Roman"/>
          <w:spacing w:val="2"/>
          <w:sz w:val="24"/>
          <w:szCs w:val="24"/>
        </w:rPr>
        <w:t>100%</w:t>
      </w:r>
      <w:r>
        <w:rPr>
          <w:rFonts w:ascii="宋体" w:hAnsi="宋体" w:eastAsia="宋体" w:cs="宋体"/>
          <w:spacing w:val="2"/>
          <w:sz w:val="24"/>
          <w:szCs w:val="24"/>
        </w:rPr>
        <w:t>考虑），沼气池中产生的沼气经</w:t>
      </w:r>
      <w:r>
        <w:rPr>
          <w:rFonts w:ascii="宋体" w:hAnsi="宋体" w:eastAsia="宋体" w:cs="宋体"/>
          <w:spacing w:val="1"/>
          <w:sz w:val="24"/>
          <w:szCs w:val="24"/>
        </w:rPr>
        <w:t>脱水脱硫净化后主要由火炬燃</w:t>
      </w:r>
      <w:r>
        <w:rPr>
          <w:rFonts w:ascii="宋体" w:hAnsi="宋体" w:eastAsia="宋体" w:cs="宋体"/>
          <w:spacing w:val="-9"/>
          <w:sz w:val="24"/>
          <w:szCs w:val="24"/>
        </w:rPr>
        <w:t>烧处理。</w:t>
      </w:r>
    </w:p>
    <w:p w14:paraId="0620D859">
      <w:pPr>
        <w:spacing w:before="17" w:line="212" w:lineRule="auto"/>
        <w:ind w:left="521"/>
        <w:rPr>
          <w:rFonts w:ascii="宋体" w:hAnsi="宋体" w:eastAsia="宋体" w:cs="宋体"/>
          <w:sz w:val="24"/>
          <w:szCs w:val="24"/>
        </w:rPr>
      </w:pPr>
      <w:r>
        <w:rPr>
          <w:rFonts w:ascii="Times New Roman" w:hAnsi="Times New Roman" w:eastAsia="Times New Roman" w:cs="Times New Roman"/>
          <w:b/>
          <w:bCs/>
          <w:spacing w:val="-11"/>
          <w:sz w:val="24"/>
          <w:szCs w:val="24"/>
        </w:rPr>
        <w:t>Q</w:t>
      </w:r>
      <w:r>
        <w:rPr>
          <w:rFonts w:ascii="宋体" w:hAnsi="宋体" w:eastAsia="宋体" w:cs="宋体"/>
          <w:b/>
          <w:bCs/>
          <w:spacing w:val="-11"/>
          <w:sz w:val="24"/>
          <w:szCs w:val="24"/>
        </w:rPr>
        <w:t>值的确定：</w:t>
      </w:r>
    </w:p>
    <w:p w14:paraId="67CF99BA">
      <w:pPr>
        <w:spacing w:line="212" w:lineRule="auto"/>
        <w:rPr>
          <w:rFonts w:ascii="宋体" w:hAnsi="宋体" w:eastAsia="宋体" w:cs="宋体"/>
          <w:sz w:val="24"/>
          <w:szCs w:val="24"/>
        </w:rPr>
        <w:sectPr>
          <w:headerReference r:id="rId404" w:type="default"/>
          <w:footerReference r:id="rId405" w:type="default"/>
          <w:pgSz w:w="11905" w:h="16840"/>
          <w:pgMar w:top="1168" w:right="1732" w:bottom="1409" w:left="1770" w:header="828" w:footer="1244" w:gutter="0"/>
          <w:cols w:space="720" w:num="1"/>
        </w:sectPr>
      </w:pPr>
    </w:p>
    <w:p w14:paraId="0E6A7C7A">
      <w:pPr>
        <w:pStyle w:val="2"/>
        <w:spacing w:line="307" w:lineRule="auto"/>
      </w:pPr>
    </w:p>
    <w:p w14:paraId="3FEB9904">
      <w:pPr>
        <w:spacing w:before="78" w:line="354" w:lineRule="auto"/>
        <w:ind w:left="44" w:right="31" w:firstLine="475"/>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/T169-2018</w:t>
      </w:r>
      <w:r>
        <w:rPr>
          <w:rFonts w:ascii="宋体" w:hAnsi="宋体" w:eastAsia="宋体" w:cs="宋体"/>
          <w:spacing w:val="1"/>
          <w:sz w:val="24"/>
          <w:szCs w:val="24"/>
        </w:rPr>
        <w:t>）附录</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Q</w:t>
      </w:r>
      <w:r>
        <w:rPr>
          <w:rFonts w:ascii="宋体" w:hAnsi="宋体" w:eastAsia="宋体" w:cs="宋体"/>
          <w:spacing w:val="1"/>
          <w:sz w:val="24"/>
          <w:szCs w:val="24"/>
        </w:rPr>
        <w:t>按下</w:t>
      </w:r>
      <w:r>
        <w:rPr>
          <w:rFonts w:ascii="宋体" w:hAnsi="宋体" w:eastAsia="宋体" w:cs="宋体"/>
          <w:spacing w:val="-10"/>
          <w:sz w:val="24"/>
          <w:szCs w:val="24"/>
        </w:rPr>
        <w:t>式进行计算：</w:t>
      </w:r>
    </w:p>
    <w:p w14:paraId="27607366">
      <w:pPr>
        <w:spacing w:before="44" w:line="648" w:lineRule="exact"/>
        <w:ind w:firstLine="3141"/>
      </w:pPr>
      <w:r>
        <w:rPr>
          <w:position w:val="-12"/>
        </w:rPr>
        <w:drawing>
          <wp:inline distT="0" distB="0" distL="0" distR="0">
            <wp:extent cx="1320800" cy="41148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583"/>
                    <a:stretch>
                      <a:fillRect/>
                    </a:stretch>
                  </pic:blipFill>
                  <pic:spPr>
                    <a:xfrm>
                      <a:off x="0" y="0"/>
                      <a:ext cx="1321307" cy="411480"/>
                    </a:xfrm>
                    <a:prstGeom prst="rect">
                      <a:avLst/>
                    </a:prstGeom>
                  </pic:spPr>
                </pic:pic>
              </a:graphicData>
            </a:graphic>
          </wp:inline>
        </w:drawing>
      </w:r>
    </w:p>
    <w:p w14:paraId="45FC6B76">
      <w:pPr>
        <w:spacing w:before="258" w:line="212" w:lineRule="auto"/>
        <w:ind w:left="524"/>
        <w:rPr>
          <w:rFonts w:ascii="宋体" w:hAnsi="宋体" w:eastAsia="宋体" w:cs="宋体"/>
          <w:sz w:val="24"/>
          <w:szCs w:val="24"/>
        </w:rPr>
      </w:pPr>
      <w:r>
        <w:rPr>
          <w:rFonts w:ascii="宋体" w:hAnsi="宋体" w:eastAsia="宋体" w:cs="宋体"/>
          <w:spacing w:val="-2"/>
          <w:sz w:val="24"/>
          <w:szCs w:val="24"/>
        </w:rPr>
        <w:t>式中：</w:t>
      </w:r>
      <w:r>
        <w:rPr>
          <w:rFonts w:ascii="Times New Roman" w:hAnsi="Times New Roman" w:eastAsia="Times New Roman" w:cs="Times New Roman"/>
          <w:spacing w:val="-2"/>
          <w:sz w:val="24"/>
          <w:szCs w:val="24"/>
        </w:rPr>
        <w:t>q1</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q2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u w:val="dotted" w:color="auto"/>
        </w:rPr>
        <w:t xml:space="preserve">       </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2"/>
          <w:sz w:val="24"/>
          <w:szCs w:val="24"/>
        </w:rPr>
        <w:t>qn—</w:t>
      </w:r>
      <w:r>
        <w:rPr>
          <w:rFonts w:ascii="宋体" w:hAnsi="宋体" w:eastAsia="宋体" w:cs="宋体"/>
          <w:spacing w:val="-2"/>
          <w:sz w:val="24"/>
          <w:szCs w:val="24"/>
        </w:rPr>
        <w:t>每种危险物质的最大存在量，</w:t>
      </w:r>
      <w:r>
        <w:rPr>
          <w:rFonts w:ascii="Times New Roman" w:hAnsi="Times New Roman" w:eastAsia="Times New Roman" w:cs="Times New Roman"/>
          <w:spacing w:val="-2"/>
          <w:sz w:val="24"/>
          <w:szCs w:val="24"/>
        </w:rPr>
        <w:t>t</w:t>
      </w:r>
      <w:r>
        <w:rPr>
          <w:rFonts w:ascii="宋体" w:hAnsi="宋体" w:eastAsia="宋体" w:cs="宋体"/>
          <w:spacing w:val="-2"/>
          <w:sz w:val="24"/>
          <w:szCs w:val="24"/>
        </w:rPr>
        <w:t>；</w:t>
      </w:r>
    </w:p>
    <w:p w14:paraId="76BFACD4">
      <w:pPr>
        <w:spacing w:before="191" w:line="353" w:lineRule="auto"/>
        <w:ind w:left="534" w:right="2624" w:firstLine="703"/>
        <w:rPr>
          <w:rFonts w:ascii="宋体" w:hAnsi="宋体" w:eastAsia="宋体" w:cs="宋体"/>
          <w:sz w:val="24"/>
          <w:szCs w:val="24"/>
        </w:rPr>
      </w:pPr>
      <w:r>
        <w:rPr>
          <w:rFonts w:ascii="Times New Roman" w:hAnsi="Times New Roman" w:eastAsia="Times New Roman" w:cs="Times New Roman"/>
          <w:spacing w:val="-4"/>
          <w:sz w:val="24"/>
          <w:szCs w:val="24"/>
        </w:rPr>
        <w:t>Q1</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Q2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1"/>
          <w:sz w:val="24"/>
          <w:szCs w:val="24"/>
          <w:u w:val="dotted" w:color="auto"/>
        </w:rPr>
        <w:t xml:space="preserve">   </w:t>
      </w:r>
      <w:r>
        <w:rPr>
          <w:rFonts w:ascii="Times New Roman" w:hAnsi="Times New Roman" w:eastAsia="Times New Roman" w:cs="Times New Roman"/>
          <w:spacing w:val="-51"/>
          <w:sz w:val="24"/>
          <w:szCs w:val="24"/>
        </w:rPr>
        <w:t xml:space="preserve"> </w:t>
      </w:r>
      <w:r>
        <w:rPr>
          <w:rFonts w:ascii="Times New Roman" w:hAnsi="Times New Roman" w:eastAsia="Times New Roman" w:cs="Times New Roman"/>
          <w:spacing w:val="-4"/>
          <w:sz w:val="24"/>
          <w:szCs w:val="24"/>
        </w:rPr>
        <w:t>Qn—</w:t>
      </w:r>
      <w:r>
        <w:rPr>
          <w:rFonts w:ascii="宋体" w:hAnsi="宋体" w:eastAsia="宋体" w:cs="宋体"/>
          <w:spacing w:val="-4"/>
          <w:sz w:val="24"/>
          <w:szCs w:val="24"/>
        </w:rPr>
        <w:t>每种危险物质的临界量，</w:t>
      </w:r>
      <w:r>
        <w:rPr>
          <w:rFonts w:ascii="Times New Roman" w:hAnsi="Times New Roman" w:eastAsia="Times New Roman" w:cs="Times New Roman"/>
          <w:spacing w:val="-4"/>
          <w:sz w:val="24"/>
          <w:szCs w:val="24"/>
        </w:rPr>
        <w:t>t</w:t>
      </w:r>
      <w:r>
        <w:rPr>
          <w:rFonts w:ascii="宋体" w:hAnsi="宋体" w:eastAsia="宋体" w:cs="宋体"/>
          <w:spacing w:val="-4"/>
          <w:sz w:val="24"/>
          <w:szCs w:val="24"/>
        </w:rPr>
        <w:t>。当</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Q</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时，该项目环境风险潜势为</w:t>
      </w:r>
      <w:r>
        <w:rPr>
          <w:rFonts w:ascii="Times New Roman" w:hAnsi="Times New Roman" w:eastAsia="Times New Roman" w:cs="Times New Roman"/>
          <w:spacing w:val="-4"/>
          <w:sz w:val="24"/>
          <w:szCs w:val="24"/>
        </w:rPr>
        <w:t>Ⅰ</w:t>
      </w:r>
      <w:r>
        <w:rPr>
          <w:rFonts w:ascii="宋体" w:hAnsi="宋体" w:eastAsia="宋体" w:cs="宋体"/>
          <w:spacing w:val="-4"/>
          <w:sz w:val="24"/>
          <w:szCs w:val="24"/>
        </w:rPr>
        <w:t>。</w:t>
      </w:r>
    </w:p>
    <w:p w14:paraId="7E8BEF4E">
      <w:pPr>
        <w:spacing w:before="19" w:line="212" w:lineRule="auto"/>
        <w:ind w:left="534"/>
        <w:rPr>
          <w:rFonts w:ascii="宋体" w:hAnsi="宋体" w:eastAsia="宋体" w:cs="宋体"/>
          <w:sz w:val="24"/>
          <w:szCs w:val="24"/>
        </w:rPr>
      </w:pPr>
      <w:r>
        <w:rPr>
          <w:rFonts w:ascii="宋体" w:hAnsi="宋体" w:eastAsia="宋体" w:cs="宋体"/>
          <w:spacing w:val="-1"/>
          <w:sz w:val="24"/>
          <w:szCs w:val="24"/>
        </w:rPr>
        <w:t>当</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Q</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时，将</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Q </w:t>
      </w:r>
      <w:r>
        <w:rPr>
          <w:rFonts w:ascii="宋体" w:hAnsi="宋体" w:eastAsia="宋体" w:cs="宋体"/>
          <w:spacing w:val="-1"/>
          <w:sz w:val="24"/>
          <w:szCs w:val="24"/>
        </w:rPr>
        <w:t>值划分为：</w:t>
      </w:r>
      <w:r>
        <w:rPr>
          <w:rFonts w:ascii="Times New Roman" w:hAnsi="Times New Roman" w:eastAsia="Times New Roman" w:cs="Times New Roman"/>
          <w:spacing w:val="-1"/>
          <w:sz w:val="24"/>
          <w:szCs w:val="24"/>
        </w:rPr>
        <w:t>(1)1</w:t>
      </w:r>
      <w:r>
        <w:rPr>
          <w:rFonts w:ascii="宋体" w:hAnsi="宋体" w:eastAsia="宋体" w:cs="宋体"/>
          <w:spacing w:val="-1"/>
          <w:sz w:val="24"/>
          <w:szCs w:val="24"/>
        </w:rPr>
        <w:t>≤</w:t>
      </w:r>
      <w:r>
        <w:rPr>
          <w:rFonts w:ascii="Times New Roman" w:hAnsi="Times New Roman" w:eastAsia="Times New Roman" w:cs="Times New Roman"/>
          <w:spacing w:val="-1"/>
          <w:sz w:val="24"/>
          <w:szCs w:val="24"/>
        </w:rPr>
        <w:t>Q</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2)10</w:t>
      </w:r>
      <w:r>
        <w:rPr>
          <w:rFonts w:ascii="宋体" w:hAnsi="宋体" w:eastAsia="宋体" w:cs="宋体"/>
          <w:spacing w:val="-2"/>
          <w:sz w:val="24"/>
          <w:szCs w:val="24"/>
        </w:rPr>
        <w:t>≤</w:t>
      </w:r>
      <w:r>
        <w:rPr>
          <w:rFonts w:ascii="Times New Roman" w:hAnsi="Times New Roman" w:eastAsia="Times New Roman" w:cs="Times New Roman"/>
          <w:spacing w:val="-2"/>
          <w:sz w:val="24"/>
          <w:szCs w:val="24"/>
        </w:rPr>
        <w:t>Q</w:t>
      </w:r>
      <w:r>
        <w:rPr>
          <w:rFonts w:ascii="宋体" w:hAnsi="宋体" w:eastAsia="宋体" w:cs="宋体"/>
          <w:spacing w:val="-2"/>
          <w:sz w:val="24"/>
          <w:szCs w:val="24"/>
        </w:rPr>
        <w:t>＜</w:t>
      </w:r>
      <w:r>
        <w:rPr>
          <w:rFonts w:ascii="Times New Roman" w:hAnsi="Times New Roman" w:eastAsia="Times New Roman" w:cs="Times New Roman"/>
          <w:spacing w:val="-2"/>
          <w:sz w:val="24"/>
          <w:szCs w:val="24"/>
        </w:rPr>
        <w:t>100</w:t>
      </w:r>
      <w:r>
        <w:rPr>
          <w:rFonts w:ascii="宋体" w:hAnsi="宋体" w:eastAsia="宋体" w:cs="宋体"/>
          <w:spacing w:val="-2"/>
          <w:sz w:val="24"/>
          <w:szCs w:val="24"/>
        </w:rPr>
        <w:t>；</w:t>
      </w:r>
      <w:r>
        <w:rPr>
          <w:rFonts w:ascii="Times New Roman" w:hAnsi="Times New Roman" w:eastAsia="Times New Roman" w:cs="Times New Roman"/>
          <w:spacing w:val="-2"/>
          <w:sz w:val="24"/>
          <w:szCs w:val="24"/>
        </w:rPr>
        <w:t>(3)Q</w:t>
      </w:r>
      <w:r>
        <w:rPr>
          <w:rFonts w:ascii="宋体" w:hAnsi="宋体" w:eastAsia="宋体" w:cs="宋体"/>
          <w:spacing w:val="-2"/>
          <w:sz w:val="24"/>
          <w:szCs w:val="24"/>
        </w:rPr>
        <w:t>≥</w:t>
      </w:r>
      <w:r>
        <w:rPr>
          <w:rFonts w:ascii="Times New Roman" w:hAnsi="Times New Roman" w:eastAsia="Times New Roman" w:cs="Times New Roman"/>
          <w:spacing w:val="-2"/>
          <w:sz w:val="24"/>
          <w:szCs w:val="24"/>
        </w:rPr>
        <w:t>100</w:t>
      </w:r>
      <w:r>
        <w:rPr>
          <w:rFonts w:ascii="宋体" w:hAnsi="宋体" w:eastAsia="宋体" w:cs="宋体"/>
          <w:spacing w:val="-2"/>
          <w:sz w:val="24"/>
          <w:szCs w:val="24"/>
        </w:rPr>
        <w:t>。</w:t>
      </w:r>
    </w:p>
    <w:p w14:paraId="3CFAB771">
      <w:pPr>
        <w:spacing w:before="206" w:line="212" w:lineRule="auto"/>
        <w:ind w:left="2823"/>
        <w:rPr>
          <w:rFonts w:ascii="黑体" w:hAnsi="黑体" w:eastAsia="黑体" w:cs="黑体"/>
          <w:sz w:val="21"/>
          <w:szCs w:val="21"/>
        </w:rPr>
      </w:pPr>
      <w:r>
        <w:rPr>
          <w:rFonts w:ascii="黑体" w:hAnsi="黑体" w:eastAsia="黑体" w:cs="黑体"/>
          <w:spacing w:val="-2"/>
          <w:sz w:val="21"/>
          <w:szCs w:val="21"/>
        </w:rPr>
        <w:t>表</w:t>
      </w:r>
      <w:r>
        <w:rPr>
          <w:rFonts w:ascii="黑体" w:hAnsi="黑体" w:eastAsia="黑体" w:cs="黑体"/>
          <w:spacing w:val="-36"/>
          <w:sz w:val="21"/>
          <w:szCs w:val="21"/>
        </w:rPr>
        <w:t xml:space="preserve"> </w:t>
      </w:r>
      <w:r>
        <w:rPr>
          <w:rFonts w:ascii="Times New Roman" w:hAnsi="Times New Roman" w:eastAsia="Times New Roman" w:cs="Times New Roman"/>
          <w:spacing w:val="-2"/>
          <w:sz w:val="21"/>
          <w:szCs w:val="21"/>
        </w:rPr>
        <w:t xml:space="preserve">4.3-2  </w:t>
      </w:r>
      <w:r>
        <w:rPr>
          <w:rFonts w:ascii="黑体" w:hAnsi="黑体" w:eastAsia="黑体" w:cs="黑体"/>
          <w:spacing w:val="-2"/>
          <w:sz w:val="21"/>
          <w:szCs w:val="21"/>
        </w:rPr>
        <w:t>建设项目</w:t>
      </w:r>
      <w:r>
        <w:rPr>
          <w:rFonts w:ascii="黑体" w:hAnsi="黑体" w:eastAsia="黑体" w:cs="黑体"/>
          <w:spacing w:val="-44"/>
          <w:sz w:val="21"/>
          <w:szCs w:val="21"/>
        </w:rPr>
        <w:t xml:space="preserve"> </w:t>
      </w:r>
      <w:r>
        <w:rPr>
          <w:rFonts w:ascii="Times New Roman" w:hAnsi="Times New Roman" w:eastAsia="Times New Roman" w:cs="Times New Roman"/>
          <w:spacing w:val="-2"/>
          <w:sz w:val="21"/>
          <w:szCs w:val="21"/>
        </w:rPr>
        <w:t xml:space="preserve">Q </w:t>
      </w:r>
      <w:r>
        <w:rPr>
          <w:rFonts w:ascii="黑体" w:hAnsi="黑体" w:eastAsia="黑体" w:cs="黑体"/>
          <w:spacing w:val="-2"/>
          <w:sz w:val="21"/>
          <w:szCs w:val="21"/>
        </w:rPr>
        <w:t>值确定表</w:t>
      </w:r>
    </w:p>
    <w:p w14:paraId="1BDF61A4">
      <w:pPr>
        <w:spacing w:line="9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699"/>
        <w:gridCol w:w="1133"/>
        <w:gridCol w:w="1685"/>
        <w:gridCol w:w="1286"/>
        <w:gridCol w:w="1799"/>
      </w:tblGrid>
      <w:tr w14:paraId="3E4C8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8" w:type="dxa"/>
            <w:vAlign w:val="top"/>
          </w:tcPr>
          <w:p w14:paraId="31EC7FB1">
            <w:pPr>
              <w:spacing w:before="68" w:line="221" w:lineRule="auto"/>
              <w:ind w:left="164"/>
              <w:rPr>
                <w:rFonts w:ascii="宋体" w:hAnsi="宋体" w:eastAsia="宋体" w:cs="宋体"/>
                <w:sz w:val="21"/>
                <w:szCs w:val="21"/>
              </w:rPr>
            </w:pPr>
            <w:r>
              <w:rPr>
                <w:rFonts w:ascii="宋体" w:hAnsi="宋体" w:eastAsia="宋体" w:cs="宋体"/>
                <w:spacing w:val="-5"/>
                <w:sz w:val="21"/>
                <w:szCs w:val="21"/>
              </w:rPr>
              <w:t>序号</w:t>
            </w:r>
          </w:p>
        </w:tc>
        <w:tc>
          <w:tcPr>
            <w:tcW w:w="1699" w:type="dxa"/>
            <w:vAlign w:val="top"/>
          </w:tcPr>
          <w:p w14:paraId="6984970F">
            <w:pPr>
              <w:spacing w:before="69" w:line="220" w:lineRule="auto"/>
              <w:ind w:left="251"/>
              <w:rPr>
                <w:rFonts w:ascii="宋体" w:hAnsi="宋体" w:eastAsia="宋体" w:cs="宋体"/>
                <w:sz w:val="21"/>
                <w:szCs w:val="21"/>
              </w:rPr>
            </w:pPr>
            <w:r>
              <w:rPr>
                <w:rFonts w:ascii="宋体" w:hAnsi="宋体" w:eastAsia="宋体" w:cs="宋体"/>
                <w:spacing w:val="-9"/>
                <w:sz w:val="21"/>
                <w:szCs w:val="21"/>
              </w:rPr>
              <w:t>危险物质名称</w:t>
            </w:r>
          </w:p>
        </w:tc>
        <w:tc>
          <w:tcPr>
            <w:tcW w:w="1133" w:type="dxa"/>
            <w:vAlign w:val="top"/>
          </w:tcPr>
          <w:p w14:paraId="3688FAD2">
            <w:pPr>
              <w:pStyle w:val="6"/>
              <w:spacing w:before="68" w:line="221" w:lineRule="auto"/>
              <w:ind w:left="244"/>
              <w:rPr>
                <w:rFonts w:ascii="宋体" w:hAnsi="宋体" w:eastAsia="宋体" w:cs="宋体"/>
              </w:rPr>
            </w:pPr>
            <w:r>
              <w:rPr>
                <w:spacing w:val="-5"/>
              </w:rPr>
              <w:t>CAS</w:t>
            </w:r>
            <w:r>
              <w:rPr>
                <w:spacing w:val="7"/>
              </w:rPr>
              <w:t xml:space="preserve"> </w:t>
            </w:r>
            <w:r>
              <w:rPr>
                <w:rFonts w:ascii="宋体" w:hAnsi="宋体" w:eastAsia="宋体" w:cs="宋体"/>
                <w:spacing w:val="-5"/>
              </w:rPr>
              <w:t>号</w:t>
            </w:r>
          </w:p>
        </w:tc>
        <w:tc>
          <w:tcPr>
            <w:tcW w:w="1685" w:type="dxa"/>
            <w:vAlign w:val="top"/>
          </w:tcPr>
          <w:p w14:paraId="0468DE02">
            <w:pPr>
              <w:pStyle w:val="6"/>
              <w:spacing w:before="69" w:line="212" w:lineRule="auto"/>
              <w:ind w:left="168"/>
            </w:pPr>
            <w:r>
              <w:rPr>
                <w:rFonts w:ascii="宋体" w:hAnsi="宋体" w:eastAsia="宋体" w:cs="宋体"/>
                <w:spacing w:val="-8"/>
              </w:rPr>
              <w:t>最大储存量</w:t>
            </w:r>
            <w:r>
              <w:rPr>
                <w:rFonts w:ascii="宋体" w:hAnsi="宋体" w:eastAsia="宋体" w:cs="宋体"/>
                <w:spacing w:val="-55"/>
              </w:rPr>
              <w:t xml:space="preserve"> </w:t>
            </w:r>
            <w:r>
              <w:rPr>
                <w:spacing w:val="-8"/>
              </w:rPr>
              <w:t>qn/t</w:t>
            </w:r>
          </w:p>
        </w:tc>
        <w:tc>
          <w:tcPr>
            <w:tcW w:w="1286" w:type="dxa"/>
            <w:vAlign w:val="top"/>
          </w:tcPr>
          <w:p w14:paraId="5D87B4C8">
            <w:pPr>
              <w:pStyle w:val="6"/>
              <w:spacing w:before="69" w:line="212" w:lineRule="auto"/>
              <w:ind w:left="154"/>
            </w:pPr>
            <w:r>
              <w:rPr>
                <w:rFonts w:ascii="宋体" w:hAnsi="宋体" w:eastAsia="宋体" w:cs="宋体"/>
                <w:spacing w:val="-9"/>
              </w:rPr>
              <w:t>临界量</w:t>
            </w:r>
            <w:r>
              <w:rPr>
                <w:rFonts w:ascii="宋体" w:hAnsi="宋体" w:eastAsia="宋体" w:cs="宋体"/>
                <w:spacing w:val="-53"/>
              </w:rPr>
              <w:t xml:space="preserve"> </w:t>
            </w:r>
            <w:r>
              <w:rPr>
                <w:spacing w:val="-9"/>
              </w:rPr>
              <w:t>Qn/t</w:t>
            </w:r>
          </w:p>
        </w:tc>
        <w:tc>
          <w:tcPr>
            <w:tcW w:w="1799" w:type="dxa"/>
            <w:vAlign w:val="top"/>
          </w:tcPr>
          <w:p w14:paraId="737A6D46">
            <w:pPr>
              <w:pStyle w:val="6"/>
              <w:spacing w:before="69" w:line="212" w:lineRule="auto"/>
              <w:ind w:left="39"/>
              <w:rPr>
                <w:rFonts w:ascii="宋体" w:hAnsi="宋体" w:eastAsia="宋体" w:cs="宋体"/>
              </w:rPr>
            </w:pPr>
            <w:r>
              <w:rPr>
                <w:rFonts w:ascii="宋体" w:hAnsi="宋体" w:eastAsia="宋体" w:cs="宋体"/>
                <w:spacing w:val="-2"/>
              </w:rPr>
              <w:t>该种危险物质</w:t>
            </w:r>
            <w:r>
              <w:rPr>
                <w:rFonts w:ascii="宋体" w:hAnsi="宋体" w:eastAsia="宋体" w:cs="宋体"/>
                <w:spacing w:val="-39"/>
              </w:rPr>
              <w:t xml:space="preserve"> </w:t>
            </w:r>
            <w:r>
              <w:rPr>
                <w:spacing w:val="-2"/>
              </w:rPr>
              <w:t xml:space="preserve">Q </w:t>
            </w:r>
            <w:r>
              <w:rPr>
                <w:rFonts w:ascii="宋体" w:hAnsi="宋体" w:eastAsia="宋体" w:cs="宋体"/>
                <w:spacing w:val="-2"/>
              </w:rPr>
              <w:t>值</w:t>
            </w:r>
          </w:p>
        </w:tc>
      </w:tr>
      <w:tr w14:paraId="792A6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8" w:type="dxa"/>
            <w:vAlign w:val="top"/>
          </w:tcPr>
          <w:p w14:paraId="7F94A0D5">
            <w:pPr>
              <w:pStyle w:val="6"/>
              <w:spacing w:before="102" w:line="188" w:lineRule="auto"/>
              <w:ind w:left="331"/>
            </w:pPr>
            <w:r>
              <w:t>1</w:t>
            </w:r>
          </w:p>
        </w:tc>
        <w:tc>
          <w:tcPr>
            <w:tcW w:w="1699" w:type="dxa"/>
            <w:vAlign w:val="top"/>
          </w:tcPr>
          <w:p w14:paraId="00B05A1C">
            <w:pPr>
              <w:spacing w:before="65" w:line="220" w:lineRule="auto"/>
              <w:ind w:left="649"/>
              <w:rPr>
                <w:rFonts w:ascii="宋体" w:hAnsi="宋体" w:eastAsia="宋体" w:cs="宋体"/>
                <w:sz w:val="21"/>
                <w:szCs w:val="21"/>
              </w:rPr>
            </w:pPr>
            <w:r>
              <w:rPr>
                <w:rFonts w:ascii="宋体" w:hAnsi="宋体" w:eastAsia="宋体" w:cs="宋体"/>
                <w:spacing w:val="-5"/>
                <w:sz w:val="21"/>
                <w:szCs w:val="21"/>
              </w:rPr>
              <w:t>柴油</w:t>
            </w:r>
          </w:p>
        </w:tc>
        <w:tc>
          <w:tcPr>
            <w:tcW w:w="1133" w:type="dxa"/>
            <w:vAlign w:val="top"/>
          </w:tcPr>
          <w:p w14:paraId="11A92072">
            <w:pPr>
              <w:pStyle w:val="6"/>
              <w:spacing w:before="97" w:line="192" w:lineRule="auto"/>
              <w:ind w:left="532"/>
            </w:pPr>
            <w:r>
              <w:t>/</w:t>
            </w:r>
          </w:p>
        </w:tc>
        <w:tc>
          <w:tcPr>
            <w:tcW w:w="1685" w:type="dxa"/>
            <w:vAlign w:val="top"/>
          </w:tcPr>
          <w:p w14:paraId="5E8CFE21">
            <w:pPr>
              <w:pStyle w:val="6"/>
              <w:spacing w:before="101" w:line="188" w:lineRule="auto"/>
              <w:ind w:left="569"/>
            </w:pPr>
            <w:r>
              <w:rPr>
                <w:spacing w:val="-5"/>
              </w:rPr>
              <w:t>0.5070</w:t>
            </w:r>
          </w:p>
        </w:tc>
        <w:tc>
          <w:tcPr>
            <w:tcW w:w="1286" w:type="dxa"/>
            <w:vAlign w:val="top"/>
          </w:tcPr>
          <w:p w14:paraId="250294EE">
            <w:pPr>
              <w:pStyle w:val="6"/>
              <w:spacing w:before="101" w:line="188" w:lineRule="auto"/>
              <w:ind w:left="440"/>
            </w:pPr>
            <w:r>
              <w:rPr>
                <w:spacing w:val="-4"/>
              </w:rPr>
              <w:t>2500</w:t>
            </w:r>
          </w:p>
        </w:tc>
        <w:tc>
          <w:tcPr>
            <w:tcW w:w="1799" w:type="dxa"/>
            <w:vAlign w:val="top"/>
          </w:tcPr>
          <w:p w14:paraId="0E6DBDC5">
            <w:pPr>
              <w:pStyle w:val="6"/>
              <w:spacing w:before="101" w:line="188" w:lineRule="auto"/>
              <w:ind w:left="453"/>
            </w:pPr>
            <w:r>
              <w:rPr>
                <w:spacing w:val="-1"/>
              </w:rPr>
              <w:t>0.0002028</w:t>
            </w:r>
          </w:p>
        </w:tc>
      </w:tr>
      <w:tr w14:paraId="2F77E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8" w:type="dxa"/>
            <w:vAlign w:val="top"/>
          </w:tcPr>
          <w:p w14:paraId="0F35AC5F">
            <w:pPr>
              <w:pStyle w:val="6"/>
              <w:spacing w:before="103" w:line="188" w:lineRule="auto"/>
              <w:ind w:left="311"/>
            </w:pPr>
            <w:r>
              <w:t>2</w:t>
            </w:r>
          </w:p>
        </w:tc>
        <w:tc>
          <w:tcPr>
            <w:tcW w:w="1699" w:type="dxa"/>
            <w:vAlign w:val="top"/>
          </w:tcPr>
          <w:p w14:paraId="04E3B5DA">
            <w:pPr>
              <w:spacing w:before="66" w:line="220" w:lineRule="auto"/>
              <w:ind w:left="454"/>
              <w:rPr>
                <w:rFonts w:ascii="宋体" w:hAnsi="宋体" w:eastAsia="宋体" w:cs="宋体"/>
                <w:sz w:val="21"/>
                <w:szCs w:val="21"/>
              </w:rPr>
            </w:pPr>
            <w:r>
              <w:rPr>
                <w:rFonts w:ascii="宋体" w:hAnsi="宋体" w:eastAsia="宋体" w:cs="宋体"/>
                <w:spacing w:val="-9"/>
                <w:sz w:val="21"/>
                <w:szCs w:val="21"/>
              </w:rPr>
              <w:t>次氯酸钠</w:t>
            </w:r>
          </w:p>
        </w:tc>
        <w:tc>
          <w:tcPr>
            <w:tcW w:w="1133" w:type="dxa"/>
            <w:vAlign w:val="top"/>
          </w:tcPr>
          <w:p w14:paraId="53F587B9">
            <w:pPr>
              <w:pStyle w:val="6"/>
              <w:spacing w:before="103" w:line="188" w:lineRule="auto"/>
              <w:ind w:left="151"/>
            </w:pPr>
            <w:r>
              <w:rPr>
                <w:spacing w:val="-5"/>
              </w:rPr>
              <w:t>7681-52-9</w:t>
            </w:r>
          </w:p>
        </w:tc>
        <w:tc>
          <w:tcPr>
            <w:tcW w:w="1685" w:type="dxa"/>
            <w:vAlign w:val="top"/>
          </w:tcPr>
          <w:p w14:paraId="0EB4421A">
            <w:pPr>
              <w:pStyle w:val="6"/>
              <w:spacing w:before="103" w:line="188" w:lineRule="auto"/>
              <w:ind w:left="719"/>
            </w:pPr>
            <w:r>
              <w:rPr>
                <w:spacing w:val="-4"/>
              </w:rPr>
              <w:t>0.9</w:t>
            </w:r>
          </w:p>
        </w:tc>
        <w:tc>
          <w:tcPr>
            <w:tcW w:w="1286" w:type="dxa"/>
            <w:vAlign w:val="top"/>
          </w:tcPr>
          <w:p w14:paraId="292A7080">
            <w:pPr>
              <w:pStyle w:val="6"/>
              <w:spacing w:before="106" w:line="185" w:lineRule="auto"/>
              <w:ind w:left="596"/>
            </w:pPr>
            <w:r>
              <w:t>5</w:t>
            </w:r>
          </w:p>
        </w:tc>
        <w:tc>
          <w:tcPr>
            <w:tcW w:w="1799" w:type="dxa"/>
            <w:vAlign w:val="top"/>
          </w:tcPr>
          <w:p w14:paraId="2848A699">
            <w:pPr>
              <w:pStyle w:val="6"/>
              <w:spacing w:before="103" w:line="188" w:lineRule="auto"/>
              <w:ind w:left="716"/>
            </w:pPr>
            <w:r>
              <w:rPr>
                <w:spacing w:val="-2"/>
              </w:rPr>
              <w:t>0.18</w:t>
            </w:r>
          </w:p>
        </w:tc>
      </w:tr>
      <w:tr w14:paraId="40E55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8" w:type="dxa"/>
            <w:vAlign w:val="top"/>
          </w:tcPr>
          <w:p w14:paraId="32E10AC8">
            <w:pPr>
              <w:pStyle w:val="6"/>
              <w:spacing w:before="104" w:line="188" w:lineRule="auto"/>
              <w:ind w:left="315"/>
            </w:pPr>
            <w:r>
              <w:t>3</w:t>
            </w:r>
          </w:p>
        </w:tc>
        <w:tc>
          <w:tcPr>
            <w:tcW w:w="1699" w:type="dxa"/>
            <w:vAlign w:val="top"/>
          </w:tcPr>
          <w:p w14:paraId="62A8D1EA">
            <w:pPr>
              <w:spacing w:before="68" w:line="220" w:lineRule="auto"/>
              <w:ind w:left="53"/>
              <w:rPr>
                <w:rFonts w:ascii="宋体" w:hAnsi="宋体" w:eastAsia="宋体" w:cs="宋体"/>
                <w:sz w:val="21"/>
                <w:szCs w:val="21"/>
              </w:rPr>
            </w:pPr>
            <w:r>
              <w:rPr>
                <w:rFonts w:ascii="宋体" w:hAnsi="宋体" w:eastAsia="宋体" w:cs="宋体"/>
                <w:spacing w:val="-10"/>
                <w:sz w:val="21"/>
                <w:szCs w:val="21"/>
              </w:rPr>
              <w:t>沼气（主要甲烷）</w:t>
            </w:r>
          </w:p>
        </w:tc>
        <w:tc>
          <w:tcPr>
            <w:tcW w:w="1133" w:type="dxa"/>
            <w:vAlign w:val="top"/>
          </w:tcPr>
          <w:p w14:paraId="5405C491">
            <w:pPr>
              <w:pStyle w:val="6"/>
              <w:spacing w:before="100" w:line="192" w:lineRule="auto"/>
              <w:ind w:left="532"/>
            </w:pPr>
            <w:r>
              <w:t>/</w:t>
            </w:r>
          </w:p>
        </w:tc>
        <w:tc>
          <w:tcPr>
            <w:tcW w:w="1685" w:type="dxa"/>
            <w:vAlign w:val="top"/>
          </w:tcPr>
          <w:p w14:paraId="51D06F4E">
            <w:pPr>
              <w:pStyle w:val="6"/>
              <w:spacing w:before="104" w:line="188" w:lineRule="auto"/>
              <w:ind w:left="669"/>
            </w:pPr>
            <w:r>
              <w:rPr>
                <w:spacing w:val="-5"/>
              </w:rPr>
              <w:t>0.34</w:t>
            </w:r>
          </w:p>
        </w:tc>
        <w:tc>
          <w:tcPr>
            <w:tcW w:w="1286" w:type="dxa"/>
            <w:vAlign w:val="top"/>
          </w:tcPr>
          <w:p w14:paraId="7F0FC0FA">
            <w:pPr>
              <w:pStyle w:val="6"/>
              <w:spacing w:before="104" w:line="188" w:lineRule="auto"/>
              <w:ind w:left="560"/>
            </w:pPr>
            <w:r>
              <w:rPr>
                <w:spacing w:val="-13"/>
              </w:rPr>
              <w:t>10</w:t>
            </w:r>
          </w:p>
        </w:tc>
        <w:tc>
          <w:tcPr>
            <w:tcW w:w="1799" w:type="dxa"/>
            <w:vAlign w:val="top"/>
          </w:tcPr>
          <w:p w14:paraId="00F02A42">
            <w:pPr>
              <w:pStyle w:val="6"/>
              <w:spacing w:before="104" w:line="188" w:lineRule="auto"/>
              <w:ind w:left="663"/>
            </w:pPr>
            <w:r>
              <w:rPr>
                <w:spacing w:val="-2"/>
              </w:rPr>
              <w:t>0.034</w:t>
            </w:r>
          </w:p>
        </w:tc>
      </w:tr>
    </w:tbl>
    <w:p w14:paraId="57088339">
      <w:pPr>
        <w:spacing w:before="29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4.3.3.3 </w:t>
      </w:r>
      <w:r>
        <w:rPr>
          <w:rFonts w:ascii="宋体" w:hAnsi="宋体" w:eastAsia="宋体" w:cs="宋体"/>
          <w:b/>
          <w:bCs/>
          <w:spacing w:val="5"/>
          <w:sz w:val="27"/>
          <w:szCs w:val="27"/>
        </w:rPr>
        <w:t>风险潜势初判</w:t>
      </w:r>
    </w:p>
    <w:p w14:paraId="6E14C472">
      <w:pPr>
        <w:spacing w:before="235" w:line="361" w:lineRule="auto"/>
        <w:ind w:left="38" w:right="74" w:firstLine="480"/>
        <w:rPr>
          <w:rFonts w:ascii="宋体" w:hAnsi="宋体" w:eastAsia="宋体" w:cs="宋体"/>
          <w:sz w:val="24"/>
          <w:szCs w:val="24"/>
        </w:rPr>
      </w:pPr>
      <w:r>
        <w:rPr>
          <w:rFonts w:ascii="宋体" w:hAnsi="宋体" w:eastAsia="宋体" w:cs="宋体"/>
          <w:spacing w:val="21"/>
          <w:sz w:val="24"/>
          <w:szCs w:val="24"/>
        </w:rPr>
        <w:t>根据《建设项目环境风险评价技术导则》（</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HJ</w:t>
      </w:r>
      <w:r>
        <w:rPr>
          <w:rFonts w:ascii="Times New Roman" w:hAnsi="Times New Roman" w:eastAsia="Times New Roman" w:cs="Times New Roman"/>
          <w:spacing w:val="21"/>
          <w:sz w:val="24"/>
          <w:szCs w:val="24"/>
        </w:rPr>
        <w:t xml:space="preserve">169-2018 </w:t>
      </w:r>
      <w:r>
        <w:rPr>
          <w:rFonts w:ascii="宋体" w:hAnsi="宋体" w:eastAsia="宋体" w:cs="宋体"/>
          <w:spacing w:val="19"/>
          <w:sz w:val="24"/>
          <w:szCs w:val="24"/>
        </w:rPr>
        <w:t>），</w:t>
      </w:r>
      <w:r>
        <w:rPr>
          <w:rFonts w:ascii="宋体" w:hAnsi="宋体" w:eastAsia="宋体" w:cs="宋体"/>
          <w:spacing w:val="21"/>
          <w:sz w:val="24"/>
          <w:szCs w:val="24"/>
        </w:rPr>
        <w:t>本项目</w:t>
      </w:r>
      <w:r>
        <w:rPr>
          <w:rFonts w:ascii="Times New Roman" w:hAnsi="Times New Roman" w:eastAsia="Times New Roman" w:cs="Times New Roman"/>
          <w:spacing w:val="-1"/>
          <w:sz w:val="24"/>
          <w:szCs w:val="24"/>
        </w:rPr>
        <w:t>Q=0.0002028+0.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18+0.034=0</w:t>
      </w:r>
      <w:r>
        <w:rPr>
          <w:rFonts w:ascii="Times New Roman" w:hAnsi="Times New Roman" w:eastAsia="Times New Roman" w:cs="Times New Roman"/>
          <w:spacing w:val="-2"/>
          <w:sz w:val="24"/>
          <w:szCs w:val="24"/>
        </w:rPr>
        <w:t>.2142028</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，该项目环境风险潜势为Ⅰ。</w:t>
      </w:r>
    </w:p>
    <w:p w14:paraId="5104C656">
      <w:pPr>
        <w:spacing w:before="166"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4.3.4  </w:t>
      </w:r>
      <w:r>
        <w:rPr>
          <w:rFonts w:ascii="宋体" w:hAnsi="宋体" w:eastAsia="宋体" w:cs="宋体"/>
          <w:b/>
          <w:bCs/>
          <w:spacing w:val="-2"/>
          <w:sz w:val="30"/>
          <w:szCs w:val="30"/>
        </w:rPr>
        <w:t>评价等级</w:t>
      </w:r>
    </w:p>
    <w:p w14:paraId="7B63ABF9">
      <w:pPr>
        <w:pStyle w:val="2"/>
        <w:spacing w:line="261" w:lineRule="auto"/>
      </w:pPr>
    </w:p>
    <w:p w14:paraId="1B31E181">
      <w:pPr>
        <w:spacing w:before="79" w:line="217" w:lineRule="auto"/>
        <w:ind w:left="520"/>
        <w:rPr>
          <w:rFonts w:ascii="宋体" w:hAnsi="宋体" w:eastAsia="宋体" w:cs="宋体"/>
          <w:sz w:val="24"/>
          <w:szCs w:val="24"/>
        </w:rPr>
      </w:pPr>
      <w:r>
        <w:rPr>
          <w:rFonts w:ascii="宋体" w:hAnsi="宋体" w:eastAsia="宋体" w:cs="宋体"/>
          <w:spacing w:val="3"/>
          <w:sz w:val="24"/>
          <w:szCs w:val="24"/>
        </w:rPr>
        <w:t>本项目风险潜势判定为Ⅰ,仅需进行简单分析。</w:t>
      </w:r>
    </w:p>
    <w:p w14:paraId="0C124891">
      <w:pPr>
        <w:pStyle w:val="2"/>
        <w:spacing w:line="254" w:lineRule="auto"/>
      </w:pPr>
    </w:p>
    <w:p w14:paraId="73E70A6D">
      <w:pPr>
        <w:spacing w:before="98"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4.3.5  </w:t>
      </w:r>
      <w:r>
        <w:rPr>
          <w:rFonts w:ascii="宋体" w:hAnsi="宋体" w:eastAsia="宋体" w:cs="宋体"/>
          <w:b/>
          <w:bCs/>
          <w:spacing w:val="-2"/>
          <w:sz w:val="30"/>
          <w:szCs w:val="30"/>
        </w:rPr>
        <w:t>环境敏感目标概述</w:t>
      </w:r>
    </w:p>
    <w:p w14:paraId="616C3A15">
      <w:pPr>
        <w:pStyle w:val="2"/>
        <w:spacing w:line="259" w:lineRule="auto"/>
      </w:pPr>
    </w:p>
    <w:p w14:paraId="4A1E2BB2">
      <w:pPr>
        <w:spacing w:before="78" w:line="360" w:lineRule="auto"/>
        <w:ind w:left="38" w:right="31" w:firstLine="481"/>
        <w:jc w:val="both"/>
        <w:rPr>
          <w:rFonts w:ascii="宋体" w:hAnsi="宋体" w:eastAsia="宋体" w:cs="宋体"/>
          <w:sz w:val="24"/>
          <w:szCs w:val="24"/>
        </w:rPr>
      </w:pPr>
      <w:r>
        <w:rPr>
          <w:rFonts w:ascii="宋体" w:hAnsi="宋体" w:eastAsia="宋体" w:cs="宋体"/>
          <w:spacing w:val="2"/>
          <w:sz w:val="24"/>
          <w:szCs w:val="24"/>
        </w:rPr>
        <w:t>本项目主要风险事故为泄漏、火灾、爆炸引发的伴生</w:t>
      </w:r>
      <w:r>
        <w:rPr>
          <w:rFonts w:ascii="Times New Roman" w:hAnsi="Times New Roman" w:eastAsia="Times New Roman" w:cs="Times New Roman"/>
          <w:spacing w:val="2"/>
          <w:sz w:val="24"/>
          <w:szCs w:val="24"/>
        </w:rPr>
        <w:t>/</w:t>
      </w:r>
      <w:r>
        <w:rPr>
          <w:rFonts w:ascii="宋体" w:hAnsi="宋体" w:eastAsia="宋体" w:cs="宋体"/>
          <w:spacing w:val="2"/>
          <w:sz w:val="24"/>
          <w:szCs w:val="24"/>
        </w:rPr>
        <w:t>次生污染物排放对周</w:t>
      </w:r>
      <w:r>
        <w:rPr>
          <w:rFonts w:ascii="宋体" w:hAnsi="宋体" w:eastAsia="宋体" w:cs="宋体"/>
          <w:spacing w:val="-2"/>
          <w:sz w:val="24"/>
          <w:szCs w:val="24"/>
        </w:rPr>
        <w:t>边人群的影响，结合环境风险评价工作等级（简单分析</w:t>
      </w:r>
      <w:r>
        <w:rPr>
          <w:rFonts w:ascii="宋体" w:hAnsi="宋体" w:eastAsia="宋体" w:cs="宋体"/>
          <w:spacing w:val="-20"/>
          <w:sz w:val="24"/>
          <w:szCs w:val="24"/>
        </w:rPr>
        <w:t>），</w:t>
      </w:r>
      <w:r>
        <w:rPr>
          <w:rFonts w:ascii="宋体" w:hAnsi="宋体" w:eastAsia="宋体" w:cs="宋体"/>
          <w:spacing w:val="-2"/>
          <w:sz w:val="24"/>
          <w:szCs w:val="24"/>
        </w:rPr>
        <w:t>确定本项目的环境敏</w:t>
      </w:r>
      <w:r>
        <w:rPr>
          <w:rFonts w:ascii="宋体" w:hAnsi="宋体" w:eastAsia="宋体" w:cs="宋体"/>
          <w:spacing w:val="-1"/>
          <w:sz w:val="24"/>
          <w:szCs w:val="24"/>
        </w:rPr>
        <w:t>感目标，具体环境敏感目标见表</w:t>
      </w:r>
      <w:r>
        <w:rPr>
          <w:rFonts w:ascii="Times New Roman" w:hAnsi="Times New Roman" w:eastAsia="Times New Roman" w:cs="Times New Roman"/>
          <w:spacing w:val="-1"/>
          <w:sz w:val="24"/>
          <w:szCs w:val="24"/>
        </w:rPr>
        <w:t>1.5-1</w:t>
      </w:r>
      <w:r>
        <w:rPr>
          <w:rFonts w:ascii="宋体" w:hAnsi="宋体" w:eastAsia="宋体" w:cs="宋体"/>
          <w:spacing w:val="-1"/>
          <w:sz w:val="24"/>
          <w:szCs w:val="24"/>
        </w:rPr>
        <w:t>。</w:t>
      </w:r>
    </w:p>
    <w:p w14:paraId="7502A89E">
      <w:pPr>
        <w:spacing w:line="360" w:lineRule="auto"/>
        <w:ind w:left="40" w:right="28" w:firstLine="478"/>
        <w:rPr>
          <w:rFonts w:ascii="宋体" w:hAnsi="宋体" w:eastAsia="宋体" w:cs="宋体"/>
          <w:sz w:val="24"/>
          <w:szCs w:val="24"/>
        </w:rPr>
      </w:pPr>
      <w:r>
        <w:rPr>
          <w:rFonts w:ascii="宋体" w:hAnsi="宋体" w:eastAsia="宋体" w:cs="宋体"/>
          <w:spacing w:val="-3"/>
          <w:sz w:val="24"/>
          <w:szCs w:val="24"/>
        </w:rPr>
        <w:t>①大气环境敏感目标：本项目主要大气污染物为养殖场恶臭，因</w:t>
      </w:r>
      <w:r>
        <w:rPr>
          <w:rFonts w:ascii="宋体" w:hAnsi="宋体" w:eastAsia="宋体" w:cs="宋体"/>
          <w:spacing w:val="-4"/>
          <w:sz w:val="24"/>
          <w:szCs w:val="24"/>
        </w:rPr>
        <w:t>此，本次环</w:t>
      </w:r>
      <w:r>
        <w:rPr>
          <w:rFonts w:ascii="宋体" w:hAnsi="宋体" w:eastAsia="宋体" w:cs="宋体"/>
          <w:spacing w:val="4"/>
          <w:sz w:val="24"/>
          <w:szCs w:val="24"/>
        </w:rPr>
        <w:t>境风险评价的大气环境敏感目标调查范围同大气环境影响评价的敏感目标调查</w:t>
      </w:r>
      <w:r>
        <w:rPr>
          <w:rFonts w:ascii="宋体" w:hAnsi="宋体" w:eastAsia="宋体" w:cs="宋体"/>
          <w:spacing w:val="-15"/>
          <w:sz w:val="24"/>
          <w:szCs w:val="24"/>
        </w:rPr>
        <w:t>范围；</w:t>
      </w:r>
    </w:p>
    <w:p w14:paraId="22EB9C08">
      <w:pPr>
        <w:spacing w:before="1" w:line="361" w:lineRule="auto"/>
        <w:ind w:left="62" w:right="30" w:firstLine="454"/>
        <w:rPr>
          <w:rFonts w:ascii="宋体" w:hAnsi="宋体" w:eastAsia="宋体" w:cs="宋体"/>
          <w:sz w:val="24"/>
          <w:szCs w:val="24"/>
        </w:rPr>
      </w:pPr>
      <w:r>
        <w:rPr>
          <w:rFonts w:ascii="宋体" w:hAnsi="宋体" w:eastAsia="宋体" w:cs="宋体"/>
          <w:spacing w:val="-3"/>
          <w:sz w:val="24"/>
          <w:szCs w:val="24"/>
        </w:rPr>
        <w:t>②地下水环境敏感目标，本次评价确定的地下水环境风险敏感目标</w:t>
      </w:r>
      <w:r>
        <w:rPr>
          <w:rFonts w:ascii="宋体" w:hAnsi="宋体" w:eastAsia="宋体" w:cs="宋体"/>
          <w:spacing w:val="-4"/>
          <w:sz w:val="24"/>
          <w:szCs w:val="24"/>
        </w:rPr>
        <w:t>调查范围同地下水环境影响评价敏感目标调查范围。</w:t>
      </w:r>
    </w:p>
    <w:p w14:paraId="0F43BB88">
      <w:pPr>
        <w:spacing w:line="361" w:lineRule="auto"/>
        <w:rPr>
          <w:rFonts w:ascii="宋体" w:hAnsi="宋体" w:eastAsia="宋体" w:cs="宋体"/>
          <w:sz w:val="24"/>
          <w:szCs w:val="24"/>
        </w:rPr>
        <w:sectPr>
          <w:headerReference r:id="rId406" w:type="default"/>
          <w:footerReference r:id="rId407" w:type="default"/>
          <w:pgSz w:w="11905" w:h="16840"/>
          <w:pgMar w:top="1168" w:right="1768" w:bottom="1409" w:left="1770" w:header="828" w:footer="1244" w:gutter="0"/>
          <w:cols w:space="720" w:num="1"/>
        </w:sectPr>
      </w:pPr>
    </w:p>
    <w:p w14:paraId="68BE768A">
      <w:pPr>
        <w:pStyle w:val="2"/>
        <w:spacing w:line="335" w:lineRule="auto"/>
      </w:pPr>
    </w:p>
    <w:p w14:paraId="12157683">
      <w:pPr>
        <w:spacing w:before="97"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4.3.6  </w:t>
      </w:r>
      <w:r>
        <w:rPr>
          <w:rFonts w:ascii="宋体" w:hAnsi="宋体" w:eastAsia="宋体" w:cs="宋体"/>
          <w:b/>
          <w:bCs/>
          <w:spacing w:val="-2"/>
          <w:sz w:val="30"/>
          <w:szCs w:val="30"/>
        </w:rPr>
        <w:t>环境风险识别</w:t>
      </w:r>
    </w:p>
    <w:p w14:paraId="709529C8">
      <w:pPr>
        <w:pStyle w:val="2"/>
        <w:spacing w:line="258" w:lineRule="auto"/>
      </w:pPr>
    </w:p>
    <w:p w14:paraId="40B32E93">
      <w:pPr>
        <w:spacing w:before="78" w:line="360" w:lineRule="auto"/>
        <w:ind w:left="44" w:firstLine="476"/>
        <w:jc w:val="both"/>
        <w:rPr>
          <w:rFonts w:ascii="宋体" w:hAnsi="宋体" w:eastAsia="宋体" w:cs="宋体"/>
          <w:sz w:val="24"/>
          <w:szCs w:val="24"/>
        </w:rPr>
      </w:pPr>
      <w:r>
        <w:rPr>
          <w:rFonts w:ascii="宋体" w:hAnsi="宋体" w:eastAsia="宋体" w:cs="宋体"/>
          <w:spacing w:val="-1"/>
          <w:sz w:val="24"/>
          <w:szCs w:val="24"/>
        </w:rPr>
        <w:t>本项目作为生猪养殖项目，根据工程分析，本项目涉及的物料主要有饲料、</w:t>
      </w:r>
      <w:r>
        <w:rPr>
          <w:rFonts w:ascii="宋体" w:hAnsi="宋体" w:eastAsia="宋体" w:cs="宋体"/>
          <w:spacing w:val="-7"/>
          <w:sz w:val="24"/>
          <w:szCs w:val="24"/>
        </w:rPr>
        <w:t>消毒品、药品等，项目产生的养殖粪污用于生产有机肥及</w:t>
      </w:r>
      <w:r>
        <w:rPr>
          <w:rFonts w:ascii="宋体" w:hAnsi="宋体" w:eastAsia="宋体" w:cs="宋体"/>
          <w:spacing w:val="-8"/>
          <w:sz w:val="24"/>
          <w:szCs w:val="24"/>
        </w:rPr>
        <w:t>处理达标后消纳地农灌，</w:t>
      </w:r>
      <w:r>
        <w:rPr>
          <w:rFonts w:ascii="宋体" w:hAnsi="宋体" w:eastAsia="宋体" w:cs="宋体"/>
          <w:spacing w:val="-5"/>
          <w:sz w:val="24"/>
          <w:szCs w:val="24"/>
        </w:rPr>
        <w:t>实现粪污的零排放。</w:t>
      </w:r>
    </w:p>
    <w:p w14:paraId="397F6045">
      <w:pPr>
        <w:spacing w:before="2" w:line="360" w:lineRule="auto"/>
        <w:ind w:left="38" w:firstLine="484"/>
        <w:jc w:val="both"/>
        <w:rPr>
          <w:rFonts w:ascii="宋体" w:hAnsi="宋体" w:eastAsia="宋体" w:cs="宋体"/>
          <w:sz w:val="24"/>
          <w:szCs w:val="24"/>
        </w:rPr>
      </w:pPr>
      <w:r>
        <w:rPr>
          <w:rFonts w:ascii="宋体" w:hAnsi="宋体" w:eastAsia="宋体" w:cs="宋体"/>
          <w:spacing w:val="-1"/>
          <w:sz w:val="24"/>
          <w:szCs w:val="24"/>
        </w:rPr>
        <w:t>项目环境风险主要包括：①废水事故性泄漏排放；②化学品泄漏，如柴油、</w:t>
      </w:r>
      <w:r>
        <w:rPr>
          <w:rFonts w:ascii="宋体" w:hAnsi="宋体" w:eastAsia="宋体" w:cs="宋体"/>
          <w:spacing w:val="-3"/>
          <w:sz w:val="24"/>
          <w:szCs w:val="24"/>
        </w:rPr>
        <w:t>消毒剂等；③危险废物转运泄漏；④粪渣运输车辆在桥梁发生交通事故导致粪渣入河；⑤感染疫病的病死猪暂存和处置过程。</w:t>
      </w:r>
    </w:p>
    <w:p w14:paraId="1A094BE5">
      <w:pPr>
        <w:spacing w:before="54"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4.3.6.1 </w:t>
      </w:r>
      <w:r>
        <w:rPr>
          <w:rFonts w:ascii="宋体" w:hAnsi="宋体" w:eastAsia="宋体" w:cs="宋体"/>
          <w:b/>
          <w:bCs/>
          <w:spacing w:val="5"/>
          <w:sz w:val="27"/>
          <w:szCs w:val="27"/>
        </w:rPr>
        <w:t>物质风险识别</w:t>
      </w:r>
    </w:p>
    <w:p w14:paraId="085300C9">
      <w:pPr>
        <w:spacing w:before="236" w:line="361" w:lineRule="auto"/>
        <w:ind w:left="39" w:right="86" w:firstLine="481"/>
        <w:jc w:val="both"/>
        <w:rPr>
          <w:rFonts w:ascii="宋体" w:hAnsi="宋体" w:eastAsia="宋体" w:cs="宋体"/>
          <w:sz w:val="24"/>
          <w:szCs w:val="24"/>
        </w:rPr>
      </w:pPr>
      <w:r>
        <w:rPr>
          <w:rFonts w:ascii="宋体" w:hAnsi="宋体" w:eastAsia="宋体" w:cs="宋体"/>
          <w:spacing w:val="-1"/>
          <w:sz w:val="24"/>
          <w:szCs w:val="24"/>
        </w:rPr>
        <w:t>依据《建设项目环境风险评价技术导则》（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）附录</w:t>
      </w:r>
      <w:r>
        <w:rPr>
          <w:rFonts w:ascii="Times New Roman" w:hAnsi="Times New Roman" w:eastAsia="Times New Roman" w:cs="Times New Roman"/>
          <w:spacing w:val="-1"/>
          <w:sz w:val="24"/>
          <w:szCs w:val="24"/>
        </w:rPr>
        <w:t>B</w:t>
      </w:r>
      <w:r>
        <w:rPr>
          <w:rFonts w:ascii="宋体" w:hAnsi="宋体" w:eastAsia="宋体" w:cs="宋体"/>
          <w:spacing w:val="-1"/>
          <w:sz w:val="24"/>
          <w:szCs w:val="24"/>
        </w:rPr>
        <w:t>，通过对本</w:t>
      </w:r>
      <w:r>
        <w:rPr>
          <w:rFonts w:ascii="宋体" w:hAnsi="宋体" w:eastAsia="宋体" w:cs="宋体"/>
          <w:spacing w:val="-3"/>
          <w:sz w:val="24"/>
          <w:szCs w:val="24"/>
        </w:rPr>
        <w:t>项目生产全过程所用的原辅材料及各种产污进行识别，拟建项目涉及的风险化学</w:t>
      </w:r>
      <w:r>
        <w:rPr>
          <w:rFonts w:ascii="宋体" w:hAnsi="宋体" w:eastAsia="宋体" w:cs="宋体"/>
          <w:spacing w:val="-2"/>
          <w:sz w:val="24"/>
          <w:szCs w:val="24"/>
        </w:rPr>
        <w:t>物质主要为柴油、次氯酸钠及沼气，其理化性质及毒性如下。</w:t>
      </w:r>
    </w:p>
    <w:p w14:paraId="11DC33B9">
      <w:pPr>
        <w:spacing w:before="8" w:line="222" w:lineRule="auto"/>
        <w:ind w:left="253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4"/>
          <w:sz w:val="21"/>
          <w:szCs w:val="21"/>
        </w:rPr>
        <w:t xml:space="preserve"> </w:t>
      </w:r>
      <w:r>
        <w:rPr>
          <w:rFonts w:ascii="Times New Roman" w:hAnsi="Times New Roman" w:eastAsia="Times New Roman" w:cs="Times New Roman"/>
          <w:spacing w:val="-1"/>
          <w:sz w:val="21"/>
          <w:szCs w:val="21"/>
        </w:rPr>
        <w:t xml:space="preserve">4.3-3  </w:t>
      </w:r>
      <w:r>
        <w:rPr>
          <w:rFonts w:ascii="黑体" w:hAnsi="黑体" w:eastAsia="黑体" w:cs="黑体"/>
          <w:spacing w:val="-1"/>
          <w:sz w:val="21"/>
          <w:szCs w:val="21"/>
        </w:rPr>
        <w:t>柴油理化性质及危险特性表</w:t>
      </w:r>
    </w:p>
    <w:p w14:paraId="6BA2A009">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3606"/>
        <w:gridCol w:w="3712"/>
      </w:tblGrid>
      <w:tr w14:paraId="4F928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02" w:type="dxa"/>
            <w:vMerge w:val="restart"/>
            <w:tcBorders>
              <w:bottom w:val="nil"/>
            </w:tcBorders>
            <w:vAlign w:val="top"/>
          </w:tcPr>
          <w:p w14:paraId="1836E25E">
            <w:pPr>
              <w:spacing w:line="349" w:lineRule="auto"/>
              <w:rPr>
                <w:rFonts w:ascii="Arial"/>
                <w:sz w:val="21"/>
              </w:rPr>
            </w:pPr>
          </w:p>
          <w:p w14:paraId="76C02B3A">
            <w:pPr>
              <w:spacing w:before="68" w:line="220" w:lineRule="auto"/>
              <w:ind w:left="296"/>
              <w:rPr>
                <w:rFonts w:ascii="宋体" w:hAnsi="宋体" w:eastAsia="宋体" w:cs="宋体"/>
                <w:sz w:val="21"/>
                <w:szCs w:val="21"/>
              </w:rPr>
            </w:pPr>
            <w:r>
              <w:rPr>
                <w:rFonts w:ascii="宋体" w:hAnsi="宋体" w:eastAsia="宋体" w:cs="宋体"/>
                <w:spacing w:val="-3"/>
                <w:sz w:val="21"/>
                <w:szCs w:val="21"/>
              </w:rPr>
              <w:t>标识</w:t>
            </w:r>
          </w:p>
        </w:tc>
        <w:tc>
          <w:tcPr>
            <w:tcW w:w="7318" w:type="dxa"/>
            <w:gridSpan w:val="2"/>
            <w:vAlign w:val="top"/>
          </w:tcPr>
          <w:p w14:paraId="7C0D9B1A">
            <w:pPr>
              <w:spacing w:before="69" w:line="220" w:lineRule="auto"/>
              <w:ind w:left="28"/>
              <w:rPr>
                <w:rFonts w:ascii="宋体" w:hAnsi="宋体" w:eastAsia="宋体" w:cs="宋体"/>
                <w:sz w:val="21"/>
                <w:szCs w:val="21"/>
              </w:rPr>
            </w:pPr>
            <w:r>
              <w:rPr>
                <w:rFonts w:ascii="宋体" w:hAnsi="宋体" w:eastAsia="宋体" w:cs="宋体"/>
                <w:spacing w:val="-4"/>
                <w:sz w:val="21"/>
                <w:szCs w:val="21"/>
              </w:rPr>
              <w:t>中文名：柴油</w:t>
            </w:r>
          </w:p>
        </w:tc>
      </w:tr>
      <w:tr w14:paraId="4C2D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2" w:type="dxa"/>
            <w:vMerge w:val="continue"/>
            <w:tcBorders>
              <w:top w:val="nil"/>
              <w:bottom w:val="nil"/>
            </w:tcBorders>
            <w:vAlign w:val="top"/>
          </w:tcPr>
          <w:p w14:paraId="76626749">
            <w:pPr>
              <w:rPr>
                <w:rFonts w:ascii="Arial"/>
                <w:sz w:val="21"/>
              </w:rPr>
            </w:pPr>
          </w:p>
        </w:tc>
        <w:tc>
          <w:tcPr>
            <w:tcW w:w="3606" w:type="dxa"/>
            <w:vAlign w:val="top"/>
          </w:tcPr>
          <w:p w14:paraId="0E9A56DA">
            <w:pPr>
              <w:pStyle w:val="6"/>
              <w:spacing w:before="64" w:line="220" w:lineRule="auto"/>
              <w:ind w:left="11"/>
            </w:pPr>
            <w:r>
              <w:rPr>
                <w:rFonts w:ascii="宋体" w:hAnsi="宋体" w:eastAsia="宋体" w:cs="宋体"/>
                <w:spacing w:val="-3"/>
              </w:rPr>
              <w:t>分子式：</w:t>
            </w:r>
            <w:r>
              <w:rPr>
                <w:spacing w:val="-3"/>
              </w:rPr>
              <w:t>/</w:t>
            </w:r>
          </w:p>
        </w:tc>
        <w:tc>
          <w:tcPr>
            <w:tcW w:w="3712" w:type="dxa"/>
            <w:vAlign w:val="top"/>
          </w:tcPr>
          <w:p w14:paraId="6E00DA9B">
            <w:pPr>
              <w:pStyle w:val="6"/>
              <w:spacing w:before="63" w:line="220" w:lineRule="auto"/>
              <w:ind w:left="4"/>
            </w:pPr>
            <w:r>
              <w:rPr>
                <w:spacing w:val="-1"/>
              </w:rPr>
              <w:t xml:space="preserve">UN </w:t>
            </w:r>
            <w:r>
              <w:rPr>
                <w:rFonts w:ascii="宋体" w:hAnsi="宋体" w:eastAsia="宋体" w:cs="宋体"/>
                <w:spacing w:val="-1"/>
              </w:rPr>
              <w:t>编号：</w:t>
            </w:r>
            <w:r>
              <w:rPr>
                <w:spacing w:val="-1"/>
              </w:rPr>
              <w:t>2924</w:t>
            </w:r>
          </w:p>
        </w:tc>
      </w:tr>
      <w:tr w14:paraId="0D720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continue"/>
            <w:tcBorders>
              <w:top w:val="nil"/>
            </w:tcBorders>
            <w:vAlign w:val="top"/>
          </w:tcPr>
          <w:p w14:paraId="0E658E1E">
            <w:pPr>
              <w:rPr>
                <w:rFonts w:ascii="Arial"/>
                <w:sz w:val="21"/>
              </w:rPr>
            </w:pPr>
          </w:p>
        </w:tc>
        <w:tc>
          <w:tcPr>
            <w:tcW w:w="3606" w:type="dxa"/>
            <w:vAlign w:val="top"/>
          </w:tcPr>
          <w:p w14:paraId="2CCC67AA">
            <w:pPr>
              <w:pStyle w:val="6"/>
              <w:spacing w:before="64" w:line="220" w:lineRule="auto"/>
              <w:ind w:left="11"/>
              <w:rPr>
                <w:rFonts w:ascii="宋体" w:hAnsi="宋体" w:eastAsia="宋体" w:cs="宋体"/>
              </w:rPr>
            </w:pPr>
            <w:r>
              <w:rPr>
                <w:rFonts w:ascii="宋体" w:hAnsi="宋体" w:eastAsia="宋体" w:cs="宋体"/>
                <w:spacing w:val="-1"/>
              </w:rPr>
              <w:t>危险品类别：</w:t>
            </w:r>
            <w:r>
              <w:rPr>
                <w:spacing w:val="-1"/>
              </w:rPr>
              <w:t xml:space="preserve">3.3 </w:t>
            </w:r>
            <w:r>
              <w:rPr>
                <w:rFonts w:ascii="宋体" w:hAnsi="宋体" w:eastAsia="宋体" w:cs="宋体"/>
                <w:spacing w:val="-1"/>
              </w:rPr>
              <w:t>类高闪点可燃液体</w:t>
            </w:r>
          </w:p>
        </w:tc>
        <w:tc>
          <w:tcPr>
            <w:tcW w:w="3712" w:type="dxa"/>
            <w:vAlign w:val="top"/>
          </w:tcPr>
          <w:p w14:paraId="111DEF92">
            <w:pPr>
              <w:pStyle w:val="6"/>
              <w:spacing w:before="64" w:line="220" w:lineRule="auto"/>
              <w:ind w:left="14"/>
            </w:pPr>
            <w:r>
              <w:rPr>
                <w:rFonts w:ascii="宋体" w:hAnsi="宋体" w:eastAsia="宋体" w:cs="宋体"/>
                <w:spacing w:val="-1"/>
              </w:rPr>
              <w:t>危险废物编号：</w:t>
            </w:r>
            <w:r>
              <w:rPr>
                <w:spacing w:val="-1"/>
              </w:rPr>
              <w:t>33648</w:t>
            </w:r>
          </w:p>
        </w:tc>
      </w:tr>
      <w:tr w14:paraId="3ED96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restart"/>
            <w:tcBorders>
              <w:bottom w:val="nil"/>
            </w:tcBorders>
            <w:vAlign w:val="top"/>
          </w:tcPr>
          <w:p w14:paraId="0B2B5192">
            <w:pPr>
              <w:spacing w:line="345" w:lineRule="auto"/>
              <w:rPr>
                <w:rFonts w:ascii="Arial"/>
                <w:sz w:val="21"/>
              </w:rPr>
            </w:pPr>
          </w:p>
          <w:p w14:paraId="01079B23">
            <w:pPr>
              <w:spacing w:before="68" w:line="220" w:lineRule="auto"/>
              <w:ind w:left="88"/>
              <w:rPr>
                <w:rFonts w:ascii="宋体" w:hAnsi="宋体" w:eastAsia="宋体" w:cs="宋体"/>
                <w:sz w:val="21"/>
                <w:szCs w:val="21"/>
              </w:rPr>
            </w:pPr>
            <w:r>
              <w:rPr>
                <w:rFonts w:ascii="宋体" w:hAnsi="宋体" w:eastAsia="宋体" w:cs="宋体"/>
                <w:spacing w:val="-3"/>
                <w:sz w:val="21"/>
                <w:szCs w:val="21"/>
              </w:rPr>
              <w:t>理化性质</w:t>
            </w:r>
          </w:p>
        </w:tc>
        <w:tc>
          <w:tcPr>
            <w:tcW w:w="7318" w:type="dxa"/>
            <w:gridSpan w:val="2"/>
            <w:vAlign w:val="top"/>
          </w:tcPr>
          <w:p w14:paraId="75A772EA">
            <w:pPr>
              <w:spacing w:before="64" w:line="220" w:lineRule="auto"/>
              <w:ind w:left="11"/>
              <w:rPr>
                <w:rFonts w:ascii="宋体" w:hAnsi="宋体" w:eastAsia="宋体" w:cs="宋体"/>
                <w:sz w:val="21"/>
                <w:szCs w:val="21"/>
              </w:rPr>
            </w:pPr>
            <w:r>
              <w:rPr>
                <w:rFonts w:ascii="宋体" w:hAnsi="宋体" w:eastAsia="宋体" w:cs="宋体"/>
                <w:spacing w:val="-1"/>
                <w:sz w:val="21"/>
                <w:szCs w:val="21"/>
              </w:rPr>
              <w:t>性状：稍有粘性的棕色液体</w:t>
            </w:r>
          </w:p>
        </w:tc>
      </w:tr>
      <w:tr w14:paraId="3DF7F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2" w:type="dxa"/>
            <w:vMerge w:val="continue"/>
            <w:tcBorders>
              <w:top w:val="nil"/>
              <w:bottom w:val="nil"/>
            </w:tcBorders>
            <w:vAlign w:val="top"/>
          </w:tcPr>
          <w:p w14:paraId="58136AC2">
            <w:pPr>
              <w:rPr>
                <w:rFonts w:ascii="Arial"/>
                <w:sz w:val="21"/>
              </w:rPr>
            </w:pPr>
          </w:p>
        </w:tc>
        <w:tc>
          <w:tcPr>
            <w:tcW w:w="3606" w:type="dxa"/>
            <w:vAlign w:val="top"/>
          </w:tcPr>
          <w:p w14:paraId="663B3C81">
            <w:pPr>
              <w:pStyle w:val="6"/>
              <w:spacing w:before="65" w:line="220" w:lineRule="auto"/>
              <w:ind w:left="10"/>
            </w:pPr>
            <w:r>
              <w:rPr>
                <w:rFonts w:ascii="宋体" w:hAnsi="宋体" w:eastAsia="宋体" w:cs="宋体"/>
                <w:spacing w:val="7"/>
              </w:rPr>
              <w:t>熔点(</w:t>
            </w:r>
            <w:r>
              <w:rPr>
                <w:spacing w:val="7"/>
              </w:rPr>
              <w:t>℃</w:t>
            </w:r>
            <w:r>
              <w:rPr>
                <w:rFonts w:ascii="宋体" w:hAnsi="宋体" w:eastAsia="宋体" w:cs="宋体"/>
                <w:spacing w:val="7"/>
              </w:rPr>
              <w:t xml:space="preserve">)： </w:t>
            </w:r>
            <w:r>
              <w:rPr>
                <w:spacing w:val="7"/>
              </w:rPr>
              <w:t>-29.56</w:t>
            </w:r>
          </w:p>
        </w:tc>
        <w:tc>
          <w:tcPr>
            <w:tcW w:w="3712" w:type="dxa"/>
            <w:vAlign w:val="top"/>
          </w:tcPr>
          <w:p w14:paraId="71764F64">
            <w:pPr>
              <w:pStyle w:val="6"/>
              <w:spacing w:before="65" w:line="222" w:lineRule="auto"/>
              <w:ind w:left="10"/>
            </w:pPr>
            <w:r>
              <w:rPr>
                <w:rFonts w:ascii="宋体" w:hAnsi="宋体" w:eastAsia="宋体" w:cs="宋体"/>
                <w:spacing w:val="-1"/>
              </w:rPr>
              <w:t>饱和蒸汽压（</w:t>
            </w:r>
            <w:r>
              <w:rPr>
                <w:spacing w:val="-1"/>
              </w:rPr>
              <w:t>KPa</w:t>
            </w:r>
            <w:r>
              <w:rPr>
                <w:rFonts w:ascii="宋体" w:hAnsi="宋体" w:eastAsia="宋体" w:cs="宋体"/>
                <w:spacing w:val="-50"/>
              </w:rPr>
              <w:t>）：</w:t>
            </w:r>
            <w:r>
              <w:rPr>
                <w:spacing w:val="-1"/>
              </w:rPr>
              <w:t>4.0</w:t>
            </w:r>
          </w:p>
        </w:tc>
      </w:tr>
      <w:tr w14:paraId="24321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continue"/>
            <w:tcBorders>
              <w:top w:val="nil"/>
            </w:tcBorders>
            <w:vAlign w:val="top"/>
          </w:tcPr>
          <w:p w14:paraId="5D994AB3">
            <w:pPr>
              <w:rPr>
                <w:rFonts w:ascii="Arial"/>
                <w:sz w:val="21"/>
              </w:rPr>
            </w:pPr>
          </w:p>
        </w:tc>
        <w:tc>
          <w:tcPr>
            <w:tcW w:w="3606" w:type="dxa"/>
            <w:vAlign w:val="top"/>
          </w:tcPr>
          <w:p w14:paraId="691FCA9C">
            <w:pPr>
              <w:pStyle w:val="6"/>
              <w:spacing w:before="65" w:line="221" w:lineRule="auto"/>
              <w:ind w:left="10"/>
            </w:pPr>
            <w:r>
              <w:rPr>
                <w:rFonts w:ascii="宋体" w:hAnsi="宋体" w:eastAsia="宋体" w:cs="宋体"/>
                <w:spacing w:val="5"/>
              </w:rPr>
              <w:t>沸点(</w:t>
            </w:r>
            <w:r>
              <w:rPr>
                <w:spacing w:val="5"/>
              </w:rPr>
              <w:t>℃</w:t>
            </w:r>
            <w:r>
              <w:rPr>
                <w:rFonts w:ascii="宋体" w:hAnsi="宋体" w:eastAsia="宋体" w:cs="宋体"/>
                <w:spacing w:val="5"/>
              </w:rPr>
              <w:t>)：</w:t>
            </w:r>
            <w:r>
              <w:rPr>
                <w:rFonts w:ascii="宋体" w:hAnsi="宋体" w:eastAsia="宋体" w:cs="宋体"/>
                <w:spacing w:val="30"/>
              </w:rPr>
              <w:t xml:space="preserve"> </w:t>
            </w:r>
            <w:r>
              <w:rPr>
                <w:spacing w:val="5"/>
              </w:rPr>
              <w:t>180~370</w:t>
            </w:r>
          </w:p>
        </w:tc>
        <w:tc>
          <w:tcPr>
            <w:tcW w:w="3712" w:type="dxa"/>
            <w:vAlign w:val="top"/>
          </w:tcPr>
          <w:p w14:paraId="6C47E61C">
            <w:pPr>
              <w:pStyle w:val="6"/>
              <w:spacing w:before="65" w:line="212" w:lineRule="auto"/>
              <w:ind w:left="11"/>
            </w:pPr>
            <w:r>
              <w:rPr>
                <w:rFonts w:ascii="宋体" w:hAnsi="宋体" w:eastAsia="宋体" w:cs="宋体"/>
                <w:spacing w:val="-8"/>
              </w:rPr>
              <w:t>相对密度：</w:t>
            </w:r>
            <w:r>
              <w:rPr>
                <w:spacing w:val="-8"/>
              </w:rPr>
              <w:t>(</w:t>
            </w:r>
            <w:r>
              <w:rPr>
                <w:rFonts w:ascii="宋体" w:hAnsi="宋体" w:eastAsia="宋体" w:cs="宋体"/>
                <w:spacing w:val="-8"/>
              </w:rPr>
              <w:t>水</w:t>
            </w:r>
            <w:r>
              <w:rPr>
                <w:spacing w:val="-8"/>
              </w:rPr>
              <w:t>=1)</w:t>
            </w:r>
            <w:r>
              <w:rPr>
                <w:rFonts w:ascii="宋体" w:hAnsi="宋体" w:eastAsia="宋体" w:cs="宋体"/>
                <w:spacing w:val="-8"/>
              </w:rPr>
              <w:t>：</w:t>
            </w:r>
            <w:r>
              <w:rPr>
                <w:spacing w:val="-8"/>
              </w:rPr>
              <w:t>0.84-0.9</w:t>
            </w:r>
            <w:r>
              <w:rPr>
                <w:rFonts w:ascii="宋体" w:hAnsi="宋体" w:eastAsia="宋体" w:cs="宋体"/>
                <w:spacing w:val="-8"/>
              </w:rPr>
              <w:t>，</w:t>
            </w:r>
            <w:r>
              <w:rPr>
                <w:spacing w:val="-8"/>
              </w:rPr>
              <w:t>(</w:t>
            </w:r>
            <w:r>
              <w:rPr>
                <w:spacing w:val="-9"/>
              </w:rPr>
              <w:t>0#</w:t>
            </w:r>
            <w:r>
              <w:rPr>
                <w:rFonts w:ascii="宋体" w:hAnsi="宋体" w:eastAsia="宋体" w:cs="宋体"/>
                <w:spacing w:val="-9"/>
              </w:rPr>
              <w:t>柴油</w:t>
            </w:r>
            <w:r>
              <w:rPr>
                <w:rFonts w:ascii="宋体" w:hAnsi="宋体" w:eastAsia="宋体" w:cs="宋体"/>
                <w:spacing w:val="-45"/>
              </w:rPr>
              <w:t xml:space="preserve"> </w:t>
            </w:r>
            <w:r>
              <w:rPr>
                <w:spacing w:val="-9"/>
              </w:rPr>
              <w:t>0.85)</w:t>
            </w:r>
          </w:p>
        </w:tc>
      </w:tr>
      <w:tr w14:paraId="69D10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restart"/>
            <w:tcBorders>
              <w:bottom w:val="nil"/>
            </w:tcBorders>
            <w:vAlign w:val="top"/>
          </w:tcPr>
          <w:p w14:paraId="4CF238CA">
            <w:pPr>
              <w:spacing w:line="295" w:lineRule="auto"/>
              <w:rPr>
                <w:rFonts w:ascii="Arial"/>
                <w:sz w:val="21"/>
              </w:rPr>
            </w:pPr>
          </w:p>
          <w:p w14:paraId="4D4AC018">
            <w:pPr>
              <w:spacing w:line="295" w:lineRule="auto"/>
              <w:rPr>
                <w:rFonts w:ascii="Arial"/>
                <w:sz w:val="21"/>
              </w:rPr>
            </w:pPr>
          </w:p>
          <w:p w14:paraId="2EE5D4EF">
            <w:pPr>
              <w:spacing w:line="296" w:lineRule="auto"/>
              <w:rPr>
                <w:rFonts w:ascii="Arial"/>
                <w:sz w:val="21"/>
              </w:rPr>
            </w:pPr>
          </w:p>
          <w:p w14:paraId="19DE61D3">
            <w:pPr>
              <w:spacing w:line="296" w:lineRule="auto"/>
              <w:rPr>
                <w:rFonts w:ascii="Arial"/>
                <w:sz w:val="21"/>
              </w:rPr>
            </w:pPr>
          </w:p>
          <w:p w14:paraId="5766DBDA">
            <w:pPr>
              <w:spacing w:before="69" w:line="276" w:lineRule="auto"/>
              <w:ind w:left="87" w:right="79" w:hanging="1"/>
              <w:rPr>
                <w:rFonts w:ascii="宋体" w:hAnsi="宋体" w:eastAsia="宋体" w:cs="宋体"/>
                <w:sz w:val="21"/>
                <w:szCs w:val="21"/>
              </w:rPr>
            </w:pPr>
            <w:r>
              <w:rPr>
                <w:rFonts w:ascii="宋体" w:hAnsi="宋体" w:eastAsia="宋体" w:cs="宋体"/>
                <w:spacing w:val="-3"/>
                <w:sz w:val="21"/>
                <w:szCs w:val="21"/>
              </w:rPr>
              <w:t>燃烧爆炸危险特性</w:t>
            </w:r>
          </w:p>
        </w:tc>
        <w:tc>
          <w:tcPr>
            <w:tcW w:w="3606" w:type="dxa"/>
            <w:vAlign w:val="top"/>
          </w:tcPr>
          <w:p w14:paraId="2B790B06">
            <w:pPr>
              <w:spacing w:before="65" w:line="219" w:lineRule="auto"/>
              <w:ind w:left="10"/>
              <w:rPr>
                <w:rFonts w:ascii="宋体" w:hAnsi="宋体" w:eastAsia="宋体" w:cs="宋体"/>
                <w:sz w:val="21"/>
                <w:szCs w:val="21"/>
              </w:rPr>
            </w:pPr>
            <w:r>
              <w:rPr>
                <w:rFonts w:ascii="宋体" w:hAnsi="宋体" w:eastAsia="宋体" w:cs="宋体"/>
                <w:spacing w:val="-2"/>
                <w:sz w:val="21"/>
                <w:szCs w:val="21"/>
              </w:rPr>
              <w:t>燃烧性：助燃</w:t>
            </w:r>
          </w:p>
        </w:tc>
        <w:tc>
          <w:tcPr>
            <w:tcW w:w="3712" w:type="dxa"/>
            <w:vAlign w:val="top"/>
          </w:tcPr>
          <w:p w14:paraId="18139C59">
            <w:pPr>
              <w:spacing w:before="65" w:line="219" w:lineRule="auto"/>
              <w:ind w:left="12"/>
              <w:rPr>
                <w:rFonts w:ascii="宋体" w:hAnsi="宋体" w:eastAsia="宋体" w:cs="宋体"/>
                <w:sz w:val="21"/>
                <w:szCs w:val="21"/>
              </w:rPr>
            </w:pPr>
            <w:r>
              <w:rPr>
                <w:rFonts w:ascii="宋体" w:hAnsi="宋体" w:eastAsia="宋体" w:cs="宋体"/>
                <w:spacing w:val="-1"/>
                <w:sz w:val="21"/>
                <w:szCs w:val="21"/>
              </w:rPr>
              <w:t>燃烧分解产物：一氧化碳、二氧化碳</w:t>
            </w:r>
          </w:p>
        </w:tc>
      </w:tr>
      <w:tr w14:paraId="66137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2" w:type="dxa"/>
            <w:vMerge w:val="continue"/>
            <w:tcBorders>
              <w:top w:val="nil"/>
              <w:bottom w:val="nil"/>
            </w:tcBorders>
            <w:vAlign w:val="top"/>
          </w:tcPr>
          <w:p w14:paraId="50753904">
            <w:pPr>
              <w:rPr>
                <w:rFonts w:ascii="Arial"/>
                <w:sz w:val="21"/>
              </w:rPr>
            </w:pPr>
          </w:p>
        </w:tc>
        <w:tc>
          <w:tcPr>
            <w:tcW w:w="3606" w:type="dxa"/>
            <w:vAlign w:val="top"/>
          </w:tcPr>
          <w:p w14:paraId="19857846">
            <w:pPr>
              <w:pStyle w:val="6"/>
              <w:spacing w:before="66" w:line="220" w:lineRule="auto"/>
              <w:ind w:left="28"/>
            </w:pPr>
            <w:r>
              <w:rPr>
                <w:rFonts w:ascii="宋体" w:hAnsi="宋体" w:eastAsia="宋体" w:cs="宋体"/>
                <w:spacing w:val="9"/>
              </w:rPr>
              <w:t>闪点(</w:t>
            </w:r>
            <w:r>
              <w:rPr>
                <w:spacing w:val="9"/>
              </w:rPr>
              <w:t>℃</w:t>
            </w:r>
            <w:r>
              <w:rPr>
                <w:rFonts w:ascii="宋体" w:hAnsi="宋体" w:eastAsia="宋体" w:cs="宋体"/>
                <w:spacing w:val="9"/>
              </w:rPr>
              <w:t xml:space="preserve">)： </w:t>
            </w:r>
            <w:r>
              <w:rPr>
                <w:spacing w:val="9"/>
              </w:rPr>
              <w:t>55</w:t>
            </w:r>
          </w:p>
        </w:tc>
        <w:tc>
          <w:tcPr>
            <w:tcW w:w="3712" w:type="dxa"/>
            <w:vAlign w:val="top"/>
          </w:tcPr>
          <w:p w14:paraId="56F98E55">
            <w:pPr>
              <w:spacing w:before="66" w:line="219" w:lineRule="auto"/>
              <w:ind w:left="11"/>
              <w:rPr>
                <w:rFonts w:ascii="宋体" w:hAnsi="宋体" w:eastAsia="宋体" w:cs="宋体"/>
                <w:sz w:val="21"/>
                <w:szCs w:val="21"/>
              </w:rPr>
            </w:pPr>
            <w:r>
              <w:rPr>
                <w:rFonts w:ascii="宋体" w:hAnsi="宋体" w:eastAsia="宋体" w:cs="宋体"/>
                <w:spacing w:val="-1"/>
                <w:sz w:val="21"/>
                <w:szCs w:val="21"/>
              </w:rPr>
              <w:t>禁忌物：强氧化剂、卤素</w:t>
            </w:r>
          </w:p>
        </w:tc>
      </w:tr>
      <w:tr w14:paraId="0743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continue"/>
            <w:tcBorders>
              <w:top w:val="nil"/>
              <w:bottom w:val="nil"/>
            </w:tcBorders>
            <w:vAlign w:val="top"/>
          </w:tcPr>
          <w:p w14:paraId="1DC5457D">
            <w:pPr>
              <w:rPr>
                <w:rFonts w:ascii="Arial"/>
                <w:sz w:val="21"/>
              </w:rPr>
            </w:pPr>
          </w:p>
        </w:tc>
        <w:tc>
          <w:tcPr>
            <w:tcW w:w="3606" w:type="dxa"/>
            <w:vAlign w:val="top"/>
          </w:tcPr>
          <w:p w14:paraId="0677FB58">
            <w:pPr>
              <w:pStyle w:val="6"/>
              <w:spacing w:before="66" w:line="220" w:lineRule="auto"/>
              <w:ind w:left="43"/>
            </w:pPr>
            <w:r>
              <w:rPr>
                <w:rFonts w:ascii="宋体" w:hAnsi="宋体" w:eastAsia="宋体" w:cs="宋体"/>
                <w:spacing w:val="5"/>
              </w:rPr>
              <w:t>自燃温度(</w:t>
            </w:r>
            <w:r>
              <w:rPr>
                <w:spacing w:val="5"/>
              </w:rPr>
              <w:t>℃</w:t>
            </w:r>
            <w:r>
              <w:rPr>
                <w:rFonts w:ascii="宋体" w:hAnsi="宋体" w:eastAsia="宋体" w:cs="宋体"/>
                <w:spacing w:val="5"/>
              </w:rPr>
              <w:t xml:space="preserve">)： </w:t>
            </w:r>
            <w:r>
              <w:rPr>
                <w:spacing w:val="5"/>
              </w:rPr>
              <w:t>257</w:t>
            </w:r>
          </w:p>
        </w:tc>
        <w:tc>
          <w:tcPr>
            <w:tcW w:w="3712" w:type="dxa"/>
            <w:vAlign w:val="top"/>
          </w:tcPr>
          <w:p w14:paraId="106E86EB">
            <w:pPr>
              <w:pStyle w:val="6"/>
              <w:spacing w:before="66" w:line="220" w:lineRule="auto"/>
              <w:ind w:left="14"/>
            </w:pPr>
            <w:r>
              <w:rPr>
                <w:rFonts w:ascii="宋体" w:hAnsi="宋体" w:eastAsia="宋体" w:cs="宋体"/>
                <w:spacing w:val="-1"/>
              </w:rPr>
              <w:t>蒸气与空气混合物可燃限</w:t>
            </w:r>
            <w:r>
              <w:rPr>
                <w:rFonts w:ascii="宋体" w:hAnsi="宋体" w:eastAsia="宋体" w:cs="宋体"/>
                <w:spacing w:val="-40"/>
              </w:rPr>
              <w:t xml:space="preserve"> </w:t>
            </w:r>
            <w:r>
              <w:rPr>
                <w:spacing w:val="-1"/>
              </w:rPr>
              <w:t>0.7~5.0%</w:t>
            </w:r>
          </w:p>
        </w:tc>
      </w:tr>
      <w:tr w14:paraId="6188B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continue"/>
            <w:tcBorders>
              <w:top w:val="nil"/>
              <w:bottom w:val="nil"/>
            </w:tcBorders>
            <w:vAlign w:val="top"/>
          </w:tcPr>
          <w:p w14:paraId="77EDE4AF">
            <w:pPr>
              <w:rPr>
                <w:rFonts w:ascii="Arial"/>
                <w:sz w:val="21"/>
              </w:rPr>
            </w:pPr>
          </w:p>
        </w:tc>
        <w:tc>
          <w:tcPr>
            <w:tcW w:w="3606" w:type="dxa"/>
            <w:vAlign w:val="top"/>
          </w:tcPr>
          <w:p w14:paraId="18A20C7B">
            <w:pPr>
              <w:pStyle w:val="6"/>
              <w:spacing w:before="67" w:line="218" w:lineRule="auto"/>
              <w:ind w:left="9"/>
            </w:pPr>
            <w:r>
              <w:rPr>
                <w:rFonts w:ascii="宋体" w:hAnsi="宋体" w:eastAsia="宋体" w:cs="宋体"/>
                <w:spacing w:val="-3"/>
              </w:rPr>
              <w:t>爆炸极限（</w:t>
            </w:r>
            <w:r>
              <w:rPr>
                <w:spacing w:val="-3"/>
              </w:rPr>
              <w:t>v%</w:t>
            </w:r>
            <w:r>
              <w:rPr>
                <w:rFonts w:ascii="宋体" w:hAnsi="宋体" w:eastAsia="宋体" w:cs="宋体"/>
                <w:spacing w:val="3"/>
              </w:rPr>
              <w:t>）：</w:t>
            </w:r>
            <w:r>
              <w:rPr>
                <w:rFonts w:ascii="宋体" w:hAnsi="宋体" w:eastAsia="宋体" w:cs="宋体"/>
                <w:spacing w:val="-3"/>
              </w:rPr>
              <w:t>上限</w:t>
            </w:r>
            <w:r>
              <w:rPr>
                <w:rFonts w:ascii="宋体" w:hAnsi="宋体" w:eastAsia="宋体" w:cs="宋体"/>
                <w:spacing w:val="-30"/>
              </w:rPr>
              <w:t xml:space="preserve"> </w:t>
            </w:r>
            <w:r>
              <w:rPr>
                <w:spacing w:val="-3"/>
              </w:rPr>
              <w:t>6.5</w:t>
            </w:r>
            <w:r>
              <w:rPr>
                <w:rFonts w:ascii="宋体" w:hAnsi="宋体" w:eastAsia="宋体" w:cs="宋体"/>
                <w:spacing w:val="-3"/>
              </w:rPr>
              <w:t>、下限</w:t>
            </w:r>
            <w:r>
              <w:rPr>
                <w:rFonts w:ascii="宋体" w:hAnsi="宋体" w:eastAsia="宋体" w:cs="宋体"/>
                <w:spacing w:val="-33"/>
              </w:rPr>
              <w:t xml:space="preserve"> </w:t>
            </w:r>
            <w:r>
              <w:rPr>
                <w:spacing w:val="-3"/>
              </w:rPr>
              <w:t>0.6</w:t>
            </w:r>
          </w:p>
        </w:tc>
        <w:tc>
          <w:tcPr>
            <w:tcW w:w="3712" w:type="dxa"/>
            <w:vAlign w:val="top"/>
          </w:tcPr>
          <w:p w14:paraId="4783E19C">
            <w:pPr>
              <w:spacing w:before="66" w:line="220" w:lineRule="auto"/>
              <w:ind w:left="12"/>
              <w:rPr>
                <w:rFonts w:ascii="宋体" w:hAnsi="宋体" w:eastAsia="宋体" w:cs="宋体"/>
                <w:sz w:val="21"/>
                <w:szCs w:val="21"/>
              </w:rPr>
            </w:pPr>
            <w:r>
              <w:rPr>
                <w:rFonts w:ascii="宋体" w:hAnsi="宋体" w:eastAsia="宋体" w:cs="宋体"/>
                <w:spacing w:val="-2"/>
                <w:sz w:val="21"/>
                <w:szCs w:val="21"/>
              </w:rPr>
              <w:t>稳定性：稳定</w:t>
            </w:r>
          </w:p>
        </w:tc>
      </w:tr>
      <w:tr w14:paraId="30E34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2" w:type="dxa"/>
            <w:vMerge w:val="continue"/>
            <w:tcBorders>
              <w:top w:val="nil"/>
              <w:bottom w:val="nil"/>
            </w:tcBorders>
            <w:vAlign w:val="top"/>
          </w:tcPr>
          <w:p w14:paraId="670C06B2">
            <w:pPr>
              <w:rPr>
                <w:rFonts w:ascii="Arial"/>
                <w:sz w:val="21"/>
              </w:rPr>
            </w:pPr>
          </w:p>
        </w:tc>
        <w:tc>
          <w:tcPr>
            <w:tcW w:w="3606" w:type="dxa"/>
            <w:vAlign w:val="top"/>
          </w:tcPr>
          <w:p w14:paraId="7A906E3A">
            <w:pPr>
              <w:spacing w:before="66" w:line="220" w:lineRule="auto"/>
              <w:ind w:left="11"/>
              <w:rPr>
                <w:rFonts w:ascii="宋体" w:hAnsi="宋体" w:eastAsia="宋体" w:cs="宋体"/>
                <w:sz w:val="21"/>
                <w:szCs w:val="21"/>
              </w:rPr>
            </w:pPr>
            <w:r>
              <w:rPr>
                <w:rFonts w:ascii="宋体" w:hAnsi="宋体" w:eastAsia="宋体" w:cs="宋体"/>
                <w:spacing w:val="-2"/>
                <w:sz w:val="21"/>
                <w:szCs w:val="21"/>
              </w:rPr>
              <w:t>建规火险分级：甲</w:t>
            </w:r>
          </w:p>
        </w:tc>
        <w:tc>
          <w:tcPr>
            <w:tcW w:w="3712" w:type="dxa"/>
            <w:vAlign w:val="top"/>
          </w:tcPr>
          <w:p w14:paraId="638529DF">
            <w:pPr>
              <w:spacing w:before="67" w:line="220" w:lineRule="auto"/>
              <w:ind w:left="19"/>
              <w:rPr>
                <w:rFonts w:ascii="宋体" w:hAnsi="宋体" w:eastAsia="宋体" w:cs="宋体"/>
                <w:sz w:val="21"/>
                <w:szCs w:val="21"/>
              </w:rPr>
            </w:pPr>
            <w:r>
              <w:rPr>
                <w:rFonts w:ascii="宋体" w:hAnsi="宋体" w:eastAsia="宋体" w:cs="宋体"/>
                <w:spacing w:val="-2"/>
                <w:sz w:val="21"/>
                <w:szCs w:val="21"/>
              </w:rPr>
              <w:t>聚合危害：不出现</w:t>
            </w:r>
          </w:p>
        </w:tc>
      </w:tr>
      <w:tr w14:paraId="78E99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continue"/>
            <w:tcBorders>
              <w:top w:val="nil"/>
              <w:bottom w:val="nil"/>
            </w:tcBorders>
            <w:vAlign w:val="top"/>
          </w:tcPr>
          <w:p w14:paraId="49AABA30">
            <w:pPr>
              <w:rPr>
                <w:rFonts w:ascii="Arial"/>
                <w:sz w:val="21"/>
              </w:rPr>
            </w:pPr>
          </w:p>
        </w:tc>
        <w:tc>
          <w:tcPr>
            <w:tcW w:w="7318" w:type="dxa"/>
            <w:gridSpan w:val="2"/>
            <w:vAlign w:val="top"/>
          </w:tcPr>
          <w:p w14:paraId="3ADED0E5">
            <w:pPr>
              <w:pStyle w:val="6"/>
              <w:spacing w:before="67" w:line="219" w:lineRule="auto"/>
              <w:ind w:left="12"/>
              <w:rPr>
                <w:rFonts w:ascii="宋体" w:hAnsi="宋体" w:eastAsia="宋体" w:cs="宋体"/>
              </w:rPr>
            </w:pPr>
            <w:r>
              <w:rPr>
                <w:rFonts w:ascii="宋体" w:hAnsi="宋体" w:eastAsia="宋体" w:cs="宋体"/>
                <w:spacing w:val="-1"/>
              </w:rPr>
              <w:t>灭火剂：泡沫、二氧化碳、干粉、</w:t>
            </w:r>
            <w:r>
              <w:rPr>
                <w:spacing w:val="-1"/>
              </w:rPr>
              <w:t xml:space="preserve">1211 </w:t>
            </w:r>
            <w:r>
              <w:rPr>
                <w:rFonts w:ascii="宋体" w:hAnsi="宋体" w:eastAsia="宋体" w:cs="宋体"/>
                <w:spacing w:val="-1"/>
              </w:rPr>
              <w:t>灭火剂、砂土</w:t>
            </w:r>
          </w:p>
        </w:tc>
      </w:tr>
      <w:tr w14:paraId="68AB3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02" w:type="dxa"/>
            <w:vMerge w:val="continue"/>
            <w:tcBorders>
              <w:top w:val="nil"/>
            </w:tcBorders>
            <w:vAlign w:val="top"/>
          </w:tcPr>
          <w:p w14:paraId="5B81EE60">
            <w:pPr>
              <w:rPr>
                <w:rFonts w:ascii="Arial"/>
                <w:sz w:val="21"/>
              </w:rPr>
            </w:pPr>
          </w:p>
        </w:tc>
        <w:tc>
          <w:tcPr>
            <w:tcW w:w="7318" w:type="dxa"/>
            <w:gridSpan w:val="2"/>
            <w:vAlign w:val="top"/>
          </w:tcPr>
          <w:p w14:paraId="7ABEAF65">
            <w:pPr>
              <w:spacing w:before="54" w:line="274" w:lineRule="auto"/>
              <w:ind w:left="9" w:right="5" w:hanging="1"/>
              <w:rPr>
                <w:rFonts w:ascii="宋体" w:hAnsi="宋体" w:eastAsia="宋体" w:cs="宋体"/>
                <w:sz w:val="21"/>
                <w:szCs w:val="21"/>
              </w:rPr>
            </w:pPr>
            <w:r>
              <w:rPr>
                <w:rFonts w:ascii="宋体" w:hAnsi="宋体" w:eastAsia="宋体" w:cs="宋体"/>
                <w:spacing w:val="-10"/>
                <w:sz w:val="21"/>
                <w:szCs w:val="21"/>
              </w:rPr>
              <w:t>①遇明火、高热或与氧化剂接触，</w:t>
            </w:r>
            <w:r>
              <w:rPr>
                <w:rFonts w:ascii="宋体" w:hAnsi="宋体" w:eastAsia="宋体" w:cs="宋体"/>
                <w:spacing w:val="45"/>
                <w:sz w:val="21"/>
                <w:szCs w:val="21"/>
              </w:rPr>
              <w:t xml:space="preserve"> </w:t>
            </w:r>
            <w:r>
              <w:rPr>
                <w:rFonts w:ascii="宋体" w:hAnsi="宋体" w:eastAsia="宋体" w:cs="宋体"/>
                <w:spacing w:val="-10"/>
                <w:sz w:val="21"/>
                <w:szCs w:val="21"/>
              </w:rPr>
              <w:t>有引起燃烧爆炸的危险。若遇高热，</w:t>
            </w:r>
            <w:r>
              <w:rPr>
                <w:rFonts w:ascii="宋体" w:hAnsi="宋体" w:eastAsia="宋体" w:cs="宋体"/>
                <w:spacing w:val="47"/>
                <w:sz w:val="21"/>
                <w:szCs w:val="21"/>
              </w:rPr>
              <w:t xml:space="preserve"> </w:t>
            </w:r>
            <w:r>
              <w:rPr>
                <w:rFonts w:ascii="宋体" w:hAnsi="宋体" w:eastAsia="宋体" w:cs="宋体"/>
                <w:spacing w:val="-11"/>
                <w:sz w:val="21"/>
                <w:szCs w:val="21"/>
              </w:rPr>
              <w:t>容器内压</w:t>
            </w:r>
            <w:r>
              <w:rPr>
                <w:rFonts w:ascii="宋体" w:hAnsi="宋体" w:eastAsia="宋体" w:cs="宋体"/>
                <w:spacing w:val="-1"/>
                <w:sz w:val="21"/>
                <w:szCs w:val="21"/>
              </w:rPr>
              <w:t>增大，有开裂和爆炸的危险</w:t>
            </w:r>
          </w:p>
          <w:p w14:paraId="7C7BFC83">
            <w:pPr>
              <w:spacing w:line="217" w:lineRule="auto"/>
              <w:ind w:left="7"/>
              <w:rPr>
                <w:rFonts w:ascii="宋体" w:hAnsi="宋体" w:eastAsia="宋体" w:cs="宋体"/>
                <w:sz w:val="21"/>
                <w:szCs w:val="21"/>
              </w:rPr>
            </w:pPr>
            <w:r>
              <w:rPr>
                <w:rFonts w:ascii="宋体" w:hAnsi="宋体" w:eastAsia="宋体" w:cs="宋体"/>
                <w:spacing w:val="-1"/>
                <w:sz w:val="21"/>
                <w:szCs w:val="21"/>
              </w:rPr>
              <w:t>②可蓄积静电，引起电火花</w:t>
            </w:r>
          </w:p>
        </w:tc>
      </w:tr>
      <w:tr w14:paraId="65382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1002" w:type="dxa"/>
            <w:vAlign w:val="top"/>
          </w:tcPr>
          <w:p w14:paraId="06E40D8A">
            <w:pPr>
              <w:spacing w:line="253" w:lineRule="auto"/>
              <w:rPr>
                <w:rFonts w:ascii="Arial"/>
                <w:sz w:val="21"/>
              </w:rPr>
            </w:pPr>
          </w:p>
          <w:p w14:paraId="6A040649">
            <w:pPr>
              <w:spacing w:line="254" w:lineRule="auto"/>
              <w:rPr>
                <w:rFonts w:ascii="Arial"/>
                <w:sz w:val="21"/>
              </w:rPr>
            </w:pPr>
          </w:p>
          <w:p w14:paraId="749A46EF">
            <w:pPr>
              <w:spacing w:line="254" w:lineRule="auto"/>
              <w:rPr>
                <w:rFonts w:ascii="Arial"/>
                <w:sz w:val="21"/>
              </w:rPr>
            </w:pPr>
          </w:p>
          <w:p w14:paraId="7D9AFE13">
            <w:pPr>
              <w:spacing w:before="69" w:line="220" w:lineRule="auto"/>
              <w:ind w:left="85"/>
              <w:rPr>
                <w:rFonts w:ascii="宋体" w:hAnsi="宋体" w:eastAsia="宋体" w:cs="宋体"/>
                <w:sz w:val="21"/>
                <w:szCs w:val="21"/>
              </w:rPr>
            </w:pPr>
            <w:r>
              <w:rPr>
                <w:rFonts w:ascii="宋体" w:hAnsi="宋体" w:eastAsia="宋体" w:cs="宋体"/>
                <w:spacing w:val="-2"/>
                <w:sz w:val="21"/>
                <w:szCs w:val="21"/>
              </w:rPr>
              <w:t>健康危害</w:t>
            </w:r>
          </w:p>
        </w:tc>
        <w:tc>
          <w:tcPr>
            <w:tcW w:w="7318" w:type="dxa"/>
            <w:gridSpan w:val="2"/>
            <w:vAlign w:val="top"/>
          </w:tcPr>
          <w:p w14:paraId="5C3F590A">
            <w:pPr>
              <w:pStyle w:val="6"/>
              <w:spacing w:before="39" w:line="218" w:lineRule="auto"/>
              <w:ind w:left="8"/>
              <w:rPr>
                <w:sz w:val="14"/>
                <w:szCs w:val="14"/>
              </w:rPr>
            </w:pPr>
            <w:r>
              <w:rPr>
                <w:rFonts w:ascii="宋体" w:hAnsi="宋体" w:eastAsia="宋体" w:cs="宋体"/>
                <w:spacing w:val="-1"/>
              </w:rPr>
              <w:t>①急性毒性：大鼠经口</w:t>
            </w:r>
            <w:r>
              <w:rPr>
                <w:rFonts w:ascii="宋体" w:hAnsi="宋体" w:eastAsia="宋体" w:cs="宋体"/>
                <w:spacing w:val="-48"/>
              </w:rPr>
              <w:t xml:space="preserve"> </w:t>
            </w:r>
            <w:r>
              <w:rPr>
                <w:spacing w:val="-1"/>
              </w:rPr>
              <w:t>LD</w:t>
            </w:r>
            <w:r>
              <w:rPr>
                <w:spacing w:val="-1"/>
                <w:position w:val="-3"/>
                <w:sz w:val="14"/>
                <w:szCs w:val="14"/>
              </w:rPr>
              <w:t>50</w:t>
            </w:r>
            <w:r>
              <w:rPr>
                <w:spacing w:val="-16"/>
                <w:position w:val="-3"/>
                <w:sz w:val="14"/>
                <w:szCs w:val="14"/>
              </w:rPr>
              <w:t xml:space="preserve"> </w:t>
            </w:r>
            <w:r>
              <w:rPr>
                <w:spacing w:val="-1"/>
              </w:rPr>
              <w:t>:7500mg/kg</w:t>
            </w:r>
            <w:r>
              <w:rPr>
                <w:rFonts w:ascii="宋体" w:hAnsi="宋体" w:eastAsia="宋体" w:cs="宋体"/>
                <w:spacing w:val="-1"/>
              </w:rPr>
              <w:t>；兔经皮</w:t>
            </w:r>
            <w:r>
              <w:rPr>
                <w:rFonts w:ascii="宋体" w:hAnsi="宋体" w:eastAsia="宋体" w:cs="宋体"/>
                <w:spacing w:val="-40"/>
              </w:rPr>
              <w:t xml:space="preserve"> </w:t>
            </w:r>
            <w:r>
              <w:rPr>
                <w:spacing w:val="-1"/>
              </w:rPr>
              <w:t>LD</w:t>
            </w:r>
            <w:r>
              <w:rPr>
                <w:rFonts w:ascii="宋体" w:hAnsi="宋体" w:eastAsia="宋体" w:cs="宋体"/>
                <w:spacing w:val="-1"/>
              </w:rPr>
              <w:t>＞</w:t>
            </w:r>
            <w:r>
              <w:rPr>
                <w:spacing w:val="-2"/>
              </w:rPr>
              <w:t>5mg/m</w:t>
            </w:r>
            <w:r>
              <w:rPr>
                <w:spacing w:val="-2"/>
                <w:position w:val="9"/>
                <w:sz w:val="14"/>
                <w:szCs w:val="14"/>
              </w:rPr>
              <w:t>3</w:t>
            </w:r>
          </w:p>
          <w:p w14:paraId="07277793">
            <w:pPr>
              <w:spacing w:before="71" w:line="217" w:lineRule="auto"/>
              <w:ind w:left="7"/>
              <w:rPr>
                <w:rFonts w:ascii="宋体" w:hAnsi="宋体" w:eastAsia="宋体" w:cs="宋体"/>
                <w:sz w:val="21"/>
                <w:szCs w:val="21"/>
              </w:rPr>
            </w:pPr>
            <w:r>
              <w:rPr>
                <w:rFonts w:ascii="宋体" w:hAnsi="宋体" w:eastAsia="宋体" w:cs="宋体"/>
                <w:spacing w:val="-1"/>
                <w:sz w:val="21"/>
                <w:szCs w:val="21"/>
              </w:rPr>
              <w:t>②皮肤接触可为主要吸收途径，可致急性肾脏损害</w:t>
            </w:r>
          </w:p>
          <w:p w14:paraId="13F9E53B">
            <w:pPr>
              <w:spacing w:before="65" w:line="217" w:lineRule="auto"/>
              <w:ind w:left="7"/>
              <w:rPr>
                <w:rFonts w:ascii="宋体" w:hAnsi="宋体" w:eastAsia="宋体" w:cs="宋体"/>
                <w:sz w:val="21"/>
                <w:szCs w:val="21"/>
              </w:rPr>
            </w:pPr>
            <w:r>
              <w:rPr>
                <w:rFonts w:ascii="宋体" w:hAnsi="宋体" w:eastAsia="宋体" w:cs="宋体"/>
                <w:spacing w:val="-1"/>
                <w:sz w:val="21"/>
                <w:szCs w:val="21"/>
              </w:rPr>
              <w:t>③柴油可引起接触性皮炎等</w:t>
            </w:r>
          </w:p>
          <w:p w14:paraId="53466112">
            <w:pPr>
              <w:spacing w:before="65" w:line="217" w:lineRule="auto"/>
              <w:ind w:left="7"/>
              <w:rPr>
                <w:rFonts w:ascii="宋体" w:hAnsi="宋体" w:eastAsia="宋体" w:cs="宋体"/>
                <w:sz w:val="21"/>
                <w:szCs w:val="21"/>
              </w:rPr>
            </w:pPr>
            <w:r>
              <w:rPr>
                <w:rFonts w:ascii="宋体" w:hAnsi="宋体" w:eastAsia="宋体" w:cs="宋体"/>
                <w:spacing w:val="-1"/>
                <w:sz w:val="21"/>
                <w:szCs w:val="21"/>
              </w:rPr>
              <w:t>④吸入其雾滴或液体呛入可引起吸入性肺炎</w:t>
            </w:r>
          </w:p>
          <w:p w14:paraId="3F51880F">
            <w:pPr>
              <w:spacing w:before="65" w:line="217" w:lineRule="auto"/>
              <w:ind w:left="7"/>
              <w:rPr>
                <w:rFonts w:ascii="宋体" w:hAnsi="宋体" w:eastAsia="宋体" w:cs="宋体"/>
                <w:sz w:val="21"/>
                <w:szCs w:val="21"/>
              </w:rPr>
            </w:pPr>
            <w:r>
              <w:rPr>
                <w:rFonts w:ascii="宋体" w:hAnsi="宋体" w:eastAsia="宋体" w:cs="宋体"/>
                <w:spacing w:val="-1"/>
                <w:sz w:val="21"/>
                <w:szCs w:val="21"/>
              </w:rPr>
              <w:t>⑤能经胎盘进入胎儿血中</w:t>
            </w:r>
          </w:p>
          <w:p w14:paraId="7F44B9E0">
            <w:pPr>
              <w:spacing w:before="65" w:line="217" w:lineRule="auto"/>
              <w:ind w:left="7"/>
              <w:rPr>
                <w:rFonts w:ascii="宋体" w:hAnsi="宋体" w:eastAsia="宋体" w:cs="宋体"/>
                <w:sz w:val="21"/>
                <w:szCs w:val="21"/>
              </w:rPr>
            </w:pPr>
            <w:r>
              <w:rPr>
                <w:rFonts w:ascii="宋体" w:hAnsi="宋体" w:eastAsia="宋体" w:cs="宋体"/>
                <w:spacing w:val="-1"/>
                <w:sz w:val="21"/>
                <w:szCs w:val="21"/>
              </w:rPr>
              <w:t>⑥柴油废气可引起眼、鼻刺激症状，头晕及头痛</w:t>
            </w:r>
          </w:p>
        </w:tc>
      </w:tr>
      <w:tr w14:paraId="4074C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02" w:type="dxa"/>
            <w:vAlign w:val="top"/>
          </w:tcPr>
          <w:p w14:paraId="26B8DC27">
            <w:pPr>
              <w:spacing w:before="210" w:line="220" w:lineRule="auto"/>
              <w:ind w:left="92"/>
              <w:rPr>
                <w:rFonts w:ascii="宋体" w:hAnsi="宋体" w:eastAsia="宋体" w:cs="宋体"/>
                <w:sz w:val="21"/>
                <w:szCs w:val="21"/>
              </w:rPr>
            </w:pPr>
            <w:r>
              <w:rPr>
                <w:rFonts w:ascii="宋体" w:hAnsi="宋体" w:eastAsia="宋体" w:cs="宋体"/>
                <w:spacing w:val="-3"/>
                <w:sz w:val="21"/>
                <w:szCs w:val="21"/>
              </w:rPr>
              <w:t>急救措施</w:t>
            </w:r>
          </w:p>
        </w:tc>
        <w:tc>
          <w:tcPr>
            <w:tcW w:w="7318" w:type="dxa"/>
            <w:gridSpan w:val="2"/>
            <w:vAlign w:val="top"/>
          </w:tcPr>
          <w:p w14:paraId="41CB0799">
            <w:pPr>
              <w:spacing w:before="54" w:line="250" w:lineRule="auto"/>
              <w:ind w:left="9" w:right="4" w:firstLine="3"/>
              <w:rPr>
                <w:rFonts w:ascii="宋体" w:hAnsi="宋体" w:eastAsia="宋体" w:cs="宋体"/>
                <w:sz w:val="21"/>
                <w:szCs w:val="21"/>
              </w:rPr>
            </w:pPr>
            <w:r>
              <w:rPr>
                <w:rFonts w:ascii="宋体" w:hAnsi="宋体" w:eastAsia="宋体" w:cs="宋体"/>
                <w:spacing w:val="-2"/>
                <w:sz w:val="21"/>
                <w:szCs w:val="21"/>
              </w:rPr>
              <w:t>皮肤接触：立即脱去污染的衣着，用肥皂水和清水彻底冲洗皮肤，就医。眼睛接</w:t>
            </w:r>
            <w:r>
              <w:rPr>
                <w:rFonts w:ascii="宋体" w:hAnsi="宋体" w:eastAsia="宋体" w:cs="宋体"/>
                <w:spacing w:val="-6"/>
                <w:sz w:val="21"/>
                <w:szCs w:val="21"/>
              </w:rPr>
              <w:t>触：提起眼脸，用流动清水或生理盐水冲洗，就医。吸入：</w:t>
            </w:r>
            <w:r>
              <w:rPr>
                <w:rFonts w:ascii="宋体" w:hAnsi="宋体" w:eastAsia="宋体" w:cs="宋体"/>
                <w:spacing w:val="53"/>
                <w:sz w:val="21"/>
                <w:szCs w:val="21"/>
              </w:rPr>
              <w:t xml:space="preserve"> </w:t>
            </w:r>
            <w:r>
              <w:rPr>
                <w:rFonts w:ascii="宋体" w:hAnsi="宋体" w:eastAsia="宋体" w:cs="宋体"/>
                <w:spacing w:val="-6"/>
                <w:sz w:val="21"/>
                <w:szCs w:val="21"/>
              </w:rPr>
              <w:t>迅速脱离现场空气至</w:t>
            </w:r>
          </w:p>
        </w:tc>
      </w:tr>
    </w:tbl>
    <w:p w14:paraId="3FDC1828">
      <w:pPr>
        <w:pStyle w:val="2"/>
      </w:pPr>
    </w:p>
    <w:p w14:paraId="27532F71">
      <w:pPr>
        <w:sectPr>
          <w:headerReference r:id="rId408" w:type="default"/>
          <w:footerReference r:id="rId409" w:type="default"/>
          <w:pgSz w:w="11905" w:h="16840"/>
          <w:pgMar w:top="1168" w:right="1711" w:bottom="1409" w:left="1770" w:header="828" w:footer="1244" w:gutter="0"/>
          <w:cols w:space="720" w:num="1"/>
        </w:sectPr>
      </w:pPr>
    </w:p>
    <w:p w14:paraId="35F844B2">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7318"/>
      </w:tblGrid>
      <w:tr w14:paraId="19C39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02" w:type="dxa"/>
            <w:vAlign w:val="top"/>
          </w:tcPr>
          <w:p w14:paraId="08C3BF80">
            <w:pPr>
              <w:rPr>
                <w:rFonts w:ascii="Arial"/>
                <w:sz w:val="21"/>
              </w:rPr>
            </w:pPr>
          </w:p>
        </w:tc>
        <w:tc>
          <w:tcPr>
            <w:tcW w:w="7318" w:type="dxa"/>
            <w:vAlign w:val="top"/>
          </w:tcPr>
          <w:p w14:paraId="0E96115B">
            <w:pPr>
              <w:spacing w:before="54" w:line="250" w:lineRule="auto"/>
              <w:ind w:left="11" w:right="4" w:firstLine="3"/>
              <w:rPr>
                <w:rFonts w:ascii="宋体" w:hAnsi="宋体" w:eastAsia="宋体" w:cs="宋体"/>
                <w:sz w:val="21"/>
                <w:szCs w:val="21"/>
              </w:rPr>
            </w:pPr>
            <w:r>
              <w:rPr>
                <w:rFonts w:ascii="宋体" w:hAnsi="宋体" w:eastAsia="宋体" w:cs="宋体"/>
                <w:spacing w:val="-6"/>
                <w:sz w:val="21"/>
                <w:szCs w:val="21"/>
              </w:rPr>
              <w:t>空气新鲜处，保持呼吸道通畅，如呼吸困难，给输氧。如呼吸停止，</w:t>
            </w:r>
            <w:r>
              <w:rPr>
                <w:rFonts w:ascii="宋体" w:hAnsi="宋体" w:eastAsia="宋体" w:cs="宋体"/>
                <w:spacing w:val="47"/>
                <w:sz w:val="21"/>
                <w:szCs w:val="21"/>
              </w:rPr>
              <w:t xml:space="preserve"> </w:t>
            </w:r>
            <w:r>
              <w:rPr>
                <w:rFonts w:ascii="宋体" w:hAnsi="宋体" w:eastAsia="宋体" w:cs="宋体"/>
                <w:spacing w:val="-6"/>
                <w:sz w:val="21"/>
                <w:szCs w:val="21"/>
              </w:rPr>
              <w:t>立即进行人</w:t>
            </w:r>
            <w:r>
              <w:rPr>
                <w:rFonts w:ascii="宋体" w:hAnsi="宋体" w:eastAsia="宋体" w:cs="宋体"/>
                <w:spacing w:val="-2"/>
                <w:sz w:val="21"/>
                <w:szCs w:val="21"/>
              </w:rPr>
              <w:t>工呼吸，就医。食入：尽快彻底洗胃，就医。</w:t>
            </w:r>
          </w:p>
        </w:tc>
      </w:tr>
      <w:tr w14:paraId="0D68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1002" w:type="dxa"/>
            <w:vAlign w:val="top"/>
          </w:tcPr>
          <w:p w14:paraId="38B82D6C">
            <w:pPr>
              <w:spacing w:line="448" w:lineRule="auto"/>
              <w:rPr>
                <w:rFonts w:ascii="Arial"/>
                <w:sz w:val="21"/>
              </w:rPr>
            </w:pPr>
          </w:p>
          <w:p w14:paraId="0C65EAFA">
            <w:pPr>
              <w:spacing w:before="68" w:line="220" w:lineRule="auto"/>
              <w:ind w:left="99"/>
              <w:rPr>
                <w:rFonts w:ascii="宋体" w:hAnsi="宋体" w:eastAsia="宋体" w:cs="宋体"/>
                <w:sz w:val="21"/>
                <w:szCs w:val="21"/>
              </w:rPr>
            </w:pPr>
            <w:r>
              <w:rPr>
                <w:rFonts w:ascii="宋体" w:hAnsi="宋体" w:eastAsia="宋体" w:cs="宋体"/>
                <w:spacing w:val="-5"/>
                <w:sz w:val="21"/>
                <w:szCs w:val="21"/>
              </w:rPr>
              <w:t>防护措施</w:t>
            </w:r>
          </w:p>
        </w:tc>
        <w:tc>
          <w:tcPr>
            <w:tcW w:w="7318" w:type="dxa"/>
            <w:vAlign w:val="top"/>
          </w:tcPr>
          <w:p w14:paraId="4D7DE857">
            <w:pPr>
              <w:spacing w:before="50" w:line="262" w:lineRule="auto"/>
              <w:ind w:left="8" w:firstLine="3"/>
              <w:jc w:val="both"/>
              <w:rPr>
                <w:rFonts w:ascii="宋体" w:hAnsi="宋体" w:eastAsia="宋体" w:cs="宋体"/>
                <w:sz w:val="21"/>
                <w:szCs w:val="21"/>
              </w:rPr>
            </w:pPr>
            <w:r>
              <w:rPr>
                <w:rFonts w:ascii="宋体" w:hAnsi="宋体" w:eastAsia="宋体" w:cs="宋体"/>
                <w:spacing w:val="-4"/>
                <w:sz w:val="21"/>
                <w:szCs w:val="21"/>
              </w:rPr>
              <w:t>工程控制：密闭操作，注意通风，呼吸系统防护：空气中浓度超标时，建议佩戴</w:t>
            </w:r>
            <w:r>
              <w:rPr>
                <w:rFonts w:ascii="宋体" w:hAnsi="宋体" w:eastAsia="宋体" w:cs="宋体"/>
                <w:spacing w:val="-10"/>
                <w:sz w:val="21"/>
                <w:szCs w:val="21"/>
              </w:rPr>
              <w:t>自吸过滤式防毒面具（半面罩）。紧急事态抢救或撤离时， 应该佩戴空气呼吸器。眼睛防护：戴化学安全防护眼镜。身体防护：</w:t>
            </w:r>
            <w:r>
              <w:rPr>
                <w:rFonts w:ascii="宋体" w:hAnsi="宋体" w:eastAsia="宋体" w:cs="宋体"/>
                <w:spacing w:val="30"/>
                <w:sz w:val="21"/>
                <w:szCs w:val="21"/>
              </w:rPr>
              <w:t xml:space="preserve"> </w:t>
            </w:r>
            <w:r>
              <w:rPr>
                <w:rFonts w:ascii="宋体" w:hAnsi="宋体" w:eastAsia="宋体" w:cs="宋体"/>
                <w:spacing w:val="-10"/>
                <w:sz w:val="21"/>
                <w:szCs w:val="21"/>
              </w:rPr>
              <w:t>穿一般作业防护服。手防护： 戴橡</w:t>
            </w:r>
            <w:r>
              <w:rPr>
                <w:rFonts w:ascii="宋体" w:hAnsi="宋体" w:eastAsia="宋体" w:cs="宋体"/>
                <w:spacing w:val="-3"/>
                <w:sz w:val="21"/>
                <w:szCs w:val="21"/>
              </w:rPr>
              <w:t>胶耐油手套。其他：工作现场严禁吸烟，避免</w:t>
            </w:r>
            <w:r>
              <w:rPr>
                <w:rFonts w:ascii="宋体" w:hAnsi="宋体" w:eastAsia="宋体" w:cs="宋体"/>
                <w:spacing w:val="-4"/>
                <w:sz w:val="21"/>
                <w:szCs w:val="21"/>
              </w:rPr>
              <w:t>长期反复接触。</w:t>
            </w:r>
          </w:p>
        </w:tc>
      </w:tr>
      <w:tr w14:paraId="00118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002" w:type="dxa"/>
            <w:vAlign w:val="top"/>
          </w:tcPr>
          <w:p w14:paraId="36F73116">
            <w:pPr>
              <w:spacing w:line="301" w:lineRule="auto"/>
              <w:rPr>
                <w:rFonts w:ascii="Arial"/>
                <w:sz w:val="21"/>
              </w:rPr>
            </w:pPr>
          </w:p>
          <w:p w14:paraId="57547544">
            <w:pPr>
              <w:spacing w:line="301" w:lineRule="auto"/>
              <w:rPr>
                <w:rFonts w:ascii="Arial"/>
                <w:sz w:val="21"/>
              </w:rPr>
            </w:pPr>
          </w:p>
          <w:p w14:paraId="6EF57532">
            <w:pPr>
              <w:spacing w:before="69" w:line="221" w:lineRule="auto"/>
              <w:ind w:left="89"/>
              <w:rPr>
                <w:rFonts w:ascii="宋体" w:hAnsi="宋体" w:eastAsia="宋体" w:cs="宋体"/>
                <w:sz w:val="21"/>
                <w:szCs w:val="21"/>
              </w:rPr>
            </w:pPr>
            <w:r>
              <w:rPr>
                <w:rFonts w:ascii="宋体" w:hAnsi="宋体" w:eastAsia="宋体" w:cs="宋体"/>
                <w:spacing w:val="-3"/>
                <w:sz w:val="21"/>
                <w:szCs w:val="21"/>
              </w:rPr>
              <w:t>泄漏处理</w:t>
            </w:r>
          </w:p>
        </w:tc>
        <w:tc>
          <w:tcPr>
            <w:tcW w:w="7318" w:type="dxa"/>
            <w:vAlign w:val="top"/>
          </w:tcPr>
          <w:p w14:paraId="72B010D2">
            <w:pPr>
              <w:spacing w:before="51" w:line="264" w:lineRule="auto"/>
              <w:ind w:left="9"/>
              <w:jc w:val="both"/>
              <w:rPr>
                <w:rFonts w:ascii="宋体" w:hAnsi="宋体" w:eastAsia="宋体" w:cs="宋体"/>
                <w:sz w:val="21"/>
                <w:szCs w:val="21"/>
              </w:rPr>
            </w:pPr>
            <w:r>
              <w:rPr>
                <w:rFonts w:ascii="宋体" w:hAnsi="宋体" w:eastAsia="宋体" w:cs="宋体"/>
                <w:spacing w:val="-2"/>
                <w:sz w:val="21"/>
                <w:szCs w:val="21"/>
              </w:rPr>
              <w:t>迅速撤离泄漏污染区人员至安全区，并进行隔离，严格限制出入。切断火源。建</w:t>
            </w:r>
            <w:r>
              <w:rPr>
                <w:rFonts w:ascii="宋体" w:hAnsi="宋体" w:eastAsia="宋体" w:cs="宋体"/>
                <w:spacing w:val="-1"/>
                <w:sz w:val="21"/>
                <w:szCs w:val="21"/>
              </w:rPr>
              <w:t>议应急处理人员戴自给正压式呼吸器，穿一般作业</w:t>
            </w:r>
            <w:r>
              <w:rPr>
                <w:rFonts w:ascii="宋体" w:hAnsi="宋体" w:eastAsia="宋体" w:cs="宋体"/>
                <w:spacing w:val="-2"/>
                <w:sz w:val="21"/>
                <w:szCs w:val="21"/>
              </w:rPr>
              <w:t>工作服。尽可能切断泄漏源。</w:t>
            </w:r>
            <w:r>
              <w:rPr>
                <w:rFonts w:ascii="宋体" w:hAnsi="宋体" w:eastAsia="宋体" w:cs="宋体"/>
                <w:spacing w:val="-5"/>
                <w:sz w:val="21"/>
                <w:szCs w:val="21"/>
              </w:rPr>
              <w:t>防止流入下水道、排洪沟等限制性空间。少量泄漏： 用活性炭或其他惰性材料吸</w:t>
            </w:r>
            <w:r>
              <w:rPr>
                <w:rFonts w:ascii="宋体" w:hAnsi="宋体" w:eastAsia="宋体" w:cs="宋体"/>
                <w:spacing w:val="-11"/>
                <w:sz w:val="21"/>
                <w:szCs w:val="21"/>
              </w:rPr>
              <w:t>收。大量泄漏：</w:t>
            </w:r>
            <w:r>
              <w:rPr>
                <w:rFonts w:ascii="宋体" w:hAnsi="宋体" w:eastAsia="宋体" w:cs="宋体"/>
                <w:spacing w:val="50"/>
                <w:sz w:val="21"/>
                <w:szCs w:val="21"/>
              </w:rPr>
              <w:t xml:space="preserve"> </w:t>
            </w:r>
            <w:r>
              <w:rPr>
                <w:rFonts w:ascii="宋体" w:hAnsi="宋体" w:eastAsia="宋体" w:cs="宋体"/>
                <w:spacing w:val="-11"/>
                <w:sz w:val="21"/>
                <w:szCs w:val="21"/>
              </w:rPr>
              <w:t>构筑围提或挖坑收容。用泵转移至槽车或专用收集器内，</w:t>
            </w:r>
            <w:r>
              <w:rPr>
                <w:rFonts w:ascii="宋体" w:hAnsi="宋体" w:eastAsia="宋体" w:cs="宋体"/>
                <w:spacing w:val="65"/>
                <w:sz w:val="21"/>
                <w:szCs w:val="21"/>
              </w:rPr>
              <w:t xml:space="preserve"> </w:t>
            </w:r>
            <w:r>
              <w:rPr>
                <w:rFonts w:ascii="宋体" w:hAnsi="宋体" w:eastAsia="宋体" w:cs="宋体"/>
                <w:spacing w:val="-11"/>
                <w:sz w:val="21"/>
                <w:szCs w:val="21"/>
              </w:rPr>
              <w:t>回收或</w:t>
            </w:r>
            <w:r>
              <w:rPr>
                <w:rFonts w:ascii="宋体" w:hAnsi="宋体" w:eastAsia="宋体" w:cs="宋体"/>
                <w:spacing w:val="-4"/>
                <w:sz w:val="21"/>
                <w:szCs w:val="21"/>
              </w:rPr>
              <w:t>运至废物处理场所处置。</w:t>
            </w:r>
          </w:p>
        </w:tc>
      </w:tr>
      <w:tr w14:paraId="209C2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02" w:type="dxa"/>
            <w:vAlign w:val="top"/>
          </w:tcPr>
          <w:p w14:paraId="78ECC89A">
            <w:pPr>
              <w:spacing w:line="294" w:lineRule="auto"/>
              <w:rPr>
                <w:rFonts w:ascii="Arial"/>
                <w:sz w:val="21"/>
              </w:rPr>
            </w:pPr>
          </w:p>
          <w:p w14:paraId="17124442">
            <w:pPr>
              <w:spacing w:before="68" w:line="221" w:lineRule="auto"/>
              <w:ind w:left="296"/>
              <w:rPr>
                <w:rFonts w:ascii="宋体" w:hAnsi="宋体" w:eastAsia="宋体" w:cs="宋体"/>
                <w:sz w:val="21"/>
                <w:szCs w:val="21"/>
              </w:rPr>
            </w:pPr>
            <w:r>
              <w:rPr>
                <w:rFonts w:ascii="宋体" w:hAnsi="宋体" w:eastAsia="宋体" w:cs="宋体"/>
                <w:spacing w:val="-3"/>
                <w:sz w:val="21"/>
                <w:szCs w:val="21"/>
              </w:rPr>
              <w:t>贮运</w:t>
            </w:r>
          </w:p>
        </w:tc>
        <w:tc>
          <w:tcPr>
            <w:tcW w:w="7318" w:type="dxa"/>
            <w:vAlign w:val="top"/>
          </w:tcPr>
          <w:p w14:paraId="489092BD">
            <w:pPr>
              <w:spacing w:before="52" w:line="257" w:lineRule="auto"/>
              <w:ind w:left="11" w:right="5" w:hanging="3"/>
              <w:jc w:val="both"/>
              <w:rPr>
                <w:rFonts w:ascii="宋体" w:hAnsi="宋体" w:eastAsia="宋体" w:cs="宋体"/>
                <w:sz w:val="21"/>
                <w:szCs w:val="21"/>
              </w:rPr>
            </w:pPr>
            <w:r>
              <w:rPr>
                <w:rFonts w:ascii="宋体" w:hAnsi="宋体" w:eastAsia="宋体" w:cs="宋体"/>
                <w:spacing w:val="-6"/>
                <w:sz w:val="21"/>
                <w:szCs w:val="21"/>
              </w:rPr>
              <w:t>储存于阴凉、通风的库房。远离火种、热源。应与氧化剂、卤素分开存放，</w:t>
            </w:r>
            <w:r>
              <w:rPr>
                <w:rFonts w:ascii="宋体" w:hAnsi="宋体" w:eastAsia="宋体" w:cs="宋体"/>
                <w:spacing w:val="53"/>
                <w:sz w:val="21"/>
                <w:szCs w:val="21"/>
              </w:rPr>
              <w:t xml:space="preserve"> </w:t>
            </w:r>
            <w:r>
              <w:rPr>
                <w:rFonts w:ascii="宋体" w:hAnsi="宋体" w:eastAsia="宋体" w:cs="宋体"/>
                <w:spacing w:val="-6"/>
                <w:sz w:val="21"/>
                <w:szCs w:val="21"/>
              </w:rPr>
              <w:t>切忌</w:t>
            </w:r>
            <w:r>
              <w:rPr>
                <w:rFonts w:ascii="宋体" w:hAnsi="宋体" w:eastAsia="宋体" w:cs="宋体"/>
                <w:spacing w:val="-2"/>
                <w:sz w:val="21"/>
                <w:szCs w:val="21"/>
              </w:rPr>
              <w:t>混储。采用防爆型照明、通风设施。禁止使用易产生火花的机械设备和工具。储区应备有泄漏应急处理设备和合适的收容材料。</w:t>
            </w:r>
          </w:p>
        </w:tc>
      </w:tr>
      <w:tr w14:paraId="08B60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002" w:type="dxa"/>
            <w:vAlign w:val="top"/>
          </w:tcPr>
          <w:p w14:paraId="541AF8BE">
            <w:pPr>
              <w:spacing w:line="451" w:lineRule="auto"/>
              <w:rPr>
                <w:rFonts w:ascii="Arial"/>
                <w:sz w:val="21"/>
              </w:rPr>
            </w:pPr>
          </w:p>
          <w:p w14:paraId="5B495101">
            <w:pPr>
              <w:spacing w:before="68" w:line="220" w:lineRule="auto"/>
              <w:ind w:left="85"/>
              <w:rPr>
                <w:rFonts w:ascii="宋体" w:hAnsi="宋体" w:eastAsia="宋体" w:cs="宋体"/>
                <w:sz w:val="21"/>
                <w:szCs w:val="21"/>
              </w:rPr>
            </w:pPr>
            <w:r>
              <w:rPr>
                <w:rFonts w:ascii="宋体" w:hAnsi="宋体" w:eastAsia="宋体" w:cs="宋体"/>
                <w:spacing w:val="-2"/>
                <w:sz w:val="21"/>
                <w:szCs w:val="21"/>
              </w:rPr>
              <w:t>环境影响</w:t>
            </w:r>
          </w:p>
        </w:tc>
        <w:tc>
          <w:tcPr>
            <w:tcW w:w="7318" w:type="dxa"/>
            <w:vAlign w:val="top"/>
          </w:tcPr>
          <w:p w14:paraId="158BDF2A">
            <w:pPr>
              <w:spacing w:before="54" w:line="217" w:lineRule="auto"/>
              <w:ind w:left="8"/>
              <w:rPr>
                <w:rFonts w:ascii="宋体" w:hAnsi="宋体" w:eastAsia="宋体" w:cs="宋体"/>
                <w:sz w:val="21"/>
                <w:szCs w:val="21"/>
              </w:rPr>
            </w:pPr>
            <w:r>
              <w:rPr>
                <w:rFonts w:ascii="宋体" w:hAnsi="宋体" w:eastAsia="宋体" w:cs="宋体"/>
                <w:spacing w:val="-1"/>
                <w:sz w:val="21"/>
                <w:szCs w:val="21"/>
              </w:rPr>
              <w:t>①在很低的浓度下对水生生物造成危害</w:t>
            </w:r>
          </w:p>
          <w:p w14:paraId="62E2AAAE">
            <w:pPr>
              <w:spacing w:before="65" w:line="217" w:lineRule="auto"/>
              <w:ind w:left="7"/>
              <w:rPr>
                <w:rFonts w:ascii="宋体" w:hAnsi="宋体" w:eastAsia="宋体" w:cs="宋体"/>
                <w:sz w:val="21"/>
                <w:szCs w:val="21"/>
              </w:rPr>
            </w:pPr>
            <w:r>
              <w:rPr>
                <w:rFonts w:ascii="宋体" w:hAnsi="宋体" w:eastAsia="宋体" w:cs="宋体"/>
                <w:spacing w:val="-1"/>
                <w:sz w:val="21"/>
                <w:szCs w:val="21"/>
              </w:rPr>
              <w:t>②在土壤中具有极强的迁移性</w:t>
            </w:r>
          </w:p>
          <w:p w14:paraId="4048C82C">
            <w:pPr>
              <w:spacing w:before="65" w:line="217" w:lineRule="auto"/>
              <w:ind w:left="7"/>
              <w:rPr>
                <w:rFonts w:ascii="宋体" w:hAnsi="宋体" w:eastAsia="宋体" w:cs="宋体"/>
                <w:sz w:val="21"/>
                <w:szCs w:val="21"/>
              </w:rPr>
            </w:pPr>
            <w:r>
              <w:rPr>
                <w:rFonts w:ascii="宋体" w:hAnsi="宋体" w:eastAsia="宋体" w:cs="宋体"/>
                <w:spacing w:val="-1"/>
                <w:sz w:val="21"/>
                <w:szCs w:val="21"/>
              </w:rPr>
              <w:t>③有一定的生物富集性</w:t>
            </w:r>
          </w:p>
          <w:p w14:paraId="4B00D15A">
            <w:pPr>
              <w:spacing w:before="65" w:line="217" w:lineRule="auto"/>
              <w:ind w:left="7"/>
              <w:rPr>
                <w:rFonts w:ascii="宋体" w:hAnsi="宋体" w:eastAsia="宋体" w:cs="宋体"/>
                <w:sz w:val="21"/>
                <w:szCs w:val="21"/>
              </w:rPr>
            </w:pPr>
            <w:r>
              <w:rPr>
                <w:rFonts w:ascii="宋体" w:hAnsi="宋体" w:eastAsia="宋体" w:cs="宋体"/>
                <w:spacing w:val="-1"/>
                <w:sz w:val="21"/>
                <w:szCs w:val="21"/>
              </w:rPr>
              <w:t>④在低的浓度时能生物降解；在高浓度时，可使微生物中毒，不易生物</w:t>
            </w:r>
            <w:r>
              <w:rPr>
                <w:rFonts w:ascii="宋体" w:hAnsi="宋体" w:eastAsia="宋体" w:cs="宋体"/>
                <w:spacing w:val="-2"/>
                <w:sz w:val="21"/>
                <w:szCs w:val="21"/>
              </w:rPr>
              <w:t>降解。</w:t>
            </w:r>
          </w:p>
        </w:tc>
      </w:tr>
    </w:tbl>
    <w:p w14:paraId="1316A18B">
      <w:pPr>
        <w:spacing w:before="247" w:line="221" w:lineRule="auto"/>
        <w:ind w:left="232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3"/>
          <w:sz w:val="21"/>
          <w:szCs w:val="21"/>
        </w:rPr>
        <w:t xml:space="preserve"> </w:t>
      </w:r>
      <w:r>
        <w:rPr>
          <w:rFonts w:ascii="Times New Roman" w:hAnsi="Times New Roman" w:eastAsia="Times New Roman" w:cs="Times New Roman"/>
          <w:spacing w:val="-1"/>
          <w:sz w:val="21"/>
          <w:szCs w:val="21"/>
        </w:rPr>
        <w:t xml:space="preserve">4.3-4  </w:t>
      </w:r>
      <w:r>
        <w:rPr>
          <w:rFonts w:ascii="黑体" w:hAnsi="黑体" w:eastAsia="黑体" w:cs="黑体"/>
          <w:spacing w:val="-1"/>
          <w:sz w:val="21"/>
          <w:szCs w:val="21"/>
        </w:rPr>
        <w:t>次氯酸钠理化性质及危险特性表</w:t>
      </w:r>
    </w:p>
    <w:p w14:paraId="5BC464E1">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3401"/>
        <w:gridCol w:w="3712"/>
      </w:tblGrid>
      <w:tr w14:paraId="52DB1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07" w:type="dxa"/>
            <w:vMerge w:val="restart"/>
            <w:tcBorders>
              <w:bottom w:val="nil"/>
            </w:tcBorders>
            <w:vAlign w:val="top"/>
          </w:tcPr>
          <w:p w14:paraId="7AB8358B">
            <w:pPr>
              <w:spacing w:line="349" w:lineRule="auto"/>
              <w:rPr>
                <w:rFonts w:ascii="Arial"/>
                <w:sz w:val="21"/>
              </w:rPr>
            </w:pPr>
          </w:p>
          <w:p w14:paraId="26909A21">
            <w:pPr>
              <w:spacing w:before="68" w:line="220" w:lineRule="auto"/>
              <w:ind w:left="400"/>
              <w:rPr>
                <w:rFonts w:ascii="宋体" w:hAnsi="宋体" w:eastAsia="宋体" w:cs="宋体"/>
                <w:sz w:val="21"/>
                <w:szCs w:val="21"/>
              </w:rPr>
            </w:pPr>
            <w:r>
              <w:rPr>
                <w:rFonts w:ascii="宋体" w:hAnsi="宋体" w:eastAsia="宋体" w:cs="宋体"/>
                <w:spacing w:val="-3"/>
                <w:sz w:val="21"/>
                <w:szCs w:val="21"/>
              </w:rPr>
              <w:t>标识</w:t>
            </w:r>
          </w:p>
        </w:tc>
        <w:tc>
          <w:tcPr>
            <w:tcW w:w="7113" w:type="dxa"/>
            <w:gridSpan w:val="2"/>
            <w:vAlign w:val="top"/>
          </w:tcPr>
          <w:p w14:paraId="3BC1E799">
            <w:pPr>
              <w:spacing w:before="68" w:line="220" w:lineRule="auto"/>
              <w:ind w:left="29"/>
              <w:rPr>
                <w:rFonts w:ascii="宋体" w:hAnsi="宋体" w:eastAsia="宋体" w:cs="宋体"/>
                <w:sz w:val="21"/>
                <w:szCs w:val="21"/>
              </w:rPr>
            </w:pPr>
            <w:r>
              <w:rPr>
                <w:rFonts w:ascii="宋体" w:hAnsi="宋体" w:eastAsia="宋体" w:cs="宋体"/>
                <w:spacing w:val="-4"/>
                <w:sz w:val="21"/>
                <w:szCs w:val="21"/>
              </w:rPr>
              <w:t>中文名：次氯酸钠</w:t>
            </w:r>
          </w:p>
        </w:tc>
      </w:tr>
      <w:tr w14:paraId="49846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07" w:type="dxa"/>
            <w:vMerge w:val="continue"/>
            <w:tcBorders>
              <w:top w:val="nil"/>
              <w:bottom w:val="nil"/>
            </w:tcBorders>
            <w:vAlign w:val="top"/>
          </w:tcPr>
          <w:p w14:paraId="1E754114">
            <w:pPr>
              <w:rPr>
                <w:rFonts w:ascii="Arial"/>
                <w:sz w:val="21"/>
              </w:rPr>
            </w:pPr>
          </w:p>
        </w:tc>
        <w:tc>
          <w:tcPr>
            <w:tcW w:w="3401" w:type="dxa"/>
            <w:vAlign w:val="top"/>
          </w:tcPr>
          <w:p w14:paraId="77E7106F">
            <w:pPr>
              <w:pStyle w:val="6"/>
              <w:spacing w:before="64" w:line="220" w:lineRule="auto"/>
              <w:ind w:left="11"/>
            </w:pPr>
            <w:r>
              <w:rPr>
                <w:rFonts w:ascii="宋体" w:hAnsi="宋体" w:eastAsia="宋体" w:cs="宋体"/>
                <w:spacing w:val="-2"/>
              </w:rPr>
              <w:t>分子式：</w:t>
            </w:r>
            <w:r>
              <w:rPr>
                <w:spacing w:val="-2"/>
              </w:rPr>
              <w:t>NaClO</w:t>
            </w:r>
          </w:p>
        </w:tc>
        <w:tc>
          <w:tcPr>
            <w:tcW w:w="3712" w:type="dxa"/>
            <w:vAlign w:val="top"/>
          </w:tcPr>
          <w:p w14:paraId="3AF38175">
            <w:pPr>
              <w:pStyle w:val="6"/>
              <w:spacing w:before="63" w:line="220" w:lineRule="auto"/>
              <w:ind w:left="3"/>
            </w:pPr>
            <w:r>
              <w:rPr>
                <w:spacing w:val="-1"/>
              </w:rPr>
              <w:t xml:space="preserve">UN </w:t>
            </w:r>
            <w:r>
              <w:rPr>
                <w:rFonts w:ascii="宋体" w:hAnsi="宋体" w:eastAsia="宋体" w:cs="宋体"/>
                <w:spacing w:val="-1"/>
              </w:rPr>
              <w:t>编号：</w:t>
            </w:r>
            <w:r>
              <w:rPr>
                <w:spacing w:val="-1"/>
              </w:rPr>
              <w:t>1791</w:t>
            </w:r>
          </w:p>
        </w:tc>
      </w:tr>
      <w:tr w14:paraId="04DC2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7" w:type="dxa"/>
            <w:vMerge w:val="continue"/>
            <w:tcBorders>
              <w:top w:val="nil"/>
            </w:tcBorders>
            <w:vAlign w:val="top"/>
          </w:tcPr>
          <w:p w14:paraId="02CA784E">
            <w:pPr>
              <w:rPr>
                <w:rFonts w:ascii="Arial"/>
                <w:sz w:val="21"/>
              </w:rPr>
            </w:pPr>
          </w:p>
        </w:tc>
        <w:tc>
          <w:tcPr>
            <w:tcW w:w="3401" w:type="dxa"/>
            <w:vAlign w:val="top"/>
          </w:tcPr>
          <w:p w14:paraId="748AC7BE">
            <w:pPr>
              <w:spacing w:before="64" w:line="220" w:lineRule="auto"/>
              <w:ind w:left="11"/>
              <w:rPr>
                <w:rFonts w:ascii="宋体" w:hAnsi="宋体" w:eastAsia="宋体" w:cs="宋体"/>
                <w:sz w:val="21"/>
                <w:szCs w:val="21"/>
              </w:rPr>
            </w:pPr>
            <w:r>
              <w:rPr>
                <w:rFonts w:ascii="宋体" w:hAnsi="宋体" w:eastAsia="宋体" w:cs="宋体"/>
                <w:spacing w:val="-2"/>
                <w:sz w:val="21"/>
                <w:szCs w:val="21"/>
              </w:rPr>
              <w:t>危险品类别：腐蚀品</w:t>
            </w:r>
          </w:p>
        </w:tc>
        <w:tc>
          <w:tcPr>
            <w:tcW w:w="3712" w:type="dxa"/>
            <w:vAlign w:val="top"/>
          </w:tcPr>
          <w:p w14:paraId="3A17B7FD">
            <w:pPr>
              <w:pStyle w:val="6"/>
              <w:spacing w:before="64" w:line="220" w:lineRule="auto"/>
              <w:ind w:left="14"/>
            </w:pPr>
            <w:r>
              <w:rPr>
                <w:rFonts w:ascii="宋体" w:hAnsi="宋体" w:eastAsia="宋体" w:cs="宋体"/>
                <w:spacing w:val="-1"/>
              </w:rPr>
              <w:t>危险废物编号：</w:t>
            </w:r>
            <w:r>
              <w:rPr>
                <w:spacing w:val="-1"/>
              </w:rPr>
              <w:t>83501</w:t>
            </w:r>
          </w:p>
        </w:tc>
      </w:tr>
      <w:tr w14:paraId="6353D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7" w:type="dxa"/>
            <w:vMerge w:val="restart"/>
            <w:tcBorders>
              <w:bottom w:val="nil"/>
            </w:tcBorders>
            <w:vAlign w:val="top"/>
          </w:tcPr>
          <w:p w14:paraId="2C535061">
            <w:pPr>
              <w:spacing w:line="345" w:lineRule="auto"/>
              <w:rPr>
                <w:rFonts w:ascii="Arial"/>
                <w:sz w:val="21"/>
              </w:rPr>
            </w:pPr>
          </w:p>
          <w:p w14:paraId="405544DE">
            <w:pPr>
              <w:spacing w:before="68" w:line="220" w:lineRule="auto"/>
              <w:ind w:left="191"/>
              <w:rPr>
                <w:rFonts w:ascii="宋体" w:hAnsi="宋体" w:eastAsia="宋体" w:cs="宋体"/>
                <w:sz w:val="21"/>
                <w:szCs w:val="21"/>
              </w:rPr>
            </w:pPr>
            <w:r>
              <w:rPr>
                <w:rFonts w:ascii="宋体" w:hAnsi="宋体" w:eastAsia="宋体" w:cs="宋体"/>
                <w:spacing w:val="-3"/>
                <w:sz w:val="21"/>
                <w:szCs w:val="21"/>
              </w:rPr>
              <w:t>理化性质</w:t>
            </w:r>
          </w:p>
        </w:tc>
        <w:tc>
          <w:tcPr>
            <w:tcW w:w="7113" w:type="dxa"/>
            <w:gridSpan w:val="2"/>
            <w:vAlign w:val="top"/>
          </w:tcPr>
          <w:p w14:paraId="7E35F510">
            <w:pPr>
              <w:spacing w:before="64" w:line="220" w:lineRule="auto"/>
              <w:ind w:left="11"/>
              <w:rPr>
                <w:rFonts w:ascii="宋体" w:hAnsi="宋体" w:eastAsia="宋体" w:cs="宋体"/>
                <w:sz w:val="21"/>
                <w:szCs w:val="21"/>
              </w:rPr>
            </w:pPr>
            <w:r>
              <w:rPr>
                <w:rFonts w:ascii="宋体" w:hAnsi="宋体" w:eastAsia="宋体" w:cs="宋体"/>
                <w:spacing w:val="-1"/>
                <w:sz w:val="21"/>
                <w:szCs w:val="21"/>
              </w:rPr>
              <w:t>性状：或白色粉末，有似氯气的气味。溶于水呈微黄色水溶液</w:t>
            </w:r>
          </w:p>
        </w:tc>
      </w:tr>
      <w:tr w14:paraId="51EE6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07" w:type="dxa"/>
            <w:vMerge w:val="continue"/>
            <w:tcBorders>
              <w:top w:val="nil"/>
              <w:bottom w:val="nil"/>
            </w:tcBorders>
            <w:vAlign w:val="top"/>
          </w:tcPr>
          <w:p w14:paraId="22596F7D">
            <w:pPr>
              <w:rPr>
                <w:rFonts w:ascii="Arial"/>
                <w:sz w:val="21"/>
              </w:rPr>
            </w:pPr>
          </w:p>
        </w:tc>
        <w:tc>
          <w:tcPr>
            <w:tcW w:w="3401" w:type="dxa"/>
            <w:vAlign w:val="top"/>
          </w:tcPr>
          <w:p w14:paraId="469824A6">
            <w:pPr>
              <w:pStyle w:val="6"/>
              <w:spacing w:before="65" w:line="220" w:lineRule="auto"/>
              <w:ind w:left="10"/>
            </w:pPr>
            <w:r>
              <w:rPr>
                <w:rFonts w:ascii="宋体" w:hAnsi="宋体" w:eastAsia="宋体" w:cs="宋体"/>
                <w:spacing w:val="11"/>
              </w:rPr>
              <w:t>熔点(</w:t>
            </w:r>
            <w:r>
              <w:rPr>
                <w:spacing w:val="11"/>
              </w:rPr>
              <w:t>℃</w:t>
            </w:r>
            <w:r>
              <w:rPr>
                <w:rFonts w:ascii="宋体" w:hAnsi="宋体" w:eastAsia="宋体" w:cs="宋体"/>
                <w:spacing w:val="11"/>
              </w:rPr>
              <w:t xml:space="preserve">)： </w:t>
            </w:r>
            <w:r>
              <w:rPr>
                <w:spacing w:val="11"/>
              </w:rPr>
              <w:t>-6</w:t>
            </w:r>
          </w:p>
        </w:tc>
        <w:tc>
          <w:tcPr>
            <w:tcW w:w="3712" w:type="dxa"/>
            <w:vAlign w:val="top"/>
          </w:tcPr>
          <w:p w14:paraId="29345284">
            <w:pPr>
              <w:spacing w:before="64" w:line="220" w:lineRule="auto"/>
              <w:ind w:left="12"/>
              <w:rPr>
                <w:rFonts w:ascii="宋体" w:hAnsi="宋体" w:eastAsia="宋体" w:cs="宋体"/>
                <w:sz w:val="21"/>
                <w:szCs w:val="21"/>
              </w:rPr>
            </w:pPr>
            <w:r>
              <w:rPr>
                <w:rFonts w:ascii="宋体" w:hAnsi="宋体" w:eastAsia="宋体" w:cs="宋体"/>
                <w:spacing w:val="-1"/>
                <w:sz w:val="21"/>
                <w:szCs w:val="21"/>
              </w:rPr>
              <w:t>稳定性：不稳定，见光分解</w:t>
            </w:r>
          </w:p>
        </w:tc>
      </w:tr>
      <w:tr w14:paraId="550A3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7" w:type="dxa"/>
            <w:vMerge w:val="continue"/>
            <w:tcBorders>
              <w:top w:val="nil"/>
            </w:tcBorders>
            <w:vAlign w:val="top"/>
          </w:tcPr>
          <w:p w14:paraId="35EFDD09">
            <w:pPr>
              <w:rPr>
                <w:rFonts w:ascii="Arial"/>
                <w:sz w:val="21"/>
              </w:rPr>
            </w:pPr>
          </w:p>
        </w:tc>
        <w:tc>
          <w:tcPr>
            <w:tcW w:w="3401" w:type="dxa"/>
            <w:vAlign w:val="top"/>
          </w:tcPr>
          <w:p w14:paraId="0C8CED5F">
            <w:pPr>
              <w:pStyle w:val="6"/>
              <w:spacing w:before="65" w:line="221" w:lineRule="auto"/>
              <w:ind w:left="10"/>
            </w:pPr>
            <w:r>
              <w:rPr>
                <w:rFonts w:ascii="宋体" w:hAnsi="宋体" w:eastAsia="宋体" w:cs="宋体"/>
                <w:spacing w:val="6"/>
              </w:rPr>
              <w:t>沸点(</w:t>
            </w:r>
            <w:r>
              <w:rPr>
                <w:spacing w:val="6"/>
              </w:rPr>
              <w:t>℃</w:t>
            </w:r>
            <w:r>
              <w:rPr>
                <w:rFonts w:ascii="宋体" w:hAnsi="宋体" w:eastAsia="宋体" w:cs="宋体"/>
                <w:spacing w:val="6"/>
              </w:rPr>
              <w:t>)：</w:t>
            </w:r>
            <w:r>
              <w:rPr>
                <w:rFonts w:ascii="宋体" w:hAnsi="宋体" w:eastAsia="宋体" w:cs="宋体"/>
                <w:spacing w:val="29"/>
              </w:rPr>
              <w:t xml:space="preserve"> </w:t>
            </w:r>
            <w:r>
              <w:rPr>
                <w:spacing w:val="6"/>
              </w:rPr>
              <w:t>102.2</w:t>
            </w:r>
          </w:p>
        </w:tc>
        <w:tc>
          <w:tcPr>
            <w:tcW w:w="3712" w:type="dxa"/>
            <w:vAlign w:val="top"/>
          </w:tcPr>
          <w:p w14:paraId="396FFB2F">
            <w:pPr>
              <w:pStyle w:val="6"/>
              <w:spacing w:before="65" w:line="220" w:lineRule="auto"/>
              <w:ind w:left="11"/>
            </w:pPr>
            <w:r>
              <w:rPr>
                <w:rFonts w:ascii="宋体" w:hAnsi="宋体" w:eastAsia="宋体" w:cs="宋体"/>
                <w:spacing w:val="-3"/>
              </w:rPr>
              <w:t>相对密度</w:t>
            </w:r>
            <w:r>
              <w:rPr>
                <w:rFonts w:ascii="宋体" w:hAnsi="宋体" w:eastAsia="宋体" w:cs="宋体"/>
                <w:spacing w:val="5"/>
              </w:rPr>
              <w:t>：（</w:t>
            </w:r>
            <w:r>
              <w:rPr>
                <w:rFonts w:ascii="宋体" w:hAnsi="宋体" w:eastAsia="宋体" w:cs="宋体"/>
                <w:spacing w:val="-3"/>
              </w:rPr>
              <w:t>水</w:t>
            </w:r>
            <w:r>
              <w:rPr>
                <w:spacing w:val="-3"/>
              </w:rPr>
              <w:t>=1</w:t>
            </w:r>
            <w:r>
              <w:rPr>
                <w:rFonts w:ascii="宋体" w:hAnsi="宋体" w:eastAsia="宋体" w:cs="宋体"/>
                <w:spacing w:val="5"/>
              </w:rPr>
              <w:t>）：</w:t>
            </w:r>
            <w:r>
              <w:rPr>
                <w:spacing w:val="-3"/>
              </w:rPr>
              <w:t>1.20</w:t>
            </w:r>
          </w:p>
        </w:tc>
      </w:tr>
      <w:tr w14:paraId="4A8E2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07" w:type="dxa"/>
            <w:vAlign w:val="top"/>
          </w:tcPr>
          <w:p w14:paraId="6C541720">
            <w:pPr>
              <w:spacing w:before="207" w:line="220" w:lineRule="auto"/>
              <w:ind w:left="189"/>
              <w:rPr>
                <w:rFonts w:ascii="宋体" w:hAnsi="宋体" w:eastAsia="宋体" w:cs="宋体"/>
                <w:sz w:val="21"/>
                <w:szCs w:val="21"/>
              </w:rPr>
            </w:pPr>
            <w:r>
              <w:rPr>
                <w:rFonts w:ascii="宋体" w:hAnsi="宋体" w:eastAsia="宋体" w:cs="宋体"/>
                <w:spacing w:val="-2"/>
                <w:sz w:val="21"/>
                <w:szCs w:val="21"/>
              </w:rPr>
              <w:t>健康危害</w:t>
            </w:r>
          </w:p>
        </w:tc>
        <w:tc>
          <w:tcPr>
            <w:tcW w:w="7113" w:type="dxa"/>
            <w:gridSpan w:val="2"/>
            <w:vAlign w:val="top"/>
          </w:tcPr>
          <w:p w14:paraId="72A02B2C">
            <w:pPr>
              <w:spacing w:before="51" w:line="249" w:lineRule="auto"/>
              <w:ind w:left="10" w:right="5"/>
              <w:rPr>
                <w:rFonts w:ascii="宋体" w:hAnsi="宋体" w:eastAsia="宋体" w:cs="宋体"/>
                <w:sz w:val="21"/>
                <w:szCs w:val="21"/>
              </w:rPr>
            </w:pPr>
            <w:r>
              <w:rPr>
                <w:rFonts w:ascii="宋体" w:hAnsi="宋体" w:eastAsia="宋体" w:cs="宋体"/>
                <w:spacing w:val="-2"/>
                <w:sz w:val="21"/>
                <w:szCs w:val="21"/>
              </w:rPr>
              <w:t>经常用手接触本品的工人，手掌大量出汗，指甲变薄，毛发脱落。本品有致敏作用。本品与盐酸混合放出的氯气有可能引起中毒。</w:t>
            </w:r>
          </w:p>
        </w:tc>
      </w:tr>
      <w:tr w14:paraId="32320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1207" w:type="dxa"/>
            <w:vAlign w:val="top"/>
          </w:tcPr>
          <w:p w14:paraId="4325D304">
            <w:pPr>
              <w:spacing w:line="302" w:lineRule="auto"/>
              <w:rPr>
                <w:rFonts w:ascii="Arial"/>
                <w:sz w:val="21"/>
              </w:rPr>
            </w:pPr>
          </w:p>
          <w:p w14:paraId="3A6A76DB">
            <w:pPr>
              <w:spacing w:line="302" w:lineRule="auto"/>
              <w:rPr>
                <w:rFonts w:ascii="Arial"/>
                <w:sz w:val="21"/>
              </w:rPr>
            </w:pPr>
          </w:p>
          <w:p w14:paraId="20B136BC">
            <w:pPr>
              <w:spacing w:before="69" w:line="220" w:lineRule="auto"/>
              <w:ind w:left="195"/>
              <w:rPr>
                <w:rFonts w:ascii="宋体" w:hAnsi="宋体" w:eastAsia="宋体" w:cs="宋体"/>
                <w:sz w:val="21"/>
                <w:szCs w:val="21"/>
              </w:rPr>
            </w:pPr>
            <w:r>
              <w:rPr>
                <w:rFonts w:ascii="宋体" w:hAnsi="宋体" w:eastAsia="宋体" w:cs="宋体"/>
                <w:spacing w:val="-3"/>
                <w:sz w:val="21"/>
                <w:szCs w:val="21"/>
              </w:rPr>
              <w:t>急救措施</w:t>
            </w:r>
          </w:p>
        </w:tc>
        <w:tc>
          <w:tcPr>
            <w:tcW w:w="7113" w:type="dxa"/>
            <w:gridSpan w:val="2"/>
            <w:vAlign w:val="top"/>
          </w:tcPr>
          <w:p w14:paraId="1746797B">
            <w:pPr>
              <w:spacing w:before="52" w:line="220" w:lineRule="auto"/>
              <w:ind w:left="12"/>
              <w:rPr>
                <w:rFonts w:ascii="宋体" w:hAnsi="宋体" w:eastAsia="宋体" w:cs="宋体"/>
                <w:sz w:val="21"/>
                <w:szCs w:val="21"/>
              </w:rPr>
            </w:pPr>
            <w:r>
              <w:rPr>
                <w:rFonts w:ascii="宋体" w:hAnsi="宋体" w:eastAsia="宋体" w:cs="宋体"/>
                <w:spacing w:val="-2"/>
                <w:sz w:val="21"/>
                <w:szCs w:val="21"/>
              </w:rPr>
              <w:t>皮肤接触：脱去污染的衣着，用大量流动清水冲洗。</w:t>
            </w:r>
          </w:p>
          <w:p w14:paraId="1DFF9CF8">
            <w:pPr>
              <w:spacing w:before="62" w:line="219" w:lineRule="auto"/>
              <w:ind w:left="22"/>
              <w:rPr>
                <w:rFonts w:ascii="宋体" w:hAnsi="宋体" w:eastAsia="宋体" w:cs="宋体"/>
                <w:sz w:val="21"/>
                <w:szCs w:val="21"/>
              </w:rPr>
            </w:pPr>
            <w:r>
              <w:rPr>
                <w:rFonts w:ascii="宋体" w:hAnsi="宋体" w:eastAsia="宋体" w:cs="宋体"/>
                <w:spacing w:val="-2"/>
                <w:sz w:val="21"/>
                <w:szCs w:val="21"/>
              </w:rPr>
              <w:t>眼睛接触：提起眼睑，用流动清水或生理盐水冲洗。就医。</w:t>
            </w:r>
          </w:p>
          <w:p w14:paraId="0C948BF5">
            <w:pPr>
              <w:spacing w:before="63" w:line="274" w:lineRule="auto"/>
              <w:ind w:left="12" w:firstLine="4"/>
              <w:rPr>
                <w:rFonts w:ascii="宋体" w:hAnsi="宋体" w:eastAsia="宋体" w:cs="宋体"/>
                <w:sz w:val="21"/>
                <w:szCs w:val="21"/>
              </w:rPr>
            </w:pPr>
            <w:r>
              <w:rPr>
                <w:rFonts w:ascii="宋体" w:hAnsi="宋体" w:eastAsia="宋体" w:cs="宋体"/>
                <w:spacing w:val="-2"/>
                <w:sz w:val="21"/>
                <w:szCs w:val="21"/>
              </w:rPr>
              <w:t>吸入：迅速脱离现场至空气新鲜处。保持呼吸道通畅。如呼吸困难，给输氧。</w:t>
            </w:r>
            <w:r>
              <w:rPr>
                <w:rFonts w:ascii="宋体" w:hAnsi="宋体" w:eastAsia="宋体" w:cs="宋体"/>
                <w:spacing w:val="-3"/>
                <w:sz w:val="21"/>
                <w:szCs w:val="21"/>
              </w:rPr>
              <w:t>如呼吸停止，立即进行人工呼吸，就医。</w:t>
            </w:r>
          </w:p>
          <w:p w14:paraId="4128BF1F">
            <w:pPr>
              <w:spacing w:line="219" w:lineRule="auto"/>
              <w:ind w:left="9"/>
              <w:rPr>
                <w:rFonts w:ascii="宋体" w:hAnsi="宋体" w:eastAsia="宋体" w:cs="宋体"/>
                <w:sz w:val="21"/>
                <w:szCs w:val="21"/>
              </w:rPr>
            </w:pPr>
            <w:r>
              <w:rPr>
                <w:rFonts w:ascii="宋体" w:hAnsi="宋体" w:eastAsia="宋体" w:cs="宋体"/>
                <w:spacing w:val="-3"/>
                <w:sz w:val="21"/>
                <w:szCs w:val="21"/>
              </w:rPr>
              <w:t>食入：饮足量温水，禁止催吐。就医。</w:t>
            </w:r>
          </w:p>
        </w:tc>
      </w:tr>
      <w:tr w14:paraId="3E3B4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1207" w:type="dxa"/>
            <w:vAlign w:val="top"/>
          </w:tcPr>
          <w:p w14:paraId="100F952C">
            <w:pPr>
              <w:spacing w:line="305" w:lineRule="auto"/>
              <w:rPr>
                <w:rFonts w:ascii="Arial"/>
                <w:sz w:val="21"/>
              </w:rPr>
            </w:pPr>
          </w:p>
          <w:p w14:paraId="4B229DB8">
            <w:pPr>
              <w:spacing w:line="305" w:lineRule="auto"/>
              <w:rPr>
                <w:rFonts w:ascii="Arial"/>
                <w:sz w:val="21"/>
              </w:rPr>
            </w:pPr>
          </w:p>
          <w:p w14:paraId="06804299">
            <w:pPr>
              <w:spacing w:line="305" w:lineRule="auto"/>
              <w:rPr>
                <w:rFonts w:ascii="Arial"/>
                <w:sz w:val="21"/>
              </w:rPr>
            </w:pPr>
          </w:p>
          <w:p w14:paraId="3235DAA9">
            <w:pPr>
              <w:spacing w:before="68" w:line="220" w:lineRule="auto"/>
              <w:ind w:left="202"/>
              <w:rPr>
                <w:rFonts w:ascii="宋体" w:hAnsi="宋体" w:eastAsia="宋体" w:cs="宋体"/>
                <w:sz w:val="21"/>
                <w:szCs w:val="21"/>
              </w:rPr>
            </w:pPr>
            <w:r>
              <w:rPr>
                <w:rFonts w:ascii="宋体" w:hAnsi="宋体" w:eastAsia="宋体" w:cs="宋体"/>
                <w:spacing w:val="-5"/>
                <w:sz w:val="21"/>
                <w:szCs w:val="21"/>
              </w:rPr>
              <w:t>防护措施</w:t>
            </w:r>
          </w:p>
        </w:tc>
        <w:tc>
          <w:tcPr>
            <w:tcW w:w="7113" w:type="dxa"/>
            <w:gridSpan w:val="2"/>
            <w:vAlign w:val="top"/>
          </w:tcPr>
          <w:p w14:paraId="6186C2CE">
            <w:pPr>
              <w:spacing w:before="53" w:line="218" w:lineRule="auto"/>
              <w:ind w:left="11"/>
              <w:rPr>
                <w:rFonts w:ascii="宋体" w:hAnsi="宋体" w:eastAsia="宋体" w:cs="宋体"/>
                <w:sz w:val="21"/>
                <w:szCs w:val="21"/>
              </w:rPr>
            </w:pPr>
            <w:r>
              <w:rPr>
                <w:rFonts w:ascii="宋体" w:hAnsi="宋体" w:eastAsia="宋体" w:cs="宋体"/>
                <w:spacing w:val="-2"/>
                <w:sz w:val="21"/>
                <w:szCs w:val="21"/>
              </w:rPr>
              <w:t>工程控制：生产过程密闭，全面通风。提供安全淋浴和洗眼设备。</w:t>
            </w:r>
          </w:p>
          <w:p w14:paraId="533DC256">
            <w:pPr>
              <w:spacing w:before="63" w:line="220" w:lineRule="auto"/>
              <w:ind w:left="20"/>
              <w:rPr>
                <w:rFonts w:ascii="宋体" w:hAnsi="宋体" w:eastAsia="宋体" w:cs="宋体"/>
                <w:sz w:val="21"/>
                <w:szCs w:val="21"/>
              </w:rPr>
            </w:pPr>
            <w:r>
              <w:rPr>
                <w:rFonts w:ascii="宋体" w:hAnsi="宋体" w:eastAsia="宋体" w:cs="宋体"/>
                <w:spacing w:val="-3"/>
                <w:sz w:val="21"/>
                <w:szCs w:val="21"/>
              </w:rPr>
              <w:t>呼吸系统防护：高浓度环境中，应该佩戴直接式防毒面具（半</w:t>
            </w:r>
            <w:r>
              <w:rPr>
                <w:rFonts w:ascii="宋体" w:hAnsi="宋体" w:eastAsia="宋体" w:cs="宋体"/>
                <w:spacing w:val="-4"/>
                <w:sz w:val="21"/>
                <w:szCs w:val="21"/>
              </w:rPr>
              <w:t>面罩）。</w:t>
            </w:r>
          </w:p>
          <w:p w14:paraId="310F34AC">
            <w:pPr>
              <w:spacing w:before="62" w:line="219" w:lineRule="auto"/>
              <w:ind w:left="22"/>
              <w:rPr>
                <w:rFonts w:ascii="宋体" w:hAnsi="宋体" w:eastAsia="宋体" w:cs="宋体"/>
                <w:sz w:val="21"/>
                <w:szCs w:val="21"/>
              </w:rPr>
            </w:pPr>
            <w:r>
              <w:rPr>
                <w:rFonts w:ascii="宋体" w:hAnsi="宋体" w:eastAsia="宋体" w:cs="宋体"/>
                <w:spacing w:val="-4"/>
                <w:sz w:val="21"/>
                <w:szCs w:val="21"/>
              </w:rPr>
              <w:t>眼睛防护：戴化学安全防护眼镜。</w:t>
            </w:r>
          </w:p>
          <w:p w14:paraId="1D5511EF">
            <w:pPr>
              <w:spacing w:before="62" w:line="220" w:lineRule="auto"/>
              <w:ind w:left="15"/>
              <w:rPr>
                <w:rFonts w:ascii="宋体" w:hAnsi="宋体" w:eastAsia="宋体" w:cs="宋体"/>
                <w:sz w:val="21"/>
                <w:szCs w:val="21"/>
              </w:rPr>
            </w:pPr>
            <w:r>
              <w:rPr>
                <w:rFonts w:ascii="宋体" w:hAnsi="宋体" w:eastAsia="宋体" w:cs="宋体"/>
                <w:spacing w:val="-4"/>
                <w:sz w:val="21"/>
                <w:szCs w:val="21"/>
              </w:rPr>
              <w:t>身体防护：穿防腐工作服。</w:t>
            </w:r>
          </w:p>
          <w:p w14:paraId="595A752F">
            <w:pPr>
              <w:spacing w:before="61" w:line="220" w:lineRule="auto"/>
              <w:ind w:left="9"/>
              <w:rPr>
                <w:rFonts w:ascii="宋体" w:hAnsi="宋体" w:eastAsia="宋体" w:cs="宋体"/>
                <w:sz w:val="21"/>
                <w:szCs w:val="21"/>
              </w:rPr>
            </w:pPr>
            <w:r>
              <w:rPr>
                <w:rFonts w:ascii="宋体" w:hAnsi="宋体" w:eastAsia="宋体" w:cs="宋体"/>
                <w:spacing w:val="-4"/>
                <w:sz w:val="21"/>
                <w:szCs w:val="21"/>
              </w:rPr>
              <w:t>手防护：戴橡胶手套。</w:t>
            </w:r>
          </w:p>
          <w:p w14:paraId="445D5A0E">
            <w:pPr>
              <w:spacing w:before="62" w:line="248" w:lineRule="auto"/>
              <w:ind w:left="9" w:right="3"/>
              <w:rPr>
                <w:rFonts w:ascii="宋体" w:hAnsi="宋体" w:eastAsia="宋体" w:cs="宋体"/>
                <w:sz w:val="21"/>
                <w:szCs w:val="21"/>
              </w:rPr>
            </w:pPr>
            <w:r>
              <w:rPr>
                <w:rFonts w:ascii="宋体" w:hAnsi="宋体" w:eastAsia="宋体" w:cs="宋体"/>
                <w:spacing w:val="-6"/>
                <w:sz w:val="21"/>
                <w:szCs w:val="21"/>
              </w:rPr>
              <w:t>其他防护：工作现场禁止吸烟、进食和饮水。工作完毕，</w:t>
            </w:r>
            <w:r>
              <w:rPr>
                <w:rFonts w:ascii="宋体" w:hAnsi="宋体" w:eastAsia="宋体" w:cs="宋体"/>
                <w:spacing w:val="51"/>
                <w:sz w:val="21"/>
                <w:szCs w:val="21"/>
              </w:rPr>
              <w:t xml:space="preserve"> </w:t>
            </w:r>
            <w:r>
              <w:rPr>
                <w:rFonts w:ascii="宋体" w:hAnsi="宋体" w:eastAsia="宋体" w:cs="宋体"/>
                <w:spacing w:val="-6"/>
                <w:sz w:val="21"/>
                <w:szCs w:val="21"/>
              </w:rPr>
              <w:t>淋浴更衣。注意个人</w:t>
            </w:r>
            <w:r>
              <w:rPr>
                <w:rFonts w:ascii="宋体" w:hAnsi="宋体" w:eastAsia="宋体" w:cs="宋体"/>
                <w:spacing w:val="-7"/>
                <w:sz w:val="21"/>
                <w:szCs w:val="21"/>
              </w:rPr>
              <w:t>清洁卫生。</w:t>
            </w:r>
          </w:p>
        </w:tc>
      </w:tr>
      <w:tr w14:paraId="3F150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207" w:type="dxa"/>
            <w:vAlign w:val="top"/>
          </w:tcPr>
          <w:p w14:paraId="66A63983">
            <w:pPr>
              <w:spacing w:line="296" w:lineRule="auto"/>
              <w:rPr>
                <w:rFonts w:ascii="Arial"/>
                <w:sz w:val="21"/>
              </w:rPr>
            </w:pPr>
          </w:p>
          <w:p w14:paraId="20325559">
            <w:pPr>
              <w:spacing w:before="68" w:line="221" w:lineRule="auto"/>
              <w:ind w:left="192"/>
              <w:rPr>
                <w:rFonts w:ascii="宋体" w:hAnsi="宋体" w:eastAsia="宋体" w:cs="宋体"/>
                <w:sz w:val="21"/>
                <w:szCs w:val="21"/>
              </w:rPr>
            </w:pPr>
            <w:r>
              <w:rPr>
                <w:rFonts w:ascii="宋体" w:hAnsi="宋体" w:eastAsia="宋体" w:cs="宋体"/>
                <w:spacing w:val="-3"/>
                <w:sz w:val="21"/>
                <w:szCs w:val="21"/>
              </w:rPr>
              <w:t>泄漏处理</w:t>
            </w:r>
          </w:p>
        </w:tc>
        <w:tc>
          <w:tcPr>
            <w:tcW w:w="7113" w:type="dxa"/>
            <w:gridSpan w:val="2"/>
            <w:vAlign w:val="top"/>
          </w:tcPr>
          <w:p w14:paraId="65A070D9">
            <w:pPr>
              <w:spacing w:before="55" w:line="258" w:lineRule="auto"/>
              <w:ind w:left="9"/>
              <w:jc w:val="both"/>
              <w:rPr>
                <w:rFonts w:ascii="宋体" w:hAnsi="宋体" w:eastAsia="宋体" w:cs="宋体"/>
                <w:sz w:val="21"/>
                <w:szCs w:val="21"/>
              </w:rPr>
            </w:pPr>
            <w:r>
              <w:rPr>
                <w:rFonts w:ascii="宋体" w:hAnsi="宋体" w:eastAsia="宋体" w:cs="宋体"/>
                <w:spacing w:val="-1"/>
                <w:sz w:val="21"/>
                <w:szCs w:val="21"/>
              </w:rPr>
              <w:t>应急处理：迅速撤离泄漏污染区人员至安全区，并进行隔</w:t>
            </w:r>
            <w:r>
              <w:rPr>
                <w:rFonts w:ascii="宋体" w:hAnsi="宋体" w:eastAsia="宋体" w:cs="宋体"/>
                <w:spacing w:val="-2"/>
                <w:sz w:val="21"/>
                <w:szCs w:val="21"/>
              </w:rPr>
              <w:t>离，严格限制出入。建议应急处理人员戴自给正压式呼吸器，穿防酸碱工作服。不要直接接触泄漏</w:t>
            </w:r>
            <w:r>
              <w:rPr>
                <w:rFonts w:ascii="宋体" w:hAnsi="宋体" w:eastAsia="宋体" w:cs="宋体"/>
                <w:spacing w:val="-4"/>
                <w:sz w:val="21"/>
                <w:szCs w:val="21"/>
              </w:rPr>
              <w:t>物。尽可能切断泄漏源。</w:t>
            </w:r>
          </w:p>
        </w:tc>
      </w:tr>
    </w:tbl>
    <w:p w14:paraId="7E5EE032">
      <w:pPr>
        <w:pStyle w:val="2"/>
      </w:pPr>
    </w:p>
    <w:p w14:paraId="5450B657">
      <w:pPr>
        <w:sectPr>
          <w:headerReference r:id="rId410" w:type="default"/>
          <w:footerReference r:id="rId411" w:type="default"/>
          <w:pgSz w:w="11905" w:h="16840"/>
          <w:pgMar w:top="1168" w:right="1768" w:bottom="1409" w:left="1770" w:header="828" w:footer="1244" w:gutter="0"/>
          <w:cols w:space="720" w:num="1"/>
        </w:sectPr>
      </w:pPr>
    </w:p>
    <w:p w14:paraId="1D166AEE">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7113"/>
      </w:tblGrid>
      <w:tr w14:paraId="02B6F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207" w:type="dxa"/>
            <w:vAlign w:val="top"/>
          </w:tcPr>
          <w:p w14:paraId="5FBA18FD">
            <w:pPr>
              <w:rPr>
                <w:rFonts w:ascii="Arial"/>
                <w:sz w:val="21"/>
              </w:rPr>
            </w:pPr>
          </w:p>
        </w:tc>
        <w:tc>
          <w:tcPr>
            <w:tcW w:w="7113" w:type="dxa"/>
            <w:vAlign w:val="top"/>
          </w:tcPr>
          <w:p w14:paraId="2ACBAA32">
            <w:pPr>
              <w:spacing w:before="54" w:line="219" w:lineRule="auto"/>
              <w:ind w:left="15"/>
              <w:rPr>
                <w:rFonts w:ascii="宋体" w:hAnsi="宋体" w:eastAsia="宋体" w:cs="宋体"/>
                <w:sz w:val="21"/>
                <w:szCs w:val="21"/>
              </w:rPr>
            </w:pPr>
            <w:r>
              <w:rPr>
                <w:rFonts w:ascii="宋体" w:hAnsi="宋体" w:eastAsia="宋体" w:cs="宋体"/>
                <w:spacing w:val="-2"/>
                <w:sz w:val="21"/>
                <w:szCs w:val="21"/>
              </w:rPr>
              <w:t>小量泄漏：用砂土、蛭石或其它惰性材料吸</w:t>
            </w:r>
            <w:r>
              <w:rPr>
                <w:rFonts w:ascii="宋体" w:hAnsi="宋体" w:eastAsia="宋体" w:cs="宋体"/>
                <w:spacing w:val="-3"/>
                <w:sz w:val="21"/>
                <w:szCs w:val="21"/>
              </w:rPr>
              <w:t>收。</w:t>
            </w:r>
          </w:p>
          <w:p w14:paraId="450C43EB">
            <w:pPr>
              <w:spacing w:before="64" w:line="249" w:lineRule="auto"/>
              <w:ind w:left="11" w:right="5"/>
              <w:rPr>
                <w:rFonts w:ascii="宋体" w:hAnsi="宋体" w:eastAsia="宋体" w:cs="宋体"/>
                <w:sz w:val="21"/>
                <w:szCs w:val="21"/>
              </w:rPr>
            </w:pPr>
            <w:r>
              <w:rPr>
                <w:rFonts w:ascii="宋体" w:hAnsi="宋体" w:eastAsia="宋体" w:cs="宋体"/>
                <w:spacing w:val="-6"/>
                <w:sz w:val="21"/>
                <w:szCs w:val="21"/>
              </w:rPr>
              <w:t>大量泄漏：构筑围堤或挖坑收容。用泡沫覆盖，</w:t>
            </w:r>
            <w:r>
              <w:rPr>
                <w:rFonts w:ascii="宋体" w:hAnsi="宋体" w:eastAsia="宋体" w:cs="宋体"/>
                <w:spacing w:val="61"/>
                <w:sz w:val="21"/>
                <w:szCs w:val="21"/>
              </w:rPr>
              <w:t xml:space="preserve"> </w:t>
            </w:r>
            <w:r>
              <w:rPr>
                <w:rFonts w:ascii="宋体" w:hAnsi="宋体" w:eastAsia="宋体" w:cs="宋体"/>
                <w:spacing w:val="-7"/>
                <w:sz w:val="21"/>
                <w:szCs w:val="21"/>
              </w:rPr>
              <w:t>降低蒸气灾害。用泵转移至槽</w:t>
            </w:r>
            <w:r>
              <w:rPr>
                <w:rFonts w:ascii="宋体" w:hAnsi="宋体" w:eastAsia="宋体" w:cs="宋体"/>
                <w:spacing w:val="-2"/>
                <w:sz w:val="21"/>
                <w:szCs w:val="21"/>
              </w:rPr>
              <w:t>车或专用收集器内，回收或运至废物处理场所处置。</w:t>
            </w:r>
          </w:p>
        </w:tc>
      </w:tr>
      <w:tr w14:paraId="3B8F6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trPr>
        <w:tc>
          <w:tcPr>
            <w:tcW w:w="1207" w:type="dxa"/>
            <w:vAlign w:val="top"/>
          </w:tcPr>
          <w:p w14:paraId="24CD4428">
            <w:pPr>
              <w:spacing w:line="267" w:lineRule="auto"/>
              <w:rPr>
                <w:rFonts w:ascii="Arial"/>
                <w:sz w:val="21"/>
              </w:rPr>
            </w:pPr>
          </w:p>
          <w:p w14:paraId="1DA7EB54">
            <w:pPr>
              <w:spacing w:line="267" w:lineRule="auto"/>
              <w:rPr>
                <w:rFonts w:ascii="Arial"/>
                <w:sz w:val="21"/>
              </w:rPr>
            </w:pPr>
          </w:p>
          <w:p w14:paraId="3870575A">
            <w:pPr>
              <w:spacing w:line="267" w:lineRule="auto"/>
              <w:rPr>
                <w:rFonts w:ascii="Arial"/>
                <w:sz w:val="21"/>
              </w:rPr>
            </w:pPr>
          </w:p>
          <w:p w14:paraId="1DE17F29">
            <w:pPr>
              <w:spacing w:line="268" w:lineRule="auto"/>
              <w:rPr>
                <w:rFonts w:ascii="Arial"/>
                <w:sz w:val="21"/>
              </w:rPr>
            </w:pPr>
          </w:p>
          <w:p w14:paraId="2074927B">
            <w:pPr>
              <w:spacing w:before="68" w:line="220" w:lineRule="auto"/>
              <w:ind w:left="84"/>
              <w:rPr>
                <w:rFonts w:ascii="宋体" w:hAnsi="宋体" w:eastAsia="宋体" w:cs="宋体"/>
                <w:sz w:val="21"/>
                <w:szCs w:val="21"/>
              </w:rPr>
            </w:pPr>
            <w:r>
              <w:rPr>
                <w:rFonts w:ascii="宋体" w:hAnsi="宋体" w:eastAsia="宋体" w:cs="宋体"/>
                <w:spacing w:val="-2"/>
                <w:sz w:val="21"/>
                <w:szCs w:val="21"/>
              </w:rPr>
              <w:t>包装与运输</w:t>
            </w:r>
          </w:p>
        </w:tc>
        <w:tc>
          <w:tcPr>
            <w:tcW w:w="7113" w:type="dxa"/>
            <w:vAlign w:val="top"/>
          </w:tcPr>
          <w:p w14:paraId="6609C32A">
            <w:pPr>
              <w:spacing w:before="53" w:line="274" w:lineRule="auto"/>
              <w:ind w:left="12" w:hanging="3"/>
              <w:jc w:val="both"/>
              <w:rPr>
                <w:rFonts w:ascii="宋体" w:hAnsi="宋体" w:eastAsia="宋体" w:cs="宋体"/>
                <w:sz w:val="21"/>
                <w:szCs w:val="21"/>
              </w:rPr>
            </w:pPr>
            <w:r>
              <w:rPr>
                <w:rFonts w:ascii="宋体" w:hAnsi="宋体" w:eastAsia="宋体" w:cs="宋体"/>
                <w:spacing w:val="-1"/>
                <w:sz w:val="21"/>
                <w:szCs w:val="21"/>
              </w:rPr>
              <w:t>包装方法：耐酸坛或陶瓷瓶外普通木箱或半花格木箱；玻</w:t>
            </w:r>
            <w:r>
              <w:rPr>
                <w:rFonts w:ascii="宋体" w:hAnsi="宋体" w:eastAsia="宋体" w:cs="宋体"/>
                <w:spacing w:val="-2"/>
                <w:sz w:val="21"/>
                <w:szCs w:val="21"/>
              </w:rPr>
              <w:t>璃瓶或塑料桶（罐）</w:t>
            </w:r>
            <w:r>
              <w:rPr>
                <w:rFonts w:ascii="宋体" w:hAnsi="宋体" w:eastAsia="宋体" w:cs="宋体"/>
                <w:spacing w:val="-4"/>
                <w:sz w:val="21"/>
                <w:szCs w:val="21"/>
              </w:rPr>
              <w:t>外普通木箱或半花格木箱；磨砂口玻璃瓶或螺纹口玻璃瓶外普通木箱；螺纹口</w:t>
            </w:r>
            <w:r>
              <w:rPr>
                <w:rFonts w:ascii="宋体" w:hAnsi="宋体" w:eastAsia="宋体" w:cs="宋体"/>
                <w:spacing w:val="-7"/>
                <w:sz w:val="21"/>
                <w:szCs w:val="21"/>
              </w:rPr>
              <w:t>玻璃瓶、铁盖压口玻璃瓶、塑料瓶或金属桶（罐）外普</w:t>
            </w:r>
            <w:r>
              <w:rPr>
                <w:rFonts w:ascii="宋体" w:hAnsi="宋体" w:eastAsia="宋体" w:cs="宋体"/>
                <w:spacing w:val="-8"/>
                <w:sz w:val="21"/>
                <w:szCs w:val="21"/>
              </w:rPr>
              <w:t>通木箱；螺纹口玻璃瓶、</w:t>
            </w:r>
            <w:r>
              <w:rPr>
                <w:rFonts w:ascii="宋体" w:hAnsi="宋体" w:eastAsia="宋体" w:cs="宋体"/>
                <w:spacing w:val="-3"/>
                <w:sz w:val="21"/>
                <w:szCs w:val="21"/>
              </w:rPr>
              <w:t>塑料瓶或镀锡薄钢板桶（罐）外满底板花格箱、纤维</w:t>
            </w:r>
            <w:r>
              <w:rPr>
                <w:rFonts w:ascii="宋体" w:hAnsi="宋体" w:eastAsia="宋体" w:cs="宋体"/>
                <w:spacing w:val="-4"/>
                <w:sz w:val="21"/>
                <w:szCs w:val="21"/>
              </w:rPr>
              <w:t>板箱或胶合板箱。</w:t>
            </w:r>
          </w:p>
          <w:p w14:paraId="269F0FCD">
            <w:pPr>
              <w:spacing w:line="261" w:lineRule="auto"/>
              <w:ind w:left="9" w:right="4"/>
              <w:jc w:val="both"/>
              <w:rPr>
                <w:rFonts w:ascii="宋体" w:hAnsi="宋体" w:eastAsia="宋体" w:cs="宋体"/>
                <w:sz w:val="21"/>
                <w:szCs w:val="21"/>
              </w:rPr>
            </w:pPr>
            <w:r>
              <w:rPr>
                <w:rFonts w:ascii="宋体" w:hAnsi="宋体" w:eastAsia="宋体" w:cs="宋体"/>
                <w:spacing w:val="-1"/>
                <w:sz w:val="21"/>
                <w:szCs w:val="21"/>
              </w:rPr>
              <w:t>运输注意事项：起运时包装要完整，装载应</w:t>
            </w:r>
            <w:r>
              <w:rPr>
                <w:rFonts w:ascii="宋体" w:hAnsi="宋体" w:eastAsia="宋体" w:cs="宋体"/>
                <w:spacing w:val="-2"/>
                <w:sz w:val="21"/>
                <w:szCs w:val="21"/>
              </w:rPr>
              <w:t>稳妥。运输过程中要确保容器不泄</w:t>
            </w:r>
            <w:r>
              <w:rPr>
                <w:rFonts w:ascii="宋体" w:hAnsi="宋体" w:eastAsia="宋体" w:cs="宋体"/>
                <w:spacing w:val="-1"/>
                <w:sz w:val="21"/>
                <w:szCs w:val="21"/>
              </w:rPr>
              <w:t>漏、不倒塌、不坠落、不损坏。严禁与酸类、食</w:t>
            </w:r>
            <w:r>
              <w:rPr>
                <w:rFonts w:ascii="宋体" w:hAnsi="宋体" w:eastAsia="宋体" w:cs="宋体"/>
                <w:spacing w:val="-2"/>
                <w:sz w:val="21"/>
                <w:szCs w:val="21"/>
              </w:rPr>
              <w:t>用化学品等混装混运。运输时</w:t>
            </w:r>
            <w:r>
              <w:rPr>
                <w:rFonts w:ascii="宋体" w:hAnsi="宋体" w:eastAsia="宋体" w:cs="宋体"/>
                <w:spacing w:val="-6"/>
                <w:sz w:val="21"/>
                <w:szCs w:val="21"/>
              </w:rPr>
              <w:t>运输车辆应配备泄漏应急处理设备。运输途中应防曝晒、雨</w:t>
            </w:r>
            <w:r>
              <w:rPr>
                <w:rFonts w:ascii="宋体" w:hAnsi="宋体" w:eastAsia="宋体" w:cs="宋体"/>
                <w:spacing w:val="-7"/>
                <w:sz w:val="21"/>
                <w:szCs w:val="21"/>
              </w:rPr>
              <w:t>淋，</w:t>
            </w:r>
            <w:r>
              <w:rPr>
                <w:rFonts w:ascii="宋体" w:hAnsi="宋体" w:eastAsia="宋体" w:cs="宋体"/>
                <w:spacing w:val="59"/>
                <w:sz w:val="21"/>
                <w:szCs w:val="21"/>
              </w:rPr>
              <w:t xml:space="preserve"> </w:t>
            </w:r>
            <w:r>
              <w:rPr>
                <w:rFonts w:ascii="宋体" w:hAnsi="宋体" w:eastAsia="宋体" w:cs="宋体"/>
                <w:spacing w:val="-7"/>
                <w:sz w:val="21"/>
                <w:szCs w:val="21"/>
              </w:rPr>
              <w:t>防高温。公路</w:t>
            </w:r>
            <w:r>
              <w:rPr>
                <w:rFonts w:ascii="宋体" w:hAnsi="宋体" w:eastAsia="宋体" w:cs="宋体"/>
                <w:spacing w:val="-2"/>
                <w:sz w:val="21"/>
                <w:szCs w:val="21"/>
              </w:rPr>
              <w:t>运输时要按规定路线行驶，勿在居民区和人口稠密区停留。</w:t>
            </w:r>
          </w:p>
        </w:tc>
      </w:tr>
      <w:tr w14:paraId="4311D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07" w:type="dxa"/>
            <w:vAlign w:val="top"/>
          </w:tcPr>
          <w:p w14:paraId="676A17BE">
            <w:pPr>
              <w:spacing w:before="69" w:line="220" w:lineRule="auto"/>
              <w:ind w:left="189"/>
              <w:rPr>
                <w:rFonts w:ascii="宋体" w:hAnsi="宋体" w:eastAsia="宋体" w:cs="宋体"/>
                <w:sz w:val="21"/>
                <w:szCs w:val="21"/>
              </w:rPr>
            </w:pPr>
            <w:r>
              <w:rPr>
                <w:rFonts w:ascii="宋体" w:hAnsi="宋体" w:eastAsia="宋体" w:cs="宋体"/>
                <w:spacing w:val="-2"/>
                <w:sz w:val="21"/>
                <w:szCs w:val="21"/>
              </w:rPr>
              <w:t>环境影响</w:t>
            </w:r>
          </w:p>
        </w:tc>
        <w:tc>
          <w:tcPr>
            <w:tcW w:w="7113" w:type="dxa"/>
            <w:vAlign w:val="top"/>
          </w:tcPr>
          <w:p w14:paraId="344BB89D">
            <w:pPr>
              <w:spacing w:before="68" w:line="220" w:lineRule="auto"/>
              <w:ind w:left="11"/>
              <w:rPr>
                <w:rFonts w:ascii="宋体" w:hAnsi="宋体" w:eastAsia="宋体" w:cs="宋体"/>
                <w:sz w:val="21"/>
                <w:szCs w:val="21"/>
              </w:rPr>
            </w:pPr>
            <w:r>
              <w:rPr>
                <w:rFonts w:ascii="宋体" w:hAnsi="宋体" w:eastAsia="宋体" w:cs="宋体"/>
                <w:spacing w:val="-6"/>
                <w:sz w:val="21"/>
                <w:szCs w:val="21"/>
              </w:rPr>
              <w:t>无明显污染。</w:t>
            </w:r>
          </w:p>
        </w:tc>
      </w:tr>
    </w:tbl>
    <w:p w14:paraId="48FD0D1B">
      <w:pPr>
        <w:spacing w:before="247" w:line="221" w:lineRule="auto"/>
        <w:ind w:left="211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1"/>
          <w:sz w:val="21"/>
          <w:szCs w:val="21"/>
        </w:rPr>
        <w:t xml:space="preserve"> </w:t>
      </w:r>
      <w:r>
        <w:rPr>
          <w:rFonts w:ascii="Times New Roman" w:hAnsi="Times New Roman" w:eastAsia="Times New Roman" w:cs="Times New Roman"/>
          <w:spacing w:val="-1"/>
          <w:sz w:val="21"/>
          <w:szCs w:val="21"/>
        </w:rPr>
        <w:t xml:space="preserve">4.3-5  </w:t>
      </w:r>
      <w:r>
        <w:rPr>
          <w:rFonts w:ascii="黑体" w:hAnsi="黑体" w:eastAsia="黑体" w:cs="黑体"/>
          <w:spacing w:val="-1"/>
          <w:sz w:val="21"/>
          <w:szCs w:val="21"/>
        </w:rPr>
        <w:t>沼气（甲烷）理化性质及危险特性表</w:t>
      </w:r>
    </w:p>
    <w:p w14:paraId="0DE5BFE5">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8"/>
        <w:gridCol w:w="2368"/>
        <w:gridCol w:w="2371"/>
        <w:gridCol w:w="2373"/>
      </w:tblGrid>
      <w:tr w14:paraId="48626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08" w:type="dxa"/>
            <w:vAlign w:val="top"/>
          </w:tcPr>
          <w:p w14:paraId="24AD86D4">
            <w:pPr>
              <w:spacing w:before="68" w:line="220" w:lineRule="auto"/>
              <w:ind w:right="21"/>
              <w:jc w:val="right"/>
              <w:rPr>
                <w:rFonts w:ascii="宋体" w:hAnsi="宋体" w:eastAsia="宋体" w:cs="宋体"/>
                <w:sz w:val="21"/>
                <w:szCs w:val="21"/>
              </w:rPr>
            </w:pPr>
            <w:r>
              <w:rPr>
                <w:rFonts w:ascii="宋体" w:hAnsi="宋体" w:eastAsia="宋体" w:cs="宋体"/>
                <w:spacing w:val="-2"/>
                <w:sz w:val="21"/>
                <w:szCs w:val="21"/>
              </w:rPr>
              <w:t>外观与性状</w:t>
            </w:r>
          </w:p>
        </w:tc>
        <w:tc>
          <w:tcPr>
            <w:tcW w:w="7112" w:type="dxa"/>
            <w:gridSpan w:val="3"/>
            <w:vAlign w:val="top"/>
          </w:tcPr>
          <w:p w14:paraId="5FF5CB9D">
            <w:pPr>
              <w:spacing w:before="68" w:line="220" w:lineRule="auto"/>
              <w:ind w:left="2930"/>
              <w:rPr>
                <w:rFonts w:ascii="宋体" w:hAnsi="宋体" w:eastAsia="宋体" w:cs="宋体"/>
                <w:sz w:val="21"/>
                <w:szCs w:val="21"/>
              </w:rPr>
            </w:pPr>
            <w:r>
              <w:rPr>
                <w:rFonts w:ascii="宋体" w:hAnsi="宋体" w:eastAsia="宋体" w:cs="宋体"/>
                <w:spacing w:val="-2"/>
                <w:sz w:val="21"/>
                <w:szCs w:val="21"/>
              </w:rPr>
              <w:t>无色无臭气体</w:t>
            </w:r>
          </w:p>
        </w:tc>
      </w:tr>
      <w:tr w14:paraId="270F7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8" w:type="dxa"/>
            <w:vAlign w:val="top"/>
          </w:tcPr>
          <w:p w14:paraId="2D86A9FA">
            <w:pPr>
              <w:spacing w:before="64" w:line="220" w:lineRule="auto"/>
              <w:ind w:left="400"/>
              <w:rPr>
                <w:rFonts w:ascii="宋体" w:hAnsi="宋体" w:eastAsia="宋体" w:cs="宋体"/>
                <w:sz w:val="21"/>
                <w:szCs w:val="21"/>
              </w:rPr>
            </w:pPr>
            <w:r>
              <w:rPr>
                <w:rFonts w:ascii="宋体" w:hAnsi="宋体" w:eastAsia="宋体" w:cs="宋体"/>
                <w:spacing w:val="-3"/>
                <w:sz w:val="21"/>
                <w:szCs w:val="21"/>
              </w:rPr>
              <w:t>熔点</w:t>
            </w:r>
          </w:p>
        </w:tc>
        <w:tc>
          <w:tcPr>
            <w:tcW w:w="2368" w:type="dxa"/>
            <w:vAlign w:val="top"/>
          </w:tcPr>
          <w:p w14:paraId="75B21EAE">
            <w:pPr>
              <w:pStyle w:val="6"/>
              <w:spacing w:before="63" w:line="236" w:lineRule="auto"/>
              <w:ind w:left="812"/>
              <w:rPr>
                <w:rFonts w:ascii="宋体" w:hAnsi="宋体" w:eastAsia="宋体" w:cs="宋体"/>
              </w:rPr>
            </w:pPr>
            <w:r>
              <w:rPr>
                <w:spacing w:val="-2"/>
              </w:rPr>
              <w:t>-182.5</w:t>
            </w:r>
            <w:r>
              <w:rPr>
                <w:rFonts w:ascii="宋体" w:hAnsi="宋体" w:eastAsia="宋体" w:cs="宋体"/>
                <w:spacing w:val="-2"/>
              </w:rPr>
              <w:t>℃</w:t>
            </w:r>
          </w:p>
        </w:tc>
        <w:tc>
          <w:tcPr>
            <w:tcW w:w="2371" w:type="dxa"/>
            <w:vAlign w:val="top"/>
          </w:tcPr>
          <w:p w14:paraId="336CFF18">
            <w:pPr>
              <w:spacing w:before="63" w:line="220" w:lineRule="auto"/>
              <w:ind w:left="455"/>
              <w:rPr>
                <w:rFonts w:ascii="宋体" w:hAnsi="宋体" w:eastAsia="宋体" w:cs="宋体"/>
                <w:sz w:val="21"/>
                <w:szCs w:val="21"/>
              </w:rPr>
            </w:pPr>
            <w:r>
              <w:rPr>
                <w:rFonts w:ascii="宋体" w:hAnsi="宋体" w:eastAsia="宋体" w:cs="宋体"/>
                <w:spacing w:val="-3"/>
                <w:sz w:val="21"/>
                <w:szCs w:val="21"/>
              </w:rPr>
              <w:t>相对密度（水）</w:t>
            </w:r>
          </w:p>
        </w:tc>
        <w:tc>
          <w:tcPr>
            <w:tcW w:w="2373" w:type="dxa"/>
            <w:vAlign w:val="top"/>
          </w:tcPr>
          <w:p w14:paraId="6CCB6923">
            <w:pPr>
              <w:pStyle w:val="6"/>
              <w:spacing w:before="64" w:line="222" w:lineRule="auto"/>
              <w:ind w:left="499"/>
              <w:rPr>
                <w:rFonts w:ascii="宋体" w:hAnsi="宋体" w:eastAsia="宋体" w:cs="宋体"/>
              </w:rPr>
            </w:pPr>
            <w:r>
              <w:rPr>
                <w:spacing w:val="-2"/>
              </w:rPr>
              <w:t>0.42</w:t>
            </w:r>
            <w:r>
              <w:rPr>
                <w:rFonts w:ascii="宋体" w:hAnsi="宋体" w:eastAsia="宋体" w:cs="宋体"/>
                <w:spacing w:val="-2"/>
              </w:rPr>
              <w:t>（</w:t>
            </w:r>
            <w:r>
              <w:rPr>
                <w:spacing w:val="-2"/>
              </w:rPr>
              <w:t>-164</w:t>
            </w:r>
            <w:r>
              <w:rPr>
                <w:rFonts w:ascii="宋体" w:hAnsi="宋体" w:eastAsia="宋体" w:cs="宋体"/>
                <w:spacing w:val="-2"/>
              </w:rPr>
              <w:t>℃)</w:t>
            </w:r>
          </w:p>
        </w:tc>
      </w:tr>
      <w:tr w14:paraId="3398A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8" w:type="dxa"/>
            <w:vAlign w:val="top"/>
          </w:tcPr>
          <w:p w14:paraId="4EC46D2D">
            <w:pPr>
              <w:spacing w:before="64" w:line="220" w:lineRule="auto"/>
              <w:ind w:left="418"/>
              <w:rPr>
                <w:rFonts w:ascii="宋体" w:hAnsi="宋体" w:eastAsia="宋体" w:cs="宋体"/>
                <w:sz w:val="21"/>
                <w:szCs w:val="21"/>
              </w:rPr>
            </w:pPr>
            <w:r>
              <w:rPr>
                <w:rFonts w:ascii="宋体" w:hAnsi="宋体" w:eastAsia="宋体" w:cs="宋体"/>
                <w:spacing w:val="-7"/>
                <w:sz w:val="21"/>
                <w:szCs w:val="21"/>
              </w:rPr>
              <w:t>闪点</w:t>
            </w:r>
          </w:p>
        </w:tc>
        <w:tc>
          <w:tcPr>
            <w:tcW w:w="2368" w:type="dxa"/>
            <w:vAlign w:val="top"/>
          </w:tcPr>
          <w:p w14:paraId="63361145">
            <w:pPr>
              <w:pStyle w:val="6"/>
              <w:spacing w:before="64" w:line="236" w:lineRule="auto"/>
              <w:ind w:left="890"/>
              <w:rPr>
                <w:rFonts w:ascii="宋体" w:hAnsi="宋体" w:eastAsia="宋体" w:cs="宋体"/>
              </w:rPr>
            </w:pPr>
            <w:r>
              <w:rPr>
                <w:spacing w:val="-2"/>
              </w:rPr>
              <w:t>-188</w:t>
            </w:r>
            <w:r>
              <w:rPr>
                <w:rFonts w:ascii="宋体" w:hAnsi="宋体" w:eastAsia="宋体" w:cs="宋体"/>
                <w:spacing w:val="-2"/>
              </w:rPr>
              <w:t>℃</w:t>
            </w:r>
          </w:p>
        </w:tc>
        <w:tc>
          <w:tcPr>
            <w:tcW w:w="2371" w:type="dxa"/>
            <w:vAlign w:val="top"/>
          </w:tcPr>
          <w:p w14:paraId="1792CB02">
            <w:pPr>
              <w:spacing w:before="64" w:line="220" w:lineRule="auto"/>
              <w:ind w:left="351"/>
              <w:rPr>
                <w:rFonts w:ascii="宋体" w:hAnsi="宋体" w:eastAsia="宋体" w:cs="宋体"/>
                <w:sz w:val="21"/>
                <w:szCs w:val="21"/>
              </w:rPr>
            </w:pPr>
            <w:r>
              <w:rPr>
                <w:rFonts w:ascii="宋体" w:hAnsi="宋体" w:eastAsia="宋体" w:cs="宋体"/>
                <w:spacing w:val="-3"/>
                <w:sz w:val="21"/>
                <w:szCs w:val="21"/>
              </w:rPr>
              <w:t>相对密度（空气）</w:t>
            </w:r>
          </w:p>
        </w:tc>
        <w:tc>
          <w:tcPr>
            <w:tcW w:w="2373" w:type="dxa"/>
            <w:vAlign w:val="top"/>
          </w:tcPr>
          <w:p w14:paraId="4B29C241">
            <w:pPr>
              <w:pStyle w:val="6"/>
              <w:spacing w:before="101" w:line="188" w:lineRule="auto"/>
              <w:ind w:left="1007"/>
            </w:pPr>
            <w:r>
              <w:rPr>
                <w:spacing w:val="-2"/>
              </w:rPr>
              <w:t>0.55</w:t>
            </w:r>
          </w:p>
        </w:tc>
      </w:tr>
      <w:tr w14:paraId="5972B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08" w:type="dxa"/>
            <w:vAlign w:val="top"/>
          </w:tcPr>
          <w:p w14:paraId="0AA84BE5">
            <w:pPr>
              <w:spacing w:before="65" w:line="220" w:lineRule="auto"/>
              <w:ind w:left="204"/>
              <w:rPr>
                <w:rFonts w:ascii="宋体" w:hAnsi="宋体" w:eastAsia="宋体" w:cs="宋体"/>
                <w:sz w:val="21"/>
                <w:szCs w:val="21"/>
              </w:rPr>
            </w:pPr>
            <w:r>
              <w:rPr>
                <w:rFonts w:ascii="宋体" w:hAnsi="宋体" w:eastAsia="宋体" w:cs="宋体"/>
                <w:spacing w:val="-5"/>
                <w:sz w:val="21"/>
                <w:szCs w:val="21"/>
              </w:rPr>
              <w:t>引燃温度</w:t>
            </w:r>
          </w:p>
        </w:tc>
        <w:tc>
          <w:tcPr>
            <w:tcW w:w="2368" w:type="dxa"/>
            <w:vAlign w:val="top"/>
          </w:tcPr>
          <w:p w14:paraId="471F2956">
            <w:pPr>
              <w:pStyle w:val="6"/>
              <w:spacing w:before="65" w:line="236" w:lineRule="auto"/>
              <w:ind w:left="928"/>
              <w:rPr>
                <w:rFonts w:ascii="宋体" w:hAnsi="宋体" w:eastAsia="宋体" w:cs="宋体"/>
              </w:rPr>
            </w:pPr>
            <w:r>
              <w:rPr>
                <w:spacing w:val="-3"/>
              </w:rPr>
              <w:t>538</w:t>
            </w:r>
            <w:r>
              <w:rPr>
                <w:rFonts w:ascii="宋体" w:hAnsi="宋体" w:eastAsia="宋体" w:cs="宋体"/>
                <w:spacing w:val="-3"/>
              </w:rPr>
              <w:t>℃</w:t>
            </w:r>
          </w:p>
        </w:tc>
        <w:tc>
          <w:tcPr>
            <w:tcW w:w="2371" w:type="dxa"/>
            <w:vAlign w:val="top"/>
          </w:tcPr>
          <w:p w14:paraId="766FB0BD">
            <w:pPr>
              <w:pStyle w:val="6"/>
              <w:spacing w:before="65" w:line="218" w:lineRule="auto"/>
              <w:ind w:left="292"/>
              <w:rPr>
                <w:rFonts w:ascii="宋体" w:hAnsi="宋体" w:eastAsia="宋体" w:cs="宋体"/>
              </w:rPr>
            </w:pPr>
            <w:r>
              <w:rPr>
                <w:rFonts w:ascii="宋体" w:hAnsi="宋体" w:eastAsia="宋体" w:cs="宋体"/>
                <w:spacing w:val="-1"/>
              </w:rPr>
              <w:t>爆炸上限</w:t>
            </w:r>
            <w:r>
              <w:rPr>
                <w:spacing w:val="-1"/>
              </w:rPr>
              <w:t>%</w:t>
            </w:r>
            <w:r>
              <w:rPr>
                <w:rFonts w:ascii="宋体" w:hAnsi="宋体" w:eastAsia="宋体" w:cs="宋体"/>
                <w:spacing w:val="-1"/>
              </w:rPr>
              <w:t>（</w:t>
            </w:r>
            <w:r>
              <w:rPr>
                <w:spacing w:val="-1"/>
              </w:rPr>
              <w:t>V/V</w:t>
            </w:r>
            <w:r>
              <w:rPr>
                <w:rFonts w:ascii="宋体" w:hAnsi="宋体" w:eastAsia="宋体" w:cs="宋体"/>
                <w:spacing w:val="-1"/>
              </w:rPr>
              <w:t>）</w:t>
            </w:r>
          </w:p>
        </w:tc>
        <w:tc>
          <w:tcPr>
            <w:tcW w:w="2373" w:type="dxa"/>
            <w:vAlign w:val="top"/>
          </w:tcPr>
          <w:p w14:paraId="041D2741">
            <w:pPr>
              <w:pStyle w:val="6"/>
              <w:spacing w:before="101" w:line="188" w:lineRule="auto"/>
              <w:ind w:left="1015"/>
            </w:pPr>
            <w:r>
              <w:rPr>
                <w:spacing w:val="-5"/>
              </w:rPr>
              <w:t>15%</w:t>
            </w:r>
          </w:p>
        </w:tc>
      </w:tr>
      <w:tr w14:paraId="560C2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8" w:type="dxa"/>
            <w:vAlign w:val="top"/>
          </w:tcPr>
          <w:p w14:paraId="5823C983">
            <w:pPr>
              <w:spacing w:before="65" w:line="221" w:lineRule="auto"/>
              <w:ind w:left="400"/>
              <w:rPr>
                <w:rFonts w:ascii="宋体" w:hAnsi="宋体" w:eastAsia="宋体" w:cs="宋体"/>
                <w:sz w:val="21"/>
                <w:szCs w:val="21"/>
              </w:rPr>
            </w:pPr>
            <w:r>
              <w:rPr>
                <w:rFonts w:ascii="宋体" w:hAnsi="宋体" w:eastAsia="宋体" w:cs="宋体"/>
                <w:spacing w:val="-3"/>
                <w:sz w:val="21"/>
                <w:szCs w:val="21"/>
              </w:rPr>
              <w:t>沸点</w:t>
            </w:r>
          </w:p>
        </w:tc>
        <w:tc>
          <w:tcPr>
            <w:tcW w:w="2368" w:type="dxa"/>
            <w:vAlign w:val="top"/>
          </w:tcPr>
          <w:p w14:paraId="4A9609A1">
            <w:pPr>
              <w:pStyle w:val="6"/>
              <w:spacing w:before="64" w:line="236" w:lineRule="auto"/>
              <w:ind w:left="812"/>
              <w:rPr>
                <w:rFonts w:ascii="宋体" w:hAnsi="宋体" w:eastAsia="宋体" w:cs="宋体"/>
              </w:rPr>
            </w:pPr>
            <w:r>
              <w:rPr>
                <w:spacing w:val="-2"/>
              </w:rPr>
              <w:t>-161.5</w:t>
            </w:r>
            <w:r>
              <w:rPr>
                <w:rFonts w:ascii="宋体" w:hAnsi="宋体" w:eastAsia="宋体" w:cs="宋体"/>
                <w:spacing w:val="-2"/>
              </w:rPr>
              <w:t>℃</w:t>
            </w:r>
          </w:p>
        </w:tc>
        <w:tc>
          <w:tcPr>
            <w:tcW w:w="2371" w:type="dxa"/>
            <w:vAlign w:val="top"/>
          </w:tcPr>
          <w:p w14:paraId="5015A088">
            <w:pPr>
              <w:pStyle w:val="6"/>
              <w:spacing w:before="65" w:line="218" w:lineRule="auto"/>
              <w:ind w:left="292"/>
              <w:rPr>
                <w:rFonts w:ascii="宋体" w:hAnsi="宋体" w:eastAsia="宋体" w:cs="宋体"/>
              </w:rPr>
            </w:pPr>
            <w:r>
              <w:rPr>
                <w:rFonts w:ascii="宋体" w:hAnsi="宋体" w:eastAsia="宋体" w:cs="宋体"/>
                <w:spacing w:val="-1"/>
              </w:rPr>
              <w:t>爆炸下限</w:t>
            </w:r>
            <w:r>
              <w:rPr>
                <w:spacing w:val="-1"/>
              </w:rPr>
              <w:t>%</w:t>
            </w:r>
            <w:r>
              <w:rPr>
                <w:rFonts w:ascii="宋体" w:hAnsi="宋体" w:eastAsia="宋体" w:cs="宋体"/>
                <w:spacing w:val="-1"/>
              </w:rPr>
              <w:t>（</w:t>
            </w:r>
            <w:r>
              <w:rPr>
                <w:spacing w:val="-1"/>
              </w:rPr>
              <w:t>V/V</w:t>
            </w:r>
            <w:r>
              <w:rPr>
                <w:rFonts w:ascii="宋体" w:hAnsi="宋体" w:eastAsia="宋体" w:cs="宋体"/>
                <w:spacing w:val="-1"/>
              </w:rPr>
              <w:t>）</w:t>
            </w:r>
          </w:p>
        </w:tc>
        <w:tc>
          <w:tcPr>
            <w:tcW w:w="2373" w:type="dxa"/>
            <w:vAlign w:val="top"/>
          </w:tcPr>
          <w:p w14:paraId="4AD50AC3">
            <w:pPr>
              <w:pStyle w:val="6"/>
              <w:spacing w:before="101" w:line="188" w:lineRule="auto"/>
              <w:ind w:left="974"/>
            </w:pPr>
            <w:r>
              <w:rPr>
                <w:spacing w:val="-3"/>
              </w:rPr>
              <w:t>5.3%</w:t>
            </w:r>
          </w:p>
        </w:tc>
      </w:tr>
      <w:tr w14:paraId="13107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8" w:type="dxa"/>
            <w:vAlign w:val="top"/>
          </w:tcPr>
          <w:p w14:paraId="3AE2C7D7">
            <w:pPr>
              <w:spacing w:before="65" w:line="220" w:lineRule="auto"/>
              <w:ind w:left="297"/>
              <w:rPr>
                <w:rFonts w:ascii="宋体" w:hAnsi="宋体" w:eastAsia="宋体" w:cs="宋体"/>
                <w:sz w:val="21"/>
                <w:szCs w:val="21"/>
              </w:rPr>
            </w:pPr>
            <w:r>
              <w:rPr>
                <w:rFonts w:ascii="宋体" w:hAnsi="宋体" w:eastAsia="宋体" w:cs="宋体"/>
                <w:spacing w:val="-3"/>
                <w:sz w:val="21"/>
                <w:szCs w:val="21"/>
              </w:rPr>
              <w:t>溶解性</w:t>
            </w:r>
          </w:p>
        </w:tc>
        <w:tc>
          <w:tcPr>
            <w:tcW w:w="7112" w:type="dxa"/>
            <w:gridSpan w:val="3"/>
            <w:vAlign w:val="top"/>
          </w:tcPr>
          <w:p w14:paraId="627CE71F">
            <w:pPr>
              <w:spacing w:before="65" w:line="220" w:lineRule="auto"/>
              <w:ind w:left="2403"/>
              <w:rPr>
                <w:rFonts w:ascii="宋体" w:hAnsi="宋体" w:eastAsia="宋体" w:cs="宋体"/>
                <w:sz w:val="21"/>
                <w:szCs w:val="21"/>
              </w:rPr>
            </w:pPr>
            <w:r>
              <w:rPr>
                <w:rFonts w:ascii="宋体" w:hAnsi="宋体" w:eastAsia="宋体" w:cs="宋体"/>
                <w:spacing w:val="-1"/>
                <w:sz w:val="21"/>
                <w:szCs w:val="21"/>
              </w:rPr>
              <w:t>微溶于水、溶于醇及乙醚</w:t>
            </w:r>
          </w:p>
        </w:tc>
      </w:tr>
      <w:tr w14:paraId="2F449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08" w:type="dxa"/>
            <w:vAlign w:val="top"/>
          </w:tcPr>
          <w:p w14:paraId="76C5D415">
            <w:pPr>
              <w:spacing w:before="207" w:line="220" w:lineRule="auto"/>
              <w:ind w:left="195"/>
              <w:rPr>
                <w:rFonts w:ascii="宋体" w:hAnsi="宋体" w:eastAsia="宋体" w:cs="宋体"/>
                <w:sz w:val="21"/>
                <w:szCs w:val="21"/>
              </w:rPr>
            </w:pPr>
            <w:r>
              <w:rPr>
                <w:rFonts w:ascii="宋体" w:hAnsi="宋体" w:eastAsia="宋体" w:cs="宋体"/>
                <w:spacing w:val="-3"/>
                <w:sz w:val="21"/>
                <w:szCs w:val="21"/>
              </w:rPr>
              <w:t>急性毒性</w:t>
            </w:r>
          </w:p>
        </w:tc>
        <w:tc>
          <w:tcPr>
            <w:tcW w:w="7112" w:type="dxa"/>
            <w:gridSpan w:val="3"/>
            <w:vAlign w:val="top"/>
          </w:tcPr>
          <w:p w14:paraId="663A491F">
            <w:pPr>
              <w:pStyle w:val="6"/>
              <w:spacing w:before="51" w:line="249" w:lineRule="auto"/>
              <w:ind w:left="10" w:right="37" w:firstLine="4"/>
              <w:rPr>
                <w:rFonts w:ascii="宋体" w:hAnsi="宋体" w:eastAsia="宋体" w:cs="宋体"/>
              </w:rPr>
            </w:pPr>
            <w:r>
              <w:rPr>
                <w:rFonts w:ascii="宋体" w:hAnsi="宋体" w:eastAsia="宋体" w:cs="宋体"/>
                <w:spacing w:val="-1"/>
              </w:rPr>
              <w:t>小鼠吸入</w:t>
            </w:r>
            <w:r>
              <w:rPr>
                <w:rFonts w:ascii="宋体" w:hAnsi="宋体" w:eastAsia="宋体" w:cs="宋体"/>
                <w:spacing w:val="-33"/>
              </w:rPr>
              <w:t xml:space="preserve"> </w:t>
            </w:r>
            <w:r>
              <w:rPr>
                <w:spacing w:val="-1"/>
              </w:rPr>
              <w:t>42%</w:t>
            </w:r>
            <w:r>
              <w:rPr>
                <w:rFonts w:ascii="宋体" w:hAnsi="宋体" w:eastAsia="宋体" w:cs="宋体"/>
                <w:spacing w:val="-1"/>
              </w:rPr>
              <w:t>浓度×</w:t>
            </w:r>
            <w:r>
              <w:rPr>
                <w:spacing w:val="-1"/>
              </w:rPr>
              <w:t xml:space="preserve">60 </w:t>
            </w:r>
            <w:r>
              <w:rPr>
                <w:rFonts w:ascii="宋体" w:hAnsi="宋体" w:eastAsia="宋体" w:cs="宋体"/>
                <w:spacing w:val="-1"/>
              </w:rPr>
              <w:t>分钟，麻醉作用；兔吸入</w:t>
            </w:r>
            <w:r>
              <w:rPr>
                <w:rFonts w:ascii="宋体" w:hAnsi="宋体" w:eastAsia="宋体" w:cs="宋体"/>
                <w:spacing w:val="-49"/>
              </w:rPr>
              <w:t xml:space="preserve"> </w:t>
            </w:r>
            <w:r>
              <w:rPr>
                <w:spacing w:val="-1"/>
              </w:rPr>
              <w:t>42%</w:t>
            </w:r>
            <w:r>
              <w:rPr>
                <w:rFonts w:ascii="宋体" w:hAnsi="宋体" w:eastAsia="宋体" w:cs="宋体"/>
                <w:spacing w:val="-1"/>
              </w:rPr>
              <w:t>浓度×</w:t>
            </w:r>
            <w:r>
              <w:rPr>
                <w:spacing w:val="-1"/>
              </w:rPr>
              <w:t xml:space="preserve">60 </w:t>
            </w:r>
            <w:r>
              <w:rPr>
                <w:rFonts w:ascii="宋体" w:hAnsi="宋体" w:eastAsia="宋体" w:cs="宋体"/>
                <w:spacing w:val="-1"/>
              </w:rPr>
              <w:t>分钟，麻醉作</w:t>
            </w:r>
            <w:r>
              <w:rPr>
                <w:rFonts w:ascii="宋体" w:hAnsi="宋体" w:eastAsia="宋体" w:cs="宋体"/>
                <w:spacing w:val="-11"/>
              </w:rPr>
              <w:t>用。</w:t>
            </w:r>
          </w:p>
        </w:tc>
      </w:tr>
      <w:tr w14:paraId="14A16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08" w:type="dxa"/>
            <w:vAlign w:val="top"/>
          </w:tcPr>
          <w:p w14:paraId="086A5A5A">
            <w:pPr>
              <w:spacing w:line="448" w:lineRule="auto"/>
              <w:rPr>
                <w:rFonts w:ascii="Arial"/>
                <w:sz w:val="21"/>
              </w:rPr>
            </w:pPr>
          </w:p>
          <w:p w14:paraId="61FAB0B8">
            <w:pPr>
              <w:spacing w:before="68" w:line="220" w:lineRule="auto"/>
              <w:ind w:left="189"/>
              <w:rPr>
                <w:rFonts w:ascii="宋体" w:hAnsi="宋体" w:eastAsia="宋体" w:cs="宋体"/>
                <w:sz w:val="21"/>
                <w:szCs w:val="21"/>
              </w:rPr>
            </w:pPr>
            <w:r>
              <w:rPr>
                <w:rFonts w:ascii="宋体" w:hAnsi="宋体" w:eastAsia="宋体" w:cs="宋体"/>
                <w:spacing w:val="-2"/>
                <w:sz w:val="21"/>
                <w:szCs w:val="21"/>
              </w:rPr>
              <w:t>健康危害</w:t>
            </w:r>
          </w:p>
        </w:tc>
        <w:tc>
          <w:tcPr>
            <w:tcW w:w="7112" w:type="dxa"/>
            <w:gridSpan w:val="3"/>
            <w:vAlign w:val="top"/>
          </w:tcPr>
          <w:p w14:paraId="4BE32976">
            <w:pPr>
              <w:pStyle w:val="6"/>
              <w:spacing w:before="54" w:line="261" w:lineRule="auto"/>
              <w:ind w:left="10" w:firstLine="25"/>
              <w:jc w:val="both"/>
              <w:rPr>
                <w:rFonts w:ascii="宋体" w:hAnsi="宋体" w:eastAsia="宋体" w:cs="宋体"/>
              </w:rPr>
            </w:pPr>
            <w:r>
              <w:rPr>
                <w:rFonts w:ascii="宋体" w:hAnsi="宋体" w:eastAsia="宋体" w:cs="宋体"/>
                <w:spacing w:val="-4"/>
              </w:rPr>
              <w:t>甲烷对人基本无毒，但浓度过高时，使空气中氧含量明显降低，使人窒息。当</w:t>
            </w:r>
            <w:r>
              <w:rPr>
                <w:rFonts w:ascii="宋体" w:hAnsi="宋体" w:eastAsia="宋体" w:cs="宋体"/>
                <w:spacing w:val="-2"/>
              </w:rPr>
              <w:t xml:space="preserve">空气中甲烷达 </w:t>
            </w:r>
            <w:r>
              <w:rPr>
                <w:spacing w:val="-2"/>
              </w:rPr>
              <w:t>25</w:t>
            </w:r>
            <w:r>
              <w:rPr>
                <w:rFonts w:ascii="宋体" w:hAnsi="宋体" w:eastAsia="宋体" w:cs="宋体"/>
                <w:spacing w:val="-3"/>
              </w:rPr>
              <w:t>％～</w:t>
            </w:r>
            <w:r>
              <w:rPr>
                <w:spacing w:val="-2"/>
              </w:rPr>
              <w:t>30</w:t>
            </w:r>
            <w:r>
              <w:rPr>
                <w:rFonts w:ascii="宋体" w:hAnsi="宋体" w:eastAsia="宋体" w:cs="宋体"/>
                <w:spacing w:val="-2"/>
              </w:rPr>
              <w:t>％时，可引起头痛、头晕、乏力、注意力不集中、呼</w:t>
            </w:r>
            <w:r>
              <w:rPr>
                <w:rFonts w:ascii="宋体" w:hAnsi="宋体" w:eastAsia="宋体" w:cs="宋体"/>
                <w:spacing w:val="-9"/>
              </w:rPr>
              <w:t>吸和心跳加速、共济失调。若不及时脱离，</w:t>
            </w:r>
            <w:r>
              <w:rPr>
                <w:rFonts w:ascii="宋体" w:hAnsi="宋体" w:eastAsia="宋体" w:cs="宋体"/>
                <w:spacing w:val="-43"/>
              </w:rPr>
              <w:t xml:space="preserve"> </w:t>
            </w:r>
            <w:r>
              <w:rPr>
                <w:rFonts w:ascii="宋体" w:hAnsi="宋体" w:eastAsia="宋体" w:cs="宋体"/>
                <w:spacing w:val="-9"/>
              </w:rPr>
              <w:t>可致窒息死亡。皮肤接触液化本</w:t>
            </w:r>
            <w:r>
              <w:rPr>
                <w:rFonts w:ascii="宋体" w:hAnsi="宋体" w:eastAsia="宋体" w:cs="宋体"/>
                <w:spacing w:val="-10"/>
              </w:rPr>
              <w:t>品，</w:t>
            </w:r>
            <w:r>
              <w:rPr>
                <w:rFonts w:ascii="宋体" w:hAnsi="宋体" w:eastAsia="宋体" w:cs="宋体"/>
                <w:spacing w:val="-8"/>
              </w:rPr>
              <w:t>可致冻伤。</w:t>
            </w:r>
          </w:p>
        </w:tc>
      </w:tr>
      <w:tr w14:paraId="5E2C1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08" w:type="dxa"/>
            <w:vAlign w:val="top"/>
          </w:tcPr>
          <w:p w14:paraId="2B5F72E8">
            <w:pPr>
              <w:spacing w:line="295" w:lineRule="auto"/>
              <w:rPr>
                <w:rFonts w:ascii="Arial"/>
                <w:sz w:val="21"/>
              </w:rPr>
            </w:pPr>
          </w:p>
          <w:p w14:paraId="0AF87A97">
            <w:pPr>
              <w:spacing w:before="68" w:line="220" w:lineRule="auto"/>
              <w:ind w:left="191"/>
              <w:rPr>
                <w:rFonts w:ascii="宋体" w:hAnsi="宋体" w:eastAsia="宋体" w:cs="宋体"/>
                <w:sz w:val="21"/>
                <w:szCs w:val="21"/>
              </w:rPr>
            </w:pPr>
            <w:r>
              <w:rPr>
                <w:rFonts w:ascii="宋体" w:hAnsi="宋体" w:eastAsia="宋体" w:cs="宋体"/>
                <w:spacing w:val="-3"/>
                <w:sz w:val="21"/>
                <w:szCs w:val="21"/>
              </w:rPr>
              <w:t>危险特性</w:t>
            </w:r>
          </w:p>
        </w:tc>
        <w:tc>
          <w:tcPr>
            <w:tcW w:w="7112" w:type="dxa"/>
            <w:gridSpan w:val="3"/>
            <w:vAlign w:val="top"/>
          </w:tcPr>
          <w:p w14:paraId="6A7211EE">
            <w:pPr>
              <w:spacing w:before="53" w:line="257" w:lineRule="auto"/>
              <w:ind w:left="11" w:right="4" w:firstLine="10"/>
              <w:jc w:val="both"/>
              <w:rPr>
                <w:rFonts w:ascii="宋体" w:hAnsi="宋体" w:eastAsia="宋体" w:cs="宋体"/>
                <w:sz w:val="21"/>
                <w:szCs w:val="21"/>
              </w:rPr>
            </w:pPr>
            <w:r>
              <w:rPr>
                <w:rFonts w:ascii="宋体" w:hAnsi="宋体" w:eastAsia="宋体" w:cs="宋体"/>
                <w:spacing w:val="-2"/>
                <w:sz w:val="21"/>
                <w:szCs w:val="21"/>
              </w:rPr>
              <w:t>易燃，与空气混合能形成爆炸性混合物，遇热源和明火有燃烧爆炸的危险。与五氧化溴、氯气、次氯酸、三氟化氮、液氧、二氟化氧及其它强氧化剂接触剧</w:t>
            </w:r>
            <w:r>
              <w:rPr>
                <w:rFonts w:ascii="宋体" w:hAnsi="宋体" w:eastAsia="宋体" w:cs="宋体"/>
                <w:spacing w:val="-8"/>
                <w:sz w:val="21"/>
                <w:szCs w:val="21"/>
              </w:rPr>
              <w:t>烈反应。</w:t>
            </w:r>
          </w:p>
        </w:tc>
      </w:tr>
      <w:tr w14:paraId="0BD7F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08" w:type="dxa"/>
            <w:vAlign w:val="top"/>
          </w:tcPr>
          <w:p w14:paraId="7E8C8004">
            <w:pPr>
              <w:spacing w:before="67" w:line="221" w:lineRule="auto"/>
              <w:ind w:left="190"/>
              <w:rPr>
                <w:rFonts w:ascii="宋体" w:hAnsi="宋体" w:eastAsia="宋体" w:cs="宋体"/>
                <w:sz w:val="21"/>
                <w:szCs w:val="21"/>
              </w:rPr>
            </w:pPr>
            <w:r>
              <w:rPr>
                <w:rFonts w:ascii="宋体" w:hAnsi="宋体" w:eastAsia="宋体" w:cs="宋体"/>
                <w:spacing w:val="-2"/>
                <w:sz w:val="21"/>
                <w:szCs w:val="21"/>
              </w:rPr>
              <w:t>主要用途</w:t>
            </w:r>
          </w:p>
        </w:tc>
        <w:tc>
          <w:tcPr>
            <w:tcW w:w="7112" w:type="dxa"/>
            <w:gridSpan w:val="3"/>
            <w:vAlign w:val="top"/>
          </w:tcPr>
          <w:p w14:paraId="0D40616C">
            <w:pPr>
              <w:spacing w:before="67" w:line="220" w:lineRule="auto"/>
              <w:ind w:left="10"/>
              <w:rPr>
                <w:rFonts w:ascii="宋体" w:hAnsi="宋体" w:eastAsia="宋体" w:cs="宋体"/>
                <w:sz w:val="21"/>
                <w:szCs w:val="21"/>
              </w:rPr>
            </w:pPr>
            <w:r>
              <w:rPr>
                <w:rFonts w:ascii="宋体" w:hAnsi="宋体" w:eastAsia="宋体" w:cs="宋体"/>
                <w:spacing w:val="-2"/>
                <w:sz w:val="21"/>
                <w:szCs w:val="21"/>
              </w:rPr>
              <w:t>用作燃料和用于炭黑、氢、乙炔、甲醛等的制造。</w:t>
            </w:r>
          </w:p>
        </w:tc>
      </w:tr>
      <w:tr w14:paraId="771D8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8" w:type="dxa"/>
            <w:vAlign w:val="top"/>
          </w:tcPr>
          <w:p w14:paraId="12CB952E">
            <w:pPr>
              <w:spacing w:before="68" w:line="218" w:lineRule="auto"/>
              <w:ind w:left="84"/>
              <w:rPr>
                <w:rFonts w:ascii="宋体" w:hAnsi="宋体" w:eastAsia="宋体" w:cs="宋体"/>
                <w:sz w:val="21"/>
                <w:szCs w:val="21"/>
              </w:rPr>
            </w:pPr>
            <w:r>
              <w:rPr>
                <w:rFonts w:ascii="宋体" w:hAnsi="宋体" w:eastAsia="宋体" w:cs="宋体"/>
                <w:spacing w:val="-2"/>
                <w:sz w:val="21"/>
                <w:szCs w:val="21"/>
              </w:rPr>
              <w:t>爆炸性物质</w:t>
            </w:r>
          </w:p>
        </w:tc>
        <w:tc>
          <w:tcPr>
            <w:tcW w:w="7112" w:type="dxa"/>
            <w:gridSpan w:val="3"/>
            <w:vAlign w:val="top"/>
          </w:tcPr>
          <w:p w14:paraId="28580768">
            <w:pPr>
              <w:spacing w:before="68" w:line="218" w:lineRule="auto"/>
              <w:ind w:left="7"/>
              <w:rPr>
                <w:rFonts w:ascii="宋体" w:hAnsi="宋体" w:eastAsia="宋体" w:cs="宋体"/>
                <w:sz w:val="21"/>
                <w:szCs w:val="21"/>
              </w:rPr>
            </w:pPr>
            <w:r>
              <w:rPr>
                <w:rFonts w:ascii="宋体" w:hAnsi="宋体" w:eastAsia="宋体" w:cs="宋体"/>
                <w:spacing w:val="-1"/>
                <w:sz w:val="21"/>
                <w:szCs w:val="21"/>
              </w:rPr>
              <w:t>在火焰影响下可爆炸，或者对冲击、摩擦比硝基苯</w:t>
            </w:r>
            <w:r>
              <w:rPr>
                <w:rFonts w:ascii="宋体" w:hAnsi="宋体" w:eastAsia="宋体" w:cs="宋体"/>
                <w:spacing w:val="-2"/>
                <w:sz w:val="21"/>
                <w:szCs w:val="21"/>
              </w:rPr>
              <w:t>更为敏感的物质。</w:t>
            </w:r>
          </w:p>
        </w:tc>
      </w:tr>
      <w:tr w14:paraId="1CC14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08" w:type="dxa"/>
            <w:vMerge w:val="restart"/>
            <w:tcBorders>
              <w:bottom w:val="nil"/>
            </w:tcBorders>
            <w:vAlign w:val="top"/>
          </w:tcPr>
          <w:p w14:paraId="55FD2622">
            <w:pPr>
              <w:spacing w:line="315" w:lineRule="auto"/>
              <w:rPr>
                <w:rFonts w:ascii="Arial"/>
                <w:sz w:val="21"/>
              </w:rPr>
            </w:pPr>
          </w:p>
          <w:p w14:paraId="31B8848D">
            <w:pPr>
              <w:spacing w:line="315" w:lineRule="auto"/>
              <w:rPr>
                <w:rFonts w:ascii="Arial"/>
                <w:sz w:val="21"/>
              </w:rPr>
            </w:pPr>
          </w:p>
          <w:p w14:paraId="14790BFB">
            <w:pPr>
              <w:spacing w:before="68" w:line="220" w:lineRule="auto"/>
              <w:ind w:left="203"/>
              <w:rPr>
                <w:rFonts w:ascii="宋体" w:hAnsi="宋体" w:eastAsia="宋体" w:cs="宋体"/>
                <w:sz w:val="21"/>
                <w:szCs w:val="21"/>
              </w:rPr>
            </w:pPr>
            <w:r>
              <w:rPr>
                <w:rFonts w:ascii="宋体" w:hAnsi="宋体" w:eastAsia="宋体" w:cs="宋体"/>
                <w:spacing w:val="-5"/>
                <w:sz w:val="21"/>
                <w:szCs w:val="21"/>
              </w:rPr>
              <w:t>易燃物质</w:t>
            </w:r>
          </w:p>
        </w:tc>
        <w:tc>
          <w:tcPr>
            <w:tcW w:w="7112" w:type="dxa"/>
            <w:gridSpan w:val="3"/>
            <w:vAlign w:val="top"/>
          </w:tcPr>
          <w:p w14:paraId="05AE7547">
            <w:pPr>
              <w:pStyle w:val="6"/>
              <w:spacing w:before="54" w:line="248" w:lineRule="auto"/>
              <w:ind w:left="4" w:firstLine="5"/>
              <w:rPr>
                <w:rFonts w:ascii="宋体" w:hAnsi="宋体" w:eastAsia="宋体" w:cs="宋体"/>
              </w:rPr>
            </w:pPr>
            <w:r>
              <w:rPr>
                <w:rFonts w:ascii="宋体" w:hAnsi="宋体" w:eastAsia="宋体" w:cs="宋体"/>
                <w:spacing w:val="-7"/>
              </w:rPr>
              <w:t>可燃气体：在常压下以气态存在并与空气混合形成可燃混合</w:t>
            </w:r>
            <w:r>
              <w:rPr>
                <w:rFonts w:ascii="宋体" w:hAnsi="宋体" w:eastAsia="宋体" w:cs="宋体"/>
                <w:spacing w:val="-8"/>
              </w:rPr>
              <w:t>物；沸点（常压下）</w:t>
            </w:r>
            <w:r>
              <w:rPr>
                <w:rFonts w:ascii="宋体" w:hAnsi="宋体" w:eastAsia="宋体" w:cs="宋体"/>
              </w:rPr>
              <w:t xml:space="preserve"> </w:t>
            </w:r>
            <w:r>
              <w:rPr>
                <w:spacing w:val="-4"/>
              </w:rPr>
              <w:t>20</w:t>
            </w:r>
            <w:r>
              <w:rPr>
                <w:rFonts w:ascii="宋体" w:hAnsi="宋体" w:eastAsia="宋体" w:cs="宋体"/>
                <w:spacing w:val="-4"/>
              </w:rPr>
              <w:t xml:space="preserve">℃或 </w:t>
            </w:r>
            <w:r>
              <w:rPr>
                <w:spacing w:val="-4"/>
              </w:rPr>
              <w:t>20</w:t>
            </w:r>
            <w:r>
              <w:rPr>
                <w:rFonts w:ascii="宋体" w:hAnsi="宋体" w:eastAsia="宋体" w:cs="宋体"/>
                <w:spacing w:val="-4"/>
              </w:rPr>
              <w:t>℃以下的物质。</w:t>
            </w:r>
          </w:p>
        </w:tc>
      </w:tr>
      <w:tr w14:paraId="5930F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8" w:type="dxa"/>
            <w:vMerge w:val="continue"/>
            <w:tcBorders>
              <w:top w:val="nil"/>
              <w:bottom w:val="nil"/>
            </w:tcBorders>
            <w:vAlign w:val="top"/>
          </w:tcPr>
          <w:p w14:paraId="0F9F4723">
            <w:pPr>
              <w:rPr>
                <w:rFonts w:ascii="Arial"/>
                <w:sz w:val="21"/>
              </w:rPr>
            </w:pPr>
          </w:p>
        </w:tc>
        <w:tc>
          <w:tcPr>
            <w:tcW w:w="7112" w:type="dxa"/>
            <w:gridSpan w:val="3"/>
            <w:vAlign w:val="top"/>
          </w:tcPr>
          <w:p w14:paraId="486406B5">
            <w:pPr>
              <w:pStyle w:val="6"/>
              <w:spacing w:before="67" w:line="217" w:lineRule="auto"/>
              <w:ind w:left="22"/>
              <w:rPr>
                <w:rFonts w:ascii="宋体" w:hAnsi="宋体" w:eastAsia="宋体" w:cs="宋体"/>
              </w:rPr>
            </w:pPr>
            <w:r>
              <w:rPr>
                <w:rFonts w:ascii="宋体" w:hAnsi="宋体" w:eastAsia="宋体" w:cs="宋体"/>
                <w:spacing w:val="2"/>
              </w:rPr>
              <w:t xml:space="preserve">易燃液体：闪点低于 </w:t>
            </w:r>
            <w:r>
              <w:rPr>
                <w:spacing w:val="2"/>
              </w:rPr>
              <w:t>21</w:t>
            </w:r>
            <w:r>
              <w:rPr>
                <w:rFonts w:ascii="宋体" w:hAnsi="宋体" w:eastAsia="宋体" w:cs="宋体"/>
                <w:spacing w:val="2"/>
              </w:rPr>
              <w:t xml:space="preserve">℃,沸点高于 </w:t>
            </w:r>
            <w:r>
              <w:rPr>
                <w:spacing w:val="2"/>
              </w:rPr>
              <w:t>20</w:t>
            </w:r>
            <w:r>
              <w:rPr>
                <w:rFonts w:ascii="宋体" w:hAnsi="宋体" w:eastAsia="宋体" w:cs="宋体"/>
                <w:spacing w:val="2"/>
              </w:rPr>
              <w:t>℃的物质。</w:t>
            </w:r>
          </w:p>
        </w:tc>
      </w:tr>
      <w:tr w14:paraId="0693C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208" w:type="dxa"/>
            <w:vMerge w:val="continue"/>
            <w:tcBorders>
              <w:top w:val="nil"/>
            </w:tcBorders>
            <w:vAlign w:val="top"/>
          </w:tcPr>
          <w:p w14:paraId="6D451F43">
            <w:pPr>
              <w:rPr>
                <w:rFonts w:ascii="Arial"/>
                <w:sz w:val="21"/>
              </w:rPr>
            </w:pPr>
          </w:p>
        </w:tc>
        <w:tc>
          <w:tcPr>
            <w:tcW w:w="7112" w:type="dxa"/>
            <w:gridSpan w:val="3"/>
            <w:vAlign w:val="top"/>
          </w:tcPr>
          <w:p w14:paraId="7D53E7B7">
            <w:pPr>
              <w:pStyle w:val="6"/>
              <w:spacing w:before="55" w:line="250" w:lineRule="auto"/>
              <w:ind w:left="9" w:right="72"/>
              <w:rPr>
                <w:rFonts w:ascii="宋体" w:hAnsi="宋体" w:eastAsia="宋体" w:cs="宋体"/>
              </w:rPr>
            </w:pPr>
            <w:r>
              <w:rPr>
                <w:rFonts w:ascii="宋体" w:hAnsi="宋体" w:eastAsia="宋体" w:cs="宋体"/>
                <w:spacing w:val="3"/>
              </w:rPr>
              <w:t xml:space="preserve">可燃液体：闪点低于 </w:t>
            </w:r>
            <w:r>
              <w:rPr>
                <w:spacing w:val="3"/>
              </w:rPr>
              <w:t>55</w:t>
            </w:r>
            <w:r>
              <w:rPr>
                <w:rFonts w:ascii="宋体" w:hAnsi="宋体" w:eastAsia="宋体" w:cs="宋体"/>
                <w:spacing w:val="3"/>
              </w:rPr>
              <w:t>℃,常压下保持液态，在</w:t>
            </w:r>
            <w:r>
              <w:rPr>
                <w:rFonts w:ascii="宋体" w:hAnsi="宋体" w:eastAsia="宋体" w:cs="宋体"/>
                <w:spacing w:val="2"/>
              </w:rPr>
              <w:t>实际操作条件下（如高温高</w:t>
            </w:r>
            <w:r>
              <w:rPr>
                <w:rFonts w:ascii="宋体" w:hAnsi="宋体" w:eastAsia="宋体" w:cs="宋体"/>
                <w:spacing w:val="-3"/>
              </w:rPr>
              <w:t>压）可以引起重大事故的物质。</w:t>
            </w:r>
          </w:p>
        </w:tc>
      </w:tr>
    </w:tbl>
    <w:p w14:paraId="23662F1A">
      <w:pPr>
        <w:spacing w:before="29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4.3.6.2 </w:t>
      </w:r>
      <w:r>
        <w:rPr>
          <w:rFonts w:ascii="宋体" w:hAnsi="宋体" w:eastAsia="宋体" w:cs="宋体"/>
          <w:b/>
          <w:bCs/>
          <w:spacing w:val="5"/>
          <w:sz w:val="27"/>
          <w:szCs w:val="27"/>
        </w:rPr>
        <w:t>生产及贮运过程危险识别</w:t>
      </w:r>
    </w:p>
    <w:p w14:paraId="32803B7D">
      <w:pPr>
        <w:spacing w:before="236" w:line="219" w:lineRule="auto"/>
        <w:ind w:left="519"/>
        <w:rPr>
          <w:rFonts w:ascii="宋体" w:hAnsi="宋体" w:eastAsia="宋体" w:cs="宋体"/>
          <w:sz w:val="24"/>
          <w:szCs w:val="24"/>
        </w:rPr>
      </w:pPr>
      <w:r>
        <w:rPr>
          <w:rFonts w:ascii="宋体" w:hAnsi="宋体" w:eastAsia="宋体" w:cs="宋体"/>
          <w:spacing w:val="-3"/>
          <w:sz w:val="24"/>
          <w:szCs w:val="24"/>
        </w:rPr>
        <w:t>拟建项目生产及贮运设施的危险识别见下表。</w:t>
      </w:r>
    </w:p>
    <w:p w14:paraId="7D1A1FB7">
      <w:pPr>
        <w:spacing w:line="219" w:lineRule="auto"/>
        <w:rPr>
          <w:rFonts w:ascii="宋体" w:hAnsi="宋体" w:eastAsia="宋体" w:cs="宋体"/>
          <w:sz w:val="24"/>
          <w:szCs w:val="24"/>
        </w:rPr>
        <w:sectPr>
          <w:footerReference r:id="rId412" w:type="default"/>
          <w:pgSz w:w="11905" w:h="16840"/>
          <w:pgMar w:top="1168" w:right="1768" w:bottom="1409" w:left="1770" w:header="828" w:footer="1244" w:gutter="0"/>
          <w:cols w:space="720" w:num="1"/>
        </w:sectPr>
      </w:pPr>
    </w:p>
    <w:p w14:paraId="6B78CB84">
      <w:pPr>
        <w:pStyle w:val="2"/>
        <w:spacing w:line="329" w:lineRule="auto"/>
      </w:pPr>
    </w:p>
    <w:p w14:paraId="418499C8">
      <w:pPr>
        <w:spacing w:before="68" w:line="221" w:lineRule="auto"/>
        <w:ind w:left="221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2"/>
          <w:sz w:val="21"/>
          <w:szCs w:val="21"/>
        </w:rPr>
        <w:t xml:space="preserve"> </w:t>
      </w:r>
      <w:r>
        <w:rPr>
          <w:rFonts w:ascii="Times New Roman" w:hAnsi="Times New Roman" w:eastAsia="Times New Roman" w:cs="Times New Roman"/>
          <w:spacing w:val="-1"/>
          <w:sz w:val="21"/>
          <w:szCs w:val="21"/>
        </w:rPr>
        <w:t xml:space="preserve">4.3-6  </w:t>
      </w:r>
      <w:r>
        <w:rPr>
          <w:rFonts w:ascii="黑体" w:hAnsi="黑体" w:eastAsia="黑体" w:cs="黑体"/>
          <w:spacing w:val="-1"/>
          <w:sz w:val="21"/>
          <w:szCs w:val="21"/>
        </w:rPr>
        <w:t>主要生产及贮运设施的危险识别表</w:t>
      </w:r>
    </w:p>
    <w:p w14:paraId="2C4816FE">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558"/>
        <w:gridCol w:w="1557"/>
        <w:gridCol w:w="2548"/>
        <w:gridCol w:w="1941"/>
      </w:tblGrid>
      <w:tr w14:paraId="77059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6" w:type="dxa"/>
            <w:vMerge w:val="restart"/>
            <w:tcBorders>
              <w:bottom w:val="nil"/>
            </w:tcBorders>
            <w:vAlign w:val="top"/>
          </w:tcPr>
          <w:p w14:paraId="2008F9D8">
            <w:pPr>
              <w:spacing w:before="244" w:line="221" w:lineRule="auto"/>
              <w:ind w:left="152"/>
              <w:rPr>
                <w:rFonts w:ascii="宋体" w:hAnsi="宋体" w:eastAsia="宋体" w:cs="宋体"/>
                <w:sz w:val="21"/>
                <w:szCs w:val="21"/>
              </w:rPr>
            </w:pPr>
            <w:r>
              <w:rPr>
                <w:rFonts w:ascii="宋体" w:hAnsi="宋体" w:eastAsia="宋体" w:cs="宋体"/>
                <w:spacing w:val="-2"/>
                <w:sz w:val="21"/>
                <w:szCs w:val="21"/>
              </w:rPr>
              <w:t>序号</w:t>
            </w:r>
          </w:p>
        </w:tc>
        <w:tc>
          <w:tcPr>
            <w:tcW w:w="1558" w:type="dxa"/>
            <w:vMerge w:val="restart"/>
            <w:tcBorders>
              <w:bottom w:val="nil"/>
            </w:tcBorders>
            <w:vAlign w:val="top"/>
          </w:tcPr>
          <w:p w14:paraId="603FCC5C">
            <w:pPr>
              <w:spacing w:before="243" w:line="220" w:lineRule="auto"/>
              <w:ind w:left="364"/>
              <w:rPr>
                <w:rFonts w:ascii="宋体" w:hAnsi="宋体" w:eastAsia="宋体" w:cs="宋体"/>
                <w:sz w:val="21"/>
                <w:szCs w:val="21"/>
              </w:rPr>
            </w:pPr>
            <w:r>
              <w:rPr>
                <w:rFonts w:ascii="宋体" w:hAnsi="宋体" w:eastAsia="宋体" w:cs="宋体"/>
                <w:spacing w:val="-3"/>
                <w:sz w:val="21"/>
                <w:szCs w:val="21"/>
              </w:rPr>
              <w:t>分析对象</w:t>
            </w:r>
          </w:p>
        </w:tc>
        <w:tc>
          <w:tcPr>
            <w:tcW w:w="6046" w:type="dxa"/>
            <w:gridSpan w:val="3"/>
            <w:vAlign w:val="top"/>
          </w:tcPr>
          <w:p w14:paraId="45735024">
            <w:pPr>
              <w:spacing w:before="68" w:line="220" w:lineRule="auto"/>
              <w:ind w:left="1874"/>
              <w:rPr>
                <w:rFonts w:ascii="宋体" w:hAnsi="宋体" w:eastAsia="宋体" w:cs="宋体"/>
                <w:sz w:val="21"/>
                <w:szCs w:val="21"/>
              </w:rPr>
            </w:pPr>
            <w:r>
              <w:rPr>
                <w:rFonts w:ascii="宋体" w:hAnsi="宋体" w:eastAsia="宋体" w:cs="宋体"/>
                <w:spacing w:val="-1"/>
                <w:sz w:val="21"/>
                <w:szCs w:val="21"/>
              </w:rPr>
              <w:t>危险、有害因素分析结果</w:t>
            </w:r>
          </w:p>
        </w:tc>
      </w:tr>
      <w:tr w14:paraId="06016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6" w:type="dxa"/>
            <w:vMerge w:val="continue"/>
            <w:tcBorders>
              <w:top w:val="nil"/>
            </w:tcBorders>
            <w:vAlign w:val="top"/>
          </w:tcPr>
          <w:p w14:paraId="13AB935F">
            <w:pPr>
              <w:rPr>
                <w:rFonts w:ascii="Arial"/>
                <w:sz w:val="21"/>
              </w:rPr>
            </w:pPr>
          </w:p>
        </w:tc>
        <w:tc>
          <w:tcPr>
            <w:tcW w:w="1558" w:type="dxa"/>
            <w:vMerge w:val="continue"/>
            <w:tcBorders>
              <w:top w:val="nil"/>
            </w:tcBorders>
            <w:vAlign w:val="top"/>
          </w:tcPr>
          <w:p w14:paraId="1278CD0D">
            <w:pPr>
              <w:rPr>
                <w:rFonts w:ascii="Arial"/>
                <w:sz w:val="21"/>
              </w:rPr>
            </w:pPr>
          </w:p>
        </w:tc>
        <w:tc>
          <w:tcPr>
            <w:tcW w:w="1557" w:type="dxa"/>
            <w:vAlign w:val="top"/>
          </w:tcPr>
          <w:p w14:paraId="1AEF15F7">
            <w:pPr>
              <w:spacing w:before="65" w:line="219" w:lineRule="auto"/>
              <w:ind w:left="50"/>
              <w:rPr>
                <w:rFonts w:ascii="宋体" w:hAnsi="宋体" w:eastAsia="宋体" w:cs="宋体"/>
                <w:sz w:val="21"/>
                <w:szCs w:val="21"/>
              </w:rPr>
            </w:pPr>
            <w:r>
              <w:rPr>
                <w:rFonts w:ascii="宋体" w:hAnsi="宋体" w:eastAsia="宋体" w:cs="宋体"/>
                <w:spacing w:val="-2"/>
                <w:sz w:val="21"/>
                <w:szCs w:val="21"/>
              </w:rPr>
              <w:t>危险、有害介质</w:t>
            </w:r>
          </w:p>
        </w:tc>
        <w:tc>
          <w:tcPr>
            <w:tcW w:w="2548" w:type="dxa"/>
            <w:vAlign w:val="top"/>
          </w:tcPr>
          <w:p w14:paraId="61949D16">
            <w:pPr>
              <w:spacing w:before="64" w:line="220" w:lineRule="auto"/>
              <w:ind w:left="861"/>
              <w:rPr>
                <w:rFonts w:ascii="宋体" w:hAnsi="宋体" w:eastAsia="宋体" w:cs="宋体"/>
                <w:sz w:val="21"/>
                <w:szCs w:val="21"/>
              </w:rPr>
            </w:pPr>
            <w:r>
              <w:rPr>
                <w:rFonts w:ascii="宋体" w:hAnsi="宋体" w:eastAsia="宋体" w:cs="宋体"/>
                <w:spacing w:val="-2"/>
                <w:sz w:val="21"/>
                <w:szCs w:val="21"/>
              </w:rPr>
              <w:t>生产单元</w:t>
            </w:r>
          </w:p>
        </w:tc>
        <w:tc>
          <w:tcPr>
            <w:tcW w:w="1941" w:type="dxa"/>
            <w:vAlign w:val="top"/>
          </w:tcPr>
          <w:p w14:paraId="67B6E6C0">
            <w:pPr>
              <w:spacing w:before="64" w:line="220" w:lineRule="auto"/>
              <w:ind w:left="32"/>
              <w:rPr>
                <w:rFonts w:ascii="宋体" w:hAnsi="宋体" w:eastAsia="宋体" w:cs="宋体"/>
                <w:sz w:val="21"/>
                <w:szCs w:val="21"/>
              </w:rPr>
            </w:pPr>
            <w:r>
              <w:rPr>
                <w:rFonts w:ascii="宋体" w:hAnsi="宋体" w:eastAsia="宋体" w:cs="宋体"/>
                <w:spacing w:val="-1"/>
                <w:sz w:val="21"/>
                <w:szCs w:val="21"/>
              </w:rPr>
              <w:t>主要危险、有害因素</w:t>
            </w:r>
          </w:p>
        </w:tc>
      </w:tr>
      <w:tr w14:paraId="7420F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6" w:type="dxa"/>
            <w:vAlign w:val="top"/>
          </w:tcPr>
          <w:p w14:paraId="2E205AB0">
            <w:pPr>
              <w:pStyle w:val="6"/>
              <w:spacing w:before="103" w:line="188" w:lineRule="auto"/>
              <w:ind w:left="327"/>
            </w:pPr>
            <w:r>
              <w:t>1</w:t>
            </w:r>
          </w:p>
        </w:tc>
        <w:tc>
          <w:tcPr>
            <w:tcW w:w="1558" w:type="dxa"/>
            <w:vAlign w:val="top"/>
          </w:tcPr>
          <w:p w14:paraId="619E6E29">
            <w:pPr>
              <w:spacing w:before="66" w:line="220" w:lineRule="auto"/>
              <w:ind w:left="154"/>
              <w:rPr>
                <w:rFonts w:ascii="宋体" w:hAnsi="宋体" w:eastAsia="宋体" w:cs="宋体"/>
                <w:sz w:val="21"/>
                <w:szCs w:val="21"/>
              </w:rPr>
            </w:pPr>
            <w:r>
              <w:rPr>
                <w:rFonts w:ascii="宋体" w:hAnsi="宋体" w:eastAsia="宋体" w:cs="宋体"/>
                <w:spacing w:val="-2"/>
                <w:sz w:val="21"/>
                <w:szCs w:val="21"/>
              </w:rPr>
              <w:t>粪污处理系统</w:t>
            </w:r>
          </w:p>
        </w:tc>
        <w:tc>
          <w:tcPr>
            <w:tcW w:w="1557" w:type="dxa"/>
            <w:vAlign w:val="top"/>
          </w:tcPr>
          <w:p w14:paraId="178FCBBD">
            <w:pPr>
              <w:spacing w:before="66" w:line="220" w:lineRule="auto"/>
              <w:ind w:left="259"/>
              <w:rPr>
                <w:rFonts w:ascii="宋体" w:hAnsi="宋体" w:eastAsia="宋体" w:cs="宋体"/>
                <w:sz w:val="21"/>
                <w:szCs w:val="21"/>
              </w:rPr>
            </w:pPr>
            <w:r>
              <w:rPr>
                <w:rFonts w:ascii="宋体" w:hAnsi="宋体" w:eastAsia="宋体" w:cs="宋体"/>
                <w:spacing w:val="-2"/>
                <w:sz w:val="21"/>
                <w:szCs w:val="21"/>
              </w:rPr>
              <w:t>粪污、沼气</w:t>
            </w:r>
          </w:p>
        </w:tc>
        <w:tc>
          <w:tcPr>
            <w:tcW w:w="2548" w:type="dxa"/>
            <w:vAlign w:val="top"/>
          </w:tcPr>
          <w:p w14:paraId="2D0AFA96">
            <w:pPr>
              <w:spacing w:before="66" w:line="219" w:lineRule="auto"/>
              <w:ind w:left="26"/>
              <w:rPr>
                <w:rFonts w:ascii="宋体" w:hAnsi="宋体" w:eastAsia="宋体" w:cs="宋体"/>
                <w:sz w:val="21"/>
                <w:szCs w:val="21"/>
              </w:rPr>
            </w:pPr>
            <w:r>
              <w:rPr>
                <w:rFonts w:ascii="宋体" w:hAnsi="宋体" w:eastAsia="宋体" w:cs="宋体"/>
                <w:spacing w:val="-2"/>
                <w:sz w:val="21"/>
                <w:szCs w:val="21"/>
              </w:rPr>
              <w:t>收集池、厌氧发酵罐、管道</w:t>
            </w:r>
          </w:p>
        </w:tc>
        <w:tc>
          <w:tcPr>
            <w:tcW w:w="1941" w:type="dxa"/>
            <w:vAlign w:val="top"/>
          </w:tcPr>
          <w:p w14:paraId="32EDB808">
            <w:pPr>
              <w:spacing w:before="66" w:line="220" w:lineRule="auto"/>
              <w:ind w:left="240"/>
              <w:rPr>
                <w:rFonts w:ascii="宋体" w:hAnsi="宋体" w:eastAsia="宋体" w:cs="宋体"/>
                <w:sz w:val="21"/>
                <w:szCs w:val="21"/>
              </w:rPr>
            </w:pPr>
            <w:r>
              <w:rPr>
                <w:rFonts w:ascii="宋体" w:hAnsi="宋体" w:eastAsia="宋体" w:cs="宋体"/>
                <w:spacing w:val="-2"/>
                <w:sz w:val="21"/>
                <w:szCs w:val="21"/>
              </w:rPr>
              <w:t>池体、管道泄漏</w:t>
            </w:r>
          </w:p>
        </w:tc>
      </w:tr>
      <w:tr w14:paraId="2A0C4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6" w:type="dxa"/>
            <w:vAlign w:val="top"/>
          </w:tcPr>
          <w:p w14:paraId="71C4154F">
            <w:pPr>
              <w:pStyle w:val="6"/>
              <w:spacing w:before="103" w:line="188" w:lineRule="auto"/>
              <w:ind w:left="307"/>
            </w:pPr>
            <w:r>
              <w:t>2</w:t>
            </w:r>
          </w:p>
        </w:tc>
        <w:tc>
          <w:tcPr>
            <w:tcW w:w="1558" w:type="dxa"/>
            <w:vAlign w:val="top"/>
          </w:tcPr>
          <w:p w14:paraId="0C3346CA">
            <w:pPr>
              <w:spacing w:before="66" w:line="220" w:lineRule="auto"/>
              <w:ind w:left="364"/>
              <w:rPr>
                <w:rFonts w:ascii="宋体" w:hAnsi="宋体" w:eastAsia="宋体" w:cs="宋体"/>
                <w:sz w:val="21"/>
                <w:szCs w:val="21"/>
              </w:rPr>
            </w:pPr>
            <w:r>
              <w:rPr>
                <w:rFonts w:ascii="宋体" w:hAnsi="宋体" w:eastAsia="宋体" w:cs="宋体"/>
                <w:spacing w:val="-2"/>
                <w:sz w:val="21"/>
                <w:szCs w:val="21"/>
              </w:rPr>
              <w:t>辅料贮存</w:t>
            </w:r>
          </w:p>
        </w:tc>
        <w:tc>
          <w:tcPr>
            <w:tcW w:w="1557" w:type="dxa"/>
            <w:vAlign w:val="top"/>
          </w:tcPr>
          <w:p w14:paraId="59748CB5">
            <w:pPr>
              <w:spacing w:before="66" w:line="220" w:lineRule="auto"/>
              <w:ind w:left="47"/>
              <w:rPr>
                <w:rFonts w:ascii="宋体" w:hAnsi="宋体" w:eastAsia="宋体" w:cs="宋体"/>
                <w:sz w:val="21"/>
                <w:szCs w:val="21"/>
              </w:rPr>
            </w:pPr>
            <w:r>
              <w:rPr>
                <w:rFonts w:ascii="宋体" w:hAnsi="宋体" w:eastAsia="宋体" w:cs="宋体"/>
                <w:spacing w:val="-2"/>
                <w:sz w:val="21"/>
                <w:szCs w:val="21"/>
              </w:rPr>
              <w:t>柴油、次氯酸钠</w:t>
            </w:r>
          </w:p>
        </w:tc>
        <w:tc>
          <w:tcPr>
            <w:tcW w:w="2548" w:type="dxa"/>
            <w:vAlign w:val="top"/>
          </w:tcPr>
          <w:p w14:paraId="6DF7389F">
            <w:pPr>
              <w:spacing w:before="66" w:line="220" w:lineRule="auto"/>
              <w:ind w:left="334"/>
              <w:rPr>
                <w:rFonts w:ascii="宋体" w:hAnsi="宋体" w:eastAsia="宋体" w:cs="宋体"/>
                <w:sz w:val="21"/>
                <w:szCs w:val="21"/>
              </w:rPr>
            </w:pPr>
            <w:r>
              <w:rPr>
                <w:rFonts w:ascii="宋体" w:hAnsi="宋体" w:eastAsia="宋体" w:cs="宋体"/>
                <w:spacing w:val="-1"/>
                <w:sz w:val="21"/>
                <w:szCs w:val="21"/>
              </w:rPr>
              <w:t>柴油罐、次氯酸钠桶</w:t>
            </w:r>
          </w:p>
        </w:tc>
        <w:tc>
          <w:tcPr>
            <w:tcW w:w="1941" w:type="dxa"/>
            <w:vAlign w:val="top"/>
          </w:tcPr>
          <w:p w14:paraId="173C4B36">
            <w:pPr>
              <w:spacing w:before="66" w:line="221" w:lineRule="auto"/>
              <w:ind w:left="768"/>
              <w:rPr>
                <w:rFonts w:ascii="宋体" w:hAnsi="宋体" w:eastAsia="宋体" w:cs="宋体"/>
                <w:sz w:val="21"/>
                <w:szCs w:val="21"/>
              </w:rPr>
            </w:pPr>
            <w:r>
              <w:rPr>
                <w:rFonts w:ascii="宋体" w:hAnsi="宋体" w:eastAsia="宋体" w:cs="宋体"/>
                <w:spacing w:val="-3"/>
                <w:sz w:val="21"/>
                <w:szCs w:val="21"/>
              </w:rPr>
              <w:t>泄漏</w:t>
            </w:r>
          </w:p>
        </w:tc>
      </w:tr>
      <w:tr w14:paraId="3EF39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6" w:type="dxa"/>
            <w:vAlign w:val="top"/>
          </w:tcPr>
          <w:p w14:paraId="16A5F2B1">
            <w:pPr>
              <w:pStyle w:val="6"/>
              <w:spacing w:before="104" w:line="188" w:lineRule="auto"/>
              <w:ind w:left="312"/>
            </w:pPr>
            <w:r>
              <w:t>3</w:t>
            </w:r>
          </w:p>
        </w:tc>
        <w:tc>
          <w:tcPr>
            <w:tcW w:w="1558" w:type="dxa"/>
            <w:vAlign w:val="top"/>
          </w:tcPr>
          <w:p w14:paraId="07C2ADCB">
            <w:pPr>
              <w:spacing w:before="68" w:line="220" w:lineRule="auto"/>
              <w:ind w:left="364"/>
              <w:rPr>
                <w:rFonts w:ascii="宋体" w:hAnsi="宋体" w:eastAsia="宋体" w:cs="宋体"/>
                <w:sz w:val="21"/>
                <w:szCs w:val="21"/>
              </w:rPr>
            </w:pPr>
            <w:r>
              <w:rPr>
                <w:rFonts w:ascii="宋体" w:hAnsi="宋体" w:eastAsia="宋体" w:cs="宋体"/>
                <w:spacing w:val="-3"/>
                <w:sz w:val="21"/>
                <w:szCs w:val="21"/>
              </w:rPr>
              <w:t>危险废物</w:t>
            </w:r>
          </w:p>
        </w:tc>
        <w:tc>
          <w:tcPr>
            <w:tcW w:w="6046" w:type="dxa"/>
            <w:gridSpan w:val="3"/>
            <w:vAlign w:val="top"/>
          </w:tcPr>
          <w:p w14:paraId="53CFC043">
            <w:pPr>
              <w:spacing w:before="67" w:line="220" w:lineRule="auto"/>
              <w:ind w:left="1766"/>
              <w:rPr>
                <w:rFonts w:ascii="宋体" w:hAnsi="宋体" w:eastAsia="宋体" w:cs="宋体"/>
                <w:sz w:val="21"/>
                <w:szCs w:val="21"/>
              </w:rPr>
            </w:pPr>
            <w:r>
              <w:rPr>
                <w:rFonts w:ascii="宋体" w:hAnsi="宋体" w:eastAsia="宋体" w:cs="宋体"/>
                <w:spacing w:val="-1"/>
                <w:sz w:val="21"/>
                <w:szCs w:val="21"/>
              </w:rPr>
              <w:t>废物贮存及转运过程的风险</w:t>
            </w:r>
          </w:p>
        </w:tc>
      </w:tr>
    </w:tbl>
    <w:p w14:paraId="286D4D01">
      <w:pPr>
        <w:spacing w:before="291"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4.3.6.3 </w:t>
      </w:r>
      <w:r>
        <w:rPr>
          <w:rFonts w:ascii="宋体" w:hAnsi="宋体" w:eastAsia="宋体" w:cs="宋体"/>
          <w:b/>
          <w:bCs/>
          <w:spacing w:val="5"/>
          <w:sz w:val="27"/>
          <w:szCs w:val="27"/>
        </w:rPr>
        <w:t>事故伴生</w:t>
      </w:r>
      <w:r>
        <w:rPr>
          <w:rFonts w:ascii="Times New Roman" w:hAnsi="Times New Roman" w:eastAsia="Times New Roman" w:cs="Times New Roman"/>
          <w:b/>
          <w:bCs/>
          <w:spacing w:val="5"/>
          <w:sz w:val="27"/>
          <w:szCs w:val="27"/>
        </w:rPr>
        <w:t>/</w:t>
      </w:r>
      <w:r>
        <w:rPr>
          <w:rFonts w:ascii="宋体" w:hAnsi="宋体" w:eastAsia="宋体" w:cs="宋体"/>
          <w:b/>
          <w:bCs/>
          <w:spacing w:val="5"/>
          <w:sz w:val="27"/>
          <w:szCs w:val="27"/>
        </w:rPr>
        <w:t>次生危险性识别</w:t>
      </w:r>
    </w:p>
    <w:p w14:paraId="54E77D33">
      <w:pPr>
        <w:spacing w:before="235"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）事故泄漏的污水</w:t>
      </w:r>
    </w:p>
    <w:p w14:paraId="7D916C21">
      <w:pPr>
        <w:spacing w:before="183" w:line="360" w:lineRule="auto"/>
        <w:ind w:left="42" w:right="67" w:firstLine="492"/>
        <w:rPr>
          <w:rFonts w:ascii="宋体" w:hAnsi="宋体" w:eastAsia="宋体" w:cs="宋体"/>
          <w:sz w:val="24"/>
          <w:szCs w:val="24"/>
        </w:rPr>
      </w:pPr>
      <w:r>
        <w:rPr>
          <w:rFonts w:ascii="宋体" w:hAnsi="宋体" w:eastAsia="宋体" w:cs="宋体"/>
          <w:spacing w:val="-4"/>
          <w:sz w:val="24"/>
          <w:szCs w:val="24"/>
        </w:rPr>
        <w:t>当粪污处理系统的污水管道、粪污收集池等若发生管道或池体破裂等造成污</w:t>
      </w:r>
      <w:r>
        <w:rPr>
          <w:rFonts w:ascii="宋体" w:hAnsi="宋体" w:eastAsia="宋体" w:cs="宋体"/>
          <w:spacing w:val="-3"/>
          <w:sz w:val="24"/>
          <w:szCs w:val="24"/>
        </w:rPr>
        <w:t>水渗漏，事故外排，其中外排的污水等如不能及时有效处理，将会对环境造</w:t>
      </w:r>
      <w:r>
        <w:rPr>
          <w:rFonts w:ascii="宋体" w:hAnsi="宋体" w:eastAsia="宋体" w:cs="宋体"/>
          <w:spacing w:val="-4"/>
          <w:sz w:val="24"/>
          <w:szCs w:val="24"/>
        </w:rPr>
        <w:t>成二</w:t>
      </w:r>
      <w:r>
        <w:rPr>
          <w:rFonts w:ascii="宋体" w:hAnsi="宋体" w:eastAsia="宋体" w:cs="宋体"/>
          <w:spacing w:val="-3"/>
          <w:sz w:val="24"/>
          <w:szCs w:val="24"/>
        </w:rPr>
        <w:t>次污染。为此，必须定时检修、加强防渗。</w:t>
      </w:r>
    </w:p>
    <w:p w14:paraId="003D4CF8">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）柴油泄漏</w:t>
      </w:r>
    </w:p>
    <w:p w14:paraId="1E590B92">
      <w:pPr>
        <w:spacing w:before="182" w:line="360" w:lineRule="auto"/>
        <w:ind w:left="41" w:right="67" w:firstLine="478"/>
        <w:rPr>
          <w:rFonts w:ascii="宋体" w:hAnsi="宋体" w:eastAsia="宋体" w:cs="宋体"/>
          <w:sz w:val="24"/>
          <w:szCs w:val="24"/>
        </w:rPr>
      </w:pPr>
      <w:r>
        <w:rPr>
          <w:rFonts w:ascii="宋体" w:hAnsi="宋体" w:eastAsia="宋体" w:cs="宋体"/>
          <w:spacing w:val="-7"/>
          <w:sz w:val="24"/>
          <w:szCs w:val="24"/>
        </w:rPr>
        <w:t>柴油储罐、输油管破损后可能发生柴油泄漏， 柴油泄漏后产生含油废物，甚至引起火灾。</w:t>
      </w:r>
    </w:p>
    <w:p w14:paraId="494FBF19">
      <w:pPr>
        <w:spacing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）危险废物事故排放</w:t>
      </w:r>
    </w:p>
    <w:p w14:paraId="3EAC2589">
      <w:pPr>
        <w:spacing w:before="182" w:line="360" w:lineRule="auto"/>
        <w:ind w:left="57" w:right="67" w:firstLine="465"/>
        <w:rPr>
          <w:rFonts w:ascii="宋体" w:hAnsi="宋体" w:eastAsia="宋体" w:cs="宋体"/>
          <w:sz w:val="24"/>
          <w:szCs w:val="24"/>
        </w:rPr>
      </w:pPr>
      <w:r>
        <w:rPr>
          <w:rFonts w:ascii="宋体" w:hAnsi="宋体" w:eastAsia="宋体" w:cs="宋体"/>
          <w:spacing w:val="-3"/>
          <w:sz w:val="24"/>
          <w:szCs w:val="24"/>
        </w:rPr>
        <w:t>危险废物的暂存设施破损发生废矿物油泄漏，废矿物油外</w:t>
      </w:r>
      <w:r>
        <w:rPr>
          <w:rFonts w:ascii="宋体" w:hAnsi="宋体" w:eastAsia="宋体" w:cs="宋体"/>
          <w:spacing w:val="-4"/>
          <w:sz w:val="24"/>
          <w:szCs w:val="24"/>
        </w:rPr>
        <w:t>溢至外环境，容易</w:t>
      </w:r>
      <w:r>
        <w:rPr>
          <w:rFonts w:ascii="宋体" w:hAnsi="宋体" w:eastAsia="宋体" w:cs="宋体"/>
          <w:spacing w:val="-5"/>
          <w:sz w:val="24"/>
          <w:szCs w:val="24"/>
        </w:rPr>
        <w:t>引起土壤、地下水等环境污染。</w:t>
      </w:r>
    </w:p>
    <w:p w14:paraId="2B0240BF">
      <w:pPr>
        <w:spacing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）次氯酸钠泄露</w:t>
      </w:r>
    </w:p>
    <w:p w14:paraId="096E72C2">
      <w:pPr>
        <w:spacing w:before="183" w:line="360" w:lineRule="auto"/>
        <w:ind w:left="61" w:right="67" w:firstLine="463"/>
        <w:rPr>
          <w:rFonts w:ascii="宋体" w:hAnsi="宋体" w:eastAsia="宋体" w:cs="宋体"/>
          <w:sz w:val="24"/>
          <w:szCs w:val="24"/>
        </w:rPr>
      </w:pPr>
      <w:r>
        <w:rPr>
          <w:rFonts w:ascii="宋体" w:hAnsi="宋体" w:eastAsia="宋体" w:cs="宋体"/>
          <w:spacing w:val="-3"/>
          <w:sz w:val="24"/>
          <w:szCs w:val="24"/>
        </w:rPr>
        <w:t>次氯酸钠作为消毒剂泄漏后，人员接触会因其腐</w:t>
      </w:r>
      <w:r>
        <w:rPr>
          <w:rFonts w:ascii="宋体" w:hAnsi="宋体" w:eastAsia="宋体" w:cs="宋体"/>
          <w:spacing w:val="-4"/>
          <w:sz w:val="24"/>
          <w:szCs w:val="24"/>
        </w:rPr>
        <w:t>蚀性而受伤，也会引起人员</w:t>
      </w:r>
      <w:r>
        <w:rPr>
          <w:rFonts w:ascii="宋体" w:hAnsi="宋体" w:eastAsia="宋体" w:cs="宋体"/>
          <w:spacing w:val="-7"/>
          <w:sz w:val="24"/>
          <w:szCs w:val="24"/>
        </w:rPr>
        <w:t>中毒及大气环境污染。</w:t>
      </w:r>
    </w:p>
    <w:p w14:paraId="34E86E5E">
      <w:pPr>
        <w:spacing w:before="1"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）污水处理不达标</w:t>
      </w:r>
    </w:p>
    <w:p w14:paraId="76FB8B65">
      <w:pPr>
        <w:spacing w:before="182" w:line="360" w:lineRule="auto"/>
        <w:ind w:left="43" w:right="67" w:firstLine="478"/>
        <w:rPr>
          <w:rFonts w:ascii="宋体" w:hAnsi="宋体" w:eastAsia="宋体" w:cs="宋体"/>
          <w:sz w:val="24"/>
          <w:szCs w:val="24"/>
        </w:rPr>
      </w:pPr>
      <w:r>
        <w:rPr>
          <w:rFonts w:ascii="宋体" w:hAnsi="宋体" w:eastAsia="宋体" w:cs="宋体"/>
          <w:spacing w:val="-3"/>
          <w:sz w:val="24"/>
          <w:szCs w:val="24"/>
        </w:rPr>
        <w:t>污水处理站出现故障，无法正常运行，导致废水不能达标处</w:t>
      </w:r>
      <w:r>
        <w:rPr>
          <w:rFonts w:ascii="宋体" w:hAnsi="宋体" w:eastAsia="宋体" w:cs="宋体"/>
          <w:spacing w:val="-4"/>
          <w:sz w:val="24"/>
          <w:szCs w:val="24"/>
        </w:rPr>
        <w:t>理，造成环境污</w:t>
      </w:r>
      <w:r>
        <w:rPr>
          <w:rFonts w:ascii="宋体" w:hAnsi="宋体" w:eastAsia="宋体" w:cs="宋体"/>
          <w:spacing w:val="-12"/>
          <w:sz w:val="24"/>
          <w:szCs w:val="24"/>
        </w:rPr>
        <w:t>染。</w:t>
      </w:r>
    </w:p>
    <w:p w14:paraId="026AC9CC">
      <w:pPr>
        <w:spacing w:before="1"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）粪渣运输事故入河</w:t>
      </w:r>
    </w:p>
    <w:p w14:paraId="535FC001">
      <w:pPr>
        <w:spacing w:before="183" w:line="360" w:lineRule="auto"/>
        <w:ind w:left="38" w:firstLine="482"/>
        <w:rPr>
          <w:rFonts w:ascii="宋体" w:hAnsi="宋体" w:eastAsia="宋体" w:cs="宋体"/>
          <w:sz w:val="24"/>
          <w:szCs w:val="24"/>
        </w:rPr>
      </w:pPr>
      <w:r>
        <w:rPr>
          <w:rFonts w:ascii="宋体" w:hAnsi="宋体" w:eastAsia="宋体" w:cs="宋体"/>
          <w:spacing w:val="-1"/>
          <w:sz w:val="24"/>
          <w:szCs w:val="24"/>
        </w:rPr>
        <w:t>粪渣运输路线经过桥梁，在桥梁处因发生交通事故造成粪渣掉入</w:t>
      </w:r>
      <w:r>
        <w:rPr>
          <w:rFonts w:ascii="宋体" w:hAnsi="宋体" w:eastAsia="宋体" w:cs="宋体"/>
          <w:spacing w:val="-2"/>
          <w:sz w:val="24"/>
          <w:szCs w:val="24"/>
        </w:rPr>
        <w:t>河流水体，</w:t>
      </w:r>
      <w:r>
        <w:rPr>
          <w:rFonts w:ascii="宋体" w:hAnsi="宋体" w:eastAsia="宋体" w:cs="宋体"/>
          <w:spacing w:val="-5"/>
          <w:sz w:val="24"/>
          <w:szCs w:val="24"/>
        </w:rPr>
        <w:t>造成水环境污染。</w:t>
      </w:r>
    </w:p>
    <w:p w14:paraId="19841059">
      <w:pPr>
        <w:spacing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）感染疫病的病死猪暂存和处置过程</w:t>
      </w:r>
    </w:p>
    <w:p w14:paraId="162D84EA">
      <w:pPr>
        <w:spacing w:before="184" w:line="361" w:lineRule="auto"/>
        <w:ind w:left="38" w:right="67" w:firstLine="481"/>
        <w:rPr>
          <w:rFonts w:ascii="宋体" w:hAnsi="宋体" w:eastAsia="宋体" w:cs="宋体"/>
          <w:sz w:val="24"/>
          <w:szCs w:val="24"/>
        </w:rPr>
      </w:pPr>
      <w:r>
        <w:rPr>
          <w:rFonts w:ascii="宋体" w:hAnsi="宋体" w:eastAsia="宋体" w:cs="宋体"/>
          <w:spacing w:val="-7"/>
          <w:sz w:val="24"/>
          <w:szCs w:val="24"/>
        </w:rPr>
        <w:t>养殖场可能发生疫病，如猪瘟、口蹄疫等。若发生疫病时， 未能及时处理好</w:t>
      </w:r>
      <w:r>
        <w:rPr>
          <w:rFonts w:ascii="宋体" w:hAnsi="宋体" w:eastAsia="宋体" w:cs="宋体"/>
          <w:spacing w:val="-3"/>
          <w:sz w:val="24"/>
          <w:szCs w:val="24"/>
        </w:rPr>
        <w:t>病死猪的尸体，小范围内可能造成猪场其它生猪感染，大范围可能造成场外人畜</w:t>
      </w:r>
      <w:r>
        <w:rPr>
          <w:rFonts w:ascii="宋体" w:hAnsi="宋体" w:eastAsia="宋体" w:cs="宋体"/>
          <w:spacing w:val="-6"/>
          <w:sz w:val="24"/>
          <w:szCs w:val="24"/>
        </w:rPr>
        <w:t>及家禽感染。</w:t>
      </w:r>
    </w:p>
    <w:p w14:paraId="4D0BF6BE">
      <w:pPr>
        <w:spacing w:line="361" w:lineRule="auto"/>
        <w:rPr>
          <w:rFonts w:ascii="宋体" w:hAnsi="宋体" w:eastAsia="宋体" w:cs="宋体"/>
          <w:sz w:val="24"/>
          <w:szCs w:val="24"/>
        </w:rPr>
        <w:sectPr>
          <w:headerReference r:id="rId413" w:type="default"/>
          <w:footerReference r:id="rId414" w:type="default"/>
          <w:pgSz w:w="11905" w:h="16840"/>
          <w:pgMar w:top="1168" w:right="1730" w:bottom="1409" w:left="1770" w:header="828" w:footer="1244" w:gutter="0"/>
          <w:cols w:space="720" w:num="1"/>
        </w:sectPr>
      </w:pPr>
    </w:p>
    <w:p w14:paraId="60731E48">
      <w:pPr>
        <w:pStyle w:val="2"/>
        <w:spacing w:line="353" w:lineRule="auto"/>
      </w:pPr>
    </w:p>
    <w:p w14:paraId="547A60FE">
      <w:pPr>
        <w:spacing w:before="87"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4.3.6.4 </w:t>
      </w:r>
      <w:r>
        <w:rPr>
          <w:rFonts w:ascii="宋体" w:hAnsi="宋体" w:eastAsia="宋体" w:cs="宋体"/>
          <w:b/>
          <w:bCs/>
          <w:spacing w:val="5"/>
          <w:sz w:val="27"/>
          <w:szCs w:val="27"/>
        </w:rPr>
        <w:t>重大危险源识别</w:t>
      </w:r>
    </w:p>
    <w:p w14:paraId="31E76C8E">
      <w:pPr>
        <w:spacing w:before="233" w:line="361" w:lineRule="auto"/>
        <w:ind w:left="38" w:right="205" w:firstLine="480"/>
        <w:jc w:val="both"/>
        <w:rPr>
          <w:rFonts w:ascii="宋体" w:hAnsi="宋体" w:eastAsia="宋体" w:cs="宋体"/>
          <w:sz w:val="24"/>
          <w:szCs w:val="24"/>
        </w:rPr>
      </w:pPr>
      <w:r>
        <w:rPr>
          <w:rFonts w:ascii="宋体" w:hAnsi="宋体" w:eastAsia="宋体" w:cs="宋体"/>
          <w:spacing w:val="-4"/>
          <w:sz w:val="24"/>
          <w:szCs w:val="24"/>
        </w:rPr>
        <w:t>柴油属于易燃液体，次氯酸钠具有腐蚀性，根据《建设项目环境风险评价技</w:t>
      </w:r>
      <w:r>
        <w:rPr>
          <w:rFonts w:ascii="宋体" w:hAnsi="宋体" w:eastAsia="宋体" w:cs="宋体"/>
          <w:sz w:val="24"/>
          <w:szCs w:val="24"/>
        </w:rPr>
        <w:t>术导则》（</w:t>
      </w:r>
      <w:r>
        <w:rPr>
          <w:rFonts w:ascii="Times New Roman" w:hAnsi="Times New Roman" w:eastAsia="Times New Roman" w:cs="Times New Roman"/>
          <w:sz w:val="24"/>
          <w:szCs w:val="24"/>
        </w:rPr>
        <w:t>HJ169-2018</w:t>
      </w:r>
      <w:r>
        <w:rPr>
          <w:rFonts w:ascii="宋体" w:hAnsi="宋体" w:eastAsia="宋体" w:cs="宋体"/>
          <w:spacing w:val="-1"/>
          <w:sz w:val="24"/>
          <w:szCs w:val="24"/>
        </w:rPr>
        <w:t>），</w:t>
      </w:r>
      <w:r>
        <w:rPr>
          <w:rFonts w:ascii="宋体" w:hAnsi="宋体" w:eastAsia="宋体" w:cs="宋体"/>
          <w:sz w:val="24"/>
          <w:szCs w:val="24"/>
        </w:rPr>
        <w:t>本项目使用的柴油、次氯酸钠属</w:t>
      </w:r>
      <w:r>
        <w:rPr>
          <w:rFonts w:ascii="宋体" w:hAnsi="宋体" w:eastAsia="宋体" w:cs="宋体"/>
          <w:spacing w:val="-1"/>
          <w:sz w:val="24"/>
          <w:szCs w:val="24"/>
        </w:rPr>
        <w:t>于附录</w:t>
      </w:r>
      <w:r>
        <w:rPr>
          <w:rFonts w:ascii="Times New Roman" w:hAnsi="Times New Roman" w:eastAsia="Times New Roman" w:cs="Times New Roman"/>
          <w:spacing w:val="-1"/>
          <w:sz w:val="24"/>
          <w:szCs w:val="24"/>
        </w:rPr>
        <w:t>B</w:t>
      </w:r>
      <w:r>
        <w:rPr>
          <w:rFonts w:ascii="宋体" w:hAnsi="宋体" w:eastAsia="宋体" w:cs="宋体"/>
          <w:spacing w:val="-1"/>
          <w:sz w:val="24"/>
          <w:szCs w:val="24"/>
        </w:rPr>
        <w:t>中的重点关</w:t>
      </w:r>
      <w:r>
        <w:rPr>
          <w:rFonts w:ascii="宋体" w:hAnsi="宋体" w:eastAsia="宋体" w:cs="宋体"/>
          <w:spacing w:val="1"/>
          <w:sz w:val="24"/>
          <w:szCs w:val="24"/>
        </w:rPr>
        <w:t>注危险物质。柴油最大储存量</w:t>
      </w:r>
      <w:r>
        <w:rPr>
          <w:rFonts w:ascii="Times New Roman" w:hAnsi="Times New Roman" w:eastAsia="Times New Roman" w:cs="Times New Roman"/>
          <w:spacing w:val="1"/>
          <w:sz w:val="24"/>
          <w:szCs w:val="24"/>
        </w:rPr>
        <w:t>0.5070t</w:t>
      </w:r>
      <w:r>
        <w:rPr>
          <w:rFonts w:ascii="宋体" w:hAnsi="宋体" w:eastAsia="宋体" w:cs="宋体"/>
          <w:spacing w:val="1"/>
          <w:sz w:val="24"/>
          <w:szCs w:val="24"/>
        </w:rPr>
        <w:t>，小于临界量</w:t>
      </w:r>
      <w:r>
        <w:rPr>
          <w:rFonts w:ascii="Times New Roman" w:hAnsi="Times New Roman" w:eastAsia="Times New Roman" w:cs="Times New Roman"/>
          <w:spacing w:val="1"/>
          <w:sz w:val="24"/>
          <w:szCs w:val="24"/>
        </w:rPr>
        <w:t>2500t</w:t>
      </w:r>
      <w:r>
        <w:rPr>
          <w:rFonts w:ascii="宋体" w:hAnsi="宋体" w:eastAsia="宋体" w:cs="宋体"/>
          <w:spacing w:val="1"/>
          <w:sz w:val="24"/>
          <w:szCs w:val="24"/>
        </w:rPr>
        <w:t>；次氯酸钠最大储存量</w:t>
      </w:r>
      <w:r>
        <w:rPr>
          <w:rFonts w:ascii="Times New Roman" w:hAnsi="Times New Roman" w:eastAsia="Times New Roman" w:cs="Times New Roman"/>
          <w:spacing w:val="-1"/>
          <w:sz w:val="24"/>
          <w:szCs w:val="24"/>
        </w:rPr>
        <w:t>0.9t</w:t>
      </w:r>
      <w:r>
        <w:rPr>
          <w:rFonts w:ascii="宋体" w:hAnsi="宋体" w:eastAsia="宋体" w:cs="宋体"/>
          <w:spacing w:val="-1"/>
          <w:sz w:val="24"/>
          <w:szCs w:val="24"/>
        </w:rPr>
        <w:t>，小于临界量</w:t>
      </w:r>
      <w:r>
        <w:rPr>
          <w:rFonts w:ascii="Times New Roman" w:hAnsi="Times New Roman" w:eastAsia="Times New Roman" w:cs="Times New Roman"/>
          <w:spacing w:val="-1"/>
          <w:sz w:val="24"/>
          <w:szCs w:val="24"/>
        </w:rPr>
        <w:t>5t</w:t>
      </w:r>
      <w:r>
        <w:rPr>
          <w:rFonts w:ascii="宋体" w:hAnsi="宋体" w:eastAsia="宋体" w:cs="宋体"/>
          <w:spacing w:val="-1"/>
          <w:sz w:val="24"/>
          <w:szCs w:val="24"/>
        </w:rPr>
        <w:t>；沼气（折算为甲烷）最大储存量</w:t>
      </w:r>
      <w:r>
        <w:rPr>
          <w:rFonts w:ascii="Times New Roman" w:hAnsi="Times New Roman" w:eastAsia="Times New Roman" w:cs="Times New Roman"/>
          <w:spacing w:val="-1"/>
          <w:sz w:val="24"/>
          <w:szCs w:val="24"/>
        </w:rPr>
        <w:t>0.34t</w:t>
      </w:r>
      <w:r>
        <w:rPr>
          <w:rFonts w:ascii="宋体" w:hAnsi="宋体" w:eastAsia="宋体" w:cs="宋体"/>
          <w:spacing w:val="-1"/>
          <w:sz w:val="24"/>
          <w:szCs w:val="24"/>
        </w:rPr>
        <w:t>，小于临界量</w:t>
      </w:r>
      <w:r>
        <w:rPr>
          <w:rFonts w:ascii="Times New Roman" w:hAnsi="Times New Roman" w:eastAsia="Times New Roman" w:cs="Times New Roman"/>
          <w:spacing w:val="-1"/>
          <w:sz w:val="24"/>
          <w:szCs w:val="24"/>
        </w:rPr>
        <w:t>10t</w:t>
      </w:r>
      <w:r>
        <w:rPr>
          <w:rFonts w:ascii="宋体" w:hAnsi="宋体" w:eastAsia="宋体" w:cs="宋体"/>
          <w:spacing w:val="-1"/>
          <w:sz w:val="24"/>
          <w:szCs w:val="24"/>
        </w:rPr>
        <w:t>。因</w:t>
      </w:r>
      <w:r>
        <w:rPr>
          <w:rFonts w:ascii="宋体" w:hAnsi="宋体" w:eastAsia="宋体" w:cs="宋体"/>
          <w:spacing w:val="-3"/>
          <w:sz w:val="24"/>
          <w:szCs w:val="24"/>
        </w:rPr>
        <w:t>此，本项目不构成重大危险源。</w:t>
      </w:r>
    </w:p>
    <w:p w14:paraId="315ACD15">
      <w:pPr>
        <w:spacing w:before="164"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4.3.7  </w:t>
      </w:r>
      <w:r>
        <w:rPr>
          <w:rFonts w:ascii="宋体" w:hAnsi="宋体" w:eastAsia="宋体" w:cs="宋体"/>
          <w:b/>
          <w:bCs/>
          <w:spacing w:val="-2"/>
          <w:sz w:val="30"/>
          <w:szCs w:val="30"/>
        </w:rPr>
        <w:t>环境风险分析</w:t>
      </w:r>
    </w:p>
    <w:p w14:paraId="5F9D0361">
      <w:pPr>
        <w:pStyle w:val="2"/>
        <w:spacing w:line="259" w:lineRule="auto"/>
      </w:pPr>
    </w:p>
    <w:p w14:paraId="67A1FF8D">
      <w:pPr>
        <w:spacing w:before="78" w:line="361" w:lineRule="auto"/>
        <w:ind w:left="41" w:right="140" w:firstLine="478"/>
        <w:jc w:val="both"/>
        <w:rPr>
          <w:rFonts w:ascii="宋体" w:hAnsi="宋体" w:eastAsia="宋体" w:cs="宋体"/>
          <w:sz w:val="24"/>
          <w:szCs w:val="24"/>
        </w:rPr>
      </w:pPr>
      <w:r>
        <w:rPr>
          <w:rFonts w:ascii="宋体" w:hAnsi="宋体" w:eastAsia="宋体" w:cs="宋体"/>
          <w:spacing w:val="-3"/>
          <w:sz w:val="24"/>
          <w:szCs w:val="24"/>
        </w:rPr>
        <w:t>拟建项目环境风险主要包括：废水泄漏；沼气泄漏事故性风险；</w:t>
      </w:r>
      <w:r>
        <w:rPr>
          <w:rFonts w:ascii="宋体" w:hAnsi="宋体" w:eastAsia="宋体" w:cs="宋体"/>
          <w:spacing w:val="-4"/>
          <w:sz w:val="24"/>
          <w:szCs w:val="24"/>
        </w:rPr>
        <w:t>次氯酸钠等</w:t>
      </w:r>
      <w:r>
        <w:rPr>
          <w:rFonts w:ascii="宋体" w:hAnsi="宋体" w:eastAsia="宋体" w:cs="宋体"/>
          <w:spacing w:val="-1"/>
          <w:sz w:val="24"/>
          <w:szCs w:val="24"/>
        </w:rPr>
        <w:t>消毒剂泄漏事故性风险；柴油泄漏风险；危险废物事故排放对环</w:t>
      </w:r>
      <w:r>
        <w:rPr>
          <w:rFonts w:ascii="宋体" w:hAnsi="宋体" w:eastAsia="宋体" w:cs="宋体"/>
          <w:spacing w:val="-2"/>
          <w:sz w:val="24"/>
          <w:szCs w:val="24"/>
        </w:rPr>
        <w:t>境造成的风险；</w:t>
      </w:r>
      <w:r>
        <w:rPr>
          <w:rFonts w:ascii="宋体" w:hAnsi="宋体" w:eastAsia="宋体" w:cs="宋体"/>
          <w:spacing w:val="-1"/>
          <w:sz w:val="24"/>
          <w:szCs w:val="24"/>
        </w:rPr>
        <w:t>粪渣事故入河对水环境造成的风险；感染疫病的病</w:t>
      </w:r>
      <w:r>
        <w:rPr>
          <w:rFonts w:ascii="宋体" w:hAnsi="宋体" w:eastAsia="宋体" w:cs="宋体"/>
          <w:spacing w:val="-2"/>
          <w:sz w:val="24"/>
          <w:szCs w:val="24"/>
        </w:rPr>
        <w:t>死猪暂存和处置过程风险。</w:t>
      </w:r>
    </w:p>
    <w:p w14:paraId="6C6ED4DA">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4.3.7.1 </w:t>
      </w:r>
      <w:r>
        <w:rPr>
          <w:rFonts w:ascii="宋体" w:hAnsi="宋体" w:eastAsia="宋体" w:cs="宋体"/>
          <w:b/>
          <w:bCs/>
          <w:spacing w:val="6"/>
          <w:sz w:val="27"/>
          <w:szCs w:val="27"/>
        </w:rPr>
        <w:t>污水泄漏及事故排放影响分析</w:t>
      </w:r>
    </w:p>
    <w:p w14:paraId="2283243D">
      <w:pPr>
        <w:spacing w:before="236"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）事故类型</w:t>
      </w:r>
    </w:p>
    <w:p w14:paraId="31CB29D8">
      <w:pPr>
        <w:spacing w:before="182" w:line="360" w:lineRule="auto"/>
        <w:ind w:left="41" w:right="205" w:firstLine="480"/>
        <w:rPr>
          <w:rFonts w:ascii="宋体" w:hAnsi="宋体" w:eastAsia="宋体" w:cs="宋体"/>
          <w:sz w:val="24"/>
          <w:szCs w:val="24"/>
        </w:rPr>
      </w:pPr>
      <w:r>
        <w:rPr>
          <w:rFonts w:ascii="宋体" w:hAnsi="宋体" w:eastAsia="宋体" w:cs="宋体"/>
          <w:spacing w:val="-7"/>
          <w:sz w:val="24"/>
          <w:szCs w:val="24"/>
        </w:rPr>
        <w:t>污水处理站的粪污收集池等池体发生破损将会造成粪污泄漏、外排， 以及污</w:t>
      </w:r>
      <w:r>
        <w:rPr>
          <w:rFonts w:ascii="宋体" w:hAnsi="宋体" w:eastAsia="宋体" w:cs="宋体"/>
          <w:spacing w:val="-3"/>
          <w:sz w:val="24"/>
          <w:szCs w:val="24"/>
        </w:rPr>
        <w:t>水处理站发生故障而造成废水处理不达标，作为灌溉水可能对周边的地下水等造</w:t>
      </w:r>
      <w:r>
        <w:rPr>
          <w:rFonts w:ascii="宋体" w:hAnsi="宋体" w:eastAsia="宋体" w:cs="宋体"/>
          <w:spacing w:val="-9"/>
          <w:sz w:val="24"/>
          <w:szCs w:val="24"/>
        </w:rPr>
        <w:t>成影响。</w:t>
      </w:r>
    </w:p>
    <w:p w14:paraId="573654DE">
      <w:pPr>
        <w:spacing w:before="1"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）环境影响</w:t>
      </w:r>
    </w:p>
    <w:p w14:paraId="40622B6E">
      <w:pPr>
        <w:spacing w:before="182" w:line="217" w:lineRule="auto"/>
        <w:ind w:left="518"/>
        <w:rPr>
          <w:rFonts w:ascii="宋体" w:hAnsi="宋体" w:eastAsia="宋体" w:cs="宋体"/>
          <w:sz w:val="24"/>
          <w:szCs w:val="24"/>
        </w:rPr>
      </w:pPr>
      <w:r>
        <w:rPr>
          <w:rFonts w:ascii="宋体" w:hAnsi="宋体" w:eastAsia="宋体" w:cs="宋体"/>
          <w:spacing w:val="-1"/>
          <w:sz w:val="24"/>
          <w:szCs w:val="24"/>
        </w:rPr>
        <w:t>①地下水环境污染影响分析</w:t>
      </w:r>
    </w:p>
    <w:p w14:paraId="5546AA9B">
      <w:pPr>
        <w:spacing w:before="185" w:line="360" w:lineRule="auto"/>
        <w:ind w:left="38" w:firstLine="481"/>
        <w:jc w:val="both"/>
        <w:rPr>
          <w:rFonts w:ascii="宋体" w:hAnsi="宋体" w:eastAsia="宋体" w:cs="宋体"/>
          <w:sz w:val="24"/>
          <w:szCs w:val="24"/>
        </w:rPr>
      </w:pPr>
      <w:r>
        <w:rPr>
          <w:rFonts w:ascii="宋体" w:hAnsi="宋体" w:eastAsia="宋体" w:cs="宋体"/>
          <w:spacing w:val="-3"/>
          <w:sz w:val="24"/>
          <w:szCs w:val="24"/>
        </w:rPr>
        <w:t>本项目产生的废水主要为养殖废水和生活污水，事故排放容易</w:t>
      </w:r>
      <w:r>
        <w:rPr>
          <w:rFonts w:ascii="宋体" w:hAnsi="宋体" w:eastAsia="宋体" w:cs="宋体"/>
          <w:spacing w:val="-4"/>
          <w:sz w:val="24"/>
          <w:szCs w:val="24"/>
        </w:rPr>
        <w:t>导致地下水污</w:t>
      </w:r>
      <w:r>
        <w:rPr>
          <w:rFonts w:ascii="宋体" w:hAnsi="宋体" w:eastAsia="宋体" w:cs="宋体"/>
          <w:sz w:val="24"/>
          <w:szCs w:val="24"/>
        </w:rPr>
        <w:t>染问题，其对地下水的污染途径有两方面：一是污水排放，污水可通过包气带，</w:t>
      </w:r>
      <w:r>
        <w:rPr>
          <w:rFonts w:ascii="宋体" w:hAnsi="宋体" w:eastAsia="宋体" w:cs="宋体"/>
          <w:spacing w:val="-3"/>
          <w:sz w:val="24"/>
          <w:szCs w:val="24"/>
        </w:rPr>
        <w:t>对地下潜水产生一定的负面影响；二是污水处理构筑物及相关输送管道防渗效果</w:t>
      </w:r>
      <w:r>
        <w:rPr>
          <w:rFonts w:ascii="宋体" w:hAnsi="宋体" w:eastAsia="宋体" w:cs="宋体"/>
          <w:spacing w:val="-8"/>
          <w:sz w:val="24"/>
          <w:szCs w:val="24"/>
        </w:rPr>
        <w:t>达不到要求，也会导致废水垂直入渗地下。渗透方式为污染物通过土层垂直下渗，</w:t>
      </w:r>
      <w:r>
        <w:rPr>
          <w:rFonts w:ascii="宋体" w:hAnsi="宋体" w:eastAsia="宋体" w:cs="宋体"/>
          <w:spacing w:val="-3"/>
          <w:sz w:val="24"/>
          <w:szCs w:val="24"/>
        </w:rPr>
        <w:t>首先经过表土，再进入包气带，在包气带污染可以得到一定程度的净化，不能被</w:t>
      </w:r>
      <w:r>
        <w:rPr>
          <w:rFonts w:ascii="宋体" w:hAnsi="宋体" w:eastAsia="宋体" w:cs="宋体"/>
          <w:spacing w:val="-4"/>
          <w:sz w:val="24"/>
          <w:szCs w:val="24"/>
        </w:rPr>
        <w:t>净化或固定的污染物随入渗水进入地下水层。进入包气带入渗过程中会发生交换、</w:t>
      </w:r>
      <w:r>
        <w:rPr>
          <w:rFonts w:ascii="宋体" w:hAnsi="宋体" w:eastAsia="宋体" w:cs="宋体"/>
          <w:spacing w:val="-6"/>
          <w:sz w:val="24"/>
          <w:szCs w:val="24"/>
        </w:rPr>
        <w:t>吸附、过滤、降解等作用， 因而被不同程度的净化，只有在</w:t>
      </w:r>
      <w:r>
        <w:rPr>
          <w:rFonts w:ascii="宋体" w:hAnsi="宋体" w:eastAsia="宋体" w:cs="宋体"/>
          <w:spacing w:val="-7"/>
          <w:sz w:val="24"/>
          <w:szCs w:val="24"/>
        </w:rPr>
        <w:t>包气带土壤吸附饱和</w:t>
      </w:r>
      <w:r>
        <w:rPr>
          <w:rFonts w:ascii="宋体" w:hAnsi="宋体" w:eastAsia="宋体" w:cs="宋体"/>
          <w:spacing w:val="-3"/>
          <w:sz w:val="24"/>
          <w:szCs w:val="24"/>
        </w:rPr>
        <w:t>后，污染物才会继续下渗进入含水层。</w:t>
      </w:r>
    </w:p>
    <w:p w14:paraId="6908C585">
      <w:pPr>
        <w:spacing w:before="1" w:line="217" w:lineRule="auto"/>
        <w:ind w:left="517"/>
        <w:rPr>
          <w:rFonts w:ascii="宋体" w:hAnsi="宋体" w:eastAsia="宋体" w:cs="宋体"/>
          <w:sz w:val="24"/>
          <w:szCs w:val="24"/>
        </w:rPr>
      </w:pPr>
      <w:r>
        <w:rPr>
          <w:rFonts w:ascii="宋体" w:hAnsi="宋体" w:eastAsia="宋体" w:cs="宋体"/>
          <w:spacing w:val="-1"/>
          <w:sz w:val="24"/>
          <w:szCs w:val="24"/>
        </w:rPr>
        <w:t>②消纳地土壤环境污染影响分析</w:t>
      </w:r>
    </w:p>
    <w:p w14:paraId="029954E1">
      <w:pPr>
        <w:spacing w:before="185" w:line="362" w:lineRule="auto"/>
        <w:ind w:left="42" w:right="205" w:firstLine="478"/>
        <w:rPr>
          <w:rFonts w:ascii="宋体" w:hAnsi="宋体" w:eastAsia="宋体" w:cs="宋体"/>
          <w:sz w:val="24"/>
          <w:szCs w:val="24"/>
        </w:rPr>
      </w:pPr>
      <w:r>
        <w:rPr>
          <w:rFonts w:ascii="宋体" w:hAnsi="宋体" w:eastAsia="宋体" w:cs="宋体"/>
          <w:spacing w:val="-3"/>
          <w:sz w:val="24"/>
          <w:szCs w:val="24"/>
        </w:rPr>
        <w:t>本项目污水处理站处理设备一旦出现工作故障，便会造成废水</w:t>
      </w:r>
      <w:r>
        <w:rPr>
          <w:rFonts w:ascii="宋体" w:hAnsi="宋体" w:eastAsia="宋体" w:cs="宋体"/>
          <w:spacing w:val="-4"/>
          <w:sz w:val="24"/>
          <w:szCs w:val="24"/>
        </w:rPr>
        <w:t>无法处理或处</w:t>
      </w:r>
      <w:r>
        <w:rPr>
          <w:rFonts w:ascii="宋体" w:hAnsi="宋体" w:eastAsia="宋体" w:cs="宋体"/>
          <w:spacing w:val="3"/>
          <w:sz w:val="24"/>
          <w:szCs w:val="24"/>
        </w:rPr>
        <w:t>理后废水不达标。在此情况下，如不采取必要防范措施，高</w:t>
      </w:r>
      <w:r>
        <w:rPr>
          <w:rFonts w:ascii="Times New Roman" w:hAnsi="Times New Roman" w:eastAsia="Times New Roman" w:cs="Times New Roman"/>
          <w:sz w:val="24"/>
          <w:szCs w:val="24"/>
        </w:rPr>
        <w:t>COD</w:t>
      </w:r>
      <w:r>
        <w:rPr>
          <w:rFonts w:ascii="宋体" w:hAnsi="宋体" w:eastAsia="宋体" w:cs="宋体"/>
          <w:spacing w:val="3"/>
          <w:sz w:val="24"/>
          <w:szCs w:val="24"/>
        </w:rPr>
        <w:t>、高氮、高粪</w:t>
      </w:r>
    </w:p>
    <w:p w14:paraId="584C4578">
      <w:pPr>
        <w:spacing w:line="362" w:lineRule="auto"/>
        <w:rPr>
          <w:rFonts w:ascii="宋体" w:hAnsi="宋体" w:eastAsia="宋体" w:cs="宋体"/>
          <w:sz w:val="24"/>
          <w:szCs w:val="24"/>
        </w:rPr>
        <w:sectPr>
          <w:headerReference r:id="rId415" w:type="default"/>
          <w:footerReference r:id="rId416" w:type="default"/>
          <w:pgSz w:w="11905" w:h="16840"/>
          <w:pgMar w:top="1168" w:right="1592" w:bottom="1409" w:left="1770" w:header="828" w:footer="1244" w:gutter="0"/>
          <w:cols w:space="720" w:num="1"/>
        </w:sectPr>
      </w:pPr>
    </w:p>
    <w:p w14:paraId="66F69870">
      <w:pPr>
        <w:pStyle w:val="2"/>
        <w:spacing w:line="306" w:lineRule="auto"/>
      </w:pPr>
    </w:p>
    <w:p w14:paraId="0B376E16">
      <w:pPr>
        <w:spacing w:before="78" w:line="360" w:lineRule="auto"/>
        <w:ind w:left="38" w:right="18" w:firstLine="3"/>
        <w:jc w:val="both"/>
        <w:rPr>
          <w:rFonts w:ascii="宋体" w:hAnsi="宋体" w:eastAsia="宋体" w:cs="宋体"/>
          <w:sz w:val="24"/>
          <w:szCs w:val="24"/>
        </w:rPr>
      </w:pPr>
      <w:r>
        <w:rPr>
          <w:rFonts w:ascii="宋体" w:hAnsi="宋体" w:eastAsia="宋体" w:cs="宋体"/>
          <w:spacing w:val="-3"/>
          <w:sz w:val="24"/>
          <w:szCs w:val="24"/>
        </w:rPr>
        <w:t>大肠菌群数的废水直接用于消纳地内灌溉，将导致消纳地内农作物或经济作</w:t>
      </w:r>
      <w:r>
        <w:rPr>
          <w:rFonts w:ascii="宋体" w:hAnsi="宋体" w:eastAsia="宋体" w:cs="宋体"/>
          <w:spacing w:val="-4"/>
          <w:sz w:val="24"/>
          <w:szCs w:val="24"/>
        </w:rPr>
        <w:t>物无</w:t>
      </w:r>
      <w:r>
        <w:rPr>
          <w:rFonts w:ascii="宋体" w:hAnsi="宋体" w:eastAsia="宋体" w:cs="宋体"/>
          <w:spacing w:val="-3"/>
          <w:sz w:val="24"/>
          <w:szCs w:val="24"/>
        </w:rPr>
        <w:t>法正常生长甚至死亡，造成重大经济损失。未经处理的废水中含有的高浓度有机</w:t>
      </w:r>
      <w:r>
        <w:rPr>
          <w:rFonts w:ascii="宋体" w:hAnsi="宋体" w:eastAsia="宋体" w:cs="宋体"/>
          <w:spacing w:val="-6"/>
          <w:sz w:val="24"/>
          <w:szCs w:val="24"/>
        </w:rPr>
        <w:t>物、氨氮会使土壤环境质量严重恶化。当废水超过了土壤的自净</w:t>
      </w:r>
      <w:r>
        <w:rPr>
          <w:rFonts w:ascii="宋体" w:hAnsi="宋体" w:eastAsia="宋体" w:cs="宋体"/>
          <w:spacing w:val="-7"/>
          <w:sz w:val="24"/>
          <w:szCs w:val="24"/>
        </w:rPr>
        <w:t>能力， 便会出现</w:t>
      </w:r>
      <w:r>
        <w:rPr>
          <w:rFonts w:ascii="宋体" w:hAnsi="宋体" w:eastAsia="宋体" w:cs="宋体"/>
          <w:spacing w:val="-3"/>
          <w:sz w:val="24"/>
          <w:szCs w:val="24"/>
        </w:rPr>
        <w:t>降解不完全和厌氧腐解，产生恶臭物质和亚硝酸盐等有害物质，引起土壤的组成</w:t>
      </w:r>
      <w:r>
        <w:rPr>
          <w:rFonts w:ascii="宋体" w:hAnsi="宋体" w:eastAsia="宋体" w:cs="宋体"/>
          <w:spacing w:val="-1"/>
          <w:sz w:val="24"/>
          <w:szCs w:val="24"/>
        </w:rPr>
        <w:t>和性状发生改变，破坏其原有的基本功能；作物则会徒长、倒伏、晚熟或不熟，</w:t>
      </w:r>
      <w:r>
        <w:rPr>
          <w:rFonts w:ascii="宋体" w:hAnsi="宋体" w:eastAsia="宋体" w:cs="宋体"/>
          <w:spacing w:val="-6"/>
          <w:sz w:val="24"/>
          <w:szCs w:val="24"/>
        </w:rPr>
        <w:t>造成减产、甚至毒害作物使之出现大面积腐烂。此外， 土壤对</w:t>
      </w:r>
      <w:r>
        <w:rPr>
          <w:rFonts w:ascii="宋体" w:hAnsi="宋体" w:eastAsia="宋体" w:cs="宋体"/>
          <w:spacing w:val="-7"/>
          <w:sz w:val="24"/>
          <w:szCs w:val="24"/>
        </w:rPr>
        <w:t>病原微生物的自净</w:t>
      </w:r>
      <w:r>
        <w:rPr>
          <w:rFonts w:ascii="宋体" w:hAnsi="宋体" w:eastAsia="宋体" w:cs="宋体"/>
          <w:spacing w:val="-2"/>
          <w:sz w:val="24"/>
          <w:szCs w:val="24"/>
        </w:rPr>
        <w:t>能力下降，不仅增加了净化难度，而且易造成生物污染和疫病传播。</w:t>
      </w:r>
    </w:p>
    <w:p w14:paraId="741DAA93">
      <w:pPr>
        <w:spacing w:line="217" w:lineRule="auto"/>
        <w:ind w:left="517"/>
        <w:rPr>
          <w:rFonts w:ascii="宋体" w:hAnsi="宋体" w:eastAsia="宋体" w:cs="宋体"/>
          <w:sz w:val="24"/>
          <w:szCs w:val="24"/>
        </w:rPr>
      </w:pPr>
      <w:r>
        <w:rPr>
          <w:rFonts w:ascii="宋体" w:hAnsi="宋体" w:eastAsia="宋体" w:cs="宋体"/>
          <w:spacing w:val="-1"/>
          <w:sz w:val="24"/>
          <w:szCs w:val="24"/>
        </w:rPr>
        <w:t>③大气环境污染影响分析</w:t>
      </w:r>
    </w:p>
    <w:p w14:paraId="219BAEE8">
      <w:pPr>
        <w:spacing w:before="185" w:line="360" w:lineRule="auto"/>
        <w:ind w:left="42" w:right="85" w:firstLine="480"/>
        <w:rPr>
          <w:rFonts w:ascii="宋体" w:hAnsi="宋体" w:eastAsia="宋体" w:cs="宋体"/>
          <w:sz w:val="24"/>
          <w:szCs w:val="24"/>
        </w:rPr>
      </w:pPr>
      <w:r>
        <w:rPr>
          <w:rFonts w:ascii="宋体" w:hAnsi="宋体" w:eastAsia="宋体" w:cs="宋体"/>
          <w:spacing w:val="-3"/>
          <w:sz w:val="24"/>
          <w:szCs w:val="24"/>
        </w:rPr>
        <w:t>未经任何处理的猪粪污中含有大量的微生物，在风的作</w:t>
      </w:r>
      <w:r>
        <w:rPr>
          <w:rFonts w:ascii="宋体" w:hAnsi="宋体" w:eastAsia="宋体" w:cs="宋体"/>
          <w:spacing w:val="-4"/>
          <w:sz w:val="24"/>
          <w:szCs w:val="24"/>
        </w:rPr>
        <w:t>用下极易扩散到空气</w:t>
      </w:r>
      <w:r>
        <w:rPr>
          <w:rFonts w:ascii="宋体" w:hAnsi="宋体" w:eastAsia="宋体" w:cs="宋体"/>
          <w:spacing w:val="-11"/>
          <w:sz w:val="24"/>
          <w:szCs w:val="24"/>
        </w:rPr>
        <w:t>中，可引起口蹄疫和大肠埃希菌、炭疽、布氏杆菌、真菌胞子等引起</w:t>
      </w:r>
      <w:r>
        <w:rPr>
          <w:rFonts w:ascii="宋体" w:hAnsi="宋体" w:eastAsia="宋体" w:cs="宋体"/>
          <w:spacing w:val="-12"/>
          <w:sz w:val="24"/>
          <w:szCs w:val="24"/>
        </w:rPr>
        <w:t>的疫病传播，</w:t>
      </w:r>
      <w:r>
        <w:rPr>
          <w:rFonts w:ascii="宋体" w:hAnsi="宋体" w:eastAsia="宋体" w:cs="宋体"/>
          <w:spacing w:val="-5"/>
          <w:sz w:val="24"/>
          <w:szCs w:val="24"/>
        </w:rPr>
        <w:t>危害人和动物健康。</w:t>
      </w:r>
    </w:p>
    <w:p w14:paraId="4310645F">
      <w:pPr>
        <w:spacing w:before="1" w:line="361" w:lineRule="auto"/>
        <w:ind w:left="40" w:right="85" w:firstLine="481"/>
        <w:jc w:val="both"/>
        <w:rPr>
          <w:rFonts w:ascii="宋体" w:hAnsi="宋体" w:eastAsia="宋体" w:cs="宋体"/>
          <w:sz w:val="24"/>
          <w:szCs w:val="24"/>
        </w:rPr>
      </w:pPr>
      <w:r>
        <w:rPr>
          <w:rFonts w:ascii="宋体" w:hAnsi="宋体" w:eastAsia="宋体" w:cs="宋体"/>
          <w:spacing w:val="-3"/>
          <w:sz w:val="24"/>
          <w:szCs w:val="24"/>
        </w:rPr>
        <w:t>综上分析，本次评价要求建设单位落实好防污措施以外，</w:t>
      </w:r>
      <w:r>
        <w:rPr>
          <w:rFonts w:ascii="宋体" w:hAnsi="宋体" w:eastAsia="宋体" w:cs="宋体"/>
          <w:spacing w:val="-4"/>
          <w:sz w:val="24"/>
          <w:szCs w:val="24"/>
        </w:rPr>
        <w:t>还要按防渗分区的</w:t>
      </w:r>
      <w:r>
        <w:rPr>
          <w:rFonts w:ascii="宋体" w:hAnsi="宋体" w:eastAsia="宋体" w:cs="宋体"/>
          <w:spacing w:val="-3"/>
          <w:sz w:val="24"/>
          <w:szCs w:val="24"/>
        </w:rPr>
        <w:t>要求落实好防渗措施，确保污染物能得到有效处理，并将风险事故发生的概率降</w:t>
      </w:r>
      <w:r>
        <w:rPr>
          <w:rFonts w:ascii="宋体" w:hAnsi="宋体" w:eastAsia="宋体" w:cs="宋体"/>
          <w:spacing w:val="-2"/>
          <w:sz w:val="24"/>
          <w:szCs w:val="24"/>
        </w:rPr>
        <w:t>至最低，避免污染物因下渗或泄漏对环境造成影响。</w:t>
      </w:r>
    </w:p>
    <w:p w14:paraId="0B5E70D4">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4.3.7.2</w:t>
      </w:r>
      <w:r>
        <w:rPr>
          <w:rFonts w:ascii="Times New Roman" w:hAnsi="Times New Roman" w:eastAsia="Times New Roman" w:cs="Times New Roman"/>
          <w:b/>
          <w:bCs/>
          <w:spacing w:val="25"/>
          <w:w w:val="101"/>
          <w:sz w:val="27"/>
          <w:szCs w:val="27"/>
        </w:rPr>
        <w:t xml:space="preserve"> </w:t>
      </w:r>
      <w:r>
        <w:rPr>
          <w:rFonts w:ascii="宋体" w:hAnsi="宋体" w:eastAsia="宋体" w:cs="宋体"/>
          <w:b/>
          <w:bCs/>
          <w:spacing w:val="4"/>
          <w:sz w:val="27"/>
          <w:szCs w:val="27"/>
        </w:rPr>
        <w:t>沼气泄漏影响分析</w:t>
      </w:r>
    </w:p>
    <w:p w14:paraId="727E8992">
      <w:pPr>
        <w:spacing w:before="236" w:line="361" w:lineRule="auto"/>
        <w:ind w:left="40" w:right="85" w:firstLine="480"/>
        <w:jc w:val="both"/>
        <w:rPr>
          <w:rFonts w:ascii="宋体" w:hAnsi="宋体" w:eastAsia="宋体" w:cs="宋体"/>
          <w:sz w:val="24"/>
          <w:szCs w:val="24"/>
        </w:rPr>
      </w:pPr>
      <w:r>
        <w:rPr>
          <w:rFonts w:ascii="宋体" w:hAnsi="宋体" w:eastAsia="宋体" w:cs="宋体"/>
          <w:spacing w:val="-7"/>
          <w:sz w:val="24"/>
          <w:szCs w:val="24"/>
        </w:rPr>
        <w:t>污水处理站的厌氧反应器会产生沼气，沼气一旦遇到明火、高热， 就会发生</w:t>
      </w:r>
      <w:r>
        <w:rPr>
          <w:rFonts w:ascii="宋体" w:hAnsi="宋体" w:eastAsia="宋体" w:cs="宋体"/>
          <w:spacing w:val="-6"/>
          <w:sz w:val="24"/>
          <w:szCs w:val="24"/>
        </w:rPr>
        <w:t>燃烧事故。同时结合报道的国内沼气典型事故案例， 由于沼</w:t>
      </w:r>
      <w:r>
        <w:rPr>
          <w:rFonts w:ascii="宋体" w:hAnsi="宋体" w:eastAsia="宋体" w:cs="宋体"/>
          <w:spacing w:val="-7"/>
          <w:sz w:val="24"/>
          <w:szCs w:val="24"/>
        </w:rPr>
        <w:t>气具有隐蔽性，沼气</w:t>
      </w:r>
      <w:r>
        <w:rPr>
          <w:rFonts w:ascii="宋体" w:hAnsi="宋体" w:eastAsia="宋体" w:cs="宋体"/>
          <w:spacing w:val="-5"/>
          <w:sz w:val="24"/>
          <w:szCs w:val="24"/>
        </w:rPr>
        <w:t>发生的事故还涉及中毒事件。由于本项目粪污处理区周围分布有少</w:t>
      </w:r>
      <w:r>
        <w:rPr>
          <w:rFonts w:ascii="宋体" w:hAnsi="宋体" w:eastAsia="宋体" w:cs="宋体"/>
          <w:spacing w:val="-6"/>
          <w:sz w:val="24"/>
          <w:szCs w:val="24"/>
        </w:rPr>
        <w:t>量农户，</w:t>
      </w:r>
      <w:r>
        <w:rPr>
          <w:rFonts w:ascii="宋体" w:hAnsi="宋体" w:eastAsia="宋体" w:cs="宋体"/>
          <w:spacing w:val="-44"/>
          <w:sz w:val="24"/>
          <w:szCs w:val="24"/>
        </w:rPr>
        <w:t xml:space="preserve"> </w:t>
      </w:r>
      <w:r>
        <w:rPr>
          <w:rFonts w:ascii="宋体" w:hAnsi="宋体" w:eastAsia="宋体" w:cs="宋体"/>
          <w:spacing w:val="-6"/>
          <w:sz w:val="24"/>
          <w:szCs w:val="24"/>
        </w:rPr>
        <w:t>沼气</w:t>
      </w:r>
      <w:r>
        <w:rPr>
          <w:rFonts w:ascii="宋体" w:hAnsi="宋体" w:eastAsia="宋体" w:cs="宋体"/>
          <w:spacing w:val="-5"/>
          <w:sz w:val="24"/>
          <w:szCs w:val="24"/>
        </w:rPr>
        <w:t>泄漏发生火灾、爆炸或者中毒都易对农户造成直接影响，</w:t>
      </w:r>
      <w:r>
        <w:rPr>
          <w:rFonts w:ascii="宋体" w:hAnsi="宋体" w:eastAsia="宋体" w:cs="宋体"/>
          <w:spacing w:val="-44"/>
          <w:sz w:val="24"/>
          <w:szCs w:val="24"/>
        </w:rPr>
        <w:t xml:space="preserve"> </w:t>
      </w:r>
      <w:r>
        <w:rPr>
          <w:rFonts w:ascii="宋体" w:hAnsi="宋体" w:eastAsia="宋体" w:cs="宋体"/>
          <w:spacing w:val="-5"/>
          <w:sz w:val="24"/>
          <w:szCs w:val="24"/>
        </w:rPr>
        <w:t>也会对周</w:t>
      </w:r>
      <w:r>
        <w:rPr>
          <w:rFonts w:ascii="宋体" w:hAnsi="宋体" w:eastAsia="宋体" w:cs="宋体"/>
          <w:spacing w:val="-6"/>
          <w:sz w:val="24"/>
          <w:szCs w:val="24"/>
        </w:rPr>
        <w:t>围环境空气造</w:t>
      </w:r>
      <w:r>
        <w:rPr>
          <w:rFonts w:ascii="宋体" w:hAnsi="宋体" w:eastAsia="宋体" w:cs="宋体"/>
          <w:spacing w:val="-7"/>
          <w:sz w:val="24"/>
          <w:szCs w:val="24"/>
        </w:rPr>
        <w:t>成不利影响。</w:t>
      </w:r>
    </w:p>
    <w:p w14:paraId="44DF433C">
      <w:pPr>
        <w:spacing w:before="50"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4.3.7.3</w:t>
      </w:r>
      <w:r>
        <w:rPr>
          <w:rFonts w:ascii="Times New Roman" w:hAnsi="Times New Roman" w:eastAsia="Times New Roman" w:cs="Times New Roman"/>
          <w:b/>
          <w:bCs/>
          <w:spacing w:val="33"/>
          <w:w w:val="101"/>
          <w:sz w:val="27"/>
          <w:szCs w:val="27"/>
        </w:rPr>
        <w:t xml:space="preserve"> </w:t>
      </w:r>
      <w:r>
        <w:rPr>
          <w:rFonts w:ascii="宋体" w:hAnsi="宋体" w:eastAsia="宋体" w:cs="宋体"/>
          <w:b/>
          <w:bCs/>
          <w:spacing w:val="5"/>
          <w:sz w:val="27"/>
          <w:szCs w:val="27"/>
        </w:rPr>
        <w:t>消毒剂使用及贮存过程的风险分析</w:t>
      </w:r>
    </w:p>
    <w:p w14:paraId="32ED730D">
      <w:pPr>
        <w:spacing w:before="236" w:line="361" w:lineRule="auto"/>
        <w:ind w:left="40" w:firstLine="480"/>
        <w:jc w:val="both"/>
        <w:rPr>
          <w:rFonts w:ascii="宋体" w:hAnsi="宋体" w:eastAsia="宋体" w:cs="宋体"/>
          <w:sz w:val="24"/>
          <w:szCs w:val="24"/>
        </w:rPr>
      </w:pPr>
      <w:r>
        <w:rPr>
          <w:rFonts w:ascii="宋体" w:hAnsi="宋体" w:eastAsia="宋体" w:cs="宋体"/>
          <w:spacing w:val="-5"/>
          <w:sz w:val="24"/>
          <w:szCs w:val="24"/>
        </w:rPr>
        <w:t>本项目污水处理站使用次氯酸钠作为消毒剂，猪舍及洗消区使用</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84</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消毒液、</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18~20%</w:t>
      </w:r>
      <w:r>
        <w:rPr>
          <w:rFonts w:ascii="宋体" w:hAnsi="宋体" w:eastAsia="宋体" w:cs="宋体"/>
          <w:spacing w:val="-3"/>
          <w:sz w:val="24"/>
          <w:szCs w:val="24"/>
        </w:rPr>
        <w:t>浓度的过氧乙酸等作为养殖场的主要消毒剂，消毒液具有一定的腐蚀性、</w:t>
      </w:r>
      <w:r>
        <w:rPr>
          <w:rFonts w:ascii="宋体" w:hAnsi="宋体" w:eastAsia="宋体" w:cs="宋体"/>
          <w:spacing w:val="-5"/>
          <w:sz w:val="24"/>
          <w:szCs w:val="24"/>
        </w:rPr>
        <w:t>氧化性。消毒剂在储存及使用过程若造成的泄漏容易造成人员受伤</w:t>
      </w:r>
      <w:r>
        <w:rPr>
          <w:rFonts w:ascii="宋体" w:hAnsi="宋体" w:eastAsia="宋体" w:cs="宋体"/>
          <w:spacing w:val="-6"/>
          <w:sz w:val="24"/>
          <w:szCs w:val="24"/>
        </w:rPr>
        <w:t>或中毒，</w:t>
      </w:r>
      <w:r>
        <w:rPr>
          <w:rFonts w:ascii="宋体" w:hAnsi="宋体" w:eastAsia="宋体" w:cs="宋体"/>
          <w:spacing w:val="-44"/>
          <w:sz w:val="24"/>
          <w:szCs w:val="24"/>
        </w:rPr>
        <w:t xml:space="preserve"> </w:t>
      </w:r>
      <w:r>
        <w:rPr>
          <w:rFonts w:ascii="宋体" w:hAnsi="宋体" w:eastAsia="宋体" w:cs="宋体"/>
          <w:spacing w:val="-6"/>
          <w:sz w:val="24"/>
          <w:szCs w:val="24"/>
        </w:rPr>
        <w:t>也可</w:t>
      </w:r>
      <w:r>
        <w:rPr>
          <w:rFonts w:ascii="宋体" w:hAnsi="宋体" w:eastAsia="宋体" w:cs="宋体"/>
          <w:spacing w:val="-3"/>
          <w:sz w:val="24"/>
          <w:szCs w:val="24"/>
        </w:rPr>
        <w:t>能会对周围的环境造成一定的不良影响。</w:t>
      </w:r>
    </w:p>
    <w:p w14:paraId="33D4D1C2">
      <w:pPr>
        <w:spacing w:before="53"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4.3.7.4 </w:t>
      </w:r>
      <w:r>
        <w:rPr>
          <w:rFonts w:ascii="宋体" w:hAnsi="宋体" w:eastAsia="宋体" w:cs="宋体"/>
          <w:b/>
          <w:bCs/>
          <w:spacing w:val="5"/>
          <w:sz w:val="27"/>
          <w:szCs w:val="27"/>
        </w:rPr>
        <w:t>柴油泄漏影响分析</w:t>
      </w:r>
    </w:p>
    <w:p w14:paraId="12FCC425">
      <w:pPr>
        <w:spacing w:before="234"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）事故类型</w:t>
      </w:r>
    </w:p>
    <w:p w14:paraId="1F2B64B9">
      <w:pPr>
        <w:spacing w:before="182" w:line="220" w:lineRule="auto"/>
        <w:ind w:right="18"/>
        <w:jc w:val="right"/>
        <w:rPr>
          <w:rFonts w:ascii="宋体" w:hAnsi="宋体" w:eastAsia="宋体" w:cs="宋体"/>
          <w:sz w:val="24"/>
          <w:szCs w:val="24"/>
        </w:rPr>
      </w:pPr>
      <w:r>
        <w:rPr>
          <w:rFonts w:ascii="宋体" w:hAnsi="宋体" w:eastAsia="宋体" w:cs="宋体"/>
          <w:spacing w:val="-8"/>
          <w:sz w:val="24"/>
          <w:szCs w:val="24"/>
        </w:rPr>
        <w:t>柴油罐泄漏最常见的主要是阀门、管线接口不严、设备的老化等</w:t>
      </w:r>
      <w:r>
        <w:rPr>
          <w:rFonts w:ascii="宋体" w:hAnsi="宋体" w:eastAsia="宋体" w:cs="宋体"/>
          <w:spacing w:val="-9"/>
          <w:sz w:val="24"/>
          <w:szCs w:val="24"/>
        </w:rPr>
        <w:t>原因造成的，</w:t>
      </w:r>
    </w:p>
    <w:p w14:paraId="3316DD28">
      <w:pPr>
        <w:spacing w:line="220" w:lineRule="auto"/>
        <w:rPr>
          <w:rFonts w:ascii="宋体" w:hAnsi="宋体" w:eastAsia="宋体" w:cs="宋体"/>
          <w:sz w:val="24"/>
          <w:szCs w:val="24"/>
        </w:rPr>
        <w:sectPr>
          <w:headerReference r:id="rId417" w:type="default"/>
          <w:footerReference r:id="rId418" w:type="default"/>
          <w:pgSz w:w="11905" w:h="16840"/>
          <w:pgMar w:top="1168" w:right="1712" w:bottom="1409" w:left="1770" w:header="828" w:footer="1244" w:gutter="0"/>
          <w:cols w:space="720" w:num="1"/>
        </w:sectPr>
      </w:pPr>
    </w:p>
    <w:p w14:paraId="19CC5FD4">
      <w:pPr>
        <w:pStyle w:val="2"/>
        <w:spacing w:line="305" w:lineRule="auto"/>
      </w:pPr>
    </w:p>
    <w:p w14:paraId="3A1E8A64">
      <w:pPr>
        <w:spacing w:before="78" w:line="359" w:lineRule="auto"/>
        <w:ind w:left="38" w:right="84" w:firstLine="1"/>
        <w:jc w:val="both"/>
        <w:rPr>
          <w:rFonts w:ascii="宋体" w:hAnsi="宋体" w:eastAsia="宋体" w:cs="宋体"/>
          <w:sz w:val="24"/>
          <w:szCs w:val="24"/>
        </w:rPr>
      </w:pPr>
      <w:r>
        <w:rPr>
          <w:rFonts w:ascii="宋体" w:hAnsi="宋体" w:eastAsia="宋体" w:cs="宋体"/>
          <w:spacing w:val="-3"/>
          <w:sz w:val="24"/>
          <w:szCs w:val="24"/>
        </w:rPr>
        <w:t>其渗漏量很小，根据经验数据，因管道、阀门、储罐等发生小型或严重的泄</w:t>
      </w:r>
      <w:r>
        <w:rPr>
          <w:rFonts w:ascii="宋体" w:hAnsi="宋体" w:eastAsia="宋体" w:cs="宋体"/>
          <w:spacing w:val="-4"/>
          <w:sz w:val="24"/>
          <w:szCs w:val="24"/>
        </w:rPr>
        <w:t>漏事</w:t>
      </w:r>
      <w:r>
        <w:rPr>
          <w:rFonts w:ascii="宋体" w:hAnsi="宋体" w:eastAsia="宋体" w:cs="宋体"/>
          <w:spacing w:val="2"/>
          <w:sz w:val="24"/>
          <w:szCs w:val="24"/>
        </w:rPr>
        <w:t>故的概率为</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10"/>
          <w:sz w:val="15"/>
          <w:szCs w:val="15"/>
        </w:rPr>
        <w:t>-1</w:t>
      </w:r>
      <w:r>
        <w:rPr>
          <w:rFonts w:ascii="Times New Roman" w:hAnsi="Times New Roman" w:eastAsia="Times New Roman" w:cs="Times New Roman"/>
          <w:spacing w:val="2"/>
          <w:sz w:val="24"/>
          <w:szCs w:val="24"/>
        </w:rPr>
        <w:t>/a</w:t>
      </w:r>
      <w:r>
        <w:rPr>
          <w:rFonts w:ascii="宋体" w:hAnsi="宋体" w:eastAsia="宋体" w:cs="宋体"/>
          <w:spacing w:val="2"/>
          <w:sz w:val="24"/>
          <w:szCs w:val="24"/>
        </w:rPr>
        <w:t>，属于可能发生和</w:t>
      </w:r>
      <w:r>
        <w:rPr>
          <w:rFonts w:ascii="宋体" w:hAnsi="宋体" w:eastAsia="宋体" w:cs="宋体"/>
          <w:spacing w:val="1"/>
          <w:sz w:val="24"/>
          <w:szCs w:val="24"/>
        </w:rPr>
        <w:t>偶尔发生，不可接受水平，应立即采取</w:t>
      </w:r>
      <w:r>
        <w:rPr>
          <w:rFonts w:ascii="宋体" w:hAnsi="宋体" w:eastAsia="宋体" w:cs="宋体"/>
          <w:spacing w:val="2"/>
          <w:sz w:val="24"/>
          <w:szCs w:val="24"/>
        </w:rPr>
        <w:t>对策减少危险，储罐发生爆裂事故的概率为</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10"/>
          <w:sz w:val="15"/>
          <w:szCs w:val="15"/>
        </w:rPr>
        <w:t>-4</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宋体" w:hAnsi="宋体" w:eastAsia="宋体" w:cs="宋体"/>
          <w:spacing w:val="1"/>
          <w:sz w:val="24"/>
          <w:szCs w:val="24"/>
        </w:rPr>
        <w:t>属于极少发生，但管理上不</w:t>
      </w:r>
      <w:r>
        <w:rPr>
          <w:rFonts w:ascii="宋体" w:hAnsi="宋体" w:eastAsia="宋体" w:cs="宋体"/>
          <w:spacing w:val="-3"/>
          <w:sz w:val="24"/>
          <w:szCs w:val="24"/>
        </w:rPr>
        <w:t>可掉以轻心，仍需要进一步加强风险防范，力争通过系统地管理、合理采取风险</w:t>
      </w:r>
      <w:r>
        <w:rPr>
          <w:rFonts w:ascii="宋体" w:hAnsi="宋体" w:eastAsia="宋体" w:cs="宋体"/>
          <w:spacing w:val="-2"/>
          <w:sz w:val="24"/>
          <w:szCs w:val="24"/>
        </w:rPr>
        <w:t>防范应急措施，使得项目风险水平维持在较低水平。</w:t>
      </w:r>
    </w:p>
    <w:p w14:paraId="6CFCDD1E">
      <w:pPr>
        <w:spacing w:before="7"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）环境影响</w:t>
      </w:r>
    </w:p>
    <w:p w14:paraId="71A3099C">
      <w:pPr>
        <w:spacing w:before="182" w:line="217" w:lineRule="auto"/>
        <w:ind w:left="518"/>
        <w:rPr>
          <w:rFonts w:ascii="宋体" w:hAnsi="宋体" w:eastAsia="宋体" w:cs="宋体"/>
          <w:sz w:val="24"/>
          <w:szCs w:val="24"/>
        </w:rPr>
      </w:pPr>
      <w:r>
        <w:rPr>
          <w:rFonts w:ascii="宋体" w:hAnsi="宋体" w:eastAsia="宋体" w:cs="宋体"/>
          <w:spacing w:val="-1"/>
          <w:sz w:val="24"/>
          <w:szCs w:val="24"/>
        </w:rPr>
        <w:t>①对地表水的污染</w:t>
      </w:r>
    </w:p>
    <w:p w14:paraId="75EF503E">
      <w:pPr>
        <w:spacing w:before="185" w:line="360" w:lineRule="auto"/>
        <w:ind w:left="38" w:right="85" w:firstLine="484"/>
        <w:jc w:val="both"/>
        <w:rPr>
          <w:rFonts w:ascii="宋体" w:hAnsi="宋体" w:eastAsia="宋体" w:cs="宋体"/>
          <w:sz w:val="24"/>
          <w:szCs w:val="24"/>
        </w:rPr>
      </w:pPr>
      <w:r>
        <w:rPr>
          <w:rFonts w:ascii="宋体" w:hAnsi="宋体" w:eastAsia="宋体" w:cs="宋体"/>
          <w:spacing w:val="-3"/>
          <w:sz w:val="24"/>
          <w:szCs w:val="24"/>
        </w:rPr>
        <w:t>泄漏或渗漏的柴油一旦进入地表水体，将造成地表水体</w:t>
      </w:r>
      <w:r>
        <w:rPr>
          <w:rFonts w:ascii="宋体" w:hAnsi="宋体" w:eastAsia="宋体" w:cs="宋体"/>
          <w:spacing w:val="-4"/>
          <w:sz w:val="24"/>
          <w:szCs w:val="24"/>
        </w:rPr>
        <w:t>的污染，影响范围小</w:t>
      </w:r>
      <w:r>
        <w:rPr>
          <w:rFonts w:ascii="宋体" w:hAnsi="宋体" w:eastAsia="宋体" w:cs="宋体"/>
          <w:spacing w:val="-5"/>
          <w:sz w:val="24"/>
          <w:szCs w:val="24"/>
        </w:rPr>
        <w:t>到几公里大到几十公里。污染首先将造成地表水体的景观破坏，</w:t>
      </w:r>
      <w:r>
        <w:rPr>
          <w:rFonts w:ascii="宋体" w:hAnsi="宋体" w:eastAsia="宋体" w:cs="宋体"/>
          <w:spacing w:val="-48"/>
          <w:sz w:val="24"/>
          <w:szCs w:val="24"/>
        </w:rPr>
        <w:t xml:space="preserve"> </w:t>
      </w:r>
      <w:r>
        <w:rPr>
          <w:rFonts w:ascii="宋体" w:hAnsi="宋体" w:eastAsia="宋体" w:cs="宋体"/>
          <w:spacing w:val="-5"/>
          <w:sz w:val="24"/>
          <w:szCs w:val="24"/>
        </w:rPr>
        <w:t>产生严重的刺鼻</w:t>
      </w:r>
      <w:r>
        <w:rPr>
          <w:rFonts w:ascii="宋体" w:hAnsi="宋体" w:eastAsia="宋体" w:cs="宋体"/>
          <w:spacing w:val="-3"/>
          <w:sz w:val="24"/>
          <w:szCs w:val="24"/>
        </w:rPr>
        <w:t>气味；其次，由于有机烃类物质难溶于水，大部分上浮在水层表面，形成一层油膜使空气与水隔离，造成水中溶解氧浓度降低，逐渐形成死水，致使水中生物死</w:t>
      </w:r>
      <w:r>
        <w:rPr>
          <w:rFonts w:ascii="宋体" w:hAnsi="宋体" w:eastAsia="宋体" w:cs="宋体"/>
          <w:sz w:val="24"/>
          <w:szCs w:val="24"/>
        </w:rPr>
        <w:t>亡；再次，成品油的主要成分是</w:t>
      </w:r>
      <w:r>
        <w:rPr>
          <w:rFonts w:ascii="Times New Roman" w:hAnsi="Times New Roman" w:eastAsia="Times New Roman" w:cs="Times New Roman"/>
          <w:sz w:val="24"/>
          <w:szCs w:val="24"/>
        </w:rPr>
        <w:t>C</w:t>
      </w:r>
      <w:r>
        <w:rPr>
          <w:rFonts w:ascii="Times New Roman" w:hAnsi="Times New Roman" w:eastAsia="Times New Roman" w:cs="Times New Roman"/>
          <w:position w:val="-2"/>
          <w:sz w:val="15"/>
          <w:szCs w:val="15"/>
        </w:rPr>
        <w:t>4</w:t>
      </w:r>
      <w:r>
        <w:rPr>
          <w:rFonts w:ascii="Times New Roman" w:hAnsi="Times New Roman" w:eastAsia="Times New Roman" w:cs="Times New Roman"/>
          <w:sz w:val="24"/>
          <w:szCs w:val="24"/>
        </w:rPr>
        <w:t>~C</w:t>
      </w:r>
      <w:r>
        <w:rPr>
          <w:rFonts w:ascii="Times New Roman" w:hAnsi="Times New Roman" w:eastAsia="Times New Roman" w:cs="Times New Roman"/>
          <w:position w:val="-2"/>
          <w:sz w:val="15"/>
          <w:szCs w:val="15"/>
        </w:rPr>
        <w:t>9</w:t>
      </w:r>
      <w:r>
        <w:rPr>
          <w:rFonts w:ascii="Times New Roman" w:hAnsi="Times New Roman" w:eastAsia="Times New Roman" w:cs="Times New Roman"/>
          <w:spacing w:val="-8"/>
          <w:position w:val="-2"/>
          <w:sz w:val="15"/>
          <w:szCs w:val="15"/>
        </w:rPr>
        <w:t xml:space="preserve"> </w:t>
      </w:r>
      <w:r>
        <w:rPr>
          <w:rFonts w:ascii="宋体" w:hAnsi="宋体" w:eastAsia="宋体" w:cs="宋体"/>
          <w:sz w:val="24"/>
          <w:szCs w:val="24"/>
        </w:rPr>
        <w:t>的烃类</w:t>
      </w:r>
      <w:r>
        <w:rPr>
          <w:rFonts w:ascii="宋体" w:hAnsi="宋体" w:eastAsia="宋体" w:cs="宋体"/>
          <w:spacing w:val="-1"/>
          <w:sz w:val="24"/>
          <w:szCs w:val="24"/>
        </w:rPr>
        <w:t>、芳烃类、醇酮类以及卤代烃类有</w:t>
      </w:r>
      <w:r>
        <w:rPr>
          <w:rFonts w:ascii="宋体" w:hAnsi="宋体" w:eastAsia="宋体" w:cs="宋体"/>
          <w:spacing w:val="-10"/>
          <w:sz w:val="24"/>
          <w:szCs w:val="24"/>
        </w:rPr>
        <w:t>机物，一旦进入水环境，由于可生化性较差，造成被污染水体长时间得不到净化，</w:t>
      </w:r>
      <w:r>
        <w:rPr>
          <w:rFonts w:ascii="宋体" w:hAnsi="宋体" w:eastAsia="宋体" w:cs="宋体"/>
          <w:spacing w:val="-3"/>
          <w:sz w:val="24"/>
          <w:szCs w:val="24"/>
        </w:rPr>
        <w:t>完全恢复则需十几年、甚至几十年的时间。</w:t>
      </w:r>
    </w:p>
    <w:p w14:paraId="4643087E">
      <w:pPr>
        <w:spacing w:line="217" w:lineRule="auto"/>
        <w:ind w:left="517"/>
        <w:rPr>
          <w:rFonts w:ascii="宋体" w:hAnsi="宋体" w:eastAsia="宋体" w:cs="宋体"/>
          <w:sz w:val="24"/>
          <w:szCs w:val="24"/>
        </w:rPr>
      </w:pPr>
      <w:r>
        <w:rPr>
          <w:rFonts w:ascii="宋体" w:hAnsi="宋体" w:eastAsia="宋体" w:cs="宋体"/>
          <w:spacing w:val="-1"/>
          <w:sz w:val="24"/>
          <w:szCs w:val="24"/>
        </w:rPr>
        <w:t>②对地下水的污染</w:t>
      </w:r>
    </w:p>
    <w:p w14:paraId="10B33B73">
      <w:pPr>
        <w:spacing w:before="185" w:line="360" w:lineRule="auto"/>
        <w:ind w:left="39" w:firstLine="479"/>
        <w:rPr>
          <w:rFonts w:ascii="宋体" w:hAnsi="宋体" w:eastAsia="宋体" w:cs="宋体"/>
          <w:sz w:val="24"/>
          <w:szCs w:val="24"/>
        </w:rPr>
      </w:pPr>
      <w:r>
        <w:rPr>
          <w:rFonts w:ascii="宋体" w:hAnsi="宋体" w:eastAsia="宋体" w:cs="宋体"/>
          <w:spacing w:val="-3"/>
          <w:sz w:val="24"/>
          <w:szCs w:val="24"/>
        </w:rPr>
        <w:t>储油罐发生泄漏或渗漏时对地下水的污染较为严重，地下水一旦遭</w:t>
      </w:r>
      <w:r>
        <w:rPr>
          <w:rFonts w:ascii="宋体" w:hAnsi="宋体" w:eastAsia="宋体" w:cs="宋体"/>
          <w:spacing w:val="-4"/>
          <w:sz w:val="24"/>
          <w:szCs w:val="24"/>
        </w:rPr>
        <w:t>到成品油</w:t>
      </w:r>
      <w:r>
        <w:rPr>
          <w:rFonts w:ascii="宋体" w:hAnsi="宋体" w:eastAsia="宋体" w:cs="宋体"/>
          <w:spacing w:val="-1"/>
          <w:sz w:val="24"/>
          <w:szCs w:val="24"/>
        </w:rPr>
        <w:t>的污染，将使地下水产生严重异味，并具有较强的致畸致癌性，根本无法饮用。</w:t>
      </w:r>
      <w:r>
        <w:rPr>
          <w:rFonts w:ascii="宋体" w:hAnsi="宋体" w:eastAsia="宋体" w:cs="宋体"/>
          <w:spacing w:val="-3"/>
          <w:sz w:val="24"/>
          <w:szCs w:val="24"/>
        </w:rPr>
        <w:t>同时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w:t>
      </w:r>
      <w:r>
        <w:rPr>
          <w:rFonts w:ascii="宋体" w:hAnsi="宋体" w:eastAsia="宋体" w:cs="宋体"/>
          <w:spacing w:val="-2"/>
          <w:sz w:val="24"/>
          <w:szCs w:val="24"/>
        </w:rPr>
        <w:t>制，地下水要完全恢复也需几十年甚至上百年的时间。</w:t>
      </w:r>
    </w:p>
    <w:p w14:paraId="549F018C">
      <w:pPr>
        <w:spacing w:line="360" w:lineRule="auto"/>
        <w:ind w:left="38" w:right="85" w:firstLine="484"/>
        <w:jc w:val="both"/>
        <w:rPr>
          <w:rFonts w:ascii="宋体" w:hAnsi="宋体" w:eastAsia="宋体" w:cs="宋体"/>
          <w:sz w:val="24"/>
          <w:szCs w:val="24"/>
        </w:rPr>
      </w:pPr>
      <w:r>
        <w:rPr>
          <w:rFonts w:ascii="宋体" w:hAnsi="宋体" w:eastAsia="宋体" w:cs="宋体"/>
          <w:spacing w:val="-3"/>
          <w:sz w:val="24"/>
          <w:szCs w:val="24"/>
        </w:rPr>
        <w:t>项目柴油罐一旦发生泄漏，如果不能及时有效控制，将</w:t>
      </w:r>
      <w:r>
        <w:rPr>
          <w:rFonts w:ascii="宋体" w:hAnsi="宋体" w:eastAsia="宋体" w:cs="宋体"/>
          <w:spacing w:val="-4"/>
          <w:sz w:val="24"/>
          <w:szCs w:val="24"/>
        </w:rPr>
        <w:t>会在场区内漫流，进</w:t>
      </w:r>
      <w:r>
        <w:rPr>
          <w:rFonts w:ascii="宋体" w:hAnsi="宋体" w:eastAsia="宋体" w:cs="宋体"/>
          <w:spacing w:val="-3"/>
          <w:sz w:val="24"/>
          <w:szCs w:val="24"/>
        </w:rPr>
        <w:t>而渗入地下，下雨时会形成饱和下渗补充至地下水，项目区域地下水将不可避免</w:t>
      </w:r>
      <w:r>
        <w:rPr>
          <w:rFonts w:ascii="宋体" w:hAnsi="宋体" w:eastAsia="宋体" w:cs="宋体"/>
          <w:spacing w:val="-7"/>
          <w:sz w:val="24"/>
          <w:szCs w:val="24"/>
        </w:rPr>
        <w:t>遭受污染。</w:t>
      </w:r>
    </w:p>
    <w:p w14:paraId="717BF3EB">
      <w:pPr>
        <w:spacing w:before="1" w:line="217" w:lineRule="auto"/>
        <w:ind w:left="517"/>
        <w:rPr>
          <w:rFonts w:ascii="宋体" w:hAnsi="宋体" w:eastAsia="宋体" w:cs="宋体"/>
          <w:sz w:val="24"/>
          <w:szCs w:val="24"/>
        </w:rPr>
      </w:pPr>
      <w:r>
        <w:rPr>
          <w:rFonts w:ascii="宋体" w:hAnsi="宋体" w:eastAsia="宋体" w:cs="宋体"/>
          <w:spacing w:val="-1"/>
          <w:sz w:val="24"/>
          <w:szCs w:val="24"/>
        </w:rPr>
        <w:t>③对大气环境的污染</w:t>
      </w:r>
    </w:p>
    <w:p w14:paraId="4C9A1E0C">
      <w:pPr>
        <w:spacing w:before="185" w:line="360" w:lineRule="auto"/>
        <w:ind w:left="39" w:right="85" w:firstLine="480"/>
        <w:rPr>
          <w:rFonts w:ascii="宋体" w:hAnsi="宋体" w:eastAsia="宋体" w:cs="宋体"/>
          <w:sz w:val="24"/>
          <w:szCs w:val="24"/>
        </w:rPr>
      </w:pPr>
      <w:r>
        <w:rPr>
          <w:rFonts w:ascii="宋体" w:hAnsi="宋体" w:eastAsia="宋体" w:cs="宋体"/>
          <w:spacing w:val="-3"/>
          <w:sz w:val="24"/>
          <w:szCs w:val="24"/>
        </w:rPr>
        <w:t>根据国内外的研究，对于突发性的事故溢油，油品溢出后在地面</w:t>
      </w:r>
      <w:r>
        <w:rPr>
          <w:rFonts w:ascii="宋体" w:hAnsi="宋体" w:eastAsia="宋体" w:cs="宋体"/>
          <w:spacing w:val="-4"/>
          <w:sz w:val="24"/>
          <w:szCs w:val="24"/>
        </w:rPr>
        <w:t>呈不规则的</w:t>
      </w:r>
      <w:r>
        <w:rPr>
          <w:rFonts w:ascii="宋体" w:hAnsi="宋体" w:eastAsia="宋体" w:cs="宋体"/>
          <w:spacing w:val="-3"/>
          <w:sz w:val="24"/>
          <w:szCs w:val="24"/>
        </w:rPr>
        <w:t>面源分布，油品的挥发速度重要影响因素为油品蒸汽压、现场风速、油品溢出面</w:t>
      </w:r>
      <w:r>
        <w:rPr>
          <w:rFonts w:ascii="宋体" w:hAnsi="宋体" w:eastAsia="宋体" w:cs="宋体"/>
          <w:spacing w:val="-4"/>
          <w:sz w:val="24"/>
          <w:szCs w:val="24"/>
        </w:rPr>
        <w:t>积、油品蒸汽分子平均重度。</w:t>
      </w:r>
    </w:p>
    <w:p w14:paraId="7E22DED3">
      <w:pPr>
        <w:spacing w:before="1" w:line="218" w:lineRule="auto"/>
        <w:ind w:right="15"/>
        <w:jc w:val="right"/>
        <w:rPr>
          <w:rFonts w:ascii="宋体" w:hAnsi="宋体" w:eastAsia="宋体" w:cs="宋体"/>
          <w:sz w:val="24"/>
          <w:szCs w:val="24"/>
        </w:rPr>
      </w:pPr>
      <w:r>
        <w:rPr>
          <w:rFonts w:ascii="宋体" w:hAnsi="宋体" w:eastAsia="宋体" w:cs="宋体"/>
          <w:spacing w:val="-1"/>
          <w:sz w:val="24"/>
          <w:szCs w:val="24"/>
        </w:rPr>
        <w:t>本项目一旦发生油罐泄漏事故时，由于柴油不易挥发，即使油品自然挥</w:t>
      </w:r>
      <w:r>
        <w:rPr>
          <w:rFonts w:ascii="宋体" w:hAnsi="宋体" w:eastAsia="宋体" w:cs="宋体"/>
          <w:spacing w:val="-2"/>
          <w:sz w:val="24"/>
          <w:szCs w:val="24"/>
        </w:rPr>
        <w:t>发，</w:t>
      </w:r>
    </w:p>
    <w:p w14:paraId="4B2D1F96">
      <w:pPr>
        <w:spacing w:line="218" w:lineRule="auto"/>
        <w:rPr>
          <w:rFonts w:ascii="宋体" w:hAnsi="宋体" w:eastAsia="宋体" w:cs="宋体"/>
          <w:sz w:val="24"/>
          <w:szCs w:val="24"/>
        </w:rPr>
        <w:sectPr>
          <w:headerReference r:id="rId419" w:type="default"/>
          <w:footerReference r:id="rId420" w:type="default"/>
          <w:pgSz w:w="11905" w:h="16840"/>
          <w:pgMar w:top="1168" w:right="1712" w:bottom="1409" w:left="1770" w:header="828" w:footer="1244" w:gutter="0"/>
          <w:cols w:space="720" w:num="1"/>
        </w:sectPr>
      </w:pPr>
    </w:p>
    <w:p w14:paraId="7C33343E">
      <w:pPr>
        <w:pStyle w:val="2"/>
        <w:spacing w:line="306" w:lineRule="auto"/>
      </w:pPr>
    </w:p>
    <w:p w14:paraId="468B9B42">
      <w:pPr>
        <w:spacing w:before="78" w:line="362" w:lineRule="auto"/>
        <w:ind w:left="38" w:right="85"/>
        <w:rPr>
          <w:rFonts w:ascii="宋体" w:hAnsi="宋体" w:eastAsia="宋体" w:cs="宋体"/>
          <w:sz w:val="24"/>
          <w:szCs w:val="24"/>
        </w:rPr>
      </w:pPr>
      <w:r>
        <w:rPr>
          <w:rFonts w:ascii="宋体" w:hAnsi="宋体" w:eastAsia="宋体" w:cs="宋体"/>
          <w:spacing w:val="-3"/>
          <w:sz w:val="24"/>
          <w:szCs w:val="24"/>
        </w:rPr>
        <w:t>挥发仅会对小区域内的环境空气造成一定的污染，不会造成大面积的扩散，通过及时处理回收利用，对大气环境影响较小。</w:t>
      </w:r>
    </w:p>
    <w:p w14:paraId="70ACF978">
      <w:pPr>
        <w:spacing w:before="51" w:line="227"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4.3.7.5 </w:t>
      </w:r>
      <w:r>
        <w:rPr>
          <w:rFonts w:ascii="宋体" w:hAnsi="宋体" w:eastAsia="宋体" w:cs="宋体"/>
          <w:b/>
          <w:bCs/>
          <w:spacing w:val="6"/>
          <w:sz w:val="27"/>
          <w:szCs w:val="27"/>
        </w:rPr>
        <w:t>危险废物贮运过程的风险分析</w:t>
      </w:r>
    </w:p>
    <w:p w14:paraId="093D4B93">
      <w:pPr>
        <w:spacing w:before="231" w:line="361" w:lineRule="auto"/>
        <w:ind w:left="37" w:firstLine="482"/>
        <w:jc w:val="both"/>
        <w:rPr>
          <w:rFonts w:ascii="宋体" w:hAnsi="宋体" w:eastAsia="宋体" w:cs="宋体"/>
          <w:sz w:val="24"/>
          <w:szCs w:val="24"/>
        </w:rPr>
      </w:pPr>
      <w:r>
        <w:rPr>
          <w:rFonts w:ascii="宋体" w:hAnsi="宋体" w:eastAsia="宋体" w:cs="宋体"/>
          <w:spacing w:val="-3"/>
          <w:sz w:val="24"/>
          <w:szCs w:val="24"/>
        </w:rPr>
        <w:t>本项目产生的危险废物为废矿物油，桶装暂存于危废暂存间，</w:t>
      </w:r>
      <w:r>
        <w:rPr>
          <w:rFonts w:ascii="宋体" w:hAnsi="宋体" w:eastAsia="宋体" w:cs="宋体"/>
          <w:spacing w:val="-4"/>
          <w:sz w:val="24"/>
          <w:szCs w:val="24"/>
        </w:rPr>
        <w:t>废矿物油贮运</w:t>
      </w:r>
      <w:r>
        <w:rPr>
          <w:rFonts w:ascii="宋体" w:hAnsi="宋体" w:eastAsia="宋体" w:cs="宋体"/>
          <w:spacing w:val="-7"/>
          <w:sz w:val="24"/>
          <w:szCs w:val="24"/>
        </w:rPr>
        <w:t>过程的环境风险为废油泄漏后，进入含水层或土壤，造成地下水和土壤</w:t>
      </w:r>
      <w:r>
        <w:rPr>
          <w:rFonts w:ascii="宋体" w:hAnsi="宋体" w:eastAsia="宋体" w:cs="宋体"/>
          <w:spacing w:val="-8"/>
          <w:sz w:val="24"/>
          <w:szCs w:val="24"/>
        </w:rPr>
        <w:t>环境污染。</w:t>
      </w:r>
      <w:r>
        <w:rPr>
          <w:rFonts w:ascii="宋体" w:hAnsi="宋体" w:eastAsia="宋体" w:cs="宋体"/>
          <w:spacing w:val="-3"/>
          <w:sz w:val="24"/>
          <w:szCs w:val="24"/>
        </w:rPr>
        <w:t>本项目危废暂存间进行重点防渗处理，地面采取有效的防渗措施，废矿物油采取桶装（加盖）暂存，并在收集桶下设置托盘，可有效控制污染物下渗现象，对地下水和土壤环境影响甚微。危险废物经妥善收集后交由有危废处理资质的单位处</w:t>
      </w:r>
      <w:r>
        <w:rPr>
          <w:rFonts w:ascii="宋体" w:hAnsi="宋体" w:eastAsia="宋体" w:cs="宋体"/>
          <w:spacing w:val="-2"/>
          <w:sz w:val="24"/>
          <w:szCs w:val="24"/>
        </w:rPr>
        <w:t>置，运输过程采用全封闭方式，将贮运过程风险降至最低。</w:t>
      </w:r>
    </w:p>
    <w:p w14:paraId="0C397E62">
      <w:pPr>
        <w:spacing w:before="52"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4.3.7.8 </w:t>
      </w:r>
      <w:r>
        <w:rPr>
          <w:rFonts w:ascii="宋体" w:hAnsi="宋体" w:eastAsia="宋体" w:cs="宋体"/>
          <w:b/>
          <w:bCs/>
          <w:spacing w:val="5"/>
          <w:sz w:val="27"/>
          <w:szCs w:val="27"/>
        </w:rPr>
        <w:t>粪渣运输过程的风险分析</w:t>
      </w:r>
    </w:p>
    <w:p w14:paraId="11E3CE16">
      <w:pPr>
        <w:spacing w:before="236" w:line="360" w:lineRule="auto"/>
        <w:ind w:left="40" w:right="17" w:firstLine="479"/>
        <w:jc w:val="both"/>
        <w:rPr>
          <w:rFonts w:ascii="宋体" w:hAnsi="宋体" w:eastAsia="宋体" w:cs="宋体"/>
          <w:sz w:val="24"/>
          <w:szCs w:val="24"/>
        </w:rPr>
      </w:pPr>
      <w:r>
        <w:rPr>
          <w:rFonts w:ascii="宋体" w:hAnsi="宋体" w:eastAsia="宋体" w:cs="宋体"/>
          <w:spacing w:val="-1"/>
          <w:sz w:val="24"/>
          <w:szCs w:val="24"/>
        </w:rPr>
        <w:t>本项目粪渣运至四川正威实业有限公司生产有机肥，结合内江市</w:t>
      </w:r>
      <w:r>
        <w:rPr>
          <w:rFonts w:ascii="宋体" w:hAnsi="宋体" w:eastAsia="宋体" w:cs="宋体"/>
          <w:spacing w:val="-2"/>
          <w:sz w:val="24"/>
          <w:szCs w:val="24"/>
        </w:rPr>
        <w:t>公路设置，</w:t>
      </w:r>
      <w:r>
        <w:rPr>
          <w:rFonts w:ascii="宋体" w:hAnsi="宋体" w:eastAsia="宋体" w:cs="宋体"/>
          <w:spacing w:val="-1"/>
          <w:sz w:val="24"/>
          <w:szCs w:val="24"/>
        </w:rPr>
        <w:t>项目猪粪运至四川正威实业有限公司主要经过省道</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
          <w:sz w:val="24"/>
          <w:szCs w:val="24"/>
        </w:rPr>
        <w:t>206</w:t>
      </w:r>
      <w:r>
        <w:rPr>
          <w:rFonts w:ascii="宋体" w:hAnsi="宋体" w:eastAsia="宋体" w:cs="宋体"/>
          <w:spacing w:val="-2"/>
          <w:sz w:val="24"/>
          <w:szCs w:val="24"/>
        </w:rPr>
        <w:t>、内荣高速及村庄道路，</w:t>
      </w:r>
      <w:r>
        <w:rPr>
          <w:rFonts w:ascii="宋体" w:hAnsi="宋体" w:eastAsia="宋体" w:cs="宋体"/>
          <w:spacing w:val="-3"/>
          <w:sz w:val="24"/>
          <w:szCs w:val="24"/>
        </w:rPr>
        <w:t>沿线无饮用水水源保护区等环境敏感区，但是需要经过跨越沱江等水体的桥梁路</w:t>
      </w:r>
      <w:r>
        <w:rPr>
          <w:rFonts w:ascii="宋体" w:hAnsi="宋体" w:eastAsia="宋体" w:cs="宋体"/>
          <w:spacing w:val="-12"/>
          <w:sz w:val="24"/>
          <w:szCs w:val="24"/>
        </w:rPr>
        <w:t>段。</w:t>
      </w:r>
    </w:p>
    <w:p w14:paraId="2C22AE1C">
      <w:pPr>
        <w:spacing w:before="6" w:line="360" w:lineRule="auto"/>
        <w:ind w:left="38" w:right="85" w:firstLine="484"/>
        <w:jc w:val="both"/>
        <w:rPr>
          <w:rFonts w:ascii="宋体" w:hAnsi="宋体" w:eastAsia="宋体" w:cs="宋体"/>
          <w:sz w:val="24"/>
          <w:szCs w:val="24"/>
        </w:rPr>
      </w:pPr>
      <w:r>
        <w:rPr>
          <w:rFonts w:ascii="宋体" w:hAnsi="宋体" w:eastAsia="宋体" w:cs="宋体"/>
          <w:spacing w:val="-3"/>
          <w:sz w:val="24"/>
          <w:szCs w:val="24"/>
        </w:rPr>
        <w:t>如果粪渣运输车辆在桥梁路段发生交通事故，造成车辆</w:t>
      </w:r>
      <w:r>
        <w:rPr>
          <w:rFonts w:ascii="宋体" w:hAnsi="宋体" w:eastAsia="宋体" w:cs="宋体"/>
          <w:spacing w:val="-4"/>
          <w:sz w:val="24"/>
          <w:szCs w:val="24"/>
        </w:rPr>
        <w:t>翻车，车内粪渣掉落</w:t>
      </w:r>
      <w:r>
        <w:rPr>
          <w:rFonts w:ascii="宋体" w:hAnsi="宋体" w:eastAsia="宋体" w:cs="宋体"/>
          <w:spacing w:val="-3"/>
          <w:sz w:val="24"/>
          <w:szCs w:val="24"/>
        </w:rPr>
        <w:t>并且存在入河的风险，一旦粪渣掉入水中，将会导致事故点及下游河段的水体的</w:t>
      </w:r>
      <w:r>
        <w:rPr>
          <w:rFonts w:ascii="Times New Roman" w:hAnsi="Times New Roman" w:eastAsia="Times New Roman" w:cs="Times New Roman"/>
          <w:sz w:val="24"/>
          <w:szCs w:val="24"/>
        </w:rPr>
        <w:t>COD</w:t>
      </w:r>
      <w:r>
        <w:rPr>
          <w:rFonts w:ascii="宋体" w:hAnsi="宋体" w:eastAsia="宋体" w:cs="宋体"/>
          <w:spacing w:val="3"/>
          <w:sz w:val="24"/>
          <w:szCs w:val="24"/>
        </w:rPr>
        <w:t>、氨氮及粪大肠菌群等污染物浓度升高，超出地表水体水质标准要求，对</w:t>
      </w:r>
      <w:r>
        <w:rPr>
          <w:rFonts w:ascii="宋体" w:hAnsi="宋体" w:eastAsia="宋体" w:cs="宋体"/>
          <w:spacing w:val="-3"/>
          <w:sz w:val="24"/>
          <w:szCs w:val="24"/>
        </w:rPr>
        <w:t>河流水体的水质及水生生态环境造成较大影响。建设单位应落实好粪渣运输过程风险防范措施，杜绝粪渣运输过程入河风险。</w:t>
      </w:r>
    </w:p>
    <w:p w14:paraId="4315A78E">
      <w:pPr>
        <w:spacing w:before="163" w:line="220"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4.3.8  </w:t>
      </w:r>
      <w:r>
        <w:rPr>
          <w:rFonts w:ascii="宋体" w:hAnsi="宋体" w:eastAsia="宋体" w:cs="宋体"/>
          <w:b/>
          <w:bCs/>
          <w:spacing w:val="-2"/>
          <w:sz w:val="30"/>
          <w:szCs w:val="30"/>
        </w:rPr>
        <w:t>风险防范及应急要求</w:t>
      </w:r>
    </w:p>
    <w:p w14:paraId="04D0AD7D">
      <w:pPr>
        <w:pStyle w:val="2"/>
        <w:spacing w:line="305" w:lineRule="auto"/>
      </w:pPr>
    </w:p>
    <w:p w14:paraId="35E5C8D5">
      <w:pPr>
        <w:spacing w:before="88" w:line="226"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4.3.8.1 </w:t>
      </w:r>
      <w:r>
        <w:rPr>
          <w:rFonts w:ascii="宋体" w:hAnsi="宋体" w:eastAsia="宋体" w:cs="宋体"/>
          <w:b/>
          <w:bCs/>
          <w:spacing w:val="5"/>
          <w:sz w:val="27"/>
          <w:szCs w:val="27"/>
        </w:rPr>
        <w:t>污水泄漏防范及应急措施</w:t>
      </w:r>
    </w:p>
    <w:p w14:paraId="43281998">
      <w:pPr>
        <w:spacing w:before="237"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）泄漏防范措施</w:t>
      </w:r>
    </w:p>
    <w:p w14:paraId="66C21F5A">
      <w:pPr>
        <w:spacing w:before="181" w:line="360" w:lineRule="auto"/>
        <w:ind w:left="39" w:right="85" w:firstLine="479"/>
        <w:rPr>
          <w:rFonts w:ascii="宋体" w:hAnsi="宋体" w:eastAsia="宋体" w:cs="宋体"/>
          <w:sz w:val="24"/>
          <w:szCs w:val="24"/>
        </w:rPr>
      </w:pPr>
      <w:r>
        <w:rPr>
          <w:rFonts w:ascii="宋体" w:hAnsi="宋体" w:eastAsia="宋体" w:cs="宋体"/>
          <w:spacing w:val="-3"/>
          <w:sz w:val="24"/>
          <w:szCs w:val="24"/>
        </w:rPr>
        <w:t>①污水管道的设计及选材应符合相关标准要求，确保达到防渗效果</w:t>
      </w:r>
      <w:r>
        <w:rPr>
          <w:rFonts w:ascii="宋体" w:hAnsi="宋体" w:eastAsia="宋体" w:cs="宋体"/>
          <w:spacing w:val="-4"/>
          <w:sz w:val="24"/>
          <w:szCs w:val="24"/>
        </w:rPr>
        <w:t>，污水收</w:t>
      </w:r>
      <w:r>
        <w:rPr>
          <w:rFonts w:ascii="宋体" w:hAnsi="宋体" w:eastAsia="宋体" w:cs="宋体"/>
          <w:spacing w:val="-2"/>
          <w:sz w:val="24"/>
          <w:szCs w:val="24"/>
        </w:rPr>
        <w:t>集管道统一采用聚乙烯管，污水管接口采取严格的密封措施。</w:t>
      </w:r>
    </w:p>
    <w:p w14:paraId="37358234">
      <w:pPr>
        <w:spacing w:line="360" w:lineRule="auto"/>
        <w:ind w:left="42" w:right="85" w:firstLine="475"/>
        <w:rPr>
          <w:rFonts w:ascii="宋体" w:hAnsi="宋体" w:eastAsia="宋体" w:cs="宋体"/>
          <w:sz w:val="24"/>
          <w:szCs w:val="24"/>
        </w:rPr>
      </w:pPr>
      <w:r>
        <w:rPr>
          <w:rFonts w:ascii="宋体" w:hAnsi="宋体" w:eastAsia="宋体" w:cs="宋体"/>
          <w:spacing w:val="-3"/>
          <w:sz w:val="24"/>
          <w:szCs w:val="24"/>
        </w:rPr>
        <w:t>②污水管道的排水设计等应委托有资质的单位进行设计，并严格按</w:t>
      </w:r>
      <w:r>
        <w:rPr>
          <w:rFonts w:ascii="宋体" w:hAnsi="宋体" w:eastAsia="宋体" w:cs="宋体"/>
          <w:spacing w:val="-4"/>
          <w:sz w:val="24"/>
          <w:szCs w:val="24"/>
        </w:rPr>
        <w:t>照设计施</w:t>
      </w:r>
      <w:r>
        <w:rPr>
          <w:rFonts w:ascii="宋体" w:hAnsi="宋体" w:eastAsia="宋体" w:cs="宋体"/>
          <w:spacing w:val="-9"/>
          <w:sz w:val="24"/>
          <w:szCs w:val="24"/>
        </w:rPr>
        <w:t>工建设。</w:t>
      </w:r>
    </w:p>
    <w:p w14:paraId="2C98455A">
      <w:pPr>
        <w:spacing w:before="1" w:line="217" w:lineRule="auto"/>
        <w:jc w:val="right"/>
        <w:rPr>
          <w:rFonts w:ascii="宋体" w:hAnsi="宋体" w:eastAsia="宋体" w:cs="宋体"/>
          <w:sz w:val="24"/>
          <w:szCs w:val="24"/>
        </w:rPr>
      </w:pPr>
      <w:r>
        <w:rPr>
          <w:rFonts w:ascii="宋体" w:hAnsi="宋体" w:eastAsia="宋体" w:cs="宋体"/>
          <w:spacing w:val="-8"/>
          <w:sz w:val="24"/>
          <w:szCs w:val="24"/>
        </w:rPr>
        <w:t>③污水管道合理设置阀门，在出现破裂时，能及时通过管道阀门控制泄漏量。</w:t>
      </w:r>
    </w:p>
    <w:p w14:paraId="716E41D0">
      <w:pPr>
        <w:spacing w:before="186" w:line="217" w:lineRule="auto"/>
        <w:ind w:left="517"/>
        <w:rPr>
          <w:rFonts w:ascii="宋体" w:hAnsi="宋体" w:eastAsia="宋体" w:cs="宋体"/>
          <w:sz w:val="24"/>
          <w:szCs w:val="24"/>
        </w:rPr>
      </w:pPr>
      <w:r>
        <w:rPr>
          <w:rFonts w:ascii="宋体" w:hAnsi="宋体" w:eastAsia="宋体" w:cs="宋体"/>
          <w:spacing w:val="-7"/>
          <w:sz w:val="24"/>
          <w:szCs w:val="24"/>
        </w:rPr>
        <w:t>④加强污水管道的安全监测，包括巡视监测、变形监测等， 定期对管道进行</w:t>
      </w:r>
    </w:p>
    <w:p w14:paraId="362BB887">
      <w:pPr>
        <w:spacing w:line="217" w:lineRule="auto"/>
        <w:rPr>
          <w:rFonts w:ascii="宋体" w:hAnsi="宋体" w:eastAsia="宋体" w:cs="宋体"/>
          <w:sz w:val="24"/>
          <w:szCs w:val="24"/>
        </w:rPr>
        <w:sectPr>
          <w:headerReference r:id="rId421" w:type="default"/>
          <w:footerReference r:id="rId422" w:type="default"/>
          <w:pgSz w:w="11905" w:h="16840"/>
          <w:pgMar w:top="1168" w:right="1712" w:bottom="1409" w:left="1770" w:header="828" w:footer="1244" w:gutter="0"/>
          <w:cols w:space="720" w:num="1"/>
        </w:sectPr>
      </w:pPr>
    </w:p>
    <w:p w14:paraId="744848E2">
      <w:pPr>
        <w:pStyle w:val="2"/>
        <w:spacing w:line="305" w:lineRule="auto"/>
      </w:pPr>
    </w:p>
    <w:p w14:paraId="6B322C2B">
      <w:pPr>
        <w:spacing w:before="78" w:line="220" w:lineRule="auto"/>
        <w:ind w:left="45"/>
        <w:rPr>
          <w:rFonts w:ascii="宋体" w:hAnsi="宋体" w:eastAsia="宋体" w:cs="宋体"/>
          <w:sz w:val="24"/>
          <w:szCs w:val="24"/>
        </w:rPr>
      </w:pPr>
      <w:r>
        <w:rPr>
          <w:rFonts w:ascii="宋体" w:hAnsi="宋体" w:eastAsia="宋体" w:cs="宋体"/>
          <w:spacing w:val="-3"/>
          <w:sz w:val="24"/>
          <w:szCs w:val="24"/>
        </w:rPr>
        <w:t>管理和维护，发现破裂时能及时做应急处理。</w:t>
      </w:r>
    </w:p>
    <w:p w14:paraId="1985E9C8">
      <w:pPr>
        <w:spacing w:before="182"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）应急措施</w:t>
      </w:r>
    </w:p>
    <w:p w14:paraId="16416634">
      <w:pPr>
        <w:spacing w:before="181" w:line="361" w:lineRule="auto"/>
        <w:ind w:left="38" w:firstLine="482"/>
        <w:rPr>
          <w:rFonts w:ascii="宋体" w:hAnsi="宋体" w:eastAsia="宋体" w:cs="宋体"/>
          <w:sz w:val="24"/>
          <w:szCs w:val="24"/>
        </w:rPr>
      </w:pPr>
      <w:r>
        <w:rPr>
          <w:rFonts w:ascii="宋体" w:hAnsi="宋体" w:eastAsia="宋体" w:cs="宋体"/>
          <w:spacing w:val="-1"/>
          <w:sz w:val="24"/>
          <w:szCs w:val="24"/>
        </w:rPr>
        <w:t>污水处理站采取硬底化建设，池体周边设置导流沟，并与粪污收</w:t>
      </w:r>
      <w:r>
        <w:rPr>
          <w:rFonts w:ascii="宋体" w:hAnsi="宋体" w:eastAsia="宋体" w:cs="宋体"/>
          <w:spacing w:val="-2"/>
          <w:sz w:val="24"/>
          <w:szCs w:val="24"/>
        </w:rPr>
        <w:t>集池相连，</w:t>
      </w:r>
      <w:r>
        <w:rPr>
          <w:rFonts w:ascii="宋体" w:hAnsi="宋体" w:eastAsia="宋体" w:cs="宋体"/>
          <w:spacing w:val="-6"/>
          <w:sz w:val="24"/>
          <w:szCs w:val="24"/>
        </w:rPr>
        <w:t>当事故发生时，收集到的溢流废水流回收集池内储存。在发现污</w:t>
      </w:r>
      <w:r>
        <w:rPr>
          <w:rFonts w:ascii="宋体" w:hAnsi="宋体" w:eastAsia="宋体" w:cs="宋体"/>
          <w:spacing w:val="-7"/>
          <w:sz w:val="24"/>
          <w:szCs w:val="24"/>
        </w:rPr>
        <w:t>水泄漏时， 立即</w:t>
      </w:r>
      <w:r>
        <w:rPr>
          <w:rFonts w:ascii="宋体" w:hAnsi="宋体" w:eastAsia="宋体" w:cs="宋体"/>
          <w:spacing w:val="-3"/>
          <w:sz w:val="24"/>
          <w:szCs w:val="24"/>
        </w:rPr>
        <w:t>向公司领导小组汇报，并立即关闭对应的输送管道阀门，及时进行堵漏处理并对</w:t>
      </w:r>
      <w:r>
        <w:rPr>
          <w:rFonts w:ascii="宋体" w:hAnsi="宋体" w:eastAsia="宋体" w:cs="宋体"/>
          <w:spacing w:val="-4"/>
          <w:sz w:val="24"/>
          <w:szCs w:val="24"/>
        </w:rPr>
        <w:t>破损管道进行检查、修补。</w:t>
      </w:r>
    </w:p>
    <w:p w14:paraId="39F1244E">
      <w:pPr>
        <w:spacing w:before="172" w:line="226"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4.3.8.2 </w:t>
      </w:r>
      <w:r>
        <w:rPr>
          <w:rFonts w:ascii="宋体" w:hAnsi="宋体" w:eastAsia="宋体" w:cs="宋体"/>
          <w:b/>
          <w:bCs/>
          <w:spacing w:val="6"/>
          <w:sz w:val="27"/>
          <w:szCs w:val="27"/>
        </w:rPr>
        <w:t>污水处理站故障事故防范及应急措施</w:t>
      </w:r>
    </w:p>
    <w:p w14:paraId="64F676A9">
      <w:pPr>
        <w:spacing w:before="236" w:line="360" w:lineRule="auto"/>
        <w:ind w:left="40" w:right="66"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）加强污水处理站设备的维护，做到及时发现处理设备的事故隐患，确</w:t>
      </w:r>
      <w:r>
        <w:rPr>
          <w:rFonts w:ascii="宋体" w:hAnsi="宋体" w:eastAsia="宋体" w:cs="宋体"/>
          <w:spacing w:val="-6"/>
          <w:sz w:val="24"/>
          <w:szCs w:val="24"/>
        </w:rPr>
        <w:t>保处理系统正常运行；开、停、检修要有预案， 有严密</w:t>
      </w:r>
      <w:r>
        <w:rPr>
          <w:rFonts w:ascii="宋体" w:hAnsi="宋体" w:eastAsia="宋体" w:cs="宋体"/>
          <w:spacing w:val="-7"/>
          <w:sz w:val="24"/>
          <w:szCs w:val="24"/>
        </w:rPr>
        <w:t>周全的计划，确保废水满足排放要求。</w:t>
      </w:r>
    </w:p>
    <w:p w14:paraId="0CC1CFB3">
      <w:pPr>
        <w:spacing w:before="3" w:line="359" w:lineRule="auto"/>
        <w:ind w:left="40" w:right="66"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）应设有备用电源、备用处理设备和零件，以备停电或设备出现故障时</w:t>
      </w:r>
      <w:r>
        <w:rPr>
          <w:rFonts w:ascii="宋体" w:hAnsi="宋体" w:eastAsia="宋体" w:cs="宋体"/>
          <w:spacing w:val="-3"/>
          <w:sz w:val="24"/>
          <w:szCs w:val="24"/>
        </w:rPr>
        <w:t>保障及时更换，使废水能及时处理。</w:t>
      </w:r>
    </w:p>
    <w:p w14:paraId="24AFD73A">
      <w:pPr>
        <w:spacing w:before="2" w:line="359" w:lineRule="auto"/>
        <w:ind w:left="65" w:right="66" w:firstLine="46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）对员工进行岗位培训，持证上岗。经常性监测并做好值班记录，实行</w:t>
      </w:r>
      <w:r>
        <w:rPr>
          <w:rFonts w:ascii="宋体" w:hAnsi="宋体" w:eastAsia="宋体" w:cs="宋体"/>
          <w:spacing w:val="-10"/>
          <w:sz w:val="24"/>
          <w:szCs w:val="24"/>
        </w:rPr>
        <w:t>岗位责任制。</w:t>
      </w:r>
    </w:p>
    <w:p w14:paraId="1DCBE3A4">
      <w:pPr>
        <w:spacing w:before="1" w:line="360" w:lineRule="auto"/>
        <w:ind w:left="40" w:right="66"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）一旦污水处理站发生故障，应立即对故障设备进行检修。对于池体出</w:t>
      </w:r>
      <w:r>
        <w:rPr>
          <w:rFonts w:ascii="宋体" w:hAnsi="宋体" w:eastAsia="宋体" w:cs="宋体"/>
          <w:spacing w:val="-3"/>
          <w:sz w:val="24"/>
          <w:szCs w:val="24"/>
        </w:rPr>
        <w:t>现故障，应迅速启动应急水泵，改变废水流向，使废水经回流管流入微生物曝氧</w:t>
      </w:r>
      <w:r>
        <w:rPr>
          <w:rFonts w:ascii="宋体" w:hAnsi="宋体" w:eastAsia="宋体" w:cs="宋体"/>
          <w:sz w:val="24"/>
          <w:szCs w:val="24"/>
        </w:rPr>
        <w:t>塘暂存（微生物曝氧塘设计容积</w:t>
      </w:r>
      <w:r>
        <w:rPr>
          <w:rFonts w:ascii="Times New Roman" w:hAnsi="Times New Roman" w:eastAsia="Times New Roman" w:cs="Times New Roman"/>
          <w:sz w:val="24"/>
          <w:szCs w:val="24"/>
        </w:rPr>
        <w:t>8000m</w:t>
      </w:r>
      <w:r>
        <w:rPr>
          <w:rFonts w:ascii="Times New Roman" w:hAnsi="Times New Roman" w:eastAsia="Times New Roman" w:cs="Times New Roman"/>
          <w:position w:val="10"/>
          <w:sz w:val="15"/>
          <w:szCs w:val="15"/>
        </w:rPr>
        <w:t xml:space="preserve">3 </w:t>
      </w:r>
      <w:r>
        <w:rPr>
          <w:rFonts w:ascii="宋体" w:hAnsi="宋体" w:eastAsia="宋体" w:cs="宋体"/>
          <w:sz w:val="24"/>
          <w:szCs w:val="24"/>
        </w:rPr>
        <w:t>，有效容积</w:t>
      </w:r>
      <w:r>
        <w:rPr>
          <w:rFonts w:ascii="Times New Roman" w:hAnsi="Times New Roman" w:eastAsia="Times New Roman" w:cs="Times New Roman"/>
          <w:sz w:val="24"/>
          <w:szCs w:val="24"/>
        </w:rPr>
        <w:t>7000m</w:t>
      </w:r>
      <w:r>
        <w:rPr>
          <w:rFonts w:ascii="Times New Roman" w:hAnsi="Times New Roman" w:eastAsia="Times New Roman" w:cs="Times New Roman"/>
          <w:position w:val="10"/>
          <w:sz w:val="15"/>
          <w:szCs w:val="15"/>
        </w:rPr>
        <w:t xml:space="preserve">3 </w:t>
      </w:r>
      <w:r>
        <w:rPr>
          <w:rFonts w:ascii="宋体" w:hAnsi="宋体" w:eastAsia="宋体" w:cs="宋体"/>
          <w:spacing w:val="1"/>
          <w:sz w:val="24"/>
          <w:szCs w:val="24"/>
        </w:rPr>
        <w:t>），</w:t>
      </w:r>
      <w:r>
        <w:rPr>
          <w:rFonts w:ascii="宋体" w:hAnsi="宋体" w:eastAsia="宋体" w:cs="宋体"/>
          <w:sz w:val="24"/>
          <w:szCs w:val="24"/>
        </w:rPr>
        <w:t>并尽快组织技术人员进行抢修，考虑一般污水处理站故障</w:t>
      </w:r>
      <w:r>
        <w:rPr>
          <w:rFonts w:ascii="Times New Roman" w:hAnsi="Times New Roman" w:eastAsia="Times New Roman" w:cs="Times New Roman"/>
          <w:sz w:val="24"/>
          <w:szCs w:val="24"/>
        </w:rPr>
        <w:t>3</w:t>
      </w:r>
      <w:r>
        <w:rPr>
          <w:rFonts w:ascii="宋体" w:hAnsi="宋体" w:eastAsia="宋体" w:cs="宋体"/>
          <w:sz w:val="24"/>
          <w:szCs w:val="24"/>
        </w:rPr>
        <w:t>天内可解决，同时污水处理站的粪污</w:t>
      </w:r>
      <w:r>
        <w:rPr>
          <w:rFonts w:ascii="宋体" w:hAnsi="宋体" w:eastAsia="宋体" w:cs="宋体"/>
          <w:spacing w:val="-3"/>
          <w:sz w:val="24"/>
          <w:szCs w:val="24"/>
        </w:rPr>
        <w:t>收集池可将养殖区来水暂存，污水处理站各池体设计规模能够满足事故状态下废</w:t>
      </w:r>
      <w:r>
        <w:rPr>
          <w:rFonts w:ascii="宋体" w:hAnsi="宋体" w:eastAsia="宋体" w:cs="宋体"/>
          <w:spacing w:val="-5"/>
          <w:sz w:val="24"/>
          <w:szCs w:val="24"/>
        </w:rPr>
        <w:t>水暂存需求。待污水处理站检修结束后，</w:t>
      </w:r>
      <w:r>
        <w:rPr>
          <w:rFonts w:ascii="宋体" w:hAnsi="宋体" w:eastAsia="宋体" w:cs="宋体"/>
          <w:spacing w:val="-50"/>
          <w:sz w:val="24"/>
          <w:szCs w:val="24"/>
        </w:rPr>
        <w:t xml:space="preserve"> </w:t>
      </w:r>
      <w:r>
        <w:rPr>
          <w:rFonts w:ascii="宋体" w:hAnsi="宋体" w:eastAsia="宋体" w:cs="宋体"/>
          <w:spacing w:val="-5"/>
          <w:sz w:val="24"/>
          <w:szCs w:val="24"/>
        </w:rPr>
        <w:t>事故池废水重新进入水解酸化池及后续</w:t>
      </w:r>
      <w:r>
        <w:rPr>
          <w:rFonts w:ascii="宋体" w:hAnsi="宋体" w:eastAsia="宋体" w:cs="宋体"/>
          <w:spacing w:val="-3"/>
          <w:sz w:val="24"/>
          <w:szCs w:val="24"/>
        </w:rPr>
        <w:t>污水处理过程，确保处理达标。</w:t>
      </w:r>
    </w:p>
    <w:p w14:paraId="7959F105">
      <w:pPr>
        <w:spacing w:before="176" w:line="227" w:lineRule="auto"/>
        <w:ind w:left="36"/>
        <w:rPr>
          <w:rFonts w:ascii="宋体" w:hAnsi="宋体" w:eastAsia="宋体" w:cs="宋体"/>
          <w:sz w:val="27"/>
          <w:szCs w:val="27"/>
        </w:rPr>
      </w:pPr>
      <w:r>
        <w:rPr>
          <w:rFonts w:ascii="Times New Roman" w:hAnsi="Times New Roman" w:eastAsia="Times New Roman" w:cs="Times New Roman"/>
          <w:b/>
          <w:bCs/>
          <w:spacing w:val="4"/>
          <w:sz w:val="27"/>
          <w:szCs w:val="27"/>
        </w:rPr>
        <w:t>4.3.8.3</w:t>
      </w:r>
      <w:r>
        <w:rPr>
          <w:rFonts w:ascii="Times New Roman" w:hAnsi="Times New Roman" w:eastAsia="Times New Roman" w:cs="Times New Roman"/>
          <w:b/>
          <w:bCs/>
          <w:spacing w:val="34"/>
          <w:w w:val="101"/>
          <w:sz w:val="27"/>
          <w:szCs w:val="27"/>
        </w:rPr>
        <w:t xml:space="preserve"> </w:t>
      </w:r>
      <w:r>
        <w:rPr>
          <w:rFonts w:ascii="宋体" w:hAnsi="宋体" w:eastAsia="宋体" w:cs="宋体"/>
          <w:b/>
          <w:bCs/>
          <w:spacing w:val="4"/>
          <w:sz w:val="27"/>
          <w:szCs w:val="27"/>
        </w:rPr>
        <w:t>沼气泄漏风险防范措施</w:t>
      </w:r>
    </w:p>
    <w:p w14:paraId="03EFDA1A">
      <w:pPr>
        <w:spacing w:before="235"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）严格规范沼气收集及管道设计施工</w:t>
      </w:r>
    </w:p>
    <w:p w14:paraId="2F4117E2">
      <w:pPr>
        <w:spacing w:before="182" w:line="360" w:lineRule="auto"/>
        <w:ind w:left="38" w:right="67" w:firstLine="480"/>
        <w:rPr>
          <w:rFonts w:ascii="宋体" w:hAnsi="宋体" w:eastAsia="宋体" w:cs="宋体"/>
          <w:sz w:val="24"/>
          <w:szCs w:val="24"/>
        </w:rPr>
      </w:pPr>
      <w:r>
        <w:rPr>
          <w:rFonts w:ascii="宋体" w:hAnsi="宋体" w:eastAsia="宋体" w:cs="宋体"/>
          <w:spacing w:val="-7"/>
          <w:sz w:val="24"/>
          <w:szCs w:val="24"/>
        </w:rPr>
        <w:t>①严格执行有关防水、防爆、防中毒的规定， 高温和有明火的设备尽量远离</w:t>
      </w:r>
      <w:r>
        <w:rPr>
          <w:rFonts w:ascii="宋体" w:hAnsi="宋体" w:eastAsia="宋体" w:cs="宋体"/>
          <w:spacing w:val="-6"/>
          <w:sz w:val="24"/>
          <w:szCs w:val="24"/>
        </w:rPr>
        <w:t>散发可燃气体的场所；</w:t>
      </w:r>
    </w:p>
    <w:p w14:paraId="306BE61F">
      <w:pPr>
        <w:spacing w:before="1" w:line="217" w:lineRule="auto"/>
        <w:ind w:left="517"/>
        <w:rPr>
          <w:rFonts w:ascii="宋体" w:hAnsi="宋体" w:eastAsia="宋体" w:cs="宋体"/>
          <w:sz w:val="24"/>
          <w:szCs w:val="24"/>
        </w:rPr>
      </w:pPr>
      <w:r>
        <w:rPr>
          <w:rFonts w:ascii="宋体" w:hAnsi="宋体" w:eastAsia="宋体" w:cs="宋体"/>
          <w:spacing w:val="-3"/>
          <w:sz w:val="24"/>
          <w:szCs w:val="24"/>
        </w:rPr>
        <w:t>②设备、管道设计应留有一定的安全系统；</w:t>
      </w:r>
    </w:p>
    <w:p w14:paraId="479BEC68">
      <w:pPr>
        <w:spacing w:before="186" w:line="217" w:lineRule="auto"/>
        <w:ind w:left="517"/>
        <w:rPr>
          <w:rFonts w:ascii="宋体" w:hAnsi="宋体" w:eastAsia="宋体" w:cs="宋体"/>
          <w:sz w:val="24"/>
          <w:szCs w:val="24"/>
        </w:rPr>
      </w:pPr>
      <w:r>
        <w:rPr>
          <w:rFonts w:ascii="宋体" w:hAnsi="宋体" w:eastAsia="宋体" w:cs="宋体"/>
          <w:spacing w:val="-4"/>
          <w:sz w:val="24"/>
          <w:szCs w:val="24"/>
        </w:rPr>
        <w:t>③应有急救设施、救援通道就应急疏散通道；</w:t>
      </w:r>
    </w:p>
    <w:p w14:paraId="47F1366A">
      <w:pPr>
        <w:spacing w:before="186" w:line="217" w:lineRule="auto"/>
        <w:ind w:left="517"/>
        <w:rPr>
          <w:rFonts w:ascii="宋体" w:hAnsi="宋体" w:eastAsia="宋体" w:cs="宋体"/>
          <w:sz w:val="24"/>
          <w:szCs w:val="24"/>
        </w:rPr>
      </w:pPr>
      <w:r>
        <w:rPr>
          <w:rFonts w:ascii="宋体" w:hAnsi="宋体" w:eastAsia="宋体" w:cs="宋体"/>
          <w:spacing w:val="-3"/>
          <w:sz w:val="24"/>
          <w:szCs w:val="24"/>
        </w:rPr>
        <w:t>④厌氧反应器与沼气管道连接处设置阻火器，防止发生回火；</w:t>
      </w:r>
    </w:p>
    <w:p w14:paraId="658BB573">
      <w:pPr>
        <w:spacing w:line="217" w:lineRule="auto"/>
        <w:rPr>
          <w:rFonts w:ascii="宋体" w:hAnsi="宋体" w:eastAsia="宋体" w:cs="宋体"/>
          <w:sz w:val="24"/>
          <w:szCs w:val="24"/>
        </w:rPr>
        <w:sectPr>
          <w:headerReference r:id="rId423" w:type="default"/>
          <w:footerReference r:id="rId424" w:type="default"/>
          <w:pgSz w:w="11905" w:h="16840"/>
          <w:pgMar w:top="1168" w:right="1730" w:bottom="1409" w:left="1770" w:header="828" w:footer="1244" w:gutter="0"/>
          <w:cols w:space="720" w:num="1"/>
        </w:sectPr>
      </w:pPr>
    </w:p>
    <w:p w14:paraId="6AF07F0F">
      <w:pPr>
        <w:pStyle w:val="2"/>
        <w:spacing w:line="306" w:lineRule="auto"/>
      </w:pPr>
    </w:p>
    <w:p w14:paraId="4B31E2C4">
      <w:pPr>
        <w:spacing w:before="78" w:line="217" w:lineRule="auto"/>
        <w:ind w:left="517"/>
        <w:rPr>
          <w:rFonts w:ascii="宋体" w:hAnsi="宋体" w:eastAsia="宋体" w:cs="宋体"/>
          <w:sz w:val="24"/>
          <w:szCs w:val="24"/>
        </w:rPr>
      </w:pPr>
      <w:r>
        <w:rPr>
          <w:rFonts w:ascii="宋体" w:hAnsi="宋体" w:eastAsia="宋体" w:cs="宋体"/>
          <w:spacing w:val="-4"/>
          <w:sz w:val="24"/>
          <w:szCs w:val="24"/>
        </w:rPr>
        <w:t>⑤建构筑物采取防雷措施，安装避雷针等；</w:t>
      </w:r>
    </w:p>
    <w:p w14:paraId="7CF64B52">
      <w:pPr>
        <w:spacing w:before="185" w:line="217" w:lineRule="auto"/>
        <w:ind w:left="517"/>
        <w:rPr>
          <w:rFonts w:ascii="宋体" w:hAnsi="宋体" w:eastAsia="宋体" w:cs="宋体"/>
          <w:sz w:val="24"/>
          <w:szCs w:val="24"/>
        </w:rPr>
      </w:pPr>
      <w:r>
        <w:rPr>
          <w:rFonts w:ascii="宋体" w:hAnsi="宋体" w:eastAsia="宋体" w:cs="宋体"/>
          <w:spacing w:val="-2"/>
          <w:sz w:val="24"/>
          <w:szCs w:val="24"/>
        </w:rPr>
        <w:t>⑥按国家有关规定在在沼气泄露风险源</w:t>
      </w:r>
      <w:r>
        <w:rPr>
          <w:rFonts w:ascii="Times New Roman" w:hAnsi="Times New Roman" w:eastAsia="Times New Roman" w:cs="Times New Roman"/>
          <w:spacing w:val="-2"/>
          <w:sz w:val="24"/>
          <w:szCs w:val="24"/>
        </w:rPr>
        <w:t>1~2m</w:t>
      </w:r>
      <w:r>
        <w:rPr>
          <w:rFonts w:ascii="宋体" w:hAnsi="宋体" w:eastAsia="宋体" w:cs="宋体"/>
          <w:spacing w:val="-2"/>
          <w:sz w:val="24"/>
          <w:szCs w:val="24"/>
        </w:rPr>
        <w:t>处设置报警器。</w:t>
      </w:r>
    </w:p>
    <w:p w14:paraId="5C4D608C">
      <w:pPr>
        <w:spacing w:before="184"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）加强设备维护保养</w:t>
      </w:r>
    </w:p>
    <w:p w14:paraId="2038D0B0">
      <w:pPr>
        <w:spacing w:before="183" w:line="217" w:lineRule="auto"/>
        <w:ind w:left="518"/>
        <w:rPr>
          <w:rFonts w:ascii="宋体" w:hAnsi="宋体" w:eastAsia="宋体" w:cs="宋体"/>
          <w:sz w:val="24"/>
          <w:szCs w:val="24"/>
        </w:rPr>
      </w:pPr>
      <w:r>
        <w:rPr>
          <w:rFonts w:ascii="宋体" w:hAnsi="宋体" w:eastAsia="宋体" w:cs="宋体"/>
          <w:spacing w:val="-3"/>
          <w:sz w:val="24"/>
          <w:szCs w:val="24"/>
        </w:rPr>
        <w:t>①加强对系统设备和密封单元的维护保养，严防泄漏；</w:t>
      </w:r>
    </w:p>
    <w:p w14:paraId="12FF2025">
      <w:pPr>
        <w:spacing w:before="185" w:line="360" w:lineRule="auto"/>
        <w:ind w:left="39" w:right="83" w:firstLine="478"/>
        <w:rPr>
          <w:rFonts w:ascii="宋体" w:hAnsi="宋体" w:eastAsia="宋体" w:cs="宋体"/>
          <w:sz w:val="24"/>
          <w:szCs w:val="24"/>
        </w:rPr>
      </w:pPr>
      <w:r>
        <w:rPr>
          <w:rFonts w:ascii="宋体" w:hAnsi="宋体" w:eastAsia="宋体" w:cs="宋体"/>
          <w:spacing w:val="-3"/>
          <w:sz w:val="24"/>
          <w:szCs w:val="24"/>
        </w:rPr>
        <w:t>②定期进行管道壁厚的测量，对严重管壁减薄的管段，及时维修更</w:t>
      </w:r>
      <w:r>
        <w:rPr>
          <w:rFonts w:ascii="宋体" w:hAnsi="宋体" w:eastAsia="宋体" w:cs="宋体"/>
          <w:spacing w:val="-4"/>
          <w:sz w:val="24"/>
          <w:szCs w:val="24"/>
        </w:rPr>
        <w:t>换，避免</w:t>
      </w:r>
      <w:r>
        <w:rPr>
          <w:rFonts w:ascii="宋体" w:hAnsi="宋体" w:eastAsia="宋体" w:cs="宋体"/>
          <w:spacing w:val="-9"/>
          <w:sz w:val="24"/>
          <w:szCs w:val="24"/>
        </w:rPr>
        <w:t>爆管事故发生；</w:t>
      </w:r>
    </w:p>
    <w:p w14:paraId="7DB30521">
      <w:pPr>
        <w:spacing w:before="3" w:line="359" w:lineRule="auto"/>
        <w:ind w:left="37" w:right="83" w:firstLine="480"/>
        <w:rPr>
          <w:rFonts w:ascii="宋体" w:hAnsi="宋体" w:eastAsia="宋体" w:cs="宋体"/>
          <w:sz w:val="24"/>
          <w:szCs w:val="24"/>
        </w:rPr>
      </w:pPr>
      <w:r>
        <w:rPr>
          <w:rFonts w:ascii="宋体" w:hAnsi="宋体" w:eastAsia="宋体" w:cs="宋体"/>
          <w:spacing w:val="-3"/>
          <w:sz w:val="24"/>
          <w:szCs w:val="24"/>
        </w:rPr>
        <w:t>③在每次大检修时，必须对陈旧、老化的设备和管道按重要程度、</w:t>
      </w:r>
      <w:r>
        <w:rPr>
          <w:rFonts w:ascii="宋体" w:hAnsi="宋体" w:eastAsia="宋体" w:cs="宋体"/>
          <w:spacing w:val="-4"/>
          <w:sz w:val="24"/>
          <w:szCs w:val="24"/>
        </w:rPr>
        <w:t>安全等级</w:t>
      </w:r>
      <w:r>
        <w:rPr>
          <w:rFonts w:ascii="宋体" w:hAnsi="宋体" w:eastAsia="宋体" w:cs="宋体"/>
          <w:spacing w:val="-7"/>
          <w:sz w:val="24"/>
          <w:szCs w:val="24"/>
        </w:rPr>
        <w:t>进行更换。</w:t>
      </w:r>
    </w:p>
    <w:p w14:paraId="0663ECD0">
      <w:pPr>
        <w:spacing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）沼气泄漏预防措施</w:t>
      </w:r>
    </w:p>
    <w:p w14:paraId="61D4F7A2">
      <w:pPr>
        <w:spacing w:before="183" w:line="217" w:lineRule="auto"/>
        <w:ind w:left="518"/>
        <w:rPr>
          <w:rFonts w:ascii="宋体" w:hAnsi="宋体" w:eastAsia="宋体" w:cs="宋体"/>
          <w:sz w:val="24"/>
          <w:szCs w:val="24"/>
        </w:rPr>
      </w:pPr>
      <w:r>
        <w:rPr>
          <w:rFonts w:ascii="宋体" w:hAnsi="宋体" w:eastAsia="宋体" w:cs="宋体"/>
          <w:spacing w:val="-3"/>
          <w:sz w:val="24"/>
          <w:szCs w:val="24"/>
        </w:rPr>
        <w:t>①定期对厌氧反应器进行检查，发现破裂及时修补；</w:t>
      </w:r>
    </w:p>
    <w:p w14:paraId="3BE38444">
      <w:pPr>
        <w:spacing w:before="185" w:line="217" w:lineRule="auto"/>
        <w:ind w:left="517"/>
        <w:rPr>
          <w:rFonts w:ascii="宋体" w:hAnsi="宋体" w:eastAsia="宋体" w:cs="宋体"/>
          <w:sz w:val="24"/>
          <w:szCs w:val="24"/>
        </w:rPr>
      </w:pPr>
      <w:r>
        <w:rPr>
          <w:rFonts w:ascii="宋体" w:hAnsi="宋体" w:eastAsia="宋体" w:cs="宋体"/>
          <w:spacing w:val="-3"/>
          <w:sz w:val="24"/>
          <w:szCs w:val="24"/>
        </w:rPr>
        <w:t>②对管道及阀门进行保养及维护，预防跑冒滴漏现象的发生；</w:t>
      </w:r>
    </w:p>
    <w:p w14:paraId="4A159DC9">
      <w:pPr>
        <w:spacing w:before="186" w:line="360" w:lineRule="auto"/>
        <w:ind w:left="41" w:right="16" w:firstLine="476"/>
        <w:rPr>
          <w:rFonts w:ascii="宋体" w:hAnsi="宋体" w:eastAsia="宋体" w:cs="宋体"/>
          <w:sz w:val="24"/>
          <w:szCs w:val="24"/>
        </w:rPr>
      </w:pPr>
      <w:r>
        <w:rPr>
          <w:rFonts w:ascii="宋体" w:hAnsi="宋体" w:eastAsia="宋体" w:cs="宋体"/>
          <w:spacing w:val="-1"/>
          <w:sz w:val="24"/>
          <w:szCs w:val="24"/>
        </w:rPr>
        <w:t>③配备足够的消防、气体防护设施，如防火服、氧气呼吸器、防护眼镜</w:t>
      </w:r>
      <w:r>
        <w:rPr>
          <w:rFonts w:ascii="宋体" w:hAnsi="宋体" w:eastAsia="宋体" w:cs="宋体"/>
          <w:spacing w:val="-2"/>
          <w:sz w:val="24"/>
          <w:szCs w:val="24"/>
        </w:rPr>
        <w:t>等，</w:t>
      </w:r>
      <w:r>
        <w:rPr>
          <w:rFonts w:ascii="宋体" w:hAnsi="宋体" w:eastAsia="宋体" w:cs="宋体"/>
          <w:spacing w:val="-3"/>
          <w:sz w:val="24"/>
          <w:szCs w:val="24"/>
        </w:rPr>
        <w:t>经常检查安全消防设施的完好性，使其处于即用状态；</w:t>
      </w:r>
    </w:p>
    <w:p w14:paraId="30C42622">
      <w:pPr>
        <w:spacing w:line="360" w:lineRule="auto"/>
        <w:ind w:left="43" w:right="83" w:firstLine="474"/>
        <w:rPr>
          <w:rFonts w:ascii="宋体" w:hAnsi="宋体" w:eastAsia="宋体" w:cs="宋体"/>
          <w:sz w:val="24"/>
          <w:szCs w:val="24"/>
        </w:rPr>
      </w:pPr>
      <w:r>
        <w:rPr>
          <w:rFonts w:ascii="宋体" w:hAnsi="宋体" w:eastAsia="宋体" w:cs="宋体"/>
          <w:spacing w:val="-3"/>
          <w:sz w:val="24"/>
          <w:szCs w:val="24"/>
        </w:rPr>
        <w:t>④严禁在厌氧反应器周围吸烟或使用明火，严禁用明火鉴别厌氧反</w:t>
      </w:r>
      <w:r>
        <w:rPr>
          <w:rFonts w:ascii="宋体" w:hAnsi="宋体" w:eastAsia="宋体" w:cs="宋体"/>
          <w:spacing w:val="-4"/>
          <w:sz w:val="24"/>
          <w:szCs w:val="24"/>
        </w:rPr>
        <w:t>应器是否</w:t>
      </w:r>
      <w:r>
        <w:rPr>
          <w:rFonts w:ascii="宋体" w:hAnsi="宋体" w:eastAsia="宋体" w:cs="宋体"/>
          <w:spacing w:val="-3"/>
          <w:sz w:val="24"/>
          <w:szCs w:val="24"/>
        </w:rPr>
        <w:t>已经产生沼气；严禁在厌氧反应器导气管口试火；严禁用明火检查各种开</w:t>
      </w:r>
      <w:r>
        <w:rPr>
          <w:rFonts w:ascii="宋体" w:hAnsi="宋体" w:eastAsia="宋体" w:cs="宋体"/>
          <w:spacing w:val="-4"/>
          <w:sz w:val="24"/>
          <w:szCs w:val="24"/>
        </w:rPr>
        <w:t>关、接</w:t>
      </w:r>
      <w:r>
        <w:rPr>
          <w:rFonts w:ascii="宋体" w:hAnsi="宋体" w:eastAsia="宋体" w:cs="宋体"/>
          <w:spacing w:val="-6"/>
          <w:sz w:val="24"/>
          <w:szCs w:val="24"/>
        </w:rPr>
        <w:t>头、输气管道是否漏气；</w:t>
      </w:r>
    </w:p>
    <w:p w14:paraId="5350F77A">
      <w:pPr>
        <w:spacing w:line="360" w:lineRule="auto"/>
        <w:ind w:left="41" w:right="83" w:firstLine="476"/>
        <w:rPr>
          <w:rFonts w:ascii="宋体" w:hAnsi="宋体" w:eastAsia="宋体" w:cs="宋体"/>
          <w:sz w:val="24"/>
          <w:szCs w:val="24"/>
        </w:rPr>
      </w:pPr>
      <w:r>
        <w:rPr>
          <w:rFonts w:ascii="宋体" w:hAnsi="宋体" w:eastAsia="宋体" w:cs="宋体"/>
          <w:spacing w:val="-3"/>
          <w:sz w:val="24"/>
          <w:szCs w:val="24"/>
        </w:rPr>
        <w:t>⑤合理规划厌氧反应器中沼气用量，尽量均匀的向外输送气体，厌</w:t>
      </w:r>
      <w:r>
        <w:rPr>
          <w:rFonts w:ascii="宋体" w:hAnsi="宋体" w:eastAsia="宋体" w:cs="宋体"/>
          <w:spacing w:val="-4"/>
          <w:sz w:val="24"/>
          <w:szCs w:val="24"/>
        </w:rPr>
        <w:t>氧反应器</w:t>
      </w:r>
      <w:r>
        <w:rPr>
          <w:rFonts w:ascii="宋体" w:hAnsi="宋体" w:eastAsia="宋体" w:cs="宋体"/>
          <w:spacing w:val="-3"/>
          <w:sz w:val="24"/>
          <w:szCs w:val="24"/>
        </w:rPr>
        <w:t>内输气管网由副管与主管构成，副管为环管，沿池体四壁布设，最后通入主管道</w:t>
      </w:r>
      <w:r>
        <w:rPr>
          <w:rFonts w:ascii="宋体" w:hAnsi="宋体" w:eastAsia="宋体" w:cs="宋体"/>
          <w:spacing w:val="-6"/>
          <w:sz w:val="24"/>
          <w:szCs w:val="24"/>
        </w:rPr>
        <w:t>后由引风机送出反应器；</w:t>
      </w:r>
    </w:p>
    <w:p w14:paraId="6D7C391A">
      <w:pPr>
        <w:spacing w:line="217" w:lineRule="auto"/>
        <w:jc w:val="right"/>
        <w:rPr>
          <w:rFonts w:ascii="宋体" w:hAnsi="宋体" w:eastAsia="宋体" w:cs="宋体"/>
          <w:sz w:val="24"/>
          <w:szCs w:val="24"/>
        </w:rPr>
      </w:pPr>
      <w:r>
        <w:rPr>
          <w:rFonts w:ascii="宋体" w:hAnsi="宋体" w:eastAsia="宋体" w:cs="宋体"/>
          <w:spacing w:val="-1"/>
          <w:sz w:val="24"/>
          <w:szCs w:val="24"/>
        </w:rPr>
        <w:t>⑥在可燃气主管出口处设置液封与阻火器，防止气体泄漏或回火发生爆炸。</w:t>
      </w:r>
    </w:p>
    <w:p w14:paraId="04897C94">
      <w:pPr>
        <w:spacing w:before="243" w:line="226"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4.3.8.4 </w:t>
      </w:r>
      <w:r>
        <w:rPr>
          <w:rFonts w:ascii="宋体" w:hAnsi="宋体" w:eastAsia="宋体" w:cs="宋体"/>
          <w:b/>
          <w:bCs/>
          <w:spacing w:val="6"/>
          <w:sz w:val="27"/>
          <w:szCs w:val="27"/>
        </w:rPr>
        <w:t>灌溉水流入地表水体风险防范措施</w:t>
      </w:r>
    </w:p>
    <w:p w14:paraId="46E5EBD6">
      <w:pPr>
        <w:spacing w:before="235" w:line="358" w:lineRule="auto"/>
        <w:ind w:left="35" w:right="83" w:firstLine="485"/>
        <w:jc w:val="both"/>
        <w:rPr>
          <w:rFonts w:ascii="宋体" w:hAnsi="宋体" w:eastAsia="宋体" w:cs="宋体"/>
          <w:sz w:val="24"/>
          <w:szCs w:val="24"/>
        </w:rPr>
      </w:pPr>
      <w:r>
        <w:rPr>
          <w:rFonts w:ascii="宋体" w:hAnsi="宋体" w:eastAsia="宋体" w:cs="宋体"/>
          <w:spacing w:val="-3"/>
          <w:sz w:val="24"/>
          <w:szCs w:val="24"/>
        </w:rPr>
        <w:t>本项目废水经污水处理站处理达标后，出水用于周边消纳地农</w:t>
      </w:r>
      <w:r>
        <w:rPr>
          <w:rFonts w:ascii="宋体" w:hAnsi="宋体" w:eastAsia="宋体" w:cs="宋体"/>
          <w:spacing w:val="-4"/>
          <w:sz w:val="24"/>
          <w:szCs w:val="24"/>
        </w:rPr>
        <w:t>田灌溉，建设</w:t>
      </w:r>
      <w:r>
        <w:rPr>
          <w:rFonts w:ascii="宋体" w:hAnsi="宋体" w:eastAsia="宋体" w:cs="宋体"/>
          <w:sz w:val="24"/>
          <w:szCs w:val="24"/>
        </w:rPr>
        <w:t>单位拟在消纳地内设置</w:t>
      </w:r>
      <w:r>
        <w:rPr>
          <w:rFonts w:ascii="Times New Roman" w:hAnsi="Times New Roman" w:eastAsia="Times New Roman" w:cs="Times New Roman"/>
          <w:sz w:val="24"/>
          <w:szCs w:val="24"/>
        </w:rPr>
        <w:t>5</w:t>
      </w:r>
      <w:r>
        <w:rPr>
          <w:rFonts w:ascii="宋体" w:hAnsi="宋体" w:eastAsia="宋体" w:cs="宋体"/>
          <w:sz w:val="24"/>
          <w:szCs w:val="24"/>
        </w:rPr>
        <w:t>座田间储存池，每座容积</w:t>
      </w:r>
      <w:r>
        <w:rPr>
          <w:rFonts w:ascii="Times New Roman" w:hAnsi="Times New Roman" w:eastAsia="Times New Roman" w:cs="Times New Roman"/>
          <w:sz w:val="24"/>
          <w:szCs w:val="24"/>
        </w:rPr>
        <w:t>45</w:t>
      </w:r>
      <w:r>
        <w:rPr>
          <w:rFonts w:ascii="Times New Roman" w:hAnsi="Times New Roman" w:eastAsia="Times New Roman" w:cs="Times New Roman"/>
          <w:spacing w:val="-1"/>
          <w:sz w:val="24"/>
          <w:szCs w:val="24"/>
        </w:rPr>
        <w:t>00m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，田间储存池总容积为</w:t>
      </w:r>
      <w:r>
        <w:rPr>
          <w:rFonts w:ascii="Times New Roman" w:hAnsi="Times New Roman" w:eastAsia="Times New Roman" w:cs="Times New Roman"/>
          <w:sz w:val="24"/>
          <w:szCs w:val="24"/>
        </w:rPr>
        <w:t>22500m</w:t>
      </w:r>
      <w:r>
        <w:rPr>
          <w:rFonts w:ascii="Times New Roman" w:hAnsi="Times New Roman" w:eastAsia="Times New Roman" w:cs="Times New Roman"/>
          <w:position w:val="10"/>
          <w:sz w:val="15"/>
          <w:szCs w:val="15"/>
        </w:rPr>
        <w:t>3</w:t>
      </w:r>
      <w:r>
        <w:rPr>
          <w:rFonts w:ascii="宋体" w:hAnsi="宋体" w:eastAsia="宋体" w:cs="宋体"/>
          <w:sz w:val="24"/>
          <w:szCs w:val="24"/>
        </w:rPr>
        <w:t>，可以储存约</w:t>
      </w:r>
      <w:r>
        <w:rPr>
          <w:rFonts w:ascii="Times New Roman" w:hAnsi="Times New Roman" w:eastAsia="Times New Roman" w:cs="Times New Roman"/>
          <w:sz w:val="24"/>
          <w:szCs w:val="24"/>
        </w:rPr>
        <w:t>91</w:t>
      </w:r>
      <w:r>
        <w:rPr>
          <w:rFonts w:ascii="宋体" w:hAnsi="宋体" w:eastAsia="宋体" w:cs="宋体"/>
          <w:sz w:val="24"/>
          <w:szCs w:val="24"/>
        </w:rPr>
        <w:t>天的废水量，可有效解决消纳地农田在非施肥期间</w:t>
      </w:r>
      <w:r>
        <w:rPr>
          <w:rFonts w:ascii="宋体" w:hAnsi="宋体" w:eastAsia="宋体" w:cs="宋体"/>
          <w:spacing w:val="-1"/>
          <w:sz w:val="24"/>
          <w:szCs w:val="24"/>
        </w:rPr>
        <w:t>（内</w:t>
      </w:r>
      <w:r>
        <w:rPr>
          <w:rFonts w:ascii="宋体" w:hAnsi="宋体" w:eastAsia="宋体" w:cs="宋体"/>
          <w:spacing w:val="-3"/>
          <w:sz w:val="24"/>
          <w:szCs w:val="24"/>
        </w:rPr>
        <w:t>江降雨期</w:t>
      </w:r>
      <w:r>
        <w:rPr>
          <w:rFonts w:ascii="Times New Roman" w:hAnsi="Times New Roman" w:eastAsia="Times New Roman" w:cs="Times New Roman"/>
          <w:spacing w:val="-3"/>
          <w:sz w:val="24"/>
          <w:szCs w:val="24"/>
        </w:rPr>
        <w:t>90</w:t>
      </w:r>
      <w:r>
        <w:rPr>
          <w:rFonts w:ascii="宋体" w:hAnsi="宋体" w:eastAsia="宋体" w:cs="宋体"/>
          <w:spacing w:val="-3"/>
          <w:sz w:val="24"/>
          <w:szCs w:val="24"/>
        </w:rPr>
        <w:t>天）的污水出路问题。</w:t>
      </w:r>
    </w:p>
    <w:p w14:paraId="674282D7">
      <w:pPr>
        <w:spacing w:before="11" w:line="361" w:lineRule="auto"/>
        <w:ind w:left="39" w:right="83" w:firstLine="479"/>
        <w:jc w:val="both"/>
        <w:rPr>
          <w:rFonts w:ascii="宋体" w:hAnsi="宋体" w:eastAsia="宋体" w:cs="宋体"/>
          <w:sz w:val="24"/>
          <w:szCs w:val="24"/>
        </w:rPr>
      </w:pPr>
      <w:r>
        <w:rPr>
          <w:rFonts w:ascii="宋体" w:hAnsi="宋体" w:eastAsia="宋体" w:cs="宋体"/>
          <w:spacing w:val="-3"/>
          <w:sz w:val="24"/>
          <w:szCs w:val="24"/>
        </w:rPr>
        <w:t>对于低于污水处理站标高的部分消纳地，可以采用自流的方式；</w:t>
      </w:r>
      <w:r>
        <w:rPr>
          <w:rFonts w:ascii="宋体" w:hAnsi="宋体" w:eastAsia="宋体" w:cs="宋体"/>
          <w:spacing w:val="-4"/>
          <w:sz w:val="24"/>
          <w:szCs w:val="24"/>
        </w:rPr>
        <w:t>对于高于污</w:t>
      </w:r>
      <w:r>
        <w:rPr>
          <w:rFonts w:ascii="宋体" w:hAnsi="宋体" w:eastAsia="宋体" w:cs="宋体"/>
          <w:spacing w:val="-3"/>
          <w:sz w:val="24"/>
          <w:szCs w:val="24"/>
        </w:rPr>
        <w:t>水处理站标高的消纳地，建设单位拟采用泵送方式输水，在田间暂存池旁设置提</w:t>
      </w:r>
      <w:r>
        <w:rPr>
          <w:rFonts w:ascii="宋体" w:hAnsi="宋体" w:eastAsia="宋体" w:cs="宋体"/>
          <w:spacing w:val="-2"/>
          <w:sz w:val="24"/>
          <w:szCs w:val="24"/>
        </w:rPr>
        <w:t>升泵站，采用</w:t>
      </w:r>
      <w:r>
        <w:rPr>
          <w:rFonts w:ascii="Times New Roman" w:hAnsi="Times New Roman" w:eastAsia="Times New Roman" w:cs="Times New Roman"/>
          <w:spacing w:val="-2"/>
          <w:sz w:val="24"/>
          <w:szCs w:val="24"/>
        </w:rPr>
        <w:t>DN110</w:t>
      </w:r>
      <w:r>
        <w:rPr>
          <w:rFonts w:ascii="宋体" w:hAnsi="宋体" w:eastAsia="宋体" w:cs="宋体"/>
          <w:spacing w:val="-2"/>
          <w:sz w:val="24"/>
          <w:szCs w:val="24"/>
        </w:rPr>
        <w:t>输水主管连接污水</w:t>
      </w:r>
      <w:r>
        <w:rPr>
          <w:rFonts w:ascii="宋体" w:hAnsi="宋体" w:eastAsia="宋体" w:cs="宋体"/>
          <w:spacing w:val="-3"/>
          <w:sz w:val="24"/>
          <w:szCs w:val="24"/>
        </w:rPr>
        <w:t>处理站及田间暂存池，田间暂存池至消纳</w:t>
      </w:r>
      <w:r>
        <w:rPr>
          <w:rFonts w:ascii="宋体" w:hAnsi="宋体" w:eastAsia="宋体" w:cs="宋体"/>
          <w:spacing w:val="-2"/>
          <w:sz w:val="24"/>
          <w:szCs w:val="24"/>
        </w:rPr>
        <w:t>地田间采用</w:t>
      </w:r>
      <w:r>
        <w:rPr>
          <w:rFonts w:ascii="Times New Roman" w:hAnsi="Times New Roman" w:eastAsia="Times New Roman" w:cs="Times New Roman"/>
          <w:spacing w:val="-2"/>
          <w:sz w:val="24"/>
          <w:szCs w:val="24"/>
        </w:rPr>
        <w:t>DN90</w:t>
      </w:r>
      <w:r>
        <w:rPr>
          <w:rFonts w:ascii="宋体" w:hAnsi="宋体" w:eastAsia="宋体" w:cs="宋体"/>
          <w:spacing w:val="-2"/>
          <w:sz w:val="24"/>
          <w:szCs w:val="24"/>
        </w:rPr>
        <w:t>灌溉主管及</w:t>
      </w:r>
      <w:r>
        <w:rPr>
          <w:rFonts w:ascii="Times New Roman" w:hAnsi="Times New Roman" w:eastAsia="Times New Roman" w:cs="Times New Roman"/>
          <w:spacing w:val="-2"/>
          <w:sz w:val="24"/>
          <w:szCs w:val="24"/>
        </w:rPr>
        <w:t>DN</w:t>
      </w:r>
      <w:r>
        <w:rPr>
          <w:rFonts w:ascii="宋体" w:hAnsi="宋体" w:eastAsia="宋体" w:cs="宋体"/>
          <w:spacing w:val="-2"/>
          <w:sz w:val="24"/>
          <w:szCs w:val="24"/>
        </w:rPr>
        <w:t>灌溉支管。</w:t>
      </w:r>
    </w:p>
    <w:p w14:paraId="621A1349">
      <w:pPr>
        <w:spacing w:line="361" w:lineRule="auto"/>
        <w:rPr>
          <w:rFonts w:ascii="宋体" w:hAnsi="宋体" w:eastAsia="宋体" w:cs="宋体"/>
          <w:sz w:val="24"/>
          <w:szCs w:val="24"/>
        </w:rPr>
        <w:sectPr>
          <w:headerReference r:id="rId425" w:type="default"/>
          <w:footerReference r:id="rId426" w:type="default"/>
          <w:pgSz w:w="11905" w:h="16840"/>
          <w:pgMar w:top="1168" w:right="1714" w:bottom="1409" w:left="1770" w:header="828" w:footer="1244" w:gutter="0"/>
          <w:cols w:space="720" w:num="1"/>
        </w:sectPr>
      </w:pPr>
    </w:p>
    <w:p w14:paraId="6489B6AA">
      <w:pPr>
        <w:pStyle w:val="2"/>
        <w:spacing w:line="305" w:lineRule="auto"/>
      </w:pPr>
    </w:p>
    <w:p w14:paraId="4A23A811">
      <w:pPr>
        <w:spacing w:before="78" w:line="361" w:lineRule="auto"/>
        <w:ind w:left="39" w:firstLine="498"/>
        <w:jc w:val="both"/>
        <w:rPr>
          <w:rFonts w:ascii="宋体" w:hAnsi="宋体" w:eastAsia="宋体" w:cs="宋体"/>
          <w:sz w:val="24"/>
          <w:szCs w:val="24"/>
        </w:rPr>
      </w:pPr>
      <w:r>
        <w:rPr>
          <w:rFonts w:ascii="宋体" w:hAnsi="宋体" w:eastAsia="宋体" w:cs="宋体"/>
          <w:spacing w:val="-5"/>
          <w:sz w:val="24"/>
          <w:szCs w:val="24"/>
        </w:rPr>
        <w:t>因消纳地输水主管破裂等情况发生灌溉水泄漏，可能导致灌溉</w:t>
      </w:r>
      <w:r>
        <w:rPr>
          <w:rFonts w:ascii="宋体" w:hAnsi="宋体" w:eastAsia="宋体" w:cs="宋体"/>
          <w:spacing w:val="-6"/>
          <w:sz w:val="24"/>
          <w:szCs w:val="24"/>
        </w:rPr>
        <w:t>水随地形漫流，</w:t>
      </w:r>
      <w:r>
        <w:rPr>
          <w:rFonts w:ascii="宋体" w:hAnsi="宋体" w:eastAsia="宋体" w:cs="宋体"/>
          <w:spacing w:val="-5"/>
          <w:sz w:val="24"/>
          <w:szCs w:val="24"/>
        </w:rPr>
        <w:t>汇入周围水体导致水质污染。评价要求输水管道合理设置阀门，</w:t>
      </w:r>
      <w:r>
        <w:rPr>
          <w:rFonts w:ascii="宋体" w:hAnsi="宋体" w:eastAsia="宋体" w:cs="宋体"/>
          <w:spacing w:val="-49"/>
          <w:sz w:val="24"/>
          <w:szCs w:val="24"/>
        </w:rPr>
        <w:t xml:space="preserve"> </w:t>
      </w:r>
      <w:r>
        <w:rPr>
          <w:rFonts w:ascii="宋体" w:hAnsi="宋体" w:eastAsia="宋体" w:cs="宋体"/>
          <w:spacing w:val="-5"/>
          <w:sz w:val="24"/>
          <w:szCs w:val="24"/>
        </w:rPr>
        <w:t>应做好管道及阀</w:t>
      </w:r>
      <w:r>
        <w:rPr>
          <w:rFonts w:ascii="宋体" w:hAnsi="宋体" w:eastAsia="宋体" w:cs="宋体"/>
          <w:spacing w:val="-8"/>
          <w:sz w:val="24"/>
          <w:szCs w:val="24"/>
        </w:rPr>
        <w:t>门防渗、防漏措施，</w:t>
      </w:r>
      <w:r>
        <w:rPr>
          <w:rFonts w:ascii="宋体" w:hAnsi="宋体" w:eastAsia="宋体" w:cs="宋体"/>
          <w:spacing w:val="55"/>
          <w:sz w:val="24"/>
          <w:szCs w:val="24"/>
        </w:rPr>
        <w:t xml:space="preserve"> </w:t>
      </w:r>
      <w:r>
        <w:rPr>
          <w:rFonts w:ascii="宋体" w:hAnsi="宋体" w:eastAsia="宋体" w:cs="宋体"/>
          <w:spacing w:val="-8"/>
          <w:sz w:val="24"/>
          <w:szCs w:val="24"/>
        </w:rPr>
        <w:t>日常加强管道的巡护工作，在发现管道有破裂现象时，第一</w:t>
      </w:r>
      <w:r>
        <w:rPr>
          <w:rFonts w:ascii="宋体" w:hAnsi="宋体" w:eastAsia="宋体" w:cs="宋体"/>
          <w:spacing w:val="-3"/>
          <w:sz w:val="24"/>
          <w:szCs w:val="24"/>
        </w:rPr>
        <w:t>时间通知污水处理站暂停输水，关闭管道破裂段阀门，并及时进行抢修工作，避</w:t>
      </w:r>
      <w:r>
        <w:rPr>
          <w:rFonts w:ascii="宋体" w:hAnsi="宋体" w:eastAsia="宋体" w:cs="宋体"/>
          <w:spacing w:val="-2"/>
          <w:sz w:val="24"/>
          <w:szCs w:val="24"/>
        </w:rPr>
        <w:t>免出现大量灌溉水泄漏流至周围水体的事故发生。</w:t>
      </w:r>
    </w:p>
    <w:p w14:paraId="7820875E">
      <w:pPr>
        <w:spacing w:before="51" w:line="226"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4.3.8.5 </w:t>
      </w:r>
      <w:r>
        <w:rPr>
          <w:rFonts w:ascii="宋体" w:hAnsi="宋体" w:eastAsia="宋体" w:cs="宋体"/>
          <w:b/>
          <w:bCs/>
          <w:spacing w:val="6"/>
          <w:sz w:val="27"/>
          <w:szCs w:val="27"/>
        </w:rPr>
        <w:t>危险废物暂存、转运风险防范措施</w:t>
      </w:r>
    </w:p>
    <w:p w14:paraId="1B7892A7">
      <w:pPr>
        <w:spacing w:before="236" w:line="360" w:lineRule="auto"/>
        <w:ind w:left="37" w:right="186" w:firstLine="482"/>
        <w:jc w:val="both"/>
        <w:rPr>
          <w:rFonts w:ascii="宋体" w:hAnsi="宋体" w:eastAsia="宋体" w:cs="宋体"/>
          <w:sz w:val="24"/>
          <w:szCs w:val="24"/>
        </w:rPr>
      </w:pPr>
      <w:r>
        <w:rPr>
          <w:rFonts w:ascii="宋体" w:hAnsi="宋体" w:eastAsia="宋体" w:cs="宋体"/>
          <w:spacing w:val="-3"/>
          <w:sz w:val="24"/>
          <w:szCs w:val="24"/>
        </w:rPr>
        <w:t>本项目建成运营后产生的危险废物必须经科学地分类收集、贮</w:t>
      </w:r>
      <w:r>
        <w:rPr>
          <w:rFonts w:ascii="宋体" w:hAnsi="宋体" w:eastAsia="宋体" w:cs="宋体"/>
          <w:spacing w:val="-4"/>
          <w:sz w:val="24"/>
          <w:szCs w:val="24"/>
        </w:rPr>
        <w:t>存运送后交由</w:t>
      </w:r>
      <w:r>
        <w:rPr>
          <w:rFonts w:ascii="宋体" w:hAnsi="宋体" w:eastAsia="宋体" w:cs="宋体"/>
          <w:spacing w:val="-6"/>
          <w:sz w:val="24"/>
          <w:szCs w:val="24"/>
        </w:rPr>
        <w:t>有处理资质的单位处置。鉴于危险废物具有危害性， 该项目在收</w:t>
      </w:r>
      <w:r>
        <w:rPr>
          <w:rFonts w:ascii="宋体" w:hAnsi="宋体" w:eastAsia="宋体" w:cs="宋体"/>
          <w:spacing w:val="-7"/>
          <w:sz w:val="24"/>
          <w:szCs w:val="24"/>
        </w:rPr>
        <w:t>集、贮存、运送</w:t>
      </w:r>
      <w:r>
        <w:rPr>
          <w:rFonts w:ascii="宋体" w:hAnsi="宋体" w:eastAsia="宋体" w:cs="宋体"/>
          <w:spacing w:val="-3"/>
          <w:sz w:val="24"/>
          <w:szCs w:val="24"/>
        </w:rPr>
        <w:t>危险废物的过程中存在着一定的风险。为保证项目产生的危险疗废物得到有效处</w:t>
      </w:r>
      <w:r>
        <w:rPr>
          <w:rFonts w:ascii="宋体" w:hAnsi="宋体" w:eastAsia="宋体" w:cs="宋体"/>
          <w:spacing w:val="-2"/>
          <w:sz w:val="24"/>
          <w:szCs w:val="24"/>
        </w:rPr>
        <w:t>置，使其风险减少到最小程度，而不会对周围环境造成不良影响。</w:t>
      </w:r>
    </w:p>
    <w:p w14:paraId="0B949D67">
      <w:pPr>
        <w:spacing w:before="6" w:line="359" w:lineRule="auto"/>
        <w:ind w:left="38" w:right="186" w:firstLine="484"/>
        <w:jc w:val="both"/>
        <w:rPr>
          <w:rFonts w:ascii="宋体" w:hAnsi="宋体" w:eastAsia="宋体" w:cs="宋体"/>
          <w:sz w:val="24"/>
          <w:szCs w:val="24"/>
        </w:rPr>
      </w:pPr>
      <w:r>
        <w:rPr>
          <w:rFonts w:ascii="宋体" w:hAnsi="宋体" w:eastAsia="宋体" w:cs="宋体"/>
          <w:spacing w:val="-7"/>
          <w:sz w:val="24"/>
          <w:szCs w:val="24"/>
        </w:rPr>
        <w:t>项目建立危险废物暂时贮存设施、设备， 不得露天存放危险废物，危险废物</w:t>
      </w:r>
      <w:r>
        <w:rPr>
          <w:rFonts w:ascii="宋体" w:hAnsi="宋体" w:eastAsia="宋体" w:cs="宋体"/>
          <w:spacing w:val="46"/>
          <w:sz w:val="24"/>
          <w:szCs w:val="24"/>
        </w:rPr>
        <w:t>在场地内的暂存执行危险废物执行《危险废物贮</w:t>
      </w:r>
      <w:r>
        <w:rPr>
          <w:rFonts w:ascii="宋体" w:hAnsi="宋体" w:eastAsia="宋体" w:cs="宋体"/>
          <w:spacing w:val="45"/>
          <w:sz w:val="24"/>
          <w:szCs w:val="24"/>
        </w:rPr>
        <w:t>存污染控制标准》</w:t>
      </w:r>
      <w:r>
        <w:rPr>
          <w:rFonts w:ascii="宋体" w:hAnsi="宋体" w:eastAsia="宋体" w:cs="宋体"/>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GB18597-2023</w:t>
      </w:r>
      <w:r>
        <w:rPr>
          <w:rFonts w:ascii="宋体" w:hAnsi="宋体" w:eastAsia="宋体" w:cs="宋体"/>
          <w:spacing w:val="-5"/>
          <w:sz w:val="24"/>
          <w:szCs w:val="24"/>
        </w:rPr>
        <w:t>）。危险废物应得到及时、有效地处理。在转交</w:t>
      </w:r>
      <w:r>
        <w:rPr>
          <w:rFonts w:ascii="宋体" w:hAnsi="宋体" w:eastAsia="宋体" w:cs="宋体"/>
          <w:spacing w:val="-6"/>
          <w:sz w:val="24"/>
          <w:szCs w:val="24"/>
        </w:rPr>
        <w:t>及运送过程中，</w:t>
      </w:r>
      <w:r>
        <w:rPr>
          <w:rFonts w:ascii="宋体" w:hAnsi="宋体" w:eastAsia="宋体" w:cs="宋体"/>
          <w:sz w:val="24"/>
          <w:szCs w:val="24"/>
        </w:rPr>
        <w:t>应当严格按照原国家环境保护总局第</w:t>
      </w:r>
      <w:r>
        <w:rPr>
          <w:rFonts w:ascii="Times New Roman" w:hAnsi="Times New Roman" w:eastAsia="Times New Roman" w:cs="Times New Roman"/>
          <w:sz w:val="24"/>
          <w:szCs w:val="24"/>
        </w:rPr>
        <w:t>5</w:t>
      </w:r>
      <w:r>
        <w:rPr>
          <w:rFonts w:ascii="宋体" w:hAnsi="宋体" w:eastAsia="宋体" w:cs="宋体"/>
          <w:sz w:val="24"/>
          <w:szCs w:val="24"/>
        </w:rPr>
        <w:t>号令《危险废物转移联单管理办法》中的</w:t>
      </w:r>
      <w:r>
        <w:rPr>
          <w:rFonts w:ascii="宋体" w:hAnsi="宋体" w:eastAsia="宋体" w:cs="宋体"/>
          <w:spacing w:val="-3"/>
          <w:sz w:val="24"/>
          <w:szCs w:val="24"/>
        </w:rPr>
        <w:t>相关规定执行，确保危险废物安全转移运输。</w:t>
      </w:r>
    </w:p>
    <w:p w14:paraId="317F5811">
      <w:pPr>
        <w:spacing w:before="1" w:line="361" w:lineRule="auto"/>
        <w:ind w:left="38" w:right="186" w:firstLine="481"/>
        <w:jc w:val="both"/>
        <w:rPr>
          <w:rFonts w:ascii="宋体" w:hAnsi="宋体" w:eastAsia="宋体" w:cs="宋体"/>
          <w:sz w:val="24"/>
          <w:szCs w:val="24"/>
        </w:rPr>
      </w:pPr>
      <w:r>
        <w:rPr>
          <w:rFonts w:ascii="宋体" w:hAnsi="宋体" w:eastAsia="宋体" w:cs="宋体"/>
          <w:spacing w:val="-3"/>
          <w:sz w:val="24"/>
          <w:szCs w:val="24"/>
        </w:rPr>
        <w:t>本项目危险废物从场地内产生环节及时收集后，采用密封桶进</w:t>
      </w:r>
      <w:r>
        <w:rPr>
          <w:rFonts w:ascii="宋体" w:hAnsi="宋体" w:eastAsia="宋体" w:cs="宋体"/>
          <w:spacing w:val="-4"/>
          <w:sz w:val="24"/>
          <w:szCs w:val="24"/>
        </w:rPr>
        <w:t>行包装，并转</w:t>
      </w:r>
      <w:r>
        <w:rPr>
          <w:rFonts w:ascii="宋体" w:hAnsi="宋体" w:eastAsia="宋体" w:cs="宋体"/>
          <w:spacing w:val="-3"/>
          <w:sz w:val="24"/>
          <w:szCs w:val="24"/>
        </w:rPr>
        <w:t>运至危险废物暂存间，正常情况下发生危废泄漏的几率不大。项目危废转运所经</w:t>
      </w:r>
      <w:r>
        <w:rPr>
          <w:rFonts w:ascii="宋体" w:hAnsi="宋体" w:eastAsia="宋体" w:cs="宋体"/>
          <w:spacing w:val="-6"/>
          <w:sz w:val="24"/>
          <w:szCs w:val="24"/>
        </w:rPr>
        <w:t>路线的道路均进行地面硬化，一旦发生泄漏能及时收集、处置，</w:t>
      </w:r>
      <w:r>
        <w:rPr>
          <w:rFonts w:ascii="宋体" w:hAnsi="宋体" w:eastAsia="宋体" w:cs="宋体"/>
          <w:spacing w:val="-7"/>
          <w:sz w:val="24"/>
          <w:szCs w:val="24"/>
        </w:rPr>
        <w:t xml:space="preserve"> 能够避免污染物</w:t>
      </w:r>
      <w:r>
        <w:rPr>
          <w:rFonts w:ascii="宋体" w:hAnsi="宋体" w:eastAsia="宋体" w:cs="宋体"/>
          <w:spacing w:val="-4"/>
          <w:sz w:val="24"/>
          <w:szCs w:val="24"/>
        </w:rPr>
        <w:t>对周围环境造成污染。</w:t>
      </w:r>
    </w:p>
    <w:p w14:paraId="3297EAAB">
      <w:pPr>
        <w:spacing w:before="171" w:line="225"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4.3.8.6</w:t>
      </w:r>
      <w:r>
        <w:rPr>
          <w:rFonts w:ascii="Times New Roman" w:hAnsi="Times New Roman" w:eastAsia="Times New Roman" w:cs="Times New Roman"/>
          <w:b/>
          <w:bCs/>
          <w:spacing w:val="36"/>
          <w:sz w:val="27"/>
          <w:szCs w:val="27"/>
        </w:rPr>
        <w:t xml:space="preserve"> </w:t>
      </w:r>
      <w:r>
        <w:rPr>
          <w:rFonts w:ascii="宋体" w:hAnsi="宋体" w:eastAsia="宋体" w:cs="宋体"/>
          <w:b/>
          <w:bCs/>
          <w:spacing w:val="5"/>
          <w:sz w:val="27"/>
          <w:szCs w:val="27"/>
        </w:rPr>
        <w:t>消毒剂泄漏事故风险防范及应急措施</w:t>
      </w:r>
    </w:p>
    <w:p w14:paraId="45DF2222">
      <w:pPr>
        <w:spacing w:before="237"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）事故防范措施</w:t>
      </w:r>
    </w:p>
    <w:p w14:paraId="1680AC8B">
      <w:pPr>
        <w:spacing w:before="182" w:line="360" w:lineRule="auto"/>
        <w:ind w:left="42" w:right="187" w:firstLine="476"/>
        <w:rPr>
          <w:rFonts w:ascii="宋体" w:hAnsi="宋体" w:eastAsia="宋体" w:cs="宋体"/>
          <w:sz w:val="24"/>
          <w:szCs w:val="24"/>
        </w:rPr>
      </w:pPr>
      <w:r>
        <w:rPr>
          <w:rFonts w:ascii="宋体" w:hAnsi="宋体" w:eastAsia="宋体" w:cs="宋体"/>
          <w:spacing w:val="-3"/>
          <w:sz w:val="24"/>
          <w:szCs w:val="24"/>
        </w:rPr>
        <w:t>①储存于阴凉、通风的库房。远离火种、热源。库温不宜超过</w:t>
      </w:r>
      <w:r>
        <w:rPr>
          <w:rFonts w:ascii="Times New Roman" w:hAnsi="Times New Roman" w:eastAsia="Times New Roman" w:cs="Times New Roman"/>
          <w:spacing w:val="-3"/>
          <w:sz w:val="24"/>
          <w:szCs w:val="24"/>
        </w:rPr>
        <w:t>30</w:t>
      </w:r>
      <w:r>
        <w:rPr>
          <w:rFonts w:ascii="宋体" w:hAnsi="宋体" w:eastAsia="宋体" w:cs="宋体"/>
          <w:spacing w:val="-3"/>
          <w:sz w:val="24"/>
          <w:szCs w:val="24"/>
        </w:rPr>
        <w:t>℃。</w:t>
      </w:r>
      <w:r>
        <w:rPr>
          <w:rFonts w:ascii="宋体" w:hAnsi="宋体" w:eastAsia="宋体" w:cs="宋体"/>
          <w:spacing w:val="-4"/>
          <w:sz w:val="24"/>
          <w:szCs w:val="24"/>
        </w:rPr>
        <w:t>应分类</w:t>
      </w:r>
      <w:r>
        <w:rPr>
          <w:rFonts w:ascii="宋体" w:hAnsi="宋体" w:eastAsia="宋体" w:cs="宋体"/>
          <w:spacing w:val="-2"/>
          <w:sz w:val="24"/>
          <w:szCs w:val="24"/>
        </w:rPr>
        <w:t>分开存放，切忌混储。储区应备有泄漏应急处理设备和合适的收容材料。</w:t>
      </w:r>
    </w:p>
    <w:p w14:paraId="332FDE78">
      <w:pPr>
        <w:spacing w:line="360" w:lineRule="auto"/>
        <w:ind w:left="38" w:right="186" w:firstLine="479"/>
        <w:rPr>
          <w:rFonts w:ascii="宋体" w:hAnsi="宋体" w:eastAsia="宋体" w:cs="宋体"/>
          <w:sz w:val="24"/>
          <w:szCs w:val="24"/>
        </w:rPr>
      </w:pPr>
      <w:r>
        <w:rPr>
          <w:rFonts w:ascii="宋体" w:hAnsi="宋体" w:eastAsia="宋体" w:cs="宋体"/>
          <w:spacing w:val="-7"/>
          <w:sz w:val="24"/>
          <w:szCs w:val="24"/>
        </w:rPr>
        <w:t>②操作注意事项：密闭操作，全面通风。操作人员必须经过专门培训， 严格</w:t>
      </w:r>
      <w:r>
        <w:rPr>
          <w:rFonts w:ascii="宋体" w:hAnsi="宋体" w:eastAsia="宋体" w:cs="宋体"/>
          <w:spacing w:val="-6"/>
          <w:sz w:val="24"/>
          <w:szCs w:val="24"/>
        </w:rPr>
        <w:t>遵守操作规程。</w:t>
      </w:r>
    </w:p>
    <w:p w14:paraId="1E46D5CB">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）应急措施</w:t>
      </w:r>
    </w:p>
    <w:p w14:paraId="164C8FAB">
      <w:pPr>
        <w:spacing w:before="180" w:line="325" w:lineRule="auto"/>
        <w:ind w:left="39" w:right="186" w:firstLine="479"/>
        <w:rPr>
          <w:rFonts w:ascii="宋体" w:hAnsi="宋体" w:eastAsia="宋体" w:cs="宋体"/>
          <w:sz w:val="24"/>
          <w:szCs w:val="24"/>
        </w:rPr>
      </w:pPr>
      <w:r>
        <w:rPr>
          <w:rFonts w:ascii="宋体" w:hAnsi="宋体" w:eastAsia="宋体" w:cs="宋体"/>
          <w:spacing w:val="-7"/>
          <w:sz w:val="24"/>
          <w:szCs w:val="24"/>
        </w:rPr>
        <w:t>①泄漏应急措施：尽可能切断泄漏源。小量泄漏： 用砂土、蛭石或其它惰性</w:t>
      </w:r>
      <w:r>
        <w:rPr>
          <w:rFonts w:ascii="宋体" w:hAnsi="宋体" w:eastAsia="宋体" w:cs="宋体"/>
          <w:spacing w:val="-10"/>
          <w:sz w:val="24"/>
          <w:szCs w:val="24"/>
        </w:rPr>
        <w:t>材料吸收。大量泄漏： 构筑围堤或挖坑收容。用泡沫覆盖</w:t>
      </w:r>
      <w:r>
        <w:rPr>
          <w:rFonts w:ascii="宋体" w:hAnsi="宋体" w:eastAsia="宋体" w:cs="宋体"/>
          <w:spacing w:val="-11"/>
          <w:sz w:val="24"/>
          <w:szCs w:val="24"/>
        </w:rPr>
        <w:t>，</w:t>
      </w:r>
      <w:r>
        <w:rPr>
          <w:rFonts w:ascii="宋体" w:hAnsi="宋体" w:eastAsia="宋体" w:cs="宋体"/>
          <w:spacing w:val="25"/>
          <w:sz w:val="24"/>
          <w:szCs w:val="24"/>
        </w:rPr>
        <w:t xml:space="preserve"> </w:t>
      </w:r>
      <w:r>
        <w:rPr>
          <w:rFonts w:ascii="宋体" w:hAnsi="宋体" w:eastAsia="宋体" w:cs="宋体"/>
          <w:spacing w:val="-11"/>
          <w:sz w:val="24"/>
          <w:szCs w:val="24"/>
        </w:rPr>
        <w:t>降低蒸气灾害。用泵</w:t>
      </w:r>
      <w:r>
        <w:rPr>
          <w:rFonts w:ascii="宋体" w:hAnsi="宋体" w:eastAsia="宋体" w:cs="宋体"/>
          <w:spacing w:val="-2"/>
          <w:sz w:val="24"/>
          <w:szCs w:val="24"/>
        </w:rPr>
        <w:t>转移至槽车或专用收集器内，作为废水的消毒剂一次性使用。</w:t>
      </w:r>
    </w:p>
    <w:p w14:paraId="198EF765">
      <w:pPr>
        <w:spacing w:line="325" w:lineRule="auto"/>
        <w:rPr>
          <w:rFonts w:ascii="宋体" w:hAnsi="宋体" w:eastAsia="宋体" w:cs="宋体"/>
          <w:sz w:val="24"/>
          <w:szCs w:val="24"/>
        </w:rPr>
        <w:sectPr>
          <w:headerReference r:id="rId427" w:type="default"/>
          <w:footerReference r:id="rId428" w:type="default"/>
          <w:pgSz w:w="11905" w:h="16840"/>
          <w:pgMar w:top="1168" w:right="1611" w:bottom="1409" w:left="1770" w:header="828" w:footer="1244" w:gutter="0"/>
          <w:cols w:space="720" w:num="1"/>
        </w:sectPr>
      </w:pPr>
    </w:p>
    <w:p w14:paraId="73554896">
      <w:pPr>
        <w:pStyle w:val="2"/>
        <w:spacing w:line="306" w:lineRule="auto"/>
      </w:pPr>
    </w:p>
    <w:p w14:paraId="76DA3E28">
      <w:pPr>
        <w:spacing w:before="78" w:line="217" w:lineRule="auto"/>
        <w:ind w:left="517"/>
        <w:rPr>
          <w:rFonts w:ascii="宋体" w:hAnsi="宋体" w:eastAsia="宋体" w:cs="宋体"/>
          <w:sz w:val="24"/>
          <w:szCs w:val="24"/>
        </w:rPr>
      </w:pPr>
      <w:r>
        <w:rPr>
          <w:rFonts w:ascii="宋体" w:hAnsi="宋体" w:eastAsia="宋体" w:cs="宋体"/>
          <w:spacing w:val="-2"/>
          <w:sz w:val="24"/>
          <w:szCs w:val="24"/>
        </w:rPr>
        <w:t>②灭火方法：采用雾状水、二氧化碳、砂土灭火。</w:t>
      </w:r>
    </w:p>
    <w:p w14:paraId="503252F3">
      <w:pPr>
        <w:pStyle w:val="2"/>
        <w:spacing w:line="272" w:lineRule="auto"/>
      </w:pPr>
    </w:p>
    <w:p w14:paraId="4581FAEE">
      <w:pPr>
        <w:spacing w:before="88" w:line="227" w:lineRule="auto"/>
        <w:ind w:left="36"/>
        <w:rPr>
          <w:rFonts w:ascii="宋体" w:hAnsi="宋体" w:eastAsia="宋体" w:cs="宋体"/>
          <w:sz w:val="27"/>
          <w:szCs w:val="27"/>
        </w:rPr>
      </w:pPr>
      <w:bookmarkStart w:id="43" w:name="bookmark178"/>
      <w:bookmarkEnd w:id="43"/>
      <w:r>
        <w:rPr>
          <w:rFonts w:ascii="Times New Roman" w:hAnsi="Times New Roman" w:eastAsia="Times New Roman" w:cs="Times New Roman"/>
          <w:b/>
          <w:bCs/>
          <w:spacing w:val="6"/>
          <w:sz w:val="27"/>
          <w:szCs w:val="27"/>
        </w:rPr>
        <w:t xml:space="preserve">4.3.8.7 </w:t>
      </w:r>
      <w:r>
        <w:rPr>
          <w:rFonts w:ascii="宋体" w:hAnsi="宋体" w:eastAsia="宋体" w:cs="宋体"/>
          <w:b/>
          <w:bCs/>
          <w:spacing w:val="6"/>
          <w:sz w:val="27"/>
          <w:szCs w:val="27"/>
        </w:rPr>
        <w:t>柴油泄漏事故预防与应急措施</w:t>
      </w:r>
    </w:p>
    <w:p w14:paraId="09745E8F">
      <w:pPr>
        <w:spacing w:before="235"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）事故防范措施</w:t>
      </w:r>
    </w:p>
    <w:p w14:paraId="0B2F8572">
      <w:pPr>
        <w:spacing w:before="181" w:line="360" w:lineRule="auto"/>
        <w:ind w:left="38" w:right="85" w:firstLine="480"/>
        <w:rPr>
          <w:rFonts w:ascii="宋体" w:hAnsi="宋体" w:eastAsia="宋体" w:cs="宋体"/>
          <w:sz w:val="24"/>
          <w:szCs w:val="24"/>
        </w:rPr>
      </w:pPr>
      <w:r>
        <w:rPr>
          <w:rFonts w:ascii="宋体" w:hAnsi="宋体" w:eastAsia="宋体" w:cs="宋体"/>
          <w:spacing w:val="-7"/>
          <w:sz w:val="24"/>
          <w:szCs w:val="24"/>
        </w:rPr>
        <w:t>①油罐储存于阴凉、通风的库房， 远离火种、热源。禁止使用易产生火花的</w:t>
      </w:r>
      <w:r>
        <w:rPr>
          <w:rFonts w:ascii="宋体" w:hAnsi="宋体" w:eastAsia="宋体" w:cs="宋体"/>
          <w:spacing w:val="-2"/>
          <w:sz w:val="24"/>
          <w:szCs w:val="24"/>
        </w:rPr>
        <w:t>机械设备和工具，应备有泄漏应急处理措施和合适的收容材料。</w:t>
      </w:r>
    </w:p>
    <w:p w14:paraId="7C2EF49A">
      <w:pPr>
        <w:spacing w:before="3" w:line="359" w:lineRule="auto"/>
        <w:ind w:left="40" w:right="83" w:firstLine="477"/>
        <w:rPr>
          <w:rFonts w:ascii="宋体" w:hAnsi="宋体" w:eastAsia="宋体" w:cs="宋体"/>
          <w:sz w:val="24"/>
          <w:szCs w:val="24"/>
        </w:rPr>
      </w:pPr>
      <w:r>
        <w:rPr>
          <w:rFonts w:ascii="宋体" w:hAnsi="宋体" w:eastAsia="宋体" w:cs="宋体"/>
          <w:spacing w:val="-3"/>
          <w:sz w:val="24"/>
          <w:szCs w:val="24"/>
        </w:rPr>
        <w:t>②对储油罐进行防腐保护，防止因腐蚀产生泄漏。储油罐设置隔离</w:t>
      </w:r>
      <w:r>
        <w:rPr>
          <w:rFonts w:ascii="宋体" w:hAnsi="宋体" w:eastAsia="宋体" w:cs="宋体"/>
          <w:spacing w:val="-4"/>
          <w:sz w:val="24"/>
          <w:szCs w:val="24"/>
        </w:rPr>
        <w:t>设施和防</w:t>
      </w:r>
      <w:r>
        <w:rPr>
          <w:rFonts w:ascii="宋体" w:hAnsi="宋体" w:eastAsia="宋体" w:cs="宋体"/>
          <w:spacing w:val="-2"/>
          <w:sz w:val="24"/>
          <w:szCs w:val="24"/>
        </w:rPr>
        <w:t>风、防晒设施；地面采用水泥硬化地面，地面无裂隙。</w:t>
      </w:r>
    </w:p>
    <w:p w14:paraId="2B2CB514">
      <w:pPr>
        <w:spacing w:line="217" w:lineRule="auto"/>
        <w:ind w:left="517"/>
        <w:rPr>
          <w:rFonts w:ascii="宋体" w:hAnsi="宋体" w:eastAsia="宋体" w:cs="宋体"/>
          <w:sz w:val="24"/>
          <w:szCs w:val="24"/>
        </w:rPr>
      </w:pPr>
      <w:r>
        <w:rPr>
          <w:rFonts w:ascii="宋体" w:hAnsi="宋体" w:eastAsia="宋体" w:cs="宋体"/>
          <w:spacing w:val="-2"/>
          <w:sz w:val="24"/>
          <w:szCs w:val="24"/>
        </w:rPr>
        <w:t>③储油间周边设置消防沙用于处置泄漏柴油或灭火。</w:t>
      </w:r>
    </w:p>
    <w:p w14:paraId="2C047319">
      <w:pPr>
        <w:spacing w:before="186" w:line="360" w:lineRule="auto"/>
        <w:ind w:left="39" w:right="138" w:firstLine="478"/>
        <w:rPr>
          <w:rFonts w:ascii="宋体" w:hAnsi="宋体" w:eastAsia="宋体" w:cs="宋体"/>
          <w:sz w:val="24"/>
          <w:szCs w:val="24"/>
        </w:rPr>
      </w:pPr>
      <w:r>
        <w:rPr>
          <w:rFonts w:ascii="宋体" w:hAnsi="宋体" w:eastAsia="宋体" w:cs="宋体"/>
          <w:spacing w:val="-12"/>
          <w:sz w:val="24"/>
          <w:szCs w:val="24"/>
        </w:rPr>
        <w:t>④强化安全、消防和环保管理，完善环保安全管理机构，完善各项管理制度，</w:t>
      </w:r>
      <w:r>
        <w:rPr>
          <w:rFonts w:ascii="宋体" w:hAnsi="宋体" w:eastAsia="宋体" w:cs="宋体"/>
          <w:spacing w:val="-5"/>
          <w:sz w:val="24"/>
          <w:szCs w:val="24"/>
        </w:rPr>
        <w:t>加强日常监督检查。</w:t>
      </w:r>
    </w:p>
    <w:p w14:paraId="0BA2D540">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）应急措施</w:t>
      </w:r>
    </w:p>
    <w:p w14:paraId="4C244E88">
      <w:pPr>
        <w:spacing w:before="182" w:line="360" w:lineRule="auto"/>
        <w:ind w:left="62" w:firstLine="455"/>
        <w:rPr>
          <w:rFonts w:ascii="宋体" w:hAnsi="宋体" w:eastAsia="宋体" w:cs="宋体"/>
          <w:sz w:val="24"/>
          <w:szCs w:val="24"/>
        </w:rPr>
      </w:pPr>
      <w:r>
        <w:rPr>
          <w:rFonts w:ascii="宋体" w:hAnsi="宋体" w:eastAsia="宋体" w:cs="宋体"/>
          <w:spacing w:val="-3"/>
          <w:sz w:val="24"/>
          <w:szCs w:val="24"/>
        </w:rPr>
        <w:t>①事故岗位发现柴油泄漏，应迅速查明事故发生的泄漏部位和原因</w:t>
      </w:r>
      <w:r>
        <w:rPr>
          <w:rFonts w:ascii="宋体" w:hAnsi="宋体" w:eastAsia="宋体" w:cs="宋体"/>
          <w:spacing w:val="-4"/>
          <w:sz w:val="24"/>
          <w:szCs w:val="24"/>
        </w:rPr>
        <w:t>，及时关</w:t>
      </w:r>
      <w:r>
        <w:rPr>
          <w:rFonts w:ascii="宋体" w:hAnsi="宋体" w:eastAsia="宋体" w:cs="宋体"/>
          <w:spacing w:val="-1"/>
          <w:sz w:val="24"/>
          <w:szCs w:val="24"/>
        </w:rPr>
        <w:t>闭主要阀门，切断柴油外泄通道，并向上级报告，提出堵漏</w:t>
      </w:r>
      <w:r>
        <w:rPr>
          <w:rFonts w:ascii="宋体" w:hAnsi="宋体" w:eastAsia="宋体" w:cs="宋体"/>
          <w:spacing w:val="-2"/>
          <w:sz w:val="24"/>
          <w:szCs w:val="24"/>
        </w:rPr>
        <w:t>或抢修的具体措施。</w:t>
      </w:r>
    </w:p>
    <w:p w14:paraId="54E5AEFF">
      <w:pPr>
        <w:spacing w:before="2" w:line="359" w:lineRule="auto"/>
        <w:ind w:left="57" w:right="83" w:firstLine="460"/>
        <w:rPr>
          <w:rFonts w:ascii="宋体" w:hAnsi="宋体" w:eastAsia="宋体" w:cs="宋体"/>
          <w:sz w:val="24"/>
          <w:szCs w:val="24"/>
        </w:rPr>
      </w:pPr>
      <w:r>
        <w:rPr>
          <w:rFonts w:ascii="宋体" w:hAnsi="宋体" w:eastAsia="宋体" w:cs="宋体"/>
          <w:spacing w:val="-3"/>
          <w:sz w:val="24"/>
          <w:szCs w:val="24"/>
        </w:rPr>
        <w:t>②进现场人员应佩戴面具，如使用中闻到有毒气体味或呼吸感到不</w:t>
      </w:r>
      <w:r>
        <w:rPr>
          <w:rFonts w:ascii="宋体" w:hAnsi="宋体" w:eastAsia="宋体" w:cs="宋体"/>
          <w:spacing w:val="-4"/>
          <w:sz w:val="24"/>
          <w:szCs w:val="24"/>
        </w:rPr>
        <w:t>适时应立</w:t>
      </w:r>
      <w:r>
        <w:rPr>
          <w:rFonts w:ascii="宋体" w:hAnsi="宋体" w:eastAsia="宋体" w:cs="宋体"/>
          <w:spacing w:val="-3"/>
          <w:sz w:val="24"/>
          <w:szCs w:val="24"/>
        </w:rPr>
        <w:t>即停止工作，迅速撤离现场，呼吸新鲜空气。</w:t>
      </w:r>
    </w:p>
    <w:p w14:paraId="2E8C12C8">
      <w:pPr>
        <w:spacing w:before="2" w:line="361" w:lineRule="auto"/>
        <w:ind w:left="40" w:right="83" w:firstLine="477"/>
        <w:rPr>
          <w:rFonts w:ascii="宋体" w:hAnsi="宋体" w:eastAsia="宋体" w:cs="宋体"/>
          <w:sz w:val="24"/>
          <w:szCs w:val="24"/>
        </w:rPr>
      </w:pPr>
      <w:r>
        <w:rPr>
          <w:rFonts w:ascii="宋体" w:hAnsi="宋体" w:eastAsia="宋体" w:cs="宋体"/>
          <w:spacing w:val="-3"/>
          <w:sz w:val="24"/>
          <w:szCs w:val="24"/>
        </w:rPr>
        <w:t>③发生柴油少量泄漏时，柴油控制在储油间内，可用消防沙吸收，</w:t>
      </w:r>
      <w:r>
        <w:rPr>
          <w:rFonts w:ascii="宋体" w:hAnsi="宋体" w:eastAsia="宋体" w:cs="宋体"/>
          <w:spacing w:val="-4"/>
          <w:sz w:val="24"/>
          <w:szCs w:val="24"/>
        </w:rPr>
        <w:t>含油废沙</w:t>
      </w:r>
      <w:r>
        <w:rPr>
          <w:rFonts w:ascii="宋体" w:hAnsi="宋体" w:eastAsia="宋体" w:cs="宋体"/>
          <w:spacing w:val="-5"/>
          <w:sz w:val="24"/>
          <w:szCs w:val="24"/>
        </w:rPr>
        <w:t>作为危险废物委托有资质的单位处置。发生大量泄漏时，</w:t>
      </w:r>
      <w:r>
        <w:rPr>
          <w:rFonts w:ascii="宋体" w:hAnsi="宋体" w:eastAsia="宋体" w:cs="宋体"/>
          <w:spacing w:val="-50"/>
          <w:sz w:val="24"/>
          <w:szCs w:val="24"/>
        </w:rPr>
        <w:t xml:space="preserve"> </w:t>
      </w:r>
      <w:r>
        <w:rPr>
          <w:rFonts w:ascii="宋体" w:hAnsi="宋体" w:eastAsia="宋体" w:cs="宋体"/>
          <w:spacing w:val="-5"/>
          <w:sz w:val="24"/>
          <w:szCs w:val="24"/>
        </w:rPr>
        <w:t>柴油亦可控制在储油间</w:t>
      </w:r>
      <w:r>
        <w:rPr>
          <w:rFonts w:ascii="宋体" w:hAnsi="宋体" w:eastAsia="宋体" w:cs="宋体"/>
          <w:spacing w:val="-2"/>
          <w:sz w:val="24"/>
          <w:szCs w:val="24"/>
        </w:rPr>
        <w:t>的围堰内，用泵转移至槽车或专用收集器内，回收利用。</w:t>
      </w:r>
    </w:p>
    <w:p w14:paraId="0ABFBEA5">
      <w:pPr>
        <w:spacing w:before="52" w:line="226" w:lineRule="auto"/>
        <w:ind w:left="36"/>
        <w:rPr>
          <w:rFonts w:ascii="宋体" w:hAnsi="宋体" w:eastAsia="宋体" w:cs="宋体"/>
          <w:sz w:val="27"/>
          <w:szCs w:val="27"/>
        </w:rPr>
      </w:pPr>
      <w:r>
        <w:rPr>
          <w:rFonts w:ascii="Times New Roman" w:hAnsi="Times New Roman" w:eastAsia="Times New Roman" w:cs="Times New Roman"/>
          <w:b/>
          <w:bCs/>
          <w:spacing w:val="6"/>
          <w:sz w:val="27"/>
          <w:szCs w:val="27"/>
        </w:rPr>
        <w:t xml:space="preserve">4.3.8.8 </w:t>
      </w:r>
      <w:r>
        <w:rPr>
          <w:rFonts w:ascii="宋体" w:hAnsi="宋体" w:eastAsia="宋体" w:cs="宋体"/>
          <w:b/>
          <w:bCs/>
          <w:spacing w:val="6"/>
          <w:sz w:val="27"/>
          <w:szCs w:val="27"/>
        </w:rPr>
        <w:t>粪渣运输事故倾覆入河预防与应急措施</w:t>
      </w:r>
    </w:p>
    <w:p w14:paraId="02C4DAB5">
      <w:pPr>
        <w:spacing w:before="236"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）事故防范措施</w:t>
      </w:r>
    </w:p>
    <w:p w14:paraId="693EFC97">
      <w:pPr>
        <w:spacing w:before="182" w:line="217" w:lineRule="auto"/>
        <w:ind w:left="518"/>
        <w:rPr>
          <w:rFonts w:ascii="宋体" w:hAnsi="宋体" w:eastAsia="宋体" w:cs="宋体"/>
          <w:sz w:val="24"/>
          <w:szCs w:val="24"/>
        </w:rPr>
      </w:pPr>
      <w:r>
        <w:rPr>
          <w:rFonts w:ascii="宋体" w:hAnsi="宋体" w:eastAsia="宋体" w:cs="宋体"/>
          <w:spacing w:val="-3"/>
          <w:sz w:val="24"/>
          <w:szCs w:val="24"/>
        </w:rPr>
        <w:t>①固体粪渣外运应袋装运输，不应采取散装形式运输；</w:t>
      </w:r>
    </w:p>
    <w:p w14:paraId="0517BAD6">
      <w:pPr>
        <w:spacing w:before="186" w:line="217" w:lineRule="auto"/>
        <w:ind w:left="517"/>
        <w:rPr>
          <w:rFonts w:ascii="宋体" w:hAnsi="宋体" w:eastAsia="宋体" w:cs="宋体"/>
          <w:sz w:val="24"/>
          <w:szCs w:val="24"/>
        </w:rPr>
      </w:pPr>
      <w:r>
        <w:rPr>
          <w:rFonts w:ascii="宋体" w:hAnsi="宋体" w:eastAsia="宋体" w:cs="宋体"/>
          <w:spacing w:val="-2"/>
          <w:sz w:val="24"/>
          <w:szCs w:val="24"/>
        </w:rPr>
        <w:t>②应采用封闭式收集和运输方式，严禁使用敞开式收集和运输</w:t>
      </w:r>
      <w:r>
        <w:rPr>
          <w:rFonts w:ascii="宋体" w:hAnsi="宋体" w:eastAsia="宋体" w:cs="宋体"/>
          <w:spacing w:val="-3"/>
          <w:sz w:val="24"/>
          <w:szCs w:val="24"/>
        </w:rPr>
        <w:t>方式；</w:t>
      </w:r>
    </w:p>
    <w:p w14:paraId="20800337">
      <w:pPr>
        <w:spacing w:before="185" w:line="360" w:lineRule="auto"/>
        <w:ind w:left="39" w:right="83" w:firstLine="478"/>
        <w:rPr>
          <w:rFonts w:ascii="宋体" w:hAnsi="宋体" w:eastAsia="宋体" w:cs="宋体"/>
          <w:sz w:val="24"/>
          <w:szCs w:val="24"/>
        </w:rPr>
      </w:pPr>
      <w:r>
        <w:rPr>
          <w:rFonts w:ascii="宋体" w:hAnsi="宋体" w:eastAsia="宋体" w:cs="宋体"/>
          <w:spacing w:val="-3"/>
          <w:sz w:val="24"/>
          <w:szCs w:val="24"/>
        </w:rPr>
        <w:t>③应设置从事禽畜粪便运输专职人员，随车应配备相应的应急装备</w:t>
      </w:r>
      <w:r>
        <w:rPr>
          <w:rFonts w:ascii="宋体" w:hAnsi="宋体" w:eastAsia="宋体" w:cs="宋体"/>
          <w:spacing w:val="-4"/>
          <w:sz w:val="24"/>
          <w:szCs w:val="24"/>
        </w:rPr>
        <w:t>，车辆严</w:t>
      </w:r>
      <w:r>
        <w:rPr>
          <w:rFonts w:ascii="宋体" w:hAnsi="宋体" w:eastAsia="宋体" w:cs="宋体"/>
          <w:spacing w:val="-9"/>
          <w:sz w:val="24"/>
          <w:szCs w:val="24"/>
        </w:rPr>
        <w:t>禁超载、超限；</w:t>
      </w:r>
    </w:p>
    <w:p w14:paraId="0C62BD28">
      <w:pPr>
        <w:spacing w:before="3" w:line="359" w:lineRule="auto"/>
        <w:ind w:left="58" w:right="83" w:firstLine="459"/>
        <w:rPr>
          <w:rFonts w:ascii="宋体" w:hAnsi="宋体" w:eastAsia="宋体" w:cs="宋体"/>
          <w:sz w:val="24"/>
          <w:szCs w:val="24"/>
        </w:rPr>
      </w:pPr>
      <w:r>
        <w:rPr>
          <w:rFonts w:ascii="宋体" w:hAnsi="宋体" w:eastAsia="宋体" w:cs="宋体"/>
          <w:spacing w:val="-3"/>
          <w:sz w:val="24"/>
          <w:szCs w:val="24"/>
        </w:rPr>
        <w:t>④运输路线的选择应按规定的路线，运输路线应避开交通拥挤路段</w:t>
      </w:r>
      <w:r>
        <w:rPr>
          <w:rFonts w:ascii="宋体" w:hAnsi="宋体" w:eastAsia="宋体" w:cs="宋体"/>
          <w:spacing w:val="-4"/>
          <w:sz w:val="24"/>
          <w:szCs w:val="24"/>
        </w:rPr>
        <w:t>，运输时</w:t>
      </w:r>
      <w:r>
        <w:rPr>
          <w:rFonts w:ascii="宋体" w:hAnsi="宋体" w:eastAsia="宋体" w:cs="宋体"/>
          <w:spacing w:val="-3"/>
          <w:sz w:val="24"/>
          <w:szCs w:val="24"/>
        </w:rPr>
        <w:t>间应避开交通高峰时段，行驶桥梁路段时应减速行驶并注意观察路况；</w:t>
      </w:r>
    </w:p>
    <w:p w14:paraId="5CE73A8C">
      <w:pPr>
        <w:spacing w:before="1" w:line="217" w:lineRule="auto"/>
        <w:ind w:left="517"/>
        <w:rPr>
          <w:rFonts w:ascii="宋体" w:hAnsi="宋体" w:eastAsia="宋体" w:cs="宋体"/>
          <w:sz w:val="24"/>
          <w:szCs w:val="24"/>
        </w:rPr>
      </w:pPr>
      <w:r>
        <w:rPr>
          <w:rFonts w:ascii="宋体" w:hAnsi="宋体" w:eastAsia="宋体" w:cs="宋体"/>
          <w:spacing w:val="-3"/>
          <w:sz w:val="24"/>
          <w:szCs w:val="24"/>
        </w:rPr>
        <w:t>⑤在装卸过程中应严格按照相关规范执行，不得随意倾倒；</w:t>
      </w:r>
    </w:p>
    <w:p w14:paraId="50C85ADB">
      <w:pPr>
        <w:spacing w:before="185" w:line="217" w:lineRule="auto"/>
        <w:ind w:left="517"/>
        <w:rPr>
          <w:rFonts w:ascii="宋体" w:hAnsi="宋体" w:eastAsia="宋体" w:cs="宋体"/>
          <w:sz w:val="24"/>
          <w:szCs w:val="24"/>
        </w:rPr>
      </w:pPr>
      <w:r>
        <w:rPr>
          <w:rFonts w:ascii="宋体" w:hAnsi="宋体" w:eastAsia="宋体" w:cs="宋体"/>
          <w:spacing w:val="-2"/>
          <w:sz w:val="24"/>
          <w:szCs w:val="24"/>
        </w:rPr>
        <w:t>⑥定期对运输车辆、车载工具等进行清洗及消毒工作。</w:t>
      </w:r>
    </w:p>
    <w:p w14:paraId="6E6384D4">
      <w:pPr>
        <w:spacing w:before="186"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）应急措施</w:t>
      </w:r>
    </w:p>
    <w:p w14:paraId="3D9D4B70">
      <w:pPr>
        <w:spacing w:line="220" w:lineRule="auto"/>
        <w:rPr>
          <w:rFonts w:ascii="宋体" w:hAnsi="宋体" w:eastAsia="宋体" w:cs="宋体"/>
          <w:sz w:val="24"/>
          <w:szCs w:val="24"/>
        </w:rPr>
        <w:sectPr>
          <w:headerReference r:id="rId429" w:type="default"/>
          <w:footerReference r:id="rId430" w:type="default"/>
          <w:pgSz w:w="11905" w:h="16840"/>
          <w:pgMar w:top="1168" w:right="1714" w:bottom="1409" w:left="1770" w:header="828" w:footer="1244" w:gutter="0"/>
          <w:cols w:space="720" w:num="1"/>
        </w:sectPr>
      </w:pPr>
    </w:p>
    <w:p w14:paraId="40E8DC2C">
      <w:pPr>
        <w:pStyle w:val="2"/>
        <w:spacing w:line="306" w:lineRule="auto"/>
      </w:pPr>
    </w:p>
    <w:p w14:paraId="4805E529">
      <w:pPr>
        <w:spacing w:before="78" w:line="360" w:lineRule="auto"/>
        <w:ind w:left="39" w:firstLine="479"/>
        <w:rPr>
          <w:rFonts w:ascii="宋体" w:hAnsi="宋体" w:eastAsia="宋体" w:cs="宋体"/>
          <w:sz w:val="24"/>
          <w:szCs w:val="24"/>
        </w:rPr>
      </w:pPr>
      <w:r>
        <w:rPr>
          <w:rFonts w:ascii="宋体" w:hAnsi="宋体" w:eastAsia="宋体" w:cs="宋体"/>
          <w:spacing w:val="-3"/>
          <w:sz w:val="24"/>
          <w:szCs w:val="24"/>
        </w:rPr>
        <w:t>①发生粪渣运输车辆倾覆入河事故后，第一时间报警并通知建设单</w:t>
      </w:r>
      <w:r>
        <w:rPr>
          <w:rFonts w:ascii="宋体" w:hAnsi="宋体" w:eastAsia="宋体" w:cs="宋体"/>
          <w:spacing w:val="-4"/>
          <w:sz w:val="24"/>
          <w:szCs w:val="24"/>
        </w:rPr>
        <w:t>位、生态</w:t>
      </w:r>
      <w:r>
        <w:rPr>
          <w:rFonts w:ascii="宋体" w:hAnsi="宋体" w:eastAsia="宋体" w:cs="宋体"/>
          <w:spacing w:val="-1"/>
          <w:sz w:val="24"/>
          <w:szCs w:val="24"/>
        </w:rPr>
        <w:t>环境部门，并迅速查明事故发生部位和原因，先以自救为主，减少粪渣入河量。</w:t>
      </w:r>
    </w:p>
    <w:p w14:paraId="26A9C214">
      <w:pPr>
        <w:spacing w:line="360" w:lineRule="auto"/>
        <w:ind w:left="38" w:right="83" w:firstLine="479"/>
        <w:rPr>
          <w:rFonts w:ascii="宋体" w:hAnsi="宋体" w:eastAsia="宋体" w:cs="宋体"/>
          <w:sz w:val="24"/>
          <w:szCs w:val="24"/>
        </w:rPr>
      </w:pPr>
      <w:r>
        <w:rPr>
          <w:rFonts w:ascii="宋体" w:hAnsi="宋体" w:eastAsia="宋体" w:cs="宋体"/>
          <w:spacing w:val="-3"/>
          <w:sz w:val="24"/>
          <w:szCs w:val="24"/>
        </w:rPr>
        <w:t>②对于入河的袋装粪渣，可采用适当措施将其拦截在事故点附近河</w:t>
      </w:r>
      <w:r>
        <w:rPr>
          <w:rFonts w:ascii="宋体" w:hAnsi="宋体" w:eastAsia="宋体" w:cs="宋体"/>
          <w:spacing w:val="-4"/>
          <w:sz w:val="24"/>
          <w:szCs w:val="24"/>
        </w:rPr>
        <w:t>段，防止</w:t>
      </w:r>
      <w:r>
        <w:rPr>
          <w:rFonts w:ascii="宋体" w:hAnsi="宋体" w:eastAsia="宋体" w:cs="宋体"/>
          <w:spacing w:val="-3"/>
          <w:sz w:val="24"/>
          <w:szCs w:val="24"/>
        </w:rPr>
        <w:t>朝下游流动，同时组织打捞船舶进行清理河面漂浮粪渣，采取运回养殖场等方式妥善处置清理的粪渣，避免形成二次污染。</w:t>
      </w:r>
    </w:p>
    <w:p w14:paraId="20AC3AF9">
      <w:pPr>
        <w:spacing w:before="3" w:line="361" w:lineRule="auto"/>
        <w:ind w:left="40" w:right="83" w:firstLine="477"/>
        <w:rPr>
          <w:rFonts w:ascii="宋体" w:hAnsi="宋体" w:eastAsia="宋体" w:cs="宋体"/>
          <w:sz w:val="24"/>
          <w:szCs w:val="24"/>
        </w:rPr>
      </w:pPr>
      <w:r>
        <w:rPr>
          <w:rFonts w:ascii="宋体" w:hAnsi="宋体" w:eastAsia="宋体" w:cs="宋体"/>
          <w:spacing w:val="-3"/>
          <w:sz w:val="24"/>
          <w:szCs w:val="24"/>
        </w:rPr>
        <w:t>③委托有资质检测机构对事故河段水体上下游进行水质监测，严格</w:t>
      </w:r>
      <w:r>
        <w:rPr>
          <w:rFonts w:ascii="宋体" w:hAnsi="宋体" w:eastAsia="宋体" w:cs="宋体"/>
          <w:spacing w:val="-4"/>
          <w:sz w:val="24"/>
          <w:szCs w:val="24"/>
        </w:rPr>
        <w:t>按照国家</w:t>
      </w:r>
      <w:r>
        <w:rPr>
          <w:rFonts w:ascii="宋体" w:hAnsi="宋体" w:eastAsia="宋体" w:cs="宋体"/>
          <w:spacing w:val="-3"/>
          <w:sz w:val="24"/>
          <w:szCs w:val="24"/>
        </w:rPr>
        <w:t>有关采样检测分析方法进行，以判断可能的污染范围，直至明确河流水质不受事</w:t>
      </w:r>
      <w:r>
        <w:rPr>
          <w:rFonts w:ascii="宋体" w:hAnsi="宋体" w:eastAsia="宋体" w:cs="宋体"/>
          <w:spacing w:val="-7"/>
          <w:sz w:val="24"/>
          <w:szCs w:val="24"/>
        </w:rPr>
        <w:t>故影响为止。</w:t>
      </w:r>
    </w:p>
    <w:p w14:paraId="3608ACE3">
      <w:pPr>
        <w:spacing w:before="49" w:line="227" w:lineRule="auto"/>
        <w:ind w:left="36"/>
        <w:rPr>
          <w:rFonts w:ascii="宋体" w:hAnsi="宋体" w:eastAsia="宋体" w:cs="宋体"/>
          <w:sz w:val="27"/>
          <w:szCs w:val="27"/>
        </w:rPr>
      </w:pPr>
      <w:r>
        <w:rPr>
          <w:rFonts w:ascii="Times New Roman" w:hAnsi="Times New Roman" w:eastAsia="Times New Roman" w:cs="Times New Roman"/>
          <w:b/>
          <w:bCs/>
          <w:spacing w:val="5"/>
          <w:sz w:val="27"/>
          <w:szCs w:val="27"/>
        </w:rPr>
        <w:t xml:space="preserve">4.3.8.9 </w:t>
      </w:r>
      <w:r>
        <w:rPr>
          <w:rFonts w:ascii="宋体" w:hAnsi="宋体" w:eastAsia="宋体" w:cs="宋体"/>
          <w:b/>
          <w:bCs/>
          <w:spacing w:val="5"/>
          <w:sz w:val="27"/>
          <w:szCs w:val="27"/>
        </w:rPr>
        <w:t>病死猪风险防范措施</w:t>
      </w:r>
    </w:p>
    <w:p w14:paraId="515D4AE5">
      <w:pPr>
        <w:spacing w:before="236" w:line="359" w:lineRule="auto"/>
        <w:ind w:left="40" w:right="83" w:firstLine="479"/>
        <w:rPr>
          <w:rFonts w:ascii="宋体" w:hAnsi="宋体" w:eastAsia="宋体" w:cs="宋体"/>
          <w:sz w:val="24"/>
          <w:szCs w:val="24"/>
        </w:rPr>
      </w:pPr>
      <w:r>
        <w:rPr>
          <w:rFonts w:ascii="宋体" w:hAnsi="宋体" w:eastAsia="宋体" w:cs="宋体"/>
          <w:spacing w:val="-3"/>
          <w:sz w:val="24"/>
          <w:szCs w:val="24"/>
        </w:rPr>
        <w:t>根据《畜禽卫生防疫条例》和国家防疫部门制定的处理方法对病</w:t>
      </w:r>
      <w:r>
        <w:rPr>
          <w:rFonts w:ascii="宋体" w:hAnsi="宋体" w:eastAsia="宋体" w:cs="宋体"/>
          <w:spacing w:val="-4"/>
          <w:sz w:val="24"/>
          <w:szCs w:val="24"/>
        </w:rPr>
        <w:t>死猪进行处理并及时通知当地动物防疫部门。病死猪的处理必须符合《畜禽养殖业污染防治</w:t>
      </w:r>
      <w:r>
        <w:rPr>
          <w:rFonts w:ascii="宋体" w:hAnsi="宋体" w:eastAsia="宋体" w:cs="宋体"/>
          <w:spacing w:val="-20"/>
          <w:sz w:val="24"/>
          <w:szCs w:val="24"/>
        </w:rPr>
        <w:t>技术政策》（环发</w:t>
      </w:r>
      <w:r>
        <w:rPr>
          <w:rFonts w:ascii="Times New Roman" w:hAnsi="Times New Roman" w:eastAsia="Times New Roman" w:cs="Times New Roman"/>
          <w:spacing w:val="-20"/>
          <w:sz w:val="24"/>
          <w:szCs w:val="24"/>
        </w:rPr>
        <w:t>[</w:t>
      </w:r>
      <w:r>
        <w:fldChar w:fldCharType="begin"/>
      </w:r>
      <w:r>
        <w:instrText xml:space="preserve"> HYPERLINK \l "bookmark179" </w:instrText>
      </w:r>
      <w:r>
        <w:fldChar w:fldCharType="separate"/>
      </w:r>
      <w:r>
        <w:rPr>
          <w:rFonts w:ascii="Times New Roman" w:hAnsi="Times New Roman" w:eastAsia="Times New Roman" w:cs="Times New Roman"/>
          <w:spacing w:val="-20"/>
          <w:sz w:val="24"/>
          <w:szCs w:val="24"/>
        </w:rPr>
        <w:t>2010</w:t>
      </w:r>
      <w:r>
        <w:rPr>
          <w:rFonts w:ascii="Times New Roman" w:hAnsi="Times New Roman" w:eastAsia="Times New Roman" w:cs="Times New Roman"/>
          <w:spacing w:val="-20"/>
          <w:sz w:val="24"/>
          <w:szCs w:val="24"/>
        </w:rPr>
        <w:fldChar w:fldCharType="end"/>
      </w:r>
      <w:r>
        <w:rPr>
          <w:rFonts w:ascii="Times New Roman" w:hAnsi="Times New Roman" w:eastAsia="Times New Roman" w:cs="Times New Roman"/>
          <w:spacing w:val="-20"/>
          <w:sz w:val="24"/>
          <w:szCs w:val="24"/>
        </w:rPr>
        <w: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20"/>
          <w:sz w:val="24"/>
          <w:szCs w:val="24"/>
        </w:rPr>
        <w:t>151</w:t>
      </w:r>
      <w:r>
        <w:rPr>
          <w:rFonts w:ascii="宋体" w:hAnsi="宋体" w:eastAsia="宋体" w:cs="宋体"/>
          <w:spacing w:val="-20"/>
          <w:sz w:val="24"/>
          <w:szCs w:val="24"/>
        </w:rPr>
        <w:t>号）、《畜禽养殖业污染防治技术规范》（</w:t>
      </w:r>
      <w:r>
        <w:rPr>
          <w:rFonts w:ascii="Times New Roman" w:hAnsi="Times New Roman" w:eastAsia="Times New Roman" w:cs="Times New Roman"/>
          <w:spacing w:val="-20"/>
          <w:sz w:val="24"/>
          <w:szCs w:val="24"/>
        </w:rPr>
        <w:t>HJ/T81-2001</w:t>
      </w:r>
      <w:r>
        <w:rPr>
          <w:rFonts w:ascii="宋体" w:hAnsi="宋体" w:eastAsia="宋体" w:cs="宋体"/>
          <w:spacing w:val="-20"/>
          <w:sz w:val="24"/>
          <w:szCs w:val="24"/>
        </w:rPr>
        <w:t>）、</w:t>
      </w:r>
      <w:r>
        <w:rPr>
          <w:rFonts w:ascii="宋体" w:hAnsi="宋体" w:eastAsia="宋体" w:cs="宋体"/>
          <w:sz w:val="24"/>
          <w:szCs w:val="24"/>
        </w:rPr>
        <w:t xml:space="preserve"> </w:t>
      </w:r>
      <w:r>
        <w:rPr>
          <w:rFonts w:ascii="宋体" w:hAnsi="宋体" w:eastAsia="宋体" w:cs="宋体"/>
          <w:spacing w:val="-1"/>
          <w:sz w:val="24"/>
          <w:szCs w:val="24"/>
        </w:rPr>
        <w:t>《病死及病害动物无害化处理技术规范》（农医发</w:t>
      </w:r>
      <w:r>
        <w:rPr>
          <w:rFonts w:ascii="Times New Roman" w:hAnsi="Times New Roman" w:eastAsia="Times New Roman" w:cs="Times New Roman"/>
          <w:spacing w:val="-1"/>
          <w:sz w:val="24"/>
          <w:szCs w:val="24"/>
        </w:rPr>
        <w:t>[</w:t>
      </w:r>
      <w:r>
        <w:fldChar w:fldCharType="begin"/>
      </w:r>
      <w:r>
        <w:instrText xml:space="preserve"> HYPERLINK \l "bookmark180" </w:instrText>
      </w:r>
      <w:r>
        <w:fldChar w:fldCharType="separate"/>
      </w:r>
      <w:r>
        <w:rPr>
          <w:rFonts w:ascii="Times New Roman" w:hAnsi="Times New Roman" w:eastAsia="Times New Roman" w:cs="Times New Roman"/>
          <w:spacing w:val="-1"/>
          <w:sz w:val="24"/>
          <w:szCs w:val="24"/>
        </w:rPr>
        <w:t>2017</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]25</w:t>
      </w:r>
      <w:r>
        <w:rPr>
          <w:rFonts w:ascii="宋体" w:hAnsi="宋体" w:eastAsia="宋体" w:cs="宋体"/>
          <w:spacing w:val="-1"/>
          <w:sz w:val="24"/>
          <w:szCs w:val="24"/>
        </w:rPr>
        <w:t>号）、《非洲猪瘟疫情应急实施方案（</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年版）》（农牧发</w:t>
      </w:r>
      <w:r>
        <w:rPr>
          <w:rFonts w:ascii="Times New Roman" w:hAnsi="Times New Roman" w:eastAsia="Times New Roman" w:cs="Times New Roman"/>
          <w:spacing w:val="-1"/>
          <w:sz w:val="24"/>
          <w:szCs w:val="24"/>
        </w:rPr>
        <w:t>[</w:t>
      </w:r>
      <w:r>
        <w:fldChar w:fldCharType="begin"/>
      </w:r>
      <w:r>
        <w:instrText xml:space="preserve"> HYPERLINK \l "bookmark181" </w:instrText>
      </w:r>
      <w:r>
        <w:fldChar w:fldCharType="separate"/>
      </w:r>
      <w:r>
        <w:rPr>
          <w:rFonts w:ascii="Times New Roman" w:hAnsi="Times New Roman" w:eastAsia="Times New Roman" w:cs="Times New Roman"/>
          <w:spacing w:val="-1"/>
          <w:sz w:val="24"/>
          <w:szCs w:val="24"/>
        </w:rPr>
        <w:t>2020</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0</w:t>
      </w:r>
      <w:r>
        <w:rPr>
          <w:rFonts w:ascii="宋体" w:hAnsi="宋体" w:eastAsia="宋体" w:cs="宋体"/>
          <w:spacing w:val="-2"/>
          <w:sz w:val="24"/>
          <w:szCs w:val="24"/>
        </w:rPr>
        <w:t>号）等有关要求，同时，畜禽</w:t>
      </w:r>
      <w:r>
        <w:rPr>
          <w:rFonts w:ascii="宋体" w:hAnsi="宋体" w:eastAsia="宋体" w:cs="宋体"/>
          <w:spacing w:val="-6"/>
          <w:sz w:val="24"/>
          <w:szCs w:val="24"/>
        </w:rPr>
        <w:t>粪便、受污染的物品， 也必须在兽医人员监督指导下进行无</w:t>
      </w:r>
      <w:r>
        <w:rPr>
          <w:rFonts w:ascii="宋体" w:hAnsi="宋体" w:eastAsia="宋体" w:cs="宋体"/>
          <w:spacing w:val="-7"/>
          <w:sz w:val="24"/>
          <w:szCs w:val="24"/>
        </w:rPr>
        <w:t>害化处理。处理人员</w:t>
      </w:r>
      <w:r>
        <w:rPr>
          <w:rFonts w:ascii="宋体" w:hAnsi="宋体" w:eastAsia="宋体" w:cs="宋体"/>
          <w:spacing w:val="-3"/>
          <w:sz w:val="24"/>
          <w:szCs w:val="24"/>
        </w:rPr>
        <w:t>处理完毕后应到消毒室进行消毒后才能离开。</w:t>
      </w:r>
    </w:p>
    <w:p w14:paraId="749BE7BB">
      <w:pPr>
        <w:spacing w:before="6" w:line="361" w:lineRule="auto"/>
        <w:ind w:left="38" w:right="83" w:firstLine="481"/>
        <w:jc w:val="both"/>
        <w:rPr>
          <w:rFonts w:ascii="宋体" w:hAnsi="宋体" w:eastAsia="宋体" w:cs="宋体"/>
          <w:sz w:val="24"/>
          <w:szCs w:val="24"/>
        </w:rPr>
      </w:pPr>
      <w:r>
        <w:rPr>
          <w:rFonts w:ascii="宋体" w:hAnsi="宋体" w:eastAsia="宋体" w:cs="宋体"/>
          <w:spacing w:val="-3"/>
          <w:sz w:val="24"/>
          <w:szCs w:val="24"/>
        </w:rPr>
        <w:t>本项目病死猪委托有相应处理资质的单位处置，一旦出现病死</w:t>
      </w:r>
      <w:r>
        <w:rPr>
          <w:rFonts w:ascii="宋体" w:hAnsi="宋体" w:eastAsia="宋体" w:cs="宋体"/>
          <w:spacing w:val="-4"/>
          <w:sz w:val="24"/>
          <w:szCs w:val="24"/>
        </w:rPr>
        <w:t>猪立即报告及</w:t>
      </w:r>
      <w:r>
        <w:rPr>
          <w:rFonts w:ascii="宋体" w:hAnsi="宋体" w:eastAsia="宋体" w:cs="宋体"/>
          <w:spacing w:val="-3"/>
          <w:sz w:val="24"/>
          <w:szCs w:val="24"/>
        </w:rPr>
        <w:t>时清运，当天产生当天清运，病死猪等待清运期间，暂存于无害化处理间内的冷柜内进行低温保存，病死猪尸体清运后，立即做好消毒工作。在出现大批量疫病死猪，无害化处理单位无法及时进行无害化情况下，项目启动自备无害化降解处</w:t>
      </w:r>
      <w:r>
        <w:rPr>
          <w:rFonts w:ascii="宋体" w:hAnsi="宋体" w:eastAsia="宋体" w:cs="宋体"/>
          <w:spacing w:val="-1"/>
          <w:sz w:val="24"/>
          <w:szCs w:val="24"/>
        </w:rPr>
        <w:t>理机对感染疫病病死猪进行无害化降解处理</w:t>
      </w:r>
      <w:r>
        <w:rPr>
          <w:rFonts w:ascii="宋体" w:hAnsi="宋体" w:eastAsia="宋体" w:cs="宋体"/>
          <w:spacing w:val="-2"/>
          <w:sz w:val="24"/>
          <w:szCs w:val="24"/>
        </w:rPr>
        <w:t>，有效避免疫病风险外溢。</w:t>
      </w:r>
    </w:p>
    <w:p w14:paraId="072FBA5D">
      <w:pPr>
        <w:spacing w:before="52" w:line="227" w:lineRule="auto"/>
        <w:ind w:left="36"/>
        <w:rPr>
          <w:rFonts w:ascii="宋体" w:hAnsi="宋体" w:eastAsia="宋体" w:cs="宋体"/>
          <w:sz w:val="27"/>
          <w:szCs w:val="27"/>
        </w:rPr>
      </w:pPr>
      <w:r>
        <w:fldChar w:fldCharType="begin"/>
      </w:r>
      <w:r>
        <w:instrText xml:space="preserve"> HYPERLINK "4.3.8.10" </w:instrText>
      </w:r>
      <w:r>
        <w:fldChar w:fldCharType="separate"/>
      </w:r>
      <w:r>
        <w:rPr>
          <w:rFonts w:ascii="Times New Roman" w:hAnsi="Times New Roman" w:eastAsia="Times New Roman" w:cs="Times New Roman"/>
          <w:b/>
          <w:bCs/>
          <w:spacing w:val="5"/>
          <w:sz w:val="27"/>
          <w:szCs w:val="27"/>
        </w:rPr>
        <w:t>4.3.8.10</w:t>
      </w:r>
      <w:r>
        <w:rPr>
          <w:rFonts w:ascii="Times New Roman" w:hAnsi="Times New Roman" w:eastAsia="Times New Roman" w:cs="Times New Roman"/>
          <w:b/>
          <w:bCs/>
          <w:spacing w:val="5"/>
          <w:sz w:val="27"/>
          <w:szCs w:val="27"/>
        </w:rPr>
        <w:fldChar w:fldCharType="end"/>
      </w:r>
      <w:r>
        <w:rPr>
          <w:rFonts w:ascii="Times New Roman" w:hAnsi="Times New Roman" w:eastAsia="Times New Roman" w:cs="Times New Roman"/>
          <w:b/>
          <w:bCs/>
          <w:spacing w:val="5"/>
          <w:sz w:val="27"/>
          <w:szCs w:val="27"/>
        </w:rPr>
        <w:t xml:space="preserve"> </w:t>
      </w:r>
      <w:r>
        <w:rPr>
          <w:rFonts w:ascii="宋体" w:hAnsi="宋体" w:eastAsia="宋体" w:cs="宋体"/>
          <w:b/>
          <w:bCs/>
          <w:spacing w:val="5"/>
          <w:sz w:val="27"/>
          <w:szCs w:val="27"/>
        </w:rPr>
        <w:t>环境风险应急预案</w:t>
      </w:r>
    </w:p>
    <w:p w14:paraId="29C64423">
      <w:pPr>
        <w:spacing w:before="235" w:line="358" w:lineRule="auto"/>
        <w:ind w:left="38" w:right="83" w:firstLine="480"/>
        <w:jc w:val="both"/>
        <w:rPr>
          <w:rFonts w:ascii="宋体" w:hAnsi="宋体" w:eastAsia="宋体" w:cs="宋体"/>
          <w:sz w:val="24"/>
          <w:szCs w:val="24"/>
        </w:rPr>
      </w:pPr>
      <w:r>
        <w:rPr>
          <w:rFonts w:ascii="宋体" w:hAnsi="宋体" w:eastAsia="宋体" w:cs="宋体"/>
          <w:spacing w:val="-3"/>
          <w:sz w:val="24"/>
          <w:szCs w:val="24"/>
        </w:rPr>
        <w:t>根据《四川省突发环境事件应急预案备案行业名录（</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年版）》要求，本</w:t>
      </w:r>
      <w:r>
        <w:rPr>
          <w:rFonts w:ascii="宋体" w:hAnsi="宋体" w:eastAsia="宋体" w:cs="宋体"/>
          <w:spacing w:val="-7"/>
          <w:sz w:val="24"/>
          <w:szCs w:val="24"/>
        </w:rPr>
        <w:t>项目为生猪养殖项目，属于名录中“</w:t>
      </w:r>
      <w:r>
        <w:rPr>
          <w:rFonts w:ascii="Times New Roman" w:hAnsi="Times New Roman" w:eastAsia="Times New Roman" w:cs="Times New Roman"/>
          <w:spacing w:val="-7"/>
          <w:sz w:val="24"/>
          <w:szCs w:val="24"/>
        </w:rPr>
        <w:t>A03</w:t>
      </w:r>
      <w:r>
        <w:rPr>
          <w:rFonts w:ascii="宋体" w:hAnsi="宋体" w:eastAsia="宋体" w:cs="宋体"/>
          <w:spacing w:val="-7"/>
          <w:sz w:val="24"/>
          <w:szCs w:val="24"/>
        </w:rPr>
        <w:t>畜牧业—</w:t>
      </w:r>
      <w:r>
        <w:rPr>
          <w:rFonts w:ascii="Times New Roman" w:hAnsi="Times New Roman" w:eastAsia="Times New Roman" w:cs="Times New Roman"/>
          <w:spacing w:val="-7"/>
          <w:sz w:val="24"/>
          <w:szCs w:val="24"/>
        </w:rPr>
        <w:t>0313</w:t>
      </w:r>
      <w:r>
        <w:rPr>
          <w:rFonts w:ascii="宋体" w:hAnsi="宋体" w:eastAsia="宋体" w:cs="宋体"/>
          <w:spacing w:val="-7"/>
          <w:sz w:val="24"/>
          <w:szCs w:val="24"/>
        </w:rPr>
        <w:t>猪的饲养（年出栏生猪</w:t>
      </w:r>
      <w:r>
        <w:rPr>
          <w:rFonts w:ascii="Times New Roman" w:hAnsi="Times New Roman" w:eastAsia="Times New Roman" w:cs="Times New Roman"/>
          <w:spacing w:val="-7"/>
          <w:sz w:val="24"/>
          <w:szCs w:val="24"/>
        </w:rPr>
        <w:t>5000</w:t>
      </w:r>
      <w:r>
        <w:rPr>
          <w:rFonts w:ascii="宋体" w:hAnsi="宋体" w:eastAsia="宋体" w:cs="宋体"/>
          <w:spacing w:val="4"/>
          <w:sz w:val="24"/>
          <w:szCs w:val="24"/>
        </w:rPr>
        <w:t>头及以上的规模化畜禽养殖；存栏生猪</w:t>
      </w:r>
      <w:r>
        <w:rPr>
          <w:rFonts w:ascii="Times New Roman" w:hAnsi="Times New Roman" w:eastAsia="Times New Roman" w:cs="Times New Roman"/>
          <w:spacing w:val="4"/>
          <w:sz w:val="24"/>
          <w:szCs w:val="24"/>
        </w:rPr>
        <w:t>2500</w:t>
      </w:r>
      <w:r>
        <w:rPr>
          <w:rFonts w:ascii="宋体" w:hAnsi="宋体" w:eastAsia="宋体" w:cs="宋体"/>
          <w:spacing w:val="4"/>
          <w:sz w:val="24"/>
          <w:szCs w:val="24"/>
        </w:rPr>
        <w:t>头及以上无出栏量</w:t>
      </w:r>
      <w:r>
        <w:rPr>
          <w:rFonts w:ascii="宋体" w:hAnsi="宋体" w:eastAsia="宋体" w:cs="宋体"/>
          <w:spacing w:val="3"/>
          <w:sz w:val="24"/>
          <w:szCs w:val="24"/>
        </w:rPr>
        <w:t>的规模化畜禽养</w:t>
      </w:r>
      <w:r>
        <w:rPr>
          <w:rFonts w:ascii="宋体" w:hAnsi="宋体" w:eastAsia="宋体" w:cs="宋体"/>
          <w:spacing w:val="-3"/>
          <w:sz w:val="24"/>
          <w:szCs w:val="24"/>
        </w:rPr>
        <w:t>殖）”类别，应当制定符合自身实际的突发环境事件应急</w:t>
      </w:r>
      <w:r>
        <w:rPr>
          <w:rFonts w:ascii="宋体" w:hAnsi="宋体" w:eastAsia="宋体" w:cs="宋体"/>
          <w:spacing w:val="-4"/>
          <w:sz w:val="24"/>
          <w:szCs w:val="24"/>
        </w:rPr>
        <w:t>预案，并按照《企业事</w:t>
      </w:r>
      <w:r>
        <w:rPr>
          <w:rFonts w:ascii="宋体" w:hAnsi="宋体" w:eastAsia="宋体" w:cs="宋体"/>
          <w:spacing w:val="-3"/>
          <w:sz w:val="24"/>
          <w:szCs w:val="24"/>
        </w:rPr>
        <w:t>业单位突发环境事件应急预案备案管理办法（试行）》要求，向所在地县级生态环境主管部门备案。四川省生态环境厅负责全省突发环境事件应急预案备案工作</w:t>
      </w:r>
      <w:r>
        <w:rPr>
          <w:rFonts w:ascii="宋体" w:hAnsi="宋体" w:eastAsia="宋体" w:cs="宋体"/>
          <w:spacing w:val="-5"/>
          <w:sz w:val="24"/>
          <w:szCs w:val="24"/>
        </w:rPr>
        <w:t>的统一监督管理。</w:t>
      </w:r>
    </w:p>
    <w:p w14:paraId="5A4A8FBE">
      <w:pPr>
        <w:spacing w:line="358" w:lineRule="auto"/>
        <w:rPr>
          <w:rFonts w:ascii="宋体" w:hAnsi="宋体" w:eastAsia="宋体" w:cs="宋体"/>
          <w:sz w:val="24"/>
          <w:szCs w:val="24"/>
        </w:rPr>
        <w:sectPr>
          <w:headerReference r:id="rId431" w:type="default"/>
          <w:footerReference r:id="rId432" w:type="default"/>
          <w:pgSz w:w="11905" w:h="16840"/>
          <w:pgMar w:top="1168" w:right="1714" w:bottom="1409" w:left="1770" w:header="828" w:footer="1244" w:gutter="0"/>
          <w:cols w:space="720" w:num="1"/>
        </w:sectPr>
      </w:pPr>
    </w:p>
    <w:p w14:paraId="1858BF1A">
      <w:pPr>
        <w:pStyle w:val="2"/>
        <w:spacing w:line="307" w:lineRule="auto"/>
      </w:pPr>
    </w:p>
    <w:p w14:paraId="3050C653">
      <w:pPr>
        <w:spacing w:before="78" w:line="361" w:lineRule="auto"/>
        <w:ind w:left="40" w:firstLine="481"/>
        <w:jc w:val="both"/>
        <w:rPr>
          <w:rFonts w:ascii="宋体" w:hAnsi="宋体" w:eastAsia="宋体" w:cs="宋体"/>
          <w:sz w:val="24"/>
          <w:szCs w:val="24"/>
        </w:rPr>
      </w:pPr>
      <w:r>
        <w:rPr>
          <w:rFonts w:ascii="宋体" w:hAnsi="宋体" w:eastAsia="宋体" w:cs="宋体"/>
          <w:spacing w:val="-11"/>
          <w:sz w:val="24"/>
          <w:szCs w:val="24"/>
        </w:rPr>
        <w:t>建设单位应按《企业事业单位突发环境事件应急预案备案管理办法（试行）》</w:t>
      </w:r>
      <w:r>
        <w:rPr>
          <w:rFonts w:ascii="宋体" w:hAnsi="宋体" w:eastAsia="宋体" w:cs="宋体"/>
          <w:spacing w:val="-1"/>
          <w:sz w:val="24"/>
          <w:szCs w:val="24"/>
        </w:rPr>
        <w:t>要求编制突发环境事件应急预案，编制完成后在建设项目投入生产或者使</w:t>
      </w:r>
      <w:r>
        <w:rPr>
          <w:rFonts w:ascii="宋体" w:hAnsi="宋体" w:eastAsia="宋体" w:cs="宋体"/>
          <w:spacing w:val="-2"/>
          <w:sz w:val="24"/>
          <w:szCs w:val="24"/>
        </w:rPr>
        <w:t>用前，须向所在地生态环境主管部门备案，并定期有针对性地开展演练。</w:t>
      </w:r>
    </w:p>
    <w:p w14:paraId="0360A322">
      <w:pPr>
        <w:spacing w:before="7" w:line="222" w:lineRule="auto"/>
        <w:ind w:left="305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9"/>
          <w:sz w:val="21"/>
          <w:szCs w:val="21"/>
        </w:rPr>
        <w:t xml:space="preserve"> </w:t>
      </w:r>
      <w:r>
        <w:rPr>
          <w:rFonts w:ascii="Times New Roman" w:hAnsi="Times New Roman" w:eastAsia="Times New Roman" w:cs="Times New Roman"/>
          <w:spacing w:val="-1"/>
          <w:sz w:val="21"/>
          <w:szCs w:val="21"/>
        </w:rPr>
        <w:t xml:space="preserve">4.3-7  </w:t>
      </w:r>
      <w:r>
        <w:rPr>
          <w:rFonts w:ascii="黑体" w:hAnsi="黑体" w:eastAsia="黑体" w:cs="黑体"/>
          <w:spacing w:val="-1"/>
          <w:sz w:val="21"/>
          <w:szCs w:val="21"/>
        </w:rPr>
        <w:t>应急预案内容表</w:t>
      </w:r>
    </w:p>
    <w:p w14:paraId="77B5E037">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104"/>
        <w:gridCol w:w="5728"/>
      </w:tblGrid>
      <w:tr w14:paraId="22C47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88" w:type="dxa"/>
            <w:vAlign w:val="top"/>
          </w:tcPr>
          <w:p w14:paraId="2DB9E325">
            <w:pPr>
              <w:spacing w:before="68" w:line="221" w:lineRule="auto"/>
              <w:ind w:left="38"/>
              <w:rPr>
                <w:rFonts w:ascii="宋体" w:hAnsi="宋体" w:eastAsia="宋体" w:cs="宋体"/>
                <w:sz w:val="21"/>
                <w:szCs w:val="21"/>
              </w:rPr>
            </w:pPr>
            <w:r>
              <w:rPr>
                <w:rFonts w:ascii="宋体" w:hAnsi="宋体" w:eastAsia="宋体" w:cs="宋体"/>
                <w:spacing w:val="-2"/>
                <w:sz w:val="21"/>
                <w:szCs w:val="21"/>
              </w:rPr>
              <w:t>序号</w:t>
            </w:r>
          </w:p>
        </w:tc>
        <w:tc>
          <w:tcPr>
            <w:tcW w:w="2104" w:type="dxa"/>
            <w:vAlign w:val="top"/>
          </w:tcPr>
          <w:p w14:paraId="6C07B7F4">
            <w:pPr>
              <w:spacing w:before="69" w:line="220" w:lineRule="auto"/>
              <w:ind w:left="849"/>
              <w:rPr>
                <w:rFonts w:ascii="宋体" w:hAnsi="宋体" w:eastAsia="宋体" w:cs="宋体"/>
                <w:sz w:val="21"/>
                <w:szCs w:val="21"/>
              </w:rPr>
            </w:pPr>
            <w:r>
              <w:rPr>
                <w:rFonts w:ascii="宋体" w:hAnsi="宋体" w:eastAsia="宋体" w:cs="宋体"/>
                <w:spacing w:val="-3"/>
                <w:sz w:val="21"/>
                <w:szCs w:val="21"/>
              </w:rPr>
              <w:t>项目</w:t>
            </w:r>
          </w:p>
        </w:tc>
        <w:tc>
          <w:tcPr>
            <w:tcW w:w="5728" w:type="dxa"/>
            <w:vAlign w:val="top"/>
          </w:tcPr>
          <w:p w14:paraId="2EBABD9A">
            <w:pPr>
              <w:spacing w:before="68" w:line="220" w:lineRule="auto"/>
              <w:ind w:left="2368"/>
              <w:rPr>
                <w:rFonts w:ascii="宋体" w:hAnsi="宋体" w:eastAsia="宋体" w:cs="宋体"/>
                <w:sz w:val="21"/>
                <w:szCs w:val="21"/>
              </w:rPr>
            </w:pPr>
            <w:r>
              <w:rPr>
                <w:rFonts w:ascii="宋体" w:hAnsi="宋体" w:eastAsia="宋体" w:cs="宋体"/>
                <w:spacing w:val="-6"/>
                <w:sz w:val="21"/>
                <w:szCs w:val="21"/>
              </w:rPr>
              <w:t>内容及要求</w:t>
            </w:r>
          </w:p>
        </w:tc>
      </w:tr>
      <w:tr w14:paraId="66B50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8" w:type="dxa"/>
            <w:vAlign w:val="top"/>
          </w:tcPr>
          <w:p w14:paraId="68D43547">
            <w:pPr>
              <w:pStyle w:val="6"/>
              <w:spacing w:before="101" w:line="188" w:lineRule="auto"/>
              <w:ind w:left="213"/>
            </w:pPr>
            <w:r>
              <w:t>1</w:t>
            </w:r>
          </w:p>
        </w:tc>
        <w:tc>
          <w:tcPr>
            <w:tcW w:w="2104" w:type="dxa"/>
            <w:vAlign w:val="top"/>
          </w:tcPr>
          <w:p w14:paraId="27B2E045">
            <w:pPr>
              <w:spacing w:before="64" w:line="221" w:lineRule="auto"/>
              <w:ind w:left="531"/>
              <w:rPr>
                <w:rFonts w:ascii="宋体" w:hAnsi="宋体" w:eastAsia="宋体" w:cs="宋体"/>
                <w:sz w:val="21"/>
                <w:szCs w:val="21"/>
              </w:rPr>
            </w:pPr>
            <w:r>
              <w:rPr>
                <w:rFonts w:ascii="宋体" w:hAnsi="宋体" w:eastAsia="宋体" w:cs="宋体"/>
                <w:spacing w:val="-2"/>
                <w:sz w:val="21"/>
                <w:szCs w:val="21"/>
              </w:rPr>
              <w:t>应急计划区</w:t>
            </w:r>
          </w:p>
        </w:tc>
        <w:tc>
          <w:tcPr>
            <w:tcW w:w="5728" w:type="dxa"/>
            <w:vAlign w:val="top"/>
          </w:tcPr>
          <w:p w14:paraId="53CE2FB2">
            <w:pPr>
              <w:spacing w:before="63" w:line="220" w:lineRule="auto"/>
              <w:ind w:left="11"/>
              <w:rPr>
                <w:rFonts w:ascii="宋体" w:hAnsi="宋体" w:eastAsia="宋体" w:cs="宋体"/>
                <w:sz w:val="21"/>
                <w:szCs w:val="21"/>
              </w:rPr>
            </w:pPr>
            <w:r>
              <w:rPr>
                <w:rFonts w:ascii="宋体" w:hAnsi="宋体" w:eastAsia="宋体" w:cs="宋体"/>
                <w:spacing w:val="-2"/>
                <w:sz w:val="21"/>
                <w:szCs w:val="21"/>
              </w:rPr>
              <w:t>整个养殖场</w:t>
            </w:r>
          </w:p>
        </w:tc>
      </w:tr>
      <w:tr w14:paraId="7A0F5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488" w:type="dxa"/>
            <w:vAlign w:val="top"/>
          </w:tcPr>
          <w:p w14:paraId="62F249FF">
            <w:pPr>
              <w:spacing w:line="246" w:lineRule="auto"/>
              <w:rPr>
                <w:rFonts w:ascii="Arial"/>
                <w:sz w:val="21"/>
              </w:rPr>
            </w:pPr>
          </w:p>
          <w:p w14:paraId="347BC829">
            <w:pPr>
              <w:spacing w:line="246" w:lineRule="auto"/>
              <w:rPr>
                <w:rFonts w:ascii="Arial"/>
                <w:sz w:val="21"/>
              </w:rPr>
            </w:pPr>
          </w:p>
          <w:p w14:paraId="101A23A6">
            <w:pPr>
              <w:pStyle w:val="6"/>
              <w:spacing w:before="61" w:line="188" w:lineRule="auto"/>
              <w:ind w:left="193"/>
            </w:pPr>
            <w:r>
              <w:t>2</w:t>
            </w:r>
          </w:p>
        </w:tc>
        <w:tc>
          <w:tcPr>
            <w:tcW w:w="2104" w:type="dxa"/>
            <w:vAlign w:val="top"/>
          </w:tcPr>
          <w:p w14:paraId="11264698">
            <w:pPr>
              <w:spacing w:line="448" w:lineRule="auto"/>
              <w:rPr>
                <w:rFonts w:ascii="Arial"/>
                <w:sz w:val="21"/>
              </w:rPr>
            </w:pPr>
          </w:p>
          <w:p w14:paraId="018CD80C">
            <w:pPr>
              <w:spacing w:before="68" w:line="219" w:lineRule="auto"/>
              <w:ind w:left="111"/>
              <w:rPr>
                <w:rFonts w:ascii="宋体" w:hAnsi="宋体" w:eastAsia="宋体" w:cs="宋体"/>
                <w:sz w:val="21"/>
                <w:szCs w:val="21"/>
              </w:rPr>
            </w:pPr>
            <w:r>
              <w:rPr>
                <w:rFonts w:ascii="宋体" w:hAnsi="宋体" w:eastAsia="宋体" w:cs="宋体"/>
                <w:spacing w:val="-1"/>
                <w:sz w:val="21"/>
                <w:szCs w:val="21"/>
              </w:rPr>
              <w:t>应急组织机构、人员</w:t>
            </w:r>
          </w:p>
        </w:tc>
        <w:tc>
          <w:tcPr>
            <w:tcW w:w="5728" w:type="dxa"/>
            <w:vAlign w:val="top"/>
          </w:tcPr>
          <w:p w14:paraId="217261D9">
            <w:pPr>
              <w:spacing w:before="50" w:line="262" w:lineRule="auto"/>
              <w:ind w:left="9" w:right="6" w:firstLine="5"/>
              <w:jc w:val="both"/>
              <w:rPr>
                <w:rFonts w:ascii="宋体" w:hAnsi="宋体" w:eastAsia="宋体" w:cs="宋体"/>
                <w:sz w:val="21"/>
                <w:szCs w:val="21"/>
              </w:rPr>
            </w:pPr>
            <w:r>
              <w:rPr>
                <w:rFonts w:ascii="宋体" w:hAnsi="宋体" w:eastAsia="宋体" w:cs="宋体"/>
                <w:spacing w:val="1"/>
                <w:sz w:val="21"/>
                <w:szCs w:val="21"/>
              </w:rPr>
              <w:t>实施三级应急组职机构，各级别主要负责人为应急计划、协调第一人，应急人员必须培训上岗；区域应急组织结构由当地政府、相关行业专家、卫生安全相关单位组成，并由当地政府进</w:t>
            </w:r>
            <w:r>
              <w:rPr>
                <w:rFonts w:ascii="宋体" w:hAnsi="宋体" w:eastAsia="宋体" w:cs="宋体"/>
                <w:spacing w:val="-2"/>
                <w:sz w:val="21"/>
                <w:szCs w:val="21"/>
              </w:rPr>
              <w:t>行统一调度</w:t>
            </w:r>
          </w:p>
        </w:tc>
      </w:tr>
      <w:tr w14:paraId="4DDD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88" w:type="dxa"/>
            <w:vAlign w:val="top"/>
          </w:tcPr>
          <w:p w14:paraId="64683707">
            <w:pPr>
              <w:pStyle w:val="6"/>
              <w:spacing w:before="243" w:line="188" w:lineRule="auto"/>
              <w:ind w:left="198"/>
            </w:pPr>
            <w:r>
              <w:t>3</w:t>
            </w:r>
          </w:p>
        </w:tc>
        <w:tc>
          <w:tcPr>
            <w:tcW w:w="2104" w:type="dxa"/>
            <w:vAlign w:val="top"/>
          </w:tcPr>
          <w:p w14:paraId="278809ED">
            <w:pPr>
              <w:spacing w:before="206" w:line="220" w:lineRule="auto"/>
              <w:ind w:left="217"/>
              <w:rPr>
                <w:rFonts w:ascii="宋体" w:hAnsi="宋体" w:eastAsia="宋体" w:cs="宋体"/>
                <w:sz w:val="21"/>
                <w:szCs w:val="21"/>
              </w:rPr>
            </w:pPr>
            <w:r>
              <w:rPr>
                <w:rFonts w:ascii="宋体" w:hAnsi="宋体" w:eastAsia="宋体" w:cs="宋体"/>
                <w:spacing w:val="-2"/>
                <w:sz w:val="21"/>
                <w:szCs w:val="21"/>
              </w:rPr>
              <w:t>预案分级响应条件</w:t>
            </w:r>
          </w:p>
        </w:tc>
        <w:tc>
          <w:tcPr>
            <w:tcW w:w="5728" w:type="dxa"/>
            <w:vAlign w:val="top"/>
          </w:tcPr>
          <w:p w14:paraId="72384089">
            <w:pPr>
              <w:spacing w:before="51" w:line="249" w:lineRule="auto"/>
              <w:ind w:left="10" w:right="6"/>
              <w:rPr>
                <w:rFonts w:ascii="宋体" w:hAnsi="宋体" w:eastAsia="宋体" w:cs="宋体"/>
                <w:sz w:val="21"/>
                <w:szCs w:val="21"/>
              </w:rPr>
            </w:pPr>
            <w:r>
              <w:rPr>
                <w:rFonts w:ascii="宋体" w:hAnsi="宋体" w:eastAsia="宋体" w:cs="宋体"/>
                <w:spacing w:val="1"/>
                <w:sz w:val="21"/>
                <w:szCs w:val="21"/>
              </w:rPr>
              <w:t>根据事故的严重程度制定相应级别的应急预案，以及适合相应</w:t>
            </w:r>
            <w:r>
              <w:rPr>
                <w:rFonts w:ascii="宋体" w:hAnsi="宋体" w:eastAsia="宋体" w:cs="宋体"/>
                <w:spacing w:val="-2"/>
                <w:sz w:val="21"/>
                <w:szCs w:val="21"/>
              </w:rPr>
              <w:t>情况的处理措施</w:t>
            </w:r>
          </w:p>
        </w:tc>
      </w:tr>
      <w:tr w14:paraId="40977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8" w:type="dxa"/>
            <w:vAlign w:val="top"/>
          </w:tcPr>
          <w:p w14:paraId="192FDB9F">
            <w:pPr>
              <w:pStyle w:val="6"/>
              <w:spacing w:before="102" w:line="188" w:lineRule="auto"/>
              <w:ind w:left="192"/>
            </w:pPr>
            <w:r>
              <w:t>4</w:t>
            </w:r>
          </w:p>
        </w:tc>
        <w:tc>
          <w:tcPr>
            <w:tcW w:w="2104" w:type="dxa"/>
            <w:vAlign w:val="top"/>
          </w:tcPr>
          <w:p w14:paraId="056C0655">
            <w:pPr>
              <w:spacing w:before="65" w:line="220" w:lineRule="auto"/>
              <w:ind w:left="425"/>
              <w:rPr>
                <w:rFonts w:ascii="宋体" w:hAnsi="宋体" w:eastAsia="宋体" w:cs="宋体"/>
                <w:sz w:val="21"/>
                <w:szCs w:val="21"/>
              </w:rPr>
            </w:pPr>
            <w:r>
              <w:rPr>
                <w:rFonts w:ascii="宋体" w:hAnsi="宋体" w:eastAsia="宋体" w:cs="宋体"/>
                <w:spacing w:val="-2"/>
                <w:sz w:val="21"/>
                <w:szCs w:val="21"/>
              </w:rPr>
              <w:t>应急救援保障</w:t>
            </w:r>
          </w:p>
        </w:tc>
        <w:tc>
          <w:tcPr>
            <w:tcW w:w="5728" w:type="dxa"/>
            <w:vAlign w:val="top"/>
          </w:tcPr>
          <w:p w14:paraId="0A8559AB">
            <w:pPr>
              <w:spacing w:before="65" w:line="219" w:lineRule="auto"/>
              <w:ind w:left="10"/>
              <w:rPr>
                <w:rFonts w:ascii="宋体" w:hAnsi="宋体" w:eastAsia="宋体" w:cs="宋体"/>
                <w:sz w:val="21"/>
                <w:szCs w:val="21"/>
              </w:rPr>
            </w:pPr>
            <w:r>
              <w:rPr>
                <w:rFonts w:ascii="宋体" w:hAnsi="宋体" w:eastAsia="宋体" w:cs="宋体"/>
                <w:spacing w:val="-1"/>
                <w:sz w:val="21"/>
                <w:szCs w:val="21"/>
              </w:rPr>
              <w:t>应急设施，设备与器材等</w:t>
            </w:r>
          </w:p>
        </w:tc>
      </w:tr>
      <w:tr w14:paraId="37469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88" w:type="dxa"/>
            <w:vAlign w:val="top"/>
          </w:tcPr>
          <w:p w14:paraId="178A8B3D">
            <w:pPr>
              <w:spacing w:line="248" w:lineRule="auto"/>
              <w:rPr>
                <w:rFonts w:ascii="Arial"/>
                <w:sz w:val="21"/>
              </w:rPr>
            </w:pPr>
          </w:p>
          <w:p w14:paraId="2975C1D9">
            <w:pPr>
              <w:spacing w:line="248" w:lineRule="auto"/>
              <w:rPr>
                <w:rFonts w:ascii="Arial"/>
                <w:sz w:val="21"/>
              </w:rPr>
            </w:pPr>
          </w:p>
          <w:p w14:paraId="4C834161">
            <w:pPr>
              <w:pStyle w:val="6"/>
              <w:spacing w:before="60" w:line="185" w:lineRule="auto"/>
              <w:ind w:left="199"/>
            </w:pPr>
            <w:r>
              <w:t>5</w:t>
            </w:r>
          </w:p>
        </w:tc>
        <w:tc>
          <w:tcPr>
            <w:tcW w:w="2104" w:type="dxa"/>
            <w:vAlign w:val="top"/>
          </w:tcPr>
          <w:p w14:paraId="11C8204E">
            <w:pPr>
              <w:spacing w:line="448" w:lineRule="auto"/>
              <w:rPr>
                <w:rFonts w:ascii="Arial"/>
                <w:sz w:val="21"/>
              </w:rPr>
            </w:pPr>
          </w:p>
          <w:p w14:paraId="3CCF7832">
            <w:pPr>
              <w:spacing w:before="68" w:line="220" w:lineRule="auto"/>
              <w:ind w:left="109"/>
              <w:rPr>
                <w:rFonts w:ascii="宋体" w:hAnsi="宋体" w:eastAsia="宋体" w:cs="宋体"/>
                <w:sz w:val="21"/>
                <w:szCs w:val="21"/>
              </w:rPr>
            </w:pPr>
            <w:r>
              <w:rPr>
                <w:rFonts w:ascii="宋体" w:hAnsi="宋体" w:eastAsia="宋体" w:cs="宋体"/>
                <w:spacing w:val="-1"/>
                <w:sz w:val="21"/>
                <w:szCs w:val="21"/>
              </w:rPr>
              <w:t>报警、通讯联络方式</w:t>
            </w:r>
          </w:p>
        </w:tc>
        <w:tc>
          <w:tcPr>
            <w:tcW w:w="5728" w:type="dxa"/>
            <w:vAlign w:val="top"/>
          </w:tcPr>
          <w:p w14:paraId="2815A526">
            <w:pPr>
              <w:spacing w:before="49" w:line="262" w:lineRule="auto"/>
              <w:ind w:left="9" w:right="6" w:firstLine="1"/>
              <w:rPr>
                <w:rFonts w:ascii="宋体" w:hAnsi="宋体" w:eastAsia="宋体" w:cs="宋体"/>
                <w:sz w:val="21"/>
                <w:szCs w:val="21"/>
              </w:rPr>
            </w:pPr>
            <w:r>
              <w:rPr>
                <w:rFonts w:ascii="宋体" w:hAnsi="宋体" w:eastAsia="宋体" w:cs="宋体"/>
                <w:sz w:val="21"/>
                <w:szCs w:val="21"/>
              </w:rPr>
              <w:t>逐一细化应急状态下各主要负责单位的报警通讯方式、地点、</w:t>
            </w:r>
            <w:r>
              <w:rPr>
                <w:rFonts w:ascii="宋体" w:hAnsi="宋体" w:eastAsia="宋体" w:cs="宋体"/>
                <w:spacing w:val="1"/>
                <w:sz w:val="21"/>
                <w:szCs w:val="21"/>
              </w:rPr>
              <w:t>电话号码以及相关配套的交通保障、管制、消防联络方法，涉及跨区域的还应与相关区域环境保护部门和上级环保部门保持</w:t>
            </w:r>
            <w:r>
              <w:rPr>
                <w:rFonts w:ascii="宋体" w:hAnsi="宋体" w:eastAsia="宋体" w:cs="宋体"/>
                <w:spacing w:val="-1"/>
                <w:sz w:val="21"/>
                <w:szCs w:val="21"/>
              </w:rPr>
              <w:t>联系，及时通报事故处理情况，以获得区域性支援</w:t>
            </w:r>
          </w:p>
        </w:tc>
      </w:tr>
      <w:tr w14:paraId="14D33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88" w:type="dxa"/>
            <w:vAlign w:val="top"/>
          </w:tcPr>
          <w:p w14:paraId="5EB86EA9">
            <w:pPr>
              <w:pStyle w:val="6"/>
              <w:spacing w:before="245" w:line="188" w:lineRule="auto"/>
              <w:ind w:left="198"/>
            </w:pPr>
            <w:r>
              <w:t>6</w:t>
            </w:r>
          </w:p>
        </w:tc>
        <w:tc>
          <w:tcPr>
            <w:tcW w:w="2104" w:type="dxa"/>
            <w:vAlign w:val="top"/>
          </w:tcPr>
          <w:p w14:paraId="0D9585BF">
            <w:pPr>
              <w:spacing w:before="51" w:line="249" w:lineRule="auto"/>
              <w:ind w:left="322" w:right="29" w:hanging="314"/>
              <w:rPr>
                <w:rFonts w:ascii="宋体" w:hAnsi="宋体" w:eastAsia="宋体" w:cs="宋体"/>
                <w:sz w:val="21"/>
                <w:szCs w:val="21"/>
              </w:rPr>
            </w:pPr>
            <w:r>
              <w:rPr>
                <w:rFonts w:ascii="宋体" w:hAnsi="宋体" w:eastAsia="宋体" w:cs="宋体"/>
                <w:spacing w:val="-4"/>
                <w:sz w:val="21"/>
                <w:szCs w:val="21"/>
              </w:rPr>
              <w:t>应急环境监测、抢险、</w:t>
            </w:r>
            <w:r>
              <w:rPr>
                <w:rFonts w:ascii="宋体" w:hAnsi="宋体" w:eastAsia="宋体" w:cs="宋体"/>
                <w:spacing w:val="-2"/>
                <w:sz w:val="21"/>
                <w:szCs w:val="21"/>
              </w:rPr>
              <w:t>救援及控制措施</w:t>
            </w:r>
          </w:p>
        </w:tc>
        <w:tc>
          <w:tcPr>
            <w:tcW w:w="5728" w:type="dxa"/>
            <w:vAlign w:val="top"/>
          </w:tcPr>
          <w:p w14:paraId="2576D67F">
            <w:pPr>
              <w:spacing w:before="51" w:line="249" w:lineRule="auto"/>
              <w:ind w:left="14" w:right="6" w:firstLine="21"/>
              <w:rPr>
                <w:rFonts w:ascii="宋体" w:hAnsi="宋体" w:eastAsia="宋体" w:cs="宋体"/>
                <w:sz w:val="21"/>
                <w:szCs w:val="21"/>
              </w:rPr>
            </w:pPr>
            <w:r>
              <w:rPr>
                <w:rFonts w:ascii="宋体" w:hAnsi="宋体" w:eastAsia="宋体" w:cs="宋体"/>
                <w:sz w:val="21"/>
                <w:szCs w:val="21"/>
              </w:rPr>
              <w:t>由专业队伍负责对事故现场进行侦查监测，对事故性质、参数</w:t>
            </w:r>
            <w:r>
              <w:rPr>
                <w:rFonts w:ascii="宋体" w:hAnsi="宋体" w:eastAsia="宋体" w:cs="宋体"/>
                <w:spacing w:val="-1"/>
                <w:sz w:val="21"/>
                <w:szCs w:val="21"/>
              </w:rPr>
              <w:t>与后果进行评估，为指挥部门提供决策依据</w:t>
            </w:r>
          </w:p>
        </w:tc>
      </w:tr>
      <w:tr w14:paraId="298B0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88" w:type="dxa"/>
            <w:vAlign w:val="top"/>
          </w:tcPr>
          <w:p w14:paraId="34A85CEE">
            <w:pPr>
              <w:pStyle w:val="6"/>
              <w:spacing w:before="249" w:line="185" w:lineRule="auto"/>
              <w:ind w:left="197"/>
            </w:pPr>
            <w:r>
              <w:t>7</w:t>
            </w:r>
          </w:p>
        </w:tc>
        <w:tc>
          <w:tcPr>
            <w:tcW w:w="2104" w:type="dxa"/>
            <w:vAlign w:val="top"/>
          </w:tcPr>
          <w:p w14:paraId="28CB77AB">
            <w:pPr>
              <w:spacing w:before="53" w:line="249" w:lineRule="auto"/>
              <w:ind w:left="111" w:right="29" w:hanging="103"/>
              <w:rPr>
                <w:rFonts w:ascii="宋体" w:hAnsi="宋体" w:eastAsia="宋体" w:cs="宋体"/>
                <w:sz w:val="21"/>
                <w:szCs w:val="21"/>
              </w:rPr>
            </w:pPr>
            <w:r>
              <w:rPr>
                <w:rFonts w:ascii="宋体" w:hAnsi="宋体" w:eastAsia="宋体" w:cs="宋体"/>
                <w:spacing w:val="-4"/>
                <w:sz w:val="21"/>
                <w:szCs w:val="21"/>
              </w:rPr>
              <w:t>应急检测、防护措施、</w:t>
            </w:r>
            <w:r>
              <w:rPr>
                <w:rFonts w:ascii="宋体" w:hAnsi="宋体" w:eastAsia="宋体" w:cs="宋体"/>
                <w:spacing w:val="-1"/>
                <w:sz w:val="21"/>
                <w:szCs w:val="21"/>
              </w:rPr>
              <w:t>清除泄漏措施和器材</w:t>
            </w:r>
          </w:p>
        </w:tc>
        <w:tc>
          <w:tcPr>
            <w:tcW w:w="5728" w:type="dxa"/>
            <w:vAlign w:val="top"/>
          </w:tcPr>
          <w:p w14:paraId="79334C3B">
            <w:pPr>
              <w:spacing w:before="53" w:line="249" w:lineRule="auto"/>
              <w:ind w:left="10" w:right="6"/>
              <w:rPr>
                <w:rFonts w:ascii="宋体" w:hAnsi="宋体" w:eastAsia="宋体" w:cs="宋体"/>
                <w:sz w:val="21"/>
                <w:szCs w:val="21"/>
              </w:rPr>
            </w:pPr>
            <w:r>
              <w:rPr>
                <w:rFonts w:ascii="宋体" w:hAnsi="宋体" w:eastAsia="宋体" w:cs="宋体"/>
                <w:spacing w:val="1"/>
                <w:sz w:val="21"/>
                <w:szCs w:val="21"/>
              </w:rPr>
              <w:t>事故现场邻近区域、控制防火区域，控制和清除污染措施及相</w:t>
            </w:r>
            <w:r>
              <w:rPr>
                <w:rFonts w:ascii="宋体" w:hAnsi="宋体" w:eastAsia="宋体" w:cs="宋体"/>
                <w:spacing w:val="-1"/>
                <w:sz w:val="21"/>
                <w:szCs w:val="21"/>
              </w:rPr>
              <w:t>应设备的数量、使用方法、使用人员</w:t>
            </w:r>
          </w:p>
        </w:tc>
      </w:tr>
      <w:tr w14:paraId="6E131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88" w:type="dxa"/>
            <w:vAlign w:val="top"/>
          </w:tcPr>
          <w:p w14:paraId="0F607B79">
            <w:pPr>
              <w:spacing w:line="339" w:lineRule="auto"/>
              <w:rPr>
                <w:rFonts w:ascii="Arial"/>
                <w:sz w:val="21"/>
              </w:rPr>
            </w:pPr>
          </w:p>
          <w:p w14:paraId="723DB953">
            <w:pPr>
              <w:pStyle w:val="6"/>
              <w:spacing w:before="60" w:line="188" w:lineRule="auto"/>
              <w:ind w:left="202"/>
            </w:pPr>
            <w:r>
              <w:t>8</w:t>
            </w:r>
          </w:p>
        </w:tc>
        <w:tc>
          <w:tcPr>
            <w:tcW w:w="2104" w:type="dxa"/>
            <w:vAlign w:val="top"/>
          </w:tcPr>
          <w:p w14:paraId="565550CE">
            <w:pPr>
              <w:spacing w:before="52" w:line="220" w:lineRule="auto"/>
              <w:ind w:left="10"/>
              <w:rPr>
                <w:rFonts w:ascii="宋体" w:hAnsi="宋体" w:eastAsia="宋体" w:cs="宋体"/>
                <w:sz w:val="21"/>
                <w:szCs w:val="21"/>
              </w:rPr>
            </w:pPr>
            <w:r>
              <w:rPr>
                <w:rFonts w:ascii="宋体" w:hAnsi="宋体" w:eastAsia="宋体" w:cs="宋体"/>
                <w:spacing w:val="-6"/>
                <w:sz w:val="21"/>
                <w:szCs w:val="21"/>
              </w:rPr>
              <w:t>人员紧急撤离、疏散，</w:t>
            </w:r>
          </w:p>
          <w:p w14:paraId="44AC1D34">
            <w:pPr>
              <w:spacing w:before="62" w:line="219" w:lineRule="auto"/>
              <w:ind w:left="8"/>
              <w:rPr>
                <w:rFonts w:ascii="宋体" w:hAnsi="宋体" w:eastAsia="宋体" w:cs="宋体"/>
                <w:sz w:val="21"/>
                <w:szCs w:val="21"/>
              </w:rPr>
            </w:pPr>
            <w:r>
              <w:rPr>
                <w:rFonts w:ascii="宋体" w:hAnsi="宋体" w:eastAsia="宋体" w:cs="宋体"/>
                <w:spacing w:val="-2"/>
                <w:sz w:val="21"/>
                <w:szCs w:val="21"/>
              </w:rPr>
              <w:t>应急剂量控制、撤离组</w:t>
            </w:r>
          </w:p>
          <w:p w14:paraId="2DB24369">
            <w:pPr>
              <w:spacing w:before="63" w:line="221" w:lineRule="auto"/>
              <w:ind w:left="744"/>
              <w:rPr>
                <w:rFonts w:ascii="宋体" w:hAnsi="宋体" w:eastAsia="宋体" w:cs="宋体"/>
                <w:sz w:val="21"/>
                <w:szCs w:val="21"/>
              </w:rPr>
            </w:pPr>
            <w:r>
              <w:rPr>
                <w:rFonts w:ascii="宋体" w:hAnsi="宋体" w:eastAsia="宋体" w:cs="宋体"/>
                <w:spacing w:val="-3"/>
                <w:sz w:val="21"/>
                <w:szCs w:val="21"/>
              </w:rPr>
              <w:t>织计划</w:t>
            </w:r>
          </w:p>
        </w:tc>
        <w:tc>
          <w:tcPr>
            <w:tcW w:w="5728" w:type="dxa"/>
            <w:vAlign w:val="top"/>
          </w:tcPr>
          <w:p w14:paraId="76FB6AD4">
            <w:pPr>
              <w:spacing w:before="208" w:line="276" w:lineRule="auto"/>
              <w:ind w:left="10" w:right="6"/>
              <w:rPr>
                <w:rFonts w:ascii="宋体" w:hAnsi="宋体" w:eastAsia="宋体" w:cs="宋体"/>
                <w:sz w:val="21"/>
                <w:szCs w:val="21"/>
              </w:rPr>
            </w:pPr>
            <w:r>
              <w:rPr>
                <w:rFonts w:ascii="宋体" w:hAnsi="宋体" w:eastAsia="宋体" w:cs="宋体"/>
                <w:spacing w:val="1"/>
                <w:sz w:val="21"/>
                <w:szCs w:val="21"/>
              </w:rPr>
              <w:t>事故现场、邻近区、受事故影响的区域人员及公众对毒物应急</w:t>
            </w:r>
            <w:r>
              <w:rPr>
                <w:rFonts w:ascii="宋体" w:hAnsi="宋体" w:eastAsia="宋体" w:cs="宋体"/>
                <w:spacing w:val="-1"/>
                <w:sz w:val="21"/>
                <w:szCs w:val="21"/>
              </w:rPr>
              <w:t>剂量控制规定，撤离组织计划及救护，医疗救护与公众健康</w:t>
            </w:r>
          </w:p>
        </w:tc>
      </w:tr>
      <w:tr w14:paraId="0F578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88" w:type="dxa"/>
            <w:vAlign w:val="top"/>
          </w:tcPr>
          <w:p w14:paraId="579B4227">
            <w:pPr>
              <w:spacing w:line="268" w:lineRule="auto"/>
              <w:rPr>
                <w:rFonts w:ascii="Arial"/>
                <w:sz w:val="21"/>
              </w:rPr>
            </w:pPr>
          </w:p>
          <w:p w14:paraId="61FBA9F7">
            <w:pPr>
              <w:spacing w:line="268" w:lineRule="auto"/>
              <w:rPr>
                <w:rFonts w:ascii="Arial"/>
                <w:sz w:val="21"/>
              </w:rPr>
            </w:pPr>
          </w:p>
          <w:p w14:paraId="6684343E">
            <w:pPr>
              <w:spacing w:line="268" w:lineRule="auto"/>
              <w:rPr>
                <w:rFonts w:ascii="Arial"/>
                <w:sz w:val="21"/>
              </w:rPr>
            </w:pPr>
          </w:p>
          <w:p w14:paraId="7E44C5FE">
            <w:pPr>
              <w:pStyle w:val="6"/>
              <w:spacing w:before="61" w:line="188" w:lineRule="auto"/>
              <w:ind w:left="197"/>
            </w:pPr>
            <w:r>
              <w:t>9</w:t>
            </w:r>
          </w:p>
        </w:tc>
        <w:tc>
          <w:tcPr>
            <w:tcW w:w="2104" w:type="dxa"/>
            <w:vAlign w:val="top"/>
          </w:tcPr>
          <w:p w14:paraId="09A59BD2">
            <w:pPr>
              <w:spacing w:line="302" w:lineRule="auto"/>
              <w:rPr>
                <w:rFonts w:ascii="Arial"/>
                <w:sz w:val="21"/>
              </w:rPr>
            </w:pPr>
          </w:p>
          <w:p w14:paraId="623F0873">
            <w:pPr>
              <w:spacing w:line="302" w:lineRule="auto"/>
              <w:rPr>
                <w:rFonts w:ascii="Arial"/>
                <w:sz w:val="21"/>
              </w:rPr>
            </w:pPr>
          </w:p>
          <w:p w14:paraId="1FD609C2">
            <w:pPr>
              <w:spacing w:before="69" w:line="277" w:lineRule="auto"/>
              <w:ind w:left="424" w:right="105" w:hanging="313"/>
              <w:rPr>
                <w:rFonts w:ascii="宋体" w:hAnsi="宋体" w:eastAsia="宋体" w:cs="宋体"/>
                <w:sz w:val="21"/>
                <w:szCs w:val="21"/>
              </w:rPr>
            </w:pPr>
            <w:r>
              <w:rPr>
                <w:rFonts w:ascii="宋体" w:hAnsi="宋体" w:eastAsia="宋体" w:cs="宋体"/>
                <w:spacing w:val="-1"/>
                <w:sz w:val="21"/>
                <w:szCs w:val="21"/>
              </w:rPr>
              <w:t>事故应急救援关闭程</w:t>
            </w:r>
            <w:r>
              <w:rPr>
                <w:rFonts w:ascii="宋体" w:hAnsi="宋体" w:eastAsia="宋体" w:cs="宋体"/>
                <w:spacing w:val="-2"/>
                <w:sz w:val="21"/>
                <w:szCs w:val="21"/>
              </w:rPr>
              <w:t>序与恢复措施</w:t>
            </w:r>
          </w:p>
        </w:tc>
        <w:tc>
          <w:tcPr>
            <w:tcW w:w="5728" w:type="dxa"/>
            <w:vAlign w:val="top"/>
          </w:tcPr>
          <w:p w14:paraId="247AD2E1">
            <w:pPr>
              <w:spacing w:before="53" w:line="220" w:lineRule="auto"/>
              <w:ind w:left="11"/>
              <w:rPr>
                <w:rFonts w:ascii="宋体" w:hAnsi="宋体" w:eastAsia="宋体" w:cs="宋体"/>
                <w:sz w:val="21"/>
                <w:szCs w:val="21"/>
              </w:rPr>
            </w:pPr>
            <w:r>
              <w:rPr>
                <w:rFonts w:ascii="宋体" w:hAnsi="宋体" w:eastAsia="宋体" w:cs="宋体"/>
                <w:spacing w:val="-1"/>
                <w:sz w:val="21"/>
                <w:szCs w:val="21"/>
              </w:rPr>
              <w:t>规定应急状态终止程序</w:t>
            </w:r>
          </w:p>
          <w:p w14:paraId="18D12F57">
            <w:pPr>
              <w:spacing w:before="62" w:line="220" w:lineRule="auto"/>
              <w:ind w:left="10"/>
              <w:rPr>
                <w:rFonts w:ascii="宋体" w:hAnsi="宋体" w:eastAsia="宋体" w:cs="宋体"/>
                <w:sz w:val="21"/>
                <w:szCs w:val="21"/>
              </w:rPr>
            </w:pPr>
            <w:r>
              <w:rPr>
                <w:rFonts w:ascii="宋体" w:hAnsi="宋体" w:eastAsia="宋体" w:cs="宋体"/>
                <w:spacing w:val="-1"/>
                <w:sz w:val="21"/>
                <w:szCs w:val="21"/>
              </w:rPr>
              <w:t>事故现场上后处理，恢复措施</w:t>
            </w:r>
          </w:p>
          <w:p w14:paraId="22F0B3D9">
            <w:pPr>
              <w:spacing w:before="60" w:line="220" w:lineRule="auto"/>
              <w:ind w:left="9"/>
              <w:rPr>
                <w:rFonts w:ascii="宋体" w:hAnsi="宋体" w:eastAsia="宋体" w:cs="宋体"/>
                <w:sz w:val="21"/>
                <w:szCs w:val="21"/>
              </w:rPr>
            </w:pPr>
            <w:r>
              <w:rPr>
                <w:rFonts w:ascii="宋体" w:hAnsi="宋体" w:eastAsia="宋体" w:cs="宋体"/>
                <w:spacing w:val="-1"/>
                <w:sz w:val="21"/>
                <w:szCs w:val="21"/>
              </w:rPr>
              <w:t>邻近区域解除事故警戒及善后恢复措施</w:t>
            </w:r>
          </w:p>
          <w:p w14:paraId="76BC4816">
            <w:pPr>
              <w:spacing w:before="62" w:line="220" w:lineRule="auto"/>
              <w:ind w:left="11"/>
              <w:rPr>
                <w:rFonts w:ascii="宋体" w:hAnsi="宋体" w:eastAsia="宋体" w:cs="宋体"/>
                <w:sz w:val="21"/>
                <w:szCs w:val="21"/>
              </w:rPr>
            </w:pPr>
            <w:r>
              <w:rPr>
                <w:rFonts w:ascii="宋体" w:hAnsi="宋体" w:eastAsia="宋体" w:cs="宋体"/>
                <w:spacing w:val="-1"/>
                <w:sz w:val="21"/>
                <w:szCs w:val="21"/>
              </w:rPr>
              <w:t>制定有关的环境恢复措施</w:t>
            </w:r>
          </w:p>
          <w:p w14:paraId="6C79C2B6">
            <w:pPr>
              <w:spacing w:before="61" w:line="248" w:lineRule="auto"/>
              <w:ind w:left="26" w:right="6" w:hanging="14"/>
              <w:rPr>
                <w:rFonts w:ascii="宋体" w:hAnsi="宋体" w:eastAsia="宋体" w:cs="宋体"/>
                <w:sz w:val="21"/>
                <w:szCs w:val="21"/>
              </w:rPr>
            </w:pPr>
            <w:r>
              <w:rPr>
                <w:rFonts w:ascii="宋体" w:hAnsi="宋体" w:eastAsia="宋体" w:cs="宋体"/>
                <w:spacing w:val="1"/>
                <w:sz w:val="21"/>
                <w:szCs w:val="21"/>
              </w:rPr>
              <w:t>组织专业人员对事故后的环境变化进行监测，对事故应急措施</w:t>
            </w:r>
            <w:r>
              <w:rPr>
                <w:rFonts w:ascii="宋体" w:hAnsi="宋体" w:eastAsia="宋体" w:cs="宋体"/>
                <w:spacing w:val="-2"/>
                <w:sz w:val="21"/>
                <w:szCs w:val="21"/>
              </w:rPr>
              <w:t>的环境可行性进行后影响评价</w:t>
            </w:r>
          </w:p>
        </w:tc>
      </w:tr>
      <w:tr w14:paraId="03538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8" w:type="dxa"/>
            <w:vAlign w:val="top"/>
          </w:tcPr>
          <w:p w14:paraId="7022C0B1">
            <w:pPr>
              <w:pStyle w:val="6"/>
              <w:spacing w:before="105" w:line="188" w:lineRule="auto"/>
              <w:ind w:left="161"/>
            </w:pPr>
            <w:r>
              <w:rPr>
                <w:spacing w:val="-6"/>
              </w:rPr>
              <w:t>10</w:t>
            </w:r>
          </w:p>
        </w:tc>
        <w:tc>
          <w:tcPr>
            <w:tcW w:w="2104" w:type="dxa"/>
            <w:vAlign w:val="top"/>
          </w:tcPr>
          <w:p w14:paraId="6A3BE267">
            <w:pPr>
              <w:spacing w:before="68" w:line="220" w:lineRule="auto"/>
              <w:ind w:left="425"/>
              <w:rPr>
                <w:rFonts w:ascii="宋体" w:hAnsi="宋体" w:eastAsia="宋体" w:cs="宋体"/>
                <w:sz w:val="21"/>
                <w:szCs w:val="21"/>
              </w:rPr>
            </w:pPr>
            <w:r>
              <w:rPr>
                <w:rFonts w:ascii="宋体" w:hAnsi="宋体" w:eastAsia="宋体" w:cs="宋体"/>
                <w:spacing w:val="-2"/>
                <w:sz w:val="21"/>
                <w:szCs w:val="21"/>
              </w:rPr>
              <w:t>应急培训计划</w:t>
            </w:r>
          </w:p>
        </w:tc>
        <w:tc>
          <w:tcPr>
            <w:tcW w:w="5728" w:type="dxa"/>
            <w:vAlign w:val="top"/>
          </w:tcPr>
          <w:p w14:paraId="0A14D010">
            <w:pPr>
              <w:spacing w:before="68" w:line="220" w:lineRule="auto"/>
              <w:ind w:left="10"/>
              <w:rPr>
                <w:rFonts w:ascii="宋体" w:hAnsi="宋体" w:eastAsia="宋体" w:cs="宋体"/>
                <w:sz w:val="21"/>
                <w:szCs w:val="21"/>
              </w:rPr>
            </w:pPr>
            <w:r>
              <w:rPr>
                <w:rFonts w:ascii="宋体" w:hAnsi="宋体" w:eastAsia="宋体" w:cs="宋体"/>
                <w:spacing w:val="-1"/>
                <w:sz w:val="21"/>
                <w:szCs w:val="21"/>
              </w:rPr>
              <w:t>应急计划制定后，平时安排人员培训与演练</w:t>
            </w:r>
          </w:p>
        </w:tc>
      </w:tr>
      <w:tr w14:paraId="06DB6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88" w:type="dxa"/>
            <w:vAlign w:val="top"/>
          </w:tcPr>
          <w:p w14:paraId="068F4E70">
            <w:pPr>
              <w:pStyle w:val="6"/>
              <w:spacing w:before="105" w:line="188" w:lineRule="auto"/>
              <w:ind w:left="164"/>
            </w:pPr>
            <w:r>
              <w:rPr>
                <w:spacing w:val="-9"/>
              </w:rPr>
              <w:t>11</w:t>
            </w:r>
          </w:p>
        </w:tc>
        <w:tc>
          <w:tcPr>
            <w:tcW w:w="2104" w:type="dxa"/>
            <w:vAlign w:val="top"/>
          </w:tcPr>
          <w:p w14:paraId="416ED5F5">
            <w:pPr>
              <w:spacing w:before="68" w:line="220" w:lineRule="auto"/>
              <w:ind w:left="328"/>
              <w:rPr>
                <w:rFonts w:ascii="宋体" w:hAnsi="宋体" w:eastAsia="宋体" w:cs="宋体"/>
                <w:sz w:val="21"/>
                <w:szCs w:val="21"/>
              </w:rPr>
            </w:pPr>
            <w:r>
              <w:rPr>
                <w:rFonts w:ascii="宋体" w:hAnsi="宋体" w:eastAsia="宋体" w:cs="宋体"/>
                <w:spacing w:val="-2"/>
                <w:sz w:val="21"/>
                <w:szCs w:val="21"/>
              </w:rPr>
              <w:t>公众教育和信息</w:t>
            </w:r>
          </w:p>
        </w:tc>
        <w:tc>
          <w:tcPr>
            <w:tcW w:w="5728" w:type="dxa"/>
            <w:vAlign w:val="top"/>
          </w:tcPr>
          <w:p w14:paraId="39EA8A5E">
            <w:pPr>
              <w:spacing w:before="68" w:line="219" w:lineRule="auto"/>
              <w:ind w:left="9"/>
              <w:rPr>
                <w:rFonts w:ascii="宋体" w:hAnsi="宋体" w:eastAsia="宋体" w:cs="宋体"/>
                <w:sz w:val="21"/>
                <w:szCs w:val="21"/>
              </w:rPr>
            </w:pPr>
            <w:r>
              <w:rPr>
                <w:rFonts w:ascii="宋体" w:hAnsi="宋体" w:eastAsia="宋体" w:cs="宋体"/>
                <w:spacing w:val="-1"/>
                <w:sz w:val="21"/>
                <w:szCs w:val="21"/>
              </w:rPr>
              <w:t>对邻近地区开展公众教育、培训和发布有关信息</w:t>
            </w:r>
          </w:p>
        </w:tc>
      </w:tr>
    </w:tbl>
    <w:p w14:paraId="7D2CBD98">
      <w:pPr>
        <w:spacing w:before="283" w:line="218" w:lineRule="auto"/>
        <w:ind w:left="37"/>
        <w:rPr>
          <w:rFonts w:ascii="宋体" w:hAnsi="宋体" w:eastAsia="宋体" w:cs="宋体"/>
          <w:sz w:val="30"/>
          <w:szCs w:val="30"/>
        </w:rPr>
      </w:pPr>
      <w:r>
        <w:rPr>
          <w:rFonts w:ascii="Times New Roman" w:hAnsi="Times New Roman" w:eastAsia="Times New Roman" w:cs="Times New Roman"/>
          <w:b/>
          <w:bCs/>
          <w:spacing w:val="-2"/>
          <w:sz w:val="30"/>
          <w:szCs w:val="30"/>
        </w:rPr>
        <w:t xml:space="preserve">4.3.9  </w:t>
      </w:r>
      <w:r>
        <w:rPr>
          <w:rFonts w:ascii="宋体" w:hAnsi="宋体" w:eastAsia="宋体" w:cs="宋体"/>
          <w:b/>
          <w:bCs/>
          <w:spacing w:val="-2"/>
          <w:sz w:val="30"/>
          <w:szCs w:val="30"/>
        </w:rPr>
        <w:t>环境风险评价结论</w:t>
      </w:r>
    </w:p>
    <w:p w14:paraId="2E40A4B8">
      <w:pPr>
        <w:pStyle w:val="2"/>
        <w:spacing w:line="262" w:lineRule="auto"/>
      </w:pPr>
    </w:p>
    <w:p w14:paraId="4F948087">
      <w:pPr>
        <w:spacing w:before="78" w:line="361" w:lineRule="auto"/>
        <w:ind w:left="42" w:right="67" w:firstLine="479"/>
        <w:jc w:val="both"/>
        <w:rPr>
          <w:rFonts w:ascii="宋体" w:hAnsi="宋体" w:eastAsia="宋体" w:cs="宋体"/>
          <w:sz w:val="24"/>
          <w:szCs w:val="24"/>
        </w:rPr>
      </w:pPr>
      <w:r>
        <w:rPr>
          <w:rFonts w:ascii="宋体" w:hAnsi="宋体" w:eastAsia="宋体" w:cs="宋体"/>
          <w:spacing w:val="-3"/>
          <w:sz w:val="24"/>
          <w:szCs w:val="24"/>
        </w:rPr>
        <w:t>经识别，本项目不存在重大风险源，风险评价等级确定为简</w:t>
      </w:r>
      <w:r>
        <w:rPr>
          <w:rFonts w:ascii="宋体" w:hAnsi="宋体" w:eastAsia="宋体" w:cs="宋体"/>
          <w:spacing w:val="-4"/>
          <w:sz w:val="24"/>
          <w:szCs w:val="24"/>
        </w:rPr>
        <w:t>单分析。在落实</w:t>
      </w:r>
      <w:r>
        <w:rPr>
          <w:rFonts w:ascii="宋体" w:hAnsi="宋体" w:eastAsia="宋体" w:cs="宋体"/>
          <w:spacing w:val="-3"/>
          <w:sz w:val="24"/>
          <w:szCs w:val="24"/>
        </w:rPr>
        <w:t>各项风险防范措施和应急处理措施的前提下，泄漏事故不会对大气、地表水</w:t>
      </w:r>
      <w:r>
        <w:rPr>
          <w:rFonts w:ascii="宋体" w:hAnsi="宋体" w:eastAsia="宋体" w:cs="宋体"/>
          <w:spacing w:val="-4"/>
          <w:sz w:val="24"/>
          <w:szCs w:val="24"/>
        </w:rPr>
        <w:t>、地</w:t>
      </w:r>
      <w:r>
        <w:rPr>
          <w:rFonts w:ascii="宋体" w:hAnsi="宋体" w:eastAsia="宋体" w:cs="宋体"/>
          <w:spacing w:val="-6"/>
          <w:sz w:val="24"/>
          <w:szCs w:val="24"/>
        </w:rPr>
        <w:t>下水产生污染影响。因此， 本项目在落实各项风险防范</w:t>
      </w:r>
      <w:r>
        <w:rPr>
          <w:rFonts w:ascii="宋体" w:hAnsi="宋体" w:eastAsia="宋体" w:cs="宋体"/>
          <w:spacing w:val="-7"/>
          <w:sz w:val="24"/>
          <w:szCs w:val="24"/>
        </w:rPr>
        <w:t>措施和应急处理措施，加</w:t>
      </w:r>
      <w:r>
        <w:rPr>
          <w:rFonts w:ascii="宋体" w:hAnsi="宋体" w:eastAsia="宋体" w:cs="宋体"/>
          <w:spacing w:val="-2"/>
          <w:sz w:val="24"/>
          <w:szCs w:val="24"/>
        </w:rPr>
        <w:t>强环境风险管理，制定完善的风险预案的前提下，环境风险可接受。</w:t>
      </w:r>
    </w:p>
    <w:p w14:paraId="48DFEE27">
      <w:pPr>
        <w:spacing w:line="361" w:lineRule="auto"/>
        <w:rPr>
          <w:rFonts w:ascii="宋体" w:hAnsi="宋体" w:eastAsia="宋体" w:cs="宋体"/>
          <w:sz w:val="24"/>
          <w:szCs w:val="24"/>
        </w:rPr>
        <w:sectPr>
          <w:headerReference r:id="rId433" w:type="default"/>
          <w:footerReference r:id="rId434" w:type="default"/>
          <w:pgSz w:w="11905" w:h="16840"/>
          <w:pgMar w:top="1168" w:right="1730" w:bottom="1409" w:left="1770" w:header="828" w:footer="1244" w:gutter="0"/>
          <w:cols w:space="720" w:num="1"/>
        </w:sectPr>
      </w:pPr>
    </w:p>
    <w:p w14:paraId="266BAA86">
      <w:pPr>
        <w:pStyle w:val="2"/>
        <w:spacing w:line="306" w:lineRule="auto"/>
      </w:pPr>
    </w:p>
    <w:p w14:paraId="36734ED9">
      <w:pPr>
        <w:spacing w:before="78" w:line="219" w:lineRule="auto"/>
        <w:ind w:left="522"/>
        <w:rPr>
          <w:rFonts w:ascii="宋体" w:hAnsi="宋体" w:eastAsia="宋体" w:cs="宋体"/>
          <w:sz w:val="24"/>
          <w:szCs w:val="24"/>
        </w:rPr>
      </w:pPr>
      <w:bookmarkStart w:id="44" w:name="bookmark182"/>
      <w:bookmarkEnd w:id="44"/>
      <w:r>
        <w:rPr>
          <w:rFonts w:ascii="宋体" w:hAnsi="宋体" w:eastAsia="宋体" w:cs="宋体"/>
          <w:spacing w:val="-3"/>
          <w:sz w:val="24"/>
          <w:szCs w:val="24"/>
        </w:rPr>
        <w:t>建设项目环境风险简单分析内容见下表。</w:t>
      </w:r>
    </w:p>
    <w:p w14:paraId="60B88593">
      <w:pPr>
        <w:spacing w:before="196" w:line="222" w:lineRule="auto"/>
        <w:ind w:left="221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2"/>
          <w:sz w:val="21"/>
          <w:szCs w:val="21"/>
        </w:rPr>
        <w:t xml:space="preserve"> </w:t>
      </w:r>
      <w:r>
        <w:rPr>
          <w:rFonts w:ascii="Times New Roman" w:hAnsi="Times New Roman" w:eastAsia="Times New Roman" w:cs="Times New Roman"/>
          <w:spacing w:val="-1"/>
          <w:sz w:val="21"/>
          <w:szCs w:val="21"/>
        </w:rPr>
        <w:t xml:space="preserve">4.3-8  </w:t>
      </w:r>
      <w:r>
        <w:rPr>
          <w:rFonts w:ascii="黑体" w:hAnsi="黑体" w:eastAsia="黑体" w:cs="黑体"/>
          <w:spacing w:val="-1"/>
          <w:sz w:val="21"/>
          <w:szCs w:val="21"/>
        </w:rPr>
        <w:t>建设项目环境风险简单分析内容表</w:t>
      </w:r>
    </w:p>
    <w:p w14:paraId="65BC0BFB">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1"/>
        <w:gridCol w:w="1132"/>
        <w:gridCol w:w="1847"/>
        <w:gridCol w:w="990"/>
        <w:gridCol w:w="2360"/>
      </w:tblGrid>
      <w:tr w14:paraId="61A40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991" w:type="dxa"/>
            <w:vAlign w:val="top"/>
          </w:tcPr>
          <w:p w14:paraId="0A632B72">
            <w:pPr>
              <w:spacing w:before="69" w:line="220" w:lineRule="auto"/>
              <w:ind w:left="374"/>
              <w:rPr>
                <w:rFonts w:ascii="宋体" w:hAnsi="宋体" w:eastAsia="宋体" w:cs="宋体"/>
                <w:sz w:val="21"/>
                <w:szCs w:val="21"/>
              </w:rPr>
            </w:pPr>
            <w:r>
              <w:rPr>
                <w:rFonts w:ascii="宋体" w:hAnsi="宋体" w:eastAsia="宋体" w:cs="宋体"/>
                <w:spacing w:val="-2"/>
                <w:sz w:val="21"/>
                <w:szCs w:val="21"/>
              </w:rPr>
              <w:t>建设项目名称</w:t>
            </w:r>
          </w:p>
        </w:tc>
        <w:tc>
          <w:tcPr>
            <w:tcW w:w="6329" w:type="dxa"/>
            <w:gridSpan w:val="4"/>
            <w:vAlign w:val="top"/>
          </w:tcPr>
          <w:p w14:paraId="3C8DE945">
            <w:pPr>
              <w:spacing w:before="68" w:line="220" w:lineRule="auto"/>
              <w:ind w:left="1602"/>
              <w:rPr>
                <w:rFonts w:ascii="宋体" w:hAnsi="宋体" w:eastAsia="宋体" w:cs="宋体"/>
                <w:sz w:val="21"/>
                <w:szCs w:val="21"/>
              </w:rPr>
            </w:pPr>
            <w:r>
              <w:rPr>
                <w:rFonts w:ascii="宋体" w:hAnsi="宋体" w:eastAsia="宋体" w:cs="宋体"/>
                <w:spacing w:val="-2"/>
                <w:sz w:val="21"/>
                <w:szCs w:val="21"/>
              </w:rPr>
              <w:t>喻家沟生猪规模化养殖场建设项目</w:t>
            </w:r>
          </w:p>
        </w:tc>
      </w:tr>
      <w:tr w14:paraId="279CD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91" w:type="dxa"/>
            <w:vAlign w:val="top"/>
          </w:tcPr>
          <w:p w14:paraId="7047489E">
            <w:pPr>
              <w:spacing w:before="64" w:line="221" w:lineRule="auto"/>
              <w:ind w:left="584"/>
              <w:rPr>
                <w:rFonts w:ascii="宋体" w:hAnsi="宋体" w:eastAsia="宋体" w:cs="宋体"/>
                <w:sz w:val="21"/>
                <w:szCs w:val="21"/>
              </w:rPr>
            </w:pPr>
            <w:r>
              <w:rPr>
                <w:rFonts w:ascii="宋体" w:hAnsi="宋体" w:eastAsia="宋体" w:cs="宋体"/>
                <w:spacing w:val="-3"/>
                <w:sz w:val="21"/>
                <w:szCs w:val="21"/>
              </w:rPr>
              <w:t>建设地点</w:t>
            </w:r>
          </w:p>
        </w:tc>
        <w:tc>
          <w:tcPr>
            <w:tcW w:w="1132" w:type="dxa"/>
            <w:vAlign w:val="top"/>
          </w:tcPr>
          <w:p w14:paraId="3C30B877">
            <w:pPr>
              <w:spacing w:before="63" w:line="220" w:lineRule="auto"/>
              <w:ind w:left="274"/>
              <w:rPr>
                <w:rFonts w:ascii="宋体" w:hAnsi="宋体" w:eastAsia="宋体" w:cs="宋体"/>
                <w:sz w:val="21"/>
                <w:szCs w:val="21"/>
              </w:rPr>
            </w:pPr>
            <w:r>
              <w:rPr>
                <w:rFonts w:ascii="宋体" w:hAnsi="宋体" w:eastAsia="宋体" w:cs="宋体"/>
                <w:spacing w:val="-7"/>
                <w:sz w:val="21"/>
                <w:szCs w:val="21"/>
              </w:rPr>
              <w:t>四川省</w:t>
            </w:r>
          </w:p>
        </w:tc>
        <w:tc>
          <w:tcPr>
            <w:tcW w:w="1847" w:type="dxa"/>
            <w:vAlign w:val="top"/>
          </w:tcPr>
          <w:p w14:paraId="17DB7E2E">
            <w:pPr>
              <w:spacing w:before="63" w:line="220" w:lineRule="auto"/>
              <w:ind w:left="638"/>
              <w:rPr>
                <w:rFonts w:ascii="宋体" w:hAnsi="宋体" w:eastAsia="宋体" w:cs="宋体"/>
                <w:sz w:val="21"/>
                <w:szCs w:val="21"/>
              </w:rPr>
            </w:pPr>
            <w:r>
              <w:rPr>
                <w:rFonts w:ascii="宋体" w:hAnsi="宋体" w:eastAsia="宋体" w:cs="宋体"/>
                <w:spacing w:val="-8"/>
                <w:sz w:val="21"/>
                <w:szCs w:val="21"/>
              </w:rPr>
              <w:t>内江市</w:t>
            </w:r>
          </w:p>
        </w:tc>
        <w:tc>
          <w:tcPr>
            <w:tcW w:w="990" w:type="dxa"/>
            <w:vAlign w:val="top"/>
          </w:tcPr>
          <w:p w14:paraId="506B75B3">
            <w:pPr>
              <w:spacing w:before="63" w:line="220" w:lineRule="auto"/>
              <w:ind w:left="193"/>
              <w:rPr>
                <w:rFonts w:ascii="宋体" w:hAnsi="宋体" w:eastAsia="宋体" w:cs="宋体"/>
                <w:sz w:val="21"/>
                <w:szCs w:val="21"/>
              </w:rPr>
            </w:pPr>
            <w:r>
              <w:rPr>
                <w:rFonts w:ascii="宋体" w:hAnsi="宋体" w:eastAsia="宋体" w:cs="宋体"/>
                <w:spacing w:val="-4"/>
                <w:sz w:val="21"/>
                <w:szCs w:val="21"/>
              </w:rPr>
              <w:t>东兴区</w:t>
            </w:r>
          </w:p>
        </w:tc>
        <w:tc>
          <w:tcPr>
            <w:tcW w:w="2360" w:type="dxa"/>
            <w:vAlign w:val="top"/>
          </w:tcPr>
          <w:p w14:paraId="14AC3F70">
            <w:pPr>
              <w:pStyle w:val="6"/>
              <w:spacing w:before="64" w:line="219" w:lineRule="auto"/>
              <w:ind w:left="60"/>
              <w:rPr>
                <w:rFonts w:ascii="宋体" w:hAnsi="宋体" w:eastAsia="宋体" w:cs="宋体"/>
              </w:rPr>
            </w:pPr>
            <w:r>
              <w:rPr>
                <w:rFonts w:ascii="宋体" w:hAnsi="宋体" w:eastAsia="宋体" w:cs="宋体"/>
                <w:spacing w:val="-5"/>
              </w:rPr>
              <w:t>白合镇喻家沟村</w:t>
            </w:r>
            <w:r>
              <w:rPr>
                <w:rFonts w:ascii="宋体" w:hAnsi="宋体" w:eastAsia="宋体" w:cs="宋体"/>
                <w:spacing w:val="-40"/>
              </w:rPr>
              <w:t xml:space="preserve"> </w:t>
            </w:r>
            <w:r>
              <w:rPr>
                <w:spacing w:val="-5"/>
              </w:rPr>
              <w:t>9</w:t>
            </w:r>
            <w:r>
              <w:rPr>
                <w:spacing w:val="-29"/>
              </w:rPr>
              <w:t xml:space="preserve"> </w:t>
            </w:r>
            <w:r>
              <w:rPr>
                <w:rFonts w:ascii="宋体" w:hAnsi="宋体" w:eastAsia="宋体" w:cs="宋体"/>
                <w:spacing w:val="-5"/>
              </w:rPr>
              <w:t>、</w:t>
            </w:r>
            <w:r>
              <w:rPr>
                <w:spacing w:val="-5"/>
              </w:rPr>
              <w:t xml:space="preserve">12 </w:t>
            </w:r>
            <w:r>
              <w:rPr>
                <w:rFonts w:ascii="宋体" w:hAnsi="宋体" w:eastAsia="宋体" w:cs="宋体"/>
                <w:spacing w:val="-5"/>
              </w:rPr>
              <w:t>组</w:t>
            </w:r>
          </w:p>
        </w:tc>
      </w:tr>
      <w:tr w14:paraId="65C33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91" w:type="dxa"/>
            <w:vAlign w:val="top"/>
          </w:tcPr>
          <w:p w14:paraId="22DCF217">
            <w:pPr>
              <w:spacing w:before="64" w:line="220" w:lineRule="auto"/>
              <w:ind w:left="581"/>
              <w:rPr>
                <w:rFonts w:ascii="宋体" w:hAnsi="宋体" w:eastAsia="宋体" w:cs="宋体"/>
                <w:sz w:val="21"/>
                <w:szCs w:val="21"/>
              </w:rPr>
            </w:pPr>
            <w:r>
              <w:rPr>
                <w:rFonts w:ascii="宋体" w:hAnsi="宋体" w:eastAsia="宋体" w:cs="宋体"/>
                <w:spacing w:val="-2"/>
                <w:sz w:val="21"/>
                <w:szCs w:val="21"/>
              </w:rPr>
              <w:t>地理坐标</w:t>
            </w:r>
          </w:p>
        </w:tc>
        <w:tc>
          <w:tcPr>
            <w:tcW w:w="1132" w:type="dxa"/>
            <w:vAlign w:val="top"/>
          </w:tcPr>
          <w:p w14:paraId="516EA78F">
            <w:pPr>
              <w:spacing w:before="64" w:line="220" w:lineRule="auto"/>
              <w:ind w:left="367"/>
              <w:rPr>
                <w:rFonts w:ascii="宋体" w:hAnsi="宋体" w:eastAsia="宋体" w:cs="宋体"/>
                <w:sz w:val="21"/>
                <w:szCs w:val="21"/>
              </w:rPr>
            </w:pPr>
            <w:r>
              <w:rPr>
                <w:rFonts w:ascii="宋体" w:hAnsi="宋体" w:eastAsia="宋体" w:cs="宋体"/>
                <w:spacing w:val="-4"/>
                <w:sz w:val="21"/>
                <w:szCs w:val="21"/>
              </w:rPr>
              <w:t>东经</w:t>
            </w:r>
          </w:p>
        </w:tc>
        <w:tc>
          <w:tcPr>
            <w:tcW w:w="1847" w:type="dxa"/>
            <w:vAlign w:val="top"/>
          </w:tcPr>
          <w:p w14:paraId="326B3CA6">
            <w:pPr>
              <w:pStyle w:val="6"/>
              <w:spacing w:before="100" w:line="158" w:lineRule="exact"/>
              <w:ind w:left="285"/>
            </w:pPr>
            <w:r>
              <w:rPr>
                <w:spacing w:val="-3"/>
                <w:position w:val="-2"/>
              </w:rPr>
              <w:t>105°20,45.965″</w:t>
            </w:r>
          </w:p>
        </w:tc>
        <w:tc>
          <w:tcPr>
            <w:tcW w:w="990" w:type="dxa"/>
            <w:vAlign w:val="top"/>
          </w:tcPr>
          <w:p w14:paraId="28FCCFA1">
            <w:pPr>
              <w:spacing w:before="64" w:line="220" w:lineRule="auto"/>
              <w:ind w:left="294"/>
              <w:rPr>
                <w:rFonts w:ascii="宋体" w:hAnsi="宋体" w:eastAsia="宋体" w:cs="宋体"/>
                <w:sz w:val="21"/>
                <w:szCs w:val="21"/>
              </w:rPr>
            </w:pPr>
            <w:r>
              <w:rPr>
                <w:rFonts w:ascii="宋体" w:hAnsi="宋体" w:eastAsia="宋体" w:cs="宋体"/>
                <w:spacing w:val="-3"/>
                <w:sz w:val="21"/>
                <w:szCs w:val="21"/>
              </w:rPr>
              <w:t>北纬</w:t>
            </w:r>
          </w:p>
        </w:tc>
        <w:tc>
          <w:tcPr>
            <w:tcW w:w="2360" w:type="dxa"/>
            <w:vAlign w:val="top"/>
          </w:tcPr>
          <w:p w14:paraId="487A68B1">
            <w:pPr>
              <w:pStyle w:val="6"/>
              <w:spacing w:before="100" w:line="158" w:lineRule="exact"/>
              <w:ind w:left="574"/>
            </w:pPr>
            <w:r>
              <w:rPr>
                <w:spacing w:val="-1"/>
                <w:position w:val="-2"/>
              </w:rPr>
              <w:t>29°40,42.479″</w:t>
            </w:r>
          </w:p>
        </w:tc>
      </w:tr>
      <w:tr w14:paraId="0AB3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91" w:type="dxa"/>
            <w:vAlign w:val="top"/>
          </w:tcPr>
          <w:p w14:paraId="4EF87222">
            <w:pPr>
              <w:spacing w:before="206" w:line="219" w:lineRule="auto"/>
              <w:ind w:left="57"/>
              <w:rPr>
                <w:rFonts w:ascii="宋体" w:hAnsi="宋体" w:eastAsia="宋体" w:cs="宋体"/>
                <w:sz w:val="21"/>
                <w:szCs w:val="21"/>
              </w:rPr>
            </w:pPr>
            <w:r>
              <w:rPr>
                <w:rFonts w:ascii="宋体" w:hAnsi="宋体" w:eastAsia="宋体" w:cs="宋体"/>
                <w:spacing w:val="-1"/>
                <w:sz w:val="21"/>
                <w:szCs w:val="21"/>
              </w:rPr>
              <w:t>主要危险物质及分布</w:t>
            </w:r>
          </w:p>
        </w:tc>
        <w:tc>
          <w:tcPr>
            <w:tcW w:w="6329" w:type="dxa"/>
            <w:gridSpan w:val="4"/>
            <w:vAlign w:val="top"/>
          </w:tcPr>
          <w:p w14:paraId="7B56E64A">
            <w:pPr>
              <w:spacing w:before="51" w:line="249" w:lineRule="auto"/>
              <w:ind w:left="8" w:right="1"/>
              <w:rPr>
                <w:rFonts w:ascii="宋体" w:hAnsi="宋体" w:eastAsia="宋体" w:cs="宋体"/>
                <w:sz w:val="21"/>
                <w:szCs w:val="21"/>
              </w:rPr>
            </w:pPr>
            <w:r>
              <w:rPr>
                <w:rFonts w:ascii="宋体" w:hAnsi="宋体" w:eastAsia="宋体" w:cs="宋体"/>
                <w:sz w:val="21"/>
                <w:szCs w:val="21"/>
              </w:rPr>
              <w:t>柴油储存在养殖区西北部发电机房的储油间，危险废物分布在危废暂</w:t>
            </w:r>
            <w:r>
              <w:rPr>
                <w:rFonts w:ascii="宋体" w:hAnsi="宋体" w:eastAsia="宋体" w:cs="宋体"/>
                <w:spacing w:val="-3"/>
                <w:sz w:val="21"/>
                <w:szCs w:val="21"/>
              </w:rPr>
              <w:t>存间，消毒剂分布在各物料储存间。</w:t>
            </w:r>
          </w:p>
        </w:tc>
      </w:tr>
      <w:tr w14:paraId="5D81F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991" w:type="dxa"/>
            <w:vAlign w:val="top"/>
          </w:tcPr>
          <w:p w14:paraId="189B0A9D">
            <w:pPr>
              <w:spacing w:before="207" w:line="276" w:lineRule="auto"/>
              <w:ind w:left="12"/>
              <w:jc w:val="both"/>
              <w:rPr>
                <w:rFonts w:ascii="宋体" w:hAnsi="宋体" w:eastAsia="宋体" w:cs="宋体"/>
                <w:sz w:val="21"/>
                <w:szCs w:val="21"/>
              </w:rPr>
            </w:pPr>
            <w:r>
              <w:rPr>
                <w:rFonts w:ascii="宋体" w:hAnsi="宋体" w:eastAsia="宋体" w:cs="宋体"/>
                <w:spacing w:val="1"/>
                <w:sz w:val="21"/>
                <w:szCs w:val="21"/>
              </w:rPr>
              <w:t>环境影响途径及危害</w:t>
            </w:r>
            <w:r>
              <w:rPr>
                <w:rFonts w:ascii="宋体" w:hAnsi="宋体" w:eastAsia="宋体" w:cs="宋体"/>
                <w:spacing w:val="-13"/>
                <w:sz w:val="21"/>
                <w:szCs w:val="21"/>
              </w:rPr>
              <w:t>后果（大气、地表水、</w:t>
            </w:r>
            <w:r>
              <w:rPr>
                <w:rFonts w:ascii="宋体" w:hAnsi="宋体" w:eastAsia="宋体" w:cs="宋体"/>
                <w:spacing w:val="-9"/>
                <w:sz w:val="21"/>
                <w:szCs w:val="21"/>
              </w:rPr>
              <w:t>地下水等）</w:t>
            </w:r>
          </w:p>
        </w:tc>
        <w:tc>
          <w:tcPr>
            <w:tcW w:w="6329" w:type="dxa"/>
            <w:gridSpan w:val="4"/>
            <w:vAlign w:val="top"/>
          </w:tcPr>
          <w:p w14:paraId="597F6FFF">
            <w:pPr>
              <w:spacing w:before="54" w:line="261" w:lineRule="auto"/>
              <w:ind w:left="8" w:right="1"/>
              <w:jc w:val="both"/>
              <w:rPr>
                <w:rFonts w:ascii="宋体" w:hAnsi="宋体" w:eastAsia="宋体" w:cs="宋体"/>
                <w:sz w:val="21"/>
                <w:szCs w:val="21"/>
              </w:rPr>
            </w:pPr>
            <w:r>
              <w:rPr>
                <w:rFonts w:ascii="宋体" w:hAnsi="宋体" w:eastAsia="宋体" w:cs="宋体"/>
                <w:sz w:val="21"/>
                <w:szCs w:val="21"/>
              </w:rPr>
              <w:t>废水发生泄漏将进入土壤和地下水包气带，可能污染局部地下水和土壤。柴油泄漏可能溢流至土壤，污染局部地下水和土壤。消毒剂泄漏可能溢流到土壤，对土壤理化性质造成一定影响。危险废物泄漏可能</w:t>
            </w:r>
            <w:r>
              <w:rPr>
                <w:rFonts w:ascii="宋体" w:hAnsi="宋体" w:eastAsia="宋体" w:cs="宋体"/>
                <w:spacing w:val="-2"/>
                <w:sz w:val="21"/>
                <w:szCs w:val="21"/>
              </w:rPr>
              <w:t>外泄到土壤和周边环境，造成土壤和地下水的污染，病菌传播。</w:t>
            </w:r>
          </w:p>
        </w:tc>
      </w:tr>
      <w:tr w14:paraId="07FDA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91" w:type="dxa"/>
            <w:vAlign w:val="top"/>
          </w:tcPr>
          <w:p w14:paraId="1DED9220">
            <w:pPr>
              <w:spacing w:before="209" w:line="220" w:lineRule="auto"/>
              <w:ind w:left="162"/>
              <w:rPr>
                <w:rFonts w:ascii="宋体" w:hAnsi="宋体" w:eastAsia="宋体" w:cs="宋体"/>
                <w:sz w:val="21"/>
                <w:szCs w:val="21"/>
              </w:rPr>
            </w:pPr>
            <w:r>
              <w:rPr>
                <w:rFonts w:ascii="宋体" w:hAnsi="宋体" w:eastAsia="宋体" w:cs="宋体"/>
                <w:spacing w:val="-1"/>
                <w:sz w:val="21"/>
                <w:szCs w:val="21"/>
              </w:rPr>
              <w:t>风险防范措施要求</w:t>
            </w:r>
          </w:p>
        </w:tc>
        <w:tc>
          <w:tcPr>
            <w:tcW w:w="6329" w:type="dxa"/>
            <w:gridSpan w:val="4"/>
            <w:vAlign w:val="top"/>
          </w:tcPr>
          <w:p w14:paraId="3F326CB6">
            <w:pPr>
              <w:spacing w:before="53" w:line="248" w:lineRule="auto"/>
              <w:ind w:left="11" w:right="32" w:hanging="1"/>
              <w:rPr>
                <w:rFonts w:ascii="宋体" w:hAnsi="宋体" w:eastAsia="宋体" w:cs="宋体"/>
                <w:sz w:val="21"/>
                <w:szCs w:val="21"/>
              </w:rPr>
            </w:pPr>
            <w:r>
              <w:rPr>
                <w:rFonts w:ascii="宋体" w:hAnsi="宋体" w:eastAsia="宋体" w:cs="宋体"/>
                <w:spacing w:val="-1"/>
                <w:sz w:val="21"/>
                <w:szCs w:val="21"/>
              </w:rPr>
              <w:t>污水处理设备定期检测，防止污水跑、冒、漏，确保设备正常运行。</w:t>
            </w:r>
            <w:r>
              <w:rPr>
                <w:rFonts w:ascii="宋体" w:hAnsi="宋体" w:eastAsia="宋体" w:cs="宋体"/>
                <w:spacing w:val="-2"/>
                <w:sz w:val="21"/>
                <w:szCs w:val="21"/>
              </w:rPr>
              <w:t>设置地下水监控井，落实基础防渗，加强场区巡查和环境管理。</w:t>
            </w:r>
          </w:p>
        </w:tc>
      </w:tr>
      <w:tr w14:paraId="33021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8320" w:type="dxa"/>
            <w:gridSpan w:val="5"/>
            <w:vAlign w:val="top"/>
          </w:tcPr>
          <w:p w14:paraId="768C8934">
            <w:pPr>
              <w:spacing w:before="53" w:line="218" w:lineRule="auto"/>
              <w:ind w:left="14"/>
              <w:rPr>
                <w:rFonts w:ascii="宋体" w:hAnsi="宋体" w:eastAsia="宋体" w:cs="宋体"/>
                <w:sz w:val="21"/>
                <w:szCs w:val="21"/>
              </w:rPr>
            </w:pPr>
            <w:r>
              <w:rPr>
                <w:rFonts w:ascii="宋体" w:hAnsi="宋体" w:eastAsia="宋体" w:cs="宋体"/>
                <w:spacing w:val="-5"/>
                <w:sz w:val="21"/>
                <w:szCs w:val="21"/>
              </w:rPr>
              <w:t>填表说明（列出项目相关信息及评价说明</w:t>
            </w:r>
            <w:r>
              <w:rPr>
                <w:rFonts w:ascii="宋体" w:hAnsi="宋体" w:eastAsia="宋体" w:cs="宋体"/>
                <w:sz w:val="21"/>
                <w:szCs w:val="21"/>
              </w:rPr>
              <w:t>）：</w:t>
            </w:r>
          </w:p>
          <w:p w14:paraId="270B10F6">
            <w:pPr>
              <w:pStyle w:val="6"/>
              <w:spacing w:before="65" w:line="262" w:lineRule="auto"/>
              <w:ind w:left="11" w:right="5" w:firstLine="421"/>
              <w:rPr>
                <w:rFonts w:ascii="宋体" w:hAnsi="宋体" w:eastAsia="宋体" w:cs="宋体"/>
              </w:rPr>
            </w:pPr>
            <w:r>
              <w:rPr>
                <w:rFonts w:ascii="宋体" w:hAnsi="宋体" w:eastAsia="宋体" w:cs="宋体"/>
                <w:spacing w:val="-5"/>
              </w:rPr>
              <w:t>本项目主要危险物质为柴油、沼气、消毒剂， 主要分</w:t>
            </w:r>
            <w:r>
              <w:rPr>
                <w:rFonts w:ascii="宋体" w:hAnsi="宋体" w:eastAsia="宋体" w:cs="宋体"/>
                <w:spacing w:val="-6"/>
              </w:rPr>
              <w:t>布在柴油储存间、厌氧反应器、仓</w:t>
            </w:r>
            <w:r>
              <w:rPr>
                <w:rFonts w:ascii="宋体" w:hAnsi="宋体" w:eastAsia="宋体" w:cs="宋体"/>
                <w:spacing w:val="-3"/>
              </w:rPr>
              <w:t>库内。本项目风险评价根据《建设项目环境风险评价技术导则》（</w:t>
            </w:r>
            <w:r>
              <w:rPr>
                <w:spacing w:val="-3"/>
              </w:rPr>
              <w:t>HJ169-2018</w:t>
            </w:r>
            <w:r>
              <w:rPr>
                <w:rFonts w:ascii="宋体" w:hAnsi="宋体" w:eastAsia="宋体" w:cs="宋体"/>
                <w:spacing w:val="-3"/>
              </w:rPr>
              <w:t>）进行分析。</w:t>
            </w:r>
            <w:r>
              <w:rPr>
                <w:rFonts w:ascii="宋体" w:hAnsi="宋体" w:eastAsia="宋体" w:cs="宋体"/>
                <w:spacing w:val="-1"/>
              </w:rPr>
              <w:t>场内危险物质最大储存量</w:t>
            </w:r>
            <w:r>
              <w:rPr>
                <w:rFonts w:ascii="宋体" w:hAnsi="宋体" w:eastAsia="宋体" w:cs="宋体"/>
                <w:spacing w:val="-28"/>
              </w:rPr>
              <w:t xml:space="preserve"> </w:t>
            </w:r>
            <w:r>
              <w:rPr>
                <w:spacing w:val="-1"/>
              </w:rPr>
              <w:t>Q</w:t>
            </w:r>
            <w:r>
              <w:rPr>
                <w:spacing w:val="25"/>
              </w:rPr>
              <w:t xml:space="preserve"> </w:t>
            </w:r>
            <w:r>
              <w:rPr>
                <w:rFonts w:ascii="宋体" w:hAnsi="宋体" w:eastAsia="宋体" w:cs="宋体"/>
                <w:spacing w:val="-1"/>
              </w:rPr>
              <w:t>值＜</w:t>
            </w:r>
            <w:r>
              <w:rPr>
                <w:spacing w:val="-1"/>
              </w:rPr>
              <w:t>1</w:t>
            </w:r>
            <w:r>
              <w:rPr>
                <w:rFonts w:ascii="宋体" w:hAnsi="宋体" w:eastAsia="宋体" w:cs="宋体"/>
                <w:spacing w:val="-1"/>
              </w:rPr>
              <w:t>，风险潜势为</w:t>
            </w:r>
            <w:r>
              <w:rPr>
                <w:rFonts w:ascii="宋体" w:hAnsi="宋体" w:eastAsia="宋体" w:cs="宋体"/>
                <w:spacing w:val="-20"/>
              </w:rPr>
              <w:t xml:space="preserve"> </w:t>
            </w:r>
            <w:r>
              <w:rPr>
                <w:spacing w:val="-1"/>
              </w:rPr>
              <w:t>I</w:t>
            </w:r>
            <w:r>
              <w:rPr>
                <w:rFonts w:ascii="宋体" w:hAnsi="宋体" w:eastAsia="宋体" w:cs="宋体"/>
                <w:spacing w:val="-1"/>
              </w:rPr>
              <w:t>，评价等级为简单分</w:t>
            </w:r>
            <w:r>
              <w:rPr>
                <w:rFonts w:ascii="宋体" w:hAnsi="宋体" w:eastAsia="宋体" w:cs="宋体"/>
                <w:spacing w:val="-2"/>
              </w:rPr>
              <w:t>析。在落实了评价提</w:t>
            </w:r>
            <w:r>
              <w:rPr>
                <w:rFonts w:ascii="宋体" w:hAnsi="宋体" w:eastAsia="宋体" w:cs="宋体"/>
                <w:spacing w:val="-1"/>
              </w:rPr>
              <w:t>出的风险防范措施后，环境风险可控，不会对周围环境</w:t>
            </w:r>
            <w:r>
              <w:rPr>
                <w:rFonts w:ascii="宋体" w:hAnsi="宋体" w:eastAsia="宋体" w:cs="宋体"/>
                <w:spacing w:val="-2"/>
              </w:rPr>
              <w:t>造成较大风险。</w:t>
            </w:r>
          </w:p>
        </w:tc>
      </w:tr>
    </w:tbl>
    <w:p w14:paraId="53B4C2E4">
      <w:pPr>
        <w:pStyle w:val="2"/>
      </w:pPr>
    </w:p>
    <w:p w14:paraId="221DA463">
      <w:pPr>
        <w:sectPr>
          <w:headerReference r:id="rId435" w:type="default"/>
          <w:footerReference r:id="rId436" w:type="default"/>
          <w:pgSz w:w="11905" w:h="16840"/>
          <w:pgMar w:top="1168" w:right="1768" w:bottom="1409" w:left="1770" w:header="828" w:footer="1244" w:gutter="0"/>
          <w:cols w:space="720" w:num="1"/>
        </w:sectPr>
      </w:pPr>
    </w:p>
    <w:p w14:paraId="18401627">
      <w:pPr>
        <w:spacing w:before="362" w:line="219" w:lineRule="auto"/>
        <w:ind w:left="2035"/>
        <w:outlineLvl w:val="0"/>
        <w:rPr>
          <w:rFonts w:ascii="宋体" w:hAnsi="宋体" w:eastAsia="宋体" w:cs="宋体"/>
          <w:sz w:val="44"/>
          <w:szCs w:val="44"/>
        </w:rPr>
      </w:pPr>
      <w:bookmarkStart w:id="45" w:name="bookmark28"/>
      <w:bookmarkEnd w:id="45"/>
      <w:r>
        <w:rPr>
          <w:rFonts w:ascii="宋体" w:hAnsi="宋体" w:eastAsia="宋体" w:cs="宋体"/>
          <w:b/>
          <w:bCs/>
          <w:spacing w:val="-7"/>
          <w:sz w:val="44"/>
          <w:szCs w:val="44"/>
        </w:rPr>
        <w:t>第五章</w:t>
      </w:r>
      <w:r>
        <w:rPr>
          <w:rFonts w:ascii="宋体" w:hAnsi="宋体" w:eastAsia="宋体" w:cs="宋体"/>
          <w:spacing w:val="153"/>
          <w:sz w:val="44"/>
          <w:szCs w:val="44"/>
        </w:rPr>
        <w:t xml:space="preserve"> </w:t>
      </w:r>
      <w:r>
        <w:rPr>
          <w:rFonts w:ascii="宋体" w:hAnsi="宋体" w:eastAsia="宋体" w:cs="宋体"/>
          <w:b/>
          <w:bCs/>
          <w:spacing w:val="-7"/>
          <w:sz w:val="44"/>
          <w:szCs w:val="44"/>
        </w:rPr>
        <w:t>环境保护措施</w:t>
      </w:r>
    </w:p>
    <w:p w14:paraId="456A2269">
      <w:pPr>
        <w:spacing w:before="282" w:line="220" w:lineRule="auto"/>
        <w:ind w:left="40"/>
        <w:outlineLvl w:val="1"/>
        <w:rPr>
          <w:rFonts w:ascii="宋体" w:hAnsi="宋体" w:eastAsia="宋体" w:cs="宋体"/>
          <w:sz w:val="32"/>
          <w:szCs w:val="32"/>
        </w:rPr>
      </w:pPr>
      <w:bookmarkStart w:id="46" w:name="bookmark29"/>
      <w:bookmarkEnd w:id="46"/>
      <w:r>
        <w:rPr>
          <w:rFonts w:ascii="Times New Roman" w:hAnsi="Times New Roman" w:eastAsia="Times New Roman" w:cs="Times New Roman"/>
          <w:b/>
          <w:bCs/>
          <w:spacing w:val="-3"/>
          <w:sz w:val="32"/>
          <w:szCs w:val="32"/>
        </w:rPr>
        <w:t xml:space="preserve">5.1  </w:t>
      </w:r>
      <w:r>
        <w:rPr>
          <w:rFonts w:ascii="宋体" w:hAnsi="宋体" w:eastAsia="宋体" w:cs="宋体"/>
          <w:b/>
          <w:bCs/>
          <w:spacing w:val="-3"/>
          <w:sz w:val="32"/>
          <w:szCs w:val="32"/>
        </w:rPr>
        <w:t>施工期环境保护措施</w:t>
      </w:r>
    </w:p>
    <w:p w14:paraId="09BE696C">
      <w:pPr>
        <w:spacing w:before="312" w:line="364" w:lineRule="auto"/>
        <w:ind w:left="41" w:right="67" w:firstLine="479"/>
        <w:rPr>
          <w:rFonts w:ascii="宋体" w:hAnsi="宋体" w:eastAsia="宋体" w:cs="宋体"/>
          <w:sz w:val="24"/>
          <w:szCs w:val="24"/>
        </w:rPr>
      </w:pPr>
      <w:r>
        <w:rPr>
          <w:rFonts w:ascii="宋体" w:hAnsi="宋体" w:eastAsia="宋体" w:cs="宋体"/>
          <w:sz w:val="24"/>
          <w:szCs w:val="24"/>
        </w:rPr>
        <w:t>本项目占地面积约</w:t>
      </w:r>
      <w:r>
        <w:rPr>
          <w:rFonts w:ascii="Times New Roman" w:hAnsi="Times New Roman" w:eastAsia="Times New Roman" w:cs="Times New Roman"/>
          <w:sz w:val="24"/>
          <w:szCs w:val="24"/>
        </w:rPr>
        <w:t>8.4872hm</w:t>
      </w:r>
      <w:r>
        <w:rPr>
          <w:rFonts w:ascii="Times New Roman" w:hAnsi="Times New Roman" w:eastAsia="Times New Roman" w:cs="Times New Roman"/>
          <w:position w:val="10"/>
          <w:sz w:val="15"/>
          <w:szCs w:val="15"/>
        </w:rPr>
        <w:t xml:space="preserve">2 </w:t>
      </w:r>
      <w:r>
        <w:rPr>
          <w:rFonts w:ascii="宋体" w:hAnsi="宋体" w:eastAsia="宋体" w:cs="宋体"/>
          <w:sz w:val="24"/>
          <w:szCs w:val="24"/>
        </w:rPr>
        <w:t>，</w:t>
      </w:r>
      <w:r>
        <w:rPr>
          <w:rFonts w:ascii="宋体" w:hAnsi="宋体" w:eastAsia="宋体" w:cs="宋体"/>
          <w:spacing w:val="-1"/>
          <w:sz w:val="24"/>
          <w:szCs w:val="24"/>
        </w:rPr>
        <w:t>施工内容主要包括土建、附属设施的新建、</w:t>
      </w:r>
      <w:r>
        <w:rPr>
          <w:rFonts w:ascii="宋体" w:hAnsi="宋体" w:eastAsia="宋体" w:cs="宋体"/>
          <w:spacing w:val="-3"/>
          <w:sz w:val="24"/>
          <w:szCs w:val="24"/>
        </w:rPr>
        <w:t>设备安装等。施工期间对环境的影响主要是扬尘、废水、施工噪声、建筑</w:t>
      </w:r>
      <w:r>
        <w:rPr>
          <w:rFonts w:ascii="宋体" w:hAnsi="宋体" w:eastAsia="宋体" w:cs="宋体"/>
          <w:spacing w:val="-4"/>
          <w:sz w:val="24"/>
          <w:szCs w:val="24"/>
        </w:rPr>
        <w:t>垃圾及</w:t>
      </w:r>
      <w:r>
        <w:rPr>
          <w:rFonts w:ascii="宋体" w:hAnsi="宋体" w:eastAsia="宋体" w:cs="宋体"/>
          <w:spacing w:val="-6"/>
          <w:sz w:val="24"/>
          <w:szCs w:val="24"/>
        </w:rPr>
        <w:t>生态环境影响等。</w:t>
      </w:r>
    </w:p>
    <w:p w14:paraId="0DA2C230">
      <w:pPr>
        <w:spacing w:before="165"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5.1.1  </w:t>
      </w:r>
      <w:r>
        <w:rPr>
          <w:rFonts w:ascii="宋体" w:hAnsi="宋体" w:eastAsia="宋体" w:cs="宋体"/>
          <w:b/>
          <w:bCs/>
          <w:spacing w:val="-2"/>
          <w:sz w:val="30"/>
          <w:szCs w:val="30"/>
        </w:rPr>
        <w:t>施工期废气防治措施分析</w:t>
      </w:r>
    </w:p>
    <w:p w14:paraId="3F59A1C1">
      <w:pPr>
        <w:pStyle w:val="2"/>
        <w:spacing w:line="257" w:lineRule="auto"/>
      </w:pPr>
    </w:p>
    <w:p w14:paraId="3B6D8D8C">
      <w:pPr>
        <w:spacing w:before="79" w:line="220" w:lineRule="auto"/>
        <w:ind w:left="518"/>
        <w:rPr>
          <w:rFonts w:ascii="宋体" w:hAnsi="宋体" w:eastAsia="宋体" w:cs="宋体"/>
          <w:sz w:val="24"/>
          <w:szCs w:val="24"/>
        </w:rPr>
      </w:pPr>
      <w:r>
        <w:rPr>
          <w:rFonts w:ascii="宋体" w:hAnsi="宋体" w:eastAsia="宋体" w:cs="宋体"/>
          <w:spacing w:val="-2"/>
          <w:sz w:val="24"/>
          <w:szCs w:val="24"/>
        </w:rPr>
        <w:t>施工期大气环境污染主要为：施工扬尘、施工车辆汽车尾气。</w:t>
      </w:r>
    </w:p>
    <w:p w14:paraId="64CAC11F">
      <w:pPr>
        <w:spacing w:before="183" w:line="360" w:lineRule="auto"/>
        <w:ind w:left="42" w:right="66" w:firstLine="476"/>
        <w:rPr>
          <w:rFonts w:ascii="宋体" w:hAnsi="宋体" w:eastAsia="宋体" w:cs="宋体"/>
          <w:sz w:val="24"/>
          <w:szCs w:val="24"/>
        </w:rPr>
      </w:pPr>
      <w:r>
        <w:rPr>
          <w:rFonts w:ascii="宋体" w:hAnsi="宋体" w:eastAsia="宋体" w:cs="宋体"/>
          <w:spacing w:val="-3"/>
          <w:sz w:val="24"/>
          <w:szCs w:val="24"/>
        </w:rPr>
        <w:t>对于汽车尾气排放的污染，要求所有车辆的尾气达标排放，一般</w:t>
      </w:r>
      <w:r>
        <w:rPr>
          <w:rFonts w:ascii="宋体" w:hAnsi="宋体" w:eastAsia="宋体" w:cs="宋体"/>
          <w:spacing w:val="-4"/>
          <w:sz w:val="24"/>
          <w:szCs w:val="24"/>
        </w:rPr>
        <w:t>不会造成太</w:t>
      </w:r>
      <w:r>
        <w:rPr>
          <w:rFonts w:ascii="宋体" w:hAnsi="宋体" w:eastAsia="宋体" w:cs="宋体"/>
          <w:spacing w:val="-6"/>
          <w:sz w:val="24"/>
          <w:szCs w:val="24"/>
        </w:rPr>
        <w:t>大的影响。施工场内扬尘量的大小与天气干燥程度、风速</w:t>
      </w:r>
      <w:r>
        <w:rPr>
          <w:rFonts w:ascii="宋体" w:hAnsi="宋体" w:eastAsia="宋体" w:cs="宋体"/>
          <w:spacing w:val="-7"/>
          <w:sz w:val="24"/>
          <w:szCs w:val="24"/>
        </w:rPr>
        <w:t>大小等诸因素有关； 场</w:t>
      </w:r>
      <w:r>
        <w:rPr>
          <w:rFonts w:ascii="宋体" w:hAnsi="宋体" w:eastAsia="宋体" w:cs="宋体"/>
          <w:spacing w:val="-3"/>
          <w:sz w:val="24"/>
          <w:szCs w:val="24"/>
        </w:rPr>
        <w:t>外扬尘量与道路路况、车辆行驶速度等诸因素有关。评价提出相应的防治措</w:t>
      </w:r>
      <w:r>
        <w:rPr>
          <w:rFonts w:ascii="宋体" w:hAnsi="宋体" w:eastAsia="宋体" w:cs="宋体"/>
          <w:spacing w:val="-4"/>
          <w:sz w:val="24"/>
          <w:szCs w:val="24"/>
        </w:rPr>
        <w:t>施如</w:t>
      </w:r>
      <w:r>
        <w:rPr>
          <w:rFonts w:ascii="宋体" w:hAnsi="宋体" w:eastAsia="宋体" w:cs="宋体"/>
          <w:spacing w:val="-17"/>
          <w:sz w:val="24"/>
          <w:szCs w:val="24"/>
        </w:rPr>
        <w:t>下：</w:t>
      </w:r>
    </w:p>
    <w:p w14:paraId="576C01B3">
      <w:pPr>
        <w:spacing w:before="4" w:line="359" w:lineRule="auto"/>
        <w:ind w:left="37" w:firstLine="480"/>
        <w:rPr>
          <w:rFonts w:ascii="宋体" w:hAnsi="宋体" w:eastAsia="宋体" w:cs="宋体"/>
          <w:sz w:val="24"/>
          <w:szCs w:val="24"/>
        </w:rPr>
      </w:pPr>
      <w:r>
        <w:rPr>
          <w:rFonts w:ascii="宋体" w:hAnsi="宋体" w:eastAsia="宋体" w:cs="宋体"/>
          <w:spacing w:val="-3"/>
          <w:sz w:val="24"/>
          <w:szCs w:val="24"/>
        </w:rPr>
        <w:t>①文明施工，严格管理。散状建材应设置简易材料棚。在天气</w:t>
      </w:r>
      <w:r>
        <w:rPr>
          <w:rFonts w:ascii="宋体" w:hAnsi="宋体" w:eastAsia="宋体" w:cs="宋体"/>
          <w:spacing w:val="-4"/>
          <w:sz w:val="24"/>
          <w:szCs w:val="24"/>
        </w:rPr>
        <w:t>干燥、风速较</w:t>
      </w:r>
      <w:r>
        <w:rPr>
          <w:rFonts w:ascii="宋体" w:hAnsi="宋体" w:eastAsia="宋体" w:cs="宋体"/>
          <w:spacing w:val="-8"/>
          <w:sz w:val="24"/>
          <w:szCs w:val="24"/>
        </w:rPr>
        <w:t>大时，易扬尘物料应采用帆布或物料布覆盖。对有包装的建材应设置材料库堆放，</w:t>
      </w:r>
      <w:r>
        <w:rPr>
          <w:rFonts w:ascii="宋体" w:hAnsi="宋体" w:eastAsia="宋体" w:cs="宋体"/>
          <w:spacing w:val="-3"/>
          <w:sz w:val="24"/>
          <w:szCs w:val="24"/>
        </w:rPr>
        <w:t>避免露天堆放造成环境污染。</w:t>
      </w:r>
    </w:p>
    <w:p w14:paraId="1F1E0099">
      <w:pPr>
        <w:spacing w:line="360" w:lineRule="auto"/>
        <w:ind w:left="50" w:right="67" w:firstLine="466"/>
        <w:rPr>
          <w:rFonts w:ascii="宋体" w:hAnsi="宋体" w:eastAsia="宋体" w:cs="宋体"/>
          <w:sz w:val="24"/>
          <w:szCs w:val="24"/>
        </w:rPr>
      </w:pPr>
      <w:r>
        <w:rPr>
          <w:rFonts w:ascii="宋体" w:hAnsi="宋体" w:eastAsia="宋体" w:cs="宋体"/>
          <w:spacing w:val="-7"/>
          <w:sz w:val="24"/>
          <w:szCs w:val="24"/>
        </w:rPr>
        <w:t>②对于运输水泥、砂石的车辆， 应谨防运输车辆装载过满，并采取遮盖、密</w:t>
      </w:r>
      <w:r>
        <w:rPr>
          <w:rFonts w:ascii="宋体" w:hAnsi="宋体" w:eastAsia="宋体" w:cs="宋体"/>
          <w:spacing w:val="-3"/>
          <w:sz w:val="24"/>
          <w:szCs w:val="24"/>
        </w:rPr>
        <w:t>闭措施，减少其沿途抛洒，并及时清扫散落在路面的</w:t>
      </w:r>
      <w:r>
        <w:rPr>
          <w:rFonts w:ascii="宋体" w:hAnsi="宋体" w:eastAsia="宋体" w:cs="宋体"/>
          <w:spacing w:val="-4"/>
          <w:sz w:val="24"/>
          <w:szCs w:val="24"/>
        </w:rPr>
        <w:t>泥土和灰尘，冲洗轮胎，定时洒水抑尘，减少运输过程中的扬尘。</w:t>
      </w:r>
    </w:p>
    <w:p w14:paraId="05CE84CE">
      <w:pPr>
        <w:spacing w:before="2" w:line="359" w:lineRule="auto"/>
        <w:ind w:left="38" w:right="66" w:firstLine="479"/>
        <w:rPr>
          <w:rFonts w:ascii="宋体" w:hAnsi="宋体" w:eastAsia="宋体" w:cs="宋体"/>
          <w:sz w:val="24"/>
          <w:szCs w:val="24"/>
        </w:rPr>
      </w:pPr>
      <w:r>
        <w:rPr>
          <w:rFonts w:ascii="宋体" w:hAnsi="宋体" w:eastAsia="宋体" w:cs="宋体"/>
          <w:spacing w:val="-5"/>
          <w:sz w:val="24"/>
          <w:szCs w:val="24"/>
        </w:rPr>
        <w:t>③场内道路、运输车辆出入口地面进行硬化</w:t>
      </w:r>
      <w:r>
        <w:rPr>
          <w:rFonts w:ascii="宋体" w:hAnsi="宋体" w:eastAsia="宋体" w:cs="宋体"/>
          <w:spacing w:val="-6"/>
          <w:sz w:val="24"/>
          <w:szCs w:val="24"/>
        </w:rPr>
        <w:t>处理，</w:t>
      </w:r>
      <w:r>
        <w:rPr>
          <w:rFonts w:ascii="宋体" w:hAnsi="宋体" w:eastAsia="宋体" w:cs="宋体"/>
          <w:spacing w:val="-44"/>
          <w:sz w:val="24"/>
          <w:szCs w:val="24"/>
        </w:rPr>
        <w:t xml:space="preserve"> </w:t>
      </w:r>
      <w:r>
        <w:rPr>
          <w:rFonts w:ascii="宋体" w:hAnsi="宋体" w:eastAsia="宋体" w:cs="宋体"/>
          <w:spacing w:val="-6"/>
          <w:sz w:val="24"/>
          <w:szCs w:val="24"/>
        </w:rPr>
        <w:t>并设置相应的车辆冲洗设</w:t>
      </w:r>
      <w:r>
        <w:rPr>
          <w:rFonts w:ascii="宋体" w:hAnsi="宋体" w:eastAsia="宋体" w:cs="宋体"/>
          <w:spacing w:val="-2"/>
          <w:sz w:val="24"/>
          <w:szCs w:val="24"/>
        </w:rPr>
        <w:t>施和排水、泥浆沉淀设施，车辆应冲洗干净后出场。</w:t>
      </w:r>
    </w:p>
    <w:p w14:paraId="181F369D">
      <w:pPr>
        <w:spacing w:before="1" w:line="217" w:lineRule="auto"/>
        <w:ind w:left="517"/>
        <w:rPr>
          <w:rFonts w:ascii="宋体" w:hAnsi="宋体" w:eastAsia="宋体" w:cs="宋体"/>
          <w:sz w:val="24"/>
          <w:szCs w:val="24"/>
        </w:rPr>
      </w:pPr>
      <w:r>
        <w:rPr>
          <w:rFonts w:ascii="宋体" w:hAnsi="宋体" w:eastAsia="宋体" w:cs="宋体"/>
          <w:spacing w:val="-2"/>
          <w:sz w:val="24"/>
          <w:szCs w:val="24"/>
        </w:rPr>
        <w:t>④施工现场要围栏或部分围栏，减少施工扬尘扩散范围。</w:t>
      </w:r>
    </w:p>
    <w:p w14:paraId="1D38AA78">
      <w:pPr>
        <w:spacing w:before="185" w:line="360" w:lineRule="auto"/>
        <w:ind w:left="44" w:right="67" w:firstLine="473"/>
        <w:rPr>
          <w:rFonts w:ascii="宋体" w:hAnsi="宋体" w:eastAsia="宋体" w:cs="宋体"/>
          <w:sz w:val="24"/>
          <w:szCs w:val="24"/>
        </w:rPr>
      </w:pPr>
      <w:r>
        <w:rPr>
          <w:rFonts w:ascii="宋体" w:hAnsi="宋体" w:eastAsia="宋体" w:cs="宋体"/>
          <w:spacing w:val="-3"/>
          <w:sz w:val="24"/>
          <w:szCs w:val="24"/>
        </w:rPr>
        <w:t>⑤运输车辆行驶速度限制在</w:t>
      </w:r>
      <w:r>
        <w:rPr>
          <w:rFonts w:ascii="Times New Roman" w:hAnsi="Times New Roman" w:eastAsia="Times New Roman" w:cs="Times New Roman"/>
          <w:spacing w:val="-3"/>
          <w:sz w:val="24"/>
          <w:szCs w:val="24"/>
        </w:rPr>
        <w:t>20km/h</w:t>
      </w:r>
      <w:r>
        <w:rPr>
          <w:rFonts w:ascii="宋体" w:hAnsi="宋体" w:eastAsia="宋体" w:cs="宋体"/>
          <w:spacing w:val="-3"/>
          <w:sz w:val="24"/>
          <w:szCs w:val="24"/>
        </w:rPr>
        <w:t>以下，既可减少扬尘</w:t>
      </w:r>
      <w:r>
        <w:rPr>
          <w:rFonts w:ascii="宋体" w:hAnsi="宋体" w:eastAsia="宋体" w:cs="宋体"/>
          <w:spacing w:val="-4"/>
          <w:sz w:val="24"/>
          <w:szCs w:val="24"/>
        </w:rPr>
        <w:t>量，又可降低车辆噪</w:t>
      </w:r>
      <w:r>
        <w:rPr>
          <w:rFonts w:ascii="宋体" w:hAnsi="宋体" w:eastAsia="宋体" w:cs="宋体"/>
          <w:spacing w:val="-13"/>
          <w:sz w:val="24"/>
          <w:szCs w:val="24"/>
        </w:rPr>
        <w:t>声。</w:t>
      </w:r>
    </w:p>
    <w:p w14:paraId="3F1D21DE">
      <w:pPr>
        <w:spacing w:before="1" w:line="361" w:lineRule="auto"/>
        <w:ind w:left="40" w:right="65" w:firstLine="480"/>
        <w:jc w:val="both"/>
        <w:rPr>
          <w:rFonts w:ascii="宋体" w:hAnsi="宋体" w:eastAsia="宋体" w:cs="宋体"/>
          <w:sz w:val="24"/>
          <w:szCs w:val="24"/>
        </w:rPr>
      </w:pPr>
      <w:r>
        <w:rPr>
          <w:rFonts w:ascii="宋体" w:hAnsi="宋体" w:eastAsia="宋体" w:cs="宋体"/>
          <w:spacing w:val="4"/>
          <w:sz w:val="24"/>
          <w:szCs w:val="24"/>
        </w:rPr>
        <w:t>本项目施工期针对扬尘污染所采取的防治措施均为建筑工地现场文明施工</w:t>
      </w:r>
      <w:r>
        <w:rPr>
          <w:rFonts w:ascii="宋体" w:hAnsi="宋体" w:eastAsia="宋体" w:cs="宋体"/>
          <w:spacing w:val="-3"/>
          <w:sz w:val="24"/>
          <w:szCs w:val="24"/>
        </w:rPr>
        <w:t>规范中的一些基本措施，在建设单位加强现场管理的前提下，上述措施是可以实</w:t>
      </w:r>
      <w:r>
        <w:rPr>
          <w:rFonts w:ascii="宋体" w:hAnsi="宋体" w:eastAsia="宋体" w:cs="宋体"/>
          <w:spacing w:val="-2"/>
          <w:sz w:val="24"/>
          <w:szCs w:val="24"/>
        </w:rPr>
        <w:t>现的，因此本项目施工期扬尘及施工机械尾气防治措施可行。</w:t>
      </w:r>
    </w:p>
    <w:p w14:paraId="17FD92C5">
      <w:pPr>
        <w:spacing w:before="162"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5.1.2  </w:t>
      </w:r>
      <w:r>
        <w:rPr>
          <w:rFonts w:ascii="宋体" w:hAnsi="宋体" w:eastAsia="宋体" w:cs="宋体"/>
          <w:b/>
          <w:bCs/>
          <w:spacing w:val="-2"/>
          <w:sz w:val="30"/>
          <w:szCs w:val="30"/>
        </w:rPr>
        <w:t>施工期废水防治措施分析</w:t>
      </w:r>
    </w:p>
    <w:p w14:paraId="1A44E494">
      <w:pPr>
        <w:pStyle w:val="2"/>
        <w:spacing w:line="258" w:lineRule="auto"/>
      </w:pPr>
    </w:p>
    <w:p w14:paraId="6A35FC61">
      <w:pPr>
        <w:spacing w:before="79" w:line="220" w:lineRule="auto"/>
        <w:ind w:left="519"/>
        <w:rPr>
          <w:rFonts w:ascii="宋体" w:hAnsi="宋体" w:eastAsia="宋体" w:cs="宋体"/>
          <w:sz w:val="24"/>
          <w:szCs w:val="24"/>
        </w:rPr>
      </w:pPr>
      <w:r>
        <w:rPr>
          <w:rFonts w:ascii="宋体" w:hAnsi="宋体" w:eastAsia="宋体" w:cs="宋体"/>
          <w:spacing w:val="-2"/>
          <w:sz w:val="24"/>
          <w:szCs w:val="24"/>
        </w:rPr>
        <w:t>根据施工废水的不同性质，进行分类收集处</w:t>
      </w:r>
      <w:r>
        <w:rPr>
          <w:rFonts w:ascii="宋体" w:hAnsi="宋体" w:eastAsia="宋体" w:cs="宋体"/>
          <w:spacing w:val="-3"/>
          <w:sz w:val="24"/>
          <w:szCs w:val="24"/>
        </w:rPr>
        <w:t>理。</w:t>
      </w:r>
    </w:p>
    <w:p w14:paraId="252F32F6">
      <w:pPr>
        <w:spacing w:line="220" w:lineRule="auto"/>
        <w:rPr>
          <w:rFonts w:ascii="宋体" w:hAnsi="宋体" w:eastAsia="宋体" w:cs="宋体"/>
          <w:sz w:val="24"/>
          <w:szCs w:val="24"/>
        </w:rPr>
        <w:sectPr>
          <w:headerReference r:id="rId437" w:type="default"/>
          <w:footerReference r:id="rId438" w:type="default"/>
          <w:pgSz w:w="11905" w:h="16840"/>
          <w:pgMar w:top="1168" w:right="1731" w:bottom="1409" w:left="1770" w:header="828" w:footer="1244" w:gutter="0"/>
          <w:cols w:space="720" w:num="1"/>
        </w:sectPr>
      </w:pPr>
    </w:p>
    <w:p w14:paraId="2CF80420">
      <w:pPr>
        <w:pStyle w:val="2"/>
        <w:spacing w:line="306" w:lineRule="auto"/>
      </w:pPr>
    </w:p>
    <w:p w14:paraId="0EA9649C">
      <w:pPr>
        <w:spacing w:before="78" w:line="360" w:lineRule="auto"/>
        <w:ind w:left="41" w:right="85" w:firstLine="477"/>
        <w:rPr>
          <w:rFonts w:ascii="宋体" w:hAnsi="宋体" w:eastAsia="宋体" w:cs="宋体"/>
          <w:sz w:val="24"/>
          <w:szCs w:val="24"/>
        </w:rPr>
      </w:pPr>
      <w:r>
        <w:rPr>
          <w:rFonts w:ascii="宋体" w:hAnsi="宋体" w:eastAsia="宋体" w:cs="宋体"/>
          <w:spacing w:val="-3"/>
          <w:sz w:val="24"/>
          <w:szCs w:val="24"/>
        </w:rPr>
        <w:t>①施工过程中产生的各类作业废水如搅拌机清洗水、车辆的冲洗水</w:t>
      </w:r>
      <w:r>
        <w:rPr>
          <w:rFonts w:ascii="宋体" w:hAnsi="宋体" w:eastAsia="宋体" w:cs="宋体"/>
          <w:spacing w:val="-4"/>
          <w:sz w:val="24"/>
          <w:szCs w:val="24"/>
        </w:rPr>
        <w:t>等。日产</w:t>
      </w:r>
      <w:r>
        <w:rPr>
          <w:rFonts w:ascii="宋体" w:hAnsi="宋体" w:eastAsia="宋体" w:cs="宋体"/>
          <w:spacing w:val="3"/>
          <w:sz w:val="24"/>
          <w:szCs w:val="24"/>
        </w:rPr>
        <w:t>生量较少，主要污染成分为</w:t>
      </w:r>
      <w:r>
        <w:rPr>
          <w:rFonts w:ascii="Times New Roman" w:hAnsi="Times New Roman" w:eastAsia="Times New Roman" w:cs="Times New Roman"/>
          <w:sz w:val="24"/>
          <w:szCs w:val="24"/>
        </w:rPr>
        <w:t>SS</w:t>
      </w:r>
      <w:r>
        <w:rPr>
          <w:rFonts w:ascii="宋体" w:hAnsi="宋体" w:eastAsia="宋体" w:cs="宋体"/>
          <w:spacing w:val="3"/>
          <w:sz w:val="24"/>
          <w:szCs w:val="24"/>
        </w:rPr>
        <w:t>，评价要求在施工场地内设置沉淀池，废</w:t>
      </w:r>
      <w:r>
        <w:rPr>
          <w:rFonts w:ascii="宋体" w:hAnsi="宋体" w:eastAsia="宋体" w:cs="宋体"/>
          <w:spacing w:val="2"/>
          <w:sz w:val="24"/>
          <w:szCs w:val="24"/>
        </w:rPr>
        <w:t>水经沉</w:t>
      </w:r>
      <w:r>
        <w:rPr>
          <w:rFonts w:ascii="宋体" w:hAnsi="宋体" w:eastAsia="宋体" w:cs="宋体"/>
          <w:spacing w:val="-5"/>
          <w:sz w:val="24"/>
          <w:szCs w:val="24"/>
        </w:rPr>
        <w:t>淀后回用于施工建设。</w:t>
      </w:r>
    </w:p>
    <w:p w14:paraId="2F831CCD">
      <w:pPr>
        <w:spacing w:before="5" w:line="359" w:lineRule="auto"/>
        <w:ind w:left="38" w:right="85" w:firstLine="479"/>
        <w:rPr>
          <w:rFonts w:ascii="宋体" w:hAnsi="宋体" w:eastAsia="宋体" w:cs="宋体"/>
          <w:sz w:val="24"/>
          <w:szCs w:val="24"/>
        </w:rPr>
      </w:pPr>
      <w:r>
        <w:rPr>
          <w:rFonts w:ascii="宋体" w:hAnsi="宋体" w:eastAsia="宋体" w:cs="宋体"/>
          <w:spacing w:val="-3"/>
          <w:sz w:val="24"/>
          <w:szCs w:val="24"/>
        </w:rPr>
        <w:t>②施工场地在雨季因大雨径流形成的含泥沙废水，通过在项目施工</w:t>
      </w:r>
      <w:r>
        <w:rPr>
          <w:rFonts w:ascii="宋体" w:hAnsi="宋体" w:eastAsia="宋体" w:cs="宋体"/>
          <w:spacing w:val="-4"/>
          <w:sz w:val="24"/>
          <w:szCs w:val="24"/>
        </w:rPr>
        <w:t>场地内开</w:t>
      </w:r>
      <w:r>
        <w:rPr>
          <w:rFonts w:ascii="宋体" w:hAnsi="宋体" w:eastAsia="宋体" w:cs="宋体"/>
          <w:spacing w:val="-3"/>
          <w:sz w:val="24"/>
          <w:szCs w:val="24"/>
        </w:rPr>
        <w:t>挖临时雨水排水沟，在雨水排水口处设置沉淀池，对场地内的雨水径流进行简易沉淀处理，并在排水口设置细格栅，拦截大的块状物。经沉淀处理后的径流水可</w:t>
      </w:r>
      <w:r>
        <w:rPr>
          <w:rFonts w:ascii="宋体" w:hAnsi="宋体" w:eastAsia="宋体" w:cs="宋体"/>
          <w:spacing w:val="-4"/>
          <w:sz w:val="24"/>
          <w:szCs w:val="24"/>
        </w:rPr>
        <w:t>用于施工场地洒水抑尘。</w:t>
      </w:r>
    </w:p>
    <w:p w14:paraId="697B3899">
      <w:pPr>
        <w:spacing w:before="2" w:line="359" w:lineRule="auto"/>
        <w:ind w:left="42" w:right="85" w:firstLine="475"/>
        <w:rPr>
          <w:rFonts w:ascii="宋体" w:hAnsi="宋体" w:eastAsia="宋体" w:cs="宋体"/>
          <w:sz w:val="24"/>
          <w:szCs w:val="24"/>
        </w:rPr>
      </w:pPr>
      <w:r>
        <w:rPr>
          <w:rFonts w:ascii="宋体" w:hAnsi="宋体" w:eastAsia="宋体" w:cs="宋体"/>
          <w:spacing w:val="-3"/>
          <w:sz w:val="24"/>
          <w:szCs w:val="24"/>
        </w:rPr>
        <w:t>③施工人员生活污水依托附近农户现有设施预处理，用作农家肥，</w:t>
      </w:r>
      <w:r>
        <w:rPr>
          <w:rFonts w:ascii="宋体" w:hAnsi="宋体" w:eastAsia="宋体" w:cs="宋体"/>
          <w:spacing w:val="-4"/>
          <w:sz w:val="24"/>
          <w:szCs w:val="24"/>
        </w:rPr>
        <w:t>无生活污</w:t>
      </w:r>
      <w:r>
        <w:rPr>
          <w:rFonts w:ascii="宋体" w:hAnsi="宋体" w:eastAsia="宋体" w:cs="宋体"/>
          <w:spacing w:val="-9"/>
          <w:sz w:val="24"/>
          <w:szCs w:val="24"/>
        </w:rPr>
        <w:t>水外排。</w:t>
      </w:r>
    </w:p>
    <w:p w14:paraId="7BF2769A">
      <w:pPr>
        <w:spacing w:line="362" w:lineRule="auto"/>
        <w:ind w:left="39" w:right="85" w:firstLine="480"/>
        <w:rPr>
          <w:rFonts w:ascii="宋体" w:hAnsi="宋体" w:eastAsia="宋体" w:cs="宋体"/>
          <w:sz w:val="24"/>
          <w:szCs w:val="24"/>
        </w:rPr>
      </w:pPr>
      <w:r>
        <w:rPr>
          <w:rFonts w:ascii="宋体" w:hAnsi="宋体" w:eastAsia="宋体" w:cs="宋体"/>
          <w:spacing w:val="-3"/>
          <w:sz w:val="24"/>
          <w:szCs w:val="24"/>
        </w:rPr>
        <w:t>本项目施工期废水防治主要为管理措施和工程措施，实施简单</w:t>
      </w:r>
      <w:r>
        <w:rPr>
          <w:rFonts w:ascii="宋体" w:hAnsi="宋体" w:eastAsia="宋体" w:cs="宋体"/>
          <w:spacing w:val="-4"/>
          <w:sz w:val="24"/>
          <w:szCs w:val="24"/>
        </w:rPr>
        <w:t>易行，效果较</w:t>
      </w:r>
      <w:r>
        <w:rPr>
          <w:rFonts w:ascii="宋体" w:hAnsi="宋体" w:eastAsia="宋体" w:cs="宋体"/>
          <w:spacing w:val="-3"/>
          <w:sz w:val="24"/>
          <w:szCs w:val="24"/>
        </w:rPr>
        <w:t>好，施工期污水防治措施可行。</w:t>
      </w:r>
    </w:p>
    <w:p w14:paraId="21EF8952">
      <w:pPr>
        <w:spacing w:before="163"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5.1.3  </w:t>
      </w:r>
      <w:r>
        <w:rPr>
          <w:rFonts w:ascii="宋体" w:hAnsi="宋体" w:eastAsia="宋体" w:cs="宋体"/>
          <w:b/>
          <w:bCs/>
          <w:spacing w:val="-2"/>
          <w:sz w:val="30"/>
          <w:szCs w:val="30"/>
        </w:rPr>
        <w:t>施工期噪声防治措施分析</w:t>
      </w:r>
    </w:p>
    <w:p w14:paraId="3884A224">
      <w:pPr>
        <w:pStyle w:val="2"/>
        <w:spacing w:line="258" w:lineRule="auto"/>
      </w:pPr>
    </w:p>
    <w:p w14:paraId="7ED882E9">
      <w:pPr>
        <w:spacing w:before="78" w:line="360" w:lineRule="auto"/>
        <w:ind w:left="43" w:right="85" w:firstLine="475"/>
        <w:jc w:val="both"/>
        <w:rPr>
          <w:rFonts w:ascii="宋体" w:hAnsi="宋体" w:eastAsia="宋体" w:cs="宋体"/>
          <w:sz w:val="24"/>
          <w:szCs w:val="24"/>
        </w:rPr>
      </w:pPr>
      <w:r>
        <w:rPr>
          <w:rFonts w:ascii="宋体" w:hAnsi="宋体" w:eastAsia="宋体" w:cs="宋体"/>
          <w:spacing w:val="-3"/>
          <w:sz w:val="24"/>
          <w:szCs w:val="24"/>
        </w:rPr>
        <w:t>施工期通过加强对施工设备的管理，合理组织施工、才能尽可能地</w:t>
      </w:r>
      <w:r>
        <w:rPr>
          <w:rFonts w:ascii="宋体" w:hAnsi="宋体" w:eastAsia="宋体" w:cs="宋体"/>
          <w:spacing w:val="-4"/>
          <w:sz w:val="24"/>
          <w:szCs w:val="24"/>
        </w:rPr>
        <w:t>减轻施工</w:t>
      </w:r>
      <w:r>
        <w:rPr>
          <w:rFonts w:ascii="宋体" w:hAnsi="宋体" w:eastAsia="宋体" w:cs="宋体"/>
          <w:spacing w:val="-3"/>
          <w:sz w:val="24"/>
          <w:szCs w:val="24"/>
        </w:rPr>
        <w:t>设备噪声对施工场地的周围环境的影响。为最大限度地降低施工噪声对区</w:t>
      </w:r>
      <w:r>
        <w:rPr>
          <w:rFonts w:ascii="宋体" w:hAnsi="宋体" w:eastAsia="宋体" w:cs="宋体"/>
          <w:spacing w:val="-4"/>
          <w:sz w:val="24"/>
          <w:szCs w:val="24"/>
        </w:rPr>
        <w:t>域的影</w:t>
      </w:r>
      <w:r>
        <w:rPr>
          <w:rFonts w:ascii="宋体" w:hAnsi="宋体" w:eastAsia="宋体" w:cs="宋体"/>
          <w:spacing w:val="-5"/>
          <w:sz w:val="24"/>
          <w:szCs w:val="24"/>
        </w:rPr>
        <w:t>响，施工单位必须采取严格的措施：</w:t>
      </w:r>
    </w:p>
    <w:p w14:paraId="7700F3C7">
      <w:pPr>
        <w:spacing w:before="3" w:line="359" w:lineRule="auto"/>
        <w:ind w:left="39" w:right="85" w:firstLine="479"/>
        <w:rPr>
          <w:rFonts w:ascii="宋体" w:hAnsi="宋体" w:eastAsia="宋体" w:cs="宋体"/>
          <w:sz w:val="24"/>
          <w:szCs w:val="24"/>
        </w:rPr>
      </w:pPr>
      <w:r>
        <w:rPr>
          <w:rFonts w:ascii="宋体" w:hAnsi="宋体" w:eastAsia="宋体" w:cs="宋体"/>
          <w:spacing w:val="-3"/>
          <w:sz w:val="24"/>
          <w:szCs w:val="24"/>
        </w:rPr>
        <w:t>①选用噪声较小的施工设备，同时经常保养设备，使设备维持在最</w:t>
      </w:r>
      <w:r>
        <w:rPr>
          <w:rFonts w:ascii="宋体" w:hAnsi="宋体" w:eastAsia="宋体" w:cs="宋体"/>
          <w:spacing w:val="-4"/>
          <w:sz w:val="24"/>
          <w:szCs w:val="24"/>
        </w:rPr>
        <w:t>低声级状</w:t>
      </w:r>
      <w:r>
        <w:rPr>
          <w:rFonts w:ascii="宋体" w:hAnsi="宋体" w:eastAsia="宋体" w:cs="宋体"/>
          <w:spacing w:val="-3"/>
          <w:sz w:val="24"/>
          <w:szCs w:val="24"/>
        </w:rPr>
        <w:t>态下工作。一切动力机械设备经常检查维护，避免因松动部件的震动而产生很强</w:t>
      </w:r>
      <w:r>
        <w:rPr>
          <w:rFonts w:ascii="宋体" w:hAnsi="宋体" w:eastAsia="宋体" w:cs="宋体"/>
          <w:spacing w:val="-10"/>
          <w:sz w:val="24"/>
          <w:szCs w:val="24"/>
        </w:rPr>
        <w:t>噪声。</w:t>
      </w:r>
    </w:p>
    <w:p w14:paraId="4B2600B1">
      <w:pPr>
        <w:spacing w:before="3" w:line="359" w:lineRule="auto"/>
        <w:ind w:left="42" w:right="85" w:firstLine="475"/>
        <w:rPr>
          <w:rFonts w:ascii="宋体" w:hAnsi="宋体" w:eastAsia="宋体" w:cs="宋体"/>
          <w:sz w:val="24"/>
          <w:szCs w:val="24"/>
        </w:rPr>
      </w:pPr>
      <w:r>
        <w:rPr>
          <w:rFonts w:ascii="宋体" w:hAnsi="宋体" w:eastAsia="宋体" w:cs="宋体"/>
          <w:spacing w:val="-3"/>
          <w:sz w:val="24"/>
          <w:szCs w:val="24"/>
        </w:rPr>
        <w:t>②合理布局高噪声设备，将设备尽量置于场地中央或远离周围农户</w:t>
      </w:r>
      <w:r>
        <w:rPr>
          <w:rFonts w:ascii="宋体" w:hAnsi="宋体" w:eastAsia="宋体" w:cs="宋体"/>
          <w:spacing w:val="-4"/>
          <w:sz w:val="24"/>
          <w:szCs w:val="24"/>
        </w:rPr>
        <w:t>，避免施</w:t>
      </w:r>
      <w:r>
        <w:rPr>
          <w:rFonts w:ascii="宋体" w:hAnsi="宋体" w:eastAsia="宋体" w:cs="宋体"/>
          <w:spacing w:val="-5"/>
          <w:sz w:val="24"/>
          <w:szCs w:val="24"/>
        </w:rPr>
        <w:t>工噪声对农户的影响。</w:t>
      </w:r>
    </w:p>
    <w:p w14:paraId="07ABB206">
      <w:pPr>
        <w:spacing w:line="360" w:lineRule="auto"/>
        <w:ind w:left="51" w:right="84" w:firstLine="465"/>
        <w:rPr>
          <w:rFonts w:ascii="宋体" w:hAnsi="宋体" w:eastAsia="宋体" w:cs="宋体"/>
          <w:sz w:val="24"/>
          <w:szCs w:val="24"/>
        </w:rPr>
      </w:pPr>
      <w:r>
        <w:rPr>
          <w:rFonts w:ascii="宋体" w:hAnsi="宋体" w:eastAsia="宋体" w:cs="宋体"/>
          <w:spacing w:val="4"/>
          <w:sz w:val="24"/>
          <w:szCs w:val="24"/>
        </w:rPr>
        <w:t>③合理安排施工进度和作业时间，避免高噪声设备同时作业，夜间（晚</w:t>
      </w:r>
      <w:r>
        <w:rPr>
          <w:rFonts w:ascii="Times New Roman" w:hAnsi="Times New Roman" w:eastAsia="Times New Roman" w:cs="Times New Roman"/>
          <w:spacing w:val="4"/>
          <w:sz w:val="24"/>
          <w:szCs w:val="24"/>
        </w:rPr>
        <w:t>22</w:t>
      </w:r>
      <w:r>
        <w:rPr>
          <w:rFonts w:ascii="宋体" w:hAnsi="宋体" w:eastAsia="宋体" w:cs="宋体"/>
          <w:spacing w:val="-4"/>
          <w:sz w:val="24"/>
          <w:szCs w:val="24"/>
        </w:rPr>
        <w:t>点到次日早晨</w:t>
      </w:r>
      <w:r>
        <w:rPr>
          <w:rFonts w:ascii="Times New Roman" w:hAnsi="Times New Roman" w:eastAsia="Times New Roman" w:cs="Times New Roman"/>
          <w:spacing w:val="-4"/>
          <w:sz w:val="24"/>
          <w:szCs w:val="24"/>
        </w:rPr>
        <w:t>6</w:t>
      </w:r>
      <w:r>
        <w:rPr>
          <w:rFonts w:ascii="宋体" w:hAnsi="宋体" w:eastAsia="宋体" w:cs="宋体"/>
          <w:spacing w:val="-4"/>
          <w:sz w:val="24"/>
          <w:szCs w:val="24"/>
        </w:rPr>
        <w:t>点）不施工。</w:t>
      </w:r>
    </w:p>
    <w:p w14:paraId="2E303707">
      <w:pPr>
        <w:spacing w:line="360" w:lineRule="auto"/>
        <w:ind w:left="519" w:hanging="2"/>
        <w:rPr>
          <w:rFonts w:ascii="宋体" w:hAnsi="宋体" w:eastAsia="宋体" w:cs="宋体"/>
          <w:sz w:val="24"/>
          <w:szCs w:val="24"/>
        </w:rPr>
      </w:pPr>
      <w:r>
        <w:rPr>
          <w:rFonts w:ascii="宋体" w:hAnsi="宋体" w:eastAsia="宋体" w:cs="宋体"/>
          <w:spacing w:val="-7"/>
          <w:sz w:val="24"/>
          <w:szCs w:val="24"/>
        </w:rPr>
        <w:t>④作业时在高噪声设备周围设置屏蔽（高度不低于</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8m</w:t>
      </w:r>
      <w:r>
        <w:rPr>
          <w:rFonts w:ascii="宋体" w:hAnsi="宋体" w:eastAsia="宋体" w:cs="宋体"/>
          <w:spacing w:val="-8"/>
          <w:sz w:val="24"/>
          <w:szCs w:val="24"/>
        </w:rPr>
        <w:t>）或置于施工工棚内。</w:t>
      </w:r>
      <w:r>
        <w:rPr>
          <w:rFonts w:ascii="宋体" w:hAnsi="宋体" w:eastAsia="宋体" w:cs="宋体"/>
          <w:spacing w:val="4"/>
          <w:sz w:val="24"/>
          <w:szCs w:val="24"/>
        </w:rPr>
        <w:t>本项目施工期针对噪声污染所提出的防治措施均为建筑工地现场文明施工</w:t>
      </w:r>
    </w:p>
    <w:p w14:paraId="5DC7BBB6">
      <w:pPr>
        <w:spacing w:before="2" w:line="361" w:lineRule="auto"/>
        <w:ind w:left="40" w:right="85"/>
        <w:rPr>
          <w:rFonts w:ascii="宋体" w:hAnsi="宋体" w:eastAsia="宋体" w:cs="宋体"/>
          <w:sz w:val="24"/>
          <w:szCs w:val="24"/>
        </w:rPr>
      </w:pPr>
      <w:r>
        <w:rPr>
          <w:rFonts w:ascii="宋体" w:hAnsi="宋体" w:eastAsia="宋体" w:cs="宋体"/>
          <w:spacing w:val="-3"/>
          <w:sz w:val="24"/>
          <w:szCs w:val="24"/>
        </w:rPr>
        <w:t>规范中的一些基本措施，在建设单位加强现场管理的前提下，上述措施是可以实现的，本项目施工期噪声防治措施可行。</w:t>
      </w:r>
    </w:p>
    <w:p w14:paraId="00531818">
      <w:pPr>
        <w:spacing w:before="164"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5.1.4  </w:t>
      </w:r>
      <w:r>
        <w:rPr>
          <w:rFonts w:ascii="宋体" w:hAnsi="宋体" w:eastAsia="宋体" w:cs="宋体"/>
          <w:b/>
          <w:bCs/>
          <w:spacing w:val="-2"/>
          <w:sz w:val="30"/>
          <w:szCs w:val="30"/>
        </w:rPr>
        <w:t>施工期固废防治措施分析</w:t>
      </w:r>
    </w:p>
    <w:p w14:paraId="46F6653E">
      <w:pPr>
        <w:pStyle w:val="2"/>
        <w:spacing w:line="257" w:lineRule="auto"/>
      </w:pPr>
    </w:p>
    <w:p w14:paraId="213CA703">
      <w:pPr>
        <w:spacing w:before="78" w:line="220" w:lineRule="auto"/>
        <w:ind w:left="518"/>
        <w:rPr>
          <w:rFonts w:ascii="宋体" w:hAnsi="宋体" w:eastAsia="宋体" w:cs="宋体"/>
          <w:sz w:val="24"/>
          <w:szCs w:val="24"/>
        </w:rPr>
      </w:pPr>
      <w:r>
        <w:rPr>
          <w:rFonts w:ascii="宋体" w:hAnsi="宋体" w:eastAsia="宋体" w:cs="宋体"/>
          <w:spacing w:val="-3"/>
          <w:sz w:val="24"/>
          <w:szCs w:val="24"/>
        </w:rPr>
        <w:t>施工期的固体废物主要包括建筑垃圾和施工人员的生活垃圾。根据《中华人</w:t>
      </w:r>
    </w:p>
    <w:p w14:paraId="4580569B">
      <w:pPr>
        <w:spacing w:line="220" w:lineRule="auto"/>
        <w:rPr>
          <w:rFonts w:ascii="宋体" w:hAnsi="宋体" w:eastAsia="宋体" w:cs="宋体"/>
          <w:sz w:val="24"/>
          <w:szCs w:val="24"/>
        </w:rPr>
        <w:sectPr>
          <w:headerReference r:id="rId439" w:type="default"/>
          <w:footerReference r:id="rId440" w:type="default"/>
          <w:pgSz w:w="11905" w:h="16840"/>
          <w:pgMar w:top="1168" w:right="1712" w:bottom="1409" w:left="1770" w:header="828" w:footer="1244" w:gutter="0"/>
          <w:cols w:space="720" w:num="1"/>
        </w:sectPr>
      </w:pPr>
    </w:p>
    <w:p w14:paraId="4AEAF3AF">
      <w:pPr>
        <w:pStyle w:val="2"/>
        <w:spacing w:line="305" w:lineRule="auto"/>
      </w:pPr>
    </w:p>
    <w:p w14:paraId="6A3A31E6">
      <w:pPr>
        <w:spacing w:before="78" w:line="220" w:lineRule="auto"/>
        <w:ind w:left="62"/>
        <w:rPr>
          <w:rFonts w:ascii="宋体" w:hAnsi="宋体" w:eastAsia="宋体" w:cs="宋体"/>
          <w:sz w:val="24"/>
          <w:szCs w:val="24"/>
        </w:rPr>
      </w:pPr>
      <w:r>
        <w:rPr>
          <w:rFonts w:ascii="宋体" w:hAnsi="宋体" w:eastAsia="宋体" w:cs="宋体"/>
          <w:spacing w:val="-11"/>
          <w:sz w:val="24"/>
          <w:szCs w:val="24"/>
        </w:rPr>
        <w:t>民共和国固体废物污染环境防治法》规定，必须对这些固废妥善</w:t>
      </w:r>
      <w:r>
        <w:rPr>
          <w:rFonts w:ascii="宋体" w:hAnsi="宋体" w:eastAsia="宋体" w:cs="宋体"/>
          <w:spacing w:val="-12"/>
          <w:sz w:val="24"/>
          <w:szCs w:val="24"/>
        </w:rPr>
        <w:t>收集、合理处置。</w:t>
      </w:r>
    </w:p>
    <w:p w14:paraId="7CA5E2F8">
      <w:pPr>
        <w:spacing w:before="183" w:line="217" w:lineRule="auto"/>
        <w:ind w:right="2"/>
        <w:jc w:val="right"/>
        <w:rPr>
          <w:rFonts w:ascii="宋体" w:hAnsi="宋体" w:eastAsia="宋体" w:cs="宋体"/>
          <w:sz w:val="24"/>
          <w:szCs w:val="24"/>
        </w:rPr>
      </w:pPr>
      <w:r>
        <w:rPr>
          <w:rFonts w:ascii="宋体" w:hAnsi="宋体" w:eastAsia="宋体" w:cs="宋体"/>
          <w:spacing w:val="-1"/>
          <w:sz w:val="24"/>
          <w:szCs w:val="24"/>
        </w:rPr>
        <w:t>①生活垃圾：施工场地内设垃圾收集点，收集后由当地环卫部门清运处理。</w:t>
      </w:r>
    </w:p>
    <w:p w14:paraId="40CC58DB">
      <w:pPr>
        <w:spacing w:before="185" w:line="360" w:lineRule="auto"/>
        <w:ind w:left="40" w:right="86" w:firstLine="477"/>
        <w:rPr>
          <w:rFonts w:ascii="宋体" w:hAnsi="宋体" w:eastAsia="宋体" w:cs="宋体"/>
          <w:sz w:val="24"/>
          <w:szCs w:val="24"/>
        </w:rPr>
      </w:pPr>
      <w:r>
        <w:rPr>
          <w:rFonts w:ascii="宋体" w:hAnsi="宋体" w:eastAsia="宋体" w:cs="宋体"/>
          <w:spacing w:val="-3"/>
          <w:sz w:val="24"/>
          <w:szCs w:val="24"/>
        </w:rPr>
        <w:t>②建筑垃圾：本项目在建设过程中产生的建筑垃圾如废金属、废钢</w:t>
      </w:r>
      <w:r>
        <w:rPr>
          <w:rFonts w:ascii="宋体" w:hAnsi="宋体" w:eastAsia="宋体" w:cs="宋体"/>
          <w:spacing w:val="-4"/>
          <w:sz w:val="24"/>
          <w:szCs w:val="24"/>
        </w:rPr>
        <w:t>筋、废铁</w:t>
      </w:r>
      <w:r>
        <w:rPr>
          <w:rFonts w:ascii="宋体" w:hAnsi="宋体" w:eastAsia="宋体" w:cs="宋体"/>
          <w:spacing w:val="-6"/>
          <w:sz w:val="24"/>
          <w:szCs w:val="24"/>
        </w:rPr>
        <w:t>丝、废砖块、废木料等应尽量回收利用， 其他不能回收利用</w:t>
      </w:r>
      <w:r>
        <w:rPr>
          <w:rFonts w:ascii="宋体" w:hAnsi="宋体" w:eastAsia="宋体" w:cs="宋体"/>
          <w:spacing w:val="-7"/>
          <w:sz w:val="24"/>
          <w:szCs w:val="24"/>
        </w:rPr>
        <w:t>的建筑垃圾交由专业</w:t>
      </w:r>
      <w:r>
        <w:rPr>
          <w:rFonts w:ascii="宋体" w:hAnsi="宋体" w:eastAsia="宋体" w:cs="宋体"/>
          <w:spacing w:val="-2"/>
          <w:sz w:val="24"/>
          <w:szCs w:val="24"/>
        </w:rPr>
        <w:t>土石方渣土清运公司清运至当地政府有关行政管理部门指定地点堆放。</w:t>
      </w:r>
    </w:p>
    <w:p w14:paraId="7BDA8F2D">
      <w:pPr>
        <w:spacing w:line="361" w:lineRule="auto"/>
        <w:ind w:left="40" w:right="85" w:firstLine="480"/>
        <w:jc w:val="both"/>
        <w:rPr>
          <w:rFonts w:ascii="宋体" w:hAnsi="宋体" w:eastAsia="宋体" w:cs="宋体"/>
          <w:sz w:val="24"/>
          <w:szCs w:val="24"/>
        </w:rPr>
      </w:pPr>
      <w:r>
        <w:rPr>
          <w:rFonts w:ascii="宋体" w:hAnsi="宋体" w:eastAsia="宋体" w:cs="宋体"/>
          <w:spacing w:val="4"/>
          <w:sz w:val="24"/>
          <w:szCs w:val="24"/>
        </w:rPr>
        <w:t>本项目施工期针对固体废物所采取的防治措施均为建筑工地现场文明施工</w:t>
      </w:r>
      <w:r>
        <w:rPr>
          <w:rFonts w:ascii="宋体" w:hAnsi="宋体" w:eastAsia="宋体" w:cs="宋体"/>
          <w:spacing w:val="-3"/>
          <w:sz w:val="24"/>
          <w:szCs w:val="24"/>
        </w:rPr>
        <w:t>规范中的一些基本要求，在建设单位加强现场管理的前提下，上述措施是可以实</w:t>
      </w:r>
      <w:r>
        <w:rPr>
          <w:rFonts w:ascii="宋体" w:hAnsi="宋体" w:eastAsia="宋体" w:cs="宋体"/>
          <w:spacing w:val="-2"/>
          <w:sz w:val="24"/>
          <w:szCs w:val="24"/>
        </w:rPr>
        <w:t>现的，因此本项目施工期固体废物污染防治措施可行，经济合理。</w:t>
      </w:r>
    </w:p>
    <w:p w14:paraId="2D73881E">
      <w:pPr>
        <w:spacing w:before="164"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5.1.5  </w:t>
      </w:r>
      <w:r>
        <w:rPr>
          <w:rFonts w:ascii="宋体" w:hAnsi="宋体" w:eastAsia="宋体" w:cs="宋体"/>
          <w:b/>
          <w:bCs/>
          <w:spacing w:val="-2"/>
          <w:sz w:val="30"/>
          <w:szCs w:val="30"/>
        </w:rPr>
        <w:t>施工期生态环境防治措施分析</w:t>
      </w:r>
    </w:p>
    <w:p w14:paraId="6F1B7C78">
      <w:pPr>
        <w:pStyle w:val="2"/>
        <w:spacing w:line="305" w:lineRule="auto"/>
      </w:pPr>
    </w:p>
    <w:p w14:paraId="7613E9FE">
      <w:pPr>
        <w:spacing w:before="88" w:line="226"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5.1.5.1 </w:t>
      </w:r>
      <w:r>
        <w:rPr>
          <w:rFonts w:ascii="宋体" w:hAnsi="宋体" w:eastAsia="宋体" w:cs="宋体"/>
          <w:b/>
          <w:bCs/>
          <w:spacing w:val="5"/>
          <w:sz w:val="27"/>
          <w:szCs w:val="27"/>
        </w:rPr>
        <w:t>生态减缓补偿措施</w:t>
      </w:r>
    </w:p>
    <w:p w14:paraId="6C0614C9">
      <w:pPr>
        <w:spacing w:before="236" w:line="219" w:lineRule="auto"/>
        <w:ind w:left="519"/>
        <w:rPr>
          <w:rFonts w:ascii="宋体" w:hAnsi="宋体" w:eastAsia="宋体" w:cs="宋体"/>
          <w:sz w:val="24"/>
          <w:szCs w:val="24"/>
        </w:rPr>
      </w:pPr>
      <w:r>
        <w:rPr>
          <w:rFonts w:ascii="宋体" w:hAnsi="宋体" w:eastAsia="宋体" w:cs="宋体"/>
          <w:spacing w:val="-3"/>
          <w:sz w:val="24"/>
          <w:szCs w:val="24"/>
        </w:rPr>
        <w:t>针对本项目的实际情况，采取以下生态减缓补偿措施：</w:t>
      </w:r>
    </w:p>
    <w:p w14:paraId="6F6040C0">
      <w:pPr>
        <w:spacing w:before="184" w:line="217" w:lineRule="auto"/>
        <w:ind w:left="518"/>
        <w:rPr>
          <w:rFonts w:ascii="宋体" w:hAnsi="宋体" w:eastAsia="宋体" w:cs="宋体"/>
          <w:sz w:val="24"/>
          <w:szCs w:val="24"/>
        </w:rPr>
      </w:pPr>
      <w:r>
        <w:rPr>
          <w:rFonts w:ascii="宋体" w:hAnsi="宋体" w:eastAsia="宋体" w:cs="宋体"/>
          <w:spacing w:val="-1"/>
          <w:sz w:val="24"/>
          <w:szCs w:val="24"/>
        </w:rPr>
        <w:t>①严格控制施工线路，施工范围，避免对施工区</w:t>
      </w:r>
      <w:r>
        <w:rPr>
          <w:rFonts w:ascii="宋体" w:hAnsi="宋体" w:eastAsia="宋体" w:cs="宋体"/>
          <w:spacing w:val="-2"/>
          <w:sz w:val="24"/>
          <w:szCs w:val="24"/>
        </w:rPr>
        <w:t>外的生态环境造成破坏。</w:t>
      </w:r>
    </w:p>
    <w:p w14:paraId="31F29151">
      <w:pPr>
        <w:spacing w:before="186" w:line="217" w:lineRule="auto"/>
        <w:ind w:left="517"/>
        <w:rPr>
          <w:rFonts w:ascii="宋体" w:hAnsi="宋体" w:eastAsia="宋体" w:cs="宋体"/>
          <w:sz w:val="24"/>
          <w:szCs w:val="24"/>
        </w:rPr>
      </w:pPr>
      <w:r>
        <w:rPr>
          <w:rFonts w:ascii="宋体" w:hAnsi="宋体" w:eastAsia="宋体" w:cs="宋体"/>
          <w:spacing w:val="-1"/>
          <w:sz w:val="24"/>
          <w:szCs w:val="24"/>
        </w:rPr>
        <w:t>②建设所需物料堆放在场区，可减少对土地的占用</w:t>
      </w:r>
      <w:r>
        <w:rPr>
          <w:rFonts w:ascii="宋体" w:hAnsi="宋体" w:eastAsia="宋体" w:cs="宋体"/>
          <w:spacing w:val="-2"/>
          <w:sz w:val="24"/>
          <w:szCs w:val="24"/>
        </w:rPr>
        <w:t>，减少对生态的影响。</w:t>
      </w:r>
    </w:p>
    <w:p w14:paraId="5F092110">
      <w:pPr>
        <w:spacing w:before="186" w:line="361" w:lineRule="auto"/>
        <w:ind w:left="46" w:right="86" w:firstLine="470"/>
        <w:rPr>
          <w:rFonts w:ascii="宋体" w:hAnsi="宋体" w:eastAsia="宋体" w:cs="宋体"/>
          <w:sz w:val="24"/>
          <w:szCs w:val="24"/>
        </w:rPr>
      </w:pPr>
      <w:r>
        <w:rPr>
          <w:rFonts w:ascii="宋体" w:hAnsi="宋体" w:eastAsia="宋体" w:cs="宋体"/>
          <w:spacing w:val="-3"/>
          <w:sz w:val="24"/>
          <w:szCs w:val="24"/>
        </w:rPr>
        <w:t>③禁止建筑垃圾乱堆乱放，占压施工场地以外土地。在加快施工进</w:t>
      </w:r>
      <w:r>
        <w:rPr>
          <w:rFonts w:ascii="宋体" w:hAnsi="宋体" w:eastAsia="宋体" w:cs="宋体"/>
          <w:spacing w:val="-4"/>
          <w:sz w:val="24"/>
          <w:szCs w:val="24"/>
        </w:rPr>
        <w:t>度的前提</w:t>
      </w:r>
      <w:r>
        <w:rPr>
          <w:rFonts w:ascii="宋体" w:hAnsi="宋体" w:eastAsia="宋体" w:cs="宋体"/>
          <w:spacing w:val="-3"/>
          <w:sz w:val="24"/>
          <w:szCs w:val="24"/>
        </w:rPr>
        <w:t>下，施工完毕后进行覆土绿化，破坏的植被进行及时恢复，不会</w:t>
      </w:r>
      <w:r>
        <w:rPr>
          <w:rFonts w:ascii="宋体" w:hAnsi="宋体" w:eastAsia="宋体" w:cs="宋体"/>
          <w:spacing w:val="-4"/>
          <w:sz w:val="24"/>
          <w:szCs w:val="24"/>
        </w:rPr>
        <w:t>对生态环境造成</w:t>
      </w:r>
      <w:r>
        <w:rPr>
          <w:rFonts w:ascii="宋体" w:hAnsi="宋体" w:eastAsia="宋体" w:cs="宋体"/>
          <w:spacing w:val="-9"/>
          <w:sz w:val="24"/>
          <w:szCs w:val="24"/>
        </w:rPr>
        <w:t>明显影响。</w:t>
      </w:r>
    </w:p>
    <w:p w14:paraId="43878950">
      <w:pPr>
        <w:spacing w:before="52" w:line="226" w:lineRule="auto"/>
        <w:ind w:left="39"/>
        <w:rPr>
          <w:rFonts w:ascii="宋体" w:hAnsi="宋体" w:eastAsia="宋体" w:cs="宋体"/>
          <w:sz w:val="27"/>
          <w:szCs w:val="27"/>
        </w:rPr>
      </w:pPr>
      <w:r>
        <w:rPr>
          <w:rFonts w:ascii="Times New Roman" w:hAnsi="Times New Roman" w:eastAsia="Times New Roman" w:cs="Times New Roman"/>
          <w:b/>
          <w:bCs/>
          <w:spacing w:val="4"/>
          <w:sz w:val="27"/>
          <w:szCs w:val="27"/>
        </w:rPr>
        <w:t xml:space="preserve">5.1.5.2 </w:t>
      </w:r>
      <w:r>
        <w:rPr>
          <w:rFonts w:ascii="宋体" w:hAnsi="宋体" w:eastAsia="宋体" w:cs="宋体"/>
          <w:b/>
          <w:bCs/>
          <w:spacing w:val="4"/>
          <w:sz w:val="27"/>
          <w:szCs w:val="27"/>
        </w:rPr>
        <w:t>水土保持措施</w:t>
      </w:r>
    </w:p>
    <w:p w14:paraId="3FE87A30">
      <w:pPr>
        <w:spacing w:before="237" w:line="217" w:lineRule="auto"/>
        <w:ind w:left="518"/>
        <w:rPr>
          <w:rFonts w:ascii="宋体" w:hAnsi="宋体" w:eastAsia="宋体" w:cs="宋体"/>
          <w:sz w:val="24"/>
          <w:szCs w:val="24"/>
        </w:rPr>
      </w:pPr>
      <w:r>
        <w:rPr>
          <w:rFonts w:ascii="宋体" w:hAnsi="宋体" w:eastAsia="宋体" w:cs="宋体"/>
          <w:spacing w:val="-2"/>
          <w:sz w:val="24"/>
          <w:szCs w:val="24"/>
        </w:rPr>
        <w:t>①设置导流系统</w:t>
      </w:r>
    </w:p>
    <w:p w14:paraId="6AFF1621">
      <w:pPr>
        <w:spacing w:before="185" w:line="360" w:lineRule="auto"/>
        <w:ind w:left="42" w:right="86" w:firstLine="476"/>
        <w:rPr>
          <w:rFonts w:ascii="宋体" w:hAnsi="宋体" w:eastAsia="宋体" w:cs="宋体"/>
          <w:sz w:val="24"/>
          <w:szCs w:val="24"/>
        </w:rPr>
      </w:pPr>
      <w:r>
        <w:rPr>
          <w:rFonts w:ascii="宋体" w:hAnsi="宋体" w:eastAsia="宋体" w:cs="宋体"/>
          <w:spacing w:val="-3"/>
          <w:sz w:val="24"/>
          <w:szCs w:val="24"/>
        </w:rPr>
        <w:t>及时做好排水导流工作，减轻水流对裸露地表的冲刷，在施工中应</w:t>
      </w:r>
      <w:r>
        <w:rPr>
          <w:rFonts w:ascii="宋体" w:hAnsi="宋体" w:eastAsia="宋体" w:cs="宋体"/>
          <w:spacing w:val="-4"/>
          <w:sz w:val="24"/>
          <w:szCs w:val="24"/>
        </w:rPr>
        <w:t>实施排水</w:t>
      </w:r>
      <w:r>
        <w:rPr>
          <w:rFonts w:ascii="宋体" w:hAnsi="宋体" w:eastAsia="宋体" w:cs="宋体"/>
          <w:spacing w:val="-2"/>
          <w:sz w:val="24"/>
          <w:szCs w:val="24"/>
        </w:rPr>
        <w:t>工程，以预防地面径流直接冲刷施工浮土，导致水土流失加剧。</w:t>
      </w:r>
    </w:p>
    <w:p w14:paraId="4A388C44">
      <w:pPr>
        <w:spacing w:before="1" w:line="217" w:lineRule="auto"/>
        <w:ind w:left="517"/>
        <w:rPr>
          <w:rFonts w:ascii="宋体" w:hAnsi="宋体" w:eastAsia="宋体" w:cs="宋体"/>
          <w:sz w:val="24"/>
          <w:szCs w:val="24"/>
        </w:rPr>
      </w:pPr>
      <w:r>
        <w:rPr>
          <w:rFonts w:ascii="宋体" w:hAnsi="宋体" w:eastAsia="宋体" w:cs="宋体"/>
          <w:spacing w:val="-1"/>
          <w:sz w:val="24"/>
          <w:szCs w:val="24"/>
        </w:rPr>
        <w:t>②施工时间选择</w:t>
      </w:r>
    </w:p>
    <w:p w14:paraId="37FF0540">
      <w:pPr>
        <w:spacing w:before="185" w:line="360" w:lineRule="auto"/>
        <w:ind w:left="40" w:right="86" w:firstLine="480"/>
        <w:rPr>
          <w:rFonts w:ascii="宋体" w:hAnsi="宋体" w:eastAsia="宋体" w:cs="宋体"/>
          <w:sz w:val="24"/>
          <w:szCs w:val="24"/>
        </w:rPr>
      </w:pPr>
      <w:r>
        <w:rPr>
          <w:rFonts w:ascii="宋体" w:hAnsi="宋体" w:eastAsia="宋体" w:cs="宋体"/>
          <w:spacing w:val="-3"/>
          <w:sz w:val="24"/>
          <w:szCs w:val="24"/>
        </w:rPr>
        <w:t>本项目在建设施工期间有大面积的裸露地表，容易形成水土流</w:t>
      </w:r>
      <w:r>
        <w:rPr>
          <w:rFonts w:ascii="宋体" w:hAnsi="宋体" w:eastAsia="宋体" w:cs="宋体"/>
          <w:spacing w:val="-4"/>
          <w:sz w:val="24"/>
          <w:szCs w:val="24"/>
        </w:rPr>
        <w:t>失面。项目应</w:t>
      </w:r>
      <w:r>
        <w:rPr>
          <w:rFonts w:ascii="宋体" w:hAnsi="宋体" w:eastAsia="宋体" w:cs="宋体"/>
          <w:spacing w:val="-3"/>
          <w:sz w:val="24"/>
          <w:szCs w:val="24"/>
        </w:rPr>
        <w:t>合理安排施工，尽量将土石方开挖期避开大规模的降雨天气，并尽量缩短挖方时</w:t>
      </w:r>
      <w:r>
        <w:rPr>
          <w:rFonts w:ascii="宋体" w:hAnsi="宋体" w:eastAsia="宋体" w:cs="宋体"/>
          <w:spacing w:val="-11"/>
          <w:sz w:val="24"/>
          <w:szCs w:val="24"/>
        </w:rPr>
        <w:t>间，尽量在雨季到来之前完成挖方工程。若遇雨季，应对水土流失进行重点防护。</w:t>
      </w:r>
    </w:p>
    <w:p w14:paraId="417F55E8">
      <w:pPr>
        <w:spacing w:before="1" w:line="217" w:lineRule="auto"/>
        <w:ind w:left="517"/>
        <w:rPr>
          <w:rFonts w:ascii="宋体" w:hAnsi="宋体" w:eastAsia="宋体" w:cs="宋体"/>
          <w:sz w:val="24"/>
          <w:szCs w:val="24"/>
        </w:rPr>
      </w:pPr>
      <w:r>
        <w:rPr>
          <w:rFonts w:ascii="宋体" w:hAnsi="宋体" w:eastAsia="宋体" w:cs="宋体"/>
          <w:spacing w:val="-1"/>
          <w:sz w:val="24"/>
          <w:szCs w:val="24"/>
        </w:rPr>
        <w:t>③做好土石方平衡</w:t>
      </w:r>
    </w:p>
    <w:p w14:paraId="66AD77BA">
      <w:pPr>
        <w:spacing w:before="185" w:line="360" w:lineRule="auto"/>
        <w:ind w:left="38" w:firstLine="484"/>
        <w:rPr>
          <w:rFonts w:ascii="宋体" w:hAnsi="宋体" w:eastAsia="宋体" w:cs="宋体"/>
          <w:sz w:val="24"/>
          <w:szCs w:val="24"/>
        </w:rPr>
      </w:pPr>
      <w:r>
        <w:rPr>
          <w:rFonts w:ascii="宋体" w:hAnsi="宋体" w:eastAsia="宋体" w:cs="宋体"/>
          <w:spacing w:val="-1"/>
          <w:sz w:val="24"/>
          <w:szCs w:val="24"/>
        </w:rPr>
        <w:t>项目施工场地挖方、填方应尽量平衡，剥离土石方就地消化为回填土石方。对开挖的土壤分层堆放，分层回填，以保护植被生长</w:t>
      </w:r>
      <w:r>
        <w:rPr>
          <w:rFonts w:ascii="宋体" w:hAnsi="宋体" w:eastAsia="宋体" w:cs="宋体"/>
          <w:spacing w:val="-2"/>
          <w:sz w:val="24"/>
          <w:szCs w:val="24"/>
        </w:rPr>
        <w:t>层，恢复土壤生产力。</w:t>
      </w:r>
    </w:p>
    <w:p w14:paraId="7CE6CD76">
      <w:pPr>
        <w:spacing w:line="218" w:lineRule="auto"/>
        <w:ind w:left="518"/>
        <w:rPr>
          <w:rFonts w:ascii="宋体" w:hAnsi="宋体" w:eastAsia="宋体" w:cs="宋体"/>
          <w:sz w:val="24"/>
          <w:szCs w:val="24"/>
        </w:rPr>
      </w:pPr>
      <w:r>
        <w:rPr>
          <w:rFonts w:ascii="宋体" w:hAnsi="宋体" w:eastAsia="宋体" w:cs="宋体"/>
          <w:spacing w:val="-3"/>
          <w:sz w:val="24"/>
          <w:szCs w:val="24"/>
        </w:rPr>
        <w:t>评价认为在工程施工阶段采取上述防治措施后，可有效防止施工期</w:t>
      </w:r>
      <w:r>
        <w:rPr>
          <w:rFonts w:ascii="宋体" w:hAnsi="宋体" w:eastAsia="宋体" w:cs="宋体"/>
          <w:spacing w:val="-4"/>
          <w:sz w:val="24"/>
          <w:szCs w:val="24"/>
        </w:rPr>
        <w:t>生态环境</w:t>
      </w:r>
    </w:p>
    <w:p w14:paraId="1F633568">
      <w:pPr>
        <w:spacing w:line="218" w:lineRule="auto"/>
        <w:rPr>
          <w:rFonts w:ascii="宋体" w:hAnsi="宋体" w:eastAsia="宋体" w:cs="宋体"/>
          <w:sz w:val="24"/>
          <w:szCs w:val="24"/>
        </w:rPr>
        <w:sectPr>
          <w:headerReference r:id="rId441" w:type="default"/>
          <w:footerReference r:id="rId442" w:type="default"/>
          <w:pgSz w:w="11905" w:h="16840"/>
          <w:pgMar w:top="1168" w:right="1711" w:bottom="1409" w:left="1770" w:header="828" w:footer="1244" w:gutter="0"/>
          <w:cols w:space="720" w:num="1"/>
        </w:sectPr>
      </w:pPr>
    </w:p>
    <w:p w14:paraId="1358267C">
      <w:pPr>
        <w:pStyle w:val="2"/>
        <w:spacing w:line="307" w:lineRule="auto"/>
      </w:pPr>
    </w:p>
    <w:p w14:paraId="21E06BCA">
      <w:pPr>
        <w:spacing w:before="78" w:line="362" w:lineRule="auto"/>
        <w:ind w:left="43" w:right="65" w:firstLine="15"/>
        <w:rPr>
          <w:rFonts w:ascii="宋体" w:hAnsi="宋体" w:eastAsia="宋体" w:cs="宋体"/>
          <w:sz w:val="24"/>
          <w:szCs w:val="24"/>
        </w:rPr>
      </w:pPr>
      <w:r>
        <w:rPr>
          <w:rFonts w:ascii="宋体" w:hAnsi="宋体" w:eastAsia="宋体" w:cs="宋体"/>
          <w:spacing w:val="-7"/>
          <w:sz w:val="24"/>
          <w:szCs w:val="24"/>
        </w:rPr>
        <w:t>的恶化，将施工期对生态环境的影响降至最低。污染防治措施有效， 技术经济可</w:t>
      </w:r>
      <w:r>
        <w:rPr>
          <w:rFonts w:ascii="宋体" w:hAnsi="宋体" w:eastAsia="宋体" w:cs="宋体"/>
          <w:spacing w:val="-12"/>
          <w:sz w:val="24"/>
          <w:szCs w:val="24"/>
        </w:rPr>
        <w:t>行。</w:t>
      </w:r>
    </w:p>
    <w:p w14:paraId="6603A7D0">
      <w:pPr>
        <w:spacing w:before="151" w:line="220" w:lineRule="auto"/>
        <w:ind w:left="40"/>
        <w:outlineLvl w:val="1"/>
        <w:rPr>
          <w:rFonts w:ascii="宋体" w:hAnsi="宋体" w:eastAsia="宋体" w:cs="宋体"/>
          <w:sz w:val="32"/>
          <w:szCs w:val="32"/>
        </w:rPr>
      </w:pPr>
      <w:bookmarkStart w:id="47" w:name="bookmark30"/>
      <w:bookmarkEnd w:id="47"/>
      <w:r>
        <w:rPr>
          <w:rFonts w:ascii="Times New Roman" w:hAnsi="Times New Roman" w:eastAsia="Times New Roman" w:cs="Times New Roman"/>
          <w:b/>
          <w:bCs/>
          <w:spacing w:val="-3"/>
          <w:sz w:val="32"/>
          <w:szCs w:val="32"/>
        </w:rPr>
        <w:t xml:space="preserve">5.2  </w:t>
      </w:r>
      <w:r>
        <w:rPr>
          <w:rFonts w:ascii="宋体" w:hAnsi="宋体" w:eastAsia="宋体" w:cs="宋体"/>
          <w:b/>
          <w:bCs/>
          <w:spacing w:val="-3"/>
          <w:sz w:val="32"/>
          <w:szCs w:val="32"/>
        </w:rPr>
        <w:t>运营期环境保护措施</w:t>
      </w:r>
    </w:p>
    <w:p w14:paraId="5940F423">
      <w:pPr>
        <w:pStyle w:val="2"/>
        <w:spacing w:line="274" w:lineRule="auto"/>
      </w:pPr>
    </w:p>
    <w:p w14:paraId="2898B146">
      <w:pPr>
        <w:spacing w:before="98"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5.2.1  </w:t>
      </w:r>
      <w:r>
        <w:rPr>
          <w:rFonts w:ascii="宋体" w:hAnsi="宋体" w:eastAsia="宋体" w:cs="宋体"/>
          <w:b/>
          <w:bCs/>
          <w:spacing w:val="-2"/>
          <w:sz w:val="30"/>
          <w:szCs w:val="30"/>
        </w:rPr>
        <w:t>废气处理措施及可行性论证</w:t>
      </w:r>
    </w:p>
    <w:p w14:paraId="3C18065F">
      <w:pPr>
        <w:pStyle w:val="2"/>
        <w:spacing w:line="258" w:lineRule="auto"/>
      </w:pPr>
    </w:p>
    <w:p w14:paraId="27DAED05">
      <w:pPr>
        <w:spacing w:before="78" w:line="361" w:lineRule="auto"/>
        <w:ind w:left="39" w:right="65" w:firstLine="480"/>
        <w:jc w:val="both"/>
        <w:rPr>
          <w:rFonts w:ascii="宋体" w:hAnsi="宋体" w:eastAsia="宋体" w:cs="宋体"/>
          <w:sz w:val="24"/>
          <w:szCs w:val="24"/>
        </w:rPr>
      </w:pPr>
      <w:r>
        <w:rPr>
          <w:rFonts w:ascii="宋体" w:hAnsi="宋体" w:eastAsia="宋体" w:cs="宋体"/>
          <w:spacing w:val="-7"/>
          <w:sz w:val="24"/>
          <w:szCs w:val="24"/>
        </w:rPr>
        <w:t>本项目废气主要为恶臭气体、沼气燃烧废气、备用发电机废气等， 其中以恶</w:t>
      </w:r>
      <w:r>
        <w:rPr>
          <w:rFonts w:ascii="宋体" w:hAnsi="宋体" w:eastAsia="宋体" w:cs="宋体"/>
          <w:spacing w:val="-6"/>
          <w:sz w:val="24"/>
          <w:szCs w:val="24"/>
        </w:rPr>
        <w:t xml:space="preserve">臭气体为特征污染源。养猪场恶臭气体来源于多个方面， </w:t>
      </w:r>
      <w:r>
        <w:rPr>
          <w:rFonts w:ascii="宋体" w:hAnsi="宋体" w:eastAsia="宋体" w:cs="宋体"/>
          <w:spacing w:val="-7"/>
          <w:sz w:val="24"/>
          <w:szCs w:val="24"/>
        </w:rPr>
        <w:t>如猪呼吸、猪皮肤、饲</w:t>
      </w:r>
      <w:r>
        <w:rPr>
          <w:rFonts w:ascii="宋体" w:hAnsi="宋体" w:eastAsia="宋体" w:cs="宋体"/>
          <w:spacing w:val="-6"/>
          <w:sz w:val="24"/>
          <w:szCs w:val="24"/>
        </w:rPr>
        <w:t>料、病死猪、猪粪尿等。本项目恶臭主要产生于猪舍、粪污</w:t>
      </w:r>
      <w:r>
        <w:rPr>
          <w:rFonts w:ascii="宋体" w:hAnsi="宋体" w:eastAsia="宋体" w:cs="宋体"/>
          <w:spacing w:val="-7"/>
          <w:sz w:val="24"/>
          <w:szCs w:val="24"/>
        </w:rPr>
        <w:t>处理区， 控制恶臭产</w:t>
      </w:r>
      <w:r>
        <w:rPr>
          <w:rFonts w:ascii="宋体" w:hAnsi="宋体" w:eastAsia="宋体" w:cs="宋体"/>
          <w:spacing w:val="-2"/>
          <w:sz w:val="24"/>
          <w:szCs w:val="24"/>
        </w:rPr>
        <w:t>生的源头和扩散渠道是解决恶臭污染的主要途径。</w:t>
      </w:r>
    </w:p>
    <w:p w14:paraId="2349CF8F">
      <w:pPr>
        <w:spacing w:before="51" w:line="226"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5.2.1.1 </w:t>
      </w:r>
      <w:r>
        <w:rPr>
          <w:rFonts w:ascii="宋体" w:hAnsi="宋体" w:eastAsia="宋体" w:cs="宋体"/>
          <w:b/>
          <w:bCs/>
          <w:spacing w:val="5"/>
          <w:sz w:val="27"/>
          <w:szCs w:val="27"/>
        </w:rPr>
        <w:t>猪舍恶臭处理措施</w:t>
      </w:r>
    </w:p>
    <w:p w14:paraId="19D0EE25">
      <w:pPr>
        <w:spacing w:before="235" w:line="220" w:lineRule="auto"/>
        <w:ind w:left="528"/>
        <w:rPr>
          <w:rFonts w:ascii="宋体" w:hAnsi="宋体" w:eastAsia="宋体" w:cs="宋体"/>
          <w:sz w:val="24"/>
          <w:szCs w:val="24"/>
        </w:rPr>
      </w:pPr>
      <w:r>
        <w:rPr>
          <w:rFonts w:ascii="宋体" w:hAnsi="宋体" w:eastAsia="宋体" w:cs="宋体"/>
          <w:b/>
          <w:bCs/>
          <w:spacing w:val="-7"/>
          <w:sz w:val="24"/>
          <w:szCs w:val="24"/>
        </w:rPr>
        <w:t>（</w:t>
      </w:r>
      <w:r>
        <w:rPr>
          <w:rFonts w:ascii="Times New Roman" w:hAnsi="Times New Roman" w:eastAsia="Times New Roman" w:cs="Times New Roman"/>
          <w:b/>
          <w:bCs/>
          <w:spacing w:val="-7"/>
          <w:sz w:val="24"/>
          <w:szCs w:val="24"/>
        </w:rPr>
        <w:t>1</w:t>
      </w:r>
      <w:r>
        <w:rPr>
          <w:rFonts w:ascii="宋体" w:hAnsi="宋体" w:eastAsia="宋体" w:cs="宋体"/>
          <w:b/>
          <w:bCs/>
          <w:spacing w:val="-7"/>
          <w:sz w:val="24"/>
          <w:szCs w:val="24"/>
        </w:rPr>
        <w:t>）源头控制</w:t>
      </w:r>
    </w:p>
    <w:p w14:paraId="5443198F">
      <w:pPr>
        <w:spacing w:before="183" w:line="217" w:lineRule="auto"/>
        <w:ind w:left="520"/>
        <w:rPr>
          <w:rFonts w:ascii="宋体" w:hAnsi="宋体" w:eastAsia="宋体" w:cs="宋体"/>
          <w:sz w:val="24"/>
          <w:szCs w:val="24"/>
        </w:rPr>
      </w:pPr>
      <w:r>
        <w:rPr>
          <w:rFonts w:ascii="宋体" w:hAnsi="宋体" w:eastAsia="宋体" w:cs="宋体"/>
          <w:b/>
          <w:bCs/>
          <w:spacing w:val="-4"/>
          <w:sz w:val="24"/>
          <w:szCs w:val="24"/>
        </w:rPr>
        <w:t>①改进饲料</w:t>
      </w:r>
    </w:p>
    <w:p w14:paraId="3D8F80B0">
      <w:pPr>
        <w:spacing w:before="185" w:line="220" w:lineRule="auto"/>
        <w:ind w:left="511"/>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、提高猪对饲料的消化和利用率</w:t>
      </w:r>
    </w:p>
    <w:p w14:paraId="4DB9273E">
      <w:pPr>
        <w:spacing w:before="183" w:line="360" w:lineRule="auto"/>
        <w:ind w:left="39" w:right="65" w:firstLine="479"/>
        <w:rPr>
          <w:rFonts w:ascii="宋体" w:hAnsi="宋体" w:eastAsia="宋体" w:cs="宋体"/>
          <w:sz w:val="24"/>
          <w:szCs w:val="24"/>
        </w:rPr>
      </w:pPr>
      <w:r>
        <w:rPr>
          <w:rFonts w:ascii="宋体" w:hAnsi="宋体" w:eastAsia="宋体" w:cs="宋体"/>
          <w:spacing w:val="-3"/>
          <w:sz w:val="24"/>
          <w:szCs w:val="24"/>
        </w:rPr>
        <w:t>饲料中各种营养物质不完全吸收是圈舍恶臭和有害气体产生的主</w:t>
      </w:r>
      <w:r>
        <w:rPr>
          <w:rFonts w:ascii="宋体" w:hAnsi="宋体" w:eastAsia="宋体" w:cs="宋体"/>
          <w:spacing w:val="-4"/>
          <w:sz w:val="24"/>
          <w:szCs w:val="24"/>
        </w:rPr>
        <w:t>要原因。提</w:t>
      </w:r>
      <w:r>
        <w:rPr>
          <w:rFonts w:ascii="宋体" w:hAnsi="宋体" w:eastAsia="宋体" w:cs="宋体"/>
          <w:spacing w:val="-3"/>
          <w:sz w:val="24"/>
          <w:szCs w:val="24"/>
        </w:rPr>
        <w:t>高饲料营养物质消化率，尤其是提高饲料中氮和磷的利用率，降低粪便中氮和磷</w:t>
      </w:r>
      <w:r>
        <w:rPr>
          <w:rFonts w:ascii="宋体" w:hAnsi="宋体" w:eastAsia="宋体" w:cs="宋体"/>
          <w:spacing w:val="-6"/>
          <w:sz w:val="24"/>
          <w:szCs w:val="24"/>
        </w:rPr>
        <w:t xml:space="preserve">的排出，是解决养殖场恶臭的关键所在。具体的做法为： </w:t>
      </w:r>
      <w:r>
        <w:rPr>
          <w:rFonts w:ascii="宋体" w:hAnsi="宋体" w:eastAsia="宋体" w:cs="宋体"/>
          <w:spacing w:val="-7"/>
          <w:sz w:val="24"/>
          <w:szCs w:val="24"/>
        </w:rPr>
        <w:t>提高原料质量、改进饲</w:t>
      </w:r>
      <w:r>
        <w:rPr>
          <w:rFonts w:ascii="宋体" w:hAnsi="宋体" w:eastAsia="宋体" w:cs="宋体"/>
          <w:spacing w:val="-3"/>
          <w:sz w:val="24"/>
          <w:szCs w:val="24"/>
        </w:rPr>
        <w:t>料加工工艺、加入生物活性物质。</w:t>
      </w:r>
    </w:p>
    <w:p w14:paraId="536AC31B">
      <w:pPr>
        <w:spacing w:before="1" w:line="218" w:lineRule="auto"/>
        <w:ind w:left="514"/>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2"/>
          <w:sz w:val="24"/>
          <w:szCs w:val="24"/>
        </w:rPr>
        <w:t>、科学设计饲料配方</w:t>
      </w:r>
    </w:p>
    <w:p w14:paraId="7D8CCC01">
      <w:pPr>
        <w:spacing w:before="183" w:line="360" w:lineRule="auto"/>
        <w:ind w:left="40" w:right="64" w:firstLine="479"/>
        <w:rPr>
          <w:rFonts w:ascii="宋体" w:hAnsi="宋体" w:eastAsia="宋体" w:cs="宋体"/>
          <w:sz w:val="24"/>
          <w:szCs w:val="24"/>
        </w:rPr>
      </w:pPr>
      <w:r>
        <w:rPr>
          <w:rFonts w:ascii="宋体" w:hAnsi="宋体" w:eastAsia="宋体" w:cs="宋体"/>
          <w:spacing w:val="4"/>
          <w:sz w:val="24"/>
          <w:szCs w:val="24"/>
        </w:rPr>
        <w:t>科学设计饲料配方既可以弥补因原料成分变异或不能确定所用原料养分利</w:t>
      </w:r>
      <w:r>
        <w:rPr>
          <w:rFonts w:ascii="宋体" w:hAnsi="宋体" w:eastAsia="宋体" w:cs="宋体"/>
          <w:spacing w:val="-3"/>
          <w:sz w:val="24"/>
          <w:szCs w:val="24"/>
        </w:rPr>
        <w:t>用率对饲喂效果的影响，又可以节约不合理的饲料成本，最主要的是可以创造环</w:t>
      </w:r>
      <w:r>
        <w:rPr>
          <w:rFonts w:ascii="宋体" w:hAnsi="宋体" w:eastAsia="宋体" w:cs="宋体"/>
          <w:spacing w:val="-2"/>
          <w:sz w:val="24"/>
          <w:szCs w:val="24"/>
        </w:rPr>
        <w:t>境效益。具体做法为：降低粮食粗蛋白含量，提倡理想氨基酸模式。</w:t>
      </w:r>
    </w:p>
    <w:p w14:paraId="28798965">
      <w:pPr>
        <w:spacing w:before="1" w:line="218" w:lineRule="auto"/>
        <w:ind w:left="518"/>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、饲料中添加环保添加剂及微生态制剂</w:t>
      </w:r>
    </w:p>
    <w:p w14:paraId="6B9BA6EC">
      <w:pPr>
        <w:spacing w:before="181" w:line="353" w:lineRule="auto"/>
        <w:ind w:left="37" w:firstLine="483"/>
        <w:rPr>
          <w:rFonts w:ascii="宋体" w:hAnsi="宋体" w:eastAsia="宋体" w:cs="宋体"/>
          <w:sz w:val="24"/>
          <w:szCs w:val="24"/>
        </w:rPr>
      </w:pPr>
      <w:r>
        <w:rPr>
          <w:rFonts w:ascii="宋体" w:hAnsi="宋体" w:eastAsia="宋体" w:cs="宋体"/>
          <w:spacing w:val="-3"/>
          <w:sz w:val="24"/>
          <w:szCs w:val="24"/>
        </w:rPr>
        <w:t>益生素、活菌制剂、微生物制剂等都是常见的较为先进的环</w:t>
      </w:r>
      <w:r>
        <w:rPr>
          <w:rFonts w:ascii="宋体" w:hAnsi="宋体" w:eastAsia="宋体" w:cs="宋体"/>
          <w:spacing w:val="-4"/>
          <w:sz w:val="24"/>
          <w:szCs w:val="24"/>
        </w:rPr>
        <w:t>保添加剂和生态</w:t>
      </w:r>
      <w:r>
        <w:rPr>
          <w:rFonts w:ascii="宋体" w:hAnsi="宋体" w:eastAsia="宋体" w:cs="宋体"/>
          <w:spacing w:val="-3"/>
          <w:sz w:val="24"/>
          <w:szCs w:val="24"/>
        </w:rPr>
        <w:t>制品。益生素是一种新型的可改善动物生长和饲料效率及控制环境污染的绿色饲</w:t>
      </w:r>
      <w:r>
        <w:rPr>
          <w:rFonts w:ascii="宋体" w:hAnsi="宋体" w:eastAsia="宋体" w:cs="宋体"/>
          <w:spacing w:val="-11"/>
          <w:sz w:val="24"/>
          <w:szCs w:val="24"/>
        </w:rPr>
        <w:t>料添加剂。活菌制剂可降低粪臭，防止幼畜下痢和提高其生产力。利用生物方法，</w:t>
      </w:r>
      <w:r>
        <w:rPr>
          <w:rFonts w:ascii="宋体" w:hAnsi="宋体" w:eastAsia="宋体" w:cs="宋体"/>
          <w:spacing w:val="-3"/>
          <w:sz w:val="24"/>
          <w:szCs w:val="24"/>
        </w:rPr>
        <w:t>将有效微生物菌剂加入饲料中，可以促进猪只生长及降低粪便的臭味。将“亚罗</w:t>
      </w:r>
      <w:r>
        <w:rPr>
          <w:rFonts w:ascii="宋体" w:hAnsi="宋体" w:eastAsia="宋体" w:cs="宋体"/>
          <w:spacing w:val="1"/>
          <w:sz w:val="24"/>
          <w:szCs w:val="24"/>
        </w:rPr>
        <w:t>康菌”的微生物制剂，直接添加到饲料中，可将猪体内的</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7"/>
          <w:position w:val="-2"/>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CH</w:t>
      </w:r>
      <w:r>
        <w:rPr>
          <w:rFonts w:ascii="Times New Roman" w:hAnsi="Times New Roman" w:eastAsia="Times New Roman" w:cs="Times New Roman"/>
          <w:position w:val="-2"/>
          <w:sz w:val="15"/>
          <w:szCs w:val="15"/>
        </w:rPr>
        <w:t>4</w:t>
      </w:r>
      <w:r>
        <w:rPr>
          <w:rFonts w:ascii="Times New Roman" w:hAnsi="Times New Roman" w:eastAsia="Times New Roman" w:cs="Times New Roman"/>
          <w:spacing w:val="-22"/>
          <w:position w:val="-2"/>
          <w:sz w:val="15"/>
          <w:szCs w:val="15"/>
        </w:rPr>
        <w:t xml:space="preserve"> </w:t>
      </w:r>
      <w:r>
        <w:rPr>
          <w:rFonts w:ascii="宋体" w:hAnsi="宋体" w:eastAsia="宋体" w:cs="宋体"/>
          <w:sz w:val="24"/>
          <w:szCs w:val="24"/>
        </w:rPr>
        <w:t>等转</w:t>
      </w:r>
      <w:r>
        <w:rPr>
          <w:rFonts w:ascii="宋体" w:hAnsi="宋体" w:eastAsia="宋体" w:cs="宋体"/>
          <w:spacing w:val="-3"/>
          <w:sz w:val="24"/>
          <w:szCs w:val="24"/>
        </w:rPr>
        <w:t>化为可供畜体吸收的化合态氮和其他物质，可使排泄物中的营养成分和有害成分</w:t>
      </w:r>
      <w:r>
        <w:rPr>
          <w:rFonts w:ascii="宋体" w:hAnsi="宋体" w:eastAsia="宋体" w:cs="宋体"/>
          <w:spacing w:val="-1"/>
          <w:sz w:val="24"/>
          <w:szCs w:val="24"/>
        </w:rPr>
        <w:t>都明显降低，从而提高饲料消化利用率，并减少臭气的产生。但值得注意的</w:t>
      </w:r>
      <w:r>
        <w:rPr>
          <w:rFonts w:ascii="宋体" w:hAnsi="宋体" w:eastAsia="宋体" w:cs="宋体"/>
          <w:spacing w:val="-2"/>
          <w:sz w:val="24"/>
          <w:szCs w:val="24"/>
        </w:rPr>
        <w:t>是：</w:t>
      </w:r>
    </w:p>
    <w:p w14:paraId="478329B3">
      <w:pPr>
        <w:spacing w:line="353" w:lineRule="auto"/>
        <w:rPr>
          <w:rFonts w:ascii="宋体" w:hAnsi="宋体" w:eastAsia="宋体" w:cs="宋体"/>
          <w:sz w:val="24"/>
          <w:szCs w:val="24"/>
        </w:rPr>
        <w:sectPr>
          <w:headerReference r:id="rId443" w:type="default"/>
          <w:footerReference r:id="rId444" w:type="default"/>
          <w:pgSz w:w="11905" w:h="16840"/>
          <w:pgMar w:top="1168" w:right="1732" w:bottom="1409" w:left="1770" w:header="828" w:footer="1244" w:gutter="0"/>
          <w:cols w:space="720" w:num="1"/>
        </w:sectPr>
      </w:pPr>
    </w:p>
    <w:p w14:paraId="5B3FCE3B">
      <w:pPr>
        <w:pStyle w:val="2"/>
        <w:spacing w:line="306" w:lineRule="auto"/>
      </w:pPr>
    </w:p>
    <w:p w14:paraId="53BBEA3F">
      <w:pPr>
        <w:spacing w:before="78" w:line="360" w:lineRule="auto"/>
        <w:ind w:left="40"/>
        <w:jc w:val="both"/>
        <w:rPr>
          <w:rFonts w:ascii="宋体" w:hAnsi="宋体" w:eastAsia="宋体" w:cs="宋体"/>
          <w:sz w:val="24"/>
          <w:szCs w:val="24"/>
        </w:rPr>
      </w:pPr>
      <w:r>
        <w:rPr>
          <w:rFonts w:ascii="宋体" w:hAnsi="宋体" w:eastAsia="宋体" w:cs="宋体"/>
          <w:spacing w:val="-6"/>
          <w:sz w:val="24"/>
          <w:szCs w:val="24"/>
        </w:rPr>
        <w:t>使用添加剂时，应选择微生物、低聚糖等无公害饲料添加剂，</w:t>
      </w:r>
      <w:r>
        <w:rPr>
          <w:rFonts w:ascii="宋体" w:hAnsi="宋体" w:eastAsia="宋体" w:cs="宋体"/>
          <w:spacing w:val="-7"/>
          <w:sz w:val="24"/>
          <w:szCs w:val="24"/>
        </w:rPr>
        <w:t xml:space="preserve"> 以保证畜产品安全</w:t>
      </w:r>
      <w:r>
        <w:rPr>
          <w:rFonts w:ascii="宋体" w:hAnsi="宋体" w:eastAsia="宋体" w:cs="宋体"/>
          <w:spacing w:val="-6"/>
          <w:sz w:val="24"/>
          <w:szCs w:val="24"/>
        </w:rPr>
        <w:t>和无公害。另外， 分阶段饲喂，即用不同养分组成的日粮来</w:t>
      </w:r>
      <w:r>
        <w:rPr>
          <w:rFonts w:ascii="宋体" w:hAnsi="宋体" w:eastAsia="宋体" w:cs="宋体"/>
          <w:spacing w:val="-7"/>
          <w:sz w:val="24"/>
          <w:szCs w:val="24"/>
        </w:rPr>
        <w:t>饲喂不同生长发育阶</w:t>
      </w:r>
      <w:r>
        <w:rPr>
          <w:rFonts w:ascii="宋体" w:hAnsi="宋体" w:eastAsia="宋体" w:cs="宋体"/>
          <w:spacing w:val="-1"/>
          <w:sz w:val="24"/>
          <w:szCs w:val="24"/>
        </w:rPr>
        <w:t>段的猪只，使日粮养分更接近猪只的需要，可避免养分的浪费和对环境的污染。</w:t>
      </w:r>
    </w:p>
    <w:p w14:paraId="45639C09">
      <w:pPr>
        <w:spacing w:line="217" w:lineRule="auto"/>
        <w:ind w:left="519"/>
        <w:rPr>
          <w:rFonts w:ascii="宋体" w:hAnsi="宋体" w:eastAsia="宋体" w:cs="宋体"/>
          <w:sz w:val="24"/>
          <w:szCs w:val="24"/>
        </w:rPr>
      </w:pPr>
      <w:r>
        <w:rPr>
          <w:rFonts w:ascii="宋体" w:hAnsi="宋体" w:eastAsia="宋体" w:cs="宋体"/>
          <w:b/>
          <w:bCs/>
          <w:spacing w:val="-3"/>
          <w:sz w:val="24"/>
          <w:szCs w:val="24"/>
        </w:rPr>
        <w:t>②加强猪舍管理</w:t>
      </w:r>
    </w:p>
    <w:p w14:paraId="3BCFCB35">
      <w:pPr>
        <w:spacing w:before="185" w:line="360" w:lineRule="auto"/>
        <w:ind w:left="45" w:right="83" w:firstLine="477"/>
        <w:rPr>
          <w:rFonts w:ascii="宋体" w:hAnsi="宋体" w:eastAsia="宋体" w:cs="宋体"/>
          <w:sz w:val="24"/>
          <w:szCs w:val="24"/>
        </w:rPr>
      </w:pPr>
      <w:r>
        <w:rPr>
          <w:rFonts w:ascii="宋体" w:hAnsi="宋体" w:eastAsia="宋体" w:cs="宋体"/>
          <w:spacing w:val="-3"/>
          <w:sz w:val="24"/>
          <w:szCs w:val="24"/>
        </w:rPr>
        <w:t>建设全封闭式猪舍，猪舍进风口一端设置水帘，出风口一</w:t>
      </w:r>
      <w:r>
        <w:rPr>
          <w:rFonts w:ascii="宋体" w:hAnsi="宋体" w:eastAsia="宋体" w:cs="宋体"/>
          <w:spacing w:val="-4"/>
          <w:sz w:val="24"/>
          <w:szCs w:val="24"/>
        </w:rPr>
        <w:t>端设置通风机，加</w:t>
      </w:r>
      <w:r>
        <w:rPr>
          <w:rFonts w:ascii="宋体" w:hAnsi="宋体" w:eastAsia="宋体" w:cs="宋体"/>
          <w:spacing w:val="-7"/>
          <w:sz w:val="24"/>
          <w:szCs w:val="24"/>
        </w:rPr>
        <w:t>强猪舍内通风。</w:t>
      </w:r>
    </w:p>
    <w:p w14:paraId="16E1CF4D">
      <w:pPr>
        <w:spacing w:before="6" w:line="359" w:lineRule="auto"/>
        <w:ind w:left="27" w:right="83" w:firstLine="493"/>
        <w:jc w:val="both"/>
        <w:rPr>
          <w:rFonts w:ascii="宋体" w:hAnsi="宋体" w:eastAsia="宋体" w:cs="宋体"/>
          <w:sz w:val="24"/>
          <w:szCs w:val="24"/>
        </w:rPr>
      </w:pPr>
      <w:r>
        <w:rPr>
          <w:rFonts w:ascii="宋体" w:hAnsi="宋体" w:eastAsia="宋体" w:cs="宋体"/>
          <w:spacing w:val="-3"/>
          <w:sz w:val="24"/>
          <w:szCs w:val="24"/>
        </w:rPr>
        <w:t>本项目定时向猪舍内喷洒生物除臭剂，以减少恶臭的散发，并</w:t>
      </w:r>
      <w:r>
        <w:rPr>
          <w:rFonts w:ascii="宋体" w:hAnsi="宋体" w:eastAsia="宋体" w:cs="宋体"/>
          <w:spacing w:val="-4"/>
          <w:sz w:val="24"/>
          <w:szCs w:val="24"/>
        </w:rPr>
        <w:t>且每天多次喷</w:t>
      </w:r>
      <w:r>
        <w:rPr>
          <w:rFonts w:ascii="宋体" w:hAnsi="宋体" w:eastAsia="宋体" w:cs="宋体"/>
          <w:spacing w:val="4"/>
          <w:sz w:val="24"/>
          <w:szCs w:val="24"/>
        </w:rPr>
        <w:t>洒除臭剂（复合微生物菌</w:t>
      </w:r>
      <w:r>
        <w:rPr>
          <w:rFonts w:ascii="宋体" w:hAnsi="宋体" w:eastAsia="宋体" w:cs="宋体"/>
          <w:spacing w:val="6"/>
          <w:sz w:val="24"/>
          <w:szCs w:val="24"/>
        </w:rPr>
        <w:t>），</w:t>
      </w:r>
      <w:r>
        <w:rPr>
          <w:rFonts w:ascii="宋体" w:hAnsi="宋体" w:eastAsia="宋体" w:cs="宋体"/>
          <w:spacing w:val="4"/>
          <w:sz w:val="24"/>
          <w:szCs w:val="24"/>
        </w:rPr>
        <w:t>以减少恶臭的产生。根据《现代化农业》（</w:t>
      </w:r>
      <w:r>
        <w:rPr>
          <w:rFonts w:ascii="Times New Roman" w:hAnsi="Times New Roman" w:eastAsia="Times New Roman" w:cs="Times New Roman"/>
          <w:spacing w:val="4"/>
          <w:sz w:val="24"/>
          <w:szCs w:val="24"/>
        </w:rPr>
        <w:t>2011</w:t>
      </w:r>
      <w:r>
        <w:rPr>
          <w:rFonts w:ascii="宋体" w:hAnsi="宋体" w:eastAsia="宋体" w:cs="宋体"/>
          <w:spacing w:val="1"/>
          <w:sz w:val="24"/>
          <w:szCs w:val="24"/>
        </w:rPr>
        <w:t>年第</w:t>
      </w:r>
      <w:r>
        <w:rPr>
          <w:rFonts w:ascii="Times New Roman" w:hAnsi="Times New Roman" w:eastAsia="Times New Roman" w:cs="Times New Roman"/>
          <w:spacing w:val="1"/>
          <w:sz w:val="24"/>
          <w:szCs w:val="24"/>
        </w:rPr>
        <w:t>6</w:t>
      </w:r>
      <w:r>
        <w:rPr>
          <w:rFonts w:ascii="宋体" w:hAnsi="宋体" w:eastAsia="宋体" w:cs="宋体"/>
          <w:spacing w:val="1"/>
          <w:sz w:val="24"/>
          <w:szCs w:val="24"/>
        </w:rPr>
        <w:t>期）“微生物除臭剂研究进展”（赵晓锋，隋文志）的文</w:t>
      </w:r>
      <w:r>
        <w:rPr>
          <w:rFonts w:ascii="宋体" w:hAnsi="宋体" w:eastAsia="宋体" w:cs="宋体"/>
          <w:sz w:val="24"/>
          <w:szCs w:val="24"/>
        </w:rPr>
        <w:t>献资料，经国家</w:t>
      </w:r>
      <w:r>
        <w:rPr>
          <w:rFonts w:ascii="宋体" w:hAnsi="宋体" w:eastAsia="宋体" w:cs="宋体"/>
          <w:spacing w:val="-6"/>
          <w:sz w:val="24"/>
          <w:szCs w:val="24"/>
        </w:rPr>
        <w:t>环境分析测试中心和陕西环境监测中心测试生物除臭剂（大力克、万洁芬等） 对</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和</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的去除效率分别为</w:t>
      </w:r>
      <w:r>
        <w:rPr>
          <w:rFonts w:ascii="Times New Roman" w:hAnsi="Times New Roman" w:eastAsia="Times New Roman" w:cs="Times New Roman"/>
          <w:spacing w:val="-1"/>
          <w:sz w:val="24"/>
          <w:szCs w:val="24"/>
        </w:rPr>
        <w:t>92.6%</w:t>
      </w:r>
      <w:r>
        <w:rPr>
          <w:rFonts w:ascii="宋体" w:hAnsi="宋体" w:eastAsia="宋体" w:cs="宋体"/>
          <w:spacing w:val="-1"/>
          <w:sz w:val="24"/>
          <w:szCs w:val="24"/>
        </w:rPr>
        <w:t>和</w:t>
      </w:r>
      <w:r>
        <w:rPr>
          <w:rFonts w:ascii="Times New Roman" w:hAnsi="Times New Roman" w:eastAsia="Times New Roman" w:cs="Times New Roman"/>
          <w:spacing w:val="-1"/>
          <w:sz w:val="24"/>
          <w:szCs w:val="24"/>
        </w:rPr>
        <w:t>89%</w:t>
      </w:r>
      <w:r>
        <w:rPr>
          <w:rFonts w:ascii="宋体" w:hAnsi="宋体" w:eastAsia="宋体" w:cs="宋体"/>
          <w:spacing w:val="-1"/>
          <w:sz w:val="24"/>
          <w:szCs w:val="24"/>
        </w:rPr>
        <w:t>，具有明显的除臭效果。</w:t>
      </w:r>
    </w:p>
    <w:p w14:paraId="1E0469BB">
      <w:pPr>
        <w:spacing w:line="220" w:lineRule="auto"/>
        <w:ind w:left="528"/>
        <w:rPr>
          <w:rFonts w:ascii="宋体" w:hAnsi="宋体" w:eastAsia="宋体" w:cs="宋体"/>
          <w:sz w:val="24"/>
          <w:szCs w:val="24"/>
        </w:rPr>
      </w:pPr>
      <w:r>
        <w:rPr>
          <w:rFonts w:ascii="宋体" w:hAnsi="宋体" w:eastAsia="宋体" w:cs="宋体"/>
          <w:b/>
          <w:bCs/>
          <w:spacing w:val="-7"/>
          <w:sz w:val="24"/>
          <w:szCs w:val="24"/>
        </w:rPr>
        <w:t>（</w:t>
      </w:r>
      <w:r>
        <w:rPr>
          <w:rFonts w:ascii="Times New Roman" w:hAnsi="Times New Roman" w:eastAsia="Times New Roman" w:cs="Times New Roman"/>
          <w:b/>
          <w:bCs/>
          <w:spacing w:val="-7"/>
          <w:sz w:val="24"/>
          <w:szCs w:val="24"/>
        </w:rPr>
        <w:t>2</w:t>
      </w:r>
      <w:r>
        <w:rPr>
          <w:rFonts w:ascii="宋体" w:hAnsi="宋体" w:eastAsia="宋体" w:cs="宋体"/>
          <w:b/>
          <w:bCs/>
          <w:spacing w:val="-7"/>
          <w:sz w:val="24"/>
          <w:szCs w:val="24"/>
        </w:rPr>
        <w:t>）过程控制</w:t>
      </w:r>
    </w:p>
    <w:p w14:paraId="65BF4DB1">
      <w:pPr>
        <w:spacing w:before="182" w:line="217" w:lineRule="auto"/>
        <w:ind w:left="520"/>
        <w:rPr>
          <w:rFonts w:ascii="宋体" w:hAnsi="宋体" w:eastAsia="宋体" w:cs="宋体"/>
          <w:sz w:val="24"/>
          <w:szCs w:val="24"/>
        </w:rPr>
      </w:pPr>
      <w:r>
        <w:rPr>
          <w:rFonts w:ascii="宋体" w:hAnsi="宋体" w:eastAsia="宋体" w:cs="宋体"/>
          <w:b/>
          <w:bCs/>
          <w:spacing w:val="-3"/>
          <w:sz w:val="24"/>
          <w:szCs w:val="24"/>
        </w:rPr>
        <w:t>①及时清理猪粪尿</w:t>
      </w:r>
    </w:p>
    <w:p w14:paraId="7649D2CF">
      <w:pPr>
        <w:spacing w:before="185" w:line="360" w:lineRule="auto"/>
        <w:ind w:left="40" w:right="85" w:firstLine="479"/>
        <w:jc w:val="both"/>
        <w:rPr>
          <w:rFonts w:ascii="宋体" w:hAnsi="宋体" w:eastAsia="宋体" w:cs="宋体"/>
          <w:sz w:val="24"/>
          <w:szCs w:val="24"/>
        </w:rPr>
      </w:pPr>
      <w:r>
        <w:rPr>
          <w:rFonts w:ascii="宋体" w:hAnsi="宋体" w:eastAsia="宋体" w:cs="宋体"/>
          <w:sz w:val="24"/>
          <w:szCs w:val="24"/>
        </w:rPr>
        <w:t>研究资料表明，猪粪在</w:t>
      </w:r>
      <w:r>
        <w:rPr>
          <w:rFonts w:ascii="Times New Roman" w:hAnsi="Times New Roman" w:eastAsia="Times New Roman" w:cs="Times New Roman"/>
          <w:sz w:val="24"/>
          <w:szCs w:val="24"/>
        </w:rPr>
        <w:t>1~2</w:t>
      </w:r>
      <w:r>
        <w:rPr>
          <w:rFonts w:ascii="宋体" w:hAnsi="宋体" w:eastAsia="宋体" w:cs="宋体"/>
          <w:sz w:val="24"/>
          <w:szCs w:val="24"/>
        </w:rPr>
        <w:t>周内后发酵较快，粪便暴露面积越大，发酵率越</w:t>
      </w:r>
      <w:r>
        <w:rPr>
          <w:rFonts w:ascii="宋体" w:hAnsi="宋体" w:eastAsia="宋体" w:cs="宋体"/>
          <w:spacing w:val="-6"/>
          <w:sz w:val="24"/>
          <w:szCs w:val="24"/>
        </w:rPr>
        <w:t>高，因此应及时从猪舍内排出猪粪、尿的混合物， 并加</w:t>
      </w:r>
      <w:r>
        <w:rPr>
          <w:rFonts w:ascii="宋体" w:hAnsi="宋体" w:eastAsia="宋体" w:cs="宋体"/>
          <w:spacing w:val="-7"/>
          <w:sz w:val="24"/>
          <w:szCs w:val="24"/>
        </w:rPr>
        <w:t>强猪舍内的通风效果，减</w:t>
      </w:r>
      <w:r>
        <w:rPr>
          <w:rFonts w:ascii="宋体" w:hAnsi="宋体" w:eastAsia="宋体" w:cs="宋体"/>
          <w:spacing w:val="-2"/>
          <w:sz w:val="24"/>
          <w:szCs w:val="24"/>
        </w:rPr>
        <w:t>少臭气在猪舍内的停留时间，降低臭气的排放浓度，减少臭气污染。</w:t>
      </w:r>
    </w:p>
    <w:p w14:paraId="6CB12488">
      <w:pPr>
        <w:spacing w:line="360" w:lineRule="auto"/>
        <w:ind w:left="41" w:right="83" w:firstLine="479"/>
        <w:jc w:val="both"/>
        <w:rPr>
          <w:rFonts w:ascii="宋体" w:hAnsi="宋体" w:eastAsia="宋体" w:cs="宋体"/>
          <w:sz w:val="24"/>
          <w:szCs w:val="24"/>
        </w:rPr>
      </w:pPr>
      <w:r>
        <w:rPr>
          <w:rFonts w:ascii="宋体" w:hAnsi="宋体" w:eastAsia="宋体" w:cs="宋体"/>
          <w:spacing w:val="-4"/>
          <w:sz w:val="24"/>
          <w:szCs w:val="24"/>
        </w:rPr>
        <w:t>本项目猪舍采用“原环保部认可的清粪工艺”（同牧原食品股份有限公司清</w:t>
      </w:r>
      <w:r>
        <w:rPr>
          <w:rFonts w:ascii="宋体" w:hAnsi="宋体" w:eastAsia="宋体" w:cs="宋体"/>
          <w:spacing w:val="-6"/>
          <w:sz w:val="24"/>
          <w:szCs w:val="24"/>
        </w:rPr>
        <w:t>粪工艺，为原环保部认可具备干清粪工艺基本特征</w:t>
      </w:r>
      <w:r>
        <w:rPr>
          <w:rFonts w:ascii="宋体" w:hAnsi="宋体" w:eastAsia="宋体" w:cs="宋体"/>
          <w:spacing w:val="-13"/>
          <w:sz w:val="24"/>
          <w:szCs w:val="24"/>
        </w:rPr>
        <w:t>），</w:t>
      </w:r>
      <w:r>
        <w:rPr>
          <w:rFonts w:ascii="宋体" w:hAnsi="宋体" w:eastAsia="宋体" w:cs="宋体"/>
          <w:spacing w:val="-6"/>
          <w:sz w:val="24"/>
          <w:szCs w:val="24"/>
        </w:rPr>
        <w:t>猪舍清粪周期为</w:t>
      </w:r>
      <w:r>
        <w:rPr>
          <w:rFonts w:ascii="Times New Roman" w:hAnsi="Times New Roman" w:eastAsia="Times New Roman" w:cs="Times New Roman"/>
          <w:spacing w:val="-6"/>
          <w:sz w:val="24"/>
          <w:szCs w:val="24"/>
        </w:rPr>
        <w:t>5~7</w:t>
      </w:r>
      <w:r>
        <w:rPr>
          <w:rFonts w:ascii="宋体" w:hAnsi="宋体" w:eastAsia="宋体" w:cs="宋体"/>
          <w:spacing w:val="-6"/>
          <w:sz w:val="24"/>
          <w:szCs w:val="24"/>
        </w:rPr>
        <w:t>天进行</w:t>
      </w:r>
      <w:r>
        <w:rPr>
          <w:rFonts w:ascii="宋体" w:hAnsi="宋体" w:eastAsia="宋体" w:cs="宋体"/>
          <w:spacing w:val="-3"/>
          <w:sz w:val="24"/>
          <w:szCs w:val="24"/>
        </w:rPr>
        <w:t>一次，不超过一周，粪尿离开猪舍储存池后即进行干湿分离，避免猪粪长时间浸</w:t>
      </w:r>
      <w:r>
        <w:rPr>
          <w:rFonts w:ascii="宋体" w:hAnsi="宋体" w:eastAsia="宋体" w:cs="宋体"/>
          <w:spacing w:val="-4"/>
          <w:sz w:val="24"/>
          <w:szCs w:val="24"/>
        </w:rPr>
        <w:t>泡，可有效减少猪粪恶臭。</w:t>
      </w:r>
    </w:p>
    <w:p w14:paraId="5A008E29">
      <w:pPr>
        <w:spacing w:before="1" w:line="217" w:lineRule="auto"/>
        <w:ind w:left="519"/>
        <w:rPr>
          <w:rFonts w:ascii="宋体" w:hAnsi="宋体" w:eastAsia="宋体" w:cs="宋体"/>
          <w:sz w:val="24"/>
          <w:szCs w:val="24"/>
        </w:rPr>
      </w:pPr>
      <w:r>
        <w:rPr>
          <w:rFonts w:ascii="宋体" w:hAnsi="宋体" w:eastAsia="宋体" w:cs="宋体"/>
          <w:b/>
          <w:bCs/>
          <w:spacing w:val="-3"/>
          <w:sz w:val="24"/>
          <w:szCs w:val="24"/>
        </w:rPr>
        <w:t>②养殖场合理绿化</w:t>
      </w:r>
    </w:p>
    <w:p w14:paraId="7D78494E">
      <w:pPr>
        <w:spacing w:before="185" w:line="360" w:lineRule="auto"/>
        <w:ind w:left="45" w:right="83" w:firstLine="472"/>
        <w:rPr>
          <w:rFonts w:ascii="宋体" w:hAnsi="宋体" w:eastAsia="宋体" w:cs="宋体"/>
          <w:sz w:val="24"/>
          <w:szCs w:val="24"/>
        </w:rPr>
      </w:pPr>
      <w:r>
        <w:rPr>
          <w:rFonts w:ascii="宋体" w:hAnsi="宋体" w:eastAsia="宋体" w:cs="宋体"/>
          <w:spacing w:val="-3"/>
          <w:sz w:val="24"/>
          <w:szCs w:val="24"/>
        </w:rPr>
        <w:t>在养殖场内及其周围种植绿色植物是防止其扩散、降低场区温度</w:t>
      </w:r>
      <w:r>
        <w:rPr>
          <w:rFonts w:ascii="宋体" w:hAnsi="宋体" w:eastAsia="宋体" w:cs="宋体"/>
          <w:spacing w:val="-4"/>
          <w:sz w:val="24"/>
          <w:szCs w:val="24"/>
        </w:rPr>
        <w:t>和噪声、提高环境质量最有效的手段。</w:t>
      </w:r>
    </w:p>
    <w:p w14:paraId="3CD4C9A8">
      <w:pPr>
        <w:spacing w:before="5" w:line="360" w:lineRule="auto"/>
        <w:ind w:left="38" w:right="17" w:firstLine="480"/>
        <w:jc w:val="both"/>
        <w:rPr>
          <w:rFonts w:ascii="宋体" w:hAnsi="宋体" w:eastAsia="宋体" w:cs="宋体"/>
          <w:sz w:val="24"/>
          <w:szCs w:val="24"/>
        </w:rPr>
      </w:pPr>
      <w:r>
        <w:rPr>
          <w:rFonts w:ascii="宋体" w:hAnsi="宋体" w:eastAsia="宋体" w:cs="宋体"/>
          <w:spacing w:val="-3"/>
          <w:sz w:val="24"/>
          <w:szCs w:val="24"/>
        </w:rPr>
        <w:t>种植植物首先可以降低风速，减小恶臭传播距离。同时绿色植物</w:t>
      </w:r>
      <w:r>
        <w:rPr>
          <w:rFonts w:ascii="宋体" w:hAnsi="宋体" w:eastAsia="宋体" w:cs="宋体"/>
          <w:spacing w:val="-4"/>
          <w:sz w:val="24"/>
          <w:szCs w:val="24"/>
        </w:rPr>
        <w:t>还可以通过</w:t>
      </w:r>
      <w:r>
        <w:rPr>
          <w:rFonts w:ascii="宋体" w:hAnsi="宋体" w:eastAsia="宋体" w:cs="宋体"/>
          <w:spacing w:val="-3"/>
          <w:sz w:val="24"/>
          <w:szCs w:val="24"/>
        </w:rPr>
        <w:t>控制温度改善局部环境，夏天时气温降低，为动物提供舒适的生长环境，冬季则</w:t>
      </w:r>
      <w:r>
        <w:rPr>
          <w:rFonts w:ascii="宋体" w:hAnsi="宋体" w:eastAsia="宋体" w:cs="宋体"/>
          <w:spacing w:val="-8"/>
          <w:sz w:val="24"/>
          <w:szCs w:val="24"/>
        </w:rPr>
        <w:t>使阳光穿透畜舍以提供热量。树叶还可以直接吸收、过滤含有气味的气体和尘粒，</w:t>
      </w:r>
      <w:r>
        <w:rPr>
          <w:rFonts w:ascii="宋体" w:hAnsi="宋体" w:eastAsia="宋体" w:cs="宋体"/>
          <w:spacing w:val="-5"/>
          <w:sz w:val="24"/>
          <w:szCs w:val="24"/>
        </w:rPr>
        <w:t>从而减轻空气中的气味。在养殖场内及其周围种植高大树木及</w:t>
      </w:r>
      <w:r>
        <w:rPr>
          <w:rFonts w:ascii="宋体" w:hAnsi="宋体" w:eastAsia="宋体" w:cs="宋体"/>
          <w:spacing w:val="-6"/>
          <w:sz w:val="24"/>
          <w:szCs w:val="24"/>
        </w:rPr>
        <w:t>林带，</w:t>
      </w:r>
      <w:r>
        <w:rPr>
          <w:rFonts w:ascii="宋体" w:hAnsi="宋体" w:eastAsia="宋体" w:cs="宋体"/>
          <w:spacing w:val="-41"/>
          <w:sz w:val="24"/>
          <w:szCs w:val="24"/>
        </w:rPr>
        <w:t xml:space="preserve"> </w:t>
      </w:r>
      <w:r>
        <w:rPr>
          <w:rFonts w:ascii="宋体" w:hAnsi="宋体" w:eastAsia="宋体" w:cs="宋体"/>
          <w:spacing w:val="-6"/>
          <w:sz w:val="24"/>
          <w:szCs w:val="24"/>
        </w:rPr>
        <w:t>能净化大气中的粉尘，减少空气中的微生物，甚至某些树木的花、叶能分泌</w:t>
      </w:r>
      <w:r>
        <w:rPr>
          <w:rFonts w:ascii="宋体" w:hAnsi="宋体" w:eastAsia="宋体" w:cs="宋体"/>
          <w:spacing w:val="-7"/>
          <w:sz w:val="24"/>
          <w:szCs w:val="24"/>
        </w:rPr>
        <w:t>杀菌物质， 可杀</w:t>
      </w:r>
      <w:r>
        <w:rPr>
          <w:rFonts w:ascii="宋体" w:hAnsi="宋体" w:eastAsia="宋体" w:cs="宋体"/>
          <w:spacing w:val="-6"/>
          <w:sz w:val="24"/>
          <w:szCs w:val="24"/>
        </w:rPr>
        <w:t>死细菌、真菌等。场地绿化以完全消灭裸露地面为原则， 广</w:t>
      </w:r>
      <w:r>
        <w:rPr>
          <w:rFonts w:ascii="宋体" w:hAnsi="宋体" w:eastAsia="宋体" w:cs="宋体"/>
          <w:spacing w:val="-7"/>
          <w:sz w:val="24"/>
          <w:szCs w:val="24"/>
        </w:rPr>
        <w:t>种花草树木。场区道</w:t>
      </w:r>
    </w:p>
    <w:p w14:paraId="4D0B27D9">
      <w:pPr>
        <w:spacing w:line="360" w:lineRule="auto"/>
        <w:rPr>
          <w:rFonts w:ascii="宋体" w:hAnsi="宋体" w:eastAsia="宋体" w:cs="宋体"/>
          <w:sz w:val="24"/>
          <w:szCs w:val="24"/>
        </w:rPr>
        <w:sectPr>
          <w:headerReference r:id="rId445" w:type="default"/>
          <w:footerReference r:id="rId446" w:type="default"/>
          <w:pgSz w:w="11905" w:h="16840"/>
          <w:pgMar w:top="1168" w:right="1714" w:bottom="1409" w:left="1770" w:header="828" w:footer="1244" w:gutter="0"/>
          <w:cols w:space="720" w:num="1"/>
        </w:sectPr>
      </w:pPr>
    </w:p>
    <w:p w14:paraId="05A220F6">
      <w:pPr>
        <w:pStyle w:val="2"/>
        <w:spacing w:line="306" w:lineRule="auto"/>
      </w:pPr>
    </w:p>
    <w:p w14:paraId="5D07C51C">
      <w:pPr>
        <w:spacing w:before="78" w:line="360" w:lineRule="auto"/>
        <w:ind w:left="40" w:right="65"/>
        <w:rPr>
          <w:rFonts w:ascii="宋体" w:hAnsi="宋体" w:eastAsia="宋体" w:cs="宋体"/>
          <w:sz w:val="24"/>
          <w:szCs w:val="24"/>
        </w:rPr>
      </w:pPr>
      <w:r>
        <w:rPr>
          <w:rFonts w:ascii="宋体" w:hAnsi="宋体" w:eastAsia="宋体" w:cs="宋体"/>
          <w:spacing w:val="-6"/>
          <w:sz w:val="24"/>
          <w:szCs w:val="24"/>
        </w:rPr>
        <w:t>路两边种植乔灌木、松柏等， 场界边缘地带种植杨、槐等</w:t>
      </w:r>
      <w:r>
        <w:rPr>
          <w:rFonts w:ascii="宋体" w:hAnsi="宋体" w:eastAsia="宋体" w:cs="宋体"/>
          <w:spacing w:val="-7"/>
          <w:sz w:val="24"/>
          <w:szCs w:val="24"/>
        </w:rPr>
        <w:t>高大树种形成多层防护</w:t>
      </w:r>
      <w:r>
        <w:rPr>
          <w:rFonts w:ascii="宋体" w:hAnsi="宋体" w:eastAsia="宋体" w:cs="宋体"/>
          <w:spacing w:val="-2"/>
          <w:sz w:val="24"/>
          <w:szCs w:val="24"/>
        </w:rPr>
        <w:t>林带，间以大量的竹林，可以降低恶臭污染的影响程度。</w:t>
      </w:r>
    </w:p>
    <w:p w14:paraId="0E891059">
      <w:pPr>
        <w:spacing w:line="360" w:lineRule="auto"/>
        <w:ind w:left="38" w:right="63" w:firstLine="482"/>
        <w:jc w:val="both"/>
        <w:rPr>
          <w:rFonts w:ascii="宋体" w:hAnsi="宋体" w:eastAsia="宋体" w:cs="宋体"/>
          <w:sz w:val="24"/>
          <w:szCs w:val="24"/>
        </w:rPr>
      </w:pPr>
      <w:r>
        <w:rPr>
          <w:rFonts w:ascii="宋体" w:hAnsi="宋体" w:eastAsia="宋体" w:cs="宋体"/>
          <w:spacing w:val="-3"/>
          <w:sz w:val="24"/>
          <w:szCs w:val="24"/>
        </w:rPr>
        <w:t>绿化树种需要考虑树的种类、树木栽植的方法、位置、栽</w:t>
      </w:r>
      <w:r>
        <w:rPr>
          <w:rFonts w:ascii="宋体" w:hAnsi="宋体" w:eastAsia="宋体" w:cs="宋体"/>
          <w:spacing w:val="-4"/>
          <w:sz w:val="24"/>
          <w:szCs w:val="24"/>
        </w:rPr>
        <w:t>植密度、林带的大</w:t>
      </w:r>
      <w:r>
        <w:rPr>
          <w:rFonts w:ascii="宋体" w:hAnsi="宋体" w:eastAsia="宋体" w:cs="宋体"/>
          <w:sz w:val="24"/>
          <w:szCs w:val="24"/>
        </w:rPr>
        <w:t>小与形状等因素。栽植合理的防护林可减少灰尘和污染物沉降</w:t>
      </w:r>
      <w:r>
        <w:rPr>
          <w:rFonts w:ascii="Times New Roman" w:hAnsi="Times New Roman" w:eastAsia="Times New Roman" w:cs="Times New Roman"/>
          <w:sz w:val="24"/>
          <w:szCs w:val="24"/>
        </w:rPr>
        <w:t>27~30%</w:t>
      </w:r>
      <w:r>
        <w:rPr>
          <w:rFonts w:ascii="Times New Roman" w:hAnsi="Times New Roman" w:eastAsia="Times New Roman" w:cs="Times New Roman"/>
          <w:spacing w:val="-11"/>
          <w:sz w:val="24"/>
          <w:szCs w:val="24"/>
        </w:rPr>
        <w:t xml:space="preserve"> </w:t>
      </w:r>
      <w:r>
        <w:rPr>
          <w:rFonts w:ascii="宋体" w:hAnsi="宋体" w:eastAsia="宋体" w:cs="宋体"/>
          <w:sz w:val="24"/>
          <w:szCs w:val="24"/>
        </w:rPr>
        <w:t>。一般树</w:t>
      </w:r>
      <w:r>
        <w:rPr>
          <w:rFonts w:ascii="宋体" w:hAnsi="宋体" w:eastAsia="宋体" w:cs="宋体"/>
          <w:spacing w:val="-6"/>
          <w:sz w:val="24"/>
          <w:szCs w:val="24"/>
        </w:rPr>
        <w:t>的高度、树叶的大小与处理效果成正比，</w:t>
      </w:r>
      <w:r>
        <w:rPr>
          <w:rFonts w:ascii="宋体" w:hAnsi="宋体" w:eastAsia="宋体" w:cs="宋体"/>
          <w:spacing w:val="-13"/>
          <w:sz w:val="24"/>
          <w:szCs w:val="24"/>
        </w:rPr>
        <w:t xml:space="preserve"> </w:t>
      </w:r>
      <w:r>
        <w:rPr>
          <w:rFonts w:ascii="宋体" w:hAnsi="宋体" w:eastAsia="宋体" w:cs="宋体"/>
          <w:spacing w:val="-6"/>
          <w:sz w:val="24"/>
          <w:szCs w:val="24"/>
        </w:rPr>
        <w:t>四季常青的树木有利于一年四季气味的</w:t>
      </w:r>
      <w:r>
        <w:rPr>
          <w:rFonts w:ascii="宋体" w:hAnsi="宋体" w:eastAsia="宋体" w:cs="宋体"/>
          <w:spacing w:val="-1"/>
          <w:sz w:val="24"/>
          <w:szCs w:val="24"/>
        </w:rPr>
        <w:t>控制；松树的除臭效果比山毛榉要高</w:t>
      </w:r>
      <w:r>
        <w:rPr>
          <w:rFonts w:ascii="Times New Roman" w:hAnsi="Times New Roman" w:eastAsia="Times New Roman" w:cs="Times New Roman"/>
          <w:spacing w:val="-1"/>
          <w:sz w:val="24"/>
          <w:szCs w:val="24"/>
        </w:rPr>
        <w:t>4</w:t>
      </w:r>
      <w:r>
        <w:rPr>
          <w:rFonts w:ascii="宋体" w:hAnsi="宋体" w:eastAsia="宋体" w:cs="宋体"/>
          <w:spacing w:val="-1"/>
          <w:sz w:val="24"/>
          <w:szCs w:val="24"/>
        </w:rPr>
        <w:t>倍，比橡树高</w:t>
      </w:r>
      <w:r>
        <w:rPr>
          <w:rFonts w:ascii="Times New Roman" w:hAnsi="Times New Roman" w:eastAsia="Times New Roman" w:cs="Times New Roman"/>
          <w:spacing w:val="-1"/>
          <w:sz w:val="24"/>
          <w:szCs w:val="24"/>
        </w:rPr>
        <w:t>2</w:t>
      </w:r>
      <w:r>
        <w:rPr>
          <w:rFonts w:ascii="宋体" w:hAnsi="宋体" w:eastAsia="宋体" w:cs="宋体"/>
          <w:spacing w:val="-1"/>
          <w:sz w:val="24"/>
          <w:szCs w:val="24"/>
        </w:rPr>
        <w:t>倍。</w:t>
      </w:r>
    </w:p>
    <w:p w14:paraId="659A3256">
      <w:pPr>
        <w:spacing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）终端处理</w:t>
      </w:r>
    </w:p>
    <w:p w14:paraId="7879D1BD">
      <w:pPr>
        <w:spacing w:before="183" w:line="217" w:lineRule="auto"/>
        <w:ind w:left="520"/>
        <w:rPr>
          <w:rFonts w:ascii="宋体" w:hAnsi="宋体" w:eastAsia="宋体" w:cs="宋体"/>
          <w:sz w:val="24"/>
          <w:szCs w:val="24"/>
        </w:rPr>
      </w:pPr>
      <w:r>
        <w:rPr>
          <w:rFonts w:ascii="宋体" w:hAnsi="宋体" w:eastAsia="宋体" w:cs="宋体"/>
          <w:b/>
          <w:bCs/>
          <w:spacing w:val="-3"/>
          <w:sz w:val="24"/>
          <w:szCs w:val="24"/>
        </w:rPr>
        <w:t>①猪舍排风口设置生物喷雾除臭网</w:t>
      </w:r>
    </w:p>
    <w:p w14:paraId="2DEA3034">
      <w:pPr>
        <w:spacing w:before="185" w:line="360" w:lineRule="auto"/>
        <w:ind w:left="39" w:right="65" w:firstLine="509"/>
        <w:jc w:val="both"/>
        <w:rPr>
          <w:rFonts w:ascii="宋体" w:hAnsi="宋体" w:eastAsia="宋体" w:cs="宋体"/>
          <w:sz w:val="24"/>
          <w:szCs w:val="24"/>
        </w:rPr>
      </w:pPr>
      <w:r>
        <w:rPr>
          <w:rFonts w:ascii="宋体" w:hAnsi="宋体" w:eastAsia="宋体" w:cs="宋体"/>
          <w:spacing w:val="-4"/>
          <w:sz w:val="24"/>
          <w:szCs w:val="24"/>
        </w:rPr>
        <w:t>由于猪舍排风口不能设置阻挡物、以及生猪养殖对猪舍温度及湿度的特殊要</w:t>
      </w:r>
      <w:r>
        <w:rPr>
          <w:rFonts w:ascii="宋体" w:hAnsi="宋体" w:eastAsia="宋体" w:cs="宋体"/>
          <w:spacing w:val="-3"/>
          <w:sz w:val="24"/>
          <w:szCs w:val="24"/>
        </w:rPr>
        <w:t>求，不宜对猪舍恶臭采取集中抽风收集处理，本项目拟在猪舍排风口一端设置生</w:t>
      </w:r>
      <w:r>
        <w:rPr>
          <w:rFonts w:ascii="宋体" w:hAnsi="宋体" w:eastAsia="宋体" w:cs="宋体"/>
          <w:spacing w:val="-2"/>
          <w:sz w:val="24"/>
          <w:szCs w:val="24"/>
        </w:rPr>
        <w:t>物喷雾除臭系统，对猪舍排出的恶臭进行处</w:t>
      </w:r>
      <w:r>
        <w:rPr>
          <w:rFonts w:ascii="宋体" w:hAnsi="宋体" w:eastAsia="宋体" w:cs="宋体"/>
          <w:spacing w:val="-3"/>
          <w:sz w:val="24"/>
          <w:szCs w:val="24"/>
        </w:rPr>
        <w:t>理。</w:t>
      </w:r>
    </w:p>
    <w:p w14:paraId="4435B031">
      <w:pPr>
        <w:spacing w:line="360" w:lineRule="auto"/>
        <w:ind w:left="39" w:right="64" w:firstLine="494"/>
        <w:jc w:val="both"/>
        <w:rPr>
          <w:rFonts w:ascii="宋体" w:hAnsi="宋体" w:eastAsia="宋体" w:cs="宋体"/>
          <w:sz w:val="24"/>
          <w:szCs w:val="24"/>
        </w:rPr>
      </w:pPr>
      <w:r>
        <w:rPr>
          <w:rFonts w:ascii="宋体" w:hAnsi="宋体" w:eastAsia="宋体" w:cs="宋体"/>
          <w:spacing w:val="-4"/>
          <w:sz w:val="24"/>
          <w:szCs w:val="24"/>
        </w:rPr>
        <w:t>除臭原理：猪舍内的恶臭气体首先经猪舍内微负压抽风系统进入出风端，在</w:t>
      </w:r>
      <w:r>
        <w:rPr>
          <w:rFonts w:ascii="宋体" w:hAnsi="宋体" w:eastAsia="宋体" w:cs="宋体"/>
          <w:sz w:val="24"/>
          <w:szCs w:val="24"/>
        </w:rPr>
        <w:t>出风端外设置除臭喷雾管道和</w:t>
      </w:r>
      <w:r>
        <w:rPr>
          <w:rFonts w:ascii="Times New Roman" w:hAnsi="Times New Roman" w:eastAsia="Times New Roman" w:cs="Times New Roman"/>
          <w:sz w:val="24"/>
          <w:szCs w:val="24"/>
        </w:rPr>
        <w:t>PO</w:t>
      </w:r>
      <w:r>
        <w:rPr>
          <w:rFonts w:ascii="宋体" w:hAnsi="宋体" w:eastAsia="宋体" w:cs="宋体"/>
          <w:sz w:val="24"/>
          <w:szCs w:val="24"/>
        </w:rPr>
        <w:t>膜，</w:t>
      </w:r>
      <w:r>
        <w:rPr>
          <w:rFonts w:ascii="Times New Roman" w:hAnsi="Times New Roman" w:eastAsia="Times New Roman" w:cs="Times New Roman"/>
          <w:sz w:val="24"/>
          <w:szCs w:val="24"/>
        </w:rPr>
        <w:t>PO</w:t>
      </w:r>
      <w:r>
        <w:rPr>
          <w:rFonts w:ascii="宋体" w:hAnsi="宋体" w:eastAsia="宋体" w:cs="宋体"/>
          <w:sz w:val="24"/>
          <w:szCs w:val="24"/>
        </w:rPr>
        <w:t>膜将恶臭物质阻挡在膜内，利用生物除</w:t>
      </w:r>
      <w:r>
        <w:rPr>
          <w:rFonts w:ascii="宋体" w:hAnsi="宋体" w:eastAsia="宋体" w:cs="宋体"/>
          <w:spacing w:val="-6"/>
          <w:sz w:val="24"/>
          <w:szCs w:val="24"/>
        </w:rPr>
        <w:t>臭液进行处理。</w:t>
      </w:r>
    </w:p>
    <w:p w14:paraId="7DA61ED9">
      <w:pPr>
        <w:spacing w:line="360" w:lineRule="auto"/>
        <w:ind w:left="39" w:right="65" w:firstLine="494"/>
        <w:jc w:val="both"/>
        <w:rPr>
          <w:rFonts w:ascii="宋体" w:hAnsi="宋体" w:eastAsia="宋体" w:cs="宋体"/>
          <w:sz w:val="24"/>
          <w:szCs w:val="24"/>
        </w:rPr>
      </w:pPr>
      <w:r>
        <w:rPr>
          <w:rFonts w:ascii="宋体" w:hAnsi="宋体" w:eastAsia="宋体" w:cs="宋体"/>
          <w:spacing w:val="-4"/>
          <w:sz w:val="24"/>
          <w:szCs w:val="24"/>
        </w:rPr>
        <w:t>除臭喷雾系统根据风机启动后连锁启动喷雾，除臭进水内配置次氯酸钠和除</w:t>
      </w:r>
      <w:r>
        <w:rPr>
          <w:rFonts w:ascii="宋体" w:hAnsi="宋体" w:eastAsia="宋体" w:cs="宋体"/>
          <w:spacing w:val="-3"/>
          <w:sz w:val="24"/>
          <w:szCs w:val="24"/>
        </w:rPr>
        <w:t>臭菌，除臭介质采用含浓度万分之一的次氯酸钠及除臭菌的水。自动配药系统将适量的除臭菌种及次氯酸进行配置后，然后通过高压冲洗系统通过高压设备使水介质雾化，通过粒子间吸附、剪切等作用去除排风口中的有害粒子及产生臭味的</w:t>
      </w:r>
      <w:r>
        <w:rPr>
          <w:rFonts w:ascii="宋体" w:hAnsi="宋体" w:eastAsia="宋体" w:cs="宋体"/>
          <w:spacing w:val="-10"/>
          <w:sz w:val="24"/>
          <w:szCs w:val="24"/>
        </w:rPr>
        <w:t>粒子。</w:t>
      </w:r>
    </w:p>
    <w:p w14:paraId="1CD8859F">
      <w:pPr>
        <w:spacing w:line="217" w:lineRule="auto"/>
        <w:ind w:left="519"/>
        <w:rPr>
          <w:rFonts w:ascii="宋体" w:hAnsi="宋体" w:eastAsia="宋体" w:cs="宋体"/>
          <w:sz w:val="24"/>
          <w:szCs w:val="24"/>
        </w:rPr>
      </w:pPr>
      <w:r>
        <w:rPr>
          <w:rFonts w:ascii="宋体" w:hAnsi="宋体" w:eastAsia="宋体" w:cs="宋体"/>
          <w:b/>
          <w:bCs/>
          <w:spacing w:val="-3"/>
          <w:sz w:val="24"/>
          <w:szCs w:val="24"/>
        </w:rPr>
        <w:t>②除臭液循环利用</w:t>
      </w:r>
    </w:p>
    <w:p w14:paraId="52A12748">
      <w:pPr>
        <w:spacing w:before="185" w:line="360" w:lineRule="auto"/>
        <w:ind w:left="38" w:right="65" w:firstLine="480"/>
        <w:jc w:val="both"/>
        <w:rPr>
          <w:rFonts w:ascii="宋体" w:hAnsi="宋体" w:eastAsia="宋体" w:cs="宋体"/>
          <w:sz w:val="24"/>
          <w:szCs w:val="24"/>
        </w:rPr>
      </w:pPr>
      <w:r>
        <w:rPr>
          <w:rFonts w:ascii="宋体" w:hAnsi="宋体" w:eastAsia="宋体" w:cs="宋体"/>
          <w:spacing w:val="-3"/>
          <w:sz w:val="24"/>
          <w:szCs w:val="24"/>
        </w:rPr>
        <w:t>循环水池位于猪舍排风口一侧，除臭液因吸收了猪舍排出的臭气</w:t>
      </w:r>
      <w:r>
        <w:rPr>
          <w:rFonts w:ascii="宋体" w:hAnsi="宋体" w:eastAsia="宋体" w:cs="宋体"/>
          <w:spacing w:val="-4"/>
          <w:sz w:val="24"/>
          <w:szCs w:val="24"/>
        </w:rPr>
        <w:t>，其水中的</w:t>
      </w:r>
      <w:r>
        <w:rPr>
          <w:rFonts w:ascii="Times New Roman" w:hAnsi="Times New Roman" w:eastAsia="Times New Roman" w:cs="Times New Roman"/>
          <w:sz w:val="24"/>
          <w:szCs w:val="24"/>
        </w:rPr>
        <w:t>COD</w:t>
      </w:r>
      <w:r>
        <w:rPr>
          <w:rFonts w:ascii="宋体" w:hAnsi="宋体" w:eastAsia="宋体" w:cs="宋体"/>
          <w:spacing w:val="3"/>
          <w:sz w:val="24"/>
          <w:szCs w:val="24"/>
        </w:rPr>
        <w:t>和氨氮浓度一般较高，随意排放易造成二次污染，故本系统采用循环利用</w:t>
      </w:r>
      <w:r>
        <w:rPr>
          <w:rFonts w:ascii="宋体" w:hAnsi="宋体" w:eastAsia="宋体" w:cs="宋体"/>
          <w:spacing w:val="-1"/>
          <w:sz w:val="24"/>
          <w:szCs w:val="24"/>
        </w:rPr>
        <w:t>方式，即所有除臭废液进入循环池，添加有机酸调节</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2"/>
          <w:sz w:val="24"/>
          <w:szCs w:val="24"/>
        </w:rPr>
        <w:t>H</w:t>
      </w:r>
      <w:r>
        <w:rPr>
          <w:rFonts w:ascii="宋体" w:hAnsi="宋体" w:eastAsia="宋体" w:cs="宋体"/>
          <w:spacing w:val="-2"/>
          <w:sz w:val="24"/>
          <w:szCs w:val="24"/>
        </w:rPr>
        <w:t>值，循环利用。</w:t>
      </w:r>
    </w:p>
    <w:p w14:paraId="73264FB5">
      <w:pPr>
        <w:spacing w:line="362" w:lineRule="auto"/>
        <w:ind w:left="42" w:firstLine="477"/>
        <w:rPr>
          <w:rFonts w:ascii="宋体" w:hAnsi="宋体" w:eastAsia="宋体" w:cs="宋体"/>
          <w:sz w:val="24"/>
          <w:szCs w:val="24"/>
        </w:rPr>
      </w:pPr>
      <w:r>
        <w:rPr>
          <w:rFonts w:ascii="宋体" w:hAnsi="宋体" w:eastAsia="宋体" w:cs="宋体"/>
          <w:spacing w:val="-1"/>
          <w:sz w:val="24"/>
          <w:szCs w:val="24"/>
        </w:rPr>
        <w:t>猪舍通过“猪舍内喷洒除臭剂、吸附剂+绿化+猪舍排风口生物喷</w:t>
      </w:r>
      <w:r>
        <w:rPr>
          <w:rFonts w:ascii="宋体" w:hAnsi="宋体" w:eastAsia="宋体" w:cs="宋体"/>
          <w:spacing w:val="-2"/>
          <w:sz w:val="24"/>
          <w:szCs w:val="24"/>
        </w:rPr>
        <w:t>雾除臭”，</w:t>
      </w:r>
      <w:r>
        <w:rPr>
          <w:rFonts w:ascii="宋体" w:hAnsi="宋体" w:eastAsia="宋体" w:cs="宋体"/>
          <w:spacing w:val="-1"/>
          <w:sz w:val="24"/>
          <w:szCs w:val="24"/>
        </w:rPr>
        <w:t>综合效果氨的去除效率可以达到</w:t>
      </w:r>
      <w:r>
        <w:rPr>
          <w:rFonts w:ascii="Times New Roman" w:hAnsi="Times New Roman" w:eastAsia="Times New Roman" w:cs="Times New Roman"/>
          <w:spacing w:val="-1"/>
          <w:sz w:val="24"/>
          <w:szCs w:val="24"/>
        </w:rPr>
        <w:t>86%</w:t>
      </w:r>
      <w:r>
        <w:rPr>
          <w:rFonts w:ascii="宋体" w:hAnsi="宋体" w:eastAsia="宋体" w:cs="宋体"/>
          <w:spacing w:val="-1"/>
          <w:sz w:val="24"/>
          <w:szCs w:val="24"/>
        </w:rPr>
        <w:t>，硫化氢去除效率</w:t>
      </w:r>
      <w:r>
        <w:rPr>
          <w:rFonts w:ascii="Times New Roman" w:hAnsi="Times New Roman" w:eastAsia="Times New Roman" w:cs="Times New Roman"/>
          <w:spacing w:val="-1"/>
          <w:sz w:val="24"/>
          <w:szCs w:val="24"/>
        </w:rPr>
        <w:t>78%</w:t>
      </w:r>
      <w:r>
        <w:rPr>
          <w:rFonts w:ascii="宋体" w:hAnsi="宋体" w:eastAsia="宋体" w:cs="宋体"/>
          <w:spacing w:val="-1"/>
          <w:sz w:val="24"/>
          <w:szCs w:val="24"/>
        </w:rPr>
        <w:t>。</w:t>
      </w:r>
    </w:p>
    <w:p w14:paraId="79B41803">
      <w:pPr>
        <w:spacing w:before="52" w:line="226" w:lineRule="auto"/>
        <w:ind w:left="39"/>
        <w:rPr>
          <w:rFonts w:ascii="宋体" w:hAnsi="宋体" w:eastAsia="宋体" w:cs="宋体"/>
          <w:sz w:val="27"/>
          <w:szCs w:val="27"/>
        </w:rPr>
      </w:pPr>
      <w:r>
        <w:rPr>
          <w:rFonts w:ascii="Times New Roman" w:hAnsi="Times New Roman" w:eastAsia="Times New Roman" w:cs="Times New Roman"/>
          <w:b/>
          <w:bCs/>
          <w:spacing w:val="6"/>
          <w:sz w:val="27"/>
          <w:szCs w:val="27"/>
        </w:rPr>
        <w:t xml:space="preserve">5.2.1.2 </w:t>
      </w:r>
      <w:r>
        <w:rPr>
          <w:rFonts w:ascii="宋体" w:hAnsi="宋体" w:eastAsia="宋体" w:cs="宋体"/>
          <w:b/>
          <w:bCs/>
          <w:spacing w:val="6"/>
          <w:sz w:val="27"/>
          <w:szCs w:val="27"/>
        </w:rPr>
        <w:t>粪污处理区、堆粪棚恶臭处理措施</w:t>
      </w:r>
    </w:p>
    <w:p w14:paraId="0C67C634">
      <w:pPr>
        <w:spacing w:before="236"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）喷洒生物除臭剂</w:t>
      </w:r>
    </w:p>
    <w:p w14:paraId="4A39F933">
      <w:pPr>
        <w:spacing w:before="183" w:line="362" w:lineRule="auto"/>
        <w:ind w:left="40" w:right="65" w:firstLine="480"/>
        <w:rPr>
          <w:rFonts w:ascii="宋体" w:hAnsi="宋体" w:eastAsia="宋体" w:cs="宋体"/>
          <w:sz w:val="24"/>
          <w:szCs w:val="24"/>
        </w:rPr>
      </w:pPr>
      <w:r>
        <w:rPr>
          <w:rFonts w:ascii="宋体" w:hAnsi="宋体" w:eastAsia="宋体" w:cs="宋体"/>
          <w:spacing w:val="-5"/>
          <w:sz w:val="24"/>
          <w:szCs w:val="24"/>
        </w:rPr>
        <w:t>污水处理站恶臭单元及无害化处理间、堆粪棚</w:t>
      </w:r>
      <w:r>
        <w:rPr>
          <w:rFonts w:ascii="宋体" w:hAnsi="宋体" w:eastAsia="宋体" w:cs="宋体"/>
          <w:spacing w:val="-6"/>
          <w:sz w:val="24"/>
          <w:szCs w:val="24"/>
        </w:rPr>
        <w:t>等喷洒生物除臭剂，</w:t>
      </w:r>
      <w:r>
        <w:rPr>
          <w:rFonts w:ascii="宋体" w:hAnsi="宋体" w:eastAsia="宋体" w:cs="宋体"/>
          <w:spacing w:val="-48"/>
          <w:sz w:val="24"/>
          <w:szCs w:val="24"/>
        </w:rPr>
        <w:t xml:space="preserve"> </w:t>
      </w:r>
      <w:r>
        <w:rPr>
          <w:rFonts w:ascii="宋体" w:hAnsi="宋体" w:eastAsia="宋体" w:cs="宋体"/>
          <w:spacing w:val="-6"/>
          <w:sz w:val="24"/>
          <w:szCs w:val="24"/>
        </w:rPr>
        <w:t>利用能够</w:t>
      </w:r>
      <w:r>
        <w:rPr>
          <w:rFonts w:ascii="宋体" w:hAnsi="宋体" w:eastAsia="宋体" w:cs="宋体"/>
          <w:spacing w:val="-3"/>
          <w:sz w:val="24"/>
          <w:szCs w:val="24"/>
        </w:rPr>
        <w:t>转化或者降解恶臭物质的特殊微生物的高效吸附、吸收和降解作用对恶臭气体进</w:t>
      </w:r>
    </w:p>
    <w:p w14:paraId="4E056237">
      <w:pPr>
        <w:spacing w:line="362" w:lineRule="auto"/>
        <w:rPr>
          <w:rFonts w:ascii="宋体" w:hAnsi="宋体" w:eastAsia="宋体" w:cs="宋体"/>
          <w:sz w:val="24"/>
          <w:szCs w:val="24"/>
        </w:rPr>
        <w:sectPr>
          <w:headerReference r:id="rId447" w:type="default"/>
          <w:footerReference r:id="rId448" w:type="default"/>
          <w:pgSz w:w="11905" w:h="16840"/>
          <w:pgMar w:top="1168" w:right="1732" w:bottom="1409" w:left="1770" w:header="828" w:footer="1244" w:gutter="0"/>
          <w:cols w:space="720" w:num="1"/>
        </w:sectPr>
      </w:pPr>
    </w:p>
    <w:p w14:paraId="254E4FF4">
      <w:pPr>
        <w:pStyle w:val="2"/>
        <w:spacing w:line="305" w:lineRule="auto"/>
      </w:pPr>
    </w:p>
    <w:p w14:paraId="0E3207F4">
      <w:pPr>
        <w:spacing w:before="78" w:line="220" w:lineRule="auto"/>
        <w:ind w:left="43"/>
        <w:rPr>
          <w:rFonts w:ascii="宋体" w:hAnsi="宋体" w:eastAsia="宋体" w:cs="宋体"/>
          <w:sz w:val="24"/>
          <w:szCs w:val="24"/>
        </w:rPr>
      </w:pPr>
      <w:r>
        <w:rPr>
          <w:rFonts w:ascii="宋体" w:hAnsi="宋体" w:eastAsia="宋体" w:cs="宋体"/>
          <w:spacing w:val="-5"/>
          <w:sz w:val="24"/>
          <w:szCs w:val="24"/>
        </w:rPr>
        <w:t>行净化，化恶臭为无臭。</w:t>
      </w:r>
    </w:p>
    <w:p w14:paraId="7BCF7177">
      <w:pPr>
        <w:spacing w:before="7"/>
      </w:pPr>
    </w:p>
    <w:tbl>
      <w:tblPr>
        <w:tblStyle w:val="5"/>
        <w:tblW w:w="7527" w:type="dxa"/>
        <w:tblInd w:w="402" w:type="dxa"/>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Layout w:type="fixed"/>
        <w:tblCellMar>
          <w:top w:w="0" w:type="dxa"/>
          <w:left w:w="0" w:type="dxa"/>
          <w:bottom w:w="0" w:type="dxa"/>
          <w:right w:w="0" w:type="dxa"/>
        </w:tblCellMar>
      </w:tblPr>
      <w:tblGrid>
        <w:gridCol w:w="7527"/>
      </w:tblGrid>
      <w:tr w14:paraId="393F4FA2">
        <w:tblPrEx>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CellMar>
            <w:top w:w="0" w:type="dxa"/>
            <w:left w:w="0" w:type="dxa"/>
            <w:bottom w:w="0" w:type="dxa"/>
            <w:right w:w="0" w:type="dxa"/>
          </w:tblCellMar>
        </w:tblPrEx>
        <w:trPr>
          <w:trHeight w:val="4221" w:hRule="atLeast"/>
        </w:trPr>
        <w:tc>
          <w:tcPr>
            <w:tcW w:w="7527" w:type="dxa"/>
            <w:vAlign w:val="top"/>
          </w:tcPr>
          <w:p w14:paraId="24F8E5B8">
            <w:pPr>
              <w:spacing w:before="83" w:line="140" w:lineRule="exact"/>
              <w:ind w:firstLine="2494"/>
            </w:pPr>
            <w:r>
              <w:rPr>
                <w:position w:val="-2"/>
              </w:rPr>
              <w:pict>
                <v:shape id="_x0000_s1085" o:spid="_x0000_s1085" style="height:7pt;width:1.55pt;" filled="f" stroked="t" coordsize="30,140" path="m18,86c18,93,18,105,18,126c14,128,11,129,7,132c8,111,8,97,8,90c8,72,8,55,8,37c8,26,8,15,7,7c13,11,18,13,23,17c21,19,19,21,18,24c18,45,18,66,18,86e">
                  <v:fill on="f" focussize="0,0"/>
                  <v:stroke color="#FFFFFF" miterlimit="10" endcap="round"/>
                  <v:imagedata o:title=""/>
                  <o:lock v:ext="edit"/>
                  <w10:wrap type="none"/>
                  <w10:anchorlock/>
                </v:shape>
              </w:pict>
            </w:r>
          </w:p>
        </w:tc>
      </w:tr>
    </w:tbl>
    <w:p w14:paraId="02F1A9B8">
      <w:pPr>
        <w:spacing w:before="293" w:line="222" w:lineRule="auto"/>
        <w:ind w:left="2226"/>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29"/>
          <w:sz w:val="21"/>
          <w:szCs w:val="21"/>
        </w:rPr>
        <w:t xml:space="preserve"> </w:t>
      </w:r>
      <w:r>
        <w:rPr>
          <w:rFonts w:ascii="Times New Roman" w:hAnsi="Times New Roman" w:eastAsia="Times New Roman" w:cs="Times New Roman"/>
          <w:spacing w:val="-2"/>
          <w:sz w:val="21"/>
          <w:szCs w:val="21"/>
        </w:rPr>
        <w:t xml:space="preserve">5.2-1  </w:t>
      </w:r>
      <w:r>
        <w:rPr>
          <w:rFonts w:ascii="黑体" w:hAnsi="黑体" w:eastAsia="黑体" w:cs="黑体"/>
          <w:spacing w:val="-2"/>
          <w:sz w:val="21"/>
          <w:szCs w:val="21"/>
        </w:rPr>
        <w:t>猪舍排风口生物喷雾除臭网示意图</w:t>
      </w:r>
    </w:p>
    <w:p w14:paraId="5E5C8962">
      <w:pPr>
        <w:spacing w:before="202" w:line="360" w:lineRule="auto"/>
        <w:ind w:left="38" w:right="30" w:firstLine="481"/>
        <w:jc w:val="both"/>
        <w:rPr>
          <w:rFonts w:ascii="宋体" w:hAnsi="宋体" w:eastAsia="宋体" w:cs="宋体"/>
          <w:sz w:val="24"/>
          <w:szCs w:val="24"/>
        </w:rPr>
      </w:pPr>
      <w:r>
        <w:rPr>
          <w:rFonts w:ascii="宋体" w:hAnsi="宋体" w:eastAsia="宋体" w:cs="宋体"/>
          <w:spacing w:val="-1"/>
          <w:sz w:val="24"/>
          <w:szCs w:val="24"/>
        </w:rPr>
        <w:t>本项目主要采取复合生物除臭剂进行除臭，根据《农业工程学报》第</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24"/>
          <w:w w:val="101"/>
          <w:sz w:val="24"/>
          <w:szCs w:val="24"/>
        </w:rPr>
        <w:t xml:space="preserve"> </w:t>
      </w:r>
      <w:r>
        <w:rPr>
          <w:rFonts w:ascii="宋体" w:hAnsi="宋体" w:eastAsia="宋体" w:cs="宋体"/>
          <w:spacing w:val="-1"/>
          <w:sz w:val="24"/>
          <w:szCs w:val="24"/>
        </w:rPr>
        <w:t>卷</w:t>
      </w:r>
      <w:r>
        <w:rPr>
          <w:rFonts w:ascii="宋体" w:hAnsi="宋体" w:eastAsia="宋体" w:cs="宋体"/>
          <w:spacing w:val="-5"/>
          <w:sz w:val="24"/>
          <w:szCs w:val="24"/>
        </w:rPr>
        <w:t>第</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25"/>
          <w:w w:val="101"/>
          <w:sz w:val="24"/>
          <w:szCs w:val="24"/>
        </w:rPr>
        <w:t xml:space="preserve"> </w:t>
      </w:r>
      <w:r>
        <w:rPr>
          <w:rFonts w:ascii="宋体" w:hAnsi="宋体" w:eastAsia="宋体" w:cs="宋体"/>
          <w:spacing w:val="-5"/>
          <w:sz w:val="24"/>
          <w:szCs w:val="24"/>
        </w:rPr>
        <w:t>期中《复合微生物吸附除臭剂的制备及其除臭应用》（叶芬霞、朱瑞芬、叶</w:t>
      </w:r>
      <w:r>
        <w:rPr>
          <w:rFonts w:ascii="宋体" w:hAnsi="宋体" w:eastAsia="宋体" w:cs="宋体"/>
          <w:spacing w:val="-2"/>
          <w:sz w:val="24"/>
          <w:szCs w:val="24"/>
        </w:rPr>
        <w:t>央芳</w:t>
      </w:r>
      <w:r>
        <w:rPr>
          <w:rFonts w:ascii="宋体" w:hAnsi="宋体" w:eastAsia="宋体" w:cs="宋体"/>
          <w:spacing w:val="-23"/>
          <w:sz w:val="24"/>
          <w:szCs w:val="24"/>
        </w:rPr>
        <w:t>），</w:t>
      </w:r>
      <w:r>
        <w:rPr>
          <w:rFonts w:ascii="宋体" w:hAnsi="宋体" w:eastAsia="宋体" w:cs="宋体"/>
          <w:spacing w:val="-2"/>
          <w:sz w:val="24"/>
          <w:szCs w:val="24"/>
        </w:rPr>
        <w:t>巨大芽孢杆菌、灰色链霉菌、热带假丝酵母菌这三种菌株均具有明显除臭能力，根据研究结果可知，吸附除臭剂对堆放</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天后场内</w:t>
      </w:r>
      <w:r>
        <w:rPr>
          <w:rFonts w:ascii="宋体" w:hAnsi="宋体" w:eastAsia="宋体" w:cs="宋体"/>
          <w:spacing w:val="-62"/>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11"/>
          <w:position w:val="-2"/>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、臭气浓</w:t>
      </w:r>
      <w:r>
        <w:rPr>
          <w:rFonts w:ascii="宋体" w:hAnsi="宋体" w:eastAsia="宋体" w:cs="宋体"/>
          <w:spacing w:val="-3"/>
          <w:sz w:val="24"/>
          <w:szCs w:val="24"/>
        </w:rPr>
        <w:t>度的去除率平均为</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84.39%</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62.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88.46%</w:t>
      </w:r>
      <w:r>
        <w:rPr>
          <w:rFonts w:ascii="宋体" w:hAnsi="宋体" w:eastAsia="宋体" w:cs="宋体"/>
          <w:spacing w:val="-4"/>
          <w:sz w:val="24"/>
          <w:szCs w:val="24"/>
        </w:rPr>
        <w:t>。因此除臭效果十分显著。</w:t>
      </w:r>
    </w:p>
    <w:p w14:paraId="07DD45CF">
      <w:pPr>
        <w:spacing w:before="1"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）生物滤池处理</w:t>
      </w:r>
    </w:p>
    <w:p w14:paraId="564B3C62">
      <w:pPr>
        <w:spacing w:before="180" w:line="360" w:lineRule="auto"/>
        <w:ind w:left="37" w:right="28" w:firstLine="483"/>
        <w:jc w:val="both"/>
        <w:rPr>
          <w:rFonts w:ascii="宋体" w:hAnsi="宋体" w:eastAsia="宋体" w:cs="宋体"/>
          <w:sz w:val="24"/>
          <w:szCs w:val="24"/>
        </w:rPr>
      </w:pPr>
      <w:r>
        <w:rPr>
          <w:rFonts w:ascii="宋体" w:hAnsi="宋体" w:eastAsia="宋体" w:cs="宋体"/>
          <w:spacing w:val="-3"/>
          <w:sz w:val="24"/>
          <w:szCs w:val="24"/>
        </w:rPr>
        <w:t>污水处理站、堆粪棚恶臭气体均采取生物滤池进一</w:t>
      </w:r>
      <w:r>
        <w:rPr>
          <w:rFonts w:ascii="宋体" w:hAnsi="宋体" w:eastAsia="宋体" w:cs="宋体"/>
          <w:spacing w:val="-4"/>
          <w:sz w:val="24"/>
          <w:szCs w:val="24"/>
        </w:rPr>
        <w:t>步除臭，臭气经管道负压</w:t>
      </w:r>
      <w:r>
        <w:rPr>
          <w:rFonts w:ascii="宋体" w:hAnsi="宋体" w:eastAsia="宋体" w:cs="宋体"/>
          <w:spacing w:val="-2"/>
          <w:sz w:val="24"/>
          <w:szCs w:val="24"/>
        </w:rPr>
        <w:t>收集</w:t>
      </w:r>
      <w:r>
        <w:rPr>
          <w:rFonts w:ascii="Times New Roman" w:hAnsi="Times New Roman" w:eastAsia="Times New Roman" w:cs="Times New Roman"/>
          <w:spacing w:val="-2"/>
          <w:sz w:val="24"/>
          <w:szCs w:val="24"/>
        </w:rPr>
        <w:t>+</w:t>
      </w:r>
      <w:r>
        <w:rPr>
          <w:rFonts w:ascii="宋体" w:hAnsi="宋体" w:eastAsia="宋体" w:cs="宋体"/>
          <w:spacing w:val="-2"/>
          <w:sz w:val="24"/>
          <w:szCs w:val="24"/>
        </w:rPr>
        <w:t>生物除臭装置</w:t>
      </w:r>
      <w:r>
        <w:rPr>
          <w:rFonts w:ascii="Times New Roman" w:hAnsi="Times New Roman" w:eastAsia="Times New Roman" w:cs="Times New Roman"/>
          <w:spacing w:val="-2"/>
          <w:sz w:val="24"/>
          <w:szCs w:val="24"/>
        </w:rPr>
        <w:t>+15m</w:t>
      </w:r>
      <w:r>
        <w:rPr>
          <w:rFonts w:ascii="宋体" w:hAnsi="宋体" w:eastAsia="宋体" w:cs="宋体"/>
          <w:spacing w:val="-2"/>
          <w:sz w:val="24"/>
          <w:szCs w:val="24"/>
        </w:rPr>
        <w:t>高排气筒排放，本项目分别在污水处理站、堆</w:t>
      </w:r>
      <w:r>
        <w:rPr>
          <w:rFonts w:ascii="宋体" w:hAnsi="宋体" w:eastAsia="宋体" w:cs="宋体"/>
          <w:spacing w:val="-3"/>
          <w:sz w:val="24"/>
          <w:szCs w:val="24"/>
        </w:rPr>
        <w:t>粪棚共设</w:t>
      </w:r>
      <w:r>
        <w:rPr>
          <w:rFonts w:ascii="宋体" w:hAnsi="宋体" w:eastAsia="宋体" w:cs="宋体"/>
          <w:spacing w:val="-4"/>
          <w:sz w:val="24"/>
          <w:szCs w:val="24"/>
        </w:rPr>
        <w:t>置</w:t>
      </w:r>
      <w:r>
        <w:rPr>
          <w:rFonts w:ascii="Times New Roman" w:hAnsi="Times New Roman" w:eastAsia="Times New Roman" w:cs="Times New Roman"/>
          <w:spacing w:val="-4"/>
          <w:sz w:val="24"/>
          <w:szCs w:val="24"/>
        </w:rPr>
        <w:t>2</w:t>
      </w:r>
      <w:r>
        <w:rPr>
          <w:rFonts w:ascii="宋体" w:hAnsi="宋体" w:eastAsia="宋体" w:cs="宋体"/>
          <w:spacing w:val="-4"/>
          <w:sz w:val="24"/>
          <w:szCs w:val="24"/>
        </w:rPr>
        <w:t>套生物滤池设施。</w:t>
      </w:r>
    </w:p>
    <w:p w14:paraId="5FEFFCF5">
      <w:pPr>
        <w:spacing w:line="361" w:lineRule="auto"/>
        <w:ind w:left="39" w:right="30" w:firstLine="480"/>
        <w:jc w:val="both"/>
        <w:rPr>
          <w:rFonts w:ascii="宋体" w:hAnsi="宋体" w:eastAsia="宋体" w:cs="宋体"/>
          <w:sz w:val="24"/>
          <w:szCs w:val="24"/>
        </w:rPr>
      </w:pPr>
      <w:r>
        <w:rPr>
          <w:rFonts w:ascii="宋体" w:hAnsi="宋体" w:eastAsia="宋体" w:cs="宋体"/>
          <w:spacing w:val="-3"/>
          <w:sz w:val="24"/>
          <w:szCs w:val="24"/>
        </w:rPr>
        <w:t>本项目在无害化处理间内设置一台无害化生物降解处理机，</w:t>
      </w:r>
      <w:r>
        <w:rPr>
          <w:rFonts w:ascii="宋体" w:hAnsi="宋体" w:eastAsia="宋体" w:cs="宋体"/>
          <w:spacing w:val="-4"/>
          <w:sz w:val="24"/>
          <w:szCs w:val="24"/>
        </w:rPr>
        <w:t>无害化生物降解</w:t>
      </w:r>
      <w:r>
        <w:rPr>
          <w:rFonts w:ascii="宋体" w:hAnsi="宋体" w:eastAsia="宋体" w:cs="宋体"/>
          <w:spacing w:val="-3"/>
          <w:sz w:val="24"/>
          <w:szCs w:val="24"/>
        </w:rPr>
        <w:t>处理机自带恶臭气体净化装置，无害化生物降解处理机运行时恶臭气体首先</w:t>
      </w:r>
      <w:r>
        <w:rPr>
          <w:rFonts w:ascii="宋体" w:hAnsi="宋体" w:eastAsia="宋体" w:cs="宋体"/>
          <w:spacing w:val="-4"/>
          <w:sz w:val="24"/>
          <w:szCs w:val="24"/>
        </w:rPr>
        <w:t>经机</w:t>
      </w:r>
      <w:r>
        <w:rPr>
          <w:rFonts w:ascii="宋体" w:hAnsi="宋体" w:eastAsia="宋体" w:cs="宋体"/>
          <w:spacing w:val="-3"/>
          <w:sz w:val="24"/>
          <w:szCs w:val="24"/>
        </w:rPr>
        <w:t>器自带恶臭气体净化装置处理后，再通过负压收集系统与污水处理站臭气一并收</w:t>
      </w:r>
      <w:r>
        <w:rPr>
          <w:rFonts w:ascii="宋体" w:hAnsi="宋体" w:eastAsia="宋体" w:cs="宋体"/>
          <w:spacing w:val="-2"/>
          <w:sz w:val="24"/>
          <w:szCs w:val="24"/>
        </w:rPr>
        <w:t>集至生物滤池进行处理后</w:t>
      </w:r>
      <w:r>
        <w:rPr>
          <w:rFonts w:ascii="Times New Roman" w:hAnsi="Times New Roman" w:eastAsia="Times New Roman" w:cs="Times New Roman"/>
          <w:spacing w:val="-2"/>
          <w:sz w:val="24"/>
          <w:szCs w:val="24"/>
        </w:rPr>
        <w:t>15m</w:t>
      </w:r>
      <w:r>
        <w:rPr>
          <w:rFonts w:ascii="宋体" w:hAnsi="宋体" w:eastAsia="宋体" w:cs="宋体"/>
          <w:spacing w:val="-2"/>
          <w:sz w:val="24"/>
          <w:szCs w:val="24"/>
        </w:rPr>
        <w:t>排气筒排放。</w:t>
      </w:r>
    </w:p>
    <w:p w14:paraId="3A5FAAB0">
      <w:pPr>
        <w:spacing w:before="164" w:line="484" w:lineRule="exact"/>
        <w:ind w:firstLine="1204"/>
      </w:pPr>
      <w:r>
        <w:rPr>
          <w:position w:val="-9"/>
        </w:rPr>
        <w:pict>
          <v:group id="_x0000_s1086" o:spid="_x0000_s1086" o:spt="203" style="height:24.2pt;width:298.4pt;" coordsize="5967,484">
            <o:lock v:ext="edit"/>
            <v:shape id="_x0000_s1087" o:spid="_x0000_s1087" o:spt="75" type="#_x0000_t75" style="position:absolute;left:0;top:0;height:484;width:5967;" filled="f" stroked="f" coordsize="21600,21600">
              <v:path/>
              <v:fill on="f" focussize="0,0"/>
              <v:stroke on="f"/>
              <v:imagedata r:id="rId584" o:title=""/>
              <o:lock v:ext="edit" aspectratio="t"/>
            </v:shape>
            <v:shape id="_x0000_s1088" o:spid="_x0000_s1088" o:spt="202" type="#_x0000_t202" style="position:absolute;left:2165;top:113;height:250;width:3782;" filled="f" stroked="f" coordsize="21600,21600">
              <v:path/>
              <v:fill on="f" focussize="0,0"/>
              <v:stroke on="f"/>
              <v:imagedata o:title=""/>
              <o:lock v:ext="edit" aspectratio="f"/>
              <v:textbox inset="0mm,0mm,0mm,0mm">
                <w:txbxContent>
                  <w:p w14:paraId="7432C0DF">
                    <w:pPr>
                      <w:spacing w:before="20" w:line="217" w:lineRule="auto"/>
                      <w:ind w:left="20"/>
                      <w:rPr>
                        <w:rFonts w:ascii="宋体" w:hAnsi="宋体" w:eastAsia="宋体" w:cs="宋体"/>
                        <w:sz w:val="19"/>
                        <w:szCs w:val="19"/>
                      </w:rPr>
                    </w:pPr>
                    <w:r>
                      <w:rPr>
                        <w:rFonts w:ascii="宋体" w:hAnsi="宋体" w:eastAsia="宋体" w:cs="宋体"/>
                        <w:spacing w:val="4"/>
                        <w:sz w:val="19"/>
                        <w:szCs w:val="19"/>
                      </w:rPr>
                      <w:t>生物滤池</w:t>
                    </w:r>
                    <w:r>
                      <w:rPr>
                        <w:rFonts w:ascii="宋体" w:hAnsi="宋体" w:eastAsia="宋体" w:cs="宋体"/>
                        <w:spacing w:val="9"/>
                        <w:sz w:val="19"/>
                        <w:szCs w:val="19"/>
                      </w:rPr>
                      <w:t xml:space="preserve">         </w:t>
                    </w:r>
                    <w:r>
                      <w:rPr>
                        <w:rFonts w:ascii="Times New Roman" w:hAnsi="Times New Roman" w:eastAsia="Times New Roman" w:cs="Times New Roman"/>
                        <w:spacing w:val="4"/>
                        <w:sz w:val="19"/>
                        <w:szCs w:val="19"/>
                      </w:rPr>
                      <w:t>15m</w:t>
                    </w:r>
                    <w:r>
                      <w:rPr>
                        <w:rFonts w:ascii="宋体" w:hAnsi="宋体" w:eastAsia="宋体" w:cs="宋体"/>
                        <w:spacing w:val="4"/>
                        <w:sz w:val="19"/>
                        <w:szCs w:val="19"/>
                      </w:rPr>
                      <w:t>排气筒</w:t>
                    </w:r>
                    <w:r>
                      <w:rPr>
                        <w:rFonts w:ascii="Times New Roman" w:hAnsi="Times New Roman" w:eastAsia="Times New Roman" w:cs="Times New Roman"/>
                        <w:spacing w:val="4"/>
                        <w:sz w:val="19"/>
                        <w:szCs w:val="19"/>
                      </w:rPr>
                      <w:t>(</w:t>
                    </w:r>
                    <w:r>
                      <w:rPr>
                        <w:rFonts w:ascii="Times New Roman" w:hAnsi="Times New Roman" w:eastAsia="Times New Roman" w:cs="Times New Roman"/>
                        <w:sz w:val="19"/>
                        <w:szCs w:val="19"/>
                      </w:rPr>
                      <w:t>DA</w:t>
                    </w:r>
                    <w:r>
                      <w:rPr>
                        <w:rFonts w:ascii="Times New Roman" w:hAnsi="Times New Roman" w:eastAsia="Times New Roman" w:cs="Times New Roman"/>
                        <w:spacing w:val="4"/>
                        <w:sz w:val="19"/>
                        <w:szCs w:val="19"/>
                      </w:rPr>
                      <w:t>001)</w:t>
                    </w:r>
                    <w:r>
                      <w:rPr>
                        <w:rFonts w:ascii="宋体" w:hAnsi="宋体" w:eastAsia="宋体" w:cs="宋体"/>
                        <w:spacing w:val="4"/>
                        <w:sz w:val="19"/>
                        <w:szCs w:val="19"/>
                      </w:rPr>
                      <w:t>排放</w:t>
                    </w:r>
                  </w:p>
                </w:txbxContent>
              </v:textbox>
            </v:shape>
            <v:shape id="_x0000_s1089" o:spid="_x0000_s1089" o:spt="202" type="#_x0000_t202" style="position:absolute;left:17;top:113;height:236;width:1020;" filled="f" stroked="f" coordsize="21600,21600">
              <v:path/>
              <v:fill on="f" focussize="0,0"/>
              <v:stroke on="f"/>
              <v:imagedata o:title=""/>
              <o:lock v:ext="edit" aspectratio="f"/>
              <v:textbox inset="0mm,0mm,0mm,0mm">
                <w:txbxContent>
                  <w:p w14:paraId="764E6442">
                    <w:pPr>
                      <w:spacing w:before="20" w:line="224" w:lineRule="auto"/>
                      <w:ind w:left="20"/>
                      <w:rPr>
                        <w:rFonts w:ascii="宋体" w:hAnsi="宋体" w:eastAsia="宋体" w:cs="宋体"/>
                        <w:sz w:val="19"/>
                        <w:szCs w:val="19"/>
                      </w:rPr>
                    </w:pPr>
                    <w:r>
                      <w:rPr>
                        <w:rFonts w:ascii="宋体" w:hAnsi="宋体" w:eastAsia="宋体" w:cs="宋体"/>
                        <w:spacing w:val="5"/>
                        <w:sz w:val="19"/>
                        <w:szCs w:val="19"/>
                      </w:rPr>
                      <w:t>污水处理站</w:t>
                    </w:r>
                  </w:p>
                </w:txbxContent>
              </v:textbox>
            </v:shape>
            <v:shape id="_x0000_s1090" o:spid="_x0000_s1090" o:spt="202" type="#_x0000_t202" style="position:absolute;left:1181;top:-1;height:198;width:670;" filled="f" stroked="f" coordsize="21600,21600">
              <v:path/>
              <v:fill on="f" focussize="0,0"/>
              <v:stroke on="f"/>
              <v:imagedata o:title=""/>
              <o:lock v:ext="edit" aspectratio="f"/>
              <v:textbox inset="0mm,0mm,0mm,0mm">
                <w:txbxContent>
                  <w:p w14:paraId="44B2402D">
                    <w:pPr>
                      <w:spacing w:before="19" w:line="230" w:lineRule="auto"/>
                      <w:ind w:left="20"/>
                      <w:rPr>
                        <w:rFonts w:ascii="宋体" w:hAnsi="宋体" w:eastAsia="宋体" w:cs="宋体"/>
                        <w:sz w:val="15"/>
                        <w:szCs w:val="15"/>
                      </w:rPr>
                    </w:pPr>
                    <w:r>
                      <w:rPr>
                        <w:rFonts w:ascii="宋体" w:hAnsi="宋体" w:eastAsia="宋体" w:cs="宋体"/>
                        <w:spacing w:val="7"/>
                        <w:sz w:val="15"/>
                        <w:szCs w:val="15"/>
                      </w:rPr>
                      <w:t>负压收集</w:t>
                    </w:r>
                  </w:p>
                </w:txbxContent>
              </v:textbox>
            </v:shape>
            <w10:wrap type="none"/>
            <w10:anchorlock/>
          </v:group>
        </w:pict>
      </w:r>
    </w:p>
    <w:p w14:paraId="1D750573">
      <w:pPr>
        <w:pStyle w:val="2"/>
        <w:spacing w:line="294" w:lineRule="auto"/>
      </w:pPr>
    </w:p>
    <w:p w14:paraId="69AFAF74">
      <w:pPr>
        <w:spacing w:line="484" w:lineRule="exact"/>
        <w:ind w:firstLine="1204"/>
      </w:pPr>
      <w:r>
        <w:rPr>
          <w:position w:val="-9"/>
        </w:rPr>
        <w:pict>
          <v:group id="_x0000_s1091" o:spid="_x0000_s1091" o:spt="203" style="height:24.2pt;width:298.4pt;" coordsize="5967,484">
            <o:lock v:ext="edit"/>
            <v:shape id="_x0000_s1092" o:spid="_x0000_s1092" o:spt="75" type="#_x0000_t75" style="position:absolute;left:0;top:0;height:484;width:5967;" filled="f" stroked="f" coordsize="21600,21600">
              <v:path/>
              <v:fill on="f" focussize="0,0"/>
              <v:stroke on="f"/>
              <v:imagedata r:id="rId584" o:title=""/>
              <o:lock v:ext="edit" aspectratio="t"/>
            </v:shape>
            <v:shape id="_x0000_s1093" o:spid="_x0000_s1093" o:spt="202" type="#_x0000_t202" style="position:absolute;left:2165;top:113;height:250;width:3782;" filled="f" stroked="f" coordsize="21600,21600">
              <v:path/>
              <v:fill on="f" focussize="0,0"/>
              <v:stroke on="f"/>
              <v:imagedata o:title=""/>
              <o:lock v:ext="edit" aspectratio="f"/>
              <v:textbox inset="0mm,0mm,0mm,0mm">
                <w:txbxContent>
                  <w:p w14:paraId="04BBCC00">
                    <w:pPr>
                      <w:spacing w:before="20" w:line="217" w:lineRule="auto"/>
                      <w:ind w:left="20"/>
                      <w:rPr>
                        <w:rFonts w:ascii="宋体" w:hAnsi="宋体" w:eastAsia="宋体" w:cs="宋体"/>
                        <w:sz w:val="19"/>
                        <w:szCs w:val="19"/>
                      </w:rPr>
                    </w:pPr>
                    <w:r>
                      <w:rPr>
                        <w:rFonts w:ascii="宋体" w:hAnsi="宋体" w:eastAsia="宋体" w:cs="宋体"/>
                        <w:spacing w:val="4"/>
                        <w:sz w:val="19"/>
                        <w:szCs w:val="19"/>
                      </w:rPr>
                      <w:t>生物滤池</w:t>
                    </w:r>
                    <w:r>
                      <w:rPr>
                        <w:rFonts w:ascii="宋体" w:hAnsi="宋体" w:eastAsia="宋体" w:cs="宋体"/>
                        <w:spacing w:val="9"/>
                        <w:sz w:val="19"/>
                        <w:szCs w:val="19"/>
                      </w:rPr>
                      <w:t xml:space="preserve">         </w:t>
                    </w:r>
                    <w:r>
                      <w:rPr>
                        <w:rFonts w:ascii="Times New Roman" w:hAnsi="Times New Roman" w:eastAsia="Times New Roman" w:cs="Times New Roman"/>
                        <w:spacing w:val="4"/>
                        <w:sz w:val="19"/>
                        <w:szCs w:val="19"/>
                      </w:rPr>
                      <w:t>15m</w:t>
                    </w:r>
                    <w:r>
                      <w:rPr>
                        <w:rFonts w:ascii="宋体" w:hAnsi="宋体" w:eastAsia="宋体" w:cs="宋体"/>
                        <w:spacing w:val="4"/>
                        <w:sz w:val="19"/>
                        <w:szCs w:val="19"/>
                      </w:rPr>
                      <w:t>排气筒</w:t>
                    </w:r>
                    <w:r>
                      <w:rPr>
                        <w:rFonts w:ascii="Times New Roman" w:hAnsi="Times New Roman" w:eastAsia="Times New Roman" w:cs="Times New Roman"/>
                        <w:spacing w:val="4"/>
                        <w:sz w:val="19"/>
                        <w:szCs w:val="19"/>
                      </w:rPr>
                      <w:t>(</w:t>
                    </w:r>
                    <w:r>
                      <w:rPr>
                        <w:rFonts w:ascii="Times New Roman" w:hAnsi="Times New Roman" w:eastAsia="Times New Roman" w:cs="Times New Roman"/>
                        <w:sz w:val="19"/>
                        <w:szCs w:val="19"/>
                      </w:rPr>
                      <w:t>DA</w:t>
                    </w:r>
                    <w:r>
                      <w:rPr>
                        <w:rFonts w:ascii="Times New Roman" w:hAnsi="Times New Roman" w:eastAsia="Times New Roman" w:cs="Times New Roman"/>
                        <w:spacing w:val="4"/>
                        <w:sz w:val="19"/>
                        <w:szCs w:val="19"/>
                      </w:rPr>
                      <w:t>002)</w:t>
                    </w:r>
                    <w:r>
                      <w:rPr>
                        <w:rFonts w:ascii="宋体" w:hAnsi="宋体" w:eastAsia="宋体" w:cs="宋体"/>
                        <w:spacing w:val="4"/>
                        <w:sz w:val="19"/>
                        <w:szCs w:val="19"/>
                      </w:rPr>
                      <w:t>排放</w:t>
                    </w:r>
                  </w:p>
                </w:txbxContent>
              </v:textbox>
            </v:shape>
            <v:shape id="_x0000_s1094" o:spid="_x0000_s1094" o:spt="202" type="#_x0000_t202" style="position:absolute;left:214;top:113;height:236;width:624;" filled="f" stroked="f" coordsize="21600,21600">
              <v:path/>
              <v:fill on="f" focussize="0,0"/>
              <v:stroke on="f"/>
              <v:imagedata o:title=""/>
              <o:lock v:ext="edit" aspectratio="f"/>
              <v:textbox inset="0mm,0mm,0mm,0mm">
                <w:txbxContent>
                  <w:p w14:paraId="7717006D">
                    <w:pPr>
                      <w:spacing w:before="20" w:line="224" w:lineRule="auto"/>
                      <w:ind w:left="20"/>
                      <w:rPr>
                        <w:rFonts w:ascii="宋体" w:hAnsi="宋体" w:eastAsia="宋体" w:cs="宋体"/>
                        <w:sz w:val="19"/>
                        <w:szCs w:val="19"/>
                      </w:rPr>
                    </w:pPr>
                    <w:r>
                      <w:rPr>
                        <w:rFonts w:ascii="宋体" w:hAnsi="宋体" w:eastAsia="宋体" w:cs="宋体"/>
                        <w:spacing w:val="4"/>
                        <w:sz w:val="19"/>
                        <w:szCs w:val="19"/>
                      </w:rPr>
                      <w:t>堆粪棚</w:t>
                    </w:r>
                  </w:p>
                </w:txbxContent>
              </v:textbox>
            </v:shape>
            <v:shape id="_x0000_s1095" o:spid="_x0000_s1095" o:spt="202" type="#_x0000_t202" style="position:absolute;left:1181;top:-1;height:198;width:670;" filled="f" stroked="f" coordsize="21600,21600">
              <v:path/>
              <v:fill on="f" focussize="0,0"/>
              <v:stroke on="f"/>
              <v:imagedata o:title=""/>
              <o:lock v:ext="edit" aspectratio="f"/>
              <v:textbox inset="0mm,0mm,0mm,0mm">
                <w:txbxContent>
                  <w:p w14:paraId="1EFF1A60">
                    <w:pPr>
                      <w:spacing w:before="19" w:line="230" w:lineRule="auto"/>
                      <w:ind w:left="20"/>
                      <w:rPr>
                        <w:rFonts w:ascii="宋体" w:hAnsi="宋体" w:eastAsia="宋体" w:cs="宋体"/>
                        <w:sz w:val="15"/>
                        <w:szCs w:val="15"/>
                      </w:rPr>
                    </w:pPr>
                    <w:r>
                      <w:rPr>
                        <w:rFonts w:ascii="宋体" w:hAnsi="宋体" w:eastAsia="宋体" w:cs="宋体"/>
                        <w:spacing w:val="7"/>
                        <w:sz w:val="15"/>
                        <w:szCs w:val="15"/>
                      </w:rPr>
                      <w:t>负压收集</w:t>
                    </w:r>
                  </w:p>
                </w:txbxContent>
              </v:textbox>
            </v:shape>
            <w10:wrap type="none"/>
            <w10:anchorlock/>
          </v:group>
        </w:pict>
      </w:r>
    </w:p>
    <w:p w14:paraId="175C2AED">
      <w:pPr>
        <w:spacing w:before="140" w:line="222" w:lineRule="auto"/>
        <w:ind w:left="2436"/>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3"/>
          <w:sz w:val="21"/>
          <w:szCs w:val="21"/>
        </w:rPr>
        <w:t xml:space="preserve"> </w:t>
      </w:r>
      <w:r>
        <w:rPr>
          <w:rFonts w:ascii="Times New Roman" w:hAnsi="Times New Roman" w:eastAsia="Times New Roman" w:cs="Times New Roman"/>
          <w:spacing w:val="-2"/>
          <w:sz w:val="21"/>
          <w:szCs w:val="21"/>
        </w:rPr>
        <w:t xml:space="preserve">5.2-2  </w:t>
      </w:r>
      <w:r>
        <w:rPr>
          <w:rFonts w:ascii="黑体" w:hAnsi="黑体" w:eastAsia="黑体" w:cs="黑体"/>
          <w:spacing w:val="-2"/>
          <w:sz w:val="21"/>
          <w:szCs w:val="21"/>
        </w:rPr>
        <w:t>粪污处理恶臭气体处理示意图</w:t>
      </w:r>
    </w:p>
    <w:p w14:paraId="5946CAD7">
      <w:pPr>
        <w:spacing w:line="222" w:lineRule="auto"/>
        <w:rPr>
          <w:rFonts w:ascii="黑体" w:hAnsi="黑体" w:eastAsia="黑体" w:cs="黑体"/>
          <w:sz w:val="21"/>
          <w:szCs w:val="21"/>
        </w:rPr>
        <w:sectPr>
          <w:headerReference r:id="rId449" w:type="default"/>
          <w:footerReference r:id="rId450" w:type="default"/>
          <w:pgSz w:w="11905" w:h="16840"/>
          <w:pgMar w:top="1168" w:right="1768" w:bottom="1409" w:left="1770" w:header="828" w:footer="1244" w:gutter="0"/>
          <w:cols w:space="720" w:num="1"/>
        </w:sectPr>
      </w:pPr>
    </w:p>
    <w:p w14:paraId="243C82BB">
      <w:pPr>
        <w:pStyle w:val="2"/>
        <w:spacing w:line="301" w:lineRule="auto"/>
      </w:pPr>
    </w:p>
    <w:p w14:paraId="46C3E243">
      <w:pPr>
        <w:spacing w:before="78" w:line="359" w:lineRule="auto"/>
        <w:ind w:left="27" w:right="85" w:firstLine="494"/>
        <w:rPr>
          <w:rFonts w:ascii="宋体" w:hAnsi="宋体" w:eastAsia="宋体" w:cs="宋体"/>
          <w:sz w:val="24"/>
          <w:szCs w:val="24"/>
        </w:rPr>
      </w:pPr>
      <w:r>
        <w:rPr>
          <w:rFonts w:ascii="宋体" w:hAnsi="宋体" w:eastAsia="宋体" w:cs="宋体"/>
          <w:spacing w:val="-3"/>
          <w:sz w:val="24"/>
          <w:szCs w:val="24"/>
        </w:rPr>
        <w:t>生物滤池除臭原理：加湿后的废气被通入填充有填料（如</w:t>
      </w:r>
      <w:r>
        <w:rPr>
          <w:rFonts w:ascii="宋体" w:hAnsi="宋体" w:eastAsia="宋体" w:cs="宋体"/>
          <w:spacing w:val="-4"/>
          <w:sz w:val="24"/>
          <w:szCs w:val="24"/>
        </w:rPr>
        <w:t>土壤、树皮、珍珠</w:t>
      </w:r>
      <w:r>
        <w:rPr>
          <w:rFonts w:ascii="宋体" w:hAnsi="宋体" w:eastAsia="宋体" w:cs="宋体"/>
          <w:spacing w:val="-6"/>
          <w:sz w:val="24"/>
          <w:szCs w:val="24"/>
        </w:rPr>
        <w:t>岩、沸石、有机塑料等） 的生物过滤器中，与填料上所附着</w:t>
      </w:r>
      <w:r>
        <w:rPr>
          <w:rFonts w:ascii="宋体" w:hAnsi="宋体" w:eastAsia="宋体" w:cs="宋体"/>
          <w:spacing w:val="-7"/>
          <w:sz w:val="24"/>
          <w:szCs w:val="24"/>
        </w:rPr>
        <w:t>生长的生物膜（微生</w:t>
      </w:r>
      <w:r>
        <w:rPr>
          <w:rFonts w:ascii="宋体" w:hAnsi="宋体" w:eastAsia="宋体" w:cs="宋体"/>
          <w:spacing w:val="-11"/>
          <w:sz w:val="24"/>
          <w:szCs w:val="24"/>
        </w:rPr>
        <w:t>物）接触，被微生物所吸附降解，最终转化为简单的无机物（如</w:t>
      </w:r>
      <w:r>
        <w:rPr>
          <w:rFonts w:ascii="Times New Roman" w:hAnsi="Times New Roman" w:eastAsia="Times New Roman" w:cs="Times New Roman"/>
          <w:spacing w:val="-11"/>
          <w:sz w:val="24"/>
          <w:szCs w:val="24"/>
        </w:rPr>
        <w:t>CO</w:t>
      </w:r>
      <w:r>
        <w:rPr>
          <w:rFonts w:ascii="Times New Roman" w:hAnsi="Times New Roman" w:eastAsia="Times New Roman" w:cs="Times New Roman"/>
          <w:spacing w:val="-11"/>
          <w:position w:val="-3"/>
          <w:sz w:val="15"/>
          <w:szCs w:val="15"/>
        </w:rPr>
        <w:t>2</w:t>
      </w:r>
      <w:r>
        <w:rPr>
          <w:rFonts w:ascii="宋体" w:hAnsi="宋体" w:eastAsia="宋体" w:cs="宋体"/>
          <w:spacing w:val="-29"/>
          <w:w w:val="98"/>
          <w:sz w:val="24"/>
          <w:szCs w:val="24"/>
        </w:rPr>
        <w:t>、</w:t>
      </w:r>
      <w:r>
        <w:rPr>
          <w:rFonts w:ascii="Times New Roman" w:hAnsi="Times New Roman" w:eastAsia="Times New Roman" w:cs="Times New Roman"/>
          <w:spacing w:val="-29"/>
          <w:w w:val="98"/>
          <w:sz w:val="24"/>
          <w:szCs w:val="24"/>
        </w:rPr>
        <w:t>H</w:t>
      </w:r>
      <w:r>
        <w:rPr>
          <w:rFonts w:ascii="Times New Roman" w:hAnsi="Times New Roman" w:eastAsia="Times New Roman" w:cs="Times New Roman"/>
          <w:spacing w:val="3"/>
          <w:position w:val="-3"/>
          <w:sz w:val="15"/>
          <w:szCs w:val="15"/>
        </w:rPr>
        <w:t>2</w:t>
      </w:r>
      <w:r>
        <w:rPr>
          <w:rFonts w:ascii="Times New Roman" w:hAnsi="Times New Roman" w:eastAsia="Times New Roman" w:cs="Times New Roman"/>
          <w:spacing w:val="3"/>
          <w:sz w:val="24"/>
          <w:szCs w:val="24"/>
        </w:rPr>
        <w:t>O</w:t>
      </w:r>
      <w:r>
        <w:rPr>
          <w:rFonts w:ascii="宋体" w:hAnsi="宋体" w:eastAsia="宋体" w:cs="宋体"/>
          <w:spacing w:val="-28"/>
          <w:sz w:val="24"/>
          <w:szCs w:val="24"/>
        </w:rPr>
        <w:t>、</w:t>
      </w:r>
      <w:r>
        <w:rPr>
          <w:rFonts w:ascii="Times New Roman" w:hAnsi="Times New Roman" w:eastAsia="Times New Roman" w:cs="Times New Roman"/>
          <w:spacing w:val="-28"/>
          <w:sz w:val="24"/>
          <w:szCs w:val="24"/>
        </w:rPr>
        <w:t>SO</w:t>
      </w:r>
      <w:r>
        <w:rPr>
          <w:rFonts w:ascii="Times New Roman" w:hAnsi="Times New Roman" w:eastAsia="Times New Roman" w:cs="Times New Roman"/>
          <w:spacing w:val="-3"/>
          <w:position w:val="-3"/>
          <w:sz w:val="15"/>
          <w:szCs w:val="15"/>
        </w:rPr>
        <w:t>4</w:t>
      </w:r>
      <w:r>
        <w:rPr>
          <w:rFonts w:ascii="Times New Roman" w:hAnsi="Times New Roman" w:eastAsia="Times New Roman" w:cs="Times New Roman"/>
          <w:spacing w:val="-3"/>
          <w:position w:val="11"/>
          <w:sz w:val="15"/>
          <w:szCs w:val="15"/>
        </w:rPr>
        <w:t>2-</w:t>
      </w:r>
      <w:r>
        <w:rPr>
          <w:rFonts w:ascii="Times New Roman" w:hAnsi="Times New Roman" w:eastAsia="Times New Roman" w:cs="Times New Roman"/>
          <w:spacing w:val="-9"/>
          <w:position w:val="11"/>
          <w:sz w:val="15"/>
          <w:szCs w:val="15"/>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0"/>
          <w:sz w:val="15"/>
          <w:szCs w:val="15"/>
        </w:rPr>
        <w:t>3-</w:t>
      </w:r>
      <w:r>
        <w:rPr>
          <w:rFonts w:ascii="宋体" w:hAnsi="宋体" w:eastAsia="宋体" w:cs="宋体"/>
          <w:spacing w:val="-4"/>
          <w:sz w:val="24"/>
          <w:szCs w:val="24"/>
        </w:rPr>
        <w:t>和</w:t>
      </w:r>
      <w:r>
        <w:rPr>
          <w:rFonts w:ascii="Times New Roman" w:hAnsi="Times New Roman" w:eastAsia="Times New Roman" w:cs="Times New Roman"/>
          <w:spacing w:val="-4"/>
          <w:sz w:val="24"/>
          <w:szCs w:val="24"/>
        </w:rPr>
        <w:t>Cl</w:t>
      </w:r>
      <w:r>
        <w:rPr>
          <w:rFonts w:ascii="Times New Roman" w:hAnsi="Times New Roman" w:eastAsia="Times New Roman" w:cs="Times New Roman"/>
          <w:spacing w:val="-4"/>
          <w:position w:val="10"/>
          <w:sz w:val="15"/>
          <w:szCs w:val="15"/>
        </w:rPr>
        <w:t>-</w:t>
      </w:r>
      <w:r>
        <w:rPr>
          <w:rFonts w:ascii="宋体" w:hAnsi="宋体" w:eastAsia="宋体" w:cs="宋体"/>
          <w:spacing w:val="-4"/>
          <w:sz w:val="24"/>
          <w:szCs w:val="24"/>
        </w:rPr>
        <w:t>等）或合成新细胞物质，处理后的气体在从生物过滤器的另一端排出。</w:t>
      </w:r>
      <w:r>
        <w:rPr>
          <w:rFonts w:ascii="宋体" w:hAnsi="宋体" w:eastAsia="宋体" w:cs="宋体"/>
          <w:spacing w:val="3"/>
          <w:sz w:val="24"/>
          <w:szCs w:val="24"/>
        </w:rPr>
        <w:t>生物过滤器所填充的填料需维持一定的</w:t>
      </w:r>
      <w:r>
        <w:rPr>
          <w:rFonts w:ascii="Times New Roman" w:hAnsi="Times New Roman" w:eastAsia="Times New Roman" w:cs="Times New Roman"/>
          <w:sz w:val="24"/>
          <w:szCs w:val="24"/>
        </w:rPr>
        <w:t>pH</w:t>
      </w:r>
      <w:r>
        <w:rPr>
          <w:rFonts w:ascii="宋体" w:hAnsi="宋体" w:eastAsia="宋体" w:cs="宋体"/>
          <w:spacing w:val="3"/>
          <w:sz w:val="24"/>
          <w:szCs w:val="24"/>
        </w:rPr>
        <w:t>范围、湿度和营养，以维</w:t>
      </w:r>
      <w:r>
        <w:rPr>
          <w:rFonts w:ascii="宋体" w:hAnsi="宋体" w:eastAsia="宋体" w:cs="宋体"/>
          <w:spacing w:val="2"/>
          <w:sz w:val="24"/>
          <w:szCs w:val="24"/>
        </w:rPr>
        <w:t>持微生物的</w:t>
      </w:r>
      <w:r>
        <w:rPr>
          <w:rFonts w:ascii="宋体" w:hAnsi="宋体" w:eastAsia="宋体" w:cs="宋体"/>
          <w:spacing w:val="-3"/>
          <w:sz w:val="24"/>
          <w:szCs w:val="24"/>
        </w:rPr>
        <w:t>正常代谢活动，这些营养和湿度可以通过填料自身提供或外加。生物滤池里微生物具有生长更新换代快，始终保持着良好的活性，即使停止使用再启动速度快的</w:t>
      </w:r>
      <w:r>
        <w:rPr>
          <w:rFonts w:ascii="宋体" w:hAnsi="宋体" w:eastAsia="宋体" w:cs="宋体"/>
          <w:spacing w:val="-1"/>
          <w:sz w:val="24"/>
          <w:szCs w:val="24"/>
        </w:rPr>
        <w:t>特点，采用高效生物填料，使用寿命厂，一般可长达十年以上，无需更换。</w:t>
      </w:r>
    </w:p>
    <w:p w14:paraId="6439F772">
      <w:pPr>
        <w:spacing w:before="7" w:line="360" w:lineRule="auto"/>
        <w:ind w:left="37" w:right="85" w:firstLine="483"/>
        <w:jc w:val="both"/>
        <w:rPr>
          <w:rFonts w:ascii="宋体" w:hAnsi="宋体" w:eastAsia="宋体" w:cs="宋体"/>
          <w:sz w:val="24"/>
          <w:szCs w:val="24"/>
        </w:rPr>
      </w:pPr>
      <w:r>
        <w:rPr>
          <w:rFonts w:ascii="宋体" w:hAnsi="宋体" w:eastAsia="宋体" w:cs="宋体"/>
          <w:spacing w:val="-3"/>
          <w:sz w:val="24"/>
          <w:szCs w:val="24"/>
        </w:rPr>
        <w:t>生物滤池除臭系统主要包括臭气收集及输送系统和生物滤池</w:t>
      </w:r>
      <w:r>
        <w:rPr>
          <w:rFonts w:ascii="宋体" w:hAnsi="宋体" w:eastAsia="宋体" w:cs="宋体"/>
          <w:spacing w:val="-4"/>
          <w:sz w:val="24"/>
          <w:szCs w:val="24"/>
        </w:rPr>
        <w:t>。生物滤池可设</w:t>
      </w:r>
      <w:r>
        <w:rPr>
          <w:rFonts w:ascii="宋体" w:hAnsi="宋体" w:eastAsia="宋体" w:cs="宋体"/>
          <w:spacing w:val="-3"/>
          <w:sz w:val="24"/>
          <w:szCs w:val="24"/>
        </w:rPr>
        <w:t>置为混凝土矩形池，池底为布气系统，由带有多个滤头的模压塑料滤板组成，上层为无机滤料其厚度根据处理气量的多少来确定。从各种处理构筑物收集的臭气通过风机鼓入滤板下，由滤板均匀分布扩散至滤池，通过滤池内滤料达到去除臭</w:t>
      </w:r>
      <w:r>
        <w:rPr>
          <w:rFonts w:ascii="宋体" w:hAnsi="宋体" w:eastAsia="宋体" w:cs="宋体"/>
          <w:spacing w:val="-5"/>
          <w:sz w:val="24"/>
          <w:szCs w:val="24"/>
        </w:rPr>
        <w:t>气化合物的目的。</w:t>
      </w:r>
    </w:p>
    <w:p w14:paraId="34DF0475">
      <w:pPr>
        <w:spacing w:before="1" w:line="354" w:lineRule="auto"/>
        <w:ind w:left="44" w:right="84" w:firstLine="477"/>
        <w:rPr>
          <w:rFonts w:ascii="宋体" w:hAnsi="宋体" w:eastAsia="宋体" w:cs="宋体"/>
          <w:sz w:val="24"/>
          <w:szCs w:val="24"/>
        </w:rPr>
      </w:pPr>
      <w:r>
        <w:rPr>
          <w:rFonts w:ascii="宋体" w:hAnsi="宋体" w:eastAsia="宋体" w:cs="宋体"/>
          <w:spacing w:val="4"/>
          <w:sz w:val="24"/>
          <w:szCs w:val="24"/>
        </w:rPr>
        <w:t>生物过滤法对废气去除是不同的生化作用与物理化学作用的复杂结合的结</w:t>
      </w:r>
      <w:r>
        <w:rPr>
          <w:rFonts w:ascii="宋体" w:hAnsi="宋体" w:eastAsia="宋体" w:cs="宋体"/>
          <w:spacing w:val="-7"/>
          <w:sz w:val="24"/>
          <w:szCs w:val="24"/>
        </w:rPr>
        <w:t>果，其降解机理如下：</w:t>
      </w:r>
    </w:p>
    <w:p w14:paraId="3B6B0D7B">
      <w:pPr>
        <w:spacing w:before="2" w:line="354" w:lineRule="auto"/>
        <w:ind w:left="1383" w:right="1441" w:firstLine="93"/>
        <w:rPr>
          <w:rFonts w:ascii="宋体" w:hAnsi="宋体" w:eastAsia="宋体" w:cs="宋体"/>
          <w:sz w:val="24"/>
          <w:szCs w:val="24"/>
        </w:rPr>
      </w:pP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pacing w:val="-10"/>
          <w:position w:val="-2"/>
          <w:sz w:val="15"/>
          <w:szCs w:val="15"/>
        </w:rPr>
        <w:t xml:space="preserve"> </w:t>
      </w:r>
      <w:r>
        <w:rPr>
          <w:rFonts w:ascii="Times New Roman" w:hAnsi="Times New Roman" w:eastAsia="Times New Roman" w:cs="Times New Roman"/>
          <w:sz w:val="24"/>
          <w:szCs w:val="24"/>
        </w:rPr>
        <w:t>S</w:t>
      </w:r>
      <w:r>
        <w:rPr>
          <w:rFonts w:ascii="宋体" w:hAnsi="宋体" w:eastAsia="宋体" w:cs="宋体"/>
          <w:sz w:val="24"/>
          <w:szCs w:val="24"/>
        </w:rPr>
        <w:t>或其它含硫物质</w:t>
      </w:r>
      <w:r>
        <w:rPr>
          <w:rFonts w:ascii="Times New Roman" w:hAnsi="Times New Roman" w:eastAsia="Times New Roman" w:cs="Times New Roman"/>
          <w:sz w:val="24"/>
          <w:szCs w:val="24"/>
        </w:rPr>
        <w:t>+O</w:t>
      </w:r>
      <w:r>
        <w:rPr>
          <w:rFonts w:ascii="Times New Roman" w:hAnsi="Times New Roman" w:eastAsia="Times New Roman" w:cs="Times New Roman"/>
          <w:position w:val="-2"/>
          <w:sz w:val="15"/>
          <w:szCs w:val="15"/>
        </w:rPr>
        <w:t>2</w:t>
      </w:r>
      <w:r>
        <w:rPr>
          <w:rFonts w:ascii="Times New Roman" w:hAnsi="Times New Roman" w:eastAsia="Times New Roman" w:cs="Times New Roman"/>
          <w:sz w:val="24"/>
          <w:szCs w:val="24"/>
        </w:rPr>
        <w:t>→SO</w:t>
      </w:r>
      <w:r>
        <w:rPr>
          <w:rFonts w:ascii="Times New Roman" w:hAnsi="Times New Roman" w:eastAsia="Times New Roman" w:cs="Times New Roman"/>
          <w:position w:val="-2"/>
          <w:sz w:val="15"/>
          <w:szCs w:val="15"/>
        </w:rPr>
        <w:t>4</w:t>
      </w:r>
      <w:r>
        <w:rPr>
          <w:rFonts w:ascii="Times New Roman" w:hAnsi="Times New Roman" w:eastAsia="Times New Roman" w:cs="Times New Roman"/>
          <w:position w:val="11"/>
          <w:sz w:val="15"/>
          <w:szCs w:val="15"/>
        </w:rPr>
        <w:t>2-</w:t>
      </w:r>
      <w:r>
        <w:rPr>
          <w:rFonts w:ascii="Times New Roman" w:hAnsi="Times New Roman" w:eastAsia="Times New Roman" w:cs="Times New Roman"/>
          <w:sz w:val="24"/>
          <w:szCs w:val="24"/>
        </w:rPr>
        <w:t>+CO</w:t>
      </w:r>
      <w:r>
        <w:rPr>
          <w:rFonts w:ascii="Times New Roman" w:hAnsi="Times New Roman" w:eastAsia="Times New Roman" w:cs="Times New Roman"/>
          <w:position w:val="-2"/>
          <w:sz w:val="15"/>
          <w:szCs w:val="15"/>
        </w:rPr>
        <w:t>2</w:t>
      </w:r>
      <w:r>
        <w:rPr>
          <w:rFonts w:ascii="Times New Roman" w:hAnsi="Times New Roman" w:eastAsia="Times New Roman" w:cs="Times New Roman"/>
          <w:sz w:val="24"/>
          <w:szCs w:val="24"/>
        </w:rPr>
        <w:t>+H</w:t>
      </w:r>
      <w:r>
        <w:rPr>
          <w:rFonts w:ascii="Times New Roman" w:hAnsi="Times New Roman" w:eastAsia="Times New Roman" w:cs="Times New Roman"/>
          <w:position w:val="-2"/>
          <w:sz w:val="15"/>
          <w:szCs w:val="15"/>
        </w:rPr>
        <w:t>2</w:t>
      </w:r>
      <w:r>
        <w:rPr>
          <w:rFonts w:ascii="Times New Roman" w:hAnsi="Times New Roman" w:eastAsia="Times New Roman" w:cs="Times New Roman"/>
          <w:sz w:val="24"/>
          <w:szCs w:val="24"/>
        </w:rPr>
        <w:t>O+</w:t>
      </w:r>
      <w:r>
        <w:rPr>
          <w:rFonts w:ascii="宋体" w:hAnsi="宋体" w:eastAsia="宋体" w:cs="宋体"/>
          <w:sz w:val="24"/>
          <w:szCs w:val="24"/>
        </w:rPr>
        <w:t>细胞物质</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或含</w:t>
      </w:r>
      <w:r>
        <w:rPr>
          <w:rFonts w:ascii="Times New Roman" w:hAnsi="Times New Roman" w:eastAsia="Times New Roman" w:cs="Times New Roman"/>
          <w:spacing w:val="1"/>
          <w:sz w:val="24"/>
          <w:szCs w:val="24"/>
        </w:rPr>
        <w:t>N</w:t>
      </w:r>
      <w:r>
        <w:rPr>
          <w:rFonts w:ascii="宋体" w:hAnsi="宋体" w:eastAsia="宋体" w:cs="宋体"/>
          <w:spacing w:val="1"/>
          <w:sz w:val="24"/>
          <w:szCs w:val="24"/>
        </w:rPr>
        <w:t>无机化合物</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CO</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NO</w:t>
      </w:r>
      <w:r>
        <w:rPr>
          <w:rFonts w:ascii="Times New Roman" w:hAnsi="Times New Roman" w:eastAsia="Times New Roman" w:cs="Times New Roman"/>
          <w:spacing w:val="1"/>
          <w:position w:val="11"/>
          <w:sz w:val="15"/>
          <w:szCs w:val="15"/>
        </w:rPr>
        <w:t>3-</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4"/>
          <w:szCs w:val="24"/>
        </w:rPr>
        <w:t>O+</w:t>
      </w:r>
      <w:r>
        <w:rPr>
          <w:rFonts w:ascii="宋体" w:hAnsi="宋体" w:eastAsia="宋体" w:cs="宋体"/>
          <w:spacing w:val="1"/>
          <w:sz w:val="24"/>
          <w:szCs w:val="24"/>
        </w:rPr>
        <w:t>细胞物质</w:t>
      </w:r>
    </w:p>
    <w:p w14:paraId="4A7B7FE3">
      <w:pPr>
        <w:spacing w:before="11" w:line="360" w:lineRule="auto"/>
        <w:ind w:left="39" w:right="85" w:firstLine="485"/>
        <w:jc w:val="both"/>
        <w:rPr>
          <w:rFonts w:ascii="宋体" w:hAnsi="宋体" w:eastAsia="宋体" w:cs="宋体"/>
          <w:sz w:val="24"/>
          <w:szCs w:val="24"/>
        </w:rPr>
      </w:pPr>
      <w:r>
        <w:rPr>
          <w:rFonts w:ascii="宋体" w:hAnsi="宋体" w:eastAsia="宋体" w:cs="宋体"/>
          <w:spacing w:val="-3"/>
          <w:sz w:val="24"/>
          <w:szCs w:val="24"/>
        </w:rPr>
        <w:t>结合生物除臭技术研究进展，评价建议采用天然植</w:t>
      </w:r>
      <w:r>
        <w:rPr>
          <w:rFonts w:ascii="宋体" w:hAnsi="宋体" w:eastAsia="宋体" w:cs="宋体"/>
          <w:spacing w:val="-4"/>
          <w:sz w:val="24"/>
          <w:szCs w:val="24"/>
        </w:rPr>
        <w:t>物液进行生物除臭，天然</w:t>
      </w:r>
      <w:r>
        <w:rPr>
          <w:rFonts w:ascii="宋体" w:hAnsi="宋体" w:eastAsia="宋体" w:cs="宋体"/>
          <w:spacing w:val="-3"/>
          <w:sz w:val="24"/>
          <w:szCs w:val="24"/>
        </w:rPr>
        <w:t>植物液通过高压雾化泵雾化后，分裂成直径非常小的液滴，这样可以使植物液在需除臭的区域内与臭气进行充分的接触反应，从而消除致臭成分，经除臭的最终产物不会形成二次污染，对人体无害。</w:t>
      </w:r>
    </w:p>
    <w:p w14:paraId="19E254CC">
      <w:pPr>
        <w:spacing w:line="360" w:lineRule="auto"/>
        <w:ind w:left="39" w:firstLine="484"/>
        <w:jc w:val="both"/>
        <w:rPr>
          <w:rFonts w:ascii="宋体" w:hAnsi="宋体" w:eastAsia="宋体" w:cs="宋体"/>
          <w:sz w:val="24"/>
          <w:szCs w:val="24"/>
        </w:rPr>
      </w:pPr>
      <w:r>
        <w:rPr>
          <w:rFonts w:ascii="宋体" w:hAnsi="宋体" w:eastAsia="宋体" w:cs="宋体"/>
          <w:spacing w:val="4"/>
          <w:sz w:val="24"/>
          <w:szCs w:val="24"/>
        </w:rPr>
        <w:t>天然植物液除臭剂是从自然界的植物中提取的香精油。目前已经</w:t>
      </w:r>
      <w:r>
        <w:rPr>
          <w:rFonts w:ascii="宋体" w:hAnsi="宋体" w:eastAsia="宋体" w:cs="宋体"/>
          <w:spacing w:val="3"/>
          <w:sz w:val="24"/>
          <w:szCs w:val="24"/>
        </w:rPr>
        <w:t>发现</w:t>
      </w:r>
      <w:r>
        <w:rPr>
          <w:rFonts w:ascii="Times New Roman" w:hAnsi="Times New Roman" w:eastAsia="Times New Roman" w:cs="Times New Roman"/>
          <w:spacing w:val="3"/>
          <w:sz w:val="24"/>
          <w:szCs w:val="24"/>
        </w:rPr>
        <w:t>3000</w:t>
      </w:r>
      <w:r>
        <w:rPr>
          <w:rFonts w:ascii="宋体" w:hAnsi="宋体" w:eastAsia="宋体" w:cs="宋体"/>
          <w:spacing w:val="-1"/>
          <w:sz w:val="24"/>
          <w:szCs w:val="24"/>
        </w:rPr>
        <w:t>多种的植物香精油，可以从植物的各个部位提取香精油，如叶子、果实、树皮、</w:t>
      </w:r>
      <w:r>
        <w:rPr>
          <w:rFonts w:ascii="宋体" w:hAnsi="宋体" w:eastAsia="宋体" w:cs="宋体"/>
          <w:spacing w:val="-6"/>
          <w:sz w:val="24"/>
          <w:szCs w:val="24"/>
        </w:rPr>
        <w:t>树根、芽、种子等等。香精油的种类影响着除臭效果， 而</w:t>
      </w:r>
      <w:r>
        <w:rPr>
          <w:rFonts w:ascii="宋体" w:hAnsi="宋体" w:eastAsia="宋体" w:cs="宋体"/>
          <w:spacing w:val="-7"/>
          <w:sz w:val="24"/>
          <w:szCs w:val="24"/>
        </w:rPr>
        <w:t>天然植物液除臭剂是从</w:t>
      </w:r>
      <w:r>
        <w:rPr>
          <w:rFonts w:ascii="宋体" w:hAnsi="宋体" w:eastAsia="宋体" w:cs="宋体"/>
          <w:spacing w:val="-3"/>
          <w:sz w:val="24"/>
          <w:szCs w:val="24"/>
        </w:rPr>
        <w:t>不同种类的植物中提取出来的，因此它具有广谱性，即对很大范围的恶臭物质都</w:t>
      </w:r>
      <w:r>
        <w:rPr>
          <w:rFonts w:ascii="宋体" w:hAnsi="宋体" w:eastAsia="宋体" w:cs="宋体"/>
          <w:spacing w:val="-4"/>
          <w:sz w:val="24"/>
          <w:szCs w:val="24"/>
        </w:rPr>
        <w:t>具有高效的除臭作用。</w:t>
      </w:r>
    </w:p>
    <w:p w14:paraId="17C172CB">
      <w:pPr>
        <w:spacing w:before="2" w:line="354" w:lineRule="auto"/>
        <w:ind w:left="41" w:firstLine="489"/>
        <w:rPr>
          <w:rFonts w:ascii="宋体" w:hAnsi="宋体" w:eastAsia="宋体" w:cs="宋体"/>
          <w:sz w:val="24"/>
          <w:szCs w:val="24"/>
        </w:rPr>
      </w:pPr>
      <w:r>
        <w:rPr>
          <w:rFonts w:ascii="宋体" w:hAnsi="宋体" w:eastAsia="宋体" w:cs="宋体"/>
          <w:spacing w:val="-8"/>
          <w:sz w:val="24"/>
          <w:szCs w:val="24"/>
        </w:rPr>
        <w:t>多年来经过大量的实验证明，成份的天然性使天然植物液除臭剂无毒、无害、</w:t>
      </w:r>
      <w:r>
        <w:rPr>
          <w:rFonts w:ascii="宋体" w:hAnsi="宋体" w:eastAsia="宋体" w:cs="宋体"/>
          <w:spacing w:val="-4"/>
          <w:sz w:val="24"/>
          <w:szCs w:val="24"/>
        </w:rPr>
        <w:t>无污染、可被生物完全降解。</w:t>
      </w:r>
    </w:p>
    <w:p w14:paraId="4943424E">
      <w:pPr>
        <w:spacing w:line="230" w:lineRule="auto"/>
        <w:ind w:left="523"/>
        <w:rPr>
          <w:rFonts w:ascii="宋体" w:hAnsi="宋体" w:eastAsia="宋体" w:cs="宋体"/>
          <w:sz w:val="24"/>
          <w:szCs w:val="24"/>
        </w:rPr>
      </w:pPr>
      <w:r>
        <w:rPr>
          <w:rFonts w:ascii="宋体" w:hAnsi="宋体" w:eastAsia="宋体" w:cs="宋体"/>
          <w:spacing w:val="2"/>
          <w:sz w:val="24"/>
          <w:szCs w:val="24"/>
        </w:rPr>
        <w:t>项目设置</w:t>
      </w:r>
      <w:r>
        <w:rPr>
          <w:rFonts w:ascii="Times New Roman" w:hAnsi="Times New Roman" w:eastAsia="Times New Roman" w:cs="Times New Roman"/>
          <w:spacing w:val="2"/>
          <w:sz w:val="24"/>
          <w:szCs w:val="24"/>
        </w:rPr>
        <w:t>1</w:t>
      </w:r>
      <w:r>
        <w:rPr>
          <w:rFonts w:ascii="宋体" w:hAnsi="宋体" w:eastAsia="宋体" w:cs="宋体"/>
          <w:spacing w:val="2"/>
          <w:sz w:val="24"/>
          <w:szCs w:val="24"/>
        </w:rPr>
        <w:t>座堆粪棚，堆粪棚为封闭式，占地面积</w:t>
      </w:r>
      <w:r>
        <w:rPr>
          <w:rFonts w:ascii="Times New Roman" w:hAnsi="Times New Roman" w:eastAsia="Times New Roman" w:cs="Times New Roman"/>
          <w:spacing w:val="2"/>
          <w:sz w:val="24"/>
          <w:szCs w:val="24"/>
        </w:rPr>
        <w:t>300</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 xml:space="preserve">2 </w:t>
      </w:r>
      <w:r>
        <w:rPr>
          <w:rFonts w:ascii="宋体" w:hAnsi="宋体" w:eastAsia="宋体" w:cs="宋体"/>
          <w:spacing w:val="1"/>
          <w:sz w:val="24"/>
          <w:szCs w:val="24"/>
        </w:rPr>
        <w:t>，堆粪棚为坡屋顶</w:t>
      </w:r>
    </w:p>
    <w:p w14:paraId="2CD8613F">
      <w:pPr>
        <w:spacing w:line="230" w:lineRule="auto"/>
        <w:rPr>
          <w:rFonts w:ascii="宋体" w:hAnsi="宋体" w:eastAsia="宋体" w:cs="宋体"/>
          <w:sz w:val="24"/>
          <w:szCs w:val="24"/>
        </w:rPr>
        <w:sectPr>
          <w:headerReference r:id="rId451" w:type="default"/>
          <w:footerReference r:id="rId452" w:type="default"/>
          <w:pgSz w:w="11905" w:h="16840"/>
          <w:pgMar w:top="1168" w:right="1712" w:bottom="1409" w:left="1770" w:header="828" w:footer="1244" w:gutter="0"/>
          <w:cols w:space="720" w:num="1"/>
        </w:sectPr>
      </w:pPr>
    </w:p>
    <w:p w14:paraId="4DFCC0EC">
      <w:pPr>
        <w:pStyle w:val="2"/>
        <w:spacing w:line="308" w:lineRule="auto"/>
      </w:pPr>
    </w:p>
    <w:p w14:paraId="5B1B87BF">
      <w:pPr>
        <w:spacing w:before="78" w:line="356" w:lineRule="auto"/>
        <w:ind w:left="34" w:right="75" w:firstLine="10"/>
        <w:jc w:val="both"/>
        <w:rPr>
          <w:rFonts w:ascii="宋体" w:hAnsi="宋体" w:eastAsia="宋体" w:cs="宋体"/>
          <w:sz w:val="24"/>
          <w:szCs w:val="24"/>
        </w:rPr>
      </w:pPr>
      <w:r>
        <w:rPr>
          <w:rFonts w:ascii="宋体" w:hAnsi="宋体" w:eastAsia="宋体" w:cs="宋体"/>
          <w:spacing w:val="-11"/>
          <w:sz w:val="24"/>
          <w:szCs w:val="24"/>
        </w:rPr>
        <w:t>结</w:t>
      </w:r>
      <w:r>
        <w:rPr>
          <w:rFonts w:ascii="宋体" w:hAnsi="宋体" w:eastAsia="宋体" w:cs="宋体"/>
          <w:spacing w:val="-38"/>
          <w:sz w:val="24"/>
          <w:szCs w:val="24"/>
        </w:rPr>
        <w:t xml:space="preserve"> </w:t>
      </w:r>
      <w:r>
        <w:rPr>
          <w:rFonts w:ascii="宋体" w:hAnsi="宋体" w:eastAsia="宋体" w:cs="宋体"/>
          <w:spacing w:val="-11"/>
          <w:sz w:val="24"/>
          <w:szCs w:val="24"/>
        </w:rPr>
        <w:t>构 ，</w:t>
      </w:r>
      <w:r>
        <w:rPr>
          <w:rFonts w:ascii="宋体" w:hAnsi="宋体" w:eastAsia="宋体" w:cs="宋体"/>
          <w:spacing w:val="-41"/>
          <w:sz w:val="24"/>
          <w:szCs w:val="24"/>
        </w:rPr>
        <w:t xml:space="preserve"> </w:t>
      </w:r>
      <w:r>
        <w:rPr>
          <w:rFonts w:ascii="宋体" w:hAnsi="宋体" w:eastAsia="宋体" w:cs="宋体"/>
          <w:spacing w:val="-11"/>
          <w:sz w:val="24"/>
          <w:szCs w:val="24"/>
        </w:rPr>
        <w:t>梁</w:t>
      </w:r>
      <w:r>
        <w:rPr>
          <w:rFonts w:ascii="宋体" w:hAnsi="宋体" w:eastAsia="宋体" w:cs="宋体"/>
          <w:spacing w:val="-34"/>
          <w:sz w:val="24"/>
          <w:szCs w:val="24"/>
        </w:rPr>
        <w:t xml:space="preserve"> </w:t>
      </w:r>
      <w:r>
        <w:rPr>
          <w:rFonts w:ascii="宋体" w:hAnsi="宋体" w:eastAsia="宋体" w:cs="宋体"/>
          <w:spacing w:val="-11"/>
          <w:sz w:val="24"/>
          <w:szCs w:val="24"/>
        </w:rPr>
        <w:t>高</w:t>
      </w:r>
      <w:r>
        <w:rPr>
          <w:rFonts w:ascii="宋体" w:hAnsi="宋体" w:eastAsia="宋体" w:cs="宋体"/>
          <w:spacing w:val="-46"/>
          <w:sz w:val="24"/>
          <w:szCs w:val="24"/>
        </w:rPr>
        <w:t xml:space="preserve"> </w:t>
      </w:r>
      <w:r>
        <w:rPr>
          <w:rFonts w:ascii="Times New Roman" w:hAnsi="Times New Roman" w:eastAsia="Times New Roman" w:cs="Times New Roman"/>
          <w:spacing w:val="-11"/>
          <w:sz w:val="24"/>
          <w:szCs w:val="24"/>
        </w:rPr>
        <w:t>4.5m</w:t>
      </w:r>
      <w:r>
        <w:rPr>
          <w:rFonts w:ascii="Times New Roman" w:hAnsi="Times New Roman" w:eastAsia="Times New Roman" w:cs="Times New Roman"/>
          <w:spacing w:val="35"/>
          <w:sz w:val="24"/>
          <w:szCs w:val="24"/>
        </w:rPr>
        <w:t xml:space="preserve"> </w:t>
      </w:r>
      <w:r>
        <w:rPr>
          <w:rFonts w:ascii="宋体" w:hAnsi="宋体" w:eastAsia="宋体" w:cs="宋体"/>
          <w:spacing w:val="-11"/>
          <w:sz w:val="24"/>
          <w:szCs w:val="24"/>
        </w:rPr>
        <w:t>、</w:t>
      </w:r>
      <w:r>
        <w:rPr>
          <w:rFonts w:ascii="宋体" w:hAnsi="宋体" w:eastAsia="宋体" w:cs="宋体"/>
          <w:spacing w:val="-39"/>
          <w:sz w:val="24"/>
          <w:szCs w:val="24"/>
        </w:rPr>
        <w:t xml:space="preserve"> </w:t>
      </w:r>
      <w:r>
        <w:rPr>
          <w:rFonts w:ascii="宋体" w:hAnsi="宋体" w:eastAsia="宋体" w:cs="宋体"/>
          <w:spacing w:val="-11"/>
          <w:sz w:val="24"/>
          <w:szCs w:val="24"/>
        </w:rPr>
        <w:t>屋</w:t>
      </w:r>
      <w:r>
        <w:rPr>
          <w:rFonts w:ascii="宋体" w:hAnsi="宋体" w:eastAsia="宋体" w:cs="宋体"/>
          <w:spacing w:val="-41"/>
          <w:sz w:val="24"/>
          <w:szCs w:val="24"/>
        </w:rPr>
        <w:t xml:space="preserve"> </w:t>
      </w:r>
      <w:r>
        <w:rPr>
          <w:rFonts w:ascii="宋体" w:hAnsi="宋体" w:eastAsia="宋体" w:cs="宋体"/>
          <w:spacing w:val="-11"/>
          <w:sz w:val="24"/>
          <w:szCs w:val="24"/>
        </w:rPr>
        <w:t>檐</w:t>
      </w:r>
      <w:r>
        <w:rPr>
          <w:rFonts w:ascii="宋体" w:hAnsi="宋体" w:eastAsia="宋体" w:cs="宋体"/>
          <w:spacing w:val="-35"/>
          <w:sz w:val="24"/>
          <w:szCs w:val="24"/>
        </w:rPr>
        <w:t xml:space="preserve"> </w:t>
      </w:r>
      <w:r>
        <w:rPr>
          <w:rFonts w:ascii="宋体" w:hAnsi="宋体" w:eastAsia="宋体" w:cs="宋体"/>
          <w:spacing w:val="-11"/>
          <w:sz w:val="24"/>
          <w:szCs w:val="24"/>
        </w:rPr>
        <w:t>高</w:t>
      </w:r>
      <w:r>
        <w:rPr>
          <w:rFonts w:ascii="宋体" w:hAnsi="宋体" w:eastAsia="宋体" w:cs="宋体"/>
          <w:spacing w:val="-40"/>
          <w:sz w:val="24"/>
          <w:szCs w:val="24"/>
        </w:rPr>
        <w:t xml:space="preserve"> </w:t>
      </w:r>
      <w:r>
        <w:rPr>
          <w:rFonts w:ascii="Times New Roman" w:hAnsi="Times New Roman" w:eastAsia="Times New Roman" w:cs="Times New Roman"/>
          <w:spacing w:val="-11"/>
          <w:sz w:val="24"/>
          <w:szCs w:val="24"/>
        </w:rPr>
        <w:t>3.3m</w:t>
      </w:r>
      <w:r>
        <w:rPr>
          <w:rFonts w:ascii="Times New Roman" w:hAnsi="Times New Roman" w:eastAsia="Times New Roman" w:cs="Times New Roman"/>
          <w:spacing w:val="36"/>
          <w:w w:val="101"/>
          <w:sz w:val="24"/>
          <w:szCs w:val="24"/>
        </w:rPr>
        <w:t xml:space="preserve"> </w:t>
      </w:r>
      <w:r>
        <w:rPr>
          <w:rFonts w:ascii="宋体" w:hAnsi="宋体" w:eastAsia="宋体" w:cs="宋体"/>
          <w:spacing w:val="-11"/>
          <w:sz w:val="24"/>
          <w:szCs w:val="24"/>
        </w:rPr>
        <w:t>，</w:t>
      </w:r>
      <w:r>
        <w:rPr>
          <w:rFonts w:ascii="宋体" w:hAnsi="宋体" w:eastAsia="宋体" w:cs="宋体"/>
          <w:spacing w:val="-39"/>
          <w:sz w:val="24"/>
          <w:szCs w:val="24"/>
        </w:rPr>
        <w:t xml:space="preserve"> </w:t>
      </w:r>
      <w:r>
        <w:rPr>
          <w:rFonts w:ascii="宋体" w:hAnsi="宋体" w:eastAsia="宋体" w:cs="宋体"/>
          <w:spacing w:val="-11"/>
          <w:sz w:val="24"/>
          <w:szCs w:val="24"/>
        </w:rPr>
        <w:t>换</w:t>
      </w:r>
      <w:r>
        <w:rPr>
          <w:rFonts w:ascii="宋体" w:hAnsi="宋体" w:eastAsia="宋体" w:cs="宋体"/>
          <w:spacing w:val="-39"/>
          <w:sz w:val="24"/>
          <w:szCs w:val="24"/>
        </w:rPr>
        <w:t xml:space="preserve"> </w:t>
      </w:r>
      <w:r>
        <w:rPr>
          <w:rFonts w:ascii="宋体" w:hAnsi="宋体" w:eastAsia="宋体" w:cs="宋体"/>
          <w:spacing w:val="-12"/>
          <w:sz w:val="24"/>
          <w:szCs w:val="24"/>
        </w:rPr>
        <w:t>气</w:t>
      </w:r>
      <w:r>
        <w:rPr>
          <w:rFonts w:ascii="宋体" w:hAnsi="宋体" w:eastAsia="宋体" w:cs="宋体"/>
          <w:spacing w:val="-34"/>
          <w:sz w:val="24"/>
          <w:szCs w:val="24"/>
        </w:rPr>
        <w:t xml:space="preserve"> </w:t>
      </w:r>
      <w:r>
        <w:rPr>
          <w:rFonts w:ascii="宋体" w:hAnsi="宋体" w:eastAsia="宋体" w:cs="宋体"/>
          <w:spacing w:val="-12"/>
          <w:sz w:val="24"/>
          <w:szCs w:val="24"/>
        </w:rPr>
        <w:t>次</w:t>
      </w:r>
      <w:r>
        <w:rPr>
          <w:rFonts w:ascii="宋体" w:hAnsi="宋体" w:eastAsia="宋体" w:cs="宋体"/>
          <w:spacing w:val="-39"/>
          <w:sz w:val="24"/>
          <w:szCs w:val="24"/>
        </w:rPr>
        <w:t xml:space="preserve"> </w:t>
      </w:r>
      <w:r>
        <w:rPr>
          <w:rFonts w:ascii="宋体" w:hAnsi="宋体" w:eastAsia="宋体" w:cs="宋体"/>
          <w:spacing w:val="-12"/>
          <w:sz w:val="24"/>
          <w:szCs w:val="24"/>
        </w:rPr>
        <w:t>数</w:t>
      </w:r>
      <w:r>
        <w:rPr>
          <w:rFonts w:ascii="宋体" w:hAnsi="宋体" w:eastAsia="宋体" w:cs="宋体"/>
          <w:spacing w:val="-37"/>
          <w:sz w:val="24"/>
          <w:szCs w:val="24"/>
        </w:rPr>
        <w:t xml:space="preserve"> </w:t>
      </w:r>
      <w:r>
        <w:rPr>
          <w:rFonts w:ascii="宋体" w:hAnsi="宋体" w:eastAsia="宋体" w:cs="宋体"/>
          <w:spacing w:val="-12"/>
          <w:sz w:val="24"/>
          <w:szCs w:val="24"/>
        </w:rPr>
        <w:t>不</w:t>
      </w:r>
      <w:r>
        <w:rPr>
          <w:rFonts w:ascii="宋体" w:hAnsi="宋体" w:eastAsia="宋体" w:cs="宋体"/>
          <w:spacing w:val="-41"/>
          <w:sz w:val="24"/>
          <w:szCs w:val="24"/>
        </w:rPr>
        <w:t xml:space="preserve"> </w:t>
      </w:r>
      <w:r>
        <w:rPr>
          <w:rFonts w:ascii="宋体" w:hAnsi="宋体" w:eastAsia="宋体" w:cs="宋体"/>
          <w:spacing w:val="-12"/>
          <w:sz w:val="24"/>
          <w:szCs w:val="24"/>
        </w:rPr>
        <w:t>低</w:t>
      </w:r>
      <w:r>
        <w:rPr>
          <w:rFonts w:ascii="宋体" w:hAnsi="宋体" w:eastAsia="宋体" w:cs="宋体"/>
          <w:spacing w:val="-37"/>
          <w:sz w:val="24"/>
          <w:szCs w:val="24"/>
        </w:rPr>
        <w:t xml:space="preserve"> </w:t>
      </w:r>
      <w:r>
        <w:rPr>
          <w:rFonts w:ascii="宋体" w:hAnsi="宋体" w:eastAsia="宋体" w:cs="宋体"/>
          <w:spacing w:val="-12"/>
          <w:sz w:val="24"/>
          <w:szCs w:val="24"/>
        </w:rPr>
        <w:t>于</w:t>
      </w:r>
      <w:r>
        <w:rPr>
          <w:rFonts w:ascii="宋体" w:hAnsi="宋体" w:eastAsia="宋体" w:cs="宋体"/>
          <w:spacing w:val="-40"/>
          <w:sz w:val="24"/>
          <w:szCs w:val="24"/>
        </w:rPr>
        <w:t xml:space="preserve"> </w:t>
      </w:r>
      <w:r>
        <w:rPr>
          <w:rFonts w:ascii="Times New Roman" w:hAnsi="Times New Roman" w:eastAsia="Times New Roman" w:cs="Times New Roman"/>
          <w:spacing w:val="-12"/>
          <w:sz w:val="24"/>
          <w:szCs w:val="24"/>
        </w:rPr>
        <w:t>6</w:t>
      </w:r>
      <w:r>
        <w:rPr>
          <w:rFonts w:ascii="Times New Roman" w:hAnsi="Times New Roman" w:eastAsia="Times New Roman" w:cs="Times New Roman"/>
          <w:spacing w:val="26"/>
          <w:sz w:val="24"/>
          <w:szCs w:val="24"/>
        </w:rPr>
        <w:t xml:space="preserve"> </w:t>
      </w:r>
      <w:r>
        <w:rPr>
          <w:rFonts w:ascii="宋体" w:hAnsi="宋体" w:eastAsia="宋体" w:cs="宋体"/>
          <w:spacing w:val="-12"/>
          <w:sz w:val="24"/>
          <w:szCs w:val="24"/>
        </w:rPr>
        <w:t>次</w:t>
      </w:r>
      <w:r>
        <w:rPr>
          <w:rFonts w:ascii="宋体" w:hAnsi="宋体" w:eastAsia="宋体" w:cs="宋体"/>
          <w:spacing w:val="-51"/>
          <w:sz w:val="24"/>
          <w:szCs w:val="24"/>
        </w:rPr>
        <w:t xml:space="preserve"> </w:t>
      </w:r>
      <w:r>
        <w:rPr>
          <w:rFonts w:ascii="Times New Roman" w:hAnsi="Times New Roman" w:eastAsia="Times New Roman" w:cs="Times New Roman"/>
          <w:spacing w:val="-12"/>
          <w:sz w:val="24"/>
          <w:szCs w:val="24"/>
        </w:rPr>
        <w:t>/h</w:t>
      </w:r>
      <w:r>
        <w:rPr>
          <w:rFonts w:ascii="Times New Roman" w:hAnsi="Times New Roman" w:eastAsia="Times New Roman" w:cs="Times New Roman"/>
          <w:spacing w:val="39"/>
          <w:sz w:val="24"/>
          <w:szCs w:val="24"/>
        </w:rPr>
        <w:t xml:space="preserve"> </w:t>
      </w:r>
      <w:r>
        <w:rPr>
          <w:rFonts w:ascii="宋体" w:hAnsi="宋体" w:eastAsia="宋体" w:cs="宋体"/>
          <w:spacing w:val="-12"/>
          <w:sz w:val="24"/>
          <w:szCs w:val="24"/>
        </w:rPr>
        <w:t>，</w:t>
      </w:r>
      <w:r>
        <w:rPr>
          <w:rFonts w:ascii="宋体" w:hAnsi="宋体" w:eastAsia="宋体" w:cs="宋体"/>
          <w:spacing w:val="-36"/>
          <w:sz w:val="24"/>
          <w:szCs w:val="24"/>
        </w:rPr>
        <w:t xml:space="preserve"> </w:t>
      </w:r>
      <w:r>
        <w:rPr>
          <w:rFonts w:ascii="宋体" w:hAnsi="宋体" w:eastAsia="宋体" w:cs="宋体"/>
          <w:spacing w:val="-12"/>
          <w:sz w:val="24"/>
          <w:szCs w:val="24"/>
        </w:rPr>
        <w:t>则</w:t>
      </w:r>
      <w:r>
        <w:rPr>
          <w:rFonts w:ascii="宋体" w:hAnsi="宋体" w:eastAsia="宋体" w:cs="宋体"/>
          <w:spacing w:val="-40"/>
          <w:sz w:val="24"/>
          <w:szCs w:val="24"/>
        </w:rPr>
        <w:t xml:space="preserve"> </w:t>
      </w:r>
      <w:r>
        <w:rPr>
          <w:rFonts w:ascii="宋体" w:hAnsi="宋体" w:eastAsia="宋体" w:cs="宋体"/>
          <w:spacing w:val="-12"/>
          <w:sz w:val="24"/>
          <w:szCs w:val="24"/>
        </w:rPr>
        <w:t>风</w:t>
      </w:r>
      <w:r>
        <w:rPr>
          <w:rFonts w:ascii="宋体" w:hAnsi="宋体" w:eastAsia="宋体" w:cs="宋体"/>
          <w:spacing w:val="-41"/>
          <w:sz w:val="24"/>
          <w:szCs w:val="24"/>
        </w:rPr>
        <w:t xml:space="preserve"> </w:t>
      </w:r>
      <w:r>
        <w:rPr>
          <w:rFonts w:ascii="宋体" w:hAnsi="宋体" w:eastAsia="宋体" w:cs="宋体"/>
          <w:spacing w:val="-12"/>
          <w:sz w:val="24"/>
          <w:szCs w:val="24"/>
        </w:rPr>
        <w:t>量</w:t>
      </w:r>
      <w:r>
        <w:rPr>
          <w:rFonts w:ascii="宋体" w:hAnsi="宋体" w:eastAsia="宋体" w:cs="宋体"/>
          <w:sz w:val="24"/>
          <w:szCs w:val="24"/>
        </w:rPr>
        <w:t xml:space="preserve"> </w:t>
      </w:r>
      <w:r>
        <w:rPr>
          <w:rFonts w:ascii="Times New Roman" w:hAnsi="Times New Roman" w:eastAsia="Times New Roman" w:cs="Times New Roman"/>
          <w:spacing w:val="1"/>
          <w:sz w:val="24"/>
          <w:szCs w:val="24"/>
        </w:rPr>
        <w:t>=300×3.3×6=5940m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；堆粪棚生物滤池系统风</w:t>
      </w:r>
      <w:r>
        <w:rPr>
          <w:rFonts w:ascii="宋体" w:hAnsi="宋体" w:eastAsia="宋体" w:cs="宋体"/>
          <w:sz w:val="24"/>
          <w:szCs w:val="24"/>
        </w:rPr>
        <w:t>机风量定为</w:t>
      </w:r>
      <w:r>
        <w:rPr>
          <w:rFonts w:ascii="Times New Roman" w:hAnsi="Times New Roman" w:eastAsia="Times New Roman" w:cs="Times New Roman"/>
          <w:sz w:val="24"/>
          <w:szCs w:val="24"/>
        </w:rPr>
        <w:t>4000m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/h</w:t>
      </w:r>
      <w:r>
        <w:rPr>
          <w:rFonts w:ascii="宋体" w:hAnsi="宋体" w:eastAsia="宋体" w:cs="宋体"/>
          <w:sz w:val="24"/>
          <w:szCs w:val="24"/>
        </w:rPr>
        <w:t>是合理的，能够保证堆粪棚形成负压状态，废气收集效率</w:t>
      </w:r>
      <w:r>
        <w:rPr>
          <w:rFonts w:ascii="宋体" w:hAnsi="宋体" w:eastAsia="宋体" w:cs="宋体"/>
          <w:spacing w:val="-1"/>
          <w:sz w:val="24"/>
          <w:szCs w:val="24"/>
        </w:rPr>
        <w:t>可达</w:t>
      </w:r>
      <w:r>
        <w:rPr>
          <w:rFonts w:ascii="Times New Roman" w:hAnsi="Times New Roman" w:eastAsia="Times New Roman" w:cs="Times New Roman"/>
          <w:spacing w:val="-1"/>
          <w:sz w:val="24"/>
          <w:szCs w:val="24"/>
        </w:rPr>
        <w:t>95%</w:t>
      </w:r>
      <w:r>
        <w:rPr>
          <w:rFonts w:ascii="宋体" w:hAnsi="宋体" w:eastAsia="宋体" w:cs="宋体"/>
          <w:spacing w:val="-1"/>
          <w:sz w:val="24"/>
          <w:szCs w:val="24"/>
        </w:rPr>
        <w:t>。</w:t>
      </w:r>
    </w:p>
    <w:p w14:paraId="019E0249">
      <w:pPr>
        <w:spacing w:before="1" w:line="362" w:lineRule="auto"/>
        <w:ind w:left="39" w:firstLine="481"/>
        <w:jc w:val="both"/>
        <w:rPr>
          <w:rFonts w:ascii="宋体" w:hAnsi="宋体" w:eastAsia="宋体" w:cs="宋体"/>
          <w:sz w:val="24"/>
          <w:szCs w:val="24"/>
        </w:rPr>
      </w:pPr>
      <w:r>
        <w:rPr>
          <w:rFonts w:ascii="宋体" w:hAnsi="宋体" w:eastAsia="宋体" w:cs="宋体"/>
          <w:spacing w:val="-5"/>
          <w:sz w:val="24"/>
          <w:szCs w:val="24"/>
        </w:rPr>
        <w:t>污水处理站的固液分离平台占地面积</w:t>
      </w:r>
      <w:r>
        <w:rPr>
          <w:rFonts w:ascii="Times New Roman" w:hAnsi="Times New Roman" w:eastAsia="Times New Roman" w:cs="Times New Roman"/>
          <w:spacing w:val="-5"/>
          <w:sz w:val="24"/>
          <w:szCs w:val="24"/>
        </w:rPr>
        <w:t>35m</w:t>
      </w:r>
      <w:r>
        <w:rPr>
          <w:rFonts w:ascii="Times New Roman" w:hAnsi="Times New Roman" w:eastAsia="Times New Roman" w:cs="Times New Roman"/>
          <w:spacing w:val="-5"/>
          <w:position w:val="10"/>
          <w:sz w:val="15"/>
          <w:szCs w:val="15"/>
        </w:rPr>
        <w:t>2</w:t>
      </w:r>
      <w:r>
        <w:rPr>
          <w:rFonts w:ascii="宋体" w:hAnsi="宋体" w:eastAsia="宋体" w:cs="宋体"/>
          <w:spacing w:val="-5"/>
          <w:sz w:val="24"/>
          <w:szCs w:val="24"/>
        </w:rPr>
        <w:t>，高度</w:t>
      </w:r>
      <w:r>
        <w:rPr>
          <w:rFonts w:ascii="Times New Roman" w:hAnsi="Times New Roman" w:eastAsia="Times New Roman" w:cs="Times New Roman"/>
          <w:spacing w:val="-5"/>
          <w:sz w:val="24"/>
          <w:szCs w:val="24"/>
        </w:rPr>
        <w:t>3m</w:t>
      </w:r>
      <w:r>
        <w:rPr>
          <w:rFonts w:ascii="宋体" w:hAnsi="宋体" w:eastAsia="宋体" w:cs="宋体"/>
          <w:spacing w:val="-5"/>
          <w:sz w:val="24"/>
          <w:szCs w:val="24"/>
        </w:rPr>
        <w:t>，换气次数不低于</w:t>
      </w:r>
      <w:r>
        <w:rPr>
          <w:rFonts w:ascii="Times New Roman" w:hAnsi="Times New Roman" w:eastAsia="Times New Roman" w:cs="Times New Roman"/>
          <w:spacing w:val="-6"/>
          <w:sz w:val="24"/>
          <w:szCs w:val="24"/>
        </w:rPr>
        <w:t>6</w:t>
      </w:r>
      <w:r>
        <w:rPr>
          <w:rFonts w:ascii="宋体" w:hAnsi="宋体" w:eastAsia="宋体" w:cs="宋体"/>
          <w:spacing w:val="-6"/>
          <w:sz w:val="24"/>
          <w:szCs w:val="24"/>
        </w:rPr>
        <w:t>次</w:t>
      </w:r>
      <w:r>
        <w:rPr>
          <w:rFonts w:ascii="Times New Roman" w:hAnsi="Times New Roman" w:eastAsia="Times New Roman" w:cs="Times New Roman"/>
          <w:spacing w:val="-6"/>
          <w:sz w:val="24"/>
          <w:szCs w:val="24"/>
        </w:rPr>
        <w:t>/h</w:t>
      </w:r>
      <w:r>
        <w:rPr>
          <w:rFonts w:ascii="宋体" w:hAnsi="宋体" w:eastAsia="宋体" w:cs="宋体"/>
          <w:spacing w:val="-6"/>
          <w:sz w:val="24"/>
          <w:szCs w:val="24"/>
        </w:rPr>
        <w:t>，</w:t>
      </w:r>
      <w:r>
        <w:rPr>
          <w:rFonts w:ascii="宋体" w:hAnsi="宋体" w:eastAsia="宋体" w:cs="宋体"/>
          <w:spacing w:val="1"/>
          <w:sz w:val="24"/>
          <w:szCs w:val="24"/>
        </w:rPr>
        <w:t>则风量</w:t>
      </w:r>
      <w:r>
        <w:rPr>
          <w:rFonts w:ascii="Times New Roman" w:hAnsi="Times New Roman" w:eastAsia="Times New Roman" w:cs="Times New Roman"/>
          <w:spacing w:val="1"/>
          <w:sz w:val="24"/>
          <w:szCs w:val="24"/>
        </w:rPr>
        <w:t>=35×3×6=630m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；污水处理站的粪污收集池、两级</w:t>
      </w:r>
      <w:r>
        <w:rPr>
          <w:rFonts w:ascii="Times New Roman" w:hAnsi="Times New Roman" w:eastAsia="Times New Roman" w:cs="Times New Roman"/>
          <w:spacing w:val="1"/>
          <w:sz w:val="24"/>
          <w:szCs w:val="24"/>
        </w:rPr>
        <w:t>A/O</w:t>
      </w:r>
      <w:r>
        <w:rPr>
          <w:rFonts w:ascii="宋体" w:hAnsi="宋体" w:eastAsia="宋体" w:cs="宋体"/>
          <w:spacing w:val="1"/>
          <w:sz w:val="24"/>
          <w:szCs w:val="24"/>
        </w:rPr>
        <w:t>池、污泥池等池</w:t>
      </w:r>
      <w:r>
        <w:rPr>
          <w:rFonts w:ascii="宋体" w:hAnsi="宋体" w:eastAsia="宋体" w:cs="宋体"/>
          <w:spacing w:val="13"/>
          <w:sz w:val="24"/>
          <w:szCs w:val="24"/>
        </w:rPr>
        <w:t>体均设盖密闭，共用一套生物滤池处理系统，</w:t>
      </w:r>
      <w:r>
        <w:rPr>
          <w:rFonts w:ascii="宋体" w:hAnsi="宋体" w:eastAsia="宋体" w:cs="宋体"/>
          <w:spacing w:val="84"/>
          <w:sz w:val="24"/>
          <w:szCs w:val="24"/>
        </w:rPr>
        <w:t xml:space="preserve"> </w:t>
      </w:r>
      <w:r>
        <w:rPr>
          <w:rFonts w:ascii="宋体" w:hAnsi="宋体" w:eastAsia="宋体" w:cs="宋体"/>
          <w:spacing w:val="13"/>
          <w:sz w:val="24"/>
          <w:szCs w:val="24"/>
        </w:rPr>
        <w:t>生物滤池系统风机风</w:t>
      </w:r>
      <w:r>
        <w:rPr>
          <w:rFonts w:ascii="宋体" w:hAnsi="宋体" w:eastAsia="宋体" w:cs="宋体"/>
          <w:spacing w:val="12"/>
          <w:sz w:val="24"/>
          <w:szCs w:val="24"/>
        </w:rPr>
        <w:t>量定为</w:t>
      </w:r>
      <w:r>
        <w:rPr>
          <w:rFonts w:ascii="Times New Roman" w:hAnsi="Times New Roman" w:eastAsia="Times New Roman" w:cs="Times New Roman"/>
          <w:sz w:val="24"/>
          <w:szCs w:val="24"/>
        </w:rPr>
        <w:t>6000m</w:t>
      </w:r>
      <w:r>
        <w:rPr>
          <w:rFonts w:ascii="Times New Roman" w:hAnsi="Times New Roman" w:eastAsia="Times New Roman" w:cs="Times New Roman"/>
          <w:position w:val="10"/>
          <w:sz w:val="15"/>
          <w:szCs w:val="15"/>
        </w:rPr>
        <w:t>3</w:t>
      </w:r>
      <w:r>
        <w:rPr>
          <w:rFonts w:ascii="Times New Roman" w:hAnsi="Times New Roman" w:eastAsia="Times New Roman" w:cs="Times New Roman"/>
          <w:sz w:val="24"/>
          <w:szCs w:val="24"/>
        </w:rPr>
        <w:t>/h</w:t>
      </w:r>
      <w:r>
        <w:rPr>
          <w:rFonts w:ascii="宋体" w:hAnsi="宋体" w:eastAsia="宋体" w:cs="宋体"/>
          <w:sz w:val="24"/>
          <w:szCs w:val="24"/>
        </w:rPr>
        <w:t>是合理的，废气收集效率</w:t>
      </w:r>
      <w:r>
        <w:rPr>
          <w:rFonts w:ascii="宋体" w:hAnsi="宋体" w:eastAsia="宋体" w:cs="宋体"/>
          <w:spacing w:val="-1"/>
          <w:sz w:val="24"/>
          <w:szCs w:val="24"/>
        </w:rPr>
        <w:t>可达</w:t>
      </w:r>
      <w:r>
        <w:rPr>
          <w:rFonts w:ascii="Times New Roman" w:hAnsi="Times New Roman" w:eastAsia="Times New Roman" w:cs="Times New Roman"/>
          <w:spacing w:val="-1"/>
          <w:sz w:val="24"/>
          <w:szCs w:val="24"/>
        </w:rPr>
        <w:t>95%</w:t>
      </w:r>
      <w:r>
        <w:rPr>
          <w:rFonts w:ascii="宋体" w:hAnsi="宋体" w:eastAsia="宋体" w:cs="宋体"/>
          <w:spacing w:val="-1"/>
          <w:sz w:val="24"/>
          <w:szCs w:val="24"/>
        </w:rPr>
        <w:t>。</w:t>
      </w:r>
    </w:p>
    <w:p w14:paraId="7A99205B">
      <w:pPr>
        <w:spacing w:before="59" w:line="226"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5.2.1.3 </w:t>
      </w:r>
      <w:r>
        <w:rPr>
          <w:rFonts w:ascii="宋体" w:hAnsi="宋体" w:eastAsia="宋体" w:cs="宋体"/>
          <w:b/>
          <w:bCs/>
          <w:spacing w:val="5"/>
          <w:sz w:val="27"/>
          <w:szCs w:val="27"/>
        </w:rPr>
        <w:t>恶臭治理措施可行性分析</w:t>
      </w:r>
    </w:p>
    <w:p w14:paraId="18509274">
      <w:pPr>
        <w:spacing w:before="236" w:line="360" w:lineRule="auto"/>
        <w:ind w:left="39" w:right="93" w:firstLine="480"/>
        <w:rPr>
          <w:rFonts w:ascii="宋体" w:hAnsi="宋体" w:eastAsia="宋体" w:cs="宋体"/>
          <w:sz w:val="24"/>
          <w:szCs w:val="24"/>
        </w:rPr>
      </w:pPr>
      <w:r>
        <w:rPr>
          <w:rFonts w:ascii="宋体" w:hAnsi="宋体" w:eastAsia="宋体" w:cs="宋体"/>
          <w:spacing w:val="-4"/>
          <w:sz w:val="24"/>
          <w:szCs w:val="24"/>
        </w:rPr>
        <w:t>根据《排污许可证申请与核发技术规范</w:t>
      </w:r>
      <w:r>
        <w:rPr>
          <w:rFonts w:ascii="宋体" w:hAnsi="宋体" w:eastAsia="宋体" w:cs="宋体"/>
          <w:spacing w:val="39"/>
          <w:sz w:val="24"/>
          <w:szCs w:val="24"/>
        </w:rPr>
        <w:t xml:space="preserve"> </w:t>
      </w:r>
      <w:r>
        <w:rPr>
          <w:rFonts w:ascii="宋体" w:hAnsi="宋体" w:eastAsia="宋体" w:cs="宋体"/>
          <w:spacing w:val="-4"/>
          <w:sz w:val="24"/>
          <w:szCs w:val="24"/>
        </w:rPr>
        <w:t>畜禽养殖行业》（</w:t>
      </w:r>
      <w:r>
        <w:rPr>
          <w:rFonts w:ascii="Times New Roman" w:hAnsi="Times New Roman" w:eastAsia="Times New Roman" w:cs="Times New Roman"/>
          <w:spacing w:val="-4"/>
          <w:sz w:val="24"/>
          <w:szCs w:val="24"/>
        </w:rPr>
        <w:t>HJ1029-2</w:t>
      </w:r>
      <w:r>
        <w:rPr>
          <w:rFonts w:ascii="Times New Roman" w:hAnsi="Times New Roman" w:eastAsia="Times New Roman" w:cs="Times New Roman"/>
          <w:spacing w:val="-5"/>
          <w:sz w:val="24"/>
          <w:szCs w:val="24"/>
        </w:rPr>
        <w:t>019</w:t>
      </w:r>
      <w:r>
        <w:rPr>
          <w:rFonts w:ascii="宋体" w:hAnsi="宋体" w:eastAsia="宋体" w:cs="宋体"/>
          <w:spacing w:val="-5"/>
          <w:sz w:val="24"/>
          <w:szCs w:val="24"/>
        </w:rPr>
        <w:t>）中</w:t>
      </w:r>
      <w:r>
        <w:rPr>
          <w:rFonts w:ascii="宋体" w:hAnsi="宋体" w:eastAsia="宋体" w:cs="宋体"/>
          <w:spacing w:val="-6"/>
          <w:sz w:val="24"/>
          <w:szCs w:val="24"/>
        </w:rPr>
        <w:t>第</w:t>
      </w:r>
      <w:r>
        <w:rPr>
          <w:rFonts w:ascii="Times New Roman" w:hAnsi="Times New Roman" w:eastAsia="Times New Roman" w:cs="Times New Roman"/>
          <w:spacing w:val="-6"/>
          <w:sz w:val="24"/>
          <w:szCs w:val="24"/>
        </w:rPr>
        <w:t>4.4.3</w:t>
      </w:r>
      <w:r>
        <w:rPr>
          <w:rFonts w:ascii="宋体" w:hAnsi="宋体" w:eastAsia="宋体" w:cs="宋体"/>
          <w:spacing w:val="-6"/>
          <w:sz w:val="24"/>
          <w:szCs w:val="24"/>
        </w:rPr>
        <w:t>废气：</w:t>
      </w:r>
    </w:p>
    <w:p w14:paraId="0E3118E6">
      <w:pPr>
        <w:spacing w:before="2" w:line="359" w:lineRule="auto"/>
        <w:ind w:left="41" w:right="77" w:firstLine="477"/>
        <w:rPr>
          <w:rFonts w:ascii="宋体" w:hAnsi="宋体" w:eastAsia="宋体" w:cs="宋体"/>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8"/>
          <w:sz w:val="24"/>
          <w:szCs w:val="24"/>
        </w:rPr>
        <w:t xml:space="preserve"> </w:t>
      </w:r>
      <w:r>
        <w:rPr>
          <w:rFonts w:ascii="宋体" w:hAnsi="宋体" w:eastAsia="宋体" w:cs="宋体"/>
          <w:spacing w:val="-1"/>
          <w:sz w:val="24"/>
          <w:szCs w:val="24"/>
        </w:rPr>
        <w:t>）产污环节：畜禽养殖行业排污单位恶臭产污环节包括栏舍养殖、固体粪</w:t>
      </w:r>
      <w:r>
        <w:rPr>
          <w:rFonts w:ascii="宋体" w:hAnsi="宋体" w:eastAsia="宋体" w:cs="宋体"/>
          <w:spacing w:val="-5"/>
          <w:sz w:val="24"/>
          <w:szCs w:val="24"/>
        </w:rPr>
        <w:t>污处理和废水处理。</w:t>
      </w:r>
    </w:p>
    <w:p w14:paraId="57403784">
      <w:pPr>
        <w:spacing w:before="2" w:line="359" w:lineRule="auto"/>
        <w:ind w:left="41" w:right="117" w:firstLine="468"/>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）污染物控制项目：依据</w:t>
      </w:r>
      <w:r>
        <w:rPr>
          <w:rFonts w:ascii="Times New Roman" w:hAnsi="Times New Roman" w:eastAsia="Times New Roman" w:cs="Times New Roman"/>
          <w:sz w:val="24"/>
          <w:szCs w:val="24"/>
        </w:rPr>
        <w:t>GB18596</w:t>
      </w:r>
      <w:r>
        <w:rPr>
          <w:rFonts w:ascii="宋体" w:hAnsi="宋体" w:eastAsia="宋体" w:cs="宋体"/>
          <w:sz w:val="24"/>
          <w:szCs w:val="24"/>
        </w:rPr>
        <w:t>确定，地方有更严格排放标准要求的，</w:t>
      </w:r>
      <w:r>
        <w:rPr>
          <w:rFonts w:ascii="宋体" w:hAnsi="宋体" w:eastAsia="宋体" w:cs="宋体"/>
          <w:spacing w:val="-4"/>
          <w:sz w:val="24"/>
          <w:szCs w:val="24"/>
        </w:rPr>
        <w:t>按照地方排放标准从严确定。</w:t>
      </w:r>
    </w:p>
    <w:p w14:paraId="105DFDE2">
      <w:pPr>
        <w:spacing w:line="220" w:lineRule="auto"/>
        <w:ind w:left="518"/>
        <w:rPr>
          <w:rFonts w:ascii="宋体" w:hAnsi="宋体" w:eastAsia="宋体" w:cs="宋体"/>
          <w:sz w:val="24"/>
          <w:szCs w:val="24"/>
        </w:rPr>
      </w:pPr>
      <w:r>
        <w:rPr>
          <w:rFonts w:ascii="Times New Roman" w:hAnsi="Times New Roman" w:eastAsia="Times New Roman" w:cs="Times New Roman"/>
          <w:spacing w:val="-4"/>
          <w:sz w:val="24"/>
          <w:szCs w:val="24"/>
        </w:rPr>
        <w:t>c</w:t>
      </w:r>
      <w:r>
        <w:rPr>
          <w:rFonts w:ascii="宋体" w:hAnsi="宋体" w:eastAsia="宋体" w:cs="宋体"/>
          <w:spacing w:val="-4"/>
          <w:sz w:val="24"/>
          <w:szCs w:val="24"/>
        </w:rPr>
        <w:t>）排放形式：无组织排放。</w:t>
      </w:r>
    </w:p>
    <w:p w14:paraId="7B8AB2C5">
      <w:pPr>
        <w:spacing w:before="182" w:line="362" w:lineRule="auto"/>
        <w:ind w:left="45" w:right="75" w:firstLine="474"/>
        <w:rPr>
          <w:rFonts w:ascii="宋体" w:hAnsi="宋体" w:eastAsia="宋体" w:cs="宋体"/>
          <w:sz w:val="24"/>
          <w:szCs w:val="24"/>
        </w:rPr>
      </w:pPr>
      <w:r>
        <w:rPr>
          <w:rFonts w:ascii="宋体" w:hAnsi="宋体" w:eastAsia="宋体" w:cs="宋体"/>
          <w:sz w:val="24"/>
          <w:szCs w:val="24"/>
        </w:rPr>
        <w:t>本项目恶臭治理措施与《排污许可证申请与核发技术规范 畜禽养殖行业》</w:t>
      </w:r>
      <w:r>
        <w:rPr>
          <w:rFonts w:ascii="宋体" w:hAnsi="宋体" w:eastAsia="宋体" w:cs="宋体"/>
          <w:spacing w:val="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HJ1029-2019</w:t>
      </w:r>
      <w:r>
        <w:rPr>
          <w:rFonts w:ascii="宋体" w:hAnsi="宋体" w:eastAsia="宋体" w:cs="宋体"/>
          <w:spacing w:val="-3"/>
          <w:sz w:val="24"/>
          <w:szCs w:val="24"/>
        </w:rPr>
        <w:t>）符合性分析见下表：</w:t>
      </w:r>
    </w:p>
    <w:p w14:paraId="34639717">
      <w:pPr>
        <w:spacing w:before="8" w:line="221" w:lineRule="auto"/>
        <w:ind w:left="589"/>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26"/>
          <w:sz w:val="21"/>
          <w:szCs w:val="21"/>
        </w:rPr>
        <w:t xml:space="preserve"> </w:t>
      </w:r>
      <w:r>
        <w:rPr>
          <w:rFonts w:ascii="Times New Roman" w:hAnsi="Times New Roman" w:eastAsia="Times New Roman" w:cs="Times New Roman"/>
          <w:spacing w:val="-1"/>
          <w:sz w:val="21"/>
          <w:szCs w:val="21"/>
        </w:rPr>
        <w:t xml:space="preserve">5.2-1  </w:t>
      </w:r>
      <w:r>
        <w:rPr>
          <w:rFonts w:ascii="黑体" w:hAnsi="黑体" w:eastAsia="黑体" w:cs="黑体"/>
          <w:spacing w:val="-1"/>
          <w:sz w:val="21"/>
          <w:szCs w:val="21"/>
        </w:rPr>
        <w:t>恶臭控制与《排污许可证申请与核发技术规范 畜禽养殖行业》符合性</w:t>
      </w:r>
    </w:p>
    <w:p w14:paraId="249C0CA3">
      <w:pPr>
        <w:spacing w:line="89"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3965"/>
        <w:gridCol w:w="2972"/>
        <w:gridCol w:w="666"/>
      </w:tblGrid>
      <w:tr w14:paraId="7406C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82" w:type="dxa"/>
            <w:gridSpan w:val="2"/>
            <w:vAlign w:val="top"/>
          </w:tcPr>
          <w:p w14:paraId="1D2C6BCF">
            <w:pPr>
              <w:spacing w:before="68" w:line="220" w:lineRule="auto"/>
              <w:ind w:left="667"/>
              <w:rPr>
                <w:rFonts w:ascii="宋体" w:hAnsi="宋体" w:eastAsia="宋体" w:cs="宋体"/>
                <w:sz w:val="21"/>
                <w:szCs w:val="21"/>
              </w:rPr>
            </w:pPr>
            <w:r>
              <w:rPr>
                <w:rFonts w:ascii="宋体" w:hAnsi="宋体" w:eastAsia="宋体" w:cs="宋体"/>
                <w:spacing w:val="-1"/>
                <w:sz w:val="21"/>
                <w:szCs w:val="21"/>
              </w:rPr>
              <w:t>排污许可证申请与核发技术规范要求</w:t>
            </w:r>
          </w:p>
        </w:tc>
        <w:tc>
          <w:tcPr>
            <w:tcW w:w="2972" w:type="dxa"/>
            <w:vAlign w:val="top"/>
          </w:tcPr>
          <w:p w14:paraId="00AA1FAE">
            <w:pPr>
              <w:spacing w:before="68" w:line="219" w:lineRule="auto"/>
              <w:ind w:left="1178"/>
              <w:rPr>
                <w:rFonts w:ascii="宋体" w:hAnsi="宋体" w:eastAsia="宋体" w:cs="宋体"/>
                <w:sz w:val="21"/>
                <w:szCs w:val="21"/>
              </w:rPr>
            </w:pPr>
            <w:r>
              <w:rPr>
                <w:rFonts w:ascii="宋体" w:hAnsi="宋体" w:eastAsia="宋体" w:cs="宋体"/>
                <w:spacing w:val="-3"/>
                <w:sz w:val="21"/>
                <w:szCs w:val="21"/>
              </w:rPr>
              <w:t>本项目</w:t>
            </w:r>
          </w:p>
        </w:tc>
        <w:tc>
          <w:tcPr>
            <w:tcW w:w="666" w:type="dxa"/>
            <w:vAlign w:val="top"/>
          </w:tcPr>
          <w:p w14:paraId="274C8B8B">
            <w:pPr>
              <w:spacing w:before="68" w:line="220" w:lineRule="auto"/>
              <w:ind w:left="24"/>
              <w:rPr>
                <w:rFonts w:ascii="宋体" w:hAnsi="宋体" w:eastAsia="宋体" w:cs="宋体"/>
                <w:sz w:val="21"/>
                <w:szCs w:val="21"/>
              </w:rPr>
            </w:pPr>
            <w:r>
              <w:rPr>
                <w:rFonts w:ascii="宋体" w:hAnsi="宋体" w:eastAsia="宋体" w:cs="宋体"/>
                <w:spacing w:val="-3"/>
                <w:sz w:val="21"/>
                <w:szCs w:val="21"/>
              </w:rPr>
              <w:t>符合性</w:t>
            </w:r>
          </w:p>
        </w:tc>
      </w:tr>
      <w:tr w14:paraId="31D1E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9" w:hRule="atLeast"/>
        </w:trPr>
        <w:tc>
          <w:tcPr>
            <w:tcW w:w="717" w:type="dxa"/>
            <w:vAlign w:val="top"/>
          </w:tcPr>
          <w:p w14:paraId="571913A2">
            <w:pPr>
              <w:spacing w:line="266" w:lineRule="auto"/>
              <w:rPr>
                <w:rFonts w:ascii="Arial"/>
                <w:sz w:val="21"/>
              </w:rPr>
            </w:pPr>
          </w:p>
          <w:p w14:paraId="368A7797">
            <w:pPr>
              <w:spacing w:line="266" w:lineRule="auto"/>
              <w:rPr>
                <w:rFonts w:ascii="Arial"/>
                <w:sz w:val="21"/>
              </w:rPr>
            </w:pPr>
          </w:p>
          <w:p w14:paraId="3650BA2C">
            <w:pPr>
              <w:spacing w:line="267" w:lineRule="auto"/>
              <w:rPr>
                <w:rFonts w:ascii="Arial"/>
                <w:sz w:val="21"/>
              </w:rPr>
            </w:pPr>
          </w:p>
          <w:p w14:paraId="7C631371">
            <w:pPr>
              <w:spacing w:line="267" w:lineRule="auto"/>
              <w:rPr>
                <w:rFonts w:ascii="Arial"/>
                <w:sz w:val="21"/>
              </w:rPr>
            </w:pPr>
          </w:p>
          <w:p w14:paraId="11556FB1">
            <w:pPr>
              <w:spacing w:before="68" w:line="277" w:lineRule="auto"/>
              <w:ind w:left="154" w:right="145"/>
              <w:rPr>
                <w:rFonts w:ascii="宋体" w:hAnsi="宋体" w:eastAsia="宋体" w:cs="宋体"/>
                <w:sz w:val="21"/>
                <w:szCs w:val="21"/>
              </w:rPr>
            </w:pPr>
            <w:r>
              <w:rPr>
                <w:rFonts w:ascii="宋体" w:hAnsi="宋体" w:eastAsia="宋体" w:cs="宋体"/>
                <w:spacing w:val="-5"/>
                <w:sz w:val="21"/>
                <w:szCs w:val="21"/>
              </w:rPr>
              <w:t>养殖栏舍</w:t>
            </w:r>
          </w:p>
        </w:tc>
        <w:tc>
          <w:tcPr>
            <w:tcW w:w="3965" w:type="dxa"/>
            <w:vAlign w:val="top"/>
          </w:tcPr>
          <w:p w14:paraId="2F4DF3EF">
            <w:pPr>
              <w:pStyle w:val="6"/>
              <w:spacing w:before="49" w:line="220" w:lineRule="auto"/>
              <w:ind w:left="14"/>
              <w:rPr>
                <w:rFonts w:ascii="宋体" w:hAnsi="宋体" w:eastAsia="宋体" w:cs="宋体"/>
              </w:rPr>
            </w:pPr>
            <w:r>
              <w:rPr>
                <w:rFonts w:ascii="宋体" w:hAnsi="宋体" w:eastAsia="宋体" w:cs="宋体"/>
                <w:spacing w:val="-5"/>
              </w:rPr>
              <w:t>（</w:t>
            </w:r>
            <w:r>
              <w:rPr>
                <w:spacing w:val="-5"/>
              </w:rPr>
              <w:t>1</w:t>
            </w:r>
            <w:r>
              <w:rPr>
                <w:rFonts w:ascii="宋体" w:hAnsi="宋体" w:eastAsia="宋体" w:cs="宋体"/>
                <w:spacing w:val="-5"/>
              </w:rPr>
              <w:t>）选用益生菌配方饲料；</w:t>
            </w:r>
          </w:p>
          <w:p w14:paraId="4BFDE028">
            <w:pPr>
              <w:pStyle w:val="6"/>
              <w:spacing w:before="61" w:line="220" w:lineRule="auto"/>
              <w:ind w:left="14"/>
              <w:rPr>
                <w:rFonts w:ascii="宋体" w:hAnsi="宋体" w:eastAsia="宋体" w:cs="宋体"/>
              </w:rPr>
            </w:pPr>
            <w:r>
              <w:rPr>
                <w:rFonts w:ascii="宋体" w:hAnsi="宋体" w:eastAsia="宋体" w:cs="宋体"/>
                <w:spacing w:val="-6"/>
              </w:rPr>
              <w:t>（</w:t>
            </w:r>
            <w:r>
              <w:rPr>
                <w:spacing w:val="-6"/>
              </w:rPr>
              <w:t>2</w:t>
            </w:r>
            <w:r>
              <w:rPr>
                <w:rFonts w:ascii="宋体" w:hAnsi="宋体" w:eastAsia="宋体" w:cs="宋体"/>
                <w:spacing w:val="-6"/>
              </w:rPr>
              <w:t>）及时清运粪污；</w:t>
            </w:r>
          </w:p>
          <w:p w14:paraId="47D643FD">
            <w:pPr>
              <w:pStyle w:val="6"/>
              <w:spacing w:before="62" w:line="274" w:lineRule="auto"/>
              <w:ind w:left="8" w:right="21" w:firstLine="5"/>
              <w:rPr>
                <w:rFonts w:ascii="宋体" w:hAnsi="宋体" w:eastAsia="宋体" w:cs="宋体"/>
              </w:rPr>
            </w:pPr>
            <w:r>
              <w:rPr>
                <w:rFonts w:ascii="宋体" w:hAnsi="宋体" w:eastAsia="宋体" w:cs="宋体"/>
                <w:spacing w:val="2"/>
              </w:rPr>
              <w:t>（</w:t>
            </w:r>
            <w:r>
              <w:rPr>
                <w:spacing w:val="2"/>
              </w:rPr>
              <w:t>3</w:t>
            </w:r>
            <w:r>
              <w:rPr>
                <w:rFonts w:ascii="宋体" w:hAnsi="宋体" w:eastAsia="宋体" w:cs="宋体"/>
                <w:spacing w:val="2"/>
              </w:rPr>
              <w:t>）向粪便或舍内投（铺）放吸附剂减少</w:t>
            </w:r>
            <w:r>
              <w:rPr>
                <w:rFonts w:ascii="宋体" w:hAnsi="宋体" w:eastAsia="宋体" w:cs="宋体"/>
                <w:spacing w:val="-8"/>
              </w:rPr>
              <w:t>臭气的散发；</w:t>
            </w:r>
          </w:p>
          <w:p w14:paraId="57ECD8E1">
            <w:pPr>
              <w:pStyle w:val="6"/>
              <w:spacing w:before="1" w:line="218" w:lineRule="auto"/>
              <w:ind w:left="14"/>
              <w:rPr>
                <w:rFonts w:ascii="宋体" w:hAnsi="宋体" w:eastAsia="宋体" w:cs="宋体"/>
              </w:rPr>
            </w:pPr>
            <w:r>
              <w:rPr>
                <w:rFonts w:ascii="宋体" w:hAnsi="宋体" w:eastAsia="宋体" w:cs="宋体"/>
                <w:spacing w:val="-5"/>
              </w:rPr>
              <w:t>（</w:t>
            </w:r>
            <w:r>
              <w:rPr>
                <w:spacing w:val="-5"/>
              </w:rPr>
              <w:t>4</w:t>
            </w:r>
            <w:r>
              <w:rPr>
                <w:rFonts w:ascii="宋体" w:hAnsi="宋体" w:eastAsia="宋体" w:cs="宋体"/>
                <w:spacing w:val="-5"/>
              </w:rPr>
              <w:t>）投加或喷洒除臭剂；</w:t>
            </w:r>
          </w:p>
          <w:p w14:paraId="0FB63D90">
            <w:pPr>
              <w:pStyle w:val="6"/>
              <w:spacing w:before="63" w:line="274" w:lineRule="auto"/>
              <w:ind w:left="7" w:right="13" w:firstLine="6"/>
              <w:rPr>
                <w:rFonts w:ascii="宋体" w:hAnsi="宋体" w:eastAsia="宋体" w:cs="宋体"/>
              </w:rPr>
            </w:pPr>
            <w:r>
              <w:rPr>
                <w:rFonts w:ascii="宋体" w:hAnsi="宋体" w:eastAsia="宋体" w:cs="宋体"/>
                <w:spacing w:val="2"/>
              </w:rPr>
              <w:t>（</w:t>
            </w:r>
            <w:r>
              <w:rPr>
                <w:spacing w:val="2"/>
              </w:rPr>
              <w:t>5</w:t>
            </w:r>
            <w:r>
              <w:rPr>
                <w:rFonts w:ascii="宋体" w:hAnsi="宋体" w:eastAsia="宋体" w:cs="宋体"/>
                <w:spacing w:val="2"/>
              </w:rPr>
              <w:t>）集中通风排气经处理（喷淋法、生物</w:t>
            </w:r>
            <w:r>
              <w:rPr>
                <w:rFonts w:ascii="宋体" w:hAnsi="宋体" w:eastAsia="宋体" w:cs="宋体"/>
                <w:spacing w:val="-5"/>
              </w:rPr>
              <w:t>洗涤法、吸收法等）后排放；</w:t>
            </w:r>
          </w:p>
          <w:p w14:paraId="2B52D55F">
            <w:pPr>
              <w:pStyle w:val="6"/>
              <w:spacing w:before="1" w:line="248" w:lineRule="auto"/>
              <w:ind w:left="8" w:right="3" w:firstLine="5"/>
              <w:rPr>
                <w:rFonts w:ascii="宋体" w:hAnsi="宋体" w:eastAsia="宋体" w:cs="宋体"/>
              </w:rPr>
            </w:pPr>
            <w:r>
              <w:rPr>
                <w:rFonts w:ascii="宋体" w:hAnsi="宋体" w:eastAsia="宋体" w:cs="宋体"/>
                <w:spacing w:val="-8"/>
              </w:rPr>
              <w:t>（</w:t>
            </w:r>
            <w:r>
              <w:rPr>
                <w:spacing w:val="-8"/>
              </w:rPr>
              <w:t>6</w:t>
            </w:r>
            <w:r>
              <w:rPr>
                <w:rFonts w:ascii="宋体" w:hAnsi="宋体" w:eastAsia="宋体" w:cs="宋体"/>
                <w:spacing w:val="-8"/>
              </w:rPr>
              <w:t>）集中收集气体经处理（生物过滤法、生</w:t>
            </w:r>
            <w:r>
              <w:rPr>
                <w:rFonts w:ascii="宋体" w:hAnsi="宋体" w:eastAsia="宋体" w:cs="宋体"/>
                <w:spacing w:val="-9"/>
              </w:rPr>
              <w:t>物洗涤法、吸收法等）后由排气筒排放。</w:t>
            </w:r>
          </w:p>
        </w:tc>
        <w:tc>
          <w:tcPr>
            <w:tcW w:w="2972" w:type="dxa"/>
            <w:vAlign w:val="top"/>
          </w:tcPr>
          <w:p w14:paraId="62620BE8">
            <w:pPr>
              <w:spacing w:line="292" w:lineRule="auto"/>
              <w:rPr>
                <w:rFonts w:ascii="Arial"/>
                <w:sz w:val="21"/>
              </w:rPr>
            </w:pPr>
          </w:p>
          <w:p w14:paraId="1DBFFA2F">
            <w:pPr>
              <w:spacing w:before="68" w:line="217" w:lineRule="auto"/>
              <w:ind w:left="10"/>
              <w:rPr>
                <w:rFonts w:ascii="宋体" w:hAnsi="宋体" w:eastAsia="宋体" w:cs="宋体"/>
                <w:sz w:val="21"/>
                <w:szCs w:val="21"/>
              </w:rPr>
            </w:pPr>
            <w:r>
              <w:rPr>
                <w:rFonts w:ascii="宋体" w:hAnsi="宋体" w:eastAsia="宋体" w:cs="宋体"/>
                <w:spacing w:val="-5"/>
                <w:sz w:val="21"/>
                <w:szCs w:val="21"/>
              </w:rPr>
              <w:t>①选用益生菌配方饲料；</w:t>
            </w:r>
          </w:p>
          <w:p w14:paraId="134C85B5">
            <w:pPr>
              <w:spacing w:before="65" w:line="217" w:lineRule="auto"/>
              <w:ind w:left="9"/>
              <w:rPr>
                <w:rFonts w:ascii="宋体" w:hAnsi="宋体" w:eastAsia="宋体" w:cs="宋体"/>
                <w:sz w:val="21"/>
                <w:szCs w:val="21"/>
              </w:rPr>
            </w:pPr>
            <w:r>
              <w:rPr>
                <w:rFonts w:ascii="宋体" w:hAnsi="宋体" w:eastAsia="宋体" w:cs="宋体"/>
                <w:spacing w:val="-7"/>
                <w:sz w:val="21"/>
                <w:szCs w:val="21"/>
              </w:rPr>
              <w:t>②及时清运粪污；</w:t>
            </w:r>
          </w:p>
          <w:p w14:paraId="28D355D6">
            <w:pPr>
              <w:spacing w:before="65" w:line="274" w:lineRule="auto"/>
              <w:ind w:left="10" w:hanging="1"/>
              <w:rPr>
                <w:rFonts w:ascii="宋体" w:hAnsi="宋体" w:eastAsia="宋体" w:cs="宋体"/>
                <w:sz w:val="21"/>
                <w:szCs w:val="21"/>
              </w:rPr>
            </w:pPr>
            <w:r>
              <w:rPr>
                <w:rFonts w:ascii="宋体" w:hAnsi="宋体" w:eastAsia="宋体" w:cs="宋体"/>
                <w:spacing w:val="1"/>
                <w:sz w:val="21"/>
                <w:szCs w:val="21"/>
              </w:rPr>
              <w:t>③向粪便投（铺）放吸附剂减少</w:t>
            </w:r>
            <w:r>
              <w:rPr>
                <w:rFonts w:ascii="宋体" w:hAnsi="宋体" w:eastAsia="宋体" w:cs="宋体"/>
                <w:spacing w:val="-9"/>
                <w:sz w:val="21"/>
                <w:szCs w:val="21"/>
              </w:rPr>
              <w:t>臭气的散发；</w:t>
            </w:r>
          </w:p>
          <w:p w14:paraId="766BD40A">
            <w:pPr>
              <w:spacing w:line="217" w:lineRule="auto"/>
              <w:ind w:left="9"/>
              <w:rPr>
                <w:rFonts w:ascii="宋体" w:hAnsi="宋体" w:eastAsia="宋体" w:cs="宋体"/>
                <w:sz w:val="21"/>
                <w:szCs w:val="21"/>
              </w:rPr>
            </w:pPr>
            <w:r>
              <w:rPr>
                <w:rFonts w:ascii="宋体" w:hAnsi="宋体" w:eastAsia="宋体" w:cs="宋体"/>
                <w:spacing w:val="-6"/>
                <w:sz w:val="21"/>
                <w:szCs w:val="21"/>
              </w:rPr>
              <w:t>④向猪舍喷洒除臭剂；</w:t>
            </w:r>
          </w:p>
          <w:p w14:paraId="69591383">
            <w:pPr>
              <w:spacing w:before="65" w:line="276" w:lineRule="auto"/>
              <w:ind w:left="23" w:hanging="14"/>
              <w:rPr>
                <w:rFonts w:ascii="宋体" w:hAnsi="宋体" w:eastAsia="宋体" w:cs="宋体"/>
                <w:sz w:val="21"/>
                <w:szCs w:val="21"/>
              </w:rPr>
            </w:pPr>
            <w:r>
              <w:rPr>
                <w:rFonts w:ascii="宋体" w:hAnsi="宋体" w:eastAsia="宋体" w:cs="宋体"/>
                <w:spacing w:val="1"/>
                <w:sz w:val="21"/>
                <w:szCs w:val="21"/>
              </w:rPr>
              <w:t>⑤猪舍采取排风口设置生物喷雾</w:t>
            </w:r>
            <w:r>
              <w:rPr>
                <w:rFonts w:ascii="宋体" w:hAnsi="宋体" w:eastAsia="宋体" w:cs="宋体"/>
                <w:spacing w:val="-6"/>
                <w:sz w:val="21"/>
                <w:szCs w:val="21"/>
              </w:rPr>
              <w:t>除臭网处理后排放。</w:t>
            </w:r>
          </w:p>
        </w:tc>
        <w:tc>
          <w:tcPr>
            <w:tcW w:w="666" w:type="dxa"/>
            <w:vAlign w:val="top"/>
          </w:tcPr>
          <w:p w14:paraId="48104F5E">
            <w:pPr>
              <w:spacing w:line="244" w:lineRule="auto"/>
              <w:rPr>
                <w:rFonts w:ascii="Arial"/>
                <w:sz w:val="21"/>
              </w:rPr>
            </w:pPr>
          </w:p>
          <w:p w14:paraId="436C5CE2">
            <w:pPr>
              <w:spacing w:line="244" w:lineRule="auto"/>
              <w:rPr>
                <w:rFonts w:ascii="Arial"/>
                <w:sz w:val="21"/>
              </w:rPr>
            </w:pPr>
          </w:p>
          <w:p w14:paraId="2AED06F6">
            <w:pPr>
              <w:spacing w:line="244" w:lineRule="auto"/>
              <w:rPr>
                <w:rFonts w:ascii="Arial"/>
                <w:sz w:val="21"/>
              </w:rPr>
            </w:pPr>
          </w:p>
          <w:p w14:paraId="53D5DB6A">
            <w:pPr>
              <w:spacing w:line="244" w:lineRule="auto"/>
              <w:rPr>
                <w:rFonts w:ascii="Arial"/>
                <w:sz w:val="21"/>
              </w:rPr>
            </w:pPr>
          </w:p>
          <w:p w14:paraId="6689600C">
            <w:pPr>
              <w:spacing w:line="245" w:lineRule="auto"/>
              <w:rPr>
                <w:rFonts w:ascii="Arial"/>
                <w:sz w:val="21"/>
              </w:rPr>
            </w:pPr>
          </w:p>
          <w:p w14:paraId="027024B5">
            <w:pPr>
              <w:spacing w:before="68" w:line="220" w:lineRule="auto"/>
              <w:ind w:left="129"/>
              <w:rPr>
                <w:rFonts w:ascii="宋体" w:hAnsi="宋体" w:eastAsia="宋体" w:cs="宋体"/>
                <w:sz w:val="21"/>
                <w:szCs w:val="21"/>
              </w:rPr>
            </w:pPr>
            <w:r>
              <w:rPr>
                <w:rFonts w:ascii="宋体" w:hAnsi="宋体" w:eastAsia="宋体" w:cs="宋体"/>
                <w:spacing w:val="-3"/>
                <w:sz w:val="21"/>
                <w:szCs w:val="21"/>
              </w:rPr>
              <w:t>符合</w:t>
            </w:r>
          </w:p>
        </w:tc>
      </w:tr>
      <w:tr w14:paraId="1D1D8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17" w:type="dxa"/>
            <w:vAlign w:val="top"/>
          </w:tcPr>
          <w:p w14:paraId="05C28746">
            <w:pPr>
              <w:spacing w:line="295" w:lineRule="auto"/>
              <w:rPr>
                <w:rFonts w:ascii="Arial"/>
                <w:sz w:val="21"/>
              </w:rPr>
            </w:pPr>
          </w:p>
          <w:p w14:paraId="0C78772C">
            <w:pPr>
              <w:spacing w:before="68" w:line="276" w:lineRule="auto"/>
              <w:ind w:left="50" w:right="41" w:firstLine="16"/>
              <w:jc w:val="both"/>
              <w:rPr>
                <w:rFonts w:ascii="宋体" w:hAnsi="宋体" w:eastAsia="宋体" w:cs="宋体"/>
                <w:sz w:val="21"/>
                <w:szCs w:val="21"/>
              </w:rPr>
            </w:pPr>
            <w:r>
              <w:rPr>
                <w:rFonts w:ascii="宋体" w:hAnsi="宋体" w:eastAsia="宋体" w:cs="宋体"/>
                <w:spacing w:val="-9"/>
                <w:sz w:val="21"/>
                <w:szCs w:val="21"/>
              </w:rPr>
              <w:t>固体粪</w:t>
            </w:r>
            <w:r>
              <w:rPr>
                <w:rFonts w:ascii="宋体" w:hAnsi="宋体" w:eastAsia="宋体" w:cs="宋体"/>
                <w:spacing w:val="-4"/>
                <w:sz w:val="21"/>
                <w:szCs w:val="21"/>
              </w:rPr>
              <w:t>污处理</w:t>
            </w:r>
            <w:r>
              <w:rPr>
                <w:rFonts w:ascii="宋体" w:hAnsi="宋体" w:eastAsia="宋体" w:cs="宋体"/>
                <w:spacing w:val="47"/>
                <w:sz w:val="21"/>
                <w:szCs w:val="21"/>
              </w:rPr>
              <w:t>工程</w:t>
            </w:r>
          </w:p>
        </w:tc>
        <w:tc>
          <w:tcPr>
            <w:tcW w:w="3965" w:type="dxa"/>
            <w:vAlign w:val="top"/>
          </w:tcPr>
          <w:p w14:paraId="53998FA0">
            <w:pPr>
              <w:pStyle w:val="6"/>
              <w:spacing w:before="53" w:line="219" w:lineRule="auto"/>
              <w:ind w:left="14"/>
              <w:rPr>
                <w:rFonts w:ascii="宋体" w:hAnsi="宋体" w:eastAsia="宋体" w:cs="宋体"/>
              </w:rPr>
            </w:pPr>
            <w:r>
              <w:rPr>
                <w:rFonts w:ascii="宋体" w:hAnsi="宋体" w:eastAsia="宋体" w:cs="宋体"/>
                <w:spacing w:val="-6"/>
              </w:rPr>
              <w:t>（</w:t>
            </w:r>
            <w:r>
              <w:rPr>
                <w:spacing w:val="-6"/>
              </w:rPr>
              <w:t>1</w:t>
            </w:r>
            <w:r>
              <w:rPr>
                <w:rFonts w:ascii="宋体" w:hAnsi="宋体" w:eastAsia="宋体" w:cs="宋体"/>
                <w:spacing w:val="-6"/>
              </w:rPr>
              <w:t>）定期喷洒除臭剂；</w:t>
            </w:r>
          </w:p>
          <w:p w14:paraId="11840650">
            <w:pPr>
              <w:pStyle w:val="6"/>
              <w:spacing w:before="62" w:line="220" w:lineRule="auto"/>
              <w:ind w:left="14"/>
              <w:rPr>
                <w:rFonts w:ascii="宋体" w:hAnsi="宋体" w:eastAsia="宋体" w:cs="宋体"/>
              </w:rPr>
            </w:pPr>
            <w:r>
              <w:rPr>
                <w:rFonts w:ascii="宋体" w:hAnsi="宋体" w:eastAsia="宋体" w:cs="宋体"/>
                <w:spacing w:val="-5"/>
              </w:rPr>
              <w:t>（</w:t>
            </w:r>
            <w:r>
              <w:rPr>
                <w:spacing w:val="-5"/>
              </w:rPr>
              <w:t>2</w:t>
            </w:r>
            <w:r>
              <w:rPr>
                <w:rFonts w:ascii="宋体" w:hAnsi="宋体" w:eastAsia="宋体" w:cs="宋体"/>
                <w:spacing w:val="-5"/>
              </w:rPr>
              <w:t>）及时清运固体粪污；</w:t>
            </w:r>
          </w:p>
          <w:p w14:paraId="11DB1EA1">
            <w:pPr>
              <w:pStyle w:val="6"/>
              <w:spacing w:before="62" w:line="219" w:lineRule="auto"/>
              <w:ind w:left="14"/>
              <w:rPr>
                <w:rFonts w:ascii="宋体" w:hAnsi="宋体" w:eastAsia="宋体" w:cs="宋体"/>
              </w:rPr>
            </w:pPr>
            <w:r>
              <w:rPr>
                <w:rFonts w:ascii="宋体" w:hAnsi="宋体" w:eastAsia="宋体" w:cs="宋体"/>
                <w:spacing w:val="-4"/>
              </w:rPr>
              <w:t>（</w:t>
            </w:r>
            <w:r>
              <w:rPr>
                <w:spacing w:val="-4"/>
              </w:rPr>
              <w:t>3</w:t>
            </w:r>
            <w:r>
              <w:rPr>
                <w:rFonts w:ascii="宋体" w:hAnsi="宋体" w:eastAsia="宋体" w:cs="宋体"/>
                <w:spacing w:val="-4"/>
              </w:rPr>
              <w:t>）采用厌氧或好氧堆肥方式；</w:t>
            </w:r>
          </w:p>
          <w:p w14:paraId="7D16A93D">
            <w:pPr>
              <w:pStyle w:val="6"/>
              <w:spacing w:before="62" w:line="248" w:lineRule="auto"/>
              <w:ind w:left="8" w:right="9" w:firstLine="5"/>
              <w:rPr>
                <w:rFonts w:ascii="宋体" w:hAnsi="宋体" w:eastAsia="宋体" w:cs="宋体"/>
              </w:rPr>
            </w:pPr>
            <w:r>
              <w:rPr>
                <w:rFonts w:ascii="宋体" w:hAnsi="宋体" w:eastAsia="宋体" w:cs="宋体"/>
                <w:spacing w:val="-8"/>
              </w:rPr>
              <w:t>（</w:t>
            </w:r>
            <w:r>
              <w:rPr>
                <w:spacing w:val="-8"/>
              </w:rPr>
              <w:t>4</w:t>
            </w:r>
            <w:r>
              <w:rPr>
                <w:rFonts w:ascii="宋体" w:hAnsi="宋体" w:eastAsia="宋体" w:cs="宋体"/>
                <w:spacing w:val="-8"/>
              </w:rPr>
              <w:t>）集中收集气体经处理（生物过滤法、生</w:t>
            </w:r>
            <w:r>
              <w:rPr>
                <w:rFonts w:ascii="宋体" w:hAnsi="宋体" w:eastAsia="宋体" w:cs="宋体"/>
                <w:spacing w:val="-5"/>
              </w:rPr>
              <w:t>物洗涤法、吸收法等）后由排气筒排放。</w:t>
            </w:r>
          </w:p>
        </w:tc>
        <w:tc>
          <w:tcPr>
            <w:tcW w:w="2972" w:type="dxa"/>
            <w:vAlign w:val="top"/>
          </w:tcPr>
          <w:p w14:paraId="3C3FB193">
            <w:pPr>
              <w:spacing w:before="209" w:line="217" w:lineRule="auto"/>
              <w:ind w:left="9"/>
              <w:rPr>
                <w:rFonts w:ascii="宋体" w:hAnsi="宋体" w:eastAsia="宋体" w:cs="宋体"/>
                <w:sz w:val="21"/>
                <w:szCs w:val="21"/>
              </w:rPr>
            </w:pPr>
            <w:r>
              <w:rPr>
                <w:rFonts w:ascii="宋体" w:hAnsi="宋体" w:eastAsia="宋体" w:cs="宋体"/>
                <w:spacing w:val="-4"/>
                <w:sz w:val="21"/>
                <w:szCs w:val="21"/>
              </w:rPr>
              <w:t>①粪污处理区定期喷洒除臭剂；</w:t>
            </w:r>
          </w:p>
          <w:p w14:paraId="09CF5940">
            <w:pPr>
              <w:spacing w:before="65" w:line="217" w:lineRule="auto"/>
              <w:ind w:left="9"/>
              <w:rPr>
                <w:rFonts w:ascii="宋体" w:hAnsi="宋体" w:eastAsia="宋体" w:cs="宋体"/>
                <w:sz w:val="21"/>
                <w:szCs w:val="21"/>
              </w:rPr>
            </w:pPr>
            <w:r>
              <w:rPr>
                <w:rFonts w:ascii="宋体" w:hAnsi="宋体" w:eastAsia="宋体" w:cs="宋体"/>
                <w:spacing w:val="-6"/>
                <w:sz w:val="21"/>
                <w:szCs w:val="21"/>
              </w:rPr>
              <w:t>②及时清运固体粪污；</w:t>
            </w:r>
          </w:p>
          <w:p w14:paraId="1EB1944F">
            <w:pPr>
              <w:pStyle w:val="6"/>
              <w:spacing w:before="65" w:line="276" w:lineRule="auto"/>
              <w:ind w:left="11" w:hanging="2"/>
              <w:rPr>
                <w:rFonts w:ascii="宋体" w:hAnsi="宋体" w:eastAsia="宋体" w:cs="宋体"/>
              </w:rPr>
            </w:pPr>
            <w:r>
              <w:rPr>
                <w:rFonts w:ascii="宋体" w:hAnsi="宋体" w:eastAsia="宋体" w:cs="宋体"/>
                <w:spacing w:val="1"/>
              </w:rPr>
              <w:t>③堆粪棚臭气收集后经生物过滤</w:t>
            </w:r>
            <w:r>
              <w:rPr>
                <w:rFonts w:ascii="宋体" w:hAnsi="宋体" w:eastAsia="宋体" w:cs="宋体"/>
                <w:spacing w:val="-3"/>
              </w:rPr>
              <w:t>法处理后由</w:t>
            </w:r>
            <w:r>
              <w:rPr>
                <w:spacing w:val="-3"/>
              </w:rPr>
              <w:t>15m</w:t>
            </w:r>
            <w:r>
              <w:rPr>
                <w:rFonts w:ascii="宋体" w:hAnsi="宋体" w:eastAsia="宋体" w:cs="宋体"/>
                <w:spacing w:val="-3"/>
              </w:rPr>
              <w:t>高排气筒排放。</w:t>
            </w:r>
          </w:p>
        </w:tc>
        <w:tc>
          <w:tcPr>
            <w:tcW w:w="666" w:type="dxa"/>
            <w:vAlign w:val="top"/>
          </w:tcPr>
          <w:p w14:paraId="62D2566D">
            <w:pPr>
              <w:spacing w:line="302" w:lineRule="auto"/>
              <w:rPr>
                <w:rFonts w:ascii="Arial"/>
                <w:sz w:val="21"/>
              </w:rPr>
            </w:pPr>
          </w:p>
          <w:p w14:paraId="23B956A6">
            <w:pPr>
              <w:spacing w:line="303" w:lineRule="auto"/>
              <w:rPr>
                <w:rFonts w:ascii="Arial"/>
                <w:sz w:val="21"/>
              </w:rPr>
            </w:pPr>
          </w:p>
          <w:p w14:paraId="3B7AC5A6">
            <w:pPr>
              <w:spacing w:before="68" w:line="220" w:lineRule="auto"/>
              <w:ind w:left="129"/>
              <w:rPr>
                <w:rFonts w:ascii="宋体" w:hAnsi="宋体" w:eastAsia="宋体" w:cs="宋体"/>
                <w:sz w:val="21"/>
                <w:szCs w:val="21"/>
              </w:rPr>
            </w:pPr>
            <w:r>
              <w:rPr>
                <w:rFonts w:ascii="宋体" w:hAnsi="宋体" w:eastAsia="宋体" w:cs="宋体"/>
                <w:spacing w:val="-3"/>
                <w:sz w:val="21"/>
                <w:szCs w:val="21"/>
              </w:rPr>
              <w:t>符合</w:t>
            </w:r>
          </w:p>
        </w:tc>
      </w:tr>
      <w:tr w14:paraId="13A06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17" w:type="dxa"/>
            <w:vAlign w:val="top"/>
          </w:tcPr>
          <w:p w14:paraId="07E56F2E">
            <w:pPr>
              <w:spacing w:before="69" w:line="220" w:lineRule="auto"/>
              <w:ind w:left="47"/>
              <w:rPr>
                <w:rFonts w:ascii="宋体" w:hAnsi="宋体" w:eastAsia="宋体" w:cs="宋体"/>
                <w:sz w:val="21"/>
                <w:szCs w:val="21"/>
              </w:rPr>
            </w:pPr>
            <w:r>
              <w:rPr>
                <w:rFonts w:ascii="宋体" w:hAnsi="宋体" w:eastAsia="宋体" w:cs="宋体"/>
                <w:spacing w:val="-2"/>
                <w:sz w:val="21"/>
                <w:szCs w:val="21"/>
              </w:rPr>
              <w:t>废水处</w:t>
            </w:r>
          </w:p>
        </w:tc>
        <w:tc>
          <w:tcPr>
            <w:tcW w:w="3965" w:type="dxa"/>
            <w:vAlign w:val="top"/>
          </w:tcPr>
          <w:p w14:paraId="3DB89116">
            <w:pPr>
              <w:pStyle w:val="6"/>
              <w:spacing w:before="69" w:line="219" w:lineRule="auto"/>
              <w:ind w:left="14"/>
              <w:rPr>
                <w:rFonts w:ascii="宋体" w:hAnsi="宋体" w:eastAsia="宋体" w:cs="宋体"/>
              </w:rPr>
            </w:pPr>
            <w:r>
              <w:rPr>
                <w:rFonts w:ascii="宋体" w:hAnsi="宋体" w:eastAsia="宋体" w:cs="宋体"/>
                <w:spacing w:val="-6"/>
              </w:rPr>
              <w:t>（</w:t>
            </w:r>
            <w:r>
              <w:rPr>
                <w:spacing w:val="-6"/>
              </w:rPr>
              <w:t>1</w:t>
            </w:r>
            <w:r>
              <w:rPr>
                <w:rFonts w:ascii="宋体" w:hAnsi="宋体" w:eastAsia="宋体" w:cs="宋体"/>
                <w:spacing w:val="-6"/>
              </w:rPr>
              <w:t>）定期喷洒除臭剂；</w:t>
            </w:r>
          </w:p>
        </w:tc>
        <w:tc>
          <w:tcPr>
            <w:tcW w:w="2972" w:type="dxa"/>
            <w:vAlign w:val="top"/>
          </w:tcPr>
          <w:p w14:paraId="6ECEC466">
            <w:pPr>
              <w:spacing w:before="70" w:line="217" w:lineRule="auto"/>
              <w:ind w:left="9"/>
              <w:rPr>
                <w:rFonts w:ascii="宋体" w:hAnsi="宋体" w:eastAsia="宋体" w:cs="宋体"/>
                <w:sz w:val="21"/>
                <w:szCs w:val="21"/>
              </w:rPr>
            </w:pPr>
            <w:r>
              <w:rPr>
                <w:rFonts w:ascii="宋体" w:hAnsi="宋体" w:eastAsia="宋体" w:cs="宋体"/>
                <w:spacing w:val="-6"/>
                <w:sz w:val="21"/>
                <w:szCs w:val="21"/>
              </w:rPr>
              <w:t>①定期喷洒除臭剂；</w:t>
            </w:r>
          </w:p>
        </w:tc>
        <w:tc>
          <w:tcPr>
            <w:tcW w:w="666" w:type="dxa"/>
            <w:vAlign w:val="top"/>
          </w:tcPr>
          <w:p w14:paraId="6536C65D">
            <w:pPr>
              <w:spacing w:before="69" w:line="220" w:lineRule="auto"/>
              <w:ind w:left="129"/>
              <w:rPr>
                <w:rFonts w:ascii="宋体" w:hAnsi="宋体" w:eastAsia="宋体" w:cs="宋体"/>
                <w:sz w:val="21"/>
                <w:szCs w:val="21"/>
              </w:rPr>
            </w:pPr>
            <w:r>
              <w:rPr>
                <w:rFonts w:ascii="宋体" w:hAnsi="宋体" w:eastAsia="宋体" w:cs="宋体"/>
                <w:spacing w:val="-3"/>
                <w:sz w:val="21"/>
                <w:szCs w:val="21"/>
              </w:rPr>
              <w:t>符合</w:t>
            </w:r>
          </w:p>
        </w:tc>
      </w:tr>
    </w:tbl>
    <w:p w14:paraId="0B1DC58E">
      <w:pPr>
        <w:pStyle w:val="2"/>
      </w:pPr>
    </w:p>
    <w:p w14:paraId="74A408C1">
      <w:pPr>
        <w:sectPr>
          <w:headerReference r:id="rId453" w:type="default"/>
          <w:footerReference r:id="rId454" w:type="default"/>
          <w:pgSz w:w="11905" w:h="16840"/>
          <w:pgMar w:top="1168" w:right="1731" w:bottom="1409" w:left="1770" w:header="828" w:footer="1244" w:gutter="0"/>
          <w:cols w:space="720" w:num="1"/>
        </w:sectPr>
      </w:pPr>
    </w:p>
    <w:p w14:paraId="19E08E36">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3965"/>
        <w:gridCol w:w="2972"/>
        <w:gridCol w:w="666"/>
      </w:tblGrid>
      <w:tr w14:paraId="0B194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82" w:type="dxa"/>
            <w:gridSpan w:val="2"/>
            <w:vAlign w:val="top"/>
          </w:tcPr>
          <w:p w14:paraId="450B287B">
            <w:pPr>
              <w:spacing w:before="68" w:line="220" w:lineRule="auto"/>
              <w:ind w:left="667"/>
              <w:rPr>
                <w:rFonts w:ascii="宋体" w:hAnsi="宋体" w:eastAsia="宋体" w:cs="宋体"/>
                <w:sz w:val="21"/>
                <w:szCs w:val="21"/>
              </w:rPr>
            </w:pPr>
            <w:r>
              <w:rPr>
                <w:rFonts w:ascii="宋体" w:hAnsi="宋体" w:eastAsia="宋体" w:cs="宋体"/>
                <w:spacing w:val="-1"/>
                <w:sz w:val="21"/>
                <w:szCs w:val="21"/>
              </w:rPr>
              <w:t>排污许可证申请与核发技术规范要求</w:t>
            </w:r>
          </w:p>
        </w:tc>
        <w:tc>
          <w:tcPr>
            <w:tcW w:w="2972" w:type="dxa"/>
            <w:vAlign w:val="top"/>
          </w:tcPr>
          <w:p w14:paraId="14B50102">
            <w:pPr>
              <w:spacing w:before="68" w:line="219" w:lineRule="auto"/>
              <w:ind w:left="1178"/>
              <w:rPr>
                <w:rFonts w:ascii="宋体" w:hAnsi="宋体" w:eastAsia="宋体" w:cs="宋体"/>
                <w:sz w:val="21"/>
                <w:szCs w:val="21"/>
              </w:rPr>
            </w:pPr>
            <w:r>
              <w:rPr>
                <w:rFonts w:ascii="宋体" w:hAnsi="宋体" w:eastAsia="宋体" w:cs="宋体"/>
                <w:spacing w:val="-3"/>
                <w:sz w:val="21"/>
                <w:szCs w:val="21"/>
              </w:rPr>
              <w:t>本项目</w:t>
            </w:r>
          </w:p>
        </w:tc>
        <w:tc>
          <w:tcPr>
            <w:tcW w:w="666" w:type="dxa"/>
            <w:vAlign w:val="top"/>
          </w:tcPr>
          <w:p w14:paraId="30F1B0C6">
            <w:pPr>
              <w:spacing w:before="68" w:line="220" w:lineRule="auto"/>
              <w:ind w:left="24"/>
              <w:rPr>
                <w:rFonts w:ascii="宋体" w:hAnsi="宋体" w:eastAsia="宋体" w:cs="宋体"/>
                <w:sz w:val="21"/>
                <w:szCs w:val="21"/>
              </w:rPr>
            </w:pPr>
            <w:r>
              <w:rPr>
                <w:rFonts w:ascii="宋体" w:hAnsi="宋体" w:eastAsia="宋体" w:cs="宋体"/>
                <w:spacing w:val="-3"/>
                <w:sz w:val="21"/>
                <w:szCs w:val="21"/>
              </w:rPr>
              <w:t>符合性</w:t>
            </w:r>
          </w:p>
        </w:tc>
      </w:tr>
      <w:tr w14:paraId="73227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717" w:type="dxa"/>
            <w:vAlign w:val="top"/>
          </w:tcPr>
          <w:p w14:paraId="43E5FF4B">
            <w:pPr>
              <w:spacing w:before="50" w:line="220" w:lineRule="auto"/>
              <w:ind w:left="51"/>
              <w:rPr>
                <w:rFonts w:ascii="宋体" w:hAnsi="宋体" w:eastAsia="宋体" w:cs="宋体"/>
                <w:sz w:val="21"/>
                <w:szCs w:val="21"/>
              </w:rPr>
            </w:pPr>
            <w:r>
              <w:rPr>
                <w:rFonts w:ascii="宋体" w:hAnsi="宋体" w:eastAsia="宋体" w:cs="宋体"/>
                <w:spacing w:val="-3"/>
                <w:sz w:val="21"/>
                <w:szCs w:val="21"/>
              </w:rPr>
              <w:t>理工程</w:t>
            </w:r>
          </w:p>
        </w:tc>
        <w:tc>
          <w:tcPr>
            <w:tcW w:w="3965" w:type="dxa"/>
            <w:vAlign w:val="top"/>
          </w:tcPr>
          <w:p w14:paraId="5E35CF50">
            <w:pPr>
              <w:pStyle w:val="6"/>
              <w:spacing w:before="49" w:line="220" w:lineRule="auto"/>
              <w:ind w:left="14"/>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）废水处理设施加盖或加罩；</w:t>
            </w:r>
          </w:p>
          <w:p w14:paraId="3791AE3D">
            <w:pPr>
              <w:pStyle w:val="6"/>
              <w:spacing w:before="63" w:line="276" w:lineRule="auto"/>
              <w:ind w:left="10" w:firstLine="3"/>
              <w:rPr>
                <w:rFonts w:ascii="宋体" w:hAnsi="宋体" w:eastAsia="宋体" w:cs="宋体"/>
              </w:rPr>
            </w:pPr>
            <w:r>
              <w:rPr>
                <w:rFonts w:ascii="宋体" w:hAnsi="宋体" w:eastAsia="宋体" w:cs="宋体"/>
                <w:spacing w:val="1"/>
              </w:rPr>
              <w:t>（</w:t>
            </w:r>
            <w:r>
              <w:rPr>
                <w:spacing w:val="1"/>
              </w:rPr>
              <w:t>3</w:t>
            </w:r>
            <w:r>
              <w:rPr>
                <w:rFonts w:ascii="宋体" w:hAnsi="宋体" w:eastAsia="宋体" w:cs="宋体"/>
                <w:spacing w:val="1"/>
              </w:rPr>
              <w:t>）集中收集气体经处理（生物过滤法、</w:t>
            </w:r>
            <w:r>
              <w:rPr>
                <w:rFonts w:ascii="宋体" w:hAnsi="宋体" w:eastAsia="宋体" w:cs="宋体"/>
                <w:spacing w:val="-3"/>
              </w:rPr>
              <w:t>生物洗涤法、吸收法等）后由排气筒排放。</w:t>
            </w:r>
          </w:p>
        </w:tc>
        <w:tc>
          <w:tcPr>
            <w:tcW w:w="2972" w:type="dxa"/>
            <w:vAlign w:val="top"/>
          </w:tcPr>
          <w:p w14:paraId="70D4A854">
            <w:pPr>
              <w:pStyle w:val="6"/>
              <w:spacing w:before="47" w:line="262" w:lineRule="auto"/>
              <w:ind w:left="10" w:hanging="1"/>
              <w:jc w:val="both"/>
              <w:rPr>
                <w:rFonts w:ascii="宋体" w:hAnsi="宋体" w:eastAsia="宋体" w:cs="宋体"/>
              </w:rPr>
            </w:pPr>
            <w:r>
              <w:rPr>
                <w:rFonts w:ascii="宋体" w:hAnsi="宋体" w:eastAsia="宋体" w:cs="宋体"/>
                <w:spacing w:val="4"/>
              </w:rPr>
              <w:t>②粪污收集池、</w:t>
            </w:r>
            <w:r>
              <w:rPr>
                <w:spacing w:val="4"/>
              </w:rPr>
              <w:t>A/O</w:t>
            </w:r>
            <w:r>
              <w:rPr>
                <w:rFonts w:ascii="宋体" w:hAnsi="宋体" w:eastAsia="宋体" w:cs="宋体"/>
                <w:spacing w:val="4"/>
              </w:rPr>
              <w:t>池、污泥池</w:t>
            </w:r>
            <w:r>
              <w:rPr>
                <w:rFonts w:ascii="宋体" w:hAnsi="宋体" w:eastAsia="宋体" w:cs="宋体"/>
                <w:spacing w:val="1"/>
              </w:rPr>
              <w:t>等加盖，采取集中收集臭气经生</w:t>
            </w:r>
            <w:r>
              <w:rPr>
                <w:rFonts w:ascii="宋体" w:hAnsi="宋体" w:eastAsia="宋体" w:cs="宋体"/>
                <w:spacing w:val="4"/>
              </w:rPr>
              <w:t>物过滤法处理后由</w:t>
            </w:r>
            <w:r>
              <w:rPr>
                <w:spacing w:val="4"/>
              </w:rPr>
              <w:t>15m</w:t>
            </w:r>
            <w:r>
              <w:rPr>
                <w:rFonts w:ascii="宋体" w:hAnsi="宋体" w:eastAsia="宋体" w:cs="宋体"/>
                <w:spacing w:val="4"/>
              </w:rPr>
              <w:t>排气筒排</w:t>
            </w:r>
            <w:r>
              <w:rPr>
                <w:rFonts w:ascii="宋体" w:hAnsi="宋体" w:eastAsia="宋体" w:cs="宋体"/>
                <w:spacing w:val="-10"/>
              </w:rPr>
              <w:t>放。</w:t>
            </w:r>
          </w:p>
        </w:tc>
        <w:tc>
          <w:tcPr>
            <w:tcW w:w="666" w:type="dxa"/>
            <w:vAlign w:val="top"/>
          </w:tcPr>
          <w:p w14:paraId="3F83D3E7">
            <w:pPr>
              <w:rPr>
                <w:rFonts w:ascii="Arial"/>
                <w:sz w:val="21"/>
              </w:rPr>
            </w:pPr>
          </w:p>
        </w:tc>
      </w:tr>
      <w:tr w14:paraId="3282A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717" w:type="dxa"/>
            <w:vAlign w:val="top"/>
          </w:tcPr>
          <w:p w14:paraId="3FB76824">
            <w:pPr>
              <w:spacing w:line="449" w:lineRule="auto"/>
              <w:rPr>
                <w:rFonts w:ascii="Arial"/>
                <w:sz w:val="21"/>
              </w:rPr>
            </w:pPr>
          </w:p>
          <w:p w14:paraId="59D2379B">
            <w:pPr>
              <w:spacing w:before="69" w:line="220" w:lineRule="auto"/>
              <w:ind w:left="154"/>
              <w:rPr>
                <w:rFonts w:ascii="宋体" w:hAnsi="宋体" w:eastAsia="宋体" w:cs="宋体"/>
                <w:sz w:val="21"/>
                <w:szCs w:val="21"/>
              </w:rPr>
            </w:pPr>
            <w:r>
              <w:rPr>
                <w:rFonts w:ascii="宋体" w:hAnsi="宋体" w:eastAsia="宋体" w:cs="宋体"/>
                <w:spacing w:val="-3"/>
                <w:sz w:val="21"/>
                <w:szCs w:val="21"/>
              </w:rPr>
              <w:t>全场</w:t>
            </w:r>
          </w:p>
        </w:tc>
        <w:tc>
          <w:tcPr>
            <w:tcW w:w="3965" w:type="dxa"/>
            <w:vAlign w:val="top"/>
          </w:tcPr>
          <w:p w14:paraId="376890E5">
            <w:pPr>
              <w:pStyle w:val="6"/>
              <w:spacing w:before="52" w:line="220" w:lineRule="auto"/>
              <w:ind w:left="14"/>
              <w:rPr>
                <w:rFonts w:ascii="宋体" w:hAnsi="宋体" w:eastAsia="宋体" w:cs="宋体"/>
              </w:rPr>
            </w:pPr>
            <w:r>
              <w:rPr>
                <w:rFonts w:ascii="宋体" w:hAnsi="宋体" w:eastAsia="宋体" w:cs="宋体"/>
                <w:spacing w:val="-5"/>
              </w:rPr>
              <w:t>（</w:t>
            </w:r>
            <w:r>
              <w:rPr>
                <w:spacing w:val="-5"/>
              </w:rPr>
              <w:t>1</w:t>
            </w:r>
            <w:r>
              <w:rPr>
                <w:rFonts w:ascii="宋体" w:hAnsi="宋体" w:eastAsia="宋体" w:cs="宋体"/>
                <w:spacing w:val="-5"/>
              </w:rPr>
              <w:t>）固体粪污规范还田利用；</w:t>
            </w:r>
          </w:p>
          <w:p w14:paraId="60EE9569">
            <w:pPr>
              <w:pStyle w:val="6"/>
              <w:spacing w:before="62" w:line="274" w:lineRule="auto"/>
              <w:ind w:left="8" w:right="12" w:firstLine="5"/>
              <w:rPr>
                <w:rFonts w:ascii="宋体" w:hAnsi="宋体" w:eastAsia="宋体" w:cs="宋体"/>
              </w:rPr>
            </w:pPr>
            <w:r>
              <w:rPr>
                <w:rFonts w:ascii="宋体" w:hAnsi="宋体" w:eastAsia="宋体" w:cs="宋体"/>
                <w:spacing w:val="2"/>
              </w:rPr>
              <w:t>（</w:t>
            </w:r>
            <w:r>
              <w:rPr>
                <w:spacing w:val="2"/>
              </w:rPr>
              <w:t>2</w:t>
            </w:r>
            <w:r>
              <w:rPr>
                <w:rFonts w:ascii="宋体" w:hAnsi="宋体" w:eastAsia="宋体" w:cs="宋体"/>
                <w:spacing w:val="2"/>
              </w:rPr>
              <w:t>）场区运输道路全硬化、及时清扫、无</w:t>
            </w:r>
            <w:r>
              <w:rPr>
                <w:rFonts w:ascii="宋体" w:hAnsi="宋体" w:eastAsia="宋体" w:cs="宋体"/>
                <w:spacing w:val="-5"/>
              </w:rPr>
              <w:t>积灰扬尘、定期洒水抑尘；</w:t>
            </w:r>
          </w:p>
          <w:p w14:paraId="2DA0C867">
            <w:pPr>
              <w:pStyle w:val="6"/>
              <w:spacing w:line="220" w:lineRule="auto"/>
              <w:ind w:left="14"/>
              <w:rPr>
                <w:rFonts w:ascii="宋体" w:hAnsi="宋体" w:eastAsia="宋体" w:cs="宋体"/>
              </w:rPr>
            </w:pPr>
            <w:r>
              <w:rPr>
                <w:rFonts w:ascii="宋体" w:hAnsi="宋体" w:eastAsia="宋体" w:cs="宋体"/>
                <w:spacing w:val="-5"/>
              </w:rPr>
              <w:t>（</w:t>
            </w:r>
            <w:r>
              <w:rPr>
                <w:spacing w:val="-5"/>
              </w:rPr>
              <w:t>3</w:t>
            </w:r>
            <w:r>
              <w:rPr>
                <w:rFonts w:ascii="宋体" w:hAnsi="宋体" w:eastAsia="宋体" w:cs="宋体"/>
                <w:spacing w:val="-5"/>
              </w:rPr>
              <w:t>）加强场区绿化。</w:t>
            </w:r>
          </w:p>
        </w:tc>
        <w:tc>
          <w:tcPr>
            <w:tcW w:w="2972" w:type="dxa"/>
            <w:vAlign w:val="top"/>
          </w:tcPr>
          <w:p w14:paraId="3EF45824">
            <w:pPr>
              <w:spacing w:before="53" w:line="217" w:lineRule="auto"/>
              <w:ind w:left="9"/>
              <w:rPr>
                <w:rFonts w:ascii="宋体" w:hAnsi="宋体" w:eastAsia="宋体" w:cs="宋体"/>
                <w:sz w:val="21"/>
                <w:szCs w:val="21"/>
              </w:rPr>
            </w:pPr>
            <w:r>
              <w:rPr>
                <w:rFonts w:ascii="宋体" w:hAnsi="宋体" w:eastAsia="宋体" w:cs="宋体"/>
                <w:spacing w:val="-8"/>
                <w:sz w:val="21"/>
                <w:szCs w:val="21"/>
              </w:rPr>
              <w:t>①固体粪污交有机肥生产企业；</w:t>
            </w:r>
          </w:p>
          <w:p w14:paraId="7FE4D982">
            <w:pPr>
              <w:spacing w:before="65" w:line="274" w:lineRule="auto"/>
              <w:ind w:left="13" w:right="8" w:hanging="4"/>
              <w:rPr>
                <w:rFonts w:ascii="宋体" w:hAnsi="宋体" w:eastAsia="宋体" w:cs="宋体"/>
                <w:sz w:val="21"/>
                <w:szCs w:val="21"/>
              </w:rPr>
            </w:pPr>
            <w:r>
              <w:rPr>
                <w:rFonts w:ascii="宋体" w:hAnsi="宋体" w:eastAsia="宋体" w:cs="宋体"/>
                <w:sz w:val="21"/>
                <w:szCs w:val="21"/>
              </w:rPr>
              <w:t>②场区运输道路全硬化、及时清</w:t>
            </w:r>
            <w:r>
              <w:rPr>
                <w:rFonts w:ascii="宋体" w:hAnsi="宋体" w:eastAsia="宋体" w:cs="宋体"/>
                <w:spacing w:val="-15"/>
                <w:sz w:val="21"/>
                <w:szCs w:val="21"/>
              </w:rPr>
              <w:t>扫；</w:t>
            </w:r>
          </w:p>
          <w:p w14:paraId="2DDDBB63">
            <w:pPr>
              <w:spacing w:line="217" w:lineRule="auto"/>
              <w:ind w:left="9"/>
              <w:rPr>
                <w:rFonts w:ascii="宋体" w:hAnsi="宋体" w:eastAsia="宋体" w:cs="宋体"/>
                <w:sz w:val="21"/>
                <w:szCs w:val="21"/>
              </w:rPr>
            </w:pPr>
            <w:r>
              <w:rPr>
                <w:rFonts w:ascii="宋体" w:hAnsi="宋体" w:eastAsia="宋体" w:cs="宋体"/>
                <w:spacing w:val="-5"/>
                <w:sz w:val="21"/>
                <w:szCs w:val="21"/>
              </w:rPr>
              <w:t>③加强场区绿化。</w:t>
            </w:r>
          </w:p>
        </w:tc>
        <w:tc>
          <w:tcPr>
            <w:tcW w:w="666" w:type="dxa"/>
            <w:vAlign w:val="top"/>
          </w:tcPr>
          <w:p w14:paraId="38BE8ADE">
            <w:pPr>
              <w:spacing w:line="449" w:lineRule="auto"/>
              <w:rPr>
                <w:rFonts w:ascii="Arial"/>
                <w:sz w:val="21"/>
              </w:rPr>
            </w:pPr>
          </w:p>
          <w:p w14:paraId="1B6AD7B1">
            <w:pPr>
              <w:spacing w:before="68" w:line="220" w:lineRule="auto"/>
              <w:ind w:left="129"/>
              <w:rPr>
                <w:rFonts w:ascii="宋体" w:hAnsi="宋体" w:eastAsia="宋体" w:cs="宋体"/>
                <w:sz w:val="21"/>
                <w:szCs w:val="21"/>
              </w:rPr>
            </w:pPr>
            <w:r>
              <w:rPr>
                <w:rFonts w:ascii="宋体" w:hAnsi="宋体" w:eastAsia="宋体" w:cs="宋体"/>
                <w:spacing w:val="-3"/>
                <w:sz w:val="21"/>
                <w:szCs w:val="21"/>
              </w:rPr>
              <w:t>符合</w:t>
            </w:r>
          </w:p>
        </w:tc>
      </w:tr>
    </w:tbl>
    <w:p w14:paraId="46D398E2">
      <w:pPr>
        <w:spacing w:before="232" w:line="362" w:lineRule="auto"/>
        <w:ind w:left="45" w:right="40" w:firstLine="477"/>
        <w:jc w:val="both"/>
        <w:rPr>
          <w:rFonts w:ascii="宋体" w:hAnsi="宋体" w:eastAsia="宋体" w:cs="宋体"/>
          <w:sz w:val="24"/>
          <w:szCs w:val="24"/>
        </w:rPr>
      </w:pPr>
      <w:r>
        <w:rPr>
          <w:rFonts w:ascii="宋体" w:hAnsi="宋体" w:eastAsia="宋体" w:cs="宋体"/>
          <w:spacing w:val="-4"/>
          <w:sz w:val="24"/>
          <w:szCs w:val="24"/>
        </w:rPr>
        <w:t>综上，本项目拟采取的恶臭控制措施符合《畜禽养殖业污染治理工程技术规</w:t>
      </w:r>
      <w:r>
        <w:rPr>
          <w:rFonts w:ascii="宋体" w:hAnsi="宋体" w:eastAsia="宋体" w:cs="宋体"/>
          <w:spacing w:val="12"/>
          <w:sz w:val="24"/>
          <w:szCs w:val="24"/>
        </w:rPr>
        <w:t>范》（</w:t>
      </w:r>
      <w:r>
        <w:rPr>
          <w:rFonts w:ascii="Times New Roman" w:hAnsi="Times New Roman" w:eastAsia="Times New Roman" w:cs="Times New Roman"/>
          <w:sz w:val="24"/>
          <w:szCs w:val="24"/>
        </w:rPr>
        <w:t>HJ</w:t>
      </w:r>
      <w:r>
        <w:rPr>
          <w:rFonts w:ascii="Times New Roman" w:hAnsi="Times New Roman" w:eastAsia="Times New Roman" w:cs="Times New Roman"/>
          <w:spacing w:val="12"/>
          <w:sz w:val="24"/>
          <w:szCs w:val="24"/>
        </w:rPr>
        <w:t>497-2009</w:t>
      </w:r>
      <w:r>
        <w:rPr>
          <w:rFonts w:ascii="宋体" w:hAnsi="宋体" w:eastAsia="宋体" w:cs="宋体"/>
          <w:spacing w:val="12"/>
          <w:sz w:val="24"/>
          <w:szCs w:val="24"/>
        </w:rPr>
        <w:t>）和《排污许可证申请与核发技术规范</w:t>
      </w:r>
      <w:r>
        <w:rPr>
          <w:rFonts w:ascii="宋体" w:hAnsi="宋体" w:eastAsia="宋体" w:cs="宋体"/>
          <w:spacing w:val="76"/>
          <w:sz w:val="24"/>
          <w:szCs w:val="24"/>
        </w:rPr>
        <w:t xml:space="preserve"> </w:t>
      </w:r>
      <w:r>
        <w:rPr>
          <w:rFonts w:ascii="宋体" w:hAnsi="宋体" w:eastAsia="宋体" w:cs="宋体"/>
          <w:spacing w:val="12"/>
          <w:sz w:val="24"/>
          <w:szCs w:val="24"/>
        </w:rPr>
        <w:t>畜禽养</w:t>
      </w:r>
      <w:r>
        <w:rPr>
          <w:rFonts w:ascii="宋体" w:hAnsi="宋体" w:eastAsia="宋体" w:cs="宋体"/>
          <w:spacing w:val="11"/>
          <w:sz w:val="24"/>
          <w:szCs w:val="24"/>
        </w:rPr>
        <w:t>殖行业》</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HJ1029-2019</w:t>
      </w:r>
      <w:r>
        <w:rPr>
          <w:rFonts w:ascii="宋体" w:hAnsi="宋体" w:eastAsia="宋体" w:cs="宋体"/>
          <w:spacing w:val="-3"/>
          <w:sz w:val="24"/>
          <w:szCs w:val="24"/>
        </w:rPr>
        <w:t>）废气治理要求。</w:t>
      </w:r>
    </w:p>
    <w:p w14:paraId="4D29C93C">
      <w:pPr>
        <w:spacing w:before="50" w:line="227" w:lineRule="auto"/>
        <w:ind w:left="39"/>
        <w:rPr>
          <w:rFonts w:ascii="宋体" w:hAnsi="宋体" w:eastAsia="宋体" w:cs="宋体"/>
          <w:sz w:val="27"/>
          <w:szCs w:val="27"/>
        </w:rPr>
      </w:pPr>
      <w:r>
        <w:rPr>
          <w:rFonts w:ascii="Times New Roman" w:hAnsi="Times New Roman" w:eastAsia="Times New Roman" w:cs="Times New Roman"/>
          <w:b/>
          <w:bCs/>
          <w:spacing w:val="3"/>
          <w:sz w:val="27"/>
          <w:szCs w:val="27"/>
        </w:rPr>
        <w:t>5.2.1.4</w:t>
      </w:r>
      <w:r>
        <w:rPr>
          <w:rFonts w:ascii="Times New Roman" w:hAnsi="Times New Roman" w:eastAsia="Times New Roman" w:cs="Times New Roman"/>
          <w:b/>
          <w:bCs/>
          <w:spacing w:val="28"/>
          <w:sz w:val="27"/>
          <w:szCs w:val="27"/>
        </w:rPr>
        <w:t xml:space="preserve"> </w:t>
      </w:r>
      <w:r>
        <w:rPr>
          <w:rFonts w:ascii="宋体" w:hAnsi="宋体" w:eastAsia="宋体" w:cs="宋体"/>
          <w:b/>
          <w:bCs/>
          <w:spacing w:val="3"/>
          <w:sz w:val="27"/>
          <w:szCs w:val="27"/>
        </w:rPr>
        <w:t>沼气处理措施</w:t>
      </w:r>
    </w:p>
    <w:p w14:paraId="3F8FF5F9">
      <w:pPr>
        <w:spacing w:before="237" w:line="359" w:lineRule="auto"/>
        <w:ind w:left="38" w:right="29" w:firstLine="485"/>
        <w:jc w:val="both"/>
        <w:rPr>
          <w:rFonts w:ascii="宋体" w:hAnsi="宋体" w:eastAsia="宋体" w:cs="宋体"/>
          <w:sz w:val="24"/>
          <w:szCs w:val="24"/>
        </w:rPr>
      </w:pPr>
      <w:r>
        <w:rPr>
          <w:rFonts w:ascii="宋体" w:hAnsi="宋体" w:eastAsia="宋体" w:cs="宋体"/>
          <w:spacing w:val="-1"/>
          <w:sz w:val="24"/>
          <w:szCs w:val="24"/>
        </w:rPr>
        <w:t>沼气中有机物发酵时，由于微生物对蛋白质的分解会产生一定量</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6"/>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气体进</w:t>
      </w:r>
      <w:r>
        <w:rPr>
          <w:rFonts w:ascii="宋体" w:hAnsi="宋体" w:eastAsia="宋体" w:cs="宋体"/>
          <w:spacing w:val="-5"/>
          <w:sz w:val="24"/>
          <w:szCs w:val="24"/>
        </w:rPr>
        <w:t>入沼气，其浓度范围一般在</w:t>
      </w:r>
      <w:r>
        <w:rPr>
          <w:rFonts w:ascii="Times New Roman" w:hAnsi="Times New Roman" w:eastAsia="Times New Roman" w:cs="Times New Roman"/>
          <w:spacing w:val="-5"/>
          <w:sz w:val="24"/>
          <w:szCs w:val="24"/>
        </w:rPr>
        <w:t>1~12g/m</w:t>
      </w:r>
      <w:r>
        <w:rPr>
          <w:rFonts w:ascii="Times New Roman" w:hAnsi="Times New Roman" w:eastAsia="Times New Roman" w:cs="Times New Roman"/>
          <w:spacing w:val="-5"/>
          <w:position w:val="10"/>
          <w:sz w:val="15"/>
          <w:szCs w:val="15"/>
        </w:rPr>
        <w:t>3</w:t>
      </w:r>
      <w:r>
        <w:rPr>
          <w:rFonts w:ascii="宋体" w:hAnsi="宋体" w:eastAsia="宋体" w:cs="宋体"/>
          <w:spacing w:val="-15"/>
          <w:sz w:val="24"/>
          <w:szCs w:val="24"/>
        </w:rPr>
        <w:t>，超过《人工煤气》（</w:t>
      </w:r>
      <w:r>
        <w:rPr>
          <w:rFonts w:ascii="Times New Roman" w:hAnsi="Times New Roman" w:eastAsia="Times New Roman" w:cs="Times New Roman"/>
          <w:spacing w:val="-15"/>
          <w:sz w:val="24"/>
          <w:szCs w:val="24"/>
        </w:rPr>
        <w:t>GB13621-2006</w:t>
      </w:r>
      <w:r>
        <w:rPr>
          <w:rFonts w:ascii="宋体" w:hAnsi="宋体" w:eastAsia="宋体" w:cs="宋体"/>
          <w:spacing w:val="-15"/>
          <w:sz w:val="24"/>
          <w:szCs w:val="24"/>
        </w:rPr>
        <w:t>）</w:t>
      </w:r>
      <w:r>
        <w:rPr>
          <w:rFonts w:ascii="Times New Roman" w:hAnsi="Times New Roman" w:eastAsia="Times New Roman" w:cs="Times New Roman"/>
          <w:spacing w:val="-15"/>
          <w:sz w:val="24"/>
          <w:szCs w:val="24"/>
        </w:rPr>
        <w:t>20mg/m</w:t>
      </w:r>
      <w:r>
        <w:rPr>
          <w:rFonts w:ascii="Times New Roman" w:hAnsi="Times New Roman" w:eastAsia="Times New Roman" w:cs="Times New Roman"/>
          <w:spacing w:val="3"/>
          <w:position w:val="10"/>
          <w:sz w:val="15"/>
          <w:szCs w:val="15"/>
        </w:rPr>
        <w:t>3</w:t>
      </w:r>
      <w:r>
        <w:rPr>
          <w:rFonts w:ascii="宋体" w:hAnsi="宋体" w:eastAsia="宋体" w:cs="宋体"/>
          <w:spacing w:val="-3"/>
          <w:sz w:val="24"/>
          <w:szCs w:val="24"/>
        </w:rPr>
        <w:t>的规定，若不先进行处理，而是直接作为燃料燃烧，将会对周围环境造成一定危</w:t>
      </w:r>
      <w:r>
        <w:rPr>
          <w:rFonts w:ascii="宋体" w:hAnsi="宋体" w:eastAsia="宋体" w:cs="宋体"/>
          <w:spacing w:val="-6"/>
          <w:sz w:val="24"/>
          <w:szCs w:val="24"/>
        </w:rPr>
        <w:t>害，直接限制沼气的利用范围。因此， 沼气必须进行脱硫。</w:t>
      </w:r>
      <w:r>
        <w:rPr>
          <w:rFonts w:ascii="宋体" w:hAnsi="宋体" w:eastAsia="宋体" w:cs="宋体"/>
          <w:spacing w:val="-7"/>
          <w:sz w:val="24"/>
          <w:szCs w:val="24"/>
        </w:rPr>
        <w:t>本项目在对沼气进行</w:t>
      </w:r>
      <w:r>
        <w:rPr>
          <w:rFonts w:ascii="宋体" w:hAnsi="宋体" w:eastAsia="宋体" w:cs="宋体"/>
          <w:spacing w:val="-6"/>
          <w:sz w:val="24"/>
          <w:szCs w:val="24"/>
        </w:rPr>
        <w:t xml:space="preserve">净化时采用干法脱硫，脱硫工艺结构简单、技术成熟可靠， </w:t>
      </w:r>
      <w:r>
        <w:rPr>
          <w:rFonts w:ascii="宋体" w:hAnsi="宋体" w:eastAsia="宋体" w:cs="宋体"/>
          <w:spacing w:val="-7"/>
          <w:sz w:val="24"/>
          <w:szCs w:val="24"/>
        </w:rPr>
        <w:t>造价低，能满足项目</w:t>
      </w:r>
      <w:r>
        <w:rPr>
          <w:rFonts w:ascii="宋体" w:hAnsi="宋体" w:eastAsia="宋体" w:cs="宋体"/>
          <w:spacing w:val="-5"/>
          <w:sz w:val="24"/>
          <w:szCs w:val="24"/>
        </w:rPr>
        <w:t>沼气的脱硫需要。</w:t>
      </w:r>
    </w:p>
    <w:p w14:paraId="0ABE045F">
      <w:pPr>
        <w:spacing w:before="5"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）沼气干法脱硫原理</w:t>
      </w:r>
    </w:p>
    <w:p w14:paraId="67D9C2A6">
      <w:pPr>
        <w:spacing w:before="184" w:line="360" w:lineRule="auto"/>
        <w:ind w:left="38" w:right="29" w:firstLine="485"/>
        <w:jc w:val="both"/>
        <w:rPr>
          <w:rFonts w:ascii="宋体" w:hAnsi="宋体" w:eastAsia="宋体" w:cs="宋体"/>
          <w:sz w:val="24"/>
          <w:szCs w:val="24"/>
        </w:rPr>
      </w:pPr>
      <w:r>
        <w:rPr>
          <w:rFonts w:ascii="宋体" w:hAnsi="宋体" w:eastAsia="宋体" w:cs="宋体"/>
          <w:spacing w:val="-2"/>
          <w:sz w:val="24"/>
          <w:szCs w:val="24"/>
        </w:rPr>
        <w:t>沼气中的有害物质主要是</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8"/>
          <w:position w:val="-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，它对人体健康有相当大的危害，对管道阀门</w:t>
      </w:r>
      <w:r>
        <w:rPr>
          <w:rFonts w:ascii="宋体" w:hAnsi="宋体" w:eastAsia="宋体" w:cs="宋体"/>
          <w:spacing w:val="-5"/>
          <w:sz w:val="24"/>
          <w:szCs w:val="24"/>
        </w:rPr>
        <w:t>及应用设备有较强的腐蚀作用。本项目采用干法脱硫，</w:t>
      </w:r>
      <w:r>
        <w:rPr>
          <w:rFonts w:ascii="宋体" w:hAnsi="宋体" w:eastAsia="宋体" w:cs="宋体"/>
          <w:spacing w:val="-48"/>
          <w:sz w:val="24"/>
          <w:szCs w:val="24"/>
        </w:rPr>
        <w:t xml:space="preserve"> </w:t>
      </w:r>
      <w:r>
        <w:rPr>
          <w:rFonts w:ascii="宋体" w:hAnsi="宋体" w:eastAsia="宋体" w:cs="宋体"/>
          <w:spacing w:val="-5"/>
          <w:sz w:val="24"/>
          <w:szCs w:val="24"/>
        </w:rPr>
        <w:t>其原理为在常温下含有硫</w:t>
      </w:r>
      <w:r>
        <w:rPr>
          <w:rFonts w:ascii="宋体" w:hAnsi="宋体" w:eastAsia="宋体" w:cs="宋体"/>
          <w:spacing w:val="-3"/>
          <w:sz w:val="24"/>
          <w:szCs w:val="24"/>
        </w:rPr>
        <w:t>化氢的沼气通过脱硫剂，沼气中的硫化氢与活性物质氧化铁接触，生成硫化铁和亚硫化铁，然后含有硫化物的脱硫剂与空气中的氧接触，当有水存在时，铁的硫</w:t>
      </w:r>
      <w:r>
        <w:rPr>
          <w:rFonts w:ascii="宋体" w:hAnsi="宋体" w:eastAsia="宋体" w:cs="宋体"/>
          <w:spacing w:val="-5"/>
          <w:sz w:val="24"/>
          <w:szCs w:val="24"/>
        </w:rPr>
        <w:t>化物又转化为氧化铁和单体硫。这种脱硫和再生过程可循环进行多次，</w:t>
      </w:r>
      <w:r>
        <w:rPr>
          <w:rFonts w:ascii="宋体" w:hAnsi="宋体" w:eastAsia="宋体" w:cs="宋体"/>
          <w:spacing w:val="-48"/>
          <w:sz w:val="24"/>
          <w:szCs w:val="24"/>
        </w:rPr>
        <w:t xml:space="preserve"> </w:t>
      </w:r>
      <w:r>
        <w:rPr>
          <w:rFonts w:ascii="宋体" w:hAnsi="宋体" w:eastAsia="宋体" w:cs="宋体"/>
          <w:spacing w:val="-5"/>
          <w:sz w:val="24"/>
          <w:szCs w:val="24"/>
        </w:rPr>
        <w:t>直至氧化</w:t>
      </w:r>
      <w:r>
        <w:rPr>
          <w:rFonts w:ascii="宋体" w:hAnsi="宋体" w:eastAsia="宋体" w:cs="宋体"/>
          <w:spacing w:val="-3"/>
          <w:sz w:val="24"/>
          <w:szCs w:val="24"/>
        </w:rPr>
        <w:t>铁脱硫剂表面大部分被硫或其他杂质覆盖而失去活性为止。失去活性的氧化铁脱</w:t>
      </w:r>
      <w:r>
        <w:rPr>
          <w:rFonts w:ascii="宋体" w:hAnsi="宋体" w:eastAsia="宋体" w:cs="宋体"/>
          <w:spacing w:val="-5"/>
          <w:sz w:val="24"/>
          <w:szCs w:val="24"/>
        </w:rPr>
        <w:t>硫剂由厂家回收。</w:t>
      </w:r>
    </w:p>
    <w:p w14:paraId="19D62CFA">
      <w:pPr>
        <w:spacing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）相关化学反应方程式</w:t>
      </w:r>
    </w:p>
    <w:p w14:paraId="2B5948C5">
      <w:pPr>
        <w:spacing w:before="183" w:line="350" w:lineRule="auto"/>
        <w:ind w:left="39" w:right="30" w:firstLine="509"/>
        <w:jc w:val="both"/>
        <w:rPr>
          <w:rFonts w:ascii="宋体" w:hAnsi="宋体" w:eastAsia="宋体" w:cs="宋体"/>
          <w:sz w:val="24"/>
          <w:szCs w:val="24"/>
        </w:rPr>
      </w:pPr>
      <w:r>
        <w:rPr>
          <w:rFonts w:ascii="宋体" w:hAnsi="宋体" w:eastAsia="宋体" w:cs="宋体"/>
          <w:spacing w:val="-2"/>
          <w:sz w:val="24"/>
          <w:szCs w:val="24"/>
        </w:rPr>
        <w:t>由于刚产出的沼气是含饱和水蒸气的混合气体，除含有气体燃料</w:t>
      </w:r>
      <w:r>
        <w:rPr>
          <w:rFonts w:ascii="Times New Roman" w:hAnsi="Times New Roman" w:eastAsia="Times New Roman" w:cs="Times New Roman"/>
          <w:spacing w:val="-2"/>
          <w:sz w:val="24"/>
          <w:szCs w:val="24"/>
        </w:rPr>
        <w:t>CH</w:t>
      </w:r>
      <w:r>
        <w:rPr>
          <w:rFonts w:ascii="Times New Roman" w:hAnsi="Times New Roman" w:eastAsia="Times New Roman" w:cs="Times New Roman"/>
          <w:spacing w:val="-2"/>
          <w:position w:val="-2"/>
          <w:sz w:val="15"/>
          <w:szCs w:val="15"/>
        </w:rPr>
        <w:t>4</w:t>
      </w:r>
      <w:r>
        <w:rPr>
          <w:rFonts w:ascii="宋体" w:hAnsi="宋体" w:eastAsia="宋体" w:cs="宋体"/>
          <w:spacing w:val="-2"/>
          <w:sz w:val="24"/>
          <w:szCs w:val="24"/>
        </w:rPr>
        <w:t>和惰性</w:t>
      </w:r>
      <w:r>
        <w:rPr>
          <w:rFonts w:ascii="宋体" w:hAnsi="宋体" w:eastAsia="宋体" w:cs="宋体"/>
          <w:spacing w:val="-3"/>
          <w:sz w:val="24"/>
          <w:szCs w:val="24"/>
        </w:rPr>
        <w:t>气体</w:t>
      </w:r>
      <w:r>
        <w:rPr>
          <w:rFonts w:ascii="Times New Roman" w:hAnsi="Times New Roman" w:eastAsia="Times New Roman" w:cs="Times New Roman"/>
          <w:spacing w:val="-3"/>
          <w:sz w:val="24"/>
          <w:szCs w:val="24"/>
        </w:rPr>
        <w:t>CO</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8"/>
          <w:position w:val="-2"/>
          <w:sz w:val="15"/>
          <w:szCs w:val="15"/>
        </w:rPr>
        <w:t xml:space="preserve"> </w:t>
      </w:r>
      <w:r>
        <w:rPr>
          <w:rFonts w:ascii="宋体" w:hAnsi="宋体" w:eastAsia="宋体" w:cs="宋体"/>
          <w:spacing w:val="-3"/>
          <w:sz w:val="24"/>
          <w:szCs w:val="24"/>
        </w:rPr>
        <w:t>外，还含有一定比例的</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3"/>
          <w:sz w:val="24"/>
          <w:szCs w:val="24"/>
        </w:rPr>
        <w:t>O</w:t>
      </w:r>
      <w:r>
        <w:rPr>
          <w:rFonts w:ascii="宋体" w:hAnsi="宋体" w:eastAsia="宋体" w:cs="宋体"/>
          <w:spacing w:val="-3"/>
          <w:sz w:val="24"/>
          <w:szCs w:val="24"/>
        </w:rPr>
        <w:t>，少量的</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 xml:space="preserve">3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10"/>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8"/>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9"/>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CO</w:t>
      </w:r>
      <w:r>
        <w:rPr>
          <w:rFonts w:ascii="宋体" w:hAnsi="宋体" w:eastAsia="宋体" w:cs="宋体"/>
          <w:spacing w:val="-3"/>
          <w:sz w:val="24"/>
          <w:szCs w:val="24"/>
        </w:rPr>
        <w:t>和卤</w:t>
      </w:r>
      <w:r>
        <w:rPr>
          <w:rFonts w:ascii="宋体" w:hAnsi="宋体" w:eastAsia="宋体" w:cs="宋体"/>
          <w:spacing w:val="-1"/>
          <w:sz w:val="24"/>
          <w:szCs w:val="24"/>
        </w:rPr>
        <w:t>化烃。沼气的净化是指沼气中</w:t>
      </w:r>
      <w:r>
        <w:rPr>
          <w:rFonts w:ascii="Times New Roman" w:hAnsi="Times New Roman" w:eastAsia="Times New Roman" w:cs="Times New Roman"/>
          <w:spacing w:val="-1"/>
          <w:sz w:val="24"/>
          <w:szCs w:val="24"/>
        </w:rPr>
        <w:t>CH</w:t>
      </w:r>
      <w:r>
        <w:rPr>
          <w:rFonts w:ascii="Times New Roman" w:hAnsi="Times New Roman" w:eastAsia="Times New Roman" w:cs="Times New Roman"/>
          <w:spacing w:val="-1"/>
          <w:position w:val="-2"/>
          <w:sz w:val="15"/>
          <w:szCs w:val="15"/>
        </w:rPr>
        <w:t>4</w:t>
      </w:r>
      <w:r>
        <w:rPr>
          <w:rFonts w:ascii="宋体" w:hAnsi="宋体" w:eastAsia="宋体" w:cs="宋体"/>
          <w:spacing w:val="-1"/>
          <w:sz w:val="24"/>
          <w:szCs w:val="24"/>
        </w:rPr>
        <w:t>之外其他气体的去除，包括脱水和脱硫两个步</w:t>
      </w:r>
      <w:r>
        <w:rPr>
          <w:rFonts w:ascii="宋体" w:hAnsi="宋体" w:eastAsia="宋体" w:cs="宋体"/>
          <w:spacing w:val="-12"/>
          <w:sz w:val="24"/>
          <w:szCs w:val="24"/>
        </w:rPr>
        <w:t>骤。</w:t>
      </w:r>
    </w:p>
    <w:p w14:paraId="179018EA">
      <w:pPr>
        <w:spacing w:line="350" w:lineRule="auto"/>
        <w:rPr>
          <w:rFonts w:ascii="宋体" w:hAnsi="宋体" w:eastAsia="宋体" w:cs="宋体"/>
          <w:sz w:val="24"/>
          <w:szCs w:val="24"/>
        </w:rPr>
        <w:sectPr>
          <w:headerReference r:id="rId455" w:type="default"/>
          <w:footerReference r:id="rId456" w:type="default"/>
          <w:pgSz w:w="11905" w:h="16840"/>
          <w:pgMar w:top="1168" w:right="1768" w:bottom="1409" w:left="1770" w:header="828" w:footer="1244" w:gutter="0"/>
          <w:cols w:space="720" w:num="1"/>
        </w:sectPr>
      </w:pPr>
    </w:p>
    <w:p w14:paraId="1C29F32C">
      <w:pPr>
        <w:pStyle w:val="2"/>
        <w:spacing w:line="308" w:lineRule="auto"/>
      </w:pPr>
    </w:p>
    <w:p w14:paraId="509C1260">
      <w:pPr>
        <w:spacing w:before="78" w:line="356" w:lineRule="auto"/>
        <w:ind w:left="37" w:right="17" w:firstLine="480"/>
        <w:rPr>
          <w:rFonts w:ascii="宋体" w:hAnsi="宋体" w:eastAsia="宋体" w:cs="宋体"/>
          <w:sz w:val="24"/>
          <w:szCs w:val="24"/>
        </w:rPr>
      </w:pPr>
      <w:r>
        <w:rPr>
          <w:rFonts w:ascii="宋体" w:hAnsi="宋体" w:eastAsia="宋体" w:cs="宋体"/>
          <w:spacing w:val="-8"/>
          <w:sz w:val="24"/>
          <w:szCs w:val="24"/>
        </w:rPr>
        <w:t>①脱水：沼气中所含的水分形式是饱和水蒸气，一般采用冷分离法将其除去。</w:t>
      </w:r>
      <w:r>
        <w:rPr>
          <w:rFonts w:ascii="宋体" w:hAnsi="宋体" w:eastAsia="宋体" w:cs="宋体"/>
          <w:spacing w:val="-1"/>
          <w:sz w:val="24"/>
          <w:szCs w:val="24"/>
        </w:rPr>
        <w:t>通过调整压力引起混合气体温度发生变化，使水蒸气从气态冷凝为液态的水后，</w:t>
      </w:r>
      <w:r>
        <w:rPr>
          <w:rFonts w:ascii="宋体" w:hAnsi="宋体" w:eastAsia="宋体" w:cs="宋体"/>
          <w:spacing w:val="-2"/>
          <w:sz w:val="24"/>
          <w:szCs w:val="24"/>
        </w:rPr>
        <w:t>将其从沼气中脱除。此法经济简单，被大多数沼气工程所采用。</w:t>
      </w:r>
    </w:p>
    <w:p w14:paraId="6A78BF99">
      <w:pPr>
        <w:spacing w:before="5" w:line="360" w:lineRule="auto"/>
        <w:ind w:left="33" w:right="101" w:firstLine="483"/>
        <w:rPr>
          <w:rFonts w:ascii="宋体" w:hAnsi="宋体" w:eastAsia="宋体" w:cs="宋体"/>
          <w:sz w:val="24"/>
          <w:szCs w:val="24"/>
        </w:rPr>
      </w:pPr>
      <w:r>
        <w:rPr>
          <w:rFonts w:ascii="宋体" w:hAnsi="宋体" w:eastAsia="宋体" w:cs="宋体"/>
          <w:spacing w:val="-1"/>
          <w:sz w:val="24"/>
          <w:szCs w:val="24"/>
        </w:rPr>
        <w:t>②脱硫：沼气中</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3"/>
          <w:sz w:val="15"/>
          <w:szCs w:val="15"/>
        </w:rPr>
        <w:t>2</w:t>
      </w:r>
      <w:r>
        <w:rPr>
          <w:rFonts w:ascii="Times New Roman" w:hAnsi="Times New Roman" w:eastAsia="Times New Roman" w:cs="Times New Roman"/>
          <w:spacing w:val="-10"/>
          <w:position w:val="-3"/>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平均含量约</w:t>
      </w:r>
      <w:r>
        <w:rPr>
          <w:rFonts w:ascii="Times New Roman" w:hAnsi="Times New Roman" w:eastAsia="Times New Roman" w:cs="Times New Roman"/>
          <w:spacing w:val="-1"/>
          <w:sz w:val="24"/>
          <w:szCs w:val="24"/>
        </w:rPr>
        <w:t>2g/m</w:t>
      </w:r>
      <w:r>
        <w:rPr>
          <w:rFonts w:ascii="Times New Roman" w:hAnsi="Times New Roman" w:eastAsia="Times New Roman" w:cs="Times New Roman"/>
          <w:spacing w:val="-1"/>
          <w:position w:val="11"/>
          <w:sz w:val="15"/>
          <w:szCs w:val="15"/>
        </w:rPr>
        <w:t>3</w:t>
      </w:r>
      <w:r>
        <w:rPr>
          <w:rFonts w:ascii="宋体" w:hAnsi="宋体" w:eastAsia="宋体" w:cs="宋体"/>
          <w:spacing w:val="-1"/>
          <w:sz w:val="24"/>
          <w:szCs w:val="24"/>
        </w:rPr>
        <w:t>，在使用之前，为防止沼气中的</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3"/>
          <w:sz w:val="15"/>
          <w:szCs w:val="15"/>
        </w:rPr>
        <w:t>2</w:t>
      </w:r>
      <w:r>
        <w:rPr>
          <w:rFonts w:ascii="Times New Roman" w:hAnsi="Times New Roman" w:eastAsia="Times New Roman" w:cs="Times New Roman"/>
          <w:spacing w:val="-21"/>
          <w:position w:val="-3"/>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腐</w:t>
      </w:r>
      <w:r>
        <w:rPr>
          <w:rFonts w:ascii="宋体" w:hAnsi="宋体" w:eastAsia="宋体" w:cs="宋体"/>
          <w:sz w:val="24"/>
          <w:szCs w:val="24"/>
        </w:rPr>
        <w:t>蚀设备和燃烧后产生的</w:t>
      </w:r>
      <w:r>
        <w:rPr>
          <w:rFonts w:ascii="Times New Roman" w:hAnsi="Times New Roman" w:eastAsia="Times New Roman" w:cs="Times New Roman"/>
          <w:sz w:val="24"/>
          <w:szCs w:val="24"/>
        </w:rPr>
        <w:t>SO</w:t>
      </w:r>
      <w:r>
        <w:rPr>
          <w:rFonts w:ascii="Times New Roman" w:hAnsi="Times New Roman" w:eastAsia="Times New Roman" w:cs="Times New Roman"/>
          <w:position w:val="-2"/>
          <w:sz w:val="15"/>
          <w:szCs w:val="15"/>
        </w:rPr>
        <w:t>2</w:t>
      </w:r>
      <w:r>
        <w:rPr>
          <w:rFonts w:ascii="宋体" w:hAnsi="宋体" w:eastAsia="宋体" w:cs="宋体"/>
          <w:sz w:val="24"/>
          <w:szCs w:val="24"/>
        </w:rPr>
        <w:t>污染大气环境，需将沼气进行脱硫处理。脱硫的方法</w:t>
      </w:r>
      <w:r>
        <w:rPr>
          <w:rFonts w:ascii="宋体" w:hAnsi="宋体" w:eastAsia="宋体" w:cs="宋体"/>
          <w:spacing w:val="4"/>
          <w:sz w:val="24"/>
          <w:szCs w:val="24"/>
        </w:rPr>
        <w:t>有物理提纯、化学净化和生物吸收。沼气利用较为成熟的沼气脱硫工艺为常温</w:t>
      </w:r>
      <w:r>
        <w:rPr>
          <w:rFonts w:ascii="Times New Roman" w:hAnsi="Times New Roman" w:eastAsia="Times New Roman" w:cs="Times New Roman"/>
          <w:spacing w:val="-1"/>
          <w:sz w:val="24"/>
          <w:szCs w:val="24"/>
        </w:rPr>
        <w:t>Fe</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干式脱硫法。即将</w:t>
      </w:r>
      <w:r>
        <w:rPr>
          <w:rFonts w:ascii="Times New Roman" w:hAnsi="Times New Roman" w:eastAsia="Times New Roman" w:cs="Times New Roman"/>
          <w:spacing w:val="-1"/>
          <w:sz w:val="24"/>
          <w:szCs w:val="24"/>
        </w:rPr>
        <w:t>Fe</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屑（或粉）和木屑混合制成脱硫剂，以湿态（含水</w:t>
      </w:r>
      <w:r>
        <w:rPr>
          <w:rFonts w:ascii="Times New Roman" w:hAnsi="Times New Roman" w:eastAsia="Times New Roman" w:cs="Times New Roman"/>
          <w:spacing w:val="-5"/>
          <w:sz w:val="24"/>
          <w:szCs w:val="24"/>
        </w:rPr>
        <w:t>40%</w:t>
      </w:r>
      <w:r>
        <w:rPr>
          <w:rFonts w:ascii="宋体" w:hAnsi="宋体" w:eastAsia="宋体" w:cs="宋体"/>
          <w:spacing w:val="-5"/>
          <w:sz w:val="24"/>
          <w:szCs w:val="24"/>
        </w:rPr>
        <w:t xml:space="preserve">左右）填充于脱硫装置内。当沼气通过时， </w:t>
      </w:r>
      <w:r>
        <w:rPr>
          <w:rFonts w:ascii="Times New Roman" w:hAnsi="Times New Roman" w:eastAsia="Times New Roman" w:cs="Times New Roman"/>
          <w:spacing w:val="-5"/>
          <w:sz w:val="24"/>
          <w:szCs w:val="24"/>
        </w:rPr>
        <w:t>Fe</w:t>
      </w:r>
      <w:r>
        <w:rPr>
          <w:rFonts w:ascii="Times New Roman" w:hAnsi="Times New Roman" w:eastAsia="Times New Roman" w:cs="Times New Roman"/>
          <w:spacing w:val="-5"/>
          <w:position w:val="-2"/>
          <w:sz w:val="15"/>
          <w:szCs w:val="15"/>
        </w:rPr>
        <w:t>2</w:t>
      </w:r>
      <w:r>
        <w:rPr>
          <w:rFonts w:ascii="Times New Roman" w:hAnsi="Times New Roman" w:eastAsia="Times New Roman" w:cs="Times New Roman"/>
          <w:spacing w:val="-5"/>
          <w:sz w:val="24"/>
          <w:szCs w:val="24"/>
        </w:rPr>
        <w:t>O</w:t>
      </w:r>
      <w:r>
        <w:rPr>
          <w:rFonts w:ascii="Times New Roman" w:hAnsi="Times New Roman" w:eastAsia="Times New Roman" w:cs="Times New Roman"/>
          <w:spacing w:val="-5"/>
          <w:position w:val="-2"/>
          <w:sz w:val="15"/>
          <w:szCs w:val="15"/>
        </w:rPr>
        <w:t>3</w:t>
      </w:r>
      <w:r>
        <w:rPr>
          <w:rFonts w:ascii="宋体" w:hAnsi="宋体" w:eastAsia="宋体" w:cs="宋体"/>
          <w:spacing w:val="-5"/>
          <w:sz w:val="24"/>
          <w:szCs w:val="24"/>
        </w:rPr>
        <w:t>变为</w:t>
      </w:r>
      <w:r>
        <w:rPr>
          <w:rFonts w:ascii="Times New Roman" w:hAnsi="Times New Roman" w:eastAsia="Times New Roman" w:cs="Times New Roman"/>
          <w:spacing w:val="-5"/>
          <w:sz w:val="24"/>
          <w:szCs w:val="24"/>
        </w:rPr>
        <w:t>FeS</w:t>
      </w:r>
      <w:r>
        <w:rPr>
          <w:rFonts w:ascii="宋体" w:hAnsi="宋体" w:eastAsia="宋体" w:cs="宋体"/>
          <w:spacing w:val="-5"/>
          <w:sz w:val="24"/>
          <w:szCs w:val="24"/>
        </w:rPr>
        <w:t>或</w:t>
      </w:r>
      <w:r>
        <w:rPr>
          <w:rFonts w:ascii="Times New Roman" w:hAnsi="Times New Roman" w:eastAsia="Times New Roman" w:cs="Times New Roman"/>
          <w:spacing w:val="-5"/>
          <w:sz w:val="24"/>
          <w:szCs w:val="24"/>
        </w:rPr>
        <w:t>Fe</w:t>
      </w:r>
      <w:r>
        <w:rPr>
          <w:rFonts w:ascii="Times New Roman" w:hAnsi="Times New Roman" w:eastAsia="Times New Roman" w:cs="Times New Roman"/>
          <w:spacing w:val="-5"/>
          <w:position w:val="-2"/>
          <w:sz w:val="15"/>
          <w:szCs w:val="15"/>
        </w:rPr>
        <w:t>2</w:t>
      </w:r>
      <w:r>
        <w:rPr>
          <w:rFonts w:ascii="Times New Roman" w:hAnsi="Times New Roman" w:eastAsia="Times New Roman" w:cs="Times New Roman"/>
          <w:spacing w:val="-18"/>
          <w:position w:val="-2"/>
          <w:sz w:val="15"/>
          <w:szCs w:val="15"/>
        </w:rPr>
        <w:t xml:space="preserve"> </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5"/>
          <w:position w:val="-2"/>
          <w:sz w:val="15"/>
          <w:szCs w:val="15"/>
        </w:rPr>
        <w:t>3</w:t>
      </w:r>
      <w:r>
        <w:rPr>
          <w:rFonts w:ascii="宋体" w:hAnsi="宋体" w:eastAsia="宋体" w:cs="宋体"/>
          <w:spacing w:val="-5"/>
          <w:sz w:val="24"/>
          <w:szCs w:val="24"/>
        </w:rPr>
        <w:t>，达到脱硫</w:t>
      </w:r>
      <w:r>
        <w:rPr>
          <w:rFonts w:ascii="宋体" w:hAnsi="宋体" w:eastAsia="宋体" w:cs="宋体"/>
          <w:spacing w:val="-9"/>
          <w:sz w:val="24"/>
          <w:szCs w:val="24"/>
        </w:rPr>
        <w:t>目的。</w:t>
      </w:r>
    </w:p>
    <w:p w14:paraId="16988DC8">
      <w:pPr>
        <w:spacing w:line="220" w:lineRule="auto"/>
        <w:ind w:left="524"/>
        <w:rPr>
          <w:rFonts w:ascii="宋体" w:hAnsi="宋体" w:eastAsia="宋体" w:cs="宋体"/>
          <w:sz w:val="24"/>
          <w:szCs w:val="24"/>
        </w:rPr>
      </w:pPr>
      <w:r>
        <w:rPr>
          <w:rFonts w:ascii="宋体" w:hAnsi="宋体" w:eastAsia="宋体" w:cs="宋体"/>
          <w:spacing w:val="-5"/>
          <w:sz w:val="24"/>
          <w:szCs w:val="24"/>
        </w:rPr>
        <w:t>沼气脱硫相关化学反应方程式如下：</w:t>
      </w:r>
    </w:p>
    <w:p w14:paraId="70806FA4">
      <w:pPr>
        <w:spacing w:before="222" w:line="188" w:lineRule="auto"/>
        <w:ind w:left="2396"/>
        <w:rPr>
          <w:rFonts w:ascii="Times New Roman" w:hAnsi="Times New Roman" w:eastAsia="Times New Roman" w:cs="Times New Roman"/>
          <w:sz w:val="24"/>
          <w:szCs w:val="24"/>
        </w:rPr>
      </w:pPr>
      <w:r>
        <w:rPr>
          <w:rFonts w:ascii="Times New Roman" w:hAnsi="Times New Roman" w:eastAsia="Times New Roman" w:cs="Times New Roman"/>
          <w:sz w:val="24"/>
          <w:szCs w:val="24"/>
        </w:rPr>
        <w:t>Fe</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sz w:val="24"/>
          <w:szCs w:val="24"/>
        </w:rPr>
        <w:t>O+3H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2"/>
          <w:sz w:val="24"/>
          <w:szCs w:val="24"/>
        </w:rPr>
        <w:t>S=</w:t>
      </w:r>
      <w:r>
        <w:rPr>
          <w:rFonts w:ascii="Times New Roman" w:hAnsi="Times New Roman" w:eastAsia="Times New Roman" w:cs="Times New Roman"/>
          <w:sz w:val="24"/>
          <w:szCs w:val="24"/>
        </w:rPr>
        <w:t>Fe</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1"/>
          <w:sz w:val="24"/>
          <w:szCs w:val="24"/>
        </w:rPr>
        <w:t>O+3H</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1"/>
          <w:sz w:val="24"/>
          <w:szCs w:val="24"/>
        </w:rPr>
        <w:t>O</w:t>
      </w:r>
    </w:p>
    <w:p w14:paraId="262FF0D7">
      <w:pPr>
        <w:spacing w:before="209" w:line="362" w:lineRule="auto"/>
        <w:ind w:left="39" w:right="104" w:firstLine="509"/>
        <w:jc w:val="both"/>
        <w:rPr>
          <w:rFonts w:ascii="宋体" w:hAnsi="宋体" w:eastAsia="宋体" w:cs="宋体"/>
          <w:sz w:val="24"/>
          <w:szCs w:val="24"/>
        </w:rPr>
      </w:pPr>
      <w:r>
        <w:rPr>
          <w:rFonts w:ascii="宋体" w:hAnsi="宋体" w:eastAsia="宋体" w:cs="宋体"/>
          <w:spacing w:val="-1"/>
          <w:sz w:val="24"/>
          <w:szCs w:val="24"/>
        </w:rPr>
        <w:t>由上面的反应方程式可以看出，</w:t>
      </w:r>
      <w:r>
        <w:rPr>
          <w:rFonts w:ascii="Times New Roman" w:hAnsi="Times New Roman" w:eastAsia="Times New Roman" w:cs="Times New Roman"/>
          <w:spacing w:val="-1"/>
          <w:sz w:val="24"/>
          <w:szCs w:val="24"/>
        </w:rPr>
        <w:t>Fe</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3"/>
          <w:sz w:val="15"/>
          <w:szCs w:val="15"/>
        </w:rPr>
        <w:t xml:space="preserve"> </w:t>
      </w:r>
      <w:r>
        <w:rPr>
          <w:rFonts w:ascii="宋体" w:hAnsi="宋体" w:eastAsia="宋体" w:cs="宋体"/>
          <w:spacing w:val="-1"/>
          <w:sz w:val="24"/>
          <w:szCs w:val="24"/>
        </w:rPr>
        <w:t>吸收</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变成</w:t>
      </w:r>
      <w:r>
        <w:rPr>
          <w:rFonts w:ascii="Times New Roman" w:hAnsi="Times New Roman" w:eastAsia="Times New Roman" w:cs="Times New Roman"/>
          <w:spacing w:val="-1"/>
          <w:sz w:val="24"/>
          <w:szCs w:val="24"/>
        </w:rPr>
        <w:t>Fe</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
          <w:sz w:val="15"/>
          <w:szCs w:val="15"/>
        </w:rPr>
        <w:t xml:space="preserve">3 </w:t>
      </w:r>
      <w:r>
        <w:rPr>
          <w:rFonts w:ascii="宋体" w:hAnsi="宋体" w:eastAsia="宋体" w:cs="宋体"/>
          <w:spacing w:val="-1"/>
          <w:sz w:val="24"/>
          <w:szCs w:val="24"/>
        </w:rPr>
        <w:t>，随着沼气的不断</w:t>
      </w:r>
      <w:r>
        <w:rPr>
          <w:rFonts w:ascii="宋体" w:hAnsi="宋体" w:eastAsia="宋体" w:cs="宋体"/>
          <w:spacing w:val="-10"/>
          <w:sz w:val="24"/>
          <w:szCs w:val="24"/>
        </w:rPr>
        <w:t>产生，氧化铁吸收</w:t>
      </w:r>
      <w:r>
        <w:rPr>
          <w:rFonts w:ascii="Times New Roman" w:hAnsi="Times New Roman" w:eastAsia="Times New Roman" w:cs="Times New Roman"/>
          <w:spacing w:val="-10"/>
          <w:sz w:val="24"/>
          <w:szCs w:val="24"/>
        </w:rPr>
        <w:t>H</w:t>
      </w:r>
      <w:r>
        <w:rPr>
          <w:rFonts w:ascii="Times New Roman" w:hAnsi="Times New Roman" w:eastAsia="Times New Roman" w:cs="Times New Roman"/>
          <w:spacing w:val="-10"/>
          <w:sz w:val="15"/>
          <w:szCs w:val="15"/>
        </w:rPr>
        <w:t>2</w:t>
      </w:r>
      <w:r>
        <w:rPr>
          <w:rFonts w:ascii="Times New Roman" w:hAnsi="Times New Roman" w:eastAsia="Times New Roman" w:cs="Times New Roman"/>
          <w:spacing w:val="-21"/>
          <w:sz w:val="15"/>
          <w:szCs w:val="15"/>
        </w:rPr>
        <w:t xml:space="preserve"> </w:t>
      </w:r>
      <w:r>
        <w:rPr>
          <w:rFonts w:ascii="Times New Roman" w:hAnsi="Times New Roman" w:eastAsia="Times New Roman" w:cs="Times New Roman"/>
          <w:spacing w:val="-10"/>
          <w:sz w:val="24"/>
          <w:szCs w:val="24"/>
        </w:rPr>
        <w:t>S</w:t>
      </w:r>
      <w:r>
        <w:rPr>
          <w:rFonts w:ascii="宋体" w:hAnsi="宋体" w:eastAsia="宋体" w:cs="宋体"/>
          <w:spacing w:val="-16"/>
          <w:sz w:val="24"/>
          <w:szCs w:val="24"/>
        </w:rPr>
        <w:t>，当吸收</w:t>
      </w:r>
      <w:r>
        <w:rPr>
          <w:rFonts w:ascii="Times New Roman" w:hAnsi="Times New Roman" w:eastAsia="Times New Roman" w:cs="Times New Roman"/>
          <w:spacing w:val="-16"/>
          <w:sz w:val="24"/>
          <w:szCs w:val="24"/>
        </w:rPr>
        <w:t>H</w:t>
      </w:r>
      <w:r>
        <w:rPr>
          <w:rFonts w:ascii="Times New Roman" w:hAnsi="Times New Roman" w:eastAsia="Times New Roman" w:cs="Times New Roman"/>
          <w:spacing w:val="4"/>
          <w:sz w:val="15"/>
          <w:szCs w:val="15"/>
        </w:rPr>
        <w:t>2</w:t>
      </w:r>
      <w:r>
        <w:rPr>
          <w:rFonts w:ascii="Times New Roman" w:hAnsi="Times New Roman" w:eastAsia="Times New Roman" w:cs="Times New Roman"/>
          <w:spacing w:val="-21"/>
          <w:sz w:val="15"/>
          <w:szCs w:val="15"/>
        </w:rPr>
        <w:t xml:space="preserve"> </w:t>
      </w:r>
      <w:r>
        <w:rPr>
          <w:rFonts w:ascii="Times New Roman" w:hAnsi="Times New Roman" w:eastAsia="Times New Roman" w:cs="Times New Roman"/>
          <w:spacing w:val="-7"/>
          <w:sz w:val="24"/>
          <w:szCs w:val="24"/>
        </w:rPr>
        <w:t>S</w:t>
      </w:r>
      <w:r>
        <w:rPr>
          <w:rFonts w:ascii="宋体" w:hAnsi="宋体" w:eastAsia="宋体" w:cs="宋体"/>
          <w:spacing w:val="-7"/>
          <w:sz w:val="24"/>
          <w:szCs w:val="24"/>
        </w:rPr>
        <w:t>达到一定的量，</w:t>
      </w:r>
      <w:r>
        <w:rPr>
          <w:rFonts w:ascii="Times New Roman" w:hAnsi="Times New Roman" w:eastAsia="Times New Roman" w:cs="Times New Roman"/>
          <w:spacing w:val="-7"/>
          <w:sz w:val="24"/>
          <w:szCs w:val="24"/>
        </w:rPr>
        <w:t>Fe</w:t>
      </w:r>
      <w:r>
        <w:rPr>
          <w:rFonts w:ascii="Times New Roman" w:hAnsi="Times New Roman" w:eastAsia="Times New Roman" w:cs="Times New Roman"/>
          <w:spacing w:val="-7"/>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7"/>
          <w:sz w:val="24"/>
          <w:szCs w:val="24"/>
        </w:rPr>
        <w:t>S</w:t>
      </w:r>
      <w:r>
        <w:rPr>
          <w:rFonts w:ascii="Times New Roman" w:hAnsi="Times New Roman" w:eastAsia="Times New Roman" w:cs="Times New Roman"/>
          <w:spacing w:val="-7"/>
          <w:sz w:val="15"/>
          <w:szCs w:val="15"/>
        </w:rPr>
        <w:t>3</w:t>
      </w:r>
      <w:r>
        <w:rPr>
          <w:rFonts w:ascii="宋体" w:hAnsi="宋体" w:eastAsia="宋体" w:cs="宋体"/>
          <w:spacing w:val="-7"/>
          <w:sz w:val="24"/>
          <w:szCs w:val="24"/>
        </w:rPr>
        <w:t xml:space="preserve">是可以还原再生的，与 </w:t>
      </w:r>
      <w:r>
        <w:rPr>
          <w:rFonts w:ascii="Times New Roman" w:hAnsi="Times New Roman" w:eastAsia="Times New Roman" w:cs="Times New Roman"/>
          <w:spacing w:val="-8"/>
          <w:sz w:val="24"/>
          <w:szCs w:val="24"/>
        </w:rPr>
        <w:t>O</w:t>
      </w:r>
      <w:r>
        <w:rPr>
          <w:rFonts w:ascii="Times New Roman" w:hAnsi="Times New Roman" w:eastAsia="Times New Roman" w:cs="Times New Roman"/>
          <w:spacing w:val="-8"/>
          <w:sz w:val="15"/>
          <w:szCs w:val="15"/>
        </w:rPr>
        <w:t>2</w:t>
      </w:r>
      <w:r>
        <w:rPr>
          <w:rFonts w:ascii="宋体" w:hAnsi="宋体" w:eastAsia="宋体" w:cs="宋体"/>
          <w:spacing w:val="-2"/>
          <w:sz w:val="24"/>
          <w:szCs w:val="24"/>
        </w:rPr>
        <w:t>和</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sz w:val="24"/>
          <w:szCs w:val="24"/>
        </w:rPr>
        <w:t>O</w:t>
      </w:r>
      <w:r>
        <w:rPr>
          <w:rFonts w:ascii="宋体" w:hAnsi="宋体" w:eastAsia="宋体" w:cs="宋体"/>
          <w:spacing w:val="-2"/>
          <w:sz w:val="24"/>
          <w:szCs w:val="24"/>
        </w:rPr>
        <w:t>发生化学反应可还原为</w:t>
      </w:r>
      <w:r>
        <w:rPr>
          <w:rFonts w:ascii="Times New Roman" w:hAnsi="Times New Roman" w:eastAsia="Times New Roman" w:cs="Times New Roman"/>
          <w:spacing w:val="-2"/>
          <w:sz w:val="24"/>
          <w:szCs w:val="24"/>
        </w:rPr>
        <w:t>Fe</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sz w:val="15"/>
          <w:szCs w:val="15"/>
        </w:rPr>
        <w:t>3</w:t>
      </w:r>
      <w:r>
        <w:rPr>
          <w:rFonts w:ascii="宋体" w:hAnsi="宋体" w:eastAsia="宋体" w:cs="宋体"/>
          <w:spacing w:val="-2"/>
          <w:sz w:val="24"/>
          <w:szCs w:val="24"/>
        </w:rPr>
        <w:t>，原理如下：</w:t>
      </w:r>
    </w:p>
    <w:p w14:paraId="400E32CB">
      <w:pPr>
        <w:spacing w:before="35" w:line="180" w:lineRule="auto"/>
        <w:ind w:left="2438"/>
        <w:rPr>
          <w:rFonts w:ascii="Times New Roman" w:hAnsi="Times New Roman" w:eastAsia="Times New Roman" w:cs="Times New Roman"/>
          <w:sz w:val="24"/>
          <w:szCs w:val="24"/>
        </w:rPr>
      </w:pPr>
      <w:r>
        <w:rPr>
          <w:rFonts w:ascii="Times New Roman" w:hAnsi="Times New Roman" w:eastAsia="Times New Roman" w:cs="Times New Roman"/>
          <w:sz w:val="24"/>
          <w:szCs w:val="24"/>
        </w:rPr>
        <w:t>2Fe</w:t>
      </w:r>
      <w:r>
        <w:rPr>
          <w:rFonts w:ascii="Times New Roman" w:hAnsi="Times New Roman" w:eastAsia="Times New Roman" w:cs="Times New Roman"/>
          <w:sz w:val="15"/>
          <w:szCs w:val="15"/>
        </w:rPr>
        <w:t>2</w:t>
      </w:r>
      <w:r>
        <w:rPr>
          <w:rFonts w:ascii="Times New Roman" w:hAnsi="Times New Roman" w:eastAsia="Times New Roman" w:cs="Times New Roman"/>
          <w:spacing w:val="-6"/>
          <w:sz w:val="15"/>
          <w:szCs w:val="15"/>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.H</w:t>
      </w:r>
      <w:r>
        <w:rPr>
          <w:rFonts w:ascii="Times New Roman" w:hAnsi="Times New Roman" w:eastAsia="Times New Roman" w:cs="Times New Roman"/>
          <w:sz w:val="15"/>
          <w:szCs w:val="15"/>
        </w:rPr>
        <w:t>2</w:t>
      </w:r>
      <w:r>
        <w:rPr>
          <w:rFonts w:ascii="Times New Roman" w:hAnsi="Times New Roman" w:eastAsia="Times New Roman" w:cs="Times New Roman"/>
          <w:sz w:val="24"/>
          <w:szCs w:val="24"/>
        </w:rPr>
        <w:t>O+3O</w:t>
      </w:r>
      <w:r>
        <w:rPr>
          <w:rFonts w:ascii="Times New Roman" w:hAnsi="Times New Roman" w:eastAsia="Times New Roman" w:cs="Times New Roman"/>
          <w:sz w:val="15"/>
          <w:szCs w:val="15"/>
        </w:rPr>
        <w:t xml:space="preserve">2 </w:t>
      </w:r>
      <w:r>
        <w:rPr>
          <w:rFonts w:ascii="宋体" w:hAnsi="宋体" w:eastAsia="宋体" w:cs="宋体"/>
          <w:sz w:val="24"/>
          <w:szCs w:val="24"/>
        </w:rPr>
        <w:t>＝</w:t>
      </w:r>
      <w:r>
        <w:rPr>
          <w:rFonts w:ascii="Times New Roman" w:hAnsi="Times New Roman" w:eastAsia="Times New Roman" w:cs="Times New Roman"/>
          <w:sz w:val="24"/>
          <w:szCs w:val="24"/>
        </w:rPr>
        <w:t>2Fe</w:t>
      </w:r>
      <w:r>
        <w:rPr>
          <w:rFonts w:ascii="Times New Roman" w:hAnsi="Times New Roman" w:eastAsia="Times New Roman" w:cs="Times New Roman"/>
          <w:sz w:val="15"/>
          <w:szCs w:val="15"/>
        </w:rPr>
        <w:t>2</w:t>
      </w:r>
      <w:r>
        <w:rPr>
          <w:rFonts w:ascii="Times New Roman" w:hAnsi="Times New Roman" w:eastAsia="Times New Roman" w:cs="Times New Roman"/>
          <w:sz w:val="24"/>
          <w:szCs w:val="24"/>
        </w:rPr>
        <w:t>O</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.H</w:t>
      </w:r>
      <w:r>
        <w:rPr>
          <w:rFonts w:ascii="Times New Roman" w:hAnsi="Times New Roman" w:eastAsia="Times New Roman" w:cs="Times New Roman"/>
          <w:sz w:val="15"/>
          <w:szCs w:val="15"/>
        </w:rPr>
        <w:t>2</w:t>
      </w:r>
      <w:r>
        <w:rPr>
          <w:rFonts w:ascii="Times New Roman" w:hAnsi="Times New Roman" w:eastAsia="Times New Roman" w:cs="Times New Roman"/>
          <w:sz w:val="24"/>
          <w:szCs w:val="24"/>
        </w:rPr>
        <w:t>O+6S</w:t>
      </w:r>
    </w:p>
    <w:p w14:paraId="4E60A059">
      <w:pPr>
        <w:spacing w:before="192" w:line="220" w:lineRule="auto"/>
        <w:ind w:left="522"/>
        <w:rPr>
          <w:rFonts w:ascii="宋体" w:hAnsi="宋体" w:eastAsia="宋体" w:cs="宋体"/>
          <w:sz w:val="24"/>
          <w:szCs w:val="24"/>
        </w:rPr>
      </w:pPr>
      <w:r>
        <w:rPr>
          <w:rFonts w:ascii="宋体" w:hAnsi="宋体" w:eastAsia="宋体" w:cs="宋体"/>
          <w:spacing w:val="-4"/>
          <w:sz w:val="24"/>
          <w:szCs w:val="24"/>
        </w:rPr>
        <w:t>综合以上两个反应式，沼气脱硫反应式如下：</w:t>
      </w:r>
    </w:p>
    <w:p w14:paraId="64F7FD95">
      <w:pPr>
        <w:spacing w:before="183" w:line="212" w:lineRule="auto"/>
        <w:ind w:left="19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2H</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5"/>
          <w:sz w:val="15"/>
          <w:szCs w:val="15"/>
        </w:rPr>
        <w:t xml:space="preserve"> </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1"/>
          <w:sz w:val="15"/>
          <w:szCs w:val="15"/>
        </w:rPr>
        <w:t xml:space="preserve">2 </w:t>
      </w:r>
      <w:r>
        <w:rPr>
          <w:rFonts w:ascii="宋体" w:hAnsi="宋体" w:eastAsia="宋体" w:cs="宋体"/>
          <w:spacing w:val="-1"/>
          <w:sz w:val="24"/>
          <w:szCs w:val="24"/>
        </w:rPr>
        <w:t>＝</w:t>
      </w:r>
      <w:r>
        <w:rPr>
          <w:rFonts w:ascii="Times New Roman" w:hAnsi="Times New Roman" w:eastAsia="Times New Roman" w:cs="Times New Roman"/>
          <w:spacing w:val="-1"/>
          <w:sz w:val="24"/>
          <w:szCs w:val="24"/>
        </w:rPr>
        <w:t>2S+2H</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1"/>
          <w:sz w:val="24"/>
          <w:szCs w:val="24"/>
        </w:rPr>
        <w:t>O(</w:t>
      </w:r>
      <w:r>
        <w:rPr>
          <w:rFonts w:ascii="宋体" w:hAnsi="宋体" w:eastAsia="宋体" w:cs="宋体"/>
          <w:spacing w:val="-1"/>
          <w:sz w:val="24"/>
          <w:szCs w:val="24"/>
        </w:rPr>
        <w:t>反应条件是</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Fe</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1"/>
          <w:sz w:val="24"/>
          <w:szCs w:val="24"/>
        </w:rPr>
        <w:t>O)</w:t>
      </w:r>
    </w:p>
    <w:p w14:paraId="5C2FCA84">
      <w:pPr>
        <w:spacing w:before="192" w:line="360" w:lineRule="auto"/>
        <w:ind w:left="33" w:right="102" w:firstLine="514"/>
        <w:jc w:val="both"/>
        <w:rPr>
          <w:rFonts w:ascii="宋体" w:hAnsi="宋体" w:eastAsia="宋体" w:cs="宋体"/>
          <w:sz w:val="24"/>
          <w:szCs w:val="24"/>
        </w:rPr>
      </w:pPr>
      <w:r>
        <w:rPr>
          <w:rFonts w:ascii="宋体" w:hAnsi="宋体" w:eastAsia="宋体" w:cs="宋体"/>
          <w:spacing w:val="-2"/>
          <w:sz w:val="24"/>
          <w:szCs w:val="24"/>
        </w:rPr>
        <w:t>由以上化学反应方程式可以看出，</w:t>
      </w:r>
      <w:r>
        <w:rPr>
          <w:rFonts w:ascii="Times New Roman" w:hAnsi="Times New Roman" w:eastAsia="Times New Roman" w:cs="Times New Roman"/>
          <w:spacing w:val="-2"/>
          <w:sz w:val="24"/>
          <w:szCs w:val="24"/>
        </w:rPr>
        <w:t>Fe</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1"/>
          <w:sz w:val="15"/>
          <w:szCs w:val="15"/>
        </w:rPr>
        <w:t xml:space="preserve"> </w:t>
      </w:r>
      <w:r>
        <w:rPr>
          <w:rFonts w:ascii="宋体" w:hAnsi="宋体" w:eastAsia="宋体" w:cs="宋体"/>
          <w:spacing w:val="-2"/>
          <w:sz w:val="24"/>
          <w:szCs w:val="24"/>
        </w:rPr>
        <w:t>吸收</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2"/>
          <w:sz w:val="24"/>
          <w:szCs w:val="24"/>
        </w:rPr>
        <w:t>S</w:t>
      </w:r>
      <w:r>
        <w:rPr>
          <w:rFonts w:ascii="宋体" w:hAnsi="宋体" w:eastAsia="宋体" w:cs="宋体"/>
          <w:spacing w:val="-2"/>
          <w:sz w:val="24"/>
          <w:szCs w:val="24"/>
        </w:rPr>
        <w:t>变成</w:t>
      </w:r>
      <w:r>
        <w:rPr>
          <w:rFonts w:ascii="Times New Roman" w:hAnsi="Times New Roman" w:eastAsia="Times New Roman" w:cs="Times New Roman"/>
          <w:spacing w:val="-2"/>
          <w:sz w:val="24"/>
          <w:szCs w:val="24"/>
        </w:rPr>
        <w:t>Fe</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1"/>
          <w:sz w:val="15"/>
          <w:szCs w:val="15"/>
        </w:rPr>
        <w:t xml:space="preserve"> </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6"/>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Fe</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2"/>
          <w:sz w:val="15"/>
          <w:szCs w:val="15"/>
        </w:rPr>
        <w:t xml:space="preserve"> </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
          <w:sz w:val="15"/>
          <w:szCs w:val="15"/>
        </w:rPr>
        <w:t>3</w:t>
      </w:r>
      <w:r>
        <w:rPr>
          <w:rFonts w:ascii="宋体" w:hAnsi="宋体" w:eastAsia="宋体" w:cs="宋体"/>
          <w:spacing w:val="-2"/>
          <w:sz w:val="24"/>
          <w:szCs w:val="24"/>
        </w:rPr>
        <w:t>要还原成</w:t>
      </w:r>
      <w:r>
        <w:rPr>
          <w:rFonts w:ascii="Times New Roman" w:hAnsi="Times New Roman" w:eastAsia="Times New Roman" w:cs="Times New Roman"/>
          <w:sz w:val="24"/>
          <w:szCs w:val="24"/>
        </w:rPr>
        <w:t>Fe</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sz w:val="15"/>
          <w:szCs w:val="15"/>
        </w:rPr>
        <w:t>3</w:t>
      </w:r>
      <w:r>
        <w:rPr>
          <w:rFonts w:ascii="宋体" w:hAnsi="宋体" w:eastAsia="宋体" w:cs="宋体"/>
          <w:spacing w:val="2"/>
          <w:sz w:val="24"/>
          <w:szCs w:val="24"/>
        </w:rPr>
        <w:t>，需要</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sz w:val="15"/>
          <w:szCs w:val="15"/>
        </w:rPr>
        <w:t>2</w:t>
      </w:r>
      <w:r>
        <w:rPr>
          <w:rFonts w:ascii="宋体" w:hAnsi="宋体" w:eastAsia="宋体" w:cs="宋体"/>
          <w:spacing w:val="2"/>
          <w:sz w:val="24"/>
          <w:szCs w:val="24"/>
        </w:rPr>
        <w:t>和</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2"/>
          <w:sz w:val="24"/>
          <w:szCs w:val="24"/>
        </w:rPr>
        <w:t>O</w:t>
      </w:r>
      <w:r>
        <w:rPr>
          <w:rFonts w:ascii="宋体" w:hAnsi="宋体" w:eastAsia="宋体" w:cs="宋体"/>
          <w:spacing w:val="2"/>
          <w:sz w:val="24"/>
          <w:szCs w:val="24"/>
        </w:rPr>
        <w:t>，通过向沼气中输送空气</w:t>
      </w:r>
      <w:r>
        <w:rPr>
          <w:rFonts w:ascii="宋体" w:hAnsi="宋体" w:eastAsia="宋体" w:cs="宋体"/>
          <w:spacing w:val="1"/>
          <w:sz w:val="24"/>
          <w:szCs w:val="24"/>
        </w:rPr>
        <w:t>即可满足脱硫剂对</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sz w:val="15"/>
          <w:szCs w:val="15"/>
        </w:rPr>
        <w:t xml:space="preserve">2 </w:t>
      </w:r>
      <w:r>
        <w:rPr>
          <w:rFonts w:ascii="宋体" w:hAnsi="宋体" w:eastAsia="宋体" w:cs="宋体"/>
          <w:spacing w:val="1"/>
          <w:sz w:val="24"/>
          <w:szCs w:val="24"/>
        </w:rPr>
        <w:t>的要求，来</w:t>
      </w:r>
      <w:r>
        <w:rPr>
          <w:rFonts w:ascii="宋体" w:hAnsi="宋体" w:eastAsia="宋体" w:cs="宋体"/>
          <w:spacing w:val="-2"/>
          <w:sz w:val="24"/>
          <w:szCs w:val="24"/>
        </w:rPr>
        <w:t>自沼气中含有的饱和水可完全满足脱硫剂还原对水分的要求。</w:t>
      </w:r>
    </w:p>
    <w:p w14:paraId="448A1731">
      <w:pPr>
        <w:spacing w:before="1"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3</w:t>
      </w:r>
      <w:r>
        <w:rPr>
          <w:rFonts w:ascii="宋体" w:hAnsi="宋体" w:eastAsia="宋体" w:cs="宋体"/>
          <w:b/>
          <w:bCs/>
          <w:spacing w:val="-6"/>
          <w:sz w:val="24"/>
          <w:szCs w:val="24"/>
        </w:rPr>
        <w:t>）脱硫工艺</w:t>
      </w:r>
    </w:p>
    <w:p w14:paraId="4CDC328F">
      <w:pPr>
        <w:spacing w:before="179" w:line="358" w:lineRule="auto"/>
        <w:ind w:left="38" w:firstLine="481"/>
        <w:jc w:val="both"/>
        <w:rPr>
          <w:rFonts w:ascii="宋体" w:hAnsi="宋体" w:eastAsia="宋体" w:cs="宋体"/>
          <w:sz w:val="24"/>
          <w:szCs w:val="24"/>
        </w:rPr>
      </w:pPr>
      <w:r>
        <w:rPr>
          <w:rFonts w:ascii="宋体" w:hAnsi="宋体" w:eastAsia="宋体" w:cs="宋体"/>
          <w:spacing w:val="-3"/>
          <w:sz w:val="24"/>
          <w:szCs w:val="24"/>
        </w:rPr>
        <w:t>本项目采用干法脱硫工艺（气水分离器</w:t>
      </w:r>
      <w:r>
        <w:rPr>
          <w:rFonts w:ascii="Times New Roman" w:hAnsi="Times New Roman" w:eastAsia="Times New Roman" w:cs="Times New Roman"/>
          <w:spacing w:val="-3"/>
          <w:sz w:val="24"/>
          <w:szCs w:val="24"/>
        </w:rPr>
        <w:t>→</w:t>
      </w:r>
      <w:r>
        <w:rPr>
          <w:rFonts w:ascii="宋体" w:hAnsi="宋体" w:eastAsia="宋体" w:cs="宋体"/>
          <w:spacing w:val="-3"/>
          <w:sz w:val="24"/>
          <w:szCs w:val="24"/>
        </w:rPr>
        <w:t>脱硫塔</w:t>
      </w:r>
      <w:r>
        <w:rPr>
          <w:rFonts w:ascii="Times New Roman" w:hAnsi="Times New Roman" w:eastAsia="Times New Roman" w:cs="Times New Roman"/>
          <w:spacing w:val="-3"/>
          <w:sz w:val="24"/>
          <w:szCs w:val="24"/>
        </w:rPr>
        <w:t>→</w:t>
      </w:r>
      <w:r>
        <w:rPr>
          <w:rFonts w:ascii="宋体" w:hAnsi="宋体" w:eastAsia="宋体" w:cs="宋体"/>
          <w:spacing w:val="-3"/>
          <w:sz w:val="24"/>
          <w:szCs w:val="24"/>
        </w:rPr>
        <w:t>燃烧火炬</w:t>
      </w:r>
      <w:r>
        <w:rPr>
          <w:rFonts w:ascii="宋体" w:hAnsi="宋体" w:eastAsia="宋体" w:cs="宋体"/>
          <w:spacing w:val="-6"/>
          <w:sz w:val="24"/>
          <w:szCs w:val="24"/>
        </w:rPr>
        <w:t>），</w:t>
      </w:r>
      <w:r>
        <w:rPr>
          <w:rFonts w:ascii="宋体" w:hAnsi="宋体" w:eastAsia="宋体" w:cs="宋体"/>
          <w:spacing w:val="-3"/>
          <w:sz w:val="24"/>
          <w:szCs w:val="24"/>
        </w:rPr>
        <w:t>沼气干法脱</w:t>
      </w:r>
      <w:r>
        <w:rPr>
          <w:rFonts w:ascii="宋体" w:hAnsi="宋体" w:eastAsia="宋体" w:cs="宋体"/>
          <w:sz w:val="24"/>
          <w:szCs w:val="24"/>
        </w:rPr>
        <w:t>硫工艺其脱硫效率达到</w:t>
      </w:r>
      <w:r>
        <w:rPr>
          <w:rFonts w:ascii="Times New Roman" w:hAnsi="Times New Roman" w:eastAsia="Times New Roman" w:cs="Times New Roman"/>
          <w:sz w:val="24"/>
          <w:szCs w:val="24"/>
        </w:rPr>
        <w:t>99.2%</w:t>
      </w:r>
      <w:r>
        <w:rPr>
          <w:rFonts w:ascii="宋体" w:hAnsi="宋体" w:eastAsia="宋体" w:cs="宋体"/>
          <w:sz w:val="24"/>
          <w:szCs w:val="24"/>
        </w:rPr>
        <w:t>以上，工艺结构简单、技术成熟可靠，造价</w:t>
      </w:r>
      <w:r>
        <w:rPr>
          <w:rFonts w:ascii="宋体" w:hAnsi="宋体" w:eastAsia="宋体" w:cs="宋体"/>
          <w:spacing w:val="-1"/>
          <w:sz w:val="24"/>
          <w:szCs w:val="24"/>
        </w:rPr>
        <w:t>低，经</w:t>
      </w:r>
      <w:r>
        <w:rPr>
          <w:rFonts w:ascii="宋体" w:hAnsi="宋体" w:eastAsia="宋体" w:cs="宋体"/>
          <w:spacing w:val="-2"/>
          <w:sz w:val="24"/>
          <w:szCs w:val="24"/>
        </w:rPr>
        <w:t>脱硫处理后，沼气中</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3"/>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浓度小于</w:t>
      </w:r>
      <w:r>
        <w:rPr>
          <w:rFonts w:ascii="Times New Roman" w:hAnsi="Times New Roman" w:eastAsia="Times New Roman" w:cs="Times New Roman"/>
          <w:spacing w:val="-2"/>
          <w:sz w:val="24"/>
          <w:szCs w:val="24"/>
        </w:rPr>
        <w:t>20mg/m</w:t>
      </w:r>
      <w:r>
        <w:rPr>
          <w:rFonts w:ascii="Times New Roman" w:hAnsi="Times New Roman" w:eastAsia="Times New Roman" w:cs="Times New Roman"/>
          <w:spacing w:val="-2"/>
          <w:position w:val="10"/>
          <w:sz w:val="15"/>
          <w:szCs w:val="15"/>
        </w:rPr>
        <w:t>3</w:t>
      </w:r>
      <w:r>
        <w:rPr>
          <w:rFonts w:ascii="宋体" w:hAnsi="宋体" w:eastAsia="宋体" w:cs="宋体"/>
          <w:spacing w:val="-2"/>
          <w:sz w:val="24"/>
          <w:szCs w:val="24"/>
        </w:rPr>
        <w:t>，满足《</w:t>
      </w:r>
      <w:r>
        <w:rPr>
          <w:rFonts w:ascii="宋体" w:hAnsi="宋体" w:eastAsia="宋体" w:cs="宋体"/>
          <w:spacing w:val="-3"/>
          <w:sz w:val="24"/>
          <w:szCs w:val="24"/>
        </w:rPr>
        <w:t>人工煤气》（</w:t>
      </w:r>
      <w:r>
        <w:rPr>
          <w:rFonts w:ascii="Times New Roman" w:hAnsi="Times New Roman" w:eastAsia="Times New Roman" w:cs="Times New Roman"/>
          <w:spacing w:val="-3"/>
          <w:sz w:val="24"/>
          <w:szCs w:val="24"/>
        </w:rPr>
        <w:t>GB13621-2006</w:t>
      </w:r>
      <w:r>
        <w:rPr>
          <w:rFonts w:ascii="宋体" w:hAnsi="宋体" w:eastAsia="宋体" w:cs="宋体"/>
          <w:spacing w:val="-3"/>
          <w:sz w:val="24"/>
          <w:szCs w:val="24"/>
        </w:rPr>
        <w:t>）</w:t>
      </w:r>
      <w:r>
        <w:rPr>
          <w:rFonts w:ascii="宋体" w:hAnsi="宋体" w:eastAsia="宋体" w:cs="宋体"/>
          <w:spacing w:val="-9"/>
          <w:sz w:val="24"/>
          <w:szCs w:val="24"/>
        </w:rPr>
        <w:t>的规定。</w:t>
      </w:r>
    </w:p>
    <w:p w14:paraId="571A4FA3">
      <w:pPr>
        <w:spacing w:before="12" w:line="219" w:lineRule="auto"/>
        <w:ind w:left="522"/>
        <w:rPr>
          <w:rFonts w:ascii="宋体" w:hAnsi="宋体" w:eastAsia="宋体" w:cs="宋体"/>
          <w:sz w:val="24"/>
          <w:szCs w:val="24"/>
        </w:rPr>
      </w:pPr>
      <w:r>
        <w:rPr>
          <w:rFonts w:ascii="宋体" w:hAnsi="宋体" w:eastAsia="宋体" w:cs="宋体"/>
          <w:spacing w:val="-3"/>
          <w:sz w:val="24"/>
          <w:szCs w:val="24"/>
        </w:rPr>
        <w:t>综合以上分析，本项目沼气脱硫工艺合理可行。</w:t>
      </w:r>
    </w:p>
    <w:p w14:paraId="26A3AE05">
      <w:pPr>
        <w:spacing w:before="183" w:line="362" w:lineRule="auto"/>
        <w:ind w:left="41" w:right="102" w:firstLine="482"/>
        <w:rPr>
          <w:rFonts w:ascii="宋体" w:hAnsi="宋体" w:eastAsia="宋体" w:cs="宋体"/>
          <w:sz w:val="24"/>
          <w:szCs w:val="24"/>
        </w:rPr>
      </w:pPr>
      <w:r>
        <w:rPr>
          <w:rFonts w:ascii="宋体" w:hAnsi="宋体" w:eastAsia="宋体" w:cs="宋体"/>
          <w:spacing w:val="-3"/>
          <w:sz w:val="24"/>
          <w:szCs w:val="24"/>
        </w:rPr>
        <w:t>沼气净化装置的废脱硫剂由厂家定期进行更换并回收</w:t>
      </w:r>
      <w:r>
        <w:rPr>
          <w:rFonts w:ascii="宋体" w:hAnsi="宋体" w:eastAsia="宋体" w:cs="宋体"/>
          <w:spacing w:val="-4"/>
          <w:sz w:val="24"/>
          <w:szCs w:val="24"/>
        </w:rPr>
        <w:t>；沼气燃烧火炬内设置</w:t>
      </w:r>
      <w:r>
        <w:rPr>
          <w:rFonts w:ascii="宋体" w:hAnsi="宋体" w:eastAsia="宋体" w:cs="宋体"/>
          <w:spacing w:val="-2"/>
          <w:sz w:val="24"/>
          <w:szCs w:val="24"/>
        </w:rPr>
        <w:t>可燃气体感应器，一旦感应到可燃气体即自动点火，使沼气燃烧。</w:t>
      </w:r>
    </w:p>
    <w:p w14:paraId="2921C272">
      <w:pPr>
        <w:spacing w:before="53" w:line="225" w:lineRule="auto"/>
        <w:ind w:left="39"/>
        <w:rPr>
          <w:rFonts w:ascii="宋体" w:hAnsi="宋体" w:eastAsia="宋体" w:cs="宋体"/>
          <w:sz w:val="27"/>
          <w:szCs w:val="27"/>
        </w:rPr>
      </w:pPr>
      <w:r>
        <w:rPr>
          <w:rFonts w:ascii="Times New Roman" w:hAnsi="Times New Roman" w:eastAsia="Times New Roman" w:cs="Times New Roman"/>
          <w:b/>
          <w:bCs/>
          <w:spacing w:val="6"/>
          <w:sz w:val="27"/>
          <w:szCs w:val="27"/>
        </w:rPr>
        <w:t xml:space="preserve">5.2.1.5 </w:t>
      </w:r>
      <w:r>
        <w:rPr>
          <w:rFonts w:ascii="宋体" w:hAnsi="宋体" w:eastAsia="宋体" w:cs="宋体"/>
          <w:b/>
          <w:bCs/>
          <w:spacing w:val="6"/>
          <w:sz w:val="27"/>
          <w:szCs w:val="27"/>
        </w:rPr>
        <w:t>发电机尾气治理措施及可行性分析</w:t>
      </w:r>
    </w:p>
    <w:p w14:paraId="16A9BDAA">
      <w:pPr>
        <w:spacing w:line="225" w:lineRule="auto"/>
        <w:rPr>
          <w:rFonts w:ascii="宋体" w:hAnsi="宋体" w:eastAsia="宋体" w:cs="宋体"/>
          <w:sz w:val="27"/>
          <w:szCs w:val="27"/>
        </w:rPr>
        <w:sectPr>
          <w:headerReference r:id="rId457" w:type="default"/>
          <w:footerReference r:id="rId458" w:type="default"/>
          <w:pgSz w:w="11905" w:h="16840"/>
          <w:pgMar w:top="1168" w:right="1695" w:bottom="1409" w:left="1770" w:header="828" w:footer="1244" w:gutter="0"/>
          <w:cols w:space="720" w:num="1"/>
        </w:sectPr>
      </w:pPr>
    </w:p>
    <w:p w14:paraId="435ED8BC">
      <w:pPr>
        <w:pStyle w:val="2"/>
        <w:spacing w:line="306" w:lineRule="auto"/>
      </w:pPr>
    </w:p>
    <w:p w14:paraId="1FE0E6CA">
      <w:pPr>
        <w:spacing w:before="78" w:line="360" w:lineRule="auto"/>
        <w:ind w:left="39" w:right="85" w:firstLine="480"/>
        <w:jc w:val="both"/>
        <w:rPr>
          <w:rFonts w:ascii="宋体" w:hAnsi="宋体" w:eastAsia="宋体" w:cs="宋体"/>
          <w:sz w:val="24"/>
          <w:szCs w:val="24"/>
        </w:rPr>
      </w:pPr>
      <w:r>
        <w:rPr>
          <w:rFonts w:ascii="宋体" w:hAnsi="宋体" w:eastAsia="宋体" w:cs="宋体"/>
          <w:spacing w:val="-3"/>
          <w:sz w:val="24"/>
          <w:szCs w:val="24"/>
        </w:rPr>
        <w:t>本项目应急备用发电机废气经设备自带的净化系统处理后排放</w:t>
      </w:r>
      <w:r>
        <w:rPr>
          <w:rFonts w:ascii="宋体" w:hAnsi="宋体" w:eastAsia="宋体" w:cs="宋体"/>
          <w:spacing w:val="-4"/>
          <w:sz w:val="24"/>
          <w:szCs w:val="24"/>
        </w:rPr>
        <w:t>，备用柴油发</w:t>
      </w:r>
      <w:r>
        <w:rPr>
          <w:rFonts w:ascii="宋体" w:hAnsi="宋体" w:eastAsia="宋体" w:cs="宋体"/>
          <w:spacing w:val="-3"/>
          <w:sz w:val="24"/>
          <w:szCs w:val="24"/>
        </w:rPr>
        <w:t>电机仅在停电时使用，使用频率低，产生的废气量很小，采用上述措施后能达标</w:t>
      </w:r>
      <w:r>
        <w:rPr>
          <w:rFonts w:ascii="宋体" w:hAnsi="宋体" w:eastAsia="宋体" w:cs="宋体"/>
          <w:spacing w:val="-10"/>
          <w:sz w:val="24"/>
          <w:szCs w:val="24"/>
        </w:rPr>
        <w:t>排放。</w:t>
      </w:r>
    </w:p>
    <w:p w14:paraId="3267B7AF">
      <w:pPr>
        <w:spacing w:before="2" w:line="359" w:lineRule="auto"/>
        <w:ind w:left="45" w:right="85" w:firstLine="473"/>
        <w:rPr>
          <w:rFonts w:ascii="宋体" w:hAnsi="宋体" w:eastAsia="宋体" w:cs="宋体"/>
          <w:sz w:val="24"/>
          <w:szCs w:val="24"/>
        </w:rPr>
      </w:pPr>
      <w:r>
        <w:rPr>
          <w:rFonts w:ascii="宋体" w:hAnsi="宋体" w:eastAsia="宋体" w:cs="宋体"/>
          <w:spacing w:val="-3"/>
          <w:sz w:val="24"/>
          <w:szCs w:val="24"/>
        </w:rPr>
        <w:t>柴油存储在发电机房内单独的柴油储存间，严禁放在柴油发电机</w:t>
      </w:r>
      <w:r>
        <w:rPr>
          <w:rFonts w:ascii="宋体" w:hAnsi="宋体" w:eastAsia="宋体" w:cs="宋体"/>
          <w:spacing w:val="-4"/>
          <w:sz w:val="24"/>
          <w:szCs w:val="24"/>
        </w:rPr>
        <w:t>房内，并达</w:t>
      </w:r>
      <w:r>
        <w:rPr>
          <w:rFonts w:ascii="宋体" w:hAnsi="宋体" w:eastAsia="宋体" w:cs="宋体"/>
          <w:spacing w:val="-3"/>
          <w:sz w:val="24"/>
          <w:szCs w:val="24"/>
        </w:rPr>
        <w:t>到消防要求，注意防火以免成为安全隐患。</w:t>
      </w:r>
    </w:p>
    <w:p w14:paraId="5B31F9D4">
      <w:pPr>
        <w:spacing w:before="1" w:line="361" w:lineRule="auto"/>
        <w:ind w:left="43" w:right="87" w:firstLine="481"/>
        <w:rPr>
          <w:rFonts w:ascii="宋体" w:hAnsi="宋体" w:eastAsia="宋体" w:cs="宋体"/>
          <w:sz w:val="24"/>
          <w:szCs w:val="24"/>
        </w:rPr>
      </w:pPr>
      <w:r>
        <w:rPr>
          <w:rFonts w:ascii="宋体" w:hAnsi="宋体" w:eastAsia="宋体" w:cs="宋体"/>
          <w:b/>
          <w:bCs/>
          <w:spacing w:val="1"/>
          <w:sz w:val="24"/>
          <w:szCs w:val="24"/>
        </w:rPr>
        <w:t>综上，经采取上述措施后，项目运营期废气均可做到达标排放，拟采取污</w:t>
      </w:r>
      <w:r>
        <w:rPr>
          <w:rFonts w:ascii="宋体" w:hAnsi="宋体" w:eastAsia="宋体" w:cs="宋体"/>
          <w:b/>
          <w:bCs/>
          <w:spacing w:val="-4"/>
          <w:sz w:val="24"/>
          <w:szCs w:val="24"/>
        </w:rPr>
        <w:t>染治理措施从技术、经济方面考虑，具有可行性。</w:t>
      </w:r>
    </w:p>
    <w:p w14:paraId="06E59E82">
      <w:pPr>
        <w:spacing w:before="162"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5.2.2  </w:t>
      </w:r>
      <w:r>
        <w:rPr>
          <w:rFonts w:ascii="宋体" w:hAnsi="宋体" w:eastAsia="宋体" w:cs="宋体"/>
          <w:b/>
          <w:bCs/>
          <w:spacing w:val="-2"/>
          <w:sz w:val="30"/>
          <w:szCs w:val="30"/>
        </w:rPr>
        <w:t>废水处理措施及可行性论证</w:t>
      </w:r>
    </w:p>
    <w:p w14:paraId="75419944">
      <w:pPr>
        <w:pStyle w:val="2"/>
        <w:spacing w:line="259" w:lineRule="auto"/>
      </w:pPr>
    </w:p>
    <w:p w14:paraId="37F5BA3A">
      <w:pPr>
        <w:spacing w:before="79" w:line="362" w:lineRule="auto"/>
        <w:ind w:left="68" w:right="85" w:firstLine="451"/>
        <w:rPr>
          <w:rFonts w:ascii="宋体" w:hAnsi="宋体" w:eastAsia="宋体" w:cs="宋体"/>
          <w:sz w:val="24"/>
          <w:szCs w:val="24"/>
        </w:rPr>
      </w:pPr>
      <w:r>
        <w:rPr>
          <w:rFonts w:ascii="宋体" w:hAnsi="宋体" w:eastAsia="宋体" w:cs="宋体"/>
          <w:spacing w:val="-3"/>
          <w:sz w:val="24"/>
          <w:szCs w:val="24"/>
        </w:rPr>
        <w:t>本项目运营期场地内实行雨污分流制，雨水经雨水沟渠收集后</w:t>
      </w:r>
      <w:r>
        <w:rPr>
          <w:rFonts w:ascii="宋体" w:hAnsi="宋体" w:eastAsia="宋体" w:cs="宋体"/>
          <w:spacing w:val="-4"/>
          <w:sz w:val="24"/>
          <w:szCs w:val="24"/>
        </w:rPr>
        <w:t>排出场界，场</w:t>
      </w:r>
      <w:r>
        <w:rPr>
          <w:rFonts w:ascii="宋体" w:hAnsi="宋体" w:eastAsia="宋体" w:cs="宋体"/>
          <w:spacing w:val="-3"/>
          <w:sz w:val="24"/>
          <w:szCs w:val="24"/>
        </w:rPr>
        <w:t>内养殖废水及生活污水经管道收集后进入污水处理站进行处理。</w:t>
      </w:r>
    </w:p>
    <w:p w14:paraId="08B1A197">
      <w:pPr>
        <w:spacing w:before="52" w:line="226"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5.2.2.1 </w:t>
      </w:r>
      <w:r>
        <w:rPr>
          <w:rFonts w:ascii="宋体" w:hAnsi="宋体" w:eastAsia="宋体" w:cs="宋体"/>
          <w:b/>
          <w:bCs/>
          <w:spacing w:val="5"/>
          <w:sz w:val="27"/>
          <w:szCs w:val="27"/>
        </w:rPr>
        <w:t>养殖废水处理工艺比较</w:t>
      </w:r>
    </w:p>
    <w:p w14:paraId="394B2718">
      <w:pPr>
        <w:spacing w:before="236" w:line="360" w:lineRule="auto"/>
        <w:ind w:left="38" w:firstLine="480"/>
        <w:jc w:val="both"/>
        <w:rPr>
          <w:rFonts w:ascii="宋体" w:hAnsi="宋体" w:eastAsia="宋体" w:cs="宋体"/>
          <w:sz w:val="24"/>
          <w:szCs w:val="24"/>
        </w:rPr>
      </w:pPr>
      <w:r>
        <w:rPr>
          <w:rFonts w:ascii="宋体" w:hAnsi="宋体" w:eastAsia="宋体" w:cs="宋体"/>
          <w:spacing w:val="-3"/>
          <w:sz w:val="24"/>
          <w:szCs w:val="24"/>
        </w:rPr>
        <w:t>根据《畜禽养殖业污染治理工程技术规范》（</w:t>
      </w:r>
      <w:r>
        <w:rPr>
          <w:rFonts w:ascii="Times New Roman" w:hAnsi="Times New Roman" w:eastAsia="Times New Roman" w:cs="Times New Roman"/>
          <w:spacing w:val="-3"/>
          <w:sz w:val="24"/>
          <w:szCs w:val="24"/>
        </w:rPr>
        <w:t>HJ49</w:t>
      </w:r>
      <w:r>
        <w:rPr>
          <w:rFonts w:ascii="Times New Roman" w:hAnsi="Times New Roman" w:eastAsia="Times New Roman" w:cs="Times New Roman"/>
          <w:spacing w:val="-4"/>
          <w:sz w:val="24"/>
          <w:szCs w:val="24"/>
        </w:rPr>
        <w:t>7-2009</w:t>
      </w:r>
      <w:r>
        <w:rPr>
          <w:rFonts w:ascii="宋体" w:hAnsi="宋体" w:eastAsia="宋体" w:cs="宋体"/>
          <w:spacing w:val="14"/>
          <w:sz w:val="24"/>
          <w:szCs w:val="24"/>
        </w:rPr>
        <w:t>），</w:t>
      </w:r>
      <w:r>
        <w:rPr>
          <w:rFonts w:ascii="宋体" w:hAnsi="宋体" w:eastAsia="宋体" w:cs="宋体"/>
          <w:spacing w:val="-4"/>
          <w:sz w:val="24"/>
          <w:szCs w:val="24"/>
        </w:rPr>
        <w:t>目前，我国规</w:t>
      </w:r>
      <w:r>
        <w:rPr>
          <w:rFonts w:ascii="宋体" w:hAnsi="宋体" w:eastAsia="宋体" w:cs="宋体"/>
          <w:spacing w:val="-1"/>
          <w:sz w:val="24"/>
          <w:szCs w:val="24"/>
        </w:rPr>
        <w:t>模化养殖场（区）采用的清粪工艺有水冲粪、水泡粪（自流式）和干清粪工艺。采用水冲或水泡粪工艺比干清粪工艺产生的</w:t>
      </w:r>
      <w:r>
        <w:rPr>
          <w:rFonts w:ascii="宋体" w:hAnsi="宋体" w:eastAsia="宋体" w:cs="宋体"/>
          <w:spacing w:val="-2"/>
          <w:sz w:val="24"/>
          <w:szCs w:val="24"/>
        </w:rPr>
        <w:t>污水量大且有机物浓度高。</w:t>
      </w:r>
    </w:p>
    <w:p w14:paraId="07FDE49D">
      <w:pPr>
        <w:spacing w:before="5" w:line="359" w:lineRule="auto"/>
        <w:ind w:left="41" w:right="85" w:firstLine="480"/>
        <w:jc w:val="both"/>
        <w:rPr>
          <w:rFonts w:ascii="宋体" w:hAnsi="宋体" w:eastAsia="宋体" w:cs="宋体"/>
          <w:sz w:val="24"/>
          <w:szCs w:val="24"/>
        </w:rPr>
      </w:pPr>
      <w:r>
        <w:rPr>
          <w:rFonts w:ascii="宋体" w:hAnsi="宋体" w:eastAsia="宋体" w:cs="宋体"/>
          <w:spacing w:val="-3"/>
          <w:sz w:val="24"/>
          <w:szCs w:val="24"/>
        </w:rPr>
        <w:t>我国集约化畜禽养殖场粪污处理主要有三种模式，即以获取</w:t>
      </w:r>
      <w:r>
        <w:rPr>
          <w:rFonts w:ascii="宋体" w:hAnsi="宋体" w:eastAsia="宋体" w:cs="宋体"/>
          <w:spacing w:val="-4"/>
          <w:sz w:val="24"/>
          <w:szCs w:val="24"/>
        </w:rPr>
        <w:t>沼气能源、将沼</w:t>
      </w:r>
      <w:r>
        <w:rPr>
          <w:rFonts w:ascii="宋体" w:hAnsi="宋体" w:eastAsia="宋体" w:cs="宋体"/>
          <w:spacing w:val="-3"/>
          <w:sz w:val="24"/>
          <w:szCs w:val="24"/>
        </w:rPr>
        <w:t>液沼渣进行资源化利用为目的的模式Ⅰ、模式Ⅱ工艺和以废水处理后达标排放为</w:t>
      </w:r>
      <w:r>
        <w:rPr>
          <w:rFonts w:ascii="宋体" w:hAnsi="宋体" w:eastAsia="宋体" w:cs="宋体"/>
          <w:spacing w:val="-5"/>
          <w:sz w:val="24"/>
          <w:szCs w:val="24"/>
        </w:rPr>
        <w:t>目标的模式Ⅲ工艺。畜禽养殖废水由于其有机物浓度高及大量致病菌的</w:t>
      </w:r>
      <w:r>
        <w:rPr>
          <w:rFonts w:ascii="宋体" w:hAnsi="宋体" w:eastAsia="宋体" w:cs="宋体"/>
          <w:spacing w:val="-6"/>
          <w:sz w:val="24"/>
          <w:szCs w:val="24"/>
        </w:rPr>
        <w:t>存在，</w:t>
      </w:r>
      <w:r>
        <w:rPr>
          <w:rFonts w:ascii="宋体" w:hAnsi="宋体" w:eastAsia="宋体" w:cs="宋体"/>
          <w:spacing w:val="-47"/>
          <w:sz w:val="24"/>
          <w:szCs w:val="24"/>
        </w:rPr>
        <w:t xml:space="preserve"> </w:t>
      </w:r>
      <w:r>
        <w:rPr>
          <w:rFonts w:ascii="宋体" w:hAnsi="宋体" w:eastAsia="宋体" w:cs="宋体"/>
          <w:spacing w:val="-6"/>
          <w:sz w:val="24"/>
          <w:szCs w:val="24"/>
        </w:rPr>
        <w:t>无</w:t>
      </w:r>
      <w:r>
        <w:rPr>
          <w:rFonts w:ascii="宋体" w:hAnsi="宋体" w:eastAsia="宋体" w:cs="宋体"/>
          <w:spacing w:val="-2"/>
          <w:sz w:val="24"/>
          <w:szCs w:val="24"/>
        </w:rPr>
        <w:t>论采取何种处理模式，厌氧反应是一个必不可少的处理阶段。</w:t>
      </w:r>
    </w:p>
    <w:p w14:paraId="08D46392">
      <w:pPr>
        <w:spacing w:before="1"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）模式Ⅰ适用范围及工艺流程</w:t>
      </w:r>
    </w:p>
    <w:p w14:paraId="4AFDB3A0">
      <w:pPr>
        <w:spacing w:before="182" w:line="360" w:lineRule="auto"/>
        <w:ind w:left="38" w:right="85" w:firstLine="480"/>
        <w:jc w:val="both"/>
        <w:rPr>
          <w:rFonts w:ascii="宋体" w:hAnsi="宋体" w:eastAsia="宋体" w:cs="宋体"/>
          <w:sz w:val="24"/>
          <w:szCs w:val="24"/>
        </w:rPr>
      </w:pPr>
      <w:r>
        <w:rPr>
          <w:rFonts w:ascii="宋体" w:hAnsi="宋体" w:eastAsia="宋体" w:cs="宋体"/>
          <w:spacing w:val="-3"/>
          <w:sz w:val="24"/>
          <w:szCs w:val="24"/>
        </w:rPr>
        <w:t>模式Ⅰ适用于非环境敏感区，当地能源需求量大，有足够可供施用</w:t>
      </w:r>
      <w:r>
        <w:rPr>
          <w:rFonts w:ascii="宋体" w:hAnsi="宋体" w:eastAsia="宋体" w:cs="宋体"/>
          <w:spacing w:val="-4"/>
          <w:sz w:val="24"/>
          <w:szCs w:val="24"/>
        </w:rPr>
        <w:t>的土地资</w:t>
      </w:r>
      <w:r>
        <w:rPr>
          <w:rFonts w:ascii="宋体" w:hAnsi="宋体" w:eastAsia="宋体" w:cs="宋体"/>
          <w:spacing w:val="-2"/>
          <w:sz w:val="24"/>
          <w:szCs w:val="24"/>
        </w:rPr>
        <w:t>源的养殖场（区</w:t>
      </w:r>
      <w:r>
        <w:rPr>
          <w:rFonts w:ascii="宋体" w:hAnsi="宋体" w:eastAsia="宋体" w:cs="宋体"/>
          <w:spacing w:val="-20"/>
          <w:sz w:val="24"/>
          <w:szCs w:val="24"/>
        </w:rPr>
        <w:t>），</w:t>
      </w:r>
      <w:r>
        <w:rPr>
          <w:rFonts w:ascii="宋体" w:hAnsi="宋体" w:eastAsia="宋体" w:cs="宋体"/>
          <w:spacing w:val="-2"/>
          <w:sz w:val="24"/>
          <w:szCs w:val="24"/>
        </w:rPr>
        <w:t>该模式工艺要求粪尿全进厌氧反应器。其典型的工艺流程见图</w:t>
      </w:r>
      <w:r>
        <w:rPr>
          <w:rFonts w:ascii="Times New Roman" w:hAnsi="Times New Roman" w:eastAsia="Times New Roman" w:cs="Times New Roman"/>
          <w:spacing w:val="-2"/>
          <w:sz w:val="24"/>
          <w:szCs w:val="24"/>
        </w:rPr>
        <w:t>5.2-3</w:t>
      </w:r>
      <w:r>
        <w:rPr>
          <w:rFonts w:ascii="宋体" w:hAnsi="宋体" w:eastAsia="宋体" w:cs="宋体"/>
          <w:spacing w:val="-2"/>
          <w:sz w:val="24"/>
          <w:szCs w:val="24"/>
        </w:rPr>
        <w:t>。</w:t>
      </w:r>
    </w:p>
    <w:p w14:paraId="0899531B">
      <w:pPr>
        <w:spacing w:before="1"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）模式Ⅱ适用范围及工艺流程</w:t>
      </w:r>
    </w:p>
    <w:p w14:paraId="0E1C6954">
      <w:pPr>
        <w:spacing w:before="182" w:line="361" w:lineRule="auto"/>
        <w:ind w:left="37" w:right="85" w:firstLine="480"/>
        <w:rPr>
          <w:rFonts w:ascii="宋体" w:hAnsi="宋体" w:eastAsia="宋体" w:cs="宋体"/>
          <w:sz w:val="24"/>
          <w:szCs w:val="24"/>
        </w:rPr>
      </w:pPr>
      <w:r>
        <w:rPr>
          <w:rFonts w:ascii="宋体" w:hAnsi="宋体" w:eastAsia="宋体" w:cs="宋体"/>
          <w:spacing w:val="-3"/>
          <w:sz w:val="24"/>
          <w:szCs w:val="24"/>
        </w:rPr>
        <w:t>模式Ⅱ适用于座落于非环境敏感区的养殖场，且沼气能源需求不</w:t>
      </w:r>
      <w:r>
        <w:rPr>
          <w:rFonts w:ascii="宋体" w:hAnsi="宋体" w:eastAsia="宋体" w:cs="宋体"/>
          <w:spacing w:val="-4"/>
          <w:sz w:val="24"/>
          <w:szCs w:val="24"/>
        </w:rPr>
        <w:t>大，主要以</w:t>
      </w:r>
      <w:r>
        <w:rPr>
          <w:rFonts w:ascii="宋体" w:hAnsi="宋体" w:eastAsia="宋体" w:cs="宋体"/>
          <w:spacing w:val="-3"/>
          <w:sz w:val="24"/>
          <w:szCs w:val="24"/>
        </w:rPr>
        <w:t>进行污染物无害化处理、降低有机物浓度、减少沼液和沼渣消纳所需配套的土地面积为目的，周围具有足够大的土地面积以全部消纳低浓度沼液。废水进入厌氧</w:t>
      </w:r>
      <w:r>
        <w:rPr>
          <w:rFonts w:ascii="宋体" w:hAnsi="宋体" w:eastAsia="宋体" w:cs="宋体"/>
          <w:spacing w:val="-10"/>
          <w:sz w:val="24"/>
          <w:szCs w:val="24"/>
        </w:rPr>
        <w:t>反应器之前应先进行固液（干湿）分离，然后再对固体粪渣和废水分别进行处理。</w:t>
      </w:r>
      <w:r>
        <w:rPr>
          <w:rFonts w:ascii="宋体" w:hAnsi="宋体" w:eastAsia="宋体" w:cs="宋体"/>
          <w:spacing w:val="-1"/>
          <w:sz w:val="24"/>
          <w:szCs w:val="24"/>
        </w:rPr>
        <w:t>其典型的工艺流程见图</w:t>
      </w:r>
      <w:r>
        <w:rPr>
          <w:rFonts w:ascii="Times New Roman" w:hAnsi="Times New Roman" w:eastAsia="Times New Roman" w:cs="Times New Roman"/>
          <w:spacing w:val="-1"/>
          <w:sz w:val="24"/>
          <w:szCs w:val="24"/>
        </w:rPr>
        <w:t>5.2-4</w:t>
      </w:r>
      <w:r>
        <w:rPr>
          <w:rFonts w:ascii="宋体" w:hAnsi="宋体" w:eastAsia="宋体" w:cs="宋体"/>
          <w:spacing w:val="-1"/>
          <w:sz w:val="24"/>
          <w:szCs w:val="24"/>
        </w:rPr>
        <w:t>。</w:t>
      </w:r>
    </w:p>
    <w:p w14:paraId="05011332">
      <w:pPr>
        <w:spacing w:line="361" w:lineRule="auto"/>
        <w:rPr>
          <w:rFonts w:ascii="宋体" w:hAnsi="宋体" w:eastAsia="宋体" w:cs="宋体"/>
          <w:sz w:val="24"/>
          <w:szCs w:val="24"/>
        </w:rPr>
        <w:sectPr>
          <w:headerReference r:id="rId459" w:type="default"/>
          <w:footerReference r:id="rId460" w:type="default"/>
          <w:pgSz w:w="11905" w:h="16840"/>
          <w:pgMar w:top="1168" w:right="1712" w:bottom="1409" w:left="1770" w:header="828" w:footer="1244" w:gutter="0"/>
          <w:cols w:space="720" w:num="1"/>
        </w:sectPr>
      </w:pPr>
    </w:p>
    <w:p w14:paraId="426F5395">
      <w:pPr>
        <w:pStyle w:val="2"/>
        <w:spacing w:line="305" w:lineRule="auto"/>
      </w:pPr>
    </w:p>
    <w:p w14:paraId="3899B894">
      <w:pPr>
        <w:spacing w:before="78"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）模式Ⅲ适用范围及工艺流程</w:t>
      </w:r>
    </w:p>
    <w:p w14:paraId="24AC9C60">
      <w:pPr>
        <w:spacing w:before="183" w:line="349" w:lineRule="auto"/>
        <w:ind w:left="41" w:right="30" w:firstLine="477"/>
        <w:jc w:val="both"/>
        <w:rPr>
          <w:rFonts w:ascii="宋体" w:hAnsi="宋体" w:eastAsia="宋体" w:cs="宋体"/>
          <w:sz w:val="24"/>
          <w:szCs w:val="24"/>
        </w:rPr>
      </w:pPr>
      <w:r>
        <w:rPr>
          <w:rFonts w:ascii="宋体" w:hAnsi="宋体" w:eastAsia="宋体" w:cs="宋体"/>
          <w:spacing w:val="-3"/>
          <w:sz w:val="24"/>
          <w:szCs w:val="24"/>
        </w:rPr>
        <w:t>模式Ⅲ主要是基于受当地沼气能源供求实际情况的限制，周边又</w:t>
      </w:r>
      <w:r>
        <w:rPr>
          <w:rFonts w:ascii="宋体" w:hAnsi="宋体" w:eastAsia="宋体" w:cs="宋体"/>
          <w:spacing w:val="-4"/>
          <w:sz w:val="24"/>
          <w:szCs w:val="24"/>
        </w:rPr>
        <w:t>没有足够的</w:t>
      </w:r>
      <w:r>
        <w:rPr>
          <w:rFonts w:ascii="宋体" w:hAnsi="宋体" w:eastAsia="宋体" w:cs="宋体"/>
          <w:spacing w:val="-6"/>
          <w:sz w:val="24"/>
          <w:szCs w:val="24"/>
        </w:rPr>
        <w:t>可供消纳沼液、沼渣的土地， 其厌氧出水（沼液）必须</w:t>
      </w:r>
      <w:r>
        <w:rPr>
          <w:rFonts w:ascii="宋体" w:hAnsi="宋体" w:eastAsia="宋体" w:cs="宋体"/>
          <w:spacing w:val="-7"/>
          <w:sz w:val="24"/>
          <w:szCs w:val="24"/>
        </w:rPr>
        <w:t>再经过进一步处理，达到</w:t>
      </w:r>
      <w:r>
        <w:rPr>
          <w:rFonts w:ascii="宋体" w:hAnsi="宋体" w:eastAsia="宋体" w:cs="宋体"/>
          <w:spacing w:val="-1"/>
          <w:sz w:val="24"/>
          <w:szCs w:val="24"/>
        </w:rPr>
        <w:t>国家和地方排放标准。其典型的工艺流程见图</w:t>
      </w:r>
      <w:r>
        <w:rPr>
          <w:rFonts w:ascii="Times New Roman" w:hAnsi="Times New Roman" w:eastAsia="Times New Roman" w:cs="Times New Roman"/>
          <w:spacing w:val="-1"/>
          <w:sz w:val="24"/>
          <w:szCs w:val="24"/>
        </w:rPr>
        <w:t>5.2-5</w:t>
      </w:r>
      <w:r>
        <w:rPr>
          <w:rFonts w:ascii="宋体" w:hAnsi="宋体" w:eastAsia="宋体" w:cs="宋体"/>
          <w:spacing w:val="-1"/>
          <w:sz w:val="24"/>
          <w:szCs w:val="24"/>
        </w:rPr>
        <w:t>。</w:t>
      </w:r>
    </w:p>
    <w:p w14:paraId="17951C52">
      <w:pPr>
        <w:spacing w:line="2664" w:lineRule="exact"/>
        <w:ind w:firstLine="205"/>
      </w:pPr>
      <w:r>
        <w:rPr>
          <w:position w:val="-53"/>
        </w:rPr>
        <w:drawing>
          <wp:inline distT="0" distB="0" distL="0" distR="0">
            <wp:extent cx="5050155" cy="169164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585"/>
                    <a:stretch>
                      <a:fillRect/>
                    </a:stretch>
                  </pic:blipFill>
                  <pic:spPr>
                    <a:xfrm>
                      <a:off x="0" y="0"/>
                      <a:ext cx="5050535" cy="1691640"/>
                    </a:xfrm>
                    <a:prstGeom prst="rect">
                      <a:avLst/>
                    </a:prstGeom>
                  </pic:spPr>
                </pic:pic>
              </a:graphicData>
            </a:graphic>
          </wp:inline>
        </w:drawing>
      </w:r>
    </w:p>
    <w:p w14:paraId="5AAC1DAD">
      <w:pPr>
        <w:spacing w:before="199" w:line="221" w:lineRule="auto"/>
        <w:ind w:left="2872"/>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43"/>
          <w:sz w:val="21"/>
          <w:szCs w:val="21"/>
        </w:rPr>
        <w:t xml:space="preserve"> </w:t>
      </w:r>
      <w:r>
        <w:rPr>
          <w:rFonts w:ascii="Times New Roman" w:hAnsi="Times New Roman" w:eastAsia="Times New Roman" w:cs="Times New Roman"/>
          <w:spacing w:val="-2"/>
          <w:sz w:val="21"/>
          <w:szCs w:val="21"/>
        </w:rPr>
        <w:t xml:space="preserve">5.2-3  </w:t>
      </w:r>
      <w:r>
        <w:rPr>
          <w:rFonts w:ascii="黑体" w:hAnsi="黑体" w:eastAsia="黑体" w:cs="黑体"/>
          <w:spacing w:val="-2"/>
          <w:sz w:val="21"/>
          <w:szCs w:val="21"/>
        </w:rPr>
        <w:t>模怯</w:t>
      </w:r>
      <w:r>
        <w:rPr>
          <w:rFonts w:ascii="黑体" w:hAnsi="黑体" w:eastAsia="黑体" w:cs="黑体"/>
          <w:spacing w:val="-46"/>
          <w:sz w:val="21"/>
          <w:szCs w:val="21"/>
        </w:rPr>
        <w:t xml:space="preserve"> </w:t>
      </w:r>
      <w:r>
        <w:rPr>
          <w:rFonts w:ascii="Times New Roman" w:hAnsi="Times New Roman" w:eastAsia="Times New Roman" w:cs="Times New Roman"/>
          <w:spacing w:val="-2"/>
          <w:sz w:val="21"/>
          <w:szCs w:val="21"/>
        </w:rPr>
        <w:t xml:space="preserve">I </w:t>
      </w:r>
      <w:r>
        <w:rPr>
          <w:rFonts w:ascii="黑体" w:hAnsi="黑体" w:eastAsia="黑体" w:cs="黑体"/>
          <w:spacing w:val="-2"/>
          <w:sz w:val="21"/>
          <w:szCs w:val="21"/>
        </w:rPr>
        <w:t>基本工艺流程</w:t>
      </w:r>
    </w:p>
    <w:p w14:paraId="499688F3">
      <w:pPr>
        <w:spacing w:before="196" w:line="2280" w:lineRule="exact"/>
        <w:ind w:firstLine="213"/>
      </w:pPr>
      <w:r>
        <w:rPr>
          <w:position w:val="-45"/>
        </w:rPr>
        <w:drawing>
          <wp:inline distT="0" distB="0" distL="0" distR="0">
            <wp:extent cx="5039360" cy="144780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586"/>
                    <a:stretch>
                      <a:fillRect/>
                    </a:stretch>
                  </pic:blipFill>
                  <pic:spPr>
                    <a:xfrm>
                      <a:off x="0" y="0"/>
                      <a:ext cx="5039867" cy="1447800"/>
                    </a:xfrm>
                    <a:prstGeom prst="rect">
                      <a:avLst/>
                    </a:prstGeom>
                  </pic:spPr>
                </pic:pic>
              </a:graphicData>
            </a:graphic>
          </wp:inline>
        </w:drawing>
      </w:r>
    </w:p>
    <w:p w14:paraId="695B6910">
      <w:pPr>
        <w:spacing w:before="236" w:line="221" w:lineRule="auto"/>
        <w:ind w:left="2838"/>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42"/>
          <w:sz w:val="21"/>
          <w:szCs w:val="21"/>
        </w:rPr>
        <w:t xml:space="preserve"> </w:t>
      </w:r>
      <w:r>
        <w:rPr>
          <w:rFonts w:ascii="Times New Roman" w:hAnsi="Times New Roman" w:eastAsia="Times New Roman" w:cs="Times New Roman"/>
          <w:spacing w:val="-2"/>
          <w:sz w:val="21"/>
          <w:szCs w:val="21"/>
        </w:rPr>
        <w:t xml:space="preserve">5.2-4  </w:t>
      </w:r>
      <w:r>
        <w:rPr>
          <w:rFonts w:ascii="黑体" w:hAnsi="黑体" w:eastAsia="黑体" w:cs="黑体"/>
          <w:spacing w:val="-2"/>
          <w:sz w:val="21"/>
          <w:szCs w:val="21"/>
        </w:rPr>
        <w:t>模怯</w:t>
      </w:r>
      <w:r>
        <w:rPr>
          <w:rFonts w:ascii="黑体" w:hAnsi="黑体" w:eastAsia="黑体" w:cs="黑体"/>
          <w:spacing w:val="-45"/>
          <w:sz w:val="21"/>
          <w:szCs w:val="21"/>
        </w:rPr>
        <w:t xml:space="preserve"> </w:t>
      </w:r>
      <w:r>
        <w:rPr>
          <w:rFonts w:ascii="Times New Roman" w:hAnsi="Times New Roman" w:eastAsia="Times New Roman" w:cs="Times New Roman"/>
          <w:spacing w:val="-2"/>
          <w:sz w:val="21"/>
          <w:szCs w:val="21"/>
        </w:rPr>
        <w:t xml:space="preserve">II </w:t>
      </w:r>
      <w:r>
        <w:rPr>
          <w:rFonts w:ascii="黑体" w:hAnsi="黑体" w:eastAsia="黑体" w:cs="黑体"/>
          <w:spacing w:val="-2"/>
          <w:sz w:val="21"/>
          <w:szCs w:val="21"/>
        </w:rPr>
        <w:t>基本工艺流程</w:t>
      </w:r>
    </w:p>
    <w:p w14:paraId="24B4FEDC">
      <w:pPr>
        <w:spacing w:before="152" w:line="2993" w:lineRule="exact"/>
        <w:ind w:firstLine="205"/>
      </w:pPr>
      <w:r>
        <w:rPr>
          <w:position w:val="-59"/>
        </w:rPr>
        <w:drawing>
          <wp:inline distT="0" distB="0" distL="0" distR="0">
            <wp:extent cx="5050155" cy="189992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587"/>
                    <a:stretch>
                      <a:fillRect/>
                    </a:stretch>
                  </pic:blipFill>
                  <pic:spPr>
                    <a:xfrm>
                      <a:off x="0" y="0"/>
                      <a:ext cx="5050535" cy="1900427"/>
                    </a:xfrm>
                    <a:prstGeom prst="rect">
                      <a:avLst/>
                    </a:prstGeom>
                  </pic:spPr>
                </pic:pic>
              </a:graphicData>
            </a:graphic>
          </wp:inline>
        </w:drawing>
      </w:r>
    </w:p>
    <w:p w14:paraId="72A0FF65">
      <w:pPr>
        <w:spacing w:before="192" w:line="221" w:lineRule="auto"/>
        <w:ind w:left="2859"/>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40"/>
          <w:sz w:val="21"/>
          <w:szCs w:val="21"/>
        </w:rPr>
        <w:t xml:space="preserve"> </w:t>
      </w:r>
      <w:r>
        <w:rPr>
          <w:rFonts w:ascii="Times New Roman" w:hAnsi="Times New Roman" w:eastAsia="Times New Roman" w:cs="Times New Roman"/>
          <w:spacing w:val="-2"/>
          <w:sz w:val="21"/>
          <w:szCs w:val="21"/>
        </w:rPr>
        <w:t xml:space="preserve">5.2-5  </w:t>
      </w:r>
      <w:r>
        <w:rPr>
          <w:rFonts w:ascii="黑体" w:hAnsi="黑体" w:eastAsia="黑体" w:cs="黑体"/>
          <w:spacing w:val="-2"/>
          <w:sz w:val="21"/>
          <w:szCs w:val="21"/>
        </w:rPr>
        <w:t>模怯</w:t>
      </w:r>
      <w:r>
        <w:rPr>
          <w:rFonts w:ascii="Times New Roman" w:hAnsi="Times New Roman" w:eastAsia="Times New Roman" w:cs="Times New Roman"/>
          <w:spacing w:val="-2"/>
          <w:sz w:val="21"/>
          <w:szCs w:val="21"/>
        </w:rPr>
        <w:t>Ⅲ</w:t>
      </w:r>
      <w:r>
        <w:rPr>
          <w:rFonts w:ascii="黑体" w:hAnsi="黑体" w:eastAsia="黑体" w:cs="黑体"/>
          <w:spacing w:val="-2"/>
          <w:sz w:val="21"/>
          <w:szCs w:val="21"/>
        </w:rPr>
        <w:t>基本工艺流程</w:t>
      </w:r>
    </w:p>
    <w:p w14:paraId="6FE4CAAC">
      <w:pPr>
        <w:spacing w:before="203"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4</w:t>
      </w:r>
      <w:r>
        <w:rPr>
          <w:rFonts w:ascii="宋体" w:hAnsi="宋体" w:eastAsia="宋体" w:cs="宋体"/>
          <w:b/>
          <w:bCs/>
          <w:spacing w:val="-6"/>
          <w:sz w:val="24"/>
          <w:szCs w:val="24"/>
        </w:rPr>
        <w:t>）工艺选择原则</w:t>
      </w:r>
    </w:p>
    <w:p w14:paraId="25591193">
      <w:pPr>
        <w:spacing w:before="182" w:line="361" w:lineRule="auto"/>
        <w:ind w:left="39" w:right="30" w:firstLine="479"/>
        <w:rPr>
          <w:rFonts w:ascii="宋体" w:hAnsi="宋体" w:eastAsia="宋体" w:cs="宋体"/>
          <w:sz w:val="24"/>
          <w:szCs w:val="24"/>
        </w:rPr>
      </w:pPr>
      <w:r>
        <w:rPr>
          <w:rFonts w:ascii="宋体" w:hAnsi="宋体" w:eastAsia="宋体" w:cs="宋体"/>
          <w:spacing w:val="-3"/>
          <w:sz w:val="24"/>
          <w:szCs w:val="24"/>
        </w:rPr>
        <w:t>①选用粪污处理工艺时，应根据养殖场的养殖种类、养殖规模、</w:t>
      </w:r>
      <w:r>
        <w:rPr>
          <w:rFonts w:ascii="宋体" w:hAnsi="宋体" w:eastAsia="宋体" w:cs="宋体"/>
          <w:spacing w:val="-4"/>
          <w:sz w:val="24"/>
          <w:szCs w:val="24"/>
        </w:rPr>
        <w:t>粪污收集方</w:t>
      </w:r>
      <w:r>
        <w:rPr>
          <w:rFonts w:ascii="宋体" w:hAnsi="宋体" w:eastAsia="宋体" w:cs="宋体"/>
          <w:spacing w:val="-5"/>
          <w:sz w:val="24"/>
          <w:szCs w:val="24"/>
        </w:rPr>
        <w:t>式、当地的自然地理环境条件以及排水去向等因素确定工艺路线及</w:t>
      </w:r>
      <w:r>
        <w:rPr>
          <w:rFonts w:ascii="宋体" w:hAnsi="宋体" w:eastAsia="宋体" w:cs="宋体"/>
          <w:spacing w:val="-6"/>
          <w:sz w:val="24"/>
          <w:szCs w:val="24"/>
        </w:rPr>
        <w:t>处理目标，</w:t>
      </w:r>
      <w:r>
        <w:rPr>
          <w:rFonts w:ascii="宋体" w:hAnsi="宋体" w:eastAsia="宋体" w:cs="宋体"/>
          <w:spacing w:val="-44"/>
          <w:sz w:val="24"/>
          <w:szCs w:val="24"/>
        </w:rPr>
        <w:t xml:space="preserve"> </w:t>
      </w:r>
      <w:r>
        <w:rPr>
          <w:rFonts w:ascii="宋体" w:hAnsi="宋体" w:eastAsia="宋体" w:cs="宋体"/>
          <w:spacing w:val="-6"/>
          <w:sz w:val="24"/>
          <w:szCs w:val="24"/>
        </w:rPr>
        <w:t>并</w:t>
      </w:r>
      <w:r>
        <w:rPr>
          <w:rFonts w:ascii="宋体" w:hAnsi="宋体" w:eastAsia="宋体" w:cs="宋体"/>
          <w:spacing w:val="-3"/>
          <w:sz w:val="24"/>
          <w:szCs w:val="24"/>
        </w:rPr>
        <w:t>应充分考虑畜禽养殖废水的特殊性，在实现综合利用或达标排放的情况下，优先</w:t>
      </w:r>
    </w:p>
    <w:p w14:paraId="4815DD8C">
      <w:pPr>
        <w:spacing w:line="361" w:lineRule="auto"/>
        <w:rPr>
          <w:rFonts w:ascii="宋体" w:hAnsi="宋体" w:eastAsia="宋体" w:cs="宋体"/>
          <w:sz w:val="24"/>
          <w:szCs w:val="24"/>
        </w:rPr>
        <w:sectPr>
          <w:headerReference r:id="rId461" w:type="default"/>
          <w:footerReference r:id="rId462" w:type="default"/>
          <w:pgSz w:w="11905" w:h="16840"/>
          <w:pgMar w:top="1168" w:right="1768" w:bottom="1409" w:left="1770" w:header="828" w:footer="1244" w:gutter="0"/>
          <w:cols w:space="720" w:num="1"/>
        </w:sectPr>
      </w:pPr>
    </w:p>
    <w:p w14:paraId="4404BF8B">
      <w:pPr>
        <w:pStyle w:val="2"/>
        <w:spacing w:line="306" w:lineRule="auto"/>
      </w:pPr>
    </w:p>
    <w:p w14:paraId="5ACB60C7">
      <w:pPr>
        <w:spacing w:before="78" w:line="219" w:lineRule="auto"/>
        <w:ind w:left="38"/>
        <w:rPr>
          <w:rFonts w:ascii="宋体" w:hAnsi="宋体" w:eastAsia="宋体" w:cs="宋体"/>
          <w:sz w:val="24"/>
          <w:szCs w:val="24"/>
        </w:rPr>
      </w:pPr>
      <w:r>
        <w:rPr>
          <w:rFonts w:ascii="宋体" w:hAnsi="宋体" w:eastAsia="宋体" w:cs="宋体"/>
          <w:spacing w:val="-2"/>
          <w:sz w:val="24"/>
          <w:szCs w:val="24"/>
        </w:rPr>
        <w:t>选择低运行成本的处理工艺；应慎重选用物化处理工艺。</w:t>
      </w:r>
    </w:p>
    <w:p w14:paraId="420A6998">
      <w:pPr>
        <w:spacing w:before="183" w:line="360" w:lineRule="auto"/>
        <w:ind w:left="44" w:right="29" w:firstLine="473"/>
        <w:rPr>
          <w:rFonts w:ascii="宋体" w:hAnsi="宋体" w:eastAsia="宋体" w:cs="宋体"/>
          <w:sz w:val="24"/>
          <w:szCs w:val="24"/>
        </w:rPr>
      </w:pPr>
      <w:r>
        <w:rPr>
          <w:rFonts w:ascii="宋体" w:hAnsi="宋体" w:eastAsia="宋体" w:cs="宋体"/>
          <w:spacing w:val="-3"/>
          <w:sz w:val="24"/>
          <w:szCs w:val="24"/>
        </w:rPr>
        <w:t>②养殖规模在存栏（以猪计）</w:t>
      </w:r>
      <w:r>
        <w:rPr>
          <w:rFonts w:ascii="Times New Roman" w:hAnsi="Times New Roman" w:eastAsia="Times New Roman" w:cs="Times New Roman"/>
          <w:spacing w:val="-3"/>
          <w:sz w:val="24"/>
          <w:szCs w:val="24"/>
        </w:rPr>
        <w:t>2000</w:t>
      </w:r>
      <w:r>
        <w:rPr>
          <w:rFonts w:ascii="宋体" w:hAnsi="宋体" w:eastAsia="宋体" w:cs="宋体"/>
          <w:spacing w:val="-3"/>
          <w:sz w:val="24"/>
          <w:szCs w:val="24"/>
        </w:rPr>
        <w:t>头及以下的应尽可能采用模式Ⅰ或模式Ⅱ</w:t>
      </w:r>
      <w:r>
        <w:rPr>
          <w:rFonts w:ascii="宋体" w:hAnsi="宋体" w:eastAsia="宋体" w:cs="宋体"/>
          <w:spacing w:val="-2"/>
          <w:sz w:val="24"/>
          <w:szCs w:val="24"/>
        </w:rPr>
        <w:t>处理工艺；</w:t>
      </w:r>
      <w:r>
        <w:rPr>
          <w:rFonts w:ascii="宋体" w:hAnsi="宋体" w:eastAsia="宋体" w:cs="宋体"/>
          <w:b/>
          <w:bCs/>
          <w:spacing w:val="-2"/>
          <w:sz w:val="24"/>
          <w:szCs w:val="24"/>
        </w:rPr>
        <w:t>存栏（以猪计）</w:t>
      </w:r>
      <w:r>
        <w:rPr>
          <w:rFonts w:ascii="Times New Roman" w:hAnsi="Times New Roman" w:eastAsia="Times New Roman" w:cs="Times New Roman"/>
          <w:b/>
          <w:bCs/>
          <w:spacing w:val="-2"/>
          <w:sz w:val="24"/>
          <w:szCs w:val="24"/>
        </w:rPr>
        <w:t>10000</w:t>
      </w:r>
      <w:r>
        <w:rPr>
          <w:rFonts w:ascii="宋体" w:hAnsi="宋体" w:eastAsia="宋体" w:cs="宋体"/>
          <w:b/>
          <w:bCs/>
          <w:spacing w:val="-2"/>
          <w:sz w:val="24"/>
          <w:szCs w:val="24"/>
        </w:rPr>
        <w:t>头及以上的，宜采用模式Ⅲ处理工艺</w:t>
      </w:r>
      <w:r>
        <w:rPr>
          <w:rFonts w:ascii="宋体" w:hAnsi="宋体" w:eastAsia="宋体" w:cs="宋体"/>
          <w:spacing w:val="-2"/>
          <w:sz w:val="24"/>
          <w:szCs w:val="24"/>
        </w:rPr>
        <w:t>。</w:t>
      </w:r>
    </w:p>
    <w:p w14:paraId="2A93206F">
      <w:pPr>
        <w:spacing w:before="2" w:line="359" w:lineRule="auto"/>
        <w:ind w:left="40" w:right="29" w:firstLine="477"/>
        <w:rPr>
          <w:rFonts w:ascii="宋体" w:hAnsi="宋体" w:eastAsia="宋体" w:cs="宋体"/>
          <w:sz w:val="24"/>
          <w:szCs w:val="24"/>
        </w:rPr>
      </w:pPr>
      <w:r>
        <w:rPr>
          <w:rFonts w:ascii="宋体" w:hAnsi="宋体" w:eastAsia="宋体" w:cs="宋体"/>
          <w:spacing w:val="-3"/>
          <w:sz w:val="24"/>
          <w:szCs w:val="24"/>
        </w:rPr>
        <w:t>③采用模式Ⅰ或模式Ⅱ处理工艺的，养殖场应位于非环境敏感区，</w:t>
      </w:r>
      <w:r>
        <w:rPr>
          <w:rFonts w:ascii="宋体" w:hAnsi="宋体" w:eastAsia="宋体" w:cs="宋体"/>
          <w:spacing w:val="-4"/>
          <w:sz w:val="24"/>
          <w:szCs w:val="24"/>
        </w:rPr>
        <w:t>周围的环</w:t>
      </w:r>
      <w:r>
        <w:rPr>
          <w:rFonts w:ascii="宋体" w:hAnsi="宋体" w:eastAsia="宋体" w:cs="宋体"/>
          <w:spacing w:val="-10"/>
          <w:sz w:val="24"/>
          <w:szCs w:val="24"/>
        </w:rPr>
        <w:t>境容量大，远离城市，有能源需求，周边有足够土地能够消纳全部的</w:t>
      </w:r>
      <w:r>
        <w:rPr>
          <w:rFonts w:ascii="宋体" w:hAnsi="宋体" w:eastAsia="宋体" w:cs="宋体"/>
          <w:spacing w:val="-11"/>
          <w:sz w:val="24"/>
          <w:szCs w:val="24"/>
        </w:rPr>
        <w:t>沼液、沼渣。</w:t>
      </w:r>
    </w:p>
    <w:p w14:paraId="2C6D921C">
      <w:pPr>
        <w:spacing w:before="2" w:line="359" w:lineRule="auto"/>
        <w:ind w:left="39" w:right="29" w:firstLine="478"/>
        <w:rPr>
          <w:rFonts w:ascii="宋体" w:hAnsi="宋体" w:eastAsia="宋体" w:cs="宋体"/>
          <w:sz w:val="24"/>
          <w:szCs w:val="24"/>
        </w:rPr>
      </w:pPr>
      <w:r>
        <w:rPr>
          <w:rFonts w:ascii="宋体" w:hAnsi="宋体" w:eastAsia="宋体" w:cs="宋体"/>
          <w:spacing w:val="-3"/>
          <w:sz w:val="24"/>
          <w:szCs w:val="24"/>
        </w:rPr>
        <w:t>④干清粪工艺的养殖场，不宜采用模式Ⅰ处理工艺，固体粪便宜采</w:t>
      </w:r>
      <w:r>
        <w:rPr>
          <w:rFonts w:ascii="宋体" w:hAnsi="宋体" w:eastAsia="宋体" w:cs="宋体"/>
          <w:spacing w:val="-4"/>
          <w:sz w:val="24"/>
          <w:szCs w:val="24"/>
        </w:rPr>
        <w:t>用好氧堆</w:t>
      </w:r>
      <w:r>
        <w:rPr>
          <w:rFonts w:ascii="宋体" w:hAnsi="宋体" w:eastAsia="宋体" w:cs="宋体"/>
          <w:spacing w:val="-3"/>
          <w:sz w:val="24"/>
          <w:szCs w:val="24"/>
        </w:rPr>
        <w:t>肥等技术单独进行无害化处理。</w:t>
      </w:r>
    </w:p>
    <w:p w14:paraId="0E2AE230">
      <w:pPr>
        <w:spacing w:line="217" w:lineRule="auto"/>
        <w:ind w:left="517"/>
        <w:rPr>
          <w:rFonts w:ascii="宋体" w:hAnsi="宋体" w:eastAsia="宋体" w:cs="宋体"/>
          <w:sz w:val="24"/>
          <w:szCs w:val="24"/>
        </w:rPr>
      </w:pPr>
      <w:r>
        <w:rPr>
          <w:rFonts w:ascii="宋体" w:hAnsi="宋体" w:eastAsia="宋体" w:cs="宋体"/>
          <w:spacing w:val="-1"/>
          <w:sz w:val="24"/>
          <w:szCs w:val="24"/>
        </w:rPr>
        <w:t>⑤当采用干清粪工艺时，清粪比例宜控制在</w:t>
      </w:r>
      <w:r>
        <w:rPr>
          <w:rFonts w:ascii="Times New Roman" w:hAnsi="Times New Roman" w:eastAsia="Times New Roman" w:cs="Times New Roman"/>
          <w:spacing w:val="-1"/>
          <w:sz w:val="24"/>
          <w:szCs w:val="24"/>
        </w:rPr>
        <w:t>70%</w:t>
      </w:r>
      <w:r>
        <w:rPr>
          <w:rFonts w:ascii="宋体" w:hAnsi="宋体" w:eastAsia="宋体" w:cs="宋体"/>
          <w:spacing w:val="-1"/>
          <w:sz w:val="24"/>
          <w:szCs w:val="24"/>
        </w:rPr>
        <w:t>。</w:t>
      </w:r>
    </w:p>
    <w:p w14:paraId="5DD3D6EF">
      <w:pPr>
        <w:spacing w:before="187" w:line="361" w:lineRule="auto"/>
        <w:ind w:left="40" w:right="41" w:firstLine="482"/>
        <w:jc w:val="both"/>
        <w:rPr>
          <w:rFonts w:ascii="宋体" w:hAnsi="宋体" w:eastAsia="宋体" w:cs="宋体"/>
          <w:sz w:val="24"/>
          <w:szCs w:val="24"/>
        </w:rPr>
      </w:pPr>
      <w:r>
        <w:rPr>
          <w:rFonts w:ascii="宋体" w:hAnsi="宋体" w:eastAsia="宋体" w:cs="宋体"/>
          <w:b/>
          <w:bCs/>
          <w:spacing w:val="-2"/>
          <w:sz w:val="24"/>
          <w:szCs w:val="24"/>
        </w:rPr>
        <w:t>本项目存栏量为</w:t>
      </w:r>
      <w:r>
        <w:rPr>
          <w:rFonts w:ascii="Times New Roman" w:hAnsi="Times New Roman" w:eastAsia="Times New Roman" w:cs="Times New Roman"/>
          <w:b/>
          <w:bCs/>
          <w:spacing w:val="-2"/>
          <w:sz w:val="24"/>
          <w:szCs w:val="24"/>
        </w:rPr>
        <w:t>52819</w:t>
      </w:r>
      <w:r>
        <w:rPr>
          <w:rFonts w:ascii="宋体" w:hAnsi="宋体" w:eastAsia="宋体" w:cs="宋体"/>
          <w:b/>
          <w:bCs/>
          <w:spacing w:val="-2"/>
          <w:sz w:val="24"/>
          <w:szCs w:val="24"/>
        </w:rPr>
        <w:t>头（折算</w:t>
      </w:r>
      <w:r>
        <w:rPr>
          <w:rFonts w:ascii="宋体" w:hAnsi="宋体" w:eastAsia="宋体" w:cs="宋体"/>
          <w:b/>
          <w:bCs/>
          <w:spacing w:val="-7"/>
          <w:sz w:val="24"/>
          <w:szCs w:val="24"/>
        </w:rPr>
        <w:t>），</w:t>
      </w:r>
      <w:r>
        <w:rPr>
          <w:rFonts w:ascii="宋体" w:hAnsi="宋体" w:eastAsia="宋体" w:cs="宋体"/>
          <w:b/>
          <w:bCs/>
          <w:spacing w:val="-2"/>
          <w:sz w:val="24"/>
          <w:szCs w:val="24"/>
        </w:rPr>
        <w:t>并考虑项目所在地沼气能源需求、消纳</w:t>
      </w:r>
      <w:r>
        <w:rPr>
          <w:rFonts w:ascii="宋体" w:hAnsi="宋体" w:eastAsia="宋体" w:cs="宋体"/>
          <w:b/>
          <w:bCs/>
          <w:spacing w:val="8"/>
          <w:sz w:val="24"/>
          <w:szCs w:val="24"/>
        </w:rPr>
        <w:t>土地分布等实际情况，本项目拟采用《畜禽养殖业污染治理工程技术规范》</w:t>
      </w:r>
      <w:r>
        <w:rPr>
          <w:rFonts w:ascii="宋体" w:hAnsi="宋体" w:eastAsia="宋体" w:cs="宋体"/>
          <w:spacing w:val="16"/>
          <w:sz w:val="24"/>
          <w:szCs w:val="24"/>
        </w:rPr>
        <w:t xml:space="preserve"> </w:t>
      </w: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HJ497-2009</w:t>
      </w:r>
      <w:r>
        <w:rPr>
          <w:rFonts w:ascii="宋体" w:hAnsi="宋体" w:eastAsia="宋体" w:cs="宋体"/>
          <w:b/>
          <w:bCs/>
          <w:spacing w:val="-3"/>
          <w:sz w:val="24"/>
          <w:szCs w:val="24"/>
        </w:rPr>
        <w:t>）的模式Ⅲ工艺处理养殖废水，综合利用，不外排。</w:t>
      </w:r>
    </w:p>
    <w:p w14:paraId="4903E9EA">
      <w:pPr>
        <w:spacing w:before="52" w:line="225"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5.2.2.2 </w:t>
      </w:r>
      <w:r>
        <w:rPr>
          <w:rFonts w:ascii="宋体" w:hAnsi="宋体" w:eastAsia="宋体" w:cs="宋体"/>
          <w:b/>
          <w:bCs/>
          <w:spacing w:val="5"/>
          <w:sz w:val="27"/>
          <w:szCs w:val="27"/>
        </w:rPr>
        <w:t>本项目拟采取废水处理工艺</w:t>
      </w:r>
    </w:p>
    <w:p w14:paraId="6ECED1C9">
      <w:pPr>
        <w:spacing w:before="236" w:line="360" w:lineRule="auto"/>
        <w:ind w:left="40" w:right="29" w:firstLine="479"/>
        <w:jc w:val="both"/>
        <w:rPr>
          <w:rFonts w:ascii="宋体" w:hAnsi="宋体" w:eastAsia="宋体" w:cs="宋体"/>
          <w:sz w:val="24"/>
          <w:szCs w:val="24"/>
        </w:rPr>
      </w:pPr>
      <w:r>
        <w:rPr>
          <w:rFonts w:ascii="宋体" w:hAnsi="宋体" w:eastAsia="宋体" w:cs="宋体"/>
          <w:spacing w:val="2"/>
          <w:sz w:val="24"/>
          <w:szCs w:val="24"/>
        </w:rPr>
        <w:t>本项目污水处理站设计采取“粪污收集池</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固液分离</w:t>
      </w:r>
      <w:r>
        <w:rPr>
          <w:rFonts w:ascii="Times New Roman" w:hAnsi="Times New Roman" w:eastAsia="Times New Roman" w:cs="Times New Roman"/>
          <w:spacing w:val="1"/>
          <w:sz w:val="24"/>
          <w:szCs w:val="24"/>
        </w:rPr>
        <w:t>+</w:t>
      </w:r>
      <w:r>
        <w:rPr>
          <w:rFonts w:ascii="宋体" w:hAnsi="宋体" w:eastAsia="宋体" w:cs="宋体"/>
          <w:spacing w:val="1"/>
          <w:sz w:val="24"/>
          <w:szCs w:val="24"/>
        </w:rPr>
        <w:t>水解酸化池</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CSTR</w:t>
      </w:r>
      <w:r>
        <w:rPr>
          <w:rFonts w:ascii="宋体" w:hAnsi="宋体" w:eastAsia="宋体" w:cs="宋体"/>
          <w:spacing w:val="1"/>
          <w:sz w:val="24"/>
          <w:szCs w:val="24"/>
        </w:rPr>
        <w:t>厌氧反应器</w:t>
      </w:r>
      <w:r>
        <w:rPr>
          <w:rFonts w:ascii="Times New Roman" w:hAnsi="Times New Roman" w:eastAsia="Times New Roman" w:cs="Times New Roman"/>
          <w:spacing w:val="1"/>
          <w:sz w:val="24"/>
          <w:szCs w:val="24"/>
        </w:rPr>
        <w:t>+</w:t>
      </w:r>
      <w:r>
        <w:rPr>
          <w:rFonts w:ascii="宋体" w:hAnsi="宋体" w:eastAsia="宋体" w:cs="宋体"/>
          <w:spacing w:val="1"/>
          <w:sz w:val="24"/>
          <w:szCs w:val="24"/>
        </w:rPr>
        <w:t>微生物曝氧塘</w:t>
      </w:r>
      <w:r>
        <w:rPr>
          <w:rFonts w:ascii="Times New Roman" w:hAnsi="Times New Roman" w:eastAsia="Times New Roman" w:cs="Times New Roman"/>
          <w:spacing w:val="1"/>
          <w:sz w:val="24"/>
          <w:szCs w:val="24"/>
        </w:rPr>
        <w:t>+</w:t>
      </w:r>
      <w:r>
        <w:rPr>
          <w:rFonts w:ascii="宋体" w:hAnsi="宋体" w:eastAsia="宋体" w:cs="宋体"/>
          <w:spacing w:val="1"/>
          <w:sz w:val="24"/>
          <w:szCs w:val="24"/>
        </w:rPr>
        <w:t>前置物化系统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2"/>
          <w:sz w:val="24"/>
          <w:szCs w:val="24"/>
        </w:rPr>
        <w:t>二级缺氧池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二级好氧池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消毒池”污水处理工艺，污水</w:t>
      </w:r>
      <w:r>
        <w:rPr>
          <w:rFonts w:ascii="宋体" w:hAnsi="宋体" w:eastAsia="宋体" w:cs="宋体"/>
          <w:spacing w:val="25"/>
          <w:sz w:val="24"/>
          <w:szCs w:val="24"/>
        </w:rPr>
        <w:t>处理站设计处理规模为</w:t>
      </w:r>
      <w:r>
        <w:rPr>
          <w:rFonts w:ascii="宋体" w:hAnsi="宋体" w:eastAsia="宋体" w:cs="宋体"/>
          <w:spacing w:val="-58"/>
          <w:sz w:val="24"/>
          <w:szCs w:val="24"/>
        </w:rPr>
        <w:t xml:space="preserve"> </w:t>
      </w:r>
      <w:r>
        <w:rPr>
          <w:rFonts w:ascii="Times New Roman" w:hAnsi="Times New Roman" w:eastAsia="Times New Roman" w:cs="Times New Roman"/>
          <w:spacing w:val="25"/>
          <w:sz w:val="24"/>
          <w:szCs w:val="24"/>
        </w:rPr>
        <w:t>500m</w:t>
      </w:r>
      <w:r>
        <w:rPr>
          <w:rFonts w:ascii="Times New Roman" w:hAnsi="Times New Roman" w:eastAsia="Times New Roman" w:cs="Times New Roman"/>
          <w:spacing w:val="25"/>
          <w:position w:val="10"/>
          <w:sz w:val="15"/>
          <w:szCs w:val="15"/>
        </w:rPr>
        <w:t>3</w:t>
      </w:r>
      <w:r>
        <w:rPr>
          <w:rFonts w:ascii="Times New Roman" w:hAnsi="Times New Roman" w:eastAsia="Times New Roman" w:cs="Times New Roman"/>
          <w:spacing w:val="25"/>
          <w:sz w:val="24"/>
          <w:szCs w:val="24"/>
        </w:rPr>
        <w:t xml:space="preserve">/d </w:t>
      </w:r>
      <w:r>
        <w:rPr>
          <w:rFonts w:ascii="宋体" w:hAnsi="宋体" w:eastAsia="宋体" w:cs="宋体"/>
          <w:spacing w:val="25"/>
          <w:sz w:val="24"/>
          <w:szCs w:val="24"/>
        </w:rPr>
        <w:t>。废水经处理达《农田灌溉水质标准》</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）表</w:t>
      </w:r>
      <w:r>
        <w:rPr>
          <w:rFonts w:ascii="Times New Roman" w:hAnsi="Times New Roman" w:eastAsia="Times New Roman" w:cs="Times New Roman"/>
          <w:spacing w:val="-1"/>
          <w:sz w:val="24"/>
          <w:szCs w:val="24"/>
        </w:rPr>
        <w:t>1</w:t>
      </w:r>
      <w:r>
        <w:rPr>
          <w:rFonts w:ascii="宋体" w:hAnsi="宋体" w:eastAsia="宋体" w:cs="宋体"/>
          <w:spacing w:val="-1"/>
          <w:sz w:val="24"/>
          <w:szCs w:val="24"/>
        </w:rPr>
        <w:t>旱地作物限值后作为消纳地灌溉用</w:t>
      </w:r>
      <w:r>
        <w:rPr>
          <w:rFonts w:ascii="宋体" w:hAnsi="宋体" w:eastAsia="宋体" w:cs="宋体"/>
          <w:spacing w:val="-2"/>
          <w:sz w:val="24"/>
          <w:szCs w:val="24"/>
        </w:rPr>
        <w:t>水利用，不外排。</w:t>
      </w:r>
    </w:p>
    <w:p w14:paraId="34C68D0A">
      <w:pPr>
        <w:spacing w:before="1" w:line="220" w:lineRule="auto"/>
        <w:ind w:left="521"/>
        <w:rPr>
          <w:rFonts w:ascii="宋体" w:hAnsi="宋体" w:eastAsia="宋体" w:cs="宋体"/>
          <w:sz w:val="24"/>
          <w:szCs w:val="24"/>
        </w:rPr>
      </w:pPr>
      <w:r>
        <w:rPr>
          <w:rFonts w:ascii="宋体" w:hAnsi="宋体" w:eastAsia="宋体" w:cs="宋体"/>
          <w:spacing w:val="-2"/>
          <w:sz w:val="24"/>
          <w:szCs w:val="24"/>
        </w:rPr>
        <w:t>污水处理工艺流程如图</w:t>
      </w:r>
      <w:r>
        <w:rPr>
          <w:rFonts w:ascii="Times New Roman" w:hAnsi="Times New Roman" w:eastAsia="Times New Roman" w:cs="Times New Roman"/>
          <w:spacing w:val="-2"/>
          <w:sz w:val="24"/>
          <w:szCs w:val="24"/>
        </w:rPr>
        <w:t>5.2-6</w:t>
      </w:r>
      <w:r>
        <w:rPr>
          <w:rFonts w:ascii="宋体" w:hAnsi="宋体" w:eastAsia="宋体" w:cs="宋体"/>
          <w:spacing w:val="-2"/>
          <w:sz w:val="24"/>
          <w:szCs w:val="24"/>
        </w:rPr>
        <w:t>所示。</w:t>
      </w:r>
    </w:p>
    <w:p w14:paraId="5294F376">
      <w:pPr>
        <w:spacing w:before="182"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）污水特征</w:t>
      </w:r>
    </w:p>
    <w:p w14:paraId="1BD81BD9">
      <w:pPr>
        <w:spacing w:before="182" w:line="360" w:lineRule="auto"/>
        <w:ind w:left="38" w:right="28" w:firstLine="480"/>
        <w:jc w:val="both"/>
        <w:rPr>
          <w:rFonts w:ascii="宋体" w:hAnsi="宋体" w:eastAsia="宋体" w:cs="宋体"/>
          <w:sz w:val="24"/>
          <w:szCs w:val="24"/>
        </w:rPr>
      </w:pPr>
      <w:r>
        <w:rPr>
          <w:rFonts w:ascii="宋体" w:hAnsi="宋体" w:eastAsia="宋体" w:cs="宋体"/>
          <w:spacing w:val="12"/>
          <w:sz w:val="24"/>
          <w:szCs w:val="24"/>
        </w:rPr>
        <w:t>根据对本项目污水产生来源及污染物的调查分析，养殖废水水质特点是</w:t>
      </w:r>
      <w:r>
        <w:rPr>
          <w:rFonts w:ascii="Times New Roman" w:hAnsi="Times New Roman" w:eastAsia="Times New Roman" w:cs="Times New Roman"/>
          <w:spacing w:val="-14"/>
          <w:sz w:val="24"/>
          <w:szCs w:val="24"/>
        </w:rPr>
        <w:t>COD</w:t>
      </w:r>
      <w:r>
        <w:rPr>
          <w:rFonts w:ascii="宋体" w:hAnsi="宋体" w:eastAsia="宋体" w:cs="宋体"/>
          <w:spacing w:val="-14"/>
          <w:sz w:val="24"/>
          <w:szCs w:val="24"/>
        </w:rPr>
        <w:t>、</w:t>
      </w:r>
      <w:r>
        <w:rPr>
          <w:rFonts w:ascii="Times New Roman" w:hAnsi="Times New Roman" w:eastAsia="Times New Roman" w:cs="Times New Roman"/>
          <w:spacing w:val="-14"/>
          <w:sz w:val="24"/>
          <w:szCs w:val="24"/>
        </w:rPr>
        <w:t>BOD</w:t>
      </w:r>
      <w:r>
        <w:rPr>
          <w:rFonts w:ascii="Times New Roman" w:hAnsi="Times New Roman" w:eastAsia="Times New Roman" w:cs="Times New Roman"/>
          <w:spacing w:val="8"/>
          <w:position w:val="-2"/>
          <w:sz w:val="15"/>
          <w:szCs w:val="15"/>
        </w:rPr>
        <w:t>5</w:t>
      </w:r>
      <w:r>
        <w:rPr>
          <w:rFonts w:ascii="宋体" w:hAnsi="宋体" w:eastAsia="宋体" w:cs="宋体"/>
          <w:spacing w:val="-19"/>
          <w:w w:val="95"/>
          <w:sz w:val="24"/>
          <w:szCs w:val="24"/>
        </w:rPr>
        <w:t>、</w:t>
      </w:r>
      <w:r>
        <w:rPr>
          <w:rFonts w:ascii="Times New Roman" w:hAnsi="Times New Roman" w:eastAsia="Times New Roman" w:cs="Times New Roman"/>
          <w:spacing w:val="-19"/>
          <w:w w:val="95"/>
          <w:sz w:val="24"/>
          <w:szCs w:val="24"/>
        </w:rPr>
        <w:t>NH</w:t>
      </w:r>
      <w:r>
        <w:rPr>
          <w:rFonts w:ascii="Times New Roman" w:hAnsi="Times New Roman" w:eastAsia="Times New Roman" w:cs="Times New Roman"/>
          <w:spacing w:val="2"/>
          <w:position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13"/>
          <w:sz w:val="24"/>
          <w:szCs w:val="24"/>
        </w:rPr>
        <w:t>、</w:t>
      </w:r>
      <w:r>
        <w:rPr>
          <w:rFonts w:ascii="Times New Roman" w:hAnsi="Times New Roman" w:eastAsia="Times New Roman" w:cs="Times New Roman"/>
          <w:spacing w:val="-13"/>
          <w:sz w:val="24"/>
          <w:szCs w:val="24"/>
        </w:rPr>
        <w:t>TP</w:t>
      </w:r>
      <w:r>
        <w:rPr>
          <w:rFonts w:ascii="宋体" w:hAnsi="宋体" w:eastAsia="宋体" w:cs="宋体"/>
          <w:spacing w:val="-13"/>
          <w:sz w:val="24"/>
          <w:szCs w:val="24"/>
        </w:rPr>
        <w:t>、</w:t>
      </w:r>
      <w:r>
        <w:rPr>
          <w:rFonts w:ascii="Times New Roman" w:hAnsi="Times New Roman" w:eastAsia="Times New Roman" w:cs="Times New Roman"/>
          <w:spacing w:val="-13"/>
          <w:sz w:val="24"/>
          <w:szCs w:val="24"/>
        </w:rPr>
        <w:t>TN</w:t>
      </w:r>
      <w:r>
        <w:rPr>
          <w:rFonts w:ascii="宋体" w:hAnsi="宋体" w:eastAsia="宋体" w:cs="宋体"/>
          <w:spacing w:val="-13"/>
          <w:sz w:val="24"/>
          <w:szCs w:val="24"/>
        </w:rPr>
        <w:t>较高，是一种较高浓度的有机污水。由于</w:t>
      </w:r>
      <w:r>
        <w:rPr>
          <w:rFonts w:ascii="Times New Roman" w:hAnsi="Times New Roman" w:eastAsia="Times New Roman" w:cs="Times New Roman"/>
          <w:spacing w:val="-13"/>
          <w:sz w:val="24"/>
          <w:szCs w:val="24"/>
        </w:rPr>
        <w:t>BOD</w:t>
      </w:r>
      <w:r>
        <w:rPr>
          <w:rFonts w:ascii="Times New Roman" w:hAnsi="Times New Roman" w:eastAsia="Times New Roman" w:cs="Times New Roman"/>
          <w:spacing w:val="9"/>
          <w:position w:val="-2"/>
          <w:sz w:val="15"/>
          <w:szCs w:val="15"/>
        </w:rPr>
        <w:t>5</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COD</w:t>
      </w:r>
      <w:r>
        <w:rPr>
          <w:rFonts w:ascii="宋体" w:hAnsi="宋体" w:eastAsia="宋体" w:cs="宋体"/>
          <w:spacing w:val="2"/>
          <w:sz w:val="24"/>
          <w:szCs w:val="24"/>
        </w:rPr>
        <w:t>接近</w:t>
      </w:r>
      <w:r>
        <w:rPr>
          <w:rFonts w:ascii="Times New Roman" w:hAnsi="Times New Roman" w:eastAsia="Times New Roman" w:cs="Times New Roman"/>
          <w:spacing w:val="2"/>
          <w:sz w:val="24"/>
          <w:szCs w:val="24"/>
        </w:rPr>
        <w:t>0.4</w:t>
      </w:r>
      <w:r>
        <w:rPr>
          <w:rFonts w:ascii="宋体" w:hAnsi="宋体" w:eastAsia="宋体" w:cs="宋体"/>
          <w:spacing w:val="2"/>
          <w:sz w:val="24"/>
          <w:szCs w:val="24"/>
        </w:rPr>
        <w:t>，属于易生物降解，该类污水可生化性好，采用生化处理方法能达到理</w:t>
      </w:r>
      <w:r>
        <w:rPr>
          <w:rFonts w:ascii="宋体" w:hAnsi="宋体" w:eastAsia="宋体" w:cs="宋体"/>
          <w:spacing w:val="-5"/>
          <w:sz w:val="24"/>
          <w:szCs w:val="24"/>
        </w:rPr>
        <w:t>想的处理效果。固液分离是养殖场污水处理的基础，</w:t>
      </w:r>
      <w:r>
        <w:rPr>
          <w:rFonts w:ascii="宋体" w:hAnsi="宋体" w:eastAsia="宋体" w:cs="宋体"/>
          <w:spacing w:val="-45"/>
          <w:sz w:val="24"/>
          <w:szCs w:val="24"/>
        </w:rPr>
        <w:t xml:space="preserve"> </w:t>
      </w:r>
      <w:r>
        <w:rPr>
          <w:rFonts w:ascii="宋体" w:hAnsi="宋体" w:eastAsia="宋体" w:cs="宋体"/>
          <w:spacing w:val="-5"/>
          <w:sz w:val="24"/>
          <w:szCs w:val="24"/>
        </w:rPr>
        <w:t>故需要在生化前设置</w:t>
      </w:r>
      <w:r>
        <w:rPr>
          <w:rFonts w:ascii="宋体" w:hAnsi="宋体" w:eastAsia="宋体" w:cs="宋体"/>
          <w:spacing w:val="-6"/>
          <w:sz w:val="24"/>
          <w:szCs w:val="24"/>
        </w:rPr>
        <w:t>预处理</w:t>
      </w:r>
      <w:r>
        <w:rPr>
          <w:rFonts w:ascii="宋体" w:hAnsi="宋体" w:eastAsia="宋体" w:cs="宋体"/>
          <w:spacing w:val="-2"/>
          <w:sz w:val="24"/>
          <w:szCs w:val="24"/>
        </w:rPr>
        <w:t>工艺，去除大部分的猪粪，以降低后续处理的负荷。</w:t>
      </w:r>
    </w:p>
    <w:p w14:paraId="14E48117">
      <w:pPr>
        <w:spacing w:line="360" w:lineRule="auto"/>
        <w:ind w:left="40" w:right="28" w:firstLine="480"/>
        <w:jc w:val="both"/>
        <w:rPr>
          <w:rFonts w:ascii="宋体" w:hAnsi="宋体" w:eastAsia="宋体" w:cs="宋体"/>
          <w:sz w:val="24"/>
          <w:szCs w:val="24"/>
        </w:rPr>
      </w:pPr>
      <w:r>
        <w:rPr>
          <w:rFonts w:ascii="宋体" w:hAnsi="宋体" w:eastAsia="宋体" w:cs="宋体"/>
          <w:spacing w:val="3"/>
          <w:sz w:val="24"/>
          <w:szCs w:val="24"/>
        </w:rPr>
        <w:t>主体处理工艺采用“水解酸化池</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CSTR</w:t>
      </w:r>
      <w:r>
        <w:rPr>
          <w:rFonts w:ascii="宋体" w:hAnsi="宋体" w:eastAsia="宋体" w:cs="宋体"/>
          <w:spacing w:val="3"/>
          <w:sz w:val="24"/>
          <w:szCs w:val="24"/>
        </w:rPr>
        <w:t>厌氧反应器</w:t>
      </w:r>
      <w:r>
        <w:rPr>
          <w:rFonts w:ascii="Times New Roman" w:hAnsi="Times New Roman" w:eastAsia="Times New Roman" w:cs="Times New Roman"/>
          <w:spacing w:val="3"/>
          <w:sz w:val="24"/>
          <w:szCs w:val="24"/>
        </w:rPr>
        <w:t>+</w:t>
      </w:r>
      <w:r>
        <w:rPr>
          <w:rFonts w:ascii="宋体" w:hAnsi="宋体" w:eastAsia="宋体" w:cs="宋体"/>
          <w:spacing w:val="3"/>
          <w:sz w:val="24"/>
          <w:szCs w:val="24"/>
        </w:rPr>
        <w:t>微生物曝氧塘</w:t>
      </w:r>
      <w:r>
        <w:rPr>
          <w:rFonts w:ascii="Times New Roman" w:hAnsi="Times New Roman" w:eastAsia="Times New Roman" w:cs="Times New Roman"/>
          <w:spacing w:val="2"/>
          <w:sz w:val="24"/>
          <w:szCs w:val="24"/>
        </w:rPr>
        <w:t>+</w:t>
      </w:r>
      <w:r>
        <w:rPr>
          <w:rFonts w:ascii="宋体" w:hAnsi="宋体" w:eastAsia="宋体" w:cs="宋体"/>
          <w:spacing w:val="2"/>
          <w:sz w:val="24"/>
          <w:szCs w:val="24"/>
        </w:rPr>
        <w:t>前置物</w:t>
      </w:r>
      <w:r>
        <w:rPr>
          <w:rFonts w:ascii="宋体" w:hAnsi="宋体" w:eastAsia="宋体" w:cs="宋体"/>
          <w:spacing w:val="1"/>
          <w:sz w:val="24"/>
          <w:szCs w:val="24"/>
        </w:rPr>
        <w:t>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二级沉</w:t>
      </w:r>
      <w:r>
        <w:rPr>
          <w:rFonts w:ascii="宋体" w:hAnsi="宋体" w:eastAsia="宋体" w:cs="宋体"/>
          <w:spacing w:val="-2"/>
          <w:sz w:val="24"/>
          <w:szCs w:val="24"/>
        </w:rPr>
        <w:t>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消毒池”工艺，以确保各种污染因子的稳定达标。</w:t>
      </w:r>
    </w:p>
    <w:p w14:paraId="419FCA7C">
      <w:pPr>
        <w:spacing w:before="1" w:line="220" w:lineRule="auto"/>
        <w:ind w:left="528"/>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2</w:t>
      </w:r>
      <w:r>
        <w:rPr>
          <w:rFonts w:ascii="宋体" w:hAnsi="宋体" w:eastAsia="宋体" w:cs="宋体"/>
          <w:b/>
          <w:bCs/>
          <w:spacing w:val="-6"/>
          <w:sz w:val="24"/>
          <w:szCs w:val="24"/>
        </w:rPr>
        <w:t>）预处理工艺</w:t>
      </w:r>
    </w:p>
    <w:p w14:paraId="52D6C4F3">
      <w:pPr>
        <w:spacing w:line="220" w:lineRule="auto"/>
        <w:rPr>
          <w:rFonts w:ascii="宋体" w:hAnsi="宋体" w:eastAsia="宋体" w:cs="宋体"/>
          <w:sz w:val="24"/>
          <w:szCs w:val="24"/>
        </w:rPr>
        <w:sectPr>
          <w:headerReference r:id="rId463" w:type="default"/>
          <w:footerReference r:id="rId464" w:type="default"/>
          <w:pgSz w:w="11905" w:h="16840"/>
          <w:pgMar w:top="1168" w:right="1768" w:bottom="1409" w:left="1770" w:header="828" w:footer="1244" w:gutter="0"/>
          <w:cols w:space="720" w:num="1"/>
        </w:sectPr>
      </w:pPr>
    </w:p>
    <w:p w14:paraId="15EB1C8C">
      <w:pPr>
        <w:pStyle w:val="2"/>
        <w:spacing w:line="357" w:lineRule="auto"/>
      </w:pPr>
    </w:p>
    <w:p w14:paraId="0E2612F0">
      <w:pPr>
        <w:spacing w:line="10736" w:lineRule="exact"/>
        <w:ind w:firstLine="21"/>
      </w:pPr>
      <w:r>
        <w:rPr>
          <w:position w:val="-214"/>
        </w:rPr>
        <w:drawing>
          <wp:inline distT="0" distB="0" distL="0" distR="0">
            <wp:extent cx="5288915" cy="681672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588"/>
                    <a:stretch>
                      <a:fillRect/>
                    </a:stretch>
                  </pic:blipFill>
                  <pic:spPr>
                    <a:xfrm>
                      <a:off x="0" y="0"/>
                      <a:ext cx="5289041" cy="6817359"/>
                    </a:xfrm>
                    <a:prstGeom prst="rect">
                      <a:avLst/>
                    </a:prstGeom>
                  </pic:spPr>
                </pic:pic>
              </a:graphicData>
            </a:graphic>
          </wp:inline>
        </w:drawing>
      </w:r>
    </w:p>
    <w:p w14:paraId="3264692E">
      <w:pPr>
        <w:spacing w:before="223" w:line="221" w:lineRule="auto"/>
        <w:ind w:left="2856"/>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39"/>
          <w:sz w:val="21"/>
          <w:szCs w:val="21"/>
        </w:rPr>
        <w:t xml:space="preserve"> </w:t>
      </w:r>
      <w:r>
        <w:rPr>
          <w:rFonts w:ascii="Times New Roman" w:hAnsi="Times New Roman" w:eastAsia="Times New Roman" w:cs="Times New Roman"/>
          <w:spacing w:val="-2"/>
          <w:sz w:val="21"/>
          <w:szCs w:val="21"/>
        </w:rPr>
        <w:t xml:space="preserve">5.2-6  </w:t>
      </w:r>
      <w:r>
        <w:rPr>
          <w:rFonts w:ascii="黑体" w:hAnsi="黑体" w:eastAsia="黑体" w:cs="黑体"/>
          <w:spacing w:val="-2"/>
          <w:sz w:val="21"/>
          <w:szCs w:val="21"/>
        </w:rPr>
        <w:t>污水处理工艺流程图</w:t>
      </w:r>
    </w:p>
    <w:p w14:paraId="5C5722BE">
      <w:pPr>
        <w:spacing w:before="203" w:line="217" w:lineRule="auto"/>
        <w:ind w:left="518"/>
        <w:rPr>
          <w:rFonts w:ascii="宋体" w:hAnsi="宋体" w:eastAsia="宋体" w:cs="宋体"/>
          <w:sz w:val="24"/>
          <w:szCs w:val="24"/>
        </w:rPr>
      </w:pPr>
      <w:r>
        <w:rPr>
          <w:rFonts w:ascii="宋体" w:hAnsi="宋体" w:eastAsia="宋体" w:cs="宋体"/>
          <w:spacing w:val="-2"/>
          <w:sz w:val="24"/>
          <w:szCs w:val="24"/>
        </w:rPr>
        <w:t>①粪污收集池</w:t>
      </w:r>
    </w:p>
    <w:p w14:paraId="092D3797">
      <w:pPr>
        <w:spacing w:before="184" w:line="220" w:lineRule="auto"/>
        <w:ind w:left="527"/>
        <w:rPr>
          <w:rFonts w:ascii="宋体" w:hAnsi="宋体" w:eastAsia="宋体" w:cs="宋体"/>
          <w:sz w:val="24"/>
          <w:szCs w:val="24"/>
        </w:rPr>
      </w:pPr>
      <w:r>
        <w:rPr>
          <w:rFonts w:ascii="宋体" w:hAnsi="宋体" w:eastAsia="宋体" w:cs="宋体"/>
          <w:spacing w:val="-2"/>
          <w:sz w:val="24"/>
          <w:szCs w:val="24"/>
        </w:rPr>
        <w:t>收集池具有调节水量、水质等功能，保证后续设施的稳定连续运行。</w:t>
      </w:r>
    </w:p>
    <w:p w14:paraId="38B1F53A">
      <w:pPr>
        <w:spacing w:before="168" w:line="362" w:lineRule="auto"/>
        <w:ind w:left="40" w:firstLine="482"/>
        <w:rPr>
          <w:rFonts w:ascii="宋体" w:hAnsi="宋体" w:eastAsia="宋体" w:cs="宋体"/>
          <w:sz w:val="24"/>
          <w:szCs w:val="24"/>
        </w:rPr>
      </w:pPr>
      <w:r>
        <w:rPr>
          <w:rFonts w:ascii="宋体" w:hAnsi="宋体" w:eastAsia="宋体" w:cs="宋体"/>
          <w:b/>
          <w:bCs/>
          <w:spacing w:val="-2"/>
          <w:sz w:val="24"/>
          <w:szCs w:val="24"/>
        </w:rPr>
        <w:t>本项目粪污收集池为半地下式钢砼结构，池体容积</w:t>
      </w:r>
      <w:r>
        <w:rPr>
          <w:rFonts w:ascii="Times New Roman" w:hAnsi="Times New Roman" w:eastAsia="Times New Roman" w:cs="Times New Roman"/>
          <w:b/>
          <w:bCs/>
          <w:spacing w:val="-2"/>
          <w:sz w:val="24"/>
          <w:szCs w:val="24"/>
        </w:rPr>
        <w:t>600m</w:t>
      </w:r>
      <w:r>
        <w:rPr>
          <w:rFonts w:ascii="Times New Roman" w:hAnsi="Times New Roman" w:eastAsia="Times New Roman" w:cs="Times New Roman"/>
          <w:b/>
          <w:bCs/>
          <w:spacing w:val="-2"/>
          <w:position w:val="10"/>
          <w:sz w:val="15"/>
          <w:szCs w:val="15"/>
        </w:rPr>
        <w:t>3</w:t>
      </w:r>
      <w:r>
        <w:rPr>
          <w:rFonts w:ascii="Times New Roman" w:hAnsi="Times New Roman" w:eastAsia="Times New Roman" w:cs="Times New Roman"/>
          <w:b/>
          <w:bCs/>
          <w:spacing w:val="-6"/>
          <w:position w:val="10"/>
          <w:sz w:val="15"/>
          <w:szCs w:val="15"/>
        </w:rPr>
        <w:t xml:space="preserve"> </w:t>
      </w:r>
      <w:r>
        <w:rPr>
          <w:rFonts w:ascii="宋体" w:hAnsi="宋体" w:eastAsia="宋体" w:cs="宋体"/>
          <w:b/>
          <w:bCs/>
          <w:spacing w:val="-2"/>
          <w:sz w:val="24"/>
          <w:szCs w:val="24"/>
        </w:rPr>
        <w:t>，有效水深</w:t>
      </w:r>
      <w:r>
        <w:rPr>
          <w:rFonts w:ascii="Times New Roman" w:hAnsi="Times New Roman" w:eastAsia="Times New Roman" w:cs="Times New Roman"/>
          <w:b/>
          <w:bCs/>
          <w:spacing w:val="-3"/>
          <w:sz w:val="24"/>
          <w:szCs w:val="24"/>
        </w:rPr>
        <w:t>4.5m</w:t>
      </w:r>
      <w:r>
        <w:rPr>
          <w:rFonts w:ascii="宋体" w:hAnsi="宋体" w:eastAsia="宋体" w:cs="宋体"/>
          <w:b/>
          <w:bCs/>
          <w:spacing w:val="-3"/>
          <w:sz w:val="24"/>
          <w:szCs w:val="24"/>
        </w:rPr>
        <w:t>，</w:t>
      </w:r>
      <w:r>
        <w:rPr>
          <w:rFonts w:ascii="宋体" w:hAnsi="宋体" w:eastAsia="宋体" w:cs="宋体"/>
          <w:b/>
          <w:bCs/>
          <w:spacing w:val="-2"/>
          <w:sz w:val="24"/>
          <w:szCs w:val="24"/>
        </w:rPr>
        <w:t>有效容积</w:t>
      </w:r>
      <w:r>
        <w:rPr>
          <w:rFonts w:ascii="Times New Roman" w:hAnsi="Times New Roman" w:eastAsia="Times New Roman" w:cs="Times New Roman"/>
          <w:b/>
          <w:bCs/>
          <w:spacing w:val="-2"/>
          <w:sz w:val="24"/>
          <w:szCs w:val="24"/>
        </w:rPr>
        <w:t>540m</w:t>
      </w:r>
      <w:r>
        <w:rPr>
          <w:rFonts w:ascii="Times New Roman" w:hAnsi="Times New Roman" w:eastAsia="Times New Roman" w:cs="Times New Roman"/>
          <w:b/>
          <w:bCs/>
          <w:spacing w:val="-2"/>
          <w:position w:val="10"/>
          <w:sz w:val="15"/>
          <w:szCs w:val="15"/>
        </w:rPr>
        <w:t>3</w:t>
      </w:r>
      <w:r>
        <w:rPr>
          <w:rFonts w:ascii="宋体" w:hAnsi="宋体" w:eastAsia="宋体" w:cs="宋体"/>
          <w:b/>
          <w:bCs/>
          <w:spacing w:val="-2"/>
          <w:sz w:val="24"/>
          <w:szCs w:val="24"/>
        </w:rPr>
        <w:t>，停留时间</w:t>
      </w:r>
      <w:r>
        <w:rPr>
          <w:rFonts w:ascii="Times New Roman" w:hAnsi="Times New Roman" w:eastAsia="Times New Roman" w:cs="Times New Roman"/>
          <w:b/>
          <w:bCs/>
          <w:spacing w:val="-2"/>
          <w:sz w:val="24"/>
          <w:szCs w:val="24"/>
        </w:rPr>
        <w:t>2d</w:t>
      </w:r>
      <w:r>
        <w:rPr>
          <w:rFonts w:ascii="宋体" w:hAnsi="宋体" w:eastAsia="宋体" w:cs="宋体"/>
          <w:b/>
          <w:bCs/>
          <w:spacing w:val="-2"/>
          <w:sz w:val="24"/>
          <w:szCs w:val="24"/>
        </w:rPr>
        <w:t>。</w:t>
      </w:r>
    </w:p>
    <w:p w14:paraId="424E2A4B">
      <w:pPr>
        <w:spacing w:before="10" w:line="217" w:lineRule="auto"/>
        <w:ind w:left="517"/>
        <w:rPr>
          <w:rFonts w:ascii="宋体" w:hAnsi="宋体" w:eastAsia="宋体" w:cs="宋体"/>
          <w:sz w:val="24"/>
          <w:szCs w:val="24"/>
        </w:rPr>
      </w:pPr>
      <w:r>
        <w:rPr>
          <w:rFonts w:ascii="宋体" w:hAnsi="宋体" w:eastAsia="宋体" w:cs="宋体"/>
          <w:spacing w:val="-1"/>
          <w:sz w:val="24"/>
          <w:szCs w:val="24"/>
        </w:rPr>
        <w:t>②两级固液分离</w:t>
      </w:r>
    </w:p>
    <w:p w14:paraId="0127F4CE">
      <w:pPr>
        <w:spacing w:line="217" w:lineRule="auto"/>
        <w:rPr>
          <w:rFonts w:ascii="宋体" w:hAnsi="宋体" w:eastAsia="宋体" w:cs="宋体"/>
          <w:sz w:val="24"/>
          <w:szCs w:val="24"/>
        </w:rPr>
        <w:sectPr>
          <w:headerReference r:id="rId465" w:type="default"/>
          <w:footerReference r:id="rId466" w:type="default"/>
          <w:pgSz w:w="11905" w:h="16840"/>
          <w:pgMar w:top="1168" w:right="1732" w:bottom="1409" w:left="1770" w:header="828" w:footer="1244" w:gutter="0"/>
          <w:cols w:space="720" w:num="1"/>
        </w:sectPr>
      </w:pPr>
    </w:p>
    <w:p w14:paraId="2F113927">
      <w:pPr>
        <w:pStyle w:val="2"/>
        <w:spacing w:line="306" w:lineRule="auto"/>
      </w:pPr>
    </w:p>
    <w:p w14:paraId="24DC7A5C">
      <w:pPr>
        <w:spacing w:before="78" w:line="360" w:lineRule="auto"/>
        <w:ind w:left="39" w:right="187" w:firstLine="500"/>
        <w:jc w:val="both"/>
        <w:rPr>
          <w:rFonts w:ascii="宋体" w:hAnsi="宋体" w:eastAsia="宋体" w:cs="宋体"/>
          <w:sz w:val="24"/>
          <w:szCs w:val="24"/>
        </w:rPr>
      </w:pPr>
      <w:r>
        <w:rPr>
          <w:rFonts w:ascii="宋体" w:hAnsi="宋体" w:eastAsia="宋体" w:cs="宋体"/>
          <w:spacing w:val="3"/>
          <w:sz w:val="24"/>
          <w:szCs w:val="24"/>
        </w:rPr>
        <w:t>固液分离的目的在于分离污水中掺杂的猪粪，减少污水</w:t>
      </w:r>
      <w:r>
        <w:rPr>
          <w:rFonts w:ascii="Times New Roman" w:hAnsi="Times New Roman" w:eastAsia="Times New Roman" w:cs="Times New Roman"/>
          <w:sz w:val="24"/>
          <w:szCs w:val="24"/>
        </w:rPr>
        <w:t>SS</w:t>
      </w:r>
      <w:r>
        <w:rPr>
          <w:rFonts w:ascii="宋体" w:hAnsi="宋体" w:eastAsia="宋体" w:cs="宋体"/>
          <w:spacing w:val="3"/>
          <w:sz w:val="24"/>
          <w:szCs w:val="24"/>
        </w:rPr>
        <w:t>浓</w:t>
      </w:r>
      <w:r>
        <w:rPr>
          <w:rFonts w:ascii="宋体" w:hAnsi="宋体" w:eastAsia="宋体" w:cs="宋体"/>
          <w:spacing w:val="2"/>
          <w:sz w:val="24"/>
          <w:szCs w:val="24"/>
        </w:rPr>
        <w:t>度，提高后续</w:t>
      </w:r>
      <w:r>
        <w:rPr>
          <w:rFonts w:ascii="宋体" w:hAnsi="宋体" w:eastAsia="宋体" w:cs="宋体"/>
          <w:spacing w:val="3"/>
          <w:sz w:val="24"/>
          <w:szCs w:val="24"/>
        </w:rPr>
        <w:t>厌氧去除效率。如果分离效果太差，高</w:t>
      </w:r>
      <w:r>
        <w:rPr>
          <w:rFonts w:ascii="Times New Roman" w:hAnsi="Times New Roman" w:eastAsia="Times New Roman" w:cs="Times New Roman"/>
          <w:sz w:val="24"/>
          <w:szCs w:val="24"/>
        </w:rPr>
        <w:t>SS</w:t>
      </w:r>
      <w:r>
        <w:rPr>
          <w:rFonts w:ascii="宋体" w:hAnsi="宋体" w:eastAsia="宋体" w:cs="宋体"/>
          <w:spacing w:val="3"/>
          <w:sz w:val="24"/>
          <w:szCs w:val="24"/>
        </w:rPr>
        <w:t>污水将对后续生化处理带来很大的干</w:t>
      </w:r>
      <w:r>
        <w:rPr>
          <w:rFonts w:ascii="宋体" w:hAnsi="宋体" w:eastAsia="宋体" w:cs="宋体"/>
          <w:spacing w:val="-4"/>
          <w:sz w:val="24"/>
          <w:szCs w:val="24"/>
        </w:rPr>
        <w:t>扰，占据反应器的有效容积。</w:t>
      </w:r>
    </w:p>
    <w:p w14:paraId="66BC867C">
      <w:pPr>
        <w:spacing w:line="219"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）水解酸化池</w:t>
      </w:r>
    </w:p>
    <w:p w14:paraId="202D7C96">
      <w:pPr>
        <w:spacing w:before="182" w:line="219" w:lineRule="auto"/>
        <w:ind w:left="519"/>
        <w:rPr>
          <w:rFonts w:ascii="宋体" w:hAnsi="宋体" w:eastAsia="宋体" w:cs="宋体"/>
          <w:sz w:val="24"/>
          <w:szCs w:val="24"/>
        </w:rPr>
      </w:pPr>
      <w:r>
        <w:rPr>
          <w:rFonts w:ascii="宋体" w:hAnsi="宋体" w:eastAsia="宋体" w:cs="宋体"/>
          <w:spacing w:val="-2"/>
          <w:sz w:val="24"/>
          <w:szCs w:val="24"/>
        </w:rPr>
        <w:t>通过水解作用，把水中难降解的大分子有机物转化为易降解的小分子。</w:t>
      </w:r>
    </w:p>
    <w:p w14:paraId="0E518B69">
      <w:pPr>
        <w:spacing w:before="168" w:line="362" w:lineRule="auto"/>
        <w:ind w:left="40" w:right="121" w:firstLine="482"/>
        <w:rPr>
          <w:rFonts w:ascii="宋体" w:hAnsi="宋体" w:eastAsia="宋体" w:cs="宋体"/>
          <w:sz w:val="24"/>
          <w:szCs w:val="24"/>
        </w:rPr>
      </w:pPr>
      <w:r>
        <w:rPr>
          <w:rFonts w:ascii="宋体" w:hAnsi="宋体" w:eastAsia="宋体" w:cs="宋体"/>
          <w:b/>
          <w:bCs/>
          <w:spacing w:val="-2"/>
          <w:sz w:val="24"/>
          <w:szCs w:val="24"/>
        </w:rPr>
        <w:t>本项目水解酸化池为半地下式钢砼结构，池体容积</w:t>
      </w:r>
      <w:r>
        <w:rPr>
          <w:rFonts w:ascii="Times New Roman" w:hAnsi="Times New Roman" w:eastAsia="Times New Roman" w:cs="Times New Roman"/>
          <w:b/>
          <w:bCs/>
          <w:spacing w:val="-2"/>
          <w:sz w:val="24"/>
          <w:szCs w:val="24"/>
        </w:rPr>
        <w:t>450m</w:t>
      </w:r>
      <w:r>
        <w:rPr>
          <w:rFonts w:ascii="Times New Roman" w:hAnsi="Times New Roman" w:eastAsia="Times New Roman" w:cs="Times New Roman"/>
          <w:b/>
          <w:bCs/>
          <w:spacing w:val="-2"/>
          <w:position w:val="10"/>
          <w:sz w:val="15"/>
          <w:szCs w:val="15"/>
        </w:rPr>
        <w:t>3</w:t>
      </w:r>
      <w:r>
        <w:rPr>
          <w:rFonts w:ascii="Times New Roman" w:hAnsi="Times New Roman" w:eastAsia="Times New Roman" w:cs="Times New Roman"/>
          <w:b/>
          <w:bCs/>
          <w:spacing w:val="-6"/>
          <w:position w:val="10"/>
          <w:sz w:val="15"/>
          <w:szCs w:val="15"/>
        </w:rPr>
        <w:t xml:space="preserve"> </w:t>
      </w:r>
      <w:r>
        <w:rPr>
          <w:rFonts w:ascii="宋体" w:hAnsi="宋体" w:eastAsia="宋体" w:cs="宋体"/>
          <w:b/>
          <w:bCs/>
          <w:spacing w:val="-2"/>
          <w:sz w:val="24"/>
          <w:szCs w:val="24"/>
        </w:rPr>
        <w:t>，有效水深</w:t>
      </w:r>
      <w:r>
        <w:rPr>
          <w:rFonts w:ascii="Times New Roman" w:hAnsi="Times New Roman" w:eastAsia="Times New Roman" w:cs="Times New Roman"/>
          <w:b/>
          <w:bCs/>
          <w:spacing w:val="-3"/>
          <w:sz w:val="24"/>
          <w:szCs w:val="24"/>
        </w:rPr>
        <w:t>4.5m</w:t>
      </w:r>
      <w:r>
        <w:rPr>
          <w:rFonts w:ascii="宋体" w:hAnsi="宋体" w:eastAsia="宋体" w:cs="宋体"/>
          <w:b/>
          <w:bCs/>
          <w:spacing w:val="-3"/>
          <w:sz w:val="24"/>
          <w:szCs w:val="24"/>
        </w:rPr>
        <w:t>，</w:t>
      </w:r>
      <w:r>
        <w:rPr>
          <w:rFonts w:ascii="宋体" w:hAnsi="宋体" w:eastAsia="宋体" w:cs="宋体"/>
          <w:b/>
          <w:bCs/>
          <w:spacing w:val="-2"/>
          <w:sz w:val="24"/>
          <w:szCs w:val="24"/>
        </w:rPr>
        <w:t>有效容积</w:t>
      </w:r>
      <w:r>
        <w:rPr>
          <w:rFonts w:ascii="Times New Roman" w:hAnsi="Times New Roman" w:eastAsia="Times New Roman" w:cs="Times New Roman"/>
          <w:b/>
          <w:bCs/>
          <w:spacing w:val="-2"/>
          <w:sz w:val="24"/>
          <w:szCs w:val="24"/>
        </w:rPr>
        <w:t>405m</w:t>
      </w:r>
      <w:r>
        <w:rPr>
          <w:rFonts w:ascii="Times New Roman" w:hAnsi="Times New Roman" w:eastAsia="Times New Roman" w:cs="Times New Roman"/>
          <w:b/>
          <w:bCs/>
          <w:spacing w:val="-2"/>
          <w:position w:val="10"/>
          <w:sz w:val="15"/>
          <w:szCs w:val="15"/>
        </w:rPr>
        <w:t>3</w:t>
      </w:r>
      <w:r>
        <w:rPr>
          <w:rFonts w:ascii="宋体" w:hAnsi="宋体" w:eastAsia="宋体" w:cs="宋体"/>
          <w:b/>
          <w:bCs/>
          <w:spacing w:val="-2"/>
          <w:sz w:val="24"/>
          <w:szCs w:val="24"/>
        </w:rPr>
        <w:t>，停留时间</w:t>
      </w:r>
      <w:r>
        <w:rPr>
          <w:rFonts w:ascii="Times New Roman" w:hAnsi="Times New Roman" w:eastAsia="Times New Roman" w:cs="Times New Roman"/>
          <w:b/>
          <w:bCs/>
          <w:spacing w:val="-2"/>
          <w:sz w:val="24"/>
          <w:szCs w:val="24"/>
        </w:rPr>
        <w:t>1d</w:t>
      </w:r>
      <w:r>
        <w:rPr>
          <w:rFonts w:ascii="宋体" w:hAnsi="宋体" w:eastAsia="宋体" w:cs="宋体"/>
          <w:b/>
          <w:bCs/>
          <w:spacing w:val="-2"/>
          <w:sz w:val="24"/>
          <w:szCs w:val="24"/>
        </w:rPr>
        <w:t>。</w:t>
      </w:r>
    </w:p>
    <w:p w14:paraId="1FA721F3">
      <w:pPr>
        <w:spacing w:before="9" w:line="219" w:lineRule="auto"/>
        <w:ind w:left="528"/>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CSTR</w:t>
      </w:r>
      <w:r>
        <w:rPr>
          <w:rFonts w:ascii="宋体" w:hAnsi="宋体" w:eastAsia="宋体" w:cs="宋体"/>
          <w:b/>
          <w:bCs/>
          <w:spacing w:val="-3"/>
          <w:sz w:val="24"/>
          <w:szCs w:val="24"/>
        </w:rPr>
        <w:t>厌氧反应器</w:t>
      </w:r>
    </w:p>
    <w:p w14:paraId="7DF736BD">
      <w:pPr>
        <w:spacing w:before="184" w:line="357" w:lineRule="auto"/>
        <w:ind w:left="39" w:right="186" w:firstLine="482"/>
        <w:jc w:val="both"/>
        <w:rPr>
          <w:rFonts w:ascii="宋体" w:hAnsi="宋体" w:eastAsia="宋体" w:cs="宋体"/>
          <w:sz w:val="24"/>
          <w:szCs w:val="24"/>
        </w:rPr>
      </w:pPr>
      <w:r>
        <w:rPr>
          <w:rFonts w:ascii="Times New Roman" w:hAnsi="Times New Roman" w:eastAsia="Times New Roman" w:cs="Times New Roman"/>
          <w:b/>
          <w:bCs/>
          <w:spacing w:val="-1"/>
          <w:sz w:val="24"/>
          <w:szCs w:val="24"/>
        </w:rPr>
        <w:t>CSTR</w:t>
      </w:r>
      <w:r>
        <w:rPr>
          <w:rFonts w:ascii="宋体" w:hAnsi="宋体" w:eastAsia="宋体" w:cs="宋体"/>
          <w:b/>
          <w:bCs/>
          <w:spacing w:val="-1"/>
          <w:sz w:val="24"/>
          <w:szCs w:val="24"/>
        </w:rPr>
        <w:t>厌氧反应器的反应原理</w:t>
      </w:r>
      <w:r>
        <w:rPr>
          <w:rFonts w:ascii="宋体" w:hAnsi="宋体" w:eastAsia="宋体" w:cs="宋体"/>
          <w:spacing w:val="-1"/>
          <w:sz w:val="24"/>
          <w:szCs w:val="24"/>
        </w:rPr>
        <w:t>：</w:t>
      </w:r>
      <w:r>
        <w:rPr>
          <w:rFonts w:ascii="Times New Roman" w:hAnsi="Times New Roman" w:eastAsia="Times New Roman" w:cs="Times New Roman"/>
          <w:spacing w:val="-1"/>
          <w:sz w:val="24"/>
          <w:szCs w:val="24"/>
        </w:rPr>
        <w:t>CSTR</w:t>
      </w:r>
      <w:r>
        <w:rPr>
          <w:rFonts w:ascii="宋体" w:hAnsi="宋体" w:eastAsia="宋体" w:cs="宋体"/>
          <w:spacing w:val="-1"/>
          <w:sz w:val="24"/>
          <w:szCs w:val="24"/>
        </w:rPr>
        <w:t>也称连续搅拌反应器系统，或全混合厌氧反应器</w:t>
      </w:r>
      <w:r>
        <w:rPr>
          <w:rFonts w:ascii="Times New Roman" w:hAnsi="Times New Roman" w:eastAsia="Times New Roman" w:cs="Times New Roman"/>
          <w:spacing w:val="-1"/>
          <w:sz w:val="24"/>
          <w:szCs w:val="24"/>
        </w:rPr>
        <w:t>(</w:t>
      </w:r>
      <w:r>
        <w:rPr>
          <w:rFonts w:ascii="宋体" w:hAnsi="宋体" w:eastAsia="宋体" w:cs="宋体"/>
          <w:spacing w:val="-1"/>
          <w:sz w:val="24"/>
          <w:szCs w:val="24"/>
        </w:rPr>
        <w:t>连续搅拌槽式反应器</w:t>
      </w:r>
      <w:r>
        <w:rPr>
          <w:rFonts w:ascii="Times New Roman" w:hAnsi="Times New Roman" w:eastAsia="Times New Roman" w:cs="Times New Roman"/>
          <w:spacing w:val="-1"/>
          <w:sz w:val="24"/>
          <w:szCs w:val="24"/>
        </w:rPr>
        <w:t>)</w:t>
      </w:r>
      <w:r>
        <w:rPr>
          <w:rFonts w:ascii="宋体" w:hAnsi="宋体" w:eastAsia="宋体" w:cs="宋体"/>
          <w:spacing w:val="-1"/>
          <w:sz w:val="24"/>
          <w:szCs w:val="24"/>
        </w:rPr>
        <w:t>，是一种使发酵原料和微生物处于完全混合状</w:t>
      </w:r>
      <w:r>
        <w:rPr>
          <w:rFonts w:ascii="宋体" w:hAnsi="宋体" w:eastAsia="宋体" w:cs="宋体"/>
          <w:spacing w:val="-5"/>
          <w:sz w:val="24"/>
          <w:szCs w:val="24"/>
        </w:rPr>
        <w:t>态的厌氧处理技术。</w:t>
      </w:r>
    </w:p>
    <w:p w14:paraId="1D1FE8FE">
      <w:pPr>
        <w:spacing w:before="11" w:line="360" w:lineRule="auto"/>
        <w:ind w:left="40" w:firstLine="482"/>
        <w:jc w:val="both"/>
        <w:rPr>
          <w:rFonts w:ascii="宋体" w:hAnsi="宋体" w:eastAsia="宋体" w:cs="宋体"/>
          <w:sz w:val="24"/>
          <w:szCs w:val="24"/>
        </w:rPr>
      </w:pPr>
      <w:r>
        <w:rPr>
          <w:rFonts w:ascii="宋体" w:hAnsi="宋体" w:eastAsia="宋体" w:cs="宋体"/>
          <w:spacing w:val="-5"/>
          <w:sz w:val="24"/>
          <w:szCs w:val="24"/>
        </w:rPr>
        <w:t>发酵和沼气生产过程是在一个封闭的罐内完成的。在消化池内设置搅拌装置，</w:t>
      </w:r>
      <w:r>
        <w:rPr>
          <w:rFonts w:ascii="宋体" w:hAnsi="宋体" w:eastAsia="宋体" w:cs="宋体"/>
          <w:spacing w:val="-1"/>
          <w:sz w:val="24"/>
          <w:szCs w:val="24"/>
        </w:rPr>
        <w:t>使发酵原料与微生物完全混合。进料方式采用恒温连续加料或半连续加料操作。</w:t>
      </w:r>
      <w:r>
        <w:rPr>
          <w:rFonts w:ascii="宋体" w:hAnsi="宋体" w:eastAsia="宋体" w:cs="宋体"/>
          <w:spacing w:val="-3"/>
          <w:sz w:val="24"/>
          <w:szCs w:val="24"/>
        </w:rPr>
        <w:t>由于搅拌作用的影响，新原料在发酵罐中迅速与所有发酵液中的细菌混合，使发酵基质浓度始终较低，以降解废水中的有机污染物，去除厌氧废水生物处理器中</w:t>
      </w:r>
      <w:r>
        <w:rPr>
          <w:rFonts w:ascii="宋体" w:hAnsi="宋体" w:eastAsia="宋体" w:cs="宋体"/>
          <w:spacing w:val="-8"/>
          <w:sz w:val="24"/>
          <w:szCs w:val="24"/>
        </w:rPr>
        <w:t>的悬浮物。</w:t>
      </w:r>
    </w:p>
    <w:p w14:paraId="093BA416">
      <w:pPr>
        <w:spacing w:line="360" w:lineRule="auto"/>
        <w:ind w:left="37" w:right="121" w:firstLine="482"/>
        <w:jc w:val="both"/>
        <w:rPr>
          <w:rFonts w:ascii="宋体" w:hAnsi="宋体" w:eastAsia="宋体" w:cs="宋体"/>
          <w:sz w:val="24"/>
          <w:szCs w:val="24"/>
        </w:rPr>
      </w:pPr>
      <w:r>
        <w:rPr>
          <w:rFonts w:ascii="宋体" w:hAnsi="宋体" w:eastAsia="宋体" w:cs="宋体"/>
          <w:spacing w:val="-3"/>
          <w:sz w:val="24"/>
          <w:szCs w:val="24"/>
        </w:rPr>
        <w:t>厌氧生物处理是利用厌氧性微生物的代谢特性，在不需提供外</w:t>
      </w:r>
      <w:r>
        <w:rPr>
          <w:rFonts w:ascii="宋体" w:hAnsi="宋体" w:eastAsia="宋体" w:cs="宋体"/>
          <w:spacing w:val="-4"/>
          <w:sz w:val="24"/>
          <w:szCs w:val="24"/>
        </w:rPr>
        <w:t>源能量的条件</w:t>
      </w:r>
      <w:r>
        <w:rPr>
          <w:rFonts w:ascii="宋体" w:hAnsi="宋体" w:eastAsia="宋体" w:cs="宋体"/>
          <w:spacing w:val="-3"/>
          <w:sz w:val="24"/>
          <w:szCs w:val="24"/>
        </w:rPr>
        <w:t>下，以被还原有机物作为受氢体，同时产生有能源价值的甲烷气体。厌氧生物处</w:t>
      </w:r>
      <w:r>
        <w:rPr>
          <w:rFonts w:ascii="宋体" w:hAnsi="宋体" w:eastAsia="宋体" w:cs="宋体"/>
          <w:spacing w:val="-1"/>
          <w:sz w:val="24"/>
          <w:szCs w:val="24"/>
        </w:rPr>
        <w:t>理法不仅适用于高浓度有机废水，也可适用于低浓度有机废水，如城市污水</w:t>
      </w:r>
      <w:r>
        <w:rPr>
          <w:rFonts w:ascii="宋体" w:hAnsi="宋体" w:eastAsia="宋体" w:cs="宋体"/>
          <w:spacing w:val="-2"/>
          <w:sz w:val="24"/>
          <w:szCs w:val="24"/>
        </w:rPr>
        <w:t>等，进水</w:t>
      </w:r>
      <w:r>
        <w:rPr>
          <w:rFonts w:ascii="Times New Roman" w:hAnsi="Times New Roman" w:eastAsia="Times New Roman" w:cs="Times New Roman"/>
          <w:spacing w:val="-2"/>
          <w:sz w:val="24"/>
          <w:szCs w:val="24"/>
        </w:rPr>
        <w:t>COD</w:t>
      </w:r>
      <w:r>
        <w:rPr>
          <w:rFonts w:ascii="宋体" w:hAnsi="宋体" w:eastAsia="宋体" w:cs="宋体"/>
          <w:spacing w:val="-2"/>
          <w:sz w:val="24"/>
          <w:szCs w:val="24"/>
        </w:rPr>
        <w:t>浓度范围为几百至几万毫克</w:t>
      </w:r>
      <w:r>
        <w:rPr>
          <w:rFonts w:ascii="Times New Roman" w:hAnsi="Times New Roman" w:eastAsia="Times New Roman" w:cs="Times New Roman"/>
          <w:spacing w:val="-2"/>
          <w:sz w:val="24"/>
          <w:szCs w:val="24"/>
        </w:rPr>
        <w:t>/</w:t>
      </w:r>
      <w:r>
        <w:rPr>
          <w:rFonts w:ascii="宋体" w:hAnsi="宋体" w:eastAsia="宋体" w:cs="宋体"/>
          <w:spacing w:val="-2"/>
          <w:sz w:val="24"/>
          <w:szCs w:val="24"/>
        </w:rPr>
        <w:t>升。</w:t>
      </w:r>
    </w:p>
    <w:p w14:paraId="79663BE5">
      <w:pPr>
        <w:spacing w:before="1" w:line="218" w:lineRule="auto"/>
        <w:ind w:left="522"/>
        <w:rPr>
          <w:rFonts w:ascii="宋体" w:hAnsi="宋体" w:eastAsia="宋体" w:cs="宋体"/>
          <w:sz w:val="24"/>
          <w:szCs w:val="24"/>
        </w:rPr>
      </w:pPr>
      <w:r>
        <w:rPr>
          <w:rFonts w:ascii="宋体" w:hAnsi="宋体" w:eastAsia="宋体" w:cs="宋体"/>
          <w:b/>
          <w:bCs/>
          <w:spacing w:val="-6"/>
          <w:sz w:val="24"/>
          <w:szCs w:val="24"/>
        </w:rPr>
        <w:t>厌氧微生物降解基本过程如下：</w:t>
      </w:r>
    </w:p>
    <w:p w14:paraId="001EF048">
      <w:pPr>
        <w:spacing w:before="184" w:line="217" w:lineRule="auto"/>
        <w:ind w:left="520"/>
        <w:rPr>
          <w:rFonts w:ascii="宋体" w:hAnsi="宋体" w:eastAsia="宋体" w:cs="宋体"/>
          <w:sz w:val="24"/>
          <w:szCs w:val="24"/>
        </w:rPr>
      </w:pPr>
      <w:r>
        <w:rPr>
          <w:rFonts w:ascii="宋体" w:hAnsi="宋体" w:eastAsia="宋体" w:cs="宋体"/>
          <w:b/>
          <w:bCs/>
          <w:spacing w:val="-4"/>
          <w:sz w:val="24"/>
          <w:szCs w:val="24"/>
        </w:rPr>
        <w:t>①水解阶段</w:t>
      </w:r>
    </w:p>
    <w:p w14:paraId="6285ED51">
      <w:pPr>
        <w:spacing w:before="184" w:line="360" w:lineRule="auto"/>
        <w:ind w:left="40" w:right="100" w:firstLine="481"/>
        <w:jc w:val="both"/>
        <w:rPr>
          <w:rFonts w:ascii="宋体" w:hAnsi="宋体" w:eastAsia="宋体" w:cs="宋体"/>
          <w:sz w:val="24"/>
          <w:szCs w:val="24"/>
        </w:rPr>
      </w:pPr>
      <w:r>
        <w:rPr>
          <w:rFonts w:ascii="宋体" w:hAnsi="宋体" w:eastAsia="宋体" w:cs="宋体"/>
          <w:spacing w:val="4"/>
          <w:sz w:val="24"/>
          <w:szCs w:val="24"/>
        </w:rPr>
        <w:t>水解阶段是非溶性的大分子化合物被转化为简单的小分子化合物或单体的</w:t>
      </w:r>
      <w:r>
        <w:rPr>
          <w:rFonts w:ascii="宋体" w:hAnsi="宋体" w:eastAsia="宋体" w:cs="宋体"/>
          <w:spacing w:val="-1"/>
          <w:sz w:val="24"/>
          <w:szCs w:val="24"/>
        </w:rPr>
        <w:t>过程。大分子有机化合物相对分子质量都比较大，不能被微生物直接吸收利用。</w:t>
      </w:r>
      <w:r>
        <w:rPr>
          <w:rFonts w:ascii="宋体" w:hAnsi="宋体" w:eastAsia="宋体" w:cs="宋体"/>
          <w:spacing w:val="-3"/>
          <w:sz w:val="24"/>
          <w:szCs w:val="24"/>
        </w:rPr>
        <w:t>这些大分子的有机化合物首先被转化为小分子化合物，这些小分子化合物就很容</w:t>
      </w:r>
      <w:r>
        <w:rPr>
          <w:rFonts w:ascii="宋体" w:hAnsi="宋体" w:eastAsia="宋体" w:cs="宋体"/>
          <w:spacing w:val="-2"/>
          <w:sz w:val="24"/>
          <w:szCs w:val="24"/>
        </w:rPr>
        <w:t>易被微生物利用。通常水解反应过程可用下式表示。</w:t>
      </w:r>
    </w:p>
    <w:p w14:paraId="1663805F">
      <w:pPr>
        <w:spacing w:before="2" w:line="371" w:lineRule="auto"/>
        <w:ind w:left="524" w:right="3059" w:firstLine="2381"/>
        <w:rPr>
          <w:rFonts w:ascii="宋体" w:hAnsi="宋体" w:eastAsia="宋体" w:cs="宋体"/>
          <w:sz w:val="24"/>
          <w:szCs w:val="24"/>
        </w:rPr>
      </w:pPr>
      <w:r>
        <w:rPr>
          <w:rFonts w:ascii="Times New Roman" w:hAnsi="Times New Roman" w:eastAsia="Times New Roman" w:cs="Times New Roman"/>
          <w:sz w:val="24"/>
          <w:szCs w:val="24"/>
        </w:rPr>
        <w:t>R-X+H</w:t>
      </w:r>
      <w:r>
        <w:rPr>
          <w:rFonts w:ascii="Times New Roman" w:hAnsi="Times New Roman" w:eastAsia="Times New Roman" w:cs="Times New Roman"/>
          <w:position w:val="-3"/>
          <w:sz w:val="15"/>
          <w:szCs w:val="15"/>
        </w:rPr>
        <w:t>2</w:t>
      </w:r>
      <w:r>
        <w:rPr>
          <w:rFonts w:ascii="Times New Roman" w:hAnsi="Times New Roman" w:eastAsia="Times New Roman" w:cs="Times New Roman"/>
          <w:sz w:val="24"/>
          <w:szCs w:val="24"/>
        </w:rPr>
        <w:t>O→R-OH+X</w:t>
      </w:r>
      <w:r>
        <w:rPr>
          <w:rFonts w:ascii="Times New Roman" w:hAnsi="Times New Roman" w:eastAsia="Times New Roman" w:cs="Times New Roman"/>
          <w:position w:val="10"/>
          <w:sz w:val="15"/>
          <w:szCs w:val="15"/>
        </w:rPr>
        <w:t>-</w:t>
      </w:r>
      <w:r>
        <w:rPr>
          <w:rFonts w:ascii="Times New Roman" w:hAnsi="Times New Roman" w:eastAsia="Times New Roman" w:cs="Times New Roman"/>
          <w:sz w:val="24"/>
          <w:szCs w:val="24"/>
        </w:rPr>
        <w:t>+H</w:t>
      </w:r>
      <w:r>
        <w:rPr>
          <w:rFonts w:ascii="Times New Roman" w:hAnsi="Times New Roman" w:eastAsia="Times New Roman" w:cs="Times New Roman"/>
          <w:position w:val="10"/>
          <w:sz w:val="15"/>
          <w:szCs w:val="15"/>
        </w:rPr>
        <w:t>+</w:t>
      </w:r>
      <w:r>
        <w:rPr>
          <w:rFonts w:ascii="宋体" w:hAnsi="宋体" w:eastAsia="宋体" w:cs="宋体"/>
          <w:spacing w:val="-1"/>
          <w:sz w:val="24"/>
          <w:szCs w:val="24"/>
        </w:rPr>
        <w:t>式中：</w:t>
      </w:r>
      <w:r>
        <w:rPr>
          <w:rFonts w:ascii="Times New Roman" w:hAnsi="Times New Roman" w:eastAsia="Times New Roman" w:cs="Times New Roman"/>
          <w:spacing w:val="-1"/>
          <w:sz w:val="24"/>
          <w:szCs w:val="24"/>
        </w:rPr>
        <w:t>R—</w:t>
      </w:r>
      <w:r>
        <w:rPr>
          <w:rFonts w:ascii="宋体" w:hAnsi="宋体" w:eastAsia="宋体" w:cs="宋体"/>
          <w:spacing w:val="-1"/>
          <w:sz w:val="24"/>
          <w:szCs w:val="24"/>
        </w:rPr>
        <w:t>有机物分子的碳链主体</w:t>
      </w:r>
    </w:p>
    <w:p w14:paraId="19FA6108">
      <w:pPr>
        <w:spacing w:before="1" w:line="220" w:lineRule="auto"/>
        <w:ind w:left="1231"/>
        <w:rPr>
          <w:rFonts w:ascii="宋体" w:hAnsi="宋体" w:eastAsia="宋体" w:cs="宋体"/>
          <w:sz w:val="24"/>
          <w:szCs w:val="24"/>
        </w:rPr>
      </w:pPr>
      <w:r>
        <w:rPr>
          <w:rFonts w:ascii="Times New Roman" w:hAnsi="Times New Roman" w:eastAsia="Times New Roman" w:cs="Times New Roman"/>
          <w:spacing w:val="-1"/>
          <w:sz w:val="24"/>
          <w:szCs w:val="24"/>
        </w:rPr>
        <w:t>X—</w:t>
      </w:r>
      <w:r>
        <w:rPr>
          <w:rFonts w:ascii="宋体" w:hAnsi="宋体" w:eastAsia="宋体" w:cs="宋体"/>
          <w:spacing w:val="-1"/>
          <w:sz w:val="24"/>
          <w:szCs w:val="24"/>
        </w:rPr>
        <w:t>分子中的极性基团</w:t>
      </w:r>
    </w:p>
    <w:p w14:paraId="0B849833">
      <w:pPr>
        <w:spacing w:line="220" w:lineRule="auto"/>
        <w:rPr>
          <w:rFonts w:ascii="宋体" w:hAnsi="宋体" w:eastAsia="宋体" w:cs="宋体"/>
          <w:sz w:val="24"/>
          <w:szCs w:val="24"/>
        </w:rPr>
        <w:sectPr>
          <w:headerReference r:id="rId467" w:type="default"/>
          <w:footerReference r:id="rId468" w:type="default"/>
          <w:pgSz w:w="11905" w:h="16840"/>
          <w:pgMar w:top="1168" w:right="1611" w:bottom="1409" w:left="1770" w:header="828" w:footer="1244" w:gutter="0"/>
          <w:cols w:space="720" w:num="1"/>
        </w:sectPr>
      </w:pPr>
    </w:p>
    <w:p w14:paraId="1560723A">
      <w:pPr>
        <w:pStyle w:val="2"/>
        <w:spacing w:line="306" w:lineRule="auto"/>
      </w:pPr>
    </w:p>
    <w:p w14:paraId="7EBA2A83">
      <w:pPr>
        <w:spacing w:before="78" w:line="217" w:lineRule="auto"/>
        <w:ind w:left="519"/>
        <w:rPr>
          <w:rFonts w:ascii="宋体" w:hAnsi="宋体" w:eastAsia="宋体" w:cs="宋体"/>
          <w:sz w:val="24"/>
          <w:szCs w:val="24"/>
        </w:rPr>
      </w:pPr>
      <w:r>
        <w:rPr>
          <w:rFonts w:ascii="宋体" w:hAnsi="宋体" w:eastAsia="宋体" w:cs="宋体"/>
          <w:b/>
          <w:bCs/>
          <w:spacing w:val="-3"/>
          <w:sz w:val="24"/>
          <w:szCs w:val="24"/>
        </w:rPr>
        <w:t>②酸化阶段</w:t>
      </w:r>
    </w:p>
    <w:p w14:paraId="0ADDE074">
      <w:pPr>
        <w:spacing w:before="189" w:line="360" w:lineRule="auto"/>
        <w:ind w:left="38" w:right="2" w:firstLine="480"/>
        <w:jc w:val="both"/>
        <w:rPr>
          <w:rFonts w:ascii="宋体" w:hAnsi="宋体" w:eastAsia="宋体" w:cs="宋体"/>
          <w:sz w:val="24"/>
          <w:szCs w:val="24"/>
        </w:rPr>
      </w:pPr>
      <w:r>
        <w:rPr>
          <w:rFonts w:ascii="宋体" w:hAnsi="宋体" w:eastAsia="宋体" w:cs="宋体"/>
          <w:spacing w:val="-3"/>
          <w:sz w:val="24"/>
          <w:szCs w:val="24"/>
        </w:rPr>
        <w:t>在酸化过程中，微生物首先将小分子化合物转化为简单的物质，分</w:t>
      </w:r>
      <w:r>
        <w:rPr>
          <w:rFonts w:ascii="宋体" w:hAnsi="宋体" w:eastAsia="宋体" w:cs="宋体"/>
          <w:spacing w:val="-4"/>
          <w:sz w:val="24"/>
          <w:szCs w:val="24"/>
        </w:rPr>
        <w:t>泌到细胞</w:t>
      </w:r>
      <w:r>
        <w:rPr>
          <w:rFonts w:ascii="宋体" w:hAnsi="宋体" w:eastAsia="宋体" w:cs="宋体"/>
          <w:spacing w:val="-1"/>
          <w:sz w:val="24"/>
          <w:szCs w:val="24"/>
        </w:rPr>
        <w:t>外。这一阶段的最终产物主要有挥发性脂肪酸（</w:t>
      </w:r>
      <w:r>
        <w:rPr>
          <w:rFonts w:ascii="Times New Roman" w:hAnsi="Times New Roman" w:eastAsia="Times New Roman" w:cs="Times New Roman"/>
          <w:spacing w:val="-1"/>
          <w:sz w:val="24"/>
          <w:szCs w:val="24"/>
        </w:rPr>
        <w:t>VFA</w:t>
      </w:r>
      <w:r>
        <w:rPr>
          <w:rFonts w:ascii="宋体" w:hAnsi="宋体" w:eastAsia="宋体" w:cs="宋体"/>
          <w:spacing w:val="-1"/>
          <w:sz w:val="24"/>
          <w:szCs w:val="24"/>
        </w:rPr>
        <w:t>）、二氧化碳、氧气、氨、</w:t>
      </w:r>
      <w:r>
        <w:rPr>
          <w:rFonts w:ascii="宋体" w:hAnsi="宋体" w:eastAsia="宋体" w:cs="宋体"/>
          <w:spacing w:val="-6"/>
          <w:sz w:val="24"/>
          <w:szCs w:val="24"/>
        </w:rPr>
        <w:t>硫化氢等气体物质。同时， 厌氧发酵过程中，微生物也会合成</w:t>
      </w:r>
      <w:r>
        <w:rPr>
          <w:rFonts w:ascii="宋体" w:hAnsi="宋体" w:eastAsia="宋体" w:cs="宋体"/>
          <w:spacing w:val="-7"/>
          <w:sz w:val="24"/>
          <w:szCs w:val="24"/>
        </w:rPr>
        <w:t>新细胞进行自身的</w:t>
      </w:r>
      <w:r>
        <w:rPr>
          <w:rFonts w:ascii="宋体" w:hAnsi="宋体" w:eastAsia="宋体" w:cs="宋体"/>
          <w:spacing w:val="-3"/>
          <w:sz w:val="24"/>
          <w:szCs w:val="24"/>
        </w:rPr>
        <w:t>增殖，所以系统会产生剩余污泥。一般的底物在进行酸化反应时，部分氨基酸的分解是通过史提克兰德反应进行的，该反应需要两种氨基酸的参与，或者说它需</w:t>
      </w:r>
      <w:r>
        <w:rPr>
          <w:rFonts w:ascii="宋体" w:hAnsi="宋体" w:eastAsia="宋体" w:cs="宋体"/>
          <w:spacing w:val="2"/>
          <w:sz w:val="24"/>
          <w:szCs w:val="24"/>
        </w:rPr>
        <w:t>要和其他分子同时进行反应，其中一个氨基酸分子进行氧化脱氮，同时产生</w:t>
      </w:r>
      <w:r>
        <w:rPr>
          <w:rFonts w:ascii="Times New Roman" w:hAnsi="Times New Roman" w:eastAsia="Times New Roman" w:cs="Times New Roman"/>
          <w:spacing w:val="2"/>
          <w:sz w:val="24"/>
          <w:szCs w:val="24"/>
        </w:rPr>
        <w:t>H+</w:t>
      </w:r>
      <w:r>
        <w:rPr>
          <w:rFonts w:ascii="宋体" w:hAnsi="宋体" w:eastAsia="宋体" w:cs="宋体"/>
          <w:spacing w:val="-3"/>
          <w:sz w:val="24"/>
          <w:szCs w:val="24"/>
        </w:rPr>
        <w:t>使另外一种氨基酸的两个分子还原，两个过程都有脱氧基的作用。以丙氨酸和甘</w:t>
      </w:r>
      <w:r>
        <w:rPr>
          <w:rFonts w:ascii="宋体" w:hAnsi="宋体" w:eastAsia="宋体" w:cs="宋体"/>
          <w:spacing w:val="-2"/>
          <w:sz w:val="24"/>
          <w:szCs w:val="24"/>
        </w:rPr>
        <w:t>氨酸的降解为例来说明它们就需要这种偶联反应。</w:t>
      </w:r>
    </w:p>
    <w:p w14:paraId="06FE2BCE">
      <w:pPr>
        <w:spacing w:before="38" w:line="195" w:lineRule="auto"/>
        <w:ind w:left="526"/>
        <w:rPr>
          <w:rFonts w:ascii="Times New Roman" w:hAnsi="Times New Roman" w:eastAsia="Times New Roman" w:cs="Times New Roman"/>
          <w:sz w:val="24"/>
          <w:szCs w:val="24"/>
        </w:rPr>
      </w:pPr>
      <w:r>
        <w:rPr>
          <w:rFonts w:ascii="Times New Roman" w:hAnsi="Times New Roman" w:eastAsia="Times New Roman" w:cs="Times New Roman"/>
          <w:i/>
          <w:iCs/>
          <w:spacing w:val="-3"/>
          <w:sz w:val="24"/>
          <w:szCs w:val="24"/>
        </w:rPr>
        <w:t>CH</w:t>
      </w:r>
      <w:r>
        <w:rPr>
          <w:rFonts w:ascii="Times New Roman" w:hAnsi="Times New Roman" w:eastAsia="Times New Roman" w:cs="Times New Roman"/>
          <w:i/>
          <w:iCs/>
          <w:spacing w:val="-3"/>
          <w:position w:val="-2"/>
          <w:sz w:val="15"/>
          <w:szCs w:val="15"/>
        </w:rPr>
        <w:t>3</w:t>
      </w:r>
      <w:r>
        <w:rPr>
          <w:rFonts w:ascii="Times New Roman" w:hAnsi="Times New Roman" w:eastAsia="Times New Roman" w:cs="Times New Roman"/>
          <w:i/>
          <w:iCs/>
          <w:spacing w:val="-21"/>
          <w:position w:val="-2"/>
          <w:sz w:val="15"/>
          <w:szCs w:val="15"/>
        </w:rPr>
        <w:t xml:space="preserve"> </w:t>
      </w:r>
      <w:r>
        <w:rPr>
          <w:rFonts w:ascii="Times New Roman" w:hAnsi="Times New Roman" w:eastAsia="Times New Roman" w:cs="Times New Roman"/>
          <w:i/>
          <w:iCs/>
          <w:spacing w:val="-3"/>
          <w:sz w:val="24"/>
          <w:szCs w:val="24"/>
        </w:rPr>
        <w:t>CHNH</w:t>
      </w:r>
      <w:r>
        <w:rPr>
          <w:rFonts w:ascii="Times New Roman" w:hAnsi="Times New Roman" w:eastAsia="Times New Roman" w:cs="Times New Roman"/>
          <w:i/>
          <w:iCs/>
          <w:spacing w:val="-3"/>
          <w:position w:val="-2"/>
          <w:sz w:val="15"/>
          <w:szCs w:val="15"/>
        </w:rPr>
        <w:t>2</w:t>
      </w:r>
      <w:r>
        <w:rPr>
          <w:rFonts w:ascii="Times New Roman" w:hAnsi="Times New Roman" w:eastAsia="Times New Roman" w:cs="Times New Roman"/>
          <w:i/>
          <w:iCs/>
          <w:spacing w:val="-19"/>
          <w:position w:val="-2"/>
          <w:sz w:val="15"/>
          <w:szCs w:val="15"/>
        </w:rPr>
        <w:t xml:space="preserve"> </w:t>
      </w:r>
      <w:r>
        <w:rPr>
          <w:rFonts w:ascii="Times New Roman" w:hAnsi="Times New Roman" w:eastAsia="Times New Roman" w:cs="Times New Roman"/>
          <w:i/>
          <w:iCs/>
          <w:spacing w:val="-3"/>
          <w:sz w:val="24"/>
          <w:szCs w:val="24"/>
        </w:rPr>
        <w:t>COOH+2H</w:t>
      </w:r>
      <w:r>
        <w:rPr>
          <w:rFonts w:ascii="Times New Roman" w:hAnsi="Times New Roman" w:eastAsia="Times New Roman" w:cs="Times New Roman"/>
          <w:i/>
          <w:iCs/>
          <w:spacing w:val="-3"/>
          <w:position w:val="-2"/>
          <w:sz w:val="15"/>
          <w:szCs w:val="15"/>
        </w:rPr>
        <w:t>2</w:t>
      </w:r>
      <w:r>
        <w:rPr>
          <w:rFonts w:ascii="Times New Roman" w:hAnsi="Times New Roman" w:eastAsia="Times New Roman" w:cs="Times New Roman"/>
          <w:i/>
          <w:iCs/>
          <w:spacing w:val="-22"/>
          <w:position w:val="-2"/>
          <w:sz w:val="15"/>
          <w:szCs w:val="15"/>
        </w:rPr>
        <w:t xml:space="preserve"> </w:t>
      </w:r>
      <w:r>
        <w:rPr>
          <w:rFonts w:ascii="Times New Roman" w:hAnsi="Times New Roman" w:eastAsia="Times New Roman" w:cs="Times New Roman"/>
          <w:i/>
          <w:iCs/>
          <w:spacing w:val="-3"/>
          <w:sz w:val="24"/>
          <w:szCs w:val="24"/>
        </w:rPr>
        <w:t>O→</w:t>
      </w:r>
      <w:r>
        <w:rPr>
          <w:rFonts w:ascii="Times New Roman" w:hAnsi="Times New Roman" w:eastAsia="Times New Roman" w:cs="Times New Roman"/>
          <w:i/>
          <w:iCs/>
          <w:spacing w:val="-43"/>
          <w:sz w:val="24"/>
          <w:szCs w:val="24"/>
        </w:rPr>
        <w:t xml:space="preserve"> </w:t>
      </w:r>
      <w:r>
        <w:rPr>
          <w:rFonts w:ascii="Times New Roman" w:hAnsi="Times New Roman" w:eastAsia="Times New Roman" w:cs="Times New Roman"/>
          <w:i/>
          <w:iCs/>
          <w:spacing w:val="-3"/>
          <w:sz w:val="24"/>
          <w:szCs w:val="24"/>
        </w:rPr>
        <w:t>CH</w:t>
      </w:r>
      <w:r>
        <w:rPr>
          <w:rFonts w:ascii="Times New Roman" w:hAnsi="Times New Roman" w:eastAsia="Times New Roman" w:cs="Times New Roman"/>
          <w:i/>
          <w:iCs/>
          <w:spacing w:val="-3"/>
          <w:position w:val="-2"/>
          <w:sz w:val="15"/>
          <w:szCs w:val="15"/>
        </w:rPr>
        <w:t>3</w:t>
      </w:r>
      <w:r>
        <w:rPr>
          <w:rFonts w:ascii="Times New Roman" w:hAnsi="Times New Roman" w:eastAsia="Times New Roman" w:cs="Times New Roman"/>
          <w:i/>
          <w:iCs/>
          <w:spacing w:val="-21"/>
          <w:position w:val="-2"/>
          <w:sz w:val="15"/>
          <w:szCs w:val="15"/>
        </w:rPr>
        <w:t xml:space="preserve"> </w:t>
      </w:r>
      <w:r>
        <w:rPr>
          <w:rFonts w:ascii="Times New Roman" w:hAnsi="Times New Roman" w:eastAsia="Times New Roman" w:cs="Times New Roman"/>
          <w:i/>
          <w:iCs/>
          <w:spacing w:val="-3"/>
          <w:sz w:val="24"/>
          <w:szCs w:val="24"/>
        </w:rPr>
        <w:t>COOH+CO</w:t>
      </w:r>
      <w:r>
        <w:rPr>
          <w:rFonts w:ascii="Times New Roman" w:hAnsi="Times New Roman" w:eastAsia="Times New Roman" w:cs="Times New Roman"/>
          <w:i/>
          <w:iCs/>
          <w:spacing w:val="-3"/>
          <w:position w:val="-2"/>
          <w:sz w:val="15"/>
          <w:szCs w:val="15"/>
        </w:rPr>
        <w:t>2</w:t>
      </w:r>
      <w:r>
        <w:rPr>
          <w:rFonts w:ascii="Times New Roman" w:hAnsi="Times New Roman" w:eastAsia="Times New Roman" w:cs="Times New Roman"/>
          <w:i/>
          <w:iCs/>
          <w:spacing w:val="-15"/>
          <w:position w:val="-2"/>
          <w:sz w:val="15"/>
          <w:szCs w:val="15"/>
        </w:rPr>
        <w:t xml:space="preserve"> </w:t>
      </w:r>
      <w:r>
        <w:rPr>
          <w:rFonts w:ascii="Times New Roman" w:hAnsi="Times New Roman" w:eastAsia="Times New Roman" w:cs="Times New Roman"/>
          <w:i/>
          <w:iCs/>
          <w:spacing w:val="-3"/>
          <w:sz w:val="24"/>
          <w:szCs w:val="24"/>
        </w:rPr>
        <w:t>+NH</w:t>
      </w:r>
      <w:r>
        <w:rPr>
          <w:rFonts w:ascii="Times New Roman" w:hAnsi="Times New Roman" w:eastAsia="Times New Roman" w:cs="Times New Roman"/>
          <w:i/>
          <w:iCs/>
          <w:spacing w:val="-3"/>
          <w:position w:val="-2"/>
          <w:sz w:val="15"/>
          <w:szCs w:val="15"/>
        </w:rPr>
        <w:t>3</w:t>
      </w:r>
      <w:r>
        <w:rPr>
          <w:rFonts w:ascii="Times New Roman" w:hAnsi="Times New Roman" w:eastAsia="Times New Roman" w:cs="Times New Roman"/>
          <w:i/>
          <w:iCs/>
          <w:spacing w:val="-14"/>
          <w:position w:val="-2"/>
          <w:sz w:val="15"/>
          <w:szCs w:val="15"/>
        </w:rPr>
        <w:t xml:space="preserve"> </w:t>
      </w:r>
      <w:r>
        <w:rPr>
          <w:rFonts w:ascii="Times New Roman" w:hAnsi="Times New Roman" w:eastAsia="Times New Roman" w:cs="Times New Roman"/>
          <w:i/>
          <w:iCs/>
          <w:spacing w:val="-3"/>
          <w:sz w:val="24"/>
          <w:szCs w:val="24"/>
        </w:rPr>
        <w:t>+4H+</w:t>
      </w:r>
    </w:p>
    <w:p w14:paraId="5FD3631A">
      <w:pPr>
        <w:spacing w:before="200" w:line="210" w:lineRule="auto"/>
        <w:ind w:left="513"/>
        <w:rPr>
          <w:rFonts w:ascii="Times New Roman" w:hAnsi="Times New Roman" w:eastAsia="Times New Roman" w:cs="Times New Roman"/>
          <w:sz w:val="15"/>
          <w:szCs w:val="15"/>
        </w:rPr>
      </w:pPr>
      <w:r>
        <w:rPr>
          <w:rFonts w:ascii="Times New Roman" w:hAnsi="Times New Roman" w:eastAsia="Times New Roman" w:cs="Times New Roman"/>
          <w:i/>
          <w:iCs/>
          <w:sz w:val="24"/>
          <w:szCs w:val="24"/>
        </w:rPr>
        <w:t>2CH</w:t>
      </w:r>
      <w:r>
        <w:rPr>
          <w:rFonts w:ascii="Times New Roman" w:hAnsi="Times New Roman" w:eastAsia="Times New Roman" w:cs="Times New Roman"/>
          <w:i/>
          <w:iCs/>
          <w:position w:val="-2"/>
          <w:sz w:val="15"/>
          <w:szCs w:val="15"/>
        </w:rPr>
        <w:t>2</w:t>
      </w:r>
      <w:r>
        <w:rPr>
          <w:rFonts w:ascii="Times New Roman" w:hAnsi="Times New Roman" w:eastAsia="Times New Roman" w:cs="Times New Roman"/>
          <w:i/>
          <w:iCs/>
          <w:sz w:val="24"/>
          <w:szCs w:val="24"/>
        </w:rPr>
        <w:t>NH</w:t>
      </w:r>
      <w:r>
        <w:rPr>
          <w:rFonts w:ascii="Times New Roman" w:hAnsi="Times New Roman" w:eastAsia="Times New Roman" w:cs="Times New Roman"/>
          <w:i/>
          <w:iCs/>
          <w:position w:val="-2"/>
          <w:sz w:val="15"/>
          <w:szCs w:val="15"/>
        </w:rPr>
        <w:t>2</w:t>
      </w:r>
      <w:r>
        <w:rPr>
          <w:rFonts w:ascii="Times New Roman" w:hAnsi="Times New Roman" w:eastAsia="Times New Roman" w:cs="Times New Roman"/>
          <w:i/>
          <w:iCs/>
          <w:spacing w:val="-18"/>
          <w:position w:val="-2"/>
          <w:sz w:val="15"/>
          <w:szCs w:val="15"/>
        </w:rPr>
        <w:t xml:space="preserve"> </w:t>
      </w:r>
      <w:r>
        <w:rPr>
          <w:rFonts w:ascii="Times New Roman" w:hAnsi="Times New Roman" w:eastAsia="Times New Roman" w:cs="Times New Roman"/>
          <w:i/>
          <w:iCs/>
          <w:sz w:val="24"/>
          <w:szCs w:val="24"/>
        </w:rPr>
        <w:t>COOH+4H</w:t>
      </w:r>
      <w:r>
        <w:rPr>
          <w:rFonts w:ascii="Times New Roman" w:hAnsi="Times New Roman" w:eastAsia="Times New Roman" w:cs="Times New Roman"/>
          <w:i/>
          <w:iCs/>
          <w:position w:val="11"/>
          <w:sz w:val="15"/>
          <w:szCs w:val="15"/>
        </w:rPr>
        <w:t>+</w:t>
      </w:r>
      <w:r>
        <w:rPr>
          <w:rFonts w:ascii="Times New Roman" w:hAnsi="Times New Roman" w:eastAsia="Times New Roman" w:cs="Times New Roman"/>
          <w:i/>
          <w:iCs/>
          <w:sz w:val="24"/>
          <w:szCs w:val="24"/>
        </w:rPr>
        <w:t>→2CH</w:t>
      </w:r>
      <w:r>
        <w:rPr>
          <w:rFonts w:ascii="Times New Roman" w:hAnsi="Times New Roman" w:eastAsia="Times New Roman" w:cs="Times New Roman"/>
          <w:i/>
          <w:iCs/>
          <w:position w:val="-2"/>
          <w:sz w:val="15"/>
          <w:szCs w:val="15"/>
        </w:rPr>
        <w:t>3</w:t>
      </w:r>
      <w:r>
        <w:rPr>
          <w:rFonts w:ascii="Times New Roman" w:hAnsi="Times New Roman" w:eastAsia="Times New Roman" w:cs="Times New Roman"/>
          <w:i/>
          <w:iCs/>
          <w:spacing w:val="-20"/>
          <w:position w:val="-2"/>
          <w:sz w:val="15"/>
          <w:szCs w:val="15"/>
        </w:rPr>
        <w:t xml:space="preserve"> </w:t>
      </w:r>
      <w:r>
        <w:rPr>
          <w:rFonts w:ascii="Times New Roman" w:hAnsi="Times New Roman" w:eastAsia="Times New Roman" w:cs="Times New Roman"/>
          <w:i/>
          <w:iCs/>
          <w:sz w:val="24"/>
          <w:szCs w:val="24"/>
        </w:rPr>
        <w:t>COOH+2NH</w:t>
      </w:r>
      <w:r>
        <w:rPr>
          <w:rFonts w:ascii="Times New Roman" w:hAnsi="Times New Roman" w:eastAsia="Times New Roman" w:cs="Times New Roman"/>
          <w:i/>
          <w:iCs/>
          <w:position w:val="-2"/>
          <w:sz w:val="15"/>
          <w:szCs w:val="15"/>
        </w:rPr>
        <w:t>4</w:t>
      </w:r>
    </w:p>
    <w:p w14:paraId="69DCA069">
      <w:pPr>
        <w:spacing w:before="200" w:line="220" w:lineRule="auto"/>
        <w:ind w:left="537"/>
        <w:rPr>
          <w:rFonts w:ascii="宋体" w:hAnsi="宋体" w:eastAsia="宋体" w:cs="宋体"/>
          <w:sz w:val="24"/>
          <w:szCs w:val="24"/>
        </w:rPr>
      </w:pPr>
      <w:r>
        <w:rPr>
          <w:rFonts w:ascii="宋体" w:hAnsi="宋体" w:eastAsia="宋体" w:cs="宋体"/>
          <w:spacing w:val="-19"/>
          <w:sz w:val="24"/>
          <w:szCs w:val="24"/>
        </w:rPr>
        <w:t>即为：</w:t>
      </w:r>
    </w:p>
    <w:p w14:paraId="26A20018">
      <w:pPr>
        <w:spacing w:before="225" w:line="195" w:lineRule="auto"/>
        <w:ind w:left="526"/>
        <w:rPr>
          <w:rFonts w:ascii="Times New Roman" w:hAnsi="Times New Roman" w:eastAsia="Times New Roman" w:cs="Times New Roman"/>
          <w:sz w:val="15"/>
          <w:szCs w:val="15"/>
        </w:rPr>
      </w:pPr>
      <w:r>
        <w:rPr>
          <w:rFonts w:ascii="Times New Roman" w:hAnsi="Times New Roman" w:eastAsia="Times New Roman" w:cs="Times New Roman"/>
          <w:i/>
          <w:iCs/>
          <w:spacing w:val="-2"/>
          <w:sz w:val="24"/>
          <w:szCs w:val="24"/>
        </w:rPr>
        <w:t>CH</w:t>
      </w:r>
      <w:r>
        <w:rPr>
          <w:rFonts w:ascii="Times New Roman" w:hAnsi="Times New Roman" w:eastAsia="Times New Roman" w:cs="Times New Roman"/>
          <w:i/>
          <w:iCs/>
          <w:spacing w:val="-2"/>
          <w:position w:val="-2"/>
          <w:sz w:val="15"/>
          <w:szCs w:val="15"/>
        </w:rPr>
        <w:t>3</w:t>
      </w:r>
      <w:r>
        <w:rPr>
          <w:rFonts w:ascii="Times New Roman" w:hAnsi="Times New Roman" w:eastAsia="Times New Roman" w:cs="Times New Roman"/>
          <w:i/>
          <w:iCs/>
          <w:spacing w:val="-10"/>
          <w:position w:val="-2"/>
          <w:sz w:val="15"/>
          <w:szCs w:val="15"/>
        </w:rPr>
        <w:t xml:space="preserve"> </w:t>
      </w:r>
      <w:r>
        <w:rPr>
          <w:rFonts w:ascii="Times New Roman" w:hAnsi="Times New Roman" w:eastAsia="Times New Roman" w:cs="Times New Roman"/>
          <w:i/>
          <w:iCs/>
          <w:spacing w:val="-2"/>
          <w:sz w:val="24"/>
          <w:szCs w:val="24"/>
        </w:rPr>
        <w:t>CHNH</w:t>
      </w:r>
      <w:r>
        <w:rPr>
          <w:rFonts w:ascii="Times New Roman" w:hAnsi="Times New Roman" w:eastAsia="Times New Roman" w:cs="Times New Roman"/>
          <w:i/>
          <w:iCs/>
          <w:spacing w:val="-2"/>
          <w:position w:val="-2"/>
          <w:sz w:val="15"/>
          <w:szCs w:val="15"/>
        </w:rPr>
        <w:t>2</w:t>
      </w:r>
      <w:r>
        <w:rPr>
          <w:rFonts w:ascii="Times New Roman" w:hAnsi="Times New Roman" w:eastAsia="Times New Roman" w:cs="Times New Roman"/>
          <w:i/>
          <w:iCs/>
          <w:spacing w:val="-19"/>
          <w:position w:val="-2"/>
          <w:sz w:val="15"/>
          <w:szCs w:val="15"/>
        </w:rPr>
        <w:t xml:space="preserve"> </w:t>
      </w:r>
      <w:r>
        <w:rPr>
          <w:rFonts w:ascii="Times New Roman" w:hAnsi="Times New Roman" w:eastAsia="Times New Roman" w:cs="Times New Roman"/>
          <w:i/>
          <w:iCs/>
          <w:spacing w:val="-2"/>
          <w:sz w:val="24"/>
          <w:szCs w:val="24"/>
        </w:rPr>
        <w:t>COOH+2CH</w:t>
      </w:r>
      <w:r>
        <w:rPr>
          <w:rFonts w:ascii="Times New Roman" w:hAnsi="Times New Roman" w:eastAsia="Times New Roman" w:cs="Times New Roman"/>
          <w:i/>
          <w:iCs/>
          <w:spacing w:val="-2"/>
          <w:position w:val="-2"/>
          <w:sz w:val="15"/>
          <w:szCs w:val="15"/>
        </w:rPr>
        <w:t>2</w:t>
      </w:r>
      <w:r>
        <w:rPr>
          <w:rFonts w:ascii="Times New Roman" w:hAnsi="Times New Roman" w:eastAsia="Times New Roman" w:cs="Times New Roman"/>
          <w:i/>
          <w:iCs/>
          <w:spacing w:val="-2"/>
          <w:sz w:val="24"/>
          <w:szCs w:val="24"/>
        </w:rPr>
        <w:t>NH</w:t>
      </w:r>
      <w:r>
        <w:rPr>
          <w:rFonts w:ascii="Times New Roman" w:hAnsi="Times New Roman" w:eastAsia="Times New Roman" w:cs="Times New Roman"/>
          <w:i/>
          <w:iCs/>
          <w:spacing w:val="-2"/>
          <w:position w:val="-2"/>
          <w:sz w:val="15"/>
          <w:szCs w:val="15"/>
        </w:rPr>
        <w:t>2</w:t>
      </w:r>
      <w:r>
        <w:rPr>
          <w:rFonts w:ascii="Times New Roman" w:hAnsi="Times New Roman" w:eastAsia="Times New Roman" w:cs="Times New Roman"/>
          <w:i/>
          <w:iCs/>
          <w:spacing w:val="-20"/>
          <w:position w:val="-2"/>
          <w:sz w:val="15"/>
          <w:szCs w:val="15"/>
        </w:rPr>
        <w:t xml:space="preserve"> </w:t>
      </w:r>
      <w:r>
        <w:rPr>
          <w:rFonts w:ascii="Times New Roman" w:hAnsi="Times New Roman" w:eastAsia="Times New Roman" w:cs="Times New Roman"/>
          <w:i/>
          <w:iCs/>
          <w:spacing w:val="-2"/>
          <w:sz w:val="24"/>
          <w:szCs w:val="24"/>
        </w:rPr>
        <w:t>COOH+2H</w:t>
      </w:r>
      <w:r>
        <w:rPr>
          <w:rFonts w:ascii="Times New Roman" w:hAnsi="Times New Roman" w:eastAsia="Times New Roman" w:cs="Times New Roman"/>
          <w:i/>
          <w:iCs/>
          <w:spacing w:val="-2"/>
          <w:position w:val="-2"/>
          <w:sz w:val="15"/>
          <w:szCs w:val="15"/>
        </w:rPr>
        <w:t>2</w:t>
      </w:r>
      <w:r>
        <w:rPr>
          <w:rFonts w:ascii="Times New Roman" w:hAnsi="Times New Roman" w:eastAsia="Times New Roman" w:cs="Times New Roman"/>
          <w:i/>
          <w:iCs/>
          <w:spacing w:val="-23"/>
          <w:position w:val="-2"/>
          <w:sz w:val="15"/>
          <w:szCs w:val="15"/>
        </w:rPr>
        <w:t xml:space="preserve"> </w:t>
      </w:r>
      <w:r>
        <w:rPr>
          <w:rFonts w:ascii="Times New Roman" w:hAnsi="Times New Roman" w:eastAsia="Times New Roman" w:cs="Times New Roman"/>
          <w:i/>
          <w:iCs/>
          <w:spacing w:val="-2"/>
          <w:sz w:val="24"/>
          <w:szCs w:val="24"/>
        </w:rPr>
        <w:t>O—&gt;3CH</w:t>
      </w:r>
      <w:r>
        <w:rPr>
          <w:rFonts w:ascii="Times New Roman" w:hAnsi="Times New Roman" w:eastAsia="Times New Roman" w:cs="Times New Roman"/>
          <w:i/>
          <w:iCs/>
          <w:spacing w:val="-2"/>
          <w:position w:val="-2"/>
          <w:sz w:val="15"/>
          <w:szCs w:val="15"/>
        </w:rPr>
        <w:t>3</w:t>
      </w:r>
      <w:r>
        <w:rPr>
          <w:rFonts w:ascii="Times New Roman" w:hAnsi="Times New Roman" w:eastAsia="Times New Roman" w:cs="Times New Roman"/>
          <w:i/>
          <w:iCs/>
          <w:spacing w:val="-20"/>
          <w:position w:val="-2"/>
          <w:sz w:val="15"/>
          <w:szCs w:val="15"/>
        </w:rPr>
        <w:t xml:space="preserve"> </w:t>
      </w:r>
      <w:r>
        <w:rPr>
          <w:rFonts w:ascii="Times New Roman" w:hAnsi="Times New Roman" w:eastAsia="Times New Roman" w:cs="Times New Roman"/>
          <w:i/>
          <w:iCs/>
          <w:spacing w:val="-2"/>
          <w:sz w:val="24"/>
          <w:szCs w:val="24"/>
        </w:rPr>
        <w:t>COOH+3NH</w:t>
      </w:r>
      <w:r>
        <w:rPr>
          <w:rFonts w:ascii="Times New Roman" w:hAnsi="Times New Roman" w:eastAsia="Times New Roman" w:cs="Times New Roman"/>
          <w:i/>
          <w:iCs/>
          <w:spacing w:val="-2"/>
          <w:position w:val="-2"/>
          <w:sz w:val="15"/>
          <w:szCs w:val="15"/>
        </w:rPr>
        <w:t>4</w:t>
      </w:r>
      <w:r>
        <w:rPr>
          <w:rFonts w:ascii="Times New Roman" w:hAnsi="Times New Roman" w:eastAsia="Times New Roman" w:cs="Times New Roman"/>
          <w:i/>
          <w:iCs/>
          <w:spacing w:val="-15"/>
          <w:position w:val="-2"/>
          <w:sz w:val="15"/>
          <w:szCs w:val="15"/>
        </w:rPr>
        <w:t xml:space="preserve"> </w:t>
      </w:r>
      <w:r>
        <w:rPr>
          <w:rFonts w:ascii="Times New Roman" w:hAnsi="Times New Roman" w:eastAsia="Times New Roman" w:cs="Times New Roman"/>
          <w:i/>
          <w:iCs/>
          <w:spacing w:val="-2"/>
          <w:sz w:val="24"/>
          <w:szCs w:val="24"/>
        </w:rPr>
        <w:t>+CO</w:t>
      </w:r>
      <w:r>
        <w:rPr>
          <w:rFonts w:ascii="Times New Roman" w:hAnsi="Times New Roman" w:eastAsia="Times New Roman" w:cs="Times New Roman"/>
          <w:i/>
          <w:iCs/>
          <w:spacing w:val="-2"/>
          <w:position w:val="-2"/>
          <w:sz w:val="15"/>
          <w:szCs w:val="15"/>
        </w:rPr>
        <w:t>2</w:t>
      </w:r>
    </w:p>
    <w:p w14:paraId="42735B69">
      <w:pPr>
        <w:spacing w:before="200" w:line="360" w:lineRule="auto"/>
        <w:ind w:left="39" w:right="87" w:firstLine="480"/>
        <w:rPr>
          <w:rFonts w:ascii="宋体" w:hAnsi="宋体" w:eastAsia="宋体" w:cs="宋体"/>
          <w:sz w:val="24"/>
          <w:szCs w:val="24"/>
        </w:rPr>
      </w:pPr>
      <w:r>
        <w:rPr>
          <w:rFonts w:ascii="宋体" w:hAnsi="宋体" w:eastAsia="宋体" w:cs="宋体"/>
          <w:spacing w:val="-3"/>
          <w:sz w:val="24"/>
          <w:szCs w:val="24"/>
        </w:rPr>
        <w:t>这里丙氨酸作为电子的供体，甘氨酸作为电子的受体。而丙氨</w:t>
      </w:r>
      <w:r>
        <w:rPr>
          <w:rFonts w:ascii="宋体" w:hAnsi="宋体" w:eastAsia="宋体" w:cs="宋体"/>
          <w:spacing w:val="-4"/>
          <w:sz w:val="24"/>
          <w:szCs w:val="24"/>
        </w:rPr>
        <w:t>酸和甘氨酸都</w:t>
      </w:r>
      <w:r>
        <w:rPr>
          <w:rFonts w:ascii="宋体" w:hAnsi="宋体" w:eastAsia="宋体" w:cs="宋体"/>
          <w:spacing w:val="-3"/>
          <w:sz w:val="24"/>
          <w:szCs w:val="24"/>
        </w:rPr>
        <w:t>是有机物，却一个作为电子供体，另一个作为电子受体。这一特点说明，酸化反</w:t>
      </w:r>
      <w:r>
        <w:rPr>
          <w:rFonts w:ascii="宋体" w:hAnsi="宋体" w:eastAsia="宋体" w:cs="宋体"/>
          <w:spacing w:val="-2"/>
          <w:sz w:val="24"/>
          <w:szCs w:val="24"/>
        </w:rPr>
        <w:t>应过程是一个不稳定并且没有进行到底的过程。</w:t>
      </w:r>
    </w:p>
    <w:p w14:paraId="16C9CFD9">
      <w:pPr>
        <w:spacing w:before="1" w:line="217" w:lineRule="auto"/>
        <w:ind w:left="519"/>
        <w:rPr>
          <w:rFonts w:ascii="宋体" w:hAnsi="宋体" w:eastAsia="宋体" w:cs="宋体"/>
          <w:sz w:val="24"/>
          <w:szCs w:val="24"/>
        </w:rPr>
      </w:pPr>
      <w:r>
        <w:rPr>
          <w:rFonts w:ascii="宋体" w:hAnsi="宋体" w:eastAsia="宋体" w:cs="宋体"/>
          <w:b/>
          <w:bCs/>
          <w:spacing w:val="-3"/>
          <w:sz w:val="24"/>
          <w:szCs w:val="24"/>
        </w:rPr>
        <w:t>③产乙酸阶段</w:t>
      </w:r>
    </w:p>
    <w:p w14:paraId="7F9CC971">
      <w:pPr>
        <w:spacing w:before="185" w:line="362" w:lineRule="auto"/>
        <w:ind w:left="39" w:firstLine="483"/>
        <w:rPr>
          <w:rFonts w:ascii="宋体" w:hAnsi="宋体" w:eastAsia="宋体" w:cs="宋体"/>
          <w:sz w:val="24"/>
          <w:szCs w:val="24"/>
        </w:rPr>
      </w:pPr>
      <w:r>
        <w:rPr>
          <w:rFonts w:ascii="宋体" w:hAnsi="宋体" w:eastAsia="宋体" w:cs="宋体"/>
          <w:spacing w:val="2"/>
          <w:sz w:val="24"/>
          <w:szCs w:val="24"/>
        </w:rPr>
        <w:t>发酵阶段的最终产物在产乙酸菌的作用下被进</w:t>
      </w:r>
      <w:r>
        <w:rPr>
          <w:rFonts w:ascii="宋体" w:hAnsi="宋体" w:eastAsia="宋体" w:cs="宋体"/>
          <w:spacing w:val="1"/>
          <w:sz w:val="24"/>
          <w:szCs w:val="24"/>
        </w:rPr>
        <w:t>一步转化为</w:t>
      </w:r>
      <w:r>
        <w:rPr>
          <w:rFonts w:ascii="Times New Roman" w:hAnsi="Times New Roman" w:eastAsia="Times New Roman" w:cs="Times New Roman"/>
          <w:sz w:val="24"/>
          <w:szCs w:val="24"/>
        </w:rPr>
        <w:t>CH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z w:val="24"/>
          <w:szCs w:val="24"/>
        </w:rPr>
        <w:t>COOH</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宋体" w:hAnsi="宋体" w:eastAsia="宋体" w:cs="宋体"/>
          <w:spacing w:val="1"/>
          <w:sz w:val="24"/>
          <w:szCs w:val="24"/>
        </w:rPr>
        <w:t>、</w:t>
      </w:r>
      <w:r>
        <w:rPr>
          <w:rFonts w:ascii="宋体" w:hAnsi="宋体" w:eastAsia="宋体" w:cs="宋体"/>
          <w:spacing w:val="-8"/>
          <w:sz w:val="24"/>
          <w:szCs w:val="24"/>
        </w:rPr>
        <w:t>碳酸和新的细胞物质。这些微生物能把各种</w:t>
      </w:r>
      <w:r>
        <w:rPr>
          <w:rFonts w:ascii="Times New Roman" w:hAnsi="Times New Roman" w:eastAsia="Times New Roman" w:cs="Times New Roman"/>
          <w:spacing w:val="-8"/>
          <w:sz w:val="24"/>
          <w:szCs w:val="24"/>
        </w:rPr>
        <w:t>VFA</w:t>
      </w:r>
      <w:r>
        <w:rPr>
          <w:rFonts w:ascii="宋体" w:hAnsi="宋体" w:eastAsia="宋体" w:cs="宋体"/>
          <w:spacing w:val="-8"/>
          <w:sz w:val="24"/>
          <w:szCs w:val="24"/>
        </w:rPr>
        <w:t>降解为乙酸和氢气。其反应如下：</w:t>
      </w:r>
    </w:p>
    <w:p w14:paraId="40670F2D">
      <w:pPr>
        <w:spacing w:before="38" w:line="195" w:lineRule="auto"/>
        <w:ind w:left="526"/>
        <w:rPr>
          <w:rFonts w:ascii="Times New Roman" w:hAnsi="Times New Roman" w:eastAsia="Times New Roman" w:cs="Times New Roman"/>
          <w:sz w:val="15"/>
          <w:szCs w:val="15"/>
        </w:rPr>
      </w:pPr>
      <w:r>
        <w:rPr>
          <w:rFonts w:ascii="Times New Roman" w:hAnsi="Times New Roman" w:eastAsia="Times New Roman" w:cs="Times New Roman"/>
          <w:i/>
          <w:iCs/>
          <w:spacing w:val="-2"/>
          <w:sz w:val="24"/>
          <w:szCs w:val="24"/>
        </w:rPr>
        <w:t>CH</w:t>
      </w:r>
      <w:r>
        <w:rPr>
          <w:rFonts w:ascii="Times New Roman" w:hAnsi="Times New Roman" w:eastAsia="Times New Roman" w:cs="Times New Roman"/>
          <w:i/>
          <w:iCs/>
          <w:spacing w:val="-2"/>
          <w:position w:val="-2"/>
          <w:sz w:val="15"/>
          <w:szCs w:val="15"/>
        </w:rPr>
        <w:t>3</w:t>
      </w:r>
      <w:r>
        <w:rPr>
          <w:rFonts w:ascii="Times New Roman" w:hAnsi="Times New Roman" w:eastAsia="Times New Roman" w:cs="Times New Roman"/>
          <w:i/>
          <w:iCs/>
          <w:spacing w:val="-14"/>
          <w:position w:val="-2"/>
          <w:sz w:val="15"/>
          <w:szCs w:val="15"/>
        </w:rPr>
        <w:t xml:space="preserve"> </w:t>
      </w:r>
      <w:r>
        <w:rPr>
          <w:rFonts w:ascii="Times New Roman" w:hAnsi="Times New Roman" w:eastAsia="Times New Roman" w:cs="Times New Roman"/>
          <w:i/>
          <w:iCs/>
          <w:spacing w:val="-2"/>
          <w:sz w:val="24"/>
          <w:szCs w:val="24"/>
        </w:rPr>
        <w:t>CH</w:t>
      </w:r>
      <w:r>
        <w:rPr>
          <w:rFonts w:ascii="Times New Roman" w:hAnsi="Times New Roman" w:eastAsia="Times New Roman" w:cs="Times New Roman"/>
          <w:i/>
          <w:iCs/>
          <w:spacing w:val="-2"/>
          <w:position w:val="-2"/>
          <w:sz w:val="15"/>
          <w:szCs w:val="15"/>
        </w:rPr>
        <w:t>2</w:t>
      </w:r>
      <w:r>
        <w:rPr>
          <w:rFonts w:ascii="Times New Roman" w:hAnsi="Times New Roman" w:eastAsia="Times New Roman" w:cs="Times New Roman"/>
          <w:i/>
          <w:iCs/>
          <w:spacing w:val="-23"/>
          <w:position w:val="-2"/>
          <w:sz w:val="15"/>
          <w:szCs w:val="15"/>
        </w:rPr>
        <w:t xml:space="preserve"> </w:t>
      </w:r>
      <w:r>
        <w:rPr>
          <w:rFonts w:ascii="Times New Roman" w:hAnsi="Times New Roman" w:eastAsia="Times New Roman" w:cs="Times New Roman"/>
          <w:i/>
          <w:iCs/>
          <w:spacing w:val="-2"/>
          <w:sz w:val="24"/>
          <w:szCs w:val="24"/>
        </w:rPr>
        <w:t>OH+H</w:t>
      </w:r>
      <w:r>
        <w:rPr>
          <w:rFonts w:ascii="Times New Roman" w:hAnsi="Times New Roman" w:eastAsia="Times New Roman" w:cs="Times New Roman"/>
          <w:i/>
          <w:iCs/>
          <w:spacing w:val="-2"/>
          <w:position w:val="-2"/>
          <w:sz w:val="15"/>
          <w:szCs w:val="15"/>
        </w:rPr>
        <w:t>2</w:t>
      </w:r>
      <w:r>
        <w:rPr>
          <w:rFonts w:ascii="Times New Roman" w:hAnsi="Times New Roman" w:eastAsia="Times New Roman" w:cs="Times New Roman"/>
          <w:i/>
          <w:iCs/>
          <w:spacing w:val="-2"/>
          <w:sz w:val="24"/>
          <w:szCs w:val="24"/>
        </w:rPr>
        <w:t>O→</w:t>
      </w:r>
      <w:r>
        <w:rPr>
          <w:rFonts w:ascii="Times New Roman" w:hAnsi="Times New Roman" w:eastAsia="Times New Roman" w:cs="Times New Roman"/>
          <w:i/>
          <w:iCs/>
          <w:spacing w:val="-44"/>
          <w:sz w:val="24"/>
          <w:szCs w:val="24"/>
        </w:rPr>
        <w:t xml:space="preserve"> </w:t>
      </w:r>
      <w:r>
        <w:rPr>
          <w:rFonts w:ascii="Times New Roman" w:hAnsi="Times New Roman" w:eastAsia="Times New Roman" w:cs="Times New Roman"/>
          <w:i/>
          <w:iCs/>
          <w:spacing w:val="-2"/>
          <w:sz w:val="24"/>
          <w:szCs w:val="24"/>
        </w:rPr>
        <w:t>CH</w:t>
      </w:r>
      <w:r>
        <w:rPr>
          <w:rFonts w:ascii="Times New Roman" w:hAnsi="Times New Roman" w:eastAsia="Times New Roman" w:cs="Times New Roman"/>
          <w:i/>
          <w:iCs/>
          <w:spacing w:val="-2"/>
          <w:position w:val="-2"/>
          <w:sz w:val="15"/>
          <w:szCs w:val="15"/>
        </w:rPr>
        <w:t>3</w:t>
      </w:r>
      <w:r>
        <w:rPr>
          <w:rFonts w:ascii="Times New Roman" w:hAnsi="Times New Roman" w:eastAsia="Times New Roman" w:cs="Times New Roman"/>
          <w:i/>
          <w:iCs/>
          <w:spacing w:val="-21"/>
          <w:position w:val="-2"/>
          <w:sz w:val="15"/>
          <w:szCs w:val="15"/>
        </w:rPr>
        <w:t xml:space="preserve"> </w:t>
      </w:r>
      <w:r>
        <w:rPr>
          <w:rFonts w:ascii="Times New Roman" w:hAnsi="Times New Roman" w:eastAsia="Times New Roman" w:cs="Times New Roman"/>
          <w:i/>
          <w:iCs/>
          <w:spacing w:val="-2"/>
          <w:sz w:val="24"/>
          <w:szCs w:val="24"/>
        </w:rPr>
        <w:t>COOH+2H</w:t>
      </w:r>
      <w:r>
        <w:rPr>
          <w:rFonts w:ascii="Times New Roman" w:hAnsi="Times New Roman" w:eastAsia="Times New Roman" w:cs="Times New Roman"/>
          <w:i/>
          <w:iCs/>
          <w:spacing w:val="-2"/>
          <w:position w:val="-2"/>
          <w:sz w:val="15"/>
          <w:szCs w:val="15"/>
        </w:rPr>
        <w:t>2</w:t>
      </w:r>
    </w:p>
    <w:p w14:paraId="36E386D0">
      <w:pPr>
        <w:spacing w:before="243" w:line="195" w:lineRule="auto"/>
        <w:ind w:left="526"/>
        <w:rPr>
          <w:rFonts w:ascii="Times New Roman" w:hAnsi="Times New Roman" w:eastAsia="Times New Roman" w:cs="Times New Roman"/>
          <w:sz w:val="15"/>
          <w:szCs w:val="15"/>
        </w:rPr>
      </w:pPr>
      <w:r>
        <w:rPr>
          <w:rFonts w:ascii="Times New Roman" w:hAnsi="Times New Roman" w:eastAsia="Times New Roman" w:cs="Times New Roman"/>
          <w:i/>
          <w:iCs/>
          <w:spacing w:val="-2"/>
          <w:w w:val="99"/>
          <w:sz w:val="24"/>
          <w:szCs w:val="24"/>
        </w:rPr>
        <w:t>CH</w:t>
      </w:r>
      <w:r>
        <w:rPr>
          <w:rFonts w:ascii="Times New Roman" w:hAnsi="Times New Roman" w:eastAsia="Times New Roman" w:cs="Times New Roman"/>
          <w:i/>
          <w:iCs/>
          <w:spacing w:val="-2"/>
          <w:w w:val="99"/>
          <w:position w:val="-2"/>
          <w:sz w:val="15"/>
          <w:szCs w:val="15"/>
        </w:rPr>
        <w:t>3</w:t>
      </w:r>
      <w:r>
        <w:rPr>
          <w:rFonts w:ascii="Times New Roman" w:hAnsi="Times New Roman" w:eastAsia="Times New Roman" w:cs="Times New Roman"/>
          <w:i/>
          <w:iCs/>
          <w:spacing w:val="-5"/>
          <w:position w:val="-2"/>
          <w:sz w:val="15"/>
          <w:szCs w:val="15"/>
        </w:rPr>
        <w:t xml:space="preserve"> </w:t>
      </w:r>
      <w:r>
        <w:rPr>
          <w:rFonts w:ascii="Times New Roman" w:hAnsi="Times New Roman" w:eastAsia="Times New Roman" w:cs="Times New Roman"/>
          <w:i/>
          <w:iCs/>
          <w:spacing w:val="-2"/>
          <w:w w:val="99"/>
          <w:sz w:val="24"/>
          <w:szCs w:val="24"/>
        </w:rPr>
        <w:t>CH</w:t>
      </w:r>
      <w:r>
        <w:rPr>
          <w:rFonts w:ascii="Times New Roman" w:hAnsi="Times New Roman" w:eastAsia="Times New Roman" w:cs="Times New Roman"/>
          <w:i/>
          <w:iCs/>
          <w:spacing w:val="-2"/>
          <w:w w:val="99"/>
          <w:position w:val="-2"/>
          <w:sz w:val="15"/>
          <w:szCs w:val="15"/>
        </w:rPr>
        <w:t>2</w:t>
      </w:r>
      <w:r>
        <w:rPr>
          <w:rFonts w:ascii="Times New Roman" w:hAnsi="Times New Roman" w:eastAsia="Times New Roman" w:cs="Times New Roman"/>
          <w:i/>
          <w:iCs/>
          <w:spacing w:val="-20"/>
          <w:position w:val="-2"/>
          <w:sz w:val="15"/>
          <w:szCs w:val="15"/>
        </w:rPr>
        <w:t xml:space="preserve"> </w:t>
      </w:r>
      <w:r>
        <w:rPr>
          <w:rFonts w:ascii="Times New Roman" w:hAnsi="Times New Roman" w:eastAsia="Times New Roman" w:cs="Times New Roman"/>
          <w:i/>
          <w:iCs/>
          <w:spacing w:val="-2"/>
          <w:w w:val="99"/>
          <w:sz w:val="24"/>
          <w:szCs w:val="24"/>
        </w:rPr>
        <w:t>COOH+2H</w:t>
      </w:r>
      <w:r>
        <w:rPr>
          <w:rFonts w:ascii="Times New Roman" w:hAnsi="Times New Roman" w:eastAsia="Times New Roman" w:cs="Times New Roman"/>
          <w:i/>
          <w:iCs/>
          <w:spacing w:val="-2"/>
          <w:w w:val="99"/>
          <w:position w:val="-2"/>
          <w:sz w:val="15"/>
          <w:szCs w:val="15"/>
        </w:rPr>
        <w:t>2</w:t>
      </w:r>
      <w:r>
        <w:rPr>
          <w:rFonts w:ascii="Times New Roman" w:hAnsi="Times New Roman" w:eastAsia="Times New Roman" w:cs="Times New Roman"/>
          <w:i/>
          <w:iCs/>
          <w:spacing w:val="-23"/>
          <w:position w:val="-2"/>
          <w:sz w:val="15"/>
          <w:szCs w:val="15"/>
        </w:rPr>
        <w:t xml:space="preserve"> </w:t>
      </w:r>
      <w:r>
        <w:rPr>
          <w:rFonts w:ascii="Times New Roman" w:hAnsi="Times New Roman" w:eastAsia="Times New Roman" w:cs="Times New Roman"/>
          <w:i/>
          <w:iCs/>
          <w:spacing w:val="-2"/>
          <w:w w:val="99"/>
          <w:sz w:val="24"/>
          <w:szCs w:val="24"/>
        </w:rPr>
        <w:t>O→</w:t>
      </w:r>
      <w:r>
        <w:rPr>
          <w:rFonts w:ascii="Times New Roman" w:hAnsi="Times New Roman" w:eastAsia="Times New Roman" w:cs="Times New Roman"/>
          <w:i/>
          <w:iCs/>
          <w:spacing w:val="-44"/>
          <w:sz w:val="24"/>
          <w:szCs w:val="24"/>
        </w:rPr>
        <w:t xml:space="preserve"> </w:t>
      </w:r>
      <w:r>
        <w:rPr>
          <w:rFonts w:ascii="Times New Roman" w:hAnsi="Times New Roman" w:eastAsia="Times New Roman" w:cs="Times New Roman"/>
          <w:i/>
          <w:iCs/>
          <w:spacing w:val="-2"/>
          <w:w w:val="99"/>
          <w:sz w:val="24"/>
          <w:szCs w:val="24"/>
        </w:rPr>
        <w:t>CH</w:t>
      </w:r>
      <w:r>
        <w:rPr>
          <w:rFonts w:ascii="Times New Roman" w:hAnsi="Times New Roman" w:eastAsia="Times New Roman" w:cs="Times New Roman"/>
          <w:i/>
          <w:iCs/>
          <w:spacing w:val="-2"/>
          <w:w w:val="99"/>
          <w:position w:val="-2"/>
          <w:sz w:val="15"/>
          <w:szCs w:val="15"/>
        </w:rPr>
        <w:t>3</w:t>
      </w:r>
      <w:r>
        <w:rPr>
          <w:rFonts w:ascii="Times New Roman" w:hAnsi="Times New Roman" w:eastAsia="Times New Roman" w:cs="Times New Roman"/>
          <w:i/>
          <w:iCs/>
          <w:spacing w:val="-21"/>
          <w:position w:val="-2"/>
          <w:sz w:val="15"/>
          <w:szCs w:val="15"/>
        </w:rPr>
        <w:t xml:space="preserve"> </w:t>
      </w:r>
      <w:r>
        <w:rPr>
          <w:rFonts w:ascii="Times New Roman" w:hAnsi="Times New Roman" w:eastAsia="Times New Roman" w:cs="Times New Roman"/>
          <w:i/>
          <w:iCs/>
          <w:spacing w:val="-2"/>
          <w:w w:val="99"/>
          <w:sz w:val="24"/>
          <w:szCs w:val="24"/>
        </w:rPr>
        <w:t>COOH+3H</w:t>
      </w:r>
      <w:r>
        <w:rPr>
          <w:rFonts w:ascii="Times New Roman" w:hAnsi="Times New Roman" w:eastAsia="Times New Roman" w:cs="Times New Roman"/>
          <w:i/>
          <w:iCs/>
          <w:spacing w:val="-2"/>
          <w:w w:val="99"/>
          <w:position w:val="-2"/>
          <w:sz w:val="15"/>
          <w:szCs w:val="15"/>
        </w:rPr>
        <w:t>2</w:t>
      </w:r>
      <w:r>
        <w:rPr>
          <w:rFonts w:ascii="Times New Roman" w:hAnsi="Times New Roman" w:eastAsia="Times New Roman" w:cs="Times New Roman"/>
          <w:i/>
          <w:iCs/>
          <w:spacing w:val="-14"/>
          <w:position w:val="-2"/>
          <w:sz w:val="15"/>
          <w:szCs w:val="15"/>
        </w:rPr>
        <w:t xml:space="preserve"> </w:t>
      </w:r>
      <w:r>
        <w:rPr>
          <w:rFonts w:ascii="Times New Roman" w:hAnsi="Times New Roman" w:eastAsia="Times New Roman" w:cs="Times New Roman"/>
          <w:i/>
          <w:iCs/>
          <w:spacing w:val="-2"/>
          <w:w w:val="99"/>
          <w:sz w:val="24"/>
          <w:szCs w:val="24"/>
        </w:rPr>
        <w:t>+CO</w:t>
      </w:r>
      <w:r>
        <w:rPr>
          <w:rFonts w:ascii="Times New Roman" w:hAnsi="Times New Roman" w:eastAsia="Times New Roman" w:cs="Times New Roman"/>
          <w:i/>
          <w:iCs/>
          <w:spacing w:val="-2"/>
          <w:w w:val="99"/>
          <w:position w:val="-2"/>
          <w:sz w:val="15"/>
          <w:szCs w:val="15"/>
        </w:rPr>
        <w:t>2</w:t>
      </w:r>
    </w:p>
    <w:p w14:paraId="72DDB9B0">
      <w:pPr>
        <w:spacing w:before="243" w:line="195" w:lineRule="auto"/>
        <w:ind w:left="526"/>
        <w:rPr>
          <w:rFonts w:ascii="Times New Roman" w:hAnsi="Times New Roman" w:eastAsia="Times New Roman" w:cs="Times New Roman"/>
          <w:sz w:val="15"/>
          <w:szCs w:val="15"/>
        </w:rPr>
      </w:pPr>
      <w:r>
        <w:rPr>
          <w:rFonts w:ascii="Times New Roman" w:hAnsi="Times New Roman" w:eastAsia="Times New Roman" w:cs="Times New Roman"/>
          <w:i/>
          <w:iCs/>
          <w:w w:val="99"/>
          <w:sz w:val="24"/>
          <w:szCs w:val="24"/>
        </w:rPr>
        <w:t>CH</w:t>
      </w:r>
      <w:r>
        <w:rPr>
          <w:rFonts w:ascii="Times New Roman" w:hAnsi="Times New Roman" w:eastAsia="Times New Roman" w:cs="Times New Roman"/>
          <w:i/>
          <w:iCs/>
          <w:w w:val="99"/>
          <w:position w:val="-2"/>
          <w:sz w:val="15"/>
          <w:szCs w:val="15"/>
        </w:rPr>
        <w:t>3</w:t>
      </w:r>
      <w:r>
        <w:rPr>
          <w:rFonts w:ascii="Times New Roman" w:hAnsi="Times New Roman" w:eastAsia="Times New Roman" w:cs="Times New Roman"/>
          <w:i/>
          <w:iCs/>
          <w:spacing w:val="-21"/>
          <w:position w:val="-2"/>
          <w:sz w:val="15"/>
          <w:szCs w:val="15"/>
        </w:rPr>
        <w:t xml:space="preserve"> </w:t>
      </w:r>
      <w:r>
        <w:rPr>
          <w:rFonts w:ascii="Times New Roman" w:hAnsi="Times New Roman" w:eastAsia="Times New Roman" w:cs="Times New Roman"/>
          <w:i/>
          <w:iCs/>
          <w:w w:val="99"/>
          <w:sz w:val="24"/>
          <w:szCs w:val="24"/>
        </w:rPr>
        <w:t>CH</w:t>
      </w:r>
      <w:r>
        <w:rPr>
          <w:rFonts w:ascii="Times New Roman" w:hAnsi="Times New Roman" w:eastAsia="Times New Roman" w:cs="Times New Roman"/>
          <w:i/>
          <w:iCs/>
          <w:w w:val="99"/>
          <w:position w:val="-2"/>
          <w:sz w:val="15"/>
          <w:szCs w:val="15"/>
        </w:rPr>
        <w:t>2</w:t>
      </w:r>
      <w:r>
        <w:rPr>
          <w:rFonts w:ascii="Times New Roman" w:hAnsi="Times New Roman" w:eastAsia="Times New Roman" w:cs="Times New Roman"/>
          <w:i/>
          <w:iCs/>
          <w:spacing w:val="-21"/>
          <w:position w:val="-2"/>
          <w:sz w:val="15"/>
          <w:szCs w:val="15"/>
        </w:rPr>
        <w:t xml:space="preserve"> </w:t>
      </w:r>
      <w:r>
        <w:rPr>
          <w:rFonts w:ascii="Times New Roman" w:hAnsi="Times New Roman" w:eastAsia="Times New Roman" w:cs="Times New Roman"/>
          <w:i/>
          <w:iCs/>
          <w:w w:val="99"/>
          <w:sz w:val="24"/>
          <w:szCs w:val="24"/>
        </w:rPr>
        <w:t>COOH+2H</w:t>
      </w:r>
      <w:r>
        <w:rPr>
          <w:rFonts w:ascii="Times New Roman" w:hAnsi="Times New Roman" w:eastAsia="Times New Roman" w:cs="Times New Roman"/>
          <w:i/>
          <w:iCs/>
          <w:w w:val="99"/>
          <w:position w:val="-2"/>
          <w:sz w:val="15"/>
          <w:szCs w:val="15"/>
        </w:rPr>
        <w:t>2</w:t>
      </w:r>
      <w:r>
        <w:rPr>
          <w:rFonts w:ascii="Times New Roman" w:hAnsi="Times New Roman" w:eastAsia="Times New Roman" w:cs="Times New Roman"/>
          <w:i/>
          <w:iCs/>
          <w:spacing w:val="-22"/>
          <w:position w:val="-2"/>
          <w:sz w:val="15"/>
          <w:szCs w:val="15"/>
        </w:rPr>
        <w:t xml:space="preserve"> </w:t>
      </w:r>
      <w:r>
        <w:rPr>
          <w:rFonts w:ascii="Times New Roman" w:hAnsi="Times New Roman" w:eastAsia="Times New Roman" w:cs="Times New Roman"/>
          <w:i/>
          <w:iCs/>
          <w:w w:val="99"/>
          <w:sz w:val="24"/>
          <w:szCs w:val="24"/>
        </w:rPr>
        <w:t>O→2CH</w:t>
      </w:r>
      <w:r>
        <w:rPr>
          <w:rFonts w:ascii="Times New Roman" w:hAnsi="Times New Roman" w:eastAsia="Times New Roman" w:cs="Times New Roman"/>
          <w:i/>
          <w:iCs/>
          <w:w w:val="99"/>
          <w:position w:val="-2"/>
          <w:sz w:val="15"/>
          <w:szCs w:val="15"/>
        </w:rPr>
        <w:t>3</w:t>
      </w:r>
      <w:r>
        <w:rPr>
          <w:rFonts w:ascii="Times New Roman" w:hAnsi="Times New Roman" w:eastAsia="Times New Roman" w:cs="Times New Roman"/>
          <w:i/>
          <w:iCs/>
          <w:spacing w:val="-21"/>
          <w:position w:val="-2"/>
          <w:sz w:val="15"/>
          <w:szCs w:val="15"/>
        </w:rPr>
        <w:t xml:space="preserve"> </w:t>
      </w:r>
      <w:r>
        <w:rPr>
          <w:rFonts w:ascii="Times New Roman" w:hAnsi="Times New Roman" w:eastAsia="Times New Roman" w:cs="Times New Roman"/>
          <w:i/>
          <w:iCs/>
          <w:w w:val="99"/>
          <w:sz w:val="24"/>
          <w:szCs w:val="24"/>
        </w:rPr>
        <w:t>COOH+2H</w:t>
      </w:r>
      <w:r>
        <w:rPr>
          <w:rFonts w:ascii="Times New Roman" w:hAnsi="Times New Roman" w:eastAsia="Times New Roman" w:cs="Times New Roman"/>
          <w:i/>
          <w:iCs/>
          <w:spacing w:val="-1"/>
          <w:w w:val="99"/>
          <w:position w:val="-2"/>
          <w:sz w:val="15"/>
          <w:szCs w:val="15"/>
        </w:rPr>
        <w:t>2</w:t>
      </w:r>
    </w:p>
    <w:p w14:paraId="0A4AC2BB">
      <w:pPr>
        <w:spacing w:before="201" w:line="217" w:lineRule="auto"/>
        <w:ind w:left="519"/>
        <w:rPr>
          <w:rFonts w:ascii="宋体" w:hAnsi="宋体" w:eastAsia="宋体" w:cs="宋体"/>
          <w:sz w:val="24"/>
          <w:szCs w:val="24"/>
        </w:rPr>
      </w:pPr>
      <w:r>
        <w:rPr>
          <w:rFonts w:ascii="宋体" w:hAnsi="宋体" w:eastAsia="宋体" w:cs="宋体"/>
          <w:b/>
          <w:bCs/>
          <w:spacing w:val="-3"/>
          <w:sz w:val="24"/>
          <w:szCs w:val="24"/>
        </w:rPr>
        <w:t>④产甲烷阶段</w:t>
      </w:r>
    </w:p>
    <w:p w14:paraId="125E51B6">
      <w:pPr>
        <w:spacing w:before="185" w:line="360" w:lineRule="auto"/>
        <w:ind w:left="38" w:right="20" w:firstLine="480"/>
        <w:jc w:val="both"/>
        <w:rPr>
          <w:rFonts w:ascii="宋体" w:hAnsi="宋体" w:eastAsia="宋体" w:cs="宋体"/>
          <w:sz w:val="24"/>
          <w:szCs w:val="24"/>
        </w:rPr>
      </w:pPr>
      <w:r>
        <w:rPr>
          <w:rFonts w:ascii="宋体" w:hAnsi="宋体" w:eastAsia="宋体" w:cs="宋体"/>
          <w:spacing w:val="-1"/>
          <w:sz w:val="24"/>
          <w:szCs w:val="24"/>
        </w:rPr>
        <w:t>在这一阶段过程中，产甲烷微生物将</w:t>
      </w:r>
      <w:r>
        <w:rPr>
          <w:rFonts w:ascii="Times New Roman" w:hAnsi="Times New Roman" w:eastAsia="Times New Roman" w:cs="Times New Roman"/>
          <w:spacing w:val="-1"/>
          <w:sz w:val="24"/>
          <w:szCs w:val="24"/>
        </w:rPr>
        <w:t>CH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1"/>
          <w:sz w:val="24"/>
          <w:szCs w:val="24"/>
        </w:rPr>
        <w:t>COOH</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宋体" w:hAnsi="宋体" w:eastAsia="宋体" w:cs="宋体"/>
          <w:spacing w:val="-1"/>
          <w:sz w:val="24"/>
          <w:szCs w:val="24"/>
        </w:rPr>
        <w:t>、碳酸、甲酸和甲醇等转化为甲烷、二氧化碳和新的细胞物质。有些细菌能够直接利用乙酸产生甲烷，</w:t>
      </w:r>
      <w:r>
        <w:rPr>
          <w:rFonts w:ascii="宋体" w:hAnsi="宋体" w:eastAsia="宋体" w:cs="宋体"/>
          <w:spacing w:val="-3"/>
          <w:sz w:val="24"/>
          <w:szCs w:val="24"/>
        </w:rPr>
        <w:t>在一般的厌氧反应器中，由乙酸分解产生的甲烷和由氢气分解产生的甲烷的比例</w:t>
      </w:r>
      <w:r>
        <w:rPr>
          <w:rFonts w:ascii="宋体" w:hAnsi="宋体" w:eastAsia="宋体" w:cs="宋体"/>
          <w:spacing w:val="-2"/>
          <w:sz w:val="24"/>
          <w:szCs w:val="24"/>
        </w:rPr>
        <w:t>为</w:t>
      </w:r>
      <w:r>
        <w:rPr>
          <w:rFonts w:ascii="Times New Roman" w:hAnsi="Times New Roman" w:eastAsia="Times New Roman" w:cs="Times New Roman"/>
          <w:spacing w:val="-2"/>
          <w:sz w:val="24"/>
          <w:szCs w:val="24"/>
        </w:rPr>
        <w:t>7:3</w:t>
      </w:r>
      <w:r>
        <w:rPr>
          <w:rFonts w:ascii="宋体" w:hAnsi="宋体" w:eastAsia="宋体" w:cs="宋体"/>
          <w:spacing w:val="-2"/>
          <w:sz w:val="24"/>
          <w:szCs w:val="24"/>
        </w:rPr>
        <w:t>。</w:t>
      </w:r>
    </w:p>
    <w:p w14:paraId="451CF0EE">
      <w:pPr>
        <w:spacing w:before="2" w:line="220" w:lineRule="auto"/>
        <w:ind w:left="520"/>
        <w:rPr>
          <w:rFonts w:ascii="Times New Roman" w:hAnsi="Times New Roman" w:eastAsia="Times New Roman" w:cs="Times New Roman"/>
          <w:sz w:val="15"/>
          <w:szCs w:val="15"/>
        </w:rPr>
      </w:pPr>
      <w:r>
        <w:rPr>
          <w:rFonts w:ascii="宋体" w:hAnsi="宋体" w:eastAsia="宋体" w:cs="宋体"/>
          <w:spacing w:val="-3"/>
          <w:sz w:val="24"/>
          <w:szCs w:val="24"/>
        </w:rPr>
        <w:t>利用乙酸：</w:t>
      </w:r>
      <w:r>
        <w:rPr>
          <w:rFonts w:ascii="Times New Roman" w:hAnsi="Times New Roman" w:eastAsia="Times New Roman" w:cs="Times New Roman"/>
          <w:i/>
          <w:iCs/>
          <w:spacing w:val="-3"/>
          <w:sz w:val="24"/>
          <w:szCs w:val="24"/>
        </w:rPr>
        <w:t>CH</w:t>
      </w:r>
      <w:r>
        <w:rPr>
          <w:rFonts w:ascii="Times New Roman" w:hAnsi="Times New Roman" w:eastAsia="Times New Roman" w:cs="Times New Roman"/>
          <w:i/>
          <w:iCs/>
          <w:spacing w:val="-3"/>
          <w:position w:val="-2"/>
          <w:sz w:val="15"/>
          <w:szCs w:val="15"/>
        </w:rPr>
        <w:t>3</w:t>
      </w:r>
      <w:r>
        <w:rPr>
          <w:rFonts w:ascii="Times New Roman" w:hAnsi="Times New Roman" w:eastAsia="Times New Roman" w:cs="Times New Roman"/>
          <w:i/>
          <w:iCs/>
          <w:spacing w:val="-6"/>
          <w:position w:val="-2"/>
          <w:sz w:val="15"/>
          <w:szCs w:val="15"/>
        </w:rPr>
        <w:t xml:space="preserve"> </w:t>
      </w:r>
      <w:r>
        <w:rPr>
          <w:rFonts w:ascii="Times New Roman" w:hAnsi="Times New Roman" w:eastAsia="Times New Roman" w:cs="Times New Roman"/>
          <w:i/>
          <w:iCs/>
          <w:spacing w:val="-3"/>
          <w:sz w:val="24"/>
          <w:szCs w:val="24"/>
        </w:rPr>
        <w:t>COOH</w:t>
      </w:r>
      <w:r>
        <w:rPr>
          <w:rFonts w:ascii="Times New Roman" w:hAnsi="Times New Roman" w:eastAsia="Times New Roman" w:cs="Times New Roman"/>
          <w:i/>
          <w:iCs/>
          <w:spacing w:val="-3"/>
          <w:position w:val="-2"/>
          <w:sz w:val="15"/>
          <w:szCs w:val="15"/>
        </w:rPr>
        <w:t>4</w:t>
      </w:r>
      <w:r>
        <w:rPr>
          <w:rFonts w:ascii="Times New Roman" w:hAnsi="Times New Roman" w:eastAsia="Times New Roman" w:cs="Times New Roman"/>
          <w:i/>
          <w:iCs/>
          <w:spacing w:val="-3"/>
          <w:sz w:val="24"/>
          <w:szCs w:val="24"/>
        </w:rPr>
        <w:t>→</w:t>
      </w:r>
      <w:r>
        <w:rPr>
          <w:rFonts w:ascii="Times New Roman" w:hAnsi="Times New Roman" w:eastAsia="Times New Roman" w:cs="Times New Roman"/>
          <w:i/>
          <w:iCs/>
          <w:spacing w:val="-44"/>
          <w:sz w:val="24"/>
          <w:szCs w:val="24"/>
        </w:rPr>
        <w:t xml:space="preserve"> </w:t>
      </w:r>
      <w:r>
        <w:rPr>
          <w:rFonts w:ascii="Times New Roman" w:hAnsi="Times New Roman" w:eastAsia="Times New Roman" w:cs="Times New Roman"/>
          <w:i/>
          <w:iCs/>
          <w:spacing w:val="-3"/>
          <w:sz w:val="24"/>
          <w:szCs w:val="24"/>
        </w:rPr>
        <w:t>CH</w:t>
      </w:r>
      <w:r>
        <w:rPr>
          <w:rFonts w:ascii="Times New Roman" w:hAnsi="Times New Roman" w:eastAsia="Times New Roman" w:cs="Times New Roman"/>
          <w:i/>
          <w:iCs/>
          <w:spacing w:val="-3"/>
          <w:position w:val="-2"/>
          <w:sz w:val="15"/>
          <w:szCs w:val="15"/>
        </w:rPr>
        <w:t>4</w:t>
      </w:r>
      <w:r>
        <w:rPr>
          <w:rFonts w:ascii="Times New Roman" w:hAnsi="Times New Roman" w:eastAsia="Times New Roman" w:cs="Times New Roman"/>
          <w:i/>
          <w:iCs/>
          <w:spacing w:val="-14"/>
          <w:position w:val="-2"/>
          <w:sz w:val="15"/>
          <w:szCs w:val="15"/>
        </w:rPr>
        <w:t xml:space="preserve"> </w:t>
      </w:r>
      <w:r>
        <w:rPr>
          <w:rFonts w:ascii="Times New Roman" w:hAnsi="Times New Roman" w:eastAsia="Times New Roman" w:cs="Times New Roman"/>
          <w:i/>
          <w:iCs/>
          <w:spacing w:val="-3"/>
          <w:sz w:val="24"/>
          <w:szCs w:val="24"/>
        </w:rPr>
        <w:t>+CO</w:t>
      </w:r>
      <w:r>
        <w:rPr>
          <w:rFonts w:ascii="Times New Roman" w:hAnsi="Times New Roman" w:eastAsia="Times New Roman" w:cs="Times New Roman"/>
          <w:i/>
          <w:iCs/>
          <w:spacing w:val="-3"/>
          <w:position w:val="-2"/>
          <w:sz w:val="15"/>
          <w:szCs w:val="15"/>
        </w:rPr>
        <w:t>2</w:t>
      </w:r>
    </w:p>
    <w:p w14:paraId="4D787FB0">
      <w:pPr>
        <w:spacing w:before="180" w:line="221" w:lineRule="auto"/>
        <w:ind w:left="520"/>
        <w:rPr>
          <w:rFonts w:ascii="Times New Roman" w:hAnsi="Times New Roman" w:eastAsia="Times New Roman" w:cs="Times New Roman"/>
          <w:sz w:val="24"/>
          <w:szCs w:val="24"/>
        </w:rPr>
      </w:pPr>
      <w:r>
        <w:rPr>
          <w:rFonts w:ascii="宋体" w:hAnsi="宋体" w:eastAsia="宋体" w:cs="宋体"/>
          <w:spacing w:val="-3"/>
          <w:sz w:val="24"/>
          <w:szCs w:val="24"/>
        </w:rPr>
        <w:t>利用</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13"/>
          <w:w w:val="102"/>
          <w:position w:val="-2"/>
          <w:sz w:val="15"/>
          <w:szCs w:val="15"/>
        </w:rPr>
        <w:t xml:space="preserve"> </w:t>
      </w:r>
      <w:r>
        <w:rPr>
          <w:rFonts w:ascii="宋体" w:hAnsi="宋体" w:eastAsia="宋体" w:cs="宋体"/>
          <w:spacing w:val="-3"/>
          <w:sz w:val="24"/>
          <w:szCs w:val="24"/>
        </w:rPr>
        <w:t>和</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CO</w:t>
      </w:r>
      <w:r>
        <w:rPr>
          <w:rFonts w:ascii="Times New Roman" w:hAnsi="Times New Roman" w:eastAsia="Times New Roman" w:cs="Times New Roman"/>
          <w:spacing w:val="-3"/>
          <w:position w:val="-2"/>
          <w:sz w:val="15"/>
          <w:szCs w:val="15"/>
        </w:rPr>
        <w:t>2</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H</w:t>
      </w:r>
      <w:r>
        <w:rPr>
          <w:rFonts w:ascii="Times New Roman" w:hAnsi="Times New Roman" w:eastAsia="Times New Roman" w:cs="Times New Roman"/>
          <w:i/>
          <w:iCs/>
          <w:spacing w:val="-3"/>
          <w:position w:val="-2"/>
          <w:sz w:val="15"/>
          <w:szCs w:val="15"/>
        </w:rPr>
        <w:t>2</w:t>
      </w:r>
      <w:r>
        <w:rPr>
          <w:rFonts w:ascii="Times New Roman" w:hAnsi="Times New Roman" w:eastAsia="Times New Roman" w:cs="Times New Roman"/>
          <w:i/>
          <w:iCs/>
          <w:spacing w:val="-14"/>
          <w:position w:val="-2"/>
          <w:sz w:val="15"/>
          <w:szCs w:val="15"/>
        </w:rPr>
        <w:t xml:space="preserve"> </w:t>
      </w:r>
      <w:r>
        <w:rPr>
          <w:rFonts w:ascii="Times New Roman" w:hAnsi="Times New Roman" w:eastAsia="Times New Roman" w:cs="Times New Roman"/>
          <w:i/>
          <w:iCs/>
          <w:spacing w:val="-3"/>
          <w:sz w:val="24"/>
          <w:szCs w:val="24"/>
        </w:rPr>
        <w:t>+CO</w:t>
      </w:r>
      <w:r>
        <w:rPr>
          <w:rFonts w:ascii="Times New Roman" w:hAnsi="Times New Roman" w:eastAsia="Times New Roman" w:cs="Times New Roman"/>
          <w:i/>
          <w:iCs/>
          <w:spacing w:val="-3"/>
          <w:position w:val="-2"/>
          <w:sz w:val="15"/>
          <w:szCs w:val="15"/>
        </w:rPr>
        <w:t>2</w:t>
      </w:r>
      <w:r>
        <w:rPr>
          <w:rFonts w:ascii="Times New Roman" w:hAnsi="Times New Roman" w:eastAsia="Times New Roman" w:cs="Times New Roman"/>
          <w:i/>
          <w:iCs/>
          <w:spacing w:val="-3"/>
          <w:sz w:val="24"/>
          <w:szCs w:val="24"/>
        </w:rPr>
        <w:t>→</w:t>
      </w:r>
      <w:r>
        <w:rPr>
          <w:rFonts w:ascii="Times New Roman" w:hAnsi="Times New Roman" w:eastAsia="Times New Roman" w:cs="Times New Roman"/>
          <w:i/>
          <w:iCs/>
          <w:spacing w:val="-44"/>
          <w:sz w:val="24"/>
          <w:szCs w:val="24"/>
        </w:rPr>
        <w:t xml:space="preserve"> </w:t>
      </w:r>
      <w:r>
        <w:rPr>
          <w:rFonts w:ascii="Times New Roman" w:hAnsi="Times New Roman" w:eastAsia="Times New Roman" w:cs="Times New Roman"/>
          <w:i/>
          <w:iCs/>
          <w:spacing w:val="-3"/>
          <w:sz w:val="24"/>
          <w:szCs w:val="24"/>
        </w:rPr>
        <w:t>CH</w:t>
      </w:r>
      <w:r>
        <w:rPr>
          <w:rFonts w:ascii="Times New Roman" w:hAnsi="Times New Roman" w:eastAsia="Times New Roman" w:cs="Times New Roman"/>
          <w:i/>
          <w:iCs/>
          <w:spacing w:val="-3"/>
          <w:position w:val="-2"/>
          <w:sz w:val="15"/>
          <w:szCs w:val="15"/>
        </w:rPr>
        <w:t>4</w:t>
      </w:r>
      <w:r>
        <w:rPr>
          <w:rFonts w:ascii="Times New Roman" w:hAnsi="Times New Roman" w:eastAsia="Times New Roman" w:cs="Times New Roman"/>
          <w:i/>
          <w:iCs/>
          <w:spacing w:val="-14"/>
          <w:position w:val="-2"/>
          <w:sz w:val="15"/>
          <w:szCs w:val="15"/>
        </w:rPr>
        <w:t xml:space="preserve"> </w:t>
      </w:r>
      <w:r>
        <w:rPr>
          <w:rFonts w:ascii="Times New Roman" w:hAnsi="Times New Roman" w:eastAsia="Times New Roman" w:cs="Times New Roman"/>
          <w:i/>
          <w:iCs/>
          <w:spacing w:val="-3"/>
          <w:sz w:val="24"/>
          <w:szCs w:val="24"/>
        </w:rPr>
        <w:t>+H</w:t>
      </w:r>
      <w:r>
        <w:rPr>
          <w:rFonts w:ascii="Times New Roman" w:hAnsi="Times New Roman" w:eastAsia="Times New Roman" w:cs="Times New Roman"/>
          <w:i/>
          <w:iCs/>
          <w:spacing w:val="-3"/>
          <w:position w:val="-2"/>
          <w:sz w:val="15"/>
          <w:szCs w:val="15"/>
        </w:rPr>
        <w:t>2</w:t>
      </w:r>
      <w:r>
        <w:rPr>
          <w:rFonts w:ascii="Times New Roman" w:hAnsi="Times New Roman" w:eastAsia="Times New Roman" w:cs="Times New Roman"/>
          <w:i/>
          <w:iCs/>
          <w:spacing w:val="-22"/>
          <w:position w:val="-2"/>
          <w:sz w:val="15"/>
          <w:szCs w:val="15"/>
        </w:rPr>
        <w:t xml:space="preserve"> </w:t>
      </w:r>
      <w:r>
        <w:rPr>
          <w:rFonts w:ascii="Times New Roman" w:hAnsi="Times New Roman" w:eastAsia="Times New Roman" w:cs="Times New Roman"/>
          <w:i/>
          <w:iCs/>
          <w:spacing w:val="-3"/>
          <w:sz w:val="24"/>
          <w:szCs w:val="24"/>
        </w:rPr>
        <w:t>O</w:t>
      </w:r>
    </w:p>
    <w:p w14:paraId="06C1F3E7">
      <w:pPr>
        <w:spacing w:line="221" w:lineRule="auto"/>
        <w:rPr>
          <w:rFonts w:ascii="Times New Roman" w:hAnsi="Times New Roman" w:eastAsia="Times New Roman" w:cs="Times New Roman"/>
          <w:sz w:val="24"/>
          <w:szCs w:val="24"/>
        </w:rPr>
        <w:sectPr>
          <w:headerReference r:id="rId469" w:type="default"/>
          <w:footerReference r:id="rId470" w:type="default"/>
          <w:pgSz w:w="11905" w:h="16840"/>
          <w:pgMar w:top="1168" w:right="1710" w:bottom="1409" w:left="1770" w:header="828" w:footer="1244" w:gutter="0"/>
          <w:cols w:space="720" w:num="1"/>
        </w:sectPr>
      </w:pPr>
    </w:p>
    <w:p w14:paraId="4BC6A0CF">
      <w:pPr>
        <w:pStyle w:val="2"/>
        <w:spacing w:line="307" w:lineRule="auto"/>
      </w:pPr>
    </w:p>
    <w:p w14:paraId="374A1F04">
      <w:pPr>
        <w:spacing w:before="78" w:line="355" w:lineRule="auto"/>
        <w:ind w:left="38" w:firstLine="482"/>
        <w:jc w:val="both"/>
        <w:rPr>
          <w:rFonts w:ascii="宋体" w:hAnsi="宋体" w:eastAsia="宋体" w:cs="宋体"/>
          <w:sz w:val="24"/>
          <w:szCs w:val="24"/>
        </w:rPr>
      </w:pPr>
      <w:r>
        <w:rPr>
          <w:rFonts w:ascii="宋体" w:hAnsi="宋体" w:eastAsia="宋体" w:cs="宋体"/>
          <w:sz w:val="24"/>
          <w:szCs w:val="24"/>
        </w:rPr>
        <w:t>上述</w:t>
      </w:r>
      <w:r>
        <w:rPr>
          <w:rFonts w:ascii="Times New Roman" w:hAnsi="Times New Roman" w:eastAsia="Times New Roman" w:cs="Times New Roman"/>
          <w:sz w:val="24"/>
          <w:szCs w:val="24"/>
        </w:rPr>
        <w:t>4</w:t>
      </w:r>
      <w:r>
        <w:rPr>
          <w:rFonts w:ascii="宋体" w:hAnsi="宋体" w:eastAsia="宋体" w:cs="宋体"/>
          <w:sz w:val="24"/>
          <w:szCs w:val="24"/>
        </w:rPr>
        <w:t>个阶段还包含以下过程：</w:t>
      </w:r>
      <w:r>
        <w:rPr>
          <w:rFonts w:ascii="Times New Roman" w:hAnsi="Times New Roman" w:eastAsia="Times New Roman" w:cs="Times New Roman"/>
          <w:sz w:val="24"/>
          <w:szCs w:val="24"/>
        </w:rPr>
        <w:t>(a)</w:t>
      </w:r>
      <w:r>
        <w:rPr>
          <w:rFonts w:ascii="宋体" w:hAnsi="宋体" w:eastAsia="宋体" w:cs="宋体"/>
          <w:sz w:val="24"/>
          <w:szCs w:val="24"/>
        </w:rPr>
        <w:t>蛋白质、碳</w:t>
      </w:r>
      <w:r>
        <w:rPr>
          <w:rFonts w:ascii="宋体" w:hAnsi="宋体" w:eastAsia="宋体" w:cs="宋体"/>
          <w:spacing w:val="-1"/>
          <w:sz w:val="24"/>
          <w:szCs w:val="24"/>
        </w:rPr>
        <w:t>水化合物的和脂类发生变化是</w:t>
      </w:r>
      <w:r>
        <w:rPr>
          <w:rFonts w:ascii="宋体" w:hAnsi="宋体" w:eastAsia="宋体" w:cs="宋体"/>
          <w:spacing w:val="3"/>
          <w:sz w:val="24"/>
          <w:szCs w:val="24"/>
        </w:rPr>
        <w:t>在水解阶段发生的；</w:t>
      </w:r>
      <w:r>
        <w:rPr>
          <w:rFonts w:ascii="Times New Roman" w:hAnsi="Times New Roman" w:eastAsia="Times New Roman" w:cs="Times New Roman"/>
          <w:spacing w:val="3"/>
          <w:sz w:val="24"/>
          <w:szCs w:val="24"/>
        </w:rPr>
        <w:t>(b)</w:t>
      </w:r>
      <w:r>
        <w:rPr>
          <w:rFonts w:ascii="宋体" w:hAnsi="宋体" w:eastAsia="宋体" w:cs="宋体"/>
          <w:spacing w:val="3"/>
          <w:sz w:val="24"/>
          <w:szCs w:val="24"/>
        </w:rPr>
        <w:t>氨基酸和糖类的氧化、高级脂</w:t>
      </w:r>
      <w:r>
        <w:rPr>
          <w:rFonts w:ascii="宋体" w:hAnsi="宋体" w:eastAsia="宋体" w:cs="宋体"/>
          <w:spacing w:val="2"/>
          <w:sz w:val="24"/>
          <w:szCs w:val="24"/>
        </w:rPr>
        <w:t>肪酸和醇类的氧化发生在</w:t>
      </w:r>
      <w:r>
        <w:rPr>
          <w:rFonts w:ascii="宋体" w:hAnsi="宋体" w:eastAsia="宋体" w:cs="宋体"/>
          <w:spacing w:val="-5"/>
          <w:sz w:val="24"/>
          <w:szCs w:val="24"/>
        </w:rPr>
        <w:t>厌氧发酵阶段；</w:t>
      </w:r>
      <w:r>
        <w:rPr>
          <w:rFonts w:ascii="Times New Roman" w:hAnsi="Times New Roman" w:eastAsia="Times New Roman" w:cs="Times New Roman"/>
          <w:spacing w:val="-5"/>
          <w:sz w:val="24"/>
          <w:szCs w:val="24"/>
        </w:rPr>
        <w:t>(c)</w:t>
      </w:r>
      <w:r>
        <w:rPr>
          <w:rFonts w:ascii="宋体" w:hAnsi="宋体" w:eastAsia="宋体" w:cs="宋体"/>
          <w:spacing w:val="-5"/>
          <w:sz w:val="24"/>
          <w:szCs w:val="24"/>
        </w:rPr>
        <w:t>产乙酸阶段包含从中间产物中形成</w:t>
      </w:r>
      <w:r>
        <w:rPr>
          <w:rFonts w:ascii="Times New Roman" w:hAnsi="Times New Roman" w:eastAsia="Times New Roman" w:cs="Times New Roman"/>
          <w:spacing w:val="-5"/>
          <w:sz w:val="24"/>
          <w:szCs w:val="24"/>
        </w:rPr>
        <w:t>CH</w:t>
      </w:r>
      <w:r>
        <w:rPr>
          <w:rFonts w:ascii="Times New Roman" w:hAnsi="Times New Roman" w:eastAsia="Times New Roman" w:cs="Times New Roman"/>
          <w:spacing w:val="-5"/>
          <w:position w:val="-2"/>
          <w:sz w:val="15"/>
          <w:szCs w:val="15"/>
        </w:rPr>
        <w:t>3</w:t>
      </w:r>
      <w:r>
        <w:rPr>
          <w:rFonts w:ascii="Times New Roman" w:hAnsi="Times New Roman" w:eastAsia="Times New Roman" w:cs="Times New Roman"/>
          <w:spacing w:val="-5"/>
          <w:sz w:val="24"/>
          <w:szCs w:val="24"/>
        </w:rPr>
        <w:t>COOH</w:t>
      </w:r>
      <w:r>
        <w:rPr>
          <w:rFonts w:ascii="宋体" w:hAnsi="宋体" w:eastAsia="宋体" w:cs="宋体"/>
          <w:spacing w:val="-5"/>
          <w:sz w:val="24"/>
          <w:szCs w:val="24"/>
        </w:rPr>
        <w:t>和</w:t>
      </w:r>
      <w:r>
        <w:rPr>
          <w:rFonts w:ascii="Times New Roman" w:hAnsi="Times New Roman" w:eastAsia="Times New Roman" w:cs="Times New Roman"/>
          <w:spacing w:val="-5"/>
          <w:sz w:val="24"/>
          <w:szCs w:val="24"/>
        </w:rPr>
        <w:t>H</w:t>
      </w:r>
      <w:r>
        <w:rPr>
          <w:rFonts w:ascii="Times New Roman" w:hAnsi="Times New Roman" w:eastAsia="Times New Roman" w:cs="Times New Roman"/>
          <w:spacing w:val="-5"/>
          <w:position w:val="-2"/>
          <w:sz w:val="15"/>
          <w:szCs w:val="15"/>
        </w:rPr>
        <w:t>2</w:t>
      </w:r>
      <w:r>
        <w:rPr>
          <w:rFonts w:ascii="宋体" w:hAnsi="宋体" w:eastAsia="宋体" w:cs="宋体"/>
          <w:spacing w:val="-5"/>
          <w:sz w:val="24"/>
          <w:szCs w:val="24"/>
        </w:rPr>
        <w:t>，由</w:t>
      </w:r>
      <w:r>
        <w:rPr>
          <w:rFonts w:ascii="Times New Roman" w:hAnsi="Times New Roman" w:eastAsia="Times New Roman" w:cs="Times New Roman"/>
          <w:spacing w:val="-5"/>
          <w:sz w:val="24"/>
          <w:szCs w:val="24"/>
        </w:rPr>
        <w:t>H</w:t>
      </w:r>
      <w:r>
        <w:rPr>
          <w:rFonts w:ascii="Times New Roman" w:hAnsi="Times New Roman" w:eastAsia="Times New Roman" w:cs="Times New Roman"/>
          <w:spacing w:val="-5"/>
          <w:position w:val="-2"/>
          <w:sz w:val="15"/>
          <w:szCs w:val="15"/>
        </w:rPr>
        <w:t>2</w:t>
      </w:r>
      <w:r>
        <w:rPr>
          <w:rFonts w:ascii="宋体" w:hAnsi="宋体" w:eastAsia="宋体" w:cs="宋体"/>
          <w:spacing w:val="-5"/>
          <w:sz w:val="24"/>
          <w:szCs w:val="24"/>
        </w:rPr>
        <w:t>和</w:t>
      </w:r>
      <w:r>
        <w:rPr>
          <w:rFonts w:ascii="Times New Roman" w:hAnsi="Times New Roman" w:eastAsia="Times New Roman" w:cs="Times New Roman"/>
          <w:spacing w:val="-5"/>
          <w:sz w:val="24"/>
          <w:szCs w:val="24"/>
        </w:rPr>
        <w:t>CO</w:t>
      </w:r>
      <w:r>
        <w:rPr>
          <w:rFonts w:ascii="Times New Roman" w:hAnsi="Times New Roman" w:eastAsia="Times New Roman" w:cs="Times New Roman"/>
          <w:spacing w:val="-5"/>
          <w:position w:val="-2"/>
          <w:sz w:val="15"/>
          <w:szCs w:val="15"/>
        </w:rPr>
        <w:t>2</w:t>
      </w:r>
      <w:r>
        <w:rPr>
          <w:rFonts w:ascii="宋体" w:hAnsi="宋体" w:eastAsia="宋体" w:cs="宋体"/>
          <w:spacing w:val="-1"/>
          <w:sz w:val="24"/>
          <w:szCs w:val="24"/>
        </w:rPr>
        <w:t>形成</w:t>
      </w:r>
      <w:r>
        <w:rPr>
          <w:rFonts w:ascii="Times New Roman" w:hAnsi="Times New Roman" w:eastAsia="Times New Roman" w:cs="Times New Roman"/>
          <w:spacing w:val="-1"/>
          <w:sz w:val="24"/>
          <w:szCs w:val="24"/>
        </w:rPr>
        <w:t>CH</w:t>
      </w:r>
      <w:r>
        <w:rPr>
          <w:rFonts w:ascii="Times New Roman" w:hAnsi="Times New Roman" w:eastAsia="Times New Roman" w:cs="Times New Roman"/>
          <w:spacing w:val="-1"/>
          <w:position w:val="-2"/>
          <w:sz w:val="15"/>
          <w:szCs w:val="15"/>
        </w:rPr>
        <w:t>3</w:t>
      </w:r>
      <w:r>
        <w:rPr>
          <w:rFonts w:ascii="Times New Roman" w:hAnsi="Times New Roman" w:eastAsia="Times New Roman" w:cs="Times New Roman"/>
          <w:spacing w:val="-1"/>
          <w:sz w:val="24"/>
          <w:szCs w:val="24"/>
        </w:rPr>
        <w:t>COOH</w:t>
      </w:r>
      <w:r>
        <w:rPr>
          <w:rFonts w:ascii="宋体" w:hAnsi="宋体" w:eastAsia="宋体" w:cs="宋体"/>
          <w:spacing w:val="-7"/>
          <w:sz w:val="24"/>
          <w:szCs w:val="24"/>
        </w:rPr>
        <w:t>；</w:t>
      </w:r>
      <w:r>
        <w:rPr>
          <w:rFonts w:ascii="Times New Roman" w:hAnsi="Times New Roman" w:eastAsia="Times New Roman" w:cs="Times New Roman"/>
          <w:spacing w:val="-7"/>
          <w:sz w:val="24"/>
          <w:szCs w:val="24"/>
        </w:rPr>
        <w:t>(d)</w:t>
      </w:r>
      <w:r>
        <w:rPr>
          <w:rFonts w:ascii="宋体" w:hAnsi="宋体" w:eastAsia="宋体" w:cs="宋体"/>
          <w:spacing w:val="-7"/>
          <w:sz w:val="24"/>
          <w:szCs w:val="24"/>
        </w:rPr>
        <w:t>产甲烷阶段包括由</w:t>
      </w:r>
      <w:r>
        <w:rPr>
          <w:rFonts w:ascii="Times New Roman" w:hAnsi="Times New Roman" w:eastAsia="Times New Roman" w:cs="Times New Roman"/>
          <w:spacing w:val="-7"/>
          <w:sz w:val="24"/>
          <w:szCs w:val="24"/>
        </w:rPr>
        <w:t>CH</w:t>
      </w:r>
      <w:r>
        <w:rPr>
          <w:rFonts w:ascii="Times New Roman" w:hAnsi="Times New Roman" w:eastAsia="Times New Roman" w:cs="Times New Roman"/>
          <w:spacing w:val="-7"/>
          <w:position w:val="-2"/>
          <w:sz w:val="15"/>
          <w:szCs w:val="15"/>
        </w:rPr>
        <w:t>3</w:t>
      </w:r>
      <w:r>
        <w:rPr>
          <w:rFonts w:ascii="Times New Roman" w:hAnsi="Times New Roman" w:eastAsia="Times New Roman" w:cs="Times New Roman"/>
          <w:spacing w:val="-7"/>
          <w:sz w:val="24"/>
          <w:szCs w:val="24"/>
        </w:rPr>
        <w:t>COOH</w:t>
      </w:r>
      <w:r>
        <w:rPr>
          <w:rFonts w:ascii="宋体" w:hAnsi="宋体" w:eastAsia="宋体" w:cs="宋体"/>
          <w:spacing w:val="-7"/>
          <w:sz w:val="24"/>
          <w:szCs w:val="24"/>
        </w:rPr>
        <w:t>形成甲烷、从</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7"/>
          <w:position w:val="-2"/>
          <w:sz w:val="15"/>
          <w:szCs w:val="15"/>
        </w:rPr>
        <w:t>2</w:t>
      </w:r>
      <w:r>
        <w:rPr>
          <w:rFonts w:ascii="宋体" w:hAnsi="宋体" w:eastAsia="宋体" w:cs="宋体"/>
          <w:spacing w:val="-7"/>
          <w:sz w:val="24"/>
          <w:szCs w:val="24"/>
        </w:rPr>
        <w:t>和</w:t>
      </w:r>
      <w:r>
        <w:rPr>
          <w:rFonts w:ascii="Times New Roman" w:hAnsi="Times New Roman" w:eastAsia="Times New Roman" w:cs="Times New Roman"/>
          <w:spacing w:val="-7"/>
          <w:sz w:val="24"/>
          <w:szCs w:val="24"/>
        </w:rPr>
        <w:t>CO</w:t>
      </w:r>
      <w:r>
        <w:rPr>
          <w:rFonts w:ascii="Times New Roman" w:hAnsi="Times New Roman" w:eastAsia="Times New Roman" w:cs="Times New Roman"/>
          <w:spacing w:val="-7"/>
          <w:position w:val="-2"/>
          <w:sz w:val="15"/>
          <w:szCs w:val="15"/>
        </w:rPr>
        <w:t>2</w:t>
      </w:r>
      <w:r>
        <w:rPr>
          <w:rFonts w:ascii="宋体" w:hAnsi="宋体" w:eastAsia="宋体" w:cs="宋体"/>
          <w:spacing w:val="-7"/>
          <w:sz w:val="24"/>
          <w:szCs w:val="24"/>
        </w:rPr>
        <w:t>形成甲烷。</w:t>
      </w:r>
    </w:p>
    <w:p w14:paraId="53AC0D88">
      <w:pPr>
        <w:spacing w:before="9" w:line="365" w:lineRule="auto"/>
        <w:ind w:left="57" w:right="97" w:firstLine="465"/>
        <w:rPr>
          <w:rFonts w:ascii="宋体" w:hAnsi="宋体" w:eastAsia="宋体" w:cs="宋体"/>
          <w:sz w:val="24"/>
          <w:szCs w:val="24"/>
        </w:rPr>
      </w:pPr>
      <w:r>
        <w:rPr>
          <w:rFonts w:ascii="宋体" w:hAnsi="宋体" w:eastAsia="宋体" w:cs="宋体"/>
          <w:b/>
          <w:bCs/>
          <w:spacing w:val="-1"/>
          <w:sz w:val="24"/>
          <w:szCs w:val="24"/>
        </w:rPr>
        <w:t>本项目</w:t>
      </w:r>
      <w:r>
        <w:rPr>
          <w:rFonts w:ascii="Times New Roman" w:hAnsi="Times New Roman" w:eastAsia="Times New Roman" w:cs="Times New Roman"/>
          <w:b/>
          <w:bCs/>
          <w:spacing w:val="-1"/>
          <w:sz w:val="24"/>
          <w:szCs w:val="24"/>
        </w:rPr>
        <w:t>CSTR</w:t>
      </w:r>
      <w:r>
        <w:rPr>
          <w:rFonts w:ascii="宋体" w:hAnsi="宋体" w:eastAsia="宋体" w:cs="宋体"/>
          <w:b/>
          <w:bCs/>
          <w:spacing w:val="-1"/>
          <w:sz w:val="24"/>
          <w:szCs w:val="24"/>
        </w:rPr>
        <w:t>厌氧反应器为搪瓷拼接结构，</w:t>
      </w:r>
      <w:r>
        <w:rPr>
          <w:rFonts w:ascii="Times New Roman" w:hAnsi="Times New Roman" w:eastAsia="Times New Roman" w:cs="Times New Roman"/>
          <w:b/>
          <w:bCs/>
          <w:spacing w:val="-1"/>
          <w:sz w:val="24"/>
          <w:szCs w:val="24"/>
        </w:rPr>
        <w:t>2</w:t>
      </w:r>
      <w:r>
        <w:rPr>
          <w:rFonts w:ascii="宋体" w:hAnsi="宋体" w:eastAsia="宋体" w:cs="宋体"/>
          <w:b/>
          <w:bCs/>
          <w:spacing w:val="-1"/>
          <w:sz w:val="24"/>
          <w:szCs w:val="24"/>
        </w:rPr>
        <w:t>座，单座池体容积</w:t>
      </w:r>
      <w:r>
        <w:rPr>
          <w:rFonts w:ascii="Times New Roman" w:hAnsi="Times New Roman" w:eastAsia="Times New Roman" w:cs="Times New Roman"/>
          <w:b/>
          <w:bCs/>
          <w:spacing w:val="-1"/>
          <w:sz w:val="24"/>
          <w:szCs w:val="24"/>
        </w:rPr>
        <w:t>1872m</w:t>
      </w:r>
      <w:r>
        <w:rPr>
          <w:rFonts w:ascii="Times New Roman" w:hAnsi="Times New Roman" w:eastAsia="Times New Roman" w:cs="Times New Roman"/>
          <w:b/>
          <w:bCs/>
          <w:spacing w:val="-1"/>
          <w:position w:val="10"/>
          <w:sz w:val="15"/>
          <w:szCs w:val="15"/>
        </w:rPr>
        <w:t>3</w:t>
      </w:r>
      <w:r>
        <w:rPr>
          <w:rFonts w:ascii="宋体" w:hAnsi="宋体" w:eastAsia="宋体" w:cs="宋体"/>
          <w:b/>
          <w:bCs/>
          <w:spacing w:val="-1"/>
          <w:sz w:val="24"/>
          <w:szCs w:val="24"/>
        </w:rPr>
        <w:t>，停</w:t>
      </w:r>
      <w:r>
        <w:rPr>
          <w:rFonts w:ascii="宋体" w:hAnsi="宋体" w:eastAsia="宋体" w:cs="宋体"/>
          <w:b/>
          <w:bCs/>
          <w:spacing w:val="-6"/>
          <w:sz w:val="24"/>
          <w:szCs w:val="24"/>
        </w:rPr>
        <w:t>留时间</w:t>
      </w:r>
      <w:r>
        <w:rPr>
          <w:rFonts w:ascii="Times New Roman" w:hAnsi="Times New Roman" w:eastAsia="Times New Roman" w:cs="Times New Roman"/>
          <w:b/>
          <w:bCs/>
          <w:spacing w:val="-6"/>
          <w:sz w:val="24"/>
          <w:szCs w:val="24"/>
        </w:rPr>
        <w:t>6d</w:t>
      </w:r>
      <w:r>
        <w:rPr>
          <w:rFonts w:ascii="宋体" w:hAnsi="宋体" w:eastAsia="宋体" w:cs="宋体"/>
          <w:b/>
          <w:bCs/>
          <w:spacing w:val="-6"/>
          <w:sz w:val="24"/>
          <w:szCs w:val="24"/>
        </w:rPr>
        <w:t>。</w:t>
      </w:r>
    </w:p>
    <w:p w14:paraId="7BAD90FC">
      <w:pPr>
        <w:spacing w:before="1" w:line="221"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5</w:t>
      </w:r>
      <w:r>
        <w:rPr>
          <w:rFonts w:ascii="宋体" w:hAnsi="宋体" w:eastAsia="宋体" w:cs="宋体"/>
          <w:b/>
          <w:bCs/>
          <w:spacing w:val="-5"/>
          <w:sz w:val="24"/>
          <w:szCs w:val="24"/>
        </w:rPr>
        <w:t>）生化处理工艺</w:t>
      </w:r>
    </w:p>
    <w:p w14:paraId="03D65496">
      <w:pPr>
        <w:spacing w:before="181" w:line="217" w:lineRule="auto"/>
        <w:ind w:left="518"/>
        <w:rPr>
          <w:rFonts w:ascii="宋体" w:hAnsi="宋体" w:eastAsia="宋体" w:cs="宋体"/>
          <w:sz w:val="24"/>
          <w:szCs w:val="24"/>
        </w:rPr>
      </w:pPr>
      <w:r>
        <w:rPr>
          <w:rFonts w:ascii="宋体" w:hAnsi="宋体" w:eastAsia="宋体" w:cs="宋体"/>
          <w:spacing w:val="-2"/>
          <w:sz w:val="24"/>
          <w:szCs w:val="24"/>
        </w:rPr>
        <w:t>①微生物曝氧塘</w:t>
      </w:r>
    </w:p>
    <w:p w14:paraId="20764D1D">
      <w:pPr>
        <w:spacing w:before="187" w:line="357" w:lineRule="auto"/>
        <w:ind w:left="40" w:right="84" w:firstLine="482"/>
        <w:jc w:val="both"/>
        <w:rPr>
          <w:rFonts w:ascii="宋体" w:hAnsi="宋体" w:eastAsia="宋体" w:cs="宋体"/>
          <w:sz w:val="24"/>
          <w:szCs w:val="24"/>
        </w:rPr>
      </w:pPr>
      <w:r>
        <w:rPr>
          <w:rFonts w:ascii="宋体" w:hAnsi="宋体" w:eastAsia="宋体" w:cs="宋体"/>
          <w:spacing w:val="-3"/>
          <w:sz w:val="24"/>
          <w:szCs w:val="24"/>
        </w:rPr>
        <w:t>该工艺的工作原理是通过投菌装置，向塘中定期释放专</w:t>
      </w:r>
      <w:r>
        <w:rPr>
          <w:rFonts w:ascii="宋体" w:hAnsi="宋体" w:eastAsia="宋体" w:cs="宋体"/>
          <w:spacing w:val="-4"/>
          <w:sz w:val="24"/>
          <w:szCs w:val="24"/>
        </w:rPr>
        <w:t>性已活化菌群，有效</w:t>
      </w:r>
      <w:r>
        <w:rPr>
          <w:rFonts w:ascii="宋体" w:hAnsi="宋体" w:eastAsia="宋体" w:cs="宋体"/>
          <w:spacing w:val="-3"/>
          <w:sz w:val="24"/>
          <w:szCs w:val="24"/>
        </w:rPr>
        <w:t>的去除水中大量的</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COD</w:t>
      </w:r>
      <w:r>
        <w:rPr>
          <w:rFonts w:ascii="宋体" w:hAnsi="宋体" w:eastAsia="宋体" w:cs="宋体"/>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2"/>
          <w:sz w:val="15"/>
          <w:szCs w:val="15"/>
        </w:rPr>
        <w:t>5</w:t>
      </w:r>
      <w:r>
        <w:rPr>
          <w:rFonts w:ascii="Times New Roman" w:hAnsi="Times New Roman" w:eastAsia="Times New Roman" w:cs="Times New Roman"/>
          <w:spacing w:val="-7"/>
          <w:position w:val="-2"/>
          <w:sz w:val="15"/>
          <w:szCs w:val="15"/>
        </w:rPr>
        <w:t xml:space="preserve"> </w:t>
      </w:r>
      <w:r>
        <w:rPr>
          <w:rFonts w:ascii="宋体" w:hAnsi="宋体" w:eastAsia="宋体" w:cs="宋体"/>
          <w:spacing w:val="-3"/>
          <w:sz w:val="24"/>
          <w:szCs w:val="24"/>
        </w:rPr>
        <w:t>；同时通过控制时间对反应池进行间断曝气，以提高硝化反应与反硝化反应速率进而提高氨氮的处理效果，同时配备活化、激活</w:t>
      </w:r>
      <w:r>
        <w:rPr>
          <w:rFonts w:ascii="宋体" w:hAnsi="宋体" w:eastAsia="宋体" w:cs="宋体"/>
          <w:spacing w:val="-2"/>
          <w:sz w:val="24"/>
          <w:szCs w:val="24"/>
        </w:rPr>
        <w:t>等配套设施，加强可生化性的同时，为深度处理做好前期准备。</w:t>
      </w:r>
    </w:p>
    <w:p w14:paraId="009B1197">
      <w:pPr>
        <w:spacing w:before="2" w:line="361" w:lineRule="auto"/>
        <w:ind w:left="36" w:right="97" w:firstLine="486"/>
        <w:rPr>
          <w:rFonts w:ascii="宋体" w:hAnsi="宋体" w:eastAsia="宋体" w:cs="宋体"/>
          <w:sz w:val="24"/>
          <w:szCs w:val="24"/>
        </w:rPr>
      </w:pPr>
      <w:r>
        <w:rPr>
          <w:rFonts w:ascii="宋体" w:hAnsi="宋体" w:eastAsia="宋体" w:cs="宋体"/>
          <w:b/>
          <w:bCs/>
          <w:spacing w:val="-2"/>
          <w:sz w:val="24"/>
          <w:szCs w:val="24"/>
        </w:rPr>
        <w:t>本项目微生物曝氧塘为地下式，铺设防渗膜，池体容积</w:t>
      </w:r>
      <w:r>
        <w:rPr>
          <w:rFonts w:ascii="宋体" w:hAnsi="宋体" w:eastAsia="宋体" w:cs="宋体"/>
          <w:spacing w:val="-34"/>
          <w:sz w:val="24"/>
          <w:szCs w:val="24"/>
        </w:rPr>
        <w:t xml:space="preserve"> </w:t>
      </w:r>
      <w:r>
        <w:rPr>
          <w:rFonts w:ascii="Times New Roman" w:hAnsi="Times New Roman" w:eastAsia="Times New Roman" w:cs="Times New Roman"/>
          <w:b/>
          <w:bCs/>
          <w:spacing w:val="-2"/>
          <w:sz w:val="24"/>
          <w:szCs w:val="24"/>
        </w:rPr>
        <w:t>8000m</w:t>
      </w:r>
      <w:r>
        <w:rPr>
          <w:rFonts w:ascii="Times New Roman" w:hAnsi="Times New Roman" w:eastAsia="Times New Roman" w:cs="Times New Roman"/>
          <w:b/>
          <w:bCs/>
          <w:spacing w:val="-2"/>
          <w:position w:val="10"/>
          <w:sz w:val="15"/>
          <w:szCs w:val="15"/>
        </w:rPr>
        <w:t>3</w:t>
      </w:r>
      <w:r>
        <w:rPr>
          <w:rFonts w:ascii="宋体" w:hAnsi="宋体" w:eastAsia="宋体" w:cs="宋体"/>
          <w:b/>
          <w:bCs/>
          <w:spacing w:val="-3"/>
          <w:sz w:val="24"/>
          <w:szCs w:val="24"/>
        </w:rPr>
        <w:t>，有效水深</w:t>
      </w:r>
      <w:r>
        <w:rPr>
          <w:rFonts w:ascii="Times New Roman" w:hAnsi="Times New Roman" w:eastAsia="Times New Roman" w:cs="Times New Roman"/>
          <w:b/>
          <w:bCs/>
          <w:spacing w:val="-3"/>
          <w:sz w:val="24"/>
          <w:szCs w:val="24"/>
        </w:rPr>
        <w:t>4.5m</w:t>
      </w:r>
      <w:r>
        <w:rPr>
          <w:rFonts w:ascii="宋体" w:hAnsi="宋体" w:eastAsia="宋体" w:cs="宋体"/>
          <w:b/>
          <w:bCs/>
          <w:spacing w:val="-3"/>
          <w:sz w:val="24"/>
          <w:szCs w:val="24"/>
        </w:rPr>
        <w:t>，有效容积</w:t>
      </w:r>
      <w:r>
        <w:rPr>
          <w:rFonts w:ascii="宋体" w:hAnsi="宋体" w:eastAsia="宋体" w:cs="宋体"/>
          <w:spacing w:val="-35"/>
          <w:sz w:val="24"/>
          <w:szCs w:val="24"/>
        </w:rPr>
        <w:t xml:space="preserve"> </w:t>
      </w:r>
      <w:r>
        <w:rPr>
          <w:rFonts w:ascii="Times New Roman" w:hAnsi="Times New Roman" w:eastAsia="Times New Roman" w:cs="Times New Roman"/>
          <w:b/>
          <w:bCs/>
          <w:spacing w:val="-3"/>
          <w:sz w:val="24"/>
          <w:szCs w:val="24"/>
        </w:rPr>
        <w:t>7000m</w:t>
      </w:r>
      <w:r>
        <w:rPr>
          <w:rFonts w:ascii="Times New Roman" w:hAnsi="Times New Roman" w:eastAsia="Times New Roman" w:cs="Times New Roman"/>
          <w:b/>
          <w:bCs/>
          <w:spacing w:val="-3"/>
          <w:position w:val="10"/>
          <w:sz w:val="15"/>
          <w:szCs w:val="15"/>
        </w:rPr>
        <w:t>3</w:t>
      </w:r>
      <w:r>
        <w:rPr>
          <w:rFonts w:ascii="宋体" w:hAnsi="宋体" w:eastAsia="宋体" w:cs="宋体"/>
          <w:b/>
          <w:bCs/>
          <w:spacing w:val="-3"/>
          <w:sz w:val="24"/>
          <w:szCs w:val="24"/>
        </w:rPr>
        <w:t>，停留时间</w:t>
      </w:r>
      <w:r>
        <w:rPr>
          <w:rFonts w:ascii="宋体" w:hAnsi="宋体" w:eastAsia="宋体" w:cs="宋体"/>
          <w:spacing w:val="-30"/>
          <w:sz w:val="24"/>
          <w:szCs w:val="24"/>
        </w:rPr>
        <w:t xml:space="preserve"> </w:t>
      </w:r>
      <w:r>
        <w:rPr>
          <w:rFonts w:ascii="Times New Roman" w:hAnsi="Times New Roman" w:eastAsia="Times New Roman" w:cs="Times New Roman"/>
          <w:b/>
          <w:bCs/>
          <w:spacing w:val="-4"/>
          <w:sz w:val="24"/>
          <w:szCs w:val="24"/>
        </w:rPr>
        <w:t>28d</w:t>
      </w:r>
      <w:r>
        <w:rPr>
          <w:rFonts w:ascii="宋体" w:hAnsi="宋体" w:eastAsia="宋体" w:cs="宋体"/>
          <w:b/>
          <w:bCs/>
          <w:spacing w:val="-4"/>
          <w:sz w:val="24"/>
          <w:szCs w:val="24"/>
        </w:rPr>
        <w:t>。</w:t>
      </w:r>
    </w:p>
    <w:p w14:paraId="0674A8DF">
      <w:pPr>
        <w:spacing w:before="10" w:line="217" w:lineRule="auto"/>
        <w:ind w:left="517"/>
        <w:rPr>
          <w:rFonts w:ascii="宋体" w:hAnsi="宋体" w:eastAsia="宋体" w:cs="宋体"/>
          <w:sz w:val="24"/>
          <w:szCs w:val="24"/>
        </w:rPr>
      </w:pPr>
      <w:r>
        <w:rPr>
          <w:rFonts w:ascii="宋体" w:hAnsi="宋体" w:eastAsia="宋体" w:cs="宋体"/>
          <w:spacing w:val="-3"/>
          <w:sz w:val="24"/>
          <w:szCs w:val="24"/>
        </w:rPr>
        <w:t>②二级</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AO</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系统</w:t>
      </w:r>
    </w:p>
    <w:p w14:paraId="67608B43">
      <w:pPr>
        <w:spacing w:before="185" w:line="360" w:lineRule="auto"/>
        <w:ind w:left="41" w:right="92" w:firstLine="470"/>
        <w:rPr>
          <w:rFonts w:ascii="宋体" w:hAnsi="宋体" w:eastAsia="宋体" w:cs="宋体"/>
          <w:sz w:val="24"/>
          <w:szCs w:val="24"/>
        </w:rPr>
      </w:pPr>
      <w:r>
        <w:rPr>
          <w:rFonts w:ascii="Times New Roman" w:hAnsi="Times New Roman" w:eastAsia="Times New Roman" w:cs="Times New Roman"/>
          <w:spacing w:val="-6"/>
          <w:sz w:val="24"/>
          <w:szCs w:val="24"/>
        </w:rPr>
        <w:t xml:space="preserve">A/O </w:t>
      </w:r>
      <w:r>
        <w:rPr>
          <w:rFonts w:ascii="宋体" w:hAnsi="宋体" w:eastAsia="宋体" w:cs="宋体"/>
          <w:spacing w:val="-6"/>
          <w:sz w:val="24"/>
          <w:szCs w:val="24"/>
        </w:rPr>
        <w:t>工艺中目前主流的污水处理工艺，一般由缺氧池（</w:t>
      </w:r>
      <w:r>
        <w:rPr>
          <w:rFonts w:ascii="Times New Roman" w:hAnsi="Times New Roman" w:eastAsia="Times New Roman" w:cs="Times New Roman"/>
          <w:spacing w:val="-6"/>
          <w:sz w:val="24"/>
          <w:szCs w:val="24"/>
        </w:rPr>
        <w:t>A</w:t>
      </w:r>
      <w:r>
        <w:rPr>
          <w:rFonts w:ascii="宋体" w:hAnsi="宋体" w:eastAsia="宋体" w:cs="宋体"/>
          <w:spacing w:val="-6"/>
          <w:sz w:val="24"/>
          <w:szCs w:val="24"/>
        </w:rPr>
        <w:t>）、好氧池（</w:t>
      </w:r>
      <w:r>
        <w:rPr>
          <w:rFonts w:ascii="Times New Roman" w:hAnsi="Times New Roman" w:eastAsia="Times New Roman" w:cs="Times New Roman"/>
          <w:spacing w:val="-6"/>
          <w:sz w:val="24"/>
          <w:szCs w:val="24"/>
        </w:rPr>
        <w:t>O</w:t>
      </w:r>
      <w:r>
        <w:rPr>
          <w:rFonts w:ascii="宋体" w:hAnsi="宋体" w:eastAsia="宋体" w:cs="宋体"/>
          <w:spacing w:val="-6"/>
          <w:sz w:val="24"/>
          <w:szCs w:val="24"/>
        </w:rPr>
        <w:t>）组</w:t>
      </w:r>
      <w:r>
        <w:rPr>
          <w:rFonts w:ascii="宋体" w:hAnsi="宋体" w:eastAsia="宋体" w:cs="宋体"/>
          <w:spacing w:val="-2"/>
          <w:sz w:val="24"/>
          <w:szCs w:val="24"/>
        </w:rPr>
        <w:t>成，其具有较强的有机污染物降解能力，同时兼顾氮、磷的去除。</w:t>
      </w:r>
    </w:p>
    <w:p w14:paraId="5A3DBA3E">
      <w:pPr>
        <w:spacing w:before="4" w:line="359" w:lineRule="auto"/>
        <w:ind w:left="39" w:right="84" w:firstLine="479"/>
        <w:jc w:val="both"/>
        <w:rPr>
          <w:rFonts w:ascii="宋体" w:hAnsi="宋体" w:eastAsia="宋体" w:cs="宋体"/>
          <w:sz w:val="24"/>
          <w:szCs w:val="24"/>
        </w:rPr>
      </w:pPr>
      <w:r>
        <w:rPr>
          <w:rFonts w:ascii="宋体" w:hAnsi="宋体" w:eastAsia="宋体" w:cs="宋体"/>
          <w:spacing w:val="-1"/>
          <w:sz w:val="24"/>
          <w:szCs w:val="24"/>
        </w:rPr>
        <w:t xml:space="preserve">在 </w:t>
      </w:r>
      <w:r>
        <w:rPr>
          <w:rFonts w:ascii="Times New Roman" w:hAnsi="Times New Roman" w:eastAsia="Times New Roman" w:cs="Times New Roman"/>
          <w:spacing w:val="-1"/>
          <w:sz w:val="24"/>
          <w:szCs w:val="24"/>
        </w:rPr>
        <w:t>A/O</w:t>
      </w:r>
      <w:r>
        <w:rPr>
          <w:rFonts w:ascii="Times New Roman" w:hAnsi="Times New Roman" w:eastAsia="Times New Roman" w:cs="Times New Roman"/>
          <w:spacing w:val="58"/>
          <w:sz w:val="24"/>
          <w:szCs w:val="24"/>
        </w:rPr>
        <w:t xml:space="preserve"> </w:t>
      </w:r>
      <w:r>
        <w:rPr>
          <w:rFonts w:ascii="宋体" w:hAnsi="宋体" w:eastAsia="宋体" w:cs="宋体"/>
          <w:spacing w:val="-1"/>
          <w:sz w:val="24"/>
          <w:szCs w:val="24"/>
        </w:rPr>
        <w:t>工艺的好氧段中，有机物被微生物生化降解，而继续下降；有机氨</w:t>
      </w:r>
      <w:r>
        <w:rPr>
          <w:rFonts w:ascii="宋体" w:hAnsi="宋体" w:eastAsia="宋体" w:cs="宋体"/>
          <w:sz w:val="24"/>
          <w:szCs w:val="24"/>
        </w:rPr>
        <w:t>被氨化继而被硝化，使</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2"/>
          <w:sz w:val="15"/>
          <w:szCs w:val="15"/>
        </w:rPr>
        <w:t>3</w:t>
      </w:r>
      <w:r>
        <w:rPr>
          <w:rFonts w:ascii="Times New Roman" w:hAnsi="Times New Roman" w:eastAsia="Times New Roman" w:cs="Times New Roman"/>
          <w:sz w:val="24"/>
          <w:szCs w:val="24"/>
        </w:rPr>
        <w:t>-N</w:t>
      </w:r>
      <w:r>
        <w:rPr>
          <w:rFonts w:ascii="Times New Roman" w:hAnsi="Times New Roman" w:eastAsia="Times New Roman" w:cs="Times New Roman"/>
          <w:spacing w:val="43"/>
          <w:sz w:val="24"/>
          <w:szCs w:val="24"/>
        </w:rPr>
        <w:t xml:space="preserve"> </w:t>
      </w:r>
      <w:r>
        <w:rPr>
          <w:rFonts w:ascii="宋体" w:hAnsi="宋体" w:eastAsia="宋体" w:cs="宋体"/>
          <w:sz w:val="24"/>
          <w:szCs w:val="24"/>
        </w:rPr>
        <w:t>浓度显著下降，但</w:t>
      </w:r>
      <w:r>
        <w:rPr>
          <w:rFonts w:ascii="宋体" w:hAnsi="宋体" w:eastAsia="宋体" w:cs="宋体"/>
          <w:spacing w:val="-1"/>
          <w:sz w:val="24"/>
          <w:szCs w:val="24"/>
        </w:rPr>
        <w:t>随着硝化过程使硝酸盐的浓度</w:t>
      </w:r>
      <w:r>
        <w:rPr>
          <w:rFonts w:ascii="宋体" w:hAnsi="宋体" w:eastAsia="宋体" w:cs="宋体"/>
          <w:spacing w:val="-10"/>
          <w:sz w:val="24"/>
          <w:szCs w:val="24"/>
        </w:rPr>
        <w:t>增加。</w:t>
      </w:r>
    </w:p>
    <w:p w14:paraId="527E5D0F">
      <w:pPr>
        <w:spacing w:line="360" w:lineRule="auto"/>
        <w:ind w:left="39" w:right="84" w:firstLine="481"/>
        <w:jc w:val="both"/>
        <w:rPr>
          <w:rFonts w:ascii="宋体" w:hAnsi="宋体" w:eastAsia="宋体" w:cs="宋体"/>
          <w:sz w:val="24"/>
          <w:szCs w:val="24"/>
        </w:rPr>
      </w:pPr>
      <w:r>
        <w:rPr>
          <w:rFonts w:ascii="宋体" w:hAnsi="宋体" w:eastAsia="宋体" w:cs="宋体"/>
          <w:spacing w:val="-1"/>
          <w:sz w:val="24"/>
          <w:szCs w:val="24"/>
        </w:rPr>
        <w:t>硝态氮通过混合液内循环由好氧段末端回流至缺氧段，通常内回流量为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2-4</w:t>
      </w:r>
      <w:r>
        <w:rPr>
          <w:rFonts w:ascii="宋体" w:hAnsi="宋体" w:eastAsia="宋体" w:cs="宋体"/>
          <w:spacing w:val="-3"/>
          <w:sz w:val="24"/>
          <w:szCs w:val="24"/>
        </w:rPr>
        <w:t>倍原污水流量，部分有机物在反硝化菌的作用下利用硝酸盐作为电子受体而得到</w:t>
      </w:r>
      <w:r>
        <w:rPr>
          <w:rFonts w:ascii="宋体" w:hAnsi="宋体" w:eastAsia="宋体" w:cs="宋体"/>
          <w:sz w:val="24"/>
          <w:szCs w:val="24"/>
        </w:rPr>
        <w:t>降解去除，从而可很大程度上降低有机物浓度，同时</w:t>
      </w:r>
      <w:r>
        <w:rPr>
          <w:rFonts w:ascii="宋体" w:hAnsi="宋体" w:eastAsia="宋体" w:cs="宋体"/>
          <w:spacing w:val="-1"/>
          <w:sz w:val="24"/>
          <w:szCs w:val="24"/>
        </w:rPr>
        <w:t>硝酸盐转化为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9"/>
          <w:position w:val="-2"/>
          <w:sz w:val="15"/>
          <w:szCs w:val="15"/>
        </w:rPr>
        <w:t xml:space="preserve"> </w:t>
      </w:r>
      <w:r>
        <w:rPr>
          <w:rFonts w:ascii="宋体" w:hAnsi="宋体" w:eastAsia="宋体" w:cs="宋体"/>
          <w:spacing w:val="-1"/>
          <w:sz w:val="24"/>
          <w:szCs w:val="24"/>
        </w:rPr>
        <w:t>释放到空</w:t>
      </w:r>
      <w:r>
        <w:rPr>
          <w:rFonts w:ascii="宋体" w:hAnsi="宋体" w:eastAsia="宋体" w:cs="宋体"/>
          <w:spacing w:val="-4"/>
          <w:sz w:val="24"/>
          <w:szCs w:val="24"/>
        </w:rPr>
        <w:t>气中，从而达到彻底除氮。</w:t>
      </w:r>
    </w:p>
    <w:p w14:paraId="66EE6A04">
      <w:pPr>
        <w:spacing w:before="6" w:line="360" w:lineRule="auto"/>
        <w:ind w:left="39" w:right="83" w:firstLine="509"/>
        <w:jc w:val="both"/>
        <w:rPr>
          <w:rFonts w:ascii="宋体" w:hAnsi="宋体" w:eastAsia="宋体" w:cs="宋体"/>
          <w:sz w:val="24"/>
          <w:szCs w:val="24"/>
        </w:rPr>
      </w:pPr>
      <w:r>
        <w:rPr>
          <w:rFonts w:ascii="宋体" w:hAnsi="宋体" w:eastAsia="宋体" w:cs="宋体"/>
          <w:spacing w:val="-8"/>
          <w:sz w:val="24"/>
          <w:szCs w:val="24"/>
        </w:rPr>
        <w:t>由于养殖污水为高</w:t>
      </w:r>
      <w:r>
        <w:rPr>
          <w:rFonts w:ascii="宋体" w:hAnsi="宋体" w:eastAsia="宋体" w:cs="宋体"/>
          <w:spacing w:val="-52"/>
          <w:sz w:val="24"/>
          <w:szCs w:val="24"/>
        </w:rPr>
        <w:t xml:space="preserve"> </w:t>
      </w:r>
      <w:r>
        <w:rPr>
          <w:rFonts w:ascii="Times New Roman" w:hAnsi="Times New Roman" w:eastAsia="Times New Roman" w:cs="Times New Roman"/>
          <w:spacing w:val="-8"/>
          <w:sz w:val="24"/>
          <w:szCs w:val="24"/>
        </w:rPr>
        <w:t>COD</w:t>
      </w:r>
      <w:r>
        <w:rPr>
          <w:rFonts w:ascii="宋体" w:hAnsi="宋体" w:eastAsia="宋体" w:cs="宋体"/>
          <w:spacing w:val="-8"/>
          <w:sz w:val="24"/>
          <w:szCs w:val="24"/>
        </w:rPr>
        <w:t>、高氨氮污水， 本系统中设计两级</w:t>
      </w:r>
      <w:r>
        <w:rPr>
          <w:rFonts w:ascii="宋体" w:hAnsi="宋体" w:eastAsia="宋体" w:cs="宋体"/>
          <w:spacing w:val="-58"/>
          <w:sz w:val="24"/>
          <w:szCs w:val="24"/>
        </w:rPr>
        <w:t xml:space="preserve"> </w:t>
      </w:r>
      <w:r>
        <w:rPr>
          <w:rFonts w:ascii="Times New Roman" w:hAnsi="Times New Roman" w:eastAsia="Times New Roman" w:cs="Times New Roman"/>
          <w:spacing w:val="-8"/>
          <w:sz w:val="24"/>
          <w:szCs w:val="24"/>
        </w:rPr>
        <w:t>AO</w:t>
      </w:r>
      <w:r>
        <w:rPr>
          <w:rFonts w:ascii="宋体" w:hAnsi="宋体" w:eastAsia="宋体" w:cs="宋体"/>
          <w:spacing w:val="-8"/>
          <w:sz w:val="24"/>
          <w:szCs w:val="24"/>
        </w:rPr>
        <w:t>，一级</w:t>
      </w:r>
      <w:r>
        <w:rPr>
          <w:rFonts w:ascii="宋体" w:hAnsi="宋体" w:eastAsia="宋体" w:cs="宋体"/>
          <w:spacing w:val="-58"/>
          <w:sz w:val="24"/>
          <w:szCs w:val="24"/>
        </w:rPr>
        <w:t xml:space="preserve"> </w:t>
      </w:r>
      <w:r>
        <w:rPr>
          <w:rFonts w:ascii="Times New Roman" w:hAnsi="Times New Roman" w:eastAsia="Times New Roman" w:cs="Times New Roman"/>
          <w:spacing w:val="-8"/>
          <w:sz w:val="24"/>
          <w:szCs w:val="24"/>
        </w:rPr>
        <w:t>AO</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处</w:t>
      </w:r>
      <w:r>
        <w:rPr>
          <w:rFonts w:ascii="宋体" w:hAnsi="宋体" w:eastAsia="宋体" w:cs="宋体"/>
          <w:spacing w:val="-1"/>
          <w:sz w:val="24"/>
          <w:szCs w:val="24"/>
        </w:rPr>
        <w:t>理负荷高，去除大量</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COD </w:t>
      </w:r>
      <w:r>
        <w:rPr>
          <w:rFonts w:ascii="宋体" w:hAnsi="宋体" w:eastAsia="宋体" w:cs="宋体"/>
          <w:spacing w:val="-1"/>
          <w:sz w:val="24"/>
          <w:szCs w:val="24"/>
        </w:rPr>
        <w:t>及氨氮；二级</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AO</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处理负荷较低，但处理难度较大，</w:t>
      </w:r>
      <w:r>
        <w:rPr>
          <w:rFonts w:ascii="宋体" w:hAnsi="宋体" w:eastAsia="宋体" w:cs="宋体"/>
          <w:spacing w:val="-3"/>
          <w:sz w:val="24"/>
          <w:szCs w:val="24"/>
        </w:rPr>
        <w:t>均为较难去除的有机物，在运行参数上有所侧重。同时由于两级</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AO</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处</w:t>
      </w:r>
      <w:r>
        <w:rPr>
          <w:rFonts w:ascii="宋体" w:hAnsi="宋体" w:eastAsia="宋体" w:cs="宋体"/>
          <w:spacing w:val="-4"/>
          <w:sz w:val="24"/>
          <w:szCs w:val="24"/>
        </w:rPr>
        <w:t>理负荷差</w:t>
      </w:r>
      <w:r>
        <w:rPr>
          <w:rFonts w:ascii="宋体" w:hAnsi="宋体" w:eastAsia="宋体" w:cs="宋体"/>
          <w:spacing w:val="-3"/>
          <w:sz w:val="24"/>
          <w:szCs w:val="24"/>
        </w:rPr>
        <w:t>异较大，污泥种类差异较大，故对两级</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AO </w:t>
      </w:r>
      <w:r>
        <w:rPr>
          <w:rFonts w:ascii="宋体" w:hAnsi="宋体" w:eastAsia="宋体" w:cs="宋体"/>
          <w:spacing w:val="-3"/>
          <w:sz w:val="24"/>
          <w:szCs w:val="24"/>
        </w:rPr>
        <w:t>均设置独立沉淀池，对缺氧池及好氧池进行污泥回流，以保证最高效率。</w:t>
      </w:r>
    </w:p>
    <w:p w14:paraId="62B8DD14">
      <w:pPr>
        <w:spacing w:line="360" w:lineRule="auto"/>
        <w:rPr>
          <w:rFonts w:ascii="宋体" w:hAnsi="宋体" w:eastAsia="宋体" w:cs="宋体"/>
          <w:sz w:val="24"/>
          <w:szCs w:val="24"/>
        </w:rPr>
        <w:sectPr>
          <w:headerReference r:id="rId471" w:type="default"/>
          <w:footerReference r:id="rId472" w:type="default"/>
          <w:pgSz w:w="11905" w:h="16840"/>
          <w:pgMar w:top="1168" w:right="1713" w:bottom="1409" w:left="1770" w:header="828" w:footer="1244" w:gutter="0"/>
          <w:cols w:space="720" w:num="1"/>
        </w:sectPr>
      </w:pPr>
    </w:p>
    <w:p w14:paraId="7CCCACFB">
      <w:pPr>
        <w:pStyle w:val="2"/>
        <w:spacing w:line="306" w:lineRule="auto"/>
      </w:pPr>
    </w:p>
    <w:p w14:paraId="2FFD430D">
      <w:pPr>
        <w:spacing w:before="78" w:line="219" w:lineRule="auto"/>
        <w:ind w:left="522"/>
        <w:rPr>
          <w:rFonts w:ascii="宋体" w:hAnsi="宋体" w:eastAsia="宋体" w:cs="宋体"/>
          <w:sz w:val="24"/>
          <w:szCs w:val="24"/>
        </w:rPr>
      </w:pPr>
      <w:r>
        <w:rPr>
          <w:rFonts w:ascii="宋体" w:hAnsi="宋体" w:eastAsia="宋体" w:cs="宋体"/>
          <w:b/>
          <w:bCs/>
          <w:spacing w:val="-2"/>
          <w:sz w:val="24"/>
          <w:szCs w:val="24"/>
        </w:rPr>
        <w:t>本项目二级</w:t>
      </w:r>
      <w:r>
        <w:rPr>
          <w:rFonts w:ascii="宋体" w:hAnsi="宋体" w:eastAsia="宋体" w:cs="宋体"/>
          <w:spacing w:val="-57"/>
          <w:sz w:val="24"/>
          <w:szCs w:val="24"/>
        </w:rPr>
        <w:t xml:space="preserve"> </w:t>
      </w:r>
      <w:r>
        <w:rPr>
          <w:rFonts w:ascii="Times New Roman" w:hAnsi="Times New Roman" w:eastAsia="Times New Roman" w:cs="Times New Roman"/>
          <w:b/>
          <w:bCs/>
          <w:spacing w:val="-2"/>
          <w:sz w:val="24"/>
          <w:szCs w:val="24"/>
        </w:rPr>
        <w:t xml:space="preserve">AO </w:t>
      </w:r>
      <w:r>
        <w:rPr>
          <w:rFonts w:ascii="宋体" w:hAnsi="宋体" w:eastAsia="宋体" w:cs="宋体"/>
          <w:b/>
          <w:bCs/>
          <w:spacing w:val="-2"/>
          <w:sz w:val="24"/>
          <w:szCs w:val="24"/>
        </w:rPr>
        <w:t>系统为半地上式钢砼结构，停留时间约</w:t>
      </w:r>
      <w:r>
        <w:rPr>
          <w:rFonts w:ascii="宋体" w:hAnsi="宋体" w:eastAsia="宋体" w:cs="宋体"/>
          <w:spacing w:val="-53"/>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3"/>
          <w:sz w:val="24"/>
          <w:szCs w:val="24"/>
        </w:rPr>
        <w:t>d</w:t>
      </w:r>
      <w:r>
        <w:rPr>
          <w:rFonts w:ascii="宋体" w:hAnsi="宋体" w:eastAsia="宋体" w:cs="宋体"/>
          <w:b/>
          <w:bCs/>
          <w:spacing w:val="-3"/>
          <w:sz w:val="24"/>
          <w:szCs w:val="24"/>
        </w:rPr>
        <w:t>。</w:t>
      </w:r>
    </w:p>
    <w:p w14:paraId="4E0854EF">
      <w:pPr>
        <w:spacing w:before="184" w:line="217" w:lineRule="auto"/>
        <w:ind w:left="517"/>
        <w:rPr>
          <w:rFonts w:ascii="宋体" w:hAnsi="宋体" w:eastAsia="宋体" w:cs="宋体"/>
          <w:sz w:val="24"/>
          <w:szCs w:val="24"/>
        </w:rPr>
      </w:pPr>
      <w:r>
        <w:rPr>
          <w:rFonts w:ascii="宋体" w:hAnsi="宋体" w:eastAsia="宋体" w:cs="宋体"/>
          <w:spacing w:val="-2"/>
          <w:sz w:val="24"/>
          <w:szCs w:val="24"/>
        </w:rPr>
        <w:t>③物化系统</w:t>
      </w:r>
    </w:p>
    <w:p w14:paraId="2C1E3966">
      <w:pPr>
        <w:spacing w:before="187" w:line="356" w:lineRule="auto"/>
        <w:ind w:left="41" w:right="29" w:firstLine="477"/>
        <w:rPr>
          <w:rFonts w:ascii="宋体" w:hAnsi="宋体" w:eastAsia="宋体" w:cs="宋体"/>
          <w:sz w:val="24"/>
          <w:szCs w:val="24"/>
        </w:rPr>
      </w:pPr>
      <w:r>
        <w:rPr>
          <w:rFonts w:ascii="宋体" w:hAnsi="宋体" w:eastAsia="宋体" w:cs="宋体"/>
          <w:spacing w:val="-1"/>
          <w:sz w:val="24"/>
          <w:szCs w:val="24"/>
        </w:rPr>
        <w:t xml:space="preserve">在物化反应池中通过投加脱色剂及助凝剂 </w:t>
      </w:r>
      <w:r>
        <w:rPr>
          <w:rFonts w:ascii="Times New Roman" w:hAnsi="Times New Roman" w:eastAsia="Times New Roman" w:cs="Times New Roman"/>
          <w:spacing w:val="-1"/>
          <w:sz w:val="24"/>
          <w:szCs w:val="24"/>
        </w:rPr>
        <w:t>PAM</w:t>
      </w:r>
      <w:r>
        <w:rPr>
          <w:rFonts w:ascii="宋体" w:hAnsi="宋体" w:eastAsia="宋体" w:cs="宋体"/>
          <w:spacing w:val="-1"/>
          <w:sz w:val="24"/>
          <w:szCs w:val="24"/>
        </w:rPr>
        <w:t>，通过搅拌充分混合反</w:t>
      </w:r>
      <w:r>
        <w:rPr>
          <w:rFonts w:ascii="宋体" w:hAnsi="宋体" w:eastAsia="宋体" w:cs="宋体"/>
          <w:spacing w:val="-2"/>
          <w:sz w:val="24"/>
          <w:szCs w:val="24"/>
        </w:rPr>
        <w:t>应形</w:t>
      </w:r>
      <w:r>
        <w:rPr>
          <w:rFonts w:ascii="宋体" w:hAnsi="宋体" w:eastAsia="宋体" w:cs="宋体"/>
          <w:spacing w:val="-3"/>
          <w:sz w:val="24"/>
          <w:szCs w:val="24"/>
        </w:rPr>
        <w:t>成絮体，自流进入斜管沉淀池进行固液分离。斜管沉淀池中水中大部分悬浮物及</w:t>
      </w:r>
      <w:r>
        <w:rPr>
          <w:rFonts w:ascii="宋体" w:hAnsi="宋体" w:eastAsia="宋体" w:cs="宋体"/>
          <w:spacing w:val="-5"/>
          <w:sz w:val="24"/>
          <w:szCs w:val="24"/>
        </w:rPr>
        <w:t>无机颗粒物得以去除。</w:t>
      </w:r>
    </w:p>
    <w:p w14:paraId="2686B091">
      <w:pPr>
        <w:spacing w:before="1" w:line="361" w:lineRule="auto"/>
        <w:ind w:left="41" w:right="28" w:firstLine="480"/>
        <w:rPr>
          <w:rFonts w:ascii="宋体" w:hAnsi="宋体" w:eastAsia="宋体" w:cs="宋体"/>
          <w:sz w:val="24"/>
          <w:szCs w:val="24"/>
        </w:rPr>
      </w:pPr>
      <w:r>
        <w:rPr>
          <w:rFonts w:ascii="宋体" w:hAnsi="宋体" w:eastAsia="宋体" w:cs="宋体"/>
          <w:b/>
          <w:bCs/>
          <w:spacing w:val="-4"/>
          <w:sz w:val="24"/>
          <w:szCs w:val="24"/>
        </w:rPr>
        <w:t>物化反应池为半地上式钢砼结构，有效水深</w:t>
      </w:r>
      <w:r>
        <w:rPr>
          <w:rFonts w:ascii="宋体" w:hAnsi="宋体" w:eastAsia="宋体" w:cs="宋体"/>
          <w:spacing w:val="-51"/>
          <w:sz w:val="24"/>
          <w:szCs w:val="24"/>
        </w:rPr>
        <w:t xml:space="preserve"> </w:t>
      </w:r>
      <w:r>
        <w:rPr>
          <w:rFonts w:ascii="Times New Roman" w:hAnsi="Times New Roman" w:eastAsia="Times New Roman" w:cs="Times New Roman"/>
          <w:b/>
          <w:bCs/>
          <w:spacing w:val="-4"/>
          <w:sz w:val="24"/>
          <w:szCs w:val="24"/>
        </w:rPr>
        <w:t>4.0m</w:t>
      </w:r>
      <w:r>
        <w:rPr>
          <w:rFonts w:ascii="宋体" w:hAnsi="宋体" w:eastAsia="宋体" w:cs="宋体"/>
          <w:b/>
          <w:bCs/>
          <w:spacing w:val="-4"/>
          <w:sz w:val="24"/>
          <w:szCs w:val="24"/>
        </w:rPr>
        <w:t>，有效容积</w:t>
      </w:r>
      <w:r>
        <w:rPr>
          <w:rFonts w:ascii="宋体" w:hAnsi="宋体" w:eastAsia="宋体" w:cs="宋体"/>
          <w:spacing w:val="-43"/>
          <w:sz w:val="24"/>
          <w:szCs w:val="24"/>
        </w:rPr>
        <w:t xml:space="preserve"> </w:t>
      </w:r>
      <w:r>
        <w:rPr>
          <w:rFonts w:ascii="Times New Roman" w:hAnsi="Times New Roman" w:eastAsia="Times New Roman" w:cs="Times New Roman"/>
          <w:b/>
          <w:bCs/>
          <w:spacing w:val="-4"/>
          <w:sz w:val="24"/>
          <w:szCs w:val="24"/>
        </w:rPr>
        <w:t>16m</w:t>
      </w:r>
      <w:r>
        <w:rPr>
          <w:rFonts w:ascii="Times New Roman" w:hAnsi="Times New Roman" w:eastAsia="Times New Roman" w:cs="Times New Roman"/>
          <w:b/>
          <w:bCs/>
          <w:spacing w:val="-4"/>
          <w:position w:val="10"/>
          <w:sz w:val="15"/>
          <w:szCs w:val="15"/>
        </w:rPr>
        <w:t>3</w:t>
      </w:r>
      <w:r>
        <w:rPr>
          <w:rFonts w:ascii="Times New Roman" w:hAnsi="Times New Roman" w:eastAsia="Times New Roman" w:cs="Times New Roman"/>
          <w:b/>
          <w:bCs/>
          <w:spacing w:val="-4"/>
          <w:sz w:val="24"/>
          <w:szCs w:val="24"/>
        </w:rPr>
        <w:t>/</w:t>
      </w:r>
      <w:r>
        <w:rPr>
          <w:rFonts w:ascii="宋体" w:hAnsi="宋体" w:eastAsia="宋体" w:cs="宋体"/>
          <w:b/>
          <w:bCs/>
          <w:spacing w:val="-4"/>
          <w:sz w:val="24"/>
          <w:szCs w:val="24"/>
        </w:rPr>
        <w:t>座（共</w:t>
      </w:r>
      <w:r>
        <w:rPr>
          <w:rFonts w:ascii="宋体" w:hAnsi="宋体" w:eastAsia="宋体" w:cs="宋体"/>
          <w:spacing w:val="-53"/>
          <w:sz w:val="24"/>
          <w:szCs w:val="24"/>
        </w:rPr>
        <w:t xml:space="preserve"> </w:t>
      </w:r>
      <w:r>
        <w:rPr>
          <w:rFonts w:ascii="Times New Roman" w:hAnsi="Times New Roman" w:eastAsia="Times New Roman" w:cs="Times New Roman"/>
          <w:b/>
          <w:bCs/>
          <w:spacing w:val="-4"/>
          <w:sz w:val="24"/>
          <w:szCs w:val="24"/>
        </w:rPr>
        <w:t>4</w:t>
      </w:r>
      <w:r>
        <w:rPr>
          <w:rFonts w:ascii="宋体" w:hAnsi="宋体" w:eastAsia="宋体" w:cs="宋体"/>
          <w:b/>
          <w:bCs/>
          <w:spacing w:val="-2"/>
          <w:sz w:val="24"/>
          <w:szCs w:val="24"/>
        </w:rPr>
        <w:t>座</w:t>
      </w:r>
      <w:r>
        <w:rPr>
          <w:rFonts w:ascii="宋体" w:hAnsi="宋体" w:eastAsia="宋体" w:cs="宋体"/>
          <w:b/>
          <w:bCs/>
          <w:spacing w:val="1"/>
          <w:sz w:val="24"/>
          <w:szCs w:val="24"/>
        </w:rPr>
        <w:t>）；</w:t>
      </w:r>
      <w:r>
        <w:rPr>
          <w:rFonts w:ascii="宋体" w:hAnsi="宋体" w:eastAsia="宋体" w:cs="宋体"/>
          <w:b/>
          <w:bCs/>
          <w:spacing w:val="-2"/>
          <w:sz w:val="24"/>
          <w:szCs w:val="24"/>
        </w:rPr>
        <w:t>物化沉淀池为半地上式钢砼结构，池体容积为</w:t>
      </w:r>
      <w:r>
        <w:rPr>
          <w:rFonts w:ascii="宋体" w:hAnsi="宋体" w:eastAsia="宋体" w:cs="宋体"/>
          <w:spacing w:val="-53"/>
          <w:sz w:val="24"/>
          <w:szCs w:val="24"/>
        </w:rPr>
        <w:t xml:space="preserve"> </w:t>
      </w:r>
      <w:r>
        <w:rPr>
          <w:rFonts w:ascii="Times New Roman" w:hAnsi="Times New Roman" w:eastAsia="Times New Roman" w:cs="Times New Roman"/>
          <w:b/>
          <w:bCs/>
          <w:spacing w:val="-2"/>
          <w:sz w:val="24"/>
          <w:szCs w:val="24"/>
        </w:rPr>
        <w:t>200m</w:t>
      </w:r>
      <w:r>
        <w:rPr>
          <w:rFonts w:ascii="Times New Roman" w:hAnsi="Times New Roman" w:eastAsia="Times New Roman" w:cs="Times New Roman"/>
          <w:b/>
          <w:bCs/>
          <w:spacing w:val="-2"/>
          <w:position w:val="10"/>
          <w:sz w:val="15"/>
          <w:szCs w:val="15"/>
        </w:rPr>
        <w:t>3</w:t>
      </w:r>
      <w:r>
        <w:rPr>
          <w:rFonts w:ascii="宋体" w:hAnsi="宋体" w:eastAsia="宋体" w:cs="宋体"/>
          <w:b/>
          <w:bCs/>
          <w:spacing w:val="-2"/>
          <w:sz w:val="24"/>
          <w:szCs w:val="24"/>
        </w:rPr>
        <w:t>。</w:t>
      </w:r>
    </w:p>
    <w:p w14:paraId="401BF3F2">
      <w:pPr>
        <w:spacing w:before="10" w:line="217" w:lineRule="auto"/>
        <w:ind w:left="517"/>
        <w:rPr>
          <w:rFonts w:ascii="宋体" w:hAnsi="宋体" w:eastAsia="宋体" w:cs="宋体"/>
          <w:sz w:val="24"/>
          <w:szCs w:val="24"/>
        </w:rPr>
      </w:pPr>
      <w:r>
        <w:rPr>
          <w:rFonts w:ascii="宋体" w:hAnsi="宋体" w:eastAsia="宋体" w:cs="宋体"/>
          <w:spacing w:val="-1"/>
          <w:sz w:val="24"/>
          <w:szCs w:val="24"/>
        </w:rPr>
        <w:t>④次氯酸钠消毒</w:t>
      </w:r>
    </w:p>
    <w:p w14:paraId="70522C83">
      <w:pPr>
        <w:spacing w:before="186" w:line="359" w:lineRule="auto"/>
        <w:ind w:left="39" w:right="28" w:firstLine="480"/>
        <w:rPr>
          <w:rFonts w:ascii="宋体" w:hAnsi="宋体" w:eastAsia="宋体" w:cs="宋体"/>
          <w:sz w:val="24"/>
          <w:szCs w:val="24"/>
        </w:rPr>
      </w:pPr>
      <w:r>
        <w:rPr>
          <w:rFonts w:ascii="宋体" w:hAnsi="宋体" w:eastAsia="宋体" w:cs="宋体"/>
          <w:spacing w:val="-3"/>
          <w:sz w:val="24"/>
          <w:szCs w:val="24"/>
        </w:rPr>
        <w:t>本项目采用次氯酸钠消毒，次氯酸钠消毒杀菌最主要的作用方</w:t>
      </w:r>
      <w:r>
        <w:rPr>
          <w:rFonts w:ascii="宋体" w:hAnsi="宋体" w:eastAsia="宋体" w:cs="宋体"/>
          <w:spacing w:val="-4"/>
          <w:sz w:val="24"/>
          <w:szCs w:val="24"/>
        </w:rPr>
        <w:t>式是通过它的</w:t>
      </w:r>
      <w:r>
        <w:rPr>
          <w:rFonts w:ascii="宋体" w:hAnsi="宋体" w:eastAsia="宋体" w:cs="宋体"/>
          <w:spacing w:val="1"/>
          <w:sz w:val="24"/>
          <w:szCs w:val="24"/>
        </w:rPr>
        <w:t>水解作用形成次氯酸，次氯酸再进一步分解形成新生态氧</w:t>
      </w:r>
      <w:r>
        <w:rPr>
          <w:rFonts w:ascii="Times New Roman" w:hAnsi="Times New Roman" w:eastAsia="Times New Roman" w:cs="Times New Roman"/>
          <w:spacing w:val="1"/>
          <w:sz w:val="24"/>
          <w:szCs w:val="24"/>
        </w:rPr>
        <w:t>[O]</w:t>
      </w:r>
      <w:r>
        <w:rPr>
          <w:rFonts w:ascii="宋体" w:hAnsi="宋体" w:eastAsia="宋体" w:cs="宋体"/>
          <w:spacing w:val="1"/>
          <w:sz w:val="24"/>
          <w:szCs w:val="24"/>
        </w:rPr>
        <w:t>，新</w:t>
      </w:r>
      <w:r>
        <w:rPr>
          <w:rFonts w:ascii="宋体" w:hAnsi="宋体" w:eastAsia="宋体" w:cs="宋体"/>
          <w:sz w:val="24"/>
          <w:szCs w:val="24"/>
        </w:rPr>
        <w:t>生态氧的极强</w:t>
      </w:r>
      <w:r>
        <w:rPr>
          <w:rFonts w:ascii="宋体" w:hAnsi="宋体" w:eastAsia="宋体" w:cs="宋体"/>
          <w:spacing w:val="-6"/>
          <w:sz w:val="24"/>
          <w:szCs w:val="24"/>
        </w:rPr>
        <w:t>氧化性使菌体和病毒的蛋白质变性，从而使病原微生物致死。</w:t>
      </w:r>
      <w:r>
        <w:rPr>
          <w:rFonts w:ascii="宋体" w:hAnsi="宋体" w:eastAsia="宋体" w:cs="宋体"/>
          <w:spacing w:val="-7"/>
          <w:sz w:val="24"/>
          <w:szCs w:val="24"/>
        </w:rPr>
        <w:t>根据化学测定， 次</w:t>
      </w:r>
      <w:r>
        <w:rPr>
          <w:rFonts w:ascii="宋体" w:hAnsi="宋体" w:eastAsia="宋体" w:cs="宋体"/>
          <w:spacing w:val="-2"/>
          <w:sz w:val="24"/>
          <w:szCs w:val="24"/>
        </w:rPr>
        <w:t>氯酸钠的水解会受</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pH</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值的影响，当</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pH</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超过</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9.5</w:t>
      </w:r>
      <w:r>
        <w:rPr>
          <w:rFonts w:ascii="Times New Roman" w:hAnsi="Times New Roman" w:eastAsia="Times New Roman" w:cs="Times New Roman"/>
          <w:spacing w:val="38"/>
          <w:sz w:val="24"/>
          <w:szCs w:val="24"/>
        </w:rPr>
        <w:t xml:space="preserve"> </w:t>
      </w:r>
      <w:r>
        <w:rPr>
          <w:rFonts w:ascii="宋体" w:hAnsi="宋体" w:eastAsia="宋体" w:cs="宋体"/>
          <w:spacing w:val="-2"/>
          <w:sz w:val="24"/>
          <w:szCs w:val="24"/>
        </w:rPr>
        <w:t>时就会不利于次氯酸的生成，</w:t>
      </w:r>
      <w:r>
        <w:rPr>
          <w:rFonts w:ascii="宋体" w:hAnsi="宋体" w:eastAsia="宋体" w:cs="宋体"/>
          <w:spacing w:val="4"/>
          <w:sz w:val="24"/>
          <w:szCs w:val="24"/>
        </w:rPr>
        <w:t xml:space="preserve">而对于 </w:t>
      </w:r>
      <w:r>
        <w:rPr>
          <w:rFonts w:ascii="Times New Roman" w:hAnsi="Times New Roman" w:eastAsia="Times New Roman" w:cs="Times New Roman"/>
          <w:sz w:val="24"/>
          <w:szCs w:val="24"/>
        </w:rPr>
        <w:t>PPM</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级浓度的次氯酸钠在水里几乎是完全水解成次氯酸，其效率高于</w:t>
      </w:r>
      <w:r>
        <w:rPr>
          <w:rFonts w:ascii="Times New Roman" w:hAnsi="Times New Roman" w:eastAsia="Times New Roman" w:cs="Times New Roman"/>
          <w:spacing w:val="-3"/>
          <w:sz w:val="24"/>
          <w:szCs w:val="24"/>
        </w:rPr>
        <w:t>99.99%</w:t>
      </w:r>
      <w:r>
        <w:rPr>
          <w:rFonts w:ascii="宋体" w:hAnsi="宋体" w:eastAsia="宋体" w:cs="宋体"/>
          <w:spacing w:val="-3"/>
          <w:sz w:val="24"/>
          <w:szCs w:val="24"/>
        </w:rPr>
        <w:t>。其过程可用化学方程式简单表示如下：</w:t>
      </w:r>
    </w:p>
    <w:p w14:paraId="384A57C0">
      <w:pPr>
        <w:spacing w:before="44" w:line="191" w:lineRule="auto"/>
        <w:ind w:left="277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NaClO+H</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HClO+NaOH</w:t>
      </w:r>
    </w:p>
    <w:p w14:paraId="06F77CBD">
      <w:pPr>
        <w:spacing w:before="219" w:line="183" w:lineRule="auto"/>
        <w:ind w:left="33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HClO</w:t>
      </w:r>
      <w:r>
        <w:rPr>
          <w:rFonts w:ascii="Times New Roman" w:hAnsi="Times New Roman" w:eastAsia="Times New Roman" w:cs="Times New Roman"/>
          <w:spacing w:val="-4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HCl+[O]</w:t>
      </w:r>
    </w:p>
    <w:p w14:paraId="0A5A2F47">
      <w:pPr>
        <w:spacing w:before="192" w:line="360" w:lineRule="auto"/>
        <w:ind w:left="39" w:right="29" w:firstLine="480"/>
        <w:rPr>
          <w:rFonts w:ascii="宋体" w:hAnsi="宋体" w:eastAsia="宋体" w:cs="宋体"/>
          <w:sz w:val="24"/>
          <w:szCs w:val="24"/>
        </w:rPr>
      </w:pPr>
      <w:r>
        <w:rPr>
          <w:rFonts w:ascii="宋体" w:hAnsi="宋体" w:eastAsia="宋体" w:cs="宋体"/>
          <w:spacing w:val="-10"/>
          <w:sz w:val="24"/>
          <w:szCs w:val="24"/>
        </w:rPr>
        <w:t>其次，次氯酸在杀菌、杀病毒过程中， 不仅可作用于细胞壁、病毒外壳， 而且因次氯酸分子小，不带电荷，还可渗透入菌（病毒）体内与菌（病毒）体蛋白、</w:t>
      </w:r>
      <w:r>
        <w:rPr>
          <w:rFonts w:ascii="宋体" w:hAnsi="宋体" w:eastAsia="宋体" w:cs="宋体"/>
          <w:spacing w:val="-3"/>
          <w:sz w:val="24"/>
          <w:szCs w:val="24"/>
        </w:rPr>
        <w:t>核酸和酶等发生氧化反应或破坏其磷酸脱氢酶，使糖代谢失调而致细胞死亡，从</w:t>
      </w:r>
      <w:r>
        <w:rPr>
          <w:rFonts w:ascii="宋体" w:hAnsi="宋体" w:eastAsia="宋体" w:cs="宋体"/>
          <w:spacing w:val="-5"/>
          <w:sz w:val="24"/>
          <w:szCs w:val="24"/>
        </w:rPr>
        <w:t>而杀死病原微生物。</w:t>
      </w:r>
    </w:p>
    <w:p w14:paraId="6EA0B438">
      <w:pPr>
        <w:spacing w:before="1" w:line="219" w:lineRule="auto"/>
        <w:ind w:left="2098"/>
        <w:rPr>
          <w:rFonts w:ascii="宋体" w:hAnsi="宋体" w:eastAsia="宋体" w:cs="宋体"/>
          <w:sz w:val="24"/>
          <w:szCs w:val="24"/>
        </w:rPr>
      </w:pPr>
      <w:r>
        <w:rPr>
          <w:rFonts w:ascii="Times New Roman" w:hAnsi="Times New Roman" w:eastAsia="Times New Roman" w:cs="Times New Roman"/>
          <w:spacing w:val="-1"/>
          <w:sz w:val="24"/>
          <w:szCs w:val="24"/>
        </w:rPr>
        <w:t>R-NH-R+HClO</w:t>
      </w:r>
      <w:r>
        <w:rPr>
          <w:rFonts w:ascii="Times New Roman" w:hAnsi="Times New Roman" w:eastAsia="Times New Roman" w:cs="Times New Roman"/>
          <w:spacing w:val="-41"/>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4"/>
          <w:szCs w:val="24"/>
        </w:rPr>
        <w:t>NCl+H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4"/>
          <w:szCs w:val="24"/>
        </w:rPr>
        <w:t>O</w:t>
      </w:r>
      <w:r>
        <w:rPr>
          <w:rFonts w:ascii="宋体" w:hAnsi="宋体" w:eastAsia="宋体" w:cs="宋体"/>
          <w:spacing w:val="-1"/>
          <w:sz w:val="24"/>
          <w:szCs w:val="24"/>
        </w:rPr>
        <w:t>（细菌蛋白质）</w:t>
      </w:r>
    </w:p>
    <w:p w14:paraId="66A7598F">
      <w:pPr>
        <w:spacing w:before="185" w:line="356" w:lineRule="auto"/>
        <w:ind w:left="41" w:right="29" w:firstLine="484"/>
        <w:jc w:val="both"/>
        <w:rPr>
          <w:rFonts w:ascii="宋体" w:hAnsi="宋体" w:eastAsia="宋体" w:cs="宋体"/>
          <w:sz w:val="24"/>
          <w:szCs w:val="24"/>
        </w:rPr>
      </w:pPr>
      <w:r>
        <w:rPr>
          <w:rFonts w:ascii="宋体" w:hAnsi="宋体" w:eastAsia="宋体" w:cs="宋体"/>
          <w:spacing w:val="-7"/>
          <w:sz w:val="24"/>
          <w:szCs w:val="24"/>
        </w:rPr>
        <w:t>次氯酸钠的浓度越高，杀菌作用越强。同时， 次氯酸产生出的氯离子还能显</w:t>
      </w:r>
      <w:r>
        <w:rPr>
          <w:rFonts w:ascii="宋体" w:hAnsi="宋体" w:eastAsia="宋体" w:cs="宋体"/>
          <w:spacing w:val="-3"/>
          <w:sz w:val="24"/>
          <w:szCs w:val="24"/>
        </w:rPr>
        <w:t>著改变细菌和病毒体的渗透压，使其细胞丧失活性而死亡，并且水的浊度、色度等物理、化学性状都有明显改善。</w:t>
      </w:r>
    </w:p>
    <w:p w14:paraId="2125A15E">
      <w:pPr>
        <w:spacing w:line="230" w:lineRule="auto"/>
        <w:ind w:left="526"/>
        <w:rPr>
          <w:rFonts w:ascii="宋体" w:hAnsi="宋体" w:eastAsia="宋体" w:cs="宋体"/>
          <w:sz w:val="24"/>
          <w:szCs w:val="24"/>
        </w:rPr>
      </w:pPr>
      <w:r>
        <w:rPr>
          <w:rFonts w:ascii="宋体" w:hAnsi="宋体" w:eastAsia="宋体" w:cs="宋体"/>
          <w:b/>
          <w:bCs/>
          <w:spacing w:val="-2"/>
          <w:sz w:val="24"/>
          <w:szCs w:val="24"/>
        </w:rPr>
        <w:t>消毒池为半地上式钢砼结构，有效水深</w:t>
      </w:r>
      <w:r>
        <w:rPr>
          <w:rFonts w:ascii="Times New Roman" w:hAnsi="Times New Roman" w:eastAsia="Times New Roman" w:cs="Times New Roman"/>
          <w:b/>
          <w:bCs/>
          <w:spacing w:val="-2"/>
          <w:sz w:val="24"/>
          <w:szCs w:val="24"/>
        </w:rPr>
        <w:t>4m</w:t>
      </w:r>
      <w:r>
        <w:rPr>
          <w:rFonts w:ascii="宋体" w:hAnsi="宋体" w:eastAsia="宋体" w:cs="宋体"/>
          <w:b/>
          <w:bCs/>
          <w:spacing w:val="-2"/>
          <w:sz w:val="24"/>
          <w:szCs w:val="24"/>
        </w:rPr>
        <w:t>，有效容积</w:t>
      </w:r>
      <w:r>
        <w:rPr>
          <w:rFonts w:ascii="Times New Roman" w:hAnsi="Times New Roman" w:eastAsia="Times New Roman" w:cs="Times New Roman"/>
          <w:b/>
          <w:bCs/>
          <w:spacing w:val="-2"/>
          <w:sz w:val="24"/>
          <w:szCs w:val="24"/>
        </w:rPr>
        <w:t>96m</w:t>
      </w:r>
      <w:r>
        <w:rPr>
          <w:rFonts w:ascii="Times New Roman" w:hAnsi="Times New Roman" w:eastAsia="Times New Roman" w:cs="Times New Roman"/>
          <w:b/>
          <w:bCs/>
          <w:spacing w:val="-2"/>
          <w:position w:val="10"/>
          <w:sz w:val="15"/>
          <w:szCs w:val="15"/>
        </w:rPr>
        <w:t>3</w:t>
      </w:r>
      <w:r>
        <w:rPr>
          <w:rFonts w:ascii="宋体" w:hAnsi="宋体" w:eastAsia="宋体" w:cs="宋体"/>
          <w:b/>
          <w:bCs/>
          <w:spacing w:val="-2"/>
          <w:sz w:val="24"/>
          <w:szCs w:val="24"/>
        </w:rPr>
        <w:t>。</w:t>
      </w:r>
    </w:p>
    <w:p w14:paraId="3CBC6B20">
      <w:pPr>
        <w:spacing w:before="183" w:line="217" w:lineRule="auto"/>
        <w:ind w:left="517"/>
        <w:rPr>
          <w:rFonts w:ascii="宋体" w:hAnsi="宋体" w:eastAsia="宋体" w:cs="宋体"/>
          <w:sz w:val="24"/>
          <w:szCs w:val="24"/>
        </w:rPr>
      </w:pPr>
      <w:r>
        <w:rPr>
          <w:rFonts w:ascii="宋体" w:hAnsi="宋体" w:eastAsia="宋体" w:cs="宋体"/>
          <w:spacing w:val="-2"/>
          <w:sz w:val="24"/>
          <w:szCs w:val="24"/>
        </w:rPr>
        <w:t>⑤污泥处理</w:t>
      </w:r>
    </w:p>
    <w:p w14:paraId="6B525FCB">
      <w:pPr>
        <w:spacing w:before="185" w:line="360" w:lineRule="auto"/>
        <w:ind w:left="56" w:right="29" w:firstLine="483"/>
        <w:rPr>
          <w:rFonts w:ascii="宋体" w:hAnsi="宋体" w:eastAsia="宋体" w:cs="宋体"/>
          <w:sz w:val="24"/>
          <w:szCs w:val="24"/>
        </w:rPr>
      </w:pPr>
      <w:r>
        <w:rPr>
          <w:rFonts w:ascii="宋体" w:hAnsi="宋体" w:eastAsia="宋体" w:cs="宋体"/>
          <w:spacing w:val="-4"/>
          <w:sz w:val="24"/>
          <w:szCs w:val="24"/>
        </w:rPr>
        <w:t>固液分离机拦截下来的悬浮物，经固液分离脱水后，及时交四川正威实业有</w:t>
      </w:r>
      <w:r>
        <w:rPr>
          <w:rFonts w:ascii="宋体" w:hAnsi="宋体" w:eastAsia="宋体" w:cs="宋体"/>
          <w:spacing w:val="-5"/>
          <w:sz w:val="24"/>
          <w:szCs w:val="24"/>
        </w:rPr>
        <w:t>限公司进行生产商品有机肥。</w:t>
      </w:r>
    </w:p>
    <w:p w14:paraId="7F871386">
      <w:pPr>
        <w:spacing w:before="1" w:line="218" w:lineRule="auto"/>
        <w:ind w:right="28"/>
        <w:jc w:val="right"/>
        <w:rPr>
          <w:rFonts w:ascii="宋体" w:hAnsi="宋体" w:eastAsia="宋体" w:cs="宋体"/>
          <w:sz w:val="24"/>
          <w:szCs w:val="24"/>
        </w:rPr>
      </w:pPr>
      <w:r>
        <w:rPr>
          <w:rFonts w:ascii="宋体" w:hAnsi="宋体" w:eastAsia="宋体" w:cs="宋体"/>
          <w:spacing w:val="-3"/>
          <w:sz w:val="24"/>
          <w:szCs w:val="24"/>
        </w:rPr>
        <w:t>生化系统与物化除磷系统排出的剩余污泥进入污泥池，经污泥</w:t>
      </w:r>
      <w:r>
        <w:rPr>
          <w:rFonts w:ascii="宋体" w:hAnsi="宋体" w:eastAsia="宋体" w:cs="宋体"/>
          <w:spacing w:val="-4"/>
          <w:sz w:val="24"/>
          <w:szCs w:val="24"/>
        </w:rPr>
        <w:t>泵送到叠螺机</w:t>
      </w:r>
    </w:p>
    <w:p w14:paraId="17CB4BCF">
      <w:pPr>
        <w:spacing w:line="218" w:lineRule="auto"/>
        <w:rPr>
          <w:rFonts w:ascii="宋体" w:hAnsi="宋体" w:eastAsia="宋体" w:cs="宋体"/>
          <w:sz w:val="24"/>
          <w:szCs w:val="24"/>
        </w:rPr>
        <w:sectPr>
          <w:headerReference r:id="rId473" w:type="default"/>
          <w:footerReference r:id="rId474" w:type="default"/>
          <w:pgSz w:w="11905" w:h="16840"/>
          <w:pgMar w:top="1168" w:right="1768" w:bottom="1409" w:left="1770" w:header="828" w:footer="1244" w:gutter="0"/>
          <w:cols w:space="720" w:num="1"/>
        </w:sectPr>
      </w:pPr>
    </w:p>
    <w:p w14:paraId="7C374313">
      <w:pPr>
        <w:pStyle w:val="2"/>
        <w:spacing w:line="306" w:lineRule="auto"/>
      </w:pPr>
    </w:p>
    <w:p w14:paraId="73ADC96F">
      <w:pPr>
        <w:spacing w:before="78" w:line="219" w:lineRule="auto"/>
        <w:ind w:left="37"/>
        <w:rPr>
          <w:rFonts w:ascii="宋体" w:hAnsi="宋体" w:eastAsia="宋体" w:cs="宋体"/>
          <w:sz w:val="24"/>
          <w:szCs w:val="24"/>
        </w:rPr>
      </w:pPr>
      <w:r>
        <w:rPr>
          <w:rFonts w:ascii="宋体" w:hAnsi="宋体" w:eastAsia="宋体" w:cs="宋体"/>
          <w:spacing w:val="-2"/>
          <w:sz w:val="24"/>
          <w:szCs w:val="24"/>
        </w:rPr>
        <w:t>进行脱水，污泥及时交四川正威实业有限公司进行生产商品有机肥。</w:t>
      </w:r>
    </w:p>
    <w:p w14:paraId="74D65014">
      <w:pPr>
        <w:spacing w:before="240" w:line="226" w:lineRule="auto"/>
        <w:ind w:left="39"/>
        <w:rPr>
          <w:rFonts w:ascii="宋体" w:hAnsi="宋体" w:eastAsia="宋体" w:cs="宋体"/>
          <w:sz w:val="27"/>
          <w:szCs w:val="27"/>
        </w:rPr>
      </w:pPr>
      <w:r>
        <w:rPr>
          <w:rFonts w:ascii="Times New Roman" w:hAnsi="Times New Roman" w:eastAsia="Times New Roman" w:cs="Times New Roman"/>
          <w:b/>
          <w:bCs/>
          <w:spacing w:val="4"/>
          <w:sz w:val="27"/>
          <w:szCs w:val="27"/>
        </w:rPr>
        <w:t xml:space="preserve">5.2.2.3 </w:t>
      </w:r>
      <w:r>
        <w:rPr>
          <w:rFonts w:ascii="宋体" w:hAnsi="宋体" w:eastAsia="宋体" w:cs="宋体"/>
          <w:b/>
          <w:bCs/>
          <w:spacing w:val="4"/>
          <w:sz w:val="27"/>
          <w:szCs w:val="27"/>
        </w:rPr>
        <w:t>污水处理效果</w:t>
      </w:r>
    </w:p>
    <w:p w14:paraId="73AD3114">
      <w:pPr>
        <w:spacing w:before="234" w:line="361" w:lineRule="auto"/>
        <w:ind w:left="34" w:right="117" w:firstLine="485"/>
        <w:rPr>
          <w:rFonts w:ascii="宋体" w:hAnsi="宋体" w:eastAsia="宋体" w:cs="宋体"/>
          <w:sz w:val="24"/>
          <w:szCs w:val="24"/>
        </w:rPr>
      </w:pPr>
      <w:r>
        <w:rPr>
          <w:rFonts w:ascii="宋体" w:hAnsi="宋体" w:eastAsia="宋体" w:cs="宋体"/>
          <w:spacing w:val="2"/>
          <w:sz w:val="24"/>
          <w:szCs w:val="24"/>
        </w:rPr>
        <w:t>根据污水处理设计方案，本项目采取“粪污收集池</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固液分离</w:t>
      </w:r>
      <w:r>
        <w:rPr>
          <w:rFonts w:ascii="Times New Roman" w:hAnsi="Times New Roman" w:eastAsia="Times New Roman" w:cs="Times New Roman"/>
          <w:spacing w:val="2"/>
          <w:sz w:val="24"/>
          <w:szCs w:val="24"/>
        </w:rPr>
        <w:t>+</w:t>
      </w:r>
      <w:r>
        <w:rPr>
          <w:rFonts w:ascii="宋体" w:hAnsi="宋体" w:eastAsia="宋体" w:cs="宋体"/>
          <w:spacing w:val="2"/>
          <w:sz w:val="24"/>
          <w:szCs w:val="24"/>
        </w:rPr>
        <w:t>水解酸化池</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CSTR</w:t>
      </w:r>
      <w:r>
        <w:rPr>
          <w:rFonts w:ascii="宋体" w:hAnsi="宋体" w:eastAsia="宋体" w:cs="宋体"/>
          <w:spacing w:val="5"/>
          <w:sz w:val="24"/>
          <w:szCs w:val="24"/>
        </w:rPr>
        <w:t>厌氧反应器</w:t>
      </w:r>
      <w:r>
        <w:rPr>
          <w:rFonts w:ascii="Times New Roman" w:hAnsi="Times New Roman" w:eastAsia="Times New Roman" w:cs="Times New Roman"/>
          <w:spacing w:val="5"/>
          <w:sz w:val="24"/>
          <w:szCs w:val="24"/>
        </w:rPr>
        <w:t>+</w:t>
      </w:r>
      <w:r>
        <w:rPr>
          <w:rFonts w:ascii="宋体" w:hAnsi="宋体" w:eastAsia="宋体" w:cs="宋体"/>
          <w:spacing w:val="5"/>
          <w:sz w:val="24"/>
          <w:szCs w:val="24"/>
        </w:rPr>
        <w:t>微生物曝氧塘</w:t>
      </w:r>
      <w:r>
        <w:rPr>
          <w:rFonts w:ascii="Times New Roman" w:hAnsi="Times New Roman" w:eastAsia="Times New Roman" w:cs="Times New Roman"/>
          <w:spacing w:val="5"/>
          <w:sz w:val="24"/>
          <w:szCs w:val="24"/>
        </w:rPr>
        <w:t>+</w:t>
      </w:r>
      <w:r>
        <w:rPr>
          <w:rFonts w:ascii="宋体" w:hAnsi="宋体" w:eastAsia="宋体" w:cs="宋体"/>
          <w:spacing w:val="5"/>
          <w:sz w:val="24"/>
          <w:szCs w:val="24"/>
        </w:rPr>
        <w:t>前置物化系统</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一级缺氧池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一级好氧池</w:t>
      </w:r>
      <w:r>
        <w:rPr>
          <w:rFonts w:ascii="Times New Roman" w:hAnsi="Times New Roman" w:eastAsia="Times New Roman" w:cs="Times New Roman"/>
          <w:spacing w:val="5"/>
          <w:sz w:val="24"/>
          <w:szCs w:val="24"/>
        </w:rPr>
        <w:t>+</w:t>
      </w:r>
      <w:r>
        <w:rPr>
          <w:rFonts w:ascii="宋体" w:hAnsi="宋体" w:eastAsia="宋体" w:cs="宋体"/>
          <w:spacing w:val="5"/>
          <w:sz w:val="24"/>
          <w:szCs w:val="24"/>
        </w:rPr>
        <w:t>一</w:t>
      </w:r>
      <w:r>
        <w:rPr>
          <w:rFonts w:ascii="宋体" w:hAnsi="宋体" w:eastAsia="宋体" w:cs="宋体"/>
          <w:spacing w:val="2"/>
          <w:sz w:val="24"/>
          <w:szCs w:val="24"/>
        </w:rPr>
        <w:t>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二级缺氧池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二级好氧池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1"/>
          <w:sz w:val="24"/>
          <w:szCs w:val="24"/>
        </w:rPr>
        <w:t>消毒池” 废水处理</w:t>
      </w:r>
      <w:r>
        <w:rPr>
          <w:rFonts w:ascii="宋体" w:hAnsi="宋体" w:eastAsia="宋体" w:cs="宋体"/>
          <w:spacing w:val="-5"/>
          <w:sz w:val="24"/>
          <w:szCs w:val="24"/>
        </w:rPr>
        <w:t>工艺，水质处理可达《农田灌溉水质标准》（</w:t>
      </w:r>
      <w:r>
        <w:rPr>
          <w:rFonts w:ascii="Times New Roman" w:hAnsi="Times New Roman" w:eastAsia="Times New Roman" w:cs="Times New Roman"/>
          <w:spacing w:val="-5"/>
          <w:sz w:val="24"/>
          <w:szCs w:val="24"/>
        </w:rPr>
        <w:t>GB5084-2021</w:t>
      </w:r>
      <w:r>
        <w:rPr>
          <w:rFonts w:ascii="宋体" w:hAnsi="宋体" w:eastAsia="宋体" w:cs="宋体"/>
          <w:spacing w:val="-5"/>
          <w:sz w:val="24"/>
          <w:szCs w:val="24"/>
        </w:rPr>
        <w:t>）表</w:t>
      </w:r>
      <w:r>
        <w:rPr>
          <w:rFonts w:ascii="Times New Roman" w:hAnsi="Times New Roman" w:eastAsia="Times New Roman" w:cs="Times New Roman"/>
          <w:spacing w:val="-5"/>
          <w:sz w:val="24"/>
          <w:szCs w:val="24"/>
        </w:rPr>
        <w:t>1</w:t>
      </w:r>
      <w:r>
        <w:rPr>
          <w:rFonts w:ascii="宋体" w:hAnsi="宋体" w:eastAsia="宋体" w:cs="宋体"/>
          <w:spacing w:val="-5"/>
          <w:sz w:val="24"/>
          <w:szCs w:val="24"/>
        </w:rPr>
        <w:t>旱地作物标准。</w:t>
      </w:r>
      <w:r>
        <w:rPr>
          <w:rFonts w:ascii="宋体" w:hAnsi="宋体" w:eastAsia="宋体" w:cs="宋体"/>
          <w:spacing w:val="-1"/>
          <w:sz w:val="24"/>
          <w:szCs w:val="24"/>
        </w:rPr>
        <w:t>本项目污水处理系统主要工艺过程去除率及污染物产</w:t>
      </w:r>
      <w:r>
        <w:rPr>
          <w:rFonts w:ascii="宋体" w:hAnsi="宋体" w:eastAsia="宋体" w:cs="宋体"/>
          <w:spacing w:val="-2"/>
          <w:sz w:val="24"/>
          <w:szCs w:val="24"/>
        </w:rPr>
        <w:t>、排情况见下表。</w:t>
      </w:r>
    </w:p>
    <w:p w14:paraId="2699E067">
      <w:pPr>
        <w:spacing w:before="8" w:line="222" w:lineRule="auto"/>
        <w:ind w:left="242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3"/>
          <w:sz w:val="21"/>
          <w:szCs w:val="21"/>
        </w:rPr>
        <w:t xml:space="preserve"> </w:t>
      </w:r>
      <w:r>
        <w:rPr>
          <w:rFonts w:ascii="Times New Roman" w:hAnsi="Times New Roman" w:eastAsia="Times New Roman" w:cs="Times New Roman"/>
          <w:spacing w:val="-1"/>
          <w:sz w:val="21"/>
          <w:szCs w:val="21"/>
        </w:rPr>
        <w:t xml:space="preserve">5.2-2  </w:t>
      </w:r>
      <w:r>
        <w:rPr>
          <w:rFonts w:ascii="黑体" w:hAnsi="黑体" w:eastAsia="黑体" w:cs="黑体"/>
          <w:spacing w:val="-1"/>
          <w:sz w:val="21"/>
          <w:szCs w:val="21"/>
        </w:rPr>
        <w:t>污水处理各单元去除率预测表</w:t>
      </w:r>
    </w:p>
    <w:p w14:paraId="5AD709B8">
      <w:pPr>
        <w:spacing w:line="87" w:lineRule="exact"/>
      </w:pPr>
    </w:p>
    <w:tbl>
      <w:tblPr>
        <w:tblStyle w:val="5"/>
        <w:tblW w:w="8326" w:type="dxa"/>
        <w:tblInd w:w="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9"/>
        <w:gridCol w:w="1024"/>
        <w:gridCol w:w="1251"/>
        <w:gridCol w:w="1251"/>
        <w:gridCol w:w="1396"/>
        <w:gridCol w:w="1275"/>
        <w:gridCol w:w="1090"/>
      </w:tblGrid>
      <w:tr w14:paraId="41E0B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39" w:type="dxa"/>
            <w:vAlign w:val="top"/>
          </w:tcPr>
          <w:p w14:paraId="7E89F567">
            <w:pPr>
              <w:spacing w:before="69" w:line="220" w:lineRule="auto"/>
              <w:ind w:left="105"/>
              <w:rPr>
                <w:rFonts w:ascii="宋体" w:hAnsi="宋体" w:eastAsia="宋体" w:cs="宋体"/>
                <w:sz w:val="21"/>
                <w:szCs w:val="21"/>
              </w:rPr>
            </w:pPr>
            <w:r>
              <w:rPr>
                <w:rFonts w:ascii="宋体" w:hAnsi="宋体" w:eastAsia="宋体" w:cs="宋体"/>
                <w:spacing w:val="-3"/>
                <w:sz w:val="21"/>
                <w:szCs w:val="21"/>
              </w:rPr>
              <w:t>处理单元</w:t>
            </w:r>
          </w:p>
        </w:tc>
        <w:tc>
          <w:tcPr>
            <w:tcW w:w="1024" w:type="dxa"/>
            <w:vAlign w:val="top"/>
          </w:tcPr>
          <w:p w14:paraId="61B6635D">
            <w:pPr>
              <w:spacing w:before="69" w:line="220" w:lineRule="auto"/>
              <w:ind w:left="305"/>
              <w:rPr>
                <w:rFonts w:ascii="宋体" w:hAnsi="宋体" w:eastAsia="宋体" w:cs="宋体"/>
                <w:sz w:val="21"/>
                <w:szCs w:val="21"/>
              </w:rPr>
            </w:pPr>
            <w:r>
              <w:rPr>
                <w:rFonts w:ascii="宋体" w:hAnsi="宋体" w:eastAsia="宋体" w:cs="宋体"/>
                <w:spacing w:val="-3"/>
                <w:sz w:val="21"/>
                <w:szCs w:val="21"/>
              </w:rPr>
              <w:t>项目</w:t>
            </w:r>
          </w:p>
        </w:tc>
        <w:tc>
          <w:tcPr>
            <w:tcW w:w="1251" w:type="dxa"/>
            <w:vAlign w:val="top"/>
          </w:tcPr>
          <w:p w14:paraId="1EC877E8">
            <w:pPr>
              <w:pStyle w:val="6"/>
              <w:spacing w:before="68" w:line="212" w:lineRule="auto"/>
              <w:jc w:val="right"/>
              <w:rPr>
                <w:rFonts w:ascii="宋体" w:hAnsi="宋体" w:eastAsia="宋体" w:cs="宋体"/>
              </w:rPr>
            </w:pPr>
            <w:r>
              <w:rPr>
                <w:spacing w:val="-10"/>
              </w:rPr>
              <w:t>COD</w:t>
            </w:r>
            <w:r>
              <w:rPr>
                <w:rFonts w:ascii="宋体" w:hAnsi="宋体" w:eastAsia="宋体" w:cs="宋体"/>
                <w:spacing w:val="-10"/>
              </w:rPr>
              <w:t>（</w:t>
            </w:r>
            <w:r>
              <w:rPr>
                <w:spacing w:val="-10"/>
              </w:rPr>
              <w:t>mg/L</w:t>
            </w:r>
            <w:r>
              <w:rPr>
                <w:rFonts w:ascii="宋体" w:hAnsi="宋体" w:eastAsia="宋体" w:cs="宋体"/>
                <w:spacing w:val="-10"/>
              </w:rPr>
              <w:t>）</w:t>
            </w:r>
          </w:p>
        </w:tc>
        <w:tc>
          <w:tcPr>
            <w:tcW w:w="1251" w:type="dxa"/>
            <w:vAlign w:val="top"/>
          </w:tcPr>
          <w:p w14:paraId="6ED1BD65">
            <w:pPr>
              <w:pStyle w:val="6"/>
              <w:spacing w:before="68" w:line="212" w:lineRule="auto"/>
              <w:jc w:val="right"/>
              <w:rPr>
                <w:rFonts w:ascii="宋体" w:hAnsi="宋体" w:eastAsia="宋体" w:cs="宋体"/>
              </w:rPr>
            </w:pPr>
            <w:r>
              <w:rPr>
                <w:spacing w:val="-22"/>
                <w:w w:val="98"/>
              </w:rPr>
              <w:t>BOD</w:t>
            </w:r>
            <w:r>
              <w:rPr>
                <w:spacing w:val="-22"/>
                <w:w w:val="98"/>
                <w:position w:val="-2"/>
                <w:sz w:val="14"/>
                <w:szCs w:val="14"/>
              </w:rPr>
              <w:t>5</w:t>
            </w:r>
            <w:r>
              <w:rPr>
                <w:rFonts w:ascii="宋体" w:hAnsi="宋体" w:eastAsia="宋体" w:cs="宋体"/>
                <w:spacing w:val="-22"/>
                <w:w w:val="98"/>
              </w:rPr>
              <w:t>（</w:t>
            </w:r>
            <w:r>
              <w:rPr>
                <w:spacing w:val="-6"/>
              </w:rPr>
              <w:t>mg/L</w:t>
            </w:r>
            <w:r>
              <w:rPr>
                <w:rFonts w:ascii="宋体" w:hAnsi="宋体" w:eastAsia="宋体" w:cs="宋体"/>
                <w:spacing w:val="-6"/>
              </w:rPr>
              <w:t>）</w:t>
            </w:r>
          </w:p>
        </w:tc>
        <w:tc>
          <w:tcPr>
            <w:tcW w:w="1396" w:type="dxa"/>
            <w:vAlign w:val="top"/>
          </w:tcPr>
          <w:p w14:paraId="5794BCBF">
            <w:pPr>
              <w:pStyle w:val="6"/>
              <w:spacing w:before="68" w:line="212" w:lineRule="auto"/>
              <w:jc w:val="right"/>
              <w:rPr>
                <w:rFonts w:ascii="宋体" w:hAnsi="宋体" w:eastAsia="宋体" w:cs="宋体"/>
              </w:rPr>
            </w:pPr>
            <w:r>
              <w:rPr>
                <w:spacing w:val="-8"/>
              </w:rPr>
              <w:t>NH</w:t>
            </w:r>
            <w:r>
              <w:rPr>
                <w:spacing w:val="-8"/>
                <w:position w:val="-2"/>
                <w:sz w:val="14"/>
                <w:szCs w:val="14"/>
              </w:rPr>
              <w:t>3</w:t>
            </w:r>
            <w:r>
              <w:rPr>
                <w:spacing w:val="-8"/>
              </w:rPr>
              <w:t>-N</w:t>
            </w:r>
            <w:r>
              <w:rPr>
                <w:rFonts w:ascii="宋体" w:hAnsi="宋体" w:eastAsia="宋体" w:cs="宋体"/>
                <w:spacing w:val="-8"/>
              </w:rPr>
              <w:t>（</w:t>
            </w:r>
            <w:r>
              <w:rPr>
                <w:spacing w:val="-8"/>
              </w:rPr>
              <w:t>mg/L</w:t>
            </w:r>
            <w:r>
              <w:rPr>
                <w:rFonts w:ascii="宋体" w:hAnsi="宋体" w:eastAsia="宋体" w:cs="宋体"/>
                <w:spacing w:val="-8"/>
              </w:rPr>
              <w:t>）</w:t>
            </w:r>
          </w:p>
        </w:tc>
        <w:tc>
          <w:tcPr>
            <w:tcW w:w="1275" w:type="dxa"/>
            <w:vAlign w:val="top"/>
          </w:tcPr>
          <w:p w14:paraId="6D41D4AA">
            <w:pPr>
              <w:pStyle w:val="6"/>
              <w:spacing w:before="68" w:line="212" w:lineRule="auto"/>
              <w:ind w:left="82"/>
              <w:rPr>
                <w:rFonts w:ascii="宋体" w:hAnsi="宋体" w:eastAsia="宋体" w:cs="宋体"/>
              </w:rPr>
            </w:pPr>
            <w:r>
              <w:rPr>
                <w:spacing w:val="-1"/>
              </w:rPr>
              <w:t>TP</w:t>
            </w:r>
            <w:r>
              <w:rPr>
                <w:rFonts w:ascii="宋体" w:hAnsi="宋体" w:eastAsia="宋体" w:cs="宋体"/>
                <w:spacing w:val="-1"/>
              </w:rPr>
              <w:t>（</w:t>
            </w:r>
            <w:r>
              <w:rPr>
                <w:spacing w:val="-1"/>
              </w:rPr>
              <w:t>mg/L</w:t>
            </w:r>
            <w:r>
              <w:rPr>
                <w:rFonts w:ascii="宋体" w:hAnsi="宋体" w:eastAsia="宋体" w:cs="宋体"/>
                <w:spacing w:val="-1"/>
              </w:rPr>
              <w:t>）</w:t>
            </w:r>
          </w:p>
        </w:tc>
        <w:tc>
          <w:tcPr>
            <w:tcW w:w="1090" w:type="dxa"/>
            <w:vAlign w:val="top"/>
          </w:tcPr>
          <w:p w14:paraId="491F7FB1">
            <w:pPr>
              <w:pStyle w:val="6"/>
              <w:spacing w:before="68" w:line="212" w:lineRule="auto"/>
              <w:jc w:val="right"/>
              <w:rPr>
                <w:rFonts w:ascii="宋体" w:hAnsi="宋体" w:eastAsia="宋体" w:cs="宋体"/>
              </w:rPr>
            </w:pPr>
            <w:r>
              <w:rPr>
                <w:spacing w:val="-7"/>
              </w:rPr>
              <w:t>SS</w:t>
            </w:r>
            <w:r>
              <w:rPr>
                <w:rFonts w:ascii="宋体" w:hAnsi="宋体" w:eastAsia="宋体" w:cs="宋体"/>
                <w:spacing w:val="-7"/>
              </w:rPr>
              <w:t>（</w:t>
            </w:r>
            <w:r>
              <w:rPr>
                <w:spacing w:val="-7"/>
              </w:rPr>
              <w:t>mg/L</w:t>
            </w:r>
            <w:r>
              <w:rPr>
                <w:rFonts w:ascii="宋体" w:hAnsi="宋体" w:eastAsia="宋体" w:cs="宋体"/>
                <w:spacing w:val="-7"/>
              </w:rPr>
              <w:t>）</w:t>
            </w:r>
          </w:p>
        </w:tc>
      </w:tr>
      <w:tr w14:paraId="52A24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Align w:val="top"/>
          </w:tcPr>
          <w:p w14:paraId="69B05459">
            <w:pPr>
              <w:spacing w:before="61" w:line="220" w:lineRule="auto"/>
              <w:ind w:left="309"/>
              <w:rPr>
                <w:rFonts w:ascii="宋体" w:hAnsi="宋体" w:eastAsia="宋体" w:cs="宋体"/>
                <w:sz w:val="21"/>
                <w:szCs w:val="21"/>
              </w:rPr>
            </w:pPr>
            <w:r>
              <w:rPr>
                <w:rFonts w:ascii="宋体" w:hAnsi="宋体" w:eastAsia="宋体" w:cs="宋体"/>
                <w:spacing w:val="-2"/>
                <w:sz w:val="21"/>
                <w:szCs w:val="21"/>
              </w:rPr>
              <w:t>进水</w:t>
            </w:r>
          </w:p>
        </w:tc>
        <w:tc>
          <w:tcPr>
            <w:tcW w:w="1024" w:type="dxa"/>
            <w:vAlign w:val="top"/>
          </w:tcPr>
          <w:p w14:paraId="61C5D143">
            <w:pPr>
              <w:spacing w:before="61" w:line="220" w:lineRule="auto"/>
              <w:ind w:left="90"/>
              <w:rPr>
                <w:rFonts w:ascii="宋体" w:hAnsi="宋体" w:eastAsia="宋体" w:cs="宋体"/>
                <w:sz w:val="21"/>
                <w:szCs w:val="21"/>
              </w:rPr>
            </w:pPr>
            <w:r>
              <w:rPr>
                <w:rFonts w:ascii="宋体" w:hAnsi="宋体" w:eastAsia="宋体" w:cs="宋体"/>
                <w:spacing w:val="-2"/>
                <w:sz w:val="21"/>
                <w:szCs w:val="21"/>
              </w:rPr>
              <w:t>进水浓度</w:t>
            </w:r>
          </w:p>
        </w:tc>
        <w:tc>
          <w:tcPr>
            <w:tcW w:w="1251" w:type="dxa"/>
            <w:vAlign w:val="top"/>
          </w:tcPr>
          <w:p w14:paraId="18CC2516">
            <w:pPr>
              <w:pStyle w:val="6"/>
              <w:spacing w:before="98" w:line="188" w:lineRule="auto"/>
              <w:ind w:left="360"/>
            </w:pPr>
            <w:r>
              <w:rPr>
                <w:spacing w:val="-1"/>
              </w:rPr>
              <w:t>21600</w:t>
            </w:r>
          </w:p>
        </w:tc>
        <w:tc>
          <w:tcPr>
            <w:tcW w:w="1251" w:type="dxa"/>
            <w:vAlign w:val="top"/>
          </w:tcPr>
          <w:p w14:paraId="76647AD5">
            <w:pPr>
              <w:pStyle w:val="6"/>
              <w:spacing w:before="98" w:line="188" w:lineRule="auto"/>
              <w:ind w:left="423"/>
            </w:pPr>
            <w:r>
              <w:rPr>
                <w:spacing w:val="-4"/>
              </w:rPr>
              <w:t>8000</w:t>
            </w:r>
          </w:p>
        </w:tc>
        <w:tc>
          <w:tcPr>
            <w:tcW w:w="1396" w:type="dxa"/>
            <w:vAlign w:val="top"/>
          </w:tcPr>
          <w:p w14:paraId="67456D22">
            <w:pPr>
              <w:pStyle w:val="6"/>
              <w:spacing w:before="98" w:line="188" w:lineRule="auto"/>
              <w:ind w:left="547"/>
            </w:pPr>
            <w:r>
              <w:rPr>
                <w:spacing w:val="-4"/>
              </w:rPr>
              <w:t>590</w:t>
            </w:r>
          </w:p>
        </w:tc>
        <w:tc>
          <w:tcPr>
            <w:tcW w:w="1275" w:type="dxa"/>
            <w:vAlign w:val="top"/>
          </w:tcPr>
          <w:p w14:paraId="45280C7D">
            <w:pPr>
              <w:pStyle w:val="6"/>
              <w:spacing w:before="98" w:line="188" w:lineRule="auto"/>
              <w:ind w:left="503"/>
            </w:pPr>
            <w:r>
              <w:rPr>
                <w:spacing w:val="-9"/>
              </w:rPr>
              <w:t>127</w:t>
            </w:r>
          </w:p>
        </w:tc>
        <w:tc>
          <w:tcPr>
            <w:tcW w:w="1090" w:type="dxa"/>
            <w:vAlign w:val="top"/>
          </w:tcPr>
          <w:p w14:paraId="299271C0">
            <w:pPr>
              <w:pStyle w:val="6"/>
              <w:spacing w:before="98" w:line="188" w:lineRule="auto"/>
              <w:ind w:left="334"/>
            </w:pPr>
            <w:r>
              <w:rPr>
                <w:spacing w:val="-1"/>
              </w:rPr>
              <w:t>4000</w:t>
            </w:r>
          </w:p>
        </w:tc>
      </w:tr>
      <w:tr w14:paraId="3121C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39" w:type="dxa"/>
            <w:vMerge w:val="restart"/>
            <w:tcBorders>
              <w:bottom w:val="nil"/>
            </w:tcBorders>
            <w:vAlign w:val="top"/>
          </w:tcPr>
          <w:p w14:paraId="31626890">
            <w:pPr>
              <w:spacing w:before="85" w:line="220" w:lineRule="auto"/>
              <w:ind w:left="119"/>
              <w:rPr>
                <w:rFonts w:ascii="宋体" w:hAnsi="宋体" w:eastAsia="宋体" w:cs="宋体"/>
                <w:sz w:val="21"/>
                <w:szCs w:val="21"/>
              </w:rPr>
            </w:pPr>
            <w:r>
              <w:rPr>
                <w:rFonts w:ascii="宋体" w:hAnsi="宋体" w:eastAsia="宋体" w:cs="宋体"/>
                <w:spacing w:val="-5"/>
                <w:sz w:val="21"/>
                <w:szCs w:val="21"/>
              </w:rPr>
              <w:t>固液分离</w:t>
            </w:r>
          </w:p>
          <w:p w14:paraId="1B3F8422">
            <w:pPr>
              <w:spacing w:before="60" w:line="220" w:lineRule="auto"/>
              <w:ind w:left="103"/>
              <w:rPr>
                <w:rFonts w:ascii="宋体" w:hAnsi="宋体" w:eastAsia="宋体" w:cs="宋体"/>
                <w:sz w:val="21"/>
                <w:szCs w:val="21"/>
              </w:rPr>
            </w:pPr>
            <w:r>
              <w:rPr>
                <w:rFonts w:ascii="宋体" w:hAnsi="宋体" w:eastAsia="宋体" w:cs="宋体"/>
                <w:spacing w:val="-3"/>
                <w:sz w:val="21"/>
                <w:szCs w:val="21"/>
              </w:rPr>
              <w:t>水解酸化</w:t>
            </w:r>
          </w:p>
        </w:tc>
        <w:tc>
          <w:tcPr>
            <w:tcW w:w="1024" w:type="dxa"/>
            <w:vAlign w:val="top"/>
          </w:tcPr>
          <w:p w14:paraId="6913A1D8">
            <w:pPr>
              <w:spacing w:before="62"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757D1E06">
            <w:pPr>
              <w:pStyle w:val="6"/>
              <w:spacing w:before="99" w:line="188" w:lineRule="auto"/>
              <w:ind w:left="350"/>
            </w:pPr>
            <w:r>
              <w:rPr>
                <w:spacing w:val="-1"/>
              </w:rPr>
              <w:t>20.0%</w:t>
            </w:r>
          </w:p>
        </w:tc>
        <w:tc>
          <w:tcPr>
            <w:tcW w:w="1251" w:type="dxa"/>
            <w:vAlign w:val="top"/>
          </w:tcPr>
          <w:p w14:paraId="76A31979">
            <w:pPr>
              <w:pStyle w:val="6"/>
              <w:spacing w:before="99" w:line="188" w:lineRule="auto"/>
              <w:ind w:left="373"/>
            </w:pPr>
            <w:r>
              <w:rPr>
                <w:spacing w:val="-5"/>
              </w:rPr>
              <w:t>15.0%</w:t>
            </w:r>
          </w:p>
        </w:tc>
        <w:tc>
          <w:tcPr>
            <w:tcW w:w="1396" w:type="dxa"/>
            <w:vAlign w:val="top"/>
          </w:tcPr>
          <w:p w14:paraId="593D46B2">
            <w:pPr>
              <w:pStyle w:val="6"/>
              <w:spacing w:before="99" w:line="188" w:lineRule="auto"/>
              <w:ind w:left="525"/>
            </w:pPr>
            <w:r>
              <w:rPr>
                <w:spacing w:val="-5"/>
              </w:rPr>
              <w:t>10%</w:t>
            </w:r>
          </w:p>
        </w:tc>
        <w:tc>
          <w:tcPr>
            <w:tcW w:w="1275" w:type="dxa"/>
            <w:vAlign w:val="top"/>
          </w:tcPr>
          <w:p w14:paraId="1FF2CC1C">
            <w:pPr>
              <w:pStyle w:val="6"/>
              <w:spacing w:before="99" w:line="188" w:lineRule="auto"/>
              <w:ind w:left="369"/>
            </w:pPr>
            <w:r>
              <w:rPr>
                <w:spacing w:val="-1"/>
              </w:rPr>
              <w:t>20.0%</w:t>
            </w:r>
          </w:p>
        </w:tc>
        <w:tc>
          <w:tcPr>
            <w:tcW w:w="1090" w:type="dxa"/>
            <w:vAlign w:val="top"/>
          </w:tcPr>
          <w:p w14:paraId="441ED480">
            <w:pPr>
              <w:pStyle w:val="6"/>
              <w:spacing w:before="99" w:line="188" w:lineRule="auto"/>
              <w:ind w:left="279"/>
            </w:pPr>
            <w:r>
              <w:rPr>
                <w:spacing w:val="-2"/>
              </w:rPr>
              <w:t>50.0%</w:t>
            </w:r>
          </w:p>
        </w:tc>
      </w:tr>
      <w:tr w14:paraId="3473C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continue"/>
            <w:tcBorders>
              <w:top w:val="nil"/>
            </w:tcBorders>
            <w:vAlign w:val="top"/>
          </w:tcPr>
          <w:p w14:paraId="1DB7981A">
            <w:pPr>
              <w:rPr>
                <w:rFonts w:ascii="Arial"/>
                <w:sz w:val="21"/>
              </w:rPr>
            </w:pPr>
          </w:p>
        </w:tc>
        <w:tc>
          <w:tcPr>
            <w:tcW w:w="1024" w:type="dxa"/>
            <w:vAlign w:val="top"/>
          </w:tcPr>
          <w:p w14:paraId="10C83394">
            <w:pPr>
              <w:spacing w:before="64"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02F69B0E">
            <w:pPr>
              <w:pStyle w:val="6"/>
              <w:spacing w:before="101" w:line="188" w:lineRule="auto"/>
              <w:ind w:left="380"/>
            </w:pPr>
            <w:r>
              <w:rPr>
                <w:spacing w:val="-5"/>
              </w:rPr>
              <w:t>17280</w:t>
            </w:r>
          </w:p>
        </w:tc>
        <w:tc>
          <w:tcPr>
            <w:tcW w:w="1251" w:type="dxa"/>
            <w:vAlign w:val="top"/>
          </w:tcPr>
          <w:p w14:paraId="640EA73F">
            <w:pPr>
              <w:pStyle w:val="6"/>
              <w:spacing w:before="101" w:line="188" w:lineRule="auto"/>
              <w:ind w:left="419"/>
            </w:pPr>
            <w:r>
              <w:rPr>
                <w:spacing w:val="-3"/>
              </w:rPr>
              <w:t>6800</w:t>
            </w:r>
          </w:p>
        </w:tc>
        <w:tc>
          <w:tcPr>
            <w:tcW w:w="1396" w:type="dxa"/>
            <w:vAlign w:val="top"/>
          </w:tcPr>
          <w:p w14:paraId="07E9294F">
            <w:pPr>
              <w:pStyle w:val="6"/>
              <w:spacing w:before="101" w:line="188" w:lineRule="auto"/>
              <w:ind w:left="547"/>
            </w:pPr>
            <w:r>
              <w:rPr>
                <w:spacing w:val="-4"/>
              </w:rPr>
              <w:t>531</w:t>
            </w:r>
          </w:p>
        </w:tc>
        <w:tc>
          <w:tcPr>
            <w:tcW w:w="1275" w:type="dxa"/>
            <w:vAlign w:val="top"/>
          </w:tcPr>
          <w:p w14:paraId="0FB88134">
            <w:pPr>
              <w:pStyle w:val="6"/>
              <w:spacing w:before="101" w:line="188" w:lineRule="auto"/>
              <w:ind w:left="424"/>
            </w:pPr>
            <w:r>
              <w:rPr>
                <w:spacing w:val="-5"/>
              </w:rPr>
              <w:t>101.6</w:t>
            </w:r>
          </w:p>
        </w:tc>
        <w:tc>
          <w:tcPr>
            <w:tcW w:w="1090" w:type="dxa"/>
            <w:vAlign w:val="top"/>
          </w:tcPr>
          <w:p w14:paraId="0D89841B">
            <w:pPr>
              <w:pStyle w:val="6"/>
              <w:spacing w:before="101" w:line="188" w:lineRule="auto"/>
              <w:ind w:left="335"/>
            </w:pPr>
            <w:r>
              <w:rPr>
                <w:spacing w:val="-1"/>
              </w:rPr>
              <w:t>2000</w:t>
            </w:r>
          </w:p>
        </w:tc>
      </w:tr>
      <w:tr w14:paraId="67B6A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restart"/>
            <w:tcBorders>
              <w:bottom w:val="nil"/>
            </w:tcBorders>
            <w:vAlign w:val="top"/>
          </w:tcPr>
          <w:p w14:paraId="01B1B379">
            <w:pPr>
              <w:pStyle w:val="6"/>
              <w:spacing w:before="85" w:line="265" w:lineRule="auto"/>
              <w:ind w:left="206" w:right="16" w:hanging="185"/>
              <w:rPr>
                <w:rFonts w:ascii="宋体" w:hAnsi="宋体" w:eastAsia="宋体" w:cs="宋体"/>
              </w:rPr>
            </w:pPr>
            <w:r>
              <w:rPr>
                <w:spacing w:val="-1"/>
              </w:rPr>
              <w:t xml:space="preserve">CSTR </w:t>
            </w:r>
            <w:r>
              <w:rPr>
                <w:rFonts w:ascii="宋体" w:hAnsi="宋体" w:eastAsia="宋体" w:cs="宋体"/>
                <w:spacing w:val="-1"/>
              </w:rPr>
              <w:t>厌氧</w:t>
            </w:r>
            <w:r>
              <w:rPr>
                <w:rFonts w:ascii="宋体" w:hAnsi="宋体" w:eastAsia="宋体" w:cs="宋体"/>
                <w:spacing w:val="-3"/>
              </w:rPr>
              <w:t>反应器</w:t>
            </w:r>
          </w:p>
        </w:tc>
        <w:tc>
          <w:tcPr>
            <w:tcW w:w="1024" w:type="dxa"/>
            <w:vAlign w:val="top"/>
          </w:tcPr>
          <w:p w14:paraId="6A2E516E">
            <w:pPr>
              <w:spacing w:before="63"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4FBD77AB">
            <w:pPr>
              <w:pStyle w:val="6"/>
              <w:spacing w:before="100" w:line="188" w:lineRule="auto"/>
              <w:ind w:left="353"/>
            </w:pPr>
            <w:r>
              <w:rPr>
                <w:spacing w:val="-2"/>
              </w:rPr>
              <w:t>70.0%</w:t>
            </w:r>
          </w:p>
        </w:tc>
        <w:tc>
          <w:tcPr>
            <w:tcW w:w="1251" w:type="dxa"/>
            <w:vAlign w:val="top"/>
          </w:tcPr>
          <w:p w14:paraId="2D4DAD7B">
            <w:pPr>
              <w:pStyle w:val="6"/>
              <w:spacing w:before="100" w:line="188" w:lineRule="auto"/>
              <w:ind w:left="357"/>
            </w:pPr>
            <w:r>
              <w:rPr>
                <w:spacing w:val="-2"/>
              </w:rPr>
              <w:t>70.0%</w:t>
            </w:r>
          </w:p>
        </w:tc>
        <w:tc>
          <w:tcPr>
            <w:tcW w:w="1396" w:type="dxa"/>
            <w:vAlign w:val="top"/>
          </w:tcPr>
          <w:p w14:paraId="5062E451">
            <w:pPr>
              <w:pStyle w:val="6"/>
              <w:spacing w:before="100" w:line="188" w:lineRule="auto"/>
              <w:ind w:left="649"/>
            </w:pPr>
            <w:r>
              <w:t>0</w:t>
            </w:r>
          </w:p>
        </w:tc>
        <w:tc>
          <w:tcPr>
            <w:tcW w:w="1275" w:type="dxa"/>
            <w:vAlign w:val="top"/>
          </w:tcPr>
          <w:p w14:paraId="693757FF">
            <w:pPr>
              <w:pStyle w:val="6"/>
              <w:spacing w:before="100" w:line="188" w:lineRule="auto"/>
              <w:ind w:left="372"/>
            </w:pPr>
            <w:r>
              <w:rPr>
                <w:spacing w:val="-2"/>
              </w:rPr>
              <w:t>70.0%</w:t>
            </w:r>
          </w:p>
        </w:tc>
        <w:tc>
          <w:tcPr>
            <w:tcW w:w="1090" w:type="dxa"/>
            <w:vAlign w:val="top"/>
          </w:tcPr>
          <w:p w14:paraId="39413D45">
            <w:pPr>
              <w:pStyle w:val="6"/>
              <w:spacing w:before="100" w:line="188" w:lineRule="auto"/>
              <w:ind w:left="282"/>
            </w:pPr>
            <w:r>
              <w:rPr>
                <w:spacing w:val="-3"/>
              </w:rPr>
              <w:t>80.0%</w:t>
            </w:r>
          </w:p>
        </w:tc>
      </w:tr>
      <w:tr w14:paraId="53B5C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continue"/>
            <w:tcBorders>
              <w:top w:val="nil"/>
            </w:tcBorders>
            <w:vAlign w:val="top"/>
          </w:tcPr>
          <w:p w14:paraId="4B4ECDC1">
            <w:pPr>
              <w:rPr>
                <w:rFonts w:ascii="Arial"/>
                <w:sz w:val="21"/>
              </w:rPr>
            </w:pPr>
          </w:p>
        </w:tc>
        <w:tc>
          <w:tcPr>
            <w:tcW w:w="1024" w:type="dxa"/>
            <w:vAlign w:val="top"/>
          </w:tcPr>
          <w:p w14:paraId="6CBF5AC1">
            <w:pPr>
              <w:spacing w:before="65"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5504AE46">
            <w:pPr>
              <w:pStyle w:val="6"/>
              <w:spacing w:before="102" w:line="188" w:lineRule="auto"/>
              <w:ind w:left="417"/>
            </w:pPr>
            <w:r>
              <w:rPr>
                <w:spacing w:val="-3"/>
              </w:rPr>
              <w:t>5184</w:t>
            </w:r>
          </w:p>
        </w:tc>
        <w:tc>
          <w:tcPr>
            <w:tcW w:w="1251" w:type="dxa"/>
            <w:vAlign w:val="top"/>
          </w:tcPr>
          <w:p w14:paraId="29E8EBCD">
            <w:pPr>
              <w:pStyle w:val="6"/>
              <w:spacing w:before="102" w:line="188" w:lineRule="auto"/>
              <w:ind w:left="414"/>
            </w:pPr>
            <w:r>
              <w:rPr>
                <w:spacing w:val="-1"/>
              </w:rPr>
              <w:t>2040</w:t>
            </w:r>
          </w:p>
        </w:tc>
        <w:tc>
          <w:tcPr>
            <w:tcW w:w="1396" w:type="dxa"/>
            <w:vAlign w:val="top"/>
          </w:tcPr>
          <w:p w14:paraId="7F692F76">
            <w:pPr>
              <w:pStyle w:val="6"/>
              <w:spacing w:before="102" w:line="188" w:lineRule="auto"/>
              <w:ind w:left="547"/>
            </w:pPr>
            <w:r>
              <w:rPr>
                <w:spacing w:val="-4"/>
              </w:rPr>
              <w:t>531</w:t>
            </w:r>
          </w:p>
        </w:tc>
        <w:tc>
          <w:tcPr>
            <w:tcW w:w="1275" w:type="dxa"/>
            <w:vAlign w:val="top"/>
          </w:tcPr>
          <w:p w14:paraId="0BAD251F">
            <w:pPr>
              <w:pStyle w:val="6"/>
              <w:spacing w:before="102" w:line="188" w:lineRule="auto"/>
              <w:ind w:left="461"/>
            </w:pPr>
            <w:r>
              <w:rPr>
                <w:spacing w:val="-2"/>
              </w:rPr>
              <w:t>30.5</w:t>
            </w:r>
          </w:p>
        </w:tc>
        <w:tc>
          <w:tcPr>
            <w:tcW w:w="1090" w:type="dxa"/>
            <w:vAlign w:val="top"/>
          </w:tcPr>
          <w:p w14:paraId="4672C56D">
            <w:pPr>
              <w:pStyle w:val="6"/>
              <w:spacing w:before="102" w:line="188" w:lineRule="auto"/>
              <w:ind w:left="386"/>
            </w:pPr>
            <w:r>
              <w:rPr>
                <w:spacing w:val="-2"/>
              </w:rPr>
              <w:t>400</w:t>
            </w:r>
          </w:p>
        </w:tc>
      </w:tr>
      <w:tr w14:paraId="3644C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restart"/>
            <w:tcBorders>
              <w:bottom w:val="nil"/>
            </w:tcBorders>
            <w:vAlign w:val="top"/>
          </w:tcPr>
          <w:p w14:paraId="6A0AE4B0">
            <w:pPr>
              <w:spacing w:before="87" w:line="220" w:lineRule="auto"/>
              <w:ind w:left="205"/>
              <w:rPr>
                <w:rFonts w:ascii="宋体" w:hAnsi="宋体" w:eastAsia="宋体" w:cs="宋体"/>
                <w:sz w:val="21"/>
                <w:szCs w:val="21"/>
              </w:rPr>
            </w:pPr>
            <w:r>
              <w:rPr>
                <w:rFonts w:ascii="宋体" w:hAnsi="宋体" w:eastAsia="宋体" w:cs="宋体"/>
                <w:spacing w:val="-2"/>
                <w:sz w:val="21"/>
                <w:szCs w:val="21"/>
              </w:rPr>
              <w:t>微生物</w:t>
            </w:r>
          </w:p>
          <w:p w14:paraId="23B0A400">
            <w:pPr>
              <w:spacing w:before="62" w:line="219" w:lineRule="auto"/>
              <w:ind w:left="214"/>
              <w:rPr>
                <w:rFonts w:ascii="宋体" w:hAnsi="宋体" w:eastAsia="宋体" w:cs="宋体"/>
                <w:sz w:val="21"/>
                <w:szCs w:val="21"/>
              </w:rPr>
            </w:pPr>
            <w:r>
              <w:rPr>
                <w:rFonts w:ascii="宋体" w:hAnsi="宋体" w:eastAsia="宋体" w:cs="宋体"/>
                <w:spacing w:val="-4"/>
                <w:sz w:val="21"/>
                <w:szCs w:val="21"/>
              </w:rPr>
              <w:t>曝氧塘</w:t>
            </w:r>
          </w:p>
        </w:tc>
        <w:tc>
          <w:tcPr>
            <w:tcW w:w="1024" w:type="dxa"/>
            <w:vAlign w:val="top"/>
          </w:tcPr>
          <w:p w14:paraId="5FE72642">
            <w:pPr>
              <w:spacing w:before="66"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47B06B8B">
            <w:pPr>
              <w:pStyle w:val="6"/>
              <w:spacing w:before="103" w:line="188" w:lineRule="auto"/>
              <w:ind w:left="354"/>
            </w:pPr>
            <w:r>
              <w:rPr>
                <w:spacing w:val="-2"/>
              </w:rPr>
              <w:t>35.0%</w:t>
            </w:r>
          </w:p>
        </w:tc>
        <w:tc>
          <w:tcPr>
            <w:tcW w:w="1251" w:type="dxa"/>
            <w:vAlign w:val="top"/>
          </w:tcPr>
          <w:p w14:paraId="28F208F0">
            <w:pPr>
              <w:pStyle w:val="6"/>
              <w:spacing w:before="103" w:line="188" w:lineRule="auto"/>
              <w:ind w:left="357"/>
            </w:pPr>
            <w:r>
              <w:rPr>
                <w:spacing w:val="-2"/>
              </w:rPr>
              <w:t>30.0%</w:t>
            </w:r>
          </w:p>
        </w:tc>
        <w:tc>
          <w:tcPr>
            <w:tcW w:w="1396" w:type="dxa"/>
            <w:vAlign w:val="top"/>
          </w:tcPr>
          <w:p w14:paraId="358433B9">
            <w:pPr>
              <w:pStyle w:val="6"/>
              <w:spacing w:before="103" w:line="188" w:lineRule="auto"/>
              <w:ind w:left="431"/>
            </w:pPr>
            <w:r>
              <w:rPr>
                <w:spacing w:val="-2"/>
              </w:rPr>
              <w:t>30.0%</w:t>
            </w:r>
          </w:p>
        </w:tc>
        <w:tc>
          <w:tcPr>
            <w:tcW w:w="1275" w:type="dxa"/>
            <w:vAlign w:val="top"/>
          </w:tcPr>
          <w:p w14:paraId="0529B6AC">
            <w:pPr>
              <w:pStyle w:val="6"/>
              <w:spacing w:before="103" w:line="188" w:lineRule="auto"/>
              <w:ind w:left="389"/>
            </w:pPr>
            <w:r>
              <w:rPr>
                <w:spacing w:val="-5"/>
              </w:rPr>
              <w:t>10.0%</w:t>
            </w:r>
          </w:p>
        </w:tc>
        <w:tc>
          <w:tcPr>
            <w:tcW w:w="1090" w:type="dxa"/>
            <w:vAlign w:val="top"/>
          </w:tcPr>
          <w:p w14:paraId="6A451264">
            <w:pPr>
              <w:pStyle w:val="6"/>
              <w:spacing w:before="103" w:line="188" w:lineRule="auto"/>
              <w:ind w:left="278"/>
            </w:pPr>
            <w:r>
              <w:rPr>
                <w:spacing w:val="-2"/>
              </w:rPr>
              <w:t>30.0%</w:t>
            </w:r>
          </w:p>
        </w:tc>
      </w:tr>
      <w:tr w14:paraId="59E2B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continue"/>
            <w:tcBorders>
              <w:top w:val="nil"/>
            </w:tcBorders>
            <w:vAlign w:val="top"/>
          </w:tcPr>
          <w:p w14:paraId="54DB703D">
            <w:pPr>
              <w:rPr>
                <w:rFonts w:ascii="Arial"/>
                <w:sz w:val="21"/>
              </w:rPr>
            </w:pPr>
          </w:p>
        </w:tc>
        <w:tc>
          <w:tcPr>
            <w:tcW w:w="1024" w:type="dxa"/>
            <w:vAlign w:val="top"/>
          </w:tcPr>
          <w:p w14:paraId="4DCC1FA8">
            <w:pPr>
              <w:spacing w:before="66"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63FCE50B">
            <w:pPr>
              <w:pStyle w:val="6"/>
              <w:spacing w:before="103" w:line="188" w:lineRule="auto"/>
              <w:ind w:left="416"/>
            </w:pPr>
            <w:r>
              <w:rPr>
                <w:spacing w:val="-2"/>
              </w:rPr>
              <w:t>3370</w:t>
            </w:r>
          </w:p>
        </w:tc>
        <w:tc>
          <w:tcPr>
            <w:tcW w:w="1251" w:type="dxa"/>
            <w:vAlign w:val="top"/>
          </w:tcPr>
          <w:p w14:paraId="7A61CFAC">
            <w:pPr>
              <w:pStyle w:val="6"/>
              <w:spacing w:before="103" w:line="188" w:lineRule="auto"/>
              <w:ind w:left="435"/>
            </w:pPr>
            <w:r>
              <w:rPr>
                <w:spacing w:val="-6"/>
              </w:rPr>
              <w:t>1428</w:t>
            </w:r>
          </w:p>
        </w:tc>
        <w:tc>
          <w:tcPr>
            <w:tcW w:w="1396" w:type="dxa"/>
            <w:vAlign w:val="top"/>
          </w:tcPr>
          <w:p w14:paraId="6EDB01B5">
            <w:pPr>
              <w:pStyle w:val="6"/>
              <w:spacing w:before="103" w:line="188" w:lineRule="auto"/>
              <w:ind w:left="466"/>
            </w:pPr>
            <w:r>
              <w:rPr>
                <w:spacing w:val="-2"/>
              </w:rPr>
              <w:t>371.7</w:t>
            </w:r>
          </w:p>
        </w:tc>
        <w:tc>
          <w:tcPr>
            <w:tcW w:w="1275" w:type="dxa"/>
            <w:vAlign w:val="top"/>
          </w:tcPr>
          <w:p w14:paraId="0566FBC7">
            <w:pPr>
              <w:pStyle w:val="6"/>
              <w:spacing w:before="103" w:line="188" w:lineRule="auto"/>
              <w:ind w:left="456"/>
            </w:pPr>
            <w:r>
              <w:rPr>
                <w:spacing w:val="-1"/>
              </w:rPr>
              <w:t>27.4</w:t>
            </w:r>
          </w:p>
        </w:tc>
        <w:tc>
          <w:tcPr>
            <w:tcW w:w="1090" w:type="dxa"/>
            <w:vAlign w:val="top"/>
          </w:tcPr>
          <w:p w14:paraId="13A76ADB">
            <w:pPr>
              <w:pStyle w:val="6"/>
              <w:spacing w:before="103" w:line="188" w:lineRule="auto"/>
              <w:ind w:left="387"/>
            </w:pPr>
            <w:r>
              <w:rPr>
                <w:spacing w:val="-2"/>
              </w:rPr>
              <w:t>280</w:t>
            </w:r>
          </w:p>
        </w:tc>
      </w:tr>
      <w:tr w14:paraId="3BB5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39" w:type="dxa"/>
            <w:vMerge w:val="restart"/>
            <w:tcBorders>
              <w:bottom w:val="nil"/>
            </w:tcBorders>
            <w:vAlign w:val="top"/>
          </w:tcPr>
          <w:p w14:paraId="556A699C">
            <w:pPr>
              <w:pStyle w:val="6"/>
              <w:spacing w:before="89" w:line="263" w:lineRule="auto"/>
              <w:ind w:left="419" w:right="8" w:hanging="404"/>
              <w:rPr>
                <w:rFonts w:ascii="宋体" w:hAnsi="宋体" w:eastAsia="宋体" w:cs="宋体"/>
              </w:rPr>
            </w:pPr>
            <w:r>
              <w:rPr>
                <w:rFonts w:ascii="宋体" w:hAnsi="宋体" w:eastAsia="宋体" w:cs="宋体"/>
                <w:spacing w:val="-5"/>
              </w:rPr>
              <w:t>一级</w:t>
            </w:r>
            <w:r>
              <w:rPr>
                <w:rFonts w:ascii="宋体" w:hAnsi="宋体" w:eastAsia="宋体" w:cs="宋体"/>
                <w:spacing w:val="-57"/>
              </w:rPr>
              <w:t xml:space="preserve"> </w:t>
            </w:r>
            <w:r>
              <w:rPr>
                <w:spacing w:val="-5"/>
              </w:rPr>
              <w:t xml:space="preserve">AO </w:t>
            </w:r>
            <w:r>
              <w:rPr>
                <w:rFonts w:ascii="宋体" w:hAnsi="宋体" w:eastAsia="宋体" w:cs="宋体"/>
                <w:spacing w:val="-5"/>
              </w:rPr>
              <w:t>系</w:t>
            </w:r>
            <w:r>
              <w:rPr>
                <w:rFonts w:ascii="宋体" w:hAnsi="宋体" w:eastAsia="宋体" w:cs="宋体"/>
              </w:rPr>
              <w:t>统</w:t>
            </w:r>
          </w:p>
        </w:tc>
        <w:tc>
          <w:tcPr>
            <w:tcW w:w="1024" w:type="dxa"/>
            <w:vAlign w:val="top"/>
          </w:tcPr>
          <w:p w14:paraId="3AE6453D">
            <w:pPr>
              <w:spacing w:before="66"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5EC5A5ED">
            <w:pPr>
              <w:pStyle w:val="6"/>
              <w:spacing w:before="103" w:line="188" w:lineRule="auto"/>
              <w:ind w:left="353"/>
            </w:pPr>
            <w:r>
              <w:rPr>
                <w:spacing w:val="-2"/>
              </w:rPr>
              <w:t>75.0%</w:t>
            </w:r>
          </w:p>
        </w:tc>
        <w:tc>
          <w:tcPr>
            <w:tcW w:w="1251" w:type="dxa"/>
            <w:vAlign w:val="top"/>
          </w:tcPr>
          <w:p w14:paraId="2446293A">
            <w:pPr>
              <w:pStyle w:val="6"/>
              <w:spacing w:before="103" w:line="188" w:lineRule="auto"/>
              <w:ind w:left="357"/>
            </w:pPr>
            <w:r>
              <w:rPr>
                <w:spacing w:val="-2"/>
              </w:rPr>
              <w:t>70.0%</w:t>
            </w:r>
          </w:p>
        </w:tc>
        <w:tc>
          <w:tcPr>
            <w:tcW w:w="1396" w:type="dxa"/>
            <w:vAlign w:val="top"/>
          </w:tcPr>
          <w:p w14:paraId="685C192D">
            <w:pPr>
              <w:pStyle w:val="6"/>
              <w:spacing w:before="103" w:line="188" w:lineRule="auto"/>
              <w:ind w:left="426"/>
            </w:pPr>
            <w:r>
              <w:rPr>
                <w:spacing w:val="-1"/>
              </w:rPr>
              <w:t>40.0%</w:t>
            </w:r>
          </w:p>
        </w:tc>
        <w:tc>
          <w:tcPr>
            <w:tcW w:w="1275" w:type="dxa"/>
            <w:vAlign w:val="top"/>
          </w:tcPr>
          <w:p w14:paraId="566D81B9">
            <w:pPr>
              <w:pStyle w:val="6"/>
              <w:spacing w:before="103" w:line="188" w:lineRule="auto"/>
              <w:ind w:left="373"/>
            </w:pPr>
            <w:r>
              <w:rPr>
                <w:spacing w:val="-2"/>
              </w:rPr>
              <w:t>30.0%</w:t>
            </w:r>
          </w:p>
        </w:tc>
        <w:tc>
          <w:tcPr>
            <w:tcW w:w="1090" w:type="dxa"/>
            <w:vAlign w:val="top"/>
          </w:tcPr>
          <w:p w14:paraId="0CD3C3F0">
            <w:pPr>
              <w:pStyle w:val="6"/>
              <w:spacing w:before="103" w:line="188" w:lineRule="auto"/>
              <w:ind w:left="277"/>
            </w:pPr>
            <w:r>
              <w:rPr>
                <w:spacing w:val="-2"/>
              </w:rPr>
              <w:t>70.0%</w:t>
            </w:r>
          </w:p>
        </w:tc>
      </w:tr>
      <w:tr w14:paraId="117D4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continue"/>
            <w:tcBorders>
              <w:top w:val="nil"/>
            </w:tcBorders>
            <w:vAlign w:val="top"/>
          </w:tcPr>
          <w:p w14:paraId="0E382986">
            <w:pPr>
              <w:rPr>
                <w:rFonts w:ascii="Arial"/>
                <w:sz w:val="21"/>
              </w:rPr>
            </w:pPr>
          </w:p>
        </w:tc>
        <w:tc>
          <w:tcPr>
            <w:tcW w:w="1024" w:type="dxa"/>
            <w:vAlign w:val="top"/>
          </w:tcPr>
          <w:p w14:paraId="0D2296FE">
            <w:pPr>
              <w:spacing w:before="68"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47C30BA4">
            <w:pPr>
              <w:pStyle w:val="6"/>
              <w:spacing w:before="105" w:line="188" w:lineRule="auto"/>
              <w:ind w:left="473"/>
            </w:pPr>
            <w:r>
              <w:rPr>
                <w:spacing w:val="-5"/>
              </w:rPr>
              <w:t>842</w:t>
            </w:r>
          </w:p>
        </w:tc>
        <w:tc>
          <w:tcPr>
            <w:tcW w:w="1251" w:type="dxa"/>
            <w:vAlign w:val="top"/>
          </w:tcPr>
          <w:p w14:paraId="0E33A85F">
            <w:pPr>
              <w:pStyle w:val="6"/>
              <w:spacing w:before="105" w:line="188" w:lineRule="auto"/>
              <w:ind w:left="466"/>
            </w:pPr>
            <w:r>
              <w:rPr>
                <w:spacing w:val="-2"/>
              </w:rPr>
              <w:t>428</w:t>
            </w:r>
          </w:p>
        </w:tc>
        <w:tc>
          <w:tcPr>
            <w:tcW w:w="1396" w:type="dxa"/>
            <w:vAlign w:val="top"/>
          </w:tcPr>
          <w:p w14:paraId="400A49A5">
            <w:pPr>
              <w:pStyle w:val="6"/>
              <w:spacing w:before="105" w:line="188" w:lineRule="auto"/>
              <w:ind w:left="541"/>
            </w:pPr>
            <w:r>
              <w:rPr>
                <w:spacing w:val="-2"/>
              </w:rPr>
              <w:t>223</w:t>
            </w:r>
          </w:p>
        </w:tc>
        <w:tc>
          <w:tcPr>
            <w:tcW w:w="1275" w:type="dxa"/>
            <w:vAlign w:val="top"/>
          </w:tcPr>
          <w:p w14:paraId="2CC428A4">
            <w:pPr>
              <w:pStyle w:val="6"/>
              <w:spacing w:before="105" w:line="188" w:lineRule="auto"/>
              <w:ind w:left="477"/>
            </w:pPr>
            <w:r>
              <w:rPr>
                <w:spacing w:val="-6"/>
              </w:rPr>
              <w:t>19.2</w:t>
            </w:r>
          </w:p>
        </w:tc>
        <w:tc>
          <w:tcPr>
            <w:tcW w:w="1090" w:type="dxa"/>
            <w:vAlign w:val="top"/>
          </w:tcPr>
          <w:p w14:paraId="422C1681">
            <w:pPr>
              <w:pStyle w:val="6"/>
              <w:spacing w:before="105" w:line="188" w:lineRule="auto"/>
              <w:ind w:left="449"/>
            </w:pPr>
            <w:r>
              <w:rPr>
                <w:spacing w:val="-7"/>
              </w:rPr>
              <w:t>84</w:t>
            </w:r>
          </w:p>
        </w:tc>
      </w:tr>
      <w:tr w14:paraId="110FB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restart"/>
            <w:tcBorders>
              <w:bottom w:val="nil"/>
            </w:tcBorders>
            <w:vAlign w:val="top"/>
          </w:tcPr>
          <w:p w14:paraId="2E0FADF2">
            <w:pPr>
              <w:pStyle w:val="6"/>
              <w:spacing w:before="90" w:line="263" w:lineRule="auto"/>
              <w:ind w:left="419" w:right="8" w:hanging="404"/>
              <w:rPr>
                <w:rFonts w:ascii="宋体" w:hAnsi="宋体" w:eastAsia="宋体" w:cs="宋体"/>
              </w:rPr>
            </w:pPr>
            <w:r>
              <w:rPr>
                <w:rFonts w:ascii="宋体" w:hAnsi="宋体" w:eastAsia="宋体" w:cs="宋体"/>
                <w:spacing w:val="-5"/>
              </w:rPr>
              <w:t>二级</w:t>
            </w:r>
            <w:r>
              <w:rPr>
                <w:rFonts w:ascii="宋体" w:hAnsi="宋体" w:eastAsia="宋体" w:cs="宋体"/>
                <w:spacing w:val="-57"/>
              </w:rPr>
              <w:t xml:space="preserve"> </w:t>
            </w:r>
            <w:r>
              <w:rPr>
                <w:spacing w:val="-5"/>
              </w:rPr>
              <w:t xml:space="preserve">AO </w:t>
            </w:r>
            <w:r>
              <w:rPr>
                <w:rFonts w:ascii="宋体" w:hAnsi="宋体" w:eastAsia="宋体" w:cs="宋体"/>
                <w:spacing w:val="-5"/>
              </w:rPr>
              <w:t>系</w:t>
            </w:r>
            <w:r>
              <w:rPr>
                <w:rFonts w:ascii="宋体" w:hAnsi="宋体" w:eastAsia="宋体" w:cs="宋体"/>
              </w:rPr>
              <w:t>统</w:t>
            </w:r>
          </w:p>
        </w:tc>
        <w:tc>
          <w:tcPr>
            <w:tcW w:w="1024" w:type="dxa"/>
            <w:vAlign w:val="top"/>
          </w:tcPr>
          <w:p w14:paraId="3E59914B">
            <w:pPr>
              <w:spacing w:before="67"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0FAC301D">
            <w:pPr>
              <w:pStyle w:val="6"/>
              <w:spacing w:before="104" w:line="188" w:lineRule="auto"/>
              <w:ind w:left="355"/>
            </w:pPr>
            <w:r>
              <w:rPr>
                <w:spacing w:val="-2"/>
              </w:rPr>
              <w:t>60.0%</w:t>
            </w:r>
          </w:p>
        </w:tc>
        <w:tc>
          <w:tcPr>
            <w:tcW w:w="1251" w:type="dxa"/>
            <w:vAlign w:val="top"/>
          </w:tcPr>
          <w:p w14:paraId="6E19BEE3">
            <w:pPr>
              <w:pStyle w:val="6"/>
              <w:spacing w:before="104" w:line="188" w:lineRule="auto"/>
              <w:ind w:left="357"/>
            </w:pPr>
            <w:r>
              <w:rPr>
                <w:spacing w:val="-2"/>
              </w:rPr>
              <w:t>70.0%</w:t>
            </w:r>
          </w:p>
        </w:tc>
        <w:tc>
          <w:tcPr>
            <w:tcW w:w="1396" w:type="dxa"/>
            <w:vAlign w:val="top"/>
          </w:tcPr>
          <w:p w14:paraId="53026E2D">
            <w:pPr>
              <w:pStyle w:val="6"/>
              <w:spacing w:before="104" w:line="188" w:lineRule="auto"/>
              <w:ind w:left="431"/>
            </w:pPr>
            <w:r>
              <w:rPr>
                <w:spacing w:val="-2"/>
              </w:rPr>
              <w:t>90.0%</w:t>
            </w:r>
          </w:p>
        </w:tc>
        <w:tc>
          <w:tcPr>
            <w:tcW w:w="1275" w:type="dxa"/>
            <w:vAlign w:val="top"/>
          </w:tcPr>
          <w:p w14:paraId="71D2EBFC">
            <w:pPr>
              <w:pStyle w:val="6"/>
              <w:spacing w:before="104" w:line="188" w:lineRule="auto"/>
              <w:ind w:left="389"/>
            </w:pPr>
            <w:r>
              <w:rPr>
                <w:spacing w:val="-5"/>
              </w:rPr>
              <w:t>10.0%</w:t>
            </w:r>
          </w:p>
        </w:tc>
        <w:tc>
          <w:tcPr>
            <w:tcW w:w="1090" w:type="dxa"/>
            <w:vAlign w:val="top"/>
          </w:tcPr>
          <w:p w14:paraId="0B47825F">
            <w:pPr>
              <w:pStyle w:val="6"/>
              <w:spacing w:before="104" w:line="188" w:lineRule="auto"/>
              <w:ind w:left="278"/>
            </w:pPr>
            <w:r>
              <w:rPr>
                <w:spacing w:val="-2"/>
              </w:rPr>
              <w:t>65.0%</w:t>
            </w:r>
          </w:p>
        </w:tc>
      </w:tr>
      <w:tr w14:paraId="32BC2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continue"/>
            <w:tcBorders>
              <w:top w:val="nil"/>
            </w:tcBorders>
            <w:vAlign w:val="top"/>
          </w:tcPr>
          <w:p w14:paraId="79B8465B">
            <w:pPr>
              <w:rPr>
                <w:rFonts w:ascii="Arial"/>
                <w:sz w:val="21"/>
              </w:rPr>
            </w:pPr>
          </w:p>
        </w:tc>
        <w:tc>
          <w:tcPr>
            <w:tcW w:w="1024" w:type="dxa"/>
            <w:vAlign w:val="top"/>
          </w:tcPr>
          <w:p w14:paraId="3AE82B36">
            <w:pPr>
              <w:spacing w:before="69"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668CD435">
            <w:pPr>
              <w:pStyle w:val="6"/>
              <w:spacing w:before="106" w:line="188" w:lineRule="auto"/>
              <w:ind w:left="468"/>
            </w:pPr>
            <w:r>
              <w:rPr>
                <w:spacing w:val="-3"/>
              </w:rPr>
              <w:t>337</w:t>
            </w:r>
          </w:p>
        </w:tc>
        <w:tc>
          <w:tcPr>
            <w:tcW w:w="1251" w:type="dxa"/>
            <w:vAlign w:val="top"/>
          </w:tcPr>
          <w:p w14:paraId="1D2456DC">
            <w:pPr>
              <w:pStyle w:val="6"/>
              <w:spacing w:before="106" w:line="188" w:lineRule="auto"/>
              <w:ind w:left="408"/>
            </w:pPr>
            <w:r>
              <w:rPr>
                <w:spacing w:val="-5"/>
              </w:rPr>
              <w:t>128.5</w:t>
            </w:r>
          </w:p>
        </w:tc>
        <w:tc>
          <w:tcPr>
            <w:tcW w:w="1396" w:type="dxa"/>
            <w:vAlign w:val="top"/>
          </w:tcPr>
          <w:p w14:paraId="5DFEE27F">
            <w:pPr>
              <w:pStyle w:val="6"/>
              <w:spacing w:before="106" w:line="188" w:lineRule="auto"/>
              <w:ind w:left="515"/>
            </w:pPr>
            <w:r>
              <w:rPr>
                <w:spacing w:val="-1"/>
              </w:rPr>
              <w:t>22.3</w:t>
            </w:r>
          </w:p>
        </w:tc>
        <w:tc>
          <w:tcPr>
            <w:tcW w:w="1275" w:type="dxa"/>
            <w:vAlign w:val="top"/>
          </w:tcPr>
          <w:p w14:paraId="01456F92">
            <w:pPr>
              <w:pStyle w:val="6"/>
              <w:spacing w:before="106" w:line="188" w:lineRule="auto"/>
              <w:ind w:left="477"/>
            </w:pPr>
            <w:r>
              <w:rPr>
                <w:spacing w:val="-6"/>
              </w:rPr>
              <w:t>17.3</w:t>
            </w:r>
          </w:p>
        </w:tc>
        <w:tc>
          <w:tcPr>
            <w:tcW w:w="1090" w:type="dxa"/>
            <w:vAlign w:val="top"/>
          </w:tcPr>
          <w:p w14:paraId="26393E52">
            <w:pPr>
              <w:pStyle w:val="6"/>
              <w:spacing w:before="106" w:line="188" w:lineRule="auto"/>
              <w:ind w:left="361"/>
            </w:pPr>
            <w:r>
              <w:rPr>
                <w:spacing w:val="-1"/>
              </w:rPr>
              <w:t>29.4</w:t>
            </w:r>
          </w:p>
        </w:tc>
      </w:tr>
      <w:tr w14:paraId="746F4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39" w:type="dxa"/>
            <w:vMerge w:val="restart"/>
            <w:tcBorders>
              <w:bottom w:val="nil"/>
            </w:tcBorders>
            <w:vAlign w:val="top"/>
          </w:tcPr>
          <w:p w14:paraId="2621B8D6">
            <w:pPr>
              <w:spacing w:before="247" w:line="221" w:lineRule="auto"/>
              <w:ind w:left="101"/>
              <w:rPr>
                <w:rFonts w:ascii="宋体" w:hAnsi="宋体" w:eastAsia="宋体" w:cs="宋体"/>
                <w:sz w:val="21"/>
                <w:szCs w:val="21"/>
              </w:rPr>
            </w:pPr>
            <w:r>
              <w:rPr>
                <w:rFonts w:ascii="宋体" w:hAnsi="宋体" w:eastAsia="宋体" w:cs="宋体"/>
                <w:spacing w:val="-2"/>
                <w:sz w:val="21"/>
                <w:szCs w:val="21"/>
              </w:rPr>
              <w:t>物化系统</w:t>
            </w:r>
          </w:p>
        </w:tc>
        <w:tc>
          <w:tcPr>
            <w:tcW w:w="1024" w:type="dxa"/>
            <w:vAlign w:val="top"/>
          </w:tcPr>
          <w:p w14:paraId="2C4B4A69">
            <w:pPr>
              <w:spacing w:before="69" w:line="220" w:lineRule="auto"/>
              <w:ind w:left="199"/>
              <w:rPr>
                <w:rFonts w:ascii="宋体" w:hAnsi="宋体" w:eastAsia="宋体" w:cs="宋体"/>
                <w:sz w:val="21"/>
                <w:szCs w:val="21"/>
              </w:rPr>
            </w:pPr>
            <w:r>
              <w:rPr>
                <w:rFonts w:ascii="宋体" w:hAnsi="宋体" w:eastAsia="宋体" w:cs="宋体"/>
                <w:spacing w:val="-3"/>
                <w:sz w:val="21"/>
                <w:szCs w:val="21"/>
              </w:rPr>
              <w:t>去除率</w:t>
            </w:r>
          </w:p>
        </w:tc>
        <w:tc>
          <w:tcPr>
            <w:tcW w:w="1251" w:type="dxa"/>
            <w:vAlign w:val="top"/>
          </w:tcPr>
          <w:p w14:paraId="7CA286C4">
            <w:pPr>
              <w:pStyle w:val="6"/>
              <w:spacing w:before="106" w:line="188" w:lineRule="auto"/>
              <w:ind w:left="356"/>
            </w:pPr>
            <w:r>
              <w:rPr>
                <w:spacing w:val="-2"/>
              </w:rPr>
              <w:t>50.0%</w:t>
            </w:r>
          </w:p>
        </w:tc>
        <w:tc>
          <w:tcPr>
            <w:tcW w:w="1251" w:type="dxa"/>
            <w:vAlign w:val="top"/>
          </w:tcPr>
          <w:p w14:paraId="317EB2A5">
            <w:pPr>
              <w:pStyle w:val="6"/>
              <w:spacing w:before="106" w:line="188" w:lineRule="auto"/>
              <w:ind w:left="352"/>
            </w:pPr>
            <w:r>
              <w:rPr>
                <w:spacing w:val="-1"/>
              </w:rPr>
              <w:t>40.0%</w:t>
            </w:r>
          </w:p>
        </w:tc>
        <w:tc>
          <w:tcPr>
            <w:tcW w:w="1396" w:type="dxa"/>
            <w:vAlign w:val="top"/>
          </w:tcPr>
          <w:p w14:paraId="19D7B1EF">
            <w:pPr>
              <w:pStyle w:val="6"/>
              <w:spacing w:before="106" w:line="188" w:lineRule="auto"/>
              <w:ind w:left="649"/>
            </w:pPr>
            <w:r>
              <w:t>0</w:t>
            </w:r>
          </w:p>
        </w:tc>
        <w:tc>
          <w:tcPr>
            <w:tcW w:w="1275" w:type="dxa"/>
            <w:vAlign w:val="top"/>
          </w:tcPr>
          <w:p w14:paraId="7A2315E3">
            <w:pPr>
              <w:pStyle w:val="6"/>
              <w:spacing w:before="106" w:line="188" w:lineRule="auto"/>
              <w:ind w:left="372"/>
            </w:pPr>
            <w:r>
              <w:rPr>
                <w:spacing w:val="-2"/>
              </w:rPr>
              <w:t>70.0%</w:t>
            </w:r>
          </w:p>
        </w:tc>
        <w:tc>
          <w:tcPr>
            <w:tcW w:w="1090" w:type="dxa"/>
            <w:vAlign w:val="top"/>
          </w:tcPr>
          <w:p w14:paraId="59AAB4A1">
            <w:pPr>
              <w:pStyle w:val="6"/>
              <w:spacing w:before="106" w:line="188" w:lineRule="auto"/>
              <w:ind w:left="277"/>
            </w:pPr>
            <w:r>
              <w:rPr>
                <w:spacing w:val="-2"/>
              </w:rPr>
              <w:t>70.0%</w:t>
            </w:r>
          </w:p>
        </w:tc>
      </w:tr>
      <w:tr w14:paraId="6C7DD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9" w:type="dxa"/>
            <w:vMerge w:val="continue"/>
            <w:tcBorders>
              <w:top w:val="nil"/>
            </w:tcBorders>
            <w:vAlign w:val="top"/>
          </w:tcPr>
          <w:p w14:paraId="16833E97">
            <w:pPr>
              <w:rPr>
                <w:rFonts w:ascii="Arial"/>
                <w:sz w:val="21"/>
              </w:rPr>
            </w:pPr>
          </w:p>
        </w:tc>
        <w:tc>
          <w:tcPr>
            <w:tcW w:w="1024" w:type="dxa"/>
            <w:vAlign w:val="top"/>
          </w:tcPr>
          <w:p w14:paraId="5E7933FB">
            <w:pPr>
              <w:spacing w:before="70" w:line="220" w:lineRule="auto"/>
              <w:ind w:left="110"/>
              <w:rPr>
                <w:rFonts w:ascii="宋体" w:hAnsi="宋体" w:eastAsia="宋体" w:cs="宋体"/>
                <w:sz w:val="21"/>
                <w:szCs w:val="21"/>
              </w:rPr>
            </w:pPr>
            <w:r>
              <w:rPr>
                <w:rFonts w:ascii="宋体" w:hAnsi="宋体" w:eastAsia="宋体" w:cs="宋体"/>
                <w:spacing w:val="-5"/>
                <w:sz w:val="21"/>
                <w:szCs w:val="21"/>
              </w:rPr>
              <w:t>出水浓度</w:t>
            </w:r>
          </w:p>
        </w:tc>
        <w:tc>
          <w:tcPr>
            <w:tcW w:w="1251" w:type="dxa"/>
            <w:vAlign w:val="top"/>
          </w:tcPr>
          <w:p w14:paraId="438C236F">
            <w:pPr>
              <w:pStyle w:val="6"/>
              <w:spacing w:before="107" w:line="188" w:lineRule="auto"/>
              <w:ind w:left="405"/>
            </w:pPr>
            <w:r>
              <w:rPr>
                <w:spacing w:val="-5"/>
              </w:rPr>
              <w:t>168.5</w:t>
            </w:r>
          </w:p>
        </w:tc>
        <w:tc>
          <w:tcPr>
            <w:tcW w:w="1251" w:type="dxa"/>
            <w:vAlign w:val="top"/>
          </w:tcPr>
          <w:p w14:paraId="31D64069">
            <w:pPr>
              <w:pStyle w:val="6"/>
              <w:spacing w:before="110" w:line="185" w:lineRule="auto"/>
              <w:ind w:left="521"/>
            </w:pPr>
            <w:r>
              <w:rPr>
                <w:spacing w:val="-4"/>
              </w:rPr>
              <w:t>77</w:t>
            </w:r>
          </w:p>
        </w:tc>
        <w:tc>
          <w:tcPr>
            <w:tcW w:w="1396" w:type="dxa"/>
            <w:vAlign w:val="top"/>
          </w:tcPr>
          <w:p w14:paraId="3A42C6FA">
            <w:pPr>
              <w:pStyle w:val="6"/>
              <w:spacing w:before="107" w:line="188" w:lineRule="auto"/>
              <w:ind w:left="514"/>
            </w:pPr>
            <w:r>
              <w:rPr>
                <w:spacing w:val="-1"/>
              </w:rPr>
              <w:t>22.3</w:t>
            </w:r>
          </w:p>
        </w:tc>
        <w:tc>
          <w:tcPr>
            <w:tcW w:w="1275" w:type="dxa"/>
            <w:vAlign w:val="top"/>
          </w:tcPr>
          <w:p w14:paraId="749D5047">
            <w:pPr>
              <w:pStyle w:val="6"/>
              <w:spacing w:before="107" w:line="188" w:lineRule="auto"/>
              <w:ind w:left="513"/>
            </w:pPr>
            <w:r>
              <w:rPr>
                <w:spacing w:val="-4"/>
              </w:rPr>
              <w:t>5.2</w:t>
            </w:r>
          </w:p>
        </w:tc>
        <w:tc>
          <w:tcPr>
            <w:tcW w:w="1090" w:type="dxa"/>
            <w:vAlign w:val="top"/>
          </w:tcPr>
          <w:p w14:paraId="332DA116">
            <w:pPr>
              <w:pStyle w:val="6"/>
              <w:spacing w:before="107" w:line="188" w:lineRule="auto"/>
              <w:ind w:left="422"/>
            </w:pPr>
            <w:r>
              <w:rPr>
                <w:spacing w:val="-4"/>
              </w:rPr>
              <w:t>8.8</w:t>
            </w:r>
          </w:p>
        </w:tc>
      </w:tr>
      <w:tr w14:paraId="02A71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063" w:type="dxa"/>
            <w:gridSpan w:val="2"/>
            <w:vAlign w:val="top"/>
          </w:tcPr>
          <w:p w14:paraId="0F666E01">
            <w:pPr>
              <w:spacing w:before="70" w:line="220" w:lineRule="auto"/>
              <w:ind w:left="631"/>
              <w:rPr>
                <w:rFonts w:ascii="宋体" w:hAnsi="宋体" w:eastAsia="宋体" w:cs="宋体"/>
                <w:sz w:val="21"/>
                <w:szCs w:val="21"/>
              </w:rPr>
            </w:pPr>
            <w:r>
              <w:rPr>
                <w:rFonts w:ascii="宋体" w:hAnsi="宋体" w:eastAsia="宋体" w:cs="宋体"/>
                <w:spacing w:val="-5"/>
                <w:sz w:val="21"/>
                <w:szCs w:val="21"/>
              </w:rPr>
              <w:t>出水标准</w:t>
            </w:r>
          </w:p>
        </w:tc>
        <w:tc>
          <w:tcPr>
            <w:tcW w:w="1251" w:type="dxa"/>
            <w:vAlign w:val="top"/>
          </w:tcPr>
          <w:p w14:paraId="612DC9D9">
            <w:pPr>
              <w:pStyle w:val="6"/>
              <w:spacing w:before="107" w:line="188" w:lineRule="auto"/>
              <w:ind w:left="464"/>
            </w:pPr>
            <w:r>
              <w:rPr>
                <w:spacing w:val="-2"/>
              </w:rPr>
              <w:t>200</w:t>
            </w:r>
          </w:p>
        </w:tc>
        <w:tc>
          <w:tcPr>
            <w:tcW w:w="1251" w:type="dxa"/>
            <w:vAlign w:val="top"/>
          </w:tcPr>
          <w:p w14:paraId="49DFD9B3">
            <w:pPr>
              <w:pStyle w:val="6"/>
              <w:spacing w:before="107" w:line="188" w:lineRule="auto"/>
              <w:ind w:left="487"/>
            </w:pPr>
            <w:r>
              <w:rPr>
                <w:spacing w:val="-9"/>
              </w:rPr>
              <w:t>100</w:t>
            </w:r>
          </w:p>
        </w:tc>
        <w:tc>
          <w:tcPr>
            <w:tcW w:w="1396" w:type="dxa"/>
            <w:vAlign w:val="top"/>
          </w:tcPr>
          <w:p w14:paraId="40D0B8F9">
            <w:pPr>
              <w:pStyle w:val="6"/>
              <w:spacing w:before="107" w:line="188" w:lineRule="auto"/>
              <w:ind w:left="601"/>
            </w:pPr>
            <w:r>
              <w:rPr>
                <w:spacing w:val="-7"/>
              </w:rPr>
              <w:t>80</w:t>
            </w:r>
          </w:p>
        </w:tc>
        <w:tc>
          <w:tcPr>
            <w:tcW w:w="1275" w:type="dxa"/>
            <w:vAlign w:val="top"/>
          </w:tcPr>
          <w:p w14:paraId="1D339ABB">
            <w:pPr>
              <w:pStyle w:val="6"/>
              <w:spacing w:before="107" w:line="188" w:lineRule="auto"/>
              <w:ind w:left="596"/>
            </w:pPr>
            <w:r>
              <w:t>8</w:t>
            </w:r>
          </w:p>
        </w:tc>
        <w:tc>
          <w:tcPr>
            <w:tcW w:w="1090" w:type="dxa"/>
            <w:vAlign w:val="top"/>
          </w:tcPr>
          <w:p w14:paraId="67F950F5">
            <w:pPr>
              <w:pStyle w:val="6"/>
              <w:spacing w:before="107" w:line="188" w:lineRule="auto"/>
              <w:ind w:left="408"/>
            </w:pPr>
            <w:r>
              <w:rPr>
                <w:spacing w:val="-9"/>
              </w:rPr>
              <w:t>100</w:t>
            </w:r>
          </w:p>
        </w:tc>
      </w:tr>
    </w:tbl>
    <w:p w14:paraId="176EB310">
      <w:pPr>
        <w:spacing w:before="232" w:line="361" w:lineRule="auto"/>
        <w:ind w:left="42" w:right="51" w:firstLine="482"/>
        <w:jc w:val="both"/>
        <w:rPr>
          <w:rFonts w:ascii="宋体" w:hAnsi="宋体" w:eastAsia="宋体" w:cs="宋体"/>
          <w:sz w:val="24"/>
          <w:szCs w:val="24"/>
        </w:rPr>
      </w:pPr>
      <w:r>
        <w:rPr>
          <w:rFonts w:ascii="宋体" w:hAnsi="宋体" w:eastAsia="宋体" w:cs="宋体"/>
          <w:spacing w:val="-4"/>
          <w:sz w:val="24"/>
          <w:szCs w:val="24"/>
        </w:rPr>
        <w:t>结合类比书房村生猪规模化养殖场污水处理站出水检测数据分析（详见地表</w:t>
      </w:r>
      <w:r>
        <w:rPr>
          <w:rFonts w:ascii="宋体" w:hAnsi="宋体" w:eastAsia="宋体" w:cs="宋体"/>
          <w:spacing w:val="-2"/>
          <w:sz w:val="24"/>
          <w:szCs w:val="24"/>
        </w:rPr>
        <w:t>水环境影响分析章节</w:t>
      </w:r>
      <w:r>
        <w:rPr>
          <w:rFonts w:ascii="宋体" w:hAnsi="宋体" w:eastAsia="宋体" w:cs="宋体"/>
          <w:spacing w:val="-25"/>
          <w:sz w:val="24"/>
          <w:szCs w:val="24"/>
        </w:rPr>
        <w:t>），</w:t>
      </w:r>
      <w:r>
        <w:rPr>
          <w:rFonts w:ascii="宋体" w:hAnsi="宋体" w:eastAsia="宋体" w:cs="宋体"/>
          <w:spacing w:val="-2"/>
          <w:sz w:val="24"/>
          <w:szCs w:val="24"/>
        </w:rPr>
        <w:t>本项目所采取的污水处理工艺出水能够满足《农田灌溉</w:t>
      </w:r>
      <w:r>
        <w:rPr>
          <w:rFonts w:ascii="宋体" w:hAnsi="宋体" w:eastAsia="宋体" w:cs="宋体"/>
          <w:spacing w:val="-5"/>
          <w:sz w:val="24"/>
          <w:szCs w:val="24"/>
        </w:rPr>
        <w:t>水质标准》（</w:t>
      </w:r>
      <w:r>
        <w:rPr>
          <w:rFonts w:ascii="Times New Roman" w:hAnsi="Times New Roman" w:eastAsia="Times New Roman" w:cs="Times New Roman"/>
          <w:spacing w:val="-5"/>
          <w:sz w:val="24"/>
          <w:szCs w:val="24"/>
        </w:rPr>
        <w:t>GB5084-2021</w:t>
      </w:r>
      <w:r>
        <w:rPr>
          <w:rFonts w:ascii="宋体" w:hAnsi="宋体" w:eastAsia="宋体" w:cs="宋体"/>
          <w:spacing w:val="-5"/>
          <w:sz w:val="24"/>
          <w:szCs w:val="24"/>
        </w:rPr>
        <w:t>）旱地作</w:t>
      </w:r>
      <w:r>
        <w:rPr>
          <w:rFonts w:ascii="宋体" w:hAnsi="宋体" w:eastAsia="宋体" w:cs="宋体"/>
          <w:spacing w:val="-6"/>
          <w:sz w:val="24"/>
          <w:szCs w:val="24"/>
        </w:rPr>
        <w:t>物标准要求。该处理技术成熟可靠，</w:t>
      </w:r>
      <w:r>
        <w:rPr>
          <w:rFonts w:ascii="宋体" w:hAnsi="宋体" w:eastAsia="宋体" w:cs="宋体"/>
          <w:spacing w:val="57"/>
          <w:sz w:val="24"/>
          <w:szCs w:val="24"/>
        </w:rPr>
        <w:t xml:space="preserve"> </w:t>
      </w:r>
      <w:r>
        <w:rPr>
          <w:rFonts w:ascii="宋体" w:hAnsi="宋体" w:eastAsia="宋体" w:cs="宋体"/>
          <w:spacing w:val="-6"/>
          <w:sz w:val="24"/>
          <w:szCs w:val="24"/>
        </w:rPr>
        <w:t>运行稳</w:t>
      </w:r>
      <w:r>
        <w:rPr>
          <w:rFonts w:ascii="宋体" w:hAnsi="宋体" w:eastAsia="宋体" w:cs="宋体"/>
          <w:spacing w:val="-1"/>
          <w:sz w:val="24"/>
          <w:szCs w:val="24"/>
        </w:rPr>
        <w:t>定，适合处理高浓度有机废水，全国生猪养殖行业也广泛使用此污水</w:t>
      </w:r>
      <w:r>
        <w:rPr>
          <w:rFonts w:ascii="宋体" w:hAnsi="宋体" w:eastAsia="宋体" w:cs="宋体"/>
          <w:spacing w:val="-2"/>
          <w:sz w:val="24"/>
          <w:szCs w:val="24"/>
        </w:rPr>
        <w:t>处理模式，</w:t>
      </w:r>
      <w:r>
        <w:rPr>
          <w:rFonts w:ascii="宋体" w:hAnsi="宋体" w:eastAsia="宋体" w:cs="宋体"/>
          <w:spacing w:val="-3"/>
          <w:sz w:val="24"/>
          <w:szCs w:val="24"/>
        </w:rPr>
        <w:t>因此，适合于处理本项目产生的养殖废水。</w:t>
      </w:r>
    </w:p>
    <w:p w14:paraId="28BEC8EF">
      <w:pPr>
        <w:spacing w:before="163"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5.2.3  </w:t>
      </w:r>
      <w:r>
        <w:rPr>
          <w:rFonts w:ascii="宋体" w:hAnsi="宋体" w:eastAsia="宋体" w:cs="宋体"/>
          <w:b/>
          <w:bCs/>
          <w:spacing w:val="-2"/>
          <w:sz w:val="30"/>
          <w:szCs w:val="30"/>
        </w:rPr>
        <w:t>地下水污染防治措施</w:t>
      </w:r>
    </w:p>
    <w:p w14:paraId="541BF760">
      <w:pPr>
        <w:pStyle w:val="2"/>
        <w:spacing w:line="306" w:lineRule="auto"/>
      </w:pPr>
    </w:p>
    <w:p w14:paraId="4E1C85C4">
      <w:pPr>
        <w:spacing w:before="89" w:line="226" w:lineRule="auto"/>
        <w:ind w:left="39"/>
        <w:rPr>
          <w:rFonts w:ascii="宋体" w:hAnsi="宋体" w:eastAsia="宋体" w:cs="宋体"/>
          <w:sz w:val="27"/>
          <w:szCs w:val="27"/>
        </w:rPr>
      </w:pPr>
      <w:r>
        <w:rPr>
          <w:rFonts w:ascii="Times New Roman" w:hAnsi="Times New Roman" w:eastAsia="Times New Roman" w:cs="Times New Roman"/>
          <w:b/>
          <w:bCs/>
          <w:spacing w:val="4"/>
          <w:sz w:val="27"/>
          <w:szCs w:val="27"/>
        </w:rPr>
        <w:t xml:space="preserve">5.2.3.1 </w:t>
      </w:r>
      <w:r>
        <w:rPr>
          <w:rFonts w:ascii="宋体" w:hAnsi="宋体" w:eastAsia="宋体" w:cs="宋体"/>
          <w:b/>
          <w:bCs/>
          <w:spacing w:val="4"/>
          <w:sz w:val="27"/>
          <w:szCs w:val="27"/>
        </w:rPr>
        <w:t>源头控制措施</w:t>
      </w:r>
    </w:p>
    <w:p w14:paraId="57BDBC17">
      <w:pPr>
        <w:spacing w:before="235" w:line="220" w:lineRule="auto"/>
        <w:jc w:val="right"/>
        <w:rPr>
          <w:rFonts w:ascii="宋体" w:hAnsi="宋体" w:eastAsia="宋体" w:cs="宋体"/>
          <w:sz w:val="24"/>
          <w:szCs w:val="24"/>
        </w:rPr>
      </w:pPr>
      <w:r>
        <w:rPr>
          <w:rFonts w:ascii="宋体" w:hAnsi="宋体" w:eastAsia="宋体" w:cs="宋体"/>
          <w:spacing w:val="-7"/>
          <w:sz w:val="24"/>
          <w:szCs w:val="24"/>
        </w:rPr>
        <w:t>根据国家现行相关规范加强环境管理，防止和降低污染物“跑、冒、滴、漏”</w:t>
      </w:r>
    </w:p>
    <w:p w14:paraId="18FDFAA2">
      <w:pPr>
        <w:spacing w:line="220" w:lineRule="auto"/>
        <w:rPr>
          <w:rFonts w:ascii="宋体" w:hAnsi="宋体" w:eastAsia="宋体" w:cs="宋体"/>
          <w:sz w:val="24"/>
          <w:szCs w:val="24"/>
        </w:rPr>
        <w:sectPr>
          <w:headerReference r:id="rId475" w:type="default"/>
          <w:footerReference r:id="rId476" w:type="default"/>
          <w:pgSz w:w="11905" w:h="16840"/>
          <w:pgMar w:top="1168" w:right="1679" w:bottom="1409" w:left="1770" w:header="828" w:footer="1244" w:gutter="0"/>
          <w:cols w:space="720" w:num="1"/>
        </w:sectPr>
      </w:pPr>
    </w:p>
    <w:p w14:paraId="04114698">
      <w:pPr>
        <w:pStyle w:val="2"/>
        <w:spacing w:line="305" w:lineRule="auto"/>
      </w:pPr>
    </w:p>
    <w:p w14:paraId="63A2C41F">
      <w:pPr>
        <w:spacing w:before="78" w:line="361" w:lineRule="auto"/>
        <w:ind w:left="38" w:firstLine="2"/>
        <w:jc w:val="both"/>
        <w:rPr>
          <w:rFonts w:ascii="宋体" w:hAnsi="宋体" w:eastAsia="宋体" w:cs="宋体"/>
          <w:sz w:val="24"/>
          <w:szCs w:val="24"/>
        </w:rPr>
      </w:pPr>
      <w:r>
        <w:rPr>
          <w:rFonts w:ascii="宋体" w:hAnsi="宋体" w:eastAsia="宋体" w:cs="宋体"/>
          <w:spacing w:val="-6"/>
          <w:sz w:val="24"/>
          <w:szCs w:val="24"/>
        </w:rPr>
        <w:t>现象发生。运营过程中应加强控制， 同时加强对防渗工程</w:t>
      </w:r>
      <w:r>
        <w:rPr>
          <w:rFonts w:ascii="宋体" w:hAnsi="宋体" w:eastAsia="宋体" w:cs="宋体"/>
          <w:spacing w:val="-7"/>
          <w:sz w:val="24"/>
          <w:szCs w:val="24"/>
        </w:rPr>
        <w:t>的检查，若发现防渗密</w:t>
      </w:r>
      <w:r>
        <w:rPr>
          <w:rFonts w:ascii="宋体" w:hAnsi="宋体" w:eastAsia="宋体" w:cs="宋体"/>
          <w:spacing w:val="-6"/>
          <w:sz w:val="24"/>
          <w:szCs w:val="24"/>
        </w:rPr>
        <w:t>封材料老化或损坏，应及时维修更换。污水管道采用暗管铺设，</w:t>
      </w:r>
      <w:r>
        <w:rPr>
          <w:rFonts w:ascii="宋体" w:hAnsi="宋体" w:eastAsia="宋体" w:cs="宋体"/>
          <w:spacing w:val="-7"/>
          <w:sz w:val="24"/>
          <w:szCs w:val="24"/>
        </w:rPr>
        <w:t xml:space="preserve"> 选用防渗、防腐</w:t>
      </w:r>
      <w:r>
        <w:rPr>
          <w:rFonts w:ascii="宋体" w:hAnsi="宋体" w:eastAsia="宋体" w:cs="宋体"/>
          <w:spacing w:val="-1"/>
          <w:sz w:val="24"/>
          <w:szCs w:val="24"/>
        </w:rPr>
        <w:t>处理的管道，猪粪、沼渣及污泥交四川正威实业有限公司进行生产商品有机肥，</w:t>
      </w:r>
      <w:r>
        <w:rPr>
          <w:rFonts w:ascii="宋体" w:hAnsi="宋体" w:eastAsia="宋体" w:cs="宋体"/>
          <w:spacing w:val="-3"/>
          <w:sz w:val="24"/>
          <w:szCs w:val="24"/>
        </w:rPr>
        <w:t>采用密闭车运输，减少污染物的产生。</w:t>
      </w:r>
    </w:p>
    <w:p w14:paraId="45DF3E6A">
      <w:pPr>
        <w:spacing w:before="52" w:line="227" w:lineRule="auto"/>
        <w:ind w:left="39"/>
        <w:rPr>
          <w:rFonts w:ascii="宋体" w:hAnsi="宋体" w:eastAsia="宋体" w:cs="宋体"/>
          <w:sz w:val="27"/>
          <w:szCs w:val="27"/>
        </w:rPr>
      </w:pPr>
      <w:r>
        <w:rPr>
          <w:rFonts w:ascii="Times New Roman" w:hAnsi="Times New Roman" w:eastAsia="Times New Roman" w:cs="Times New Roman"/>
          <w:b/>
          <w:bCs/>
          <w:spacing w:val="4"/>
          <w:sz w:val="27"/>
          <w:szCs w:val="27"/>
        </w:rPr>
        <w:t xml:space="preserve">5.2.3.2 </w:t>
      </w:r>
      <w:r>
        <w:rPr>
          <w:rFonts w:ascii="宋体" w:hAnsi="宋体" w:eastAsia="宋体" w:cs="宋体"/>
          <w:b/>
          <w:bCs/>
          <w:spacing w:val="4"/>
          <w:sz w:val="27"/>
          <w:szCs w:val="27"/>
        </w:rPr>
        <w:t>分区防控措施</w:t>
      </w:r>
    </w:p>
    <w:p w14:paraId="183B8BA4">
      <w:pPr>
        <w:spacing w:before="234" w:line="219" w:lineRule="auto"/>
        <w:ind w:left="520"/>
        <w:rPr>
          <w:rFonts w:ascii="宋体" w:hAnsi="宋体" w:eastAsia="宋体" w:cs="宋体"/>
          <w:sz w:val="24"/>
          <w:szCs w:val="24"/>
        </w:rPr>
      </w:pPr>
      <w:r>
        <w:rPr>
          <w:rFonts w:ascii="宋体" w:hAnsi="宋体" w:eastAsia="宋体" w:cs="宋体"/>
          <w:spacing w:val="-4"/>
          <w:sz w:val="24"/>
          <w:szCs w:val="24"/>
        </w:rPr>
        <w:t>本项目分区防渗措施见下表。</w:t>
      </w:r>
    </w:p>
    <w:p w14:paraId="13B46BD4">
      <w:pPr>
        <w:spacing w:before="197" w:line="221" w:lineRule="auto"/>
        <w:ind w:left="2637"/>
        <w:rPr>
          <w:rFonts w:ascii="黑体" w:hAnsi="黑体" w:eastAsia="黑体" w:cs="黑体"/>
          <w:sz w:val="21"/>
          <w:szCs w:val="21"/>
        </w:rPr>
      </w:pPr>
      <w:r>
        <w:rPr>
          <w:rFonts w:ascii="黑体" w:hAnsi="黑体" w:eastAsia="黑体" w:cs="黑体"/>
          <w:spacing w:val="-2"/>
          <w:sz w:val="21"/>
          <w:szCs w:val="21"/>
        </w:rPr>
        <w:t>表</w:t>
      </w:r>
      <w:r>
        <w:rPr>
          <w:rFonts w:ascii="黑体" w:hAnsi="黑体" w:eastAsia="黑体" w:cs="黑体"/>
          <w:spacing w:val="-26"/>
          <w:sz w:val="21"/>
          <w:szCs w:val="21"/>
        </w:rPr>
        <w:t xml:space="preserve"> </w:t>
      </w:r>
      <w:r>
        <w:rPr>
          <w:rFonts w:ascii="Times New Roman" w:hAnsi="Times New Roman" w:eastAsia="Times New Roman" w:cs="Times New Roman"/>
          <w:spacing w:val="-2"/>
          <w:sz w:val="21"/>
          <w:szCs w:val="21"/>
        </w:rPr>
        <w:t xml:space="preserve">5.2-3  </w:t>
      </w:r>
      <w:r>
        <w:rPr>
          <w:rFonts w:ascii="黑体" w:hAnsi="黑体" w:eastAsia="黑体" w:cs="黑体"/>
          <w:spacing w:val="-2"/>
          <w:sz w:val="21"/>
          <w:szCs w:val="21"/>
        </w:rPr>
        <w:t>本项目地下水防渗分区表</w:t>
      </w:r>
    </w:p>
    <w:p w14:paraId="69486434">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1805"/>
        <w:gridCol w:w="2264"/>
        <w:gridCol w:w="3355"/>
      </w:tblGrid>
      <w:tr w14:paraId="5E7F0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96" w:type="dxa"/>
            <w:vAlign w:val="top"/>
          </w:tcPr>
          <w:p w14:paraId="63DF09A3">
            <w:pPr>
              <w:spacing w:before="68" w:line="220" w:lineRule="auto"/>
              <w:ind w:left="243"/>
              <w:rPr>
                <w:rFonts w:ascii="宋体" w:hAnsi="宋体" w:eastAsia="宋体" w:cs="宋体"/>
                <w:sz w:val="21"/>
                <w:szCs w:val="21"/>
              </w:rPr>
            </w:pPr>
            <w:r>
              <w:rPr>
                <w:rFonts w:ascii="宋体" w:hAnsi="宋体" w:eastAsia="宋体" w:cs="宋体"/>
                <w:spacing w:val="-3"/>
                <w:sz w:val="21"/>
                <w:szCs w:val="21"/>
              </w:rPr>
              <w:t>类别</w:t>
            </w:r>
          </w:p>
        </w:tc>
        <w:tc>
          <w:tcPr>
            <w:tcW w:w="1805" w:type="dxa"/>
            <w:vAlign w:val="top"/>
          </w:tcPr>
          <w:p w14:paraId="63034843">
            <w:pPr>
              <w:spacing w:before="68" w:line="219" w:lineRule="auto"/>
              <w:ind w:left="488"/>
              <w:rPr>
                <w:rFonts w:ascii="宋体" w:hAnsi="宋体" w:eastAsia="宋体" w:cs="宋体"/>
                <w:sz w:val="21"/>
                <w:szCs w:val="21"/>
              </w:rPr>
            </w:pPr>
            <w:r>
              <w:rPr>
                <w:rFonts w:ascii="宋体" w:hAnsi="宋体" w:eastAsia="宋体" w:cs="宋体"/>
                <w:spacing w:val="-3"/>
                <w:sz w:val="21"/>
                <w:szCs w:val="21"/>
              </w:rPr>
              <w:t>分区依据</w:t>
            </w:r>
          </w:p>
        </w:tc>
        <w:tc>
          <w:tcPr>
            <w:tcW w:w="2264" w:type="dxa"/>
            <w:vAlign w:val="top"/>
          </w:tcPr>
          <w:p w14:paraId="37F37518">
            <w:pPr>
              <w:spacing w:before="69" w:line="220" w:lineRule="auto"/>
              <w:ind w:left="731"/>
              <w:rPr>
                <w:rFonts w:ascii="宋体" w:hAnsi="宋体" w:eastAsia="宋体" w:cs="宋体"/>
                <w:sz w:val="21"/>
                <w:szCs w:val="21"/>
              </w:rPr>
            </w:pPr>
            <w:r>
              <w:rPr>
                <w:rFonts w:ascii="宋体" w:hAnsi="宋体" w:eastAsia="宋体" w:cs="宋体"/>
                <w:spacing w:val="-5"/>
                <w:sz w:val="21"/>
                <w:szCs w:val="21"/>
              </w:rPr>
              <w:t>区域名称</w:t>
            </w:r>
          </w:p>
        </w:tc>
        <w:tc>
          <w:tcPr>
            <w:tcW w:w="3355" w:type="dxa"/>
            <w:vAlign w:val="top"/>
          </w:tcPr>
          <w:p w14:paraId="22211E81">
            <w:pPr>
              <w:spacing w:before="68" w:line="220" w:lineRule="auto"/>
              <w:ind w:left="947"/>
              <w:rPr>
                <w:rFonts w:ascii="宋体" w:hAnsi="宋体" w:eastAsia="宋体" w:cs="宋体"/>
                <w:sz w:val="21"/>
                <w:szCs w:val="21"/>
              </w:rPr>
            </w:pPr>
            <w:r>
              <w:rPr>
                <w:rFonts w:ascii="宋体" w:hAnsi="宋体" w:eastAsia="宋体" w:cs="宋体"/>
                <w:spacing w:val="-2"/>
                <w:sz w:val="21"/>
                <w:szCs w:val="21"/>
              </w:rPr>
              <w:t>地下水防护措施</w:t>
            </w:r>
          </w:p>
        </w:tc>
      </w:tr>
      <w:tr w14:paraId="74C34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896" w:type="dxa"/>
            <w:vAlign w:val="top"/>
          </w:tcPr>
          <w:p w14:paraId="6B448F8D">
            <w:pPr>
              <w:spacing w:line="300" w:lineRule="auto"/>
              <w:rPr>
                <w:rFonts w:ascii="Arial"/>
                <w:sz w:val="21"/>
              </w:rPr>
            </w:pPr>
          </w:p>
          <w:p w14:paraId="3419B163">
            <w:pPr>
              <w:spacing w:line="301" w:lineRule="auto"/>
              <w:rPr>
                <w:rFonts w:ascii="Arial"/>
                <w:sz w:val="21"/>
              </w:rPr>
            </w:pPr>
          </w:p>
          <w:p w14:paraId="2D917D71">
            <w:pPr>
              <w:spacing w:before="68" w:line="277" w:lineRule="auto"/>
              <w:ind w:left="152" w:right="130" w:firstLine="92"/>
              <w:rPr>
                <w:rFonts w:ascii="宋体" w:hAnsi="宋体" w:eastAsia="宋体" w:cs="宋体"/>
                <w:sz w:val="21"/>
                <w:szCs w:val="21"/>
              </w:rPr>
            </w:pPr>
            <w:r>
              <w:rPr>
                <w:rFonts w:ascii="宋体" w:hAnsi="宋体" w:eastAsia="宋体" w:cs="宋体"/>
                <w:spacing w:val="-5"/>
                <w:sz w:val="21"/>
                <w:szCs w:val="21"/>
              </w:rPr>
              <w:t>重点</w:t>
            </w:r>
            <w:r>
              <w:rPr>
                <w:rFonts w:ascii="宋体" w:hAnsi="宋体" w:eastAsia="宋体" w:cs="宋体"/>
                <w:spacing w:val="-8"/>
                <w:sz w:val="21"/>
                <w:szCs w:val="21"/>
              </w:rPr>
              <w:t>防渗区</w:t>
            </w:r>
          </w:p>
        </w:tc>
        <w:tc>
          <w:tcPr>
            <w:tcW w:w="1805" w:type="dxa"/>
            <w:vAlign w:val="top"/>
          </w:tcPr>
          <w:p w14:paraId="43C1E2F6">
            <w:pPr>
              <w:spacing w:line="294" w:lineRule="auto"/>
              <w:rPr>
                <w:rFonts w:ascii="Arial"/>
                <w:sz w:val="21"/>
              </w:rPr>
            </w:pPr>
          </w:p>
          <w:p w14:paraId="328DF367">
            <w:pPr>
              <w:spacing w:before="68" w:line="275" w:lineRule="auto"/>
              <w:ind w:left="9" w:right="3" w:hanging="2"/>
              <w:jc w:val="both"/>
              <w:rPr>
                <w:rFonts w:ascii="宋体" w:hAnsi="宋体" w:eastAsia="宋体" w:cs="宋体"/>
                <w:sz w:val="21"/>
                <w:szCs w:val="21"/>
              </w:rPr>
            </w:pPr>
            <w:r>
              <w:rPr>
                <w:rFonts w:ascii="宋体" w:hAnsi="宋体" w:eastAsia="宋体" w:cs="宋体"/>
                <w:spacing w:val="13"/>
                <w:sz w:val="21"/>
                <w:szCs w:val="21"/>
              </w:rPr>
              <w:t>对地下水环境有污染的物料或污染物</w:t>
            </w:r>
            <w:r>
              <w:rPr>
                <w:rFonts w:ascii="宋体" w:hAnsi="宋体" w:eastAsia="宋体" w:cs="宋体"/>
                <w:spacing w:val="-12"/>
                <w:sz w:val="21"/>
                <w:szCs w:val="21"/>
              </w:rPr>
              <w:t>泄漏后，不能及时发</w:t>
            </w:r>
            <w:r>
              <w:rPr>
                <w:rFonts w:ascii="宋体" w:hAnsi="宋体" w:eastAsia="宋体" w:cs="宋体"/>
                <w:spacing w:val="-2"/>
                <w:sz w:val="21"/>
                <w:szCs w:val="21"/>
              </w:rPr>
              <w:t>现和处理</w:t>
            </w:r>
          </w:p>
        </w:tc>
        <w:tc>
          <w:tcPr>
            <w:tcW w:w="2264" w:type="dxa"/>
            <w:vAlign w:val="top"/>
          </w:tcPr>
          <w:p w14:paraId="1C17E67F">
            <w:pPr>
              <w:spacing w:line="301" w:lineRule="auto"/>
              <w:rPr>
                <w:rFonts w:ascii="Arial"/>
                <w:sz w:val="21"/>
              </w:rPr>
            </w:pPr>
          </w:p>
          <w:p w14:paraId="76977D3B">
            <w:pPr>
              <w:spacing w:line="301" w:lineRule="auto"/>
              <w:rPr>
                <w:rFonts w:ascii="Arial"/>
                <w:sz w:val="21"/>
              </w:rPr>
            </w:pPr>
          </w:p>
          <w:p w14:paraId="640BCD59">
            <w:pPr>
              <w:spacing w:before="69" w:line="276" w:lineRule="auto"/>
              <w:ind w:left="11" w:right="2"/>
              <w:rPr>
                <w:rFonts w:ascii="宋体" w:hAnsi="宋体" w:eastAsia="宋体" w:cs="宋体"/>
                <w:sz w:val="21"/>
                <w:szCs w:val="21"/>
              </w:rPr>
            </w:pPr>
            <w:r>
              <w:rPr>
                <w:rFonts w:ascii="宋体" w:hAnsi="宋体" w:eastAsia="宋体" w:cs="宋体"/>
                <w:spacing w:val="-6"/>
                <w:sz w:val="21"/>
                <w:szCs w:val="21"/>
              </w:rPr>
              <w:t>危废暂存间、堆粪棚、储</w:t>
            </w:r>
            <w:r>
              <w:rPr>
                <w:rFonts w:ascii="宋体" w:hAnsi="宋体" w:eastAsia="宋体" w:cs="宋体"/>
                <w:spacing w:val="-7"/>
                <w:sz w:val="21"/>
                <w:szCs w:val="21"/>
              </w:rPr>
              <w:t>油间、污水处理站及管道</w:t>
            </w:r>
          </w:p>
        </w:tc>
        <w:tc>
          <w:tcPr>
            <w:tcW w:w="3355" w:type="dxa"/>
            <w:vAlign w:val="top"/>
          </w:tcPr>
          <w:p w14:paraId="2FA65771">
            <w:pPr>
              <w:pStyle w:val="6"/>
              <w:spacing w:before="51" w:line="263" w:lineRule="auto"/>
              <w:ind w:left="6" w:right="5" w:firstLine="5"/>
              <w:jc w:val="both"/>
            </w:pPr>
            <w:r>
              <w:rPr>
                <w:rFonts w:ascii="宋体" w:hAnsi="宋体" w:eastAsia="宋体" w:cs="宋体"/>
                <w:spacing w:val="1"/>
              </w:rPr>
              <w:t>要求采取防渗混凝土</w:t>
            </w:r>
            <w:r>
              <w:rPr>
                <w:spacing w:val="1"/>
              </w:rPr>
              <w:t>+</w:t>
            </w:r>
            <w:r>
              <w:rPr>
                <w:rFonts w:ascii="宋体" w:hAnsi="宋体" w:eastAsia="宋体" w:cs="宋体"/>
                <w:spacing w:val="1"/>
              </w:rPr>
              <w:t>粘土防渗层，</w:t>
            </w:r>
            <w:r>
              <w:rPr>
                <w:rFonts w:ascii="宋体" w:hAnsi="宋体" w:eastAsia="宋体" w:cs="宋体"/>
                <w:spacing w:val="46"/>
              </w:rPr>
              <w:t>确保防渗性能等效粘土防渗层</w:t>
            </w:r>
            <w:r>
              <w:t>Mb≥6.0m</w:t>
            </w:r>
            <w:r>
              <w:rPr>
                <w:rFonts w:ascii="宋体" w:hAnsi="宋体" w:eastAsia="宋体" w:cs="宋体"/>
              </w:rPr>
              <w:t>，其渗透系数</w:t>
            </w:r>
            <w:r>
              <w:t>K≤10</w:t>
            </w:r>
            <w:r>
              <w:rPr>
                <w:position w:val="9"/>
                <w:sz w:val="14"/>
                <w:szCs w:val="14"/>
              </w:rPr>
              <w:t>-7</w:t>
            </w:r>
            <w:r>
              <w:t>cm/s</w:t>
            </w:r>
            <w:r>
              <w:rPr>
                <w:spacing w:val="-9"/>
              </w:rPr>
              <w:t xml:space="preserve"> </w:t>
            </w:r>
            <w:r>
              <w:rPr>
                <w:rFonts w:ascii="宋体" w:hAnsi="宋体" w:eastAsia="宋体" w:cs="宋体"/>
              </w:rPr>
              <w:t>，或参照</w:t>
            </w:r>
            <w:r>
              <w:t>GB18598</w:t>
            </w:r>
            <w:r>
              <w:rPr>
                <w:rFonts w:ascii="宋体" w:hAnsi="宋体" w:eastAsia="宋体" w:cs="宋体"/>
              </w:rPr>
              <w:t>执行；其中危废暂存</w:t>
            </w:r>
            <w:r>
              <w:rPr>
                <w:rFonts w:ascii="宋体" w:hAnsi="宋体" w:eastAsia="宋体" w:cs="宋体"/>
                <w:spacing w:val="6"/>
              </w:rPr>
              <w:t>间</w:t>
            </w:r>
            <w:r>
              <w:rPr>
                <w:rFonts w:ascii="宋体" w:hAnsi="宋体" w:eastAsia="宋体" w:cs="宋体"/>
                <w:spacing w:val="-40"/>
              </w:rPr>
              <w:t xml:space="preserve"> </w:t>
            </w:r>
            <w:r>
              <w:rPr>
                <w:rFonts w:ascii="宋体" w:hAnsi="宋体" w:eastAsia="宋体" w:cs="宋体"/>
                <w:spacing w:val="6"/>
              </w:rPr>
              <w:t>要</w:t>
            </w:r>
            <w:r>
              <w:rPr>
                <w:rFonts w:ascii="宋体" w:hAnsi="宋体" w:eastAsia="宋体" w:cs="宋体"/>
                <w:spacing w:val="-51"/>
              </w:rPr>
              <w:t xml:space="preserve"> </w:t>
            </w:r>
            <w:r>
              <w:rPr>
                <w:rFonts w:ascii="宋体" w:hAnsi="宋体" w:eastAsia="宋体" w:cs="宋体"/>
                <w:spacing w:val="6"/>
              </w:rPr>
              <w:t>求采用</w:t>
            </w:r>
            <w:r>
              <w:rPr>
                <w:rFonts w:ascii="宋体" w:hAnsi="宋体" w:eastAsia="宋体" w:cs="宋体"/>
                <w:spacing w:val="-39"/>
              </w:rPr>
              <w:t xml:space="preserve"> </w:t>
            </w:r>
            <w:r>
              <w:rPr>
                <w:rFonts w:ascii="宋体" w:hAnsi="宋体" w:eastAsia="宋体" w:cs="宋体"/>
                <w:spacing w:val="6"/>
              </w:rPr>
              <w:t>防</w:t>
            </w:r>
            <w:r>
              <w:rPr>
                <w:rFonts w:ascii="宋体" w:hAnsi="宋体" w:eastAsia="宋体" w:cs="宋体"/>
                <w:spacing w:val="-51"/>
              </w:rPr>
              <w:t xml:space="preserve"> </w:t>
            </w:r>
            <w:r>
              <w:rPr>
                <w:rFonts w:ascii="宋体" w:hAnsi="宋体" w:eastAsia="宋体" w:cs="宋体"/>
                <w:spacing w:val="6"/>
              </w:rPr>
              <w:t>渗混凝</w:t>
            </w:r>
            <w:r>
              <w:rPr>
                <w:rFonts w:ascii="宋体" w:hAnsi="宋体" w:eastAsia="宋体" w:cs="宋体"/>
                <w:spacing w:val="-52"/>
              </w:rPr>
              <w:t xml:space="preserve"> </w:t>
            </w:r>
            <w:r>
              <w:rPr>
                <w:rFonts w:ascii="宋体" w:hAnsi="宋体" w:eastAsia="宋体" w:cs="宋体"/>
                <w:spacing w:val="6"/>
              </w:rPr>
              <w:t>土</w:t>
            </w:r>
            <w:r>
              <w:rPr>
                <w:rFonts w:ascii="宋体" w:hAnsi="宋体" w:eastAsia="宋体" w:cs="宋体"/>
                <w:spacing w:val="-57"/>
              </w:rPr>
              <w:t xml:space="preserve"> </w:t>
            </w:r>
            <w:r>
              <w:rPr>
                <w:spacing w:val="6"/>
              </w:rPr>
              <w:t>+2</w:t>
            </w:r>
            <w:r>
              <w:t>mm</w:t>
            </w:r>
            <w:r>
              <w:rPr>
                <w:spacing w:val="6"/>
              </w:rPr>
              <w:t xml:space="preserve"> </w:t>
            </w:r>
            <w:r>
              <w:rPr>
                <w:rFonts w:ascii="宋体" w:hAnsi="宋体" w:eastAsia="宋体" w:cs="宋体"/>
                <w:spacing w:val="6"/>
              </w:rPr>
              <w:t>厚</w:t>
            </w:r>
            <w:r>
              <w:rPr>
                <w:spacing w:val="-1"/>
              </w:rPr>
              <w:t>HDPE</w:t>
            </w:r>
            <w:r>
              <w:rPr>
                <w:rFonts w:ascii="宋体" w:hAnsi="宋体" w:eastAsia="宋体" w:cs="宋体"/>
                <w:spacing w:val="-1"/>
              </w:rPr>
              <w:t>防渗层，渗透系数</w:t>
            </w:r>
            <w:r>
              <w:rPr>
                <w:spacing w:val="-1"/>
              </w:rPr>
              <w:t>K≤10</w:t>
            </w:r>
            <w:r>
              <w:rPr>
                <w:spacing w:val="-1"/>
                <w:position w:val="9"/>
                <w:sz w:val="14"/>
                <w:szCs w:val="14"/>
              </w:rPr>
              <w:t>-10</w:t>
            </w:r>
            <w:r>
              <w:rPr>
                <w:spacing w:val="-1"/>
              </w:rPr>
              <w:t>cm/s</w:t>
            </w:r>
          </w:p>
        </w:tc>
      </w:tr>
      <w:tr w14:paraId="59107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96" w:type="dxa"/>
            <w:vAlign w:val="top"/>
          </w:tcPr>
          <w:p w14:paraId="0D051B8D">
            <w:pPr>
              <w:spacing w:line="293" w:lineRule="auto"/>
              <w:rPr>
                <w:rFonts w:ascii="Arial"/>
                <w:sz w:val="21"/>
              </w:rPr>
            </w:pPr>
          </w:p>
          <w:p w14:paraId="2954DBBA">
            <w:pPr>
              <w:spacing w:before="69" w:line="277" w:lineRule="auto"/>
              <w:ind w:left="152" w:right="130" w:firstLine="94"/>
              <w:rPr>
                <w:rFonts w:ascii="宋体" w:hAnsi="宋体" w:eastAsia="宋体" w:cs="宋体"/>
                <w:sz w:val="21"/>
                <w:szCs w:val="21"/>
              </w:rPr>
            </w:pPr>
            <w:r>
              <w:rPr>
                <w:rFonts w:ascii="宋体" w:hAnsi="宋体" w:eastAsia="宋体" w:cs="宋体"/>
                <w:spacing w:val="-6"/>
                <w:sz w:val="21"/>
                <w:szCs w:val="21"/>
              </w:rPr>
              <w:t>一般</w:t>
            </w:r>
            <w:r>
              <w:rPr>
                <w:rFonts w:ascii="宋体" w:hAnsi="宋体" w:eastAsia="宋体" w:cs="宋体"/>
                <w:spacing w:val="-8"/>
                <w:sz w:val="21"/>
                <w:szCs w:val="21"/>
              </w:rPr>
              <w:t>防渗区</w:t>
            </w:r>
          </w:p>
        </w:tc>
        <w:tc>
          <w:tcPr>
            <w:tcW w:w="1805" w:type="dxa"/>
            <w:vAlign w:val="top"/>
          </w:tcPr>
          <w:p w14:paraId="48AE5910">
            <w:pPr>
              <w:spacing w:before="53" w:line="261" w:lineRule="auto"/>
              <w:ind w:left="8" w:right="3" w:hanging="1"/>
              <w:jc w:val="both"/>
              <w:rPr>
                <w:rFonts w:ascii="宋体" w:hAnsi="宋体" w:eastAsia="宋体" w:cs="宋体"/>
                <w:sz w:val="21"/>
                <w:szCs w:val="21"/>
              </w:rPr>
            </w:pPr>
            <w:r>
              <w:rPr>
                <w:rFonts w:ascii="宋体" w:hAnsi="宋体" w:eastAsia="宋体" w:cs="宋体"/>
                <w:spacing w:val="13"/>
                <w:sz w:val="21"/>
                <w:szCs w:val="21"/>
              </w:rPr>
              <w:t>对地下水环境有污染的物料或污染物</w:t>
            </w:r>
            <w:r>
              <w:rPr>
                <w:rFonts w:ascii="宋体" w:hAnsi="宋体" w:eastAsia="宋体" w:cs="宋体"/>
                <w:spacing w:val="-12"/>
                <w:sz w:val="21"/>
                <w:szCs w:val="21"/>
              </w:rPr>
              <w:t>泄漏后，可及时发现</w:t>
            </w:r>
            <w:r>
              <w:rPr>
                <w:rFonts w:ascii="宋体" w:hAnsi="宋体" w:eastAsia="宋体" w:cs="宋体"/>
                <w:spacing w:val="-3"/>
                <w:sz w:val="21"/>
                <w:szCs w:val="21"/>
              </w:rPr>
              <w:t>和处理</w:t>
            </w:r>
          </w:p>
        </w:tc>
        <w:tc>
          <w:tcPr>
            <w:tcW w:w="2264" w:type="dxa"/>
            <w:vAlign w:val="top"/>
          </w:tcPr>
          <w:p w14:paraId="7C6B686C">
            <w:pPr>
              <w:spacing w:line="294" w:lineRule="auto"/>
              <w:rPr>
                <w:rFonts w:ascii="Arial"/>
                <w:sz w:val="21"/>
              </w:rPr>
            </w:pPr>
          </w:p>
          <w:p w14:paraId="4E5CE45B">
            <w:pPr>
              <w:spacing w:before="68" w:line="276" w:lineRule="auto"/>
              <w:ind w:left="12" w:hanging="3"/>
              <w:rPr>
                <w:rFonts w:ascii="宋体" w:hAnsi="宋体" w:eastAsia="宋体" w:cs="宋体"/>
                <w:sz w:val="21"/>
                <w:szCs w:val="21"/>
              </w:rPr>
            </w:pPr>
            <w:r>
              <w:rPr>
                <w:rFonts w:ascii="宋体" w:hAnsi="宋体" w:eastAsia="宋体" w:cs="宋体"/>
                <w:spacing w:val="-6"/>
                <w:sz w:val="21"/>
                <w:szCs w:val="21"/>
              </w:rPr>
              <w:t>猪舍、转猪舍、洗消区、</w:t>
            </w:r>
            <w:r>
              <w:rPr>
                <w:rFonts w:ascii="宋体" w:hAnsi="宋体" w:eastAsia="宋体" w:cs="宋体"/>
                <w:spacing w:val="-3"/>
                <w:sz w:val="21"/>
                <w:szCs w:val="21"/>
              </w:rPr>
              <w:t>发电机房、田间储存池</w:t>
            </w:r>
          </w:p>
        </w:tc>
        <w:tc>
          <w:tcPr>
            <w:tcW w:w="3355" w:type="dxa"/>
            <w:vAlign w:val="top"/>
          </w:tcPr>
          <w:p w14:paraId="53133A49">
            <w:pPr>
              <w:pStyle w:val="6"/>
              <w:spacing w:before="53" w:line="259" w:lineRule="auto"/>
              <w:ind w:left="6" w:right="5" w:firstLine="5"/>
              <w:rPr>
                <w:rFonts w:ascii="宋体" w:hAnsi="宋体" w:eastAsia="宋体" w:cs="宋体"/>
              </w:rPr>
            </w:pPr>
            <w:r>
              <w:rPr>
                <w:rFonts w:ascii="宋体" w:hAnsi="宋体" w:eastAsia="宋体" w:cs="宋体"/>
                <w:spacing w:val="1"/>
              </w:rPr>
              <w:t>要求采取防渗混凝土</w:t>
            </w:r>
            <w:r>
              <w:rPr>
                <w:spacing w:val="1"/>
              </w:rPr>
              <w:t>+</w:t>
            </w:r>
            <w:r>
              <w:rPr>
                <w:rFonts w:ascii="宋体" w:hAnsi="宋体" w:eastAsia="宋体" w:cs="宋体"/>
                <w:spacing w:val="1"/>
              </w:rPr>
              <w:t>粘土防渗层，</w:t>
            </w:r>
            <w:r>
              <w:rPr>
                <w:rFonts w:ascii="宋体" w:hAnsi="宋体" w:eastAsia="宋体" w:cs="宋体"/>
                <w:spacing w:val="46"/>
              </w:rPr>
              <w:t>确保防渗性能等效粘土防渗层</w:t>
            </w:r>
            <w:r>
              <w:t>Mb≥1.5m</w:t>
            </w:r>
            <w:r>
              <w:rPr>
                <w:rFonts w:ascii="宋体" w:hAnsi="宋体" w:eastAsia="宋体" w:cs="宋体"/>
              </w:rPr>
              <w:t>，其渗透系数</w:t>
            </w:r>
            <w:r>
              <w:t>K≤10</w:t>
            </w:r>
            <w:r>
              <w:rPr>
                <w:position w:val="9"/>
                <w:sz w:val="14"/>
                <w:szCs w:val="14"/>
              </w:rPr>
              <w:t>-7</w:t>
            </w:r>
            <w:r>
              <w:t>cm/s</w:t>
            </w:r>
            <w:r>
              <w:rPr>
                <w:spacing w:val="-9"/>
              </w:rPr>
              <w:t xml:space="preserve"> </w:t>
            </w:r>
            <w:r>
              <w:rPr>
                <w:rFonts w:ascii="宋体" w:hAnsi="宋体" w:eastAsia="宋体" w:cs="宋体"/>
              </w:rPr>
              <w:t>；</w:t>
            </w:r>
            <w:r>
              <w:rPr>
                <w:rFonts w:ascii="宋体" w:hAnsi="宋体" w:eastAsia="宋体" w:cs="宋体"/>
                <w:spacing w:val="-1"/>
              </w:rPr>
              <w:t>或参照</w:t>
            </w:r>
            <w:r>
              <w:rPr>
                <w:spacing w:val="-1"/>
              </w:rPr>
              <w:t>GB16889</w:t>
            </w:r>
            <w:r>
              <w:rPr>
                <w:rFonts w:ascii="宋体" w:hAnsi="宋体" w:eastAsia="宋体" w:cs="宋体"/>
                <w:spacing w:val="-1"/>
              </w:rPr>
              <w:t>执行</w:t>
            </w:r>
          </w:p>
        </w:tc>
      </w:tr>
      <w:tr w14:paraId="4689F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96" w:type="dxa"/>
            <w:vAlign w:val="top"/>
          </w:tcPr>
          <w:p w14:paraId="77C71718">
            <w:pPr>
              <w:spacing w:before="55" w:line="250" w:lineRule="auto"/>
              <w:ind w:left="152" w:right="130" w:firstLine="95"/>
              <w:rPr>
                <w:rFonts w:ascii="宋体" w:hAnsi="宋体" w:eastAsia="宋体" w:cs="宋体"/>
                <w:sz w:val="21"/>
                <w:szCs w:val="21"/>
              </w:rPr>
            </w:pPr>
            <w:r>
              <w:rPr>
                <w:rFonts w:ascii="宋体" w:hAnsi="宋体" w:eastAsia="宋体" w:cs="宋体"/>
                <w:spacing w:val="-7"/>
                <w:sz w:val="21"/>
                <w:szCs w:val="21"/>
              </w:rPr>
              <w:t>简单</w:t>
            </w:r>
            <w:r>
              <w:rPr>
                <w:rFonts w:ascii="宋体" w:hAnsi="宋体" w:eastAsia="宋体" w:cs="宋体"/>
                <w:spacing w:val="-8"/>
                <w:sz w:val="21"/>
                <w:szCs w:val="21"/>
              </w:rPr>
              <w:t>防渗区</w:t>
            </w:r>
          </w:p>
        </w:tc>
        <w:tc>
          <w:tcPr>
            <w:tcW w:w="1805" w:type="dxa"/>
            <w:vAlign w:val="top"/>
          </w:tcPr>
          <w:p w14:paraId="68C2BC47">
            <w:pPr>
              <w:spacing w:before="55" w:line="250" w:lineRule="auto"/>
              <w:ind w:left="21" w:right="3" w:hanging="12"/>
              <w:rPr>
                <w:rFonts w:ascii="宋体" w:hAnsi="宋体" w:eastAsia="宋体" w:cs="宋体"/>
                <w:sz w:val="21"/>
                <w:szCs w:val="21"/>
              </w:rPr>
            </w:pPr>
            <w:r>
              <w:rPr>
                <w:rFonts w:ascii="宋体" w:hAnsi="宋体" w:eastAsia="宋体" w:cs="宋体"/>
                <w:spacing w:val="13"/>
                <w:sz w:val="21"/>
                <w:szCs w:val="21"/>
              </w:rPr>
              <w:t>重点防渗区和一般</w:t>
            </w:r>
            <w:r>
              <w:rPr>
                <w:rFonts w:ascii="宋体" w:hAnsi="宋体" w:eastAsia="宋体" w:cs="宋体"/>
                <w:spacing w:val="-3"/>
                <w:sz w:val="21"/>
                <w:szCs w:val="21"/>
              </w:rPr>
              <w:t>防渗区之外的区域</w:t>
            </w:r>
          </w:p>
        </w:tc>
        <w:tc>
          <w:tcPr>
            <w:tcW w:w="2264" w:type="dxa"/>
            <w:vAlign w:val="top"/>
          </w:tcPr>
          <w:p w14:paraId="574CCB68">
            <w:pPr>
              <w:spacing w:before="210" w:line="220" w:lineRule="auto"/>
              <w:ind w:right="1"/>
              <w:jc w:val="right"/>
              <w:rPr>
                <w:rFonts w:ascii="宋体" w:hAnsi="宋体" w:eastAsia="宋体" w:cs="宋体"/>
                <w:sz w:val="21"/>
                <w:szCs w:val="21"/>
              </w:rPr>
            </w:pPr>
            <w:r>
              <w:rPr>
                <w:rFonts w:ascii="宋体" w:hAnsi="宋体" w:eastAsia="宋体" w:cs="宋体"/>
                <w:spacing w:val="-7"/>
                <w:sz w:val="21"/>
                <w:szCs w:val="21"/>
              </w:rPr>
              <w:t>办公生活区、场内道路等</w:t>
            </w:r>
          </w:p>
        </w:tc>
        <w:tc>
          <w:tcPr>
            <w:tcW w:w="3355" w:type="dxa"/>
            <w:vAlign w:val="top"/>
          </w:tcPr>
          <w:p w14:paraId="44B43989">
            <w:pPr>
              <w:spacing w:before="211" w:line="219" w:lineRule="auto"/>
              <w:ind w:left="10"/>
              <w:rPr>
                <w:rFonts w:ascii="宋体" w:hAnsi="宋体" w:eastAsia="宋体" w:cs="宋体"/>
                <w:sz w:val="21"/>
                <w:szCs w:val="21"/>
              </w:rPr>
            </w:pPr>
            <w:r>
              <w:rPr>
                <w:rFonts w:ascii="宋体" w:hAnsi="宋体" w:eastAsia="宋体" w:cs="宋体"/>
                <w:spacing w:val="-1"/>
                <w:sz w:val="21"/>
                <w:szCs w:val="21"/>
              </w:rPr>
              <w:t>采取一般地面硬化</w:t>
            </w:r>
          </w:p>
        </w:tc>
      </w:tr>
    </w:tbl>
    <w:p w14:paraId="07A8B233">
      <w:pPr>
        <w:spacing w:before="292" w:line="226"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5.2.3.3 </w:t>
      </w:r>
      <w:r>
        <w:rPr>
          <w:rFonts w:ascii="宋体" w:hAnsi="宋体" w:eastAsia="宋体" w:cs="宋体"/>
          <w:b/>
          <w:bCs/>
          <w:spacing w:val="5"/>
          <w:sz w:val="27"/>
          <w:szCs w:val="27"/>
        </w:rPr>
        <w:t>地下水环境监测与管理</w:t>
      </w:r>
    </w:p>
    <w:p w14:paraId="16940F03">
      <w:pPr>
        <w:spacing w:before="235" w:line="220" w:lineRule="auto"/>
        <w:ind w:left="528"/>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）地下水跟踪监测计划</w:t>
      </w:r>
    </w:p>
    <w:p w14:paraId="5364FA48">
      <w:pPr>
        <w:spacing w:before="183" w:line="360" w:lineRule="auto"/>
        <w:ind w:left="39" w:right="76" w:firstLine="480"/>
        <w:jc w:val="both"/>
        <w:rPr>
          <w:rFonts w:ascii="宋体" w:hAnsi="宋体" w:eastAsia="宋体" w:cs="宋体"/>
          <w:sz w:val="24"/>
          <w:szCs w:val="24"/>
        </w:rPr>
      </w:pPr>
      <w:r>
        <w:rPr>
          <w:rFonts w:ascii="宋体" w:hAnsi="宋体" w:eastAsia="宋体" w:cs="宋体"/>
          <w:spacing w:val="-8"/>
          <w:sz w:val="24"/>
          <w:szCs w:val="24"/>
        </w:rPr>
        <w:t>本项目地下水评价等级为三级，根据《环境影响评价技术导则</w:t>
      </w:r>
      <w:r>
        <w:rPr>
          <w:rFonts w:ascii="宋体" w:hAnsi="宋体" w:eastAsia="宋体" w:cs="宋体"/>
          <w:spacing w:val="31"/>
          <w:sz w:val="24"/>
          <w:szCs w:val="24"/>
        </w:rPr>
        <w:t xml:space="preserve"> </w:t>
      </w:r>
      <w:r>
        <w:rPr>
          <w:rFonts w:ascii="宋体" w:hAnsi="宋体" w:eastAsia="宋体" w:cs="宋体"/>
          <w:spacing w:val="-8"/>
          <w:sz w:val="24"/>
          <w:szCs w:val="24"/>
        </w:rPr>
        <w:t>地下水环</w:t>
      </w:r>
      <w:r>
        <w:rPr>
          <w:rFonts w:ascii="宋体" w:hAnsi="宋体" w:eastAsia="宋体" w:cs="宋体"/>
          <w:spacing w:val="-9"/>
          <w:sz w:val="24"/>
          <w:szCs w:val="24"/>
        </w:rPr>
        <w:t>境》</w:t>
      </w:r>
      <w:r>
        <w:rPr>
          <w:rFonts w:ascii="宋体" w:hAnsi="宋体" w:eastAsia="宋体" w:cs="宋体"/>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HJ610-2016</w:t>
      </w:r>
      <w:r>
        <w:rPr>
          <w:rFonts w:ascii="宋体" w:hAnsi="宋体" w:eastAsia="宋体" w:cs="宋体"/>
          <w:spacing w:val="-6"/>
          <w:sz w:val="24"/>
          <w:szCs w:val="24"/>
        </w:rPr>
        <w:t>）</w:t>
      </w:r>
      <w:r>
        <w:fldChar w:fldCharType="begin"/>
      </w:r>
      <w:r>
        <w:instrText xml:space="preserve"> HYPERLINK "11.3.2.1" </w:instrText>
      </w:r>
      <w:r>
        <w:fldChar w:fldCharType="separate"/>
      </w:r>
      <w:r>
        <w:rPr>
          <w:rFonts w:ascii="Times New Roman" w:hAnsi="Times New Roman" w:eastAsia="Times New Roman" w:cs="Times New Roman"/>
          <w:spacing w:val="-6"/>
          <w:sz w:val="24"/>
          <w:szCs w:val="24"/>
        </w:rPr>
        <w:t>11.3.2.1</w:t>
      </w:r>
      <w:r>
        <w:rPr>
          <w:rFonts w:ascii="Times New Roman" w:hAnsi="Times New Roman" w:eastAsia="Times New Roman" w:cs="Times New Roman"/>
          <w:spacing w:val="-6"/>
          <w:sz w:val="24"/>
          <w:szCs w:val="24"/>
        </w:rPr>
        <w:fldChar w:fldCharType="end"/>
      </w:r>
      <w:r>
        <w:rPr>
          <w:rFonts w:ascii="宋体" w:hAnsi="宋体" w:eastAsia="宋体" w:cs="宋体"/>
          <w:spacing w:val="-6"/>
          <w:sz w:val="24"/>
          <w:szCs w:val="24"/>
        </w:rPr>
        <w:t>条规定：“三级评价的项目，跟踪点数量一般不少</w:t>
      </w:r>
      <w:r>
        <w:rPr>
          <w:rFonts w:ascii="宋体" w:hAnsi="宋体" w:eastAsia="宋体" w:cs="宋体"/>
          <w:spacing w:val="-7"/>
          <w:sz w:val="24"/>
          <w:szCs w:val="24"/>
        </w:rPr>
        <w:t>于</w:t>
      </w:r>
      <w:r>
        <w:rPr>
          <w:rFonts w:ascii="Times New Roman" w:hAnsi="Times New Roman" w:eastAsia="Times New Roman" w:cs="Times New Roman"/>
          <w:spacing w:val="-7"/>
          <w:sz w:val="24"/>
          <w:szCs w:val="24"/>
        </w:rPr>
        <w:t>1</w:t>
      </w:r>
      <w:r>
        <w:rPr>
          <w:rFonts w:ascii="宋体" w:hAnsi="宋体" w:eastAsia="宋体" w:cs="宋体"/>
          <w:spacing w:val="-7"/>
          <w:sz w:val="24"/>
          <w:szCs w:val="24"/>
        </w:rPr>
        <w:t>个，</w:t>
      </w:r>
      <w:r>
        <w:rPr>
          <w:rFonts w:ascii="宋体" w:hAnsi="宋体" w:eastAsia="宋体" w:cs="宋体"/>
          <w:spacing w:val="-2"/>
          <w:sz w:val="24"/>
          <w:szCs w:val="24"/>
        </w:rPr>
        <w:t>应至少在建设项目场地下游布置</w:t>
      </w:r>
      <w:r>
        <w:rPr>
          <w:rFonts w:ascii="Times New Roman" w:hAnsi="Times New Roman" w:eastAsia="Times New Roman" w:cs="Times New Roman"/>
          <w:spacing w:val="-2"/>
          <w:sz w:val="24"/>
          <w:szCs w:val="24"/>
        </w:rPr>
        <w:t>1</w:t>
      </w:r>
      <w:r>
        <w:rPr>
          <w:rFonts w:ascii="宋体" w:hAnsi="宋体" w:eastAsia="宋体" w:cs="宋体"/>
          <w:spacing w:val="-2"/>
          <w:sz w:val="24"/>
          <w:szCs w:val="24"/>
        </w:rPr>
        <w:t>个”。</w:t>
      </w:r>
    </w:p>
    <w:p w14:paraId="1E3E9D56">
      <w:pPr>
        <w:spacing w:line="360" w:lineRule="auto"/>
        <w:ind w:left="40" w:right="65" w:firstLine="480"/>
        <w:jc w:val="both"/>
        <w:rPr>
          <w:rFonts w:ascii="宋体" w:hAnsi="宋体" w:eastAsia="宋体" w:cs="宋体"/>
          <w:sz w:val="24"/>
          <w:szCs w:val="24"/>
        </w:rPr>
      </w:pPr>
      <w:r>
        <w:rPr>
          <w:rFonts w:ascii="宋体" w:hAnsi="宋体" w:eastAsia="宋体" w:cs="宋体"/>
          <w:sz w:val="24"/>
          <w:szCs w:val="24"/>
        </w:rPr>
        <w:t>本项目在养殖场下游布置</w:t>
      </w:r>
      <w:r>
        <w:rPr>
          <w:rFonts w:ascii="Times New Roman" w:hAnsi="Times New Roman" w:eastAsia="Times New Roman" w:cs="Times New Roman"/>
          <w:sz w:val="24"/>
          <w:szCs w:val="24"/>
        </w:rPr>
        <w:t>1</w:t>
      </w:r>
      <w:r>
        <w:rPr>
          <w:rFonts w:ascii="宋体" w:hAnsi="宋体" w:eastAsia="宋体" w:cs="宋体"/>
          <w:sz w:val="24"/>
          <w:szCs w:val="24"/>
        </w:rPr>
        <w:t>个地下水跟踪监测点，每年监测一次，遇非正常</w:t>
      </w:r>
      <w:r>
        <w:rPr>
          <w:rFonts w:ascii="宋体" w:hAnsi="宋体" w:eastAsia="宋体" w:cs="宋体"/>
          <w:spacing w:val="-3"/>
          <w:sz w:val="24"/>
          <w:szCs w:val="24"/>
        </w:rPr>
        <w:t>生产情况及事故性排放另增加监测频次。建设单位可委托有资质的监测单位进行</w:t>
      </w:r>
      <w:r>
        <w:rPr>
          <w:rFonts w:ascii="宋体" w:hAnsi="宋体" w:eastAsia="宋体" w:cs="宋体"/>
          <w:spacing w:val="-11"/>
          <w:sz w:val="24"/>
          <w:szCs w:val="24"/>
        </w:rPr>
        <w:t>监测。</w:t>
      </w:r>
    </w:p>
    <w:p w14:paraId="6D44F30B">
      <w:pPr>
        <w:spacing w:before="1"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）制定地下水环境跟踪监测与信息公开计划</w:t>
      </w:r>
    </w:p>
    <w:p w14:paraId="73405E3C">
      <w:pPr>
        <w:spacing w:before="182" w:line="360" w:lineRule="auto"/>
        <w:ind w:left="38" w:right="67" w:firstLine="483"/>
        <w:rPr>
          <w:rFonts w:ascii="宋体" w:hAnsi="宋体" w:eastAsia="宋体" w:cs="宋体"/>
          <w:sz w:val="24"/>
          <w:szCs w:val="24"/>
        </w:rPr>
      </w:pPr>
      <w:r>
        <w:rPr>
          <w:rFonts w:ascii="宋体" w:hAnsi="宋体" w:eastAsia="宋体" w:cs="宋体"/>
          <w:spacing w:val="-3"/>
          <w:sz w:val="24"/>
          <w:szCs w:val="24"/>
        </w:rPr>
        <w:t>建设单位在项目运营期间应编制地下水跟踪监测报告，跟</w:t>
      </w:r>
      <w:r>
        <w:rPr>
          <w:rFonts w:ascii="宋体" w:hAnsi="宋体" w:eastAsia="宋体" w:cs="宋体"/>
          <w:spacing w:val="-4"/>
          <w:sz w:val="24"/>
          <w:szCs w:val="24"/>
        </w:rPr>
        <w:t>踪监测报告内容一</w:t>
      </w:r>
      <w:r>
        <w:rPr>
          <w:rFonts w:ascii="宋体" w:hAnsi="宋体" w:eastAsia="宋体" w:cs="宋体"/>
          <w:spacing w:val="-11"/>
          <w:sz w:val="24"/>
          <w:szCs w:val="24"/>
        </w:rPr>
        <w:t>般应包括：</w:t>
      </w:r>
    </w:p>
    <w:p w14:paraId="01D6B5AF">
      <w:pPr>
        <w:spacing w:before="1" w:line="217" w:lineRule="auto"/>
        <w:ind w:left="518"/>
        <w:rPr>
          <w:rFonts w:ascii="宋体" w:hAnsi="宋体" w:eastAsia="宋体" w:cs="宋体"/>
          <w:sz w:val="24"/>
          <w:szCs w:val="24"/>
        </w:rPr>
      </w:pPr>
      <w:r>
        <w:rPr>
          <w:rFonts w:ascii="宋体" w:hAnsi="宋体" w:eastAsia="宋体" w:cs="宋体"/>
          <w:spacing w:val="-2"/>
          <w:sz w:val="24"/>
          <w:szCs w:val="24"/>
        </w:rPr>
        <w:t>①本项目的地下水环境跟踪监测数据，排放污染物的种类、数量、浓度；</w:t>
      </w:r>
    </w:p>
    <w:p w14:paraId="26739286">
      <w:pPr>
        <w:spacing w:before="186" w:line="217" w:lineRule="auto"/>
        <w:ind w:left="517"/>
        <w:rPr>
          <w:rFonts w:ascii="宋体" w:hAnsi="宋体" w:eastAsia="宋体" w:cs="宋体"/>
          <w:sz w:val="24"/>
          <w:szCs w:val="24"/>
        </w:rPr>
      </w:pPr>
      <w:r>
        <w:rPr>
          <w:rFonts w:ascii="宋体" w:hAnsi="宋体" w:eastAsia="宋体" w:cs="宋体"/>
          <w:spacing w:val="-2"/>
          <w:sz w:val="24"/>
          <w:szCs w:val="24"/>
        </w:rPr>
        <w:t>②污水处理站、猪舍等设施的运行状况、维护记录。</w:t>
      </w:r>
    </w:p>
    <w:p w14:paraId="76BD4839">
      <w:pPr>
        <w:spacing w:line="217" w:lineRule="auto"/>
        <w:rPr>
          <w:rFonts w:ascii="宋体" w:hAnsi="宋体" w:eastAsia="宋体" w:cs="宋体"/>
          <w:sz w:val="24"/>
          <w:szCs w:val="24"/>
        </w:rPr>
        <w:sectPr>
          <w:headerReference r:id="rId477" w:type="default"/>
          <w:footerReference r:id="rId478" w:type="default"/>
          <w:pgSz w:w="11905" w:h="16840"/>
          <w:pgMar w:top="1168" w:right="1730" w:bottom="1409" w:left="1770" w:header="828" w:footer="1244" w:gutter="0"/>
          <w:cols w:space="720" w:num="1"/>
        </w:sectPr>
      </w:pPr>
    </w:p>
    <w:p w14:paraId="013D44CA">
      <w:pPr>
        <w:pStyle w:val="2"/>
        <w:spacing w:line="353" w:lineRule="auto"/>
      </w:pPr>
    </w:p>
    <w:p w14:paraId="618F3E62">
      <w:pPr>
        <w:spacing w:before="88" w:line="228" w:lineRule="auto"/>
        <w:ind w:left="39"/>
        <w:rPr>
          <w:rFonts w:ascii="宋体" w:hAnsi="宋体" w:eastAsia="宋体" w:cs="宋体"/>
          <w:sz w:val="27"/>
          <w:szCs w:val="27"/>
        </w:rPr>
      </w:pPr>
      <w:r>
        <w:rPr>
          <w:rFonts w:ascii="Times New Roman" w:hAnsi="Times New Roman" w:eastAsia="Times New Roman" w:cs="Times New Roman"/>
          <w:b/>
          <w:bCs/>
          <w:spacing w:val="4"/>
          <w:sz w:val="27"/>
          <w:szCs w:val="27"/>
        </w:rPr>
        <w:t xml:space="preserve">5.2.3.4 </w:t>
      </w:r>
      <w:r>
        <w:rPr>
          <w:rFonts w:ascii="宋体" w:hAnsi="宋体" w:eastAsia="宋体" w:cs="宋体"/>
          <w:b/>
          <w:bCs/>
          <w:spacing w:val="4"/>
          <w:sz w:val="27"/>
          <w:szCs w:val="27"/>
        </w:rPr>
        <w:t>应急响应</w:t>
      </w:r>
    </w:p>
    <w:p w14:paraId="4822CE76">
      <w:pPr>
        <w:spacing w:before="233" w:line="360" w:lineRule="auto"/>
        <w:ind w:left="41" w:right="118" w:firstLine="480"/>
        <w:rPr>
          <w:rFonts w:ascii="宋体" w:hAnsi="宋体" w:eastAsia="宋体" w:cs="宋体"/>
          <w:sz w:val="24"/>
          <w:szCs w:val="24"/>
        </w:rPr>
      </w:pPr>
      <w:r>
        <w:rPr>
          <w:rFonts w:ascii="宋体" w:hAnsi="宋体" w:eastAsia="宋体" w:cs="宋体"/>
          <w:spacing w:val="-3"/>
          <w:sz w:val="24"/>
          <w:szCs w:val="24"/>
        </w:rPr>
        <w:t>建设单位应制定地下水污染应急响应预案，一旦发现项目</w:t>
      </w:r>
      <w:r>
        <w:rPr>
          <w:rFonts w:ascii="宋体" w:hAnsi="宋体" w:eastAsia="宋体" w:cs="宋体"/>
          <w:spacing w:val="-4"/>
          <w:sz w:val="24"/>
          <w:szCs w:val="24"/>
        </w:rPr>
        <w:t>周边的地下水受到</w:t>
      </w:r>
      <w:r>
        <w:rPr>
          <w:rFonts w:ascii="宋体" w:hAnsi="宋体" w:eastAsia="宋体" w:cs="宋体"/>
          <w:spacing w:val="-3"/>
          <w:sz w:val="24"/>
          <w:szCs w:val="24"/>
        </w:rPr>
        <w:t>污染，立即启动应急响应预案，采用以下措</w:t>
      </w:r>
      <w:r>
        <w:rPr>
          <w:rFonts w:ascii="宋体" w:hAnsi="宋体" w:eastAsia="宋体" w:cs="宋体"/>
          <w:spacing w:val="-4"/>
          <w:sz w:val="24"/>
          <w:szCs w:val="24"/>
        </w:rPr>
        <w:t>施：</w:t>
      </w:r>
    </w:p>
    <w:p w14:paraId="0E01A637">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）控制污染源</w:t>
      </w:r>
    </w:p>
    <w:p w14:paraId="2A7546B2">
      <w:pPr>
        <w:spacing w:before="181" w:line="360" w:lineRule="auto"/>
        <w:ind w:left="38" w:right="118" w:firstLine="480"/>
        <w:rPr>
          <w:rFonts w:ascii="宋体" w:hAnsi="宋体" w:eastAsia="宋体" w:cs="宋体"/>
          <w:sz w:val="24"/>
          <w:szCs w:val="24"/>
        </w:rPr>
      </w:pPr>
      <w:r>
        <w:rPr>
          <w:rFonts w:ascii="宋体" w:hAnsi="宋体" w:eastAsia="宋体" w:cs="宋体"/>
          <w:spacing w:val="-3"/>
          <w:sz w:val="24"/>
          <w:szCs w:val="24"/>
        </w:rPr>
        <w:t>对场地内的防渗设施进行检漏盘查，找到主要的渗漏设施和区域，</w:t>
      </w:r>
      <w:r>
        <w:rPr>
          <w:rFonts w:ascii="宋体" w:hAnsi="宋体" w:eastAsia="宋体" w:cs="宋体"/>
          <w:spacing w:val="-4"/>
          <w:sz w:val="24"/>
          <w:szCs w:val="24"/>
        </w:rPr>
        <w:t>对渗漏设</w:t>
      </w:r>
      <w:r>
        <w:rPr>
          <w:rFonts w:ascii="宋体" w:hAnsi="宋体" w:eastAsia="宋体" w:cs="宋体"/>
          <w:spacing w:val="-3"/>
          <w:sz w:val="24"/>
          <w:szCs w:val="24"/>
        </w:rPr>
        <w:t>施进行更换或修补，对渗漏区加强防渗措施。</w:t>
      </w:r>
    </w:p>
    <w:p w14:paraId="4550FEF4">
      <w:pPr>
        <w:spacing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）应急监测及措施</w:t>
      </w:r>
    </w:p>
    <w:p w14:paraId="3CC11C97">
      <w:pPr>
        <w:spacing w:before="182" w:line="361" w:lineRule="auto"/>
        <w:ind w:left="37" w:right="118" w:firstLine="482"/>
        <w:rPr>
          <w:rFonts w:ascii="宋体" w:hAnsi="宋体" w:eastAsia="宋体" w:cs="宋体"/>
          <w:sz w:val="24"/>
          <w:szCs w:val="24"/>
        </w:rPr>
      </w:pPr>
      <w:r>
        <w:rPr>
          <w:rFonts w:ascii="宋体" w:hAnsi="宋体" w:eastAsia="宋体" w:cs="宋体"/>
          <w:spacing w:val="-3"/>
          <w:sz w:val="24"/>
          <w:szCs w:val="24"/>
        </w:rPr>
        <w:t>若发现该区域的地下水受到本项目的污染，应立即通知当地村</w:t>
      </w:r>
      <w:r>
        <w:rPr>
          <w:rFonts w:ascii="宋体" w:hAnsi="宋体" w:eastAsia="宋体" w:cs="宋体"/>
          <w:spacing w:val="-4"/>
          <w:sz w:val="24"/>
          <w:szCs w:val="24"/>
        </w:rPr>
        <w:t>委会及生态环</w:t>
      </w:r>
      <w:r>
        <w:rPr>
          <w:rFonts w:ascii="宋体" w:hAnsi="宋体" w:eastAsia="宋体" w:cs="宋体"/>
          <w:spacing w:val="-3"/>
          <w:sz w:val="24"/>
          <w:szCs w:val="24"/>
        </w:rPr>
        <w:t>境主管部门，同时开展该区域的地下水及土壤污染的评估工作，视污染程度，对被污染的地下水和土壤采取相应的修复措施，例如对被污染的地下水可采取抽出</w:t>
      </w:r>
      <w:r>
        <w:rPr>
          <w:rFonts w:ascii="宋体" w:hAnsi="宋体" w:eastAsia="宋体" w:cs="宋体"/>
          <w:spacing w:val="-6"/>
          <w:sz w:val="24"/>
          <w:szCs w:val="24"/>
        </w:rPr>
        <w:t>—处理措施。</w:t>
      </w:r>
    </w:p>
    <w:p w14:paraId="2A45C557">
      <w:pPr>
        <w:spacing w:before="51" w:line="226" w:lineRule="auto"/>
        <w:ind w:left="39"/>
        <w:rPr>
          <w:rFonts w:ascii="宋体" w:hAnsi="宋体" w:eastAsia="宋体" w:cs="宋体"/>
          <w:sz w:val="27"/>
          <w:szCs w:val="27"/>
        </w:rPr>
      </w:pPr>
      <w:r>
        <w:rPr>
          <w:rFonts w:ascii="Times New Roman" w:hAnsi="Times New Roman" w:eastAsia="Times New Roman" w:cs="Times New Roman"/>
          <w:b/>
          <w:bCs/>
          <w:spacing w:val="6"/>
          <w:sz w:val="27"/>
          <w:szCs w:val="27"/>
        </w:rPr>
        <w:t xml:space="preserve">5.2.3.5 </w:t>
      </w:r>
      <w:r>
        <w:rPr>
          <w:rFonts w:ascii="宋体" w:hAnsi="宋体" w:eastAsia="宋体" w:cs="宋体"/>
          <w:b/>
          <w:bCs/>
          <w:spacing w:val="6"/>
          <w:sz w:val="27"/>
          <w:szCs w:val="27"/>
        </w:rPr>
        <w:t>地下水污染防治措施可行性论证</w:t>
      </w:r>
    </w:p>
    <w:p w14:paraId="7E0B62B9">
      <w:pPr>
        <w:spacing w:before="236" w:line="360" w:lineRule="auto"/>
        <w:ind w:left="38" w:firstLine="481"/>
        <w:jc w:val="both"/>
        <w:rPr>
          <w:rFonts w:ascii="宋体" w:hAnsi="宋体" w:eastAsia="宋体" w:cs="宋体"/>
          <w:sz w:val="24"/>
          <w:szCs w:val="24"/>
        </w:rPr>
      </w:pPr>
      <w:r>
        <w:rPr>
          <w:rFonts w:ascii="宋体" w:hAnsi="宋体" w:eastAsia="宋体" w:cs="宋体"/>
          <w:spacing w:val="-3"/>
          <w:sz w:val="24"/>
          <w:szCs w:val="24"/>
        </w:rPr>
        <w:t>本项目采取的防止地下水污染的主动控制措施从生产过程入手</w:t>
      </w:r>
      <w:r>
        <w:rPr>
          <w:rFonts w:ascii="宋体" w:hAnsi="宋体" w:eastAsia="宋体" w:cs="宋体"/>
          <w:spacing w:val="-4"/>
          <w:sz w:val="24"/>
          <w:szCs w:val="24"/>
        </w:rPr>
        <w:t>，在工艺、管</w:t>
      </w:r>
      <w:r>
        <w:rPr>
          <w:rFonts w:ascii="宋体" w:hAnsi="宋体" w:eastAsia="宋体" w:cs="宋体"/>
          <w:spacing w:val="-6"/>
          <w:sz w:val="24"/>
          <w:szCs w:val="24"/>
        </w:rPr>
        <w:t>道、设备、给排水等方面尽可能的采取泄漏控制措施， 从源头</w:t>
      </w:r>
      <w:r>
        <w:rPr>
          <w:rFonts w:ascii="宋体" w:hAnsi="宋体" w:eastAsia="宋体" w:cs="宋体"/>
          <w:spacing w:val="-7"/>
          <w:sz w:val="24"/>
          <w:szCs w:val="24"/>
        </w:rPr>
        <w:t>最大限度降低污染</w:t>
      </w:r>
      <w:r>
        <w:rPr>
          <w:rFonts w:ascii="宋体" w:hAnsi="宋体" w:eastAsia="宋体" w:cs="宋体"/>
          <w:spacing w:val="-6"/>
          <w:sz w:val="24"/>
          <w:szCs w:val="24"/>
        </w:rPr>
        <w:t>物质泄漏的可能性和泄漏量，符合“源头控制，分区防控，污</w:t>
      </w:r>
      <w:r>
        <w:rPr>
          <w:rFonts w:ascii="宋体" w:hAnsi="宋体" w:eastAsia="宋体" w:cs="宋体"/>
          <w:spacing w:val="-7"/>
          <w:sz w:val="24"/>
          <w:szCs w:val="24"/>
        </w:rPr>
        <w:t>染监控，应急响应”</w:t>
      </w:r>
      <w:r>
        <w:rPr>
          <w:rFonts w:ascii="宋体" w:hAnsi="宋体" w:eastAsia="宋体" w:cs="宋体"/>
          <w:spacing w:val="-10"/>
          <w:sz w:val="24"/>
          <w:szCs w:val="24"/>
        </w:rPr>
        <w:t>的原则，由此增加的投资可带来较好的环境效益，</w:t>
      </w:r>
      <w:r>
        <w:rPr>
          <w:rFonts w:ascii="宋体" w:hAnsi="宋体" w:eastAsia="宋体" w:cs="宋体"/>
          <w:spacing w:val="-11"/>
          <w:sz w:val="24"/>
          <w:szCs w:val="24"/>
        </w:rPr>
        <w:t>是必要的，故其技术经济可行。</w:t>
      </w:r>
    </w:p>
    <w:p w14:paraId="0169B1F7">
      <w:pPr>
        <w:spacing w:before="4" w:line="359" w:lineRule="auto"/>
        <w:ind w:left="39" w:right="52" w:firstLine="503"/>
        <w:jc w:val="both"/>
        <w:rPr>
          <w:rFonts w:ascii="宋体" w:hAnsi="宋体" w:eastAsia="宋体" w:cs="宋体"/>
          <w:sz w:val="24"/>
          <w:szCs w:val="24"/>
        </w:rPr>
      </w:pPr>
      <w:r>
        <w:rPr>
          <w:rFonts w:ascii="宋体" w:hAnsi="宋体" w:eastAsia="宋体" w:cs="宋体"/>
          <w:spacing w:val="-9"/>
          <w:sz w:val="24"/>
          <w:szCs w:val="24"/>
        </w:rPr>
        <w:t>同时，项目结合生产特点和工程水文地质条件等，对全场区域进行污染分区，</w:t>
      </w:r>
      <w:r>
        <w:rPr>
          <w:rFonts w:ascii="宋体" w:hAnsi="宋体" w:eastAsia="宋体" w:cs="宋体"/>
          <w:spacing w:val="-3"/>
          <w:sz w:val="24"/>
          <w:szCs w:val="24"/>
        </w:rPr>
        <w:t>根据不同的区域参照不同的环境保护标准要求，设计不同的防渗方案，具有针对</w:t>
      </w:r>
      <w:r>
        <w:rPr>
          <w:rFonts w:ascii="宋体" w:hAnsi="宋体" w:eastAsia="宋体" w:cs="宋体"/>
          <w:spacing w:val="-2"/>
          <w:sz w:val="24"/>
          <w:szCs w:val="24"/>
        </w:rPr>
        <w:t>性和可操作性，因此，污染分区方案技术经济合理、可行。</w:t>
      </w:r>
    </w:p>
    <w:p w14:paraId="157EB637">
      <w:pPr>
        <w:spacing w:before="1" w:line="219" w:lineRule="auto"/>
        <w:ind w:left="522"/>
        <w:rPr>
          <w:rFonts w:ascii="宋体" w:hAnsi="宋体" w:eastAsia="宋体" w:cs="宋体"/>
          <w:sz w:val="24"/>
          <w:szCs w:val="24"/>
        </w:rPr>
      </w:pPr>
      <w:r>
        <w:rPr>
          <w:rFonts w:ascii="宋体" w:hAnsi="宋体" w:eastAsia="宋体" w:cs="宋体"/>
          <w:spacing w:val="-3"/>
          <w:sz w:val="24"/>
          <w:szCs w:val="24"/>
        </w:rPr>
        <w:t>综上分析，项目地下水污染防治措施可行。</w:t>
      </w:r>
    </w:p>
    <w:p w14:paraId="1436093D">
      <w:pPr>
        <w:pStyle w:val="2"/>
        <w:spacing w:line="252" w:lineRule="auto"/>
      </w:pPr>
    </w:p>
    <w:p w14:paraId="20F8C529">
      <w:pPr>
        <w:spacing w:before="97" w:line="220" w:lineRule="auto"/>
        <w:ind w:left="40"/>
        <w:rPr>
          <w:rFonts w:ascii="宋体" w:hAnsi="宋体" w:eastAsia="宋体" w:cs="宋体"/>
          <w:sz w:val="30"/>
          <w:szCs w:val="30"/>
        </w:rPr>
      </w:pPr>
      <w:r>
        <w:rPr>
          <w:rFonts w:ascii="Times New Roman" w:hAnsi="Times New Roman" w:eastAsia="Times New Roman" w:cs="Times New Roman"/>
          <w:b/>
          <w:bCs/>
          <w:spacing w:val="-5"/>
          <w:sz w:val="30"/>
          <w:szCs w:val="30"/>
        </w:rPr>
        <w:t>5.2.4</w:t>
      </w:r>
      <w:r>
        <w:rPr>
          <w:rFonts w:ascii="Times New Roman" w:hAnsi="Times New Roman" w:eastAsia="Times New Roman" w:cs="Times New Roman"/>
          <w:b/>
          <w:bCs/>
          <w:spacing w:val="19"/>
          <w:sz w:val="30"/>
          <w:szCs w:val="30"/>
        </w:rPr>
        <w:t xml:space="preserve">  </w:t>
      </w:r>
      <w:r>
        <w:rPr>
          <w:rFonts w:ascii="宋体" w:hAnsi="宋体" w:eastAsia="宋体" w:cs="宋体"/>
          <w:b/>
          <w:bCs/>
          <w:spacing w:val="-5"/>
          <w:sz w:val="30"/>
          <w:szCs w:val="30"/>
        </w:rPr>
        <w:t>噪声污染防治措施</w:t>
      </w:r>
    </w:p>
    <w:p w14:paraId="1D803C8D">
      <w:pPr>
        <w:pStyle w:val="2"/>
        <w:spacing w:line="258" w:lineRule="auto"/>
      </w:pPr>
    </w:p>
    <w:p w14:paraId="3EE22946">
      <w:pPr>
        <w:spacing w:before="79" w:line="360" w:lineRule="auto"/>
        <w:ind w:left="38" w:right="119" w:firstLine="481"/>
        <w:rPr>
          <w:rFonts w:ascii="宋体" w:hAnsi="宋体" w:eastAsia="宋体" w:cs="宋体"/>
          <w:sz w:val="24"/>
          <w:szCs w:val="24"/>
        </w:rPr>
      </w:pPr>
      <w:r>
        <w:rPr>
          <w:rFonts w:ascii="宋体" w:hAnsi="宋体" w:eastAsia="宋体" w:cs="宋体"/>
          <w:spacing w:val="-7"/>
          <w:sz w:val="24"/>
          <w:szCs w:val="24"/>
        </w:rPr>
        <w:t>本项目运营期噪声主要包括猪群叫声、猪舍通风机、水泵、发电机等， 主要采取以下降噪措施：</w:t>
      </w:r>
    </w:p>
    <w:p w14:paraId="1560F97B">
      <w:pPr>
        <w:spacing w:line="220"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）猪舍猪叫</w:t>
      </w:r>
    </w:p>
    <w:p w14:paraId="2D3B4081">
      <w:pPr>
        <w:spacing w:before="183" w:line="361" w:lineRule="auto"/>
        <w:ind w:left="38" w:right="118" w:firstLine="483"/>
        <w:rPr>
          <w:rFonts w:ascii="宋体" w:hAnsi="宋体" w:eastAsia="宋体" w:cs="宋体"/>
          <w:sz w:val="24"/>
          <w:szCs w:val="24"/>
        </w:rPr>
      </w:pPr>
      <w:r>
        <w:rPr>
          <w:rFonts w:ascii="宋体" w:hAnsi="宋体" w:eastAsia="宋体" w:cs="宋体"/>
          <w:spacing w:val="-3"/>
          <w:sz w:val="24"/>
          <w:szCs w:val="24"/>
        </w:rPr>
        <w:t>为了减少猪只叫声对操作工人及周围环境的影响，各猪舍</w:t>
      </w:r>
      <w:r>
        <w:rPr>
          <w:rFonts w:ascii="宋体" w:hAnsi="宋体" w:eastAsia="宋体" w:cs="宋体"/>
          <w:spacing w:val="-4"/>
          <w:sz w:val="24"/>
          <w:szCs w:val="24"/>
        </w:rPr>
        <w:t>配套有自动给水系</w:t>
      </w:r>
      <w:r>
        <w:rPr>
          <w:rFonts w:ascii="宋体" w:hAnsi="宋体" w:eastAsia="宋体" w:cs="宋体"/>
          <w:spacing w:val="-6"/>
          <w:sz w:val="24"/>
          <w:szCs w:val="24"/>
        </w:rPr>
        <w:t>统，保证满足猪只饮食、饮水需要， 避免因饥饿或口渴而发</w:t>
      </w:r>
      <w:r>
        <w:rPr>
          <w:rFonts w:ascii="宋体" w:hAnsi="宋体" w:eastAsia="宋体" w:cs="宋体"/>
          <w:spacing w:val="-7"/>
          <w:sz w:val="24"/>
          <w:szCs w:val="24"/>
        </w:rPr>
        <w:t>出叫声；减少外界噪</w:t>
      </w:r>
      <w:r>
        <w:rPr>
          <w:rFonts w:ascii="宋体" w:hAnsi="宋体" w:eastAsia="宋体" w:cs="宋体"/>
          <w:spacing w:val="-3"/>
          <w:sz w:val="24"/>
          <w:szCs w:val="24"/>
        </w:rPr>
        <w:t>声等对猪舍的干扰，避免因惊吓而产生不安，使猪只保持安定平和的气氛，以缓</w:t>
      </w:r>
      <w:r>
        <w:rPr>
          <w:rFonts w:ascii="宋体" w:hAnsi="宋体" w:eastAsia="宋体" w:cs="宋体"/>
          <w:spacing w:val="-5"/>
          <w:sz w:val="24"/>
          <w:szCs w:val="24"/>
        </w:rPr>
        <w:t>解猪只的不安情绪。</w:t>
      </w:r>
    </w:p>
    <w:p w14:paraId="3DFE022D">
      <w:pPr>
        <w:spacing w:line="361" w:lineRule="auto"/>
        <w:rPr>
          <w:rFonts w:ascii="宋体" w:hAnsi="宋体" w:eastAsia="宋体" w:cs="宋体"/>
          <w:sz w:val="24"/>
          <w:szCs w:val="24"/>
        </w:rPr>
        <w:sectPr>
          <w:headerReference r:id="rId479" w:type="default"/>
          <w:footerReference r:id="rId480" w:type="default"/>
          <w:pgSz w:w="11905" w:h="16840"/>
          <w:pgMar w:top="1168" w:right="1679" w:bottom="1409" w:left="1770" w:header="828" w:footer="1244" w:gutter="0"/>
          <w:cols w:space="720" w:num="1"/>
        </w:sectPr>
      </w:pPr>
    </w:p>
    <w:p w14:paraId="3B7E1B75">
      <w:pPr>
        <w:pStyle w:val="2"/>
        <w:spacing w:line="306" w:lineRule="auto"/>
      </w:pPr>
    </w:p>
    <w:p w14:paraId="6C9042DA">
      <w:pPr>
        <w:spacing w:before="78" w:line="219" w:lineRule="auto"/>
        <w:ind w:left="525"/>
        <w:rPr>
          <w:rFonts w:ascii="宋体" w:hAnsi="宋体" w:eastAsia="宋体" w:cs="宋体"/>
          <w:sz w:val="24"/>
          <w:szCs w:val="24"/>
        </w:rPr>
      </w:pPr>
      <w:bookmarkStart w:id="48" w:name="bookmark183"/>
      <w:bookmarkEnd w:id="48"/>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）猪舍通风机噪声</w:t>
      </w:r>
    </w:p>
    <w:p w14:paraId="1ED842DA">
      <w:pPr>
        <w:spacing w:before="183" w:line="360" w:lineRule="auto"/>
        <w:ind w:left="39" w:right="186" w:firstLine="480"/>
        <w:rPr>
          <w:rFonts w:ascii="宋体" w:hAnsi="宋体" w:eastAsia="宋体" w:cs="宋体"/>
          <w:sz w:val="24"/>
          <w:szCs w:val="24"/>
        </w:rPr>
      </w:pPr>
      <w:r>
        <w:rPr>
          <w:rFonts w:ascii="宋体" w:hAnsi="宋体" w:eastAsia="宋体" w:cs="宋体"/>
          <w:spacing w:val="-3"/>
          <w:sz w:val="24"/>
          <w:szCs w:val="24"/>
        </w:rPr>
        <w:t>猪舍均设置有通风机，选用高效低噪设备，基座加装减振弹簧等</w:t>
      </w:r>
      <w:r>
        <w:rPr>
          <w:rFonts w:ascii="宋体" w:hAnsi="宋体" w:eastAsia="宋体" w:cs="宋体"/>
          <w:spacing w:val="-4"/>
          <w:sz w:val="24"/>
          <w:szCs w:val="24"/>
        </w:rPr>
        <w:t>降噪、减振</w:t>
      </w:r>
      <w:r>
        <w:rPr>
          <w:rFonts w:ascii="宋体" w:hAnsi="宋体" w:eastAsia="宋体" w:cs="宋体"/>
          <w:spacing w:val="-10"/>
          <w:sz w:val="24"/>
          <w:szCs w:val="24"/>
        </w:rPr>
        <w:t>措施。</w:t>
      </w:r>
    </w:p>
    <w:p w14:paraId="555FB232">
      <w:pPr>
        <w:spacing w:line="219"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）水泵</w:t>
      </w:r>
    </w:p>
    <w:p w14:paraId="3158FB95">
      <w:pPr>
        <w:spacing w:before="182" w:line="360" w:lineRule="auto"/>
        <w:ind w:left="40" w:firstLine="480"/>
        <w:rPr>
          <w:rFonts w:ascii="宋体" w:hAnsi="宋体" w:eastAsia="宋体" w:cs="宋体"/>
          <w:sz w:val="24"/>
          <w:szCs w:val="24"/>
        </w:rPr>
      </w:pPr>
      <w:r>
        <w:rPr>
          <w:rFonts w:ascii="宋体" w:hAnsi="宋体" w:eastAsia="宋体" w:cs="宋体"/>
          <w:spacing w:val="-5"/>
          <w:sz w:val="24"/>
          <w:szCs w:val="24"/>
        </w:rPr>
        <w:t>污水处理站及消纳地需设置水泵对污水进行提升，采取将水泵设置在设备间，</w:t>
      </w:r>
      <w:r>
        <w:rPr>
          <w:rFonts w:ascii="宋体" w:hAnsi="宋体" w:eastAsia="宋体" w:cs="宋体"/>
          <w:spacing w:val="-3"/>
          <w:sz w:val="24"/>
          <w:szCs w:val="24"/>
        </w:rPr>
        <w:t>同时加装减振器，进水管道设可曲挠管道橡胶伸缩接头以减小水锤冲击和水泵震动产生的噪声，连接水泵进出口的水管、进出隔墙处与运转设备连接的管道均采</w:t>
      </w:r>
      <w:r>
        <w:rPr>
          <w:rFonts w:ascii="宋体" w:hAnsi="宋体" w:eastAsia="宋体" w:cs="宋体"/>
          <w:spacing w:val="-7"/>
          <w:sz w:val="24"/>
          <w:szCs w:val="24"/>
        </w:rPr>
        <w:t>用减震吊架。</w:t>
      </w:r>
    </w:p>
    <w:p w14:paraId="25DCDE17">
      <w:pPr>
        <w:spacing w:before="1" w:line="218"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）发电机噪声</w:t>
      </w:r>
    </w:p>
    <w:p w14:paraId="2F8B77F1">
      <w:pPr>
        <w:spacing w:before="183" w:line="360" w:lineRule="auto"/>
        <w:ind w:left="53" w:right="101" w:firstLine="469"/>
        <w:rPr>
          <w:rFonts w:ascii="宋体" w:hAnsi="宋体" w:eastAsia="宋体" w:cs="宋体"/>
          <w:sz w:val="24"/>
          <w:szCs w:val="24"/>
        </w:rPr>
      </w:pPr>
      <w:r>
        <w:rPr>
          <w:rFonts w:ascii="宋体" w:hAnsi="宋体" w:eastAsia="宋体" w:cs="宋体"/>
          <w:spacing w:val="-8"/>
          <w:sz w:val="24"/>
          <w:szCs w:val="24"/>
        </w:rPr>
        <w:t>发电机噪声属于瞬时声源，且在停电等应急情况下才会启动，启动时间较短。</w:t>
      </w:r>
      <w:r>
        <w:rPr>
          <w:rFonts w:ascii="宋体" w:hAnsi="宋体" w:eastAsia="宋体" w:cs="宋体"/>
          <w:spacing w:val="-3"/>
          <w:sz w:val="24"/>
          <w:szCs w:val="24"/>
        </w:rPr>
        <w:t>同时对发电机采用先进的低噪声设备，且将发电</w:t>
      </w:r>
      <w:r>
        <w:rPr>
          <w:rFonts w:ascii="宋体" w:hAnsi="宋体" w:eastAsia="宋体" w:cs="宋体"/>
          <w:spacing w:val="-4"/>
          <w:sz w:val="24"/>
          <w:szCs w:val="24"/>
        </w:rPr>
        <w:t>机放置在发电机房内，可有效的</w:t>
      </w:r>
      <w:r>
        <w:rPr>
          <w:rFonts w:ascii="宋体" w:hAnsi="宋体" w:eastAsia="宋体" w:cs="宋体"/>
          <w:spacing w:val="-10"/>
          <w:sz w:val="24"/>
          <w:szCs w:val="24"/>
        </w:rPr>
        <w:t>隔声减振。</w:t>
      </w:r>
    </w:p>
    <w:p w14:paraId="0A59E48B">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）其它措施</w:t>
      </w:r>
    </w:p>
    <w:p w14:paraId="0BF63520">
      <w:pPr>
        <w:spacing w:before="182" w:line="360" w:lineRule="auto"/>
        <w:ind w:left="38" w:right="186" w:firstLine="480"/>
        <w:rPr>
          <w:rFonts w:ascii="宋体" w:hAnsi="宋体" w:eastAsia="宋体" w:cs="宋体"/>
          <w:sz w:val="24"/>
          <w:szCs w:val="24"/>
        </w:rPr>
      </w:pPr>
      <w:r>
        <w:rPr>
          <w:rFonts w:ascii="宋体" w:hAnsi="宋体" w:eastAsia="宋体" w:cs="宋体"/>
          <w:spacing w:val="-7"/>
          <w:sz w:val="24"/>
          <w:szCs w:val="24"/>
        </w:rPr>
        <w:t>场内对车辆采取限速、禁鸣的要求， 可以有效降低车辆运输带来的噪声；运</w:t>
      </w:r>
      <w:r>
        <w:rPr>
          <w:rFonts w:ascii="宋体" w:hAnsi="宋体" w:eastAsia="宋体" w:cs="宋体"/>
          <w:spacing w:val="-3"/>
          <w:sz w:val="24"/>
          <w:szCs w:val="24"/>
        </w:rPr>
        <w:t>输车辆沿途必须按规范操作，尽量少鸣笛，以免对周围村民生活造成影响或因鸣笛使猪只受到惊吓而鸣叫，从而造成扰民。</w:t>
      </w:r>
    </w:p>
    <w:p w14:paraId="0F57508E">
      <w:pPr>
        <w:spacing w:before="1" w:line="218" w:lineRule="auto"/>
        <w:ind w:left="546"/>
        <w:rPr>
          <w:rFonts w:ascii="宋体" w:hAnsi="宋体" w:eastAsia="宋体" w:cs="宋体"/>
          <w:sz w:val="24"/>
          <w:szCs w:val="24"/>
        </w:rPr>
      </w:pPr>
      <w:r>
        <w:rPr>
          <w:rFonts w:ascii="宋体" w:hAnsi="宋体" w:eastAsia="宋体" w:cs="宋体"/>
          <w:spacing w:val="-3"/>
          <w:sz w:val="24"/>
          <w:szCs w:val="24"/>
        </w:rPr>
        <w:t>以上措施简单易行，在规模化养猪场中实施有效，经济技术可行。</w:t>
      </w:r>
    </w:p>
    <w:p w14:paraId="15B74BB1">
      <w:pPr>
        <w:pStyle w:val="2"/>
        <w:spacing w:line="252" w:lineRule="auto"/>
      </w:pPr>
    </w:p>
    <w:p w14:paraId="42CF6000">
      <w:pPr>
        <w:spacing w:before="98" w:line="220" w:lineRule="auto"/>
        <w:ind w:left="40"/>
        <w:rPr>
          <w:rFonts w:ascii="宋体" w:hAnsi="宋体" w:eastAsia="宋体" w:cs="宋体"/>
          <w:sz w:val="30"/>
          <w:szCs w:val="30"/>
        </w:rPr>
      </w:pPr>
      <w:r>
        <w:rPr>
          <w:rFonts w:ascii="Times New Roman" w:hAnsi="Times New Roman" w:eastAsia="Times New Roman" w:cs="Times New Roman"/>
          <w:b/>
          <w:bCs/>
          <w:spacing w:val="-5"/>
          <w:sz w:val="30"/>
          <w:szCs w:val="30"/>
        </w:rPr>
        <w:t>5.2.5</w:t>
      </w:r>
      <w:r>
        <w:rPr>
          <w:rFonts w:ascii="Times New Roman" w:hAnsi="Times New Roman" w:eastAsia="Times New Roman" w:cs="Times New Roman"/>
          <w:b/>
          <w:bCs/>
          <w:spacing w:val="20"/>
          <w:sz w:val="30"/>
          <w:szCs w:val="30"/>
        </w:rPr>
        <w:t xml:space="preserve">  </w:t>
      </w:r>
      <w:r>
        <w:rPr>
          <w:rFonts w:ascii="宋体" w:hAnsi="宋体" w:eastAsia="宋体" w:cs="宋体"/>
          <w:b/>
          <w:bCs/>
          <w:spacing w:val="-5"/>
          <w:sz w:val="30"/>
          <w:szCs w:val="30"/>
        </w:rPr>
        <w:t>固体废物处理措施</w:t>
      </w:r>
    </w:p>
    <w:p w14:paraId="1244C0E0">
      <w:pPr>
        <w:pStyle w:val="2"/>
        <w:spacing w:line="305" w:lineRule="auto"/>
      </w:pPr>
    </w:p>
    <w:p w14:paraId="07A176C0">
      <w:pPr>
        <w:spacing w:before="89" w:line="227" w:lineRule="auto"/>
        <w:ind w:left="39"/>
        <w:rPr>
          <w:rFonts w:ascii="宋体" w:hAnsi="宋体" w:eastAsia="宋体" w:cs="宋体"/>
          <w:sz w:val="27"/>
          <w:szCs w:val="27"/>
        </w:rPr>
      </w:pPr>
      <w:r>
        <w:rPr>
          <w:rFonts w:ascii="Times New Roman" w:hAnsi="Times New Roman" w:eastAsia="Times New Roman" w:cs="Times New Roman"/>
          <w:b/>
          <w:bCs/>
          <w:spacing w:val="4"/>
          <w:sz w:val="27"/>
          <w:szCs w:val="27"/>
        </w:rPr>
        <w:t xml:space="preserve">5.2.5.1 </w:t>
      </w:r>
      <w:r>
        <w:rPr>
          <w:rFonts w:ascii="宋体" w:hAnsi="宋体" w:eastAsia="宋体" w:cs="宋体"/>
          <w:b/>
          <w:bCs/>
          <w:spacing w:val="4"/>
          <w:sz w:val="27"/>
          <w:szCs w:val="27"/>
        </w:rPr>
        <w:t>一般固体废物</w:t>
      </w:r>
    </w:p>
    <w:p w14:paraId="764C8997">
      <w:pPr>
        <w:spacing w:before="235" w:line="360" w:lineRule="auto"/>
        <w:ind w:left="40" w:right="196"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）对一般固体废物实行从产生、收集、运输、贮存直至最终处理实行全</w:t>
      </w:r>
      <w:r>
        <w:rPr>
          <w:rFonts w:ascii="宋体" w:hAnsi="宋体" w:eastAsia="宋体" w:cs="宋体"/>
          <w:spacing w:val="-2"/>
          <w:sz w:val="24"/>
          <w:szCs w:val="24"/>
        </w:rPr>
        <w:t>过程管理，加强固体废物运输过程的事故风险防范。</w:t>
      </w:r>
    </w:p>
    <w:p w14:paraId="3C5CED4F">
      <w:pPr>
        <w:spacing w:before="2" w:line="359" w:lineRule="auto"/>
        <w:ind w:left="46" w:right="185" w:firstLine="47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）加强固体废物规范化管理，固体废物分类定点堆放，堆放场所远离办</w:t>
      </w:r>
      <w:r>
        <w:rPr>
          <w:rFonts w:ascii="宋体" w:hAnsi="宋体" w:eastAsia="宋体" w:cs="宋体"/>
          <w:spacing w:val="-9"/>
          <w:sz w:val="24"/>
          <w:szCs w:val="24"/>
        </w:rPr>
        <w:t>公生活区。</w:t>
      </w:r>
    </w:p>
    <w:p w14:paraId="7F79D543">
      <w:pPr>
        <w:spacing w:before="1"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）生活垃圾及时清运，避免产生二次污染。</w:t>
      </w:r>
    </w:p>
    <w:p w14:paraId="6A8395BB">
      <w:pPr>
        <w:spacing w:before="183" w:line="360" w:lineRule="auto"/>
        <w:ind w:left="41" w:right="18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）本项目猪粪、沼渣及污泥经脱水处理后交四川正威实业有限公司进行</w:t>
      </w:r>
      <w:r>
        <w:rPr>
          <w:rFonts w:ascii="宋体" w:hAnsi="宋体" w:eastAsia="宋体" w:cs="宋体"/>
          <w:spacing w:val="-4"/>
          <w:sz w:val="24"/>
          <w:szCs w:val="24"/>
        </w:rPr>
        <w:t>生产商品有机肥，可行性分析如下：</w:t>
      </w:r>
    </w:p>
    <w:p w14:paraId="428533A4">
      <w:pPr>
        <w:spacing w:line="217" w:lineRule="auto"/>
        <w:ind w:left="520"/>
        <w:rPr>
          <w:rFonts w:ascii="宋体" w:hAnsi="宋体" w:eastAsia="宋体" w:cs="宋体"/>
          <w:sz w:val="24"/>
          <w:szCs w:val="24"/>
        </w:rPr>
      </w:pPr>
      <w:r>
        <w:rPr>
          <w:rFonts w:ascii="宋体" w:hAnsi="宋体" w:eastAsia="宋体" w:cs="宋体"/>
          <w:b/>
          <w:bCs/>
          <w:spacing w:val="-3"/>
          <w:sz w:val="24"/>
          <w:szCs w:val="24"/>
        </w:rPr>
        <w:t>①猪粪预处理可行性分析</w:t>
      </w:r>
    </w:p>
    <w:p w14:paraId="7A1B2661">
      <w:pPr>
        <w:spacing w:before="185" w:line="220" w:lineRule="auto"/>
        <w:ind w:left="519"/>
        <w:rPr>
          <w:rFonts w:ascii="宋体" w:hAnsi="宋体" w:eastAsia="宋体" w:cs="宋体"/>
          <w:sz w:val="24"/>
          <w:szCs w:val="24"/>
        </w:rPr>
      </w:pPr>
      <w:r>
        <w:rPr>
          <w:rFonts w:ascii="宋体" w:hAnsi="宋体" w:eastAsia="宋体" w:cs="宋体"/>
          <w:spacing w:val="-3"/>
          <w:sz w:val="24"/>
          <w:szCs w:val="24"/>
        </w:rPr>
        <w:t>根据建设单位与四川正威实业有限公司签订的畜禽养殖场粪污消纳协议，建</w:t>
      </w:r>
    </w:p>
    <w:p w14:paraId="19C18C2D">
      <w:pPr>
        <w:spacing w:line="220" w:lineRule="auto"/>
        <w:rPr>
          <w:rFonts w:ascii="宋体" w:hAnsi="宋体" w:eastAsia="宋体" w:cs="宋体"/>
          <w:sz w:val="24"/>
          <w:szCs w:val="24"/>
        </w:rPr>
        <w:sectPr>
          <w:headerReference r:id="rId481" w:type="default"/>
          <w:footerReference r:id="rId482" w:type="default"/>
          <w:pgSz w:w="11905" w:h="16840"/>
          <w:pgMar w:top="1168" w:right="1611" w:bottom="1409" w:left="1770" w:header="828" w:footer="1244" w:gutter="0"/>
          <w:cols w:space="720" w:num="1"/>
        </w:sectPr>
      </w:pPr>
    </w:p>
    <w:p w14:paraId="4D81D1A8">
      <w:pPr>
        <w:pStyle w:val="2"/>
        <w:spacing w:line="306" w:lineRule="auto"/>
      </w:pPr>
    </w:p>
    <w:p w14:paraId="1FF73BAC">
      <w:pPr>
        <w:spacing w:before="78" w:line="360" w:lineRule="auto"/>
        <w:ind w:left="39" w:right="205" w:firstLine="3"/>
        <w:jc w:val="both"/>
        <w:rPr>
          <w:rFonts w:ascii="宋体" w:hAnsi="宋体" w:eastAsia="宋体" w:cs="宋体"/>
          <w:sz w:val="24"/>
          <w:szCs w:val="24"/>
        </w:rPr>
      </w:pPr>
      <w:r>
        <w:rPr>
          <w:rFonts w:ascii="宋体" w:hAnsi="宋体" w:eastAsia="宋体" w:cs="宋体"/>
          <w:spacing w:val="-2"/>
          <w:sz w:val="24"/>
          <w:szCs w:val="24"/>
        </w:rPr>
        <w:t>设单位需通过挤压设备干湿分离翻堆处理后，水分需在</w:t>
      </w:r>
      <w:r>
        <w:rPr>
          <w:rFonts w:ascii="Times New Roman" w:hAnsi="Times New Roman" w:eastAsia="Times New Roman" w:cs="Times New Roman"/>
          <w:spacing w:val="-2"/>
          <w:sz w:val="24"/>
          <w:szCs w:val="24"/>
        </w:rPr>
        <w:t>60%</w:t>
      </w:r>
      <w:r>
        <w:rPr>
          <w:rFonts w:ascii="宋体" w:hAnsi="宋体" w:eastAsia="宋体" w:cs="宋体"/>
          <w:spacing w:val="-2"/>
          <w:sz w:val="24"/>
          <w:szCs w:val="24"/>
        </w:rPr>
        <w:t>以下。本项目新鲜猪</w:t>
      </w:r>
      <w:r>
        <w:rPr>
          <w:rFonts w:ascii="宋体" w:hAnsi="宋体" w:eastAsia="宋体" w:cs="宋体"/>
          <w:spacing w:val="-1"/>
          <w:sz w:val="24"/>
          <w:szCs w:val="24"/>
        </w:rPr>
        <w:t>粪含水率约</w:t>
      </w:r>
      <w:r>
        <w:rPr>
          <w:rFonts w:ascii="Times New Roman" w:hAnsi="Times New Roman" w:eastAsia="Times New Roman" w:cs="Times New Roman"/>
          <w:spacing w:val="-1"/>
          <w:sz w:val="24"/>
          <w:szCs w:val="24"/>
        </w:rPr>
        <w:t>80%</w:t>
      </w:r>
      <w:r>
        <w:rPr>
          <w:rFonts w:ascii="宋体" w:hAnsi="宋体" w:eastAsia="宋体" w:cs="宋体"/>
          <w:spacing w:val="-1"/>
          <w:sz w:val="24"/>
          <w:szCs w:val="24"/>
        </w:rPr>
        <w:t>左右，粪便经固液分离机处理后，含水率降至</w:t>
      </w:r>
      <w:r>
        <w:rPr>
          <w:rFonts w:ascii="Times New Roman" w:hAnsi="Times New Roman" w:eastAsia="Times New Roman" w:cs="Times New Roman"/>
          <w:spacing w:val="-1"/>
          <w:sz w:val="24"/>
          <w:szCs w:val="24"/>
        </w:rPr>
        <w:t>60%</w:t>
      </w:r>
      <w:r>
        <w:rPr>
          <w:rFonts w:ascii="宋体" w:hAnsi="宋体" w:eastAsia="宋体" w:cs="宋体"/>
          <w:spacing w:val="-1"/>
          <w:sz w:val="24"/>
          <w:szCs w:val="24"/>
        </w:rPr>
        <w:t>，能够满足四</w:t>
      </w:r>
      <w:r>
        <w:rPr>
          <w:rFonts w:ascii="宋体" w:hAnsi="宋体" w:eastAsia="宋体" w:cs="宋体"/>
          <w:spacing w:val="-3"/>
          <w:sz w:val="24"/>
          <w:szCs w:val="24"/>
        </w:rPr>
        <w:t>川正威实业有限公司对接收粪污含水率要求。预处理后的粪便通过专用车辆密闭运输，防止运输过程中的跑冒滴漏。</w:t>
      </w:r>
    </w:p>
    <w:p w14:paraId="43980D47">
      <w:pPr>
        <w:spacing w:line="217" w:lineRule="auto"/>
        <w:ind w:left="519"/>
        <w:rPr>
          <w:rFonts w:ascii="宋体" w:hAnsi="宋体" w:eastAsia="宋体" w:cs="宋体"/>
          <w:sz w:val="24"/>
          <w:szCs w:val="24"/>
        </w:rPr>
      </w:pPr>
      <w:r>
        <w:rPr>
          <w:rFonts w:ascii="宋体" w:hAnsi="宋体" w:eastAsia="宋体" w:cs="宋体"/>
          <w:b/>
          <w:bCs/>
          <w:spacing w:val="-3"/>
          <w:sz w:val="24"/>
          <w:szCs w:val="24"/>
        </w:rPr>
        <w:t>②猪粪外运处置可行性分析</w:t>
      </w:r>
    </w:p>
    <w:p w14:paraId="3418E0AC">
      <w:pPr>
        <w:spacing w:before="185" w:line="219" w:lineRule="auto"/>
        <w:jc w:val="right"/>
        <w:rPr>
          <w:rFonts w:ascii="宋体" w:hAnsi="宋体" w:eastAsia="宋体" w:cs="宋体"/>
          <w:sz w:val="24"/>
          <w:szCs w:val="24"/>
        </w:rPr>
      </w:pPr>
      <w:r>
        <w:rPr>
          <w:rFonts w:ascii="宋体" w:hAnsi="宋体" w:eastAsia="宋体" w:cs="宋体"/>
          <w:spacing w:val="-4"/>
          <w:sz w:val="24"/>
          <w:szCs w:val="24"/>
        </w:rPr>
        <w:t>经固液分离平台预处理脱水后，猪粪等交四川正威实业有限公司生</w:t>
      </w:r>
      <w:r>
        <w:rPr>
          <w:rFonts w:ascii="宋体" w:hAnsi="宋体" w:eastAsia="宋体" w:cs="宋体"/>
          <w:spacing w:val="-5"/>
          <w:sz w:val="24"/>
          <w:szCs w:val="24"/>
        </w:rPr>
        <w:t>产有机肥。</w:t>
      </w:r>
    </w:p>
    <w:p w14:paraId="1DEF8C3A">
      <w:pPr>
        <w:spacing w:before="188" w:line="352" w:lineRule="auto"/>
        <w:ind w:left="35" w:right="138" w:firstLine="506"/>
        <w:rPr>
          <w:rFonts w:ascii="宋体" w:hAnsi="宋体" w:eastAsia="宋体" w:cs="宋体"/>
          <w:sz w:val="24"/>
          <w:szCs w:val="24"/>
        </w:rPr>
      </w:pPr>
      <w:r>
        <w:rPr>
          <w:rFonts w:ascii="宋体" w:hAnsi="宋体" w:eastAsia="宋体" w:cs="宋体"/>
          <w:spacing w:val="-4"/>
          <w:sz w:val="24"/>
          <w:szCs w:val="24"/>
        </w:rPr>
        <w:t>四川正威实业有限公司包括老厂和新厂，老厂主要生产化肥及有机肥，新厂</w:t>
      </w:r>
      <w:r>
        <w:rPr>
          <w:rFonts w:ascii="宋体" w:hAnsi="宋体" w:eastAsia="宋体" w:cs="宋体"/>
          <w:spacing w:val="-3"/>
          <w:sz w:val="24"/>
          <w:szCs w:val="24"/>
        </w:rPr>
        <w:t>生产有机肥，老厂已经投运多年。根据威远县秸秆及禽畜粪便收集处理中心项目</w:t>
      </w:r>
      <w:r>
        <w:rPr>
          <w:rFonts w:ascii="宋体" w:hAnsi="宋体" w:eastAsia="宋体" w:cs="宋体"/>
          <w:sz w:val="24"/>
          <w:szCs w:val="24"/>
        </w:rPr>
        <w:t>环评及竣工环保验收资料（</w:t>
      </w:r>
      <w:r>
        <w:rPr>
          <w:rFonts w:ascii="宋体" w:hAnsi="宋体" w:eastAsia="宋体" w:cs="宋体"/>
          <w:b/>
          <w:bCs/>
          <w:sz w:val="24"/>
          <w:szCs w:val="24"/>
        </w:rPr>
        <w:t>即新厂建设内容</w:t>
      </w:r>
      <w:r>
        <w:rPr>
          <w:rFonts w:ascii="宋体" w:hAnsi="宋体" w:eastAsia="宋体" w:cs="宋体"/>
          <w:sz w:val="24"/>
          <w:szCs w:val="24"/>
        </w:rPr>
        <w:t>），新厂建设有机肥生产线</w:t>
      </w:r>
      <w:r>
        <w:rPr>
          <w:rFonts w:ascii="Times New Roman" w:hAnsi="Times New Roman" w:eastAsia="Times New Roman" w:cs="Times New Roman"/>
          <w:sz w:val="24"/>
          <w:szCs w:val="24"/>
        </w:rPr>
        <w:t>1</w:t>
      </w:r>
      <w:r>
        <w:rPr>
          <w:rFonts w:ascii="宋体" w:hAnsi="宋体" w:eastAsia="宋体" w:cs="宋体"/>
          <w:sz w:val="24"/>
          <w:szCs w:val="24"/>
        </w:rPr>
        <w:t>条，年</w:t>
      </w:r>
      <w:r>
        <w:rPr>
          <w:rFonts w:ascii="宋体" w:hAnsi="宋体" w:eastAsia="宋体" w:cs="宋体"/>
          <w:spacing w:val="-1"/>
          <w:sz w:val="24"/>
          <w:szCs w:val="24"/>
        </w:rPr>
        <w:t>处理畜禽粪便</w:t>
      </w:r>
      <w:r>
        <w:rPr>
          <w:rFonts w:ascii="Times New Roman" w:hAnsi="Times New Roman" w:eastAsia="Times New Roman" w:cs="Times New Roman"/>
          <w:spacing w:val="-1"/>
          <w:sz w:val="24"/>
          <w:szCs w:val="24"/>
        </w:rPr>
        <w:t>35000t</w:t>
      </w:r>
      <w:r>
        <w:rPr>
          <w:rFonts w:ascii="宋体" w:hAnsi="宋体" w:eastAsia="宋体" w:cs="宋体"/>
          <w:spacing w:val="-1"/>
          <w:sz w:val="24"/>
          <w:szCs w:val="24"/>
        </w:rPr>
        <w:t>、秸秆</w:t>
      </w:r>
      <w:r>
        <w:rPr>
          <w:rFonts w:ascii="Times New Roman" w:hAnsi="Times New Roman" w:eastAsia="Times New Roman" w:cs="Times New Roman"/>
          <w:spacing w:val="-1"/>
          <w:sz w:val="24"/>
          <w:szCs w:val="24"/>
        </w:rPr>
        <w:t>15000t</w:t>
      </w:r>
      <w:r>
        <w:rPr>
          <w:rFonts w:ascii="宋体" w:hAnsi="宋体" w:eastAsia="宋体" w:cs="宋体"/>
          <w:spacing w:val="-1"/>
          <w:sz w:val="24"/>
          <w:szCs w:val="24"/>
        </w:rPr>
        <w:t>、菜枯</w:t>
      </w:r>
      <w:r>
        <w:rPr>
          <w:rFonts w:ascii="Times New Roman" w:hAnsi="Times New Roman" w:eastAsia="Times New Roman" w:cs="Times New Roman"/>
          <w:spacing w:val="-1"/>
          <w:sz w:val="24"/>
          <w:szCs w:val="24"/>
        </w:rPr>
        <w:t>15000t</w:t>
      </w:r>
      <w:r>
        <w:rPr>
          <w:rFonts w:ascii="宋体" w:hAnsi="宋体" w:eastAsia="宋体" w:cs="宋体"/>
          <w:spacing w:val="-1"/>
          <w:sz w:val="24"/>
          <w:szCs w:val="24"/>
        </w:rPr>
        <w:t>，实现年</w:t>
      </w:r>
      <w:r>
        <w:rPr>
          <w:rFonts w:ascii="宋体" w:hAnsi="宋体" w:eastAsia="宋体" w:cs="宋体"/>
          <w:spacing w:val="-2"/>
          <w:sz w:val="24"/>
          <w:szCs w:val="24"/>
        </w:rPr>
        <w:t>产</w:t>
      </w:r>
      <w:r>
        <w:rPr>
          <w:rFonts w:ascii="Times New Roman" w:hAnsi="Times New Roman" w:eastAsia="Times New Roman" w:cs="Times New Roman"/>
          <w:spacing w:val="-2"/>
          <w:sz w:val="24"/>
          <w:szCs w:val="24"/>
        </w:rPr>
        <w:t>5</w:t>
      </w:r>
      <w:r>
        <w:rPr>
          <w:rFonts w:ascii="宋体" w:hAnsi="宋体" w:eastAsia="宋体" w:cs="宋体"/>
          <w:spacing w:val="-2"/>
          <w:sz w:val="24"/>
          <w:szCs w:val="24"/>
        </w:rPr>
        <w:t>万</w:t>
      </w:r>
      <w:r>
        <w:rPr>
          <w:rFonts w:ascii="Times New Roman" w:hAnsi="Times New Roman" w:eastAsia="Times New Roman" w:cs="Times New Roman"/>
          <w:spacing w:val="-2"/>
          <w:sz w:val="24"/>
          <w:szCs w:val="24"/>
        </w:rPr>
        <w:t>t/a</w:t>
      </w:r>
      <w:r>
        <w:rPr>
          <w:rFonts w:ascii="宋体" w:hAnsi="宋体" w:eastAsia="宋体" w:cs="宋体"/>
          <w:spacing w:val="-2"/>
          <w:sz w:val="24"/>
          <w:szCs w:val="24"/>
        </w:rPr>
        <w:t>有机肥，新厂于</w:t>
      </w:r>
      <w:r>
        <w:rPr>
          <w:rFonts w:ascii="Times New Roman" w:hAnsi="Times New Roman" w:eastAsia="Times New Roman" w:cs="Times New Roman"/>
          <w:spacing w:val="2"/>
          <w:sz w:val="24"/>
          <w:szCs w:val="24"/>
        </w:rPr>
        <w:t>2019</w:t>
      </w:r>
      <w:r>
        <w:rPr>
          <w:rFonts w:ascii="宋体" w:hAnsi="宋体" w:eastAsia="宋体" w:cs="宋体"/>
          <w:spacing w:val="2"/>
          <w:sz w:val="24"/>
          <w:szCs w:val="24"/>
        </w:rPr>
        <w:t>年</w:t>
      </w:r>
      <w:r>
        <w:rPr>
          <w:rFonts w:ascii="Times New Roman" w:hAnsi="Times New Roman" w:eastAsia="Times New Roman" w:cs="Times New Roman"/>
          <w:spacing w:val="2"/>
          <w:sz w:val="24"/>
          <w:szCs w:val="24"/>
        </w:rPr>
        <w:t>4</w:t>
      </w:r>
      <w:r>
        <w:rPr>
          <w:rFonts w:ascii="宋体" w:hAnsi="宋体" w:eastAsia="宋体" w:cs="宋体"/>
          <w:spacing w:val="2"/>
          <w:sz w:val="24"/>
          <w:szCs w:val="24"/>
        </w:rPr>
        <w:t>月</w:t>
      </w:r>
      <w:r>
        <w:rPr>
          <w:rFonts w:ascii="Times New Roman" w:hAnsi="Times New Roman" w:eastAsia="Times New Roman" w:cs="Times New Roman"/>
          <w:spacing w:val="2"/>
          <w:sz w:val="24"/>
          <w:szCs w:val="24"/>
        </w:rPr>
        <w:t>25</w:t>
      </w:r>
      <w:r>
        <w:rPr>
          <w:rFonts w:ascii="宋体" w:hAnsi="宋体" w:eastAsia="宋体" w:cs="宋体"/>
          <w:spacing w:val="2"/>
          <w:sz w:val="24"/>
          <w:szCs w:val="24"/>
        </w:rPr>
        <w:t>日取得环评批复（威环审批</w:t>
      </w:r>
      <w:r>
        <w:rPr>
          <w:rFonts w:ascii="Times New Roman" w:hAnsi="Times New Roman" w:eastAsia="Times New Roman" w:cs="Times New Roman"/>
          <w:spacing w:val="2"/>
          <w:sz w:val="24"/>
          <w:szCs w:val="24"/>
        </w:rPr>
        <w:t>[</w:t>
      </w:r>
      <w:r>
        <w:fldChar w:fldCharType="begin"/>
      </w:r>
      <w:r>
        <w:instrText xml:space="preserve"> HYPERLINK \l "bookmark184" </w:instrText>
      </w:r>
      <w:r>
        <w:fldChar w:fldCharType="separate"/>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]33</w:t>
      </w:r>
      <w:r>
        <w:rPr>
          <w:rFonts w:ascii="宋体" w:hAnsi="宋体" w:eastAsia="宋体" w:cs="宋体"/>
          <w:spacing w:val="2"/>
          <w:sz w:val="24"/>
          <w:szCs w:val="24"/>
        </w:rPr>
        <w:t>号文</w:t>
      </w:r>
      <w:r>
        <w:rPr>
          <w:rFonts w:ascii="宋体" w:hAnsi="宋体" w:eastAsia="宋体" w:cs="宋体"/>
          <w:spacing w:val="12"/>
          <w:sz w:val="24"/>
          <w:szCs w:val="24"/>
        </w:rPr>
        <w:t>），</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12</w:t>
      </w:r>
      <w:r>
        <w:rPr>
          <w:rFonts w:ascii="宋体" w:hAnsi="宋体" w:eastAsia="宋体" w:cs="宋体"/>
          <w:spacing w:val="1"/>
          <w:sz w:val="24"/>
          <w:szCs w:val="24"/>
        </w:rPr>
        <w:t>月申领排污</w:t>
      </w:r>
      <w:r>
        <w:rPr>
          <w:rFonts w:ascii="宋体" w:hAnsi="宋体" w:eastAsia="宋体" w:cs="宋体"/>
          <w:spacing w:val="-2"/>
          <w:sz w:val="24"/>
          <w:szCs w:val="24"/>
        </w:rPr>
        <w:t>许可证，</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w:t>
      </w:r>
      <w:r>
        <w:rPr>
          <w:rFonts w:ascii="宋体" w:hAnsi="宋体" w:eastAsia="宋体" w:cs="宋体"/>
          <w:spacing w:val="-2"/>
          <w:sz w:val="24"/>
          <w:szCs w:val="24"/>
        </w:rPr>
        <w:t>月建设完成，</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年</w:t>
      </w:r>
      <w:r>
        <w:rPr>
          <w:rFonts w:ascii="Times New Roman" w:hAnsi="Times New Roman" w:eastAsia="Times New Roman" w:cs="Times New Roman"/>
          <w:spacing w:val="-2"/>
          <w:sz w:val="24"/>
          <w:szCs w:val="24"/>
        </w:rPr>
        <w:t>4</w:t>
      </w:r>
      <w:r>
        <w:rPr>
          <w:rFonts w:ascii="宋体" w:hAnsi="宋体" w:eastAsia="宋体" w:cs="宋体"/>
          <w:spacing w:val="-2"/>
          <w:sz w:val="24"/>
          <w:szCs w:val="24"/>
        </w:rPr>
        <w:t>月</w:t>
      </w:r>
      <w:r>
        <w:rPr>
          <w:rFonts w:ascii="Times New Roman" w:hAnsi="Times New Roman" w:eastAsia="Times New Roman" w:cs="Times New Roman"/>
          <w:spacing w:val="-3"/>
          <w:sz w:val="24"/>
          <w:szCs w:val="24"/>
        </w:rPr>
        <w:t>13</w:t>
      </w:r>
      <w:r>
        <w:rPr>
          <w:rFonts w:ascii="宋体" w:hAnsi="宋体" w:eastAsia="宋体" w:cs="宋体"/>
          <w:spacing w:val="-3"/>
          <w:sz w:val="24"/>
          <w:szCs w:val="24"/>
        </w:rPr>
        <w:t>日通过竣工环境保护验收。四川正威实业有限公司目前以老厂生产为主，新厂目前实际接收处理畜禽粪便不足</w:t>
      </w:r>
      <w:r>
        <w:rPr>
          <w:rFonts w:ascii="Times New Roman" w:hAnsi="Times New Roman" w:eastAsia="Times New Roman" w:cs="Times New Roman"/>
          <w:spacing w:val="-3"/>
          <w:sz w:val="24"/>
          <w:szCs w:val="24"/>
        </w:rPr>
        <w:t>2000t</w:t>
      </w:r>
      <w:r>
        <w:rPr>
          <w:rFonts w:ascii="宋体" w:hAnsi="宋体" w:eastAsia="宋体" w:cs="宋体"/>
          <w:spacing w:val="-3"/>
          <w:sz w:val="24"/>
          <w:szCs w:val="24"/>
        </w:rPr>
        <w:t>，</w:t>
      </w:r>
      <w:r>
        <w:rPr>
          <w:rFonts w:ascii="宋体" w:hAnsi="宋体" w:eastAsia="宋体" w:cs="宋体"/>
          <w:spacing w:val="-1"/>
          <w:sz w:val="24"/>
          <w:szCs w:val="24"/>
        </w:rPr>
        <w:t>本项目经干湿分离后的粪渣量为</w:t>
      </w:r>
      <w:r>
        <w:rPr>
          <w:rFonts w:ascii="Times New Roman" w:hAnsi="Times New Roman" w:eastAsia="Times New Roman" w:cs="Times New Roman"/>
          <w:spacing w:val="-1"/>
          <w:sz w:val="24"/>
          <w:szCs w:val="24"/>
        </w:rPr>
        <w:t>11953t</w:t>
      </w:r>
      <w:r>
        <w:rPr>
          <w:rFonts w:ascii="宋体" w:hAnsi="宋体" w:eastAsia="宋体" w:cs="宋体"/>
          <w:spacing w:val="-1"/>
          <w:sz w:val="24"/>
          <w:szCs w:val="24"/>
        </w:rPr>
        <w:t>（含水率</w:t>
      </w:r>
      <w:r>
        <w:rPr>
          <w:rFonts w:ascii="Times New Roman" w:hAnsi="Times New Roman" w:eastAsia="Times New Roman" w:cs="Times New Roman"/>
          <w:spacing w:val="-1"/>
          <w:sz w:val="24"/>
          <w:szCs w:val="24"/>
        </w:rPr>
        <w:t>60%</w:t>
      </w:r>
      <w:r>
        <w:rPr>
          <w:rFonts w:ascii="宋体" w:hAnsi="宋体" w:eastAsia="宋体" w:cs="宋体"/>
          <w:spacing w:val="7"/>
          <w:sz w:val="24"/>
          <w:szCs w:val="24"/>
        </w:rPr>
        <w:t>），</w:t>
      </w:r>
      <w:r>
        <w:rPr>
          <w:rFonts w:ascii="宋体" w:hAnsi="宋体" w:eastAsia="宋体" w:cs="宋体"/>
          <w:spacing w:val="-1"/>
          <w:sz w:val="24"/>
          <w:szCs w:val="24"/>
        </w:rPr>
        <w:t>占四川正威实业有限公</w:t>
      </w:r>
      <w:r>
        <w:rPr>
          <w:rFonts w:ascii="宋体" w:hAnsi="宋体" w:eastAsia="宋体" w:cs="宋体"/>
          <w:spacing w:val="-2"/>
          <w:sz w:val="24"/>
          <w:szCs w:val="24"/>
        </w:rPr>
        <w:t>司新厂剩余规模的</w:t>
      </w:r>
      <w:r>
        <w:rPr>
          <w:rFonts w:ascii="Times New Roman" w:hAnsi="Times New Roman" w:eastAsia="Times New Roman" w:cs="Times New Roman"/>
          <w:spacing w:val="-2"/>
          <w:sz w:val="24"/>
          <w:szCs w:val="24"/>
        </w:rPr>
        <w:t>36%</w:t>
      </w:r>
      <w:r>
        <w:rPr>
          <w:rFonts w:ascii="宋体" w:hAnsi="宋体" w:eastAsia="宋体" w:cs="宋体"/>
          <w:spacing w:val="-2"/>
          <w:sz w:val="24"/>
          <w:szCs w:val="24"/>
        </w:rPr>
        <w:t>，可以完全消纳本项目产生的粪渣，本项目产生的一般固</w:t>
      </w:r>
      <w:r>
        <w:rPr>
          <w:rFonts w:ascii="宋体" w:hAnsi="宋体" w:eastAsia="宋体" w:cs="宋体"/>
          <w:spacing w:val="-4"/>
          <w:sz w:val="24"/>
          <w:szCs w:val="24"/>
        </w:rPr>
        <w:t>体废物能得到合理处置。</w:t>
      </w:r>
    </w:p>
    <w:p w14:paraId="393152BD">
      <w:pPr>
        <w:spacing w:line="5896" w:lineRule="exact"/>
        <w:ind w:firstLine="1485"/>
      </w:pPr>
      <w:r>
        <w:rPr>
          <w:position w:val="-117"/>
        </w:rPr>
        <w:drawing>
          <wp:inline distT="0" distB="0" distL="0" distR="0">
            <wp:extent cx="3429635" cy="374396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589"/>
                    <a:stretch>
                      <a:fillRect/>
                    </a:stretch>
                  </pic:blipFill>
                  <pic:spPr>
                    <a:xfrm>
                      <a:off x="0" y="0"/>
                      <a:ext cx="3429761" cy="3744467"/>
                    </a:xfrm>
                    <a:prstGeom prst="rect">
                      <a:avLst/>
                    </a:prstGeom>
                  </pic:spPr>
                </pic:pic>
              </a:graphicData>
            </a:graphic>
          </wp:inline>
        </w:drawing>
      </w:r>
    </w:p>
    <w:p w14:paraId="290322E9">
      <w:pPr>
        <w:spacing w:before="144" w:line="221" w:lineRule="auto"/>
        <w:ind w:left="2016"/>
        <w:rPr>
          <w:rFonts w:ascii="黑体" w:hAnsi="黑体" w:eastAsia="黑体" w:cs="黑体"/>
          <w:sz w:val="21"/>
          <w:szCs w:val="21"/>
        </w:rPr>
      </w:pPr>
      <w:r>
        <w:rPr>
          <w:rFonts w:ascii="黑体" w:hAnsi="黑体" w:eastAsia="黑体" w:cs="黑体"/>
          <w:spacing w:val="-1"/>
          <w:sz w:val="21"/>
          <w:szCs w:val="21"/>
        </w:rPr>
        <w:t>图</w:t>
      </w:r>
      <w:r>
        <w:rPr>
          <w:rFonts w:ascii="黑体" w:hAnsi="黑体" w:eastAsia="黑体" w:cs="黑体"/>
          <w:spacing w:val="-42"/>
          <w:sz w:val="21"/>
          <w:szCs w:val="21"/>
        </w:rPr>
        <w:t xml:space="preserve"> </w:t>
      </w:r>
      <w:r>
        <w:rPr>
          <w:rFonts w:ascii="Times New Roman" w:hAnsi="Times New Roman" w:eastAsia="Times New Roman" w:cs="Times New Roman"/>
          <w:spacing w:val="-1"/>
          <w:sz w:val="21"/>
          <w:szCs w:val="21"/>
        </w:rPr>
        <w:t xml:space="preserve">5.2-7  </w:t>
      </w:r>
      <w:r>
        <w:rPr>
          <w:rFonts w:ascii="黑体" w:hAnsi="黑体" w:eastAsia="黑体" w:cs="黑体"/>
          <w:spacing w:val="-1"/>
          <w:sz w:val="21"/>
          <w:szCs w:val="21"/>
        </w:rPr>
        <w:t>四川正威实业有限公司生</w:t>
      </w:r>
      <w:r>
        <w:rPr>
          <w:rFonts w:ascii="黑体" w:hAnsi="黑体" w:eastAsia="黑体" w:cs="黑体"/>
          <w:spacing w:val="-2"/>
          <w:sz w:val="21"/>
          <w:szCs w:val="21"/>
        </w:rPr>
        <w:t>产工艺流程图</w:t>
      </w:r>
    </w:p>
    <w:p w14:paraId="7167C083">
      <w:pPr>
        <w:spacing w:line="221" w:lineRule="auto"/>
        <w:rPr>
          <w:rFonts w:ascii="黑体" w:hAnsi="黑体" w:eastAsia="黑体" w:cs="黑体"/>
          <w:sz w:val="21"/>
          <w:szCs w:val="21"/>
        </w:rPr>
        <w:sectPr>
          <w:headerReference r:id="rId483" w:type="default"/>
          <w:footerReference r:id="rId484" w:type="default"/>
          <w:pgSz w:w="11905" w:h="16840"/>
          <w:pgMar w:top="1168" w:right="1592" w:bottom="1409" w:left="1770" w:header="828" w:footer="1244" w:gutter="0"/>
          <w:cols w:space="720" w:num="1"/>
        </w:sectPr>
      </w:pPr>
    </w:p>
    <w:p w14:paraId="15F7A67B">
      <w:pPr>
        <w:pStyle w:val="2"/>
        <w:spacing w:line="306" w:lineRule="auto"/>
      </w:pPr>
    </w:p>
    <w:p w14:paraId="53245BDB">
      <w:pPr>
        <w:spacing w:before="78" w:line="360" w:lineRule="auto"/>
        <w:ind w:left="39" w:firstLine="486"/>
        <w:jc w:val="both"/>
        <w:rPr>
          <w:rFonts w:ascii="宋体" w:hAnsi="宋体" w:eastAsia="宋体" w:cs="宋体"/>
          <w:sz w:val="24"/>
          <w:szCs w:val="24"/>
        </w:rPr>
      </w:pPr>
      <w:bookmarkStart w:id="49" w:name="bookmark185"/>
      <w:bookmarkEnd w:id="49"/>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）本项目病死猪交由内江市范围内唯一的病害动物无害化处置中心</w:t>
      </w:r>
      <w:r>
        <w:rPr>
          <w:rFonts w:ascii="Times New Roman" w:hAnsi="Times New Roman" w:eastAsia="Times New Roman" w:cs="Times New Roman"/>
          <w:sz w:val="24"/>
          <w:szCs w:val="24"/>
        </w:rPr>
        <w:t>—</w:t>
      </w:r>
      <w:r>
        <w:rPr>
          <w:rFonts w:ascii="宋体" w:hAnsi="宋体" w:eastAsia="宋体" w:cs="宋体"/>
          <w:sz w:val="24"/>
          <w:szCs w:val="24"/>
        </w:rPr>
        <w:t>内</w:t>
      </w:r>
      <w:r>
        <w:rPr>
          <w:rFonts w:ascii="宋体" w:hAnsi="宋体" w:eastAsia="宋体" w:cs="宋体"/>
          <w:spacing w:val="-3"/>
          <w:sz w:val="24"/>
          <w:szCs w:val="24"/>
        </w:rPr>
        <w:t>江市环态动物无害化处置有限责任公司进行无害化处置，内江市病害动物无害化</w:t>
      </w:r>
      <w:r>
        <w:rPr>
          <w:rFonts w:ascii="宋体" w:hAnsi="宋体" w:eastAsia="宋体" w:cs="宋体"/>
          <w:spacing w:val="3"/>
          <w:sz w:val="24"/>
          <w:szCs w:val="24"/>
        </w:rPr>
        <w:t>处置中心建于</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年，最初建有</w:t>
      </w:r>
      <w:r>
        <w:rPr>
          <w:rFonts w:ascii="Times New Roman" w:hAnsi="Times New Roman" w:eastAsia="Times New Roman" w:cs="Times New Roman"/>
          <w:spacing w:val="3"/>
          <w:sz w:val="24"/>
          <w:szCs w:val="24"/>
        </w:rPr>
        <w:t>2</w:t>
      </w:r>
      <w:r>
        <w:rPr>
          <w:rFonts w:ascii="宋体" w:hAnsi="宋体" w:eastAsia="宋体" w:cs="宋体"/>
          <w:spacing w:val="3"/>
          <w:sz w:val="24"/>
          <w:szCs w:val="24"/>
        </w:rPr>
        <w:t>条</w:t>
      </w:r>
      <w:r>
        <w:rPr>
          <w:rFonts w:ascii="Times New Roman" w:hAnsi="Times New Roman" w:eastAsia="Times New Roman" w:cs="Times New Roman"/>
          <w:spacing w:val="3"/>
          <w:sz w:val="24"/>
          <w:szCs w:val="24"/>
        </w:rPr>
        <w:t>5t/d</w:t>
      </w:r>
      <w:r>
        <w:rPr>
          <w:rFonts w:ascii="宋体" w:hAnsi="宋体" w:eastAsia="宋体" w:cs="宋体"/>
          <w:spacing w:val="3"/>
          <w:sz w:val="24"/>
          <w:szCs w:val="24"/>
        </w:rPr>
        <w:t>高温干法化制生产线，年处理病害动物</w:t>
      </w:r>
      <w:r>
        <w:rPr>
          <w:rFonts w:ascii="宋体" w:hAnsi="宋体" w:eastAsia="宋体" w:cs="宋体"/>
          <w:spacing w:val="1"/>
          <w:sz w:val="24"/>
          <w:szCs w:val="24"/>
        </w:rPr>
        <w:t xml:space="preserve"> </w:t>
      </w:r>
      <w:r>
        <w:rPr>
          <w:rFonts w:ascii="Times New Roman" w:hAnsi="Times New Roman" w:eastAsia="Times New Roman" w:cs="Times New Roman"/>
          <w:spacing w:val="-3"/>
          <w:sz w:val="24"/>
          <w:szCs w:val="24"/>
        </w:rPr>
        <w:t>3000t</w:t>
      </w:r>
      <w:r>
        <w:rPr>
          <w:rFonts w:ascii="宋体" w:hAnsi="宋体" w:eastAsia="宋体" w:cs="宋体"/>
          <w:spacing w:val="-3"/>
          <w:sz w:val="24"/>
          <w:szCs w:val="24"/>
        </w:rPr>
        <w:t>；内江市环态动物无害化处置有限责任公司于</w:t>
      </w:r>
      <w:r>
        <w:rPr>
          <w:rFonts w:ascii="Times New Roman" w:hAnsi="Times New Roman" w:eastAsia="Times New Roman" w:cs="Times New Roman"/>
          <w:spacing w:val="-3"/>
          <w:sz w:val="24"/>
          <w:szCs w:val="24"/>
        </w:rPr>
        <w:t>2021~2022</w:t>
      </w:r>
      <w:r>
        <w:rPr>
          <w:rFonts w:ascii="宋体" w:hAnsi="宋体" w:eastAsia="宋体" w:cs="宋体"/>
          <w:spacing w:val="-3"/>
          <w:sz w:val="24"/>
          <w:szCs w:val="24"/>
        </w:rPr>
        <w:t>年启动改扩建项目，</w:t>
      </w:r>
      <w:r>
        <w:rPr>
          <w:rFonts w:ascii="宋体" w:hAnsi="宋体" w:eastAsia="宋体" w:cs="宋体"/>
          <w:sz w:val="24"/>
          <w:szCs w:val="24"/>
        </w:rPr>
        <w:t>新增</w:t>
      </w:r>
      <w:r>
        <w:rPr>
          <w:rFonts w:ascii="Times New Roman" w:hAnsi="Times New Roman" w:eastAsia="Times New Roman" w:cs="Times New Roman"/>
          <w:sz w:val="24"/>
          <w:szCs w:val="24"/>
        </w:rPr>
        <w:t>1</w:t>
      </w:r>
      <w:r>
        <w:rPr>
          <w:rFonts w:ascii="宋体" w:hAnsi="宋体" w:eastAsia="宋体" w:cs="宋体"/>
          <w:sz w:val="24"/>
          <w:szCs w:val="24"/>
        </w:rPr>
        <w:t>条</w:t>
      </w:r>
      <w:r>
        <w:rPr>
          <w:rFonts w:ascii="Times New Roman" w:hAnsi="Times New Roman" w:eastAsia="Times New Roman" w:cs="Times New Roman"/>
          <w:sz w:val="24"/>
          <w:szCs w:val="24"/>
        </w:rPr>
        <w:t>30t/d</w:t>
      </w:r>
      <w:r>
        <w:rPr>
          <w:rFonts w:ascii="宋体" w:hAnsi="宋体" w:eastAsia="宋体" w:cs="宋体"/>
          <w:sz w:val="24"/>
          <w:szCs w:val="24"/>
        </w:rPr>
        <w:t>生产线，新增病死动物无害化处理能力</w:t>
      </w:r>
      <w:r>
        <w:rPr>
          <w:rFonts w:ascii="Times New Roman" w:hAnsi="Times New Roman" w:eastAsia="Times New Roman" w:cs="Times New Roman"/>
          <w:spacing w:val="-1"/>
          <w:sz w:val="24"/>
          <w:szCs w:val="24"/>
        </w:rPr>
        <w:t>9000t/a</w:t>
      </w:r>
      <w:r>
        <w:rPr>
          <w:rFonts w:ascii="宋体" w:hAnsi="宋体" w:eastAsia="宋体" w:cs="宋体"/>
          <w:spacing w:val="-1"/>
          <w:sz w:val="24"/>
          <w:szCs w:val="24"/>
        </w:rPr>
        <w:t>，建成后全厂病死动物无害化处理能力为</w:t>
      </w:r>
      <w:r>
        <w:rPr>
          <w:rFonts w:ascii="Times New Roman" w:hAnsi="Times New Roman" w:eastAsia="Times New Roman" w:cs="Times New Roman"/>
          <w:spacing w:val="-1"/>
          <w:sz w:val="24"/>
          <w:szCs w:val="24"/>
        </w:rPr>
        <w:t>12000t/a</w:t>
      </w:r>
      <w:r>
        <w:rPr>
          <w:rFonts w:ascii="宋体" w:hAnsi="宋体" w:eastAsia="宋体" w:cs="宋体"/>
          <w:spacing w:val="-1"/>
          <w:sz w:val="24"/>
          <w:szCs w:val="24"/>
        </w:rPr>
        <w:t>，目前新增</w:t>
      </w:r>
      <w:r>
        <w:rPr>
          <w:rFonts w:ascii="Times New Roman" w:hAnsi="Times New Roman" w:eastAsia="Times New Roman" w:cs="Times New Roman"/>
          <w:spacing w:val="-1"/>
          <w:sz w:val="24"/>
          <w:szCs w:val="24"/>
        </w:rPr>
        <w:t>1</w:t>
      </w:r>
      <w:r>
        <w:rPr>
          <w:rFonts w:ascii="宋体" w:hAnsi="宋体" w:eastAsia="宋体" w:cs="宋体"/>
          <w:spacing w:val="-1"/>
          <w:sz w:val="24"/>
          <w:szCs w:val="24"/>
        </w:rPr>
        <w:t>条</w:t>
      </w:r>
      <w:r>
        <w:rPr>
          <w:rFonts w:ascii="Times New Roman" w:hAnsi="Times New Roman" w:eastAsia="Times New Roman" w:cs="Times New Roman"/>
          <w:spacing w:val="-1"/>
          <w:sz w:val="24"/>
          <w:szCs w:val="24"/>
        </w:rPr>
        <w:t>30t/d</w:t>
      </w:r>
      <w:r>
        <w:rPr>
          <w:rFonts w:ascii="宋体" w:hAnsi="宋体" w:eastAsia="宋体" w:cs="宋体"/>
          <w:spacing w:val="-1"/>
          <w:sz w:val="24"/>
          <w:szCs w:val="24"/>
        </w:rPr>
        <w:t>生产线已安装完毕竣工投产。</w:t>
      </w:r>
    </w:p>
    <w:p w14:paraId="64756E1F">
      <w:pPr>
        <w:spacing w:before="2" w:line="359" w:lineRule="auto"/>
        <w:ind w:left="39" w:right="197" w:firstLine="480"/>
        <w:rPr>
          <w:rFonts w:ascii="宋体" w:hAnsi="宋体" w:eastAsia="宋体" w:cs="宋体"/>
          <w:sz w:val="24"/>
          <w:szCs w:val="24"/>
        </w:rPr>
      </w:pPr>
      <w:r>
        <w:rPr>
          <w:rFonts w:ascii="宋体" w:hAnsi="宋体" w:eastAsia="宋体" w:cs="宋体"/>
          <w:spacing w:val="1"/>
          <w:sz w:val="24"/>
          <w:szCs w:val="24"/>
        </w:rPr>
        <w:t>本项目病死猪产生量为</w:t>
      </w:r>
      <w:r>
        <w:rPr>
          <w:rFonts w:ascii="Times New Roman" w:hAnsi="Times New Roman" w:eastAsia="Times New Roman" w:cs="Times New Roman"/>
          <w:spacing w:val="1"/>
          <w:sz w:val="24"/>
          <w:szCs w:val="24"/>
        </w:rPr>
        <w:t>94t/a</w:t>
      </w:r>
      <w:r>
        <w:rPr>
          <w:rFonts w:ascii="宋体" w:hAnsi="宋体" w:eastAsia="宋体" w:cs="宋体"/>
          <w:spacing w:val="1"/>
          <w:sz w:val="24"/>
          <w:szCs w:val="24"/>
        </w:rPr>
        <w:t>，约</w:t>
      </w:r>
      <w:r>
        <w:rPr>
          <w:rFonts w:ascii="Times New Roman" w:hAnsi="Times New Roman" w:eastAsia="Times New Roman" w:cs="Times New Roman"/>
          <w:spacing w:val="1"/>
          <w:sz w:val="24"/>
          <w:szCs w:val="24"/>
        </w:rPr>
        <w:t>0.3t/d</w:t>
      </w:r>
      <w:r>
        <w:rPr>
          <w:rFonts w:ascii="宋体" w:hAnsi="宋体" w:eastAsia="宋体" w:cs="宋体"/>
          <w:spacing w:val="1"/>
          <w:sz w:val="24"/>
          <w:szCs w:val="24"/>
        </w:rPr>
        <w:t>，因此，本项目病死猪依托内江市环</w:t>
      </w:r>
      <w:r>
        <w:rPr>
          <w:rFonts w:ascii="宋体" w:hAnsi="宋体" w:eastAsia="宋体" w:cs="宋体"/>
          <w:spacing w:val="-2"/>
          <w:sz w:val="24"/>
          <w:szCs w:val="24"/>
        </w:rPr>
        <w:t>态动物无害化处置有限责任公司进行无害化处置是可行的。</w:t>
      </w:r>
    </w:p>
    <w:p w14:paraId="27905EC8">
      <w:pPr>
        <w:spacing w:before="4" w:line="360" w:lineRule="auto"/>
        <w:ind w:left="38" w:right="184" w:firstLine="480"/>
        <w:jc w:val="both"/>
        <w:rPr>
          <w:rFonts w:ascii="宋体" w:hAnsi="宋体" w:eastAsia="宋体" w:cs="宋体"/>
          <w:sz w:val="24"/>
          <w:szCs w:val="24"/>
        </w:rPr>
      </w:pPr>
      <w:r>
        <w:rPr>
          <w:rFonts w:ascii="宋体" w:hAnsi="宋体" w:eastAsia="宋体" w:cs="宋体"/>
          <w:spacing w:val="-6"/>
          <w:sz w:val="24"/>
          <w:szCs w:val="24"/>
        </w:rPr>
        <w:t>根据《病死畜禽和病害畜禽产品无害化处理管理办法》规定：</w:t>
      </w:r>
      <w:r>
        <w:rPr>
          <w:rFonts w:ascii="宋体" w:hAnsi="宋体" w:eastAsia="宋体" w:cs="宋体"/>
          <w:spacing w:val="-26"/>
          <w:sz w:val="24"/>
          <w:szCs w:val="24"/>
        </w:rPr>
        <w:t xml:space="preserve"> </w:t>
      </w:r>
      <w:r>
        <w:rPr>
          <w:rFonts w:ascii="宋体" w:hAnsi="宋体" w:eastAsia="宋体" w:cs="宋体"/>
          <w:spacing w:val="-6"/>
          <w:sz w:val="24"/>
          <w:szCs w:val="24"/>
        </w:rPr>
        <w:t>病死畜禽和病</w:t>
      </w:r>
      <w:r>
        <w:rPr>
          <w:rFonts w:ascii="宋体" w:hAnsi="宋体" w:eastAsia="宋体" w:cs="宋体"/>
          <w:spacing w:val="-3"/>
          <w:sz w:val="24"/>
          <w:szCs w:val="24"/>
        </w:rPr>
        <w:t>害畜禽产品无害化处理以集中处理为主，</w:t>
      </w:r>
      <w:r>
        <w:rPr>
          <w:rFonts w:ascii="宋体" w:hAnsi="宋体" w:eastAsia="宋体" w:cs="宋体"/>
          <w:b/>
          <w:bCs/>
          <w:spacing w:val="-3"/>
          <w:sz w:val="24"/>
          <w:szCs w:val="24"/>
        </w:rPr>
        <w:t>自</w:t>
      </w:r>
      <w:r>
        <w:rPr>
          <w:rFonts w:ascii="宋体" w:hAnsi="宋体" w:eastAsia="宋体" w:cs="宋体"/>
          <w:b/>
          <w:bCs/>
          <w:spacing w:val="-4"/>
          <w:sz w:val="24"/>
          <w:szCs w:val="24"/>
        </w:rPr>
        <w:t>行处理为补充</w:t>
      </w:r>
      <w:r>
        <w:rPr>
          <w:rFonts w:ascii="宋体" w:hAnsi="宋体" w:eastAsia="宋体" w:cs="宋体"/>
          <w:spacing w:val="-4"/>
          <w:sz w:val="24"/>
          <w:szCs w:val="24"/>
        </w:rPr>
        <w:t>。本项目在无害化处理</w:t>
      </w:r>
      <w:r>
        <w:rPr>
          <w:rFonts w:ascii="宋体" w:hAnsi="宋体" w:eastAsia="宋体" w:cs="宋体"/>
          <w:sz w:val="24"/>
          <w:szCs w:val="24"/>
        </w:rPr>
        <w:t>间内自备</w:t>
      </w:r>
      <w:r>
        <w:rPr>
          <w:rFonts w:ascii="Times New Roman" w:hAnsi="Times New Roman" w:eastAsia="Times New Roman" w:cs="Times New Roman"/>
          <w:sz w:val="24"/>
          <w:szCs w:val="24"/>
        </w:rPr>
        <w:t>1</w:t>
      </w:r>
      <w:r>
        <w:rPr>
          <w:rFonts w:ascii="宋体" w:hAnsi="宋体" w:eastAsia="宋体" w:cs="宋体"/>
          <w:sz w:val="24"/>
          <w:szCs w:val="24"/>
        </w:rPr>
        <w:t>台无害化降解处理机作为病死猪处理补充措施，在出现大批量疫病死</w:t>
      </w:r>
      <w:r>
        <w:rPr>
          <w:rFonts w:ascii="宋体" w:hAnsi="宋体" w:eastAsia="宋体" w:cs="宋体"/>
          <w:spacing w:val="-3"/>
          <w:sz w:val="24"/>
          <w:szCs w:val="24"/>
        </w:rPr>
        <w:t>猪，无害化处置中心无法及时进行病死猪无害化处置情况下，项目启动无害化降解处理机对疫病病死猪进行无害化降解处理。本项目采用的无害化降解处理机采用高温生物发酵技术原理（高温化制和生物</w:t>
      </w:r>
      <w:r>
        <w:rPr>
          <w:rFonts w:ascii="宋体" w:hAnsi="宋体" w:eastAsia="宋体" w:cs="宋体"/>
          <w:spacing w:val="-4"/>
          <w:sz w:val="24"/>
          <w:szCs w:val="24"/>
        </w:rPr>
        <w:t>降解结合起来的新技术</w:t>
      </w:r>
      <w:r>
        <w:rPr>
          <w:rFonts w:ascii="宋体" w:hAnsi="宋体" w:eastAsia="宋体" w:cs="宋体"/>
          <w:spacing w:val="-1"/>
          <w:sz w:val="24"/>
          <w:szCs w:val="24"/>
        </w:rPr>
        <w:t>），</w:t>
      </w:r>
      <w:r>
        <w:rPr>
          <w:rFonts w:ascii="宋体" w:hAnsi="宋体" w:eastAsia="宋体" w:cs="宋体"/>
          <w:spacing w:val="-4"/>
          <w:sz w:val="24"/>
          <w:szCs w:val="24"/>
        </w:rPr>
        <w:t>利用设备</w:t>
      </w:r>
      <w:r>
        <w:rPr>
          <w:rFonts w:ascii="宋体" w:hAnsi="宋体" w:eastAsia="宋体" w:cs="宋体"/>
          <w:sz w:val="24"/>
          <w:szCs w:val="24"/>
        </w:rPr>
        <w:t>产生的连续</w:t>
      </w:r>
      <w:r>
        <w:rPr>
          <w:rFonts w:ascii="Times New Roman" w:hAnsi="Times New Roman" w:eastAsia="Times New Roman" w:cs="Times New Roman"/>
          <w:sz w:val="24"/>
          <w:szCs w:val="24"/>
        </w:rPr>
        <w:t>24h</w:t>
      </w:r>
      <w:r>
        <w:rPr>
          <w:rFonts w:ascii="宋体" w:hAnsi="宋体" w:eastAsia="宋体" w:cs="宋体"/>
          <w:sz w:val="24"/>
          <w:szCs w:val="24"/>
        </w:rPr>
        <w:t>的高温环境实现灭活病原体，技术工艺符合《病死及病害动物无</w:t>
      </w:r>
      <w:r>
        <w:rPr>
          <w:rFonts w:ascii="宋体" w:hAnsi="宋体" w:eastAsia="宋体" w:cs="宋体"/>
          <w:spacing w:val="-5"/>
          <w:sz w:val="24"/>
          <w:szCs w:val="24"/>
        </w:rPr>
        <w:t>害化处理技术规范》要求，</w:t>
      </w:r>
      <w:r>
        <w:rPr>
          <w:rFonts w:ascii="宋体" w:hAnsi="宋体" w:eastAsia="宋体" w:cs="宋体"/>
          <w:spacing w:val="-39"/>
          <w:sz w:val="24"/>
          <w:szCs w:val="24"/>
        </w:rPr>
        <w:t xml:space="preserve"> </w:t>
      </w:r>
      <w:r>
        <w:rPr>
          <w:rFonts w:ascii="宋体" w:hAnsi="宋体" w:eastAsia="宋体" w:cs="宋体"/>
          <w:spacing w:val="-5"/>
          <w:sz w:val="24"/>
          <w:szCs w:val="24"/>
        </w:rPr>
        <w:t>该无害化降解处理机已在各地养</w:t>
      </w:r>
      <w:r>
        <w:rPr>
          <w:rFonts w:ascii="宋体" w:hAnsi="宋体" w:eastAsia="宋体" w:cs="宋体"/>
          <w:spacing w:val="-6"/>
          <w:sz w:val="24"/>
          <w:szCs w:val="24"/>
        </w:rPr>
        <w:t>殖场使用，病死猪无</w:t>
      </w:r>
      <w:r>
        <w:rPr>
          <w:rFonts w:ascii="宋体" w:hAnsi="宋体" w:eastAsia="宋体" w:cs="宋体"/>
          <w:sz w:val="24"/>
          <w:szCs w:val="24"/>
        </w:rPr>
        <w:t>害化降解后可作为有机肥原料送有机肥生产企业利用。因此，本项目内自备</w:t>
      </w:r>
      <w:r>
        <w:rPr>
          <w:rFonts w:ascii="Times New Roman" w:hAnsi="Times New Roman" w:eastAsia="Times New Roman" w:cs="Times New Roman"/>
          <w:sz w:val="24"/>
          <w:szCs w:val="24"/>
        </w:rPr>
        <w:t>1</w:t>
      </w:r>
      <w:r>
        <w:rPr>
          <w:rFonts w:ascii="宋体" w:hAnsi="宋体" w:eastAsia="宋体" w:cs="宋体"/>
          <w:sz w:val="24"/>
          <w:szCs w:val="24"/>
        </w:rPr>
        <w:t>台</w:t>
      </w:r>
      <w:r>
        <w:rPr>
          <w:rFonts w:ascii="宋体" w:hAnsi="宋体" w:eastAsia="宋体" w:cs="宋体"/>
          <w:spacing w:val="-2"/>
          <w:sz w:val="24"/>
          <w:szCs w:val="24"/>
        </w:rPr>
        <w:t>无害化降解处理机作为病死猪处理补充措施是可行的。</w:t>
      </w:r>
    </w:p>
    <w:p w14:paraId="68E066FC">
      <w:pPr>
        <w:spacing w:before="52" w:line="227" w:lineRule="auto"/>
        <w:ind w:left="39"/>
        <w:rPr>
          <w:rFonts w:ascii="宋体" w:hAnsi="宋体" w:eastAsia="宋体" w:cs="宋体"/>
          <w:sz w:val="27"/>
          <w:szCs w:val="27"/>
        </w:rPr>
      </w:pPr>
      <w:r>
        <w:rPr>
          <w:rFonts w:ascii="Times New Roman" w:hAnsi="Times New Roman" w:eastAsia="Times New Roman" w:cs="Times New Roman"/>
          <w:b/>
          <w:bCs/>
          <w:spacing w:val="4"/>
          <w:sz w:val="27"/>
          <w:szCs w:val="27"/>
        </w:rPr>
        <w:t xml:space="preserve">5.2.5.2 </w:t>
      </w:r>
      <w:r>
        <w:rPr>
          <w:rFonts w:ascii="宋体" w:hAnsi="宋体" w:eastAsia="宋体" w:cs="宋体"/>
          <w:b/>
          <w:bCs/>
          <w:spacing w:val="4"/>
          <w:sz w:val="27"/>
          <w:szCs w:val="27"/>
        </w:rPr>
        <w:t>危险废物</w:t>
      </w:r>
    </w:p>
    <w:p w14:paraId="7FF9E167">
      <w:pPr>
        <w:spacing w:before="220" w:line="362" w:lineRule="auto"/>
        <w:ind w:left="38" w:right="185" w:firstLine="483"/>
        <w:jc w:val="both"/>
        <w:rPr>
          <w:rFonts w:ascii="宋体" w:hAnsi="宋体" w:eastAsia="宋体" w:cs="宋体"/>
          <w:sz w:val="24"/>
          <w:szCs w:val="24"/>
        </w:rPr>
      </w:pPr>
      <w:r>
        <w:rPr>
          <w:rFonts w:ascii="宋体" w:hAnsi="宋体" w:eastAsia="宋体" w:cs="宋体"/>
          <w:spacing w:val="-1"/>
          <w:sz w:val="24"/>
          <w:szCs w:val="24"/>
        </w:rPr>
        <w:t>建设单位在无害化处理间内设置</w:t>
      </w:r>
      <w:r>
        <w:rPr>
          <w:rFonts w:ascii="Times New Roman" w:hAnsi="Times New Roman" w:eastAsia="Times New Roman" w:cs="Times New Roman"/>
          <w:spacing w:val="-1"/>
          <w:sz w:val="24"/>
          <w:szCs w:val="24"/>
        </w:rPr>
        <w:t>1</w:t>
      </w:r>
      <w:r>
        <w:rPr>
          <w:rFonts w:ascii="宋体" w:hAnsi="宋体" w:eastAsia="宋体" w:cs="宋体"/>
          <w:spacing w:val="-1"/>
          <w:sz w:val="24"/>
          <w:szCs w:val="24"/>
        </w:rPr>
        <w:t>间危废暂存间，面积为</w:t>
      </w:r>
      <w:r>
        <w:rPr>
          <w:rFonts w:ascii="Times New Roman" w:hAnsi="Times New Roman" w:eastAsia="Times New Roman" w:cs="Times New Roman"/>
          <w:spacing w:val="-1"/>
          <w:sz w:val="24"/>
          <w:szCs w:val="24"/>
        </w:rPr>
        <w:t>15m</w:t>
      </w:r>
      <w:r>
        <w:rPr>
          <w:rFonts w:ascii="Times New Roman" w:hAnsi="Times New Roman" w:eastAsia="Times New Roman" w:cs="Times New Roman"/>
          <w:spacing w:val="-1"/>
          <w:position w:val="10"/>
          <w:sz w:val="15"/>
          <w:szCs w:val="15"/>
        </w:rPr>
        <w:t>2</w:t>
      </w:r>
      <w:r>
        <w:rPr>
          <w:rFonts w:ascii="宋体" w:hAnsi="宋体" w:eastAsia="宋体" w:cs="宋体"/>
          <w:spacing w:val="-1"/>
          <w:sz w:val="24"/>
          <w:szCs w:val="24"/>
        </w:rPr>
        <w:t>，按要求设置</w:t>
      </w:r>
      <w:r>
        <w:rPr>
          <w:rFonts w:ascii="宋体" w:hAnsi="宋体" w:eastAsia="宋体" w:cs="宋体"/>
          <w:spacing w:val="-3"/>
          <w:sz w:val="24"/>
          <w:szCs w:val="24"/>
        </w:rPr>
        <w:t>警示标志，废矿物油采用桶装收集，禁止与生活垃圾进行混装，地面采取重点防</w:t>
      </w:r>
      <w:r>
        <w:rPr>
          <w:rFonts w:ascii="宋体" w:hAnsi="宋体" w:eastAsia="宋体" w:cs="宋体"/>
          <w:spacing w:val="3"/>
          <w:sz w:val="24"/>
          <w:szCs w:val="24"/>
        </w:rPr>
        <w:t>渗措施，确保渗透系数</w:t>
      </w:r>
      <w:r>
        <w:rPr>
          <w:rFonts w:ascii="Times New Roman" w:hAnsi="Times New Roman" w:eastAsia="Times New Roman" w:cs="Times New Roman"/>
          <w:spacing w:val="3"/>
          <w:sz w:val="24"/>
          <w:szCs w:val="24"/>
        </w:rPr>
        <w:t>K≤1×10</w:t>
      </w:r>
      <w:r>
        <w:rPr>
          <w:rFonts w:ascii="Times New Roman" w:hAnsi="Times New Roman" w:eastAsia="Times New Roman" w:cs="Times New Roman"/>
          <w:spacing w:val="3"/>
          <w:position w:val="10"/>
          <w:sz w:val="15"/>
          <w:szCs w:val="15"/>
        </w:rPr>
        <w:t>-10</w:t>
      </w:r>
      <w:r>
        <w:rPr>
          <w:rFonts w:ascii="Times New Roman" w:hAnsi="Times New Roman" w:eastAsia="Times New Roman" w:cs="Times New Roman"/>
          <w:sz w:val="24"/>
          <w:szCs w:val="24"/>
        </w:rPr>
        <w:t>cm</w:t>
      </w:r>
      <w:r>
        <w:rPr>
          <w:rFonts w:ascii="Times New Roman" w:hAnsi="Times New Roman" w:eastAsia="Times New Roman" w:cs="Times New Roman"/>
          <w:spacing w:val="3"/>
          <w:sz w:val="24"/>
          <w:szCs w:val="24"/>
        </w:rPr>
        <w:t>/s</w:t>
      </w:r>
      <w:r>
        <w:rPr>
          <w:rFonts w:ascii="宋体" w:hAnsi="宋体" w:eastAsia="宋体" w:cs="宋体"/>
          <w:spacing w:val="3"/>
          <w:sz w:val="24"/>
          <w:szCs w:val="24"/>
        </w:rPr>
        <w:t>。在危险废物的处理处置过程中，</w:t>
      </w:r>
      <w:r>
        <w:rPr>
          <w:rFonts w:ascii="宋体" w:hAnsi="宋体" w:eastAsia="宋体" w:cs="宋体"/>
          <w:spacing w:val="2"/>
          <w:sz w:val="24"/>
          <w:szCs w:val="24"/>
        </w:rPr>
        <w:t>应严格</w:t>
      </w:r>
      <w:r>
        <w:rPr>
          <w:rFonts w:ascii="宋体" w:hAnsi="宋体" w:eastAsia="宋体" w:cs="宋体"/>
          <w:spacing w:val="-3"/>
          <w:sz w:val="24"/>
          <w:szCs w:val="24"/>
        </w:rPr>
        <w:t>执行环保相关规定及要求，危废交由有资质的单位处置。建设单位应严格管理危</w:t>
      </w:r>
      <w:r>
        <w:rPr>
          <w:rFonts w:ascii="宋体" w:hAnsi="宋体" w:eastAsia="宋体" w:cs="宋体"/>
          <w:spacing w:val="-2"/>
          <w:sz w:val="24"/>
          <w:szCs w:val="24"/>
        </w:rPr>
        <w:t>废，建立台账，分类存放，危废处理措施可行。</w:t>
      </w:r>
    </w:p>
    <w:p w14:paraId="77AB851E">
      <w:pPr>
        <w:spacing w:before="3" w:line="361" w:lineRule="auto"/>
        <w:ind w:left="41" w:right="185" w:firstLine="477"/>
        <w:jc w:val="both"/>
        <w:rPr>
          <w:rFonts w:ascii="宋体" w:hAnsi="宋体" w:eastAsia="宋体" w:cs="宋体"/>
          <w:sz w:val="24"/>
          <w:szCs w:val="24"/>
        </w:rPr>
      </w:pPr>
      <w:r>
        <w:rPr>
          <w:rFonts w:ascii="宋体" w:hAnsi="宋体" w:eastAsia="宋体" w:cs="宋体"/>
          <w:spacing w:val="-3"/>
          <w:sz w:val="24"/>
          <w:szCs w:val="24"/>
        </w:rPr>
        <w:t>采取上述治理措施后，本项目各类固体废物去向明确，可得到资</w:t>
      </w:r>
      <w:r>
        <w:rPr>
          <w:rFonts w:ascii="宋体" w:hAnsi="宋体" w:eastAsia="宋体" w:cs="宋体"/>
          <w:spacing w:val="-4"/>
          <w:sz w:val="24"/>
          <w:szCs w:val="24"/>
        </w:rPr>
        <w:t>源化利用或</w:t>
      </w:r>
      <w:r>
        <w:rPr>
          <w:rFonts w:ascii="宋体" w:hAnsi="宋体" w:eastAsia="宋体" w:cs="宋体"/>
          <w:spacing w:val="-6"/>
          <w:sz w:val="24"/>
          <w:szCs w:val="24"/>
        </w:rPr>
        <w:t>无害化处置，符合《畜禽养殖业污染防治技术政策》要求，</w:t>
      </w:r>
      <w:r>
        <w:rPr>
          <w:rFonts w:ascii="宋体" w:hAnsi="宋体" w:eastAsia="宋体" w:cs="宋体"/>
          <w:spacing w:val="-18"/>
          <w:sz w:val="24"/>
          <w:szCs w:val="24"/>
        </w:rPr>
        <w:t xml:space="preserve"> </w:t>
      </w:r>
      <w:r>
        <w:rPr>
          <w:rFonts w:ascii="宋体" w:hAnsi="宋体" w:eastAsia="宋体" w:cs="宋体"/>
          <w:spacing w:val="-6"/>
          <w:sz w:val="24"/>
          <w:szCs w:val="24"/>
        </w:rPr>
        <w:t>不会对周围环境造成</w:t>
      </w:r>
      <w:r>
        <w:rPr>
          <w:rFonts w:ascii="宋体" w:hAnsi="宋体" w:eastAsia="宋体" w:cs="宋体"/>
          <w:spacing w:val="-8"/>
          <w:sz w:val="24"/>
          <w:szCs w:val="24"/>
        </w:rPr>
        <w:t>二次污染。</w:t>
      </w:r>
    </w:p>
    <w:p w14:paraId="4A7F22D6">
      <w:pPr>
        <w:spacing w:line="361" w:lineRule="auto"/>
        <w:rPr>
          <w:rFonts w:ascii="宋体" w:hAnsi="宋体" w:eastAsia="宋体" w:cs="宋体"/>
          <w:sz w:val="24"/>
          <w:szCs w:val="24"/>
        </w:rPr>
        <w:sectPr>
          <w:headerReference r:id="rId485" w:type="default"/>
          <w:footerReference r:id="rId486" w:type="default"/>
          <w:pgSz w:w="11905" w:h="16840"/>
          <w:pgMar w:top="1168" w:right="1612" w:bottom="1409" w:left="1770" w:header="828" w:footer="1244" w:gutter="0"/>
          <w:cols w:space="720" w:num="1"/>
        </w:sectPr>
      </w:pPr>
    </w:p>
    <w:p w14:paraId="552029DC">
      <w:pPr>
        <w:pStyle w:val="2"/>
        <w:spacing w:line="335" w:lineRule="auto"/>
      </w:pPr>
    </w:p>
    <w:p w14:paraId="47F2E597">
      <w:pPr>
        <w:spacing w:before="97" w:line="220" w:lineRule="auto"/>
        <w:ind w:left="40"/>
        <w:rPr>
          <w:rFonts w:ascii="宋体" w:hAnsi="宋体" w:eastAsia="宋体" w:cs="宋体"/>
          <w:sz w:val="30"/>
          <w:szCs w:val="30"/>
        </w:rPr>
      </w:pPr>
      <w:bookmarkStart w:id="50" w:name="bookmark186"/>
      <w:bookmarkEnd w:id="50"/>
      <w:r>
        <w:rPr>
          <w:rFonts w:ascii="Times New Roman" w:hAnsi="Times New Roman" w:eastAsia="Times New Roman" w:cs="Times New Roman"/>
          <w:b/>
          <w:bCs/>
          <w:spacing w:val="-2"/>
          <w:sz w:val="30"/>
          <w:szCs w:val="30"/>
        </w:rPr>
        <w:t xml:space="preserve">5.2.6  </w:t>
      </w:r>
      <w:r>
        <w:rPr>
          <w:rFonts w:ascii="宋体" w:hAnsi="宋体" w:eastAsia="宋体" w:cs="宋体"/>
          <w:b/>
          <w:bCs/>
          <w:spacing w:val="-2"/>
          <w:sz w:val="30"/>
          <w:szCs w:val="30"/>
        </w:rPr>
        <w:t>土壤环境保护措施</w:t>
      </w:r>
    </w:p>
    <w:p w14:paraId="7ED91BCA">
      <w:pPr>
        <w:pStyle w:val="2"/>
        <w:spacing w:line="258" w:lineRule="auto"/>
      </w:pPr>
    </w:p>
    <w:p w14:paraId="0716B6AD">
      <w:pPr>
        <w:spacing w:before="78" w:line="360" w:lineRule="auto"/>
        <w:ind w:left="38" w:right="8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）项目外购的原料均进行成分检测，确保其满足中华人民共和国农业行</w:t>
      </w:r>
      <w:r>
        <w:rPr>
          <w:rFonts w:ascii="宋体" w:hAnsi="宋体" w:eastAsia="宋体" w:cs="宋体"/>
          <w:spacing w:val="-1"/>
          <w:sz w:val="24"/>
          <w:szCs w:val="24"/>
        </w:rPr>
        <w:t>业标准《无公害食品畜禽饲料和饲料添加剂使用准则》（</w:t>
      </w:r>
      <w:r>
        <w:rPr>
          <w:rFonts w:ascii="Times New Roman" w:hAnsi="Times New Roman" w:eastAsia="Times New Roman" w:cs="Times New Roman"/>
          <w:spacing w:val="-1"/>
          <w:sz w:val="24"/>
          <w:szCs w:val="24"/>
        </w:rPr>
        <w:t>NY5032-2006</w:t>
      </w:r>
      <w:r>
        <w:rPr>
          <w:rFonts w:ascii="宋体" w:hAnsi="宋体" w:eastAsia="宋体" w:cs="宋体"/>
          <w:spacing w:val="-7"/>
          <w:sz w:val="24"/>
          <w:szCs w:val="24"/>
        </w:rPr>
        <w:t>），</w:t>
      </w:r>
      <w:r>
        <w:rPr>
          <w:rFonts w:ascii="宋体" w:hAnsi="宋体" w:eastAsia="宋体" w:cs="宋体"/>
          <w:spacing w:val="-1"/>
          <w:sz w:val="24"/>
          <w:szCs w:val="24"/>
        </w:rPr>
        <w:t>从源</w:t>
      </w:r>
      <w:r>
        <w:rPr>
          <w:rFonts w:ascii="宋体" w:hAnsi="宋体" w:eastAsia="宋体" w:cs="宋体"/>
          <w:spacing w:val="-3"/>
          <w:sz w:val="24"/>
          <w:szCs w:val="24"/>
        </w:rPr>
        <w:t>头控制重金属及微生物的允许量，确保饲料中不含兴奋剂、镇静剂和各种违禁药品，保证饲料的清洁性、营养性和安全性。</w:t>
      </w:r>
    </w:p>
    <w:p w14:paraId="38015514">
      <w:pPr>
        <w:spacing w:line="360" w:lineRule="auto"/>
        <w:ind w:left="38" w:right="85"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）未腐熟或腐熟不够的有机肥，由于碳氮比（</w:t>
      </w:r>
      <w:r>
        <w:rPr>
          <w:rFonts w:ascii="Times New Roman" w:hAnsi="Times New Roman" w:eastAsia="Times New Roman" w:cs="Times New Roman"/>
          <w:spacing w:val="2"/>
          <w:sz w:val="24"/>
          <w:szCs w:val="24"/>
        </w:rPr>
        <w:t>C/N</w:t>
      </w:r>
      <w:r>
        <w:rPr>
          <w:rFonts w:ascii="宋体" w:hAnsi="宋体" w:eastAsia="宋体" w:cs="宋体"/>
          <w:spacing w:val="2"/>
          <w:sz w:val="24"/>
          <w:szCs w:val="24"/>
        </w:rPr>
        <w:t>）过高，土壤微生物</w:t>
      </w:r>
      <w:r>
        <w:rPr>
          <w:rFonts w:ascii="宋体" w:hAnsi="宋体" w:eastAsia="宋体" w:cs="宋体"/>
          <w:spacing w:val="-3"/>
          <w:sz w:val="24"/>
          <w:szCs w:val="24"/>
        </w:rPr>
        <w:t>难以分解，作物很难利用，而且新鲜的禽畜粪含盐较高，作物不但不吸收，还容</w:t>
      </w:r>
      <w:r>
        <w:rPr>
          <w:rFonts w:ascii="宋体" w:hAnsi="宋体" w:eastAsia="宋体" w:cs="宋体"/>
          <w:spacing w:val="-5"/>
          <w:sz w:val="24"/>
          <w:szCs w:val="24"/>
        </w:rPr>
        <w:t>易加剧地下害虫的危害。本项目粪便经固液分离后，</w:t>
      </w:r>
      <w:r>
        <w:rPr>
          <w:rFonts w:ascii="宋体" w:hAnsi="宋体" w:eastAsia="宋体" w:cs="宋体"/>
          <w:spacing w:val="-45"/>
          <w:sz w:val="24"/>
          <w:szCs w:val="24"/>
        </w:rPr>
        <w:t xml:space="preserve"> </w:t>
      </w:r>
      <w:r>
        <w:rPr>
          <w:rFonts w:ascii="宋体" w:hAnsi="宋体" w:eastAsia="宋体" w:cs="宋体"/>
          <w:spacing w:val="-5"/>
          <w:sz w:val="24"/>
          <w:szCs w:val="24"/>
        </w:rPr>
        <w:t>交四川正威实业有</w:t>
      </w:r>
      <w:r>
        <w:rPr>
          <w:rFonts w:ascii="宋体" w:hAnsi="宋体" w:eastAsia="宋体" w:cs="宋体"/>
          <w:spacing w:val="-6"/>
          <w:sz w:val="24"/>
          <w:szCs w:val="24"/>
        </w:rPr>
        <w:t>限公司生</w:t>
      </w:r>
      <w:r>
        <w:rPr>
          <w:rFonts w:ascii="宋体" w:hAnsi="宋体" w:eastAsia="宋体" w:cs="宋体"/>
          <w:spacing w:val="-2"/>
          <w:sz w:val="24"/>
          <w:szCs w:val="24"/>
        </w:rPr>
        <w:t>产有机肥，禁止将未腐熟或腐熟不够的有机肥外售施肥使用。</w:t>
      </w:r>
    </w:p>
    <w:p w14:paraId="2BCF4DBD">
      <w:pPr>
        <w:spacing w:before="2" w:line="359" w:lineRule="auto"/>
        <w:ind w:left="39" w:right="83"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）为了监测消纳区尾水使用对土壤环境的影响，建议每年对配套消纳土</w:t>
      </w:r>
      <w:r>
        <w:rPr>
          <w:rFonts w:ascii="宋体" w:hAnsi="宋体" w:eastAsia="宋体" w:cs="宋体"/>
          <w:spacing w:val="-3"/>
          <w:sz w:val="24"/>
          <w:szCs w:val="24"/>
        </w:rPr>
        <w:t>地土壤采样监测一次。</w:t>
      </w:r>
    </w:p>
    <w:p w14:paraId="14F031B6">
      <w:pPr>
        <w:spacing w:before="1" w:line="360" w:lineRule="auto"/>
        <w:ind w:left="39" w:right="84" w:firstLine="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）参照《生态环境部办公厅、农业农村部办公厅关于印发</w:t>
      </w:r>
      <w:r>
        <w:rPr>
          <w:rFonts w:ascii="Times New Roman" w:hAnsi="Times New Roman" w:eastAsia="Times New Roman" w:cs="Times New Roman"/>
          <w:spacing w:val="-4"/>
          <w:sz w:val="24"/>
          <w:szCs w:val="24"/>
        </w:rPr>
        <w:t>&lt;</w:t>
      </w:r>
      <w:r>
        <w:rPr>
          <w:rFonts w:ascii="宋体" w:hAnsi="宋体" w:eastAsia="宋体" w:cs="宋体"/>
          <w:spacing w:val="-4"/>
          <w:sz w:val="24"/>
          <w:szCs w:val="24"/>
        </w:rPr>
        <w:t>农业面源污染</w:t>
      </w:r>
      <w:r>
        <w:rPr>
          <w:rFonts w:ascii="宋体" w:hAnsi="宋体" w:eastAsia="宋体" w:cs="宋体"/>
          <w:spacing w:val="-2"/>
          <w:sz w:val="24"/>
          <w:szCs w:val="24"/>
        </w:rPr>
        <w:t>治理与监督指导实施方案（试行）</w:t>
      </w:r>
      <w:r>
        <w:rPr>
          <w:rFonts w:ascii="Times New Roman" w:hAnsi="Times New Roman" w:eastAsia="Times New Roman" w:cs="Times New Roman"/>
          <w:spacing w:val="-2"/>
          <w:sz w:val="24"/>
          <w:szCs w:val="24"/>
        </w:rPr>
        <w:t>&gt;</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的通知》（环办土壤</w:t>
      </w:r>
      <w:r>
        <w:rPr>
          <w:rFonts w:ascii="Times New Roman" w:hAnsi="Times New Roman" w:eastAsia="Times New Roman" w:cs="Times New Roman"/>
          <w:spacing w:val="-2"/>
          <w:sz w:val="24"/>
          <w:szCs w:val="24"/>
        </w:rPr>
        <w:t>[</w:t>
      </w:r>
      <w:r>
        <w:fldChar w:fldCharType="begin"/>
      </w:r>
      <w:r>
        <w:instrText xml:space="preserve"> HYPERLINK \l "bookmark187" </w:instrText>
      </w:r>
      <w:r>
        <w:fldChar w:fldCharType="separate"/>
      </w:r>
      <w:r>
        <w:rPr>
          <w:rFonts w:ascii="Times New Roman" w:hAnsi="Times New Roman" w:eastAsia="Times New Roman" w:cs="Times New Roman"/>
          <w:spacing w:val="-2"/>
          <w:sz w:val="24"/>
          <w:szCs w:val="24"/>
        </w:rPr>
        <w:t>2021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]8</w:t>
      </w:r>
      <w:r>
        <w:rPr>
          <w:rFonts w:ascii="宋体" w:hAnsi="宋体" w:eastAsia="宋体" w:cs="宋体"/>
          <w:spacing w:val="-2"/>
          <w:sz w:val="24"/>
          <w:szCs w:val="24"/>
        </w:rPr>
        <w:t>号）要求，切实</w:t>
      </w:r>
      <w:r>
        <w:rPr>
          <w:rFonts w:ascii="宋体" w:hAnsi="宋体" w:eastAsia="宋体" w:cs="宋体"/>
          <w:spacing w:val="-6"/>
          <w:sz w:val="24"/>
          <w:szCs w:val="24"/>
        </w:rPr>
        <w:t>保障消纳土地面积，发展种养结合、生态循环农业， 消纳土地</w:t>
      </w:r>
      <w:r>
        <w:rPr>
          <w:rFonts w:ascii="宋体" w:hAnsi="宋体" w:eastAsia="宋体" w:cs="宋体"/>
          <w:spacing w:val="-7"/>
          <w:sz w:val="24"/>
          <w:szCs w:val="24"/>
        </w:rPr>
        <w:t>作物种植管理过程</w:t>
      </w:r>
      <w:r>
        <w:rPr>
          <w:rFonts w:ascii="宋体" w:hAnsi="宋体" w:eastAsia="宋体" w:cs="宋体"/>
          <w:spacing w:val="-3"/>
          <w:sz w:val="24"/>
          <w:szCs w:val="24"/>
        </w:rPr>
        <w:t>实行化肥农药减量化，尽量少用或不用化肥农药，推广测土配方施肥、使用有机肥及生物杀虫技术，逐步改善土壤地力。消纳土地应按照作物种植结构、作物习性及生长需要控制灌溉水量，采用滴灌或喷灌等节水灌溉方式，避免大水漫灌等盲目灌溉方式，超过土壤承载能力，形成径流造成农业面源污染，不仅对土壤产</w:t>
      </w:r>
      <w:r>
        <w:rPr>
          <w:rFonts w:ascii="宋体" w:hAnsi="宋体" w:eastAsia="宋体" w:cs="宋体"/>
          <w:spacing w:val="-2"/>
          <w:sz w:val="24"/>
          <w:szCs w:val="24"/>
        </w:rPr>
        <w:t>生污染，也容易随径流进入地表水体而影响水质。</w:t>
      </w:r>
    </w:p>
    <w:p w14:paraId="4E6E1185">
      <w:pPr>
        <w:spacing w:before="167"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5.2.7  </w:t>
      </w:r>
      <w:r>
        <w:rPr>
          <w:rFonts w:ascii="宋体" w:hAnsi="宋体" w:eastAsia="宋体" w:cs="宋体"/>
          <w:b/>
          <w:bCs/>
          <w:spacing w:val="-2"/>
          <w:sz w:val="30"/>
          <w:szCs w:val="30"/>
        </w:rPr>
        <w:t>生态环境保护措施</w:t>
      </w:r>
    </w:p>
    <w:p w14:paraId="04CAC23A">
      <w:pPr>
        <w:pStyle w:val="2"/>
        <w:spacing w:line="258" w:lineRule="auto"/>
      </w:pPr>
    </w:p>
    <w:p w14:paraId="0F8E7B50">
      <w:pPr>
        <w:spacing w:before="78" w:line="217" w:lineRule="auto"/>
        <w:jc w:val="right"/>
        <w:rPr>
          <w:rFonts w:ascii="宋体" w:hAnsi="宋体" w:eastAsia="宋体" w:cs="宋体"/>
          <w:sz w:val="24"/>
          <w:szCs w:val="24"/>
        </w:rPr>
      </w:pPr>
      <w:r>
        <w:rPr>
          <w:rFonts w:ascii="宋体" w:hAnsi="宋体" w:eastAsia="宋体" w:cs="宋体"/>
          <w:spacing w:val="-8"/>
          <w:sz w:val="24"/>
          <w:szCs w:val="24"/>
        </w:rPr>
        <w:t>①饲料严格控制金属元素的添加量，不使用高铜制剂，严防土壤重金属污染。</w:t>
      </w:r>
    </w:p>
    <w:p w14:paraId="05B2FE1D">
      <w:pPr>
        <w:spacing w:before="186" w:line="360" w:lineRule="auto"/>
        <w:ind w:left="40" w:right="85" w:firstLine="477"/>
        <w:rPr>
          <w:rFonts w:ascii="宋体" w:hAnsi="宋体" w:eastAsia="宋体" w:cs="宋体"/>
          <w:sz w:val="24"/>
          <w:szCs w:val="24"/>
        </w:rPr>
      </w:pPr>
      <w:r>
        <w:rPr>
          <w:rFonts w:ascii="宋体" w:hAnsi="宋体" w:eastAsia="宋体" w:cs="宋体"/>
          <w:spacing w:val="-3"/>
          <w:sz w:val="24"/>
          <w:szCs w:val="24"/>
        </w:rPr>
        <w:t>②养猪场建设时，应把防治鼠害充分考虑进去，猪舍地基要打实，</w:t>
      </w:r>
      <w:r>
        <w:rPr>
          <w:rFonts w:ascii="宋体" w:hAnsi="宋体" w:eastAsia="宋体" w:cs="宋体"/>
          <w:spacing w:val="-4"/>
          <w:sz w:val="24"/>
          <w:szCs w:val="24"/>
        </w:rPr>
        <w:t>外墙入地</w:t>
      </w:r>
      <w:r>
        <w:rPr>
          <w:rFonts w:ascii="宋体" w:hAnsi="宋体" w:eastAsia="宋体" w:cs="宋体"/>
          <w:spacing w:val="-2"/>
          <w:sz w:val="24"/>
          <w:szCs w:val="24"/>
        </w:rPr>
        <w:t>要求较深，以防老鼠打洞钻入猪舍内，严防鼠类传播疫情。</w:t>
      </w:r>
    </w:p>
    <w:p w14:paraId="0C3C95DB">
      <w:pPr>
        <w:spacing w:line="360" w:lineRule="auto"/>
        <w:ind w:left="38" w:right="85" w:firstLine="479"/>
        <w:rPr>
          <w:rFonts w:ascii="宋体" w:hAnsi="宋体" w:eastAsia="宋体" w:cs="宋体"/>
          <w:sz w:val="24"/>
          <w:szCs w:val="24"/>
        </w:rPr>
      </w:pPr>
      <w:r>
        <w:rPr>
          <w:rFonts w:ascii="宋体" w:hAnsi="宋体" w:eastAsia="宋体" w:cs="宋体"/>
          <w:spacing w:val="-7"/>
          <w:sz w:val="24"/>
          <w:szCs w:val="24"/>
        </w:rPr>
        <w:t>③养猪场应以绿化美化为主，绿化方式为灌、乔、草立体植物种植为主， 并</w:t>
      </w:r>
      <w:r>
        <w:rPr>
          <w:rFonts w:ascii="宋体" w:hAnsi="宋体" w:eastAsia="宋体" w:cs="宋体"/>
          <w:spacing w:val="-3"/>
          <w:sz w:val="24"/>
          <w:szCs w:val="24"/>
        </w:rPr>
        <w:t>结合四季花卉植物形成良好景观。圈舍四周空闲地带以灌木绿篱、草皮种植结合</w:t>
      </w:r>
      <w:r>
        <w:rPr>
          <w:rFonts w:ascii="宋体" w:hAnsi="宋体" w:eastAsia="宋体" w:cs="宋体"/>
          <w:spacing w:val="-7"/>
          <w:sz w:val="24"/>
          <w:szCs w:val="24"/>
        </w:rPr>
        <w:t>代替裸地。</w:t>
      </w:r>
    </w:p>
    <w:p w14:paraId="61FD2366">
      <w:pPr>
        <w:spacing w:line="362" w:lineRule="auto"/>
        <w:ind w:left="45" w:right="85" w:firstLine="471"/>
        <w:rPr>
          <w:rFonts w:ascii="宋体" w:hAnsi="宋体" w:eastAsia="宋体" w:cs="宋体"/>
          <w:sz w:val="24"/>
          <w:szCs w:val="24"/>
        </w:rPr>
      </w:pPr>
      <w:r>
        <w:rPr>
          <w:rFonts w:ascii="宋体" w:hAnsi="宋体" w:eastAsia="宋体" w:cs="宋体"/>
          <w:spacing w:val="-3"/>
          <w:sz w:val="24"/>
          <w:szCs w:val="24"/>
        </w:rPr>
        <w:t>④疫病防治是本项目成功实施最重要的技术保证，采取各种措施增</w:t>
      </w:r>
      <w:r>
        <w:rPr>
          <w:rFonts w:ascii="宋体" w:hAnsi="宋体" w:eastAsia="宋体" w:cs="宋体"/>
          <w:spacing w:val="-4"/>
          <w:sz w:val="24"/>
          <w:szCs w:val="24"/>
        </w:rPr>
        <w:t>强猪只自</w:t>
      </w:r>
      <w:r>
        <w:rPr>
          <w:rFonts w:ascii="宋体" w:hAnsi="宋体" w:eastAsia="宋体" w:cs="宋体"/>
          <w:spacing w:val="-3"/>
          <w:sz w:val="24"/>
          <w:szCs w:val="24"/>
        </w:rPr>
        <w:t>身的抗病力，严格按照《中华人民共和国动物防疫法》的规定</w:t>
      </w:r>
      <w:r>
        <w:rPr>
          <w:rFonts w:ascii="宋体" w:hAnsi="宋体" w:eastAsia="宋体" w:cs="宋体"/>
          <w:spacing w:val="-4"/>
          <w:sz w:val="24"/>
          <w:szCs w:val="24"/>
        </w:rPr>
        <w:t>。养殖场建立健全</w:t>
      </w:r>
    </w:p>
    <w:p w14:paraId="09240A5E">
      <w:pPr>
        <w:spacing w:line="362" w:lineRule="auto"/>
        <w:rPr>
          <w:rFonts w:ascii="宋体" w:hAnsi="宋体" w:eastAsia="宋体" w:cs="宋体"/>
          <w:sz w:val="24"/>
          <w:szCs w:val="24"/>
        </w:rPr>
        <w:sectPr>
          <w:headerReference r:id="rId487" w:type="default"/>
          <w:footerReference r:id="rId488" w:type="default"/>
          <w:pgSz w:w="11905" w:h="16840"/>
          <w:pgMar w:top="1168" w:right="1712" w:bottom="1409" w:left="1770" w:header="828" w:footer="1244" w:gutter="0"/>
          <w:cols w:space="720" w:num="1"/>
        </w:sectPr>
      </w:pPr>
    </w:p>
    <w:p w14:paraId="5D8C2A94">
      <w:pPr>
        <w:pStyle w:val="2"/>
        <w:spacing w:line="305" w:lineRule="auto"/>
      </w:pPr>
    </w:p>
    <w:p w14:paraId="36BC277A">
      <w:pPr>
        <w:spacing w:before="78" w:line="361" w:lineRule="auto"/>
        <w:ind w:left="38" w:right="29"/>
        <w:jc w:val="both"/>
        <w:rPr>
          <w:rFonts w:ascii="宋体" w:hAnsi="宋体" w:eastAsia="宋体" w:cs="宋体"/>
          <w:sz w:val="24"/>
          <w:szCs w:val="24"/>
        </w:rPr>
      </w:pPr>
      <w:r>
        <w:rPr>
          <w:rFonts w:ascii="宋体" w:hAnsi="宋体" w:eastAsia="宋体" w:cs="宋体"/>
          <w:spacing w:val="-6"/>
          <w:sz w:val="24"/>
          <w:szCs w:val="24"/>
        </w:rPr>
        <w:t>疾病防治制度、检疫制度和严格的安全体系。圈舍通风采光必须良</w:t>
      </w:r>
      <w:r>
        <w:rPr>
          <w:rFonts w:ascii="宋体" w:hAnsi="宋体" w:eastAsia="宋体" w:cs="宋体"/>
          <w:spacing w:val="-7"/>
          <w:sz w:val="24"/>
          <w:szCs w:val="24"/>
        </w:rPr>
        <w:t>好， 定期进行</w:t>
      </w:r>
      <w:r>
        <w:rPr>
          <w:rFonts w:ascii="宋体" w:hAnsi="宋体" w:eastAsia="宋体" w:cs="宋体"/>
          <w:spacing w:val="-6"/>
          <w:sz w:val="24"/>
          <w:szCs w:val="24"/>
        </w:rPr>
        <w:t xml:space="preserve">消毒，进入场区的人员、车辆等进行彻底消毒灭菌处理， </w:t>
      </w:r>
      <w:r>
        <w:rPr>
          <w:rFonts w:ascii="宋体" w:hAnsi="宋体" w:eastAsia="宋体" w:cs="宋体"/>
          <w:spacing w:val="-7"/>
          <w:sz w:val="24"/>
          <w:szCs w:val="24"/>
        </w:rPr>
        <w:t>做好防虫防鼠工作。定</w:t>
      </w:r>
      <w:r>
        <w:rPr>
          <w:rFonts w:ascii="宋体" w:hAnsi="宋体" w:eastAsia="宋体" w:cs="宋体"/>
          <w:spacing w:val="-6"/>
          <w:sz w:val="24"/>
          <w:szCs w:val="24"/>
        </w:rPr>
        <w:t>期检查猪只健康状况，做到及时发现、及时隔离、及时救治</w:t>
      </w:r>
      <w:r>
        <w:rPr>
          <w:rFonts w:ascii="宋体" w:hAnsi="宋体" w:eastAsia="宋体" w:cs="宋体"/>
          <w:spacing w:val="-7"/>
          <w:sz w:val="24"/>
          <w:szCs w:val="24"/>
        </w:rPr>
        <w:t>， 严格控制疾病大面</w:t>
      </w:r>
      <w:r>
        <w:rPr>
          <w:rFonts w:ascii="宋体" w:hAnsi="宋体" w:eastAsia="宋体" w:cs="宋体"/>
          <w:spacing w:val="-9"/>
          <w:sz w:val="24"/>
          <w:szCs w:val="24"/>
        </w:rPr>
        <w:t>积传播。</w:t>
      </w:r>
    </w:p>
    <w:p w14:paraId="34BFFE3A">
      <w:pPr>
        <w:spacing w:before="152" w:line="220" w:lineRule="auto"/>
        <w:ind w:left="40"/>
        <w:rPr>
          <w:rFonts w:ascii="宋体" w:hAnsi="宋体" w:eastAsia="宋体" w:cs="宋体"/>
          <w:sz w:val="32"/>
          <w:szCs w:val="32"/>
        </w:rPr>
      </w:pPr>
      <w:bookmarkStart w:id="51" w:name="bookmark188"/>
      <w:bookmarkEnd w:id="51"/>
      <w:r>
        <w:rPr>
          <w:rFonts w:ascii="Times New Roman" w:hAnsi="Times New Roman" w:eastAsia="Times New Roman" w:cs="Times New Roman"/>
          <w:b/>
          <w:bCs/>
          <w:spacing w:val="-3"/>
          <w:sz w:val="32"/>
          <w:szCs w:val="32"/>
        </w:rPr>
        <w:t xml:space="preserve">5.3  </w:t>
      </w:r>
      <w:r>
        <w:rPr>
          <w:rFonts w:ascii="宋体" w:hAnsi="宋体" w:eastAsia="宋体" w:cs="宋体"/>
          <w:b/>
          <w:bCs/>
          <w:spacing w:val="-3"/>
          <w:sz w:val="32"/>
          <w:szCs w:val="32"/>
        </w:rPr>
        <w:t>污染防治措施一览表</w:t>
      </w:r>
    </w:p>
    <w:p w14:paraId="5BB6276D">
      <w:pPr>
        <w:pStyle w:val="2"/>
        <w:spacing w:line="245" w:lineRule="auto"/>
      </w:pPr>
    </w:p>
    <w:p w14:paraId="60444287">
      <w:pPr>
        <w:spacing w:before="78" w:line="219" w:lineRule="auto"/>
        <w:ind w:left="520"/>
        <w:rPr>
          <w:rFonts w:ascii="宋体" w:hAnsi="宋体" w:eastAsia="宋体" w:cs="宋体"/>
          <w:sz w:val="24"/>
          <w:szCs w:val="24"/>
        </w:rPr>
      </w:pPr>
      <w:r>
        <w:rPr>
          <w:rFonts w:ascii="宋体" w:hAnsi="宋体" w:eastAsia="宋体" w:cs="宋体"/>
          <w:sz w:val="24"/>
          <w:szCs w:val="24"/>
        </w:rPr>
        <w:t>本项目总投资</w:t>
      </w:r>
      <w:r>
        <w:rPr>
          <w:rFonts w:ascii="Times New Roman" w:hAnsi="Times New Roman" w:eastAsia="Times New Roman" w:cs="Times New Roman"/>
          <w:sz w:val="24"/>
          <w:szCs w:val="24"/>
        </w:rPr>
        <w:t>9900</w:t>
      </w:r>
      <w:r>
        <w:rPr>
          <w:rFonts w:ascii="宋体" w:hAnsi="宋体" w:eastAsia="宋体" w:cs="宋体"/>
          <w:sz w:val="24"/>
          <w:szCs w:val="24"/>
        </w:rPr>
        <w:t>万元，其中环保投资</w:t>
      </w:r>
      <w:r>
        <w:rPr>
          <w:rFonts w:ascii="Times New Roman" w:hAnsi="Times New Roman" w:eastAsia="Times New Roman" w:cs="Times New Roman"/>
          <w:sz w:val="24"/>
          <w:szCs w:val="24"/>
        </w:rPr>
        <w:t>770</w:t>
      </w:r>
      <w:r>
        <w:rPr>
          <w:rFonts w:ascii="宋体" w:hAnsi="宋体" w:eastAsia="宋体" w:cs="宋体"/>
          <w:sz w:val="24"/>
          <w:szCs w:val="24"/>
        </w:rPr>
        <w:t>万</w:t>
      </w:r>
      <w:r>
        <w:rPr>
          <w:rFonts w:ascii="宋体" w:hAnsi="宋体" w:eastAsia="宋体" w:cs="宋体"/>
          <w:spacing w:val="-1"/>
          <w:sz w:val="24"/>
          <w:szCs w:val="24"/>
        </w:rPr>
        <w:t>元，占总投资的</w:t>
      </w:r>
      <w:r>
        <w:rPr>
          <w:rFonts w:ascii="Times New Roman" w:hAnsi="Times New Roman" w:eastAsia="Times New Roman" w:cs="Times New Roman"/>
          <w:spacing w:val="-1"/>
          <w:sz w:val="24"/>
          <w:szCs w:val="24"/>
        </w:rPr>
        <w:t>7.8%</w:t>
      </w:r>
      <w:r>
        <w:rPr>
          <w:rFonts w:ascii="宋体" w:hAnsi="宋体" w:eastAsia="宋体" w:cs="宋体"/>
          <w:spacing w:val="-1"/>
          <w:sz w:val="24"/>
          <w:szCs w:val="24"/>
        </w:rPr>
        <w:t>。</w:t>
      </w:r>
    </w:p>
    <w:p w14:paraId="034EB130">
      <w:pPr>
        <w:spacing w:before="197" w:line="221" w:lineRule="auto"/>
        <w:ind w:left="2111"/>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1"/>
          <w:sz w:val="21"/>
          <w:szCs w:val="21"/>
        </w:rPr>
        <w:t xml:space="preserve"> </w:t>
      </w:r>
      <w:r>
        <w:rPr>
          <w:rFonts w:ascii="Times New Roman" w:hAnsi="Times New Roman" w:eastAsia="Times New Roman" w:cs="Times New Roman"/>
          <w:spacing w:val="-1"/>
          <w:sz w:val="21"/>
          <w:szCs w:val="21"/>
        </w:rPr>
        <w:t xml:space="preserve">5.3-1  </w:t>
      </w:r>
      <w:r>
        <w:rPr>
          <w:rFonts w:ascii="黑体" w:hAnsi="黑体" w:eastAsia="黑体" w:cs="黑体"/>
          <w:spacing w:val="-1"/>
          <w:sz w:val="21"/>
          <w:szCs w:val="21"/>
        </w:rPr>
        <w:t>项目污染防治措施及环保投资一览表</w:t>
      </w:r>
    </w:p>
    <w:p w14:paraId="5E4C3C86">
      <w:pPr>
        <w:spacing w:line="88"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965"/>
        <w:gridCol w:w="4671"/>
        <w:gridCol w:w="852"/>
        <w:gridCol w:w="1090"/>
      </w:tblGrid>
      <w:tr w14:paraId="07B06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42" w:type="dxa"/>
            <w:vAlign w:val="top"/>
          </w:tcPr>
          <w:p w14:paraId="161FCAE1">
            <w:pPr>
              <w:spacing w:before="34" w:line="220" w:lineRule="auto"/>
              <w:ind w:left="166"/>
              <w:rPr>
                <w:rFonts w:ascii="宋体" w:hAnsi="宋体" w:eastAsia="宋体" w:cs="宋体"/>
                <w:sz w:val="21"/>
                <w:szCs w:val="21"/>
              </w:rPr>
            </w:pPr>
            <w:r>
              <w:rPr>
                <w:rFonts w:ascii="宋体" w:hAnsi="宋体" w:eastAsia="宋体" w:cs="宋体"/>
                <w:spacing w:val="-3"/>
                <w:sz w:val="21"/>
                <w:szCs w:val="21"/>
              </w:rPr>
              <w:t>环境</w:t>
            </w:r>
          </w:p>
          <w:p w14:paraId="5D239465">
            <w:pPr>
              <w:spacing w:before="21" w:line="209" w:lineRule="auto"/>
              <w:ind w:left="167"/>
              <w:rPr>
                <w:rFonts w:ascii="宋体" w:hAnsi="宋体" w:eastAsia="宋体" w:cs="宋体"/>
                <w:sz w:val="21"/>
                <w:szCs w:val="21"/>
              </w:rPr>
            </w:pPr>
            <w:r>
              <w:rPr>
                <w:rFonts w:ascii="宋体" w:hAnsi="宋体" w:eastAsia="宋体" w:cs="宋体"/>
                <w:spacing w:val="-3"/>
                <w:sz w:val="21"/>
                <w:szCs w:val="21"/>
              </w:rPr>
              <w:t>要素</w:t>
            </w:r>
          </w:p>
        </w:tc>
        <w:tc>
          <w:tcPr>
            <w:tcW w:w="965" w:type="dxa"/>
            <w:vAlign w:val="top"/>
          </w:tcPr>
          <w:p w14:paraId="5515D390">
            <w:pPr>
              <w:spacing w:before="171" w:line="220" w:lineRule="auto"/>
              <w:ind w:left="71"/>
              <w:rPr>
                <w:rFonts w:ascii="宋体" w:hAnsi="宋体" w:eastAsia="宋体" w:cs="宋体"/>
                <w:sz w:val="21"/>
                <w:szCs w:val="21"/>
              </w:rPr>
            </w:pPr>
            <w:r>
              <w:rPr>
                <w:rFonts w:ascii="宋体" w:hAnsi="宋体" w:eastAsia="宋体" w:cs="宋体"/>
                <w:spacing w:val="-3"/>
                <w:sz w:val="21"/>
                <w:szCs w:val="21"/>
              </w:rPr>
              <w:t>治理项目</w:t>
            </w:r>
          </w:p>
        </w:tc>
        <w:tc>
          <w:tcPr>
            <w:tcW w:w="4671" w:type="dxa"/>
            <w:vAlign w:val="top"/>
          </w:tcPr>
          <w:p w14:paraId="1D6B4C8F">
            <w:pPr>
              <w:spacing w:before="171" w:line="220" w:lineRule="auto"/>
              <w:ind w:left="2014"/>
              <w:rPr>
                <w:rFonts w:ascii="宋体" w:hAnsi="宋体" w:eastAsia="宋体" w:cs="宋体"/>
                <w:sz w:val="21"/>
                <w:szCs w:val="21"/>
              </w:rPr>
            </w:pPr>
            <w:r>
              <w:rPr>
                <w:rFonts w:ascii="宋体" w:hAnsi="宋体" w:eastAsia="宋体" w:cs="宋体"/>
                <w:spacing w:val="-3"/>
                <w:sz w:val="21"/>
                <w:szCs w:val="21"/>
              </w:rPr>
              <w:t>治理措施</w:t>
            </w:r>
          </w:p>
        </w:tc>
        <w:tc>
          <w:tcPr>
            <w:tcW w:w="852" w:type="dxa"/>
            <w:vAlign w:val="top"/>
          </w:tcPr>
          <w:p w14:paraId="6AB89E90">
            <w:pPr>
              <w:spacing w:before="34" w:line="220" w:lineRule="auto"/>
              <w:jc w:val="right"/>
              <w:rPr>
                <w:rFonts w:ascii="宋体" w:hAnsi="宋体" w:eastAsia="宋体" w:cs="宋体"/>
                <w:sz w:val="21"/>
                <w:szCs w:val="21"/>
              </w:rPr>
            </w:pPr>
            <w:r>
              <w:rPr>
                <w:rFonts w:ascii="宋体" w:hAnsi="宋体" w:eastAsia="宋体" w:cs="宋体"/>
                <w:spacing w:val="-3"/>
                <w:sz w:val="21"/>
                <w:szCs w:val="21"/>
              </w:rPr>
              <w:t>环保投资</w:t>
            </w:r>
          </w:p>
          <w:p w14:paraId="3D3EE3C6">
            <w:pPr>
              <w:spacing w:before="21" w:line="209" w:lineRule="auto"/>
              <w:ind w:left="19"/>
              <w:rPr>
                <w:rFonts w:ascii="宋体" w:hAnsi="宋体" w:eastAsia="宋体" w:cs="宋体"/>
                <w:sz w:val="21"/>
                <w:szCs w:val="21"/>
              </w:rPr>
            </w:pPr>
            <w:r>
              <w:rPr>
                <w:rFonts w:ascii="宋体" w:hAnsi="宋体" w:eastAsia="宋体" w:cs="宋体"/>
                <w:spacing w:val="-6"/>
                <w:sz w:val="21"/>
                <w:szCs w:val="21"/>
              </w:rPr>
              <w:t>（万元）</w:t>
            </w:r>
          </w:p>
        </w:tc>
        <w:tc>
          <w:tcPr>
            <w:tcW w:w="1090" w:type="dxa"/>
            <w:vAlign w:val="top"/>
          </w:tcPr>
          <w:p w14:paraId="2AEA2D70">
            <w:pPr>
              <w:spacing w:before="171" w:line="220" w:lineRule="auto"/>
              <w:ind w:left="135"/>
              <w:rPr>
                <w:rFonts w:ascii="宋体" w:hAnsi="宋体" w:eastAsia="宋体" w:cs="宋体"/>
                <w:sz w:val="21"/>
                <w:szCs w:val="21"/>
              </w:rPr>
            </w:pPr>
            <w:r>
              <w:rPr>
                <w:rFonts w:ascii="宋体" w:hAnsi="宋体" w:eastAsia="宋体" w:cs="宋体"/>
                <w:spacing w:val="-3"/>
                <w:sz w:val="21"/>
                <w:szCs w:val="21"/>
              </w:rPr>
              <w:t>治理效果</w:t>
            </w:r>
          </w:p>
        </w:tc>
      </w:tr>
      <w:tr w14:paraId="653DC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42" w:type="dxa"/>
            <w:vAlign w:val="top"/>
          </w:tcPr>
          <w:p w14:paraId="02703E98">
            <w:pPr>
              <w:spacing w:line="303" w:lineRule="auto"/>
              <w:rPr>
                <w:rFonts w:ascii="Arial"/>
                <w:sz w:val="21"/>
              </w:rPr>
            </w:pPr>
          </w:p>
          <w:p w14:paraId="232FB6A0">
            <w:pPr>
              <w:spacing w:line="303" w:lineRule="auto"/>
              <w:rPr>
                <w:rFonts w:ascii="Arial"/>
                <w:sz w:val="21"/>
              </w:rPr>
            </w:pPr>
          </w:p>
          <w:p w14:paraId="316DA2DE">
            <w:pPr>
              <w:spacing w:line="303" w:lineRule="auto"/>
              <w:rPr>
                <w:rFonts w:ascii="Arial"/>
                <w:sz w:val="21"/>
              </w:rPr>
            </w:pPr>
          </w:p>
          <w:p w14:paraId="62662554">
            <w:pPr>
              <w:spacing w:before="68" w:line="220" w:lineRule="auto"/>
              <w:ind w:left="61"/>
              <w:rPr>
                <w:rFonts w:ascii="宋体" w:hAnsi="宋体" w:eastAsia="宋体" w:cs="宋体"/>
                <w:sz w:val="21"/>
                <w:szCs w:val="21"/>
              </w:rPr>
            </w:pPr>
            <w:r>
              <w:rPr>
                <w:rFonts w:ascii="宋体" w:hAnsi="宋体" w:eastAsia="宋体" w:cs="宋体"/>
                <w:spacing w:val="-2"/>
                <w:sz w:val="21"/>
                <w:szCs w:val="21"/>
              </w:rPr>
              <w:t>地表水</w:t>
            </w:r>
          </w:p>
        </w:tc>
        <w:tc>
          <w:tcPr>
            <w:tcW w:w="965" w:type="dxa"/>
            <w:vAlign w:val="top"/>
          </w:tcPr>
          <w:p w14:paraId="357ED6DE">
            <w:pPr>
              <w:spacing w:line="257" w:lineRule="auto"/>
              <w:rPr>
                <w:rFonts w:ascii="Arial"/>
                <w:sz w:val="21"/>
              </w:rPr>
            </w:pPr>
          </w:p>
          <w:p w14:paraId="685DA189">
            <w:pPr>
              <w:spacing w:line="258" w:lineRule="auto"/>
              <w:rPr>
                <w:rFonts w:ascii="Arial"/>
                <w:sz w:val="21"/>
              </w:rPr>
            </w:pPr>
          </w:p>
          <w:p w14:paraId="10167DFC">
            <w:pPr>
              <w:spacing w:line="258" w:lineRule="auto"/>
              <w:rPr>
                <w:rFonts w:ascii="Arial"/>
                <w:sz w:val="21"/>
              </w:rPr>
            </w:pPr>
          </w:p>
          <w:p w14:paraId="1B47E140">
            <w:pPr>
              <w:spacing w:before="68" w:line="220" w:lineRule="auto"/>
              <w:ind w:left="67"/>
              <w:rPr>
                <w:rFonts w:ascii="宋体" w:hAnsi="宋体" w:eastAsia="宋体" w:cs="宋体"/>
                <w:sz w:val="21"/>
                <w:szCs w:val="21"/>
              </w:rPr>
            </w:pPr>
            <w:r>
              <w:rPr>
                <w:rFonts w:ascii="宋体" w:hAnsi="宋体" w:eastAsia="宋体" w:cs="宋体"/>
                <w:spacing w:val="-2"/>
                <w:sz w:val="21"/>
                <w:szCs w:val="21"/>
              </w:rPr>
              <w:t>养殖废水</w:t>
            </w:r>
          </w:p>
          <w:p w14:paraId="20E7C5E3">
            <w:pPr>
              <w:spacing w:before="22" w:line="220" w:lineRule="auto"/>
              <w:ind w:left="68"/>
              <w:rPr>
                <w:rFonts w:ascii="宋体" w:hAnsi="宋体" w:eastAsia="宋体" w:cs="宋体"/>
                <w:sz w:val="21"/>
                <w:szCs w:val="21"/>
              </w:rPr>
            </w:pPr>
            <w:r>
              <w:rPr>
                <w:rFonts w:ascii="宋体" w:hAnsi="宋体" w:eastAsia="宋体" w:cs="宋体"/>
                <w:spacing w:val="-2"/>
                <w:sz w:val="21"/>
                <w:szCs w:val="21"/>
              </w:rPr>
              <w:t>生活污水</w:t>
            </w:r>
          </w:p>
        </w:tc>
        <w:tc>
          <w:tcPr>
            <w:tcW w:w="4671" w:type="dxa"/>
            <w:vAlign w:val="top"/>
          </w:tcPr>
          <w:p w14:paraId="78BA1D58">
            <w:pPr>
              <w:pStyle w:val="6"/>
              <w:spacing w:before="32" w:line="238" w:lineRule="auto"/>
              <w:ind w:left="9" w:firstLine="1"/>
              <w:jc w:val="both"/>
              <w:rPr>
                <w:rFonts w:ascii="宋体" w:hAnsi="宋体" w:eastAsia="宋体" w:cs="宋体"/>
              </w:rPr>
            </w:pPr>
            <w:r>
              <w:rPr>
                <w:rFonts w:ascii="宋体" w:hAnsi="宋体" w:eastAsia="宋体" w:cs="宋体"/>
                <w:spacing w:val="-5"/>
              </w:rPr>
              <w:t>污水处理站采取“粪污收集池</w:t>
            </w:r>
            <w:r>
              <w:rPr>
                <w:spacing w:val="-5"/>
              </w:rPr>
              <w:t>+</w:t>
            </w:r>
            <w:r>
              <w:rPr>
                <w:spacing w:val="-26"/>
              </w:rPr>
              <w:t xml:space="preserve"> </w:t>
            </w:r>
            <w:r>
              <w:rPr>
                <w:rFonts w:ascii="宋体" w:hAnsi="宋体" w:eastAsia="宋体" w:cs="宋体"/>
                <w:spacing w:val="-5"/>
              </w:rPr>
              <w:t>固液分离</w:t>
            </w:r>
            <w:r>
              <w:rPr>
                <w:spacing w:val="-5"/>
              </w:rPr>
              <w:t>+</w:t>
            </w:r>
            <w:r>
              <w:rPr>
                <w:rFonts w:ascii="宋体" w:hAnsi="宋体" w:eastAsia="宋体" w:cs="宋体"/>
                <w:spacing w:val="-5"/>
              </w:rPr>
              <w:t>水解酸化</w:t>
            </w:r>
            <w:r>
              <w:rPr>
                <w:rFonts w:ascii="宋体" w:hAnsi="宋体" w:eastAsia="宋体" w:cs="宋体"/>
              </w:rPr>
              <w:t>池</w:t>
            </w:r>
            <w:r>
              <w:t xml:space="preserve">+CSTR  </w:t>
            </w:r>
            <w:r>
              <w:rPr>
                <w:rFonts w:ascii="宋体" w:hAnsi="宋体" w:eastAsia="宋体" w:cs="宋体"/>
              </w:rPr>
              <w:t>厌氧反应器</w:t>
            </w:r>
            <w:r>
              <w:t>+</w:t>
            </w:r>
            <w:r>
              <w:rPr>
                <w:rFonts w:ascii="宋体" w:hAnsi="宋体" w:eastAsia="宋体" w:cs="宋体"/>
              </w:rPr>
              <w:t>微生物曝氧塘</w:t>
            </w:r>
            <w:r>
              <w:t>+</w:t>
            </w:r>
            <w:r>
              <w:rPr>
                <w:rFonts w:ascii="宋体" w:hAnsi="宋体" w:eastAsia="宋体" w:cs="宋体"/>
              </w:rPr>
              <w:t>前置物化系</w:t>
            </w:r>
            <w:r>
              <w:rPr>
                <w:rFonts w:ascii="宋体" w:hAnsi="宋体" w:eastAsia="宋体" w:cs="宋体"/>
                <w:spacing w:val="4"/>
              </w:rPr>
              <w:t>统</w:t>
            </w:r>
            <w:r>
              <w:rPr>
                <w:spacing w:val="4"/>
              </w:rPr>
              <w:t>+</w:t>
            </w:r>
            <w:r>
              <w:rPr>
                <w:rFonts w:ascii="宋体" w:hAnsi="宋体" w:eastAsia="宋体" w:cs="宋体"/>
                <w:spacing w:val="4"/>
              </w:rPr>
              <w:t>一级缺氧池</w:t>
            </w:r>
            <w:r>
              <w:rPr>
                <w:spacing w:val="4"/>
              </w:rPr>
              <w:t>+</w:t>
            </w:r>
            <w:r>
              <w:rPr>
                <w:rFonts w:ascii="宋体" w:hAnsi="宋体" w:eastAsia="宋体" w:cs="宋体"/>
                <w:spacing w:val="4"/>
              </w:rPr>
              <w:t>一级好氧池</w:t>
            </w:r>
            <w:r>
              <w:rPr>
                <w:spacing w:val="4"/>
              </w:rPr>
              <w:t>+</w:t>
            </w:r>
            <w:r>
              <w:rPr>
                <w:rFonts w:ascii="宋体" w:hAnsi="宋体" w:eastAsia="宋体" w:cs="宋体"/>
                <w:spacing w:val="4"/>
              </w:rPr>
              <w:t>一级沉淀池</w:t>
            </w:r>
            <w:r>
              <w:rPr>
                <w:spacing w:val="4"/>
              </w:rPr>
              <w:t>+</w:t>
            </w:r>
            <w:r>
              <w:rPr>
                <w:rFonts w:ascii="宋体" w:hAnsi="宋体" w:eastAsia="宋体" w:cs="宋体"/>
                <w:spacing w:val="4"/>
              </w:rPr>
              <w:t>二级缺</w:t>
            </w:r>
            <w:r>
              <w:rPr>
                <w:rFonts w:ascii="宋体" w:hAnsi="宋体" w:eastAsia="宋体" w:cs="宋体"/>
                <w:spacing w:val="8"/>
              </w:rPr>
              <w:t>氧池</w:t>
            </w:r>
            <w:r>
              <w:rPr>
                <w:spacing w:val="8"/>
              </w:rPr>
              <w:t>+</w:t>
            </w:r>
            <w:r>
              <w:rPr>
                <w:spacing w:val="-18"/>
              </w:rPr>
              <w:t xml:space="preserve"> </w:t>
            </w:r>
            <w:r>
              <w:rPr>
                <w:rFonts w:ascii="宋体" w:hAnsi="宋体" w:eastAsia="宋体" w:cs="宋体"/>
                <w:spacing w:val="8"/>
              </w:rPr>
              <w:t>二级好氧池</w:t>
            </w:r>
            <w:r>
              <w:rPr>
                <w:spacing w:val="8"/>
              </w:rPr>
              <w:t>+</w:t>
            </w:r>
            <w:r>
              <w:rPr>
                <w:spacing w:val="-22"/>
              </w:rPr>
              <w:t xml:space="preserve"> </w:t>
            </w:r>
            <w:r>
              <w:rPr>
                <w:rFonts w:ascii="宋体" w:hAnsi="宋体" w:eastAsia="宋体" w:cs="宋体"/>
                <w:spacing w:val="8"/>
              </w:rPr>
              <w:t>二级沉淀池</w:t>
            </w:r>
            <w:r>
              <w:rPr>
                <w:spacing w:val="8"/>
              </w:rPr>
              <w:t>+</w:t>
            </w:r>
            <w:r>
              <w:rPr>
                <w:spacing w:val="-22"/>
              </w:rPr>
              <w:t xml:space="preserve"> </w:t>
            </w:r>
            <w:r>
              <w:rPr>
                <w:rFonts w:ascii="宋体" w:hAnsi="宋体" w:eastAsia="宋体" w:cs="宋体"/>
                <w:spacing w:val="8"/>
              </w:rPr>
              <w:t>混凝沉淀</w:t>
            </w:r>
            <w:r>
              <w:rPr>
                <w:spacing w:val="8"/>
              </w:rPr>
              <w:t>+</w:t>
            </w:r>
            <w:r>
              <w:rPr>
                <w:spacing w:val="-20"/>
              </w:rPr>
              <w:t xml:space="preserve"> </w:t>
            </w:r>
            <w:r>
              <w:rPr>
                <w:rFonts w:ascii="宋体" w:hAnsi="宋体" w:eastAsia="宋体" w:cs="宋体"/>
                <w:spacing w:val="8"/>
              </w:rPr>
              <w:t>消毒</w:t>
            </w:r>
            <w:r>
              <w:rPr>
                <w:rFonts w:ascii="宋体" w:hAnsi="宋体" w:eastAsia="宋体" w:cs="宋体"/>
                <w:spacing w:val="-8"/>
              </w:rPr>
              <w:t>池”处理工艺，废水经处理达《农田灌溉水质标准》</w:t>
            </w:r>
            <w:r>
              <w:rPr>
                <w:rFonts w:ascii="宋体" w:hAnsi="宋体" w:eastAsia="宋体" w:cs="宋体"/>
                <w:spacing w:val="9"/>
              </w:rPr>
              <w:t xml:space="preserve"> </w:t>
            </w:r>
            <w:r>
              <w:rPr>
                <w:rFonts w:ascii="宋体" w:hAnsi="宋体" w:eastAsia="宋体" w:cs="宋体"/>
                <w:spacing w:val="-4"/>
              </w:rPr>
              <w:t>（</w:t>
            </w:r>
            <w:r>
              <w:rPr>
                <w:spacing w:val="-4"/>
              </w:rPr>
              <w:t>GB5084-2021</w:t>
            </w:r>
            <w:r>
              <w:rPr>
                <w:rFonts w:ascii="宋体" w:hAnsi="宋体" w:eastAsia="宋体" w:cs="宋体"/>
                <w:spacing w:val="-4"/>
              </w:rPr>
              <w:t>）旱地作物限值后用于消</w:t>
            </w:r>
            <w:r>
              <w:rPr>
                <w:rFonts w:ascii="宋体" w:hAnsi="宋体" w:eastAsia="宋体" w:cs="宋体"/>
                <w:spacing w:val="-5"/>
              </w:rPr>
              <w:t>纳地农灌，污水处理规模为</w:t>
            </w:r>
            <w:r>
              <w:rPr>
                <w:rFonts w:ascii="宋体" w:hAnsi="宋体" w:eastAsia="宋体" w:cs="宋体"/>
                <w:spacing w:val="-33"/>
              </w:rPr>
              <w:t xml:space="preserve"> </w:t>
            </w:r>
            <w:r>
              <w:rPr>
                <w:spacing w:val="-5"/>
              </w:rPr>
              <w:t>500m</w:t>
            </w:r>
            <w:r>
              <w:rPr>
                <w:spacing w:val="-5"/>
                <w:position w:val="9"/>
                <w:sz w:val="14"/>
                <w:szCs w:val="14"/>
              </w:rPr>
              <w:t>3</w:t>
            </w:r>
            <w:r>
              <w:rPr>
                <w:spacing w:val="-5"/>
              </w:rPr>
              <w:t>/d</w:t>
            </w:r>
            <w:r>
              <w:rPr>
                <w:rFonts w:ascii="宋体" w:hAnsi="宋体" w:eastAsia="宋体" w:cs="宋体"/>
                <w:spacing w:val="-5"/>
              </w:rPr>
              <w:t>。</w:t>
            </w:r>
          </w:p>
          <w:p w14:paraId="4FE9E750">
            <w:pPr>
              <w:pStyle w:val="6"/>
              <w:spacing w:line="208" w:lineRule="auto"/>
              <w:ind w:left="13"/>
              <w:rPr>
                <w:rFonts w:ascii="宋体" w:hAnsi="宋体" w:eastAsia="宋体" w:cs="宋体"/>
              </w:rPr>
            </w:pPr>
            <w:r>
              <w:rPr>
                <w:rFonts w:ascii="宋体" w:hAnsi="宋体" w:eastAsia="宋体" w:cs="宋体"/>
                <w:spacing w:val="-2"/>
              </w:rPr>
              <w:t>消纳土地设置</w:t>
            </w:r>
            <w:r>
              <w:rPr>
                <w:rFonts w:ascii="宋体" w:hAnsi="宋体" w:eastAsia="宋体" w:cs="宋体"/>
                <w:spacing w:val="-42"/>
              </w:rPr>
              <w:t xml:space="preserve"> </w:t>
            </w:r>
            <w:r>
              <w:rPr>
                <w:spacing w:val="-2"/>
              </w:rPr>
              <w:t xml:space="preserve">5 </w:t>
            </w:r>
            <w:r>
              <w:rPr>
                <w:rFonts w:ascii="宋体" w:hAnsi="宋体" w:eastAsia="宋体" w:cs="宋体"/>
                <w:spacing w:val="-2"/>
              </w:rPr>
              <w:t>座田间储存池及</w:t>
            </w:r>
            <w:r>
              <w:rPr>
                <w:rFonts w:ascii="宋体" w:hAnsi="宋体" w:eastAsia="宋体" w:cs="宋体"/>
                <w:spacing w:val="-49"/>
              </w:rPr>
              <w:t xml:space="preserve"> </w:t>
            </w:r>
            <w:r>
              <w:rPr>
                <w:spacing w:val="-2"/>
              </w:rPr>
              <w:t xml:space="preserve">PE </w:t>
            </w:r>
            <w:r>
              <w:rPr>
                <w:rFonts w:ascii="宋体" w:hAnsi="宋体" w:eastAsia="宋体" w:cs="宋体"/>
                <w:spacing w:val="-2"/>
              </w:rPr>
              <w:t>灌</w:t>
            </w:r>
            <w:r>
              <w:rPr>
                <w:rFonts w:ascii="宋体" w:hAnsi="宋体" w:eastAsia="宋体" w:cs="宋体"/>
                <w:spacing w:val="-3"/>
              </w:rPr>
              <w:t>溉管网。</w:t>
            </w:r>
          </w:p>
        </w:tc>
        <w:tc>
          <w:tcPr>
            <w:tcW w:w="852" w:type="dxa"/>
            <w:vAlign w:val="top"/>
          </w:tcPr>
          <w:p w14:paraId="57DA7F09">
            <w:pPr>
              <w:spacing w:line="317" w:lineRule="auto"/>
              <w:rPr>
                <w:rFonts w:ascii="Arial"/>
                <w:sz w:val="21"/>
              </w:rPr>
            </w:pPr>
          </w:p>
          <w:p w14:paraId="450609EF">
            <w:pPr>
              <w:spacing w:line="318" w:lineRule="auto"/>
              <w:rPr>
                <w:rFonts w:ascii="Arial"/>
                <w:sz w:val="21"/>
              </w:rPr>
            </w:pPr>
          </w:p>
          <w:p w14:paraId="3F766E6D">
            <w:pPr>
              <w:spacing w:line="318" w:lineRule="auto"/>
              <w:rPr>
                <w:rFonts w:ascii="Arial"/>
                <w:sz w:val="21"/>
              </w:rPr>
            </w:pPr>
          </w:p>
          <w:p w14:paraId="66D89AF9">
            <w:pPr>
              <w:pStyle w:val="6"/>
              <w:spacing w:before="61" w:line="188" w:lineRule="auto"/>
              <w:ind w:left="277"/>
            </w:pPr>
            <w:r>
              <w:rPr>
                <w:spacing w:val="-4"/>
              </w:rPr>
              <w:t>600</w:t>
            </w:r>
          </w:p>
        </w:tc>
        <w:tc>
          <w:tcPr>
            <w:tcW w:w="1090" w:type="dxa"/>
            <w:vAlign w:val="top"/>
          </w:tcPr>
          <w:p w14:paraId="24998F0F">
            <w:pPr>
              <w:spacing w:line="257" w:lineRule="auto"/>
              <w:rPr>
                <w:rFonts w:ascii="Arial"/>
                <w:sz w:val="21"/>
              </w:rPr>
            </w:pPr>
          </w:p>
          <w:p w14:paraId="4A2B8813">
            <w:pPr>
              <w:spacing w:line="258" w:lineRule="auto"/>
              <w:rPr>
                <w:rFonts w:ascii="Arial"/>
                <w:sz w:val="21"/>
              </w:rPr>
            </w:pPr>
          </w:p>
          <w:p w14:paraId="7EC0CAD4">
            <w:pPr>
              <w:spacing w:line="258" w:lineRule="auto"/>
              <w:rPr>
                <w:rFonts w:ascii="Arial"/>
                <w:sz w:val="21"/>
              </w:rPr>
            </w:pPr>
          </w:p>
          <w:p w14:paraId="2CA358D2">
            <w:pPr>
              <w:spacing w:before="68" w:line="242" w:lineRule="auto"/>
              <w:ind w:left="27" w:right="17" w:hanging="2"/>
              <w:rPr>
                <w:rFonts w:ascii="宋体" w:hAnsi="宋体" w:eastAsia="宋体" w:cs="宋体"/>
                <w:sz w:val="21"/>
                <w:szCs w:val="21"/>
              </w:rPr>
            </w:pPr>
            <w:r>
              <w:rPr>
                <w:rFonts w:ascii="宋体" w:hAnsi="宋体" w:eastAsia="宋体" w:cs="宋体"/>
                <w:spacing w:val="-2"/>
                <w:sz w:val="21"/>
                <w:szCs w:val="21"/>
              </w:rPr>
              <w:t>废水农灌利用，不外排</w:t>
            </w:r>
          </w:p>
        </w:tc>
      </w:tr>
      <w:tr w14:paraId="386E6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742" w:type="dxa"/>
            <w:vMerge w:val="restart"/>
            <w:tcBorders>
              <w:bottom w:val="nil"/>
            </w:tcBorders>
            <w:vAlign w:val="top"/>
          </w:tcPr>
          <w:p w14:paraId="2FAC12C6">
            <w:pPr>
              <w:spacing w:line="316" w:lineRule="auto"/>
              <w:rPr>
                <w:rFonts w:ascii="Arial"/>
                <w:sz w:val="21"/>
              </w:rPr>
            </w:pPr>
          </w:p>
          <w:p w14:paraId="629E9A26">
            <w:pPr>
              <w:spacing w:line="316" w:lineRule="auto"/>
              <w:rPr>
                <w:rFonts w:ascii="Arial"/>
                <w:sz w:val="21"/>
              </w:rPr>
            </w:pPr>
          </w:p>
          <w:p w14:paraId="0CB91D2C">
            <w:pPr>
              <w:spacing w:line="316" w:lineRule="auto"/>
              <w:rPr>
                <w:rFonts w:ascii="Arial"/>
                <w:sz w:val="21"/>
              </w:rPr>
            </w:pPr>
          </w:p>
          <w:p w14:paraId="5733D462">
            <w:pPr>
              <w:spacing w:before="69" w:line="220" w:lineRule="auto"/>
              <w:ind w:left="168"/>
              <w:rPr>
                <w:rFonts w:ascii="宋体" w:hAnsi="宋体" w:eastAsia="宋体" w:cs="宋体"/>
                <w:sz w:val="21"/>
                <w:szCs w:val="21"/>
              </w:rPr>
            </w:pPr>
            <w:r>
              <w:rPr>
                <w:rFonts w:ascii="宋体" w:hAnsi="宋体" w:eastAsia="宋体" w:cs="宋体"/>
                <w:spacing w:val="-3"/>
                <w:sz w:val="21"/>
                <w:szCs w:val="21"/>
              </w:rPr>
              <w:t>大气</w:t>
            </w:r>
          </w:p>
        </w:tc>
        <w:tc>
          <w:tcPr>
            <w:tcW w:w="965" w:type="dxa"/>
            <w:vAlign w:val="top"/>
          </w:tcPr>
          <w:p w14:paraId="79C36540">
            <w:pPr>
              <w:spacing w:line="258" w:lineRule="auto"/>
              <w:rPr>
                <w:rFonts w:ascii="Arial"/>
                <w:sz w:val="21"/>
              </w:rPr>
            </w:pPr>
          </w:p>
          <w:p w14:paraId="6C17B529">
            <w:pPr>
              <w:spacing w:line="258" w:lineRule="auto"/>
              <w:rPr>
                <w:rFonts w:ascii="Arial"/>
                <w:sz w:val="21"/>
              </w:rPr>
            </w:pPr>
          </w:p>
          <w:p w14:paraId="0264472D">
            <w:pPr>
              <w:spacing w:line="258" w:lineRule="auto"/>
              <w:rPr>
                <w:rFonts w:ascii="Arial"/>
                <w:sz w:val="21"/>
              </w:rPr>
            </w:pPr>
          </w:p>
          <w:p w14:paraId="460B0F43">
            <w:pPr>
              <w:spacing w:before="68" w:line="220" w:lineRule="auto"/>
              <w:ind w:left="277"/>
              <w:rPr>
                <w:rFonts w:ascii="宋体" w:hAnsi="宋体" w:eastAsia="宋体" w:cs="宋体"/>
                <w:sz w:val="21"/>
                <w:szCs w:val="21"/>
              </w:rPr>
            </w:pPr>
            <w:r>
              <w:rPr>
                <w:rFonts w:ascii="宋体" w:hAnsi="宋体" w:eastAsia="宋体" w:cs="宋体"/>
                <w:spacing w:val="-3"/>
                <w:sz w:val="21"/>
                <w:szCs w:val="21"/>
              </w:rPr>
              <w:t>恶臭</w:t>
            </w:r>
          </w:p>
        </w:tc>
        <w:tc>
          <w:tcPr>
            <w:tcW w:w="4671" w:type="dxa"/>
            <w:vAlign w:val="top"/>
          </w:tcPr>
          <w:p w14:paraId="2EBF0F47">
            <w:pPr>
              <w:pStyle w:val="6"/>
              <w:spacing w:before="28" w:line="235" w:lineRule="auto"/>
              <w:ind w:left="8"/>
              <w:jc w:val="both"/>
              <w:rPr>
                <w:rFonts w:ascii="宋体" w:hAnsi="宋体" w:eastAsia="宋体" w:cs="宋体"/>
              </w:rPr>
            </w:pPr>
            <w:r>
              <w:rPr>
                <w:rFonts w:ascii="宋体" w:hAnsi="宋体" w:eastAsia="宋体" w:cs="宋体"/>
                <w:spacing w:val="1"/>
              </w:rPr>
              <w:t>猪舍优化饲料，喷生物除臭剂，粪污及时清理，猪舍机械通风，并在出风口一侧生物喷雾除臭；堆粪棚及污水处理站喷除臭剂，污水处理站的粪污收集</w:t>
            </w:r>
            <w:r>
              <w:rPr>
                <w:rFonts w:ascii="宋体" w:hAnsi="宋体" w:eastAsia="宋体" w:cs="宋体"/>
                <w:spacing w:val="-9"/>
              </w:rPr>
              <w:t xml:space="preserve">池、水解酸化池、固液分离平台、 </w:t>
            </w:r>
            <w:r>
              <w:rPr>
                <w:spacing w:val="-9"/>
              </w:rPr>
              <w:t xml:space="preserve">AO </w:t>
            </w:r>
            <w:r>
              <w:rPr>
                <w:rFonts w:ascii="宋体" w:hAnsi="宋体" w:eastAsia="宋体" w:cs="宋体"/>
                <w:spacing w:val="-9"/>
              </w:rPr>
              <w:t>池、污泥池等</w:t>
            </w:r>
            <w:r>
              <w:rPr>
                <w:rFonts w:ascii="宋体" w:hAnsi="宋体" w:eastAsia="宋体" w:cs="宋体"/>
                <w:spacing w:val="-5"/>
              </w:rPr>
              <w:t>臭气经</w:t>
            </w:r>
            <w:r>
              <w:rPr>
                <w:rFonts w:ascii="宋体" w:hAnsi="宋体" w:eastAsia="宋体" w:cs="宋体"/>
                <w:spacing w:val="-4"/>
              </w:rPr>
              <w:t xml:space="preserve">负压收集，采用生物滤池处理后由 </w:t>
            </w:r>
            <w:r>
              <w:rPr>
                <w:spacing w:val="-4"/>
              </w:rPr>
              <w:t>1</w:t>
            </w:r>
            <w:r>
              <w:rPr>
                <w:spacing w:val="25"/>
              </w:rPr>
              <w:t xml:space="preserve"> </w:t>
            </w:r>
            <w:r>
              <w:rPr>
                <w:rFonts w:ascii="宋体" w:hAnsi="宋体" w:eastAsia="宋体" w:cs="宋体"/>
                <w:spacing w:val="-4"/>
              </w:rPr>
              <w:t xml:space="preserve">根 </w:t>
            </w:r>
            <w:r>
              <w:rPr>
                <w:spacing w:val="-4"/>
              </w:rPr>
              <w:t>15</w:t>
            </w:r>
            <w:r>
              <w:rPr>
                <w:spacing w:val="-1"/>
              </w:rPr>
              <w:t>m</w:t>
            </w:r>
            <w:r>
              <w:rPr>
                <w:rFonts w:ascii="宋体" w:hAnsi="宋体" w:eastAsia="宋体" w:cs="宋体"/>
                <w:spacing w:val="1"/>
              </w:rPr>
              <w:t>排气筒排放；堆粪棚臭气经负压收集后，采用生物</w:t>
            </w:r>
            <w:r>
              <w:rPr>
                <w:rFonts w:ascii="宋体" w:hAnsi="宋体" w:eastAsia="宋体" w:cs="宋体"/>
                <w:spacing w:val="-5"/>
              </w:rPr>
              <w:t>滤池处理后由</w:t>
            </w:r>
            <w:r>
              <w:rPr>
                <w:rFonts w:ascii="宋体" w:hAnsi="宋体" w:eastAsia="宋体" w:cs="宋体"/>
                <w:spacing w:val="-14"/>
              </w:rPr>
              <w:t xml:space="preserve"> </w:t>
            </w:r>
            <w:r>
              <w:rPr>
                <w:spacing w:val="-5"/>
              </w:rPr>
              <w:t xml:space="preserve">1 </w:t>
            </w:r>
            <w:r>
              <w:rPr>
                <w:rFonts w:ascii="宋体" w:hAnsi="宋体" w:eastAsia="宋体" w:cs="宋体"/>
                <w:spacing w:val="-5"/>
              </w:rPr>
              <w:t>根</w:t>
            </w:r>
            <w:r>
              <w:rPr>
                <w:rFonts w:ascii="宋体" w:hAnsi="宋体" w:eastAsia="宋体" w:cs="宋体"/>
                <w:spacing w:val="-29"/>
              </w:rPr>
              <w:t xml:space="preserve"> </w:t>
            </w:r>
            <w:r>
              <w:rPr>
                <w:spacing w:val="-5"/>
              </w:rPr>
              <w:t xml:space="preserve">15m </w:t>
            </w:r>
            <w:r>
              <w:rPr>
                <w:rFonts w:ascii="宋体" w:hAnsi="宋体" w:eastAsia="宋体" w:cs="宋体"/>
                <w:spacing w:val="-5"/>
              </w:rPr>
              <w:t>排气筒排放。</w:t>
            </w:r>
          </w:p>
        </w:tc>
        <w:tc>
          <w:tcPr>
            <w:tcW w:w="852" w:type="dxa"/>
            <w:vAlign w:val="top"/>
          </w:tcPr>
          <w:p w14:paraId="3B0E490C">
            <w:pPr>
              <w:spacing w:line="272" w:lineRule="auto"/>
              <w:rPr>
                <w:rFonts w:ascii="Arial"/>
                <w:sz w:val="21"/>
              </w:rPr>
            </w:pPr>
          </w:p>
          <w:p w14:paraId="7C166C9A">
            <w:pPr>
              <w:spacing w:line="273" w:lineRule="auto"/>
              <w:rPr>
                <w:rFonts w:ascii="Arial"/>
                <w:sz w:val="21"/>
              </w:rPr>
            </w:pPr>
          </w:p>
          <w:p w14:paraId="283CEE51">
            <w:pPr>
              <w:spacing w:line="273" w:lineRule="auto"/>
              <w:rPr>
                <w:rFonts w:ascii="Arial"/>
                <w:sz w:val="21"/>
              </w:rPr>
            </w:pPr>
          </w:p>
          <w:p w14:paraId="2BF35EF9">
            <w:pPr>
              <w:pStyle w:val="6"/>
              <w:spacing w:before="61" w:line="188" w:lineRule="auto"/>
              <w:ind w:left="332"/>
            </w:pPr>
            <w:r>
              <w:rPr>
                <w:spacing w:val="-4"/>
              </w:rPr>
              <w:t>80</w:t>
            </w:r>
          </w:p>
        </w:tc>
        <w:tc>
          <w:tcPr>
            <w:tcW w:w="1090" w:type="dxa"/>
            <w:vMerge w:val="restart"/>
            <w:tcBorders>
              <w:bottom w:val="nil"/>
            </w:tcBorders>
            <w:vAlign w:val="top"/>
          </w:tcPr>
          <w:p w14:paraId="4E8FC057">
            <w:pPr>
              <w:spacing w:line="271" w:lineRule="auto"/>
              <w:rPr>
                <w:rFonts w:ascii="Arial"/>
                <w:sz w:val="21"/>
              </w:rPr>
            </w:pPr>
          </w:p>
          <w:p w14:paraId="3C1C2E24">
            <w:pPr>
              <w:spacing w:line="271" w:lineRule="auto"/>
              <w:rPr>
                <w:rFonts w:ascii="Arial"/>
                <w:sz w:val="21"/>
              </w:rPr>
            </w:pPr>
          </w:p>
          <w:p w14:paraId="6DEC7A1F">
            <w:pPr>
              <w:spacing w:line="271" w:lineRule="auto"/>
              <w:rPr>
                <w:rFonts w:ascii="Arial"/>
                <w:sz w:val="21"/>
              </w:rPr>
            </w:pPr>
          </w:p>
          <w:p w14:paraId="0E37C19B">
            <w:pPr>
              <w:spacing w:before="68" w:line="242" w:lineRule="auto"/>
              <w:ind w:left="28" w:right="17" w:hanging="3"/>
              <w:rPr>
                <w:rFonts w:ascii="宋体" w:hAnsi="宋体" w:eastAsia="宋体" w:cs="宋体"/>
                <w:sz w:val="21"/>
                <w:szCs w:val="21"/>
              </w:rPr>
            </w:pPr>
            <w:r>
              <w:rPr>
                <w:rFonts w:ascii="宋体" w:hAnsi="宋体" w:eastAsia="宋体" w:cs="宋体"/>
                <w:spacing w:val="-2"/>
                <w:sz w:val="21"/>
                <w:szCs w:val="21"/>
              </w:rPr>
              <w:t>减少恶臭污</w:t>
            </w:r>
            <w:r>
              <w:rPr>
                <w:rFonts w:ascii="宋体" w:hAnsi="宋体" w:eastAsia="宋体" w:cs="宋体"/>
                <w:spacing w:val="-3"/>
                <w:sz w:val="21"/>
                <w:szCs w:val="21"/>
              </w:rPr>
              <w:t>染达标排放</w:t>
            </w:r>
          </w:p>
        </w:tc>
      </w:tr>
      <w:tr w14:paraId="2A9D0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42" w:type="dxa"/>
            <w:vMerge w:val="continue"/>
            <w:tcBorders>
              <w:top w:val="nil"/>
            </w:tcBorders>
            <w:vAlign w:val="top"/>
          </w:tcPr>
          <w:p w14:paraId="5F6209FF">
            <w:pPr>
              <w:rPr>
                <w:rFonts w:ascii="Arial"/>
                <w:sz w:val="21"/>
              </w:rPr>
            </w:pPr>
          </w:p>
        </w:tc>
        <w:tc>
          <w:tcPr>
            <w:tcW w:w="965" w:type="dxa"/>
            <w:vAlign w:val="top"/>
          </w:tcPr>
          <w:p w14:paraId="01AFFF45">
            <w:pPr>
              <w:spacing w:before="66" w:line="221" w:lineRule="auto"/>
              <w:ind w:left="280"/>
              <w:rPr>
                <w:rFonts w:ascii="宋体" w:hAnsi="宋体" w:eastAsia="宋体" w:cs="宋体"/>
                <w:sz w:val="21"/>
                <w:szCs w:val="21"/>
              </w:rPr>
            </w:pPr>
            <w:r>
              <w:rPr>
                <w:rFonts w:ascii="宋体" w:hAnsi="宋体" w:eastAsia="宋体" w:cs="宋体"/>
                <w:spacing w:val="-4"/>
                <w:sz w:val="21"/>
                <w:szCs w:val="21"/>
              </w:rPr>
              <w:t>沼气</w:t>
            </w:r>
          </w:p>
        </w:tc>
        <w:tc>
          <w:tcPr>
            <w:tcW w:w="4671" w:type="dxa"/>
            <w:vAlign w:val="top"/>
          </w:tcPr>
          <w:p w14:paraId="56B01C54">
            <w:pPr>
              <w:spacing w:before="66" w:line="219" w:lineRule="auto"/>
              <w:ind w:left="13"/>
              <w:rPr>
                <w:rFonts w:ascii="宋体" w:hAnsi="宋体" w:eastAsia="宋体" w:cs="宋体"/>
                <w:sz w:val="21"/>
                <w:szCs w:val="21"/>
              </w:rPr>
            </w:pPr>
            <w:r>
              <w:rPr>
                <w:rFonts w:ascii="宋体" w:hAnsi="宋体" w:eastAsia="宋体" w:cs="宋体"/>
                <w:spacing w:val="-4"/>
                <w:sz w:val="21"/>
                <w:szCs w:val="21"/>
              </w:rPr>
              <w:t>沼气经脱硫后火炬燃烧处理。</w:t>
            </w:r>
          </w:p>
        </w:tc>
        <w:tc>
          <w:tcPr>
            <w:tcW w:w="852" w:type="dxa"/>
            <w:vAlign w:val="top"/>
          </w:tcPr>
          <w:p w14:paraId="5F08F0B8">
            <w:pPr>
              <w:pStyle w:val="6"/>
              <w:spacing w:before="103" w:line="188" w:lineRule="auto"/>
              <w:ind w:left="344"/>
            </w:pPr>
            <w:r>
              <w:rPr>
                <w:spacing w:val="-12"/>
              </w:rPr>
              <w:t>10</w:t>
            </w:r>
          </w:p>
        </w:tc>
        <w:tc>
          <w:tcPr>
            <w:tcW w:w="1090" w:type="dxa"/>
            <w:vMerge w:val="continue"/>
            <w:tcBorders>
              <w:top w:val="nil"/>
            </w:tcBorders>
            <w:vAlign w:val="top"/>
          </w:tcPr>
          <w:p w14:paraId="7F593DF2">
            <w:pPr>
              <w:rPr>
                <w:rFonts w:ascii="Arial"/>
                <w:sz w:val="21"/>
              </w:rPr>
            </w:pPr>
          </w:p>
        </w:tc>
      </w:tr>
      <w:tr w14:paraId="34B46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42" w:type="dxa"/>
            <w:vAlign w:val="top"/>
          </w:tcPr>
          <w:p w14:paraId="3379AAC5">
            <w:pPr>
              <w:spacing w:before="304" w:line="220" w:lineRule="auto"/>
              <w:ind w:left="66"/>
              <w:rPr>
                <w:rFonts w:ascii="宋体" w:hAnsi="宋体" w:eastAsia="宋体" w:cs="宋体"/>
                <w:sz w:val="21"/>
                <w:szCs w:val="21"/>
              </w:rPr>
            </w:pPr>
            <w:r>
              <w:rPr>
                <w:rFonts w:ascii="宋体" w:hAnsi="宋体" w:eastAsia="宋体" w:cs="宋体"/>
                <w:spacing w:val="-3"/>
                <w:sz w:val="21"/>
                <w:szCs w:val="21"/>
              </w:rPr>
              <w:t>声环境</w:t>
            </w:r>
          </w:p>
        </w:tc>
        <w:tc>
          <w:tcPr>
            <w:tcW w:w="965" w:type="dxa"/>
            <w:vAlign w:val="top"/>
          </w:tcPr>
          <w:p w14:paraId="66B6197B">
            <w:pPr>
              <w:spacing w:before="304" w:line="220" w:lineRule="auto"/>
              <w:ind w:left="286"/>
              <w:rPr>
                <w:rFonts w:ascii="宋体" w:hAnsi="宋体" w:eastAsia="宋体" w:cs="宋体"/>
                <w:sz w:val="21"/>
                <w:szCs w:val="21"/>
              </w:rPr>
            </w:pPr>
            <w:r>
              <w:rPr>
                <w:rFonts w:ascii="宋体" w:hAnsi="宋体" w:eastAsia="宋体" w:cs="宋体"/>
                <w:spacing w:val="-5"/>
                <w:sz w:val="21"/>
                <w:szCs w:val="21"/>
              </w:rPr>
              <w:t>噪声</w:t>
            </w:r>
          </w:p>
        </w:tc>
        <w:tc>
          <w:tcPr>
            <w:tcW w:w="4671" w:type="dxa"/>
            <w:vAlign w:val="top"/>
          </w:tcPr>
          <w:p w14:paraId="4C7388EB">
            <w:pPr>
              <w:spacing w:before="32" w:line="228" w:lineRule="auto"/>
              <w:ind w:left="8" w:firstLine="1"/>
              <w:jc w:val="both"/>
              <w:rPr>
                <w:rFonts w:ascii="宋体" w:hAnsi="宋体" w:eastAsia="宋体" w:cs="宋体"/>
                <w:sz w:val="21"/>
                <w:szCs w:val="21"/>
              </w:rPr>
            </w:pPr>
            <w:r>
              <w:rPr>
                <w:rFonts w:ascii="宋体" w:hAnsi="宋体" w:eastAsia="宋体" w:cs="宋体"/>
                <w:spacing w:val="1"/>
                <w:sz w:val="21"/>
                <w:szCs w:val="21"/>
              </w:rPr>
              <w:t>保证满足猪只饮食需要，减少外界噪声等对猪舍的干扰；通风机、泵选用低噪设备；加装消声器、基</w:t>
            </w:r>
            <w:r>
              <w:rPr>
                <w:rFonts w:ascii="宋体" w:hAnsi="宋体" w:eastAsia="宋体" w:cs="宋体"/>
                <w:spacing w:val="-2"/>
                <w:sz w:val="21"/>
                <w:szCs w:val="21"/>
              </w:rPr>
              <w:t>座加装减振垫；场界设围墙；加强场区绿化。</w:t>
            </w:r>
          </w:p>
        </w:tc>
        <w:tc>
          <w:tcPr>
            <w:tcW w:w="852" w:type="dxa"/>
            <w:vAlign w:val="top"/>
          </w:tcPr>
          <w:p w14:paraId="25176004">
            <w:pPr>
              <w:spacing w:line="279" w:lineRule="auto"/>
              <w:rPr>
                <w:rFonts w:ascii="Arial"/>
                <w:sz w:val="21"/>
              </w:rPr>
            </w:pPr>
          </w:p>
          <w:p w14:paraId="39BA517B">
            <w:pPr>
              <w:pStyle w:val="6"/>
              <w:spacing w:before="60" w:line="188" w:lineRule="auto"/>
              <w:ind w:left="324"/>
            </w:pPr>
            <w:r>
              <w:rPr>
                <w:spacing w:val="-1"/>
              </w:rPr>
              <w:t>20</w:t>
            </w:r>
          </w:p>
        </w:tc>
        <w:tc>
          <w:tcPr>
            <w:tcW w:w="1090" w:type="dxa"/>
            <w:vAlign w:val="top"/>
          </w:tcPr>
          <w:p w14:paraId="07F72A8D">
            <w:pPr>
              <w:spacing w:before="169" w:line="243" w:lineRule="auto"/>
              <w:ind w:left="455" w:right="17" w:hanging="430"/>
              <w:rPr>
                <w:rFonts w:ascii="宋体" w:hAnsi="宋体" w:eastAsia="宋体" w:cs="宋体"/>
                <w:sz w:val="21"/>
                <w:szCs w:val="21"/>
              </w:rPr>
            </w:pPr>
            <w:r>
              <w:rPr>
                <w:rFonts w:ascii="宋体" w:hAnsi="宋体" w:eastAsia="宋体" w:cs="宋体"/>
                <w:spacing w:val="-2"/>
                <w:sz w:val="21"/>
                <w:szCs w:val="21"/>
              </w:rPr>
              <w:t>减轻噪声影</w:t>
            </w:r>
            <w:r>
              <w:rPr>
                <w:rFonts w:ascii="宋体" w:hAnsi="宋体" w:eastAsia="宋体" w:cs="宋体"/>
                <w:sz w:val="21"/>
                <w:szCs w:val="21"/>
              </w:rPr>
              <w:t>响</w:t>
            </w:r>
          </w:p>
        </w:tc>
      </w:tr>
      <w:tr w14:paraId="32DE3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42" w:type="dxa"/>
            <w:vMerge w:val="restart"/>
            <w:tcBorders>
              <w:bottom w:val="nil"/>
            </w:tcBorders>
            <w:vAlign w:val="top"/>
          </w:tcPr>
          <w:p w14:paraId="3954872E">
            <w:pPr>
              <w:spacing w:line="274" w:lineRule="auto"/>
              <w:rPr>
                <w:rFonts w:ascii="Arial"/>
                <w:sz w:val="21"/>
              </w:rPr>
            </w:pPr>
          </w:p>
          <w:p w14:paraId="4316DFC0">
            <w:pPr>
              <w:spacing w:line="274" w:lineRule="auto"/>
              <w:rPr>
                <w:rFonts w:ascii="Arial"/>
                <w:sz w:val="21"/>
              </w:rPr>
            </w:pPr>
          </w:p>
          <w:p w14:paraId="64BDDC4A">
            <w:pPr>
              <w:spacing w:line="274" w:lineRule="auto"/>
              <w:rPr>
                <w:rFonts w:ascii="Arial"/>
                <w:sz w:val="21"/>
              </w:rPr>
            </w:pPr>
          </w:p>
          <w:p w14:paraId="0220C528">
            <w:pPr>
              <w:spacing w:line="275" w:lineRule="auto"/>
              <w:rPr>
                <w:rFonts w:ascii="Arial"/>
                <w:sz w:val="21"/>
              </w:rPr>
            </w:pPr>
          </w:p>
          <w:p w14:paraId="3E68C4E8">
            <w:pPr>
              <w:spacing w:line="275" w:lineRule="auto"/>
              <w:rPr>
                <w:rFonts w:ascii="Arial"/>
                <w:sz w:val="21"/>
              </w:rPr>
            </w:pPr>
          </w:p>
          <w:p w14:paraId="4171B816">
            <w:pPr>
              <w:spacing w:line="275" w:lineRule="auto"/>
              <w:rPr>
                <w:rFonts w:ascii="Arial"/>
                <w:sz w:val="21"/>
              </w:rPr>
            </w:pPr>
          </w:p>
          <w:p w14:paraId="7B717390">
            <w:pPr>
              <w:spacing w:before="68" w:line="242" w:lineRule="auto"/>
              <w:ind w:left="165" w:right="158" w:firstLine="18"/>
              <w:rPr>
                <w:rFonts w:ascii="宋体" w:hAnsi="宋体" w:eastAsia="宋体" w:cs="宋体"/>
                <w:sz w:val="21"/>
                <w:szCs w:val="21"/>
              </w:rPr>
            </w:pPr>
            <w:r>
              <w:rPr>
                <w:rFonts w:ascii="宋体" w:hAnsi="宋体" w:eastAsia="宋体" w:cs="宋体"/>
                <w:spacing w:val="-14"/>
                <w:sz w:val="21"/>
                <w:szCs w:val="21"/>
              </w:rPr>
              <w:t>固体</w:t>
            </w:r>
            <w:r>
              <w:rPr>
                <w:rFonts w:ascii="宋体" w:hAnsi="宋体" w:eastAsia="宋体" w:cs="宋体"/>
                <w:spacing w:val="-4"/>
                <w:sz w:val="21"/>
                <w:szCs w:val="21"/>
              </w:rPr>
              <w:t>废物</w:t>
            </w:r>
          </w:p>
        </w:tc>
        <w:tc>
          <w:tcPr>
            <w:tcW w:w="965" w:type="dxa"/>
            <w:vAlign w:val="top"/>
          </w:tcPr>
          <w:p w14:paraId="289133D8">
            <w:pPr>
              <w:spacing w:before="170" w:line="220" w:lineRule="auto"/>
              <w:ind w:left="68"/>
              <w:rPr>
                <w:rFonts w:ascii="宋体" w:hAnsi="宋体" w:eastAsia="宋体" w:cs="宋体"/>
                <w:sz w:val="21"/>
                <w:szCs w:val="21"/>
              </w:rPr>
            </w:pPr>
            <w:r>
              <w:rPr>
                <w:rFonts w:ascii="宋体" w:hAnsi="宋体" w:eastAsia="宋体" w:cs="宋体"/>
                <w:spacing w:val="-2"/>
                <w:sz w:val="21"/>
                <w:szCs w:val="21"/>
              </w:rPr>
              <w:t>生活垃圾</w:t>
            </w:r>
          </w:p>
        </w:tc>
        <w:tc>
          <w:tcPr>
            <w:tcW w:w="4671" w:type="dxa"/>
            <w:vAlign w:val="top"/>
          </w:tcPr>
          <w:p w14:paraId="544224DF">
            <w:pPr>
              <w:spacing w:before="33" w:line="222" w:lineRule="auto"/>
              <w:ind w:left="11" w:hanging="2"/>
              <w:rPr>
                <w:rFonts w:ascii="宋体" w:hAnsi="宋体" w:eastAsia="宋体" w:cs="宋体"/>
                <w:sz w:val="21"/>
                <w:szCs w:val="21"/>
              </w:rPr>
            </w:pPr>
            <w:r>
              <w:rPr>
                <w:rFonts w:ascii="宋体" w:hAnsi="宋体" w:eastAsia="宋体" w:cs="宋体"/>
                <w:spacing w:val="1"/>
                <w:sz w:val="21"/>
                <w:szCs w:val="21"/>
              </w:rPr>
              <w:t>集中收集后定期运至喻家沟村垃圾收集点，由环卫</w:t>
            </w:r>
            <w:r>
              <w:rPr>
                <w:rFonts w:ascii="宋体" w:hAnsi="宋体" w:eastAsia="宋体" w:cs="宋体"/>
                <w:spacing w:val="-7"/>
                <w:sz w:val="21"/>
                <w:szCs w:val="21"/>
              </w:rPr>
              <w:t>部门处理。</w:t>
            </w:r>
          </w:p>
        </w:tc>
        <w:tc>
          <w:tcPr>
            <w:tcW w:w="852" w:type="dxa"/>
            <w:vAlign w:val="top"/>
          </w:tcPr>
          <w:p w14:paraId="269D1229">
            <w:pPr>
              <w:pStyle w:val="6"/>
              <w:spacing w:before="206" w:line="188" w:lineRule="auto"/>
              <w:ind w:left="397"/>
            </w:pPr>
            <w:r>
              <w:t>1</w:t>
            </w:r>
          </w:p>
        </w:tc>
        <w:tc>
          <w:tcPr>
            <w:tcW w:w="1090" w:type="dxa"/>
            <w:vAlign w:val="top"/>
          </w:tcPr>
          <w:p w14:paraId="4294BC43">
            <w:pPr>
              <w:spacing w:before="33" w:line="222" w:lineRule="auto"/>
              <w:ind w:left="445" w:right="17" w:hanging="420"/>
              <w:rPr>
                <w:rFonts w:ascii="宋体" w:hAnsi="宋体" w:eastAsia="宋体" w:cs="宋体"/>
                <w:sz w:val="21"/>
                <w:szCs w:val="21"/>
              </w:rPr>
            </w:pPr>
            <w:r>
              <w:rPr>
                <w:rFonts w:ascii="宋体" w:hAnsi="宋体" w:eastAsia="宋体" w:cs="宋体"/>
                <w:spacing w:val="-2"/>
                <w:sz w:val="21"/>
                <w:szCs w:val="21"/>
              </w:rPr>
              <w:t>环卫统一清</w:t>
            </w:r>
            <w:r>
              <w:rPr>
                <w:rFonts w:ascii="宋体" w:hAnsi="宋体" w:eastAsia="宋体" w:cs="宋体"/>
                <w:sz w:val="21"/>
                <w:szCs w:val="21"/>
              </w:rPr>
              <w:t>运</w:t>
            </w:r>
          </w:p>
        </w:tc>
      </w:tr>
      <w:tr w14:paraId="1B10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42" w:type="dxa"/>
            <w:vMerge w:val="continue"/>
            <w:tcBorders>
              <w:top w:val="nil"/>
              <w:bottom w:val="nil"/>
            </w:tcBorders>
            <w:vAlign w:val="top"/>
          </w:tcPr>
          <w:p w14:paraId="7AAB3708">
            <w:pPr>
              <w:rPr>
                <w:rFonts w:ascii="Arial"/>
                <w:sz w:val="21"/>
              </w:rPr>
            </w:pPr>
          </w:p>
        </w:tc>
        <w:tc>
          <w:tcPr>
            <w:tcW w:w="965" w:type="dxa"/>
            <w:vAlign w:val="top"/>
          </w:tcPr>
          <w:p w14:paraId="3FE6DE05">
            <w:pPr>
              <w:spacing w:line="371" w:lineRule="auto"/>
              <w:rPr>
                <w:rFonts w:ascii="Arial"/>
                <w:sz w:val="21"/>
              </w:rPr>
            </w:pPr>
          </w:p>
          <w:p w14:paraId="01736C17">
            <w:pPr>
              <w:spacing w:before="68" w:line="220" w:lineRule="auto"/>
              <w:ind w:left="278"/>
              <w:rPr>
                <w:rFonts w:ascii="宋体" w:hAnsi="宋体" w:eastAsia="宋体" w:cs="宋体"/>
                <w:sz w:val="21"/>
                <w:szCs w:val="21"/>
              </w:rPr>
            </w:pPr>
            <w:r>
              <w:rPr>
                <w:rFonts w:ascii="宋体" w:hAnsi="宋体" w:eastAsia="宋体" w:cs="宋体"/>
                <w:spacing w:val="-3"/>
                <w:sz w:val="21"/>
                <w:szCs w:val="21"/>
              </w:rPr>
              <w:t>粪渣</w:t>
            </w:r>
          </w:p>
        </w:tc>
        <w:tc>
          <w:tcPr>
            <w:tcW w:w="4671" w:type="dxa"/>
            <w:vAlign w:val="top"/>
          </w:tcPr>
          <w:p w14:paraId="34E874F7">
            <w:pPr>
              <w:pStyle w:val="6"/>
              <w:spacing w:before="32" w:line="231" w:lineRule="auto"/>
              <w:ind w:left="8" w:firstLine="4"/>
              <w:jc w:val="both"/>
              <w:rPr>
                <w:rFonts w:ascii="宋体" w:hAnsi="宋体" w:eastAsia="宋体" w:cs="宋体"/>
              </w:rPr>
            </w:pPr>
            <w:r>
              <w:rPr>
                <w:rFonts w:ascii="宋体" w:hAnsi="宋体" w:eastAsia="宋体" w:cs="宋体"/>
                <w:spacing w:val="-9"/>
              </w:rPr>
              <w:t>设</w:t>
            </w:r>
            <w:r>
              <w:rPr>
                <w:rFonts w:ascii="宋体" w:hAnsi="宋体" w:eastAsia="宋体" w:cs="宋体"/>
                <w:spacing w:val="-15"/>
              </w:rPr>
              <w:t xml:space="preserve"> </w:t>
            </w:r>
            <w:r>
              <w:rPr>
                <w:spacing w:val="-9"/>
              </w:rPr>
              <w:t xml:space="preserve">1 </w:t>
            </w:r>
            <w:r>
              <w:rPr>
                <w:rFonts w:ascii="宋体" w:hAnsi="宋体" w:eastAsia="宋体" w:cs="宋体"/>
                <w:spacing w:val="-9"/>
              </w:rPr>
              <w:t>个堆粪棚，全封闭式（四面围挡，顶部加顶棚，</w:t>
            </w:r>
            <w:r>
              <w:rPr>
                <w:rFonts w:ascii="宋体" w:hAnsi="宋体" w:eastAsia="宋体" w:cs="宋体"/>
                <w:spacing w:val="-7"/>
              </w:rPr>
              <w:t>底部进行强制通风</w:t>
            </w:r>
            <w:r>
              <w:rPr>
                <w:rFonts w:ascii="宋体" w:hAnsi="宋体" w:eastAsia="宋体" w:cs="宋体"/>
                <w:spacing w:val="-14"/>
              </w:rPr>
              <w:t>），</w:t>
            </w:r>
            <w:r>
              <w:rPr>
                <w:rFonts w:ascii="宋体" w:hAnsi="宋体" w:eastAsia="宋体" w:cs="宋体"/>
                <w:spacing w:val="-7"/>
              </w:rPr>
              <w:t>砖混结构，采取防雨、防漏、</w:t>
            </w:r>
            <w:r>
              <w:rPr>
                <w:rFonts w:ascii="宋体" w:hAnsi="宋体" w:eastAsia="宋体" w:cs="宋体"/>
                <w:spacing w:val="-1"/>
              </w:rPr>
              <w:t>防渗措施。粪渣及时交四川正威实业有限公司生产</w:t>
            </w:r>
            <w:r>
              <w:rPr>
                <w:rFonts w:ascii="宋体" w:hAnsi="宋体" w:eastAsia="宋体" w:cs="宋体"/>
                <w:spacing w:val="-9"/>
              </w:rPr>
              <w:t>有机肥。</w:t>
            </w:r>
          </w:p>
        </w:tc>
        <w:tc>
          <w:tcPr>
            <w:tcW w:w="852" w:type="dxa"/>
            <w:vAlign w:val="top"/>
          </w:tcPr>
          <w:p w14:paraId="5E80737A">
            <w:pPr>
              <w:spacing w:line="416" w:lineRule="auto"/>
              <w:rPr>
                <w:rFonts w:ascii="Arial"/>
                <w:sz w:val="21"/>
              </w:rPr>
            </w:pPr>
          </w:p>
          <w:p w14:paraId="348A1142">
            <w:pPr>
              <w:pStyle w:val="6"/>
              <w:spacing w:before="60" w:line="188" w:lineRule="auto"/>
              <w:ind w:left="344"/>
            </w:pPr>
            <w:r>
              <w:rPr>
                <w:spacing w:val="-6"/>
              </w:rPr>
              <w:t>15</w:t>
            </w:r>
          </w:p>
        </w:tc>
        <w:tc>
          <w:tcPr>
            <w:tcW w:w="1090" w:type="dxa"/>
            <w:vAlign w:val="top"/>
          </w:tcPr>
          <w:p w14:paraId="11F88A91">
            <w:pPr>
              <w:spacing w:line="371" w:lineRule="auto"/>
              <w:rPr>
                <w:rFonts w:ascii="Arial"/>
                <w:sz w:val="21"/>
              </w:rPr>
            </w:pPr>
          </w:p>
          <w:p w14:paraId="1738ECBA">
            <w:pPr>
              <w:spacing w:before="69" w:line="221" w:lineRule="auto"/>
              <w:ind w:left="132"/>
              <w:rPr>
                <w:rFonts w:ascii="宋体" w:hAnsi="宋体" w:eastAsia="宋体" w:cs="宋体"/>
                <w:sz w:val="21"/>
                <w:szCs w:val="21"/>
              </w:rPr>
            </w:pPr>
            <w:r>
              <w:rPr>
                <w:rFonts w:ascii="宋体" w:hAnsi="宋体" w:eastAsia="宋体" w:cs="宋体"/>
                <w:spacing w:val="-2"/>
                <w:sz w:val="21"/>
                <w:szCs w:val="21"/>
              </w:rPr>
              <w:t>妥善处置</w:t>
            </w:r>
          </w:p>
        </w:tc>
      </w:tr>
      <w:tr w14:paraId="2F142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42" w:type="dxa"/>
            <w:vMerge w:val="continue"/>
            <w:tcBorders>
              <w:top w:val="nil"/>
              <w:bottom w:val="nil"/>
            </w:tcBorders>
            <w:vAlign w:val="top"/>
          </w:tcPr>
          <w:p w14:paraId="0CE19CB8">
            <w:pPr>
              <w:rPr>
                <w:rFonts w:ascii="Arial"/>
                <w:sz w:val="21"/>
              </w:rPr>
            </w:pPr>
          </w:p>
        </w:tc>
        <w:tc>
          <w:tcPr>
            <w:tcW w:w="965" w:type="dxa"/>
            <w:vAlign w:val="top"/>
          </w:tcPr>
          <w:p w14:paraId="20941694">
            <w:pPr>
              <w:spacing w:before="307" w:line="220" w:lineRule="auto"/>
              <w:ind w:left="68"/>
              <w:rPr>
                <w:rFonts w:ascii="宋体" w:hAnsi="宋体" w:eastAsia="宋体" w:cs="宋体"/>
                <w:sz w:val="21"/>
                <w:szCs w:val="21"/>
              </w:rPr>
            </w:pPr>
            <w:r>
              <w:rPr>
                <w:rFonts w:ascii="宋体" w:hAnsi="宋体" w:eastAsia="宋体" w:cs="宋体"/>
                <w:spacing w:val="-3"/>
                <w:sz w:val="21"/>
                <w:szCs w:val="21"/>
              </w:rPr>
              <w:t>危险废物</w:t>
            </w:r>
          </w:p>
        </w:tc>
        <w:tc>
          <w:tcPr>
            <w:tcW w:w="4671" w:type="dxa"/>
            <w:vAlign w:val="top"/>
          </w:tcPr>
          <w:p w14:paraId="2A36F0A1">
            <w:pPr>
              <w:spacing w:before="34" w:line="228" w:lineRule="auto"/>
              <w:ind w:left="9" w:firstLine="2"/>
              <w:jc w:val="both"/>
              <w:rPr>
                <w:rFonts w:ascii="宋体" w:hAnsi="宋体" w:eastAsia="宋体" w:cs="宋体"/>
                <w:sz w:val="21"/>
                <w:szCs w:val="21"/>
              </w:rPr>
            </w:pPr>
            <w:r>
              <w:rPr>
                <w:rFonts w:ascii="宋体" w:hAnsi="宋体" w:eastAsia="宋体" w:cs="宋体"/>
                <w:spacing w:val="1"/>
                <w:sz w:val="21"/>
                <w:szCs w:val="21"/>
              </w:rPr>
              <w:t>建设具备“三防”措施的暂存场所，并设置危险废物识别标志，定期交由有危险废物处理资质的单位</w:t>
            </w:r>
            <w:r>
              <w:rPr>
                <w:rFonts w:ascii="宋体" w:hAnsi="宋体" w:eastAsia="宋体" w:cs="宋体"/>
                <w:spacing w:val="-9"/>
                <w:sz w:val="21"/>
                <w:szCs w:val="21"/>
              </w:rPr>
              <w:t>处置。</w:t>
            </w:r>
          </w:p>
        </w:tc>
        <w:tc>
          <w:tcPr>
            <w:tcW w:w="852" w:type="dxa"/>
            <w:vAlign w:val="top"/>
          </w:tcPr>
          <w:p w14:paraId="4D953E4E">
            <w:pPr>
              <w:spacing w:line="281" w:lineRule="auto"/>
              <w:rPr>
                <w:rFonts w:ascii="Arial"/>
                <w:sz w:val="21"/>
              </w:rPr>
            </w:pPr>
          </w:p>
          <w:p w14:paraId="1CDE29E1">
            <w:pPr>
              <w:pStyle w:val="6"/>
              <w:spacing w:before="61" w:line="188" w:lineRule="auto"/>
              <w:ind w:left="377"/>
            </w:pPr>
            <w:r>
              <w:t>2</w:t>
            </w:r>
          </w:p>
        </w:tc>
        <w:tc>
          <w:tcPr>
            <w:tcW w:w="1090" w:type="dxa"/>
            <w:vAlign w:val="top"/>
          </w:tcPr>
          <w:p w14:paraId="128B7044">
            <w:pPr>
              <w:spacing w:before="307" w:line="221" w:lineRule="auto"/>
              <w:ind w:left="132"/>
              <w:rPr>
                <w:rFonts w:ascii="宋体" w:hAnsi="宋体" w:eastAsia="宋体" w:cs="宋体"/>
                <w:sz w:val="21"/>
                <w:szCs w:val="21"/>
              </w:rPr>
            </w:pPr>
            <w:r>
              <w:rPr>
                <w:rFonts w:ascii="宋体" w:hAnsi="宋体" w:eastAsia="宋体" w:cs="宋体"/>
                <w:spacing w:val="-2"/>
                <w:sz w:val="21"/>
                <w:szCs w:val="21"/>
              </w:rPr>
              <w:t>妥善处置</w:t>
            </w:r>
          </w:p>
        </w:tc>
      </w:tr>
      <w:tr w14:paraId="76AE0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42" w:type="dxa"/>
            <w:vMerge w:val="continue"/>
            <w:tcBorders>
              <w:top w:val="nil"/>
              <w:bottom w:val="nil"/>
            </w:tcBorders>
            <w:vAlign w:val="top"/>
          </w:tcPr>
          <w:p w14:paraId="54DEA155">
            <w:pPr>
              <w:rPr>
                <w:rFonts w:ascii="Arial"/>
                <w:sz w:val="21"/>
              </w:rPr>
            </w:pPr>
          </w:p>
        </w:tc>
        <w:tc>
          <w:tcPr>
            <w:tcW w:w="965" w:type="dxa"/>
            <w:vAlign w:val="top"/>
          </w:tcPr>
          <w:p w14:paraId="712F66E0">
            <w:pPr>
              <w:spacing w:before="169" w:line="220" w:lineRule="auto"/>
              <w:ind w:left="171"/>
              <w:rPr>
                <w:rFonts w:ascii="宋体" w:hAnsi="宋体" w:eastAsia="宋体" w:cs="宋体"/>
                <w:sz w:val="21"/>
                <w:szCs w:val="21"/>
              </w:rPr>
            </w:pPr>
            <w:r>
              <w:rPr>
                <w:rFonts w:ascii="宋体" w:hAnsi="宋体" w:eastAsia="宋体" w:cs="宋体"/>
                <w:spacing w:val="-2"/>
                <w:sz w:val="21"/>
                <w:szCs w:val="21"/>
              </w:rPr>
              <w:t>病死猪</w:t>
            </w:r>
          </w:p>
        </w:tc>
        <w:tc>
          <w:tcPr>
            <w:tcW w:w="4671" w:type="dxa"/>
            <w:vAlign w:val="top"/>
          </w:tcPr>
          <w:p w14:paraId="42D2915F">
            <w:pPr>
              <w:spacing w:before="33" w:line="222" w:lineRule="auto"/>
              <w:ind w:left="10" w:hanging="2"/>
              <w:rPr>
                <w:rFonts w:ascii="宋体" w:hAnsi="宋体" w:eastAsia="宋体" w:cs="宋体"/>
                <w:sz w:val="21"/>
                <w:szCs w:val="21"/>
              </w:rPr>
            </w:pPr>
            <w:r>
              <w:rPr>
                <w:rFonts w:ascii="宋体" w:hAnsi="宋体" w:eastAsia="宋体" w:cs="宋体"/>
                <w:spacing w:val="1"/>
                <w:sz w:val="21"/>
                <w:szCs w:val="21"/>
              </w:rPr>
              <w:t>委托内江市环态动物无害化处置有限责任公司进行</w:t>
            </w:r>
            <w:r>
              <w:rPr>
                <w:rFonts w:ascii="宋体" w:hAnsi="宋体" w:eastAsia="宋体" w:cs="宋体"/>
                <w:spacing w:val="-6"/>
                <w:sz w:val="21"/>
                <w:szCs w:val="21"/>
              </w:rPr>
              <w:t>无害化处置。</w:t>
            </w:r>
          </w:p>
        </w:tc>
        <w:tc>
          <w:tcPr>
            <w:tcW w:w="852" w:type="dxa"/>
            <w:vAlign w:val="top"/>
          </w:tcPr>
          <w:p w14:paraId="0B13F8CF">
            <w:pPr>
              <w:pStyle w:val="6"/>
              <w:spacing w:before="208" w:line="185" w:lineRule="auto"/>
              <w:ind w:left="383"/>
            </w:pPr>
            <w:r>
              <w:t>5</w:t>
            </w:r>
          </w:p>
        </w:tc>
        <w:tc>
          <w:tcPr>
            <w:tcW w:w="1090" w:type="dxa"/>
            <w:vAlign w:val="top"/>
          </w:tcPr>
          <w:p w14:paraId="48C44EC8">
            <w:pPr>
              <w:spacing w:before="169" w:line="221" w:lineRule="auto"/>
              <w:ind w:left="134"/>
              <w:rPr>
                <w:rFonts w:ascii="宋体" w:hAnsi="宋体" w:eastAsia="宋体" w:cs="宋体"/>
                <w:sz w:val="21"/>
                <w:szCs w:val="21"/>
              </w:rPr>
            </w:pPr>
            <w:r>
              <w:rPr>
                <w:rFonts w:ascii="宋体" w:hAnsi="宋体" w:eastAsia="宋体" w:cs="宋体"/>
                <w:spacing w:val="-3"/>
                <w:sz w:val="21"/>
                <w:szCs w:val="21"/>
              </w:rPr>
              <w:t>安全处置</w:t>
            </w:r>
          </w:p>
        </w:tc>
      </w:tr>
      <w:tr w14:paraId="360A8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42" w:type="dxa"/>
            <w:vMerge w:val="continue"/>
            <w:tcBorders>
              <w:top w:val="nil"/>
              <w:bottom w:val="nil"/>
            </w:tcBorders>
            <w:vAlign w:val="top"/>
          </w:tcPr>
          <w:p w14:paraId="599A64D5">
            <w:pPr>
              <w:rPr>
                <w:rFonts w:ascii="Arial"/>
                <w:sz w:val="21"/>
              </w:rPr>
            </w:pPr>
          </w:p>
        </w:tc>
        <w:tc>
          <w:tcPr>
            <w:tcW w:w="965" w:type="dxa"/>
            <w:vAlign w:val="top"/>
          </w:tcPr>
          <w:p w14:paraId="75EA7235">
            <w:pPr>
              <w:spacing w:before="33" w:line="222" w:lineRule="auto"/>
              <w:ind w:left="381" w:right="61" w:hanging="314"/>
              <w:rPr>
                <w:rFonts w:ascii="宋体" w:hAnsi="宋体" w:eastAsia="宋体" w:cs="宋体"/>
                <w:sz w:val="21"/>
                <w:szCs w:val="21"/>
              </w:rPr>
            </w:pPr>
            <w:r>
              <w:rPr>
                <w:rFonts w:ascii="宋体" w:hAnsi="宋体" w:eastAsia="宋体" w:cs="宋体"/>
                <w:spacing w:val="-3"/>
                <w:sz w:val="21"/>
                <w:szCs w:val="21"/>
              </w:rPr>
              <w:t>诊疗废弃</w:t>
            </w:r>
            <w:r>
              <w:rPr>
                <w:rFonts w:ascii="宋体" w:hAnsi="宋体" w:eastAsia="宋体" w:cs="宋体"/>
                <w:sz w:val="21"/>
                <w:szCs w:val="21"/>
              </w:rPr>
              <w:t>物</w:t>
            </w:r>
          </w:p>
        </w:tc>
        <w:tc>
          <w:tcPr>
            <w:tcW w:w="4671" w:type="dxa"/>
            <w:vAlign w:val="top"/>
          </w:tcPr>
          <w:p w14:paraId="74F203F1">
            <w:pPr>
              <w:spacing w:before="170" w:line="220" w:lineRule="auto"/>
              <w:ind w:left="11"/>
              <w:rPr>
                <w:rFonts w:ascii="宋体" w:hAnsi="宋体" w:eastAsia="宋体" w:cs="宋体"/>
                <w:sz w:val="21"/>
                <w:szCs w:val="21"/>
              </w:rPr>
            </w:pPr>
            <w:r>
              <w:rPr>
                <w:rFonts w:ascii="宋体" w:hAnsi="宋体" w:eastAsia="宋体" w:cs="宋体"/>
                <w:spacing w:val="-3"/>
                <w:sz w:val="21"/>
                <w:szCs w:val="21"/>
              </w:rPr>
              <w:t>按当地畜牧兽医主管部门规定处置。</w:t>
            </w:r>
          </w:p>
        </w:tc>
        <w:tc>
          <w:tcPr>
            <w:tcW w:w="852" w:type="dxa"/>
            <w:vAlign w:val="top"/>
          </w:tcPr>
          <w:p w14:paraId="48598DB1">
            <w:pPr>
              <w:pStyle w:val="6"/>
              <w:spacing w:before="207" w:line="188" w:lineRule="auto"/>
              <w:ind w:left="377"/>
            </w:pPr>
            <w:r>
              <w:t>2</w:t>
            </w:r>
          </w:p>
        </w:tc>
        <w:tc>
          <w:tcPr>
            <w:tcW w:w="1090" w:type="dxa"/>
            <w:vAlign w:val="top"/>
          </w:tcPr>
          <w:p w14:paraId="38974FAE">
            <w:pPr>
              <w:spacing w:before="170" w:line="221" w:lineRule="auto"/>
              <w:ind w:left="132"/>
              <w:rPr>
                <w:rFonts w:ascii="宋体" w:hAnsi="宋体" w:eastAsia="宋体" w:cs="宋体"/>
                <w:sz w:val="21"/>
                <w:szCs w:val="21"/>
              </w:rPr>
            </w:pPr>
            <w:r>
              <w:rPr>
                <w:rFonts w:ascii="宋体" w:hAnsi="宋体" w:eastAsia="宋体" w:cs="宋体"/>
                <w:spacing w:val="-2"/>
                <w:sz w:val="21"/>
                <w:szCs w:val="21"/>
              </w:rPr>
              <w:t>妥善处置</w:t>
            </w:r>
          </w:p>
        </w:tc>
      </w:tr>
      <w:tr w14:paraId="195F4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42" w:type="dxa"/>
            <w:vMerge w:val="continue"/>
            <w:tcBorders>
              <w:top w:val="nil"/>
            </w:tcBorders>
            <w:vAlign w:val="top"/>
          </w:tcPr>
          <w:p w14:paraId="1235D567">
            <w:pPr>
              <w:rPr>
                <w:rFonts w:ascii="Arial"/>
                <w:sz w:val="21"/>
              </w:rPr>
            </w:pPr>
          </w:p>
        </w:tc>
        <w:tc>
          <w:tcPr>
            <w:tcW w:w="965" w:type="dxa"/>
            <w:vAlign w:val="top"/>
          </w:tcPr>
          <w:p w14:paraId="33539CA5">
            <w:pPr>
              <w:spacing w:before="68" w:line="219" w:lineRule="auto"/>
              <w:ind w:left="172"/>
              <w:rPr>
                <w:rFonts w:ascii="宋体" w:hAnsi="宋体" w:eastAsia="宋体" w:cs="宋体"/>
                <w:sz w:val="21"/>
                <w:szCs w:val="21"/>
              </w:rPr>
            </w:pPr>
            <w:r>
              <w:rPr>
                <w:rFonts w:ascii="宋体" w:hAnsi="宋体" w:eastAsia="宋体" w:cs="宋体"/>
                <w:spacing w:val="-3"/>
                <w:sz w:val="21"/>
                <w:szCs w:val="21"/>
              </w:rPr>
              <w:t>脱硫剂</w:t>
            </w:r>
          </w:p>
        </w:tc>
        <w:tc>
          <w:tcPr>
            <w:tcW w:w="4671" w:type="dxa"/>
            <w:vAlign w:val="top"/>
          </w:tcPr>
          <w:p w14:paraId="5AE5E73C">
            <w:pPr>
              <w:spacing w:before="68" w:line="220" w:lineRule="auto"/>
              <w:ind w:left="14"/>
              <w:rPr>
                <w:rFonts w:ascii="宋体" w:hAnsi="宋体" w:eastAsia="宋体" w:cs="宋体"/>
                <w:sz w:val="21"/>
                <w:szCs w:val="21"/>
              </w:rPr>
            </w:pPr>
            <w:r>
              <w:rPr>
                <w:rFonts w:ascii="宋体" w:hAnsi="宋体" w:eastAsia="宋体" w:cs="宋体"/>
                <w:spacing w:val="-4"/>
                <w:sz w:val="21"/>
                <w:szCs w:val="21"/>
              </w:rPr>
              <w:t>定期由厂家更换回收利用。</w:t>
            </w:r>
          </w:p>
        </w:tc>
        <w:tc>
          <w:tcPr>
            <w:tcW w:w="852" w:type="dxa"/>
            <w:vAlign w:val="top"/>
          </w:tcPr>
          <w:p w14:paraId="61F45936">
            <w:pPr>
              <w:pStyle w:val="6"/>
              <w:spacing w:before="107" w:line="185" w:lineRule="auto"/>
              <w:ind w:left="383"/>
            </w:pPr>
            <w:r>
              <w:t>5</w:t>
            </w:r>
          </w:p>
        </w:tc>
        <w:tc>
          <w:tcPr>
            <w:tcW w:w="1090" w:type="dxa"/>
            <w:vAlign w:val="top"/>
          </w:tcPr>
          <w:p w14:paraId="0BB584A2">
            <w:pPr>
              <w:spacing w:before="69" w:line="221" w:lineRule="auto"/>
              <w:ind w:left="132"/>
              <w:rPr>
                <w:rFonts w:ascii="宋体" w:hAnsi="宋体" w:eastAsia="宋体" w:cs="宋体"/>
                <w:sz w:val="21"/>
                <w:szCs w:val="21"/>
              </w:rPr>
            </w:pPr>
            <w:r>
              <w:rPr>
                <w:rFonts w:ascii="宋体" w:hAnsi="宋体" w:eastAsia="宋体" w:cs="宋体"/>
                <w:spacing w:val="-2"/>
                <w:sz w:val="21"/>
                <w:szCs w:val="21"/>
              </w:rPr>
              <w:t>妥善处置</w:t>
            </w:r>
          </w:p>
        </w:tc>
      </w:tr>
      <w:tr w14:paraId="4B3E0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42" w:type="dxa"/>
            <w:vAlign w:val="top"/>
          </w:tcPr>
          <w:p w14:paraId="693B43A9">
            <w:pPr>
              <w:spacing w:before="67" w:line="220" w:lineRule="auto"/>
              <w:ind w:left="61"/>
              <w:rPr>
                <w:rFonts w:ascii="宋体" w:hAnsi="宋体" w:eastAsia="宋体" w:cs="宋体"/>
                <w:sz w:val="21"/>
                <w:szCs w:val="21"/>
              </w:rPr>
            </w:pPr>
            <w:r>
              <w:rPr>
                <w:rFonts w:ascii="宋体" w:hAnsi="宋体" w:eastAsia="宋体" w:cs="宋体"/>
                <w:spacing w:val="-2"/>
                <w:sz w:val="21"/>
                <w:szCs w:val="21"/>
              </w:rPr>
              <w:t>地下水</w:t>
            </w:r>
          </w:p>
        </w:tc>
        <w:tc>
          <w:tcPr>
            <w:tcW w:w="965" w:type="dxa"/>
            <w:vAlign w:val="top"/>
          </w:tcPr>
          <w:p w14:paraId="2FB42CE0">
            <w:pPr>
              <w:spacing w:before="67" w:line="220" w:lineRule="auto"/>
              <w:ind w:left="172"/>
              <w:rPr>
                <w:rFonts w:ascii="宋体" w:hAnsi="宋体" w:eastAsia="宋体" w:cs="宋体"/>
                <w:sz w:val="21"/>
                <w:szCs w:val="21"/>
              </w:rPr>
            </w:pPr>
            <w:r>
              <w:rPr>
                <w:rFonts w:ascii="宋体" w:hAnsi="宋体" w:eastAsia="宋体" w:cs="宋体"/>
                <w:spacing w:val="-3"/>
                <w:sz w:val="21"/>
                <w:szCs w:val="21"/>
              </w:rPr>
              <w:t>养殖场</w:t>
            </w:r>
          </w:p>
        </w:tc>
        <w:tc>
          <w:tcPr>
            <w:tcW w:w="4671" w:type="dxa"/>
            <w:vAlign w:val="top"/>
          </w:tcPr>
          <w:p w14:paraId="430CEDD8">
            <w:pPr>
              <w:pStyle w:val="6"/>
              <w:spacing w:before="68" w:line="219" w:lineRule="auto"/>
              <w:jc w:val="right"/>
              <w:rPr>
                <w:rFonts w:ascii="宋体" w:hAnsi="宋体" w:eastAsia="宋体" w:cs="宋体"/>
              </w:rPr>
            </w:pPr>
            <w:r>
              <w:rPr>
                <w:rFonts w:ascii="宋体" w:hAnsi="宋体" w:eastAsia="宋体" w:cs="宋体"/>
                <w:spacing w:val="-4"/>
              </w:rPr>
              <w:t>采取分区防渗，重点防渗区采取防渗混凝土</w:t>
            </w:r>
            <w:r>
              <w:rPr>
                <w:spacing w:val="-4"/>
              </w:rPr>
              <w:t>+</w:t>
            </w:r>
            <w:r>
              <w:rPr>
                <w:rFonts w:ascii="宋体" w:hAnsi="宋体" w:eastAsia="宋体" w:cs="宋体"/>
                <w:spacing w:val="-4"/>
              </w:rPr>
              <w:t>粘土防</w:t>
            </w:r>
          </w:p>
        </w:tc>
        <w:tc>
          <w:tcPr>
            <w:tcW w:w="852" w:type="dxa"/>
            <w:vAlign w:val="top"/>
          </w:tcPr>
          <w:p w14:paraId="1D423B2B">
            <w:pPr>
              <w:pStyle w:val="6"/>
              <w:spacing w:before="104" w:line="188" w:lineRule="auto"/>
              <w:ind w:left="324"/>
            </w:pPr>
            <w:r>
              <w:rPr>
                <w:spacing w:val="-1"/>
              </w:rPr>
              <w:t>20</w:t>
            </w:r>
          </w:p>
        </w:tc>
        <w:tc>
          <w:tcPr>
            <w:tcW w:w="1090" w:type="dxa"/>
            <w:vAlign w:val="top"/>
          </w:tcPr>
          <w:p w14:paraId="75AD1E5B">
            <w:pPr>
              <w:pStyle w:val="6"/>
              <w:spacing w:before="100" w:line="192" w:lineRule="auto"/>
              <w:ind w:left="513"/>
            </w:pPr>
            <w:r>
              <w:t>/</w:t>
            </w:r>
          </w:p>
        </w:tc>
      </w:tr>
    </w:tbl>
    <w:p w14:paraId="407F8972">
      <w:pPr>
        <w:pStyle w:val="2"/>
        <w:spacing w:line="171" w:lineRule="exact"/>
        <w:rPr>
          <w:sz w:val="14"/>
        </w:rPr>
      </w:pPr>
    </w:p>
    <w:p w14:paraId="4541BB6A">
      <w:pPr>
        <w:spacing w:line="171" w:lineRule="exact"/>
        <w:rPr>
          <w:sz w:val="14"/>
          <w:szCs w:val="14"/>
        </w:rPr>
        <w:sectPr>
          <w:headerReference r:id="rId489" w:type="default"/>
          <w:footerReference r:id="rId490" w:type="default"/>
          <w:pgSz w:w="11905" w:h="16840"/>
          <w:pgMar w:top="1168" w:right="1768" w:bottom="1409" w:left="1770" w:header="828" w:footer="1244" w:gutter="0"/>
          <w:cols w:space="720" w:num="1"/>
        </w:sectPr>
      </w:pPr>
    </w:p>
    <w:p w14:paraId="4354EB74">
      <w:pPr>
        <w:spacing w:before="30"/>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965"/>
        <w:gridCol w:w="4671"/>
        <w:gridCol w:w="852"/>
        <w:gridCol w:w="1090"/>
      </w:tblGrid>
      <w:tr w14:paraId="63432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42" w:type="dxa"/>
            <w:vAlign w:val="top"/>
          </w:tcPr>
          <w:p w14:paraId="186F24B2">
            <w:pPr>
              <w:spacing w:before="34" w:line="220" w:lineRule="auto"/>
              <w:ind w:left="166"/>
              <w:rPr>
                <w:rFonts w:ascii="宋体" w:hAnsi="宋体" w:eastAsia="宋体" w:cs="宋体"/>
                <w:sz w:val="21"/>
                <w:szCs w:val="21"/>
              </w:rPr>
            </w:pPr>
            <w:bookmarkStart w:id="52" w:name="bookmark189"/>
            <w:bookmarkEnd w:id="52"/>
            <w:r>
              <w:rPr>
                <w:rFonts w:ascii="宋体" w:hAnsi="宋体" w:eastAsia="宋体" w:cs="宋体"/>
                <w:spacing w:val="-3"/>
                <w:sz w:val="21"/>
                <w:szCs w:val="21"/>
              </w:rPr>
              <w:t>环境</w:t>
            </w:r>
          </w:p>
          <w:p w14:paraId="43327564">
            <w:pPr>
              <w:spacing w:before="21" w:line="208" w:lineRule="auto"/>
              <w:ind w:left="167"/>
              <w:rPr>
                <w:rFonts w:ascii="宋体" w:hAnsi="宋体" w:eastAsia="宋体" w:cs="宋体"/>
                <w:sz w:val="21"/>
                <w:szCs w:val="21"/>
              </w:rPr>
            </w:pPr>
            <w:r>
              <w:rPr>
                <w:rFonts w:ascii="宋体" w:hAnsi="宋体" w:eastAsia="宋体" w:cs="宋体"/>
                <w:spacing w:val="-3"/>
                <w:sz w:val="21"/>
                <w:szCs w:val="21"/>
              </w:rPr>
              <w:t>要素</w:t>
            </w:r>
          </w:p>
        </w:tc>
        <w:tc>
          <w:tcPr>
            <w:tcW w:w="965" w:type="dxa"/>
            <w:vAlign w:val="top"/>
          </w:tcPr>
          <w:p w14:paraId="0F6CEA8B">
            <w:pPr>
              <w:spacing w:before="171" w:line="220" w:lineRule="auto"/>
              <w:ind w:left="71"/>
              <w:rPr>
                <w:rFonts w:ascii="宋体" w:hAnsi="宋体" w:eastAsia="宋体" w:cs="宋体"/>
                <w:sz w:val="21"/>
                <w:szCs w:val="21"/>
              </w:rPr>
            </w:pPr>
            <w:r>
              <w:rPr>
                <w:rFonts w:ascii="宋体" w:hAnsi="宋体" w:eastAsia="宋体" w:cs="宋体"/>
                <w:spacing w:val="-3"/>
                <w:sz w:val="21"/>
                <w:szCs w:val="21"/>
              </w:rPr>
              <w:t>治理项目</w:t>
            </w:r>
          </w:p>
        </w:tc>
        <w:tc>
          <w:tcPr>
            <w:tcW w:w="4671" w:type="dxa"/>
            <w:vAlign w:val="top"/>
          </w:tcPr>
          <w:p w14:paraId="79DECCA7">
            <w:pPr>
              <w:spacing w:before="171" w:line="220" w:lineRule="auto"/>
              <w:ind w:left="2014"/>
              <w:rPr>
                <w:rFonts w:ascii="宋体" w:hAnsi="宋体" w:eastAsia="宋体" w:cs="宋体"/>
                <w:sz w:val="21"/>
                <w:szCs w:val="21"/>
              </w:rPr>
            </w:pPr>
            <w:r>
              <w:rPr>
                <w:rFonts w:ascii="宋体" w:hAnsi="宋体" w:eastAsia="宋体" w:cs="宋体"/>
                <w:spacing w:val="-3"/>
                <w:sz w:val="21"/>
                <w:szCs w:val="21"/>
              </w:rPr>
              <w:t>治理措施</w:t>
            </w:r>
          </w:p>
        </w:tc>
        <w:tc>
          <w:tcPr>
            <w:tcW w:w="852" w:type="dxa"/>
            <w:vAlign w:val="top"/>
          </w:tcPr>
          <w:p w14:paraId="67073962">
            <w:pPr>
              <w:spacing w:before="34" w:line="220" w:lineRule="auto"/>
              <w:jc w:val="right"/>
              <w:rPr>
                <w:rFonts w:ascii="宋体" w:hAnsi="宋体" w:eastAsia="宋体" w:cs="宋体"/>
                <w:sz w:val="21"/>
                <w:szCs w:val="21"/>
              </w:rPr>
            </w:pPr>
            <w:r>
              <w:rPr>
                <w:rFonts w:ascii="宋体" w:hAnsi="宋体" w:eastAsia="宋体" w:cs="宋体"/>
                <w:spacing w:val="-3"/>
                <w:sz w:val="21"/>
                <w:szCs w:val="21"/>
              </w:rPr>
              <w:t>环保投资</w:t>
            </w:r>
          </w:p>
          <w:p w14:paraId="50196A5F">
            <w:pPr>
              <w:spacing w:before="21" w:line="208" w:lineRule="auto"/>
              <w:ind w:left="19"/>
              <w:rPr>
                <w:rFonts w:ascii="宋体" w:hAnsi="宋体" w:eastAsia="宋体" w:cs="宋体"/>
                <w:sz w:val="21"/>
                <w:szCs w:val="21"/>
              </w:rPr>
            </w:pPr>
            <w:r>
              <w:rPr>
                <w:rFonts w:ascii="宋体" w:hAnsi="宋体" w:eastAsia="宋体" w:cs="宋体"/>
                <w:spacing w:val="-6"/>
                <w:sz w:val="21"/>
                <w:szCs w:val="21"/>
              </w:rPr>
              <w:t>（万元）</w:t>
            </w:r>
          </w:p>
        </w:tc>
        <w:tc>
          <w:tcPr>
            <w:tcW w:w="1090" w:type="dxa"/>
            <w:vAlign w:val="top"/>
          </w:tcPr>
          <w:p w14:paraId="6289846E">
            <w:pPr>
              <w:spacing w:before="171" w:line="220" w:lineRule="auto"/>
              <w:ind w:left="135"/>
              <w:rPr>
                <w:rFonts w:ascii="宋体" w:hAnsi="宋体" w:eastAsia="宋体" w:cs="宋体"/>
                <w:sz w:val="21"/>
                <w:szCs w:val="21"/>
              </w:rPr>
            </w:pPr>
            <w:r>
              <w:rPr>
                <w:rFonts w:ascii="宋体" w:hAnsi="宋体" w:eastAsia="宋体" w:cs="宋体"/>
                <w:spacing w:val="-3"/>
                <w:sz w:val="21"/>
                <w:szCs w:val="21"/>
              </w:rPr>
              <w:t>治理效果</w:t>
            </w:r>
          </w:p>
        </w:tc>
      </w:tr>
      <w:tr w14:paraId="31BF0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42" w:type="dxa"/>
            <w:vAlign w:val="top"/>
          </w:tcPr>
          <w:p w14:paraId="6F628608">
            <w:pPr>
              <w:rPr>
                <w:rFonts w:ascii="Arial"/>
                <w:sz w:val="21"/>
              </w:rPr>
            </w:pPr>
          </w:p>
        </w:tc>
        <w:tc>
          <w:tcPr>
            <w:tcW w:w="965" w:type="dxa"/>
            <w:vAlign w:val="top"/>
          </w:tcPr>
          <w:p w14:paraId="7540B0DC">
            <w:pPr>
              <w:rPr>
                <w:rFonts w:ascii="Arial"/>
                <w:sz w:val="21"/>
              </w:rPr>
            </w:pPr>
          </w:p>
        </w:tc>
        <w:tc>
          <w:tcPr>
            <w:tcW w:w="4671" w:type="dxa"/>
            <w:vAlign w:val="top"/>
          </w:tcPr>
          <w:p w14:paraId="789194E1">
            <w:pPr>
              <w:pStyle w:val="6"/>
              <w:spacing w:before="19" w:line="228" w:lineRule="auto"/>
              <w:ind w:left="8" w:firstLine="1"/>
              <w:jc w:val="both"/>
              <w:rPr>
                <w:rFonts w:ascii="宋体" w:hAnsi="宋体" w:eastAsia="宋体" w:cs="宋体"/>
              </w:rPr>
            </w:pPr>
            <w:r>
              <w:rPr>
                <w:rFonts w:ascii="宋体" w:hAnsi="宋体" w:eastAsia="宋体" w:cs="宋体"/>
                <w:spacing w:val="-1"/>
              </w:rPr>
              <w:t xml:space="preserve">渗层，渗透系数 </w:t>
            </w:r>
            <w:r>
              <w:rPr>
                <w:spacing w:val="-1"/>
              </w:rPr>
              <w:t>K≤10</w:t>
            </w:r>
            <w:r>
              <w:rPr>
                <w:spacing w:val="-1"/>
                <w:position w:val="9"/>
                <w:sz w:val="14"/>
                <w:szCs w:val="14"/>
              </w:rPr>
              <w:t>-7</w:t>
            </w:r>
            <w:r>
              <w:rPr>
                <w:spacing w:val="-1"/>
              </w:rPr>
              <w:t>cm/s</w:t>
            </w:r>
            <w:r>
              <w:rPr>
                <w:rFonts w:ascii="宋体" w:hAnsi="宋体" w:eastAsia="宋体" w:cs="宋体"/>
                <w:spacing w:val="-1"/>
              </w:rPr>
              <w:t>，其中危废暂存间渗透</w:t>
            </w:r>
            <w:r>
              <w:rPr>
                <w:rFonts w:ascii="宋体" w:hAnsi="宋体" w:eastAsia="宋体" w:cs="宋体"/>
              </w:rPr>
              <w:t xml:space="preserve">系数 </w:t>
            </w:r>
            <w:r>
              <w:t>K≤10</w:t>
            </w:r>
            <w:r>
              <w:rPr>
                <w:position w:val="9"/>
                <w:sz w:val="14"/>
                <w:szCs w:val="14"/>
              </w:rPr>
              <w:t>-10</w:t>
            </w:r>
            <w:r>
              <w:t>cm/s</w:t>
            </w:r>
            <w:r>
              <w:rPr>
                <w:rFonts w:ascii="宋体" w:hAnsi="宋体" w:eastAsia="宋体" w:cs="宋体"/>
              </w:rPr>
              <w:t>；一般防渗区采取防渗混凝土</w:t>
            </w:r>
            <w:r>
              <w:t>+</w:t>
            </w:r>
            <w:r>
              <w:rPr>
                <w:rFonts w:ascii="宋体" w:hAnsi="宋体" w:eastAsia="宋体" w:cs="宋体"/>
              </w:rPr>
              <w:t>粘</w:t>
            </w:r>
            <w:r>
              <w:rPr>
                <w:rFonts w:ascii="宋体" w:hAnsi="宋体" w:eastAsia="宋体" w:cs="宋体"/>
                <w:spacing w:val="-1"/>
              </w:rPr>
              <w:t xml:space="preserve">土防渗层，渗透系数 </w:t>
            </w:r>
            <w:r>
              <w:rPr>
                <w:spacing w:val="-1"/>
              </w:rPr>
              <w:t>K≤10</w:t>
            </w:r>
            <w:r>
              <w:rPr>
                <w:spacing w:val="-1"/>
                <w:position w:val="9"/>
                <w:sz w:val="14"/>
                <w:szCs w:val="14"/>
              </w:rPr>
              <w:t>-7</w:t>
            </w:r>
            <w:r>
              <w:rPr>
                <w:spacing w:val="-1"/>
              </w:rPr>
              <w:t>cm/s</w:t>
            </w:r>
            <w:r>
              <w:rPr>
                <w:rFonts w:ascii="宋体" w:hAnsi="宋体" w:eastAsia="宋体" w:cs="宋体"/>
                <w:spacing w:val="-1"/>
              </w:rPr>
              <w:t>；一般防渗区采取</w:t>
            </w:r>
            <w:r>
              <w:rPr>
                <w:rFonts w:ascii="宋体" w:hAnsi="宋体" w:eastAsia="宋体" w:cs="宋体"/>
                <w:spacing w:val="-5"/>
              </w:rPr>
              <w:t>普通混凝土地面硬化。设置</w:t>
            </w:r>
            <w:r>
              <w:rPr>
                <w:rFonts w:ascii="宋体" w:hAnsi="宋体" w:eastAsia="宋体" w:cs="宋体"/>
                <w:spacing w:val="-23"/>
              </w:rPr>
              <w:t xml:space="preserve"> </w:t>
            </w:r>
            <w:r>
              <w:rPr>
                <w:spacing w:val="-5"/>
              </w:rPr>
              <w:t>1</w:t>
            </w:r>
            <w:r>
              <w:rPr>
                <w:spacing w:val="41"/>
                <w:w w:val="101"/>
              </w:rPr>
              <w:t xml:space="preserve"> </w:t>
            </w:r>
            <w:r>
              <w:rPr>
                <w:rFonts w:ascii="宋体" w:hAnsi="宋体" w:eastAsia="宋体" w:cs="宋体"/>
                <w:spacing w:val="-5"/>
              </w:rPr>
              <w:t>口地下水监控井。</w:t>
            </w:r>
          </w:p>
        </w:tc>
        <w:tc>
          <w:tcPr>
            <w:tcW w:w="852" w:type="dxa"/>
            <w:vAlign w:val="top"/>
          </w:tcPr>
          <w:p w14:paraId="40073F47">
            <w:pPr>
              <w:rPr>
                <w:rFonts w:ascii="Arial"/>
                <w:sz w:val="21"/>
              </w:rPr>
            </w:pPr>
          </w:p>
        </w:tc>
        <w:tc>
          <w:tcPr>
            <w:tcW w:w="1090" w:type="dxa"/>
            <w:vAlign w:val="top"/>
          </w:tcPr>
          <w:p w14:paraId="642E56E3">
            <w:pPr>
              <w:rPr>
                <w:rFonts w:ascii="Arial"/>
                <w:sz w:val="21"/>
              </w:rPr>
            </w:pPr>
          </w:p>
        </w:tc>
      </w:tr>
      <w:tr w14:paraId="65095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707" w:type="dxa"/>
            <w:gridSpan w:val="2"/>
            <w:vAlign w:val="top"/>
          </w:tcPr>
          <w:p w14:paraId="45952071">
            <w:pPr>
              <w:spacing w:line="253" w:lineRule="auto"/>
              <w:rPr>
                <w:rFonts w:ascii="Arial"/>
                <w:sz w:val="21"/>
              </w:rPr>
            </w:pPr>
          </w:p>
          <w:p w14:paraId="0E4D5736">
            <w:pPr>
              <w:spacing w:line="253" w:lineRule="auto"/>
              <w:rPr>
                <w:rFonts w:ascii="Arial"/>
                <w:sz w:val="21"/>
              </w:rPr>
            </w:pPr>
          </w:p>
          <w:p w14:paraId="2A6B5F5D">
            <w:pPr>
              <w:spacing w:before="68" w:line="220" w:lineRule="auto"/>
              <w:ind w:left="440"/>
              <w:rPr>
                <w:rFonts w:ascii="宋体" w:hAnsi="宋体" w:eastAsia="宋体" w:cs="宋体"/>
                <w:sz w:val="21"/>
                <w:szCs w:val="21"/>
              </w:rPr>
            </w:pPr>
            <w:r>
              <w:rPr>
                <w:rFonts w:ascii="宋体" w:hAnsi="宋体" w:eastAsia="宋体" w:cs="宋体"/>
                <w:spacing w:val="-2"/>
                <w:sz w:val="21"/>
                <w:szCs w:val="21"/>
              </w:rPr>
              <w:t>风险防范</w:t>
            </w:r>
          </w:p>
        </w:tc>
        <w:tc>
          <w:tcPr>
            <w:tcW w:w="4671" w:type="dxa"/>
            <w:vAlign w:val="top"/>
          </w:tcPr>
          <w:p w14:paraId="19B742C9">
            <w:pPr>
              <w:spacing w:before="34" w:line="232" w:lineRule="auto"/>
              <w:ind w:left="8" w:firstLine="1"/>
              <w:jc w:val="both"/>
              <w:rPr>
                <w:rFonts w:ascii="宋体" w:hAnsi="宋体" w:eastAsia="宋体" w:cs="宋体"/>
                <w:sz w:val="21"/>
                <w:szCs w:val="21"/>
              </w:rPr>
            </w:pPr>
            <w:r>
              <w:rPr>
                <w:rFonts w:ascii="宋体" w:hAnsi="宋体" w:eastAsia="宋体" w:cs="宋体"/>
                <w:spacing w:val="-8"/>
                <w:sz w:val="21"/>
                <w:szCs w:val="21"/>
              </w:rPr>
              <w:t>厌氧反应器设置严禁火种标志、报警器和管理措施；</w:t>
            </w:r>
            <w:r>
              <w:rPr>
                <w:rFonts w:ascii="宋体" w:hAnsi="宋体" w:eastAsia="宋体" w:cs="宋体"/>
                <w:spacing w:val="-1"/>
                <w:sz w:val="21"/>
                <w:szCs w:val="21"/>
              </w:rPr>
              <w:t>消纳地设置田间储存池、田间分配池，养殖场向田间储存池的输水管道接管处设置密封零部件，项目区出口处设置关闭阀门，合理设计施肥管网和废水</w:t>
            </w:r>
            <w:r>
              <w:rPr>
                <w:rFonts w:ascii="宋体" w:hAnsi="宋体" w:eastAsia="宋体" w:cs="宋体"/>
                <w:spacing w:val="-5"/>
                <w:sz w:val="21"/>
                <w:szCs w:val="21"/>
              </w:rPr>
              <w:t>施用量。制定突发环境事故应急预案。</w:t>
            </w:r>
          </w:p>
        </w:tc>
        <w:tc>
          <w:tcPr>
            <w:tcW w:w="852" w:type="dxa"/>
            <w:vAlign w:val="top"/>
          </w:tcPr>
          <w:p w14:paraId="51181AA9">
            <w:pPr>
              <w:spacing w:line="274" w:lineRule="auto"/>
              <w:rPr>
                <w:rFonts w:ascii="Arial"/>
                <w:sz w:val="21"/>
              </w:rPr>
            </w:pPr>
          </w:p>
          <w:p w14:paraId="7C46CFF5">
            <w:pPr>
              <w:spacing w:line="275" w:lineRule="auto"/>
              <w:rPr>
                <w:rFonts w:ascii="Arial"/>
                <w:sz w:val="21"/>
              </w:rPr>
            </w:pPr>
          </w:p>
          <w:p w14:paraId="0F3693EC">
            <w:pPr>
              <w:pStyle w:val="6"/>
              <w:spacing w:before="60" w:line="188" w:lineRule="auto"/>
              <w:ind w:left="344"/>
            </w:pPr>
            <w:r>
              <w:rPr>
                <w:spacing w:val="-6"/>
              </w:rPr>
              <w:t>10</w:t>
            </w:r>
          </w:p>
        </w:tc>
        <w:tc>
          <w:tcPr>
            <w:tcW w:w="1090" w:type="dxa"/>
            <w:vAlign w:val="top"/>
          </w:tcPr>
          <w:p w14:paraId="7E1B5A5B">
            <w:pPr>
              <w:spacing w:line="272" w:lineRule="auto"/>
              <w:rPr>
                <w:rFonts w:ascii="Arial"/>
                <w:sz w:val="21"/>
              </w:rPr>
            </w:pPr>
          </w:p>
          <w:p w14:paraId="6A9ACD0E">
            <w:pPr>
              <w:spacing w:line="273" w:lineRule="auto"/>
              <w:rPr>
                <w:rFonts w:ascii="Arial"/>
                <w:sz w:val="21"/>
              </w:rPr>
            </w:pPr>
          </w:p>
          <w:p w14:paraId="54DB175C">
            <w:pPr>
              <w:pStyle w:val="6"/>
              <w:spacing w:before="60" w:line="192" w:lineRule="auto"/>
              <w:ind w:left="513"/>
            </w:pPr>
            <w:r>
              <w:t>/</w:t>
            </w:r>
          </w:p>
        </w:tc>
      </w:tr>
      <w:tr w14:paraId="58E7F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378" w:type="dxa"/>
            <w:gridSpan w:val="3"/>
            <w:vAlign w:val="top"/>
          </w:tcPr>
          <w:p w14:paraId="4082CDF8">
            <w:pPr>
              <w:spacing w:before="69" w:line="221" w:lineRule="auto"/>
              <w:ind w:left="2987"/>
              <w:rPr>
                <w:rFonts w:ascii="宋体" w:hAnsi="宋体" w:eastAsia="宋体" w:cs="宋体"/>
                <w:sz w:val="21"/>
                <w:szCs w:val="21"/>
              </w:rPr>
            </w:pPr>
            <w:r>
              <w:rPr>
                <w:rFonts w:ascii="宋体" w:hAnsi="宋体" w:eastAsia="宋体" w:cs="宋体"/>
                <w:spacing w:val="-3"/>
                <w:sz w:val="21"/>
                <w:szCs w:val="21"/>
              </w:rPr>
              <w:t>合计</w:t>
            </w:r>
          </w:p>
        </w:tc>
        <w:tc>
          <w:tcPr>
            <w:tcW w:w="852" w:type="dxa"/>
            <w:vAlign w:val="top"/>
          </w:tcPr>
          <w:p w14:paraId="4B361F44">
            <w:pPr>
              <w:pStyle w:val="6"/>
              <w:spacing w:before="105" w:line="188" w:lineRule="auto"/>
              <w:ind w:left="276"/>
            </w:pPr>
            <w:r>
              <w:rPr>
                <w:spacing w:val="-3"/>
              </w:rPr>
              <w:t>770</w:t>
            </w:r>
          </w:p>
        </w:tc>
        <w:tc>
          <w:tcPr>
            <w:tcW w:w="1090" w:type="dxa"/>
            <w:vAlign w:val="top"/>
          </w:tcPr>
          <w:p w14:paraId="6AEB75B1">
            <w:pPr>
              <w:rPr>
                <w:rFonts w:ascii="Arial"/>
                <w:sz w:val="21"/>
              </w:rPr>
            </w:pPr>
          </w:p>
        </w:tc>
      </w:tr>
    </w:tbl>
    <w:p w14:paraId="4C50D8DF">
      <w:pPr>
        <w:pStyle w:val="2"/>
      </w:pPr>
    </w:p>
    <w:p w14:paraId="1AEFA94B">
      <w:pPr>
        <w:sectPr>
          <w:footerReference r:id="rId491" w:type="default"/>
          <w:pgSz w:w="11905" w:h="16840"/>
          <w:pgMar w:top="1168" w:right="1768" w:bottom="1409" w:left="1770" w:header="828" w:footer="1244" w:gutter="0"/>
          <w:cols w:space="720" w:num="1"/>
        </w:sectPr>
      </w:pPr>
    </w:p>
    <w:p w14:paraId="5AC8B971">
      <w:pPr>
        <w:spacing w:before="362" w:line="219" w:lineRule="auto"/>
        <w:ind w:left="1152"/>
        <w:outlineLvl w:val="0"/>
        <w:rPr>
          <w:rFonts w:ascii="宋体" w:hAnsi="宋体" w:eastAsia="宋体" w:cs="宋体"/>
          <w:sz w:val="44"/>
          <w:szCs w:val="44"/>
        </w:rPr>
      </w:pPr>
      <w:bookmarkStart w:id="53" w:name="bookmark32"/>
      <w:bookmarkEnd w:id="53"/>
      <w:r>
        <w:rPr>
          <w:rFonts w:ascii="宋体" w:hAnsi="宋体" w:eastAsia="宋体" w:cs="宋体"/>
          <w:b/>
          <w:bCs/>
          <w:spacing w:val="-6"/>
          <w:sz w:val="44"/>
          <w:szCs w:val="44"/>
        </w:rPr>
        <w:t>第六章</w:t>
      </w:r>
      <w:r>
        <w:rPr>
          <w:rFonts w:ascii="宋体" w:hAnsi="宋体" w:eastAsia="宋体" w:cs="宋体"/>
          <w:spacing w:val="154"/>
          <w:sz w:val="44"/>
          <w:szCs w:val="44"/>
        </w:rPr>
        <w:t xml:space="preserve"> </w:t>
      </w:r>
      <w:r>
        <w:rPr>
          <w:rFonts w:ascii="宋体" w:hAnsi="宋体" w:eastAsia="宋体" w:cs="宋体"/>
          <w:b/>
          <w:bCs/>
          <w:spacing w:val="-6"/>
          <w:sz w:val="44"/>
          <w:szCs w:val="44"/>
        </w:rPr>
        <w:t>环境影响经济损益分析</w:t>
      </w:r>
    </w:p>
    <w:p w14:paraId="1053D2DC">
      <w:pPr>
        <w:spacing w:before="245" w:line="360" w:lineRule="auto"/>
        <w:ind w:left="39" w:right="83" w:firstLine="479"/>
        <w:jc w:val="both"/>
        <w:rPr>
          <w:rFonts w:ascii="宋体" w:hAnsi="宋体" w:eastAsia="宋体" w:cs="宋体"/>
          <w:sz w:val="24"/>
          <w:szCs w:val="24"/>
        </w:rPr>
      </w:pPr>
      <w:r>
        <w:rPr>
          <w:rFonts w:ascii="宋体" w:hAnsi="宋体" w:eastAsia="宋体" w:cs="宋体"/>
          <w:spacing w:val="-3"/>
          <w:sz w:val="24"/>
          <w:szCs w:val="24"/>
        </w:rPr>
        <w:t>对建设项目进行环境影响经济损益分析，目的是为了衡量该建设项</w:t>
      </w:r>
      <w:r>
        <w:rPr>
          <w:rFonts w:ascii="宋体" w:hAnsi="宋体" w:eastAsia="宋体" w:cs="宋体"/>
          <w:spacing w:val="-4"/>
          <w:sz w:val="24"/>
          <w:szCs w:val="24"/>
        </w:rPr>
        <w:t>目投入的</w:t>
      </w:r>
      <w:r>
        <w:rPr>
          <w:rFonts w:ascii="宋体" w:hAnsi="宋体" w:eastAsia="宋体" w:cs="宋体"/>
          <w:spacing w:val="-3"/>
          <w:sz w:val="24"/>
          <w:szCs w:val="24"/>
        </w:rPr>
        <w:t>环保投资所能收到的环保效果和经济实效，以及可能收到的环境和社会效益，最大限度地控制污染，降低破坏环境的程度，合理利用自然资源，以最少的环境代价取得最大的经济效益和社会效益。</w:t>
      </w:r>
    </w:p>
    <w:p w14:paraId="4B8A8EC0">
      <w:pPr>
        <w:spacing w:before="4" w:line="360" w:lineRule="auto"/>
        <w:ind w:left="40" w:firstLine="484"/>
        <w:jc w:val="both"/>
        <w:rPr>
          <w:rFonts w:ascii="宋体" w:hAnsi="宋体" w:eastAsia="宋体" w:cs="宋体"/>
          <w:sz w:val="24"/>
          <w:szCs w:val="24"/>
        </w:rPr>
      </w:pPr>
      <w:r>
        <w:rPr>
          <w:rFonts w:ascii="宋体" w:hAnsi="宋体" w:eastAsia="宋体" w:cs="宋体"/>
          <w:spacing w:val="-7"/>
          <w:sz w:val="24"/>
          <w:szCs w:val="24"/>
        </w:rPr>
        <w:t>结合本项目的特点，本次经济、社会和环境效益分析以资料分析为主， 在详</w:t>
      </w:r>
      <w:r>
        <w:rPr>
          <w:rFonts w:ascii="宋体" w:hAnsi="宋体" w:eastAsia="宋体" w:cs="宋体"/>
          <w:spacing w:val="4"/>
          <w:sz w:val="24"/>
          <w:szCs w:val="24"/>
        </w:rPr>
        <w:t>细了解本项目施工期间和运营期间概况以及各环境污染物及其影响程度和范围</w:t>
      </w:r>
      <w:r>
        <w:rPr>
          <w:rFonts w:ascii="宋体" w:hAnsi="宋体" w:eastAsia="宋体" w:cs="宋体"/>
          <w:spacing w:val="-3"/>
          <w:sz w:val="24"/>
          <w:szCs w:val="24"/>
        </w:rPr>
        <w:t>的基础上，运用费用</w:t>
      </w:r>
      <w:r>
        <w:rPr>
          <w:rFonts w:ascii="Times New Roman" w:hAnsi="Times New Roman" w:eastAsia="Times New Roman" w:cs="Times New Roman"/>
          <w:spacing w:val="-3"/>
          <w:sz w:val="24"/>
          <w:szCs w:val="24"/>
        </w:rPr>
        <w:t>—</w:t>
      </w:r>
      <w:r>
        <w:rPr>
          <w:rFonts w:ascii="宋体" w:hAnsi="宋体" w:eastAsia="宋体" w:cs="宋体"/>
          <w:spacing w:val="-3"/>
          <w:sz w:val="24"/>
          <w:szCs w:val="24"/>
        </w:rPr>
        <w:t>效益分析方法进行定性或者定量分析，根据分析对象的不</w:t>
      </w:r>
      <w:r>
        <w:rPr>
          <w:rFonts w:ascii="宋体" w:hAnsi="宋体" w:eastAsia="宋体" w:cs="宋体"/>
          <w:spacing w:val="-1"/>
          <w:sz w:val="24"/>
          <w:szCs w:val="24"/>
        </w:rPr>
        <w:t>同采用定量和定性两种方法对本项目的环境、社会和经济损益进行分析和讨论。</w:t>
      </w:r>
    </w:p>
    <w:p w14:paraId="4AB8F627">
      <w:pPr>
        <w:spacing w:before="152" w:line="219" w:lineRule="auto"/>
        <w:ind w:left="41"/>
        <w:outlineLvl w:val="1"/>
        <w:rPr>
          <w:rFonts w:ascii="宋体" w:hAnsi="宋体" w:eastAsia="宋体" w:cs="宋体"/>
          <w:sz w:val="32"/>
          <w:szCs w:val="32"/>
        </w:rPr>
      </w:pPr>
      <w:bookmarkStart w:id="54" w:name="bookmark33"/>
      <w:bookmarkEnd w:id="54"/>
      <w:r>
        <w:rPr>
          <w:rFonts w:ascii="Times New Roman" w:hAnsi="Times New Roman" w:eastAsia="Times New Roman" w:cs="Times New Roman"/>
          <w:b/>
          <w:bCs/>
          <w:spacing w:val="-5"/>
          <w:sz w:val="32"/>
          <w:szCs w:val="32"/>
        </w:rPr>
        <w:t>6.1</w:t>
      </w:r>
      <w:r>
        <w:rPr>
          <w:rFonts w:ascii="Times New Roman" w:hAnsi="Times New Roman" w:eastAsia="Times New Roman" w:cs="Times New Roman"/>
          <w:b/>
          <w:bCs/>
          <w:spacing w:val="8"/>
          <w:sz w:val="32"/>
          <w:szCs w:val="32"/>
        </w:rPr>
        <w:t xml:space="preserve">  </w:t>
      </w:r>
      <w:r>
        <w:rPr>
          <w:rFonts w:ascii="宋体" w:hAnsi="宋体" w:eastAsia="宋体" w:cs="宋体"/>
          <w:b/>
          <w:bCs/>
          <w:spacing w:val="-5"/>
          <w:sz w:val="32"/>
          <w:szCs w:val="32"/>
        </w:rPr>
        <w:t>社会效益</w:t>
      </w:r>
    </w:p>
    <w:p w14:paraId="31CCE353">
      <w:pPr>
        <w:pStyle w:val="2"/>
        <w:spacing w:line="248" w:lineRule="auto"/>
      </w:pPr>
    </w:p>
    <w:p w14:paraId="036F9FC0">
      <w:pPr>
        <w:spacing w:before="78" w:line="219" w:lineRule="auto"/>
        <w:ind w:left="520"/>
        <w:rPr>
          <w:rFonts w:ascii="宋体" w:hAnsi="宋体" w:eastAsia="宋体" w:cs="宋体"/>
          <w:sz w:val="24"/>
          <w:szCs w:val="24"/>
        </w:rPr>
      </w:pPr>
      <w:r>
        <w:rPr>
          <w:rFonts w:ascii="宋体" w:hAnsi="宋体" w:eastAsia="宋体" w:cs="宋体"/>
          <w:spacing w:val="-4"/>
          <w:sz w:val="24"/>
          <w:szCs w:val="24"/>
        </w:rPr>
        <w:t>本项目的社会效益主要表现在以下几个方面：</w:t>
      </w:r>
    </w:p>
    <w:p w14:paraId="35BD4D9F">
      <w:pPr>
        <w:spacing w:before="183" w:line="360" w:lineRule="auto"/>
        <w:ind w:left="40" w:right="83"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）畜牧业是农村经济的重要组成部分，也是农民增收的重要来</w:t>
      </w:r>
      <w:r>
        <w:rPr>
          <w:rFonts w:ascii="宋体" w:hAnsi="宋体" w:eastAsia="宋体" w:cs="宋体"/>
          <w:spacing w:val="-1"/>
          <w:sz w:val="24"/>
          <w:szCs w:val="24"/>
        </w:rPr>
        <w:t>源。本项</w:t>
      </w:r>
      <w:r>
        <w:rPr>
          <w:rFonts w:ascii="宋体" w:hAnsi="宋体" w:eastAsia="宋体" w:cs="宋体"/>
          <w:spacing w:val="-6"/>
          <w:sz w:val="24"/>
          <w:szCs w:val="24"/>
        </w:rPr>
        <w:t>目的投资建设，将进一步促进东兴区及白合镇畜牧业、农业的</w:t>
      </w:r>
      <w:r>
        <w:rPr>
          <w:rFonts w:ascii="宋体" w:hAnsi="宋体" w:eastAsia="宋体" w:cs="宋体"/>
          <w:spacing w:val="-7"/>
          <w:sz w:val="24"/>
          <w:szCs w:val="24"/>
        </w:rPr>
        <w:t>发展， 进而促进地</w:t>
      </w:r>
      <w:r>
        <w:rPr>
          <w:rFonts w:ascii="宋体" w:hAnsi="宋体" w:eastAsia="宋体" w:cs="宋体"/>
          <w:spacing w:val="-4"/>
          <w:sz w:val="24"/>
          <w:szCs w:val="24"/>
        </w:rPr>
        <w:t>方经济，具有良好的正效应。</w:t>
      </w:r>
    </w:p>
    <w:p w14:paraId="376308B3">
      <w:pPr>
        <w:spacing w:before="2" w:line="359" w:lineRule="auto"/>
        <w:ind w:left="58" w:right="119" w:firstLine="467"/>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）项目的清洁生产措施，很大程度上节约了资源和能源，起到了“节能、</w:t>
      </w:r>
      <w:r>
        <w:rPr>
          <w:rFonts w:ascii="宋体" w:hAnsi="宋体" w:eastAsia="宋体" w:cs="宋体"/>
          <w:spacing w:val="-2"/>
          <w:sz w:val="24"/>
          <w:szCs w:val="24"/>
        </w:rPr>
        <w:t>降耗、减污、增效”的作用，符合国家产业政策和环保治</w:t>
      </w:r>
      <w:r>
        <w:rPr>
          <w:rFonts w:ascii="宋体" w:hAnsi="宋体" w:eastAsia="宋体" w:cs="宋体"/>
          <w:spacing w:val="-3"/>
          <w:sz w:val="24"/>
          <w:szCs w:val="24"/>
        </w:rPr>
        <w:t>理要求。</w:t>
      </w:r>
    </w:p>
    <w:p w14:paraId="35F399BE">
      <w:pPr>
        <w:spacing w:line="360" w:lineRule="auto"/>
        <w:ind w:left="40" w:right="8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）该项目未来的标准化、规模化建设将形成农村能源产业，由此所需的</w:t>
      </w:r>
      <w:r>
        <w:rPr>
          <w:rFonts w:ascii="宋体" w:hAnsi="宋体" w:eastAsia="宋体" w:cs="宋体"/>
          <w:spacing w:val="-6"/>
          <w:sz w:val="24"/>
          <w:szCs w:val="24"/>
        </w:rPr>
        <w:t>技术、管理队伍可就地吸纳农村剩余劳动力， 有利于维护农</w:t>
      </w:r>
      <w:r>
        <w:rPr>
          <w:rFonts w:ascii="宋体" w:hAnsi="宋体" w:eastAsia="宋体" w:cs="宋体"/>
          <w:spacing w:val="-7"/>
          <w:sz w:val="24"/>
          <w:szCs w:val="24"/>
        </w:rPr>
        <w:t>村社会稳定，对提高</w:t>
      </w:r>
      <w:r>
        <w:rPr>
          <w:rFonts w:ascii="宋体" w:hAnsi="宋体" w:eastAsia="宋体" w:cs="宋体"/>
          <w:spacing w:val="-4"/>
          <w:sz w:val="24"/>
          <w:szCs w:val="24"/>
        </w:rPr>
        <w:t>人民生活水平起到积极作用。</w:t>
      </w:r>
    </w:p>
    <w:p w14:paraId="0F29B512">
      <w:pPr>
        <w:spacing w:line="360" w:lineRule="auto"/>
        <w:ind w:left="38" w:right="8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）项目的建设可拉动周边畜禽养殖业、肉制品加工业、饲料加工业</w:t>
      </w:r>
      <w:r>
        <w:rPr>
          <w:rFonts w:ascii="宋体" w:hAnsi="宋体" w:eastAsia="宋体" w:cs="宋体"/>
          <w:spacing w:val="-1"/>
          <w:sz w:val="24"/>
          <w:szCs w:val="24"/>
        </w:rPr>
        <w:t>等行</w:t>
      </w:r>
      <w:r>
        <w:rPr>
          <w:rFonts w:ascii="宋体" w:hAnsi="宋体" w:eastAsia="宋体" w:cs="宋体"/>
          <w:spacing w:val="-3"/>
          <w:sz w:val="24"/>
          <w:szCs w:val="24"/>
        </w:rPr>
        <w:t>业的快速发展，同时为周围种植业提供了大量优质有机肥，降低了化肥、农药在农产品生产中的使用量，为无公害农产品生产提供了有利条件，有利于促进周围</w:t>
      </w:r>
      <w:r>
        <w:rPr>
          <w:rFonts w:ascii="宋体" w:hAnsi="宋体" w:eastAsia="宋体" w:cs="宋体"/>
          <w:spacing w:val="-5"/>
          <w:sz w:val="24"/>
          <w:szCs w:val="24"/>
        </w:rPr>
        <w:t>农村产业结构调整。</w:t>
      </w:r>
    </w:p>
    <w:p w14:paraId="36045AF6">
      <w:pPr>
        <w:spacing w:line="360" w:lineRule="auto"/>
        <w:ind w:left="57" w:right="92" w:firstLine="46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）项目投产后，可增加当地财政收入，提高当地社会经济发展水平，对</w:t>
      </w:r>
      <w:r>
        <w:rPr>
          <w:rFonts w:ascii="宋体" w:hAnsi="宋体" w:eastAsia="宋体" w:cs="宋体"/>
          <w:spacing w:val="-5"/>
          <w:sz w:val="24"/>
          <w:szCs w:val="24"/>
        </w:rPr>
        <w:t>区域社会稳定发挥了较强作用。</w:t>
      </w:r>
    </w:p>
    <w:p w14:paraId="54B5280E">
      <w:pPr>
        <w:spacing w:before="1" w:line="361" w:lineRule="auto"/>
        <w:ind w:left="41" w:right="83" w:firstLine="480"/>
        <w:jc w:val="both"/>
        <w:rPr>
          <w:rFonts w:ascii="宋体" w:hAnsi="宋体" w:eastAsia="宋体" w:cs="宋体"/>
          <w:sz w:val="24"/>
          <w:szCs w:val="24"/>
        </w:rPr>
      </w:pPr>
      <w:r>
        <w:rPr>
          <w:rFonts w:ascii="宋体" w:hAnsi="宋体" w:eastAsia="宋体" w:cs="宋体"/>
          <w:spacing w:val="-3"/>
          <w:sz w:val="24"/>
          <w:szCs w:val="24"/>
        </w:rPr>
        <w:t>综合以上分析，项目的实施有较好的社会效益。本项目的</w:t>
      </w:r>
      <w:r>
        <w:rPr>
          <w:rFonts w:ascii="宋体" w:hAnsi="宋体" w:eastAsia="宋体" w:cs="宋体"/>
          <w:spacing w:val="-4"/>
          <w:sz w:val="24"/>
          <w:szCs w:val="24"/>
        </w:rPr>
        <w:t>实施不仅可以增加</w:t>
      </w:r>
      <w:r>
        <w:rPr>
          <w:rFonts w:ascii="宋体" w:hAnsi="宋体" w:eastAsia="宋体" w:cs="宋体"/>
          <w:spacing w:val="-3"/>
          <w:sz w:val="24"/>
          <w:szCs w:val="24"/>
        </w:rPr>
        <w:t>当地的财政收入，还可以为当地提供若干就业机会，增加居民的人均收入，促进</w:t>
      </w:r>
      <w:r>
        <w:rPr>
          <w:rFonts w:ascii="宋体" w:hAnsi="宋体" w:eastAsia="宋体" w:cs="宋体"/>
          <w:spacing w:val="-6"/>
          <w:sz w:val="24"/>
          <w:szCs w:val="24"/>
        </w:rPr>
        <w:t>社会稳定和经济繁荣。这不仅解决了部分剩余劳动力的就业问题，</w:t>
      </w:r>
      <w:r>
        <w:rPr>
          <w:rFonts w:ascii="宋体" w:hAnsi="宋体" w:eastAsia="宋体" w:cs="宋体"/>
          <w:spacing w:val="-16"/>
          <w:sz w:val="24"/>
          <w:szCs w:val="24"/>
        </w:rPr>
        <w:t xml:space="preserve"> </w:t>
      </w:r>
      <w:r>
        <w:rPr>
          <w:rFonts w:ascii="宋体" w:hAnsi="宋体" w:eastAsia="宋体" w:cs="宋体"/>
          <w:spacing w:val="-6"/>
          <w:sz w:val="24"/>
          <w:szCs w:val="24"/>
        </w:rPr>
        <w:t>同时还可为周</w:t>
      </w:r>
    </w:p>
    <w:p w14:paraId="6DE4BE4E">
      <w:pPr>
        <w:spacing w:line="361" w:lineRule="auto"/>
        <w:rPr>
          <w:rFonts w:ascii="宋体" w:hAnsi="宋体" w:eastAsia="宋体" w:cs="宋体"/>
          <w:sz w:val="24"/>
          <w:szCs w:val="24"/>
        </w:rPr>
        <w:sectPr>
          <w:headerReference r:id="rId492" w:type="default"/>
          <w:footerReference r:id="rId493" w:type="default"/>
          <w:pgSz w:w="11905" w:h="16840"/>
          <w:pgMar w:top="1168" w:right="1714" w:bottom="1409" w:left="1770" w:header="828" w:footer="1244" w:gutter="0"/>
          <w:cols w:space="720" w:num="1"/>
        </w:sectPr>
      </w:pPr>
    </w:p>
    <w:p w14:paraId="29AF71F6">
      <w:pPr>
        <w:pStyle w:val="2"/>
        <w:spacing w:line="305" w:lineRule="auto"/>
      </w:pPr>
    </w:p>
    <w:p w14:paraId="2B094E37">
      <w:pPr>
        <w:spacing w:before="78" w:line="363" w:lineRule="auto"/>
        <w:ind w:left="40" w:right="85" w:hanging="2"/>
        <w:rPr>
          <w:rFonts w:ascii="宋体" w:hAnsi="宋体" w:eastAsia="宋体" w:cs="宋体"/>
          <w:sz w:val="24"/>
          <w:szCs w:val="24"/>
        </w:rPr>
      </w:pPr>
      <w:r>
        <w:rPr>
          <w:rFonts w:ascii="宋体" w:hAnsi="宋体" w:eastAsia="宋体" w:cs="宋体"/>
          <w:spacing w:val="-3"/>
          <w:sz w:val="24"/>
          <w:szCs w:val="24"/>
        </w:rPr>
        <w:t>边农户提供就业的场地，缓解了社会就业压力，为辖区社会稳定将起到积极的作</w:t>
      </w:r>
      <w:r>
        <w:rPr>
          <w:rFonts w:ascii="宋体" w:hAnsi="宋体" w:eastAsia="宋体" w:cs="宋体"/>
          <w:spacing w:val="-12"/>
          <w:sz w:val="24"/>
          <w:szCs w:val="24"/>
        </w:rPr>
        <w:t>用。</w:t>
      </w:r>
    </w:p>
    <w:p w14:paraId="1D00CFC2">
      <w:pPr>
        <w:spacing w:before="150" w:line="220" w:lineRule="auto"/>
        <w:ind w:left="41"/>
        <w:outlineLvl w:val="1"/>
        <w:rPr>
          <w:rFonts w:ascii="宋体" w:hAnsi="宋体" w:eastAsia="宋体" w:cs="宋体"/>
          <w:sz w:val="32"/>
          <w:szCs w:val="32"/>
        </w:rPr>
      </w:pPr>
      <w:bookmarkStart w:id="55" w:name="bookmark34"/>
      <w:bookmarkEnd w:id="55"/>
      <w:r>
        <w:rPr>
          <w:rFonts w:ascii="Times New Roman" w:hAnsi="Times New Roman" w:eastAsia="Times New Roman" w:cs="Times New Roman"/>
          <w:b/>
          <w:bCs/>
          <w:spacing w:val="-3"/>
          <w:sz w:val="32"/>
          <w:szCs w:val="32"/>
        </w:rPr>
        <w:t xml:space="preserve">6.2  </w:t>
      </w:r>
      <w:r>
        <w:rPr>
          <w:rFonts w:ascii="宋体" w:hAnsi="宋体" w:eastAsia="宋体" w:cs="宋体"/>
          <w:b/>
          <w:bCs/>
          <w:spacing w:val="-3"/>
          <w:sz w:val="32"/>
          <w:szCs w:val="32"/>
        </w:rPr>
        <w:t>环保投资及运行费用分析</w:t>
      </w:r>
    </w:p>
    <w:p w14:paraId="1D2699CB">
      <w:pPr>
        <w:pStyle w:val="2"/>
        <w:spacing w:line="245" w:lineRule="auto"/>
      </w:pPr>
    </w:p>
    <w:p w14:paraId="2BE0104D">
      <w:pPr>
        <w:spacing w:before="78" w:line="360" w:lineRule="auto"/>
        <w:ind w:left="38" w:right="85" w:firstLine="481"/>
        <w:jc w:val="both"/>
        <w:rPr>
          <w:rFonts w:ascii="宋体" w:hAnsi="宋体" w:eastAsia="宋体" w:cs="宋体"/>
          <w:sz w:val="24"/>
          <w:szCs w:val="24"/>
        </w:rPr>
      </w:pPr>
      <w:r>
        <w:rPr>
          <w:rFonts w:ascii="宋体" w:hAnsi="宋体" w:eastAsia="宋体" w:cs="宋体"/>
          <w:sz w:val="24"/>
          <w:szCs w:val="24"/>
        </w:rPr>
        <w:t>本项目总投资</w:t>
      </w:r>
      <w:r>
        <w:rPr>
          <w:rFonts w:ascii="Times New Roman" w:hAnsi="Times New Roman" w:eastAsia="Times New Roman" w:cs="Times New Roman"/>
          <w:sz w:val="24"/>
          <w:szCs w:val="24"/>
        </w:rPr>
        <w:t>9900</w:t>
      </w:r>
      <w:r>
        <w:rPr>
          <w:rFonts w:ascii="宋体" w:hAnsi="宋体" w:eastAsia="宋体" w:cs="宋体"/>
          <w:sz w:val="24"/>
          <w:szCs w:val="24"/>
        </w:rPr>
        <w:t>万元，其中环保投资</w:t>
      </w:r>
      <w:r>
        <w:rPr>
          <w:rFonts w:ascii="Times New Roman" w:hAnsi="Times New Roman" w:eastAsia="Times New Roman" w:cs="Times New Roman"/>
          <w:sz w:val="24"/>
          <w:szCs w:val="24"/>
        </w:rPr>
        <w:t>77</w:t>
      </w:r>
      <w:r>
        <w:rPr>
          <w:rFonts w:ascii="Times New Roman" w:hAnsi="Times New Roman" w:eastAsia="Times New Roman" w:cs="Times New Roman"/>
          <w:spacing w:val="-1"/>
          <w:sz w:val="24"/>
          <w:szCs w:val="24"/>
        </w:rPr>
        <w:t>0</w:t>
      </w:r>
      <w:r>
        <w:rPr>
          <w:rFonts w:ascii="宋体" w:hAnsi="宋体" w:eastAsia="宋体" w:cs="宋体"/>
          <w:spacing w:val="-1"/>
          <w:sz w:val="24"/>
          <w:szCs w:val="24"/>
        </w:rPr>
        <w:t>万元，占总投资的</w:t>
      </w:r>
      <w:r>
        <w:rPr>
          <w:rFonts w:ascii="Times New Roman" w:hAnsi="Times New Roman" w:eastAsia="Times New Roman" w:cs="Times New Roman"/>
          <w:spacing w:val="-1"/>
          <w:sz w:val="24"/>
          <w:szCs w:val="24"/>
        </w:rPr>
        <w:t>7.8%</w:t>
      </w:r>
      <w:r>
        <w:rPr>
          <w:rFonts w:ascii="宋体" w:hAnsi="宋体" w:eastAsia="宋体" w:cs="宋体"/>
          <w:spacing w:val="-1"/>
          <w:sz w:val="24"/>
          <w:szCs w:val="24"/>
        </w:rPr>
        <w:t>。环保设</w:t>
      </w:r>
      <w:r>
        <w:rPr>
          <w:rFonts w:ascii="宋体" w:hAnsi="宋体" w:eastAsia="宋体" w:cs="宋体"/>
          <w:spacing w:val="-3"/>
          <w:sz w:val="24"/>
          <w:szCs w:val="24"/>
        </w:rPr>
        <w:t>施基本能满足有关污染治理方面的需要，投资合理，环保措施可以满足达标排放</w:t>
      </w:r>
      <w:r>
        <w:rPr>
          <w:rFonts w:ascii="宋体" w:hAnsi="宋体" w:eastAsia="宋体" w:cs="宋体"/>
          <w:spacing w:val="-9"/>
          <w:sz w:val="24"/>
          <w:szCs w:val="24"/>
        </w:rPr>
        <w:t>的要求。</w:t>
      </w:r>
    </w:p>
    <w:p w14:paraId="77B7581F">
      <w:pPr>
        <w:spacing w:before="1" w:line="361" w:lineRule="auto"/>
        <w:ind w:left="38" w:right="85" w:firstLine="481"/>
        <w:jc w:val="both"/>
        <w:rPr>
          <w:rFonts w:ascii="宋体" w:hAnsi="宋体" w:eastAsia="宋体" w:cs="宋体"/>
          <w:sz w:val="24"/>
          <w:szCs w:val="24"/>
        </w:rPr>
      </w:pPr>
      <w:r>
        <w:rPr>
          <w:rFonts w:ascii="宋体" w:hAnsi="宋体" w:eastAsia="宋体" w:cs="宋体"/>
          <w:spacing w:val="-3"/>
          <w:sz w:val="24"/>
          <w:szCs w:val="24"/>
        </w:rPr>
        <w:t>本项目在污染治理和控制方面有较大的投入，通过设施建设和</w:t>
      </w:r>
      <w:r>
        <w:rPr>
          <w:rFonts w:ascii="宋体" w:hAnsi="宋体" w:eastAsia="宋体" w:cs="宋体"/>
          <w:spacing w:val="-4"/>
          <w:sz w:val="24"/>
          <w:szCs w:val="24"/>
        </w:rPr>
        <w:t>日常运行，可</w:t>
      </w:r>
      <w:r>
        <w:rPr>
          <w:rFonts w:ascii="宋体" w:hAnsi="宋体" w:eastAsia="宋体" w:cs="宋体"/>
          <w:spacing w:val="-3"/>
          <w:sz w:val="24"/>
          <w:szCs w:val="24"/>
        </w:rPr>
        <w:t>保证各类污染物的达标排放。对预防和杜绝可能产生的潜在事故污染影响也能发</w:t>
      </w:r>
      <w:r>
        <w:rPr>
          <w:rFonts w:ascii="宋体" w:hAnsi="宋体" w:eastAsia="宋体" w:cs="宋体"/>
          <w:spacing w:val="-6"/>
          <w:sz w:val="24"/>
          <w:szCs w:val="24"/>
        </w:rPr>
        <w:t>挥明显的作用。因此， 本项目环保投入比较合理，污染物经过各</w:t>
      </w:r>
      <w:r>
        <w:rPr>
          <w:rFonts w:ascii="宋体" w:hAnsi="宋体" w:eastAsia="宋体" w:cs="宋体"/>
          <w:spacing w:val="-7"/>
          <w:sz w:val="24"/>
          <w:szCs w:val="24"/>
        </w:rPr>
        <w:t>项设施处理后对</w:t>
      </w:r>
      <w:r>
        <w:rPr>
          <w:rFonts w:ascii="宋体" w:hAnsi="宋体" w:eastAsia="宋体" w:cs="宋体"/>
          <w:spacing w:val="-5"/>
          <w:sz w:val="24"/>
          <w:szCs w:val="24"/>
        </w:rPr>
        <w:t>周围环境影响较小。</w:t>
      </w:r>
    </w:p>
    <w:p w14:paraId="061386BC">
      <w:pPr>
        <w:spacing w:before="151" w:line="220" w:lineRule="auto"/>
        <w:ind w:left="41"/>
        <w:outlineLvl w:val="1"/>
        <w:rPr>
          <w:rFonts w:ascii="宋体" w:hAnsi="宋体" w:eastAsia="宋体" w:cs="宋体"/>
          <w:sz w:val="32"/>
          <w:szCs w:val="32"/>
        </w:rPr>
      </w:pPr>
      <w:bookmarkStart w:id="56" w:name="bookmark35"/>
      <w:bookmarkEnd w:id="56"/>
      <w:r>
        <w:rPr>
          <w:rFonts w:ascii="Times New Roman" w:hAnsi="Times New Roman" w:eastAsia="Times New Roman" w:cs="Times New Roman"/>
          <w:b/>
          <w:bCs/>
          <w:spacing w:val="-3"/>
          <w:sz w:val="32"/>
          <w:szCs w:val="32"/>
        </w:rPr>
        <w:t xml:space="preserve">6.3  </w:t>
      </w:r>
      <w:r>
        <w:rPr>
          <w:rFonts w:ascii="宋体" w:hAnsi="宋体" w:eastAsia="宋体" w:cs="宋体"/>
          <w:b/>
          <w:bCs/>
          <w:spacing w:val="-3"/>
          <w:sz w:val="32"/>
          <w:szCs w:val="32"/>
        </w:rPr>
        <w:t>环境损益分析</w:t>
      </w:r>
    </w:p>
    <w:p w14:paraId="070FAC43">
      <w:pPr>
        <w:pStyle w:val="2"/>
        <w:spacing w:line="245" w:lineRule="auto"/>
      </w:pPr>
    </w:p>
    <w:p w14:paraId="1AC80BDA">
      <w:pPr>
        <w:spacing w:before="78" w:line="360" w:lineRule="auto"/>
        <w:ind w:left="40" w:right="17" w:firstLine="480"/>
        <w:jc w:val="both"/>
        <w:rPr>
          <w:rFonts w:ascii="宋体" w:hAnsi="宋体" w:eastAsia="宋体" w:cs="宋体"/>
          <w:sz w:val="24"/>
          <w:szCs w:val="24"/>
        </w:rPr>
      </w:pPr>
      <w:r>
        <w:rPr>
          <w:rFonts w:ascii="宋体" w:hAnsi="宋体" w:eastAsia="宋体" w:cs="宋体"/>
          <w:spacing w:val="-1"/>
          <w:sz w:val="24"/>
          <w:szCs w:val="24"/>
        </w:rPr>
        <w:t>本项目的生产可带动社会经济的发展，项目建成实施后，将增加</w:t>
      </w:r>
      <w:r>
        <w:rPr>
          <w:rFonts w:ascii="宋体" w:hAnsi="宋体" w:eastAsia="宋体" w:cs="宋体"/>
          <w:spacing w:val="-2"/>
          <w:sz w:val="24"/>
          <w:szCs w:val="24"/>
        </w:rPr>
        <w:t>就业岗位，</w:t>
      </w:r>
      <w:r>
        <w:rPr>
          <w:rFonts w:ascii="宋体" w:hAnsi="宋体" w:eastAsia="宋体" w:cs="宋体"/>
          <w:spacing w:val="-6"/>
          <w:sz w:val="24"/>
          <w:szCs w:val="24"/>
        </w:rPr>
        <w:t>同时有利于提高肉食的质量。环境保护与经济发展， 是既对</w:t>
      </w:r>
      <w:r>
        <w:rPr>
          <w:rFonts w:ascii="宋体" w:hAnsi="宋体" w:eastAsia="宋体" w:cs="宋体"/>
          <w:spacing w:val="-7"/>
          <w:sz w:val="24"/>
          <w:szCs w:val="24"/>
        </w:rPr>
        <w:t>应又统一，互相影响</w:t>
      </w:r>
      <w:r>
        <w:rPr>
          <w:rFonts w:ascii="宋体" w:hAnsi="宋体" w:eastAsia="宋体" w:cs="宋体"/>
          <w:spacing w:val="-3"/>
          <w:sz w:val="24"/>
          <w:szCs w:val="24"/>
        </w:rPr>
        <w:t>制约，又相辅相成、互相促进的关系。因此协调好环保与经济发展之间的平衡是十分重要的。本评价采用定性方式进行讨论。</w:t>
      </w:r>
    </w:p>
    <w:p w14:paraId="608BBD43">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）大气环境影响</w:t>
      </w:r>
    </w:p>
    <w:p w14:paraId="610AB671">
      <w:pPr>
        <w:spacing w:before="182" w:line="360" w:lineRule="auto"/>
        <w:ind w:left="39" w:right="84" w:firstLine="483"/>
        <w:rPr>
          <w:rFonts w:ascii="宋体" w:hAnsi="宋体" w:eastAsia="宋体" w:cs="宋体"/>
          <w:sz w:val="24"/>
          <w:szCs w:val="24"/>
        </w:rPr>
      </w:pPr>
      <w:r>
        <w:rPr>
          <w:rFonts w:ascii="宋体" w:hAnsi="宋体" w:eastAsia="宋体" w:cs="宋体"/>
          <w:spacing w:val="4"/>
          <w:sz w:val="24"/>
          <w:szCs w:val="24"/>
        </w:rPr>
        <w:t>项目运营期的环境空气影响主要表现在场区产生的恶臭气体使周围居民的</w:t>
      </w:r>
      <w:r>
        <w:rPr>
          <w:rFonts w:ascii="宋体" w:hAnsi="宋体" w:eastAsia="宋体" w:cs="宋体"/>
          <w:spacing w:val="-3"/>
          <w:sz w:val="24"/>
          <w:szCs w:val="24"/>
        </w:rPr>
        <w:t>空气环境质量有所下降，有可能对居民健康产生一定的影响。但是目前尚无环境空气影响经济损失的定量计算方法，环境空气影响造成的损失还难以直接用货币</w:t>
      </w:r>
      <w:r>
        <w:rPr>
          <w:rFonts w:ascii="宋体" w:hAnsi="宋体" w:eastAsia="宋体" w:cs="宋体"/>
          <w:spacing w:val="-2"/>
          <w:sz w:val="24"/>
          <w:szCs w:val="24"/>
        </w:rPr>
        <w:t>衡量，因此，以下将对环境空气影响损失进行定性分析。</w:t>
      </w:r>
    </w:p>
    <w:p w14:paraId="005521C3">
      <w:pPr>
        <w:spacing w:before="4" w:line="359" w:lineRule="auto"/>
        <w:ind w:left="41" w:firstLine="479"/>
        <w:jc w:val="both"/>
        <w:rPr>
          <w:rFonts w:ascii="宋体" w:hAnsi="宋体" w:eastAsia="宋体" w:cs="宋体"/>
          <w:sz w:val="24"/>
          <w:szCs w:val="24"/>
        </w:rPr>
      </w:pPr>
      <w:r>
        <w:rPr>
          <w:rFonts w:ascii="宋体" w:hAnsi="宋体" w:eastAsia="宋体" w:cs="宋体"/>
          <w:spacing w:val="-3"/>
          <w:sz w:val="24"/>
          <w:szCs w:val="24"/>
        </w:rPr>
        <w:t>恶臭的成分十分复杂，因家畜的种类、清粪方式、日粮组成</w:t>
      </w:r>
      <w:r>
        <w:rPr>
          <w:rFonts w:ascii="宋体" w:hAnsi="宋体" w:eastAsia="宋体" w:cs="宋体"/>
          <w:spacing w:val="-4"/>
          <w:sz w:val="24"/>
          <w:szCs w:val="24"/>
        </w:rPr>
        <w:t>、粪便和污水处</w:t>
      </w:r>
      <w:r>
        <w:rPr>
          <w:rFonts w:ascii="宋体" w:hAnsi="宋体" w:eastAsia="宋体" w:cs="宋体"/>
          <w:spacing w:val="-1"/>
          <w:sz w:val="24"/>
          <w:szCs w:val="24"/>
        </w:rPr>
        <w:t>理等不同而异，有机成分是硫醇类、胺类、吲哚、挥发性有机酸、酚类、醛类、酮类、醇类以及含氮杂环化合物等，无机成分主要是</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2"/>
          <w:sz w:val="15"/>
          <w:szCs w:val="15"/>
        </w:rPr>
        <w:t>3</w:t>
      </w:r>
      <w:r>
        <w:rPr>
          <w:rFonts w:ascii="宋体" w:hAnsi="宋体" w:eastAsia="宋体" w:cs="宋体"/>
          <w:spacing w:val="-1"/>
          <w:sz w:val="24"/>
          <w:szCs w:val="24"/>
        </w:rPr>
        <w:t>和</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0"/>
          <w:position w:val="-2"/>
          <w:sz w:val="15"/>
          <w:szCs w:val="15"/>
        </w:rPr>
        <w:t xml:space="preserve"> </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67EC16C7">
      <w:pPr>
        <w:spacing w:line="360" w:lineRule="auto"/>
        <w:ind w:left="39" w:right="85" w:firstLine="480"/>
        <w:jc w:val="both"/>
        <w:rPr>
          <w:rFonts w:ascii="宋体" w:hAnsi="宋体" w:eastAsia="宋体" w:cs="宋体"/>
          <w:sz w:val="24"/>
          <w:szCs w:val="24"/>
        </w:rPr>
      </w:pPr>
      <w:r>
        <w:rPr>
          <w:rFonts w:ascii="宋体" w:hAnsi="宋体" w:eastAsia="宋体" w:cs="宋体"/>
          <w:spacing w:val="-7"/>
          <w:sz w:val="24"/>
          <w:szCs w:val="24"/>
        </w:rPr>
        <w:t>本项目建成后，猪舍养殖、粪污处理等过程会产生恶臭气体， 通过注意场区</w:t>
      </w:r>
      <w:r>
        <w:rPr>
          <w:rFonts w:ascii="宋体" w:hAnsi="宋体" w:eastAsia="宋体" w:cs="宋体"/>
          <w:spacing w:val="-3"/>
          <w:sz w:val="24"/>
          <w:szCs w:val="24"/>
        </w:rPr>
        <w:t>卫生、及时清粪、喷洒除臭剂以及采取生物除臭等措施可最大限度的减少恶臭气体的排放，另外利用场区内绿化植物及场区外大面积的植被吸收，对周围居民的</w:t>
      </w:r>
      <w:r>
        <w:rPr>
          <w:rFonts w:ascii="宋体" w:hAnsi="宋体" w:eastAsia="宋体" w:cs="宋体"/>
          <w:spacing w:val="-5"/>
          <w:sz w:val="24"/>
          <w:szCs w:val="24"/>
        </w:rPr>
        <w:t>影响可降至最低。</w:t>
      </w:r>
    </w:p>
    <w:p w14:paraId="486E27DE">
      <w:pPr>
        <w:spacing w:before="1" w:line="219"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）水环境影响</w:t>
      </w:r>
    </w:p>
    <w:p w14:paraId="34227B68">
      <w:pPr>
        <w:spacing w:line="219" w:lineRule="auto"/>
        <w:rPr>
          <w:rFonts w:ascii="宋体" w:hAnsi="宋体" w:eastAsia="宋体" w:cs="宋体"/>
          <w:sz w:val="24"/>
          <w:szCs w:val="24"/>
        </w:rPr>
        <w:sectPr>
          <w:headerReference r:id="rId494" w:type="default"/>
          <w:footerReference r:id="rId495" w:type="default"/>
          <w:pgSz w:w="11905" w:h="16840"/>
          <w:pgMar w:top="1168" w:right="1712" w:bottom="1409" w:left="1770" w:header="828" w:footer="1244" w:gutter="0"/>
          <w:cols w:space="720" w:num="1"/>
        </w:sectPr>
      </w:pPr>
    </w:p>
    <w:p w14:paraId="5D6F8F25">
      <w:pPr>
        <w:pStyle w:val="2"/>
        <w:spacing w:line="306" w:lineRule="auto"/>
      </w:pPr>
    </w:p>
    <w:p w14:paraId="6A47CE31">
      <w:pPr>
        <w:spacing w:before="78" w:line="360" w:lineRule="auto"/>
        <w:ind w:left="42" w:right="86" w:firstLine="478"/>
        <w:jc w:val="both"/>
        <w:rPr>
          <w:rFonts w:ascii="宋体" w:hAnsi="宋体" w:eastAsia="宋体" w:cs="宋体"/>
          <w:sz w:val="24"/>
          <w:szCs w:val="24"/>
        </w:rPr>
      </w:pPr>
      <w:r>
        <w:rPr>
          <w:rFonts w:ascii="宋体" w:hAnsi="宋体" w:eastAsia="宋体" w:cs="宋体"/>
          <w:spacing w:val="-3"/>
          <w:sz w:val="24"/>
          <w:szCs w:val="24"/>
        </w:rPr>
        <w:t>本项目运营期产生的污水主要是养殖废水和生活污水，生活污</w:t>
      </w:r>
      <w:r>
        <w:rPr>
          <w:rFonts w:ascii="宋体" w:hAnsi="宋体" w:eastAsia="宋体" w:cs="宋体"/>
          <w:spacing w:val="-4"/>
          <w:sz w:val="24"/>
          <w:szCs w:val="24"/>
        </w:rPr>
        <w:t>水经化粪池处</w:t>
      </w:r>
      <w:r>
        <w:rPr>
          <w:rFonts w:ascii="宋体" w:hAnsi="宋体" w:eastAsia="宋体" w:cs="宋体"/>
          <w:spacing w:val="-10"/>
          <w:sz w:val="24"/>
          <w:szCs w:val="24"/>
        </w:rPr>
        <w:t>理后，与养殖废水一同进入污水处理站，经处理达标后用于消纳地农灌，不外排，</w:t>
      </w:r>
      <w:r>
        <w:rPr>
          <w:rFonts w:ascii="宋体" w:hAnsi="宋体" w:eastAsia="宋体" w:cs="宋体"/>
          <w:spacing w:val="-2"/>
          <w:sz w:val="24"/>
          <w:szCs w:val="24"/>
        </w:rPr>
        <w:t>因此对环境的影响非常有限。在此，不再估算水污染造成的经济损失。</w:t>
      </w:r>
    </w:p>
    <w:p w14:paraId="07349204">
      <w:pPr>
        <w:spacing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）声环境影响</w:t>
      </w:r>
    </w:p>
    <w:p w14:paraId="4ACCAAF0">
      <w:pPr>
        <w:spacing w:before="181" w:line="360" w:lineRule="auto"/>
        <w:ind w:left="39" w:firstLine="480"/>
        <w:rPr>
          <w:rFonts w:ascii="宋体" w:hAnsi="宋体" w:eastAsia="宋体" w:cs="宋体"/>
          <w:sz w:val="24"/>
          <w:szCs w:val="24"/>
        </w:rPr>
      </w:pPr>
      <w:r>
        <w:rPr>
          <w:rFonts w:ascii="宋体" w:hAnsi="宋体" w:eastAsia="宋体" w:cs="宋体"/>
          <w:spacing w:val="-1"/>
          <w:sz w:val="24"/>
          <w:szCs w:val="24"/>
        </w:rPr>
        <w:t>本项目运营期产生的设备噪声、猪只叫声，这些对当地声环境有一定影响。</w:t>
      </w:r>
      <w:r>
        <w:rPr>
          <w:rFonts w:ascii="宋体" w:hAnsi="宋体" w:eastAsia="宋体" w:cs="宋体"/>
          <w:spacing w:val="-3"/>
          <w:sz w:val="24"/>
          <w:szCs w:val="24"/>
        </w:rPr>
        <w:t>通过合理布置噪声源，优化总图布置，选用低噪声设备，对大功率设备及高噪声</w:t>
      </w:r>
      <w:r>
        <w:rPr>
          <w:rFonts w:ascii="宋体" w:hAnsi="宋体" w:eastAsia="宋体" w:cs="宋体"/>
          <w:spacing w:val="-2"/>
          <w:sz w:val="24"/>
          <w:szCs w:val="24"/>
        </w:rPr>
        <w:t>设备采用隔离布置，并采取减震、隔声等降噪措施来进行降噪。</w:t>
      </w:r>
    </w:p>
    <w:p w14:paraId="4D66B8CE">
      <w:pPr>
        <w:spacing w:before="5" w:line="358" w:lineRule="auto"/>
        <w:ind w:left="41" w:right="86" w:firstLine="479"/>
        <w:jc w:val="both"/>
        <w:rPr>
          <w:rFonts w:ascii="宋体" w:hAnsi="宋体" w:eastAsia="宋体" w:cs="宋体"/>
          <w:sz w:val="24"/>
          <w:szCs w:val="24"/>
        </w:rPr>
      </w:pPr>
      <w:r>
        <w:rPr>
          <w:rFonts w:ascii="宋体" w:hAnsi="宋体" w:eastAsia="宋体" w:cs="宋体"/>
          <w:sz w:val="24"/>
          <w:szCs w:val="24"/>
        </w:rPr>
        <w:t>有关噪声影响的人群调查以及流行病学研究发现，在我国生活在</w:t>
      </w:r>
      <w:r>
        <w:rPr>
          <w:rFonts w:ascii="Times New Roman" w:hAnsi="Times New Roman" w:eastAsia="Times New Roman" w:cs="Times New Roman"/>
          <w:sz w:val="24"/>
          <w:szCs w:val="24"/>
        </w:rPr>
        <w:t>70dB(A)</w:t>
      </w:r>
      <w:r>
        <w:rPr>
          <w:rFonts w:ascii="宋体" w:hAnsi="宋体" w:eastAsia="宋体" w:cs="宋体"/>
          <w:sz w:val="24"/>
          <w:szCs w:val="24"/>
        </w:rPr>
        <w:t>以</w:t>
      </w:r>
      <w:r>
        <w:rPr>
          <w:rFonts w:ascii="宋体" w:hAnsi="宋体" w:eastAsia="宋体" w:cs="宋体"/>
          <w:spacing w:val="3"/>
          <w:sz w:val="24"/>
          <w:szCs w:val="24"/>
        </w:rPr>
        <w:t>上环境中居民的人均医疗费用比</w:t>
      </w:r>
      <w:r>
        <w:rPr>
          <w:rFonts w:ascii="Times New Roman" w:hAnsi="Times New Roman" w:eastAsia="Times New Roman" w:cs="Times New Roman"/>
          <w:spacing w:val="3"/>
          <w:sz w:val="24"/>
          <w:szCs w:val="24"/>
        </w:rPr>
        <w:t>70</w:t>
      </w:r>
      <w:r>
        <w:rPr>
          <w:rFonts w:ascii="Times New Roman" w:hAnsi="Times New Roman" w:eastAsia="Times New Roman" w:cs="Times New Roman"/>
          <w:sz w:val="24"/>
          <w:szCs w:val="24"/>
        </w:rPr>
        <w:t>dB</w:t>
      </w:r>
      <w:r>
        <w:rPr>
          <w:rFonts w:ascii="Times New Roman" w:hAnsi="Times New Roman" w:eastAsia="Times New Roman" w:cs="Times New Roman"/>
          <w:spacing w:val="3"/>
          <w:sz w:val="24"/>
          <w:szCs w:val="24"/>
        </w:rPr>
        <w:t>(A)</w:t>
      </w:r>
      <w:r>
        <w:rPr>
          <w:rFonts w:ascii="宋体" w:hAnsi="宋体" w:eastAsia="宋体" w:cs="宋体"/>
          <w:spacing w:val="3"/>
          <w:sz w:val="24"/>
          <w:szCs w:val="24"/>
        </w:rPr>
        <w:t>以下的同类地方高；噪声级在</w:t>
      </w:r>
      <w:r>
        <w:rPr>
          <w:rFonts w:ascii="Times New Roman" w:hAnsi="Times New Roman" w:eastAsia="Times New Roman" w:cs="Times New Roman"/>
          <w:spacing w:val="3"/>
          <w:sz w:val="24"/>
          <w:szCs w:val="24"/>
        </w:rPr>
        <w:t>70</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(A)</w:t>
      </w:r>
      <w:r>
        <w:rPr>
          <w:rFonts w:ascii="宋体" w:hAnsi="宋体" w:eastAsia="宋体" w:cs="宋体"/>
          <w:sz w:val="24"/>
          <w:szCs w:val="24"/>
        </w:rPr>
        <w:t>以上环境的居民有</w:t>
      </w:r>
      <w:r>
        <w:rPr>
          <w:rFonts w:ascii="Times New Roman" w:hAnsi="Times New Roman" w:eastAsia="Times New Roman" w:cs="Times New Roman"/>
          <w:sz w:val="24"/>
          <w:szCs w:val="24"/>
        </w:rPr>
        <w:t>66.7%</w:t>
      </w:r>
      <w:r>
        <w:rPr>
          <w:rFonts w:ascii="宋体" w:hAnsi="宋体" w:eastAsia="宋体" w:cs="宋体"/>
          <w:sz w:val="24"/>
          <w:szCs w:val="24"/>
        </w:rPr>
        <w:t>睡眠受到干扰，而睡眠受到干扰的职</w:t>
      </w:r>
      <w:r>
        <w:rPr>
          <w:rFonts w:ascii="宋体" w:hAnsi="宋体" w:eastAsia="宋体" w:cs="宋体"/>
          <w:spacing w:val="-1"/>
          <w:sz w:val="24"/>
          <w:szCs w:val="24"/>
        </w:rPr>
        <w:t>工会表现出生产效</w:t>
      </w:r>
      <w:r>
        <w:rPr>
          <w:rFonts w:ascii="宋体" w:hAnsi="宋体" w:eastAsia="宋体" w:cs="宋体"/>
          <w:spacing w:val="-6"/>
          <w:sz w:val="24"/>
          <w:szCs w:val="24"/>
        </w:rPr>
        <w:t>率有所下降。根据前面的噪声预测结果， 在采取降噪</w:t>
      </w:r>
      <w:r>
        <w:rPr>
          <w:rFonts w:ascii="宋体" w:hAnsi="宋体" w:eastAsia="宋体" w:cs="宋体"/>
          <w:spacing w:val="-7"/>
          <w:sz w:val="24"/>
          <w:szCs w:val="24"/>
        </w:rPr>
        <w:t>措施后，本项目昼、夜间噪</w:t>
      </w:r>
      <w:r>
        <w:rPr>
          <w:rFonts w:ascii="宋体" w:hAnsi="宋体" w:eastAsia="宋体" w:cs="宋体"/>
          <w:spacing w:val="-1"/>
          <w:sz w:val="24"/>
          <w:szCs w:val="24"/>
        </w:rPr>
        <w:t>声值均未达到</w:t>
      </w:r>
      <w:r>
        <w:rPr>
          <w:rFonts w:ascii="Times New Roman" w:hAnsi="Times New Roman" w:eastAsia="Times New Roman" w:cs="Times New Roman"/>
          <w:spacing w:val="-1"/>
          <w:sz w:val="24"/>
          <w:szCs w:val="24"/>
        </w:rPr>
        <w:t>70dB(A)</w:t>
      </w:r>
      <w:r>
        <w:rPr>
          <w:rFonts w:ascii="宋体" w:hAnsi="宋体" w:eastAsia="宋体" w:cs="宋体"/>
          <w:spacing w:val="-1"/>
          <w:sz w:val="24"/>
          <w:szCs w:val="24"/>
        </w:rPr>
        <w:t>，因此本项目的建设不会</w:t>
      </w:r>
      <w:r>
        <w:rPr>
          <w:rFonts w:ascii="宋体" w:hAnsi="宋体" w:eastAsia="宋体" w:cs="宋体"/>
          <w:spacing w:val="-2"/>
          <w:sz w:val="24"/>
          <w:szCs w:val="24"/>
        </w:rPr>
        <w:t>引起噪声影响经济损失。</w:t>
      </w:r>
    </w:p>
    <w:p w14:paraId="5D7E288E">
      <w:pPr>
        <w:spacing w:before="7"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）固废环境影响</w:t>
      </w:r>
    </w:p>
    <w:p w14:paraId="189FF5B7">
      <w:pPr>
        <w:spacing w:before="182" w:line="360" w:lineRule="auto"/>
        <w:ind w:left="39" w:right="86" w:firstLine="480"/>
        <w:rPr>
          <w:rFonts w:ascii="宋体" w:hAnsi="宋体" w:eastAsia="宋体" w:cs="宋体"/>
          <w:sz w:val="24"/>
          <w:szCs w:val="24"/>
        </w:rPr>
      </w:pPr>
      <w:r>
        <w:rPr>
          <w:rFonts w:ascii="宋体" w:hAnsi="宋体" w:eastAsia="宋体" w:cs="宋体"/>
          <w:spacing w:val="-3"/>
          <w:sz w:val="24"/>
          <w:szCs w:val="24"/>
        </w:rPr>
        <w:t>本项目运营期产生的一般固体废物及时收集、定点存放、综合</w:t>
      </w:r>
      <w:r>
        <w:rPr>
          <w:rFonts w:ascii="宋体" w:hAnsi="宋体" w:eastAsia="宋体" w:cs="宋体"/>
          <w:spacing w:val="-4"/>
          <w:sz w:val="24"/>
          <w:szCs w:val="24"/>
        </w:rPr>
        <w:t>利用。危险废</w:t>
      </w:r>
      <w:r>
        <w:rPr>
          <w:rFonts w:ascii="宋体" w:hAnsi="宋体" w:eastAsia="宋体" w:cs="宋体"/>
          <w:spacing w:val="-1"/>
          <w:sz w:val="24"/>
          <w:szCs w:val="24"/>
        </w:rPr>
        <w:t>物转运时必须安全转移，防止撒漏，定期交有</w:t>
      </w:r>
      <w:r>
        <w:rPr>
          <w:rFonts w:ascii="宋体" w:hAnsi="宋体" w:eastAsia="宋体" w:cs="宋体"/>
          <w:spacing w:val="-2"/>
          <w:sz w:val="24"/>
          <w:szCs w:val="24"/>
        </w:rPr>
        <w:t>资质的危废处理单位处置。</w:t>
      </w:r>
    </w:p>
    <w:p w14:paraId="1F0C0405">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）生态效益</w:t>
      </w:r>
    </w:p>
    <w:p w14:paraId="6B1085E2">
      <w:pPr>
        <w:spacing w:before="182" w:line="360" w:lineRule="auto"/>
        <w:ind w:left="39" w:right="86" w:firstLine="480"/>
        <w:rPr>
          <w:rFonts w:ascii="宋体" w:hAnsi="宋体" w:eastAsia="宋体" w:cs="宋体"/>
          <w:sz w:val="24"/>
          <w:szCs w:val="24"/>
        </w:rPr>
      </w:pPr>
      <w:r>
        <w:rPr>
          <w:rFonts w:ascii="宋体" w:hAnsi="宋体" w:eastAsia="宋体" w:cs="宋体"/>
          <w:spacing w:val="-3"/>
          <w:sz w:val="24"/>
          <w:szCs w:val="24"/>
        </w:rPr>
        <w:t>本项目粪渣交有机肥厂生产有机肥，达到变废为宝的目的。长</w:t>
      </w:r>
      <w:r>
        <w:rPr>
          <w:rFonts w:ascii="宋体" w:hAnsi="宋体" w:eastAsia="宋体" w:cs="宋体"/>
          <w:spacing w:val="-4"/>
          <w:sz w:val="24"/>
          <w:szCs w:val="24"/>
        </w:rPr>
        <w:t>期大量使用化</w:t>
      </w:r>
      <w:r>
        <w:rPr>
          <w:rFonts w:ascii="宋体" w:hAnsi="宋体" w:eastAsia="宋体" w:cs="宋体"/>
          <w:spacing w:val="-3"/>
          <w:sz w:val="24"/>
          <w:szCs w:val="24"/>
        </w:rPr>
        <w:t>肥，不仅导致土壤板结，土壤肥力下降，而且对环境和农作物产生污染。通过施</w:t>
      </w:r>
      <w:r>
        <w:rPr>
          <w:rFonts w:ascii="宋体" w:hAnsi="宋体" w:eastAsia="宋体" w:cs="宋体"/>
          <w:spacing w:val="-6"/>
          <w:sz w:val="24"/>
          <w:szCs w:val="24"/>
        </w:rPr>
        <w:t>用有机肥，可减少化肥、农药用量， 改善土壤理化性状。</w:t>
      </w:r>
      <w:r>
        <w:rPr>
          <w:rFonts w:ascii="宋体" w:hAnsi="宋体" w:eastAsia="宋体" w:cs="宋体"/>
          <w:spacing w:val="-7"/>
          <w:sz w:val="24"/>
          <w:szCs w:val="24"/>
        </w:rPr>
        <w:t>有利于农作物增产、增</w:t>
      </w:r>
      <w:r>
        <w:rPr>
          <w:rFonts w:ascii="宋体" w:hAnsi="宋体" w:eastAsia="宋体" w:cs="宋体"/>
          <w:spacing w:val="-2"/>
          <w:sz w:val="24"/>
          <w:szCs w:val="24"/>
        </w:rPr>
        <w:t>收，促进农作物增产、增收，有利生产无公害农产品，保障食品安全。</w:t>
      </w:r>
    </w:p>
    <w:p w14:paraId="59C32C03">
      <w:pPr>
        <w:spacing w:line="362" w:lineRule="auto"/>
        <w:ind w:left="43" w:right="86" w:firstLine="479"/>
        <w:rPr>
          <w:rFonts w:ascii="宋体" w:hAnsi="宋体" w:eastAsia="宋体" w:cs="宋体"/>
          <w:sz w:val="24"/>
          <w:szCs w:val="24"/>
        </w:rPr>
      </w:pPr>
      <w:r>
        <w:rPr>
          <w:rFonts w:ascii="宋体" w:hAnsi="宋体" w:eastAsia="宋体" w:cs="宋体"/>
          <w:spacing w:val="-6"/>
          <w:sz w:val="24"/>
          <w:szCs w:val="24"/>
        </w:rPr>
        <w:t>综合对本项目环境、经济和社会效益的分析，</w:t>
      </w:r>
      <w:r>
        <w:rPr>
          <w:rFonts w:ascii="宋体" w:hAnsi="宋体" w:eastAsia="宋体" w:cs="宋体"/>
          <w:spacing w:val="-29"/>
          <w:sz w:val="24"/>
          <w:szCs w:val="24"/>
        </w:rPr>
        <w:t xml:space="preserve"> </w:t>
      </w:r>
      <w:r>
        <w:rPr>
          <w:rFonts w:ascii="宋体" w:hAnsi="宋体" w:eastAsia="宋体" w:cs="宋体"/>
          <w:spacing w:val="-6"/>
          <w:sz w:val="24"/>
          <w:szCs w:val="24"/>
        </w:rPr>
        <w:t>可以看出本项目的综合效益显</w:t>
      </w:r>
      <w:r>
        <w:rPr>
          <w:rFonts w:ascii="宋体" w:hAnsi="宋体" w:eastAsia="宋体" w:cs="宋体"/>
          <w:spacing w:val="-12"/>
          <w:sz w:val="24"/>
          <w:szCs w:val="24"/>
        </w:rPr>
        <w:t>著。</w:t>
      </w:r>
    </w:p>
    <w:p w14:paraId="534D8FA9">
      <w:pPr>
        <w:spacing w:before="151" w:line="221" w:lineRule="auto"/>
        <w:ind w:left="41"/>
        <w:outlineLvl w:val="1"/>
        <w:rPr>
          <w:rFonts w:ascii="宋体" w:hAnsi="宋体" w:eastAsia="宋体" w:cs="宋体"/>
          <w:sz w:val="32"/>
          <w:szCs w:val="32"/>
        </w:rPr>
      </w:pPr>
      <w:bookmarkStart w:id="57" w:name="bookmark36"/>
      <w:bookmarkEnd w:id="57"/>
      <w:r>
        <w:rPr>
          <w:rFonts w:ascii="Times New Roman" w:hAnsi="Times New Roman" w:eastAsia="Times New Roman" w:cs="Times New Roman"/>
          <w:b/>
          <w:bCs/>
          <w:spacing w:val="-6"/>
          <w:sz w:val="32"/>
          <w:szCs w:val="32"/>
        </w:rPr>
        <w:t>6.5</w:t>
      </w:r>
      <w:r>
        <w:rPr>
          <w:rFonts w:ascii="Times New Roman" w:hAnsi="Times New Roman" w:eastAsia="Times New Roman" w:cs="Times New Roman"/>
          <w:b/>
          <w:bCs/>
          <w:spacing w:val="11"/>
          <w:sz w:val="32"/>
          <w:szCs w:val="32"/>
        </w:rPr>
        <w:t xml:space="preserve">  </w:t>
      </w:r>
      <w:r>
        <w:rPr>
          <w:rFonts w:ascii="宋体" w:hAnsi="宋体" w:eastAsia="宋体" w:cs="宋体"/>
          <w:b/>
          <w:bCs/>
          <w:spacing w:val="-6"/>
          <w:sz w:val="32"/>
          <w:szCs w:val="32"/>
        </w:rPr>
        <w:t>小结</w:t>
      </w:r>
    </w:p>
    <w:p w14:paraId="017B39CD">
      <w:pPr>
        <w:pStyle w:val="2"/>
        <w:spacing w:line="242" w:lineRule="auto"/>
      </w:pPr>
    </w:p>
    <w:p w14:paraId="4B99843A">
      <w:pPr>
        <w:spacing w:before="79" w:line="361" w:lineRule="auto"/>
        <w:ind w:left="38" w:right="86" w:firstLine="486"/>
        <w:jc w:val="both"/>
        <w:rPr>
          <w:rFonts w:ascii="宋体" w:hAnsi="宋体" w:eastAsia="宋体" w:cs="宋体"/>
          <w:sz w:val="24"/>
          <w:szCs w:val="24"/>
        </w:rPr>
      </w:pPr>
      <w:r>
        <w:rPr>
          <w:rFonts w:ascii="宋体" w:hAnsi="宋体" w:eastAsia="宋体" w:cs="宋体"/>
          <w:spacing w:val="-6"/>
          <w:sz w:val="24"/>
          <w:szCs w:val="24"/>
        </w:rPr>
        <w:t>结合本工程的社会经济效益、环保投入和环境效益进行综合分析得出，</w:t>
      </w:r>
      <w:r>
        <w:rPr>
          <w:rFonts w:ascii="宋体" w:hAnsi="宋体" w:eastAsia="宋体" w:cs="宋体"/>
          <w:spacing w:val="-32"/>
          <w:sz w:val="24"/>
          <w:szCs w:val="24"/>
        </w:rPr>
        <w:t xml:space="preserve"> </w:t>
      </w:r>
      <w:r>
        <w:rPr>
          <w:rFonts w:ascii="宋体" w:hAnsi="宋体" w:eastAsia="宋体" w:cs="宋体"/>
          <w:spacing w:val="-6"/>
          <w:sz w:val="24"/>
          <w:szCs w:val="24"/>
        </w:rPr>
        <w:t>项目</w:t>
      </w:r>
      <w:r>
        <w:rPr>
          <w:rFonts w:ascii="宋体" w:hAnsi="宋体" w:eastAsia="宋体" w:cs="宋体"/>
          <w:spacing w:val="-3"/>
          <w:sz w:val="24"/>
          <w:szCs w:val="24"/>
        </w:rPr>
        <w:t>在创造良好经济效益和社会效益的同时，经采取污染防治措施后，对环境的影响</w:t>
      </w:r>
      <w:r>
        <w:rPr>
          <w:rFonts w:ascii="宋体" w:hAnsi="宋体" w:eastAsia="宋体" w:cs="宋体"/>
          <w:spacing w:val="-6"/>
          <w:sz w:val="24"/>
          <w:szCs w:val="24"/>
        </w:rPr>
        <w:t>较小，能够将工程带来的环境损失降到可接受程度。因此， 本</w:t>
      </w:r>
      <w:r>
        <w:rPr>
          <w:rFonts w:ascii="宋体" w:hAnsi="宋体" w:eastAsia="宋体" w:cs="宋体"/>
          <w:spacing w:val="-7"/>
          <w:sz w:val="24"/>
          <w:szCs w:val="24"/>
        </w:rPr>
        <w:t>项目可以实现经济</w:t>
      </w:r>
      <w:r>
        <w:rPr>
          <w:rFonts w:ascii="宋体" w:hAnsi="宋体" w:eastAsia="宋体" w:cs="宋体"/>
          <w:spacing w:val="-1"/>
          <w:sz w:val="24"/>
          <w:szCs w:val="24"/>
        </w:rPr>
        <w:t>效益与环保效益的相统一。评价认为，其社会、环境</w:t>
      </w:r>
      <w:r>
        <w:rPr>
          <w:rFonts w:ascii="宋体" w:hAnsi="宋体" w:eastAsia="宋体" w:cs="宋体"/>
          <w:spacing w:val="-2"/>
          <w:sz w:val="24"/>
          <w:szCs w:val="24"/>
        </w:rPr>
        <w:t>、经济效益较为显著。</w:t>
      </w:r>
    </w:p>
    <w:p w14:paraId="02C5438F">
      <w:pPr>
        <w:spacing w:line="361" w:lineRule="auto"/>
        <w:rPr>
          <w:rFonts w:ascii="宋体" w:hAnsi="宋体" w:eastAsia="宋体" w:cs="宋体"/>
          <w:sz w:val="24"/>
          <w:szCs w:val="24"/>
        </w:rPr>
        <w:sectPr>
          <w:headerReference r:id="rId496" w:type="default"/>
          <w:footerReference r:id="rId497" w:type="default"/>
          <w:pgSz w:w="11905" w:h="16840"/>
          <w:pgMar w:top="1168" w:right="1711" w:bottom="1409" w:left="1770" w:header="828" w:footer="1244" w:gutter="0"/>
          <w:cols w:space="720" w:num="1"/>
        </w:sectPr>
      </w:pPr>
    </w:p>
    <w:p w14:paraId="34C716E0">
      <w:pPr>
        <w:spacing w:before="362" w:line="219" w:lineRule="auto"/>
        <w:ind w:left="1373"/>
        <w:outlineLvl w:val="0"/>
        <w:rPr>
          <w:rFonts w:ascii="宋体" w:hAnsi="宋体" w:eastAsia="宋体" w:cs="宋体"/>
          <w:sz w:val="44"/>
          <w:szCs w:val="44"/>
        </w:rPr>
      </w:pPr>
      <w:bookmarkStart w:id="58" w:name="bookmark37"/>
      <w:bookmarkEnd w:id="58"/>
      <w:r>
        <w:rPr>
          <w:rFonts w:ascii="宋体" w:hAnsi="宋体" w:eastAsia="宋体" w:cs="宋体"/>
          <w:b/>
          <w:bCs/>
          <w:spacing w:val="-7"/>
          <w:sz w:val="44"/>
          <w:szCs w:val="44"/>
        </w:rPr>
        <w:t>第七章</w:t>
      </w:r>
      <w:r>
        <w:rPr>
          <w:rFonts w:ascii="宋体" w:hAnsi="宋体" w:eastAsia="宋体" w:cs="宋体"/>
          <w:spacing w:val="163"/>
          <w:sz w:val="44"/>
          <w:szCs w:val="44"/>
        </w:rPr>
        <w:t xml:space="preserve"> </w:t>
      </w:r>
      <w:r>
        <w:rPr>
          <w:rFonts w:ascii="宋体" w:hAnsi="宋体" w:eastAsia="宋体" w:cs="宋体"/>
          <w:b/>
          <w:bCs/>
          <w:spacing w:val="-7"/>
          <w:sz w:val="44"/>
          <w:szCs w:val="44"/>
        </w:rPr>
        <w:t>环境管理与监测计划</w:t>
      </w:r>
    </w:p>
    <w:p w14:paraId="3199EAFC">
      <w:pPr>
        <w:spacing w:before="281" w:line="220" w:lineRule="auto"/>
        <w:ind w:left="40"/>
        <w:outlineLvl w:val="1"/>
        <w:rPr>
          <w:rFonts w:ascii="宋体" w:hAnsi="宋体" w:eastAsia="宋体" w:cs="宋体"/>
          <w:sz w:val="32"/>
          <w:szCs w:val="32"/>
        </w:rPr>
      </w:pPr>
      <w:bookmarkStart w:id="59" w:name="bookmark38"/>
      <w:bookmarkEnd w:id="59"/>
      <w:r>
        <w:rPr>
          <w:rFonts w:ascii="Times New Roman" w:hAnsi="Times New Roman" w:eastAsia="Times New Roman" w:cs="Times New Roman"/>
          <w:b/>
          <w:bCs/>
          <w:spacing w:val="-2"/>
          <w:sz w:val="32"/>
          <w:szCs w:val="32"/>
        </w:rPr>
        <w:t xml:space="preserve">7.1  </w:t>
      </w:r>
      <w:r>
        <w:rPr>
          <w:rFonts w:ascii="宋体" w:hAnsi="宋体" w:eastAsia="宋体" w:cs="宋体"/>
          <w:b/>
          <w:bCs/>
          <w:spacing w:val="-2"/>
          <w:sz w:val="32"/>
          <w:szCs w:val="32"/>
        </w:rPr>
        <w:t>环境管理</w:t>
      </w:r>
    </w:p>
    <w:p w14:paraId="6466D654">
      <w:pPr>
        <w:pStyle w:val="2"/>
        <w:spacing w:line="246" w:lineRule="auto"/>
      </w:pPr>
    </w:p>
    <w:p w14:paraId="20EB64DF">
      <w:pPr>
        <w:spacing w:before="78" w:line="361" w:lineRule="auto"/>
        <w:ind w:left="38" w:right="186" w:firstLine="480"/>
        <w:jc w:val="both"/>
        <w:rPr>
          <w:rFonts w:ascii="宋体" w:hAnsi="宋体" w:eastAsia="宋体" w:cs="宋体"/>
          <w:sz w:val="24"/>
          <w:szCs w:val="24"/>
        </w:rPr>
      </w:pPr>
      <w:r>
        <w:rPr>
          <w:rFonts w:ascii="宋体" w:hAnsi="宋体" w:eastAsia="宋体" w:cs="宋体"/>
          <w:spacing w:val="-6"/>
          <w:sz w:val="24"/>
          <w:szCs w:val="24"/>
        </w:rPr>
        <w:t>根据《中华人民共和国环境保护法》，</w:t>
      </w:r>
      <w:r>
        <w:rPr>
          <w:rFonts w:ascii="宋体" w:hAnsi="宋体" w:eastAsia="宋体" w:cs="宋体"/>
          <w:spacing w:val="-26"/>
          <w:sz w:val="24"/>
          <w:szCs w:val="24"/>
        </w:rPr>
        <w:t xml:space="preserve"> </w:t>
      </w:r>
      <w:r>
        <w:rPr>
          <w:rFonts w:ascii="宋体" w:hAnsi="宋体" w:eastAsia="宋体" w:cs="宋体"/>
          <w:spacing w:val="-6"/>
          <w:sz w:val="24"/>
          <w:szCs w:val="24"/>
        </w:rPr>
        <w:t>建设单位必须把环境保护工作纳入计</w:t>
      </w:r>
      <w:r>
        <w:rPr>
          <w:rFonts w:ascii="宋体" w:hAnsi="宋体" w:eastAsia="宋体" w:cs="宋体"/>
          <w:spacing w:val="-3"/>
          <w:sz w:val="24"/>
          <w:szCs w:val="24"/>
        </w:rPr>
        <w:t>划，建立环境保护责任制度，采取有效措施防止生产建设（生活）或其他活动中</w:t>
      </w:r>
      <w:r>
        <w:rPr>
          <w:rFonts w:ascii="宋体" w:hAnsi="宋体" w:eastAsia="宋体" w:cs="宋体"/>
          <w:spacing w:val="-5"/>
          <w:sz w:val="24"/>
          <w:szCs w:val="24"/>
        </w:rPr>
        <w:t>产生污染危害及对生态环境的破坏。以可持续发展为指导思想，</w:t>
      </w:r>
      <w:r>
        <w:rPr>
          <w:rFonts w:ascii="宋体" w:hAnsi="宋体" w:eastAsia="宋体" w:cs="宋体"/>
          <w:spacing w:val="-48"/>
          <w:sz w:val="24"/>
          <w:szCs w:val="24"/>
        </w:rPr>
        <w:t xml:space="preserve"> </w:t>
      </w:r>
      <w:r>
        <w:rPr>
          <w:rFonts w:ascii="宋体" w:hAnsi="宋体" w:eastAsia="宋体" w:cs="宋体"/>
          <w:spacing w:val="-5"/>
          <w:sz w:val="24"/>
          <w:szCs w:val="24"/>
        </w:rPr>
        <w:t>提高项目运营后</w:t>
      </w:r>
      <w:r>
        <w:rPr>
          <w:rFonts w:ascii="宋体" w:hAnsi="宋体" w:eastAsia="宋体" w:cs="宋体"/>
          <w:sz w:val="24"/>
          <w:szCs w:val="24"/>
        </w:rPr>
        <w:t>的环境质量，将本项目的环境管理作为其日后</w:t>
      </w:r>
      <w:r>
        <w:rPr>
          <w:rFonts w:ascii="宋体" w:hAnsi="宋体" w:eastAsia="宋体" w:cs="宋体"/>
          <w:spacing w:val="-1"/>
          <w:sz w:val="24"/>
          <w:szCs w:val="24"/>
        </w:rPr>
        <w:t>管理的重要依据之一。</w:t>
      </w:r>
    </w:p>
    <w:p w14:paraId="53A41DB7">
      <w:pPr>
        <w:spacing w:before="151" w:line="220" w:lineRule="auto"/>
        <w:ind w:left="40"/>
        <w:outlineLvl w:val="1"/>
        <w:rPr>
          <w:rFonts w:ascii="宋体" w:hAnsi="宋体" w:eastAsia="宋体" w:cs="宋体"/>
          <w:sz w:val="32"/>
          <w:szCs w:val="32"/>
        </w:rPr>
      </w:pPr>
      <w:bookmarkStart w:id="60" w:name="bookmark39"/>
      <w:bookmarkEnd w:id="60"/>
      <w:r>
        <w:rPr>
          <w:rFonts w:ascii="Times New Roman" w:hAnsi="Times New Roman" w:eastAsia="Times New Roman" w:cs="Times New Roman"/>
          <w:b/>
          <w:bCs/>
          <w:spacing w:val="-3"/>
          <w:sz w:val="32"/>
          <w:szCs w:val="32"/>
        </w:rPr>
        <w:t xml:space="preserve">7.2  </w:t>
      </w:r>
      <w:r>
        <w:rPr>
          <w:rFonts w:ascii="宋体" w:hAnsi="宋体" w:eastAsia="宋体" w:cs="宋体"/>
          <w:b/>
          <w:bCs/>
          <w:spacing w:val="-3"/>
          <w:sz w:val="32"/>
          <w:szCs w:val="32"/>
        </w:rPr>
        <w:t>环境管理目的</w:t>
      </w:r>
    </w:p>
    <w:p w14:paraId="3C102FC3">
      <w:pPr>
        <w:pStyle w:val="2"/>
        <w:spacing w:line="247" w:lineRule="auto"/>
      </w:pPr>
    </w:p>
    <w:p w14:paraId="067C5419">
      <w:pPr>
        <w:spacing w:before="78" w:line="360" w:lineRule="auto"/>
        <w:ind w:left="42" w:right="186" w:firstLine="477"/>
        <w:rPr>
          <w:rFonts w:ascii="宋体" w:hAnsi="宋体" w:eastAsia="宋体" w:cs="宋体"/>
          <w:sz w:val="24"/>
          <w:szCs w:val="24"/>
        </w:rPr>
      </w:pPr>
      <w:r>
        <w:rPr>
          <w:rFonts w:ascii="宋体" w:hAnsi="宋体" w:eastAsia="宋体" w:cs="宋体"/>
          <w:spacing w:val="-5"/>
          <w:sz w:val="24"/>
          <w:szCs w:val="24"/>
        </w:rPr>
        <w:t>通过制订系统的、科学的环境管理计划，</w:t>
      </w:r>
      <w:r>
        <w:rPr>
          <w:rFonts w:ascii="宋体" w:hAnsi="宋体" w:eastAsia="宋体" w:cs="宋体"/>
          <w:spacing w:val="-48"/>
          <w:sz w:val="24"/>
          <w:szCs w:val="24"/>
        </w:rPr>
        <w:t xml:space="preserve"> </w:t>
      </w:r>
      <w:r>
        <w:rPr>
          <w:rFonts w:ascii="宋体" w:hAnsi="宋体" w:eastAsia="宋体" w:cs="宋体"/>
          <w:spacing w:val="-5"/>
          <w:sz w:val="24"/>
          <w:szCs w:val="24"/>
        </w:rPr>
        <w:t>使该项目</w:t>
      </w:r>
      <w:r>
        <w:rPr>
          <w:rFonts w:ascii="宋体" w:hAnsi="宋体" w:eastAsia="宋体" w:cs="宋体"/>
          <w:spacing w:val="-6"/>
          <w:sz w:val="24"/>
          <w:szCs w:val="24"/>
        </w:rPr>
        <w:t>在建设过程中产生的环境</w:t>
      </w:r>
      <w:r>
        <w:rPr>
          <w:rFonts w:ascii="宋体" w:hAnsi="宋体" w:eastAsia="宋体" w:cs="宋体"/>
          <w:spacing w:val="-3"/>
          <w:sz w:val="24"/>
          <w:szCs w:val="24"/>
        </w:rPr>
        <w:t>问题，按照工程设计及本评价提出的防治或减缓措施，在该建设项目的设计</w:t>
      </w:r>
      <w:r>
        <w:rPr>
          <w:rFonts w:ascii="宋体" w:hAnsi="宋体" w:eastAsia="宋体" w:cs="宋体"/>
          <w:spacing w:val="-4"/>
          <w:sz w:val="24"/>
          <w:szCs w:val="24"/>
        </w:rPr>
        <w:t>、施</w:t>
      </w:r>
      <w:r>
        <w:rPr>
          <w:rFonts w:ascii="宋体" w:hAnsi="宋体" w:eastAsia="宋体" w:cs="宋体"/>
          <w:spacing w:val="-6"/>
          <w:sz w:val="24"/>
          <w:szCs w:val="24"/>
        </w:rPr>
        <w:t>工、运营中逐步得到落实， 从而实现各种环保措施能够</w:t>
      </w:r>
      <w:r>
        <w:rPr>
          <w:rFonts w:ascii="宋体" w:hAnsi="宋体" w:eastAsia="宋体" w:cs="宋体"/>
          <w:spacing w:val="-7"/>
          <w:sz w:val="24"/>
          <w:szCs w:val="24"/>
        </w:rPr>
        <w:t>与主体工程同时设计、同</w:t>
      </w:r>
      <w:r>
        <w:rPr>
          <w:rFonts w:ascii="宋体" w:hAnsi="宋体" w:eastAsia="宋体" w:cs="宋体"/>
          <w:spacing w:val="-11"/>
          <w:sz w:val="24"/>
          <w:szCs w:val="24"/>
        </w:rPr>
        <w:t>时施工、同时投产使用的“三同时”制度，做到使本项目的建设和运营对地表水、</w:t>
      </w:r>
    </w:p>
    <w:p w14:paraId="1DA1CD58">
      <w:pPr>
        <w:spacing w:before="2" w:line="361" w:lineRule="auto"/>
        <w:ind w:left="40" w:firstLine="3"/>
        <w:rPr>
          <w:rFonts w:ascii="宋体" w:hAnsi="宋体" w:eastAsia="宋体" w:cs="宋体"/>
          <w:sz w:val="24"/>
          <w:szCs w:val="24"/>
        </w:rPr>
      </w:pPr>
      <w:r>
        <w:rPr>
          <w:rFonts w:ascii="宋体" w:hAnsi="宋体" w:eastAsia="宋体" w:cs="宋体"/>
          <w:spacing w:val="-5"/>
          <w:sz w:val="24"/>
          <w:szCs w:val="24"/>
        </w:rPr>
        <w:t>声环境、环境空气等环境要素的负面影响降低到相应法规与标准要求的限值之内，</w:t>
      </w:r>
      <w:r>
        <w:rPr>
          <w:rFonts w:ascii="宋体" w:hAnsi="宋体" w:eastAsia="宋体" w:cs="宋体"/>
          <w:spacing w:val="-3"/>
          <w:sz w:val="24"/>
          <w:szCs w:val="24"/>
        </w:rPr>
        <w:t>促使该项目的建设与环境保护协调发展。</w:t>
      </w:r>
    </w:p>
    <w:p w14:paraId="09166A0C">
      <w:pPr>
        <w:spacing w:before="152" w:line="219" w:lineRule="auto"/>
        <w:ind w:left="40"/>
        <w:outlineLvl w:val="1"/>
        <w:rPr>
          <w:rFonts w:ascii="宋体" w:hAnsi="宋体" w:eastAsia="宋体" w:cs="宋体"/>
          <w:sz w:val="32"/>
          <w:szCs w:val="32"/>
        </w:rPr>
      </w:pPr>
      <w:bookmarkStart w:id="61" w:name="bookmark40"/>
      <w:bookmarkEnd w:id="61"/>
      <w:r>
        <w:rPr>
          <w:rFonts w:ascii="Times New Roman" w:hAnsi="Times New Roman" w:eastAsia="Times New Roman" w:cs="Times New Roman"/>
          <w:b/>
          <w:bCs/>
          <w:spacing w:val="-3"/>
          <w:sz w:val="32"/>
          <w:szCs w:val="32"/>
        </w:rPr>
        <w:t xml:space="preserve">7.3  </w:t>
      </w:r>
      <w:r>
        <w:rPr>
          <w:rFonts w:ascii="宋体" w:hAnsi="宋体" w:eastAsia="宋体" w:cs="宋体"/>
          <w:b/>
          <w:bCs/>
          <w:spacing w:val="-3"/>
          <w:sz w:val="32"/>
          <w:szCs w:val="32"/>
        </w:rPr>
        <w:t>环境管理基本原则</w:t>
      </w:r>
    </w:p>
    <w:p w14:paraId="6F10D7AB">
      <w:pPr>
        <w:pStyle w:val="2"/>
        <w:spacing w:line="248" w:lineRule="auto"/>
      </w:pPr>
    </w:p>
    <w:p w14:paraId="433FF22E">
      <w:pPr>
        <w:spacing w:before="78" w:line="360" w:lineRule="auto"/>
        <w:ind w:left="43" w:right="186" w:firstLine="480"/>
        <w:rPr>
          <w:rFonts w:ascii="宋体" w:hAnsi="宋体" w:eastAsia="宋体" w:cs="宋体"/>
          <w:sz w:val="24"/>
          <w:szCs w:val="24"/>
        </w:rPr>
      </w:pPr>
      <w:r>
        <w:rPr>
          <w:rFonts w:ascii="宋体" w:hAnsi="宋体" w:eastAsia="宋体" w:cs="宋体"/>
          <w:spacing w:val="-3"/>
          <w:sz w:val="24"/>
          <w:szCs w:val="24"/>
        </w:rPr>
        <w:t>项目建成后，应当遵守生态环境保护相关法律法规以及</w:t>
      </w:r>
      <w:r>
        <w:rPr>
          <w:rFonts w:ascii="宋体" w:hAnsi="宋体" w:eastAsia="宋体" w:cs="宋体"/>
          <w:spacing w:val="-4"/>
          <w:sz w:val="24"/>
          <w:szCs w:val="24"/>
        </w:rPr>
        <w:t>环境管理体系，针对项目建设的特点，应遵循以下基本原则：</w:t>
      </w:r>
    </w:p>
    <w:p w14:paraId="0A6AD8F0">
      <w:pPr>
        <w:spacing w:line="360" w:lineRule="auto"/>
        <w:ind w:left="40" w:right="185"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）正确处理企业发展与生态环境保护的关系，既要保护生态环境，又要</w:t>
      </w:r>
      <w:r>
        <w:rPr>
          <w:rFonts w:ascii="宋体" w:hAnsi="宋体" w:eastAsia="宋体" w:cs="宋体"/>
          <w:spacing w:val="-3"/>
          <w:sz w:val="24"/>
          <w:szCs w:val="24"/>
        </w:rPr>
        <w:t>促进经济发展，把环境效益和经济效益统一起来；</w:t>
      </w:r>
    </w:p>
    <w:p w14:paraId="51B86A23">
      <w:pPr>
        <w:spacing w:line="360" w:lineRule="auto"/>
        <w:ind w:left="45" w:right="185"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）环境管理要贯穿到建设项目的各项工作中，环境管理指标要纳入公司</w:t>
      </w:r>
      <w:r>
        <w:rPr>
          <w:rFonts w:ascii="宋体" w:hAnsi="宋体" w:eastAsia="宋体" w:cs="宋体"/>
          <w:spacing w:val="-4"/>
          <w:sz w:val="24"/>
          <w:szCs w:val="24"/>
        </w:rPr>
        <w:t>管理计划指标中，同时下达，同时进行考核；</w:t>
      </w:r>
    </w:p>
    <w:p w14:paraId="61AC4DC6">
      <w:pPr>
        <w:spacing w:line="367" w:lineRule="auto"/>
        <w:ind w:left="41" w:right="19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）控制污染，以预防为主，管治结合，综合治理，以取得最佳的环境效</w:t>
      </w:r>
      <w:r>
        <w:rPr>
          <w:rFonts w:ascii="宋体" w:hAnsi="宋体" w:eastAsia="宋体" w:cs="宋体"/>
          <w:spacing w:val="-12"/>
          <w:sz w:val="24"/>
          <w:szCs w:val="24"/>
        </w:rPr>
        <w:t>益。</w:t>
      </w:r>
    </w:p>
    <w:p w14:paraId="446EFCD5">
      <w:pPr>
        <w:spacing w:before="138" w:line="219" w:lineRule="auto"/>
        <w:ind w:left="40"/>
        <w:outlineLvl w:val="1"/>
        <w:rPr>
          <w:rFonts w:ascii="宋体" w:hAnsi="宋体" w:eastAsia="宋体" w:cs="宋体"/>
          <w:sz w:val="32"/>
          <w:szCs w:val="32"/>
        </w:rPr>
      </w:pPr>
      <w:bookmarkStart w:id="62" w:name="bookmark41"/>
      <w:bookmarkEnd w:id="62"/>
      <w:r>
        <w:rPr>
          <w:rFonts w:ascii="Times New Roman" w:hAnsi="Times New Roman" w:eastAsia="Times New Roman" w:cs="Times New Roman"/>
          <w:b/>
          <w:bCs/>
          <w:spacing w:val="-3"/>
          <w:sz w:val="32"/>
          <w:szCs w:val="32"/>
        </w:rPr>
        <w:t xml:space="preserve">7.4  </w:t>
      </w:r>
      <w:r>
        <w:rPr>
          <w:rFonts w:ascii="宋体" w:hAnsi="宋体" w:eastAsia="宋体" w:cs="宋体"/>
          <w:b/>
          <w:bCs/>
          <w:spacing w:val="-3"/>
          <w:sz w:val="32"/>
          <w:szCs w:val="32"/>
        </w:rPr>
        <w:t>设立环境保护管理机构</w:t>
      </w:r>
    </w:p>
    <w:p w14:paraId="37E6521C">
      <w:pPr>
        <w:pStyle w:val="2"/>
        <w:spacing w:line="248" w:lineRule="auto"/>
      </w:pPr>
    </w:p>
    <w:p w14:paraId="607B1A30">
      <w:pPr>
        <w:spacing w:before="79" w:line="349" w:lineRule="auto"/>
        <w:ind w:left="38" w:right="186" w:firstLine="483"/>
        <w:jc w:val="both"/>
        <w:rPr>
          <w:rFonts w:ascii="宋体" w:hAnsi="宋体" w:eastAsia="宋体" w:cs="宋体"/>
          <w:sz w:val="24"/>
          <w:szCs w:val="24"/>
        </w:rPr>
      </w:pPr>
      <w:r>
        <w:rPr>
          <w:rFonts w:ascii="宋体" w:hAnsi="宋体" w:eastAsia="宋体" w:cs="宋体"/>
          <w:spacing w:val="-3"/>
          <w:sz w:val="24"/>
          <w:szCs w:val="24"/>
        </w:rPr>
        <w:t>为了做好生产全过程的环境保护工作，减轻本项目排放污</w:t>
      </w:r>
      <w:r>
        <w:rPr>
          <w:rFonts w:ascii="宋体" w:hAnsi="宋体" w:eastAsia="宋体" w:cs="宋体"/>
          <w:spacing w:val="-4"/>
          <w:sz w:val="24"/>
          <w:szCs w:val="24"/>
        </w:rPr>
        <w:t>染物对环境的影响</w:t>
      </w:r>
      <w:r>
        <w:rPr>
          <w:rFonts w:ascii="宋体" w:hAnsi="宋体" w:eastAsia="宋体" w:cs="宋体"/>
          <w:spacing w:val="-6"/>
          <w:sz w:val="24"/>
          <w:szCs w:val="24"/>
        </w:rPr>
        <w:t>程度，建设单位应高度重视环境保护工作。建议设立内部环境保</w:t>
      </w:r>
      <w:r>
        <w:rPr>
          <w:rFonts w:ascii="宋体" w:hAnsi="宋体" w:eastAsia="宋体" w:cs="宋体"/>
          <w:spacing w:val="-7"/>
          <w:sz w:val="24"/>
          <w:szCs w:val="24"/>
        </w:rPr>
        <w:t>护管理机构， 专</w:t>
      </w:r>
      <w:r>
        <w:rPr>
          <w:rFonts w:ascii="宋体" w:hAnsi="宋体" w:eastAsia="宋体" w:cs="宋体"/>
          <w:spacing w:val="-3"/>
          <w:sz w:val="24"/>
          <w:szCs w:val="24"/>
        </w:rPr>
        <w:t>人负责环境保护工作，实行定岗定员，岗位责任制，负责各生产环节的环境保护</w:t>
      </w:r>
    </w:p>
    <w:p w14:paraId="2526B19A">
      <w:pPr>
        <w:spacing w:line="349" w:lineRule="auto"/>
        <w:rPr>
          <w:rFonts w:ascii="宋体" w:hAnsi="宋体" w:eastAsia="宋体" w:cs="宋体"/>
          <w:sz w:val="24"/>
          <w:szCs w:val="24"/>
        </w:rPr>
        <w:sectPr>
          <w:headerReference r:id="rId498" w:type="default"/>
          <w:footerReference r:id="rId499" w:type="default"/>
          <w:pgSz w:w="11905" w:h="16840"/>
          <w:pgMar w:top="1168" w:right="1611" w:bottom="1409" w:left="1770" w:header="828" w:footer="1244" w:gutter="0"/>
          <w:cols w:space="720" w:num="1"/>
        </w:sectPr>
      </w:pPr>
    </w:p>
    <w:p w14:paraId="60432269">
      <w:pPr>
        <w:pStyle w:val="2"/>
        <w:spacing w:line="305" w:lineRule="auto"/>
      </w:pPr>
    </w:p>
    <w:p w14:paraId="1B499AEE">
      <w:pPr>
        <w:spacing w:before="78" w:line="220" w:lineRule="auto"/>
        <w:ind w:left="45"/>
        <w:rPr>
          <w:rFonts w:ascii="宋体" w:hAnsi="宋体" w:eastAsia="宋体" w:cs="宋体"/>
          <w:sz w:val="24"/>
          <w:szCs w:val="24"/>
        </w:rPr>
      </w:pPr>
      <w:bookmarkStart w:id="63" w:name="bookmark190"/>
      <w:bookmarkEnd w:id="63"/>
      <w:r>
        <w:rPr>
          <w:rFonts w:ascii="宋体" w:hAnsi="宋体" w:eastAsia="宋体" w:cs="宋体"/>
          <w:spacing w:val="-4"/>
          <w:sz w:val="24"/>
          <w:szCs w:val="24"/>
        </w:rPr>
        <w:t>管理，保证环保设施的正常运行。</w:t>
      </w:r>
    </w:p>
    <w:p w14:paraId="6BCE60BC">
      <w:pPr>
        <w:spacing w:before="182" w:line="219" w:lineRule="auto"/>
        <w:ind w:left="519"/>
        <w:rPr>
          <w:rFonts w:ascii="宋体" w:hAnsi="宋体" w:eastAsia="宋体" w:cs="宋体"/>
          <w:sz w:val="24"/>
          <w:szCs w:val="24"/>
        </w:rPr>
      </w:pPr>
      <w:r>
        <w:rPr>
          <w:rFonts w:ascii="宋体" w:hAnsi="宋体" w:eastAsia="宋体" w:cs="宋体"/>
          <w:spacing w:val="-3"/>
          <w:sz w:val="24"/>
          <w:szCs w:val="24"/>
        </w:rPr>
        <w:t>环境保护管理机构（或环境保护责任人）应明确如下责任：</w:t>
      </w:r>
    </w:p>
    <w:p w14:paraId="3192365D">
      <w:pPr>
        <w:spacing w:before="183" w:line="360" w:lineRule="auto"/>
        <w:ind w:left="40"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）保持与生态环境主管部门的密切联系，及时了解国家、地方对本项目</w:t>
      </w:r>
      <w:r>
        <w:rPr>
          <w:rFonts w:ascii="宋体" w:hAnsi="宋体" w:eastAsia="宋体" w:cs="宋体"/>
          <w:spacing w:val="-5"/>
          <w:sz w:val="24"/>
          <w:szCs w:val="24"/>
        </w:rPr>
        <w:t>的有关生态环境的法律、法规和其他要求，</w:t>
      </w:r>
      <w:r>
        <w:rPr>
          <w:rFonts w:ascii="宋体" w:hAnsi="宋体" w:eastAsia="宋体" w:cs="宋体"/>
          <w:spacing w:val="-50"/>
          <w:sz w:val="24"/>
          <w:szCs w:val="24"/>
        </w:rPr>
        <w:t xml:space="preserve"> </w:t>
      </w:r>
      <w:r>
        <w:rPr>
          <w:rFonts w:ascii="宋体" w:hAnsi="宋体" w:eastAsia="宋体" w:cs="宋体"/>
          <w:spacing w:val="-5"/>
          <w:sz w:val="24"/>
          <w:szCs w:val="24"/>
        </w:rPr>
        <w:t>及时向生态环境主管部门反映与项目</w:t>
      </w:r>
      <w:r>
        <w:rPr>
          <w:rFonts w:ascii="宋体" w:hAnsi="宋体" w:eastAsia="宋体" w:cs="宋体"/>
          <w:spacing w:val="-8"/>
          <w:sz w:val="24"/>
          <w:szCs w:val="24"/>
        </w:rPr>
        <w:t>有关的污染因素、存在的环境问题、采取的污染控制对策等环境保护方面的内容，</w:t>
      </w:r>
      <w:r>
        <w:rPr>
          <w:rFonts w:ascii="宋体" w:hAnsi="宋体" w:eastAsia="宋体" w:cs="宋体"/>
          <w:spacing w:val="-3"/>
          <w:sz w:val="24"/>
          <w:szCs w:val="24"/>
        </w:rPr>
        <w:t>听取生态环境主管部门的批示意见。</w:t>
      </w:r>
    </w:p>
    <w:p w14:paraId="3EE3FEAB">
      <w:pPr>
        <w:spacing w:before="3" w:line="359" w:lineRule="auto"/>
        <w:ind w:left="40" w:right="65"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）及时将国家、地方与本项目环境保护有关的法律、法规和规定向公司</w:t>
      </w:r>
      <w:r>
        <w:rPr>
          <w:rFonts w:ascii="宋体" w:hAnsi="宋体" w:eastAsia="宋体" w:cs="宋体"/>
          <w:spacing w:val="-6"/>
          <w:sz w:val="24"/>
          <w:szCs w:val="24"/>
        </w:rPr>
        <w:t>负责人汇报，及时向本公司有关机构、人员进行通报， 组织</w:t>
      </w:r>
      <w:r>
        <w:rPr>
          <w:rFonts w:ascii="宋体" w:hAnsi="宋体" w:eastAsia="宋体" w:cs="宋体"/>
          <w:spacing w:val="-7"/>
          <w:sz w:val="24"/>
          <w:szCs w:val="24"/>
        </w:rPr>
        <w:t>职工进行环境保护方</w:t>
      </w:r>
      <w:r>
        <w:rPr>
          <w:rFonts w:ascii="宋体" w:hAnsi="宋体" w:eastAsia="宋体" w:cs="宋体"/>
          <w:spacing w:val="-3"/>
          <w:sz w:val="24"/>
          <w:szCs w:val="24"/>
        </w:rPr>
        <w:t>面的教育、培训，提高环保意识。</w:t>
      </w:r>
    </w:p>
    <w:p w14:paraId="3185BD7D">
      <w:pPr>
        <w:spacing w:line="360" w:lineRule="auto"/>
        <w:ind w:left="38" w:right="99"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）及时向公司负责人汇报与本项目有关的污染因素、存在的环境问题、</w:t>
      </w:r>
      <w:r>
        <w:rPr>
          <w:rFonts w:ascii="宋体" w:hAnsi="宋体" w:eastAsia="宋体" w:cs="宋体"/>
          <w:spacing w:val="-2"/>
          <w:sz w:val="24"/>
          <w:szCs w:val="24"/>
        </w:rPr>
        <w:t>采取的污染控制对策、实施情况等，并提出改进建议。</w:t>
      </w:r>
    </w:p>
    <w:p w14:paraId="5CDB77A8">
      <w:pPr>
        <w:spacing w:before="3" w:line="359" w:lineRule="auto"/>
        <w:ind w:left="41" w:right="6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）负责制定、监督实施本公司的有关环境保护管理规章制度，负责实施</w:t>
      </w:r>
      <w:r>
        <w:rPr>
          <w:rFonts w:ascii="宋体" w:hAnsi="宋体" w:eastAsia="宋体" w:cs="宋体"/>
          <w:spacing w:val="-2"/>
          <w:sz w:val="24"/>
          <w:szCs w:val="24"/>
        </w:rPr>
        <w:t>污染控制措施、管理污染治理设施，并进行详细的记录，以备检査。</w:t>
      </w:r>
    </w:p>
    <w:p w14:paraId="047BB228">
      <w:pPr>
        <w:spacing w:line="361" w:lineRule="auto"/>
        <w:ind w:left="37" w:right="65" w:firstLine="48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）按本评价提出的各项环境保护措施，编制详细的环境保护措施落实计</w:t>
      </w:r>
      <w:r>
        <w:rPr>
          <w:rFonts w:ascii="宋体" w:hAnsi="宋体" w:eastAsia="宋体" w:cs="宋体"/>
          <w:spacing w:val="-3"/>
          <w:sz w:val="24"/>
          <w:szCs w:val="24"/>
        </w:rPr>
        <w:t>划，明确各污染源位置、环境影响、环境保护措施、落实责任机构（人）等，并</w:t>
      </w:r>
      <w:r>
        <w:rPr>
          <w:rFonts w:ascii="宋体" w:hAnsi="宋体" w:eastAsia="宋体" w:cs="宋体"/>
          <w:spacing w:val="-1"/>
          <w:sz w:val="24"/>
          <w:szCs w:val="24"/>
        </w:rPr>
        <w:t>将该环境保护计划以书面形式发给相关人员，以便于各</w:t>
      </w:r>
      <w:r>
        <w:rPr>
          <w:rFonts w:ascii="宋体" w:hAnsi="宋体" w:eastAsia="宋体" w:cs="宋体"/>
          <w:spacing w:val="-2"/>
          <w:sz w:val="24"/>
          <w:szCs w:val="24"/>
        </w:rPr>
        <w:t>项措施的有效落实。</w:t>
      </w:r>
    </w:p>
    <w:p w14:paraId="1123C836">
      <w:pPr>
        <w:spacing w:before="163"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7.4.1  </w:t>
      </w:r>
      <w:r>
        <w:rPr>
          <w:rFonts w:ascii="宋体" w:hAnsi="宋体" w:eastAsia="宋体" w:cs="宋体"/>
          <w:b/>
          <w:bCs/>
          <w:spacing w:val="-2"/>
          <w:sz w:val="30"/>
          <w:szCs w:val="30"/>
        </w:rPr>
        <w:t>健全环境管理制度</w:t>
      </w:r>
    </w:p>
    <w:p w14:paraId="2A4BA32B">
      <w:pPr>
        <w:pStyle w:val="2"/>
        <w:spacing w:line="259" w:lineRule="auto"/>
      </w:pPr>
    </w:p>
    <w:p w14:paraId="7AA71CFD">
      <w:pPr>
        <w:spacing w:before="79" w:line="360" w:lineRule="auto"/>
        <w:ind w:left="52" w:right="66" w:firstLine="469"/>
        <w:rPr>
          <w:rFonts w:ascii="宋体" w:hAnsi="宋体" w:eastAsia="宋体" w:cs="宋体"/>
          <w:sz w:val="24"/>
          <w:szCs w:val="24"/>
        </w:rPr>
      </w:pPr>
      <w:r>
        <w:rPr>
          <w:rFonts w:ascii="宋体" w:hAnsi="宋体" w:eastAsia="宋体" w:cs="宋体"/>
          <w:spacing w:val="-3"/>
          <w:sz w:val="24"/>
          <w:szCs w:val="24"/>
        </w:rPr>
        <w:t>建立和完善环境管理制度，是公司环境管理体系的重要组</w:t>
      </w:r>
      <w:r>
        <w:rPr>
          <w:rFonts w:ascii="宋体" w:hAnsi="宋体" w:eastAsia="宋体" w:cs="宋体"/>
          <w:spacing w:val="-4"/>
          <w:sz w:val="24"/>
          <w:szCs w:val="24"/>
        </w:rPr>
        <w:t>成部分，建设单位</w:t>
      </w:r>
      <w:r>
        <w:rPr>
          <w:rFonts w:ascii="宋体" w:hAnsi="宋体" w:eastAsia="宋体" w:cs="宋体"/>
          <w:spacing w:val="-5"/>
          <w:sz w:val="24"/>
          <w:szCs w:val="24"/>
        </w:rPr>
        <w:t>需要建立的环境管理制度主要有：</w:t>
      </w:r>
    </w:p>
    <w:p w14:paraId="127BAF55">
      <w:pPr>
        <w:spacing w:line="360" w:lineRule="auto"/>
        <w:ind w:left="40" w:right="65"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）环保设施运行监督和管理制度：项目建成后，必须确保污染处理设施</w:t>
      </w:r>
      <w:r>
        <w:rPr>
          <w:rFonts w:ascii="宋体" w:hAnsi="宋体" w:eastAsia="宋体" w:cs="宋体"/>
          <w:spacing w:val="-6"/>
          <w:sz w:val="24"/>
          <w:szCs w:val="24"/>
        </w:rPr>
        <w:t>长期、稳定、有效地运行， 不得擅自拆除或者闲置污染</w:t>
      </w:r>
      <w:r>
        <w:rPr>
          <w:rFonts w:ascii="宋体" w:hAnsi="宋体" w:eastAsia="宋体" w:cs="宋体"/>
          <w:spacing w:val="-7"/>
          <w:sz w:val="24"/>
          <w:szCs w:val="24"/>
        </w:rPr>
        <w:t>处理设施，不得故意不正</w:t>
      </w:r>
      <w:r>
        <w:rPr>
          <w:rFonts w:ascii="宋体" w:hAnsi="宋体" w:eastAsia="宋体" w:cs="宋体"/>
          <w:spacing w:val="-3"/>
          <w:sz w:val="24"/>
          <w:szCs w:val="24"/>
        </w:rPr>
        <w:t>常使用污染处理设施。污染处理设施的管理必须与生产经营活动一起纳入企事业单位日常管理工作的范畴，落实责任人、操作人员、维修人员、运行经费、设备</w:t>
      </w:r>
      <w:r>
        <w:rPr>
          <w:rFonts w:ascii="宋体" w:hAnsi="宋体" w:eastAsia="宋体" w:cs="宋体"/>
          <w:spacing w:val="-11"/>
          <w:sz w:val="24"/>
          <w:szCs w:val="24"/>
        </w:rPr>
        <w:t>的备品备件、化学药品和其他原辅材料。同时要建立岗位责任制、制定操作规程、</w:t>
      </w:r>
      <w:r>
        <w:rPr>
          <w:rFonts w:ascii="宋体" w:hAnsi="宋体" w:eastAsia="宋体" w:cs="宋体"/>
          <w:spacing w:val="-6"/>
          <w:sz w:val="24"/>
          <w:szCs w:val="24"/>
        </w:rPr>
        <w:t>建立管理台帐。</w:t>
      </w:r>
    </w:p>
    <w:p w14:paraId="347B3FDA">
      <w:pPr>
        <w:spacing w:before="1" w:line="340" w:lineRule="auto"/>
        <w:ind w:left="41" w:right="6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）报告制度：凡实施排污许可证制度的排污单位，执行月报制度。月报</w:t>
      </w:r>
      <w:r>
        <w:rPr>
          <w:rFonts w:ascii="宋体" w:hAnsi="宋体" w:eastAsia="宋体" w:cs="宋体"/>
          <w:spacing w:val="-3"/>
          <w:sz w:val="24"/>
          <w:szCs w:val="24"/>
        </w:rPr>
        <w:t>内容主要为污染治理设施的运行情况、污染物排放情况以及污染事故或污染纠纷等。企业排污发生重大变化、污染治理设施改变或企业改、扩建等都必须向当地生态环境主管部门申报，改、扩建项目必须按《建设项目环境保护管理条</w:t>
      </w:r>
      <w:r>
        <w:rPr>
          <w:rFonts w:ascii="宋体" w:hAnsi="宋体" w:eastAsia="宋体" w:cs="宋体"/>
          <w:spacing w:val="-4"/>
          <w:sz w:val="24"/>
          <w:szCs w:val="24"/>
        </w:rPr>
        <w:t>例》等</w:t>
      </w:r>
    </w:p>
    <w:p w14:paraId="6E16FF4D">
      <w:pPr>
        <w:spacing w:line="340" w:lineRule="auto"/>
        <w:rPr>
          <w:rFonts w:ascii="宋体" w:hAnsi="宋体" w:eastAsia="宋体" w:cs="宋体"/>
          <w:sz w:val="24"/>
          <w:szCs w:val="24"/>
        </w:rPr>
        <w:sectPr>
          <w:headerReference r:id="rId500" w:type="default"/>
          <w:footerReference r:id="rId501" w:type="default"/>
          <w:pgSz w:w="11905" w:h="16840"/>
          <w:pgMar w:top="1168" w:right="1731" w:bottom="1409" w:left="1770" w:header="828" w:footer="1244" w:gutter="0"/>
          <w:cols w:space="720" w:num="1"/>
        </w:sectPr>
      </w:pPr>
    </w:p>
    <w:p w14:paraId="3676D799">
      <w:pPr>
        <w:pStyle w:val="2"/>
        <w:spacing w:line="305" w:lineRule="auto"/>
      </w:pPr>
    </w:p>
    <w:p w14:paraId="1B259B6E">
      <w:pPr>
        <w:spacing w:before="78" w:line="220" w:lineRule="auto"/>
        <w:ind w:left="40"/>
        <w:rPr>
          <w:rFonts w:ascii="宋体" w:hAnsi="宋体" w:eastAsia="宋体" w:cs="宋体"/>
          <w:sz w:val="24"/>
          <w:szCs w:val="24"/>
        </w:rPr>
      </w:pPr>
      <w:bookmarkStart w:id="64" w:name="bookmark191"/>
      <w:bookmarkEnd w:id="64"/>
      <w:r>
        <w:rPr>
          <w:rFonts w:ascii="宋体" w:hAnsi="宋体" w:eastAsia="宋体" w:cs="宋体"/>
          <w:spacing w:val="-2"/>
          <w:sz w:val="24"/>
          <w:szCs w:val="24"/>
        </w:rPr>
        <w:t>要求，报请有审批权限的生态环境主管部门审批。</w:t>
      </w:r>
    </w:p>
    <w:p w14:paraId="0BACC626">
      <w:pPr>
        <w:spacing w:before="182" w:line="360" w:lineRule="auto"/>
        <w:ind w:left="38"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）环保奖惩制度：各级管理人员都应树立保护环境的意识，企业也应设</w:t>
      </w:r>
      <w:r>
        <w:rPr>
          <w:rFonts w:ascii="宋体" w:hAnsi="宋体" w:eastAsia="宋体" w:cs="宋体"/>
          <w:spacing w:val="-1"/>
          <w:sz w:val="24"/>
          <w:szCs w:val="24"/>
        </w:rPr>
        <w:t>立环境保护奖惩条例。对于爱护环保设施、节能降耗、改善环境人员实</w:t>
      </w:r>
      <w:r>
        <w:rPr>
          <w:rFonts w:ascii="宋体" w:hAnsi="宋体" w:eastAsia="宋体" w:cs="宋体"/>
          <w:spacing w:val="-2"/>
          <w:sz w:val="24"/>
          <w:szCs w:val="24"/>
        </w:rPr>
        <w:t>行奖励；</w:t>
      </w:r>
      <w:r>
        <w:rPr>
          <w:rFonts w:ascii="宋体" w:hAnsi="宋体" w:eastAsia="宋体" w:cs="宋体"/>
          <w:spacing w:val="-3"/>
          <w:sz w:val="24"/>
          <w:szCs w:val="24"/>
        </w:rPr>
        <w:t>对于环保观念淡薄，不按环保要求管理、造成环境设施损坏、环境污染及资源和能源浪费人员一律予以重罚。</w:t>
      </w:r>
    </w:p>
    <w:p w14:paraId="434011D6">
      <w:pPr>
        <w:spacing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）环境管理岗位责任制。</w:t>
      </w:r>
    </w:p>
    <w:p w14:paraId="7196479C">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）生产环境管理制度、环境污染物排放和监测制度。</w:t>
      </w:r>
    </w:p>
    <w:p w14:paraId="00EC9ECD">
      <w:pPr>
        <w:spacing w:before="181"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）原料的管理和使用、节约制度。</w:t>
      </w:r>
    </w:p>
    <w:p w14:paraId="2930511B">
      <w:pPr>
        <w:spacing w:before="183"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）环境污染事故应急和处理制度。</w:t>
      </w:r>
    </w:p>
    <w:p w14:paraId="6DAC20E3">
      <w:pPr>
        <w:spacing w:before="181"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）绿化和管理制度。</w:t>
      </w:r>
    </w:p>
    <w:p w14:paraId="414A9A18">
      <w:pPr>
        <w:pStyle w:val="2"/>
        <w:spacing w:line="250" w:lineRule="auto"/>
      </w:pPr>
    </w:p>
    <w:p w14:paraId="614396F1">
      <w:pPr>
        <w:spacing w:before="99"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7.4.2  </w:t>
      </w:r>
      <w:r>
        <w:rPr>
          <w:rFonts w:ascii="宋体" w:hAnsi="宋体" w:eastAsia="宋体" w:cs="宋体"/>
          <w:b/>
          <w:bCs/>
          <w:spacing w:val="-2"/>
          <w:sz w:val="30"/>
          <w:szCs w:val="30"/>
        </w:rPr>
        <w:t>环境管理工作内容</w:t>
      </w:r>
    </w:p>
    <w:p w14:paraId="0012B378">
      <w:pPr>
        <w:pStyle w:val="2"/>
        <w:spacing w:line="306" w:lineRule="auto"/>
      </w:pPr>
    </w:p>
    <w:p w14:paraId="43DB4E1D">
      <w:pPr>
        <w:spacing w:before="88" w:line="226"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7.4.2.1 </w:t>
      </w:r>
      <w:r>
        <w:rPr>
          <w:rFonts w:ascii="宋体" w:hAnsi="宋体" w:eastAsia="宋体" w:cs="宋体"/>
          <w:b/>
          <w:bCs/>
          <w:spacing w:val="5"/>
          <w:sz w:val="27"/>
          <w:szCs w:val="27"/>
        </w:rPr>
        <w:t>施工期环境管理</w:t>
      </w:r>
    </w:p>
    <w:p w14:paraId="7FA5D313">
      <w:pPr>
        <w:spacing w:before="237" w:line="360" w:lineRule="auto"/>
        <w:ind w:left="41" w:right="62"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）设计阶段：设计部门应该将环境影响报告书提出的环保措施列入设计</w:t>
      </w:r>
      <w:r>
        <w:rPr>
          <w:rFonts w:ascii="宋体" w:hAnsi="宋体" w:eastAsia="宋体" w:cs="宋体"/>
          <w:spacing w:val="-2"/>
          <w:sz w:val="24"/>
          <w:szCs w:val="24"/>
        </w:rPr>
        <w:t>之中，建设单位应该把污染治理所需资金、材料和设备等纳入工程预算。</w:t>
      </w:r>
    </w:p>
    <w:p w14:paraId="7E30D02C">
      <w:pPr>
        <w:spacing w:line="360" w:lineRule="auto"/>
        <w:ind w:left="40" w:right="6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）招投标阶段：建设单位应将运营期环保实施计划列入招标内容，选择</w:t>
      </w:r>
      <w:r>
        <w:rPr>
          <w:rFonts w:ascii="宋体" w:hAnsi="宋体" w:eastAsia="宋体" w:cs="宋体"/>
          <w:spacing w:val="-3"/>
          <w:sz w:val="24"/>
          <w:szCs w:val="24"/>
        </w:rPr>
        <w:t>有环境工程设计资质的设计单位参与招标。</w:t>
      </w:r>
    </w:p>
    <w:p w14:paraId="24A6BEAF">
      <w:pPr>
        <w:spacing w:before="4" w:line="359" w:lineRule="auto"/>
        <w:ind w:left="38" w:right="62"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）建设单位在施工后，应派专职人员负责与生态环境部门、设计单位和</w:t>
      </w:r>
      <w:r>
        <w:rPr>
          <w:rFonts w:ascii="宋体" w:hAnsi="宋体" w:eastAsia="宋体" w:cs="宋体"/>
          <w:spacing w:val="-6"/>
          <w:sz w:val="24"/>
          <w:szCs w:val="24"/>
        </w:rPr>
        <w:t xml:space="preserve">施工单位协调工作，对环保实施计划进行监督、检查和管理， </w:t>
      </w:r>
      <w:r>
        <w:rPr>
          <w:rFonts w:ascii="宋体" w:hAnsi="宋体" w:eastAsia="宋体" w:cs="宋体"/>
          <w:spacing w:val="-7"/>
          <w:sz w:val="24"/>
          <w:szCs w:val="24"/>
        </w:rPr>
        <w:t>环保实施计划应有专业记录。</w:t>
      </w:r>
    </w:p>
    <w:p w14:paraId="4A0AD07A">
      <w:pPr>
        <w:spacing w:line="360" w:lineRule="auto"/>
        <w:ind w:left="43" w:right="62"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）根据本报告书提出的环保措施和生态环境部门审批要求，建设单位应</w:t>
      </w:r>
      <w:r>
        <w:rPr>
          <w:rFonts w:ascii="宋体" w:hAnsi="宋体" w:eastAsia="宋体" w:cs="宋体"/>
          <w:spacing w:val="-2"/>
          <w:sz w:val="24"/>
          <w:szCs w:val="24"/>
        </w:rPr>
        <w:t>该严格执行“三同时”制度，健全各项环保设施，绿化美化厂区环境。</w:t>
      </w:r>
    </w:p>
    <w:p w14:paraId="491C1EB9">
      <w:pPr>
        <w:spacing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）加强施工期环境监测，尤其是施工场界噪声监测。</w:t>
      </w:r>
    </w:p>
    <w:p w14:paraId="38C34C43">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）负责组织对环保治理设施中土建和安装工程进行验收。</w:t>
      </w:r>
    </w:p>
    <w:p w14:paraId="181CF708">
      <w:pPr>
        <w:spacing w:before="240" w:line="226" w:lineRule="auto"/>
        <w:ind w:left="39"/>
        <w:rPr>
          <w:rFonts w:ascii="宋体" w:hAnsi="宋体" w:eastAsia="宋体" w:cs="宋体"/>
          <w:sz w:val="27"/>
          <w:szCs w:val="27"/>
        </w:rPr>
      </w:pPr>
      <w:r>
        <w:rPr>
          <w:rFonts w:ascii="Times New Roman" w:hAnsi="Times New Roman" w:eastAsia="Times New Roman" w:cs="Times New Roman"/>
          <w:b/>
          <w:bCs/>
          <w:spacing w:val="5"/>
          <w:sz w:val="27"/>
          <w:szCs w:val="27"/>
        </w:rPr>
        <w:t xml:space="preserve">7.4.2.2 </w:t>
      </w:r>
      <w:r>
        <w:rPr>
          <w:rFonts w:ascii="宋体" w:hAnsi="宋体" w:eastAsia="宋体" w:cs="宋体"/>
          <w:b/>
          <w:bCs/>
          <w:spacing w:val="5"/>
          <w:sz w:val="27"/>
          <w:szCs w:val="27"/>
        </w:rPr>
        <w:t>运营期的环境管理</w:t>
      </w:r>
    </w:p>
    <w:p w14:paraId="302D7DAF">
      <w:pPr>
        <w:spacing w:before="236" w:line="360" w:lineRule="auto"/>
        <w:ind w:left="66" w:right="62" w:firstLine="45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）认真贯彻执行国家有关环境保护法律法规要求，接受生态环境主管部</w:t>
      </w:r>
      <w:r>
        <w:rPr>
          <w:rFonts w:ascii="宋体" w:hAnsi="宋体" w:eastAsia="宋体" w:cs="宋体"/>
          <w:spacing w:val="-3"/>
          <w:sz w:val="24"/>
          <w:szCs w:val="24"/>
        </w:rPr>
        <w:t>门的监督和检查，定期上报各项环保管理工作的执行情况。</w:t>
      </w:r>
    </w:p>
    <w:p w14:paraId="357B5D7D">
      <w:pPr>
        <w:spacing w:line="362" w:lineRule="auto"/>
        <w:ind w:left="45" w:right="75"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）公司必须把环境保护工作纳入计划，建立环境保护责任制度，采</w:t>
      </w:r>
      <w:r>
        <w:rPr>
          <w:rFonts w:ascii="宋体" w:hAnsi="宋体" w:eastAsia="宋体" w:cs="宋体"/>
          <w:spacing w:val="-1"/>
          <w:sz w:val="24"/>
          <w:szCs w:val="24"/>
        </w:rPr>
        <w:t>取有</w:t>
      </w:r>
      <w:r>
        <w:rPr>
          <w:rFonts w:ascii="宋体" w:hAnsi="宋体" w:eastAsia="宋体" w:cs="宋体"/>
          <w:spacing w:val="-2"/>
          <w:sz w:val="24"/>
          <w:szCs w:val="24"/>
        </w:rPr>
        <w:t>效措施，防治生产过程中或其他活动中产生的污染危害及对生态环境的破坏。</w:t>
      </w:r>
    </w:p>
    <w:p w14:paraId="291D2F93">
      <w:pPr>
        <w:spacing w:line="362" w:lineRule="auto"/>
        <w:rPr>
          <w:rFonts w:ascii="宋体" w:hAnsi="宋体" w:eastAsia="宋体" w:cs="宋体"/>
          <w:sz w:val="24"/>
          <w:szCs w:val="24"/>
        </w:rPr>
        <w:sectPr>
          <w:headerReference r:id="rId502" w:type="default"/>
          <w:footerReference r:id="rId503" w:type="default"/>
          <w:pgSz w:w="11905" w:h="16840"/>
          <w:pgMar w:top="1168" w:right="1733" w:bottom="1409" w:left="1770" w:header="828" w:footer="1244" w:gutter="0"/>
          <w:cols w:space="720" w:num="1"/>
        </w:sectPr>
      </w:pPr>
    </w:p>
    <w:p w14:paraId="1B7997DB">
      <w:pPr>
        <w:pStyle w:val="2"/>
        <w:spacing w:line="306" w:lineRule="auto"/>
      </w:pPr>
    </w:p>
    <w:p w14:paraId="0B2A5A94">
      <w:pPr>
        <w:spacing w:before="78" w:line="360" w:lineRule="auto"/>
        <w:ind w:left="43" w:right="82"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）组织制定公司内部各部门的环保管理规章制度，明确职责，并监督执</w:t>
      </w:r>
      <w:bookmarkStart w:id="65" w:name="bookmark192"/>
      <w:bookmarkEnd w:id="65"/>
      <w:r>
        <w:rPr>
          <w:rFonts w:ascii="宋体" w:hAnsi="宋体" w:eastAsia="宋体" w:cs="宋体"/>
          <w:spacing w:val="-12"/>
          <w:sz w:val="24"/>
          <w:szCs w:val="24"/>
        </w:rPr>
        <w:t>行。</w:t>
      </w:r>
    </w:p>
    <w:p w14:paraId="333E2C82">
      <w:pPr>
        <w:spacing w:before="2" w:line="359" w:lineRule="auto"/>
        <w:ind w:left="40" w:right="94"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）认真做好污染源及处理设施的监测、控制工作，及时解决运行中</w:t>
      </w:r>
      <w:r>
        <w:rPr>
          <w:rFonts w:ascii="宋体" w:hAnsi="宋体" w:eastAsia="宋体" w:cs="宋体"/>
          <w:spacing w:val="-1"/>
          <w:sz w:val="24"/>
          <w:szCs w:val="24"/>
        </w:rPr>
        <w:t>的环</w:t>
      </w:r>
      <w:r>
        <w:rPr>
          <w:rFonts w:ascii="宋体" w:hAnsi="宋体" w:eastAsia="宋体" w:cs="宋体"/>
          <w:spacing w:val="-2"/>
          <w:sz w:val="24"/>
          <w:szCs w:val="24"/>
        </w:rPr>
        <w:t>保问题，做好应急事故处理，参与环境污染事故调查和处理工作。</w:t>
      </w:r>
    </w:p>
    <w:p w14:paraId="6178F1D1">
      <w:pPr>
        <w:spacing w:line="360" w:lineRule="auto"/>
        <w:ind w:left="39" w:right="17"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）做好公司环保设施运行记录的档案管理工作，定期检查环境管理计划</w:t>
      </w:r>
      <w:r>
        <w:rPr>
          <w:rFonts w:ascii="宋体" w:hAnsi="宋体" w:eastAsia="宋体" w:cs="宋体"/>
          <w:spacing w:val="-8"/>
          <w:sz w:val="24"/>
          <w:szCs w:val="24"/>
        </w:rPr>
        <w:t>实施情况。对污水处理站及管网、生物除臭装置等环保设施进行定期维护和检修，</w:t>
      </w:r>
      <w:r>
        <w:rPr>
          <w:rFonts w:ascii="宋体" w:hAnsi="宋体" w:eastAsia="宋体" w:cs="宋体"/>
          <w:spacing w:val="-4"/>
          <w:sz w:val="24"/>
          <w:szCs w:val="24"/>
        </w:rPr>
        <w:t>确保环保设施的正常运行。</w:t>
      </w:r>
    </w:p>
    <w:p w14:paraId="7FF18580">
      <w:pPr>
        <w:spacing w:before="2" w:line="359" w:lineRule="auto"/>
        <w:ind w:left="40" w:right="8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）检查公司内部环境治理设备的运转情况，日常维护及保养情况，保证</w:t>
      </w:r>
      <w:r>
        <w:rPr>
          <w:rFonts w:ascii="宋体" w:hAnsi="宋体" w:eastAsia="宋体" w:cs="宋体"/>
          <w:spacing w:val="-7"/>
          <w:sz w:val="24"/>
          <w:szCs w:val="24"/>
        </w:rPr>
        <w:t>其正常运行。</w:t>
      </w:r>
    </w:p>
    <w:p w14:paraId="3C20AE1B">
      <w:pPr>
        <w:spacing w:line="360" w:lineRule="auto"/>
        <w:ind w:left="39" w:right="82"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7</w:t>
      </w:r>
      <w:r>
        <w:rPr>
          <w:rFonts w:ascii="宋体" w:hAnsi="宋体" w:eastAsia="宋体" w:cs="宋体"/>
          <w:sz w:val="24"/>
          <w:szCs w:val="24"/>
        </w:rPr>
        <w:t>）开展公司环保技术人员培训，提高环保人员技术水平，提出环境监测</w:t>
      </w:r>
      <w:r>
        <w:rPr>
          <w:rFonts w:ascii="宋体" w:hAnsi="宋体" w:eastAsia="宋体" w:cs="宋体"/>
          <w:spacing w:val="-10"/>
          <w:sz w:val="24"/>
          <w:szCs w:val="24"/>
        </w:rPr>
        <w:t>计划。</w:t>
      </w:r>
    </w:p>
    <w:p w14:paraId="389EFE30">
      <w:pPr>
        <w:spacing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）做好污染物台账管理。</w:t>
      </w:r>
    </w:p>
    <w:p w14:paraId="2EFE1FE9">
      <w:pPr>
        <w:pStyle w:val="2"/>
        <w:spacing w:line="250" w:lineRule="auto"/>
      </w:pPr>
    </w:p>
    <w:p w14:paraId="73509F2E">
      <w:pPr>
        <w:spacing w:before="98"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7.4.3  </w:t>
      </w:r>
      <w:r>
        <w:rPr>
          <w:rFonts w:ascii="宋体" w:hAnsi="宋体" w:eastAsia="宋体" w:cs="宋体"/>
          <w:b/>
          <w:bCs/>
          <w:spacing w:val="-2"/>
          <w:sz w:val="30"/>
          <w:szCs w:val="30"/>
        </w:rPr>
        <w:t>环境管理信息公开计划</w:t>
      </w:r>
    </w:p>
    <w:p w14:paraId="733D9226">
      <w:pPr>
        <w:pStyle w:val="2"/>
        <w:spacing w:line="259" w:lineRule="auto"/>
      </w:pPr>
    </w:p>
    <w:p w14:paraId="47DF5B12">
      <w:pPr>
        <w:spacing w:before="79" w:line="360" w:lineRule="auto"/>
        <w:ind w:left="39" w:firstLine="480"/>
        <w:jc w:val="both"/>
        <w:rPr>
          <w:rFonts w:ascii="宋体" w:hAnsi="宋体" w:eastAsia="宋体" w:cs="宋体"/>
          <w:sz w:val="24"/>
          <w:szCs w:val="24"/>
        </w:rPr>
      </w:pPr>
      <w:r>
        <w:rPr>
          <w:rFonts w:ascii="宋体" w:hAnsi="宋体" w:eastAsia="宋体" w:cs="宋体"/>
          <w:spacing w:val="-6"/>
          <w:sz w:val="24"/>
          <w:szCs w:val="24"/>
        </w:rPr>
        <w:t>根据《企业事业单位环境信息公开办法》，</w:t>
      </w:r>
      <w:r>
        <w:rPr>
          <w:rFonts w:ascii="宋体" w:hAnsi="宋体" w:eastAsia="宋体" w:cs="宋体"/>
          <w:spacing w:val="-26"/>
          <w:sz w:val="24"/>
          <w:szCs w:val="24"/>
        </w:rPr>
        <w:t xml:space="preserve"> </w:t>
      </w:r>
      <w:r>
        <w:rPr>
          <w:rFonts w:ascii="宋体" w:hAnsi="宋体" w:eastAsia="宋体" w:cs="宋体"/>
          <w:spacing w:val="-6"/>
          <w:sz w:val="24"/>
          <w:szCs w:val="24"/>
        </w:rPr>
        <w:t>企业事业单位应当按照强制公开和自愿公开相结合的原则，及时、如实地公开其环境信息， 企</w:t>
      </w:r>
      <w:r>
        <w:rPr>
          <w:rFonts w:ascii="宋体" w:hAnsi="宋体" w:eastAsia="宋体" w:cs="宋体"/>
          <w:spacing w:val="-7"/>
          <w:sz w:val="24"/>
          <w:szCs w:val="24"/>
        </w:rPr>
        <w:t>业事业单位应当建</w:t>
      </w:r>
      <w:r>
        <w:rPr>
          <w:rFonts w:ascii="宋体" w:hAnsi="宋体" w:eastAsia="宋体" w:cs="宋体"/>
          <w:spacing w:val="-1"/>
          <w:sz w:val="24"/>
          <w:szCs w:val="24"/>
        </w:rPr>
        <w:t>立健全本单位环境信息公开制度，指定机构负责本单位环境信息公开日常工作。</w:t>
      </w:r>
    </w:p>
    <w:p w14:paraId="0935BABF">
      <w:pPr>
        <w:spacing w:line="219" w:lineRule="auto"/>
        <w:ind w:left="519"/>
        <w:rPr>
          <w:rFonts w:ascii="宋体" w:hAnsi="宋体" w:eastAsia="宋体" w:cs="宋体"/>
          <w:sz w:val="24"/>
          <w:szCs w:val="24"/>
        </w:rPr>
      </w:pPr>
      <w:r>
        <w:rPr>
          <w:rFonts w:ascii="宋体" w:hAnsi="宋体" w:eastAsia="宋体" w:cs="宋体"/>
          <w:spacing w:val="-4"/>
          <w:sz w:val="24"/>
          <w:szCs w:val="24"/>
        </w:rPr>
        <w:t>环境管理信息公开内容应包括以下内容：</w:t>
      </w:r>
    </w:p>
    <w:p w14:paraId="575D0A5A">
      <w:pPr>
        <w:spacing w:before="183" w:line="360" w:lineRule="auto"/>
        <w:ind w:left="40" w:right="117"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）基础信息，包括单位名称、组织机构代码、法定代表人、生产地址、</w:t>
      </w:r>
      <w:r>
        <w:rPr>
          <w:rFonts w:ascii="宋体" w:hAnsi="宋体" w:eastAsia="宋体" w:cs="宋体"/>
          <w:spacing w:val="-3"/>
          <w:sz w:val="24"/>
          <w:szCs w:val="24"/>
        </w:rPr>
        <w:t>联系方式，以及生产经营和管理服务的主要内容、产品及规模；</w:t>
      </w:r>
    </w:p>
    <w:p w14:paraId="1D0940FD">
      <w:pPr>
        <w:spacing w:line="360" w:lineRule="auto"/>
        <w:ind w:left="41" w:right="82"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）排污信息，包括主要污染物及特征污染物的名称、排放方式、排放口</w:t>
      </w:r>
      <w:r>
        <w:rPr>
          <w:rFonts w:ascii="宋体" w:hAnsi="宋体" w:eastAsia="宋体" w:cs="宋体"/>
          <w:spacing w:val="-6"/>
          <w:sz w:val="24"/>
          <w:szCs w:val="24"/>
        </w:rPr>
        <w:t>数量和分布情况、排放浓度和总量、超标情况， 以及</w:t>
      </w:r>
      <w:r>
        <w:rPr>
          <w:rFonts w:ascii="宋体" w:hAnsi="宋体" w:eastAsia="宋体" w:cs="宋体"/>
          <w:spacing w:val="-7"/>
          <w:sz w:val="24"/>
          <w:szCs w:val="24"/>
        </w:rPr>
        <w:t>执行的污染物排放标准、核</w:t>
      </w:r>
      <w:r>
        <w:rPr>
          <w:rFonts w:ascii="宋体" w:hAnsi="宋体" w:eastAsia="宋体" w:cs="宋体"/>
          <w:spacing w:val="-9"/>
          <w:sz w:val="24"/>
          <w:szCs w:val="24"/>
        </w:rPr>
        <w:t>定的排放总量；</w:t>
      </w:r>
    </w:p>
    <w:p w14:paraId="35EFA2B9">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）防治污染设施的建设和运行情况；</w:t>
      </w:r>
    </w:p>
    <w:p w14:paraId="7D02C572">
      <w:pPr>
        <w:spacing w:before="182" w:line="218"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）建设项目环境影响评价及其他环境保护行政许可情况；</w:t>
      </w:r>
    </w:p>
    <w:p w14:paraId="645B1285">
      <w:pPr>
        <w:spacing w:before="184"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）突发环境事件应急预案；</w:t>
      </w:r>
    </w:p>
    <w:p w14:paraId="2AEA80E5">
      <w:pPr>
        <w:spacing w:before="182"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）其他应当公开的环境信息。</w:t>
      </w:r>
    </w:p>
    <w:p w14:paraId="388F3910">
      <w:pPr>
        <w:pStyle w:val="2"/>
        <w:spacing w:line="250" w:lineRule="auto"/>
      </w:pPr>
    </w:p>
    <w:p w14:paraId="400DA47F">
      <w:pPr>
        <w:spacing w:before="98"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7.4.4  </w:t>
      </w:r>
      <w:r>
        <w:rPr>
          <w:rFonts w:ascii="宋体" w:hAnsi="宋体" w:eastAsia="宋体" w:cs="宋体"/>
          <w:b/>
          <w:bCs/>
          <w:spacing w:val="-2"/>
          <w:sz w:val="30"/>
          <w:szCs w:val="30"/>
        </w:rPr>
        <w:t>排污口规范化管理</w:t>
      </w:r>
    </w:p>
    <w:p w14:paraId="79D511B8">
      <w:pPr>
        <w:pStyle w:val="2"/>
        <w:spacing w:line="258" w:lineRule="auto"/>
      </w:pPr>
    </w:p>
    <w:p w14:paraId="19E8D7EF">
      <w:pPr>
        <w:spacing w:before="79" w:line="220" w:lineRule="auto"/>
        <w:ind w:left="519"/>
        <w:rPr>
          <w:rFonts w:ascii="宋体" w:hAnsi="宋体" w:eastAsia="宋体" w:cs="宋体"/>
          <w:sz w:val="24"/>
          <w:szCs w:val="24"/>
        </w:rPr>
      </w:pPr>
      <w:r>
        <w:rPr>
          <w:rFonts w:ascii="宋体" w:hAnsi="宋体" w:eastAsia="宋体" w:cs="宋体"/>
          <w:spacing w:val="-3"/>
          <w:sz w:val="24"/>
          <w:szCs w:val="24"/>
        </w:rPr>
        <w:t>排污口是企业排放污染物进入环境的通道，强化排污口管理是实施</w:t>
      </w:r>
      <w:r>
        <w:rPr>
          <w:rFonts w:ascii="宋体" w:hAnsi="宋体" w:eastAsia="宋体" w:cs="宋体"/>
          <w:spacing w:val="-4"/>
          <w:sz w:val="24"/>
          <w:szCs w:val="24"/>
        </w:rPr>
        <w:t>污染物总</w:t>
      </w:r>
    </w:p>
    <w:p w14:paraId="6B416104">
      <w:pPr>
        <w:spacing w:line="220" w:lineRule="auto"/>
        <w:rPr>
          <w:rFonts w:ascii="宋体" w:hAnsi="宋体" w:eastAsia="宋体" w:cs="宋体"/>
          <w:sz w:val="24"/>
          <w:szCs w:val="24"/>
        </w:rPr>
        <w:sectPr>
          <w:headerReference r:id="rId504" w:type="default"/>
          <w:footerReference r:id="rId505" w:type="default"/>
          <w:pgSz w:w="11905" w:h="16840"/>
          <w:pgMar w:top="1168" w:right="1714" w:bottom="1409" w:left="1770" w:header="828" w:footer="1244" w:gutter="0"/>
          <w:cols w:space="720" w:num="1"/>
        </w:sectPr>
      </w:pPr>
    </w:p>
    <w:p w14:paraId="02A9C69B">
      <w:pPr>
        <w:pStyle w:val="2"/>
        <w:spacing w:line="306" w:lineRule="auto"/>
      </w:pPr>
    </w:p>
    <w:p w14:paraId="2783FE4A">
      <w:pPr>
        <w:spacing w:before="78" w:line="360" w:lineRule="auto"/>
        <w:ind w:left="58" w:right="233" w:hanging="19"/>
        <w:rPr>
          <w:rFonts w:ascii="宋体" w:hAnsi="宋体" w:eastAsia="宋体" w:cs="宋体"/>
          <w:sz w:val="24"/>
          <w:szCs w:val="24"/>
        </w:rPr>
      </w:pPr>
      <w:r>
        <w:rPr>
          <w:rFonts w:ascii="宋体" w:hAnsi="宋体" w:eastAsia="宋体" w:cs="宋体"/>
          <w:spacing w:val="-3"/>
          <w:sz w:val="24"/>
          <w:szCs w:val="24"/>
        </w:rPr>
        <w:t>量控制的基础工作之一，也是区域环境管理逐步实现污染</w:t>
      </w:r>
      <w:r>
        <w:rPr>
          <w:rFonts w:ascii="宋体" w:hAnsi="宋体" w:eastAsia="宋体" w:cs="宋体"/>
          <w:spacing w:val="-4"/>
          <w:sz w:val="24"/>
          <w:szCs w:val="24"/>
        </w:rPr>
        <w:t>物排放科学化、定量化</w:t>
      </w:r>
      <w:r>
        <w:rPr>
          <w:rFonts w:ascii="宋体" w:hAnsi="宋体" w:eastAsia="宋体" w:cs="宋体"/>
          <w:spacing w:val="-9"/>
          <w:sz w:val="24"/>
          <w:szCs w:val="24"/>
        </w:rPr>
        <w:t>的重要手段。</w:t>
      </w:r>
    </w:p>
    <w:p w14:paraId="7E0BE905">
      <w:pPr>
        <w:spacing w:before="1" w:line="218"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）排污口规范化管理的基本原则</w:t>
      </w:r>
    </w:p>
    <w:p w14:paraId="022DE377">
      <w:pPr>
        <w:spacing w:before="184" w:line="217" w:lineRule="auto"/>
        <w:ind w:left="518"/>
        <w:rPr>
          <w:rFonts w:ascii="宋体" w:hAnsi="宋体" w:eastAsia="宋体" w:cs="宋体"/>
          <w:sz w:val="24"/>
          <w:szCs w:val="24"/>
        </w:rPr>
      </w:pPr>
      <w:r>
        <w:rPr>
          <w:rFonts w:ascii="宋体" w:hAnsi="宋体" w:eastAsia="宋体" w:cs="宋体"/>
          <w:spacing w:val="-3"/>
          <w:sz w:val="24"/>
          <w:szCs w:val="24"/>
        </w:rPr>
        <w:t>①向环境排放污染物的排污口必须规范化。</w:t>
      </w:r>
    </w:p>
    <w:p w14:paraId="232DA3A9">
      <w:pPr>
        <w:spacing w:before="185" w:line="217" w:lineRule="auto"/>
        <w:ind w:left="517"/>
        <w:rPr>
          <w:rFonts w:ascii="宋体" w:hAnsi="宋体" w:eastAsia="宋体" w:cs="宋体"/>
          <w:sz w:val="24"/>
          <w:szCs w:val="24"/>
        </w:rPr>
      </w:pPr>
      <w:r>
        <w:rPr>
          <w:rFonts w:ascii="宋体" w:hAnsi="宋体" w:eastAsia="宋体" w:cs="宋体"/>
          <w:spacing w:val="-2"/>
          <w:sz w:val="24"/>
          <w:szCs w:val="24"/>
        </w:rPr>
        <w:t>②排污口应便于采样与计量监测，便于日常现场监督检查。</w:t>
      </w:r>
    </w:p>
    <w:p w14:paraId="0FBCD970">
      <w:pPr>
        <w:spacing w:before="184"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）排污口的技术要求</w:t>
      </w:r>
    </w:p>
    <w:p w14:paraId="7F83A472">
      <w:pPr>
        <w:spacing w:before="182" w:line="359" w:lineRule="auto"/>
        <w:ind w:left="42" w:right="223" w:firstLine="476"/>
        <w:rPr>
          <w:rFonts w:ascii="宋体" w:hAnsi="宋体" w:eastAsia="宋体" w:cs="宋体"/>
          <w:sz w:val="24"/>
          <w:szCs w:val="24"/>
        </w:rPr>
      </w:pPr>
      <w:r>
        <w:rPr>
          <w:rFonts w:ascii="宋体" w:hAnsi="宋体" w:eastAsia="宋体" w:cs="宋体"/>
          <w:spacing w:val="2"/>
          <w:sz w:val="24"/>
          <w:szCs w:val="24"/>
        </w:rPr>
        <w:t>①排污口的位置必须合理确定，按环监</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fldChar w:fldCharType="begin"/>
      </w:r>
      <w:r>
        <w:instrText xml:space="preserve"> HYPERLINK \l "bookmark193" </w:instrText>
      </w:r>
      <w:r>
        <w:fldChar w:fldCharType="separate"/>
      </w:r>
      <w:r>
        <w:rPr>
          <w:rFonts w:ascii="Times New Roman" w:hAnsi="Times New Roman" w:eastAsia="Times New Roman" w:cs="Times New Roman"/>
          <w:spacing w:val="2"/>
          <w:sz w:val="24"/>
          <w:szCs w:val="24"/>
        </w:rPr>
        <w:t>1996</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]470</w:t>
      </w:r>
      <w:r>
        <w:rPr>
          <w:rFonts w:ascii="宋体" w:hAnsi="宋体" w:eastAsia="宋体" w:cs="宋体"/>
          <w:spacing w:val="2"/>
          <w:sz w:val="24"/>
          <w:szCs w:val="24"/>
        </w:rPr>
        <w:t>号文件要求</w:t>
      </w:r>
      <w:r>
        <w:rPr>
          <w:rFonts w:ascii="宋体" w:hAnsi="宋体" w:eastAsia="宋体" w:cs="宋体"/>
          <w:spacing w:val="1"/>
          <w:sz w:val="24"/>
          <w:szCs w:val="24"/>
        </w:rPr>
        <w:t>进行规范化管</w:t>
      </w:r>
      <w:r>
        <w:rPr>
          <w:rFonts w:ascii="宋体" w:hAnsi="宋体" w:eastAsia="宋体" w:cs="宋体"/>
          <w:spacing w:val="-12"/>
          <w:sz w:val="24"/>
          <w:szCs w:val="24"/>
        </w:rPr>
        <w:t>理。</w:t>
      </w:r>
    </w:p>
    <w:p w14:paraId="21483036">
      <w:pPr>
        <w:spacing w:before="3" w:line="360" w:lineRule="auto"/>
        <w:ind w:left="45" w:right="222" w:firstLine="471"/>
        <w:rPr>
          <w:rFonts w:ascii="宋体" w:hAnsi="宋体" w:eastAsia="宋体" w:cs="宋体"/>
          <w:sz w:val="24"/>
          <w:szCs w:val="24"/>
        </w:rPr>
      </w:pPr>
      <w:r>
        <w:rPr>
          <w:rFonts w:ascii="宋体" w:hAnsi="宋体" w:eastAsia="宋体" w:cs="宋体"/>
          <w:spacing w:val="-6"/>
          <w:sz w:val="24"/>
          <w:szCs w:val="24"/>
        </w:rPr>
        <w:t>②排放污染物的采样点设置应按《污染源监测技术规范》要求，</w:t>
      </w:r>
      <w:r>
        <w:rPr>
          <w:rFonts w:ascii="宋体" w:hAnsi="宋体" w:eastAsia="宋体" w:cs="宋体"/>
          <w:spacing w:val="-25"/>
          <w:sz w:val="24"/>
          <w:szCs w:val="24"/>
        </w:rPr>
        <w:t xml:space="preserve"> </w:t>
      </w:r>
      <w:r>
        <w:rPr>
          <w:rFonts w:ascii="宋体" w:hAnsi="宋体" w:eastAsia="宋体" w:cs="宋体"/>
          <w:spacing w:val="-6"/>
          <w:sz w:val="24"/>
          <w:szCs w:val="24"/>
        </w:rPr>
        <w:t>设置在厂区</w:t>
      </w:r>
      <w:r>
        <w:rPr>
          <w:rFonts w:ascii="宋体" w:hAnsi="宋体" w:eastAsia="宋体" w:cs="宋体"/>
          <w:spacing w:val="-8"/>
          <w:sz w:val="24"/>
          <w:szCs w:val="24"/>
        </w:rPr>
        <w:t>总排口等处。</w:t>
      </w:r>
    </w:p>
    <w:p w14:paraId="117373AA">
      <w:pPr>
        <w:spacing w:line="219"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）排污口立标管理</w:t>
      </w:r>
    </w:p>
    <w:p w14:paraId="0E4D188D">
      <w:pPr>
        <w:spacing w:before="184" w:line="217" w:lineRule="auto"/>
        <w:ind w:left="518"/>
        <w:rPr>
          <w:rFonts w:ascii="宋体" w:hAnsi="宋体" w:eastAsia="宋体" w:cs="宋体"/>
          <w:sz w:val="24"/>
          <w:szCs w:val="24"/>
        </w:rPr>
      </w:pPr>
      <w:r>
        <w:rPr>
          <w:rFonts w:ascii="宋体" w:hAnsi="宋体" w:eastAsia="宋体" w:cs="宋体"/>
          <w:spacing w:val="-1"/>
          <w:sz w:val="24"/>
          <w:szCs w:val="24"/>
        </w:rPr>
        <w:t>①废气排放口和噪声排放源图形标志</w:t>
      </w:r>
    </w:p>
    <w:p w14:paraId="5DDE2139">
      <w:pPr>
        <w:spacing w:before="185" w:line="360" w:lineRule="auto"/>
        <w:ind w:left="39" w:right="117" w:firstLine="479"/>
        <w:jc w:val="both"/>
        <w:rPr>
          <w:rFonts w:ascii="宋体" w:hAnsi="宋体" w:eastAsia="宋体" w:cs="宋体"/>
          <w:sz w:val="24"/>
          <w:szCs w:val="24"/>
        </w:rPr>
      </w:pPr>
      <w:r>
        <w:rPr>
          <w:rFonts w:ascii="宋体" w:hAnsi="宋体" w:eastAsia="宋体" w:cs="宋体"/>
          <w:spacing w:val="4"/>
          <w:sz w:val="24"/>
          <w:szCs w:val="24"/>
        </w:rPr>
        <w:t>废气排放口和噪声排放源图形符号分别为提示图形符号和警告图形符号两</w:t>
      </w:r>
      <w:r>
        <w:rPr>
          <w:rFonts w:ascii="宋体" w:hAnsi="宋体" w:eastAsia="宋体" w:cs="宋体"/>
          <w:sz w:val="24"/>
          <w:szCs w:val="24"/>
        </w:rPr>
        <w:t>种，图形符号的设置按《环境保护图形标志排放口（源）》（</w:t>
      </w:r>
      <w:r>
        <w:rPr>
          <w:rFonts w:ascii="Times New Roman" w:hAnsi="Times New Roman" w:eastAsia="Times New Roman" w:cs="Times New Roman"/>
          <w:sz w:val="24"/>
          <w:szCs w:val="24"/>
        </w:rPr>
        <w:t>GB15562.1-1995</w:t>
      </w:r>
      <w:r>
        <w:rPr>
          <w:rFonts w:ascii="宋体" w:hAnsi="宋体" w:eastAsia="宋体" w:cs="宋体"/>
          <w:sz w:val="24"/>
          <w:szCs w:val="24"/>
        </w:rPr>
        <w:t>）</w:t>
      </w:r>
      <w:r>
        <w:rPr>
          <w:rFonts w:ascii="宋体" w:hAnsi="宋体" w:eastAsia="宋体" w:cs="宋体"/>
          <w:spacing w:val="-10"/>
          <w:sz w:val="24"/>
          <w:szCs w:val="24"/>
        </w:rPr>
        <w:t>执行。</w:t>
      </w:r>
    </w:p>
    <w:p w14:paraId="3DE77F76">
      <w:pPr>
        <w:spacing w:line="217" w:lineRule="auto"/>
        <w:ind w:left="517"/>
        <w:rPr>
          <w:rFonts w:ascii="宋体" w:hAnsi="宋体" w:eastAsia="宋体" w:cs="宋体"/>
          <w:sz w:val="24"/>
          <w:szCs w:val="24"/>
        </w:rPr>
      </w:pPr>
      <w:r>
        <w:rPr>
          <w:rFonts w:ascii="宋体" w:hAnsi="宋体" w:eastAsia="宋体" w:cs="宋体"/>
          <w:spacing w:val="-1"/>
          <w:sz w:val="24"/>
          <w:szCs w:val="24"/>
        </w:rPr>
        <w:t>②固体废物贮存（处置）场图形标志</w:t>
      </w:r>
    </w:p>
    <w:p w14:paraId="6FB35FEC">
      <w:pPr>
        <w:spacing w:before="186" w:line="360" w:lineRule="auto"/>
        <w:ind w:left="39" w:firstLine="500"/>
        <w:rPr>
          <w:rFonts w:ascii="宋体" w:hAnsi="宋体" w:eastAsia="宋体" w:cs="宋体"/>
          <w:sz w:val="24"/>
          <w:szCs w:val="24"/>
        </w:rPr>
      </w:pPr>
      <w:r>
        <w:rPr>
          <w:rFonts w:ascii="宋体" w:hAnsi="宋体" w:eastAsia="宋体" w:cs="宋体"/>
          <w:spacing w:val="-9"/>
          <w:sz w:val="24"/>
          <w:szCs w:val="24"/>
        </w:rPr>
        <w:t>固体废物贮存（处置）场图形符号分别为提示图形符号和警告图形符号两种，</w:t>
      </w:r>
      <w:r>
        <w:rPr>
          <w:rFonts w:ascii="宋体" w:hAnsi="宋体" w:eastAsia="宋体" w:cs="宋体"/>
          <w:spacing w:val="-13"/>
          <w:sz w:val="24"/>
          <w:szCs w:val="24"/>
        </w:rPr>
        <w:t>图形符号的设置按《环境保护图形标志固体废物贮存（处置）场》（</w:t>
      </w:r>
      <w:r>
        <w:rPr>
          <w:rFonts w:ascii="Times New Roman" w:hAnsi="Times New Roman" w:eastAsia="Times New Roman" w:cs="Times New Roman"/>
          <w:spacing w:val="-13"/>
          <w:sz w:val="24"/>
          <w:szCs w:val="24"/>
        </w:rPr>
        <w:t>GB155</w:t>
      </w:r>
      <w:r>
        <w:rPr>
          <w:rFonts w:ascii="Times New Roman" w:hAnsi="Times New Roman" w:eastAsia="Times New Roman" w:cs="Times New Roman"/>
          <w:spacing w:val="-14"/>
          <w:sz w:val="24"/>
          <w:szCs w:val="24"/>
        </w:rPr>
        <w:t>62.2-1995</w:t>
      </w:r>
      <w:r>
        <w:rPr>
          <w:rFonts w:ascii="宋体" w:hAnsi="宋体" w:eastAsia="宋体" w:cs="宋体"/>
          <w:spacing w:val="-14"/>
          <w:sz w:val="24"/>
          <w:szCs w:val="24"/>
        </w:rPr>
        <w:t>）</w:t>
      </w:r>
      <w:r>
        <w:rPr>
          <w:rFonts w:ascii="宋体" w:hAnsi="宋体" w:eastAsia="宋体" w:cs="宋体"/>
          <w:spacing w:val="-10"/>
          <w:sz w:val="24"/>
          <w:szCs w:val="24"/>
        </w:rPr>
        <w:t>执行。</w:t>
      </w:r>
    </w:p>
    <w:p w14:paraId="2AE6F254">
      <w:pPr>
        <w:spacing w:line="360" w:lineRule="auto"/>
        <w:ind w:left="40" w:right="222" w:firstLine="502"/>
        <w:jc w:val="both"/>
        <w:rPr>
          <w:rFonts w:ascii="宋体" w:hAnsi="宋体" w:eastAsia="宋体" w:cs="宋体"/>
          <w:sz w:val="24"/>
          <w:szCs w:val="24"/>
        </w:rPr>
      </w:pPr>
      <w:r>
        <w:rPr>
          <w:rFonts w:ascii="宋体" w:hAnsi="宋体" w:eastAsia="宋体" w:cs="宋体"/>
          <w:spacing w:val="-12"/>
          <w:sz w:val="24"/>
          <w:szCs w:val="24"/>
        </w:rPr>
        <w:t>同时，应按照《排污单位污染物排放口二维码标识技术规范》（</w:t>
      </w:r>
      <w:r>
        <w:rPr>
          <w:rFonts w:ascii="Times New Roman" w:hAnsi="Times New Roman" w:eastAsia="Times New Roman" w:cs="Times New Roman"/>
          <w:spacing w:val="-12"/>
          <w:sz w:val="24"/>
          <w:szCs w:val="24"/>
        </w:rPr>
        <w:t>HJ1297-2023</w:t>
      </w:r>
      <w:r>
        <w:rPr>
          <w:rFonts w:ascii="宋体" w:hAnsi="宋体" w:eastAsia="宋体" w:cs="宋体"/>
          <w:spacing w:val="-12"/>
          <w:sz w:val="24"/>
          <w:szCs w:val="24"/>
        </w:rPr>
        <w:t>）</w:t>
      </w:r>
      <w:r>
        <w:rPr>
          <w:rFonts w:ascii="宋体" w:hAnsi="宋体" w:eastAsia="宋体" w:cs="宋体"/>
          <w:spacing w:val="-3"/>
          <w:sz w:val="24"/>
          <w:szCs w:val="24"/>
        </w:rPr>
        <w:t>要求设置污染物排放口二维码，以二维码为载体对污染物排放口管理对象进行唯</w:t>
      </w:r>
      <w:r>
        <w:rPr>
          <w:rFonts w:ascii="宋体" w:hAnsi="宋体" w:eastAsia="宋体" w:cs="宋体"/>
          <w:spacing w:val="-2"/>
          <w:sz w:val="24"/>
          <w:szCs w:val="24"/>
        </w:rPr>
        <w:t>一标识，用于承载排污单位污染物排放口代码、信息服务地址等信息。</w:t>
      </w:r>
    </w:p>
    <w:p w14:paraId="4818EDF7">
      <w:pPr>
        <w:spacing w:before="1" w:line="219" w:lineRule="auto"/>
        <w:ind w:left="523"/>
        <w:rPr>
          <w:rFonts w:ascii="宋体" w:hAnsi="宋体" w:eastAsia="宋体" w:cs="宋体"/>
          <w:sz w:val="24"/>
          <w:szCs w:val="24"/>
        </w:rPr>
      </w:pPr>
      <w:r>
        <w:rPr>
          <w:rFonts w:ascii="宋体" w:hAnsi="宋体" w:eastAsia="宋体" w:cs="宋体"/>
          <w:spacing w:val="-1"/>
          <w:sz w:val="24"/>
          <w:szCs w:val="24"/>
        </w:rPr>
        <w:t>项目涉及的污染物排放或暂存场所标示牌见表</w:t>
      </w:r>
      <w:r>
        <w:rPr>
          <w:rFonts w:ascii="Times New Roman" w:hAnsi="Times New Roman" w:eastAsia="Times New Roman" w:cs="Times New Roman"/>
          <w:spacing w:val="-1"/>
          <w:sz w:val="24"/>
          <w:szCs w:val="24"/>
        </w:rPr>
        <w:t>7.4-1</w:t>
      </w:r>
      <w:r>
        <w:rPr>
          <w:rFonts w:ascii="宋体" w:hAnsi="宋体" w:eastAsia="宋体" w:cs="宋体"/>
          <w:spacing w:val="-1"/>
          <w:sz w:val="24"/>
          <w:szCs w:val="24"/>
        </w:rPr>
        <w:t>。</w:t>
      </w:r>
    </w:p>
    <w:p w14:paraId="0C9CD701">
      <w:pPr>
        <w:spacing w:before="182" w:line="220" w:lineRule="auto"/>
        <w:ind w:left="528"/>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4</w:t>
      </w:r>
      <w:r>
        <w:rPr>
          <w:rFonts w:ascii="宋体" w:hAnsi="宋体" w:eastAsia="宋体" w:cs="宋体"/>
          <w:b/>
          <w:bCs/>
          <w:spacing w:val="-4"/>
          <w:sz w:val="24"/>
          <w:szCs w:val="24"/>
        </w:rPr>
        <w:t>）排污口规范化管理</w:t>
      </w:r>
    </w:p>
    <w:p w14:paraId="33DAD9BA">
      <w:pPr>
        <w:spacing w:before="182" w:line="360" w:lineRule="auto"/>
        <w:ind w:left="41" w:right="112" w:firstLine="480"/>
        <w:jc w:val="both"/>
        <w:rPr>
          <w:rFonts w:ascii="宋体" w:hAnsi="宋体" w:eastAsia="宋体" w:cs="宋体"/>
          <w:sz w:val="24"/>
          <w:szCs w:val="24"/>
        </w:rPr>
      </w:pPr>
      <w:r>
        <w:rPr>
          <w:rFonts w:ascii="宋体" w:hAnsi="宋体" w:eastAsia="宋体" w:cs="宋体"/>
          <w:spacing w:val="-3"/>
          <w:sz w:val="24"/>
          <w:szCs w:val="24"/>
        </w:rPr>
        <w:t>建设单位应在各排污口处设立较明显的排污口标志牌，其</w:t>
      </w:r>
      <w:r>
        <w:rPr>
          <w:rFonts w:ascii="宋体" w:hAnsi="宋体" w:eastAsia="宋体" w:cs="宋体"/>
          <w:spacing w:val="-4"/>
          <w:sz w:val="24"/>
          <w:szCs w:val="24"/>
        </w:rPr>
        <w:t>上应注明主要排放</w:t>
      </w:r>
      <w:r>
        <w:rPr>
          <w:rFonts w:ascii="宋体" w:hAnsi="宋体" w:eastAsia="宋体" w:cs="宋体"/>
          <w:spacing w:val="-7"/>
          <w:sz w:val="24"/>
          <w:szCs w:val="24"/>
        </w:rPr>
        <w:t>污染物的名称。建设单位应如实填写《中华人民共和国规范化排污口标志登记证》</w:t>
      </w:r>
      <w:r>
        <w:rPr>
          <w:rFonts w:ascii="宋体" w:hAnsi="宋体" w:eastAsia="宋体" w:cs="宋体"/>
          <w:spacing w:val="-3"/>
          <w:sz w:val="24"/>
          <w:szCs w:val="24"/>
        </w:rPr>
        <w:t>的有关内容，由生态环境主管部门签发登记证。</w:t>
      </w:r>
    </w:p>
    <w:p w14:paraId="413D87AB">
      <w:pPr>
        <w:spacing w:line="362" w:lineRule="auto"/>
        <w:ind w:left="41" w:right="157" w:firstLine="480"/>
        <w:rPr>
          <w:rFonts w:ascii="宋体" w:hAnsi="宋体" w:eastAsia="宋体" w:cs="宋体"/>
          <w:sz w:val="24"/>
          <w:szCs w:val="24"/>
        </w:rPr>
      </w:pPr>
      <w:r>
        <w:rPr>
          <w:rFonts w:ascii="宋体" w:hAnsi="宋体" w:eastAsia="宋体" w:cs="宋体"/>
          <w:spacing w:val="-1"/>
          <w:sz w:val="24"/>
          <w:szCs w:val="24"/>
        </w:rPr>
        <w:t>建设单位应将有关排污口的情况如：排污口的性质、编</w:t>
      </w:r>
      <w:r>
        <w:rPr>
          <w:rFonts w:ascii="宋体" w:hAnsi="宋体" w:eastAsia="宋体" w:cs="宋体"/>
          <w:spacing w:val="-2"/>
          <w:sz w:val="24"/>
          <w:szCs w:val="24"/>
        </w:rPr>
        <w:t>号、排污口的位置；</w:t>
      </w:r>
      <w:r>
        <w:rPr>
          <w:rFonts w:ascii="宋体" w:hAnsi="宋体" w:eastAsia="宋体" w:cs="宋体"/>
          <w:spacing w:val="-6"/>
          <w:sz w:val="24"/>
          <w:szCs w:val="24"/>
        </w:rPr>
        <w:t>主要排放的污染物种类、数量、浓度、排放规律、排放去</w:t>
      </w:r>
      <w:r>
        <w:rPr>
          <w:rFonts w:ascii="宋体" w:hAnsi="宋体" w:eastAsia="宋体" w:cs="宋体"/>
          <w:spacing w:val="-7"/>
          <w:sz w:val="24"/>
          <w:szCs w:val="24"/>
        </w:rPr>
        <w:t>向； 污染治理设施的运</w:t>
      </w:r>
    </w:p>
    <w:p w14:paraId="19AA0A04">
      <w:pPr>
        <w:spacing w:line="362" w:lineRule="auto"/>
        <w:rPr>
          <w:rFonts w:ascii="宋体" w:hAnsi="宋体" w:eastAsia="宋体" w:cs="宋体"/>
          <w:sz w:val="24"/>
          <w:szCs w:val="24"/>
        </w:rPr>
        <w:sectPr>
          <w:headerReference r:id="rId506" w:type="default"/>
          <w:footerReference r:id="rId507" w:type="default"/>
          <w:pgSz w:w="11905" w:h="16840"/>
          <w:pgMar w:top="1168" w:right="1575" w:bottom="1409" w:left="1770" w:header="828" w:footer="1244" w:gutter="0"/>
          <w:cols w:space="720" w:num="1"/>
        </w:sectPr>
      </w:pPr>
    </w:p>
    <w:p w14:paraId="2EF08ED1">
      <w:pPr>
        <w:pStyle w:val="2"/>
        <w:spacing w:line="305" w:lineRule="auto"/>
      </w:pPr>
    </w:p>
    <w:p w14:paraId="436D829E">
      <w:pPr>
        <w:spacing w:before="78" w:line="220" w:lineRule="auto"/>
        <w:ind w:left="43"/>
        <w:rPr>
          <w:rFonts w:ascii="宋体" w:hAnsi="宋体" w:eastAsia="宋体" w:cs="宋体"/>
          <w:sz w:val="24"/>
          <w:szCs w:val="24"/>
        </w:rPr>
      </w:pPr>
      <w:r>
        <w:rPr>
          <w:rFonts w:ascii="宋体" w:hAnsi="宋体" w:eastAsia="宋体" w:cs="宋体"/>
          <w:spacing w:val="-2"/>
          <w:sz w:val="24"/>
          <w:szCs w:val="24"/>
        </w:rPr>
        <w:t>行情况等进行建档管理，并报送生态环境主管部门备案。</w:t>
      </w:r>
    </w:p>
    <w:p w14:paraId="5E35B088">
      <w:pPr>
        <w:spacing w:before="195" w:line="222" w:lineRule="auto"/>
        <w:ind w:left="221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2"/>
          <w:sz w:val="21"/>
          <w:szCs w:val="21"/>
        </w:rPr>
        <w:t xml:space="preserve"> </w:t>
      </w:r>
      <w:r>
        <w:rPr>
          <w:rFonts w:ascii="Times New Roman" w:hAnsi="Times New Roman" w:eastAsia="Times New Roman" w:cs="Times New Roman"/>
          <w:spacing w:val="-1"/>
          <w:sz w:val="21"/>
          <w:szCs w:val="21"/>
        </w:rPr>
        <w:t xml:space="preserve">7.4-1  </w:t>
      </w:r>
      <w:r>
        <w:rPr>
          <w:rFonts w:ascii="黑体" w:hAnsi="黑体" w:eastAsia="黑体" w:cs="黑体"/>
          <w:spacing w:val="-1"/>
          <w:sz w:val="21"/>
          <w:szCs w:val="21"/>
        </w:rPr>
        <w:t>污染物排放或暂存场所标识一览表</w:t>
      </w:r>
    </w:p>
    <w:p w14:paraId="3301F3AB">
      <w:pPr>
        <w:spacing w:line="87"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841"/>
        <w:gridCol w:w="1698"/>
        <w:gridCol w:w="1698"/>
        <w:gridCol w:w="2358"/>
      </w:tblGrid>
      <w:tr w14:paraId="006EB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717" w:type="dxa"/>
            <w:vAlign w:val="top"/>
          </w:tcPr>
          <w:p w14:paraId="1812311E">
            <w:pPr>
              <w:spacing w:before="64" w:line="221" w:lineRule="auto"/>
              <w:ind w:left="152"/>
              <w:rPr>
                <w:rFonts w:ascii="宋体" w:hAnsi="宋体" w:eastAsia="宋体" w:cs="宋体"/>
                <w:sz w:val="21"/>
                <w:szCs w:val="21"/>
              </w:rPr>
            </w:pPr>
            <w:r>
              <w:rPr>
                <w:rFonts w:ascii="宋体" w:hAnsi="宋体" w:eastAsia="宋体" w:cs="宋体"/>
                <w:spacing w:val="-2"/>
                <w:sz w:val="21"/>
                <w:szCs w:val="21"/>
              </w:rPr>
              <w:t>序号</w:t>
            </w:r>
          </w:p>
        </w:tc>
        <w:tc>
          <w:tcPr>
            <w:tcW w:w="1841" w:type="dxa"/>
            <w:vAlign w:val="top"/>
          </w:tcPr>
          <w:p w14:paraId="2357FD6A">
            <w:pPr>
              <w:spacing w:before="64" w:line="220" w:lineRule="auto"/>
              <w:ind w:left="502"/>
              <w:rPr>
                <w:rFonts w:ascii="宋体" w:hAnsi="宋体" w:eastAsia="宋体" w:cs="宋体"/>
                <w:sz w:val="21"/>
                <w:szCs w:val="21"/>
              </w:rPr>
            </w:pPr>
            <w:r>
              <w:rPr>
                <w:rFonts w:ascii="宋体" w:hAnsi="宋体" w:eastAsia="宋体" w:cs="宋体"/>
                <w:spacing w:val="-2"/>
                <w:sz w:val="21"/>
                <w:szCs w:val="21"/>
              </w:rPr>
              <w:t>标志名称</w:t>
            </w:r>
          </w:p>
        </w:tc>
        <w:tc>
          <w:tcPr>
            <w:tcW w:w="1698" w:type="dxa"/>
            <w:vAlign w:val="top"/>
          </w:tcPr>
          <w:p w14:paraId="597E7C22">
            <w:pPr>
              <w:spacing w:before="63" w:line="220" w:lineRule="auto"/>
              <w:ind w:left="222"/>
              <w:rPr>
                <w:rFonts w:ascii="宋体" w:hAnsi="宋体" w:eastAsia="宋体" w:cs="宋体"/>
                <w:sz w:val="21"/>
                <w:szCs w:val="21"/>
              </w:rPr>
            </w:pPr>
            <w:r>
              <w:rPr>
                <w:rFonts w:ascii="宋体" w:hAnsi="宋体" w:eastAsia="宋体" w:cs="宋体"/>
                <w:spacing w:val="-2"/>
                <w:sz w:val="21"/>
                <w:szCs w:val="21"/>
              </w:rPr>
              <w:t>提示图形符号</w:t>
            </w:r>
          </w:p>
        </w:tc>
        <w:tc>
          <w:tcPr>
            <w:tcW w:w="1698" w:type="dxa"/>
            <w:vAlign w:val="top"/>
          </w:tcPr>
          <w:p w14:paraId="416B252A">
            <w:pPr>
              <w:spacing w:before="64" w:line="218" w:lineRule="auto"/>
              <w:ind w:left="226"/>
              <w:rPr>
                <w:rFonts w:ascii="宋体" w:hAnsi="宋体" w:eastAsia="宋体" w:cs="宋体"/>
                <w:sz w:val="21"/>
                <w:szCs w:val="21"/>
              </w:rPr>
            </w:pPr>
            <w:r>
              <w:rPr>
                <w:rFonts w:ascii="宋体" w:hAnsi="宋体" w:eastAsia="宋体" w:cs="宋体"/>
                <w:spacing w:val="-2"/>
                <w:sz w:val="21"/>
                <w:szCs w:val="21"/>
              </w:rPr>
              <w:t>警告图形符号</w:t>
            </w:r>
          </w:p>
        </w:tc>
        <w:tc>
          <w:tcPr>
            <w:tcW w:w="2358" w:type="dxa"/>
            <w:vAlign w:val="top"/>
          </w:tcPr>
          <w:p w14:paraId="6231D485">
            <w:pPr>
              <w:spacing w:before="63" w:line="220" w:lineRule="auto"/>
              <w:ind w:left="766"/>
              <w:rPr>
                <w:rFonts w:ascii="宋体" w:hAnsi="宋体" w:eastAsia="宋体" w:cs="宋体"/>
                <w:sz w:val="21"/>
                <w:szCs w:val="21"/>
              </w:rPr>
            </w:pPr>
            <w:r>
              <w:rPr>
                <w:rFonts w:ascii="宋体" w:hAnsi="宋体" w:eastAsia="宋体" w:cs="宋体"/>
                <w:spacing w:val="-3"/>
                <w:sz w:val="21"/>
                <w:szCs w:val="21"/>
              </w:rPr>
              <w:t>功能说明</w:t>
            </w:r>
          </w:p>
        </w:tc>
      </w:tr>
      <w:tr w14:paraId="39C20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717" w:type="dxa"/>
            <w:vAlign w:val="top"/>
          </w:tcPr>
          <w:p w14:paraId="6489D19B">
            <w:pPr>
              <w:spacing w:line="322" w:lineRule="auto"/>
              <w:rPr>
                <w:rFonts w:ascii="Arial"/>
                <w:sz w:val="21"/>
              </w:rPr>
            </w:pPr>
          </w:p>
          <w:p w14:paraId="04D18FF7">
            <w:pPr>
              <w:spacing w:line="323" w:lineRule="auto"/>
              <w:rPr>
                <w:rFonts w:ascii="Arial"/>
                <w:sz w:val="21"/>
              </w:rPr>
            </w:pPr>
          </w:p>
          <w:p w14:paraId="6A0C4E49">
            <w:pPr>
              <w:pStyle w:val="6"/>
              <w:spacing w:before="61" w:line="188" w:lineRule="auto"/>
              <w:ind w:left="326"/>
            </w:pPr>
            <w:r>
              <w:t>1</w:t>
            </w:r>
          </w:p>
        </w:tc>
        <w:tc>
          <w:tcPr>
            <w:tcW w:w="1841" w:type="dxa"/>
            <w:vAlign w:val="top"/>
          </w:tcPr>
          <w:p w14:paraId="04A4DCCB">
            <w:pPr>
              <w:spacing w:line="300" w:lineRule="auto"/>
              <w:rPr>
                <w:rFonts w:ascii="Arial"/>
                <w:sz w:val="21"/>
              </w:rPr>
            </w:pPr>
          </w:p>
          <w:p w14:paraId="1F879681">
            <w:pPr>
              <w:spacing w:line="301" w:lineRule="auto"/>
              <w:rPr>
                <w:rFonts w:ascii="Arial"/>
                <w:sz w:val="21"/>
              </w:rPr>
            </w:pPr>
          </w:p>
          <w:p w14:paraId="03F5B57A">
            <w:pPr>
              <w:spacing w:before="68" w:line="220" w:lineRule="auto"/>
              <w:ind w:left="396"/>
              <w:rPr>
                <w:rFonts w:ascii="宋体" w:hAnsi="宋体" w:eastAsia="宋体" w:cs="宋体"/>
                <w:sz w:val="21"/>
                <w:szCs w:val="21"/>
              </w:rPr>
            </w:pPr>
            <w:r>
              <w:rPr>
                <w:rFonts w:ascii="宋体" w:hAnsi="宋体" w:eastAsia="宋体" w:cs="宋体"/>
                <w:spacing w:val="-2"/>
                <w:sz w:val="21"/>
                <w:szCs w:val="21"/>
              </w:rPr>
              <w:t>废气排放口</w:t>
            </w:r>
          </w:p>
        </w:tc>
        <w:tc>
          <w:tcPr>
            <w:tcW w:w="1698" w:type="dxa"/>
            <w:vAlign w:val="top"/>
          </w:tcPr>
          <w:p w14:paraId="3A154187">
            <w:pPr>
              <w:spacing w:before="48" w:line="1449" w:lineRule="exact"/>
              <w:ind w:firstLine="114"/>
            </w:pPr>
            <w:r>
              <w:rPr>
                <w:position w:val="-28"/>
              </w:rPr>
              <w:drawing>
                <wp:inline distT="0" distB="0" distL="0" distR="0">
                  <wp:extent cx="915035" cy="91948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590"/>
                          <a:stretch>
                            <a:fillRect/>
                          </a:stretch>
                        </pic:blipFill>
                        <pic:spPr>
                          <a:xfrm>
                            <a:off x="0" y="0"/>
                            <a:ext cx="915161" cy="919733"/>
                          </a:xfrm>
                          <a:prstGeom prst="rect">
                            <a:avLst/>
                          </a:prstGeom>
                        </pic:spPr>
                      </pic:pic>
                    </a:graphicData>
                  </a:graphic>
                </wp:inline>
              </w:drawing>
            </w:r>
          </w:p>
        </w:tc>
        <w:tc>
          <w:tcPr>
            <w:tcW w:w="1698" w:type="dxa"/>
            <w:vAlign w:val="top"/>
          </w:tcPr>
          <w:p w14:paraId="5CA52065">
            <w:pPr>
              <w:spacing w:before="105" w:line="1344" w:lineRule="exact"/>
              <w:ind w:firstLine="89"/>
            </w:pPr>
            <w:r>
              <w:rPr>
                <w:position w:val="-26"/>
              </w:rPr>
              <w:drawing>
                <wp:inline distT="0" distB="0" distL="0" distR="0">
                  <wp:extent cx="960120" cy="85344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591"/>
                          <a:stretch>
                            <a:fillRect/>
                          </a:stretch>
                        </pic:blipFill>
                        <pic:spPr>
                          <a:xfrm>
                            <a:off x="0" y="0"/>
                            <a:ext cx="960120" cy="853440"/>
                          </a:xfrm>
                          <a:prstGeom prst="rect">
                            <a:avLst/>
                          </a:prstGeom>
                        </pic:spPr>
                      </pic:pic>
                    </a:graphicData>
                  </a:graphic>
                </wp:inline>
              </w:drawing>
            </w:r>
          </w:p>
        </w:tc>
        <w:tc>
          <w:tcPr>
            <w:tcW w:w="2358" w:type="dxa"/>
            <w:vAlign w:val="top"/>
          </w:tcPr>
          <w:p w14:paraId="56982974">
            <w:pPr>
              <w:spacing w:line="300" w:lineRule="auto"/>
              <w:rPr>
                <w:rFonts w:ascii="Arial"/>
                <w:sz w:val="21"/>
              </w:rPr>
            </w:pPr>
          </w:p>
          <w:p w14:paraId="57EE19D1">
            <w:pPr>
              <w:spacing w:line="301" w:lineRule="auto"/>
              <w:rPr>
                <w:rFonts w:ascii="Arial"/>
                <w:sz w:val="21"/>
              </w:rPr>
            </w:pPr>
          </w:p>
          <w:p w14:paraId="14ECC065">
            <w:pPr>
              <w:spacing w:before="68" w:line="220" w:lineRule="auto"/>
              <w:ind w:left="26"/>
              <w:rPr>
                <w:rFonts w:ascii="宋体" w:hAnsi="宋体" w:eastAsia="宋体" w:cs="宋体"/>
                <w:sz w:val="21"/>
                <w:szCs w:val="21"/>
              </w:rPr>
            </w:pPr>
            <w:r>
              <w:rPr>
                <w:rFonts w:ascii="宋体" w:hAnsi="宋体" w:eastAsia="宋体" w:cs="宋体"/>
                <w:spacing w:val="-1"/>
                <w:sz w:val="21"/>
                <w:szCs w:val="21"/>
              </w:rPr>
              <w:t>表示向大气环境排放废气</w:t>
            </w:r>
          </w:p>
        </w:tc>
      </w:tr>
      <w:tr w14:paraId="6C397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717" w:type="dxa"/>
            <w:vAlign w:val="top"/>
          </w:tcPr>
          <w:p w14:paraId="19AA5E35">
            <w:pPr>
              <w:spacing w:line="322" w:lineRule="auto"/>
              <w:rPr>
                <w:rFonts w:ascii="Arial"/>
                <w:sz w:val="21"/>
              </w:rPr>
            </w:pPr>
          </w:p>
          <w:p w14:paraId="0603E56D">
            <w:pPr>
              <w:spacing w:line="323" w:lineRule="auto"/>
              <w:rPr>
                <w:rFonts w:ascii="Arial"/>
                <w:sz w:val="21"/>
              </w:rPr>
            </w:pPr>
          </w:p>
          <w:p w14:paraId="3A8A772A">
            <w:pPr>
              <w:pStyle w:val="6"/>
              <w:spacing w:before="60" w:line="188" w:lineRule="auto"/>
              <w:ind w:left="306"/>
            </w:pPr>
            <w:r>
              <w:t>2</w:t>
            </w:r>
          </w:p>
        </w:tc>
        <w:tc>
          <w:tcPr>
            <w:tcW w:w="1841" w:type="dxa"/>
            <w:vAlign w:val="top"/>
          </w:tcPr>
          <w:p w14:paraId="63B18AC8">
            <w:pPr>
              <w:spacing w:line="300" w:lineRule="auto"/>
              <w:rPr>
                <w:rFonts w:ascii="Arial"/>
                <w:sz w:val="21"/>
              </w:rPr>
            </w:pPr>
          </w:p>
          <w:p w14:paraId="66DE17E5">
            <w:pPr>
              <w:spacing w:line="301" w:lineRule="auto"/>
              <w:rPr>
                <w:rFonts w:ascii="Arial"/>
                <w:sz w:val="21"/>
              </w:rPr>
            </w:pPr>
          </w:p>
          <w:p w14:paraId="76EEDC80">
            <w:pPr>
              <w:spacing w:before="68" w:line="220" w:lineRule="auto"/>
              <w:ind w:left="617"/>
              <w:rPr>
                <w:rFonts w:ascii="宋体" w:hAnsi="宋体" w:eastAsia="宋体" w:cs="宋体"/>
                <w:sz w:val="21"/>
                <w:szCs w:val="21"/>
              </w:rPr>
            </w:pPr>
            <w:r>
              <w:rPr>
                <w:rFonts w:ascii="宋体" w:hAnsi="宋体" w:eastAsia="宋体" w:cs="宋体"/>
                <w:spacing w:val="-5"/>
                <w:sz w:val="21"/>
                <w:szCs w:val="21"/>
              </w:rPr>
              <w:t>噪声源</w:t>
            </w:r>
          </w:p>
        </w:tc>
        <w:tc>
          <w:tcPr>
            <w:tcW w:w="1698" w:type="dxa"/>
            <w:vAlign w:val="top"/>
          </w:tcPr>
          <w:p w14:paraId="543FD59F">
            <w:pPr>
              <w:spacing w:before="35" w:line="1481" w:lineRule="exact"/>
              <w:ind w:firstLine="82"/>
            </w:pPr>
            <w:r>
              <w:rPr>
                <w:position w:val="-29"/>
              </w:rPr>
              <w:drawing>
                <wp:inline distT="0" distB="0" distL="0" distR="0">
                  <wp:extent cx="960120" cy="93980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592"/>
                          <a:stretch>
                            <a:fillRect/>
                          </a:stretch>
                        </pic:blipFill>
                        <pic:spPr>
                          <a:xfrm>
                            <a:off x="0" y="0"/>
                            <a:ext cx="960120" cy="940307"/>
                          </a:xfrm>
                          <a:prstGeom prst="rect">
                            <a:avLst/>
                          </a:prstGeom>
                        </pic:spPr>
                      </pic:pic>
                    </a:graphicData>
                  </a:graphic>
                </wp:inline>
              </w:drawing>
            </w:r>
          </w:p>
        </w:tc>
        <w:tc>
          <w:tcPr>
            <w:tcW w:w="1698" w:type="dxa"/>
            <w:vAlign w:val="top"/>
          </w:tcPr>
          <w:p w14:paraId="6DFDC409">
            <w:pPr>
              <w:spacing w:before="83" w:line="1393" w:lineRule="exact"/>
              <w:ind w:firstLine="89"/>
            </w:pPr>
            <w:r>
              <w:rPr>
                <w:position w:val="-27"/>
              </w:rPr>
              <w:drawing>
                <wp:inline distT="0" distB="0" distL="0" distR="0">
                  <wp:extent cx="960120" cy="884555"/>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593"/>
                          <a:stretch>
                            <a:fillRect/>
                          </a:stretch>
                        </pic:blipFill>
                        <pic:spPr>
                          <a:xfrm>
                            <a:off x="0" y="0"/>
                            <a:ext cx="960120" cy="884681"/>
                          </a:xfrm>
                          <a:prstGeom prst="rect">
                            <a:avLst/>
                          </a:prstGeom>
                        </pic:spPr>
                      </pic:pic>
                    </a:graphicData>
                  </a:graphic>
                </wp:inline>
              </w:drawing>
            </w:r>
          </w:p>
        </w:tc>
        <w:tc>
          <w:tcPr>
            <w:tcW w:w="2358" w:type="dxa"/>
            <w:vAlign w:val="top"/>
          </w:tcPr>
          <w:p w14:paraId="3CB80AF1">
            <w:pPr>
              <w:spacing w:line="300" w:lineRule="auto"/>
              <w:rPr>
                <w:rFonts w:ascii="Arial"/>
                <w:sz w:val="21"/>
              </w:rPr>
            </w:pPr>
          </w:p>
          <w:p w14:paraId="21B074BA">
            <w:pPr>
              <w:spacing w:line="301" w:lineRule="auto"/>
              <w:rPr>
                <w:rFonts w:ascii="Arial"/>
                <w:sz w:val="21"/>
              </w:rPr>
            </w:pPr>
          </w:p>
          <w:p w14:paraId="0762C991">
            <w:pPr>
              <w:spacing w:before="68" w:line="220" w:lineRule="auto"/>
              <w:ind w:left="236"/>
              <w:rPr>
                <w:rFonts w:ascii="宋体" w:hAnsi="宋体" w:eastAsia="宋体" w:cs="宋体"/>
                <w:sz w:val="21"/>
                <w:szCs w:val="21"/>
              </w:rPr>
            </w:pPr>
            <w:r>
              <w:rPr>
                <w:rFonts w:ascii="宋体" w:hAnsi="宋体" w:eastAsia="宋体" w:cs="宋体"/>
                <w:spacing w:val="-1"/>
                <w:sz w:val="21"/>
                <w:szCs w:val="21"/>
              </w:rPr>
              <w:t>表示向环境排放噪声</w:t>
            </w:r>
          </w:p>
        </w:tc>
      </w:tr>
      <w:tr w14:paraId="19DEA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717" w:type="dxa"/>
            <w:vAlign w:val="top"/>
          </w:tcPr>
          <w:p w14:paraId="6143215C">
            <w:pPr>
              <w:spacing w:line="323" w:lineRule="auto"/>
              <w:rPr>
                <w:rFonts w:ascii="Arial"/>
                <w:sz w:val="21"/>
              </w:rPr>
            </w:pPr>
          </w:p>
          <w:p w14:paraId="511D8E77">
            <w:pPr>
              <w:spacing w:line="324" w:lineRule="auto"/>
              <w:rPr>
                <w:rFonts w:ascii="Arial"/>
                <w:sz w:val="21"/>
              </w:rPr>
            </w:pPr>
          </w:p>
          <w:p w14:paraId="5A8834A1">
            <w:pPr>
              <w:pStyle w:val="6"/>
              <w:spacing w:before="60" w:line="188" w:lineRule="auto"/>
              <w:ind w:left="310"/>
            </w:pPr>
            <w:r>
              <w:t>3</w:t>
            </w:r>
          </w:p>
        </w:tc>
        <w:tc>
          <w:tcPr>
            <w:tcW w:w="1841" w:type="dxa"/>
            <w:vAlign w:val="top"/>
          </w:tcPr>
          <w:p w14:paraId="3131F9FA">
            <w:pPr>
              <w:spacing w:line="301" w:lineRule="auto"/>
              <w:rPr>
                <w:rFonts w:ascii="Arial"/>
                <w:sz w:val="21"/>
              </w:rPr>
            </w:pPr>
          </w:p>
          <w:p w14:paraId="2890F4B6">
            <w:pPr>
              <w:spacing w:line="302" w:lineRule="auto"/>
              <w:rPr>
                <w:rFonts w:ascii="Arial"/>
                <w:sz w:val="21"/>
              </w:rPr>
            </w:pPr>
          </w:p>
          <w:p w14:paraId="21B2E3C7">
            <w:pPr>
              <w:spacing w:before="68" w:line="220" w:lineRule="auto"/>
              <w:ind w:left="295"/>
              <w:rPr>
                <w:rFonts w:ascii="宋体" w:hAnsi="宋体" w:eastAsia="宋体" w:cs="宋体"/>
                <w:sz w:val="21"/>
                <w:szCs w:val="21"/>
              </w:rPr>
            </w:pPr>
            <w:r>
              <w:rPr>
                <w:rFonts w:ascii="宋体" w:hAnsi="宋体" w:eastAsia="宋体" w:cs="宋体"/>
                <w:spacing w:val="-2"/>
                <w:sz w:val="21"/>
                <w:szCs w:val="21"/>
              </w:rPr>
              <w:t>一般固体废物</w:t>
            </w:r>
          </w:p>
        </w:tc>
        <w:tc>
          <w:tcPr>
            <w:tcW w:w="1698" w:type="dxa"/>
            <w:vAlign w:val="top"/>
          </w:tcPr>
          <w:p w14:paraId="6D6E9166">
            <w:pPr>
              <w:spacing w:before="49" w:line="1448" w:lineRule="exact"/>
              <w:ind w:firstLine="138"/>
            </w:pPr>
            <w:r>
              <w:rPr>
                <w:position w:val="-28"/>
              </w:rPr>
              <w:drawing>
                <wp:inline distT="0" distB="0" distL="0" distR="0">
                  <wp:extent cx="894080" cy="91948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594"/>
                          <a:stretch>
                            <a:fillRect/>
                          </a:stretch>
                        </pic:blipFill>
                        <pic:spPr>
                          <a:xfrm>
                            <a:off x="0" y="0"/>
                            <a:ext cx="894588" cy="919734"/>
                          </a:xfrm>
                          <a:prstGeom prst="rect">
                            <a:avLst/>
                          </a:prstGeom>
                        </pic:spPr>
                      </pic:pic>
                    </a:graphicData>
                  </a:graphic>
                </wp:inline>
              </w:drawing>
            </w:r>
          </w:p>
        </w:tc>
        <w:tc>
          <w:tcPr>
            <w:tcW w:w="1698" w:type="dxa"/>
            <w:vAlign w:val="top"/>
          </w:tcPr>
          <w:p w14:paraId="202990EA">
            <w:pPr>
              <w:spacing w:before="160" w:line="1225" w:lineRule="exact"/>
              <w:ind w:firstLine="72"/>
            </w:pPr>
            <w:r>
              <w:rPr>
                <w:position w:val="-24"/>
              </w:rPr>
              <w:drawing>
                <wp:inline distT="0" distB="0" distL="0" distR="0">
                  <wp:extent cx="970280" cy="77787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595"/>
                          <a:stretch>
                            <a:fillRect/>
                          </a:stretch>
                        </pic:blipFill>
                        <pic:spPr>
                          <a:xfrm>
                            <a:off x="0" y="0"/>
                            <a:ext cx="970788" cy="778001"/>
                          </a:xfrm>
                          <a:prstGeom prst="rect">
                            <a:avLst/>
                          </a:prstGeom>
                        </pic:spPr>
                      </pic:pic>
                    </a:graphicData>
                  </a:graphic>
                </wp:inline>
              </w:drawing>
            </w:r>
          </w:p>
        </w:tc>
        <w:tc>
          <w:tcPr>
            <w:tcW w:w="2358" w:type="dxa"/>
            <w:vAlign w:val="top"/>
          </w:tcPr>
          <w:p w14:paraId="77A12CA9">
            <w:pPr>
              <w:spacing w:line="447" w:lineRule="auto"/>
              <w:rPr>
                <w:rFonts w:ascii="Arial"/>
                <w:sz w:val="21"/>
              </w:rPr>
            </w:pPr>
          </w:p>
          <w:p w14:paraId="6952B130">
            <w:pPr>
              <w:spacing w:before="68" w:line="220" w:lineRule="auto"/>
              <w:ind w:left="26"/>
              <w:rPr>
                <w:rFonts w:ascii="宋体" w:hAnsi="宋体" w:eastAsia="宋体" w:cs="宋体"/>
                <w:sz w:val="21"/>
                <w:szCs w:val="21"/>
              </w:rPr>
            </w:pPr>
            <w:r>
              <w:rPr>
                <w:rFonts w:ascii="宋体" w:hAnsi="宋体" w:eastAsia="宋体" w:cs="宋体"/>
                <w:spacing w:val="-4"/>
                <w:sz w:val="21"/>
                <w:szCs w:val="21"/>
              </w:rPr>
              <w:t>表示一般固体废物贮存、</w:t>
            </w:r>
          </w:p>
          <w:p w14:paraId="2A0A1502">
            <w:pPr>
              <w:spacing w:before="62" w:line="220" w:lineRule="auto"/>
              <w:ind w:left="871"/>
              <w:rPr>
                <w:rFonts w:ascii="宋体" w:hAnsi="宋体" w:eastAsia="宋体" w:cs="宋体"/>
                <w:sz w:val="21"/>
                <w:szCs w:val="21"/>
              </w:rPr>
            </w:pPr>
            <w:r>
              <w:rPr>
                <w:rFonts w:ascii="宋体" w:hAnsi="宋体" w:eastAsia="宋体" w:cs="宋体"/>
                <w:spacing w:val="-3"/>
                <w:sz w:val="21"/>
                <w:szCs w:val="21"/>
              </w:rPr>
              <w:t>处置场</w:t>
            </w:r>
          </w:p>
        </w:tc>
      </w:tr>
      <w:tr w14:paraId="4454C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717" w:type="dxa"/>
            <w:vAlign w:val="top"/>
          </w:tcPr>
          <w:p w14:paraId="5625D1BA">
            <w:pPr>
              <w:spacing w:line="324" w:lineRule="auto"/>
              <w:rPr>
                <w:rFonts w:ascii="Arial"/>
                <w:sz w:val="21"/>
              </w:rPr>
            </w:pPr>
          </w:p>
          <w:p w14:paraId="10CAA703">
            <w:pPr>
              <w:spacing w:line="324" w:lineRule="auto"/>
              <w:rPr>
                <w:rFonts w:ascii="Arial"/>
                <w:sz w:val="21"/>
              </w:rPr>
            </w:pPr>
          </w:p>
          <w:p w14:paraId="47820988">
            <w:pPr>
              <w:pStyle w:val="6"/>
              <w:spacing w:before="60" w:line="188" w:lineRule="auto"/>
              <w:ind w:left="305"/>
            </w:pPr>
            <w:r>
              <w:t>4</w:t>
            </w:r>
          </w:p>
        </w:tc>
        <w:tc>
          <w:tcPr>
            <w:tcW w:w="1841" w:type="dxa"/>
            <w:vAlign w:val="top"/>
          </w:tcPr>
          <w:p w14:paraId="651413B1">
            <w:pPr>
              <w:spacing w:line="302" w:lineRule="auto"/>
              <w:rPr>
                <w:rFonts w:ascii="Arial"/>
                <w:sz w:val="21"/>
              </w:rPr>
            </w:pPr>
          </w:p>
          <w:p w14:paraId="77B57E18">
            <w:pPr>
              <w:spacing w:line="302" w:lineRule="auto"/>
              <w:rPr>
                <w:rFonts w:ascii="Arial"/>
                <w:sz w:val="21"/>
              </w:rPr>
            </w:pPr>
          </w:p>
          <w:p w14:paraId="721352B5">
            <w:pPr>
              <w:spacing w:before="68" w:line="220" w:lineRule="auto"/>
              <w:ind w:left="504"/>
              <w:rPr>
                <w:rFonts w:ascii="宋体" w:hAnsi="宋体" w:eastAsia="宋体" w:cs="宋体"/>
                <w:sz w:val="21"/>
                <w:szCs w:val="21"/>
              </w:rPr>
            </w:pPr>
            <w:r>
              <w:rPr>
                <w:rFonts w:ascii="宋体" w:hAnsi="宋体" w:eastAsia="宋体" w:cs="宋体"/>
                <w:spacing w:val="-3"/>
                <w:sz w:val="21"/>
                <w:szCs w:val="21"/>
              </w:rPr>
              <w:t>危险废物</w:t>
            </w:r>
          </w:p>
        </w:tc>
        <w:tc>
          <w:tcPr>
            <w:tcW w:w="1698" w:type="dxa"/>
            <w:vAlign w:val="top"/>
          </w:tcPr>
          <w:p w14:paraId="43CBC4E3">
            <w:pPr>
              <w:spacing w:line="321" w:lineRule="auto"/>
              <w:rPr>
                <w:rFonts w:ascii="Arial"/>
                <w:sz w:val="21"/>
              </w:rPr>
            </w:pPr>
          </w:p>
          <w:p w14:paraId="07F863B5">
            <w:pPr>
              <w:spacing w:line="322" w:lineRule="auto"/>
              <w:rPr>
                <w:rFonts w:ascii="Arial"/>
                <w:sz w:val="21"/>
              </w:rPr>
            </w:pPr>
          </w:p>
          <w:p w14:paraId="2B066934">
            <w:pPr>
              <w:pStyle w:val="6"/>
              <w:spacing w:before="61" w:line="192" w:lineRule="auto"/>
              <w:ind w:left="813"/>
            </w:pPr>
            <w:r>
              <w:t>/</w:t>
            </w:r>
          </w:p>
        </w:tc>
        <w:tc>
          <w:tcPr>
            <w:tcW w:w="1698" w:type="dxa"/>
            <w:vAlign w:val="top"/>
          </w:tcPr>
          <w:p w14:paraId="4C271398">
            <w:pPr>
              <w:spacing w:before="100" w:line="1353" w:lineRule="exact"/>
              <w:ind w:firstLine="89"/>
            </w:pPr>
            <w:r>
              <w:rPr>
                <w:position w:val="-27"/>
              </w:rPr>
              <w:drawing>
                <wp:inline distT="0" distB="0" distL="0" distR="0">
                  <wp:extent cx="960120" cy="85915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596"/>
                          <a:stretch>
                            <a:fillRect/>
                          </a:stretch>
                        </pic:blipFill>
                        <pic:spPr>
                          <a:xfrm>
                            <a:off x="0" y="0"/>
                            <a:ext cx="960120" cy="859535"/>
                          </a:xfrm>
                          <a:prstGeom prst="rect">
                            <a:avLst/>
                          </a:prstGeom>
                        </pic:spPr>
                      </pic:pic>
                    </a:graphicData>
                  </a:graphic>
                </wp:inline>
              </w:drawing>
            </w:r>
          </w:p>
        </w:tc>
        <w:tc>
          <w:tcPr>
            <w:tcW w:w="2358" w:type="dxa"/>
            <w:vAlign w:val="top"/>
          </w:tcPr>
          <w:p w14:paraId="41E109DB">
            <w:pPr>
              <w:spacing w:line="448" w:lineRule="auto"/>
              <w:rPr>
                <w:rFonts w:ascii="Arial"/>
                <w:sz w:val="21"/>
              </w:rPr>
            </w:pPr>
          </w:p>
          <w:p w14:paraId="3043FF59">
            <w:pPr>
              <w:spacing w:before="68" w:line="277" w:lineRule="auto"/>
              <w:ind w:left="871" w:right="264" w:hanging="635"/>
              <w:rPr>
                <w:rFonts w:ascii="宋体" w:hAnsi="宋体" w:eastAsia="宋体" w:cs="宋体"/>
                <w:sz w:val="21"/>
                <w:szCs w:val="21"/>
              </w:rPr>
            </w:pPr>
            <w:r>
              <w:rPr>
                <w:rFonts w:ascii="宋体" w:hAnsi="宋体" w:eastAsia="宋体" w:cs="宋体"/>
                <w:spacing w:val="-5"/>
                <w:sz w:val="21"/>
                <w:szCs w:val="21"/>
              </w:rPr>
              <w:t>表示危险废物贮存、</w:t>
            </w:r>
            <w:r>
              <w:rPr>
                <w:rFonts w:ascii="宋体" w:hAnsi="宋体" w:eastAsia="宋体" w:cs="宋体"/>
                <w:spacing w:val="-3"/>
                <w:sz w:val="21"/>
                <w:szCs w:val="21"/>
              </w:rPr>
              <w:t>处置场</w:t>
            </w:r>
          </w:p>
        </w:tc>
      </w:tr>
    </w:tbl>
    <w:p w14:paraId="78D6A054">
      <w:pPr>
        <w:spacing w:before="270" w:line="220" w:lineRule="auto"/>
        <w:ind w:left="40"/>
        <w:outlineLvl w:val="1"/>
        <w:rPr>
          <w:rFonts w:ascii="宋体" w:hAnsi="宋体" w:eastAsia="宋体" w:cs="宋体"/>
          <w:sz w:val="32"/>
          <w:szCs w:val="32"/>
        </w:rPr>
      </w:pPr>
      <w:bookmarkStart w:id="66" w:name="bookmark42"/>
      <w:bookmarkEnd w:id="66"/>
      <w:r>
        <w:rPr>
          <w:rFonts w:ascii="Times New Roman" w:hAnsi="Times New Roman" w:eastAsia="Times New Roman" w:cs="Times New Roman"/>
          <w:b/>
          <w:bCs/>
          <w:spacing w:val="-3"/>
          <w:sz w:val="32"/>
          <w:szCs w:val="32"/>
        </w:rPr>
        <w:t xml:space="preserve">7.5  </w:t>
      </w:r>
      <w:r>
        <w:rPr>
          <w:rFonts w:ascii="宋体" w:hAnsi="宋体" w:eastAsia="宋体" w:cs="宋体"/>
          <w:b/>
          <w:bCs/>
          <w:spacing w:val="-3"/>
          <w:sz w:val="32"/>
          <w:szCs w:val="32"/>
        </w:rPr>
        <w:t>环境管理台账</w:t>
      </w:r>
    </w:p>
    <w:p w14:paraId="048ACA43">
      <w:pPr>
        <w:pStyle w:val="2"/>
        <w:spacing w:line="247" w:lineRule="auto"/>
      </w:pPr>
    </w:p>
    <w:p w14:paraId="1D43488E">
      <w:pPr>
        <w:spacing w:before="78" w:line="360" w:lineRule="auto"/>
        <w:ind w:left="39" w:right="85" w:firstLine="480"/>
        <w:jc w:val="both"/>
        <w:rPr>
          <w:rFonts w:ascii="宋体" w:hAnsi="宋体" w:eastAsia="宋体" w:cs="宋体"/>
          <w:sz w:val="24"/>
          <w:szCs w:val="24"/>
        </w:rPr>
      </w:pPr>
      <w:r>
        <w:rPr>
          <w:rFonts w:ascii="宋体" w:hAnsi="宋体" w:eastAsia="宋体" w:cs="宋体"/>
          <w:spacing w:val="-5"/>
          <w:sz w:val="24"/>
          <w:szCs w:val="24"/>
        </w:rPr>
        <w:t>养殖企业应开展环境管理台账记录、编制执行报</w:t>
      </w:r>
      <w:r>
        <w:rPr>
          <w:rFonts w:ascii="宋体" w:hAnsi="宋体" w:eastAsia="宋体" w:cs="宋体"/>
          <w:spacing w:val="-6"/>
          <w:sz w:val="24"/>
          <w:szCs w:val="24"/>
        </w:rPr>
        <w:t>告，</w:t>
      </w:r>
      <w:r>
        <w:rPr>
          <w:rFonts w:ascii="宋体" w:hAnsi="宋体" w:eastAsia="宋体" w:cs="宋体"/>
          <w:spacing w:val="-49"/>
          <w:sz w:val="24"/>
          <w:szCs w:val="24"/>
        </w:rPr>
        <w:t xml:space="preserve"> </w:t>
      </w:r>
      <w:r>
        <w:rPr>
          <w:rFonts w:ascii="宋体" w:hAnsi="宋体" w:eastAsia="宋体" w:cs="宋体"/>
          <w:spacing w:val="-6"/>
          <w:sz w:val="24"/>
          <w:szCs w:val="24"/>
        </w:rPr>
        <w:t>其目的是自我证明企业</w:t>
      </w:r>
      <w:r>
        <w:rPr>
          <w:rFonts w:ascii="宋体" w:hAnsi="宋体" w:eastAsia="宋体" w:cs="宋体"/>
          <w:spacing w:val="-3"/>
          <w:sz w:val="24"/>
          <w:szCs w:val="24"/>
        </w:rPr>
        <w:t>的持证排放情况，企业环境管理台账记录按《排污单位环</w:t>
      </w:r>
      <w:r>
        <w:rPr>
          <w:rFonts w:ascii="宋体" w:hAnsi="宋体" w:eastAsia="宋体" w:cs="宋体"/>
          <w:spacing w:val="-4"/>
          <w:sz w:val="24"/>
          <w:szCs w:val="24"/>
        </w:rPr>
        <w:t>境管理台账及排污许可</w:t>
      </w:r>
      <w:r>
        <w:rPr>
          <w:rFonts w:ascii="宋体" w:hAnsi="宋体" w:eastAsia="宋体" w:cs="宋体"/>
          <w:spacing w:val="-1"/>
          <w:sz w:val="24"/>
          <w:szCs w:val="24"/>
        </w:rPr>
        <w:t>证执行报告技术规范 总则（试行）》（</w:t>
      </w:r>
      <w:r>
        <w:rPr>
          <w:rFonts w:ascii="Times New Roman" w:hAnsi="Times New Roman" w:eastAsia="Times New Roman" w:cs="Times New Roman"/>
          <w:spacing w:val="-1"/>
          <w:sz w:val="24"/>
          <w:szCs w:val="24"/>
        </w:rPr>
        <w:t>HJ944-2018</w:t>
      </w:r>
      <w:r>
        <w:rPr>
          <w:rFonts w:ascii="宋体" w:hAnsi="宋体" w:eastAsia="宋体" w:cs="宋体"/>
          <w:spacing w:val="-2"/>
          <w:sz w:val="24"/>
          <w:szCs w:val="24"/>
        </w:rPr>
        <w:t>）要求执行。</w:t>
      </w:r>
    </w:p>
    <w:p w14:paraId="39E4522F">
      <w:pPr>
        <w:spacing w:line="360" w:lineRule="auto"/>
        <w:ind w:left="40" w:firstLine="482"/>
        <w:jc w:val="both"/>
        <w:rPr>
          <w:rFonts w:ascii="宋体" w:hAnsi="宋体" w:eastAsia="宋体" w:cs="宋体"/>
          <w:sz w:val="24"/>
          <w:szCs w:val="24"/>
        </w:rPr>
      </w:pPr>
      <w:r>
        <w:rPr>
          <w:rFonts w:ascii="宋体" w:hAnsi="宋体" w:eastAsia="宋体" w:cs="宋体"/>
          <w:spacing w:val="-3"/>
          <w:sz w:val="24"/>
          <w:szCs w:val="24"/>
        </w:rPr>
        <w:t>企业应建立环境管理台账制度，设置专职人员进行台账</w:t>
      </w:r>
      <w:r>
        <w:rPr>
          <w:rFonts w:ascii="宋体" w:hAnsi="宋体" w:eastAsia="宋体" w:cs="宋体"/>
          <w:spacing w:val="-4"/>
          <w:sz w:val="24"/>
          <w:szCs w:val="24"/>
        </w:rPr>
        <w:t>的记录、整理、维护</w:t>
      </w:r>
      <w:r>
        <w:rPr>
          <w:rFonts w:ascii="宋体" w:hAnsi="宋体" w:eastAsia="宋体" w:cs="宋体"/>
          <w:spacing w:val="-3"/>
          <w:sz w:val="24"/>
          <w:szCs w:val="24"/>
        </w:rPr>
        <w:t>和管理，并对台账记录结果的真实性、准确性、完整性负责。为实现台账便</w:t>
      </w:r>
      <w:r>
        <w:rPr>
          <w:rFonts w:ascii="宋体" w:hAnsi="宋体" w:eastAsia="宋体" w:cs="宋体"/>
          <w:spacing w:val="-4"/>
          <w:sz w:val="24"/>
          <w:szCs w:val="24"/>
        </w:rPr>
        <w:t>于携</w:t>
      </w:r>
      <w:r>
        <w:rPr>
          <w:rFonts w:ascii="宋体" w:hAnsi="宋体" w:eastAsia="宋体" w:cs="宋体"/>
          <w:spacing w:val="-7"/>
          <w:sz w:val="24"/>
          <w:szCs w:val="24"/>
        </w:rPr>
        <w:t>带、作为许可证执行情况佐证并长时间储存的目的以及导出原始</w:t>
      </w:r>
      <w:r>
        <w:rPr>
          <w:rFonts w:ascii="宋体" w:hAnsi="宋体" w:eastAsia="宋体" w:cs="宋体"/>
          <w:spacing w:val="-8"/>
          <w:sz w:val="24"/>
          <w:szCs w:val="24"/>
        </w:rPr>
        <w:t>数据，加工分析、</w:t>
      </w:r>
      <w:r>
        <w:rPr>
          <w:rFonts w:ascii="宋体" w:hAnsi="宋体" w:eastAsia="宋体" w:cs="宋体"/>
          <w:spacing w:val="-3"/>
          <w:sz w:val="24"/>
          <w:szCs w:val="24"/>
        </w:rPr>
        <w:t>综合判断运行情况的功能，台账应当按照电子化储存和纸质储存两种形式同步管</w:t>
      </w:r>
      <w:r>
        <w:rPr>
          <w:rFonts w:ascii="宋体" w:hAnsi="宋体" w:eastAsia="宋体" w:cs="宋体"/>
          <w:spacing w:val="-4"/>
          <w:sz w:val="24"/>
          <w:szCs w:val="24"/>
        </w:rPr>
        <w:t>理。台账保存三年以上备查。</w:t>
      </w:r>
    </w:p>
    <w:p w14:paraId="44BD575A">
      <w:pPr>
        <w:spacing w:before="1" w:line="361" w:lineRule="auto"/>
        <w:ind w:left="43" w:right="1" w:firstLine="478"/>
        <w:jc w:val="both"/>
        <w:rPr>
          <w:rFonts w:ascii="宋体" w:hAnsi="宋体" w:eastAsia="宋体" w:cs="宋体"/>
          <w:sz w:val="24"/>
          <w:szCs w:val="24"/>
        </w:rPr>
      </w:pPr>
      <w:r>
        <w:rPr>
          <w:rFonts w:ascii="宋体" w:hAnsi="宋体" w:eastAsia="宋体" w:cs="宋体"/>
          <w:sz w:val="24"/>
          <w:szCs w:val="24"/>
        </w:rPr>
        <w:t>按照《畜禽规模养殖污染防治条例》（国务院令第</w:t>
      </w:r>
      <w:r>
        <w:rPr>
          <w:rFonts w:ascii="Times New Roman" w:hAnsi="Times New Roman" w:eastAsia="Times New Roman" w:cs="Times New Roman"/>
          <w:sz w:val="24"/>
          <w:szCs w:val="24"/>
        </w:rPr>
        <w:t>643</w:t>
      </w:r>
      <w:r>
        <w:rPr>
          <w:rFonts w:ascii="宋体" w:hAnsi="宋体" w:eastAsia="宋体" w:cs="宋体"/>
          <w:sz w:val="24"/>
          <w:szCs w:val="24"/>
        </w:rPr>
        <w:t>号）第二十二条的有</w:t>
      </w:r>
      <w:r>
        <w:rPr>
          <w:rFonts w:ascii="宋体" w:hAnsi="宋体" w:eastAsia="宋体" w:cs="宋体"/>
          <w:spacing w:val="-3"/>
          <w:sz w:val="24"/>
          <w:szCs w:val="24"/>
        </w:rPr>
        <w:t>关规定：畜禽养殖场、养殖小区应当定期将畜禽养殖品种、规模以及畜禽</w:t>
      </w:r>
      <w:r>
        <w:rPr>
          <w:rFonts w:ascii="宋体" w:hAnsi="宋体" w:eastAsia="宋体" w:cs="宋体"/>
          <w:spacing w:val="-4"/>
          <w:sz w:val="24"/>
          <w:szCs w:val="24"/>
        </w:rPr>
        <w:t>养殖废</w:t>
      </w:r>
      <w:r>
        <w:rPr>
          <w:rFonts w:ascii="宋体" w:hAnsi="宋体" w:eastAsia="宋体" w:cs="宋体"/>
          <w:spacing w:val="-1"/>
          <w:sz w:val="24"/>
          <w:szCs w:val="24"/>
        </w:rPr>
        <w:t>弃物的产生、排放和综合利用等情况，报县级人民政府环境保护主管部门备案。</w:t>
      </w:r>
    </w:p>
    <w:p w14:paraId="578104AC">
      <w:pPr>
        <w:spacing w:line="361" w:lineRule="auto"/>
        <w:rPr>
          <w:rFonts w:ascii="宋体" w:hAnsi="宋体" w:eastAsia="宋体" w:cs="宋体"/>
          <w:sz w:val="24"/>
          <w:szCs w:val="24"/>
        </w:rPr>
        <w:sectPr>
          <w:headerReference r:id="rId508" w:type="default"/>
          <w:footerReference r:id="rId509" w:type="default"/>
          <w:pgSz w:w="11905" w:h="16840"/>
          <w:pgMar w:top="1168" w:right="1712" w:bottom="1409" w:left="1770" w:header="828" w:footer="1244" w:gutter="0"/>
          <w:cols w:space="720" w:num="1"/>
        </w:sectPr>
      </w:pPr>
    </w:p>
    <w:p w14:paraId="6A8A10DE">
      <w:pPr>
        <w:pStyle w:val="2"/>
        <w:spacing w:line="306" w:lineRule="auto"/>
      </w:pPr>
    </w:p>
    <w:p w14:paraId="36140AF1">
      <w:pPr>
        <w:spacing w:before="78" w:line="360" w:lineRule="auto"/>
        <w:ind w:left="39" w:right="29" w:firstLine="480"/>
        <w:jc w:val="both"/>
        <w:rPr>
          <w:rFonts w:ascii="宋体" w:hAnsi="宋体" w:eastAsia="宋体" w:cs="宋体"/>
          <w:sz w:val="24"/>
          <w:szCs w:val="24"/>
        </w:rPr>
      </w:pPr>
      <w:bookmarkStart w:id="67" w:name="bookmark194"/>
      <w:bookmarkEnd w:id="67"/>
      <w:r>
        <w:rPr>
          <w:rFonts w:ascii="宋体" w:hAnsi="宋体" w:eastAsia="宋体" w:cs="宋体"/>
          <w:spacing w:val="-3"/>
          <w:sz w:val="24"/>
          <w:szCs w:val="24"/>
        </w:rPr>
        <w:t>排污许可证台账应按生产设施进行填报，内容主要包括基本信息</w:t>
      </w:r>
      <w:r>
        <w:rPr>
          <w:rFonts w:ascii="宋体" w:hAnsi="宋体" w:eastAsia="宋体" w:cs="宋体"/>
          <w:spacing w:val="-4"/>
          <w:sz w:val="24"/>
          <w:szCs w:val="24"/>
        </w:rPr>
        <w:t>、污染治理</w:t>
      </w:r>
      <w:r>
        <w:rPr>
          <w:rFonts w:ascii="宋体" w:hAnsi="宋体" w:eastAsia="宋体" w:cs="宋体"/>
          <w:spacing w:val="-6"/>
          <w:sz w:val="24"/>
          <w:szCs w:val="24"/>
        </w:rPr>
        <w:t>措施运行管理信息、监测记录信息、其他环境管理信息等内容，</w:t>
      </w:r>
      <w:r>
        <w:rPr>
          <w:rFonts w:ascii="宋体" w:hAnsi="宋体" w:eastAsia="宋体" w:cs="宋体"/>
          <w:spacing w:val="-7"/>
          <w:sz w:val="24"/>
          <w:szCs w:val="24"/>
        </w:rPr>
        <w:t xml:space="preserve"> 记录频次和记录</w:t>
      </w:r>
      <w:r>
        <w:rPr>
          <w:rFonts w:ascii="宋体" w:hAnsi="宋体" w:eastAsia="宋体" w:cs="宋体"/>
          <w:spacing w:val="-6"/>
          <w:sz w:val="24"/>
          <w:szCs w:val="24"/>
        </w:rPr>
        <w:t>内容要满足排污许可证的各项环境管理要求。其中， 基本信息</w:t>
      </w:r>
      <w:r>
        <w:rPr>
          <w:rFonts w:ascii="宋体" w:hAnsi="宋体" w:eastAsia="宋体" w:cs="宋体"/>
          <w:spacing w:val="-7"/>
          <w:sz w:val="24"/>
          <w:szCs w:val="24"/>
        </w:rPr>
        <w:t>主要包括企业、生</w:t>
      </w:r>
      <w:r>
        <w:rPr>
          <w:rFonts w:ascii="宋体" w:hAnsi="宋体" w:eastAsia="宋体" w:cs="宋体"/>
          <w:spacing w:val="-3"/>
          <w:sz w:val="24"/>
          <w:szCs w:val="24"/>
        </w:rPr>
        <w:t>产设施、治理设施的名称、工艺等排污许可证规定的各项排污单位基本信息的实际情况及与污染物排放相关的主要运行参数；污染治理设施台账主要包括污染物排放自行监测数据记录要求以及污染治理设施运行管理信息。监测记录信息按照</w:t>
      </w:r>
      <w:r>
        <w:rPr>
          <w:rFonts w:ascii="宋体" w:hAnsi="宋体" w:eastAsia="宋体" w:cs="宋体"/>
          <w:spacing w:val="-4"/>
          <w:sz w:val="24"/>
          <w:szCs w:val="24"/>
        </w:rPr>
        <w:t>自行监测管理要求实施。</w:t>
      </w:r>
    </w:p>
    <w:p w14:paraId="5C65306E">
      <w:pPr>
        <w:spacing w:line="362" w:lineRule="auto"/>
        <w:ind w:left="39" w:right="29" w:firstLine="481"/>
        <w:rPr>
          <w:rFonts w:ascii="宋体" w:hAnsi="宋体" w:eastAsia="宋体" w:cs="宋体"/>
          <w:sz w:val="24"/>
          <w:szCs w:val="24"/>
        </w:rPr>
      </w:pPr>
      <w:r>
        <w:rPr>
          <w:rFonts w:ascii="宋体" w:hAnsi="宋体" w:eastAsia="宋体" w:cs="宋体"/>
          <w:spacing w:val="-3"/>
          <w:sz w:val="24"/>
          <w:szCs w:val="24"/>
        </w:rPr>
        <w:t>污染治理措施运行管理信息应当包括设备运行校验关键参数</w:t>
      </w:r>
      <w:r>
        <w:rPr>
          <w:rFonts w:ascii="宋体" w:hAnsi="宋体" w:eastAsia="宋体" w:cs="宋体"/>
          <w:spacing w:val="-4"/>
          <w:sz w:val="24"/>
          <w:szCs w:val="24"/>
        </w:rPr>
        <w:t>，能充分反映生</w:t>
      </w:r>
      <w:r>
        <w:rPr>
          <w:rFonts w:ascii="宋体" w:hAnsi="宋体" w:eastAsia="宋体" w:cs="宋体"/>
          <w:spacing w:val="-3"/>
          <w:sz w:val="24"/>
          <w:szCs w:val="24"/>
        </w:rPr>
        <w:t>产设施及治理设施运行管理情况。</w:t>
      </w:r>
    </w:p>
    <w:p w14:paraId="4E296F68">
      <w:pPr>
        <w:spacing w:before="151" w:line="220" w:lineRule="auto"/>
        <w:ind w:left="40"/>
        <w:outlineLvl w:val="1"/>
        <w:rPr>
          <w:rFonts w:ascii="宋体" w:hAnsi="宋体" w:eastAsia="宋体" w:cs="宋体"/>
          <w:sz w:val="32"/>
          <w:szCs w:val="32"/>
        </w:rPr>
      </w:pPr>
      <w:bookmarkStart w:id="68" w:name="bookmark43"/>
      <w:bookmarkEnd w:id="68"/>
      <w:r>
        <w:rPr>
          <w:rFonts w:ascii="Times New Roman" w:hAnsi="Times New Roman" w:eastAsia="Times New Roman" w:cs="Times New Roman"/>
          <w:b/>
          <w:bCs/>
          <w:spacing w:val="-3"/>
          <w:sz w:val="32"/>
          <w:szCs w:val="32"/>
        </w:rPr>
        <w:t xml:space="preserve">7.6  </w:t>
      </w:r>
      <w:r>
        <w:rPr>
          <w:rFonts w:ascii="宋体" w:hAnsi="宋体" w:eastAsia="宋体" w:cs="宋体"/>
          <w:b/>
          <w:bCs/>
          <w:spacing w:val="-3"/>
          <w:sz w:val="32"/>
          <w:szCs w:val="32"/>
        </w:rPr>
        <w:t>环境监测计划</w:t>
      </w:r>
    </w:p>
    <w:p w14:paraId="47AEE2FB">
      <w:pPr>
        <w:pStyle w:val="2"/>
        <w:spacing w:line="274" w:lineRule="auto"/>
      </w:pPr>
    </w:p>
    <w:p w14:paraId="449DF021">
      <w:pPr>
        <w:spacing w:before="98"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7.6.1  </w:t>
      </w:r>
      <w:r>
        <w:rPr>
          <w:rFonts w:ascii="宋体" w:hAnsi="宋体" w:eastAsia="宋体" w:cs="宋体"/>
          <w:b/>
          <w:bCs/>
          <w:spacing w:val="-2"/>
          <w:sz w:val="30"/>
          <w:szCs w:val="30"/>
        </w:rPr>
        <w:t>环境监测的目的</w:t>
      </w:r>
    </w:p>
    <w:p w14:paraId="31FB4B64">
      <w:pPr>
        <w:pStyle w:val="2"/>
        <w:spacing w:line="256" w:lineRule="auto"/>
      </w:pPr>
    </w:p>
    <w:p w14:paraId="6B702060">
      <w:pPr>
        <w:spacing w:before="78" w:line="362" w:lineRule="auto"/>
        <w:ind w:left="39" w:right="29" w:firstLine="480"/>
        <w:jc w:val="both"/>
        <w:rPr>
          <w:rFonts w:ascii="宋体" w:hAnsi="宋体" w:eastAsia="宋体" w:cs="宋体"/>
          <w:sz w:val="24"/>
          <w:szCs w:val="24"/>
        </w:rPr>
      </w:pPr>
      <w:r>
        <w:rPr>
          <w:rFonts w:ascii="宋体" w:hAnsi="宋体" w:eastAsia="宋体" w:cs="宋体"/>
          <w:spacing w:val="-3"/>
          <w:sz w:val="24"/>
          <w:szCs w:val="24"/>
        </w:rPr>
        <w:t>环境监测是跟踪项目的实施效果和环境质量的动态变化、防止污</w:t>
      </w:r>
      <w:r>
        <w:rPr>
          <w:rFonts w:ascii="宋体" w:hAnsi="宋体" w:eastAsia="宋体" w:cs="宋体"/>
          <w:spacing w:val="-4"/>
          <w:sz w:val="24"/>
          <w:szCs w:val="24"/>
        </w:rPr>
        <w:t>染事故发生</w:t>
      </w:r>
      <w:r>
        <w:rPr>
          <w:rFonts w:ascii="宋体" w:hAnsi="宋体" w:eastAsia="宋体" w:cs="宋体"/>
          <w:spacing w:val="-3"/>
          <w:sz w:val="24"/>
          <w:szCs w:val="24"/>
        </w:rPr>
        <w:t>的重要手段，实施环境监测，可以做到第一时间发现污染事故，防止污染事故的</w:t>
      </w:r>
      <w:r>
        <w:rPr>
          <w:rFonts w:ascii="宋体" w:hAnsi="宋体" w:eastAsia="宋体" w:cs="宋体"/>
          <w:spacing w:val="-10"/>
          <w:sz w:val="24"/>
          <w:szCs w:val="24"/>
        </w:rPr>
        <w:t>扩大。</w:t>
      </w:r>
    </w:p>
    <w:p w14:paraId="03FF28B3">
      <w:pPr>
        <w:spacing w:before="162"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7.6.2  </w:t>
      </w:r>
      <w:r>
        <w:rPr>
          <w:rFonts w:ascii="宋体" w:hAnsi="宋体" w:eastAsia="宋体" w:cs="宋体"/>
          <w:b/>
          <w:bCs/>
          <w:spacing w:val="-2"/>
          <w:sz w:val="30"/>
          <w:szCs w:val="30"/>
        </w:rPr>
        <w:t>环境监测计划</w:t>
      </w:r>
    </w:p>
    <w:p w14:paraId="3EFE069B">
      <w:pPr>
        <w:pStyle w:val="2"/>
        <w:spacing w:line="258" w:lineRule="auto"/>
      </w:pPr>
    </w:p>
    <w:p w14:paraId="344475F1">
      <w:pPr>
        <w:spacing w:before="79" w:line="360" w:lineRule="auto"/>
        <w:ind w:left="39" w:right="29" w:firstLine="482"/>
        <w:jc w:val="both"/>
        <w:rPr>
          <w:rFonts w:ascii="宋体" w:hAnsi="宋体" w:eastAsia="宋体" w:cs="宋体"/>
          <w:sz w:val="24"/>
          <w:szCs w:val="24"/>
        </w:rPr>
      </w:pPr>
      <w:r>
        <w:rPr>
          <w:rFonts w:ascii="宋体" w:hAnsi="宋体" w:eastAsia="宋体" w:cs="宋体"/>
          <w:spacing w:val="-3"/>
          <w:sz w:val="24"/>
          <w:szCs w:val="24"/>
        </w:rPr>
        <w:t>为掌握本项目排污情况，监督排放标准的执行情况，减少</w:t>
      </w:r>
      <w:r>
        <w:rPr>
          <w:rFonts w:ascii="宋体" w:hAnsi="宋体" w:eastAsia="宋体" w:cs="宋体"/>
          <w:spacing w:val="-4"/>
          <w:sz w:val="24"/>
          <w:szCs w:val="24"/>
        </w:rPr>
        <w:t>对环境的影响，使</w:t>
      </w:r>
      <w:r>
        <w:rPr>
          <w:rFonts w:ascii="宋体" w:hAnsi="宋体" w:eastAsia="宋体" w:cs="宋体"/>
          <w:spacing w:val="-3"/>
          <w:sz w:val="24"/>
          <w:szCs w:val="24"/>
        </w:rPr>
        <w:t>受本项目影响区域的环境质量保持一定的水平，达到相应的环境质量标准，本项目投产后，建设单位必须建立并执行环境监测制度。环境监测可委托有资质的监测机构进行，同时运营过程中应对场区的排污和处理设施运转进行日常检测，掌</w:t>
      </w:r>
      <w:r>
        <w:rPr>
          <w:rFonts w:ascii="宋体" w:hAnsi="宋体" w:eastAsia="宋体" w:cs="宋体"/>
          <w:spacing w:val="-4"/>
          <w:sz w:val="24"/>
          <w:szCs w:val="24"/>
        </w:rPr>
        <w:t>握排污状况和变化趋势。</w:t>
      </w:r>
    </w:p>
    <w:p w14:paraId="5FA44E11">
      <w:pPr>
        <w:spacing w:line="361" w:lineRule="auto"/>
        <w:ind w:left="38" w:right="29" w:firstLine="480"/>
        <w:jc w:val="both"/>
        <w:rPr>
          <w:rFonts w:ascii="宋体" w:hAnsi="宋体" w:eastAsia="宋体" w:cs="宋体"/>
          <w:sz w:val="24"/>
          <w:szCs w:val="24"/>
        </w:rPr>
      </w:pPr>
      <w:r>
        <w:rPr>
          <w:rFonts w:ascii="宋体" w:hAnsi="宋体" w:eastAsia="宋体" w:cs="宋体"/>
          <w:spacing w:val="-3"/>
          <w:sz w:val="24"/>
          <w:szCs w:val="24"/>
        </w:rPr>
        <w:t>根据本项目建设情况和周边区域外环境关系，本评价提出监测计</w:t>
      </w:r>
      <w:r>
        <w:rPr>
          <w:rFonts w:ascii="宋体" w:hAnsi="宋体" w:eastAsia="宋体" w:cs="宋体"/>
          <w:spacing w:val="-4"/>
          <w:sz w:val="24"/>
          <w:szCs w:val="24"/>
        </w:rPr>
        <w:t>划供建设单</w:t>
      </w:r>
      <w:r>
        <w:rPr>
          <w:rFonts w:ascii="宋体" w:hAnsi="宋体" w:eastAsia="宋体" w:cs="宋体"/>
          <w:spacing w:val="-3"/>
          <w:sz w:val="24"/>
          <w:szCs w:val="24"/>
        </w:rPr>
        <w:t>位参考，建设单位应委托具有资质的监测机构完成监测内容，监测方案可根据企业及周边实际情况做适当调整；最终监测结果和污染防治设施运行情况需以报表形式上报当地生态环境主管部门备案。</w:t>
      </w:r>
    </w:p>
    <w:p w14:paraId="0060DD3E">
      <w:pPr>
        <w:spacing w:before="162" w:line="220" w:lineRule="auto"/>
        <w:ind w:left="40"/>
        <w:rPr>
          <w:rFonts w:ascii="宋体" w:hAnsi="宋体" w:eastAsia="宋体" w:cs="宋体"/>
          <w:sz w:val="30"/>
          <w:szCs w:val="30"/>
        </w:rPr>
      </w:pPr>
      <w:r>
        <w:rPr>
          <w:rFonts w:ascii="Times New Roman" w:hAnsi="Times New Roman" w:eastAsia="Times New Roman" w:cs="Times New Roman"/>
          <w:b/>
          <w:bCs/>
          <w:spacing w:val="-2"/>
          <w:sz w:val="30"/>
          <w:szCs w:val="30"/>
        </w:rPr>
        <w:t xml:space="preserve">7.6.3  </w:t>
      </w:r>
      <w:r>
        <w:rPr>
          <w:rFonts w:ascii="宋体" w:hAnsi="宋体" w:eastAsia="宋体" w:cs="宋体"/>
          <w:b/>
          <w:bCs/>
          <w:spacing w:val="-2"/>
          <w:sz w:val="30"/>
          <w:szCs w:val="30"/>
        </w:rPr>
        <w:t>监测管理制度</w:t>
      </w:r>
    </w:p>
    <w:p w14:paraId="36583448">
      <w:pPr>
        <w:pStyle w:val="2"/>
        <w:spacing w:line="258" w:lineRule="auto"/>
      </w:pPr>
    </w:p>
    <w:p w14:paraId="5F78AD6F">
      <w:pPr>
        <w:spacing w:before="79" w:line="220" w:lineRule="auto"/>
        <w:ind w:right="27"/>
        <w:jc w:val="right"/>
        <w:rPr>
          <w:rFonts w:ascii="宋体" w:hAnsi="宋体" w:eastAsia="宋体" w:cs="宋体"/>
          <w:sz w:val="24"/>
          <w:szCs w:val="24"/>
        </w:rPr>
      </w:pPr>
      <w:r>
        <w:rPr>
          <w:rFonts w:ascii="宋体" w:hAnsi="宋体" w:eastAsia="宋体" w:cs="宋体"/>
          <w:spacing w:val="-3"/>
          <w:sz w:val="24"/>
          <w:szCs w:val="24"/>
        </w:rPr>
        <w:t>建设单位每次例行监测结果应整理记录在案，每年至少上报一</w:t>
      </w:r>
      <w:r>
        <w:rPr>
          <w:rFonts w:ascii="宋体" w:hAnsi="宋体" w:eastAsia="宋体" w:cs="宋体"/>
          <w:spacing w:val="-4"/>
          <w:sz w:val="24"/>
          <w:szCs w:val="24"/>
        </w:rPr>
        <w:t>次，环境管理</w:t>
      </w:r>
    </w:p>
    <w:p w14:paraId="2B635E79">
      <w:pPr>
        <w:spacing w:line="220" w:lineRule="auto"/>
        <w:rPr>
          <w:rFonts w:ascii="宋体" w:hAnsi="宋体" w:eastAsia="宋体" w:cs="宋体"/>
          <w:sz w:val="24"/>
          <w:szCs w:val="24"/>
        </w:rPr>
        <w:sectPr>
          <w:headerReference r:id="rId510" w:type="default"/>
          <w:footerReference r:id="rId511" w:type="default"/>
          <w:pgSz w:w="11905" w:h="16840"/>
          <w:pgMar w:top="1168" w:right="1768" w:bottom="1409" w:left="1770" w:header="828" w:footer="1244" w:gutter="0"/>
          <w:cols w:space="720" w:num="1"/>
        </w:sectPr>
      </w:pPr>
    </w:p>
    <w:p w14:paraId="06188D33">
      <w:pPr>
        <w:pStyle w:val="2"/>
        <w:spacing w:line="306" w:lineRule="auto"/>
      </w:pPr>
    </w:p>
    <w:p w14:paraId="1D2D8321">
      <w:pPr>
        <w:spacing w:before="78" w:line="360" w:lineRule="auto"/>
        <w:ind w:left="39" w:right="85"/>
        <w:jc w:val="both"/>
        <w:rPr>
          <w:rFonts w:ascii="宋体" w:hAnsi="宋体" w:eastAsia="宋体" w:cs="宋体"/>
          <w:sz w:val="24"/>
          <w:szCs w:val="24"/>
        </w:rPr>
      </w:pPr>
      <w:bookmarkStart w:id="69" w:name="bookmark195"/>
      <w:bookmarkEnd w:id="69"/>
      <w:r>
        <w:rPr>
          <w:rFonts w:ascii="宋体" w:hAnsi="宋体" w:eastAsia="宋体" w:cs="宋体"/>
          <w:spacing w:val="-5"/>
          <w:sz w:val="24"/>
          <w:szCs w:val="24"/>
        </w:rPr>
        <w:t>和监测结果可采用年度报表和文字报告相结合的方式。通常情况下，</w:t>
      </w:r>
      <w:r>
        <w:rPr>
          <w:rFonts w:ascii="宋体" w:hAnsi="宋体" w:eastAsia="宋体" w:cs="宋体"/>
          <w:spacing w:val="-48"/>
          <w:sz w:val="24"/>
          <w:szCs w:val="24"/>
        </w:rPr>
        <w:t xml:space="preserve"> </w:t>
      </w:r>
      <w:r>
        <w:rPr>
          <w:rFonts w:ascii="宋体" w:hAnsi="宋体" w:eastAsia="宋体" w:cs="宋体"/>
          <w:spacing w:val="-5"/>
          <w:sz w:val="24"/>
          <w:szCs w:val="24"/>
        </w:rPr>
        <w:t>年初由</w:t>
      </w:r>
      <w:r>
        <w:rPr>
          <w:rFonts w:ascii="宋体" w:hAnsi="宋体" w:eastAsia="宋体" w:cs="宋体"/>
          <w:spacing w:val="-6"/>
          <w:sz w:val="24"/>
          <w:szCs w:val="24"/>
        </w:rPr>
        <w:t>负责</w:t>
      </w:r>
      <w:r>
        <w:rPr>
          <w:rFonts w:ascii="宋体" w:hAnsi="宋体" w:eastAsia="宋体" w:cs="宋体"/>
          <w:spacing w:val="-5"/>
          <w:sz w:val="24"/>
          <w:szCs w:val="24"/>
        </w:rPr>
        <w:t>环保的人员将上年度监测情况向上呈报主管部门。在发生突发事件情况下，</w:t>
      </w:r>
      <w:r>
        <w:rPr>
          <w:rFonts w:ascii="宋体" w:hAnsi="宋体" w:eastAsia="宋体" w:cs="宋体"/>
          <w:spacing w:val="-49"/>
          <w:sz w:val="24"/>
          <w:szCs w:val="24"/>
        </w:rPr>
        <w:t xml:space="preserve"> </w:t>
      </w:r>
      <w:r>
        <w:rPr>
          <w:rFonts w:ascii="宋体" w:hAnsi="宋体" w:eastAsia="宋体" w:cs="宋体"/>
          <w:spacing w:val="-5"/>
          <w:sz w:val="24"/>
          <w:szCs w:val="24"/>
        </w:rPr>
        <w:t>要将</w:t>
      </w:r>
      <w:r>
        <w:rPr>
          <w:rFonts w:ascii="宋体" w:hAnsi="宋体" w:eastAsia="宋体" w:cs="宋体"/>
          <w:spacing w:val="-1"/>
          <w:sz w:val="24"/>
          <w:szCs w:val="24"/>
        </w:rPr>
        <w:t>事故发生的时间、地点、原因和处理结果以文字报告形</w:t>
      </w:r>
      <w:r>
        <w:rPr>
          <w:rFonts w:ascii="宋体" w:hAnsi="宋体" w:eastAsia="宋体" w:cs="宋体"/>
          <w:spacing w:val="-2"/>
          <w:sz w:val="24"/>
          <w:szCs w:val="24"/>
        </w:rPr>
        <w:t>式呈送上级主管部门。</w:t>
      </w:r>
    </w:p>
    <w:p w14:paraId="307CF13B">
      <w:pPr>
        <w:spacing w:before="1" w:line="361" w:lineRule="auto"/>
        <w:ind w:left="44" w:right="95" w:firstLine="475"/>
        <w:rPr>
          <w:rFonts w:ascii="宋体" w:hAnsi="宋体" w:eastAsia="宋体" w:cs="宋体"/>
          <w:sz w:val="24"/>
          <w:szCs w:val="24"/>
        </w:rPr>
      </w:pPr>
      <w:r>
        <w:rPr>
          <w:rFonts w:ascii="宋体" w:hAnsi="宋体" w:eastAsia="宋体" w:cs="宋体"/>
          <w:spacing w:val="-3"/>
          <w:sz w:val="24"/>
          <w:szCs w:val="24"/>
        </w:rPr>
        <w:t>根据《排污单位自行监测技术指南》（</w:t>
      </w:r>
      <w:r>
        <w:rPr>
          <w:rFonts w:ascii="Times New Roman" w:hAnsi="Times New Roman" w:eastAsia="Times New Roman" w:cs="Times New Roman"/>
          <w:spacing w:val="-3"/>
          <w:sz w:val="24"/>
          <w:szCs w:val="24"/>
        </w:rPr>
        <w:t>HJ819-2017</w:t>
      </w:r>
      <w:r>
        <w:rPr>
          <w:rFonts w:ascii="宋体" w:hAnsi="宋体" w:eastAsia="宋体" w:cs="宋体"/>
          <w:spacing w:val="-3"/>
          <w:sz w:val="24"/>
          <w:szCs w:val="24"/>
        </w:rPr>
        <w:t>）以及《排污许可证申请</w:t>
      </w:r>
      <w:r>
        <w:rPr>
          <w:rFonts w:ascii="宋体" w:hAnsi="宋体" w:eastAsia="宋体" w:cs="宋体"/>
          <w:spacing w:val="-2"/>
          <w:sz w:val="24"/>
          <w:szCs w:val="24"/>
        </w:rPr>
        <w:t>与核发技术规范 畜禽养殖行业》（</w:t>
      </w:r>
      <w:r>
        <w:rPr>
          <w:rFonts w:ascii="Times New Roman" w:hAnsi="Times New Roman" w:eastAsia="Times New Roman" w:cs="Times New Roman"/>
          <w:spacing w:val="-2"/>
          <w:sz w:val="24"/>
          <w:szCs w:val="24"/>
        </w:rPr>
        <w:t>HJ1029-2019</w:t>
      </w:r>
      <w:r>
        <w:rPr>
          <w:rFonts w:ascii="宋体" w:hAnsi="宋体" w:eastAsia="宋体" w:cs="宋体"/>
          <w:spacing w:val="5"/>
          <w:sz w:val="24"/>
          <w:szCs w:val="24"/>
        </w:rPr>
        <w:t>），</w:t>
      </w:r>
      <w:r>
        <w:rPr>
          <w:rFonts w:ascii="宋体" w:hAnsi="宋体" w:eastAsia="宋体" w:cs="宋体"/>
          <w:spacing w:val="-2"/>
          <w:sz w:val="24"/>
          <w:szCs w:val="24"/>
        </w:rPr>
        <w:t>本项目监测计划见下表：</w:t>
      </w:r>
    </w:p>
    <w:p w14:paraId="32B38F29">
      <w:pPr>
        <w:spacing w:before="8" w:line="222" w:lineRule="auto"/>
        <w:ind w:left="2847"/>
        <w:rPr>
          <w:rFonts w:ascii="黑体" w:hAnsi="黑体" w:eastAsia="黑体" w:cs="黑体"/>
          <w:sz w:val="21"/>
          <w:szCs w:val="21"/>
        </w:rPr>
      </w:pPr>
      <w:r>
        <w:rPr>
          <w:rFonts w:ascii="黑体" w:hAnsi="黑体" w:eastAsia="黑体" w:cs="黑体"/>
          <w:spacing w:val="-2"/>
          <w:sz w:val="21"/>
          <w:szCs w:val="21"/>
        </w:rPr>
        <w:t>表</w:t>
      </w:r>
      <w:r>
        <w:rPr>
          <w:rFonts w:ascii="黑体" w:hAnsi="黑体" w:eastAsia="黑体" w:cs="黑体"/>
          <w:spacing w:val="-30"/>
          <w:sz w:val="21"/>
          <w:szCs w:val="21"/>
        </w:rPr>
        <w:t xml:space="preserve"> </w:t>
      </w:r>
      <w:r>
        <w:rPr>
          <w:rFonts w:ascii="Times New Roman" w:hAnsi="Times New Roman" w:eastAsia="Times New Roman" w:cs="Times New Roman"/>
          <w:spacing w:val="-2"/>
          <w:sz w:val="21"/>
          <w:szCs w:val="21"/>
        </w:rPr>
        <w:t xml:space="preserve">7.6-1  </w:t>
      </w:r>
      <w:r>
        <w:rPr>
          <w:rFonts w:ascii="黑体" w:hAnsi="黑体" w:eastAsia="黑体" w:cs="黑体"/>
          <w:spacing w:val="-2"/>
          <w:sz w:val="21"/>
          <w:szCs w:val="21"/>
        </w:rPr>
        <w:t>运营期环境监测计划</w:t>
      </w:r>
    </w:p>
    <w:p w14:paraId="5D7F8469">
      <w:pPr>
        <w:spacing w:line="87" w:lineRule="exact"/>
      </w:pPr>
    </w:p>
    <w:tbl>
      <w:tblPr>
        <w:tblStyle w:val="5"/>
        <w:tblW w:w="832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709"/>
        <w:gridCol w:w="2125"/>
        <w:gridCol w:w="944"/>
        <w:gridCol w:w="2785"/>
        <w:gridCol w:w="899"/>
      </w:tblGrid>
      <w:tr w14:paraId="22CD0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858" w:type="dxa"/>
            <w:vAlign w:val="top"/>
          </w:tcPr>
          <w:p w14:paraId="3BB80885">
            <w:pPr>
              <w:spacing w:before="68" w:line="220" w:lineRule="auto"/>
              <w:ind w:left="14"/>
              <w:rPr>
                <w:rFonts w:ascii="宋体" w:hAnsi="宋体" w:eastAsia="宋体" w:cs="宋体"/>
                <w:sz w:val="21"/>
                <w:szCs w:val="21"/>
              </w:rPr>
            </w:pPr>
            <w:r>
              <w:rPr>
                <w:rFonts w:ascii="宋体" w:hAnsi="宋体" w:eastAsia="宋体" w:cs="宋体"/>
                <w:spacing w:val="-2"/>
                <w:sz w:val="21"/>
                <w:szCs w:val="21"/>
              </w:rPr>
              <w:t>监测要素</w:t>
            </w:r>
          </w:p>
        </w:tc>
        <w:tc>
          <w:tcPr>
            <w:tcW w:w="2834" w:type="dxa"/>
            <w:gridSpan w:val="2"/>
            <w:vAlign w:val="top"/>
          </w:tcPr>
          <w:p w14:paraId="06D39174">
            <w:pPr>
              <w:spacing w:before="68" w:line="221" w:lineRule="auto"/>
              <w:ind w:left="1002"/>
              <w:rPr>
                <w:rFonts w:ascii="宋体" w:hAnsi="宋体" w:eastAsia="宋体" w:cs="宋体"/>
                <w:sz w:val="21"/>
                <w:szCs w:val="21"/>
              </w:rPr>
            </w:pPr>
            <w:r>
              <w:rPr>
                <w:rFonts w:ascii="宋体" w:hAnsi="宋体" w:eastAsia="宋体" w:cs="宋体"/>
                <w:spacing w:val="-2"/>
                <w:sz w:val="21"/>
                <w:szCs w:val="21"/>
              </w:rPr>
              <w:t>监测位置</w:t>
            </w:r>
          </w:p>
        </w:tc>
        <w:tc>
          <w:tcPr>
            <w:tcW w:w="944" w:type="dxa"/>
            <w:vAlign w:val="top"/>
          </w:tcPr>
          <w:p w14:paraId="35FC5DA6">
            <w:pPr>
              <w:spacing w:before="68" w:line="220" w:lineRule="auto"/>
              <w:ind w:left="58"/>
              <w:rPr>
                <w:rFonts w:ascii="宋体" w:hAnsi="宋体" w:eastAsia="宋体" w:cs="宋体"/>
                <w:sz w:val="21"/>
                <w:szCs w:val="21"/>
              </w:rPr>
            </w:pPr>
            <w:r>
              <w:rPr>
                <w:rFonts w:ascii="宋体" w:hAnsi="宋体" w:eastAsia="宋体" w:cs="宋体"/>
                <w:spacing w:val="-2"/>
                <w:sz w:val="21"/>
                <w:szCs w:val="21"/>
              </w:rPr>
              <w:t>监测点数</w:t>
            </w:r>
          </w:p>
        </w:tc>
        <w:tc>
          <w:tcPr>
            <w:tcW w:w="2785" w:type="dxa"/>
            <w:vAlign w:val="top"/>
          </w:tcPr>
          <w:p w14:paraId="776288B2">
            <w:pPr>
              <w:spacing w:before="69" w:line="220" w:lineRule="auto"/>
              <w:ind w:left="980"/>
              <w:rPr>
                <w:rFonts w:ascii="宋体" w:hAnsi="宋体" w:eastAsia="宋体" w:cs="宋体"/>
                <w:sz w:val="21"/>
                <w:szCs w:val="21"/>
              </w:rPr>
            </w:pPr>
            <w:r>
              <w:rPr>
                <w:rFonts w:ascii="宋体" w:hAnsi="宋体" w:eastAsia="宋体" w:cs="宋体"/>
                <w:spacing w:val="-2"/>
                <w:sz w:val="21"/>
                <w:szCs w:val="21"/>
              </w:rPr>
              <w:t>监测项目</w:t>
            </w:r>
          </w:p>
        </w:tc>
        <w:tc>
          <w:tcPr>
            <w:tcW w:w="899" w:type="dxa"/>
            <w:vAlign w:val="top"/>
          </w:tcPr>
          <w:p w14:paraId="2B0592CC">
            <w:pPr>
              <w:spacing w:before="68" w:line="220" w:lineRule="auto"/>
              <w:ind w:left="36"/>
              <w:rPr>
                <w:rFonts w:ascii="宋体" w:hAnsi="宋体" w:eastAsia="宋体" w:cs="宋体"/>
                <w:sz w:val="21"/>
                <w:szCs w:val="21"/>
              </w:rPr>
            </w:pPr>
            <w:r>
              <w:rPr>
                <w:rFonts w:ascii="宋体" w:hAnsi="宋体" w:eastAsia="宋体" w:cs="宋体"/>
                <w:spacing w:val="-2"/>
                <w:sz w:val="21"/>
                <w:szCs w:val="21"/>
              </w:rPr>
              <w:t>监测频率</w:t>
            </w:r>
          </w:p>
        </w:tc>
      </w:tr>
      <w:tr w14:paraId="7B802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Merge w:val="restart"/>
            <w:tcBorders>
              <w:bottom w:val="nil"/>
            </w:tcBorders>
            <w:vAlign w:val="top"/>
          </w:tcPr>
          <w:p w14:paraId="27431109">
            <w:pPr>
              <w:spacing w:line="313" w:lineRule="auto"/>
              <w:rPr>
                <w:rFonts w:ascii="Arial"/>
                <w:sz w:val="21"/>
              </w:rPr>
            </w:pPr>
          </w:p>
          <w:p w14:paraId="64B1BE31">
            <w:pPr>
              <w:spacing w:line="313" w:lineRule="auto"/>
              <w:rPr>
                <w:rFonts w:ascii="Arial"/>
                <w:sz w:val="21"/>
              </w:rPr>
            </w:pPr>
          </w:p>
          <w:p w14:paraId="54850AD5">
            <w:pPr>
              <w:spacing w:before="68" w:line="220" w:lineRule="auto"/>
              <w:ind w:left="223"/>
              <w:rPr>
                <w:rFonts w:ascii="宋体" w:hAnsi="宋体" w:eastAsia="宋体" w:cs="宋体"/>
                <w:sz w:val="21"/>
                <w:szCs w:val="21"/>
              </w:rPr>
            </w:pPr>
            <w:r>
              <w:rPr>
                <w:rFonts w:ascii="宋体" w:hAnsi="宋体" w:eastAsia="宋体" w:cs="宋体"/>
                <w:spacing w:val="-2"/>
                <w:sz w:val="21"/>
                <w:szCs w:val="21"/>
              </w:rPr>
              <w:t>废气</w:t>
            </w:r>
          </w:p>
        </w:tc>
        <w:tc>
          <w:tcPr>
            <w:tcW w:w="709" w:type="dxa"/>
            <w:vMerge w:val="restart"/>
            <w:tcBorders>
              <w:bottom w:val="nil"/>
            </w:tcBorders>
            <w:vAlign w:val="top"/>
          </w:tcPr>
          <w:p w14:paraId="185282EA">
            <w:pPr>
              <w:spacing w:line="452" w:lineRule="auto"/>
              <w:rPr>
                <w:rFonts w:ascii="Arial"/>
                <w:sz w:val="21"/>
              </w:rPr>
            </w:pPr>
          </w:p>
          <w:p w14:paraId="7085457A">
            <w:pPr>
              <w:spacing w:before="68" w:line="220" w:lineRule="auto"/>
              <w:ind w:left="45"/>
              <w:rPr>
                <w:rFonts w:ascii="宋体" w:hAnsi="宋体" w:eastAsia="宋体" w:cs="宋体"/>
                <w:sz w:val="21"/>
                <w:szCs w:val="21"/>
              </w:rPr>
            </w:pPr>
            <w:r>
              <w:rPr>
                <w:rFonts w:ascii="宋体" w:hAnsi="宋体" w:eastAsia="宋体" w:cs="宋体"/>
                <w:spacing w:val="-3"/>
                <w:sz w:val="21"/>
                <w:szCs w:val="21"/>
              </w:rPr>
              <w:t>无组织</w:t>
            </w:r>
          </w:p>
        </w:tc>
        <w:tc>
          <w:tcPr>
            <w:tcW w:w="2125" w:type="dxa"/>
            <w:vAlign w:val="top"/>
          </w:tcPr>
          <w:p w14:paraId="7FF7DC77">
            <w:pPr>
              <w:pStyle w:val="6"/>
              <w:spacing w:before="50" w:line="220" w:lineRule="auto"/>
              <w:ind w:left="34"/>
              <w:rPr>
                <w:rFonts w:ascii="宋体" w:hAnsi="宋体" w:eastAsia="宋体" w:cs="宋体"/>
              </w:rPr>
            </w:pPr>
            <w:r>
              <w:rPr>
                <w:rFonts w:ascii="宋体" w:hAnsi="宋体" w:eastAsia="宋体" w:cs="宋体"/>
                <w:spacing w:val="-1"/>
              </w:rPr>
              <w:t>场界外上风向</w:t>
            </w:r>
            <w:r>
              <w:rPr>
                <w:spacing w:val="-1"/>
              </w:rPr>
              <w:t>2~50m</w:t>
            </w:r>
            <w:r>
              <w:rPr>
                <w:rFonts w:ascii="宋体" w:hAnsi="宋体" w:eastAsia="宋体" w:cs="宋体"/>
                <w:spacing w:val="-1"/>
              </w:rPr>
              <w:t>范</w:t>
            </w:r>
          </w:p>
          <w:p w14:paraId="7DCC4D27">
            <w:pPr>
              <w:spacing w:before="60" w:line="220" w:lineRule="auto"/>
              <w:ind w:left="351"/>
              <w:rPr>
                <w:rFonts w:ascii="宋体" w:hAnsi="宋体" w:eastAsia="宋体" w:cs="宋体"/>
                <w:sz w:val="21"/>
                <w:szCs w:val="21"/>
              </w:rPr>
            </w:pPr>
            <w:r>
              <w:rPr>
                <w:rFonts w:ascii="宋体" w:hAnsi="宋体" w:eastAsia="宋体" w:cs="宋体"/>
                <w:spacing w:val="-6"/>
                <w:sz w:val="21"/>
                <w:szCs w:val="21"/>
              </w:rPr>
              <w:t>围内（对照点）</w:t>
            </w:r>
          </w:p>
        </w:tc>
        <w:tc>
          <w:tcPr>
            <w:tcW w:w="944" w:type="dxa"/>
            <w:vAlign w:val="top"/>
          </w:tcPr>
          <w:p w14:paraId="590440AF">
            <w:pPr>
              <w:pStyle w:val="6"/>
              <w:spacing w:before="234" w:line="188" w:lineRule="auto"/>
              <w:ind w:left="442"/>
            </w:pPr>
            <w:r>
              <w:t>1</w:t>
            </w:r>
          </w:p>
        </w:tc>
        <w:tc>
          <w:tcPr>
            <w:tcW w:w="2785" w:type="dxa"/>
            <w:vMerge w:val="restart"/>
            <w:tcBorders>
              <w:bottom w:val="nil"/>
            </w:tcBorders>
            <w:vAlign w:val="top"/>
          </w:tcPr>
          <w:p w14:paraId="5D2FA668">
            <w:pPr>
              <w:spacing w:line="452" w:lineRule="auto"/>
              <w:rPr>
                <w:rFonts w:ascii="Arial"/>
                <w:sz w:val="21"/>
              </w:rPr>
            </w:pPr>
          </w:p>
          <w:p w14:paraId="011E1A0A">
            <w:pPr>
              <w:pStyle w:val="6"/>
              <w:spacing w:before="68" w:line="217" w:lineRule="auto"/>
              <w:ind w:left="403"/>
              <w:rPr>
                <w:rFonts w:ascii="宋体" w:hAnsi="宋体" w:eastAsia="宋体" w:cs="宋体"/>
              </w:rPr>
            </w:pPr>
            <w:r>
              <w:rPr>
                <w:spacing w:val="-3"/>
              </w:rPr>
              <w:t>NH</w:t>
            </w:r>
            <w:r>
              <w:rPr>
                <w:spacing w:val="-3"/>
                <w:position w:val="-3"/>
                <w:sz w:val="14"/>
                <w:szCs w:val="14"/>
              </w:rPr>
              <w:t>3</w:t>
            </w:r>
            <w:r>
              <w:rPr>
                <w:spacing w:val="-8"/>
                <w:position w:val="-3"/>
                <w:sz w:val="14"/>
                <w:szCs w:val="14"/>
              </w:rPr>
              <w:t xml:space="preserve"> </w:t>
            </w:r>
            <w:r>
              <w:rPr>
                <w:rFonts w:ascii="宋体" w:hAnsi="宋体" w:eastAsia="宋体" w:cs="宋体"/>
                <w:spacing w:val="-3"/>
              </w:rPr>
              <w:t>、</w:t>
            </w:r>
            <w:r>
              <w:rPr>
                <w:spacing w:val="-3"/>
              </w:rPr>
              <w:t>H</w:t>
            </w:r>
            <w:r>
              <w:rPr>
                <w:spacing w:val="-3"/>
                <w:position w:val="-3"/>
                <w:sz w:val="14"/>
                <w:szCs w:val="14"/>
              </w:rPr>
              <w:t>2</w:t>
            </w:r>
            <w:r>
              <w:rPr>
                <w:spacing w:val="-3"/>
              </w:rPr>
              <w:t>S</w:t>
            </w:r>
            <w:r>
              <w:rPr>
                <w:rFonts w:ascii="宋体" w:hAnsi="宋体" w:eastAsia="宋体" w:cs="宋体"/>
                <w:spacing w:val="-3"/>
              </w:rPr>
              <w:t>、臭气浓度</w:t>
            </w:r>
          </w:p>
        </w:tc>
        <w:tc>
          <w:tcPr>
            <w:tcW w:w="899" w:type="dxa"/>
            <w:vMerge w:val="restart"/>
            <w:tcBorders>
              <w:bottom w:val="nil"/>
            </w:tcBorders>
            <w:vAlign w:val="top"/>
          </w:tcPr>
          <w:p w14:paraId="3C0E5CD5">
            <w:pPr>
              <w:spacing w:line="451" w:lineRule="auto"/>
              <w:rPr>
                <w:rFonts w:ascii="Arial"/>
                <w:sz w:val="21"/>
              </w:rPr>
            </w:pPr>
          </w:p>
          <w:p w14:paraId="166E5C05">
            <w:pPr>
              <w:pStyle w:val="6"/>
              <w:spacing w:before="68" w:line="220" w:lineRule="auto"/>
              <w:ind w:left="74"/>
              <w:rPr>
                <w:rFonts w:ascii="宋体" w:hAnsi="宋体" w:eastAsia="宋体" w:cs="宋体"/>
              </w:rPr>
            </w:pPr>
            <w:r>
              <w:rPr>
                <w:spacing w:val="-5"/>
              </w:rPr>
              <w:t>1</w:t>
            </w:r>
            <w:r>
              <w:rPr>
                <w:rFonts w:ascii="宋体" w:hAnsi="宋体" w:eastAsia="宋体" w:cs="宋体"/>
                <w:spacing w:val="-5"/>
              </w:rPr>
              <w:t>次</w:t>
            </w:r>
            <w:r>
              <w:rPr>
                <w:spacing w:val="-5"/>
              </w:rPr>
              <w:t>/</w:t>
            </w:r>
            <w:r>
              <w:rPr>
                <w:rFonts w:ascii="宋体" w:hAnsi="宋体" w:eastAsia="宋体" w:cs="宋体"/>
                <w:spacing w:val="-5"/>
              </w:rPr>
              <w:t>半年</w:t>
            </w:r>
          </w:p>
        </w:tc>
      </w:tr>
      <w:tr w14:paraId="5430F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Merge w:val="continue"/>
            <w:tcBorders>
              <w:top w:val="nil"/>
              <w:bottom w:val="nil"/>
            </w:tcBorders>
            <w:vAlign w:val="top"/>
          </w:tcPr>
          <w:p w14:paraId="48E0D5F4">
            <w:pPr>
              <w:rPr>
                <w:rFonts w:ascii="Arial"/>
                <w:sz w:val="21"/>
              </w:rPr>
            </w:pPr>
          </w:p>
        </w:tc>
        <w:tc>
          <w:tcPr>
            <w:tcW w:w="709" w:type="dxa"/>
            <w:vMerge w:val="continue"/>
            <w:tcBorders>
              <w:top w:val="nil"/>
            </w:tcBorders>
            <w:vAlign w:val="top"/>
          </w:tcPr>
          <w:p w14:paraId="638BA343">
            <w:pPr>
              <w:rPr>
                <w:rFonts w:ascii="Arial"/>
                <w:sz w:val="21"/>
              </w:rPr>
            </w:pPr>
          </w:p>
        </w:tc>
        <w:tc>
          <w:tcPr>
            <w:tcW w:w="2125" w:type="dxa"/>
            <w:vAlign w:val="top"/>
          </w:tcPr>
          <w:p w14:paraId="20382FBA">
            <w:pPr>
              <w:pStyle w:val="6"/>
              <w:spacing w:before="50" w:line="220" w:lineRule="auto"/>
              <w:ind w:left="34"/>
              <w:rPr>
                <w:rFonts w:ascii="宋体" w:hAnsi="宋体" w:eastAsia="宋体" w:cs="宋体"/>
              </w:rPr>
            </w:pPr>
            <w:r>
              <w:rPr>
                <w:rFonts w:ascii="宋体" w:hAnsi="宋体" w:eastAsia="宋体" w:cs="宋体"/>
                <w:spacing w:val="-1"/>
              </w:rPr>
              <w:t>场界外下风向</w:t>
            </w:r>
            <w:r>
              <w:rPr>
                <w:spacing w:val="-1"/>
              </w:rPr>
              <w:t>2~50m</w:t>
            </w:r>
            <w:r>
              <w:rPr>
                <w:rFonts w:ascii="宋体" w:hAnsi="宋体" w:eastAsia="宋体" w:cs="宋体"/>
                <w:spacing w:val="-1"/>
              </w:rPr>
              <w:t>范</w:t>
            </w:r>
          </w:p>
          <w:p w14:paraId="16A82791">
            <w:pPr>
              <w:spacing w:before="60" w:line="220" w:lineRule="auto"/>
              <w:ind w:left="351"/>
              <w:rPr>
                <w:rFonts w:ascii="宋体" w:hAnsi="宋体" w:eastAsia="宋体" w:cs="宋体"/>
                <w:sz w:val="21"/>
                <w:szCs w:val="21"/>
              </w:rPr>
            </w:pPr>
            <w:r>
              <w:rPr>
                <w:rFonts w:ascii="宋体" w:hAnsi="宋体" w:eastAsia="宋体" w:cs="宋体"/>
                <w:spacing w:val="-6"/>
                <w:sz w:val="21"/>
                <w:szCs w:val="21"/>
              </w:rPr>
              <w:t>围内（监控点）</w:t>
            </w:r>
          </w:p>
        </w:tc>
        <w:tc>
          <w:tcPr>
            <w:tcW w:w="944" w:type="dxa"/>
            <w:vAlign w:val="top"/>
          </w:tcPr>
          <w:p w14:paraId="60133403">
            <w:pPr>
              <w:pStyle w:val="6"/>
              <w:spacing w:before="234" w:line="188" w:lineRule="auto"/>
              <w:ind w:left="426"/>
            </w:pPr>
            <w:r>
              <w:t>3</w:t>
            </w:r>
          </w:p>
        </w:tc>
        <w:tc>
          <w:tcPr>
            <w:tcW w:w="2785" w:type="dxa"/>
            <w:vMerge w:val="continue"/>
            <w:tcBorders>
              <w:top w:val="nil"/>
            </w:tcBorders>
            <w:vAlign w:val="top"/>
          </w:tcPr>
          <w:p w14:paraId="57C0F436">
            <w:pPr>
              <w:rPr>
                <w:rFonts w:ascii="Arial"/>
                <w:sz w:val="21"/>
              </w:rPr>
            </w:pPr>
          </w:p>
        </w:tc>
        <w:tc>
          <w:tcPr>
            <w:tcW w:w="899" w:type="dxa"/>
            <w:vMerge w:val="continue"/>
            <w:tcBorders>
              <w:top w:val="nil"/>
            </w:tcBorders>
            <w:vAlign w:val="top"/>
          </w:tcPr>
          <w:p w14:paraId="2DDA2A90">
            <w:pPr>
              <w:rPr>
                <w:rFonts w:ascii="Arial"/>
                <w:sz w:val="21"/>
              </w:rPr>
            </w:pPr>
          </w:p>
        </w:tc>
      </w:tr>
      <w:tr w14:paraId="3949E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Merge w:val="continue"/>
            <w:tcBorders>
              <w:top w:val="nil"/>
            </w:tcBorders>
            <w:vAlign w:val="top"/>
          </w:tcPr>
          <w:p w14:paraId="0E963147">
            <w:pPr>
              <w:rPr>
                <w:rFonts w:ascii="Arial"/>
                <w:sz w:val="21"/>
              </w:rPr>
            </w:pPr>
          </w:p>
        </w:tc>
        <w:tc>
          <w:tcPr>
            <w:tcW w:w="709" w:type="dxa"/>
            <w:vAlign w:val="top"/>
          </w:tcPr>
          <w:p w14:paraId="3648B654">
            <w:pPr>
              <w:spacing w:before="65" w:line="220" w:lineRule="auto"/>
              <w:ind w:left="44"/>
              <w:rPr>
                <w:rFonts w:ascii="宋体" w:hAnsi="宋体" w:eastAsia="宋体" w:cs="宋体"/>
                <w:sz w:val="21"/>
                <w:szCs w:val="21"/>
              </w:rPr>
            </w:pPr>
            <w:r>
              <w:rPr>
                <w:rFonts w:ascii="宋体" w:hAnsi="宋体" w:eastAsia="宋体" w:cs="宋体"/>
                <w:spacing w:val="-3"/>
                <w:sz w:val="21"/>
                <w:szCs w:val="21"/>
              </w:rPr>
              <w:t>有组织</w:t>
            </w:r>
          </w:p>
        </w:tc>
        <w:tc>
          <w:tcPr>
            <w:tcW w:w="2125" w:type="dxa"/>
            <w:vAlign w:val="top"/>
          </w:tcPr>
          <w:p w14:paraId="78FE51E9">
            <w:pPr>
              <w:spacing w:before="65" w:line="220" w:lineRule="auto"/>
              <w:ind w:left="333"/>
              <w:rPr>
                <w:rFonts w:ascii="宋体" w:hAnsi="宋体" w:eastAsia="宋体" w:cs="宋体"/>
                <w:sz w:val="21"/>
                <w:szCs w:val="21"/>
              </w:rPr>
            </w:pPr>
            <w:r>
              <w:rPr>
                <w:rFonts w:ascii="宋体" w:hAnsi="宋体" w:eastAsia="宋体" w:cs="宋体"/>
                <w:spacing w:val="-2"/>
                <w:sz w:val="21"/>
                <w:szCs w:val="21"/>
              </w:rPr>
              <w:t>生物滤池排气筒</w:t>
            </w:r>
          </w:p>
        </w:tc>
        <w:tc>
          <w:tcPr>
            <w:tcW w:w="944" w:type="dxa"/>
            <w:vAlign w:val="top"/>
          </w:tcPr>
          <w:p w14:paraId="19056F10">
            <w:pPr>
              <w:pStyle w:val="6"/>
              <w:spacing w:before="102" w:line="188" w:lineRule="auto"/>
              <w:ind w:left="422"/>
            </w:pPr>
            <w:r>
              <w:t>2</w:t>
            </w:r>
          </w:p>
        </w:tc>
        <w:tc>
          <w:tcPr>
            <w:tcW w:w="2785" w:type="dxa"/>
            <w:vAlign w:val="top"/>
          </w:tcPr>
          <w:p w14:paraId="7E6089A4">
            <w:pPr>
              <w:pStyle w:val="6"/>
              <w:spacing w:before="101" w:line="189" w:lineRule="auto"/>
              <w:ind w:left="928"/>
            </w:pPr>
            <w:r>
              <w:rPr>
                <w:spacing w:val="-3"/>
              </w:rPr>
              <w:t>NH</w:t>
            </w:r>
            <w:r>
              <w:rPr>
                <w:spacing w:val="-3"/>
                <w:position w:val="-2"/>
                <w:sz w:val="14"/>
                <w:szCs w:val="14"/>
              </w:rPr>
              <w:t>3</w:t>
            </w:r>
            <w:r>
              <w:rPr>
                <w:spacing w:val="-12"/>
                <w:position w:val="-2"/>
                <w:sz w:val="14"/>
                <w:szCs w:val="14"/>
              </w:rPr>
              <w:t xml:space="preserve"> </w:t>
            </w:r>
            <w:r>
              <w:rPr>
                <w:rFonts w:ascii="宋体" w:hAnsi="宋体" w:eastAsia="宋体" w:cs="宋体"/>
                <w:spacing w:val="-3"/>
              </w:rPr>
              <w:t>、</w:t>
            </w:r>
            <w:r>
              <w:rPr>
                <w:spacing w:val="-3"/>
              </w:rPr>
              <w:t>H</w:t>
            </w:r>
            <w:r>
              <w:rPr>
                <w:spacing w:val="-3"/>
                <w:position w:val="-2"/>
                <w:sz w:val="14"/>
                <w:szCs w:val="14"/>
              </w:rPr>
              <w:t>2</w:t>
            </w:r>
            <w:r>
              <w:rPr>
                <w:spacing w:val="-3"/>
              </w:rPr>
              <w:t>S</w:t>
            </w:r>
          </w:p>
        </w:tc>
        <w:tc>
          <w:tcPr>
            <w:tcW w:w="899" w:type="dxa"/>
            <w:vAlign w:val="top"/>
          </w:tcPr>
          <w:p w14:paraId="47774BE3">
            <w:pPr>
              <w:pStyle w:val="6"/>
              <w:spacing w:before="65" w:line="220" w:lineRule="auto"/>
              <w:ind w:left="153"/>
              <w:rPr>
                <w:rFonts w:ascii="宋体" w:hAnsi="宋体" w:eastAsia="宋体" w:cs="宋体"/>
              </w:rPr>
            </w:pPr>
            <w:r>
              <w:rPr>
                <w:spacing w:val="-10"/>
              </w:rPr>
              <w:t>1</w:t>
            </w:r>
            <w:r>
              <w:rPr>
                <w:spacing w:val="15"/>
                <w:w w:val="101"/>
              </w:rPr>
              <w:t xml:space="preserve"> </w:t>
            </w:r>
            <w:r>
              <w:rPr>
                <w:rFonts w:ascii="宋体" w:hAnsi="宋体" w:eastAsia="宋体" w:cs="宋体"/>
                <w:spacing w:val="-10"/>
              </w:rPr>
              <w:t>次</w:t>
            </w:r>
            <w:r>
              <w:rPr>
                <w:spacing w:val="-10"/>
              </w:rPr>
              <w:t>/</w:t>
            </w:r>
            <w:r>
              <w:rPr>
                <w:rFonts w:ascii="宋体" w:hAnsi="宋体" w:eastAsia="宋体" w:cs="宋体"/>
                <w:spacing w:val="-10"/>
              </w:rPr>
              <w:t>年</w:t>
            </w:r>
          </w:p>
        </w:tc>
      </w:tr>
      <w:tr w14:paraId="310F1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58" w:type="dxa"/>
            <w:vAlign w:val="top"/>
          </w:tcPr>
          <w:p w14:paraId="5E60A7EB">
            <w:pPr>
              <w:spacing w:line="293" w:lineRule="auto"/>
              <w:rPr>
                <w:rFonts w:ascii="Arial"/>
                <w:sz w:val="21"/>
              </w:rPr>
            </w:pPr>
          </w:p>
          <w:p w14:paraId="0066ECF8">
            <w:pPr>
              <w:spacing w:before="68" w:line="220" w:lineRule="auto"/>
              <w:ind w:left="223"/>
              <w:rPr>
                <w:rFonts w:ascii="宋体" w:hAnsi="宋体" w:eastAsia="宋体" w:cs="宋体"/>
                <w:sz w:val="21"/>
                <w:szCs w:val="21"/>
              </w:rPr>
            </w:pPr>
            <w:r>
              <w:rPr>
                <w:rFonts w:ascii="宋体" w:hAnsi="宋体" w:eastAsia="宋体" w:cs="宋体"/>
                <w:spacing w:val="-2"/>
                <w:sz w:val="21"/>
                <w:szCs w:val="21"/>
              </w:rPr>
              <w:t>废水</w:t>
            </w:r>
          </w:p>
        </w:tc>
        <w:tc>
          <w:tcPr>
            <w:tcW w:w="2834" w:type="dxa"/>
            <w:gridSpan w:val="2"/>
            <w:vAlign w:val="top"/>
          </w:tcPr>
          <w:p w14:paraId="5F94E409">
            <w:pPr>
              <w:spacing w:line="293" w:lineRule="auto"/>
              <w:rPr>
                <w:rFonts w:ascii="Arial"/>
                <w:sz w:val="21"/>
              </w:rPr>
            </w:pPr>
          </w:p>
          <w:p w14:paraId="2DC2953A">
            <w:pPr>
              <w:spacing w:before="68" w:line="220" w:lineRule="auto"/>
              <w:ind w:left="901"/>
              <w:rPr>
                <w:rFonts w:ascii="宋体" w:hAnsi="宋体" w:eastAsia="宋体" w:cs="宋体"/>
                <w:sz w:val="21"/>
                <w:szCs w:val="21"/>
              </w:rPr>
            </w:pPr>
            <w:r>
              <w:rPr>
                <w:rFonts w:ascii="宋体" w:hAnsi="宋体" w:eastAsia="宋体" w:cs="宋体"/>
                <w:spacing w:val="-2"/>
                <w:sz w:val="21"/>
                <w:szCs w:val="21"/>
              </w:rPr>
              <w:t>消毒池出口</w:t>
            </w:r>
          </w:p>
        </w:tc>
        <w:tc>
          <w:tcPr>
            <w:tcW w:w="944" w:type="dxa"/>
            <w:vAlign w:val="top"/>
          </w:tcPr>
          <w:p w14:paraId="1BEBDE1E">
            <w:pPr>
              <w:spacing w:line="337" w:lineRule="auto"/>
              <w:rPr>
                <w:rFonts w:ascii="Arial"/>
                <w:sz w:val="21"/>
              </w:rPr>
            </w:pPr>
          </w:p>
          <w:p w14:paraId="49C82434">
            <w:pPr>
              <w:pStyle w:val="6"/>
              <w:spacing w:before="61" w:line="188" w:lineRule="auto"/>
              <w:ind w:left="442"/>
            </w:pPr>
            <w:r>
              <w:t>1</w:t>
            </w:r>
          </w:p>
        </w:tc>
        <w:tc>
          <w:tcPr>
            <w:tcW w:w="2785" w:type="dxa"/>
            <w:vAlign w:val="top"/>
          </w:tcPr>
          <w:p w14:paraId="25EF29AC">
            <w:pPr>
              <w:pStyle w:val="6"/>
              <w:spacing w:before="52" w:line="220" w:lineRule="auto"/>
              <w:ind w:left="13"/>
              <w:rPr>
                <w:rFonts w:ascii="宋体" w:hAnsi="宋体" w:eastAsia="宋体" w:cs="宋体"/>
              </w:rPr>
            </w:pPr>
            <w:r>
              <w:rPr>
                <w:rFonts w:ascii="宋体" w:hAnsi="宋体" w:eastAsia="宋体" w:cs="宋体"/>
                <w:spacing w:val="-7"/>
              </w:rPr>
              <w:t>流量、</w:t>
            </w:r>
            <w:r>
              <w:rPr>
                <w:spacing w:val="-7"/>
              </w:rPr>
              <w:t>COD</w:t>
            </w:r>
            <w:r>
              <w:rPr>
                <w:rFonts w:ascii="宋体" w:hAnsi="宋体" w:eastAsia="宋体" w:cs="宋体"/>
                <w:spacing w:val="-7"/>
              </w:rPr>
              <w:t>、</w:t>
            </w:r>
            <w:r>
              <w:rPr>
                <w:spacing w:val="-7"/>
              </w:rPr>
              <w:t>BOD</w:t>
            </w:r>
            <w:r>
              <w:rPr>
                <w:spacing w:val="-7"/>
                <w:position w:val="-2"/>
                <w:sz w:val="14"/>
                <w:szCs w:val="14"/>
              </w:rPr>
              <w:t>5</w:t>
            </w:r>
            <w:r>
              <w:rPr>
                <w:rFonts w:ascii="宋体" w:hAnsi="宋体" w:eastAsia="宋体" w:cs="宋体"/>
                <w:spacing w:val="-7"/>
              </w:rPr>
              <w:t>、氨氮、总</w:t>
            </w:r>
          </w:p>
          <w:p w14:paraId="5BB42B05">
            <w:pPr>
              <w:spacing w:before="60" w:line="249" w:lineRule="auto"/>
              <w:ind w:left="875" w:right="23" w:hanging="840"/>
              <w:rPr>
                <w:rFonts w:ascii="宋体" w:hAnsi="宋体" w:eastAsia="宋体" w:cs="宋体"/>
                <w:sz w:val="21"/>
                <w:szCs w:val="21"/>
              </w:rPr>
            </w:pPr>
            <w:r>
              <w:rPr>
                <w:rFonts w:ascii="宋体" w:hAnsi="宋体" w:eastAsia="宋体" w:cs="宋体"/>
                <w:spacing w:val="-1"/>
                <w:sz w:val="21"/>
                <w:szCs w:val="21"/>
              </w:rPr>
              <w:t>磷、总氮、悬浮物、粪大肠菌</w:t>
            </w:r>
            <w:r>
              <w:rPr>
                <w:rFonts w:ascii="宋体" w:hAnsi="宋体" w:eastAsia="宋体" w:cs="宋体"/>
                <w:spacing w:val="-2"/>
                <w:sz w:val="21"/>
                <w:szCs w:val="21"/>
              </w:rPr>
              <w:t>群、蛔虫卵</w:t>
            </w:r>
          </w:p>
        </w:tc>
        <w:tc>
          <w:tcPr>
            <w:tcW w:w="899" w:type="dxa"/>
            <w:vAlign w:val="top"/>
          </w:tcPr>
          <w:p w14:paraId="0EB362C9">
            <w:pPr>
              <w:spacing w:line="292" w:lineRule="auto"/>
              <w:rPr>
                <w:rFonts w:ascii="Arial"/>
                <w:sz w:val="21"/>
              </w:rPr>
            </w:pPr>
          </w:p>
          <w:p w14:paraId="4088EAB1">
            <w:pPr>
              <w:pStyle w:val="6"/>
              <w:spacing w:before="69" w:line="220" w:lineRule="auto"/>
              <w:ind w:left="153"/>
              <w:rPr>
                <w:rFonts w:ascii="宋体" w:hAnsi="宋体" w:eastAsia="宋体" w:cs="宋体"/>
              </w:rPr>
            </w:pPr>
            <w:r>
              <w:rPr>
                <w:spacing w:val="-10"/>
              </w:rPr>
              <w:t>1</w:t>
            </w:r>
            <w:r>
              <w:rPr>
                <w:spacing w:val="15"/>
                <w:w w:val="101"/>
              </w:rPr>
              <w:t xml:space="preserve"> </w:t>
            </w:r>
            <w:r>
              <w:rPr>
                <w:rFonts w:ascii="宋体" w:hAnsi="宋体" w:eastAsia="宋体" w:cs="宋体"/>
                <w:spacing w:val="-10"/>
              </w:rPr>
              <w:t>次</w:t>
            </w:r>
            <w:r>
              <w:rPr>
                <w:spacing w:val="-10"/>
              </w:rPr>
              <w:t>/</w:t>
            </w:r>
            <w:r>
              <w:rPr>
                <w:rFonts w:ascii="宋体" w:hAnsi="宋体" w:eastAsia="宋体" w:cs="宋体"/>
                <w:spacing w:val="-10"/>
              </w:rPr>
              <w:t>年</w:t>
            </w:r>
          </w:p>
        </w:tc>
      </w:tr>
      <w:tr w14:paraId="5E301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58" w:type="dxa"/>
            <w:vAlign w:val="top"/>
          </w:tcPr>
          <w:p w14:paraId="479E9959">
            <w:pPr>
              <w:spacing w:before="67" w:line="220" w:lineRule="auto"/>
              <w:ind w:left="233"/>
              <w:rPr>
                <w:rFonts w:ascii="宋体" w:hAnsi="宋体" w:eastAsia="宋体" w:cs="宋体"/>
                <w:sz w:val="21"/>
                <w:szCs w:val="21"/>
              </w:rPr>
            </w:pPr>
            <w:r>
              <w:rPr>
                <w:rFonts w:ascii="宋体" w:hAnsi="宋体" w:eastAsia="宋体" w:cs="宋体"/>
                <w:spacing w:val="-5"/>
                <w:sz w:val="21"/>
                <w:szCs w:val="21"/>
              </w:rPr>
              <w:t>噪声</w:t>
            </w:r>
          </w:p>
        </w:tc>
        <w:tc>
          <w:tcPr>
            <w:tcW w:w="2834" w:type="dxa"/>
            <w:gridSpan w:val="2"/>
            <w:vAlign w:val="top"/>
          </w:tcPr>
          <w:p w14:paraId="18E2B92E">
            <w:pPr>
              <w:pStyle w:val="6"/>
              <w:spacing w:before="67" w:line="220" w:lineRule="auto"/>
              <w:ind w:left="99"/>
              <w:rPr>
                <w:rFonts w:ascii="宋体" w:hAnsi="宋体" w:eastAsia="宋体" w:cs="宋体"/>
              </w:rPr>
            </w:pPr>
            <w:r>
              <w:rPr>
                <w:rFonts w:ascii="宋体" w:hAnsi="宋体" w:eastAsia="宋体" w:cs="宋体"/>
                <w:spacing w:val="-3"/>
              </w:rPr>
              <w:t>四周围墙外</w:t>
            </w:r>
            <w:r>
              <w:rPr>
                <w:spacing w:val="-3"/>
              </w:rPr>
              <w:t>1m</w:t>
            </w:r>
            <w:r>
              <w:rPr>
                <w:rFonts w:ascii="宋体" w:hAnsi="宋体" w:eastAsia="宋体" w:cs="宋体"/>
                <w:spacing w:val="-3"/>
              </w:rPr>
              <w:t>各设</w:t>
            </w:r>
            <w:r>
              <w:rPr>
                <w:spacing w:val="-3"/>
              </w:rPr>
              <w:t>1</w:t>
            </w:r>
            <w:r>
              <w:rPr>
                <w:rFonts w:ascii="宋体" w:hAnsi="宋体" w:eastAsia="宋体" w:cs="宋体"/>
                <w:spacing w:val="-3"/>
              </w:rPr>
              <w:t>个监测点</w:t>
            </w:r>
          </w:p>
        </w:tc>
        <w:tc>
          <w:tcPr>
            <w:tcW w:w="944" w:type="dxa"/>
            <w:vAlign w:val="top"/>
          </w:tcPr>
          <w:p w14:paraId="4EB96954">
            <w:pPr>
              <w:pStyle w:val="6"/>
              <w:spacing w:before="95" w:line="188" w:lineRule="auto"/>
              <w:ind w:left="421"/>
            </w:pPr>
            <w:r>
              <w:t>4</w:t>
            </w:r>
          </w:p>
        </w:tc>
        <w:tc>
          <w:tcPr>
            <w:tcW w:w="2785" w:type="dxa"/>
            <w:vAlign w:val="top"/>
          </w:tcPr>
          <w:p w14:paraId="266F1942">
            <w:pPr>
              <w:pStyle w:val="6"/>
              <w:spacing w:before="67" w:line="220" w:lineRule="auto"/>
              <w:ind w:left="168"/>
              <w:rPr>
                <w:rFonts w:ascii="宋体" w:hAnsi="宋体" w:eastAsia="宋体" w:cs="宋体"/>
              </w:rPr>
            </w:pPr>
            <w:r>
              <w:rPr>
                <w:rFonts w:ascii="宋体" w:hAnsi="宋体" w:eastAsia="宋体" w:cs="宋体"/>
                <w:spacing w:val="-1"/>
              </w:rPr>
              <w:t>昼夜场界的等效连续</w:t>
            </w:r>
            <w:r>
              <w:rPr>
                <w:spacing w:val="-1"/>
              </w:rPr>
              <w:t>A</w:t>
            </w:r>
            <w:r>
              <w:rPr>
                <w:rFonts w:ascii="宋体" w:hAnsi="宋体" w:eastAsia="宋体" w:cs="宋体"/>
                <w:spacing w:val="-1"/>
              </w:rPr>
              <w:t>声级</w:t>
            </w:r>
          </w:p>
        </w:tc>
        <w:tc>
          <w:tcPr>
            <w:tcW w:w="899" w:type="dxa"/>
            <w:vAlign w:val="top"/>
          </w:tcPr>
          <w:p w14:paraId="238BD53D">
            <w:pPr>
              <w:pStyle w:val="6"/>
              <w:spacing w:before="67" w:line="220" w:lineRule="auto"/>
              <w:ind w:left="74"/>
              <w:rPr>
                <w:rFonts w:ascii="宋体" w:hAnsi="宋体" w:eastAsia="宋体" w:cs="宋体"/>
              </w:rPr>
            </w:pPr>
            <w:r>
              <w:rPr>
                <w:spacing w:val="-5"/>
              </w:rPr>
              <w:t>1</w:t>
            </w:r>
            <w:r>
              <w:rPr>
                <w:rFonts w:ascii="宋体" w:hAnsi="宋体" w:eastAsia="宋体" w:cs="宋体"/>
                <w:spacing w:val="-5"/>
              </w:rPr>
              <w:t>次</w:t>
            </w:r>
            <w:r>
              <w:rPr>
                <w:spacing w:val="-5"/>
              </w:rPr>
              <w:t>/</w:t>
            </w:r>
            <w:r>
              <w:rPr>
                <w:rFonts w:ascii="宋体" w:hAnsi="宋体" w:eastAsia="宋体" w:cs="宋体"/>
                <w:spacing w:val="-5"/>
              </w:rPr>
              <w:t>季度</w:t>
            </w:r>
          </w:p>
        </w:tc>
      </w:tr>
      <w:tr w14:paraId="5EC0C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Align w:val="top"/>
          </w:tcPr>
          <w:p w14:paraId="3023AC35">
            <w:pPr>
              <w:spacing w:before="209" w:line="220" w:lineRule="auto"/>
              <w:ind w:left="119"/>
              <w:rPr>
                <w:rFonts w:ascii="宋体" w:hAnsi="宋体" w:eastAsia="宋体" w:cs="宋体"/>
                <w:sz w:val="21"/>
                <w:szCs w:val="21"/>
              </w:rPr>
            </w:pPr>
            <w:r>
              <w:rPr>
                <w:rFonts w:ascii="宋体" w:hAnsi="宋体" w:eastAsia="宋体" w:cs="宋体"/>
                <w:spacing w:val="-2"/>
                <w:sz w:val="21"/>
                <w:szCs w:val="21"/>
              </w:rPr>
              <w:t>地下水</w:t>
            </w:r>
          </w:p>
        </w:tc>
        <w:tc>
          <w:tcPr>
            <w:tcW w:w="2834" w:type="dxa"/>
            <w:gridSpan w:val="2"/>
            <w:vAlign w:val="top"/>
          </w:tcPr>
          <w:p w14:paraId="24537654">
            <w:pPr>
              <w:spacing w:before="209" w:line="220" w:lineRule="auto"/>
              <w:ind w:left="581"/>
              <w:rPr>
                <w:rFonts w:ascii="宋体" w:hAnsi="宋体" w:eastAsia="宋体" w:cs="宋体"/>
                <w:sz w:val="21"/>
                <w:szCs w:val="21"/>
              </w:rPr>
            </w:pPr>
            <w:r>
              <w:rPr>
                <w:rFonts w:ascii="宋体" w:hAnsi="宋体" w:eastAsia="宋体" w:cs="宋体"/>
                <w:spacing w:val="-1"/>
                <w:sz w:val="21"/>
                <w:szCs w:val="21"/>
              </w:rPr>
              <w:t>地下水跟踪监测井</w:t>
            </w:r>
          </w:p>
        </w:tc>
        <w:tc>
          <w:tcPr>
            <w:tcW w:w="944" w:type="dxa"/>
            <w:vAlign w:val="top"/>
          </w:tcPr>
          <w:p w14:paraId="0386C3A5">
            <w:pPr>
              <w:pStyle w:val="6"/>
              <w:spacing w:before="237" w:line="188" w:lineRule="auto"/>
              <w:ind w:left="442"/>
            </w:pPr>
            <w:r>
              <w:t>1</w:t>
            </w:r>
          </w:p>
        </w:tc>
        <w:tc>
          <w:tcPr>
            <w:tcW w:w="2785" w:type="dxa"/>
            <w:vAlign w:val="top"/>
          </w:tcPr>
          <w:p w14:paraId="0181F5BD">
            <w:pPr>
              <w:spacing w:before="53" w:line="248" w:lineRule="auto"/>
              <w:ind w:left="346" w:hanging="333"/>
              <w:rPr>
                <w:rFonts w:ascii="宋体" w:hAnsi="宋体" w:eastAsia="宋体" w:cs="宋体"/>
                <w:sz w:val="21"/>
                <w:szCs w:val="21"/>
              </w:rPr>
            </w:pPr>
            <w:r>
              <w:rPr>
                <w:rFonts w:ascii="宋体" w:hAnsi="宋体" w:eastAsia="宋体" w:cs="宋体"/>
                <w:spacing w:val="-13"/>
                <w:sz w:val="21"/>
                <w:szCs w:val="21"/>
              </w:rPr>
              <w:t>耗氧量、氨氮、溶解性总固体、</w:t>
            </w:r>
            <w:r>
              <w:rPr>
                <w:rFonts w:ascii="宋体" w:hAnsi="宋体" w:eastAsia="宋体" w:cs="宋体"/>
                <w:spacing w:val="-7"/>
                <w:sz w:val="21"/>
                <w:szCs w:val="21"/>
              </w:rPr>
              <w:t>总大肠菌群、细菌总数</w:t>
            </w:r>
          </w:p>
        </w:tc>
        <w:tc>
          <w:tcPr>
            <w:tcW w:w="899" w:type="dxa"/>
            <w:vAlign w:val="top"/>
          </w:tcPr>
          <w:p w14:paraId="5E163C38">
            <w:pPr>
              <w:pStyle w:val="6"/>
              <w:spacing w:before="209" w:line="220" w:lineRule="auto"/>
              <w:ind w:left="180"/>
              <w:rPr>
                <w:rFonts w:ascii="宋体" w:hAnsi="宋体" w:eastAsia="宋体" w:cs="宋体"/>
              </w:rPr>
            </w:pPr>
            <w:r>
              <w:rPr>
                <w:spacing w:val="-6"/>
              </w:rPr>
              <w:t>1</w:t>
            </w:r>
            <w:r>
              <w:rPr>
                <w:rFonts w:ascii="宋体" w:hAnsi="宋体" w:eastAsia="宋体" w:cs="宋体"/>
                <w:spacing w:val="-6"/>
              </w:rPr>
              <w:t>次</w:t>
            </w:r>
            <w:r>
              <w:rPr>
                <w:spacing w:val="-6"/>
              </w:rPr>
              <w:t>/</w:t>
            </w:r>
            <w:r>
              <w:rPr>
                <w:rFonts w:ascii="宋体" w:hAnsi="宋体" w:eastAsia="宋体" w:cs="宋体"/>
                <w:spacing w:val="-6"/>
              </w:rPr>
              <w:t>年</w:t>
            </w:r>
          </w:p>
        </w:tc>
      </w:tr>
      <w:tr w14:paraId="5C894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8" w:type="dxa"/>
            <w:vMerge w:val="restart"/>
            <w:tcBorders>
              <w:bottom w:val="nil"/>
            </w:tcBorders>
            <w:vAlign w:val="top"/>
          </w:tcPr>
          <w:p w14:paraId="3116EBFA">
            <w:pPr>
              <w:spacing w:line="457" w:lineRule="auto"/>
              <w:rPr>
                <w:rFonts w:ascii="Arial"/>
                <w:sz w:val="21"/>
              </w:rPr>
            </w:pPr>
          </w:p>
          <w:p w14:paraId="17477F09">
            <w:pPr>
              <w:spacing w:before="68" w:line="221" w:lineRule="auto"/>
              <w:ind w:left="224"/>
              <w:rPr>
                <w:rFonts w:ascii="宋体" w:hAnsi="宋体" w:eastAsia="宋体" w:cs="宋体"/>
                <w:sz w:val="21"/>
                <w:szCs w:val="21"/>
              </w:rPr>
            </w:pPr>
            <w:r>
              <w:rPr>
                <w:rFonts w:ascii="宋体" w:hAnsi="宋体" w:eastAsia="宋体" w:cs="宋体"/>
                <w:spacing w:val="-3"/>
                <w:sz w:val="21"/>
                <w:szCs w:val="21"/>
              </w:rPr>
              <w:t>土壤</w:t>
            </w:r>
          </w:p>
        </w:tc>
        <w:tc>
          <w:tcPr>
            <w:tcW w:w="2834" w:type="dxa"/>
            <w:gridSpan w:val="2"/>
            <w:vAlign w:val="top"/>
          </w:tcPr>
          <w:p w14:paraId="01B08814">
            <w:pPr>
              <w:spacing w:before="210" w:line="220" w:lineRule="auto"/>
              <w:ind w:left="1002"/>
              <w:rPr>
                <w:rFonts w:ascii="宋体" w:hAnsi="宋体" w:eastAsia="宋体" w:cs="宋体"/>
                <w:sz w:val="21"/>
                <w:szCs w:val="21"/>
              </w:rPr>
            </w:pPr>
            <w:r>
              <w:rPr>
                <w:rFonts w:ascii="宋体" w:hAnsi="宋体" w:eastAsia="宋体" w:cs="宋体"/>
                <w:spacing w:val="-2"/>
                <w:sz w:val="21"/>
                <w:szCs w:val="21"/>
              </w:rPr>
              <w:t>养殖场内</w:t>
            </w:r>
          </w:p>
        </w:tc>
        <w:tc>
          <w:tcPr>
            <w:tcW w:w="944" w:type="dxa"/>
            <w:vAlign w:val="top"/>
          </w:tcPr>
          <w:p w14:paraId="197235A9">
            <w:pPr>
              <w:pStyle w:val="6"/>
              <w:spacing w:before="239" w:line="188" w:lineRule="auto"/>
              <w:ind w:left="442"/>
            </w:pPr>
            <w:r>
              <w:t>1</w:t>
            </w:r>
          </w:p>
        </w:tc>
        <w:tc>
          <w:tcPr>
            <w:tcW w:w="2785" w:type="dxa"/>
            <w:vAlign w:val="top"/>
          </w:tcPr>
          <w:p w14:paraId="7B7CABC6">
            <w:pPr>
              <w:pStyle w:val="6"/>
              <w:spacing w:before="55" w:line="212" w:lineRule="auto"/>
              <w:jc w:val="right"/>
              <w:rPr>
                <w:rFonts w:ascii="宋体" w:hAnsi="宋体" w:eastAsia="宋体" w:cs="宋体"/>
              </w:rPr>
            </w:pPr>
            <w:r>
              <w:rPr>
                <w:spacing w:val="-15"/>
              </w:rPr>
              <w:t>pH</w:t>
            </w:r>
            <w:r>
              <w:rPr>
                <w:rFonts w:ascii="宋体" w:hAnsi="宋体" w:eastAsia="宋体" w:cs="宋体"/>
                <w:spacing w:val="-15"/>
              </w:rPr>
              <w:t>、镉、汞、砷、铅、铬、铜、</w:t>
            </w:r>
          </w:p>
          <w:p w14:paraId="67027F0F">
            <w:pPr>
              <w:spacing w:before="71" w:line="220" w:lineRule="auto"/>
              <w:ind w:left="1084"/>
              <w:rPr>
                <w:rFonts w:ascii="宋体" w:hAnsi="宋体" w:eastAsia="宋体" w:cs="宋体"/>
                <w:sz w:val="21"/>
                <w:szCs w:val="21"/>
              </w:rPr>
            </w:pPr>
            <w:r>
              <w:rPr>
                <w:rFonts w:ascii="宋体" w:hAnsi="宋体" w:eastAsia="宋体" w:cs="宋体"/>
                <w:spacing w:val="-2"/>
                <w:sz w:val="21"/>
                <w:szCs w:val="21"/>
              </w:rPr>
              <w:t>镍、锌</w:t>
            </w:r>
          </w:p>
        </w:tc>
        <w:tc>
          <w:tcPr>
            <w:tcW w:w="899" w:type="dxa"/>
            <w:vAlign w:val="top"/>
          </w:tcPr>
          <w:p w14:paraId="4913DBF2">
            <w:pPr>
              <w:spacing w:before="54" w:line="248" w:lineRule="auto"/>
              <w:ind w:left="350" w:right="26" w:hanging="312"/>
              <w:rPr>
                <w:rFonts w:ascii="宋体" w:hAnsi="宋体" w:eastAsia="宋体" w:cs="宋体"/>
                <w:sz w:val="21"/>
                <w:szCs w:val="21"/>
              </w:rPr>
            </w:pPr>
            <w:r>
              <w:rPr>
                <w:rFonts w:ascii="宋体" w:hAnsi="宋体" w:eastAsia="宋体" w:cs="宋体"/>
                <w:spacing w:val="-3"/>
                <w:sz w:val="21"/>
                <w:szCs w:val="21"/>
              </w:rPr>
              <w:t>必要时开</w:t>
            </w:r>
            <w:r>
              <w:rPr>
                <w:rFonts w:ascii="宋体" w:hAnsi="宋体" w:eastAsia="宋体" w:cs="宋体"/>
                <w:sz w:val="21"/>
                <w:szCs w:val="21"/>
              </w:rPr>
              <w:t>展</w:t>
            </w:r>
          </w:p>
        </w:tc>
      </w:tr>
      <w:tr w14:paraId="59E62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8" w:type="dxa"/>
            <w:vMerge w:val="continue"/>
            <w:tcBorders>
              <w:top w:val="nil"/>
            </w:tcBorders>
            <w:vAlign w:val="top"/>
          </w:tcPr>
          <w:p w14:paraId="6FF02B6D">
            <w:pPr>
              <w:rPr>
                <w:rFonts w:ascii="Arial"/>
                <w:sz w:val="21"/>
              </w:rPr>
            </w:pPr>
          </w:p>
        </w:tc>
        <w:tc>
          <w:tcPr>
            <w:tcW w:w="2834" w:type="dxa"/>
            <w:gridSpan w:val="2"/>
            <w:vAlign w:val="top"/>
          </w:tcPr>
          <w:p w14:paraId="164060F9">
            <w:pPr>
              <w:spacing w:before="210" w:line="220" w:lineRule="auto"/>
              <w:ind w:left="1005"/>
              <w:rPr>
                <w:rFonts w:ascii="宋体" w:hAnsi="宋体" w:eastAsia="宋体" w:cs="宋体"/>
                <w:sz w:val="21"/>
                <w:szCs w:val="21"/>
              </w:rPr>
            </w:pPr>
            <w:r>
              <w:rPr>
                <w:rFonts w:ascii="宋体" w:hAnsi="宋体" w:eastAsia="宋体" w:cs="宋体"/>
                <w:spacing w:val="-3"/>
                <w:sz w:val="21"/>
                <w:szCs w:val="21"/>
              </w:rPr>
              <w:t>消纳地内</w:t>
            </w:r>
          </w:p>
        </w:tc>
        <w:tc>
          <w:tcPr>
            <w:tcW w:w="944" w:type="dxa"/>
            <w:vAlign w:val="top"/>
          </w:tcPr>
          <w:p w14:paraId="544A1F25">
            <w:pPr>
              <w:pStyle w:val="6"/>
              <w:spacing w:before="239" w:line="188" w:lineRule="auto"/>
              <w:ind w:left="442"/>
            </w:pPr>
            <w:r>
              <w:t>1</w:t>
            </w:r>
          </w:p>
        </w:tc>
        <w:tc>
          <w:tcPr>
            <w:tcW w:w="2785" w:type="dxa"/>
            <w:vAlign w:val="top"/>
          </w:tcPr>
          <w:p w14:paraId="6E71AB7D">
            <w:pPr>
              <w:pStyle w:val="6"/>
              <w:spacing w:before="55" w:line="212" w:lineRule="auto"/>
              <w:jc w:val="right"/>
              <w:rPr>
                <w:rFonts w:ascii="宋体" w:hAnsi="宋体" w:eastAsia="宋体" w:cs="宋体"/>
              </w:rPr>
            </w:pPr>
            <w:r>
              <w:rPr>
                <w:spacing w:val="-15"/>
              </w:rPr>
              <w:t>pH</w:t>
            </w:r>
            <w:r>
              <w:rPr>
                <w:rFonts w:ascii="宋体" w:hAnsi="宋体" w:eastAsia="宋体" w:cs="宋体"/>
                <w:spacing w:val="-15"/>
              </w:rPr>
              <w:t>、镉、汞、砷、铅、铬、铜、</w:t>
            </w:r>
          </w:p>
          <w:p w14:paraId="103DBC46">
            <w:pPr>
              <w:spacing w:before="71" w:line="220" w:lineRule="auto"/>
              <w:ind w:left="1084"/>
              <w:rPr>
                <w:rFonts w:ascii="宋体" w:hAnsi="宋体" w:eastAsia="宋体" w:cs="宋体"/>
                <w:sz w:val="21"/>
                <w:szCs w:val="21"/>
              </w:rPr>
            </w:pPr>
            <w:r>
              <w:rPr>
                <w:rFonts w:ascii="宋体" w:hAnsi="宋体" w:eastAsia="宋体" w:cs="宋体"/>
                <w:spacing w:val="-2"/>
                <w:sz w:val="21"/>
                <w:szCs w:val="21"/>
              </w:rPr>
              <w:t>镍、锌</w:t>
            </w:r>
          </w:p>
        </w:tc>
        <w:tc>
          <w:tcPr>
            <w:tcW w:w="899" w:type="dxa"/>
            <w:vAlign w:val="top"/>
          </w:tcPr>
          <w:p w14:paraId="62C1D5F1">
            <w:pPr>
              <w:pStyle w:val="6"/>
              <w:spacing w:before="210" w:line="220" w:lineRule="auto"/>
              <w:ind w:left="180"/>
              <w:rPr>
                <w:rFonts w:ascii="宋体" w:hAnsi="宋体" w:eastAsia="宋体" w:cs="宋体"/>
              </w:rPr>
            </w:pPr>
            <w:r>
              <w:rPr>
                <w:spacing w:val="-6"/>
              </w:rPr>
              <w:t>1</w:t>
            </w:r>
            <w:r>
              <w:rPr>
                <w:rFonts w:ascii="宋体" w:hAnsi="宋体" w:eastAsia="宋体" w:cs="宋体"/>
                <w:spacing w:val="-6"/>
              </w:rPr>
              <w:t>次</w:t>
            </w:r>
            <w:r>
              <w:rPr>
                <w:spacing w:val="-6"/>
              </w:rPr>
              <w:t>/</w:t>
            </w:r>
            <w:r>
              <w:rPr>
                <w:rFonts w:ascii="宋体" w:hAnsi="宋体" w:eastAsia="宋体" w:cs="宋体"/>
                <w:spacing w:val="-6"/>
              </w:rPr>
              <w:t>年</w:t>
            </w:r>
          </w:p>
        </w:tc>
      </w:tr>
    </w:tbl>
    <w:p w14:paraId="7F77022C">
      <w:pPr>
        <w:spacing w:before="271" w:line="220" w:lineRule="auto"/>
        <w:ind w:left="40"/>
        <w:outlineLvl w:val="1"/>
        <w:rPr>
          <w:rFonts w:ascii="宋体" w:hAnsi="宋体" w:eastAsia="宋体" w:cs="宋体"/>
          <w:sz w:val="32"/>
          <w:szCs w:val="32"/>
        </w:rPr>
      </w:pPr>
      <w:bookmarkStart w:id="70" w:name="bookmark44"/>
      <w:bookmarkEnd w:id="70"/>
      <w:r>
        <w:rPr>
          <w:rFonts w:ascii="Times New Roman" w:hAnsi="Times New Roman" w:eastAsia="Times New Roman" w:cs="Times New Roman"/>
          <w:b/>
          <w:bCs/>
          <w:spacing w:val="-3"/>
          <w:sz w:val="32"/>
          <w:szCs w:val="32"/>
        </w:rPr>
        <w:t xml:space="preserve">7.7  </w:t>
      </w:r>
      <w:r>
        <w:rPr>
          <w:rFonts w:ascii="宋体" w:hAnsi="宋体" w:eastAsia="宋体" w:cs="宋体"/>
          <w:b/>
          <w:bCs/>
          <w:spacing w:val="-3"/>
          <w:sz w:val="32"/>
          <w:szCs w:val="32"/>
        </w:rPr>
        <w:t>竣工环境保护验收</w:t>
      </w:r>
    </w:p>
    <w:p w14:paraId="6C258309">
      <w:pPr>
        <w:pStyle w:val="2"/>
        <w:spacing w:line="245" w:lineRule="auto"/>
      </w:pPr>
    </w:p>
    <w:p w14:paraId="72EE16D7">
      <w:pPr>
        <w:spacing w:before="79" w:line="351" w:lineRule="auto"/>
        <w:ind w:left="38" w:firstLine="483"/>
        <w:jc w:val="both"/>
        <w:rPr>
          <w:rFonts w:ascii="宋体" w:hAnsi="宋体" w:eastAsia="宋体" w:cs="宋体"/>
          <w:sz w:val="24"/>
          <w:szCs w:val="24"/>
        </w:rPr>
      </w:pPr>
      <w:r>
        <w:rPr>
          <w:rFonts w:ascii="宋体" w:hAnsi="宋体" w:eastAsia="宋体" w:cs="宋体"/>
          <w:spacing w:val="4"/>
          <w:sz w:val="24"/>
          <w:szCs w:val="24"/>
        </w:rPr>
        <w:t>建设单位在落实环评报告书及其批复文件提出的各项环境保护措施的情况</w:t>
      </w:r>
      <w:r>
        <w:rPr>
          <w:rFonts w:ascii="宋体" w:hAnsi="宋体" w:eastAsia="宋体" w:cs="宋体"/>
          <w:spacing w:val="-3"/>
          <w:sz w:val="24"/>
          <w:szCs w:val="24"/>
        </w:rPr>
        <w:t>下，根据项目实际情况自行决定建设项目投入生产（运</w:t>
      </w:r>
      <w:r>
        <w:rPr>
          <w:rFonts w:ascii="宋体" w:hAnsi="宋体" w:eastAsia="宋体" w:cs="宋体"/>
          <w:spacing w:val="-4"/>
          <w:sz w:val="24"/>
          <w:szCs w:val="24"/>
        </w:rPr>
        <w:t>行）的时间。根据《“十</w:t>
      </w:r>
      <w:r>
        <w:rPr>
          <w:rFonts w:ascii="宋体" w:hAnsi="宋体" w:eastAsia="宋体" w:cs="宋体"/>
          <w:spacing w:val="-1"/>
          <w:sz w:val="24"/>
          <w:szCs w:val="24"/>
        </w:rPr>
        <w:t>三五”环境影响评价改革实施方案》（环评</w:t>
      </w:r>
      <w:r>
        <w:rPr>
          <w:rFonts w:ascii="Times New Roman" w:hAnsi="Times New Roman" w:eastAsia="Times New Roman" w:cs="Times New Roman"/>
          <w:spacing w:val="-1"/>
          <w:sz w:val="24"/>
          <w:szCs w:val="24"/>
        </w:rPr>
        <w:t>[</w:t>
      </w:r>
      <w:r>
        <w:fldChar w:fldCharType="begin"/>
      </w:r>
      <w:r>
        <w:instrText xml:space="preserve"> HYPERLINK \l "bookmark196" </w:instrText>
      </w:r>
      <w:r>
        <w:fldChar w:fldCharType="separate"/>
      </w:r>
      <w:r>
        <w:rPr>
          <w:rFonts w:ascii="Times New Roman" w:hAnsi="Times New Roman" w:eastAsia="Times New Roman" w:cs="Times New Roman"/>
          <w:spacing w:val="-1"/>
          <w:sz w:val="24"/>
          <w:szCs w:val="24"/>
        </w:rPr>
        <w:t>2016</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]95</w:t>
      </w:r>
      <w:r>
        <w:rPr>
          <w:rFonts w:ascii="宋体" w:hAnsi="宋体" w:eastAsia="宋体" w:cs="宋体"/>
          <w:spacing w:val="-1"/>
          <w:sz w:val="24"/>
          <w:szCs w:val="24"/>
        </w:rPr>
        <w:t>号）中规定：取消环保竣工</w:t>
      </w:r>
      <w:r>
        <w:rPr>
          <w:rFonts w:ascii="宋体" w:hAnsi="宋体" w:eastAsia="宋体" w:cs="宋体"/>
          <w:spacing w:val="-6"/>
          <w:sz w:val="24"/>
          <w:szCs w:val="24"/>
        </w:rPr>
        <w:t>验收行政许可，建立环评、“三同时”和排污许可衔接的管理机</w:t>
      </w:r>
      <w:r>
        <w:rPr>
          <w:rFonts w:ascii="宋体" w:hAnsi="宋体" w:eastAsia="宋体" w:cs="宋体"/>
          <w:spacing w:val="-7"/>
          <w:sz w:val="24"/>
          <w:szCs w:val="24"/>
        </w:rPr>
        <w:t>制， 对建设项目</w:t>
      </w:r>
      <w:r>
        <w:rPr>
          <w:rFonts w:ascii="宋体" w:hAnsi="宋体" w:eastAsia="宋体" w:cs="宋体"/>
          <w:spacing w:val="-3"/>
          <w:sz w:val="24"/>
          <w:szCs w:val="24"/>
        </w:rPr>
        <w:t>环评文件及其批复中污染物排放控制有关要求，在排污许可证中载明，将企业落</w:t>
      </w:r>
      <w:r>
        <w:rPr>
          <w:rFonts w:ascii="宋体" w:hAnsi="宋体" w:eastAsia="宋体" w:cs="宋体"/>
          <w:sz w:val="24"/>
          <w:szCs w:val="24"/>
        </w:rPr>
        <w:t>实“三同时”作为申领排污许可证的前提；根据国务院第</w:t>
      </w:r>
      <w:r>
        <w:rPr>
          <w:rFonts w:ascii="Times New Roman" w:hAnsi="Times New Roman" w:eastAsia="Times New Roman" w:cs="Times New Roman"/>
          <w:sz w:val="24"/>
          <w:szCs w:val="24"/>
        </w:rPr>
        <w:t>682</w:t>
      </w:r>
      <w:r>
        <w:rPr>
          <w:rFonts w:ascii="宋体" w:hAnsi="宋体" w:eastAsia="宋体" w:cs="宋体"/>
          <w:sz w:val="24"/>
          <w:szCs w:val="24"/>
        </w:rPr>
        <w:t>号令《建设项目环</w:t>
      </w:r>
      <w:r>
        <w:rPr>
          <w:rFonts w:ascii="宋体" w:hAnsi="宋体" w:eastAsia="宋体" w:cs="宋体"/>
          <w:spacing w:val="-5"/>
          <w:sz w:val="24"/>
          <w:szCs w:val="24"/>
        </w:rPr>
        <w:t>境保护管理条例》，</w:t>
      </w:r>
      <w:r>
        <w:rPr>
          <w:rFonts w:ascii="宋体" w:hAnsi="宋体" w:eastAsia="宋体" w:cs="宋体"/>
          <w:spacing w:val="-40"/>
          <w:sz w:val="24"/>
          <w:szCs w:val="24"/>
        </w:rPr>
        <w:t xml:space="preserve"> </w:t>
      </w:r>
      <w:r>
        <w:rPr>
          <w:rFonts w:ascii="宋体" w:hAnsi="宋体" w:eastAsia="宋体" w:cs="宋体"/>
          <w:spacing w:val="-5"/>
          <w:sz w:val="24"/>
          <w:szCs w:val="24"/>
        </w:rPr>
        <w:t>建设项目竣工后，建设单位应当按照国务</w:t>
      </w:r>
      <w:r>
        <w:rPr>
          <w:rFonts w:ascii="宋体" w:hAnsi="宋体" w:eastAsia="宋体" w:cs="宋体"/>
          <w:spacing w:val="-6"/>
          <w:sz w:val="24"/>
          <w:szCs w:val="24"/>
        </w:rPr>
        <w:t>院环境保护行政主</w:t>
      </w:r>
      <w:r>
        <w:rPr>
          <w:rFonts w:ascii="宋体" w:hAnsi="宋体" w:eastAsia="宋体" w:cs="宋体"/>
          <w:spacing w:val="-7"/>
          <w:sz w:val="24"/>
          <w:szCs w:val="24"/>
        </w:rPr>
        <w:t>管部门规定的标准和程序，对配套建设的环境保护设施进行验收，编</w:t>
      </w:r>
      <w:r>
        <w:rPr>
          <w:rFonts w:ascii="宋体" w:hAnsi="宋体" w:eastAsia="宋体" w:cs="宋体"/>
          <w:spacing w:val="-8"/>
          <w:sz w:val="24"/>
          <w:szCs w:val="24"/>
        </w:rPr>
        <w:t>制验收报告。</w:t>
      </w:r>
      <w:r>
        <w:rPr>
          <w:rFonts w:ascii="宋体" w:hAnsi="宋体" w:eastAsia="宋体" w:cs="宋体"/>
          <w:spacing w:val="-3"/>
          <w:sz w:val="24"/>
          <w:szCs w:val="24"/>
        </w:rPr>
        <w:t>建设单位在环境保护设施验收过程中，应当如实查验、监测、记载建设项目环境</w:t>
      </w:r>
      <w:r>
        <w:rPr>
          <w:rFonts w:ascii="宋体" w:hAnsi="宋体" w:eastAsia="宋体" w:cs="宋体"/>
          <w:spacing w:val="-8"/>
          <w:sz w:val="24"/>
          <w:szCs w:val="24"/>
        </w:rPr>
        <w:t>保护设施的建设和调试情况，不得弄虚作假。除按照国家规定需要保密的情形外，</w:t>
      </w:r>
      <w:r>
        <w:rPr>
          <w:rFonts w:ascii="宋体" w:hAnsi="宋体" w:eastAsia="宋体" w:cs="宋体"/>
          <w:spacing w:val="-3"/>
          <w:sz w:val="24"/>
          <w:szCs w:val="24"/>
        </w:rPr>
        <w:t>建设单位应当依法向社会公开验收报告。</w:t>
      </w:r>
    </w:p>
    <w:p w14:paraId="57368D82">
      <w:pPr>
        <w:spacing w:line="351" w:lineRule="auto"/>
        <w:rPr>
          <w:rFonts w:ascii="宋体" w:hAnsi="宋体" w:eastAsia="宋体" w:cs="宋体"/>
          <w:sz w:val="24"/>
          <w:szCs w:val="24"/>
        </w:rPr>
        <w:sectPr>
          <w:headerReference r:id="rId512" w:type="default"/>
          <w:footerReference r:id="rId513" w:type="default"/>
          <w:pgSz w:w="11905" w:h="16840"/>
          <w:pgMar w:top="1168" w:right="1712" w:bottom="1409" w:left="1770" w:header="828" w:footer="1244" w:gutter="0"/>
          <w:cols w:space="720" w:num="1"/>
        </w:sectPr>
      </w:pPr>
    </w:p>
    <w:p w14:paraId="6931EF78">
      <w:pPr>
        <w:pStyle w:val="2"/>
        <w:spacing w:line="305" w:lineRule="auto"/>
      </w:pPr>
    </w:p>
    <w:p w14:paraId="5D8B1AD1">
      <w:pPr>
        <w:spacing w:before="78" w:line="361" w:lineRule="auto"/>
        <w:ind w:left="39" w:right="56" w:firstLine="480"/>
        <w:rPr>
          <w:rFonts w:ascii="宋体" w:hAnsi="宋体" w:eastAsia="宋体" w:cs="宋体"/>
          <w:sz w:val="24"/>
          <w:szCs w:val="24"/>
        </w:rPr>
      </w:pPr>
      <w:r>
        <w:rPr>
          <w:rFonts w:ascii="宋体" w:hAnsi="宋体" w:eastAsia="宋体" w:cs="宋体"/>
          <w:spacing w:val="-11"/>
          <w:sz w:val="24"/>
          <w:szCs w:val="24"/>
        </w:rPr>
        <w:t>本项目建成后，建设单位应根据《建设项目竣工环境保护验收暂行办法》（国</w:t>
      </w:r>
      <w:r>
        <w:rPr>
          <w:rFonts w:ascii="宋体" w:hAnsi="宋体" w:eastAsia="宋体" w:cs="宋体"/>
          <w:spacing w:val="-1"/>
          <w:sz w:val="24"/>
          <w:szCs w:val="24"/>
        </w:rPr>
        <w:t>环规环评</w:t>
      </w:r>
      <w:r>
        <w:rPr>
          <w:rFonts w:ascii="Times New Roman" w:hAnsi="Times New Roman" w:eastAsia="Times New Roman" w:cs="Times New Roman"/>
          <w:spacing w:val="-1"/>
          <w:sz w:val="24"/>
          <w:szCs w:val="24"/>
        </w:rPr>
        <w:t>[</w:t>
      </w:r>
      <w:r>
        <w:fldChar w:fldCharType="begin"/>
      </w:r>
      <w:r>
        <w:instrText xml:space="preserve"> HYPERLINK \l "bookmark197" </w:instrText>
      </w:r>
      <w:r>
        <w:fldChar w:fldCharType="separate"/>
      </w:r>
      <w:r>
        <w:rPr>
          <w:rFonts w:ascii="Times New Roman" w:hAnsi="Times New Roman" w:eastAsia="Times New Roman" w:cs="Times New Roman"/>
          <w:spacing w:val="-1"/>
          <w:sz w:val="24"/>
          <w:szCs w:val="24"/>
        </w:rPr>
        <w:t>2017</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]4</w:t>
      </w:r>
      <w:r>
        <w:rPr>
          <w:rFonts w:ascii="宋体" w:hAnsi="宋体" w:eastAsia="宋体" w:cs="宋体"/>
          <w:spacing w:val="-1"/>
          <w:sz w:val="24"/>
          <w:szCs w:val="24"/>
        </w:rPr>
        <w:t>号）规定程序和内容，自主开展</w:t>
      </w:r>
      <w:r>
        <w:rPr>
          <w:rFonts w:ascii="宋体" w:hAnsi="宋体" w:eastAsia="宋体" w:cs="宋体"/>
          <w:spacing w:val="-2"/>
          <w:sz w:val="24"/>
          <w:szCs w:val="24"/>
        </w:rPr>
        <w:t>竣工环境保护验收。</w:t>
      </w:r>
    </w:p>
    <w:p w14:paraId="1A967DE8">
      <w:pPr>
        <w:spacing w:before="11" w:line="221" w:lineRule="auto"/>
        <w:ind w:left="2217"/>
        <w:rPr>
          <w:rFonts w:ascii="黑体" w:hAnsi="黑体" w:eastAsia="黑体" w:cs="黑体"/>
          <w:sz w:val="21"/>
          <w:szCs w:val="21"/>
        </w:rPr>
      </w:pPr>
      <w:r>
        <w:rPr>
          <w:rFonts w:ascii="黑体" w:hAnsi="黑体" w:eastAsia="黑体" w:cs="黑体"/>
          <w:spacing w:val="-1"/>
          <w:sz w:val="21"/>
          <w:szCs w:val="21"/>
        </w:rPr>
        <w:t>表</w:t>
      </w:r>
      <w:r>
        <w:rPr>
          <w:rFonts w:ascii="黑体" w:hAnsi="黑体" w:eastAsia="黑体" w:cs="黑体"/>
          <w:spacing w:val="-42"/>
          <w:sz w:val="21"/>
          <w:szCs w:val="21"/>
        </w:rPr>
        <w:t xml:space="preserve"> </w:t>
      </w:r>
      <w:r>
        <w:rPr>
          <w:rFonts w:ascii="Times New Roman" w:hAnsi="Times New Roman" w:eastAsia="Times New Roman" w:cs="Times New Roman"/>
          <w:spacing w:val="-1"/>
          <w:sz w:val="21"/>
          <w:szCs w:val="21"/>
        </w:rPr>
        <w:t xml:space="preserve">7.7-1  </w:t>
      </w:r>
      <w:r>
        <w:rPr>
          <w:rFonts w:ascii="黑体" w:hAnsi="黑体" w:eastAsia="黑体" w:cs="黑体"/>
          <w:spacing w:val="-1"/>
          <w:sz w:val="21"/>
          <w:szCs w:val="21"/>
        </w:rPr>
        <w:t>建设项目竣工环境保护验收一览表</w:t>
      </w:r>
    </w:p>
    <w:p w14:paraId="4AEED9D9">
      <w:pPr>
        <w:spacing w:line="88" w:lineRule="exact"/>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980"/>
        <w:gridCol w:w="3256"/>
        <w:gridCol w:w="2077"/>
      </w:tblGrid>
      <w:tr w14:paraId="4949F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99" w:type="dxa"/>
            <w:vAlign w:val="top"/>
          </w:tcPr>
          <w:p w14:paraId="41F6336F">
            <w:pPr>
              <w:spacing w:before="64" w:line="220" w:lineRule="auto"/>
              <w:ind w:left="296"/>
              <w:rPr>
                <w:rFonts w:ascii="宋体" w:hAnsi="宋体" w:eastAsia="宋体" w:cs="宋体"/>
                <w:sz w:val="21"/>
                <w:szCs w:val="21"/>
              </w:rPr>
            </w:pPr>
            <w:r>
              <w:rPr>
                <w:rFonts w:ascii="宋体" w:hAnsi="宋体" w:eastAsia="宋体" w:cs="宋体"/>
                <w:spacing w:val="-3"/>
                <w:sz w:val="21"/>
                <w:szCs w:val="21"/>
              </w:rPr>
              <w:t>项目</w:t>
            </w:r>
          </w:p>
        </w:tc>
        <w:tc>
          <w:tcPr>
            <w:tcW w:w="1980" w:type="dxa"/>
            <w:vAlign w:val="top"/>
          </w:tcPr>
          <w:p w14:paraId="64FCE4E8">
            <w:pPr>
              <w:spacing w:before="63" w:line="220" w:lineRule="auto"/>
              <w:ind w:left="49"/>
              <w:rPr>
                <w:rFonts w:ascii="宋体" w:hAnsi="宋体" w:eastAsia="宋体" w:cs="宋体"/>
                <w:sz w:val="21"/>
                <w:szCs w:val="21"/>
              </w:rPr>
            </w:pPr>
            <w:r>
              <w:rPr>
                <w:rFonts w:ascii="宋体" w:hAnsi="宋体" w:eastAsia="宋体" w:cs="宋体"/>
                <w:spacing w:val="-1"/>
                <w:sz w:val="21"/>
                <w:szCs w:val="21"/>
              </w:rPr>
              <w:t>监测因子或调查内容</w:t>
            </w:r>
          </w:p>
        </w:tc>
        <w:tc>
          <w:tcPr>
            <w:tcW w:w="3256" w:type="dxa"/>
            <w:vAlign w:val="top"/>
          </w:tcPr>
          <w:p w14:paraId="3C3E0AF8">
            <w:pPr>
              <w:spacing w:before="64" w:line="220" w:lineRule="auto"/>
              <w:ind w:left="1005"/>
              <w:rPr>
                <w:rFonts w:ascii="宋体" w:hAnsi="宋体" w:eastAsia="宋体" w:cs="宋体"/>
                <w:sz w:val="21"/>
                <w:szCs w:val="21"/>
              </w:rPr>
            </w:pPr>
            <w:r>
              <w:rPr>
                <w:rFonts w:ascii="宋体" w:hAnsi="宋体" w:eastAsia="宋体" w:cs="宋体"/>
                <w:spacing w:val="-2"/>
                <w:sz w:val="21"/>
                <w:szCs w:val="21"/>
              </w:rPr>
              <w:t>污染防治措施</w:t>
            </w:r>
          </w:p>
        </w:tc>
        <w:tc>
          <w:tcPr>
            <w:tcW w:w="2077" w:type="dxa"/>
            <w:vAlign w:val="top"/>
          </w:tcPr>
          <w:p w14:paraId="5E59F93C">
            <w:pPr>
              <w:spacing w:before="64" w:line="220" w:lineRule="auto"/>
              <w:ind w:left="624"/>
              <w:rPr>
                <w:rFonts w:ascii="宋体" w:hAnsi="宋体" w:eastAsia="宋体" w:cs="宋体"/>
                <w:sz w:val="21"/>
                <w:szCs w:val="21"/>
              </w:rPr>
            </w:pPr>
            <w:r>
              <w:rPr>
                <w:rFonts w:ascii="宋体" w:hAnsi="宋体" w:eastAsia="宋体" w:cs="宋体"/>
                <w:spacing w:val="-2"/>
                <w:sz w:val="21"/>
                <w:szCs w:val="21"/>
              </w:rPr>
              <w:t>达到效果</w:t>
            </w:r>
          </w:p>
        </w:tc>
      </w:tr>
      <w:tr w14:paraId="7723A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99" w:type="dxa"/>
            <w:vAlign w:val="top"/>
          </w:tcPr>
          <w:p w14:paraId="7DF402CA">
            <w:pPr>
              <w:spacing w:before="61" w:line="220" w:lineRule="auto"/>
              <w:ind w:left="83"/>
              <w:rPr>
                <w:rFonts w:ascii="宋体" w:hAnsi="宋体" w:eastAsia="宋体" w:cs="宋体"/>
                <w:sz w:val="21"/>
                <w:szCs w:val="21"/>
              </w:rPr>
            </w:pPr>
            <w:r>
              <w:rPr>
                <w:rFonts w:ascii="宋体" w:hAnsi="宋体" w:eastAsia="宋体" w:cs="宋体"/>
                <w:spacing w:val="-2"/>
                <w:sz w:val="21"/>
                <w:szCs w:val="21"/>
              </w:rPr>
              <w:t>清粪工艺</w:t>
            </w:r>
          </w:p>
        </w:tc>
        <w:tc>
          <w:tcPr>
            <w:tcW w:w="1980" w:type="dxa"/>
            <w:vAlign w:val="top"/>
          </w:tcPr>
          <w:p w14:paraId="317C4C42">
            <w:pPr>
              <w:spacing w:before="61" w:line="220" w:lineRule="auto"/>
              <w:ind w:left="783"/>
              <w:rPr>
                <w:rFonts w:ascii="宋体" w:hAnsi="宋体" w:eastAsia="宋体" w:cs="宋体"/>
                <w:sz w:val="21"/>
                <w:szCs w:val="21"/>
              </w:rPr>
            </w:pPr>
            <w:r>
              <w:rPr>
                <w:rFonts w:ascii="宋体" w:hAnsi="宋体" w:eastAsia="宋体" w:cs="宋体"/>
                <w:spacing w:val="-3"/>
                <w:sz w:val="21"/>
                <w:szCs w:val="21"/>
              </w:rPr>
              <w:t>猪舍</w:t>
            </w:r>
          </w:p>
        </w:tc>
        <w:tc>
          <w:tcPr>
            <w:tcW w:w="3256" w:type="dxa"/>
            <w:vAlign w:val="top"/>
          </w:tcPr>
          <w:p w14:paraId="76F1905B">
            <w:pPr>
              <w:pStyle w:val="6"/>
              <w:spacing w:before="85" w:line="192" w:lineRule="auto"/>
              <w:ind w:left="1596"/>
            </w:pPr>
            <w:r>
              <w:t>/</w:t>
            </w:r>
          </w:p>
        </w:tc>
        <w:tc>
          <w:tcPr>
            <w:tcW w:w="2077" w:type="dxa"/>
            <w:vMerge w:val="restart"/>
            <w:tcBorders>
              <w:bottom w:val="nil"/>
            </w:tcBorders>
            <w:vAlign w:val="top"/>
          </w:tcPr>
          <w:p w14:paraId="3C846F68">
            <w:pPr>
              <w:pStyle w:val="6"/>
              <w:spacing w:before="64" w:line="262" w:lineRule="auto"/>
              <w:ind w:left="14" w:hanging="3"/>
              <w:jc w:val="both"/>
              <w:rPr>
                <w:rFonts w:ascii="宋体" w:hAnsi="宋体" w:eastAsia="宋体" w:cs="宋体"/>
              </w:rPr>
            </w:pPr>
            <w:r>
              <w:rPr>
                <w:rFonts w:ascii="宋体" w:hAnsi="宋体" w:eastAsia="宋体" w:cs="宋体"/>
                <w:spacing w:val="-14"/>
              </w:rPr>
              <w:t>符合《畜禽养殖业污染</w:t>
            </w:r>
            <w:r>
              <w:rPr>
                <w:rFonts w:ascii="宋体" w:hAnsi="宋体" w:eastAsia="宋体" w:cs="宋体"/>
                <w:spacing w:val="-20"/>
              </w:rPr>
              <w:t>防</w:t>
            </w:r>
            <w:r>
              <w:rPr>
                <w:rFonts w:ascii="宋体" w:hAnsi="宋体" w:eastAsia="宋体" w:cs="宋体"/>
                <w:spacing w:val="20"/>
              </w:rPr>
              <w:t xml:space="preserve"> </w:t>
            </w:r>
            <w:r>
              <w:rPr>
                <w:rFonts w:ascii="宋体" w:hAnsi="宋体" w:eastAsia="宋体" w:cs="宋体"/>
                <w:spacing w:val="-20"/>
              </w:rPr>
              <w:t>治</w:t>
            </w:r>
            <w:r>
              <w:rPr>
                <w:rFonts w:ascii="宋体" w:hAnsi="宋体" w:eastAsia="宋体" w:cs="宋体"/>
                <w:spacing w:val="16"/>
              </w:rPr>
              <w:t xml:space="preserve"> </w:t>
            </w:r>
            <w:r>
              <w:rPr>
                <w:rFonts w:ascii="宋体" w:hAnsi="宋体" w:eastAsia="宋体" w:cs="宋体"/>
                <w:spacing w:val="-20"/>
              </w:rPr>
              <w:t>技</w:t>
            </w:r>
            <w:r>
              <w:rPr>
                <w:rFonts w:ascii="宋体" w:hAnsi="宋体" w:eastAsia="宋体" w:cs="宋体"/>
                <w:spacing w:val="17"/>
              </w:rPr>
              <w:t xml:space="preserve"> </w:t>
            </w:r>
            <w:r>
              <w:rPr>
                <w:rFonts w:ascii="宋体" w:hAnsi="宋体" w:eastAsia="宋体" w:cs="宋体"/>
                <w:spacing w:val="-20"/>
              </w:rPr>
              <w:t>术</w:t>
            </w:r>
            <w:r>
              <w:rPr>
                <w:rFonts w:ascii="宋体" w:hAnsi="宋体" w:eastAsia="宋体" w:cs="宋体"/>
                <w:spacing w:val="16"/>
              </w:rPr>
              <w:t xml:space="preserve"> </w:t>
            </w:r>
            <w:r>
              <w:rPr>
                <w:rFonts w:ascii="宋体" w:hAnsi="宋体" w:eastAsia="宋体" w:cs="宋体"/>
                <w:spacing w:val="-20"/>
              </w:rPr>
              <w:t>规</w:t>
            </w:r>
            <w:r>
              <w:rPr>
                <w:rFonts w:ascii="宋体" w:hAnsi="宋体" w:eastAsia="宋体" w:cs="宋体"/>
                <w:spacing w:val="20"/>
              </w:rPr>
              <w:t xml:space="preserve"> </w:t>
            </w:r>
            <w:r>
              <w:rPr>
                <w:rFonts w:ascii="宋体" w:hAnsi="宋体" w:eastAsia="宋体" w:cs="宋体"/>
                <w:spacing w:val="-20"/>
              </w:rPr>
              <w:t>范</w:t>
            </w:r>
            <w:r>
              <w:rPr>
                <w:rFonts w:ascii="宋体" w:hAnsi="宋体" w:eastAsia="宋体" w:cs="宋体"/>
                <w:spacing w:val="7"/>
              </w:rPr>
              <w:t xml:space="preserve"> </w:t>
            </w:r>
            <w:r>
              <w:rPr>
                <w:rFonts w:ascii="宋体" w:hAnsi="宋体" w:eastAsia="宋体" w:cs="宋体"/>
                <w:spacing w:val="-20"/>
              </w:rPr>
              <w:t>》</w:t>
            </w:r>
            <w:r>
              <w:rPr>
                <w:rFonts w:ascii="宋体" w:hAnsi="宋体" w:eastAsia="宋体" w:cs="宋体"/>
              </w:rPr>
              <w:t xml:space="preserve"> </w:t>
            </w:r>
            <w:r>
              <w:rPr>
                <w:rFonts w:ascii="宋体" w:hAnsi="宋体" w:eastAsia="宋体" w:cs="宋体"/>
                <w:spacing w:val="-7"/>
              </w:rPr>
              <w:t>（</w:t>
            </w:r>
            <w:r>
              <w:rPr>
                <w:spacing w:val="-7"/>
              </w:rPr>
              <w:t>HJ/T81-2001</w:t>
            </w:r>
            <w:r>
              <w:rPr>
                <w:rFonts w:ascii="宋体" w:hAnsi="宋体" w:eastAsia="宋体" w:cs="宋体"/>
                <w:spacing w:val="-7"/>
              </w:rPr>
              <w:t>）要求</w:t>
            </w:r>
          </w:p>
        </w:tc>
      </w:tr>
      <w:tr w14:paraId="4A018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99" w:type="dxa"/>
            <w:vAlign w:val="top"/>
          </w:tcPr>
          <w:p w14:paraId="6E79CC86">
            <w:pPr>
              <w:spacing w:before="203" w:line="219" w:lineRule="auto"/>
              <w:ind w:left="82"/>
              <w:rPr>
                <w:rFonts w:ascii="宋体" w:hAnsi="宋体" w:eastAsia="宋体" w:cs="宋体"/>
                <w:sz w:val="21"/>
                <w:szCs w:val="21"/>
              </w:rPr>
            </w:pPr>
            <w:r>
              <w:rPr>
                <w:rFonts w:ascii="宋体" w:hAnsi="宋体" w:eastAsia="宋体" w:cs="宋体"/>
                <w:spacing w:val="-2"/>
                <w:sz w:val="21"/>
                <w:szCs w:val="21"/>
              </w:rPr>
              <w:t>场区布局</w:t>
            </w:r>
          </w:p>
        </w:tc>
        <w:tc>
          <w:tcPr>
            <w:tcW w:w="1980" w:type="dxa"/>
            <w:vAlign w:val="top"/>
          </w:tcPr>
          <w:p w14:paraId="793C3B45">
            <w:pPr>
              <w:pStyle w:val="6"/>
              <w:spacing w:before="227" w:line="192" w:lineRule="auto"/>
              <w:ind w:left="955"/>
            </w:pPr>
            <w:r>
              <w:t>/</w:t>
            </w:r>
          </w:p>
        </w:tc>
        <w:tc>
          <w:tcPr>
            <w:tcW w:w="3256" w:type="dxa"/>
            <w:vAlign w:val="top"/>
          </w:tcPr>
          <w:p w14:paraId="5E3E59FC">
            <w:pPr>
              <w:spacing w:before="47" w:line="249" w:lineRule="auto"/>
              <w:ind w:left="8" w:firstLine="3"/>
              <w:rPr>
                <w:rFonts w:ascii="宋体" w:hAnsi="宋体" w:eastAsia="宋体" w:cs="宋体"/>
                <w:sz w:val="21"/>
                <w:szCs w:val="21"/>
              </w:rPr>
            </w:pPr>
            <w:r>
              <w:rPr>
                <w:rFonts w:ascii="宋体" w:hAnsi="宋体" w:eastAsia="宋体" w:cs="宋体"/>
                <w:spacing w:val="5"/>
                <w:sz w:val="21"/>
                <w:szCs w:val="21"/>
              </w:rPr>
              <w:t>办公生活区、养殖区和粪污处理区</w:t>
            </w:r>
            <w:r>
              <w:rPr>
                <w:rFonts w:ascii="宋体" w:hAnsi="宋体" w:eastAsia="宋体" w:cs="宋体"/>
                <w:spacing w:val="-3"/>
                <w:sz w:val="21"/>
                <w:szCs w:val="21"/>
              </w:rPr>
              <w:t>合理布置，净道与脏道设置合理。</w:t>
            </w:r>
          </w:p>
        </w:tc>
        <w:tc>
          <w:tcPr>
            <w:tcW w:w="2077" w:type="dxa"/>
            <w:vMerge w:val="continue"/>
            <w:tcBorders>
              <w:top w:val="nil"/>
            </w:tcBorders>
            <w:vAlign w:val="top"/>
          </w:tcPr>
          <w:p w14:paraId="5161D709">
            <w:pPr>
              <w:rPr>
                <w:rFonts w:ascii="Arial"/>
                <w:sz w:val="21"/>
              </w:rPr>
            </w:pPr>
          </w:p>
        </w:tc>
      </w:tr>
      <w:tr w14:paraId="4E601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999" w:type="dxa"/>
            <w:vAlign w:val="top"/>
          </w:tcPr>
          <w:p w14:paraId="7A52D5E9">
            <w:pPr>
              <w:spacing w:line="299" w:lineRule="auto"/>
              <w:rPr>
                <w:rFonts w:ascii="Arial"/>
                <w:sz w:val="21"/>
              </w:rPr>
            </w:pPr>
          </w:p>
          <w:p w14:paraId="454959C0">
            <w:pPr>
              <w:spacing w:line="300" w:lineRule="auto"/>
              <w:rPr>
                <w:rFonts w:ascii="Arial"/>
                <w:sz w:val="21"/>
              </w:rPr>
            </w:pPr>
          </w:p>
          <w:p w14:paraId="1A7ED8D7">
            <w:pPr>
              <w:spacing w:before="69" w:line="220" w:lineRule="auto"/>
              <w:ind w:left="101"/>
              <w:rPr>
                <w:rFonts w:ascii="宋体" w:hAnsi="宋体" w:eastAsia="宋体" w:cs="宋体"/>
                <w:sz w:val="21"/>
                <w:szCs w:val="21"/>
              </w:rPr>
            </w:pPr>
            <w:r>
              <w:rPr>
                <w:rFonts w:ascii="宋体" w:hAnsi="宋体" w:eastAsia="宋体" w:cs="宋体"/>
                <w:spacing w:val="-5"/>
                <w:sz w:val="21"/>
                <w:szCs w:val="21"/>
              </w:rPr>
              <w:t>固体废物</w:t>
            </w:r>
          </w:p>
        </w:tc>
        <w:tc>
          <w:tcPr>
            <w:tcW w:w="1980" w:type="dxa"/>
            <w:vAlign w:val="top"/>
          </w:tcPr>
          <w:p w14:paraId="7C8EFC40">
            <w:pPr>
              <w:spacing w:line="315" w:lineRule="auto"/>
              <w:rPr>
                <w:rFonts w:ascii="Arial"/>
                <w:sz w:val="21"/>
              </w:rPr>
            </w:pPr>
          </w:p>
          <w:p w14:paraId="6AF1B34B">
            <w:pPr>
              <w:spacing w:line="316" w:lineRule="auto"/>
              <w:rPr>
                <w:rFonts w:ascii="Arial"/>
                <w:sz w:val="21"/>
              </w:rPr>
            </w:pPr>
          </w:p>
          <w:p w14:paraId="158089B5">
            <w:pPr>
              <w:pStyle w:val="6"/>
              <w:spacing w:before="60" w:line="192" w:lineRule="auto"/>
              <w:ind w:left="955"/>
            </w:pPr>
            <w:r>
              <w:t>/</w:t>
            </w:r>
          </w:p>
        </w:tc>
        <w:tc>
          <w:tcPr>
            <w:tcW w:w="5333" w:type="dxa"/>
            <w:gridSpan w:val="2"/>
            <w:vAlign w:val="top"/>
          </w:tcPr>
          <w:p w14:paraId="10EE8CC1">
            <w:pPr>
              <w:spacing w:before="47" w:line="264" w:lineRule="auto"/>
              <w:ind w:left="6"/>
              <w:jc w:val="both"/>
              <w:rPr>
                <w:rFonts w:ascii="宋体" w:hAnsi="宋体" w:eastAsia="宋体" w:cs="宋体"/>
                <w:sz w:val="21"/>
                <w:szCs w:val="21"/>
              </w:rPr>
            </w:pPr>
            <w:r>
              <w:rPr>
                <w:rFonts w:ascii="宋体" w:hAnsi="宋体" w:eastAsia="宋体" w:cs="宋体"/>
                <w:spacing w:val="3"/>
                <w:sz w:val="21"/>
                <w:szCs w:val="21"/>
              </w:rPr>
              <w:t>病死猪交内江市环态动物无害化处置有限责任</w:t>
            </w:r>
            <w:r>
              <w:rPr>
                <w:rFonts w:ascii="宋体" w:hAnsi="宋体" w:eastAsia="宋体" w:cs="宋体"/>
                <w:spacing w:val="2"/>
                <w:sz w:val="21"/>
                <w:szCs w:val="21"/>
              </w:rPr>
              <w:t>公司进行无</w:t>
            </w:r>
            <w:r>
              <w:rPr>
                <w:rFonts w:ascii="宋体" w:hAnsi="宋体" w:eastAsia="宋体" w:cs="宋体"/>
                <w:spacing w:val="3"/>
                <w:sz w:val="21"/>
                <w:szCs w:val="21"/>
              </w:rPr>
              <w:t>害化处置，危险废物交有危废处理资质单位进</w:t>
            </w:r>
            <w:r>
              <w:rPr>
                <w:rFonts w:ascii="宋体" w:hAnsi="宋体" w:eastAsia="宋体" w:cs="宋体"/>
                <w:spacing w:val="2"/>
                <w:sz w:val="21"/>
                <w:szCs w:val="21"/>
              </w:rPr>
              <w:t>行处置，粪</w:t>
            </w:r>
            <w:r>
              <w:rPr>
                <w:rFonts w:ascii="宋体" w:hAnsi="宋体" w:eastAsia="宋体" w:cs="宋体"/>
                <w:spacing w:val="3"/>
                <w:sz w:val="21"/>
                <w:szCs w:val="21"/>
              </w:rPr>
              <w:t>渣交有机肥厂生产有机肥，废脱硫剂由厂家回</w:t>
            </w:r>
            <w:r>
              <w:rPr>
                <w:rFonts w:ascii="宋体" w:hAnsi="宋体" w:eastAsia="宋体" w:cs="宋体"/>
                <w:spacing w:val="2"/>
                <w:sz w:val="21"/>
                <w:szCs w:val="21"/>
              </w:rPr>
              <w:t>收，其余一</w:t>
            </w:r>
            <w:r>
              <w:rPr>
                <w:rFonts w:ascii="宋体" w:hAnsi="宋体" w:eastAsia="宋体" w:cs="宋体"/>
                <w:spacing w:val="3"/>
                <w:sz w:val="21"/>
                <w:szCs w:val="21"/>
              </w:rPr>
              <w:t>般固废分类收集交物资回收站处理，生活垃圾</w:t>
            </w:r>
            <w:r>
              <w:rPr>
                <w:rFonts w:ascii="宋体" w:hAnsi="宋体" w:eastAsia="宋体" w:cs="宋体"/>
                <w:spacing w:val="2"/>
                <w:sz w:val="21"/>
                <w:szCs w:val="21"/>
              </w:rPr>
              <w:t>由环卫部门</w:t>
            </w:r>
            <w:r>
              <w:rPr>
                <w:rFonts w:ascii="宋体" w:hAnsi="宋体" w:eastAsia="宋体" w:cs="宋体"/>
                <w:spacing w:val="-7"/>
                <w:sz w:val="21"/>
                <w:szCs w:val="21"/>
              </w:rPr>
              <w:t>清运处置。</w:t>
            </w:r>
          </w:p>
        </w:tc>
      </w:tr>
      <w:tr w14:paraId="7A001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99" w:type="dxa"/>
            <w:vAlign w:val="top"/>
          </w:tcPr>
          <w:p w14:paraId="40ABDAF5">
            <w:pPr>
              <w:spacing w:line="290" w:lineRule="auto"/>
              <w:rPr>
                <w:rFonts w:ascii="Arial"/>
                <w:sz w:val="21"/>
              </w:rPr>
            </w:pPr>
          </w:p>
          <w:p w14:paraId="32B5D1D1">
            <w:pPr>
              <w:spacing w:before="68" w:line="220" w:lineRule="auto"/>
              <w:ind w:left="96"/>
              <w:rPr>
                <w:rFonts w:ascii="宋体" w:hAnsi="宋体" w:eastAsia="宋体" w:cs="宋体"/>
                <w:sz w:val="21"/>
                <w:szCs w:val="21"/>
              </w:rPr>
            </w:pPr>
            <w:r>
              <w:rPr>
                <w:rFonts w:ascii="宋体" w:hAnsi="宋体" w:eastAsia="宋体" w:cs="宋体"/>
                <w:spacing w:val="-5"/>
                <w:sz w:val="21"/>
                <w:szCs w:val="21"/>
              </w:rPr>
              <w:t>防护距离</w:t>
            </w:r>
          </w:p>
        </w:tc>
        <w:tc>
          <w:tcPr>
            <w:tcW w:w="1980" w:type="dxa"/>
            <w:vAlign w:val="top"/>
          </w:tcPr>
          <w:p w14:paraId="77559182">
            <w:pPr>
              <w:spacing w:line="322" w:lineRule="auto"/>
              <w:rPr>
                <w:rFonts w:ascii="Arial"/>
                <w:sz w:val="21"/>
              </w:rPr>
            </w:pPr>
          </w:p>
          <w:p w14:paraId="39AD4A46">
            <w:pPr>
              <w:pStyle w:val="6"/>
              <w:spacing w:before="60" w:line="192" w:lineRule="auto"/>
              <w:ind w:left="955"/>
            </w:pPr>
            <w:r>
              <w:t>/</w:t>
            </w:r>
          </w:p>
        </w:tc>
        <w:tc>
          <w:tcPr>
            <w:tcW w:w="5333" w:type="dxa"/>
            <w:gridSpan w:val="2"/>
            <w:vAlign w:val="top"/>
          </w:tcPr>
          <w:p w14:paraId="23C2FF82">
            <w:pPr>
              <w:pStyle w:val="6"/>
              <w:spacing w:before="47" w:line="257" w:lineRule="auto"/>
              <w:ind w:left="5" w:firstLine="25"/>
              <w:rPr>
                <w:rFonts w:ascii="宋体" w:hAnsi="宋体" w:eastAsia="宋体" w:cs="宋体"/>
              </w:rPr>
            </w:pPr>
            <w:r>
              <w:rPr>
                <w:rFonts w:ascii="宋体" w:hAnsi="宋体" w:eastAsia="宋体" w:cs="宋体"/>
                <w:spacing w:val="2"/>
              </w:rPr>
              <w:t>以保育楼、育肥楼、转猪舍、堆粪棚、污水处</w:t>
            </w:r>
            <w:r>
              <w:rPr>
                <w:rFonts w:ascii="宋体" w:hAnsi="宋体" w:eastAsia="宋体" w:cs="宋体"/>
                <w:spacing w:val="1"/>
              </w:rPr>
              <w:t>理站边界设</w:t>
            </w:r>
            <w:r>
              <w:rPr>
                <w:rFonts w:ascii="宋体" w:hAnsi="宋体" w:eastAsia="宋体" w:cs="宋体"/>
                <w:spacing w:val="-1"/>
              </w:rPr>
              <w:t>置</w:t>
            </w:r>
            <w:r>
              <w:rPr>
                <w:spacing w:val="-1"/>
              </w:rPr>
              <w:t>200m</w:t>
            </w:r>
            <w:r>
              <w:rPr>
                <w:rFonts w:ascii="宋体" w:hAnsi="宋体" w:eastAsia="宋体" w:cs="宋体"/>
                <w:spacing w:val="-1"/>
              </w:rPr>
              <w:t>卫生防护距离，防护距离内不再建设学校、医院、</w:t>
            </w:r>
            <w:r>
              <w:rPr>
                <w:rFonts w:ascii="宋体" w:hAnsi="宋体" w:eastAsia="宋体" w:cs="宋体"/>
                <w:spacing w:val="-2"/>
              </w:rPr>
              <w:t>住宅等与项目不相容的企事业单位或民用设施等。</w:t>
            </w:r>
          </w:p>
        </w:tc>
      </w:tr>
      <w:tr w14:paraId="00601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99" w:type="dxa"/>
            <w:vAlign w:val="top"/>
          </w:tcPr>
          <w:p w14:paraId="189F5DC3">
            <w:pPr>
              <w:spacing w:before="63" w:line="220" w:lineRule="auto"/>
              <w:ind w:left="83"/>
              <w:rPr>
                <w:rFonts w:ascii="宋体" w:hAnsi="宋体" w:eastAsia="宋体" w:cs="宋体"/>
                <w:sz w:val="21"/>
                <w:szCs w:val="21"/>
              </w:rPr>
            </w:pPr>
            <w:r>
              <w:rPr>
                <w:rFonts w:ascii="宋体" w:hAnsi="宋体" w:eastAsia="宋体" w:cs="宋体"/>
                <w:spacing w:val="-2"/>
                <w:sz w:val="21"/>
                <w:szCs w:val="21"/>
              </w:rPr>
              <w:t>排水系统</w:t>
            </w:r>
          </w:p>
        </w:tc>
        <w:tc>
          <w:tcPr>
            <w:tcW w:w="1980" w:type="dxa"/>
            <w:vAlign w:val="top"/>
          </w:tcPr>
          <w:p w14:paraId="168DB32E">
            <w:pPr>
              <w:pStyle w:val="6"/>
              <w:spacing w:before="87" w:line="192" w:lineRule="auto"/>
              <w:ind w:left="955"/>
            </w:pPr>
            <w:r>
              <w:t>/</w:t>
            </w:r>
          </w:p>
        </w:tc>
        <w:tc>
          <w:tcPr>
            <w:tcW w:w="3256" w:type="dxa"/>
            <w:vAlign w:val="top"/>
          </w:tcPr>
          <w:p w14:paraId="6F9475C7">
            <w:pPr>
              <w:spacing w:before="63" w:line="220" w:lineRule="auto"/>
              <w:ind w:left="6"/>
              <w:rPr>
                <w:rFonts w:ascii="宋体" w:hAnsi="宋体" w:eastAsia="宋体" w:cs="宋体"/>
                <w:sz w:val="21"/>
                <w:szCs w:val="21"/>
              </w:rPr>
            </w:pPr>
            <w:r>
              <w:rPr>
                <w:rFonts w:ascii="宋体" w:hAnsi="宋体" w:eastAsia="宋体" w:cs="宋体"/>
                <w:spacing w:val="-4"/>
                <w:sz w:val="21"/>
                <w:szCs w:val="21"/>
              </w:rPr>
              <w:t>场区实行雨污分流。</w:t>
            </w:r>
          </w:p>
        </w:tc>
        <w:tc>
          <w:tcPr>
            <w:tcW w:w="2077" w:type="dxa"/>
            <w:vMerge w:val="restart"/>
            <w:tcBorders>
              <w:bottom w:val="nil"/>
            </w:tcBorders>
            <w:vAlign w:val="top"/>
          </w:tcPr>
          <w:p w14:paraId="360DB578">
            <w:pPr>
              <w:pStyle w:val="6"/>
              <w:spacing w:before="222" w:line="275" w:lineRule="auto"/>
              <w:ind w:left="8" w:firstLine="2"/>
              <w:jc w:val="both"/>
              <w:rPr>
                <w:rFonts w:ascii="宋体" w:hAnsi="宋体" w:eastAsia="宋体" w:cs="宋体"/>
              </w:rPr>
            </w:pPr>
            <w:r>
              <w:rPr>
                <w:rFonts w:ascii="宋体" w:hAnsi="宋体" w:eastAsia="宋体" w:cs="宋体"/>
                <w:spacing w:val="-14"/>
              </w:rPr>
              <w:t>符合《畜禽养殖业污染</w:t>
            </w:r>
            <w:r>
              <w:rPr>
                <w:rFonts w:ascii="宋体" w:hAnsi="宋体" w:eastAsia="宋体" w:cs="宋体"/>
                <w:spacing w:val="-19"/>
              </w:rPr>
              <w:t>防</w:t>
            </w:r>
            <w:r>
              <w:rPr>
                <w:rFonts w:ascii="宋体" w:hAnsi="宋体" w:eastAsia="宋体" w:cs="宋体"/>
                <w:spacing w:val="20"/>
              </w:rPr>
              <w:t xml:space="preserve"> </w:t>
            </w:r>
            <w:r>
              <w:rPr>
                <w:rFonts w:ascii="宋体" w:hAnsi="宋体" w:eastAsia="宋体" w:cs="宋体"/>
                <w:spacing w:val="-19"/>
              </w:rPr>
              <w:t>治</w:t>
            </w:r>
            <w:r>
              <w:rPr>
                <w:rFonts w:ascii="宋体" w:hAnsi="宋体" w:eastAsia="宋体" w:cs="宋体"/>
                <w:spacing w:val="16"/>
              </w:rPr>
              <w:t xml:space="preserve"> </w:t>
            </w:r>
            <w:r>
              <w:rPr>
                <w:rFonts w:ascii="宋体" w:hAnsi="宋体" w:eastAsia="宋体" w:cs="宋体"/>
                <w:spacing w:val="-19"/>
              </w:rPr>
              <w:t>技</w:t>
            </w:r>
            <w:r>
              <w:rPr>
                <w:rFonts w:ascii="宋体" w:hAnsi="宋体" w:eastAsia="宋体" w:cs="宋体"/>
                <w:spacing w:val="16"/>
              </w:rPr>
              <w:t xml:space="preserve"> </w:t>
            </w:r>
            <w:r>
              <w:rPr>
                <w:rFonts w:ascii="宋体" w:hAnsi="宋体" w:eastAsia="宋体" w:cs="宋体"/>
                <w:spacing w:val="-19"/>
              </w:rPr>
              <w:t>术</w:t>
            </w:r>
            <w:r>
              <w:rPr>
                <w:rFonts w:ascii="宋体" w:hAnsi="宋体" w:eastAsia="宋体" w:cs="宋体"/>
                <w:spacing w:val="16"/>
              </w:rPr>
              <w:t xml:space="preserve"> </w:t>
            </w:r>
            <w:r>
              <w:rPr>
                <w:rFonts w:ascii="宋体" w:hAnsi="宋体" w:eastAsia="宋体" w:cs="宋体"/>
                <w:spacing w:val="-19"/>
              </w:rPr>
              <w:t>规</w:t>
            </w:r>
            <w:r>
              <w:rPr>
                <w:rFonts w:ascii="宋体" w:hAnsi="宋体" w:eastAsia="宋体" w:cs="宋体"/>
                <w:spacing w:val="20"/>
              </w:rPr>
              <w:t xml:space="preserve"> </w:t>
            </w:r>
            <w:r>
              <w:rPr>
                <w:rFonts w:ascii="宋体" w:hAnsi="宋体" w:eastAsia="宋体" w:cs="宋体"/>
                <w:spacing w:val="-19"/>
              </w:rPr>
              <w:t>范</w:t>
            </w:r>
            <w:r>
              <w:rPr>
                <w:rFonts w:ascii="宋体" w:hAnsi="宋体" w:eastAsia="宋体" w:cs="宋体"/>
                <w:spacing w:val="7"/>
              </w:rPr>
              <w:t xml:space="preserve"> </w:t>
            </w:r>
            <w:r>
              <w:rPr>
                <w:rFonts w:ascii="宋体" w:hAnsi="宋体" w:eastAsia="宋体" w:cs="宋体"/>
                <w:spacing w:val="-19"/>
              </w:rPr>
              <w:t>》</w:t>
            </w:r>
            <w:r>
              <w:rPr>
                <w:rFonts w:ascii="宋体" w:hAnsi="宋体" w:eastAsia="宋体" w:cs="宋体"/>
              </w:rPr>
              <w:t xml:space="preserve"> </w:t>
            </w:r>
            <w:r>
              <w:rPr>
                <w:rFonts w:ascii="宋体" w:hAnsi="宋体" w:eastAsia="宋体" w:cs="宋体"/>
                <w:spacing w:val="-7"/>
              </w:rPr>
              <w:t>（</w:t>
            </w:r>
            <w:r>
              <w:rPr>
                <w:spacing w:val="-7"/>
              </w:rPr>
              <w:t>HJ/T81-2001</w:t>
            </w:r>
            <w:r>
              <w:rPr>
                <w:rFonts w:ascii="宋体" w:hAnsi="宋体" w:eastAsia="宋体" w:cs="宋体"/>
                <w:spacing w:val="-7"/>
              </w:rPr>
              <w:t>）要求，</w:t>
            </w:r>
            <w:r>
              <w:rPr>
                <w:rFonts w:ascii="宋体" w:hAnsi="宋体" w:eastAsia="宋体" w:cs="宋体"/>
                <w:spacing w:val="-14"/>
              </w:rPr>
              <w:t>满足《农田灌溉水质标</w:t>
            </w:r>
            <w:r>
              <w:rPr>
                <w:rFonts w:ascii="宋体" w:hAnsi="宋体" w:eastAsia="宋体" w:cs="宋体"/>
                <w:spacing w:val="-19"/>
              </w:rPr>
              <w:t>准》（</w:t>
            </w:r>
            <w:r>
              <w:rPr>
                <w:spacing w:val="-19"/>
              </w:rPr>
              <w:t>GB5084-2021</w:t>
            </w:r>
            <w:r>
              <w:rPr>
                <w:rFonts w:ascii="宋体" w:hAnsi="宋体" w:eastAsia="宋体" w:cs="宋体"/>
                <w:spacing w:val="-19"/>
              </w:rPr>
              <w:t>）旱</w:t>
            </w:r>
            <w:r>
              <w:rPr>
                <w:rFonts w:ascii="宋体" w:hAnsi="宋体" w:eastAsia="宋体" w:cs="宋体"/>
                <w:spacing w:val="9"/>
              </w:rPr>
              <w:t>地作物标准后实现资</w:t>
            </w:r>
            <w:r>
              <w:rPr>
                <w:rFonts w:ascii="宋体" w:hAnsi="宋体" w:eastAsia="宋体" w:cs="宋体"/>
                <w:spacing w:val="-9"/>
              </w:rPr>
              <w:t>源化利用</w:t>
            </w:r>
          </w:p>
        </w:tc>
      </w:tr>
      <w:tr w14:paraId="5B034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999" w:type="dxa"/>
            <w:vAlign w:val="top"/>
          </w:tcPr>
          <w:p w14:paraId="155C4604">
            <w:pPr>
              <w:spacing w:line="303" w:lineRule="auto"/>
              <w:rPr>
                <w:rFonts w:ascii="Arial"/>
                <w:sz w:val="21"/>
              </w:rPr>
            </w:pPr>
          </w:p>
          <w:p w14:paraId="61F2D5AC">
            <w:pPr>
              <w:spacing w:line="304" w:lineRule="auto"/>
              <w:rPr>
                <w:rFonts w:ascii="Arial"/>
                <w:sz w:val="21"/>
              </w:rPr>
            </w:pPr>
          </w:p>
          <w:p w14:paraId="79C82547">
            <w:pPr>
              <w:spacing w:line="304" w:lineRule="auto"/>
              <w:rPr>
                <w:rFonts w:ascii="Arial"/>
                <w:sz w:val="21"/>
              </w:rPr>
            </w:pPr>
          </w:p>
          <w:p w14:paraId="3BD6C9C4">
            <w:pPr>
              <w:spacing w:before="68" w:line="220" w:lineRule="auto"/>
              <w:ind w:left="292"/>
              <w:rPr>
                <w:rFonts w:ascii="宋体" w:hAnsi="宋体" w:eastAsia="宋体" w:cs="宋体"/>
                <w:sz w:val="21"/>
                <w:szCs w:val="21"/>
              </w:rPr>
            </w:pPr>
            <w:r>
              <w:rPr>
                <w:rFonts w:ascii="宋体" w:hAnsi="宋体" w:eastAsia="宋体" w:cs="宋体"/>
                <w:spacing w:val="-2"/>
                <w:sz w:val="21"/>
                <w:szCs w:val="21"/>
              </w:rPr>
              <w:t>废水</w:t>
            </w:r>
          </w:p>
        </w:tc>
        <w:tc>
          <w:tcPr>
            <w:tcW w:w="5236" w:type="dxa"/>
            <w:gridSpan w:val="2"/>
            <w:vAlign w:val="top"/>
          </w:tcPr>
          <w:p w14:paraId="0B9C52EB">
            <w:pPr>
              <w:pStyle w:val="6"/>
              <w:spacing w:before="49" w:line="273" w:lineRule="auto"/>
              <w:ind w:left="4"/>
              <w:jc w:val="both"/>
              <w:rPr>
                <w:rFonts w:ascii="宋体" w:hAnsi="宋体" w:eastAsia="宋体" w:cs="宋体"/>
              </w:rPr>
            </w:pPr>
            <w:r>
              <w:rPr>
                <w:rFonts w:ascii="宋体" w:hAnsi="宋体" w:eastAsia="宋体" w:cs="宋体"/>
                <w:spacing w:val="-1"/>
              </w:rPr>
              <w:t>废水集污管道为密闭管道，污水处理站设计采取“粪污收</w:t>
            </w:r>
            <w:r>
              <w:rPr>
                <w:rFonts w:ascii="宋体" w:hAnsi="宋体" w:eastAsia="宋体" w:cs="宋体"/>
              </w:rPr>
              <w:t>集池</w:t>
            </w:r>
            <w:r>
              <w:t>+</w:t>
            </w:r>
            <w:r>
              <w:rPr>
                <w:spacing w:val="-24"/>
              </w:rPr>
              <w:t xml:space="preserve"> </w:t>
            </w:r>
            <w:r>
              <w:rPr>
                <w:rFonts w:ascii="宋体" w:hAnsi="宋体" w:eastAsia="宋体" w:cs="宋体"/>
              </w:rPr>
              <w:t>固液分离</w:t>
            </w:r>
            <w:r>
              <w:t>+</w:t>
            </w:r>
            <w:r>
              <w:rPr>
                <w:rFonts w:ascii="宋体" w:hAnsi="宋体" w:eastAsia="宋体" w:cs="宋体"/>
              </w:rPr>
              <w:t>水解酸化池</w:t>
            </w:r>
            <w:r>
              <w:t>+CSTR</w:t>
            </w:r>
            <w:r>
              <w:rPr>
                <w:rFonts w:ascii="宋体" w:hAnsi="宋体" w:eastAsia="宋体" w:cs="宋体"/>
              </w:rPr>
              <w:t>厌氧反应器</w:t>
            </w:r>
            <w:r>
              <w:rPr>
                <w:spacing w:val="-1"/>
              </w:rPr>
              <w:t>+</w:t>
            </w:r>
            <w:r>
              <w:rPr>
                <w:rFonts w:ascii="宋体" w:hAnsi="宋体" w:eastAsia="宋体" w:cs="宋体"/>
                <w:spacing w:val="-1"/>
              </w:rPr>
              <w:t>微生物曝</w:t>
            </w:r>
            <w:r>
              <w:rPr>
                <w:rFonts w:ascii="宋体" w:hAnsi="宋体" w:eastAsia="宋体" w:cs="宋体"/>
                <w:spacing w:val="5"/>
              </w:rPr>
              <w:t>氧塘</w:t>
            </w:r>
            <w:r>
              <w:rPr>
                <w:spacing w:val="5"/>
              </w:rPr>
              <w:t>+</w:t>
            </w:r>
            <w:r>
              <w:rPr>
                <w:rFonts w:ascii="宋体" w:hAnsi="宋体" w:eastAsia="宋体" w:cs="宋体"/>
                <w:spacing w:val="5"/>
              </w:rPr>
              <w:t>前置物化系统</w:t>
            </w:r>
            <w:r>
              <w:rPr>
                <w:spacing w:val="5"/>
              </w:rPr>
              <w:t>+</w:t>
            </w:r>
            <w:r>
              <w:rPr>
                <w:rFonts w:ascii="宋体" w:hAnsi="宋体" w:eastAsia="宋体" w:cs="宋体"/>
                <w:spacing w:val="5"/>
              </w:rPr>
              <w:t>一级缺氧池</w:t>
            </w:r>
            <w:r>
              <w:rPr>
                <w:spacing w:val="5"/>
              </w:rPr>
              <w:t>+</w:t>
            </w:r>
            <w:r>
              <w:rPr>
                <w:rFonts w:ascii="宋体" w:hAnsi="宋体" w:eastAsia="宋体" w:cs="宋体"/>
                <w:spacing w:val="5"/>
              </w:rPr>
              <w:t>一级好氧池</w:t>
            </w:r>
            <w:r>
              <w:rPr>
                <w:spacing w:val="5"/>
              </w:rPr>
              <w:t>+</w:t>
            </w:r>
            <w:r>
              <w:rPr>
                <w:rFonts w:ascii="宋体" w:hAnsi="宋体" w:eastAsia="宋体" w:cs="宋体"/>
                <w:spacing w:val="5"/>
              </w:rPr>
              <w:t>一级沉淀</w:t>
            </w:r>
            <w:r>
              <w:rPr>
                <w:rFonts w:ascii="宋体" w:hAnsi="宋体" w:eastAsia="宋体" w:cs="宋体"/>
              </w:rPr>
              <w:t>池</w:t>
            </w:r>
            <w:r>
              <w:t>+</w:t>
            </w:r>
            <w:r>
              <w:rPr>
                <w:rFonts w:ascii="宋体" w:hAnsi="宋体" w:eastAsia="宋体" w:cs="宋体"/>
              </w:rPr>
              <w:t>二级缺氧池</w:t>
            </w:r>
            <w:r>
              <w:t>+</w:t>
            </w:r>
            <w:r>
              <w:rPr>
                <w:rFonts w:ascii="宋体" w:hAnsi="宋体" w:eastAsia="宋体" w:cs="宋体"/>
              </w:rPr>
              <w:t>二级好氧池</w:t>
            </w:r>
            <w:r>
              <w:t>+</w:t>
            </w:r>
            <w:r>
              <w:rPr>
                <w:rFonts w:ascii="宋体" w:hAnsi="宋体" w:eastAsia="宋体" w:cs="宋体"/>
              </w:rPr>
              <w:t>二级沉淀池</w:t>
            </w:r>
            <w:r>
              <w:t>+</w:t>
            </w:r>
            <w:r>
              <w:rPr>
                <w:rFonts w:ascii="宋体" w:hAnsi="宋体" w:eastAsia="宋体" w:cs="宋体"/>
              </w:rPr>
              <w:t>混凝沉淀</w:t>
            </w:r>
            <w:r>
              <w:t>+</w:t>
            </w:r>
            <w:r>
              <w:rPr>
                <w:rFonts w:ascii="宋体" w:hAnsi="宋体" w:eastAsia="宋体" w:cs="宋体"/>
              </w:rPr>
              <w:t>消毒</w:t>
            </w:r>
            <w:r>
              <w:rPr>
                <w:rFonts w:ascii="宋体" w:hAnsi="宋体" w:eastAsia="宋体" w:cs="宋体"/>
                <w:spacing w:val="-1"/>
              </w:rPr>
              <w:t>池”污水处理工艺，废水处理达标后用于消纳地农灌，不外排。污水处理站处理规模</w:t>
            </w:r>
            <w:r>
              <w:rPr>
                <w:spacing w:val="-1"/>
              </w:rPr>
              <w:t>500m</w:t>
            </w:r>
            <w:r>
              <w:rPr>
                <w:spacing w:val="-1"/>
                <w:position w:val="9"/>
                <w:sz w:val="14"/>
                <w:szCs w:val="14"/>
              </w:rPr>
              <w:t>3</w:t>
            </w:r>
            <w:r>
              <w:rPr>
                <w:spacing w:val="-1"/>
              </w:rPr>
              <w:t>/d</w:t>
            </w:r>
            <w:r>
              <w:rPr>
                <w:rFonts w:ascii="宋体" w:hAnsi="宋体" w:eastAsia="宋体" w:cs="宋体"/>
                <w:spacing w:val="-1"/>
              </w:rPr>
              <w:t>。</w:t>
            </w:r>
          </w:p>
          <w:p w14:paraId="50EF2639">
            <w:pPr>
              <w:pStyle w:val="6"/>
              <w:spacing w:line="219" w:lineRule="auto"/>
              <w:ind w:left="9"/>
              <w:rPr>
                <w:rFonts w:ascii="宋体" w:hAnsi="宋体" w:eastAsia="宋体" w:cs="宋体"/>
              </w:rPr>
            </w:pPr>
            <w:r>
              <w:rPr>
                <w:rFonts w:ascii="宋体" w:hAnsi="宋体" w:eastAsia="宋体" w:cs="宋体"/>
                <w:spacing w:val="-3"/>
              </w:rPr>
              <w:t>消纳地设置</w:t>
            </w:r>
            <w:r>
              <w:rPr>
                <w:spacing w:val="-3"/>
              </w:rPr>
              <w:t>5</w:t>
            </w:r>
            <w:r>
              <w:rPr>
                <w:rFonts w:ascii="宋体" w:hAnsi="宋体" w:eastAsia="宋体" w:cs="宋体"/>
                <w:spacing w:val="-3"/>
              </w:rPr>
              <w:t>座田间暂存池，配套灌溉管网。</w:t>
            </w:r>
          </w:p>
        </w:tc>
        <w:tc>
          <w:tcPr>
            <w:tcW w:w="2077" w:type="dxa"/>
            <w:vMerge w:val="continue"/>
            <w:tcBorders>
              <w:top w:val="nil"/>
            </w:tcBorders>
            <w:vAlign w:val="top"/>
          </w:tcPr>
          <w:p w14:paraId="086E3679">
            <w:pPr>
              <w:rPr>
                <w:rFonts w:ascii="Arial"/>
                <w:sz w:val="21"/>
              </w:rPr>
            </w:pPr>
          </w:p>
        </w:tc>
      </w:tr>
      <w:tr w14:paraId="55088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8" w:hRule="atLeast"/>
        </w:trPr>
        <w:tc>
          <w:tcPr>
            <w:tcW w:w="999" w:type="dxa"/>
            <w:vAlign w:val="top"/>
          </w:tcPr>
          <w:p w14:paraId="1184CDC6">
            <w:pPr>
              <w:spacing w:line="275" w:lineRule="auto"/>
              <w:rPr>
                <w:rFonts w:ascii="Arial"/>
                <w:sz w:val="21"/>
              </w:rPr>
            </w:pPr>
          </w:p>
          <w:p w14:paraId="2C9DCE1B">
            <w:pPr>
              <w:spacing w:line="275" w:lineRule="auto"/>
              <w:rPr>
                <w:rFonts w:ascii="Arial"/>
                <w:sz w:val="21"/>
              </w:rPr>
            </w:pPr>
          </w:p>
          <w:p w14:paraId="2B39537E">
            <w:pPr>
              <w:spacing w:line="276" w:lineRule="auto"/>
              <w:rPr>
                <w:rFonts w:ascii="Arial"/>
                <w:sz w:val="21"/>
              </w:rPr>
            </w:pPr>
          </w:p>
          <w:p w14:paraId="61806F88">
            <w:pPr>
              <w:spacing w:line="276" w:lineRule="auto"/>
              <w:rPr>
                <w:rFonts w:ascii="Arial"/>
                <w:sz w:val="21"/>
              </w:rPr>
            </w:pPr>
          </w:p>
          <w:p w14:paraId="456FE329">
            <w:pPr>
              <w:spacing w:line="276" w:lineRule="auto"/>
              <w:rPr>
                <w:rFonts w:ascii="Arial"/>
                <w:sz w:val="21"/>
              </w:rPr>
            </w:pPr>
          </w:p>
          <w:p w14:paraId="52B973CA">
            <w:pPr>
              <w:spacing w:before="68" w:line="220" w:lineRule="auto"/>
              <w:ind w:left="292"/>
              <w:rPr>
                <w:rFonts w:ascii="宋体" w:hAnsi="宋体" w:eastAsia="宋体" w:cs="宋体"/>
                <w:sz w:val="21"/>
                <w:szCs w:val="21"/>
              </w:rPr>
            </w:pPr>
            <w:r>
              <w:rPr>
                <w:rFonts w:ascii="宋体" w:hAnsi="宋体" w:eastAsia="宋体" w:cs="宋体"/>
                <w:spacing w:val="-2"/>
                <w:sz w:val="21"/>
                <w:szCs w:val="21"/>
              </w:rPr>
              <w:t>废气</w:t>
            </w:r>
          </w:p>
        </w:tc>
        <w:tc>
          <w:tcPr>
            <w:tcW w:w="1980" w:type="dxa"/>
            <w:vAlign w:val="top"/>
          </w:tcPr>
          <w:p w14:paraId="532C2FAF">
            <w:pPr>
              <w:spacing w:line="275" w:lineRule="auto"/>
              <w:rPr>
                <w:rFonts w:ascii="Arial"/>
                <w:sz w:val="21"/>
              </w:rPr>
            </w:pPr>
          </w:p>
          <w:p w14:paraId="43BC6600">
            <w:pPr>
              <w:spacing w:line="275" w:lineRule="auto"/>
              <w:rPr>
                <w:rFonts w:ascii="Arial"/>
                <w:sz w:val="21"/>
              </w:rPr>
            </w:pPr>
          </w:p>
          <w:p w14:paraId="0179B21B">
            <w:pPr>
              <w:spacing w:line="276" w:lineRule="auto"/>
              <w:rPr>
                <w:rFonts w:ascii="Arial"/>
                <w:sz w:val="21"/>
              </w:rPr>
            </w:pPr>
          </w:p>
          <w:p w14:paraId="58C97236">
            <w:pPr>
              <w:spacing w:line="276" w:lineRule="auto"/>
              <w:rPr>
                <w:rFonts w:ascii="Arial"/>
                <w:sz w:val="21"/>
              </w:rPr>
            </w:pPr>
          </w:p>
          <w:p w14:paraId="00B9EFDB">
            <w:pPr>
              <w:spacing w:line="276" w:lineRule="auto"/>
              <w:rPr>
                <w:rFonts w:ascii="Arial"/>
                <w:sz w:val="21"/>
              </w:rPr>
            </w:pPr>
          </w:p>
          <w:p w14:paraId="5C1BF6C6">
            <w:pPr>
              <w:pStyle w:val="6"/>
              <w:spacing w:before="68" w:line="217" w:lineRule="auto"/>
              <w:rPr>
                <w:rFonts w:ascii="宋体" w:hAnsi="宋体" w:eastAsia="宋体" w:cs="宋体"/>
              </w:rPr>
            </w:pPr>
            <w:r>
              <w:rPr>
                <w:spacing w:val="-3"/>
              </w:rPr>
              <w:t>NH</w:t>
            </w:r>
            <w:r>
              <w:rPr>
                <w:spacing w:val="-3"/>
                <w:position w:val="-3"/>
                <w:sz w:val="14"/>
                <w:szCs w:val="14"/>
              </w:rPr>
              <w:t>3</w:t>
            </w:r>
            <w:r>
              <w:rPr>
                <w:spacing w:val="-11"/>
                <w:position w:val="-3"/>
                <w:sz w:val="14"/>
                <w:szCs w:val="14"/>
              </w:rPr>
              <w:t xml:space="preserve"> </w:t>
            </w:r>
            <w:r>
              <w:rPr>
                <w:rFonts w:ascii="宋体" w:hAnsi="宋体" w:eastAsia="宋体" w:cs="宋体"/>
                <w:spacing w:val="-3"/>
              </w:rPr>
              <w:t>、</w:t>
            </w:r>
            <w:r>
              <w:rPr>
                <w:spacing w:val="-3"/>
              </w:rPr>
              <w:t>H</w:t>
            </w:r>
            <w:r>
              <w:rPr>
                <w:spacing w:val="-3"/>
                <w:position w:val="-3"/>
                <w:sz w:val="14"/>
                <w:szCs w:val="14"/>
              </w:rPr>
              <w:t>2</w:t>
            </w:r>
            <w:r>
              <w:rPr>
                <w:spacing w:val="-3"/>
              </w:rPr>
              <w:t>S</w:t>
            </w:r>
            <w:r>
              <w:rPr>
                <w:rFonts w:ascii="宋体" w:hAnsi="宋体" w:eastAsia="宋体" w:cs="宋体"/>
                <w:spacing w:val="-3"/>
              </w:rPr>
              <w:t>、臭气浓度</w:t>
            </w:r>
          </w:p>
        </w:tc>
        <w:tc>
          <w:tcPr>
            <w:tcW w:w="3256" w:type="dxa"/>
            <w:vAlign w:val="top"/>
          </w:tcPr>
          <w:p w14:paraId="1B9AB001">
            <w:pPr>
              <w:pStyle w:val="6"/>
              <w:spacing w:before="48" w:line="269" w:lineRule="auto"/>
              <w:ind w:left="6" w:firstLine="1"/>
              <w:jc w:val="both"/>
              <w:rPr>
                <w:rFonts w:ascii="宋体" w:hAnsi="宋体" w:eastAsia="宋体" w:cs="宋体"/>
              </w:rPr>
            </w:pPr>
            <w:r>
              <w:rPr>
                <w:rFonts w:ascii="宋体" w:hAnsi="宋体" w:eastAsia="宋体" w:cs="宋体"/>
                <w:spacing w:val="-8"/>
              </w:rPr>
              <w:t>合理设计饲养方案，猪舍优化饲料，</w:t>
            </w:r>
            <w:r>
              <w:rPr>
                <w:rFonts w:ascii="宋体" w:hAnsi="宋体" w:eastAsia="宋体" w:cs="宋体"/>
                <w:spacing w:val="2"/>
              </w:rPr>
              <w:t>喷洒生物除臭剂，粪污及时清理及干湿分离，猪舍机械通风，在出风</w:t>
            </w:r>
            <w:r>
              <w:rPr>
                <w:rFonts w:ascii="宋体" w:hAnsi="宋体" w:eastAsia="宋体" w:cs="宋体"/>
                <w:spacing w:val="-11"/>
              </w:rPr>
              <w:t>口设置生物喷雾除臭；污水处理站的</w:t>
            </w:r>
            <w:r>
              <w:rPr>
                <w:rFonts w:ascii="宋体" w:hAnsi="宋体" w:eastAsia="宋体" w:cs="宋体"/>
                <w:spacing w:val="-16"/>
              </w:rPr>
              <w:t>粪污收集池、水解酸化池、</w:t>
            </w:r>
            <w:r>
              <w:rPr>
                <w:spacing w:val="-16"/>
              </w:rPr>
              <w:t>AO</w:t>
            </w:r>
            <w:r>
              <w:rPr>
                <w:rFonts w:ascii="宋体" w:hAnsi="宋体" w:eastAsia="宋体" w:cs="宋体"/>
                <w:spacing w:val="-16"/>
              </w:rPr>
              <w:t>池、污</w:t>
            </w:r>
            <w:r>
              <w:rPr>
                <w:rFonts w:ascii="宋体" w:hAnsi="宋体" w:eastAsia="宋体" w:cs="宋体"/>
                <w:spacing w:val="-9"/>
              </w:rPr>
              <w:t>泥池、叠螺机平台臭气经负压收集，</w:t>
            </w:r>
            <w:r>
              <w:rPr>
                <w:rFonts w:ascii="宋体" w:hAnsi="宋体" w:eastAsia="宋体" w:cs="宋体"/>
                <w:spacing w:val="-1"/>
              </w:rPr>
              <w:t>采用生物滤池处理后由</w:t>
            </w:r>
            <w:r>
              <w:rPr>
                <w:spacing w:val="-1"/>
              </w:rPr>
              <w:t>1</w:t>
            </w:r>
            <w:r>
              <w:rPr>
                <w:rFonts w:ascii="宋体" w:hAnsi="宋体" w:eastAsia="宋体" w:cs="宋体"/>
                <w:spacing w:val="-1"/>
              </w:rPr>
              <w:t>根</w:t>
            </w:r>
            <w:r>
              <w:rPr>
                <w:spacing w:val="-1"/>
              </w:rPr>
              <w:t>15m</w:t>
            </w:r>
            <w:r>
              <w:rPr>
                <w:rFonts w:ascii="宋体" w:hAnsi="宋体" w:eastAsia="宋体" w:cs="宋体"/>
                <w:spacing w:val="-1"/>
              </w:rPr>
              <w:t>排气</w:t>
            </w:r>
            <w:r>
              <w:rPr>
                <w:rFonts w:ascii="宋体" w:hAnsi="宋体" w:eastAsia="宋体" w:cs="宋体"/>
                <w:spacing w:val="-11"/>
              </w:rPr>
              <w:t>筒排放；堆粪棚封闭，臭气经负压收</w:t>
            </w:r>
            <w:r>
              <w:rPr>
                <w:rFonts w:ascii="宋体" w:hAnsi="宋体" w:eastAsia="宋体" w:cs="宋体"/>
                <w:spacing w:val="-13"/>
              </w:rPr>
              <w:t>集，采用生物滤池处理后由</w:t>
            </w:r>
            <w:r>
              <w:rPr>
                <w:spacing w:val="-13"/>
              </w:rPr>
              <w:t>1</w:t>
            </w:r>
            <w:r>
              <w:rPr>
                <w:rFonts w:ascii="宋体" w:hAnsi="宋体" w:eastAsia="宋体" w:cs="宋体"/>
                <w:spacing w:val="-13"/>
              </w:rPr>
              <w:t>根</w:t>
            </w:r>
            <w:r>
              <w:rPr>
                <w:spacing w:val="-13"/>
              </w:rPr>
              <w:t>15m</w:t>
            </w:r>
            <w:r>
              <w:rPr>
                <w:rFonts w:ascii="宋体" w:hAnsi="宋体" w:eastAsia="宋体" w:cs="宋体"/>
                <w:spacing w:val="-13"/>
              </w:rPr>
              <w:t>排</w:t>
            </w:r>
            <w:r>
              <w:rPr>
                <w:rFonts w:ascii="宋体" w:hAnsi="宋体" w:eastAsia="宋体" w:cs="宋体"/>
                <w:spacing w:val="-10"/>
              </w:rPr>
              <w:t>气筒排放。</w:t>
            </w:r>
          </w:p>
        </w:tc>
        <w:tc>
          <w:tcPr>
            <w:tcW w:w="2077" w:type="dxa"/>
            <w:vAlign w:val="top"/>
          </w:tcPr>
          <w:p w14:paraId="3A128A75">
            <w:pPr>
              <w:spacing w:line="253" w:lineRule="auto"/>
              <w:rPr>
                <w:rFonts w:ascii="Arial"/>
                <w:sz w:val="21"/>
              </w:rPr>
            </w:pPr>
          </w:p>
          <w:p w14:paraId="32243950">
            <w:pPr>
              <w:spacing w:line="253" w:lineRule="auto"/>
              <w:rPr>
                <w:rFonts w:ascii="Arial"/>
                <w:sz w:val="21"/>
              </w:rPr>
            </w:pPr>
          </w:p>
          <w:p w14:paraId="58DC0C6F">
            <w:pPr>
              <w:spacing w:line="253" w:lineRule="auto"/>
              <w:rPr>
                <w:rFonts w:ascii="Arial"/>
                <w:sz w:val="21"/>
              </w:rPr>
            </w:pPr>
          </w:p>
          <w:p w14:paraId="2AF59413">
            <w:pPr>
              <w:pStyle w:val="6"/>
              <w:spacing w:before="69" w:line="275" w:lineRule="auto"/>
              <w:ind w:left="8"/>
              <w:jc w:val="both"/>
              <w:rPr>
                <w:rFonts w:ascii="宋体" w:hAnsi="宋体" w:eastAsia="宋体" w:cs="宋体"/>
              </w:rPr>
            </w:pPr>
            <w:r>
              <w:rPr>
                <w:rFonts w:ascii="宋体" w:hAnsi="宋体" w:eastAsia="宋体" w:cs="宋体"/>
                <w:spacing w:val="-14"/>
              </w:rPr>
              <w:t>满足《恶臭污染物排放</w:t>
            </w:r>
            <w:r>
              <w:rPr>
                <w:rFonts w:ascii="宋体" w:hAnsi="宋体" w:eastAsia="宋体" w:cs="宋体"/>
                <w:spacing w:val="-12"/>
              </w:rPr>
              <w:t>标准》（</w:t>
            </w:r>
            <w:r>
              <w:rPr>
                <w:spacing w:val="-12"/>
              </w:rPr>
              <w:t>GB14554-93</w:t>
            </w:r>
            <w:r>
              <w:rPr>
                <w:rFonts w:ascii="宋体" w:hAnsi="宋体" w:eastAsia="宋体" w:cs="宋体"/>
                <w:spacing w:val="-12"/>
              </w:rPr>
              <w:t>）</w:t>
            </w:r>
            <w:r>
              <w:rPr>
                <w:rFonts w:ascii="宋体" w:hAnsi="宋体" w:eastAsia="宋体" w:cs="宋体"/>
                <w:spacing w:val="-14"/>
              </w:rPr>
              <w:t>二级标准及《畜禽养殖</w:t>
            </w:r>
            <w:r>
              <w:rPr>
                <w:rFonts w:ascii="宋体" w:hAnsi="宋体" w:eastAsia="宋体" w:cs="宋体"/>
                <w:spacing w:val="19"/>
              </w:rPr>
              <w:t>业污染物排放标准》</w:t>
            </w:r>
            <w:r>
              <w:rPr>
                <w:rFonts w:ascii="宋体" w:hAnsi="宋体" w:eastAsia="宋体" w:cs="宋体"/>
                <w:spacing w:val="1"/>
              </w:rPr>
              <w:t xml:space="preserve"> </w:t>
            </w:r>
            <w:r>
              <w:rPr>
                <w:rFonts w:ascii="宋体" w:hAnsi="宋体" w:eastAsia="宋体" w:cs="宋体"/>
                <w:spacing w:val="-11"/>
              </w:rPr>
              <w:t>（</w:t>
            </w:r>
            <w:r>
              <w:rPr>
                <w:spacing w:val="-11"/>
              </w:rPr>
              <w:t>GB18596-2001</w:t>
            </w:r>
            <w:r>
              <w:rPr>
                <w:rFonts w:ascii="宋体" w:hAnsi="宋体" w:eastAsia="宋体" w:cs="宋体"/>
                <w:spacing w:val="-11"/>
              </w:rPr>
              <w:t>）要求</w:t>
            </w:r>
          </w:p>
        </w:tc>
      </w:tr>
      <w:tr w14:paraId="7F3A1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999" w:type="dxa"/>
            <w:vAlign w:val="top"/>
          </w:tcPr>
          <w:p w14:paraId="09F0BEE0">
            <w:pPr>
              <w:spacing w:line="449" w:lineRule="auto"/>
              <w:rPr>
                <w:rFonts w:ascii="Arial"/>
                <w:sz w:val="21"/>
              </w:rPr>
            </w:pPr>
          </w:p>
          <w:p w14:paraId="758BEDD1">
            <w:pPr>
              <w:spacing w:before="68" w:line="220" w:lineRule="auto"/>
              <w:ind w:left="303"/>
              <w:rPr>
                <w:rFonts w:ascii="宋体" w:hAnsi="宋体" w:eastAsia="宋体" w:cs="宋体"/>
                <w:sz w:val="21"/>
                <w:szCs w:val="21"/>
              </w:rPr>
            </w:pPr>
            <w:r>
              <w:rPr>
                <w:rFonts w:ascii="宋体" w:hAnsi="宋体" w:eastAsia="宋体" w:cs="宋体"/>
                <w:spacing w:val="-5"/>
                <w:sz w:val="21"/>
                <w:szCs w:val="21"/>
              </w:rPr>
              <w:t>噪声</w:t>
            </w:r>
          </w:p>
        </w:tc>
        <w:tc>
          <w:tcPr>
            <w:tcW w:w="1980" w:type="dxa"/>
            <w:vAlign w:val="top"/>
          </w:tcPr>
          <w:p w14:paraId="26A3D300">
            <w:pPr>
              <w:spacing w:line="244" w:lineRule="auto"/>
              <w:rPr>
                <w:rFonts w:ascii="Arial"/>
                <w:sz w:val="21"/>
              </w:rPr>
            </w:pPr>
          </w:p>
          <w:p w14:paraId="60836F5D">
            <w:pPr>
              <w:spacing w:line="244" w:lineRule="auto"/>
              <w:rPr>
                <w:rFonts w:ascii="Arial"/>
                <w:sz w:val="21"/>
              </w:rPr>
            </w:pPr>
          </w:p>
          <w:p w14:paraId="48515B65">
            <w:pPr>
              <w:pStyle w:val="6"/>
              <w:spacing w:before="60" w:line="191" w:lineRule="auto"/>
              <w:ind w:left="808"/>
              <w:rPr>
                <w:sz w:val="14"/>
                <w:szCs w:val="14"/>
              </w:rPr>
            </w:pPr>
            <w:r>
              <w:rPr>
                <w:spacing w:val="-1"/>
                <w:position w:val="2"/>
              </w:rPr>
              <w:t>L</w:t>
            </w:r>
            <w:r>
              <w:rPr>
                <w:spacing w:val="-1"/>
                <w:position w:val="-1"/>
                <w:sz w:val="14"/>
                <w:szCs w:val="14"/>
              </w:rPr>
              <w:t>Aeq</w:t>
            </w:r>
          </w:p>
        </w:tc>
        <w:tc>
          <w:tcPr>
            <w:tcW w:w="3256" w:type="dxa"/>
            <w:vAlign w:val="top"/>
          </w:tcPr>
          <w:p w14:paraId="6FD523E4">
            <w:pPr>
              <w:spacing w:line="295" w:lineRule="auto"/>
              <w:rPr>
                <w:rFonts w:ascii="Arial"/>
                <w:sz w:val="21"/>
              </w:rPr>
            </w:pPr>
          </w:p>
          <w:p w14:paraId="47A33C52">
            <w:pPr>
              <w:spacing w:before="68" w:line="276" w:lineRule="auto"/>
              <w:ind w:left="6"/>
              <w:rPr>
                <w:rFonts w:ascii="宋体" w:hAnsi="宋体" w:eastAsia="宋体" w:cs="宋体"/>
                <w:sz w:val="21"/>
                <w:szCs w:val="21"/>
              </w:rPr>
            </w:pPr>
            <w:r>
              <w:rPr>
                <w:rFonts w:ascii="宋体" w:hAnsi="宋体" w:eastAsia="宋体" w:cs="宋体"/>
                <w:spacing w:val="6"/>
                <w:sz w:val="21"/>
                <w:szCs w:val="21"/>
              </w:rPr>
              <w:t>选用低噪设备，建筑隔声，设备基</w:t>
            </w:r>
            <w:r>
              <w:rPr>
                <w:rFonts w:ascii="宋体" w:hAnsi="宋体" w:eastAsia="宋体" w:cs="宋体"/>
                <w:spacing w:val="-3"/>
                <w:sz w:val="21"/>
                <w:szCs w:val="21"/>
              </w:rPr>
              <w:t>础减振，绿化隔声等措施。</w:t>
            </w:r>
          </w:p>
        </w:tc>
        <w:tc>
          <w:tcPr>
            <w:tcW w:w="2077" w:type="dxa"/>
            <w:vAlign w:val="top"/>
          </w:tcPr>
          <w:p w14:paraId="07FBF497">
            <w:pPr>
              <w:pStyle w:val="6"/>
              <w:spacing w:before="54" w:line="260" w:lineRule="auto"/>
              <w:ind w:left="9"/>
              <w:jc w:val="both"/>
              <w:rPr>
                <w:rFonts w:ascii="宋体" w:hAnsi="宋体" w:eastAsia="宋体" w:cs="宋体"/>
              </w:rPr>
            </w:pPr>
            <w:r>
              <w:rPr>
                <w:rFonts w:ascii="宋体" w:hAnsi="宋体" w:eastAsia="宋体" w:cs="宋体"/>
                <w:spacing w:val="-14"/>
              </w:rPr>
              <w:t>满足《工业企业厂界环</w:t>
            </w:r>
            <w:r>
              <w:rPr>
                <w:rFonts w:ascii="宋体" w:hAnsi="宋体" w:eastAsia="宋体" w:cs="宋体"/>
                <w:spacing w:val="39"/>
              </w:rPr>
              <w:t>境噪声排放标准</w:t>
            </w:r>
            <w:r>
              <w:rPr>
                <w:rFonts w:ascii="宋体" w:hAnsi="宋体" w:eastAsia="宋体" w:cs="宋体"/>
                <w:spacing w:val="-37"/>
              </w:rPr>
              <w:t xml:space="preserve"> </w:t>
            </w:r>
            <w:r>
              <w:rPr>
                <w:rFonts w:ascii="宋体" w:hAnsi="宋体" w:eastAsia="宋体" w:cs="宋体"/>
                <w:spacing w:val="39"/>
              </w:rPr>
              <w:t>》</w:t>
            </w:r>
            <w:r>
              <w:rPr>
                <w:rFonts w:ascii="宋体" w:hAnsi="宋体" w:eastAsia="宋体" w:cs="宋体"/>
              </w:rPr>
              <w:t xml:space="preserve"> </w:t>
            </w:r>
            <w:r>
              <w:rPr>
                <w:rFonts w:ascii="宋体" w:hAnsi="宋体" w:eastAsia="宋体" w:cs="宋体"/>
                <w:spacing w:val="-10"/>
              </w:rPr>
              <w:t>（</w:t>
            </w:r>
            <w:r>
              <w:rPr>
                <w:spacing w:val="-10"/>
              </w:rPr>
              <w:t>GB12348-2008</w:t>
            </w:r>
            <w:r>
              <w:rPr>
                <w:rFonts w:ascii="宋体" w:hAnsi="宋体" w:eastAsia="宋体" w:cs="宋体"/>
                <w:spacing w:val="-10"/>
              </w:rPr>
              <w:t>）</w:t>
            </w:r>
            <w:r>
              <w:rPr>
                <w:spacing w:val="-10"/>
              </w:rPr>
              <w:t xml:space="preserve">2  </w:t>
            </w:r>
            <w:r>
              <w:rPr>
                <w:rFonts w:ascii="宋体" w:hAnsi="宋体" w:eastAsia="宋体" w:cs="宋体"/>
                <w:spacing w:val="-10"/>
              </w:rPr>
              <w:t>类</w:t>
            </w:r>
            <w:r>
              <w:rPr>
                <w:rFonts w:ascii="宋体" w:hAnsi="宋体" w:eastAsia="宋体" w:cs="宋体"/>
                <w:spacing w:val="-9"/>
              </w:rPr>
              <w:t>标准要求</w:t>
            </w:r>
          </w:p>
        </w:tc>
      </w:tr>
      <w:tr w14:paraId="7CFB5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99" w:type="dxa"/>
            <w:vAlign w:val="top"/>
          </w:tcPr>
          <w:p w14:paraId="0A010045">
            <w:pPr>
              <w:spacing w:line="295" w:lineRule="auto"/>
              <w:rPr>
                <w:rFonts w:ascii="Arial"/>
                <w:sz w:val="21"/>
              </w:rPr>
            </w:pPr>
          </w:p>
          <w:p w14:paraId="2F776C98">
            <w:pPr>
              <w:spacing w:before="69" w:line="220" w:lineRule="auto"/>
              <w:ind w:left="187"/>
              <w:rPr>
                <w:rFonts w:ascii="宋体" w:hAnsi="宋体" w:eastAsia="宋体" w:cs="宋体"/>
                <w:sz w:val="21"/>
                <w:szCs w:val="21"/>
              </w:rPr>
            </w:pPr>
            <w:r>
              <w:rPr>
                <w:rFonts w:ascii="宋体" w:hAnsi="宋体" w:eastAsia="宋体" w:cs="宋体"/>
                <w:spacing w:val="-2"/>
                <w:sz w:val="21"/>
                <w:szCs w:val="21"/>
              </w:rPr>
              <w:t>地下水</w:t>
            </w:r>
          </w:p>
        </w:tc>
        <w:tc>
          <w:tcPr>
            <w:tcW w:w="1980" w:type="dxa"/>
            <w:vAlign w:val="top"/>
          </w:tcPr>
          <w:p w14:paraId="1FFCCB9E">
            <w:pPr>
              <w:spacing w:before="54" w:line="219" w:lineRule="auto"/>
              <w:ind w:left="49"/>
              <w:rPr>
                <w:rFonts w:ascii="宋体" w:hAnsi="宋体" w:eastAsia="宋体" w:cs="宋体"/>
                <w:sz w:val="21"/>
                <w:szCs w:val="21"/>
              </w:rPr>
            </w:pPr>
            <w:r>
              <w:rPr>
                <w:rFonts w:ascii="宋体" w:hAnsi="宋体" w:eastAsia="宋体" w:cs="宋体"/>
                <w:spacing w:val="-1"/>
                <w:sz w:val="21"/>
                <w:szCs w:val="21"/>
              </w:rPr>
              <w:t>耗氧量、氨氮、硝酸</w:t>
            </w:r>
          </w:p>
          <w:p w14:paraId="2F8923E3">
            <w:pPr>
              <w:spacing w:before="63" w:line="220" w:lineRule="auto"/>
              <w:ind w:left="49"/>
              <w:rPr>
                <w:rFonts w:ascii="宋体" w:hAnsi="宋体" w:eastAsia="宋体" w:cs="宋体"/>
                <w:sz w:val="21"/>
                <w:szCs w:val="21"/>
              </w:rPr>
            </w:pPr>
            <w:r>
              <w:rPr>
                <w:rFonts w:ascii="宋体" w:hAnsi="宋体" w:eastAsia="宋体" w:cs="宋体"/>
                <w:spacing w:val="-1"/>
                <w:sz w:val="21"/>
                <w:szCs w:val="21"/>
              </w:rPr>
              <w:t>盐、亚硝酸盐、总大</w:t>
            </w:r>
          </w:p>
          <w:p w14:paraId="56FEC50F">
            <w:pPr>
              <w:spacing w:before="60" w:line="219" w:lineRule="auto"/>
              <w:ind w:left="572"/>
              <w:rPr>
                <w:rFonts w:ascii="宋体" w:hAnsi="宋体" w:eastAsia="宋体" w:cs="宋体"/>
                <w:sz w:val="21"/>
                <w:szCs w:val="21"/>
              </w:rPr>
            </w:pPr>
            <w:r>
              <w:rPr>
                <w:rFonts w:ascii="宋体" w:hAnsi="宋体" w:eastAsia="宋体" w:cs="宋体"/>
                <w:spacing w:val="-2"/>
                <w:sz w:val="21"/>
                <w:szCs w:val="21"/>
              </w:rPr>
              <w:t>肠菌群等</w:t>
            </w:r>
          </w:p>
        </w:tc>
        <w:tc>
          <w:tcPr>
            <w:tcW w:w="3256" w:type="dxa"/>
            <w:vAlign w:val="top"/>
          </w:tcPr>
          <w:p w14:paraId="5A6C10B9">
            <w:pPr>
              <w:pStyle w:val="6"/>
              <w:spacing w:before="209" w:line="277" w:lineRule="auto"/>
              <w:ind w:left="6" w:firstLine="4"/>
              <w:rPr>
                <w:rFonts w:ascii="宋体" w:hAnsi="宋体" w:eastAsia="宋体" w:cs="宋体"/>
              </w:rPr>
            </w:pPr>
            <w:r>
              <w:rPr>
                <w:rFonts w:ascii="宋体" w:hAnsi="宋体" w:eastAsia="宋体" w:cs="宋体"/>
                <w:spacing w:val="12"/>
              </w:rPr>
              <w:t>项目地下水下游设置</w:t>
            </w:r>
            <w:r>
              <w:rPr>
                <w:spacing w:val="12"/>
              </w:rPr>
              <w:t>1</w:t>
            </w:r>
            <w:r>
              <w:rPr>
                <w:rFonts w:ascii="宋体" w:hAnsi="宋体" w:eastAsia="宋体" w:cs="宋体"/>
                <w:spacing w:val="12"/>
              </w:rPr>
              <w:t>口地下水监</w:t>
            </w:r>
            <w:r>
              <w:rPr>
                <w:rFonts w:ascii="宋体" w:hAnsi="宋体" w:eastAsia="宋体" w:cs="宋体"/>
                <w:spacing w:val="-9"/>
              </w:rPr>
              <w:t>控井。</w:t>
            </w:r>
          </w:p>
        </w:tc>
        <w:tc>
          <w:tcPr>
            <w:tcW w:w="2077" w:type="dxa"/>
            <w:vAlign w:val="top"/>
          </w:tcPr>
          <w:p w14:paraId="46194E02">
            <w:pPr>
              <w:pStyle w:val="6"/>
              <w:spacing w:before="53" w:line="256" w:lineRule="auto"/>
              <w:ind w:left="9"/>
              <w:jc w:val="both"/>
              <w:rPr>
                <w:rFonts w:ascii="宋体" w:hAnsi="宋体" w:eastAsia="宋体" w:cs="宋体"/>
              </w:rPr>
            </w:pPr>
            <w:r>
              <w:rPr>
                <w:rFonts w:ascii="宋体" w:hAnsi="宋体" w:eastAsia="宋体" w:cs="宋体"/>
                <w:spacing w:val="12"/>
              </w:rPr>
              <w:t>《地下水质</w:t>
            </w:r>
            <w:r>
              <w:rPr>
                <w:rFonts w:ascii="宋体" w:hAnsi="宋体" w:eastAsia="宋体" w:cs="宋体"/>
                <w:spacing w:val="-51"/>
              </w:rPr>
              <w:t xml:space="preserve"> </w:t>
            </w:r>
            <w:r>
              <w:rPr>
                <w:rFonts w:ascii="宋体" w:hAnsi="宋体" w:eastAsia="宋体" w:cs="宋体"/>
                <w:spacing w:val="12"/>
              </w:rPr>
              <w:t>量标准》</w:t>
            </w:r>
            <w:r>
              <w:rPr>
                <w:rFonts w:ascii="宋体" w:hAnsi="宋体" w:eastAsia="宋体" w:cs="宋体"/>
              </w:rPr>
              <w:t xml:space="preserve"> </w:t>
            </w:r>
            <w:r>
              <w:rPr>
                <w:rFonts w:ascii="宋体" w:hAnsi="宋体" w:eastAsia="宋体" w:cs="宋体"/>
                <w:spacing w:val="-4"/>
              </w:rPr>
              <w:t>（</w:t>
            </w:r>
            <w:r>
              <w:rPr>
                <w:spacing w:val="-4"/>
              </w:rPr>
              <w:t>GB/T14848-2017</w:t>
            </w:r>
            <w:r>
              <w:rPr>
                <w:rFonts w:ascii="宋体" w:hAnsi="宋体" w:eastAsia="宋体" w:cs="宋体"/>
                <w:spacing w:val="-4"/>
              </w:rPr>
              <w:t>）Ⅲ</w:t>
            </w:r>
            <w:r>
              <w:rPr>
                <w:rFonts w:ascii="宋体" w:hAnsi="宋体" w:eastAsia="宋体" w:cs="宋体"/>
                <w:spacing w:val="-2"/>
              </w:rPr>
              <w:t>类标准</w:t>
            </w:r>
          </w:p>
        </w:tc>
      </w:tr>
      <w:tr w14:paraId="0F725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99" w:type="dxa"/>
            <w:vAlign w:val="top"/>
          </w:tcPr>
          <w:p w14:paraId="2681250E">
            <w:pPr>
              <w:spacing w:before="209" w:line="220" w:lineRule="auto"/>
              <w:ind w:left="83"/>
              <w:rPr>
                <w:rFonts w:ascii="宋体" w:hAnsi="宋体" w:eastAsia="宋体" w:cs="宋体"/>
                <w:sz w:val="21"/>
                <w:szCs w:val="21"/>
              </w:rPr>
            </w:pPr>
            <w:r>
              <w:rPr>
                <w:rFonts w:ascii="宋体" w:hAnsi="宋体" w:eastAsia="宋体" w:cs="宋体"/>
                <w:spacing w:val="-2"/>
                <w:sz w:val="21"/>
                <w:szCs w:val="21"/>
              </w:rPr>
              <w:t>环境风险</w:t>
            </w:r>
          </w:p>
        </w:tc>
        <w:tc>
          <w:tcPr>
            <w:tcW w:w="1980" w:type="dxa"/>
            <w:vAlign w:val="top"/>
          </w:tcPr>
          <w:p w14:paraId="44691664">
            <w:pPr>
              <w:spacing w:before="208" w:line="220" w:lineRule="auto"/>
              <w:ind w:left="152"/>
              <w:rPr>
                <w:rFonts w:ascii="宋体" w:hAnsi="宋体" w:eastAsia="宋体" w:cs="宋体"/>
                <w:sz w:val="21"/>
                <w:szCs w:val="21"/>
              </w:rPr>
            </w:pPr>
            <w:r>
              <w:rPr>
                <w:rFonts w:ascii="宋体" w:hAnsi="宋体" w:eastAsia="宋体" w:cs="宋体"/>
                <w:spacing w:val="-1"/>
                <w:sz w:val="21"/>
                <w:szCs w:val="21"/>
              </w:rPr>
              <w:t>废水、沼气、防疫</w:t>
            </w:r>
          </w:p>
        </w:tc>
        <w:tc>
          <w:tcPr>
            <w:tcW w:w="3256" w:type="dxa"/>
            <w:vAlign w:val="top"/>
          </w:tcPr>
          <w:p w14:paraId="5071E34C">
            <w:pPr>
              <w:spacing w:before="54" w:line="247" w:lineRule="auto"/>
              <w:ind w:left="6" w:firstLine="5"/>
              <w:rPr>
                <w:rFonts w:ascii="宋体" w:hAnsi="宋体" w:eastAsia="宋体" w:cs="宋体"/>
                <w:sz w:val="21"/>
                <w:szCs w:val="21"/>
              </w:rPr>
            </w:pPr>
            <w:r>
              <w:rPr>
                <w:rFonts w:ascii="宋体" w:hAnsi="宋体" w:eastAsia="宋体" w:cs="宋体"/>
                <w:spacing w:val="2"/>
                <w:sz w:val="21"/>
                <w:szCs w:val="21"/>
              </w:rPr>
              <w:t>消防设施等应急物资，</w:t>
            </w:r>
            <w:r>
              <w:rPr>
                <w:rFonts w:ascii="宋体" w:hAnsi="宋体" w:eastAsia="宋体" w:cs="宋体"/>
                <w:spacing w:val="-47"/>
                <w:sz w:val="21"/>
                <w:szCs w:val="21"/>
              </w:rPr>
              <w:t xml:space="preserve"> </w:t>
            </w:r>
            <w:r>
              <w:rPr>
                <w:rFonts w:ascii="宋体" w:hAnsi="宋体" w:eastAsia="宋体" w:cs="宋体"/>
                <w:spacing w:val="2"/>
                <w:sz w:val="21"/>
                <w:szCs w:val="21"/>
              </w:rPr>
              <w:t>设置田间储存池；沼气管件密封，</w:t>
            </w:r>
            <w:r>
              <w:rPr>
                <w:rFonts w:ascii="宋体" w:hAnsi="宋体" w:eastAsia="宋体" w:cs="宋体"/>
                <w:spacing w:val="-42"/>
                <w:sz w:val="21"/>
                <w:szCs w:val="21"/>
              </w:rPr>
              <w:t xml:space="preserve"> </w:t>
            </w:r>
            <w:r>
              <w:rPr>
                <w:rFonts w:ascii="宋体" w:hAnsi="宋体" w:eastAsia="宋体" w:cs="宋体"/>
                <w:spacing w:val="2"/>
                <w:sz w:val="21"/>
                <w:szCs w:val="21"/>
              </w:rPr>
              <w:t>可燃气体探</w:t>
            </w:r>
          </w:p>
        </w:tc>
        <w:tc>
          <w:tcPr>
            <w:tcW w:w="2077" w:type="dxa"/>
            <w:vAlign w:val="top"/>
          </w:tcPr>
          <w:p w14:paraId="0B70EBD4">
            <w:pPr>
              <w:spacing w:before="209" w:line="220" w:lineRule="auto"/>
              <w:ind w:left="10"/>
              <w:rPr>
                <w:rFonts w:ascii="宋体" w:hAnsi="宋体" w:eastAsia="宋体" w:cs="宋体"/>
                <w:sz w:val="21"/>
                <w:szCs w:val="21"/>
              </w:rPr>
            </w:pPr>
            <w:r>
              <w:rPr>
                <w:rFonts w:ascii="宋体" w:hAnsi="宋体" w:eastAsia="宋体" w:cs="宋体"/>
                <w:spacing w:val="-2"/>
                <w:sz w:val="21"/>
                <w:szCs w:val="21"/>
              </w:rPr>
              <w:t>风险可控</w:t>
            </w:r>
          </w:p>
        </w:tc>
      </w:tr>
    </w:tbl>
    <w:p w14:paraId="4728BF6A">
      <w:pPr>
        <w:pStyle w:val="2"/>
      </w:pPr>
    </w:p>
    <w:p w14:paraId="5E7F96D3">
      <w:pPr>
        <w:sectPr>
          <w:headerReference r:id="rId514" w:type="default"/>
          <w:footerReference r:id="rId515" w:type="default"/>
          <w:pgSz w:w="11905" w:h="16840"/>
          <w:pgMar w:top="1168" w:right="1768" w:bottom="1409" w:left="1770" w:header="828" w:footer="1244" w:gutter="0"/>
          <w:cols w:space="720" w:num="1"/>
        </w:sectPr>
      </w:pPr>
    </w:p>
    <w:p w14:paraId="6E96BDAB">
      <w:pPr>
        <w:spacing w:before="30"/>
      </w:pPr>
    </w:p>
    <w:tbl>
      <w:tblPr>
        <w:tblStyle w:val="5"/>
        <w:tblW w:w="8312"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980"/>
        <w:gridCol w:w="3256"/>
        <w:gridCol w:w="2077"/>
      </w:tblGrid>
      <w:tr w14:paraId="207A9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99" w:type="dxa"/>
            <w:vAlign w:val="top"/>
          </w:tcPr>
          <w:p w14:paraId="0ABE31D7">
            <w:pPr>
              <w:spacing w:before="64" w:line="220" w:lineRule="auto"/>
              <w:ind w:left="296"/>
              <w:rPr>
                <w:rFonts w:ascii="宋体" w:hAnsi="宋体" w:eastAsia="宋体" w:cs="宋体"/>
                <w:sz w:val="21"/>
                <w:szCs w:val="21"/>
              </w:rPr>
            </w:pPr>
            <w:bookmarkStart w:id="71" w:name="bookmark198"/>
            <w:bookmarkEnd w:id="71"/>
            <w:r>
              <w:rPr>
                <w:rFonts w:ascii="宋体" w:hAnsi="宋体" w:eastAsia="宋体" w:cs="宋体"/>
                <w:spacing w:val="-3"/>
                <w:sz w:val="21"/>
                <w:szCs w:val="21"/>
              </w:rPr>
              <w:t>项目</w:t>
            </w:r>
          </w:p>
        </w:tc>
        <w:tc>
          <w:tcPr>
            <w:tcW w:w="1980" w:type="dxa"/>
            <w:vAlign w:val="top"/>
          </w:tcPr>
          <w:p w14:paraId="7A0C413A">
            <w:pPr>
              <w:spacing w:before="63" w:line="220" w:lineRule="auto"/>
              <w:ind w:left="49"/>
              <w:rPr>
                <w:rFonts w:ascii="宋体" w:hAnsi="宋体" w:eastAsia="宋体" w:cs="宋体"/>
                <w:sz w:val="21"/>
                <w:szCs w:val="21"/>
              </w:rPr>
            </w:pPr>
            <w:r>
              <w:rPr>
                <w:rFonts w:ascii="宋体" w:hAnsi="宋体" w:eastAsia="宋体" w:cs="宋体"/>
                <w:spacing w:val="-1"/>
                <w:sz w:val="21"/>
                <w:szCs w:val="21"/>
              </w:rPr>
              <w:t>监测因子或调查内容</w:t>
            </w:r>
          </w:p>
        </w:tc>
        <w:tc>
          <w:tcPr>
            <w:tcW w:w="3256" w:type="dxa"/>
            <w:vAlign w:val="top"/>
          </w:tcPr>
          <w:p w14:paraId="27511973">
            <w:pPr>
              <w:spacing w:before="64" w:line="220" w:lineRule="auto"/>
              <w:ind w:left="1005"/>
              <w:rPr>
                <w:rFonts w:ascii="宋体" w:hAnsi="宋体" w:eastAsia="宋体" w:cs="宋体"/>
                <w:sz w:val="21"/>
                <w:szCs w:val="21"/>
              </w:rPr>
            </w:pPr>
            <w:r>
              <w:rPr>
                <w:rFonts w:ascii="宋体" w:hAnsi="宋体" w:eastAsia="宋体" w:cs="宋体"/>
                <w:spacing w:val="-2"/>
                <w:sz w:val="21"/>
                <w:szCs w:val="21"/>
              </w:rPr>
              <w:t>污染防治措施</w:t>
            </w:r>
          </w:p>
        </w:tc>
        <w:tc>
          <w:tcPr>
            <w:tcW w:w="2077" w:type="dxa"/>
            <w:vAlign w:val="top"/>
          </w:tcPr>
          <w:p w14:paraId="2E17DF12">
            <w:pPr>
              <w:spacing w:before="64" w:line="220" w:lineRule="auto"/>
              <w:ind w:left="624"/>
              <w:rPr>
                <w:rFonts w:ascii="宋体" w:hAnsi="宋体" w:eastAsia="宋体" w:cs="宋体"/>
                <w:sz w:val="21"/>
                <w:szCs w:val="21"/>
              </w:rPr>
            </w:pPr>
            <w:r>
              <w:rPr>
                <w:rFonts w:ascii="宋体" w:hAnsi="宋体" w:eastAsia="宋体" w:cs="宋体"/>
                <w:spacing w:val="-2"/>
                <w:sz w:val="21"/>
                <w:szCs w:val="21"/>
              </w:rPr>
              <w:t>达到效果</w:t>
            </w:r>
          </w:p>
        </w:tc>
      </w:tr>
      <w:tr w14:paraId="6E00A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999" w:type="dxa"/>
            <w:vAlign w:val="top"/>
          </w:tcPr>
          <w:p w14:paraId="5D50B100">
            <w:pPr>
              <w:rPr>
                <w:rFonts w:ascii="Arial"/>
                <w:sz w:val="21"/>
              </w:rPr>
            </w:pPr>
          </w:p>
        </w:tc>
        <w:tc>
          <w:tcPr>
            <w:tcW w:w="1980" w:type="dxa"/>
            <w:vAlign w:val="top"/>
          </w:tcPr>
          <w:p w14:paraId="206A5FFD">
            <w:pPr>
              <w:rPr>
                <w:rFonts w:ascii="Arial"/>
                <w:sz w:val="21"/>
              </w:rPr>
            </w:pPr>
          </w:p>
        </w:tc>
        <w:tc>
          <w:tcPr>
            <w:tcW w:w="3256" w:type="dxa"/>
            <w:vAlign w:val="top"/>
          </w:tcPr>
          <w:p w14:paraId="0279054D">
            <w:pPr>
              <w:spacing w:before="49" w:line="256" w:lineRule="auto"/>
              <w:ind w:left="6" w:firstLine="1"/>
              <w:jc w:val="both"/>
              <w:rPr>
                <w:rFonts w:ascii="宋体" w:hAnsi="宋体" w:eastAsia="宋体" w:cs="宋体"/>
                <w:sz w:val="21"/>
                <w:szCs w:val="21"/>
              </w:rPr>
            </w:pPr>
            <w:r>
              <w:rPr>
                <w:rFonts w:ascii="宋体" w:hAnsi="宋体" w:eastAsia="宋体" w:cs="宋体"/>
                <w:spacing w:val="6"/>
                <w:sz w:val="21"/>
                <w:szCs w:val="21"/>
              </w:rPr>
              <w:t>测及报警装置，消防设施等应急物资；加强安全管理，强化各项设施</w:t>
            </w:r>
            <w:r>
              <w:rPr>
                <w:rFonts w:ascii="宋体" w:hAnsi="宋体" w:eastAsia="宋体" w:cs="宋体"/>
                <w:spacing w:val="-5"/>
                <w:sz w:val="21"/>
                <w:szCs w:val="21"/>
              </w:rPr>
              <w:t>及管网巡检工作。</w:t>
            </w:r>
          </w:p>
        </w:tc>
        <w:tc>
          <w:tcPr>
            <w:tcW w:w="2077" w:type="dxa"/>
            <w:vAlign w:val="top"/>
          </w:tcPr>
          <w:p w14:paraId="664C87C7">
            <w:pPr>
              <w:rPr>
                <w:rFonts w:ascii="Arial"/>
                <w:sz w:val="21"/>
              </w:rPr>
            </w:pPr>
          </w:p>
        </w:tc>
      </w:tr>
      <w:tr w14:paraId="2DA6A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99" w:type="dxa"/>
            <w:vAlign w:val="top"/>
          </w:tcPr>
          <w:p w14:paraId="54EB2193">
            <w:pPr>
              <w:spacing w:line="292" w:lineRule="auto"/>
              <w:rPr>
                <w:rFonts w:ascii="Arial"/>
                <w:sz w:val="21"/>
              </w:rPr>
            </w:pPr>
          </w:p>
          <w:p w14:paraId="23EA793E">
            <w:pPr>
              <w:spacing w:before="68" w:line="220" w:lineRule="auto"/>
              <w:ind w:left="83"/>
              <w:rPr>
                <w:rFonts w:ascii="宋体" w:hAnsi="宋体" w:eastAsia="宋体" w:cs="宋体"/>
                <w:sz w:val="21"/>
                <w:szCs w:val="21"/>
              </w:rPr>
            </w:pPr>
            <w:r>
              <w:rPr>
                <w:rFonts w:ascii="宋体" w:hAnsi="宋体" w:eastAsia="宋体" w:cs="宋体"/>
                <w:spacing w:val="-2"/>
                <w:sz w:val="21"/>
                <w:szCs w:val="21"/>
              </w:rPr>
              <w:t>环境管理</w:t>
            </w:r>
          </w:p>
        </w:tc>
        <w:tc>
          <w:tcPr>
            <w:tcW w:w="1980" w:type="dxa"/>
            <w:vAlign w:val="top"/>
          </w:tcPr>
          <w:p w14:paraId="5BD7C0D3">
            <w:pPr>
              <w:spacing w:line="324" w:lineRule="auto"/>
              <w:rPr>
                <w:rFonts w:ascii="Arial"/>
                <w:sz w:val="21"/>
              </w:rPr>
            </w:pPr>
          </w:p>
          <w:p w14:paraId="7A7FC12F">
            <w:pPr>
              <w:pStyle w:val="6"/>
              <w:spacing w:before="61" w:line="192" w:lineRule="auto"/>
              <w:ind w:left="955"/>
            </w:pPr>
            <w:r>
              <w:t>/</w:t>
            </w:r>
          </w:p>
        </w:tc>
        <w:tc>
          <w:tcPr>
            <w:tcW w:w="3256" w:type="dxa"/>
            <w:vAlign w:val="top"/>
          </w:tcPr>
          <w:p w14:paraId="0B1BC2D7">
            <w:pPr>
              <w:spacing w:before="52" w:line="256" w:lineRule="auto"/>
              <w:ind w:left="7"/>
              <w:jc w:val="both"/>
              <w:rPr>
                <w:rFonts w:ascii="宋体" w:hAnsi="宋体" w:eastAsia="宋体" w:cs="宋体"/>
                <w:sz w:val="21"/>
                <w:szCs w:val="21"/>
              </w:rPr>
            </w:pPr>
            <w:r>
              <w:rPr>
                <w:rFonts w:ascii="宋体" w:hAnsi="宋体" w:eastAsia="宋体" w:cs="宋体"/>
                <w:spacing w:val="6"/>
                <w:sz w:val="21"/>
                <w:szCs w:val="21"/>
              </w:rPr>
              <w:t>环境管理制度、环境管理档案、突发环境事件应急预案、排污口规范</w:t>
            </w:r>
            <w:r>
              <w:rPr>
                <w:rFonts w:ascii="宋体" w:hAnsi="宋体" w:eastAsia="宋体" w:cs="宋体"/>
                <w:spacing w:val="-8"/>
                <w:sz w:val="21"/>
                <w:szCs w:val="21"/>
              </w:rPr>
              <w:t>化设置。</w:t>
            </w:r>
          </w:p>
        </w:tc>
        <w:tc>
          <w:tcPr>
            <w:tcW w:w="2077" w:type="dxa"/>
            <w:vAlign w:val="top"/>
          </w:tcPr>
          <w:p w14:paraId="0E2467F3">
            <w:pPr>
              <w:spacing w:before="52" w:line="256" w:lineRule="auto"/>
              <w:ind w:left="10" w:right="7"/>
              <w:jc w:val="both"/>
              <w:rPr>
                <w:rFonts w:ascii="宋体" w:hAnsi="宋体" w:eastAsia="宋体" w:cs="宋体"/>
                <w:sz w:val="21"/>
                <w:szCs w:val="21"/>
              </w:rPr>
            </w:pPr>
            <w:r>
              <w:rPr>
                <w:rFonts w:ascii="宋体" w:hAnsi="宋体" w:eastAsia="宋体" w:cs="宋体"/>
                <w:spacing w:val="-5"/>
                <w:sz w:val="21"/>
                <w:szCs w:val="21"/>
              </w:rPr>
              <w:t>符合《排污口规范化整治技术要求（试行）》</w:t>
            </w:r>
            <w:r>
              <w:rPr>
                <w:rFonts w:ascii="宋体" w:hAnsi="宋体" w:eastAsia="宋体" w:cs="宋体"/>
                <w:spacing w:val="-2"/>
                <w:sz w:val="21"/>
                <w:szCs w:val="21"/>
              </w:rPr>
              <w:t>规范要求</w:t>
            </w:r>
          </w:p>
        </w:tc>
      </w:tr>
    </w:tbl>
    <w:p w14:paraId="7E84803E">
      <w:pPr>
        <w:pStyle w:val="2"/>
      </w:pPr>
    </w:p>
    <w:p w14:paraId="4CFED0F3">
      <w:pPr>
        <w:sectPr>
          <w:footerReference r:id="rId516" w:type="default"/>
          <w:pgSz w:w="11905" w:h="16840"/>
          <w:pgMar w:top="1168" w:right="1768" w:bottom="1409" w:left="1770" w:header="828" w:footer="1244" w:gutter="0"/>
          <w:cols w:space="720" w:num="1"/>
        </w:sectPr>
      </w:pPr>
    </w:p>
    <w:p w14:paraId="05CB1C4D">
      <w:pPr>
        <w:spacing w:before="363" w:line="218" w:lineRule="auto"/>
        <w:ind w:left="1593"/>
        <w:outlineLvl w:val="0"/>
        <w:rPr>
          <w:rFonts w:ascii="宋体" w:hAnsi="宋体" w:eastAsia="宋体" w:cs="宋体"/>
          <w:sz w:val="44"/>
          <w:szCs w:val="44"/>
        </w:rPr>
      </w:pPr>
      <w:bookmarkStart w:id="72" w:name="bookmark45"/>
      <w:bookmarkEnd w:id="72"/>
      <w:bookmarkStart w:id="73" w:name="bookmark199"/>
      <w:bookmarkEnd w:id="73"/>
      <w:r>
        <w:rPr>
          <w:rFonts w:ascii="宋体" w:hAnsi="宋体" w:eastAsia="宋体" w:cs="宋体"/>
          <w:b/>
          <w:bCs/>
          <w:spacing w:val="-7"/>
          <w:sz w:val="44"/>
          <w:szCs w:val="44"/>
        </w:rPr>
        <w:t>第八章</w:t>
      </w:r>
      <w:r>
        <w:rPr>
          <w:rFonts w:ascii="宋体" w:hAnsi="宋体" w:eastAsia="宋体" w:cs="宋体"/>
          <w:spacing w:val="160"/>
          <w:sz w:val="44"/>
          <w:szCs w:val="44"/>
        </w:rPr>
        <w:t xml:space="preserve"> </w:t>
      </w:r>
      <w:r>
        <w:rPr>
          <w:rFonts w:ascii="宋体" w:hAnsi="宋体" w:eastAsia="宋体" w:cs="宋体"/>
          <w:b/>
          <w:bCs/>
          <w:spacing w:val="-7"/>
          <w:sz w:val="44"/>
          <w:szCs w:val="44"/>
        </w:rPr>
        <w:t>环境影响评价结论</w:t>
      </w:r>
    </w:p>
    <w:p w14:paraId="5EF05120">
      <w:pPr>
        <w:spacing w:before="283" w:line="220" w:lineRule="auto"/>
        <w:ind w:left="41"/>
        <w:outlineLvl w:val="1"/>
        <w:rPr>
          <w:rFonts w:ascii="宋体" w:hAnsi="宋体" w:eastAsia="宋体" w:cs="宋体"/>
          <w:sz w:val="32"/>
          <w:szCs w:val="32"/>
        </w:rPr>
      </w:pPr>
      <w:bookmarkStart w:id="74" w:name="bookmark46"/>
      <w:bookmarkEnd w:id="74"/>
      <w:r>
        <w:rPr>
          <w:rFonts w:ascii="Times New Roman" w:hAnsi="Times New Roman" w:eastAsia="Times New Roman" w:cs="Times New Roman"/>
          <w:b/>
          <w:bCs/>
          <w:spacing w:val="-5"/>
          <w:sz w:val="32"/>
          <w:szCs w:val="32"/>
        </w:rPr>
        <w:t>8.1</w:t>
      </w:r>
      <w:r>
        <w:rPr>
          <w:rFonts w:ascii="Times New Roman" w:hAnsi="Times New Roman" w:eastAsia="Times New Roman" w:cs="Times New Roman"/>
          <w:b/>
          <w:bCs/>
          <w:spacing w:val="9"/>
          <w:sz w:val="32"/>
          <w:szCs w:val="32"/>
        </w:rPr>
        <w:t xml:space="preserve">  </w:t>
      </w:r>
      <w:r>
        <w:rPr>
          <w:rFonts w:ascii="宋体" w:hAnsi="宋体" w:eastAsia="宋体" w:cs="宋体"/>
          <w:b/>
          <w:bCs/>
          <w:spacing w:val="-5"/>
          <w:sz w:val="32"/>
          <w:szCs w:val="32"/>
        </w:rPr>
        <w:t>项目概况</w:t>
      </w:r>
    </w:p>
    <w:p w14:paraId="46189E09">
      <w:pPr>
        <w:pStyle w:val="2"/>
        <w:spacing w:line="244" w:lineRule="auto"/>
      </w:pPr>
    </w:p>
    <w:p w14:paraId="4AAB9450">
      <w:pPr>
        <w:spacing w:before="78" w:line="360" w:lineRule="auto"/>
        <w:ind w:left="40" w:right="29" w:firstLine="501"/>
        <w:jc w:val="both"/>
        <w:rPr>
          <w:rFonts w:ascii="宋体" w:hAnsi="宋体" w:eastAsia="宋体" w:cs="宋体"/>
          <w:sz w:val="24"/>
          <w:szCs w:val="24"/>
        </w:rPr>
      </w:pPr>
      <w:r>
        <w:rPr>
          <w:rFonts w:ascii="宋体" w:hAnsi="宋体" w:eastAsia="宋体" w:cs="宋体"/>
          <w:sz w:val="24"/>
          <w:szCs w:val="24"/>
        </w:rPr>
        <w:t>四川良牧庄养殖有限公司拟投资</w:t>
      </w:r>
      <w:r>
        <w:rPr>
          <w:rFonts w:ascii="Times New Roman" w:hAnsi="Times New Roman" w:eastAsia="Times New Roman" w:cs="Times New Roman"/>
          <w:sz w:val="24"/>
          <w:szCs w:val="24"/>
        </w:rPr>
        <w:t>9900</w:t>
      </w:r>
      <w:r>
        <w:rPr>
          <w:rFonts w:ascii="宋体" w:hAnsi="宋体" w:eastAsia="宋体" w:cs="宋体"/>
          <w:sz w:val="24"/>
          <w:szCs w:val="24"/>
        </w:rPr>
        <w:t>万元在内江市东兴区白</w:t>
      </w:r>
      <w:r>
        <w:rPr>
          <w:rFonts w:ascii="宋体" w:hAnsi="宋体" w:eastAsia="宋体" w:cs="宋体"/>
          <w:spacing w:val="-1"/>
          <w:sz w:val="24"/>
          <w:szCs w:val="24"/>
        </w:rPr>
        <w:t>合镇喻家沟村</w:t>
      </w:r>
      <w:r>
        <w:rPr>
          <w:rFonts w:ascii="Times New Roman" w:hAnsi="Times New Roman" w:eastAsia="Times New Roman" w:cs="Times New Roman"/>
          <w:spacing w:val="-1"/>
          <w:sz w:val="24"/>
          <w:szCs w:val="24"/>
        </w:rPr>
        <w:t>9</w:t>
      </w:r>
      <w:r>
        <w:rPr>
          <w:rFonts w:ascii="宋体" w:hAnsi="宋体" w:eastAsia="宋体" w:cs="宋体"/>
          <w:spacing w:val="-13"/>
          <w:sz w:val="24"/>
          <w:szCs w:val="24"/>
        </w:rPr>
        <w:t>组、</w:t>
      </w:r>
      <w:r>
        <w:rPr>
          <w:rFonts w:ascii="Times New Roman" w:hAnsi="Times New Roman" w:eastAsia="Times New Roman" w:cs="Times New Roman"/>
          <w:spacing w:val="-13"/>
          <w:sz w:val="24"/>
          <w:szCs w:val="24"/>
        </w:rPr>
        <w:t>12</w:t>
      </w:r>
      <w:r>
        <w:rPr>
          <w:rFonts w:ascii="宋体" w:hAnsi="宋体" w:eastAsia="宋体" w:cs="宋体"/>
          <w:spacing w:val="-13"/>
          <w:sz w:val="24"/>
          <w:szCs w:val="24"/>
        </w:rPr>
        <w:t>组建设“喻家沟生猪规模化养殖场建设项</w:t>
      </w:r>
      <w:r>
        <w:rPr>
          <w:rFonts w:ascii="宋体" w:hAnsi="宋体" w:eastAsia="宋体" w:cs="宋体"/>
          <w:spacing w:val="-14"/>
          <w:sz w:val="24"/>
          <w:szCs w:val="24"/>
        </w:rPr>
        <w:t>目</w:t>
      </w:r>
      <w:r>
        <w:rPr>
          <w:rFonts w:ascii="宋体" w:hAnsi="宋体" w:eastAsia="宋体" w:cs="宋体"/>
          <w:spacing w:val="-88"/>
          <w:sz w:val="24"/>
          <w:szCs w:val="24"/>
        </w:rPr>
        <w:t xml:space="preserve"> </w:t>
      </w:r>
      <w:r>
        <w:rPr>
          <w:rFonts w:ascii="宋体" w:hAnsi="宋体" w:eastAsia="宋体" w:cs="宋体"/>
          <w:spacing w:val="-14"/>
          <w:sz w:val="24"/>
          <w:szCs w:val="24"/>
        </w:rPr>
        <w:t>”，项目总用地面积：</w:t>
      </w:r>
      <w:r>
        <w:rPr>
          <w:rFonts w:ascii="Times New Roman" w:hAnsi="Times New Roman" w:eastAsia="Times New Roman" w:cs="Times New Roman"/>
          <w:spacing w:val="-14"/>
          <w:sz w:val="24"/>
          <w:szCs w:val="24"/>
        </w:rPr>
        <w:t>84872m</w:t>
      </w:r>
      <w:r>
        <w:rPr>
          <w:rFonts w:ascii="Times New Roman" w:hAnsi="Times New Roman" w:eastAsia="Times New Roman" w:cs="Times New Roman"/>
          <w:spacing w:val="4"/>
          <w:position w:val="10"/>
          <w:sz w:val="15"/>
          <w:szCs w:val="15"/>
        </w:rPr>
        <w:t>2</w:t>
      </w:r>
      <w:r>
        <w:rPr>
          <w:rFonts w:ascii="Times New Roman" w:hAnsi="Times New Roman" w:eastAsia="Times New Roman" w:cs="Times New Roman"/>
          <w:spacing w:val="-8"/>
          <w:position w:val="10"/>
          <w:sz w:val="15"/>
          <w:szCs w:val="15"/>
        </w:rPr>
        <w:t xml:space="preserve"> </w:t>
      </w:r>
      <w:r>
        <w:rPr>
          <w:rFonts w:ascii="宋体" w:hAnsi="宋体" w:eastAsia="宋体" w:cs="宋体"/>
          <w:spacing w:val="-29"/>
          <w:sz w:val="24"/>
          <w:szCs w:val="24"/>
        </w:rPr>
        <w:t>，</w:t>
      </w:r>
      <w:r>
        <w:rPr>
          <w:rFonts w:ascii="宋体" w:hAnsi="宋体" w:eastAsia="宋体" w:cs="宋体"/>
          <w:spacing w:val="-1"/>
          <w:sz w:val="24"/>
          <w:szCs w:val="24"/>
        </w:rPr>
        <w:t>建设</w:t>
      </w:r>
      <w:r>
        <w:rPr>
          <w:rFonts w:ascii="Times New Roman" w:hAnsi="Times New Roman" w:eastAsia="Times New Roman" w:cs="Times New Roman"/>
          <w:spacing w:val="-1"/>
          <w:sz w:val="24"/>
          <w:szCs w:val="24"/>
        </w:rPr>
        <w:t>1</w:t>
      </w:r>
      <w:r>
        <w:rPr>
          <w:rFonts w:ascii="宋体" w:hAnsi="宋体" w:eastAsia="宋体" w:cs="宋体"/>
          <w:spacing w:val="-1"/>
          <w:sz w:val="24"/>
          <w:szCs w:val="24"/>
        </w:rPr>
        <w:t>栋</w:t>
      </w:r>
      <w:r>
        <w:rPr>
          <w:rFonts w:ascii="Times New Roman" w:hAnsi="Times New Roman" w:eastAsia="Times New Roman" w:cs="Times New Roman"/>
          <w:spacing w:val="-1"/>
          <w:sz w:val="24"/>
          <w:szCs w:val="24"/>
        </w:rPr>
        <w:t>3F</w:t>
      </w:r>
      <w:r>
        <w:rPr>
          <w:rFonts w:ascii="宋体" w:hAnsi="宋体" w:eastAsia="宋体" w:cs="宋体"/>
          <w:spacing w:val="-1"/>
          <w:sz w:val="24"/>
          <w:szCs w:val="24"/>
        </w:rPr>
        <w:t>保育楼、</w:t>
      </w:r>
      <w:r>
        <w:rPr>
          <w:rFonts w:ascii="Times New Roman" w:hAnsi="Times New Roman" w:eastAsia="Times New Roman" w:cs="Times New Roman"/>
          <w:spacing w:val="-1"/>
          <w:sz w:val="24"/>
          <w:szCs w:val="24"/>
        </w:rPr>
        <w:t>1</w:t>
      </w:r>
      <w:r>
        <w:rPr>
          <w:rFonts w:ascii="宋体" w:hAnsi="宋体" w:eastAsia="宋体" w:cs="宋体"/>
          <w:spacing w:val="-1"/>
          <w:sz w:val="24"/>
          <w:szCs w:val="24"/>
        </w:rPr>
        <w:t>栋</w:t>
      </w:r>
      <w:r>
        <w:rPr>
          <w:rFonts w:ascii="Times New Roman" w:hAnsi="Times New Roman" w:eastAsia="Times New Roman" w:cs="Times New Roman"/>
          <w:spacing w:val="-1"/>
          <w:sz w:val="24"/>
          <w:szCs w:val="24"/>
        </w:rPr>
        <w:t>3F</w:t>
      </w:r>
      <w:r>
        <w:rPr>
          <w:rFonts w:ascii="宋体" w:hAnsi="宋体" w:eastAsia="宋体" w:cs="宋体"/>
          <w:spacing w:val="-1"/>
          <w:sz w:val="24"/>
          <w:szCs w:val="24"/>
        </w:rPr>
        <w:t>育肥楼、</w:t>
      </w:r>
      <w:r>
        <w:rPr>
          <w:rFonts w:ascii="Times New Roman" w:hAnsi="Times New Roman" w:eastAsia="Times New Roman" w:cs="Times New Roman"/>
          <w:spacing w:val="-1"/>
          <w:sz w:val="24"/>
          <w:szCs w:val="24"/>
        </w:rPr>
        <w:t>1</w:t>
      </w:r>
      <w:r>
        <w:rPr>
          <w:rFonts w:ascii="宋体" w:hAnsi="宋体" w:eastAsia="宋体" w:cs="宋体"/>
          <w:spacing w:val="-1"/>
          <w:sz w:val="24"/>
          <w:szCs w:val="24"/>
        </w:rPr>
        <w:t>栋</w:t>
      </w:r>
      <w:r>
        <w:rPr>
          <w:rFonts w:ascii="Times New Roman" w:hAnsi="Times New Roman" w:eastAsia="Times New Roman" w:cs="Times New Roman"/>
          <w:spacing w:val="-1"/>
          <w:sz w:val="24"/>
          <w:szCs w:val="24"/>
        </w:rPr>
        <w:t>1F</w:t>
      </w:r>
      <w:r>
        <w:rPr>
          <w:rFonts w:ascii="宋体" w:hAnsi="宋体" w:eastAsia="宋体" w:cs="宋体"/>
          <w:spacing w:val="-1"/>
          <w:sz w:val="24"/>
          <w:szCs w:val="24"/>
        </w:rPr>
        <w:t>育肥猪转猪舍，并新建管理用房、洗消</w:t>
      </w:r>
      <w:r>
        <w:rPr>
          <w:rFonts w:ascii="宋体" w:hAnsi="宋体" w:eastAsia="宋体" w:cs="宋体"/>
          <w:spacing w:val="-6"/>
          <w:sz w:val="24"/>
          <w:szCs w:val="24"/>
        </w:rPr>
        <w:t>房、发电机房等辅助设施， 以及污水处理站、堆粪棚等</w:t>
      </w:r>
      <w:r>
        <w:rPr>
          <w:rFonts w:ascii="宋体" w:hAnsi="宋体" w:eastAsia="宋体" w:cs="宋体"/>
          <w:spacing w:val="-7"/>
          <w:sz w:val="24"/>
          <w:szCs w:val="24"/>
        </w:rPr>
        <w:t>配套环保设施。项目建成</w:t>
      </w:r>
      <w:r>
        <w:rPr>
          <w:rFonts w:ascii="宋体" w:hAnsi="宋体" w:eastAsia="宋体" w:cs="宋体"/>
          <w:spacing w:val="-1"/>
          <w:sz w:val="24"/>
          <w:szCs w:val="24"/>
        </w:rPr>
        <w:t>后，年存栏保育猪</w:t>
      </w:r>
      <w:r>
        <w:rPr>
          <w:rFonts w:ascii="Times New Roman" w:hAnsi="Times New Roman" w:eastAsia="Times New Roman" w:cs="Times New Roman"/>
          <w:spacing w:val="-1"/>
          <w:sz w:val="24"/>
          <w:szCs w:val="24"/>
        </w:rPr>
        <w:t>1.8</w:t>
      </w:r>
      <w:r>
        <w:rPr>
          <w:rFonts w:ascii="宋体" w:hAnsi="宋体" w:eastAsia="宋体" w:cs="宋体"/>
          <w:spacing w:val="-1"/>
          <w:sz w:val="24"/>
          <w:szCs w:val="24"/>
        </w:rPr>
        <w:t>万头、存栏育肥猪</w:t>
      </w:r>
      <w:r>
        <w:rPr>
          <w:rFonts w:ascii="Times New Roman" w:hAnsi="Times New Roman" w:eastAsia="Times New Roman" w:cs="Times New Roman"/>
          <w:spacing w:val="-1"/>
          <w:sz w:val="24"/>
          <w:szCs w:val="24"/>
        </w:rPr>
        <w:t>4.4</w:t>
      </w:r>
      <w:r>
        <w:rPr>
          <w:rFonts w:ascii="宋体" w:hAnsi="宋体" w:eastAsia="宋体" w:cs="宋体"/>
          <w:spacing w:val="-1"/>
          <w:sz w:val="24"/>
          <w:szCs w:val="24"/>
        </w:rPr>
        <w:t>万头，年出栏商品猪</w:t>
      </w:r>
      <w:r>
        <w:rPr>
          <w:rFonts w:ascii="Times New Roman" w:hAnsi="Times New Roman" w:eastAsia="Times New Roman" w:cs="Times New Roman"/>
          <w:spacing w:val="-1"/>
          <w:sz w:val="24"/>
          <w:szCs w:val="24"/>
        </w:rPr>
        <w:t>13.3</w:t>
      </w:r>
      <w:r>
        <w:rPr>
          <w:rFonts w:ascii="宋体" w:hAnsi="宋体" w:eastAsia="宋体" w:cs="宋体"/>
          <w:spacing w:val="-1"/>
          <w:sz w:val="24"/>
          <w:szCs w:val="24"/>
        </w:rPr>
        <w:t>万头。</w:t>
      </w:r>
    </w:p>
    <w:p w14:paraId="58BB3FC9">
      <w:pPr>
        <w:spacing w:before="3" w:line="361" w:lineRule="auto"/>
        <w:ind w:left="41" w:right="30" w:firstLine="479"/>
        <w:jc w:val="both"/>
        <w:rPr>
          <w:rFonts w:ascii="宋体" w:hAnsi="宋体" w:eastAsia="宋体" w:cs="宋体"/>
          <w:sz w:val="24"/>
          <w:szCs w:val="24"/>
        </w:rPr>
      </w:pPr>
      <w:r>
        <w:rPr>
          <w:rFonts w:ascii="宋体" w:hAnsi="宋体" w:eastAsia="宋体" w:cs="宋体"/>
          <w:spacing w:val="-3"/>
          <w:sz w:val="24"/>
          <w:szCs w:val="24"/>
        </w:rPr>
        <w:t>本项目符合国家现行产业政策要求，符合当地土地利用总体规</w:t>
      </w:r>
      <w:r>
        <w:rPr>
          <w:rFonts w:ascii="宋体" w:hAnsi="宋体" w:eastAsia="宋体" w:cs="宋体"/>
          <w:spacing w:val="-4"/>
          <w:sz w:val="24"/>
          <w:szCs w:val="24"/>
        </w:rPr>
        <w:t>划，符合“三</w:t>
      </w:r>
      <w:r>
        <w:rPr>
          <w:rFonts w:ascii="宋体" w:hAnsi="宋体" w:eastAsia="宋体" w:cs="宋体"/>
          <w:spacing w:val="-3"/>
          <w:sz w:val="24"/>
          <w:szCs w:val="24"/>
        </w:rPr>
        <w:t>线一单”要求，项目与国家及地方相关养殖发展规划、畜禽养殖相关法律法规及</w:t>
      </w:r>
      <w:r>
        <w:rPr>
          <w:rFonts w:ascii="宋体" w:hAnsi="宋体" w:eastAsia="宋体" w:cs="宋体"/>
          <w:spacing w:val="-4"/>
          <w:sz w:val="24"/>
          <w:szCs w:val="24"/>
        </w:rPr>
        <w:t>污染防治规范要求均符合。</w:t>
      </w:r>
    </w:p>
    <w:p w14:paraId="729F5B9A">
      <w:pPr>
        <w:spacing w:before="150" w:line="220" w:lineRule="auto"/>
        <w:ind w:left="41"/>
        <w:outlineLvl w:val="1"/>
        <w:rPr>
          <w:rFonts w:ascii="宋体" w:hAnsi="宋体" w:eastAsia="宋体" w:cs="宋体"/>
          <w:sz w:val="32"/>
          <w:szCs w:val="32"/>
        </w:rPr>
      </w:pPr>
      <w:bookmarkStart w:id="75" w:name="bookmark47"/>
      <w:bookmarkEnd w:id="75"/>
      <w:r>
        <w:rPr>
          <w:rFonts w:ascii="Times New Roman" w:hAnsi="Times New Roman" w:eastAsia="Times New Roman" w:cs="Times New Roman"/>
          <w:b/>
          <w:bCs/>
          <w:spacing w:val="-3"/>
          <w:sz w:val="32"/>
          <w:szCs w:val="32"/>
        </w:rPr>
        <w:t xml:space="preserve">8.2  </w:t>
      </w:r>
      <w:r>
        <w:rPr>
          <w:rFonts w:ascii="宋体" w:hAnsi="宋体" w:eastAsia="宋体" w:cs="宋体"/>
          <w:b/>
          <w:bCs/>
          <w:spacing w:val="-3"/>
          <w:sz w:val="32"/>
          <w:szCs w:val="32"/>
        </w:rPr>
        <w:t>环境质量现状</w:t>
      </w:r>
    </w:p>
    <w:p w14:paraId="25EA85E1">
      <w:pPr>
        <w:pStyle w:val="2"/>
        <w:spacing w:line="247" w:lineRule="auto"/>
      </w:pPr>
    </w:p>
    <w:p w14:paraId="02C38052">
      <w:pPr>
        <w:spacing w:before="79" w:line="360" w:lineRule="auto"/>
        <w:ind w:left="40" w:right="31"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）大气环境质量现状：项目所在东兴区</w:t>
      </w:r>
      <w:r>
        <w:rPr>
          <w:rFonts w:ascii="宋体" w:hAnsi="宋体" w:eastAsia="宋体" w:cs="宋体"/>
          <w:spacing w:val="-3"/>
          <w:sz w:val="24"/>
          <w:szCs w:val="24"/>
        </w:rPr>
        <w:t xml:space="preserve"> </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37"/>
          <w:w w:val="101"/>
          <w:sz w:val="24"/>
          <w:szCs w:val="24"/>
        </w:rPr>
        <w:t xml:space="preserve"> </w:t>
      </w:r>
      <w:r>
        <w:rPr>
          <w:rFonts w:ascii="宋体" w:hAnsi="宋体" w:eastAsia="宋体" w:cs="宋体"/>
          <w:spacing w:val="-3"/>
          <w:sz w:val="24"/>
          <w:szCs w:val="24"/>
        </w:rPr>
        <w:t>年度为达标区；</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宋体" w:hAnsi="宋体" w:eastAsia="宋体" w:cs="宋体"/>
          <w:spacing w:val="-5"/>
          <w:sz w:val="24"/>
          <w:szCs w:val="24"/>
        </w:rPr>
        <w:t>监测值均符合《环境影响评价技术导则</w:t>
      </w:r>
      <w:r>
        <w:rPr>
          <w:rFonts w:ascii="宋体" w:hAnsi="宋体" w:eastAsia="宋体" w:cs="宋体"/>
          <w:spacing w:val="33"/>
          <w:sz w:val="24"/>
          <w:szCs w:val="24"/>
        </w:rPr>
        <w:t xml:space="preserve"> </w:t>
      </w:r>
      <w:r>
        <w:rPr>
          <w:rFonts w:ascii="宋体" w:hAnsi="宋体" w:eastAsia="宋体" w:cs="宋体"/>
          <w:spacing w:val="-5"/>
          <w:sz w:val="24"/>
          <w:szCs w:val="24"/>
        </w:rPr>
        <w:t>大气环境》（</w:t>
      </w:r>
      <w:r>
        <w:rPr>
          <w:rFonts w:ascii="Times New Roman" w:hAnsi="Times New Roman" w:eastAsia="Times New Roman" w:cs="Times New Roman"/>
          <w:spacing w:val="-5"/>
          <w:sz w:val="24"/>
          <w:szCs w:val="24"/>
        </w:rPr>
        <w:t>HJ2.2-2018</w:t>
      </w:r>
      <w:r>
        <w:rPr>
          <w:rFonts w:ascii="宋体" w:hAnsi="宋体" w:eastAsia="宋体" w:cs="宋体"/>
          <w:spacing w:val="-5"/>
          <w:sz w:val="24"/>
          <w:szCs w:val="24"/>
        </w:rPr>
        <w:t>）附录</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D </w:t>
      </w:r>
      <w:r>
        <w:rPr>
          <w:rFonts w:ascii="宋体" w:hAnsi="宋体" w:eastAsia="宋体" w:cs="宋体"/>
          <w:spacing w:val="-5"/>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11"/>
          <w:sz w:val="24"/>
          <w:szCs w:val="24"/>
        </w:rPr>
        <w:t>要求。</w:t>
      </w:r>
    </w:p>
    <w:p w14:paraId="2EC123BC">
      <w:pPr>
        <w:spacing w:line="360" w:lineRule="auto"/>
        <w:ind w:left="40" w:right="28" w:firstLine="48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）根据《内江市生态环境状况公报（</w:t>
      </w:r>
      <w:r>
        <w:rPr>
          <w:rFonts w:ascii="Times New Roman" w:hAnsi="Times New Roman" w:eastAsia="Times New Roman" w:cs="Times New Roman"/>
          <w:spacing w:val="-7"/>
          <w:sz w:val="24"/>
          <w:szCs w:val="24"/>
        </w:rPr>
        <w:t>202</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年）》监测断面结果可知，</w:t>
      </w:r>
      <w:r>
        <w:rPr>
          <w:rFonts w:ascii="Times New Roman" w:hAnsi="Times New Roman" w:eastAsia="Times New Roman" w:cs="Times New Roman"/>
          <w:spacing w:val="-8"/>
          <w:sz w:val="24"/>
          <w:szCs w:val="24"/>
        </w:rPr>
        <w:t>2022</w:t>
      </w:r>
      <w:r>
        <w:rPr>
          <w:rFonts w:ascii="宋体" w:hAnsi="宋体" w:eastAsia="宋体" w:cs="宋体"/>
          <w:sz w:val="24"/>
          <w:szCs w:val="24"/>
        </w:rPr>
        <w:t>年，大清流河水质总体优，与上年相比保持不变。</w:t>
      </w:r>
      <w:r>
        <w:rPr>
          <w:rFonts w:ascii="Times New Roman" w:hAnsi="Times New Roman" w:eastAsia="Times New Roman" w:cs="Times New Roman"/>
          <w:sz w:val="24"/>
          <w:szCs w:val="24"/>
        </w:rPr>
        <w:t xml:space="preserve">7  </w:t>
      </w:r>
      <w:r>
        <w:rPr>
          <w:rFonts w:ascii="宋体" w:hAnsi="宋体" w:eastAsia="宋体" w:cs="宋体"/>
          <w:sz w:val="24"/>
          <w:szCs w:val="24"/>
        </w:rPr>
        <w:t>个断面均为Ⅰ</w:t>
      </w:r>
      <w:r>
        <w:rPr>
          <w:rFonts w:ascii="Times New Roman" w:hAnsi="Times New Roman" w:eastAsia="Times New Roman" w:cs="Times New Roman"/>
          <w:sz w:val="24"/>
          <w:szCs w:val="24"/>
        </w:rPr>
        <w:t>~</w:t>
      </w:r>
      <w:r>
        <w:rPr>
          <w:rFonts w:ascii="宋体" w:hAnsi="宋体" w:eastAsia="宋体" w:cs="宋体"/>
          <w:sz w:val="24"/>
          <w:szCs w:val="24"/>
        </w:rPr>
        <w:t>Ⅲ类水质，</w:t>
      </w:r>
      <w:r>
        <w:rPr>
          <w:rFonts w:ascii="宋体" w:hAnsi="宋体" w:eastAsia="宋体" w:cs="宋体"/>
          <w:spacing w:val="-7"/>
          <w:sz w:val="24"/>
          <w:szCs w:val="24"/>
        </w:rPr>
        <w:t>占比</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。补充监测可知，监测期间除了五桂溪能</w:t>
      </w:r>
      <w:r>
        <w:rPr>
          <w:rFonts w:ascii="宋体" w:hAnsi="宋体" w:eastAsia="宋体" w:cs="宋体"/>
          <w:spacing w:val="-8"/>
          <w:sz w:val="24"/>
          <w:szCs w:val="24"/>
        </w:rPr>
        <w:t>达到《地表水环境质量标准》</w:t>
      </w:r>
      <w:r>
        <w:rPr>
          <w:rFonts w:ascii="宋体" w:hAnsi="宋体" w:eastAsia="宋体" w:cs="宋体"/>
          <w:sz w:val="24"/>
          <w:szCs w:val="24"/>
        </w:rPr>
        <w:t xml:space="preserve"> （</w:t>
      </w:r>
      <w:r>
        <w:rPr>
          <w:rFonts w:ascii="Times New Roman" w:hAnsi="Times New Roman" w:eastAsia="Times New Roman" w:cs="Times New Roman"/>
          <w:sz w:val="24"/>
          <w:szCs w:val="24"/>
        </w:rPr>
        <w:t>GB3838-2002</w:t>
      </w:r>
      <w:r>
        <w:rPr>
          <w:rFonts w:ascii="宋体" w:hAnsi="宋体" w:eastAsia="宋体" w:cs="宋体"/>
          <w:sz w:val="24"/>
          <w:szCs w:val="24"/>
        </w:rPr>
        <w:t>）中</w:t>
      </w:r>
      <w:r>
        <w:rPr>
          <w:rFonts w:ascii="Times New Roman" w:hAnsi="Times New Roman" w:eastAsia="Times New Roman" w:cs="Times New Roman"/>
          <w:sz w:val="24"/>
          <w:szCs w:val="24"/>
        </w:rPr>
        <w:t>Ⅲ</w:t>
      </w:r>
      <w:r>
        <w:rPr>
          <w:rFonts w:ascii="宋体" w:hAnsi="宋体" w:eastAsia="宋体" w:cs="宋体"/>
          <w:sz w:val="24"/>
          <w:szCs w:val="24"/>
        </w:rPr>
        <w:t>类水域标准，</w:t>
      </w:r>
      <w:r>
        <w:rPr>
          <w:rFonts w:ascii="宋体" w:hAnsi="宋体" w:eastAsia="宋体" w:cs="宋体"/>
          <w:spacing w:val="-1"/>
          <w:sz w:val="24"/>
          <w:szCs w:val="24"/>
        </w:rPr>
        <w:t>其余监测断面存在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2"/>
          <w:sz w:val="15"/>
          <w:szCs w:val="15"/>
        </w:rPr>
        <w:t>5</w:t>
      </w:r>
      <w:r>
        <w:rPr>
          <w:rFonts w:ascii="Times New Roman" w:hAnsi="Times New Roman" w:eastAsia="Times New Roman" w:cs="Times New Roman"/>
          <w:spacing w:val="11"/>
          <w:position w:val="-2"/>
          <w:sz w:val="15"/>
          <w:szCs w:val="15"/>
        </w:rPr>
        <w:t xml:space="preserve"> </w:t>
      </w:r>
      <w:r>
        <w:rPr>
          <w:rFonts w:ascii="宋体" w:hAnsi="宋体" w:eastAsia="宋体" w:cs="宋体"/>
          <w:spacing w:val="-1"/>
          <w:sz w:val="24"/>
          <w:szCs w:val="24"/>
        </w:rPr>
        <w:t>超标现象，可能是</w:t>
      </w:r>
      <w:r>
        <w:rPr>
          <w:rFonts w:ascii="宋体" w:hAnsi="宋体" w:eastAsia="宋体" w:cs="宋体"/>
          <w:spacing w:val="-3"/>
          <w:sz w:val="24"/>
          <w:szCs w:val="24"/>
        </w:rPr>
        <w:t>受到农村生活源的污染影响所致。</w:t>
      </w:r>
    </w:p>
    <w:p w14:paraId="72C85C13">
      <w:pPr>
        <w:spacing w:line="360" w:lineRule="auto"/>
        <w:ind w:left="39" w:right="30"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）项目设</w:t>
      </w:r>
      <w:r>
        <w:rPr>
          <w:rFonts w:ascii="宋体" w:hAnsi="宋体" w:eastAsia="宋体" w:cs="宋体"/>
          <w:spacing w:val="-8"/>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个地下水水质检测点，所有水质监测项目未超出《地下水质</w:t>
      </w:r>
      <w:r>
        <w:rPr>
          <w:rFonts w:ascii="宋体" w:hAnsi="宋体" w:eastAsia="宋体" w:cs="宋体"/>
          <w:spacing w:val="-1"/>
          <w:sz w:val="24"/>
          <w:szCs w:val="24"/>
        </w:rPr>
        <w:t>量标准（</w:t>
      </w:r>
      <w:r>
        <w:rPr>
          <w:rFonts w:ascii="Times New Roman" w:hAnsi="Times New Roman" w:eastAsia="Times New Roman" w:cs="Times New Roman"/>
          <w:spacing w:val="-1"/>
          <w:sz w:val="24"/>
          <w:szCs w:val="24"/>
        </w:rPr>
        <w:t>GB/T14848-2017</w:t>
      </w:r>
      <w:r>
        <w:rPr>
          <w:rFonts w:ascii="宋体" w:hAnsi="宋体" w:eastAsia="宋体" w:cs="宋体"/>
          <w:spacing w:val="-1"/>
          <w:sz w:val="24"/>
          <w:szCs w:val="24"/>
        </w:rPr>
        <w:t>）</w:t>
      </w:r>
      <w:r>
        <w:rPr>
          <w:rFonts w:ascii="Times New Roman" w:hAnsi="Times New Roman" w:eastAsia="Times New Roman" w:cs="Times New Roman"/>
          <w:spacing w:val="-1"/>
          <w:sz w:val="24"/>
          <w:szCs w:val="24"/>
        </w:rPr>
        <w:t>I</w:t>
      </w:r>
      <w:r>
        <w:rPr>
          <w:rFonts w:ascii="Times New Roman" w:hAnsi="Times New Roman" w:eastAsia="Times New Roman" w:cs="Times New Roman"/>
          <w:spacing w:val="-2"/>
          <w:sz w:val="24"/>
          <w:szCs w:val="24"/>
        </w:rPr>
        <w:t xml:space="preserve">II </w:t>
      </w:r>
      <w:r>
        <w:rPr>
          <w:rFonts w:ascii="宋体" w:hAnsi="宋体" w:eastAsia="宋体" w:cs="宋体"/>
          <w:spacing w:val="-2"/>
          <w:sz w:val="24"/>
          <w:szCs w:val="24"/>
        </w:rPr>
        <w:t>类标准。</w:t>
      </w:r>
    </w:p>
    <w:p w14:paraId="5CDBB20E">
      <w:pPr>
        <w:spacing w:line="360" w:lineRule="auto"/>
        <w:ind w:left="45" w:right="37"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）项目所在区域声环境质量较好，各监测点均达到《声环境质量标准》</w:t>
      </w:r>
      <w:r>
        <w:rPr>
          <w:rFonts w:ascii="宋体" w:hAnsi="宋体" w:eastAsia="宋体" w:cs="宋体"/>
          <w:spacing w:val="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GB3096-2008</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类标准要求。</w:t>
      </w:r>
    </w:p>
    <w:p w14:paraId="72598391">
      <w:pPr>
        <w:spacing w:line="360" w:lineRule="auto"/>
        <w:ind w:left="52" w:right="30" w:firstLine="47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）项目地、消纳地监测指标全部满足《土壤环境质量</w:t>
      </w:r>
      <w:r>
        <w:rPr>
          <w:rFonts w:ascii="宋体" w:hAnsi="宋体" w:eastAsia="宋体" w:cs="宋体"/>
          <w:spacing w:val="-4"/>
          <w:sz w:val="24"/>
          <w:szCs w:val="24"/>
        </w:rPr>
        <w:t xml:space="preserve"> 农用地土壤污染风</w:t>
      </w:r>
      <w:r>
        <w:rPr>
          <w:rFonts w:ascii="宋体" w:hAnsi="宋体" w:eastAsia="宋体" w:cs="宋体"/>
          <w:spacing w:val="-6"/>
          <w:sz w:val="24"/>
          <w:szCs w:val="24"/>
        </w:rPr>
        <w:t>险管控标准》（</w:t>
      </w:r>
      <w:r>
        <w:rPr>
          <w:rFonts w:ascii="Times New Roman" w:hAnsi="Times New Roman" w:eastAsia="Times New Roman" w:cs="Times New Roman"/>
          <w:spacing w:val="-6"/>
          <w:sz w:val="24"/>
          <w:szCs w:val="24"/>
        </w:rPr>
        <w:t>GB15618-2018</w:t>
      </w:r>
      <w:r>
        <w:rPr>
          <w:rFonts w:ascii="宋体" w:hAnsi="宋体" w:eastAsia="宋体" w:cs="宋体"/>
          <w:spacing w:val="-6"/>
          <w:sz w:val="24"/>
          <w:szCs w:val="24"/>
        </w:rPr>
        <w:t xml:space="preserve">）中表 </w:t>
      </w:r>
      <w:r>
        <w:rPr>
          <w:rFonts w:ascii="Times New Roman" w:hAnsi="Times New Roman" w:eastAsia="Times New Roman" w:cs="Times New Roman"/>
          <w:spacing w:val="-6"/>
          <w:sz w:val="24"/>
          <w:szCs w:val="24"/>
        </w:rPr>
        <w:t xml:space="preserve">1 </w:t>
      </w:r>
      <w:r>
        <w:rPr>
          <w:rFonts w:ascii="宋体" w:hAnsi="宋体" w:eastAsia="宋体" w:cs="宋体"/>
          <w:spacing w:val="-7"/>
          <w:sz w:val="24"/>
          <w:szCs w:val="24"/>
        </w:rPr>
        <w:t>其他类的风险筛选值标准。</w:t>
      </w:r>
    </w:p>
    <w:p w14:paraId="2A2ACE00">
      <w:pPr>
        <w:spacing w:before="1" w:line="361" w:lineRule="auto"/>
        <w:ind w:left="41" w:right="28"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）评价区域为林地、耕地为主，现有植被、动物组成比较简单，无特殊</w:t>
      </w:r>
      <w:r>
        <w:rPr>
          <w:rFonts w:ascii="宋体" w:hAnsi="宋体" w:eastAsia="宋体" w:cs="宋体"/>
          <w:spacing w:val="-3"/>
          <w:sz w:val="24"/>
          <w:szCs w:val="24"/>
        </w:rPr>
        <w:t>生态保护系统和珍稀濒危保护动植物分布，生态环境良好，不属于特殊态敏感区</w:t>
      </w:r>
    </w:p>
    <w:p w14:paraId="2A6A9EC2">
      <w:pPr>
        <w:spacing w:line="361" w:lineRule="auto"/>
        <w:rPr>
          <w:rFonts w:ascii="宋体" w:hAnsi="宋体" w:eastAsia="宋体" w:cs="宋体"/>
          <w:sz w:val="24"/>
          <w:szCs w:val="24"/>
        </w:rPr>
        <w:sectPr>
          <w:footerReference r:id="rId517" w:type="default"/>
          <w:pgSz w:w="11905" w:h="16840"/>
          <w:pgMar w:top="1168" w:right="1768" w:bottom="1409" w:left="1770" w:header="828" w:footer="1244" w:gutter="0"/>
          <w:cols w:space="720" w:num="1"/>
        </w:sectPr>
      </w:pPr>
    </w:p>
    <w:p w14:paraId="51090064">
      <w:pPr>
        <w:pStyle w:val="2"/>
        <w:spacing w:line="305" w:lineRule="auto"/>
      </w:pPr>
    </w:p>
    <w:p w14:paraId="364F9717">
      <w:pPr>
        <w:spacing w:before="78" w:line="220" w:lineRule="auto"/>
        <w:ind w:left="40"/>
        <w:rPr>
          <w:rFonts w:ascii="宋体" w:hAnsi="宋体" w:eastAsia="宋体" w:cs="宋体"/>
          <w:sz w:val="24"/>
          <w:szCs w:val="24"/>
        </w:rPr>
      </w:pPr>
      <w:r>
        <w:rPr>
          <w:rFonts w:ascii="宋体" w:hAnsi="宋体" w:eastAsia="宋体" w:cs="宋体"/>
          <w:spacing w:val="-5"/>
          <w:sz w:val="24"/>
          <w:szCs w:val="24"/>
        </w:rPr>
        <w:t>和重要生态敏感区。</w:t>
      </w:r>
    </w:p>
    <w:p w14:paraId="50F3878F">
      <w:pPr>
        <w:spacing w:before="339" w:line="220" w:lineRule="auto"/>
        <w:ind w:left="41"/>
        <w:outlineLvl w:val="1"/>
        <w:rPr>
          <w:rFonts w:ascii="宋体" w:hAnsi="宋体" w:eastAsia="宋体" w:cs="宋体"/>
          <w:sz w:val="32"/>
          <w:szCs w:val="32"/>
        </w:rPr>
      </w:pPr>
      <w:bookmarkStart w:id="76" w:name="bookmark200"/>
      <w:bookmarkEnd w:id="76"/>
      <w:bookmarkStart w:id="77" w:name="bookmark48"/>
      <w:bookmarkEnd w:id="77"/>
      <w:r>
        <w:rPr>
          <w:rFonts w:ascii="Times New Roman" w:hAnsi="Times New Roman" w:eastAsia="Times New Roman" w:cs="Times New Roman"/>
          <w:b/>
          <w:bCs/>
          <w:spacing w:val="-3"/>
          <w:sz w:val="32"/>
          <w:szCs w:val="32"/>
        </w:rPr>
        <w:t xml:space="preserve">8.3  </w:t>
      </w:r>
      <w:r>
        <w:rPr>
          <w:rFonts w:ascii="宋体" w:hAnsi="宋体" w:eastAsia="宋体" w:cs="宋体"/>
          <w:b/>
          <w:bCs/>
          <w:spacing w:val="-3"/>
          <w:sz w:val="32"/>
          <w:szCs w:val="32"/>
        </w:rPr>
        <w:t>污染物排放情况</w:t>
      </w:r>
    </w:p>
    <w:p w14:paraId="338023EC">
      <w:pPr>
        <w:pStyle w:val="2"/>
        <w:spacing w:line="245" w:lineRule="auto"/>
      </w:pPr>
    </w:p>
    <w:p w14:paraId="3FAF18B6">
      <w:pPr>
        <w:spacing w:before="78" w:line="219" w:lineRule="auto"/>
        <w:ind w:left="520"/>
        <w:rPr>
          <w:rFonts w:ascii="宋体" w:hAnsi="宋体" w:eastAsia="宋体" w:cs="宋体"/>
          <w:sz w:val="24"/>
          <w:szCs w:val="24"/>
        </w:rPr>
      </w:pPr>
      <w:r>
        <w:rPr>
          <w:rFonts w:ascii="宋体" w:hAnsi="宋体" w:eastAsia="宋体" w:cs="宋体"/>
          <w:spacing w:val="-3"/>
          <w:sz w:val="24"/>
          <w:szCs w:val="24"/>
        </w:rPr>
        <w:t>本项目建成运营后，主要污染物的排放情况如下：</w:t>
      </w:r>
    </w:p>
    <w:p w14:paraId="33B8FC2F">
      <w:pPr>
        <w:spacing w:before="183" w:line="360" w:lineRule="auto"/>
        <w:ind w:left="31" w:right="28"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）废气：本项目运营期猪舍恶臭通过采用合理控制养殖密度、喷洒生物</w:t>
      </w:r>
      <w:r>
        <w:rPr>
          <w:rFonts w:ascii="宋体" w:hAnsi="宋体" w:eastAsia="宋体" w:cs="宋体"/>
          <w:spacing w:val="-1"/>
          <w:sz w:val="24"/>
          <w:szCs w:val="24"/>
        </w:rPr>
        <w:t>除臭剂、优化饲料结构，猪舍及转猪舍机械通风</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出风口设置生物喷雾除臭，严</w:t>
      </w:r>
      <w:r>
        <w:rPr>
          <w:rFonts w:ascii="宋体" w:hAnsi="宋体" w:eastAsia="宋体" w:cs="宋体"/>
          <w:spacing w:val="3"/>
          <w:sz w:val="24"/>
          <w:szCs w:val="24"/>
        </w:rPr>
        <w:t>格划定卫生防护距离等措施进行控制；污水处理站粪污收集池、水解酸化池、</w:t>
      </w:r>
      <w:r>
        <w:rPr>
          <w:rFonts w:ascii="宋体" w:hAnsi="宋体" w:eastAsia="宋体" w:cs="宋体"/>
          <w:spacing w:val="8"/>
          <w:sz w:val="24"/>
          <w:szCs w:val="24"/>
        </w:rPr>
        <w:t xml:space="preserve"> </w:t>
      </w:r>
      <w:r>
        <w:rPr>
          <w:rFonts w:ascii="Times New Roman" w:hAnsi="Times New Roman" w:eastAsia="Times New Roman" w:cs="Times New Roman"/>
          <w:spacing w:val="-1"/>
          <w:sz w:val="24"/>
          <w:szCs w:val="24"/>
        </w:rPr>
        <w:t xml:space="preserve">AO </w:t>
      </w:r>
      <w:r>
        <w:rPr>
          <w:rFonts w:ascii="宋体" w:hAnsi="宋体" w:eastAsia="宋体" w:cs="宋体"/>
          <w:spacing w:val="-1"/>
          <w:sz w:val="24"/>
          <w:szCs w:val="24"/>
        </w:rPr>
        <w:t>池、污泥池、叠螺机平台采取喷洒除臭</w:t>
      </w:r>
      <w:r>
        <w:rPr>
          <w:rFonts w:ascii="宋体" w:hAnsi="宋体" w:eastAsia="宋体" w:cs="宋体"/>
          <w:spacing w:val="-2"/>
          <w:sz w:val="24"/>
          <w:szCs w:val="24"/>
        </w:rPr>
        <w:t>剂</w:t>
      </w:r>
      <w:r>
        <w:rPr>
          <w:rFonts w:ascii="Times New Roman" w:hAnsi="Times New Roman" w:eastAsia="Times New Roman" w:cs="Times New Roman"/>
          <w:spacing w:val="-2"/>
          <w:sz w:val="24"/>
          <w:szCs w:val="24"/>
        </w:rPr>
        <w:t>+</w:t>
      </w:r>
      <w:r>
        <w:rPr>
          <w:rFonts w:ascii="宋体" w:hAnsi="宋体" w:eastAsia="宋体" w:cs="宋体"/>
          <w:spacing w:val="-2"/>
          <w:sz w:val="24"/>
          <w:szCs w:val="24"/>
        </w:rPr>
        <w:t>负压收集</w:t>
      </w:r>
      <w:r>
        <w:rPr>
          <w:rFonts w:ascii="Times New Roman" w:hAnsi="Times New Roman" w:eastAsia="Times New Roman" w:cs="Times New Roman"/>
          <w:spacing w:val="-2"/>
          <w:sz w:val="24"/>
          <w:szCs w:val="24"/>
        </w:rPr>
        <w:t>+</w:t>
      </w:r>
      <w:r>
        <w:rPr>
          <w:rFonts w:ascii="宋体" w:hAnsi="宋体" w:eastAsia="宋体" w:cs="宋体"/>
          <w:spacing w:val="-2"/>
          <w:sz w:val="24"/>
          <w:szCs w:val="24"/>
        </w:rPr>
        <w:t>生物滤池除臭系统处理</w:t>
      </w:r>
      <w:r>
        <w:rPr>
          <w:rFonts w:ascii="宋体" w:hAnsi="宋体" w:eastAsia="宋体" w:cs="宋体"/>
          <w:spacing w:val="-3"/>
          <w:sz w:val="24"/>
          <w:szCs w:val="24"/>
        </w:rPr>
        <w:t xml:space="preserve">后经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 xml:space="preserve">根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高排气筒排放；堆粪棚封闭，采取喷洒除臭剂</w:t>
      </w:r>
      <w:r>
        <w:rPr>
          <w:rFonts w:ascii="Times New Roman" w:hAnsi="Times New Roman" w:eastAsia="Times New Roman" w:cs="Times New Roman"/>
          <w:spacing w:val="-3"/>
          <w:sz w:val="24"/>
          <w:szCs w:val="24"/>
        </w:rPr>
        <w:t>+</w:t>
      </w:r>
      <w:r>
        <w:rPr>
          <w:rFonts w:ascii="宋体" w:hAnsi="宋体" w:eastAsia="宋体" w:cs="宋体"/>
          <w:spacing w:val="-4"/>
          <w:sz w:val="24"/>
          <w:szCs w:val="24"/>
        </w:rPr>
        <w:t>负压收集</w:t>
      </w:r>
      <w:r>
        <w:rPr>
          <w:rFonts w:ascii="Times New Roman" w:hAnsi="Times New Roman" w:eastAsia="Times New Roman" w:cs="Times New Roman"/>
          <w:spacing w:val="-4"/>
          <w:sz w:val="24"/>
          <w:szCs w:val="24"/>
        </w:rPr>
        <w:t>+</w:t>
      </w:r>
      <w:r>
        <w:rPr>
          <w:rFonts w:ascii="宋体" w:hAnsi="宋体" w:eastAsia="宋体" w:cs="宋体"/>
          <w:spacing w:val="-4"/>
          <w:sz w:val="24"/>
          <w:szCs w:val="24"/>
        </w:rPr>
        <w:t>生物滤</w:t>
      </w:r>
      <w:r>
        <w:rPr>
          <w:rFonts w:ascii="宋体" w:hAnsi="宋体" w:eastAsia="宋体" w:cs="宋体"/>
          <w:spacing w:val="-3"/>
          <w:sz w:val="24"/>
          <w:szCs w:val="24"/>
        </w:rPr>
        <w:t xml:space="preserve">池除臭系统处理后经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 xml:space="preserve">根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高排气筒排放；沼气脱水脱硫后经沼气燃烧火炬</w:t>
      </w:r>
      <w:r>
        <w:rPr>
          <w:rFonts w:ascii="宋体" w:hAnsi="宋体" w:eastAsia="宋体" w:cs="宋体"/>
          <w:spacing w:val="-1"/>
          <w:sz w:val="24"/>
          <w:szCs w:val="24"/>
        </w:rPr>
        <w:t>燃烧处理；备用发电机废气经自身携带的废气净化装置处理后引至房顶</w:t>
      </w:r>
      <w:r>
        <w:rPr>
          <w:rFonts w:ascii="宋体" w:hAnsi="宋体" w:eastAsia="宋体" w:cs="宋体"/>
          <w:spacing w:val="-2"/>
          <w:sz w:val="24"/>
          <w:szCs w:val="24"/>
        </w:rPr>
        <w:t>排放。</w:t>
      </w:r>
    </w:p>
    <w:p w14:paraId="4BDEEA04">
      <w:pPr>
        <w:spacing w:before="2" w:line="359" w:lineRule="auto"/>
        <w:ind w:left="41" w:right="39" w:firstLine="48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）废水：本项目采用“原环保部认可的清粪工艺”（同牧</w:t>
      </w:r>
      <w:r>
        <w:rPr>
          <w:rFonts w:ascii="宋体" w:hAnsi="宋体" w:eastAsia="宋体" w:cs="宋体"/>
          <w:spacing w:val="-8"/>
          <w:sz w:val="24"/>
          <w:szCs w:val="24"/>
        </w:rPr>
        <w:t>原食品股份有限</w:t>
      </w:r>
      <w:r>
        <w:rPr>
          <w:rFonts w:ascii="宋体" w:hAnsi="宋体" w:eastAsia="宋体" w:cs="宋体"/>
          <w:spacing w:val="-4"/>
          <w:sz w:val="24"/>
          <w:szCs w:val="24"/>
        </w:rPr>
        <w:t>公司清粪工艺，为原环保部认可具备干清粪工艺基本特征</w:t>
      </w:r>
      <w:r>
        <w:rPr>
          <w:rFonts w:ascii="宋体" w:hAnsi="宋体" w:eastAsia="宋体" w:cs="宋体"/>
          <w:spacing w:val="7"/>
          <w:sz w:val="24"/>
          <w:szCs w:val="24"/>
        </w:rPr>
        <w:t>），</w:t>
      </w:r>
      <w:r>
        <w:rPr>
          <w:rFonts w:ascii="宋体" w:hAnsi="宋体" w:eastAsia="宋体" w:cs="宋体"/>
          <w:spacing w:val="-4"/>
          <w:sz w:val="24"/>
          <w:szCs w:val="24"/>
        </w:rPr>
        <w:t>生活污水和养殖废</w:t>
      </w:r>
      <w:r>
        <w:rPr>
          <w:rFonts w:ascii="宋体" w:hAnsi="宋体" w:eastAsia="宋体" w:cs="宋体"/>
          <w:spacing w:val="-3"/>
          <w:sz w:val="24"/>
          <w:szCs w:val="24"/>
        </w:rPr>
        <w:t>水全部进入处理规模为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500m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的污水处理站处理，出水</w:t>
      </w:r>
      <w:r>
        <w:rPr>
          <w:rFonts w:ascii="宋体" w:hAnsi="宋体" w:eastAsia="宋体" w:cs="宋体"/>
          <w:spacing w:val="-4"/>
          <w:sz w:val="24"/>
          <w:szCs w:val="24"/>
        </w:rPr>
        <w:t>达到《农田灌溉水质标</w:t>
      </w:r>
      <w:r>
        <w:rPr>
          <w:rFonts w:ascii="宋体" w:hAnsi="宋体" w:eastAsia="宋体" w:cs="宋体"/>
          <w:spacing w:val="-1"/>
          <w:sz w:val="24"/>
          <w:szCs w:val="24"/>
        </w:rPr>
        <w:t>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）旱地作物标准后，用于</w:t>
      </w:r>
      <w:r>
        <w:rPr>
          <w:rFonts w:ascii="宋体" w:hAnsi="宋体" w:eastAsia="宋体" w:cs="宋体"/>
          <w:spacing w:val="-2"/>
          <w:sz w:val="24"/>
          <w:szCs w:val="24"/>
        </w:rPr>
        <w:t>消纳地农灌，不外排。</w:t>
      </w:r>
    </w:p>
    <w:p w14:paraId="6B4F062C">
      <w:pPr>
        <w:spacing w:before="3" w:line="360" w:lineRule="auto"/>
        <w:ind w:left="38" w:right="28"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）噪声：本项目运营期噪声通过选用低噪设备、加强设备维护、基础减</w:t>
      </w:r>
      <w:r>
        <w:rPr>
          <w:rFonts w:ascii="宋体" w:hAnsi="宋体" w:eastAsia="宋体" w:cs="宋体"/>
          <w:spacing w:val="-2"/>
          <w:sz w:val="24"/>
          <w:szCs w:val="24"/>
        </w:rPr>
        <w:t>振、建筑及绿化隔声、安抚猪只等措施后，能够实现达标排放。</w:t>
      </w:r>
    </w:p>
    <w:p w14:paraId="26A72EF7">
      <w:pPr>
        <w:spacing w:before="6" w:line="360" w:lineRule="auto"/>
        <w:ind w:left="38" w:right="28"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）固废：本项目运营期粪渣经固液分离后交有机肥厂生产有机肥；废脱</w:t>
      </w:r>
      <w:r>
        <w:rPr>
          <w:rFonts w:ascii="宋体" w:hAnsi="宋体" w:eastAsia="宋体" w:cs="宋体"/>
          <w:spacing w:val="-3"/>
          <w:sz w:val="24"/>
          <w:szCs w:val="24"/>
        </w:rPr>
        <w:t>硫剂由供应厂家回收处置；病死猪暂存于无害化处理间，定期交由内江市环态动物无害化处置有限责任公司进行无害化处理；废包装材料外售至物资回收站实现资源化利用；办公和生活垃圾袋装收集后，定期运往喻家沟村垃圾收集点，由环卫部门统一清运；诊疗废弃物应按《中华人民共和国动物防疫法》及当地畜牧兽医主管部门规定，做好诊疗废弃物的收集处置工作；危险废物收集后暂存于危废</w:t>
      </w:r>
      <w:r>
        <w:rPr>
          <w:rFonts w:ascii="宋体" w:hAnsi="宋体" w:eastAsia="宋体" w:cs="宋体"/>
          <w:spacing w:val="-2"/>
          <w:sz w:val="24"/>
          <w:szCs w:val="24"/>
        </w:rPr>
        <w:t>暂存间，交由具有危险废物处理资质的单位处置。</w:t>
      </w:r>
    </w:p>
    <w:p w14:paraId="29C85F94">
      <w:pPr>
        <w:spacing w:before="152" w:line="220" w:lineRule="auto"/>
        <w:ind w:left="41"/>
        <w:outlineLvl w:val="1"/>
        <w:rPr>
          <w:rFonts w:ascii="宋体" w:hAnsi="宋体" w:eastAsia="宋体" w:cs="宋体"/>
          <w:sz w:val="32"/>
          <w:szCs w:val="32"/>
        </w:rPr>
      </w:pPr>
      <w:bookmarkStart w:id="78" w:name="bookmark49"/>
      <w:bookmarkEnd w:id="78"/>
      <w:r>
        <w:rPr>
          <w:rFonts w:ascii="Times New Roman" w:hAnsi="Times New Roman" w:eastAsia="Times New Roman" w:cs="Times New Roman"/>
          <w:b/>
          <w:bCs/>
          <w:spacing w:val="-3"/>
          <w:sz w:val="32"/>
          <w:szCs w:val="32"/>
        </w:rPr>
        <w:t xml:space="preserve">8.4  </w:t>
      </w:r>
      <w:r>
        <w:rPr>
          <w:rFonts w:ascii="宋体" w:hAnsi="宋体" w:eastAsia="宋体" w:cs="宋体"/>
          <w:b/>
          <w:bCs/>
          <w:spacing w:val="-3"/>
          <w:sz w:val="32"/>
          <w:szCs w:val="32"/>
        </w:rPr>
        <w:t>主要环境影响</w:t>
      </w:r>
    </w:p>
    <w:p w14:paraId="706CA358">
      <w:pPr>
        <w:pStyle w:val="2"/>
        <w:spacing w:line="246" w:lineRule="auto"/>
      </w:pPr>
    </w:p>
    <w:p w14:paraId="780540DF">
      <w:pPr>
        <w:spacing w:before="78" w:line="220"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）废气</w:t>
      </w:r>
    </w:p>
    <w:p w14:paraId="767ECCA0">
      <w:pPr>
        <w:spacing w:before="181" w:line="219" w:lineRule="auto"/>
        <w:ind w:left="520"/>
        <w:rPr>
          <w:rFonts w:ascii="宋体" w:hAnsi="宋体" w:eastAsia="宋体" w:cs="宋体"/>
          <w:sz w:val="24"/>
          <w:szCs w:val="24"/>
        </w:rPr>
      </w:pPr>
      <w:r>
        <w:rPr>
          <w:rFonts w:ascii="宋体" w:hAnsi="宋体" w:eastAsia="宋体" w:cs="宋体"/>
          <w:spacing w:val="-2"/>
          <w:sz w:val="24"/>
          <w:szCs w:val="24"/>
        </w:rPr>
        <w:t>本项目废气主要为恶臭、沼气燃烧废气、备用发电机废气。</w:t>
      </w:r>
    </w:p>
    <w:p w14:paraId="3E092BAB">
      <w:pPr>
        <w:spacing w:before="185" w:line="348" w:lineRule="auto"/>
        <w:ind w:left="45" w:right="29" w:firstLine="474"/>
        <w:rPr>
          <w:rFonts w:ascii="宋体" w:hAnsi="宋体" w:eastAsia="宋体" w:cs="宋体"/>
          <w:sz w:val="24"/>
          <w:szCs w:val="24"/>
        </w:rPr>
      </w:pPr>
      <w:r>
        <w:rPr>
          <w:rFonts w:ascii="宋体" w:hAnsi="宋体" w:eastAsia="宋体" w:cs="宋体"/>
          <w:spacing w:val="14"/>
          <w:sz w:val="24"/>
          <w:szCs w:val="24"/>
        </w:rPr>
        <w:t xml:space="preserve">本项目有组织废气排放的 </w:t>
      </w:r>
      <w:r>
        <w:rPr>
          <w:rFonts w:ascii="Times New Roman" w:hAnsi="Times New Roman" w:eastAsia="Times New Roman" w:cs="Times New Roman"/>
          <w:sz w:val="24"/>
          <w:szCs w:val="24"/>
        </w:rPr>
        <w:t>NH</w:t>
      </w:r>
      <w:r>
        <w:rPr>
          <w:rFonts w:ascii="Times New Roman" w:hAnsi="Times New Roman" w:eastAsia="Times New Roman" w:cs="Times New Roman"/>
          <w:spacing w:val="14"/>
          <w:position w:val="-2"/>
          <w:sz w:val="15"/>
          <w:szCs w:val="15"/>
        </w:rPr>
        <w:t xml:space="preserve">3 </w:t>
      </w:r>
      <w:r>
        <w:rPr>
          <w:rFonts w:ascii="宋体" w:hAnsi="宋体" w:eastAsia="宋体" w:cs="宋体"/>
          <w:spacing w:val="14"/>
          <w:sz w:val="24"/>
          <w:szCs w:val="24"/>
        </w:rPr>
        <w:t>、</w:t>
      </w:r>
      <w:r>
        <w:rPr>
          <w:rFonts w:ascii="Times New Roman" w:hAnsi="Times New Roman" w:eastAsia="Times New Roman" w:cs="Times New Roman"/>
          <w:spacing w:val="14"/>
          <w:sz w:val="24"/>
          <w:szCs w:val="24"/>
        </w:rPr>
        <w:t>H</w:t>
      </w:r>
      <w:r>
        <w:rPr>
          <w:rFonts w:ascii="Times New Roman" w:hAnsi="Times New Roman" w:eastAsia="Times New Roman" w:cs="Times New Roman"/>
          <w:spacing w:val="14"/>
          <w:position w:val="-2"/>
          <w:sz w:val="15"/>
          <w:szCs w:val="15"/>
        </w:rPr>
        <w:t>2</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14"/>
          <w:sz w:val="24"/>
          <w:szCs w:val="24"/>
        </w:rPr>
        <w:t xml:space="preserve">S  </w:t>
      </w:r>
      <w:r>
        <w:rPr>
          <w:rFonts w:ascii="宋体" w:hAnsi="宋体" w:eastAsia="宋体" w:cs="宋体"/>
          <w:spacing w:val="14"/>
          <w:sz w:val="24"/>
          <w:szCs w:val="24"/>
        </w:rPr>
        <w:t>均满足《恶臭污</w:t>
      </w:r>
      <w:r>
        <w:rPr>
          <w:rFonts w:ascii="宋体" w:hAnsi="宋体" w:eastAsia="宋体" w:cs="宋体"/>
          <w:spacing w:val="13"/>
          <w:sz w:val="24"/>
          <w:szCs w:val="24"/>
        </w:rPr>
        <w:t>染物排放标准》</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GB14554-93</w:t>
      </w:r>
      <w:r>
        <w:rPr>
          <w:rFonts w:ascii="宋体" w:hAnsi="宋体" w:eastAsia="宋体" w:cs="宋体"/>
          <w:spacing w:val="-3"/>
          <w:sz w:val="24"/>
          <w:szCs w:val="24"/>
        </w:rPr>
        <w:t xml:space="preserve">）表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中排放标准，厂界</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2"/>
          <w:sz w:val="15"/>
          <w:szCs w:val="15"/>
        </w:rPr>
        <w:t>3</w:t>
      </w:r>
      <w:r>
        <w:rPr>
          <w:rFonts w:ascii="Times New Roman" w:hAnsi="Times New Roman" w:eastAsia="Times New Roman" w:cs="Times New Roman"/>
          <w:spacing w:val="-11"/>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22"/>
          <w:position w:val="-2"/>
          <w:sz w:val="15"/>
          <w:szCs w:val="15"/>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排放浓度达到《恶臭污染物</w:t>
      </w:r>
    </w:p>
    <w:p w14:paraId="41959B31">
      <w:pPr>
        <w:spacing w:line="348" w:lineRule="auto"/>
        <w:rPr>
          <w:rFonts w:ascii="宋体" w:hAnsi="宋体" w:eastAsia="宋体" w:cs="宋体"/>
          <w:sz w:val="24"/>
          <w:szCs w:val="24"/>
        </w:rPr>
        <w:sectPr>
          <w:footerReference r:id="rId518" w:type="default"/>
          <w:pgSz w:w="11905" w:h="16840"/>
          <w:pgMar w:top="1168" w:right="1768" w:bottom="1409" w:left="1770" w:header="828" w:footer="1244" w:gutter="0"/>
          <w:cols w:space="720" w:num="1"/>
        </w:sectPr>
      </w:pPr>
    </w:p>
    <w:p w14:paraId="7CCA413D">
      <w:pPr>
        <w:pStyle w:val="2"/>
        <w:spacing w:line="306" w:lineRule="auto"/>
      </w:pPr>
    </w:p>
    <w:p w14:paraId="2B8A6B58">
      <w:pPr>
        <w:spacing w:before="78" w:line="360" w:lineRule="auto"/>
        <w:ind w:left="39" w:right="85"/>
        <w:rPr>
          <w:rFonts w:ascii="宋体" w:hAnsi="宋体" w:eastAsia="宋体" w:cs="宋体"/>
          <w:sz w:val="24"/>
          <w:szCs w:val="24"/>
        </w:rPr>
      </w:pPr>
      <w:bookmarkStart w:id="79" w:name="bookmark201"/>
      <w:bookmarkEnd w:id="79"/>
      <w:r>
        <w:rPr>
          <w:rFonts w:ascii="宋体" w:hAnsi="宋体" w:eastAsia="宋体" w:cs="宋体"/>
          <w:spacing w:val="-1"/>
          <w:sz w:val="24"/>
          <w:szCs w:val="24"/>
        </w:rPr>
        <w:t>排放标准》（</w:t>
      </w:r>
      <w:r>
        <w:rPr>
          <w:rFonts w:ascii="Times New Roman" w:hAnsi="Times New Roman" w:eastAsia="Times New Roman" w:cs="Times New Roman"/>
          <w:spacing w:val="-1"/>
          <w:sz w:val="24"/>
          <w:szCs w:val="24"/>
        </w:rPr>
        <w:t>GB14554-93</w:t>
      </w: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中的标准限值，通过预测可知，项目废气污染</w:t>
      </w:r>
      <w:r>
        <w:rPr>
          <w:rFonts w:ascii="宋体" w:hAnsi="宋体" w:eastAsia="宋体" w:cs="宋体"/>
          <w:spacing w:val="-2"/>
          <w:sz w:val="24"/>
          <w:szCs w:val="24"/>
        </w:rPr>
        <w:t>物浓度贡献值占标率小，项目可不改变区域环境空气质量功能等级。</w:t>
      </w:r>
    </w:p>
    <w:p w14:paraId="5A39FA65">
      <w:pPr>
        <w:spacing w:line="360" w:lineRule="auto"/>
        <w:ind w:left="40" w:firstLine="481"/>
        <w:jc w:val="both"/>
        <w:rPr>
          <w:rFonts w:ascii="宋体" w:hAnsi="宋体" w:eastAsia="宋体" w:cs="宋体"/>
          <w:sz w:val="24"/>
          <w:szCs w:val="24"/>
        </w:rPr>
      </w:pPr>
      <w:r>
        <w:rPr>
          <w:rFonts w:ascii="宋体" w:hAnsi="宋体" w:eastAsia="宋体" w:cs="宋体"/>
          <w:spacing w:val="-8"/>
          <w:sz w:val="24"/>
          <w:szCs w:val="24"/>
        </w:rPr>
        <w:t>为了控制恶臭污染物对周围环境的影响，项目建成投产后，以本项目保育楼、</w:t>
      </w:r>
      <w:r>
        <w:rPr>
          <w:rFonts w:ascii="宋体" w:hAnsi="宋体" w:eastAsia="宋体" w:cs="宋体"/>
          <w:spacing w:val="-3"/>
          <w:sz w:val="24"/>
          <w:szCs w:val="24"/>
        </w:rPr>
        <w:t>育肥楼、转猪舍、堆粪棚、污水处理站（粪污收集池、水解酸化池、微生物曝氧</w:t>
      </w:r>
      <w:r>
        <w:rPr>
          <w:rFonts w:ascii="宋体" w:hAnsi="宋体" w:eastAsia="宋体" w:cs="宋体"/>
          <w:sz w:val="24"/>
          <w:szCs w:val="24"/>
        </w:rPr>
        <w:t>塘、生化组合池等）边界外扩</w:t>
      </w:r>
      <w:r>
        <w:rPr>
          <w:rFonts w:ascii="Times New Roman" w:hAnsi="Times New Roman" w:eastAsia="Times New Roman" w:cs="Times New Roman"/>
          <w:sz w:val="24"/>
          <w:szCs w:val="24"/>
        </w:rPr>
        <w:t>200m</w:t>
      </w:r>
      <w:r>
        <w:rPr>
          <w:rFonts w:ascii="宋体" w:hAnsi="宋体" w:eastAsia="宋体" w:cs="宋体"/>
          <w:sz w:val="24"/>
          <w:szCs w:val="24"/>
        </w:rPr>
        <w:t>的范围划定卫生防护距离。根据测绘报告，</w:t>
      </w:r>
      <w:r>
        <w:rPr>
          <w:rFonts w:ascii="宋体" w:hAnsi="宋体" w:eastAsia="宋体" w:cs="宋体"/>
          <w:spacing w:val="-2"/>
          <w:sz w:val="24"/>
          <w:szCs w:val="24"/>
        </w:rPr>
        <w:t>该</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卫生防护距离内有</w:t>
      </w:r>
      <w:r>
        <w:rPr>
          <w:rFonts w:ascii="Times New Roman" w:hAnsi="Times New Roman" w:eastAsia="Times New Roman" w:cs="Times New Roman"/>
          <w:spacing w:val="-2"/>
          <w:sz w:val="24"/>
          <w:szCs w:val="24"/>
        </w:rPr>
        <w:t>17</w:t>
      </w:r>
      <w:r>
        <w:rPr>
          <w:rFonts w:ascii="宋体" w:hAnsi="宋体" w:eastAsia="宋体" w:cs="宋体"/>
          <w:spacing w:val="-2"/>
          <w:sz w:val="24"/>
          <w:szCs w:val="24"/>
        </w:rPr>
        <w:t>户散户居民（其中</w:t>
      </w:r>
      <w:r>
        <w:rPr>
          <w:rFonts w:ascii="Times New Roman" w:hAnsi="Times New Roman" w:eastAsia="Times New Roman" w:cs="Times New Roman"/>
          <w:spacing w:val="-2"/>
          <w:sz w:val="24"/>
          <w:szCs w:val="24"/>
        </w:rPr>
        <w:t>100m</w:t>
      </w:r>
      <w:r>
        <w:rPr>
          <w:rFonts w:ascii="宋体" w:hAnsi="宋体" w:eastAsia="宋体" w:cs="宋体"/>
          <w:spacing w:val="-2"/>
          <w:sz w:val="24"/>
          <w:szCs w:val="24"/>
        </w:rPr>
        <w:t>范围内</w:t>
      </w:r>
      <w:r>
        <w:rPr>
          <w:rFonts w:ascii="Times New Roman" w:hAnsi="Times New Roman" w:eastAsia="Times New Roman" w:cs="Times New Roman"/>
          <w:spacing w:val="-2"/>
          <w:sz w:val="24"/>
          <w:szCs w:val="24"/>
        </w:rPr>
        <w:t>1</w:t>
      </w:r>
      <w:r>
        <w:rPr>
          <w:rFonts w:ascii="宋体" w:hAnsi="宋体" w:eastAsia="宋体" w:cs="宋体"/>
          <w:spacing w:val="-2"/>
          <w:sz w:val="24"/>
          <w:szCs w:val="24"/>
        </w:rPr>
        <w:t>户</w:t>
      </w:r>
      <w:r>
        <w:rPr>
          <w:rFonts w:ascii="宋体" w:hAnsi="宋体" w:eastAsia="宋体" w:cs="宋体"/>
          <w:spacing w:val="-26"/>
          <w:sz w:val="24"/>
          <w:szCs w:val="24"/>
        </w:rPr>
        <w:t>），</w:t>
      </w:r>
      <w:r>
        <w:rPr>
          <w:rFonts w:ascii="宋体" w:hAnsi="宋体" w:eastAsia="宋体" w:cs="宋体"/>
          <w:spacing w:val="-2"/>
          <w:sz w:val="24"/>
          <w:szCs w:val="24"/>
        </w:rPr>
        <w:t>为确保项目对</w:t>
      </w:r>
      <w:r>
        <w:rPr>
          <w:rFonts w:ascii="宋体" w:hAnsi="宋体" w:eastAsia="宋体" w:cs="宋体"/>
          <w:spacing w:val="-3"/>
          <w:sz w:val="24"/>
          <w:szCs w:val="24"/>
        </w:rPr>
        <w:t>周边环境的影响控制到最小，内江市东兴区白合镇人民政府承诺对卫生防护距离</w:t>
      </w:r>
      <w:r>
        <w:rPr>
          <w:rFonts w:ascii="Times New Roman" w:hAnsi="Times New Roman" w:eastAsia="Times New Roman" w:cs="Times New Roman"/>
          <w:spacing w:val="-2"/>
          <w:sz w:val="24"/>
          <w:szCs w:val="24"/>
        </w:rPr>
        <w:t>100m</w:t>
      </w:r>
      <w:r>
        <w:rPr>
          <w:rFonts w:ascii="宋体" w:hAnsi="宋体" w:eastAsia="宋体" w:cs="宋体"/>
          <w:spacing w:val="-2"/>
          <w:sz w:val="24"/>
          <w:szCs w:val="24"/>
        </w:rPr>
        <w:t>范围内的</w:t>
      </w:r>
      <w:r>
        <w:rPr>
          <w:rFonts w:ascii="Times New Roman" w:hAnsi="Times New Roman" w:eastAsia="Times New Roman" w:cs="Times New Roman"/>
          <w:spacing w:val="-2"/>
          <w:sz w:val="24"/>
          <w:szCs w:val="24"/>
        </w:rPr>
        <w:t>1</w:t>
      </w:r>
      <w:r>
        <w:rPr>
          <w:rFonts w:ascii="宋体" w:hAnsi="宋体" w:eastAsia="宋体" w:cs="宋体"/>
          <w:spacing w:val="-2"/>
          <w:sz w:val="24"/>
          <w:szCs w:val="24"/>
        </w:rPr>
        <w:t>户农户实施搬迁，建设单位对</w:t>
      </w:r>
      <w:r>
        <w:rPr>
          <w:rFonts w:ascii="Times New Roman" w:hAnsi="Times New Roman" w:eastAsia="Times New Roman" w:cs="Times New Roman"/>
          <w:spacing w:val="-2"/>
          <w:sz w:val="24"/>
          <w:szCs w:val="24"/>
        </w:rPr>
        <w:t>100m~200m</w:t>
      </w:r>
      <w:r>
        <w:rPr>
          <w:rFonts w:ascii="宋体" w:hAnsi="宋体" w:eastAsia="宋体" w:cs="宋体"/>
          <w:spacing w:val="-2"/>
          <w:sz w:val="24"/>
          <w:szCs w:val="24"/>
        </w:rPr>
        <w:t>距离内农户签订租赁协</w:t>
      </w:r>
      <w:r>
        <w:rPr>
          <w:rFonts w:ascii="宋体" w:hAnsi="宋体" w:eastAsia="宋体" w:cs="宋体"/>
          <w:spacing w:val="-5"/>
          <w:sz w:val="24"/>
          <w:szCs w:val="24"/>
        </w:rPr>
        <w:t>议实现功能转换。为降低环境影响，</w:t>
      </w:r>
      <w:r>
        <w:rPr>
          <w:rFonts w:ascii="宋体" w:hAnsi="宋体" w:eastAsia="宋体" w:cs="宋体"/>
          <w:spacing w:val="-50"/>
          <w:sz w:val="24"/>
          <w:szCs w:val="24"/>
        </w:rPr>
        <w:t xml:space="preserve"> </w:t>
      </w:r>
      <w:r>
        <w:rPr>
          <w:rFonts w:ascii="宋体" w:hAnsi="宋体" w:eastAsia="宋体" w:cs="宋体"/>
          <w:spacing w:val="-5"/>
          <w:sz w:val="24"/>
          <w:szCs w:val="24"/>
        </w:rPr>
        <w:t>评价要求项目卫生防护距离内不得再建设学</w:t>
      </w:r>
      <w:r>
        <w:rPr>
          <w:rFonts w:ascii="宋体" w:hAnsi="宋体" w:eastAsia="宋体" w:cs="宋体"/>
          <w:spacing w:val="-2"/>
          <w:sz w:val="24"/>
          <w:szCs w:val="24"/>
        </w:rPr>
        <w:t>校、医院、住宅等与项目不相容的企事业单位或民用设施等。</w:t>
      </w:r>
    </w:p>
    <w:p w14:paraId="21E7F73E">
      <w:pPr>
        <w:spacing w:line="219"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）废水</w:t>
      </w:r>
    </w:p>
    <w:p w14:paraId="6C4BC78C">
      <w:pPr>
        <w:spacing w:before="182" w:line="360" w:lineRule="auto"/>
        <w:ind w:left="39" w:right="84" w:firstLine="480"/>
        <w:rPr>
          <w:rFonts w:ascii="宋体" w:hAnsi="宋体" w:eastAsia="宋体" w:cs="宋体"/>
          <w:sz w:val="24"/>
          <w:szCs w:val="24"/>
        </w:rPr>
      </w:pPr>
      <w:r>
        <w:rPr>
          <w:rFonts w:ascii="宋体" w:hAnsi="宋体" w:eastAsia="宋体" w:cs="宋体"/>
          <w:spacing w:val="-4"/>
          <w:sz w:val="24"/>
          <w:szCs w:val="24"/>
        </w:rPr>
        <w:t>本项目猪舍采用“原环保部认可的清粪工艺”（同牧原食品股份有限公司清</w:t>
      </w:r>
      <w:r>
        <w:rPr>
          <w:rFonts w:ascii="宋体" w:hAnsi="宋体" w:eastAsia="宋体" w:cs="宋体"/>
          <w:spacing w:val="-7"/>
          <w:sz w:val="24"/>
          <w:szCs w:val="24"/>
        </w:rPr>
        <w:t>粪工艺，为原环保部认可具备干清粪工艺基本特征）。建设</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8"/>
          <w:sz w:val="24"/>
          <w:szCs w:val="24"/>
        </w:rPr>
        <w:t>座处理能力</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500m</w:t>
      </w:r>
      <w:r>
        <w:rPr>
          <w:rFonts w:ascii="Times New Roman" w:hAnsi="Times New Roman" w:eastAsia="Times New Roman" w:cs="Times New Roman"/>
          <w:spacing w:val="-8"/>
          <w:position w:val="10"/>
          <w:sz w:val="15"/>
          <w:szCs w:val="15"/>
        </w:rPr>
        <w:t>3</w:t>
      </w:r>
      <w:r>
        <w:rPr>
          <w:rFonts w:ascii="Times New Roman" w:hAnsi="Times New Roman" w:eastAsia="Times New Roman" w:cs="Times New Roman"/>
          <w:spacing w:val="-8"/>
          <w:sz w:val="24"/>
          <w:szCs w:val="24"/>
        </w:rPr>
        <w:t>/d</w:t>
      </w:r>
      <w:r>
        <w:rPr>
          <w:rFonts w:ascii="宋体" w:hAnsi="宋体" w:eastAsia="宋体" w:cs="宋体"/>
          <w:spacing w:val="-3"/>
          <w:sz w:val="24"/>
          <w:szCs w:val="24"/>
        </w:rPr>
        <w:t>污水处理站，采用“粪污收集池</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固液分离</w:t>
      </w:r>
      <w:r>
        <w:rPr>
          <w:rFonts w:ascii="Times New Roman" w:hAnsi="Times New Roman" w:eastAsia="Times New Roman" w:cs="Times New Roman"/>
          <w:spacing w:val="-3"/>
          <w:sz w:val="24"/>
          <w:szCs w:val="24"/>
        </w:rPr>
        <w:t>+</w:t>
      </w:r>
      <w:r>
        <w:rPr>
          <w:rFonts w:ascii="宋体" w:hAnsi="宋体" w:eastAsia="宋体" w:cs="宋体"/>
          <w:spacing w:val="-4"/>
          <w:sz w:val="24"/>
          <w:szCs w:val="24"/>
        </w:rPr>
        <w:t>水解酸化池</w:t>
      </w:r>
      <w:r>
        <w:rPr>
          <w:rFonts w:ascii="Times New Roman" w:hAnsi="Times New Roman" w:eastAsia="Times New Roman" w:cs="Times New Roman"/>
          <w:spacing w:val="-4"/>
          <w:sz w:val="24"/>
          <w:szCs w:val="24"/>
        </w:rPr>
        <w:t xml:space="preserve">+CSTR </w:t>
      </w:r>
      <w:r>
        <w:rPr>
          <w:rFonts w:ascii="宋体" w:hAnsi="宋体" w:eastAsia="宋体" w:cs="宋体"/>
          <w:spacing w:val="-4"/>
          <w:sz w:val="24"/>
          <w:szCs w:val="24"/>
        </w:rPr>
        <w:t>厌氧反应器</w:t>
      </w:r>
      <w:r>
        <w:rPr>
          <w:rFonts w:ascii="Times New Roman" w:hAnsi="Times New Roman" w:eastAsia="Times New Roman" w:cs="Times New Roman"/>
          <w:spacing w:val="-4"/>
          <w:sz w:val="24"/>
          <w:szCs w:val="24"/>
        </w:rPr>
        <w:t>+</w:t>
      </w:r>
      <w:r>
        <w:rPr>
          <w:rFonts w:ascii="宋体" w:hAnsi="宋体" w:eastAsia="宋体" w:cs="宋体"/>
          <w:spacing w:val="-4"/>
          <w:sz w:val="24"/>
          <w:szCs w:val="24"/>
        </w:rPr>
        <w:t>微生</w:t>
      </w:r>
      <w:r>
        <w:rPr>
          <w:rFonts w:ascii="宋体" w:hAnsi="宋体" w:eastAsia="宋体" w:cs="宋体"/>
          <w:spacing w:val="1"/>
          <w:sz w:val="24"/>
          <w:szCs w:val="24"/>
        </w:rPr>
        <w:t>物曝氧塘</w:t>
      </w:r>
      <w:r>
        <w:rPr>
          <w:rFonts w:ascii="Times New Roman" w:hAnsi="Times New Roman" w:eastAsia="Times New Roman" w:cs="Times New Roman"/>
          <w:spacing w:val="1"/>
          <w:sz w:val="24"/>
          <w:szCs w:val="24"/>
        </w:rPr>
        <w:t>+</w:t>
      </w:r>
      <w:r>
        <w:rPr>
          <w:rFonts w:ascii="宋体" w:hAnsi="宋体" w:eastAsia="宋体" w:cs="宋体"/>
          <w:spacing w:val="1"/>
          <w:sz w:val="24"/>
          <w:szCs w:val="24"/>
        </w:rPr>
        <w:t>前置物化系统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w:t>
      </w:r>
      <w:r>
        <w:rPr>
          <w:rFonts w:ascii="宋体" w:hAnsi="宋体" w:eastAsia="宋体" w:cs="宋体"/>
          <w:spacing w:val="-1"/>
          <w:sz w:val="24"/>
          <w:szCs w:val="24"/>
        </w:rPr>
        <w:t>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混凝沉淀</w:t>
      </w:r>
      <w:r>
        <w:rPr>
          <w:rFonts w:ascii="Times New Roman" w:hAnsi="Times New Roman" w:eastAsia="Times New Roman" w:cs="Times New Roman"/>
          <w:spacing w:val="-1"/>
          <w:sz w:val="24"/>
          <w:szCs w:val="24"/>
        </w:rPr>
        <w:t>+</w:t>
      </w:r>
      <w:r>
        <w:rPr>
          <w:rFonts w:ascii="宋体" w:hAnsi="宋体" w:eastAsia="宋体" w:cs="宋体"/>
          <w:spacing w:val="-1"/>
          <w:sz w:val="24"/>
          <w:szCs w:val="24"/>
        </w:rPr>
        <w:t>消毒池”污水处理工艺，废水经污水处理站处理达《农田灌溉水质标准》（</w:t>
      </w:r>
      <w:r>
        <w:rPr>
          <w:rFonts w:ascii="Times New Roman" w:hAnsi="Times New Roman" w:eastAsia="Times New Roman" w:cs="Times New Roman"/>
          <w:spacing w:val="-1"/>
          <w:sz w:val="24"/>
          <w:szCs w:val="24"/>
        </w:rPr>
        <w:t>GB5084-2021</w:t>
      </w:r>
      <w:r>
        <w:rPr>
          <w:rFonts w:ascii="宋体" w:hAnsi="宋体" w:eastAsia="宋体" w:cs="宋体"/>
          <w:spacing w:val="-1"/>
          <w:sz w:val="24"/>
          <w:szCs w:val="24"/>
        </w:rPr>
        <w:t>）旱地作物标准后，全部用于消纳地农灌，不外排。建设单位流转</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2060</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亩耕地作为配套消纳地，能够完全消化本项</w:t>
      </w:r>
      <w:r>
        <w:rPr>
          <w:rFonts w:ascii="宋体" w:hAnsi="宋体" w:eastAsia="宋体" w:cs="宋体"/>
          <w:spacing w:val="-8"/>
          <w:sz w:val="24"/>
          <w:szCs w:val="24"/>
        </w:rPr>
        <w:t>目的废水。</w:t>
      </w:r>
    </w:p>
    <w:p w14:paraId="4BC2E246">
      <w:pPr>
        <w:spacing w:line="220"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）噪声</w:t>
      </w:r>
    </w:p>
    <w:p w14:paraId="0BDFDDEB">
      <w:pPr>
        <w:spacing w:before="181" w:line="219" w:lineRule="auto"/>
        <w:ind w:left="520"/>
        <w:rPr>
          <w:rFonts w:ascii="宋体" w:hAnsi="宋体" w:eastAsia="宋体" w:cs="宋体"/>
          <w:sz w:val="24"/>
          <w:szCs w:val="24"/>
        </w:rPr>
      </w:pPr>
      <w:r>
        <w:rPr>
          <w:rFonts w:ascii="宋体" w:hAnsi="宋体" w:eastAsia="宋体" w:cs="宋体"/>
          <w:spacing w:val="-2"/>
          <w:sz w:val="24"/>
          <w:szCs w:val="24"/>
        </w:rPr>
        <w:t>本项目噪声种类及源强主要为猪只叫声、通风机、水泵、发电机等。</w:t>
      </w:r>
    </w:p>
    <w:p w14:paraId="04710717">
      <w:pPr>
        <w:spacing w:before="183" w:line="360" w:lineRule="auto"/>
        <w:ind w:left="39" w:right="85" w:firstLine="481"/>
        <w:rPr>
          <w:rFonts w:ascii="宋体" w:hAnsi="宋体" w:eastAsia="宋体" w:cs="宋体"/>
          <w:sz w:val="24"/>
          <w:szCs w:val="24"/>
        </w:rPr>
      </w:pPr>
      <w:r>
        <w:rPr>
          <w:rFonts w:ascii="宋体" w:hAnsi="宋体" w:eastAsia="宋体" w:cs="宋体"/>
          <w:spacing w:val="-4"/>
          <w:sz w:val="24"/>
          <w:szCs w:val="24"/>
        </w:rPr>
        <w:t>经预测，本项目场界昼间、夜间噪声贡献值均满足《工业企业场界环境噪声</w:t>
      </w:r>
      <w:r>
        <w:rPr>
          <w:rFonts w:ascii="宋体" w:hAnsi="宋体" w:eastAsia="宋体" w:cs="宋体"/>
          <w:spacing w:val="-2"/>
          <w:sz w:val="24"/>
          <w:szCs w:val="24"/>
        </w:rPr>
        <w:t>标准》（</w:t>
      </w:r>
      <w:r>
        <w:rPr>
          <w:rFonts w:ascii="Times New Roman" w:hAnsi="Times New Roman" w:eastAsia="Times New Roman" w:cs="Times New Roman"/>
          <w:spacing w:val="-2"/>
          <w:sz w:val="24"/>
          <w:szCs w:val="24"/>
        </w:rPr>
        <w:t>GB12348-2008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类标准，声环境保</w:t>
      </w:r>
      <w:r>
        <w:rPr>
          <w:rFonts w:ascii="宋体" w:hAnsi="宋体" w:eastAsia="宋体" w:cs="宋体"/>
          <w:spacing w:val="-3"/>
          <w:sz w:val="24"/>
          <w:szCs w:val="24"/>
        </w:rPr>
        <w:t>护目标的昼间、夜间噪声预测值均</w:t>
      </w:r>
      <w:r>
        <w:rPr>
          <w:rFonts w:ascii="宋体" w:hAnsi="宋体" w:eastAsia="宋体" w:cs="宋体"/>
          <w:sz w:val="24"/>
          <w:szCs w:val="24"/>
        </w:rPr>
        <w:t>满足《声环境质量标准》（</w:t>
      </w:r>
      <w:r>
        <w:rPr>
          <w:rFonts w:ascii="Times New Roman" w:hAnsi="Times New Roman" w:eastAsia="Times New Roman" w:cs="Times New Roman"/>
          <w:sz w:val="24"/>
          <w:szCs w:val="24"/>
        </w:rPr>
        <w:t>GB3096-2</w:t>
      </w:r>
      <w:r>
        <w:rPr>
          <w:rFonts w:ascii="Times New Roman" w:hAnsi="Times New Roman" w:eastAsia="Times New Roman" w:cs="Times New Roman"/>
          <w:spacing w:val="-1"/>
          <w:sz w:val="24"/>
          <w:szCs w:val="24"/>
        </w:rPr>
        <w:t>008</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42"/>
          <w:w w:val="101"/>
          <w:sz w:val="24"/>
          <w:szCs w:val="24"/>
        </w:rPr>
        <w:t xml:space="preserve"> </w:t>
      </w:r>
      <w:r>
        <w:rPr>
          <w:rFonts w:ascii="宋体" w:hAnsi="宋体" w:eastAsia="宋体" w:cs="宋体"/>
          <w:spacing w:val="-1"/>
          <w:sz w:val="24"/>
          <w:szCs w:val="24"/>
        </w:rPr>
        <w:t>类标准要求，项目运营期噪声环境</w:t>
      </w:r>
      <w:r>
        <w:rPr>
          <w:rFonts w:ascii="宋体" w:hAnsi="宋体" w:eastAsia="宋体" w:cs="宋体"/>
          <w:spacing w:val="-8"/>
          <w:sz w:val="24"/>
          <w:szCs w:val="24"/>
        </w:rPr>
        <w:t>影响较小。</w:t>
      </w:r>
    </w:p>
    <w:p w14:paraId="3FF3443F">
      <w:pPr>
        <w:spacing w:before="1"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）固体废物</w:t>
      </w:r>
    </w:p>
    <w:p w14:paraId="1BE6C456">
      <w:pPr>
        <w:spacing w:before="183" w:line="361" w:lineRule="auto"/>
        <w:ind w:left="38" w:right="21" w:firstLine="481"/>
        <w:rPr>
          <w:rFonts w:ascii="宋体" w:hAnsi="宋体" w:eastAsia="宋体" w:cs="宋体"/>
          <w:sz w:val="24"/>
          <w:szCs w:val="24"/>
        </w:rPr>
      </w:pPr>
      <w:r>
        <w:rPr>
          <w:rFonts w:ascii="宋体" w:hAnsi="宋体" w:eastAsia="宋体" w:cs="宋体"/>
          <w:spacing w:val="-3"/>
          <w:sz w:val="24"/>
          <w:szCs w:val="24"/>
        </w:rPr>
        <w:t>本项目产生的固废包括猪粪便、病死猪、污泥、废脱硫剂、</w:t>
      </w:r>
      <w:r>
        <w:rPr>
          <w:rFonts w:ascii="宋体" w:hAnsi="宋体" w:eastAsia="宋体" w:cs="宋体"/>
          <w:spacing w:val="-4"/>
          <w:sz w:val="24"/>
          <w:szCs w:val="24"/>
        </w:rPr>
        <w:t>废包装物、生活</w:t>
      </w:r>
      <w:r>
        <w:rPr>
          <w:rFonts w:ascii="宋体" w:hAnsi="宋体" w:eastAsia="宋体" w:cs="宋体"/>
          <w:spacing w:val="-8"/>
          <w:sz w:val="24"/>
          <w:szCs w:val="24"/>
        </w:rPr>
        <w:t>垃圾、诊疗废弃物和危险废物等。粪渣经固液分离后交有机肥厂生产商品有机肥；</w:t>
      </w:r>
      <w:r>
        <w:rPr>
          <w:rFonts w:ascii="宋体" w:hAnsi="宋体" w:eastAsia="宋体" w:cs="宋体"/>
          <w:spacing w:val="-3"/>
          <w:sz w:val="24"/>
          <w:szCs w:val="24"/>
        </w:rPr>
        <w:t>病死猪定期交内江市环态动物无害化处置有限责任公司进行无害化处置；废脱硫</w:t>
      </w:r>
    </w:p>
    <w:p w14:paraId="4319E025">
      <w:pPr>
        <w:spacing w:line="361" w:lineRule="auto"/>
        <w:rPr>
          <w:rFonts w:ascii="宋体" w:hAnsi="宋体" w:eastAsia="宋体" w:cs="宋体"/>
          <w:sz w:val="24"/>
          <w:szCs w:val="24"/>
        </w:rPr>
        <w:sectPr>
          <w:headerReference r:id="rId519" w:type="default"/>
          <w:footerReference r:id="rId520" w:type="default"/>
          <w:pgSz w:w="11905" w:h="16840"/>
          <w:pgMar w:top="1168" w:right="1712" w:bottom="1409" w:left="1770" w:header="828" w:footer="1244" w:gutter="0"/>
          <w:cols w:space="720" w:num="1"/>
        </w:sectPr>
      </w:pPr>
    </w:p>
    <w:p w14:paraId="5075A159">
      <w:pPr>
        <w:pStyle w:val="2"/>
        <w:spacing w:line="304" w:lineRule="auto"/>
      </w:pPr>
    </w:p>
    <w:p w14:paraId="1A96B84B">
      <w:pPr>
        <w:spacing w:before="78" w:line="361" w:lineRule="auto"/>
        <w:ind w:left="40" w:right="1"/>
        <w:jc w:val="both"/>
        <w:rPr>
          <w:rFonts w:ascii="宋体" w:hAnsi="宋体" w:eastAsia="宋体" w:cs="宋体"/>
          <w:sz w:val="24"/>
          <w:szCs w:val="24"/>
        </w:rPr>
      </w:pPr>
      <w:r>
        <w:rPr>
          <w:rFonts w:ascii="宋体" w:hAnsi="宋体" w:eastAsia="宋体" w:cs="宋体"/>
          <w:spacing w:val="-8"/>
          <w:sz w:val="24"/>
          <w:szCs w:val="24"/>
        </w:rPr>
        <w:t>剂由供应厂家回收处置；办公和生活垃圾收集后，定期运往喻家沟村垃圾收集点，</w:t>
      </w:r>
      <w:r>
        <w:rPr>
          <w:rFonts w:ascii="宋体" w:hAnsi="宋体" w:eastAsia="宋体" w:cs="宋体"/>
          <w:spacing w:val="-3"/>
          <w:sz w:val="24"/>
          <w:szCs w:val="24"/>
        </w:rPr>
        <w:t>由环卫部门统一清运；诊疗废弃物应按《中华人民共和国动物防疫法》及当地畜牧兽医主管部门规定，做好诊疗废弃物的收集处置工作；危险废物于危废暂存间暂存，交由有危险废物处理资质的单位处置。本项目所产生的固体废物经合理处</w:t>
      </w:r>
      <w:r>
        <w:rPr>
          <w:rFonts w:ascii="宋体" w:hAnsi="宋体" w:eastAsia="宋体" w:cs="宋体"/>
          <w:spacing w:val="-2"/>
          <w:sz w:val="24"/>
          <w:szCs w:val="24"/>
        </w:rPr>
        <w:t>理处置后，固体废物不会对周围环境产生明显影响。</w:t>
      </w:r>
    </w:p>
    <w:p w14:paraId="476A936C">
      <w:pPr>
        <w:spacing w:before="152" w:line="220" w:lineRule="auto"/>
        <w:ind w:left="41"/>
        <w:outlineLvl w:val="1"/>
        <w:rPr>
          <w:rFonts w:ascii="宋体" w:hAnsi="宋体" w:eastAsia="宋体" w:cs="宋体"/>
          <w:sz w:val="32"/>
          <w:szCs w:val="32"/>
        </w:rPr>
      </w:pPr>
      <w:bookmarkStart w:id="80" w:name="bookmark50"/>
      <w:bookmarkEnd w:id="80"/>
      <w:r>
        <w:rPr>
          <w:rFonts w:ascii="Times New Roman" w:hAnsi="Times New Roman" w:eastAsia="Times New Roman" w:cs="Times New Roman"/>
          <w:b/>
          <w:bCs/>
          <w:spacing w:val="-3"/>
          <w:sz w:val="32"/>
          <w:szCs w:val="32"/>
        </w:rPr>
        <w:t xml:space="preserve">8.5  </w:t>
      </w:r>
      <w:r>
        <w:rPr>
          <w:rFonts w:ascii="宋体" w:hAnsi="宋体" w:eastAsia="宋体" w:cs="宋体"/>
          <w:b/>
          <w:bCs/>
          <w:spacing w:val="-3"/>
          <w:sz w:val="32"/>
          <w:szCs w:val="32"/>
        </w:rPr>
        <w:t>环境保护措施</w:t>
      </w:r>
    </w:p>
    <w:p w14:paraId="76741B59">
      <w:pPr>
        <w:pStyle w:val="2"/>
        <w:spacing w:line="245" w:lineRule="auto"/>
      </w:pPr>
    </w:p>
    <w:p w14:paraId="703865C0">
      <w:pPr>
        <w:spacing w:before="78"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）废水处理措施</w:t>
      </w:r>
    </w:p>
    <w:p w14:paraId="132B2DB9">
      <w:pPr>
        <w:spacing w:before="182" w:line="360" w:lineRule="auto"/>
        <w:ind w:left="39" w:firstLine="480"/>
        <w:rPr>
          <w:rFonts w:ascii="宋体" w:hAnsi="宋体" w:eastAsia="宋体" w:cs="宋体"/>
          <w:sz w:val="24"/>
          <w:szCs w:val="24"/>
        </w:rPr>
      </w:pPr>
      <w:r>
        <w:rPr>
          <w:rFonts w:ascii="宋体" w:hAnsi="宋体" w:eastAsia="宋体" w:cs="宋体"/>
          <w:spacing w:val="-1"/>
          <w:sz w:val="24"/>
          <w:szCs w:val="24"/>
        </w:rPr>
        <w:t>本项目场地内排水实行“雨污分流”。项目废水包括养殖废水和</w:t>
      </w:r>
      <w:r>
        <w:rPr>
          <w:rFonts w:ascii="宋体" w:hAnsi="宋体" w:eastAsia="宋体" w:cs="宋体"/>
          <w:spacing w:val="-2"/>
          <w:sz w:val="24"/>
          <w:szCs w:val="24"/>
        </w:rPr>
        <w:t>生活污水，</w:t>
      </w:r>
      <w:r>
        <w:rPr>
          <w:rFonts w:ascii="宋体" w:hAnsi="宋体" w:eastAsia="宋体" w:cs="宋体"/>
          <w:spacing w:val="-1"/>
          <w:sz w:val="24"/>
          <w:szCs w:val="24"/>
        </w:rPr>
        <w:t>所有废水通过配套污水处理站处理达《农田灌溉水质标准》（</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
          <w:sz w:val="24"/>
          <w:szCs w:val="24"/>
        </w:rPr>
        <w:t>5084-2021</w:t>
      </w:r>
      <w:r>
        <w:rPr>
          <w:rFonts w:ascii="宋体" w:hAnsi="宋体" w:eastAsia="宋体" w:cs="宋体"/>
          <w:spacing w:val="-2"/>
          <w:sz w:val="24"/>
          <w:szCs w:val="24"/>
        </w:rPr>
        <w:t>）旱</w:t>
      </w:r>
      <w:r>
        <w:rPr>
          <w:rFonts w:ascii="宋体" w:hAnsi="宋体" w:eastAsia="宋体" w:cs="宋体"/>
          <w:spacing w:val="-3"/>
          <w:sz w:val="24"/>
          <w:szCs w:val="24"/>
        </w:rPr>
        <w:t>地作物标准后用作消纳地农灌。</w:t>
      </w:r>
    </w:p>
    <w:p w14:paraId="1E09CF9B">
      <w:pPr>
        <w:spacing w:line="360" w:lineRule="auto"/>
        <w:ind w:left="39" w:right="67" w:firstLine="481"/>
        <w:jc w:val="both"/>
        <w:rPr>
          <w:rFonts w:ascii="宋体" w:hAnsi="宋体" w:eastAsia="宋体" w:cs="宋体"/>
          <w:sz w:val="24"/>
          <w:szCs w:val="24"/>
        </w:rPr>
      </w:pPr>
      <w:r>
        <w:rPr>
          <w:rFonts w:ascii="宋体" w:hAnsi="宋体" w:eastAsia="宋体" w:cs="宋体"/>
          <w:spacing w:val="-1"/>
          <w:sz w:val="24"/>
          <w:szCs w:val="24"/>
        </w:rPr>
        <w:t>污水处理站设计采用“粪污收集池</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固液分</w:t>
      </w:r>
      <w:r>
        <w:rPr>
          <w:rFonts w:ascii="宋体" w:hAnsi="宋体" w:eastAsia="宋体" w:cs="宋体"/>
          <w:spacing w:val="-2"/>
          <w:sz w:val="24"/>
          <w:szCs w:val="24"/>
        </w:rPr>
        <w:t>离</w:t>
      </w:r>
      <w:r>
        <w:rPr>
          <w:rFonts w:ascii="Times New Roman" w:hAnsi="Times New Roman" w:eastAsia="Times New Roman" w:cs="Times New Roman"/>
          <w:spacing w:val="-2"/>
          <w:sz w:val="24"/>
          <w:szCs w:val="24"/>
        </w:rPr>
        <w:t>+</w:t>
      </w:r>
      <w:r>
        <w:rPr>
          <w:rFonts w:ascii="宋体" w:hAnsi="宋体" w:eastAsia="宋体" w:cs="宋体"/>
          <w:spacing w:val="-2"/>
          <w:sz w:val="24"/>
          <w:szCs w:val="24"/>
        </w:rPr>
        <w:t>水解酸化池</w:t>
      </w:r>
      <w:r>
        <w:rPr>
          <w:rFonts w:ascii="Times New Roman" w:hAnsi="Times New Roman" w:eastAsia="Times New Roman" w:cs="Times New Roman"/>
          <w:spacing w:val="-2"/>
          <w:sz w:val="24"/>
          <w:szCs w:val="24"/>
        </w:rPr>
        <w:t>+CSTR</w:t>
      </w:r>
      <w:r>
        <w:rPr>
          <w:rFonts w:ascii="Times New Roman" w:hAnsi="Times New Roman" w:eastAsia="Times New Roman" w:cs="Times New Roman"/>
          <w:spacing w:val="48"/>
          <w:w w:val="101"/>
          <w:sz w:val="24"/>
          <w:szCs w:val="24"/>
        </w:rPr>
        <w:t xml:space="preserve"> </w:t>
      </w:r>
      <w:r>
        <w:rPr>
          <w:rFonts w:ascii="宋体" w:hAnsi="宋体" w:eastAsia="宋体" w:cs="宋体"/>
          <w:spacing w:val="-2"/>
          <w:sz w:val="24"/>
          <w:szCs w:val="24"/>
        </w:rPr>
        <w:t>厌氧反应</w:t>
      </w:r>
      <w:r>
        <w:rPr>
          <w:rFonts w:ascii="宋体" w:hAnsi="宋体" w:eastAsia="宋体" w:cs="宋体"/>
          <w:spacing w:val="1"/>
          <w:sz w:val="24"/>
          <w:szCs w:val="24"/>
        </w:rPr>
        <w:t>器</w:t>
      </w:r>
      <w:r>
        <w:rPr>
          <w:rFonts w:ascii="Times New Roman" w:hAnsi="Times New Roman" w:eastAsia="Times New Roman" w:cs="Times New Roman"/>
          <w:spacing w:val="1"/>
          <w:sz w:val="24"/>
          <w:szCs w:val="24"/>
        </w:rPr>
        <w:t>+</w:t>
      </w:r>
      <w:r>
        <w:rPr>
          <w:rFonts w:ascii="宋体" w:hAnsi="宋体" w:eastAsia="宋体" w:cs="宋体"/>
          <w:spacing w:val="1"/>
          <w:sz w:val="24"/>
          <w:szCs w:val="24"/>
        </w:rPr>
        <w:t>微生物曝氧塘</w:t>
      </w:r>
      <w:r>
        <w:rPr>
          <w:rFonts w:ascii="Times New Roman" w:hAnsi="Times New Roman" w:eastAsia="Times New Roman" w:cs="Times New Roman"/>
          <w:spacing w:val="1"/>
          <w:sz w:val="24"/>
          <w:szCs w:val="24"/>
        </w:rPr>
        <w:t>+</w:t>
      </w:r>
      <w:r>
        <w:rPr>
          <w:rFonts w:ascii="宋体" w:hAnsi="宋体" w:eastAsia="宋体" w:cs="宋体"/>
          <w:spacing w:val="1"/>
          <w:sz w:val="24"/>
          <w:szCs w:val="24"/>
        </w:rPr>
        <w:t>前置物化系统</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一级缺氧池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一级好氧池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一级沉淀池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二级缺</w:t>
      </w:r>
      <w:r>
        <w:rPr>
          <w:rFonts w:ascii="宋体" w:hAnsi="宋体" w:eastAsia="宋体" w:cs="宋体"/>
          <w:spacing w:val="2"/>
          <w:sz w:val="24"/>
          <w:szCs w:val="24"/>
        </w:rPr>
        <w:t>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二级好氧池</w:t>
      </w:r>
      <w:r>
        <w:rPr>
          <w:rFonts w:ascii="Times New Roman" w:hAnsi="Times New Roman" w:eastAsia="Times New Roman" w:cs="Times New Roman"/>
          <w:spacing w:val="2"/>
          <w:sz w:val="24"/>
          <w:szCs w:val="24"/>
        </w:rPr>
        <w:t>+</w:t>
      </w:r>
      <w:r>
        <w:rPr>
          <w:rFonts w:ascii="宋体" w:hAnsi="宋体" w:eastAsia="宋体" w:cs="宋体"/>
          <w:spacing w:val="2"/>
          <w:sz w:val="24"/>
          <w:szCs w:val="24"/>
        </w:rPr>
        <w:t>二级沉淀池</w:t>
      </w:r>
      <w:r>
        <w:rPr>
          <w:rFonts w:ascii="Times New Roman" w:hAnsi="Times New Roman" w:eastAsia="Times New Roman" w:cs="Times New Roman"/>
          <w:spacing w:val="2"/>
          <w:sz w:val="24"/>
          <w:szCs w:val="24"/>
        </w:rPr>
        <w:t>+</w:t>
      </w:r>
      <w:r>
        <w:rPr>
          <w:rFonts w:ascii="宋体" w:hAnsi="宋体" w:eastAsia="宋体" w:cs="宋体"/>
          <w:spacing w:val="2"/>
          <w:sz w:val="24"/>
          <w:szCs w:val="24"/>
        </w:rPr>
        <w:t>混凝沉淀</w:t>
      </w:r>
      <w:r>
        <w:rPr>
          <w:rFonts w:ascii="Times New Roman" w:hAnsi="Times New Roman" w:eastAsia="Times New Roman" w:cs="Times New Roman"/>
          <w:spacing w:val="2"/>
          <w:sz w:val="24"/>
          <w:szCs w:val="24"/>
        </w:rPr>
        <w:t>+</w:t>
      </w:r>
      <w:r>
        <w:rPr>
          <w:rFonts w:ascii="宋体" w:hAnsi="宋体" w:eastAsia="宋体" w:cs="宋体"/>
          <w:spacing w:val="2"/>
          <w:sz w:val="24"/>
          <w:szCs w:val="24"/>
        </w:rPr>
        <w:t>消毒池”污水处理工艺，设计处理能</w:t>
      </w:r>
      <w:r>
        <w:rPr>
          <w:rFonts w:ascii="宋体" w:hAnsi="宋体" w:eastAsia="宋体" w:cs="宋体"/>
          <w:spacing w:val="29"/>
          <w:sz w:val="24"/>
          <w:szCs w:val="24"/>
        </w:rPr>
        <w:t>力</w:t>
      </w:r>
      <w:r>
        <w:rPr>
          <w:rFonts w:ascii="宋体" w:hAnsi="宋体" w:eastAsia="宋体" w:cs="宋体"/>
          <w:spacing w:val="71"/>
          <w:sz w:val="24"/>
          <w:szCs w:val="24"/>
        </w:rPr>
        <w:t xml:space="preserve"> </w:t>
      </w:r>
      <w:r>
        <w:rPr>
          <w:rFonts w:ascii="Times New Roman" w:hAnsi="Times New Roman" w:eastAsia="Times New Roman" w:cs="Times New Roman"/>
          <w:spacing w:val="29"/>
          <w:sz w:val="24"/>
          <w:szCs w:val="24"/>
        </w:rPr>
        <w:t>500m</w:t>
      </w:r>
      <w:r>
        <w:rPr>
          <w:rFonts w:ascii="Times New Roman" w:hAnsi="Times New Roman" w:eastAsia="Times New Roman" w:cs="Times New Roman"/>
          <w:spacing w:val="29"/>
          <w:position w:val="10"/>
          <w:sz w:val="15"/>
          <w:szCs w:val="15"/>
        </w:rPr>
        <w:t>3</w:t>
      </w:r>
      <w:r>
        <w:rPr>
          <w:rFonts w:ascii="Times New Roman" w:hAnsi="Times New Roman" w:eastAsia="Times New Roman" w:cs="Times New Roman"/>
          <w:spacing w:val="29"/>
          <w:sz w:val="24"/>
          <w:szCs w:val="24"/>
        </w:rPr>
        <w:t xml:space="preserve">/d </w:t>
      </w:r>
      <w:r>
        <w:rPr>
          <w:rFonts w:ascii="宋体" w:hAnsi="宋体" w:eastAsia="宋体" w:cs="宋体"/>
          <w:spacing w:val="29"/>
          <w:sz w:val="24"/>
          <w:szCs w:val="24"/>
        </w:rPr>
        <w:t>。污水处理工艺与《畜禽养殖业污染治理工程技术规范》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GBHJ</w:t>
      </w:r>
      <w:r>
        <w:rPr>
          <w:rFonts w:ascii="Times New Roman" w:hAnsi="Times New Roman" w:eastAsia="Times New Roman" w:cs="Times New Roman"/>
          <w:spacing w:val="2"/>
          <w:sz w:val="24"/>
          <w:szCs w:val="24"/>
        </w:rPr>
        <w:t>497-2009</w:t>
      </w:r>
      <w:r>
        <w:rPr>
          <w:rFonts w:ascii="宋体" w:hAnsi="宋体" w:eastAsia="宋体" w:cs="宋体"/>
          <w:spacing w:val="2"/>
          <w:sz w:val="24"/>
          <w:szCs w:val="24"/>
        </w:rPr>
        <w:t>）中规定的“粪污处理</w:t>
      </w:r>
      <w:r>
        <w:rPr>
          <w:rFonts w:ascii="宋体" w:hAnsi="宋体" w:eastAsia="宋体" w:cs="宋体"/>
          <w:spacing w:val="1"/>
          <w:sz w:val="24"/>
          <w:szCs w:val="24"/>
        </w:rPr>
        <w:t>基本工艺模式—模式Ⅲ”相符，出水水</w:t>
      </w:r>
      <w:r>
        <w:rPr>
          <w:rFonts w:ascii="宋体" w:hAnsi="宋体" w:eastAsia="宋体" w:cs="宋体"/>
          <w:spacing w:val="-1"/>
          <w:sz w:val="24"/>
          <w:szCs w:val="24"/>
        </w:rPr>
        <w:t>质可满足《农田灌溉水质标准》（</w:t>
      </w:r>
      <w:r>
        <w:rPr>
          <w:rFonts w:ascii="Times New Roman" w:hAnsi="Times New Roman" w:eastAsia="Times New Roman" w:cs="Times New Roman"/>
          <w:spacing w:val="-1"/>
          <w:sz w:val="24"/>
          <w:szCs w:val="24"/>
        </w:rPr>
        <w:t>GB5084-2021</w:t>
      </w:r>
      <w:r>
        <w:rPr>
          <w:rFonts w:ascii="宋体" w:hAnsi="宋体" w:eastAsia="宋体" w:cs="宋体"/>
          <w:spacing w:val="-2"/>
          <w:sz w:val="24"/>
          <w:szCs w:val="24"/>
        </w:rPr>
        <w:t>）旱地作物标准。</w:t>
      </w:r>
    </w:p>
    <w:p w14:paraId="0A4329BF">
      <w:pPr>
        <w:spacing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）废气处理措施</w:t>
      </w:r>
    </w:p>
    <w:p w14:paraId="47930CAF">
      <w:pPr>
        <w:spacing w:before="181" w:line="219" w:lineRule="auto"/>
        <w:ind w:left="520"/>
        <w:rPr>
          <w:rFonts w:ascii="宋体" w:hAnsi="宋体" w:eastAsia="宋体" w:cs="宋体"/>
          <w:sz w:val="24"/>
          <w:szCs w:val="24"/>
        </w:rPr>
      </w:pPr>
      <w:r>
        <w:rPr>
          <w:rFonts w:ascii="宋体" w:hAnsi="宋体" w:eastAsia="宋体" w:cs="宋体"/>
          <w:spacing w:val="-2"/>
          <w:sz w:val="24"/>
          <w:szCs w:val="24"/>
        </w:rPr>
        <w:t>本项目废气主要为恶臭、沼气燃烧废气、备用发电机废气。</w:t>
      </w:r>
    </w:p>
    <w:p w14:paraId="3B5BBB29">
      <w:pPr>
        <w:spacing w:before="184" w:line="360" w:lineRule="auto"/>
        <w:ind w:left="37" w:right="1" w:firstLine="481"/>
        <w:rPr>
          <w:rFonts w:ascii="宋体" w:hAnsi="宋体" w:eastAsia="宋体" w:cs="宋体"/>
          <w:sz w:val="24"/>
          <w:szCs w:val="24"/>
        </w:rPr>
      </w:pPr>
      <w:r>
        <w:rPr>
          <w:rFonts w:ascii="宋体" w:hAnsi="宋体" w:eastAsia="宋体" w:cs="宋体"/>
          <w:spacing w:val="-3"/>
          <w:sz w:val="24"/>
          <w:szCs w:val="24"/>
        </w:rPr>
        <w:t>猪舍恶臭通过科学设计日粮，提高饲料利用率，使用</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EM </w:t>
      </w:r>
      <w:r>
        <w:rPr>
          <w:rFonts w:ascii="宋体" w:hAnsi="宋体" w:eastAsia="宋体" w:cs="宋体"/>
          <w:spacing w:val="-4"/>
          <w:sz w:val="24"/>
          <w:szCs w:val="24"/>
        </w:rPr>
        <w:t>制剂，投放吸附剂</w:t>
      </w:r>
      <w:r>
        <w:rPr>
          <w:rFonts w:ascii="宋体" w:hAnsi="宋体" w:eastAsia="宋体" w:cs="宋体"/>
          <w:sz w:val="24"/>
          <w:szCs w:val="24"/>
        </w:rPr>
        <w:t>和喷洒除臭剂，及时清理粪污；猪舍、转猪舍设置水帘</w:t>
      </w:r>
      <w:r>
        <w:rPr>
          <w:rFonts w:ascii="Times New Roman" w:hAnsi="Times New Roman" w:eastAsia="Times New Roman" w:cs="Times New Roman"/>
          <w:sz w:val="24"/>
          <w:szCs w:val="24"/>
        </w:rPr>
        <w:t>+</w:t>
      </w:r>
      <w:r>
        <w:rPr>
          <w:rFonts w:ascii="宋体" w:hAnsi="宋体" w:eastAsia="宋体" w:cs="宋体"/>
          <w:sz w:val="24"/>
          <w:szCs w:val="24"/>
        </w:rPr>
        <w:t>机械通风并在出风口设</w:t>
      </w:r>
      <w:r>
        <w:rPr>
          <w:rFonts w:ascii="宋体" w:hAnsi="宋体" w:eastAsia="宋体" w:cs="宋体"/>
          <w:spacing w:val="-3"/>
          <w:sz w:val="24"/>
          <w:szCs w:val="24"/>
        </w:rPr>
        <w:t>置生物喷雾除臭系统等措施降低恶臭的影响；污水管道为地埋式，污水处理站粪</w:t>
      </w:r>
      <w:r>
        <w:rPr>
          <w:rFonts w:ascii="宋体" w:hAnsi="宋体" w:eastAsia="宋体" w:cs="宋体"/>
          <w:spacing w:val="-9"/>
          <w:sz w:val="24"/>
          <w:szCs w:val="24"/>
        </w:rPr>
        <w:t>污收集池、污泥池加盖密闭，喷洒生物除臭剂等除臭，污水处理</w:t>
      </w:r>
      <w:r>
        <w:rPr>
          <w:rFonts w:ascii="宋体" w:hAnsi="宋体" w:eastAsia="宋体" w:cs="宋体"/>
          <w:spacing w:val="-10"/>
          <w:sz w:val="24"/>
          <w:szCs w:val="24"/>
        </w:rPr>
        <w:t>站的粪污收集池、</w:t>
      </w:r>
      <w:r>
        <w:rPr>
          <w:rFonts w:ascii="宋体" w:hAnsi="宋体" w:eastAsia="宋体" w:cs="宋体"/>
          <w:spacing w:val="-1"/>
          <w:sz w:val="24"/>
          <w:szCs w:val="24"/>
        </w:rPr>
        <w:t>水解酸化池、</w:t>
      </w:r>
      <w:r>
        <w:rPr>
          <w:rFonts w:ascii="Times New Roman" w:hAnsi="Times New Roman" w:eastAsia="Times New Roman" w:cs="Times New Roman"/>
          <w:spacing w:val="-1"/>
          <w:sz w:val="24"/>
          <w:szCs w:val="24"/>
        </w:rPr>
        <w:t xml:space="preserve">AO  </w:t>
      </w:r>
      <w:r>
        <w:rPr>
          <w:rFonts w:ascii="宋体" w:hAnsi="宋体" w:eastAsia="宋体" w:cs="宋体"/>
          <w:spacing w:val="-1"/>
          <w:sz w:val="24"/>
          <w:szCs w:val="24"/>
        </w:rPr>
        <w:t>池、污泥池、固液分离平台臭气负压收集经生物滤池除臭后，</w:t>
      </w:r>
      <w:r>
        <w:rPr>
          <w:rFonts w:ascii="宋体" w:hAnsi="宋体" w:eastAsia="宋体" w:cs="宋体"/>
          <w:spacing w:val="-6"/>
          <w:sz w:val="24"/>
          <w:szCs w:val="24"/>
        </w:rPr>
        <w:t>由</w:t>
      </w:r>
      <w:r>
        <w:rPr>
          <w:rFonts w:ascii="宋体" w:hAnsi="宋体" w:eastAsia="宋体" w:cs="宋体"/>
          <w:spacing w:val="-18"/>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根</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15m</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高排气筒排放；堆粪棚封闭，臭气负压收集经生物滤池除臭后，由</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1"/>
          <w:sz w:val="24"/>
          <w:szCs w:val="24"/>
        </w:rPr>
        <w:t xml:space="preserve">根 </w:t>
      </w:r>
      <w:r>
        <w:rPr>
          <w:rFonts w:ascii="Times New Roman" w:hAnsi="Times New Roman" w:eastAsia="Times New Roman" w:cs="Times New Roman"/>
          <w:spacing w:val="-1"/>
          <w:sz w:val="24"/>
          <w:szCs w:val="24"/>
        </w:rPr>
        <w:t xml:space="preserve">15m  </w:t>
      </w:r>
      <w:r>
        <w:rPr>
          <w:rFonts w:ascii="宋体" w:hAnsi="宋体" w:eastAsia="宋体" w:cs="宋体"/>
          <w:spacing w:val="-1"/>
          <w:sz w:val="24"/>
          <w:szCs w:val="24"/>
        </w:rPr>
        <w:t>高排气筒排放；沼气经火炬燃烧系统燃烧处理</w:t>
      </w:r>
      <w:r>
        <w:rPr>
          <w:rFonts w:ascii="宋体" w:hAnsi="宋体" w:eastAsia="宋体" w:cs="宋体"/>
          <w:spacing w:val="-2"/>
          <w:sz w:val="24"/>
          <w:szCs w:val="24"/>
        </w:rPr>
        <w:t>；备用发电机尾气经自带</w:t>
      </w:r>
      <w:r>
        <w:rPr>
          <w:rFonts w:ascii="宋体" w:hAnsi="宋体" w:eastAsia="宋体" w:cs="宋体"/>
          <w:spacing w:val="-4"/>
          <w:sz w:val="24"/>
          <w:szCs w:val="24"/>
        </w:rPr>
        <w:t>尾气净化设备净化后排放。</w:t>
      </w:r>
    </w:p>
    <w:p w14:paraId="1145F925">
      <w:pPr>
        <w:spacing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）固体废物</w:t>
      </w:r>
    </w:p>
    <w:p w14:paraId="6BEEB625">
      <w:pPr>
        <w:spacing w:before="181" w:line="321" w:lineRule="auto"/>
        <w:ind w:left="68" w:right="67" w:firstLine="451"/>
        <w:rPr>
          <w:rFonts w:ascii="宋体" w:hAnsi="宋体" w:eastAsia="宋体" w:cs="宋体"/>
          <w:sz w:val="24"/>
          <w:szCs w:val="24"/>
        </w:rPr>
      </w:pPr>
      <w:r>
        <w:rPr>
          <w:rFonts w:ascii="宋体" w:hAnsi="宋体" w:eastAsia="宋体" w:cs="宋体"/>
          <w:spacing w:val="-3"/>
          <w:sz w:val="24"/>
          <w:szCs w:val="24"/>
        </w:rPr>
        <w:t>本项目粪渣经固液分离后，及时交有机肥厂生产商品有机肥；</w:t>
      </w:r>
      <w:r>
        <w:rPr>
          <w:rFonts w:ascii="宋体" w:hAnsi="宋体" w:eastAsia="宋体" w:cs="宋体"/>
          <w:spacing w:val="-4"/>
          <w:sz w:val="24"/>
          <w:szCs w:val="24"/>
        </w:rPr>
        <w:t>病死猪定期交</w:t>
      </w:r>
      <w:r>
        <w:rPr>
          <w:rFonts w:ascii="宋体" w:hAnsi="宋体" w:eastAsia="宋体" w:cs="宋体"/>
          <w:spacing w:val="-5"/>
          <w:sz w:val="24"/>
          <w:szCs w:val="24"/>
        </w:rPr>
        <w:t>内江市环态动物无害化处置有限责任公司进行无害化处置；诊疗废弃物应按《中</w:t>
      </w:r>
    </w:p>
    <w:p w14:paraId="796D71E6">
      <w:pPr>
        <w:spacing w:line="321" w:lineRule="auto"/>
        <w:rPr>
          <w:rFonts w:ascii="宋体" w:hAnsi="宋体" w:eastAsia="宋体" w:cs="宋体"/>
          <w:sz w:val="24"/>
          <w:szCs w:val="24"/>
        </w:rPr>
        <w:sectPr>
          <w:headerReference r:id="rId521" w:type="default"/>
          <w:footerReference r:id="rId522" w:type="default"/>
          <w:pgSz w:w="11905" w:h="16840"/>
          <w:pgMar w:top="1168" w:right="1730" w:bottom="1409" w:left="1770" w:header="828" w:footer="1244" w:gutter="0"/>
          <w:cols w:space="720" w:num="1"/>
        </w:sectPr>
      </w:pPr>
    </w:p>
    <w:p w14:paraId="1B439501">
      <w:pPr>
        <w:pStyle w:val="2"/>
        <w:spacing w:line="305" w:lineRule="auto"/>
      </w:pPr>
    </w:p>
    <w:p w14:paraId="05BE5390">
      <w:pPr>
        <w:spacing w:before="78" w:line="361" w:lineRule="auto"/>
        <w:ind w:left="39" w:right="104"/>
        <w:jc w:val="both"/>
        <w:rPr>
          <w:rFonts w:ascii="宋体" w:hAnsi="宋体" w:eastAsia="宋体" w:cs="宋体"/>
          <w:sz w:val="24"/>
          <w:szCs w:val="24"/>
        </w:rPr>
      </w:pPr>
      <w:r>
        <w:rPr>
          <w:rFonts w:ascii="宋体" w:hAnsi="宋体" w:eastAsia="宋体" w:cs="宋体"/>
          <w:spacing w:val="-3"/>
          <w:sz w:val="24"/>
          <w:szCs w:val="24"/>
        </w:rPr>
        <w:t>华人民共和国动物防疫法》及当地畜牧兽医主管部门规定，做好诊疗废弃物的收集处置工作；本项目危险废物收集后在危废暂存间暂存，交由具有危险废物处理资质的单位处置；废脱硫剂由厂家回收；办公和生活垃圾收集后，定期运往喻家</w:t>
      </w:r>
      <w:r>
        <w:rPr>
          <w:rFonts w:ascii="宋体" w:hAnsi="宋体" w:eastAsia="宋体" w:cs="宋体"/>
          <w:spacing w:val="-1"/>
          <w:sz w:val="24"/>
          <w:szCs w:val="24"/>
        </w:rPr>
        <w:t>沟村垃圾收集点，由环卫部门统一清运。固</w:t>
      </w:r>
      <w:r>
        <w:rPr>
          <w:rFonts w:ascii="宋体" w:hAnsi="宋体" w:eastAsia="宋体" w:cs="宋体"/>
          <w:spacing w:val="-2"/>
          <w:sz w:val="24"/>
          <w:szCs w:val="24"/>
        </w:rPr>
        <w:t>体废物全部得到妥善处置。</w:t>
      </w:r>
    </w:p>
    <w:p w14:paraId="3E7F6089">
      <w:pPr>
        <w:spacing w:before="152" w:line="220" w:lineRule="auto"/>
        <w:ind w:left="41"/>
        <w:outlineLvl w:val="1"/>
        <w:rPr>
          <w:rFonts w:ascii="宋体" w:hAnsi="宋体" w:eastAsia="宋体" w:cs="宋体"/>
          <w:sz w:val="32"/>
          <w:szCs w:val="32"/>
        </w:rPr>
      </w:pPr>
      <w:bookmarkStart w:id="81" w:name="bookmark52"/>
      <w:bookmarkEnd w:id="81"/>
      <w:r>
        <w:rPr>
          <w:rFonts w:ascii="Times New Roman" w:hAnsi="Times New Roman" w:eastAsia="Times New Roman" w:cs="Times New Roman"/>
          <w:b/>
          <w:bCs/>
          <w:spacing w:val="-3"/>
          <w:sz w:val="32"/>
          <w:szCs w:val="32"/>
        </w:rPr>
        <w:t xml:space="preserve">8.6  </w:t>
      </w:r>
      <w:r>
        <w:rPr>
          <w:rFonts w:ascii="宋体" w:hAnsi="宋体" w:eastAsia="宋体" w:cs="宋体"/>
          <w:b/>
          <w:bCs/>
          <w:spacing w:val="-3"/>
          <w:sz w:val="32"/>
          <w:szCs w:val="32"/>
        </w:rPr>
        <w:t>环境影响经济损益分析</w:t>
      </w:r>
    </w:p>
    <w:p w14:paraId="257A492C">
      <w:pPr>
        <w:pStyle w:val="2"/>
        <w:spacing w:line="244" w:lineRule="auto"/>
      </w:pPr>
    </w:p>
    <w:p w14:paraId="095D62A0">
      <w:pPr>
        <w:spacing w:before="78" w:line="362" w:lineRule="auto"/>
        <w:ind w:left="39" w:right="104" w:firstLine="480"/>
        <w:jc w:val="both"/>
        <w:rPr>
          <w:rFonts w:ascii="宋体" w:hAnsi="宋体" w:eastAsia="宋体" w:cs="宋体"/>
          <w:sz w:val="24"/>
          <w:szCs w:val="24"/>
        </w:rPr>
      </w:pPr>
      <w:r>
        <w:rPr>
          <w:rFonts w:ascii="宋体" w:hAnsi="宋体" w:eastAsia="宋体" w:cs="宋体"/>
          <w:spacing w:val="-3"/>
          <w:sz w:val="24"/>
          <w:szCs w:val="24"/>
        </w:rPr>
        <w:t>本项目在创造良好经济效益和社会效益的同时，经采取污染防</w:t>
      </w:r>
      <w:r>
        <w:rPr>
          <w:rFonts w:ascii="宋体" w:hAnsi="宋体" w:eastAsia="宋体" w:cs="宋体"/>
          <w:spacing w:val="-4"/>
          <w:sz w:val="24"/>
          <w:szCs w:val="24"/>
        </w:rPr>
        <w:t>治措施后，对</w:t>
      </w:r>
      <w:r>
        <w:rPr>
          <w:rFonts w:ascii="宋体" w:hAnsi="宋体" w:eastAsia="宋体" w:cs="宋体"/>
          <w:spacing w:val="-6"/>
          <w:sz w:val="24"/>
          <w:szCs w:val="24"/>
        </w:rPr>
        <w:t>环境的影响较小，能够将工程带来的环境损失降到可接受程度。</w:t>
      </w:r>
      <w:r>
        <w:rPr>
          <w:rFonts w:ascii="宋体" w:hAnsi="宋体" w:eastAsia="宋体" w:cs="宋体"/>
          <w:spacing w:val="-7"/>
          <w:sz w:val="24"/>
          <w:szCs w:val="24"/>
        </w:rPr>
        <w:t>因此， 本项目可</w:t>
      </w:r>
      <w:r>
        <w:rPr>
          <w:rFonts w:ascii="宋体" w:hAnsi="宋体" w:eastAsia="宋体" w:cs="宋体"/>
          <w:spacing w:val="-1"/>
          <w:sz w:val="24"/>
          <w:szCs w:val="24"/>
        </w:rPr>
        <w:t>以实现经济效益与环保效益的相统一。</w:t>
      </w:r>
    </w:p>
    <w:p w14:paraId="298EFCF2">
      <w:pPr>
        <w:spacing w:before="149" w:line="220" w:lineRule="auto"/>
        <w:ind w:left="41"/>
        <w:outlineLvl w:val="1"/>
        <w:rPr>
          <w:rFonts w:ascii="宋体" w:hAnsi="宋体" w:eastAsia="宋体" w:cs="宋体"/>
          <w:sz w:val="32"/>
          <w:szCs w:val="32"/>
        </w:rPr>
      </w:pPr>
      <w:bookmarkStart w:id="82" w:name="bookmark53"/>
      <w:bookmarkEnd w:id="82"/>
      <w:r>
        <w:rPr>
          <w:rFonts w:ascii="Times New Roman" w:hAnsi="Times New Roman" w:eastAsia="Times New Roman" w:cs="Times New Roman"/>
          <w:b/>
          <w:bCs/>
          <w:spacing w:val="-3"/>
          <w:sz w:val="32"/>
          <w:szCs w:val="32"/>
        </w:rPr>
        <w:t xml:space="preserve">8.7  </w:t>
      </w:r>
      <w:r>
        <w:rPr>
          <w:rFonts w:ascii="宋体" w:hAnsi="宋体" w:eastAsia="宋体" w:cs="宋体"/>
          <w:b/>
          <w:bCs/>
          <w:spacing w:val="-3"/>
          <w:sz w:val="32"/>
          <w:szCs w:val="32"/>
        </w:rPr>
        <w:t>环境管理与监测计划</w:t>
      </w:r>
    </w:p>
    <w:p w14:paraId="1027EBA7">
      <w:pPr>
        <w:pStyle w:val="2"/>
        <w:spacing w:line="248" w:lineRule="auto"/>
      </w:pPr>
    </w:p>
    <w:p w14:paraId="1EC97626">
      <w:pPr>
        <w:spacing w:before="79" w:line="361" w:lineRule="auto"/>
        <w:ind w:left="42" w:right="104" w:firstLine="478"/>
        <w:jc w:val="both"/>
        <w:rPr>
          <w:rFonts w:ascii="宋体" w:hAnsi="宋体" w:eastAsia="宋体" w:cs="宋体"/>
          <w:sz w:val="24"/>
          <w:szCs w:val="24"/>
        </w:rPr>
      </w:pPr>
      <w:r>
        <w:rPr>
          <w:rFonts w:ascii="宋体" w:hAnsi="宋体" w:eastAsia="宋体" w:cs="宋体"/>
          <w:spacing w:val="-3"/>
          <w:sz w:val="24"/>
          <w:szCs w:val="24"/>
        </w:rPr>
        <w:t>本评价提出了环境管理及监测计划，建设单位应参照执行，制</w:t>
      </w:r>
      <w:r>
        <w:rPr>
          <w:rFonts w:ascii="宋体" w:hAnsi="宋体" w:eastAsia="宋体" w:cs="宋体"/>
          <w:spacing w:val="-4"/>
          <w:sz w:val="24"/>
          <w:szCs w:val="24"/>
        </w:rPr>
        <w:t>定全面、长期</w:t>
      </w:r>
      <w:r>
        <w:rPr>
          <w:rFonts w:ascii="宋体" w:hAnsi="宋体" w:eastAsia="宋体" w:cs="宋体"/>
          <w:spacing w:val="-3"/>
          <w:sz w:val="24"/>
          <w:szCs w:val="24"/>
        </w:rPr>
        <w:t>的环境管理制度，落实环境影响报告书提出的主要环保措施、环境监测计划</w:t>
      </w:r>
      <w:r>
        <w:rPr>
          <w:rFonts w:ascii="宋体" w:hAnsi="宋体" w:eastAsia="宋体" w:cs="宋体"/>
          <w:spacing w:val="-4"/>
          <w:sz w:val="24"/>
          <w:szCs w:val="24"/>
        </w:rPr>
        <w:t>及竣</w:t>
      </w:r>
      <w:r>
        <w:rPr>
          <w:rFonts w:ascii="宋体" w:hAnsi="宋体" w:eastAsia="宋体" w:cs="宋体"/>
          <w:spacing w:val="-5"/>
          <w:sz w:val="24"/>
          <w:szCs w:val="24"/>
        </w:rPr>
        <w:t>工环境保护验收内容。</w:t>
      </w:r>
    </w:p>
    <w:p w14:paraId="35E7F19D">
      <w:pPr>
        <w:spacing w:before="152" w:line="220" w:lineRule="auto"/>
        <w:ind w:left="41"/>
        <w:outlineLvl w:val="1"/>
        <w:rPr>
          <w:rFonts w:ascii="宋体" w:hAnsi="宋体" w:eastAsia="宋体" w:cs="宋体"/>
          <w:sz w:val="32"/>
          <w:szCs w:val="32"/>
        </w:rPr>
      </w:pPr>
      <w:bookmarkStart w:id="83" w:name="bookmark54"/>
      <w:bookmarkEnd w:id="83"/>
      <w:r>
        <w:rPr>
          <w:rFonts w:ascii="Times New Roman" w:hAnsi="Times New Roman" w:eastAsia="Times New Roman" w:cs="Times New Roman"/>
          <w:b/>
          <w:bCs/>
          <w:spacing w:val="-6"/>
          <w:sz w:val="32"/>
          <w:szCs w:val="32"/>
        </w:rPr>
        <w:t>8.8</w:t>
      </w:r>
      <w:r>
        <w:rPr>
          <w:rFonts w:ascii="Times New Roman" w:hAnsi="Times New Roman" w:eastAsia="Times New Roman" w:cs="Times New Roman"/>
          <w:b/>
          <w:bCs/>
          <w:spacing w:val="13"/>
          <w:sz w:val="32"/>
          <w:szCs w:val="32"/>
        </w:rPr>
        <w:t xml:space="preserve">  </w:t>
      </w:r>
      <w:r>
        <w:rPr>
          <w:rFonts w:ascii="宋体" w:hAnsi="宋体" w:eastAsia="宋体" w:cs="宋体"/>
          <w:b/>
          <w:bCs/>
          <w:spacing w:val="-6"/>
          <w:sz w:val="32"/>
          <w:szCs w:val="32"/>
        </w:rPr>
        <w:t>总量控制</w:t>
      </w:r>
    </w:p>
    <w:p w14:paraId="7175BD8A">
      <w:pPr>
        <w:pStyle w:val="2"/>
        <w:spacing w:line="245" w:lineRule="auto"/>
      </w:pPr>
    </w:p>
    <w:p w14:paraId="29C71FE3">
      <w:pPr>
        <w:spacing w:before="78" w:line="362" w:lineRule="auto"/>
        <w:ind w:left="41" w:right="103" w:firstLine="479"/>
        <w:rPr>
          <w:rFonts w:ascii="宋体" w:hAnsi="宋体" w:eastAsia="宋体" w:cs="宋体"/>
          <w:sz w:val="24"/>
          <w:szCs w:val="24"/>
        </w:rPr>
      </w:pPr>
      <w:r>
        <w:rPr>
          <w:rFonts w:ascii="宋体" w:hAnsi="宋体" w:eastAsia="宋体" w:cs="宋体"/>
          <w:spacing w:val="4"/>
          <w:sz w:val="24"/>
          <w:szCs w:val="24"/>
        </w:rPr>
        <w:t>本项目养殖废水和生活污水经配套污水处理站处理达标后用于项目周边消</w:t>
      </w:r>
      <w:r>
        <w:rPr>
          <w:rFonts w:ascii="宋体" w:hAnsi="宋体" w:eastAsia="宋体" w:cs="宋体"/>
          <w:spacing w:val="-2"/>
          <w:sz w:val="24"/>
          <w:szCs w:val="24"/>
        </w:rPr>
        <w:t>纳地农灌，废水不外排，不设污水排放口，本项目不涉及总量控制指标。</w:t>
      </w:r>
    </w:p>
    <w:p w14:paraId="5EF1499E">
      <w:pPr>
        <w:spacing w:before="152" w:line="219" w:lineRule="auto"/>
        <w:ind w:left="41"/>
        <w:outlineLvl w:val="1"/>
        <w:rPr>
          <w:rFonts w:ascii="宋体" w:hAnsi="宋体" w:eastAsia="宋体" w:cs="宋体"/>
          <w:sz w:val="32"/>
          <w:szCs w:val="32"/>
        </w:rPr>
      </w:pPr>
      <w:bookmarkStart w:id="84" w:name="bookmark55"/>
      <w:bookmarkEnd w:id="84"/>
      <w:r>
        <w:rPr>
          <w:rFonts w:ascii="Times New Roman" w:hAnsi="Times New Roman" w:eastAsia="Times New Roman" w:cs="Times New Roman"/>
          <w:b/>
          <w:bCs/>
          <w:spacing w:val="-2"/>
          <w:sz w:val="32"/>
          <w:szCs w:val="32"/>
        </w:rPr>
        <w:t xml:space="preserve">8.9  </w:t>
      </w:r>
      <w:r>
        <w:rPr>
          <w:rFonts w:ascii="宋体" w:hAnsi="宋体" w:eastAsia="宋体" w:cs="宋体"/>
          <w:b/>
          <w:bCs/>
          <w:spacing w:val="-2"/>
          <w:sz w:val="32"/>
          <w:szCs w:val="32"/>
        </w:rPr>
        <w:t>公众意见采纳情况</w:t>
      </w:r>
    </w:p>
    <w:p w14:paraId="49BAEC03">
      <w:pPr>
        <w:pStyle w:val="2"/>
        <w:spacing w:line="247" w:lineRule="auto"/>
      </w:pPr>
    </w:p>
    <w:p w14:paraId="02315B8B">
      <w:pPr>
        <w:spacing w:before="78" w:line="361" w:lineRule="auto"/>
        <w:ind w:left="38" w:firstLine="483"/>
        <w:jc w:val="both"/>
        <w:rPr>
          <w:rFonts w:ascii="宋体" w:hAnsi="宋体" w:eastAsia="宋体" w:cs="宋体"/>
          <w:sz w:val="24"/>
          <w:szCs w:val="24"/>
        </w:rPr>
      </w:pPr>
      <w:r>
        <w:rPr>
          <w:rFonts w:ascii="宋体" w:hAnsi="宋体" w:eastAsia="宋体" w:cs="宋体"/>
          <w:spacing w:val="-2"/>
          <w:sz w:val="24"/>
          <w:szCs w:val="24"/>
        </w:rPr>
        <w:t>建设单位严格按照《环境影响评价公众参与办法》（生态环境部令第</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号）</w:t>
      </w:r>
      <w:r>
        <w:rPr>
          <w:rFonts w:ascii="宋体" w:hAnsi="宋体" w:eastAsia="宋体" w:cs="宋体"/>
          <w:spacing w:val="-3"/>
          <w:sz w:val="24"/>
          <w:szCs w:val="24"/>
        </w:rPr>
        <w:t>规定进行了公众参与并编制了《四川良牧庄养殖有限公司喻家</w:t>
      </w:r>
      <w:r>
        <w:rPr>
          <w:rFonts w:ascii="宋体" w:hAnsi="宋体" w:eastAsia="宋体" w:cs="宋体"/>
          <w:spacing w:val="-4"/>
          <w:sz w:val="24"/>
          <w:szCs w:val="24"/>
        </w:rPr>
        <w:t>沟生猪规模化养殖</w:t>
      </w:r>
      <w:r>
        <w:rPr>
          <w:rFonts w:ascii="宋体" w:hAnsi="宋体" w:eastAsia="宋体" w:cs="宋体"/>
          <w:spacing w:val="-5"/>
          <w:sz w:val="24"/>
          <w:szCs w:val="24"/>
        </w:rPr>
        <w:t>场建设项目环境影响评价公众参与说明》，</w:t>
      </w:r>
      <w:r>
        <w:rPr>
          <w:rFonts w:ascii="宋体" w:hAnsi="宋体" w:eastAsia="宋体" w:cs="宋体"/>
          <w:spacing w:val="-36"/>
          <w:sz w:val="24"/>
          <w:szCs w:val="24"/>
        </w:rPr>
        <w:t xml:space="preserve"> </w:t>
      </w:r>
      <w:r>
        <w:rPr>
          <w:rFonts w:ascii="宋体" w:hAnsi="宋体" w:eastAsia="宋体" w:cs="宋体"/>
          <w:spacing w:val="-5"/>
          <w:sz w:val="24"/>
          <w:szCs w:val="24"/>
        </w:rPr>
        <w:t>公众参与</w:t>
      </w:r>
      <w:r>
        <w:rPr>
          <w:rFonts w:ascii="宋体" w:hAnsi="宋体" w:eastAsia="宋体" w:cs="宋体"/>
          <w:spacing w:val="-6"/>
          <w:sz w:val="24"/>
          <w:szCs w:val="24"/>
        </w:rPr>
        <w:t>形式包括网络公示、报纸公</w:t>
      </w:r>
      <w:r>
        <w:rPr>
          <w:rFonts w:ascii="宋体" w:hAnsi="宋体" w:eastAsia="宋体" w:cs="宋体"/>
          <w:spacing w:val="-5"/>
          <w:sz w:val="24"/>
          <w:szCs w:val="24"/>
        </w:rPr>
        <w:t>示、现场张贴公示及发放公众意见表等，</w:t>
      </w:r>
      <w:r>
        <w:rPr>
          <w:rFonts w:ascii="宋体" w:hAnsi="宋体" w:eastAsia="宋体" w:cs="宋体"/>
          <w:spacing w:val="-42"/>
          <w:sz w:val="24"/>
          <w:szCs w:val="24"/>
        </w:rPr>
        <w:t xml:space="preserve"> </w:t>
      </w:r>
      <w:r>
        <w:rPr>
          <w:rFonts w:ascii="宋体" w:hAnsi="宋体" w:eastAsia="宋体" w:cs="宋体"/>
          <w:spacing w:val="-5"/>
          <w:sz w:val="24"/>
          <w:szCs w:val="24"/>
        </w:rPr>
        <w:t>公示期间未接到任何反对</w:t>
      </w:r>
      <w:r>
        <w:rPr>
          <w:rFonts w:ascii="宋体" w:hAnsi="宋体" w:eastAsia="宋体" w:cs="宋体"/>
          <w:spacing w:val="-6"/>
          <w:sz w:val="24"/>
          <w:szCs w:val="24"/>
        </w:rPr>
        <w:t>本项目建设的</w:t>
      </w:r>
      <w:r>
        <w:rPr>
          <w:rFonts w:ascii="宋体" w:hAnsi="宋体" w:eastAsia="宋体" w:cs="宋体"/>
          <w:spacing w:val="-7"/>
          <w:sz w:val="24"/>
          <w:szCs w:val="24"/>
        </w:rPr>
        <w:t>反馈意见。</w:t>
      </w:r>
    </w:p>
    <w:p w14:paraId="6E44487B">
      <w:pPr>
        <w:spacing w:before="152" w:line="218" w:lineRule="auto"/>
        <w:ind w:left="41"/>
        <w:outlineLvl w:val="1"/>
        <w:rPr>
          <w:rFonts w:ascii="宋体" w:hAnsi="宋体" w:eastAsia="宋体" w:cs="宋体"/>
          <w:sz w:val="32"/>
          <w:szCs w:val="32"/>
        </w:rPr>
      </w:pPr>
      <w:bookmarkStart w:id="85" w:name="bookmark56"/>
      <w:bookmarkEnd w:id="85"/>
      <w:r>
        <w:rPr>
          <w:rFonts w:ascii="Times New Roman" w:hAnsi="Times New Roman" w:eastAsia="Times New Roman" w:cs="Times New Roman"/>
          <w:b/>
          <w:bCs/>
          <w:spacing w:val="-2"/>
          <w:sz w:val="32"/>
          <w:szCs w:val="32"/>
        </w:rPr>
        <w:t xml:space="preserve">8.10  </w:t>
      </w:r>
      <w:r>
        <w:rPr>
          <w:rFonts w:ascii="宋体" w:hAnsi="宋体" w:eastAsia="宋体" w:cs="宋体"/>
          <w:b/>
          <w:bCs/>
          <w:spacing w:val="-2"/>
          <w:sz w:val="32"/>
          <w:szCs w:val="32"/>
        </w:rPr>
        <w:t>总体评价结论</w:t>
      </w:r>
    </w:p>
    <w:p w14:paraId="3AF3B22A">
      <w:pPr>
        <w:pStyle w:val="2"/>
        <w:spacing w:line="249" w:lineRule="auto"/>
      </w:pPr>
    </w:p>
    <w:p w14:paraId="68B33C7B">
      <w:pPr>
        <w:spacing w:before="78" w:line="361" w:lineRule="auto"/>
        <w:ind w:left="22" w:right="104" w:firstLine="507"/>
        <w:jc w:val="both"/>
        <w:rPr>
          <w:rFonts w:ascii="宋体" w:hAnsi="宋体" w:eastAsia="宋体" w:cs="宋体"/>
          <w:sz w:val="24"/>
          <w:szCs w:val="24"/>
        </w:rPr>
      </w:pPr>
      <w:r>
        <w:rPr>
          <w:rFonts w:ascii="宋体" w:hAnsi="宋体" w:eastAsia="宋体" w:cs="宋体"/>
          <w:spacing w:val="-4"/>
          <w:sz w:val="24"/>
          <w:szCs w:val="24"/>
        </w:rPr>
        <w:t>喻家沟生猪规模化养殖场建设项目符合国家产业政策，符合规划要求，符合</w:t>
      </w:r>
      <w:r>
        <w:rPr>
          <w:rFonts w:ascii="宋体" w:hAnsi="宋体" w:eastAsia="宋体" w:cs="宋体"/>
          <w:spacing w:val="-9"/>
          <w:sz w:val="24"/>
          <w:szCs w:val="24"/>
        </w:rPr>
        <w:t>“三线一单”管控要求，拟采取的各项环保措施技术经济可行，污染物达</w:t>
      </w:r>
      <w:r>
        <w:rPr>
          <w:rFonts w:ascii="宋体" w:hAnsi="宋体" w:eastAsia="宋体" w:cs="宋体"/>
          <w:spacing w:val="-10"/>
          <w:sz w:val="24"/>
          <w:szCs w:val="24"/>
        </w:rPr>
        <w:t>标排放，</w:t>
      </w:r>
      <w:r>
        <w:rPr>
          <w:rFonts w:ascii="宋体" w:hAnsi="宋体" w:eastAsia="宋体" w:cs="宋体"/>
          <w:spacing w:val="-1"/>
          <w:sz w:val="24"/>
          <w:szCs w:val="24"/>
        </w:rPr>
        <w:t>满足总量控制要求，对评价区域环境质量的影响较小，环境风险水平可接受。</w:t>
      </w:r>
    </w:p>
    <w:p w14:paraId="4463560C">
      <w:pPr>
        <w:spacing w:line="361" w:lineRule="auto"/>
        <w:rPr>
          <w:rFonts w:ascii="宋体" w:hAnsi="宋体" w:eastAsia="宋体" w:cs="宋体"/>
          <w:sz w:val="24"/>
          <w:szCs w:val="24"/>
        </w:rPr>
        <w:sectPr>
          <w:headerReference r:id="rId523" w:type="default"/>
          <w:footerReference r:id="rId524" w:type="default"/>
          <w:pgSz w:w="11905" w:h="16840"/>
          <w:pgMar w:top="1168" w:right="1693" w:bottom="1409" w:left="1770" w:header="828" w:footer="1244" w:gutter="0"/>
          <w:cols w:space="720" w:num="1"/>
        </w:sectPr>
      </w:pPr>
    </w:p>
    <w:p w14:paraId="21F4FF4A">
      <w:pPr>
        <w:pStyle w:val="2"/>
        <w:spacing w:line="305" w:lineRule="auto"/>
      </w:pPr>
    </w:p>
    <w:p w14:paraId="41E2F6AA">
      <w:pPr>
        <w:spacing w:before="78" w:line="362" w:lineRule="auto"/>
        <w:ind w:left="43" w:right="29" w:firstLine="494"/>
        <w:rPr>
          <w:rFonts w:ascii="宋体" w:hAnsi="宋体" w:eastAsia="宋体" w:cs="宋体"/>
          <w:sz w:val="24"/>
          <w:szCs w:val="24"/>
        </w:rPr>
      </w:pPr>
      <w:r>
        <w:rPr>
          <w:rFonts w:ascii="宋体" w:hAnsi="宋体" w:eastAsia="宋体" w:cs="宋体"/>
          <w:spacing w:val="-4"/>
          <w:sz w:val="24"/>
          <w:szCs w:val="24"/>
        </w:rPr>
        <w:t>因此，在全面落实本报告书所提出的各项环境保护措施前提下，本项目的建</w:t>
      </w:r>
      <w:r>
        <w:rPr>
          <w:rFonts w:ascii="宋体" w:hAnsi="宋体" w:eastAsia="宋体" w:cs="宋体"/>
          <w:spacing w:val="-3"/>
          <w:sz w:val="24"/>
          <w:szCs w:val="24"/>
        </w:rPr>
        <w:t>设从生态环境保护角度来讲是可行的。</w:t>
      </w:r>
    </w:p>
    <w:p w14:paraId="226446B7">
      <w:pPr>
        <w:spacing w:before="152" w:line="220" w:lineRule="auto"/>
        <w:ind w:left="41"/>
        <w:outlineLvl w:val="1"/>
        <w:rPr>
          <w:rFonts w:ascii="宋体" w:hAnsi="宋体" w:eastAsia="宋体" w:cs="宋体"/>
          <w:sz w:val="32"/>
          <w:szCs w:val="32"/>
        </w:rPr>
      </w:pPr>
      <w:bookmarkStart w:id="86" w:name="bookmark57"/>
      <w:bookmarkEnd w:id="86"/>
      <w:r>
        <w:rPr>
          <w:rFonts w:ascii="Times New Roman" w:hAnsi="Times New Roman" w:eastAsia="Times New Roman" w:cs="Times New Roman"/>
          <w:b/>
          <w:bCs/>
          <w:spacing w:val="-5"/>
          <w:sz w:val="32"/>
          <w:szCs w:val="32"/>
        </w:rPr>
        <w:t>8.11</w:t>
      </w:r>
      <w:r>
        <w:rPr>
          <w:rFonts w:ascii="Times New Roman" w:hAnsi="Times New Roman" w:eastAsia="Times New Roman" w:cs="Times New Roman"/>
          <w:b/>
          <w:bCs/>
          <w:spacing w:val="10"/>
          <w:sz w:val="32"/>
          <w:szCs w:val="32"/>
        </w:rPr>
        <w:t xml:space="preserve">  </w:t>
      </w:r>
      <w:r>
        <w:rPr>
          <w:rFonts w:ascii="宋体" w:hAnsi="宋体" w:eastAsia="宋体" w:cs="宋体"/>
          <w:b/>
          <w:bCs/>
          <w:spacing w:val="-5"/>
          <w:sz w:val="32"/>
          <w:szCs w:val="32"/>
        </w:rPr>
        <w:t>建议</w:t>
      </w:r>
    </w:p>
    <w:p w14:paraId="222D6247">
      <w:pPr>
        <w:pStyle w:val="2"/>
        <w:spacing w:line="245" w:lineRule="auto"/>
      </w:pPr>
    </w:p>
    <w:p w14:paraId="2B691E59">
      <w:pPr>
        <w:spacing w:before="78" w:line="360" w:lineRule="auto"/>
        <w:ind w:left="38" w:right="28"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）建设单位应加强养殖场环保设施的日常管理工作，强化环保设施的维</w:t>
      </w:r>
      <w:r>
        <w:rPr>
          <w:rFonts w:ascii="宋体" w:hAnsi="宋体" w:eastAsia="宋体" w:cs="宋体"/>
          <w:spacing w:val="-6"/>
          <w:sz w:val="24"/>
          <w:szCs w:val="24"/>
        </w:rPr>
        <w:t>修、保养， 保证废水处理环保设施正常运转，并加强养殖废</w:t>
      </w:r>
      <w:r>
        <w:rPr>
          <w:rFonts w:ascii="宋体" w:hAnsi="宋体" w:eastAsia="宋体" w:cs="宋体"/>
          <w:spacing w:val="-7"/>
          <w:sz w:val="24"/>
          <w:szCs w:val="24"/>
        </w:rPr>
        <w:t>水管道的管理，防止</w:t>
      </w:r>
      <w:r>
        <w:rPr>
          <w:rFonts w:ascii="宋体" w:hAnsi="宋体" w:eastAsia="宋体" w:cs="宋体"/>
          <w:spacing w:val="-5"/>
          <w:sz w:val="24"/>
          <w:szCs w:val="24"/>
        </w:rPr>
        <w:t>输送过程中泄漏。</w:t>
      </w:r>
    </w:p>
    <w:p w14:paraId="690F1A3A">
      <w:pPr>
        <w:spacing w:before="2" w:line="359" w:lineRule="auto"/>
        <w:ind w:left="38" w:right="28"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）加强养殖场的绿化工作，绿化有利于猪场的防火防疫，也可防止人畜</w:t>
      </w:r>
      <w:r>
        <w:rPr>
          <w:rFonts w:ascii="宋体" w:hAnsi="宋体" w:eastAsia="宋体" w:cs="宋体"/>
          <w:spacing w:val="-4"/>
          <w:sz w:val="24"/>
          <w:szCs w:val="24"/>
        </w:rPr>
        <w:t>任意往来而引起的疫病传播。</w:t>
      </w:r>
    </w:p>
    <w:p w14:paraId="3EFE670B">
      <w:pPr>
        <w:spacing w:before="1" w:line="362" w:lineRule="auto"/>
        <w:ind w:left="42" w:right="28"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）尽可能多的接收场区周围居民为本项目工作人员，并对其进行技术培</w:t>
      </w:r>
      <w:r>
        <w:rPr>
          <w:rFonts w:ascii="宋体" w:hAnsi="宋体" w:eastAsia="宋体" w:cs="宋体"/>
          <w:spacing w:val="-4"/>
          <w:sz w:val="24"/>
          <w:szCs w:val="24"/>
        </w:rPr>
        <w:t>训，提高当地居民的收入。</w:t>
      </w:r>
    </w:p>
    <w:sectPr>
      <w:headerReference r:id="rId525" w:type="default"/>
      <w:footerReference r:id="rId526" w:type="default"/>
      <w:pgSz w:w="11905" w:h="16840"/>
      <w:pgMar w:top="1168" w:right="1768" w:bottom="1409" w:left="1770" w:header="828" w:footer="124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6"/>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E14E5">
    <w:pPr>
      <w:spacing w:line="168" w:lineRule="auto"/>
      <w:ind w:left="4175"/>
      <w:rPr>
        <w:rFonts w:ascii="Calibri" w:hAnsi="Calibri" w:eastAsia="Calibri" w:cs="Calibri"/>
        <w:sz w:val="18"/>
        <w:szCs w:val="18"/>
      </w:rPr>
    </w:pPr>
    <w:r>
      <w:rPr>
        <w:rFonts w:ascii="Calibri" w:hAnsi="Calibri" w:eastAsia="Calibri" w:cs="Calibri"/>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5A3E">
    <w:pPr>
      <w:spacing w:line="167" w:lineRule="auto"/>
      <w:ind w:left="4146"/>
      <w:rPr>
        <w:rFonts w:ascii="Calibri" w:hAnsi="Calibri" w:eastAsia="Calibri" w:cs="Calibri"/>
        <w:sz w:val="18"/>
        <w:szCs w:val="18"/>
      </w:rPr>
    </w:pPr>
    <w:r>
      <w:rPr>
        <w:rFonts w:ascii="Calibri" w:hAnsi="Calibri" w:eastAsia="Calibri" w:cs="Calibri"/>
        <w:sz w:val="18"/>
        <w:szCs w:val="18"/>
      </w:rPr>
      <w:t>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D0992">
    <w:pPr>
      <w:spacing w:line="169" w:lineRule="auto"/>
      <w:ind w:left="4097"/>
      <w:rPr>
        <w:rFonts w:ascii="Calibri" w:hAnsi="Calibri" w:eastAsia="Calibri" w:cs="Calibri"/>
        <w:sz w:val="18"/>
        <w:szCs w:val="18"/>
      </w:rPr>
    </w:pPr>
    <w:r>
      <w:rPr>
        <w:rFonts w:ascii="Calibri" w:hAnsi="Calibri" w:eastAsia="Calibri" w:cs="Calibri"/>
        <w:spacing w:val="-2"/>
        <w:sz w:val="18"/>
        <w:szCs w:val="18"/>
      </w:rPr>
      <w:t>97</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D69B6">
    <w:pPr>
      <w:spacing w:line="169" w:lineRule="auto"/>
      <w:ind w:left="4097"/>
      <w:rPr>
        <w:rFonts w:ascii="Calibri" w:hAnsi="Calibri" w:eastAsia="Calibri" w:cs="Calibri"/>
        <w:sz w:val="18"/>
        <w:szCs w:val="18"/>
      </w:rPr>
    </w:pPr>
    <w:r>
      <w:rPr>
        <w:rFonts w:ascii="Calibri" w:hAnsi="Calibri" w:eastAsia="Calibri" w:cs="Calibri"/>
        <w:spacing w:val="-2"/>
        <w:sz w:val="18"/>
        <w:szCs w:val="18"/>
      </w:rPr>
      <w:t>98</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493E4">
    <w:pPr>
      <w:spacing w:line="169" w:lineRule="auto"/>
      <w:ind w:left="4097"/>
      <w:rPr>
        <w:rFonts w:ascii="Calibri" w:hAnsi="Calibri" w:eastAsia="Calibri" w:cs="Calibri"/>
        <w:sz w:val="18"/>
        <w:szCs w:val="18"/>
      </w:rPr>
    </w:pPr>
    <w:r>
      <w:rPr>
        <w:rFonts w:ascii="Calibri" w:hAnsi="Calibri" w:eastAsia="Calibri" w:cs="Calibri"/>
        <w:spacing w:val="-2"/>
        <w:sz w:val="18"/>
        <w:szCs w:val="18"/>
      </w:rPr>
      <w:t>99</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E016">
    <w:pPr>
      <w:spacing w:line="169" w:lineRule="auto"/>
      <w:ind w:left="4061"/>
      <w:rPr>
        <w:rFonts w:ascii="Calibri" w:hAnsi="Calibri" w:eastAsia="Calibri" w:cs="Calibri"/>
        <w:sz w:val="18"/>
        <w:szCs w:val="18"/>
      </w:rPr>
    </w:pPr>
    <w:r>
      <w:rPr>
        <w:rFonts w:ascii="Calibri" w:hAnsi="Calibri" w:eastAsia="Calibri" w:cs="Calibri"/>
        <w:spacing w:val="-4"/>
        <w:sz w:val="18"/>
        <w:szCs w:val="18"/>
      </w:rPr>
      <w:t>100</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8FA75">
    <w:pPr>
      <w:spacing w:line="169" w:lineRule="auto"/>
      <w:ind w:left="4061"/>
      <w:rPr>
        <w:rFonts w:ascii="Calibri" w:hAnsi="Calibri" w:eastAsia="Calibri" w:cs="Calibri"/>
        <w:sz w:val="18"/>
        <w:szCs w:val="18"/>
      </w:rPr>
    </w:pPr>
    <w:r>
      <w:rPr>
        <w:rFonts w:ascii="Calibri" w:hAnsi="Calibri" w:eastAsia="Calibri" w:cs="Calibri"/>
        <w:spacing w:val="-4"/>
        <w:sz w:val="18"/>
        <w:szCs w:val="18"/>
      </w:rPr>
      <w:t>101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B7B5F">
    <w:pPr>
      <w:spacing w:line="169" w:lineRule="auto"/>
      <w:ind w:left="4061"/>
      <w:rPr>
        <w:rFonts w:ascii="Calibri" w:hAnsi="Calibri" w:eastAsia="Calibri" w:cs="Calibri"/>
        <w:sz w:val="18"/>
        <w:szCs w:val="18"/>
      </w:rPr>
    </w:pPr>
    <w:r>
      <w:rPr>
        <w:rFonts w:ascii="Calibri" w:hAnsi="Calibri" w:eastAsia="Calibri" w:cs="Calibri"/>
        <w:spacing w:val="-4"/>
        <w:sz w:val="18"/>
        <w:szCs w:val="18"/>
      </w:rPr>
      <w:t>102</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309AB">
    <w:pPr>
      <w:spacing w:line="169" w:lineRule="auto"/>
      <w:ind w:left="4061"/>
      <w:rPr>
        <w:rFonts w:ascii="Calibri" w:hAnsi="Calibri" w:eastAsia="Calibri" w:cs="Calibri"/>
        <w:sz w:val="18"/>
        <w:szCs w:val="18"/>
      </w:rPr>
    </w:pPr>
    <w:r>
      <w:rPr>
        <w:rFonts w:ascii="Calibri" w:hAnsi="Calibri" w:eastAsia="Calibri" w:cs="Calibri"/>
        <w:spacing w:val="-4"/>
        <w:sz w:val="18"/>
        <w:szCs w:val="18"/>
      </w:rPr>
      <w:t>103</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6C0FB">
    <w:pPr>
      <w:spacing w:line="169" w:lineRule="auto"/>
      <w:ind w:left="4061"/>
      <w:rPr>
        <w:rFonts w:ascii="Calibri" w:hAnsi="Calibri" w:eastAsia="Calibri" w:cs="Calibri"/>
        <w:sz w:val="18"/>
        <w:szCs w:val="18"/>
      </w:rPr>
    </w:pPr>
    <w:r>
      <w:rPr>
        <w:rFonts w:ascii="Calibri" w:hAnsi="Calibri" w:eastAsia="Calibri" w:cs="Calibri"/>
        <w:spacing w:val="-4"/>
        <w:sz w:val="18"/>
        <w:szCs w:val="18"/>
      </w:rPr>
      <w:t>104</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75F8E">
    <w:pPr>
      <w:spacing w:line="169" w:lineRule="auto"/>
      <w:ind w:left="4061"/>
      <w:rPr>
        <w:rFonts w:ascii="Calibri" w:hAnsi="Calibri" w:eastAsia="Calibri" w:cs="Calibri"/>
        <w:sz w:val="18"/>
        <w:szCs w:val="18"/>
      </w:rPr>
    </w:pPr>
    <w:r>
      <w:rPr>
        <w:rFonts w:ascii="Calibri" w:hAnsi="Calibri" w:eastAsia="Calibri" w:cs="Calibri"/>
        <w:spacing w:val="-4"/>
        <w:sz w:val="18"/>
        <w:szCs w:val="18"/>
      </w:rPr>
      <w:t>105</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CFB93">
    <w:pPr>
      <w:spacing w:line="169" w:lineRule="auto"/>
      <w:ind w:left="4061"/>
      <w:rPr>
        <w:rFonts w:ascii="Calibri" w:hAnsi="Calibri" w:eastAsia="Calibri" w:cs="Calibri"/>
        <w:sz w:val="18"/>
        <w:szCs w:val="18"/>
      </w:rPr>
    </w:pPr>
    <w:r>
      <w:rPr>
        <w:rFonts w:ascii="Calibri" w:hAnsi="Calibri" w:eastAsia="Calibri" w:cs="Calibri"/>
        <w:spacing w:val="-4"/>
        <w:sz w:val="18"/>
        <w:szCs w:val="18"/>
      </w:rPr>
      <w:t>106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508FD">
    <w:pPr>
      <w:spacing w:line="169" w:lineRule="auto"/>
      <w:ind w:left="4144"/>
      <w:rPr>
        <w:rFonts w:ascii="Calibri" w:hAnsi="Calibri" w:eastAsia="Calibri" w:cs="Calibri"/>
        <w:sz w:val="18"/>
        <w:szCs w:val="18"/>
      </w:rPr>
    </w:pPr>
    <w:r>
      <w:rPr>
        <w:rFonts w:ascii="Calibri" w:hAnsi="Calibri" w:eastAsia="Calibri" w:cs="Calibri"/>
        <w:sz w:val="18"/>
        <w:szCs w:val="18"/>
      </w:rPr>
      <w:t>8</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8690E">
    <w:pPr>
      <w:spacing w:line="169" w:lineRule="auto"/>
      <w:ind w:left="4061"/>
      <w:rPr>
        <w:rFonts w:ascii="Calibri" w:hAnsi="Calibri" w:eastAsia="Calibri" w:cs="Calibri"/>
        <w:sz w:val="18"/>
        <w:szCs w:val="18"/>
      </w:rPr>
    </w:pPr>
    <w:r>
      <w:rPr>
        <w:rFonts w:ascii="Calibri" w:hAnsi="Calibri" w:eastAsia="Calibri" w:cs="Calibri"/>
        <w:spacing w:val="-4"/>
        <w:sz w:val="18"/>
        <w:szCs w:val="18"/>
      </w:rPr>
      <w:t>107</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EA6E3">
    <w:pPr>
      <w:spacing w:line="169" w:lineRule="auto"/>
      <w:ind w:left="4061"/>
      <w:rPr>
        <w:rFonts w:ascii="Calibri" w:hAnsi="Calibri" w:eastAsia="Calibri" w:cs="Calibri"/>
        <w:sz w:val="18"/>
        <w:szCs w:val="18"/>
      </w:rPr>
    </w:pPr>
    <w:r>
      <w:rPr>
        <w:rFonts w:ascii="Calibri" w:hAnsi="Calibri" w:eastAsia="Calibri" w:cs="Calibri"/>
        <w:spacing w:val="-4"/>
        <w:sz w:val="18"/>
        <w:szCs w:val="18"/>
      </w:rPr>
      <w:t>108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14E1">
    <w:pPr>
      <w:spacing w:line="169" w:lineRule="auto"/>
      <w:ind w:left="4061"/>
      <w:rPr>
        <w:rFonts w:ascii="Calibri" w:hAnsi="Calibri" w:eastAsia="Calibri" w:cs="Calibri"/>
        <w:sz w:val="18"/>
        <w:szCs w:val="18"/>
      </w:rPr>
    </w:pPr>
    <w:r>
      <w:rPr>
        <w:rFonts w:ascii="Calibri" w:hAnsi="Calibri" w:eastAsia="Calibri" w:cs="Calibri"/>
        <w:spacing w:val="-4"/>
        <w:sz w:val="18"/>
        <w:szCs w:val="18"/>
      </w:rPr>
      <w:t>109</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418F">
    <w:pPr>
      <w:spacing w:line="169" w:lineRule="auto"/>
      <w:ind w:left="4061"/>
      <w:rPr>
        <w:rFonts w:ascii="Calibri" w:hAnsi="Calibri" w:eastAsia="Calibri" w:cs="Calibri"/>
        <w:sz w:val="18"/>
        <w:szCs w:val="18"/>
      </w:rPr>
    </w:pPr>
    <w:r>
      <w:rPr>
        <w:rFonts w:ascii="Calibri" w:hAnsi="Calibri" w:eastAsia="Calibri" w:cs="Calibri"/>
        <w:spacing w:val="-4"/>
        <w:sz w:val="18"/>
        <w:szCs w:val="18"/>
      </w:rPr>
      <w:t>110</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CFD4">
    <w:pPr>
      <w:spacing w:line="168" w:lineRule="auto"/>
      <w:ind w:left="4061"/>
      <w:rPr>
        <w:rFonts w:ascii="Calibri" w:hAnsi="Calibri" w:eastAsia="Calibri" w:cs="Calibri"/>
        <w:sz w:val="18"/>
        <w:szCs w:val="18"/>
      </w:rPr>
    </w:pPr>
    <w:r>
      <w:rPr>
        <w:rFonts w:ascii="Calibri" w:hAnsi="Calibri" w:eastAsia="Calibri" w:cs="Calibri"/>
        <w:spacing w:val="-4"/>
        <w:sz w:val="18"/>
        <w:szCs w:val="18"/>
      </w:rPr>
      <w:t>111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828CA">
    <w:pPr>
      <w:spacing w:line="169" w:lineRule="auto"/>
      <w:ind w:left="4061"/>
      <w:rPr>
        <w:rFonts w:ascii="Calibri" w:hAnsi="Calibri" w:eastAsia="Calibri" w:cs="Calibri"/>
        <w:sz w:val="18"/>
        <w:szCs w:val="18"/>
      </w:rPr>
    </w:pPr>
    <w:r>
      <w:rPr>
        <w:rFonts w:ascii="Calibri" w:hAnsi="Calibri" w:eastAsia="Calibri" w:cs="Calibri"/>
        <w:spacing w:val="-4"/>
        <w:sz w:val="18"/>
        <w:szCs w:val="18"/>
      </w:rPr>
      <w:t>112</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A454">
    <w:pPr>
      <w:spacing w:line="169" w:lineRule="auto"/>
      <w:ind w:left="4061"/>
      <w:rPr>
        <w:rFonts w:ascii="Calibri" w:hAnsi="Calibri" w:eastAsia="Calibri" w:cs="Calibri"/>
        <w:sz w:val="18"/>
        <w:szCs w:val="18"/>
      </w:rPr>
    </w:pPr>
    <w:r>
      <w:rPr>
        <w:rFonts w:ascii="Calibri" w:hAnsi="Calibri" w:eastAsia="Calibri" w:cs="Calibri"/>
        <w:spacing w:val="-4"/>
        <w:sz w:val="18"/>
        <w:szCs w:val="18"/>
      </w:rPr>
      <w:t>113</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6C6FA">
    <w:pPr>
      <w:spacing w:line="168" w:lineRule="auto"/>
      <w:ind w:left="4061"/>
      <w:rPr>
        <w:rFonts w:ascii="Calibri" w:hAnsi="Calibri" w:eastAsia="Calibri" w:cs="Calibri"/>
        <w:sz w:val="18"/>
        <w:szCs w:val="18"/>
      </w:rPr>
    </w:pPr>
    <w:r>
      <w:rPr>
        <w:rFonts w:ascii="Calibri" w:hAnsi="Calibri" w:eastAsia="Calibri" w:cs="Calibri"/>
        <w:spacing w:val="-4"/>
        <w:sz w:val="18"/>
        <w:szCs w:val="18"/>
      </w:rPr>
      <w:t>114</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6478F">
    <w:pPr>
      <w:spacing w:line="168" w:lineRule="auto"/>
      <w:ind w:left="4061"/>
      <w:rPr>
        <w:rFonts w:ascii="Calibri" w:hAnsi="Calibri" w:eastAsia="Calibri" w:cs="Calibri"/>
        <w:sz w:val="18"/>
        <w:szCs w:val="18"/>
      </w:rPr>
    </w:pPr>
    <w:r>
      <w:rPr>
        <w:rFonts w:ascii="Calibri" w:hAnsi="Calibri" w:eastAsia="Calibri" w:cs="Calibri"/>
        <w:spacing w:val="-4"/>
        <w:sz w:val="18"/>
        <w:szCs w:val="18"/>
      </w:rPr>
      <w:t>115</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0C1C3">
    <w:pPr>
      <w:spacing w:line="169" w:lineRule="auto"/>
      <w:ind w:left="4061"/>
      <w:rPr>
        <w:rFonts w:ascii="Calibri" w:hAnsi="Calibri" w:eastAsia="Calibri" w:cs="Calibri"/>
        <w:sz w:val="18"/>
        <w:szCs w:val="18"/>
      </w:rPr>
    </w:pPr>
    <w:r>
      <w:rPr>
        <w:rFonts w:ascii="Calibri" w:hAnsi="Calibri" w:eastAsia="Calibri" w:cs="Calibri"/>
        <w:spacing w:val="-4"/>
        <w:sz w:val="18"/>
        <w:szCs w:val="18"/>
      </w:rPr>
      <w:t>116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913BA">
    <w:pPr>
      <w:spacing w:line="169" w:lineRule="auto"/>
      <w:ind w:left="4144"/>
      <w:rPr>
        <w:rFonts w:ascii="Calibri" w:hAnsi="Calibri" w:eastAsia="Calibri" w:cs="Calibri"/>
        <w:sz w:val="18"/>
        <w:szCs w:val="18"/>
      </w:rPr>
    </w:pPr>
    <w:r>
      <w:rPr>
        <w:rFonts w:ascii="Calibri" w:hAnsi="Calibri" w:eastAsia="Calibri" w:cs="Calibri"/>
        <w:sz w:val="18"/>
        <w:szCs w:val="18"/>
      </w:rPr>
      <w:t>9</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5A660">
    <w:pPr>
      <w:spacing w:line="168" w:lineRule="auto"/>
      <w:ind w:left="4061"/>
      <w:rPr>
        <w:rFonts w:ascii="Calibri" w:hAnsi="Calibri" w:eastAsia="Calibri" w:cs="Calibri"/>
        <w:sz w:val="18"/>
        <w:szCs w:val="18"/>
      </w:rPr>
    </w:pPr>
    <w:r>
      <w:rPr>
        <w:rFonts w:ascii="Calibri" w:hAnsi="Calibri" w:eastAsia="Calibri" w:cs="Calibri"/>
        <w:spacing w:val="-4"/>
        <w:sz w:val="18"/>
        <w:szCs w:val="18"/>
      </w:rPr>
      <w:t>117</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2DCBD">
    <w:pPr>
      <w:spacing w:line="169" w:lineRule="auto"/>
      <w:ind w:left="4061"/>
      <w:rPr>
        <w:rFonts w:ascii="Calibri" w:hAnsi="Calibri" w:eastAsia="Calibri" w:cs="Calibri"/>
        <w:sz w:val="18"/>
        <w:szCs w:val="18"/>
      </w:rPr>
    </w:pPr>
    <w:r>
      <w:rPr>
        <w:rFonts w:ascii="Calibri" w:hAnsi="Calibri" w:eastAsia="Calibri" w:cs="Calibri"/>
        <w:spacing w:val="-4"/>
        <w:sz w:val="18"/>
        <w:szCs w:val="18"/>
      </w:rPr>
      <w:t>118</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63182">
    <w:pPr>
      <w:spacing w:line="169" w:lineRule="auto"/>
      <w:ind w:left="4061"/>
      <w:rPr>
        <w:rFonts w:ascii="Calibri" w:hAnsi="Calibri" w:eastAsia="Calibri" w:cs="Calibri"/>
        <w:sz w:val="18"/>
        <w:szCs w:val="18"/>
      </w:rPr>
    </w:pPr>
    <w:r>
      <w:rPr>
        <w:rFonts w:ascii="Calibri" w:hAnsi="Calibri" w:eastAsia="Calibri" w:cs="Calibri"/>
        <w:spacing w:val="-4"/>
        <w:sz w:val="18"/>
        <w:szCs w:val="18"/>
      </w:rPr>
      <w:t>119</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F8C2D">
    <w:pPr>
      <w:spacing w:line="169" w:lineRule="auto"/>
      <w:ind w:left="4061"/>
      <w:rPr>
        <w:rFonts w:ascii="Calibri" w:hAnsi="Calibri" w:eastAsia="Calibri" w:cs="Calibri"/>
        <w:sz w:val="18"/>
        <w:szCs w:val="18"/>
      </w:rPr>
    </w:pPr>
    <w:r>
      <w:rPr>
        <w:rFonts w:ascii="Calibri" w:hAnsi="Calibri" w:eastAsia="Calibri" w:cs="Calibri"/>
        <w:spacing w:val="-4"/>
        <w:sz w:val="18"/>
        <w:szCs w:val="18"/>
      </w:rPr>
      <w:t>120</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4F4A6">
    <w:pPr>
      <w:spacing w:line="169" w:lineRule="auto"/>
      <w:ind w:left="6888"/>
      <w:rPr>
        <w:rFonts w:ascii="Calibri" w:hAnsi="Calibri" w:eastAsia="Calibri" w:cs="Calibri"/>
        <w:sz w:val="18"/>
        <w:szCs w:val="18"/>
      </w:rPr>
    </w:pPr>
    <w:r>
      <w:rPr>
        <w:rFonts w:ascii="Calibri" w:hAnsi="Calibri" w:eastAsia="Calibri" w:cs="Calibri"/>
        <w:spacing w:val="-4"/>
        <w:sz w:val="18"/>
        <w:szCs w:val="18"/>
      </w:rPr>
      <w:t>121</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61B1C">
    <w:pPr>
      <w:spacing w:line="169" w:lineRule="auto"/>
      <w:ind w:left="4061"/>
      <w:rPr>
        <w:rFonts w:ascii="Calibri" w:hAnsi="Calibri" w:eastAsia="Calibri" w:cs="Calibri"/>
        <w:sz w:val="18"/>
        <w:szCs w:val="18"/>
      </w:rPr>
    </w:pPr>
    <w:r>
      <w:rPr>
        <w:rFonts w:ascii="Calibri" w:hAnsi="Calibri" w:eastAsia="Calibri" w:cs="Calibri"/>
        <w:spacing w:val="-4"/>
        <w:sz w:val="18"/>
        <w:szCs w:val="18"/>
      </w:rPr>
      <w:t>122</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157EA">
    <w:pPr>
      <w:spacing w:line="169" w:lineRule="auto"/>
      <w:ind w:left="4061"/>
      <w:rPr>
        <w:rFonts w:ascii="Calibri" w:hAnsi="Calibri" w:eastAsia="Calibri" w:cs="Calibri"/>
        <w:sz w:val="18"/>
        <w:szCs w:val="18"/>
      </w:rPr>
    </w:pPr>
    <w:r>
      <w:rPr>
        <w:rFonts w:ascii="Calibri" w:hAnsi="Calibri" w:eastAsia="Calibri" w:cs="Calibri"/>
        <w:spacing w:val="-4"/>
        <w:sz w:val="18"/>
        <w:szCs w:val="18"/>
      </w:rPr>
      <w:t>123</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833F5">
    <w:pPr>
      <w:spacing w:line="169" w:lineRule="auto"/>
      <w:ind w:left="4061"/>
      <w:rPr>
        <w:rFonts w:ascii="Calibri" w:hAnsi="Calibri" w:eastAsia="Calibri" w:cs="Calibri"/>
        <w:sz w:val="18"/>
        <w:szCs w:val="18"/>
      </w:rPr>
    </w:pPr>
    <w:r>
      <w:rPr>
        <w:rFonts w:ascii="Calibri" w:hAnsi="Calibri" w:eastAsia="Calibri" w:cs="Calibri"/>
        <w:spacing w:val="-4"/>
        <w:sz w:val="18"/>
        <w:szCs w:val="18"/>
      </w:rPr>
      <w:t>124</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9E674">
    <w:pPr>
      <w:spacing w:line="169" w:lineRule="auto"/>
      <w:ind w:left="4061"/>
      <w:rPr>
        <w:rFonts w:ascii="Calibri" w:hAnsi="Calibri" w:eastAsia="Calibri" w:cs="Calibri"/>
        <w:sz w:val="18"/>
        <w:szCs w:val="18"/>
      </w:rPr>
    </w:pPr>
    <w:r>
      <w:rPr>
        <w:rFonts w:ascii="Calibri" w:hAnsi="Calibri" w:eastAsia="Calibri" w:cs="Calibri"/>
        <w:spacing w:val="-4"/>
        <w:sz w:val="18"/>
        <w:szCs w:val="18"/>
      </w:rPr>
      <w:t>125</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C2D9">
    <w:pPr>
      <w:spacing w:line="169" w:lineRule="auto"/>
      <w:ind w:left="4061"/>
      <w:rPr>
        <w:rFonts w:ascii="Calibri" w:hAnsi="Calibri" w:eastAsia="Calibri" w:cs="Calibri"/>
        <w:sz w:val="18"/>
        <w:szCs w:val="18"/>
      </w:rPr>
    </w:pPr>
    <w:r>
      <w:rPr>
        <w:rFonts w:ascii="Calibri" w:hAnsi="Calibri" w:eastAsia="Calibri" w:cs="Calibri"/>
        <w:spacing w:val="-4"/>
        <w:sz w:val="18"/>
        <w:szCs w:val="18"/>
      </w:rPr>
      <w:t>126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A8A5D">
    <w:pPr>
      <w:spacing w:line="169" w:lineRule="auto"/>
      <w:ind w:left="4106"/>
      <w:rPr>
        <w:rFonts w:ascii="Calibri" w:hAnsi="Calibri" w:eastAsia="Calibri" w:cs="Calibri"/>
        <w:sz w:val="18"/>
        <w:szCs w:val="18"/>
      </w:rPr>
    </w:pPr>
    <w:r>
      <w:rPr>
        <w:rFonts w:ascii="Calibri" w:hAnsi="Calibri" w:eastAsia="Calibri" w:cs="Calibri"/>
        <w:spacing w:val="-4"/>
        <w:sz w:val="18"/>
        <w:szCs w:val="18"/>
      </w:rPr>
      <w:t>10</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61359">
    <w:pPr>
      <w:spacing w:line="169" w:lineRule="auto"/>
      <w:ind w:left="4061"/>
      <w:rPr>
        <w:rFonts w:ascii="Calibri" w:hAnsi="Calibri" w:eastAsia="Calibri" w:cs="Calibri"/>
        <w:sz w:val="18"/>
        <w:szCs w:val="18"/>
      </w:rPr>
    </w:pPr>
    <w:r>
      <w:rPr>
        <w:rFonts w:ascii="Calibri" w:hAnsi="Calibri" w:eastAsia="Calibri" w:cs="Calibri"/>
        <w:spacing w:val="-4"/>
        <w:sz w:val="18"/>
        <w:szCs w:val="18"/>
      </w:rPr>
      <w:t>127</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D4185">
    <w:pPr>
      <w:spacing w:line="169" w:lineRule="auto"/>
      <w:ind w:left="4061"/>
      <w:rPr>
        <w:rFonts w:ascii="Calibri" w:hAnsi="Calibri" w:eastAsia="Calibri" w:cs="Calibri"/>
        <w:sz w:val="18"/>
        <w:szCs w:val="18"/>
      </w:rPr>
    </w:pPr>
    <w:r>
      <w:rPr>
        <w:rFonts w:ascii="Calibri" w:hAnsi="Calibri" w:eastAsia="Calibri" w:cs="Calibri"/>
        <w:spacing w:val="-4"/>
        <w:sz w:val="18"/>
        <w:szCs w:val="18"/>
      </w:rPr>
      <w:t>128</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0B3F1">
    <w:pPr>
      <w:spacing w:line="169" w:lineRule="auto"/>
      <w:ind w:left="4061"/>
      <w:rPr>
        <w:rFonts w:ascii="Calibri" w:hAnsi="Calibri" w:eastAsia="Calibri" w:cs="Calibri"/>
        <w:sz w:val="18"/>
        <w:szCs w:val="18"/>
      </w:rPr>
    </w:pPr>
    <w:r>
      <w:rPr>
        <w:rFonts w:ascii="Calibri" w:hAnsi="Calibri" w:eastAsia="Calibri" w:cs="Calibri"/>
        <w:spacing w:val="-4"/>
        <w:sz w:val="18"/>
        <w:szCs w:val="18"/>
      </w:rPr>
      <w:t>129</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39433">
    <w:pPr>
      <w:spacing w:line="169" w:lineRule="auto"/>
      <w:ind w:left="4061"/>
      <w:rPr>
        <w:rFonts w:ascii="Calibri" w:hAnsi="Calibri" w:eastAsia="Calibri" w:cs="Calibri"/>
        <w:sz w:val="18"/>
        <w:szCs w:val="18"/>
      </w:rPr>
    </w:pPr>
    <w:r>
      <w:rPr>
        <w:rFonts w:ascii="Calibri" w:hAnsi="Calibri" w:eastAsia="Calibri" w:cs="Calibri"/>
        <w:spacing w:val="-4"/>
        <w:sz w:val="18"/>
        <w:szCs w:val="18"/>
      </w:rPr>
      <w:t>130</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AF6ED">
    <w:pPr>
      <w:spacing w:line="169" w:lineRule="auto"/>
      <w:ind w:left="4061"/>
      <w:rPr>
        <w:rFonts w:ascii="Calibri" w:hAnsi="Calibri" w:eastAsia="Calibri" w:cs="Calibri"/>
        <w:sz w:val="18"/>
        <w:szCs w:val="18"/>
      </w:rPr>
    </w:pPr>
    <w:r>
      <w:rPr>
        <w:rFonts w:ascii="Calibri" w:hAnsi="Calibri" w:eastAsia="Calibri" w:cs="Calibri"/>
        <w:spacing w:val="-4"/>
        <w:sz w:val="18"/>
        <w:szCs w:val="18"/>
      </w:rPr>
      <w:t>131</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ADBFA">
    <w:pPr>
      <w:spacing w:line="169" w:lineRule="auto"/>
      <w:ind w:left="4061"/>
      <w:rPr>
        <w:rFonts w:ascii="Calibri" w:hAnsi="Calibri" w:eastAsia="Calibri" w:cs="Calibri"/>
        <w:sz w:val="18"/>
        <w:szCs w:val="18"/>
      </w:rPr>
    </w:pPr>
    <w:r>
      <w:rPr>
        <w:rFonts w:ascii="Calibri" w:hAnsi="Calibri" w:eastAsia="Calibri" w:cs="Calibri"/>
        <w:spacing w:val="-4"/>
        <w:sz w:val="18"/>
        <w:szCs w:val="18"/>
      </w:rPr>
      <w:t>132</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58F0">
    <w:pPr>
      <w:spacing w:line="169" w:lineRule="auto"/>
      <w:ind w:left="4061"/>
      <w:rPr>
        <w:rFonts w:ascii="Calibri" w:hAnsi="Calibri" w:eastAsia="Calibri" w:cs="Calibri"/>
        <w:sz w:val="18"/>
        <w:szCs w:val="18"/>
      </w:rPr>
    </w:pPr>
    <w:r>
      <w:rPr>
        <w:rFonts w:ascii="Calibri" w:hAnsi="Calibri" w:eastAsia="Calibri" w:cs="Calibri"/>
        <w:spacing w:val="-4"/>
        <w:sz w:val="18"/>
        <w:szCs w:val="18"/>
      </w:rPr>
      <w:t>133</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03C5A">
    <w:pPr>
      <w:spacing w:line="169" w:lineRule="auto"/>
      <w:ind w:left="4061"/>
      <w:rPr>
        <w:rFonts w:ascii="Calibri" w:hAnsi="Calibri" w:eastAsia="Calibri" w:cs="Calibri"/>
        <w:sz w:val="18"/>
        <w:szCs w:val="18"/>
      </w:rPr>
    </w:pPr>
    <w:r>
      <w:rPr>
        <w:rFonts w:ascii="Calibri" w:hAnsi="Calibri" w:eastAsia="Calibri" w:cs="Calibri"/>
        <w:spacing w:val="-4"/>
        <w:sz w:val="18"/>
        <w:szCs w:val="18"/>
      </w:rPr>
      <w:t>134</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95F">
    <w:pPr>
      <w:spacing w:line="169" w:lineRule="auto"/>
      <w:ind w:left="4061"/>
      <w:rPr>
        <w:rFonts w:ascii="Calibri" w:hAnsi="Calibri" w:eastAsia="Calibri" w:cs="Calibri"/>
        <w:sz w:val="18"/>
        <w:szCs w:val="18"/>
      </w:rPr>
    </w:pPr>
    <w:r>
      <w:rPr>
        <w:rFonts w:ascii="Calibri" w:hAnsi="Calibri" w:eastAsia="Calibri" w:cs="Calibri"/>
        <w:spacing w:val="-4"/>
        <w:sz w:val="18"/>
        <w:szCs w:val="18"/>
      </w:rPr>
      <w:t>135</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14120">
    <w:pPr>
      <w:spacing w:line="169" w:lineRule="auto"/>
      <w:ind w:left="4061"/>
      <w:rPr>
        <w:rFonts w:ascii="Calibri" w:hAnsi="Calibri" w:eastAsia="Calibri" w:cs="Calibri"/>
        <w:sz w:val="18"/>
        <w:szCs w:val="18"/>
      </w:rPr>
    </w:pPr>
    <w:r>
      <w:rPr>
        <w:rFonts w:ascii="Calibri" w:hAnsi="Calibri" w:eastAsia="Calibri" w:cs="Calibri"/>
        <w:spacing w:val="-4"/>
        <w:sz w:val="18"/>
        <w:szCs w:val="18"/>
      </w:rPr>
      <w:t>136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0532">
    <w:pPr>
      <w:spacing w:line="168" w:lineRule="auto"/>
      <w:ind w:left="4106"/>
      <w:rPr>
        <w:rFonts w:ascii="Calibri" w:hAnsi="Calibri" w:eastAsia="Calibri" w:cs="Calibri"/>
        <w:sz w:val="18"/>
        <w:szCs w:val="18"/>
      </w:rPr>
    </w:pPr>
    <w:r>
      <w:rPr>
        <w:rFonts w:ascii="Calibri" w:hAnsi="Calibri" w:eastAsia="Calibri" w:cs="Calibri"/>
        <w:spacing w:val="-4"/>
        <w:sz w:val="18"/>
        <w:szCs w:val="18"/>
      </w:rPr>
      <w:t>11</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5204">
    <w:pPr>
      <w:spacing w:line="169" w:lineRule="auto"/>
      <w:ind w:left="4061"/>
      <w:rPr>
        <w:rFonts w:ascii="Calibri" w:hAnsi="Calibri" w:eastAsia="Calibri" w:cs="Calibri"/>
        <w:sz w:val="18"/>
        <w:szCs w:val="18"/>
      </w:rPr>
    </w:pPr>
    <w:r>
      <w:rPr>
        <w:rFonts w:ascii="Calibri" w:hAnsi="Calibri" w:eastAsia="Calibri" w:cs="Calibri"/>
        <w:spacing w:val="-4"/>
        <w:sz w:val="18"/>
        <w:szCs w:val="18"/>
      </w:rPr>
      <w:t>137</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3782">
    <w:pPr>
      <w:spacing w:line="169" w:lineRule="auto"/>
      <w:ind w:left="4061"/>
      <w:rPr>
        <w:rFonts w:ascii="Calibri" w:hAnsi="Calibri" w:eastAsia="Calibri" w:cs="Calibri"/>
        <w:sz w:val="18"/>
        <w:szCs w:val="18"/>
      </w:rPr>
    </w:pPr>
    <w:r>
      <w:rPr>
        <w:rFonts w:ascii="Calibri" w:hAnsi="Calibri" w:eastAsia="Calibri" w:cs="Calibri"/>
        <w:spacing w:val="-4"/>
        <w:sz w:val="18"/>
        <w:szCs w:val="18"/>
      </w:rPr>
      <w:t>138</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A124F">
    <w:pPr>
      <w:spacing w:line="169" w:lineRule="auto"/>
      <w:ind w:left="4061"/>
      <w:rPr>
        <w:rFonts w:ascii="Calibri" w:hAnsi="Calibri" w:eastAsia="Calibri" w:cs="Calibri"/>
        <w:sz w:val="18"/>
        <w:szCs w:val="18"/>
      </w:rPr>
    </w:pPr>
    <w:r>
      <w:rPr>
        <w:rFonts w:ascii="Calibri" w:hAnsi="Calibri" w:eastAsia="Calibri" w:cs="Calibri"/>
        <w:spacing w:val="-4"/>
        <w:sz w:val="18"/>
        <w:szCs w:val="18"/>
      </w:rPr>
      <w:t>139</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8EE3">
    <w:pPr>
      <w:spacing w:line="169" w:lineRule="auto"/>
      <w:ind w:left="4061"/>
      <w:rPr>
        <w:rFonts w:ascii="Calibri" w:hAnsi="Calibri" w:eastAsia="Calibri" w:cs="Calibri"/>
        <w:sz w:val="18"/>
        <w:szCs w:val="18"/>
      </w:rPr>
    </w:pPr>
    <w:r>
      <w:rPr>
        <w:rFonts w:ascii="Calibri" w:hAnsi="Calibri" w:eastAsia="Calibri" w:cs="Calibri"/>
        <w:spacing w:val="-4"/>
        <w:sz w:val="18"/>
        <w:szCs w:val="18"/>
      </w:rPr>
      <w:t>140</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403C7">
    <w:pPr>
      <w:spacing w:line="168" w:lineRule="auto"/>
      <w:ind w:left="4061"/>
      <w:rPr>
        <w:rFonts w:ascii="Calibri" w:hAnsi="Calibri" w:eastAsia="Calibri" w:cs="Calibri"/>
        <w:sz w:val="18"/>
        <w:szCs w:val="18"/>
      </w:rPr>
    </w:pPr>
    <w:r>
      <w:rPr>
        <w:rFonts w:ascii="Calibri" w:hAnsi="Calibri" w:eastAsia="Calibri" w:cs="Calibri"/>
        <w:spacing w:val="-4"/>
        <w:sz w:val="18"/>
        <w:szCs w:val="18"/>
      </w:rPr>
      <w:t>141</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5AF4E">
    <w:pPr>
      <w:spacing w:line="169" w:lineRule="auto"/>
      <w:ind w:left="4061"/>
      <w:rPr>
        <w:rFonts w:ascii="Calibri" w:hAnsi="Calibri" w:eastAsia="Calibri" w:cs="Calibri"/>
        <w:sz w:val="18"/>
        <w:szCs w:val="18"/>
      </w:rPr>
    </w:pPr>
    <w:r>
      <w:rPr>
        <w:rFonts w:ascii="Calibri" w:hAnsi="Calibri" w:eastAsia="Calibri" w:cs="Calibri"/>
        <w:spacing w:val="-4"/>
        <w:sz w:val="18"/>
        <w:szCs w:val="18"/>
      </w:rPr>
      <w:t>142</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086EF">
    <w:pPr>
      <w:spacing w:line="169" w:lineRule="auto"/>
      <w:ind w:left="4061"/>
      <w:rPr>
        <w:rFonts w:ascii="Calibri" w:hAnsi="Calibri" w:eastAsia="Calibri" w:cs="Calibri"/>
        <w:sz w:val="18"/>
        <w:szCs w:val="18"/>
      </w:rPr>
    </w:pPr>
    <w:r>
      <w:rPr>
        <w:rFonts w:ascii="Calibri" w:hAnsi="Calibri" w:eastAsia="Calibri" w:cs="Calibri"/>
        <w:spacing w:val="-4"/>
        <w:sz w:val="18"/>
        <w:szCs w:val="18"/>
      </w:rPr>
      <w:t>143</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66B9E">
    <w:pPr>
      <w:spacing w:line="168" w:lineRule="auto"/>
      <w:ind w:left="4061"/>
      <w:rPr>
        <w:rFonts w:ascii="Calibri" w:hAnsi="Calibri" w:eastAsia="Calibri" w:cs="Calibri"/>
        <w:sz w:val="18"/>
        <w:szCs w:val="18"/>
      </w:rPr>
    </w:pPr>
    <w:r>
      <w:rPr>
        <w:rFonts w:ascii="Calibri" w:hAnsi="Calibri" w:eastAsia="Calibri" w:cs="Calibri"/>
        <w:spacing w:val="-4"/>
        <w:sz w:val="18"/>
        <w:szCs w:val="18"/>
      </w:rPr>
      <w:t>144</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F83EB">
    <w:pPr>
      <w:spacing w:line="168" w:lineRule="auto"/>
      <w:ind w:left="4061"/>
      <w:rPr>
        <w:rFonts w:ascii="Calibri" w:hAnsi="Calibri" w:eastAsia="Calibri" w:cs="Calibri"/>
        <w:sz w:val="18"/>
        <w:szCs w:val="18"/>
      </w:rPr>
    </w:pPr>
    <w:r>
      <w:rPr>
        <w:rFonts w:ascii="Calibri" w:hAnsi="Calibri" w:eastAsia="Calibri" w:cs="Calibri"/>
        <w:spacing w:val="-4"/>
        <w:sz w:val="18"/>
        <w:szCs w:val="18"/>
      </w:rPr>
      <w:t>145</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44B51">
    <w:pPr>
      <w:spacing w:line="169" w:lineRule="auto"/>
      <w:ind w:left="4061"/>
      <w:rPr>
        <w:rFonts w:ascii="Calibri" w:hAnsi="Calibri" w:eastAsia="Calibri" w:cs="Calibri"/>
        <w:sz w:val="18"/>
        <w:szCs w:val="18"/>
      </w:rPr>
    </w:pPr>
    <w:r>
      <w:rPr>
        <w:rFonts w:ascii="Calibri" w:hAnsi="Calibri" w:eastAsia="Calibri" w:cs="Calibri"/>
        <w:spacing w:val="-4"/>
        <w:sz w:val="18"/>
        <w:szCs w:val="18"/>
      </w:rPr>
      <w:t>146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65177">
    <w:pPr>
      <w:spacing w:line="169" w:lineRule="auto"/>
      <w:ind w:left="4106"/>
      <w:rPr>
        <w:rFonts w:ascii="Calibri" w:hAnsi="Calibri" w:eastAsia="Calibri" w:cs="Calibri"/>
        <w:sz w:val="18"/>
        <w:szCs w:val="18"/>
      </w:rPr>
    </w:pPr>
    <w:r>
      <w:rPr>
        <w:rFonts w:ascii="Calibri" w:hAnsi="Calibri" w:eastAsia="Calibri" w:cs="Calibri"/>
        <w:spacing w:val="-4"/>
        <w:sz w:val="18"/>
        <w:szCs w:val="18"/>
      </w:rPr>
      <w:t>12</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6CAC4">
    <w:pPr>
      <w:spacing w:line="168" w:lineRule="auto"/>
      <w:ind w:left="4061"/>
      <w:rPr>
        <w:rFonts w:ascii="Calibri" w:hAnsi="Calibri" w:eastAsia="Calibri" w:cs="Calibri"/>
        <w:sz w:val="18"/>
        <w:szCs w:val="18"/>
      </w:rPr>
    </w:pPr>
    <w:r>
      <w:rPr>
        <w:rFonts w:ascii="Calibri" w:hAnsi="Calibri" w:eastAsia="Calibri" w:cs="Calibri"/>
        <w:spacing w:val="-4"/>
        <w:sz w:val="18"/>
        <w:szCs w:val="18"/>
      </w:rPr>
      <w:t>147</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4F3F5">
    <w:pPr>
      <w:spacing w:line="169" w:lineRule="auto"/>
      <w:ind w:left="4061"/>
      <w:rPr>
        <w:rFonts w:ascii="Calibri" w:hAnsi="Calibri" w:eastAsia="Calibri" w:cs="Calibri"/>
        <w:sz w:val="18"/>
        <w:szCs w:val="18"/>
      </w:rPr>
    </w:pPr>
    <w:r>
      <w:rPr>
        <w:rFonts w:ascii="Calibri" w:hAnsi="Calibri" w:eastAsia="Calibri" w:cs="Calibri"/>
        <w:spacing w:val="-4"/>
        <w:sz w:val="18"/>
        <w:szCs w:val="18"/>
      </w:rPr>
      <w:t>148</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9079">
    <w:pPr>
      <w:spacing w:line="169" w:lineRule="auto"/>
      <w:ind w:left="4061"/>
      <w:rPr>
        <w:rFonts w:ascii="Calibri" w:hAnsi="Calibri" w:eastAsia="Calibri" w:cs="Calibri"/>
        <w:sz w:val="18"/>
        <w:szCs w:val="18"/>
      </w:rPr>
    </w:pPr>
    <w:r>
      <w:rPr>
        <w:rFonts w:ascii="Calibri" w:hAnsi="Calibri" w:eastAsia="Calibri" w:cs="Calibri"/>
        <w:spacing w:val="-4"/>
        <w:sz w:val="18"/>
        <w:szCs w:val="18"/>
      </w:rPr>
      <w:t>149</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E0573">
    <w:pPr>
      <w:spacing w:line="169" w:lineRule="auto"/>
      <w:ind w:left="4061"/>
      <w:rPr>
        <w:rFonts w:ascii="Calibri" w:hAnsi="Calibri" w:eastAsia="Calibri" w:cs="Calibri"/>
        <w:sz w:val="18"/>
        <w:szCs w:val="18"/>
      </w:rPr>
    </w:pPr>
    <w:r>
      <w:rPr>
        <w:rFonts w:ascii="Calibri" w:hAnsi="Calibri" w:eastAsia="Calibri" w:cs="Calibri"/>
        <w:spacing w:val="-4"/>
        <w:sz w:val="18"/>
        <w:szCs w:val="18"/>
      </w:rPr>
      <w:t>150</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4815C">
    <w:pPr>
      <w:spacing w:line="168" w:lineRule="auto"/>
      <w:ind w:left="4061"/>
      <w:rPr>
        <w:rFonts w:ascii="Calibri" w:hAnsi="Calibri" w:eastAsia="Calibri" w:cs="Calibri"/>
        <w:sz w:val="18"/>
        <w:szCs w:val="18"/>
      </w:rPr>
    </w:pPr>
    <w:r>
      <w:rPr>
        <w:rFonts w:ascii="Calibri" w:hAnsi="Calibri" w:eastAsia="Calibri" w:cs="Calibri"/>
        <w:spacing w:val="-4"/>
        <w:sz w:val="18"/>
        <w:szCs w:val="18"/>
      </w:rPr>
      <w:t>151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D3861">
    <w:pPr>
      <w:spacing w:line="169" w:lineRule="auto"/>
      <w:ind w:left="4061"/>
      <w:rPr>
        <w:rFonts w:ascii="Calibri" w:hAnsi="Calibri" w:eastAsia="Calibri" w:cs="Calibri"/>
        <w:sz w:val="18"/>
        <w:szCs w:val="18"/>
      </w:rPr>
    </w:pPr>
    <w:r>
      <w:rPr>
        <w:rFonts w:ascii="Calibri" w:hAnsi="Calibri" w:eastAsia="Calibri" w:cs="Calibri"/>
        <w:spacing w:val="-4"/>
        <w:sz w:val="18"/>
        <w:szCs w:val="18"/>
      </w:rPr>
      <w:t>152</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7237">
    <w:pPr>
      <w:spacing w:line="169" w:lineRule="auto"/>
      <w:ind w:left="4061"/>
      <w:rPr>
        <w:rFonts w:ascii="Calibri" w:hAnsi="Calibri" w:eastAsia="Calibri" w:cs="Calibri"/>
        <w:sz w:val="18"/>
        <w:szCs w:val="18"/>
      </w:rPr>
    </w:pPr>
    <w:r>
      <w:rPr>
        <w:rFonts w:ascii="Calibri" w:hAnsi="Calibri" w:eastAsia="Calibri" w:cs="Calibri"/>
        <w:spacing w:val="-4"/>
        <w:sz w:val="18"/>
        <w:szCs w:val="18"/>
      </w:rPr>
      <w:t>153</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9A5B">
    <w:pPr>
      <w:spacing w:line="168" w:lineRule="auto"/>
      <w:ind w:left="4061"/>
      <w:rPr>
        <w:rFonts w:ascii="Calibri" w:hAnsi="Calibri" w:eastAsia="Calibri" w:cs="Calibri"/>
        <w:sz w:val="18"/>
        <w:szCs w:val="18"/>
      </w:rPr>
    </w:pPr>
    <w:r>
      <w:rPr>
        <w:rFonts w:ascii="Calibri" w:hAnsi="Calibri" w:eastAsia="Calibri" w:cs="Calibri"/>
        <w:spacing w:val="-4"/>
        <w:sz w:val="18"/>
        <w:szCs w:val="18"/>
      </w:rPr>
      <w:t>154</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BB73">
    <w:pPr>
      <w:spacing w:line="168" w:lineRule="auto"/>
      <w:ind w:left="4061"/>
      <w:rPr>
        <w:rFonts w:ascii="Calibri" w:hAnsi="Calibri" w:eastAsia="Calibri" w:cs="Calibri"/>
        <w:sz w:val="18"/>
        <w:szCs w:val="18"/>
      </w:rPr>
    </w:pPr>
    <w:r>
      <w:rPr>
        <w:rFonts w:ascii="Calibri" w:hAnsi="Calibri" w:eastAsia="Calibri" w:cs="Calibri"/>
        <w:spacing w:val="-4"/>
        <w:sz w:val="18"/>
        <w:szCs w:val="18"/>
      </w:rPr>
      <w:t>155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DFFAA">
    <w:pPr>
      <w:spacing w:line="169" w:lineRule="auto"/>
      <w:ind w:left="4061"/>
      <w:rPr>
        <w:rFonts w:ascii="Calibri" w:hAnsi="Calibri" w:eastAsia="Calibri" w:cs="Calibri"/>
        <w:sz w:val="18"/>
        <w:szCs w:val="18"/>
      </w:rPr>
    </w:pPr>
    <w:r>
      <w:rPr>
        <w:rFonts w:ascii="Calibri" w:hAnsi="Calibri" w:eastAsia="Calibri" w:cs="Calibri"/>
        <w:spacing w:val="-4"/>
        <w:sz w:val="18"/>
        <w:szCs w:val="18"/>
      </w:rPr>
      <w:t>156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08904">
    <w:pPr>
      <w:spacing w:line="169" w:lineRule="auto"/>
      <w:ind w:left="4106"/>
      <w:rPr>
        <w:rFonts w:ascii="Calibri" w:hAnsi="Calibri" w:eastAsia="Calibri" w:cs="Calibri"/>
        <w:sz w:val="18"/>
        <w:szCs w:val="18"/>
      </w:rPr>
    </w:pPr>
    <w:r>
      <w:rPr>
        <w:rFonts w:ascii="Calibri" w:hAnsi="Calibri" w:eastAsia="Calibri" w:cs="Calibri"/>
        <w:spacing w:val="-4"/>
        <w:sz w:val="18"/>
        <w:szCs w:val="18"/>
      </w:rPr>
      <w:t>13</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5DD7">
    <w:pPr>
      <w:spacing w:line="168" w:lineRule="auto"/>
      <w:ind w:left="4061"/>
      <w:rPr>
        <w:rFonts w:ascii="Calibri" w:hAnsi="Calibri" w:eastAsia="Calibri" w:cs="Calibri"/>
        <w:sz w:val="18"/>
        <w:szCs w:val="18"/>
      </w:rPr>
    </w:pPr>
    <w:r>
      <w:rPr>
        <w:rFonts w:ascii="Calibri" w:hAnsi="Calibri" w:eastAsia="Calibri" w:cs="Calibri"/>
        <w:spacing w:val="-4"/>
        <w:sz w:val="18"/>
        <w:szCs w:val="18"/>
      </w:rPr>
      <w:t>157</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65421">
    <w:pPr>
      <w:spacing w:line="169" w:lineRule="auto"/>
      <w:ind w:left="4061"/>
      <w:rPr>
        <w:rFonts w:ascii="Calibri" w:hAnsi="Calibri" w:eastAsia="Calibri" w:cs="Calibri"/>
        <w:sz w:val="18"/>
        <w:szCs w:val="18"/>
      </w:rPr>
    </w:pPr>
    <w:r>
      <w:rPr>
        <w:rFonts w:ascii="Calibri" w:hAnsi="Calibri" w:eastAsia="Calibri" w:cs="Calibri"/>
        <w:spacing w:val="-4"/>
        <w:sz w:val="18"/>
        <w:szCs w:val="18"/>
      </w:rPr>
      <w:t>158</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12D2A">
    <w:pPr>
      <w:spacing w:line="169" w:lineRule="auto"/>
      <w:ind w:left="4061"/>
      <w:rPr>
        <w:rFonts w:ascii="Calibri" w:hAnsi="Calibri" w:eastAsia="Calibri" w:cs="Calibri"/>
        <w:sz w:val="18"/>
        <w:szCs w:val="18"/>
      </w:rPr>
    </w:pPr>
    <w:r>
      <w:rPr>
        <w:rFonts w:ascii="Calibri" w:hAnsi="Calibri" w:eastAsia="Calibri" w:cs="Calibri"/>
        <w:spacing w:val="-4"/>
        <w:sz w:val="18"/>
        <w:szCs w:val="18"/>
      </w:rPr>
      <w:t>159</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CEC9F">
    <w:pPr>
      <w:spacing w:line="169" w:lineRule="auto"/>
      <w:ind w:left="4061"/>
      <w:rPr>
        <w:rFonts w:ascii="Calibri" w:hAnsi="Calibri" w:eastAsia="Calibri" w:cs="Calibri"/>
        <w:sz w:val="18"/>
        <w:szCs w:val="18"/>
      </w:rPr>
    </w:pPr>
    <w:r>
      <w:rPr>
        <w:rFonts w:ascii="Calibri" w:hAnsi="Calibri" w:eastAsia="Calibri" w:cs="Calibri"/>
        <w:spacing w:val="-4"/>
        <w:sz w:val="18"/>
        <w:szCs w:val="18"/>
      </w:rPr>
      <w:t>160</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06E0E">
    <w:pPr>
      <w:spacing w:line="169" w:lineRule="auto"/>
      <w:ind w:left="4061"/>
      <w:rPr>
        <w:rFonts w:ascii="Calibri" w:hAnsi="Calibri" w:eastAsia="Calibri" w:cs="Calibri"/>
        <w:sz w:val="18"/>
        <w:szCs w:val="18"/>
      </w:rPr>
    </w:pPr>
    <w:r>
      <w:rPr>
        <w:rFonts w:ascii="Calibri" w:hAnsi="Calibri" w:eastAsia="Calibri" w:cs="Calibri"/>
        <w:spacing w:val="-4"/>
        <w:sz w:val="18"/>
        <w:szCs w:val="18"/>
      </w:rPr>
      <w:t>161</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0B269">
    <w:pPr>
      <w:spacing w:line="169" w:lineRule="auto"/>
      <w:ind w:left="4061"/>
      <w:rPr>
        <w:rFonts w:ascii="Calibri" w:hAnsi="Calibri" w:eastAsia="Calibri" w:cs="Calibri"/>
        <w:sz w:val="18"/>
        <w:szCs w:val="18"/>
      </w:rPr>
    </w:pPr>
    <w:r>
      <w:rPr>
        <w:rFonts w:ascii="Calibri" w:hAnsi="Calibri" w:eastAsia="Calibri" w:cs="Calibri"/>
        <w:spacing w:val="-4"/>
        <w:sz w:val="18"/>
        <w:szCs w:val="18"/>
      </w:rPr>
      <w:t>162</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5A013">
    <w:pPr>
      <w:spacing w:line="169" w:lineRule="auto"/>
      <w:ind w:left="4061"/>
      <w:rPr>
        <w:rFonts w:ascii="Calibri" w:hAnsi="Calibri" w:eastAsia="Calibri" w:cs="Calibri"/>
        <w:sz w:val="18"/>
        <w:szCs w:val="18"/>
      </w:rPr>
    </w:pPr>
    <w:r>
      <w:rPr>
        <w:rFonts w:ascii="Calibri" w:hAnsi="Calibri" w:eastAsia="Calibri" w:cs="Calibri"/>
        <w:spacing w:val="-4"/>
        <w:sz w:val="18"/>
        <w:szCs w:val="18"/>
      </w:rPr>
      <w:t>163</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547FC">
    <w:pPr>
      <w:spacing w:line="169" w:lineRule="auto"/>
      <w:ind w:left="4061"/>
      <w:rPr>
        <w:rFonts w:ascii="Calibri" w:hAnsi="Calibri" w:eastAsia="Calibri" w:cs="Calibri"/>
        <w:sz w:val="18"/>
        <w:szCs w:val="18"/>
      </w:rPr>
    </w:pPr>
    <w:r>
      <w:rPr>
        <w:rFonts w:ascii="Calibri" w:hAnsi="Calibri" w:eastAsia="Calibri" w:cs="Calibri"/>
        <w:spacing w:val="-4"/>
        <w:sz w:val="18"/>
        <w:szCs w:val="18"/>
      </w:rPr>
      <w:t>164</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E0030">
    <w:pPr>
      <w:spacing w:line="169" w:lineRule="auto"/>
      <w:ind w:left="4061"/>
      <w:rPr>
        <w:rFonts w:ascii="Calibri" w:hAnsi="Calibri" w:eastAsia="Calibri" w:cs="Calibri"/>
        <w:sz w:val="18"/>
        <w:szCs w:val="18"/>
      </w:rPr>
    </w:pPr>
    <w:r>
      <w:rPr>
        <w:rFonts w:ascii="Calibri" w:hAnsi="Calibri" w:eastAsia="Calibri" w:cs="Calibri"/>
        <w:spacing w:val="-4"/>
        <w:sz w:val="18"/>
        <w:szCs w:val="18"/>
      </w:rPr>
      <w:t>165</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0D288">
    <w:pPr>
      <w:spacing w:line="169" w:lineRule="auto"/>
      <w:ind w:left="4061"/>
      <w:rPr>
        <w:rFonts w:ascii="Calibri" w:hAnsi="Calibri" w:eastAsia="Calibri" w:cs="Calibri"/>
        <w:sz w:val="18"/>
        <w:szCs w:val="18"/>
      </w:rPr>
    </w:pPr>
    <w:r>
      <w:rPr>
        <w:rFonts w:ascii="Calibri" w:hAnsi="Calibri" w:eastAsia="Calibri" w:cs="Calibri"/>
        <w:spacing w:val="-4"/>
        <w:sz w:val="18"/>
        <w:szCs w:val="18"/>
      </w:rPr>
      <w:t>166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1A18">
    <w:pPr>
      <w:spacing w:line="168" w:lineRule="auto"/>
      <w:ind w:left="4106"/>
      <w:rPr>
        <w:rFonts w:ascii="Calibri" w:hAnsi="Calibri" w:eastAsia="Calibri" w:cs="Calibri"/>
        <w:sz w:val="18"/>
        <w:szCs w:val="18"/>
      </w:rPr>
    </w:pPr>
    <w:r>
      <w:rPr>
        <w:rFonts w:ascii="Calibri" w:hAnsi="Calibri" w:eastAsia="Calibri" w:cs="Calibri"/>
        <w:spacing w:val="-4"/>
        <w:sz w:val="18"/>
        <w:szCs w:val="18"/>
      </w:rPr>
      <w:t>14</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0AB44">
    <w:pPr>
      <w:spacing w:line="169" w:lineRule="auto"/>
      <w:ind w:left="4061"/>
      <w:rPr>
        <w:rFonts w:ascii="Calibri" w:hAnsi="Calibri" w:eastAsia="Calibri" w:cs="Calibri"/>
        <w:sz w:val="18"/>
        <w:szCs w:val="18"/>
      </w:rPr>
    </w:pPr>
    <w:r>
      <w:rPr>
        <w:rFonts w:ascii="Calibri" w:hAnsi="Calibri" w:eastAsia="Calibri" w:cs="Calibri"/>
        <w:spacing w:val="-4"/>
        <w:sz w:val="18"/>
        <w:szCs w:val="18"/>
      </w:rPr>
      <w:t>167</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BFD1">
    <w:pPr>
      <w:spacing w:line="169" w:lineRule="auto"/>
      <w:ind w:left="4061"/>
      <w:rPr>
        <w:rFonts w:ascii="Calibri" w:hAnsi="Calibri" w:eastAsia="Calibri" w:cs="Calibri"/>
        <w:sz w:val="18"/>
        <w:szCs w:val="18"/>
      </w:rPr>
    </w:pPr>
    <w:r>
      <w:rPr>
        <w:rFonts w:ascii="Calibri" w:hAnsi="Calibri" w:eastAsia="Calibri" w:cs="Calibri"/>
        <w:spacing w:val="-4"/>
        <w:sz w:val="18"/>
        <w:szCs w:val="18"/>
      </w:rPr>
      <w:t>168</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F486E">
    <w:pPr>
      <w:spacing w:line="169" w:lineRule="auto"/>
      <w:ind w:left="4061"/>
      <w:rPr>
        <w:rFonts w:ascii="Calibri" w:hAnsi="Calibri" w:eastAsia="Calibri" w:cs="Calibri"/>
        <w:sz w:val="18"/>
        <w:szCs w:val="18"/>
      </w:rPr>
    </w:pPr>
    <w:r>
      <w:rPr>
        <w:rFonts w:ascii="Calibri" w:hAnsi="Calibri" w:eastAsia="Calibri" w:cs="Calibri"/>
        <w:spacing w:val="-4"/>
        <w:sz w:val="18"/>
        <w:szCs w:val="18"/>
      </w:rPr>
      <w:t>169</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4BFF5">
    <w:pPr>
      <w:spacing w:line="169" w:lineRule="auto"/>
      <w:ind w:left="4061"/>
      <w:rPr>
        <w:rFonts w:ascii="Calibri" w:hAnsi="Calibri" w:eastAsia="Calibri" w:cs="Calibri"/>
        <w:sz w:val="18"/>
        <w:szCs w:val="18"/>
      </w:rPr>
    </w:pPr>
    <w:r>
      <w:rPr>
        <w:rFonts w:ascii="Calibri" w:hAnsi="Calibri" w:eastAsia="Calibri" w:cs="Calibri"/>
        <w:spacing w:val="-4"/>
        <w:sz w:val="18"/>
        <w:szCs w:val="18"/>
      </w:rPr>
      <w:t>170</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88CC5">
    <w:pPr>
      <w:spacing w:line="168" w:lineRule="auto"/>
      <w:ind w:left="4061"/>
      <w:rPr>
        <w:rFonts w:ascii="Calibri" w:hAnsi="Calibri" w:eastAsia="Calibri" w:cs="Calibri"/>
        <w:sz w:val="18"/>
        <w:szCs w:val="18"/>
      </w:rPr>
    </w:pPr>
    <w:r>
      <w:rPr>
        <w:rFonts w:ascii="Calibri" w:hAnsi="Calibri" w:eastAsia="Calibri" w:cs="Calibri"/>
        <w:spacing w:val="-4"/>
        <w:sz w:val="18"/>
        <w:szCs w:val="18"/>
      </w:rPr>
      <w:t>171</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26A5F">
    <w:pPr>
      <w:spacing w:line="169" w:lineRule="auto"/>
      <w:ind w:left="4061"/>
      <w:rPr>
        <w:rFonts w:ascii="Calibri" w:hAnsi="Calibri" w:eastAsia="Calibri" w:cs="Calibri"/>
        <w:sz w:val="18"/>
        <w:szCs w:val="18"/>
      </w:rPr>
    </w:pPr>
    <w:r>
      <w:rPr>
        <w:rFonts w:ascii="Calibri" w:hAnsi="Calibri" w:eastAsia="Calibri" w:cs="Calibri"/>
        <w:spacing w:val="-4"/>
        <w:sz w:val="18"/>
        <w:szCs w:val="18"/>
      </w:rPr>
      <w:t>172</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20D61">
    <w:pPr>
      <w:spacing w:line="169" w:lineRule="auto"/>
      <w:ind w:left="4061"/>
      <w:rPr>
        <w:rFonts w:ascii="Calibri" w:hAnsi="Calibri" w:eastAsia="Calibri" w:cs="Calibri"/>
        <w:sz w:val="18"/>
        <w:szCs w:val="18"/>
      </w:rPr>
    </w:pPr>
    <w:r>
      <w:rPr>
        <w:rFonts w:ascii="Calibri" w:hAnsi="Calibri" w:eastAsia="Calibri" w:cs="Calibri"/>
        <w:spacing w:val="-4"/>
        <w:sz w:val="18"/>
        <w:szCs w:val="18"/>
      </w:rPr>
      <w:t>173</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BC313">
    <w:pPr>
      <w:spacing w:line="168" w:lineRule="auto"/>
      <w:ind w:left="4061"/>
      <w:rPr>
        <w:rFonts w:ascii="Calibri" w:hAnsi="Calibri" w:eastAsia="Calibri" w:cs="Calibri"/>
        <w:sz w:val="18"/>
        <w:szCs w:val="18"/>
      </w:rPr>
    </w:pPr>
    <w:r>
      <w:rPr>
        <w:rFonts w:ascii="Calibri" w:hAnsi="Calibri" w:eastAsia="Calibri" w:cs="Calibri"/>
        <w:spacing w:val="-4"/>
        <w:sz w:val="18"/>
        <w:szCs w:val="18"/>
      </w:rPr>
      <w:t>174</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A30BA">
    <w:pPr>
      <w:spacing w:line="168" w:lineRule="auto"/>
      <w:ind w:left="4061"/>
      <w:rPr>
        <w:rFonts w:ascii="Calibri" w:hAnsi="Calibri" w:eastAsia="Calibri" w:cs="Calibri"/>
        <w:sz w:val="18"/>
        <w:szCs w:val="18"/>
      </w:rPr>
    </w:pPr>
    <w:r>
      <w:rPr>
        <w:rFonts w:ascii="Calibri" w:hAnsi="Calibri" w:eastAsia="Calibri" w:cs="Calibri"/>
        <w:spacing w:val="-4"/>
        <w:sz w:val="18"/>
        <w:szCs w:val="18"/>
      </w:rPr>
      <w:t>175</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17EDD">
    <w:pPr>
      <w:spacing w:line="169" w:lineRule="auto"/>
      <w:ind w:left="4061"/>
      <w:rPr>
        <w:rFonts w:ascii="Calibri" w:hAnsi="Calibri" w:eastAsia="Calibri" w:cs="Calibri"/>
        <w:sz w:val="18"/>
        <w:szCs w:val="18"/>
      </w:rPr>
    </w:pPr>
    <w:r>
      <w:rPr>
        <w:rFonts w:ascii="Calibri" w:hAnsi="Calibri" w:eastAsia="Calibri" w:cs="Calibri"/>
        <w:spacing w:val="-4"/>
        <w:sz w:val="18"/>
        <w:szCs w:val="18"/>
      </w:rPr>
      <w:t>176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76EA1">
    <w:pPr>
      <w:spacing w:line="168" w:lineRule="auto"/>
      <w:ind w:left="4106"/>
      <w:rPr>
        <w:rFonts w:ascii="Calibri" w:hAnsi="Calibri" w:eastAsia="Calibri" w:cs="Calibri"/>
        <w:sz w:val="18"/>
        <w:szCs w:val="18"/>
      </w:rPr>
    </w:pPr>
    <w:r>
      <w:rPr>
        <w:rFonts w:ascii="Calibri" w:hAnsi="Calibri" w:eastAsia="Calibri" w:cs="Calibri"/>
        <w:spacing w:val="-4"/>
        <w:sz w:val="18"/>
        <w:szCs w:val="18"/>
      </w:rPr>
      <w:t>15</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A2223">
    <w:pPr>
      <w:spacing w:line="168" w:lineRule="auto"/>
      <w:ind w:left="4061"/>
      <w:rPr>
        <w:rFonts w:ascii="Calibri" w:hAnsi="Calibri" w:eastAsia="Calibri" w:cs="Calibri"/>
        <w:sz w:val="18"/>
        <w:szCs w:val="18"/>
      </w:rPr>
    </w:pPr>
    <w:r>
      <w:rPr>
        <w:rFonts w:ascii="Calibri" w:hAnsi="Calibri" w:eastAsia="Calibri" w:cs="Calibri"/>
        <w:spacing w:val="-4"/>
        <w:sz w:val="18"/>
        <w:szCs w:val="18"/>
      </w:rPr>
      <w:t>177</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97CD5">
    <w:pPr>
      <w:spacing w:line="169" w:lineRule="auto"/>
      <w:ind w:left="4061"/>
      <w:rPr>
        <w:rFonts w:ascii="Calibri" w:hAnsi="Calibri" w:eastAsia="Calibri" w:cs="Calibri"/>
        <w:sz w:val="18"/>
        <w:szCs w:val="18"/>
      </w:rPr>
    </w:pPr>
    <w:r>
      <w:rPr>
        <w:rFonts w:ascii="Calibri" w:hAnsi="Calibri" w:eastAsia="Calibri" w:cs="Calibri"/>
        <w:spacing w:val="-4"/>
        <w:sz w:val="18"/>
        <w:szCs w:val="18"/>
      </w:rPr>
      <w:t>178</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C660A">
    <w:pPr>
      <w:spacing w:line="169" w:lineRule="auto"/>
      <w:ind w:left="4061"/>
      <w:rPr>
        <w:rFonts w:ascii="Calibri" w:hAnsi="Calibri" w:eastAsia="Calibri" w:cs="Calibri"/>
        <w:sz w:val="18"/>
        <w:szCs w:val="18"/>
      </w:rPr>
    </w:pPr>
    <w:r>
      <w:rPr>
        <w:rFonts w:ascii="Calibri" w:hAnsi="Calibri" w:eastAsia="Calibri" w:cs="Calibri"/>
        <w:spacing w:val="-4"/>
        <w:sz w:val="18"/>
        <w:szCs w:val="18"/>
      </w:rPr>
      <w:t>179</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9C532">
    <w:pPr>
      <w:spacing w:line="169" w:lineRule="auto"/>
      <w:ind w:left="4061"/>
      <w:rPr>
        <w:rFonts w:ascii="Calibri" w:hAnsi="Calibri" w:eastAsia="Calibri" w:cs="Calibri"/>
        <w:sz w:val="18"/>
        <w:szCs w:val="18"/>
      </w:rPr>
    </w:pPr>
    <w:r>
      <w:rPr>
        <w:rFonts w:ascii="Calibri" w:hAnsi="Calibri" w:eastAsia="Calibri" w:cs="Calibri"/>
        <w:spacing w:val="-4"/>
        <w:sz w:val="18"/>
        <w:szCs w:val="18"/>
      </w:rPr>
      <w:t>180</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431B6">
    <w:pPr>
      <w:spacing w:line="169" w:lineRule="auto"/>
      <w:ind w:left="4061"/>
      <w:rPr>
        <w:rFonts w:ascii="Calibri" w:hAnsi="Calibri" w:eastAsia="Calibri" w:cs="Calibri"/>
        <w:sz w:val="18"/>
        <w:szCs w:val="18"/>
      </w:rPr>
    </w:pPr>
    <w:r>
      <w:rPr>
        <w:rFonts w:ascii="Calibri" w:hAnsi="Calibri" w:eastAsia="Calibri" w:cs="Calibri"/>
        <w:spacing w:val="-4"/>
        <w:sz w:val="18"/>
        <w:szCs w:val="18"/>
      </w:rPr>
      <w:t>181</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DB524">
    <w:pPr>
      <w:spacing w:line="169" w:lineRule="auto"/>
      <w:ind w:left="4061"/>
      <w:rPr>
        <w:rFonts w:ascii="Calibri" w:hAnsi="Calibri" w:eastAsia="Calibri" w:cs="Calibri"/>
        <w:sz w:val="18"/>
        <w:szCs w:val="18"/>
      </w:rPr>
    </w:pPr>
    <w:r>
      <w:rPr>
        <w:rFonts w:ascii="Calibri" w:hAnsi="Calibri" w:eastAsia="Calibri" w:cs="Calibri"/>
        <w:spacing w:val="-4"/>
        <w:sz w:val="18"/>
        <w:szCs w:val="18"/>
      </w:rPr>
      <w:t>182</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FFA38">
    <w:pPr>
      <w:spacing w:line="169" w:lineRule="auto"/>
      <w:ind w:left="4061"/>
      <w:rPr>
        <w:rFonts w:ascii="Calibri" w:hAnsi="Calibri" w:eastAsia="Calibri" w:cs="Calibri"/>
        <w:sz w:val="18"/>
        <w:szCs w:val="18"/>
      </w:rPr>
    </w:pPr>
    <w:r>
      <w:rPr>
        <w:rFonts w:ascii="Calibri" w:hAnsi="Calibri" w:eastAsia="Calibri" w:cs="Calibri"/>
        <w:spacing w:val="-4"/>
        <w:sz w:val="18"/>
        <w:szCs w:val="18"/>
      </w:rPr>
      <w:t>183</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900F2">
    <w:pPr>
      <w:spacing w:line="169" w:lineRule="auto"/>
      <w:ind w:left="4061"/>
      <w:rPr>
        <w:rFonts w:ascii="Calibri" w:hAnsi="Calibri" w:eastAsia="Calibri" w:cs="Calibri"/>
        <w:sz w:val="18"/>
        <w:szCs w:val="18"/>
      </w:rPr>
    </w:pPr>
    <w:r>
      <w:rPr>
        <w:rFonts w:ascii="Calibri" w:hAnsi="Calibri" w:eastAsia="Calibri" w:cs="Calibri"/>
        <w:spacing w:val="-4"/>
        <w:sz w:val="18"/>
        <w:szCs w:val="18"/>
      </w:rPr>
      <w:t>184</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359C8">
    <w:pPr>
      <w:spacing w:line="169" w:lineRule="auto"/>
      <w:ind w:left="4061"/>
      <w:rPr>
        <w:rFonts w:ascii="Calibri" w:hAnsi="Calibri" w:eastAsia="Calibri" w:cs="Calibri"/>
        <w:sz w:val="18"/>
        <w:szCs w:val="18"/>
      </w:rPr>
    </w:pPr>
    <w:r>
      <w:rPr>
        <w:rFonts w:ascii="Calibri" w:hAnsi="Calibri" w:eastAsia="Calibri" w:cs="Calibri"/>
        <w:spacing w:val="-4"/>
        <w:sz w:val="18"/>
        <w:szCs w:val="18"/>
      </w:rPr>
      <w:t>185</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D3FDC">
    <w:pPr>
      <w:spacing w:line="169" w:lineRule="auto"/>
      <w:ind w:left="4061"/>
      <w:rPr>
        <w:rFonts w:ascii="Calibri" w:hAnsi="Calibri" w:eastAsia="Calibri" w:cs="Calibri"/>
        <w:sz w:val="18"/>
        <w:szCs w:val="18"/>
      </w:rPr>
    </w:pPr>
    <w:r>
      <w:rPr>
        <w:rFonts w:ascii="Calibri" w:hAnsi="Calibri" w:eastAsia="Calibri" w:cs="Calibri"/>
        <w:spacing w:val="-4"/>
        <w:sz w:val="18"/>
        <w:szCs w:val="18"/>
      </w:rPr>
      <w:t>186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FF198">
    <w:pPr>
      <w:spacing w:line="169" w:lineRule="auto"/>
      <w:ind w:left="4106"/>
      <w:rPr>
        <w:rFonts w:ascii="Calibri" w:hAnsi="Calibri" w:eastAsia="Calibri" w:cs="Calibri"/>
        <w:sz w:val="18"/>
        <w:szCs w:val="18"/>
      </w:rPr>
    </w:pPr>
    <w:r>
      <w:rPr>
        <w:rFonts w:ascii="Calibri" w:hAnsi="Calibri" w:eastAsia="Calibri" w:cs="Calibri"/>
        <w:spacing w:val="-4"/>
        <w:sz w:val="18"/>
        <w:szCs w:val="18"/>
      </w:rPr>
      <w:t>16</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61529">
    <w:pPr>
      <w:spacing w:line="169" w:lineRule="auto"/>
      <w:ind w:left="4061"/>
      <w:rPr>
        <w:rFonts w:ascii="Calibri" w:hAnsi="Calibri" w:eastAsia="Calibri" w:cs="Calibri"/>
        <w:sz w:val="18"/>
        <w:szCs w:val="18"/>
      </w:rPr>
    </w:pPr>
    <w:r>
      <w:rPr>
        <w:rFonts w:ascii="Calibri" w:hAnsi="Calibri" w:eastAsia="Calibri" w:cs="Calibri"/>
        <w:spacing w:val="-4"/>
        <w:sz w:val="18"/>
        <w:szCs w:val="18"/>
      </w:rPr>
      <w:t>187</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1042D">
    <w:pPr>
      <w:spacing w:line="169" w:lineRule="auto"/>
      <w:ind w:left="4061"/>
      <w:rPr>
        <w:rFonts w:ascii="Calibri" w:hAnsi="Calibri" w:eastAsia="Calibri" w:cs="Calibri"/>
        <w:sz w:val="18"/>
        <w:szCs w:val="18"/>
      </w:rPr>
    </w:pPr>
    <w:r>
      <w:rPr>
        <w:rFonts w:ascii="Calibri" w:hAnsi="Calibri" w:eastAsia="Calibri" w:cs="Calibri"/>
        <w:spacing w:val="-4"/>
        <w:sz w:val="18"/>
        <w:szCs w:val="18"/>
      </w:rPr>
      <w:t>188</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ABAD2">
    <w:pPr>
      <w:spacing w:line="169" w:lineRule="auto"/>
      <w:ind w:left="4061"/>
      <w:rPr>
        <w:rFonts w:ascii="Calibri" w:hAnsi="Calibri" w:eastAsia="Calibri" w:cs="Calibri"/>
        <w:sz w:val="18"/>
        <w:szCs w:val="18"/>
      </w:rPr>
    </w:pPr>
    <w:r>
      <w:rPr>
        <w:rFonts w:ascii="Calibri" w:hAnsi="Calibri" w:eastAsia="Calibri" w:cs="Calibri"/>
        <w:spacing w:val="-4"/>
        <w:sz w:val="18"/>
        <w:szCs w:val="18"/>
      </w:rPr>
      <w:t>189</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AD47F">
    <w:pPr>
      <w:spacing w:line="169" w:lineRule="auto"/>
      <w:ind w:left="4061"/>
      <w:rPr>
        <w:rFonts w:ascii="Calibri" w:hAnsi="Calibri" w:eastAsia="Calibri" w:cs="Calibri"/>
        <w:sz w:val="18"/>
        <w:szCs w:val="18"/>
      </w:rPr>
    </w:pPr>
    <w:r>
      <w:rPr>
        <w:rFonts w:ascii="Calibri" w:hAnsi="Calibri" w:eastAsia="Calibri" w:cs="Calibri"/>
        <w:spacing w:val="-4"/>
        <w:sz w:val="18"/>
        <w:szCs w:val="18"/>
      </w:rPr>
      <w:t>190</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57AD6">
    <w:pPr>
      <w:spacing w:line="169" w:lineRule="auto"/>
      <w:ind w:left="4061"/>
      <w:rPr>
        <w:rFonts w:ascii="Calibri" w:hAnsi="Calibri" w:eastAsia="Calibri" w:cs="Calibri"/>
        <w:sz w:val="18"/>
        <w:szCs w:val="18"/>
      </w:rPr>
    </w:pPr>
    <w:r>
      <w:rPr>
        <w:rFonts w:ascii="Calibri" w:hAnsi="Calibri" w:eastAsia="Calibri" w:cs="Calibri"/>
        <w:spacing w:val="-4"/>
        <w:sz w:val="18"/>
        <w:szCs w:val="18"/>
      </w:rPr>
      <w:t>191</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F4F5B">
    <w:pPr>
      <w:spacing w:line="169" w:lineRule="auto"/>
      <w:ind w:left="4061"/>
      <w:rPr>
        <w:rFonts w:ascii="Calibri" w:hAnsi="Calibri" w:eastAsia="Calibri" w:cs="Calibri"/>
        <w:sz w:val="18"/>
        <w:szCs w:val="18"/>
      </w:rPr>
    </w:pPr>
    <w:r>
      <w:rPr>
        <w:rFonts w:ascii="Calibri" w:hAnsi="Calibri" w:eastAsia="Calibri" w:cs="Calibri"/>
        <w:spacing w:val="-4"/>
        <w:sz w:val="18"/>
        <w:szCs w:val="18"/>
      </w:rPr>
      <w:t>192</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EB097">
    <w:pPr>
      <w:spacing w:line="169" w:lineRule="auto"/>
      <w:ind w:left="4061"/>
      <w:rPr>
        <w:rFonts w:ascii="Calibri" w:hAnsi="Calibri" w:eastAsia="Calibri" w:cs="Calibri"/>
        <w:sz w:val="18"/>
        <w:szCs w:val="18"/>
      </w:rPr>
    </w:pPr>
    <w:r>
      <w:rPr>
        <w:rFonts w:ascii="Calibri" w:hAnsi="Calibri" w:eastAsia="Calibri" w:cs="Calibri"/>
        <w:spacing w:val="-4"/>
        <w:sz w:val="18"/>
        <w:szCs w:val="18"/>
      </w:rPr>
      <w:t>193</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7659E">
    <w:pPr>
      <w:spacing w:line="169" w:lineRule="auto"/>
      <w:ind w:left="4061"/>
      <w:rPr>
        <w:rFonts w:ascii="Calibri" w:hAnsi="Calibri" w:eastAsia="Calibri" w:cs="Calibri"/>
        <w:sz w:val="18"/>
        <w:szCs w:val="18"/>
      </w:rPr>
    </w:pPr>
    <w:r>
      <w:rPr>
        <w:rFonts w:ascii="Calibri" w:hAnsi="Calibri" w:eastAsia="Calibri" w:cs="Calibri"/>
        <w:spacing w:val="-4"/>
        <w:sz w:val="18"/>
        <w:szCs w:val="18"/>
      </w:rPr>
      <w:t>194</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BD1EC">
    <w:pPr>
      <w:spacing w:line="169" w:lineRule="auto"/>
      <w:ind w:left="4061"/>
      <w:rPr>
        <w:rFonts w:ascii="Calibri" w:hAnsi="Calibri" w:eastAsia="Calibri" w:cs="Calibri"/>
        <w:sz w:val="18"/>
        <w:szCs w:val="18"/>
      </w:rPr>
    </w:pPr>
    <w:r>
      <w:rPr>
        <w:rFonts w:ascii="Calibri" w:hAnsi="Calibri" w:eastAsia="Calibri" w:cs="Calibri"/>
        <w:spacing w:val="-4"/>
        <w:sz w:val="18"/>
        <w:szCs w:val="18"/>
      </w:rPr>
      <w:t>195</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D3D2">
    <w:pPr>
      <w:spacing w:line="169" w:lineRule="auto"/>
      <w:ind w:left="4061"/>
      <w:rPr>
        <w:rFonts w:ascii="Calibri" w:hAnsi="Calibri" w:eastAsia="Calibri" w:cs="Calibri"/>
        <w:sz w:val="18"/>
        <w:szCs w:val="18"/>
      </w:rPr>
    </w:pPr>
    <w:r>
      <w:rPr>
        <w:rFonts w:ascii="Calibri" w:hAnsi="Calibri" w:eastAsia="Calibri" w:cs="Calibri"/>
        <w:spacing w:val="-4"/>
        <w:sz w:val="18"/>
        <w:szCs w:val="18"/>
      </w:rPr>
      <w:t>196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553B">
    <w:pPr>
      <w:spacing w:line="168" w:lineRule="auto"/>
      <w:ind w:left="4152"/>
      <w:rPr>
        <w:rFonts w:ascii="Calibri" w:hAnsi="Calibri" w:eastAsia="Calibri" w:cs="Calibri"/>
        <w:sz w:val="18"/>
        <w:szCs w:val="18"/>
      </w:rPr>
    </w:pPr>
    <w:r>
      <w:rPr>
        <w:rFonts w:ascii="Calibri" w:hAnsi="Calibri" w:eastAsia="Calibri" w:cs="Calibri"/>
        <w:spacing w:val="-4"/>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667A9">
    <w:pPr>
      <w:spacing w:line="168" w:lineRule="auto"/>
      <w:ind w:left="4106"/>
      <w:rPr>
        <w:rFonts w:ascii="Calibri" w:hAnsi="Calibri" w:eastAsia="Calibri" w:cs="Calibri"/>
        <w:sz w:val="18"/>
        <w:szCs w:val="18"/>
      </w:rPr>
    </w:pPr>
    <w:r>
      <w:rPr>
        <w:rFonts w:ascii="Calibri" w:hAnsi="Calibri" w:eastAsia="Calibri" w:cs="Calibri"/>
        <w:spacing w:val="-4"/>
        <w:sz w:val="18"/>
        <w:szCs w:val="18"/>
      </w:rPr>
      <w:t>17</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D9032">
    <w:pPr>
      <w:spacing w:line="169" w:lineRule="auto"/>
      <w:ind w:left="4061"/>
      <w:rPr>
        <w:rFonts w:ascii="Calibri" w:hAnsi="Calibri" w:eastAsia="Calibri" w:cs="Calibri"/>
        <w:sz w:val="18"/>
        <w:szCs w:val="18"/>
      </w:rPr>
    </w:pPr>
    <w:r>
      <w:rPr>
        <w:rFonts w:ascii="Calibri" w:hAnsi="Calibri" w:eastAsia="Calibri" w:cs="Calibri"/>
        <w:spacing w:val="-4"/>
        <w:sz w:val="18"/>
        <w:szCs w:val="18"/>
      </w:rPr>
      <w:t>197</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5B638">
    <w:pPr>
      <w:spacing w:line="169" w:lineRule="auto"/>
      <w:ind w:left="4061"/>
      <w:rPr>
        <w:rFonts w:ascii="Calibri" w:hAnsi="Calibri" w:eastAsia="Calibri" w:cs="Calibri"/>
        <w:sz w:val="18"/>
        <w:szCs w:val="18"/>
      </w:rPr>
    </w:pPr>
    <w:r>
      <w:rPr>
        <w:rFonts w:ascii="Calibri" w:hAnsi="Calibri" w:eastAsia="Calibri" w:cs="Calibri"/>
        <w:spacing w:val="-4"/>
        <w:sz w:val="18"/>
        <w:szCs w:val="18"/>
      </w:rPr>
      <w:t>198</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3A97A">
    <w:pPr>
      <w:spacing w:line="169" w:lineRule="auto"/>
      <w:ind w:left="4061"/>
      <w:rPr>
        <w:rFonts w:ascii="Calibri" w:hAnsi="Calibri" w:eastAsia="Calibri" w:cs="Calibri"/>
        <w:sz w:val="18"/>
        <w:szCs w:val="18"/>
      </w:rPr>
    </w:pPr>
    <w:r>
      <w:rPr>
        <w:rFonts w:ascii="Calibri" w:hAnsi="Calibri" w:eastAsia="Calibri" w:cs="Calibri"/>
        <w:spacing w:val="-4"/>
        <w:sz w:val="18"/>
        <w:szCs w:val="18"/>
      </w:rPr>
      <w:t>199</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F36F7">
    <w:pPr>
      <w:spacing w:line="169" w:lineRule="auto"/>
      <w:ind w:left="4056"/>
      <w:rPr>
        <w:rFonts w:ascii="Calibri" w:hAnsi="Calibri" w:eastAsia="Calibri" w:cs="Calibri"/>
        <w:sz w:val="18"/>
        <w:szCs w:val="18"/>
      </w:rPr>
    </w:pPr>
    <w:r>
      <w:rPr>
        <w:rFonts w:ascii="Calibri" w:hAnsi="Calibri" w:eastAsia="Calibri" w:cs="Calibri"/>
        <w:spacing w:val="-3"/>
        <w:sz w:val="18"/>
        <w:szCs w:val="18"/>
      </w:rPr>
      <w:t>200</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2DC19">
    <w:pPr>
      <w:spacing w:line="169" w:lineRule="auto"/>
      <w:ind w:left="4056"/>
      <w:rPr>
        <w:rFonts w:ascii="Calibri" w:hAnsi="Calibri" w:eastAsia="Calibri" w:cs="Calibri"/>
        <w:sz w:val="18"/>
        <w:szCs w:val="18"/>
      </w:rPr>
    </w:pPr>
    <w:r>
      <w:rPr>
        <w:rFonts w:ascii="Calibri" w:hAnsi="Calibri" w:eastAsia="Calibri" w:cs="Calibri"/>
        <w:spacing w:val="-3"/>
        <w:sz w:val="18"/>
        <w:szCs w:val="18"/>
      </w:rPr>
      <w:t>201</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7EBF">
    <w:pPr>
      <w:spacing w:line="169" w:lineRule="auto"/>
      <w:ind w:left="4056"/>
      <w:rPr>
        <w:rFonts w:ascii="Calibri" w:hAnsi="Calibri" w:eastAsia="Calibri" w:cs="Calibri"/>
        <w:sz w:val="18"/>
        <w:szCs w:val="18"/>
      </w:rPr>
    </w:pPr>
    <w:r>
      <w:rPr>
        <w:rFonts w:ascii="Calibri" w:hAnsi="Calibri" w:eastAsia="Calibri" w:cs="Calibri"/>
        <w:spacing w:val="-3"/>
        <w:sz w:val="18"/>
        <w:szCs w:val="18"/>
      </w:rPr>
      <w:t>202</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E2BF4">
    <w:pPr>
      <w:spacing w:line="169" w:lineRule="auto"/>
      <w:ind w:left="4056"/>
      <w:rPr>
        <w:rFonts w:ascii="Calibri" w:hAnsi="Calibri" w:eastAsia="Calibri" w:cs="Calibri"/>
        <w:sz w:val="18"/>
        <w:szCs w:val="18"/>
      </w:rPr>
    </w:pPr>
    <w:r>
      <w:rPr>
        <w:rFonts w:ascii="Calibri" w:hAnsi="Calibri" w:eastAsia="Calibri" w:cs="Calibri"/>
        <w:spacing w:val="-3"/>
        <w:sz w:val="18"/>
        <w:szCs w:val="18"/>
      </w:rPr>
      <w:t>203</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99B3B">
    <w:pPr>
      <w:spacing w:line="169" w:lineRule="auto"/>
      <w:ind w:left="4056"/>
      <w:rPr>
        <w:rFonts w:ascii="Calibri" w:hAnsi="Calibri" w:eastAsia="Calibri" w:cs="Calibri"/>
        <w:sz w:val="18"/>
        <w:szCs w:val="18"/>
      </w:rPr>
    </w:pPr>
    <w:r>
      <w:rPr>
        <w:rFonts w:ascii="Calibri" w:hAnsi="Calibri" w:eastAsia="Calibri" w:cs="Calibri"/>
        <w:spacing w:val="-3"/>
        <w:sz w:val="18"/>
        <w:szCs w:val="18"/>
      </w:rPr>
      <w:t>204</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BD0BC">
    <w:pPr>
      <w:spacing w:line="169" w:lineRule="auto"/>
      <w:ind w:left="4056"/>
      <w:rPr>
        <w:rFonts w:ascii="Calibri" w:hAnsi="Calibri" w:eastAsia="Calibri" w:cs="Calibri"/>
        <w:sz w:val="18"/>
        <w:szCs w:val="18"/>
      </w:rPr>
    </w:pPr>
    <w:r>
      <w:rPr>
        <w:rFonts w:ascii="Calibri" w:hAnsi="Calibri" w:eastAsia="Calibri" w:cs="Calibri"/>
        <w:spacing w:val="-3"/>
        <w:sz w:val="18"/>
        <w:szCs w:val="18"/>
      </w:rPr>
      <w:t>205</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7FFCD">
    <w:pPr>
      <w:spacing w:line="169" w:lineRule="auto"/>
      <w:ind w:left="4056"/>
      <w:rPr>
        <w:rFonts w:ascii="Calibri" w:hAnsi="Calibri" w:eastAsia="Calibri" w:cs="Calibri"/>
        <w:sz w:val="18"/>
        <w:szCs w:val="18"/>
      </w:rPr>
    </w:pPr>
    <w:r>
      <w:rPr>
        <w:rFonts w:ascii="Calibri" w:hAnsi="Calibri" w:eastAsia="Calibri" w:cs="Calibri"/>
        <w:spacing w:val="-3"/>
        <w:sz w:val="18"/>
        <w:szCs w:val="18"/>
      </w:rPr>
      <w:t>206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7B990">
    <w:pPr>
      <w:spacing w:line="169" w:lineRule="auto"/>
      <w:ind w:left="4106"/>
      <w:rPr>
        <w:rFonts w:ascii="Calibri" w:hAnsi="Calibri" w:eastAsia="Calibri" w:cs="Calibri"/>
        <w:sz w:val="18"/>
        <w:szCs w:val="18"/>
      </w:rPr>
    </w:pPr>
    <w:r>
      <w:rPr>
        <w:rFonts w:ascii="Calibri" w:hAnsi="Calibri" w:eastAsia="Calibri" w:cs="Calibri"/>
        <w:spacing w:val="-4"/>
        <w:sz w:val="18"/>
        <w:szCs w:val="18"/>
      </w:rPr>
      <w:t>18</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D4E25">
    <w:pPr>
      <w:spacing w:line="169" w:lineRule="auto"/>
      <w:ind w:left="4056"/>
      <w:rPr>
        <w:rFonts w:ascii="Calibri" w:hAnsi="Calibri" w:eastAsia="Calibri" w:cs="Calibri"/>
        <w:sz w:val="18"/>
        <w:szCs w:val="18"/>
      </w:rPr>
    </w:pPr>
    <w:r>
      <w:rPr>
        <w:rFonts w:ascii="Calibri" w:hAnsi="Calibri" w:eastAsia="Calibri" w:cs="Calibri"/>
        <w:spacing w:val="-3"/>
        <w:sz w:val="18"/>
        <w:szCs w:val="18"/>
      </w:rPr>
      <w:t>207</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989DA">
    <w:pPr>
      <w:spacing w:line="169" w:lineRule="auto"/>
      <w:ind w:left="4056"/>
      <w:rPr>
        <w:rFonts w:ascii="Calibri" w:hAnsi="Calibri" w:eastAsia="Calibri" w:cs="Calibri"/>
        <w:sz w:val="18"/>
        <w:szCs w:val="18"/>
      </w:rPr>
    </w:pPr>
    <w:r>
      <w:rPr>
        <w:rFonts w:ascii="Calibri" w:hAnsi="Calibri" w:eastAsia="Calibri" w:cs="Calibri"/>
        <w:spacing w:val="-3"/>
        <w:sz w:val="18"/>
        <w:szCs w:val="18"/>
      </w:rPr>
      <w:t>208</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5B5A6">
    <w:pPr>
      <w:spacing w:line="169" w:lineRule="auto"/>
      <w:ind w:left="4056"/>
      <w:rPr>
        <w:rFonts w:ascii="Calibri" w:hAnsi="Calibri" w:eastAsia="Calibri" w:cs="Calibri"/>
        <w:sz w:val="18"/>
        <w:szCs w:val="18"/>
      </w:rPr>
    </w:pPr>
    <w:r>
      <w:rPr>
        <w:rFonts w:ascii="Calibri" w:hAnsi="Calibri" w:eastAsia="Calibri" w:cs="Calibri"/>
        <w:spacing w:val="-3"/>
        <w:sz w:val="18"/>
        <w:szCs w:val="18"/>
      </w:rPr>
      <w:t>209</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767E">
    <w:pPr>
      <w:spacing w:line="169" w:lineRule="auto"/>
      <w:ind w:left="4056"/>
      <w:rPr>
        <w:rFonts w:ascii="Calibri" w:hAnsi="Calibri" w:eastAsia="Calibri" w:cs="Calibri"/>
        <w:sz w:val="18"/>
        <w:szCs w:val="18"/>
      </w:rPr>
    </w:pPr>
    <w:r>
      <w:rPr>
        <w:rFonts w:ascii="Calibri" w:hAnsi="Calibri" w:eastAsia="Calibri" w:cs="Calibri"/>
        <w:spacing w:val="-3"/>
        <w:sz w:val="18"/>
        <w:szCs w:val="18"/>
      </w:rPr>
      <w:t>210</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8D944">
    <w:pPr>
      <w:spacing w:line="169" w:lineRule="auto"/>
      <w:ind w:left="4056"/>
      <w:rPr>
        <w:rFonts w:ascii="Calibri" w:hAnsi="Calibri" w:eastAsia="Calibri" w:cs="Calibri"/>
        <w:sz w:val="18"/>
        <w:szCs w:val="18"/>
      </w:rPr>
    </w:pPr>
    <w:r>
      <w:rPr>
        <w:rFonts w:ascii="Calibri" w:hAnsi="Calibri" w:eastAsia="Calibri" w:cs="Calibri"/>
        <w:spacing w:val="-3"/>
        <w:sz w:val="18"/>
        <w:szCs w:val="18"/>
      </w:rPr>
      <w:t>211</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56D0">
    <w:pPr>
      <w:spacing w:line="169" w:lineRule="auto"/>
      <w:ind w:left="4056"/>
      <w:rPr>
        <w:rFonts w:ascii="Calibri" w:hAnsi="Calibri" w:eastAsia="Calibri" w:cs="Calibri"/>
        <w:sz w:val="18"/>
        <w:szCs w:val="18"/>
      </w:rPr>
    </w:pPr>
    <w:r>
      <w:rPr>
        <w:rFonts w:ascii="Calibri" w:hAnsi="Calibri" w:eastAsia="Calibri" w:cs="Calibri"/>
        <w:spacing w:val="-3"/>
        <w:sz w:val="18"/>
        <w:szCs w:val="18"/>
      </w:rPr>
      <w:t>212</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1A240">
    <w:pPr>
      <w:spacing w:line="169" w:lineRule="auto"/>
      <w:ind w:left="4056"/>
      <w:rPr>
        <w:rFonts w:ascii="Calibri" w:hAnsi="Calibri" w:eastAsia="Calibri" w:cs="Calibri"/>
        <w:sz w:val="18"/>
        <w:szCs w:val="18"/>
      </w:rPr>
    </w:pPr>
    <w:r>
      <w:rPr>
        <w:rFonts w:ascii="Calibri" w:hAnsi="Calibri" w:eastAsia="Calibri" w:cs="Calibri"/>
        <w:spacing w:val="-3"/>
        <w:sz w:val="18"/>
        <w:szCs w:val="18"/>
      </w:rPr>
      <w:t>213</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CFD8E">
    <w:pPr>
      <w:spacing w:line="169" w:lineRule="auto"/>
      <w:ind w:left="4056"/>
      <w:rPr>
        <w:rFonts w:ascii="Calibri" w:hAnsi="Calibri" w:eastAsia="Calibri" w:cs="Calibri"/>
        <w:sz w:val="18"/>
        <w:szCs w:val="18"/>
      </w:rPr>
    </w:pPr>
    <w:r>
      <w:rPr>
        <w:rFonts w:ascii="Calibri" w:hAnsi="Calibri" w:eastAsia="Calibri" w:cs="Calibri"/>
        <w:spacing w:val="-3"/>
        <w:sz w:val="18"/>
        <w:szCs w:val="18"/>
      </w:rPr>
      <w:t>214</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AF448">
    <w:pPr>
      <w:spacing w:line="169" w:lineRule="auto"/>
      <w:ind w:left="4056"/>
      <w:rPr>
        <w:rFonts w:ascii="Calibri" w:hAnsi="Calibri" w:eastAsia="Calibri" w:cs="Calibri"/>
        <w:sz w:val="18"/>
        <w:szCs w:val="18"/>
      </w:rPr>
    </w:pPr>
    <w:r>
      <w:rPr>
        <w:rFonts w:ascii="Calibri" w:hAnsi="Calibri" w:eastAsia="Calibri" w:cs="Calibri"/>
        <w:spacing w:val="-3"/>
        <w:sz w:val="18"/>
        <w:szCs w:val="18"/>
      </w:rPr>
      <w:t>215</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30612">
    <w:pPr>
      <w:spacing w:line="169" w:lineRule="auto"/>
      <w:ind w:left="4056"/>
      <w:rPr>
        <w:rFonts w:ascii="Calibri" w:hAnsi="Calibri" w:eastAsia="Calibri" w:cs="Calibri"/>
        <w:sz w:val="18"/>
        <w:szCs w:val="18"/>
      </w:rPr>
    </w:pPr>
    <w:r>
      <w:rPr>
        <w:rFonts w:ascii="Calibri" w:hAnsi="Calibri" w:eastAsia="Calibri" w:cs="Calibri"/>
        <w:spacing w:val="-3"/>
        <w:sz w:val="18"/>
        <w:szCs w:val="18"/>
      </w:rPr>
      <w:t>216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05D33">
    <w:pPr>
      <w:spacing w:line="169" w:lineRule="auto"/>
      <w:ind w:left="4106"/>
      <w:rPr>
        <w:rFonts w:ascii="Calibri" w:hAnsi="Calibri" w:eastAsia="Calibri" w:cs="Calibri"/>
        <w:sz w:val="18"/>
        <w:szCs w:val="18"/>
      </w:rPr>
    </w:pPr>
    <w:r>
      <w:rPr>
        <w:rFonts w:ascii="Calibri" w:hAnsi="Calibri" w:eastAsia="Calibri" w:cs="Calibri"/>
        <w:spacing w:val="-4"/>
        <w:sz w:val="18"/>
        <w:szCs w:val="18"/>
      </w:rPr>
      <w:t>19</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98C86">
    <w:pPr>
      <w:spacing w:line="169" w:lineRule="auto"/>
      <w:ind w:left="4056"/>
      <w:rPr>
        <w:rFonts w:ascii="Calibri" w:hAnsi="Calibri" w:eastAsia="Calibri" w:cs="Calibri"/>
        <w:sz w:val="18"/>
        <w:szCs w:val="18"/>
      </w:rPr>
    </w:pPr>
    <w:r>
      <w:rPr>
        <w:rFonts w:ascii="Calibri" w:hAnsi="Calibri" w:eastAsia="Calibri" w:cs="Calibri"/>
        <w:spacing w:val="-3"/>
        <w:sz w:val="18"/>
        <w:szCs w:val="18"/>
      </w:rPr>
      <w:t>217</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FF16">
    <w:pPr>
      <w:spacing w:line="169" w:lineRule="auto"/>
      <w:ind w:left="4056"/>
      <w:rPr>
        <w:rFonts w:ascii="Calibri" w:hAnsi="Calibri" w:eastAsia="Calibri" w:cs="Calibri"/>
        <w:sz w:val="18"/>
        <w:szCs w:val="18"/>
      </w:rPr>
    </w:pPr>
    <w:r>
      <w:rPr>
        <w:rFonts w:ascii="Calibri" w:hAnsi="Calibri" w:eastAsia="Calibri" w:cs="Calibri"/>
        <w:spacing w:val="-3"/>
        <w:sz w:val="18"/>
        <w:szCs w:val="18"/>
      </w:rPr>
      <w:t>218</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72DAC">
    <w:pPr>
      <w:spacing w:line="169" w:lineRule="auto"/>
      <w:ind w:left="4056"/>
      <w:rPr>
        <w:rFonts w:ascii="Calibri" w:hAnsi="Calibri" w:eastAsia="Calibri" w:cs="Calibri"/>
        <w:sz w:val="18"/>
        <w:szCs w:val="18"/>
      </w:rPr>
    </w:pPr>
    <w:r>
      <w:rPr>
        <w:rFonts w:ascii="Calibri" w:hAnsi="Calibri" w:eastAsia="Calibri" w:cs="Calibri"/>
        <w:spacing w:val="-3"/>
        <w:sz w:val="18"/>
        <w:szCs w:val="18"/>
      </w:rPr>
      <w:t>219</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A32D0">
    <w:pPr>
      <w:spacing w:line="169" w:lineRule="auto"/>
      <w:ind w:left="4056"/>
      <w:rPr>
        <w:rFonts w:ascii="Calibri" w:hAnsi="Calibri" w:eastAsia="Calibri" w:cs="Calibri"/>
        <w:sz w:val="18"/>
        <w:szCs w:val="18"/>
      </w:rPr>
    </w:pPr>
    <w:r>
      <w:rPr>
        <w:rFonts w:ascii="Calibri" w:hAnsi="Calibri" w:eastAsia="Calibri" w:cs="Calibri"/>
        <w:spacing w:val="-3"/>
        <w:sz w:val="18"/>
        <w:szCs w:val="18"/>
      </w:rPr>
      <w:t>220</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2E9C7">
    <w:pPr>
      <w:spacing w:line="169" w:lineRule="auto"/>
      <w:ind w:left="4056"/>
      <w:rPr>
        <w:rFonts w:ascii="Calibri" w:hAnsi="Calibri" w:eastAsia="Calibri" w:cs="Calibri"/>
        <w:sz w:val="18"/>
        <w:szCs w:val="18"/>
      </w:rPr>
    </w:pPr>
    <w:r>
      <w:rPr>
        <w:rFonts w:ascii="Calibri" w:hAnsi="Calibri" w:eastAsia="Calibri" w:cs="Calibri"/>
        <w:spacing w:val="-3"/>
        <w:sz w:val="18"/>
        <w:szCs w:val="18"/>
      </w:rPr>
      <w:t>221</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4875">
    <w:pPr>
      <w:spacing w:line="169" w:lineRule="auto"/>
      <w:ind w:left="4056"/>
      <w:rPr>
        <w:rFonts w:ascii="Calibri" w:hAnsi="Calibri" w:eastAsia="Calibri" w:cs="Calibri"/>
        <w:sz w:val="18"/>
        <w:szCs w:val="18"/>
      </w:rPr>
    </w:pPr>
    <w:r>
      <w:rPr>
        <w:rFonts w:ascii="Calibri" w:hAnsi="Calibri" w:eastAsia="Calibri" w:cs="Calibri"/>
        <w:spacing w:val="-3"/>
        <w:sz w:val="18"/>
        <w:szCs w:val="18"/>
      </w:rPr>
      <w:t>222</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DA825">
    <w:pPr>
      <w:spacing w:line="169" w:lineRule="auto"/>
      <w:ind w:left="4056"/>
      <w:rPr>
        <w:rFonts w:ascii="Calibri" w:hAnsi="Calibri" w:eastAsia="Calibri" w:cs="Calibri"/>
        <w:sz w:val="18"/>
        <w:szCs w:val="18"/>
      </w:rPr>
    </w:pPr>
    <w:r>
      <w:rPr>
        <w:rFonts w:ascii="Calibri" w:hAnsi="Calibri" w:eastAsia="Calibri" w:cs="Calibri"/>
        <w:spacing w:val="-3"/>
        <w:sz w:val="18"/>
        <w:szCs w:val="18"/>
      </w:rPr>
      <w:t>223</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DF067">
    <w:pPr>
      <w:spacing w:line="169" w:lineRule="auto"/>
      <w:ind w:left="4056"/>
      <w:rPr>
        <w:rFonts w:ascii="Calibri" w:hAnsi="Calibri" w:eastAsia="Calibri" w:cs="Calibri"/>
        <w:sz w:val="18"/>
        <w:szCs w:val="18"/>
      </w:rPr>
    </w:pPr>
    <w:r>
      <w:rPr>
        <w:rFonts w:ascii="Calibri" w:hAnsi="Calibri" w:eastAsia="Calibri" w:cs="Calibri"/>
        <w:spacing w:val="-3"/>
        <w:sz w:val="18"/>
        <w:szCs w:val="18"/>
      </w:rPr>
      <w:t>224</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B2300">
    <w:pPr>
      <w:spacing w:line="169" w:lineRule="auto"/>
      <w:ind w:left="4056"/>
      <w:rPr>
        <w:rFonts w:ascii="Calibri" w:hAnsi="Calibri" w:eastAsia="Calibri" w:cs="Calibri"/>
        <w:sz w:val="18"/>
        <w:szCs w:val="18"/>
      </w:rPr>
    </w:pPr>
    <w:r>
      <w:rPr>
        <w:rFonts w:ascii="Calibri" w:hAnsi="Calibri" w:eastAsia="Calibri" w:cs="Calibri"/>
        <w:spacing w:val="-3"/>
        <w:sz w:val="18"/>
        <w:szCs w:val="18"/>
      </w:rPr>
      <w:t>225</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2459">
    <w:pPr>
      <w:spacing w:line="169" w:lineRule="auto"/>
      <w:ind w:left="4056"/>
      <w:rPr>
        <w:rFonts w:ascii="Calibri" w:hAnsi="Calibri" w:eastAsia="Calibri" w:cs="Calibri"/>
        <w:sz w:val="18"/>
        <w:szCs w:val="18"/>
      </w:rPr>
    </w:pPr>
    <w:r>
      <w:rPr>
        <w:rFonts w:ascii="Calibri" w:hAnsi="Calibri" w:eastAsia="Calibri" w:cs="Calibri"/>
        <w:spacing w:val="-3"/>
        <w:sz w:val="18"/>
        <w:szCs w:val="18"/>
      </w:rPr>
      <w:t>226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1EF0F">
    <w:pPr>
      <w:spacing w:line="169" w:lineRule="auto"/>
      <w:ind w:left="4100"/>
      <w:rPr>
        <w:rFonts w:ascii="Calibri" w:hAnsi="Calibri" w:eastAsia="Calibri" w:cs="Calibri"/>
        <w:sz w:val="18"/>
        <w:szCs w:val="18"/>
      </w:rPr>
    </w:pPr>
    <w:r>
      <w:rPr>
        <w:rFonts w:ascii="Calibri" w:hAnsi="Calibri" w:eastAsia="Calibri" w:cs="Calibri"/>
        <w:spacing w:val="-3"/>
        <w:sz w:val="18"/>
        <w:szCs w:val="18"/>
      </w:rPr>
      <w:t>20</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1795">
    <w:pPr>
      <w:spacing w:line="169" w:lineRule="auto"/>
      <w:ind w:left="4056"/>
      <w:rPr>
        <w:rFonts w:ascii="Calibri" w:hAnsi="Calibri" w:eastAsia="Calibri" w:cs="Calibri"/>
        <w:sz w:val="18"/>
        <w:szCs w:val="18"/>
      </w:rPr>
    </w:pPr>
    <w:r>
      <w:rPr>
        <w:rFonts w:ascii="Calibri" w:hAnsi="Calibri" w:eastAsia="Calibri" w:cs="Calibri"/>
        <w:spacing w:val="-3"/>
        <w:sz w:val="18"/>
        <w:szCs w:val="18"/>
      </w:rPr>
      <w:t>227</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61488">
    <w:pPr>
      <w:spacing w:line="169" w:lineRule="auto"/>
      <w:ind w:left="4056"/>
      <w:rPr>
        <w:rFonts w:ascii="Calibri" w:hAnsi="Calibri" w:eastAsia="Calibri" w:cs="Calibri"/>
        <w:sz w:val="18"/>
        <w:szCs w:val="18"/>
      </w:rPr>
    </w:pPr>
    <w:r>
      <w:rPr>
        <w:rFonts w:ascii="Calibri" w:hAnsi="Calibri" w:eastAsia="Calibri" w:cs="Calibri"/>
        <w:spacing w:val="-3"/>
        <w:sz w:val="18"/>
        <w:szCs w:val="18"/>
      </w:rPr>
      <w:t>228</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8DB09">
    <w:pPr>
      <w:spacing w:line="169" w:lineRule="auto"/>
      <w:ind w:left="4056"/>
      <w:rPr>
        <w:rFonts w:ascii="Calibri" w:hAnsi="Calibri" w:eastAsia="Calibri" w:cs="Calibri"/>
        <w:sz w:val="18"/>
        <w:szCs w:val="18"/>
      </w:rPr>
    </w:pPr>
    <w:r>
      <w:rPr>
        <w:rFonts w:ascii="Calibri" w:hAnsi="Calibri" w:eastAsia="Calibri" w:cs="Calibri"/>
        <w:spacing w:val="-3"/>
        <w:sz w:val="18"/>
        <w:szCs w:val="18"/>
      </w:rPr>
      <w:t>229</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E9D0">
    <w:pPr>
      <w:spacing w:line="169" w:lineRule="auto"/>
      <w:ind w:left="4056"/>
      <w:rPr>
        <w:rFonts w:ascii="Calibri" w:hAnsi="Calibri" w:eastAsia="Calibri" w:cs="Calibri"/>
        <w:sz w:val="18"/>
        <w:szCs w:val="18"/>
      </w:rPr>
    </w:pPr>
    <w:r>
      <w:rPr>
        <w:rFonts w:ascii="Calibri" w:hAnsi="Calibri" w:eastAsia="Calibri" w:cs="Calibri"/>
        <w:spacing w:val="-3"/>
        <w:sz w:val="18"/>
        <w:szCs w:val="18"/>
      </w:rPr>
      <w:t>230</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5C011">
    <w:pPr>
      <w:spacing w:line="169" w:lineRule="auto"/>
      <w:ind w:left="4056"/>
      <w:rPr>
        <w:rFonts w:ascii="Calibri" w:hAnsi="Calibri" w:eastAsia="Calibri" w:cs="Calibri"/>
        <w:sz w:val="18"/>
        <w:szCs w:val="18"/>
      </w:rPr>
    </w:pPr>
    <w:r>
      <w:rPr>
        <w:rFonts w:ascii="Calibri" w:hAnsi="Calibri" w:eastAsia="Calibri" w:cs="Calibri"/>
        <w:spacing w:val="-3"/>
        <w:sz w:val="18"/>
        <w:szCs w:val="18"/>
      </w:rPr>
      <w:t>231</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6F662">
    <w:pPr>
      <w:spacing w:line="169" w:lineRule="auto"/>
      <w:ind w:left="4056"/>
      <w:rPr>
        <w:rFonts w:ascii="Calibri" w:hAnsi="Calibri" w:eastAsia="Calibri" w:cs="Calibri"/>
        <w:sz w:val="18"/>
        <w:szCs w:val="18"/>
      </w:rPr>
    </w:pPr>
    <w:r>
      <w:rPr>
        <w:rFonts w:ascii="Calibri" w:hAnsi="Calibri" w:eastAsia="Calibri" w:cs="Calibri"/>
        <w:spacing w:val="-3"/>
        <w:sz w:val="18"/>
        <w:szCs w:val="18"/>
      </w:rPr>
      <w:t>232</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13185">
    <w:pPr>
      <w:spacing w:line="169" w:lineRule="auto"/>
      <w:ind w:left="4056"/>
      <w:rPr>
        <w:rFonts w:ascii="Calibri" w:hAnsi="Calibri" w:eastAsia="Calibri" w:cs="Calibri"/>
        <w:sz w:val="18"/>
        <w:szCs w:val="18"/>
      </w:rPr>
    </w:pPr>
    <w:r>
      <w:rPr>
        <w:rFonts w:ascii="Calibri" w:hAnsi="Calibri" w:eastAsia="Calibri" w:cs="Calibri"/>
        <w:spacing w:val="-3"/>
        <w:sz w:val="18"/>
        <w:szCs w:val="18"/>
      </w:rPr>
      <w:t>233</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096D4">
    <w:pPr>
      <w:spacing w:line="169" w:lineRule="auto"/>
      <w:ind w:left="4056"/>
      <w:rPr>
        <w:rFonts w:ascii="Calibri" w:hAnsi="Calibri" w:eastAsia="Calibri" w:cs="Calibri"/>
        <w:sz w:val="18"/>
        <w:szCs w:val="18"/>
      </w:rPr>
    </w:pPr>
    <w:r>
      <w:rPr>
        <w:rFonts w:ascii="Calibri" w:hAnsi="Calibri" w:eastAsia="Calibri" w:cs="Calibri"/>
        <w:spacing w:val="-3"/>
        <w:sz w:val="18"/>
        <w:szCs w:val="18"/>
      </w:rPr>
      <w:t>234</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E4C75">
    <w:pPr>
      <w:spacing w:line="169" w:lineRule="auto"/>
      <w:ind w:left="4056"/>
      <w:rPr>
        <w:rFonts w:ascii="Calibri" w:hAnsi="Calibri" w:eastAsia="Calibri" w:cs="Calibri"/>
        <w:sz w:val="18"/>
        <w:szCs w:val="18"/>
      </w:rPr>
    </w:pPr>
    <w:r>
      <w:rPr>
        <w:rFonts w:ascii="Calibri" w:hAnsi="Calibri" w:eastAsia="Calibri" w:cs="Calibri"/>
        <w:spacing w:val="-3"/>
        <w:sz w:val="18"/>
        <w:szCs w:val="18"/>
      </w:rPr>
      <w:t>235</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95097">
    <w:pPr>
      <w:spacing w:line="169" w:lineRule="auto"/>
      <w:ind w:left="4056"/>
      <w:rPr>
        <w:rFonts w:ascii="Calibri" w:hAnsi="Calibri" w:eastAsia="Calibri" w:cs="Calibri"/>
        <w:sz w:val="18"/>
        <w:szCs w:val="18"/>
      </w:rPr>
    </w:pPr>
    <w:r>
      <w:rPr>
        <w:rFonts w:ascii="Calibri" w:hAnsi="Calibri" w:eastAsia="Calibri" w:cs="Calibri"/>
        <w:spacing w:val="-3"/>
        <w:sz w:val="18"/>
        <w:szCs w:val="18"/>
      </w:rPr>
      <w:t>236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A6CE0">
    <w:pPr>
      <w:spacing w:line="169" w:lineRule="auto"/>
      <w:ind w:left="4100"/>
      <w:rPr>
        <w:rFonts w:ascii="Calibri" w:hAnsi="Calibri" w:eastAsia="Calibri" w:cs="Calibri"/>
        <w:sz w:val="18"/>
        <w:szCs w:val="18"/>
      </w:rPr>
    </w:pPr>
    <w:r>
      <w:rPr>
        <w:rFonts w:ascii="Calibri" w:hAnsi="Calibri" w:eastAsia="Calibri" w:cs="Calibri"/>
        <w:spacing w:val="-3"/>
        <w:sz w:val="18"/>
        <w:szCs w:val="18"/>
      </w:rPr>
      <w:t>21</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DFBD">
    <w:pPr>
      <w:spacing w:line="169" w:lineRule="auto"/>
      <w:ind w:left="4056"/>
      <w:rPr>
        <w:rFonts w:ascii="Calibri" w:hAnsi="Calibri" w:eastAsia="Calibri" w:cs="Calibri"/>
        <w:sz w:val="18"/>
        <w:szCs w:val="18"/>
      </w:rPr>
    </w:pPr>
    <w:r>
      <w:rPr>
        <w:rFonts w:ascii="Calibri" w:hAnsi="Calibri" w:eastAsia="Calibri" w:cs="Calibri"/>
        <w:spacing w:val="-3"/>
        <w:sz w:val="18"/>
        <w:szCs w:val="18"/>
      </w:rPr>
      <w:t>237</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871B1">
    <w:pPr>
      <w:spacing w:line="169" w:lineRule="auto"/>
      <w:ind w:left="4056"/>
      <w:rPr>
        <w:rFonts w:ascii="Calibri" w:hAnsi="Calibri" w:eastAsia="Calibri" w:cs="Calibri"/>
        <w:sz w:val="18"/>
        <w:szCs w:val="18"/>
      </w:rPr>
    </w:pPr>
    <w:r>
      <w:rPr>
        <w:rFonts w:ascii="Calibri" w:hAnsi="Calibri" w:eastAsia="Calibri" w:cs="Calibri"/>
        <w:spacing w:val="-3"/>
        <w:sz w:val="18"/>
        <w:szCs w:val="18"/>
      </w:rPr>
      <w:t>238</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B12F0">
    <w:pPr>
      <w:spacing w:line="169" w:lineRule="auto"/>
      <w:ind w:left="4056"/>
      <w:rPr>
        <w:rFonts w:ascii="Calibri" w:hAnsi="Calibri" w:eastAsia="Calibri" w:cs="Calibri"/>
        <w:sz w:val="18"/>
        <w:szCs w:val="18"/>
      </w:rPr>
    </w:pPr>
    <w:r>
      <w:rPr>
        <w:rFonts w:ascii="Calibri" w:hAnsi="Calibri" w:eastAsia="Calibri" w:cs="Calibri"/>
        <w:spacing w:val="-3"/>
        <w:sz w:val="18"/>
        <w:szCs w:val="18"/>
      </w:rPr>
      <w:t>239</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68461">
    <w:pPr>
      <w:spacing w:line="169" w:lineRule="auto"/>
      <w:ind w:left="4056"/>
      <w:rPr>
        <w:rFonts w:ascii="Calibri" w:hAnsi="Calibri" w:eastAsia="Calibri" w:cs="Calibri"/>
        <w:sz w:val="18"/>
        <w:szCs w:val="18"/>
      </w:rPr>
    </w:pPr>
    <w:r>
      <w:rPr>
        <w:rFonts w:ascii="Calibri" w:hAnsi="Calibri" w:eastAsia="Calibri" w:cs="Calibri"/>
        <w:spacing w:val="-3"/>
        <w:sz w:val="18"/>
        <w:szCs w:val="18"/>
      </w:rPr>
      <w:t>240</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95804">
    <w:pPr>
      <w:spacing w:line="169" w:lineRule="auto"/>
      <w:ind w:left="4056"/>
      <w:rPr>
        <w:rFonts w:ascii="Calibri" w:hAnsi="Calibri" w:eastAsia="Calibri" w:cs="Calibri"/>
        <w:sz w:val="18"/>
        <w:szCs w:val="18"/>
      </w:rPr>
    </w:pPr>
    <w:r>
      <w:rPr>
        <w:rFonts w:ascii="Calibri" w:hAnsi="Calibri" w:eastAsia="Calibri" w:cs="Calibri"/>
        <w:spacing w:val="-3"/>
        <w:sz w:val="18"/>
        <w:szCs w:val="18"/>
      </w:rPr>
      <w:t>241</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F2178">
    <w:pPr>
      <w:spacing w:line="169" w:lineRule="auto"/>
      <w:ind w:left="4056"/>
      <w:rPr>
        <w:rFonts w:ascii="Calibri" w:hAnsi="Calibri" w:eastAsia="Calibri" w:cs="Calibri"/>
        <w:sz w:val="18"/>
        <w:szCs w:val="18"/>
      </w:rPr>
    </w:pPr>
    <w:r>
      <w:rPr>
        <w:rFonts w:ascii="Calibri" w:hAnsi="Calibri" w:eastAsia="Calibri" w:cs="Calibri"/>
        <w:spacing w:val="-3"/>
        <w:sz w:val="18"/>
        <w:szCs w:val="18"/>
      </w:rPr>
      <w:t>242</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E6F0">
    <w:pPr>
      <w:spacing w:line="169" w:lineRule="auto"/>
      <w:ind w:left="4056"/>
      <w:rPr>
        <w:rFonts w:ascii="Calibri" w:hAnsi="Calibri" w:eastAsia="Calibri" w:cs="Calibri"/>
        <w:sz w:val="18"/>
        <w:szCs w:val="18"/>
      </w:rPr>
    </w:pPr>
    <w:r>
      <w:rPr>
        <w:rFonts w:ascii="Calibri" w:hAnsi="Calibri" w:eastAsia="Calibri" w:cs="Calibri"/>
        <w:spacing w:val="-3"/>
        <w:sz w:val="18"/>
        <w:szCs w:val="18"/>
      </w:rPr>
      <w:t>243</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BCD76">
    <w:pPr>
      <w:spacing w:line="169" w:lineRule="auto"/>
      <w:ind w:left="4056"/>
      <w:rPr>
        <w:rFonts w:ascii="Calibri" w:hAnsi="Calibri" w:eastAsia="Calibri" w:cs="Calibri"/>
        <w:sz w:val="18"/>
        <w:szCs w:val="18"/>
      </w:rPr>
    </w:pPr>
    <w:r>
      <w:rPr>
        <w:rFonts w:ascii="Calibri" w:hAnsi="Calibri" w:eastAsia="Calibri" w:cs="Calibri"/>
        <w:spacing w:val="-3"/>
        <w:sz w:val="18"/>
        <w:szCs w:val="18"/>
      </w:rPr>
      <w:t>244</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3C4B1">
    <w:pPr>
      <w:spacing w:line="169" w:lineRule="auto"/>
      <w:ind w:left="4056"/>
      <w:rPr>
        <w:rFonts w:ascii="Calibri" w:hAnsi="Calibri" w:eastAsia="Calibri" w:cs="Calibri"/>
        <w:sz w:val="18"/>
        <w:szCs w:val="18"/>
      </w:rPr>
    </w:pPr>
    <w:r>
      <w:rPr>
        <w:rFonts w:ascii="Calibri" w:hAnsi="Calibri" w:eastAsia="Calibri" w:cs="Calibri"/>
        <w:spacing w:val="-3"/>
        <w:sz w:val="18"/>
        <w:szCs w:val="18"/>
      </w:rPr>
      <w:t>245</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CBD5A">
    <w:pPr>
      <w:spacing w:line="169" w:lineRule="auto"/>
      <w:ind w:left="4056"/>
      <w:rPr>
        <w:rFonts w:ascii="Calibri" w:hAnsi="Calibri" w:eastAsia="Calibri" w:cs="Calibri"/>
        <w:sz w:val="18"/>
        <w:szCs w:val="18"/>
      </w:rPr>
    </w:pPr>
    <w:r>
      <w:rPr>
        <w:rFonts w:ascii="Calibri" w:hAnsi="Calibri" w:eastAsia="Calibri" w:cs="Calibri"/>
        <w:spacing w:val="-3"/>
        <w:sz w:val="18"/>
        <w:szCs w:val="18"/>
      </w:rPr>
      <w:t>246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5886E">
    <w:pPr>
      <w:spacing w:line="169" w:lineRule="auto"/>
      <w:ind w:left="4100"/>
      <w:rPr>
        <w:rFonts w:ascii="Calibri" w:hAnsi="Calibri" w:eastAsia="Calibri" w:cs="Calibri"/>
        <w:sz w:val="18"/>
        <w:szCs w:val="18"/>
      </w:rPr>
    </w:pPr>
    <w:r>
      <w:rPr>
        <w:rFonts w:ascii="Calibri" w:hAnsi="Calibri" w:eastAsia="Calibri" w:cs="Calibri"/>
        <w:spacing w:val="-3"/>
        <w:sz w:val="18"/>
        <w:szCs w:val="18"/>
      </w:rPr>
      <w:t>22</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191BF">
    <w:pPr>
      <w:spacing w:line="169" w:lineRule="auto"/>
      <w:ind w:left="4056"/>
      <w:rPr>
        <w:rFonts w:ascii="Calibri" w:hAnsi="Calibri" w:eastAsia="Calibri" w:cs="Calibri"/>
        <w:sz w:val="18"/>
        <w:szCs w:val="18"/>
      </w:rPr>
    </w:pPr>
    <w:r>
      <w:rPr>
        <w:rFonts w:ascii="Calibri" w:hAnsi="Calibri" w:eastAsia="Calibri" w:cs="Calibri"/>
        <w:spacing w:val="-3"/>
        <w:sz w:val="18"/>
        <w:szCs w:val="18"/>
      </w:rPr>
      <w:t>247</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472C7">
    <w:pPr>
      <w:spacing w:line="169" w:lineRule="auto"/>
      <w:ind w:left="4056"/>
      <w:rPr>
        <w:rFonts w:ascii="Calibri" w:hAnsi="Calibri" w:eastAsia="Calibri" w:cs="Calibri"/>
        <w:sz w:val="18"/>
        <w:szCs w:val="18"/>
      </w:rPr>
    </w:pPr>
    <w:r>
      <w:rPr>
        <w:rFonts w:ascii="Calibri" w:hAnsi="Calibri" w:eastAsia="Calibri" w:cs="Calibri"/>
        <w:spacing w:val="-3"/>
        <w:sz w:val="18"/>
        <w:szCs w:val="18"/>
      </w:rPr>
      <w:t>248</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F6E28">
    <w:pPr>
      <w:spacing w:line="169" w:lineRule="auto"/>
      <w:ind w:left="4056"/>
      <w:rPr>
        <w:rFonts w:ascii="Calibri" w:hAnsi="Calibri" w:eastAsia="Calibri" w:cs="Calibri"/>
        <w:sz w:val="18"/>
        <w:szCs w:val="18"/>
      </w:rPr>
    </w:pPr>
    <w:r>
      <w:rPr>
        <w:rFonts w:ascii="Calibri" w:hAnsi="Calibri" w:eastAsia="Calibri" w:cs="Calibri"/>
        <w:spacing w:val="-3"/>
        <w:sz w:val="18"/>
        <w:szCs w:val="18"/>
      </w:rPr>
      <w:t>249</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3FD9B">
    <w:pPr>
      <w:spacing w:line="169" w:lineRule="auto"/>
      <w:ind w:left="4056"/>
      <w:rPr>
        <w:rFonts w:ascii="Calibri" w:hAnsi="Calibri" w:eastAsia="Calibri" w:cs="Calibri"/>
        <w:sz w:val="18"/>
        <w:szCs w:val="18"/>
      </w:rPr>
    </w:pPr>
    <w:r>
      <w:rPr>
        <w:rFonts w:ascii="Calibri" w:hAnsi="Calibri" w:eastAsia="Calibri" w:cs="Calibri"/>
        <w:spacing w:val="-3"/>
        <w:sz w:val="18"/>
        <w:szCs w:val="18"/>
      </w:rPr>
      <w:t>250</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49F41">
    <w:pPr>
      <w:spacing w:line="169" w:lineRule="auto"/>
      <w:ind w:left="4056"/>
      <w:rPr>
        <w:rFonts w:ascii="Calibri" w:hAnsi="Calibri" w:eastAsia="Calibri" w:cs="Calibri"/>
        <w:sz w:val="18"/>
        <w:szCs w:val="18"/>
      </w:rPr>
    </w:pPr>
    <w:r>
      <w:rPr>
        <w:rFonts w:ascii="Calibri" w:hAnsi="Calibri" w:eastAsia="Calibri" w:cs="Calibri"/>
        <w:spacing w:val="-3"/>
        <w:sz w:val="18"/>
        <w:szCs w:val="18"/>
      </w:rPr>
      <w:t>251</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C263B">
    <w:pPr>
      <w:spacing w:line="169" w:lineRule="auto"/>
      <w:ind w:left="4056"/>
      <w:rPr>
        <w:rFonts w:ascii="Calibri" w:hAnsi="Calibri" w:eastAsia="Calibri" w:cs="Calibri"/>
        <w:sz w:val="18"/>
        <w:szCs w:val="18"/>
      </w:rPr>
    </w:pPr>
    <w:r>
      <w:rPr>
        <w:rFonts w:ascii="Calibri" w:hAnsi="Calibri" w:eastAsia="Calibri" w:cs="Calibri"/>
        <w:spacing w:val="-3"/>
        <w:sz w:val="18"/>
        <w:szCs w:val="18"/>
      </w:rPr>
      <w:t>252</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C5BF7">
    <w:pPr>
      <w:spacing w:line="169" w:lineRule="auto"/>
      <w:ind w:left="4056"/>
      <w:rPr>
        <w:rFonts w:ascii="Calibri" w:hAnsi="Calibri" w:eastAsia="Calibri" w:cs="Calibri"/>
        <w:sz w:val="18"/>
        <w:szCs w:val="18"/>
      </w:rPr>
    </w:pPr>
    <w:r>
      <w:rPr>
        <w:rFonts w:ascii="Calibri" w:hAnsi="Calibri" w:eastAsia="Calibri" w:cs="Calibri"/>
        <w:spacing w:val="-3"/>
        <w:sz w:val="18"/>
        <w:szCs w:val="18"/>
      </w:rPr>
      <w:t>253</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3221C">
    <w:pPr>
      <w:spacing w:line="169" w:lineRule="auto"/>
      <w:ind w:left="4056"/>
      <w:rPr>
        <w:rFonts w:ascii="Calibri" w:hAnsi="Calibri" w:eastAsia="Calibri" w:cs="Calibri"/>
        <w:sz w:val="18"/>
        <w:szCs w:val="18"/>
      </w:rPr>
    </w:pPr>
    <w:r>
      <w:rPr>
        <w:rFonts w:ascii="Calibri" w:hAnsi="Calibri" w:eastAsia="Calibri" w:cs="Calibri"/>
        <w:spacing w:val="-3"/>
        <w:sz w:val="18"/>
        <w:szCs w:val="18"/>
      </w:rPr>
      <w:t>254</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17592">
    <w:pPr>
      <w:spacing w:line="169" w:lineRule="auto"/>
      <w:ind w:left="4056"/>
      <w:rPr>
        <w:rFonts w:ascii="Calibri" w:hAnsi="Calibri" w:eastAsia="Calibri" w:cs="Calibri"/>
        <w:sz w:val="18"/>
        <w:szCs w:val="18"/>
      </w:rPr>
    </w:pPr>
    <w:r>
      <w:rPr>
        <w:rFonts w:ascii="Calibri" w:hAnsi="Calibri" w:eastAsia="Calibri" w:cs="Calibri"/>
        <w:spacing w:val="-3"/>
        <w:sz w:val="18"/>
        <w:szCs w:val="18"/>
      </w:rPr>
      <w:t>255</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223E1">
    <w:pPr>
      <w:spacing w:line="169" w:lineRule="auto"/>
      <w:ind w:left="4056"/>
      <w:rPr>
        <w:rFonts w:ascii="Calibri" w:hAnsi="Calibri" w:eastAsia="Calibri" w:cs="Calibri"/>
        <w:sz w:val="18"/>
        <w:szCs w:val="18"/>
      </w:rPr>
    </w:pPr>
    <w:r>
      <w:rPr>
        <w:rFonts w:ascii="Calibri" w:hAnsi="Calibri" w:eastAsia="Calibri" w:cs="Calibri"/>
        <w:spacing w:val="-3"/>
        <w:sz w:val="18"/>
        <w:szCs w:val="18"/>
      </w:rPr>
      <w:t>256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D8138">
    <w:pPr>
      <w:spacing w:line="169" w:lineRule="auto"/>
      <w:ind w:left="4100"/>
      <w:rPr>
        <w:rFonts w:ascii="Calibri" w:hAnsi="Calibri" w:eastAsia="Calibri" w:cs="Calibri"/>
        <w:sz w:val="18"/>
        <w:szCs w:val="18"/>
      </w:rPr>
    </w:pPr>
    <w:r>
      <w:rPr>
        <w:rFonts w:ascii="Calibri" w:hAnsi="Calibri" w:eastAsia="Calibri" w:cs="Calibri"/>
        <w:spacing w:val="-3"/>
        <w:sz w:val="18"/>
        <w:szCs w:val="18"/>
      </w:rPr>
      <w:t>23</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27B7">
    <w:pPr>
      <w:spacing w:line="169" w:lineRule="auto"/>
      <w:ind w:left="4056"/>
      <w:rPr>
        <w:rFonts w:ascii="Calibri" w:hAnsi="Calibri" w:eastAsia="Calibri" w:cs="Calibri"/>
        <w:sz w:val="18"/>
        <w:szCs w:val="18"/>
      </w:rPr>
    </w:pPr>
    <w:r>
      <w:rPr>
        <w:rFonts w:ascii="Calibri" w:hAnsi="Calibri" w:eastAsia="Calibri" w:cs="Calibri"/>
        <w:spacing w:val="-3"/>
        <w:sz w:val="18"/>
        <w:szCs w:val="18"/>
      </w:rPr>
      <w:t>257</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47DFC">
    <w:pPr>
      <w:spacing w:line="169" w:lineRule="auto"/>
      <w:ind w:left="4056"/>
      <w:rPr>
        <w:rFonts w:ascii="Calibri" w:hAnsi="Calibri" w:eastAsia="Calibri" w:cs="Calibri"/>
        <w:sz w:val="18"/>
        <w:szCs w:val="18"/>
      </w:rPr>
    </w:pPr>
    <w:r>
      <w:rPr>
        <w:rFonts w:ascii="Calibri" w:hAnsi="Calibri" w:eastAsia="Calibri" w:cs="Calibri"/>
        <w:spacing w:val="-3"/>
        <w:sz w:val="18"/>
        <w:szCs w:val="18"/>
      </w:rPr>
      <w:t>258</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F2120">
    <w:pPr>
      <w:spacing w:line="169" w:lineRule="auto"/>
      <w:ind w:left="4056"/>
      <w:rPr>
        <w:rFonts w:ascii="Calibri" w:hAnsi="Calibri" w:eastAsia="Calibri" w:cs="Calibri"/>
        <w:sz w:val="18"/>
        <w:szCs w:val="18"/>
      </w:rPr>
    </w:pPr>
    <w:r>
      <w:rPr>
        <w:rFonts w:ascii="Calibri" w:hAnsi="Calibri" w:eastAsia="Calibri" w:cs="Calibri"/>
        <w:spacing w:val="-3"/>
        <w:sz w:val="18"/>
        <w:szCs w:val="18"/>
      </w:rPr>
      <w:t>259</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021B7">
    <w:pPr>
      <w:spacing w:line="169" w:lineRule="auto"/>
      <w:ind w:left="4056"/>
      <w:rPr>
        <w:rFonts w:ascii="Calibri" w:hAnsi="Calibri" w:eastAsia="Calibri" w:cs="Calibri"/>
        <w:sz w:val="18"/>
        <w:szCs w:val="18"/>
      </w:rPr>
    </w:pPr>
    <w:r>
      <w:rPr>
        <w:rFonts w:ascii="Calibri" w:hAnsi="Calibri" w:eastAsia="Calibri" w:cs="Calibri"/>
        <w:spacing w:val="-3"/>
        <w:sz w:val="18"/>
        <w:szCs w:val="18"/>
      </w:rPr>
      <w:t>260</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D7347">
    <w:pPr>
      <w:spacing w:line="169" w:lineRule="auto"/>
      <w:ind w:left="4056"/>
      <w:rPr>
        <w:rFonts w:ascii="Calibri" w:hAnsi="Calibri" w:eastAsia="Calibri" w:cs="Calibri"/>
        <w:sz w:val="18"/>
        <w:szCs w:val="18"/>
      </w:rPr>
    </w:pPr>
    <w:r>
      <w:rPr>
        <w:rFonts w:ascii="Calibri" w:hAnsi="Calibri" w:eastAsia="Calibri" w:cs="Calibri"/>
        <w:spacing w:val="-3"/>
        <w:sz w:val="18"/>
        <w:szCs w:val="18"/>
      </w:rPr>
      <w:t>261</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EA275">
    <w:pPr>
      <w:spacing w:line="169" w:lineRule="auto"/>
      <w:ind w:left="4056"/>
      <w:rPr>
        <w:rFonts w:ascii="Calibri" w:hAnsi="Calibri" w:eastAsia="Calibri" w:cs="Calibri"/>
        <w:sz w:val="18"/>
        <w:szCs w:val="18"/>
      </w:rPr>
    </w:pPr>
    <w:r>
      <w:rPr>
        <w:rFonts w:ascii="Calibri" w:hAnsi="Calibri" w:eastAsia="Calibri" w:cs="Calibri"/>
        <w:spacing w:val="-3"/>
        <w:sz w:val="18"/>
        <w:szCs w:val="18"/>
      </w:rPr>
      <w:t>262</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20A32">
    <w:pPr>
      <w:spacing w:line="169" w:lineRule="auto"/>
      <w:ind w:left="4056"/>
      <w:rPr>
        <w:rFonts w:ascii="Calibri" w:hAnsi="Calibri" w:eastAsia="Calibri" w:cs="Calibri"/>
        <w:sz w:val="18"/>
        <w:szCs w:val="18"/>
      </w:rPr>
    </w:pPr>
    <w:r>
      <w:rPr>
        <w:rFonts w:ascii="Calibri" w:hAnsi="Calibri" w:eastAsia="Calibri" w:cs="Calibri"/>
        <w:spacing w:val="-3"/>
        <w:sz w:val="18"/>
        <w:szCs w:val="18"/>
      </w:rPr>
      <w:t>263</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B27F5">
    <w:pPr>
      <w:spacing w:line="169" w:lineRule="auto"/>
      <w:ind w:left="4056"/>
      <w:rPr>
        <w:rFonts w:ascii="Calibri" w:hAnsi="Calibri" w:eastAsia="Calibri" w:cs="Calibri"/>
        <w:sz w:val="18"/>
        <w:szCs w:val="18"/>
      </w:rPr>
    </w:pPr>
    <w:r>
      <w:rPr>
        <w:rFonts w:ascii="Calibri" w:hAnsi="Calibri" w:eastAsia="Calibri" w:cs="Calibri"/>
        <w:spacing w:val="-3"/>
        <w:sz w:val="18"/>
        <w:szCs w:val="18"/>
      </w:rPr>
      <w:t>264</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812D9">
    <w:pPr>
      <w:spacing w:line="169" w:lineRule="auto"/>
      <w:ind w:left="4056"/>
      <w:rPr>
        <w:rFonts w:ascii="Calibri" w:hAnsi="Calibri" w:eastAsia="Calibri" w:cs="Calibri"/>
        <w:sz w:val="18"/>
        <w:szCs w:val="18"/>
      </w:rPr>
    </w:pPr>
    <w:r>
      <w:rPr>
        <w:rFonts w:ascii="Calibri" w:hAnsi="Calibri" w:eastAsia="Calibri" w:cs="Calibri"/>
        <w:spacing w:val="-3"/>
        <w:sz w:val="18"/>
        <w:szCs w:val="18"/>
      </w:rPr>
      <w:t>265</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43331">
    <w:pPr>
      <w:spacing w:line="169" w:lineRule="auto"/>
      <w:ind w:left="4056"/>
      <w:rPr>
        <w:rFonts w:ascii="Calibri" w:hAnsi="Calibri" w:eastAsia="Calibri" w:cs="Calibri"/>
        <w:sz w:val="18"/>
        <w:szCs w:val="18"/>
      </w:rPr>
    </w:pPr>
    <w:r>
      <w:rPr>
        <w:rFonts w:ascii="Calibri" w:hAnsi="Calibri" w:eastAsia="Calibri" w:cs="Calibri"/>
        <w:spacing w:val="-3"/>
        <w:sz w:val="18"/>
        <w:szCs w:val="18"/>
      </w:rPr>
      <w:t>266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025B">
    <w:pPr>
      <w:spacing w:line="169" w:lineRule="auto"/>
      <w:ind w:left="4100"/>
      <w:rPr>
        <w:rFonts w:ascii="Calibri" w:hAnsi="Calibri" w:eastAsia="Calibri" w:cs="Calibri"/>
        <w:sz w:val="18"/>
        <w:szCs w:val="18"/>
      </w:rPr>
    </w:pPr>
    <w:r>
      <w:rPr>
        <w:rFonts w:ascii="Calibri" w:hAnsi="Calibri" w:eastAsia="Calibri" w:cs="Calibri"/>
        <w:spacing w:val="-3"/>
        <w:sz w:val="18"/>
        <w:szCs w:val="18"/>
      </w:rPr>
      <w:t>24</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47B09">
    <w:pPr>
      <w:spacing w:line="169" w:lineRule="auto"/>
      <w:ind w:left="4056"/>
      <w:rPr>
        <w:rFonts w:ascii="Calibri" w:hAnsi="Calibri" w:eastAsia="Calibri" w:cs="Calibri"/>
        <w:sz w:val="18"/>
        <w:szCs w:val="18"/>
      </w:rPr>
    </w:pPr>
    <w:r>
      <w:rPr>
        <w:rFonts w:ascii="Calibri" w:hAnsi="Calibri" w:eastAsia="Calibri" w:cs="Calibri"/>
        <w:spacing w:val="-3"/>
        <w:sz w:val="18"/>
        <w:szCs w:val="18"/>
      </w:rPr>
      <w:t>267</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51472">
    <w:pPr>
      <w:spacing w:line="169" w:lineRule="auto"/>
      <w:ind w:left="4056"/>
      <w:rPr>
        <w:rFonts w:ascii="Calibri" w:hAnsi="Calibri" w:eastAsia="Calibri" w:cs="Calibri"/>
        <w:sz w:val="18"/>
        <w:szCs w:val="18"/>
      </w:rPr>
    </w:pPr>
    <w:r>
      <w:rPr>
        <w:rFonts w:ascii="Calibri" w:hAnsi="Calibri" w:eastAsia="Calibri" w:cs="Calibri"/>
        <w:spacing w:val="-3"/>
        <w:sz w:val="18"/>
        <w:szCs w:val="18"/>
      </w:rPr>
      <w:t>268</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EDA04">
    <w:pPr>
      <w:spacing w:line="169" w:lineRule="auto"/>
      <w:ind w:left="4056"/>
      <w:rPr>
        <w:rFonts w:ascii="Calibri" w:hAnsi="Calibri" w:eastAsia="Calibri" w:cs="Calibri"/>
        <w:sz w:val="18"/>
        <w:szCs w:val="18"/>
      </w:rPr>
    </w:pPr>
    <w:r>
      <w:rPr>
        <w:rFonts w:ascii="Calibri" w:hAnsi="Calibri" w:eastAsia="Calibri" w:cs="Calibri"/>
        <w:spacing w:val="-3"/>
        <w:sz w:val="18"/>
        <w:szCs w:val="18"/>
      </w:rPr>
      <w:t>269</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932A6">
    <w:pPr>
      <w:spacing w:line="169" w:lineRule="auto"/>
      <w:ind w:left="4056"/>
      <w:rPr>
        <w:rFonts w:ascii="Calibri" w:hAnsi="Calibri" w:eastAsia="Calibri" w:cs="Calibri"/>
        <w:sz w:val="18"/>
        <w:szCs w:val="18"/>
      </w:rPr>
    </w:pPr>
    <w:r>
      <w:rPr>
        <w:rFonts w:ascii="Calibri" w:hAnsi="Calibri" w:eastAsia="Calibri" w:cs="Calibri"/>
        <w:spacing w:val="-3"/>
        <w:sz w:val="18"/>
        <w:szCs w:val="18"/>
      </w:rPr>
      <w:t>270</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CFC74">
    <w:pPr>
      <w:spacing w:line="169" w:lineRule="auto"/>
      <w:ind w:left="4056"/>
      <w:rPr>
        <w:rFonts w:ascii="Calibri" w:hAnsi="Calibri" w:eastAsia="Calibri" w:cs="Calibri"/>
        <w:sz w:val="18"/>
        <w:szCs w:val="18"/>
      </w:rPr>
    </w:pPr>
    <w:r>
      <w:rPr>
        <w:rFonts w:ascii="Calibri" w:hAnsi="Calibri" w:eastAsia="Calibri" w:cs="Calibri"/>
        <w:spacing w:val="-3"/>
        <w:sz w:val="18"/>
        <w:szCs w:val="18"/>
      </w:rPr>
      <w:t>271</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AD037">
    <w:pPr>
      <w:spacing w:line="169" w:lineRule="auto"/>
      <w:ind w:left="4056"/>
      <w:rPr>
        <w:rFonts w:ascii="Calibri" w:hAnsi="Calibri" w:eastAsia="Calibri" w:cs="Calibri"/>
        <w:sz w:val="18"/>
        <w:szCs w:val="18"/>
      </w:rPr>
    </w:pPr>
    <w:r>
      <w:rPr>
        <w:rFonts w:ascii="Calibri" w:hAnsi="Calibri" w:eastAsia="Calibri" w:cs="Calibri"/>
        <w:spacing w:val="-3"/>
        <w:sz w:val="18"/>
        <w:szCs w:val="18"/>
      </w:rPr>
      <w:t>272</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08007">
    <w:pPr>
      <w:spacing w:line="169" w:lineRule="auto"/>
      <w:ind w:left="4056"/>
      <w:rPr>
        <w:rFonts w:ascii="Calibri" w:hAnsi="Calibri" w:eastAsia="Calibri" w:cs="Calibri"/>
        <w:sz w:val="18"/>
        <w:szCs w:val="18"/>
      </w:rPr>
    </w:pPr>
    <w:r>
      <w:rPr>
        <w:rFonts w:ascii="Calibri" w:hAnsi="Calibri" w:eastAsia="Calibri" w:cs="Calibri"/>
        <w:spacing w:val="-3"/>
        <w:sz w:val="18"/>
        <w:szCs w:val="18"/>
      </w:rPr>
      <w:t>273</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19B19">
    <w:pPr>
      <w:spacing w:line="169" w:lineRule="auto"/>
      <w:ind w:left="4056"/>
      <w:rPr>
        <w:rFonts w:ascii="Calibri" w:hAnsi="Calibri" w:eastAsia="Calibri" w:cs="Calibri"/>
        <w:sz w:val="18"/>
        <w:szCs w:val="18"/>
      </w:rPr>
    </w:pPr>
    <w:r>
      <w:rPr>
        <w:rFonts w:ascii="Calibri" w:hAnsi="Calibri" w:eastAsia="Calibri" w:cs="Calibri"/>
        <w:spacing w:val="-3"/>
        <w:sz w:val="18"/>
        <w:szCs w:val="18"/>
      </w:rPr>
      <w:t>274</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8C993">
    <w:pPr>
      <w:spacing w:line="169" w:lineRule="auto"/>
      <w:ind w:left="4056"/>
      <w:rPr>
        <w:rFonts w:ascii="Calibri" w:hAnsi="Calibri" w:eastAsia="Calibri" w:cs="Calibri"/>
        <w:sz w:val="18"/>
        <w:szCs w:val="18"/>
      </w:rPr>
    </w:pPr>
    <w:r>
      <w:rPr>
        <w:rFonts w:ascii="Calibri" w:hAnsi="Calibri" w:eastAsia="Calibri" w:cs="Calibri"/>
        <w:spacing w:val="-3"/>
        <w:sz w:val="18"/>
        <w:szCs w:val="18"/>
      </w:rPr>
      <w:t>275</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547EA">
    <w:pPr>
      <w:spacing w:line="169" w:lineRule="auto"/>
      <w:ind w:left="4056"/>
      <w:rPr>
        <w:rFonts w:ascii="Calibri" w:hAnsi="Calibri" w:eastAsia="Calibri" w:cs="Calibri"/>
        <w:sz w:val="18"/>
        <w:szCs w:val="18"/>
      </w:rPr>
    </w:pPr>
    <w:r>
      <w:rPr>
        <w:rFonts w:ascii="Calibri" w:hAnsi="Calibri" w:eastAsia="Calibri" w:cs="Calibri"/>
        <w:spacing w:val="-3"/>
        <w:sz w:val="18"/>
        <w:szCs w:val="18"/>
      </w:rPr>
      <w:t>276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83201">
    <w:pPr>
      <w:spacing w:line="169" w:lineRule="auto"/>
      <w:ind w:left="4100"/>
      <w:rPr>
        <w:rFonts w:ascii="Calibri" w:hAnsi="Calibri" w:eastAsia="Calibri" w:cs="Calibri"/>
        <w:sz w:val="18"/>
        <w:szCs w:val="18"/>
      </w:rPr>
    </w:pPr>
    <w:r>
      <w:rPr>
        <w:rFonts w:ascii="Calibri" w:hAnsi="Calibri" w:eastAsia="Calibri" w:cs="Calibri"/>
        <w:spacing w:val="-3"/>
        <w:sz w:val="18"/>
        <w:szCs w:val="18"/>
      </w:rPr>
      <w:t>25</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52DEB">
    <w:pPr>
      <w:spacing w:line="169" w:lineRule="auto"/>
      <w:ind w:left="4056"/>
      <w:rPr>
        <w:rFonts w:ascii="Calibri" w:hAnsi="Calibri" w:eastAsia="Calibri" w:cs="Calibri"/>
        <w:sz w:val="18"/>
        <w:szCs w:val="18"/>
      </w:rPr>
    </w:pPr>
    <w:r>
      <w:rPr>
        <w:rFonts w:ascii="Calibri" w:hAnsi="Calibri" w:eastAsia="Calibri" w:cs="Calibri"/>
        <w:spacing w:val="-3"/>
        <w:sz w:val="18"/>
        <w:szCs w:val="18"/>
      </w:rPr>
      <w:t>277</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8D9FF">
    <w:pPr>
      <w:spacing w:line="169" w:lineRule="auto"/>
      <w:ind w:left="4056"/>
      <w:rPr>
        <w:rFonts w:ascii="Calibri" w:hAnsi="Calibri" w:eastAsia="Calibri" w:cs="Calibri"/>
        <w:sz w:val="18"/>
        <w:szCs w:val="18"/>
      </w:rPr>
    </w:pPr>
    <w:r>
      <w:rPr>
        <w:rFonts w:ascii="Calibri" w:hAnsi="Calibri" w:eastAsia="Calibri" w:cs="Calibri"/>
        <w:spacing w:val="-3"/>
        <w:sz w:val="18"/>
        <w:szCs w:val="18"/>
      </w:rPr>
      <w:t>278</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52048">
    <w:pPr>
      <w:spacing w:line="169" w:lineRule="auto"/>
      <w:ind w:left="4056"/>
      <w:rPr>
        <w:rFonts w:ascii="Calibri" w:hAnsi="Calibri" w:eastAsia="Calibri" w:cs="Calibri"/>
        <w:sz w:val="18"/>
        <w:szCs w:val="18"/>
      </w:rPr>
    </w:pPr>
    <w:r>
      <w:rPr>
        <w:rFonts w:ascii="Calibri" w:hAnsi="Calibri" w:eastAsia="Calibri" w:cs="Calibri"/>
        <w:spacing w:val="-3"/>
        <w:sz w:val="18"/>
        <w:szCs w:val="18"/>
      </w:rPr>
      <w:t>279</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8CC31">
    <w:pPr>
      <w:spacing w:line="169" w:lineRule="auto"/>
      <w:ind w:left="4056"/>
      <w:rPr>
        <w:rFonts w:ascii="Calibri" w:hAnsi="Calibri" w:eastAsia="Calibri" w:cs="Calibri"/>
        <w:sz w:val="18"/>
        <w:szCs w:val="18"/>
      </w:rPr>
    </w:pPr>
    <w:r>
      <w:rPr>
        <w:rFonts w:ascii="Calibri" w:hAnsi="Calibri" w:eastAsia="Calibri" w:cs="Calibri"/>
        <w:spacing w:val="-3"/>
        <w:sz w:val="18"/>
        <w:szCs w:val="18"/>
      </w:rPr>
      <w:t>280</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F6BF7">
    <w:pPr>
      <w:spacing w:line="169" w:lineRule="auto"/>
      <w:ind w:left="4056"/>
      <w:rPr>
        <w:rFonts w:ascii="Calibri" w:hAnsi="Calibri" w:eastAsia="Calibri" w:cs="Calibri"/>
        <w:sz w:val="18"/>
        <w:szCs w:val="18"/>
      </w:rPr>
    </w:pPr>
    <w:r>
      <w:rPr>
        <w:rFonts w:ascii="Calibri" w:hAnsi="Calibri" w:eastAsia="Calibri" w:cs="Calibri"/>
        <w:spacing w:val="-3"/>
        <w:sz w:val="18"/>
        <w:szCs w:val="18"/>
      </w:rPr>
      <w:t>281</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CD28C">
    <w:pPr>
      <w:spacing w:line="169" w:lineRule="auto"/>
      <w:ind w:left="4056"/>
      <w:rPr>
        <w:rFonts w:ascii="Calibri" w:hAnsi="Calibri" w:eastAsia="Calibri" w:cs="Calibri"/>
        <w:sz w:val="18"/>
        <w:szCs w:val="18"/>
      </w:rPr>
    </w:pPr>
    <w:r>
      <w:rPr>
        <w:rFonts w:ascii="Calibri" w:hAnsi="Calibri" w:eastAsia="Calibri" w:cs="Calibri"/>
        <w:spacing w:val="-3"/>
        <w:sz w:val="18"/>
        <w:szCs w:val="18"/>
      </w:rPr>
      <w:t>282</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64EA">
    <w:pPr>
      <w:spacing w:line="169" w:lineRule="auto"/>
      <w:ind w:left="4056"/>
      <w:rPr>
        <w:rFonts w:ascii="Calibri" w:hAnsi="Calibri" w:eastAsia="Calibri" w:cs="Calibri"/>
        <w:sz w:val="18"/>
        <w:szCs w:val="18"/>
      </w:rPr>
    </w:pPr>
    <w:r>
      <w:rPr>
        <w:rFonts w:ascii="Calibri" w:hAnsi="Calibri" w:eastAsia="Calibri" w:cs="Calibri"/>
        <w:spacing w:val="-3"/>
        <w:sz w:val="18"/>
        <w:szCs w:val="18"/>
      </w:rPr>
      <w:t>283</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BC37A">
    <w:pPr>
      <w:spacing w:line="169" w:lineRule="auto"/>
      <w:ind w:left="4056"/>
      <w:rPr>
        <w:rFonts w:ascii="Calibri" w:hAnsi="Calibri" w:eastAsia="Calibri" w:cs="Calibri"/>
        <w:sz w:val="18"/>
        <w:szCs w:val="18"/>
      </w:rPr>
    </w:pPr>
    <w:r>
      <w:rPr>
        <w:rFonts w:ascii="Calibri" w:hAnsi="Calibri" w:eastAsia="Calibri" w:cs="Calibri"/>
        <w:spacing w:val="-3"/>
        <w:sz w:val="18"/>
        <w:szCs w:val="18"/>
      </w:rPr>
      <w:t>284</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8C04A">
    <w:pPr>
      <w:spacing w:line="169" w:lineRule="auto"/>
      <w:ind w:left="4056"/>
      <w:rPr>
        <w:rFonts w:ascii="Calibri" w:hAnsi="Calibri" w:eastAsia="Calibri" w:cs="Calibri"/>
        <w:sz w:val="18"/>
        <w:szCs w:val="18"/>
      </w:rPr>
    </w:pPr>
    <w:r>
      <w:rPr>
        <w:rFonts w:ascii="Calibri" w:hAnsi="Calibri" w:eastAsia="Calibri" w:cs="Calibri"/>
        <w:spacing w:val="-3"/>
        <w:sz w:val="18"/>
        <w:szCs w:val="18"/>
      </w:rPr>
      <w:t>285</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1481B">
    <w:pPr>
      <w:spacing w:line="169" w:lineRule="auto"/>
      <w:ind w:left="4056"/>
      <w:rPr>
        <w:rFonts w:ascii="Calibri" w:hAnsi="Calibri" w:eastAsia="Calibri" w:cs="Calibri"/>
        <w:sz w:val="18"/>
        <w:szCs w:val="18"/>
      </w:rPr>
    </w:pPr>
    <w:r>
      <w:rPr>
        <w:rFonts w:ascii="Calibri" w:hAnsi="Calibri" w:eastAsia="Calibri" w:cs="Calibri"/>
        <w:spacing w:val="-3"/>
        <w:sz w:val="18"/>
        <w:szCs w:val="18"/>
      </w:rPr>
      <w:t>286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D7099">
    <w:pPr>
      <w:spacing w:line="169" w:lineRule="auto"/>
      <w:ind w:left="4100"/>
      <w:rPr>
        <w:rFonts w:ascii="Calibri" w:hAnsi="Calibri" w:eastAsia="Calibri" w:cs="Calibri"/>
        <w:sz w:val="18"/>
        <w:szCs w:val="18"/>
      </w:rPr>
    </w:pPr>
    <w:r>
      <w:rPr>
        <w:rFonts w:ascii="Calibri" w:hAnsi="Calibri" w:eastAsia="Calibri" w:cs="Calibri"/>
        <w:spacing w:val="-3"/>
        <w:sz w:val="18"/>
        <w:szCs w:val="18"/>
      </w:rPr>
      <w:t>26</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9945A">
    <w:pPr>
      <w:spacing w:line="169" w:lineRule="auto"/>
      <w:ind w:left="4056"/>
      <w:rPr>
        <w:rFonts w:ascii="Calibri" w:hAnsi="Calibri" w:eastAsia="Calibri" w:cs="Calibri"/>
        <w:sz w:val="18"/>
        <w:szCs w:val="18"/>
      </w:rPr>
    </w:pPr>
    <w:r>
      <w:rPr>
        <w:rFonts w:ascii="Calibri" w:hAnsi="Calibri" w:eastAsia="Calibri" w:cs="Calibri"/>
        <w:spacing w:val="-3"/>
        <w:sz w:val="18"/>
        <w:szCs w:val="18"/>
      </w:rPr>
      <w:t>287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0C24">
    <w:pPr>
      <w:spacing w:line="168" w:lineRule="auto"/>
      <w:ind w:left="4131"/>
      <w:rPr>
        <w:rFonts w:ascii="Calibri" w:hAnsi="Calibri" w:eastAsia="Calibri" w:cs="Calibri"/>
        <w:sz w:val="18"/>
        <w:szCs w:val="18"/>
      </w:rPr>
    </w:pPr>
    <w:r>
      <w:rPr>
        <w:rFonts w:ascii="Calibri" w:hAnsi="Calibri" w:eastAsia="Calibri" w:cs="Calibri"/>
        <w:spacing w:val="-4"/>
        <w:sz w:val="18"/>
        <w:szCs w:val="18"/>
      </w:rP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2210">
    <w:pPr>
      <w:spacing w:line="169" w:lineRule="auto"/>
      <w:ind w:left="4100"/>
      <w:rPr>
        <w:rFonts w:ascii="Calibri" w:hAnsi="Calibri" w:eastAsia="Calibri" w:cs="Calibri"/>
        <w:sz w:val="18"/>
        <w:szCs w:val="18"/>
      </w:rPr>
    </w:pPr>
    <w:r>
      <w:rPr>
        <w:rFonts w:ascii="Calibri" w:hAnsi="Calibri" w:eastAsia="Calibri" w:cs="Calibri"/>
        <w:spacing w:val="-3"/>
        <w:sz w:val="18"/>
        <w:szCs w:val="18"/>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A738">
    <w:pPr>
      <w:spacing w:line="169" w:lineRule="auto"/>
      <w:ind w:left="4100"/>
      <w:rPr>
        <w:rFonts w:ascii="Calibri" w:hAnsi="Calibri" w:eastAsia="Calibri" w:cs="Calibri"/>
        <w:sz w:val="18"/>
        <w:szCs w:val="18"/>
      </w:rPr>
    </w:pPr>
    <w:r>
      <w:rPr>
        <w:rFonts w:ascii="Calibri" w:hAnsi="Calibri" w:eastAsia="Calibri" w:cs="Calibri"/>
        <w:spacing w:val="-3"/>
        <w:sz w:val="18"/>
        <w:szCs w:val="18"/>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F1003">
    <w:pPr>
      <w:spacing w:line="169" w:lineRule="auto"/>
      <w:ind w:left="4100"/>
      <w:rPr>
        <w:rFonts w:ascii="Calibri" w:hAnsi="Calibri" w:eastAsia="Calibri" w:cs="Calibri"/>
        <w:sz w:val="18"/>
        <w:szCs w:val="18"/>
      </w:rPr>
    </w:pPr>
    <w:r>
      <w:rPr>
        <w:rFonts w:ascii="Calibri" w:hAnsi="Calibri" w:eastAsia="Calibri" w:cs="Calibri"/>
        <w:spacing w:val="-3"/>
        <w:sz w:val="18"/>
        <w:szCs w:val="18"/>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BEA85">
    <w:pPr>
      <w:spacing w:line="169" w:lineRule="auto"/>
      <w:ind w:left="4099"/>
      <w:rPr>
        <w:rFonts w:ascii="Calibri" w:hAnsi="Calibri" w:eastAsia="Calibri" w:cs="Calibri"/>
        <w:sz w:val="18"/>
        <w:szCs w:val="18"/>
      </w:rPr>
    </w:pPr>
    <w:r>
      <w:rPr>
        <w:rFonts w:ascii="Calibri" w:hAnsi="Calibri" w:eastAsia="Calibri" w:cs="Calibri"/>
        <w:spacing w:val="-3"/>
        <w:sz w:val="18"/>
        <w:szCs w:val="18"/>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41114">
    <w:pPr>
      <w:spacing w:line="169" w:lineRule="auto"/>
      <w:ind w:left="4099"/>
      <w:rPr>
        <w:rFonts w:ascii="Calibri" w:hAnsi="Calibri" w:eastAsia="Calibri" w:cs="Calibri"/>
        <w:sz w:val="18"/>
        <w:szCs w:val="18"/>
      </w:rPr>
    </w:pPr>
    <w:r>
      <w:rPr>
        <w:rFonts w:ascii="Calibri" w:hAnsi="Calibri" w:eastAsia="Calibri" w:cs="Calibri"/>
        <w:spacing w:val="-3"/>
        <w:sz w:val="18"/>
        <w:szCs w:val="18"/>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98390">
    <w:pPr>
      <w:spacing w:line="169" w:lineRule="auto"/>
      <w:ind w:left="6926"/>
      <w:rPr>
        <w:rFonts w:ascii="Calibri" w:hAnsi="Calibri" w:eastAsia="Calibri" w:cs="Calibri"/>
        <w:sz w:val="18"/>
        <w:szCs w:val="18"/>
      </w:rPr>
    </w:pPr>
    <w:r>
      <w:rPr>
        <w:rFonts w:ascii="Calibri" w:hAnsi="Calibri" w:eastAsia="Calibri" w:cs="Calibri"/>
        <w:spacing w:val="-3"/>
        <w:sz w:val="18"/>
        <w:szCs w:val="18"/>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E7CFE">
    <w:pPr>
      <w:spacing w:line="169" w:lineRule="auto"/>
      <w:ind w:left="4099"/>
      <w:rPr>
        <w:rFonts w:ascii="Calibri" w:hAnsi="Calibri" w:eastAsia="Calibri" w:cs="Calibri"/>
        <w:sz w:val="18"/>
        <w:szCs w:val="18"/>
      </w:rPr>
    </w:pPr>
    <w:r>
      <w:rPr>
        <w:rFonts w:ascii="Calibri" w:hAnsi="Calibri" w:eastAsia="Calibri" w:cs="Calibri"/>
        <w:spacing w:val="-3"/>
        <w:sz w:val="18"/>
        <w:szCs w:val="18"/>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5426A">
    <w:pPr>
      <w:spacing w:line="169" w:lineRule="auto"/>
      <w:ind w:left="4099"/>
      <w:rPr>
        <w:rFonts w:ascii="Calibri" w:hAnsi="Calibri" w:eastAsia="Calibri" w:cs="Calibri"/>
        <w:sz w:val="18"/>
        <w:szCs w:val="18"/>
      </w:rPr>
    </w:pPr>
    <w:r>
      <w:rPr>
        <w:rFonts w:ascii="Calibri" w:hAnsi="Calibri" w:eastAsia="Calibri" w:cs="Calibri"/>
        <w:spacing w:val="-3"/>
        <w:sz w:val="18"/>
        <w:szCs w:val="18"/>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9351">
    <w:pPr>
      <w:spacing w:line="169" w:lineRule="auto"/>
      <w:ind w:left="4099"/>
      <w:rPr>
        <w:rFonts w:ascii="Calibri" w:hAnsi="Calibri" w:eastAsia="Calibri" w:cs="Calibri"/>
        <w:sz w:val="18"/>
        <w:szCs w:val="18"/>
      </w:rPr>
    </w:pPr>
    <w:r>
      <w:rPr>
        <w:rFonts w:ascii="Calibri" w:hAnsi="Calibri" w:eastAsia="Calibri" w:cs="Calibri"/>
        <w:spacing w:val="-3"/>
        <w:sz w:val="18"/>
        <w:szCs w:val="18"/>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39C3D">
    <w:pPr>
      <w:spacing w:line="169" w:lineRule="auto"/>
      <w:ind w:left="4099"/>
      <w:rPr>
        <w:rFonts w:ascii="Calibri" w:hAnsi="Calibri" w:eastAsia="Calibri" w:cs="Calibri"/>
        <w:sz w:val="18"/>
        <w:szCs w:val="18"/>
      </w:rPr>
    </w:pPr>
    <w:r>
      <w:rPr>
        <w:rFonts w:ascii="Calibri" w:hAnsi="Calibri" w:eastAsia="Calibri" w:cs="Calibri"/>
        <w:spacing w:val="-3"/>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B6C63">
    <w:pPr>
      <w:spacing w:line="168" w:lineRule="auto"/>
      <w:ind w:left="4152"/>
      <w:rPr>
        <w:rFonts w:ascii="Calibri" w:hAnsi="Calibri" w:eastAsia="Calibri" w:cs="Calibri"/>
        <w:sz w:val="18"/>
        <w:szCs w:val="18"/>
      </w:rPr>
    </w:pPr>
    <w:r>
      <w:rPr>
        <w:rFonts w:ascii="Calibri" w:hAnsi="Calibri" w:eastAsia="Calibri" w:cs="Calibri"/>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70AAF">
    <w:pPr>
      <w:spacing w:line="169" w:lineRule="auto"/>
      <w:ind w:left="4099"/>
      <w:rPr>
        <w:rFonts w:ascii="Calibri" w:hAnsi="Calibri" w:eastAsia="Calibri" w:cs="Calibri"/>
        <w:sz w:val="18"/>
        <w:szCs w:val="18"/>
      </w:rPr>
    </w:pPr>
    <w:r>
      <w:rPr>
        <w:rFonts w:ascii="Calibri" w:hAnsi="Calibri" w:eastAsia="Calibri" w:cs="Calibri"/>
        <w:spacing w:val="-3"/>
        <w:sz w:val="18"/>
        <w:szCs w:val="18"/>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655C8">
    <w:pPr>
      <w:spacing w:line="169" w:lineRule="auto"/>
      <w:ind w:left="4099"/>
      <w:rPr>
        <w:rFonts w:ascii="Calibri" w:hAnsi="Calibri" w:eastAsia="Calibri" w:cs="Calibri"/>
        <w:sz w:val="18"/>
        <w:szCs w:val="18"/>
      </w:rPr>
    </w:pPr>
    <w:r>
      <w:rPr>
        <w:rFonts w:ascii="Calibri" w:hAnsi="Calibri" w:eastAsia="Calibri" w:cs="Calibri"/>
        <w:spacing w:val="-3"/>
        <w:sz w:val="18"/>
        <w:szCs w:val="18"/>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620A0">
    <w:pPr>
      <w:spacing w:line="169" w:lineRule="auto"/>
      <w:ind w:left="4099"/>
      <w:rPr>
        <w:rFonts w:ascii="Calibri" w:hAnsi="Calibri" w:eastAsia="Calibri" w:cs="Calibri"/>
        <w:sz w:val="18"/>
        <w:szCs w:val="18"/>
      </w:rPr>
    </w:pPr>
    <w:r>
      <w:rPr>
        <w:rFonts w:ascii="Calibri" w:hAnsi="Calibri" w:eastAsia="Calibri" w:cs="Calibri"/>
        <w:spacing w:val="-3"/>
        <w:sz w:val="18"/>
        <w:szCs w:val="18"/>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031A2">
    <w:pPr>
      <w:spacing w:line="169" w:lineRule="auto"/>
      <w:ind w:left="4094"/>
      <w:rPr>
        <w:rFonts w:ascii="Calibri" w:hAnsi="Calibri" w:eastAsia="Calibri" w:cs="Calibri"/>
        <w:sz w:val="18"/>
        <w:szCs w:val="18"/>
      </w:rPr>
    </w:pPr>
    <w:r>
      <w:rPr>
        <w:rFonts w:ascii="Calibri" w:hAnsi="Calibri" w:eastAsia="Calibri" w:cs="Calibri"/>
        <w:spacing w:val="-2"/>
        <w:sz w:val="18"/>
        <w:szCs w:val="18"/>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290F6">
    <w:pPr>
      <w:spacing w:line="168" w:lineRule="auto"/>
      <w:ind w:left="4094"/>
      <w:rPr>
        <w:rFonts w:ascii="Calibri" w:hAnsi="Calibri" w:eastAsia="Calibri" w:cs="Calibri"/>
        <w:sz w:val="18"/>
        <w:szCs w:val="18"/>
      </w:rPr>
    </w:pPr>
    <w:r>
      <w:rPr>
        <w:rFonts w:ascii="Calibri" w:hAnsi="Calibri" w:eastAsia="Calibri" w:cs="Calibri"/>
        <w:spacing w:val="-2"/>
        <w:sz w:val="18"/>
        <w:szCs w:val="18"/>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84677">
    <w:pPr>
      <w:spacing w:line="169" w:lineRule="auto"/>
      <w:ind w:left="4094"/>
      <w:rPr>
        <w:rFonts w:ascii="Calibri" w:hAnsi="Calibri" w:eastAsia="Calibri" w:cs="Calibri"/>
        <w:sz w:val="18"/>
        <w:szCs w:val="18"/>
      </w:rPr>
    </w:pPr>
    <w:r>
      <w:rPr>
        <w:rFonts w:ascii="Calibri" w:hAnsi="Calibri" w:eastAsia="Calibri" w:cs="Calibri"/>
        <w:spacing w:val="-2"/>
        <w:sz w:val="18"/>
        <w:szCs w:val="18"/>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9EBA8">
    <w:pPr>
      <w:spacing w:line="169" w:lineRule="auto"/>
      <w:ind w:left="4094"/>
      <w:rPr>
        <w:rFonts w:ascii="Calibri" w:hAnsi="Calibri" w:eastAsia="Calibri" w:cs="Calibri"/>
        <w:sz w:val="18"/>
        <w:szCs w:val="18"/>
      </w:rPr>
    </w:pPr>
    <w:r>
      <w:rPr>
        <w:rFonts w:ascii="Calibri" w:hAnsi="Calibri" w:eastAsia="Calibri" w:cs="Calibri"/>
        <w:spacing w:val="-2"/>
        <w:sz w:val="18"/>
        <w:szCs w:val="18"/>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B96A2">
    <w:pPr>
      <w:spacing w:line="168" w:lineRule="auto"/>
      <w:ind w:left="4094"/>
      <w:rPr>
        <w:rFonts w:ascii="Calibri" w:hAnsi="Calibri" w:eastAsia="Calibri" w:cs="Calibri"/>
        <w:sz w:val="18"/>
        <w:szCs w:val="18"/>
      </w:rPr>
    </w:pPr>
    <w:r>
      <w:rPr>
        <w:rFonts w:ascii="Calibri" w:hAnsi="Calibri" w:eastAsia="Calibri" w:cs="Calibri"/>
        <w:spacing w:val="-2"/>
        <w:sz w:val="18"/>
        <w:szCs w:val="18"/>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37464">
    <w:pPr>
      <w:spacing w:line="168" w:lineRule="auto"/>
      <w:ind w:left="4094"/>
      <w:rPr>
        <w:rFonts w:ascii="Calibri" w:hAnsi="Calibri" w:eastAsia="Calibri" w:cs="Calibri"/>
        <w:sz w:val="18"/>
        <w:szCs w:val="18"/>
      </w:rPr>
    </w:pPr>
    <w:r>
      <w:rPr>
        <w:rFonts w:ascii="Calibri" w:hAnsi="Calibri" w:eastAsia="Calibri" w:cs="Calibri"/>
        <w:spacing w:val="-2"/>
        <w:sz w:val="18"/>
        <w:szCs w:val="18"/>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42817">
    <w:pPr>
      <w:spacing w:line="169" w:lineRule="auto"/>
      <w:ind w:left="4094"/>
      <w:rPr>
        <w:rFonts w:ascii="Calibri" w:hAnsi="Calibri" w:eastAsia="Calibri" w:cs="Calibri"/>
        <w:sz w:val="18"/>
        <w:szCs w:val="18"/>
      </w:rPr>
    </w:pPr>
    <w:r>
      <w:rPr>
        <w:rFonts w:ascii="Calibri" w:hAnsi="Calibri" w:eastAsia="Calibri" w:cs="Calibri"/>
        <w:spacing w:val="-2"/>
        <w:sz w:val="18"/>
        <w:szCs w:val="18"/>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FEFCC">
    <w:pPr>
      <w:spacing w:line="169" w:lineRule="auto"/>
      <w:ind w:left="4147"/>
      <w:rPr>
        <w:rFonts w:ascii="Calibri" w:hAnsi="Calibri" w:eastAsia="Calibri" w:cs="Calibri"/>
        <w:sz w:val="18"/>
        <w:szCs w:val="18"/>
      </w:rPr>
    </w:pPr>
    <w:r>
      <w:rPr>
        <w:rFonts w:ascii="Calibri" w:hAnsi="Calibri" w:eastAsia="Calibri" w:cs="Calibri"/>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CF6D">
    <w:pPr>
      <w:spacing w:line="168" w:lineRule="auto"/>
      <w:ind w:left="4094"/>
      <w:rPr>
        <w:rFonts w:ascii="Calibri" w:hAnsi="Calibri" w:eastAsia="Calibri" w:cs="Calibri"/>
        <w:sz w:val="18"/>
        <w:szCs w:val="18"/>
      </w:rPr>
    </w:pPr>
    <w:r>
      <w:rPr>
        <w:rFonts w:ascii="Calibri" w:hAnsi="Calibri" w:eastAsia="Calibri" w:cs="Calibri"/>
        <w:spacing w:val="-2"/>
        <w:sz w:val="18"/>
        <w:szCs w:val="18"/>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9D480">
    <w:pPr>
      <w:spacing w:line="169" w:lineRule="auto"/>
      <w:ind w:left="4094"/>
      <w:rPr>
        <w:rFonts w:ascii="Calibri" w:hAnsi="Calibri" w:eastAsia="Calibri" w:cs="Calibri"/>
        <w:sz w:val="18"/>
        <w:szCs w:val="18"/>
      </w:rPr>
    </w:pPr>
    <w:r>
      <w:rPr>
        <w:rFonts w:ascii="Calibri" w:hAnsi="Calibri" w:eastAsia="Calibri" w:cs="Calibri"/>
        <w:spacing w:val="-2"/>
        <w:sz w:val="18"/>
        <w:szCs w:val="18"/>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255A">
    <w:pPr>
      <w:spacing w:line="169" w:lineRule="auto"/>
      <w:ind w:left="4094"/>
      <w:rPr>
        <w:rFonts w:ascii="Calibri" w:hAnsi="Calibri" w:eastAsia="Calibri" w:cs="Calibri"/>
        <w:sz w:val="18"/>
        <w:szCs w:val="18"/>
      </w:rPr>
    </w:pPr>
    <w:r>
      <w:rPr>
        <w:rFonts w:ascii="Calibri" w:hAnsi="Calibri" w:eastAsia="Calibri" w:cs="Calibri"/>
        <w:spacing w:val="-2"/>
        <w:sz w:val="18"/>
        <w:szCs w:val="18"/>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F5FCC">
    <w:pPr>
      <w:spacing w:line="169" w:lineRule="auto"/>
      <w:ind w:left="4099"/>
      <w:rPr>
        <w:rFonts w:ascii="Calibri" w:hAnsi="Calibri" w:eastAsia="Calibri" w:cs="Calibri"/>
        <w:sz w:val="18"/>
        <w:szCs w:val="18"/>
      </w:rPr>
    </w:pPr>
    <w:r>
      <w:rPr>
        <w:rFonts w:ascii="Calibri" w:hAnsi="Calibri" w:eastAsia="Calibri" w:cs="Calibri"/>
        <w:spacing w:val="-3"/>
        <w:sz w:val="18"/>
        <w:szCs w:val="18"/>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693DB">
    <w:pPr>
      <w:spacing w:line="168" w:lineRule="auto"/>
      <w:ind w:left="4099"/>
      <w:rPr>
        <w:rFonts w:ascii="Calibri" w:hAnsi="Calibri" w:eastAsia="Calibri" w:cs="Calibri"/>
        <w:sz w:val="18"/>
        <w:szCs w:val="18"/>
      </w:rPr>
    </w:pPr>
    <w:r>
      <w:rPr>
        <w:rFonts w:ascii="Calibri" w:hAnsi="Calibri" w:eastAsia="Calibri" w:cs="Calibri"/>
        <w:spacing w:val="-3"/>
        <w:sz w:val="18"/>
        <w:szCs w:val="18"/>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D6477">
    <w:pPr>
      <w:spacing w:line="169" w:lineRule="auto"/>
      <w:ind w:left="4099"/>
      <w:rPr>
        <w:rFonts w:ascii="Calibri" w:hAnsi="Calibri" w:eastAsia="Calibri" w:cs="Calibri"/>
        <w:sz w:val="18"/>
        <w:szCs w:val="18"/>
      </w:rPr>
    </w:pPr>
    <w:r>
      <w:rPr>
        <w:rFonts w:ascii="Calibri" w:hAnsi="Calibri" w:eastAsia="Calibri" w:cs="Calibri"/>
        <w:spacing w:val="-3"/>
        <w:sz w:val="18"/>
        <w:szCs w:val="18"/>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8D2FD">
    <w:pPr>
      <w:spacing w:line="169" w:lineRule="auto"/>
      <w:ind w:left="4099"/>
      <w:rPr>
        <w:rFonts w:ascii="Calibri" w:hAnsi="Calibri" w:eastAsia="Calibri" w:cs="Calibri"/>
        <w:sz w:val="18"/>
        <w:szCs w:val="18"/>
      </w:rPr>
    </w:pPr>
    <w:r>
      <w:rPr>
        <w:rFonts w:ascii="Calibri" w:hAnsi="Calibri" w:eastAsia="Calibri" w:cs="Calibri"/>
        <w:spacing w:val="-3"/>
        <w:sz w:val="18"/>
        <w:szCs w:val="18"/>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26FA0">
    <w:pPr>
      <w:spacing w:line="168" w:lineRule="auto"/>
      <w:ind w:left="4099"/>
      <w:rPr>
        <w:rFonts w:ascii="Calibri" w:hAnsi="Calibri" w:eastAsia="Calibri" w:cs="Calibri"/>
        <w:sz w:val="18"/>
        <w:szCs w:val="18"/>
      </w:rPr>
    </w:pPr>
    <w:r>
      <w:rPr>
        <w:rFonts w:ascii="Calibri" w:hAnsi="Calibri" w:eastAsia="Calibri" w:cs="Calibri"/>
        <w:spacing w:val="-3"/>
        <w:sz w:val="18"/>
        <w:szCs w:val="18"/>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4AB9">
    <w:pPr>
      <w:spacing w:line="167" w:lineRule="auto"/>
      <w:ind w:left="4099"/>
      <w:rPr>
        <w:rFonts w:ascii="Calibri" w:hAnsi="Calibri" w:eastAsia="Calibri" w:cs="Calibri"/>
        <w:sz w:val="18"/>
        <w:szCs w:val="18"/>
      </w:rPr>
    </w:pPr>
    <w:r>
      <w:rPr>
        <w:rFonts w:ascii="Calibri" w:hAnsi="Calibri" w:eastAsia="Calibri" w:cs="Calibri"/>
        <w:spacing w:val="-3"/>
        <w:sz w:val="18"/>
        <w:szCs w:val="18"/>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9329F">
    <w:pPr>
      <w:spacing w:line="169" w:lineRule="auto"/>
      <w:ind w:left="4099"/>
      <w:rPr>
        <w:rFonts w:ascii="Calibri" w:hAnsi="Calibri" w:eastAsia="Calibri" w:cs="Calibri"/>
        <w:sz w:val="18"/>
        <w:szCs w:val="18"/>
      </w:rPr>
    </w:pPr>
    <w:r>
      <w:rPr>
        <w:rFonts w:ascii="Calibri" w:hAnsi="Calibri" w:eastAsia="Calibri" w:cs="Calibri"/>
        <w:spacing w:val="-3"/>
        <w:sz w:val="18"/>
        <w:szCs w:val="18"/>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75E88">
    <w:pPr>
      <w:spacing w:line="169" w:lineRule="auto"/>
      <w:ind w:left="4146"/>
      <w:rPr>
        <w:rFonts w:ascii="Calibri" w:hAnsi="Calibri" w:eastAsia="Calibri" w:cs="Calibri"/>
        <w:sz w:val="18"/>
        <w:szCs w:val="18"/>
      </w:rPr>
    </w:pPr>
    <w:r>
      <w:rPr>
        <w:rFonts w:ascii="Calibri" w:hAnsi="Calibri" w:eastAsia="Calibri" w:cs="Calibri"/>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1F87A">
    <w:pPr>
      <w:spacing w:line="167" w:lineRule="auto"/>
      <w:ind w:left="4099"/>
      <w:rPr>
        <w:rFonts w:ascii="Calibri" w:hAnsi="Calibri" w:eastAsia="Calibri" w:cs="Calibri"/>
        <w:sz w:val="18"/>
        <w:szCs w:val="18"/>
      </w:rPr>
    </w:pPr>
    <w:r>
      <w:rPr>
        <w:rFonts w:ascii="Calibri" w:hAnsi="Calibri" w:eastAsia="Calibri" w:cs="Calibri"/>
        <w:spacing w:val="-3"/>
        <w:sz w:val="18"/>
        <w:szCs w:val="18"/>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13C70">
    <w:pPr>
      <w:spacing w:line="169" w:lineRule="auto"/>
      <w:ind w:left="4099"/>
      <w:rPr>
        <w:rFonts w:ascii="Calibri" w:hAnsi="Calibri" w:eastAsia="Calibri" w:cs="Calibri"/>
        <w:sz w:val="18"/>
        <w:szCs w:val="18"/>
      </w:rPr>
    </w:pPr>
    <w:r>
      <w:rPr>
        <w:rFonts w:ascii="Calibri" w:hAnsi="Calibri" w:eastAsia="Calibri" w:cs="Calibri"/>
        <w:spacing w:val="-3"/>
        <w:sz w:val="18"/>
        <w:szCs w:val="18"/>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7241F">
    <w:pPr>
      <w:spacing w:line="169" w:lineRule="auto"/>
      <w:ind w:left="4099"/>
      <w:rPr>
        <w:rFonts w:ascii="Calibri" w:hAnsi="Calibri" w:eastAsia="Calibri" w:cs="Calibri"/>
        <w:sz w:val="18"/>
        <w:szCs w:val="18"/>
      </w:rPr>
    </w:pPr>
    <w:r>
      <w:rPr>
        <w:rFonts w:ascii="Calibri" w:hAnsi="Calibri" w:eastAsia="Calibri" w:cs="Calibri"/>
        <w:spacing w:val="-3"/>
        <w:sz w:val="18"/>
        <w:szCs w:val="18"/>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6262C">
    <w:pPr>
      <w:spacing w:line="169" w:lineRule="auto"/>
      <w:ind w:left="4100"/>
      <w:rPr>
        <w:rFonts w:ascii="Calibri" w:hAnsi="Calibri" w:eastAsia="Calibri" w:cs="Calibri"/>
        <w:sz w:val="18"/>
        <w:szCs w:val="18"/>
      </w:rPr>
    </w:pPr>
    <w:r>
      <w:rPr>
        <w:rFonts w:ascii="Calibri" w:hAnsi="Calibri" w:eastAsia="Calibri" w:cs="Calibri"/>
        <w:spacing w:val="-3"/>
        <w:sz w:val="18"/>
        <w:szCs w:val="18"/>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5930C">
    <w:pPr>
      <w:spacing w:line="169" w:lineRule="auto"/>
      <w:ind w:left="4100"/>
      <w:rPr>
        <w:rFonts w:ascii="Calibri" w:hAnsi="Calibri" w:eastAsia="Calibri" w:cs="Calibri"/>
        <w:sz w:val="18"/>
        <w:szCs w:val="18"/>
      </w:rPr>
    </w:pPr>
    <w:r>
      <w:rPr>
        <w:rFonts w:ascii="Calibri" w:hAnsi="Calibri" w:eastAsia="Calibri" w:cs="Calibri"/>
        <w:spacing w:val="-3"/>
        <w:sz w:val="18"/>
        <w:szCs w:val="18"/>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ECC53">
    <w:pPr>
      <w:spacing w:line="169" w:lineRule="auto"/>
      <w:ind w:left="4100"/>
      <w:rPr>
        <w:rFonts w:ascii="Calibri" w:hAnsi="Calibri" w:eastAsia="Calibri" w:cs="Calibri"/>
        <w:sz w:val="18"/>
        <w:szCs w:val="18"/>
      </w:rPr>
    </w:pPr>
    <w:r>
      <w:rPr>
        <w:rFonts w:ascii="Calibri" w:hAnsi="Calibri" w:eastAsia="Calibri" w:cs="Calibri"/>
        <w:spacing w:val="-3"/>
        <w:sz w:val="18"/>
        <w:szCs w:val="18"/>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37152">
    <w:pPr>
      <w:spacing w:line="169" w:lineRule="auto"/>
      <w:ind w:left="4100"/>
      <w:rPr>
        <w:rFonts w:ascii="Calibri" w:hAnsi="Calibri" w:eastAsia="Calibri" w:cs="Calibri"/>
        <w:sz w:val="18"/>
        <w:szCs w:val="18"/>
      </w:rPr>
    </w:pPr>
    <w:r>
      <w:rPr>
        <w:rFonts w:ascii="Calibri" w:hAnsi="Calibri" w:eastAsia="Calibri" w:cs="Calibri"/>
        <w:spacing w:val="-3"/>
        <w:sz w:val="18"/>
        <w:szCs w:val="18"/>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CCFE9">
    <w:pPr>
      <w:spacing w:line="169" w:lineRule="auto"/>
      <w:ind w:left="4100"/>
      <w:rPr>
        <w:rFonts w:ascii="Calibri" w:hAnsi="Calibri" w:eastAsia="Calibri" w:cs="Calibri"/>
        <w:sz w:val="18"/>
        <w:szCs w:val="18"/>
      </w:rPr>
    </w:pPr>
    <w:r>
      <w:rPr>
        <w:rFonts w:ascii="Calibri" w:hAnsi="Calibri" w:eastAsia="Calibri" w:cs="Calibri"/>
        <w:spacing w:val="-3"/>
        <w:sz w:val="18"/>
        <w:szCs w:val="18"/>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864B9">
    <w:pPr>
      <w:spacing w:line="169" w:lineRule="auto"/>
      <w:ind w:left="4100"/>
      <w:rPr>
        <w:rFonts w:ascii="Calibri" w:hAnsi="Calibri" w:eastAsia="Calibri" w:cs="Calibri"/>
        <w:sz w:val="18"/>
        <w:szCs w:val="18"/>
      </w:rPr>
    </w:pPr>
    <w:r>
      <w:rPr>
        <w:rFonts w:ascii="Calibri" w:hAnsi="Calibri" w:eastAsia="Calibri" w:cs="Calibri"/>
        <w:spacing w:val="-3"/>
        <w:sz w:val="18"/>
        <w:szCs w:val="18"/>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FA533">
    <w:pPr>
      <w:spacing w:line="169" w:lineRule="auto"/>
      <w:ind w:left="4100"/>
      <w:rPr>
        <w:rFonts w:ascii="Calibri" w:hAnsi="Calibri" w:eastAsia="Calibri" w:cs="Calibri"/>
        <w:sz w:val="18"/>
        <w:szCs w:val="18"/>
      </w:rPr>
    </w:pPr>
    <w:r>
      <w:rPr>
        <w:rFonts w:ascii="Calibri" w:hAnsi="Calibri" w:eastAsia="Calibri" w:cs="Calibri"/>
        <w:spacing w:val="-3"/>
        <w:sz w:val="18"/>
        <w:szCs w:val="18"/>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3F9EA">
    <w:pPr>
      <w:spacing w:line="168" w:lineRule="auto"/>
      <w:ind w:left="4141"/>
      <w:rPr>
        <w:rFonts w:ascii="Calibri" w:hAnsi="Calibri" w:eastAsia="Calibri" w:cs="Calibri"/>
        <w:sz w:val="18"/>
        <w:szCs w:val="18"/>
      </w:rPr>
    </w:pPr>
    <w:r>
      <w:rPr>
        <w:rFonts w:ascii="Calibri" w:hAnsi="Calibri" w:eastAsia="Calibri" w:cs="Calibri"/>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A9E7D">
    <w:pPr>
      <w:spacing w:line="169" w:lineRule="auto"/>
      <w:ind w:left="4100"/>
      <w:rPr>
        <w:rFonts w:ascii="Calibri" w:hAnsi="Calibri" w:eastAsia="Calibri" w:cs="Calibri"/>
        <w:sz w:val="18"/>
        <w:szCs w:val="18"/>
      </w:rPr>
    </w:pPr>
    <w:r>
      <w:rPr>
        <w:rFonts w:ascii="Calibri" w:hAnsi="Calibri" w:eastAsia="Calibri" w:cs="Calibri"/>
        <w:spacing w:val="-3"/>
        <w:sz w:val="18"/>
        <w:szCs w:val="18"/>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08B01">
    <w:pPr>
      <w:spacing w:line="169" w:lineRule="auto"/>
      <w:ind w:left="4100"/>
      <w:rPr>
        <w:rFonts w:ascii="Calibri" w:hAnsi="Calibri" w:eastAsia="Calibri" w:cs="Calibri"/>
        <w:sz w:val="18"/>
        <w:szCs w:val="18"/>
      </w:rPr>
    </w:pPr>
    <w:r>
      <w:rPr>
        <w:rFonts w:ascii="Calibri" w:hAnsi="Calibri" w:eastAsia="Calibri" w:cs="Calibri"/>
        <w:spacing w:val="-3"/>
        <w:sz w:val="18"/>
        <w:szCs w:val="18"/>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E2DB1">
    <w:pPr>
      <w:spacing w:line="169" w:lineRule="auto"/>
      <w:ind w:left="4100"/>
      <w:rPr>
        <w:rFonts w:ascii="Calibri" w:hAnsi="Calibri" w:eastAsia="Calibri" w:cs="Calibri"/>
        <w:sz w:val="18"/>
        <w:szCs w:val="18"/>
      </w:rPr>
    </w:pPr>
    <w:r>
      <w:rPr>
        <w:rFonts w:ascii="Calibri" w:hAnsi="Calibri" w:eastAsia="Calibri" w:cs="Calibri"/>
        <w:spacing w:val="-3"/>
        <w:sz w:val="18"/>
        <w:szCs w:val="18"/>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84945">
    <w:pPr>
      <w:spacing w:line="169" w:lineRule="auto"/>
      <w:ind w:left="4099"/>
      <w:rPr>
        <w:rFonts w:ascii="Calibri" w:hAnsi="Calibri" w:eastAsia="Calibri" w:cs="Calibri"/>
        <w:sz w:val="18"/>
        <w:szCs w:val="18"/>
      </w:rPr>
    </w:pPr>
    <w:r>
      <w:rPr>
        <w:rFonts w:ascii="Calibri" w:hAnsi="Calibri" w:eastAsia="Calibri" w:cs="Calibri"/>
        <w:spacing w:val="-3"/>
        <w:sz w:val="18"/>
        <w:szCs w:val="18"/>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6786">
    <w:pPr>
      <w:spacing w:line="168" w:lineRule="auto"/>
      <w:ind w:left="4099"/>
      <w:rPr>
        <w:rFonts w:ascii="Calibri" w:hAnsi="Calibri" w:eastAsia="Calibri" w:cs="Calibri"/>
        <w:sz w:val="18"/>
        <w:szCs w:val="18"/>
      </w:rPr>
    </w:pPr>
    <w:r>
      <w:rPr>
        <w:rFonts w:ascii="Calibri" w:hAnsi="Calibri" w:eastAsia="Calibri" w:cs="Calibri"/>
        <w:spacing w:val="-3"/>
        <w:sz w:val="18"/>
        <w:szCs w:val="18"/>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62F82">
    <w:pPr>
      <w:spacing w:line="169" w:lineRule="auto"/>
      <w:ind w:left="4099"/>
      <w:rPr>
        <w:rFonts w:ascii="Calibri" w:hAnsi="Calibri" w:eastAsia="Calibri" w:cs="Calibri"/>
        <w:sz w:val="18"/>
        <w:szCs w:val="18"/>
      </w:rPr>
    </w:pPr>
    <w:r>
      <w:rPr>
        <w:rFonts w:ascii="Calibri" w:hAnsi="Calibri" w:eastAsia="Calibri" w:cs="Calibri"/>
        <w:spacing w:val="-3"/>
        <w:sz w:val="18"/>
        <w:szCs w:val="18"/>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0D12">
    <w:pPr>
      <w:spacing w:line="169" w:lineRule="auto"/>
      <w:ind w:left="4099"/>
      <w:rPr>
        <w:rFonts w:ascii="Calibri" w:hAnsi="Calibri" w:eastAsia="Calibri" w:cs="Calibri"/>
        <w:sz w:val="18"/>
        <w:szCs w:val="18"/>
      </w:rPr>
    </w:pPr>
    <w:r>
      <w:rPr>
        <w:rFonts w:ascii="Calibri" w:hAnsi="Calibri" w:eastAsia="Calibri" w:cs="Calibri"/>
        <w:spacing w:val="-3"/>
        <w:sz w:val="18"/>
        <w:szCs w:val="18"/>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F14DD">
    <w:pPr>
      <w:spacing w:line="168" w:lineRule="auto"/>
      <w:ind w:left="4099"/>
      <w:rPr>
        <w:rFonts w:ascii="Calibri" w:hAnsi="Calibri" w:eastAsia="Calibri" w:cs="Calibri"/>
        <w:sz w:val="18"/>
        <w:szCs w:val="18"/>
      </w:rPr>
    </w:pPr>
    <w:r>
      <w:rPr>
        <w:rFonts w:ascii="Calibri" w:hAnsi="Calibri" w:eastAsia="Calibri" w:cs="Calibri"/>
        <w:spacing w:val="-3"/>
        <w:sz w:val="18"/>
        <w:szCs w:val="18"/>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4F03">
    <w:pPr>
      <w:spacing w:line="167" w:lineRule="auto"/>
      <w:ind w:left="4099"/>
      <w:rPr>
        <w:rFonts w:ascii="Calibri" w:hAnsi="Calibri" w:eastAsia="Calibri" w:cs="Calibri"/>
        <w:sz w:val="18"/>
        <w:szCs w:val="18"/>
      </w:rPr>
    </w:pPr>
    <w:r>
      <w:rPr>
        <w:rFonts w:ascii="Calibri" w:hAnsi="Calibri" w:eastAsia="Calibri" w:cs="Calibri"/>
        <w:spacing w:val="-3"/>
        <w:sz w:val="18"/>
        <w:szCs w:val="18"/>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3351D">
    <w:pPr>
      <w:spacing w:line="169" w:lineRule="auto"/>
      <w:ind w:left="4099"/>
      <w:rPr>
        <w:rFonts w:ascii="Calibri" w:hAnsi="Calibri" w:eastAsia="Calibri" w:cs="Calibri"/>
        <w:sz w:val="18"/>
        <w:szCs w:val="18"/>
      </w:rPr>
    </w:pPr>
    <w:r>
      <w:rPr>
        <w:rFonts w:ascii="Calibri" w:hAnsi="Calibri" w:eastAsia="Calibri" w:cs="Calibri"/>
        <w:spacing w:val="-3"/>
        <w:sz w:val="18"/>
        <w:szCs w:val="18"/>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8893">
    <w:pPr>
      <w:spacing w:line="167" w:lineRule="auto"/>
      <w:ind w:left="4146"/>
      <w:rPr>
        <w:rFonts w:ascii="Calibri" w:hAnsi="Calibri" w:eastAsia="Calibri" w:cs="Calibri"/>
        <w:sz w:val="18"/>
        <w:szCs w:val="18"/>
      </w:rPr>
    </w:pPr>
    <w:r>
      <w:rPr>
        <w:rFonts w:ascii="Calibri" w:hAnsi="Calibri" w:eastAsia="Calibri" w:cs="Calibri"/>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BAFBE">
    <w:pPr>
      <w:spacing w:line="167" w:lineRule="auto"/>
      <w:ind w:left="4099"/>
      <w:rPr>
        <w:rFonts w:ascii="Calibri" w:hAnsi="Calibri" w:eastAsia="Calibri" w:cs="Calibri"/>
        <w:sz w:val="18"/>
        <w:szCs w:val="18"/>
      </w:rPr>
    </w:pPr>
    <w:r>
      <w:rPr>
        <w:rFonts w:ascii="Calibri" w:hAnsi="Calibri" w:eastAsia="Calibri" w:cs="Calibri"/>
        <w:spacing w:val="-3"/>
        <w:sz w:val="18"/>
        <w:szCs w:val="18"/>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81D17">
    <w:pPr>
      <w:spacing w:line="169" w:lineRule="auto"/>
      <w:ind w:left="4099"/>
      <w:rPr>
        <w:rFonts w:ascii="Calibri" w:hAnsi="Calibri" w:eastAsia="Calibri" w:cs="Calibri"/>
        <w:sz w:val="18"/>
        <w:szCs w:val="18"/>
      </w:rPr>
    </w:pPr>
    <w:r>
      <w:rPr>
        <w:rFonts w:ascii="Calibri" w:hAnsi="Calibri" w:eastAsia="Calibri" w:cs="Calibri"/>
        <w:spacing w:val="-3"/>
        <w:sz w:val="18"/>
        <w:szCs w:val="18"/>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1FCD4">
    <w:pPr>
      <w:spacing w:line="169" w:lineRule="auto"/>
      <w:ind w:left="4099"/>
      <w:rPr>
        <w:rFonts w:ascii="Calibri" w:hAnsi="Calibri" w:eastAsia="Calibri" w:cs="Calibri"/>
        <w:sz w:val="18"/>
        <w:szCs w:val="18"/>
      </w:rPr>
    </w:pPr>
    <w:r>
      <w:rPr>
        <w:rFonts w:ascii="Calibri" w:hAnsi="Calibri" w:eastAsia="Calibri" w:cs="Calibri"/>
        <w:spacing w:val="-3"/>
        <w:sz w:val="18"/>
        <w:szCs w:val="18"/>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DB563">
    <w:pPr>
      <w:spacing w:line="169" w:lineRule="auto"/>
      <w:ind w:left="4097"/>
      <w:rPr>
        <w:rFonts w:ascii="Calibri" w:hAnsi="Calibri" w:eastAsia="Calibri" w:cs="Calibri"/>
        <w:sz w:val="18"/>
        <w:szCs w:val="18"/>
      </w:rPr>
    </w:pPr>
    <w:r>
      <w:rPr>
        <w:rFonts w:ascii="Calibri" w:hAnsi="Calibri" w:eastAsia="Calibri" w:cs="Calibri"/>
        <w:spacing w:val="-2"/>
        <w:sz w:val="18"/>
        <w:szCs w:val="18"/>
      </w:rPr>
      <w:t>80</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12E87">
    <w:pPr>
      <w:spacing w:line="169" w:lineRule="auto"/>
      <w:ind w:left="4097"/>
      <w:rPr>
        <w:rFonts w:ascii="Calibri" w:hAnsi="Calibri" w:eastAsia="Calibri" w:cs="Calibri"/>
        <w:sz w:val="18"/>
        <w:szCs w:val="18"/>
      </w:rPr>
    </w:pPr>
    <w:r>
      <w:rPr>
        <w:rFonts w:ascii="Calibri" w:hAnsi="Calibri" w:eastAsia="Calibri" w:cs="Calibri"/>
        <w:spacing w:val="-2"/>
        <w:sz w:val="18"/>
        <w:szCs w:val="18"/>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C9AD3">
    <w:pPr>
      <w:spacing w:line="169" w:lineRule="auto"/>
      <w:ind w:left="4097"/>
      <w:rPr>
        <w:rFonts w:ascii="Calibri" w:hAnsi="Calibri" w:eastAsia="Calibri" w:cs="Calibri"/>
        <w:sz w:val="18"/>
        <w:szCs w:val="18"/>
      </w:rPr>
    </w:pPr>
    <w:r>
      <w:rPr>
        <w:rFonts w:ascii="Calibri" w:hAnsi="Calibri" w:eastAsia="Calibri" w:cs="Calibri"/>
        <w:spacing w:val="-2"/>
        <w:sz w:val="18"/>
        <w:szCs w:val="18"/>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ADA9E">
    <w:pPr>
      <w:spacing w:line="169" w:lineRule="auto"/>
      <w:ind w:left="4097"/>
      <w:rPr>
        <w:rFonts w:ascii="Calibri" w:hAnsi="Calibri" w:eastAsia="Calibri" w:cs="Calibri"/>
        <w:sz w:val="18"/>
        <w:szCs w:val="18"/>
      </w:rPr>
    </w:pPr>
    <w:r>
      <w:rPr>
        <w:rFonts w:ascii="Calibri" w:hAnsi="Calibri" w:eastAsia="Calibri" w:cs="Calibri"/>
        <w:spacing w:val="-2"/>
        <w:sz w:val="18"/>
        <w:szCs w:val="18"/>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A0B02">
    <w:pPr>
      <w:spacing w:line="169" w:lineRule="auto"/>
      <w:ind w:left="4097"/>
      <w:rPr>
        <w:rFonts w:ascii="Calibri" w:hAnsi="Calibri" w:eastAsia="Calibri" w:cs="Calibri"/>
        <w:sz w:val="18"/>
        <w:szCs w:val="18"/>
      </w:rPr>
    </w:pPr>
    <w:r>
      <w:rPr>
        <w:rFonts w:ascii="Calibri" w:hAnsi="Calibri" w:eastAsia="Calibri" w:cs="Calibri"/>
        <w:spacing w:val="-2"/>
        <w:sz w:val="18"/>
        <w:szCs w:val="18"/>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96FE8">
    <w:pPr>
      <w:spacing w:line="169" w:lineRule="auto"/>
      <w:ind w:left="4097"/>
      <w:rPr>
        <w:rFonts w:ascii="Calibri" w:hAnsi="Calibri" w:eastAsia="Calibri" w:cs="Calibri"/>
        <w:sz w:val="18"/>
        <w:szCs w:val="18"/>
      </w:rPr>
    </w:pPr>
    <w:r>
      <w:rPr>
        <w:rFonts w:ascii="Calibri" w:hAnsi="Calibri" w:eastAsia="Calibri" w:cs="Calibri"/>
        <w:spacing w:val="-2"/>
        <w:sz w:val="18"/>
        <w:szCs w:val="18"/>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1F9DA">
    <w:pPr>
      <w:spacing w:line="169" w:lineRule="auto"/>
      <w:ind w:left="4097"/>
      <w:rPr>
        <w:rFonts w:ascii="Calibri" w:hAnsi="Calibri" w:eastAsia="Calibri" w:cs="Calibri"/>
        <w:sz w:val="18"/>
        <w:szCs w:val="18"/>
      </w:rPr>
    </w:pPr>
    <w:r>
      <w:rPr>
        <w:rFonts w:ascii="Calibri" w:hAnsi="Calibri" w:eastAsia="Calibri" w:cs="Calibri"/>
        <w:spacing w:val="-2"/>
        <w:sz w:val="18"/>
        <w:szCs w:val="18"/>
      </w:rPr>
      <w:t>86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61CCB">
    <w:pPr>
      <w:spacing w:line="169" w:lineRule="auto"/>
      <w:ind w:left="4146"/>
      <w:rPr>
        <w:rFonts w:ascii="Calibri" w:hAnsi="Calibri" w:eastAsia="Calibri" w:cs="Calibri"/>
        <w:sz w:val="18"/>
        <w:szCs w:val="18"/>
      </w:rPr>
    </w:pPr>
    <w:r>
      <w:rPr>
        <w:rFonts w:ascii="Calibri" w:hAnsi="Calibri" w:eastAsia="Calibri" w:cs="Calibri"/>
        <w:sz w:val="18"/>
        <w:szCs w:val="18"/>
      </w:rPr>
      <w:t>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9F480">
    <w:pPr>
      <w:spacing w:line="169" w:lineRule="auto"/>
      <w:ind w:left="4097"/>
      <w:rPr>
        <w:rFonts w:ascii="Calibri" w:hAnsi="Calibri" w:eastAsia="Calibri" w:cs="Calibri"/>
        <w:sz w:val="18"/>
        <w:szCs w:val="18"/>
      </w:rPr>
    </w:pPr>
    <w:r>
      <w:rPr>
        <w:rFonts w:ascii="Calibri" w:hAnsi="Calibri" w:eastAsia="Calibri" w:cs="Calibri"/>
        <w:spacing w:val="-2"/>
        <w:sz w:val="18"/>
        <w:szCs w:val="18"/>
      </w:rPr>
      <w:t>87</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88D48">
    <w:pPr>
      <w:spacing w:line="169" w:lineRule="auto"/>
      <w:ind w:left="4097"/>
      <w:rPr>
        <w:rFonts w:ascii="Calibri" w:hAnsi="Calibri" w:eastAsia="Calibri" w:cs="Calibri"/>
        <w:sz w:val="18"/>
        <w:szCs w:val="18"/>
      </w:rPr>
    </w:pPr>
    <w:r>
      <w:rPr>
        <w:rFonts w:ascii="Calibri" w:hAnsi="Calibri" w:eastAsia="Calibri" w:cs="Calibri"/>
        <w:spacing w:val="-2"/>
        <w:sz w:val="18"/>
        <w:szCs w:val="18"/>
      </w:rPr>
      <w:t>88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D7393">
    <w:pPr>
      <w:spacing w:line="169" w:lineRule="auto"/>
      <w:ind w:left="4097"/>
      <w:rPr>
        <w:rFonts w:ascii="Calibri" w:hAnsi="Calibri" w:eastAsia="Calibri" w:cs="Calibri"/>
        <w:sz w:val="18"/>
        <w:szCs w:val="18"/>
      </w:rPr>
    </w:pPr>
    <w:r>
      <w:rPr>
        <w:rFonts w:ascii="Calibri" w:hAnsi="Calibri" w:eastAsia="Calibri" w:cs="Calibri"/>
        <w:spacing w:val="-2"/>
        <w:sz w:val="18"/>
        <w:szCs w:val="18"/>
      </w:rPr>
      <w:t>89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D5CB2">
    <w:pPr>
      <w:spacing w:line="169" w:lineRule="auto"/>
      <w:ind w:left="4097"/>
      <w:rPr>
        <w:rFonts w:ascii="Calibri" w:hAnsi="Calibri" w:eastAsia="Calibri" w:cs="Calibri"/>
        <w:sz w:val="18"/>
        <w:szCs w:val="18"/>
      </w:rPr>
    </w:pPr>
    <w:r>
      <w:rPr>
        <w:rFonts w:ascii="Calibri" w:hAnsi="Calibri" w:eastAsia="Calibri" w:cs="Calibri"/>
        <w:spacing w:val="-2"/>
        <w:sz w:val="18"/>
        <w:szCs w:val="18"/>
      </w:rPr>
      <w:t>90</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F92CF">
    <w:pPr>
      <w:spacing w:line="169" w:lineRule="auto"/>
      <w:ind w:left="4097"/>
      <w:rPr>
        <w:rFonts w:ascii="Calibri" w:hAnsi="Calibri" w:eastAsia="Calibri" w:cs="Calibri"/>
        <w:sz w:val="18"/>
        <w:szCs w:val="18"/>
      </w:rPr>
    </w:pPr>
    <w:r>
      <w:rPr>
        <w:rFonts w:ascii="Calibri" w:hAnsi="Calibri" w:eastAsia="Calibri" w:cs="Calibri"/>
        <w:spacing w:val="-2"/>
        <w:sz w:val="18"/>
        <w:szCs w:val="18"/>
      </w:rPr>
      <w:t>91</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835DE">
    <w:pPr>
      <w:spacing w:line="169" w:lineRule="auto"/>
      <w:ind w:left="4097"/>
      <w:rPr>
        <w:rFonts w:ascii="Calibri" w:hAnsi="Calibri" w:eastAsia="Calibri" w:cs="Calibri"/>
        <w:sz w:val="18"/>
        <w:szCs w:val="18"/>
      </w:rPr>
    </w:pPr>
    <w:r>
      <w:rPr>
        <w:rFonts w:ascii="Calibri" w:hAnsi="Calibri" w:eastAsia="Calibri" w:cs="Calibri"/>
        <w:spacing w:val="-2"/>
        <w:sz w:val="18"/>
        <w:szCs w:val="18"/>
      </w:rPr>
      <w:t>92</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C0268">
    <w:pPr>
      <w:spacing w:line="169" w:lineRule="auto"/>
      <w:ind w:left="4097"/>
      <w:rPr>
        <w:rFonts w:ascii="Calibri" w:hAnsi="Calibri" w:eastAsia="Calibri" w:cs="Calibri"/>
        <w:sz w:val="18"/>
        <w:szCs w:val="18"/>
      </w:rPr>
    </w:pPr>
    <w:r>
      <w:rPr>
        <w:rFonts w:ascii="Calibri" w:hAnsi="Calibri" w:eastAsia="Calibri" w:cs="Calibri"/>
        <w:spacing w:val="-2"/>
        <w:sz w:val="18"/>
        <w:szCs w:val="18"/>
      </w:rPr>
      <w:t>93</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1BA04">
    <w:pPr>
      <w:spacing w:line="169" w:lineRule="auto"/>
      <w:ind w:left="4097"/>
      <w:rPr>
        <w:rFonts w:ascii="Calibri" w:hAnsi="Calibri" w:eastAsia="Calibri" w:cs="Calibri"/>
        <w:sz w:val="18"/>
        <w:szCs w:val="18"/>
      </w:rPr>
    </w:pPr>
    <w:r>
      <w:rPr>
        <w:rFonts w:ascii="Calibri" w:hAnsi="Calibri" w:eastAsia="Calibri" w:cs="Calibri"/>
        <w:spacing w:val="-2"/>
        <w:sz w:val="18"/>
        <w:szCs w:val="18"/>
      </w:rPr>
      <w:t>94</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461A8">
    <w:pPr>
      <w:spacing w:line="169" w:lineRule="auto"/>
      <w:ind w:left="4097"/>
      <w:rPr>
        <w:rFonts w:ascii="Calibri" w:hAnsi="Calibri" w:eastAsia="Calibri" w:cs="Calibri"/>
        <w:sz w:val="18"/>
        <w:szCs w:val="18"/>
      </w:rPr>
    </w:pPr>
    <w:r>
      <w:rPr>
        <w:rFonts w:ascii="Calibri" w:hAnsi="Calibri" w:eastAsia="Calibri" w:cs="Calibri"/>
        <w:spacing w:val="-2"/>
        <w:sz w:val="18"/>
        <w:szCs w:val="18"/>
      </w:rPr>
      <w:t>95</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430F2">
    <w:pPr>
      <w:spacing w:line="169" w:lineRule="auto"/>
      <w:ind w:left="4097"/>
      <w:rPr>
        <w:rFonts w:ascii="Calibri" w:hAnsi="Calibri" w:eastAsia="Calibri" w:cs="Calibri"/>
        <w:sz w:val="18"/>
        <w:szCs w:val="18"/>
      </w:rPr>
    </w:pPr>
    <w:r>
      <w:rPr>
        <w:rFonts w:ascii="Calibri" w:hAnsi="Calibri" w:eastAsia="Calibri" w:cs="Calibri"/>
        <w:spacing w:val="-2"/>
        <w:sz w:val="18"/>
        <w:szCs w:val="18"/>
      </w:rPr>
      <w:t>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5B548">
    <w:pPr>
      <w:spacing w:before="48" w:line="218" w:lineRule="auto"/>
      <w:ind w:left="2217"/>
      <w:rPr>
        <w:rFonts w:ascii="宋体" w:hAnsi="宋体" w:eastAsia="宋体" w:cs="宋体"/>
        <w:sz w:val="18"/>
        <w:szCs w:val="18"/>
      </w:rPr>
    </w:pPr>
    <w:r>
      <w:drawing>
        <wp:anchor distT="0" distB="0" distL="0" distR="0" simplePos="0" relativeHeight="25165926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10B1">
    <w:pPr>
      <w:spacing w:before="48" w:line="218" w:lineRule="auto"/>
      <w:ind w:left="2217"/>
      <w:rPr>
        <w:rFonts w:ascii="宋体" w:hAnsi="宋体" w:eastAsia="宋体" w:cs="宋体"/>
        <w:sz w:val="18"/>
        <w:szCs w:val="18"/>
      </w:rPr>
    </w:pPr>
    <w:r>
      <w:drawing>
        <wp:anchor distT="0" distB="0" distL="0" distR="0" simplePos="0" relativeHeight="25166950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C6E12">
    <w:pPr>
      <w:spacing w:before="48" w:line="218" w:lineRule="auto"/>
      <w:ind w:left="2217"/>
      <w:rPr>
        <w:rFonts w:ascii="宋体" w:hAnsi="宋体" w:eastAsia="宋体" w:cs="宋体"/>
        <w:sz w:val="18"/>
        <w:szCs w:val="18"/>
      </w:rPr>
    </w:pPr>
    <w:r>
      <w:drawing>
        <wp:anchor distT="0" distB="0" distL="0" distR="0" simplePos="0" relativeHeight="2517217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3C03C">
    <w:pPr>
      <w:spacing w:before="48" w:line="218" w:lineRule="auto"/>
      <w:ind w:left="2217"/>
      <w:rPr>
        <w:rFonts w:ascii="宋体" w:hAnsi="宋体" w:eastAsia="宋体" w:cs="宋体"/>
        <w:sz w:val="18"/>
        <w:szCs w:val="18"/>
      </w:rPr>
    </w:pPr>
    <w:r>
      <w:drawing>
        <wp:anchor distT="0" distB="0" distL="0" distR="0" simplePos="0" relativeHeight="2517227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F13F8">
    <w:pPr>
      <w:spacing w:before="48" w:line="218" w:lineRule="auto"/>
      <w:ind w:left="2217"/>
      <w:rPr>
        <w:rFonts w:ascii="宋体" w:hAnsi="宋体" w:eastAsia="宋体" w:cs="宋体"/>
        <w:sz w:val="18"/>
        <w:szCs w:val="18"/>
      </w:rPr>
    </w:pPr>
    <w:r>
      <w:drawing>
        <wp:anchor distT="0" distB="0" distL="0" distR="0" simplePos="0" relativeHeight="25172377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124B0">
    <w:pPr>
      <w:spacing w:before="48" w:line="218" w:lineRule="auto"/>
      <w:ind w:left="2217"/>
      <w:rPr>
        <w:rFonts w:ascii="宋体" w:hAnsi="宋体" w:eastAsia="宋体" w:cs="宋体"/>
        <w:sz w:val="18"/>
        <w:szCs w:val="18"/>
      </w:rPr>
    </w:pPr>
    <w:r>
      <w:drawing>
        <wp:anchor distT="0" distB="0" distL="0" distR="0" simplePos="0" relativeHeight="2517248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EB78">
    <w:pPr>
      <w:spacing w:before="48" w:line="218" w:lineRule="auto"/>
      <w:ind w:left="2217"/>
      <w:rPr>
        <w:rFonts w:ascii="宋体" w:hAnsi="宋体" w:eastAsia="宋体" w:cs="宋体"/>
        <w:sz w:val="18"/>
        <w:szCs w:val="18"/>
      </w:rPr>
    </w:pPr>
    <w:r>
      <w:drawing>
        <wp:anchor distT="0" distB="0" distL="0" distR="0" simplePos="0" relativeHeight="2517186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A2C76">
    <w:pPr>
      <w:spacing w:before="48" w:line="218" w:lineRule="auto"/>
      <w:ind w:left="2217"/>
      <w:rPr>
        <w:rFonts w:ascii="宋体" w:hAnsi="宋体" w:eastAsia="宋体" w:cs="宋体"/>
        <w:sz w:val="18"/>
        <w:szCs w:val="18"/>
      </w:rPr>
    </w:pPr>
    <w:r>
      <w:drawing>
        <wp:anchor distT="0" distB="0" distL="0" distR="0" simplePos="0" relativeHeight="25168076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D5C8F">
    <w:pPr>
      <w:spacing w:before="48" w:line="218" w:lineRule="auto"/>
      <w:ind w:left="2217"/>
      <w:rPr>
        <w:rFonts w:ascii="宋体" w:hAnsi="宋体" w:eastAsia="宋体" w:cs="宋体"/>
        <w:sz w:val="18"/>
        <w:szCs w:val="18"/>
      </w:rPr>
    </w:pPr>
    <w:r>
      <w:drawing>
        <wp:anchor distT="0" distB="0" distL="0" distR="0" simplePos="0" relativeHeight="2517258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1357">
    <w:pPr>
      <w:spacing w:before="48" w:line="218" w:lineRule="auto"/>
      <w:ind w:left="2217"/>
      <w:rPr>
        <w:rFonts w:ascii="宋体" w:hAnsi="宋体" w:eastAsia="宋体" w:cs="宋体"/>
        <w:sz w:val="18"/>
        <w:szCs w:val="18"/>
      </w:rPr>
    </w:pPr>
    <w:r>
      <w:drawing>
        <wp:anchor distT="0" distB="0" distL="0" distR="0" simplePos="0" relativeHeight="25172684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E059">
    <w:pPr>
      <w:spacing w:before="48" w:line="218" w:lineRule="auto"/>
      <w:ind w:left="2217"/>
      <w:rPr>
        <w:rFonts w:ascii="宋体" w:hAnsi="宋体" w:eastAsia="宋体" w:cs="宋体"/>
        <w:sz w:val="18"/>
        <w:szCs w:val="18"/>
      </w:rPr>
    </w:pPr>
    <w:r>
      <w:drawing>
        <wp:anchor distT="0" distB="0" distL="0" distR="0" simplePos="0" relativeHeight="2516992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A22E7">
    <w:pPr>
      <w:spacing w:before="48" w:line="218" w:lineRule="auto"/>
      <w:ind w:left="2217"/>
      <w:rPr>
        <w:rFonts w:ascii="宋体" w:hAnsi="宋体" w:eastAsia="宋体" w:cs="宋体"/>
        <w:sz w:val="18"/>
        <w:szCs w:val="18"/>
      </w:rPr>
    </w:pPr>
    <w:r>
      <w:drawing>
        <wp:anchor distT="0" distB="0" distL="0" distR="0" simplePos="0" relativeHeight="25172787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18BFB">
    <w:pPr>
      <w:spacing w:before="48" w:line="218" w:lineRule="auto"/>
      <w:ind w:left="2217"/>
      <w:rPr>
        <w:rFonts w:ascii="宋体" w:hAnsi="宋体" w:eastAsia="宋体" w:cs="宋体"/>
        <w:sz w:val="18"/>
        <w:szCs w:val="18"/>
      </w:rPr>
    </w:pPr>
    <w:r>
      <w:drawing>
        <wp:anchor distT="0" distB="0" distL="0" distR="0" simplePos="0" relativeHeight="2517288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5C9">
    <w:pPr>
      <w:spacing w:before="48" w:line="218" w:lineRule="auto"/>
      <w:ind w:left="2217"/>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01DD">
    <w:pPr>
      <w:spacing w:before="48" w:line="218" w:lineRule="auto"/>
      <w:ind w:left="2217"/>
      <w:rPr>
        <w:rFonts w:ascii="宋体" w:hAnsi="宋体" w:eastAsia="宋体" w:cs="宋体"/>
        <w:sz w:val="18"/>
        <w:szCs w:val="18"/>
      </w:rPr>
    </w:pPr>
    <w:r>
      <w:drawing>
        <wp:anchor distT="0" distB="0" distL="0" distR="0" simplePos="0" relativeHeight="2516715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20BC">
    <w:pPr>
      <w:spacing w:before="48" w:line="218" w:lineRule="auto"/>
      <w:ind w:left="2217"/>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5A96">
    <w:pPr>
      <w:spacing w:before="48" w:line="218" w:lineRule="auto"/>
      <w:ind w:left="2217"/>
      <w:rPr>
        <w:rFonts w:ascii="宋体" w:hAnsi="宋体" w:eastAsia="宋体" w:cs="宋体"/>
        <w:sz w:val="18"/>
        <w:szCs w:val="18"/>
      </w:rPr>
    </w:pPr>
    <w:r>
      <w:drawing>
        <wp:anchor distT="0" distB="0" distL="0" distR="0" simplePos="0" relativeHeight="2516910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62C1D">
    <w:pPr>
      <w:spacing w:before="48" w:line="218" w:lineRule="auto"/>
      <w:ind w:left="2217"/>
      <w:rPr>
        <w:rFonts w:ascii="宋体" w:hAnsi="宋体" w:eastAsia="宋体" w:cs="宋体"/>
        <w:sz w:val="18"/>
        <w:szCs w:val="18"/>
      </w:rPr>
    </w:pPr>
    <w:r>
      <w:drawing>
        <wp:anchor distT="0" distB="0" distL="0" distR="0" simplePos="0" relativeHeight="25169408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7D3DC">
    <w:pPr>
      <w:spacing w:before="48" w:line="218" w:lineRule="auto"/>
      <w:ind w:left="2217"/>
      <w:rPr>
        <w:rFonts w:ascii="宋体" w:hAnsi="宋体" w:eastAsia="宋体" w:cs="宋体"/>
        <w:sz w:val="18"/>
        <w:szCs w:val="18"/>
      </w:rPr>
    </w:pPr>
    <w:r>
      <w:drawing>
        <wp:anchor distT="0" distB="0" distL="0" distR="0" simplePos="0" relativeHeight="25172992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D80F">
    <w:pPr>
      <w:spacing w:before="48" w:line="218" w:lineRule="auto"/>
      <w:ind w:left="2217"/>
      <w:rPr>
        <w:rFonts w:ascii="宋体" w:hAnsi="宋体" w:eastAsia="宋体" w:cs="宋体"/>
        <w:sz w:val="18"/>
        <w:szCs w:val="18"/>
      </w:rPr>
    </w:pPr>
    <w:r>
      <w:drawing>
        <wp:anchor distT="0" distB="0" distL="0" distR="0" simplePos="0" relativeHeight="2516889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88582">
    <w:pPr>
      <w:spacing w:before="48" w:line="218" w:lineRule="auto"/>
      <w:ind w:left="2217"/>
      <w:rPr>
        <w:rFonts w:ascii="宋体" w:hAnsi="宋体" w:eastAsia="宋体" w:cs="宋体"/>
        <w:sz w:val="18"/>
        <w:szCs w:val="18"/>
      </w:rPr>
    </w:pPr>
    <w:r>
      <w:drawing>
        <wp:anchor distT="0" distB="0" distL="0" distR="0" simplePos="0" relativeHeight="25173094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6D232">
    <w:pPr>
      <w:spacing w:before="48" w:line="218" w:lineRule="auto"/>
      <w:ind w:left="2217"/>
      <w:rPr>
        <w:rFonts w:ascii="宋体" w:hAnsi="宋体" w:eastAsia="宋体" w:cs="宋体"/>
        <w:sz w:val="18"/>
        <w:szCs w:val="18"/>
      </w:rPr>
    </w:pPr>
    <w:r>
      <w:drawing>
        <wp:anchor distT="0" distB="0" distL="0" distR="0" simplePos="0" relativeHeight="25170636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2753">
    <w:pPr>
      <w:spacing w:before="48" w:line="218" w:lineRule="auto"/>
      <w:ind w:left="2217"/>
      <w:rPr>
        <w:rFonts w:ascii="宋体" w:hAnsi="宋体" w:eastAsia="宋体" w:cs="宋体"/>
        <w:sz w:val="18"/>
        <w:szCs w:val="18"/>
      </w:rPr>
    </w:pPr>
    <w:r>
      <w:drawing>
        <wp:anchor distT="0" distB="0" distL="0" distR="0" simplePos="0" relativeHeight="25167257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99CA">
    <w:pPr>
      <w:spacing w:before="48" w:line="218" w:lineRule="auto"/>
      <w:ind w:left="2217"/>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AD92">
    <w:pPr>
      <w:spacing w:before="48" w:line="218" w:lineRule="auto"/>
      <w:ind w:left="2217"/>
      <w:rPr>
        <w:rFonts w:ascii="宋体" w:hAnsi="宋体" w:eastAsia="宋体" w:cs="宋体"/>
        <w:sz w:val="18"/>
        <w:szCs w:val="18"/>
      </w:rPr>
    </w:pPr>
    <w:r>
      <w:drawing>
        <wp:anchor distT="0" distB="0" distL="0" distR="0" simplePos="0" relativeHeight="25173196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3C03C">
    <w:pPr>
      <w:spacing w:before="48" w:line="218" w:lineRule="auto"/>
      <w:ind w:left="2217"/>
      <w:rPr>
        <w:rFonts w:ascii="宋体" w:hAnsi="宋体" w:eastAsia="宋体" w:cs="宋体"/>
        <w:sz w:val="18"/>
        <w:szCs w:val="18"/>
      </w:rPr>
    </w:pPr>
    <w:r>
      <w:drawing>
        <wp:anchor distT="0" distB="0" distL="0" distR="0" simplePos="0" relativeHeight="2517227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8A7F2">
    <w:pPr>
      <w:spacing w:before="48" w:line="218" w:lineRule="auto"/>
      <w:ind w:left="2217"/>
      <w:rPr>
        <w:rFonts w:ascii="宋体" w:hAnsi="宋体" w:eastAsia="宋体" w:cs="宋体"/>
        <w:sz w:val="18"/>
        <w:szCs w:val="18"/>
      </w:rPr>
    </w:pPr>
    <w:r>
      <w:drawing>
        <wp:anchor distT="0" distB="0" distL="0" distR="0" simplePos="0" relativeHeight="25173299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EB78">
    <w:pPr>
      <w:spacing w:before="48" w:line="218" w:lineRule="auto"/>
      <w:ind w:left="2217"/>
      <w:rPr>
        <w:rFonts w:ascii="宋体" w:hAnsi="宋体" w:eastAsia="宋体" w:cs="宋体"/>
        <w:sz w:val="18"/>
        <w:szCs w:val="18"/>
      </w:rPr>
    </w:pPr>
    <w:r>
      <w:drawing>
        <wp:anchor distT="0" distB="0" distL="0" distR="0" simplePos="0" relativeHeight="2517186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3DE95">
    <w:pPr>
      <w:spacing w:before="48" w:line="218" w:lineRule="auto"/>
      <w:ind w:left="2217"/>
      <w:rPr>
        <w:rFonts w:ascii="宋体" w:hAnsi="宋体" w:eastAsia="宋体" w:cs="宋体"/>
        <w:sz w:val="18"/>
        <w:szCs w:val="18"/>
      </w:rPr>
    </w:pPr>
    <w:r>
      <w:drawing>
        <wp:anchor distT="0" distB="0" distL="0" distR="0" simplePos="0" relativeHeight="25173401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590D">
    <w:pPr>
      <w:spacing w:before="48" w:line="218" w:lineRule="auto"/>
      <w:ind w:left="2217"/>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452F">
    <w:pPr>
      <w:spacing w:before="48" w:line="218" w:lineRule="auto"/>
      <w:ind w:left="2217"/>
      <w:rPr>
        <w:rFonts w:ascii="宋体" w:hAnsi="宋体" w:eastAsia="宋体" w:cs="宋体"/>
        <w:sz w:val="18"/>
        <w:szCs w:val="18"/>
      </w:rPr>
    </w:pPr>
    <w:r>
      <w:drawing>
        <wp:anchor distT="0" distB="0" distL="0" distR="0" simplePos="0" relativeHeight="2517350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312663" cy="9143"/>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78994">
    <w:pPr>
      <w:spacing w:before="48" w:line="218" w:lineRule="auto"/>
      <w:ind w:left="2217"/>
      <w:rPr>
        <w:rFonts w:ascii="宋体" w:hAnsi="宋体" w:eastAsia="宋体" w:cs="宋体"/>
        <w:sz w:val="18"/>
        <w:szCs w:val="18"/>
      </w:rPr>
    </w:pPr>
    <w:r>
      <w:drawing>
        <wp:anchor distT="0" distB="0" distL="0" distR="0" simplePos="0" relativeHeight="25173606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6EFEF">
    <w:pPr>
      <w:spacing w:before="48" w:line="218" w:lineRule="auto"/>
      <w:ind w:left="2217"/>
      <w:rPr>
        <w:rFonts w:ascii="宋体" w:hAnsi="宋体" w:eastAsia="宋体" w:cs="宋体"/>
        <w:sz w:val="18"/>
        <w:szCs w:val="18"/>
      </w:rPr>
    </w:pPr>
    <w:r>
      <w:drawing>
        <wp:anchor distT="0" distB="0" distL="0" distR="0" simplePos="0" relativeHeight="25173708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75915">
    <w:pPr>
      <w:spacing w:before="48" w:line="218" w:lineRule="auto"/>
      <w:ind w:left="2217"/>
      <w:rPr>
        <w:rFonts w:ascii="宋体" w:hAnsi="宋体" w:eastAsia="宋体" w:cs="宋体"/>
        <w:sz w:val="18"/>
        <w:szCs w:val="18"/>
      </w:rPr>
    </w:pPr>
    <w:r>
      <w:drawing>
        <wp:anchor distT="0" distB="0" distL="0" distR="0" simplePos="0" relativeHeight="25173811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4D1B5">
    <w:pPr>
      <w:spacing w:before="48" w:line="218" w:lineRule="auto"/>
      <w:ind w:left="2217"/>
      <w:rPr>
        <w:rFonts w:ascii="宋体" w:hAnsi="宋体" w:eastAsia="宋体" w:cs="宋体"/>
        <w:sz w:val="18"/>
        <w:szCs w:val="18"/>
      </w:rPr>
    </w:pPr>
    <w:r>
      <w:drawing>
        <wp:anchor distT="0" distB="0" distL="0" distR="0" simplePos="0" relativeHeight="25173913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D4105">
    <w:pPr>
      <w:spacing w:before="48" w:line="218" w:lineRule="auto"/>
      <w:ind w:left="2217"/>
      <w:rPr>
        <w:rFonts w:ascii="宋体" w:hAnsi="宋体" w:eastAsia="宋体" w:cs="宋体"/>
        <w:sz w:val="18"/>
        <w:szCs w:val="18"/>
      </w:rPr>
    </w:pPr>
    <w:r>
      <w:drawing>
        <wp:anchor distT="0" distB="0" distL="0" distR="0" simplePos="0" relativeHeight="2517401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6E429">
    <w:pPr>
      <w:spacing w:before="48" w:line="218" w:lineRule="auto"/>
      <w:ind w:left="2217"/>
      <w:rPr>
        <w:rFonts w:ascii="宋体" w:hAnsi="宋体" w:eastAsia="宋体" w:cs="宋体"/>
        <w:sz w:val="18"/>
        <w:szCs w:val="18"/>
      </w:rPr>
    </w:pPr>
    <w:r>
      <w:drawing>
        <wp:anchor distT="0" distB="0" distL="0" distR="0" simplePos="0" relativeHeight="2516674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01DD">
    <w:pPr>
      <w:spacing w:before="48" w:line="218" w:lineRule="auto"/>
      <w:ind w:left="2217"/>
      <w:rPr>
        <w:rFonts w:ascii="宋体" w:hAnsi="宋体" w:eastAsia="宋体" w:cs="宋体"/>
        <w:sz w:val="18"/>
        <w:szCs w:val="18"/>
      </w:rPr>
    </w:pPr>
    <w:r>
      <w:drawing>
        <wp:anchor distT="0" distB="0" distL="0" distR="0" simplePos="0" relativeHeight="2516715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20BC">
    <w:pPr>
      <w:spacing w:before="48" w:line="218" w:lineRule="auto"/>
      <w:ind w:left="2217"/>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6E429">
    <w:pPr>
      <w:spacing w:before="48" w:line="218" w:lineRule="auto"/>
      <w:ind w:left="2217"/>
      <w:rPr>
        <w:rFonts w:ascii="宋体" w:hAnsi="宋体" w:eastAsia="宋体" w:cs="宋体"/>
        <w:sz w:val="18"/>
        <w:szCs w:val="18"/>
      </w:rPr>
    </w:pPr>
    <w:r>
      <w:drawing>
        <wp:anchor distT="0" distB="0" distL="0" distR="0" simplePos="0" relativeHeight="2516674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590D">
    <w:pPr>
      <w:spacing w:before="48" w:line="218" w:lineRule="auto"/>
      <w:ind w:left="2217"/>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B72C0">
    <w:pPr>
      <w:spacing w:before="48" w:line="218" w:lineRule="auto"/>
      <w:ind w:left="2217"/>
      <w:rPr>
        <w:rFonts w:ascii="宋体" w:hAnsi="宋体" w:eastAsia="宋体" w:cs="宋体"/>
        <w:sz w:val="18"/>
        <w:szCs w:val="18"/>
      </w:rPr>
    </w:pPr>
    <w:r>
      <w:drawing>
        <wp:anchor distT="0" distB="0" distL="0" distR="0" simplePos="0" relativeHeight="25170432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E059">
    <w:pPr>
      <w:spacing w:before="48" w:line="218" w:lineRule="auto"/>
      <w:ind w:left="2217"/>
      <w:rPr>
        <w:rFonts w:ascii="宋体" w:hAnsi="宋体" w:eastAsia="宋体" w:cs="宋体"/>
        <w:sz w:val="18"/>
        <w:szCs w:val="18"/>
      </w:rPr>
    </w:pPr>
    <w:r>
      <w:drawing>
        <wp:anchor distT="0" distB="0" distL="0" distR="0" simplePos="0" relativeHeight="2516992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D80F">
    <w:pPr>
      <w:spacing w:before="48" w:line="218" w:lineRule="auto"/>
      <w:ind w:left="2217"/>
      <w:rPr>
        <w:rFonts w:ascii="宋体" w:hAnsi="宋体" w:eastAsia="宋体" w:cs="宋体"/>
        <w:sz w:val="18"/>
        <w:szCs w:val="18"/>
      </w:rPr>
    </w:pPr>
    <w:r>
      <w:drawing>
        <wp:anchor distT="0" distB="0" distL="0" distR="0" simplePos="0" relativeHeight="2516889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FC5E8">
    <w:pPr>
      <w:spacing w:before="48" w:line="218" w:lineRule="auto"/>
      <w:ind w:left="2217"/>
      <w:rPr>
        <w:rFonts w:ascii="宋体" w:hAnsi="宋体" w:eastAsia="宋体" w:cs="宋体"/>
        <w:sz w:val="18"/>
        <w:szCs w:val="18"/>
      </w:rPr>
    </w:pPr>
    <w:r>
      <w:drawing>
        <wp:anchor distT="0" distB="0" distL="0" distR="0" simplePos="0" relativeHeight="2517411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D80F">
    <w:pPr>
      <w:spacing w:before="48" w:line="218" w:lineRule="auto"/>
      <w:ind w:left="2217"/>
      <w:rPr>
        <w:rFonts w:ascii="宋体" w:hAnsi="宋体" w:eastAsia="宋体" w:cs="宋体"/>
        <w:sz w:val="18"/>
        <w:szCs w:val="18"/>
      </w:rPr>
    </w:pPr>
    <w:r>
      <w:drawing>
        <wp:anchor distT="0" distB="0" distL="0" distR="0" simplePos="0" relativeHeight="2516889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452F">
    <w:pPr>
      <w:spacing w:before="48" w:line="218" w:lineRule="auto"/>
      <w:ind w:left="2217"/>
      <w:rPr>
        <w:rFonts w:ascii="宋体" w:hAnsi="宋体" w:eastAsia="宋体" w:cs="宋体"/>
        <w:sz w:val="18"/>
        <w:szCs w:val="18"/>
      </w:rPr>
    </w:pPr>
    <w:r>
      <w:drawing>
        <wp:anchor distT="0" distB="0" distL="0" distR="0" simplePos="0" relativeHeight="2517350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312663" cy="9143"/>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61931">
    <w:pPr>
      <w:spacing w:before="48" w:line="218" w:lineRule="auto"/>
      <w:ind w:left="2217"/>
      <w:rPr>
        <w:rFonts w:ascii="宋体" w:hAnsi="宋体" w:eastAsia="宋体" w:cs="宋体"/>
        <w:sz w:val="18"/>
        <w:szCs w:val="18"/>
      </w:rPr>
    </w:pPr>
    <w:r>
      <w:drawing>
        <wp:anchor distT="0" distB="0" distL="0" distR="0" simplePos="0" relativeHeight="2517422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F13F8">
    <w:pPr>
      <w:spacing w:before="48" w:line="218" w:lineRule="auto"/>
      <w:ind w:left="2217"/>
      <w:rPr>
        <w:rFonts w:ascii="宋体" w:hAnsi="宋体" w:eastAsia="宋体" w:cs="宋体"/>
        <w:sz w:val="18"/>
        <w:szCs w:val="18"/>
      </w:rPr>
    </w:pPr>
    <w:r>
      <w:drawing>
        <wp:anchor distT="0" distB="0" distL="0" distR="0" simplePos="0" relativeHeight="25172377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BFAB2">
    <w:pPr>
      <w:spacing w:before="48" w:line="218" w:lineRule="auto"/>
      <w:ind w:left="2217"/>
      <w:rPr>
        <w:rFonts w:ascii="宋体" w:hAnsi="宋体" w:eastAsia="宋体" w:cs="宋体"/>
        <w:sz w:val="18"/>
        <w:szCs w:val="18"/>
      </w:rPr>
    </w:pPr>
    <w:r>
      <w:drawing>
        <wp:anchor distT="0" distB="0" distL="0" distR="0" simplePos="0" relativeHeight="25174323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A3018">
    <w:pPr>
      <w:spacing w:before="48" w:line="218" w:lineRule="auto"/>
      <w:ind w:left="2217"/>
      <w:rPr>
        <w:rFonts w:ascii="宋体" w:hAnsi="宋体" w:eastAsia="宋体" w:cs="宋体"/>
        <w:sz w:val="18"/>
        <w:szCs w:val="18"/>
      </w:rPr>
    </w:pPr>
    <w:r>
      <w:drawing>
        <wp:anchor distT="0" distB="0" distL="0" distR="0" simplePos="0" relativeHeight="2517442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4F55A">
    <w:pPr>
      <w:spacing w:before="48" w:line="218" w:lineRule="auto"/>
      <w:ind w:left="2217"/>
      <w:rPr>
        <w:rFonts w:ascii="宋体" w:hAnsi="宋体" w:eastAsia="宋体" w:cs="宋体"/>
        <w:sz w:val="18"/>
        <w:szCs w:val="18"/>
      </w:rPr>
    </w:pPr>
    <w:r>
      <w:drawing>
        <wp:anchor distT="0" distB="0" distL="0" distR="0" simplePos="0" relativeHeight="25174528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447C4">
    <w:pPr>
      <w:spacing w:before="48" w:line="218" w:lineRule="auto"/>
      <w:ind w:left="2217"/>
      <w:rPr>
        <w:rFonts w:ascii="宋体" w:hAnsi="宋体" w:eastAsia="宋体" w:cs="宋体"/>
        <w:sz w:val="18"/>
        <w:szCs w:val="18"/>
      </w:rPr>
    </w:pPr>
    <w:r>
      <w:drawing>
        <wp:anchor distT="0" distB="0" distL="0" distR="0" simplePos="0" relativeHeight="25174630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8A7F2">
    <w:pPr>
      <w:spacing w:before="48" w:line="218" w:lineRule="auto"/>
      <w:ind w:left="2217"/>
      <w:rPr>
        <w:rFonts w:ascii="宋体" w:hAnsi="宋体" w:eastAsia="宋体" w:cs="宋体"/>
        <w:sz w:val="18"/>
        <w:szCs w:val="18"/>
      </w:rPr>
    </w:pPr>
    <w:r>
      <w:drawing>
        <wp:anchor distT="0" distB="0" distL="0" distR="0" simplePos="0" relativeHeight="25173299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EB78">
    <w:pPr>
      <w:spacing w:before="48" w:line="218" w:lineRule="auto"/>
      <w:ind w:left="2217"/>
      <w:rPr>
        <w:rFonts w:ascii="宋体" w:hAnsi="宋体" w:eastAsia="宋体" w:cs="宋体"/>
        <w:sz w:val="18"/>
        <w:szCs w:val="18"/>
      </w:rPr>
    </w:pPr>
    <w:r>
      <w:drawing>
        <wp:anchor distT="0" distB="0" distL="0" distR="0" simplePos="0" relativeHeight="2517186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D80F">
    <w:pPr>
      <w:spacing w:before="48" w:line="218" w:lineRule="auto"/>
      <w:ind w:left="2217"/>
      <w:rPr>
        <w:rFonts w:ascii="宋体" w:hAnsi="宋体" w:eastAsia="宋体" w:cs="宋体"/>
        <w:sz w:val="18"/>
        <w:szCs w:val="18"/>
      </w:rPr>
    </w:pPr>
    <w:r>
      <w:drawing>
        <wp:anchor distT="0" distB="0" distL="0" distR="0" simplePos="0" relativeHeight="2516889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5C9">
    <w:pPr>
      <w:spacing w:before="48" w:line="218" w:lineRule="auto"/>
      <w:ind w:left="2217"/>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99CA">
    <w:pPr>
      <w:spacing w:before="48" w:line="218" w:lineRule="auto"/>
      <w:ind w:left="2217"/>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5C9">
    <w:pPr>
      <w:spacing w:before="48" w:line="218" w:lineRule="auto"/>
      <w:ind w:left="2217"/>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EB78">
    <w:pPr>
      <w:spacing w:before="48" w:line="218" w:lineRule="auto"/>
      <w:ind w:left="2217"/>
      <w:rPr>
        <w:rFonts w:ascii="宋体" w:hAnsi="宋体" w:eastAsia="宋体" w:cs="宋体"/>
        <w:sz w:val="18"/>
        <w:szCs w:val="18"/>
      </w:rPr>
    </w:pPr>
    <w:r>
      <w:drawing>
        <wp:anchor distT="0" distB="0" distL="0" distR="0" simplePos="0" relativeHeight="2517186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1E000">
    <w:pPr>
      <w:spacing w:before="48" w:line="218" w:lineRule="auto"/>
      <w:ind w:left="2217"/>
      <w:rPr>
        <w:rFonts w:ascii="宋体" w:hAnsi="宋体" w:eastAsia="宋体" w:cs="宋体"/>
        <w:sz w:val="18"/>
        <w:szCs w:val="18"/>
      </w:rPr>
    </w:pPr>
    <w:r>
      <w:drawing>
        <wp:anchor distT="0" distB="0" distL="0" distR="0" simplePos="0" relativeHeight="25168179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590D">
    <w:pPr>
      <w:spacing w:before="48" w:line="218" w:lineRule="auto"/>
      <w:ind w:left="2217"/>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20BC">
    <w:pPr>
      <w:spacing w:before="48" w:line="218" w:lineRule="auto"/>
      <w:ind w:left="2217"/>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5C9">
    <w:pPr>
      <w:spacing w:before="48" w:line="218" w:lineRule="auto"/>
      <w:ind w:left="2217"/>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61931">
    <w:pPr>
      <w:spacing w:before="48" w:line="218" w:lineRule="auto"/>
      <w:ind w:left="2217"/>
      <w:rPr>
        <w:rFonts w:ascii="宋体" w:hAnsi="宋体" w:eastAsia="宋体" w:cs="宋体"/>
        <w:sz w:val="18"/>
        <w:szCs w:val="18"/>
      </w:rPr>
    </w:pPr>
    <w:r>
      <w:drawing>
        <wp:anchor distT="0" distB="0" distL="0" distR="0" simplePos="0" relativeHeight="2517422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9E90">
    <w:pPr>
      <w:spacing w:before="48" w:line="218" w:lineRule="auto"/>
      <w:ind w:left="2217"/>
      <w:rPr>
        <w:rFonts w:ascii="宋体" w:hAnsi="宋体" w:eastAsia="宋体" w:cs="宋体"/>
        <w:sz w:val="18"/>
        <w:szCs w:val="18"/>
      </w:rPr>
    </w:pPr>
    <w:r>
      <w:drawing>
        <wp:anchor distT="0" distB="0" distL="0" distR="0" simplePos="0" relativeHeight="2517473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21F49">
    <w:pPr>
      <w:spacing w:before="48" w:line="218" w:lineRule="auto"/>
      <w:ind w:left="2217"/>
      <w:rPr>
        <w:rFonts w:ascii="宋体" w:hAnsi="宋体" w:eastAsia="宋体" w:cs="宋体"/>
        <w:sz w:val="18"/>
        <w:szCs w:val="18"/>
      </w:rPr>
    </w:pPr>
    <w:r>
      <w:drawing>
        <wp:anchor distT="0" distB="0" distL="0" distR="0" simplePos="0" relativeHeight="2517483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488B">
    <w:pPr>
      <w:spacing w:before="48" w:line="218" w:lineRule="auto"/>
      <w:ind w:left="2217"/>
      <w:rPr>
        <w:rFonts w:ascii="宋体" w:hAnsi="宋体" w:eastAsia="宋体" w:cs="宋体"/>
        <w:sz w:val="18"/>
        <w:szCs w:val="18"/>
      </w:rPr>
    </w:pPr>
    <w:r>
      <w:drawing>
        <wp:anchor distT="0" distB="0" distL="0" distR="0" simplePos="0" relativeHeight="25174937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20BC">
    <w:pPr>
      <w:spacing w:before="48" w:line="218" w:lineRule="auto"/>
      <w:ind w:left="2217"/>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39F2A">
    <w:pPr>
      <w:spacing w:before="48" w:line="218" w:lineRule="auto"/>
      <w:ind w:left="2217"/>
      <w:rPr>
        <w:rFonts w:ascii="宋体" w:hAnsi="宋体" w:eastAsia="宋体" w:cs="宋体"/>
        <w:sz w:val="18"/>
        <w:szCs w:val="18"/>
      </w:rPr>
    </w:pPr>
    <w:r>
      <w:drawing>
        <wp:anchor distT="0" distB="0" distL="0" distR="0" simplePos="0" relativeHeight="25166131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FE64C">
    <w:pPr>
      <w:spacing w:before="48" w:line="218" w:lineRule="auto"/>
      <w:ind w:left="2217"/>
      <w:rPr>
        <w:rFonts w:ascii="宋体" w:hAnsi="宋体" w:eastAsia="宋体" w:cs="宋体"/>
        <w:sz w:val="18"/>
        <w:szCs w:val="18"/>
      </w:rPr>
    </w:pPr>
    <w:r>
      <w:drawing>
        <wp:anchor distT="0" distB="0" distL="0" distR="0" simplePos="0" relativeHeight="25167564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2753">
    <w:pPr>
      <w:spacing w:before="48" w:line="218" w:lineRule="auto"/>
      <w:ind w:left="2217"/>
      <w:rPr>
        <w:rFonts w:ascii="宋体" w:hAnsi="宋体" w:eastAsia="宋体" w:cs="宋体"/>
        <w:sz w:val="18"/>
        <w:szCs w:val="18"/>
      </w:rPr>
    </w:pPr>
    <w:r>
      <w:drawing>
        <wp:anchor distT="0" distB="0" distL="0" distR="0" simplePos="0" relativeHeight="25167257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A98B">
    <w:pPr>
      <w:spacing w:before="48" w:line="218" w:lineRule="auto"/>
      <w:ind w:left="2217"/>
      <w:rPr>
        <w:rFonts w:ascii="宋体" w:hAnsi="宋体" w:eastAsia="宋体" w:cs="宋体"/>
        <w:sz w:val="18"/>
        <w:szCs w:val="18"/>
      </w:rPr>
    </w:pPr>
    <w:r>
      <w:drawing>
        <wp:anchor distT="0" distB="0" distL="0" distR="0" simplePos="0" relativeHeight="2517504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46ED5">
    <w:pPr>
      <w:spacing w:before="48" w:line="218" w:lineRule="auto"/>
      <w:ind w:left="2217"/>
      <w:rPr>
        <w:rFonts w:ascii="宋体" w:hAnsi="宋体" w:eastAsia="宋体" w:cs="宋体"/>
        <w:sz w:val="18"/>
        <w:szCs w:val="18"/>
      </w:rPr>
    </w:pPr>
    <w:r>
      <w:drawing>
        <wp:anchor distT="0" distB="0" distL="0" distR="0" simplePos="0" relativeHeight="2517514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3FBE4">
    <w:pPr>
      <w:spacing w:before="48" w:line="218" w:lineRule="auto"/>
      <w:ind w:left="2217"/>
      <w:rPr>
        <w:rFonts w:ascii="宋体" w:hAnsi="宋体" w:eastAsia="宋体" w:cs="宋体"/>
        <w:sz w:val="18"/>
        <w:szCs w:val="18"/>
      </w:rPr>
    </w:pPr>
    <w:r>
      <w:drawing>
        <wp:anchor distT="0" distB="0" distL="0" distR="0" simplePos="0" relativeHeight="25175244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2C0F3">
    <w:pPr>
      <w:spacing w:before="48" w:line="218" w:lineRule="auto"/>
      <w:ind w:left="2217"/>
      <w:rPr>
        <w:rFonts w:ascii="宋体" w:hAnsi="宋体" w:eastAsia="宋体" w:cs="宋体"/>
        <w:sz w:val="18"/>
        <w:szCs w:val="18"/>
      </w:rPr>
    </w:pPr>
    <w:r>
      <w:drawing>
        <wp:anchor distT="0" distB="0" distL="0" distR="0" simplePos="0" relativeHeight="25175347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11C35">
    <w:pPr>
      <w:spacing w:before="48" w:line="218" w:lineRule="auto"/>
      <w:ind w:left="2217"/>
      <w:rPr>
        <w:rFonts w:ascii="宋体" w:hAnsi="宋体" w:eastAsia="宋体" w:cs="宋体"/>
        <w:sz w:val="18"/>
        <w:szCs w:val="18"/>
      </w:rPr>
    </w:pPr>
    <w:r>
      <w:drawing>
        <wp:anchor distT="0" distB="0" distL="0" distR="0" simplePos="0" relativeHeight="2517544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590D">
    <w:pPr>
      <w:spacing w:before="48" w:line="218" w:lineRule="auto"/>
      <w:ind w:left="2217"/>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14BFD">
    <w:pPr>
      <w:spacing w:before="48" w:line="218" w:lineRule="auto"/>
      <w:ind w:left="2217"/>
      <w:rPr>
        <w:rFonts w:ascii="宋体" w:hAnsi="宋体" w:eastAsia="宋体" w:cs="宋体"/>
        <w:sz w:val="18"/>
        <w:szCs w:val="18"/>
      </w:rPr>
    </w:pPr>
    <w:r>
      <w:drawing>
        <wp:anchor distT="0" distB="0" distL="0" distR="0" simplePos="0" relativeHeight="25175552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6890">
    <w:pPr>
      <w:spacing w:before="48" w:line="218" w:lineRule="auto"/>
      <w:ind w:left="2217"/>
      <w:rPr>
        <w:rFonts w:ascii="宋体" w:hAnsi="宋体" w:eastAsia="宋体" w:cs="宋体"/>
        <w:sz w:val="18"/>
        <w:szCs w:val="18"/>
      </w:rPr>
    </w:pPr>
    <w:r>
      <w:drawing>
        <wp:anchor distT="0" distB="0" distL="0" distR="0" simplePos="0" relativeHeight="25175654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0FD09">
    <w:pPr>
      <w:spacing w:before="48" w:line="218" w:lineRule="auto"/>
      <w:ind w:left="2217"/>
      <w:rPr>
        <w:rFonts w:ascii="宋体" w:hAnsi="宋体" w:eastAsia="宋体" w:cs="宋体"/>
        <w:sz w:val="18"/>
        <w:szCs w:val="18"/>
      </w:rPr>
    </w:pPr>
    <w:r>
      <w:drawing>
        <wp:anchor distT="0" distB="0" distL="0" distR="0" simplePos="0" relativeHeight="25175756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5C9">
    <w:pPr>
      <w:spacing w:before="48" w:line="218" w:lineRule="auto"/>
      <w:ind w:left="2217"/>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99CA">
    <w:pPr>
      <w:spacing w:before="48" w:line="218" w:lineRule="auto"/>
      <w:ind w:left="2217"/>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8A7F2">
    <w:pPr>
      <w:spacing w:before="48" w:line="218" w:lineRule="auto"/>
      <w:ind w:left="2217"/>
      <w:rPr>
        <w:rFonts w:ascii="宋体" w:hAnsi="宋体" w:eastAsia="宋体" w:cs="宋体"/>
        <w:sz w:val="18"/>
        <w:szCs w:val="18"/>
      </w:rPr>
    </w:pPr>
    <w:r>
      <w:drawing>
        <wp:anchor distT="0" distB="0" distL="0" distR="0" simplePos="0" relativeHeight="25173299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E059">
    <w:pPr>
      <w:spacing w:before="48" w:line="218" w:lineRule="auto"/>
      <w:ind w:left="2217"/>
      <w:rPr>
        <w:rFonts w:ascii="宋体" w:hAnsi="宋体" w:eastAsia="宋体" w:cs="宋体"/>
        <w:sz w:val="18"/>
        <w:szCs w:val="18"/>
      </w:rPr>
    </w:pPr>
    <w:r>
      <w:drawing>
        <wp:anchor distT="0" distB="0" distL="0" distR="0" simplePos="0" relativeHeight="2516992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5A96">
    <w:pPr>
      <w:spacing w:before="48" w:line="218" w:lineRule="auto"/>
      <w:ind w:left="2217"/>
      <w:rPr>
        <w:rFonts w:ascii="宋体" w:hAnsi="宋体" w:eastAsia="宋体" w:cs="宋体"/>
        <w:sz w:val="18"/>
        <w:szCs w:val="18"/>
      </w:rPr>
    </w:pPr>
    <w:r>
      <w:drawing>
        <wp:anchor distT="0" distB="0" distL="0" distR="0" simplePos="0" relativeHeight="2516910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D0753">
    <w:pPr>
      <w:spacing w:before="48" w:line="218" w:lineRule="auto"/>
      <w:ind w:left="2217"/>
      <w:rPr>
        <w:rFonts w:ascii="宋体" w:hAnsi="宋体" w:eastAsia="宋体" w:cs="宋体"/>
        <w:sz w:val="18"/>
        <w:szCs w:val="18"/>
      </w:rPr>
    </w:pPr>
    <w:r>
      <w:drawing>
        <wp:anchor distT="0" distB="0" distL="0" distR="0" simplePos="0" relativeHeight="25175859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BEB46">
    <w:pPr>
      <w:spacing w:before="48" w:line="218" w:lineRule="auto"/>
      <w:ind w:left="2217"/>
      <w:rPr>
        <w:rFonts w:ascii="宋体" w:hAnsi="宋体" w:eastAsia="宋体" w:cs="宋体"/>
        <w:sz w:val="18"/>
        <w:szCs w:val="18"/>
      </w:rPr>
    </w:pPr>
    <w:r>
      <w:drawing>
        <wp:anchor distT="0" distB="0" distL="0" distR="0" simplePos="0" relativeHeight="25175961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A248F">
    <w:pPr>
      <w:spacing w:before="48" w:line="218" w:lineRule="auto"/>
      <w:ind w:left="2217"/>
      <w:rPr>
        <w:rFonts w:ascii="宋体" w:hAnsi="宋体" w:eastAsia="宋体" w:cs="宋体"/>
        <w:sz w:val="18"/>
        <w:szCs w:val="18"/>
      </w:rPr>
    </w:pPr>
    <w:r>
      <w:drawing>
        <wp:anchor distT="0" distB="0" distL="0" distR="0" simplePos="0" relativeHeight="2517606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881B5">
    <w:pPr>
      <w:spacing w:before="48" w:line="218" w:lineRule="auto"/>
      <w:ind w:left="2217"/>
      <w:rPr>
        <w:rFonts w:ascii="宋体" w:hAnsi="宋体" w:eastAsia="宋体" w:cs="宋体"/>
        <w:sz w:val="18"/>
        <w:szCs w:val="18"/>
      </w:rPr>
    </w:pPr>
    <w:r>
      <w:drawing>
        <wp:anchor distT="0" distB="0" distL="0" distR="0" simplePos="0" relativeHeight="2516633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452F">
    <w:pPr>
      <w:spacing w:before="48" w:line="218" w:lineRule="auto"/>
      <w:ind w:left="2217"/>
      <w:rPr>
        <w:rFonts w:ascii="宋体" w:hAnsi="宋体" w:eastAsia="宋体" w:cs="宋体"/>
        <w:sz w:val="18"/>
        <w:szCs w:val="18"/>
      </w:rPr>
    </w:pPr>
    <w:r>
      <w:drawing>
        <wp:anchor distT="0" distB="0" distL="0" distR="0" simplePos="0" relativeHeight="2517350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312663" cy="9143"/>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49223">
    <w:pPr>
      <w:spacing w:before="48" w:line="218" w:lineRule="auto"/>
      <w:ind w:left="2217"/>
      <w:rPr>
        <w:rFonts w:ascii="宋体" w:hAnsi="宋体" w:eastAsia="宋体" w:cs="宋体"/>
        <w:sz w:val="18"/>
        <w:szCs w:val="18"/>
      </w:rPr>
    </w:pPr>
    <w:r>
      <w:drawing>
        <wp:anchor distT="0" distB="0" distL="0" distR="0" simplePos="0" relativeHeight="25167667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EB78">
    <w:pPr>
      <w:spacing w:before="48" w:line="218" w:lineRule="auto"/>
      <w:ind w:left="2217"/>
      <w:rPr>
        <w:rFonts w:ascii="宋体" w:hAnsi="宋体" w:eastAsia="宋体" w:cs="宋体"/>
        <w:sz w:val="18"/>
        <w:szCs w:val="18"/>
      </w:rPr>
    </w:pPr>
    <w:r>
      <w:drawing>
        <wp:anchor distT="0" distB="0" distL="0" distR="0" simplePos="0" relativeHeight="2517186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B288A">
    <w:pPr>
      <w:spacing w:before="48" w:line="218" w:lineRule="auto"/>
      <w:ind w:left="2217"/>
      <w:rPr>
        <w:rFonts w:ascii="宋体" w:hAnsi="宋体" w:eastAsia="宋体" w:cs="宋体"/>
        <w:sz w:val="18"/>
        <w:szCs w:val="18"/>
      </w:rPr>
    </w:pPr>
    <w:r>
      <w:drawing>
        <wp:anchor distT="0" distB="0" distL="0" distR="0" simplePos="0" relativeHeight="25176166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20BC">
    <w:pPr>
      <w:spacing w:before="48" w:line="218" w:lineRule="auto"/>
      <w:ind w:left="2217"/>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7E6B">
    <w:pPr>
      <w:spacing w:before="48" w:line="218" w:lineRule="auto"/>
      <w:ind w:left="5043"/>
      <w:rPr>
        <w:rFonts w:ascii="宋体" w:hAnsi="宋体" w:eastAsia="宋体" w:cs="宋体"/>
        <w:sz w:val="18"/>
        <w:szCs w:val="18"/>
      </w:rPr>
    </w:pPr>
    <w:r>
      <w:drawing>
        <wp:anchor distT="0" distB="0" distL="0" distR="0" simplePos="0" relativeHeight="251678720" behindDoc="0" locked="0" layoutInCell="0" allowOverlap="1">
          <wp:simplePos x="0" y="0"/>
          <wp:positionH relativeFrom="page">
            <wp:posOffset>894715</wp:posOffset>
          </wp:positionH>
          <wp:positionV relativeFrom="page">
            <wp:posOffset>701675</wp:posOffset>
          </wp:positionV>
          <wp:extent cx="8901430" cy="889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8901684" cy="9143"/>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A7F98">
    <w:pPr>
      <w:spacing w:before="48" w:line="218" w:lineRule="auto"/>
      <w:ind w:left="2217"/>
      <w:rPr>
        <w:rFonts w:ascii="宋体" w:hAnsi="宋体" w:eastAsia="宋体" w:cs="宋体"/>
        <w:sz w:val="18"/>
        <w:szCs w:val="18"/>
      </w:rPr>
    </w:pPr>
    <w:r>
      <w:drawing>
        <wp:anchor distT="0" distB="0" distL="0" distR="0" simplePos="0" relativeHeight="25167974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A2C76">
    <w:pPr>
      <w:spacing w:before="48" w:line="218" w:lineRule="auto"/>
      <w:ind w:left="2217"/>
      <w:rPr>
        <w:rFonts w:ascii="宋体" w:hAnsi="宋体" w:eastAsia="宋体" w:cs="宋体"/>
        <w:sz w:val="18"/>
        <w:szCs w:val="18"/>
      </w:rPr>
    </w:pPr>
    <w:r>
      <w:drawing>
        <wp:anchor distT="0" distB="0" distL="0" distR="0" simplePos="0" relativeHeight="25168076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77F9">
    <w:pPr>
      <w:spacing w:before="48" w:line="218" w:lineRule="auto"/>
      <w:ind w:left="2217"/>
      <w:rPr>
        <w:rFonts w:ascii="宋体" w:hAnsi="宋体" w:eastAsia="宋体" w:cs="宋体"/>
        <w:sz w:val="18"/>
        <w:szCs w:val="18"/>
      </w:rPr>
    </w:pPr>
    <w:r>
      <w:drawing>
        <wp:anchor distT="0" distB="0" distL="0" distR="0" simplePos="0" relativeHeight="25166233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1E000">
    <w:pPr>
      <w:spacing w:before="48" w:line="218" w:lineRule="auto"/>
      <w:ind w:left="2217"/>
      <w:rPr>
        <w:rFonts w:ascii="宋体" w:hAnsi="宋体" w:eastAsia="宋体" w:cs="宋体"/>
        <w:sz w:val="18"/>
        <w:szCs w:val="18"/>
      </w:rPr>
    </w:pPr>
    <w:r>
      <w:drawing>
        <wp:anchor distT="0" distB="0" distL="0" distR="0" simplePos="0" relativeHeight="25168179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99CA">
    <w:pPr>
      <w:spacing w:before="48" w:line="218" w:lineRule="auto"/>
      <w:ind w:left="2217"/>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0820A">
    <w:pPr>
      <w:spacing w:before="48" w:line="218" w:lineRule="auto"/>
      <w:ind w:left="2217"/>
      <w:rPr>
        <w:rFonts w:ascii="宋体" w:hAnsi="宋体" w:eastAsia="宋体" w:cs="宋体"/>
        <w:sz w:val="18"/>
        <w:szCs w:val="18"/>
      </w:rPr>
    </w:pPr>
    <w:r>
      <w:drawing>
        <wp:anchor distT="0" distB="0" distL="0" distR="0" simplePos="0" relativeHeight="2516838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CC656">
    <w:pPr>
      <w:spacing w:before="48" w:line="218" w:lineRule="auto"/>
      <w:ind w:left="2217"/>
      <w:rPr>
        <w:rFonts w:ascii="宋体" w:hAnsi="宋体" w:eastAsia="宋体" w:cs="宋体"/>
        <w:sz w:val="18"/>
        <w:szCs w:val="18"/>
      </w:rPr>
    </w:pPr>
    <w:r>
      <w:drawing>
        <wp:anchor distT="0" distB="0" distL="0" distR="0" simplePos="0" relativeHeight="25168486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881B5">
    <w:pPr>
      <w:spacing w:before="48" w:line="218" w:lineRule="auto"/>
      <w:ind w:left="2217"/>
      <w:rPr>
        <w:rFonts w:ascii="宋体" w:hAnsi="宋体" w:eastAsia="宋体" w:cs="宋体"/>
        <w:sz w:val="18"/>
        <w:szCs w:val="18"/>
      </w:rPr>
    </w:pPr>
    <w:r>
      <w:drawing>
        <wp:anchor distT="0" distB="0" distL="0" distR="0" simplePos="0" relativeHeight="2516633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88A9B">
    <w:pPr>
      <w:spacing w:before="48" w:line="218" w:lineRule="auto"/>
      <w:ind w:left="2217"/>
      <w:rPr>
        <w:rFonts w:ascii="宋体" w:hAnsi="宋体" w:eastAsia="宋体" w:cs="宋体"/>
        <w:sz w:val="18"/>
        <w:szCs w:val="18"/>
      </w:rPr>
    </w:pPr>
    <w:r>
      <w:drawing>
        <wp:anchor distT="0" distB="0" distL="0" distR="0" simplePos="0" relativeHeight="25168588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0D2DB">
    <w:pPr>
      <w:spacing w:before="48" w:line="218" w:lineRule="auto"/>
      <w:ind w:left="2217"/>
      <w:rPr>
        <w:rFonts w:ascii="宋体" w:hAnsi="宋体" w:eastAsia="宋体" w:cs="宋体"/>
        <w:sz w:val="18"/>
        <w:szCs w:val="18"/>
      </w:rPr>
    </w:pPr>
    <w:r>
      <w:drawing>
        <wp:anchor distT="0" distB="0" distL="0" distR="0" simplePos="0" relativeHeight="25168691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6F546">
    <w:pPr>
      <w:spacing w:before="48" w:line="218" w:lineRule="auto"/>
      <w:ind w:left="2217"/>
      <w:rPr>
        <w:rFonts w:ascii="宋体" w:hAnsi="宋体" w:eastAsia="宋体" w:cs="宋体"/>
        <w:sz w:val="18"/>
        <w:szCs w:val="18"/>
      </w:rPr>
    </w:pPr>
    <w:r>
      <w:drawing>
        <wp:anchor distT="0" distB="0" distL="0" distR="0" simplePos="0" relativeHeight="25168793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E78C">
    <w:pPr>
      <w:spacing w:before="48" w:line="218" w:lineRule="auto"/>
      <w:ind w:left="2217"/>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D80F">
    <w:pPr>
      <w:spacing w:before="48" w:line="218" w:lineRule="auto"/>
      <w:ind w:left="2217"/>
      <w:rPr>
        <w:rFonts w:ascii="宋体" w:hAnsi="宋体" w:eastAsia="宋体" w:cs="宋体"/>
        <w:sz w:val="18"/>
        <w:szCs w:val="18"/>
      </w:rPr>
    </w:pPr>
    <w:r>
      <w:drawing>
        <wp:anchor distT="0" distB="0" distL="0" distR="0" simplePos="0" relativeHeight="25168896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8D33F">
    <w:pPr>
      <w:spacing w:before="48" w:line="218" w:lineRule="auto"/>
      <w:ind w:left="2217"/>
      <w:rPr>
        <w:rFonts w:ascii="宋体" w:hAnsi="宋体" w:eastAsia="宋体" w:cs="宋体"/>
        <w:sz w:val="18"/>
        <w:szCs w:val="18"/>
      </w:rPr>
    </w:pPr>
    <w:r>
      <w:drawing>
        <wp:anchor distT="0" distB="0" distL="0" distR="0" simplePos="0" relativeHeight="2516899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82298">
    <w:pPr>
      <w:spacing w:before="48" w:line="218" w:lineRule="auto"/>
      <w:ind w:left="2217"/>
      <w:rPr>
        <w:rFonts w:ascii="宋体" w:hAnsi="宋体" w:eastAsia="宋体" w:cs="宋体"/>
        <w:sz w:val="18"/>
        <w:szCs w:val="18"/>
      </w:rPr>
    </w:pPr>
    <w:r>
      <w:drawing>
        <wp:anchor distT="0" distB="0" distL="0" distR="0" simplePos="0" relativeHeight="2516643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5A96">
    <w:pPr>
      <w:spacing w:before="48" w:line="218" w:lineRule="auto"/>
      <w:ind w:left="2217"/>
      <w:rPr>
        <w:rFonts w:ascii="宋体" w:hAnsi="宋体" w:eastAsia="宋体" w:cs="宋体"/>
        <w:sz w:val="18"/>
        <w:szCs w:val="18"/>
      </w:rPr>
    </w:pPr>
    <w:r>
      <w:drawing>
        <wp:anchor distT="0" distB="0" distL="0" distR="0" simplePos="0" relativeHeight="2516910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91B59">
    <w:pPr>
      <w:spacing w:before="48" w:line="218" w:lineRule="auto"/>
      <w:ind w:left="2217"/>
      <w:rPr>
        <w:rFonts w:ascii="宋体" w:hAnsi="宋体" w:eastAsia="宋体" w:cs="宋体"/>
        <w:sz w:val="18"/>
        <w:szCs w:val="18"/>
      </w:rPr>
    </w:pPr>
    <w:r>
      <w:drawing>
        <wp:anchor distT="0" distB="0" distL="0" distR="0" simplePos="0" relativeHeight="25169203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5312663" cy="9143"/>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3347D">
    <w:pPr>
      <w:spacing w:before="48" w:line="218" w:lineRule="auto"/>
      <w:ind w:left="2217"/>
      <w:rPr>
        <w:rFonts w:ascii="宋体" w:hAnsi="宋体" w:eastAsia="宋体" w:cs="宋体"/>
        <w:sz w:val="18"/>
        <w:szCs w:val="18"/>
      </w:rPr>
    </w:pPr>
    <w:r>
      <w:drawing>
        <wp:anchor distT="0" distB="0" distL="0" distR="0" simplePos="0" relativeHeight="2516930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62C1D">
    <w:pPr>
      <w:spacing w:before="48" w:line="218" w:lineRule="auto"/>
      <w:ind w:left="2217"/>
      <w:rPr>
        <w:rFonts w:ascii="宋体" w:hAnsi="宋体" w:eastAsia="宋体" w:cs="宋体"/>
        <w:sz w:val="18"/>
        <w:szCs w:val="18"/>
      </w:rPr>
    </w:pPr>
    <w:r>
      <w:drawing>
        <wp:anchor distT="0" distB="0" distL="0" distR="0" simplePos="0" relativeHeight="25169408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FFA1D">
    <w:pPr>
      <w:spacing w:before="48" w:line="218" w:lineRule="auto"/>
      <w:ind w:left="2217"/>
      <w:rPr>
        <w:rFonts w:ascii="宋体" w:hAnsi="宋体" w:eastAsia="宋体" w:cs="宋体"/>
        <w:sz w:val="18"/>
        <w:szCs w:val="18"/>
      </w:rPr>
    </w:pPr>
    <w:r>
      <w:drawing>
        <wp:anchor distT="0" distB="0" distL="0" distR="0" simplePos="0" relativeHeight="25169510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C4E0C">
    <w:pPr>
      <w:spacing w:before="48" w:line="218" w:lineRule="auto"/>
      <w:ind w:left="2217"/>
      <w:rPr>
        <w:rFonts w:ascii="宋体" w:hAnsi="宋体" w:eastAsia="宋体" w:cs="宋体"/>
        <w:sz w:val="18"/>
        <w:szCs w:val="18"/>
      </w:rPr>
    </w:pPr>
    <w:r>
      <w:drawing>
        <wp:anchor distT="0" distB="0" distL="0" distR="0" simplePos="0" relativeHeight="2516961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692A8">
    <w:pPr>
      <w:spacing w:before="48" w:line="218" w:lineRule="auto"/>
      <w:ind w:left="2217"/>
      <w:rPr>
        <w:rFonts w:ascii="宋体" w:hAnsi="宋体" w:eastAsia="宋体" w:cs="宋体"/>
        <w:sz w:val="18"/>
        <w:szCs w:val="18"/>
      </w:rPr>
    </w:pPr>
    <w:r>
      <w:drawing>
        <wp:anchor distT="0" distB="0" distL="0" distR="0" simplePos="0" relativeHeight="2516971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5A96">
    <w:pPr>
      <w:spacing w:before="48" w:line="218" w:lineRule="auto"/>
      <w:ind w:left="2217"/>
      <w:rPr>
        <w:rFonts w:ascii="宋体" w:hAnsi="宋体" w:eastAsia="宋体" w:cs="宋体"/>
        <w:sz w:val="18"/>
        <w:szCs w:val="18"/>
      </w:rPr>
    </w:pPr>
    <w:r>
      <w:drawing>
        <wp:anchor distT="0" distB="0" distL="0" distR="0" simplePos="0" relativeHeight="2516910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01DD">
    <w:pPr>
      <w:spacing w:before="48" w:line="218" w:lineRule="auto"/>
      <w:ind w:left="2217"/>
      <w:rPr>
        <w:rFonts w:ascii="宋体" w:hAnsi="宋体" w:eastAsia="宋体" w:cs="宋体"/>
        <w:sz w:val="18"/>
        <w:szCs w:val="18"/>
      </w:rPr>
    </w:pPr>
    <w:r>
      <w:drawing>
        <wp:anchor distT="0" distB="0" distL="0" distR="0" simplePos="0" relativeHeight="2516715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5518">
    <w:pPr>
      <w:spacing w:before="48" w:line="218" w:lineRule="auto"/>
      <w:ind w:left="2217"/>
      <w:rPr>
        <w:rFonts w:ascii="宋体" w:hAnsi="宋体" w:eastAsia="宋体" w:cs="宋体"/>
        <w:sz w:val="18"/>
        <w:szCs w:val="18"/>
      </w:rPr>
    </w:pPr>
    <w:r>
      <w:drawing>
        <wp:anchor distT="0" distB="0" distL="0" distR="0" simplePos="0" relativeHeight="25169817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E059">
    <w:pPr>
      <w:spacing w:before="48" w:line="218" w:lineRule="auto"/>
      <w:ind w:left="2217"/>
      <w:rPr>
        <w:rFonts w:ascii="宋体" w:hAnsi="宋体" w:eastAsia="宋体" w:cs="宋体"/>
        <w:sz w:val="18"/>
        <w:szCs w:val="18"/>
      </w:rPr>
    </w:pPr>
    <w:r>
      <w:drawing>
        <wp:anchor distT="0" distB="0" distL="0" distR="0" simplePos="0" relativeHeight="25169920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CD11D">
    <w:pPr>
      <w:spacing w:before="48" w:line="218" w:lineRule="auto"/>
      <w:ind w:left="2217"/>
      <w:rPr>
        <w:rFonts w:ascii="宋体" w:hAnsi="宋体" w:eastAsia="宋体" w:cs="宋体"/>
        <w:sz w:val="18"/>
        <w:szCs w:val="18"/>
      </w:rPr>
    </w:pPr>
    <w:r>
      <w:drawing>
        <wp:anchor distT="0" distB="0" distL="0" distR="0" simplePos="0" relativeHeight="2517002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3F070">
    <w:pPr>
      <w:spacing w:before="48" w:line="218" w:lineRule="auto"/>
      <w:ind w:left="2217"/>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4B3E0">
    <w:pPr>
      <w:spacing w:before="48" w:line="218" w:lineRule="auto"/>
      <w:ind w:left="2217"/>
      <w:rPr>
        <w:rFonts w:ascii="宋体" w:hAnsi="宋体" w:eastAsia="宋体" w:cs="宋体"/>
        <w:sz w:val="18"/>
        <w:szCs w:val="18"/>
      </w:rPr>
    </w:pPr>
    <w:r>
      <w:drawing>
        <wp:anchor distT="0" distB="0" distL="0" distR="0" simplePos="0" relativeHeight="25170124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01DD">
    <w:pPr>
      <w:spacing w:before="48" w:line="218" w:lineRule="auto"/>
      <w:ind w:left="2217"/>
      <w:rPr>
        <w:rFonts w:ascii="宋体" w:hAnsi="宋体" w:eastAsia="宋体" w:cs="宋体"/>
        <w:sz w:val="18"/>
        <w:szCs w:val="18"/>
      </w:rPr>
    </w:pPr>
    <w:r>
      <w:drawing>
        <wp:anchor distT="0" distB="0" distL="0" distR="0" simplePos="0" relativeHeight="25167155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7D23">
    <w:pPr>
      <w:spacing w:before="48" w:line="218" w:lineRule="auto"/>
      <w:ind w:left="2217"/>
      <w:rPr>
        <w:rFonts w:ascii="宋体" w:hAnsi="宋体" w:eastAsia="宋体" w:cs="宋体"/>
        <w:sz w:val="18"/>
        <w:szCs w:val="18"/>
      </w:rPr>
    </w:pPr>
    <w:r>
      <w:drawing>
        <wp:anchor distT="0" distB="0" distL="0" distR="0" simplePos="0" relativeHeight="25170227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7653">
    <w:pPr>
      <w:spacing w:before="48" w:line="218" w:lineRule="auto"/>
      <w:ind w:left="2217"/>
      <w:rPr>
        <w:rFonts w:ascii="宋体" w:hAnsi="宋体" w:eastAsia="宋体" w:cs="宋体"/>
        <w:sz w:val="18"/>
        <w:szCs w:val="18"/>
      </w:rPr>
    </w:pPr>
    <w:r>
      <w:drawing>
        <wp:anchor distT="0" distB="0" distL="0" distR="0" simplePos="0" relativeHeight="2517032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B72C0">
    <w:pPr>
      <w:spacing w:before="48" w:line="218" w:lineRule="auto"/>
      <w:ind w:left="2217"/>
      <w:rPr>
        <w:rFonts w:ascii="宋体" w:hAnsi="宋体" w:eastAsia="宋体" w:cs="宋体"/>
        <w:sz w:val="18"/>
        <w:szCs w:val="18"/>
      </w:rPr>
    </w:pPr>
    <w:r>
      <w:drawing>
        <wp:anchor distT="0" distB="0" distL="0" distR="0" simplePos="0" relativeHeight="25170432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6714C">
    <w:pPr>
      <w:spacing w:before="48" w:line="218" w:lineRule="auto"/>
      <w:ind w:left="2217"/>
      <w:rPr>
        <w:rFonts w:ascii="宋体" w:hAnsi="宋体" w:eastAsia="宋体" w:cs="宋体"/>
        <w:sz w:val="18"/>
        <w:szCs w:val="18"/>
      </w:rPr>
    </w:pPr>
    <w:r>
      <w:drawing>
        <wp:anchor distT="0" distB="0" distL="0" distR="0" simplePos="0" relativeHeight="25170534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6D232">
    <w:pPr>
      <w:spacing w:before="48" w:line="218" w:lineRule="auto"/>
      <w:ind w:left="2217"/>
      <w:rPr>
        <w:rFonts w:ascii="宋体" w:hAnsi="宋体" w:eastAsia="宋体" w:cs="宋体"/>
        <w:sz w:val="18"/>
        <w:szCs w:val="18"/>
      </w:rPr>
    </w:pPr>
    <w:r>
      <w:drawing>
        <wp:anchor distT="0" distB="0" distL="0" distR="0" simplePos="0" relativeHeight="25170636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590D">
    <w:pPr>
      <w:spacing w:before="48" w:line="218" w:lineRule="auto"/>
      <w:ind w:left="2217"/>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6E429">
    <w:pPr>
      <w:spacing w:before="48" w:line="218" w:lineRule="auto"/>
      <w:ind w:left="2217"/>
      <w:rPr>
        <w:rFonts w:ascii="宋体" w:hAnsi="宋体" w:eastAsia="宋体" w:cs="宋体"/>
        <w:sz w:val="18"/>
        <w:szCs w:val="18"/>
      </w:rPr>
    </w:pPr>
    <w:r>
      <w:drawing>
        <wp:anchor distT="0" distB="0" distL="0" distR="0" simplePos="0" relativeHeight="2516674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52F24">
    <w:pPr>
      <w:spacing w:before="48" w:line="218" w:lineRule="auto"/>
      <w:ind w:left="2217"/>
      <w:rPr>
        <w:rFonts w:ascii="宋体" w:hAnsi="宋体" w:eastAsia="宋体" w:cs="宋体"/>
        <w:sz w:val="18"/>
        <w:szCs w:val="18"/>
      </w:rPr>
    </w:pPr>
    <w:r>
      <w:drawing>
        <wp:anchor distT="0" distB="0" distL="0" distR="0" simplePos="0" relativeHeight="25171046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20BC">
    <w:pPr>
      <w:spacing w:before="48" w:line="218" w:lineRule="auto"/>
      <w:ind w:left="2217"/>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D6929">
    <w:pPr>
      <w:spacing w:before="48" w:line="218" w:lineRule="auto"/>
      <w:ind w:left="2217"/>
      <w:rPr>
        <w:rFonts w:ascii="宋体" w:hAnsi="宋体" w:eastAsia="宋体" w:cs="宋体"/>
        <w:sz w:val="18"/>
        <w:szCs w:val="18"/>
      </w:rPr>
    </w:pPr>
    <w:r>
      <w:drawing>
        <wp:anchor distT="0" distB="0" distL="0" distR="0" simplePos="0" relativeHeight="25171251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C436">
    <w:pPr>
      <w:spacing w:before="48" w:line="218" w:lineRule="auto"/>
      <w:ind w:left="2217"/>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5A96">
    <w:pPr>
      <w:spacing w:before="48" w:line="218" w:lineRule="auto"/>
      <w:ind w:left="2217"/>
      <w:rPr>
        <w:rFonts w:ascii="宋体" w:hAnsi="宋体" w:eastAsia="宋体" w:cs="宋体"/>
        <w:sz w:val="18"/>
        <w:szCs w:val="18"/>
      </w:rPr>
    </w:pPr>
    <w:r>
      <w:drawing>
        <wp:anchor distT="0" distB="0" distL="0" distR="0" simplePos="0" relativeHeight="2516910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C0223">
    <w:pPr>
      <w:spacing w:before="48" w:line="218" w:lineRule="auto"/>
      <w:ind w:left="2217"/>
      <w:rPr>
        <w:rFonts w:ascii="宋体" w:hAnsi="宋体" w:eastAsia="宋体" w:cs="宋体"/>
        <w:sz w:val="18"/>
        <w:szCs w:val="18"/>
      </w:rPr>
    </w:pPr>
    <w:r>
      <w:drawing>
        <wp:anchor distT="0" distB="0" distL="0" distR="0" simplePos="0" relativeHeight="25171353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C5DD0">
    <w:pPr>
      <w:spacing w:before="48" w:line="218" w:lineRule="auto"/>
      <w:ind w:left="5045"/>
      <w:rPr>
        <w:rFonts w:ascii="宋体" w:hAnsi="宋体" w:eastAsia="宋体" w:cs="宋体"/>
        <w:sz w:val="18"/>
        <w:szCs w:val="18"/>
      </w:rPr>
    </w:pPr>
    <w:r>
      <w:drawing>
        <wp:anchor distT="0" distB="0" distL="0" distR="0" simplePos="0" relativeHeight="251714560" behindDoc="0" locked="0" layoutInCell="0" allowOverlap="1">
          <wp:simplePos x="0" y="0"/>
          <wp:positionH relativeFrom="page">
            <wp:posOffset>894715</wp:posOffset>
          </wp:positionH>
          <wp:positionV relativeFrom="page">
            <wp:posOffset>701675</wp:posOffset>
          </wp:positionV>
          <wp:extent cx="8901430" cy="889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8901684" cy="9143"/>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5C9">
    <w:pPr>
      <w:spacing w:before="48" w:line="218" w:lineRule="auto"/>
      <w:ind w:left="2217"/>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68275">
    <w:pPr>
      <w:spacing w:before="48" w:line="218" w:lineRule="auto"/>
      <w:ind w:left="2217"/>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60A6E">
    <w:pPr>
      <w:spacing w:before="48" w:line="218" w:lineRule="auto"/>
      <w:ind w:left="2217"/>
      <w:rPr>
        <w:rFonts w:ascii="宋体" w:hAnsi="宋体" w:eastAsia="宋体" w:cs="宋体"/>
        <w:sz w:val="18"/>
        <w:szCs w:val="18"/>
      </w:rPr>
    </w:pPr>
    <w:r>
      <w:drawing>
        <wp:anchor distT="0" distB="0" distL="0" distR="0" simplePos="0" relativeHeight="25171660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93684">
    <w:pPr>
      <w:spacing w:before="48" w:line="218" w:lineRule="auto"/>
      <w:ind w:left="2217"/>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C962B">
    <w:pPr>
      <w:spacing w:before="48" w:line="218" w:lineRule="auto"/>
      <w:ind w:left="2217"/>
      <w:rPr>
        <w:rFonts w:ascii="宋体" w:hAnsi="宋体" w:eastAsia="宋体" w:cs="宋体"/>
        <w:sz w:val="18"/>
        <w:szCs w:val="18"/>
      </w:rPr>
    </w:pPr>
    <w:r>
      <w:drawing>
        <wp:anchor distT="0" distB="0" distL="0" distR="0" simplePos="0" relativeHeight="251717632"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590D">
    <w:pPr>
      <w:spacing w:before="48" w:line="218" w:lineRule="auto"/>
      <w:ind w:left="2217"/>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D693">
    <w:pPr>
      <w:spacing w:before="48" w:line="218" w:lineRule="auto"/>
      <w:ind w:left="2217"/>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5C9">
    <w:pPr>
      <w:spacing w:before="48" w:line="218" w:lineRule="auto"/>
      <w:ind w:left="2217"/>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EB78">
    <w:pPr>
      <w:spacing w:before="48" w:line="218" w:lineRule="auto"/>
      <w:ind w:left="2217"/>
      <w:rPr>
        <w:rFonts w:ascii="宋体" w:hAnsi="宋体" w:eastAsia="宋体" w:cs="宋体"/>
        <w:sz w:val="18"/>
        <w:szCs w:val="18"/>
      </w:rPr>
    </w:pPr>
    <w:r>
      <w:drawing>
        <wp:anchor distT="0" distB="0" distL="0" distR="0" simplePos="0" relativeHeight="251718656"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0C43">
    <w:pPr>
      <w:spacing w:before="48" w:line="218" w:lineRule="auto"/>
      <w:ind w:left="2217"/>
      <w:rPr>
        <w:rFonts w:ascii="宋体" w:hAnsi="宋体" w:eastAsia="宋体" w:cs="宋体"/>
        <w:sz w:val="18"/>
        <w:szCs w:val="18"/>
      </w:rPr>
    </w:pPr>
    <w:r>
      <w:drawing>
        <wp:anchor distT="0" distB="0" distL="0" distR="0" simplePos="0" relativeHeight="251719680"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3C7AD">
    <w:pPr>
      <w:spacing w:before="48" w:line="218" w:lineRule="auto"/>
      <w:ind w:left="2217"/>
      <w:rPr>
        <w:rFonts w:ascii="宋体" w:hAnsi="宋体" w:eastAsia="宋体" w:cs="宋体"/>
        <w:sz w:val="18"/>
        <w:szCs w:val="18"/>
      </w:rPr>
    </w:pPr>
    <w:r>
      <w:drawing>
        <wp:anchor distT="0" distB="0" distL="0" distR="0" simplePos="0" relativeHeight="251720704" behindDoc="0" locked="0" layoutInCell="0" allowOverlap="1">
          <wp:simplePos x="0" y="0"/>
          <wp:positionH relativeFrom="page">
            <wp:posOffset>1123950</wp:posOffset>
          </wp:positionH>
          <wp:positionV relativeFrom="page">
            <wp:posOffset>701675</wp:posOffset>
          </wp:positionV>
          <wp:extent cx="5312410" cy="889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5312663" cy="9144"/>
                  </a:xfrm>
                  <a:prstGeom prst="rect">
                    <a:avLst/>
                  </a:prstGeom>
                </pic:spPr>
              </pic:pic>
            </a:graphicData>
          </a:graphic>
        </wp:anchor>
      </w:drawing>
    </w:r>
    <w:r>
      <w:rPr>
        <w:rFonts w:ascii="宋体" w:hAnsi="宋体" w:eastAsia="宋体" w:cs="宋体"/>
        <w:spacing w:val="-1"/>
        <w:sz w:val="18"/>
        <w:szCs w:val="18"/>
      </w:rPr>
      <w:t>喻家沟生猪规模化养殖场建设项目环境影响报告书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8850803"/>
    <w:rsid w:val="1D04251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0.xml"/><Relationship Id="rId98" Type="http://schemas.openxmlformats.org/officeDocument/2006/relationships/footer" Target="footer55.xml"/><Relationship Id="rId97" Type="http://schemas.openxmlformats.org/officeDocument/2006/relationships/header" Target="header39.xml"/><Relationship Id="rId96" Type="http://schemas.openxmlformats.org/officeDocument/2006/relationships/footer" Target="footer54.xml"/><Relationship Id="rId95" Type="http://schemas.openxmlformats.org/officeDocument/2006/relationships/header" Target="header38.xml"/><Relationship Id="rId94" Type="http://schemas.openxmlformats.org/officeDocument/2006/relationships/footer" Target="footer53.xml"/><Relationship Id="rId93" Type="http://schemas.openxmlformats.org/officeDocument/2006/relationships/footer" Target="footer52.xml"/><Relationship Id="rId92" Type="http://schemas.openxmlformats.org/officeDocument/2006/relationships/footer" Target="footer51.xml"/><Relationship Id="rId91" Type="http://schemas.openxmlformats.org/officeDocument/2006/relationships/footer" Target="footer50.xml"/><Relationship Id="rId90" Type="http://schemas.openxmlformats.org/officeDocument/2006/relationships/header" Target="header37.xml"/><Relationship Id="rId9" Type="http://schemas.openxmlformats.org/officeDocument/2006/relationships/header" Target="header2.xml"/><Relationship Id="rId89" Type="http://schemas.openxmlformats.org/officeDocument/2006/relationships/footer" Target="footer49.xml"/><Relationship Id="rId88" Type="http://schemas.openxmlformats.org/officeDocument/2006/relationships/footer" Target="footer48.xml"/><Relationship Id="rId87" Type="http://schemas.openxmlformats.org/officeDocument/2006/relationships/header" Target="header36.xml"/><Relationship Id="rId86" Type="http://schemas.openxmlformats.org/officeDocument/2006/relationships/footer" Target="footer47.xml"/><Relationship Id="rId85" Type="http://schemas.openxmlformats.org/officeDocument/2006/relationships/header" Target="header35.xml"/><Relationship Id="rId84" Type="http://schemas.openxmlformats.org/officeDocument/2006/relationships/footer" Target="footer46.xml"/><Relationship Id="rId83" Type="http://schemas.openxmlformats.org/officeDocument/2006/relationships/header" Target="header34.xml"/><Relationship Id="rId82" Type="http://schemas.openxmlformats.org/officeDocument/2006/relationships/footer" Target="footer45.xml"/><Relationship Id="rId81" Type="http://schemas.openxmlformats.org/officeDocument/2006/relationships/header" Target="header33.xml"/><Relationship Id="rId80" Type="http://schemas.openxmlformats.org/officeDocument/2006/relationships/footer" Target="footer44.xml"/><Relationship Id="rId8" Type="http://schemas.openxmlformats.org/officeDocument/2006/relationships/footer" Target="footer3.xml"/><Relationship Id="rId79" Type="http://schemas.openxmlformats.org/officeDocument/2006/relationships/header" Target="header32.xml"/><Relationship Id="rId78" Type="http://schemas.openxmlformats.org/officeDocument/2006/relationships/footer" Target="footer43.xml"/><Relationship Id="rId77" Type="http://schemas.openxmlformats.org/officeDocument/2006/relationships/header" Target="header31.xml"/><Relationship Id="rId76" Type="http://schemas.openxmlformats.org/officeDocument/2006/relationships/footer" Target="footer42.xml"/><Relationship Id="rId75" Type="http://schemas.openxmlformats.org/officeDocument/2006/relationships/footer" Target="footer41.xml"/><Relationship Id="rId74" Type="http://schemas.openxmlformats.org/officeDocument/2006/relationships/footer" Target="footer40.xml"/><Relationship Id="rId73" Type="http://schemas.openxmlformats.org/officeDocument/2006/relationships/footer" Target="footer39.xml"/><Relationship Id="rId72" Type="http://schemas.openxmlformats.org/officeDocument/2006/relationships/header" Target="header30.xml"/><Relationship Id="rId71" Type="http://schemas.openxmlformats.org/officeDocument/2006/relationships/footer" Target="footer38.xml"/><Relationship Id="rId70" Type="http://schemas.openxmlformats.org/officeDocument/2006/relationships/header" Target="header29.xml"/><Relationship Id="rId7" Type="http://schemas.openxmlformats.org/officeDocument/2006/relationships/footer" Target="footer2.xml"/><Relationship Id="rId69" Type="http://schemas.openxmlformats.org/officeDocument/2006/relationships/footer" Target="footer37.xml"/><Relationship Id="rId68" Type="http://schemas.openxmlformats.org/officeDocument/2006/relationships/header" Target="header28.xml"/><Relationship Id="rId67" Type="http://schemas.openxmlformats.org/officeDocument/2006/relationships/footer" Target="footer36.xml"/><Relationship Id="rId66" Type="http://schemas.openxmlformats.org/officeDocument/2006/relationships/header" Target="header27.xml"/><Relationship Id="rId65" Type="http://schemas.openxmlformats.org/officeDocument/2006/relationships/footer" Target="footer35.xml"/><Relationship Id="rId64" Type="http://schemas.openxmlformats.org/officeDocument/2006/relationships/header" Target="header26.xml"/><Relationship Id="rId63" Type="http://schemas.openxmlformats.org/officeDocument/2006/relationships/footer" Target="footer34.xml"/><Relationship Id="rId62" Type="http://schemas.openxmlformats.org/officeDocument/2006/relationships/header" Target="header25.xml"/><Relationship Id="rId61" Type="http://schemas.openxmlformats.org/officeDocument/2006/relationships/footer" Target="footer33.xml"/><Relationship Id="rId60" Type="http://schemas.openxmlformats.org/officeDocument/2006/relationships/header" Target="header24.xml"/><Relationship Id="rId6" Type="http://schemas.openxmlformats.org/officeDocument/2006/relationships/footer" Target="footer1.xml"/><Relationship Id="rId598" Type="http://schemas.openxmlformats.org/officeDocument/2006/relationships/fontTable" Target="fontTable.xml"/><Relationship Id="rId597" Type="http://schemas.openxmlformats.org/officeDocument/2006/relationships/customXml" Target="../customXml/item1.xml"/><Relationship Id="rId596" Type="http://schemas.openxmlformats.org/officeDocument/2006/relationships/image" Target="media/image71.jpeg"/><Relationship Id="rId595" Type="http://schemas.openxmlformats.org/officeDocument/2006/relationships/image" Target="media/image70.jpeg"/><Relationship Id="rId594" Type="http://schemas.openxmlformats.org/officeDocument/2006/relationships/image" Target="media/image69.jpeg"/><Relationship Id="rId593" Type="http://schemas.openxmlformats.org/officeDocument/2006/relationships/image" Target="media/image68.jpeg"/><Relationship Id="rId592" Type="http://schemas.openxmlformats.org/officeDocument/2006/relationships/image" Target="media/image67.jpeg"/><Relationship Id="rId591" Type="http://schemas.openxmlformats.org/officeDocument/2006/relationships/image" Target="media/image66.jpeg"/><Relationship Id="rId590" Type="http://schemas.openxmlformats.org/officeDocument/2006/relationships/image" Target="media/image65.jpeg"/><Relationship Id="rId59" Type="http://schemas.openxmlformats.org/officeDocument/2006/relationships/footer" Target="footer32.xml"/><Relationship Id="rId589" Type="http://schemas.openxmlformats.org/officeDocument/2006/relationships/image" Target="media/image64.jpeg"/><Relationship Id="rId588" Type="http://schemas.openxmlformats.org/officeDocument/2006/relationships/image" Target="media/image63.jpeg"/><Relationship Id="rId587" Type="http://schemas.openxmlformats.org/officeDocument/2006/relationships/image" Target="media/image62.jpeg"/><Relationship Id="rId586" Type="http://schemas.openxmlformats.org/officeDocument/2006/relationships/image" Target="media/image61.jpeg"/><Relationship Id="rId585" Type="http://schemas.openxmlformats.org/officeDocument/2006/relationships/image" Target="media/image60.jpeg"/><Relationship Id="rId584" Type="http://schemas.openxmlformats.org/officeDocument/2006/relationships/image" Target="media/image59.png"/><Relationship Id="rId583" Type="http://schemas.openxmlformats.org/officeDocument/2006/relationships/image" Target="media/image58.jpeg"/><Relationship Id="rId582" Type="http://schemas.openxmlformats.org/officeDocument/2006/relationships/image" Target="media/image57.png"/><Relationship Id="rId581" Type="http://schemas.openxmlformats.org/officeDocument/2006/relationships/image" Target="media/image56.png"/><Relationship Id="rId580" Type="http://schemas.openxmlformats.org/officeDocument/2006/relationships/image" Target="media/image55.png"/><Relationship Id="rId58" Type="http://schemas.openxmlformats.org/officeDocument/2006/relationships/header" Target="header23.xml"/><Relationship Id="rId579" Type="http://schemas.openxmlformats.org/officeDocument/2006/relationships/image" Target="media/image54.png"/><Relationship Id="rId578" Type="http://schemas.openxmlformats.org/officeDocument/2006/relationships/image" Target="media/image53.png"/><Relationship Id="rId577" Type="http://schemas.openxmlformats.org/officeDocument/2006/relationships/image" Target="media/image52.png"/><Relationship Id="rId576" Type="http://schemas.openxmlformats.org/officeDocument/2006/relationships/image" Target="media/image51.png"/><Relationship Id="rId575" Type="http://schemas.openxmlformats.org/officeDocument/2006/relationships/image" Target="media/image50.png"/><Relationship Id="rId574" Type="http://schemas.openxmlformats.org/officeDocument/2006/relationships/image" Target="media/image49.png"/><Relationship Id="rId573" Type="http://schemas.openxmlformats.org/officeDocument/2006/relationships/image" Target="media/image48.png"/><Relationship Id="rId572" Type="http://schemas.openxmlformats.org/officeDocument/2006/relationships/image" Target="media/image47.png"/><Relationship Id="rId571" Type="http://schemas.openxmlformats.org/officeDocument/2006/relationships/image" Target="media/image46.png"/><Relationship Id="rId570" Type="http://schemas.openxmlformats.org/officeDocument/2006/relationships/image" Target="media/image45.jpeg"/><Relationship Id="rId57" Type="http://schemas.openxmlformats.org/officeDocument/2006/relationships/footer" Target="footer31.xml"/><Relationship Id="rId569" Type="http://schemas.openxmlformats.org/officeDocument/2006/relationships/image" Target="media/image44.jpeg"/><Relationship Id="rId568" Type="http://schemas.openxmlformats.org/officeDocument/2006/relationships/image" Target="media/image43.jpeg"/><Relationship Id="rId567" Type="http://schemas.openxmlformats.org/officeDocument/2006/relationships/image" Target="media/image42.png"/><Relationship Id="rId566" Type="http://schemas.openxmlformats.org/officeDocument/2006/relationships/image" Target="media/image41.jpeg"/><Relationship Id="rId565" Type="http://schemas.openxmlformats.org/officeDocument/2006/relationships/image" Target="media/image40.png"/><Relationship Id="rId564" Type="http://schemas.openxmlformats.org/officeDocument/2006/relationships/image" Target="media/image39.png"/><Relationship Id="rId563" Type="http://schemas.openxmlformats.org/officeDocument/2006/relationships/image" Target="media/image38.png"/><Relationship Id="rId562" Type="http://schemas.openxmlformats.org/officeDocument/2006/relationships/image" Target="media/image37.png"/><Relationship Id="rId561" Type="http://schemas.openxmlformats.org/officeDocument/2006/relationships/image" Target="media/image36.png"/><Relationship Id="rId560" Type="http://schemas.openxmlformats.org/officeDocument/2006/relationships/image" Target="media/image35.png"/><Relationship Id="rId56" Type="http://schemas.openxmlformats.org/officeDocument/2006/relationships/header" Target="header22.xml"/><Relationship Id="rId559" Type="http://schemas.openxmlformats.org/officeDocument/2006/relationships/image" Target="media/image34.jpeg"/><Relationship Id="rId558" Type="http://schemas.openxmlformats.org/officeDocument/2006/relationships/image" Target="media/image33.jpeg"/><Relationship Id="rId557" Type="http://schemas.openxmlformats.org/officeDocument/2006/relationships/image" Target="media/image32.png"/><Relationship Id="rId556" Type="http://schemas.openxmlformats.org/officeDocument/2006/relationships/image" Target="media/image31.png"/><Relationship Id="rId555" Type="http://schemas.openxmlformats.org/officeDocument/2006/relationships/image" Target="media/image30.png"/><Relationship Id="rId554" Type="http://schemas.openxmlformats.org/officeDocument/2006/relationships/image" Target="media/image29.png"/><Relationship Id="rId553" Type="http://schemas.openxmlformats.org/officeDocument/2006/relationships/image" Target="media/image28.png"/><Relationship Id="rId552" Type="http://schemas.openxmlformats.org/officeDocument/2006/relationships/image" Target="media/image27.jpeg"/><Relationship Id="rId551" Type="http://schemas.openxmlformats.org/officeDocument/2006/relationships/image" Target="media/image26.png"/><Relationship Id="rId550" Type="http://schemas.openxmlformats.org/officeDocument/2006/relationships/image" Target="media/image25.png"/><Relationship Id="rId55" Type="http://schemas.openxmlformats.org/officeDocument/2006/relationships/footer" Target="footer30.xml"/><Relationship Id="rId549" Type="http://schemas.openxmlformats.org/officeDocument/2006/relationships/image" Target="media/image24.jpeg"/><Relationship Id="rId548" Type="http://schemas.openxmlformats.org/officeDocument/2006/relationships/image" Target="media/image23.png"/><Relationship Id="rId547" Type="http://schemas.openxmlformats.org/officeDocument/2006/relationships/image" Target="media/image22.png"/><Relationship Id="rId546" Type="http://schemas.openxmlformats.org/officeDocument/2006/relationships/image" Target="media/image21.png"/><Relationship Id="rId545" Type="http://schemas.openxmlformats.org/officeDocument/2006/relationships/image" Target="media/image20.jpeg"/><Relationship Id="rId544" Type="http://schemas.openxmlformats.org/officeDocument/2006/relationships/image" Target="media/image19.png"/><Relationship Id="rId543" Type="http://schemas.openxmlformats.org/officeDocument/2006/relationships/image" Target="media/image18.png"/><Relationship Id="rId542" Type="http://schemas.openxmlformats.org/officeDocument/2006/relationships/image" Target="media/image17.png"/><Relationship Id="rId541" Type="http://schemas.openxmlformats.org/officeDocument/2006/relationships/image" Target="media/image16.png"/><Relationship Id="rId540" Type="http://schemas.openxmlformats.org/officeDocument/2006/relationships/image" Target="media/image15.png"/><Relationship Id="rId54" Type="http://schemas.openxmlformats.org/officeDocument/2006/relationships/header" Target="header21.xml"/><Relationship Id="rId539" Type="http://schemas.openxmlformats.org/officeDocument/2006/relationships/image" Target="media/image14.png"/><Relationship Id="rId538" Type="http://schemas.openxmlformats.org/officeDocument/2006/relationships/image" Target="media/image13.png"/><Relationship Id="rId537" Type="http://schemas.openxmlformats.org/officeDocument/2006/relationships/image" Target="media/image12.png"/><Relationship Id="rId536" Type="http://schemas.openxmlformats.org/officeDocument/2006/relationships/image" Target="media/image11.jpeg"/><Relationship Id="rId535" Type="http://schemas.openxmlformats.org/officeDocument/2006/relationships/image" Target="media/image10.png"/><Relationship Id="rId534" Type="http://schemas.openxmlformats.org/officeDocument/2006/relationships/image" Target="media/image9.jpeg"/><Relationship Id="rId533" Type="http://schemas.openxmlformats.org/officeDocument/2006/relationships/image" Target="media/image8.png"/><Relationship Id="rId532" Type="http://schemas.openxmlformats.org/officeDocument/2006/relationships/image" Target="media/image7.jpeg"/><Relationship Id="rId531" Type="http://schemas.openxmlformats.org/officeDocument/2006/relationships/image" Target="media/image6.jpeg"/><Relationship Id="rId530" Type="http://schemas.openxmlformats.org/officeDocument/2006/relationships/image" Target="media/image5.png"/><Relationship Id="rId53" Type="http://schemas.openxmlformats.org/officeDocument/2006/relationships/footer" Target="footer29.xml"/><Relationship Id="rId529" Type="http://schemas.openxmlformats.org/officeDocument/2006/relationships/image" Target="media/image4.jpeg"/><Relationship Id="rId528" Type="http://schemas.openxmlformats.org/officeDocument/2006/relationships/image" Target="media/image3.png"/><Relationship Id="rId527" Type="http://schemas.openxmlformats.org/officeDocument/2006/relationships/theme" Target="theme/theme1.xml"/><Relationship Id="rId526" Type="http://schemas.openxmlformats.org/officeDocument/2006/relationships/footer" Target="footer290.xml"/><Relationship Id="rId525" Type="http://schemas.openxmlformats.org/officeDocument/2006/relationships/header" Target="header232.xml"/><Relationship Id="rId524" Type="http://schemas.openxmlformats.org/officeDocument/2006/relationships/footer" Target="footer289.xml"/><Relationship Id="rId523" Type="http://schemas.openxmlformats.org/officeDocument/2006/relationships/header" Target="header231.xml"/><Relationship Id="rId522" Type="http://schemas.openxmlformats.org/officeDocument/2006/relationships/footer" Target="footer288.xml"/><Relationship Id="rId521" Type="http://schemas.openxmlformats.org/officeDocument/2006/relationships/header" Target="header230.xml"/><Relationship Id="rId520" Type="http://schemas.openxmlformats.org/officeDocument/2006/relationships/footer" Target="footer287.xml"/><Relationship Id="rId52" Type="http://schemas.openxmlformats.org/officeDocument/2006/relationships/header" Target="header20.xml"/><Relationship Id="rId519" Type="http://schemas.openxmlformats.org/officeDocument/2006/relationships/header" Target="header229.xml"/><Relationship Id="rId518" Type="http://schemas.openxmlformats.org/officeDocument/2006/relationships/footer" Target="footer286.xml"/><Relationship Id="rId517" Type="http://schemas.openxmlformats.org/officeDocument/2006/relationships/footer" Target="footer285.xml"/><Relationship Id="rId516" Type="http://schemas.openxmlformats.org/officeDocument/2006/relationships/footer" Target="footer284.xml"/><Relationship Id="rId515" Type="http://schemas.openxmlformats.org/officeDocument/2006/relationships/footer" Target="footer283.xml"/><Relationship Id="rId514" Type="http://schemas.openxmlformats.org/officeDocument/2006/relationships/header" Target="header228.xml"/><Relationship Id="rId513" Type="http://schemas.openxmlformats.org/officeDocument/2006/relationships/footer" Target="footer282.xml"/><Relationship Id="rId512" Type="http://schemas.openxmlformats.org/officeDocument/2006/relationships/header" Target="header227.xml"/><Relationship Id="rId511" Type="http://schemas.openxmlformats.org/officeDocument/2006/relationships/footer" Target="footer281.xml"/><Relationship Id="rId510" Type="http://schemas.openxmlformats.org/officeDocument/2006/relationships/header" Target="header226.xml"/><Relationship Id="rId51" Type="http://schemas.openxmlformats.org/officeDocument/2006/relationships/footer" Target="footer28.xml"/><Relationship Id="rId509" Type="http://schemas.openxmlformats.org/officeDocument/2006/relationships/footer" Target="footer280.xml"/><Relationship Id="rId508" Type="http://schemas.openxmlformats.org/officeDocument/2006/relationships/header" Target="header225.xml"/><Relationship Id="rId507" Type="http://schemas.openxmlformats.org/officeDocument/2006/relationships/footer" Target="footer279.xml"/><Relationship Id="rId506" Type="http://schemas.openxmlformats.org/officeDocument/2006/relationships/header" Target="header224.xml"/><Relationship Id="rId505" Type="http://schemas.openxmlformats.org/officeDocument/2006/relationships/footer" Target="footer278.xml"/><Relationship Id="rId504" Type="http://schemas.openxmlformats.org/officeDocument/2006/relationships/header" Target="header223.xml"/><Relationship Id="rId503" Type="http://schemas.openxmlformats.org/officeDocument/2006/relationships/footer" Target="footer277.xml"/><Relationship Id="rId502" Type="http://schemas.openxmlformats.org/officeDocument/2006/relationships/header" Target="header222.xml"/><Relationship Id="rId501" Type="http://schemas.openxmlformats.org/officeDocument/2006/relationships/footer" Target="footer276.xml"/><Relationship Id="rId500" Type="http://schemas.openxmlformats.org/officeDocument/2006/relationships/header" Target="header221.xml"/><Relationship Id="rId50" Type="http://schemas.openxmlformats.org/officeDocument/2006/relationships/header" Target="header19.xml"/><Relationship Id="rId5" Type="http://schemas.openxmlformats.org/officeDocument/2006/relationships/header" Target="header1.xml"/><Relationship Id="rId499" Type="http://schemas.openxmlformats.org/officeDocument/2006/relationships/footer" Target="footer275.xml"/><Relationship Id="rId498" Type="http://schemas.openxmlformats.org/officeDocument/2006/relationships/header" Target="header220.xml"/><Relationship Id="rId497" Type="http://schemas.openxmlformats.org/officeDocument/2006/relationships/footer" Target="footer274.xml"/><Relationship Id="rId496" Type="http://schemas.openxmlformats.org/officeDocument/2006/relationships/header" Target="header219.xml"/><Relationship Id="rId495" Type="http://schemas.openxmlformats.org/officeDocument/2006/relationships/footer" Target="footer273.xml"/><Relationship Id="rId494" Type="http://schemas.openxmlformats.org/officeDocument/2006/relationships/header" Target="header218.xml"/><Relationship Id="rId493" Type="http://schemas.openxmlformats.org/officeDocument/2006/relationships/footer" Target="footer272.xml"/><Relationship Id="rId492" Type="http://schemas.openxmlformats.org/officeDocument/2006/relationships/header" Target="header217.xml"/><Relationship Id="rId491" Type="http://schemas.openxmlformats.org/officeDocument/2006/relationships/footer" Target="footer271.xml"/><Relationship Id="rId490" Type="http://schemas.openxmlformats.org/officeDocument/2006/relationships/footer" Target="footer270.xml"/><Relationship Id="rId49" Type="http://schemas.openxmlformats.org/officeDocument/2006/relationships/footer" Target="footer27.xml"/><Relationship Id="rId489" Type="http://schemas.openxmlformats.org/officeDocument/2006/relationships/header" Target="header216.xml"/><Relationship Id="rId488" Type="http://schemas.openxmlformats.org/officeDocument/2006/relationships/footer" Target="footer269.xml"/><Relationship Id="rId487" Type="http://schemas.openxmlformats.org/officeDocument/2006/relationships/header" Target="header215.xml"/><Relationship Id="rId486" Type="http://schemas.openxmlformats.org/officeDocument/2006/relationships/footer" Target="footer268.xml"/><Relationship Id="rId485" Type="http://schemas.openxmlformats.org/officeDocument/2006/relationships/header" Target="header214.xml"/><Relationship Id="rId484" Type="http://schemas.openxmlformats.org/officeDocument/2006/relationships/footer" Target="footer267.xml"/><Relationship Id="rId483" Type="http://schemas.openxmlformats.org/officeDocument/2006/relationships/header" Target="header213.xml"/><Relationship Id="rId482" Type="http://schemas.openxmlformats.org/officeDocument/2006/relationships/footer" Target="footer266.xml"/><Relationship Id="rId481" Type="http://schemas.openxmlformats.org/officeDocument/2006/relationships/header" Target="header212.xml"/><Relationship Id="rId480" Type="http://schemas.openxmlformats.org/officeDocument/2006/relationships/footer" Target="footer265.xml"/><Relationship Id="rId48" Type="http://schemas.openxmlformats.org/officeDocument/2006/relationships/footer" Target="footer26.xml"/><Relationship Id="rId479" Type="http://schemas.openxmlformats.org/officeDocument/2006/relationships/header" Target="header211.xml"/><Relationship Id="rId478" Type="http://schemas.openxmlformats.org/officeDocument/2006/relationships/footer" Target="footer264.xml"/><Relationship Id="rId477" Type="http://schemas.openxmlformats.org/officeDocument/2006/relationships/header" Target="header210.xml"/><Relationship Id="rId476" Type="http://schemas.openxmlformats.org/officeDocument/2006/relationships/footer" Target="footer263.xml"/><Relationship Id="rId475" Type="http://schemas.openxmlformats.org/officeDocument/2006/relationships/header" Target="header209.xml"/><Relationship Id="rId474" Type="http://schemas.openxmlformats.org/officeDocument/2006/relationships/footer" Target="footer262.xml"/><Relationship Id="rId473" Type="http://schemas.openxmlformats.org/officeDocument/2006/relationships/header" Target="header208.xml"/><Relationship Id="rId472" Type="http://schemas.openxmlformats.org/officeDocument/2006/relationships/footer" Target="footer261.xml"/><Relationship Id="rId471" Type="http://schemas.openxmlformats.org/officeDocument/2006/relationships/header" Target="header207.xml"/><Relationship Id="rId470" Type="http://schemas.openxmlformats.org/officeDocument/2006/relationships/footer" Target="footer260.xml"/><Relationship Id="rId47" Type="http://schemas.openxmlformats.org/officeDocument/2006/relationships/header" Target="header18.xml"/><Relationship Id="rId469" Type="http://schemas.openxmlformats.org/officeDocument/2006/relationships/header" Target="header206.xml"/><Relationship Id="rId468" Type="http://schemas.openxmlformats.org/officeDocument/2006/relationships/footer" Target="footer259.xml"/><Relationship Id="rId467" Type="http://schemas.openxmlformats.org/officeDocument/2006/relationships/header" Target="header205.xml"/><Relationship Id="rId466" Type="http://schemas.openxmlformats.org/officeDocument/2006/relationships/footer" Target="footer258.xml"/><Relationship Id="rId465" Type="http://schemas.openxmlformats.org/officeDocument/2006/relationships/header" Target="header204.xml"/><Relationship Id="rId464" Type="http://schemas.openxmlformats.org/officeDocument/2006/relationships/footer" Target="footer257.xml"/><Relationship Id="rId463" Type="http://schemas.openxmlformats.org/officeDocument/2006/relationships/header" Target="header203.xml"/><Relationship Id="rId462" Type="http://schemas.openxmlformats.org/officeDocument/2006/relationships/footer" Target="footer256.xml"/><Relationship Id="rId461" Type="http://schemas.openxmlformats.org/officeDocument/2006/relationships/header" Target="header202.xml"/><Relationship Id="rId460" Type="http://schemas.openxmlformats.org/officeDocument/2006/relationships/footer" Target="footer255.xml"/><Relationship Id="rId46" Type="http://schemas.openxmlformats.org/officeDocument/2006/relationships/footer" Target="footer25.xml"/><Relationship Id="rId459" Type="http://schemas.openxmlformats.org/officeDocument/2006/relationships/header" Target="header201.xml"/><Relationship Id="rId458" Type="http://schemas.openxmlformats.org/officeDocument/2006/relationships/footer" Target="footer254.xml"/><Relationship Id="rId457" Type="http://schemas.openxmlformats.org/officeDocument/2006/relationships/header" Target="header200.xml"/><Relationship Id="rId456" Type="http://schemas.openxmlformats.org/officeDocument/2006/relationships/footer" Target="footer253.xml"/><Relationship Id="rId455" Type="http://schemas.openxmlformats.org/officeDocument/2006/relationships/header" Target="header199.xml"/><Relationship Id="rId454" Type="http://schemas.openxmlformats.org/officeDocument/2006/relationships/footer" Target="footer252.xml"/><Relationship Id="rId453" Type="http://schemas.openxmlformats.org/officeDocument/2006/relationships/header" Target="header198.xml"/><Relationship Id="rId452" Type="http://schemas.openxmlformats.org/officeDocument/2006/relationships/footer" Target="footer251.xml"/><Relationship Id="rId451" Type="http://schemas.openxmlformats.org/officeDocument/2006/relationships/header" Target="header197.xml"/><Relationship Id="rId450" Type="http://schemas.openxmlformats.org/officeDocument/2006/relationships/footer" Target="footer250.xml"/><Relationship Id="rId45" Type="http://schemas.openxmlformats.org/officeDocument/2006/relationships/header" Target="header17.xml"/><Relationship Id="rId449" Type="http://schemas.openxmlformats.org/officeDocument/2006/relationships/header" Target="header196.xml"/><Relationship Id="rId448" Type="http://schemas.openxmlformats.org/officeDocument/2006/relationships/footer" Target="footer249.xml"/><Relationship Id="rId447" Type="http://schemas.openxmlformats.org/officeDocument/2006/relationships/header" Target="header195.xml"/><Relationship Id="rId446" Type="http://schemas.openxmlformats.org/officeDocument/2006/relationships/footer" Target="footer248.xml"/><Relationship Id="rId445" Type="http://schemas.openxmlformats.org/officeDocument/2006/relationships/header" Target="header194.xml"/><Relationship Id="rId444" Type="http://schemas.openxmlformats.org/officeDocument/2006/relationships/footer" Target="footer247.xml"/><Relationship Id="rId443" Type="http://schemas.openxmlformats.org/officeDocument/2006/relationships/header" Target="header193.xml"/><Relationship Id="rId442" Type="http://schemas.openxmlformats.org/officeDocument/2006/relationships/footer" Target="footer246.xml"/><Relationship Id="rId441" Type="http://schemas.openxmlformats.org/officeDocument/2006/relationships/header" Target="header192.xml"/><Relationship Id="rId440" Type="http://schemas.openxmlformats.org/officeDocument/2006/relationships/footer" Target="footer245.xml"/><Relationship Id="rId44" Type="http://schemas.openxmlformats.org/officeDocument/2006/relationships/footer" Target="footer24.xml"/><Relationship Id="rId439" Type="http://schemas.openxmlformats.org/officeDocument/2006/relationships/header" Target="header191.xml"/><Relationship Id="rId438" Type="http://schemas.openxmlformats.org/officeDocument/2006/relationships/footer" Target="footer244.xml"/><Relationship Id="rId437" Type="http://schemas.openxmlformats.org/officeDocument/2006/relationships/header" Target="header190.xml"/><Relationship Id="rId436" Type="http://schemas.openxmlformats.org/officeDocument/2006/relationships/footer" Target="footer243.xml"/><Relationship Id="rId435" Type="http://schemas.openxmlformats.org/officeDocument/2006/relationships/header" Target="header189.xml"/><Relationship Id="rId434" Type="http://schemas.openxmlformats.org/officeDocument/2006/relationships/footer" Target="footer242.xml"/><Relationship Id="rId433" Type="http://schemas.openxmlformats.org/officeDocument/2006/relationships/header" Target="header188.xml"/><Relationship Id="rId432" Type="http://schemas.openxmlformats.org/officeDocument/2006/relationships/footer" Target="footer241.xml"/><Relationship Id="rId431" Type="http://schemas.openxmlformats.org/officeDocument/2006/relationships/header" Target="header187.xml"/><Relationship Id="rId430" Type="http://schemas.openxmlformats.org/officeDocument/2006/relationships/footer" Target="footer240.xml"/><Relationship Id="rId43" Type="http://schemas.openxmlformats.org/officeDocument/2006/relationships/header" Target="header16.xml"/><Relationship Id="rId429" Type="http://schemas.openxmlformats.org/officeDocument/2006/relationships/header" Target="header186.xml"/><Relationship Id="rId428" Type="http://schemas.openxmlformats.org/officeDocument/2006/relationships/footer" Target="footer239.xml"/><Relationship Id="rId427" Type="http://schemas.openxmlformats.org/officeDocument/2006/relationships/header" Target="header185.xml"/><Relationship Id="rId426" Type="http://schemas.openxmlformats.org/officeDocument/2006/relationships/footer" Target="footer238.xml"/><Relationship Id="rId425" Type="http://schemas.openxmlformats.org/officeDocument/2006/relationships/header" Target="header184.xml"/><Relationship Id="rId424" Type="http://schemas.openxmlformats.org/officeDocument/2006/relationships/footer" Target="footer237.xml"/><Relationship Id="rId423" Type="http://schemas.openxmlformats.org/officeDocument/2006/relationships/header" Target="header183.xml"/><Relationship Id="rId422" Type="http://schemas.openxmlformats.org/officeDocument/2006/relationships/footer" Target="footer236.xml"/><Relationship Id="rId421" Type="http://schemas.openxmlformats.org/officeDocument/2006/relationships/header" Target="header182.xml"/><Relationship Id="rId420" Type="http://schemas.openxmlformats.org/officeDocument/2006/relationships/footer" Target="footer235.xml"/><Relationship Id="rId42" Type="http://schemas.openxmlformats.org/officeDocument/2006/relationships/footer" Target="footer23.xml"/><Relationship Id="rId419" Type="http://schemas.openxmlformats.org/officeDocument/2006/relationships/header" Target="header181.xml"/><Relationship Id="rId418" Type="http://schemas.openxmlformats.org/officeDocument/2006/relationships/footer" Target="footer234.xml"/><Relationship Id="rId417" Type="http://schemas.openxmlformats.org/officeDocument/2006/relationships/header" Target="header180.xml"/><Relationship Id="rId416" Type="http://schemas.openxmlformats.org/officeDocument/2006/relationships/footer" Target="footer233.xml"/><Relationship Id="rId415" Type="http://schemas.openxmlformats.org/officeDocument/2006/relationships/header" Target="header179.xml"/><Relationship Id="rId414" Type="http://schemas.openxmlformats.org/officeDocument/2006/relationships/footer" Target="footer232.xml"/><Relationship Id="rId413" Type="http://schemas.openxmlformats.org/officeDocument/2006/relationships/header" Target="header178.xml"/><Relationship Id="rId412" Type="http://schemas.openxmlformats.org/officeDocument/2006/relationships/footer" Target="footer231.xml"/><Relationship Id="rId411" Type="http://schemas.openxmlformats.org/officeDocument/2006/relationships/footer" Target="footer230.xml"/><Relationship Id="rId410" Type="http://schemas.openxmlformats.org/officeDocument/2006/relationships/header" Target="header177.xml"/><Relationship Id="rId41" Type="http://schemas.openxmlformats.org/officeDocument/2006/relationships/header" Target="header15.xml"/><Relationship Id="rId409" Type="http://schemas.openxmlformats.org/officeDocument/2006/relationships/footer" Target="footer229.xml"/><Relationship Id="rId408" Type="http://schemas.openxmlformats.org/officeDocument/2006/relationships/header" Target="header176.xml"/><Relationship Id="rId407" Type="http://schemas.openxmlformats.org/officeDocument/2006/relationships/footer" Target="footer228.xml"/><Relationship Id="rId406" Type="http://schemas.openxmlformats.org/officeDocument/2006/relationships/header" Target="header175.xml"/><Relationship Id="rId405" Type="http://schemas.openxmlformats.org/officeDocument/2006/relationships/footer" Target="footer227.xml"/><Relationship Id="rId404" Type="http://schemas.openxmlformats.org/officeDocument/2006/relationships/header" Target="header174.xml"/><Relationship Id="rId403" Type="http://schemas.openxmlformats.org/officeDocument/2006/relationships/footer" Target="footer226.xml"/><Relationship Id="rId402" Type="http://schemas.openxmlformats.org/officeDocument/2006/relationships/header" Target="header173.xml"/><Relationship Id="rId401" Type="http://schemas.openxmlformats.org/officeDocument/2006/relationships/footer" Target="footer225.xml"/><Relationship Id="rId400" Type="http://schemas.openxmlformats.org/officeDocument/2006/relationships/footer" Target="footer224.xml"/><Relationship Id="rId40" Type="http://schemas.openxmlformats.org/officeDocument/2006/relationships/footer" Target="footer22.xml"/><Relationship Id="rId4" Type="http://schemas.openxmlformats.org/officeDocument/2006/relationships/endnotes" Target="endnotes.xml"/><Relationship Id="rId399" Type="http://schemas.openxmlformats.org/officeDocument/2006/relationships/header" Target="header172.xml"/><Relationship Id="rId398" Type="http://schemas.openxmlformats.org/officeDocument/2006/relationships/footer" Target="footer223.xml"/><Relationship Id="rId397" Type="http://schemas.openxmlformats.org/officeDocument/2006/relationships/header" Target="header171.xml"/><Relationship Id="rId396" Type="http://schemas.openxmlformats.org/officeDocument/2006/relationships/footer" Target="footer222.xml"/><Relationship Id="rId395" Type="http://schemas.openxmlformats.org/officeDocument/2006/relationships/header" Target="header170.xml"/><Relationship Id="rId394" Type="http://schemas.openxmlformats.org/officeDocument/2006/relationships/footer" Target="footer221.xml"/><Relationship Id="rId393" Type="http://schemas.openxmlformats.org/officeDocument/2006/relationships/header" Target="header169.xml"/><Relationship Id="rId392" Type="http://schemas.openxmlformats.org/officeDocument/2006/relationships/footer" Target="footer220.xml"/><Relationship Id="rId391" Type="http://schemas.openxmlformats.org/officeDocument/2006/relationships/header" Target="header168.xml"/><Relationship Id="rId390" Type="http://schemas.openxmlformats.org/officeDocument/2006/relationships/footer" Target="footer219.xml"/><Relationship Id="rId39" Type="http://schemas.openxmlformats.org/officeDocument/2006/relationships/header" Target="header14.xml"/><Relationship Id="rId389" Type="http://schemas.openxmlformats.org/officeDocument/2006/relationships/header" Target="header167.xml"/><Relationship Id="rId388" Type="http://schemas.openxmlformats.org/officeDocument/2006/relationships/footer" Target="footer218.xml"/><Relationship Id="rId387" Type="http://schemas.openxmlformats.org/officeDocument/2006/relationships/header" Target="header166.xml"/><Relationship Id="rId386" Type="http://schemas.openxmlformats.org/officeDocument/2006/relationships/footer" Target="footer217.xml"/><Relationship Id="rId385" Type="http://schemas.openxmlformats.org/officeDocument/2006/relationships/header" Target="header165.xml"/><Relationship Id="rId384" Type="http://schemas.openxmlformats.org/officeDocument/2006/relationships/footer" Target="footer216.xml"/><Relationship Id="rId383" Type="http://schemas.openxmlformats.org/officeDocument/2006/relationships/header" Target="header164.xml"/><Relationship Id="rId382" Type="http://schemas.openxmlformats.org/officeDocument/2006/relationships/footer" Target="footer215.xml"/><Relationship Id="rId381" Type="http://schemas.openxmlformats.org/officeDocument/2006/relationships/footer" Target="footer214.xml"/><Relationship Id="rId380" Type="http://schemas.openxmlformats.org/officeDocument/2006/relationships/footer" Target="footer213.xml"/><Relationship Id="rId38" Type="http://schemas.openxmlformats.org/officeDocument/2006/relationships/footer" Target="footer21.xml"/><Relationship Id="rId379" Type="http://schemas.openxmlformats.org/officeDocument/2006/relationships/header" Target="header163.xml"/><Relationship Id="rId378" Type="http://schemas.openxmlformats.org/officeDocument/2006/relationships/footer" Target="footer212.xml"/><Relationship Id="rId377" Type="http://schemas.openxmlformats.org/officeDocument/2006/relationships/header" Target="header162.xml"/><Relationship Id="rId376" Type="http://schemas.openxmlformats.org/officeDocument/2006/relationships/footer" Target="footer211.xml"/><Relationship Id="rId375" Type="http://schemas.openxmlformats.org/officeDocument/2006/relationships/header" Target="header161.xml"/><Relationship Id="rId374" Type="http://schemas.openxmlformats.org/officeDocument/2006/relationships/footer" Target="footer210.xml"/><Relationship Id="rId373" Type="http://schemas.openxmlformats.org/officeDocument/2006/relationships/header" Target="header160.xml"/><Relationship Id="rId372" Type="http://schemas.openxmlformats.org/officeDocument/2006/relationships/footer" Target="footer209.xml"/><Relationship Id="rId371" Type="http://schemas.openxmlformats.org/officeDocument/2006/relationships/footer" Target="footer208.xml"/><Relationship Id="rId370" Type="http://schemas.openxmlformats.org/officeDocument/2006/relationships/header" Target="header159.xml"/><Relationship Id="rId37" Type="http://schemas.openxmlformats.org/officeDocument/2006/relationships/header" Target="header13.xml"/><Relationship Id="rId369" Type="http://schemas.openxmlformats.org/officeDocument/2006/relationships/footer" Target="footer207.xml"/><Relationship Id="rId368" Type="http://schemas.openxmlformats.org/officeDocument/2006/relationships/header" Target="header158.xml"/><Relationship Id="rId367" Type="http://schemas.openxmlformats.org/officeDocument/2006/relationships/footer" Target="footer206.xml"/><Relationship Id="rId366" Type="http://schemas.openxmlformats.org/officeDocument/2006/relationships/header" Target="header157.xml"/><Relationship Id="rId365" Type="http://schemas.openxmlformats.org/officeDocument/2006/relationships/footer" Target="footer205.xml"/><Relationship Id="rId364" Type="http://schemas.openxmlformats.org/officeDocument/2006/relationships/header" Target="header156.xml"/><Relationship Id="rId363" Type="http://schemas.openxmlformats.org/officeDocument/2006/relationships/footer" Target="footer204.xml"/><Relationship Id="rId362" Type="http://schemas.openxmlformats.org/officeDocument/2006/relationships/header" Target="header155.xml"/><Relationship Id="rId361" Type="http://schemas.openxmlformats.org/officeDocument/2006/relationships/footer" Target="footer203.xml"/><Relationship Id="rId360" Type="http://schemas.openxmlformats.org/officeDocument/2006/relationships/header" Target="header154.xml"/><Relationship Id="rId36" Type="http://schemas.openxmlformats.org/officeDocument/2006/relationships/footer" Target="footer20.xml"/><Relationship Id="rId359" Type="http://schemas.openxmlformats.org/officeDocument/2006/relationships/footer" Target="footer202.xml"/><Relationship Id="rId358" Type="http://schemas.openxmlformats.org/officeDocument/2006/relationships/header" Target="header153.xml"/><Relationship Id="rId357" Type="http://schemas.openxmlformats.org/officeDocument/2006/relationships/footer" Target="footer201.xml"/><Relationship Id="rId356" Type="http://schemas.openxmlformats.org/officeDocument/2006/relationships/header" Target="header152.xml"/><Relationship Id="rId355" Type="http://schemas.openxmlformats.org/officeDocument/2006/relationships/footer" Target="footer200.xml"/><Relationship Id="rId354" Type="http://schemas.openxmlformats.org/officeDocument/2006/relationships/header" Target="header151.xml"/><Relationship Id="rId353" Type="http://schemas.openxmlformats.org/officeDocument/2006/relationships/footer" Target="footer199.xml"/><Relationship Id="rId352" Type="http://schemas.openxmlformats.org/officeDocument/2006/relationships/header" Target="header150.xml"/><Relationship Id="rId351" Type="http://schemas.openxmlformats.org/officeDocument/2006/relationships/footer" Target="footer198.xml"/><Relationship Id="rId350" Type="http://schemas.openxmlformats.org/officeDocument/2006/relationships/header" Target="header149.xml"/><Relationship Id="rId35" Type="http://schemas.openxmlformats.org/officeDocument/2006/relationships/header" Target="header12.xml"/><Relationship Id="rId349" Type="http://schemas.openxmlformats.org/officeDocument/2006/relationships/footer" Target="footer197.xml"/><Relationship Id="rId348" Type="http://schemas.openxmlformats.org/officeDocument/2006/relationships/header" Target="header148.xml"/><Relationship Id="rId347" Type="http://schemas.openxmlformats.org/officeDocument/2006/relationships/footer" Target="footer196.xml"/><Relationship Id="rId346" Type="http://schemas.openxmlformats.org/officeDocument/2006/relationships/header" Target="header147.xml"/><Relationship Id="rId345" Type="http://schemas.openxmlformats.org/officeDocument/2006/relationships/footer" Target="footer195.xml"/><Relationship Id="rId344" Type="http://schemas.openxmlformats.org/officeDocument/2006/relationships/header" Target="header146.xml"/><Relationship Id="rId343" Type="http://schemas.openxmlformats.org/officeDocument/2006/relationships/footer" Target="footer194.xml"/><Relationship Id="rId342" Type="http://schemas.openxmlformats.org/officeDocument/2006/relationships/header" Target="header145.xml"/><Relationship Id="rId341" Type="http://schemas.openxmlformats.org/officeDocument/2006/relationships/footer" Target="footer193.xml"/><Relationship Id="rId340" Type="http://schemas.openxmlformats.org/officeDocument/2006/relationships/footer" Target="footer192.xml"/><Relationship Id="rId34" Type="http://schemas.openxmlformats.org/officeDocument/2006/relationships/footer" Target="footer19.xml"/><Relationship Id="rId339" Type="http://schemas.openxmlformats.org/officeDocument/2006/relationships/header" Target="header144.xml"/><Relationship Id="rId338" Type="http://schemas.openxmlformats.org/officeDocument/2006/relationships/footer" Target="footer191.xml"/><Relationship Id="rId337" Type="http://schemas.openxmlformats.org/officeDocument/2006/relationships/header" Target="header143.xml"/><Relationship Id="rId336" Type="http://schemas.openxmlformats.org/officeDocument/2006/relationships/footer" Target="footer190.xml"/><Relationship Id="rId335" Type="http://schemas.openxmlformats.org/officeDocument/2006/relationships/header" Target="header142.xml"/><Relationship Id="rId334" Type="http://schemas.openxmlformats.org/officeDocument/2006/relationships/footer" Target="footer189.xml"/><Relationship Id="rId333" Type="http://schemas.openxmlformats.org/officeDocument/2006/relationships/header" Target="header141.xml"/><Relationship Id="rId332" Type="http://schemas.openxmlformats.org/officeDocument/2006/relationships/footer" Target="footer188.xml"/><Relationship Id="rId331" Type="http://schemas.openxmlformats.org/officeDocument/2006/relationships/header" Target="header140.xml"/><Relationship Id="rId330" Type="http://schemas.openxmlformats.org/officeDocument/2006/relationships/footer" Target="footer187.xml"/><Relationship Id="rId33" Type="http://schemas.openxmlformats.org/officeDocument/2006/relationships/footer" Target="footer18.xml"/><Relationship Id="rId329" Type="http://schemas.openxmlformats.org/officeDocument/2006/relationships/header" Target="header139.xml"/><Relationship Id="rId328" Type="http://schemas.openxmlformats.org/officeDocument/2006/relationships/footer" Target="footer186.xml"/><Relationship Id="rId327" Type="http://schemas.openxmlformats.org/officeDocument/2006/relationships/header" Target="header138.xml"/><Relationship Id="rId326" Type="http://schemas.openxmlformats.org/officeDocument/2006/relationships/footer" Target="footer185.xml"/><Relationship Id="rId325" Type="http://schemas.openxmlformats.org/officeDocument/2006/relationships/header" Target="header137.xml"/><Relationship Id="rId324" Type="http://schemas.openxmlformats.org/officeDocument/2006/relationships/footer" Target="footer184.xml"/><Relationship Id="rId323" Type="http://schemas.openxmlformats.org/officeDocument/2006/relationships/header" Target="header136.xml"/><Relationship Id="rId322" Type="http://schemas.openxmlformats.org/officeDocument/2006/relationships/footer" Target="footer183.xml"/><Relationship Id="rId321" Type="http://schemas.openxmlformats.org/officeDocument/2006/relationships/header" Target="header135.xml"/><Relationship Id="rId320" Type="http://schemas.openxmlformats.org/officeDocument/2006/relationships/footer" Target="footer182.xml"/><Relationship Id="rId32" Type="http://schemas.openxmlformats.org/officeDocument/2006/relationships/footer" Target="footer17.xml"/><Relationship Id="rId319" Type="http://schemas.openxmlformats.org/officeDocument/2006/relationships/header" Target="header134.xml"/><Relationship Id="rId318" Type="http://schemas.openxmlformats.org/officeDocument/2006/relationships/footer" Target="footer181.xml"/><Relationship Id="rId317" Type="http://schemas.openxmlformats.org/officeDocument/2006/relationships/footer" Target="footer180.xml"/><Relationship Id="rId316" Type="http://schemas.openxmlformats.org/officeDocument/2006/relationships/header" Target="header133.xml"/><Relationship Id="rId315" Type="http://schemas.openxmlformats.org/officeDocument/2006/relationships/footer" Target="footer179.xml"/><Relationship Id="rId314" Type="http://schemas.openxmlformats.org/officeDocument/2006/relationships/header" Target="header132.xml"/><Relationship Id="rId313" Type="http://schemas.openxmlformats.org/officeDocument/2006/relationships/footer" Target="footer178.xml"/><Relationship Id="rId312" Type="http://schemas.openxmlformats.org/officeDocument/2006/relationships/header" Target="header131.xml"/><Relationship Id="rId311" Type="http://schemas.openxmlformats.org/officeDocument/2006/relationships/footer" Target="footer177.xml"/><Relationship Id="rId310" Type="http://schemas.openxmlformats.org/officeDocument/2006/relationships/header" Target="header130.xml"/><Relationship Id="rId31" Type="http://schemas.openxmlformats.org/officeDocument/2006/relationships/footer" Target="footer16.xml"/><Relationship Id="rId309" Type="http://schemas.openxmlformats.org/officeDocument/2006/relationships/footer" Target="footer176.xml"/><Relationship Id="rId308" Type="http://schemas.openxmlformats.org/officeDocument/2006/relationships/header" Target="header129.xml"/><Relationship Id="rId307" Type="http://schemas.openxmlformats.org/officeDocument/2006/relationships/footer" Target="footer175.xml"/><Relationship Id="rId306" Type="http://schemas.openxmlformats.org/officeDocument/2006/relationships/footer" Target="footer174.xml"/><Relationship Id="rId305" Type="http://schemas.openxmlformats.org/officeDocument/2006/relationships/footer" Target="footer173.xml"/><Relationship Id="rId304" Type="http://schemas.openxmlformats.org/officeDocument/2006/relationships/footer" Target="footer172.xml"/><Relationship Id="rId303" Type="http://schemas.openxmlformats.org/officeDocument/2006/relationships/footer" Target="footer171.xml"/><Relationship Id="rId302" Type="http://schemas.openxmlformats.org/officeDocument/2006/relationships/footer" Target="footer170.xml"/><Relationship Id="rId301" Type="http://schemas.openxmlformats.org/officeDocument/2006/relationships/header" Target="header128.xml"/><Relationship Id="rId300" Type="http://schemas.openxmlformats.org/officeDocument/2006/relationships/footer" Target="footer169.xml"/><Relationship Id="rId30" Type="http://schemas.openxmlformats.org/officeDocument/2006/relationships/footer" Target="footer15.xml"/><Relationship Id="rId3" Type="http://schemas.openxmlformats.org/officeDocument/2006/relationships/footnotes" Target="footnotes.xml"/><Relationship Id="rId299" Type="http://schemas.openxmlformats.org/officeDocument/2006/relationships/header" Target="header127.xml"/><Relationship Id="rId298" Type="http://schemas.openxmlformats.org/officeDocument/2006/relationships/footer" Target="footer168.xml"/><Relationship Id="rId297" Type="http://schemas.openxmlformats.org/officeDocument/2006/relationships/header" Target="header126.xml"/><Relationship Id="rId296" Type="http://schemas.openxmlformats.org/officeDocument/2006/relationships/footer" Target="footer167.xml"/><Relationship Id="rId295" Type="http://schemas.openxmlformats.org/officeDocument/2006/relationships/footer" Target="footer166.xml"/><Relationship Id="rId294" Type="http://schemas.openxmlformats.org/officeDocument/2006/relationships/header" Target="header125.xml"/><Relationship Id="rId293" Type="http://schemas.openxmlformats.org/officeDocument/2006/relationships/footer" Target="footer165.xml"/><Relationship Id="rId292" Type="http://schemas.openxmlformats.org/officeDocument/2006/relationships/header" Target="header124.xml"/><Relationship Id="rId291" Type="http://schemas.openxmlformats.org/officeDocument/2006/relationships/footer" Target="footer164.xml"/><Relationship Id="rId290" Type="http://schemas.openxmlformats.org/officeDocument/2006/relationships/header" Target="header123.xml"/><Relationship Id="rId29" Type="http://schemas.openxmlformats.org/officeDocument/2006/relationships/footer" Target="footer14.xml"/><Relationship Id="rId289" Type="http://schemas.openxmlformats.org/officeDocument/2006/relationships/footer" Target="footer163.xml"/><Relationship Id="rId288" Type="http://schemas.openxmlformats.org/officeDocument/2006/relationships/header" Target="header122.xml"/><Relationship Id="rId287" Type="http://schemas.openxmlformats.org/officeDocument/2006/relationships/footer" Target="footer162.xml"/><Relationship Id="rId286" Type="http://schemas.openxmlformats.org/officeDocument/2006/relationships/header" Target="header121.xml"/><Relationship Id="rId285" Type="http://schemas.openxmlformats.org/officeDocument/2006/relationships/footer" Target="footer161.xml"/><Relationship Id="rId284" Type="http://schemas.openxmlformats.org/officeDocument/2006/relationships/header" Target="header120.xml"/><Relationship Id="rId283" Type="http://schemas.openxmlformats.org/officeDocument/2006/relationships/footer" Target="footer160.xml"/><Relationship Id="rId282" Type="http://schemas.openxmlformats.org/officeDocument/2006/relationships/header" Target="header119.xml"/><Relationship Id="rId281" Type="http://schemas.openxmlformats.org/officeDocument/2006/relationships/footer" Target="footer159.xml"/><Relationship Id="rId280" Type="http://schemas.openxmlformats.org/officeDocument/2006/relationships/header" Target="header118.xml"/><Relationship Id="rId28" Type="http://schemas.openxmlformats.org/officeDocument/2006/relationships/footer" Target="footer13.xml"/><Relationship Id="rId279" Type="http://schemas.openxmlformats.org/officeDocument/2006/relationships/footer" Target="footer158.xml"/><Relationship Id="rId278" Type="http://schemas.openxmlformats.org/officeDocument/2006/relationships/footer" Target="footer157.xml"/><Relationship Id="rId277" Type="http://schemas.openxmlformats.org/officeDocument/2006/relationships/footer" Target="footer156.xml"/><Relationship Id="rId276" Type="http://schemas.openxmlformats.org/officeDocument/2006/relationships/header" Target="header117.xml"/><Relationship Id="rId275" Type="http://schemas.openxmlformats.org/officeDocument/2006/relationships/footer" Target="footer155.xml"/><Relationship Id="rId274" Type="http://schemas.openxmlformats.org/officeDocument/2006/relationships/footer" Target="footer154.xml"/><Relationship Id="rId273" Type="http://schemas.openxmlformats.org/officeDocument/2006/relationships/header" Target="header116.xml"/><Relationship Id="rId272" Type="http://schemas.openxmlformats.org/officeDocument/2006/relationships/footer" Target="footer153.xml"/><Relationship Id="rId271" Type="http://schemas.openxmlformats.org/officeDocument/2006/relationships/header" Target="header115.xml"/><Relationship Id="rId270" Type="http://schemas.openxmlformats.org/officeDocument/2006/relationships/footer" Target="footer152.xml"/><Relationship Id="rId27" Type="http://schemas.openxmlformats.org/officeDocument/2006/relationships/header" Target="header11.xml"/><Relationship Id="rId269" Type="http://schemas.openxmlformats.org/officeDocument/2006/relationships/header" Target="header114.xml"/><Relationship Id="rId268" Type="http://schemas.openxmlformats.org/officeDocument/2006/relationships/footer" Target="footer151.xml"/><Relationship Id="rId267" Type="http://schemas.openxmlformats.org/officeDocument/2006/relationships/header" Target="header113.xml"/><Relationship Id="rId266" Type="http://schemas.openxmlformats.org/officeDocument/2006/relationships/footer" Target="footer150.xml"/><Relationship Id="rId265" Type="http://schemas.openxmlformats.org/officeDocument/2006/relationships/header" Target="header112.xml"/><Relationship Id="rId264" Type="http://schemas.openxmlformats.org/officeDocument/2006/relationships/footer" Target="footer149.xml"/><Relationship Id="rId263" Type="http://schemas.openxmlformats.org/officeDocument/2006/relationships/header" Target="header111.xml"/><Relationship Id="rId262" Type="http://schemas.openxmlformats.org/officeDocument/2006/relationships/footer" Target="footer148.xml"/><Relationship Id="rId261" Type="http://schemas.openxmlformats.org/officeDocument/2006/relationships/header" Target="header110.xml"/><Relationship Id="rId260" Type="http://schemas.openxmlformats.org/officeDocument/2006/relationships/footer" Target="footer147.xml"/><Relationship Id="rId26" Type="http://schemas.openxmlformats.org/officeDocument/2006/relationships/footer" Target="footer12.xml"/><Relationship Id="rId259" Type="http://schemas.openxmlformats.org/officeDocument/2006/relationships/header" Target="header109.xml"/><Relationship Id="rId258" Type="http://schemas.openxmlformats.org/officeDocument/2006/relationships/footer" Target="footer146.xml"/><Relationship Id="rId257" Type="http://schemas.openxmlformats.org/officeDocument/2006/relationships/header" Target="header108.xml"/><Relationship Id="rId256" Type="http://schemas.openxmlformats.org/officeDocument/2006/relationships/footer" Target="footer145.xml"/><Relationship Id="rId255" Type="http://schemas.openxmlformats.org/officeDocument/2006/relationships/header" Target="header107.xml"/><Relationship Id="rId254" Type="http://schemas.openxmlformats.org/officeDocument/2006/relationships/footer" Target="footer144.xml"/><Relationship Id="rId253" Type="http://schemas.openxmlformats.org/officeDocument/2006/relationships/header" Target="header106.xml"/><Relationship Id="rId252" Type="http://schemas.openxmlformats.org/officeDocument/2006/relationships/footer" Target="footer143.xml"/><Relationship Id="rId251" Type="http://schemas.openxmlformats.org/officeDocument/2006/relationships/header" Target="header105.xml"/><Relationship Id="rId250" Type="http://schemas.openxmlformats.org/officeDocument/2006/relationships/footer" Target="footer142.xml"/><Relationship Id="rId25" Type="http://schemas.openxmlformats.org/officeDocument/2006/relationships/header" Target="header10.xml"/><Relationship Id="rId249" Type="http://schemas.openxmlformats.org/officeDocument/2006/relationships/header" Target="header104.xml"/><Relationship Id="rId248" Type="http://schemas.openxmlformats.org/officeDocument/2006/relationships/footer" Target="footer141.xml"/><Relationship Id="rId247" Type="http://schemas.openxmlformats.org/officeDocument/2006/relationships/header" Target="header103.xml"/><Relationship Id="rId246" Type="http://schemas.openxmlformats.org/officeDocument/2006/relationships/footer" Target="footer140.xml"/><Relationship Id="rId245" Type="http://schemas.openxmlformats.org/officeDocument/2006/relationships/header" Target="header102.xml"/><Relationship Id="rId244" Type="http://schemas.openxmlformats.org/officeDocument/2006/relationships/footer" Target="footer139.xml"/><Relationship Id="rId243" Type="http://schemas.openxmlformats.org/officeDocument/2006/relationships/header" Target="header101.xml"/><Relationship Id="rId242" Type="http://schemas.openxmlformats.org/officeDocument/2006/relationships/footer" Target="footer138.xml"/><Relationship Id="rId241" Type="http://schemas.openxmlformats.org/officeDocument/2006/relationships/header" Target="header100.xml"/><Relationship Id="rId240" Type="http://schemas.openxmlformats.org/officeDocument/2006/relationships/footer" Target="footer137.xml"/><Relationship Id="rId24" Type="http://schemas.openxmlformats.org/officeDocument/2006/relationships/footer" Target="footer11.xml"/><Relationship Id="rId239" Type="http://schemas.openxmlformats.org/officeDocument/2006/relationships/header" Target="header99.xml"/><Relationship Id="rId238" Type="http://schemas.openxmlformats.org/officeDocument/2006/relationships/footer" Target="footer136.xml"/><Relationship Id="rId237" Type="http://schemas.openxmlformats.org/officeDocument/2006/relationships/footer" Target="footer135.xml"/><Relationship Id="rId236" Type="http://schemas.openxmlformats.org/officeDocument/2006/relationships/header" Target="header98.xml"/><Relationship Id="rId235" Type="http://schemas.openxmlformats.org/officeDocument/2006/relationships/footer" Target="footer134.xml"/><Relationship Id="rId234" Type="http://schemas.openxmlformats.org/officeDocument/2006/relationships/header" Target="header97.xml"/><Relationship Id="rId233" Type="http://schemas.openxmlformats.org/officeDocument/2006/relationships/footer" Target="footer133.xml"/><Relationship Id="rId232" Type="http://schemas.openxmlformats.org/officeDocument/2006/relationships/header" Target="header96.xml"/><Relationship Id="rId231" Type="http://schemas.openxmlformats.org/officeDocument/2006/relationships/footer" Target="footer132.xml"/><Relationship Id="rId230" Type="http://schemas.openxmlformats.org/officeDocument/2006/relationships/footer" Target="footer131.xml"/><Relationship Id="rId23" Type="http://schemas.openxmlformats.org/officeDocument/2006/relationships/header" Target="header9.xml"/><Relationship Id="rId229" Type="http://schemas.openxmlformats.org/officeDocument/2006/relationships/header" Target="header95.xml"/><Relationship Id="rId228" Type="http://schemas.openxmlformats.org/officeDocument/2006/relationships/footer" Target="footer130.xml"/><Relationship Id="rId227" Type="http://schemas.openxmlformats.org/officeDocument/2006/relationships/header" Target="header94.xml"/><Relationship Id="rId226" Type="http://schemas.openxmlformats.org/officeDocument/2006/relationships/footer" Target="footer129.xml"/><Relationship Id="rId225" Type="http://schemas.openxmlformats.org/officeDocument/2006/relationships/header" Target="header93.xml"/><Relationship Id="rId224" Type="http://schemas.openxmlformats.org/officeDocument/2006/relationships/footer" Target="footer128.xml"/><Relationship Id="rId223" Type="http://schemas.openxmlformats.org/officeDocument/2006/relationships/header" Target="header92.xml"/><Relationship Id="rId222" Type="http://schemas.openxmlformats.org/officeDocument/2006/relationships/footer" Target="footer127.xml"/><Relationship Id="rId221" Type="http://schemas.openxmlformats.org/officeDocument/2006/relationships/header" Target="header91.xml"/><Relationship Id="rId220" Type="http://schemas.openxmlformats.org/officeDocument/2006/relationships/footer" Target="footer126.xml"/><Relationship Id="rId22" Type="http://schemas.openxmlformats.org/officeDocument/2006/relationships/footer" Target="footer10.xml"/><Relationship Id="rId219" Type="http://schemas.openxmlformats.org/officeDocument/2006/relationships/header" Target="header90.xml"/><Relationship Id="rId218" Type="http://schemas.openxmlformats.org/officeDocument/2006/relationships/footer" Target="footer125.xml"/><Relationship Id="rId217" Type="http://schemas.openxmlformats.org/officeDocument/2006/relationships/header" Target="header89.xml"/><Relationship Id="rId216" Type="http://schemas.openxmlformats.org/officeDocument/2006/relationships/footer" Target="footer124.xml"/><Relationship Id="rId215" Type="http://schemas.openxmlformats.org/officeDocument/2006/relationships/header" Target="header88.xml"/><Relationship Id="rId214" Type="http://schemas.openxmlformats.org/officeDocument/2006/relationships/footer" Target="footer123.xml"/><Relationship Id="rId213" Type="http://schemas.openxmlformats.org/officeDocument/2006/relationships/header" Target="header87.xml"/><Relationship Id="rId212" Type="http://schemas.openxmlformats.org/officeDocument/2006/relationships/footer" Target="footer122.xml"/><Relationship Id="rId211" Type="http://schemas.openxmlformats.org/officeDocument/2006/relationships/header" Target="header86.xml"/><Relationship Id="rId210" Type="http://schemas.openxmlformats.org/officeDocument/2006/relationships/footer" Target="footer121.xml"/><Relationship Id="rId21" Type="http://schemas.openxmlformats.org/officeDocument/2006/relationships/header" Target="header8.xml"/><Relationship Id="rId209" Type="http://schemas.openxmlformats.org/officeDocument/2006/relationships/header" Target="header85.xml"/><Relationship Id="rId208" Type="http://schemas.openxmlformats.org/officeDocument/2006/relationships/footer" Target="footer120.xml"/><Relationship Id="rId207" Type="http://schemas.openxmlformats.org/officeDocument/2006/relationships/header" Target="header84.xml"/><Relationship Id="rId206" Type="http://schemas.openxmlformats.org/officeDocument/2006/relationships/footer" Target="footer119.xml"/><Relationship Id="rId205" Type="http://schemas.openxmlformats.org/officeDocument/2006/relationships/header" Target="header83.xml"/><Relationship Id="rId204" Type="http://schemas.openxmlformats.org/officeDocument/2006/relationships/footer" Target="footer118.xml"/><Relationship Id="rId203" Type="http://schemas.openxmlformats.org/officeDocument/2006/relationships/header" Target="header82.xml"/><Relationship Id="rId202" Type="http://schemas.openxmlformats.org/officeDocument/2006/relationships/footer" Target="footer117.xml"/><Relationship Id="rId201" Type="http://schemas.openxmlformats.org/officeDocument/2006/relationships/header" Target="header81.xml"/><Relationship Id="rId200" Type="http://schemas.openxmlformats.org/officeDocument/2006/relationships/footer" Target="footer116.xml"/><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header" Target="header80.xml"/><Relationship Id="rId198" Type="http://schemas.openxmlformats.org/officeDocument/2006/relationships/footer" Target="footer115.xml"/><Relationship Id="rId197" Type="http://schemas.openxmlformats.org/officeDocument/2006/relationships/header" Target="header79.xml"/><Relationship Id="rId196" Type="http://schemas.openxmlformats.org/officeDocument/2006/relationships/footer" Target="footer114.xml"/><Relationship Id="rId195" Type="http://schemas.openxmlformats.org/officeDocument/2006/relationships/footer" Target="footer113.xml"/><Relationship Id="rId194" Type="http://schemas.openxmlformats.org/officeDocument/2006/relationships/header" Target="header78.xml"/><Relationship Id="rId193" Type="http://schemas.openxmlformats.org/officeDocument/2006/relationships/footer" Target="footer112.xml"/><Relationship Id="rId192" Type="http://schemas.openxmlformats.org/officeDocument/2006/relationships/header" Target="header77.xml"/><Relationship Id="rId191" Type="http://schemas.openxmlformats.org/officeDocument/2006/relationships/footer" Target="footer111.xml"/><Relationship Id="rId190" Type="http://schemas.openxmlformats.org/officeDocument/2006/relationships/header" Target="header76.xml"/><Relationship Id="rId19" Type="http://schemas.openxmlformats.org/officeDocument/2006/relationships/header" Target="header7.xml"/><Relationship Id="rId189" Type="http://schemas.openxmlformats.org/officeDocument/2006/relationships/footer" Target="footer110.xml"/><Relationship Id="rId188" Type="http://schemas.openxmlformats.org/officeDocument/2006/relationships/header" Target="header75.xml"/><Relationship Id="rId187" Type="http://schemas.openxmlformats.org/officeDocument/2006/relationships/footer" Target="footer109.xml"/><Relationship Id="rId186" Type="http://schemas.openxmlformats.org/officeDocument/2006/relationships/header" Target="header74.xml"/><Relationship Id="rId185" Type="http://schemas.openxmlformats.org/officeDocument/2006/relationships/footer" Target="footer108.xml"/><Relationship Id="rId184" Type="http://schemas.openxmlformats.org/officeDocument/2006/relationships/header" Target="header73.xml"/><Relationship Id="rId183" Type="http://schemas.openxmlformats.org/officeDocument/2006/relationships/footer" Target="footer107.xml"/><Relationship Id="rId182" Type="http://schemas.openxmlformats.org/officeDocument/2006/relationships/header" Target="header72.xml"/><Relationship Id="rId181" Type="http://schemas.openxmlformats.org/officeDocument/2006/relationships/footer" Target="footer106.xml"/><Relationship Id="rId180" Type="http://schemas.openxmlformats.org/officeDocument/2006/relationships/header" Target="header71.xml"/><Relationship Id="rId18" Type="http://schemas.openxmlformats.org/officeDocument/2006/relationships/footer" Target="footer8.xml"/><Relationship Id="rId179" Type="http://schemas.openxmlformats.org/officeDocument/2006/relationships/footer" Target="footer105.xml"/><Relationship Id="rId178" Type="http://schemas.openxmlformats.org/officeDocument/2006/relationships/header" Target="header70.xml"/><Relationship Id="rId177" Type="http://schemas.openxmlformats.org/officeDocument/2006/relationships/footer" Target="footer104.xml"/><Relationship Id="rId176" Type="http://schemas.openxmlformats.org/officeDocument/2006/relationships/header" Target="header69.xml"/><Relationship Id="rId175" Type="http://schemas.openxmlformats.org/officeDocument/2006/relationships/footer" Target="footer103.xml"/><Relationship Id="rId174" Type="http://schemas.openxmlformats.org/officeDocument/2006/relationships/header" Target="header68.xml"/><Relationship Id="rId173" Type="http://schemas.openxmlformats.org/officeDocument/2006/relationships/footer" Target="footer102.xml"/><Relationship Id="rId172" Type="http://schemas.openxmlformats.org/officeDocument/2006/relationships/header" Target="header67.xml"/><Relationship Id="rId171" Type="http://schemas.openxmlformats.org/officeDocument/2006/relationships/footer" Target="footer101.xml"/><Relationship Id="rId170" Type="http://schemas.openxmlformats.org/officeDocument/2006/relationships/header" Target="header66.xml"/><Relationship Id="rId17" Type="http://schemas.openxmlformats.org/officeDocument/2006/relationships/header" Target="header6.xml"/><Relationship Id="rId169" Type="http://schemas.openxmlformats.org/officeDocument/2006/relationships/footer" Target="footer100.xml"/><Relationship Id="rId168" Type="http://schemas.openxmlformats.org/officeDocument/2006/relationships/header" Target="header65.xml"/><Relationship Id="rId167" Type="http://schemas.openxmlformats.org/officeDocument/2006/relationships/footer" Target="footer99.xml"/><Relationship Id="rId166" Type="http://schemas.openxmlformats.org/officeDocument/2006/relationships/header" Target="header64.xml"/><Relationship Id="rId165" Type="http://schemas.openxmlformats.org/officeDocument/2006/relationships/footer" Target="footer98.xml"/><Relationship Id="rId164" Type="http://schemas.openxmlformats.org/officeDocument/2006/relationships/footer" Target="footer97.xml"/><Relationship Id="rId163" Type="http://schemas.openxmlformats.org/officeDocument/2006/relationships/header" Target="header63.xml"/><Relationship Id="rId162" Type="http://schemas.openxmlformats.org/officeDocument/2006/relationships/footer" Target="footer96.xml"/><Relationship Id="rId161" Type="http://schemas.openxmlformats.org/officeDocument/2006/relationships/header" Target="header62.xml"/><Relationship Id="rId160" Type="http://schemas.openxmlformats.org/officeDocument/2006/relationships/footer" Target="footer95.xml"/><Relationship Id="rId16" Type="http://schemas.openxmlformats.org/officeDocument/2006/relationships/footer" Target="footer7.xml"/><Relationship Id="rId159" Type="http://schemas.openxmlformats.org/officeDocument/2006/relationships/header" Target="header61.xml"/><Relationship Id="rId158" Type="http://schemas.openxmlformats.org/officeDocument/2006/relationships/footer" Target="footer94.xml"/><Relationship Id="rId157" Type="http://schemas.openxmlformats.org/officeDocument/2006/relationships/header" Target="header60.xml"/><Relationship Id="rId156" Type="http://schemas.openxmlformats.org/officeDocument/2006/relationships/footer" Target="footer93.xml"/><Relationship Id="rId155" Type="http://schemas.openxmlformats.org/officeDocument/2006/relationships/header" Target="header59.xml"/><Relationship Id="rId154" Type="http://schemas.openxmlformats.org/officeDocument/2006/relationships/footer" Target="footer92.xml"/><Relationship Id="rId153" Type="http://schemas.openxmlformats.org/officeDocument/2006/relationships/header" Target="header58.xml"/><Relationship Id="rId152" Type="http://schemas.openxmlformats.org/officeDocument/2006/relationships/footer" Target="footer91.xml"/><Relationship Id="rId151" Type="http://schemas.openxmlformats.org/officeDocument/2006/relationships/header" Target="header57.xml"/><Relationship Id="rId150" Type="http://schemas.openxmlformats.org/officeDocument/2006/relationships/footer" Target="footer90.xml"/><Relationship Id="rId15" Type="http://schemas.openxmlformats.org/officeDocument/2006/relationships/header" Target="header5.xml"/><Relationship Id="rId149" Type="http://schemas.openxmlformats.org/officeDocument/2006/relationships/header" Target="header56.xml"/><Relationship Id="rId148" Type="http://schemas.openxmlformats.org/officeDocument/2006/relationships/footer" Target="footer89.xml"/><Relationship Id="rId147" Type="http://schemas.openxmlformats.org/officeDocument/2006/relationships/header" Target="header55.xml"/><Relationship Id="rId146" Type="http://schemas.openxmlformats.org/officeDocument/2006/relationships/footer" Target="footer88.xml"/><Relationship Id="rId145" Type="http://schemas.openxmlformats.org/officeDocument/2006/relationships/header" Target="header54.xml"/><Relationship Id="rId144" Type="http://schemas.openxmlformats.org/officeDocument/2006/relationships/footer" Target="footer87.xml"/><Relationship Id="rId143" Type="http://schemas.openxmlformats.org/officeDocument/2006/relationships/header" Target="header53.xml"/><Relationship Id="rId142" Type="http://schemas.openxmlformats.org/officeDocument/2006/relationships/footer" Target="footer86.xml"/><Relationship Id="rId141" Type="http://schemas.openxmlformats.org/officeDocument/2006/relationships/footer" Target="footer85.xml"/><Relationship Id="rId140" Type="http://schemas.openxmlformats.org/officeDocument/2006/relationships/footer" Target="footer84.xml"/><Relationship Id="rId14" Type="http://schemas.openxmlformats.org/officeDocument/2006/relationships/footer" Target="footer6.xml"/><Relationship Id="rId139" Type="http://schemas.openxmlformats.org/officeDocument/2006/relationships/footer" Target="footer83.xml"/><Relationship Id="rId138" Type="http://schemas.openxmlformats.org/officeDocument/2006/relationships/footer" Target="footer82.xml"/><Relationship Id="rId137" Type="http://schemas.openxmlformats.org/officeDocument/2006/relationships/footer" Target="footer81.xml"/><Relationship Id="rId136" Type="http://schemas.openxmlformats.org/officeDocument/2006/relationships/footer" Target="footer80.xml"/><Relationship Id="rId135" Type="http://schemas.openxmlformats.org/officeDocument/2006/relationships/header" Target="header52.xml"/><Relationship Id="rId134" Type="http://schemas.openxmlformats.org/officeDocument/2006/relationships/footer" Target="footer79.xml"/><Relationship Id="rId133" Type="http://schemas.openxmlformats.org/officeDocument/2006/relationships/header" Target="header51.xml"/><Relationship Id="rId132" Type="http://schemas.openxmlformats.org/officeDocument/2006/relationships/footer" Target="footer78.xml"/><Relationship Id="rId131" Type="http://schemas.openxmlformats.org/officeDocument/2006/relationships/header" Target="header50.xml"/><Relationship Id="rId130" Type="http://schemas.openxmlformats.org/officeDocument/2006/relationships/footer" Target="footer77.xml"/><Relationship Id="rId13" Type="http://schemas.openxmlformats.org/officeDocument/2006/relationships/header" Target="header4.xml"/><Relationship Id="rId129" Type="http://schemas.openxmlformats.org/officeDocument/2006/relationships/footer" Target="footer76.xml"/><Relationship Id="rId128" Type="http://schemas.openxmlformats.org/officeDocument/2006/relationships/footer" Target="footer75.xml"/><Relationship Id="rId127" Type="http://schemas.openxmlformats.org/officeDocument/2006/relationships/footer" Target="footer74.xml"/><Relationship Id="rId126" Type="http://schemas.openxmlformats.org/officeDocument/2006/relationships/footer" Target="footer73.xml"/><Relationship Id="rId125" Type="http://schemas.openxmlformats.org/officeDocument/2006/relationships/footer" Target="footer72.xml"/><Relationship Id="rId124" Type="http://schemas.openxmlformats.org/officeDocument/2006/relationships/footer" Target="footer71.xml"/><Relationship Id="rId123" Type="http://schemas.openxmlformats.org/officeDocument/2006/relationships/footer" Target="footer70.xml"/><Relationship Id="rId122" Type="http://schemas.openxmlformats.org/officeDocument/2006/relationships/footer" Target="footer69.xml"/><Relationship Id="rId121" Type="http://schemas.openxmlformats.org/officeDocument/2006/relationships/footer" Target="footer68.xml"/><Relationship Id="rId120" Type="http://schemas.openxmlformats.org/officeDocument/2006/relationships/header" Target="header49.xml"/><Relationship Id="rId12" Type="http://schemas.openxmlformats.org/officeDocument/2006/relationships/footer" Target="footer5.xml"/><Relationship Id="rId119" Type="http://schemas.openxmlformats.org/officeDocument/2006/relationships/footer" Target="footer67.xml"/><Relationship Id="rId118" Type="http://schemas.openxmlformats.org/officeDocument/2006/relationships/header" Target="header48.xml"/><Relationship Id="rId117" Type="http://schemas.openxmlformats.org/officeDocument/2006/relationships/footer" Target="footer66.xml"/><Relationship Id="rId116" Type="http://schemas.openxmlformats.org/officeDocument/2006/relationships/header" Target="header47.xml"/><Relationship Id="rId115" Type="http://schemas.openxmlformats.org/officeDocument/2006/relationships/footer" Target="footer65.xml"/><Relationship Id="rId114" Type="http://schemas.openxmlformats.org/officeDocument/2006/relationships/header" Target="header46.xml"/><Relationship Id="rId113" Type="http://schemas.openxmlformats.org/officeDocument/2006/relationships/footer" Target="footer64.xml"/><Relationship Id="rId112" Type="http://schemas.openxmlformats.org/officeDocument/2006/relationships/header" Target="header45.xml"/><Relationship Id="rId111" Type="http://schemas.openxmlformats.org/officeDocument/2006/relationships/footer" Target="footer63.xml"/><Relationship Id="rId110" Type="http://schemas.openxmlformats.org/officeDocument/2006/relationships/header" Target="header44.xml"/><Relationship Id="rId11" Type="http://schemas.openxmlformats.org/officeDocument/2006/relationships/header" Target="header3.xml"/><Relationship Id="rId109" Type="http://schemas.openxmlformats.org/officeDocument/2006/relationships/footer" Target="footer62.xml"/><Relationship Id="rId108" Type="http://schemas.openxmlformats.org/officeDocument/2006/relationships/footer" Target="footer61.xml"/><Relationship Id="rId107" Type="http://schemas.openxmlformats.org/officeDocument/2006/relationships/footer" Target="footer60.xml"/><Relationship Id="rId106" Type="http://schemas.openxmlformats.org/officeDocument/2006/relationships/footer" Target="footer59.xml"/><Relationship Id="rId105" Type="http://schemas.openxmlformats.org/officeDocument/2006/relationships/header" Target="header43.xml"/><Relationship Id="rId104" Type="http://schemas.openxmlformats.org/officeDocument/2006/relationships/footer" Target="footer58.xml"/><Relationship Id="rId103" Type="http://schemas.openxmlformats.org/officeDocument/2006/relationships/header" Target="header42.xml"/><Relationship Id="rId102" Type="http://schemas.openxmlformats.org/officeDocument/2006/relationships/footer" Target="footer57.xml"/><Relationship Id="rId101" Type="http://schemas.openxmlformats.org/officeDocument/2006/relationships/header" Target="header41.xml"/><Relationship Id="rId100" Type="http://schemas.openxmlformats.org/officeDocument/2006/relationships/footer" Target="footer56.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1" Type="http://schemas.openxmlformats.org/officeDocument/2006/relationships/image" Target="media/image1.jpeg"/></Relationships>
</file>

<file path=word/_rels/header217.xml.rels><?xml version="1.0" encoding="UTF-8" standalone="yes"?>
<Relationships xmlns="http://schemas.openxmlformats.org/package/2006/relationships"><Relationship Id="rId1" Type="http://schemas.openxmlformats.org/officeDocument/2006/relationships/image" Target="media/image1.jpeg"/></Relationships>
</file>

<file path=word/_rels/header218.xml.rels><?xml version="1.0" encoding="UTF-8" standalone="yes"?>
<Relationships xmlns="http://schemas.openxmlformats.org/package/2006/relationships"><Relationship Id="rId1" Type="http://schemas.openxmlformats.org/officeDocument/2006/relationships/image" Target="media/image1.jpeg"/></Relationships>
</file>

<file path=word/_rels/header2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20.xml.rels><?xml version="1.0" encoding="UTF-8" standalone="yes"?>
<Relationships xmlns="http://schemas.openxmlformats.org/package/2006/relationships"><Relationship Id="rId1" Type="http://schemas.openxmlformats.org/officeDocument/2006/relationships/image" Target="media/image1.jpeg"/></Relationships>
</file>

<file path=word/_rels/header221.xml.rels><?xml version="1.0" encoding="UTF-8" standalone="yes"?>
<Relationships xmlns="http://schemas.openxmlformats.org/package/2006/relationships"><Relationship Id="rId1" Type="http://schemas.openxmlformats.org/officeDocument/2006/relationships/image" Target="media/image1.jpeg"/></Relationships>
</file>

<file path=word/_rels/header222.xml.rels><?xml version="1.0" encoding="UTF-8" standalone="yes"?>
<Relationships xmlns="http://schemas.openxmlformats.org/package/2006/relationships"><Relationship Id="rId1" Type="http://schemas.openxmlformats.org/officeDocument/2006/relationships/image" Target="media/image1.jpeg"/></Relationships>
</file>

<file path=word/_rels/header223.xml.rels><?xml version="1.0" encoding="UTF-8" standalone="yes"?>
<Relationships xmlns="http://schemas.openxmlformats.org/package/2006/relationships"><Relationship Id="rId1" Type="http://schemas.openxmlformats.org/officeDocument/2006/relationships/image" Target="media/image1.jpeg"/></Relationships>
</file>

<file path=word/_rels/header224.xml.rels><?xml version="1.0" encoding="UTF-8" standalone="yes"?>
<Relationships xmlns="http://schemas.openxmlformats.org/package/2006/relationships"><Relationship Id="rId1" Type="http://schemas.openxmlformats.org/officeDocument/2006/relationships/image" Target="media/image1.jpeg"/></Relationships>
</file>

<file path=word/_rels/header225.xml.rels><?xml version="1.0" encoding="UTF-8" standalone="yes"?>
<Relationships xmlns="http://schemas.openxmlformats.org/package/2006/relationships"><Relationship Id="rId1" Type="http://schemas.openxmlformats.org/officeDocument/2006/relationships/image" Target="media/image1.jpeg"/></Relationships>
</file>

<file path=word/_rels/header226.xml.rels><?xml version="1.0" encoding="UTF-8" standalone="yes"?>
<Relationships xmlns="http://schemas.openxmlformats.org/package/2006/relationships"><Relationship Id="rId1" Type="http://schemas.openxmlformats.org/officeDocument/2006/relationships/image" Target="media/image1.jpeg"/></Relationships>
</file>

<file path=word/_rels/header227.xml.rels><?xml version="1.0" encoding="UTF-8" standalone="yes"?>
<Relationships xmlns="http://schemas.openxmlformats.org/package/2006/relationships"><Relationship Id="rId1" Type="http://schemas.openxmlformats.org/officeDocument/2006/relationships/image" Target="media/image1.jpeg"/></Relationships>
</file>

<file path=word/_rels/header228.xml.rels><?xml version="1.0" encoding="UTF-8" standalone="yes"?>
<Relationships xmlns="http://schemas.openxmlformats.org/package/2006/relationships"><Relationship Id="rId1" Type="http://schemas.openxmlformats.org/officeDocument/2006/relationships/image" Target="media/image1.jpeg"/></Relationships>
</file>

<file path=word/_rels/header22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30.xml.rels><?xml version="1.0" encoding="UTF-8" standalone="yes"?>
<Relationships xmlns="http://schemas.openxmlformats.org/package/2006/relationships"><Relationship Id="rId1" Type="http://schemas.openxmlformats.org/officeDocument/2006/relationships/image" Target="media/image1.jpeg"/></Relationships>
</file>

<file path=word/_rels/header231.xml.rels><?xml version="1.0" encoding="UTF-8" standalone="yes"?>
<Relationships xmlns="http://schemas.openxmlformats.org/package/2006/relationships"><Relationship Id="rId1" Type="http://schemas.openxmlformats.org/officeDocument/2006/relationships/image" Target="media/image1.jpeg"/></Relationships>
</file>

<file path=word/_rels/header232.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textRotate="1"/>
    <customShpInfo spid="_x0000_s1030"/>
    <customShpInfo spid="_x0000_s1031"/>
    <customShpInfo spid="_x0000_s1029"/>
    <customShpInfo spid="_x0000_s1032"/>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2"/>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3"/>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54"/>
    <customShpInfo spid="_x0000_s1068"/>
    <customShpInfo spid="_x0000_s1069"/>
    <customShpInfo spid="_x0000_s1067"/>
    <customShpInfo spid="_x0000_s1071"/>
    <customShpInfo spid="_x0000_s1072"/>
    <customShpInfo spid="_x0000_s1070"/>
    <customShpInfo spid="_x0000_s1074"/>
    <customShpInfo spid="_x0000_s1075"/>
    <customShpInfo spid="_x0000_s1073"/>
    <customShpInfo spid="_x0000_s1077"/>
    <customShpInfo spid="_x0000_s1078"/>
    <customShpInfo spid="_x0000_s1076"/>
    <customShpInfo spid="_x0000_s1080"/>
    <customShpInfo spid="_x0000_s1081"/>
    <customShpInfo spid="_x0000_s1079"/>
    <customShpInfo spid="_x0000_s1083"/>
    <customShpInfo spid="_x0000_s1084"/>
    <customShpInfo spid="_x0000_s1082"/>
    <customShpInfo spid="_x0000_s1085"/>
    <customShpInfo spid="_x0000_s1087"/>
    <customShpInfo spid="_x0000_s1088"/>
    <customShpInfo spid="_x0000_s1089"/>
    <customShpInfo spid="_x0000_s1090"/>
    <customShpInfo spid="_x0000_s1086"/>
    <customShpInfo spid="_x0000_s1092"/>
    <customShpInfo spid="_x0000_s1093"/>
    <customShpInfo spid="_x0000_s1094"/>
    <customShpInfo spid="_x0000_s1095"/>
    <customShpInfo spid="_x0000_s109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292</Pages>
  <Words>13482</Words>
  <Characters>16325</Characters>
  <TotalTime>1</TotalTime>
  <ScaleCrop>false</ScaleCrop>
  <LinksUpToDate>false</LinksUpToDate>
  <CharactersWithSpaces>17045</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2023-09-11T11:04:00Z</dcterms:created>
  <dc:creator>1234</dc:creator>
  <cp:lastModifiedBy>方能投资-羊壮志</cp:lastModifiedBy>
  <dcterms:modified xsi:type="dcterms:W3CDTF">2026-04-22T02:04:12Z</dcterms:modified>
  <dc:title>&lt;4D6963726F736F667420576F7264202D20D3F7BCD2B9B5C9FAD6EDB9E6C4A3BBAFD1F8D6B3B3A1CFEEC4BFB1A8B8E6CAE92DCBCDC9F3B8E5&gt;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2026-04-22T10:01:40Z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6AFC595E6BDC472499D443D748760E12_13</vt:lpwstr>
  </property>
</Properties>
</file>